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shd w:val="clear" w:color="auto" w:fill="0B1F3A"/>
      </w:pPr>
      <w:r>
        <w:rPr>
          <w:rFonts w:ascii="Calibri" w:hAnsi="Calibri"/>
          <w:b/>
          <w:color w:val="FFFFFF"/>
          <w:sz w:val="60"/>
        </w:rPr>
        <w:t xml:space="preserve">  AJO.ng  </w:t>
      </w:r>
    </w:p>
    <w:p>
      <w:pPr>
        <w:spacing w:after="520" w:before="0"/>
        <w:shd w:val="clear" w:color="auto" w:fill="22C7D6"/>
      </w:pPr>
      <w:r>
        <w:rPr>
          <w:sz w:val="10"/>
        </w:rPr>
        <w:t xml:space="preserve">                                                              </w:t>
      </w:r>
    </w:p>
    <w:p>
      <w:pPr>
        <w:spacing w:after="80"/>
      </w:pPr>
      <w:r>
        <w:rPr>
          <w:rFonts w:ascii="Calibri" w:hAnsi="Calibri"/>
          <w:b/>
          <w:color w:val="146EF5"/>
          <w:sz w:val="34"/>
        </w:rPr>
        <w:t>Your Ajo. Your Story.</w:t>
      </w:r>
    </w:p>
    <w:p>
      <w:pPr>
        <w:spacing w:after="600"/>
      </w:pPr>
      <w:r>
        <w:rPr>
          <w:rFonts w:ascii="Calibri" w:hAnsi="Calibri"/>
          <w:color w:val="475467"/>
          <w:sz w:val="23"/>
        </w:rPr>
        <w:t>Complete Product and Technical Specification</w:t>
      </w:r>
    </w:p>
    <w:p>
      <w:pPr>
        <w:spacing w:after="60"/>
      </w:pPr>
      <w:r>
        <w:rPr>
          <w:rFonts w:ascii="Calibri" w:hAnsi="Calibri"/>
          <w:b/>
          <w:color w:val="0B1F3A"/>
          <w:sz w:val="20"/>
        </w:rPr>
        <w:t xml:space="preserve">Product:  </w:t>
      </w:r>
      <w:r>
        <w:rPr>
          <w:rFonts w:ascii="Calibri" w:hAnsi="Calibri"/>
          <w:color w:val="101828"/>
          <w:sz w:val="20"/>
        </w:rPr>
        <w:t>AJO.ng — a rotating savings platform for Nigeria</w:t>
      </w:r>
    </w:p>
    <w:p>
      <w:pPr>
        <w:spacing w:after="60"/>
      </w:pPr>
      <w:r>
        <w:rPr>
          <w:rFonts w:ascii="Calibri" w:hAnsi="Calibri"/>
          <w:b/>
          <w:color w:val="0B1F3A"/>
          <w:sz w:val="20"/>
        </w:rPr>
        <w:t xml:space="preserve">Tagline:  </w:t>
      </w:r>
      <w:r>
        <w:rPr>
          <w:rFonts w:ascii="Calibri" w:hAnsi="Calibri"/>
          <w:color w:val="101828"/>
          <w:sz w:val="20"/>
        </w:rPr>
        <w:t>Your Ajo. Your Story.</w:t>
      </w:r>
    </w:p>
    <w:p>
      <w:pPr>
        <w:spacing w:after="60"/>
      </w:pPr>
      <w:r>
        <w:rPr>
          <w:rFonts w:ascii="Calibri" w:hAnsi="Calibri"/>
          <w:b/>
          <w:color w:val="0B1F3A"/>
          <w:sz w:val="20"/>
        </w:rPr>
        <w:t xml:space="preserve">Version:  </w:t>
      </w:r>
      <w:r>
        <w:rPr>
          <w:rFonts w:ascii="Calibri" w:hAnsi="Calibri"/>
          <w:color w:val="101828"/>
          <w:sz w:val="20"/>
        </w:rPr>
        <w:t>1.0</w:t>
      </w:r>
    </w:p>
    <w:p>
      <w:pPr>
        <w:spacing w:after="60"/>
      </w:pPr>
      <w:r>
        <w:rPr>
          <w:rFonts w:ascii="Calibri" w:hAnsi="Calibri"/>
          <w:b/>
          <w:color w:val="0B1F3A"/>
          <w:sz w:val="20"/>
        </w:rPr>
        <w:t xml:space="preserve">Status:  </w:t>
      </w:r>
      <w:r>
        <w:rPr>
          <w:rFonts w:ascii="Calibri" w:hAnsi="Calibri"/>
          <w:color w:val="101828"/>
          <w:sz w:val="20"/>
        </w:rPr>
        <w:t>For review. Requires review by qualified Nigerian legal and compliance professionals before production launch</w:t>
      </w:r>
    </w:p>
    <w:p>
      <w:pPr>
        <w:spacing w:after="60"/>
      </w:pPr>
      <w:r>
        <w:rPr>
          <w:rFonts w:ascii="Calibri" w:hAnsi="Calibri"/>
          <w:b/>
          <w:color w:val="0B1F3A"/>
          <w:sz w:val="20"/>
        </w:rPr>
        <w:t xml:space="preserve">Source of truth:  </w:t>
      </w:r>
      <w:r>
        <w:rPr>
          <w:rFonts w:ascii="Calibri" w:hAnsi="Calibri"/>
          <w:color w:val="101828"/>
          <w:sz w:val="20"/>
        </w:rPr>
        <w:t>docs/src/CANONICAL.md, followed by this specification</w:t>
      </w:r>
    </w:p>
    <w:p>
      <w:pPr>
        <w:spacing w:after="60"/>
      </w:pPr>
      <w:r>
        <w:rPr>
          <w:rFonts w:ascii="Calibri" w:hAnsi="Calibri"/>
          <w:b/>
          <w:color w:val="0B1F3A"/>
          <w:sz w:val="20"/>
        </w:rPr>
        <w:t xml:space="preserve">Financial model:  </w:t>
      </w:r>
      <w:r>
        <w:rPr>
          <w:rFonts w:ascii="Calibri" w:hAnsi="Calibri"/>
          <w:color w:val="101828"/>
          <w:sz w:val="20"/>
        </w:rPr>
        <w:t>2% service fee charged on every contribution, in addition to the contribution amount. Never deducted from a payout</w:t>
      </w:r>
    </w:p>
    <w:p>
      <w:pPr>
        <w:spacing w:after="60"/>
      </w:pPr>
      <w:r>
        <w:rPr>
          <w:rFonts w:ascii="Calibri" w:hAnsi="Calibri"/>
          <w:b/>
          <w:color w:val="0B1F3A"/>
          <w:sz w:val="20"/>
        </w:rPr>
        <w:t xml:space="preserve">Scope:  </w:t>
      </w:r>
      <w:r>
        <w:rPr>
          <w:rFonts w:ascii="Calibri" w:hAnsi="Calibri"/>
          <w:color w:val="101828"/>
          <w:sz w:val="20"/>
        </w:rPr>
        <w:t>25 sections, plus appendices A–H</w:t>
      </w:r>
    </w:p>
    <w:p>
      <w:pPr>
        <w:spacing w:after="60"/>
      </w:pPr>
      <w:r>
        <w:rPr>
          <w:rFonts w:ascii="Calibri" w:hAnsi="Calibri"/>
          <w:b/>
          <w:color w:val="0B1F3A"/>
          <w:sz w:val="20"/>
        </w:rPr>
        <w:t xml:space="preserve">Prepared for:  </w:t>
      </w:r>
      <w:r>
        <w:rPr>
          <w:rFonts w:ascii="Calibri" w:hAnsi="Calibri"/>
          <w:color w:val="101828"/>
          <w:sz w:val="20"/>
        </w:rPr>
        <w:t>Founders, engineering, product, operations, legal, and investors</w:t>
      </w:r>
    </w:p>
    <w:p/>
    <w:p>
      <w:pPr>
        <w:spacing w:before="280"/>
        <w:shd w:val="clear" w:color="auto" w:fill="FEF3C7"/>
        <w:pBdr>
          <w:left w:val="single" w:sz="18" w:space="6" w:color="FBBF24"/>
        </w:pBdr>
      </w:pPr>
      <w:r>
        <w:rPr>
          <w:rFonts w:ascii="Calibri" w:hAnsi="Calibri"/>
          <w:color w:val="0B1F3A"/>
          <w:sz w:val="18"/>
        </w:rPr>
        <w:t>This document is a technical and product blueprint. It is not legal, regulatory, tax or investment advice. Statements about Nigerian financial regulation, data protection and payment-provider capabilities require verification by qualified Nigerian professionals and by the appointed payment partner before production launch.</w:t>
      </w:r>
    </w:p>
    <w:p>
      <w:r>
        <w:br w:type="page"/>
      </w:r>
    </w:p>
    <w:p>
      <w:pPr>
        <w:pStyle w:val="Heading1"/>
        <w:pBdr>
          <w:bottom w:val="single" w:sz="12" w:space="6" w:color="146EF5"/>
        </w:pBdr>
        <w:spacing w:after="240"/>
      </w:pPr>
      <w:r>
        <w:rPr>
          <w:rFonts w:ascii="Calibri" w:hAnsi="Calibri"/>
          <w:b/>
          <w:i w:val="0"/>
          <w:color w:val="0B1F3A"/>
          <w:sz w:val="40"/>
        </w:rPr>
        <w:t>Document Control and Legal Statement</w:t>
      </w:r>
    </w:p>
    <w:p>
      <w:r>
        <w:rPr>
          <w:rFonts w:ascii="Calibri" w:hAnsi="Calibri"/>
          <w:b w:val="0"/>
          <w:i w:val="0"/>
          <w:color w:val="101828"/>
          <w:sz w:val="21"/>
        </w:rPr>
        <w:t>This document is a technical and product specification. It is not legal advice, not a compliance determination, and not a financial plan. AJO.ng handles identity documents, bank details, and members' savings, and it operates in a regulated market. Before any real money is accepted or any member is onboarded, this specification and the operating model it describes require review by qualified Nigerian legal and compliance professionals — including on licensing, the treatment of member funds, data protection, consumer protection, and the obligations of the payment partner.</w:t>
      </w:r>
    </w:p>
    <w:p>
      <w:pPr>
        <w:pStyle w:val="Heading2"/>
      </w:pPr>
      <w:r>
        <w:rPr>
          <w:rFonts w:ascii="Calibri" w:hAnsi="Calibri"/>
          <w:b/>
          <w:i w:val="0"/>
          <w:color w:val="146EF5"/>
          <w:sz w:val="29"/>
        </w:rPr>
        <w:t>How to use this document</w:t>
      </w:r>
    </w:p>
    <w:p>
      <w:r>
        <w:rPr>
          <w:rFonts w:ascii="Calibri" w:hAnsi="Calibri"/>
          <w:b w:val="0"/>
          <w:i w:val="0"/>
          <w:color w:val="101828"/>
          <w:sz w:val="21"/>
        </w:rPr>
        <w:t>This is a single source of truth for the AJO.ng product, design, architecture, operations, and open compliance questions. The canonical business rules live in docs/src/CANONICAL.md, and where the two disagree, CANONICAL.md and this document take precedence over all earlier business and financial material.</w:t>
      </w:r>
    </w:p>
    <w:p>
      <w:r>
        <w:br w:type="page"/>
      </w:r>
    </w:p>
    <w:p>
      <w:pPr>
        <w:pStyle w:val="Heading1"/>
        <w:pBdr>
          <w:bottom w:val="single" w:sz="12" w:space="6" w:color="146EF5"/>
        </w:pBdr>
      </w:pPr>
      <w:r>
        <w:rPr>
          <w:rFonts w:ascii="Calibri" w:hAnsi="Calibri"/>
          <w:b/>
          <w:color w:val="0B1F3A"/>
          <w:sz w:val="40"/>
        </w:rPr>
        <w:t>Table of Contents</w:t>
      </w:r>
    </w:p>
    <w:p>
      <w:r>
        <w:rPr>
          <w:rFonts w:ascii="Calibri" w:hAnsi="Calibri"/>
          <w:i/>
          <w:color w:val="475467"/>
          <w:sz w:val="17"/>
        </w:rPr>
        <w:t>If the list below is empty, select it and press F9 (Word) to update fields.</w:t>
      </w:r>
    </w:p>
    <w:p>
      <w:r>
        <w:fldChar w:fldCharType="begin"/>
        <w:instrText xml:space="preserve"> TOC \o "1-2" \h \z \u </w:instrText>
        <w:fldChar w:fldCharType="separate"/>
        <w:t>1</w:t>
        <w:fldChar w:fldCharType="end"/>
      </w:r>
    </w:p>
    <w:p>
      <w:r>
        <w:br w:type="page"/>
      </w:r>
    </w:p>
    <w:p>
      <w:pPr>
        <w:pStyle w:val="Heading1"/>
        <w:pBdr>
          <w:bottom w:val="single" w:sz="12" w:space="6" w:color="146EF5"/>
        </w:pBdr>
        <w:spacing w:after="240"/>
      </w:pPr>
      <w:r>
        <w:rPr>
          <w:rFonts w:ascii="Calibri" w:hAnsi="Calibri"/>
          <w:b/>
          <w:i w:val="0"/>
          <w:color w:val="0B1F3A"/>
          <w:sz w:val="40"/>
        </w:rPr>
        <w:t>Executive Summary</w:t>
      </w:r>
    </w:p>
    <w:p>
      <w:pPr>
        <w:spacing w:after="200"/>
      </w:pPr>
      <w:r>
        <w:rPr>
          <w:rFonts w:ascii="Calibri" w:hAnsi="Calibri"/>
          <w:b w:val="0"/>
          <w:i w:val="0"/>
          <w:color w:val="475467"/>
          <w:sz w:val="24"/>
        </w:rPr>
        <w:t>AJO.ng is a private, invitation-only platform for rotating savings groups — Ajos — in Nigeria. Members of an Ajo contribute a fixed amount on a fixed schedule, and each member in turn receives the entire pool. It is not a bank, not an investment product, and it does not pay returns. It is the digital version of something Nigerian families and friend groups have done for decades, made reliable.</w:t>
      </w:r>
    </w:p>
    <w:p>
      <w:pPr>
        <w:pStyle w:val="Heading2"/>
      </w:pPr>
      <w:r>
        <w:rPr>
          <w:rFonts w:ascii="Calibri" w:hAnsi="Calibri"/>
          <w:b/>
          <w:i w:val="0"/>
          <w:color w:val="146EF5"/>
          <w:sz w:val="29"/>
        </w:rPr>
        <w:t>The product in one page</w:t>
      </w:r>
    </w:p>
    <w:p>
      <w:pPr>
        <w:pStyle w:val="ListBullet"/>
        <w:spacing w:after="60"/>
        <w:ind w:left="360"/>
      </w:pPr>
      <w:r>
        <w:rPr>
          <w:rFonts w:ascii="Calibri" w:hAnsi="Calibri"/>
          <w:b/>
          <w:color w:val="101828"/>
          <w:sz w:val="21"/>
        </w:rPr>
        <w:t>An Ajo has 2–20 members, a fixed contribution amount, a fixed frequency, and a fixed number of rounds.</w:t>
      </w:r>
      <w:r>
        <w:rPr>
          <w:rFonts w:ascii="Calibri" w:hAnsi="Calibri"/>
          <w:b w:val="0"/>
          <w:i w:val="0"/>
          <w:color w:val="101828"/>
          <w:sz w:val="21"/>
        </w:rPr>
        <w:t xml:space="preserve"> Ten members, NGN 10,000 weekly, ten rounds is the standard Ajo, and it returns NGN 1,000,000 to each member in turn.</w:t>
      </w:r>
    </w:p>
    <w:p>
      <w:pPr>
        <w:pStyle w:val="ListBullet"/>
        <w:spacing w:after="60"/>
        <w:ind w:left="360"/>
      </w:pPr>
      <w:r>
        <w:rPr>
          <w:rFonts w:ascii="Calibri" w:hAnsi="Calibri"/>
          <w:b/>
          <w:color w:val="101828"/>
          <w:sz w:val="21"/>
        </w:rPr>
        <w:t>Enrollment lasts exactly five days.</w:t>
      </w:r>
      <w:r>
        <w:rPr>
          <w:rFonts w:ascii="Calibri" w:hAnsi="Calibri"/>
          <w:b w:val="0"/>
          <w:i w:val="0"/>
          <w:color w:val="101828"/>
          <w:sz w:val="21"/>
        </w:rPr>
        <w:t xml:space="preserve"> After that the group is fixed, because a savings group that can still change membership after the first payment is not a savings group.</w:t>
      </w:r>
    </w:p>
    <w:p>
      <w:pPr>
        <w:pStyle w:val="ListBullet"/>
        <w:spacing w:after="60"/>
        <w:ind w:left="360"/>
      </w:pPr>
      <w:r>
        <w:rPr>
          <w:rFonts w:ascii="Calibri" w:hAnsi="Calibri"/>
          <w:b/>
          <w:color w:val="101828"/>
          <w:sz w:val="21"/>
        </w:rPr>
        <w:t>A member contributes NGN 1,000 and pays a NGN 20 service fee — 2% — for a total of NGN 1,020.</w:t>
      </w:r>
      <w:r>
        <w:rPr>
          <w:rFonts w:ascii="Calibri" w:hAnsi="Calibri"/>
          <w:b w:val="0"/>
          <w:i w:val="0"/>
          <w:color w:val="101828"/>
          <w:sz w:val="21"/>
        </w:rPr>
        <w:t xml:space="preserve"> The fee is charged on the contribution and is never taken from what the member receives. The recipient always gets the full base pool.</w:t>
      </w:r>
    </w:p>
    <w:p>
      <w:pPr>
        <w:pStyle w:val="ListBullet"/>
        <w:spacing w:after="60"/>
        <w:ind w:left="360"/>
      </w:pPr>
      <w:r>
        <w:rPr>
          <w:rFonts w:ascii="Calibri" w:hAnsi="Calibri"/>
          <w:b/>
          <w:color w:val="101828"/>
          <w:sz w:val="21"/>
        </w:rPr>
        <w:t>The cycle is mechanical and fair.</w:t>
      </w:r>
      <w:r>
        <w:rPr>
          <w:rFonts w:ascii="Calibri" w:hAnsi="Calibri"/>
          <w:b w:val="0"/>
          <w:i w:val="0"/>
          <w:color w:val="101828"/>
          <w:sz w:val="21"/>
        </w:rPr>
        <w:t xml:space="preserve"> Round ten, the member who joined last receives the pool. Everyone knows whose turn it is, and the schedule is fixed at activation.</w:t>
      </w:r>
    </w:p>
    <w:p>
      <w:pPr>
        <w:pStyle w:val="ListBullet"/>
        <w:spacing w:after="60"/>
        <w:ind w:left="360"/>
      </w:pPr>
      <w:r>
        <w:rPr>
          <w:rFonts w:ascii="Calibri" w:hAnsi="Calibri"/>
          <w:b/>
          <w:color w:val="101828"/>
          <w:sz w:val="21"/>
        </w:rPr>
        <w:t>Positions lock at activation.</w:t>
      </w:r>
      <w:r>
        <w:rPr>
          <w:rFonts w:ascii="Calibri" w:hAnsi="Calibri"/>
          <w:b w:val="0"/>
          <w:i w:val="0"/>
          <w:color w:val="101828"/>
          <w:sz w:val="21"/>
        </w:rPr>
        <w:t xml:space="preserve"> A member cannot be removed after committing, and cannot leave without a default. Both rules protect the people already in the pool.</w:t>
      </w:r>
    </w:p>
    <w:p>
      <w:pPr>
        <w:pStyle w:val="ListBullet"/>
        <w:spacing w:after="60"/>
        <w:ind w:left="360"/>
      </w:pPr>
      <w:r>
        <w:rPr>
          <w:rFonts w:ascii="Calibri" w:hAnsi="Calibri"/>
          <w:b/>
          <w:color w:val="101828"/>
          <w:sz w:val="21"/>
        </w:rPr>
        <w:t>A missed contribution has a defined, humane path.</w:t>
      </w:r>
      <w:r>
        <w:rPr>
          <w:rFonts w:ascii="Calibri" w:hAnsi="Calibri"/>
          <w:b w:val="0"/>
          <w:i w:val="0"/>
          <w:color w:val="101828"/>
          <w:sz w:val="21"/>
        </w:rPr>
        <w:t xml:space="preserve"> Reminders escalate over seven days, a 48-hour grace period follows, and a recovery payment restores the position. The defaulting member is never publicly exposed, and no other member is ever charged extra (BR-018, BR-019).</w:t>
      </w:r>
    </w:p>
    <w:p>
      <w:pPr>
        <w:pStyle w:val="ListBullet"/>
        <w:spacing w:after="60"/>
        <w:ind w:left="360"/>
      </w:pPr>
      <w:r>
        <w:rPr>
          <w:rFonts w:ascii="Calibri" w:hAnsi="Calibri"/>
          <w:b/>
          <w:color w:val="101828"/>
          <w:sz w:val="21"/>
        </w:rPr>
        <w:t>The platform never custodies member funds.</w:t>
      </w:r>
      <w:r>
        <w:rPr>
          <w:rFonts w:ascii="Calibri" w:hAnsi="Calibri"/>
          <w:b w:val="0"/>
          <w:i w:val="0"/>
          <w:color w:val="101828"/>
          <w:sz w:val="21"/>
        </w:rPr>
        <w:t xml:space="preserve"> Contributions are held in a ring-fenced escrow position, segregated from operating accounts. Whether the chosen payment arrangement amounts to custody in the legal sense is one of the questions that must be answered by counsel before launch.</w:t>
      </w:r>
    </w:p>
    <w:p>
      <w:pPr>
        <w:pStyle w:val="ListBullet"/>
        <w:spacing w:after="60"/>
        <w:ind w:left="360"/>
      </w:pPr>
      <w:r>
        <w:rPr>
          <w:rFonts w:ascii="Calibri" w:hAnsi="Calibri"/>
          <w:b/>
          <w:color w:val="101828"/>
          <w:sz w:val="21"/>
        </w:rPr>
        <w:t>The organizer facilitates; they never touch money.</w:t>
      </w:r>
      <w:r>
        <w:rPr>
          <w:rFonts w:ascii="Calibri" w:hAnsi="Calibri"/>
          <w:b w:val="0"/>
          <w:i w:val="0"/>
          <w:color w:val="101828"/>
          <w:sz w:val="21"/>
        </w:rPr>
        <w:t xml:space="preserve"> They create the Ajo, invite people, send reminders, and monitor contributions. They cannot collect funds, charge a fee, request a BVN, or remove an activated member.</w:t>
      </w:r>
    </w:p>
    <w:p>
      <w:pPr>
        <w:pStyle w:val="Heading2"/>
      </w:pPr>
      <w:r>
        <w:rPr>
          <w:rFonts w:ascii="Calibri" w:hAnsi="Calibri"/>
          <w:b/>
          <w:i w:val="0"/>
          <w:color w:val="146EF5"/>
          <w:sz w:val="29"/>
        </w:rPr>
        <w:t>The business model</w:t>
      </w:r>
    </w:p>
    <w:p>
      <w:r>
        <w:rPr>
          <w:rFonts w:ascii="Calibri" w:hAnsi="Calibri"/>
          <w:b w:val="0"/>
          <w:i w:val="0"/>
          <w:color w:val="101828"/>
          <w:sz w:val="21"/>
        </w:rPr>
        <w:t>Revenue is a 2% service fee on every contribution. In the base scenario — 300 Ajos of 10 members contributing NGN 10,000 for 10 rounds — the platform collects NGN 300 million in contributions and earns NGN 6 million in fees, which is NGN 20,000 per Ajo.</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Scenario</w:t>
            </w:r>
          </w:p>
        </w:tc>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6"/>
              </w:rPr>
              <w:t>Ajos</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Members</w:t>
            </w:r>
          </w:p>
        </w:tc>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Contribution</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Volume</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Gross fee (2%)</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Conservative</w:t>
            </w:r>
          </w:p>
        </w:tc>
        <w:tc>
          <w:tcPr>
            <w:tcW w:type="dxa" w:w="1152"/>
            <w:tcMar>
              <w:top w:w="60" w:type="dxa"/>
              <w:start w:w="110" w:type="dxa"/>
              <w:bottom w:w="60" w:type="dxa"/>
              <w:end w:w="110" w:type="dxa"/>
            </w:tcMar>
          </w:tcPr>
          <w:p>
            <w:pPr>
              <w:spacing w:after="0"/>
            </w:pPr>
            <w:r/>
            <w:r>
              <w:rPr>
                <w:rFonts w:ascii="Calibri" w:hAnsi="Calibri"/>
                <w:b w:val="0"/>
                <w:i w:val="0"/>
                <w:color w:val="101828"/>
                <w:sz w:val="16"/>
              </w:rPr>
              <w:t>150</w:t>
            </w:r>
          </w:p>
        </w:tc>
        <w:tc>
          <w:tcPr>
            <w:tcW w:type="dxa" w:w="1296"/>
            <w:tcMar>
              <w:top w:w="60" w:type="dxa"/>
              <w:start w:w="110" w:type="dxa"/>
              <w:bottom w:w="60" w:type="dxa"/>
              <w:end w:w="110" w:type="dxa"/>
            </w:tcMar>
          </w:tcPr>
          <w:p>
            <w:pPr>
              <w:spacing w:after="0"/>
            </w:pPr>
            <w:r/>
            <w:r>
              <w:rPr>
                <w:rFonts w:ascii="Calibri" w:hAnsi="Calibri"/>
                <w:b w:val="0"/>
                <w:i w:val="0"/>
                <w:color w:val="101828"/>
                <w:sz w:val="16"/>
              </w:rPr>
              <w:t>8</w:t>
            </w:r>
          </w:p>
        </w:tc>
        <w:tc>
          <w:tcPr>
            <w:tcW w:type="dxa" w:w="1872"/>
            <w:tcMar>
              <w:top w:w="60" w:type="dxa"/>
              <w:start w:w="110" w:type="dxa"/>
              <w:bottom w:w="60" w:type="dxa"/>
              <w:end w:w="110" w:type="dxa"/>
            </w:tcMar>
          </w:tcPr>
          <w:p>
            <w:pPr>
              <w:spacing w:after="0"/>
            </w:pPr>
            <w:r/>
            <w:r>
              <w:rPr>
                <w:rFonts w:ascii="Calibri" w:hAnsi="Calibri"/>
                <w:b w:val="0"/>
                <w:i w:val="0"/>
                <w:color w:val="101828"/>
                <w:sz w:val="16"/>
              </w:rPr>
              <w:t>NGN 7,500</w:t>
            </w:r>
          </w:p>
        </w:tc>
        <w:tc>
          <w:tcPr>
            <w:tcW w:type="dxa" w:w="2160"/>
            <w:tcMar>
              <w:top w:w="60" w:type="dxa"/>
              <w:start w:w="110" w:type="dxa"/>
              <w:bottom w:w="60" w:type="dxa"/>
              <w:end w:w="110" w:type="dxa"/>
            </w:tcMar>
          </w:tcPr>
          <w:p>
            <w:pPr>
              <w:spacing w:after="0"/>
            </w:pPr>
            <w:r/>
            <w:r>
              <w:rPr>
                <w:rFonts w:ascii="Calibri" w:hAnsi="Calibri"/>
                <w:b w:val="0"/>
                <w:i w:val="0"/>
                <w:color w:val="101828"/>
                <w:sz w:val="16"/>
              </w:rPr>
              <w:t>NGN 90,000,000</w:t>
            </w:r>
          </w:p>
        </w:tc>
        <w:tc>
          <w:tcPr>
            <w:tcW w:type="dxa" w:w="2016"/>
            <w:tcMar>
              <w:top w:w="60" w:type="dxa"/>
              <w:start w:w="110" w:type="dxa"/>
              <w:bottom w:w="60" w:type="dxa"/>
              <w:end w:w="110" w:type="dxa"/>
            </w:tcMar>
          </w:tcPr>
          <w:p>
            <w:pPr>
              <w:spacing w:after="0"/>
            </w:pPr>
            <w:r/>
            <w:r>
              <w:rPr>
                <w:rFonts w:ascii="Calibri" w:hAnsi="Calibri"/>
                <w:b w:val="0"/>
                <w:i w:val="0"/>
                <w:color w:val="101828"/>
                <w:sz w:val="16"/>
              </w:rPr>
              <w:t>NGN 1,800,000</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Base</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300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10</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NGN 10,000</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NGN 300,000,000</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NGN 6,000,000</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Growth</w:t>
            </w:r>
          </w:p>
        </w:tc>
        <w:tc>
          <w:tcPr>
            <w:tcW w:type="dxa" w:w="1152"/>
            <w:tcMar>
              <w:top w:w="60" w:type="dxa"/>
              <w:start w:w="110" w:type="dxa"/>
              <w:bottom w:w="60" w:type="dxa"/>
              <w:end w:w="110" w:type="dxa"/>
            </w:tcMar>
          </w:tcPr>
          <w:p>
            <w:pPr>
              <w:spacing w:after="0"/>
            </w:pPr>
            <w:r/>
            <w:r>
              <w:rPr>
                <w:rFonts w:ascii="Calibri" w:hAnsi="Calibri"/>
                <w:b w:val="0"/>
                <w:i w:val="0"/>
                <w:color w:val="101828"/>
                <w:sz w:val="16"/>
              </w:rPr>
              <w:t>600</w:t>
            </w:r>
          </w:p>
        </w:tc>
        <w:tc>
          <w:tcPr>
            <w:tcW w:type="dxa" w:w="1296"/>
            <w:tcMar>
              <w:top w:w="60" w:type="dxa"/>
              <w:start w:w="110" w:type="dxa"/>
              <w:bottom w:w="60" w:type="dxa"/>
              <w:end w:w="110" w:type="dxa"/>
            </w:tcMar>
          </w:tcPr>
          <w:p>
            <w:pPr>
              <w:spacing w:after="0"/>
            </w:pPr>
            <w:r/>
            <w:r>
              <w:rPr>
                <w:rFonts w:ascii="Calibri" w:hAnsi="Calibri"/>
                <w:b w:val="0"/>
                <w:i w:val="0"/>
                <w:color w:val="101828"/>
                <w:sz w:val="16"/>
              </w:rPr>
              <w:t>12</w:t>
            </w:r>
          </w:p>
        </w:tc>
        <w:tc>
          <w:tcPr>
            <w:tcW w:type="dxa" w:w="1872"/>
            <w:tcMar>
              <w:top w:w="60" w:type="dxa"/>
              <w:start w:w="110" w:type="dxa"/>
              <w:bottom w:w="60" w:type="dxa"/>
              <w:end w:w="110" w:type="dxa"/>
            </w:tcMar>
          </w:tcPr>
          <w:p>
            <w:pPr>
              <w:spacing w:after="0"/>
            </w:pPr>
            <w:r/>
            <w:r>
              <w:rPr>
                <w:rFonts w:ascii="Calibri" w:hAnsi="Calibri"/>
                <w:b w:val="0"/>
                <w:i w:val="0"/>
                <w:color w:val="101828"/>
                <w:sz w:val="16"/>
              </w:rPr>
              <w:t>NGN 12,000</w:t>
            </w:r>
          </w:p>
        </w:tc>
        <w:tc>
          <w:tcPr>
            <w:tcW w:type="dxa" w:w="2160"/>
            <w:tcMar>
              <w:top w:w="60" w:type="dxa"/>
              <w:start w:w="110" w:type="dxa"/>
              <w:bottom w:w="60" w:type="dxa"/>
              <w:end w:w="110" w:type="dxa"/>
            </w:tcMar>
          </w:tcPr>
          <w:p>
            <w:pPr>
              <w:spacing w:after="0"/>
            </w:pPr>
            <w:r/>
            <w:r>
              <w:rPr>
                <w:rFonts w:ascii="Calibri" w:hAnsi="Calibri"/>
                <w:b w:val="0"/>
                <w:i w:val="0"/>
                <w:color w:val="101828"/>
                <w:sz w:val="16"/>
              </w:rPr>
              <w:t>NGN 864,000,000</w:t>
            </w:r>
          </w:p>
        </w:tc>
        <w:tc>
          <w:tcPr>
            <w:tcW w:type="dxa" w:w="2016"/>
            <w:tcMar>
              <w:top w:w="60" w:type="dxa"/>
              <w:start w:w="110" w:type="dxa"/>
              <w:bottom w:w="60" w:type="dxa"/>
              <w:end w:w="110" w:type="dxa"/>
            </w:tcMar>
          </w:tcPr>
          <w:p>
            <w:pPr>
              <w:spacing w:after="0"/>
            </w:pPr>
            <w:r/>
            <w:r>
              <w:rPr>
                <w:rFonts w:ascii="Calibri" w:hAnsi="Calibri"/>
                <w:b w:val="0"/>
                <w:i w:val="0"/>
                <w:color w:val="101828"/>
                <w:sz w:val="16"/>
              </w:rPr>
              <w:t>NGN 17,280,000</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2% is gross, not profit.  </w:t>
      </w:r>
      <w:r>
        <w:rPr>
          <w:rFonts w:ascii="Calibri" w:hAnsi="Calibri"/>
          <w:b w:val="0"/>
          <w:i w:val="0"/>
          <w:color w:val="0B1F3A"/>
          <w:sz w:val="19"/>
        </w:rPr>
        <w:t>Payment provider transaction fees, message delivery, and operating costs all sit between the gross fee and the net margin, and the provider rates are unknown until the ProvidusUnity agreement is obtained. The 2% is the revenue model, and it is frequently confused with profitability. It should not be.</w:t>
      </w:r>
    </w:p>
    <w:p>
      <w:pPr>
        <w:pStyle w:val="Heading2"/>
      </w:pPr>
      <w:r>
        <w:rPr>
          <w:rFonts w:ascii="Calibri" w:hAnsi="Calibri"/>
          <w:b/>
          <w:i w:val="0"/>
          <w:color w:val="146EF5"/>
          <w:sz w:val="29"/>
        </w:rPr>
        <w:t>What makes this hard, and what the specification does about it</w:t>
      </w:r>
    </w:p>
    <w:p>
      <w:r>
        <w:rPr>
          <w:rFonts w:ascii="Calibri" w:hAnsi="Calibri"/>
          <w:b w:val="0"/>
          <w:i w:val="0"/>
          <w:color w:val="101828"/>
          <w:sz w:val="21"/>
        </w:rPr>
        <w:t>A savings platform looks like a simple app and behaves like a financial institution. The difficult parts are not the screens.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Problem</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6"/>
              </w:rPr>
              <w:t>Why it is hard</w:t>
            </w:r>
          </w:p>
        </w:tc>
        <w:tc>
          <w:tcPr>
            <w:tcW w:type="dxa" w:w="3744"/>
            <w:shd w:val="clear" w:color="auto" w:fill="0B1F3A"/>
            <w:tcMar>
              <w:top w:w="60" w:type="dxa"/>
              <w:start w:w="110" w:type="dxa"/>
              <w:bottom w:w="60" w:type="dxa"/>
              <w:end w:w="110" w:type="dxa"/>
            </w:tcMar>
          </w:tcPr>
          <w:p>
            <w:pPr>
              <w:spacing w:after="0"/>
            </w:pPr>
            <w:r/>
            <w:r>
              <w:rPr>
                <w:rFonts w:ascii="Calibri" w:hAnsi="Calibri"/>
                <w:b/>
                <w:i w:val="0"/>
                <w:color w:val="FFFFFF"/>
                <w:sz w:val="16"/>
              </w:rPr>
              <w:t>How this specification handles it</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Money that arrives late, twice, or not at all</w:t>
            </w:r>
          </w:p>
        </w:tc>
        <w:tc>
          <w:tcPr>
            <w:tcW w:type="dxa" w:w="3456"/>
            <w:tcMar>
              <w:top w:w="60" w:type="dxa"/>
              <w:start w:w="110" w:type="dxa"/>
              <w:bottom w:w="60" w:type="dxa"/>
              <w:end w:w="110" w:type="dxa"/>
            </w:tcMar>
          </w:tcPr>
          <w:p>
            <w:pPr>
              <w:spacing w:after="0"/>
            </w:pPr>
            <w:r/>
            <w:r>
              <w:rPr>
                <w:rFonts w:ascii="Calibri" w:hAnsi="Calibri"/>
                <w:b w:val="0"/>
                <w:i w:val="0"/>
                <w:color w:val="101828"/>
                <w:sz w:val="16"/>
              </w:rPr>
              <w:t>Card, transfer, wallet, and USSD rails all fail in different ways, and a member's position depends on knowing the truth</w:t>
            </w:r>
          </w:p>
        </w:tc>
        <w:tc>
          <w:tcPr>
            <w:tcW w:type="dxa" w:w="3744"/>
            <w:tcMar>
              <w:top w:w="60" w:type="dxa"/>
              <w:start w:w="110" w:type="dxa"/>
              <w:bottom w:w="60" w:type="dxa"/>
              <w:end w:w="110" w:type="dxa"/>
            </w:tcMar>
          </w:tcPr>
          <w:p>
            <w:pPr>
              <w:spacing w:after="0"/>
            </w:pPr>
            <w:r/>
            <w:r>
              <w:rPr>
                <w:rFonts w:ascii="Calibri" w:hAnsi="Calibri"/>
                <w:b w:val="0"/>
                <w:i w:val="0"/>
                <w:color w:val="101828"/>
                <w:sz w:val="16"/>
              </w:rPr>
              <w:t xml:space="preserve">Webhook-only confirmation, idempotency keys, a two-phase ledger, and a contribution that shows </w:t>
            </w:r>
            <w:r>
              <w:rPr>
                <w:rFonts w:ascii="Calibri" w:hAnsi="Calibri"/>
                <w:i/>
                <w:color w:val="101828"/>
                <w:sz w:val="16"/>
              </w:rPr>
              <w:t>pending verification</w:t>
            </w:r>
            <w:r>
              <w:rPr>
                <w:rFonts w:ascii="Calibri" w:hAnsi="Calibri"/>
                <w:b w:val="0"/>
                <w:i w:val="0"/>
                <w:color w:val="101828"/>
                <w:sz w:val="16"/>
              </w:rPr>
              <w:t xml:space="preserve"> until proven otherwise</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A ledger that must never be wrong</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Any error becomes a financial claim the platform cannot substantiate</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Append-only double-entry in integer kobo, reversal-only correction, computed balances, and a continuous invariant check that halts payouts on a break</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Payout redirection fraud</w:t>
            </w:r>
          </w:p>
        </w:tc>
        <w:tc>
          <w:tcPr>
            <w:tcW w:type="dxa" w:w="3456"/>
            <w:tcMar>
              <w:top w:w="60" w:type="dxa"/>
              <w:start w:w="110" w:type="dxa"/>
              <w:bottom w:w="60" w:type="dxa"/>
              <w:end w:w="110" w:type="dxa"/>
            </w:tcMar>
          </w:tcPr>
          <w:p>
            <w:pPr>
              <w:spacing w:after="0"/>
            </w:pPr>
            <w:r/>
            <w:r>
              <w:rPr>
                <w:rFonts w:ascii="Calibri" w:hAnsi="Calibri"/>
                <w:b w:val="0"/>
                <w:i w:val="0"/>
                <w:color w:val="101828"/>
                <w:sz w:val="16"/>
              </w:rPr>
              <w:t>AJO.ng knows the amount, date, and destination account weeks in advance, which makes a predictable payout a standing target</w:t>
            </w:r>
          </w:p>
        </w:tc>
        <w:tc>
          <w:tcPr>
            <w:tcW w:type="dxa" w:w="3744"/>
            <w:tcMar>
              <w:top w:w="60" w:type="dxa"/>
              <w:start w:w="110" w:type="dxa"/>
              <w:bottom w:w="60" w:type="dxa"/>
              <w:end w:w="110" w:type="dxa"/>
            </w:tcMar>
          </w:tcPr>
          <w:p>
            <w:pPr>
              <w:spacing w:after="0"/>
            </w:pPr>
            <w:r/>
            <w:r>
              <w:rPr>
                <w:rFonts w:ascii="Calibri" w:hAnsi="Calibri"/>
                <w:b w:val="0"/>
                <w:i w:val="0"/>
                <w:color w:val="101828"/>
                <w:sz w:val="16"/>
              </w:rPr>
              <w:t>A 14-day cooling-off on bank-account change, step-up authentication, and notification to every channel on every change</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A member freezing must not trap their money</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A risk control that blocks a payout is a confiscation by software</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Freeze blocks sending, never receiving. A frozen, suspended, or dormant member can always be paid</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Reconciling bank reality against the books</w:t>
            </w:r>
          </w:p>
        </w:tc>
        <w:tc>
          <w:tcPr>
            <w:tcW w:type="dxa" w:w="3456"/>
            <w:tcMar>
              <w:top w:w="60" w:type="dxa"/>
              <w:start w:w="110" w:type="dxa"/>
              <w:bottom w:w="60" w:type="dxa"/>
              <w:end w:w="110" w:type="dxa"/>
            </w:tcMar>
          </w:tcPr>
          <w:p>
            <w:pPr>
              <w:spacing w:after="0"/>
            </w:pPr>
            <w:r/>
            <w:r>
              <w:rPr>
                <w:rFonts w:ascii="Calibri" w:hAnsi="Calibri"/>
                <w:b w:val="0"/>
                <w:i w:val="0"/>
                <w:color w:val="101828"/>
                <w:sz w:val="16"/>
              </w:rPr>
              <w:t>Transfers can arrive with no reference, an edited description, or a stale one</w:t>
            </w:r>
          </w:p>
        </w:tc>
        <w:tc>
          <w:tcPr>
            <w:tcW w:type="dxa" w:w="3744"/>
            <w:tcMar>
              <w:top w:w="60" w:type="dxa"/>
              <w:start w:w="110" w:type="dxa"/>
              <w:bottom w:w="60" w:type="dxa"/>
              <w:end w:w="110" w:type="dxa"/>
            </w:tcMar>
          </w:tcPr>
          <w:p>
            <w:pPr>
              <w:spacing w:after="0"/>
            </w:pPr>
            <w:r/>
            <w:r>
              <w:rPr>
                <w:rFonts w:ascii="Calibri" w:hAnsi="Calibri"/>
                <w:b w:val="0"/>
                <w:i w:val="0"/>
                <w:color w:val="101828"/>
                <w:sz w:val="16"/>
              </w:rPr>
              <w:t>Three daily reconciliations with a named owner, aging of unmatched money, and a payout halt on any break</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Defaults without shaming</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A missed payment is a financial event, not a moral failure, and the group must keep working</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Seven-day reminder escalation, a 48-hour grace period, a recovery path, no public defaulters list, and no extra charge to other members</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Organizers are human and fallible</w:t>
            </w:r>
          </w:p>
        </w:tc>
        <w:tc>
          <w:tcPr>
            <w:tcW w:type="dxa" w:w="3456"/>
            <w:tcMar>
              <w:top w:w="60" w:type="dxa"/>
              <w:start w:w="110" w:type="dxa"/>
              <w:bottom w:w="60" w:type="dxa"/>
              <w:end w:w="110" w:type="dxa"/>
            </w:tcMar>
          </w:tcPr>
          <w:p>
            <w:pPr>
              <w:spacing w:after="0"/>
            </w:pPr>
            <w:r/>
            <w:r>
              <w:rPr>
                <w:rFonts w:ascii="Calibri" w:hAnsi="Calibri"/>
                <w:b w:val="0"/>
                <w:i w:val="0"/>
                <w:color w:val="101828"/>
                <w:sz w:val="16"/>
              </w:rPr>
              <w:t>The one unverified participant with real influence over real money</w:t>
            </w:r>
          </w:p>
        </w:tc>
        <w:tc>
          <w:tcPr>
            <w:tcW w:type="dxa" w:w="3744"/>
            <w:tcMar>
              <w:top w:w="60" w:type="dxa"/>
              <w:start w:w="110" w:type="dxa"/>
              <w:bottom w:w="60" w:type="dxa"/>
              <w:end w:w="110" w:type="dxa"/>
            </w:tcMar>
          </w:tcPr>
          <w:p>
            <w:pPr>
              <w:spacing w:after="0"/>
            </w:pPr>
            <w:r/>
            <w:r>
              <w:rPr>
                <w:rFonts w:ascii="Calibri" w:hAnsi="Calibri"/>
                <w:b w:val="0"/>
                <w:i w:val="0"/>
                <w:color w:val="101828"/>
                <w:sz w:val="16"/>
              </w:rPr>
              <w:t>Scoped permissions, no custody, no unilateral removal, a visible reporting channel, and organizer abuse as a first-class risk category</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Privacy of identity documents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BVN and bank details are the most attractive data in the system</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Data minimisation, envelope encryption, log redaction at source, RLS as a second authorization layer, and retention limits</w:t>
            </w:r>
          </w:p>
        </w:tc>
      </w:tr>
    </w:tbl>
    <w:p>
      <w:pPr>
        <w:spacing w:after="80"/>
      </w:pPr>
    </w:p>
    <w:p>
      <w:pPr>
        <w:pStyle w:val="Heading2"/>
      </w:pPr>
      <w:r>
        <w:rPr>
          <w:rFonts w:ascii="Calibri" w:hAnsi="Calibri"/>
          <w:b/>
          <w:i w:val="0"/>
          <w:color w:val="146EF5"/>
          <w:sz w:val="29"/>
        </w:rPr>
        <w:t>How the system is built</w:t>
      </w:r>
    </w:p>
    <w:p>
      <w:pPr>
        <w:pStyle w:val="ListBullet"/>
        <w:spacing w:after="60"/>
        <w:ind w:left="360"/>
      </w:pPr>
      <w:r>
        <w:rPr>
          <w:rFonts w:ascii="Calibri" w:hAnsi="Calibri"/>
          <w:b/>
          <w:color w:val="101828"/>
          <w:sz w:val="21"/>
        </w:rPr>
        <w:t>A pure TypeScript domain core</w:t>
      </w:r>
      <w:r>
        <w:rPr>
          <w:rFonts w:ascii="Calibri" w:hAnsi="Calibri"/>
          <w:b w:val="0"/>
          <w:i w:val="0"/>
          <w:color w:val="101828"/>
          <w:sz w:val="21"/>
        </w:rPr>
        <w:t xml:space="preserve"> holds the money type, the ledger, the state machine, and the payment provider interface. It has no I/O, which is what makes it exhaustively testable — 44 adversarial tests, and it is the layer the whole system rests on.</w:t>
      </w:r>
    </w:p>
    <w:p>
      <w:pPr>
        <w:pStyle w:val="ListBullet"/>
        <w:spacing w:after="60"/>
        <w:ind w:left="360"/>
      </w:pPr>
      <w:r>
        <w:rPr>
          <w:rFonts w:ascii="Calibri" w:hAnsi="Calibri"/>
          <w:b/>
          <w:color w:val="101828"/>
          <w:sz w:val="21"/>
        </w:rPr>
        <w:t>A modular monolith</w:t>
      </w:r>
      <w:r>
        <w:rPr>
          <w:rFonts w:ascii="Calibri" w:hAnsi="Calibri"/>
          <w:b w:val="0"/>
          <w:i w:val="0"/>
          <w:color w:val="101828"/>
          <w:sz w:val="21"/>
        </w:rPr>
        <w:t xml:space="preserve"> rather than microservices, because financial correctness is far easier to guarantee inside one deployable unit and one transaction boundary. The API is Node.js and Fastify; the client is React Native and Expo; the database is PostgreSQL.</w:t>
      </w:r>
    </w:p>
    <w:p>
      <w:pPr>
        <w:pStyle w:val="ListBullet"/>
        <w:spacing w:after="60"/>
        <w:ind w:left="360"/>
      </w:pPr>
      <w:r>
        <w:rPr>
          <w:rFonts w:ascii="Calibri" w:hAnsi="Calibri"/>
          <w:b/>
          <w:color w:val="101828"/>
          <w:sz w:val="21"/>
        </w:rPr>
        <w:t>All money movement goes through a `FinancialProvider` interface</w:t>
      </w:r>
      <w:r>
        <w:rPr>
          <w:rFonts w:ascii="Calibri" w:hAnsi="Calibri"/>
          <w:b w:val="0"/>
          <w:i w:val="0"/>
          <w:color w:val="101828"/>
          <w:sz w:val="21"/>
        </w:rPr>
        <w:t>, so the application never imports a provider SDK. A mock implementation that refuses to run in production lets the entire test suite run with no network at all, and makes a provider change an engineering task rather than a redesign.</w:t>
      </w:r>
    </w:p>
    <w:p>
      <w:pPr>
        <w:pStyle w:val="ListBullet"/>
        <w:spacing w:after="60"/>
        <w:ind w:left="360"/>
      </w:pPr>
      <w:r>
        <w:rPr>
          <w:rFonts w:ascii="Calibri" w:hAnsi="Calibri"/>
          <w:b/>
          <w:color w:val="101828"/>
          <w:sz w:val="21"/>
        </w:rPr>
        <w:t>Long-lived processes, not serverless, on the money path.</w:t>
      </w:r>
      <w:r>
        <w:rPr>
          <w:rFonts w:ascii="Calibri" w:hAnsi="Calibri"/>
          <w:b w:val="0"/>
          <w:i w:val="0"/>
          <w:color w:val="101828"/>
          <w:sz w:val="21"/>
        </w:rPr>
        <w:t xml:space="preserve"> Ten thousand members completing an Ajo is ten thousand units of work with a deadline, and serverless time limits are the wrong shape for it.</w:t>
      </w:r>
    </w:p>
    <w:p>
      <w:pPr>
        <w:pStyle w:val="ListBullet"/>
        <w:spacing w:after="60"/>
        <w:ind w:left="360"/>
      </w:pPr>
      <w:r>
        <w:rPr>
          <w:rFonts w:ascii="Calibri" w:hAnsi="Calibri"/>
          <w:b/>
          <w:color w:val="101828"/>
          <w:sz w:val="21"/>
        </w:rPr>
        <w:t>Authorization in two independent layers</w:t>
      </w:r>
      <w:r>
        <w:rPr>
          <w:rFonts w:ascii="Calibri" w:hAnsi="Calibri"/>
          <w:b w:val="0"/>
          <w:i w:val="0"/>
          <w:color w:val="101828"/>
          <w:sz w:val="21"/>
        </w:rPr>
        <w:t xml:space="preserve"> — application checks plus PostgreSQL Row Level Security — so a bug in one does not expose member data.</w:t>
      </w:r>
    </w:p>
    <w:p>
      <w:pPr>
        <w:pStyle w:val="Heading2"/>
      </w:pPr>
      <w:r>
        <w:rPr>
          <w:rFonts w:ascii="Calibri" w:hAnsi="Calibri"/>
          <w:b/>
          <w:i w:val="0"/>
          <w:color w:val="146EF5"/>
          <w:sz w:val="29"/>
        </w:rPr>
        <w:t>The delivery sequence</w:t>
      </w:r>
    </w:p>
    <w:p>
      <w:r>
        <w:rPr>
          <w:rFonts w:ascii="Calibri" w:hAnsi="Calibri"/>
          <w:b w:val="0"/>
          <w:i w:val="0"/>
          <w:color w:val="101828"/>
          <w:sz w:val="21"/>
        </w:rPr>
        <w:t>The order of work is deliberate, and the boring parts come before the exciting ones. A savings platform that launches with a beautiful interface and an unreconciled ledger has launched the wrong product.</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Phase</w:t>
            </w:r>
          </w:p>
        </w:tc>
        <w:tc>
          <w:tcPr>
            <w:tcW w:type="dxa" w:w="3312"/>
            <w:shd w:val="clear" w:color="auto" w:fill="0B1F3A"/>
            <w:tcMar>
              <w:top w:w="60" w:type="dxa"/>
              <w:start w:w="110" w:type="dxa"/>
              <w:bottom w:w="60" w:type="dxa"/>
              <w:end w:w="110" w:type="dxa"/>
            </w:tcMar>
          </w:tcPr>
          <w:p>
            <w:pPr>
              <w:spacing w:after="0"/>
            </w:pPr>
            <w:r/>
            <w:r>
              <w:rPr>
                <w:rFonts w:ascii="Calibri" w:hAnsi="Calibri"/>
                <w:b/>
                <w:i w:val="0"/>
                <w:color w:val="FFFFFF"/>
                <w:sz w:val="16"/>
              </w:rPr>
              <w:t>Focus</w:t>
            </w:r>
          </w:p>
        </w:tc>
        <w:tc>
          <w:tcPr>
            <w:tcW w:type="dxa" w:w="4176"/>
            <w:shd w:val="clear" w:color="auto" w:fill="0B1F3A"/>
            <w:tcMar>
              <w:top w:w="60" w:type="dxa"/>
              <w:start w:w="110" w:type="dxa"/>
              <w:bottom w:w="60" w:type="dxa"/>
              <w:end w:w="110" w:type="dxa"/>
            </w:tcMar>
          </w:tcPr>
          <w:p>
            <w:pPr>
              <w:spacing w:after="0"/>
            </w:pPr>
            <w:r/>
            <w:r>
              <w:rPr>
                <w:rFonts w:ascii="Calibri" w:hAnsi="Calibri"/>
                <w:b/>
                <w:i w:val="0"/>
                <w:color w:val="FFFFFF"/>
                <w:sz w:val="16"/>
              </w:rPr>
              <w:t>Exit criteria</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0 — Foundation</w:t>
            </w:r>
          </w:p>
        </w:tc>
        <w:tc>
          <w:tcPr>
            <w:tcW w:type="dxa" w:w="3312"/>
            <w:tcMar>
              <w:top w:w="60" w:type="dxa"/>
              <w:start w:w="110" w:type="dxa"/>
              <w:bottom w:w="60" w:type="dxa"/>
              <w:end w:w="110" w:type="dxa"/>
            </w:tcMar>
          </w:tcPr>
          <w:p>
            <w:pPr>
              <w:spacing w:after="0"/>
            </w:pPr>
            <w:r/>
            <w:r>
              <w:rPr>
                <w:rFonts w:ascii="Calibri" w:hAnsi="Calibri"/>
                <w:b w:val="0"/>
                <w:i w:val="0"/>
                <w:color w:val="101828"/>
                <w:sz w:val="16"/>
              </w:rPr>
              <w:t>Money type, ledger, state machine, provider interface, tests</w:t>
            </w:r>
          </w:p>
        </w:tc>
        <w:tc>
          <w:tcPr>
            <w:tcW w:type="dxa" w:w="4176"/>
            <w:tcMar>
              <w:top w:w="60" w:type="dxa"/>
              <w:start w:w="110" w:type="dxa"/>
              <w:bottom w:w="60" w:type="dxa"/>
              <w:end w:w="110" w:type="dxa"/>
            </w:tcMar>
          </w:tcPr>
          <w:p>
            <w:pPr>
              <w:spacing w:after="0"/>
            </w:pPr>
            <w:r/>
            <w:r>
              <w:rPr>
                <w:rFonts w:ascii="Calibri" w:hAnsi="Calibri"/>
                <w:b/>
                <w:color w:val="101828"/>
                <w:sz w:val="16"/>
              </w:rPr>
              <w:t>Complete</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1 — Hardened core and legal</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Balanced fee posting, reconciliation service, Providus due diligence, counsel's advice</w:t>
            </w:r>
          </w:p>
        </w:tc>
        <w:tc>
          <w:tcPr>
            <w:tcW w:type="dxa" w:w="4176"/>
            <w:tcMar>
              <w:top w:w="60" w:type="dxa"/>
              <w:start w:w="110" w:type="dxa"/>
              <w:bottom w:w="60" w:type="dxa"/>
              <w:end w:w="110" w:type="dxa"/>
            </w:tcMar>
            <w:shd w:val="clear" w:color="auto" w:fill="F4F7FB"/>
          </w:tcPr>
          <w:p>
            <w:pPr>
              <w:spacing w:after="0"/>
            </w:pPr>
            <w:r/>
            <w:r>
              <w:rPr>
                <w:rFonts w:ascii="Calibri" w:hAnsi="Calibri"/>
                <w:b w:val="0"/>
                <w:i w:val="0"/>
                <w:color w:val="101828"/>
                <w:sz w:val="16"/>
              </w:rPr>
              <w:t>Written advice on licensing and the treatment of member funds</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2 — Payments spine</w:t>
            </w:r>
          </w:p>
        </w:tc>
        <w:tc>
          <w:tcPr>
            <w:tcW w:type="dxa" w:w="3312"/>
            <w:tcMar>
              <w:top w:w="60" w:type="dxa"/>
              <w:start w:w="110" w:type="dxa"/>
              <w:bottom w:w="60" w:type="dxa"/>
              <w:end w:w="110" w:type="dxa"/>
            </w:tcMar>
          </w:tcPr>
          <w:p>
            <w:pPr>
              <w:spacing w:after="0"/>
            </w:pPr>
            <w:r/>
            <w:r>
              <w:rPr>
                <w:rFonts w:ascii="Calibri" w:hAnsi="Calibri"/>
                <w:b w:val="0"/>
                <w:i w:val="0"/>
                <w:color w:val="101828"/>
                <w:sz w:val="16"/>
              </w:rPr>
              <w:t>Collection, webhooks, escrow, reconciliation, reversals</w:t>
            </w:r>
          </w:p>
        </w:tc>
        <w:tc>
          <w:tcPr>
            <w:tcW w:type="dxa" w:w="4176"/>
            <w:tcMar>
              <w:top w:w="60" w:type="dxa"/>
              <w:start w:w="110" w:type="dxa"/>
              <w:bottom w:w="60" w:type="dxa"/>
              <w:end w:w="110" w:type="dxa"/>
            </w:tcMar>
          </w:tcPr>
          <w:p>
            <w:pPr>
              <w:spacing w:after="0"/>
            </w:pPr>
            <w:r/>
            <w:r>
              <w:rPr>
                <w:rFonts w:ascii="Calibri" w:hAnsi="Calibri"/>
                <w:b w:val="0"/>
                <w:i w:val="0"/>
                <w:color w:val="101828"/>
                <w:sz w:val="16"/>
              </w:rPr>
              <w:t>A contribution confirmed by webhook, and a real payout reconciled</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3 — Member experience</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Registration, verification, Ajo lifecycle, contribute, payout, notifications</w:t>
            </w:r>
          </w:p>
        </w:tc>
        <w:tc>
          <w:tcPr>
            <w:tcW w:type="dxa" w:w="4176"/>
            <w:tcMar>
              <w:top w:w="60" w:type="dxa"/>
              <w:start w:w="110" w:type="dxa"/>
              <w:bottom w:w="60" w:type="dxa"/>
              <w:end w:w="110" w:type="dxa"/>
            </w:tcMar>
            <w:shd w:val="clear" w:color="auto" w:fill="F4F7FB"/>
          </w:tcPr>
          <w:p>
            <w:pPr>
              <w:spacing w:after="0"/>
            </w:pPr>
            <w:r/>
            <w:r>
              <w:rPr>
                <w:rFonts w:ascii="Calibri" w:hAnsi="Calibri"/>
                <w:b w:val="0"/>
                <w:i w:val="0"/>
                <w:color w:val="101828"/>
                <w:sz w:val="16"/>
              </w:rPr>
              <w:t>A complete cycle works for a real member</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4 — Organizer and admin</w:t>
            </w:r>
          </w:p>
        </w:tc>
        <w:tc>
          <w:tcPr>
            <w:tcW w:type="dxa" w:w="3312"/>
            <w:tcMar>
              <w:top w:w="60" w:type="dxa"/>
              <w:start w:w="110" w:type="dxa"/>
              <w:bottom w:w="60" w:type="dxa"/>
              <w:end w:w="110" w:type="dxa"/>
            </w:tcMar>
          </w:tcPr>
          <w:p>
            <w:pPr>
              <w:spacing w:after="0"/>
            </w:pPr>
            <w:r/>
            <w:r>
              <w:rPr>
                <w:rFonts w:ascii="Calibri" w:hAnsi="Calibri"/>
                <w:b w:val="0"/>
                <w:i w:val="0"/>
                <w:color w:val="101828"/>
                <w:sz w:val="16"/>
              </w:rPr>
              <w:t>Organizer tooling, admin console, risk console, finance console, disputes</w:t>
            </w:r>
          </w:p>
        </w:tc>
        <w:tc>
          <w:tcPr>
            <w:tcW w:type="dxa" w:w="4176"/>
            <w:tcMar>
              <w:top w:w="60" w:type="dxa"/>
              <w:start w:w="110" w:type="dxa"/>
              <w:bottom w:w="60" w:type="dxa"/>
              <w:end w:w="110" w:type="dxa"/>
            </w:tcMar>
          </w:tcPr>
          <w:p>
            <w:pPr>
              <w:spacing w:after="0"/>
            </w:pPr>
            <w:r/>
            <w:r>
              <w:rPr>
                <w:rFonts w:ascii="Calibri" w:hAnsi="Calibri"/>
                <w:b w:val="0"/>
                <w:i w:val="0"/>
                <w:color w:val="101828"/>
                <w:sz w:val="16"/>
              </w:rPr>
              <w:t>Operations can run the business without engineering</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5 — Controlled pilot</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10–20 members, real money, at least three complete cycles</w:t>
            </w:r>
          </w:p>
        </w:tc>
        <w:tc>
          <w:tcPr>
            <w:tcW w:type="dxa" w:w="4176"/>
            <w:tcMar>
              <w:top w:w="60" w:type="dxa"/>
              <w:start w:w="110" w:type="dxa"/>
              <w:bottom w:w="60" w:type="dxa"/>
              <w:end w:w="110" w:type="dxa"/>
            </w:tcMar>
            <w:shd w:val="clear" w:color="auto" w:fill="F4F7FB"/>
          </w:tcPr>
          <w:p>
            <w:pPr>
              <w:spacing w:after="0"/>
            </w:pPr>
            <w:r/>
            <w:r>
              <w:rPr>
                <w:rFonts w:ascii="Calibri" w:hAnsi="Calibri"/>
                <w:b w:val="0"/>
                <w:i w:val="0"/>
                <w:color w:val="101828"/>
                <w:sz w:val="16"/>
              </w:rPr>
              <w:t>Every real problem found and fixed while it is still cheap to fix</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6 — Public launch</w:t>
            </w:r>
          </w:p>
        </w:tc>
        <w:tc>
          <w:tcPr>
            <w:tcW w:type="dxa" w:w="3312"/>
            <w:tcMar>
              <w:top w:w="60" w:type="dxa"/>
              <w:start w:w="110" w:type="dxa"/>
              <w:bottom w:w="60" w:type="dxa"/>
              <w:end w:w="110" w:type="dxa"/>
            </w:tcMar>
          </w:tcPr>
          <w:p>
            <w:pPr>
              <w:spacing w:after="0"/>
            </w:pPr>
            <w:r/>
            <w:r>
              <w:rPr>
                <w:rFonts w:ascii="Calibri" w:hAnsi="Calibri"/>
                <w:b w:val="0"/>
                <w:i w:val="0"/>
                <w:color w:val="101828"/>
                <w:sz w:val="16"/>
              </w:rPr>
              <w:t>Localisation, penetration test, staffed operations, on-call</w:t>
            </w:r>
          </w:p>
        </w:tc>
        <w:tc>
          <w:tcPr>
            <w:tcW w:type="dxa" w:w="4176"/>
            <w:tcMar>
              <w:top w:w="60" w:type="dxa"/>
              <w:start w:w="110" w:type="dxa"/>
              <w:bottom w:w="60" w:type="dxa"/>
              <w:end w:w="110" w:type="dxa"/>
            </w:tcMar>
          </w:tcPr>
          <w:p>
            <w:pPr>
              <w:spacing w:after="0"/>
            </w:pPr>
            <w:r/>
            <w:r>
              <w:rPr>
                <w:rFonts w:ascii="Calibri" w:hAnsi="Calibri"/>
                <w:b w:val="0"/>
                <w:i w:val="0"/>
                <w:color w:val="101828"/>
                <w:sz w:val="16"/>
              </w:rPr>
              <w:t>Every control in section 14.15 verified live</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7 — Growth</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Scale, member value, community, additional rails</w:t>
            </w:r>
          </w:p>
        </w:tc>
        <w:tc>
          <w:tcPr>
            <w:tcW w:type="dxa" w:w="4176"/>
            <w:tcMar>
              <w:top w:w="60" w:type="dxa"/>
              <w:start w:w="110" w:type="dxa"/>
              <w:bottom w:w="60" w:type="dxa"/>
              <w:end w:w="110" w:type="dxa"/>
            </w:tcMar>
            <w:shd w:val="clear" w:color="auto" w:fill="F4F7FB"/>
          </w:tcPr>
          <w:p>
            <w:pPr>
              <w:spacing w:after="0"/>
            </w:pPr>
            <w:r/>
            <w:r>
              <w:rPr>
                <w:rFonts w:ascii="Calibri" w:hAnsi="Calibri"/>
                <w:b w:val="0"/>
                <w:i w:val="0"/>
                <w:color w:val="101828"/>
                <w:sz w:val="16"/>
              </w:rPr>
              <w:t>Measured net revenue per member, not gross volume</w:t>
            </w:r>
          </w:p>
        </w:tc>
      </w:tr>
    </w:tbl>
    <w:p>
      <w:pPr>
        <w:spacing w:after="80"/>
      </w:pPr>
    </w:p>
    <w:p>
      <w:pPr>
        <w:pStyle w:val="Heading2"/>
      </w:pPr>
      <w:r>
        <w:rPr>
          <w:rFonts w:ascii="Calibri" w:hAnsi="Calibri"/>
          <w:b/>
          <w:i w:val="0"/>
          <w:color w:val="146EF5"/>
          <w:sz w:val="29"/>
        </w:rPr>
        <w:t>What is not being built, and why</w:t>
      </w:r>
    </w:p>
    <w:p>
      <w:r>
        <w:rPr>
          <w:rFonts w:ascii="Calibri" w:hAnsi="Calibri"/>
          <w:b w:val="0"/>
          <w:i w:val="0"/>
          <w:color w:val="101828"/>
          <w:sz w:val="21"/>
        </w:rPr>
        <w:t>The excluded list is as much a part of the specification as the included one. Scope discipline is what makes a financial product deliverable by a small team.</w:t>
      </w:r>
    </w:p>
    <w:p>
      <w:pPr>
        <w:pStyle w:val="ListBullet"/>
        <w:spacing w:after="60"/>
        <w:ind w:left="360"/>
      </w:pPr>
      <w:r>
        <w:rPr>
          <w:rFonts w:ascii="Calibri" w:hAnsi="Calibri"/>
          <w:b/>
          <w:color w:val="101828"/>
          <w:sz w:val="21"/>
        </w:rPr>
        <w:t>No investment features, no yield, no returns.</w:t>
      </w:r>
      <w:r>
        <w:rPr>
          <w:rFonts w:ascii="Calibri" w:hAnsi="Calibri"/>
          <w:b w:val="0"/>
          <w:i w:val="0"/>
          <w:color w:val="101828"/>
          <w:sz w:val="21"/>
        </w:rPr>
        <w:t xml:space="preserve"> This is a savings group. Adding an apparent return would change the legal character of the product, mislead every member who read it, and breach the disclosure principles in section 24.8.</w:t>
      </w:r>
    </w:p>
    <w:p>
      <w:pPr>
        <w:pStyle w:val="ListBullet"/>
        <w:spacing w:after="60"/>
        <w:ind w:left="360"/>
      </w:pPr>
      <w:r>
        <w:rPr>
          <w:rFonts w:ascii="Calibri" w:hAnsi="Calibri"/>
          <w:b/>
          <w:color w:val="101828"/>
          <w:sz w:val="21"/>
        </w:rPr>
        <w:t>No partial payouts, no penalties, no extra charges on other members.</w:t>
      </w:r>
      <w:r>
        <w:rPr>
          <w:rFonts w:ascii="Calibri" w:hAnsi="Calibri"/>
          <w:b w:val="0"/>
          <w:i w:val="0"/>
          <w:color w:val="101828"/>
          <w:sz w:val="21"/>
        </w:rPr>
        <w:t xml:space="preserve"> A payout is the full pool or nothing, and a default is a missed payment, not a debt the group must absorb.</w:t>
      </w:r>
    </w:p>
    <w:p>
      <w:pPr>
        <w:pStyle w:val="ListBullet"/>
        <w:spacing w:after="60"/>
        <w:ind w:left="360"/>
      </w:pPr>
      <w:r>
        <w:rPr>
          <w:rFonts w:ascii="Calibri" w:hAnsi="Calibri"/>
          <w:b/>
          <w:color w:val="101828"/>
          <w:sz w:val="21"/>
        </w:rPr>
        <w:t>No public defaulters list, no shaming, no reputational consequence.</w:t>
      </w:r>
      <w:r>
        <w:rPr>
          <w:rFonts w:ascii="Calibri" w:hAnsi="Calibri"/>
          <w:b w:val="0"/>
          <w:i w:val="0"/>
          <w:color w:val="101828"/>
          <w:sz w:val="21"/>
        </w:rPr>
        <w:t xml:space="preserve"> A member in financial difficulty is the most vulnerable person in the transaction.</w:t>
      </w:r>
    </w:p>
    <w:p>
      <w:pPr>
        <w:pStyle w:val="ListBullet"/>
        <w:spacing w:after="60"/>
        <w:ind w:left="360"/>
      </w:pPr>
      <w:r>
        <w:rPr>
          <w:rFonts w:ascii="Calibri" w:hAnsi="Calibri"/>
          <w:b/>
          <w:color w:val="101828"/>
          <w:sz w:val="21"/>
        </w:rPr>
        <w:t>No unilateral exit after activation, and no open social features.</w:t>
      </w:r>
      <w:r>
        <w:rPr>
          <w:rFonts w:ascii="Calibri" w:hAnsi="Calibri"/>
          <w:b w:val="0"/>
          <w:i w:val="0"/>
          <w:color w:val="101828"/>
          <w:sz w:val="21"/>
        </w:rPr>
        <w:t xml:space="preserve"> A savings group that can be disrupted after the money is in is not a savings group.</w:t>
      </w:r>
    </w:p>
    <w:p>
      <w:pPr>
        <w:pStyle w:val="ListBullet"/>
        <w:spacing w:after="60"/>
        <w:ind w:left="360"/>
      </w:pPr>
      <w:r>
        <w:rPr>
          <w:rFonts w:ascii="Calibri" w:hAnsi="Calibri"/>
          <w:b/>
          <w:color w:val="101828"/>
          <w:sz w:val="21"/>
        </w:rPr>
        <w:t>No custody by AJO.ng itself</w:t>
      </w:r>
      <w:r>
        <w:rPr>
          <w:rFonts w:ascii="Calibri" w:hAnsi="Calibri"/>
          <w:b w:val="0"/>
          <w:i w:val="0"/>
          <w:color w:val="101828"/>
          <w:sz w:val="21"/>
        </w:rPr>
        <w:t>, pending the legal determination. The platform moves money through a segregated payment arrangement and never holds it as principal.</w:t>
      </w:r>
    </w:p>
    <w:p>
      <w:pPr>
        <w:pStyle w:val="Heading2"/>
      </w:pPr>
      <w:r>
        <w:rPr>
          <w:rFonts w:ascii="Calibri" w:hAnsi="Calibri"/>
          <w:b/>
          <w:i w:val="0"/>
          <w:color w:val="146EF5"/>
          <w:sz w:val="29"/>
        </w:rPr>
        <w:t>The open questions that matter</w:t>
      </w:r>
    </w:p>
    <w:p>
      <w:r>
        <w:rPr>
          <w:rFonts w:ascii="Calibri" w:hAnsi="Calibri"/>
          <w:b w:val="0"/>
          <w:i w:val="0"/>
          <w:color w:val="101828"/>
          <w:sz w:val="21"/>
        </w:rPr>
        <w:t>All fifteen items on the pre-launch legal checklist in section 24.14 are outstanding, and none of them is an engineering task.</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6"/>
              </w:rPr>
              <w:t>Question</w:t>
            </w:r>
          </w:p>
        </w:tc>
        <w:tc>
          <w:tcPr>
            <w:tcW w:type="dxa" w:w="5904"/>
            <w:shd w:val="clear" w:color="auto" w:fill="0B1F3A"/>
            <w:tcMar>
              <w:top w:w="60" w:type="dxa"/>
              <w:start w:w="110" w:type="dxa"/>
              <w:bottom w:w="60" w:type="dxa"/>
              <w:end w:w="110" w:type="dxa"/>
            </w:tcMar>
          </w:tcPr>
          <w:p>
            <w:pPr>
              <w:spacing w:after="0"/>
            </w:pPr>
            <w:r/>
            <w:r>
              <w:rPr>
                <w:rFonts w:ascii="Calibri" w:hAnsi="Calibri"/>
                <w:b/>
                <w:i w:val="0"/>
                <w:color w:val="FFFFFF"/>
                <w:sz w:val="16"/>
              </w:rPr>
              <w:t>Why it blocks launch</w:t>
            </w:r>
          </w:p>
        </w:tc>
      </w:tr>
      <w:tr>
        <w:trPr>
          <w:cantSplit/>
        </w:trPr>
        <w:tc>
          <w:tcPr>
            <w:tcW w:type="dxa" w:w="3456"/>
            <w:tcMar>
              <w:top w:w="60" w:type="dxa"/>
              <w:start w:w="110" w:type="dxa"/>
              <w:bottom w:w="60" w:type="dxa"/>
              <w:end w:w="110" w:type="dxa"/>
            </w:tcMar>
          </w:tcPr>
          <w:p>
            <w:pPr>
              <w:spacing w:after="0"/>
            </w:pPr>
            <w:r/>
            <w:r>
              <w:rPr>
                <w:rFonts w:ascii="Calibri" w:hAnsi="Calibri"/>
                <w:b w:val="0"/>
                <w:i w:val="0"/>
                <w:color w:val="101828"/>
                <w:sz w:val="16"/>
              </w:rPr>
              <w:t>Does AJO.ng require regulatory registration or a licence, and which authority?</w:t>
            </w:r>
          </w:p>
        </w:tc>
        <w:tc>
          <w:tcPr>
            <w:tcW w:type="dxa" w:w="5904"/>
            <w:tcMar>
              <w:top w:w="60" w:type="dxa"/>
              <w:start w:w="110" w:type="dxa"/>
              <w:bottom w:w="60" w:type="dxa"/>
              <w:end w:w="110" w:type="dxa"/>
            </w:tcMar>
          </w:tcPr>
          <w:p>
            <w:pPr>
              <w:spacing w:after="0"/>
            </w:pPr>
            <w:r/>
            <w:r>
              <w:rPr>
                <w:rFonts w:ascii="Calibri" w:hAnsi="Calibri"/>
                <w:b w:val="0"/>
                <w:i w:val="0"/>
                <w:color w:val="101828"/>
                <w:sz w:val="16"/>
              </w:rPr>
              <w:t>It determines the business model, the capital requirements, and the timeline. Everything else follows from it</w:t>
            </w:r>
          </w:p>
        </w:tc>
      </w:tr>
      <w:tr>
        <w:trPr>
          <w:cantSplit/>
        </w:trPr>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Does holding member funds in a pooled account constitute custody?</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If yes, the account structure, segregation, reconciliation, and possibly the licensing all change materially</w:t>
            </w:r>
          </w:p>
        </w:tc>
      </w:tr>
      <w:tr>
        <w:trPr>
          <w:cantSplit/>
        </w:trPr>
        <w:tc>
          <w:tcPr>
            <w:tcW w:type="dxa" w:w="3456"/>
            <w:tcMar>
              <w:top w:w="60" w:type="dxa"/>
              <w:start w:w="110" w:type="dxa"/>
              <w:bottom w:w="60" w:type="dxa"/>
              <w:end w:w="110" w:type="dxa"/>
            </w:tcMar>
          </w:tcPr>
          <w:p>
            <w:pPr>
              <w:spacing w:after="0"/>
            </w:pPr>
            <w:r/>
            <w:r>
              <w:rPr>
                <w:rFonts w:ascii="Calibri" w:hAnsi="Calibri"/>
                <w:b w:val="0"/>
                <w:i w:val="0"/>
                <w:color w:val="101828"/>
                <w:sz w:val="16"/>
              </w:rPr>
              <w:t>What does the ProvidusUnity agreement permit?</w:t>
            </w:r>
          </w:p>
        </w:tc>
        <w:tc>
          <w:tcPr>
            <w:tcW w:type="dxa" w:w="5904"/>
            <w:tcMar>
              <w:top w:w="60" w:type="dxa"/>
              <w:start w:w="110" w:type="dxa"/>
              <w:bottom w:w="60" w:type="dxa"/>
              <w:end w:w="110" w:type="dxa"/>
            </w:tcMar>
          </w:tcPr>
          <w:p>
            <w:pPr>
              <w:spacing w:after="0"/>
            </w:pPr>
            <w:r/>
            <w:r>
              <w:rPr>
                <w:rFonts w:ascii="Calibri" w:hAnsi="Calibri"/>
                <w:b w:val="0"/>
                <w:i w:val="0"/>
                <w:color w:val="101828"/>
                <w:sz w:val="16"/>
              </w:rPr>
              <w:t>Some providers permit an agency arrangement and some do not permit pooled accounts at all. The technical due diligence has not been done</w:t>
            </w:r>
          </w:p>
        </w:tc>
      </w:tr>
      <w:tr>
        <w:trPr>
          <w:cantSplit/>
        </w:trPr>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What are the AML, KYC, and suspicious-activity-reporting obligations, and who discharges them?</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A money laundering reporting officer may be legally required, and the reporting deadline is statutory</w:t>
            </w:r>
          </w:p>
        </w:tc>
      </w:tr>
      <w:tr>
        <w:trPr>
          <w:cantSplit/>
        </w:trPr>
        <w:tc>
          <w:tcPr>
            <w:tcW w:type="dxa" w:w="3456"/>
            <w:tcMar>
              <w:top w:w="60" w:type="dxa"/>
              <w:start w:w="110" w:type="dxa"/>
              <w:bottom w:w="60" w:type="dxa"/>
              <w:end w:w="110" w:type="dxa"/>
            </w:tcMar>
          </w:tcPr>
          <w:p>
            <w:pPr>
              <w:spacing w:after="0"/>
            </w:pPr>
            <w:r/>
            <w:r>
              <w:rPr>
                <w:rFonts w:ascii="Calibri" w:hAnsi="Calibri"/>
                <w:b w:val="0"/>
                <w:i w:val="0"/>
                <w:color w:val="101828"/>
                <w:sz w:val="16"/>
              </w:rPr>
              <w:t>What is the tax treatment of the fee and of contributions?</w:t>
            </w:r>
          </w:p>
        </w:tc>
        <w:tc>
          <w:tcPr>
            <w:tcW w:type="dxa" w:w="5904"/>
            <w:tcMar>
              <w:top w:w="60" w:type="dxa"/>
              <w:start w:w="110" w:type="dxa"/>
              <w:bottom w:w="60" w:type="dxa"/>
              <w:end w:w="110" w:type="dxa"/>
            </w:tcMar>
          </w:tcPr>
          <w:p>
            <w:pPr>
              <w:spacing w:after="0"/>
            </w:pPr>
            <w:r/>
            <w:r>
              <w:rPr>
                <w:rFonts w:ascii="Calibri" w:hAnsi="Calibri"/>
                <w:b w:val="0"/>
                <w:i w:val="0"/>
                <w:color w:val="101828"/>
                <w:sz w:val="16"/>
              </w:rPr>
              <w:t>Affects the financial model and the member statements</w:t>
            </w:r>
          </w:p>
        </w:tc>
      </w:tr>
      <w:tr>
        <w:trPr>
          <w:cantSplit/>
        </w:trPr>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How is a default legally characterised — breach, debt, or loss?</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A foundational design question, not an edge case. It determines what happens to the Ajo</w:t>
            </w:r>
          </w:p>
        </w:tc>
      </w:tr>
    </w:tbl>
    <w:p>
      <w:pPr>
        <w:spacing w:after="80"/>
      </w:pPr>
    </w:p>
    <w:p>
      <w:pPr>
        <w:spacing w:before="140" w:after="180"/>
        <w:ind w:left="144"/>
        <w:shd w:val="clear" w:color="auto" w:fill="FEE2E2"/>
        <w:pBdr>
          <w:left w:val="single" w:sz="18" w:space="6" w:color="DC2626"/>
        </w:pBdr>
      </w:pPr>
      <w:r>
        <w:rPr>
          <w:rFonts w:ascii="Calibri" w:hAnsi="Calibri"/>
          <w:b/>
          <w:color w:val="DC2626"/>
          <w:sz w:val="19"/>
        </w:rPr>
        <w:t xml:space="preserve">This is the critical path, and it does not run through engineering.  </w:t>
      </w:r>
      <w:r>
        <w:rPr>
          <w:rFonts w:ascii="Calibri" w:hAnsi="Calibri"/>
          <w:b w:val="0"/>
          <w:i w:val="0"/>
          <w:color w:val="0B1F3A"/>
          <w:sz w:val="19"/>
        </w:rPr>
        <w:t xml:space="preserve">The technology in this specification is buildable. The questions above are answerable only by </w:t>
      </w:r>
      <w:r>
        <w:rPr>
          <w:rFonts w:ascii="Calibri" w:hAnsi="Calibri"/>
          <w:b/>
          <w:color w:val="0B1F3A"/>
          <w:sz w:val="19"/>
        </w:rPr>
        <w:t>qualified Nigerian legal and compliance professionals</w:t>
      </w:r>
      <w:r>
        <w:rPr>
          <w:rFonts w:ascii="Calibri" w:hAnsi="Calibri"/>
          <w:b w:val="0"/>
          <w:i w:val="0"/>
          <w:color w:val="0B1F3A"/>
          <w:sz w:val="19"/>
        </w:rPr>
        <w:t>, and they should be opened now, in parallel with development, rather than treated as the last gate before launch. A fintech that builds for a year and then discovers its structure is wrong has wasted a year.</w:t>
      </w:r>
    </w:p>
    <w:p>
      <w:pPr>
        <w:pStyle w:val="Heading2"/>
      </w:pPr>
      <w:r>
        <w:rPr>
          <w:rFonts w:ascii="Calibri" w:hAnsi="Calibri"/>
          <w:b/>
          <w:i w:val="0"/>
          <w:color w:val="146EF5"/>
          <w:sz w:val="29"/>
        </w:rPr>
        <w:t>How to read this document</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If you are</w:t>
            </w:r>
          </w:p>
        </w:tc>
        <w:tc>
          <w:tcPr>
            <w:tcW w:type="dxa" w:w="2592"/>
            <w:shd w:val="clear" w:color="auto" w:fill="0B1F3A"/>
            <w:tcMar>
              <w:top w:w="60" w:type="dxa"/>
              <w:start w:w="110" w:type="dxa"/>
              <w:bottom w:w="60" w:type="dxa"/>
              <w:end w:w="110" w:type="dxa"/>
            </w:tcMar>
          </w:tcPr>
          <w:p>
            <w:pPr>
              <w:spacing w:after="0"/>
            </w:pPr>
            <w:r/>
            <w:r>
              <w:rPr>
                <w:rFonts w:ascii="Calibri" w:hAnsi="Calibri"/>
                <w:b/>
                <w:i w:val="0"/>
                <w:color w:val="FFFFFF"/>
                <w:sz w:val="16"/>
              </w:rPr>
              <w:t>Read</w:t>
            </w:r>
          </w:p>
        </w:tc>
        <w:tc>
          <w:tcPr>
            <w:tcW w:type="dxa" w:w="4464"/>
            <w:shd w:val="clear" w:color="auto" w:fill="0B1F3A"/>
            <w:tcMar>
              <w:top w:w="60" w:type="dxa"/>
              <w:start w:w="110" w:type="dxa"/>
              <w:bottom w:w="60" w:type="dxa"/>
              <w:end w:w="110" w:type="dxa"/>
            </w:tcMar>
          </w:tcPr>
          <w:p>
            <w:pPr>
              <w:spacing w:after="0"/>
            </w:pPr>
            <w:r/>
            <w:r>
              <w:rPr>
                <w:rFonts w:ascii="Calibri" w:hAnsi="Calibri"/>
                <w:b/>
                <w:i w:val="0"/>
                <w:color w:val="FFFFFF"/>
                <w:sz w:val="16"/>
              </w:rPr>
              <w:t>Why</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A member of the team joining the project</w:t>
            </w:r>
          </w:p>
        </w:tc>
        <w:tc>
          <w:tcPr>
            <w:tcW w:type="dxa" w:w="2592"/>
            <w:tcMar>
              <w:top w:w="60" w:type="dxa"/>
              <w:start w:w="110" w:type="dxa"/>
              <w:bottom w:w="60" w:type="dxa"/>
              <w:end w:w="110" w:type="dxa"/>
            </w:tcMar>
          </w:tcPr>
          <w:p>
            <w:pPr>
              <w:spacing w:after="0"/>
            </w:pPr>
            <w:r/>
            <w:r>
              <w:rPr>
                <w:rFonts w:ascii="Calibri" w:hAnsi="Calibri"/>
                <w:b w:val="0"/>
                <w:i w:val="0"/>
                <w:color w:val="101828"/>
                <w:sz w:val="16"/>
              </w:rPr>
              <w:t>§1, §5, §23</w:t>
            </w:r>
          </w:p>
        </w:tc>
        <w:tc>
          <w:tcPr>
            <w:tcW w:type="dxa" w:w="4464"/>
            <w:tcMar>
              <w:top w:w="60" w:type="dxa"/>
              <w:start w:w="110" w:type="dxa"/>
              <w:bottom w:w="60" w:type="dxa"/>
              <w:end w:w="110" w:type="dxa"/>
            </w:tcMar>
          </w:tcPr>
          <w:p>
            <w:pPr>
              <w:spacing w:after="0"/>
            </w:pPr>
            <w:r/>
            <w:r>
              <w:rPr>
                <w:rFonts w:ascii="Calibri" w:hAnsi="Calibri"/>
                <w:b w:val="0"/>
                <w:i w:val="0"/>
                <w:color w:val="101828"/>
                <w:sz w:val="16"/>
              </w:rPr>
              <w:t>The product rules, the vocabulary, and what is being built next</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A backend engineer</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§10, §11, §13, §16, §20</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Architecture, API, money movement, queues, and operations</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A frontend or mobile engineer</w:t>
            </w:r>
          </w:p>
        </w:tc>
        <w:tc>
          <w:tcPr>
            <w:tcW w:type="dxa" w:w="2592"/>
            <w:tcMar>
              <w:top w:w="60" w:type="dxa"/>
              <w:start w:w="110" w:type="dxa"/>
              <w:bottom w:w="60" w:type="dxa"/>
              <w:end w:w="110" w:type="dxa"/>
            </w:tcMar>
          </w:tcPr>
          <w:p>
            <w:pPr>
              <w:spacing w:after="0"/>
            </w:pPr>
            <w:r/>
            <w:r>
              <w:rPr>
                <w:rFonts w:ascii="Calibri" w:hAnsi="Calibri"/>
                <w:b w:val="0"/>
                <w:i w:val="0"/>
                <w:color w:val="101828"/>
                <w:sz w:val="16"/>
              </w:rPr>
              <w:t>§4–§7, §11, §17</w:t>
            </w:r>
          </w:p>
        </w:tc>
        <w:tc>
          <w:tcPr>
            <w:tcW w:type="dxa" w:w="4464"/>
            <w:tcMar>
              <w:top w:w="60" w:type="dxa"/>
              <w:start w:w="110" w:type="dxa"/>
              <w:bottom w:w="60" w:type="dxa"/>
              <w:end w:w="110" w:type="dxa"/>
            </w:tcMar>
          </w:tcPr>
          <w:p>
            <w:pPr>
              <w:spacing w:after="0"/>
            </w:pPr>
            <w:r/>
            <w:r>
              <w:rPr>
                <w:rFonts w:ascii="Calibri" w:hAnsi="Calibri"/>
                <w:b w:val="0"/>
                <w:i w:val="0"/>
                <w:color w:val="101828"/>
                <w:sz w:val="16"/>
              </w:rPr>
              <w:t>The screens, the design system, and the client obligations</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A product manager or founder</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§1–§3, §21, §22, §25</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Requirements, flows, metrics, roadmap, and economics</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A security reviewer</w:t>
            </w:r>
          </w:p>
        </w:tc>
        <w:tc>
          <w:tcPr>
            <w:tcW w:type="dxa" w:w="2592"/>
            <w:tcMar>
              <w:top w:w="60" w:type="dxa"/>
              <w:start w:w="110" w:type="dxa"/>
              <w:bottom w:w="60" w:type="dxa"/>
              <w:end w:w="110" w:type="dxa"/>
            </w:tcMar>
          </w:tcPr>
          <w:p>
            <w:pPr>
              <w:spacing w:after="0"/>
            </w:pPr>
            <w:r/>
            <w:r>
              <w:rPr>
                <w:rFonts w:ascii="Calibri" w:hAnsi="Calibri"/>
                <w:b w:val="0"/>
                <w:i w:val="0"/>
                <w:color w:val="101828"/>
                <w:sz w:val="16"/>
              </w:rPr>
              <w:t>§12, §14, §15, §18</w:t>
            </w:r>
          </w:p>
        </w:tc>
        <w:tc>
          <w:tcPr>
            <w:tcW w:type="dxa" w:w="4464"/>
            <w:tcMar>
              <w:top w:w="60" w:type="dxa"/>
              <w:start w:w="110" w:type="dxa"/>
              <w:bottom w:w="60" w:type="dxa"/>
              <w:end w:w="110" w:type="dxa"/>
            </w:tcMar>
          </w:tcPr>
          <w:p>
            <w:pPr>
              <w:spacing w:after="0"/>
            </w:pPr>
            <w:r/>
            <w:r>
              <w:rPr>
                <w:rFonts w:ascii="Calibri" w:hAnsi="Calibri"/>
                <w:b w:val="0"/>
                <w:i w:val="0"/>
                <w:color w:val="101828"/>
                <w:sz w:val="16"/>
              </w:rPr>
              <w:t>Authorization, controls, fraud, and how they are tested</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A lawyer or compliance adviser</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§1, §2, §5, §13, §24</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The business rules, the money flows, and the open questions</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An investor or advisor</w:t>
            </w:r>
          </w:p>
        </w:tc>
        <w:tc>
          <w:tcPr>
            <w:tcW w:type="dxa" w:w="2592"/>
            <w:tcMar>
              <w:top w:w="60" w:type="dxa"/>
              <w:start w:w="110" w:type="dxa"/>
              <w:bottom w:w="60" w:type="dxa"/>
              <w:end w:w="110" w:type="dxa"/>
            </w:tcMar>
          </w:tcPr>
          <w:p>
            <w:pPr>
              <w:spacing w:after="0"/>
            </w:pPr>
            <w:r/>
            <w:r>
              <w:rPr>
                <w:rFonts w:ascii="Calibri" w:hAnsi="Calibri"/>
                <w:b w:val="0"/>
                <w:i w:val="0"/>
                <w:color w:val="101828"/>
                <w:sz w:val="16"/>
              </w:rPr>
              <w:t>Executive summary, §21, §22, §25</w:t>
            </w:r>
          </w:p>
        </w:tc>
        <w:tc>
          <w:tcPr>
            <w:tcW w:type="dxa" w:w="4464"/>
            <w:tcMar>
              <w:top w:w="60" w:type="dxa"/>
              <w:start w:w="110" w:type="dxa"/>
              <w:bottom w:w="60" w:type="dxa"/>
              <w:end w:w="110" w:type="dxa"/>
            </w:tcMar>
          </w:tcPr>
          <w:p>
            <w:pPr>
              <w:spacing w:after="0"/>
            </w:pPr>
            <w:r/>
            <w:r>
              <w:rPr>
                <w:rFonts w:ascii="Calibri" w:hAnsi="Calibri"/>
                <w:b w:val="0"/>
                <w:i w:val="0"/>
                <w:color w:val="101828"/>
                <w:sz w:val="16"/>
              </w:rPr>
              <w:t>The model, the metrics, the plan, and the risks</w:t>
            </w:r>
          </w:p>
        </w:tc>
      </w:tr>
    </w:tbl>
    <w:p>
      <w:pPr>
        <w:spacing w:after="80"/>
      </w:pPr>
    </w:p>
    <w:p>
      <w:r>
        <w:rPr>
          <w:rFonts w:ascii="Calibri" w:hAnsi="Calibri"/>
          <w:b w:val="0"/>
          <w:i w:val="0"/>
          <w:color w:val="101828"/>
          <w:sz w:val="21"/>
        </w:rPr>
        <w:t xml:space="preserve">Terms are defined once in </w:t>
      </w:r>
      <w:r>
        <w:rPr>
          <w:rFonts w:ascii="Consolas" w:hAnsi="Consolas"/>
          <w:color w:val="146EF5"/>
          <w:sz w:val="21"/>
        </w:rPr>
        <w:t>CANONICAL.md</w:t>
      </w:r>
      <w:r>
        <w:rPr>
          <w:rFonts w:ascii="Calibri" w:hAnsi="Calibri"/>
          <w:b w:val="0"/>
          <w:i w:val="0"/>
          <w:color w:val="101828"/>
          <w:sz w:val="21"/>
        </w:rPr>
        <w:t xml:space="preserve"> and used identically throughout. The glossary is Appendix E. Where this document and the earlier business documents disagree — and they do, on pricing — this document and </w:t>
      </w:r>
      <w:r>
        <w:rPr>
          <w:rFonts w:ascii="Consolas" w:hAnsi="Consolas"/>
          <w:color w:val="146EF5"/>
          <w:sz w:val="21"/>
        </w:rPr>
        <w:t>CANONICAL.md</w:t>
      </w:r>
      <w:r>
        <w:rPr>
          <w:rFonts w:ascii="Calibri" w:hAnsi="Calibri"/>
          <w:b w:val="0"/>
          <w:i w:val="0"/>
          <w:color w:val="101828"/>
          <w:sz w:val="21"/>
        </w:rPr>
        <w:t xml:space="preserve"> are authoritative.</w:t>
      </w:r>
    </w:p>
    <w:p>
      <w:r>
        <w:br w:type="page"/>
      </w:r>
    </w:p>
    <w:p>
      <w:pPr>
        <w:pStyle w:val="Heading1"/>
        <w:pBdr>
          <w:bottom w:val="single" w:sz="12" w:space="6" w:color="146EF5"/>
        </w:pBdr>
        <w:spacing w:after="240"/>
      </w:pPr>
      <w:r>
        <w:rPr>
          <w:rFonts w:ascii="Calibri" w:hAnsi="Calibri"/>
          <w:b/>
          <w:i w:val="0"/>
          <w:color w:val="0B1F3A"/>
          <w:sz w:val="40"/>
        </w:rPr>
        <w:t>Product Overview</w:t>
      </w:r>
    </w:p>
    <w:p>
      <w:pPr>
        <w:spacing w:after="200"/>
      </w:pPr>
      <w:r>
        <w:rPr>
          <w:rFonts w:ascii="Calibri" w:hAnsi="Calibri"/>
          <w:b w:val="0"/>
          <w:i w:val="0"/>
          <w:color w:val="475467"/>
          <w:sz w:val="24"/>
        </w:rPr>
        <w:t>This overview exists for a reader who needs to understand what AJO.ng is, who it is for, and how it works, without reading twenty-five sections. It introduces the domain, the people, the money, and the shape of the product.</w:t>
      </w:r>
    </w:p>
    <w:p>
      <w:pPr>
        <w:pStyle w:val="Heading2"/>
      </w:pPr>
      <w:r>
        <w:rPr>
          <w:rFonts w:ascii="Calibri" w:hAnsi="Calibri"/>
          <w:b/>
          <w:i w:val="0"/>
          <w:color w:val="146EF5"/>
          <w:sz w:val="29"/>
        </w:rPr>
        <w:t>The problem</w:t>
      </w:r>
    </w:p>
    <w:p>
      <w:r>
        <w:rPr>
          <w:rFonts w:ascii="Calibri" w:hAnsi="Calibri"/>
          <w:b w:val="0"/>
          <w:i w:val="0"/>
          <w:color w:val="101828"/>
          <w:sz w:val="21"/>
        </w:rPr>
        <w:t>Rotating savings groups are one of the oldest and most reliable financial mechanisms in the world, and they are everywhere in Nigeria. Family members run them. Church groups run them. Market traders run them. They work because trust between the participants is high, and because a fixed schedule with a visible deadline is a discipline that individual savings rarely provide.</w:t>
      </w:r>
    </w:p>
    <w:p>
      <w:r>
        <w:rPr>
          <w:rFonts w:ascii="Calibri" w:hAnsi="Calibri"/>
          <w:b w:val="0"/>
          <w:i w:val="0"/>
          <w:color w:val="101828"/>
          <w:sz w:val="21"/>
        </w:rPr>
        <w:t>They also break in predictable ways, and the failures are not about money being stolen by criminals.</w:t>
      </w:r>
    </w:p>
    <w:p>
      <w:pPr>
        <w:pStyle w:val="ListBullet"/>
        <w:spacing w:after="60"/>
        <w:ind w:left="360"/>
      </w:pPr>
      <w:r>
        <w:rPr>
          <w:rFonts w:ascii="Calibri" w:hAnsi="Calibri"/>
          <w:b/>
          <w:color w:val="101828"/>
          <w:sz w:val="21"/>
        </w:rPr>
        <w:t>Trust is not enforced, only assumed.</w:t>
      </w:r>
      <w:r>
        <w:rPr>
          <w:rFonts w:ascii="Calibri" w:hAnsi="Calibri"/>
          <w:b w:val="0"/>
          <w:i w:val="0"/>
          <w:color w:val="101828"/>
          <w:sz w:val="21"/>
        </w:rPr>
        <w:t xml:space="preserve"> The whole group depends on one person's honesty, and there is no mechanism when that assumption fails.</w:t>
      </w:r>
    </w:p>
    <w:p>
      <w:pPr>
        <w:pStyle w:val="ListBullet"/>
        <w:spacing w:after="60"/>
        <w:ind w:left="360"/>
      </w:pPr>
      <w:r>
        <w:rPr>
          <w:rFonts w:ascii="Calibri" w:hAnsi="Calibri"/>
          <w:b/>
          <w:color w:val="101828"/>
          <w:sz w:val="21"/>
        </w:rPr>
        <w:t>The record is somebody's notebook.</w:t>
      </w:r>
      <w:r>
        <w:rPr>
          <w:rFonts w:ascii="Calibri" w:hAnsi="Calibri"/>
          <w:b w:val="0"/>
          <w:i w:val="0"/>
          <w:color w:val="101828"/>
          <w:sz w:val="21"/>
        </w:rPr>
        <w:t xml:space="preserve"> Contributions are tracked in a book, a WhatsApp group, or someone's memory. When there is a disagreement, there is no evidence.</w:t>
      </w:r>
    </w:p>
    <w:p>
      <w:pPr>
        <w:pStyle w:val="ListBullet"/>
        <w:spacing w:after="60"/>
        <w:ind w:left="360"/>
      </w:pPr>
      <w:r>
        <w:rPr>
          <w:rFonts w:ascii="Calibri" w:hAnsi="Calibri"/>
          <w:b/>
          <w:color w:val="101828"/>
          <w:sz w:val="21"/>
        </w:rPr>
        <w:t>Defaults are handled socially.</w:t>
      </w:r>
      <w:r>
        <w:rPr>
          <w:rFonts w:ascii="Calibri" w:hAnsi="Calibri"/>
          <w:b w:val="0"/>
          <w:i w:val="0"/>
          <w:color w:val="101828"/>
          <w:sz w:val="21"/>
        </w:rPr>
        <w:t xml:space="preserve"> Missing a contribution is a matter of shame, embarrassment, or silent pressure, and the group has no process. So a single default can end the arrangement for everyone.</w:t>
      </w:r>
    </w:p>
    <w:p>
      <w:pPr>
        <w:pStyle w:val="ListBullet"/>
        <w:spacing w:after="60"/>
        <w:ind w:left="360"/>
      </w:pPr>
      <w:r>
        <w:rPr>
          <w:rFonts w:ascii="Calibri" w:hAnsi="Calibri"/>
          <w:b/>
          <w:color w:val="101828"/>
          <w:sz w:val="21"/>
        </w:rPr>
        <w:t>A default leaves the group short.</w:t>
      </w:r>
      <w:r>
        <w:rPr>
          <w:rFonts w:ascii="Calibri" w:hAnsi="Calibri"/>
          <w:b w:val="0"/>
          <w:i w:val="0"/>
          <w:color w:val="101828"/>
          <w:sz w:val="21"/>
        </w:rPr>
        <w:t xml:space="preserve"> With no mechanism to cover a missing contribution, the remaining members either absorb the loss — which nobody agrees to — or the Ajo collapses.</w:t>
      </w:r>
    </w:p>
    <w:p>
      <w:pPr>
        <w:pStyle w:val="ListBullet"/>
        <w:spacing w:after="60"/>
        <w:ind w:left="360"/>
      </w:pPr>
      <w:r>
        <w:rPr>
          <w:rFonts w:ascii="Calibri" w:hAnsi="Calibri"/>
          <w:b/>
          <w:color w:val="101828"/>
          <w:sz w:val="21"/>
        </w:rPr>
        <w:t>Payout is slow and paper-based.</w:t>
      </w:r>
      <w:r>
        <w:rPr>
          <w:rFonts w:ascii="Calibri" w:hAnsi="Calibri"/>
          <w:b w:val="0"/>
          <w:i w:val="0"/>
          <w:color w:val="101828"/>
          <w:sz w:val="21"/>
        </w:rPr>
        <w:t xml:space="preserve"> The money may exist but reaching the member takes a queue, a signature, and a bank trip.</w:t>
      </w:r>
    </w:p>
    <w:p>
      <w:pPr>
        <w:pStyle w:val="ListBullet"/>
        <w:spacing w:after="60"/>
        <w:ind w:left="360"/>
      </w:pPr>
      <w:r>
        <w:rPr>
          <w:rFonts w:ascii="Calibri" w:hAnsi="Calibri"/>
          <w:b/>
          <w:color w:val="101828"/>
          <w:sz w:val="21"/>
        </w:rPr>
        <w:t>The group cannot scale.</w:t>
      </w:r>
      <w:r>
        <w:rPr>
          <w:rFonts w:ascii="Calibri" w:hAnsi="Calibri"/>
          <w:b w:val="0"/>
          <w:i w:val="0"/>
          <w:color w:val="101828"/>
          <w:sz w:val="21"/>
        </w:rPr>
        <w:t xml:space="preserve"> An Ajo lives inside one relationship network, and bringing in a stranger requires a level of trust that a group chat cannot offer.</w:t>
      </w:r>
    </w:p>
    <w:p>
      <w:pPr>
        <w:pStyle w:val="ListBullet"/>
        <w:spacing w:after="60"/>
        <w:ind w:left="360"/>
      </w:pPr>
      <w:r>
        <w:rPr>
          <w:rFonts w:ascii="Calibri" w:hAnsi="Calibri"/>
          <w:b/>
          <w:color w:val="101828"/>
          <w:sz w:val="21"/>
        </w:rPr>
        <w:t>Organizer burden.</w:t>
      </w:r>
      <w:r>
        <w:rPr>
          <w:rFonts w:ascii="Calibri" w:hAnsi="Calibri"/>
          <w:b w:val="0"/>
          <w:i w:val="0"/>
          <w:color w:val="101828"/>
          <w:sz w:val="21"/>
        </w:rPr>
        <w:t xml:space="preserve"> Whoever runs the Ajo spends hours chasing, reconciling, and reminding, with no tools and no record.</w:t>
      </w:r>
    </w:p>
    <w:p>
      <w:r>
        <w:rPr>
          <w:rFonts w:ascii="Calibri" w:hAnsi="Calibri"/>
          <w:b w:val="0"/>
          <w:i w:val="0"/>
          <w:color w:val="101828"/>
          <w:sz w:val="21"/>
        </w:rPr>
        <w:t>AJO.ng addresses all seven. Not by replacing trust with technology, but by giving a trusted group the record, the reminders, the enforcement, and the rail that it currently lacks.</w:t>
      </w:r>
    </w:p>
    <w:p>
      <w:pPr>
        <w:pStyle w:val="Heading2"/>
      </w:pPr>
      <w:r>
        <w:rPr>
          <w:rFonts w:ascii="Calibri" w:hAnsi="Calibri"/>
          <w:b/>
          <w:i w:val="0"/>
          <w:color w:val="146EF5"/>
          <w:sz w:val="29"/>
        </w:rPr>
        <w:t>Who it is for</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Segment</w:t>
            </w:r>
          </w:p>
        </w:tc>
        <w:tc>
          <w:tcPr>
            <w:tcW w:type="dxa" w:w="3600"/>
            <w:shd w:val="clear" w:color="auto" w:fill="0B1F3A"/>
            <w:tcMar>
              <w:top w:w="60" w:type="dxa"/>
              <w:start w:w="110" w:type="dxa"/>
              <w:bottom w:w="60" w:type="dxa"/>
              <w:end w:w="110" w:type="dxa"/>
            </w:tcMar>
          </w:tcPr>
          <w:p>
            <w:pPr>
              <w:spacing w:after="0"/>
            </w:pPr>
            <w:r/>
            <w:r>
              <w:rPr>
                <w:rFonts w:ascii="Calibri" w:hAnsi="Calibri"/>
                <w:b/>
                <w:i w:val="0"/>
                <w:color w:val="FFFFFF"/>
                <w:sz w:val="16"/>
              </w:rPr>
              <w:t>Profile</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6"/>
              </w:rPr>
              <w:t>What they get</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The disciplined saver</w:t>
            </w:r>
          </w:p>
        </w:tc>
        <w:tc>
          <w:tcPr>
            <w:tcW w:type="dxa" w:w="3600"/>
            <w:tcMar>
              <w:top w:w="60" w:type="dxa"/>
              <w:start w:w="110" w:type="dxa"/>
              <w:bottom w:w="60" w:type="dxa"/>
              <w:end w:w="110" w:type="dxa"/>
            </w:tcMar>
          </w:tcPr>
          <w:p>
            <w:pPr>
              <w:spacing w:after="0"/>
            </w:pPr>
            <w:r/>
            <w:r>
              <w:rPr>
                <w:rFonts w:ascii="Calibri" w:hAnsi="Calibri"/>
                <w:b w:val="0"/>
                <w:i w:val="0"/>
                <w:color w:val="101828"/>
                <w:sz w:val="16"/>
              </w:rPr>
              <w:t>Contributes regularly, already saves informally, wants the discipline without the admin</w:t>
            </w:r>
          </w:p>
        </w:tc>
        <w:tc>
          <w:tcPr>
            <w:tcW w:type="dxa" w:w="3456"/>
            <w:tcMar>
              <w:top w:w="60" w:type="dxa"/>
              <w:start w:w="110" w:type="dxa"/>
              <w:bottom w:w="60" w:type="dxa"/>
              <w:end w:w="110" w:type="dxa"/>
            </w:tcMar>
          </w:tcPr>
          <w:p>
            <w:pPr>
              <w:spacing w:after="0"/>
            </w:pPr>
            <w:r/>
            <w:r>
              <w:rPr>
                <w:rFonts w:ascii="Calibri" w:hAnsi="Calibri"/>
                <w:b w:val="0"/>
                <w:i w:val="0"/>
                <w:color w:val="101828"/>
                <w:sz w:val="16"/>
              </w:rPr>
              <w:t>A fixed schedule, automatic reminders, and a visible record of every naira</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The cash-flow participant</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Income arrives irregularly, or in a business with daily swings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A structure that fits a variable income, with the payout as a buffer</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The migrant worker</w:t>
            </w:r>
          </w:p>
        </w:tc>
        <w:tc>
          <w:tcPr>
            <w:tcW w:type="dxa" w:w="3600"/>
            <w:tcMar>
              <w:top w:w="60" w:type="dxa"/>
              <w:start w:w="110" w:type="dxa"/>
              <w:bottom w:w="60" w:type="dxa"/>
              <w:end w:w="110" w:type="dxa"/>
            </w:tcMar>
          </w:tcPr>
          <w:p>
            <w:pPr>
              <w:spacing w:after="0"/>
            </w:pPr>
            <w:r/>
            <w:r>
              <w:rPr>
                <w:rFonts w:ascii="Calibri" w:hAnsi="Calibri"/>
                <w:b w:val="0"/>
                <w:i w:val="0"/>
                <w:color w:val="101828"/>
                <w:sz w:val="16"/>
              </w:rPr>
              <w:t>Sends money home, wants to save for family or for a return</w:t>
            </w:r>
          </w:p>
        </w:tc>
        <w:tc>
          <w:tcPr>
            <w:tcW w:type="dxa" w:w="3456"/>
            <w:tcMar>
              <w:top w:w="60" w:type="dxa"/>
              <w:start w:w="110" w:type="dxa"/>
              <w:bottom w:w="60" w:type="dxa"/>
              <w:end w:w="110" w:type="dxa"/>
            </w:tcMar>
          </w:tcPr>
          <w:p>
            <w:pPr>
              <w:spacing w:after="0"/>
            </w:pPr>
            <w:r/>
            <w:r>
              <w:rPr>
                <w:rFonts w:ascii="Calibri" w:hAnsi="Calibri"/>
                <w:b w:val="0"/>
                <w:i w:val="0"/>
                <w:color w:val="101828"/>
                <w:sz w:val="16"/>
              </w:rPr>
              <w:t>A fixed commitment to a person, not an account</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The group organiser</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Runs the Ajo today, spends hours on it, has no tools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Automated reminders, a live contribution status, and no need to chase people</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The small trader or artisan</w:t>
            </w:r>
          </w:p>
        </w:tc>
        <w:tc>
          <w:tcPr>
            <w:tcW w:type="dxa" w:w="3600"/>
            <w:tcMar>
              <w:top w:w="60" w:type="dxa"/>
              <w:start w:w="110" w:type="dxa"/>
              <w:bottom w:w="60" w:type="dxa"/>
              <w:end w:w="110" w:type="dxa"/>
            </w:tcMar>
          </w:tcPr>
          <w:p>
            <w:pPr>
              <w:spacing w:after="0"/>
            </w:pPr>
            <w:r/>
            <w:r>
              <w:rPr>
                <w:rFonts w:ascii="Calibri" w:hAnsi="Calibri"/>
                <w:b w:val="0"/>
                <w:i w:val="0"/>
                <w:color w:val="101828"/>
                <w:sz w:val="16"/>
              </w:rPr>
              <w:t>Turns capital over quickly, values liquidity</w:t>
            </w:r>
          </w:p>
        </w:tc>
        <w:tc>
          <w:tcPr>
            <w:tcW w:type="dxa" w:w="3456"/>
            <w:tcMar>
              <w:top w:w="60" w:type="dxa"/>
              <w:start w:w="110" w:type="dxa"/>
              <w:bottom w:w="60" w:type="dxa"/>
              <w:end w:w="110" w:type="dxa"/>
            </w:tcMar>
          </w:tcPr>
          <w:p>
            <w:pPr>
              <w:spacing w:after="0"/>
            </w:pPr>
            <w:r/>
            <w:r>
              <w:rPr>
                <w:rFonts w:ascii="Calibri" w:hAnsi="Calibri"/>
                <w:b w:val="0"/>
                <w:i w:val="0"/>
                <w:color w:val="101828"/>
                <w:sz w:val="16"/>
              </w:rPr>
              <w:t>A rotating structure rather than a locked savings account</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The diaspora family</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Wants to support relatives transparently and safely</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Visibility and a formal record, without handling anyone's bank details</w:t>
            </w:r>
          </w:p>
        </w:tc>
      </w:tr>
    </w:tbl>
    <w:p>
      <w:pPr>
        <w:spacing w:after="80"/>
      </w:pPr>
    </w:p>
    <w:p>
      <w:r>
        <w:rPr>
          <w:rFonts w:ascii="Calibri" w:hAnsi="Calibri"/>
          <w:b w:val="0"/>
          <w:i w:val="0"/>
          <w:color w:val="101828"/>
          <w:sz w:val="21"/>
        </w:rPr>
        <w:t>Not the target at MVP: institutional or corporate participation, investment products, high-value savers, and anyone seeking returns. Those are different products with different obligations.</w:t>
      </w:r>
    </w:p>
    <w:p>
      <w:pPr>
        <w:pStyle w:val="Heading2"/>
      </w:pPr>
      <w:r>
        <w:rPr>
          <w:rFonts w:ascii="Calibri" w:hAnsi="Calibri"/>
          <w:b/>
          <w:i w:val="0"/>
          <w:color w:val="146EF5"/>
          <w:sz w:val="29"/>
        </w:rPr>
        <w:t>The domain, in plain language</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Concept</w:t>
            </w:r>
          </w:p>
        </w:tc>
        <w:tc>
          <w:tcPr>
            <w:tcW w:type="dxa" w:w="3888"/>
            <w:shd w:val="clear" w:color="auto" w:fill="0B1F3A"/>
            <w:tcMar>
              <w:top w:w="60" w:type="dxa"/>
              <w:start w:w="110" w:type="dxa"/>
              <w:bottom w:w="60" w:type="dxa"/>
              <w:end w:w="110" w:type="dxa"/>
            </w:tcMar>
          </w:tcPr>
          <w:p>
            <w:pPr>
              <w:spacing w:after="0"/>
            </w:pPr>
            <w:r/>
            <w:r>
              <w:rPr>
                <w:rFonts w:ascii="Calibri" w:hAnsi="Calibri"/>
                <w:b/>
                <w:i w:val="0"/>
                <w:color w:val="FFFFFF"/>
                <w:sz w:val="16"/>
              </w:rPr>
              <w:t>What it means</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6"/>
              </w:rPr>
              <w:t>Example</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Ajo</w:t>
            </w:r>
          </w:p>
        </w:tc>
        <w:tc>
          <w:tcPr>
            <w:tcW w:type="dxa" w:w="3888"/>
            <w:tcMar>
              <w:top w:w="60" w:type="dxa"/>
              <w:start w:w="110" w:type="dxa"/>
              <w:bottom w:w="60" w:type="dxa"/>
              <w:end w:w="110" w:type="dxa"/>
            </w:tcMar>
          </w:tcPr>
          <w:p>
            <w:pPr>
              <w:spacing w:after="0"/>
            </w:pPr>
            <w:r/>
            <w:r>
              <w:rPr>
                <w:rFonts w:ascii="Calibri" w:hAnsi="Calibri"/>
                <w:b w:val="0"/>
                <w:i w:val="0"/>
                <w:color w:val="101828"/>
                <w:sz w:val="16"/>
              </w:rPr>
              <w:t>A group of members who rotate contributions on a fixed schedule</w:t>
            </w:r>
          </w:p>
        </w:tc>
        <w:tc>
          <w:tcPr>
            <w:tcW w:type="dxa" w:w="3456"/>
            <w:tcMar>
              <w:top w:w="60" w:type="dxa"/>
              <w:start w:w="110" w:type="dxa"/>
              <w:bottom w:w="60" w:type="dxa"/>
              <w:end w:w="110" w:type="dxa"/>
            </w:tcMar>
          </w:tcPr>
          <w:p>
            <w:pPr>
              <w:spacing w:after="0"/>
            </w:pPr>
            <w:r/>
            <w:r>
              <w:rPr>
                <w:rFonts w:ascii="Calibri" w:hAnsi="Calibri"/>
                <w:b w:val="0"/>
                <w:i w:val="0"/>
                <w:color w:val="101828"/>
                <w:sz w:val="16"/>
              </w:rPr>
              <w:t>10 members, weekly</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Round</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One collection cycle in the Ajo</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Round 3 of 10</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Contribution</w:t>
            </w:r>
          </w:p>
        </w:tc>
        <w:tc>
          <w:tcPr>
            <w:tcW w:type="dxa" w:w="3888"/>
            <w:tcMar>
              <w:top w:w="60" w:type="dxa"/>
              <w:start w:w="110" w:type="dxa"/>
              <w:bottom w:w="60" w:type="dxa"/>
              <w:end w:w="110" w:type="dxa"/>
            </w:tcMar>
          </w:tcPr>
          <w:p>
            <w:pPr>
              <w:spacing w:after="0"/>
            </w:pPr>
            <w:r/>
            <w:r>
              <w:rPr>
                <w:rFonts w:ascii="Calibri" w:hAnsi="Calibri"/>
                <w:b w:val="0"/>
                <w:i w:val="0"/>
                <w:color w:val="101828"/>
                <w:sz w:val="16"/>
              </w:rPr>
              <w:t>One member's payment for one round</w:t>
            </w:r>
          </w:p>
        </w:tc>
        <w:tc>
          <w:tcPr>
            <w:tcW w:type="dxa" w:w="3456"/>
            <w:tcMar>
              <w:top w:w="60" w:type="dxa"/>
              <w:start w:w="110" w:type="dxa"/>
              <w:bottom w:w="60" w:type="dxa"/>
              <w:end w:w="110" w:type="dxa"/>
            </w:tcMar>
          </w:tcPr>
          <w:p>
            <w:pPr>
              <w:spacing w:after="0"/>
            </w:pPr>
            <w:r/>
            <w:r>
              <w:rPr>
                <w:rFonts w:ascii="Calibri" w:hAnsi="Calibri"/>
                <w:b w:val="0"/>
                <w:i w:val="0"/>
                <w:color w:val="101828"/>
                <w:sz w:val="16"/>
              </w:rPr>
              <w:t>NGN 1,000</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Service fee</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2% charged on top of each contribution</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NGN 20</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Total charged</w:t>
            </w:r>
          </w:p>
        </w:tc>
        <w:tc>
          <w:tcPr>
            <w:tcW w:type="dxa" w:w="3888"/>
            <w:tcMar>
              <w:top w:w="60" w:type="dxa"/>
              <w:start w:w="110" w:type="dxa"/>
              <w:bottom w:w="60" w:type="dxa"/>
              <w:end w:w="110" w:type="dxa"/>
            </w:tcMar>
          </w:tcPr>
          <w:p>
            <w:pPr>
              <w:spacing w:after="0"/>
            </w:pPr>
            <w:r/>
            <w:r>
              <w:rPr>
                <w:rFonts w:ascii="Calibri" w:hAnsi="Calibri"/>
                <w:b w:val="0"/>
                <w:i w:val="0"/>
                <w:color w:val="101828"/>
                <w:sz w:val="16"/>
              </w:rPr>
              <w:t>Contribution plus fee</w:t>
            </w:r>
          </w:p>
        </w:tc>
        <w:tc>
          <w:tcPr>
            <w:tcW w:type="dxa" w:w="3456"/>
            <w:tcMar>
              <w:top w:w="60" w:type="dxa"/>
              <w:start w:w="110" w:type="dxa"/>
              <w:bottom w:w="60" w:type="dxa"/>
              <w:end w:w="110" w:type="dxa"/>
            </w:tcMar>
          </w:tcPr>
          <w:p>
            <w:pPr>
              <w:spacing w:after="0"/>
            </w:pPr>
            <w:r/>
            <w:r>
              <w:rPr>
                <w:rFonts w:ascii="Calibri" w:hAnsi="Calibri"/>
                <w:b w:val="0"/>
                <w:i w:val="0"/>
                <w:color w:val="101828"/>
                <w:sz w:val="16"/>
              </w:rPr>
              <w:t>NGN 1,020</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Pool</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The sum of all contributions in a round — what one member receives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NGN 10,000</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Position</w:t>
            </w:r>
          </w:p>
        </w:tc>
        <w:tc>
          <w:tcPr>
            <w:tcW w:type="dxa" w:w="3888"/>
            <w:tcMar>
              <w:top w:w="60" w:type="dxa"/>
              <w:start w:w="110" w:type="dxa"/>
              <w:bottom w:w="60" w:type="dxa"/>
              <w:end w:w="110" w:type="dxa"/>
            </w:tcMar>
          </w:tcPr>
          <w:p>
            <w:pPr>
              <w:spacing w:after="0"/>
            </w:pPr>
            <w:r/>
            <w:r>
              <w:rPr>
                <w:rFonts w:ascii="Calibri" w:hAnsi="Calibri"/>
                <w:b w:val="0"/>
                <w:i w:val="0"/>
                <w:color w:val="101828"/>
                <w:sz w:val="16"/>
              </w:rPr>
              <w:t>One member's place in one Ajo</w:t>
            </w:r>
          </w:p>
        </w:tc>
        <w:tc>
          <w:tcPr>
            <w:tcW w:type="dxa" w:w="3456"/>
            <w:tcMar>
              <w:top w:w="60" w:type="dxa"/>
              <w:start w:w="110" w:type="dxa"/>
              <w:bottom w:w="60" w:type="dxa"/>
              <w:end w:w="110" w:type="dxa"/>
            </w:tcMar>
          </w:tcPr>
          <w:p>
            <w:pPr>
              <w:spacing w:after="0"/>
            </w:pPr>
            <w:r/>
            <w:r>
              <w:rPr>
                <w:rFonts w:ascii="Calibri" w:hAnsi="Calibri"/>
                <w:b w:val="0"/>
                <w:i w:val="0"/>
                <w:color w:val="101828"/>
                <w:sz w:val="16"/>
              </w:rPr>
              <w:t>Member 7, round 7</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Payout</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The release of the pool to the member whose turn it is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NGN 10,000 to member 7</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Default</w:t>
            </w:r>
          </w:p>
        </w:tc>
        <w:tc>
          <w:tcPr>
            <w:tcW w:type="dxa" w:w="3888"/>
            <w:tcMar>
              <w:top w:w="60" w:type="dxa"/>
              <w:start w:w="110" w:type="dxa"/>
              <w:bottom w:w="60" w:type="dxa"/>
              <w:end w:w="110" w:type="dxa"/>
            </w:tcMar>
          </w:tcPr>
          <w:p>
            <w:pPr>
              <w:spacing w:after="0"/>
            </w:pPr>
            <w:r/>
            <w:r>
              <w:rPr>
                <w:rFonts w:ascii="Calibri" w:hAnsi="Calibri"/>
                <w:b w:val="0"/>
                <w:i w:val="0"/>
                <w:color w:val="101828"/>
                <w:sz w:val="16"/>
              </w:rPr>
              <w:t>A contribution not made by its deadline, after a 48-hour grace period</w:t>
            </w:r>
          </w:p>
        </w:tc>
        <w:tc>
          <w:tcPr>
            <w:tcW w:type="dxa" w:w="3456"/>
            <w:tcMar>
              <w:top w:w="60" w:type="dxa"/>
              <w:start w:w="110" w:type="dxa"/>
              <w:bottom w:w="60" w:type="dxa"/>
              <w:end w:w="110" w:type="dxa"/>
            </w:tcMar>
          </w:tcPr>
          <w:p>
            <w:pPr>
              <w:spacing w:after="0"/>
            </w:pPr>
            <w:r/>
            <w:r>
              <w:rPr>
                <w:rFonts w:ascii="Calibri" w:hAnsi="Calibri"/>
                <w:b w:val="0"/>
                <w:i w:val="0"/>
                <w:color w:val="101828"/>
                <w:sz w:val="16"/>
              </w:rPr>
              <w:t>Round 5 unpaid</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Recovery</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Curing a default, restoring the position without changing the pool</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Pays NGN 1,020 on day 2</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Enrollment window</w:t>
            </w:r>
          </w:p>
        </w:tc>
        <w:tc>
          <w:tcPr>
            <w:tcW w:type="dxa" w:w="3888"/>
            <w:tcMar>
              <w:top w:w="60" w:type="dxa"/>
              <w:start w:w="110" w:type="dxa"/>
              <w:bottom w:w="60" w:type="dxa"/>
              <w:end w:w="110" w:type="dxa"/>
            </w:tcMar>
          </w:tcPr>
          <w:p>
            <w:pPr>
              <w:spacing w:after="0"/>
            </w:pPr>
            <w:r/>
            <w:r>
              <w:rPr>
                <w:rFonts w:ascii="Calibri" w:hAnsi="Calibri"/>
                <w:b w:val="0"/>
                <w:i w:val="0"/>
                <w:color w:val="101828"/>
                <w:sz w:val="16"/>
              </w:rPr>
              <w:t>The 5 days in which members may join</w:t>
            </w:r>
          </w:p>
        </w:tc>
        <w:tc>
          <w:tcPr>
            <w:tcW w:type="dxa" w:w="3456"/>
            <w:tcMar>
              <w:top w:w="60" w:type="dxa"/>
              <w:start w:w="110" w:type="dxa"/>
              <w:bottom w:w="60" w:type="dxa"/>
              <w:end w:w="110" w:type="dxa"/>
            </w:tcMar>
          </w:tcPr>
          <w:p>
            <w:pPr>
              <w:spacing w:after="0"/>
            </w:pPr>
            <w:r/>
            <w:r>
              <w:rPr>
                <w:rFonts w:ascii="Calibri" w:hAnsi="Calibri"/>
                <w:b w:val="0"/>
                <w:i w:val="0"/>
                <w:color w:val="101828"/>
                <w:sz w:val="16"/>
              </w:rPr>
              <w:t>Opens at creation</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Activation</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The moment every position is fully paid, and positions lock</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Ajo becomes FUNDED</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Organizer</w:t>
            </w:r>
          </w:p>
        </w:tc>
        <w:tc>
          <w:tcPr>
            <w:tcW w:type="dxa" w:w="3888"/>
            <w:tcMar>
              <w:top w:w="60" w:type="dxa"/>
              <w:start w:w="110" w:type="dxa"/>
              <w:bottom w:w="60" w:type="dxa"/>
              <w:end w:w="110" w:type="dxa"/>
            </w:tcMar>
          </w:tcPr>
          <w:p>
            <w:pPr>
              <w:spacing w:after="0"/>
            </w:pPr>
            <w:r/>
            <w:r>
              <w:rPr>
                <w:rFonts w:ascii="Calibri" w:hAnsi="Calibri"/>
                <w:b w:val="0"/>
                <w:i w:val="0"/>
                <w:color w:val="101828"/>
                <w:sz w:val="16"/>
              </w:rPr>
              <w:t>The member who creates and runs the Ajo. Never touches money</w:t>
            </w:r>
          </w:p>
        </w:tc>
        <w:tc>
          <w:tcPr>
            <w:tcW w:type="dxa" w:w="3456"/>
            <w:tcMar>
              <w:top w:w="60" w:type="dxa"/>
              <w:start w:w="110" w:type="dxa"/>
              <w:bottom w:w="60" w:type="dxa"/>
              <w:end w:w="110" w:type="dxa"/>
            </w:tcMar>
          </w:tcPr>
          <w:p>
            <w:pPr>
              <w:spacing w:after="0"/>
            </w:pPr>
            <w:r/>
            <w:r>
              <w:rPr>
                <w:rFonts w:ascii="Calibri" w:hAnsi="Calibri"/>
                <w:b w:val="0"/>
                <w:i w:val="0"/>
                <w:color w:val="101828"/>
                <w:sz w:val="16"/>
              </w:rPr>
              <w:t>Amaka</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One Ajo, worked through.  </w:t>
      </w:r>
      <w:r>
        <w:rPr>
          <w:rFonts w:ascii="Calibri" w:hAnsi="Calibri"/>
          <w:b w:val="0"/>
          <w:i w:val="0"/>
          <w:color w:val="0B1F3A"/>
          <w:sz w:val="19"/>
        </w:rPr>
        <w:t>Ten members, NGN 10,000 weekly, ten rounds. Every member pays NGN 10,000 plus a NGN 200 fee, NGN 10,200, each week. The pool is NGN 100,000, and it goes to one member per round. In round 7 it goes to member 7. After ten rounds, every member has contributed NGN 102,000 in total — NGN 100,000 into the pool and NGN 2,000 in fees — and received NGN 1,000,000. The platform earned NGN 20,400.</w:t>
      </w:r>
    </w:p>
    <w:p>
      <w:pPr>
        <w:pStyle w:val="Heading2"/>
      </w:pPr>
      <w:r>
        <w:rPr>
          <w:rFonts w:ascii="Calibri" w:hAnsi="Calibri"/>
          <w:b/>
          <w:i w:val="0"/>
          <w:color w:val="146EF5"/>
          <w:sz w:val="29"/>
        </w:rPr>
        <w:t>The people and their roles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Role</w:t>
            </w:r>
          </w:p>
        </w:tc>
        <w:tc>
          <w:tcPr>
            <w:tcW w:type="dxa" w:w="3744"/>
            <w:shd w:val="clear" w:color="auto" w:fill="0B1F3A"/>
            <w:tcMar>
              <w:top w:w="60" w:type="dxa"/>
              <w:start w:w="110" w:type="dxa"/>
              <w:bottom w:w="60" w:type="dxa"/>
              <w:end w:w="110" w:type="dxa"/>
            </w:tcMar>
          </w:tcPr>
          <w:p>
            <w:pPr>
              <w:spacing w:after="0"/>
            </w:pPr>
            <w:r/>
            <w:r>
              <w:rPr>
                <w:rFonts w:ascii="Calibri" w:hAnsi="Calibri"/>
                <w:b/>
                <w:i w:val="0"/>
                <w:color w:val="FFFFFF"/>
                <w:sz w:val="16"/>
              </w:rPr>
              <w:t>What they do</w:t>
            </w:r>
          </w:p>
        </w:tc>
        <w:tc>
          <w:tcPr>
            <w:tcW w:type="dxa" w:w="3600"/>
            <w:shd w:val="clear" w:color="auto" w:fill="0B1F3A"/>
            <w:tcMar>
              <w:top w:w="60" w:type="dxa"/>
              <w:start w:w="110" w:type="dxa"/>
              <w:bottom w:w="60" w:type="dxa"/>
              <w:end w:w="110" w:type="dxa"/>
            </w:tcMar>
          </w:tcPr>
          <w:p>
            <w:pPr>
              <w:spacing w:after="0"/>
            </w:pPr>
            <w:r/>
            <w:r>
              <w:rPr>
                <w:rFonts w:ascii="Calibri" w:hAnsi="Calibri"/>
                <w:b/>
                <w:i w:val="0"/>
                <w:color w:val="FFFFFF"/>
                <w:sz w:val="16"/>
              </w:rPr>
              <w:t>What they cannot do</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Member (user)</w:t>
            </w:r>
          </w:p>
        </w:tc>
        <w:tc>
          <w:tcPr>
            <w:tcW w:type="dxa" w:w="3744"/>
            <w:tcMar>
              <w:top w:w="60" w:type="dxa"/>
              <w:start w:w="110" w:type="dxa"/>
              <w:bottom w:w="60" w:type="dxa"/>
              <w:end w:w="110" w:type="dxa"/>
            </w:tcMar>
          </w:tcPr>
          <w:p>
            <w:pPr>
              <w:spacing w:after="0"/>
            </w:pPr>
            <w:r/>
            <w:r>
              <w:rPr>
                <w:rFonts w:ascii="Calibri" w:hAnsi="Calibri"/>
                <w:b w:val="0"/>
                <w:i w:val="0"/>
                <w:color w:val="101828"/>
                <w:sz w:val="16"/>
              </w:rPr>
              <w:t>Joins an Ajo, contributes on schedule, receives their payout, manages their own money</w:t>
            </w:r>
          </w:p>
        </w:tc>
        <w:tc>
          <w:tcPr>
            <w:tcW w:type="dxa" w:w="3600"/>
            <w:tcMar>
              <w:top w:w="60" w:type="dxa"/>
              <w:start w:w="110" w:type="dxa"/>
              <w:bottom w:w="60" w:type="dxa"/>
              <w:end w:w="110" w:type="dxa"/>
            </w:tcMar>
          </w:tcPr>
          <w:p>
            <w:pPr>
              <w:spacing w:after="0"/>
            </w:pPr>
            <w:r/>
            <w:r>
              <w:rPr>
                <w:rFonts w:ascii="Calibri" w:hAnsi="Calibri"/>
                <w:b w:val="0"/>
                <w:i w:val="0"/>
                <w:color w:val="101828"/>
                <w:sz w:val="16"/>
              </w:rPr>
              <w:t>Remove themselves after activation, or take money out before their turn</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Ajo organizer</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Creates the Ajo, invites members, monitors contributions, sends reminders, acknowledges a default</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Handle money, charge a fee, request a BVN, remove an activated member, or edit the ledger</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Support agent</w:t>
            </w:r>
          </w:p>
        </w:tc>
        <w:tc>
          <w:tcPr>
            <w:tcW w:type="dxa" w:w="3744"/>
            <w:tcMar>
              <w:top w:w="60" w:type="dxa"/>
              <w:start w:w="110" w:type="dxa"/>
              <w:bottom w:w="60" w:type="dxa"/>
              <w:end w:w="110" w:type="dxa"/>
            </w:tcMar>
          </w:tcPr>
          <w:p>
            <w:pPr>
              <w:spacing w:after="0"/>
            </w:pPr>
            <w:r/>
            <w:r>
              <w:rPr>
                <w:rFonts w:ascii="Calibri" w:hAnsi="Calibri"/>
                <w:b w:val="0"/>
                <w:i w:val="0"/>
                <w:color w:val="101828"/>
                <w:sz w:val="16"/>
              </w:rPr>
              <w:t>Helps members, investigates transactions and payout status, escalates problems</w:t>
            </w:r>
          </w:p>
        </w:tc>
        <w:tc>
          <w:tcPr>
            <w:tcW w:type="dxa" w:w="3600"/>
            <w:tcMar>
              <w:top w:w="60" w:type="dxa"/>
              <w:start w:w="110" w:type="dxa"/>
              <w:bottom w:w="60" w:type="dxa"/>
              <w:end w:w="110" w:type="dxa"/>
            </w:tcMar>
          </w:tcPr>
          <w:p>
            <w:pPr>
              <w:spacing w:after="0"/>
            </w:pPr>
            <w:r/>
            <w:r>
              <w:rPr>
                <w:rFonts w:ascii="Calibri" w:hAnsi="Calibri"/>
                <w:b w:val="0"/>
                <w:i w:val="0"/>
                <w:color w:val="101828"/>
                <w:sz w:val="16"/>
              </w:rPr>
              <w:t>Move money, alter the ledger, or decide a dispute outcome</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Risk officer</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Reviews fraud alerts, places holds, freezes, runs investigations, files reports where required</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Edit the ledger, or block a payout that is already owed without reason</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Finance / reconciliation</w:t>
            </w:r>
          </w:p>
        </w:tc>
        <w:tc>
          <w:tcPr>
            <w:tcW w:type="dxa" w:w="3744"/>
            <w:tcMar>
              <w:top w:w="60" w:type="dxa"/>
              <w:start w:w="110" w:type="dxa"/>
              <w:bottom w:w="60" w:type="dxa"/>
              <w:end w:w="110" w:type="dxa"/>
            </w:tcMar>
          </w:tcPr>
          <w:p>
            <w:pPr>
              <w:spacing w:after="0"/>
            </w:pPr>
            <w:r/>
            <w:r>
              <w:rPr>
                <w:rFonts w:ascii="Calibri" w:hAnsi="Calibri"/>
                <w:b w:val="0"/>
                <w:i w:val="0"/>
                <w:color w:val="101828"/>
                <w:sz w:val="16"/>
              </w:rPr>
              <w:t>Runs the daily reconciliations, month-end close, and manual money operations</w:t>
            </w:r>
          </w:p>
        </w:tc>
        <w:tc>
          <w:tcPr>
            <w:tcW w:type="dxa" w:w="3600"/>
            <w:tcMar>
              <w:top w:w="60" w:type="dxa"/>
              <w:start w:w="110" w:type="dxa"/>
              <w:bottom w:w="60" w:type="dxa"/>
              <w:end w:w="110" w:type="dxa"/>
            </w:tcMar>
          </w:tcPr>
          <w:p>
            <w:pPr>
              <w:spacing w:after="0"/>
            </w:pPr>
            <w:r/>
            <w:r>
              <w:rPr>
                <w:rFonts w:ascii="Calibri" w:hAnsi="Calibri"/>
                <w:b w:val="0"/>
                <w:i w:val="0"/>
                <w:color w:val="101828"/>
                <w:sz w:val="16"/>
              </w:rPr>
              <w:t>Move money without dual authorisation</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Super admin</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Platform administration, roles, escalations, and oversight</w:t>
            </w:r>
          </w:p>
        </w:tc>
        <w:tc>
          <w:tcPr>
            <w:tcW w:type="dxa" w:w="3600"/>
            <w:tcMar>
              <w:top w:w="60" w:type="dxa"/>
              <w:start w:w="110" w:type="dxa"/>
              <w:bottom w:w="60" w:type="dxa"/>
              <w:end w:w="110" w:type="dxa"/>
            </w:tcMar>
            <w:shd w:val="clear" w:color="auto" w:fill="F4F7FB"/>
          </w:tcPr>
          <w:p>
            <w:pPr>
              <w:spacing w:after="0"/>
            </w:pPr>
            <w:r/>
            <w:r>
              <w:rPr>
                <w:rFonts w:ascii="Calibri" w:hAnsi="Calibri"/>
                <w:b/>
                <w:color w:val="101828"/>
                <w:sz w:val="16"/>
              </w:rPr>
              <w:t>Edit or delete a ledger entry. No role can, and this is deliberate</w:t>
            </w:r>
          </w:p>
        </w:tc>
      </w:tr>
    </w:tbl>
    <w:p>
      <w:pPr>
        <w:spacing w:after="80"/>
      </w:pPr>
    </w:p>
    <w:p>
      <w:pPr>
        <w:pStyle w:val="Heading2"/>
      </w:pPr>
      <w:r>
        <w:rPr>
          <w:rFonts w:ascii="Calibri" w:hAnsi="Calibri"/>
          <w:b/>
          <w:i w:val="0"/>
          <w:color w:val="146EF5"/>
          <w:sz w:val="29"/>
        </w:rPr>
        <w:t>The Ajo lifecycle</w:t>
      </w:r>
    </w:p>
    <w:p>
      <w:pPr>
        <w:spacing w:before="0" w:after="0" w:line="240" w:lineRule="auto"/>
        <w:ind w:left="230"/>
        <w:shd w:val="clear" w:color="auto" w:fill="F7F9FC"/>
        <w:pBdr>
          <w:left w:val="single" w:sz="4" w:space="6" w:color="D0D5DD"/>
        </w:pBdr>
      </w:pPr>
      <w:r>
        <w:rPr>
          <w:rFonts w:ascii="Consolas" w:hAnsi="Consolas"/>
          <w:color w:val="0B1F3A"/>
          <w:sz w:val="15"/>
        </w:rPr>
        <w:t xml:space="preserve">  DRAFT ──organizer configures──▶ OPEN ──5-day window closes, all paid──▶ FUNDED</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└──cancelled, all refunded──▶ CANCELLED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└──abandoned──▶ CANCELLED                                          ACTIVE ──all rounds──▶ COMPLETED</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HELD (shortfall) ◀──────────────────┘</w:t>
      </w:r>
    </w:p>
    <w:p>
      <w:r>
        <w:rPr>
          <w:rFonts w:ascii="Consolas" w:hAnsi="Consolas"/>
          <w:color w:val="146EF5"/>
          <w:sz w:val="21"/>
        </w:rPr>
        <w:t>COMPLETED</w:t>
      </w:r>
      <w:r>
        <w:rPr>
          <w:rFonts w:ascii="Calibri" w:hAnsi="Calibri"/>
          <w:b w:val="0"/>
          <w:i w:val="0"/>
          <w:color w:val="101828"/>
          <w:sz w:val="21"/>
        </w:rPr>
        <w:t xml:space="preserve"> and </w:t>
      </w:r>
      <w:r>
        <w:rPr>
          <w:rFonts w:ascii="Consolas" w:hAnsi="Consolas"/>
          <w:color w:val="146EF5"/>
          <w:sz w:val="21"/>
        </w:rPr>
        <w:t>CANCELLED</w:t>
      </w:r>
      <w:r>
        <w:rPr>
          <w:rFonts w:ascii="Calibri" w:hAnsi="Calibri"/>
          <w:b w:val="0"/>
          <w:i w:val="0"/>
          <w:color w:val="101828"/>
          <w:sz w:val="21"/>
        </w:rPr>
        <w:t xml:space="preserve"> are terminal. The 5-day enrollment window is enforced server-side and tested at its boundary. A position locks at activation and can never be unlocked or removed. </w:t>
      </w:r>
      <w:r>
        <w:rPr>
          <w:rFonts w:ascii="Consolas" w:hAnsi="Consolas"/>
          <w:color w:val="146EF5"/>
          <w:sz w:val="21"/>
        </w:rPr>
        <w:t>HELD</w:t>
      </w:r>
      <w:r>
        <w:rPr>
          <w:rFonts w:ascii="Calibri" w:hAnsi="Calibri"/>
          <w:b w:val="0"/>
          <w:i w:val="0"/>
          <w:color w:val="101828"/>
          <w:sz w:val="21"/>
        </w:rPr>
        <w:t xml:space="preserve"> is a structural shortfall — the pool is not fully funded — and it is resolved, never written off silently.</w:t>
      </w:r>
    </w:p>
    <w:p>
      <w:pPr>
        <w:pStyle w:val="Heading2"/>
      </w:pPr>
      <w:r>
        <w:rPr>
          <w:rFonts w:ascii="Calibri" w:hAnsi="Calibri"/>
          <w:b/>
          <w:i w:val="0"/>
          <w:color w:val="146EF5"/>
          <w:sz w:val="29"/>
        </w:rPr>
        <w:t>How money moves</w:t>
      </w:r>
    </w:p>
    <w:p>
      <w:pPr>
        <w:pStyle w:val="ListNumber"/>
        <w:spacing w:after="60"/>
        <w:ind w:left="432"/>
      </w:pPr>
      <w:r>
        <w:rPr>
          <w:rFonts w:ascii="Calibri" w:hAnsi="Calibri"/>
          <w:b/>
          <w:color w:val="101828"/>
          <w:sz w:val="21"/>
        </w:rPr>
        <w:t>The member initiates.</w:t>
      </w:r>
      <w:r>
        <w:rPr>
          <w:rFonts w:ascii="Calibri" w:hAnsi="Calibri"/>
          <w:b w:val="0"/>
          <w:i w:val="0"/>
          <w:color w:val="101828"/>
          <w:sz w:val="21"/>
        </w:rPr>
        <w:t xml:space="preserve"> They choose a rail — card, bank transfer, mobile money, or USSD — and are shown the itemised breakdown: contribution, fee, total.</w:t>
      </w:r>
    </w:p>
    <w:p>
      <w:pPr>
        <w:pStyle w:val="ListNumber"/>
        <w:spacing w:after="60"/>
        <w:ind w:left="432"/>
      </w:pPr>
      <w:r>
        <w:rPr>
          <w:rFonts w:ascii="Calibri" w:hAnsi="Calibri"/>
          <w:b/>
          <w:color w:val="101828"/>
          <w:sz w:val="21"/>
        </w:rPr>
        <w:t>A pending entry is recorded</w:t>
      </w:r>
      <w:r>
        <w:rPr>
          <w:rFonts w:ascii="Calibri" w:hAnsi="Calibri"/>
          <w:b w:val="0"/>
          <w:i w:val="0"/>
          <w:color w:val="101828"/>
          <w:sz w:val="21"/>
        </w:rPr>
        <w:t>, holding a claim on escrow cash, before anything is attempted.</w:t>
      </w:r>
    </w:p>
    <w:p>
      <w:pPr>
        <w:pStyle w:val="ListNumber"/>
        <w:spacing w:after="60"/>
        <w:ind w:left="432"/>
      </w:pPr>
      <w:r>
        <w:rPr>
          <w:rFonts w:ascii="Calibri" w:hAnsi="Calibri"/>
          <w:b/>
          <w:color w:val="101828"/>
          <w:sz w:val="21"/>
        </w:rPr>
        <w:t>The provider confirms by webhook.</w:t>
      </w:r>
      <w:r>
        <w:rPr>
          <w:rFonts w:ascii="Calibri" w:hAnsi="Calibri"/>
          <w:b w:val="0"/>
          <w:i w:val="0"/>
          <w:color w:val="101828"/>
          <w:sz w:val="21"/>
        </w:rPr>
        <w:t xml:space="preserve"> A verified webhook is the only thing that marks a contribution paid. A browser redirect is a hint, not evidence.</w:t>
      </w:r>
    </w:p>
    <w:p>
      <w:pPr>
        <w:pStyle w:val="ListNumber"/>
        <w:spacing w:after="60"/>
        <w:ind w:left="432"/>
      </w:pPr>
      <w:r>
        <w:rPr>
          <w:rFonts w:ascii="Calibri" w:hAnsi="Calibri"/>
          <w:b/>
          <w:color w:val="101828"/>
          <w:sz w:val="21"/>
        </w:rPr>
        <w:t>The capture entries post, each balanced:</w:t>
      </w:r>
      <w:r>
        <w:rPr>
          <w:rFonts w:ascii="Calibri" w:hAnsi="Calibri"/>
          <w:b w:val="0"/>
          <w:i w:val="0"/>
          <w:color w:val="101828"/>
          <w:sz w:val="21"/>
        </w:rPr>
        <w:t xml:space="preserve"> debit escrow cash and credit contributions receivable for the contribution, then debit escrow cash and credit fee income for the 2%. The position becomes funded and the member is notified.</w:t>
      </w:r>
    </w:p>
    <w:p>
      <w:pPr>
        <w:pStyle w:val="ListNumber"/>
        <w:spacing w:after="60"/>
        <w:ind w:left="432"/>
      </w:pPr>
      <w:r>
        <w:rPr>
          <w:rFonts w:ascii="Calibri" w:hAnsi="Calibri"/>
          <w:b/>
          <w:color w:val="101828"/>
          <w:sz w:val="21"/>
        </w:rPr>
        <w:t>At the scheduled date, the Ajo completes</w:t>
      </w:r>
      <w:r>
        <w:rPr>
          <w:rFonts w:ascii="Calibri" w:hAnsi="Calibri"/>
          <w:b w:val="0"/>
          <w:i w:val="0"/>
          <w:color w:val="101828"/>
          <w:sz w:val="21"/>
        </w:rPr>
        <w:t xml:space="preserve"> and a batch payout is released to every member whose turn has come.</w:t>
      </w:r>
    </w:p>
    <w:p>
      <w:pPr>
        <w:pStyle w:val="ListNumber"/>
        <w:spacing w:after="60"/>
        <w:ind w:left="432"/>
      </w:pPr>
      <w:r>
        <w:rPr>
          <w:rFonts w:ascii="Calibri" w:hAnsi="Calibri"/>
          <w:b/>
          <w:color w:val="101828"/>
          <w:sz w:val="21"/>
        </w:rPr>
        <w:t>Each payout posts two entries:</w:t>
      </w:r>
      <w:r>
        <w:rPr>
          <w:rFonts w:ascii="Calibri" w:hAnsi="Calibri"/>
          <w:b w:val="0"/>
          <w:i w:val="0"/>
          <w:color w:val="101828"/>
          <w:sz w:val="21"/>
        </w:rPr>
        <w:t xml:space="preserve"> recognition moves the obligation, settlement moves the cash. The receipt is generated and the member is notified.</w:t>
      </w:r>
    </w:p>
    <w:p>
      <w:pPr>
        <w:pStyle w:val="ListNumber"/>
        <w:spacing w:after="60"/>
        <w:ind w:left="432"/>
      </w:pPr>
      <w:r>
        <w:rPr>
          <w:rFonts w:ascii="Calibri" w:hAnsi="Calibri"/>
          <w:b/>
          <w:color w:val="101828"/>
          <w:sz w:val="21"/>
        </w:rPr>
        <w:t>Daily, three reconciliations run</w:t>
      </w:r>
      <w:r>
        <w:rPr>
          <w:rFonts w:ascii="Calibri" w:hAnsi="Calibri"/>
          <w:b w:val="0"/>
          <w:i w:val="0"/>
          <w:color w:val="101828"/>
          <w:sz w:val="21"/>
        </w:rPr>
        <w:t xml:space="preserve"> — against the provider, against the bank, and internally. Any break halts new payouts.</w:t>
      </w:r>
    </w:p>
    <w:p>
      <w:pPr>
        <w:spacing w:before="140" w:after="180"/>
        <w:ind w:left="144"/>
        <w:shd w:val="clear" w:color="auto" w:fill="FEF3C7"/>
        <w:pBdr>
          <w:left w:val="single" w:sz="18" w:space="6" w:color="FBBF24"/>
        </w:pBdr>
      </w:pPr>
      <w:r>
        <w:rPr>
          <w:rFonts w:ascii="Calibri" w:hAnsi="Calibri"/>
          <w:b/>
          <w:color w:val="FBBF24"/>
          <w:sz w:val="19"/>
        </w:rPr>
        <w:t xml:space="preserve">The two-entry payout is not an implementation detail.  </w:t>
      </w:r>
      <w:r>
        <w:rPr>
          <w:rFonts w:ascii="Calibri" w:hAnsi="Calibri"/>
          <w:b w:val="0"/>
          <w:i w:val="0"/>
          <w:color w:val="0B1F3A"/>
          <w:sz w:val="19"/>
        </w:rPr>
        <w:t>Splitting recognition from settlement is what makes it possible, at any moment, to answer the question an auditor will ask: how much do you owe your members right now? Collapsing the two entries would make that question unanswerable, and would make a failure mid-payout unrecoverable.</w:t>
      </w:r>
    </w:p>
    <w:p>
      <w:pPr>
        <w:pStyle w:val="Heading2"/>
      </w:pPr>
      <w:r>
        <w:rPr>
          <w:rFonts w:ascii="Calibri" w:hAnsi="Calibri"/>
          <w:b/>
          <w:i w:val="0"/>
          <w:color w:val="146EF5"/>
          <w:sz w:val="29"/>
        </w:rPr>
        <w:t>What the product refuses to do</w:t>
      </w:r>
    </w:p>
    <w:p>
      <w:r>
        <w:rPr>
          <w:rFonts w:ascii="Calibri" w:hAnsi="Calibri"/>
          <w:b w:val="0"/>
          <w:i w:val="0"/>
          <w:color w:val="101828"/>
          <w:sz w:val="21"/>
        </w:rPr>
        <w:t>The exclusions are design decisions, and several of them are the reason the product is defensible.</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6"/>
              </w:rPr>
              <w:t>Refusal</w:t>
            </w:r>
          </w:p>
        </w:tc>
        <w:tc>
          <w:tcPr>
            <w:tcW w:type="dxa" w:w="6192"/>
            <w:shd w:val="clear" w:color="auto" w:fill="0B1F3A"/>
            <w:tcMar>
              <w:top w:w="60" w:type="dxa"/>
              <w:start w:w="110" w:type="dxa"/>
              <w:bottom w:w="60" w:type="dxa"/>
              <w:end w:w="110" w:type="dxa"/>
            </w:tcMar>
          </w:tcPr>
          <w:p>
            <w:pPr>
              <w:spacing w:after="0"/>
            </w:pPr>
            <w:r/>
            <w:r>
              <w:rPr>
                <w:rFonts w:ascii="Calibri" w:hAnsi="Calibri"/>
                <w:b/>
                <w:i w:val="0"/>
                <w:color w:val="FFFFFF"/>
                <w:sz w:val="16"/>
              </w:rPr>
              <w:t>Reason</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No yield, no interest, no returns</w:t>
            </w:r>
          </w:p>
        </w:tc>
        <w:tc>
          <w:tcPr>
            <w:tcW w:type="dxa" w:w="6192"/>
            <w:tcMar>
              <w:top w:w="60" w:type="dxa"/>
              <w:start w:w="110" w:type="dxa"/>
              <w:bottom w:w="60" w:type="dxa"/>
              <w:end w:w="110" w:type="dxa"/>
            </w:tcMar>
          </w:tcPr>
          <w:p>
            <w:pPr>
              <w:spacing w:after="0"/>
            </w:pPr>
            <w:r/>
            <w:r>
              <w:rPr>
                <w:rFonts w:ascii="Calibri" w:hAnsi="Calibri"/>
                <w:b w:val="0"/>
                <w:i w:val="0"/>
                <w:color w:val="101828"/>
                <w:sz w:val="16"/>
              </w:rPr>
              <w:t>It is a savings group, not an investment product. A return would change its legal character and mislead every member who read it</w:t>
            </w:r>
          </w:p>
        </w:tc>
      </w:tr>
      <w:tr>
        <w:trPr>
          <w:cantSplit/>
        </w:trPr>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No public defaulters list</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6"/>
              </w:rPr>
              <w:t>A member in financial difficulty is the most vulnerable person in the transaction. BR-019</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No extra charge on other members for a default</w:t>
            </w:r>
          </w:p>
        </w:tc>
        <w:tc>
          <w:tcPr>
            <w:tcW w:type="dxa" w:w="6192"/>
            <w:tcMar>
              <w:top w:w="60" w:type="dxa"/>
              <w:start w:w="110" w:type="dxa"/>
              <w:bottom w:w="60" w:type="dxa"/>
              <w:end w:w="110" w:type="dxa"/>
            </w:tcMar>
          </w:tcPr>
          <w:p>
            <w:pPr>
              <w:spacing w:after="0"/>
            </w:pPr>
            <w:r/>
            <w:r>
              <w:rPr>
                <w:rFonts w:ascii="Calibri" w:hAnsi="Calibri"/>
                <w:b w:val="0"/>
                <w:i w:val="0"/>
                <w:color w:val="101828"/>
                <w:sz w:val="16"/>
              </w:rPr>
              <w:t>Nobody agreed to cover someone else's commitment. BR-018</w:t>
            </w:r>
          </w:p>
        </w:tc>
      </w:tr>
      <w:tr>
        <w:trPr>
          <w:cantSplit/>
        </w:trPr>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No partial payouts</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6"/>
              </w:rPr>
              <w:t>A member receives the full pool or nothing. A reduced payout is a smaller loss of trust than a delayed one</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No unilateral post-activation exit</w:t>
            </w:r>
          </w:p>
        </w:tc>
        <w:tc>
          <w:tcPr>
            <w:tcW w:type="dxa" w:w="6192"/>
            <w:tcMar>
              <w:top w:w="60" w:type="dxa"/>
              <w:start w:w="110" w:type="dxa"/>
              <w:bottom w:w="60" w:type="dxa"/>
              <w:end w:w="110" w:type="dxa"/>
            </w:tcMar>
          </w:tcPr>
          <w:p>
            <w:pPr>
              <w:spacing w:after="0"/>
            </w:pPr>
            <w:r/>
            <w:r>
              <w:rPr>
                <w:rFonts w:ascii="Calibri" w:hAnsi="Calibri"/>
                <w:b w:val="0"/>
                <w:i w:val="0"/>
                <w:color w:val="101828"/>
                <w:sz w:val="16"/>
              </w:rPr>
              <w:t>An exit would break commitments already funded by others</w:t>
            </w:r>
          </w:p>
        </w:tc>
      </w:tr>
      <w:tr>
        <w:trPr>
          <w:cantSplit/>
        </w:trPr>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No organizer custody of money</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6"/>
              </w:rPr>
              <w:t>The organizer facilitates; the platform contracts and holds the funds. Ambiguity here is the platform's biggest unmanaged risk</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No money through chat</w:t>
            </w:r>
          </w:p>
        </w:tc>
        <w:tc>
          <w:tcPr>
            <w:tcW w:type="dxa" w:w="6192"/>
            <w:tcMar>
              <w:top w:w="60" w:type="dxa"/>
              <w:start w:w="110" w:type="dxa"/>
              <w:bottom w:w="60" w:type="dxa"/>
              <w:end w:w="110" w:type="dxa"/>
            </w:tcMar>
          </w:tcPr>
          <w:p>
            <w:pPr>
              <w:spacing w:after="0"/>
            </w:pPr>
            <w:r/>
            <w:r>
              <w:rPr>
                <w:rFonts w:ascii="Calibri" w:hAnsi="Calibri"/>
                <w:b w:val="0"/>
                <w:i w:val="0"/>
                <w:color w:val="101828"/>
                <w:sz w:val="16"/>
              </w:rPr>
              <w:t>Every money event happens in the product, where it is recorded</w:t>
            </w:r>
          </w:p>
        </w:tc>
      </w:tr>
      <w:tr>
        <w:trPr>
          <w:cantSplit/>
        </w:trPr>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No automated decisioning on a member's money</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6"/>
              </w:rPr>
              <w:t>Risk scoring informs a human decision. It never autonomously confiscates or denies a payout</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No public directory, no open social features</w:t>
            </w:r>
          </w:p>
        </w:tc>
        <w:tc>
          <w:tcPr>
            <w:tcW w:type="dxa" w:w="6192"/>
            <w:tcMar>
              <w:top w:w="60" w:type="dxa"/>
              <w:start w:w="110" w:type="dxa"/>
              <w:bottom w:w="60" w:type="dxa"/>
              <w:end w:w="110" w:type="dxa"/>
            </w:tcMar>
          </w:tcPr>
          <w:p>
            <w:pPr>
              <w:spacing w:after="0"/>
            </w:pPr>
            <w:r/>
            <w:r>
              <w:rPr>
                <w:rFonts w:ascii="Calibri" w:hAnsi="Calibri"/>
                <w:b w:val="0"/>
                <w:i w:val="0"/>
                <w:color w:val="101828"/>
                <w:sz w:val="16"/>
              </w:rPr>
              <w:t>Trust is the product. An open member directory is a fraud and harassment surface</w:t>
            </w:r>
          </w:p>
        </w:tc>
      </w:tr>
    </w:tbl>
    <w:p>
      <w:pPr>
        <w:spacing w:after="80"/>
      </w:pPr>
    </w:p>
    <w:p>
      <w:pPr>
        <w:pStyle w:val="Heading2"/>
      </w:pPr>
      <w:r>
        <w:rPr>
          <w:rFonts w:ascii="Calibri" w:hAnsi="Calibri"/>
          <w:b/>
          <w:i w:val="0"/>
          <w:color w:val="146EF5"/>
          <w:sz w:val="29"/>
        </w:rPr>
        <w:t>The trust promise</w:t>
      </w:r>
    </w:p>
    <w:p>
      <w:r>
        <w:rPr>
          <w:rFonts w:ascii="Calibri" w:hAnsi="Calibri"/>
          <w:b w:val="0"/>
          <w:i w:val="0"/>
          <w:color w:val="101828"/>
          <w:sz w:val="21"/>
        </w:rPr>
        <w:t>Everything above reduces to a single promise a member can rely on, and it is worth stating plainly.</w:t>
      </w:r>
    </w:p>
    <w:p>
      <w:pPr>
        <w:spacing w:before="140" w:after="180"/>
        <w:ind w:left="144"/>
        <w:shd w:val="clear" w:color="auto" w:fill="EFF6FF"/>
        <w:pBdr>
          <w:left w:val="single" w:sz="18" w:space="6" w:color="146EF5"/>
        </w:pBdr>
      </w:pPr>
      <w:r>
        <w:rPr>
          <w:rFonts w:ascii="Calibri" w:hAnsi="Calibri"/>
          <w:b/>
          <w:color w:val="146EF5"/>
          <w:sz w:val="19"/>
        </w:rPr>
        <w:t xml:space="preserve">What AJO.ng promises its members.  </w:t>
      </w:r>
      <w:r>
        <w:rPr>
          <w:rFonts w:ascii="Calibri" w:hAnsi="Calibri"/>
          <w:b w:val="0"/>
          <w:i w:val="0"/>
          <w:color w:val="0B1F3A"/>
          <w:sz w:val="19"/>
        </w:rPr>
        <w:t>Your contribution is recorded the moment it is confirmed, and not before. You always know what you owe, what you have paid, and what you will receive. You are told in advance when something is late, held, or under review — never after the fact. Nobody's money is ever released to a destination they did not authorise. A payment problem is never blamed on you before it is investigated. And no circumstance, including a security freeze, prevents you from receiving money you have already earned.</w:t>
      </w:r>
    </w:p>
    <w:p>
      <w:r>
        <w:br w:type="page"/>
      </w:r>
    </w:p>
    <w:p>
      <w:pPr>
        <w:pStyle w:val="Heading1"/>
        <w:pBdr>
          <w:bottom w:val="single" w:sz="12" w:space="6" w:color="146EF5"/>
        </w:pBdr>
        <w:spacing w:after="240"/>
      </w:pPr>
      <w:r>
        <w:rPr>
          <w:rFonts w:ascii="Calibri" w:hAnsi="Calibri"/>
          <w:b/>
          <w:i w:val="0"/>
          <w:color w:val="0B1F3A"/>
          <w:sz w:val="40"/>
        </w:rPr>
        <w:t>1. Product Requirements Document</w:t>
      </w:r>
    </w:p>
    <w:p>
      <w:pPr>
        <w:spacing w:after="200"/>
      </w:pPr>
      <w:r>
        <w:rPr>
          <w:rFonts w:ascii="Calibri" w:hAnsi="Calibri"/>
          <w:b w:val="0"/>
          <w:i w:val="0"/>
          <w:color w:val="475467"/>
          <w:sz w:val="24"/>
        </w:rPr>
        <w:t>This section defines what AJO.ng is, for whom, what it promises, and exactly what it will and will not do at launch. It is a product document, not a licensing opinion, not a tax opinion and not a statement of regulatory compliance. Every claim about Nigerian financial regulation, data protection or payment-provider capability in this document is marked for verification by qualified Nigerian professionals and by the appointed payment partner.</w:t>
      </w:r>
    </w:p>
    <w:p>
      <w:pPr>
        <w:spacing w:after="40"/>
        <w:ind w:left="173"/>
      </w:pPr>
      <w:r>
        <w:rPr>
          <w:rFonts w:ascii="Calibri" w:hAnsi="Calibri"/>
          <w:b/>
          <w:color w:val="0B1F3A"/>
          <w:sz w:val="21"/>
        </w:rPr>
        <w:t xml:space="preserve">Product  </w:t>
      </w:r>
      <w:r>
        <w:rPr>
          <w:rFonts w:ascii="Calibri" w:hAnsi="Calibri"/>
          <w:b w:val="0"/>
          <w:i w:val="0"/>
          <w:color w:val="101828"/>
          <w:sz w:val="21"/>
        </w:rPr>
        <w:t>AJO.ng</w:t>
      </w:r>
    </w:p>
    <w:p>
      <w:pPr>
        <w:spacing w:after="40"/>
        <w:ind w:left="173"/>
      </w:pPr>
      <w:r>
        <w:rPr>
          <w:rFonts w:ascii="Calibri" w:hAnsi="Calibri"/>
          <w:b/>
          <w:color w:val="0B1F3A"/>
          <w:sz w:val="21"/>
        </w:rPr>
        <w:t xml:space="preserve">Tagline  </w:t>
      </w:r>
      <w:r>
        <w:rPr>
          <w:rFonts w:ascii="Calibri" w:hAnsi="Calibri"/>
          <w:i/>
          <w:color w:val="101828"/>
          <w:sz w:val="21"/>
        </w:rPr>
        <w:t>Your Ajo. Your Story.</w:t>
      </w:r>
    </w:p>
    <w:p>
      <w:pPr>
        <w:spacing w:after="40"/>
        <w:ind w:left="173"/>
      </w:pPr>
      <w:r>
        <w:rPr>
          <w:rFonts w:ascii="Calibri" w:hAnsi="Calibri"/>
          <w:b/>
          <w:color w:val="0B1F3A"/>
          <w:sz w:val="21"/>
        </w:rPr>
        <w:t xml:space="preserve">Category  </w:t>
      </w:r>
      <w:r>
        <w:rPr>
          <w:rFonts w:ascii="Calibri" w:hAnsi="Calibri"/>
          <w:b w:val="0"/>
          <w:i w:val="0"/>
          <w:color w:val="101828"/>
          <w:sz w:val="21"/>
        </w:rPr>
        <w:t>Savings / rotating-savings fintech</w:t>
      </w:r>
    </w:p>
    <w:p>
      <w:pPr>
        <w:spacing w:after="40"/>
        <w:ind w:left="173"/>
      </w:pPr>
      <w:r>
        <w:rPr>
          <w:rFonts w:ascii="Calibri" w:hAnsi="Calibri"/>
          <w:b/>
          <w:color w:val="0B1F3A"/>
          <w:sz w:val="21"/>
        </w:rPr>
        <w:t xml:space="preserve">Founders  </w:t>
      </w:r>
      <w:r>
        <w:rPr>
          <w:rFonts w:ascii="Calibri" w:hAnsi="Calibri"/>
          <w:b w:val="0"/>
          <w:i w:val="0"/>
          <w:color w:val="101828"/>
          <w:sz w:val="21"/>
        </w:rPr>
        <w:t>Abdurrahman Lawal and Abdurrahman Oriolowo</w:t>
      </w:r>
    </w:p>
    <w:p>
      <w:pPr>
        <w:spacing w:after="40"/>
        <w:ind w:left="173"/>
      </w:pPr>
      <w:r>
        <w:rPr>
          <w:rFonts w:ascii="Calibri" w:hAnsi="Calibri"/>
          <w:b/>
          <w:color w:val="0B1F3A"/>
          <w:sz w:val="21"/>
        </w:rPr>
        <w:t xml:space="preserve">Stage  </w:t>
      </w:r>
      <w:r>
        <w:rPr>
          <w:rFonts w:ascii="Calibri" w:hAnsi="Calibri"/>
          <w:b w:val="0"/>
          <w:i w:val="0"/>
          <w:color w:val="101828"/>
          <w:sz w:val="21"/>
        </w:rPr>
        <w:t>Pre-launch. No live transaction volume. No customer data.</w:t>
      </w:r>
    </w:p>
    <w:p>
      <w:pPr>
        <w:spacing w:after="40"/>
        <w:ind w:left="173"/>
      </w:pPr>
      <w:r>
        <w:rPr>
          <w:rFonts w:ascii="Calibri" w:hAnsi="Calibri"/>
          <w:b/>
          <w:color w:val="0B1F3A"/>
          <w:sz w:val="21"/>
        </w:rPr>
        <w:t xml:space="preserve">Revenue model  </w:t>
      </w:r>
      <w:r>
        <w:rPr>
          <w:rFonts w:ascii="Calibri" w:hAnsi="Calibri"/>
          <w:b w:val="0"/>
          <w:i w:val="0"/>
          <w:color w:val="101828"/>
          <w:sz w:val="21"/>
        </w:rPr>
        <w:t>2% platform fee on every contribution deposit (locked)</w:t>
      </w:r>
    </w:p>
    <w:p>
      <w:pPr>
        <w:spacing w:after="40"/>
        <w:ind w:left="173"/>
      </w:pPr>
      <w:r>
        <w:rPr>
          <w:rFonts w:ascii="Calibri" w:hAnsi="Calibri"/>
          <w:b/>
          <w:color w:val="0B1F3A"/>
          <w:sz w:val="21"/>
        </w:rPr>
        <w:t xml:space="preserve">This section covers  </w:t>
      </w:r>
      <w:r>
        <w:rPr>
          <w:rFonts w:ascii="Calibri" w:hAnsi="Calibri"/>
          <w:b w:val="0"/>
          <w:i w:val="0"/>
          <w:color w:val="101828"/>
          <w:sz w:val="21"/>
        </w:rPr>
        <w:t>Sections 1.1 to 1.28</w:t>
      </w:r>
    </w:p>
    <w:p>
      <w:pPr>
        <w:pStyle w:val="Heading2"/>
      </w:pPr>
      <w:r>
        <w:rPr>
          <w:rFonts w:ascii="Calibri" w:hAnsi="Calibri"/>
          <w:b/>
          <w:i w:val="0"/>
          <w:color w:val="146EF5"/>
          <w:sz w:val="29"/>
        </w:rPr>
        <w:t>1.1 Executive summary</w:t>
      </w:r>
    </w:p>
    <w:p>
      <w:r>
        <w:rPr>
          <w:rFonts w:ascii="Calibri" w:hAnsi="Calibri"/>
          <w:b w:val="0"/>
          <w:i w:val="0"/>
          <w:color w:val="101828"/>
          <w:sz w:val="21"/>
        </w:rPr>
        <w:t xml:space="preserve">AJO.ng digitises the Nigerian </w:t>
      </w:r>
      <w:r>
        <w:rPr>
          <w:rFonts w:ascii="Calibri" w:hAnsi="Calibri"/>
          <w:i/>
          <w:color w:val="101828"/>
          <w:sz w:val="21"/>
        </w:rPr>
        <w:t>Ajo</w:t>
      </w:r>
      <w:r>
        <w:rPr>
          <w:rFonts w:ascii="Calibri" w:hAnsi="Calibri"/>
          <w:b w:val="0"/>
          <w:i w:val="0"/>
          <w:color w:val="101828"/>
          <w:sz w:val="21"/>
        </w:rPr>
        <w:t xml:space="preserve"> (also called </w:t>
      </w:r>
      <w:r>
        <w:rPr>
          <w:rFonts w:ascii="Calibri" w:hAnsi="Calibri"/>
          <w:i/>
          <w:color w:val="101828"/>
          <w:sz w:val="21"/>
        </w:rPr>
        <w:t>esusu</w:t>
      </w:r>
      <w:r>
        <w:rPr>
          <w:rFonts w:ascii="Calibri" w:hAnsi="Calibri"/>
          <w:b w:val="0"/>
          <w:i w:val="0"/>
          <w:color w:val="101828"/>
          <w:sz w:val="21"/>
        </w:rPr>
        <w:t>): a rotating savings scheme in which a fixed group of people pays a fixed amount into a common pot on a fixed schedule, and each member in turn receives the entire pot. The Ajo has existed for generations in markets, mosques, associations, workplaces and families. It works because the members trust each other. It fails for a narrow and specific set of reasons that have nothing to do with trust and everything to do with record-keeping.</w:t>
      </w:r>
    </w:p>
    <w:p>
      <w:r>
        <w:rPr>
          <w:rFonts w:ascii="Calibri" w:hAnsi="Calibri"/>
          <w:b w:val="0"/>
          <w:i w:val="0"/>
          <w:color w:val="101828"/>
          <w:sz w:val="21"/>
        </w:rPr>
        <w:t xml:space="preserve">AJO.ng keeps the trust. It removes the notebook. Every contribution, every position, every payout and every default is written to an append-only ledger the organiser cannot edit, the platform cannot quietly amend, and no role including </w:t>
      </w:r>
      <w:r>
        <w:rPr>
          <w:rFonts w:ascii="Consolas" w:hAnsi="Consolas"/>
          <w:color w:val="146EF5"/>
          <w:sz w:val="21"/>
        </w:rPr>
        <w:t>super_admin</w:t>
      </w:r>
      <w:r>
        <w:rPr>
          <w:rFonts w:ascii="Calibri" w:hAnsi="Calibri"/>
          <w:b w:val="0"/>
          <w:i w:val="0"/>
          <w:color w:val="101828"/>
          <w:sz w:val="21"/>
        </w:rPr>
        <w:t xml:space="preserve"> can delete. The organiser stops being a cashier and becomes a facilitator. The member stops carrying a risk they cannot see and gains a commitment they can hold someone to.</w:t>
      </w:r>
    </w:p>
    <w:p>
      <w:pPr>
        <w:pStyle w:val="Heading3"/>
      </w:pPr>
      <w:r>
        <w:rPr>
          <w:rFonts w:ascii="Calibri" w:hAnsi="Calibri"/>
          <w:b/>
          <w:i w:val="0"/>
          <w:color w:val="0B1F3A"/>
          <w:sz w:val="24"/>
        </w:rPr>
        <w:t>1.1.1 The problem in one paragraph</w:t>
      </w:r>
    </w:p>
    <w:p>
      <w:r>
        <w:rPr>
          <w:rFonts w:ascii="Calibri" w:hAnsi="Calibri"/>
          <w:b w:val="0"/>
          <w:i w:val="0"/>
          <w:color w:val="101828"/>
          <w:sz w:val="21"/>
        </w:rPr>
        <w:t>A 10-member Ajo with a NGN 10,000.00 monthly contribution moves NGN 1,000,000.00 over ten months. Every naira of that depends on a single person's honesty, availability and memory. The organiser is simultaneously the collector, the recorder, the only auditor and the guarantor. If the organiser falls ill, travels, dies, loses the notebook or is tempted, the scheme stops. There is no second copy, no counterparty the members can check against, and no way to settle a disagreement other than memory versus memory.</w:t>
      </w:r>
    </w:p>
    <w:p>
      <w:pPr>
        <w:pStyle w:val="Heading3"/>
      </w:pPr>
      <w:r>
        <w:rPr>
          <w:rFonts w:ascii="Calibri" w:hAnsi="Calibri"/>
          <w:b/>
          <w:i w:val="0"/>
          <w:color w:val="0B1F3A"/>
          <w:sz w:val="24"/>
        </w:rPr>
        <w:t>1.1.2 What AJO.ng does</w:t>
      </w:r>
    </w:p>
    <w:p>
      <w:r>
        <w:rPr>
          <w:rFonts w:ascii="Calibri" w:hAnsi="Calibri"/>
          <w:b w:val="0"/>
          <w:i w:val="0"/>
          <w:color w:val="101828"/>
          <w:sz w:val="21"/>
        </w:rPr>
        <w:t>AJO.ng provides four things and refuses to pretend it provides a fifth.</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664"/>
            <w:shd w:val="clear" w:color="auto" w:fill="0B1F3A"/>
            <w:tcMar>
              <w:top w:w="60" w:type="dxa"/>
              <w:start w:w="110" w:type="dxa"/>
              <w:bottom w:w="60" w:type="dxa"/>
              <w:end w:w="110" w:type="dxa"/>
            </w:tcMar>
          </w:tcPr>
          <w:p>
            <w:pPr>
              <w:spacing w:after="0"/>
            </w:pPr>
            <w:r/>
            <w:r>
              <w:rPr>
                <w:rFonts w:ascii="Calibri" w:hAnsi="Calibri"/>
                <w:b/>
                <w:i w:val="0"/>
                <w:color w:val="FFFFFF"/>
                <w:sz w:val="17"/>
              </w:rPr>
              <w:t>Capability</w:t>
            </w:r>
          </w:p>
        </w:tc>
        <w:tc>
          <w:tcPr>
            <w:tcW w:type="dxa" w:w="6696"/>
            <w:shd w:val="clear" w:color="auto" w:fill="0B1F3A"/>
            <w:tcMar>
              <w:top w:w="60" w:type="dxa"/>
              <w:start w:w="110" w:type="dxa"/>
              <w:bottom w:w="60" w:type="dxa"/>
              <w:end w:w="110" w:type="dxa"/>
            </w:tcMar>
          </w:tcPr>
          <w:p>
            <w:pPr>
              <w:spacing w:after="0"/>
            </w:pPr>
            <w:r/>
            <w:r>
              <w:rPr>
                <w:rFonts w:ascii="Calibri" w:hAnsi="Calibri"/>
                <w:b/>
                <w:i w:val="0"/>
                <w:color w:val="FFFFFF"/>
                <w:sz w:val="17"/>
              </w:rPr>
              <w:t>What it actually does</w:t>
            </w:r>
          </w:p>
        </w:tc>
      </w:tr>
      <w:tr>
        <w:trPr>
          <w:cantSplit/>
        </w:trPr>
        <w:tc>
          <w:tcPr>
            <w:tcW w:type="dxa" w:w="2664"/>
            <w:tcMar>
              <w:top w:w="60" w:type="dxa"/>
              <w:start w:w="110" w:type="dxa"/>
              <w:bottom w:w="60" w:type="dxa"/>
              <w:end w:w="110" w:type="dxa"/>
            </w:tcMar>
          </w:tcPr>
          <w:p>
            <w:pPr>
              <w:spacing w:after="0"/>
            </w:pPr>
            <w:r/>
            <w:r>
              <w:rPr>
                <w:rFonts w:ascii="Calibri" w:hAnsi="Calibri"/>
                <w:b w:val="0"/>
                <w:i w:val="0"/>
                <w:color w:val="101828"/>
                <w:sz w:val="17"/>
              </w:rPr>
              <w:t>A shared, verifiable record</w:t>
            </w:r>
          </w:p>
        </w:tc>
        <w:tc>
          <w:tcPr>
            <w:tcW w:type="dxa" w:w="6696"/>
            <w:tcMar>
              <w:top w:w="60" w:type="dxa"/>
              <w:start w:w="110" w:type="dxa"/>
              <w:bottom w:w="60" w:type="dxa"/>
              <w:end w:w="110" w:type="dxa"/>
            </w:tcMar>
          </w:tcPr>
          <w:p>
            <w:pPr>
              <w:spacing w:after="0"/>
            </w:pPr>
            <w:r/>
            <w:r>
              <w:rPr>
                <w:rFonts w:ascii="Calibri" w:hAnsi="Calibri"/>
                <w:b w:val="0"/>
                <w:i w:val="0"/>
                <w:color w:val="101828"/>
                <w:sz w:val="17"/>
              </w:rPr>
              <w:t>Every position, contribution, fee, payout, default and dispute is written to an append-only ledger with a full audit trail. Any member can see the same truth the organiser sees.</w:t>
            </w:r>
          </w:p>
        </w:tc>
      </w:tr>
      <w:tr>
        <w:trPr>
          <w:cantSplit/>
        </w:trPr>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7"/>
              </w:rPr>
              <w:t>Enforcement without shaming</w:t>
            </w:r>
          </w:p>
        </w:tc>
        <w:tc>
          <w:tcPr>
            <w:tcW w:type="dxa" w:w="6696"/>
            <w:tcMar>
              <w:top w:w="60" w:type="dxa"/>
              <w:start w:w="110" w:type="dxa"/>
              <w:bottom w:w="60" w:type="dxa"/>
              <w:end w:w="110" w:type="dxa"/>
            </w:tcMar>
            <w:shd w:val="clear" w:color="auto" w:fill="F4F7FB"/>
          </w:tcPr>
          <w:p>
            <w:pPr>
              <w:spacing w:after="0"/>
            </w:pPr>
            <w:r/>
            <w:r>
              <w:rPr>
                <w:rFonts w:ascii="Calibri" w:hAnsi="Calibri"/>
                <w:b w:val="0"/>
                <w:i w:val="0"/>
                <w:color w:val="101828"/>
                <w:sz w:val="17"/>
              </w:rPr>
              <w:t>Reminders, grace windows, private default handling and a documented recovery process. The platform never automatically charges other members extra and never publicly exposes a defaulting member.</w:t>
            </w:r>
          </w:p>
        </w:tc>
      </w:tr>
      <w:tr>
        <w:trPr>
          <w:cantSplit/>
        </w:trPr>
        <w:tc>
          <w:tcPr>
            <w:tcW w:type="dxa" w:w="2664"/>
            <w:tcMar>
              <w:top w:w="60" w:type="dxa"/>
              <w:start w:w="110" w:type="dxa"/>
              <w:bottom w:w="60" w:type="dxa"/>
              <w:end w:w="110" w:type="dxa"/>
            </w:tcMar>
          </w:tcPr>
          <w:p>
            <w:pPr>
              <w:spacing w:after="0"/>
            </w:pPr>
            <w:r/>
            <w:r>
              <w:rPr>
                <w:rFonts w:ascii="Calibri" w:hAnsi="Calibri"/>
                <w:b w:val="0"/>
                <w:i w:val="0"/>
                <w:color w:val="101828"/>
                <w:sz w:val="17"/>
              </w:rPr>
              <w:t>Money movement that balances</w:t>
            </w:r>
          </w:p>
        </w:tc>
        <w:tc>
          <w:tcPr>
            <w:tcW w:type="dxa" w:w="6696"/>
            <w:tcMar>
              <w:top w:w="60" w:type="dxa"/>
              <w:start w:w="110" w:type="dxa"/>
              <w:bottom w:w="60" w:type="dxa"/>
              <w:end w:w="110" w:type="dxa"/>
            </w:tcMar>
          </w:tcPr>
          <w:p>
            <w:pPr>
              <w:spacing w:after="0"/>
            </w:pPr>
            <w:r/>
            <w:r>
              <w:rPr>
                <w:rFonts w:ascii="Calibri" w:hAnsi="Calibri"/>
                <w:b w:val="0"/>
                <w:i w:val="0"/>
                <w:color w:val="101828"/>
                <w:sz w:val="17"/>
              </w:rPr>
              <w:t>Contributions, the 2% platform fee and payouts move through a documented ledger recognition sequence in a mandatory order. Every transaction balances to zero or is rejected. Payouts are released only when funds are actually available.</w:t>
            </w:r>
          </w:p>
        </w:tc>
      </w:tr>
      <w:tr>
        <w:trPr>
          <w:cantSplit/>
        </w:trPr>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7"/>
              </w:rPr>
              <w:t>A commitment people can rely on</w:t>
            </w:r>
          </w:p>
        </w:tc>
        <w:tc>
          <w:tcPr>
            <w:tcW w:type="dxa" w:w="6696"/>
            <w:tcMar>
              <w:top w:w="60" w:type="dxa"/>
              <w:start w:w="110" w:type="dxa"/>
              <w:bottom w:w="60" w:type="dxa"/>
              <w:end w:w="110" w:type="dxa"/>
            </w:tcMar>
            <w:shd w:val="clear" w:color="auto" w:fill="F4F7FB"/>
          </w:tcPr>
          <w:p>
            <w:pPr>
              <w:spacing w:after="0"/>
            </w:pPr>
            <w:r/>
            <w:r>
              <w:rPr>
                <w:rFonts w:ascii="Calibri" w:hAnsi="Calibri"/>
                <w:b w:val="0"/>
                <w:i w:val="0"/>
                <w:color w:val="101828"/>
                <w:sz w:val="17"/>
              </w:rPr>
              <w:t>A 5-day enrollment window, positions that lock on activation, and a complete-cycle commitment with a formal replacement mechanism instead of quiet unilateral exit.</w:t>
            </w:r>
          </w:p>
        </w:tc>
      </w:tr>
      <w:tr>
        <w:trPr>
          <w:cantSplit/>
        </w:trPr>
        <w:tc>
          <w:tcPr>
            <w:tcW w:type="dxa" w:w="2664"/>
            <w:tcMar>
              <w:top w:w="60" w:type="dxa"/>
              <w:start w:w="110" w:type="dxa"/>
              <w:bottom w:w="60" w:type="dxa"/>
              <w:end w:w="110" w:type="dxa"/>
            </w:tcMar>
          </w:tcPr>
          <w:p>
            <w:pPr>
              <w:spacing w:after="0"/>
            </w:pPr>
            <w:r/>
            <w:r>
              <w:rPr>
                <w:rFonts w:ascii="Calibri" w:hAnsi="Calibri"/>
                <w:b w:val="0"/>
                <w:i w:val="0"/>
                <w:color w:val="101828"/>
                <w:sz w:val="17"/>
              </w:rPr>
              <w:t>What it does not do</w:t>
            </w:r>
          </w:p>
        </w:tc>
        <w:tc>
          <w:tcPr>
            <w:tcW w:type="dxa" w:w="6696"/>
            <w:tcMar>
              <w:top w:w="60" w:type="dxa"/>
              <w:start w:w="110" w:type="dxa"/>
              <w:bottom w:w="60" w:type="dxa"/>
              <w:end w:w="110" w:type="dxa"/>
            </w:tcMar>
          </w:tcPr>
          <w:p>
            <w:pPr>
              <w:spacing w:after="0"/>
            </w:pPr>
            <w:r/>
            <w:r>
              <w:rPr>
                <w:rFonts w:ascii="Calibri" w:hAnsi="Calibri"/>
                <w:b w:val="0"/>
                <w:i w:val="0"/>
                <w:color w:val="101828"/>
                <w:sz w:val="17"/>
              </w:rPr>
              <w:t>It does not lend, it does not invest, it does not insure, it does not take deposits on AJO.ng's own account, and it does not replace the organiser's social commitment. It makes the organiser's commitment checkable.</w:t>
            </w:r>
          </w:p>
        </w:tc>
      </w:tr>
    </w:tbl>
    <w:p>
      <w:pPr>
        <w:spacing w:after="80"/>
      </w:pPr>
    </w:p>
    <w:p>
      <w:pPr>
        <w:pStyle w:val="Heading3"/>
      </w:pPr>
      <w:r>
        <w:rPr>
          <w:rFonts w:ascii="Calibri" w:hAnsi="Calibri"/>
          <w:b/>
          <w:i w:val="0"/>
          <w:color w:val="0B1F3A"/>
          <w:sz w:val="24"/>
        </w:rPr>
        <w:t>1.1.3 The commercial position</w:t>
      </w:r>
    </w:p>
    <w:p>
      <w:r>
        <w:rPr>
          <w:rFonts w:ascii="Calibri" w:hAnsi="Calibri"/>
          <w:b w:val="0"/>
          <w:i w:val="0"/>
          <w:color w:val="101828"/>
          <w:sz w:val="21"/>
        </w:rPr>
        <w:t xml:space="preserve">AJO.ng earns a </w:t>
      </w:r>
      <w:r>
        <w:rPr>
          <w:rFonts w:ascii="Calibri" w:hAnsi="Calibri"/>
          <w:b/>
          <w:color w:val="101828"/>
          <w:sz w:val="21"/>
        </w:rPr>
        <w:t>2% platform fee on every contribution deposit</w:t>
      </w:r>
      <w:r>
        <w:rPr>
          <w:rFonts w:ascii="Calibri" w:hAnsi="Calibri"/>
          <w:b w:val="0"/>
          <w:i w:val="0"/>
          <w:color w:val="101828"/>
          <w:sz w:val="21"/>
        </w:rPr>
        <w:t>. The fee is added on top of the contribution, shown separately on every receipt, in every Ajo details screen, and in the invitation and join confirmation before the member commits. It is never deducted from a contribution and it never reduces a payout. On the base-case Year-1 model this is 300 Ajos, 30,000 deposits, NGN 300,000,000 of contribution volume and NGN 6,000,000 of gross fee revenue.</w:t>
      </w:r>
    </w:p>
    <w:p>
      <w:pPr>
        <w:spacing w:before="140" w:after="180"/>
        <w:ind w:left="144"/>
        <w:shd w:val="clear" w:color="auto" w:fill="FEF3C7"/>
        <w:pBdr>
          <w:left w:val="single" w:sz="18" w:space="6" w:color="FBBF24"/>
        </w:pBdr>
      </w:pPr>
      <w:r>
        <w:rPr>
          <w:rFonts w:ascii="Calibri" w:hAnsi="Calibri"/>
          <w:b/>
          <w:color w:val="FBBF24"/>
          <w:sz w:val="19"/>
        </w:rPr>
        <w:t xml:space="preserve">Margin warning  </w:t>
      </w:r>
      <w:r>
        <w:rPr>
          <w:rFonts w:ascii="Calibri" w:hAnsi="Calibri"/>
          <w:b w:val="0"/>
          <w:i w:val="0"/>
          <w:color w:val="0B1F3A"/>
          <w:sz w:val="19"/>
        </w:rPr>
        <w:t xml:space="preserve">Gross fee revenue is not net revenue. Payment-partner charges for collection and for payout are </w:t>
      </w:r>
      <w:r>
        <w:rPr>
          <w:rFonts w:ascii="Calibri" w:hAnsi="Calibri"/>
          <w:b/>
          <w:color w:val="0B1F3A"/>
          <w:sz w:val="19"/>
        </w:rPr>
        <w:t>unknown</w:t>
      </w:r>
      <w:r>
        <w:rPr>
          <w:rFonts w:ascii="Calibri" w:hAnsi="Calibri"/>
          <w:b w:val="0"/>
          <w:i w:val="0"/>
          <w:color w:val="0B1F3A"/>
          <w:sz w:val="19"/>
        </w:rPr>
        <w:t xml:space="preserve"> and must be obtained in writing from ProvidusUnity before the fee is publicised. At 2% gross, a 1% collection charge plus per-payout fees could consume most or all of the margin. This must be modelled before the fee is communicated to members, because the fee cannot be raised later without renegotiating trust that took a year to build.</w:t>
      </w:r>
    </w:p>
    <w:p>
      <w:pPr>
        <w:spacing w:before="140" w:after="180"/>
        <w:ind w:left="144"/>
        <w:shd w:val="clear" w:color="auto" w:fill="FEE2E2"/>
        <w:pBdr>
          <w:left w:val="single" w:sz="18" w:space="6" w:color="DC2626"/>
        </w:pBdr>
      </w:pPr>
      <w:r>
        <w:rPr>
          <w:rFonts w:ascii="Calibri" w:hAnsi="Calibri"/>
          <w:b/>
          <w:color w:val="DC2626"/>
          <w:sz w:val="19"/>
        </w:rPr>
        <w:t xml:space="preserve">Regulatory status  </w:t>
      </w:r>
      <w:r>
        <w:rPr>
          <w:rFonts w:ascii="Calibri" w:hAnsi="Calibri"/>
          <w:b w:val="0"/>
          <w:i w:val="0"/>
          <w:color w:val="0B1F3A"/>
          <w:sz w:val="19"/>
        </w:rPr>
        <w:t>This document does not assert that AJO.ng is licensed, approved, exempt or compliant with any Nigerian financial regulator, statute or guideline. The licensing path depends on open decision D-02 (whether ProvidusUnity holds funds as principal or whether AJO.ng must hold them). That question must be resolved by qualified Nigerian counsel before any customer funds are accepted. Nothing in this PRD may be read as legal advice.</w:t>
      </w:r>
    </w:p>
    <w:p>
      <w:pPr>
        <w:pStyle w:val="Heading2"/>
      </w:pPr>
      <w:r>
        <w:rPr>
          <w:rFonts w:ascii="Calibri" w:hAnsi="Calibri"/>
          <w:b/>
          <w:i w:val="0"/>
          <w:color w:val="146EF5"/>
          <w:sz w:val="29"/>
        </w:rPr>
        <w:t>1.2 Product vision</w:t>
      </w:r>
    </w:p>
    <w:p>
      <w:r>
        <w:rPr>
          <w:rFonts w:ascii="Calibri" w:hAnsi="Calibri"/>
          <w:b/>
          <w:color w:val="101828"/>
          <w:sz w:val="21"/>
        </w:rPr>
        <w:t>Ten years from now, the Nigerian Ajo will be run on infrastructure.</w:t>
      </w:r>
      <w:r>
        <w:rPr>
          <w:rFonts w:ascii="Calibri" w:hAnsi="Calibri"/>
          <w:b w:val="0"/>
          <w:i w:val="0"/>
          <w:color w:val="101828"/>
          <w:sz w:val="21"/>
        </w:rPr>
        <w:t xml:space="preserve"> The rotating savings group will no longer be defined by who happens to know whom in one market, one office or one family compound. It will be defined by an invitation, a schedule, a ledger and a promise that is enforced by software. The notebook will survive only as a cultural object, the way the passbook survived the mobile money account.</w:t>
      </w:r>
    </w:p>
    <w:p>
      <w:pPr>
        <w:pStyle w:val="Heading3"/>
      </w:pPr>
      <w:r>
        <w:rPr>
          <w:rFonts w:ascii="Calibri" w:hAnsi="Calibri"/>
          <w:b/>
          <w:i w:val="0"/>
          <w:color w:val="0B1F3A"/>
          <w:sz w:val="24"/>
        </w:rPr>
        <w:t>1.2.1 Vision statement</w:t>
      </w:r>
    </w:p>
    <w:p>
      <w:r>
        <w:rPr>
          <w:rFonts w:ascii="Calibri" w:hAnsi="Calibri"/>
          <w:b w:val="0"/>
          <w:i w:val="0"/>
          <w:color w:val="101828"/>
          <w:sz w:val="21"/>
        </w:rPr>
        <w:t>To make the rotating savings group a first-class financial instrument — as safe to run with a stranger you have met once as with a cousin you have known for twenty years — by giving every Nigerian Ajo a shared, verifiable, tamper-evident record and by making the platform's obligations smaller and clearer than the platform's ambitions.</w:t>
      </w:r>
    </w:p>
    <w:p>
      <w:pPr>
        <w:pStyle w:val="Heading3"/>
      </w:pPr>
      <w:r>
        <w:rPr>
          <w:rFonts w:ascii="Calibri" w:hAnsi="Calibri"/>
          <w:b/>
          <w:i w:val="0"/>
          <w:color w:val="0B1F3A"/>
          <w:sz w:val="24"/>
        </w:rPr>
        <w:t>1.2.2 The three futures the vision commits to</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440"/>
            <w:shd w:val="clear" w:color="auto" w:fill="0B1F3A"/>
            <w:tcMar>
              <w:top w:w="60" w:type="dxa"/>
              <w:start w:w="110" w:type="dxa"/>
              <w:bottom w:w="60" w:type="dxa"/>
              <w:end w:w="110" w:type="dxa"/>
            </w:tcMar>
          </w:tcPr>
          <w:p>
            <w:pPr>
              <w:spacing w:after="0"/>
            </w:pPr>
            <w:r/>
            <w:r>
              <w:rPr>
                <w:rFonts w:ascii="Calibri" w:hAnsi="Calibri"/>
                <w:b/>
                <w:i w:val="0"/>
                <w:color w:val="FFFFFF"/>
                <w:sz w:val="17"/>
              </w:rPr>
              <w:t>Horizon</w:t>
            </w:r>
          </w:p>
        </w:tc>
        <w:tc>
          <w:tcPr>
            <w:tcW w:type="dxa" w:w="7920"/>
            <w:shd w:val="clear" w:color="auto" w:fill="0B1F3A"/>
            <w:tcMar>
              <w:top w:w="60" w:type="dxa"/>
              <w:start w:w="110" w:type="dxa"/>
              <w:bottom w:w="60" w:type="dxa"/>
              <w:end w:w="110" w:type="dxa"/>
            </w:tcMar>
          </w:tcPr>
          <w:p>
            <w:pPr>
              <w:spacing w:after="0"/>
            </w:pPr>
            <w:r/>
            <w:r>
              <w:rPr>
                <w:rFonts w:ascii="Calibri" w:hAnsi="Calibri"/>
                <w:b/>
                <w:i w:val="0"/>
                <w:color w:val="FFFFFF"/>
                <w:sz w:val="17"/>
              </w:rPr>
              <w:t>What is true if the vision is realised</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7"/>
              </w:rPr>
              <w:t>Near term</w:t>
            </w:r>
          </w:p>
        </w:tc>
        <w:tc>
          <w:tcPr>
            <w:tcW w:type="dxa" w:w="7920"/>
            <w:tcMar>
              <w:top w:w="60" w:type="dxa"/>
              <w:start w:w="110" w:type="dxa"/>
              <w:bottom w:w="60" w:type="dxa"/>
              <w:end w:w="110" w:type="dxa"/>
            </w:tcMar>
          </w:tcPr>
          <w:p>
            <w:pPr>
              <w:spacing w:after="0"/>
            </w:pPr>
            <w:r/>
            <w:r>
              <w:rPr>
                <w:rFonts w:ascii="Calibri" w:hAnsi="Calibri"/>
                <w:b w:val="0"/>
                <w:i w:val="0"/>
                <w:color w:val="101828"/>
                <w:sz w:val="17"/>
              </w:rPr>
              <w:t>An organiser in a Lagos market runs three Ajos from a phone. All three are activated, all positions are locked, all contributions are landing, and the notebook is in a drawer. The organiser is no longer the single point of failure.</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7"/>
              </w:rPr>
              <w:t>Medium term</w:t>
            </w:r>
          </w:p>
        </w:tc>
        <w:tc>
          <w:tcPr>
            <w:tcW w:type="dxa" w:w="7920"/>
            <w:tcMar>
              <w:top w:w="60" w:type="dxa"/>
              <w:start w:w="110" w:type="dxa"/>
              <w:bottom w:w="60" w:type="dxa"/>
              <w:end w:w="110" w:type="dxa"/>
            </w:tcMar>
            <w:shd w:val="clear" w:color="auto" w:fill="F4F7FB"/>
          </w:tcPr>
          <w:p>
            <w:pPr>
              <w:spacing w:after="0"/>
            </w:pPr>
            <w:r/>
            <w:r>
              <w:rPr>
                <w:rFonts w:ascii="Calibri" w:hAnsi="Calibri"/>
                <w:b w:val="0"/>
                <w:i w:val="0"/>
                <w:color w:val="101828"/>
                <w:sz w:val="17"/>
              </w:rPr>
              <w:t>Ajo is no longer a purely local practice. A member in Abuja, a member in Ibadan and a member in London can run the same Ajo on the same terms, with the same receipt, the same schedule and the same recourse. Diaspora participation becomes ordinary rather than a special accommodation.</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7"/>
              </w:rPr>
              <w:t>Long term</w:t>
            </w:r>
          </w:p>
        </w:tc>
        <w:tc>
          <w:tcPr>
            <w:tcW w:type="dxa" w:w="7920"/>
            <w:tcMar>
              <w:top w:w="60" w:type="dxa"/>
              <w:start w:w="110" w:type="dxa"/>
              <w:bottom w:w="60" w:type="dxa"/>
              <w:end w:w="110" w:type="dxa"/>
            </w:tcMar>
          </w:tcPr>
          <w:p>
            <w:pPr>
              <w:spacing w:after="0"/>
            </w:pPr>
            <w:r/>
            <w:r>
              <w:rPr>
                <w:rFonts w:ascii="Calibri" w:hAnsi="Calibri"/>
                <w:b w:val="0"/>
                <w:i w:val="0"/>
                <w:color w:val="101828"/>
                <w:sz w:val="17"/>
              </w:rPr>
              <w:t>The Ajo becomes a genuine on-ramp to formal savings behaviour: regular payment discipline, a visible transaction history, a record that helps a member qualify for ordinary credit later. The Ajo becomes the first financial product a person ever keeps, rather than the one they hide.</w:t>
            </w:r>
          </w:p>
        </w:tc>
      </w:tr>
    </w:tbl>
    <w:p>
      <w:pPr>
        <w:spacing w:after="80"/>
      </w:pPr>
    </w:p>
    <w:p>
      <w:pPr>
        <w:pStyle w:val="Heading3"/>
      </w:pPr>
      <w:r>
        <w:rPr>
          <w:rFonts w:ascii="Calibri" w:hAnsi="Calibri"/>
          <w:b/>
          <w:i w:val="0"/>
          <w:color w:val="0B1F3A"/>
          <w:sz w:val="24"/>
        </w:rPr>
        <w:t>1.2.3 Vision boundaries</w:t>
      </w:r>
    </w:p>
    <w:p>
      <w:r>
        <w:rPr>
          <w:rFonts w:ascii="Calibri" w:hAnsi="Calibri"/>
          <w:b w:val="0"/>
          <w:i w:val="0"/>
          <w:color w:val="101828"/>
          <w:sz w:val="21"/>
        </w:rPr>
        <w:t xml:space="preserve">The vision is about </w:t>
      </w:r>
      <w:r>
        <w:rPr>
          <w:rFonts w:ascii="Calibri" w:hAnsi="Calibri"/>
          <w:b/>
          <w:color w:val="101828"/>
          <w:sz w:val="21"/>
        </w:rPr>
        <w:t>trustworthy record-keeping and reliable money movement inside a savings group</w:t>
      </w:r>
      <w:r>
        <w:rPr>
          <w:rFonts w:ascii="Calibri" w:hAnsi="Calibri"/>
          <w:b w:val="0"/>
          <w:i w:val="0"/>
          <w:color w:val="101828"/>
          <w:sz w:val="21"/>
        </w:rPr>
        <w:t>. It is deliberately not a vision of AJO.ng becoming a lender, a bank, an insurer, an investment platform or a marketplace. Every product decision in section 1.16 is a consequence of that boundary.</w:t>
      </w:r>
    </w:p>
    <w:p>
      <w:pPr>
        <w:pStyle w:val="Heading2"/>
      </w:pPr>
      <w:r>
        <w:rPr>
          <w:rFonts w:ascii="Calibri" w:hAnsi="Calibri"/>
          <w:b/>
          <w:i w:val="0"/>
          <w:color w:val="146EF5"/>
          <w:sz w:val="29"/>
        </w:rPr>
        <w:t>1.3 Product mission</w:t>
      </w:r>
    </w:p>
    <w:p>
      <w:r>
        <w:rPr>
          <w:rFonts w:ascii="Calibri" w:hAnsi="Calibri"/>
          <w:b w:val="0"/>
          <w:i w:val="0"/>
          <w:color w:val="101828"/>
          <w:sz w:val="21"/>
        </w:rPr>
        <w:t>Our mission is to remove the failure modes of the traditional Ajo without removing the thing that makes it work. Concretely, for every AJO.ng group:</w:t>
      </w:r>
    </w:p>
    <w:p>
      <w:pPr>
        <w:pStyle w:val="ListNumber"/>
        <w:spacing w:after="60"/>
        <w:ind w:left="432"/>
      </w:pPr>
      <w:r>
        <w:rPr>
          <w:rFonts w:ascii="Calibri" w:hAnsi="Calibri"/>
          <w:b w:val="0"/>
          <w:i w:val="0"/>
          <w:color w:val="101828"/>
          <w:sz w:val="21"/>
        </w:rPr>
        <w:t>Make the record complete, shared and tamper-evident, so that the scheme survives the absence of any single member including the organiser.</w:t>
      </w:r>
    </w:p>
    <w:p>
      <w:pPr>
        <w:pStyle w:val="ListNumber"/>
        <w:spacing w:after="60"/>
        <w:ind w:left="432"/>
      </w:pPr>
      <w:r>
        <w:rPr>
          <w:rFonts w:ascii="Calibri" w:hAnsi="Calibri"/>
          <w:b w:val="0"/>
          <w:i w:val="0"/>
          <w:color w:val="101828"/>
          <w:sz w:val="21"/>
        </w:rPr>
        <w:t>Make the commitment enforceable through process — locked positions, a 5-day enrollment window, a complete-cycle commitment — rather than through pressure, embarrassment or threat.</w:t>
      </w:r>
    </w:p>
    <w:p>
      <w:pPr>
        <w:pStyle w:val="ListNumber"/>
        <w:spacing w:after="60"/>
        <w:ind w:left="432"/>
      </w:pPr>
      <w:r>
        <w:rPr>
          <w:rFonts w:ascii="Calibri" w:hAnsi="Calibri"/>
          <w:b w:val="0"/>
          <w:i w:val="0"/>
          <w:color w:val="101828"/>
          <w:sz w:val="21"/>
        </w:rPr>
        <w:t>Make every naira legible: what each member owes, what each member paid, what the pool contains, what the platform retains and what the recipient receives.</w:t>
      </w:r>
    </w:p>
    <w:p>
      <w:pPr>
        <w:pStyle w:val="ListNumber"/>
        <w:spacing w:after="60"/>
        <w:ind w:left="432"/>
      </w:pPr>
      <w:r>
        <w:rPr>
          <w:rFonts w:ascii="Calibri" w:hAnsi="Calibri"/>
          <w:b w:val="0"/>
          <w:i w:val="0"/>
          <w:color w:val="101828"/>
          <w:sz w:val="21"/>
        </w:rPr>
        <w:t>Make the platform's obligations smaller than its promises, and publish them plainly before the member commits, not afterwards.</w:t>
      </w:r>
    </w:p>
    <w:p>
      <w:pPr>
        <w:pStyle w:val="ListNumber"/>
        <w:spacing w:after="60"/>
        <w:ind w:left="432"/>
      </w:pPr>
      <w:r>
        <w:rPr>
          <w:rFonts w:ascii="Calibri" w:hAnsi="Calibri"/>
          <w:b w:val="0"/>
          <w:i w:val="0"/>
          <w:color w:val="101828"/>
          <w:sz w:val="21"/>
        </w:rPr>
        <w:t xml:space="preserve">Make it possible for a person who is not trusted yet to be </w:t>
      </w:r>
      <w:r>
        <w:rPr>
          <w:rFonts w:ascii="Calibri" w:hAnsi="Calibri"/>
          <w:i/>
          <w:color w:val="101828"/>
          <w:sz w:val="21"/>
        </w:rPr>
        <w:t>checked</w:t>
      </w:r>
      <w:r>
        <w:rPr>
          <w:rFonts w:ascii="Calibri" w:hAnsi="Calibri"/>
          <w:b w:val="0"/>
          <w:i w:val="0"/>
          <w:color w:val="101828"/>
          <w:sz w:val="21"/>
        </w:rPr>
        <w:t xml:space="preserve"> rather than trusted blindly — which is the only honest way to widen access.</w:t>
      </w:r>
    </w:p>
    <w:p>
      <w:pPr>
        <w:spacing w:before="140" w:after="180"/>
        <w:ind w:left="144"/>
        <w:shd w:val="clear" w:color="auto" w:fill="EFF6FF"/>
        <w:pBdr>
          <w:left w:val="single" w:sz="18" w:space="6" w:color="146EF5"/>
        </w:pBdr>
      </w:pPr>
      <w:r>
        <w:rPr>
          <w:rFonts w:ascii="Calibri" w:hAnsi="Calibri"/>
          <w:b/>
          <w:color w:val="146EF5"/>
          <w:sz w:val="19"/>
        </w:rPr>
        <w:t xml:space="preserve">Mission test  </w:t>
      </w:r>
      <w:r>
        <w:rPr>
          <w:rFonts w:ascii="Calibri" w:hAnsi="Calibri"/>
          <w:b w:val="0"/>
          <w:i w:val="0"/>
          <w:color w:val="0B1F3A"/>
          <w:sz w:val="19"/>
        </w:rPr>
        <w:t>If a proposed feature would make the Ajo feel more trustworthy by making people compete, expose or be shamed, it is out of scope. If it makes the Ajo more legible, more recoverable or more available to a member who is absent or distressed, it is in scope. This test is applied to every feature request.</w:t>
      </w:r>
    </w:p>
    <w:p>
      <w:pPr>
        <w:pStyle w:val="Heading2"/>
      </w:pPr>
      <w:r>
        <w:rPr>
          <w:rFonts w:ascii="Calibri" w:hAnsi="Calibri"/>
          <w:b/>
          <w:i w:val="0"/>
          <w:color w:val="146EF5"/>
          <w:sz w:val="29"/>
        </w:rPr>
        <w:t>1.4 Problem statement</w:t>
      </w:r>
    </w:p>
    <w:p>
      <w:pPr>
        <w:pStyle w:val="Heading3"/>
      </w:pPr>
      <w:r>
        <w:rPr>
          <w:rFonts w:ascii="Calibri" w:hAnsi="Calibri"/>
          <w:b/>
          <w:i w:val="0"/>
          <w:color w:val="0B1F3A"/>
          <w:sz w:val="24"/>
        </w:rPr>
        <w:t>1.4.1 The structural problem</w:t>
      </w:r>
    </w:p>
    <w:p>
      <w:r>
        <w:rPr>
          <w:rFonts w:ascii="Calibri" w:hAnsi="Calibri"/>
          <w:b w:val="0"/>
          <w:i w:val="0"/>
          <w:color w:val="101828"/>
          <w:sz w:val="21"/>
        </w:rPr>
        <w:t xml:space="preserve">The traditional Ajo concentrates four critical functions in one unpaid person: </w:t>
      </w:r>
      <w:r>
        <w:rPr>
          <w:rFonts w:ascii="Calibri" w:hAnsi="Calibri"/>
          <w:b/>
          <w:color w:val="101828"/>
          <w:sz w:val="21"/>
        </w:rPr>
        <w:t>collection, recording, adjudication and custody.</w:t>
      </w:r>
      <w:r>
        <w:rPr>
          <w:rFonts w:ascii="Calibri" w:hAnsi="Calibri"/>
          <w:b w:val="0"/>
          <w:i w:val="0"/>
          <w:color w:val="101828"/>
          <w:sz w:val="21"/>
        </w:rPr>
        <w:t xml:space="preserve"> That person is the scheme's greatest strength when the group is small and everyone knows each other. It is also the scheme's only point of failure, and the concentration is total.</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7"/>
              </w:rPr>
              <w:t>Function</w:t>
            </w:r>
          </w:p>
        </w:tc>
        <w:tc>
          <w:tcPr>
            <w:tcW w:type="dxa" w:w="3096"/>
            <w:shd w:val="clear" w:color="auto" w:fill="0B1F3A"/>
            <w:tcMar>
              <w:top w:w="60" w:type="dxa"/>
              <w:start w:w="110" w:type="dxa"/>
              <w:bottom w:w="60" w:type="dxa"/>
              <w:end w:w="110" w:type="dxa"/>
            </w:tcMar>
          </w:tcPr>
          <w:p>
            <w:pPr>
              <w:spacing w:after="0"/>
            </w:pPr>
            <w:r/>
            <w:r>
              <w:rPr>
                <w:rFonts w:ascii="Calibri" w:hAnsi="Calibri"/>
                <w:b/>
                <w:i w:val="0"/>
                <w:color w:val="FFFFFF"/>
                <w:sz w:val="17"/>
              </w:rPr>
              <w:t>Who performs it today</w:t>
            </w:r>
          </w:p>
        </w:tc>
        <w:tc>
          <w:tcPr>
            <w:tcW w:type="dxa" w:w="4608"/>
            <w:shd w:val="clear" w:color="auto" w:fill="0B1F3A"/>
            <w:tcMar>
              <w:top w:w="60" w:type="dxa"/>
              <w:start w:w="110" w:type="dxa"/>
              <w:bottom w:w="60" w:type="dxa"/>
              <w:end w:w="110" w:type="dxa"/>
            </w:tcMar>
          </w:tcPr>
          <w:p>
            <w:pPr>
              <w:spacing w:after="0"/>
            </w:pPr>
            <w:r/>
            <w:r>
              <w:rPr>
                <w:rFonts w:ascii="Calibri" w:hAnsi="Calibri"/>
                <w:b/>
                <w:i w:val="0"/>
                <w:color w:val="FFFFFF"/>
                <w:sz w:val="17"/>
              </w:rPr>
              <w:t>What happens if they stop</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7"/>
              </w:rPr>
              <w:t>Collection</w:t>
            </w:r>
          </w:p>
        </w:tc>
        <w:tc>
          <w:tcPr>
            <w:tcW w:type="dxa" w:w="3096"/>
            <w:tcMar>
              <w:top w:w="60" w:type="dxa"/>
              <w:start w:w="110" w:type="dxa"/>
              <w:bottom w:w="60" w:type="dxa"/>
              <w:end w:w="110" w:type="dxa"/>
            </w:tcMar>
          </w:tcPr>
          <w:p>
            <w:pPr>
              <w:spacing w:after="0"/>
            </w:pPr>
            <w:r/>
            <w:r>
              <w:rPr>
                <w:rFonts w:ascii="Calibri" w:hAnsi="Calibri"/>
                <w:b w:val="0"/>
                <w:i w:val="0"/>
                <w:color w:val="101828"/>
                <w:sz w:val="17"/>
              </w:rPr>
              <w:t>The organiser, on market day, in cash</w:t>
            </w:r>
          </w:p>
        </w:tc>
        <w:tc>
          <w:tcPr>
            <w:tcW w:type="dxa" w:w="4608"/>
            <w:tcMar>
              <w:top w:w="60" w:type="dxa"/>
              <w:start w:w="110" w:type="dxa"/>
              <w:bottom w:w="60" w:type="dxa"/>
              <w:end w:w="110" w:type="dxa"/>
            </w:tcMar>
          </w:tcPr>
          <w:p>
            <w:pPr>
              <w:spacing w:after="0"/>
            </w:pPr>
            <w:r/>
            <w:r>
              <w:rPr>
                <w:rFonts w:ascii="Calibri" w:hAnsi="Calibri"/>
                <w:b w:val="0"/>
                <w:i w:val="0"/>
                <w:color w:val="101828"/>
                <w:sz w:val="17"/>
              </w:rPr>
              <w:t>The round does not collect. There is no substitute cashier and no way to collect without the organiser present.</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7"/>
              </w:rPr>
              <w:t>Recording</w:t>
            </w:r>
          </w:p>
        </w:tc>
        <w:tc>
          <w:tcPr>
            <w:tcW w:type="dxa" w:w="3096"/>
            <w:tcMar>
              <w:top w:w="60" w:type="dxa"/>
              <w:start w:w="110" w:type="dxa"/>
              <w:bottom w:w="60" w:type="dxa"/>
              <w:end w:w="110" w:type="dxa"/>
            </w:tcMar>
            <w:shd w:val="clear" w:color="auto" w:fill="F4F7FB"/>
          </w:tcPr>
          <w:p>
            <w:pPr>
              <w:spacing w:after="0"/>
            </w:pPr>
            <w:r/>
            <w:r>
              <w:rPr>
                <w:rFonts w:ascii="Calibri" w:hAnsi="Calibri"/>
                <w:b w:val="0"/>
                <w:i w:val="0"/>
                <w:color w:val="101828"/>
                <w:sz w:val="17"/>
              </w:rPr>
              <w:t>One paper notebook, or a WhatsApp group message</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7"/>
              </w:rPr>
              <w:t>Every member's personal record is lost. The group falls back to memory, and memory is not evidence.</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7"/>
              </w:rPr>
              <w:t>Adjudication</w:t>
            </w:r>
          </w:p>
        </w:tc>
        <w:tc>
          <w:tcPr>
            <w:tcW w:type="dxa" w:w="3096"/>
            <w:tcMar>
              <w:top w:w="60" w:type="dxa"/>
              <w:start w:w="110" w:type="dxa"/>
              <w:bottom w:w="60" w:type="dxa"/>
              <w:end w:w="110" w:type="dxa"/>
            </w:tcMar>
          </w:tcPr>
          <w:p>
            <w:pPr>
              <w:spacing w:after="0"/>
            </w:pPr>
            <w:r/>
            <w:r>
              <w:rPr>
                <w:rFonts w:ascii="Calibri" w:hAnsi="Calibri"/>
                <w:b w:val="0"/>
                <w:i w:val="0"/>
                <w:color w:val="101828"/>
                <w:sz w:val="17"/>
              </w:rPr>
              <w:t>The organiser, informally, from memory</w:t>
            </w:r>
          </w:p>
        </w:tc>
        <w:tc>
          <w:tcPr>
            <w:tcW w:type="dxa" w:w="4608"/>
            <w:tcMar>
              <w:top w:w="60" w:type="dxa"/>
              <w:start w:w="110" w:type="dxa"/>
              <w:bottom w:w="60" w:type="dxa"/>
              <w:end w:w="110" w:type="dxa"/>
            </w:tcMar>
          </w:tcPr>
          <w:p>
            <w:pPr>
              <w:spacing w:after="0"/>
            </w:pPr>
            <w:r/>
            <w:r>
              <w:rPr>
                <w:rFonts w:ascii="Calibri" w:hAnsi="Calibri"/>
                <w:b w:val="0"/>
                <w:i w:val="0"/>
                <w:color w:val="101828"/>
                <w:sz w:val="17"/>
              </w:rPr>
              <w:t>Disputes become opinion versus opinion. There is no neutral record to point at, so the loudest member usually wins.</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7"/>
              </w:rPr>
              <w:t>Custody</w:t>
            </w:r>
          </w:p>
        </w:tc>
        <w:tc>
          <w:tcPr>
            <w:tcW w:type="dxa" w:w="3096"/>
            <w:tcMar>
              <w:top w:w="60" w:type="dxa"/>
              <w:start w:w="110" w:type="dxa"/>
              <w:bottom w:w="60" w:type="dxa"/>
              <w:end w:w="110" w:type="dxa"/>
            </w:tcMar>
            <w:shd w:val="clear" w:color="auto" w:fill="F4F7FB"/>
          </w:tcPr>
          <w:p>
            <w:pPr>
              <w:spacing w:after="0"/>
            </w:pPr>
            <w:r/>
            <w:r>
              <w:rPr>
                <w:rFonts w:ascii="Calibri" w:hAnsi="Calibri"/>
                <w:b w:val="0"/>
                <w:i w:val="0"/>
                <w:color w:val="101828"/>
                <w:sz w:val="17"/>
              </w:rPr>
              <w:t>The organiser, in cash or a personal account</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7"/>
              </w:rPr>
              <w:t>If the money is gone, it is gone. There is no segregation, no statement, no counterparty statement to reconcile against.</w:t>
            </w:r>
          </w:p>
        </w:tc>
      </w:tr>
    </w:tbl>
    <w:p>
      <w:pPr>
        <w:spacing w:after="80"/>
      </w:pPr>
    </w:p>
    <w:p>
      <w:pPr>
        <w:pStyle w:val="Heading3"/>
      </w:pPr>
      <w:r>
        <w:rPr>
          <w:rFonts w:ascii="Calibri" w:hAnsi="Calibri"/>
          <w:b/>
          <w:i w:val="0"/>
          <w:color w:val="0B1F3A"/>
          <w:sz w:val="24"/>
        </w:rPr>
        <w:t>1.4.2 The problems that are NOT the problem</w:t>
      </w:r>
    </w:p>
    <w:p>
      <w:r>
        <w:rPr>
          <w:rFonts w:ascii="Calibri" w:hAnsi="Calibri"/>
          <w:b w:val="0"/>
          <w:i w:val="0"/>
          <w:color w:val="101828"/>
          <w:sz w:val="21"/>
        </w:rPr>
        <w:t>Stating this plainly matters, because a product that attacks these would be building on a false premise:</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7"/>
              </w:rPr>
              <w:t>Common claim</w:t>
            </w:r>
          </w:p>
        </w:tc>
        <w:tc>
          <w:tcPr>
            <w:tcW w:type="dxa" w:w="6624"/>
            <w:shd w:val="clear" w:color="auto" w:fill="0B1F3A"/>
            <w:tcMar>
              <w:top w:w="60" w:type="dxa"/>
              <w:start w:w="110" w:type="dxa"/>
              <w:bottom w:w="60" w:type="dxa"/>
              <w:end w:w="110" w:type="dxa"/>
            </w:tcMar>
          </w:tcPr>
          <w:p>
            <w:pPr>
              <w:spacing w:after="0"/>
            </w:pPr>
            <w:r/>
            <w:r>
              <w:rPr>
                <w:rFonts w:ascii="Calibri" w:hAnsi="Calibri"/>
                <w:b/>
                <w:i w:val="0"/>
                <w:color w:val="FFFFFF"/>
                <w:sz w:val="17"/>
              </w:rPr>
              <w:t>AJO.ng's position</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7"/>
              </w:rPr>
              <w:t>Nigerians do not save</w:t>
            </w:r>
          </w:p>
        </w:tc>
        <w:tc>
          <w:tcPr>
            <w:tcW w:type="dxa" w:w="6624"/>
            <w:tcMar>
              <w:top w:w="60" w:type="dxa"/>
              <w:start w:w="110" w:type="dxa"/>
              <w:bottom w:w="60" w:type="dxa"/>
              <w:end w:w="110" w:type="dxa"/>
            </w:tcMar>
          </w:tcPr>
          <w:p>
            <w:pPr>
              <w:spacing w:after="0"/>
            </w:pPr>
            <w:r/>
            <w:r>
              <w:rPr>
                <w:rFonts w:ascii="Calibri" w:hAnsi="Calibri"/>
                <w:b w:val="0"/>
                <w:i w:val="0"/>
                <w:color w:val="101828"/>
                <w:sz w:val="17"/>
              </w:rPr>
              <w:t>False. Nigerians save heavily and consistently, in groups, every week, in cash. The Ajo is a savings product with near-perfect retention. The problem is record-keeping, not the saving instinct.</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7"/>
              </w:rPr>
              <w:t>Nigerians do not trust technology</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7"/>
              </w:rPr>
              <w:t>False. Mobile money is used more widely than bank accounts. Members are willing to trust a system. They are unwilling to trust a system they cannot inspect — which is a design requirement, not a barrier.</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7"/>
              </w:rPr>
              <w:t>The Ajo is a poverty product</w:t>
            </w:r>
          </w:p>
        </w:tc>
        <w:tc>
          <w:tcPr>
            <w:tcW w:type="dxa" w:w="6624"/>
            <w:tcMar>
              <w:top w:w="60" w:type="dxa"/>
              <w:start w:w="110" w:type="dxa"/>
              <w:bottom w:w="60" w:type="dxa"/>
              <w:end w:w="110" w:type="dxa"/>
            </w:tcMar>
          </w:tcPr>
          <w:p>
            <w:pPr>
              <w:spacing w:after="0"/>
            </w:pPr>
            <w:r/>
            <w:r>
              <w:rPr>
                <w:rFonts w:ascii="Calibri" w:hAnsi="Calibri"/>
                <w:b w:val="0"/>
                <w:i w:val="0"/>
                <w:color w:val="101828"/>
                <w:sz w:val="17"/>
              </w:rPr>
              <w:t>Misleading. Ajos are used by traders, professionals, students, market women and diaspora families. Many participants could easily save alone and choose not to, because the social commitment is the product.</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7"/>
              </w:rPr>
              <w:t>Organisers are dishonest</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7"/>
              </w:rPr>
              <w:t>Mostly false. Organisers are usually honest under observation. The scheme fails when an honest person is absent, unavailable or unreachable, and there is no process that survives their absence.</w:t>
            </w:r>
          </w:p>
        </w:tc>
      </w:tr>
    </w:tbl>
    <w:p>
      <w:pPr>
        <w:spacing w:after="80"/>
      </w:pPr>
    </w:p>
    <w:p>
      <w:pPr>
        <w:pStyle w:val="Heading3"/>
      </w:pPr>
      <w:r>
        <w:rPr>
          <w:rFonts w:ascii="Calibri" w:hAnsi="Calibri"/>
          <w:b/>
          <w:i w:val="0"/>
          <w:color w:val="0B1F3A"/>
          <w:sz w:val="24"/>
        </w:rPr>
        <w:t>1.4.3 The failure we are actually building against</w:t>
      </w:r>
    </w:p>
    <w:p>
      <w:r>
        <w:rPr>
          <w:rFonts w:ascii="Calibri" w:hAnsi="Calibri"/>
          <w:b w:val="0"/>
          <w:i w:val="0"/>
          <w:color w:val="101828"/>
          <w:sz w:val="21"/>
        </w:rPr>
        <w:t xml:space="preserve">The dominant failure is </w:t>
      </w:r>
      <w:r>
        <w:rPr>
          <w:rFonts w:ascii="Calibri" w:hAnsi="Calibri"/>
          <w:b/>
          <w:color w:val="101828"/>
          <w:sz w:val="21"/>
        </w:rPr>
        <w:t>organiser unavailability</w:t>
      </w:r>
      <w:r>
        <w:rPr>
          <w:rFonts w:ascii="Calibri" w:hAnsi="Calibri"/>
          <w:b w:val="0"/>
          <w:i w:val="0"/>
          <w:color w:val="101828"/>
          <w:sz w:val="21"/>
        </w:rPr>
        <w:t>, not organiser dishonesty. The organiser travels, falls ill, loses interest, changes business, is bereaved, or simply stops answering the group. The Ajo does not fail loudly. It fails by not being discussed again. Weeks pass. The notebook is lost. Nobody can say who paid what, so the remaining members disperse, and each takes a small silent loss.</w:t>
      </w:r>
    </w:p>
    <w:p>
      <w:pPr>
        <w:spacing w:before="140" w:after="180"/>
        <w:ind w:left="144"/>
        <w:shd w:val="clear" w:color="auto" w:fill="EFF6FF"/>
        <w:pBdr>
          <w:left w:val="single" w:sz="18" w:space="6" w:color="146EF5"/>
        </w:pBdr>
      </w:pPr>
      <w:r>
        <w:rPr>
          <w:rFonts w:ascii="Calibri" w:hAnsi="Calibri"/>
          <w:b/>
          <w:color w:val="146EF5"/>
          <w:sz w:val="19"/>
        </w:rPr>
        <w:t xml:space="preserve">Why this matters commercially  </w:t>
      </w:r>
      <w:r>
        <w:rPr>
          <w:rFonts w:ascii="Calibri" w:hAnsi="Calibri"/>
          <w:b w:val="0"/>
          <w:i w:val="0"/>
          <w:color w:val="0B1F3A"/>
          <w:sz w:val="19"/>
        </w:rPr>
        <w:t>Silent failure is the worst possible failure for a savings product, because nobody complains and nobody returns. AJO.ng's ability to detect a stalled Ajo and to surface it to members and to support is therefore a retention feature, not a nice-to-have.</w:t>
      </w:r>
    </w:p>
    <w:p>
      <w:pPr>
        <w:pStyle w:val="Heading3"/>
      </w:pPr>
      <w:r>
        <w:rPr>
          <w:rFonts w:ascii="Calibri" w:hAnsi="Calibri"/>
          <w:b/>
          <w:i w:val="0"/>
          <w:color w:val="0B1F3A"/>
          <w:sz w:val="24"/>
        </w:rPr>
        <w:t>1.4.4 Problem statement, one sentence</w:t>
      </w:r>
    </w:p>
    <w:p>
      <w:r>
        <w:rPr>
          <w:rFonts w:ascii="Calibri" w:hAnsi="Calibri"/>
          <w:b w:val="0"/>
          <w:i w:val="0"/>
          <w:color w:val="101828"/>
          <w:sz w:val="21"/>
        </w:rPr>
        <w:t>Nigerians run rotating savings groups in the hundreds of thousands and have done so for generations, but the record of who paid, who is owed what, and who holds the pot lives in one person's notebook and one person's memory — so a single absence, error or dispute can end a scheme that members have already committed months of savings to, with no recourse and no evidence.</w:t>
      </w:r>
    </w:p>
    <w:p>
      <w:pPr>
        <w:pStyle w:val="Heading2"/>
      </w:pPr>
      <w:r>
        <w:rPr>
          <w:rFonts w:ascii="Calibri" w:hAnsi="Calibri"/>
          <w:b/>
          <w:i w:val="0"/>
          <w:color w:val="146EF5"/>
          <w:sz w:val="29"/>
        </w:rPr>
        <w:t>1.5 The traditional Ajo process</w:t>
      </w:r>
    </w:p>
    <w:p>
      <w:r>
        <w:rPr>
          <w:rFonts w:ascii="Calibri" w:hAnsi="Calibri"/>
          <w:b w:val="0"/>
          <w:i w:val="0"/>
          <w:color w:val="101828"/>
          <w:sz w:val="21"/>
        </w:rPr>
        <w:t>This subsection describes how a real Lagos market Ajo operates today. It is written from observation of the practice, not from a design preference, and it is the baseline against which every AJO.ng requirement in this document is justified.</w:t>
      </w:r>
    </w:p>
    <w:p>
      <w:pPr>
        <w:pStyle w:val="Heading3"/>
      </w:pPr>
      <w:r>
        <w:rPr>
          <w:rFonts w:ascii="Calibri" w:hAnsi="Calibri"/>
          <w:b/>
          <w:i w:val="0"/>
          <w:color w:val="0B1F3A"/>
          <w:sz w:val="24"/>
        </w:rPr>
        <w:t>1.5.1 Step-by-step: how it actually works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6"/>
              </w:rPr>
              <w:t>Step</w:t>
            </w:r>
          </w:p>
        </w:tc>
        <w:tc>
          <w:tcPr>
            <w:tcW w:type="dxa" w:w="3888"/>
            <w:shd w:val="clear" w:color="auto" w:fill="0B1F3A"/>
            <w:tcMar>
              <w:top w:w="60" w:type="dxa"/>
              <w:start w:w="110" w:type="dxa"/>
              <w:bottom w:w="60" w:type="dxa"/>
              <w:end w:w="110" w:type="dxa"/>
            </w:tcMar>
          </w:tcPr>
          <w:p>
            <w:pPr>
              <w:spacing w:after="0"/>
            </w:pPr>
            <w:r/>
            <w:r>
              <w:rPr>
                <w:rFonts w:ascii="Calibri" w:hAnsi="Calibri"/>
                <w:b/>
                <w:i w:val="0"/>
                <w:color w:val="FFFFFF"/>
                <w:sz w:val="16"/>
              </w:rPr>
              <w:t>What happens</w:t>
            </w:r>
          </w:p>
        </w:tc>
        <w:tc>
          <w:tcPr>
            <w:tcW w:type="dxa" w:w="3816"/>
            <w:shd w:val="clear" w:color="auto" w:fill="0B1F3A"/>
            <w:tcMar>
              <w:top w:w="60" w:type="dxa"/>
              <w:start w:w="110" w:type="dxa"/>
              <w:bottom w:w="60" w:type="dxa"/>
              <w:end w:w="110" w:type="dxa"/>
            </w:tcMar>
          </w:tcPr>
          <w:p>
            <w:pPr>
              <w:spacing w:after="0"/>
            </w:pPr>
            <w:r/>
            <w:r>
              <w:rPr>
                <w:rFonts w:ascii="Calibri" w:hAnsi="Calibri"/>
                <w:b/>
                <w:i w:val="0"/>
                <w:color w:val="FFFFFF"/>
                <w:sz w:val="16"/>
              </w:rPr>
              <w:t>What is recorded, and where</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6"/>
              </w:rPr>
              <w:t>1. Formation</w:t>
            </w:r>
          </w:p>
        </w:tc>
        <w:tc>
          <w:tcPr>
            <w:tcW w:type="dxa" w:w="3888"/>
            <w:tcMar>
              <w:top w:w="60" w:type="dxa"/>
              <w:start w:w="110" w:type="dxa"/>
              <w:bottom w:w="60" w:type="dxa"/>
              <w:end w:w="110" w:type="dxa"/>
            </w:tcMar>
          </w:tcPr>
          <w:p>
            <w:pPr>
              <w:spacing w:after="0"/>
            </w:pPr>
            <w:r/>
            <w:r>
              <w:rPr>
                <w:rFonts w:ascii="Calibri" w:hAnsi="Calibri"/>
                <w:b w:val="0"/>
                <w:i w:val="0"/>
                <w:color w:val="101828"/>
                <w:sz w:val="16"/>
              </w:rPr>
              <w:t>A trader or market leader needs working capital for stock. They propose an Ajo to people they already know: relatives, fellow traders, market neighbours, an association or a work cohort. Usually verbal.</w:t>
            </w:r>
          </w:p>
        </w:tc>
        <w:tc>
          <w:tcPr>
            <w:tcW w:type="dxa" w:w="3816"/>
            <w:tcMar>
              <w:top w:w="60" w:type="dxa"/>
              <w:start w:w="110" w:type="dxa"/>
              <w:bottom w:w="60" w:type="dxa"/>
              <w:end w:w="110" w:type="dxa"/>
            </w:tcMar>
          </w:tcPr>
          <w:p>
            <w:pPr>
              <w:spacing w:after="0"/>
            </w:pPr>
            <w:r/>
            <w:r>
              <w:rPr>
                <w:rFonts w:ascii="Calibri" w:hAnsi="Calibri"/>
                <w:b w:val="0"/>
                <w:i w:val="0"/>
                <w:color w:val="101828"/>
                <w:sz w:val="16"/>
              </w:rPr>
              <w:t>Nothing. Possibly a WhatsApp message announcing it. No terms document exists.</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6"/>
              </w:rPr>
              <w:t>2. Terms agreed</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Members agree out loud on the number of people, the contribution amount, the collection day, the payout order and the duration. The organiser repeats it. Everyone nods.</w:t>
            </w:r>
          </w:p>
        </w:tc>
        <w:tc>
          <w:tcPr>
            <w:tcW w:type="dxa" w:w="3816"/>
            <w:tcMar>
              <w:top w:w="60" w:type="dxa"/>
              <w:start w:w="110" w:type="dxa"/>
              <w:bottom w:w="60" w:type="dxa"/>
              <w:end w:w="110" w:type="dxa"/>
            </w:tcMar>
            <w:shd w:val="clear" w:color="auto" w:fill="F4F7FB"/>
          </w:tcPr>
          <w:p>
            <w:pPr>
              <w:spacing w:after="0"/>
            </w:pPr>
            <w:r/>
            <w:r>
              <w:rPr>
                <w:rFonts w:ascii="Calibri" w:hAnsi="Calibri"/>
                <w:b w:val="0"/>
                <w:i w:val="0"/>
                <w:color w:val="101828"/>
                <w:sz w:val="16"/>
              </w:rPr>
              <w:t>A list of names, in the organiser's handwriting, often with the amount beside each name, in the same notebook used for everything else.</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6"/>
              </w:rPr>
              <w:t>3. Position order set</w:t>
            </w:r>
          </w:p>
        </w:tc>
        <w:tc>
          <w:tcPr>
            <w:tcW w:type="dxa" w:w="3888"/>
            <w:tcMar>
              <w:top w:w="60" w:type="dxa"/>
              <w:start w:w="110" w:type="dxa"/>
              <w:bottom w:w="60" w:type="dxa"/>
              <w:end w:w="110" w:type="dxa"/>
            </w:tcMar>
          </w:tcPr>
          <w:p>
            <w:pPr>
              <w:spacing w:after="0"/>
            </w:pPr>
            <w:r/>
            <w:r>
              <w:rPr>
                <w:rFonts w:ascii="Calibri" w:hAnsi="Calibri"/>
                <w:b w:val="0"/>
                <w:i w:val="0"/>
                <w:color w:val="101828"/>
                <w:sz w:val="16"/>
              </w:rPr>
              <w:t xml:space="preserve">The order in which the pot is paid out is agreed verbally — often by seniority, sometimes by luck, sometimes by whoever needs it most urgently. It is not usually written down as an </w:t>
            </w:r>
            <w:r>
              <w:rPr>
                <w:rFonts w:ascii="Calibri" w:hAnsi="Calibri"/>
                <w:i/>
                <w:color w:val="101828"/>
                <w:sz w:val="16"/>
              </w:rPr>
              <w:t>order</w:t>
            </w:r>
            <w:r>
              <w:rPr>
                <w:rFonts w:ascii="Calibri" w:hAnsi="Calibri"/>
                <w:b w:val="0"/>
                <w:i w:val="0"/>
                <w:color w:val="101828"/>
                <w:sz w:val="16"/>
              </w:rPr>
              <w:t>.</w:t>
            </w:r>
          </w:p>
        </w:tc>
        <w:tc>
          <w:tcPr>
            <w:tcW w:type="dxa" w:w="3816"/>
            <w:tcMar>
              <w:top w:w="60" w:type="dxa"/>
              <w:start w:w="110" w:type="dxa"/>
              <w:bottom w:w="60" w:type="dxa"/>
              <w:end w:w="110" w:type="dxa"/>
            </w:tcMar>
          </w:tcPr>
          <w:p>
            <w:pPr>
              <w:spacing w:after="0"/>
            </w:pPr>
            <w:r/>
            <w:r>
              <w:rPr>
                <w:rFonts w:ascii="Calibri" w:hAnsi="Calibri"/>
                <w:b w:val="0"/>
                <w:i w:val="0"/>
                <w:color w:val="101828"/>
                <w:sz w:val="16"/>
              </w:rPr>
              <w:t xml:space="preserve">A rough list in the notebook. Frequently the </w:t>
            </w:r>
            <w:r>
              <w:rPr>
                <w:rFonts w:ascii="Calibri" w:hAnsi="Calibri"/>
                <w:i/>
                <w:color w:val="101828"/>
                <w:sz w:val="16"/>
              </w:rPr>
              <w:t>only</w:t>
            </w:r>
            <w:r>
              <w:rPr>
                <w:rFonts w:ascii="Calibri" w:hAnsi="Calibri"/>
                <w:b w:val="0"/>
                <w:i w:val="0"/>
                <w:color w:val="101828"/>
                <w:sz w:val="16"/>
              </w:rPr>
              <w:t xml:space="preserve"> record of whose turn it is, and the first thing lost or disputed.</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6"/>
              </w:rPr>
              <w:t>4. Weekly collection</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On the agreed market day, the organiser goes round physically. Each member hands over cash. For members who cannot attend, the money is often sent by transfer to the organiser's personal account.</w:t>
            </w:r>
          </w:p>
        </w:tc>
        <w:tc>
          <w:tcPr>
            <w:tcW w:type="dxa" w:w="3816"/>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A tick or a figure next to the member's name. Sometimes a WhatsApp message in the group: </w:t>
            </w:r>
            <w:r>
              <w:rPr>
                <w:rFonts w:ascii="Calibri" w:hAnsi="Calibri"/>
                <w:i/>
                <w:color w:val="101828"/>
                <w:sz w:val="16"/>
              </w:rPr>
              <w:t>Madu, paid. Okoye, not yet.</w:t>
            </w:r>
            <w:r>
              <w:rPr>
                <w:rFonts w:ascii="Calibri" w:hAnsi="Calibri"/>
                <w:b w:val="0"/>
                <w:i w:val="0"/>
                <w:color w:val="101828"/>
                <w:sz w:val="16"/>
              </w:rPr>
              <w:t xml:space="preserve"> Sometimes a transfer receipt screenshotted into the chat and then scrolled away.</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6"/>
              </w:rPr>
              <w:t>5. Counting and banking</w:t>
            </w:r>
          </w:p>
        </w:tc>
        <w:tc>
          <w:tcPr>
            <w:tcW w:type="dxa" w:w="3888"/>
            <w:tcMar>
              <w:top w:w="60" w:type="dxa"/>
              <w:start w:w="110" w:type="dxa"/>
              <w:bottom w:w="60" w:type="dxa"/>
              <w:end w:w="110" w:type="dxa"/>
            </w:tcMar>
          </w:tcPr>
          <w:p>
            <w:pPr>
              <w:spacing w:after="0"/>
            </w:pPr>
            <w:r/>
            <w:r>
              <w:rPr>
                <w:rFonts w:ascii="Calibri" w:hAnsi="Calibri"/>
                <w:b w:val="0"/>
                <w:i w:val="0"/>
                <w:color w:val="101828"/>
                <w:sz w:val="16"/>
              </w:rPr>
              <w:t>The organiser counts the cash, usually in a back room or a car, then keeps it — sometimes in a drawer, sometimes in a pouch, sometimes deposited into a personal account.</w:t>
            </w:r>
          </w:p>
        </w:tc>
        <w:tc>
          <w:tcPr>
            <w:tcW w:type="dxa" w:w="3816"/>
            <w:tcMar>
              <w:top w:w="60" w:type="dxa"/>
              <w:start w:w="110" w:type="dxa"/>
              <w:bottom w:w="60" w:type="dxa"/>
              <w:end w:w="110" w:type="dxa"/>
            </w:tcMar>
          </w:tcPr>
          <w:p>
            <w:pPr>
              <w:spacing w:after="0"/>
            </w:pPr>
            <w:r/>
            <w:r>
              <w:rPr>
                <w:rFonts w:ascii="Calibri" w:hAnsi="Calibri"/>
                <w:b w:val="0"/>
                <w:i w:val="0"/>
                <w:color w:val="101828"/>
                <w:sz w:val="16"/>
              </w:rPr>
              <w:t>The notebook shows the total. The pot is not held in any account that belongs to the Ajo, and no statement is ever produced.</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6"/>
              </w:rPr>
              <w:t>6. Payout on the turn</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When a member's turn arrives, the pot is handed over. Often in cash at the market in front of witnesses. Increasingly by bank transfer, sometimes to a different bank than the one used to collect.</w:t>
            </w:r>
          </w:p>
        </w:tc>
        <w:tc>
          <w:tcPr>
            <w:tcW w:type="dxa" w:w="3816"/>
            <w:tcMar>
              <w:top w:w="60" w:type="dxa"/>
              <w:start w:w="110" w:type="dxa"/>
              <w:bottom w:w="60" w:type="dxa"/>
              <w:end w:w="110" w:type="dxa"/>
            </w:tcMar>
            <w:shd w:val="clear" w:color="auto" w:fill="F4F7FB"/>
          </w:tcPr>
          <w:p>
            <w:pPr>
              <w:spacing w:after="0"/>
            </w:pPr>
            <w:r/>
            <w:r>
              <w:rPr>
                <w:rFonts w:ascii="Calibri" w:hAnsi="Calibri"/>
                <w:b w:val="0"/>
                <w:i w:val="0"/>
                <w:color w:val="101828"/>
                <w:sz w:val="16"/>
              </w:rPr>
              <w:t>A line in the notebook, sometimes a photograph of the cash, sometimes nothing at all. The member usually has no receipt.</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6"/>
              </w:rPr>
              <w:t>7. Next round</w:t>
            </w:r>
          </w:p>
        </w:tc>
        <w:tc>
          <w:tcPr>
            <w:tcW w:type="dxa" w:w="3888"/>
            <w:tcMar>
              <w:top w:w="60" w:type="dxa"/>
              <w:start w:w="110" w:type="dxa"/>
              <w:bottom w:w="60" w:type="dxa"/>
              <w:end w:w="110" w:type="dxa"/>
            </w:tcMar>
          </w:tcPr>
          <w:p>
            <w:pPr>
              <w:spacing w:after="0"/>
            </w:pPr>
            <w:r/>
            <w:r>
              <w:rPr>
                <w:rFonts w:ascii="Calibri" w:hAnsi="Calibri"/>
                <w:b w:val="0"/>
                <w:i w:val="0"/>
                <w:color w:val="101828"/>
                <w:sz w:val="16"/>
              </w:rPr>
              <w:t>The cycle repeats. The notebook is carried forward. The only formal marker of progress is a calendar and the organiser's memory.</w:t>
            </w:r>
          </w:p>
        </w:tc>
        <w:tc>
          <w:tcPr>
            <w:tcW w:type="dxa" w:w="3816"/>
            <w:tcMar>
              <w:top w:w="60" w:type="dxa"/>
              <w:start w:w="110" w:type="dxa"/>
              <w:bottom w:w="60" w:type="dxa"/>
              <w:end w:w="110" w:type="dxa"/>
            </w:tcMar>
          </w:tcPr>
          <w:p>
            <w:pPr>
              <w:spacing w:after="0"/>
            </w:pPr>
            <w:r/>
            <w:r>
              <w:rPr>
                <w:rFonts w:ascii="Calibri" w:hAnsi="Calibri"/>
                <w:b w:val="0"/>
                <w:i w:val="0"/>
                <w:color w:val="101828"/>
                <w:sz w:val="16"/>
              </w:rPr>
              <w:t>Cumulative totals in the notebook, rarely added up correctly, rarely checked by anyone but the organiser.</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6"/>
              </w:rPr>
              <w:t>8. Close or dissolution</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After the last member has been paid, the Ajo is simply over. There is no closing statement, no confirmation, no archive, no record that this group ever ran.</w:t>
            </w:r>
          </w:p>
        </w:tc>
        <w:tc>
          <w:tcPr>
            <w:tcW w:type="dxa" w:w="3816"/>
            <w:tcMar>
              <w:top w:w="60" w:type="dxa"/>
              <w:start w:w="110" w:type="dxa"/>
              <w:bottom w:w="60" w:type="dxa"/>
              <w:end w:w="110" w:type="dxa"/>
            </w:tcMar>
            <w:shd w:val="clear" w:color="auto" w:fill="F4F7FB"/>
          </w:tcPr>
          <w:p>
            <w:pPr>
              <w:spacing w:after="0"/>
            </w:pPr>
            <w:r/>
            <w:r>
              <w:rPr>
                <w:rFonts w:ascii="Calibri" w:hAnsi="Calibri"/>
                <w:b w:val="0"/>
                <w:i w:val="0"/>
                <w:color w:val="101828"/>
                <w:sz w:val="16"/>
              </w:rPr>
              <w:t>Nothing. The notebook is put in a drawer, reused for something else, or thrown away.</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Note on scale in this example  </w:t>
      </w:r>
      <w:r>
        <w:rPr>
          <w:rFonts w:ascii="Calibri" w:hAnsi="Calibri"/>
          <w:b w:val="0"/>
          <w:i w:val="0"/>
          <w:color w:val="0B1F3A"/>
          <w:sz w:val="19"/>
        </w:rPr>
        <w:t>The worked example below uses a NGN 10,000.00 monthly contribution because that is realistic for a market-based Ajo. The canonical fee worked example used elsewhere in this specification uses NGN 1,000.00 contributions (10 members, 10 rounds, base pool NGN 10,000.00). The two examples are deliberately different scales and must not be conflated.</w:t>
      </w:r>
    </w:p>
    <w:p>
      <w:pPr>
        <w:pStyle w:val="Heading3"/>
      </w:pPr>
      <w:r>
        <w:rPr>
          <w:rFonts w:ascii="Calibri" w:hAnsi="Calibri"/>
          <w:b/>
          <w:i w:val="0"/>
          <w:color w:val="0B1F3A"/>
          <w:sz w:val="24"/>
        </w:rPr>
        <w:t>1.5.2 Worked example — 10 members, NGN 10,000.00, Friday</w:t>
      </w:r>
    </w:p>
    <w:p>
      <w:r>
        <w:rPr>
          <w:rFonts w:ascii="Calibri" w:hAnsi="Calibri"/>
          <w:b w:val="0"/>
          <w:i w:val="0"/>
          <w:color w:val="101828"/>
          <w:sz w:val="21"/>
        </w:rPr>
        <w:t xml:space="preserve">Ten market traders form an Ajo in Lagos. Each contributes NGN 10,000.00 per month. Collection happens every </w:t>
      </w:r>
      <w:r>
        <w:rPr>
          <w:rFonts w:ascii="Calibri" w:hAnsi="Calibri"/>
          <w:b/>
          <w:color w:val="101828"/>
          <w:sz w:val="21"/>
        </w:rPr>
        <w:t>Friday</w:t>
      </w:r>
      <w:r>
        <w:rPr>
          <w:rFonts w:ascii="Calibri" w:hAnsi="Calibri"/>
          <w:b w:val="0"/>
          <w:i w:val="0"/>
          <w:color w:val="101828"/>
          <w:sz w:val="21"/>
        </w:rPr>
        <w:t>, the market day, split into four weekly collections of NGN 2,500.00 each. The pot is NGN 100,000.00 per month, handed in full to one member per month, in the agreed order, for ten months.</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5040"/>
            <w:shd w:val="clear" w:color="auto" w:fill="0B1F3A"/>
            <w:tcMar>
              <w:top w:w="60" w:type="dxa"/>
              <w:start w:w="110" w:type="dxa"/>
              <w:bottom w:w="60" w:type="dxa"/>
              <w:end w:w="110" w:type="dxa"/>
            </w:tcMar>
          </w:tcPr>
          <w:p>
            <w:pPr>
              <w:spacing w:after="0"/>
            </w:pPr>
            <w:r/>
            <w:r>
              <w:rPr>
                <w:rFonts w:ascii="Calibri" w:hAnsi="Calibri"/>
                <w:b/>
                <w:i w:val="0"/>
                <w:color w:val="FFFFFF"/>
                <w:sz w:val="17"/>
              </w:rPr>
              <w:t>Item</w:t>
            </w:r>
          </w:p>
        </w:tc>
        <w:tc>
          <w:tcPr>
            <w:tcW w:type="dxa" w:w="4320"/>
            <w:shd w:val="clear" w:color="auto" w:fill="0B1F3A"/>
            <w:tcMar>
              <w:top w:w="60" w:type="dxa"/>
              <w:start w:w="110" w:type="dxa"/>
              <w:bottom w:w="60" w:type="dxa"/>
              <w:end w:w="110" w:type="dxa"/>
            </w:tcMar>
          </w:tcPr>
          <w:p>
            <w:pPr>
              <w:spacing w:after="0"/>
            </w:pPr>
            <w:r/>
            <w:r>
              <w:rPr>
                <w:rFonts w:ascii="Calibri" w:hAnsi="Calibri"/>
                <w:b/>
                <w:i w:val="0"/>
                <w:color w:val="FFFFFF"/>
                <w:sz w:val="17"/>
              </w:rPr>
              <w:t>Value</w:t>
            </w:r>
          </w:p>
        </w:tc>
      </w:tr>
      <w:tr>
        <w:trPr>
          <w:cantSplit/>
        </w:trPr>
        <w:tc>
          <w:tcPr>
            <w:tcW w:type="dxa" w:w="5040"/>
            <w:tcMar>
              <w:top w:w="60" w:type="dxa"/>
              <w:start w:w="110" w:type="dxa"/>
              <w:bottom w:w="60" w:type="dxa"/>
              <w:end w:w="110" w:type="dxa"/>
            </w:tcMar>
          </w:tcPr>
          <w:p>
            <w:pPr>
              <w:spacing w:after="0"/>
            </w:pPr>
            <w:r/>
            <w:r>
              <w:rPr>
                <w:rFonts w:ascii="Calibri" w:hAnsi="Calibri"/>
                <w:b w:val="0"/>
                <w:i w:val="0"/>
                <w:color w:val="101828"/>
                <w:sz w:val="17"/>
              </w:rPr>
              <w:t>Members</w:t>
            </w:r>
          </w:p>
        </w:tc>
        <w:tc>
          <w:tcPr>
            <w:tcW w:type="dxa" w:w="4320"/>
            <w:tcMar>
              <w:top w:w="60" w:type="dxa"/>
              <w:start w:w="110" w:type="dxa"/>
              <w:bottom w:w="60" w:type="dxa"/>
              <w:end w:w="110" w:type="dxa"/>
            </w:tcMar>
          </w:tcPr>
          <w:p>
            <w:pPr>
              <w:spacing w:after="0"/>
            </w:pPr>
            <w:r/>
            <w:r>
              <w:rPr>
                <w:rFonts w:ascii="Calibri" w:hAnsi="Calibri"/>
                <w:b w:val="0"/>
                <w:i w:val="0"/>
                <w:color w:val="101828"/>
                <w:sz w:val="17"/>
              </w:rPr>
              <w:t>10</w:t>
            </w:r>
          </w:p>
        </w:tc>
      </w:tr>
      <w:tr>
        <w:trPr>
          <w:cantSplit/>
        </w:trPr>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7"/>
              </w:rPr>
              <w:t>Contribution per member per month</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7"/>
              </w:rPr>
              <w:t>NGN 10,000.00</w:t>
            </w:r>
          </w:p>
        </w:tc>
      </w:tr>
      <w:tr>
        <w:trPr>
          <w:cantSplit/>
        </w:trPr>
        <w:tc>
          <w:tcPr>
            <w:tcW w:type="dxa" w:w="5040"/>
            <w:tcMar>
              <w:top w:w="60" w:type="dxa"/>
              <w:start w:w="110" w:type="dxa"/>
              <w:bottom w:w="60" w:type="dxa"/>
              <w:end w:w="110" w:type="dxa"/>
            </w:tcMar>
          </w:tcPr>
          <w:p>
            <w:pPr>
              <w:spacing w:after="0"/>
            </w:pPr>
            <w:r/>
            <w:r>
              <w:rPr>
                <w:rFonts w:ascii="Calibri" w:hAnsi="Calibri"/>
                <w:b w:val="0"/>
                <w:i w:val="0"/>
                <w:color w:val="101828"/>
                <w:sz w:val="17"/>
              </w:rPr>
              <w:t>Collection day</w:t>
            </w:r>
          </w:p>
        </w:tc>
        <w:tc>
          <w:tcPr>
            <w:tcW w:type="dxa" w:w="4320"/>
            <w:tcMar>
              <w:top w:w="60" w:type="dxa"/>
              <w:start w:w="110" w:type="dxa"/>
              <w:bottom w:w="60" w:type="dxa"/>
              <w:end w:w="110" w:type="dxa"/>
            </w:tcMar>
          </w:tcPr>
          <w:p>
            <w:pPr>
              <w:spacing w:after="0"/>
            </w:pPr>
            <w:r/>
            <w:r>
              <w:rPr>
                <w:rFonts w:ascii="Calibri" w:hAnsi="Calibri"/>
                <w:b w:val="0"/>
                <w:i w:val="0"/>
                <w:color w:val="101828"/>
                <w:sz w:val="17"/>
              </w:rPr>
              <w:t>Friday (market day)</w:t>
            </w:r>
          </w:p>
        </w:tc>
      </w:tr>
      <w:tr>
        <w:trPr>
          <w:cantSplit/>
        </w:trPr>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7"/>
              </w:rPr>
              <w:t>Collections per month</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7"/>
              </w:rPr>
              <w:t>4</w:t>
            </w:r>
          </w:p>
        </w:tc>
      </w:tr>
      <w:tr>
        <w:trPr>
          <w:cantSplit/>
        </w:trPr>
        <w:tc>
          <w:tcPr>
            <w:tcW w:type="dxa" w:w="5040"/>
            <w:tcMar>
              <w:top w:w="60" w:type="dxa"/>
              <w:start w:w="110" w:type="dxa"/>
              <w:bottom w:w="60" w:type="dxa"/>
              <w:end w:w="110" w:type="dxa"/>
            </w:tcMar>
          </w:tcPr>
          <w:p>
            <w:pPr>
              <w:spacing w:after="0"/>
            </w:pPr>
            <w:r/>
            <w:r>
              <w:rPr>
                <w:rFonts w:ascii="Calibri" w:hAnsi="Calibri"/>
                <w:b w:val="0"/>
                <w:i w:val="0"/>
                <w:color w:val="101828"/>
                <w:sz w:val="17"/>
              </w:rPr>
              <w:t>Amount collected per member per Friday</w:t>
            </w:r>
          </w:p>
        </w:tc>
        <w:tc>
          <w:tcPr>
            <w:tcW w:type="dxa" w:w="4320"/>
            <w:tcMar>
              <w:top w:w="60" w:type="dxa"/>
              <w:start w:w="110" w:type="dxa"/>
              <w:bottom w:w="60" w:type="dxa"/>
              <w:end w:w="110" w:type="dxa"/>
            </w:tcMar>
          </w:tcPr>
          <w:p>
            <w:pPr>
              <w:spacing w:after="0"/>
            </w:pPr>
            <w:r/>
            <w:r>
              <w:rPr>
                <w:rFonts w:ascii="Calibri" w:hAnsi="Calibri"/>
                <w:b w:val="0"/>
                <w:i w:val="0"/>
                <w:color w:val="101828"/>
                <w:sz w:val="17"/>
              </w:rPr>
              <w:t>NGN 2,500.00</w:t>
            </w:r>
          </w:p>
        </w:tc>
      </w:tr>
      <w:tr>
        <w:trPr>
          <w:cantSplit/>
        </w:trPr>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7"/>
              </w:rPr>
              <w:t>Total collected per member per month</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7"/>
              </w:rPr>
              <w:t>NGN 10,000.00</w:t>
            </w:r>
          </w:p>
        </w:tc>
      </w:tr>
      <w:tr>
        <w:trPr>
          <w:cantSplit/>
        </w:trPr>
        <w:tc>
          <w:tcPr>
            <w:tcW w:type="dxa" w:w="5040"/>
            <w:tcMar>
              <w:top w:w="60" w:type="dxa"/>
              <w:start w:w="110" w:type="dxa"/>
              <w:bottom w:w="60" w:type="dxa"/>
              <w:end w:w="110" w:type="dxa"/>
            </w:tcMar>
          </w:tcPr>
          <w:p>
            <w:pPr>
              <w:spacing w:after="0"/>
            </w:pPr>
            <w:r/>
            <w:r>
              <w:rPr>
                <w:rFonts w:ascii="Calibri" w:hAnsi="Calibri"/>
                <w:b w:val="0"/>
                <w:i w:val="0"/>
                <w:color w:val="101828"/>
                <w:sz w:val="17"/>
              </w:rPr>
              <w:t>Pot paid out each month</w:t>
            </w:r>
          </w:p>
        </w:tc>
        <w:tc>
          <w:tcPr>
            <w:tcW w:type="dxa" w:w="4320"/>
            <w:tcMar>
              <w:top w:w="60" w:type="dxa"/>
              <w:start w:w="110" w:type="dxa"/>
              <w:bottom w:w="60" w:type="dxa"/>
              <w:end w:w="110" w:type="dxa"/>
            </w:tcMar>
          </w:tcPr>
          <w:p>
            <w:pPr>
              <w:spacing w:after="0"/>
            </w:pPr>
            <w:r/>
            <w:r>
              <w:rPr>
                <w:rFonts w:ascii="Calibri" w:hAnsi="Calibri"/>
                <w:b w:val="0"/>
                <w:i w:val="0"/>
                <w:color w:val="101828"/>
                <w:sz w:val="17"/>
              </w:rPr>
              <w:t>NGN 100,000.00</w:t>
            </w:r>
          </w:p>
        </w:tc>
      </w:tr>
      <w:tr>
        <w:trPr>
          <w:cantSplit/>
        </w:trPr>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7"/>
              </w:rPr>
              <w:t>Rounds (one payout per member)</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7"/>
              </w:rPr>
              <w:t>10</w:t>
            </w:r>
          </w:p>
        </w:tc>
      </w:tr>
      <w:tr>
        <w:trPr>
          <w:cantSplit/>
        </w:trPr>
        <w:tc>
          <w:tcPr>
            <w:tcW w:type="dxa" w:w="5040"/>
            <w:tcMar>
              <w:top w:w="60" w:type="dxa"/>
              <w:start w:w="110" w:type="dxa"/>
              <w:bottom w:w="60" w:type="dxa"/>
              <w:end w:w="110" w:type="dxa"/>
            </w:tcMar>
          </w:tcPr>
          <w:p>
            <w:pPr>
              <w:spacing w:after="0"/>
            </w:pPr>
            <w:r/>
            <w:r>
              <w:rPr>
                <w:rFonts w:ascii="Calibri" w:hAnsi="Calibri"/>
                <w:b w:val="0"/>
                <w:i w:val="0"/>
                <w:color w:val="101828"/>
                <w:sz w:val="17"/>
              </w:rPr>
              <w:t>Duration of the Ajo</w:t>
            </w:r>
          </w:p>
        </w:tc>
        <w:tc>
          <w:tcPr>
            <w:tcW w:type="dxa" w:w="4320"/>
            <w:tcMar>
              <w:top w:w="60" w:type="dxa"/>
              <w:start w:w="110" w:type="dxa"/>
              <w:bottom w:w="60" w:type="dxa"/>
              <w:end w:w="110" w:type="dxa"/>
            </w:tcMar>
          </w:tcPr>
          <w:p>
            <w:pPr>
              <w:spacing w:after="0"/>
            </w:pPr>
            <w:r/>
            <w:r>
              <w:rPr>
                <w:rFonts w:ascii="Calibri" w:hAnsi="Calibri"/>
                <w:b w:val="0"/>
                <w:i w:val="0"/>
                <w:color w:val="101828"/>
                <w:sz w:val="17"/>
              </w:rPr>
              <w:t>10 months</w:t>
            </w:r>
          </w:p>
        </w:tc>
      </w:tr>
      <w:tr>
        <w:trPr>
          <w:cantSplit/>
        </w:trPr>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7"/>
              </w:rPr>
              <w:t>Total paid in by one member across the Ajo</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7"/>
              </w:rPr>
              <w:t>NGN 100,000.00</w:t>
            </w:r>
          </w:p>
        </w:tc>
      </w:tr>
      <w:tr>
        <w:trPr>
          <w:cantSplit/>
        </w:trPr>
        <w:tc>
          <w:tcPr>
            <w:tcW w:type="dxa" w:w="5040"/>
            <w:tcMar>
              <w:top w:w="60" w:type="dxa"/>
              <w:start w:w="110" w:type="dxa"/>
              <w:bottom w:w="60" w:type="dxa"/>
              <w:end w:w="110" w:type="dxa"/>
            </w:tcMar>
          </w:tcPr>
          <w:p>
            <w:pPr>
              <w:spacing w:after="0"/>
            </w:pPr>
            <w:r/>
            <w:r>
              <w:rPr>
                <w:rFonts w:ascii="Calibri" w:hAnsi="Calibri"/>
                <w:b w:val="0"/>
                <w:i w:val="0"/>
                <w:color w:val="101828"/>
                <w:sz w:val="17"/>
              </w:rPr>
              <w:t>Total received by one member at their turn</w:t>
            </w:r>
          </w:p>
        </w:tc>
        <w:tc>
          <w:tcPr>
            <w:tcW w:type="dxa" w:w="4320"/>
            <w:tcMar>
              <w:top w:w="60" w:type="dxa"/>
              <w:start w:w="110" w:type="dxa"/>
              <w:bottom w:w="60" w:type="dxa"/>
              <w:end w:w="110" w:type="dxa"/>
            </w:tcMar>
          </w:tcPr>
          <w:p>
            <w:pPr>
              <w:spacing w:after="0"/>
            </w:pPr>
            <w:r/>
            <w:r>
              <w:rPr>
                <w:rFonts w:ascii="Calibri" w:hAnsi="Calibri"/>
                <w:b w:val="0"/>
                <w:i w:val="0"/>
                <w:color w:val="101828"/>
                <w:sz w:val="17"/>
              </w:rPr>
              <w:t>NGN 100,000.00</w:t>
            </w:r>
          </w:p>
        </w:tc>
      </w:tr>
      <w:tr>
        <w:trPr>
          <w:cantSplit/>
        </w:trPr>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7"/>
              </w:rPr>
              <w:t>Total circulated by the Ajo</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7"/>
              </w:rPr>
              <w:t>NGN 1,000,000.00</w:t>
            </w:r>
          </w:p>
        </w:tc>
      </w:tr>
      <w:tr>
        <w:trPr>
          <w:cantSplit/>
        </w:trPr>
        <w:tc>
          <w:tcPr>
            <w:tcW w:type="dxa" w:w="5040"/>
            <w:tcMar>
              <w:top w:w="60" w:type="dxa"/>
              <w:start w:w="110" w:type="dxa"/>
              <w:bottom w:w="60" w:type="dxa"/>
              <w:end w:w="110" w:type="dxa"/>
            </w:tcMar>
          </w:tcPr>
          <w:p>
            <w:pPr>
              <w:spacing w:after="0"/>
            </w:pPr>
            <w:r/>
            <w:r>
              <w:rPr>
                <w:rFonts w:ascii="Calibri" w:hAnsi="Calibri"/>
                <w:b w:val="0"/>
                <w:i w:val="0"/>
                <w:color w:val="101828"/>
                <w:sz w:val="17"/>
              </w:rPr>
              <w:t>Platform fee (there is no platform)</w:t>
            </w:r>
          </w:p>
        </w:tc>
        <w:tc>
          <w:tcPr>
            <w:tcW w:type="dxa" w:w="4320"/>
            <w:tcMar>
              <w:top w:w="60" w:type="dxa"/>
              <w:start w:w="110" w:type="dxa"/>
              <w:bottom w:w="60" w:type="dxa"/>
              <w:end w:w="110" w:type="dxa"/>
            </w:tcMar>
          </w:tcPr>
          <w:p>
            <w:pPr>
              <w:spacing w:after="0"/>
            </w:pPr>
            <w:r/>
            <w:r>
              <w:rPr>
                <w:rFonts w:ascii="Calibri" w:hAnsi="Calibri"/>
                <w:b w:val="0"/>
                <w:i w:val="0"/>
                <w:color w:val="101828"/>
                <w:sz w:val="17"/>
              </w:rPr>
              <w:t>NGN 0.00</w:t>
            </w:r>
          </w:p>
        </w:tc>
      </w:tr>
      <w:tr>
        <w:trPr>
          <w:cantSplit/>
        </w:trPr>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7"/>
              </w:rPr>
              <w:t>Interest or yield (none is offered or implied)</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7"/>
              </w:rPr>
              <w:t>NGN 0.00</w:t>
            </w:r>
          </w:p>
        </w:tc>
      </w:tr>
      <w:tr>
        <w:trPr>
          <w:cantSplit/>
        </w:trPr>
        <w:tc>
          <w:tcPr>
            <w:tcW w:type="dxa" w:w="5040"/>
            <w:tcMar>
              <w:top w:w="60" w:type="dxa"/>
              <w:start w:w="110" w:type="dxa"/>
              <w:bottom w:w="60" w:type="dxa"/>
              <w:end w:w="110" w:type="dxa"/>
            </w:tcMar>
          </w:tcPr>
          <w:p>
            <w:pPr>
              <w:spacing w:after="0"/>
            </w:pPr>
            <w:r/>
            <w:r>
              <w:rPr>
                <w:rFonts w:ascii="Calibri" w:hAnsi="Calibri"/>
                <w:b w:val="0"/>
                <w:i w:val="0"/>
                <w:color w:val="101828"/>
                <w:sz w:val="17"/>
              </w:rPr>
              <w:t>Records kept</w:t>
            </w:r>
          </w:p>
        </w:tc>
        <w:tc>
          <w:tcPr>
            <w:tcW w:type="dxa" w:w="4320"/>
            <w:tcMar>
              <w:top w:w="60" w:type="dxa"/>
              <w:start w:w="110" w:type="dxa"/>
              <w:bottom w:w="60" w:type="dxa"/>
              <w:end w:w="110" w:type="dxa"/>
            </w:tcMar>
          </w:tcPr>
          <w:p>
            <w:pPr>
              <w:spacing w:after="0"/>
            </w:pPr>
            <w:r/>
            <w:r>
              <w:rPr>
                <w:rFonts w:ascii="Calibri" w:hAnsi="Calibri"/>
                <w:b w:val="0"/>
                <w:i w:val="0"/>
                <w:color w:val="101828"/>
                <w:sz w:val="17"/>
              </w:rPr>
              <w:t>One paper notebook, held by the organiser</w:t>
            </w:r>
          </w:p>
        </w:tc>
      </w:tr>
      <w:tr>
        <w:trPr>
          <w:cantSplit/>
        </w:trPr>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7"/>
              </w:rPr>
              <w:t>Receipts given to members</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7"/>
              </w:rPr>
              <w:t>None, in the large majority of cases</w:t>
            </w:r>
          </w:p>
        </w:tc>
      </w:tr>
      <w:tr>
        <w:trPr>
          <w:cantSplit/>
        </w:trPr>
        <w:tc>
          <w:tcPr>
            <w:tcW w:type="dxa" w:w="5040"/>
            <w:tcMar>
              <w:top w:w="60" w:type="dxa"/>
              <w:start w:w="110" w:type="dxa"/>
              <w:bottom w:w="60" w:type="dxa"/>
              <w:end w:w="110" w:type="dxa"/>
            </w:tcMar>
          </w:tcPr>
          <w:p>
            <w:pPr>
              <w:spacing w:after="0"/>
            </w:pPr>
            <w:r/>
            <w:r>
              <w:rPr>
                <w:rFonts w:ascii="Calibri" w:hAnsi="Calibri"/>
                <w:b w:val="0"/>
                <w:i w:val="0"/>
                <w:color w:val="101828"/>
                <w:sz w:val="17"/>
              </w:rPr>
              <w:t>Time the organiser spends per Friday</w:t>
            </w:r>
          </w:p>
        </w:tc>
        <w:tc>
          <w:tcPr>
            <w:tcW w:type="dxa" w:w="4320"/>
            <w:tcMar>
              <w:top w:w="60" w:type="dxa"/>
              <w:start w:w="110" w:type="dxa"/>
              <w:bottom w:w="60" w:type="dxa"/>
              <w:end w:w="110" w:type="dxa"/>
            </w:tcMar>
          </w:tcPr>
          <w:p>
            <w:pPr>
              <w:spacing w:after="0"/>
            </w:pPr>
            <w:r/>
            <w:r>
              <w:rPr>
                <w:rFonts w:ascii="Calibri" w:hAnsi="Calibri"/>
                <w:b w:val="0"/>
                <w:i w:val="0"/>
                <w:color w:val="101828"/>
                <w:sz w:val="17"/>
              </w:rPr>
              <w:t>Approximately 2 to 3 hours</w:t>
            </w:r>
          </w:p>
        </w:tc>
      </w:tr>
    </w:tbl>
    <w:p>
      <w:pPr>
        <w:spacing w:after="80"/>
      </w:pPr>
    </w:p>
    <w:p>
      <w:r>
        <w:rPr>
          <w:rFonts w:ascii="Calibri" w:hAnsi="Calibri"/>
          <w:b w:val="0"/>
          <w:i w:val="0"/>
          <w:color w:val="101828"/>
          <w:sz w:val="21"/>
        </w:rPr>
        <w:t xml:space="preserve">Note what the member actually buys with that two or three hours: the member pays NGN 10,000.00 and receives NGN 10,000.00. The return is </w:t>
      </w:r>
      <w:r>
        <w:rPr>
          <w:rFonts w:ascii="Calibri" w:hAnsi="Calibri"/>
          <w:b/>
          <w:color w:val="101828"/>
          <w:sz w:val="21"/>
        </w:rPr>
        <w:t>exactly zero in cash terms</w:t>
      </w:r>
      <w:r>
        <w:rPr>
          <w:rFonts w:ascii="Calibri" w:hAnsi="Calibri"/>
          <w:b w:val="0"/>
          <w:i w:val="0"/>
          <w:color w:val="101828"/>
          <w:sz w:val="21"/>
        </w:rPr>
        <w:t>. The entire value of the Ajo is the enforcement of the schedule and the social commitment. This is the single most important insight for product design: AJO.ng is not competing with a bank on yield, and any suggestion that it pays a return would be both false and dangerous.</w:t>
      </w:r>
    </w:p>
    <w:p>
      <w:pPr>
        <w:spacing w:before="140" w:after="180"/>
        <w:ind w:left="144"/>
        <w:shd w:val="clear" w:color="auto" w:fill="FEF3C7"/>
        <w:pBdr>
          <w:left w:val="single" w:sz="18" w:space="6" w:color="FBBF24"/>
        </w:pBdr>
      </w:pPr>
      <w:r>
        <w:rPr>
          <w:rFonts w:ascii="Calibri" w:hAnsi="Calibri"/>
          <w:b/>
          <w:color w:val="FBBF24"/>
          <w:sz w:val="19"/>
        </w:rPr>
        <w:t xml:space="preserve">Zero cash return  </w:t>
      </w:r>
      <w:r>
        <w:rPr>
          <w:rFonts w:ascii="Calibri" w:hAnsi="Calibri"/>
          <w:b w:val="0"/>
          <w:i w:val="0"/>
          <w:color w:val="0B1F3A"/>
          <w:sz w:val="19"/>
        </w:rPr>
        <w:t xml:space="preserve">An Ajo pays no interest. A member who joins a 10-member Ajo at NGN 10,000.00 per month pays NGN 100,000.00 in total and receives NGN 100,000.00. Marketing material must never imply, allow or invite the inference that AJO.ng generates a return, an investment, or a financial gain. The product sold is </w:t>
      </w:r>
      <w:r>
        <w:rPr>
          <w:rFonts w:ascii="Calibri" w:hAnsi="Calibri"/>
          <w:b/>
          <w:color w:val="0B1F3A"/>
          <w:sz w:val="19"/>
        </w:rPr>
        <w:t>forced savings discipline plus accountability</w:t>
      </w:r>
      <w:r>
        <w:rPr>
          <w:rFonts w:ascii="Calibri" w:hAnsi="Calibri"/>
          <w:b w:val="0"/>
          <w:i w:val="0"/>
          <w:color w:val="0B1F3A"/>
          <w:sz w:val="19"/>
        </w:rPr>
        <w:t>, and nothing else.</w:t>
      </w:r>
    </w:p>
    <w:p>
      <w:pPr>
        <w:pStyle w:val="Heading3"/>
      </w:pPr>
      <w:r>
        <w:rPr>
          <w:rFonts w:ascii="Calibri" w:hAnsi="Calibri"/>
          <w:b/>
          <w:i w:val="0"/>
          <w:color w:val="0B1F3A"/>
          <w:sz w:val="24"/>
        </w:rPr>
        <w:t>1.5.3 What the organiser's Friday actually looks like</w:t>
      </w:r>
    </w:p>
    <w:p>
      <w:pPr>
        <w:spacing w:before="0" w:after="0" w:line="240" w:lineRule="auto"/>
        <w:ind w:left="230"/>
        <w:shd w:val="clear" w:color="auto" w:fill="F7F9FC"/>
        <w:pBdr>
          <w:left w:val="single" w:sz="4" w:space="6" w:color="D0D5DD"/>
        </w:pBdr>
      </w:pPr>
      <w:r>
        <w:rPr>
          <w:rFonts w:ascii="Consolas" w:hAnsi="Consolas"/>
          <w:color w:val="0B1F3A"/>
          <w:sz w:val="16"/>
        </w:rPr>
        <w:t>MARKET DAY - FRIDAY                      THE POT</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xml:space="preserve">  07:20  Arrive early, open the stall        Target: NGN 100,000.00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08:00  Begin walking the row               Notebook: one, yours</w:t>
      </w:r>
    </w:p>
    <w:p>
      <w:pPr>
        <w:spacing w:before="0" w:after="0" w:line="240" w:lineRule="auto"/>
        <w:ind w:left="230"/>
        <w:shd w:val="clear" w:color="auto" w:fill="F7F9FC"/>
        <w:pBdr>
          <w:left w:val="single" w:sz="4" w:space="6" w:color="D0D5DD"/>
        </w:pBdr>
      </w:pPr>
      <w:r>
        <w:rPr>
          <w:rFonts w:ascii="Consolas" w:hAnsi="Consolas"/>
          <w:color w:val="0B1F3A"/>
          <w:sz w:val="16"/>
        </w:rPr>
        <w:t xml:space="preserve">  08:40  Remind Chidi (still owes)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09:15  Collect from 6 members</w:t>
      </w:r>
    </w:p>
    <w:p>
      <w:pPr>
        <w:spacing w:before="0" w:after="0" w:line="240" w:lineRule="auto"/>
        <w:ind w:left="230"/>
        <w:shd w:val="clear" w:color="auto" w:fill="F7F9FC"/>
        <w:pBdr>
          <w:left w:val="single" w:sz="4" w:space="6" w:color="D0D5DD"/>
        </w:pBdr>
      </w:pPr>
      <w:r>
        <w:rPr>
          <w:rFonts w:ascii="Consolas" w:hAnsi="Consolas"/>
          <w:color w:val="0B1F3A"/>
          <w:sz w:val="16"/>
        </w:rPr>
        <w:t xml:space="preserve">          = NGN 15,000.00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11:30  Count it in the back room</w:t>
      </w:r>
    </w:p>
    <w:p>
      <w:pPr>
        <w:spacing w:before="0" w:after="0" w:line="240" w:lineRule="auto"/>
        <w:ind w:left="230"/>
        <w:shd w:val="clear" w:color="auto" w:fill="F7F9FC"/>
        <w:pBdr>
          <w:left w:val="single" w:sz="4" w:space="6" w:color="D0D5DD"/>
        </w:pBdr>
      </w:pPr>
      <w:r>
        <w:rPr>
          <w:rFonts w:ascii="Consolas" w:hAnsi="Consolas"/>
          <w:color w:val="0B1F3A"/>
          <w:sz w:val="16"/>
        </w:rPr>
        <w:t xml:space="preserve">          = NGN 22,500.00 for today</w:t>
      </w:r>
    </w:p>
    <w:p>
      <w:pPr>
        <w:spacing w:before="0" w:after="0" w:line="240" w:lineRule="auto"/>
        <w:ind w:left="230"/>
        <w:shd w:val="clear" w:color="auto" w:fill="F7F9FC"/>
        <w:pBdr>
          <w:left w:val="single" w:sz="4" w:space="6" w:color="D0D5DD"/>
        </w:pBdr>
      </w:pPr>
      <w:r>
        <w:rPr>
          <w:rFonts w:ascii="Consolas" w:hAnsi="Consolas"/>
          <w:color w:val="0B1F3A"/>
          <w:sz w:val="16"/>
        </w:rPr>
        <w:t xml:space="preserve">  12:00  Send "paid update" in the group</w:t>
      </w:r>
    </w:p>
    <w:p>
      <w:pPr>
        <w:spacing w:before="0" w:after="0" w:line="240" w:lineRule="auto"/>
        <w:ind w:left="230"/>
        <w:shd w:val="clear" w:color="auto" w:fill="F7F9FC"/>
        <w:pBdr>
          <w:left w:val="single" w:sz="4" w:space="6" w:color="D0D5DD"/>
        </w:pBdr>
      </w:pPr>
      <w:r>
        <w:rPr>
          <w:rFonts w:ascii="Consolas" w:hAnsi="Consolas"/>
          <w:color w:val="0B1F3A"/>
          <w:sz w:val="16"/>
        </w:rPr>
        <w:t xml:space="preserve">  16:00  Carry NGN 22,500.00 home</w:t>
      </w:r>
    </w:p>
    <w:p>
      <w:pPr>
        <w:spacing w:before="0" w:after="0" w:line="240" w:lineRule="auto"/>
        <w:ind w:left="230"/>
        <w:shd w:val="clear" w:color="auto" w:fill="F7F9FC"/>
        <w:pBdr>
          <w:left w:val="single" w:sz="4" w:space="6" w:color="D0D5DD"/>
        </w:pBdr>
      </w:pPr>
      <w:r>
        <w:rPr>
          <w:rFonts w:ascii="Consolas" w:hAnsi="Consolas"/>
          <w:color w:val="0B1F3A"/>
          <w:sz w:val="16"/>
        </w:rPr>
        <w:t xml:space="preserve">          in a bag, in a bus, in traffic</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Zero of this is written by software.</w:t>
      </w:r>
    </w:p>
    <w:p>
      <w:pPr>
        <w:spacing w:before="0" w:after="0" w:line="240" w:lineRule="auto"/>
        <w:ind w:left="230"/>
        <w:shd w:val="clear" w:color="auto" w:fill="F7F9FC"/>
        <w:pBdr>
          <w:left w:val="single" w:sz="4" w:space="6" w:color="D0D5DD"/>
        </w:pBdr>
      </w:pPr>
      <w:r>
        <w:rPr>
          <w:rFonts w:ascii="Consolas" w:hAnsi="Consolas"/>
          <w:color w:val="0B1F3A"/>
          <w:sz w:val="16"/>
        </w:rPr>
        <w:t xml:space="preserve">  All of it is written by you, by hand.</w:t>
      </w:r>
    </w:p>
    <w:p>
      <w:pPr>
        <w:spacing w:before="0" w:after="0" w:line="240" w:lineRule="auto"/>
        <w:ind w:left="230"/>
        <w:shd w:val="clear" w:color="auto" w:fill="F7F9FC"/>
        <w:pBdr>
          <w:left w:val="single" w:sz="4" w:space="6" w:color="D0D5DD"/>
        </w:pBdr>
      </w:pPr>
      <w:r>
        <w:rPr>
          <w:rFonts w:ascii="Consolas" w:hAnsi="Consolas"/>
          <w:color w:val="0B1F3A"/>
          <w:sz w:val="16"/>
        </w:rPr>
        <w:t xml:space="preserve">  None of it can be checked by anybody else.</w:t>
      </w:r>
    </w:p>
    <w:p>
      <w:pPr>
        <w:pStyle w:val="Heading2"/>
      </w:pPr>
      <w:r>
        <w:rPr>
          <w:rFonts w:ascii="Calibri" w:hAnsi="Calibri"/>
          <w:b/>
          <w:i w:val="0"/>
          <w:color w:val="146EF5"/>
          <w:sz w:val="29"/>
        </w:rPr>
        <w:t>1.6 Problems with the traditional Ajo</w:t>
      </w:r>
    </w:p>
    <w:p>
      <w:pPr>
        <w:spacing w:before="140" w:after="180"/>
        <w:ind w:left="144"/>
        <w:shd w:val="clear" w:color="auto" w:fill="EFF6FF"/>
        <w:pBdr>
          <w:left w:val="single" w:sz="18" w:space="6" w:color="146EF5"/>
        </w:pBdr>
      </w:pPr>
      <w:r>
        <w:rPr>
          <w:rFonts w:ascii="Calibri" w:hAnsi="Calibri"/>
          <w:b/>
          <w:color w:val="146EF5"/>
          <w:sz w:val="19"/>
        </w:rPr>
        <w:t xml:space="preserve">Read this first  </w:t>
      </w:r>
      <w:r>
        <w:rPr>
          <w:rFonts w:ascii="Calibri" w:hAnsi="Calibri"/>
          <w:b/>
          <w:color w:val="0B1F3A"/>
          <w:sz w:val="19"/>
        </w:rPr>
        <w:t>The social trust in a traditional Ajo is a strength, not only a weakness.</w:t>
      </w:r>
      <w:r>
        <w:rPr>
          <w:rFonts w:ascii="Calibri" w:hAnsi="Calibri"/>
          <w:b w:val="0"/>
          <w:i w:val="0"/>
          <w:color w:val="0B1F3A"/>
          <w:sz w:val="19"/>
        </w:rPr>
        <w:t xml:space="preserve"> It is why NGN 1,000,000.00 can move through ten people who have never signed anything, in a country where formal credit is expensive and largely unavailable. Any product that replaces trust with surveillance will be worse, not better. AJO.ng's job is to keep the trust and remove the paper. The problems below are listed honestly, and the strengths are listed just as honestly.</w:t>
      </w:r>
    </w:p>
    <w:p>
      <w:pPr>
        <w:pStyle w:val="Heading3"/>
      </w:pPr>
      <w:r>
        <w:rPr>
          <w:rFonts w:ascii="Calibri" w:hAnsi="Calibri"/>
          <w:b/>
          <w:i w:val="0"/>
          <w:color w:val="0B1F3A"/>
          <w:sz w:val="24"/>
        </w:rPr>
        <w:t>1.6.1 The genuine strengths of the traditional Ajo</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Strength</w:t>
            </w:r>
          </w:p>
        </w:tc>
        <w:tc>
          <w:tcPr>
            <w:tcW w:type="dxa" w:w="3600"/>
            <w:shd w:val="clear" w:color="auto" w:fill="0B1F3A"/>
            <w:tcMar>
              <w:top w:w="60" w:type="dxa"/>
              <w:start w:w="110" w:type="dxa"/>
              <w:bottom w:w="60" w:type="dxa"/>
              <w:end w:w="110" w:type="dxa"/>
            </w:tcMar>
          </w:tcPr>
          <w:p>
            <w:pPr>
              <w:spacing w:after="0"/>
            </w:pPr>
            <w:r/>
            <w:r>
              <w:rPr>
                <w:rFonts w:ascii="Calibri" w:hAnsi="Calibri"/>
                <w:b/>
                <w:i w:val="0"/>
                <w:color w:val="FFFFFF"/>
                <w:sz w:val="16"/>
              </w:rPr>
              <w:t>Why it matters</w:t>
            </w:r>
          </w:p>
        </w:tc>
        <w:tc>
          <w:tcPr>
            <w:tcW w:type="dxa" w:w="3888"/>
            <w:shd w:val="clear" w:color="auto" w:fill="0B1F3A"/>
            <w:tcMar>
              <w:top w:w="60" w:type="dxa"/>
              <w:start w:w="110" w:type="dxa"/>
              <w:bottom w:w="60" w:type="dxa"/>
              <w:end w:w="110" w:type="dxa"/>
            </w:tcMar>
          </w:tcPr>
          <w:p>
            <w:pPr>
              <w:spacing w:after="0"/>
            </w:pPr>
            <w:r/>
            <w:r>
              <w:rPr>
                <w:rFonts w:ascii="Calibri" w:hAnsi="Calibri"/>
                <w:b/>
                <w:i w:val="0"/>
                <w:color w:val="FFFFFF"/>
                <w:sz w:val="16"/>
              </w:rPr>
              <w:t>How AJO.ng preserves it</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Social enforcement</w:t>
            </w:r>
          </w:p>
        </w:tc>
        <w:tc>
          <w:tcPr>
            <w:tcW w:type="dxa" w:w="3600"/>
            <w:tcMar>
              <w:top w:w="60" w:type="dxa"/>
              <w:start w:w="110" w:type="dxa"/>
              <w:bottom w:w="60" w:type="dxa"/>
              <w:end w:w="110" w:type="dxa"/>
            </w:tcMar>
          </w:tcPr>
          <w:p>
            <w:pPr>
              <w:spacing w:after="0"/>
            </w:pPr>
            <w:r/>
            <w:r>
              <w:rPr>
                <w:rFonts w:ascii="Calibri" w:hAnsi="Calibri"/>
                <w:b w:val="0"/>
                <w:i w:val="0"/>
                <w:color w:val="101828"/>
                <w:sz w:val="16"/>
              </w:rPr>
              <w:t>The strongest enforcement mechanism in low-cost finance is a person who will be embarrassed in front of you. It works at no cost and needs no software.</w:t>
            </w:r>
          </w:p>
        </w:tc>
        <w:tc>
          <w:tcPr>
            <w:tcW w:type="dxa" w:w="3888"/>
            <w:tcMar>
              <w:top w:w="60" w:type="dxa"/>
              <w:start w:w="110" w:type="dxa"/>
              <w:bottom w:w="60" w:type="dxa"/>
              <w:end w:w="110" w:type="dxa"/>
            </w:tcMar>
          </w:tcPr>
          <w:p>
            <w:pPr>
              <w:spacing w:after="0"/>
            </w:pPr>
            <w:r/>
            <w:r>
              <w:rPr>
                <w:rFonts w:ascii="Calibri" w:hAnsi="Calibri"/>
                <w:b w:val="0"/>
                <w:i w:val="0"/>
                <w:color w:val="101828"/>
                <w:sz w:val="16"/>
              </w:rPr>
              <w:t>Preserved. Defaulting is handled privately between the member, the organiser and platform risk. AJO.ng never publicly shames or exposes a defaulting member.</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Known counterparty</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Members join because they know and trust the organiser. That trust is the product's distribution channel and its acquisition cost of zero.</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Preserved and extended. MVP is private and invitation-only. Ajo.ng Ajos are invitation-only in launch, so the group is always somebody's group.</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Zero onboarding cost</w:t>
            </w:r>
          </w:p>
        </w:tc>
        <w:tc>
          <w:tcPr>
            <w:tcW w:type="dxa" w:w="3600"/>
            <w:tcMar>
              <w:top w:w="60" w:type="dxa"/>
              <w:start w:w="110" w:type="dxa"/>
              <w:bottom w:w="60" w:type="dxa"/>
              <w:end w:w="110" w:type="dxa"/>
            </w:tcMar>
          </w:tcPr>
          <w:p>
            <w:pPr>
              <w:spacing w:after="0"/>
            </w:pPr>
            <w:r/>
            <w:r>
              <w:rPr>
                <w:rFonts w:ascii="Calibri" w:hAnsi="Calibri"/>
                <w:b w:val="0"/>
                <w:i w:val="0"/>
                <w:color w:val="101828"/>
                <w:sz w:val="16"/>
              </w:rPr>
              <w:t>A new member can join in under two minutes at the market, with no documents, no forms and no account.</w:t>
            </w:r>
          </w:p>
        </w:tc>
        <w:tc>
          <w:tcPr>
            <w:tcW w:type="dxa" w:w="3888"/>
            <w:tcMar>
              <w:top w:w="60" w:type="dxa"/>
              <w:start w:w="110" w:type="dxa"/>
              <w:bottom w:w="60" w:type="dxa"/>
              <w:end w:w="110" w:type="dxa"/>
            </w:tcMar>
          </w:tcPr>
          <w:p>
            <w:pPr>
              <w:spacing w:after="0"/>
            </w:pPr>
            <w:r/>
            <w:r>
              <w:rPr>
                <w:rFonts w:ascii="Calibri" w:hAnsi="Calibri"/>
                <w:b w:val="0"/>
                <w:i w:val="0"/>
                <w:color w:val="101828"/>
                <w:sz w:val="16"/>
              </w:rPr>
              <w:t>Improved, not replaced. Joining requires registration, but the flow is designed so that an invited member can be paying within a few minutes.</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Physical immediacy</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Cash handed over face to face, in the same minute, cannot be forgotten or reversed later.</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Replicated digitally through immediate receipts, idempotent payments and a confirming webhook within seconds of provider settlement.</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No paperwork, no literacy barrier</w:t>
            </w:r>
          </w:p>
        </w:tc>
        <w:tc>
          <w:tcPr>
            <w:tcW w:type="dxa" w:w="3600"/>
            <w:tcMar>
              <w:top w:w="60" w:type="dxa"/>
              <w:start w:w="110" w:type="dxa"/>
              <w:bottom w:w="60" w:type="dxa"/>
              <w:end w:w="110" w:type="dxa"/>
            </w:tcMar>
          </w:tcPr>
          <w:p>
            <w:pPr>
              <w:spacing w:after="0"/>
            </w:pPr>
            <w:r/>
            <w:r>
              <w:rPr>
                <w:rFonts w:ascii="Calibri" w:hAnsi="Calibri"/>
                <w:b w:val="0"/>
                <w:i w:val="0"/>
                <w:color w:val="101828"/>
                <w:sz w:val="16"/>
              </w:rPr>
              <w:t>The scheme runs in a language the participants actually speak, with no forms to read.</w:t>
            </w:r>
          </w:p>
        </w:tc>
        <w:tc>
          <w:tcPr>
            <w:tcW w:type="dxa" w:w="3888"/>
            <w:tcMar>
              <w:top w:w="60" w:type="dxa"/>
              <w:start w:w="110" w:type="dxa"/>
              <w:bottom w:w="60" w:type="dxa"/>
              <w:end w:w="110" w:type="dxa"/>
            </w:tcMar>
          </w:tcPr>
          <w:p>
            <w:pPr>
              <w:spacing w:after="0"/>
            </w:pPr>
            <w:r/>
            <w:r>
              <w:rPr>
                <w:rFonts w:ascii="Calibri" w:hAnsi="Calibri"/>
                <w:b w:val="0"/>
                <w:i w:val="0"/>
                <w:color w:val="101828"/>
                <w:sz w:val="16"/>
              </w:rPr>
              <w:t>Replicated. Onboarding supports voice-first notification, low-bandwidth flows, and no English-literacy requirement for core tasks.</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Fits irregular income</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Small daily or weekly amounts, no minimum balance, no application. It works for a trader whose income arrives in irregular lumps.</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Replicated. Contributions are small and frequent by design; there is no minimum balance and no application burden.</w:t>
            </w:r>
          </w:p>
        </w:tc>
      </w:tr>
    </w:tbl>
    <w:p>
      <w:pPr>
        <w:spacing w:after="80"/>
      </w:pPr>
    </w:p>
    <w:p>
      <w:pPr>
        <w:pStyle w:val="Heading3"/>
      </w:pPr>
      <w:r>
        <w:rPr>
          <w:rFonts w:ascii="Calibri" w:hAnsi="Calibri"/>
          <w:b/>
          <w:i w:val="0"/>
          <w:color w:val="0B1F3A"/>
          <w:sz w:val="24"/>
        </w:rPr>
        <w:t>1.6.2 The real problems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576"/>
            <w:shd w:val="clear" w:color="auto" w:fill="0B1F3A"/>
            <w:tcMar>
              <w:top w:w="60" w:type="dxa"/>
              <w:start w:w="110" w:type="dxa"/>
              <w:bottom w:w="60" w:type="dxa"/>
              <w:end w:w="110" w:type="dxa"/>
            </w:tcMar>
          </w:tcPr>
          <w:p>
            <w:pPr>
              <w:spacing w:after="0"/>
            </w:pPr>
            <w:r/>
            <w:r>
              <w:rPr>
                <w:rFonts w:ascii="Calibri" w:hAnsi="Calibri"/>
                <w:b/>
                <w:i w:val="0"/>
                <w:color w:val="FFFFFF"/>
                <w:sz w:val="16"/>
              </w:rPr>
              <w:t>#</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Problem</w:t>
            </w:r>
          </w:p>
        </w:tc>
        <w:tc>
          <w:tcPr>
            <w:tcW w:type="dxa" w:w="5544"/>
            <w:shd w:val="clear" w:color="auto" w:fill="0B1F3A"/>
            <w:tcMar>
              <w:top w:w="60" w:type="dxa"/>
              <w:start w:w="110" w:type="dxa"/>
              <w:bottom w:w="60" w:type="dxa"/>
              <w:end w:w="110" w:type="dxa"/>
            </w:tcMar>
          </w:tcPr>
          <w:p>
            <w:pPr>
              <w:spacing w:after="0"/>
            </w:pPr>
            <w:r/>
            <w:r>
              <w:rPr>
                <w:rFonts w:ascii="Calibri" w:hAnsi="Calibri"/>
                <w:b/>
                <w:i w:val="0"/>
                <w:color w:val="FFFFFF"/>
                <w:sz w:val="16"/>
              </w:rPr>
              <w:t>What it looks like in practice</w:t>
            </w:r>
          </w:p>
        </w:tc>
        <w:tc>
          <w:tcPr>
            <w:tcW w:type="dxa" w:w="1008"/>
            <w:shd w:val="clear" w:color="auto" w:fill="0B1F3A"/>
            <w:tcMar>
              <w:top w:w="60" w:type="dxa"/>
              <w:start w:w="110" w:type="dxa"/>
              <w:bottom w:w="60" w:type="dxa"/>
              <w:end w:w="110" w:type="dxa"/>
            </w:tcMar>
          </w:tcPr>
          <w:p>
            <w:pPr>
              <w:spacing w:after="0"/>
            </w:pPr>
            <w:r/>
            <w:r>
              <w:rPr>
                <w:rFonts w:ascii="Calibri" w:hAnsi="Calibri"/>
                <w:b/>
                <w:i w:val="0"/>
                <w:color w:val="FFFFFF"/>
                <w:sz w:val="16"/>
              </w:rPr>
              <w:t>Severity</w:t>
            </w:r>
          </w:p>
        </w:tc>
      </w:tr>
      <w:tr>
        <w:trPr>
          <w:cantSplit/>
        </w:trPr>
        <w:tc>
          <w:tcPr>
            <w:tcW w:type="dxa" w:w="576"/>
            <w:tcMar>
              <w:top w:w="60" w:type="dxa"/>
              <w:start w:w="110" w:type="dxa"/>
              <w:bottom w:w="60" w:type="dxa"/>
              <w:end w:w="110" w:type="dxa"/>
            </w:tcMar>
          </w:tcPr>
          <w:p>
            <w:pPr>
              <w:spacing w:after="0"/>
            </w:pPr>
            <w:r/>
            <w:r>
              <w:rPr>
                <w:rFonts w:ascii="Calibri" w:hAnsi="Calibri"/>
                <w:b w:val="0"/>
                <w:i w:val="0"/>
                <w:color w:val="101828"/>
                <w:sz w:val="16"/>
              </w:rPr>
              <w:t>P1</w:t>
            </w:r>
          </w:p>
        </w:tc>
        <w:tc>
          <w:tcPr>
            <w:tcW w:type="dxa" w:w="2304"/>
            <w:tcMar>
              <w:top w:w="60" w:type="dxa"/>
              <w:start w:w="110" w:type="dxa"/>
              <w:bottom w:w="60" w:type="dxa"/>
              <w:end w:w="110" w:type="dxa"/>
            </w:tcMar>
          </w:tcPr>
          <w:p>
            <w:pPr>
              <w:spacing w:after="0"/>
            </w:pPr>
            <w:r/>
            <w:r>
              <w:rPr>
                <w:rFonts w:ascii="Calibri" w:hAnsi="Calibri"/>
                <w:b w:val="0"/>
                <w:i w:val="0"/>
                <w:color w:val="101828"/>
                <w:sz w:val="16"/>
              </w:rPr>
              <w:t>Records live in WhatsApp and notebooks</w:t>
            </w:r>
          </w:p>
        </w:tc>
        <w:tc>
          <w:tcPr>
            <w:tcW w:type="dxa" w:w="5544"/>
            <w:tcMar>
              <w:top w:w="60" w:type="dxa"/>
              <w:start w:w="110" w:type="dxa"/>
              <w:bottom w:w="60" w:type="dxa"/>
              <w:end w:w="110" w:type="dxa"/>
            </w:tcMar>
          </w:tcPr>
          <w:p>
            <w:pPr>
              <w:spacing w:after="0"/>
            </w:pPr>
            <w:r/>
            <w:r>
              <w:rPr>
                <w:rFonts w:ascii="Calibri" w:hAnsi="Calibri"/>
                <w:b w:val="0"/>
                <w:i w:val="0"/>
                <w:color w:val="101828"/>
                <w:sz w:val="16"/>
              </w:rPr>
              <w:t xml:space="preserve">The authoritative record is a paper exercise book, a set of voice notes, and a WhatsApp group where </w:t>
            </w:r>
            <w:r>
              <w:rPr>
                <w:rFonts w:ascii="Calibri" w:hAnsi="Calibri"/>
                <w:i/>
                <w:color w:val="101828"/>
                <w:sz w:val="16"/>
              </w:rPr>
              <w:t>paid</w:t>
            </w:r>
            <w:r>
              <w:rPr>
                <w:rFonts w:ascii="Calibri" w:hAnsi="Calibri"/>
                <w:b w:val="0"/>
                <w:i w:val="0"/>
                <w:color w:val="101828"/>
                <w:sz w:val="16"/>
              </w:rPr>
              <w:t xml:space="preserve"> and </w:t>
            </w:r>
            <w:r>
              <w:rPr>
                <w:rFonts w:ascii="Calibri" w:hAnsi="Calibri"/>
                <w:i/>
                <w:color w:val="101828"/>
                <w:sz w:val="16"/>
              </w:rPr>
              <w:t>not paid</w:t>
            </w:r>
            <w:r>
              <w:rPr>
                <w:rFonts w:ascii="Calibri" w:hAnsi="Calibri"/>
                <w:b w:val="0"/>
                <w:i w:val="0"/>
                <w:color w:val="101828"/>
                <w:sz w:val="16"/>
              </w:rPr>
              <w:t xml:space="preserve"> are asserted by the organiser. Scroll-back is not an audit trail. A message can be deleted. There is no second copy and no timestamp that survives a screenshot.</w:t>
            </w:r>
          </w:p>
        </w:tc>
        <w:tc>
          <w:tcPr>
            <w:tcW w:type="dxa" w:w="1008"/>
            <w:tcMar>
              <w:top w:w="60" w:type="dxa"/>
              <w:start w:w="110" w:type="dxa"/>
              <w:bottom w:w="60" w:type="dxa"/>
              <w:end w:w="110" w:type="dxa"/>
            </w:tcMar>
          </w:tcPr>
          <w:p>
            <w:pPr>
              <w:spacing w:after="0"/>
            </w:pPr>
            <w:r/>
            <w:r>
              <w:rPr>
                <w:rFonts w:ascii="Calibri" w:hAnsi="Calibri"/>
                <w:b w:val="0"/>
                <w:i w:val="0"/>
                <w:color w:val="101828"/>
                <w:sz w:val="16"/>
              </w:rPr>
              <w:t>Critical</w:t>
            </w:r>
          </w:p>
        </w:tc>
      </w:tr>
      <w:tr>
        <w:trPr>
          <w:cantSplit/>
        </w:trPr>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6"/>
              </w:rPr>
              <w:t>P2</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No enforcement beyond memory and pressure</w:t>
            </w:r>
          </w:p>
        </w:tc>
        <w:tc>
          <w:tcPr>
            <w:tcW w:type="dxa" w:w="5544"/>
            <w:tcMar>
              <w:top w:w="60" w:type="dxa"/>
              <w:start w:w="110" w:type="dxa"/>
              <w:bottom w:w="60" w:type="dxa"/>
              <w:end w:w="110" w:type="dxa"/>
            </w:tcMar>
            <w:shd w:val="clear" w:color="auto" w:fill="F4F7FB"/>
          </w:tcPr>
          <w:p>
            <w:pPr>
              <w:spacing w:after="0"/>
            </w:pPr>
            <w:r/>
            <w:r>
              <w:rPr>
                <w:rFonts w:ascii="Calibri" w:hAnsi="Calibri"/>
                <w:b w:val="0"/>
                <w:i w:val="0"/>
                <w:color w:val="101828"/>
                <w:sz w:val="16"/>
              </w:rPr>
              <w:t>The only consequences for not paying are a phone call and a public naming in a group chat. There is no defined due date, no grace period, no default state, no consequence schedule and no record that any of it happened. The same member can be overdue for six months because nobody had a rule to apply.</w:t>
            </w:r>
          </w:p>
        </w:tc>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6"/>
              </w:rPr>
              <w:t>Critical</w:t>
            </w:r>
          </w:p>
        </w:tc>
      </w:tr>
      <w:tr>
        <w:trPr>
          <w:cantSplit/>
        </w:trPr>
        <w:tc>
          <w:tcPr>
            <w:tcW w:type="dxa" w:w="576"/>
            <w:tcMar>
              <w:top w:w="60" w:type="dxa"/>
              <w:start w:w="110" w:type="dxa"/>
              <w:bottom w:w="60" w:type="dxa"/>
              <w:end w:w="110" w:type="dxa"/>
            </w:tcMar>
          </w:tcPr>
          <w:p>
            <w:pPr>
              <w:spacing w:after="0"/>
            </w:pPr>
            <w:r/>
            <w:r>
              <w:rPr>
                <w:rFonts w:ascii="Calibri" w:hAnsi="Calibri"/>
                <w:b w:val="0"/>
                <w:i w:val="0"/>
                <w:color w:val="101828"/>
                <w:sz w:val="16"/>
              </w:rPr>
              <w:t>P3</w:t>
            </w:r>
          </w:p>
        </w:tc>
        <w:tc>
          <w:tcPr>
            <w:tcW w:type="dxa" w:w="2304"/>
            <w:tcMar>
              <w:top w:w="60" w:type="dxa"/>
              <w:start w:w="110" w:type="dxa"/>
              <w:bottom w:w="60" w:type="dxa"/>
              <w:end w:w="110" w:type="dxa"/>
            </w:tcMar>
          </w:tcPr>
          <w:p>
            <w:pPr>
              <w:spacing w:after="0"/>
            </w:pPr>
            <w:r/>
            <w:r>
              <w:rPr>
                <w:rFonts w:ascii="Calibri" w:hAnsi="Calibri"/>
                <w:b w:val="0"/>
                <w:i w:val="0"/>
                <w:color w:val="101828"/>
                <w:sz w:val="16"/>
              </w:rPr>
              <w:t>The organiser disappears</w:t>
            </w:r>
          </w:p>
        </w:tc>
        <w:tc>
          <w:tcPr>
            <w:tcW w:type="dxa" w:w="5544"/>
            <w:tcMar>
              <w:top w:w="60" w:type="dxa"/>
              <w:start w:w="110" w:type="dxa"/>
              <w:bottom w:w="60" w:type="dxa"/>
              <w:end w:w="110" w:type="dxa"/>
            </w:tcMar>
          </w:tcPr>
          <w:p>
            <w:pPr>
              <w:spacing w:after="0"/>
            </w:pPr>
            <w:r/>
            <w:r>
              <w:rPr>
                <w:rFonts w:ascii="Calibri" w:hAnsi="Calibri"/>
                <w:b w:val="0"/>
                <w:i w:val="0"/>
                <w:color w:val="101828"/>
                <w:sz w:val="16"/>
              </w:rPr>
              <w:t>Illness, travel, bereavement, business loss, a new job, or simply losing interest. The notebook is personal. The cash is personal. There is no succession, no deputy, no escrow, no way for the other nine members to continue without the tenth. The Ajo ends silently and no one is told.</w:t>
            </w:r>
          </w:p>
        </w:tc>
        <w:tc>
          <w:tcPr>
            <w:tcW w:type="dxa" w:w="1008"/>
            <w:tcMar>
              <w:top w:w="60" w:type="dxa"/>
              <w:start w:w="110" w:type="dxa"/>
              <w:bottom w:w="60" w:type="dxa"/>
              <w:end w:w="110" w:type="dxa"/>
            </w:tcMar>
          </w:tcPr>
          <w:p>
            <w:pPr>
              <w:spacing w:after="0"/>
            </w:pPr>
            <w:r/>
            <w:r>
              <w:rPr>
                <w:rFonts w:ascii="Calibri" w:hAnsi="Calibri"/>
                <w:b w:val="0"/>
                <w:i w:val="0"/>
                <w:color w:val="101828"/>
                <w:sz w:val="16"/>
              </w:rPr>
              <w:t>Critical</w:t>
            </w:r>
          </w:p>
        </w:tc>
      </w:tr>
      <w:tr>
        <w:trPr>
          <w:cantSplit/>
        </w:trPr>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6"/>
              </w:rPr>
              <w:t>P4</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No receipts</w:t>
            </w:r>
          </w:p>
        </w:tc>
        <w:tc>
          <w:tcPr>
            <w:tcW w:type="dxa" w:w="5544"/>
            <w:tcMar>
              <w:top w:w="60" w:type="dxa"/>
              <w:start w:w="110" w:type="dxa"/>
              <w:bottom w:w="60" w:type="dxa"/>
              <w:end w:w="110" w:type="dxa"/>
            </w:tcMar>
            <w:shd w:val="clear" w:color="auto" w:fill="F4F7FB"/>
          </w:tcPr>
          <w:p>
            <w:pPr>
              <w:spacing w:after="0"/>
            </w:pPr>
            <w:r/>
            <w:r>
              <w:rPr>
                <w:rFonts w:ascii="Calibri" w:hAnsi="Calibri"/>
                <w:b w:val="0"/>
                <w:i w:val="0"/>
                <w:color w:val="101828"/>
                <w:sz w:val="16"/>
              </w:rPr>
              <w:t>Most members never receive a receipt for a single naira they paid in or received. The contributor cannot prove they paid. The recipient cannot prove they were paid the full pot. Neither can produce anything to a bank, an employer, a family member or a court.</w:t>
            </w:r>
          </w:p>
        </w:tc>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6"/>
              </w:rPr>
              <w:t>Critical</w:t>
            </w:r>
          </w:p>
        </w:tc>
      </w:tr>
      <w:tr>
        <w:trPr>
          <w:cantSplit/>
        </w:trPr>
        <w:tc>
          <w:tcPr>
            <w:tcW w:type="dxa" w:w="576"/>
            <w:tcMar>
              <w:top w:w="60" w:type="dxa"/>
              <w:start w:w="110" w:type="dxa"/>
              <w:bottom w:w="60" w:type="dxa"/>
              <w:end w:w="110" w:type="dxa"/>
            </w:tcMar>
          </w:tcPr>
          <w:p>
            <w:pPr>
              <w:spacing w:after="0"/>
            </w:pPr>
            <w:r/>
            <w:r>
              <w:rPr>
                <w:rFonts w:ascii="Calibri" w:hAnsi="Calibri"/>
                <w:b w:val="0"/>
                <w:i w:val="0"/>
                <w:color w:val="101828"/>
                <w:sz w:val="16"/>
              </w:rPr>
              <w:t>P5</w:t>
            </w:r>
          </w:p>
        </w:tc>
        <w:tc>
          <w:tcPr>
            <w:tcW w:type="dxa" w:w="2304"/>
            <w:tcMar>
              <w:top w:w="60" w:type="dxa"/>
              <w:start w:w="110" w:type="dxa"/>
              <w:bottom w:w="60" w:type="dxa"/>
              <w:end w:w="110" w:type="dxa"/>
            </w:tcMar>
          </w:tcPr>
          <w:p>
            <w:pPr>
              <w:spacing w:after="0"/>
            </w:pPr>
            <w:r/>
            <w:r>
              <w:rPr>
                <w:rFonts w:ascii="Calibri" w:hAnsi="Calibri"/>
                <w:b w:val="0"/>
                <w:i w:val="0"/>
                <w:color w:val="101828"/>
                <w:sz w:val="16"/>
              </w:rPr>
              <w:t>Disputes are unresolvable</w:t>
            </w:r>
          </w:p>
        </w:tc>
        <w:tc>
          <w:tcPr>
            <w:tcW w:type="dxa" w:w="5544"/>
            <w:tcMar>
              <w:top w:w="60" w:type="dxa"/>
              <w:start w:w="110" w:type="dxa"/>
              <w:bottom w:w="60" w:type="dxa"/>
              <w:end w:w="110" w:type="dxa"/>
            </w:tcMar>
          </w:tcPr>
          <w:p>
            <w:pPr>
              <w:spacing w:after="0"/>
            </w:pPr>
            <w:r/>
            <w:r>
              <w:rPr>
                <w:rFonts w:ascii="Calibri" w:hAnsi="Calibri"/>
                <w:b w:val="0"/>
                <w:i w:val="0"/>
                <w:color w:val="101828"/>
                <w:sz w:val="16"/>
              </w:rPr>
              <w:t>If a member claims they paid and the organiser says they did not, the only evidence is two memories. The strongest argument wins. There is no timestamped record, no bank statement, no third-party copy. A dispute about money with no evidence is a coin toss, and the loser usually leaves the group rather than escalate.</w:t>
            </w:r>
          </w:p>
        </w:tc>
        <w:tc>
          <w:tcPr>
            <w:tcW w:type="dxa" w:w="1008"/>
            <w:tcMar>
              <w:top w:w="60" w:type="dxa"/>
              <w:start w:w="110" w:type="dxa"/>
              <w:bottom w:w="60" w:type="dxa"/>
              <w:end w:w="110" w:type="dxa"/>
            </w:tcMar>
          </w:tcPr>
          <w:p>
            <w:pPr>
              <w:spacing w:after="0"/>
            </w:pPr>
            <w:r/>
            <w:r>
              <w:rPr>
                <w:rFonts w:ascii="Calibri" w:hAnsi="Calibri"/>
                <w:b w:val="0"/>
                <w:i w:val="0"/>
                <w:color w:val="101828"/>
                <w:sz w:val="16"/>
              </w:rPr>
              <w:t>Critical</w:t>
            </w:r>
          </w:p>
        </w:tc>
      </w:tr>
      <w:tr>
        <w:trPr>
          <w:cantSplit/>
        </w:trPr>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6"/>
              </w:rPr>
              <w:t>P6</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No audit trail and no accountability</w:t>
            </w:r>
          </w:p>
        </w:tc>
        <w:tc>
          <w:tcPr>
            <w:tcW w:type="dxa" w:w="5544"/>
            <w:tcMar>
              <w:top w:w="60" w:type="dxa"/>
              <w:start w:w="110" w:type="dxa"/>
              <w:bottom w:w="60" w:type="dxa"/>
              <w:end w:w="110" w:type="dxa"/>
            </w:tcMar>
            <w:shd w:val="clear" w:color="auto" w:fill="F4F7FB"/>
          </w:tcPr>
          <w:p>
            <w:pPr>
              <w:spacing w:after="0"/>
            </w:pPr>
            <w:r/>
            <w:r>
              <w:rPr>
                <w:rFonts w:ascii="Calibri" w:hAnsi="Calibri"/>
                <w:b w:val="0"/>
                <w:i w:val="0"/>
                <w:color w:val="101828"/>
                <w:sz w:val="16"/>
              </w:rPr>
              <w:t>There is no way to establish, after the fact, what the Ajo was supposed to do, what it actually did, who authorised anything, or how much money passed through. If a dispute ever needed to be settled by a third party, the Ajo has nothing to offer.</w:t>
            </w:r>
          </w:p>
        </w:tc>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6"/>
              </w:rPr>
              <w:t>High</w:t>
            </w:r>
          </w:p>
        </w:tc>
      </w:tr>
      <w:tr>
        <w:trPr>
          <w:cantSplit/>
        </w:trPr>
        <w:tc>
          <w:tcPr>
            <w:tcW w:type="dxa" w:w="576"/>
            <w:tcMar>
              <w:top w:w="60" w:type="dxa"/>
              <w:start w:w="110" w:type="dxa"/>
              <w:bottom w:w="60" w:type="dxa"/>
              <w:end w:w="110" w:type="dxa"/>
            </w:tcMar>
          </w:tcPr>
          <w:p>
            <w:pPr>
              <w:spacing w:after="0"/>
            </w:pPr>
            <w:r/>
            <w:r>
              <w:rPr>
                <w:rFonts w:ascii="Calibri" w:hAnsi="Calibri"/>
                <w:b w:val="0"/>
                <w:i w:val="0"/>
                <w:color w:val="101828"/>
                <w:sz w:val="16"/>
              </w:rPr>
              <w:t>P7</w:t>
            </w:r>
          </w:p>
        </w:tc>
        <w:tc>
          <w:tcPr>
            <w:tcW w:type="dxa" w:w="2304"/>
            <w:tcMar>
              <w:top w:w="60" w:type="dxa"/>
              <w:start w:w="110" w:type="dxa"/>
              <w:bottom w:w="60" w:type="dxa"/>
              <w:end w:w="110" w:type="dxa"/>
            </w:tcMar>
          </w:tcPr>
          <w:p>
            <w:pPr>
              <w:spacing w:after="0"/>
            </w:pPr>
            <w:r/>
            <w:r>
              <w:rPr>
                <w:rFonts w:ascii="Calibri" w:hAnsi="Calibri"/>
                <w:b w:val="0"/>
                <w:i w:val="0"/>
                <w:color w:val="101828"/>
                <w:sz w:val="16"/>
              </w:rPr>
              <w:t>The organiser is an unguarded guarantor</w:t>
            </w:r>
          </w:p>
        </w:tc>
        <w:tc>
          <w:tcPr>
            <w:tcW w:type="dxa" w:w="5544"/>
            <w:tcMar>
              <w:top w:w="60" w:type="dxa"/>
              <w:start w:w="110" w:type="dxa"/>
              <w:bottom w:w="60" w:type="dxa"/>
              <w:end w:w="110" w:type="dxa"/>
            </w:tcMar>
          </w:tcPr>
          <w:p>
            <w:pPr>
              <w:spacing w:after="0"/>
            </w:pPr>
            <w:r/>
            <w:r>
              <w:rPr>
                <w:rFonts w:ascii="Calibri" w:hAnsi="Calibri"/>
                <w:b w:val="0"/>
                <w:i w:val="0"/>
                <w:color w:val="101828"/>
                <w:sz w:val="16"/>
              </w:rPr>
              <w:t>In practice the organiser is treated as personally liable for the pot, whether or not anyone said so. The group believes their money is safe because the organiser is known. If the organiser cannot cover a shortfall, the members' belief is simply wrong and they find out on payday.</w:t>
            </w:r>
          </w:p>
        </w:tc>
        <w:tc>
          <w:tcPr>
            <w:tcW w:type="dxa" w:w="1008"/>
            <w:tcMar>
              <w:top w:w="60" w:type="dxa"/>
              <w:start w:w="110" w:type="dxa"/>
              <w:bottom w:w="60" w:type="dxa"/>
              <w:end w:w="110" w:type="dxa"/>
            </w:tcMar>
          </w:tcPr>
          <w:p>
            <w:pPr>
              <w:spacing w:after="0"/>
            </w:pPr>
            <w:r/>
            <w:r>
              <w:rPr>
                <w:rFonts w:ascii="Calibri" w:hAnsi="Calibri"/>
                <w:b w:val="0"/>
                <w:i w:val="0"/>
                <w:color w:val="101828"/>
                <w:sz w:val="16"/>
              </w:rPr>
              <w:t>High</w:t>
            </w:r>
          </w:p>
        </w:tc>
      </w:tr>
      <w:tr>
        <w:trPr>
          <w:cantSplit/>
        </w:trPr>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6"/>
              </w:rPr>
              <w:t>P8</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Cash handling risk</w:t>
            </w:r>
          </w:p>
        </w:tc>
        <w:tc>
          <w:tcPr>
            <w:tcW w:type="dxa" w:w="5544"/>
            <w:tcMar>
              <w:top w:w="60" w:type="dxa"/>
              <w:start w:w="110" w:type="dxa"/>
              <w:bottom w:w="60" w:type="dxa"/>
              <w:end w:w="110" w:type="dxa"/>
            </w:tcMar>
            <w:shd w:val="clear" w:color="auto" w:fill="F4F7FB"/>
          </w:tcPr>
          <w:p>
            <w:pPr>
              <w:spacing w:after="0"/>
            </w:pPr>
            <w:r/>
            <w:r>
              <w:rPr>
                <w:rFonts w:ascii="Calibri" w:hAnsi="Calibri"/>
                <w:b w:val="0"/>
                <w:i w:val="0"/>
                <w:color w:val="101828"/>
                <w:sz w:val="16"/>
              </w:rPr>
              <w:t>Large sums in cash, carried on public transport, counted in a back room, stored in a home. Robbery, loss and theft are real and uninsurable in practice. Transferring to a personal account instead mixes Ajo money with personal money and makes reconciliation impossible.</w:t>
            </w:r>
          </w:p>
        </w:tc>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6"/>
              </w:rPr>
              <w:t>High</w:t>
            </w:r>
          </w:p>
        </w:tc>
      </w:tr>
      <w:tr>
        <w:trPr>
          <w:cantSplit/>
        </w:trPr>
        <w:tc>
          <w:tcPr>
            <w:tcW w:type="dxa" w:w="576"/>
            <w:tcMar>
              <w:top w:w="60" w:type="dxa"/>
              <w:start w:w="110" w:type="dxa"/>
              <w:bottom w:w="60" w:type="dxa"/>
              <w:end w:w="110" w:type="dxa"/>
            </w:tcMar>
          </w:tcPr>
          <w:p>
            <w:pPr>
              <w:spacing w:after="0"/>
            </w:pPr>
            <w:r/>
            <w:r>
              <w:rPr>
                <w:rFonts w:ascii="Calibri" w:hAnsi="Calibri"/>
                <w:b w:val="0"/>
                <w:i w:val="0"/>
                <w:color w:val="101828"/>
                <w:sz w:val="16"/>
              </w:rPr>
              <w:t>P9</w:t>
            </w:r>
          </w:p>
        </w:tc>
        <w:tc>
          <w:tcPr>
            <w:tcW w:type="dxa" w:w="2304"/>
            <w:tcMar>
              <w:top w:w="60" w:type="dxa"/>
              <w:start w:w="110" w:type="dxa"/>
              <w:bottom w:w="60" w:type="dxa"/>
              <w:end w:w="110" w:type="dxa"/>
            </w:tcMar>
          </w:tcPr>
          <w:p>
            <w:pPr>
              <w:spacing w:after="0"/>
            </w:pPr>
            <w:r/>
            <w:r>
              <w:rPr>
                <w:rFonts w:ascii="Calibri" w:hAnsi="Calibri"/>
                <w:b w:val="0"/>
                <w:i w:val="0"/>
                <w:color w:val="101828"/>
                <w:sz w:val="16"/>
              </w:rPr>
              <w:t>No way to check on the scheme without asking the organiser</w:t>
            </w:r>
          </w:p>
        </w:tc>
        <w:tc>
          <w:tcPr>
            <w:tcW w:type="dxa" w:w="5544"/>
            <w:tcMar>
              <w:top w:w="60" w:type="dxa"/>
              <w:start w:w="110" w:type="dxa"/>
              <w:bottom w:w="60" w:type="dxa"/>
              <w:end w:w="110" w:type="dxa"/>
            </w:tcMar>
          </w:tcPr>
          <w:p>
            <w:pPr>
              <w:spacing w:after="0"/>
            </w:pPr>
            <w:r/>
            <w:r>
              <w:rPr>
                <w:rFonts w:ascii="Calibri" w:hAnsi="Calibri"/>
                <w:b w:val="0"/>
                <w:i w:val="0"/>
                <w:color w:val="101828"/>
                <w:sz w:val="16"/>
              </w:rPr>
              <w:t>A member who has been away for two months has no way to see what they owe, what they paid, when their turn is or what the pot contains. They must ask the organiser, which means their information is only as good as the organiser's day.</w:t>
            </w:r>
          </w:p>
        </w:tc>
        <w:tc>
          <w:tcPr>
            <w:tcW w:type="dxa" w:w="1008"/>
            <w:tcMar>
              <w:top w:w="60" w:type="dxa"/>
              <w:start w:w="110" w:type="dxa"/>
              <w:bottom w:w="60" w:type="dxa"/>
              <w:end w:w="110" w:type="dxa"/>
            </w:tcMar>
          </w:tcPr>
          <w:p>
            <w:pPr>
              <w:spacing w:after="0"/>
            </w:pPr>
            <w:r/>
            <w:r>
              <w:rPr>
                <w:rFonts w:ascii="Calibri" w:hAnsi="Calibri"/>
                <w:b w:val="0"/>
                <w:i w:val="0"/>
                <w:color w:val="101828"/>
                <w:sz w:val="16"/>
              </w:rPr>
              <w:t>High</w:t>
            </w:r>
          </w:p>
        </w:tc>
      </w:tr>
      <w:tr>
        <w:trPr>
          <w:cantSplit/>
        </w:trPr>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6"/>
              </w:rPr>
              <w:t>P10</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Frequency limits participation</w:t>
            </w:r>
          </w:p>
        </w:tc>
        <w:tc>
          <w:tcPr>
            <w:tcW w:type="dxa" w:w="5544"/>
            <w:tcMar>
              <w:top w:w="60" w:type="dxa"/>
              <w:start w:w="110" w:type="dxa"/>
              <w:bottom w:w="60" w:type="dxa"/>
              <w:end w:w="110" w:type="dxa"/>
            </w:tcMar>
            <w:shd w:val="clear" w:color="auto" w:fill="F4F7FB"/>
          </w:tcPr>
          <w:p>
            <w:pPr>
              <w:spacing w:after="0"/>
            </w:pPr>
            <w:r/>
            <w:r>
              <w:rPr>
                <w:rFonts w:ascii="Calibri" w:hAnsi="Calibri"/>
                <w:b w:val="0"/>
                <w:i w:val="0"/>
                <w:color w:val="101828"/>
                <w:sz w:val="16"/>
              </w:rPr>
              <w:t>Ajo is a weekly or monthly commitment. Someone whose income is lumpy, or who travels for work, or who is paid quarterly, cannot participate in a scheme that demands a fixed Friday. The group loses good members and the potential demands of better-off members.</w:t>
            </w:r>
          </w:p>
        </w:tc>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6"/>
              </w:rPr>
              <w:t>Medium</w:t>
            </w:r>
          </w:p>
        </w:tc>
      </w:tr>
      <w:tr>
        <w:trPr>
          <w:cantSplit/>
        </w:trPr>
        <w:tc>
          <w:tcPr>
            <w:tcW w:type="dxa" w:w="576"/>
            <w:tcMar>
              <w:top w:w="60" w:type="dxa"/>
              <w:start w:w="110" w:type="dxa"/>
              <w:bottom w:w="60" w:type="dxa"/>
              <w:end w:w="110" w:type="dxa"/>
            </w:tcMar>
          </w:tcPr>
          <w:p>
            <w:pPr>
              <w:spacing w:after="0"/>
            </w:pPr>
            <w:r/>
            <w:r>
              <w:rPr>
                <w:rFonts w:ascii="Calibri" w:hAnsi="Calibri"/>
                <w:b w:val="0"/>
                <w:i w:val="0"/>
                <w:color w:val="101828"/>
                <w:sz w:val="16"/>
              </w:rPr>
              <w:t>P11</w:t>
            </w:r>
          </w:p>
        </w:tc>
        <w:tc>
          <w:tcPr>
            <w:tcW w:type="dxa" w:w="2304"/>
            <w:tcMar>
              <w:top w:w="60" w:type="dxa"/>
              <w:start w:w="110" w:type="dxa"/>
              <w:bottom w:w="60" w:type="dxa"/>
              <w:end w:w="110" w:type="dxa"/>
            </w:tcMar>
          </w:tcPr>
          <w:p>
            <w:pPr>
              <w:spacing w:after="0"/>
            </w:pPr>
            <w:r/>
            <w:r>
              <w:rPr>
                <w:rFonts w:ascii="Calibri" w:hAnsi="Calibri"/>
                <w:b w:val="0"/>
                <w:i w:val="0"/>
                <w:color w:val="101828"/>
                <w:sz w:val="16"/>
              </w:rPr>
              <w:t>It does not scale past the personal network</w:t>
            </w:r>
          </w:p>
        </w:tc>
        <w:tc>
          <w:tcPr>
            <w:tcW w:type="dxa" w:w="5544"/>
            <w:tcMar>
              <w:top w:w="60" w:type="dxa"/>
              <w:start w:w="110" w:type="dxa"/>
              <w:bottom w:w="60" w:type="dxa"/>
              <w:end w:w="110" w:type="dxa"/>
            </w:tcMar>
          </w:tcPr>
          <w:p>
            <w:pPr>
              <w:spacing w:after="0"/>
            </w:pPr>
            <w:r/>
            <w:r>
              <w:rPr>
                <w:rFonts w:ascii="Calibri" w:hAnsi="Calibri"/>
                <w:b w:val="0"/>
                <w:i w:val="0"/>
                <w:color w:val="101828"/>
                <w:sz w:val="16"/>
              </w:rPr>
              <w:t>An Ajo cannot exceed the organiser's phone book. A trader who wants to run three Ajos with thirty people must maintain three notebooks and three sets of records, and is strongly discouraged from delegating any of it.</w:t>
            </w:r>
          </w:p>
        </w:tc>
        <w:tc>
          <w:tcPr>
            <w:tcW w:type="dxa" w:w="1008"/>
            <w:tcMar>
              <w:top w:w="60" w:type="dxa"/>
              <w:start w:w="110" w:type="dxa"/>
              <w:bottom w:w="60" w:type="dxa"/>
              <w:end w:w="110" w:type="dxa"/>
            </w:tcMar>
          </w:tcPr>
          <w:p>
            <w:pPr>
              <w:spacing w:after="0"/>
            </w:pPr>
            <w:r/>
            <w:r>
              <w:rPr>
                <w:rFonts w:ascii="Calibri" w:hAnsi="Calibri"/>
                <w:b w:val="0"/>
                <w:i w:val="0"/>
                <w:color w:val="101828"/>
                <w:sz w:val="16"/>
              </w:rPr>
              <w:t>Medium</w:t>
            </w:r>
          </w:p>
        </w:tc>
      </w:tr>
      <w:tr>
        <w:trPr>
          <w:cantSplit/>
        </w:trPr>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6"/>
              </w:rPr>
              <w:t>P12</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No record of the Ajo after it ends</w:t>
            </w:r>
          </w:p>
        </w:tc>
        <w:tc>
          <w:tcPr>
            <w:tcW w:type="dxa" w:w="5544"/>
            <w:tcMar>
              <w:top w:w="60" w:type="dxa"/>
              <w:start w:w="110" w:type="dxa"/>
              <w:bottom w:w="60" w:type="dxa"/>
              <w:end w:w="110" w:type="dxa"/>
            </w:tcMar>
            <w:shd w:val="clear" w:color="auto" w:fill="F4F7FB"/>
          </w:tcPr>
          <w:p>
            <w:pPr>
              <w:spacing w:after="0"/>
            </w:pPr>
            <w:r/>
            <w:r>
              <w:rPr>
                <w:rFonts w:ascii="Calibri" w:hAnsi="Calibri"/>
                <w:b w:val="0"/>
                <w:i w:val="0"/>
                <w:color w:val="101828"/>
                <w:sz w:val="16"/>
              </w:rPr>
              <w:t>Nothing is archived. The member has no statement, no total paid, no total received, no completion certificate. The entire financial history of the scheme is a piece of paper in a drawer that is eventually thrown away.</w:t>
            </w:r>
          </w:p>
        </w:tc>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6"/>
              </w:rPr>
              <w:t>Medium</w:t>
            </w:r>
          </w:p>
        </w:tc>
      </w:tr>
    </w:tbl>
    <w:p>
      <w:pPr>
        <w:spacing w:after="80"/>
      </w:pPr>
    </w:p>
    <w:p>
      <w:pPr>
        <w:pStyle w:val="Heading3"/>
      </w:pPr>
      <w:r>
        <w:rPr>
          <w:rFonts w:ascii="Calibri" w:hAnsi="Calibri"/>
          <w:b/>
          <w:i w:val="0"/>
          <w:color w:val="0B1F3A"/>
          <w:sz w:val="24"/>
        </w:rPr>
        <w:t>1.6.3 Why these problems are worth software</w:t>
      </w:r>
    </w:p>
    <w:p>
      <w:r>
        <w:rPr>
          <w:rFonts w:ascii="Calibri" w:hAnsi="Calibri"/>
          <w:b w:val="0"/>
          <w:i w:val="0"/>
          <w:color w:val="101828"/>
          <w:sz w:val="21"/>
        </w:rPr>
        <w:t xml:space="preserve">Problems P1 through P6 are all the same problem seen from six angles: </w:t>
      </w:r>
      <w:r>
        <w:rPr>
          <w:rFonts w:ascii="Calibri" w:hAnsi="Calibri"/>
          <w:b/>
          <w:color w:val="101828"/>
          <w:sz w:val="21"/>
        </w:rPr>
        <w:t>the record does not exist in a form that can survive its creator.</w:t>
      </w:r>
      <w:r>
        <w:rPr>
          <w:rFonts w:ascii="Calibri" w:hAnsi="Calibri"/>
          <w:b w:val="0"/>
          <w:i w:val="0"/>
          <w:color w:val="101828"/>
          <w:sz w:val="21"/>
        </w:rPr>
        <w:t xml:space="preserve"> AJO.ng's entire MVP is an answer to that one sentence. Problems P7 and P8 are answered by changing the money path, not the record. Problems P10 to P12 are growth constraints rather than correctness problems, and are addressed by schedule flexibility, scale and archiving respectively.</w:t>
      </w:r>
    </w:p>
    <w:p>
      <w:pPr>
        <w:pStyle w:val="Heading2"/>
      </w:pPr>
      <w:r>
        <w:rPr>
          <w:rFonts w:ascii="Calibri" w:hAnsi="Calibri"/>
          <w:b/>
          <w:i w:val="0"/>
          <w:color w:val="146EF5"/>
          <w:sz w:val="29"/>
        </w:rPr>
        <w:t>1.7 Proposed digital solution</w:t>
      </w:r>
    </w:p>
    <w:p>
      <w:r>
        <w:rPr>
          <w:rFonts w:ascii="Calibri" w:hAnsi="Calibri"/>
          <w:b w:val="0"/>
          <w:i w:val="0"/>
          <w:color w:val="101828"/>
          <w:sz w:val="21"/>
        </w:rPr>
        <w:t>AJO.ng is a private, invitation-only platform on which a group runs the same Ajo it runs today, with the ledger, the receipts, the schedule and the enforcement handled by software. The organiser keeps the social role. The software keeps the books.</w:t>
      </w:r>
    </w:p>
    <w:p>
      <w:pPr>
        <w:pStyle w:val="Heading3"/>
      </w:pPr>
      <w:r>
        <w:rPr>
          <w:rFonts w:ascii="Calibri" w:hAnsi="Calibri"/>
          <w:b/>
          <w:i w:val="0"/>
          <w:color w:val="0B1F3A"/>
          <w:sz w:val="24"/>
        </w:rPr>
        <w:t>1.7.1 The AJO.ng model, end to end</w:t>
      </w:r>
    </w:p>
    <w:p>
      <w:pPr>
        <w:spacing w:before="0" w:after="0" w:line="240" w:lineRule="auto"/>
        <w:ind w:left="230"/>
        <w:shd w:val="clear" w:color="auto" w:fill="F7F9FC"/>
        <w:pBdr>
          <w:left w:val="single" w:sz="4" w:space="6" w:color="D0D5DD"/>
        </w:pBdr>
      </w:pPr>
      <w:r>
        <w:rPr>
          <w:rFonts w:ascii="Consolas" w:hAnsi="Consolas"/>
          <w:color w:val="0B1F3A"/>
          <w:sz w:val="16"/>
        </w:rPr>
        <w:t xml:space="preserve">  ORGANISER                AJO.ng                MEMBER</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Create the Ajo   ----&gt;  Positions defined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Set amount,              Enrollment opens</w:t>
      </w:r>
    </w:p>
    <w:p>
      <w:pPr>
        <w:spacing w:before="0" w:after="0" w:line="240" w:lineRule="auto"/>
        <w:ind w:left="230"/>
        <w:shd w:val="clear" w:color="auto" w:fill="F7F9FC"/>
        <w:pBdr>
          <w:left w:val="single" w:sz="4" w:space="6" w:color="D0D5DD"/>
        </w:pBdr>
      </w:pPr>
      <w:r>
        <w:rPr>
          <w:rFonts w:ascii="Consolas" w:hAnsi="Consolas"/>
          <w:color w:val="0B1F3A"/>
          <w:sz w:val="16"/>
        </w:rPr>
        <w:t xml:space="preserve">  frequency, order  ----&gt;  5-day window runs</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Invite people    ----&gt;  Invitations issued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Members join  &lt;----  Accept invite,</w:t>
      </w:r>
    </w:p>
    <w:p>
      <w:pPr>
        <w:spacing w:before="0" w:after="0" w:line="240" w:lineRule="auto"/>
        <w:ind w:left="230"/>
        <w:shd w:val="clear" w:color="auto" w:fill="F7F9FC"/>
        <w:pBdr>
          <w:left w:val="single" w:sz="4" w:space="6" w:color="D0D5DD"/>
        </w:pBdr>
      </w:pPr>
      <w:r>
        <w:rPr>
          <w:rFonts w:ascii="Consolas" w:hAnsi="Consolas"/>
          <w:color w:val="0B1F3A"/>
          <w:sz w:val="16"/>
        </w:rPr>
        <w:t xml:space="preserve">                                 |           see full terms</w:t>
      </w:r>
    </w:p>
    <w:p>
      <w:pPr>
        <w:spacing w:before="0" w:after="0" w:line="240" w:lineRule="auto"/>
        <w:ind w:left="230"/>
        <w:shd w:val="clear" w:color="auto" w:fill="F7F9FC"/>
        <w:pBdr>
          <w:left w:val="single" w:sz="4" w:space="6" w:color="D0D5DD"/>
        </w:pBdr>
      </w:pPr>
      <w:r>
        <w:rPr>
          <w:rFonts w:ascii="Consolas" w:hAnsi="Consolas"/>
          <w:color w:val="0B1F3A"/>
          <w:sz w:val="16"/>
        </w:rPr>
        <w:t xml:space="preserve">                        Activation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POSITIONS LOCK</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Round 1 opens</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Remind, nudge    ----&gt;  Member pays ----&gt;  Charged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        NGN 1,020.00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NGN 1,000.00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NGN 20.00 fee</w:t>
      </w:r>
    </w:p>
    <w:p>
      <w:pPr>
        <w:spacing w:before="0" w:after="0" w:line="240" w:lineRule="auto"/>
        <w:ind w:left="230"/>
        <w:shd w:val="clear" w:color="auto" w:fill="F7F9FC"/>
        <w:pBdr>
          <w:left w:val="single" w:sz="4" w:space="6" w:color="D0D5DD"/>
        </w:pBdr>
      </w:pPr>
      <w:r>
        <w:rPr>
          <w:rFonts w:ascii="Consolas" w:hAnsi="Consolas"/>
          <w:color w:val="0B1F3A"/>
          <w:sz w:val="16"/>
        </w:rPr>
        <w:t xml:space="preserve">                                     v</w:t>
      </w:r>
    </w:p>
    <w:p>
      <w:pPr>
        <w:spacing w:before="0" w:after="0" w:line="240" w:lineRule="auto"/>
        <w:ind w:left="230"/>
        <w:shd w:val="clear" w:color="auto" w:fill="F7F9FC"/>
        <w:pBdr>
          <w:left w:val="single" w:sz="4" w:space="6" w:color="D0D5DD"/>
        </w:pBdr>
      </w:pPr>
      <w:r>
        <w:rPr>
          <w:rFonts w:ascii="Consolas" w:hAnsi="Consolas"/>
          <w:color w:val="0B1F3A"/>
          <w:sz w:val="16"/>
        </w:rPr>
        <w:t xml:space="preserve">                        Fee recorded as</w:t>
      </w:r>
    </w:p>
    <w:p>
      <w:pPr>
        <w:spacing w:before="0" w:after="0" w:line="240" w:lineRule="auto"/>
        <w:ind w:left="230"/>
        <w:shd w:val="clear" w:color="auto" w:fill="F7F9FC"/>
        <w:pBdr>
          <w:left w:val="single" w:sz="4" w:space="6" w:color="D0D5DD"/>
        </w:pBdr>
      </w:pPr>
      <w:r>
        <w:rPr>
          <w:rFonts w:ascii="Consolas" w:hAnsi="Consolas"/>
          <w:color w:val="0B1F3A"/>
          <w:sz w:val="16"/>
        </w:rPr>
        <w:t xml:space="preserve">                        fees_income</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Pool reaches</w:t>
      </w:r>
    </w:p>
    <w:p>
      <w:pPr>
        <w:spacing w:before="0" w:after="0" w:line="240" w:lineRule="auto"/>
        <w:ind w:left="230"/>
        <w:shd w:val="clear" w:color="auto" w:fill="F7F9FC"/>
        <w:pBdr>
          <w:left w:val="single" w:sz="4" w:space="6" w:color="D0D5DD"/>
        </w:pBdr>
      </w:pPr>
      <w:r>
        <w:rPr>
          <w:rFonts w:ascii="Consolas" w:hAnsi="Consolas"/>
          <w:color w:val="0B1F3A"/>
          <w:sz w:val="16"/>
        </w:rPr>
        <w:t xml:space="preserve">                        base pool</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Request release  ----&gt;  Payout released ---&gt; Recipient gets</w:t>
      </w:r>
    </w:p>
    <w:p>
      <w:pPr>
        <w:spacing w:before="0" w:after="0" w:line="240" w:lineRule="auto"/>
        <w:ind w:left="230"/>
        <w:shd w:val="clear" w:color="auto" w:fill="F7F9FC"/>
        <w:pBdr>
          <w:left w:val="single" w:sz="4" w:space="6" w:color="D0D5DD"/>
        </w:pBdr>
      </w:pPr>
      <w:r>
        <w:rPr>
          <w:rFonts w:ascii="Consolas" w:hAnsi="Consolas"/>
          <w:color w:val="0B1F3A"/>
          <w:sz w:val="16"/>
        </w:rPr>
        <w:t xml:space="preserve">                                     |          NGN 10,000.00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          (base pool only)</w:t>
      </w:r>
    </w:p>
    <w:p>
      <w:pPr>
        <w:spacing w:before="0" w:after="0" w:line="240" w:lineRule="auto"/>
        <w:ind w:left="230"/>
        <w:shd w:val="clear" w:color="auto" w:fill="F7F9FC"/>
        <w:pBdr>
          <w:left w:val="single" w:sz="4" w:space="6" w:color="D0D5DD"/>
        </w:pBdr>
      </w:pPr>
      <w:r>
        <w:rPr>
          <w:rFonts w:ascii="Consolas" w:hAnsi="Consolas"/>
          <w:color w:val="0B1F3A"/>
          <w:sz w:val="16"/>
        </w:rPr>
        <w:t xml:space="preserve">                        Round closes</w:t>
      </w:r>
    </w:p>
    <w:p>
      <w:pPr>
        <w:spacing w:before="0" w:after="0" w:line="240" w:lineRule="auto"/>
        <w:ind w:left="230"/>
        <w:shd w:val="clear" w:color="auto" w:fill="F7F9FC"/>
        <w:pBdr>
          <w:left w:val="single" w:sz="4" w:space="6" w:color="D0D5DD"/>
        </w:pBdr>
      </w:pPr>
      <w:r>
        <w:rPr>
          <w:rFonts w:ascii="Consolas" w:hAnsi="Consolas"/>
          <w:color w:val="0B1F3A"/>
          <w:sz w:val="16"/>
        </w:rPr>
        <w:t xml:space="preserve">                        Next position</w:t>
      </w:r>
    </w:p>
    <w:p>
      <w:pPr>
        <w:pStyle w:val="Heading3"/>
      </w:pPr>
      <w:r>
        <w:rPr>
          <w:rFonts w:ascii="Calibri" w:hAnsi="Calibri"/>
          <w:b/>
          <w:i w:val="0"/>
          <w:color w:val="0B1F3A"/>
          <w:sz w:val="24"/>
        </w:rPr>
        <w:t>1.7.2 The five design decisions that define the product</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6"/>
              </w:rPr>
              <w:t>Decision</w:t>
            </w:r>
          </w:p>
        </w:tc>
        <w:tc>
          <w:tcPr>
            <w:tcW w:type="dxa" w:w="3672"/>
            <w:shd w:val="clear" w:color="auto" w:fill="0B1F3A"/>
            <w:tcMar>
              <w:top w:w="60" w:type="dxa"/>
              <w:start w:w="110" w:type="dxa"/>
              <w:bottom w:w="60" w:type="dxa"/>
              <w:end w:w="110" w:type="dxa"/>
            </w:tcMar>
          </w:tcPr>
          <w:p>
            <w:pPr>
              <w:spacing w:after="0"/>
            </w:pPr>
            <w:r/>
            <w:r>
              <w:rPr>
                <w:rFonts w:ascii="Calibri" w:hAnsi="Calibri"/>
                <w:b/>
                <w:i w:val="0"/>
                <w:color w:val="FFFFFF"/>
                <w:sz w:val="16"/>
              </w:rPr>
              <w:t>What it means</w:t>
            </w:r>
          </w:p>
        </w:tc>
        <w:tc>
          <w:tcPr>
            <w:tcW w:type="dxa" w:w="3744"/>
            <w:shd w:val="clear" w:color="auto" w:fill="0B1F3A"/>
            <w:tcMar>
              <w:top w:w="60" w:type="dxa"/>
              <w:start w:w="110" w:type="dxa"/>
              <w:bottom w:w="60" w:type="dxa"/>
              <w:end w:w="110" w:type="dxa"/>
            </w:tcMar>
          </w:tcPr>
          <w:p>
            <w:pPr>
              <w:spacing w:after="0"/>
            </w:pPr>
            <w:r/>
            <w:r>
              <w:rPr>
                <w:rFonts w:ascii="Calibri" w:hAnsi="Calibri"/>
                <w:b/>
                <w:i w:val="0"/>
                <w:color w:val="FFFFFF"/>
                <w:sz w:val="16"/>
              </w:rPr>
              <w:t>Why</w:t>
            </w:r>
          </w:p>
        </w:tc>
      </w:tr>
      <w:tr>
        <w:trPr>
          <w:cantSplit/>
        </w:trPr>
        <w:tc>
          <w:tcPr>
            <w:tcW w:type="dxa" w:w="1944"/>
            <w:tcMar>
              <w:top w:w="60" w:type="dxa"/>
              <w:start w:w="110" w:type="dxa"/>
              <w:bottom w:w="60" w:type="dxa"/>
              <w:end w:w="110" w:type="dxa"/>
            </w:tcMar>
          </w:tcPr>
          <w:p>
            <w:pPr>
              <w:spacing w:after="0"/>
            </w:pPr>
            <w:r/>
            <w:r>
              <w:rPr>
                <w:rFonts w:ascii="Calibri" w:hAnsi="Calibri"/>
                <w:b w:val="0"/>
                <w:i w:val="0"/>
                <w:color w:val="101828"/>
                <w:sz w:val="16"/>
              </w:rPr>
              <w:t>Invitation-only at launch</w:t>
            </w:r>
          </w:p>
        </w:tc>
        <w:tc>
          <w:tcPr>
            <w:tcW w:type="dxa" w:w="3672"/>
            <w:tcMar>
              <w:top w:w="60" w:type="dxa"/>
              <w:start w:w="110" w:type="dxa"/>
              <w:bottom w:w="60" w:type="dxa"/>
              <w:end w:w="110" w:type="dxa"/>
            </w:tcMar>
          </w:tcPr>
          <w:p>
            <w:pPr>
              <w:spacing w:after="0"/>
            </w:pPr>
            <w:r/>
            <w:r>
              <w:rPr>
                <w:rFonts w:ascii="Calibri" w:hAnsi="Calibri"/>
                <w:b w:val="0"/>
                <w:i w:val="0"/>
                <w:color w:val="101828"/>
                <w:sz w:val="16"/>
              </w:rPr>
              <w:t>An Ajo can only be created and joined by people the organiser has invited. There is no public directory, no searchable marketplace and no open browsing.</w:t>
            </w:r>
          </w:p>
        </w:tc>
        <w:tc>
          <w:tcPr>
            <w:tcW w:type="dxa" w:w="3744"/>
            <w:tcMar>
              <w:top w:w="60" w:type="dxa"/>
              <w:start w:w="110" w:type="dxa"/>
              <w:bottom w:w="60" w:type="dxa"/>
              <w:end w:w="110" w:type="dxa"/>
            </w:tcMar>
          </w:tcPr>
          <w:p>
            <w:pPr>
              <w:spacing w:after="0"/>
            </w:pPr>
            <w:r/>
            <w:r>
              <w:rPr>
                <w:rFonts w:ascii="Calibri" w:hAnsi="Calibri"/>
                <w:b w:val="0"/>
                <w:i w:val="0"/>
                <w:color w:val="101828"/>
                <w:sz w:val="16"/>
              </w:rPr>
              <w:t>It preserves the one thing that makes the traditional Ajo work — a known group — while adding the record. Opening to strangers is a post-MVP decision with a different risk profile.</w:t>
            </w:r>
          </w:p>
        </w:tc>
      </w:tr>
      <w:tr>
        <w:trPr>
          <w:cantSplit/>
        </w:trPr>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6"/>
              </w:rPr>
              <w:t>Money is not the organiser's</w:t>
            </w:r>
          </w:p>
        </w:tc>
        <w:tc>
          <w:tcPr>
            <w:tcW w:type="dxa" w:w="3672"/>
            <w:tcMar>
              <w:top w:w="60" w:type="dxa"/>
              <w:start w:w="110" w:type="dxa"/>
              <w:bottom w:w="60" w:type="dxa"/>
              <w:end w:w="110" w:type="dxa"/>
            </w:tcMar>
            <w:shd w:val="clear" w:color="auto" w:fill="F4F7FB"/>
          </w:tcPr>
          <w:p>
            <w:pPr>
              <w:spacing w:after="0"/>
            </w:pPr>
            <w:r/>
            <w:r>
              <w:rPr>
                <w:rFonts w:ascii="Calibri" w:hAnsi="Calibri"/>
                <w:b w:val="0"/>
                <w:i w:val="0"/>
                <w:color w:val="101828"/>
                <w:sz w:val="16"/>
              </w:rPr>
              <w:t>Contributions are collected by the payment provider into the approved financial arrangement, not into the organiser's personal account, drawer or pouch.</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Removes P7 and P8 at once. The organiser can no longer be a custodian, so the organiser can no longer be a single point of failure.</w:t>
            </w:r>
          </w:p>
        </w:tc>
      </w:tr>
      <w:tr>
        <w:trPr>
          <w:cantSplit/>
        </w:trPr>
        <w:tc>
          <w:tcPr>
            <w:tcW w:type="dxa" w:w="1944"/>
            <w:tcMar>
              <w:top w:w="60" w:type="dxa"/>
              <w:start w:w="110" w:type="dxa"/>
              <w:bottom w:w="60" w:type="dxa"/>
              <w:end w:w="110" w:type="dxa"/>
            </w:tcMar>
          </w:tcPr>
          <w:p>
            <w:pPr>
              <w:spacing w:after="0"/>
            </w:pPr>
            <w:r/>
            <w:r>
              <w:rPr>
                <w:rFonts w:ascii="Calibri" w:hAnsi="Calibri"/>
                <w:b w:val="0"/>
                <w:i w:val="0"/>
                <w:color w:val="101828"/>
                <w:sz w:val="16"/>
              </w:rPr>
              <w:t>Positions lock on activation</w:t>
            </w:r>
          </w:p>
        </w:tc>
        <w:tc>
          <w:tcPr>
            <w:tcW w:type="dxa" w:w="3672"/>
            <w:tcMar>
              <w:top w:w="60" w:type="dxa"/>
              <w:start w:w="110" w:type="dxa"/>
              <w:bottom w:w="60" w:type="dxa"/>
              <w:end w:w="110" w:type="dxa"/>
            </w:tcMar>
          </w:tcPr>
          <w:p>
            <w:pPr>
              <w:spacing w:after="0"/>
            </w:pPr>
            <w:r/>
            <w:r>
              <w:rPr>
                <w:rFonts w:ascii="Calibri" w:hAnsi="Calibri"/>
                <w:b w:val="0"/>
                <w:i w:val="0"/>
                <w:color w:val="101828"/>
                <w:sz w:val="16"/>
              </w:rPr>
              <w:t>The payout order is fixed when the Ajo becomes ACTIVE. Reordering afterwards requires a formal replacement or transfer request, not a phone call.</w:t>
            </w:r>
          </w:p>
        </w:tc>
        <w:tc>
          <w:tcPr>
            <w:tcW w:type="dxa" w:w="3744"/>
            <w:tcMar>
              <w:top w:w="60" w:type="dxa"/>
              <w:start w:w="110" w:type="dxa"/>
              <w:bottom w:w="60" w:type="dxa"/>
              <w:end w:w="110" w:type="dxa"/>
            </w:tcMar>
          </w:tcPr>
          <w:p>
            <w:pPr>
              <w:spacing w:after="0"/>
            </w:pPr>
            <w:r/>
            <w:r>
              <w:rPr>
                <w:rFonts w:ascii="Calibri" w:hAnsi="Calibri"/>
                <w:b w:val="0"/>
                <w:i w:val="0"/>
                <w:color w:val="101828"/>
                <w:sz w:val="16"/>
              </w:rPr>
              <w:t>Ajo.ng's promise is that a member's turn is a fact, not a favour. Locking is what makes the promise checkable.</w:t>
            </w:r>
          </w:p>
        </w:tc>
      </w:tr>
      <w:tr>
        <w:trPr>
          <w:cantSplit/>
        </w:trPr>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6"/>
              </w:rPr>
              <w:t>The fee is added, never taken</w:t>
            </w:r>
          </w:p>
        </w:tc>
        <w:tc>
          <w:tcPr>
            <w:tcW w:type="dxa" w:w="3672"/>
            <w:tcMar>
              <w:top w:w="60" w:type="dxa"/>
              <w:start w:w="110" w:type="dxa"/>
              <w:bottom w:w="60" w:type="dxa"/>
              <w:end w:w="110" w:type="dxa"/>
            </w:tcMar>
            <w:shd w:val="clear" w:color="auto" w:fill="F4F7FB"/>
          </w:tcPr>
          <w:p>
            <w:pPr>
              <w:spacing w:after="0"/>
            </w:pPr>
            <w:r/>
            <w:r>
              <w:rPr>
                <w:rFonts w:ascii="Calibri" w:hAnsi="Calibri"/>
                <w:b w:val="0"/>
                <w:i w:val="0"/>
                <w:color w:val="101828"/>
                <w:sz w:val="16"/>
              </w:rPr>
              <w:t>A member owing NGN 1,000.00 is charged NGN 1,020.00. The contribution of NGN 1,000.00 goes to the pool. The NGN 20.00 is recorded as fees_income. The recipient receives NGN 10,000.00.</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If the fee were deducted from the pool, members would discover at payout that the pot was smaller than promised. That single design choice would destroy more trust than any competitor could win.</w:t>
            </w:r>
          </w:p>
        </w:tc>
      </w:tr>
      <w:tr>
        <w:trPr>
          <w:cantSplit/>
        </w:trPr>
        <w:tc>
          <w:tcPr>
            <w:tcW w:type="dxa" w:w="1944"/>
            <w:tcMar>
              <w:top w:w="60" w:type="dxa"/>
              <w:start w:w="110" w:type="dxa"/>
              <w:bottom w:w="60" w:type="dxa"/>
              <w:end w:w="110" w:type="dxa"/>
            </w:tcMar>
          </w:tcPr>
          <w:p>
            <w:pPr>
              <w:spacing w:after="0"/>
            </w:pPr>
            <w:r/>
            <w:r>
              <w:rPr>
                <w:rFonts w:ascii="Calibri" w:hAnsi="Calibri"/>
                <w:b w:val="0"/>
                <w:i w:val="0"/>
                <w:color w:val="101828"/>
                <w:sz w:val="16"/>
              </w:rPr>
              <w:t>No unilateral exit after activation</w:t>
            </w:r>
          </w:p>
        </w:tc>
        <w:tc>
          <w:tcPr>
            <w:tcW w:type="dxa" w:w="3672"/>
            <w:tcMar>
              <w:top w:w="60" w:type="dxa"/>
              <w:start w:w="110" w:type="dxa"/>
              <w:bottom w:w="60" w:type="dxa"/>
              <w:end w:w="110" w:type="dxa"/>
            </w:tcMar>
          </w:tcPr>
          <w:p>
            <w:pPr>
              <w:spacing w:after="0"/>
            </w:pPr>
            <w:r/>
            <w:r>
              <w:rPr>
                <w:rFonts w:ascii="Calibri" w:hAnsi="Calibri"/>
                <w:b w:val="0"/>
                <w:i w:val="0"/>
                <w:color w:val="101828"/>
                <w:sz w:val="16"/>
              </w:rPr>
              <w:t>A member who needs to leave must request a replacement and a re-ordering, and the commitment to the complete cycle is explicit at join time.</w:t>
            </w:r>
          </w:p>
        </w:tc>
        <w:tc>
          <w:tcPr>
            <w:tcW w:type="dxa" w:w="3744"/>
            <w:tcMar>
              <w:top w:w="60" w:type="dxa"/>
              <w:start w:w="110" w:type="dxa"/>
              <w:bottom w:w="60" w:type="dxa"/>
              <w:end w:w="110" w:type="dxa"/>
            </w:tcMar>
          </w:tcPr>
          <w:p>
            <w:pPr>
              <w:spacing w:after="0"/>
            </w:pPr>
            <w:r/>
            <w:r>
              <w:rPr>
                <w:rFonts w:ascii="Calibri" w:hAnsi="Calibri"/>
                <w:b w:val="0"/>
                <w:i w:val="0"/>
                <w:color w:val="101828"/>
                <w:sz w:val="16"/>
              </w:rPr>
              <w:t>Without it, Ajo.ng reproduces the exact failure it was built to remove: the quiet departure that strands the remaining members.</w:t>
            </w:r>
          </w:p>
        </w:tc>
      </w:tr>
    </w:tbl>
    <w:p>
      <w:pPr>
        <w:spacing w:after="80"/>
      </w:pPr>
    </w:p>
    <w:p>
      <w:pPr>
        <w:pStyle w:val="Heading3"/>
      </w:pPr>
      <w:r>
        <w:rPr>
          <w:rFonts w:ascii="Calibri" w:hAnsi="Calibri"/>
          <w:b/>
          <w:i w:val="0"/>
          <w:color w:val="0B1F3A"/>
          <w:sz w:val="24"/>
        </w:rPr>
        <w:t>1.7.3 The complete-cycle commitment, stated plainly</w:t>
      </w:r>
    </w:p>
    <w:p>
      <w:r>
        <w:rPr>
          <w:rFonts w:ascii="Calibri" w:hAnsi="Calibri"/>
          <w:b w:val="0"/>
          <w:i w:val="0"/>
          <w:color w:val="101828"/>
          <w:sz w:val="21"/>
        </w:rPr>
        <w:t>Joining an Ajo after activation is a commitment to pay every remaining round until the Ajo completes, or until a formal replacement is accepted. This is stated in plain language on the join confirmation screen, in the invitation, and in the terms. The member acknowledges it explicitly. It is the digital equivalent of the thing the group already says to itself on day one — that you are in for the whole cycle, not just your turn.</w:t>
      </w:r>
    </w:p>
    <w:p>
      <w:pPr>
        <w:spacing w:before="140" w:after="180"/>
        <w:ind w:left="144"/>
        <w:shd w:val="clear" w:color="auto" w:fill="E0F2FE"/>
        <w:pBdr>
          <w:left w:val="single" w:sz="18" w:space="6" w:color="22C7D6"/>
        </w:pBdr>
      </w:pPr>
      <w:r>
        <w:rPr>
          <w:rFonts w:ascii="Calibri" w:hAnsi="Calibri"/>
          <w:b/>
          <w:color w:val="22C7D6"/>
          <w:sz w:val="19"/>
        </w:rPr>
        <w:t xml:space="preserve">Open decision — replacement mechanics  </w:t>
      </w:r>
      <w:r>
        <w:rPr>
          <w:rFonts w:ascii="Calibri" w:hAnsi="Calibri"/>
          <w:b w:val="0"/>
          <w:i w:val="0"/>
          <w:color w:val="0B1F3A"/>
          <w:sz w:val="19"/>
        </w:rPr>
        <w:t xml:space="preserve">The exact replacement mechanism (a queue of approved replacements, a per-Ajo waitlist, or an organizer-nominated substitute) is specified at product level in section 1.17 and in the state-machine section, but the commercial question of </w:t>
      </w:r>
      <w:r>
        <w:rPr>
          <w:rFonts w:ascii="Calibri" w:hAnsi="Calibri"/>
          <w:b/>
          <w:color w:val="0B1F3A"/>
          <w:sz w:val="19"/>
        </w:rPr>
        <w:t>whether a replacement candidate pays a premium, and how that premium is handled</w:t>
      </w:r>
      <w:r>
        <w:rPr>
          <w:rFonts w:ascii="Calibri" w:hAnsi="Calibri"/>
          <w:b w:val="0"/>
          <w:i w:val="0"/>
          <w:color w:val="0B1F3A"/>
          <w:sz w:val="19"/>
        </w:rPr>
        <w:t>, is not yet decided. Owner: Founders. This must be settled before launch because it is a money-in question and money-in questions cannot be ambiguous.</w:t>
      </w:r>
    </w:p>
    <w:p>
      <w:pPr>
        <w:pStyle w:val="Heading3"/>
      </w:pPr>
      <w:r>
        <w:rPr>
          <w:rFonts w:ascii="Calibri" w:hAnsi="Calibri"/>
          <w:b/>
          <w:i w:val="0"/>
          <w:color w:val="0B1F3A"/>
          <w:sz w:val="24"/>
        </w:rPr>
        <w:t>1.7.4 How AJO.ng differs from a WhatsApp group</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368"/>
            <w:shd w:val="clear" w:color="auto" w:fill="0B1F3A"/>
            <w:tcMar>
              <w:top w:w="60" w:type="dxa"/>
              <w:start w:w="110" w:type="dxa"/>
              <w:bottom w:w="60" w:type="dxa"/>
              <w:end w:w="110" w:type="dxa"/>
            </w:tcMar>
          </w:tcPr>
          <w:p>
            <w:pPr>
              <w:spacing w:after="0"/>
            </w:pPr>
            <w:r/>
            <w:r>
              <w:rPr>
                <w:rFonts w:ascii="Calibri" w:hAnsi="Calibri"/>
                <w:b/>
                <w:i w:val="0"/>
                <w:color w:val="FFFFFF"/>
                <w:sz w:val="16"/>
              </w:rPr>
              <w:t>Dimension</w:t>
            </w:r>
          </w:p>
        </w:tc>
        <w:tc>
          <w:tcPr>
            <w:tcW w:type="dxa" w:w="3384"/>
            <w:shd w:val="clear" w:color="auto" w:fill="0B1F3A"/>
            <w:tcMar>
              <w:top w:w="60" w:type="dxa"/>
              <w:start w:w="110" w:type="dxa"/>
              <w:bottom w:w="60" w:type="dxa"/>
              <w:end w:w="110" w:type="dxa"/>
            </w:tcMar>
          </w:tcPr>
          <w:p>
            <w:pPr>
              <w:spacing w:after="0"/>
            </w:pPr>
            <w:r/>
            <w:r>
              <w:rPr>
                <w:rFonts w:ascii="Calibri" w:hAnsi="Calibri"/>
                <w:b/>
                <w:i w:val="0"/>
                <w:color w:val="FFFFFF"/>
                <w:sz w:val="16"/>
              </w:rPr>
              <w:t>WhatsApp group</w:t>
            </w:r>
          </w:p>
        </w:tc>
        <w:tc>
          <w:tcPr>
            <w:tcW w:type="dxa" w:w="4608"/>
            <w:shd w:val="clear" w:color="auto" w:fill="0B1F3A"/>
            <w:tcMar>
              <w:top w:w="60" w:type="dxa"/>
              <w:start w:w="110" w:type="dxa"/>
              <w:bottom w:w="60" w:type="dxa"/>
              <w:end w:w="110" w:type="dxa"/>
            </w:tcMar>
          </w:tcPr>
          <w:p>
            <w:pPr>
              <w:spacing w:after="0"/>
            </w:pPr>
            <w:r/>
            <w:r>
              <w:rPr>
                <w:rFonts w:ascii="Calibri" w:hAnsi="Calibri"/>
                <w:b/>
                <w:i w:val="0"/>
                <w:color w:val="FFFFFF"/>
                <w:sz w:val="16"/>
              </w:rPr>
              <w:t>AJO.ng</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6"/>
              </w:rPr>
              <w:t>Record</w:t>
            </w:r>
          </w:p>
        </w:tc>
        <w:tc>
          <w:tcPr>
            <w:tcW w:type="dxa" w:w="3384"/>
            <w:tcMar>
              <w:top w:w="60" w:type="dxa"/>
              <w:start w:w="110" w:type="dxa"/>
              <w:bottom w:w="60" w:type="dxa"/>
              <w:end w:w="110" w:type="dxa"/>
            </w:tcMar>
          </w:tcPr>
          <w:p>
            <w:pPr>
              <w:spacing w:after="0"/>
            </w:pPr>
            <w:r/>
            <w:r>
              <w:rPr>
                <w:rFonts w:ascii="Calibri" w:hAnsi="Calibri"/>
                <w:b w:val="0"/>
                <w:i w:val="0"/>
                <w:color w:val="101828"/>
                <w:sz w:val="16"/>
              </w:rPr>
              <w:t>Mutable, deletable, scrolled away, asserted by one person</w:t>
            </w:r>
          </w:p>
        </w:tc>
        <w:tc>
          <w:tcPr>
            <w:tcW w:type="dxa" w:w="4608"/>
            <w:tcMar>
              <w:top w:w="60" w:type="dxa"/>
              <w:start w:w="110" w:type="dxa"/>
              <w:bottom w:w="60" w:type="dxa"/>
              <w:end w:w="110" w:type="dxa"/>
            </w:tcMar>
          </w:tcPr>
          <w:p>
            <w:pPr>
              <w:spacing w:after="0"/>
            </w:pPr>
            <w:r/>
            <w:r>
              <w:rPr>
                <w:rFonts w:ascii="Calibri" w:hAnsi="Calibri"/>
                <w:b w:val="0"/>
                <w:i w:val="0"/>
                <w:color w:val="101828"/>
                <w:sz w:val="16"/>
              </w:rPr>
              <w:t>Append-only ledger, versioned, no role can edit or delete</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6"/>
              </w:rPr>
              <w:t>Identity</w:t>
            </w:r>
          </w:p>
        </w:tc>
        <w:tc>
          <w:tcPr>
            <w:tcW w:type="dxa" w:w="3384"/>
            <w:tcMar>
              <w:top w:w="60" w:type="dxa"/>
              <w:start w:w="110" w:type="dxa"/>
              <w:bottom w:w="60" w:type="dxa"/>
              <w:end w:w="110" w:type="dxa"/>
            </w:tcMar>
            <w:shd w:val="clear" w:color="auto" w:fill="F4F7FB"/>
          </w:tcPr>
          <w:p>
            <w:pPr>
              <w:spacing w:after="0"/>
            </w:pPr>
            <w:r/>
            <w:r>
              <w:rPr>
                <w:rFonts w:ascii="Calibri" w:hAnsi="Calibri"/>
                <w:b w:val="0"/>
                <w:i w:val="0"/>
                <w:color w:val="101828"/>
                <w:sz w:val="16"/>
              </w:rPr>
              <w:t>A display name and a phone number, easily borrowed</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Verified account with optional BVN or CAC verification, one identity to one account</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6"/>
              </w:rPr>
              <w:t>Money</w:t>
            </w:r>
          </w:p>
        </w:tc>
        <w:tc>
          <w:tcPr>
            <w:tcW w:type="dxa" w:w="3384"/>
            <w:tcMar>
              <w:top w:w="60" w:type="dxa"/>
              <w:start w:w="110" w:type="dxa"/>
              <w:bottom w:w="60" w:type="dxa"/>
              <w:end w:w="110" w:type="dxa"/>
            </w:tcMar>
          </w:tcPr>
          <w:p>
            <w:pPr>
              <w:spacing w:after="0"/>
            </w:pPr>
            <w:r/>
            <w:r>
              <w:rPr>
                <w:rFonts w:ascii="Calibri" w:hAnsi="Calibri"/>
                <w:b w:val="0"/>
                <w:i w:val="0"/>
                <w:color w:val="101828"/>
                <w:sz w:val="16"/>
              </w:rPr>
              <w:t>Manual transfers to a personal account, unreconciled</w:t>
            </w:r>
          </w:p>
        </w:tc>
        <w:tc>
          <w:tcPr>
            <w:tcW w:type="dxa" w:w="4608"/>
            <w:tcMar>
              <w:top w:w="60" w:type="dxa"/>
              <w:start w:w="110" w:type="dxa"/>
              <w:bottom w:w="60" w:type="dxa"/>
              <w:end w:w="110" w:type="dxa"/>
            </w:tcMar>
          </w:tcPr>
          <w:p>
            <w:pPr>
              <w:spacing w:after="0"/>
            </w:pPr>
            <w:r/>
            <w:r>
              <w:rPr>
                <w:rFonts w:ascii="Calibri" w:hAnsi="Calibri"/>
                <w:b w:val="0"/>
                <w:i w:val="0"/>
                <w:color w:val="101828"/>
                <w:sz w:val="16"/>
              </w:rPr>
              <w:t>Provider-collected, provider-receipted, reconciled daily by automation</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6"/>
              </w:rPr>
              <w:t>Schedule</w:t>
            </w:r>
          </w:p>
        </w:tc>
        <w:tc>
          <w:tcPr>
            <w:tcW w:type="dxa" w:w="3384"/>
            <w:tcMar>
              <w:top w:w="60" w:type="dxa"/>
              <w:start w:w="110" w:type="dxa"/>
              <w:bottom w:w="60" w:type="dxa"/>
              <w:end w:w="110" w:type="dxa"/>
            </w:tcMar>
            <w:shd w:val="clear" w:color="auto" w:fill="F4F7FB"/>
          </w:tcPr>
          <w:p>
            <w:pPr>
              <w:spacing w:after="0"/>
            </w:pPr>
            <w:r/>
            <w:r>
              <w:rPr>
                <w:rFonts w:ascii="Calibri" w:hAnsi="Calibri"/>
                <w:b w:val="0"/>
                <w:i w:val="0"/>
                <w:color w:val="101828"/>
                <w:sz w:val="16"/>
              </w:rPr>
              <w:t>Remembered, restated, drifting</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Generated schedule, locked at activation, visible to every member</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6"/>
              </w:rPr>
              <w:t>Enforcement</w:t>
            </w:r>
          </w:p>
        </w:tc>
        <w:tc>
          <w:tcPr>
            <w:tcW w:type="dxa" w:w="3384"/>
            <w:tcMar>
              <w:top w:w="60" w:type="dxa"/>
              <w:start w:w="110" w:type="dxa"/>
              <w:bottom w:w="60" w:type="dxa"/>
              <w:end w:w="110" w:type="dxa"/>
            </w:tcMar>
          </w:tcPr>
          <w:p>
            <w:pPr>
              <w:spacing w:after="0"/>
            </w:pPr>
            <w:r/>
            <w:r>
              <w:rPr>
                <w:rFonts w:ascii="Calibri" w:hAnsi="Calibri"/>
                <w:b w:val="0"/>
                <w:i w:val="0"/>
                <w:color w:val="101828"/>
                <w:sz w:val="16"/>
              </w:rPr>
              <w:t>Social pressure, applied unevenly and inconsistently</w:t>
            </w:r>
          </w:p>
        </w:tc>
        <w:tc>
          <w:tcPr>
            <w:tcW w:type="dxa" w:w="4608"/>
            <w:tcMar>
              <w:top w:w="60" w:type="dxa"/>
              <w:start w:w="110" w:type="dxa"/>
              <w:bottom w:w="60" w:type="dxa"/>
              <w:end w:w="110" w:type="dxa"/>
            </w:tcMar>
          </w:tcPr>
          <w:p>
            <w:pPr>
              <w:spacing w:after="0"/>
            </w:pPr>
            <w:r/>
            <w:r>
              <w:rPr>
                <w:rFonts w:ascii="Calibri" w:hAnsi="Calibri"/>
                <w:b w:val="0"/>
                <w:i w:val="0"/>
                <w:color w:val="101828"/>
                <w:sz w:val="16"/>
              </w:rPr>
              <w:t>Documented default sequence with grace, private handling and recovery</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6"/>
              </w:rPr>
              <w:t>Dispute</w:t>
            </w:r>
          </w:p>
        </w:tc>
        <w:tc>
          <w:tcPr>
            <w:tcW w:type="dxa" w:w="3384"/>
            <w:tcMar>
              <w:top w:w="60" w:type="dxa"/>
              <w:start w:w="110" w:type="dxa"/>
              <w:bottom w:w="60" w:type="dxa"/>
              <w:end w:w="110" w:type="dxa"/>
            </w:tcMar>
            <w:shd w:val="clear" w:color="auto" w:fill="F4F7FB"/>
          </w:tcPr>
          <w:p>
            <w:pPr>
              <w:spacing w:after="0"/>
            </w:pPr>
            <w:r/>
            <w:r>
              <w:rPr>
                <w:rFonts w:ascii="Calibri" w:hAnsi="Calibri"/>
                <w:b w:val="0"/>
                <w:i w:val="0"/>
                <w:color w:val="101828"/>
                <w:sz w:val="16"/>
              </w:rPr>
              <w:t>Argument, decided by whoever argues better or louder</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Evidence thread against a timestamped record, escalated to a role that cannot move money</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6"/>
              </w:rPr>
              <w:t>After the fact</w:t>
            </w:r>
          </w:p>
        </w:tc>
        <w:tc>
          <w:tcPr>
            <w:tcW w:type="dxa" w:w="3384"/>
            <w:tcMar>
              <w:top w:w="60" w:type="dxa"/>
              <w:start w:w="110" w:type="dxa"/>
              <w:bottom w:w="60" w:type="dxa"/>
              <w:end w:w="110" w:type="dxa"/>
            </w:tcMar>
          </w:tcPr>
          <w:p>
            <w:pPr>
              <w:spacing w:after="0"/>
            </w:pPr>
            <w:r/>
            <w:r>
              <w:rPr>
                <w:rFonts w:ascii="Calibri" w:hAnsi="Calibri"/>
                <w:b w:val="0"/>
                <w:i w:val="0"/>
                <w:color w:val="101828"/>
                <w:sz w:val="16"/>
              </w:rPr>
              <w:t>No record survives</w:t>
            </w:r>
          </w:p>
        </w:tc>
        <w:tc>
          <w:tcPr>
            <w:tcW w:type="dxa" w:w="4608"/>
            <w:tcMar>
              <w:top w:w="60" w:type="dxa"/>
              <w:start w:w="110" w:type="dxa"/>
              <w:bottom w:w="60" w:type="dxa"/>
              <w:end w:w="110" w:type="dxa"/>
            </w:tcMar>
          </w:tcPr>
          <w:p>
            <w:pPr>
              <w:spacing w:after="0"/>
            </w:pPr>
            <w:r/>
            <w:r>
              <w:rPr>
                <w:rFonts w:ascii="Calibri" w:hAnsi="Calibri"/>
                <w:b w:val="0"/>
                <w:i w:val="0"/>
                <w:color w:val="101828"/>
                <w:sz w:val="16"/>
              </w:rPr>
              <w:t>Statements, receipts and audit logs are retained and exportable</w:t>
            </w:r>
          </w:p>
        </w:tc>
      </w:tr>
    </w:tbl>
    <w:p>
      <w:pPr>
        <w:spacing w:after="80"/>
      </w:pPr>
    </w:p>
    <w:p>
      <w:pPr>
        <w:pStyle w:val="Heading2"/>
      </w:pPr>
      <w:r>
        <w:rPr>
          <w:rFonts w:ascii="Calibri" w:hAnsi="Calibri"/>
          <w:b/>
          <w:i w:val="0"/>
          <w:color w:val="146EF5"/>
          <w:sz w:val="29"/>
        </w:rPr>
        <w:t>1.8 Product goals</w:t>
      </w:r>
    </w:p>
    <w:p>
      <w:r>
        <w:rPr>
          <w:rFonts w:ascii="Calibri" w:hAnsi="Calibri"/>
          <w:b w:val="0"/>
          <w:i w:val="0"/>
          <w:color w:val="101828"/>
          <w:sz w:val="21"/>
        </w:rPr>
        <w:t xml:space="preserve">Product goals are what the product must </w:t>
      </w:r>
      <w:r>
        <w:rPr>
          <w:rFonts w:ascii="Calibri" w:hAnsi="Calibri"/>
          <w:i/>
          <w:color w:val="101828"/>
          <w:sz w:val="21"/>
        </w:rPr>
        <w:t>be</w:t>
      </w:r>
      <w:r>
        <w:rPr>
          <w:rFonts w:ascii="Calibri" w:hAnsi="Calibri"/>
          <w:b w:val="0"/>
          <w:i w:val="0"/>
          <w:color w:val="101828"/>
          <w:sz w:val="21"/>
        </w:rPr>
        <w:t xml:space="preserve">. Business objectives (section 1.9) are what the company must </w:t>
      </w:r>
      <w:r>
        <w:rPr>
          <w:rFonts w:ascii="Calibri" w:hAnsi="Calibri"/>
          <w:i/>
          <w:color w:val="101828"/>
          <w:sz w:val="21"/>
        </w:rPr>
        <w:t>achieve</w:t>
      </w:r>
      <w:r>
        <w:rPr>
          <w:rFonts w:ascii="Calibri" w:hAnsi="Calibri"/>
          <w:b w:val="0"/>
          <w:i w:val="0"/>
          <w:color w:val="101828"/>
          <w:sz w:val="21"/>
        </w:rPr>
        <w:t>. Where they conflict, this table is the tie-breaker in favour of the product goal, because a business objective achieved by breaking a product goal is not an objective achieved.</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504"/>
            <w:shd w:val="clear" w:color="auto" w:fill="0B1F3A"/>
            <w:tcMar>
              <w:top w:w="60" w:type="dxa"/>
              <w:start w:w="110" w:type="dxa"/>
              <w:bottom w:w="60" w:type="dxa"/>
              <w:end w:w="110" w:type="dxa"/>
            </w:tcMar>
          </w:tcPr>
          <w:p>
            <w:pPr>
              <w:spacing w:after="0"/>
            </w:pPr>
            <w:r/>
            <w:r>
              <w:rPr>
                <w:rFonts w:ascii="Calibri" w:hAnsi="Calibri"/>
                <w:b/>
                <w:i w:val="0"/>
                <w:color w:val="FFFFFF"/>
                <w:sz w:val="16"/>
              </w:rPr>
              <w:t>ID</w:t>
            </w:r>
          </w:p>
        </w:tc>
        <w:tc>
          <w:tcPr>
            <w:tcW w:type="dxa" w:w="2664"/>
            <w:shd w:val="clear" w:color="auto" w:fill="0B1F3A"/>
            <w:tcMar>
              <w:top w:w="60" w:type="dxa"/>
              <w:start w:w="110" w:type="dxa"/>
              <w:bottom w:w="60" w:type="dxa"/>
              <w:end w:w="110" w:type="dxa"/>
            </w:tcMar>
          </w:tcPr>
          <w:p>
            <w:pPr>
              <w:spacing w:after="0"/>
            </w:pPr>
            <w:r/>
            <w:r>
              <w:rPr>
                <w:rFonts w:ascii="Calibri" w:hAnsi="Calibri"/>
                <w:b/>
                <w:i w:val="0"/>
                <w:color w:val="FFFFFF"/>
                <w:sz w:val="16"/>
              </w:rPr>
              <w:t>Product goal</w:t>
            </w:r>
          </w:p>
        </w:tc>
        <w:tc>
          <w:tcPr>
            <w:tcW w:type="dxa" w:w="3672"/>
            <w:shd w:val="clear" w:color="auto" w:fill="0B1F3A"/>
            <w:tcMar>
              <w:top w:w="60" w:type="dxa"/>
              <w:start w:w="110" w:type="dxa"/>
              <w:bottom w:w="60" w:type="dxa"/>
              <w:end w:w="110" w:type="dxa"/>
            </w:tcMar>
          </w:tcPr>
          <w:p>
            <w:pPr>
              <w:spacing w:after="0"/>
            </w:pPr>
            <w:r/>
            <w:r>
              <w:rPr>
                <w:rFonts w:ascii="Calibri" w:hAnsi="Calibri"/>
                <w:b/>
                <w:i w:val="0"/>
                <w:color w:val="FFFFFF"/>
                <w:sz w:val="16"/>
              </w:rPr>
              <w:t>Why it matters</w:t>
            </w:r>
          </w:p>
        </w:tc>
        <w:tc>
          <w:tcPr>
            <w:tcW w:type="dxa" w:w="2520"/>
            <w:shd w:val="clear" w:color="auto" w:fill="0B1F3A"/>
            <w:tcMar>
              <w:top w:w="60" w:type="dxa"/>
              <w:start w:w="110" w:type="dxa"/>
              <w:bottom w:w="60" w:type="dxa"/>
              <w:end w:w="110" w:type="dxa"/>
            </w:tcMar>
          </w:tcPr>
          <w:p>
            <w:pPr>
              <w:spacing w:after="0"/>
            </w:pPr>
            <w:r/>
            <w:r>
              <w:rPr>
                <w:rFonts w:ascii="Calibri" w:hAnsi="Calibri"/>
                <w:b/>
                <w:i w:val="0"/>
                <w:color w:val="FFFFFF"/>
                <w:sz w:val="16"/>
              </w:rPr>
              <w:t>Measured by</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G1</w:t>
            </w:r>
          </w:p>
        </w:tc>
        <w:tc>
          <w:tcPr>
            <w:tcW w:type="dxa" w:w="2664"/>
            <w:tcMar>
              <w:top w:w="60" w:type="dxa"/>
              <w:start w:w="110" w:type="dxa"/>
              <w:bottom w:w="60" w:type="dxa"/>
              <w:end w:w="110" w:type="dxa"/>
            </w:tcMar>
          </w:tcPr>
          <w:p>
            <w:pPr>
              <w:spacing w:after="0"/>
            </w:pPr>
            <w:r/>
            <w:r>
              <w:rPr>
                <w:rFonts w:ascii="Calibri" w:hAnsi="Calibri"/>
                <w:b w:val="0"/>
                <w:i w:val="0"/>
                <w:color w:val="101828"/>
                <w:sz w:val="16"/>
              </w:rPr>
              <w:t>Make the Ajo survive the loss of any single member</w:t>
            </w:r>
          </w:p>
        </w:tc>
        <w:tc>
          <w:tcPr>
            <w:tcW w:type="dxa" w:w="3672"/>
            <w:tcMar>
              <w:top w:w="60" w:type="dxa"/>
              <w:start w:w="110" w:type="dxa"/>
              <w:bottom w:w="60" w:type="dxa"/>
              <w:end w:w="110" w:type="dxa"/>
            </w:tcMar>
          </w:tcPr>
          <w:p>
            <w:pPr>
              <w:spacing w:after="0"/>
            </w:pPr>
            <w:r/>
            <w:r>
              <w:rPr>
                <w:rFonts w:ascii="Calibri" w:hAnsi="Calibri"/>
                <w:b w:val="0"/>
                <w:i w:val="0"/>
                <w:color w:val="101828"/>
                <w:sz w:val="16"/>
              </w:rPr>
              <w:t>The traditional Ajo's only point of failure is the organiser. Removing that dependency is the core of the product's value.</w:t>
            </w:r>
          </w:p>
        </w:tc>
        <w:tc>
          <w:tcPr>
            <w:tcW w:type="dxa" w:w="2520"/>
            <w:tcMar>
              <w:top w:w="60" w:type="dxa"/>
              <w:start w:w="110" w:type="dxa"/>
              <w:bottom w:w="60" w:type="dxa"/>
              <w:end w:w="110" w:type="dxa"/>
            </w:tcMar>
          </w:tcPr>
          <w:p>
            <w:pPr>
              <w:spacing w:after="0"/>
            </w:pPr>
            <w:r/>
            <w:r>
              <w:rPr>
                <w:rFonts w:ascii="Calibri" w:hAnsi="Calibri"/>
                <w:b w:val="0"/>
                <w:i w:val="0"/>
                <w:color w:val="101828"/>
                <w:sz w:val="16"/>
              </w:rPr>
              <w:t>Percentage of Ajos that continue correctly after an organiser becomes unavailable for 14 days</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G2</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6"/>
              </w:rPr>
              <w:t>Give every member a complete, self-service view of their own position</w:t>
            </w:r>
          </w:p>
        </w:tc>
        <w:tc>
          <w:tcPr>
            <w:tcW w:type="dxa" w:w="3672"/>
            <w:tcMar>
              <w:top w:w="60" w:type="dxa"/>
              <w:start w:w="110" w:type="dxa"/>
              <w:bottom w:w="60" w:type="dxa"/>
              <w:end w:w="110" w:type="dxa"/>
            </w:tcMar>
            <w:shd w:val="clear" w:color="auto" w:fill="F4F7FB"/>
          </w:tcPr>
          <w:p>
            <w:pPr>
              <w:spacing w:after="0"/>
            </w:pPr>
            <w:r/>
            <w:r>
              <w:rPr>
                <w:rFonts w:ascii="Calibri" w:hAnsi="Calibri"/>
                <w:b w:val="0"/>
                <w:i w:val="0"/>
                <w:color w:val="101828"/>
                <w:sz w:val="16"/>
              </w:rPr>
              <w:t>A member should never need to ask the organiser to know what they owe, what they paid, or when their turn is.</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6"/>
              </w:rPr>
              <w:t>Share of contribution views served without contacting the organiser</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G3</w:t>
            </w:r>
          </w:p>
        </w:tc>
        <w:tc>
          <w:tcPr>
            <w:tcW w:type="dxa" w:w="2664"/>
            <w:tcMar>
              <w:top w:w="60" w:type="dxa"/>
              <w:start w:w="110" w:type="dxa"/>
              <w:bottom w:w="60" w:type="dxa"/>
              <w:end w:w="110" w:type="dxa"/>
            </w:tcMar>
          </w:tcPr>
          <w:p>
            <w:pPr>
              <w:spacing w:after="0"/>
            </w:pPr>
            <w:r/>
            <w:r>
              <w:rPr>
                <w:rFonts w:ascii="Calibri" w:hAnsi="Calibri"/>
                <w:b w:val="0"/>
                <w:i w:val="0"/>
                <w:color w:val="101828"/>
                <w:sz w:val="16"/>
              </w:rPr>
              <w:t>Make the fee completely transparent before commitment</w:t>
            </w:r>
          </w:p>
        </w:tc>
        <w:tc>
          <w:tcPr>
            <w:tcW w:type="dxa" w:w="3672"/>
            <w:tcMar>
              <w:top w:w="60" w:type="dxa"/>
              <w:start w:w="110" w:type="dxa"/>
              <w:bottom w:w="60" w:type="dxa"/>
              <w:end w:w="110" w:type="dxa"/>
            </w:tcMar>
          </w:tcPr>
          <w:p>
            <w:pPr>
              <w:spacing w:after="0"/>
            </w:pPr>
            <w:r/>
            <w:r>
              <w:rPr>
                <w:rFonts w:ascii="Calibri" w:hAnsi="Calibri"/>
                <w:b w:val="0"/>
                <w:i w:val="0"/>
                <w:color w:val="101828"/>
                <w:sz w:val="16"/>
              </w:rPr>
              <w:t>The single most likely cause of a trust-ending discovery is a fee the member did not know about.</w:t>
            </w:r>
          </w:p>
        </w:tc>
        <w:tc>
          <w:tcPr>
            <w:tcW w:type="dxa" w:w="2520"/>
            <w:tcMar>
              <w:top w:w="60" w:type="dxa"/>
              <w:start w:w="110" w:type="dxa"/>
              <w:bottom w:w="60" w:type="dxa"/>
              <w:end w:w="110" w:type="dxa"/>
            </w:tcMar>
          </w:tcPr>
          <w:p>
            <w:pPr>
              <w:spacing w:after="0"/>
            </w:pPr>
            <w:r/>
            <w:r>
              <w:rPr>
                <w:rFonts w:ascii="Calibri" w:hAnsi="Calibri"/>
                <w:b w:val="0"/>
                <w:i w:val="0"/>
                <w:color w:val="101828"/>
                <w:sz w:val="16"/>
              </w:rPr>
              <w:t>Fee disclosure present and acknowledged on 100% of invitations, join confirmations and receipts</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G4</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6"/>
              </w:rPr>
              <w:t>Never release a payout the funds cannot cover</w:t>
            </w:r>
          </w:p>
        </w:tc>
        <w:tc>
          <w:tcPr>
            <w:tcW w:type="dxa" w:w="3672"/>
            <w:tcMar>
              <w:top w:w="60" w:type="dxa"/>
              <w:start w:w="110" w:type="dxa"/>
              <w:bottom w:w="60" w:type="dxa"/>
              <w:end w:w="110" w:type="dxa"/>
            </w:tcMar>
            <w:shd w:val="clear" w:color="auto" w:fill="F4F7FB"/>
          </w:tcPr>
          <w:p>
            <w:pPr>
              <w:spacing w:after="0"/>
            </w:pPr>
            <w:r/>
            <w:r>
              <w:rPr>
                <w:rFonts w:ascii="Calibri" w:hAnsi="Calibri"/>
                <w:b w:val="0"/>
                <w:i w:val="0"/>
                <w:color w:val="101828"/>
                <w:sz w:val="16"/>
              </w:rPr>
              <w:t>The failure that ends a product is a failed payout. Holding a round is extremely bad; under-paying one is fatal and irreversible.</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6"/>
              </w:rPr>
              <w:t>Zero under-funded or short-paid payouts in the lifetime of the platform</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G5</w:t>
            </w:r>
          </w:p>
        </w:tc>
        <w:tc>
          <w:tcPr>
            <w:tcW w:type="dxa" w:w="2664"/>
            <w:tcMar>
              <w:top w:w="60" w:type="dxa"/>
              <w:start w:w="110" w:type="dxa"/>
              <w:bottom w:w="60" w:type="dxa"/>
              <w:end w:w="110" w:type="dxa"/>
            </w:tcMar>
          </w:tcPr>
          <w:p>
            <w:pPr>
              <w:spacing w:after="0"/>
            </w:pPr>
            <w:r/>
            <w:r>
              <w:rPr>
                <w:rFonts w:ascii="Calibri" w:hAnsi="Calibri"/>
                <w:b w:val="0"/>
                <w:i w:val="0"/>
                <w:color w:val="101828"/>
                <w:sz w:val="16"/>
              </w:rPr>
              <w:t>Keep default handling private and process-driven</w:t>
            </w:r>
          </w:p>
        </w:tc>
        <w:tc>
          <w:tcPr>
            <w:tcW w:type="dxa" w:w="3672"/>
            <w:tcMar>
              <w:top w:w="60" w:type="dxa"/>
              <w:start w:w="110" w:type="dxa"/>
              <w:bottom w:w="60" w:type="dxa"/>
              <w:end w:w="110" w:type="dxa"/>
            </w:tcMar>
          </w:tcPr>
          <w:p>
            <w:pPr>
              <w:spacing w:after="0"/>
            </w:pPr>
            <w:r/>
            <w:r>
              <w:rPr>
                <w:rFonts w:ascii="Calibri" w:hAnsi="Calibri"/>
                <w:b w:val="0"/>
                <w:i w:val="0"/>
                <w:color w:val="101828"/>
                <w:sz w:val="16"/>
              </w:rPr>
              <w:t>Public shaming destroys the social mechanism the product depends on, and it is also simply cruel.</w:t>
            </w:r>
          </w:p>
        </w:tc>
        <w:tc>
          <w:tcPr>
            <w:tcW w:type="dxa" w:w="2520"/>
            <w:tcMar>
              <w:top w:w="60" w:type="dxa"/>
              <w:start w:w="110" w:type="dxa"/>
              <w:bottom w:w="60" w:type="dxa"/>
              <w:end w:w="110" w:type="dxa"/>
            </w:tcMar>
          </w:tcPr>
          <w:p>
            <w:pPr>
              <w:spacing w:after="0"/>
            </w:pPr>
            <w:r/>
            <w:r>
              <w:rPr>
                <w:rFonts w:ascii="Calibri" w:hAnsi="Calibri"/>
                <w:b w:val="0"/>
                <w:i w:val="0"/>
                <w:color w:val="101828"/>
                <w:sz w:val="16"/>
              </w:rPr>
              <w:t>Zero public exposure of defaulting members; 100% of defaults handled through the documented sequence</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G6</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6"/>
              </w:rPr>
              <w:t>Keep the ledger beyond the reach of every role</w:t>
            </w:r>
          </w:p>
        </w:tc>
        <w:tc>
          <w:tcPr>
            <w:tcW w:type="dxa" w:w="3672"/>
            <w:tcMar>
              <w:top w:w="60" w:type="dxa"/>
              <w:start w:w="110" w:type="dxa"/>
              <w:bottom w:w="60" w:type="dxa"/>
              <w:end w:w="110" w:type="dxa"/>
            </w:tcMar>
            <w:shd w:val="clear" w:color="auto" w:fill="F4F7FB"/>
          </w:tcPr>
          <w:p>
            <w:pPr>
              <w:spacing w:after="0"/>
            </w:pPr>
            <w:r/>
            <w:r>
              <w:rPr>
                <w:rFonts w:ascii="Calibri" w:hAnsi="Calibri"/>
                <w:b w:val="0"/>
                <w:i w:val="0"/>
                <w:color w:val="101828"/>
                <w:sz w:val="16"/>
              </w:rPr>
              <w:t>If any role can amend financial history, no other requirement in this document is worth anything.</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6"/>
              </w:rPr>
              <w:t>Zero edits or deletes to ledger tables; corrections only by reversing entry</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G7</w:t>
            </w:r>
          </w:p>
        </w:tc>
        <w:tc>
          <w:tcPr>
            <w:tcW w:type="dxa" w:w="2664"/>
            <w:tcMar>
              <w:top w:w="60" w:type="dxa"/>
              <w:start w:w="110" w:type="dxa"/>
              <w:bottom w:w="60" w:type="dxa"/>
              <w:end w:w="110" w:type="dxa"/>
            </w:tcMar>
          </w:tcPr>
          <w:p>
            <w:pPr>
              <w:spacing w:after="0"/>
            </w:pPr>
            <w:r/>
            <w:r>
              <w:rPr>
                <w:rFonts w:ascii="Calibri" w:hAnsi="Calibri"/>
                <w:b w:val="0"/>
                <w:i w:val="0"/>
                <w:color w:val="101828"/>
                <w:sz w:val="16"/>
              </w:rPr>
              <w:t>Be usable on a low-end Android phone on a poor connection</w:t>
            </w:r>
          </w:p>
        </w:tc>
        <w:tc>
          <w:tcPr>
            <w:tcW w:type="dxa" w:w="3672"/>
            <w:tcMar>
              <w:top w:w="60" w:type="dxa"/>
              <w:start w:w="110" w:type="dxa"/>
              <w:bottom w:w="60" w:type="dxa"/>
              <w:end w:w="110" w:type="dxa"/>
            </w:tcMar>
          </w:tcPr>
          <w:p>
            <w:pPr>
              <w:spacing w:after="0"/>
            </w:pPr>
            <w:r/>
            <w:r>
              <w:rPr>
                <w:rFonts w:ascii="Calibri" w:hAnsi="Calibri"/>
                <w:b w:val="0"/>
                <w:i w:val="0"/>
                <w:color w:val="101828"/>
                <w:sz w:val="16"/>
              </w:rPr>
              <w:t>This is the actual device and network the target users have. Designing for the flagship phone would design for nobody.</w:t>
            </w:r>
          </w:p>
        </w:tc>
        <w:tc>
          <w:tcPr>
            <w:tcW w:type="dxa" w:w="2520"/>
            <w:tcMar>
              <w:top w:w="60" w:type="dxa"/>
              <w:start w:w="110" w:type="dxa"/>
              <w:bottom w:w="60" w:type="dxa"/>
              <w:end w:w="110" w:type="dxa"/>
            </w:tcMar>
          </w:tcPr>
          <w:p>
            <w:pPr>
              <w:spacing w:after="0"/>
            </w:pPr>
            <w:r/>
            <w:r>
              <w:rPr>
                <w:rFonts w:ascii="Calibri" w:hAnsi="Calibri"/>
                <w:b w:val="0"/>
                <w:i w:val="0"/>
                <w:color w:val="101828"/>
                <w:sz w:val="16"/>
              </w:rPr>
              <w:t>Core flows (join, pay, view) completed on the lowest supported device class over 3G</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G8</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6"/>
              </w:rPr>
              <w:t>Never imply a return on savings</w:t>
            </w:r>
          </w:p>
        </w:tc>
        <w:tc>
          <w:tcPr>
            <w:tcW w:type="dxa" w:w="3672"/>
            <w:tcMar>
              <w:top w:w="60" w:type="dxa"/>
              <w:start w:w="110" w:type="dxa"/>
              <w:bottom w:w="60" w:type="dxa"/>
              <w:end w:w="110" w:type="dxa"/>
            </w:tcMar>
            <w:shd w:val="clear" w:color="auto" w:fill="F4F7FB"/>
          </w:tcPr>
          <w:p>
            <w:pPr>
              <w:spacing w:after="0"/>
            </w:pPr>
            <w:r/>
            <w:r>
              <w:rPr>
                <w:rFonts w:ascii="Calibri" w:hAnsi="Calibri"/>
                <w:b w:val="0"/>
                <w:i w:val="0"/>
                <w:color w:val="101828"/>
                <w:sz w:val="16"/>
              </w:rPr>
              <w:t>An Ajo pays zero interest. Any suggestion otherwise is misleading and dangerous.</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6"/>
              </w:rPr>
              <w:t>Zero marketing or product copy implying yield, interest, investment or financial gain</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G9</w:t>
            </w:r>
          </w:p>
        </w:tc>
        <w:tc>
          <w:tcPr>
            <w:tcW w:type="dxa" w:w="2664"/>
            <w:tcMar>
              <w:top w:w="60" w:type="dxa"/>
              <w:start w:w="110" w:type="dxa"/>
              <w:bottom w:w="60" w:type="dxa"/>
              <w:end w:w="110" w:type="dxa"/>
            </w:tcMar>
          </w:tcPr>
          <w:p>
            <w:pPr>
              <w:spacing w:after="0"/>
            </w:pPr>
            <w:r/>
            <w:r>
              <w:rPr>
                <w:rFonts w:ascii="Calibri" w:hAnsi="Calibri"/>
                <w:b w:val="0"/>
                <w:i w:val="0"/>
                <w:color w:val="101828"/>
                <w:sz w:val="16"/>
              </w:rPr>
              <w:t>Make the organiser's job take minutes, not hours</w:t>
            </w:r>
          </w:p>
        </w:tc>
        <w:tc>
          <w:tcPr>
            <w:tcW w:type="dxa" w:w="3672"/>
            <w:tcMar>
              <w:top w:w="60" w:type="dxa"/>
              <w:start w:w="110" w:type="dxa"/>
              <w:bottom w:w="60" w:type="dxa"/>
              <w:end w:w="110" w:type="dxa"/>
            </w:tcMar>
          </w:tcPr>
          <w:p>
            <w:pPr>
              <w:spacing w:after="0"/>
            </w:pPr>
            <w:r/>
            <w:r>
              <w:rPr>
                <w:rFonts w:ascii="Calibri" w:hAnsi="Calibri"/>
                <w:b w:val="0"/>
                <w:i w:val="0"/>
                <w:color w:val="101828"/>
                <w:sz w:val="16"/>
              </w:rPr>
              <w:t>The organiser is unpaid. If AJO.ng adds work, organisers will leave.</w:t>
            </w:r>
          </w:p>
        </w:tc>
        <w:tc>
          <w:tcPr>
            <w:tcW w:type="dxa" w:w="2520"/>
            <w:tcMar>
              <w:top w:w="60" w:type="dxa"/>
              <w:start w:w="110" w:type="dxa"/>
              <w:bottom w:w="60" w:type="dxa"/>
              <w:end w:w="110" w:type="dxa"/>
            </w:tcMar>
          </w:tcPr>
          <w:p>
            <w:pPr>
              <w:spacing w:after="0"/>
            </w:pPr>
            <w:r/>
            <w:r>
              <w:rPr>
                <w:rFonts w:ascii="Calibri" w:hAnsi="Calibri"/>
                <w:b w:val="0"/>
                <w:i w:val="0"/>
                <w:color w:val="101828"/>
                <w:sz w:val="16"/>
              </w:rPr>
              <w:t>Median organiser time per round on AJO.ng, compared with the traditional 2 to 3 hours per Friday</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G10</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6"/>
              </w:rPr>
              <w:t>Make a completed Ajo produce a lasting record</w:t>
            </w:r>
          </w:p>
        </w:tc>
        <w:tc>
          <w:tcPr>
            <w:tcW w:type="dxa" w:w="3672"/>
            <w:tcMar>
              <w:top w:w="60" w:type="dxa"/>
              <w:start w:w="110" w:type="dxa"/>
              <w:bottom w:w="60" w:type="dxa"/>
              <w:end w:w="110" w:type="dxa"/>
            </w:tcMar>
            <w:shd w:val="clear" w:color="auto" w:fill="F4F7FB"/>
          </w:tcPr>
          <w:p>
            <w:pPr>
              <w:spacing w:after="0"/>
            </w:pPr>
            <w:r/>
            <w:r>
              <w:rPr>
                <w:rFonts w:ascii="Calibri" w:hAnsi="Calibri"/>
                <w:b w:val="0"/>
                <w:i w:val="0"/>
                <w:color w:val="101828"/>
                <w:sz w:val="16"/>
              </w:rPr>
              <w:t>A member who has kept every receipt and every statement has acquired a financial history, which is itself the retention hook.</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6"/>
              </w:rPr>
              <w:t>Percentage of completed Ajos with a full, exportable member statement</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Explicitly not a goal  </w:t>
      </w:r>
      <w:r>
        <w:rPr>
          <w:rFonts w:ascii="Calibri" w:hAnsi="Calibri"/>
          <w:b w:val="0"/>
          <w:i w:val="0"/>
          <w:color w:val="0B1F3A"/>
          <w:sz w:val="19"/>
        </w:rPr>
        <w:t xml:space="preserve">Maximising transaction volume is </w:t>
      </w:r>
      <w:r>
        <w:rPr>
          <w:rFonts w:ascii="Calibri" w:hAnsi="Calibri"/>
          <w:b/>
          <w:color w:val="0B1F3A"/>
          <w:sz w:val="19"/>
        </w:rPr>
        <w:t>not</w:t>
      </w:r>
      <w:r>
        <w:rPr>
          <w:rFonts w:ascii="Calibri" w:hAnsi="Calibri"/>
          <w:b w:val="0"/>
          <w:i w:val="0"/>
          <w:color w:val="0B1F3A"/>
          <w:sz w:val="19"/>
        </w:rPr>
        <w:t xml:space="preserve"> a product goal. Volume at the expense of a funded payout, a legible record or a private default is a negative outcome. Volume is a business measure, listed in section 1.9.</w:t>
      </w:r>
    </w:p>
    <w:p>
      <w:pPr>
        <w:pStyle w:val="Heading2"/>
      </w:pPr>
      <w:r>
        <w:rPr>
          <w:rFonts w:ascii="Calibri" w:hAnsi="Calibri"/>
          <w:b/>
          <w:i w:val="0"/>
          <w:color w:val="146EF5"/>
          <w:sz w:val="29"/>
        </w:rPr>
        <w:t>1.9 Business objectives</w:t>
      </w:r>
    </w:p>
    <w:p>
      <w:r>
        <w:rPr>
          <w:rFonts w:ascii="Calibri" w:hAnsi="Calibri"/>
          <w:b w:val="0"/>
          <w:i w:val="0"/>
          <w:color w:val="101828"/>
          <w:sz w:val="21"/>
        </w:rPr>
        <w:t xml:space="preserve">AJO.ng's revenue model is locked: a </w:t>
      </w:r>
      <w:r>
        <w:rPr>
          <w:rFonts w:ascii="Calibri" w:hAnsi="Calibri"/>
          <w:b/>
          <w:color w:val="101828"/>
          <w:sz w:val="21"/>
        </w:rPr>
        <w:t>2% platform fee on every contribution deposit</w:t>
      </w:r>
      <w:r>
        <w:rPr>
          <w:rFonts w:ascii="Calibri" w:hAnsi="Calibri"/>
          <w:b w:val="0"/>
          <w:i w:val="0"/>
          <w:color w:val="101828"/>
          <w:sz w:val="21"/>
        </w:rPr>
        <w:t xml:space="preserve">. This supersedes the earlier </w:t>
      </w:r>
      <w:r>
        <w:rPr>
          <w:rFonts w:ascii="Calibri" w:hAnsi="Calibri"/>
          <w:i/>
          <w:color w:val="101828"/>
          <w:sz w:val="21"/>
        </w:rPr>
        <w:t>fee model not locked</w:t>
      </w:r>
      <w:r>
        <w:rPr>
          <w:rFonts w:ascii="Calibri" w:hAnsi="Calibri"/>
          <w:b w:val="0"/>
          <w:i w:val="0"/>
          <w:color w:val="101828"/>
          <w:sz w:val="21"/>
        </w:rPr>
        <w:t xml:space="preserve"> note in the existing Year-1 financial model documents, which must be reissued.</w:t>
      </w:r>
    </w:p>
    <w:p>
      <w:pPr>
        <w:pStyle w:val="Heading3"/>
      </w:pPr>
      <w:r>
        <w:rPr>
          <w:rFonts w:ascii="Calibri" w:hAnsi="Calibri"/>
          <w:b/>
          <w:i w:val="0"/>
          <w:color w:val="0B1F3A"/>
          <w:sz w:val="24"/>
        </w:rPr>
        <w:t>1.9.1 The 2% fee mechanic</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232"/>
            <w:shd w:val="clear" w:color="auto" w:fill="0B1F3A"/>
            <w:tcMar>
              <w:top w:w="60" w:type="dxa"/>
              <w:start w:w="110" w:type="dxa"/>
              <w:bottom w:w="60" w:type="dxa"/>
              <w:end w:w="110" w:type="dxa"/>
            </w:tcMar>
          </w:tcPr>
          <w:p>
            <w:pPr>
              <w:spacing w:after="0"/>
            </w:pPr>
            <w:r/>
            <w:r>
              <w:rPr>
                <w:rFonts w:ascii="Calibri" w:hAnsi="Calibri"/>
                <w:b/>
                <w:i w:val="0"/>
                <w:color w:val="FFFFFF"/>
                <w:sz w:val="17"/>
              </w:rPr>
              <w:t>Element</w:t>
            </w:r>
          </w:p>
        </w:tc>
        <w:tc>
          <w:tcPr>
            <w:tcW w:type="dxa" w:w="7128"/>
            <w:shd w:val="clear" w:color="auto" w:fill="0B1F3A"/>
            <w:tcMar>
              <w:top w:w="60" w:type="dxa"/>
              <w:start w:w="110" w:type="dxa"/>
              <w:bottom w:w="60" w:type="dxa"/>
              <w:end w:w="110" w:type="dxa"/>
            </w:tcMar>
          </w:tcPr>
          <w:p>
            <w:pPr>
              <w:spacing w:after="0"/>
            </w:pPr>
            <w:r/>
            <w:r>
              <w:rPr>
                <w:rFonts w:ascii="Calibri" w:hAnsi="Calibri"/>
                <w:b/>
                <w:i w:val="0"/>
                <w:color w:val="FFFFFF"/>
                <w:sz w:val="17"/>
              </w:rPr>
              <w:t>Definition</w:t>
            </w:r>
          </w:p>
        </w:tc>
      </w:tr>
      <w:tr>
        <w:trPr>
          <w:cantSplit/>
        </w:trPr>
        <w:tc>
          <w:tcPr>
            <w:tcW w:type="dxa" w:w="2232"/>
            <w:tcMar>
              <w:top w:w="60" w:type="dxa"/>
              <w:start w:w="110" w:type="dxa"/>
              <w:bottom w:w="60" w:type="dxa"/>
              <w:end w:w="110" w:type="dxa"/>
            </w:tcMar>
          </w:tcPr>
          <w:p>
            <w:pPr>
              <w:spacing w:after="0"/>
            </w:pPr>
            <w:r/>
            <w:r>
              <w:rPr>
                <w:rFonts w:ascii="Calibri" w:hAnsi="Calibri"/>
                <w:b w:val="0"/>
                <w:i w:val="0"/>
                <w:color w:val="101828"/>
                <w:sz w:val="17"/>
              </w:rPr>
              <w:t>Fee rate</w:t>
            </w:r>
          </w:p>
        </w:tc>
        <w:tc>
          <w:tcPr>
            <w:tcW w:type="dxa" w:w="7128"/>
            <w:tcMar>
              <w:top w:w="60" w:type="dxa"/>
              <w:start w:w="110" w:type="dxa"/>
              <w:bottom w:w="60" w:type="dxa"/>
              <w:end w:w="110" w:type="dxa"/>
            </w:tcMar>
          </w:tcPr>
          <w:p>
            <w:pPr>
              <w:spacing w:after="0"/>
            </w:pPr>
            <w:r/>
            <w:r>
              <w:rPr>
                <w:rFonts w:ascii="Calibri" w:hAnsi="Calibri"/>
                <w:b w:val="0"/>
                <w:i w:val="0"/>
                <w:color w:val="101828"/>
                <w:sz w:val="17"/>
              </w:rPr>
              <w:t>2% of the contribution amount, charged in addition to it</w:t>
            </w:r>
          </w:p>
        </w:tc>
      </w:tr>
      <w:tr>
        <w:trPr>
          <w:cantSplit/>
        </w:trPr>
        <w:tc>
          <w:tcPr>
            <w:tcW w:type="dxa" w:w="2232"/>
            <w:tcMar>
              <w:top w:w="60" w:type="dxa"/>
              <w:start w:w="110" w:type="dxa"/>
              <w:bottom w:w="60" w:type="dxa"/>
              <w:end w:w="110" w:type="dxa"/>
            </w:tcMar>
            <w:shd w:val="clear" w:color="auto" w:fill="F4F7FB"/>
          </w:tcPr>
          <w:p>
            <w:pPr>
              <w:spacing w:after="0"/>
            </w:pPr>
            <w:r/>
            <w:r>
              <w:rPr>
                <w:rFonts w:ascii="Calibri" w:hAnsi="Calibri"/>
                <w:b w:val="0"/>
                <w:i w:val="0"/>
                <w:color w:val="101828"/>
                <w:sz w:val="17"/>
              </w:rPr>
              <w:t>Computed as</w:t>
            </w:r>
          </w:p>
        </w:tc>
        <w:tc>
          <w:tcPr>
            <w:tcW w:type="dxa" w:w="7128"/>
            <w:tcMar>
              <w:top w:w="60" w:type="dxa"/>
              <w:start w:w="110" w:type="dxa"/>
              <w:bottom w:w="60" w:type="dxa"/>
              <w:end w:w="110" w:type="dxa"/>
            </w:tcMar>
            <w:shd w:val="clear" w:color="auto" w:fill="F4F7FB"/>
          </w:tcPr>
          <w:p>
            <w:pPr>
              <w:spacing w:after="0"/>
            </w:pPr>
            <w:r/>
            <w:r>
              <w:rPr>
                <w:rFonts w:ascii="Calibri" w:hAnsi="Calibri"/>
                <w:b w:val="0"/>
                <w:i w:val="0"/>
                <w:color w:val="101828"/>
                <w:sz w:val="17"/>
              </w:rPr>
              <w:t>fee = (amount_kobo * 200 + 5000) / 10000, integer half-up rounding</w:t>
            </w:r>
          </w:p>
        </w:tc>
      </w:tr>
      <w:tr>
        <w:trPr>
          <w:cantSplit/>
        </w:trPr>
        <w:tc>
          <w:tcPr>
            <w:tcW w:type="dxa" w:w="2232"/>
            <w:tcMar>
              <w:top w:w="60" w:type="dxa"/>
              <w:start w:w="110" w:type="dxa"/>
              <w:bottom w:w="60" w:type="dxa"/>
              <w:end w:w="110" w:type="dxa"/>
            </w:tcMar>
          </w:tcPr>
          <w:p>
            <w:pPr>
              <w:spacing w:after="0"/>
            </w:pPr>
            <w:r/>
            <w:r>
              <w:rPr>
                <w:rFonts w:ascii="Calibri" w:hAnsi="Calibri"/>
                <w:b w:val="0"/>
                <w:i w:val="0"/>
                <w:color w:val="101828"/>
                <w:sz w:val="17"/>
              </w:rPr>
              <w:t>Ledger account</w:t>
            </w:r>
          </w:p>
        </w:tc>
        <w:tc>
          <w:tcPr>
            <w:tcW w:type="dxa" w:w="7128"/>
            <w:tcMar>
              <w:top w:w="60" w:type="dxa"/>
              <w:start w:w="110" w:type="dxa"/>
              <w:bottom w:w="60" w:type="dxa"/>
              <w:end w:w="110" w:type="dxa"/>
            </w:tcMar>
          </w:tcPr>
          <w:p>
            <w:pPr>
              <w:spacing w:after="0"/>
            </w:pPr>
            <w:r/>
            <w:r>
              <w:rPr>
                <w:rFonts w:ascii="Calibri" w:hAnsi="Calibri"/>
                <w:b w:val="0"/>
                <w:i w:val="0"/>
                <w:color w:val="101828"/>
                <w:sz w:val="17"/>
              </w:rPr>
              <w:t>Fees are recorded as fees_income, separately from contributions</w:t>
            </w:r>
          </w:p>
        </w:tc>
      </w:tr>
      <w:tr>
        <w:trPr>
          <w:cantSplit/>
        </w:trPr>
        <w:tc>
          <w:tcPr>
            <w:tcW w:type="dxa" w:w="2232"/>
            <w:tcMar>
              <w:top w:w="60" w:type="dxa"/>
              <w:start w:w="110" w:type="dxa"/>
              <w:bottom w:w="60" w:type="dxa"/>
              <w:end w:w="110" w:type="dxa"/>
            </w:tcMar>
            <w:shd w:val="clear" w:color="auto" w:fill="F4F7FB"/>
          </w:tcPr>
          <w:p>
            <w:pPr>
              <w:spacing w:after="0"/>
            </w:pPr>
            <w:r/>
            <w:r>
              <w:rPr>
                <w:rFonts w:ascii="Calibri" w:hAnsi="Calibri"/>
                <w:b w:val="0"/>
                <w:i w:val="0"/>
                <w:color w:val="101828"/>
                <w:sz w:val="17"/>
              </w:rPr>
              <w:t>Deducted from the contribution?</w:t>
            </w:r>
          </w:p>
        </w:tc>
        <w:tc>
          <w:tcPr>
            <w:tcW w:type="dxa" w:w="7128"/>
            <w:tcMar>
              <w:top w:w="60" w:type="dxa"/>
              <w:start w:w="110" w:type="dxa"/>
              <w:bottom w:w="60" w:type="dxa"/>
              <w:end w:w="110" w:type="dxa"/>
            </w:tcMar>
            <w:shd w:val="clear" w:color="auto" w:fill="F4F7FB"/>
          </w:tcPr>
          <w:p>
            <w:pPr>
              <w:spacing w:after="0"/>
            </w:pPr>
            <w:r/>
            <w:r>
              <w:rPr>
                <w:rFonts w:ascii="Calibri" w:hAnsi="Calibri"/>
                <w:b/>
                <w:color w:val="101828"/>
                <w:sz w:val="17"/>
              </w:rPr>
              <w:t>Never.</w:t>
            </w:r>
            <w:r>
              <w:rPr>
                <w:rFonts w:ascii="Calibri" w:hAnsi="Calibri"/>
                <w:b w:val="0"/>
                <w:i w:val="0"/>
                <w:color w:val="101828"/>
                <w:sz w:val="17"/>
              </w:rPr>
              <w:t xml:space="preserve"> The contribution is never reduced to make room for the fee.</w:t>
            </w:r>
          </w:p>
        </w:tc>
      </w:tr>
      <w:tr>
        <w:trPr>
          <w:cantSplit/>
        </w:trPr>
        <w:tc>
          <w:tcPr>
            <w:tcW w:type="dxa" w:w="2232"/>
            <w:tcMar>
              <w:top w:w="60" w:type="dxa"/>
              <w:start w:w="110" w:type="dxa"/>
              <w:bottom w:w="60" w:type="dxa"/>
              <w:end w:w="110" w:type="dxa"/>
            </w:tcMar>
          </w:tcPr>
          <w:p>
            <w:pPr>
              <w:spacing w:after="0"/>
            </w:pPr>
            <w:r/>
            <w:r>
              <w:rPr>
                <w:rFonts w:ascii="Calibri" w:hAnsi="Calibri"/>
                <w:b w:val="0"/>
                <w:i w:val="0"/>
                <w:color w:val="101828"/>
                <w:sz w:val="17"/>
              </w:rPr>
              <w:t>Deducted from the payout?</w:t>
            </w:r>
          </w:p>
        </w:tc>
        <w:tc>
          <w:tcPr>
            <w:tcW w:type="dxa" w:w="7128"/>
            <w:tcMar>
              <w:top w:w="60" w:type="dxa"/>
              <w:start w:w="110" w:type="dxa"/>
              <w:bottom w:w="60" w:type="dxa"/>
              <w:end w:w="110" w:type="dxa"/>
            </w:tcMar>
          </w:tcPr>
          <w:p>
            <w:pPr>
              <w:spacing w:after="0"/>
            </w:pPr>
            <w:r/>
            <w:r>
              <w:rPr>
                <w:rFonts w:ascii="Calibri" w:hAnsi="Calibri"/>
                <w:b/>
                <w:color w:val="101828"/>
                <w:sz w:val="17"/>
              </w:rPr>
              <w:t>Never.</w:t>
            </w:r>
            <w:r>
              <w:rPr>
                <w:rFonts w:ascii="Calibri" w:hAnsi="Calibri"/>
                <w:b w:val="0"/>
                <w:i w:val="0"/>
                <w:color w:val="101828"/>
                <w:sz w:val="17"/>
              </w:rPr>
              <w:t xml:space="preserve"> The payout the member was promised is exactly the base pool.</w:t>
            </w:r>
          </w:p>
        </w:tc>
      </w:tr>
      <w:tr>
        <w:trPr>
          <w:cantSplit/>
        </w:trPr>
        <w:tc>
          <w:tcPr>
            <w:tcW w:type="dxa" w:w="2232"/>
            <w:tcMar>
              <w:top w:w="60" w:type="dxa"/>
              <w:start w:w="110" w:type="dxa"/>
              <w:bottom w:w="60" w:type="dxa"/>
              <w:end w:w="110" w:type="dxa"/>
            </w:tcMar>
            <w:shd w:val="clear" w:color="auto" w:fill="F4F7FB"/>
          </w:tcPr>
          <w:p>
            <w:pPr>
              <w:spacing w:after="0"/>
            </w:pPr>
            <w:r/>
            <w:r>
              <w:rPr>
                <w:rFonts w:ascii="Calibri" w:hAnsi="Calibri"/>
                <w:b w:val="0"/>
                <w:i w:val="0"/>
                <w:color w:val="101828"/>
                <w:sz w:val="17"/>
              </w:rPr>
              <w:t>Who can change it?</w:t>
            </w:r>
          </w:p>
        </w:tc>
        <w:tc>
          <w:tcPr>
            <w:tcW w:type="dxa" w:w="7128"/>
            <w:tcMar>
              <w:top w:w="60" w:type="dxa"/>
              <w:start w:w="110" w:type="dxa"/>
              <w:bottom w:w="60" w:type="dxa"/>
              <w:end w:w="110" w:type="dxa"/>
            </w:tcMar>
            <w:shd w:val="clear" w:color="auto" w:fill="F4F7FB"/>
          </w:tcPr>
          <w:p>
            <w:pPr>
              <w:spacing w:after="0"/>
            </w:pPr>
            <w:r/>
            <w:r>
              <w:rPr>
                <w:rFonts w:ascii="Calibri" w:hAnsi="Calibri"/>
                <w:b w:val="0"/>
                <w:i w:val="0"/>
                <w:color w:val="101828"/>
                <w:sz w:val="17"/>
              </w:rPr>
              <w:t xml:space="preserve">Configuration only, by a role that cannot edit the ledger. </w:t>
            </w:r>
            <w:r>
              <w:rPr>
                <w:rFonts w:ascii="Consolas" w:hAnsi="Consolas"/>
                <w:color w:val="146EF5"/>
                <w:sz w:val="17"/>
              </w:rPr>
              <w:t>risk_officer</w:t>
            </w:r>
            <w:r>
              <w:rPr>
                <w:rFonts w:ascii="Calibri" w:hAnsi="Calibri"/>
                <w:b w:val="0"/>
                <w:i w:val="0"/>
                <w:color w:val="101828"/>
                <w:sz w:val="17"/>
              </w:rPr>
              <w:t xml:space="preserve"> </w:t>
            </w:r>
            <w:r>
              <w:rPr>
                <w:rFonts w:ascii="Calibri" w:hAnsi="Calibri"/>
                <w:b/>
                <w:color w:val="101828"/>
                <w:sz w:val="17"/>
              </w:rPr>
              <w:t>cannot</w:t>
            </w:r>
            <w:r>
              <w:rPr>
                <w:rFonts w:ascii="Calibri" w:hAnsi="Calibri"/>
                <w:b w:val="0"/>
                <w:i w:val="0"/>
                <w:color w:val="101828"/>
                <w:sz w:val="17"/>
              </w:rPr>
              <w:t xml:space="preserve"> change fee configuration (see section 1.12).</w:t>
            </w:r>
          </w:p>
        </w:tc>
      </w:tr>
      <w:tr>
        <w:trPr>
          <w:cantSplit/>
        </w:trPr>
        <w:tc>
          <w:tcPr>
            <w:tcW w:type="dxa" w:w="2232"/>
            <w:tcMar>
              <w:top w:w="60" w:type="dxa"/>
              <w:start w:w="110" w:type="dxa"/>
              <w:bottom w:w="60" w:type="dxa"/>
              <w:end w:w="110" w:type="dxa"/>
            </w:tcMar>
          </w:tcPr>
          <w:p>
            <w:pPr>
              <w:spacing w:after="0"/>
            </w:pPr>
            <w:r/>
            <w:r>
              <w:rPr>
                <w:rFonts w:ascii="Calibri" w:hAnsi="Calibri"/>
                <w:b w:val="0"/>
                <w:i w:val="0"/>
                <w:color w:val="101828"/>
                <w:sz w:val="17"/>
              </w:rPr>
              <w:t>Disclosure</w:t>
            </w:r>
          </w:p>
        </w:tc>
        <w:tc>
          <w:tcPr>
            <w:tcW w:type="dxa" w:w="7128"/>
            <w:tcMar>
              <w:top w:w="60" w:type="dxa"/>
              <w:start w:w="110" w:type="dxa"/>
              <w:bottom w:w="60" w:type="dxa"/>
              <w:end w:w="110" w:type="dxa"/>
            </w:tcMar>
          </w:tcPr>
          <w:p>
            <w:pPr>
              <w:spacing w:after="0"/>
            </w:pPr>
            <w:r/>
            <w:r>
              <w:rPr>
                <w:rFonts w:ascii="Calibri" w:hAnsi="Calibri"/>
                <w:b w:val="0"/>
                <w:i w:val="0"/>
                <w:color w:val="101828"/>
                <w:sz w:val="17"/>
              </w:rPr>
              <w:t>Shown separately from the contribution on every receipt, in every Ajo details screen, and in the invitation and join confirmation, before the member commits.</w:t>
            </w:r>
          </w:p>
        </w:tc>
      </w:tr>
    </w:tbl>
    <w:p>
      <w:pPr>
        <w:spacing w:after="80"/>
      </w:pPr>
    </w:p>
    <w:p>
      <w:pPr>
        <w:pStyle w:val="Heading3"/>
      </w:pPr>
      <w:r>
        <w:rPr>
          <w:rFonts w:ascii="Calibri" w:hAnsi="Calibri"/>
          <w:b/>
          <w:i w:val="0"/>
          <w:color w:val="0B1F3A"/>
          <w:sz w:val="24"/>
        </w:rPr>
        <w:t>1.9.2 Canonical worked example — must be quoted identically everywhere</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5040"/>
            <w:shd w:val="clear" w:color="auto" w:fill="0B1F3A"/>
            <w:tcMar>
              <w:top w:w="60" w:type="dxa"/>
              <w:start w:w="110" w:type="dxa"/>
              <w:bottom w:w="60" w:type="dxa"/>
              <w:end w:w="110" w:type="dxa"/>
            </w:tcMar>
          </w:tcPr>
          <w:p>
            <w:pPr>
              <w:spacing w:after="0"/>
            </w:pPr>
            <w:r/>
            <w:r>
              <w:rPr>
                <w:rFonts w:ascii="Calibri" w:hAnsi="Calibri"/>
                <w:b/>
                <w:i w:val="0"/>
                <w:color w:val="FFFFFF"/>
                <w:sz w:val="17"/>
              </w:rPr>
              <w:t>Item</w:t>
            </w:r>
          </w:p>
        </w:tc>
        <w:tc>
          <w:tcPr>
            <w:tcW w:type="dxa" w:w="4320"/>
            <w:shd w:val="clear" w:color="auto" w:fill="0B1F3A"/>
            <w:tcMar>
              <w:top w:w="60" w:type="dxa"/>
              <w:start w:w="110" w:type="dxa"/>
              <w:bottom w:w="60" w:type="dxa"/>
              <w:end w:w="110" w:type="dxa"/>
            </w:tcMar>
          </w:tcPr>
          <w:p>
            <w:pPr>
              <w:spacing w:after="0"/>
            </w:pPr>
            <w:r/>
            <w:r>
              <w:rPr>
                <w:rFonts w:ascii="Calibri" w:hAnsi="Calibri"/>
                <w:b/>
                <w:i w:val="0"/>
                <w:color w:val="FFFFFF"/>
                <w:sz w:val="17"/>
              </w:rPr>
              <w:t>Value</w:t>
            </w:r>
          </w:p>
        </w:tc>
      </w:tr>
      <w:tr>
        <w:trPr>
          <w:cantSplit/>
        </w:trPr>
        <w:tc>
          <w:tcPr>
            <w:tcW w:type="dxa" w:w="5040"/>
            <w:tcMar>
              <w:top w:w="60" w:type="dxa"/>
              <w:start w:w="110" w:type="dxa"/>
              <w:bottom w:w="60" w:type="dxa"/>
              <w:end w:w="110" w:type="dxa"/>
            </w:tcMar>
          </w:tcPr>
          <w:p>
            <w:pPr>
              <w:spacing w:after="0"/>
            </w:pPr>
            <w:r/>
            <w:r>
              <w:rPr>
                <w:rFonts w:ascii="Calibri" w:hAnsi="Calibri"/>
                <w:b w:val="0"/>
                <w:i w:val="0"/>
                <w:color w:val="101828"/>
                <w:sz w:val="17"/>
              </w:rPr>
              <w:t>Members</w:t>
            </w:r>
          </w:p>
        </w:tc>
        <w:tc>
          <w:tcPr>
            <w:tcW w:type="dxa" w:w="4320"/>
            <w:tcMar>
              <w:top w:w="60" w:type="dxa"/>
              <w:start w:w="110" w:type="dxa"/>
              <w:bottom w:w="60" w:type="dxa"/>
              <w:end w:w="110" w:type="dxa"/>
            </w:tcMar>
          </w:tcPr>
          <w:p>
            <w:pPr>
              <w:spacing w:after="0"/>
            </w:pPr>
            <w:r/>
            <w:r>
              <w:rPr>
                <w:rFonts w:ascii="Calibri" w:hAnsi="Calibri"/>
                <w:b w:val="0"/>
                <w:i w:val="0"/>
                <w:color w:val="101828"/>
                <w:sz w:val="17"/>
              </w:rPr>
              <w:t>10</w:t>
            </w:r>
          </w:p>
        </w:tc>
      </w:tr>
      <w:tr>
        <w:trPr>
          <w:cantSplit/>
        </w:trPr>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7"/>
              </w:rPr>
              <w:t>Contribution per member per round</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7"/>
              </w:rPr>
              <w:t>NGN 1,000.00</w:t>
            </w:r>
          </w:p>
        </w:tc>
      </w:tr>
      <w:tr>
        <w:trPr>
          <w:cantSplit/>
        </w:trPr>
        <w:tc>
          <w:tcPr>
            <w:tcW w:type="dxa" w:w="5040"/>
            <w:tcMar>
              <w:top w:w="60" w:type="dxa"/>
              <w:start w:w="110" w:type="dxa"/>
              <w:bottom w:w="60" w:type="dxa"/>
              <w:end w:w="110" w:type="dxa"/>
            </w:tcMar>
          </w:tcPr>
          <w:p>
            <w:pPr>
              <w:spacing w:after="0"/>
            </w:pPr>
            <w:r/>
            <w:r>
              <w:rPr>
                <w:rFonts w:ascii="Calibri" w:hAnsi="Calibri"/>
                <w:b w:val="0"/>
                <w:i w:val="0"/>
                <w:color w:val="101828"/>
                <w:sz w:val="17"/>
              </w:rPr>
              <w:t>Platform fee (2%)</w:t>
            </w:r>
          </w:p>
        </w:tc>
        <w:tc>
          <w:tcPr>
            <w:tcW w:type="dxa" w:w="4320"/>
            <w:tcMar>
              <w:top w:w="60" w:type="dxa"/>
              <w:start w:w="110" w:type="dxa"/>
              <w:bottom w:w="60" w:type="dxa"/>
              <w:end w:w="110" w:type="dxa"/>
            </w:tcMar>
          </w:tcPr>
          <w:p>
            <w:pPr>
              <w:spacing w:after="0"/>
            </w:pPr>
            <w:r/>
            <w:r>
              <w:rPr>
                <w:rFonts w:ascii="Calibri" w:hAnsi="Calibri"/>
                <w:b w:val="0"/>
                <w:i w:val="0"/>
                <w:color w:val="101828"/>
                <w:sz w:val="17"/>
              </w:rPr>
              <w:t>NGN 20.00</w:t>
            </w:r>
          </w:p>
        </w:tc>
      </w:tr>
      <w:tr>
        <w:trPr>
          <w:cantSplit/>
        </w:trPr>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7"/>
              </w:rPr>
              <w:t>Total charged per member</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7"/>
              </w:rPr>
              <w:t>NGN 1,020.00</w:t>
            </w:r>
          </w:p>
        </w:tc>
      </w:tr>
      <w:tr>
        <w:trPr>
          <w:cantSplit/>
        </w:trPr>
        <w:tc>
          <w:tcPr>
            <w:tcW w:type="dxa" w:w="5040"/>
            <w:tcMar>
              <w:top w:w="60" w:type="dxa"/>
              <w:start w:w="110" w:type="dxa"/>
              <w:bottom w:w="60" w:type="dxa"/>
              <w:end w:w="110" w:type="dxa"/>
            </w:tcMar>
          </w:tcPr>
          <w:p>
            <w:pPr>
              <w:spacing w:after="0"/>
            </w:pPr>
            <w:r/>
            <w:r>
              <w:rPr>
                <w:rFonts w:ascii="Calibri" w:hAnsi="Calibri"/>
                <w:b w:val="0"/>
                <w:i w:val="0"/>
                <w:color w:val="101828"/>
                <w:sz w:val="17"/>
              </w:rPr>
              <w:t>Base pool paid to recipient</w:t>
            </w:r>
          </w:p>
        </w:tc>
        <w:tc>
          <w:tcPr>
            <w:tcW w:type="dxa" w:w="4320"/>
            <w:tcMar>
              <w:top w:w="60" w:type="dxa"/>
              <w:start w:w="110" w:type="dxa"/>
              <w:bottom w:w="60" w:type="dxa"/>
              <w:end w:w="110" w:type="dxa"/>
            </w:tcMar>
          </w:tcPr>
          <w:p>
            <w:pPr>
              <w:spacing w:after="0"/>
            </w:pPr>
            <w:r/>
            <w:r>
              <w:rPr>
                <w:rFonts w:ascii="Calibri" w:hAnsi="Calibri"/>
                <w:b w:val="0"/>
                <w:i w:val="0"/>
                <w:color w:val="101828"/>
                <w:sz w:val="17"/>
              </w:rPr>
              <w:t>NGN 10,000.00</w:t>
            </w:r>
          </w:p>
        </w:tc>
      </w:tr>
      <w:tr>
        <w:trPr>
          <w:cantSplit/>
        </w:trPr>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7"/>
              </w:rPr>
              <w:t>Total collected in the round</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7"/>
              </w:rPr>
              <w:t>NGN 10,200.00</w:t>
            </w:r>
          </w:p>
        </w:tc>
      </w:tr>
      <w:tr>
        <w:trPr>
          <w:cantSplit/>
        </w:trPr>
        <w:tc>
          <w:tcPr>
            <w:tcW w:type="dxa" w:w="5040"/>
            <w:tcMar>
              <w:top w:w="60" w:type="dxa"/>
              <w:start w:w="110" w:type="dxa"/>
              <w:bottom w:w="60" w:type="dxa"/>
              <w:end w:w="110" w:type="dxa"/>
            </w:tcMar>
          </w:tcPr>
          <w:p>
            <w:pPr>
              <w:spacing w:after="0"/>
            </w:pPr>
            <w:r/>
            <w:r>
              <w:rPr>
                <w:rFonts w:ascii="Calibri" w:hAnsi="Calibri"/>
                <w:b w:val="0"/>
                <w:i w:val="0"/>
                <w:color w:val="101828"/>
                <w:sz w:val="17"/>
              </w:rPr>
              <w:t>Platform fee retained in the round</w:t>
            </w:r>
          </w:p>
        </w:tc>
        <w:tc>
          <w:tcPr>
            <w:tcW w:type="dxa" w:w="4320"/>
            <w:tcMar>
              <w:top w:w="60" w:type="dxa"/>
              <w:start w:w="110" w:type="dxa"/>
              <w:bottom w:w="60" w:type="dxa"/>
              <w:end w:w="110" w:type="dxa"/>
            </w:tcMar>
          </w:tcPr>
          <w:p>
            <w:pPr>
              <w:spacing w:after="0"/>
            </w:pPr>
            <w:r/>
            <w:r>
              <w:rPr>
                <w:rFonts w:ascii="Calibri" w:hAnsi="Calibri"/>
                <w:b w:val="0"/>
                <w:i w:val="0"/>
                <w:color w:val="101828"/>
                <w:sz w:val="17"/>
              </w:rPr>
              <w:t>NGN 200.00</w:t>
            </w:r>
          </w:p>
        </w:tc>
      </w:tr>
      <w:tr>
        <w:trPr>
          <w:cantSplit/>
        </w:trPr>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7"/>
              </w:rPr>
              <w:t>Rounds</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7"/>
              </w:rPr>
              <w:t>10</w:t>
            </w:r>
          </w:p>
        </w:tc>
      </w:tr>
      <w:tr>
        <w:trPr>
          <w:cantSplit/>
        </w:trPr>
        <w:tc>
          <w:tcPr>
            <w:tcW w:type="dxa" w:w="5040"/>
            <w:tcMar>
              <w:top w:w="60" w:type="dxa"/>
              <w:start w:w="110" w:type="dxa"/>
              <w:bottom w:w="60" w:type="dxa"/>
              <w:end w:w="110" w:type="dxa"/>
            </w:tcMar>
          </w:tcPr>
          <w:p>
            <w:pPr>
              <w:spacing w:after="0"/>
            </w:pPr>
            <w:r/>
            <w:r>
              <w:rPr>
                <w:rFonts w:ascii="Calibri" w:hAnsi="Calibri"/>
                <w:b w:val="0"/>
                <w:i w:val="0"/>
                <w:color w:val="101828"/>
                <w:sz w:val="17"/>
              </w:rPr>
              <w:t>Total paid in by one member</w:t>
            </w:r>
          </w:p>
        </w:tc>
        <w:tc>
          <w:tcPr>
            <w:tcW w:type="dxa" w:w="4320"/>
            <w:tcMar>
              <w:top w:w="60" w:type="dxa"/>
              <w:start w:w="110" w:type="dxa"/>
              <w:bottom w:w="60" w:type="dxa"/>
              <w:end w:w="110" w:type="dxa"/>
            </w:tcMar>
          </w:tcPr>
          <w:p>
            <w:pPr>
              <w:spacing w:after="0"/>
            </w:pPr>
            <w:r/>
            <w:r>
              <w:rPr>
                <w:rFonts w:ascii="Calibri" w:hAnsi="Calibri"/>
                <w:b w:val="0"/>
                <w:i w:val="0"/>
                <w:color w:val="101828"/>
                <w:sz w:val="17"/>
              </w:rPr>
              <w:t>NGN 10,200.00</w:t>
            </w:r>
          </w:p>
        </w:tc>
      </w:tr>
      <w:tr>
        <w:trPr>
          <w:cantSplit/>
        </w:trPr>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7"/>
              </w:rPr>
              <w:t>Total received by recipient at their turn</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7"/>
              </w:rPr>
              <w:t>NGN 10,000.00</w:t>
            </w:r>
          </w:p>
        </w:tc>
      </w:tr>
      <w:tr>
        <w:trPr>
          <w:cantSplit/>
        </w:trPr>
        <w:tc>
          <w:tcPr>
            <w:tcW w:type="dxa" w:w="5040"/>
            <w:tcMar>
              <w:top w:w="60" w:type="dxa"/>
              <w:start w:w="110" w:type="dxa"/>
              <w:bottom w:w="60" w:type="dxa"/>
              <w:end w:w="110" w:type="dxa"/>
            </w:tcMar>
          </w:tcPr>
          <w:p>
            <w:pPr>
              <w:spacing w:after="0"/>
            </w:pPr>
            <w:r/>
            <w:r>
              <w:rPr>
                <w:rFonts w:ascii="Calibri" w:hAnsi="Calibri"/>
                <w:b w:val="0"/>
                <w:i w:val="0"/>
                <w:color w:val="101828"/>
                <w:sz w:val="17"/>
              </w:rPr>
              <w:t>Platform fee over the full Ajo</w:t>
            </w:r>
          </w:p>
        </w:tc>
        <w:tc>
          <w:tcPr>
            <w:tcW w:type="dxa" w:w="4320"/>
            <w:tcMar>
              <w:top w:w="60" w:type="dxa"/>
              <w:start w:w="110" w:type="dxa"/>
              <w:bottom w:w="60" w:type="dxa"/>
              <w:end w:w="110" w:type="dxa"/>
            </w:tcMar>
          </w:tcPr>
          <w:p>
            <w:pPr>
              <w:spacing w:after="0"/>
            </w:pPr>
            <w:r/>
            <w:r>
              <w:rPr>
                <w:rFonts w:ascii="Calibri" w:hAnsi="Calibri"/>
                <w:b w:val="0"/>
                <w:i w:val="0"/>
                <w:color w:val="101828"/>
                <w:sz w:val="17"/>
              </w:rPr>
              <w:t>NGN 2,000.00</w:t>
            </w:r>
          </w:p>
        </w:tc>
      </w:tr>
      <w:tr>
        <w:trPr>
          <w:cantSplit/>
        </w:trPr>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7"/>
              </w:rPr>
              <w:t>Total collected across the Ajo</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7"/>
              </w:rPr>
              <w:t>NGN 102,000.00</w:t>
            </w:r>
          </w:p>
        </w:tc>
      </w:tr>
    </w:tbl>
    <w:p>
      <w:pPr>
        <w:spacing w:after="80"/>
      </w:pPr>
    </w:p>
    <w:p>
      <w:pPr>
        <w:spacing w:before="140" w:after="180"/>
        <w:ind w:left="144"/>
        <w:shd w:val="clear" w:color="auto" w:fill="FEF3C7"/>
        <w:pBdr>
          <w:left w:val="single" w:sz="18" w:space="6" w:color="FBBF24"/>
        </w:pBdr>
      </w:pPr>
      <w:r>
        <w:rPr>
          <w:rFonts w:ascii="Calibri" w:hAnsi="Calibri"/>
          <w:b/>
          <w:color w:val="FBBF24"/>
          <w:sz w:val="19"/>
        </w:rPr>
        <w:t xml:space="preserve">The two numbers that must never be confused  </w:t>
      </w:r>
      <w:r>
        <w:rPr>
          <w:rFonts w:ascii="Calibri" w:hAnsi="Calibri"/>
          <w:b w:val="0"/>
          <w:i w:val="0"/>
          <w:color w:val="0B1F3A"/>
          <w:sz w:val="19"/>
        </w:rPr>
        <w:t xml:space="preserve">The recipient receives </w:t>
      </w:r>
      <w:r>
        <w:rPr>
          <w:rFonts w:ascii="Calibri" w:hAnsi="Calibri"/>
          <w:b/>
          <w:color w:val="0B1F3A"/>
          <w:sz w:val="19"/>
        </w:rPr>
        <w:t>NGN 10,000.00</w:t>
      </w:r>
      <w:r>
        <w:rPr>
          <w:rFonts w:ascii="Calibri" w:hAnsi="Calibri"/>
          <w:b w:val="0"/>
          <w:i w:val="0"/>
          <w:color w:val="0B1F3A"/>
          <w:sz w:val="19"/>
        </w:rPr>
        <w:t>. They do not receive NGN 10,200.00. The difference, NGN 200.00, is the platform's fee for that round and belongs to AJO.ng. Any interface, statement, receipt or marketing asset that shows the recipient receiving the collected total rather than the base pool is a misrepresentation of the product and a breach of the promise the fee model is built to protect.</w:t>
      </w:r>
    </w:p>
    <w:p>
      <w:pPr>
        <w:spacing w:before="140" w:after="180"/>
        <w:ind w:left="144"/>
        <w:shd w:val="clear" w:color="auto" w:fill="E0F2FE"/>
        <w:pBdr>
          <w:left w:val="single" w:sz="18" w:space="6" w:color="22C7D6"/>
        </w:pBdr>
      </w:pPr>
      <w:r>
        <w:rPr>
          <w:rFonts w:ascii="Calibri" w:hAnsi="Calibri"/>
          <w:b/>
          <w:color w:val="22C7D6"/>
          <w:sz w:val="19"/>
        </w:rPr>
        <w:t xml:space="preserve">D-01 — resolved in this specification  </w:t>
      </w:r>
      <w:r>
        <w:rPr>
          <w:rFonts w:ascii="Calibri" w:hAnsi="Calibri"/>
          <w:b w:val="0"/>
          <w:i w:val="0"/>
          <w:color w:val="0B1F3A"/>
          <w:sz w:val="19"/>
        </w:rPr>
        <w:t xml:space="preserve">CANONICAL.md D-01 asked whether the recipient receives the base pool (NGN 10,000.00) or the full collected pool (NGN 10,200.00). </w:t>
      </w:r>
      <w:r>
        <w:rPr>
          <w:rFonts w:ascii="Calibri" w:hAnsi="Calibri"/>
          <w:b/>
          <w:color w:val="0B1F3A"/>
          <w:sz w:val="19"/>
        </w:rPr>
        <w:t>This specification assumes the base pool.</w:t>
      </w:r>
      <w:r>
        <w:rPr>
          <w:rFonts w:ascii="Calibri" w:hAnsi="Calibri"/>
          <w:b w:val="0"/>
          <w:i w:val="0"/>
          <w:color w:val="0B1F3A"/>
          <w:sz w:val="19"/>
        </w:rPr>
        <w:t xml:space="preserve"> That assumption must be confirmed formally by the Founders and reflected in the terms, the interface and the marketing copy before launch. If it is ever changed, the change is a material change to the product promise and requires reissue of this document, the terms of service and all fee disclosures.</w:t>
      </w:r>
    </w:p>
    <w:p>
      <w:pPr>
        <w:pStyle w:val="Heading3"/>
      </w:pPr>
      <w:r>
        <w:rPr>
          <w:rFonts w:ascii="Calibri" w:hAnsi="Calibri"/>
          <w:b/>
          <w:i w:val="0"/>
          <w:color w:val="0B1F3A"/>
          <w:sz w:val="24"/>
        </w:rPr>
        <w:t>1.9.3 Year-1 scenarios</w:t>
      </w:r>
    </w:p>
    <w:p>
      <w:r>
        <w:rPr>
          <w:rFonts w:ascii="Calibri" w:hAnsi="Calibri"/>
          <w:b w:val="0"/>
          <w:i w:val="0"/>
          <w:color w:val="101828"/>
          <w:sz w:val="21"/>
        </w:rPr>
        <w:t xml:space="preserve">The three scenarios below are aligned to the existing financial model spreadsheet. They are </w:t>
      </w:r>
      <w:r>
        <w:rPr>
          <w:rFonts w:ascii="Calibri" w:hAnsi="Calibri"/>
          <w:b/>
          <w:color w:val="101828"/>
          <w:sz w:val="21"/>
        </w:rPr>
        <w:t>projections, not forecasts or commitments</w:t>
      </w:r>
      <w:r>
        <w:rPr>
          <w:rFonts w:ascii="Calibri" w:hAnsi="Calibri"/>
          <w:b w:val="0"/>
          <w:i w:val="0"/>
          <w:color w:val="101828"/>
          <w:sz w:val="21"/>
        </w:rPr>
        <w:t>, and no customer or transaction data exists to validate them. The model is a planning artefact whose purpose is to size the operation, not to promise investors.</w:t>
      </w:r>
    </w:p>
    <w:tbl>
      <w:tblPr>
        <w:tblStyle w:val="TableGrid"/>
        <w:tblW w:type="auto" w:w="0"/>
        <w:jc w:val="center"/>
        <w:tblLayout w:type="autofit"/>
        <w:tblLook w:firstColumn="1" w:firstRow="1" w:lastColumn="0" w:lastRow="0" w:noHBand="0" w:noVBand="1" w:val="04A0"/>
      </w:tblPr>
      <w:tblGrid>
        <w:gridCol w:w="1051"/>
        <w:gridCol w:w="1051"/>
        <w:gridCol w:w="1051"/>
        <w:gridCol w:w="1051"/>
        <w:gridCol w:w="1051"/>
        <w:gridCol w:w="1051"/>
        <w:gridCol w:w="1051"/>
        <w:gridCol w:w="1051"/>
        <w:gridCol w:w="1051"/>
      </w:tblGrid>
      <w:tr>
        <w:trPr>
          <w:tblHeader/>
          <w:cantSplit/>
        </w:trPr>
        <w:tc>
          <w:tcPr>
            <w:tcW w:type="dxa" w:w="1224"/>
            <w:shd w:val="clear" w:color="auto" w:fill="0B1F3A"/>
            <w:tcMar>
              <w:top w:w="60" w:type="dxa"/>
              <w:start w:w="110" w:type="dxa"/>
              <w:bottom w:w="60" w:type="dxa"/>
              <w:end w:w="110" w:type="dxa"/>
            </w:tcMar>
          </w:tcPr>
          <w:p>
            <w:pPr>
              <w:spacing w:after="0"/>
            </w:pPr>
            <w:r/>
            <w:r>
              <w:rPr>
                <w:rFonts w:ascii="Calibri" w:hAnsi="Calibri"/>
                <w:b/>
                <w:i w:val="0"/>
                <w:color w:val="FFFFFF"/>
                <w:sz w:val="15"/>
              </w:rPr>
              <w:t>Scenario</w:t>
            </w:r>
          </w:p>
        </w:tc>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5"/>
              </w:rPr>
              <w:t>Ajos</w:t>
            </w:r>
          </w:p>
        </w:tc>
        <w:tc>
          <w:tcPr>
            <w:tcW w:type="dxa" w:w="864"/>
            <w:shd w:val="clear" w:color="auto" w:fill="0B1F3A"/>
            <w:tcMar>
              <w:top w:w="60" w:type="dxa"/>
              <w:start w:w="110" w:type="dxa"/>
              <w:bottom w:w="60" w:type="dxa"/>
              <w:end w:w="110" w:type="dxa"/>
            </w:tcMar>
          </w:tcPr>
          <w:p>
            <w:pPr>
              <w:spacing w:after="0"/>
            </w:pPr>
            <w:r/>
            <w:r>
              <w:rPr>
                <w:rFonts w:ascii="Calibri" w:hAnsi="Calibri"/>
                <w:b/>
                <w:i w:val="0"/>
                <w:color w:val="FFFFFF"/>
                <w:sz w:val="15"/>
              </w:rPr>
              <w:t>Members</w:t>
            </w:r>
          </w:p>
        </w:tc>
        <w:tc>
          <w:tcPr>
            <w:tcW w:type="dxa" w:w="1224"/>
            <w:shd w:val="clear" w:color="auto" w:fill="0B1F3A"/>
            <w:tcMar>
              <w:top w:w="60" w:type="dxa"/>
              <w:start w:w="110" w:type="dxa"/>
              <w:bottom w:w="60" w:type="dxa"/>
              <w:end w:w="110" w:type="dxa"/>
            </w:tcMar>
          </w:tcPr>
          <w:p>
            <w:pPr>
              <w:spacing w:after="0"/>
            </w:pPr>
            <w:r/>
            <w:r>
              <w:rPr>
                <w:rFonts w:ascii="Calibri" w:hAnsi="Calibri"/>
                <w:b/>
                <w:i w:val="0"/>
                <w:color w:val="FFFFFF"/>
                <w:sz w:val="15"/>
              </w:rPr>
              <w:t>Contribution</w:t>
            </w:r>
          </w:p>
        </w:tc>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5"/>
              </w:rPr>
              <w:t>Rounds</w:t>
            </w:r>
          </w:p>
        </w:tc>
        <w:tc>
          <w:tcPr>
            <w:tcW w:type="dxa" w:w="1008"/>
            <w:shd w:val="clear" w:color="auto" w:fill="0B1F3A"/>
            <w:tcMar>
              <w:top w:w="60" w:type="dxa"/>
              <w:start w:w="110" w:type="dxa"/>
              <w:bottom w:w="60" w:type="dxa"/>
              <w:end w:w="110" w:type="dxa"/>
            </w:tcMar>
          </w:tcPr>
          <w:p>
            <w:pPr>
              <w:spacing w:after="0"/>
            </w:pPr>
            <w:r/>
            <w:r>
              <w:rPr>
                <w:rFonts w:ascii="Calibri" w:hAnsi="Calibri"/>
                <w:b/>
                <w:i w:val="0"/>
                <w:color w:val="FFFFFF"/>
                <w:sz w:val="15"/>
              </w:rPr>
              <w:t>Deposits</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5"/>
              </w:rPr>
              <w:t>Volume</w:t>
            </w:r>
          </w:p>
        </w:tc>
        <w:tc>
          <w:tcPr>
            <w:tcW w:type="dxa" w:w="1224"/>
            <w:shd w:val="clear" w:color="auto" w:fill="0B1F3A"/>
            <w:tcMar>
              <w:top w:w="60" w:type="dxa"/>
              <w:start w:w="110" w:type="dxa"/>
              <w:bottom w:w="60" w:type="dxa"/>
              <w:end w:w="110" w:type="dxa"/>
            </w:tcMar>
          </w:tcPr>
          <w:p>
            <w:pPr>
              <w:spacing w:after="0"/>
            </w:pPr>
            <w:r/>
            <w:r>
              <w:rPr>
                <w:rFonts w:ascii="Calibri" w:hAnsi="Calibri"/>
                <w:b/>
                <w:i w:val="0"/>
                <w:color w:val="FFFFFF"/>
                <w:sz w:val="15"/>
              </w:rPr>
              <w:t>Fee revenue at 2%</w:t>
            </w:r>
          </w:p>
        </w:tc>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5"/>
              </w:rPr>
              <w:t>Fee per Ajo</w:t>
            </w:r>
          </w:p>
        </w:tc>
      </w:tr>
      <w:tr>
        <w:trPr>
          <w:cantSplit/>
        </w:trPr>
        <w:tc>
          <w:tcPr>
            <w:tcW w:type="dxa" w:w="1224"/>
            <w:tcMar>
              <w:top w:w="60" w:type="dxa"/>
              <w:start w:w="110" w:type="dxa"/>
              <w:bottom w:w="60" w:type="dxa"/>
              <w:end w:w="110" w:type="dxa"/>
            </w:tcMar>
          </w:tcPr>
          <w:p>
            <w:pPr>
              <w:spacing w:after="0"/>
            </w:pPr>
            <w:r/>
            <w:r>
              <w:rPr>
                <w:rFonts w:ascii="Calibri" w:hAnsi="Calibri"/>
                <w:b w:val="0"/>
                <w:i w:val="0"/>
                <w:color w:val="101828"/>
                <w:sz w:val="15"/>
              </w:rPr>
              <w:t>Conservative</w:t>
            </w:r>
          </w:p>
        </w:tc>
        <w:tc>
          <w:tcPr>
            <w:tcW w:type="dxa" w:w="720"/>
            <w:tcMar>
              <w:top w:w="60" w:type="dxa"/>
              <w:start w:w="110" w:type="dxa"/>
              <w:bottom w:w="60" w:type="dxa"/>
              <w:end w:w="110" w:type="dxa"/>
            </w:tcMar>
          </w:tcPr>
          <w:p>
            <w:pPr>
              <w:spacing w:after="0"/>
            </w:pPr>
            <w:r/>
            <w:r>
              <w:rPr>
                <w:rFonts w:ascii="Calibri" w:hAnsi="Calibri"/>
                <w:b w:val="0"/>
                <w:i w:val="0"/>
                <w:color w:val="101828"/>
                <w:sz w:val="15"/>
              </w:rPr>
              <w:t>150</w:t>
            </w:r>
          </w:p>
        </w:tc>
        <w:tc>
          <w:tcPr>
            <w:tcW w:type="dxa" w:w="864"/>
            <w:tcMar>
              <w:top w:w="60" w:type="dxa"/>
              <w:start w:w="110" w:type="dxa"/>
              <w:bottom w:w="60" w:type="dxa"/>
              <w:end w:w="110" w:type="dxa"/>
            </w:tcMar>
          </w:tcPr>
          <w:p>
            <w:pPr>
              <w:spacing w:after="0"/>
            </w:pPr>
            <w:r/>
            <w:r>
              <w:rPr>
                <w:rFonts w:ascii="Calibri" w:hAnsi="Calibri"/>
                <w:b w:val="0"/>
                <w:i w:val="0"/>
                <w:color w:val="101828"/>
                <w:sz w:val="15"/>
              </w:rPr>
              <w:t>8</w:t>
            </w:r>
          </w:p>
        </w:tc>
        <w:tc>
          <w:tcPr>
            <w:tcW w:type="dxa" w:w="1224"/>
            <w:tcMar>
              <w:top w:w="60" w:type="dxa"/>
              <w:start w:w="110" w:type="dxa"/>
              <w:bottom w:w="60" w:type="dxa"/>
              <w:end w:w="110" w:type="dxa"/>
            </w:tcMar>
          </w:tcPr>
          <w:p>
            <w:pPr>
              <w:spacing w:after="0"/>
            </w:pPr>
            <w:r/>
            <w:r>
              <w:rPr>
                <w:rFonts w:ascii="Calibri" w:hAnsi="Calibri"/>
                <w:b w:val="0"/>
                <w:i w:val="0"/>
                <w:color w:val="101828"/>
                <w:sz w:val="15"/>
              </w:rPr>
              <w:t>NGN 7,500</w:t>
            </w:r>
          </w:p>
        </w:tc>
        <w:tc>
          <w:tcPr>
            <w:tcW w:type="dxa" w:w="720"/>
            <w:tcMar>
              <w:top w:w="60" w:type="dxa"/>
              <w:start w:w="110" w:type="dxa"/>
              <w:bottom w:w="60" w:type="dxa"/>
              <w:end w:w="110" w:type="dxa"/>
            </w:tcMar>
          </w:tcPr>
          <w:p>
            <w:pPr>
              <w:spacing w:after="0"/>
            </w:pPr>
            <w:r/>
            <w:r>
              <w:rPr>
                <w:rFonts w:ascii="Calibri" w:hAnsi="Calibri"/>
                <w:b w:val="0"/>
                <w:i w:val="0"/>
                <w:color w:val="101828"/>
                <w:sz w:val="15"/>
              </w:rPr>
              <w:t>10</w:t>
            </w:r>
          </w:p>
        </w:tc>
        <w:tc>
          <w:tcPr>
            <w:tcW w:type="dxa" w:w="1008"/>
            <w:tcMar>
              <w:top w:w="60" w:type="dxa"/>
              <w:start w:w="110" w:type="dxa"/>
              <w:bottom w:w="60" w:type="dxa"/>
              <w:end w:w="110" w:type="dxa"/>
            </w:tcMar>
          </w:tcPr>
          <w:p>
            <w:pPr>
              <w:spacing w:after="0"/>
            </w:pPr>
            <w:r/>
            <w:r>
              <w:rPr>
                <w:rFonts w:ascii="Calibri" w:hAnsi="Calibri"/>
                <w:b w:val="0"/>
                <w:i w:val="0"/>
                <w:color w:val="101828"/>
                <w:sz w:val="15"/>
              </w:rPr>
              <w:t>12,000</w:t>
            </w:r>
          </w:p>
        </w:tc>
        <w:tc>
          <w:tcPr>
            <w:tcW w:type="dxa" w:w="1656"/>
            <w:tcMar>
              <w:top w:w="60" w:type="dxa"/>
              <w:start w:w="110" w:type="dxa"/>
              <w:bottom w:w="60" w:type="dxa"/>
              <w:end w:w="110" w:type="dxa"/>
            </w:tcMar>
          </w:tcPr>
          <w:p>
            <w:pPr>
              <w:spacing w:after="0"/>
            </w:pPr>
            <w:r/>
            <w:r>
              <w:rPr>
                <w:rFonts w:ascii="Calibri" w:hAnsi="Calibri"/>
                <w:b w:val="0"/>
                <w:i w:val="0"/>
                <w:color w:val="101828"/>
                <w:sz w:val="15"/>
              </w:rPr>
              <w:t>NGN 90,000,000</w:t>
            </w:r>
          </w:p>
        </w:tc>
        <w:tc>
          <w:tcPr>
            <w:tcW w:type="dxa" w:w="1224"/>
            <w:tcMar>
              <w:top w:w="60" w:type="dxa"/>
              <w:start w:w="110" w:type="dxa"/>
              <w:bottom w:w="60" w:type="dxa"/>
              <w:end w:w="110" w:type="dxa"/>
            </w:tcMar>
          </w:tcPr>
          <w:p>
            <w:pPr>
              <w:spacing w:after="0"/>
            </w:pPr>
            <w:r/>
            <w:r>
              <w:rPr>
                <w:rFonts w:ascii="Calibri" w:hAnsi="Calibri"/>
                <w:b w:val="0"/>
                <w:i w:val="0"/>
                <w:color w:val="101828"/>
                <w:sz w:val="15"/>
              </w:rPr>
              <w:t>NGN 1,800,000</w:t>
            </w:r>
          </w:p>
        </w:tc>
        <w:tc>
          <w:tcPr>
            <w:tcW w:type="dxa" w:w="720"/>
            <w:tcMar>
              <w:top w:w="60" w:type="dxa"/>
              <w:start w:w="110" w:type="dxa"/>
              <w:bottom w:w="60" w:type="dxa"/>
              <w:end w:w="110" w:type="dxa"/>
            </w:tcMar>
          </w:tcPr>
          <w:p>
            <w:pPr>
              <w:spacing w:after="0"/>
            </w:pPr>
            <w:r/>
            <w:r>
              <w:rPr>
                <w:rFonts w:ascii="Calibri" w:hAnsi="Calibri"/>
                <w:b w:val="0"/>
                <w:i w:val="0"/>
                <w:color w:val="101828"/>
                <w:sz w:val="15"/>
              </w:rPr>
              <w:t>NGN 12,000</w:t>
            </w:r>
          </w:p>
        </w:tc>
      </w:tr>
      <w:tr>
        <w:trPr>
          <w:cantSplit/>
        </w:trPr>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Base Case</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300</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10</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NGN 10,000</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10</w:t>
            </w:r>
          </w:p>
        </w:tc>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5"/>
              </w:rPr>
              <w:t>30,000</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5"/>
              </w:rPr>
              <w:t>NGN 300,000,000</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NGN 6,000,000</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NGN 20,000</w:t>
            </w:r>
          </w:p>
        </w:tc>
      </w:tr>
      <w:tr>
        <w:trPr>
          <w:cantSplit/>
        </w:trPr>
        <w:tc>
          <w:tcPr>
            <w:tcW w:type="dxa" w:w="1224"/>
            <w:tcMar>
              <w:top w:w="60" w:type="dxa"/>
              <w:start w:w="110" w:type="dxa"/>
              <w:bottom w:w="60" w:type="dxa"/>
              <w:end w:w="110" w:type="dxa"/>
            </w:tcMar>
          </w:tcPr>
          <w:p>
            <w:pPr>
              <w:spacing w:after="0"/>
            </w:pPr>
            <w:r/>
            <w:r>
              <w:rPr>
                <w:rFonts w:ascii="Calibri" w:hAnsi="Calibri"/>
                <w:b w:val="0"/>
                <w:i w:val="0"/>
                <w:color w:val="101828"/>
                <w:sz w:val="15"/>
              </w:rPr>
              <w:t>Growth Case</w:t>
            </w:r>
          </w:p>
        </w:tc>
        <w:tc>
          <w:tcPr>
            <w:tcW w:type="dxa" w:w="720"/>
            <w:tcMar>
              <w:top w:w="60" w:type="dxa"/>
              <w:start w:w="110" w:type="dxa"/>
              <w:bottom w:w="60" w:type="dxa"/>
              <w:end w:w="110" w:type="dxa"/>
            </w:tcMar>
          </w:tcPr>
          <w:p>
            <w:pPr>
              <w:spacing w:after="0"/>
            </w:pPr>
            <w:r/>
            <w:r>
              <w:rPr>
                <w:rFonts w:ascii="Calibri" w:hAnsi="Calibri"/>
                <w:b w:val="0"/>
                <w:i w:val="0"/>
                <w:color w:val="101828"/>
                <w:sz w:val="15"/>
              </w:rPr>
              <w:t>600</w:t>
            </w:r>
          </w:p>
        </w:tc>
        <w:tc>
          <w:tcPr>
            <w:tcW w:type="dxa" w:w="864"/>
            <w:tcMar>
              <w:top w:w="60" w:type="dxa"/>
              <w:start w:w="110" w:type="dxa"/>
              <w:bottom w:w="60" w:type="dxa"/>
              <w:end w:w="110" w:type="dxa"/>
            </w:tcMar>
          </w:tcPr>
          <w:p>
            <w:pPr>
              <w:spacing w:after="0"/>
            </w:pPr>
            <w:r/>
            <w:r>
              <w:rPr>
                <w:rFonts w:ascii="Calibri" w:hAnsi="Calibri"/>
                <w:b w:val="0"/>
                <w:i w:val="0"/>
                <w:color w:val="101828"/>
                <w:sz w:val="15"/>
              </w:rPr>
              <w:t>12</w:t>
            </w:r>
          </w:p>
        </w:tc>
        <w:tc>
          <w:tcPr>
            <w:tcW w:type="dxa" w:w="1224"/>
            <w:tcMar>
              <w:top w:w="60" w:type="dxa"/>
              <w:start w:w="110" w:type="dxa"/>
              <w:bottom w:w="60" w:type="dxa"/>
              <w:end w:w="110" w:type="dxa"/>
            </w:tcMar>
          </w:tcPr>
          <w:p>
            <w:pPr>
              <w:spacing w:after="0"/>
            </w:pPr>
            <w:r/>
            <w:r>
              <w:rPr>
                <w:rFonts w:ascii="Calibri" w:hAnsi="Calibri"/>
                <w:b w:val="0"/>
                <w:i w:val="0"/>
                <w:color w:val="101828"/>
                <w:sz w:val="15"/>
              </w:rPr>
              <w:t>NGN 12,000</w:t>
            </w:r>
          </w:p>
        </w:tc>
        <w:tc>
          <w:tcPr>
            <w:tcW w:type="dxa" w:w="720"/>
            <w:tcMar>
              <w:top w:w="60" w:type="dxa"/>
              <w:start w:w="110" w:type="dxa"/>
              <w:bottom w:w="60" w:type="dxa"/>
              <w:end w:w="110" w:type="dxa"/>
            </w:tcMar>
          </w:tcPr>
          <w:p>
            <w:pPr>
              <w:spacing w:after="0"/>
            </w:pPr>
            <w:r/>
            <w:r>
              <w:rPr>
                <w:rFonts w:ascii="Calibri" w:hAnsi="Calibri"/>
                <w:b w:val="0"/>
                <w:i w:val="0"/>
                <w:color w:val="101828"/>
                <w:sz w:val="15"/>
              </w:rPr>
              <w:t>10</w:t>
            </w:r>
          </w:p>
        </w:tc>
        <w:tc>
          <w:tcPr>
            <w:tcW w:type="dxa" w:w="1008"/>
            <w:tcMar>
              <w:top w:w="60" w:type="dxa"/>
              <w:start w:w="110" w:type="dxa"/>
              <w:bottom w:w="60" w:type="dxa"/>
              <w:end w:w="110" w:type="dxa"/>
            </w:tcMar>
          </w:tcPr>
          <w:p>
            <w:pPr>
              <w:spacing w:after="0"/>
            </w:pPr>
            <w:r/>
            <w:r>
              <w:rPr>
                <w:rFonts w:ascii="Calibri" w:hAnsi="Calibri"/>
                <w:b w:val="0"/>
                <w:i w:val="0"/>
                <w:color w:val="101828"/>
                <w:sz w:val="15"/>
              </w:rPr>
              <w:t>72,000</w:t>
            </w:r>
          </w:p>
        </w:tc>
        <w:tc>
          <w:tcPr>
            <w:tcW w:type="dxa" w:w="1656"/>
            <w:tcMar>
              <w:top w:w="60" w:type="dxa"/>
              <w:start w:w="110" w:type="dxa"/>
              <w:bottom w:w="60" w:type="dxa"/>
              <w:end w:w="110" w:type="dxa"/>
            </w:tcMar>
          </w:tcPr>
          <w:p>
            <w:pPr>
              <w:spacing w:after="0"/>
            </w:pPr>
            <w:r/>
            <w:r>
              <w:rPr>
                <w:rFonts w:ascii="Calibri" w:hAnsi="Calibri"/>
                <w:b w:val="0"/>
                <w:i w:val="0"/>
                <w:color w:val="101828"/>
                <w:sz w:val="15"/>
              </w:rPr>
              <w:t>NGN 864,000,000</w:t>
            </w:r>
          </w:p>
        </w:tc>
        <w:tc>
          <w:tcPr>
            <w:tcW w:type="dxa" w:w="1224"/>
            <w:tcMar>
              <w:top w:w="60" w:type="dxa"/>
              <w:start w:w="110" w:type="dxa"/>
              <w:bottom w:w="60" w:type="dxa"/>
              <w:end w:w="110" w:type="dxa"/>
            </w:tcMar>
          </w:tcPr>
          <w:p>
            <w:pPr>
              <w:spacing w:after="0"/>
            </w:pPr>
            <w:r/>
            <w:r>
              <w:rPr>
                <w:rFonts w:ascii="Calibri" w:hAnsi="Calibri"/>
                <w:b w:val="0"/>
                <w:i w:val="0"/>
                <w:color w:val="101828"/>
                <w:sz w:val="15"/>
              </w:rPr>
              <w:t>NGN 17,280,000</w:t>
            </w:r>
          </w:p>
        </w:tc>
        <w:tc>
          <w:tcPr>
            <w:tcW w:type="dxa" w:w="720"/>
            <w:tcMar>
              <w:top w:w="60" w:type="dxa"/>
              <w:start w:w="110" w:type="dxa"/>
              <w:bottom w:w="60" w:type="dxa"/>
              <w:end w:w="110" w:type="dxa"/>
            </w:tcMar>
          </w:tcPr>
          <w:p>
            <w:pPr>
              <w:spacing w:after="0"/>
            </w:pPr>
            <w:r/>
            <w:r>
              <w:rPr>
                <w:rFonts w:ascii="Calibri" w:hAnsi="Calibri"/>
                <w:b w:val="0"/>
                <w:i w:val="0"/>
                <w:color w:val="101828"/>
                <w:sz w:val="15"/>
              </w:rPr>
              <w:t>NGN 28,800</w:t>
            </w:r>
          </w:p>
        </w:tc>
      </w:tr>
    </w:tbl>
    <w:p>
      <w:pPr>
        <w:spacing w:after="80"/>
      </w:pP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3744"/>
            <w:shd w:val="clear" w:color="auto" w:fill="0B1F3A"/>
            <w:tcMar>
              <w:top w:w="60" w:type="dxa"/>
              <w:start w:w="110" w:type="dxa"/>
              <w:bottom w:w="60" w:type="dxa"/>
              <w:end w:w="110" w:type="dxa"/>
            </w:tcMar>
          </w:tcPr>
          <w:p>
            <w:pPr>
              <w:spacing w:after="0"/>
            </w:pPr>
            <w:r/>
            <w:r>
              <w:rPr>
                <w:rFonts w:ascii="Calibri" w:hAnsi="Calibri"/>
                <w:b/>
                <w:i w:val="0"/>
                <w:color w:val="FFFFFF"/>
                <w:sz w:val="17"/>
              </w:rPr>
              <w:t>Base-case derived measure</w:t>
            </w:r>
          </w:p>
        </w:tc>
        <w:tc>
          <w:tcPr>
            <w:tcW w:type="dxa" w:w="5616"/>
            <w:shd w:val="clear" w:color="auto" w:fill="0B1F3A"/>
            <w:tcMar>
              <w:top w:w="60" w:type="dxa"/>
              <w:start w:w="110" w:type="dxa"/>
              <w:bottom w:w="60" w:type="dxa"/>
              <w:end w:w="110" w:type="dxa"/>
            </w:tcMar>
          </w:tcPr>
          <w:p>
            <w:pPr>
              <w:spacing w:after="0"/>
            </w:pPr>
            <w:r/>
            <w:r>
              <w:rPr>
                <w:rFonts w:ascii="Calibri" w:hAnsi="Calibri"/>
                <w:b/>
                <w:i w:val="0"/>
                <w:color w:val="FFFFFF"/>
                <w:sz w:val="17"/>
              </w:rPr>
              <w:t>Value</w:t>
            </w:r>
          </w:p>
        </w:tc>
      </w:tr>
      <w:tr>
        <w:trPr>
          <w:cantSplit/>
        </w:trPr>
        <w:tc>
          <w:tcPr>
            <w:tcW w:type="dxa" w:w="3744"/>
            <w:tcMar>
              <w:top w:w="60" w:type="dxa"/>
              <w:start w:w="110" w:type="dxa"/>
              <w:bottom w:w="60" w:type="dxa"/>
              <w:end w:w="110" w:type="dxa"/>
            </w:tcMar>
          </w:tcPr>
          <w:p>
            <w:pPr>
              <w:spacing w:after="0"/>
            </w:pPr>
            <w:r/>
            <w:r>
              <w:rPr>
                <w:rFonts w:ascii="Calibri" w:hAnsi="Calibri"/>
                <w:b w:val="0"/>
                <w:i w:val="0"/>
                <w:color w:val="101828"/>
                <w:sz w:val="17"/>
              </w:rPr>
              <w:t>Core payment events</w:t>
            </w:r>
          </w:p>
        </w:tc>
        <w:tc>
          <w:tcPr>
            <w:tcW w:type="dxa" w:w="5616"/>
            <w:tcMar>
              <w:top w:w="60" w:type="dxa"/>
              <w:start w:w="110" w:type="dxa"/>
              <w:bottom w:w="60" w:type="dxa"/>
              <w:end w:w="110" w:type="dxa"/>
            </w:tcMar>
          </w:tcPr>
          <w:p>
            <w:pPr>
              <w:spacing w:after="0"/>
            </w:pPr>
            <w:r/>
            <w:r>
              <w:rPr>
                <w:rFonts w:ascii="Calibri" w:hAnsi="Calibri"/>
                <w:b w:val="0"/>
                <w:i w:val="0"/>
                <w:color w:val="101828"/>
                <w:sz w:val="17"/>
              </w:rPr>
              <w:t>33,000 (30,000 contributions + 3,000 payouts)</w:t>
            </w:r>
          </w:p>
        </w:tc>
      </w:tr>
      <w:tr>
        <w:trPr>
          <w:cantSplit/>
        </w:trPr>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7"/>
              </w:rPr>
              <w:t>Monthly average contribution volume</w:t>
            </w:r>
          </w:p>
        </w:tc>
        <w:tc>
          <w:tcPr>
            <w:tcW w:type="dxa" w:w="5616"/>
            <w:tcMar>
              <w:top w:w="60" w:type="dxa"/>
              <w:start w:w="110" w:type="dxa"/>
              <w:bottom w:w="60" w:type="dxa"/>
              <w:end w:w="110" w:type="dxa"/>
            </w:tcMar>
            <w:shd w:val="clear" w:color="auto" w:fill="F4F7FB"/>
          </w:tcPr>
          <w:p>
            <w:pPr>
              <w:spacing w:after="0"/>
            </w:pPr>
            <w:r/>
            <w:r>
              <w:rPr>
                <w:rFonts w:ascii="Calibri" w:hAnsi="Calibri"/>
                <w:b w:val="0"/>
                <w:i w:val="0"/>
                <w:color w:val="101828"/>
                <w:sz w:val="17"/>
              </w:rPr>
              <w:t>NGN 25,000,000</w:t>
            </w:r>
          </w:p>
        </w:tc>
      </w:tr>
      <w:tr>
        <w:trPr>
          <w:cantSplit/>
        </w:trPr>
        <w:tc>
          <w:tcPr>
            <w:tcW w:type="dxa" w:w="3744"/>
            <w:tcMar>
              <w:top w:w="60" w:type="dxa"/>
              <w:start w:w="110" w:type="dxa"/>
              <w:bottom w:w="60" w:type="dxa"/>
              <w:end w:w="110" w:type="dxa"/>
            </w:tcMar>
          </w:tcPr>
          <w:p>
            <w:pPr>
              <w:spacing w:after="0"/>
            </w:pPr>
            <w:r/>
            <w:r>
              <w:rPr>
                <w:rFonts w:ascii="Calibri" w:hAnsi="Calibri"/>
                <w:b w:val="0"/>
                <w:i w:val="0"/>
                <w:color w:val="101828"/>
                <w:sz w:val="17"/>
              </w:rPr>
              <w:t>Monthly average fee revenue at 2%</w:t>
            </w:r>
          </w:p>
        </w:tc>
        <w:tc>
          <w:tcPr>
            <w:tcW w:type="dxa" w:w="5616"/>
            <w:tcMar>
              <w:top w:w="60" w:type="dxa"/>
              <w:start w:w="110" w:type="dxa"/>
              <w:bottom w:w="60" w:type="dxa"/>
              <w:end w:w="110" w:type="dxa"/>
            </w:tcMar>
          </w:tcPr>
          <w:p>
            <w:pPr>
              <w:spacing w:after="0"/>
            </w:pPr>
            <w:r/>
            <w:r>
              <w:rPr>
                <w:rFonts w:ascii="Calibri" w:hAnsi="Calibri"/>
                <w:b w:val="0"/>
                <w:i w:val="0"/>
                <w:color w:val="101828"/>
                <w:sz w:val="17"/>
              </w:rPr>
              <w:t>NGN 500,000</w:t>
            </w:r>
          </w:p>
        </w:tc>
      </w:tr>
      <w:tr>
        <w:trPr>
          <w:cantSplit/>
        </w:trPr>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7"/>
              </w:rPr>
              <w:t>Gross fee revenue over the year</w:t>
            </w:r>
          </w:p>
        </w:tc>
        <w:tc>
          <w:tcPr>
            <w:tcW w:type="dxa" w:w="5616"/>
            <w:tcMar>
              <w:top w:w="60" w:type="dxa"/>
              <w:start w:w="110" w:type="dxa"/>
              <w:bottom w:w="60" w:type="dxa"/>
              <w:end w:w="110" w:type="dxa"/>
            </w:tcMar>
            <w:shd w:val="clear" w:color="auto" w:fill="F4F7FB"/>
          </w:tcPr>
          <w:p>
            <w:pPr>
              <w:spacing w:after="0"/>
            </w:pPr>
            <w:r/>
            <w:r>
              <w:rPr>
                <w:rFonts w:ascii="Calibri" w:hAnsi="Calibri"/>
                <w:b w:val="0"/>
                <w:i w:val="0"/>
                <w:color w:val="101828"/>
                <w:sz w:val="17"/>
              </w:rPr>
              <w:t>NGN 6,000,000</w:t>
            </w:r>
          </w:p>
        </w:tc>
      </w:tr>
      <w:tr>
        <w:trPr>
          <w:cantSplit/>
        </w:trPr>
        <w:tc>
          <w:tcPr>
            <w:tcW w:type="dxa" w:w="3744"/>
            <w:tcMar>
              <w:top w:w="60" w:type="dxa"/>
              <w:start w:w="110" w:type="dxa"/>
              <w:bottom w:w="60" w:type="dxa"/>
              <w:end w:w="110" w:type="dxa"/>
            </w:tcMar>
          </w:tcPr>
          <w:p>
            <w:pPr>
              <w:spacing w:after="0"/>
            </w:pPr>
            <w:r/>
            <w:r>
              <w:rPr>
                <w:rFonts w:ascii="Calibri" w:hAnsi="Calibri"/>
                <w:b w:val="0"/>
                <w:i w:val="0"/>
                <w:color w:val="101828"/>
                <w:sz w:val="17"/>
              </w:rPr>
              <w:t>Net revenue</w:t>
            </w:r>
          </w:p>
        </w:tc>
        <w:tc>
          <w:tcPr>
            <w:tcW w:type="dxa" w:w="5616"/>
            <w:tcMar>
              <w:top w:w="60" w:type="dxa"/>
              <w:start w:w="110" w:type="dxa"/>
              <w:bottom w:w="60" w:type="dxa"/>
              <w:end w:w="110" w:type="dxa"/>
            </w:tcMar>
          </w:tcPr>
          <w:p>
            <w:pPr>
              <w:spacing w:after="0"/>
            </w:pPr>
            <w:r/>
            <w:r>
              <w:rPr>
                <w:rFonts w:ascii="Calibri" w:hAnsi="Calibri"/>
                <w:b w:val="0"/>
                <w:i w:val="0"/>
                <w:color w:val="101828"/>
                <w:sz w:val="17"/>
              </w:rPr>
              <w:t>Unknown. Dependent on ProvidusUnity collection and payout charges, which are not yet known. See open decision D-03.</w:t>
            </w:r>
          </w:p>
        </w:tc>
      </w:tr>
    </w:tbl>
    <w:p>
      <w:pPr>
        <w:spacing w:after="80"/>
      </w:pPr>
    </w:p>
    <w:p>
      <w:pPr>
        <w:spacing w:before="140" w:after="180"/>
        <w:ind w:left="144"/>
        <w:shd w:val="clear" w:color="auto" w:fill="FEF3C7"/>
        <w:pBdr>
          <w:left w:val="single" w:sz="18" w:space="6" w:color="FBBF24"/>
        </w:pBdr>
      </w:pPr>
      <w:r>
        <w:rPr>
          <w:rFonts w:ascii="Calibri" w:hAnsi="Calibri"/>
          <w:b/>
          <w:color w:val="FBBF24"/>
          <w:sz w:val="19"/>
        </w:rPr>
        <w:t xml:space="preserve">Margin warning — must appear in all financial material  </w:t>
      </w:r>
      <w:r>
        <w:rPr>
          <w:rFonts w:ascii="Calibri" w:hAnsi="Calibri"/>
          <w:b w:val="0"/>
          <w:i w:val="0"/>
          <w:color w:val="0B1F3A"/>
          <w:sz w:val="19"/>
        </w:rPr>
        <w:t xml:space="preserve">Gross fee revenue is not net revenue. Payment-partner charges for collection and payout are </w:t>
      </w:r>
      <w:r>
        <w:rPr>
          <w:rFonts w:ascii="Calibri" w:hAnsi="Calibri"/>
          <w:b/>
          <w:color w:val="0B1F3A"/>
          <w:sz w:val="19"/>
        </w:rPr>
        <w:t>unknown and must be obtained in writing from ProvidusUnity</w:t>
      </w:r>
      <w:r>
        <w:rPr>
          <w:rFonts w:ascii="Calibri" w:hAnsi="Calibri"/>
          <w:b w:val="0"/>
          <w:i w:val="0"/>
          <w:color w:val="0B1F3A"/>
          <w:sz w:val="19"/>
        </w:rPr>
        <w:t>. At 2% gross, a 1% collection charge plus per-payout fees could consume most or all of the margin. This must be modelled before the fee is communicated to members, because the fee cannot be raised later without renegotiating trust.</w:t>
      </w:r>
    </w:p>
    <w:p>
      <w:pPr>
        <w:pStyle w:val="Heading3"/>
      </w:pPr>
      <w:r>
        <w:rPr>
          <w:rFonts w:ascii="Calibri" w:hAnsi="Calibri"/>
          <w:b/>
          <w:i w:val="0"/>
          <w:color w:val="0B1F3A"/>
          <w:sz w:val="24"/>
        </w:rPr>
        <w:t>1.9.4 Business objectives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576"/>
            <w:shd w:val="clear" w:color="auto" w:fill="0B1F3A"/>
            <w:tcMar>
              <w:top w:w="60" w:type="dxa"/>
              <w:start w:w="110" w:type="dxa"/>
              <w:bottom w:w="60" w:type="dxa"/>
              <w:end w:w="110" w:type="dxa"/>
            </w:tcMar>
          </w:tcPr>
          <w:p>
            <w:pPr>
              <w:spacing w:after="0"/>
            </w:pPr>
            <w:r/>
            <w:r>
              <w:rPr>
                <w:rFonts w:ascii="Calibri" w:hAnsi="Calibri"/>
                <w:b/>
                <w:i w:val="0"/>
                <w:color w:val="FFFFFF"/>
                <w:sz w:val="16"/>
              </w:rPr>
              <w:t>ID</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Business objective</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Target (Year 1)</w:t>
            </w:r>
          </w:p>
        </w:tc>
        <w:tc>
          <w:tcPr>
            <w:tcW w:type="dxa" w:w="3312"/>
            <w:shd w:val="clear" w:color="auto" w:fill="0B1F3A"/>
            <w:tcMar>
              <w:top w:w="60" w:type="dxa"/>
              <w:start w:w="110" w:type="dxa"/>
              <w:bottom w:w="60" w:type="dxa"/>
              <w:end w:w="110" w:type="dxa"/>
            </w:tcMar>
          </w:tcPr>
          <w:p>
            <w:pPr>
              <w:spacing w:after="0"/>
            </w:pPr>
            <w:r/>
            <w:r>
              <w:rPr>
                <w:rFonts w:ascii="Calibri" w:hAnsi="Calibri"/>
                <w:b/>
                <w:i w:val="0"/>
                <w:color w:val="FFFFFF"/>
                <w:sz w:val="16"/>
              </w:rPr>
              <w:t>Dependency</w:t>
            </w:r>
          </w:p>
        </w:tc>
      </w:tr>
      <w:tr>
        <w:trPr>
          <w:cantSplit/>
        </w:trPr>
        <w:tc>
          <w:tcPr>
            <w:tcW w:type="dxa" w:w="576"/>
            <w:tcMar>
              <w:top w:w="60" w:type="dxa"/>
              <w:start w:w="110" w:type="dxa"/>
              <w:bottom w:w="60" w:type="dxa"/>
              <w:end w:w="110" w:type="dxa"/>
            </w:tcMar>
          </w:tcPr>
          <w:p>
            <w:pPr>
              <w:spacing w:after="0"/>
            </w:pPr>
            <w:r/>
            <w:r>
              <w:rPr>
                <w:rFonts w:ascii="Calibri" w:hAnsi="Calibri"/>
                <w:b w:val="0"/>
                <w:i w:val="0"/>
                <w:color w:val="101828"/>
                <w:sz w:val="16"/>
              </w:rPr>
              <w:t>BO1</w:t>
            </w:r>
          </w:p>
        </w:tc>
        <w:tc>
          <w:tcPr>
            <w:tcW w:type="dxa" w:w="2736"/>
            <w:tcMar>
              <w:top w:w="60" w:type="dxa"/>
              <w:start w:w="110" w:type="dxa"/>
              <w:bottom w:w="60" w:type="dxa"/>
              <w:end w:w="110" w:type="dxa"/>
            </w:tcMar>
          </w:tcPr>
          <w:p>
            <w:pPr>
              <w:spacing w:after="0"/>
            </w:pPr>
            <w:r/>
            <w:r>
              <w:rPr>
                <w:rFonts w:ascii="Calibri" w:hAnsi="Calibri"/>
                <w:b w:val="0"/>
                <w:i w:val="0"/>
                <w:color w:val="101828"/>
                <w:sz w:val="16"/>
              </w:rPr>
              <w:t>Reach a self-sustaining set of Ajos across a small number of dense market clusters</w:t>
            </w:r>
          </w:p>
        </w:tc>
        <w:tc>
          <w:tcPr>
            <w:tcW w:type="dxa" w:w="2736"/>
            <w:tcMar>
              <w:top w:w="60" w:type="dxa"/>
              <w:start w:w="110" w:type="dxa"/>
              <w:bottom w:w="60" w:type="dxa"/>
              <w:end w:w="110" w:type="dxa"/>
            </w:tcMar>
          </w:tcPr>
          <w:p>
            <w:pPr>
              <w:spacing w:after="0"/>
            </w:pPr>
            <w:r/>
            <w:r>
              <w:rPr>
                <w:rFonts w:ascii="Calibri" w:hAnsi="Calibri"/>
                <w:b w:val="0"/>
                <w:i w:val="0"/>
                <w:color w:val="101828"/>
                <w:sz w:val="16"/>
              </w:rPr>
              <w:t>150 to 600 Ajos depending on scenario; 2 to 3 city clusters</w:t>
            </w:r>
          </w:p>
        </w:tc>
        <w:tc>
          <w:tcPr>
            <w:tcW w:type="dxa" w:w="3312"/>
            <w:tcMar>
              <w:top w:w="60" w:type="dxa"/>
              <w:start w:w="110" w:type="dxa"/>
              <w:bottom w:w="60" w:type="dxa"/>
              <w:end w:w="110" w:type="dxa"/>
            </w:tcMar>
          </w:tcPr>
          <w:p>
            <w:pPr>
              <w:spacing w:after="0"/>
            </w:pPr>
            <w:r/>
            <w:r>
              <w:rPr>
                <w:rFonts w:ascii="Calibri" w:hAnsi="Calibri"/>
                <w:b w:val="0"/>
                <w:i w:val="0"/>
                <w:color w:val="101828"/>
                <w:sz w:val="16"/>
              </w:rPr>
              <w:t>Organiser recruitment and local trust. This is a people problem, not a marketing problem.</w:t>
            </w:r>
          </w:p>
        </w:tc>
      </w:tr>
      <w:tr>
        <w:trPr>
          <w:cantSplit/>
        </w:trPr>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6"/>
              </w:rPr>
              <w:t>BO2</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Generate gross fee revenue at the locked 2%</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NGN 1,800,000 to NGN 17,280,000 depending on scenario</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BO1 plus payment collection succeeding at the assumed rate.</w:t>
            </w:r>
          </w:p>
        </w:tc>
      </w:tr>
      <w:tr>
        <w:trPr>
          <w:cantSplit/>
        </w:trPr>
        <w:tc>
          <w:tcPr>
            <w:tcW w:type="dxa" w:w="576"/>
            <w:tcMar>
              <w:top w:w="60" w:type="dxa"/>
              <w:start w:w="110" w:type="dxa"/>
              <w:bottom w:w="60" w:type="dxa"/>
              <w:end w:w="110" w:type="dxa"/>
            </w:tcMar>
          </w:tcPr>
          <w:p>
            <w:pPr>
              <w:spacing w:after="0"/>
            </w:pPr>
            <w:r/>
            <w:r>
              <w:rPr>
                <w:rFonts w:ascii="Calibri" w:hAnsi="Calibri"/>
                <w:b w:val="0"/>
                <w:i w:val="0"/>
                <w:color w:val="101828"/>
                <w:sz w:val="16"/>
              </w:rPr>
              <w:t>BO3</w:t>
            </w:r>
          </w:p>
        </w:tc>
        <w:tc>
          <w:tcPr>
            <w:tcW w:type="dxa" w:w="2736"/>
            <w:tcMar>
              <w:top w:w="60" w:type="dxa"/>
              <w:start w:w="110" w:type="dxa"/>
              <w:bottom w:w="60" w:type="dxa"/>
              <w:end w:w="110" w:type="dxa"/>
            </w:tcMar>
          </w:tcPr>
          <w:p>
            <w:pPr>
              <w:spacing w:after="0"/>
            </w:pPr>
            <w:r/>
            <w:r>
              <w:rPr>
                <w:rFonts w:ascii="Calibri" w:hAnsi="Calibri"/>
                <w:b w:val="0"/>
                <w:i w:val="0"/>
                <w:color w:val="101828"/>
                <w:sz w:val="16"/>
              </w:rPr>
              <w:t>Establish positive net contribution margin per Ajo</w:t>
            </w:r>
          </w:p>
        </w:tc>
        <w:tc>
          <w:tcPr>
            <w:tcW w:type="dxa" w:w="2736"/>
            <w:tcMar>
              <w:top w:w="60" w:type="dxa"/>
              <w:start w:w="110" w:type="dxa"/>
              <w:bottom w:w="60" w:type="dxa"/>
              <w:end w:w="110" w:type="dxa"/>
            </w:tcMar>
          </w:tcPr>
          <w:p>
            <w:pPr>
              <w:spacing w:after="0"/>
            </w:pPr>
            <w:r/>
            <w:r>
              <w:rPr>
                <w:rFonts w:ascii="Calibri" w:hAnsi="Calibri"/>
                <w:b w:val="0"/>
                <w:i w:val="0"/>
                <w:color w:val="101828"/>
                <w:sz w:val="16"/>
              </w:rPr>
              <w:t xml:space="preserve">Positive by month 12 — </w:t>
            </w:r>
            <w:r>
              <w:rPr>
                <w:rFonts w:ascii="Calibri" w:hAnsi="Calibri"/>
                <w:b/>
                <w:color w:val="101828"/>
                <w:sz w:val="16"/>
              </w:rPr>
              <w:t>unverified, dependent on D-03</w:t>
            </w:r>
          </w:p>
        </w:tc>
        <w:tc>
          <w:tcPr>
            <w:tcW w:type="dxa" w:w="3312"/>
            <w:tcMar>
              <w:top w:w="60" w:type="dxa"/>
              <w:start w:w="110" w:type="dxa"/>
              <w:bottom w:w="60" w:type="dxa"/>
              <w:end w:w="110" w:type="dxa"/>
            </w:tcMar>
          </w:tcPr>
          <w:p>
            <w:pPr>
              <w:spacing w:after="0"/>
            </w:pPr>
            <w:r/>
            <w:r>
              <w:rPr>
                <w:rFonts w:ascii="Calibri" w:hAnsi="Calibri"/>
                <w:b w:val="0"/>
                <w:i w:val="0"/>
                <w:color w:val="101828"/>
                <w:sz w:val="16"/>
              </w:rPr>
              <w:t>Written pricing from ProvidusUnity. This objective cannot be validated before that pricing exists.</w:t>
            </w:r>
          </w:p>
        </w:tc>
      </w:tr>
      <w:tr>
        <w:trPr>
          <w:cantSplit/>
        </w:trPr>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6"/>
              </w:rPr>
              <w:t>BO4</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Achieve zero failed or under-funded payouts</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Zero, without exception</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The payout funding principle in BR-018. This is a constraint, not a target.</w:t>
            </w:r>
          </w:p>
        </w:tc>
      </w:tr>
      <w:tr>
        <w:trPr>
          <w:cantSplit/>
        </w:trPr>
        <w:tc>
          <w:tcPr>
            <w:tcW w:type="dxa" w:w="576"/>
            <w:tcMar>
              <w:top w:w="60" w:type="dxa"/>
              <w:start w:w="110" w:type="dxa"/>
              <w:bottom w:w="60" w:type="dxa"/>
              <w:end w:w="110" w:type="dxa"/>
            </w:tcMar>
          </w:tcPr>
          <w:p>
            <w:pPr>
              <w:spacing w:after="0"/>
            </w:pPr>
            <w:r/>
            <w:r>
              <w:rPr>
                <w:rFonts w:ascii="Calibri" w:hAnsi="Calibri"/>
                <w:b w:val="0"/>
                <w:i w:val="0"/>
                <w:color w:val="101828"/>
                <w:sz w:val="16"/>
              </w:rPr>
              <w:t>BO5</w:t>
            </w:r>
          </w:p>
        </w:tc>
        <w:tc>
          <w:tcPr>
            <w:tcW w:type="dxa" w:w="2736"/>
            <w:tcMar>
              <w:top w:w="60" w:type="dxa"/>
              <w:start w:w="110" w:type="dxa"/>
              <w:bottom w:w="60" w:type="dxa"/>
              <w:end w:w="110" w:type="dxa"/>
            </w:tcMar>
          </w:tcPr>
          <w:p>
            <w:pPr>
              <w:spacing w:after="0"/>
            </w:pPr>
            <w:r/>
            <w:r>
              <w:rPr>
                <w:rFonts w:ascii="Calibri" w:hAnsi="Calibri"/>
                <w:b w:val="0"/>
                <w:i w:val="0"/>
                <w:color w:val="101828"/>
                <w:sz w:val="16"/>
              </w:rPr>
              <w:t>Reach a default rate that does not strand Ajos</w:t>
            </w:r>
          </w:p>
        </w:tc>
        <w:tc>
          <w:tcPr>
            <w:tcW w:type="dxa" w:w="2736"/>
            <w:tcMar>
              <w:top w:w="60" w:type="dxa"/>
              <w:start w:w="110" w:type="dxa"/>
              <w:bottom w:w="60" w:type="dxa"/>
              <w:end w:w="110" w:type="dxa"/>
            </w:tcMar>
          </w:tcPr>
          <w:p>
            <w:pPr>
              <w:spacing w:after="0"/>
            </w:pPr>
            <w:r/>
            <w:r>
              <w:rPr>
                <w:rFonts w:ascii="Calibri" w:hAnsi="Calibri"/>
                <w:b w:val="0"/>
                <w:i w:val="0"/>
                <w:color w:val="101828"/>
                <w:sz w:val="16"/>
              </w:rPr>
              <w:t xml:space="preserve">Below 3% of contributions defaulted at 60 days — </w:t>
            </w:r>
            <w:r>
              <w:rPr>
                <w:rFonts w:ascii="Calibri" w:hAnsi="Calibri"/>
                <w:b/>
                <w:color w:val="101828"/>
                <w:sz w:val="16"/>
              </w:rPr>
              <w:t>projection</w:t>
            </w:r>
          </w:p>
        </w:tc>
        <w:tc>
          <w:tcPr>
            <w:tcW w:type="dxa" w:w="3312"/>
            <w:tcMar>
              <w:top w:w="60" w:type="dxa"/>
              <w:start w:w="110" w:type="dxa"/>
              <w:bottom w:w="60" w:type="dxa"/>
              <w:end w:w="110" w:type="dxa"/>
            </w:tcMar>
          </w:tcPr>
          <w:p>
            <w:pPr>
              <w:spacing w:after="0"/>
            </w:pPr>
            <w:r/>
            <w:r>
              <w:rPr>
                <w:rFonts w:ascii="Calibri" w:hAnsi="Calibri"/>
                <w:b w:val="0"/>
                <w:i w:val="0"/>
                <w:color w:val="101828"/>
                <w:sz w:val="16"/>
              </w:rPr>
              <w:t>A stable member base and a functioning private recovery process.</w:t>
            </w:r>
          </w:p>
        </w:tc>
      </w:tr>
      <w:tr>
        <w:trPr>
          <w:cantSplit/>
        </w:trPr>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6"/>
              </w:rPr>
              <w:t>BO6</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Prove the licence and custody path before scale</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Written legal opinion and written provider confirmation before the first live contribution</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D-02, D-03, D-04, D-06. </w:t>
            </w:r>
            <w:r>
              <w:rPr>
                <w:rFonts w:ascii="Calibri" w:hAnsi="Calibri"/>
                <w:b/>
                <w:color w:val="101828"/>
                <w:sz w:val="16"/>
              </w:rPr>
              <w:t>This gates launch, not growth.</w:t>
            </w:r>
          </w:p>
        </w:tc>
      </w:tr>
      <w:tr>
        <w:trPr>
          <w:cantSplit/>
        </w:trPr>
        <w:tc>
          <w:tcPr>
            <w:tcW w:type="dxa" w:w="576"/>
            <w:tcMar>
              <w:top w:w="60" w:type="dxa"/>
              <w:start w:w="110" w:type="dxa"/>
              <w:bottom w:w="60" w:type="dxa"/>
              <w:end w:w="110" w:type="dxa"/>
            </w:tcMar>
          </w:tcPr>
          <w:p>
            <w:pPr>
              <w:spacing w:after="0"/>
            </w:pPr>
            <w:r/>
            <w:r>
              <w:rPr>
                <w:rFonts w:ascii="Calibri" w:hAnsi="Calibri"/>
                <w:b w:val="0"/>
                <w:i w:val="0"/>
                <w:color w:val="101828"/>
                <w:sz w:val="16"/>
              </w:rPr>
              <w:t>BO7</w:t>
            </w:r>
          </w:p>
        </w:tc>
        <w:tc>
          <w:tcPr>
            <w:tcW w:type="dxa" w:w="2736"/>
            <w:tcMar>
              <w:top w:w="60" w:type="dxa"/>
              <w:start w:w="110" w:type="dxa"/>
              <w:bottom w:w="60" w:type="dxa"/>
              <w:end w:w="110" w:type="dxa"/>
            </w:tcMar>
          </w:tcPr>
          <w:p>
            <w:pPr>
              <w:spacing w:after="0"/>
            </w:pPr>
            <w:r/>
            <w:r>
              <w:rPr>
                <w:rFonts w:ascii="Calibri" w:hAnsi="Calibri"/>
                <w:b w:val="0"/>
                <w:i w:val="0"/>
                <w:color w:val="101828"/>
                <w:sz w:val="16"/>
              </w:rPr>
              <w:t>Build a per-member financial history that retains members into a second Ajo</w:t>
            </w:r>
          </w:p>
        </w:tc>
        <w:tc>
          <w:tcPr>
            <w:tcW w:type="dxa" w:w="2736"/>
            <w:tcMar>
              <w:top w:w="60" w:type="dxa"/>
              <w:start w:w="110" w:type="dxa"/>
              <w:bottom w:w="60" w:type="dxa"/>
              <w:end w:w="110" w:type="dxa"/>
            </w:tcMar>
          </w:tcPr>
          <w:p>
            <w:pPr>
              <w:spacing w:after="0"/>
            </w:pPr>
            <w:r/>
            <w:r>
              <w:rPr>
                <w:rFonts w:ascii="Calibri" w:hAnsi="Calibri"/>
                <w:b w:val="0"/>
                <w:i w:val="0"/>
                <w:color w:val="101828"/>
                <w:sz w:val="16"/>
              </w:rPr>
              <w:t xml:space="preserve">At least 40% of completing members start or join a further Ajo within 90 days — </w:t>
            </w:r>
            <w:r>
              <w:rPr>
                <w:rFonts w:ascii="Calibri" w:hAnsi="Calibri"/>
                <w:b/>
                <w:color w:val="101828"/>
                <w:sz w:val="16"/>
              </w:rPr>
              <w:t>projection</w:t>
            </w:r>
          </w:p>
        </w:tc>
        <w:tc>
          <w:tcPr>
            <w:tcW w:type="dxa" w:w="3312"/>
            <w:tcMar>
              <w:top w:w="60" w:type="dxa"/>
              <w:start w:w="110" w:type="dxa"/>
              <w:bottom w:w="60" w:type="dxa"/>
              <w:end w:w="110" w:type="dxa"/>
            </w:tcMar>
          </w:tcPr>
          <w:p>
            <w:pPr>
              <w:spacing w:after="0"/>
            </w:pPr>
            <w:r/>
            <w:r>
              <w:rPr>
                <w:rFonts w:ascii="Calibri" w:hAnsi="Calibri"/>
                <w:b w:val="0"/>
                <w:i w:val="0"/>
                <w:color w:val="101828"/>
                <w:sz w:val="16"/>
              </w:rPr>
              <w:t>Statements, receipts and a completion experience that feels like an achievement rather than an expiry.</w:t>
            </w:r>
          </w:p>
        </w:tc>
      </w:tr>
    </w:tbl>
    <w:p>
      <w:pPr>
        <w:spacing w:after="80"/>
      </w:pPr>
    </w:p>
    <w:p>
      <w:pPr>
        <w:spacing w:before="140" w:after="180"/>
        <w:ind w:left="144"/>
        <w:shd w:val="clear" w:color="auto" w:fill="FEE2E2"/>
        <w:pBdr>
          <w:left w:val="single" w:sz="18" w:space="6" w:color="DC2626"/>
        </w:pBdr>
      </w:pPr>
      <w:r>
        <w:rPr>
          <w:rFonts w:ascii="Calibri" w:hAnsi="Calibri"/>
          <w:b/>
          <w:color w:val="DC2626"/>
          <w:sz w:val="19"/>
        </w:rPr>
        <w:t xml:space="preserve">Fee, tax and licensing treatment  </w:t>
      </w:r>
      <w:r>
        <w:rPr>
          <w:rFonts w:ascii="Calibri" w:hAnsi="Calibri"/>
          <w:b w:val="0"/>
          <w:i w:val="0"/>
          <w:color w:val="0B1F3A"/>
          <w:sz w:val="19"/>
        </w:rPr>
        <w:t xml:space="preserve">Whether the 2% fee is tax-inclusive, and who remits VAT or withholding tax, is open decision </w:t>
      </w:r>
      <w:r>
        <w:rPr>
          <w:rFonts w:ascii="Calibri" w:hAnsi="Calibri"/>
          <w:b/>
          <w:color w:val="0B1F3A"/>
          <w:sz w:val="19"/>
        </w:rPr>
        <w:t>D-06</w:t>
      </w:r>
      <w:r>
        <w:rPr>
          <w:rFonts w:ascii="Calibri" w:hAnsi="Calibri"/>
          <w:b w:val="0"/>
          <w:i w:val="0"/>
          <w:color w:val="0B1F3A"/>
          <w:sz w:val="19"/>
        </w:rPr>
        <w:t xml:space="preserve"> and must be settled by a qualified Nigerian tax adviser. Whether AJO.ng's activities require a licence, a registration or an exemption is open decision </w:t>
      </w:r>
      <w:r>
        <w:rPr>
          <w:rFonts w:ascii="Calibri" w:hAnsi="Calibri"/>
          <w:b/>
          <w:color w:val="0B1F3A"/>
          <w:sz w:val="19"/>
        </w:rPr>
        <w:t>D-02</w:t>
      </w:r>
      <w:r>
        <w:rPr>
          <w:rFonts w:ascii="Calibri" w:hAnsi="Calibri"/>
          <w:b w:val="0"/>
          <w:i w:val="0"/>
          <w:color w:val="0B1F3A"/>
          <w:sz w:val="19"/>
        </w:rPr>
        <w:t xml:space="preserve"> and must be settled by qualified Nigerian counsel. Nothing in this PRD states or implies that any such requirement has been met.</w:t>
      </w:r>
    </w:p>
    <w:p>
      <w:pPr>
        <w:pStyle w:val="Heading2"/>
      </w:pPr>
      <w:r>
        <w:rPr>
          <w:rFonts w:ascii="Calibri" w:hAnsi="Calibri"/>
          <w:b/>
          <w:i w:val="0"/>
          <w:color w:val="146EF5"/>
          <w:sz w:val="29"/>
        </w:rPr>
        <w:t>1.10 Target users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800"/>
            <w:shd w:val="clear" w:color="auto" w:fill="0B1F3A"/>
            <w:tcMar>
              <w:top w:w="60" w:type="dxa"/>
              <w:start w:w="110" w:type="dxa"/>
              <w:bottom w:w="60" w:type="dxa"/>
              <w:end w:w="110" w:type="dxa"/>
            </w:tcMar>
          </w:tcPr>
          <w:p>
            <w:pPr>
              <w:spacing w:after="0"/>
            </w:pPr>
            <w:r/>
            <w:r>
              <w:rPr>
                <w:rFonts w:ascii="Calibri" w:hAnsi="Calibri"/>
                <w:b/>
                <w:i w:val="0"/>
                <w:color w:val="FFFFFF"/>
                <w:sz w:val="15"/>
              </w:rPr>
              <w:t>Segment</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5"/>
              </w:rPr>
              <w:t>Who</w:t>
            </w:r>
          </w:p>
        </w:tc>
        <w:tc>
          <w:tcPr>
            <w:tcW w:type="dxa" w:w="2664"/>
            <w:shd w:val="clear" w:color="auto" w:fill="0B1F3A"/>
            <w:tcMar>
              <w:top w:w="60" w:type="dxa"/>
              <w:start w:w="110" w:type="dxa"/>
              <w:bottom w:w="60" w:type="dxa"/>
              <w:end w:w="110" w:type="dxa"/>
            </w:tcMar>
          </w:tcPr>
          <w:p>
            <w:pPr>
              <w:spacing w:after="0"/>
            </w:pPr>
            <w:r/>
            <w:r>
              <w:rPr>
                <w:rFonts w:ascii="Calibri" w:hAnsi="Calibri"/>
                <w:b/>
                <w:i w:val="0"/>
                <w:color w:val="FFFFFF"/>
                <w:sz w:val="15"/>
              </w:rPr>
              <w:t>Size and shape</w:t>
            </w:r>
          </w:p>
        </w:tc>
        <w:tc>
          <w:tcPr>
            <w:tcW w:type="dxa" w:w="2592"/>
            <w:shd w:val="clear" w:color="auto" w:fill="0B1F3A"/>
            <w:tcMar>
              <w:top w:w="60" w:type="dxa"/>
              <w:start w:w="110" w:type="dxa"/>
              <w:bottom w:w="60" w:type="dxa"/>
              <w:end w:w="110" w:type="dxa"/>
            </w:tcMar>
          </w:tcPr>
          <w:p>
            <w:pPr>
              <w:spacing w:after="0"/>
            </w:pPr>
            <w:r/>
            <w:r>
              <w:rPr>
                <w:rFonts w:ascii="Calibri" w:hAnsi="Calibri"/>
                <w:b/>
                <w:i w:val="0"/>
                <w:color w:val="FFFFFF"/>
                <w:sz w:val="15"/>
              </w:rPr>
              <w:t>Why they are the target</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5"/>
              </w:rPr>
              <w:t>Primary — market traders and micro-entrepreneurs</w:t>
            </w:r>
          </w:p>
        </w:tc>
        <w:tc>
          <w:tcPr>
            <w:tcW w:type="dxa" w:w="2304"/>
            <w:tcMar>
              <w:top w:w="60" w:type="dxa"/>
              <w:start w:w="110" w:type="dxa"/>
              <w:bottom w:w="60" w:type="dxa"/>
              <w:end w:w="110" w:type="dxa"/>
            </w:tcMar>
          </w:tcPr>
          <w:p>
            <w:pPr>
              <w:spacing w:after="0"/>
            </w:pPr>
            <w:r/>
            <w:r>
              <w:rPr>
                <w:rFonts w:ascii="Calibri" w:hAnsi="Calibri"/>
                <w:b w:val="0"/>
                <w:i w:val="0"/>
                <w:color w:val="101828"/>
                <w:sz w:val="15"/>
              </w:rPr>
              <w:t>Market women and men, shop owners, traders in markets such as Balogun, Oniru, Mile 2, Sabon Gari</w:t>
            </w:r>
          </w:p>
        </w:tc>
        <w:tc>
          <w:tcPr>
            <w:tcW w:type="dxa" w:w="2664"/>
            <w:tcMar>
              <w:top w:w="60" w:type="dxa"/>
              <w:start w:w="110" w:type="dxa"/>
              <w:bottom w:w="60" w:type="dxa"/>
              <w:end w:w="110" w:type="dxa"/>
            </w:tcMar>
          </w:tcPr>
          <w:p>
            <w:pPr>
              <w:spacing w:after="0"/>
            </w:pPr>
            <w:r/>
            <w:r>
              <w:rPr>
                <w:rFonts w:ascii="Calibri" w:hAnsi="Calibri"/>
                <w:b w:val="0"/>
                <w:i w:val="0"/>
                <w:color w:val="101828"/>
                <w:sz w:val="15"/>
              </w:rPr>
              <w:t>The historical heart of the Ajo. Already save weekly. Already have a group. Cash-heavy, mobile-first, low tolerance for paperwork.</w:t>
            </w:r>
          </w:p>
        </w:tc>
        <w:tc>
          <w:tcPr>
            <w:tcW w:type="dxa" w:w="2592"/>
            <w:tcMar>
              <w:top w:w="60" w:type="dxa"/>
              <w:start w:w="110" w:type="dxa"/>
              <w:bottom w:w="60" w:type="dxa"/>
              <w:end w:w="110" w:type="dxa"/>
            </w:tcMar>
          </w:tcPr>
          <w:p>
            <w:pPr>
              <w:spacing w:after="0"/>
            </w:pPr>
            <w:r/>
            <w:r>
              <w:rPr>
                <w:rFonts w:ascii="Calibri" w:hAnsi="Calibri"/>
                <w:b w:val="0"/>
                <w:i w:val="0"/>
                <w:color w:val="101828"/>
                <w:sz w:val="15"/>
              </w:rPr>
              <w:t>Highest willingness to switch for a receipt. Lowest need for a return. The fee of NGN 20.00 per NGN 1,000.00 is the smallest possible toll for the largest possible gain in control.</w:t>
            </w:r>
          </w:p>
        </w:tc>
      </w:tr>
      <w:tr>
        <w:trPr>
          <w:cantSplit/>
        </w:trPr>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5"/>
              </w:rPr>
              <w:t>Primary — young urban professionals</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Ages roughly 24 to 35, employed, in Lagos, Abuja, Port Harcourt, Ibadan</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5"/>
              </w:rPr>
              <w:t>Join an Ajo that a parent or older relative runs. Want the record more than they want the pot. Comfortable with apps, disciplined with notifications.</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5"/>
              </w:rPr>
              <w:t>The segment most likely to complete a cycle, most likely to start a second Ajo, and most likely to bring a partner into a new one. They are the growth engine.</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5"/>
              </w:rPr>
              <w:t>Primary — students and young adults</w:t>
            </w:r>
          </w:p>
        </w:tc>
        <w:tc>
          <w:tcPr>
            <w:tcW w:type="dxa" w:w="2304"/>
            <w:tcMar>
              <w:top w:w="60" w:type="dxa"/>
              <w:start w:w="110" w:type="dxa"/>
              <w:bottom w:w="60" w:type="dxa"/>
              <w:end w:w="110" w:type="dxa"/>
            </w:tcMar>
          </w:tcPr>
          <w:p>
            <w:pPr>
              <w:spacing w:after="0"/>
            </w:pPr>
            <w:r/>
            <w:r>
              <w:rPr>
                <w:rFonts w:ascii="Calibri" w:hAnsi="Calibri"/>
                <w:b w:val="0"/>
                <w:i w:val="0"/>
                <w:color w:val="101828"/>
                <w:sz w:val="15"/>
              </w:rPr>
              <w:t>Ages roughly 18 to 23, university and polytechnic, often with irregular income</w:t>
            </w:r>
          </w:p>
        </w:tc>
        <w:tc>
          <w:tcPr>
            <w:tcW w:type="dxa" w:w="2664"/>
            <w:tcMar>
              <w:top w:w="60" w:type="dxa"/>
              <w:start w:w="110" w:type="dxa"/>
              <w:bottom w:w="60" w:type="dxa"/>
              <w:end w:w="110" w:type="dxa"/>
            </w:tcMar>
          </w:tcPr>
          <w:p>
            <w:pPr>
              <w:spacing w:after="0"/>
            </w:pPr>
            <w:r/>
            <w:r>
              <w:rPr>
                <w:rFonts w:ascii="Calibri" w:hAnsi="Calibri"/>
                <w:b w:val="0"/>
                <w:i w:val="0"/>
                <w:color w:val="101828"/>
                <w:sz w:val="15"/>
              </w:rPr>
              <w:t>Small contributions, high sensitivity to the fee, need a fixed schedule they can meet around lectures and holidays.</w:t>
            </w:r>
          </w:p>
        </w:tc>
        <w:tc>
          <w:tcPr>
            <w:tcW w:type="dxa" w:w="2592"/>
            <w:tcMar>
              <w:top w:w="60" w:type="dxa"/>
              <w:start w:w="110" w:type="dxa"/>
              <w:bottom w:w="60" w:type="dxa"/>
              <w:end w:w="110" w:type="dxa"/>
            </w:tcMar>
          </w:tcPr>
          <w:p>
            <w:pPr>
              <w:spacing w:after="0"/>
            </w:pPr>
            <w:r/>
            <w:r>
              <w:rPr>
                <w:rFonts w:ascii="Calibri" w:hAnsi="Calibri"/>
                <w:b w:val="0"/>
                <w:i w:val="0"/>
                <w:color w:val="101828"/>
                <w:sz w:val="15"/>
              </w:rPr>
              <w:t>Cheapest to acquire, most price-sensitive, most likely to churn on the first missed payment. Their retention tests the grace-period design.</w:t>
            </w:r>
          </w:p>
        </w:tc>
      </w:tr>
      <w:tr>
        <w:trPr>
          <w:cantSplit/>
        </w:trPr>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5"/>
              </w:rPr>
              <w:t>Secondary — small business owners</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Owner-operators with real cash flow, inventory to finance, and a need for a predictable lump sum</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5"/>
              </w:rPr>
              <w:t>Run Ajos themselves, sometimes several. Think in terms of working capital and inventory, not savings.</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5"/>
              </w:rPr>
              <w:t>Highest lifetime value and highest Ajo count per user. They are also the segment most likely to attempt to game position order, which is a design pressure that must be anticipated.</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5"/>
              </w:rPr>
              <w:t>Secondary — diaspora members</w:t>
            </w:r>
          </w:p>
        </w:tc>
        <w:tc>
          <w:tcPr>
            <w:tcW w:type="dxa" w:w="2304"/>
            <w:tcMar>
              <w:top w:w="60" w:type="dxa"/>
              <w:start w:w="110" w:type="dxa"/>
              <w:bottom w:w="60" w:type="dxa"/>
              <w:end w:w="110" w:type="dxa"/>
            </w:tcMar>
          </w:tcPr>
          <w:p>
            <w:pPr>
              <w:spacing w:after="0"/>
            </w:pPr>
            <w:r/>
            <w:r>
              <w:rPr>
                <w:rFonts w:ascii="Calibri" w:hAnsi="Calibri"/>
                <w:b w:val="0"/>
                <w:i w:val="0"/>
                <w:color w:val="101828"/>
                <w:sz w:val="15"/>
              </w:rPr>
              <w:t>Nigerians living outside Nigeria who want to participate in a family Ajo and cannot be present on collection day</w:t>
            </w:r>
          </w:p>
        </w:tc>
        <w:tc>
          <w:tcPr>
            <w:tcW w:type="dxa" w:w="2664"/>
            <w:tcMar>
              <w:top w:w="60" w:type="dxa"/>
              <w:start w:w="110" w:type="dxa"/>
              <w:bottom w:w="60" w:type="dxa"/>
              <w:end w:w="110" w:type="dxa"/>
            </w:tcMar>
          </w:tcPr>
          <w:p>
            <w:pPr>
              <w:spacing w:after="0"/>
            </w:pPr>
            <w:r/>
            <w:r>
              <w:rPr>
                <w:rFonts w:ascii="Calibri" w:hAnsi="Calibri"/>
                <w:b w:val="0"/>
                <w:i w:val="0"/>
                <w:color w:val="101828"/>
                <w:sz w:val="15"/>
              </w:rPr>
              <w:t>Contribute remotely, in their own currency's worth, from abroad. Often the organiser of a family Ajo spread across two or three countries.</w:t>
            </w:r>
          </w:p>
        </w:tc>
        <w:tc>
          <w:tcPr>
            <w:tcW w:type="dxa" w:w="2592"/>
            <w:tcMar>
              <w:top w:w="60" w:type="dxa"/>
              <w:start w:w="110" w:type="dxa"/>
              <w:bottom w:w="60" w:type="dxa"/>
              <w:end w:w="110" w:type="dxa"/>
            </w:tcMar>
          </w:tcPr>
          <w:p>
            <w:pPr>
              <w:spacing w:after="0"/>
            </w:pPr>
            <w:r/>
            <w:r>
              <w:rPr>
                <w:rFonts w:ascii="Calibri" w:hAnsi="Calibri"/>
                <w:b w:val="0"/>
                <w:i w:val="0"/>
                <w:color w:val="101828"/>
                <w:sz w:val="15"/>
              </w:rPr>
              <w:t>Expands the total addressable market substantially and solves the single biggest structural complaint about traditional Ajos (P10). Also the segment with the highest per-member willingness to pay and the highest support cost.</w:t>
            </w:r>
          </w:p>
        </w:tc>
      </w:tr>
      <w:tr>
        <w:trPr>
          <w:cantSplit/>
        </w:trPr>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5"/>
              </w:rPr>
              <w:t>Not targeted at launch</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Institutional and corporate scheme participants, government programmes, large associations, non-Nigerian users</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5"/>
              </w:rPr>
              <w:t>—</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5"/>
              </w:rPr>
              <w:t>None of the required controls, limits, legal analysis or support model exist for these segments at launch. They are out of scope, not merely unpromoted.</w:t>
            </w:r>
          </w:p>
        </w:tc>
      </w:tr>
    </w:tbl>
    <w:p>
      <w:pPr>
        <w:spacing w:after="80"/>
      </w:pPr>
    </w:p>
    <w:p>
      <w:pPr>
        <w:spacing w:before="140" w:after="180"/>
        <w:ind w:left="144"/>
        <w:shd w:val="clear" w:color="auto" w:fill="EDE9FE"/>
        <w:pBdr>
          <w:left w:val="single" w:sz="18" w:space="6" w:color="7C3AED"/>
        </w:pBdr>
      </w:pPr>
      <w:r>
        <w:rPr>
          <w:rFonts w:ascii="Calibri" w:hAnsi="Calibri"/>
          <w:b/>
          <w:color w:val="7C3AED"/>
          <w:sz w:val="19"/>
        </w:rPr>
        <w:t xml:space="preserve">Segment sizing  </w:t>
      </w:r>
      <w:r>
        <w:rPr>
          <w:rFonts w:ascii="Calibri" w:hAnsi="Calibri"/>
          <w:b w:val="0"/>
          <w:i w:val="0"/>
          <w:color w:val="0B1F3A"/>
          <w:sz w:val="19"/>
        </w:rPr>
        <w:t xml:space="preserve">The segment definitions above are a working segmentation derived from founder knowledge of the practice. They are </w:t>
      </w:r>
      <w:r>
        <w:rPr>
          <w:rFonts w:ascii="Calibri" w:hAnsi="Calibri"/>
          <w:b/>
          <w:color w:val="0B1F3A"/>
          <w:sz w:val="19"/>
        </w:rPr>
        <w:t>not</w:t>
      </w:r>
      <w:r>
        <w:rPr>
          <w:rFonts w:ascii="Calibri" w:hAnsi="Calibri"/>
          <w:b w:val="0"/>
          <w:i w:val="0"/>
          <w:color w:val="0B1F3A"/>
          <w:sz w:val="19"/>
        </w:rPr>
        <w:t xml:space="preserve"> derived from a documented market study, and no third-party market sizing has been commissioned as at the date of this document. Validation path: primary research with 20 to 30 target users and 5 to 10 organisers across 2 cities before the growth plan is committed. Owner: Founders.</w:t>
      </w:r>
    </w:p>
    <w:p>
      <w:pPr>
        <w:pStyle w:val="Heading2"/>
      </w:pPr>
      <w:r>
        <w:rPr>
          <w:rFonts w:ascii="Calibri" w:hAnsi="Calibri"/>
          <w:b/>
          <w:i w:val="0"/>
          <w:color w:val="146EF5"/>
          <w:sz w:val="29"/>
        </w:rPr>
        <w:t>1.11 User personas</w:t>
      </w:r>
    </w:p>
    <w:p>
      <w:r>
        <w:rPr>
          <w:rFonts w:ascii="Calibri" w:hAnsi="Calibri"/>
          <w:b w:val="0"/>
          <w:i w:val="0"/>
          <w:color w:val="101828"/>
          <w:sz w:val="21"/>
        </w:rPr>
        <w:t>Six personas. Five are the target segments from section 1.10. The sixth, Chidi, represents the largest and least-served group in every Ajo: the member who simply wants to pay and be left alone. Designing for him is what stops AJO.ng from becoming a job.</w:t>
      </w:r>
    </w:p>
    <w:p>
      <w:pPr>
        <w:pStyle w:val="Heading3"/>
      </w:pPr>
      <w:r>
        <w:rPr>
          <w:rFonts w:ascii="Calibri" w:hAnsi="Calibri"/>
          <w:b/>
          <w:i w:val="0"/>
          <w:color w:val="0B1F3A"/>
          <w:sz w:val="24"/>
        </w:rPr>
        <w:t>1.11.1 Alhaji Musa — the market organiser</w:t>
      </w:r>
    </w:p>
    <w:p>
      <w:pPr>
        <w:spacing w:after="40"/>
        <w:ind w:left="173"/>
      </w:pPr>
      <w:r>
        <w:rPr>
          <w:rFonts w:ascii="Calibri" w:hAnsi="Calibri"/>
          <w:b/>
          <w:color w:val="0B1F3A"/>
          <w:sz w:val="21"/>
        </w:rPr>
        <w:t xml:space="preserve">Age / location  </w:t>
      </w:r>
      <w:r>
        <w:rPr>
          <w:rFonts w:ascii="Calibri" w:hAnsi="Calibri"/>
          <w:b w:val="0"/>
          <w:i w:val="0"/>
          <w:color w:val="101828"/>
          <w:sz w:val="21"/>
        </w:rPr>
        <w:t>47. Balogun Market, Lagos. Runs a provisions stall, employs two.</w:t>
      </w:r>
    </w:p>
    <w:p>
      <w:pPr>
        <w:spacing w:after="40"/>
        <w:ind w:left="173"/>
      </w:pPr>
      <w:r>
        <w:rPr>
          <w:rFonts w:ascii="Calibri" w:hAnsi="Calibri"/>
          <w:b/>
          <w:color w:val="0B1F3A"/>
          <w:sz w:val="21"/>
        </w:rPr>
        <w:t xml:space="preserve">Context  </w:t>
      </w:r>
      <w:r>
        <w:rPr>
          <w:rFonts w:ascii="Calibri" w:hAnsi="Calibri"/>
          <w:b w:val="0"/>
          <w:i w:val="0"/>
          <w:color w:val="101828"/>
          <w:sz w:val="21"/>
        </w:rPr>
        <w:t>Has organised Ajos for eleven years, usually eight to twelve people, always from his own network. Runs two at the moment. Holds NGN 100,000.00 to NGN 200,000.00 of members' money at any time, in a bag.</w:t>
      </w:r>
    </w:p>
    <w:p>
      <w:pPr>
        <w:spacing w:after="40"/>
        <w:ind w:left="173"/>
      </w:pPr>
      <w:r>
        <w:rPr>
          <w:rFonts w:ascii="Calibri" w:hAnsi="Calibri"/>
          <w:b/>
          <w:color w:val="0B1F3A"/>
          <w:sz w:val="21"/>
        </w:rPr>
        <w:t xml:space="preserve">Goals  </w:t>
      </w:r>
      <w:r>
        <w:rPr>
          <w:rFonts w:ascii="Calibri" w:hAnsi="Calibri"/>
          <w:b w:val="0"/>
          <w:i w:val="0"/>
          <w:color w:val="101828"/>
          <w:sz w:val="21"/>
        </w:rPr>
        <w:t>Stop being the cashier. Be sure the money he is responsible for is provably safe. Prove to members that he is honest without having to argue it. Retire from collecting without ending the Ajo.</w:t>
      </w:r>
    </w:p>
    <w:p>
      <w:pPr>
        <w:spacing w:after="40"/>
        <w:ind w:left="173"/>
      </w:pPr>
      <w:r>
        <w:rPr>
          <w:rFonts w:ascii="Calibri" w:hAnsi="Calibri"/>
          <w:b/>
          <w:color w:val="0B1F3A"/>
          <w:sz w:val="21"/>
        </w:rPr>
        <w:t xml:space="preserve">Frustrations  </w:t>
      </w:r>
      <w:r>
        <w:rPr>
          <w:rFonts w:ascii="Calibri" w:hAnsi="Calibri"/>
          <w:b w:val="0"/>
          <w:i w:val="0"/>
          <w:color w:val="101828"/>
          <w:sz w:val="21"/>
        </w:rPr>
        <w:t>Loses the notebook constantly. Cannot answer 'who paid in round four' from memory. Fears a member claiming he never paid and having no way to settle it. Spends two to three hours every Friday. Felt embarrassed refusing to pay someone who was short.</w:t>
      </w:r>
    </w:p>
    <w:p>
      <w:pPr>
        <w:spacing w:after="40"/>
        <w:ind w:left="173"/>
      </w:pPr>
      <w:r>
        <w:rPr>
          <w:rFonts w:ascii="Calibri" w:hAnsi="Calibri"/>
          <w:b/>
          <w:color w:val="0B1F3A"/>
          <w:sz w:val="21"/>
        </w:rPr>
        <w:t xml:space="preserve">Tech comfort  </w:t>
      </w:r>
      <w:r>
        <w:rPr>
          <w:rFonts w:ascii="Calibri" w:hAnsi="Calibri"/>
          <w:b w:val="0"/>
          <w:i w:val="0"/>
          <w:color w:val="101828"/>
          <w:sz w:val="21"/>
        </w:rPr>
        <w:t>Comfortable with WhatsApp, mobile money and a smartphone. Will not use a system that takes more than ten minutes to learn. Will not do data entry beyond his name and a number.</w:t>
      </w:r>
    </w:p>
    <w:p>
      <w:pPr>
        <w:spacing w:after="40"/>
        <w:ind w:left="173"/>
      </w:pPr>
      <w:r>
        <w:rPr>
          <w:rFonts w:ascii="Calibri" w:hAnsi="Calibri"/>
          <w:b/>
          <w:color w:val="0B1F3A"/>
          <w:sz w:val="21"/>
        </w:rPr>
        <w:t xml:space="preserve">What success looks like  </w:t>
      </w:r>
      <w:r>
        <w:rPr>
          <w:rFonts w:ascii="Calibri" w:hAnsi="Calibri"/>
          <w:b w:val="0"/>
          <w:i w:val="0"/>
          <w:color w:val="101828"/>
          <w:sz w:val="21"/>
        </w:rPr>
        <w:t>He opens AJO.ng on a Friday, sees that round six is fully funded, presses one button, and closes the app. He can show any member a receipt at any time. He never touches cash.</w:t>
      </w:r>
    </w:p>
    <w:p>
      <w:pPr>
        <w:spacing w:after="40"/>
        <w:ind w:left="173"/>
      </w:pPr>
      <w:r>
        <w:rPr>
          <w:rFonts w:ascii="Calibri" w:hAnsi="Calibri"/>
          <w:b/>
          <w:color w:val="0B1F3A"/>
          <w:sz w:val="21"/>
        </w:rPr>
        <w:t xml:space="preserve">Will not tolerate  </w:t>
      </w:r>
      <w:r>
        <w:rPr>
          <w:rFonts w:ascii="Calibri" w:hAnsi="Calibri"/>
          <w:b w:val="0"/>
          <w:i w:val="0"/>
          <w:color w:val="101828"/>
          <w:sz w:val="21"/>
        </w:rPr>
        <w:t>Being asked to verify balances manually. Being asked to chase members. Any wording that implies he is suspected of dishonesty. Any interface that makes him look like a clerk.</w:t>
      </w:r>
    </w:p>
    <w:p>
      <w:pPr>
        <w:pStyle w:val="Heading3"/>
      </w:pPr>
      <w:r>
        <w:rPr>
          <w:rFonts w:ascii="Calibri" w:hAnsi="Calibri"/>
          <w:b/>
          <w:i w:val="0"/>
          <w:color w:val="0B1F3A"/>
          <w:sz w:val="24"/>
        </w:rPr>
        <w:t>1.11.2 Ada — the young professional</w:t>
      </w:r>
    </w:p>
    <w:p>
      <w:pPr>
        <w:spacing w:after="40"/>
        <w:ind w:left="173"/>
      </w:pPr>
      <w:r>
        <w:rPr>
          <w:rFonts w:ascii="Calibri" w:hAnsi="Calibri"/>
          <w:b/>
          <w:color w:val="0B1F3A"/>
          <w:sz w:val="21"/>
        </w:rPr>
        <w:t xml:space="preserve">Age / location  </w:t>
      </w:r>
      <w:r>
        <w:rPr>
          <w:rFonts w:ascii="Calibri" w:hAnsi="Calibri"/>
          <w:b w:val="0"/>
          <w:i w:val="0"/>
          <w:color w:val="101828"/>
          <w:sz w:val="21"/>
        </w:rPr>
        <w:t>29. Lekki, Lagos. Product manager, fintech employer, pays rent monthly.</w:t>
      </w:r>
    </w:p>
    <w:p>
      <w:pPr>
        <w:spacing w:after="40"/>
        <w:ind w:left="173"/>
      </w:pPr>
      <w:r>
        <w:rPr>
          <w:rFonts w:ascii="Calibri" w:hAnsi="Calibri"/>
          <w:b/>
          <w:color w:val="0B1F3A"/>
          <w:sz w:val="21"/>
        </w:rPr>
        <w:t xml:space="preserve">Context  </w:t>
      </w:r>
      <w:r>
        <w:rPr>
          <w:rFonts w:ascii="Calibri" w:hAnsi="Calibri"/>
          <w:b w:val="0"/>
          <w:i w:val="0"/>
          <w:color w:val="101828"/>
          <w:sz w:val="21"/>
        </w:rPr>
        <w:t>Joined her mother's Ajo two years ago and now organises one herself with six colleagues. Comfortable with apps, uses three financial apps already, expects a good interface and will abandon a bad one without sentiment.</w:t>
      </w:r>
    </w:p>
    <w:p>
      <w:pPr>
        <w:spacing w:after="40"/>
        <w:ind w:left="173"/>
      </w:pPr>
      <w:r>
        <w:rPr>
          <w:rFonts w:ascii="Calibri" w:hAnsi="Calibri"/>
          <w:b/>
          <w:color w:val="0B1F3A"/>
          <w:sz w:val="21"/>
        </w:rPr>
        <w:t xml:space="preserve">Goals  </w:t>
      </w:r>
      <w:r>
        <w:rPr>
          <w:rFonts w:ascii="Calibri" w:hAnsi="Calibri"/>
          <w:b w:val="0"/>
          <w:i w:val="0"/>
          <w:color w:val="101828"/>
          <w:sz w:val="21"/>
        </w:rPr>
        <w:t>Know her exact position at any moment. Get a proper statement at the end. See the fee clearly and not feel nickel-and-dimed. Eventually use the record to qualify for something better.</w:t>
      </w:r>
    </w:p>
    <w:p>
      <w:pPr>
        <w:spacing w:after="40"/>
        <w:ind w:left="173"/>
      </w:pPr>
      <w:r>
        <w:rPr>
          <w:rFonts w:ascii="Calibri" w:hAnsi="Calibri"/>
          <w:b/>
          <w:color w:val="0B1F3A"/>
          <w:sz w:val="21"/>
        </w:rPr>
        <w:t xml:space="preserve">Frustrations  </w:t>
      </w:r>
      <w:r>
        <w:rPr>
          <w:rFonts w:ascii="Calibri" w:hAnsi="Calibri"/>
          <w:b w:val="0"/>
          <w:i w:val="0"/>
          <w:color w:val="101828"/>
          <w:sz w:val="21"/>
        </w:rPr>
        <w:t>Hates asking her mother whether she paid round three. Has no idea what the pot is currently worth. Finds the 2% fee annoying but tolerable if it is stated up front. Finds the invitation flow long.</w:t>
      </w:r>
    </w:p>
    <w:p>
      <w:pPr>
        <w:spacing w:after="40"/>
        <w:ind w:left="173"/>
      </w:pPr>
      <w:r>
        <w:rPr>
          <w:rFonts w:ascii="Calibri" w:hAnsi="Calibri"/>
          <w:b/>
          <w:color w:val="0B1F3A"/>
          <w:sz w:val="21"/>
        </w:rPr>
        <w:t xml:space="preserve">Tech comfort  </w:t>
      </w:r>
      <w:r>
        <w:rPr>
          <w:rFonts w:ascii="Calibri" w:hAnsi="Calibri"/>
          <w:b w:val="0"/>
          <w:i w:val="0"/>
          <w:color w:val="101828"/>
          <w:sz w:val="21"/>
        </w:rPr>
        <w:t>High. Expects push notifications, dark mode, fast navigation, no surprises. Will read a receipt. Will compare AJO.ng against her other savings apps and expect it to be presentable.</w:t>
      </w:r>
    </w:p>
    <w:p>
      <w:pPr>
        <w:spacing w:after="40"/>
        <w:ind w:left="173"/>
      </w:pPr>
      <w:r>
        <w:rPr>
          <w:rFonts w:ascii="Calibri" w:hAnsi="Calibri"/>
          <w:b/>
          <w:color w:val="0B1F3A"/>
          <w:sz w:val="21"/>
        </w:rPr>
        <w:t xml:space="preserve">What success looks like  </w:t>
      </w:r>
      <w:r>
        <w:rPr>
          <w:rFonts w:ascii="Calibri" w:hAnsi="Calibri"/>
          <w:b w:val="0"/>
          <w:i w:val="0"/>
          <w:color w:val="101828"/>
          <w:sz w:val="21"/>
        </w:rPr>
        <w:t>A dashboard that tells her, without being asked, what she owes next, when her turn is, and what she has received. A statement she would be willing to attach to a loan application.</w:t>
      </w:r>
    </w:p>
    <w:p>
      <w:pPr>
        <w:spacing w:after="40"/>
        <w:ind w:left="173"/>
      </w:pPr>
      <w:r>
        <w:rPr>
          <w:rFonts w:ascii="Calibri" w:hAnsi="Calibri"/>
          <w:b/>
          <w:color w:val="0B1F3A"/>
          <w:sz w:val="21"/>
        </w:rPr>
        <w:t xml:space="preserve">Will not tolerate  </w:t>
      </w:r>
      <w:r>
        <w:rPr>
          <w:rFonts w:ascii="Calibri" w:hAnsi="Calibri"/>
          <w:b w:val="0"/>
          <w:i w:val="0"/>
          <w:color w:val="101828"/>
          <w:sz w:val="21"/>
        </w:rPr>
        <w:t>Hidden fees. A slow app. Being forced to call anyone. Losing her position because of a UI error.</w:t>
      </w:r>
    </w:p>
    <w:p>
      <w:pPr>
        <w:pStyle w:val="Heading3"/>
      </w:pPr>
      <w:r>
        <w:rPr>
          <w:rFonts w:ascii="Calibri" w:hAnsi="Calibri"/>
          <w:b/>
          <w:i w:val="0"/>
          <w:color w:val="0B1F3A"/>
          <w:sz w:val="24"/>
        </w:rPr>
        <w:t>1.11.3 Tunde — the student</w:t>
      </w:r>
    </w:p>
    <w:p>
      <w:pPr>
        <w:spacing w:after="40"/>
        <w:ind w:left="173"/>
      </w:pPr>
      <w:r>
        <w:rPr>
          <w:rFonts w:ascii="Calibri" w:hAnsi="Calibri"/>
          <w:b/>
          <w:color w:val="0B1F3A"/>
          <w:sz w:val="21"/>
        </w:rPr>
        <w:t xml:space="preserve">Age / location  </w:t>
      </w:r>
      <w:r>
        <w:rPr>
          <w:rFonts w:ascii="Calibri" w:hAnsi="Calibri"/>
          <w:b w:val="0"/>
          <w:i w:val="0"/>
          <w:color w:val="101828"/>
          <w:sz w:val="21"/>
        </w:rPr>
        <w:t>21. Ibadan. Undergraduate, irregular income from odd jobs and family support.</w:t>
      </w:r>
    </w:p>
    <w:p>
      <w:pPr>
        <w:spacing w:after="40"/>
        <w:ind w:left="173"/>
      </w:pPr>
      <w:r>
        <w:rPr>
          <w:rFonts w:ascii="Calibri" w:hAnsi="Calibri"/>
          <w:b/>
          <w:color w:val="0B1F3A"/>
          <w:sz w:val="21"/>
        </w:rPr>
        <w:t xml:space="preserve">Context  </w:t>
      </w:r>
      <w:r>
        <w:rPr>
          <w:rFonts w:ascii="Calibri" w:hAnsi="Calibri"/>
          <w:b w:val="0"/>
          <w:i w:val="0"/>
          <w:color w:val="101828"/>
          <w:sz w:val="21"/>
        </w:rPr>
        <w:t>Wants to be in an Ajo for the discipline but finds a fixed Friday hard. A missed payment would be genuinely stressful rather than merely embarrassing.</w:t>
      </w:r>
    </w:p>
    <w:p>
      <w:pPr>
        <w:spacing w:after="40"/>
        <w:ind w:left="173"/>
      </w:pPr>
      <w:r>
        <w:rPr>
          <w:rFonts w:ascii="Calibri" w:hAnsi="Calibri"/>
          <w:b/>
          <w:color w:val="0B1F3A"/>
          <w:sz w:val="21"/>
        </w:rPr>
        <w:t xml:space="preserve">Goals  </w:t>
      </w:r>
      <w:r>
        <w:rPr>
          <w:rFonts w:ascii="Calibri" w:hAnsi="Calibri"/>
          <w:b w:val="0"/>
          <w:i w:val="0"/>
          <w:color w:val="101828"/>
          <w:sz w:val="21"/>
        </w:rPr>
        <w:t>Start small. Build the habit of paying regularly. Not lose face if he misses one. Understand exactly what he owes at any time without doing arithmetic.</w:t>
      </w:r>
    </w:p>
    <w:p>
      <w:pPr>
        <w:spacing w:after="40"/>
        <w:ind w:left="173"/>
      </w:pPr>
      <w:r>
        <w:rPr>
          <w:rFonts w:ascii="Calibri" w:hAnsi="Calibri"/>
          <w:b/>
          <w:color w:val="0B1F3A"/>
          <w:sz w:val="21"/>
        </w:rPr>
        <w:t xml:space="preserve">Frustrations  </w:t>
      </w:r>
      <w:r>
        <w:rPr>
          <w:rFonts w:ascii="Calibri" w:hAnsi="Calibri"/>
          <w:b w:val="0"/>
          <w:i w:val="0"/>
          <w:color w:val="101828"/>
          <w:sz w:val="21"/>
        </w:rPr>
        <w:t>Fees feel large relative to NGN 500.00. Does not want to read terms. Wants SMS because push notifications get cleared. Worried about what happens if he is short one week.</w:t>
      </w:r>
    </w:p>
    <w:p>
      <w:pPr>
        <w:spacing w:after="40"/>
        <w:ind w:left="173"/>
      </w:pPr>
      <w:r>
        <w:rPr>
          <w:rFonts w:ascii="Calibri" w:hAnsi="Calibri"/>
          <w:b/>
          <w:color w:val="0B1F3A"/>
          <w:sz w:val="21"/>
        </w:rPr>
        <w:t xml:space="preserve">Tech comfort  </w:t>
      </w:r>
      <w:r>
        <w:rPr>
          <w:rFonts w:ascii="Calibri" w:hAnsi="Calibri"/>
          <w:b w:val="0"/>
          <w:i w:val="0"/>
          <w:color w:val="101828"/>
          <w:sz w:val="21"/>
        </w:rPr>
        <w:t>Moderate. Heavy Android user, low-end device, limited data, uses SMS and WhatsApp far more than apps. Will delete an app he does not use weekly.</w:t>
      </w:r>
    </w:p>
    <w:p>
      <w:pPr>
        <w:spacing w:after="40"/>
        <w:ind w:left="173"/>
      </w:pPr>
      <w:r>
        <w:rPr>
          <w:rFonts w:ascii="Calibri" w:hAnsi="Calibri"/>
          <w:b/>
          <w:color w:val="0B1F3A"/>
          <w:sz w:val="21"/>
        </w:rPr>
        <w:t xml:space="preserve">What success looks like  </w:t>
      </w:r>
      <w:r>
        <w:rPr>
          <w:rFonts w:ascii="Calibri" w:hAnsi="Calibri"/>
          <w:b w:val="0"/>
          <w:i w:val="0"/>
          <w:color w:val="101828"/>
          <w:sz w:val="21"/>
        </w:rPr>
        <w:t>An SMS on Thursday telling him what is due on Friday. A one-tap payment that works on a weak network. A clear statement that he did the right thing, not a lecture when he did not.</w:t>
      </w:r>
    </w:p>
    <w:p>
      <w:pPr>
        <w:spacing w:after="40"/>
        <w:ind w:left="173"/>
      </w:pPr>
      <w:r>
        <w:rPr>
          <w:rFonts w:ascii="Calibri" w:hAnsi="Calibri"/>
          <w:b/>
          <w:color w:val="0B1F3A"/>
          <w:sz w:val="21"/>
        </w:rPr>
        <w:t xml:space="preserve">Will not tolerate  </w:t>
      </w:r>
      <w:r>
        <w:rPr>
          <w:rFonts w:ascii="Calibri" w:hAnsi="Calibri"/>
          <w:b w:val="0"/>
          <w:i w:val="0"/>
          <w:color w:val="101828"/>
          <w:sz w:val="21"/>
        </w:rPr>
        <w:t>Public exposure of a missed payment. A complicated sign-up. Being charged more than he expected.</w:t>
      </w:r>
    </w:p>
    <w:p>
      <w:pPr>
        <w:pStyle w:val="Heading3"/>
      </w:pPr>
      <w:r>
        <w:rPr>
          <w:rFonts w:ascii="Calibri" w:hAnsi="Calibri"/>
          <w:b/>
          <w:i w:val="0"/>
          <w:color w:val="0B1F3A"/>
          <w:sz w:val="24"/>
        </w:rPr>
        <w:t>1.11.4 Bisi Okonkwo — the small business owner</w:t>
      </w:r>
    </w:p>
    <w:p>
      <w:pPr>
        <w:spacing w:after="40"/>
        <w:ind w:left="173"/>
      </w:pPr>
      <w:r>
        <w:rPr>
          <w:rFonts w:ascii="Calibri" w:hAnsi="Calibri"/>
          <w:b/>
          <w:color w:val="0B1F3A"/>
          <w:sz w:val="21"/>
        </w:rPr>
        <w:t xml:space="preserve">Age / location  </w:t>
      </w:r>
      <w:r>
        <w:rPr>
          <w:rFonts w:ascii="Calibri" w:hAnsi="Calibri"/>
          <w:b w:val="0"/>
          <w:i w:val="0"/>
          <w:color w:val="101828"/>
          <w:sz w:val="21"/>
        </w:rPr>
        <w:t>39. Aba, Rivers State. Runs aProvision and provisions store, plus a small bakery.</w:t>
      </w:r>
    </w:p>
    <w:p>
      <w:pPr>
        <w:spacing w:after="40"/>
        <w:ind w:left="173"/>
      </w:pPr>
      <w:r>
        <w:rPr>
          <w:rFonts w:ascii="Calibri" w:hAnsi="Calibri"/>
          <w:b/>
          <w:color w:val="0B1F3A"/>
          <w:sz w:val="21"/>
        </w:rPr>
        <w:t xml:space="preserve">Context  </w:t>
      </w:r>
      <w:r>
        <w:rPr>
          <w:rFonts w:ascii="Calibri" w:hAnsi="Calibri"/>
          <w:b w:val="0"/>
          <w:i w:val="0"/>
          <w:color w:val="101828"/>
          <w:sz w:val="21"/>
        </w:rPr>
        <w:t>Uses the Ajo to finance inventory at specific points in her business year. Thinks in terms of cash flow timing, not savings. May run an Ajo among her staff and a second among her siblings.</w:t>
      </w:r>
    </w:p>
    <w:p>
      <w:pPr>
        <w:spacing w:after="40"/>
        <w:ind w:left="173"/>
      </w:pPr>
      <w:r>
        <w:rPr>
          <w:rFonts w:ascii="Calibri" w:hAnsi="Calibri"/>
          <w:b/>
          <w:color w:val="0B1F3A"/>
          <w:sz w:val="21"/>
        </w:rPr>
        <w:t xml:space="preserve">Goals  </w:t>
      </w:r>
      <w:r>
        <w:rPr>
          <w:rFonts w:ascii="Calibri" w:hAnsi="Calibri"/>
          <w:b w:val="0"/>
          <w:i w:val="0"/>
          <w:color w:val="101828"/>
          <w:sz w:val="21"/>
        </w:rPr>
        <w:t>Predictable lump sums at predictable dates. Ability to hand an Ajo to a manager if she travels. Assurance that the money is in a system, not a handbag.</w:t>
      </w:r>
    </w:p>
    <w:p>
      <w:pPr>
        <w:spacing w:after="40"/>
        <w:ind w:left="173"/>
      </w:pPr>
      <w:r>
        <w:rPr>
          <w:rFonts w:ascii="Calibri" w:hAnsi="Calibri"/>
          <w:b/>
          <w:color w:val="0B1F3A"/>
          <w:sz w:val="21"/>
        </w:rPr>
        <w:t xml:space="preserve">Frustrations  </w:t>
      </w:r>
      <w:r>
        <w:rPr>
          <w:rFonts w:ascii="Calibri" w:hAnsi="Calibri"/>
          <w:b w:val="0"/>
          <w:i w:val="0"/>
          <w:color w:val="101828"/>
          <w:sz w:val="21"/>
        </w:rPr>
        <w:t>Has lost money twice when an organiser moved abroad. Cannot get a record of the payments she made, which her accountant asked for. Worried about initiating a payout on a day she is not present.</w:t>
      </w:r>
    </w:p>
    <w:p>
      <w:pPr>
        <w:spacing w:after="40"/>
        <w:ind w:left="173"/>
      </w:pPr>
      <w:r>
        <w:rPr>
          <w:rFonts w:ascii="Calibri" w:hAnsi="Calibri"/>
          <w:b/>
          <w:color w:val="0B1F3A"/>
          <w:sz w:val="21"/>
        </w:rPr>
        <w:t xml:space="preserve">Tech comfort  </w:t>
      </w:r>
      <w:r>
        <w:rPr>
          <w:rFonts w:ascii="Calibri" w:hAnsi="Calibri"/>
          <w:b w:val="0"/>
          <w:i w:val="0"/>
          <w:color w:val="101828"/>
          <w:sz w:val="21"/>
        </w:rPr>
        <w:t>High for her own business — she already uses a POS and a bank app. Time-poor. Delegates aggressively to staff, which creates an access-control problem AJO.ng must solve.</w:t>
      </w:r>
    </w:p>
    <w:p>
      <w:pPr>
        <w:spacing w:after="40"/>
        <w:ind w:left="173"/>
      </w:pPr>
      <w:r>
        <w:rPr>
          <w:rFonts w:ascii="Calibri" w:hAnsi="Calibri"/>
          <w:b/>
          <w:color w:val="0B1F3A"/>
          <w:sz w:val="21"/>
        </w:rPr>
        <w:t xml:space="preserve">What success looks like  </w:t>
      </w:r>
      <w:r>
        <w:rPr>
          <w:rFonts w:ascii="Calibri" w:hAnsi="Calibri"/>
          <w:b w:val="0"/>
          <w:i w:val="0"/>
          <w:color w:val="101828"/>
          <w:sz w:val="21"/>
        </w:rPr>
        <w:t>A statement her accountant accepts. An ability to nominate a trusted deputy. Predictable payout dates she can plan stock purchases around.</w:t>
      </w:r>
    </w:p>
    <w:p>
      <w:pPr>
        <w:spacing w:after="40"/>
        <w:ind w:left="173"/>
      </w:pPr>
      <w:r>
        <w:rPr>
          <w:rFonts w:ascii="Calibri" w:hAnsi="Calibri"/>
          <w:b/>
          <w:color w:val="0B1F3A"/>
          <w:sz w:val="21"/>
        </w:rPr>
        <w:t xml:space="preserve">Will not tolerate  </w:t>
      </w:r>
      <w:r>
        <w:rPr>
          <w:rFonts w:ascii="Calibri" w:hAnsi="Calibri"/>
          <w:b w:val="0"/>
          <w:i w:val="0"/>
          <w:color w:val="101828"/>
          <w:sz w:val="21"/>
        </w:rPr>
        <w:t>Having to be present. Needing to explain the Ajo to her accountant. Any ambiguity about who can trigger a payout.</w:t>
      </w:r>
    </w:p>
    <w:p>
      <w:pPr>
        <w:pStyle w:val="Heading3"/>
      </w:pPr>
      <w:r>
        <w:rPr>
          <w:rFonts w:ascii="Calibri" w:hAnsi="Calibri"/>
          <w:b/>
          <w:i w:val="0"/>
          <w:color w:val="0B1F3A"/>
          <w:sz w:val="24"/>
        </w:rPr>
        <w:t>1.11.5 Kemi Adeyemi — the diaspora member</w:t>
      </w:r>
    </w:p>
    <w:p>
      <w:pPr>
        <w:spacing w:after="40"/>
        <w:ind w:left="173"/>
      </w:pPr>
      <w:r>
        <w:rPr>
          <w:rFonts w:ascii="Calibri" w:hAnsi="Calibri"/>
          <w:b/>
          <w:color w:val="0B1F3A"/>
          <w:sz w:val="21"/>
        </w:rPr>
        <w:t xml:space="preserve">Age / location  </w:t>
      </w:r>
      <w:r>
        <w:rPr>
          <w:rFonts w:ascii="Calibri" w:hAnsi="Calibri"/>
          <w:b w:val="0"/>
          <w:i w:val="0"/>
          <w:color w:val="101828"/>
          <w:sz w:val="21"/>
        </w:rPr>
        <w:t>35. Manchester, United Kingdom. Consultant, visits Nigeria twice a year.</w:t>
      </w:r>
    </w:p>
    <w:p>
      <w:pPr>
        <w:spacing w:after="40"/>
        <w:ind w:left="173"/>
      </w:pPr>
      <w:r>
        <w:rPr>
          <w:rFonts w:ascii="Calibri" w:hAnsi="Calibri"/>
          <w:b/>
          <w:color w:val="0B1F3A"/>
          <w:sz w:val="21"/>
        </w:rPr>
        <w:t xml:space="preserve">Context  </w:t>
      </w:r>
      <w:r>
        <w:rPr>
          <w:rFonts w:ascii="Calibri" w:hAnsi="Calibri"/>
          <w:b w:val="0"/>
          <w:i w:val="0"/>
          <w:color w:val="101828"/>
          <w:sz w:val="21"/>
        </w:rPr>
        <w:t>Organises a family Ajo across Nigeria and the UK. Cannot be present on collection day in Lagos. Currently pays by transfer to a relative who then hands over cash, and cannot see anything.</w:t>
      </w:r>
    </w:p>
    <w:p>
      <w:pPr>
        <w:spacing w:after="40"/>
        <w:ind w:left="173"/>
      </w:pPr>
      <w:r>
        <w:rPr>
          <w:rFonts w:ascii="Calibri" w:hAnsi="Calibri"/>
          <w:b/>
          <w:color w:val="0B1F3A"/>
          <w:sz w:val="21"/>
        </w:rPr>
        <w:t xml:space="preserve">Goals  </w:t>
      </w:r>
      <w:r>
        <w:rPr>
          <w:rFonts w:ascii="Calibri" w:hAnsi="Calibri"/>
          <w:b w:val="0"/>
          <w:i w:val="0"/>
          <w:color w:val="101828"/>
          <w:sz w:val="21"/>
        </w:rPr>
        <w:t>Pay her own contribution from abroad without an intermediary. See the Ajo's status without asking anyone. Know her turn is coming months in advance. Get a record that satisfies her bank and her family.</w:t>
      </w:r>
    </w:p>
    <w:p>
      <w:pPr>
        <w:spacing w:after="40"/>
        <w:ind w:left="173"/>
      </w:pPr>
      <w:r>
        <w:rPr>
          <w:rFonts w:ascii="Calibri" w:hAnsi="Calibri"/>
          <w:b/>
          <w:color w:val="0B1F3A"/>
          <w:sz w:val="21"/>
        </w:rPr>
        <w:t xml:space="preserve">Frustrations  </w:t>
      </w:r>
      <w:r>
        <w:rPr>
          <w:rFonts w:ascii="Calibri" w:hAnsi="Calibri"/>
          <w:b w:val="0"/>
          <w:i w:val="0"/>
          <w:color w:val="101828"/>
          <w:sz w:val="21"/>
        </w:rPr>
        <w:t>Total opacity. A 2021 round where her money was collected and she never received confirmation. Being unable to prove she contributed. Not knowing whether the Ajo is still running.</w:t>
      </w:r>
    </w:p>
    <w:p>
      <w:pPr>
        <w:spacing w:after="40"/>
        <w:ind w:left="173"/>
      </w:pPr>
      <w:r>
        <w:rPr>
          <w:rFonts w:ascii="Calibri" w:hAnsi="Calibri"/>
          <w:b/>
          <w:color w:val="0B1F3A"/>
          <w:sz w:val="21"/>
        </w:rPr>
        <w:t xml:space="preserve">Tech comfort  </w:t>
      </w:r>
      <w:r>
        <w:rPr>
          <w:rFonts w:ascii="Calibri" w:hAnsi="Calibri"/>
          <w:b w:val="0"/>
          <w:i w:val="0"/>
          <w:color w:val="101828"/>
          <w:sz w:val="21"/>
        </w:rPr>
        <w:t>High, but with genuine friction: international card and transfer fees, time-zone confusion, and a real fear about a site she has never heard of taking an international payment.</w:t>
      </w:r>
    </w:p>
    <w:p>
      <w:pPr>
        <w:spacing w:after="40"/>
        <w:ind w:left="173"/>
      </w:pPr>
      <w:r>
        <w:rPr>
          <w:rFonts w:ascii="Calibri" w:hAnsi="Calibri"/>
          <w:b/>
          <w:color w:val="0B1F3A"/>
          <w:sz w:val="21"/>
        </w:rPr>
        <w:t xml:space="preserve">What success looks like  </w:t>
      </w:r>
      <w:r>
        <w:rPr>
          <w:rFonts w:ascii="Calibri" w:hAnsi="Calibri"/>
          <w:b w:val="0"/>
          <w:i w:val="0"/>
          <w:color w:val="101828"/>
          <w:sz w:val="21"/>
        </w:rPr>
        <w:t>A local-currency receipt she can store. A visible countdown to her turn. A statement in a format her UK bank will accept as evidence of source of funds.</w:t>
      </w:r>
    </w:p>
    <w:p>
      <w:pPr>
        <w:spacing w:after="40"/>
        <w:ind w:left="173"/>
      </w:pPr>
      <w:r>
        <w:rPr>
          <w:rFonts w:ascii="Calibri" w:hAnsi="Calibri"/>
          <w:b/>
          <w:color w:val="0B1F3A"/>
          <w:sz w:val="21"/>
        </w:rPr>
        <w:t xml:space="preserve">Will not tolerate  </w:t>
      </w:r>
      <w:r>
        <w:rPr>
          <w:rFonts w:ascii="Calibri" w:hAnsi="Calibri"/>
          <w:b w:val="0"/>
          <w:i w:val="0"/>
          <w:color w:val="101828"/>
          <w:sz w:val="21"/>
        </w:rPr>
        <w:t>Unexplained currency conversion. Unclear refund terms if an Ajo cancels. Being asked to send money to a personal account again.</w:t>
      </w:r>
    </w:p>
    <w:p>
      <w:pPr>
        <w:spacing w:before="140" w:after="180"/>
        <w:ind w:left="144"/>
        <w:shd w:val="clear" w:color="auto" w:fill="E0F2FE"/>
        <w:pBdr>
          <w:left w:val="single" w:sz="18" w:space="6" w:color="22C7D6"/>
        </w:pBdr>
      </w:pPr>
      <w:r>
        <w:rPr>
          <w:rFonts w:ascii="Calibri" w:hAnsi="Calibri"/>
          <w:b/>
          <w:color w:val="22C7D6"/>
          <w:sz w:val="19"/>
        </w:rPr>
        <w:t xml:space="preserve">Diaspora participation and open decision D-02  </w:t>
      </w:r>
      <w:r>
        <w:rPr>
          <w:rFonts w:ascii="Calibri" w:hAnsi="Calibri"/>
          <w:b w:val="0"/>
          <w:i w:val="0"/>
          <w:color w:val="0B1F3A"/>
          <w:sz w:val="19"/>
        </w:rPr>
        <w:t xml:space="preserve">Kemi is in the persona set because her need is real and well evidenced, but </w:t>
      </w:r>
      <w:r>
        <w:rPr>
          <w:rFonts w:ascii="Calibri" w:hAnsi="Calibri"/>
          <w:b/>
          <w:color w:val="0B1F3A"/>
          <w:sz w:val="19"/>
        </w:rPr>
        <w:t>international participation is explicitly out of scope for MVP</w:t>
      </w:r>
      <w:r>
        <w:rPr>
          <w:rFonts w:ascii="Calibri" w:hAnsi="Calibri"/>
          <w:b w:val="0"/>
          <w:i w:val="0"/>
          <w:color w:val="0B1F3A"/>
          <w:sz w:val="19"/>
        </w:rPr>
        <w:t xml:space="preserve"> (section 1.16). Whether AJO.ng can accept funds from non-Nigerian residents at all, and under what arrangement, is unresolved and depends on D-02. Her persona exists to keep that requirement visible, not to imply it is solved.</w:t>
      </w:r>
    </w:p>
    <w:p>
      <w:pPr>
        <w:pStyle w:val="Heading3"/>
      </w:pPr>
      <w:r>
        <w:rPr>
          <w:rFonts w:ascii="Calibri" w:hAnsi="Calibri"/>
          <w:b/>
          <w:i w:val="0"/>
          <w:color w:val="0B1F3A"/>
          <w:sz w:val="24"/>
        </w:rPr>
        <w:t>1.11.6 Chidi — the joiner, the silent majority</w:t>
      </w:r>
    </w:p>
    <w:p>
      <w:pPr>
        <w:spacing w:after="40"/>
        <w:ind w:left="173"/>
      </w:pPr>
      <w:r>
        <w:rPr>
          <w:rFonts w:ascii="Calibri" w:hAnsi="Calibri"/>
          <w:b/>
          <w:color w:val="0B1F3A"/>
          <w:sz w:val="21"/>
        </w:rPr>
        <w:t xml:space="preserve">Age / location  </w:t>
      </w:r>
      <w:r>
        <w:rPr>
          <w:rFonts w:ascii="Calibri" w:hAnsi="Calibri"/>
          <w:b w:val="0"/>
          <w:i w:val="0"/>
          <w:color w:val="101828"/>
          <w:sz w:val="21"/>
        </w:rPr>
        <w:t>33. Agege, Lagos. Works in a logistics company, lives with family.</w:t>
      </w:r>
    </w:p>
    <w:p>
      <w:pPr>
        <w:spacing w:after="40"/>
        <w:ind w:left="173"/>
      </w:pPr>
      <w:r>
        <w:rPr>
          <w:rFonts w:ascii="Calibri" w:hAnsi="Calibri"/>
          <w:b/>
          <w:color w:val="0B1F3A"/>
          <w:sz w:val="21"/>
        </w:rPr>
        <w:t xml:space="preserve">Context  </w:t>
      </w:r>
      <w:r>
        <w:rPr>
          <w:rFonts w:ascii="Calibri" w:hAnsi="Calibri"/>
          <w:b w:val="0"/>
          <w:i w:val="0"/>
          <w:color w:val="101828"/>
          <w:sz w:val="21"/>
        </w:rPr>
        <w:t>One of ten members in an Ajo run by someone he respects. Has never organised anything. Pays his NGN 1,000.00 every Friday with his phone and thinks about it for roughly ten seconds.</w:t>
      </w:r>
    </w:p>
    <w:p>
      <w:pPr>
        <w:spacing w:after="40"/>
        <w:ind w:left="173"/>
      </w:pPr>
      <w:r>
        <w:rPr>
          <w:rFonts w:ascii="Calibri" w:hAnsi="Calibri"/>
          <w:b/>
          <w:color w:val="0B1F3A"/>
          <w:sz w:val="21"/>
        </w:rPr>
        <w:t xml:space="preserve">Goals  </w:t>
      </w:r>
      <w:r>
        <w:rPr>
          <w:rFonts w:ascii="Calibri" w:hAnsi="Calibri"/>
          <w:b w:val="0"/>
          <w:i w:val="0"/>
          <w:color w:val="101828"/>
          <w:sz w:val="21"/>
        </w:rPr>
        <w:t>Pay on time without it becoming a task. Know his turn has not been moved. Be able to see his own position. Nothing else.</w:t>
      </w:r>
    </w:p>
    <w:p>
      <w:pPr>
        <w:spacing w:after="40"/>
        <w:ind w:left="173"/>
      </w:pPr>
      <w:r>
        <w:rPr>
          <w:rFonts w:ascii="Calibri" w:hAnsi="Calibri"/>
          <w:b/>
          <w:color w:val="0B1F3A"/>
          <w:sz w:val="21"/>
        </w:rPr>
        <w:t xml:space="preserve">Frustrations  </w:t>
      </w:r>
      <w:r>
        <w:rPr>
          <w:rFonts w:ascii="Calibri" w:hAnsi="Calibri"/>
          <w:b w:val="0"/>
          <w:i w:val="0"/>
          <w:color w:val="101828"/>
          <w:sz w:val="21"/>
        </w:rPr>
        <w:t>Being sent nine notifications a week about an Ajo he is already handling correctly. Having to open an app to confirm what a message already said. Any attempt to make him an organiser.</w:t>
      </w:r>
    </w:p>
    <w:p>
      <w:pPr>
        <w:spacing w:after="40"/>
        <w:ind w:left="173"/>
      </w:pPr>
      <w:r>
        <w:rPr>
          <w:rFonts w:ascii="Calibri" w:hAnsi="Calibri"/>
          <w:b/>
          <w:color w:val="0B1F3A"/>
          <w:sz w:val="21"/>
        </w:rPr>
        <w:t xml:space="preserve">Tech comfort  </w:t>
      </w:r>
      <w:r>
        <w:rPr>
          <w:rFonts w:ascii="Calibri" w:hAnsi="Calibri"/>
          <w:b w:val="0"/>
          <w:i w:val="0"/>
          <w:color w:val="101828"/>
          <w:sz w:val="21"/>
        </w:rPr>
        <w:t>Adequate. Uses mobile money daily, does not use budgeting apps, will not maintain a schedule. Notices good design, tolerates average design.</w:t>
      </w:r>
    </w:p>
    <w:p>
      <w:pPr>
        <w:spacing w:after="40"/>
        <w:ind w:left="173"/>
      </w:pPr>
      <w:r>
        <w:rPr>
          <w:rFonts w:ascii="Calibri" w:hAnsi="Calibri"/>
          <w:b/>
          <w:color w:val="0B1F3A"/>
          <w:sz w:val="21"/>
        </w:rPr>
        <w:t xml:space="preserve">What success looks like  </w:t>
      </w:r>
      <w:r>
        <w:rPr>
          <w:rFonts w:ascii="Calibri" w:hAnsi="Calibri"/>
          <w:b w:val="0"/>
          <w:i w:val="0"/>
          <w:color w:val="101828"/>
          <w:sz w:val="21"/>
        </w:rPr>
        <w:t>Two notifications per round: one before, one after. A screen that answers 'what is my position' in one tap. Silence.</w:t>
      </w:r>
    </w:p>
    <w:p>
      <w:pPr>
        <w:spacing w:after="40"/>
        <w:ind w:left="173"/>
      </w:pPr>
      <w:r>
        <w:rPr>
          <w:rFonts w:ascii="Calibri" w:hAnsi="Calibri"/>
          <w:b/>
          <w:color w:val="0B1F3A"/>
          <w:sz w:val="21"/>
        </w:rPr>
        <w:t xml:space="preserve">Will not tolerate  </w:t>
      </w:r>
      <w:r>
        <w:rPr>
          <w:rFonts w:ascii="Calibri" w:hAnsi="Calibri"/>
          <w:b w:val="0"/>
          <w:i w:val="0"/>
          <w:color w:val="101828"/>
          <w:sz w:val="21"/>
        </w:rPr>
        <w:t>Notification fatigue. Being upsold. Being treated as a potential organiser.</w:t>
      </w:r>
    </w:p>
    <w:p>
      <w:pPr>
        <w:spacing w:before="140" w:after="180"/>
        <w:ind w:left="144"/>
        <w:shd w:val="clear" w:color="auto" w:fill="EFF6FF"/>
        <w:pBdr>
          <w:left w:val="single" w:sz="18" w:space="6" w:color="146EF5"/>
        </w:pBdr>
      </w:pPr>
      <w:r>
        <w:rPr>
          <w:rFonts w:ascii="Calibri" w:hAnsi="Calibri"/>
          <w:b/>
          <w:color w:val="146EF5"/>
          <w:sz w:val="19"/>
        </w:rPr>
        <w:t xml:space="preserve">Design consequence  </w:t>
      </w:r>
      <w:r>
        <w:rPr>
          <w:rFonts w:ascii="Calibri" w:hAnsi="Calibri"/>
          <w:b w:val="0"/>
          <w:i w:val="0"/>
          <w:color w:val="0B1F3A"/>
          <w:sz w:val="19"/>
        </w:rPr>
        <w:t>Chidi outnumbers every other persona. He represents the majority of members in every Ajo. Any notification policy that treats him as an active user will cause the uninstall. This is why the notification catalogue in CANONICAL.md reserves SMS for money-critical and security events only, and why notification preferences are a first-class feature rather than a setting.</w:t>
      </w:r>
    </w:p>
    <w:p>
      <w:pPr>
        <w:pStyle w:val="Heading2"/>
      </w:pPr>
      <w:r>
        <w:rPr>
          <w:rFonts w:ascii="Calibri" w:hAnsi="Calibri"/>
          <w:b/>
          <w:i w:val="0"/>
          <w:color w:val="146EF5"/>
          <w:sz w:val="29"/>
        </w:rPr>
        <w:t>1.12 User roles</w:t>
      </w:r>
    </w:p>
    <w:p>
      <w:r>
        <w:rPr>
          <w:rFonts w:ascii="Calibri" w:hAnsi="Calibri"/>
          <w:b w:val="0"/>
          <w:i w:val="0"/>
          <w:color w:val="101828"/>
          <w:sz w:val="21"/>
        </w:rPr>
        <w:t xml:space="preserve">AJO.ng has </w:t>
      </w:r>
      <w:r>
        <w:rPr>
          <w:rFonts w:ascii="Calibri" w:hAnsi="Calibri"/>
          <w:b/>
          <w:color w:val="101828"/>
          <w:sz w:val="21"/>
        </w:rPr>
        <w:t>exactly six roles</w:t>
      </w:r>
      <w:r>
        <w:rPr>
          <w:rFonts w:ascii="Calibri" w:hAnsi="Calibri"/>
          <w:b w:val="0"/>
          <w:i w:val="0"/>
          <w:color w:val="101828"/>
          <w:sz w:val="21"/>
        </w:rPr>
        <w:t xml:space="preserve">, per CANONICAL.md. Roles are additive and explicitly granted; there is no implicit inheritance and no wildcard role. A user may hold several roles simultaneously, and a person may be </w:t>
      </w:r>
      <w:r>
        <w:rPr>
          <w:rFonts w:ascii="Consolas" w:hAnsi="Consolas"/>
          <w:color w:val="146EF5"/>
          <w:sz w:val="21"/>
        </w:rPr>
        <w:t>ajo_organizer</w:t>
      </w:r>
      <w:r>
        <w:rPr>
          <w:rFonts w:ascii="Calibri" w:hAnsi="Calibri"/>
          <w:b w:val="0"/>
          <w:i w:val="0"/>
          <w:color w:val="101828"/>
          <w:sz w:val="21"/>
        </w:rPr>
        <w:t xml:space="preserve"> in one Ajo and an ordinary </w:t>
      </w:r>
      <w:r>
        <w:rPr>
          <w:rFonts w:ascii="Consolas" w:hAnsi="Consolas"/>
          <w:color w:val="146EF5"/>
          <w:sz w:val="21"/>
        </w:rPr>
        <w:t>user</w:t>
      </w:r>
      <w:r>
        <w:rPr>
          <w:rFonts w:ascii="Calibri" w:hAnsi="Calibri"/>
          <w:b w:val="0"/>
          <w:i w:val="0"/>
          <w:color w:val="101828"/>
          <w:sz w:val="21"/>
        </w:rPr>
        <w:t xml:space="preserve"> in every other.</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512"/>
            <w:shd w:val="clear" w:color="auto" w:fill="0B1F3A"/>
            <w:tcMar>
              <w:top w:w="60" w:type="dxa"/>
              <w:start w:w="110" w:type="dxa"/>
              <w:bottom w:w="60" w:type="dxa"/>
              <w:end w:w="110" w:type="dxa"/>
            </w:tcMar>
          </w:tcPr>
          <w:p>
            <w:pPr>
              <w:spacing w:after="0"/>
            </w:pPr>
            <w:r/>
            <w:r>
              <w:rPr>
                <w:rFonts w:ascii="Calibri" w:hAnsi="Calibri"/>
                <w:b/>
                <w:i w:val="0"/>
                <w:color w:val="FFFFFF"/>
                <w:sz w:val="16"/>
              </w:rPr>
              <w:t>Role</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Scope</w:t>
            </w:r>
          </w:p>
        </w:tc>
        <w:tc>
          <w:tcPr>
            <w:tcW w:type="dxa" w:w="3384"/>
            <w:shd w:val="clear" w:color="auto" w:fill="0B1F3A"/>
            <w:tcMar>
              <w:top w:w="60" w:type="dxa"/>
              <w:start w:w="110" w:type="dxa"/>
              <w:bottom w:w="60" w:type="dxa"/>
              <w:end w:w="110" w:type="dxa"/>
            </w:tcMar>
          </w:tcPr>
          <w:p>
            <w:pPr>
              <w:spacing w:after="0"/>
            </w:pPr>
            <w:r/>
            <w:r>
              <w:rPr>
                <w:rFonts w:ascii="Calibri" w:hAnsi="Calibri"/>
                <w:b/>
                <w:i w:val="0"/>
                <w:color w:val="FFFFFF"/>
                <w:sz w:val="16"/>
              </w:rPr>
              <w:t>Can</w:t>
            </w:r>
          </w:p>
        </w:tc>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6"/>
              </w:rPr>
              <w:t>Cannot</w:t>
            </w:r>
          </w:p>
        </w:tc>
      </w:tr>
      <w:tr>
        <w:trPr>
          <w:cantSplit/>
        </w:trPr>
        <w:tc>
          <w:tcPr>
            <w:tcW w:type="dxa" w:w="1512"/>
            <w:tcMar>
              <w:top w:w="60" w:type="dxa"/>
              <w:start w:w="110" w:type="dxa"/>
              <w:bottom w:w="60" w:type="dxa"/>
              <w:end w:w="110" w:type="dxa"/>
            </w:tcMar>
          </w:tcPr>
          <w:p>
            <w:pPr>
              <w:spacing w:after="0"/>
            </w:pPr>
            <w:r/>
            <w:r>
              <w:rPr>
                <w:rFonts w:ascii="Consolas" w:hAnsi="Consolas"/>
                <w:color w:val="146EF5"/>
                <w:sz w:val="16"/>
              </w:rPr>
              <w:t>user</w:t>
            </w:r>
          </w:p>
        </w:tc>
        <w:tc>
          <w:tcPr>
            <w:tcW w:type="dxa" w:w="1296"/>
            <w:tcMar>
              <w:top w:w="60" w:type="dxa"/>
              <w:start w:w="110" w:type="dxa"/>
              <w:bottom w:w="60" w:type="dxa"/>
              <w:end w:w="110" w:type="dxa"/>
            </w:tcMar>
          </w:tcPr>
          <w:p>
            <w:pPr>
              <w:spacing w:after="0"/>
            </w:pPr>
            <w:r/>
            <w:r>
              <w:rPr>
                <w:rFonts w:ascii="Calibri" w:hAnsi="Calibri"/>
                <w:b w:val="0"/>
                <w:i w:val="0"/>
                <w:color w:val="101828"/>
                <w:sz w:val="16"/>
              </w:rPr>
              <w:t>Own account</w:t>
            </w:r>
          </w:p>
        </w:tc>
        <w:tc>
          <w:tcPr>
            <w:tcW w:type="dxa" w:w="3384"/>
            <w:tcMar>
              <w:top w:w="60" w:type="dxa"/>
              <w:start w:w="110" w:type="dxa"/>
              <w:bottom w:w="60" w:type="dxa"/>
              <w:end w:w="110" w:type="dxa"/>
            </w:tcMar>
          </w:tcPr>
          <w:p>
            <w:pPr>
              <w:spacing w:after="0"/>
            </w:pPr>
            <w:r/>
            <w:r>
              <w:rPr>
                <w:rFonts w:ascii="Calibri" w:hAnsi="Calibri"/>
                <w:b w:val="0"/>
                <w:i w:val="0"/>
                <w:color w:val="101828"/>
                <w:sz w:val="16"/>
              </w:rPr>
              <w:t>Create Ajos, join Ajos, pay, view own records</w:t>
            </w:r>
          </w:p>
        </w:tc>
        <w:tc>
          <w:tcPr>
            <w:tcW w:type="dxa" w:w="3168"/>
            <w:tcMar>
              <w:top w:w="60" w:type="dxa"/>
              <w:start w:w="110" w:type="dxa"/>
              <w:bottom w:w="60" w:type="dxa"/>
              <w:end w:w="110" w:type="dxa"/>
            </w:tcMar>
          </w:tcPr>
          <w:p>
            <w:pPr>
              <w:spacing w:after="0"/>
            </w:pPr>
            <w:r/>
            <w:r>
              <w:rPr>
                <w:rFonts w:ascii="Calibri" w:hAnsi="Calibri"/>
                <w:b w:val="0"/>
                <w:i w:val="0"/>
                <w:color w:val="101828"/>
                <w:sz w:val="16"/>
              </w:rPr>
              <w:t>See others' Ajos, alter financial records</w:t>
            </w:r>
          </w:p>
        </w:tc>
      </w:tr>
      <w:tr>
        <w:trPr>
          <w:cantSplit/>
        </w:trPr>
        <w:tc>
          <w:tcPr>
            <w:tcW w:type="dxa" w:w="1512"/>
            <w:tcMar>
              <w:top w:w="60" w:type="dxa"/>
              <w:start w:w="110" w:type="dxa"/>
              <w:bottom w:w="60" w:type="dxa"/>
              <w:end w:w="110" w:type="dxa"/>
            </w:tcMar>
            <w:shd w:val="clear" w:color="auto" w:fill="F4F7FB"/>
          </w:tcPr>
          <w:p>
            <w:pPr>
              <w:spacing w:after="0"/>
            </w:pPr>
            <w:r/>
            <w:r>
              <w:rPr>
                <w:rFonts w:ascii="Consolas" w:hAnsi="Consolas"/>
                <w:color w:val="146EF5"/>
                <w:sz w:val="16"/>
              </w:rPr>
              <w:t>ajo_organizer</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One Ajo</w:t>
            </w:r>
          </w:p>
        </w:tc>
        <w:tc>
          <w:tcPr>
            <w:tcW w:type="dxa" w:w="3384"/>
            <w:tcMar>
              <w:top w:w="60" w:type="dxa"/>
              <w:start w:w="110" w:type="dxa"/>
              <w:bottom w:w="60" w:type="dxa"/>
              <w:end w:w="110" w:type="dxa"/>
            </w:tcMar>
            <w:shd w:val="clear" w:color="auto" w:fill="F4F7FB"/>
          </w:tcPr>
          <w:p>
            <w:pPr>
              <w:spacing w:after="0"/>
            </w:pPr>
            <w:r/>
            <w:r>
              <w:rPr>
                <w:rFonts w:ascii="Calibri" w:hAnsi="Calibri"/>
                <w:b w:val="0"/>
                <w:i w:val="0"/>
                <w:color w:val="101828"/>
                <w:sz w:val="16"/>
              </w:rPr>
              <w:t>Invite or remove pre-activation members, send reminders, propose position order, request payout release</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Withdraw member funds, control payouts, change settled records, guarantee another member's debt, act after the Ajo completes</w:t>
            </w:r>
          </w:p>
        </w:tc>
      </w:tr>
      <w:tr>
        <w:trPr>
          <w:cantSplit/>
        </w:trPr>
        <w:tc>
          <w:tcPr>
            <w:tcW w:type="dxa" w:w="1512"/>
            <w:tcMar>
              <w:top w:w="60" w:type="dxa"/>
              <w:start w:w="110" w:type="dxa"/>
              <w:bottom w:w="60" w:type="dxa"/>
              <w:end w:w="110" w:type="dxa"/>
            </w:tcMar>
          </w:tcPr>
          <w:p>
            <w:pPr>
              <w:spacing w:after="0"/>
            </w:pPr>
            <w:r/>
            <w:r>
              <w:rPr>
                <w:rFonts w:ascii="Consolas" w:hAnsi="Consolas"/>
                <w:color w:val="146EF5"/>
                <w:sz w:val="16"/>
              </w:rPr>
              <w:t>ajo_member</w:t>
            </w:r>
          </w:p>
        </w:tc>
        <w:tc>
          <w:tcPr>
            <w:tcW w:type="dxa" w:w="1296"/>
            <w:tcMar>
              <w:top w:w="60" w:type="dxa"/>
              <w:start w:w="110" w:type="dxa"/>
              <w:bottom w:w="60" w:type="dxa"/>
              <w:end w:w="110" w:type="dxa"/>
            </w:tcMar>
          </w:tcPr>
          <w:p>
            <w:pPr>
              <w:spacing w:after="0"/>
            </w:pPr>
            <w:r/>
            <w:r>
              <w:rPr>
                <w:rFonts w:ascii="Calibri" w:hAnsi="Calibri"/>
                <w:b w:val="0"/>
                <w:i w:val="0"/>
                <w:color w:val="101828"/>
                <w:sz w:val="16"/>
              </w:rPr>
              <w:t>One Ajo</w:t>
            </w:r>
          </w:p>
        </w:tc>
        <w:tc>
          <w:tcPr>
            <w:tcW w:type="dxa" w:w="3384"/>
            <w:tcMar>
              <w:top w:w="60" w:type="dxa"/>
              <w:start w:w="110" w:type="dxa"/>
              <w:bottom w:w="60" w:type="dxa"/>
              <w:end w:w="110" w:type="dxa"/>
            </w:tcMar>
          </w:tcPr>
          <w:p>
            <w:pPr>
              <w:spacing w:after="0"/>
            </w:pPr>
            <w:r/>
            <w:r>
              <w:rPr>
                <w:rFonts w:ascii="Calibri" w:hAnsi="Calibri"/>
                <w:b w:val="0"/>
                <w:i w:val="0"/>
                <w:color w:val="101828"/>
                <w:sz w:val="16"/>
              </w:rPr>
              <w:t>Pay contributions, see own commitment, raise a dispute, request replacement exit</w:t>
            </w:r>
          </w:p>
        </w:tc>
        <w:tc>
          <w:tcPr>
            <w:tcW w:type="dxa" w:w="3168"/>
            <w:tcMar>
              <w:top w:w="60" w:type="dxa"/>
              <w:start w:w="110" w:type="dxa"/>
              <w:bottom w:w="60" w:type="dxa"/>
              <w:end w:w="110" w:type="dxa"/>
            </w:tcMar>
          </w:tcPr>
          <w:p>
            <w:pPr>
              <w:spacing w:after="0"/>
            </w:pPr>
            <w:r/>
            <w:r>
              <w:rPr>
                <w:rFonts w:ascii="Calibri" w:hAnsi="Calibri"/>
                <w:b w:val="0"/>
                <w:i w:val="0"/>
                <w:color w:val="101828"/>
                <w:sz w:val="16"/>
              </w:rPr>
              <w:t>Change payout order post-activation, unilaterally exit after activation</w:t>
            </w:r>
          </w:p>
        </w:tc>
      </w:tr>
      <w:tr>
        <w:trPr>
          <w:cantSplit/>
        </w:trPr>
        <w:tc>
          <w:tcPr>
            <w:tcW w:type="dxa" w:w="1512"/>
            <w:tcMar>
              <w:top w:w="60" w:type="dxa"/>
              <w:start w:w="110" w:type="dxa"/>
              <w:bottom w:w="60" w:type="dxa"/>
              <w:end w:w="110" w:type="dxa"/>
            </w:tcMar>
            <w:shd w:val="clear" w:color="auto" w:fill="F4F7FB"/>
          </w:tcPr>
          <w:p>
            <w:pPr>
              <w:spacing w:after="0"/>
            </w:pPr>
            <w:r/>
            <w:r>
              <w:rPr>
                <w:rFonts w:ascii="Consolas" w:hAnsi="Consolas"/>
                <w:color w:val="146EF5"/>
                <w:sz w:val="16"/>
              </w:rPr>
              <w:t>support</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Platform</w:t>
            </w:r>
          </w:p>
        </w:tc>
        <w:tc>
          <w:tcPr>
            <w:tcW w:type="dxa" w:w="3384"/>
            <w:tcMar>
              <w:top w:w="60" w:type="dxa"/>
              <w:start w:w="110" w:type="dxa"/>
              <w:bottom w:w="60" w:type="dxa"/>
              <w:end w:w="110" w:type="dxa"/>
            </w:tcMar>
            <w:shd w:val="clear" w:color="auto" w:fill="F4F7FB"/>
          </w:tcPr>
          <w:p>
            <w:pPr>
              <w:spacing w:after="0"/>
            </w:pPr>
            <w:r/>
            <w:r>
              <w:rPr>
                <w:rFonts w:ascii="Calibri" w:hAnsi="Calibri"/>
                <w:b w:val="0"/>
                <w:i w:val="0"/>
                <w:color w:val="101828"/>
                <w:sz w:val="16"/>
              </w:rPr>
              <w:t>Read all records, contact members, assist disputes</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Move money or alter financial records. </w:t>
            </w:r>
            <w:r>
              <w:rPr>
                <w:rFonts w:ascii="Calibri" w:hAnsi="Calibri"/>
                <w:b/>
                <w:color w:val="101828"/>
                <w:sz w:val="16"/>
              </w:rPr>
              <w:t>Cannot</w:t>
            </w:r>
            <w:r>
              <w:rPr>
                <w:rFonts w:ascii="Calibri" w:hAnsi="Calibri"/>
                <w:b w:val="0"/>
                <w:i w:val="0"/>
                <w:color w:val="101828"/>
                <w:sz w:val="16"/>
              </w:rPr>
              <w:t xml:space="preserve"> initiate or moderate payouts, change balances, or override risk decisions</w:t>
            </w:r>
          </w:p>
        </w:tc>
      </w:tr>
      <w:tr>
        <w:trPr>
          <w:cantSplit/>
        </w:trPr>
        <w:tc>
          <w:tcPr>
            <w:tcW w:type="dxa" w:w="1512"/>
            <w:tcMar>
              <w:top w:w="60" w:type="dxa"/>
              <w:start w:w="110" w:type="dxa"/>
              <w:bottom w:w="60" w:type="dxa"/>
              <w:end w:w="110" w:type="dxa"/>
            </w:tcMar>
          </w:tcPr>
          <w:p>
            <w:pPr>
              <w:spacing w:after="0"/>
            </w:pPr>
            <w:r/>
            <w:r>
              <w:rPr>
                <w:rFonts w:ascii="Consolas" w:hAnsi="Consolas"/>
                <w:color w:val="146EF5"/>
                <w:sz w:val="16"/>
              </w:rPr>
              <w:t>risk_officer</w:t>
            </w:r>
          </w:p>
        </w:tc>
        <w:tc>
          <w:tcPr>
            <w:tcW w:type="dxa" w:w="1296"/>
            <w:tcMar>
              <w:top w:w="60" w:type="dxa"/>
              <w:start w:w="110" w:type="dxa"/>
              <w:bottom w:w="60" w:type="dxa"/>
              <w:end w:w="110" w:type="dxa"/>
            </w:tcMar>
          </w:tcPr>
          <w:p>
            <w:pPr>
              <w:spacing w:after="0"/>
            </w:pPr>
            <w:r/>
            <w:r>
              <w:rPr>
                <w:rFonts w:ascii="Calibri" w:hAnsi="Calibri"/>
                <w:b w:val="0"/>
                <w:i w:val="0"/>
                <w:color w:val="101828"/>
                <w:sz w:val="16"/>
              </w:rPr>
              <w:t>Platform</w:t>
            </w:r>
          </w:p>
        </w:tc>
        <w:tc>
          <w:tcPr>
            <w:tcW w:type="dxa" w:w="3384"/>
            <w:tcMar>
              <w:top w:w="60" w:type="dxa"/>
              <w:start w:w="110" w:type="dxa"/>
              <w:bottom w:w="60" w:type="dxa"/>
              <w:end w:w="110" w:type="dxa"/>
            </w:tcMar>
          </w:tcPr>
          <w:p>
            <w:pPr>
              <w:spacing w:after="0"/>
            </w:pPr>
            <w:r/>
            <w:r>
              <w:rPr>
                <w:rFonts w:ascii="Calibri" w:hAnsi="Calibri"/>
                <w:b w:val="0"/>
                <w:i w:val="0"/>
                <w:color w:val="101828"/>
                <w:sz w:val="16"/>
              </w:rPr>
              <w:t>View risk events, place accounts or Ajos under review, freeze, approve or reject overrides, manage limits</w:t>
            </w:r>
          </w:p>
        </w:tc>
        <w:tc>
          <w:tcPr>
            <w:tcW w:type="dxa" w:w="3168"/>
            <w:tcMar>
              <w:top w:w="60" w:type="dxa"/>
              <w:start w:w="110" w:type="dxa"/>
              <w:bottom w:w="60" w:type="dxa"/>
              <w:end w:w="110" w:type="dxa"/>
            </w:tcMar>
          </w:tcPr>
          <w:p>
            <w:pPr>
              <w:spacing w:after="0"/>
            </w:pPr>
            <w:r/>
            <w:r>
              <w:rPr>
                <w:rFonts w:ascii="Calibri" w:hAnsi="Calibri"/>
                <w:b w:val="0"/>
                <w:i w:val="0"/>
                <w:color w:val="101828"/>
                <w:sz w:val="16"/>
              </w:rPr>
              <w:t>Delete records, edit the ledger, change fee configuration</w:t>
            </w:r>
          </w:p>
        </w:tc>
      </w:tr>
      <w:tr>
        <w:trPr>
          <w:cantSplit/>
        </w:trPr>
        <w:tc>
          <w:tcPr>
            <w:tcW w:type="dxa" w:w="1512"/>
            <w:tcMar>
              <w:top w:w="60" w:type="dxa"/>
              <w:start w:w="110" w:type="dxa"/>
              <w:bottom w:w="60" w:type="dxa"/>
              <w:end w:w="110" w:type="dxa"/>
            </w:tcMar>
            <w:shd w:val="clear" w:color="auto" w:fill="F4F7FB"/>
          </w:tcPr>
          <w:p>
            <w:pPr>
              <w:spacing w:after="0"/>
            </w:pPr>
            <w:r/>
            <w:r>
              <w:rPr>
                <w:rFonts w:ascii="Consolas" w:hAnsi="Consolas"/>
                <w:color w:val="146EF5"/>
                <w:sz w:val="16"/>
              </w:rPr>
              <w:t>super_admin</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Platform</w:t>
            </w:r>
          </w:p>
        </w:tc>
        <w:tc>
          <w:tcPr>
            <w:tcW w:type="dxa" w:w="3384"/>
            <w:tcMar>
              <w:top w:w="60" w:type="dxa"/>
              <w:start w:w="110" w:type="dxa"/>
              <w:bottom w:w="60" w:type="dxa"/>
              <w:end w:w="110" w:type="dxa"/>
            </w:tcMar>
            <w:shd w:val="clear" w:color="auto" w:fill="F4F7FB"/>
          </w:tcPr>
          <w:p>
            <w:pPr>
              <w:spacing w:after="0"/>
            </w:pPr>
            <w:r/>
            <w:r>
              <w:rPr>
                <w:rFonts w:ascii="Calibri" w:hAnsi="Calibri"/>
                <w:b w:val="0"/>
                <w:i w:val="0"/>
                <w:color w:val="101828"/>
                <w:sz w:val="16"/>
              </w:rPr>
              <w:t>Manage roles, configure platform settings, emergency freeze</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Bypass the append-only ledger or delete financial history</w:t>
            </w:r>
          </w:p>
        </w:tc>
      </w:tr>
    </w:tbl>
    <w:p>
      <w:pPr>
        <w:spacing w:after="80"/>
      </w:pPr>
    </w:p>
    <w:p>
      <w:pPr>
        <w:spacing w:before="140" w:after="180"/>
        <w:ind w:left="144"/>
        <w:shd w:val="clear" w:color="auto" w:fill="FEF3C7"/>
        <w:pBdr>
          <w:left w:val="single" w:sz="18" w:space="6" w:color="FBBF24"/>
        </w:pBdr>
      </w:pPr>
      <w:r>
        <w:rPr>
          <w:rFonts w:ascii="Calibri" w:hAnsi="Calibri"/>
          <w:b/>
          <w:color w:val="FBBF24"/>
          <w:sz w:val="19"/>
        </w:rPr>
        <w:t xml:space="preserve">Hard rule — the ledger is outside every role  </w:t>
      </w:r>
      <w:r>
        <w:rPr>
          <w:rFonts w:ascii="Calibri" w:hAnsi="Calibri"/>
          <w:b/>
          <w:color w:val="0B1F3A"/>
          <w:sz w:val="19"/>
        </w:rPr>
        <w:t>No role, including `super_admin`, may edit or delete a ledger entry.</w:t>
      </w:r>
      <w:r>
        <w:rPr>
          <w:rFonts w:ascii="Calibri" w:hAnsi="Calibri"/>
          <w:b w:val="0"/>
          <w:i w:val="0"/>
          <w:color w:val="0B1F3A"/>
          <w:sz w:val="19"/>
        </w:rPr>
        <w:t xml:space="preserve"> Corrections are made only by posting a reversing entry. This single rule is what makes the audit trail meaningful, and it is enforced at the data layer, not at the application layer. Any implementation that permits a privileged UPDATE or DELETE against ledger tables is non-conforming, regardless of how the permission is described.</w:t>
      </w:r>
    </w:p>
    <w:p>
      <w:pPr>
        <w:pStyle w:val="Heading3"/>
      </w:pPr>
      <w:r>
        <w:rPr>
          <w:rFonts w:ascii="Calibri" w:hAnsi="Calibri"/>
          <w:b/>
          <w:i w:val="0"/>
          <w:color w:val="0B1F3A"/>
          <w:sz w:val="24"/>
        </w:rPr>
        <w:t>1.12.1 Role design notes</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7"/>
              </w:rPr>
              <w:t>Principle</w:t>
            </w:r>
          </w:p>
        </w:tc>
        <w:tc>
          <w:tcPr>
            <w:tcW w:type="dxa" w:w="6624"/>
            <w:shd w:val="clear" w:color="auto" w:fill="0B1F3A"/>
            <w:tcMar>
              <w:top w:w="60" w:type="dxa"/>
              <w:start w:w="110" w:type="dxa"/>
              <w:bottom w:w="60" w:type="dxa"/>
              <w:end w:w="110" w:type="dxa"/>
            </w:tcMar>
          </w:tcPr>
          <w:p>
            <w:pPr>
              <w:spacing w:after="0"/>
            </w:pPr>
            <w:r/>
            <w:r>
              <w:rPr>
                <w:rFonts w:ascii="Calibri" w:hAnsi="Calibri"/>
                <w:b/>
                <w:i w:val="0"/>
                <w:color w:val="FFFFFF"/>
                <w:sz w:val="17"/>
              </w:rPr>
              <w:t>How it is applied</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7"/>
              </w:rPr>
              <w:t>Least privilege, enforced at the data layer</w:t>
            </w:r>
          </w:p>
        </w:tc>
        <w:tc>
          <w:tcPr>
            <w:tcW w:type="dxa" w:w="6624"/>
            <w:tcMar>
              <w:top w:w="60" w:type="dxa"/>
              <w:start w:w="110" w:type="dxa"/>
              <w:bottom w:w="60" w:type="dxa"/>
              <w:end w:w="110" w:type="dxa"/>
            </w:tcMar>
          </w:tcPr>
          <w:p>
            <w:pPr>
              <w:spacing w:after="0"/>
            </w:pPr>
            <w:r/>
            <w:r>
              <w:rPr>
                <w:rFonts w:ascii="Calibri" w:hAnsi="Calibri"/>
                <w:b w:val="0"/>
                <w:i w:val="0"/>
                <w:color w:val="101828"/>
                <w:sz w:val="17"/>
              </w:rPr>
              <w:t>A role's reach is enforced by database permissions, not by hiding buttons. Hiding a control is not an authorisation control.</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7"/>
              </w:rPr>
              <w:t>Money-moving is separated from money-reading</w:t>
            </w:r>
          </w:p>
        </w:tc>
        <w:tc>
          <w:tcPr>
            <w:tcW w:type="dxa" w:w="6624"/>
            <w:tcMar>
              <w:top w:w="60" w:type="dxa"/>
              <w:start w:w="110" w:type="dxa"/>
              <w:bottom w:w="60" w:type="dxa"/>
              <w:end w:w="110" w:type="dxa"/>
            </w:tcMar>
            <w:shd w:val="clear" w:color="auto" w:fill="F4F7FB"/>
          </w:tcPr>
          <w:p>
            <w:pPr>
              <w:spacing w:after="0"/>
            </w:pPr>
            <w:r/>
            <w:r>
              <w:rPr>
                <w:rFonts w:ascii="Consolas" w:hAnsi="Consolas"/>
                <w:color w:val="146EF5"/>
                <w:sz w:val="17"/>
              </w:rPr>
              <w:t>support</w:t>
            </w:r>
            <w:r>
              <w:rPr>
                <w:rFonts w:ascii="Calibri" w:hAnsi="Calibri"/>
                <w:b w:val="0"/>
                <w:i w:val="0"/>
                <w:color w:val="101828"/>
                <w:sz w:val="17"/>
              </w:rPr>
              <w:t xml:space="preserve"> can read everything and move nothing. This is deliberate: support is the most-exposed role to social pressure and to social engineering.</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7"/>
              </w:rPr>
              <w:t>Risk cannot change the economics</w:t>
            </w:r>
          </w:p>
        </w:tc>
        <w:tc>
          <w:tcPr>
            <w:tcW w:type="dxa" w:w="6624"/>
            <w:tcMar>
              <w:top w:w="60" w:type="dxa"/>
              <w:start w:w="110" w:type="dxa"/>
              <w:bottom w:w="60" w:type="dxa"/>
              <w:end w:w="110" w:type="dxa"/>
            </w:tcMar>
          </w:tcPr>
          <w:p>
            <w:pPr>
              <w:spacing w:after="0"/>
            </w:pPr>
            <w:r/>
            <w:r>
              <w:rPr>
                <w:rFonts w:ascii="Consolas" w:hAnsi="Consolas"/>
                <w:color w:val="146EF5"/>
                <w:sz w:val="17"/>
              </w:rPr>
              <w:t>risk_officer</w:t>
            </w:r>
            <w:r>
              <w:rPr>
                <w:rFonts w:ascii="Calibri" w:hAnsi="Calibri"/>
                <w:b w:val="0"/>
                <w:i w:val="0"/>
                <w:color w:val="101828"/>
                <w:sz w:val="17"/>
              </w:rPr>
              <w:t xml:space="preserve"> can freeze and can limit, but cannot change the fee configuration. Risk decisions constrain activity; they do not define it.</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7"/>
              </w:rPr>
              <w:t>Administration cannot rewrite history</w:t>
            </w:r>
          </w:p>
        </w:tc>
        <w:tc>
          <w:tcPr>
            <w:tcW w:type="dxa" w:w="6624"/>
            <w:tcMar>
              <w:top w:w="60" w:type="dxa"/>
              <w:start w:w="110" w:type="dxa"/>
              <w:bottom w:w="60" w:type="dxa"/>
              <w:end w:w="110" w:type="dxa"/>
            </w:tcMar>
            <w:shd w:val="clear" w:color="auto" w:fill="F4F7FB"/>
          </w:tcPr>
          <w:p>
            <w:pPr>
              <w:spacing w:after="0"/>
            </w:pPr>
            <w:r/>
            <w:r>
              <w:rPr>
                <w:rFonts w:ascii="Consolas" w:hAnsi="Consolas"/>
                <w:color w:val="146EF5"/>
                <w:sz w:val="17"/>
              </w:rPr>
              <w:t>super_admin</w:t>
            </w:r>
            <w:r>
              <w:rPr>
                <w:rFonts w:ascii="Calibri" w:hAnsi="Calibri"/>
                <w:b w:val="0"/>
                <w:i w:val="0"/>
                <w:color w:val="101828"/>
                <w:sz w:val="17"/>
              </w:rPr>
              <w:t xml:space="preserve"> configures platform settings and manages role assignments. It cannot touch a ledger row. Configuration changes are themselves audited.</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7"/>
              </w:rPr>
              <w:t>Ajo scope is enforced, not assumed</w:t>
            </w:r>
          </w:p>
        </w:tc>
        <w:tc>
          <w:tcPr>
            <w:tcW w:type="dxa" w:w="6624"/>
            <w:tcMar>
              <w:top w:w="60" w:type="dxa"/>
              <w:start w:w="110" w:type="dxa"/>
              <w:bottom w:w="60" w:type="dxa"/>
              <w:end w:w="110" w:type="dxa"/>
            </w:tcMar>
          </w:tcPr>
          <w:p>
            <w:pPr>
              <w:spacing w:after="0"/>
            </w:pPr>
            <w:r/>
            <w:r>
              <w:rPr>
                <w:rFonts w:ascii="Consolas" w:hAnsi="Consolas"/>
                <w:color w:val="146EF5"/>
                <w:sz w:val="17"/>
              </w:rPr>
              <w:t>ajo_organizer</w:t>
            </w:r>
            <w:r>
              <w:rPr>
                <w:rFonts w:ascii="Calibri" w:hAnsi="Calibri"/>
                <w:b w:val="0"/>
                <w:i w:val="0"/>
                <w:color w:val="101828"/>
                <w:sz w:val="17"/>
              </w:rPr>
              <w:t xml:space="preserve"> and </w:t>
            </w:r>
            <w:r>
              <w:rPr>
                <w:rFonts w:ascii="Consolas" w:hAnsi="Consolas"/>
                <w:color w:val="146EF5"/>
                <w:sz w:val="17"/>
              </w:rPr>
              <w:t>ajo_member</w:t>
            </w:r>
            <w:r>
              <w:rPr>
                <w:rFonts w:ascii="Calibri" w:hAnsi="Calibri"/>
                <w:b w:val="0"/>
                <w:i w:val="0"/>
                <w:color w:val="101828"/>
                <w:sz w:val="17"/>
              </w:rPr>
              <w:t xml:space="preserve"> are scoped to one Ajo. Being an organiser grants nothing in any other Ajo, including ones the person is a member of.</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7"/>
              </w:rPr>
              <w:t>Actions end with the scheme</w:t>
            </w:r>
          </w:p>
        </w:tc>
        <w:tc>
          <w:tcPr>
            <w:tcW w:type="dxa" w:w="6624"/>
            <w:tcMar>
              <w:top w:w="60" w:type="dxa"/>
              <w:start w:w="110" w:type="dxa"/>
              <w:bottom w:w="60" w:type="dxa"/>
              <w:end w:w="110" w:type="dxa"/>
            </w:tcMar>
            <w:shd w:val="clear" w:color="auto" w:fill="F4F7FB"/>
          </w:tcPr>
          <w:p>
            <w:pPr>
              <w:spacing w:after="0"/>
            </w:pPr>
            <w:r/>
            <w:r>
              <w:rPr>
                <w:rFonts w:ascii="Consolas" w:hAnsi="Consolas"/>
                <w:color w:val="146EF5"/>
                <w:sz w:val="17"/>
              </w:rPr>
              <w:t>ajo_organizer</w:t>
            </w:r>
            <w:r>
              <w:rPr>
                <w:rFonts w:ascii="Calibri" w:hAnsi="Calibri"/>
                <w:b w:val="0"/>
                <w:i w:val="0"/>
                <w:color w:val="101828"/>
                <w:sz w:val="17"/>
              </w:rPr>
              <w:t xml:space="preserve"> cannot act after the Ajo reaches COMPLETED. Organiser authority is temporary by design and the expiry is enforced in the state machine.</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7"/>
              </w:rPr>
              <w:t>No implicit elevation</w:t>
            </w:r>
          </w:p>
        </w:tc>
        <w:tc>
          <w:tcPr>
            <w:tcW w:type="dxa" w:w="6624"/>
            <w:tcMar>
              <w:top w:w="60" w:type="dxa"/>
              <w:start w:w="110" w:type="dxa"/>
              <w:bottom w:w="60" w:type="dxa"/>
              <w:end w:w="110" w:type="dxa"/>
            </w:tcMar>
          </w:tcPr>
          <w:p>
            <w:pPr>
              <w:spacing w:after="0"/>
            </w:pPr>
            <w:r/>
            <w:r>
              <w:rPr>
                <w:rFonts w:ascii="Calibri" w:hAnsi="Calibri"/>
                <w:b w:val="0"/>
                <w:i w:val="0"/>
                <w:color w:val="101828"/>
                <w:sz w:val="17"/>
              </w:rPr>
              <w:t xml:space="preserve">There is no inheritance between roles and no default-superuser. Every grant is an explicit, audited </w:t>
            </w:r>
            <w:r>
              <w:rPr>
                <w:rFonts w:ascii="Consolas" w:hAnsi="Consolas"/>
                <w:color w:val="146EF5"/>
                <w:sz w:val="17"/>
              </w:rPr>
              <w:t>role_assignments</w:t>
            </w:r>
            <w:r>
              <w:rPr>
                <w:rFonts w:ascii="Calibri" w:hAnsi="Calibri"/>
                <w:b w:val="0"/>
                <w:i w:val="0"/>
                <w:color w:val="101828"/>
                <w:sz w:val="17"/>
              </w:rPr>
              <w:t xml:space="preserve"> record with a named granter.</w:t>
            </w:r>
          </w:p>
        </w:tc>
      </w:tr>
    </w:tbl>
    <w:p>
      <w:pPr>
        <w:spacing w:after="80"/>
      </w:pPr>
    </w:p>
    <w:p>
      <w:pPr>
        <w:pStyle w:val="Heading3"/>
      </w:pPr>
      <w:r>
        <w:rPr>
          <w:rFonts w:ascii="Calibri" w:hAnsi="Calibri"/>
          <w:b/>
          <w:i w:val="0"/>
          <w:color w:val="0B1F3A"/>
          <w:sz w:val="24"/>
        </w:rPr>
        <w:t>1.12.2 What the organiser is, and is not</w:t>
      </w:r>
    </w:p>
    <w:p>
      <w:r>
        <w:rPr>
          <w:rFonts w:ascii="Calibri" w:hAnsi="Calibri"/>
          <w:b w:val="0"/>
          <w:i w:val="0"/>
          <w:color w:val="101828"/>
          <w:sz w:val="21"/>
        </w:rPr>
        <w:t xml:space="preserve">Because this is the most misunderstood role in the product, it is stated explicitly. The </w:t>
      </w:r>
      <w:r>
        <w:rPr>
          <w:rFonts w:ascii="Consolas" w:hAnsi="Consolas"/>
          <w:color w:val="146EF5"/>
          <w:sz w:val="21"/>
        </w:rPr>
        <w:t>ajo_organizer</w:t>
      </w:r>
      <w:r>
        <w:rPr>
          <w:rFonts w:ascii="Calibri" w:hAnsi="Calibri"/>
          <w:b w:val="0"/>
          <w:i w:val="0"/>
          <w:color w:val="101828"/>
          <w:sz w:val="21"/>
        </w:rPr>
        <w:t xml:space="preserve"> is a </w:t>
      </w:r>
      <w:r>
        <w:rPr>
          <w:rFonts w:ascii="Calibri" w:hAnsi="Calibri"/>
          <w:b/>
          <w:color w:val="101828"/>
          <w:sz w:val="21"/>
        </w:rPr>
        <w:t>facilitator, not a custodian and not a guarantor.</w:t>
      </w:r>
      <w:r>
        <w:rPr>
          <w:rFonts w:ascii="Calibri" w:hAnsi="Calibri"/>
          <w:b w:val="0"/>
          <w:i w:val="0"/>
          <w:color w:val="101828"/>
          <w:sz w:val="21"/>
        </w:rPr>
        <w:t xml:space="preserve"> The organiser does not hold member funds, does not authorise payouts, cannot guarantee another member's debt, and cannot be pursued for a shortfall. AJO.ng is explicit on this in the organiser onboarding, in the Ajo terms, and in the join confirmation shown to every member. If a member believes otherwise, the product has failed at communication, not at enforcement.</w:t>
      </w:r>
    </w:p>
    <w:p>
      <w:pPr>
        <w:spacing w:before="140" w:after="180"/>
        <w:ind w:left="144"/>
        <w:shd w:val="clear" w:color="auto" w:fill="FEE2E2"/>
        <w:pBdr>
          <w:left w:val="single" w:sz="18" w:space="6" w:color="DC2626"/>
        </w:pBdr>
      </w:pPr>
      <w:r>
        <w:rPr>
          <w:rFonts w:ascii="Calibri" w:hAnsi="Calibri"/>
          <w:b/>
          <w:color w:val="DC2626"/>
          <w:sz w:val="19"/>
        </w:rPr>
        <w:t xml:space="preserve">Organiser liability wording  </w:t>
      </w:r>
      <w:r>
        <w:rPr>
          <w:rFonts w:ascii="Calibri" w:hAnsi="Calibri"/>
          <w:b w:val="0"/>
          <w:i w:val="0"/>
          <w:color w:val="0B1F3A"/>
          <w:sz w:val="19"/>
        </w:rPr>
        <w:t>Any wording describing organiser responsibilities is drafted to be reviewed by qualified Nigerian counsel before launch. In particular, nothing in the product should be read as creating a guarantee, a fiduciary relationship, a partnership or an agency between AJO.ng, the organiser and the members, and the terms must say so clearly.</w:t>
      </w:r>
    </w:p>
    <w:p>
      <w:pPr>
        <w:pStyle w:val="Heading2"/>
      </w:pPr>
      <w:r>
        <w:rPr>
          <w:rFonts w:ascii="Calibri" w:hAnsi="Calibri"/>
          <w:b/>
          <w:i w:val="0"/>
          <w:color w:val="146EF5"/>
          <w:sz w:val="29"/>
        </w:rPr>
        <w:t>1.13 User needs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504"/>
            <w:shd w:val="clear" w:color="auto" w:fill="0B1F3A"/>
            <w:tcMar>
              <w:top w:w="60" w:type="dxa"/>
              <w:start w:w="110" w:type="dxa"/>
              <w:bottom w:w="60" w:type="dxa"/>
              <w:end w:w="110" w:type="dxa"/>
            </w:tcMar>
          </w:tcPr>
          <w:p>
            <w:pPr>
              <w:spacing w:after="0"/>
            </w:pPr>
            <w:r/>
            <w:r>
              <w:rPr>
                <w:rFonts w:ascii="Calibri" w:hAnsi="Calibri"/>
                <w:b/>
                <w:i w:val="0"/>
                <w:color w:val="FFFFFF"/>
                <w:sz w:val="15"/>
              </w:rPr>
              <w:t>#</w:t>
            </w:r>
          </w:p>
        </w:tc>
        <w:tc>
          <w:tcPr>
            <w:tcW w:type="dxa" w:w="2376"/>
            <w:shd w:val="clear" w:color="auto" w:fill="0B1F3A"/>
            <w:tcMar>
              <w:top w:w="60" w:type="dxa"/>
              <w:start w:w="110" w:type="dxa"/>
              <w:bottom w:w="60" w:type="dxa"/>
              <w:end w:w="110" w:type="dxa"/>
            </w:tcMar>
          </w:tcPr>
          <w:p>
            <w:pPr>
              <w:spacing w:after="0"/>
            </w:pPr>
            <w:r/>
            <w:r>
              <w:rPr>
                <w:rFonts w:ascii="Calibri" w:hAnsi="Calibri"/>
                <w:b/>
                <w:i w:val="0"/>
                <w:color w:val="FFFFFF"/>
                <w:sz w:val="15"/>
              </w:rPr>
              <w:t>Need</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5"/>
              </w:rPr>
              <w:t>Whose need</w:t>
            </w:r>
          </w:p>
        </w:tc>
        <w:tc>
          <w:tcPr>
            <w:tcW w:type="dxa" w:w="2520"/>
            <w:shd w:val="clear" w:color="auto" w:fill="0B1F3A"/>
            <w:tcMar>
              <w:top w:w="60" w:type="dxa"/>
              <w:start w:w="110" w:type="dxa"/>
              <w:bottom w:w="60" w:type="dxa"/>
              <w:end w:w="110" w:type="dxa"/>
            </w:tcMar>
          </w:tcPr>
          <w:p>
            <w:pPr>
              <w:spacing w:after="0"/>
            </w:pPr>
            <w:r/>
            <w:r>
              <w:rPr>
                <w:rFonts w:ascii="Calibri" w:hAnsi="Calibri"/>
                <w:b/>
                <w:i w:val="0"/>
                <w:color w:val="FFFFFF"/>
                <w:sz w:val="15"/>
              </w:rPr>
              <w:t>Why it is not met today</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5"/>
              </w:rPr>
              <w:t>Requirement</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5"/>
              </w:rPr>
              <w:t>N1</w:t>
            </w:r>
          </w:p>
        </w:tc>
        <w:tc>
          <w:tcPr>
            <w:tcW w:type="dxa" w:w="2376"/>
            <w:tcMar>
              <w:top w:w="60" w:type="dxa"/>
              <w:start w:w="110" w:type="dxa"/>
              <w:bottom w:w="60" w:type="dxa"/>
              <w:end w:w="110" w:type="dxa"/>
            </w:tcMar>
          </w:tcPr>
          <w:p>
            <w:pPr>
              <w:spacing w:after="0"/>
            </w:pPr>
            <w:r/>
            <w:r>
              <w:rPr>
                <w:rFonts w:ascii="Calibri" w:hAnsi="Calibri"/>
                <w:b w:val="0"/>
                <w:i w:val="0"/>
                <w:color w:val="101828"/>
                <w:sz w:val="15"/>
              </w:rPr>
              <w:t>Know exactly what I owe and when</w:t>
            </w:r>
          </w:p>
        </w:tc>
        <w:tc>
          <w:tcPr>
            <w:tcW w:type="dxa" w:w="1656"/>
            <w:tcMar>
              <w:top w:w="60" w:type="dxa"/>
              <w:start w:w="110" w:type="dxa"/>
              <w:bottom w:w="60" w:type="dxa"/>
              <w:end w:w="110" w:type="dxa"/>
            </w:tcMar>
          </w:tcPr>
          <w:p>
            <w:pPr>
              <w:spacing w:after="0"/>
            </w:pPr>
            <w:r/>
            <w:r>
              <w:rPr>
                <w:rFonts w:ascii="Calibri" w:hAnsi="Calibri"/>
                <w:b w:val="0"/>
                <w:i w:val="0"/>
                <w:color w:val="101828"/>
                <w:sz w:val="15"/>
              </w:rPr>
              <w:t>Member (Chidi, Tunde)</w:t>
            </w:r>
          </w:p>
        </w:tc>
        <w:tc>
          <w:tcPr>
            <w:tcW w:type="dxa" w:w="2520"/>
            <w:tcMar>
              <w:top w:w="60" w:type="dxa"/>
              <w:start w:w="110" w:type="dxa"/>
              <w:bottom w:w="60" w:type="dxa"/>
              <w:end w:w="110" w:type="dxa"/>
            </w:tcMar>
          </w:tcPr>
          <w:p>
            <w:pPr>
              <w:spacing w:after="0"/>
            </w:pPr>
            <w:r/>
            <w:r>
              <w:rPr>
                <w:rFonts w:ascii="Calibri" w:hAnsi="Calibri"/>
                <w:b w:val="0"/>
                <w:i w:val="0"/>
                <w:color w:val="101828"/>
                <w:sz w:val="15"/>
              </w:rPr>
              <w:t>Depends entirely on the organiser remembering or checking the notebook</w:t>
            </w:r>
          </w:p>
        </w:tc>
        <w:tc>
          <w:tcPr>
            <w:tcW w:type="dxa" w:w="2304"/>
            <w:tcMar>
              <w:top w:w="60" w:type="dxa"/>
              <w:start w:w="110" w:type="dxa"/>
              <w:bottom w:w="60" w:type="dxa"/>
              <w:end w:w="110" w:type="dxa"/>
            </w:tcMar>
          </w:tcPr>
          <w:p>
            <w:pPr>
              <w:spacing w:after="0"/>
            </w:pPr>
            <w:r/>
            <w:r>
              <w:rPr>
                <w:rFonts w:ascii="Calibri" w:hAnsi="Calibri"/>
                <w:b w:val="0"/>
                <w:i w:val="0"/>
                <w:color w:val="101828"/>
                <w:sz w:val="15"/>
              </w:rPr>
              <w:t>FR-CON-001 to FR-CON-004</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5"/>
              </w:rPr>
              <w:t>N2</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5"/>
              </w:rPr>
              <w:t>Know what the pot is worth right now</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5"/>
              </w:rPr>
              <w:t>Member, organiser</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5"/>
              </w:rPr>
              <w:t>Never stated; the pot is a physical pile of cash</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FR-POS-002</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5"/>
              </w:rPr>
              <w:t>N3</w:t>
            </w:r>
          </w:p>
        </w:tc>
        <w:tc>
          <w:tcPr>
            <w:tcW w:type="dxa" w:w="2376"/>
            <w:tcMar>
              <w:top w:w="60" w:type="dxa"/>
              <w:start w:w="110" w:type="dxa"/>
              <w:bottom w:w="60" w:type="dxa"/>
              <w:end w:w="110" w:type="dxa"/>
            </w:tcMar>
          </w:tcPr>
          <w:p>
            <w:pPr>
              <w:spacing w:after="0"/>
            </w:pPr>
            <w:r/>
            <w:r>
              <w:rPr>
                <w:rFonts w:ascii="Calibri" w:hAnsi="Calibri"/>
                <w:b w:val="0"/>
                <w:i w:val="0"/>
                <w:color w:val="101828"/>
                <w:sz w:val="15"/>
              </w:rPr>
              <w:t>Know when my turn is, and be certain it cannot move</w:t>
            </w:r>
          </w:p>
        </w:tc>
        <w:tc>
          <w:tcPr>
            <w:tcW w:type="dxa" w:w="1656"/>
            <w:tcMar>
              <w:top w:w="60" w:type="dxa"/>
              <w:start w:w="110" w:type="dxa"/>
              <w:bottom w:w="60" w:type="dxa"/>
              <w:end w:w="110" w:type="dxa"/>
            </w:tcMar>
          </w:tcPr>
          <w:p>
            <w:pPr>
              <w:spacing w:after="0"/>
            </w:pPr>
            <w:r/>
            <w:r>
              <w:rPr>
                <w:rFonts w:ascii="Calibri" w:hAnsi="Calibri"/>
                <w:b w:val="0"/>
                <w:i w:val="0"/>
                <w:color w:val="101828"/>
                <w:sz w:val="15"/>
              </w:rPr>
              <w:t>Member (Ada, Kemi)</w:t>
            </w:r>
          </w:p>
        </w:tc>
        <w:tc>
          <w:tcPr>
            <w:tcW w:type="dxa" w:w="2520"/>
            <w:tcMar>
              <w:top w:w="60" w:type="dxa"/>
              <w:start w:w="110" w:type="dxa"/>
              <w:bottom w:w="60" w:type="dxa"/>
              <w:end w:w="110" w:type="dxa"/>
            </w:tcMar>
          </w:tcPr>
          <w:p>
            <w:pPr>
              <w:spacing w:after="0"/>
            </w:pPr>
            <w:r/>
            <w:r>
              <w:rPr>
                <w:rFonts w:ascii="Calibri" w:hAnsi="Calibri"/>
                <w:b w:val="0"/>
                <w:i w:val="0"/>
                <w:color w:val="101828"/>
                <w:sz w:val="15"/>
              </w:rPr>
              <w:t>The order is verbal and is the first thing forgotten</w:t>
            </w:r>
          </w:p>
        </w:tc>
        <w:tc>
          <w:tcPr>
            <w:tcW w:type="dxa" w:w="2304"/>
            <w:tcMar>
              <w:top w:w="60" w:type="dxa"/>
              <w:start w:w="110" w:type="dxa"/>
              <w:bottom w:w="60" w:type="dxa"/>
              <w:end w:w="110" w:type="dxa"/>
            </w:tcMar>
          </w:tcPr>
          <w:p>
            <w:pPr>
              <w:spacing w:after="0"/>
            </w:pPr>
            <w:r/>
            <w:r>
              <w:rPr>
                <w:rFonts w:ascii="Calibri" w:hAnsi="Calibri"/>
                <w:b w:val="0"/>
                <w:i w:val="0"/>
                <w:color w:val="101828"/>
                <w:sz w:val="15"/>
              </w:rPr>
              <w:t>FR-AJO-009, FR-AJO-010</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5"/>
              </w:rPr>
              <w:t>N4</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5"/>
              </w:rPr>
              <w:t>Get a receipt for everything I pay and receive</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5"/>
              </w:rPr>
              <w:t>All members</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5"/>
              </w:rPr>
              <w:t>No receipt exists in the large majority of Ajos</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FR-PAY-007, FR-POUT-006</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5"/>
              </w:rPr>
              <w:t>N5</w:t>
            </w:r>
          </w:p>
        </w:tc>
        <w:tc>
          <w:tcPr>
            <w:tcW w:type="dxa" w:w="2376"/>
            <w:tcMar>
              <w:top w:w="60" w:type="dxa"/>
              <w:start w:w="110" w:type="dxa"/>
              <w:bottom w:w="60" w:type="dxa"/>
              <w:end w:w="110" w:type="dxa"/>
            </w:tcMar>
          </w:tcPr>
          <w:p>
            <w:pPr>
              <w:spacing w:after="0"/>
            </w:pPr>
            <w:r/>
            <w:r>
              <w:rPr>
                <w:rFonts w:ascii="Calibri" w:hAnsi="Calibri"/>
                <w:b w:val="0"/>
                <w:i w:val="0"/>
                <w:color w:val="101828"/>
                <w:sz w:val="15"/>
              </w:rPr>
              <w:t>Pay without arranging a physical meeting</w:t>
            </w:r>
          </w:p>
        </w:tc>
        <w:tc>
          <w:tcPr>
            <w:tcW w:type="dxa" w:w="1656"/>
            <w:tcMar>
              <w:top w:w="60" w:type="dxa"/>
              <w:start w:w="110" w:type="dxa"/>
              <w:bottom w:w="60" w:type="dxa"/>
              <w:end w:w="110" w:type="dxa"/>
            </w:tcMar>
          </w:tcPr>
          <w:p>
            <w:pPr>
              <w:spacing w:after="0"/>
            </w:pPr>
            <w:r/>
            <w:r>
              <w:rPr>
                <w:rFonts w:ascii="Calibri" w:hAnsi="Calibri"/>
                <w:b w:val="0"/>
                <w:i w:val="0"/>
                <w:color w:val="101828"/>
                <w:sz w:val="15"/>
              </w:rPr>
              <w:t>Kemi, Tunde, Bisi</w:t>
            </w:r>
          </w:p>
        </w:tc>
        <w:tc>
          <w:tcPr>
            <w:tcW w:type="dxa" w:w="2520"/>
            <w:tcMar>
              <w:top w:w="60" w:type="dxa"/>
              <w:start w:w="110" w:type="dxa"/>
              <w:bottom w:w="60" w:type="dxa"/>
              <w:end w:w="110" w:type="dxa"/>
            </w:tcMar>
          </w:tcPr>
          <w:p>
            <w:pPr>
              <w:spacing w:after="0"/>
            </w:pPr>
            <w:r/>
            <w:r>
              <w:rPr>
                <w:rFonts w:ascii="Calibri" w:hAnsi="Calibri"/>
                <w:b w:val="0"/>
                <w:i w:val="0"/>
                <w:color w:val="101828"/>
                <w:sz w:val="15"/>
              </w:rPr>
              <w:t>Requires being physically present or an intermediary</w:t>
            </w:r>
          </w:p>
        </w:tc>
        <w:tc>
          <w:tcPr>
            <w:tcW w:type="dxa" w:w="2304"/>
            <w:tcMar>
              <w:top w:w="60" w:type="dxa"/>
              <w:start w:w="110" w:type="dxa"/>
              <w:bottom w:w="60" w:type="dxa"/>
              <w:end w:w="110" w:type="dxa"/>
            </w:tcMar>
          </w:tcPr>
          <w:p>
            <w:pPr>
              <w:spacing w:after="0"/>
            </w:pPr>
            <w:r/>
            <w:r>
              <w:rPr>
                <w:rFonts w:ascii="Calibri" w:hAnsi="Calibri"/>
                <w:b w:val="0"/>
                <w:i w:val="0"/>
                <w:color w:val="101828"/>
                <w:sz w:val="15"/>
              </w:rPr>
              <w:t>FR-PAY-001, FR-PAY-002</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5"/>
              </w:rPr>
              <w:t>N6</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5"/>
              </w:rPr>
              <w:t>Be reminded before I am late, not after</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5"/>
              </w:rPr>
              <w:t>Member</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5"/>
              </w:rPr>
              <w:t>Reminders are ad hoc and inconsistent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FR-NOTIF-002</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5"/>
              </w:rPr>
              <w:t>N7</w:t>
            </w:r>
          </w:p>
        </w:tc>
        <w:tc>
          <w:tcPr>
            <w:tcW w:type="dxa" w:w="2376"/>
            <w:tcMar>
              <w:top w:w="60" w:type="dxa"/>
              <w:start w:w="110" w:type="dxa"/>
              <w:bottom w:w="60" w:type="dxa"/>
              <w:end w:w="110" w:type="dxa"/>
            </w:tcMar>
          </w:tcPr>
          <w:p>
            <w:pPr>
              <w:spacing w:after="0"/>
            </w:pPr>
            <w:r/>
            <w:r>
              <w:rPr>
                <w:rFonts w:ascii="Calibri" w:hAnsi="Calibri"/>
                <w:b w:val="0"/>
                <w:i w:val="0"/>
                <w:color w:val="101828"/>
                <w:sz w:val="15"/>
              </w:rPr>
              <w:t>Get the pot on my turn, in full, on time</w:t>
            </w:r>
          </w:p>
        </w:tc>
        <w:tc>
          <w:tcPr>
            <w:tcW w:type="dxa" w:w="1656"/>
            <w:tcMar>
              <w:top w:w="60" w:type="dxa"/>
              <w:start w:w="110" w:type="dxa"/>
              <w:bottom w:w="60" w:type="dxa"/>
              <w:end w:w="110" w:type="dxa"/>
            </w:tcMar>
          </w:tcPr>
          <w:p>
            <w:pPr>
              <w:spacing w:after="0"/>
            </w:pPr>
            <w:r/>
            <w:r>
              <w:rPr>
                <w:rFonts w:ascii="Calibri" w:hAnsi="Calibri"/>
                <w:b w:val="0"/>
                <w:i w:val="0"/>
                <w:color w:val="101828"/>
                <w:sz w:val="15"/>
              </w:rPr>
              <w:t>Member</w:t>
            </w:r>
          </w:p>
        </w:tc>
        <w:tc>
          <w:tcPr>
            <w:tcW w:type="dxa" w:w="2520"/>
            <w:tcMar>
              <w:top w:w="60" w:type="dxa"/>
              <w:start w:w="110" w:type="dxa"/>
              <w:bottom w:w="60" w:type="dxa"/>
              <w:end w:w="110" w:type="dxa"/>
            </w:tcMar>
          </w:tcPr>
          <w:p>
            <w:pPr>
              <w:spacing w:after="0"/>
            </w:pPr>
            <w:r/>
            <w:r>
              <w:rPr>
                <w:rFonts w:ascii="Calibri" w:hAnsi="Calibri"/>
                <w:b w:val="0"/>
                <w:i w:val="0"/>
                <w:color w:val="101828"/>
                <w:sz w:val="15"/>
              </w:rPr>
              <w:t>Depends on everyone else paying and the organiser having cash</w:t>
            </w:r>
          </w:p>
        </w:tc>
        <w:tc>
          <w:tcPr>
            <w:tcW w:type="dxa" w:w="2304"/>
            <w:tcMar>
              <w:top w:w="60" w:type="dxa"/>
              <w:start w:w="110" w:type="dxa"/>
              <w:bottom w:w="60" w:type="dxa"/>
              <w:end w:w="110" w:type="dxa"/>
            </w:tcMar>
          </w:tcPr>
          <w:p>
            <w:pPr>
              <w:spacing w:after="0"/>
            </w:pPr>
            <w:r/>
            <w:r>
              <w:rPr>
                <w:rFonts w:ascii="Calibri" w:hAnsi="Calibri"/>
                <w:b w:val="0"/>
                <w:i w:val="0"/>
                <w:color w:val="101828"/>
                <w:sz w:val="15"/>
              </w:rPr>
              <w:t>FR-POUT-001, FR-POUT-003</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5"/>
              </w:rPr>
              <w:t>N8</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5"/>
              </w:rPr>
              <w:t>Resolve a disagreement about money with evidence</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5"/>
              </w:rPr>
              <w:t>Member, organiser</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5"/>
              </w:rPr>
              <w:t>Memory versus memory; the louder party wins</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FR-DISP-001 to FR-DISP-005</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5"/>
              </w:rPr>
              <w:t>N9</w:t>
            </w:r>
          </w:p>
        </w:tc>
        <w:tc>
          <w:tcPr>
            <w:tcW w:type="dxa" w:w="2376"/>
            <w:tcMar>
              <w:top w:w="60" w:type="dxa"/>
              <w:start w:w="110" w:type="dxa"/>
              <w:bottom w:w="60" w:type="dxa"/>
              <w:end w:w="110" w:type="dxa"/>
            </w:tcMar>
          </w:tcPr>
          <w:p>
            <w:pPr>
              <w:spacing w:after="0"/>
            </w:pPr>
            <w:r/>
            <w:r>
              <w:rPr>
                <w:rFonts w:ascii="Calibri" w:hAnsi="Calibri"/>
                <w:b w:val="0"/>
                <w:i w:val="0"/>
                <w:color w:val="101828"/>
                <w:sz w:val="15"/>
              </w:rPr>
              <w:t>Know what happens if I cannot pay this week, before it happens</w:t>
            </w:r>
          </w:p>
        </w:tc>
        <w:tc>
          <w:tcPr>
            <w:tcW w:type="dxa" w:w="1656"/>
            <w:tcMar>
              <w:top w:w="60" w:type="dxa"/>
              <w:start w:w="110" w:type="dxa"/>
              <w:bottom w:w="60" w:type="dxa"/>
              <w:end w:w="110" w:type="dxa"/>
            </w:tcMar>
          </w:tcPr>
          <w:p>
            <w:pPr>
              <w:spacing w:after="0"/>
            </w:pPr>
            <w:r/>
            <w:r>
              <w:rPr>
                <w:rFonts w:ascii="Calibri" w:hAnsi="Calibri"/>
                <w:b w:val="0"/>
                <w:i w:val="0"/>
                <w:color w:val="101828"/>
                <w:sz w:val="15"/>
              </w:rPr>
              <w:t>Member (Tunde)</w:t>
            </w:r>
          </w:p>
        </w:tc>
        <w:tc>
          <w:tcPr>
            <w:tcW w:type="dxa" w:w="2520"/>
            <w:tcMar>
              <w:top w:w="60" w:type="dxa"/>
              <w:start w:w="110" w:type="dxa"/>
              <w:bottom w:w="60" w:type="dxa"/>
              <w:end w:w="110" w:type="dxa"/>
            </w:tcMar>
          </w:tcPr>
          <w:p>
            <w:pPr>
              <w:spacing w:after="0"/>
            </w:pPr>
            <w:r/>
            <w:r>
              <w:rPr>
                <w:rFonts w:ascii="Calibri" w:hAnsi="Calibri"/>
                <w:b w:val="0"/>
                <w:i w:val="0"/>
                <w:color w:val="101828"/>
                <w:sz w:val="15"/>
              </w:rPr>
              <w:t>Nobody knows; there is no defined process</w:t>
            </w:r>
          </w:p>
        </w:tc>
        <w:tc>
          <w:tcPr>
            <w:tcW w:type="dxa" w:w="2304"/>
            <w:tcMar>
              <w:top w:w="60" w:type="dxa"/>
              <w:start w:w="110" w:type="dxa"/>
              <w:bottom w:w="60" w:type="dxa"/>
              <w:end w:w="110" w:type="dxa"/>
            </w:tcMar>
          </w:tcPr>
          <w:p>
            <w:pPr>
              <w:spacing w:after="0"/>
            </w:pPr>
            <w:r/>
            <w:r>
              <w:rPr>
                <w:rFonts w:ascii="Calibri" w:hAnsi="Calibri"/>
                <w:b w:val="0"/>
                <w:i w:val="0"/>
                <w:color w:val="101828"/>
                <w:sz w:val="15"/>
              </w:rPr>
              <w:t>FR-DEF-001, FR-DEF-002</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5"/>
              </w:rPr>
              <w:t>N10</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5"/>
              </w:rPr>
              <w:t>Collect the Ajo without collecting the money</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5"/>
              </w:rPr>
              <w:t>Organiser (Musa)</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5"/>
              </w:rPr>
              <w:t>Today the two are the same job</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FR-PAY-003, FR-MEM-004</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5"/>
              </w:rPr>
              <w:t>N11</w:t>
            </w:r>
          </w:p>
        </w:tc>
        <w:tc>
          <w:tcPr>
            <w:tcW w:type="dxa" w:w="2376"/>
            <w:tcMar>
              <w:top w:w="60" w:type="dxa"/>
              <w:start w:w="110" w:type="dxa"/>
              <w:bottom w:w="60" w:type="dxa"/>
              <w:end w:w="110" w:type="dxa"/>
            </w:tcMar>
          </w:tcPr>
          <w:p>
            <w:pPr>
              <w:spacing w:after="0"/>
            </w:pPr>
            <w:r/>
            <w:r>
              <w:rPr>
                <w:rFonts w:ascii="Calibri" w:hAnsi="Calibri"/>
                <w:b w:val="0"/>
                <w:i w:val="0"/>
                <w:color w:val="101828"/>
                <w:sz w:val="15"/>
              </w:rPr>
              <w:t>Prove to a third party what happened in my Ajo</w:t>
            </w:r>
          </w:p>
        </w:tc>
        <w:tc>
          <w:tcPr>
            <w:tcW w:type="dxa" w:w="1656"/>
            <w:tcMar>
              <w:top w:w="60" w:type="dxa"/>
              <w:start w:w="110" w:type="dxa"/>
              <w:bottom w:w="60" w:type="dxa"/>
              <w:end w:w="110" w:type="dxa"/>
            </w:tcMar>
          </w:tcPr>
          <w:p>
            <w:pPr>
              <w:spacing w:after="0"/>
            </w:pPr>
            <w:r/>
            <w:r>
              <w:rPr>
                <w:rFonts w:ascii="Calibri" w:hAnsi="Calibri"/>
                <w:b w:val="0"/>
                <w:i w:val="0"/>
                <w:color w:val="101828"/>
                <w:sz w:val="15"/>
              </w:rPr>
              <w:t>All members, Bisi</w:t>
            </w:r>
          </w:p>
        </w:tc>
        <w:tc>
          <w:tcPr>
            <w:tcW w:type="dxa" w:w="2520"/>
            <w:tcMar>
              <w:top w:w="60" w:type="dxa"/>
              <w:start w:w="110" w:type="dxa"/>
              <w:bottom w:w="60" w:type="dxa"/>
              <w:end w:w="110" w:type="dxa"/>
            </w:tcMar>
          </w:tcPr>
          <w:p>
            <w:pPr>
              <w:spacing w:after="0"/>
            </w:pPr>
            <w:r/>
            <w:r>
              <w:rPr>
                <w:rFonts w:ascii="Calibri" w:hAnsi="Calibri"/>
                <w:b w:val="0"/>
                <w:i w:val="0"/>
                <w:color w:val="101828"/>
                <w:sz w:val="15"/>
              </w:rPr>
              <w:t>No audit trail, no statement, no archive</w:t>
            </w:r>
          </w:p>
        </w:tc>
        <w:tc>
          <w:tcPr>
            <w:tcW w:type="dxa" w:w="2304"/>
            <w:tcMar>
              <w:top w:w="60" w:type="dxa"/>
              <w:start w:w="110" w:type="dxa"/>
              <w:bottom w:w="60" w:type="dxa"/>
              <w:end w:w="110" w:type="dxa"/>
            </w:tcMar>
          </w:tcPr>
          <w:p>
            <w:pPr>
              <w:spacing w:after="0"/>
            </w:pPr>
            <w:r/>
            <w:r>
              <w:rPr>
                <w:rFonts w:ascii="Calibri" w:hAnsi="Calibri"/>
                <w:b w:val="0"/>
                <w:i w:val="0"/>
                <w:color w:val="101828"/>
                <w:sz w:val="15"/>
              </w:rPr>
              <w:t>FR-TXN-003, FR-TXN-004</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5"/>
              </w:rPr>
              <w:t>N12</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5"/>
              </w:rPr>
              <w:t>Keep an Ajo running when I am not available</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5"/>
              </w:rPr>
              <w:t>Bisi, Kemi</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5"/>
              </w:rPr>
              <w:t>The Ajo ends when the organiser is absent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FR-AJO-012, FR-MEM-007</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5"/>
              </w:rPr>
              <w:t>N13</w:t>
            </w:r>
          </w:p>
        </w:tc>
        <w:tc>
          <w:tcPr>
            <w:tcW w:type="dxa" w:w="2376"/>
            <w:tcMar>
              <w:top w:w="60" w:type="dxa"/>
              <w:start w:w="110" w:type="dxa"/>
              <w:bottom w:w="60" w:type="dxa"/>
              <w:end w:w="110" w:type="dxa"/>
            </w:tcMar>
          </w:tcPr>
          <w:p>
            <w:pPr>
              <w:spacing w:after="0"/>
            </w:pPr>
            <w:r/>
            <w:r>
              <w:rPr>
                <w:rFonts w:ascii="Calibri" w:hAnsi="Calibri"/>
                <w:b w:val="0"/>
                <w:i w:val="0"/>
                <w:color w:val="101828"/>
                <w:sz w:val="15"/>
              </w:rPr>
              <w:t>Leave an Ajo without stranding the people I leave behind</w:t>
            </w:r>
          </w:p>
        </w:tc>
        <w:tc>
          <w:tcPr>
            <w:tcW w:type="dxa" w:w="1656"/>
            <w:tcMar>
              <w:top w:w="60" w:type="dxa"/>
              <w:start w:w="110" w:type="dxa"/>
              <w:bottom w:w="60" w:type="dxa"/>
              <w:end w:w="110" w:type="dxa"/>
            </w:tcMar>
          </w:tcPr>
          <w:p>
            <w:pPr>
              <w:spacing w:after="0"/>
            </w:pPr>
            <w:r/>
            <w:r>
              <w:rPr>
                <w:rFonts w:ascii="Calibri" w:hAnsi="Calibri"/>
                <w:b w:val="0"/>
                <w:i w:val="0"/>
                <w:color w:val="101828"/>
                <w:sz w:val="15"/>
              </w:rPr>
              <w:t>Member</w:t>
            </w:r>
          </w:p>
        </w:tc>
        <w:tc>
          <w:tcPr>
            <w:tcW w:type="dxa" w:w="2520"/>
            <w:tcMar>
              <w:top w:w="60" w:type="dxa"/>
              <w:start w:w="110" w:type="dxa"/>
              <w:bottom w:w="60" w:type="dxa"/>
              <w:end w:w="110" w:type="dxa"/>
            </w:tcMar>
          </w:tcPr>
          <w:p>
            <w:pPr>
              <w:spacing w:after="0"/>
            </w:pPr>
            <w:r/>
            <w:r>
              <w:rPr>
                <w:rFonts w:ascii="Calibri" w:hAnsi="Calibri"/>
                <w:b w:val="0"/>
                <w:i w:val="0"/>
                <w:color w:val="101828"/>
                <w:sz w:val="15"/>
              </w:rPr>
              <w:t>People simply disappear, and others absorb the loss</w:t>
            </w:r>
          </w:p>
        </w:tc>
        <w:tc>
          <w:tcPr>
            <w:tcW w:type="dxa" w:w="2304"/>
            <w:tcMar>
              <w:top w:w="60" w:type="dxa"/>
              <w:start w:w="110" w:type="dxa"/>
              <w:bottom w:w="60" w:type="dxa"/>
              <w:end w:w="110" w:type="dxa"/>
            </w:tcMar>
          </w:tcPr>
          <w:p>
            <w:pPr>
              <w:spacing w:after="0"/>
            </w:pPr>
            <w:r/>
            <w:r>
              <w:rPr>
                <w:rFonts w:ascii="Calibri" w:hAnsi="Calibri"/>
                <w:b w:val="0"/>
                <w:i w:val="0"/>
                <w:color w:val="101828"/>
                <w:sz w:val="15"/>
              </w:rPr>
              <w:t>FR-MEM-006, FR-MEM-007</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5"/>
              </w:rPr>
              <w:t>N14</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5"/>
              </w:rPr>
              <w:t>See the fee clearly before I commit</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5"/>
              </w:rPr>
              <w:t>All members</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5"/>
              </w:rPr>
              <w:t>Non-existent today; this is the new product's own requirement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FR-AJO-005, FR-INV-002, FR-JOIN-003</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5"/>
              </w:rPr>
              <w:t>N15</w:t>
            </w:r>
          </w:p>
        </w:tc>
        <w:tc>
          <w:tcPr>
            <w:tcW w:type="dxa" w:w="2376"/>
            <w:tcMar>
              <w:top w:w="60" w:type="dxa"/>
              <w:start w:w="110" w:type="dxa"/>
              <w:bottom w:w="60" w:type="dxa"/>
              <w:end w:w="110" w:type="dxa"/>
            </w:tcMar>
          </w:tcPr>
          <w:p>
            <w:pPr>
              <w:spacing w:after="0"/>
            </w:pPr>
            <w:r/>
            <w:r>
              <w:rPr>
                <w:rFonts w:ascii="Calibri" w:hAnsi="Calibri"/>
                <w:b w:val="0"/>
                <w:i w:val="0"/>
                <w:color w:val="101828"/>
                <w:sz w:val="15"/>
              </w:rPr>
              <w:t>Understand the Ajo without reading a contract</w:t>
            </w:r>
          </w:p>
        </w:tc>
        <w:tc>
          <w:tcPr>
            <w:tcW w:type="dxa" w:w="1656"/>
            <w:tcMar>
              <w:top w:w="60" w:type="dxa"/>
              <w:start w:w="110" w:type="dxa"/>
              <w:bottom w:w="60" w:type="dxa"/>
              <w:end w:w="110" w:type="dxa"/>
            </w:tcMar>
          </w:tcPr>
          <w:p>
            <w:pPr>
              <w:spacing w:after="0"/>
            </w:pPr>
            <w:r/>
            <w:r>
              <w:rPr>
                <w:rFonts w:ascii="Calibri" w:hAnsi="Calibri"/>
                <w:b w:val="0"/>
                <w:i w:val="0"/>
                <w:color w:val="101828"/>
                <w:sz w:val="15"/>
              </w:rPr>
              <w:t>Tunde, Chidi</w:t>
            </w:r>
          </w:p>
        </w:tc>
        <w:tc>
          <w:tcPr>
            <w:tcW w:type="dxa" w:w="2520"/>
            <w:tcMar>
              <w:top w:w="60" w:type="dxa"/>
              <w:start w:w="110" w:type="dxa"/>
              <w:bottom w:w="60" w:type="dxa"/>
              <w:end w:w="110" w:type="dxa"/>
            </w:tcMar>
          </w:tcPr>
          <w:p>
            <w:pPr>
              <w:spacing w:after="0"/>
            </w:pPr>
            <w:r/>
            <w:r>
              <w:rPr>
                <w:rFonts w:ascii="Calibri" w:hAnsi="Calibri"/>
                <w:b w:val="0"/>
                <w:i w:val="0"/>
                <w:color w:val="101828"/>
                <w:sz w:val="15"/>
              </w:rPr>
              <w:t>Terms are verbal and inconsistent between groups</w:t>
            </w:r>
          </w:p>
        </w:tc>
        <w:tc>
          <w:tcPr>
            <w:tcW w:type="dxa" w:w="2304"/>
            <w:tcMar>
              <w:top w:w="60" w:type="dxa"/>
              <w:start w:w="110" w:type="dxa"/>
              <w:bottom w:w="60" w:type="dxa"/>
              <w:end w:w="110" w:type="dxa"/>
            </w:tcMar>
          </w:tcPr>
          <w:p>
            <w:pPr>
              <w:spacing w:after="0"/>
            </w:pPr>
            <w:r/>
            <w:r>
              <w:rPr>
                <w:rFonts w:ascii="Calibri" w:hAnsi="Calibri"/>
                <w:b w:val="0"/>
                <w:i w:val="0"/>
                <w:color w:val="101828"/>
                <w:sz w:val="15"/>
              </w:rPr>
              <w:t>FR-JOIN-002, FR-AJO-004</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5"/>
              </w:rPr>
              <w:t>N16</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5"/>
              </w:rPr>
              <w:t>See a complete history of my own savings</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5"/>
              </w:rPr>
              <w:t>Ada, Bisi</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5"/>
              </w:rPr>
              <w:t>No record survives the notebook</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FR-TXN-001, FR-TXN-006</w:t>
            </w:r>
          </w:p>
        </w:tc>
      </w:tr>
    </w:tbl>
    <w:p>
      <w:pPr>
        <w:spacing w:after="80"/>
      </w:pPr>
    </w:p>
    <w:p>
      <w:pPr>
        <w:pStyle w:val="Heading2"/>
      </w:pPr>
      <w:r>
        <w:rPr>
          <w:rFonts w:ascii="Calibri" w:hAnsi="Calibri"/>
          <w:b/>
          <w:i w:val="0"/>
          <w:color w:val="146EF5"/>
          <w:sz w:val="29"/>
        </w:rPr>
        <w:t>1.14 User pain points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576"/>
            <w:shd w:val="clear" w:color="auto" w:fill="0B1F3A"/>
            <w:tcMar>
              <w:top w:w="60" w:type="dxa"/>
              <w:start w:w="110" w:type="dxa"/>
              <w:bottom w:w="60" w:type="dxa"/>
              <w:end w:w="110" w:type="dxa"/>
            </w:tcMar>
          </w:tcPr>
          <w:p>
            <w:pPr>
              <w:spacing w:after="0"/>
            </w:pPr>
            <w:r/>
            <w:r>
              <w:rPr>
                <w:rFonts w:ascii="Calibri" w:hAnsi="Calibri"/>
                <w:b/>
                <w:i w:val="0"/>
                <w:color w:val="FFFFFF"/>
                <w:sz w:val="15"/>
              </w:rPr>
              <w:t>#</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5"/>
              </w:rPr>
              <w:t>Pain point</w:t>
            </w:r>
          </w:p>
        </w:tc>
        <w:tc>
          <w:tcPr>
            <w:tcW w:type="dxa" w:w="1512"/>
            <w:shd w:val="clear" w:color="auto" w:fill="0B1F3A"/>
            <w:tcMar>
              <w:top w:w="60" w:type="dxa"/>
              <w:start w:w="110" w:type="dxa"/>
              <w:bottom w:w="60" w:type="dxa"/>
              <w:end w:w="110" w:type="dxa"/>
            </w:tcMar>
          </w:tcPr>
          <w:p>
            <w:pPr>
              <w:spacing w:after="0"/>
            </w:pPr>
            <w:r/>
            <w:r>
              <w:rPr>
                <w:rFonts w:ascii="Calibri" w:hAnsi="Calibri"/>
                <w:b/>
                <w:i w:val="0"/>
                <w:color w:val="FFFFFF"/>
                <w:sz w:val="15"/>
              </w:rPr>
              <w:t>Who feels it</w:t>
            </w:r>
          </w:p>
        </w:tc>
        <w:tc>
          <w:tcPr>
            <w:tcW w:type="dxa" w:w="2520"/>
            <w:shd w:val="clear" w:color="auto" w:fill="0B1F3A"/>
            <w:tcMar>
              <w:top w:w="60" w:type="dxa"/>
              <w:start w:w="110" w:type="dxa"/>
              <w:bottom w:w="60" w:type="dxa"/>
              <w:end w:w="110" w:type="dxa"/>
            </w:tcMar>
          </w:tcPr>
          <w:p>
            <w:pPr>
              <w:spacing w:after="0"/>
            </w:pPr>
            <w:r/>
            <w:r>
              <w:rPr>
                <w:rFonts w:ascii="Calibri" w:hAnsi="Calibri"/>
                <w:b/>
                <w:i w:val="0"/>
                <w:color w:val="FFFFFF"/>
                <w:sz w:val="15"/>
              </w:rPr>
              <w:t>Current workaround</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5"/>
              </w:rPr>
              <w:t>Cost of the pain</w:t>
            </w:r>
          </w:p>
        </w:tc>
      </w:tr>
      <w:tr>
        <w:trPr>
          <w:cantSplit/>
        </w:trPr>
        <w:tc>
          <w:tcPr>
            <w:tcW w:type="dxa" w:w="576"/>
            <w:tcMar>
              <w:top w:w="60" w:type="dxa"/>
              <w:start w:w="110" w:type="dxa"/>
              <w:bottom w:w="60" w:type="dxa"/>
              <w:end w:w="110" w:type="dxa"/>
            </w:tcMar>
          </w:tcPr>
          <w:p>
            <w:pPr>
              <w:spacing w:after="0"/>
            </w:pPr>
            <w:r/>
            <w:r>
              <w:rPr>
                <w:rFonts w:ascii="Calibri" w:hAnsi="Calibri"/>
                <w:b w:val="0"/>
                <w:i w:val="0"/>
                <w:color w:val="101828"/>
                <w:sz w:val="15"/>
              </w:rPr>
              <w:t>PP1</w:t>
            </w:r>
          </w:p>
        </w:tc>
        <w:tc>
          <w:tcPr>
            <w:tcW w:type="dxa" w:w="2448"/>
            <w:tcMar>
              <w:top w:w="60" w:type="dxa"/>
              <w:start w:w="110" w:type="dxa"/>
              <w:bottom w:w="60" w:type="dxa"/>
              <w:end w:w="110" w:type="dxa"/>
            </w:tcMar>
          </w:tcPr>
          <w:p>
            <w:pPr>
              <w:spacing w:after="0"/>
            </w:pPr>
            <w:r/>
            <w:r>
              <w:rPr>
                <w:rFonts w:ascii="Calibri" w:hAnsi="Calibri"/>
                <w:b w:val="0"/>
                <w:i w:val="0"/>
                <w:color w:val="101828"/>
                <w:sz w:val="15"/>
              </w:rPr>
              <w:t>I do not know if I paid</w:t>
            </w:r>
          </w:p>
        </w:tc>
        <w:tc>
          <w:tcPr>
            <w:tcW w:type="dxa" w:w="1512"/>
            <w:tcMar>
              <w:top w:w="60" w:type="dxa"/>
              <w:start w:w="110" w:type="dxa"/>
              <w:bottom w:w="60" w:type="dxa"/>
              <w:end w:w="110" w:type="dxa"/>
            </w:tcMar>
          </w:tcPr>
          <w:p>
            <w:pPr>
              <w:spacing w:after="0"/>
            </w:pPr>
            <w:r/>
            <w:r>
              <w:rPr>
                <w:rFonts w:ascii="Calibri" w:hAnsi="Calibri"/>
                <w:b w:val="0"/>
                <w:i w:val="0"/>
                <w:color w:val="101828"/>
                <w:sz w:val="15"/>
              </w:rPr>
              <w:t>Every member</w:t>
            </w:r>
          </w:p>
        </w:tc>
        <w:tc>
          <w:tcPr>
            <w:tcW w:type="dxa" w:w="2520"/>
            <w:tcMar>
              <w:top w:w="60" w:type="dxa"/>
              <w:start w:w="110" w:type="dxa"/>
              <w:bottom w:w="60" w:type="dxa"/>
              <w:end w:w="110" w:type="dxa"/>
            </w:tcMar>
          </w:tcPr>
          <w:p>
            <w:pPr>
              <w:spacing w:after="0"/>
            </w:pPr>
            <w:r/>
            <w:r>
              <w:rPr>
                <w:rFonts w:ascii="Calibri" w:hAnsi="Calibri"/>
                <w:b w:val="0"/>
                <w:i w:val="0"/>
                <w:color w:val="101828"/>
                <w:sz w:val="15"/>
              </w:rPr>
              <w:t>Asking the organiser, or scrolling back through WhatsApp</w:t>
            </w:r>
          </w:p>
        </w:tc>
        <w:tc>
          <w:tcPr>
            <w:tcW w:type="dxa" w:w="2304"/>
            <w:tcMar>
              <w:top w:w="60" w:type="dxa"/>
              <w:start w:w="110" w:type="dxa"/>
              <w:bottom w:w="60" w:type="dxa"/>
              <w:end w:w="110" w:type="dxa"/>
            </w:tcMar>
          </w:tcPr>
          <w:p>
            <w:pPr>
              <w:spacing w:after="0"/>
            </w:pPr>
            <w:r/>
            <w:r>
              <w:rPr>
                <w:rFonts w:ascii="Calibri" w:hAnsi="Calibri"/>
                <w:b w:val="0"/>
                <w:i w:val="0"/>
                <w:color w:val="101828"/>
                <w:sz w:val="15"/>
              </w:rPr>
              <w:t>Constant low-grade anxiety; members often pay twice or not at all</w:t>
            </w:r>
          </w:p>
        </w:tc>
      </w:tr>
      <w:tr>
        <w:trPr>
          <w:cantSplit/>
        </w:trPr>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5"/>
              </w:rPr>
              <w:t>PP2</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5"/>
              </w:rPr>
              <w:t>I do not know when my turn is</w:t>
            </w:r>
          </w:p>
        </w:tc>
        <w:tc>
          <w:tcPr>
            <w:tcW w:type="dxa" w:w="1512"/>
            <w:tcMar>
              <w:top w:w="60" w:type="dxa"/>
              <w:start w:w="110" w:type="dxa"/>
              <w:bottom w:w="60" w:type="dxa"/>
              <w:end w:w="110" w:type="dxa"/>
            </w:tcMar>
            <w:shd w:val="clear" w:color="auto" w:fill="F4F7FB"/>
          </w:tcPr>
          <w:p>
            <w:pPr>
              <w:spacing w:after="0"/>
            </w:pPr>
            <w:r/>
            <w:r>
              <w:rPr>
                <w:rFonts w:ascii="Calibri" w:hAnsi="Calibri"/>
                <w:b w:val="0"/>
                <w:i w:val="0"/>
                <w:color w:val="101828"/>
                <w:sz w:val="15"/>
              </w:rPr>
              <w:t>Every member</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5"/>
              </w:rPr>
              <w:t>Asking, or assuming</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Members miss their own payout; the most damaging failure in an Ajo</w:t>
            </w:r>
          </w:p>
        </w:tc>
      </w:tr>
      <w:tr>
        <w:trPr>
          <w:cantSplit/>
        </w:trPr>
        <w:tc>
          <w:tcPr>
            <w:tcW w:type="dxa" w:w="576"/>
            <w:tcMar>
              <w:top w:w="60" w:type="dxa"/>
              <w:start w:w="110" w:type="dxa"/>
              <w:bottom w:w="60" w:type="dxa"/>
              <w:end w:w="110" w:type="dxa"/>
            </w:tcMar>
          </w:tcPr>
          <w:p>
            <w:pPr>
              <w:spacing w:after="0"/>
            </w:pPr>
            <w:r/>
            <w:r>
              <w:rPr>
                <w:rFonts w:ascii="Calibri" w:hAnsi="Calibri"/>
                <w:b w:val="0"/>
                <w:i w:val="0"/>
                <w:color w:val="101828"/>
                <w:sz w:val="15"/>
              </w:rPr>
              <w:t>PP3</w:t>
            </w:r>
          </w:p>
        </w:tc>
        <w:tc>
          <w:tcPr>
            <w:tcW w:type="dxa" w:w="2448"/>
            <w:tcMar>
              <w:top w:w="60" w:type="dxa"/>
              <w:start w:w="110" w:type="dxa"/>
              <w:bottom w:w="60" w:type="dxa"/>
              <w:end w:w="110" w:type="dxa"/>
            </w:tcMar>
          </w:tcPr>
          <w:p>
            <w:pPr>
              <w:spacing w:after="0"/>
            </w:pPr>
            <w:r/>
            <w:r>
              <w:rPr>
                <w:rFonts w:ascii="Calibri" w:hAnsi="Calibri"/>
                <w:b w:val="0"/>
                <w:i w:val="0"/>
                <w:color w:val="101828"/>
                <w:sz w:val="15"/>
              </w:rPr>
              <w:t>The organiser is not answering</w:t>
            </w:r>
          </w:p>
        </w:tc>
        <w:tc>
          <w:tcPr>
            <w:tcW w:type="dxa" w:w="1512"/>
            <w:tcMar>
              <w:top w:w="60" w:type="dxa"/>
              <w:start w:w="110" w:type="dxa"/>
              <w:bottom w:w="60" w:type="dxa"/>
              <w:end w:w="110" w:type="dxa"/>
            </w:tcMar>
          </w:tcPr>
          <w:p>
            <w:pPr>
              <w:spacing w:after="0"/>
            </w:pPr>
            <w:r/>
            <w:r>
              <w:rPr>
                <w:rFonts w:ascii="Calibri" w:hAnsi="Calibri"/>
                <w:b w:val="0"/>
                <w:i w:val="0"/>
                <w:color w:val="101828"/>
                <w:sz w:val="15"/>
              </w:rPr>
              <w:t>Every member</w:t>
            </w:r>
          </w:p>
        </w:tc>
        <w:tc>
          <w:tcPr>
            <w:tcW w:type="dxa" w:w="2520"/>
            <w:tcMar>
              <w:top w:w="60" w:type="dxa"/>
              <w:start w:w="110" w:type="dxa"/>
              <w:bottom w:w="60" w:type="dxa"/>
              <w:end w:w="110" w:type="dxa"/>
            </w:tcMar>
          </w:tcPr>
          <w:p>
            <w:pPr>
              <w:spacing w:after="0"/>
            </w:pPr>
            <w:r/>
            <w:r>
              <w:rPr>
                <w:rFonts w:ascii="Calibri" w:hAnsi="Calibri"/>
                <w:b w:val="0"/>
                <w:i w:val="0"/>
                <w:color w:val="101828"/>
                <w:sz w:val="15"/>
              </w:rPr>
              <w:t>Waiting, phoning around, escalating in the group</w:t>
            </w:r>
          </w:p>
        </w:tc>
        <w:tc>
          <w:tcPr>
            <w:tcW w:type="dxa" w:w="2304"/>
            <w:tcMar>
              <w:top w:w="60" w:type="dxa"/>
              <w:start w:w="110" w:type="dxa"/>
              <w:bottom w:w="60" w:type="dxa"/>
              <w:end w:w="110" w:type="dxa"/>
            </w:tcMar>
          </w:tcPr>
          <w:p>
            <w:pPr>
              <w:spacing w:after="0"/>
            </w:pPr>
            <w:r/>
            <w:r>
              <w:rPr>
                <w:rFonts w:ascii="Calibri" w:hAnsi="Calibri"/>
                <w:b w:val="0"/>
                <w:i w:val="0"/>
                <w:color w:val="101828"/>
                <w:sz w:val="15"/>
              </w:rPr>
              <w:t>The Ajo stalls; members quietly give up and lose the round</w:t>
            </w:r>
          </w:p>
        </w:tc>
      </w:tr>
      <w:tr>
        <w:trPr>
          <w:cantSplit/>
        </w:trPr>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5"/>
              </w:rPr>
              <w:t>PP4</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5"/>
              </w:rPr>
              <w:t>Somebody claims they paid and the organiser says they did not</w:t>
            </w:r>
          </w:p>
        </w:tc>
        <w:tc>
          <w:tcPr>
            <w:tcW w:type="dxa" w:w="1512"/>
            <w:tcMar>
              <w:top w:w="60" w:type="dxa"/>
              <w:start w:w="110" w:type="dxa"/>
              <w:bottom w:w="60" w:type="dxa"/>
              <w:end w:w="110" w:type="dxa"/>
            </w:tcMar>
            <w:shd w:val="clear" w:color="auto" w:fill="F4F7FB"/>
          </w:tcPr>
          <w:p>
            <w:pPr>
              <w:spacing w:after="0"/>
            </w:pPr>
            <w:r/>
            <w:r>
              <w:rPr>
                <w:rFonts w:ascii="Calibri" w:hAnsi="Calibri"/>
                <w:b w:val="0"/>
                <w:i w:val="0"/>
                <w:color w:val="101828"/>
                <w:sz w:val="15"/>
              </w:rPr>
              <w:t>Both parties</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5"/>
              </w:rPr>
              <w:t>Argument, pressure, sometimes splitting the difference</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Unresolvable; often ends with one member losing real money</w:t>
            </w:r>
          </w:p>
        </w:tc>
      </w:tr>
      <w:tr>
        <w:trPr>
          <w:cantSplit/>
        </w:trPr>
        <w:tc>
          <w:tcPr>
            <w:tcW w:type="dxa" w:w="576"/>
            <w:tcMar>
              <w:top w:w="60" w:type="dxa"/>
              <w:start w:w="110" w:type="dxa"/>
              <w:bottom w:w="60" w:type="dxa"/>
              <w:end w:w="110" w:type="dxa"/>
            </w:tcMar>
          </w:tcPr>
          <w:p>
            <w:pPr>
              <w:spacing w:after="0"/>
            </w:pPr>
            <w:r/>
            <w:r>
              <w:rPr>
                <w:rFonts w:ascii="Calibri" w:hAnsi="Calibri"/>
                <w:b w:val="0"/>
                <w:i w:val="0"/>
                <w:color w:val="101828"/>
                <w:sz w:val="15"/>
              </w:rPr>
              <w:t>PP5</w:t>
            </w:r>
          </w:p>
        </w:tc>
        <w:tc>
          <w:tcPr>
            <w:tcW w:type="dxa" w:w="2448"/>
            <w:tcMar>
              <w:top w:w="60" w:type="dxa"/>
              <w:start w:w="110" w:type="dxa"/>
              <w:bottom w:w="60" w:type="dxa"/>
              <w:end w:w="110" w:type="dxa"/>
            </w:tcMar>
          </w:tcPr>
          <w:p>
            <w:pPr>
              <w:spacing w:after="0"/>
            </w:pPr>
            <w:r/>
            <w:r>
              <w:rPr>
                <w:rFonts w:ascii="Calibri" w:hAnsi="Calibri"/>
                <w:b w:val="0"/>
                <w:i w:val="0"/>
                <w:color w:val="101828"/>
                <w:sz w:val="15"/>
              </w:rPr>
              <w:t>I missed a payment and I do not know what happens now</w:t>
            </w:r>
          </w:p>
        </w:tc>
        <w:tc>
          <w:tcPr>
            <w:tcW w:type="dxa" w:w="1512"/>
            <w:tcMar>
              <w:top w:w="60" w:type="dxa"/>
              <w:start w:w="110" w:type="dxa"/>
              <w:bottom w:w="60" w:type="dxa"/>
              <w:end w:w="110" w:type="dxa"/>
            </w:tcMar>
          </w:tcPr>
          <w:p>
            <w:pPr>
              <w:spacing w:after="0"/>
            </w:pPr>
            <w:r/>
            <w:r>
              <w:rPr>
                <w:rFonts w:ascii="Calibri" w:hAnsi="Calibri"/>
                <w:b w:val="0"/>
                <w:i w:val="0"/>
                <w:color w:val="101828"/>
                <w:sz w:val="15"/>
              </w:rPr>
              <w:t>Tunde, Chidi</w:t>
            </w:r>
          </w:p>
        </w:tc>
        <w:tc>
          <w:tcPr>
            <w:tcW w:type="dxa" w:w="2520"/>
            <w:tcMar>
              <w:top w:w="60" w:type="dxa"/>
              <w:start w:w="110" w:type="dxa"/>
              <w:bottom w:w="60" w:type="dxa"/>
              <w:end w:w="110" w:type="dxa"/>
            </w:tcMar>
          </w:tcPr>
          <w:p>
            <w:pPr>
              <w:spacing w:after="0"/>
            </w:pPr>
            <w:r/>
            <w:r>
              <w:rPr>
                <w:rFonts w:ascii="Calibri" w:hAnsi="Calibri"/>
                <w:b w:val="0"/>
                <w:i w:val="0"/>
                <w:color w:val="101828"/>
                <w:sz w:val="15"/>
              </w:rPr>
              <w:t>Pay quietly twice next week, or disappear</w:t>
            </w:r>
          </w:p>
        </w:tc>
        <w:tc>
          <w:tcPr>
            <w:tcW w:type="dxa" w:w="2304"/>
            <w:tcMar>
              <w:top w:w="60" w:type="dxa"/>
              <w:start w:w="110" w:type="dxa"/>
              <w:bottom w:w="60" w:type="dxa"/>
              <w:end w:w="110" w:type="dxa"/>
            </w:tcMar>
          </w:tcPr>
          <w:p>
            <w:pPr>
              <w:spacing w:after="0"/>
            </w:pPr>
            <w:r/>
            <w:r>
              <w:rPr>
                <w:rFonts w:ascii="Calibri" w:hAnsi="Calibri"/>
                <w:b w:val="0"/>
                <w:i w:val="0"/>
                <w:color w:val="101828"/>
                <w:sz w:val="15"/>
              </w:rPr>
              <w:t>A single miss cascades; one default can strand a whole round</w:t>
            </w:r>
          </w:p>
        </w:tc>
      </w:tr>
      <w:tr>
        <w:trPr>
          <w:cantSplit/>
        </w:trPr>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5"/>
              </w:rPr>
              <w:t>PP6</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5"/>
              </w:rPr>
              <w:t>I have no receipt for anything</w:t>
            </w:r>
          </w:p>
        </w:tc>
        <w:tc>
          <w:tcPr>
            <w:tcW w:type="dxa" w:w="1512"/>
            <w:tcMar>
              <w:top w:w="60" w:type="dxa"/>
              <w:start w:w="110" w:type="dxa"/>
              <w:bottom w:w="60" w:type="dxa"/>
              <w:end w:w="110" w:type="dxa"/>
            </w:tcMar>
            <w:shd w:val="clear" w:color="auto" w:fill="F4F7FB"/>
          </w:tcPr>
          <w:p>
            <w:pPr>
              <w:spacing w:after="0"/>
            </w:pPr>
            <w:r/>
            <w:r>
              <w:rPr>
                <w:rFonts w:ascii="Calibri" w:hAnsi="Calibri"/>
                <w:b w:val="0"/>
                <w:i w:val="0"/>
                <w:color w:val="101828"/>
                <w:sz w:val="15"/>
              </w:rPr>
              <w:t>Bisi, Kemi</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5"/>
              </w:rPr>
              <w:t>Photographing a paper note, keeping a mental record</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No proof for an accountant, a bank, a visa application or a dispute</w:t>
            </w:r>
          </w:p>
        </w:tc>
      </w:tr>
      <w:tr>
        <w:trPr>
          <w:cantSplit/>
        </w:trPr>
        <w:tc>
          <w:tcPr>
            <w:tcW w:type="dxa" w:w="576"/>
            <w:tcMar>
              <w:top w:w="60" w:type="dxa"/>
              <w:start w:w="110" w:type="dxa"/>
              <w:bottom w:w="60" w:type="dxa"/>
              <w:end w:w="110" w:type="dxa"/>
            </w:tcMar>
          </w:tcPr>
          <w:p>
            <w:pPr>
              <w:spacing w:after="0"/>
            </w:pPr>
            <w:r/>
            <w:r>
              <w:rPr>
                <w:rFonts w:ascii="Calibri" w:hAnsi="Calibri"/>
                <w:b w:val="0"/>
                <w:i w:val="0"/>
                <w:color w:val="101828"/>
                <w:sz w:val="15"/>
              </w:rPr>
              <w:t>PP7</w:t>
            </w:r>
          </w:p>
        </w:tc>
        <w:tc>
          <w:tcPr>
            <w:tcW w:type="dxa" w:w="2448"/>
            <w:tcMar>
              <w:top w:w="60" w:type="dxa"/>
              <w:start w:w="110" w:type="dxa"/>
              <w:bottom w:w="60" w:type="dxa"/>
              <w:end w:w="110" w:type="dxa"/>
            </w:tcMar>
          </w:tcPr>
          <w:p>
            <w:pPr>
              <w:spacing w:after="0"/>
            </w:pPr>
            <w:r/>
            <w:r>
              <w:rPr>
                <w:rFonts w:ascii="Calibri" w:hAnsi="Calibri"/>
                <w:b w:val="0"/>
                <w:i w:val="0"/>
                <w:color w:val="101828"/>
                <w:sz w:val="15"/>
              </w:rPr>
              <w:t>I was short-paid and cannot prove it</w:t>
            </w:r>
          </w:p>
        </w:tc>
        <w:tc>
          <w:tcPr>
            <w:tcW w:type="dxa" w:w="1512"/>
            <w:tcMar>
              <w:top w:w="60" w:type="dxa"/>
              <w:start w:w="110" w:type="dxa"/>
              <w:bottom w:w="60" w:type="dxa"/>
              <w:end w:w="110" w:type="dxa"/>
            </w:tcMar>
          </w:tcPr>
          <w:p>
            <w:pPr>
              <w:spacing w:after="0"/>
            </w:pPr>
            <w:r/>
            <w:r>
              <w:rPr>
                <w:rFonts w:ascii="Calibri" w:hAnsi="Calibri"/>
                <w:b w:val="0"/>
                <w:i w:val="0"/>
                <w:color w:val="101828"/>
                <w:sz w:val="15"/>
              </w:rPr>
              <w:t>Member</w:t>
            </w:r>
          </w:p>
        </w:tc>
        <w:tc>
          <w:tcPr>
            <w:tcW w:type="dxa" w:w="2520"/>
            <w:tcMar>
              <w:top w:w="60" w:type="dxa"/>
              <w:start w:w="110" w:type="dxa"/>
              <w:bottom w:w="60" w:type="dxa"/>
              <w:end w:w="110" w:type="dxa"/>
            </w:tcMar>
          </w:tcPr>
          <w:p>
            <w:pPr>
              <w:spacing w:after="0"/>
            </w:pPr>
            <w:r/>
            <w:r>
              <w:rPr>
                <w:rFonts w:ascii="Calibri" w:hAnsi="Calibri"/>
                <w:b w:val="0"/>
                <w:i w:val="0"/>
                <w:color w:val="101828"/>
                <w:sz w:val="15"/>
              </w:rPr>
              <w:t>Nothing</w:t>
            </w:r>
          </w:p>
        </w:tc>
        <w:tc>
          <w:tcPr>
            <w:tcW w:type="dxa" w:w="2304"/>
            <w:tcMar>
              <w:top w:w="60" w:type="dxa"/>
              <w:start w:w="110" w:type="dxa"/>
              <w:bottom w:w="60" w:type="dxa"/>
              <w:end w:w="110" w:type="dxa"/>
            </w:tcMar>
          </w:tcPr>
          <w:p>
            <w:pPr>
              <w:spacing w:after="0"/>
            </w:pPr>
            <w:r/>
            <w:r>
              <w:rPr>
                <w:rFonts w:ascii="Calibri" w:hAnsi="Calibri"/>
                <w:b w:val="0"/>
                <w:i w:val="0"/>
                <w:color w:val="101828"/>
                <w:sz w:val="15"/>
              </w:rPr>
              <w:t>Irrecoverable loss</w:t>
            </w:r>
          </w:p>
        </w:tc>
      </w:tr>
      <w:tr>
        <w:trPr>
          <w:cantSplit/>
        </w:trPr>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5"/>
              </w:rPr>
              <w:t>PP8</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5"/>
              </w:rPr>
              <w:t>The organiser used the pot and I only found out later</w:t>
            </w:r>
          </w:p>
        </w:tc>
        <w:tc>
          <w:tcPr>
            <w:tcW w:type="dxa" w:w="1512"/>
            <w:tcMar>
              <w:top w:w="60" w:type="dxa"/>
              <w:start w:w="110" w:type="dxa"/>
              <w:bottom w:w="60" w:type="dxa"/>
              <w:end w:w="110" w:type="dxa"/>
            </w:tcMar>
            <w:shd w:val="clear" w:color="auto" w:fill="F4F7FB"/>
          </w:tcPr>
          <w:p>
            <w:pPr>
              <w:spacing w:after="0"/>
            </w:pPr>
            <w:r/>
            <w:r>
              <w:rPr>
                <w:rFonts w:ascii="Calibri" w:hAnsi="Calibri"/>
                <w:b w:val="0"/>
                <w:i w:val="0"/>
                <w:color w:val="101828"/>
                <w:sz w:val="15"/>
              </w:rPr>
              <w:t>All members</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5"/>
              </w:rPr>
              <w:t>Nothing</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Total loss, and the end of trust in the entire group</w:t>
            </w:r>
          </w:p>
        </w:tc>
      </w:tr>
      <w:tr>
        <w:trPr>
          <w:cantSplit/>
        </w:trPr>
        <w:tc>
          <w:tcPr>
            <w:tcW w:type="dxa" w:w="576"/>
            <w:tcMar>
              <w:top w:w="60" w:type="dxa"/>
              <w:start w:w="110" w:type="dxa"/>
              <w:bottom w:w="60" w:type="dxa"/>
              <w:end w:w="110" w:type="dxa"/>
            </w:tcMar>
          </w:tcPr>
          <w:p>
            <w:pPr>
              <w:spacing w:after="0"/>
            </w:pPr>
            <w:r/>
            <w:r>
              <w:rPr>
                <w:rFonts w:ascii="Calibri" w:hAnsi="Calibri"/>
                <w:b w:val="0"/>
                <w:i w:val="0"/>
                <w:color w:val="101828"/>
                <w:sz w:val="15"/>
              </w:rPr>
              <w:t>PP9</w:t>
            </w:r>
          </w:p>
        </w:tc>
        <w:tc>
          <w:tcPr>
            <w:tcW w:type="dxa" w:w="2448"/>
            <w:tcMar>
              <w:top w:w="60" w:type="dxa"/>
              <w:start w:w="110" w:type="dxa"/>
              <w:bottom w:w="60" w:type="dxa"/>
              <w:end w:w="110" w:type="dxa"/>
            </w:tcMar>
          </w:tcPr>
          <w:p>
            <w:pPr>
              <w:spacing w:after="0"/>
            </w:pPr>
            <w:r/>
            <w:r>
              <w:rPr>
                <w:rFonts w:ascii="Calibri" w:hAnsi="Calibri"/>
                <w:b w:val="0"/>
                <w:i w:val="0"/>
                <w:color w:val="101828"/>
                <w:sz w:val="15"/>
              </w:rPr>
              <w:t>I want to leave but I am scared of what that does to the others</w:t>
            </w:r>
          </w:p>
        </w:tc>
        <w:tc>
          <w:tcPr>
            <w:tcW w:type="dxa" w:w="1512"/>
            <w:tcMar>
              <w:top w:w="60" w:type="dxa"/>
              <w:start w:w="110" w:type="dxa"/>
              <w:bottom w:w="60" w:type="dxa"/>
              <w:end w:w="110" w:type="dxa"/>
            </w:tcMar>
          </w:tcPr>
          <w:p>
            <w:pPr>
              <w:spacing w:after="0"/>
            </w:pPr>
            <w:r/>
            <w:r>
              <w:rPr>
                <w:rFonts w:ascii="Calibri" w:hAnsi="Calibri"/>
                <w:b w:val="0"/>
                <w:i w:val="0"/>
                <w:color w:val="101828"/>
                <w:sz w:val="15"/>
              </w:rPr>
              <w:t>Member</w:t>
            </w:r>
          </w:p>
        </w:tc>
        <w:tc>
          <w:tcPr>
            <w:tcW w:type="dxa" w:w="2520"/>
            <w:tcMar>
              <w:top w:w="60" w:type="dxa"/>
              <w:start w:w="110" w:type="dxa"/>
              <w:bottom w:w="60" w:type="dxa"/>
              <w:end w:w="110" w:type="dxa"/>
            </w:tcMar>
          </w:tcPr>
          <w:p>
            <w:pPr>
              <w:spacing w:after="0"/>
            </w:pPr>
            <w:r/>
            <w:r>
              <w:rPr>
                <w:rFonts w:ascii="Calibri" w:hAnsi="Calibri"/>
                <w:b w:val="0"/>
                <w:i w:val="0"/>
                <w:color w:val="101828"/>
                <w:sz w:val="15"/>
              </w:rPr>
              <w:t>Simply stops paying, which is worse</w:t>
            </w:r>
          </w:p>
        </w:tc>
        <w:tc>
          <w:tcPr>
            <w:tcW w:type="dxa" w:w="2304"/>
            <w:tcMar>
              <w:top w:w="60" w:type="dxa"/>
              <w:start w:w="110" w:type="dxa"/>
              <w:bottom w:w="60" w:type="dxa"/>
              <w:end w:w="110" w:type="dxa"/>
            </w:tcMar>
          </w:tcPr>
          <w:p>
            <w:pPr>
              <w:spacing w:after="0"/>
            </w:pPr>
            <w:r/>
            <w:r>
              <w:rPr>
                <w:rFonts w:ascii="Calibri" w:hAnsi="Calibri"/>
                <w:b w:val="0"/>
                <w:i w:val="0"/>
                <w:color w:val="101828"/>
                <w:sz w:val="15"/>
              </w:rPr>
              <w:t>Silent default; exactly the behaviour the group resents most</w:t>
            </w:r>
          </w:p>
        </w:tc>
      </w:tr>
      <w:tr>
        <w:trPr>
          <w:cantSplit/>
        </w:trPr>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5"/>
              </w:rPr>
              <w:t>PP10</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5"/>
              </w:rPr>
              <w:t>I cannot see the Ajo unless I ask someone</w:t>
            </w:r>
          </w:p>
        </w:tc>
        <w:tc>
          <w:tcPr>
            <w:tcW w:type="dxa" w:w="1512"/>
            <w:tcMar>
              <w:top w:w="60" w:type="dxa"/>
              <w:start w:w="110" w:type="dxa"/>
              <w:bottom w:w="60" w:type="dxa"/>
              <w:end w:w="110" w:type="dxa"/>
            </w:tcMar>
            <w:shd w:val="clear" w:color="auto" w:fill="F4F7FB"/>
          </w:tcPr>
          <w:p>
            <w:pPr>
              <w:spacing w:after="0"/>
            </w:pPr>
            <w:r/>
            <w:r>
              <w:rPr>
                <w:rFonts w:ascii="Calibri" w:hAnsi="Calibri"/>
                <w:b w:val="0"/>
                <w:i w:val="0"/>
                <w:color w:val="101828"/>
                <w:sz w:val="15"/>
              </w:rPr>
              <w:t>Ada, Kemi</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5"/>
              </w:rPr>
              <w:t>Weekly WhatsApp questions</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The group is a black box; nobody is in control</w:t>
            </w:r>
          </w:p>
        </w:tc>
      </w:tr>
      <w:tr>
        <w:trPr>
          <w:cantSplit/>
        </w:trPr>
        <w:tc>
          <w:tcPr>
            <w:tcW w:type="dxa" w:w="576"/>
            <w:tcMar>
              <w:top w:w="60" w:type="dxa"/>
              <w:start w:w="110" w:type="dxa"/>
              <w:bottom w:w="60" w:type="dxa"/>
              <w:end w:w="110" w:type="dxa"/>
            </w:tcMar>
          </w:tcPr>
          <w:p>
            <w:pPr>
              <w:spacing w:after="0"/>
            </w:pPr>
            <w:r/>
            <w:r>
              <w:rPr>
                <w:rFonts w:ascii="Calibri" w:hAnsi="Calibri"/>
                <w:b w:val="0"/>
                <w:i w:val="0"/>
                <w:color w:val="101828"/>
                <w:sz w:val="15"/>
              </w:rPr>
              <w:t>PP11</w:t>
            </w:r>
          </w:p>
        </w:tc>
        <w:tc>
          <w:tcPr>
            <w:tcW w:type="dxa" w:w="2448"/>
            <w:tcMar>
              <w:top w:w="60" w:type="dxa"/>
              <w:start w:w="110" w:type="dxa"/>
              <w:bottom w:w="60" w:type="dxa"/>
              <w:end w:w="110" w:type="dxa"/>
            </w:tcMar>
          </w:tcPr>
          <w:p>
            <w:pPr>
              <w:spacing w:after="0"/>
            </w:pPr>
            <w:r/>
            <w:r>
              <w:rPr>
                <w:rFonts w:ascii="Calibri" w:hAnsi="Calibri"/>
                <w:b w:val="0"/>
                <w:i w:val="0"/>
                <w:color w:val="101828"/>
                <w:sz w:val="15"/>
              </w:rPr>
              <w:t>I have to be in Lagos to participate in a family Ajo</w:t>
            </w:r>
          </w:p>
        </w:tc>
        <w:tc>
          <w:tcPr>
            <w:tcW w:type="dxa" w:w="1512"/>
            <w:tcMar>
              <w:top w:w="60" w:type="dxa"/>
              <w:start w:w="110" w:type="dxa"/>
              <w:bottom w:w="60" w:type="dxa"/>
              <w:end w:w="110" w:type="dxa"/>
            </w:tcMar>
          </w:tcPr>
          <w:p>
            <w:pPr>
              <w:spacing w:after="0"/>
            </w:pPr>
            <w:r/>
            <w:r>
              <w:rPr>
                <w:rFonts w:ascii="Calibri" w:hAnsi="Calibri"/>
                <w:b w:val="0"/>
                <w:i w:val="0"/>
                <w:color w:val="101828"/>
                <w:sz w:val="15"/>
              </w:rPr>
              <w:t>Kemi</w:t>
            </w:r>
          </w:p>
        </w:tc>
        <w:tc>
          <w:tcPr>
            <w:tcW w:type="dxa" w:w="2520"/>
            <w:tcMar>
              <w:top w:w="60" w:type="dxa"/>
              <w:start w:w="110" w:type="dxa"/>
              <w:bottom w:w="60" w:type="dxa"/>
              <w:end w:w="110" w:type="dxa"/>
            </w:tcMar>
          </w:tcPr>
          <w:p>
            <w:pPr>
              <w:spacing w:after="0"/>
            </w:pPr>
            <w:r/>
            <w:r>
              <w:rPr>
                <w:rFonts w:ascii="Calibri" w:hAnsi="Calibri"/>
                <w:b w:val="0"/>
                <w:i w:val="0"/>
                <w:color w:val="101828"/>
                <w:sz w:val="15"/>
              </w:rPr>
              <w:t>Sending money to a relative</w:t>
            </w:r>
          </w:p>
        </w:tc>
        <w:tc>
          <w:tcPr>
            <w:tcW w:type="dxa" w:w="2304"/>
            <w:tcMar>
              <w:top w:w="60" w:type="dxa"/>
              <w:start w:w="110" w:type="dxa"/>
              <w:bottom w:w="60" w:type="dxa"/>
              <w:end w:w="110" w:type="dxa"/>
            </w:tcMar>
          </w:tcPr>
          <w:p>
            <w:pPr>
              <w:spacing w:after="0"/>
            </w:pPr>
            <w:r/>
            <w:r>
              <w:rPr>
                <w:rFonts w:ascii="Calibri" w:hAnsi="Calibri"/>
                <w:b w:val="0"/>
                <w:i w:val="0"/>
                <w:color w:val="101828"/>
                <w:sz w:val="15"/>
              </w:rPr>
              <w:t>Diaspora members are excluded or dependent on a third party</w:t>
            </w:r>
          </w:p>
        </w:tc>
      </w:tr>
      <w:tr>
        <w:trPr>
          <w:cantSplit/>
        </w:trPr>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5"/>
              </w:rPr>
              <w:t>PP12</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5"/>
              </w:rPr>
              <w:t>I do not know what the fee is until after I have paid</w:t>
            </w:r>
          </w:p>
        </w:tc>
        <w:tc>
          <w:tcPr>
            <w:tcW w:type="dxa" w:w="1512"/>
            <w:tcMar>
              <w:top w:w="60" w:type="dxa"/>
              <w:start w:w="110" w:type="dxa"/>
              <w:bottom w:w="60" w:type="dxa"/>
              <w:end w:w="110" w:type="dxa"/>
            </w:tcMar>
            <w:shd w:val="clear" w:color="auto" w:fill="F4F7FB"/>
          </w:tcPr>
          <w:p>
            <w:pPr>
              <w:spacing w:after="0"/>
            </w:pPr>
            <w:r/>
            <w:r>
              <w:rPr>
                <w:rFonts w:ascii="Calibri" w:hAnsi="Calibri"/>
                <w:b w:val="0"/>
                <w:i w:val="0"/>
                <w:color w:val="101828"/>
                <w:sz w:val="15"/>
              </w:rPr>
              <w:t>Tunde</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5"/>
              </w:rPr>
              <w:t>None</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The discovery that ends trust; the reason AJO.ng discloses first</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The common root  </w:t>
      </w:r>
      <w:r>
        <w:rPr>
          <w:rFonts w:ascii="Calibri" w:hAnsi="Calibri"/>
          <w:b w:val="0"/>
          <w:i w:val="0"/>
          <w:color w:val="0B1F3A"/>
          <w:sz w:val="19"/>
        </w:rPr>
        <w:t xml:space="preserve">Eleven of these twelve pain points reduce to one sentence: </w:t>
      </w:r>
      <w:r>
        <w:rPr>
          <w:rFonts w:ascii="Calibri" w:hAnsi="Calibri"/>
          <w:b/>
          <w:color w:val="0B1F3A"/>
          <w:sz w:val="19"/>
        </w:rPr>
        <w:t>nobody can see the same truth.</w:t>
      </w:r>
      <w:r>
        <w:rPr>
          <w:rFonts w:ascii="Calibri" w:hAnsi="Calibri"/>
          <w:b w:val="0"/>
          <w:i w:val="0"/>
          <w:color w:val="0B1F3A"/>
          <w:sz w:val="19"/>
        </w:rPr>
        <w:t xml:space="preserve"> When the record is shared, complete and immutable, PP1, PP2, PP4, PP6, PP7, PP10 and PP12 are not mitigated but eliminated. PP3, PP5, PP8 and PP9 are reduced by process rather than visibility, and are handled by the default sequence and the payout funding principle.</w:t>
      </w:r>
    </w:p>
    <w:p>
      <w:pPr>
        <w:pStyle w:val="Heading2"/>
      </w:pPr>
      <w:r>
        <w:rPr>
          <w:rFonts w:ascii="Calibri" w:hAnsi="Calibri"/>
          <w:b/>
          <w:i w:val="0"/>
          <w:color w:val="146EF5"/>
          <w:sz w:val="29"/>
        </w:rPr>
        <w:t>1.15 Value proposition</w:t>
      </w:r>
    </w:p>
    <w:p>
      <w:pPr>
        <w:pStyle w:val="Heading3"/>
      </w:pPr>
      <w:r>
        <w:rPr>
          <w:rFonts w:ascii="Calibri" w:hAnsi="Calibri"/>
          <w:b/>
          <w:i w:val="0"/>
          <w:color w:val="0B1F3A"/>
          <w:sz w:val="24"/>
        </w:rPr>
        <w:t>1.15.1 Positioning</w:t>
      </w:r>
    </w:p>
    <w:p>
      <w:r>
        <w:rPr>
          <w:rFonts w:ascii="Calibri" w:hAnsi="Calibri"/>
          <w:b/>
          <w:color w:val="101828"/>
          <w:sz w:val="21"/>
        </w:rPr>
        <w:t>Your Ajo. Your Story.</w:t>
      </w:r>
      <w:r>
        <w:rPr>
          <w:rFonts w:ascii="Calibri" w:hAnsi="Calibri"/>
          <w:b w:val="0"/>
          <w:i w:val="0"/>
          <w:color w:val="101828"/>
          <w:sz w:val="21"/>
        </w:rPr>
        <w:t xml:space="preserve"> The Ajo you already trust, with a record that cannot be lost, a receipt for every naira, and a promise that is enforced by software instead of by your temper.</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512"/>
            <w:shd w:val="clear" w:color="auto" w:fill="0B1F3A"/>
            <w:tcMar>
              <w:top w:w="60" w:type="dxa"/>
              <w:start w:w="110" w:type="dxa"/>
              <w:bottom w:w="60" w:type="dxa"/>
              <w:end w:w="110" w:type="dxa"/>
            </w:tcMar>
          </w:tcPr>
          <w:p>
            <w:pPr>
              <w:spacing w:after="0"/>
            </w:pPr>
            <w:r/>
            <w:r>
              <w:rPr>
                <w:rFonts w:ascii="Calibri" w:hAnsi="Calibri"/>
                <w:b/>
                <w:i w:val="0"/>
                <w:color w:val="FFFFFF"/>
                <w:sz w:val="17"/>
              </w:rPr>
              <w:t>For</w:t>
            </w:r>
          </w:p>
        </w:tc>
        <w:tc>
          <w:tcPr>
            <w:tcW w:type="dxa" w:w="4968"/>
            <w:shd w:val="clear" w:color="auto" w:fill="0B1F3A"/>
            <w:tcMar>
              <w:top w:w="60" w:type="dxa"/>
              <w:start w:w="110" w:type="dxa"/>
              <w:bottom w:w="60" w:type="dxa"/>
              <w:end w:w="110" w:type="dxa"/>
            </w:tcMar>
          </w:tcPr>
          <w:p>
            <w:pPr>
              <w:spacing w:after="0"/>
            </w:pPr>
            <w:r/>
            <w:r>
              <w:rPr>
                <w:rFonts w:ascii="Calibri" w:hAnsi="Calibri"/>
                <w:b/>
                <w:i w:val="0"/>
                <w:color w:val="FFFFFF"/>
                <w:sz w:val="17"/>
              </w:rPr>
              <w:t>The value</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7"/>
              </w:rPr>
              <w:t>Proved by</w:t>
            </w:r>
          </w:p>
        </w:tc>
      </w:tr>
      <w:tr>
        <w:trPr>
          <w:cantSplit/>
        </w:trPr>
        <w:tc>
          <w:tcPr>
            <w:tcW w:type="dxa" w:w="1512"/>
            <w:tcMar>
              <w:top w:w="60" w:type="dxa"/>
              <w:start w:w="110" w:type="dxa"/>
              <w:bottom w:w="60" w:type="dxa"/>
              <w:end w:w="110" w:type="dxa"/>
            </w:tcMar>
          </w:tcPr>
          <w:p>
            <w:pPr>
              <w:spacing w:after="0"/>
            </w:pPr>
            <w:r/>
            <w:r>
              <w:rPr>
                <w:rFonts w:ascii="Calibri" w:hAnsi="Calibri"/>
                <w:b w:val="0"/>
                <w:i w:val="0"/>
                <w:color w:val="101828"/>
                <w:sz w:val="17"/>
              </w:rPr>
              <w:t>The member</w:t>
            </w:r>
          </w:p>
        </w:tc>
        <w:tc>
          <w:tcPr>
            <w:tcW w:type="dxa" w:w="4968"/>
            <w:tcMar>
              <w:top w:w="60" w:type="dxa"/>
              <w:start w:w="110" w:type="dxa"/>
              <w:bottom w:w="60" w:type="dxa"/>
              <w:end w:w="110" w:type="dxa"/>
            </w:tcMar>
          </w:tcPr>
          <w:p>
            <w:pPr>
              <w:spacing w:after="0"/>
            </w:pPr>
            <w:r/>
            <w:r>
              <w:rPr>
                <w:rFonts w:ascii="Calibri" w:hAnsi="Calibri"/>
                <w:b w:val="0"/>
                <w:i w:val="0"/>
                <w:color w:val="101828"/>
                <w:sz w:val="17"/>
              </w:rPr>
              <w:t>Certainty. You know what you owe, what you have paid, when your turn is, and that nobody can quietly move it. You get a receipt for everything and a record you keep for life.</w:t>
            </w:r>
          </w:p>
        </w:tc>
        <w:tc>
          <w:tcPr>
            <w:tcW w:type="dxa" w:w="2880"/>
            <w:tcMar>
              <w:top w:w="60" w:type="dxa"/>
              <w:start w:w="110" w:type="dxa"/>
              <w:bottom w:w="60" w:type="dxa"/>
              <w:end w:w="110" w:type="dxa"/>
            </w:tcMar>
          </w:tcPr>
          <w:p>
            <w:pPr>
              <w:spacing w:after="0"/>
            </w:pPr>
            <w:r/>
            <w:r>
              <w:rPr>
                <w:rFonts w:ascii="Calibri" w:hAnsi="Calibri"/>
                <w:b w:val="0"/>
                <w:i w:val="0"/>
                <w:color w:val="101828"/>
                <w:sz w:val="17"/>
              </w:rPr>
              <w:t>Schedule, receipts, statements, locked positions</w:t>
            </w:r>
          </w:p>
        </w:tc>
      </w:tr>
      <w:tr>
        <w:trPr>
          <w:cantSplit/>
        </w:trPr>
        <w:tc>
          <w:tcPr>
            <w:tcW w:type="dxa" w:w="1512"/>
            <w:tcMar>
              <w:top w:w="60" w:type="dxa"/>
              <w:start w:w="110" w:type="dxa"/>
              <w:bottom w:w="60" w:type="dxa"/>
              <w:end w:w="110" w:type="dxa"/>
            </w:tcMar>
            <w:shd w:val="clear" w:color="auto" w:fill="F4F7FB"/>
          </w:tcPr>
          <w:p>
            <w:pPr>
              <w:spacing w:after="0"/>
            </w:pPr>
            <w:r/>
            <w:r>
              <w:rPr>
                <w:rFonts w:ascii="Calibri" w:hAnsi="Calibri"/>
                <w:b w:val="0"/>
                <w:i w:val="0"/>
                <w:color w:val="101828"/>
                <w:sz w:val="17"/>
              </w:rPr>
              <w:t>The organiser</w:t>
            </w:r>
          </w:p>
        </w:tc>
        <w:tc>
          <w:tcPr>
            <w:tcW w:type="dxa" w:w="4968"/>
            <w:tcMar>
              <w:top w:w="60" w:type="dxa"/>
              <w:start w:w="110" w:type="dxa"/>
              <w:bottom w:w="60" w:type="dxa"/>
              <w:end w:w="110" w:type="dxa"/>
            </w:tcMar>
            <w:shd w:val="clear" w:color="auto" w:fill="F4F7FB"/>
          </w:tcPr>
          <w:p>
            <w:pPr>
              <w:spacing w:after="0"/>
            </w:pPr>
            <w:r/>
            <w:r>
              <w:rPr>
                <w:rFonts w:ascii="Calibri" w:hAnsi="Calibri"/>
                <w:b w:val="0"/>
                <w:i w:val="0"/>
                <w:color w:val="101828"/>
                <w:sz w:val="17"/>
              </w:rPr>
              <w:t>Time and cover. You stop handling cash, you stop being the only record, and you can point at a receipt instead of defending a memory.</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7"/>
              </w:rPr>
              <w:t>Provider collection, immutable ledger, one-button round closure</w:t>
            </w:r>
          </w:p>
        </w:tc>
      </w:tr>
      <w:tr>
        <w:trPr>
          <w:cantSplit/>
        </w:trPr>
        <w:tc>
          <w:tcPr>
            <w:tcW w:type="dxa" w:w="1512"/>
            <w:tcMar>
              <w:top w:w="60" w:type="dxa"/>
              <w:start w:w="110" w:type="dxa"/>
              <w:bottom w:w="60" w:type="dxa"/>
              <w:end w:w="110" w:type="dxa"/>
            </w:tcMar>
          </w:tcPr>
          <w:p>
            <w:pPr>
              <w:spacing w:after="0"/>
            </w:pPr>
            <w:r/>
            <w:r>
              <w:rPr>
                <w:rFonts w:ascii="Calibri" w:hAnsi="Calibri"/>
                <w:b w:val="0"/>
                <w:i w:val="0"/>
                <w:color w:val="101828"/>
                <w:sz w:val="17"/>
              </w:rPr>
              <w:t>The family or group</w:t>
            </w:r>
          </w:p>
        </w:tc>
        <w:tc>
          <w:tcPr>
            <w:tcW w:type="dxa" w:w="4968"/>
            <w:tcMar>
              <w:top w:w="60" w:type="dxa"/>
              <w:start w:w="110" w:type="dxa"/>
              <w:bottom w:w="60" w:type="dxa"/>
              <w:end w:w="110" w:type="dxa"/>
            </w:tcMar>
          </w:tcPr>
          <w:p>
            <w:pPr>
              <w:spacing w:after="0"/>
            </w:pPr>
            <w:r/>
            <w:r>
              <w:rPr>
                <w:rFonts w:ascii="Calibri" w:hAnsi="Calibri"/>
                <w:b w:val="0"/>
                <w:i w:val="0"/>
                <w:color w:val="101828"/>
                <w:sz w:val="17"/>
              </w:rPr>
              <w:t>Continuity. The Ajo survives illness, travel, bereavement and change. It no longer depends on one person being available on one day.</w:t>
            </w:r>
          </w:p>
        </w:tc>
        <w:tc>
          <w:tcPr>
            <w:tcW w:type="dxa" w:w="2880"/>
            <w:tcMar>
              <w:top w:w="60" w:type="dxa"/>
              <w:start w:w="110" w:type="dxa"/>
              <w:bottom w:w="60" w:type="dxa"/>
              <w:end w:w="110" w:type="dxa"/>
            </w:tcMar>
          </w:tcPr>
          <w:p>
            <w:pPr>
              <w:spacing w:after="0"/>
            </w:pPr>
            <w:r/>
            <w:r>
              <w:rPr>
                <w:rFonts w:ascii="Calibri" w:hAnsi="Calibri"/>
                <w:b w:val="0"/>
                <w:i w:val="0"/>
                <w:color w:val="101828"/>
                <w:sz w:val="17"/>
              </w:rPr>
              <w:t>Role separation, escrow arrangement, succession design</w:t>
            </w:r>
          </w:p>
        </w:tc>
      </w:tr>
      <w:tr>
        <w:trPr>
          <w:cantSplit/>
        </w:trPr>
        <w:tc>
          <w:tcPr>
            <w:tcW w:type="dxa" w:w="1512"/>
            <w:tcMar>
              <w:top w:w="60" w:type="dxa"/>
              <w:start w:w="110" w:type="dxa"/>
              <w:bottom w:w="60" w:type="dxa"/>
              <w:end w:w="110" w:type="dxa"/>
            </w:tcMar>
            <w:shd w:val="clear" w:color="auto" w:fill="F4F7FB"/>
          </w:tcPr>
          <w:p>
            <w:pPr>
              <w:spacing w:after="0"/>
            </w:pPr>
            <w:r/>
            <w:r>
              <w:rPr>
                <w:rFonts w:ascii="Calibri" w:hAnsi="Calibri"/>
                <w:b w:val="0"/>
                <w:i w:val="0"/>
                <w:color w:val="101828"/>
                <w:sz w:val="17"/>
              </w:rPr>
              <w:t>AJO.ng</w:t>
            </w:r>
          </w:p>
        </w:tc>
        <w:tc>
          <w:tcPr>
            <w:tcW w:type="dxa" w:w="4968"/>
            <w:tcMar>
              <w:top w:w="60" w:type="dxa"/>
              <w:start w:w="110" w:type="dxa"/>
              <w:bottom w:w="60" w:type="dxa"/>
              <w:end w:w="110" w:type="dxa"/>
            </w:tcMar>
            <w:shd w:val="clear" w:color="auto" w:fill="F4F7FB"/>
          </w:tcPr>
          <w:p>
            <w:pPr>
              <w:spacing w:after="0"/>
            </w:pPr>
            <w:r/>
            <w:r>
              <w:rPr>
                <w:rFonts w:ascii="Calibri" w:hAnsi="Calibri"/>
                <w:b w:val="0"/>
                <w:i w:val="0"/>
                <w:color w:val="101828"/>
                <w:sz w:val="17"/>
              </w:rPr>
              <w:t>A fee that scales with real savings activity, earned by making a previously informal financial habit legible, without taking any cut of the pot.</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7"/>
              </w:rPr>
              <w:t>2% on every contribution deposit</w:t>
            </w:r>
          </w:p>
        </w:tc>
      </w:tr>
    </w:tbl>
    <w:p>
      <w:pPr>
        <w:spacing w:after="80"/>
      </w:pPr>
    </w:p>
    <w:p>
      <w:pPr>
        <w:pStyle w:val="Heading3"/>
      </w:pPr>
      <w:r>
        <w:rPr>
          <w:rFonts w:ascii="Calibri" w:hAnsi="Calibri"/>
          <w:b/>
          <w:i w:val="0"/>
          <w:color w:val="0B1F3A"/>
          <w:sz w:val="24"/>
        </w:rPr>
        <w:t>1.15.2 The three claims we make, and how each is kept</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Claim</w:t>
            </w:r>
          </w:p>
        </w:tc>
        <w:tc>
          <w:tcPr>
            <w:tcW w:type="dxa" w:w="3672"/>
            <w:shd w:val="clear" w:color="auto" w:fill="0B1F3A"/>
            <w:tcMar>
              <w:top w:w="60" w:type="dxa"/>
              <w:start w:w="110" w:type="dxa"/>
              <w:bottom w:w="60" w:type="dxa"/>
              <w:end w:w="110" w:type="dxa"/>
            </w:tcMar>
          </w:tcPr>
          <w:p>
            <w:pPr>
              <w:spacing w:after="0"/>
            </w:pPr>
            <w:r/>
            <w:r>
              <w:rPr>
                <w:rFonts w:ascii="Calibri" w:hAnsi="Calibri"/>
                <w:b/>
                <w:i w:val="0"/>
                <w:color w:val="FFFFFF"/>
                <w:sz w:val="16"/>
              </w:rPr>
              <w:t>What it must be true for it to hold</w:t>
            </w:r>
          </w:p>
        </w:tc>
        <w:tc>
          <w:tcPr>
            <w:tcW w:type="dxa" w:w="3528"/>
            <w:shd w:val="clear" w:color="auto" w:fill="0B1F3A"/>
            <w:tcMar>
              <w:top w:w="60" w:type="dxa"/>
              <w:start w:w="110" w:type="dxa"/>
              <w:bottom w:w="60" w:type="dxa"/>
              <w:end w:w="110" w:type="dxa"/>
            </w:tcMar>
          </w:tcPr>
          <w:p>
            <w:pPr>
              <w:spacing w:after="0"/>
            </w:pPr>
            <w:r/>
            <w:r>
              <w:rPr>
                <w:rFonts w:ascii="Calibri" w:hAnsi="Calibri"/>
                <w:b/>
                <w:i w:val="0"/>
                <w:color w:val="FFFFFF"/>
                <w:sz w:val="16"/>
              </w:rPr>
              <w:t>Mechanism</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You always get what you were promised</w:t>
            </w:r>
          </w:p>
        </w:tc>
        <w:tc>
          <w:tcPr>
            <w:tcW w:type="dxa" w:w="3672"/>
            <w:tcMar>
              <w:top w:w="60" w:type="dxa"/>
              <w:start w:w="110" w:type="dxa"/>
              <w:bottom w:w="60" w:type="dxa"/>
              <w:end w:w="110" w:type="dxa"/>
            </w:tcMar>
          </w:tcPr>
          <w:p>
            <w:pPr>
              <w:spacing w:after="0"/>
            </w:pPr>
            <w:r/>
            <w:r>
              <w:rPr>
                <w:rFonts w:ascii="Calibri" w:hAnsi="Calibri"/>
                <w:b w:val="0"/>
                <w:i w:val="0"/>
                <w:color w:val="101828"/>
                <w:sz w:val="16"/>
              </w:rPr>
              <w:t>A payout equals the base pool exactly, is never reduced by fees, and is released only when funded.</w:t>
            </w:r>
          </w:p>
        </w:tc>
        <w:tc>
          <w:tcPr>
            <w:tcW w:type="dxa" w:w="3528"/>
            <w:tcMar>
              <w:top w:w="60" w:type="dxa"/>
              <w:start w:w="110" w:type="dxa"/>
              <w:bottom w:w="60" w:type="dxa"/>
              <w:end w:w="110" w:type="dxa"/>
            </w:tcMar>
          </w:tcPr>
          <w:p>
            <w:pPr>
              <w:spacing w:after="0"/>
            </w:pPr>
            <w:r/>
            <w:r>
              <w:rPr>
                <w:rFonts w:ascii="Calibri" w:hAnsi="Calibri"/>
                <w:b w:val="0"/>
                <w:i w:val="0"/>
                <w:color w:val="101828"/>
                <w:sz w:val="16"/>
              </w:rPr>
              <w:t>Payout funding principle (BR-018), fee never reduces a payout (BR-012), escrow solvency assertion (BR-020)</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You always know where you stand</w:t>
            </w:r>
          </w:p>
        </w:tc>
        <w:tc>
          <w:tcPr>
            <w:tcW w:type="dxa" w:w="3672"/>
            <w:tcMar>
              <w:top w:w="60" w:type="dxa"/>
              <w:start w:w="110" w:type="dxa"/>
              <w:bottom w:w="60" w:type="dxa"/>
              <w:end w:w="110" w:type="dxa"/>
            </w:tcMar>
            <w:shd w:val="clear" w:color="auto" w:fill="F4F7FB"/>
          </w:tcPr>
          <w:p>
            <w:pPr>
              <w:spacing w:after="0"/>
            </w:pPr>
            <w:r/>
            <w:r>
              <w:rPr>
                <w:rFonts w:ascii="Calibri" w:hAnsi="Calibri"/>
                <w:b w:val="0"/>
                <w:i w:val="0"/>
                <w:color w:val="101828"/>
                <w:sz w:val="16"/>
              </w:rPr>
              <w:t>Every position, payment, fee and default is visible to the member, in real time, and is written once and never changed.</w:t>
            </w:r>
          </w:p>
        </w:tc>
        <w:tc>
          <w:tcPr>
            <w:tcW w:type="dxa" w:w="3528"/>
            <w:tcMar>
              <w:top w:w="60" w:type="dxa"/>
              <w:start w:w="110" w:type="dxa"/>
              <w:bottom w:w="60" w:type="dxa"/>
              <w:end w:w="110" w:type="dxa"/>
            </w:tcMar>
            <w:shd w:val="clear" w:color="auto" w:fill="F4F7FB"/>
          </w:tcPr>
          <w:p>
            <w:pPr>
              <w:spacing w:after="0"/>
            </w:pPr>
            <w:r/>
            <w:r>
              <w:rPr>
                <w:rFonts w:ascii="Calibri" w:hAnsi="Calibri"/>
                <w:b w:val="0"/>
                <w:i w:val="0"/>
                <w:color w:val="101828"/>
                <w:sz w:val="16"/>
              </w:rPr>
              <w:t>Append-only ledger, member-scoped read model, audit trail (G6)</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Nobody is exposed for struggling</w:t>
            </w:r>
          </w:p>
        </w:tc>
        <w:tc>
          <w:tcPr>
            <w:tcW w:type="dxa" w:w="3672"/>
            <w:tcMar>
              <w:top w:w="60" w:type="dxa"/>
              <w:start w:w="110" w:type="dxa"/>
              <w:bottom w:w="60" w:type="dxa"/>
              <w:end w:w="110" w:type="dxa"/>
            </w:tcMar>
          </w:tcPr>
          <w:p>
            <w:pPr>
              <w:spacing w:after="0"/>
            </w:pPr>
            <w:r/>
            <w:r>
              <w:rPr>
                <w:rFonts w:ascii="Calibri" w:hAnsi="Calibri"/>
                <w:b w:val="0"/>
                <w:i w:val="0"/>
                <w:color w:val="101828"/>
                <w:sz w:val="16"/>
              </w:rPr>
              <w:t>Default handling is private between the member, the organiser and platform risk, and never broadcast.</w:t>
            </w:r>
          </w:p>
        </w:tc>
        <w:tc>
          <w:tcPr>
            <w:tcW w:type="dxa" w:w="3528"/>
            <w:tcMar>
              <w:top w:w="60" w:type="dxa"/>
              <w:start w:w="110" w:type="dxa"/>
              <w:bottom w:w="60" w:type="dxa"/>
              <w:end w:w="110" w:type="dxa"/>
            </w:tcMar>
          </w:tcPr>
          <w:p>
            <w:pPr>
              <w:spacing w:after="0"/>
            </w:pPr>
            <w:r/>
            <w:r>
              <w:rPr>
                <w:rFonts w:ascii="Calibri" w:hAnsi="Calibri"/>
                <w:b w:val="0"/>
                <w:i w:val="0"/>
                <w:color w:val="101828"/>
                <w:sz w:val="16"/>
              </w:rPr>
              <w:t xml:space="preserve">Default sequence (BR-016), no shaming (BR-014), </w:t>
            </w:r>
            <w:r>
              <w:rPr>
                <w:rFonts w:ascii="Consolas" w:hAnsi="Consolas"/>
                <w:color w:val="146EF5"/>
                <w:sz w:val="16"/>
              </w:rPr>
              <w:t>member.defaulted</w:t>
            </w:r>
            <w:r>
              <w:rPr>
                <w:rFonts w:ascii="Calibri" w:hAnsi="Calibri"/>
                <w:b w:val="0"/>
                <w:i w:val="0"/>
                <w:color w:val="101828"/>
                <w:sz w:val="16"/>
              </w:rPr>
              <w:t xml:space="preserve"> notification goes to the organiser only</w:t>
            </w:r>
          </w:p>
        </w:tc>
      </w:tr>
    </w:tbl>
    <w:p>
      <w:pPr>
        <w:spacing w:after="80"/>
      </w:pPr>
    </w:p>
    <w:p>
      <w:pPr>
        <w:spacing w:before="140" w:after="180"/>
        <w:ind w:left="144"/>
        <w:shd w:val="clear" w:color="auto" w:fill="FEF3C7"/>
        <w:pBdr>
          <w:left w:val="single" w:sz="18" w:space="6" w:color="FBBF24"/>
        </w:pBdr>
      </w:pPr>
      <w:r>
        <w:rPr>
          <w:rFonts w:ascii="Calibri" w:hAnsi="Calibri"/>
          <w:b/>
          <w:color w:val="FBBF24"/>
          <w:sz w:val="19"/>
        </w:rPr>
        <w:t xml:space="preserve">Claims discipline  </w:t>
      </w:r>
      <w:r>
        <w:rPr>
          <w:rFonts w:ascii="Calibri" w:hAnsi="Calibri"/>
          <w:b w:val="0"/>
          <w:i w:val="0"/>
          <w:color w:val="0B1F3A"/>
          <w:sz w:val="19"/>
        </w:rPr>
        <w:t>These three claims are the whole brand. Any marketing material that adds a fourth claim — returns, insurance, protection, credit, guarantees — is outside what the product can deliver and must be rejected at review. AJO.ng does not insure pots, does not guarantee pots, does not lend and does not invest.</w:t>
      </w:r>
    </w:p>
    <w:p>
      <w:pPr>
        <w:pStyle w:val="Heading3"/>
      </w:pPr>
      <w:r>
        <w:rPr>
          <w:rFonts w:ascii="Calibri" w:hAnsi="Calibri"/>
          <w:b/>
          <w:i w:val="0"/>
          <w:color w:val="0B1F3A"/>
          <w:sz w:val="24"/>
        </w:rPr>
        <w:t>1.15.3 Differentiation summary</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6"/>
              </w:rPr>
              <w:t>Alternative</w:t>
            </w:r>
          </w:p>
        </w:tc>
        <w:tc>
          <w:tcPr>
            <w:tcW w:type="dxa" w:w="3528"/>
            <w:shd w:val="clear" w:color="auto" w:fill="0B1F3A"/>
            <w:tcMar>
              <w:top w:w="60" w:type="dxa"/>
              <w:start w:w="110" w:type="dxa"/>
              <w:bottom w:w="60" w:type="dxa"/>
              <w:end w:w="110" w:type="dxa"/>
            </w:tcMar>
          </w:tcPr>
          <w:p>
            <w:pPr>
              <w:spacing w:after="0"/>
            </w:pPr>
            <w:r/>
            <w:r>
              <w:rPr>
                <w:rFonts w:ascii="Calibri" w:hAnsi="Calibri"/>
                <w:b/>
                <w:i w:val="0"/>
                <w:color w:val="FFFFFF"/>
                <w:sz w:val="16"/>
              </w:rPr>
              <w:t>What the member gets</w:t>
            </w:r>
          </w:p>
        </w:tc>
        <w:tc>
          <w:tcPr>
            <w:tcW w:type="dxa" w:w="3888"/>
            <w:shd w:val="clear" w:color="auto" w:fill="0B1F3A"/>
            <w:tcMar>
              <w:top w:w="60" w:type="dxa"/>
              <w:start w:w="110" w:type="dxa"/>
              <w:bottom w:w="60" w:type="dxa"/>
              <w:end w:w="110" w:type="dxa"/>
            </w:tcMar>
          </w:tcPr>
          <w:p>
            <w:pPr>
              <w:spacing w:after="0"/>
            </w:pPr>
            <w:r/>
            <w:r>
              <w:rPr>
                <w:rFonts w:ascii="Calibri" w:hAnsi="Calibri"/>
                <w:b/>
                <w:i w:val="0"/>
                <w:color w:val="FFFFFF"/>
                <w:sz w:val="16"/>
              </w:rPr>
              <w:t>Where AJO.ng is different</w:t>
            </w:r>
          </w:p>
        </w:tc>
      </w:tr>
      <w:tr>
        <w:trPr>
          <w:cantSplit/>
        </w:trPr>
        <w:tc>
          <w:tcPr>
            <w:tcW w:type="dxa" w:w="1944"/>
            <w:tcMar>
              <w:top w:w="60" w:type="dxa"/>
              <w:start w:w="110" w:type="dxa"/>
              <w:bottom w:w="60" w:type="dxa"/>
              <w:end w:w="110" w:type="dxa"/>
            </w:tcMar>
          </w:tcPr>
          <w:p>
            <w:pPr>
              <w:spacing w:after="0"/>
            </w:pPr>
            <w:r/>
            <w:r>
              <w:rPr>
                <w:rFonts w:ascii="Calibri" w:hAnsi="Calibri"/>
                <w:b w:val="0"/>
                <w:i w:val="0"/>
                <w:color w:val="101828"/>
                <w:sz w:val="16"/>
              </w:rPr>
              <w:t>Traditional Ajo</w:t>
            </w:r>
          </w:p>
        </w:tc>
        <w:tc>
          <w:tcPr>
            <w:tcW w:type="dxa" w:w="3528"/>
            <w:tcMar>
              <w:top w:w="60" w:type="dxa"/>
              <w:start w:w="110" w:type="dxa"/>
              <w:bottom w:w="60" w:type="dxa"/>
              <w:end w:w="110" w:type="dxa"/>
            </w:tcMar>
          </w:tcPr>
          <w:p>
            <w:pPr>
              <w:spacing w:after="0"/>
            </w:pPr>
            <w:r/>
            <w:r>
              <w:rPr>
                <w:rFonts w:ascii="Calibri" w:hAnsi="Calibri"/>
                <w:b w:val="0"/>
                <w:i w:val="0"/>
                <w:color w:val="101828"/>
                <w:sz w:val="16"/>
              </w:rPr>
              <w:t>Zero cash return, enforced by trust, recorded by hand</w:t>
            </w:r>
          </w:p>
        </w:tc>
        <w:tc>
          <w:tcPr>
            <w:tcW w:type="dxa" w:w="3888"/>
            <w:tcMar>
              <w:top w:w="60" w:type="dxa"/>
              <w:start w:w="110" w:type="dxa"/>
              <w:bottom w:w="60" w:type="dxa"/>
              <w:end w:w="110" w:type="dxa"/>
            </w:tcMar>
          </w:tcPr>
          <w:p>
            <w:pPr>
              <w:spacing w:after="0"/>
            </w:pPr>
            <w:r/>
            <w:r>
              <w:rPr>
                <w:rFonts w:ascii="Calibri" w:hAnsi="Calibri"/>
                <w:b w:val="0"/>
                <w:i w:val="0"/>
                <w:color w:val="101828"/>
                <w:sz w:val="16"/>
              </w:rPr>
              <w:t>Same group, same trust, plus a record that survives the organiser</w:t>
            </w:r>
          </w:p>
        </w:tc>
      </w:tr>
      <w:tr>
        <w:trPr>
          <w:cantSplit/>
        </w:trPr>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6"/>
              </w:rPr>
              <w:t>WhatsApp group</w:t>
            </w:r>
          </w:p>
        </w:tc>
        <w:tc>
          <w:tcPr>
            <w:tcW w:type="dxa" w:w="3528"/>
            <w:tcMar>
              <w:top w:w="60" w:type="dxa"/>
              <w:start w:w="110" w:type="dxa"/>
              <w:bottom w:w="60" w:type="dxa"/>
              <w:end w:w="110" w:type="dxa"/>
            </w:tcMar>
            <w:shd w:val="clear" w:color="auto" w:fill="F4F7FB"/>
          </w:tcPr>
          <w:p>
            <w:pPr>
              <w:spacing w:after="0"/>
            </w:pPr>
            <w:r/>
            <w:r>
              <w:rPr>
                <w:rFonts w:ascii="Calibri" w:hAnsi="Calibri"/>
                <w:b w:val="0"/>
                <w:i w:val="0"/>
                <w:color w:val="101828"/>
                <w:sz w:val="16"/>
              </w:rPr>
              <w:t>Free, familiar, no structure</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Same immediacy, plus a ledger, receipts, a schedule and recourse</w:t>
            </w:r>
          </w:p>
        </w:tc>
      </w:tr>
      <w:tr>
        <w:trPr>
          <w:cantSplit/>
        </w:trPr>
        <w:tc>
          <w:tcPr>
            <w:tcW w:type="dxa" w:w="1944"/>
            <w:tcMar>
              <w:top w:w="60" w:type="dxa"/>
              <w:start w:w="110" w:type="dxa"/>
              <w:bottom w:w="60" w:type="dxa"/>
              <w:end w:w="110" w:type="dxa"/>
            </w:tcMar>
          </w:tcPr>
          <w:p>
            <w:pPr>
              <w:spacing w:after="0"/>
            </w:pPr>
            <w:r/>
            <w:r>
              <w:rPr>
                <w:rFonts w:ascii="Calibri" w:hAnsi="Calibri"/>
                <w:b w:val="0"/>
                <w:i w:val="0"/>
                <w:color w:val="101828"/>
                <w:sz w:val="16"/>
              </w:rPr>
              <w:t>Bank savings account</w:t>
            </w:r>
          </w:p>
        </w:tc>
        <w:tc>
          <w:tcPr>
            <w:tcW w:type="dxa" w:w="3528"/>
            <w:tcMar>
              <w:top w:w="60" w:type="dxa"/>
              <w:start w:w="110" w:type="dxa"/>
              <w:bottom w:w="60" w:type="dxa"/>
              <w:end w:w="110" w:type="dxa"/>
            </w:tcMar>
          </w:tcPr>
          <w:p>
            <w:pPr>
              <w:spacing w:after="0"/>
            </w:pPr>
            <w:r/>
            <w:r>
              <w:rPr>
                <w:rFonts w:ascii="Calibri" w:hAnsi="Calibri"/>
                <w:b w:val="0"/>
                <w:i w:val="0"/>
                <w:color w:val="101828"/>
                <w:sz w:val="16"/>
              </w:rPr>
              <w:t>Interest, safety, a statement</w:t>
            </w:r>
          </w:p>
        </w:tc>
        <w:tc>
          <w:tcPr>
            <w:tcW w:type="dxa" w:w="3888"/>
            <w:tcMar>
              <w:top w:w="60" w:type="dxa"/>
              <w:start w:w="110" w:type="dxa"/>
              <w:bottom w:w="60" w:type="dxa"/>
              <w:end w:w="110" w:type="dxa"/>
            </w:tcMar>
          </w:tcPr>
          <w:p>
            <w:pPr>
              <w:spacing w:after="0"/>
            </w:pPr>
            <w:r/>
            <w:r>
              <w:rPr>
                <w:rFonts w:ascii="Calibri" w:hAnsi="Calibri"/>
                <w:b w:val="0"/>
                <w:i w:val="0"/>
                <w:color w:val="101828"/>
                <w:sz w:val="16"/>
              </w:rPr>
              <w:t>No interest; the point is forced regular saving plus peer enforcement</w:t>
            </w:r>
          </w:p>
        </w:tc>
      </w:tr>
      <w:tr>
        <w:trPr>
          <w:cantSplit/>
        </w:trPr>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6"/>
              </w:rPr>
              <w:t>Mobile money</w:t>
            </w:r>
          </w:p>
        </w:tc>
        <w:tc>
          <w:tcPr>
            <w:tcW w:type="dxa" w:w="3528"/>
            <w:tcMar>
              <w:top w:w="60" w:type="dxa"/>
              <w:start w:w="110" w:type="dxa"/>
              <w:bottom w:w="60" w:type="dxa"/>
              <w:end w:w="110" w:type="dxa"/>
            </w:tcMar>
            <w:shd w:val="clear" w:color="auto" w:fill="F4F7FB"/>
          </w:tcPr>
          <w:p>
            <w:pPr>
              <w:spacing w:after="0"/>
            </w:pPr>
            <w:r/>
            <w:r>
              <w:rPr>
                <w:rFonts w:ascii="Calibri" w:hAnsi="Calibri"/>
                <w:b w:val="0"/>
                <w:i w:val="0"/>
                <w:color w:val="101828"/>
                <w:sz w:val="16"/>
              </w:rPr>
              <w:t>Transfer and store value</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Not a store of value; a rotating commitment with a defined payout position</w:t>
            </w:r>
          </w:p>
        </w:tc>
      </w:tr>
      <w:tr>
        <w:trPr>
          <w:cantSplit/>
        </w:trPr>
        <w:tc>
          <w:tcPr>
            <w:tcW w:type="dxa" w:w="1944"/>
            <w:tcMar>
              <w:top w:w="60" w:type="dxa"/>
              <w:start w:w="110" w:type="dxa"/>
              <w:bottom w:w="60" w:type="dxa"/>
              <w:end w:w="110" w:type="dxa"/>
            </w:tcMar>
          </w:tcPr>
          <w:p>
            <w:pPr>
              <w:spacing w:after="0"/>
            </w:pPr>
            <w:r/>
            <w:r>
              <w:rPr>
                <w:rFonts w:ascii="Calibri" w:hAnsi="Calibri"/>
                <w:b w:val="0"/>
                <w:i w:val="0"/>
                <w:color w:val="101828"/>
                <w:sz w:val="16"/>
              </w:rPr>
              <w:t>A formal credit cooperative</w:t>
            </w:r>
          </w:p>
        </w:tc>
        <w:tc>
          <w:tcPr>
            <w:tcW w:type="dxa" w:w="3528"/>
            <w:tcMar>
              <w:top w:w="60" w:type="dxa"/>
              <w:start w:w="110" w:type="dxa"/>
              <w:bottom w:w="60" w:type="dxa"/>
              <w:end w:w="110" w:type="dxa"/>
            </w:tcMar>
          </w:tcPr>
          <w:p>
            <w:pPr>
              <w:spacing w:after="0"/>
            </w:pPr>
            <w:r/>
            <w:r>
              <w:rPr>
                <w:rFonts w:ascii="Calibri" w:hAnsi="Calibri"/>
                <w:b w:val="0"/>
                <w:i w:val="0"/>
                <w:color w:val="101828"/>
                <w:sz w:val="16"/>
              </w:rPr>
              <w:t>Interest, governance, a place to leave money</w:t>
            </w:r>
          </w:p>
        </w:tc>
        <w:tc>
          <w:tcPr>
            <w:tcW w:type="dxa" w:w="3888"/>
            <w:tcMar>
              <w:top w:w="60" w:type="dxa"/>
              <w:start w:w="110" w:type="dxa"/>
              <w:bottom w:w="60" w:type="dxa"/>
              <w:end w:w="110" w:type="dxa"/>
            </w:tcMar>
          </w:tcPr>
          <w:p>
            <w:pPr>
              <w:spacing w:after="0"/>
            </w:pPr>
            <w:r/>
            <w:r>
              <w:rPr>
                <w:rFonts w:ascii="Calibri" w:hAnsi="Calibri"/>
                <w:b w:val="0"/>
                <w:i w:val="0"/>
                <w:color w:val="101828"/>
                <w:sz w:val="16"/>
              </w:rPr>
              <w:t>No membership fee, no minimum balance, no interest, works in a day, invitation-only</w:t>
            </w:r>
          </w:p>
        </w:tc>
      </w:tr>
      <w:tr>
        <w:trPr>
          <w:cantSplit/>
        </w:trPr>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6"/>
              </w:rPr>
              <w:t>Ajo.ng</w:t>
            </w:r>
          </w:p>
        </w:tc>
        <w:tc>
          <w:tcPr>
            <w:tcW w:type="dxa" w:w="3528"/>
            <w:tcMar>
              <w:top w:w="60" w:type="dxa"/>
              <w:start w:w="110" w:type="dxa"/>
              <w:bottom w:w="60" w:type="dxa"/>
              <w:end w:w="110" w:type="dxa"/>
            </w:tcMar>
            <w:shd w:val="clear" w:color="auto" w:fill="F4F7FB"/>
          </w:tcPr>
          <w:p>
            <w:pPr>
              <w:spacing w:after="0"/>
            </w:pPr>
            <w:r/>
            <w:r>
              <w:rPr>
                <w:rFonts w:ascii="Calibri" w:hAnsi="Calibri"/>
                <w:b w:val="0"/>
                <w:i w:val="0"/>
                <w:color w:val="101828"/>
                <w:sz w:val="16"/>
              </w:rPr>
              <w:t>Zero cash return, enforced by process, recorded immutably, fee of 2% disclosed up front</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Honest positioning  </w:t>
      </w:r>
      <w:r>
        <w:rPr>
          <w:rFonts w:ascii="Calibri" w:hAnsi="Calibri"/>
          <w:b w:val="0"/>
          <w:i w:val="0"/>
          <w:color w:val="0B1F3A"/>
          <w:sz w:val="19"/>
        </w:rPr>
        <w:t xml:space="preserve">AJO.ng sits in an unusual place: it offers </w:t>
      </w:r>
      <w:r>
        <w:rPr>
          <w:rFonts w:ascii="Calibri" w:hAnsi="Calibri"/>
          <w:b/>
          <w:color w:val="0B1F3A"/>
          <w:sz w:val="19"/>
        </w:rPr>
        <w:t>no financial return at all</w:t>
      </w:r>
      <w:r>
        <w:rPr>
          <w:rFonts w:ascii="Calibri" w:hAnsi="Calibri"/>
          <w:b w:val="0"/>
          <w:i w:val="0"/>
          <w:color w:val="0B1F3A"/>
          <w:sz w:val="19"/>
        </w:rPr>
        <w:t>. Its value is behavioural, not financial. This should be said plainly in onboarding and in marketing rather than glossed over, because a member who joins expecting a return will feel cheated at cycle ten when they receive exactly what they paid. Telling them on day one turns a disappointment into an expectation.</w:t>
      </w:r>
    </w:p>
    <w:p>
      <w:pPr>
        <w:pStyle w:val="Heading2"/>
      </w:pPr>
      <w:r>
        <w:rPr>
          <w:rFonts w:ascii="Calibri" w:hAnsi="Calibri"/>
          <w:b/>
          <w:i w:val="0"/>
          <w:color w:val="146EF5"/>
          <w:sz w:val="29"/>
        </w:rPr>
        <w:t>1.16 Product scope</w:t>
      </w:r>
    </w:p>
    <w:p>
      <w:pPr>
        <w:pStyle w:val="Heading3"/>
      </w:pPr>
      <w:r>
        <w:rPr>
          <w:rFonts w:ascii="Calibri" w:hAnsi="Calibri"/>
          <w:b/>
          <w:i w:val="0"/>
          <w:color w:val="0B1F3A"/>
          <w:sz w:val="24"/>
        </w:rPr>
        <w:t>1.16.1 MVP scope — in</w:t>
      </w:r>
    </w:p>
    <w:p>
      <w:r>
        <w:rPr>
          <w:rFonts w:ascii="Calibri" w:hAnsi="Calibri"/>
          <w:b w:val="0"/>
          <w:i w:val="0"/>
          <w:color w:val="101828"/>
          <w:sz w:val="21"/>
        </w:rPr>
        <w:t xml:space="preserve">MVP is </w:t>
      </w:r>
      <w:r>
        <w:rPr>
          <w:rFonts w:ascii="Calibri" w:hAnsi="Calibri"/>
          <w:b/>
          <w:color w:val="101828"/>
          <w:sz w:val="21"/>
        </w:rPr>
        <w:t>private and invitation-only</w:t>
      </w:r>
      <w:r>
        <w:rPr>
          <w:rFonts w:ascii="Calibri" w:hAnsi="Calibri"/>
          <w:b w:val="0"/>
          <w:i w:val="0"/>
          <w:color w:val="101828"/>
          <w:sz w:val="21"/>
        </w:rPr>
        <w:t>. An Ajo exists only because a named person created it and named the people they want in it. This preserves the social trust the product depends on and limits the platform's exposure to strangers trading each other's participation, which is a different product with a different risk profile.</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5"/>
              </w:rPr>
              <w:t>Area</w:t>
            </w:r>
          </w:p>
        </w:tc>
        <w:tc>
          <w:tcPr>
            <w:tcW w:type="dxa" w:w="4464"/>
            <w:shd w:val="clear" w:color="auto" w:fill="0B1F3A"/>
            <w:tcMar>
              <w:top w:w="60" w:type="dxa"/>
              <w:start w:w="110" w:type="dxa"/>
              <w:bottom w:w="60" w:type="dxa"/>
              <w:end w:w="110" w:type="dxa"/>
            </w:tcMar>
          </w:tcPr>
          <w:p>
            <w:pPr>
              <w:spacing w:after="0"/>
            </w:pPr>
            <w:r/>
            <w:r>
              <w:rPr>
                <w:rFonts w:ascii="Calibri" w:hAnsi="Calibri"/>
                <w:b/>
                <w:i w:val="0"/>
                <w:color w:val="FFFFFF"/>
                <w:sz w:val="15"/>
              </w:rPr>
              <w:t>In scope for MVP</w:t>
            </w:r>
          </w:p>
        </w:tc>
        <w:tc>
          <w:tcPr>
            <w:tcW w:type="dxa" w:w="3240"/>
            <w:shd w:val="clear" w:color="auto" w:fill="0B1F3A"/>
            <w:tcMar>
              <w:top w:w="60" w:type="dxa"/>
              <w:start w:w="110" w:type="dxa"/>
              <w:bottom w:w="60" w:type="dxa"/>
              <w:end w:w="110" w:type="dxa"/>
            </w:tcMar>
          </w:tcPr>
          <w:p>
            <w:pPr>
              <w:spacing w:after="0"/>
            </w:pPr>
            <w:r/>
            <w:r>
              <w:rPr>
                <w:rFonts w:ascii="Calibri" w:hAnsi="Calibri"/>
                <w:b/>
                <w:i w:val="0"/>
                <w:color w:val="FFFFFF"/>
                <w:sz w:val="15"/>
              </w:rPr>
              <w:t>Note</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5"/>
              </w:rPr>
              <w:t>Registration and login</w:t>
            </w:r>
          </w:p>
        </w:tc>
        <w:tc>
          <w:tcPr>
            <w:tcW w:type="dxa" w:w="4464"/>
            <w:tcMar>
              <w:top w:w="60" w:type="dxa"/>
              <w:start w:w="110" w:type="dxa"/>
              <w:bottom w:w="60" w:type="dxa"/>
              <w:end w:w="110" w:type="dxa"/>
            </w:tcMar>
          </w:tcPr>
          <w:p>
            <w:pPr>
              <w:spacing w:after="0"/>
            </w:pPr>
            <w:r/>
            <w:r>
              <w:rPr>
                <w:rFonts w:ascii="Calibri" w:hAnsi="Calibri"/>
                <w:b w:val="0"/>
                <w:i w:val="0"/>
                <w:color w:val="101828"/>
                <w:sz w:val="15"/>
              </w:rPr>
              <w:t>Email and phone registration, email verification, OTP, password plus refresh sessions, session listing and revocation</w:t>
            </w:r>
          </w:p>
        </w:tc>
        <w:tc>
          <w:tcPr>
            <w:tcW w:type="dxa" w:w="3240"/>
            <w:tcMar>
              <w:top w:w="60" w:type="dxa"/>
              <w:start w:w="110" w:type="dxa"/>
              <w:bottom w:w="60" w:type="dxa"/>
              <w:end w:w="110" w:type="dxa"/>
            </w:tcMar>
          </w:tcPr>
          <w:p>
            <w:pPr>
              <w:spacing w:after="0"/>
            </w:pPr>
            <w:r/>
            <w:r>
              <w:rPr>
                <w:rFonts w:ascii="Calibri" w:hAnsi="Calibri"/>
                <w:b w:val="0"/>
                <w:i w:val="0"/>
                <w:color w:val="101828"/>
                <w:sz w:val="15"/>
              </w:rPr>
              <w:t>No social login in MVP unless it is free of data-sharing risk; see DEC-04</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5"/>
              </w:rPr>
              <w:t>Profile</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5"/>
              </w:rPr>
              <w:t>Name, phone, email, avatar, notification preferences, financial summary</w:t>
            </w:r>
          </w:p>
        </w:tc>
        <w:tc>
          <w:tcPr>
            <w:tcW w:type="dxa" w:w="3240"/>
            <w:tcMar>
              <w:top w:w="60" w:type="dxa"/>
              <w:start w:w="110" w:type="dxa"/>
              <w:bottom w:w="60" w:type="dxa"/>
              <w:end w:w="110" w:type="dxa"/>
            </w:tcMar>
            <w:shd w:val="clear" w:color="auto" w:fill="F4F7FB"/>
          </w:tcPr>
          <w:p>
            <w:pPr>
              <w:spacing w:after="0"/>
            </w:pPr>
            <w:r/>
            <w:r>
              <w:rPr>
                <w:rFonts w:ascii="Calibri" w:hAnsi="Calibri"/>
                <w:b w:val="0"/>
                <w:i w:val="0"/>
                <w:color w:val="101828"/>
                <w:sz w:val="15"/>
              </w:rPr>
              <w:t>Minimal data collection, deliberately</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5"/>
              </w:rPr>
              <w:t>Identity verification</w:t>
            </w:r>
          </w:p>
        </w:tc>
        <w:tc>
          <w:tcPr>
            <w:tcW w:type="dxa" w:w="4464"/>
            <w:tcMar>
              <w:top w:w="60" w:type="dxa"/>
              <w:start w:w="110" w:type="dxa"/>
              <w:bottom w:w="60" w:type="dxa"/>
              <w:end w:w="110" w:type="dxa"/>
            </w:tcMar>
          </w:tcPr>
          <w:p>
            <w:pPr>
              <w:spacing w:after="0"/>
            </w:pPr>
            <w:r/>
            <w:r>
              <w:rPr>
                <w:rFonts w:ascii="Calibri" w:hAnsi="Calibri"/>
                <w:b w:val="0"/>
                <w:i w:val="0"/>
                <w:color w:val="101828"/>
                <w:sz w:val="15"/>
              </w:rPr>
              <w:t>Email mandatory; phone OTP mandatory; BVN or CAC verification available and, if D-04 is decided, required above a threshold</w:t>
            </w:r>
          </w:p>
        </w:tc>
        <w:tc>
          <w:tcPr>
            <w:tcW w:type="dxa" w:w="3240"/>
            <w:tcMar>
              <w:top w:w="60" w:type="dxa"/>
              <w:start w:w="110" w:type="dxa"/>
              <w:bottom w:w="60" w:type="dxa"/>
              <w:end w:w="110" w:type="dxa"/>
            </w:tcMar>
          </w:tcPr>
          <w:p>
            <w:pPr>
              <w:spacing w:after="0"/>
            </w:pPr>
            <w:r/>
            <w:r>
              <w:rPr>
                <w:rFonts w:ascii="Calibri" w:hAnsi="Calibri"/>
                <w:b w:val="0"/>
                <w:i w:val="0"/>
                <w:color w:val="101828"/>
                <w:sz w:val="15"/>
              </w:rPr>
              <w:t>Threshold is open decision D-04</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5"/>
              </w:rPr>
              <w:t>Ajo creation</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5"/>
              </w:rPr>
              <w:t>7-step wizard: terms, contribution, frequency, size, positions, invitations, review</w:t>
            </w:r>
          </w:p>
        </w:tc>
        <w:tc>
          <w:tcPr>
            <w:tcW w:type="dxa" w:w="3240"/>
            <w:tcMar>
              <w:top w:w="60" w:type="dxa"/>
              <w:start w:w="110" w:type="dxa"/>
              <w:bottom w:w="60" w:type="dxa"/>
              <w:end w:w="110" w:type="dxa"/>
            </w:tcMar>
            <w:shd w:val="clear" w:color="auto" w:fill="F4F7FB"/>
          </w:tcPr>
          <w:p>
            <w:pPr>
              <w:spacing w:after="0"/>
            </w:pPr>
            <w:r/>
            <w:r>
              <w:rPr>
                <w:rFonts w:ascii="Calibri" w:hAnsi="Calibri"/>
                <w:b w:val="0"/>
                <w:i w:val="0"/>
                <w:color w:val="101828"/>
                <w:sz w:val="15"/>
              </w:rPr>
              <w:t>Contribution, frequency and size configurable at creation</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5"/>
              </w:rPr>
              <w:t>Ajo settings</w:t>
            </w:r>
          </w:p>
        </w:tc>
        <w:tc>
          <w:tcPr>
            <w:tcW w:type="dxa" w:w="4464"/>
            <w:tcMar>
              <w:top w:w="60" w:type="dxa"/>
              <w:start w:w="110" w:type="dxa"/>
              <w:bottom w:w="60" w:type="dxa"/>
              <w:end w:w="110" w:type="dxa"/>
            </w:tcMar>
          </w:tcPr>
          <w:p>
            <w:pPr>
              <w:spacing w:after="0"/>
            </w:pPr>
            <w:r/>
            <w:r>
              <w:rPr>
                <w:rFonts w:ascii="Calibri" w:hAnsi="Calibri"/>
                <w:b w:val="0"/>
                <w:i w:val="0"/>
                <w:color w:val="101828"/>
                <w:sz w:val="15"/>
              </w:rPr>
              <w:t>Reminder cadence, reminder channels, payout destination per member, freeze, cancel, unfreeze, summary</w:t>
            </w:r>
          </w:p>
        </w:tc>
        <w:tc>
          <w:tcPr>
            <w:tcW w:type="dxa" w:w="3240"/>
            <w:tcMar>
              <w:top w:w="60" w:type="dxa"/>
              <w:start w:w="110" w:type="dxa"/>
              <w:bottom w:w="60" w:type="dxa"/>
              <w:end w:w="110" w:type="dxa"/>
            </w:tcMar>
          </w:tcPr>
          <w:p>
            <w:pPr>
              <w:spacing w:after="0"/>
            </w:pPr>
            <w:r/>
            <w:r>
              <w:rPr>
                <w:rFonts w:ascii="Calibri" w:hAnsi="Calibri"/>
                <w:b w:val="0"/>
                <w:i w:val="0"/>
                <w:color w:val="101828"/>
                <w:sz w:val="15"/>
              </w:rPr>
              <w:t>Terms are not editable after activation</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5"/>
              </w:rPr>
              <w:t>Invitations</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5"/>
              </w:rPr>
              <w:t>Issue, list, view by token, accept, decline, resend, expire</w:t>
            </w:r>
          </w:p>
        </w:tc>
        <w:tc>
          <w:tcPr>
            <w:tcW w:type="dxa" w:w="3240"/>
            <w:tcMar>
              <w:top w:w="60" w:type="dxa"/>
              <w:start w:w="110" w:type="dxa"/>
              <w:bottom w:w="60" w:type="dxa"/>
              <w:end w:w="110" w:type="dxa"/>
            </w:tcMar>
            <w:shd w:val="clear" w:color="auto" w:fill="F4F7FB"/>
          </w:tcPr>
          <w:p>
            <w:pPr>
              <w:spacing w:after="0"/>
            </w:pPr>
            <w:r/>
            <w:r>
              <w:rPr>
                <w:rFonts w:ascii="Calibri" w:hAnsi="Calibri"/>
                <w:b w:val="0"/>
                <w:i w:val="0"/>
                <w:color w:val="101828"/>
                <w:sz w:val="15"/>
              </w:rPr>
              <w:t>Token-based, expiring, single use</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5"/>
              </w:rPr>
              <w:t>Joining</w:t>
            </w:r>
          </w:p>
        </w:tc>
        <w:tc>
          <w:tcPr>
            <w:tcW w:type="dxa" w:w="4464"/>
            <w:tcMar>
              <w:top w:w="60" w:type="dxa"/>
              <w:start w:w="110" w:type="dxa"/>
              <w:bottom w:w="60" w:type="dxa"/>
              <w:end w:w="110" w:type="dxa"/>
            </w:tcMar>
          </w:tcPr>
          <w:p>
            <w:pPr>
              <w:spacing w:after="0"/>
            </w:pPr>
            <w:r/>
            <w:r>
              <w:rPr>
                <w:rFonts w:ascii="Calibri" w:hAnsi="Calibri"/>
                <w:b w:val="0"/>
                <w:i w:val="0"/>
                <w:color w:val="101828"/>
                <w:sz w:val="15"/>
              </w:rPr>
              <w:t>Accept invitation, review full terms and fee, acknowledge complete-cycle commitment, claim or be assigned a position</w:t>
            </w:r>
          </w:p>
        </w:tc>
        <w:tc>
          <w:tcPr>
            <w:tcW w:type="dxa" w:w="3240"/>
            <w:tcMar>
              <w:top w:w="60" w:type="dxa"/>
              <w:start w:w="110" w:type="dxa"/>
              <w:bottom w:w="60" w:type="dxa"/>
              <w:end w:w="110" w:type="dxa"/>
            </w:tcMar>
          </w:tcPr>
          <w:p>
            <w:pPr>
              <w:spacing w:after="0"/>
            </w:pPr>
            <w:r/>
            <w:r>
              <w:rPr>
                <w:rFonts w:ascii="Calibri" w:hAnsi="Calibri"/>
                <w:b w:val="0"/>
                <w:i w:val="0"/>
                <w:color w:val="101828"/>
                <w:sz w:val="15"/>
              </w:rPr>
              <w:t>Fee shown before commit (BR-011)</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5"/>
              </w:rPr>
              <w:t>Member management</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5"/>
              </w:rPr>
              <w:t>List, view, add, remove pre-activation, update member details, request replacement, accept replacement, delegate organiser</w:t>
            </w:r>
          </w:p>
        </w:tc>
        <w:tc>
          <w:tcPr>
            <w:tcW w:type="dxa" w:w="3240"/>
            <w:tcMar>
              <w:top w:w="60" w:type="dxa"/>
              <w:start w:w="110" w:type="dxa"/>
              <w:bottom w:w="60" w:type="dxa"/>
              <w:end w:w="110" w:type="dxa"/>
            </w:tcMar>
            <w:shd w:val="clear" w:color="auto" w:fill="F4F7FB"/>
          </w:tcPr>
          <w:p>
            <w:pPr>
              <w:spacing w:after="0"/>
            </w:pPr>
            <w:r/>
            <w:r>
              <w:rPr>
                <w:rFonts w:ascii="Calibri" w:hAnsi="Calibri"/>
                <w:b w:val="0"/>
                <w:i w:val="0"/>
                <w:color w:val="101828"/>
                <w:sz w:val="15"/>
              </w:rPr>
              <w:t xml:space="preserve">Removal permitted </w:t>
            </w:r>
            <w:r>
              <w:rPr>
                <w:rFonts w:ascii="Calibri" w:hAnsi="Calibri"/>
                <w:b/>
                <w:color w:val="101828"/>
                <w:sz w:val="15"/>
              </w:rPr>
              <w:t>only</w:t>
            </w:r>
            <w:r>
              <w:rPr>
                <w:rFonts w:ascii="Calibri" w:hAnsi="Calibri"/>
                <w:b w:val="0"/>
                <w:i w:val="0"/>
                <w:color w:val="101828"/>
                <w:sz w:val="15"/>
              </w:rPr>
              <w:t xml:space="preserve"> pre-activation</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5"/>
              </w:rPr>
              <w:t>Contribution schedule</w:t>
            </w:r>
          </w:p>
        </w:tc>
        <w:tc>
          <w:tcPr>
            <w:tcW w:type="dxa" w:w="4464"/>
            <w:tcMar>
              <w:top w:w="60" w:type="dxa"/>
              <w:start w:w="110" w:type="dxa"/>
              <w:bottom w:w="60" w:type="dxa"/>
              <w:end w:w="110" w:type="dxa"/>
            </w:tcMar>
          </w:tcPr>
          <w:p>
            <w:pPr>
              <w:spacing w:after="0"/>
            </w:pPr>
            <w:r/>
            <w:r>
              <w:rPr>
                <w:rFonts w:ascii="Calibri" w:hAnsi="Calibri"/>
                <w:b w:val="0"/>
                <w:i w:val="0"/>
                <w:color w:val="101828"/>
                <w:sz w:val="15"/>
              </w:rPr>
              <w:t>Generated schedule for all rounds, per-member, with due dates, states and totals</w:t>
            </w:r>
          </w:p>
        </w:tc>
        <w:tc>
          <w:tcPr>
            <w:tcW w:type="dxa" w:w="3240"/>
            <w:tcMar>
              <w:top w:w="60" w:type="dxa"/>
              <w:start w:w="110" w:type="dxa"/>
              <w:bottom w:w="60" w:type="dxa"/>
              <w:end w:w="110" w:type="dxa"/>
            </w:tcMar>
          </w:tcPr>
          <w:p>
            <w:pPr>
              <w:spacing w:after="0"/>
            </w:pPr>
            <w:r/>
            <w:r>
              <w:rPr>
                <w:rFonts w:ascii="Calibri" w:hAnsi="Calibri"/>
                <w:b w:val="0"/>
                <w:i w:val="0"/>
                <w:color w:val="101828"/>
                <w:sz w:val="15"/>
              </w:rPr>
              <w:t>Derived, never hand-entered</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5"/>
              </w:rPr>
              <w:t>Payment collection</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5"/>
              </w:rPr>
              <w:t>Provider-initiated collection, verification, retry, receipt, idempotency</w:t>
            </w:r>
          </w:p>
        </w:tc>
        <w:tc>
          <w:tcPr>
            <w:tcW w:type="dxa" w:w="3240"/>
            <w:tcMar>
              <w:top w:w="60" w:type="dxa"/>
              <w:start w:w="110" w:type="dxa"/>
              <w:bottom w:w="60" w:type="dxa"/>
              <w:end w:w="110" w:type="dxa"/>
            </w:tcMar>
            <w:shd w:val="clear" w:color="auto" w:fill="F4F7FB"/>
          </w:tcPr>
          <w:p>
            <w:pPr>
              <w:spacing w:after="0"/>
            </w:pPr>
            <w:r/>
            <w:r>
              <w:rPr>
                <w:rFonts w:ascii="Calibri" w:hAnsi="Calibri"/>
                <w:b w:val="0"/>
                <w:i w:val="0"/>
                <w:color w:val="101828"/>
                <w:sz w:val="15"/>
              </w:rPr>
              <w:t>Idempotency-Key required on every money-moving POST</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5"/>
              </w:rPr>
              <w:t>Contribution tracking</w:t>
            </w:r>
          </w:p>
        </w:tc>
        <w:tc>
          <w:tcPr>
            <w:tcW w:type="dxa" w:w="4464"/>
            <w:tcMar>
              <w:top w:w="60" w:type="dxa"/>
              <w:start w:w="110" w:type="dxa"/>
              <w:bottom w:w="60" w:type="dxa"/>
              <w:end w:w="110" w:type="dxa"/>
            </w:tcMar>
          </w:tcPr>
          <w:p>
            <w:pPr>
              <w:spacing w:after="0"/>
            </w:pPr>
            <w:r/>
            <w:r>
              <w:rPr>
                <w:rFonts w:ascii="Calibri" w:hAnsi="Calibri"/>
                <w:b w:val="0"/>
                <w:i w:val="0"/>
                <w:color w:val="101828"/>
                <w:sz w:val="15"/>
              </w:rPr>
              <w:t>Per-member and per-round status, outstanding balances, progress, statements</w:t>
            </w:r>
          </w:p>
        </w:tc>
        <w:tc>
          <w:tcPr>
            <w:tcW w:type="dxa" w:w="3240"/>
            <w:tcMar>
              <w:top w:w="60" w:type="dxa"/>
              <w:start w:w="110" w:type="dxa"/>
              <w:bottom w:w="60" w:type="dxa"/>
              <w:end w:w="110" w:type="dxa"/>
            </w:tcMar>
          </w:tcPr>
          <w:p>
            <w:pPr>
              <w:spacing w:after="0"/>
            </w:pPr>
            <w:r/>
            <w:r>
              <w:rPr>
                <w:rFonts w:ascii="Calibri" w:hAnsi="Calibri"/>
                <w:b w:val="0"/>
                <w:i w:val="0"/>
                <w:color w:val="101828"/>
                <w:sz w:val="15"/>
              </w:rPr>
              <w:t>Reads the ledger, never a cached counter</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5"/>
              </w:rPr>
              <w:t>Payout scheduling</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5"/>
              </w:rPr>
              <w:t>Schedule the next payout, show the pot position, hold on under-funding, notify recipient T-24h</w:t>
            </w:r>
          </w:p>
        </w:tc>
        <w:tc>
          <w:tcPr>
            <w:tcW w:type="dxa" w:w="3240"/>
            <w:tcMar>
              <w:top w:w="60" w:type="dxa"/>
              <w:start w:w="110" w:type="dxa"/>
              <w:bottom w:w="60" w:type="dxa"/>
              <w:end w:w="110" w:type="dxa"/>
            </w:tcMar>
            <w:shd w:val="clear" w:color="auto" w:fill="F4F7FB"/>
          </w:tcPr>
          <w:p>
            <w:pPr>
              <w:spacing w:after="0"/>
            </w:pPr>
            <w:r/>
            <w:r>
              <w:rPr>
                <w:rFonts w:ascii="Calibri" w:hAnsi="Calibri"/>
                <w:b w:val="0"/>
                <w:i w:val="0"/>
                <w:color w:val="101828"/>
                <w:sz w:val="15"/>
              </w:rPr>
              <w:t>Never silently reduce (BR-018)</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5"/>
              </w:rPr>
              <w:t>Payout processing</w:t>
            </w:r>
          </w:p>
        </w:tc>
        <w:tc>
          <w:tcPr>
            <w:tcW w:type="dxa" w:w="4464"/>
            <w:tcMar>
              <w:top w:w="60" w:type="dxa"/>
              <w:start w:w="110" w:type="dxa"/>
              <w:bottom w:w="60" w:type="dxa"/>
              <w:end w:w="110" w:type="dxa"/>
            </w:tcMar>
          </w:tcPr>
          <w:p>
            <w:pPr>
              <w:spacing w:after="0"/>
            </w:pPr>
            <w:r/>
            <w:r>
              <w:rPr>
                <w:rFonts w:ascii="Calibri" w:hAnsi="Calibri"/>
                <w:b w:val="0"/>
                <w:i w:val="0"/>
                <w:color w:val="101828"/>
                <w:sz w:val="15"/>
              </w:rPr>
              <w:t>Funding, release request by organiser, release, settlement, failure and retry, held state</w:t>
            </w:r>
          </w:p>
        </w:tc>
        <w:tc>
          <w:tcPr>
            <w:tcW w:type="dxa" w:w="3240"/>
            <w:tcMar>
              <w:top w:w="60" w:type="dxa"/>
              <w:start w:w="110" w:type="dxa"/>
              <w:bottom w:w="60" w:type="dxa"/>
              <w:end w:w="110" w:type="dxa"/>
            </w:tcMar>
          </w:tcPr>
          <w:p>
            <w:pPr>
              <w:spacing w:after="0"/>
            </w:pPr>
            <w:r/>
            <w:r>
              <w:rPr>
                <w:rFonts w:ascii="Calibri" w:hAnsi="Calibri"/>
                <w:b w:val="0"/>
                <w:i w:val="0"/>
                <w:color w:val="101828"/>
                <w:sz w:val="15"/>
              </w:rPr>
              <w:t>Escrow solvency assertion runs before every release (BR-020)</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5"/>
              </w:rPr>
              <w:t>Transaction history</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5"/>
              </w:rPr>
              <w:t>Full member-scoped history, single transaction view, downloadable statements</w:t>
            </w:r>
          </w:p>
        </w:tc>
        <w:tc>
          <w:tcPr>
            <w:tcW w:type="dxa" w:w="3240"/>
            <w:tcMar>
              <w:top w:w="60" w:type="dxa"/>
              <w:start w:w="110" w:type="dxa"/>
              <w:bottom w:w="60" w:type="dxa"/>
              <w:end w:w="110" w:type="dxa"/>
            </w:tcMar>
            <w:shd w:val="clear" w:color="auto" w:fill="F4F7FB"/>
          </w:tcPr>
          <w:p>
            <w:pPr>
              <w:spacing w:after="0"/>
            </w:pPr>
            <w:r/>
            <w:r>
              <w:rPr>
                <w:rFonts w:ascii="Calibri" w:hAnsi="Calibri"/>
                <w:b w:val="0"/>
                <w:i w:val="0"/>
                <w:color w:val="101828"/>
                <w:sz w:val="15"/>
              </w:rPr>
              <w:t>Exportable and retained</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5"/>
              </w:rPr>
              <w:t>Notifications</w:t>
            </w:r>
          </w:p>
        </w:tc>
        <w:tc>
          <w:tcPr>
            <w:tcW w:type="dxa" w:w="4464"/>
            <w:tcMar>
              <w:top w:w="60" w:type="dxa"/>
              <w:start w:w="110" w:type="dxa"/>
              <w:bottom w:w="60" w:type="dxa"/>
              <w:end w:w="110" w:type="dxa"/>
            </w:tcMar>
          </w:tcPr>
          <w:p>
            <w:pPr>
              <w:spacing w:after="0"/>
            </w:pPr>
            <w:r/>
            <w:r>
              <w:rPr>
                <w:rFonts w:ascii="Calibri" w:hAnsi="Calibri"/>
                <w:b w:val="0"/>
                <w:i w:val="0"/>
                <w:color w:val="101828"/>
                <w:sz w:val="15"/>
              </w:rPr>
              <w:t>The canonical catalogue in section 8 of CANONICAL.md, with per-channel preferences</w:t>
            </w:r>
          </w:p>
        </w:tc>
        <w:tc>
          <w:tcPr>
            <w:tcW w:type="dxa" w:w="3240"/>
            <w:tcMar>
              <w:top w:w="60" w:type="dxa"/>
              <w:start w:w="110" w:type="dxa"/>
              <w:bottom w:w="60" w:type="dxa"/>
              <w:end w:w="110" w:type="dxa"/>
            </w:tcMar>
          </w:tcPr>
          <w:p>
            <w:pPr>
              <w:spacing w:after="0"/>
            </w:pPr>
            <w:r/>
            <w:r>
              <w:rPr>
                <w:rFonts w:ascii="Calibri" w:hAnsi="Calibri"/>
                <w:b w:val="0"/>
                <w:i w:val="0"/>
                <w:color w:val="101828"/>
                <w:sz w:val="15"/>
              </w:rPr>
              <w:t>SMS reserved for money-critical and security events</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5"/>
              </w:rPr>
              <w:t>Disputes</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5"/>
              </w:rPr>
              <w:t>Open, attach evidence, message thread, escalate, resolve, record outcome</w:t>
            </w:r>
          </w:p>
        </w:tc>
        <w:tc>
          <w:tcPr>
            <w:tcW w:type="dxa" w:w="3240"/>
            <w:tcMar>
              <w:top w:w="60" w:type="dxa"/>
              <w:start w:w="110" w:type="dxa"/>
              <w:bottom w:w="60" w:type="dxa"/>
              <w:end w:w="110" w:type="dxa"/>
            </w:tcMar>
            <w:shd w:val="clear" w:color="auto" w:fill="F4F7FB"/>
          </w:tcPr>
          <w:p>
            <w:pPr>
              <w:spacing w:after="0"/>
            </w:pPr>
            <w:r/>
            <w:r>
              <w:rPr>
                <w:rFonts w:ascii="Calibri" w:hAnsi="Calibri"/>
                <w:b w:val="0"/>
                <w:i w:val="0"/>
                <w:color w:val="101828"/>
                <w:sz w:val="15"/>
              </w:rPr>
              <w:t>Support may assist but may not move money</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5"/>
              </w:rPr>
              <w:t>Defaults</w:t>
            </w:r>
          </w:p>
        </w:tc>
        <w:tc>
          <w:tcPr>
            <w:tcW w:type="dxa" w:w="4464"/>
            <w:tcMar>
              <w:top w:w="60" w:type="dxa"/>
              <w:start w:w="110" w:type="dxa"/>
              <w:bottom w:w="60" w:type="dxa"/>
              <w:end w:w="110" w:type="dxa"/>
            </w:tcMar>
          </w:tcPr>
          <w:p>
            <w:pPr>
              <w:spacing w:after="0"/>
            </w:pPr>
            <w:r/>
            <w:r>
              <w:rPr>
                <w:rFonts w:ascii="Calibri" w:hAnsi="Calibri"/>
                <w:b w:val="0"/>
                <w:i w:val="0"/>
                <w:color w:val="101828"/>
                <w:sz w:val="15"/>
              </w:rPr>
              <w:t>The canonical default sequence, private handling, recovery tracking</w:t>
            </w:r>
          </w:p>
        </w:tc>
        <w:tc>
          <w:tcPr>
            <w:tcW w:type="dxa" w:w="3240"/>
            <w:tcMar>
              <w:top w:w="60" w:type="dxa"/>
              <w:start w:w="110" w:type="dxa"/>
              <w:bottom w:w="60" w:type="dxa"/>
              <w:end w:w="110" w:type="dxa"/>
            </w:tcMar>
          </w:tcPr>
          <w:p>
            <w:pPr>
              <w:spacing w:after="0"/>
            </w:pPr>
            <w:r/>
            <w:r>
              <w:rPr>
                <w:rFonts w:ascii="Calibri" w:hAnsi="Calibri"/>
                <w:b w:val="0"/>
                <w:i w:val="0"/>
                <w:color w:val="101828"/>
                <w:sz w:val="15"/>
              </w:rPr>
              <w:t>No automatic top-up of other members (BR-015)</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5"/>
              </w:rPr>
              <w:t>Admin management</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5"/>
              </w:rPr>
              <w:t>Overview, users, Ajos, disputes, risk, verification, reports, audit logs, settings, emergency freeze</w:t>
            </w:r>
          </w:p>
        </w:tc>
        <w:tc>
          <w:tcPr>
            <w:tcW w:type="dxa" w:w="3240"/>
            <w:tcMar>
              <w:top w:w="60" w:type="dxa"/>
              <w:start w:w="110" w:type="dxa"/>
              <w:bottom w:w="60" w:type="dxa"/>
              <w:end w:w="110" w:type="dxa"/>
            </w:tcMar>
            <w:shd w:val="clear" w:color="auto" w:fill="F4F7FB"/>
          </w:tcPr>
          <w:p>
            <w:pPr>
              <w:spacing w:after="0"/>
            </w:pPr>
            <w:r/>
            <w:r>
              <w:rPr>
                <w:rFonts w:ascii="Calibri" w:hAnsi="Calibri"/>
                <w:b w:val="0"/>
                <w:i w:val="0"/>
                <w:color w:val="101828"/>
                <w:sz w:val="15"/>
              </w:rPr>
              <w:t>No role can edit the ledger</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5"/>
              </w:rPr>
              <w:t>Account security</w:t>
            </w:r>
          </w:p>
        </w:tc>
        <w:tc>
          <w:tcPr>
            <w:tcW w:type="dxa" w:w="4464"/>
            <w:tcMar>
              <w:top w:w="60" w:type="dxa"/>
              <w:start w:w="110" w:type="dxa"/>
              <w:bottom w:w="60" w:type="dxa"/>
              <w:end w:w="110" w:type="dxa"/>
            </w:tcMar>
          </w:tcPr>
          <w:p>
            <w:pPr>
              <w:spacing w:after="0"/>
            </w:pPr>
            <w:r/>
            <w:r>
              <w:rPr>
                <w:rFonts w:ascii="Calibri" w:hAnsi="Calibri"/>
                <w:b w:val="0"/>
                <w:i w:val="0"/>
                <w:color w:val="101828"/>
                <w:sz w:val="15"/>
              </w:rPr>
              <w:t>Device sessions, password change, new-device alerts, account freeze request, deletion request</w:t>
            </w:r>
          </w:p>
        </w:tc>
        <w:tc>
          <w:tcPr>
            <w:tcW w:type="dxa" w:w="3240"/>
            <w:tcMar>
              <w:top w:w="60" w:type="dxa"/>
              <w:start w:w="110" w:type="dxa"/>
              <w:bottom w:w="60" w:type="dxa"/>
              <w:end w:w="110" w:type="dxa"/>
            </w:tcMar>
          </w:tcPr>
          <w:p>
            <w:pPr>
              <w:spacing w:after="0"/>
            </w:pPr>
            <w:r/>
            <w:r>
              <w:rPr>
                <w:rFonts w:ascii="Calibri" w:hAnsi="Calibri"/>
                <w:b w:val="0"/>
                <w:i w:val="0"/>
                <w:color w:val="101828"/>
                <w:sz w:val="15"/>
              </w:rPr>
              <w:t>Freeze is a user-visible right</w:t>
            </w:r>
          </w:p>
        </w:tc>
      </w:tr>
    </w:tbl>
    <w:p>
      <w:pPr>
        <w:spacing w:after="80"/>
      </w:pPr>
    </w:p>
    <w:p>
      <w:pPr>
        <w:pStyle w:val="Heading3"/>
      </w:pPr>
      <w:r>
        <w:rPr>
          <w:rFonts w:ascii="Calibri" w:hAnsi="Calibri"/>
          <w:b/>
          <w:i w:val="0"/>
          <w:color w:val="0B1F3A"/>
          <w:sz w:val="24"/>
        </w:rPr>
        <w:t>1.16.2 Post-MVP scope — considered, not committed</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520"/>
            <w:shd w:val="clear" w:color="auto" w:fill="0B1F3A"/>
            <w:tcMar>
              <w:top w:w="60" w:type="dxa"/>
              <w:start w:w="110" w:type="dxa"/>
              <w:bottom w:w="60" w:type="dxa"/>
              <w:end w:w="110" w:type="dxa"/>
            </w:tcMar>
          </w:tcPr>
          <w:p>
            <w:pPr>
              <w:spacing w:after="0"/>
            </w:pPr>
            <w:r/>
            <w:r>
              <w:rPr>
                <w:rFonts w:ascii="Calibri" w:hAnsi="Calibri"/>
                <w:b/>
                <w:i w:val="0"/>
                <w:color w:val="FFFFFF"/>
                <w:sz w:val="15"/>
              </w:rPr>
              <w:t>Candidate</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5"/>
              </w:rPr>
              <w:t>Why it is attractive</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5"/>
              </w:rPr>
              <w:t>What must be true first</w:t>
            </w:r>
          </w:p>
        </w:tc>
        <w:tc>
          <w:tcPr>
            <w:tcW w:type="dxa" w:w="1800"/>
            <w:shd w:val="clear" w:color="auto" w:fill="0B1F3A"/>
            <w:tcMar>
              <w:top w:w="60" w:type="dxa"/>
              <w:start w:w="110" w:type="dxa"/>
              <w:bottom w:w="60" w:type="dxa"/>
              <w:end w:w="110" w:type="dxa"/>
            </w:tcMar>
          </w:tcPr>
          <w:p>
            <w:pPr>
              <w:spacing w:after="0"/>
            </w:pPr>
            <w:r/>
            <w:r>
              <w:rPr>
                <w:rFonts w:ascii="Calibri" w:hAnsi="Calibri"/>
                <w:b/>
                <w:i w:val="0"/>
                <w:color w:val="FFFFFF"/>
                <w:sz w:val="15"/>
              </w:rPr>
              <w:t>Status</w:t>
            </w:r>
          </w:p>
        </w:tc>
      </w:tr>
      <w:tr>
        <w:trPr>
          <w:cantSplit/>
        </w:trPr>
        <w:tc>
          <w:tcPr>
            <w:tcW w:type="dxa" w:w="2520"/>
            <w:tcMar>
              <w:top w:w="60" w:type="dxa"/>
              <w:start w:w="110" w:type="dxa"/>
              <w:bottom w:w="60" w:type="dxa"/>
              <w:end w:w="110" w:type="dxa"/>
            </w:tcMar>
          </w:tcPr>
          <w:p>
            <w:pPr>
              <w:spacing w:after="0"/>
            </w:pPr>
            <w:r/>
            <w:r>
              <w:rPr>
                <w:rFonts w:ascii="Calibri" w:hAnsi="Calibri"/>
                <w:b w:val="0"/>
                <w:i w:val="0"/>
                <w:color w:val="101828"/>
                <w:sz w:val="15"/>
              </w:rPr>
              <w:t>Referred members (invite-only referral link)</w:t>
            </w:r>
          </w:p>
        </w:tc>
        <w:tc>
          <w:tcPr>
            <w:tcW w:type="dxa" w:w="2304"/>
            <w:tcMar>
              <w:top w:w="60" w:type="dxa"/>
              <w:start w:w="110" w:type="dxa"/>
              <w:bottom w:w="60" w:type="dxa"/>
              <w:end w:w="110" w:type="dxa"/>
            </w:tcMar>
          </w:tcPr>
          <w:p>
            <w:pPr>
              <w:spacing w:after="0"/>
            </w:pPr>
            <w:r/>
            <w:r>
              <w:rPr>
                <w:rFonts w:ascii="Calibri" w:hAnsi="Calibri"/>
                <w:b w:val="0"/>
                <w:i w:val="0"/>
                <w:color w:val="101828"/>
                <w:sz w:val="15"/>
              </w:rPr>
              <w:t>Cheapest possible acquisition in a trust-driven product</w:t>
            </w:r>
          </w:p>
        </w:tc>
        <w:tc>
          <w:tcPr>
            <w:tcW w:type="dxa" w:w="2736"/>
            <w:tcMar>
              <w:top w:w="60" w:type="dxa"/>
              <w:start w:w="110" w:type="dxa"/>
              <w:bottom w:w="60" w:type="dxa"/>
              <w:end w:w="110" w:type="dxa"/>
            </w:tcMar>
          </w:tcPr>
          <w:p>
            <w:pPr>
              <w:spacing w:after="0"/>
            </w:pPr>
            <w:r/>
            <w:r>
              <w:rPr>
                <w:rFonts w:ascii="Calibri" w:hAnsi="Calibri"/>
                <w:b w:val="0"/>
                <w:i w:val="0"/>
                <w:color w:val="101828"/>
                <w:sz w:val="15"/>
              </w:rPr>
              <w:t>Anti-abuse controls and a fraud limit (D-08)</w:t>
            </w:r>
          </w:p>
        </w:tc>
        <w:tc>
          <w:tcPr>
            <w:tcW w:type="dxa" w:w="1800"/>
            <w:tcMar>
              <w:top w:w="60" w:type="dxa"/>
              <w:start w:w="110" w:type="dxa"/>
              <w:bottom w:w="60" w:type="dxa"/>
              <w:end w:w="110" w:type="dxa"/>
            </w:tcMar>
          </w:tcPr>
          <w:p>
            <w:pPr>
              <w:spacing w:after="0"/>
            </w:pPr>
            <w:r/>
            <w:r>
              <w:rPr>
                <w:rFonts w:ascii="Calibri" w:hAnsi="Calibri"/>
                <w:b w:val="0"/>
                <w:i w:val="0"/>
                <w:color w:val="101828"/>
                <w:sz w:val="15"/>
              </w:rPr>
              <w:t>Candidate, not committed</w:t>
            </w:r>
          </w:p>
        </w:tc>
      </w:tr>
      <w:tr>
        <w:trPr>
          <w:cantSplit/>
        </w:trPr>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5"/>
              </w:rPr>
              <w:t>Organiser succession and delegation as a first-class feature</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Directly addresses P3 and N12</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Legal wording on delegation reviewed; role model proven</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5"/>
              </w:rPr>
              <w:t>Candidate, not committed</w:t>
            </w:r>
          </w:p>
        </w:tc>
      </w:tr>
      <w:tr>
        <w:trPr>
          <w:cantSplit/>
        </w:trPr>
        <w:tc>
          <w:tcPr>
            <w:tcW w:type="dxa" w:w="2520"/>
            <w:tcMar>
              <w:top w:w="60" w:type="dxa"/>
              <w:start w:w="110" w:type="dxa"/>
              <w:bottom w:w="60" w:type="dxa"/>
              <w:end w:w="110" w:type="dxa"/>
            </w:tcMar>
          </w:tcPr>
          <w:p>
            <w:pPr>
              <w:spacing w:after="0"/>
            </w:pPr>
            <w:r/>
            <w:r>
              <w:rPr>
                <w:rFonts w:ascii="Calibri" w:hAnsi="Calibri"/>
                <w:b w:val="0"/>
                <w:i w:val="0"/>
                <w:color w:val="101828"/>
                <w:sz w:val="15"/>
              </w:rPr>
              <w:t>Scheduled-frequency expansion (daily, weekly, fortnightly, monthly)</w:t>
            </w:r>
          </w:p>
        </w:tc>
        <w:tc>
          <w:tcPr>
            <w:tcW w:type="dxa" w:w="2304"/>
            <w:tcMar>
              <w:top w:w="60" w:type="dxa"/>
              <w:start w:w="110" w:type="dxa"/>
              <w:bottom w:w="60" w:type="dxa"/>
              <w:end w:w="110" w:type="dxa"/>
            </w:tcMar>
          </w:tcPr>
          <w:p>
            <w:pPr>
              <w:spacing w:after="0"/>
            </w:pPr>
            <w:r/>
            <w:r>
              <w:rPr>
                <w:rFonts w:ascii="Calibri" w:hAnsi="Calibri"/>
                <w:b w:val="0"/>
                <w:i w:val="0"/>
                <w:color w:val="101828"/>
                <w:sz w:val="15"/>
              </w:rPr>
              <w:t>Expands TAM beyond monthly market Ajos</w:t>
            </w:r>
          </w:p>
        </w:tc>
        <w:tc>
          <w:tcPr>
            <w:tcW w:type="dxa" w:w="2736"/>
            <w:tcMar>
              <w:top w:w="60" w:type="dxa"/>
              <w:start w:w="110" w:type="dxa"/>
              <w:bottom w:w="60" w:type="dxa"/>
              <w:end w:w="110" w:type="dxa"/>
            </w:tcMar>
          </w:tcPr>
          <w:p>
            <w:pPr>
              <w:spacing w:after="0"/>
            </w:pPr>
            <w:r/>
            <w:r>
              <w:rPr>
                <w:rFonts w:ascii="Calibri" w:hAnsi="Calibri"/>
                <w:b w:val="0"/>
                <w:i w:val="0"/>
                <w:color w:val="101828"/>
                <w:sz w:val="15"/>
              </w:rPr>
              <w:t>Ledger and round model generalised; tested against the existing state machine</w:t>
            </w:r>
          </w:p>
        </w:tc>
        <w:tc>
          <w:tcPr>
            <w:tcW w:type="dxa" w:w="1800"/>
            <w:tcMar>
              <w:top w:w="60" w:type="dxa"/>
              <w:start w:w="110" w:type="dxa"/>
              <w:bottom w:w="60" w:type="dxa"/>
              <w:end w:w="110" w:type="dxa"/>
            </w:tcMar>
          </w:tcPr>
          <w:p>
            <w:pPr>
              <w:spacing w:after="0"/>
            </w:pPr>
            <w:r/>
            <w:r>
              <w:rPr>
                <w:rFonts w:ascii="Calibri" w:hAnsi="Calibri"/>
                <w:b w:val="0"/>
                <w:i w:val="0"/>
                <w:color w:val="101828"/>
                <w:sz w:val="15"/>
              </w:rPr>
              <w:t>Candidate, not committed</w:t>
            </w:r>
          </w:p>
        </w:tc>
      </w:tr>
      <w:tr>
        <w:trPr>
          <w:cantSplit/>
        </w:trPr>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5"/>
              </w:rPr>
              <w:t>Statement formats suitable for banks and third parties</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Retains Ada and Bisi; aids Kemi</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Legal review of what a statement asserts</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5"/>
              </w:rPr>
              <w:t>Candidate, not committed</w:t>
            </w:r>
          </w:p>
        </w:tc>
      </w:tr>
      <w:tr>
        <w:trPr>
          <w:cantSplit/>
        </w:trPr>
        <w:tc>
          <w:tcPr>
            <w:tcW w:type="dxa" w:w="2520"/>
            <w:tcMar>
              <w:top w:w="60" w:type="dxa"/>
              <w:start w:w="110" w:type="dxa"/>
              <w:bottom w:w="60" w:type="dxa"/>
              <w:end w:w="110" w:type="dxa"/>
            </w:tcMar>
          </w:tcPr>
          <w:p>
            <w:pPr>
              <w:spacing w:after="0"/>
            </w:pPr>
            <w:r/>
            <w:r>
              <w:rPr>
                <w:rFonts w:ascii="Calibri" w:hAnsi="Calibri"/>
                <w:b w:val="0"/>
                <w:i w:val="0"/>
                <w:color w:val="101828"/>
                <w:sz w:val="15"/>
              </w:rPr>
              <w:t>Native mobile applications</w:t>
            </w:r>
          </w:p>
        </w:tc>
        <w:tc>
          <w:tcPr>
            <w:tcW w:type="dxa" w:w="2304"/>
            <w:tcMar>
              <w:top w:w="60" w:type="dxa"/>
              <w:start w:w="110" w:type="dxa"/>
              <w:bottom w:w="60" w:type="dxa"/>
              <w:end w:w="110" w:type="dxa"/>
            </w:tcMar>
          </w:tcPr>
          <w:p>
            <w:pPr>
              <w:spacing w:after="0"/>
            </w:pPr>
            <w:r/>
            <w:r>
              <w:rPr>
                <w:rFonts w:ascii="Calibri" w:hAnsi="Calibri"/>
                <w:b w:val="0"/>
                <w:i w:val="0"/>
                <w:color w:val="101828"/>
                <w:sz w:val="15"/>
              </w:rPr>
              <w:t>Better retention for Tunde and Chidi</w:t>
            </w:r>
          </w:p>
        </w:tc>
        <w:tc>
          <w:tcPr>
            <w:tcW w:type="dxa" w:w="2736"/>
            <w:tcMar>
              <w:top w:w="60" w:type="dxa"/>
              <w:start w:w="110" w:type="dxa"/>
              <w:bottom w:w="60" w:type="dxa"/>
              <w:end w:w="110" w:type="dxa"/>
            </w:tcMar>
          </w:tcPr>
          <w:p>
            <w:pPr>
              <w:spacing w:after="0"/>
            </w:pPr>
            <w:r/>
            <w:r>
              <w:rPr>
                <w:rFonts w:ascii="Calibri" w:hAnsi="Calibri"/>
                <w:b w:val="0"/>
                <w:i w:val="0"/>
                <w:color w:val="101828"/>
                <w:sz w:val="15"/>
              </w:rPr>
              <w:t>PWA validated as insufficient; or organiser demand justifies it</w:t>
            </w:r>
          </w:p>
        </w:tc>
        <w:tc>
          <w:tcPr>
            <w:tcW w:type="dxa" w:w="1800"/>
            <w:tcMar>
              <w:top w:w="60" w:type="dxa"/>
              <w:start w:w="110" w:type="dxa"/>
              <w:bottom w:w="60" w:type="dxa"/>
              <w:end w:w="110" w:type="dxa"/>
            </w:tcMar>
          </w:tcPr>
          <w:p>
            <w:pPr>
              <w:spacing w:after="0"/>
            </w:pPr>
            <w:r/>
            <w:r>
              <w:rPr>
                <w:rFonts w:ascii="Calibri" w:hAnsi="Calibri"/>
                <w:b w:val="0"/>
                <w:i w:val="0"/>
                <w:color w:val="101828"/>
                <w:sz w:val="15"/>
              </w:rPr>
              <w:t>Candidate, not committed</w:t>
            </w:r>
          </w:p>
        </w:tc>
      </w:tr>
      <w:tr>
        <w:trPr>
          <w:cantSplit/>
        </w:trPr>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5"/>
              </w:rPr>
              <w:t>Ajo templates from real market practice</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Reduces creation friction for Alhaji Musa</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Enough completed Ajos to identify genuine patterns</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5"/>
              </w:rPr>
              <w:t>Candidate, not committed</w:t>
            </w:r>
          </w:p>
        </w:tc>
      </w:tr>
      <w:tr>
        <w:trPr>
          <w:cantSplit/>
        </w:trPr>
        <w:tc>
          <w:tcPr>
            <w:tcW w:type="dxa" w:w="2520"/>
            <w:tcMar>
              <w:top w:w="60" w:type="dxa"/>
              <w:start w:w="110" w:type="dxa"/>
              <w:bottom w:w="60" w:type="dxa"/>
              <w:end w:w="110" w:type="dxa"/>
            </w:tcMar>
          </w:tcPr>
          <w:p>
            <w:pPr>
              <w:spacing w:after="0"/>
            </w:pPr>
            <w:r/>
            <w:r>
              <w:rPr>
                <w:rFonts w:ascii="Calibri" w:hAnsi="Calibri"/>
                <w:b w:val="0"/>
                <w:i w:val="0"/>
                <w:color w:val="101828"/>
                <w:sz w:val="15"/>
              </w:rPr>
              <w:t>Standalone public marketing and referral content</w:t>
            </w:r>
          </w:p>
        </w:tc>
        <w:tc>
          <w:tcPr>
            <w:tcW w:type="dxa" w:w="2304"/>
            <w:tcMar>
              <w:top w:w="60" w:type="dxa"/>
              <w:start w:w="110" w:type="dxa"/>
              <w:bottom w:w="60" w:type="dxa"/>
              <w:end w:w="110" w:type="dxa"/>
            </w:tcMar>
          </w:tcPr>
          <w:p>
            <w:pPr>
              <w:spacing w:after="0"/>
            </w:pPr>
            <w:r/>
            <w:r>
              <w:rPr>
                <w:rFonts w:ascii="Calibri" w:hAnsi="Calibri"/>
                <w:b w:val="0"/>
                <w:i w:val="0"/>
                <w:color w:val="101828"/>
                <w:sz w:val="15"/>
              </w:rPr>
              <w:t>Growth at scale</w:t>
            </w:r>
          </w:p>
        </w:tc>
        <w:tc>
          <w:tcPr>
            <w:tcW w:type="dxa" w:w="2736"/>
            <w:tcMar>
              <w:top w:w="60" w:type="dxa"/>
              <w:start w:w="110" w:type="dxa"/>
              <w:bottom w:w="60" w:type="dxa"/>
              <w:end w:w="110" w:type="dxa"/>
            </w:tcMar>
          </w:tcPr>
          <w:p>
            <w:pPr>
              <w:spacing w:after="0"/>
            </w:pPr>
            <w:r/>
            <w:r>
              <w:rPr>
                <w:rFonts w:ascii="Calibri" w:hAnsi="Calibri"/>
                <w:b w:val="0"/>
                <w:i w:val="0"/>
                <w:color w:val="101828"/>
                <w:sz w:val="15"/>
              </w:rPr>
              <w:t>Unit economics proven positive (BO3)</w:t>
            </w:r>
          </w:p>
        </w:tc>
        <w:tc>
          <w:tcPr>
            <w:tcW w:type="dxa" w:w="1800"/>
            <w:tcMar>
              <w:top w:w="60" w:type="dxa"/>
              <w:start w:w="110" w:type="dxa"/>
              <w:bottom w:w="60" w:type="dxa"/>
              <w:end w:w="110" w:type="dxa"/>
            </w:tcMar>
          </w:tcPr>
          <w:p>
            <w:pPr>
              <w:spacing w:after="0"/>
            </w:pPr>
            <w:r/>
            <w:r>
              <w:rPr>
                <w:rFonts w:ascii="Calibri" w:hAnsi="Calibri"/>
                <w:b w:val="0"/>
                <w:i w:val="0"/>
                <w:color w:val="101828"/>
                <w:sz w:val="15"/>
              </w:rPr>
              <w:t>Candidate, not committed</w:t>
            </w:r>
          </w:p>
        </w:tc>
      </w:tr>
    </w:tbl>
    <w:p>
      <w:pPr>
        <w:spacing w:after="80"/>
      </w:pPr>
    </w:p>
    <w:p>
      <w:pPr>
        <w:pStyle w:val="Heading3"/>
      </w:pPr>
      <w:r>
        <w:rPr>
          <w:rFonts w:ascii="Calibri" w:hAnsi="Calibri"/>
          <w:b/>
          <w:i w:val="0"/>
          <w:color w:val="0B1F3A"/>
          <w:sz w:val="24"/>
        </w:rPr>
        <w:t>1.16.3 Out of scope — explicitly excluded</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5"/>
              </w:rPr>
              <w:t>Excluded</w:t>
            </w:r>
          </w:p>
        </w:tc>
        <w:tc>
          <w:tcPr>
            <w:tcW w:type="dxa" w:w="3960"/>
            <w:shd w:val="clear" w:color="auto" w:fill="0B1F3A"/>
            <w:tcMar>
              <w:top w:w="60" w:type="dxa"/>
              <w:start w:w="110" w:type="dxa"/>
              <w:bottom w:w="60" w:type="dxa"/>
              <w:end w:w="110" w:type="dxa"/>
            </w:tcMar>
          </w:tcPr>
          <w:p>
            <w:pPr>
              <w:spacing w:after="0"/>
            </w:pPr>
            <w:r/>
            <w:r>
              <w:rPr>
                <w:rFonts w:ascii="Calibri" w:hAnsi="Calibri"/>
                <w:b/>
                <w:i w:val="0"/>
                <w:color w:val="FFFFFF"/>
                <w:sz w:val="15"/>
              </w:rPr>
              <w:t>Rationale</w:t>
            </w:r>
          </w:p>
        </w:tc>
        <w:tc>
          <w:tcPr>
            <w:tcW w:type="dxa" w:w="3240"/>
            <w:shd w:val="clear" w:color="auto" w:fill="0B1F3A"/>
            <w:tcMar>
              <w:top w:w="60" w:type="dxa"/>
              <w:start w:w="110" w:type="dxa"/>
              <w:bottom w:w="60" w:type="dxa"/>
              <w:end w:w="110" w:type="dxa"/>
            </w:tcMar>
          </w:tcPr>
          <w:p>
            <w:pPr>
              <w:spacing w:after="0"/>
            </w:pPr>
            <w:r/>
            <w:r>
              <w:rPr>
                <w:rFonts w:ascii="Calibri" w:hAnsi="Calibri"/>
                <w:b/>
                <w:i w:val="0"/>
                <w:color w:val="FFFFFF"/>
                <w:sz w:val="15"/>
              </w:rPr>
              <w:t>Boundary that still applies</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A public Ajo marketplace or directory</w:t>
            </w:r>
          </w:p>
        </w:tc>
        <w:tc>
          <w:tcPr>
            <w:tcW w:type="dxa" w:w="3960"/>
            <w:tcMar>
              <w:top w:w="60" w:type="dxa"/>
              <w:start w:w="110" w:type="dxa"/>
              <w:bottom w:w="60" w:type="dxa"/>
              <w:end w:w="110" w:type="dxa"/>
            </w:tcMar>
          </w:tcPr>
          <w:p>
            <w:pPr>
              <w:spacing w:after="0"/>
            </w:pPr>
            <w:r/>
            <w:r>
              <w:rPr>
                <w:rFonts w:ascii="Calibri" w:hAnsi="Calibri"/>
                <w:b w:val="0"/>
                <w:i w:val="0"/>
                <w:color w:val="101828"/>
                <w:sz w:val="15"/>
              </w:rPr>
              <w:t>An open market for participation in schemes involving other people's money is a materially different product with materially different fraud, consumer protection and regulatory questions. Not a launch feature.</w:t>
            </w:r>
          </w:p>
        </w:tc>
        <w:tc>
          <w:tcPr>
            <w:tcW w:type="dxa" w:w="3240"/>
            <w:tcMar>
              <w:top w:w="60" w:type="dxa"/>
              <w:start w:w="110" w:type="dxa"/>
              <w:bottom w:w="60" w:type="dxa"/>
              <w:end w:w="110" w:type="dxa"/>
            </w:tcMar>
          </w:tcPr>
          <w:p>
            <w:pPr>
              <w:spacing w:after="0"/>
            </w:pPr>
            <w:r/>
            <w:r>
              <w:rPr>
                <w:rFonts w:ascii="Calibri" w:hAnsi="Calibri"/>
                <w:b w:val="0"/>
                <w:i w:val="0"/>
                <w:color w:val="101828"/>
                <w:sz w:val="15"/>
              </w:rPr>
              <w:t>Every Ajo at launch requires a named organiser who invited every member.</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Any credit or lending product</w:t>
            </w:r>
          </w:p>
        </w:tc>
        <w:tc>
          <w:tcPr>
            <w:tcW w:type="dxa" w:w="3960"/>
            <w:tcMar>
              <w:top w:w="60" w:type="dxa"/>
              <w:start w:w="110" w:type="dxa"/>
              <w:bottom w:w="60" w:type="dxa"/>
              <w:end w:w="110" w:type="dxa"/>
            </w:tcMar>
            <w:shd w:val="clear" w:color="auto" w:fill="F4F7FB"/>
          </w:tcPr>
          <w:p>
            <w:pPr>
              <w:spacing w:after="0"/>
            </w:pPr>
            <w:r/>
            <w:r>
              <w:rPr>
                <w:rFonts w:ascii="Calibri" w:hAnsi="Calibri"/>
                <w:b w:val="0"/>
                <w:i w:val="0"/>
                <w:color w:val="101828"/>
                <w:sz w:val="15"/>
              </w:rPr>
              <w:t>Ajo.ng must never be a route by which a member's future receipts are pledged, assigned or lent against. This is both a risk decision and a regulatory one.</w:t>
            </w:r>
          </w:p>
        </w:tc>
        <w:tc>
          <w:tcPr>
            <w:tcW w:type="dxa" w:w="3240"/>
            <w:tcMar>
              <w:top w:w="60" w:type="dxa"/>
              <w:start w:w="110" w:type="dxa"/>
              <w:bottom w:w="60" w:type="dxa"/>
              <w:end w:w="110" w:type="dxa"/>
            </w:tcMar>
            <w:shd w:val="clear" w:color="auto" w:fill="F4F7FB"/>
          </w:tcPr>
          <w:p>
            <w:pPr>
              <w:spacing w:after="0"/>
            </w:pPr>
            <w:r/>
            <w:r>
              <w:rPr>
                <w:rFonts w:ascii="Calibri" w:hAnsi="Calibri"/>
                <w:b w:val="0"/>
                <w:i w:val="0"/>
                <w:color w:val="101828"/>
                <w:sz w:val="15"/>
              </w:rPr>
              <w:t>No assignment of expected payouts, no pre-payout advances, no payout-against-collateral of any kind.</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Cryptocurrency or stablecoins</w:t>
            </w:r>
          </w:p>
        </w:tc>
        <w:tc>
          <w:tcPr>
            <w:tcW w:type="dxa" w:w="3960"/>
            <w:tcMar>
              <w:top w:w="60" w:type="dxa"/>
              <w:start w:w="110" w:type="dxa"/>
              <w:bottom w:w="60" w:type="dxa"/>
              <w:end w:w="110" w:type="dxa"/>
            </w:tcMar>
          </w:tcPr>
          <w:p>
            <w:pPr>
              <w:spacing w:after="0"/>
            </w:pPr>
            <w:r/>
            <w:r>
              <w:rPr>
                <w:rFonts w:ascii="Calibri" w:hAnsi="Calibri"/>
                <w:b w:val="0"/>
                <w:i w:val="0"/>
                <w:color w:val="101828"/>
                <w:sz w:val="15"/>
              </w:rPr>
              <w:t>Adds a regulatory surface, a volatility surface and a fraud surface to a product whose entire value proposition is that it is boring and trustworthy.</w:t>
            </w:r>
          </w:p>
        </w:tc>
        <w:tc>
          <w:tcPr>
            <w:tcW w:type="dxa" w:w="3240"/>
            <w:tcMar>
              <w:top w:w="60" w:type="dxa"/>
              <w:start w:w="110" w:type="dxa"/>
              <w:bottom w:w="60" w:type="dxa"/>
              <w:end w:w="110" w:type="dxa"/>
            </w:tcMar>
          </w:tcPr>
          <w:p>
            <w:pPr>
              <w:spacing w:after="0"/>
            </w:pPr>
            <w:r/>
            <w:r>
              <w:rPr>
                <w:rFonts w:ascii="Calibri" w:hAnsi="Calibri"/>
                <w:b w:val="0"/>
                <w:i w:val="0"/>
                <w:color w:val="101828"/>
                <w:sz w:val="15"/>
              </w:rPr>
              <w:t>All amounts are NGN. Money columns are always bigint kobo, never float or numeric.</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International participation and foreign currency</w:t>
            </w:r>
          </w:p>
        </w:tc>
        <w:tc>
          <w:tcPr>
            <w:tcW w:type="dxa" w:w="3960"/>
            <w:tcMar>
              <w:top w:w="60" w:type="dxa"/>
              <w:start w:w="110" w:type="dxa"/>
              <w:bottom w:w="60" w:type="dxa"/>
              <w:end w:w="110" w:type="dxa"/>
            </w:tcMar>
            <w:shd w:val="clear" w:color="auto" w:fill="F4F7FB"/>
          </w:tcPr>
          <w:p>
            <w:pPr>
              <w:spacing w:after="0"/>
            </w:pPr>
            <w:r/>
            <w:r>
              <w:rPr>
                <w:rFonts w:ascii="Calibri" w:hAnsi="Calibri"/>
                <w:b w:val="0"/>
                <w:i w:val="0"/>
                <w:color w:val="101828"/>
                <w:sz w:val="15"/>
              </w:rPr>
              <w:t>Kemi's need is real, but accepting funds from non-residents raises unresolved questions about the custody arrangement (D-02), sanctions screening and exchange-rate treatment.</w:t>
            </w:r>
          </w:p>
        </w:tc>
        <w:tc>
          <w:tcPr>
            <w:tcW w:type="dxa" w:w="3240"/>
            <w:tcMar>
              <w:top w:w="60" w:type="dxa"/>
              <w:start w:w="110" w:type="dxa"/>
              <w:bottom w:w="60" w:type="dxa"/>
              <w:end w:w="110" w:type="dxa"/>
            </w:tcMar>
            <w:shd w:val="clear" w:color="auto" w:fill="F4F7FB"/>
          </w:tcPr>
          <w:p>
            <w:pPr>
              <w:spacing w:after="0"/>
            </w:pPr>
            <w:r/>
            <w:r>
              <w:rPr>
                <w:rFonts w:ascii="Calibri" w:hAnsi="Calibri"/>
                <w:b w:val="0"/>
                <w:i w:val="0"/>
                <w:color w:val="101828"/>
                <w:sz w:val="15"/>
              </w:rPr>
              <w:t>MVP members are Nigerian residents transacting in NGN. Foreign participation is not offered, not marketed and not supported.</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Yield, interest or investment</w:t>
            </w:r>
          </w:p>
        </w:tc>
        <w:tc>
          <w:tcPr>
            <w:tcW w:type="dxa" w:w="3960"/>
            <w:tcMar>
              <w:top w:w="60" w:type="dxa"/>
              <w:start w:w="110" w:type="dxa"/>
              <w:bottom w:w="60" w:type="dxa"/>
              <w:end w:w="110" w:type="dxa"/>
            </w:tcMar>
          </w:tcPr>
          <w:p>
            <w:pPr>
              <w:spacing w:after="0"/>
            </w:pPr>
            <w:r/>
            <w:r>
              <w:rPr>
                <w:rFonts w:ascii="Calibri" w:hAnsi="Calibri"/>
                <w:b w:val="0"/>
                <w:i w:val="0"/>
                <w:color w:val="101828"/>
                <w:sz w:val="15"/>
              </w:rPr>
              <w:t>An Ajo pays zero return. Presenting anything else would be misleading.</w:t>
            </w:r>
          </w:p>
        </w:tc>
        <w:tc>
          <w:tcPr>
            <w:tcW w:type="dxa" w:w="3240"/>
            <w:tcMar>
              <w:top w:w="60" w:type="dxa"/>
              <w:start w:w="110" w:type="dxa"/>
              <w:bottom w:w="60" w:type="dxa"/>
              <w:end w:w="110" w:type="dxa"/>
            </w:tcMar>
          </w:tcPr>
          <w:p>
            <w:pPr>
              <w:spacing w:after="0"/>
            </w:pPr>
            <w:r/>
            <w:r>
              <w:rPr>
                <w:rFonts w:ascii="Calibri" w:hAnsi="Calibri"/>
                <w:b w:val="0"/>
                <w:i w:val="0"/>
                <w:color w:val="101828"/>
                <w:sz w:val="15"/>
              </w:rPr>
              <w:t>No copy anywhere implies interest, yield, ROI, investment or financial gain.</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Insurance or protection products</w:t>
            </w:r>
          </w:p>
        </w:tc>
        <w:tc>
          <w:tcPr>
            <w:tcW w:type="dxa" w:w="3960"/>
            <w:tcMar>
              <w:top w:w="60" w:type="dxa"/>
              <w:start w:w="110" w:type="dxa"/>
              <w:bottom w:w="60" w:type="dxa"/>
              <w:end w:w="110" w:type="dxa"/>
            </w:tcMar>
            <w:shd w:val="clear" w:color="auto" w:fill="F4F7FB"/>
          </w:tcPr>
          <w:p>
            <w:pPr>
              <w:spacing w:after="0"/>
            </w:pPr>
            <w:r/>
            <w:r>
              <w:rPr>
                <w:rFonts w:ascii="Calibri" w:hAnsi="Calibri"/>
                <w:b w:val="0"/>
                <w:i w:val="0"/>
                <w:color w:val="101828"/>
                <w:sz w:val="15"/>
              </w:rPr>
              <w:t>Selling cover on a pot AJO.ng does not control and cannot guarantee creates an obligation the product cannot meet.</w:t>
            </w:r>
          </w:p>
        </w:tc>
        <w:tc>
          <w:tcPr>
            <w:tcW w:type="dxa" w:w="3240"/>
            <w:tcMar>
              <w:top w:w="60" w:type="dxa"/>
              <w:start w:w="110" w:type="dxa"/>
              <w:bottom w:w="60" w:type="dxa"/>
              <w:end w:w="110" w:type="dxa"/>
            </w:tcMar>
            <w:shd w:val="clear" w:color="auto" w:fill="F4F7FB"/>
          </w:tcPr>
          <w:p>
            <w:pPr>
              <w:spacing w:after="0"/>
            </w:pPr>
            <w:r/>
            <w:r>
              <w:rPr>
                <w:rFonts w:ascii="Calibri" w:hAnsi="Calibri"/>
                <w:b w:val="0"/>
                <w:i w:val="0"/>
                <w:color w:val="101828"/>
                <w:sz w:val="15"/>
              </w:rPr>
              <w:t>No insurance, warranty, protection plan or guarantee is offered or implied.</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Loan origination, credit scoring and bureau reporting</w:t>
            </w:r>
          </w:p>
        </w:tc>
        <w:tc>
          <w:tcPr>
            <w:tcW w:type="dxa" w:w="3960"/>
            <w:tcMar>
              <w:top w:w="60" w:type="dxa"/>
              <w:start w:w="110" w:type="dxa"/>
              <w:bottom w:w="60" w:type="dxa"/>
              <w:end w:w="110" w:type="dxa"/>
            </w:tcMar>
          </w:tcPr>
          <w:p>
            <w:pPr>
              <w:spacing w:after="0"/>
            </w:pPr>
            <w:r/>
            <w:r>
              <w:rPr>
                <w:rFonts w:ascii="Calibri" w:hAnsi="Calibri"/>
                <w:b w:val="0"/>
                <w:i w:val="0"/>
                <w:color w:val="101828"/>
                <w:sz w:val="15"/>
              </w:rPr>
              <w:t>Requires data sharing, consent architecture and regulatory analysis that do not exist at launch.</w:t>
            </w:r>
          </w:p>
        </w:tc>
        <w:tc>
          <w:tcPr>
            <w:tcW w:type="dxa" w:w="3240"/>
            <w:tcMar>
              <w:top w:w="60" w:type="dxa"/>
              <w:start w:w="110" w:type="dxa"/>
              <w:bottom w:w="60" w:type="dxa"/>
              <w:end w:w="110" w:type="dxa"/>
            </w:tcMar>
          </w:tcPr>
          <w:p>
            <w:pPr>
              <w:spacing w:after="0"/>
            </w:pPr>
            <w:r/>
            <w:r>
              <w:rPr>
                <w:rFonts w:ascii="Calibri" w:hAnsi="Calibri"/>
                <w:b w:val="0"/>
                <w:i w:val="0"/>
                <w:color w:val="101828"/>
                <w:sz w:val="15"/>
              </w:rPr>
              <w:t>Member data is used to operate the Ajo and for nothing else.</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Money transfers between members, top-ups and gifts</w:t>
            </w:r>
          </w:p>
        </w:tc>
        <w:tc>
          <w:tcPr>
            <w:tcW w:type="dxa" w:w="3960"/>
            <w:tcMar>
              <w:top w:w="60" w:type="dxa"/>
              <w:start w:w="110" w:type="dxa"/>
              <w:bottom w:w="60" w:type="dxa"/>
              <w:end w:w="110" w:type="dxa"/>
            </w:tcMar>
            <w:shd w:val="clear" w:color="auto" w:fill="F4F7FB"/>
          </w:tcPr>
          <w:p>
            <w:pPr>
              <w:spacing w:after="0"/>
            </w:pPr>
            <w:r/>
            <w:r>
              <w:rPr>
                <w:rFonts w:ascii="Calibri" w:hAnsi="Calibri"/>
                <w:b w:val="0"/>
                <w:i w:val="0"/>
                <w:color w:val="101828"/>
                <w:sz w:val="15"/>
              </w:rPr>
              <w:t>Out of scope. Funds move only as contributions into a round and as a payout out of it.</w:t>
            </w:r>
          </w:p>
        </w:tc>
        <w:tc>
          <w:tcPr>
            <w:tcW w:type="dxa" w:w="3240"/>
            <w:tcMar>
              <w:top w:w="60" w:type="dxa"/>
              <w:start w:w="110" w:type="dxa"/>
              <w:bottom w:w="60" w:type="dxa"/>
              <w:end w:w="110" w:type="dxa"/>
            </w:tcMar>
            <w:shd w:val="clear" w:color="auto" w:fill="F4F7FB"/>
          </w:tcPr>
          <w:p>
            <w:pPr>
              <w:spacing w:after="0"/>
            </w:pPr>
            <w:r/>
            <w:r>
              <w:rPr>
                <w:rFonts w:ascii="Calibri" w:hAnsi="Calibri"/>
                <w:b w:val="0"/>
                <w:i w:val="0"/>
                <w:color w:val="101828"/>
                <w:sz w:val="15"/>
              </w:rPr>
              <w:t>The only money flows are contribution, fee, and base-pool payout.</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Organiser-to-member advances or bridging loans</w:t>
            </w:r>
          </w:p>
        </w:tc>
        <w:tc>
          <w:tcPr>
            <w:tcW w:type="dxa" w:w="3960"/>
            <w:tcMar>
              <w:top w:w="60" w:type="dxa"/>
              <w:start w:w="110" w:type="dxa"/>
              <w:bottom w:w="60" w:type="dxa"/>
              <w:end w:w="110" w:type="dxa"/>
            </w:tcMar>
          </w:tcPr>
          <w:p>
            <w:pPr>
              <w:spacing w:after="0"/>
            </w:pPr>
            <w:r/>
            <w:r>
              <w:rPr>
                <w:rFonts w:ascii="Calibri" w:hAnsi="Calibri"/>
                <w:b w:val="0"/>
                <w:i w:val="0"/>
                <w:color w:val="101828"/>
                <w:sz w:val="15"/>
              </w:rPr>
              <w:t>Would make the organiser a lender and would undo the elimination of P7.</w:t>
            </w:r>
          </w:p>
        </w:tc>
        <w:tc>
          <w:tcPr>
            <w:tcW w:type="dxa" w:w="3240"/>
            <w:tcMar>
              <w:top w:w="60" w:type="dxa"/>
              <w:start w:w="110" w:type="dxa"/>
              <w:bottom w:w="60" w:type="dxa"/>
              <w:end w:w="110" w:type="dxa"/>
            </w:tcMar>
          </w:tcPr>
          <w:p>
            <w:pPr>
              <w:spacing w:after="0"/>
            </w:pPr>
            <w:r/>
            <w:r>
              <w:rPr>
                <w:rFonts w:ascii="Calibri" w:hAnsi="Calibri"/>
                <w:b w:val="0"/>
                <w:i w:val="0"/>
                <w:color w:val="101828"/>
                <w:sz w:val="15"/>
              </w:rPr>
              <w:t>The organiser is never a guarantor and never a creditor of a member.</w:t>
            </w:r>
          </w:p>
        </w:tc>
      </w:tr>
    </w:tbl>
    <w:p>
      <w:pPr>
        <w:spacing w:after="80"/>
      </w:pPr>
    </w:p>
    <w:p>
      <w:pPr>
        <w:spacing w:before="140" w:after="180"/>
        <w:ind w:left="144"/>
        <w:shd w:val="clear" w:color="auto" w:fill="E0F2FE"/>
        <w:pBdr>
          <w:left w:val="single" w:sz="18" w:space="6" w:color="22C7D6"/>
        </w:pBdr>
      </w:pPr>
      <w:r>
        <w:rPr>
          <w:rFonts w:ascii="Calibri" w:hAnsi="Calibri"/>
          <w:b/>
          <w:color w:val="22C7D6"/>
          <w:sz w:val="19"/>
        </w:rPr>
        <w:t xml:space="preserve">Scope-change discipline  </w:t>
      </w:r>
      <w:r>
        <w:rPr>
          <w:rFonts w:ascii="Calibri" w:hAnsi="Calibri"/>
          <w:b w:val="0"/>
          <w:i w:val="0"/>
          <w:color w:val="0B1F3A"/>
          <w:sz w:val="19"/>
        </w:rPr>
        <w:t xml:space="preserve">Anything in the out-of-scope table that is proposed for a later release must be brought back through this document as a numbered change, with the regulatory position, the fraud model and the trust consequences written out. It cannot be added as a feature ticket. Specifically, </w:t>
      </w:r>
      <w:r>
        <w:rPr>
          <w:rFonts w:ascii="Calibri" w:hAnsi="Calibri"/>
          <w:b/>
          <w:color w:val="0B1F3A"/>
          <w:sz w:val="19"/>
        </w:rPr>
        <w:t>public marketplace access, any credit product and any international participation each require a full re-review of this section before engineering begins.</w:t>
      </w:r>
    </w:p>
    <w:p>
      <w:pPr>
        <w:pStyle w:val="Heading2"/>
      </w:pPr>
      <w:r>
        <w:rPr>
          <w:rFonts w:ascii="Calibri" w:hAnsi="Calibri"/>
          <w:b/>
          <w:i w:val="0"/>
          <w:color w:val="146EF5"/>
          <w:sz w:val="29"/>
        </w:rPr>
        <w:t>1.17 Functional requirements</w:t>
      </w:r>
    </w:p>
    <w:p>
      <w:r>
        <w:rPr>
          <w:rFonts w:ascii="Calibri" w:hAnsi="Calibri"/>
          <w:b w:val="0"/>
          <w:i w:val="0"/>
          <w:color w:val="101828"/>
          <w:sz w:val="21"/>
        </w:rPr>
        <w:t xml:space="preserve">Requirements are grouped into five families. Each carries a unique ID, a testable statement, a MoSCoW priority and a reference to the business rule or section that justifies it. </w:t>
      </w:r>
      <w:r>
        <w:rPr>
          <w:rFonts w:ascii="Calibri" w:hAnsi="Calibri"/>
          <w:b/>
          <w:color w:val="101828"/>
          <w:sz w:val="21"/>
        </w:rPr>
        <w:t>Must</w:t>
      </w:r>
      <w:r>
        <w:rPr>
          <w:rFonts w:ascii="Calibri" w:hAnsi="Calibri"/>
          <w:b w:val="0"/>
          <w:i w:val="0"/>
          <w:color w:val="101828"/>
          <w:sz w:val="21"/>
        </w:rPr>
        <w:t xml:space="preserve"> items are launch-blocking. </w:t>
      </w:r>
      <w:r>
        <w:rPr>
          <w:rFonts w:ascii="Calibri" w:hAnsi="Calibri"/>
          <w:b/>
          <w:color w:val="101828"/>
          <w:sz w:val="21"/>
        </w:rPr>
        <w:t>Should</w:t>
      </w:r>
      <w:r>
        <w:rPr>
          <w:rFonts w:ascii="Calibri" w:hAnsi="Calibri"/>
          <w:b w:val="0"/>
          <w:i w:val="0"/>
          <w:color w:val="101828"/>
          <w:sz w:val="21"/>
        </w:rPr>
        <w:t xml:space="preserve"> items may be deferred to the first post-MVP release with sign-off. </w:t>
      </w:r>
      <w:r>
        <w:rPr>
          <w:rFonts w:ascii="Calibri" w:hAnsi="Calibri"/>
          <w:b/>
          <w:color w:val="101828"/>
          <w:sz w:val="21"/>
        </w:rPr>
        <w:t>Could</w:t>
      </w:r>
      <w:r>
        <w:rPr>
          <w:rFonts w:ascii="Calibri" w:hAnsi="Calibri"/>
          <w:b w:val="0"/>
          <w:i w:val="0"/>
          <w:color w:val="101828"/>
          <w:sz w:val="21"/>
        </w:rPr>
        <w:t xml:space="preserve"> items are explicitly optional and may be dropped entirely without violating this specification.</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008"/>
            <w:shd w:val="clear" w:color="auto" w:fill="0B1F3A"/>
            <w:tcMar>
              <w:top w:w="60" w:type="dxa"/>
              <w:start w:w="110" w:type="dxa"/>
              <w:bottom w:w="60" w:type="dxa"/>
              <w:end w:w="110" w:type="dxa"/>
            </w:tcMar>
          </w:tcPr>
          <w:p>
            <w:pPr>
              <w:spacing w:after="0"/>
            </w:pPr>
            <w:r/>
            <w:r>
              <w:rPr>
                <w:rFonts w:ascii="Calibri" w:hAnsi="Calibri"/>
                <w:b/>
                <w:i w:val="0"/>
                <w:color w:val="FFFFFF"/>
                <w:sz w:val="17"/>
              </w:rPr>
              <w:t>Priority</w:t>
            </w:r>
          </w:p>
        </w:tc>
        <w:tc>
          <w:tcPr>
            <w:tcW w:type="dxa" w:w="5040"/>
            <w:shd w:val="clear" w:color="auto" w:fill="0B1F3A"/>
            <w:tcMar>
              <w:top w:w="60" w:type="dxa"/>
              <w:start w:w="110" w:type="dxa"/>
              <w:bottom w:w="60" w:type="dxa"/>
              <w:end w:w="110" w:type="dxa"/>
            </w:tcMar>
          </w:tcPr>
          <w:p>
            <w:pPr>
              <w:spacing w:after="0"/>
            </w:pPr>
            <w:r/>
            <w:r>
              <w:rPr>
                <w:rFonts w:ascii="Calibri" w:hAnsi="Calibri"/>
                <w:b/>
                <w:i w:val="0"/>
                <w:color w:val="FFFFFF"/>
                <w:sz w:val="17"/>
              </w:rPr>
              <w:t>Definition</w:t>
            </w:r>
          </w:p>
        </w:tc>
        <w:tc>
          <w:tcPr>
            <w:tcW w:type="dxa" w:w="3312"/>
            <w:shd w:val="clear" w:color="auto" w:fill="0B1F3A"/>
            <w:tcMar>
              <w:top w:w="60" w:type="dxa"/>
              <w:start w:w="110" w:type="dxa"/>
              <w:bottom w:w="60" w:type="dxa"/>
              <w:end w:w="110" w:type="dxa"/>
            </w:tcMar>
          </w:tcPr>
          <w:p>
            <w:pPr>
              <w:spacing w:after="0"/>
            </w:pPr>
            <w:r/>
            <w:r>
              <w:rPr>
                <w:rFonts w:ascii="Calibri" w:hAnsi="Calibri"/>
                <w:b/>
                <w:i w:val="0"/>
                <w:color w:val="FFFFFF"/>
                <w:sz w:val="17"/>
              </w:rPr>
              <w:t>Launch effect</w:t>
            </w:r>
          </w:p>
        </w:tc>
      </w:tr>
      <w:tr>
        <w:trPr>
          <w:cantSplit/>
        </w:trPr>
        <w:tc>
          <w:tcPr>
            <w:tcW w:type="dxa" w:w="1008"/>
            <w:tcMar>
              <w:top w:w="60" w:type="dxa"/>
              <w:start w:w="110" w:type="dxa"/>
              <w:bottom w:w="60" w:type="dxa"/>
              <w:end w:w="110" w:type="dxa"/>
            </w:tcMar>
          </w:tcPr>
          <w:p>
            <w:pPr>
              <w:spacing w:after="0"/>
            </w:pPr>
            <w:r/>
            <w:r>
              <w:rPr>
                <w:rFonts w:ascii="Calibri" w:hAnsi="Calibri"/>
                <w:b w:val="0"/>
                <w:i w:val="0"/>
                <w:color w:val="101828"/>
                <w:sz w:val="17"/>
              </w:rPr>
              <w:t>Must</w:t>
            </w:r>
          </w:p>
        </w:tc>
        <w:tc>
          <w:tcPr>
            <w:tcW w:type="dxa" w:w="5040"/>
            <w:tcMar>
              <w:top w:w="60" w:type="dxa"/>
              <w:start w:w="110" w:type="dxa"/>
              <w:bottom w:w="60" w:type="dxa"/>
              <w:end w:w="110" w:type="dxa"/>
            </w:tcMar>
          </w:tcPr>
          <w:p>
            <w:pPr>
              <w:spacing w:after="0"/>
            </w:pPr>
            <w:r/>
            <w:r>
              <w:rPr>
                <w:rFonts w:ascii="Calibri" w:hAnsi="Calibri"/>
                <w:b w:val="0"/>
                <w:i w:val="0"/>
                <w:color w:val="101828"/>
                <w:sz w:val="17"/>
              </w:rPr>
              <w:t>The product is unsafe, untrustworthy or unlawful without it</w:t>
            </w:r>
          </w:p>
        </w:tc>
        <w:tc>
          <w:tcPr>
            <w:tcW w:type="dxa" w:w="3312"/>
            <w:tcMar>
              <w:top w:w="60" w:type="dxa"/>
              <w:start w:w="110" w:type="dxa"/>
              <w:bottom w:w="60" w:type="dxa"/>
              <w:end w:w="110" w:type="dxa"/>
            </w:tcMar>
          </w:tcPr>
          <w:p>
            <w:pPr>
              <w:spacing w:after="0"/>
            </w:pPr>
            <w:r/>
            <w:r>
              <w:rPr>
                <w:rFonts w:ascii="Calibri" w:hAnsi="Calibri"/>
                <w:b w:val="0"/>
                <w:i w:val="0"/>
                <w:color w:val="101828"/>
                <w:sz w:val="17"/>
              </w:rPr>
              <w:t>Blocks launch</w:t>
            </w:r>
          </w:p>
        </w:tc>
      </w:tr>
      <w:tr>
        <w:trPr>
          <w:cantSplit/>
        </w:trPr>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7"/>
              </w:rPr>
              <w:t>Should</w:t>
            </w:r>
          </w:p>
        </w:tc>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7"/>
              </w:rPr>
              <w:t>The product works without it, but materially worse</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7"/>
              </w:rPr>
              <w:t>May be deferred with written sign-off</w:t>
            </w:r>
          </w:p>
        </w:tc>
      </w:tr>
      <w:tr>
        <w:trPr>
          <w:cantSplit/>
        </w:trPr>
        <w:tc>
          <w:tcPr>
            <w:tcW w:type="dxa" w:w="1008"/>
            <w:tcMar>
              <w:top w:w="60" w:type="dxa"/>
              <w:start w:w="110" w:type="dxa"/>
              <w:bottom w:w="60" w:type="dxa"/>
              <w:end w:w="110" w:type="dxa"/>
            </w:tcMar>
          </w:tcPr>
          <w:p>
            <w:pPr>
              <w:spacing w:after="0"/>
            </w:pPr>
            <w:r/>
            <w:r>
              <w:rPr>
                <w:rFonts w:ascii="Calibri" w:hAnsi="Calibri"/>
                <w:b w:val="0"/>
                <w:i w:val="0"/>
                <w:color w:val="101828"/>
                <w:sz w:val="17"/>
              </w:rPr>
              <w:t>Could</w:t>
            </w:r>
          </w:p>
        </w:tc>
        <w:tc>
          <w:tcPr>
            <w:tcW w:type="dxa" w:w="5040"/>
            <w:tcMar>
              <w:top w:w="60" w:type="dxa"/>
              <w:start w:w="110" w:type="dxa"/>
              <w:bottom w:w="60" w:type="dxa"/>
              <w:end w:w="110" w:type="dxa"/>
            </w:tcMar>
          </w:tcPr>
          <w:p>
            <w:pPr>
              <w:spacing w:after="0"/>
            </w:pPr>
            <w:r/>
            <w:r>
              <w:rPr>
                <w:rFonts w:ascii="Calibri" w:hAnsi="Calibri"/>
                <w:b w:val="0"/>
                <w:i w:val="0"/>
                <w:color w:val="101828"/>
                <w:sz w:val="17"/>
              </w:rPr>
              <w:t>A convenience, an optimisation, or a nicety</w:t>
            </w:r>
          </w:p>
        </w:tc>
        <w:tc>
          <w:tcPr>
            <w:tcW w:type="dxa" w:w="3312"/>
            <w:tcMar>
              <w:top w:w="60" w:type="dxa"/>
              <w:start w:w="110" w:type="dxa"/>
              <w:bottom w:w="60" w:type="dxa"/>
              <w:end w:w="110" w:type="dxa"/>
            </w:tcMar>
          </w:tcPr>
          <w:p>
            <w:pPr>
              <w:spacing w:after="0"/>
            </w:pPr>
            <w:r/>
            <w:r>
              <w:rPr>
                <w:rFonts w:ascii="Calibri" w:hAnsi="Calibri"/>
                <w:b w:val="0"/>
                <w:i w:val="0"/>
                <w:color w:val="101828"/>
                <w:sz w:val="17"/>
              </w:rPr>
              <w:t>May be dropped without consequence</w:t>
            </w:r>
          </w:p>
        </w:tc>
      </w:tr>
    </w:tbl>
    <w:p>
      <w:pPr>
        <w:spacing w:after="80"/>
      </w:pPr>
    </w:p>
    <w:p>
      <w:pPr>
        <w:pStyle w:val="Heading3"/>
      </w:pPr>
      <w:r>
        <w:rPr>
          <w:rFonts w:ascii="Calibri" w:hAnsi="Calibri"/>
          <w:b/>
          <w:i w:val="0"/>
          <w:color w:val="0B1F3A"/>
          <w:sz w:val="24"/>
        </w:rPr>
        <w:t>1.17.1 Identity, profile and account security</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368"/>
            <w:shd w:val="clear" w:color="auto" w:fill="0B1F3A"/>
            <w:tcMar>
              <w:top w:w="60" w:type="dxa"/>
              <w:start w:w="110" w:type="dxa"/>
              <w:bottom w:w="60" w:type="dxa"/>
              <w:end w:w="110" w:type="dxa"/>
            </w:tcMar>
          </w:tcPr>
          <w:p>
            <w:pPr>
              <w:spacing w:after="0"/>
            </w:pPr>
            <w:r/>
            <w:r>
              <w:rPr>
                <w:rFonts w:ascii="Calibri" w:hAnsi="Calibri"/>
                <w:b/>
                <w:i w:val="0"/>
                <w:color w:val="FFFFFF"/>
                <w:sz w:val="15"/>
              </w:rPr>
              <w:t>ID</w:t>
            </w:r>
          </w:p>
        </w:tc>
        <w:tc>
          <w:tcPr>
            <w:tcW w:type="dxa" w:w="4824"/>
            <w:shd w:val="clear" w:color="auto" w:fill="0B1F3A"/>
            <w:tcMar>
              <w:top w:w="60" w:type="dxa"/>
              <w:start w:w="110" w:type="dxa"/>
              <w:bottom w:w="60" w:type="dxa"/>
              <w:end w:w="110" w:type="dxa"/>
            </w:tcMar>
          </w:tcPr>
          <w:p>
            <w:pPr>
              <w:spacing w:after="0"/>
            </w:pPr>
            <w:r/>
            <w:r>
              <w:rPr>
                <w:rFonts w:ascii="Calibri" w:hAnsi="Calibri"/>
                <w:b/>
                <w:i w:val="0"/>
                <w:color w:val="FFFFFF"/>
                <w:sz w:val="15"/>
              </w:rPr>
              <w:t>Requirement</w:t>
            </w:r>
          </w:p>
        </w:tc>
        <w:tc>
          <w:tcPr>
            <w:tcW w:type="dxa" w:w="864"/>
            <w:shd w:val="clear" w:color="auto" w:fill="0B1F3A"/>
            <w:tcMar>
              <w:top w:w="60" w:type="dxa"/>
              <w:start w:w="110" w:type="dxa"/>
              <w:bottom w:w="60" w:type="dxa"/>
              <w:end w:w="110" w:type="dxa"/>
            </w:tcMar>
          </w:tcPr>
          <w:p>
            <w:pPr>
              <w:spacing w:after="0"/>
            </w:pPr>
            <w:r/>
            <w:r>
              <w:rPr>
                <w:rFonts w:ascii="Calibri" w:hAnsi="Calibri"/>
                <w:b/>
                <w:i w:val="0"/>
                <w:color w:val="FFFFFF"/>
                <w:sz w:val="15"/>
              </w:rPr>
              <w:t>Priority</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5"/>
              </w:rPr>
              <w:t>Section ref</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FR-AUTH-001</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visitor may register with email address and phone number; neither may be omitted.</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1.11.6, 1.16.1</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FR-AUTH-002</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Registration must reject an email address or phone number already registered to an account.</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BR-030</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FR-AUTH-003</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newly registered account is created in an unverified state and cannot join an Ajo until both email and phone are verified.</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1.16.1</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FR-AUTH-004</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An email verification link must be sent within 60 seconds of registration and must expire after 24 hours.</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1.18 (NFR-PERF-002)</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FR-AUTH-005</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phone OTP of 6 digits must be sent for verification and must expire after 5 minutes with a maximum of 5 attempts.</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1.11.3</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FR-AUTH-006</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user may log in with email or phone plus password; the same account is reachable either way.</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1.16.1</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FR-AUTH-007</w:t>
            </w:r>
          </w:p>
        </w:tc>
        <w:tc>
          <w:tcPr>
            <w:tcW w:type="dxa" w:w="4824"/>
            <w:tcMar>
              <w:top w:w="60" w:type="dxa"/>
              <w:start w:w="110" w:type="dxa"/>
              <w:bottom w:w="60" w:type="dxa"/>
              <w:end w:w="110" w:type="dxa"/>
            </w:tcMar>
          </w:tcPr>
          <w:p>
            <w:pPr>
              <w:spacing w:after="0"/>
            </w:pPr>
            <w:r/>
            <w:r>
              <w:rPr>
                <w:rFonts w:ascii="Calibri" w:hAnsi="Calibri"/>
                <w:b w:val="0"/>
                <w:i w:val="0"/>
                <w:color w:val="101828"/>
                <w:sz w:val="15"/>
              </w:rPr>
              <w:t>Passwords must be stored as a salted adaptive hash; plaintext passwords must never be logged, emailed or returned by any endpoint.</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1.18 (NFR-SEC-001)</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FR-AUTH-008</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Password policy must require at least 10 characters and block the most common breached passwords. Length must be the dominant factor, not symbol classes.</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1.18 (NFR-SEC-002)</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FR-AUTH-009</w:t>
            </w:r>
          </w:p>
        </w:tc>
        <w:tc>
          <w:tcPr>
            <w:tcW w:type="dxa" w:w="4824"/>
            <w:tcMar>
              <w:top w:w="60" w:type="dxa"/>
              <w:start w:w="110" w:type="dxa"/>
              <w:bottom w:w="60" w:type="dxa"/>
              <w:end w:w="110" w:type="dxa"/>
            </w:tcMar>
          </w:tcPr>
          <w:p>
            <w:pPr>
              <w:spacing w:after="0"/>
            </w:pPr>
            <w:r/>
            <w:r>
              <w:rPr>
                <w:rFonts w:ascii="Calibri" w:hAnsi="Calibri"/>
                <w:b w:val="0"/>
                <w:i w:val="0"/>
                <w:color w:val="101828"/>
                <w:sz w:val="15"/>
              </w:rPr>
              <w:t>Login responses must not reveal whether an account exists; the same message and comparable timing must be returned for unknown accounts.</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1.18 (NFR-SEC-003)</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FR-AUTH-010</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Failed logins must be rate limited per account and per source address, with exponential backoff and a lockout that requires a reset rather than a bypass.</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1.18 (NFR-SEC-004)</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FR-AUTH-011</w:t>
            </w:r>
          </w:p>
        </w:tc>
        <w:tc>
          <w:tcPr>
            <w:tcW w:type="dxa" w:w="4824"/>
            <w:tcMar>
              <w:top w:w="60" w:type="dxa"/>
              <w:start w:w="110" w:type="dxa"/>
              <w:bottom w:w="60" w:type="dxa"/>
              <w:end w:w="110" w:type="dxa"/>
            </w:tcMar>
          </w:tcPr>
          <w:p>
            <w:pPr>
              <w:spacing w:after="0"/>
            </w:pPr>
            <w:r/>
            <w:r>
              <w:rPr>
                <w:rFonts w:ascii="Calibri" w:hAnsi="Calibri"/>
                <w:b w:val="0"/>
                <w:i w:val="0"/>
                <w:color w:val="101828"/>
                <w:sz w:val="15"/>
              </w:rPr>
              <w:t>Sessions use a short-lived access token and a rotating refresh token; a refresh token may be used once and reuse must revoke the whole family.</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1.18 (NFR-SEC-005)</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FR-AUTH-012</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user may list all active sessions with device, location and last-seen time, and may revoke any single session or all sessions.</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FR-SEC-001</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FR-PROF-001</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user may view and update their own profile: full name, phone number, email address and avatar.</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1.16.1</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FR-PROF-002</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user may upload one avatar image; the client must enforce type and size limits and the server must re-validate both.</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1.18 (NFR-SEC-006)</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FR-PROF-003</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user must be able to view a financial summary: total contributed, total received, fees paid, active Ajo count and outstanding balance.</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FR-TXN-002</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FR-PROF-004</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user may view and update notification preferences per channel per event category, subject to the mandatory minimum in FR-NOTIF-006.</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1.18 (NFR-LOC-001)</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FR-PROF-005</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user may export a complete personal data archive covering profile, Ajo memberships, transactions and statements.</w:t>
            </w:r>
          </w:p>
        </w:tc>
        <w:tc>
          <w:tcPr>
            <w:tcW w:type="dxa" w:w="864"/>
            <w:tcMar>
              <w:top w:w="60" w:type="dxa"/>
              <w:start w:w="110" w:type="dxa"/>
              <w:bottom w:w="60" w:type="dxa"/>
              <w:end w:w="110" w:type="dxa"/>
            </w:tcMar>
          </w:tcPr>
          <w:p>
            <w:pPr>
              <w:spacing w:after="0"/>
            </w:pPr>
            <w:r/>
            <w:r>
              <w:rPr>
                <w:rFonts w:ascii="Calibri" w:hAnsi="Calibri"/>
                <w:b w:val="0"/>
                <w:i w:val="0"/>
                <w:color w:val="101828"/>
                <w:sz w:val="15"/>
              </w:rPr>
              <w:t>Should</w:t>
            </w:r>
          </w:p>
        </w:tc>
        <w:tc>
          <w:tcPr>
            <w:tcW w:type="dxa" w:w="2304"/>
            <w:tcMar>
              <w:top w:w="60" w:type="dxa"/>
              <w:start w:w="110" w:type="dxa"/>
              <w:bottom w:w="60" w:type="dxa"/>
              <w:end w:w="110" w:type="dxa"/>
            </w:tcMar>
          </w:tcPr>
          <w:p>
            <w:pPr>
              <w:spacing w:after="0"/>
            </w:pPr>
            <w:r/>
            <w:r>
              <w:rPr>
                <w:rFonts w:ascii="Calibri" w:hAnsi="Calibri"/>
                <w:b w:val="0"/>
                <w:i w:val="0"/>
                <w:color w:val="101828"/>
                <w:sz w:val="15"/>
              </w:rPr>
              <w:t>1.23</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FR-PROF-006</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user may request deletion of their account. Deletion must be a reversible soft delete with a stated retention window for financial records.</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1.23, LEGAL below</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FR-KYC-001</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user may submit a BVN verification request; the platform must never store the raw BVN, only the verification result and the provider reference.</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D-04, LEGAL below</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FR-KYC-002</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user may submit a CAC (company) verification request for business membership, with the same non-storage rule as FR-KYC-001.</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Should</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1.11.4</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FR-KYC-003</w:t>
            </w:r>
          </w:p>
        </w:tc>
        <w:tc>
          <w:tcPr>
            <w:tcW w:type="dxa" w:w="4824"/>
            <w:tcMar>
              <w:top w:w="60" w:type="dxa"/>
              <w:start w:w="110" w:type="dxa"/>
              <w:bottom w:w="60" w:type="dxa"/>
              <w:end w:w="110" w:type="dxa"/>
            </w:tcMar>
          </w:tcPr>
          <w:p>
            <w:pPr>
              <w:spacing w:after="0"/>
            </w:pPr>
            <w:r/>
            <w:r>
              <w:rPr>
                <w:rFonts w:ascii="Calibri" w:hAnsi="Calibri"/>
                <w:b w:val="0"/>
                <w:i w:val="0"/>
                <w:color w:val="101828"/>
                <w:sz w:val="15"/>
              </w:rPr>
              <w:t>Verification results must be stored with the check outcome, timestamp, provider reference and reason codes where available.</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1.18 (NFR-AUD-002)</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FR-KYC-004</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failed verification must state the reason in plain language and state what the user can do next. It must not state a suspicion of fraud.</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1.11.3</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FR-KYC-005</w:t>
            </w:r>
          </w:p>
        </w:tc>
        <w:tc>
          <w:tcPr>
            <w:tcW w:type="dxa" w:w="4824"/>
            <w:tcMar>
              <w:top w:w="60" w:type="dxa"/>
              <w:start w:w="110" w:type="dxa"/>
              <w:bottom w:w="60" w:type="dxa"/>
              <w:end w:w="110" w:type="dxa"/>
            </w:tcMar>
          </w:tcPr>
          <w:p>
            <w:pPr>
              <w:spacing w:after="0"/>
            </w:pPr>
            <w:r/>
            <w:r>
              <w:rPr>
                <w:rFonts w:ascii="Calibri" w:hAnsi="Calibri"/>
                <w:b w:val="0"/>
                <w:i w:val="0"/>
                <w:color w:val="101828"/>
                <w:sz w:val="15"/>
              </w:rPr>
              <w:t>Whether BVN or CAC verification is mandatory for all members or only above a contribution threshold is governed by open decision D-04 and must be configurable without code change.</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D-04</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FR-KYC-006</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Identity verification must be re-checkable by risk_officer and the result must be visible in the admin Verification screen.</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1.16.1</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FR-KYC-007</w:t>
            </w:r>
          </w:p>
        </w:tc>
        <w:tc>
          <w:tcPr>
            <w:tcW w:type="dxa" w:w="4824"/>
            <w:tcMar>
              <w:top w:w="60" w:type="dxa"/>
              <w:start w:w="110" w:type="dxa"/>
              <w:bottom w:w="60" w:type="dxa"/>
              <w:end w:w="110" w:type="dxa"/>
            </w:tcMar>
          </w:tcPr>
          <w:p>
            <w:pPr>
              <w:spacing w:after="0"/>
            </w:pPr>
            <w:r/>
            <w:r>
              <w:rPr>
                <w:rFonts w:ascii="Calibri" w:hAnsi="Calibri"/>
                <w:b w:val="0"/>
                <w:i w:val="0"/>
                <w:color w:val="101828"/>
                <w:sz w:val="15"/>
              </w:rPr>
              <w:t>The platform must not use verification data for any purpose other than verification, risk screening and legally required record-keeping.</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LEGAL below</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FR-SEC-001</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user must be able to see every active device session and revoke it.</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FR-AUTH-012</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FR-SEC-002</w:t>
            </w:r>
          </w:p>
        </w:tc>
        <w:tc>
          <w:tcPr>
            <w:tcW w:type="dxa" w:w="4824"/>
            <w:tcMar>
              <w:top w:w="60" w:type="dxa"/>
              <w:start w:w="110" w:type="dxa"/>
              <w:bottom w:w="60" w:type="dxa"/>
              <w:end w:w="110" w:type="dxa"/>
            </w:tcMar>
          </w:tcPr>
          <w:p>
            <w:pPr>
              <w:spacing w:after="0"/>
            </w:pPr>
            <w:r/>
            <w:r>
              <w:rPr>
                <w:rFonts w:ascii="Calibri" w:hAnsi="Calibri"/>
                <w:b w:val="0"/>
                <w:i w:val="0"/>
                <w:color w:val="101828"/>
                <w:sz w:val="15"/>
              </w:rPr>
              <w:t xml:space="preserve">A </w:t>
            </w:r>
            <w:r>
              <w:rPr>
                <w:rFonts w:ascii="Consolas" w:hAnsi="Consolas"/>
                <w:color w:val="146EF5"/>
                <w:sz w:val="15"/>
              </w:rPr>
              <w:t>security.login_new_device</w:t>
            </w:r>
            <w:r>
              <w:rPr>
                <w:rFonts w:ascii="Calibri" w:hAnsi="Calibri"/>
                <w:b w:val="0"/>
                <w:i w:val="0"/>
                <w:color w:val="101828"/>
                <w:sz w:val="15"/>
              </w:rPr>
              <w:t xml:space="preserve"> notification must be sent when a session is created from an unrecognised device or location.</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§8</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FR-SEC-003</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user may change their password, which must revoke all other sessions and require re-authentication.</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1.18 (NFR-SEC-005)</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FR-SEC-004</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user may request a self-freeze, which must immediately block money-moving and must be reversible only by support after identity confirmation.</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1.25 R4</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FR-SEC-005</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Account unlock after a security freeze must require verified identity and a support action, never an automated rule alone.</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1.12 (support cannot move money)</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FR-SEC-006</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user may reset a forgotten password via a verified email or phone channel; the reset token must be single-use and expire after 30 minutes.</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FR-AUTH-005</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FR-SEC-007</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All privileged administrative actions must require re-authentication within a short window and must be recorded in the audit log with actor, target, before and after.</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1.18 (NFR-AUD-003)</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FR-SEC-008</w:t>
            </w:r>
          </w:p>
        </w:tc>
        <w:tc>
          <w:tcPr>
            <w:tcW w:type="dxa" w:w="4824"/>
            <w:tcMar>
              <w:top w:w="60" w:type="dxa"/>
              <w:start w:w="110" w:type="dxa"/>
              <w:bottom w:w="60" w:type="dxa"/>
              <w:end w:w="110" w:type="dxa"/>
            </w:tcMar>
          </w:tcPr>
          <w:p>
            <w:pPr>
              <w:spacing w:after="0"/>
            </w:pPr>
            <w:r/>
            <w:r>
              <w:rPr>
                <w:rFonts w:ascii="Calibri" w:hAnsi="Calibri"/>
                <w:b w:val="0"/>
                <w:i w:val="0"/>
                <w:color w:val="101828"/>
                <w:sz w:val="15"/>
              </w:rPr>
              <w:t>The platform must not log or store full payment credentials at any layer. Tokenised provider references are the only permitted representation.</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1.18 (NFR-SEC-007)</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FR-SEC-009</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user may view, acknowledge and download the current terms and privacy notice from within the app.</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Should</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1.16.1</w:t>
            </w:r>
          </w:p>
        </w:tc>
      </w:tr>
    </w:tbl>
    <w:p>
      <w:pPr>
        <w:spacing w:after="80"/>
      </w:pPr>
    </w:p>
    <w:p>
      <w:pPr>
        <w:spacing w:before="140" w:after="180"/>
        <w:ind w:left="144"/>
        <w:shd w:val="clear" w:color="auto" w:fill="FEE2E2"/>
        <w:pBdr>
          <w:left w:val="single" w:sz="18" w:space="6" w:color="DC2626"/>
        </w:pBdr>
      </w:pPr>
      <w:r>
        <w:rPr>
          <w:rFonts w:ascii="Calibri" w:hAnsi="Calibri"/>
          <w:b/>
          <w:color w:val="DC2626"/>
          <w:sz w:val="19"/>
        </w:rPr>
        <w:t xml:space="preserve">Personal data and verification data  </w:t>
      </w:r>
      <w:r>
        <w:rPr>
          <w:rFonts w:ascii="Calibri" w:hAnsi="Calibri"/>
          <w:b w:val="0"/>
          <w:i w:val="0"/>
          <w:color w:val="0B1F3A"/>
          <w:sz w:val="19"/>
        </w:rPr>
        <w:t xml:space="preserve">The data collected, retained and shared under FR-KYC-001 to FR-KYC-007, FR-PROF-005 and FR-PROF-006 must be reviewed by qualified Nigerian counsel against the applicable data protection regime in force at the time of launch. This document does </w:t>
      </w:r>
      <w:r>
        <w:rPr>
          <w:rFonts w:ascii="Calibri" w:hAnsi="Calibri"/>
          <w:b/>
          <w:color w:val="0B1F3A"/>
          <w:sz w:val="19"/>
        </w:rPr>
        <w:t>not</w:t>
      </w:r>
      <w:r>
        <w:rPr>
          <w:rFonts w:ascii="Calibri" w:hAnsi="Calibri"/>
          <w:b w:val="0"/>
          <w:i w:val="0"/>
          <w:color w:val="0B1F3A"/>
          <w:sz w:val="19"/>
        </w:rPr>
        <w:t xml:space="preserve"> assert that AJO.ng's data practices are compliant with any statute, regulator's rules or industry guideline. Specific items requiring review include: the lawful basis for processing identity data, the retention period for financial records after account closure, whether BVN data may lawfully be transmitted to the chosen verification providers, the consent and notice content, and any cross-border transfer of member data to non-Nigerian processors. These must be settled before the first live member.</w:t>
      </w:r>
    </w:p>
    <w:p>
      <w:pPr>
        <w:pStyle w:val="Heading3"/>
      </w:pPr>
      <w:r>
        <w:rPr>
          <w:rFonts w:ascii="Calibri" w:hAnsi="Calibri"/>
          <w:b/>
          <w:i w:val="0"/>
          <w:color w:val="0B1F3A"/>
          <w:sz w:val="24"/>
        </w:rPr>
        <w:t>1.17.2 Ajo lifecycle, invitations and membership</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368"/>
            <w:shd w:val="clear" w:color="auto" w:fill="0B1F3A"/>
            <w:tcMar>
              <w:top w:w="60" w:type="dxa"/>
              <w:start w:w="110" w:type="dxa"/>
              <w:bottom w:w="60" w:type="dxa"/>
              <w:end w:w="110" w:type="dxa"/>
            </w:tcMar>
          </w:tcPr>
          <w:p>
            <w:pPr>
              <w:spacing w:after="0"/>
            </w:pPr>
            <w:r/>
            <w:r>
              <w:rPr>
                <w:rFonts w:ascii="Calibri" w:hAnsi="Calibri"/>
                <w:b/>
                <w:i w:val="0"/>
                <w:color w:val="FFFFFF"/>
                <w:sz w:val="15"/>
              </w:rPr>
              <w:t>ID</w:t>
            </w:r>
          </w:p>
        </w:tc>
        <w:tc>
          <w:tcPr>
            <w:tcW w:type="dxa" w:w="4824"/>
            <w:shd w:val="clear" w:color="auto" w:fill="0B1F3A"/>
            <w:tcMar>
              <w:top w:w="60" w:type="dxa"/>
              <w:start w:w="110" w:type="dxa"/>
              <w:bottom w:w="60" w:type="dxa"/>
              <w:end w:w="110" w:type="dxa"/>
            </w:tcMar>
          </w:tcPr>
          <w:p>
            <w:pPr>
              <w:spacing w:after="0"/>
            </w:pPr>
            <w:r/>
            <w:r>
              <w:rPr>
                <w:rFonts w:ascii="Calibri" w:hAnsi="Calibri"/>
                <w:b/>
                <w:i w:val="0"/>
                <w:color w:val="FFFFFF"/>
                <w:sz w:val="15"/>
              </w:rPr>
              <w:t>Requirement</w:t>
            </w:r>
          </w:p>
        </w:tc>
        <w:tc>
          <w:tcPr>
            <w:tcW w:type="dxa" w:w="864"/>
            <w:shd w:val="clear" w:color="auto" w:fill="0B1F3A"/>
            <w:tcMar>
              <w:top w:w="60" w:type="dxa"/>
              <w:start w:w="110" w:type="dxa"/>
              <w:bottom w:w="60" w:type="dxa"/>
              <w:end w:w="110" w:type="dxa"/>
            </w:tcMar>
          </w:tcPr>
          <w:p>
            <w:pPr>
              <w:spacing w:after="0"/>
            </w:pPr>
            <w:r/>
            <w:r>
              <w:rPr>
                <w:rFonts w:ascii="Calibri" w:hAnsi="Calibri"/>
                <w:b/>
                <w:i w:val="0"/>
                <w:color w:val="FFFFFF"/>
                <w:sz w:val="15"/>
              </w:rPr>
              <w:t>Priority</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5"/>
              </w:rPr>
              <w:t>Section ref</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FR-AJO-001</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registered, email-verified user may create an Ajo via a 7-step wizard and may save a draft and return to it.</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1.16.1, CAN §7</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FR-AJO-002</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Creation must set: Ajo name, contribution amount, contribution frequency, maximum member count, enrollment window, round duration and organizer.</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§3</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FR-AJO-003</w:t>
            </w:r>
          </w:p>
        </w:tc>
        <w:tc>
          <w:tcPr>
            <w:tcW w:type="dxa" w:w="4824"/>
            <w:tcMar>
              <w:top w:w="60" w:type="dxa"/>
              <w:start w:w="110" w:type="dxa"/>
              <w:bottom w:w="60" w:type="dxa"/>
              <w:end w:w="110" w:type="dxa"/>
            </w:tcMar>
          </w:tcPr>
          <w:p>
            <w:pPr>
              <w:spacing w:after="0"/>
            </w:pPr>
            <w:r/>
            <w:r>
              <w:rPr>
                <w:rFonts w:ascii="Calibri" w:hAnsi="Calibri"/>
                <w:b w:val="0"/>
                <w:i w:val="0"/>
                <w:color w:val="101828"/>
                <w:sz w:val="15"/>
              </w:rPr>
              <w:t>The wizard must validate contribution amount and member count against the configured platform limits before submission.</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D-08, FR-DEF-006</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FR-AJO-004</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Before activation the organizer must review and explicitly accept the Ajo terms, including the complete-cycle commitment and the statement that the organizer is not a guarantor.</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BR-004, BR-008</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FR-AJO-005</w:t>
            </w:r>
          </w:p>
        </w:tc>
        <w:tc>
          <w:tcPr>
            <w:tcW w:type="dxa" w:w="4824"/>
            <w:tcMar>
              <w:top w:w="60" w:type="dxa"/>
              <w:start w:w="110" w:type="dxa"/>
              <w:bottom w:w="60" w:type="dxa"/>
              <w:end w:w="110" w:type="dxa"/>
            </w:tcMar>
          </w:tcPr>
          <w:p>
            <w:pPr>
              <w:spacing w:after="0"/>
            </w:pPr>
            <w:r/>
            <w:r>
              <w:rPr>
                <w:rFonts w:ascii="Calibri" w:hAnsi="Calibri"/>
                <w:b w:val="0"/>
                <w:i w:val="0"/>
                <w:color w:val="101828"/>
                <w:sz w:val="15"/>
              </w:rPr>
              <w:t>The 2% fee must be shown in the wizard, in real money terms, with a worked example, before the Ajo can be created.</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BR-011</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FR-AJO-006</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Opening enrollment requires at least 2 positions filled, and contribution and frequency set; otherwise the transition is refused.</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§3</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FR-AJO-007</w:t>
            </w:r>
          </w:p>
        </w:tc>
        <w:tc>
          <w:tcPr>
            <w:tcW w:type="dxa" w:w="4824"/>
            <w:tcMar>
              <w:top w:w="60" w:type="dxa"/>
              <w:start w:w="110" w:type="dxa"/>
              <w:bottom w:w="60" w:type="dxa"/>
              <w:end w:w="110" w:type="dxa"/>
            </w:tcMar>
          </w:tcPr>
          <w:p>
            <w:pPr>
              <w:spacing w:after="0"/>
            </w:pPr>
            <w:r/>
            <w:r>
              <w:rPr>
                <w:rFonts w:ascii="Calibri" w:hAnsi="Calibri"/>
                <w:b w:val="0"/>
                <w:i w:val="0"/>
                <w:color w:val="101828"/>
                <w:sz w:val="15"/>
              </w:rPr>
              <w:t>The enrollment window runs for exactly 5 days from opening, is displayed with an absolute end timestamp, and cannot be extended by the organizer.</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BR-001</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FR-AJO-008</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If every position is not filled when the window closes, the Ajo transitions to CANCELLED and all collected contributions are refunded in full.</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BR-001, D-05</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FR-AJO-009</w:t>
            </w:r>
          </w:p>
        </w:tc>
        <w:tc>
          <w:tcPr>
            <w:tcW w:type="dxa" w:w="4824"/>
            <w:tcMar>
              <w:top w:w="60" w:type="dxa"/>
              <w:start w:w="110" w:type="dxa"/>
              <w:bottom w:w="60" w:type="dxa"/>
              <w:end w:w="110" w:type="dxa"/>
            </w:tcMar>
          </w:tcPr>
          <w:p>
            <w:pPr>
              <w:spacing w:after="0"/>
            </w:pPr>
            <w:r/>
            <w:r>
              <w:rPr>
                <w:rFonts w:ascii="Calibri" w:hAnsi="Calibri"/>
                <w:b w:val="0"/>
                <w:i w:val="0"/>
                <w:color w:val="101828"/>
                <w:sz w:val="15"/>
              </w:rPr>
              <w:t>Activation locks every payout position. No member may change position after activation except by an approved replacement or transfer request.</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BR-002</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FR-AJO-010</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The organizer may propose position order; the proposal is advisory until activation, after which it is fixed.</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§2, §3</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FR-AJO-011</w:t>
            </w:r>
          </w:p>
        </w:tc>
        <w:tc>
          <w:tcPr>
            <w:tcW w:type="dxa" w:w="4824"/>
            <w:tcMar>
              <w:top w:w="60" w:type="dxa"/>
              <w:start w:w="110" w:type="dxa"/>
              <w:bottom w:w="60" w:type="dxa"/>
              <w:end w:w="110" w:type="dxa"/>
            </w:tcMar>
          </w:tcPr>
          <w:p>
            <w:pPr>
              <w:spacing w:after="0"/>
            </w:pPr>
            <w:r/>
            <w:r>
              <w:rPr>
                <w:rFonts w:ascii="Calibri" w:hAnsi="Calibri"/>
                <w:b w:val="0"/>
                <w:i w:val="0"/>
                <w:color w:val="101828"/>
                <w:sz w:val="15"/>
              </w:rPr>
              <w:t>Contribution amount, frequency, member count and position order must be immutable once the Ajo is ACTIVE.</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BR-002, BR-004</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FR-AJO-012</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 xml:space="preserve">The organizer may request that </w:t>
            </w:r>
            <w:r>
              <w:rPr>
                <w:rFonts w:ascii="Consolas" w:hAnsi="Consolas"/>
                <w:color w:val="146EF5"/>
                <w:sz w:val="15"/>
              </w:rPr>
              <w:t>ajo_organizer</w:t>
            </w:r>
            <w:r>
              <w:rPr>
                <w:rFonts w:ascii="Calibri" w:hAnsi="Calibri"/>
                <w:b w:val="0"/>
                <w:i w:val="0"/>
                <w:color w:val="101828"/>
                <w:sz w:val="15"/>
              </w:rPr>
              <w:t xml:space="preserve"> be delegated to another verified member; the delegate must accept, and the grant is recorded and revocable.</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Should</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N12, 1.11.4</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FR-AJO-013</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member or organizer may freeze an Ajo with a recorded reason, and unfreeze returns it to ACTIVE with a full audit record of the interval.</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§3</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FR-AJO-014</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cancellation must record a reason, the acting role, the timestamp, and the disposition of every member balance.</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§3</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FR-AJO-015</w:t>
            </w:r>
          </w:p>
        </w:tc>
        <w:tc>
          <w:tcPr>
            <w:tcW w:type="dxa" w:w="4824"/>
            <w:tcMar>
              <w:top w:w="60" w:type="dxa"/>
              <w:start w:w="110" w:type="dxa"/>
              <w:bottom w:w="60" w:type="dxa"/>
              <w:end w:w="110" w:type="dxa"/>
            </w:tcMar>
          </w:tcPr>
          <w:p>
            <w:pPr>
              <w:spacing w:after="0"/>
            </w:pPr>
            <w:r/>
            <w:r>
              <w:rPr>
                <w:rFonts w:ascii="Calibri" w:hAnsi="Calibri"/>
                <w:b w:val="0"/>
                <w:i w:val="0"/>
                <w:color w:val="101828"/>
                <w:sz w:val="15"/>
              </w:rPr>
              <w:t>An Ajo in COMPLETED or CANCELLED is terminal and must reject all further events, including organizer actions.</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§3, CAN §2</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FR-AJO-016</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The Ajo detail screen must display the current state, the schedule, the current pot position, all members, and the fee disclosure.</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BR-011</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FR-AJO-017</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user must see the Ajo summary: rounds completed, current round, amounts collected against target, next payout date and open defaults or disputes.</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FR-POS-002</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FR-INV-001</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An organizer may issue an invitation to a phone number or email address for a specific Ajo and position.</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1.7.1</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FR-INV-002</w:t>
            </w:r>
          </w:p>
        </w:tc>
        <w:tc>
          <w:tcPr>
            <w:tcW w:type="dxa" w:w="4824"/>
            <w:tcMar>
              <w:top w:w="60" w:type="dxa"/>
              <w:start w:w="110" w:type="dxa"/>
              <w:bottom w:w="60" w:type="dxa"/>
              <w:end w:w="110" w:type="dxa"/>
            </w:tcMar>
          </w:tcPr>
          <w:p>
            <w:pPr>
              <w:spacing w:after="0"/>
            </w:pPr>
            <w:r/>
            <w:r>
              <w:rPr>
                <w:rFonts w:ascii="Calibri" w:hAnsi="Calibri"/>
                <w:b w:val="0"/>
                <w:i w:val="0"/>
                <w:color w:val="101828"/>
                <w:sz w:val="15"/>
              </w:rPr>
              <w:t>An invitation must state the contribution amount, the 2% fee and the total charged, the frequency, the payout order, the 5-day enrollment window and the complete-cycle commitment.</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BR-011, BR-004</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FR-INV-003</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An invitation token must be single-use, time-limited, revocable by the organizer, and must not disclose the Ajo's other members or the pot value.</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1.18 (NFR-SEC-008)</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FR-INV-004</w:t>
            </w:r>
          </w:p>
        </w:tc>
        <w:tc>
          <w:tcPr>
            <w:tcW w:type="dxa" w:w="4824"/>
            <w:tcMar>
              <w:top w:w="60" w:type="dxa"/>
              <w:start w:w="110" w:type="dxa"/>
              <w:bottom w:w="60" w:type="dxa"/>
              <w:end w:w="110" w:type="dxa"/>
            </w:tcMar>
          </w:tcPr>
          <w:p>
            <w:pPr>
              <w:spacing w:after="0"/>
            </w:pPr>
            <w:r/>
            <w:r>
              <w:rPr>
                <w:rFonts w:ascii="Calibri" w:hAnsi="Calibri"/>
                <w:b w:val="0"/>
                <w:i w:val="0"/>
                <w:color w:val="101828"/>
                <w:sz w:val="15"/>
              </w:rPr>
              <w:t>An invitee may accept or decline an invitation, and may do so without an account, being asked to register only at acceptance.</w:t>
            </w:r>
          </w:p>
        </w:tc>
        <w:tc>
          <w:tcPr>
            <w:tcW w:type="dxa" w:w="864"/>
            <w:tcMar>
              <w:top w:w="60" w:type="dxa"/>
              <w:start w:w="110" w:type="dxa"/>
              <w:bottom w:w="60" w:type="dxa"/>
              <w:end w:w="110" w:type="dxa"/>
            </w:tcMar>
          </w:tcPr>
          <w:p>
            <w:pPr>
              <w:spacing w:after="0"/>
            </w:pPr>
            <w:r/>
            <w:r>
              <w:rPr>
                <w:rFonts w:ascii="Calibri" w:hAnsi="Calibri"/>
                <w:b w:val="0"/>
                <w:i w:val="0"/>
                <w:color w:val="101828"/>
                <w:sz w:val="15"/>
              </w:rPr>
              <w:t>Should</w:t>
            </w:r>
          </w:p>
        </w:tc>
        <w:tc>
          <w:tcPr>
            <w:tcW w:type="dxa" w:w="2304"/>
            <w:tcMar>
              <w:top w:w="60" w:type="dxa"/>
              <w:start w:w="110" w:type="dxa"/>
              <w:bottom w:w="60" w:type="dxa"/>
              <w:end w:w="110" w:type="dxa"/>
            </w:tcMar>
          </w:tcPr>
          <w:p>
            <w:pPr>
              <w:spacing w:after="0"/>
            </w:pPr>
            <w:r/>
            <w:r>
              <w:rPr>
                <w:rFonts w:ascii="Calibri" w:hAnsi="Calibri"/>
                <w:b w:val="0"/>
                <w:i w:val="0"/>
                <w:color w:val="101828"/>
                <w:sz w:val="15"/>
              </w:rPr>
              <w:t>1.11.3</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FR-INV-005</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An organizer may resend an invitation, and must be prevented from sending more than a configured number of invitations to one destination in a period.</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FR-DEF-006</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FR-INV-006</w:t>
            </w:r>
          </w:p>
        </w:tc>
        <w:tc>
          <w:tcPr>
            <w:tcW w:type="dxa" w:w="4824"/>
            <w:tcMar>
              <w:top w:w="60" w:type="dxa"/>
              <w:start w:w="110" w:type="dxa"/>
              <w:bottom w:w="60" w:type="dxa"/>
              <w:end w:w="110" w:type="dxa"/>
            </w:tcMar>
          </w:tcPr>
          <w:p>
            <w:pPr>
              <w:spacing w:after="0"/>
            </w:pPr>
            <w:r/>
            <w:r>
              <w:rPr>
                <w:rFonts w:ascii="Calibri" w:hAnsi="Calibri"/>
                <w:b w:val="0"/>
                <w:i w:val="0"/>
                <w:color w:val="101828"/>
                <w:sz w:val="15"/>
              </w:rPr>
              <w:t xml:space="preserve">The recipient of an </w:t>
            </w:r>
            <w:r>
              <w:rPr>
                <w:rFonts w:ascii="Consolas" w:hAnsi="Consolas"/>
                <w:color w:val="146EF5"/>
                <w:sz w:val="15"/>
              </w:rPr>
              <w:t>invitation.received</w:t>
            </w:r>
            <w:r>
              <w:rPr>
                <w:rFonts w:ascii="Calibri" w:hAnsi="Calibri"/>
                <w:b w:val="0"/>
                <w:i w:val="0"/>
                <w:color w:val="101828"/>
                <w:sz w:val="15"/>
              </w:rPr>
              <w:t xml:space="preserve"> notification must be the invitee across push, email and SMS.</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§8</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FR-INV-007</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An expired or revoked invitation must produce a clear, non-technical explanation rather than a generic error.</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Should</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1.16.1</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FR-JOIN-001</w:t>
            </w:r>
          </w:p>
        </w:tc>
        <w:tc>
          <w:tcPr>
            <w:tcW w:type="dxa" w:w="4824"/>
            <w:tcMar>
              <w:top w:w="60" w:type="dxa"/>
              <w:start w:w="110" w:type="dxa"/>
              <w:bottom w:w="60" w:type="dxa"/>
              <w:end w:w="110" w:type="dxa"/>
            </w:tcMar>
          </w:tcPr>
          <w:p>
            <w:pPr>
              <w:spacing w:after="0"/>
            </w:pPr>
            <w:r/>
            <w:r>
              <w:rPr>
                <w:rFonts w:ascii="Calibri" w:hAnsi="Calibri"/>
                <w:b w:val="0"/>
                <w:i w:val="0"/>
                <w:color w:val="101828"/>
                <w:sz w:val="15"/>
              </w:rPr>
              <w:t>An invitee who accepts becomes a member of the Ajo in ENROLLMENT and is assigned a position.</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§3</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FR-JOIN-002</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Before joining, the member must be shown a plain-language summary of the Ajo: who organizes it, size, amount, frequency, total duration, total payable, and what happens on default.</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1.11.6, N15</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FR-JOIN-003</w:t>
            </w:r>
          </w:p>
        </w:tc>
        <w:tc>
          <w:tcPr>
            <w:tcW w:type="dxa" w:w="4824"/>
            <w:tcMar>
              <w:top w:w="60" w:type="dxa"/>
              <w:start w:w="110" w:type="dxa"/>
              <w:bottom w:w="60" w:type="dxa"/>
              <w:end w:w="110" w:type="dxa"/>
            </w:tcMar>
          </w:tcPr>
          <w:p>
            <w:pPr>
              <w:spacing w:after="0"/>
            </w:pPr>
            <w:r/>
            <w:r>
              <w:rPr>
                <w:rFonts w:ascii="Calibri" w:hAnsi="Calibri"/>
                <w:b w:val="0"/>
                <w:i w:val="0"/>
                <w:color w:val="101828"/>
                <w:sz w:val="15"/>
              </w:rPr>
              <w:t>The join confirmation must display the contribution, the 2% fee and the total charged as three separate amounts, and require an explicit acknowledgement.</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BR-011</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FR-JOIN-004</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The member must acknowledge the complete-cycle commitment before the join is recorded.</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BR-005</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FR-JOIN-005</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member may claim an unassigned position, or the organizer may assign one, with the assignment recorded either way.</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FR-AJO-010</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FR-JOIN-006</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join attempt after activation, against a full Ajo, or without a valid invitation must be refused with a specific reason.</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FR-AJO-006</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FR-MEM-001</w:t>
            </w:r>
          </w:p>
        </w:tc>
        <w:tc>
          <w:tcPr>
            <w:tcW w:type="dxa" w:w="4824"/>
            <w:tcMar>
              <w:top w:w="60" w:type="dxa"/>
              <w:start w:w="110" w:type="dxa"/>
              <w:bottom w:w="60" w:type="dxa"/>
              <w:end w:w="110" w:type="dxa"/>
            </w:tcMar>
          </w:tcPr>
          <w:p>
            <w:pPr>
              <w:spacing w:after="0"/>
            </w:pPr>
            <w:r/>
            <w:r>
              <w:rPr>
                <w:rFonts w:ascii="Calibri" w:hAnsi="Calibri"/>
                <w:b w:val="0"/>
                <w:i w:val="0"/>
                <w:color w:val="101828"/>
                <w:sz w:val="15"/>
              </w:rPr>
              <w:t>An organizer may list all members of an Ajo with position, payment state, outstanding balance and contact details.</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1.16.1</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FR-MEM-002</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An organizer may add a member by invitation only; adding without the member's own acceptance is prohibited.</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1.16.1 (private)</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FR-MEM-003</w:t>
            </w:r>
          </w:p>
        </w:tc>
        <w:tc>
          <w:tcPr>
            <w:tcW w:type="dxa" w:w="4824"/>
            <w:tcMar>
              <w:top w:w="60" w:type="dxa"/>
              <w:start w:w="110" w:type="dxa"/>
              <w:bottom w:w="60" w:type="dxa"/>
              <w:end w:w="110" w:type="dxa"/>
            </w:tcMar>
          </w:tcPr>
          <w:p>
            <w:pPr>
              <w:spacing w:after="0"/>
            </w:pPr>
            <w:r/>
            <w:r>
              <w:rPr>
                <w:rFonts w:ascii="Calibri" w:hAnsi="Calibri"/>
                <w:b w:val="0"/>
                <w:i w:val="0"/>
                <w:color w:val="101828"/>
                <w:sz w:val="15"/>
              </w:rPr>
              <w:t xml:space="preserve">An organizer may remove a member </w:t>
            </w:r>
            <w:r>
              <w:rPr>
                <w:rFonts w:ascii="Calibri" w:hAnsi="Calibri"/>
                <w:b/>
                <w:color w:val="101828"/>
                <w:sz w:val="15"/>
              </w:rPr>
              <w:t>only while the Ajo is in DRAFT or ENROLLMENT</w:t>
            </w:r>
            <w:r>
              <w:rPr>
                <w:rFonts w:ascii="Calibri" w:hAnsi="Calibri"/>
                <w:b w:val="0"/>
                <w:i w:val="0"/>
                <w:color w:val="101828"/>
                <w:sz w:val="15"/>
              </w:rPr>
              <w:t>, and the removal must be recorded with a reason.</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§2</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FR-MEM-004</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An organizer may send reminders, individually or to all outstanding members, at configured times, and each reminder must be logged.</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§8, G9</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FR-MEM-005</w:t>
            </w:r>
          </w:p>
        </w:tc>
        <w:tc>
          <w:tcPr>
            <w:tcW w:type="dxa" w:w="4824"/>
            <w:tcMar>
              <w:top w:w="60" w:type="dxa"/>
              <w:start w:w="110" w:type="dxa"/>
              <w:bottom w:w="60" w:type="dxa"/>
              <w:end w:w="110" w:type="dxa"/>
            </w:tcMar>
          </w:tcPr>
          <w:p>
            <w:pPr>
              <w:spacing w:after="0"/>
            </w:pPr>
            <w:r/>
            <w:r>
              <w:rPr>
                <w:rFonts w:ascii="Calibri" w:hAnsi="Calibri"/>
                <w:b w:val="0"/>
                <w:i w:val="0"/>
                <w:color w:val="101828"/>
                <w:sz w:val="15"/>
              </w:rPr>
              <w:t>An organizer may view a member's contribution status but must not see the member's financial summary, other Ajos, or any record outside the Ajo.</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1.12, CAN §2</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FR-MEM-006</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member may request a replacement exit; the request, the reason and the outcome are recorded, and no exit is unilateral after activation.</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BR-003, BR-004</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FR-MEM-007</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replacement candidate, once approved, assumes all remaining obligations and the same position; the ledger records both the outgoing and incoming member.</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BR-003, N13</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FR-MEM-008</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Member and position records must be versioned for optimistic concurrency, and a conflicting update must be rejected rather than merged silently.</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§5</w:t>
            </w:r>
          </w:p>
        </w:tc>
      </w:tr>
    </w:tbl>
    <w:p>
      <w:pPr>
        <w:spacing w:after="80"/>
      </w:pPr>
    </w:p>
    <w:p>
      <w:pPr>
        <w:spacing w:before="140" w:after="180"/>
        <w:ind w:left="144"/>
        <w:shd w:val="clear" w:color="auto" w:fill="E0F2FE"/>
        <w:pBdr>
          <w:left w:val="single" w:sz="18" w:space="6" w:color="22C7D6"/>
        </w:pBdr>
      </w:pPr>
      <w:r>
        <w:rPr>
          <w:rFonts w:ascii="Calibri" w:hAnsi="Calibri"/>
          <w:b/>
          <w:color w:val="22C7D6"/>
          <w:sz w:val="19"/>
        </w:rPr>
        <w:t xml:space="preserve">Open — replacement and removal economics  </w:t>
      </w:r>
      <w:r>
        <w:rPr>
          <w:rFonts w:ascii="Calibri" w:hAnsi="Calibri"/>
          <w:b w:val="0"/>
          <w:i w:val="0"/>
          <w:color w:val="0B1F3A"/>
          <w:sz w:val="19"/>
        </w:rPr>
        <w:t xml:space="preserve">FR-MEM-006 and FR-MEM-007 define the </w:t>
      </w:r>
      <w:r>
        <w:rPr>
          <w:rFonts w:ascii="Calibri" w:hAnsi="Calibri"/>
          <w:i/>
          <w:color w:val="0B1F3A"/>
          <w:sz w:val="19"/>
        </w:rPr>
        <w:t>mechanism</w:t>
      </w:r>
      <w:r>
        <w:rPr>
          <w:rFonts w:ascii="Calibri" w:hAnsi="Calibri"/>
          <w:b w:val="0"/>
          <w:i w:val="0"/>
          <w:color w:val="0B1F3A"/>
          <w:sz w:val="19"/>
        </w:rPr>
        <w:t xml:space="preserve">. Three commercial questions remain open and must be answered by the Founders and reviewed by counsel before launch: (1) whether a replacement candidate pays a premium, and where that premium is recorded; (2) who approves a replacement where the Ajo has no other position holder, given that </w:t>
      </w:r>
      <w:r>
        <w:rPr>
          <w:rFonts w:ascii="Consolas" w:hAnsi="Consolas"/>
          <w:color w:val="146EF5"/>
          <w:sz w:val="19"/>
        </w:rPr>
        <w:t>support</w:t>
      </w:r>
      <w:r>
        <w:rPr>
          <w:rFonts w:ascii="Calibri" w:hAnsi="Calibri"/>
          <w:b w:val="0"/>
          <w:i w:val="0"/>
          <w:color w:val="0B1F3A"/>
          <w:sz w:val="19"/>
        </w:rPr>
        <w:t xml:space="preserve"> cannot move money; (3) what happens to a member who fails to pay and is then replaced mid-cycle. Until these are settled, the replacement flow may be built and tested but must not be enabled in production.</w:t>
      </w:r>
    </w:p>
    <w:p>
      <w:pPr>
        <w:pStyle w:val="Heading3"/>
      </w:pPr>
      <w:r>
        <w:rPr>
          <w:rFonts w:ascii="Calibri" w:hAnsi="Calibri"/>
          <w:b/>
          <w:i w:val="0"/>
          <w:color w:val="0B1F3A"/>
          <w:sz w:val="24"/>
        </w:rPr>
        <w:t>1.17.3 Money: schedules, collection, tracking, payouts, history</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368"/>
            <w:shd w:val="clear" w:color="auto" w:fill="0B1F3A"/>
            <w:tcMar>
              <w:top w:w="60" w:type="dxa"/>
              <w:start w:w="110" w:type="dxa"/>
              <w:bottom w:w="60" w:type="dxa"/>
              <w:end w:w="110" w:type="dxa"/>
            </w:tcMar>
          </w:tcPr>
          <w:p>
            <w:pPr>
              <w:spacing w:after="0"/>
            </w:pPr>
            <w:r/>
            <w:r>
              <w:rPr>
                <w:rFonts w:ascii="Calibri" w:hAnsi="Calibri"/>
                <w:b/>
                <w:i w:val="0"/>
                <w:color w:val="FFFFFF"/>
                <w:sz w:val="15"/>
              </w:rPr>
              <w:t>ID</w:t>
            </w:r>
          </w:p>
        </w:tc>
        <w:tc>
          <w:tcPr>
            <w:tcW w:type="dxa" w:w="4824"/>
            <w:shd w:val="clear" w:color="auto" w:fill="0B1F3A"/>
            <w:tcMar>
              <w:top w:w="60" w:type="dxa"/>
              <w:start w:w="110" w:type="dxa"/>
              <w:bottom w:w="60" w:type="dxa"/>
              <w:end w:w="110" w:type="dxa"/>
            </w:tcMar>
          </w:tcPr>
          <w:p>
            <w:pPr>
              <w:spacing w:after="0"/>
            </w:pPr>
            <w:r/>
            <w:r>
              <w:rPr>
                <w:rFonts w:ascii="Calibri" w:hAnsi="Calibri"/>
                <w:b/>
                <w:i w:val="0"/>
                <w:color w:val="FFFFFF"/>
                <w:sz w:val="15"/>
              </w:rPr>
              <w:t>Requirement</w:t>
            </w:r>
          </w:p>
        </w:tc>
        <w:tc>
          <w:tcPr>
            <w:tcW w:type="dxa" w:w="864"/>
            <w:shd w:val="clear" w:color="auto" w:fill="0B1F3A"/>
            <w:tcMar>
              <w:top w:w="60" w:type="dxa"/>
              <w:start w:w="110" w:type="dxa"/>
              <w:bottom w:w="60" w:type="dxa"/>
              <w:end w:w="110" w:type="dxa"/>
            </w:tcMar>
          </w:tcPr>
          <w:p>
            <w:pPr>
              <w:spacing w:after="0"/>
            </w:pPr>
            <w:r/>
            <w:r>
              <w:rPr>
                <w:rFonts w:ascii="Calibri" w:hAnsi="Calibri"/>
                <w:b/>
                <w:i w:val="0"/>
                <w:color w:val="FFFFFF"/>
                <w:sz w:val="15"/>
              </w:rPr>
              <w:t>Priority</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5"/>
              </w:rPr>
              <w:t>Section ref</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FR-SCH-001</w:t>
            </w:r>
          </w:p>
        </w:tc>
        <w:tc>
          <w:tcPr>
            <w:tcW w:type="dxa" w:w="4824"/>
            <w:tcMar>
              <w:top w:w="60" w:type="dxa"/>
              <w:start w:w="110" w:type="dxa"/>
              <w:bottom w:w="60" w:type="dxa"/>
              <w:end w:w="110" w:type="dxa"/>
            </w:tcMar>
          </w:tcPr>
          <w:p>
            <w:pPr>
              <w:spacing w:after="0"/>
            </w:pPr>
            <w:r/>
            <w:r>
              <w:rPr>
                <w:rFonts w:ascii="Calibri" w:hAnsi="Calibri"/>
                <w:b w:val="0"/>
                <w:i w:val="0"/>
                <w:color w:val="101828"/>
                <w:sz w:val="15"/>
              </w:rPr>
              <w:t>On activation, a contribution schedule must be generated for every round and every member, with due dates derived from the configured frequency.</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§4, CAN §7</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FR-SCH-002</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The schedule must be stored as a derived record and must be re-derivable from the Ajo definition, so a generation failure is recoverable.</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1.18 (NFR-AVL-004)</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FR-SCH-003</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member must see their complete schedule: every round, due date, amount owed, amount paid, fee, state and total remaining.</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N1, PP1</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FR-SCH-004</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The organizer must see the round-level view: who is paid, who is outstanding, and the amount still required to fund the round.</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N2, N7</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FR-SCH-005</w:t>
            </w:r>
          </w:p>
        </w:tc>
        <w:tc>
          <w:tcPr>
            <w:tcW w:type="dxa" w:w="4824"/>
            <w:tcMar>
              <w:top w:w="60" w:type="dxa"/>
              <w:start w:w="110" w:type="dxa"/>
              <w:bottom w:w="60" w:type="dxa"/>
              <w:end w:w="110" w:type="dxa"/>
            </w:tcMar>
          </w:tcPr>
          <w:p>
            <w:pPr>
              <w:spacing w:after="0"/>
            </w:pPr>
            <w:r/>
            <w:r>
              <w:rPr>
                <w:rFonts w:ascii="Calibri" w:hAnsi="Calibri"/>
                <w:b w:val="0"/>
                <w:i w:val="0"/>
                <w:color w:val="101828"/>
                <w:sz w:val="15"/>
              </w:rPr>
              <w:t>The schedule must display the total the member will pay across the whole Ajo, fee included, at join time and thereafter.</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1.9.2</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FR-SCH-006</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Schedule dates must be stored as timestamps in a single canonical time zone and rendered in the user's configured zone.</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1.18 (NFR-LOC-003)</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FR-PAY-001</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member may initiate payment of a due contribution from the schedule or the contribution screen, in whole or in part where partial payment is enabled.</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1.16.1</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FR-PAY-002</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The amount charged must be the contribution plus the 2% fee, itemised before confirmation, and must be final at the moment of initiation.</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BR-011, BR-012</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FR-PAY-003</w:t>
            </w:r>
          </w:p>
        </w:tc>
        <w:tc>
          <w:tcPr>
            <w:tcW w:type="dxa" w:w="4824"/>
            <w:tcMar>
              <w:top w:w="60" w:type="dxa"/>
              <w:start w:w="110" w:type="dxa"/>
              <w:bottom w:w="60" w:type="dxa"/>
              <w:end w:w="110" w:type="dxa"/>
            </w:tcMar>
          </w:tcPr>
          <w:p>
            <w:pPr>
              <w:spacing w:after="0"/>
            </w:pPr>
            <w:r/>
            <w:r>
              <w:rPr>
                <w:rFonts w:ascii="Calibri" w:hAnsi="Calibri"/>
                <w:b w:val="0"/>
                <w:i w:val="0"/>
                <w:color w:val="101828"/>
                <w:sz w:val="15"/>
              </w:rPr>
              <w:t>Payment must be collected by the payment provider into the approved financial arrangement, never into an organizer's personal account.</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1.7.2, D-02</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FR-PAY-004</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 xml:space="preserve">Every money-moving POST must require an </w:t>
            </w:r>
            <w:r>
              <w:rPr>
                <w:rFonts w:ascii="Consolas" w:hAnsi="Consolas"/>
                <w:color w:val="146EF5"/>
                <w:sz w:val="15"/>
              </w:rPr>
              <w:t>Idempotency-Key</w:t>
            </w:r>
            <w:r>
              <w:rPr>
                <w:rFonts w:ascii="Calibri" w:hAnsi="Calibri"/>
                <w:b w:val="0"/>
                <w:i w:val="0"/>
                <w:color w:val="101828"/>
                <w:sz w:val="15"/>
              </w:rPr>
              <w:t xml:space="preserve"> header; a repeated key must return the original result and must not move money twice.</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§6</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FR-PAY-005</w:t>
            </w:r>
          </w:p>
        </w:tc>
        <w:tc>
          <w:tcPr>
            <w:tcW w:type="dxa" w:w="4824"/>
            <w:tcMar>
              <w:top w:w="60" w:type="dxa"/>
              <w:start w:w="110" w:type="dxa"/>
              <w:bottom w:w="60" w:type="dxa"/>
              <w:end w:w="110" w:type="dxa"/>
            </w:tcMar>
          </w:tcPr>
          <w:p>
            <w:pPr>
              <w:spacing w:after="0"/>
            </w:pPr>
            <w:r/>
            <w:r>
              <w:rPr>
                <w:rFonts w:ascii="Calibri" w:hAnsi="Calibri"/>
                <w:b w:val="0"/>
                <w:i w:val="0"/>
                <w:color w:val="101828"/>
                <w:sz w:val="15"/>
              </w:rPr>
              <w:t>The platform must reconcile a payment by provider webhook, signature-verified, and must not credit a contribution on the strength of a client-side success message alone.</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1.7.1, NFR-SEC-009</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FR-PAY-006</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The payment state machine must be INITIATED to PENDING to SUCCESS or FAILED, with CANCELLED, REVERSED and UNKNOWN states supported and UNKNOWN treated as not-yet-settled.</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§4</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FR-PAY-007</w:t>
            </w:r>
          </w:p>
        </w:tc>
        <w:tc>
          <w:tcPr>
            <w:tcW w:type="dxa" w:w="4824"/>
            <w:tcMar>
              <w:top w:w="60" w:type="dxa"/>
              <w:start w:w="110" w:type="dxa"/>
              <w:bottom w:w="60" w:type="dxa"/>
              <w:end w:w="110" w:type="dxa"/>
            </w:tcMar>
          </w:tcPr>
          <w:p>
            <w:pPr>
              <w:spacing w:after="0"/>
            </w:pPr>
            <w:r/>
            <w:r>
              <w:rPr>
                <w:rFonts w:ascii="Calibri" w:hAnsi="Calibri"/>
                <w:b w:val="0"/>
                <w:i w:val="0"/>
                <w:color w:val="101828"/>
                <w:sz w:val="15"/>
              </w:rPr>
              <w:t>Every successful payment must produce a retrievable receipt showing contribution, fee, total charged, provider reference and timestamp as separate lines.</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N4, BR-011</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FR-PAY-008</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failed payment must be retryable by the member without a new obligation being created, and a reversal must post a reversing entry rather than a mutation.</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FR-DEF-003, BR-024</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FR-PAY-009</w:t>
            </w:r>
          </w:p>
        </w:tc>
        <w:tc>
          <w:tcPr>
            <w:tcW w:type="dxa" w:w="4824"/>
            <w:tcMar>
              <w:top w:w="60" w:type="dxa"/>
              <w:start w:w="110" w:type="dxa"/>
              <w:bottom w:w="60" w:type="dxa"/>
              <w:end w:w="110" w:type="dxa"/>
            </w:tcMar>
          </w:tcPr>
          <w:p>
            <w:pPr>
              <w:spacing w:after="0"/>
            </w:pPr>
            <w:r/>
            <w:r>
              <w:rPr>
                <w:rFonts w:ascii="Calibri" w:hAnsi="Calibri"/>
                <w:b w:val="0"/>
                <w:i w:val="0"/>
                <w:color w:val="101828"/>
                <w:sz w:val="15"/>
              </w:rPr>
              <w:t>The platform must reconcile provider settlements against the ledger on a scheduled run, and must raise a risk event on any unmatched item.</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1.18 (NFR-AUD-005)</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FR-CON-001</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member must see their own contribution state for every round: PENDING, PAID, OVERDUE, GRACE, DEFAULTED, RECOVERED or WRITTEN_OFF.</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§4</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FR-CON-002</w:t>
            </w:r>
          </w:p>
        </w:tc>
        <w:tc>
          <w:tcPr>
            <w:tcW w:type="dxa" w:w="4824"/>
            <w:tcMar>
              <w:top w:w="60" w:type="dxa"/>
              <w:start w:w="110" w:type="dxa"/>
              <w:bottom w:w="60" w:type="dxa"/>
              <w:end w:w="110" w:type="dxa"/>
            </w:tcMar>
          </w:tcPr>
          <w:p>
            <w:pPr>
              <w:spacing w:after="0"/>
            </w:pPr>
            <w:r/>
            <w:r>
              <w:rPr>
                <w:rFonts w:ascii="Calibri" w:hAnsi="Calibri"/>
                <w:b w:val="0"/>
                <w:i w:val="0"/>
                <w:color w:val="101828"/>
                <w:sz w:val="15"/>
              </w:rPr>
              <w:t>An organizer must see the contribution state of every member in their Ajo, and no member may see another member's state outside their own.</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§2</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FR-CON-003</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Outstanding balance must be computed from the ledger, never from a denormalised counter, and the two must be reconciled daily.</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G6, NFR-AUD-005</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FR-CON-004</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contribution must move to OVERDUE automatically at its due time without any human action.</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§4</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FR-CON-005</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contribution must move to GRACE on entering OVERDUE and must issue the documented reminder sequence before any default is recorded.</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BR-016</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FR-CON-006</w:t>
            </w:r>
          </w:p>
        </w:tc>
        <w:tc>
          <w:tcPr>
            <w:tcW w:type="dxa" w:w="4824"/>
            <w:tcMar>
              <w:top w:w="60" w:type="dxa"/>
              <w:start w:w="110" w:type="dxa"/>
              <w:bottom w:w="60" w:type="dxa"/>
              <w:end w:w="110" w:type="dxa"/>
            </w:tcMar>
          </w:tcPr>
          <w:p>
            <w:pPr>
              <w:spacing w:after="0"/>
            </w:pPr>
            <w:r/>
            <w:r>
              <w:rPr>
                <w:rFonts w:ascii="Calibri" w:hAnsi="Calibri"/>
                <w:b w:val="0"/>
                <w:i w:val="0"/>
                <w:color w:val="101828"/>
                <w:sz w:val="15"/>
              </w:rPr>
              <w:t>The platform must never automatically increase another member's obligation when one member defaults.</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BR-015</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FR-CON-007</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Every state transition on a contribution must be written to the audit trail with actor, timestamp, prior state and new state.</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1.18 (NFR-AUD-001)</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FR-POS-001</w:t>
            </w:r>
          </w:p>
        </w:tc>
        <w:tc>
          <w:tcPr>
            <w:tcW w:type="dxa" w:w="4824"/>
            <w:tcMar>
              <w:top w:w="60" w:type="dxa"/>
              <w:start w:w="110" w:type="dxa"/>
              <w:bottom w:w="60" w:type="dxa"/>
              <w:end w:w="110" w:type="dxa"/>
            </w:tcMar>
          </w:tcPr>
          <w:p>
            <w:pPr>
              <w:spacing w:after="0"/>
            </w:pPr>
            <w:r/>
            <w:r>
              <w:rPr>
                <w:rFonts w:ascii="Calibri" w:hAnsi="Calibri"/>
                <w:b w:val="0"/>
                <w:i w:val="0"/>
                <w:color w:val="101828"/>
                <w:sz w:val="15"/>
              </w:rPr>
              <w:t>At the start of each round, the platform must compute the scheduled recipient and the required funding target as base pool, and must display both.</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1.7.1</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FR-POS-002</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The Ajo summary must show the current pot position: collected, required, remaining, and the percentage funded.</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N2, FR-AJO-017</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FR-POS-003</w:t>
            </w:r>
          </w:p>
        </w:tc>
        <w:tc>
          <w:tcPr>
            <w:tcW w:type="dxa" w:w="4824"/>
            <w:tcMar>
              <w:top w:w="60" w:type="dxa"/>
              <w:start w:w="110" w:type="dxa"/>
              <w:bottom w:w="60" w:type="dxa"/>
              <w:end w:w="110" w:type="dxa"/>
            </w:tcMar>
          </w:tcPr>
          <w:p>
            <w:pPr>
              <w:spacing w:after="0"/>
            </w:pPr>
            <w:r/>
            <w:r>
              <w:rPr>
                <w:rFonts w:ascii="Calibri" w:hAnsi="Calibri"/>
                <w:b w:val="0"/>
                <w:i w:val="0"/>
                <w:color w:val="101828"/>
                <w:sz w:val="15"/>
              </w:rPr>
              <w:t xml:space="preserve">The recipient must receive a </w:t>
            </w:r>
            <w:r>
              <w:rPr>
                <w:rFonts w:ascii="Consolas" w:hAnsi="Consolas"/>
                <w:color w:val="146EF5"/>
                <w:sz w:val="15"/>
              </w:rPr>
              <w:t>payout.upcoming</w:t>
            </w:r>
            <w:r>
              <w:rPr>
                <w:rFonts w:ascii="Calibri" w:hAnsi="Calibri"/>
                <w:b w:val="0"/>
                <w:i w:val="0"/>
                <w:color w:val="101828"/>
                <w:sz w:val="15"/>
              </w:rPr>
              <w:t xml:space="preserve"> notification 24 hours before the scheduled payout date.</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§8</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FR-POS-004</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payout must be SCHEDULED, FUNDING, RELEASED, then SUCCESS or FAILED, with a HELD state reachable at any pre-settlement point.</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§4</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FR-POS-005</w:t>
            </w:r>
          </w:p>
        </w:tc>
        <w:tc>
          <w:tcPr>
            <w:tcW w:type="dxa" w:w="4824"/>
            <w:tcMar>
              <w:top w:w="60" w:type="dxa"/>
              <w:start w:w="110" w:type="dxa"/>
              <w:bottom w:w="60" w:type="dxa"/>
              <w:end w:w="110" w:type="dxa"/>
            </w:tcMar>
          </w:tcPr>
          <w:p>
            <w:pPr>
              <w:spacing w:after="0"/>
            </w:pPr>
            <w:r/>
            <w:r>
              <w:rPr>
                <w:rFonts w:ascii="Calibri" w:hAnsi="Calibri"/>
                <w:b w:val="0"/>
                <w:i w:val="0"/>
                <w:color w:val="101828"/>
                <w:sz w:val="15"/>
              </w:rPr>
              <w:t>The scheduled payout date must be derived from the frequency and the Ajo start date, and must be visible to every member at join time.</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FR-SCH-005</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FR-POUT-001</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payout must be released only when the full round funds are collected and available under the approved financial arrangement.</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BR-018</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FR-POUT-002</w:t>
            </w:r>
          </w:p>
        </w:tc>
        <w:tc>
          <w:tcPr>
            <w:tcW w:type="dxa" w:w="4824"/>
            <w:tcMar>
              <w:top w:w="60" w:type="dxa"/>
              <w:start w:w="110" w:type="dxa"/>
              <w:bottom w:w="60" w:type="dxa"/>
              <w:end w:w="110" w:type="dxa"/>
            </w:tcMar>
          </w:tcPr>
          <w:p>
            <w:pPr>
              <w:spacing w:after="0"/>
            </w:pPr>
            <w:r/>
            <w:r>
              <w:rPr>
                <w:rFonts w:ascii="Calibri" w:hAnsi="Calibri"/>
                <w:b w:val="0"/>
                <w:i w:val="0"/>
                <w:color w:val="101828"/>
                <w:sz w:val="15"/>
              </w:rPr>
              <w:t>If the required funds are not available, the payout must move to HELD. The platform must not reduce the payout and must not use corporate funds.</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BR-018, G4</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FR-POUT-003</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The payout amount must equal the base pool exactly. The platform fee must never be deducted from it under any circumstance.</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BR-012</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FR-POUT-004</w:t>
            </w:r>
          </w:p>
        </w:tc>
        <w:tc>
          <w:tcPr>
            <w:tcW w:type="dxa" w:w="4824"/>
            <w:tcMar>
              <w:top w:w="60" w:type="dxa"/>
              <w:start w:w="110" w:type="dxa"/>
              <w:bottom w:w="60" w:type="dxa"/>
              <w:end w:w="110" w:type="dxa"/>
            </w:tcMar>
          </w:tcPr>
          <w:p>
            <w:pPr>
              <w:spacing w:after="0"/>
            </w:pPr>
            <w:r/>
            <w:r>
              <w:rPr>
                <w:rFonts w:ascii="Calibri" w:hAnsi="Calibri"/>
                <w:b w:val="0"/>
                <w:i w:val="0"/>
                <w:color w:val="101828"/>
                <w:sz w:val="15"/>
              </w:rPr>
              <w:t>Only the recipient may nominate a payout destination, and the destination must be verified and in the recipient's own name.</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1.18 (NFR-SEC-010)</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FR-POUT-005</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An organizer may request release of a payout but may not release, control, modify or cancel it.</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§2</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FR-POUT-006</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released payout must post the ledger recognition sequence in the mandatory order, and any transaction that does not balance must be rejected.</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§4, BR-020</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FR-POUT-007</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failed payout must be retried by the platform automatically a bounded number of times before requiring member action, and every attempt must be recorded.</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§4</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FR-POUT-008</w:t>
            </w:r>
          </w:p>
        </w:tc>
        <w:tc>
          <w:tcPr>
            <w:tcW w:type="dxa" w:w="4824"/>
            <w:tcMar>
              <w:top w:w="60" w:type="dxa"/>
              <w:start w:w="110" w:type="dxa"/>
              <w:bottom w:w="60" w:type="dxa"/>
              <w:end w:w="110" w:type="dxa"/>
            </w:tcMar>
          </w:tcPr>
          <w:p>
            <w:pPr>
              <w:spacing w:after="0"/>
            </w:pPr>
            <w:r/>
            <w:r>
              <w:rPr>
                <w:rFonts w:ascii="Calibri" w:hAnsi="Calibri"/>
                <w:b w:val="0"/>
                <w:i w:val="0"/>
                <w:color w:val="101828"/>
                <w:sz w:val="15"/>
              </w:rPr>
              <w:t>The recipient must receive a receipt for the payout showing the base pool, the fee retained separately, and the provider reference.</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1.9.2, N4</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FR-TXN-001</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user must see a complete, filterable, member-scoped transaction history across all their Ajos, showing both contributions and payouts.</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FR-PROF-003</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FR-TXN-002</w:t>
            </w:r>
          </w:p>
        </w:tc>
        <w:tc>
          <w:tcPr>
            <w:tcW w:type="dxa" w:w="4824"/>
            <w:tcMar>
              <w:top w:w="60" w:type="dxa"/>
              <w:start w:w="110" w:type="dxa"/>
              <w:bottom w:w="60" w:type="dxa"/>
              <w:end w:w="110" w:type="dxa"/>
            </w:tcMar>
          </w:tcPr>
          <w:p>
            <w:pPr>
              <w:spacing w:after="0"/>
            </w:pPr>
            <w:r/>
            <w:r>
              <w:rPr>
                <w:rFonts w:ascii="Calibri" w:hAnsi="Calibri"/>
                <w:b w:val="0"/>
                <w:i w:val="0"/>
                <w:color w:val="101828"/>
                <w:sz w:val="15"/>
              </w:rPr>
              <w:t>The financial summary must be derivable entirely from the transaction history, with no separate balance store.</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G6</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FR-TXN-003</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user must be able to generate and download a statement for any completed or in-progress Ajo, itemised by round.</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N11, 1.11.2</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FR-TXN-004</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completed Ajo must remain fully readable and its statements must remain downloadable for the whole retention period.</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1.11.4, LEGAL below</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FR-TXN-005</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All list endpoints must use cursor pagination with a bounded limit, and must be stable under concurrent insertion.</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§6</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FR-TXN-006</w:t>
            </w:r>
          </w:p>
        </w:tc>
        <w:tc>
          <w:tcPr>
            <w:tcW w:type="dxa" w:w="4824"/>
            <w:tcMar>
              <w:top w:w="60" w:type="dxa"/>
              <w:start w:w="110" w:type="dxa"/>
              <w:bottom w:w="60" w:type="dxa"/>
              <w:end w:w="110" w:type="dxa"/>
            </w:tcMar>
          </w:tcPr>
          <w:p>
            <w:pPr>
              <w:spacing w:after="0"/>
            </w:pPr>
            <w:r/>
            <w:r>
              <w:rPr>
                <w:rFonts w:ascii="Calibri" w:hAnsi="Calibri"/>
                <w:b w:val="0"/>
                <w:i w:val="0"/>
                <w:color w:val="101828"/>
                <w:sz w:val="15"/>
              </w:rPr>
              <w:t xml:space="preserve">Every response must echo an </w:t>
            </w:r>
            <w:r>
              <w:rPr>
                <w:rFonts w:ascii="Consolas" w:hAnsi="Consolas"/>
                <w:color w:val="146EF5"/>
                <w:sz w:val="15"/>
              </w:rPr>
              <w:t>X-Request-Id</w:t>
            </w:r>
            <w:r>
              <w:rPr>
                <w:rFonts w:ascii="Calibri" w:hAnsi="Calibri"/>
                <w:b w:val="0"/>
                <w:i w:val="0"/>
                <w:color w:val="101828"/>
                <w:sz w:val="15"/>
              </w:rPr>
              <w:t xml:space="preserve"> and every error must be RFC-7807 shaped with a stable, documented error code.</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§6</w:t>
            </w:r>
          </w:p>
        </w:tc>
      </w:tr>
    </w:tbl>
    <w:p>
      <w:pPr>
        <w:spacing w:after="80"/>
      </w:pPr>
    </w:p>
    <w:p>
      <w:pPr>
        <w:spacing w:before="140" w:after="180"/>
        <w:ind w:left="144"/>
        <w:shd w:val="clear" w:color="auto" w:fill="FEE2E2"/>
        <w:pBdr>
          <w:left w:val="single" w:sz="18" w:space="6" w:color="DC2626"/>
        </w:pBdr>
      </w:pPr>
      <w:r>
        <w:rPr>
          <w:rFonts w:ascii="Calibri" w:hAnsi="Calibri"/>
          <w:b/>
          <w:color w:val="DC2626"/>
          <w:sz w:val="19"/>
        </w:rPr>
        <w:t xml:space="preserve">Financial record retention  </w:t>
      </w:r>
      <w:r>
        <w:rPr>
          <w:rFonts w:ascii="Calibri" w:hAnsi="Calibri"/>
          <w:b w:val="0"/>
          <w:i w:val="0"/>
          <w:color w:val="0B1F3A"/>
          <w:sz w:val="19"/>
        </w:rPr>
        <w:t>The retention period asserted in FR-TXN-004 is a placeholder pending advice. The applicable period for financial records, identity verification records and communications in Nigeria must be confirmed by qualified Nigerian counsel, and the interaction between that period, the data protection position and the deletion right in FR-PROF-006 must be settled before launch. This document does not state what that period is.</w:t>
      </w:r>
    </w:p>
    <w:p>
      <w:pPr>
        <w:pStyle w:val="Heading3"/>
      </w:pPr>
      <w:r>
        <w:rPr>
          <w:rFonts w:ascii="Calibri" w:hAnsi="Calibri"/>
          <w:b/>
          <w:i w:val="0"/>
          <w:color w:val="0B1F3A"/>
          <w:sz w:val="24"/>
        </w:rPr>
        <w:t>1.17.4 Notifications, disputes and defaults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368"/>
            <w:shd w:val="clear" w:color="auto" w:fill="0B1F3A"/>
            <w:tcMar>
              <w:top w:w="60" w:type="dxa"/>
              <w:start w:w="110" w:type="dxa"/>
              <w:bottom w:w="60" w:type="dxa"/>
              <w:end w:w="110" w:type="dxa"/>
            </w:tcMar>
          </w:tcPr>
          <w:p>
            <w:pPr>
              <w:spacing w:after="0"/>
            </w:pPr>
            <w:r/>
            <w:r>
              <w:rPr>
                <w:rFonts w:ascii="Calibri" w:hAnsi="Calibri"/>
                <w:b/>
                <w:i w:val="0"/>
                <w:color w:val="FFFFFF"/>
                <w:sz w:val="15"/>
              </w:rPr>
              <w:t>ID</w:t>
            </w:r>
          </w:p>
        </w:tc>
        <w:tc>
          <w:tcPr>
            <w:tcW w:type="dxa" w:w="4824"/>
            <w:shd w:val="clear" w:color="auto" w:fill="0B1F3A"/>
            <w:tcMar>
              <w:top w:w="60" w:type="dxa"/>
              <w:start w:w="110" w:type="dxa"/>
              <w:bottom w:w="60" w:type="dxa"/>
              <w:end w:w="110" w:type="dxa"/>
            </w:tcMar>
          </w:tcPr>
          <w:p>
            <w:pPr>
              <w:spacing w:after="0"/>
            </w:pPr>
            <w:r/>
            <w:r>
              <w:rPr>
                <w:rFonts w:ascii="Calibri" w:hAnsi="Calibri"/>
                <w:b/>
                <w:i w:val="0"/>
                <w:color w:val="FFFFFF"/>
                <w:sz w:val="15"/>
              </w:rPr>
              <w:t>Requirement</w:t>
            </w:r>
          </w:p>
        </w:tc>
        <w:tc>
          <w:tcPr>
            <w:tcW w:type="dxa" w:w="864"/>
            <w:shd w:val="clear" w:color="auto" w:fill="0B1F3A"/>
            <w:tcMar>
              <w:top w:w="60" w:type="dxa"/>
              <w:start w:w="110" w:type="dxa"/>
              <w:bottom w:w="60" w:type="dxa"/>
              <w:end w:w="110" w:type="dxa"/>
            </w:tcMar>
          </w:tcPr>
          <w:p>
            <w:pPr>
              <w:spacing w:after="0"/>
            </w:pPr>
            <w:r/>
            <w:r>
              <w:rPr>
                <w:rFonts w:ascii="Calibri" w:hAnsi="Calibri"/>
                <w:b/>
                <w:i w:val="0"/>
                <w:color w:val="FFFFFF"/>
                <w:sz w:val="15"/>
              </w:rPr>
              <w:t>Priority</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5"/>
              </w:rPr>
              <w:t>Section ref</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FR-NOTIF-001</w:t>
            </w:r>
          </w:p>
        </w:tc>
        <w:tc>
          <w:tcPr>
            <w:tcW w:type="dxa" w:w="4824"/>
            <w:tcMar>
              <w:top w:w="60" w:type="dxa"/>
              <w:start w:w="110" w:type="dxa"/>
              <w:bottom w:w="60" w:type="dxa"/>
              <w:end w:w="110" w:type="dxa"/>
            </w:tcMar>
          </w:tcPr>
          <w:p>
            <w:pPr>
              <w:spacing w:after="0"/>
            </w:pPr>
            <w:r/>
            <w:r>
              <w:rPr>
                <w:rFonts w:ascii="Calibri" w:hAnsi="Calibri"/>
                <w:b w:val="0"/>
                <w:i w:val="0"/>
                <w:color w:val="101828"/>
                <w:sz w:val="15"/>
              </w:rPr>
              <w:t>The platform must implement exactly the notification catalogue in section 8 of CANONICAL.md, with the stated recipients, channels and timings.</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§8</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FR-NOTIF-002</w:t>
            </w:r>
          </w:p>
        </w:tc>
        <w:tc>
          <w:tcPr>
            <w:tcW w:type="dxa" w:w="4824"/>
            <w:tcMar>
              <w:top w:w="60" w:type="dxa"/>
              <w:start w:w="110" w:type="dxa"/>
              <w:bottom w:w="60" w:type="dxa"/>
              <w:end w:w="110" w:type="dxa"/>
            </w:tcMar>
            <w:shd w:val="clear" w:color="auto" w:fill="F4F7FB"/>
          </w:tcPr>
          <w:p>
            <w:pPr>
              <w:spacing w:after="0"/>
            </w:pPr>
            <w:r/>
            <w:r>
              <w:rPr>
                <w:rFonts w:ascii="Consolas" w:hAnsi="Consolas"/>
                <w:color w:val="146EF5"/>
                <w:sz w:val="15"/>
              </w:rPr>
              <w:t>contribution.due</w:t>
            </w:r>
            <w:r>
              <w:rPr>
                <w:rFonts w:ascii="Calibri" w:hAnsi="Calibri"/>
                <w:b w:val="0"/>
                <w:i w:val="0"/>
                <w:color w:val="101828"/>
                <w:sz w:val="15"/>
              </w:rPr>
              <w:t xml:space="preserve"> must be delivered at T-24h and T-2h before the due time to the member.</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§8</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FR-NOTIF-003</w:t>
            </w:r>
          </w:p>
        </w:tc>
        <w:tc>
          <w:tcPr>
            <w:tcW w:type="dxa" w:w="4824"/>
            <w:tcMar>
              <w:top w:w="60" w:type="dxa"/>
              <w:start w:w="110" w:type="dxa"/>
              <w:bottom w:w="60" w:type="dxa"/>
              <w:end w:w="110" w:type="dxa"/>
            </w:tcMar>
          </w:tcPr>
          <w:p>
            <w:pPr>
              <w:spacing w:after="0"/>
            </w:pPr>
            <w:r/>
            <w:r>
              <w:rPr>
                <w:rFonts w:ascii="Calibri" w:hAnsi="Calibri"/>
                <w:b w:val="0"/>
                <w:i w:val="0"/>
                <w:color w:val="101828"/>
                <w:sz w:val="15"/>
              </w:rPr>
              <w:t>SMS must be reserved for money-critical and security events. Every other event must default to push and email only.</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§8, 1.11.6</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FR-NOTIF-004</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Notifications must be idempotent per event instance; a retried delivery must not produce a second message.</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FR-PAY-004</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FR-NOTIF-005</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user may read, mark read, and mark all read, and must see an unread count per Ajo.</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§6</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FR-NOTIF-006</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Users may opt out of push and email by category, but a money-critical and security minimum may not be disabled.</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FR-PROF-004, G5</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FR-NOTIF-007</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defaulting member must never be named or identified in any notification, message or feed visible to other members.</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BR-014</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FR-DISP-001</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member may raise a dispute against an Ajo, scoped to a specific round or contribution, with a category and a description.</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§6</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FR-DISP-002</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dispute must create a structured evidence thread to which the counterparty, the organizer and support may attach documents and messages.</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N8</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FR-DISP-003</w:t>
            </w:r>
          </w:p>
        </w:tc>
        <w:tc>
          <w:tcPr>
            <w:tcW w:type="dxa" w:w="4824"/>
            <w:tcMar>
              <w:top w:w="60" w:type="dxa"/>
              <w:start w:w="110" w:type="dxa"/>
              <w:bottom w:w="60" w:type="dxa"/>
              <w:end w:w="110" w:type="dxa"/>
            </w:tcMar>
            <w:shd w:val="clear" w:color="auto" w:fill="F4F7FB"/>
          </w:tcPr>
          <w:p>
            <w:pPr>
              <w:spacing w:after="0"/>
            </w:pPr>
            <w:r/>
            <w:r>
              <w:rPr>
                <w:rFonts w:ascii="Consolas" w:hAnsi="Consolas"/>
                <w:color w:val="146EF5"/>
                <w:sz w:val="15"/>
              </w:rPr>
              <w:t>support</w:t>
            </w:r>
            <w:r>
              <w:rPr>
                <w:rFonts w:ascii="Calibri" w:hAnsi="Calibri"/>
                <w:b w:val="0"/>
                <w:i w:val="0"/>
                <w:color w:val="101828"/>
                <w:sz w:val="15"/>
              </w:rPr>
              <w:t xml:space="preserve"> may read all disputes, contact parties, assist and propose a resolution, but may not move money or alter financial records.</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§2</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FR-DISP-004</w:t>
            </w:r>
          </w:p>
        </w:tc>
        <w:tc>
          <w:tcPr>
            <w:tcW w:type="dxa" w:w="4824"/>
            <w:tcMar>
              <w:top w:w="60" w:type="dxa"/>
              <w:start w:w="110" w:type="dxa"/>
              <w:bottom w:w="60" w:type="dxa"/>
              <w:end w:w="110" w:type="dxa"/>
            </w:tcMar>
          </w:tcPr>
          <w:p>
            <w:pPr>
              <w:spacing w:after="0"/>
            </w:pPr>
            <w:r/>
            <w:r>
              <w:rPr>
                <w:rFonts w:ascii="Calibri" w:hAnsi="Calibri"/>
                <w:b w:val="0"/>
                <w:i w:val="0"/>
                <w:color w:val="101828"/>
                <w:sz w:val="15"/>
              </w:rPr>
              <w:t>Every dispute action must be timestamped and attributed, and the full thread must be exportable.</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1.18 (NFR-AUD-001)</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FR-DISP-005</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Resolution outcomes must be recorded with the reason, the evidence relied on and the role that decided; the deciding role is recorded permanently.</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1.25 R1</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FR-DISP-006</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member must be notified of a dispute opened against them and of every resolution, across push and email.</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§8</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FR-DISP-007</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Disputes must not block a member's unrelated contributions or notifications, and must not freeze a payout without a recorded risk reason.</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Should</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BR-018</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FR-DEF-001</w:t>
            </w:r>
          </w:p>
        </w:tc>
        <w:tc>
          <w:tcPr>
            <w:tcW w:type="dxa" w:w="4824"/>
            <w:tcMar>
              <w:top w:w="60" w:type="dxa"/>
              <w:start w:w="110" w:type="dxa"/>
              <w:bottom w:w="60" w:type="dxa"/>
              <w:end w:w="110" w:type="dxa"/>
            </w:tcMar>
          </w:tcPr>
          <w:p>
            <w:pPr>
              <w:spacing w:after="0"/>
            </w:pPr>
            <w:r/>
            <w:r>
              <w:rPr>
                <w:rFonts w:ascii="Calibri" w:hAnsi="Calibri"/>
                <w:b w:val="0"/>
                <w:i w:val="0"/>
                <w:color w:val="101828"/>
                <w:sz w:val="15"/>
              </w:rPr>
              <w:t>On OVERDUE the platform must issue the documented sequence: reminder, retry if supported, 48-hour grace, organizer notification.</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§4, BR-016</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FR-DEF-002</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member must be able to see, before a due date, what will happen if they cannot pay: the states, the grace window and the consequences.</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N9, PP5</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FR-DEF-003</w:t>
            </w:r>
          </w:p>
        </w:tc>
        <w:tc>
          <w:tcPr>
            <w:tcW w:type="dxa" w:w="4824"/>
            <w:tcMar>
              <w:top w:w="60" w:type="dxa"/>
              <w:start w:w="110" w:type="dxa"/>
              <w:bottom w:w="60" w:type="dxa"/>
              <w:end w:w="110" w:type="dxa"/>
            </w:tcMar>
          </w:tcPr>
          <w:p>
            <w:pPr>
              <w:spacing w:after="0"/>
            </w:pPr>
            <w:r/>
            <w:r>
              <w:rPr>
                <w:rFonts w:ascii="Calibri" w:hAnsi="Calibri"/>
                <w:b w:val="0"/>
                <w:i w:val="0"/>
                <w:color w:val="101828"/>
                <w:sz w:val="15"/>
              </w:rPr>
              <w:t>Retry of a failed payment must be offered within the grace window and must not create a second obligation.</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FR-PAY-008</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FR-DEF-004</w:t>
            </w:r>
          </w:p>
        </w:tc>
        <w:tc>
          <w:tcPr>
            <w:tcW w:type="dxa" w:w="4824"/>
            <w:tcMar>
              <w:top w:w="60" w:type="dxa"/>
              <w:start w:w="110" w:type="dxa"/>
              <w:bottom w:w="60" w:type="dxa"/>
              <w:end w:w="110" w:type="dxa"/>
            </w:tcMar>
            <w:shd w:val="clear" w:color="auto" w:fill="F4F7FB"/>
          </w:tcPr>
          <w:p>
            <w:pPr>
              <w:spacing w:after="0"/>
            </w:pPr>
            <w:r/>
            <w:r>
              <w:rPr>
                <w:rFonts w:ascii="Consolas" w:hAnsi="Consolas"/>
                <w:color w:val="146EF5"/>
                <w:sz w:val="15"/>
              </w:rPr>
              <w:t>contribution.grace_ended</w:t>
            </w:r>
            <w:r>
              <w:rPr>
                <w:rFonts w:ascii="Calibri" w:hAnsi="Calibri"/>
                <w:b w:val="0"/>
                <w:i w:val="0"/>
                <w:color w:val="101828"/>
                <w:sz w:val="15"/>
              </w:rPr>
              <w:t xml:space="preserve"> and </w:t>
            </w:r>
            <w:r>
              <w:rPr>
                <w:rFonts w:ascii="Consolas" w:hAnsi="Consolas"/>
                <w:color w:val="146EF5"/>
                <w:sz w:val="15"/>
              </w:rPr>
              <w:t>member.defaulted</w:t>
            </w:r>
            <w:r>
              <w:rPr>
                <w:rFonts w:ascii="Calibri" w:hAnsi="Calibri"/>
                <w:b w:val="0"/>
                <w:i w:val="0"/>
                <w:color w:val="101828"/>
                <w:sz w:val="15"/>
              </w:rPr>
              <w:t xml:space="preserve"> must be sent to the organizer after the 48-hour grace elapses.</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§8</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FR-DEF-005</w:t>
            </w:r>
          </w:p>
        </w:tc>
        <w:tc>
          <w:tcPr>
            <w:tcW w:type="dxa" w:w="4824"/>
            <w:tcMar>
              <w:top w:w="60" w:type="dxa"/>
              <w:start w:w="110" w:type="dxa"/>
              <w:bottom w:w="60" w:type="dxa"/>
              <w:end w:w="110" w:type="dxa"/>
            </w:tcMar>
          </w:tcPr>
          <w:p>
            <w:pPr>
              <w:spacing w:after="0"/>
            </w:pPr>
            <w:r/>
            <w:r>
              <w:rPr>
                <w:rFonts w:ascii="Calibri" w:hAnsi="Calibri"/>
                <w:b w:val="0"/>
                <w:i w:val="0"/>
                <w:color w:val="101828"/>
                <w:sz w:val="15"/>
              </w:rPr>
              <w:t>Default handling must be private between the member, the organizer and platform risk. No public or member-visible exposure is permitted.</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BR-014, G5</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FR-DEF-006</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The platform must not automatically charge other members extra. Any recovery must follow a documented, consent-based path.</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BR-015</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FR-DEF-007</w:t>
            </w:r>
          </w:p>
        </w:tc>
        <w:tc>
          <w:tcPr>
            <w:tcW w:type="dxa" w:w="4824"/>
            <w:tcMar>
              <w:top w:w="60" w:type="dxa"/>
              <w:start w:w="110" w:type="dxa"/>
              <w:bottom w:w="60" w:type="dxa"/>
              <w:end w:w="110" w:type="dxa"/>
            </w:tcMar>
          </w:tcPr>
          <w:p>
            <w:pPr>
              <w:spacing w:after="0"/>
            </w:pPr>
            <w:r/>
            <w:r>
              <w:rPr>
                <w:rFonts w:ascii="Calibri" w:hAnsi="Calibri"/>
                <w:b w:val="0"/>
                <w:i w:val="0"/>
                <w:color w:val="101828"/>
                <w:sz w:val="15"/>
              </w:rPr>
              <w:t>A defaulted contribution must be recoverable and must return to PAID on recovery, or to WRITTEN_OFF with a recorded decision and approver.</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§4, CAN §2</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FR-DEF-008</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member in default must have a documented route to request a replacement exit, which is a formal process and not a unilateral departure.</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FR-MEM-006, BR-003</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FR-DEF-009</w:t>
            </w:r>
          </w:p>
        </w:tc>
        <w:tc>
          <w:tcPr>
            <w:tcW w:type="dxa" w:w="4824"/>
            <w:tcMar>
              <w:top w:w="60" w:type="dxa"/>
              <w:start w:w="110" w:type="dxa"/>
              <w:bottom w:w="60" w:type="dxa"/>
              <w:end w:w="110" w:type="dxa"/>
            </w:tcMar>
          </w:tcPr>
          <w:p>
            <w:pPr>
              <w:spacing w:after="0"/>
            </w:pPr>
            <w:r/>
            <w:r>
              <w:rPr>
                <w:rFonts w:ascii="Calibri" w:hAnsi="Calibri"/>
                <w:b w:val="0"/>
                <w:i w:val="0"/>
                <w:color w:val="101828"/>
                <w:sz w:val="15"/>
              </w:rPr>
              <w:t>Default rates per Ajo, per organizer and per member must be measurable in admin reporting and trigger risk review at a configurable threshold.</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1.25 R4, D-08</w:t>
            </w:r>
          </w:p>
        </w:tc>
      </w:tr>
    </w:tbl>
    <w:p>
      <w:pPr>
        <w:spacing w:after="80"/>
      </w:pPr>
    </w:p>
    <w:p>
      <w:pPr>
        <w:pStyle w:val="Heading3"/>
      </w:pPr>
      <w:r>
        <w:rPr>
          <w:rFonts w:ascii="Calibri" w:hAnsi="Calibri"/>
          <w:b/>
          <w:i w:val="0"/>
          <w:color w:val="0B1F3A"/>
          <w:sz w:val="24"/>
        </w:rPr>
        <w:t>1.17.5 Platform administration</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368"/>
            <w:shd w:val="clear" w:color="auto" w:fill="0B1F3A"/>
            <w:tcMar>
              <w:top w:w="60" w:type="dxa"/>
              <w:start w:w="110" w:type="dxa"/>
              <w:bottom w:w="60" w:type="dxa"/>
              <w:end w:w="110" w:type="dxa"/>
            </w:tcMar>
          </w:tcPr>
          <w:p>
            <w:pPr>
              <w:spacing w:after="0"/>
            </w:pPr>
            <w:r/>
            <w:r>
              <w:rPr>
                <w:rFonts w:ascii="Calibri" w:hAnsi="Calibri"/>
                <w:b/>
                <w:i w:val="0"/>
                <w:color w:val="FFFFFF"/>
                <w:sz w:val="15"/>
              </w:rPr>
              <w:t>ID</w:t>
            </w:r>
          </w:p>
        </w:tc>
        <w:tc>
          <w:tcPr>
            <w:tcW w:type="dxa" w:w="4824"/>
            <w:shd w:val="clear" w:color="auto" w:fill="0B1F3A"/>
            <w:tcMar>
              <w:top w:w="60" w:type="dxa"/>
              <w:start w:w="110" w:type="dxa"/>
              <w:bottom w:w="60" w:type="dxa"/>
              <w:end w:w="110" w:type="dxa"/>
            </w:tcMar>
          </w:tcPr>
          <w:p>
            <w:pPr>
              <w:spacing w:after="0"/>
            </w:pPr>
            <w:r/>
            <w:r>
              <w:rPr>
                <w:rFonts w:ascii="Calibri" w:hAnsi="Calibri"/>
                <w:b/>
                <w:i w:val="0"/>
                <w:color w:val="FFFFFF"/>
                <w:sz w:val="15"/>
              </w:rPr>
              <w:t>Requirement</w:t>
            </w:r>
          </w:p>
        </w:tc>
        <w:tc>
          <w:tcPr>
            <w:tcW w:type="dxa" w:w="864"/>
            <w:shd w:val="clear" w:color="auto" w:fill="0B1F3A"/>
            <w:tcMar>
              <w:top w:w="60" w:type="dxa"/>
              <w:start w:w="110" w:type="dxa"/>
              <w:bottom w:w="60" w:type="dxa"/>
              <w:end w:w="110" w:type="dxa"/>
            </w:tcMar>
          </w:tcPr>
          <w:p>
            <w:pPr>
              <w:spacing w:after="0"/>
            </w:pPr>
            <w:r/>
            <w:r>
              <w:rPr>
                <w:rFonts w:ascii="Calibri" w:hAnsi="Calibri"/>
                <w:b/>
                <w:i w:val="0"/>
                <w:color w:val="FFFFFF"/>
                <w:sz w:val="15"/>
              </w:rPr>
              <w:t>Priority</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5"/>
              </w:rPr>
              <w:t>Section ref</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FR-ADM-001</w:t>
            </w:r>
          </w:p>
        </w:tc>
        <w:tc>
          <w:tcPr>
            <w:tcW w:type="dxa" w:w="4824"/>
            <w:tcMar>
              <w:top w:w="60" w:type="dxa"/>
              <w:start w:w="110" w:type="dxa"/>
              <w:bottom w:w="60" w:type="dxa"/>
              <w:end w:w="110" w:type="dxa"/>
            </w:tcMar>
          </w:tcPr>
          <w:p>
            <w:pPr>
              <w:spacing w:after="0"/>
            </w:pPr>
            <w:r/>
            <w:r>
              <w:rPr>
                <w:rFonts w:ascii="Calibri" w:hAnsi="Calibri"/>
                <w:b w:val="0"/>
                <w:i w:val="0"/>
                <w:color w:val="101828"/>
                <w:sz w:val="15"/>
              </w:rPr>
              <w:t>Admin screens must be reachable only by the role that owns them, with no page visible to a role that cannot act on it.</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1.12</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FR-ADM-002</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No role may edit or delete a ledger entry. Corrections are possible only by posting a reversing entry.</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§2, G6</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FR-ADM-003</w:t>
            </w:r>
          </w:p>
        </w:tc>
        <w:tc>
          <w:tcPr>
            <w:tcW w:type="dxa" w:w="4824"/>
            <w:tcMar>
              <w:top w:w="60" w:type="dxa"/>
              <w:start w:w="110" w:type="dxa"/>
              <w:bottom w:w="60" w:type="dxa"/>
              <w:end w:w="110" w:type="dxa"/>
            </w:tcMar>
          </w:tcPr>
          <w:p>
            <w:pPr>
              <w:spacing w:after="0"/>
            </w:pPr>
            <w:r/>
            <w:r>
              <w:rPr>
                <w:rFonts w:ascii="Consolas" w:hAnsi="Consolas"/>
                <w:color w:val="146EF5"/>
                <w:sz w:val="15"/>
              </w:rPr>
              <w:t>super_admin</w:t>
            </w:r>
            <w:r>
              <w:rPr>
                <w:rFonts w:ascii="Calibri" w:hAnsi="Calibri"/>
                <w:b w:val="0"/>
                <w:i w:val="0"/>
                <w:color w:val="101828"/>
                <w:sz w:val="15"/>
              </w:rPr>
              <w:t xml:space="preserve"> may manage role assignments, and every grant and revocation must be recorded with granter, grantee, role, scope and timestamp.</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§2</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FR-ADM-004</w:t>
            </w:r>
          </w:p>
        </w:tc>
        <w:tc>
          <w:tcPr>
            <w:tcW w:type="dxa" w:w="4824"/>
            <w:tcMar>
              <w:top w:w="60" w:type="dxa"/>
              <w:start w:w="110" w:type="dxa"/>
              <w:bottom w:w="60" w:type="dxa"/>
              <w:end w:w="110" w:type="dxa"/>
            </w:tcMar>
            <w:shd w:val="clear" w:color="auto" w:fill="F4F7FB"/>
          </w:tcPr>
          <w:p>
            <w:pPr>
              <w:spacing w:after="0"/>
            </w:pPr>
            <w:r/>
            <w:r>
              <w:rPr>
                <w:rFonts w:ascii="Consolas" w:hAnsi="Consolas"/>
                <w:color w:val="146EF5"/>
                <w:sz w:val="15"/>
              </w:rPr>
              <w:t>support</w:t>
            </w:r>
            <w:r>
              <w:rPr>
                <w:rFonts w:ascii="Calibri" w:hAnsi="Calibri"/>
                <w:b w:val="0"/>
                <w:i w:val="0"/>
                <w:color w:val="101828"/>
                <w:sz w:val="15"/>
              </w:rPr>
              <w:t xml:space="preserve"> must be able to search and read users, Ajos, contributions, payments, payouts and disputes, and must be unable to mutate any of them.</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§2, FR-DISP-003</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FR-ADM-005</w:t>
            </w:r>
          </w:p>
        </w:tc>
        <w:tc>
          <w:tcPr>
            <w:tcW w:type="dxa" w:w="4824"/>
            <w:tcMar>
              <w:top w:w="60" w:type="dxa"/>
              <w:start w:w="110" w:type="dxa"/>
              <w:bottom w:w="60" w:type="dxa"/>
              <w:end w:w="110" w:type="dxa"/>
            </w:tcMar>
          </w:tcPr>
          <w:p>
            <w:pPr>
              <w:spacing w:after="0"/>
            </w:pPr>
            <w:r/>
            <w:r>
              <w:rPr>
                <w:rFonts w:ascii="Consolas" w:hAnsi="Consolas"/>
                <w:color w:val="146EF5"/>
                <w:sz w:val="15"/>
              </w:rPr>
              <w:t>risk_officer</w:t>
            </w:r>
            <w:r>
              <w:rPr>
                <w:rFonts w:ascii="Calibri" w:hAnsi="Calibri"/>
                <w:b w:val="0"/>
                <w:i w:val="0"/>
                <w:color w:val="101828"/>
                <w:sz w:val="15"/>
              </w:rPr>
              <w:t xml:space="preserve"> may place an account or an Ajo under review, freeze it, and approve or reject overrides, and must be unable to edit the ledger or change fee configuration.</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§2</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FR-ADM-006</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Every risk decision must record the trigger, the evidence considered, the decision, the rationale and the officer, and must be visible in the Risk screen.</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1.18 (NFR-AUD-003)</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FR-ADM-007</w:t>
            </w:r>
          </w:p>
        </w:tc>
        <w:tc>
          <w:tcPr>
            <w:tcW w:type="dxa" w:w="4824"/>
            <w:tcMar>
              <w:top w:w="60" w:type="dxa"/>
              <w:start w:w="110" w:type="dxa"/>
              <w:bottom w:w="60" w:type="dxa"/>
              <w:end w:w="110" w:type="dxa"/>
            </w:tcMar>
          </w:tcPr>
          <w:p>
            <w:pPr>
              <w:spacing w:after="0"/>
            </w:pPr>
            <w:r/>
            <w:r>
              <w:rPr>
                <w:rFonts w:ascii="Consolas" w:hAnsi="Consolas"/>
                <w:color w:val="146EF5"/>
                <w:sz w:val="15"/>
              </w:rPr>
              <w:t>super_admin</w:t>
            </w:r>
            <w:r>
              <w:rPr>
                <w:rFonts w:ascii="Calibri" w:hAnsi="Calibri"/>
                <w:b w:val="0"/>
                <w:i w:val="0"/>
                <w:color w:val="101828"/>
                <w:sz w:val="15"/>
              </w:rPr>
              <w:t xml:space="preserve"> may execute an emergency freeze that halts all money movement platform-wide, with the reason recorded.</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CAN §2</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FR-ADM-008</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 xml:space="preserve">The audit log screen must support filtering by actor, role, entity, action and date range, and must be read-only to every role including </w:t>
            </w:r>
            <w:r>
              <w:rPr>
                <w:rFonts w:ascii="Consolas" w:hAnsi="Consolas"/>
                <w:color w:val="146EF5"/>
                <w:sz w:val="15"/>
              </w:rPr>
              <w:t>super_admin</w:t>
            </w:r>
            <w:r>
              <w:rPr>
                <w:rFonts w:ascii="Calibri" w:hAnsi="Calibri"/>
                <w:b w:val="0"/>
                <w:i w:val="0"/>
                <w:color w:val="101828"/>
                <w:sz w:val="15"/>
              </w:rPr>
              <w:t>.</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§6</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FR-ADM-009</w:t>
            </w:r>
          </w:p>
        </w:tc>
        <w:tc>
          <w:tcPr>
            <w:tcW w:type="dxa" w:w="4824"/>
            <w:tcMar>
              <w:top w:w="60" w:type="dxa"/>
              <w:start w:w="110" w:type="dxa"/>
              <w:bottom w:w="60" w:type="dxa"/>
              <w:end w:w="110" w:type="dxa"/>
            </w:tcMar>
          </w:tcPr>
          <w:p>
            <w:pPr>
              <w:spacing w:after="0"/>
            </w:pPr>
            <w:r/>
            <w:r>
              <w:rPr>
                <w:rFonts w:ascii="Calibri" w:hAnsi="Calibri"/>
                <w:b w:val="0"/>
                <w:i w:val="0"/>
                <w:color w:val="101828"/>
                <w:sz w:val="15"/>
              </w:rPr>
              <w:t>Admin reporting must cover deposits, volume, fee revenue, active Ajos, defaults, disputes, frozen accounts and reconciliation exceptions.</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1.27</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FR-ADM-010</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Platform settings changes, including fee configuration, limits and thresholds, must be versioned, effective-dated and audited, and must never alter historical ledger entries.</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CAN §5, FR-PAY-002</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5"/>
              </w:rPr>
              <w:t>FR-ADM-011</w:t>
            </w:r>
          </w:p>
        </w:tc>
        <w:tc>
          <w:tcPr>
            <w:tcW w:type="dxa" w:w="4824"/>
            <w:tcMar>
              <w:top w:w="60" w:type="dxa"/>
              <w:start w:w="110" w:type="dxa"/>
              <w:bottom w:w="60" w:type="dxa"/>
              <w:end w:w="110" w:type="dxa"/>
            </w:tcMar>
          </w:tcPr>
          <w:p>
            <w:pPr>
              <w:spacing w:after="0"/>
            </w:pPr>
            <w:r/>
            <w:r>
              <w:rPr>
                <w:rFonts w:ascii="Calibri" w:hAnsi="Calibri"/>
                <w:b w:val="0"/>
                <w:i w:val="0"/>
                <w:color w:val="101828"/>
                <w:sz w:val="15"/>
              </w:rPr>
              <w:t>Reconciliation runs must be executable and their results inspectable, with any exception creating a risk event that cannot be silently closed.</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tcPr>
          <w:p>
            <w:pPr>
              <w:spacing w:after="0"/>
            </w:pPr>
            <w:r/>
            <w:r>
              <w:rPr>
                <w:rFonts w:ascii="Calibri" w:hAnsi="Calibri"/>
                <w:b w:val="0"/>
                <w:i w:val="0"/>
                <w:color w:val="101828"/>
                <w:sz w:val="15"/>
              </w:rPr>
              <w:t>FR-PAY-009, 1.18 (NFR-AUD-005)</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FR-ADM-012</w:t>
            </w:r>
          </w:p>
        </w:tc>
        <w:tc>
          <w:tcPr>
            <w:tcW w:type="dxa" w:w="4824"/>
            <w:tcMar>
              <w:top w:w="60" w:type="dxa"/>
              <w:start w:w="110" w:type="dxa"/>
              <w:bottom w:w="60" w:type="dxa"/>
              <w:end w:w="110" w:type="dxa"/>
            </w:tcMar>
            <w:shd w:val="clear" w:color="auto" w:fill="F4F7FB"/>
          </w:tcPr>
          <w:p>
            <w:pPr>
              <w:spacing w:after="0"/>
            </w:pPr>
            <w:r/>
            <w:r>
              <w:rPr>
                <w:rFonts w:ascii="Calibri" w:hAnsi="Calibri"/>
                <w:b w:val="0"/>
                <w:i w:val="0"/>
                <w:color w:val="101828"/>
                <w:sz w:val="15"/>
              </w:rPr>
              <w:t>A support agent must never be able to perform any action that would result in money leaving the approved financial arrangement.</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1.12, G4</w:t>
            </w:r>
          </w:p>
        </w:tc>
      </w:tr>
    </w:tbl>
    <w:p>
      <w:pPr>
        <w:spacing w:after="80"/>
      </w:pP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4853"/>
            <w:shd w:val="clear" w:color="auto" w:fill="0B1F3A"/>
            <w:tcMar>
              <w:top w:w="60" w:type="dxa"/>
              <w:start w:w="110" w:type="dxa"/>
              <w:bottom w:w="60" w:type="dxa"/>
              <w:end w:w="110" w:type="dxa"/>
            </w:tcMar>
          </w:tcPr>
          <w:p>
            <w:pPr>
              <w:spacing w:after="0"/>
            </w:pPr>
            <w:r/>
            <w:r>
              <w:rPr>
                <w:rFonts w:ascii="Calibri" w:hAnsi="Calibri"/>
                <w:b/>
                <w:i w:val="0"/>
                <w:color w:val="FFFFFF"/>
                <w:sz w:val="17"/>
              </w:rPr>
              <w:t>Requirement family</w:t>
            </w:r>
          </w:p>
        </w:tc>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7"/>
              </w:rPr>
              <w:t>Count</w:t>
            </w:r>
          </w:p>
        </w:tc>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7"/>
              </w:rPr>
              <w:t>Must</w:t>
            </w:r>
          </w:p>
        </w:tc>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7"/>
              </w:rPr>
              <w:t>Should</w:t>
            </w:r>
          </w:p>
        </w:tc>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7"/>
              </w:rPr>
              <w:t>Could</w:t>
            </w:r>
          </w:p>
        </w:tc>
      </w:tr>
      <w:tr>
        <w:trPr>
          <w:cantSplit/>
        </w:trPr>
        <w:tc>
          <w:tcPr>
            <w:tcW w:type="dxa" w:w="4853"/>
            <w:tcMar>
              <w:top w:w="60" w:type="dxa"/>
              <w:start w:w="110" w:type="dxa"/>
              <w:bottom w:w="60" w:type="dxa"/>
              <w:end w:w="110" w:type="dxa"/>
            </w:tcMar>
          </w:tcPr>
          <w:p>
            <w:pPr>
              <w:spacing w:after="0"/>
            </w:pPr>
            <w:r/>
            <w:r>
              <w:rPr>
                <w:rFonts w:ascii="Calibri" w:hAnsi="Calibri"/>
                <w:b w:val="0"/>
                <w:i w:val="0"/>
                <w:color w:val="101828"/>
                <w:sz w:val="17"/>
              </w:rPr>
              <w:t>Identity, profile and account security</w:t>
            </w:r>
          </w:p>
        </w:tc>
        <w:tc>
          <w:tcPr>
            <w:tcW w:type="dxa" w:w="1152"/>
            <w:tcMar>
              <w:top w:w="60" w:type="dxa"/>
              <w:start w:w="110" w:type="dxa"/>
              <w:bottom w:w="60" w:type="dxa"/>
              <w:end w:w="110" w:type="dxa"/>
            </w:tcMar>
          </w:tcPr>
          <w:p>
            <w:pPr>
              <w:spacing w:after="0"/>
            </w:pPr>
            <w:r/>
            <w:r>
              <w:rPr>
                <w:rFonts w:ascii="Calibri" w:hAnsi="Calibri"/>
                <w:b w:val="0"/>
                <w:i w:val="0"/>
                <w:color w:val="101828"/>
                <w:sz w:val="17"/>
              </w:rPr>
              <w:t>34</w:t>
            </w:r>
          </w:p>
        </w:tc>
        <w:tc>
          <w:tcPr>
            <w:tcW w:type="dxa" w:w="1152"/>
            <w:tcMar>
              <w:top w:w="60" w:type="dxa"/>
              <w:start w:w="110" w:type="dxa"/>
              <w:bottom w:w="60" w:type="dxa"/>
              <w:end w:w="110" w:type="dxa"/>
            </w:tcMar>
          </w:tcPr>
          <w:p>
            <w:pPr>
              <w:spacing w:after="0"/>
            </w:pPr>
            <w:r/>
            <w:r>
              <w:rPr>
                <w:rFonts w:ascii="Calibri" w:hAnsi="Calibri"/>
                <w:b w:val="0"/>
                <w:i w:val="0"/>
                <w:color w:val="101828"/>
                <w:sz w:val="17"/>
              </w:rPr>
              <w:t>31</w:t>
            </w:r>
          </w:p>
        </w:tc>
        <w:tc>
          <w:tcPr>
            <w:tcW w:type="dxa" w:w="1152"/>
            <w:tcMar>
              <w:top w:w="60" w:type="dxa"/>
              <w:start w:w="110" w:type="dxa"/>
              <w:bottom w:w="60" w:type="dxa"/>
              <w:end w:w="110" w:type="dxa"/>
            </w:tcMar>
          </w:tcPr>
          <w:p>
            <w:pPr>
              <w:spacing w:after="0"/>
            </w:pPr>
            <w:r/>
            <w:r>
              <w:rPr>
                <w:rFonts w:ascii="Calibri" w:hAnsi="Calibri"/>
                <w:b w:val="0"/>
                <w:i w:val="0"/>
                <w:color w:val="101828"/>
                <w:sz w:val="17"/>
              </w:rPr>
              <w:t>3</w:t>
            </w:r>
          </w:p>
        </w:tc>
        <w:tc>
          <w:tcPr>
            <w:tcW w:type="dxa" w:w="1152"/>
            <w:tcMar>
              <w:top w:w="60" w:type="dxa"/>
              <w:start w:w="110" w:type="dxa"/>
              <w:bottom w:w="60" w:type="dxa"/>
              <w:end w:w="110" w:type="dxa"/>
            </w:tcMar>
          </w:tcPr>
          <w:p>
            <w:pPr>
              <w:spacing w:after="0"/>
            </w:pPr>
            <w:r/>
            <w:r>
              <w:rPr>
                <w:rFonts w:ascii="Calibri" w:hAnsi="Calibri"/>
                <w:b w:val="0"/>
                <w:i w:val="0"/>
                <w:color w:val="101828"/>
                <w:sz w:val="17"/>
              </w:rPr>
              <w:t>0</w:t>
            </w:r>
          </w:p>
        </w:tc>
      </w:tr>
      <w:tr>
        <w:trPr>
          <w:cantSplit/>
        </w:trPr>
        <w:tc>
          <w:tcPr>
            <w:tcW w:type="dxa" w:w="4853"/>
            <w:tcMar>
              <w:top w:w="60" w:type="dxa"/>
              <w:start w:w="110" w:type="dxa"/>
              <w:bottom w:w="60" w:type="dxa"/>
              <w:end w:w="110" w:type="dxa"/>
            </w:tcMar>
            <w:shd w:val="clear" w:color="auto" w:fill="F4F7FB"/>
          </w:tcPr>
          <w:p>
            <w:pPr>
              <w:spacing w:after="0"/>
            </w:pPr>
            <w:r/>
            <w:r>
              <w:rPr>
                <w:rFonts w:ascii="Calibri" w:hAnsi="Calibri"/>
                <w:b w:val="0"/>
                <w:i w:val="0"/>
                <w:color w:val="101828"/>
                <w:sz w:val="17"/>
              </w:rPr>
              <w:t>Ajo lifecycle, invitations and membership</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38</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35</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3</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0</w:t>
            </w:r>
          </w:p>
        </w:tc>
      </w:tr>
      <w:tr>
        <w:trPr>
          <w:cantSplit/>
        </w:trPr>
        <w:tc>
          <w:tcPr>
            <w:tcW w:type="dxa" w:w="4853"/>
            <w:tcMar>
              <w:top w:w="60" w:type="dxa"/>
              <w:start w:w="110" w:type="dxa"/>
              <w:bottom w:w="60" w:type="dxa"/>
              <w:end w:w="110" w:type="dxa"/>
            </w:tcMar>
          </w:tcPr>
          <w:p>
            <w:pPr>
              <w:spacing w:after="0"/>
            </w:pPr>
            <w:r/>
            <w:r>
              <w:rPr>
                <w:rFonts w:ascii="Calibri" w:hAnsi="Calibri"/>
                <w:b w:val="0"/>
                <w:i w:val="0"/>
                <w:color w:val="101828"/>
                <w:sz w:val="17"/>
              </w:rPr>
              <w:t>Money: schedules, collection, payouts, history</w:t>
            </w:r>
          </w:p>
        </w:tc>
        <w:tc>
          <w:tcPr>
            <w:tcW w:type="dxa" w:w="1152"/>
            <w:tcMar>
              <w:top w:w="60" w:type="dxa"/>
              <w:start w:w="110" w:type="dxa"/>
              <w:bottom w:w="60" w:type="dxa"/>
              <w:end w:w="110" w:type="dxa"/>
            </w:tcMar>
          </w:tcPr>
          <w:p>
            <w:pPr>
              <w:spacing w:after="0"/>
            </w:pPr>
            <w:r/>
            <w:r>
              <w:rPr>
                <w:rFonts w:ascii="Calibri" w:hAnsi="Calibri"/>
                <w:b w:val="0"/>
                <w:i w:val="0"/>
                <w:color w:val="101828"/>
                <w:sz w:val="17"/>
              </w:rPr>
              <w:t>41</w:t>
            </w:r>
          </w:p>
        </w:tc>
        <w:tc>
          <w:tcPr>
            <w:tcW w:type="dxa" w:w="1152"/>
            <w:tcMar>
              <w:top w:w="60" w:type="dxa"/>
              <w:start w:w="110" w:type="dxa"/>
              <w:bottom w:w="60" w:type="dxa"/>
              <w:end w:w="110" w:type="dxa"/>
            </w:tcMar>
          </w:tcPr>
          <w:p>
            <w:pPr>
              <w:spacing w:after="0"/>
            </w:pPr>
            <w:r/>
            <w:r>
              <w:rPr>
                <w:rFonts w:ascii="Calibri" w:hAnsi="Calibri"/>
                <w:b w:val="0"/>
                <w:i w:val="0"/>
                <w:color w:val="101828"/>
                <w:sz w:val="17"/>
              </w:rPr>
              <w:t>41</w:t>
            </w:r>
          </w:p>
        </w:tc>
        <w:tc>
          <w:tcPr>
            <w:tcW w:type="dxa" w:w="1152"/>
            <w:tcMar>
              <w:top w:w="60" w:type="dxa"/>
              <w:start w:w="110" w:type="dxa"/>
              <w:bottom w:w="60" w:type="dxa"/>
              <w:end w:w="110" w:type="dxa"/>
            </w:tcMar>
          </w:tcPr>
          <w:p>
            <w:pPr>
              <w:spacing w:after="0"/>
            </w:pPr>
            <w:r/>
            <w:r>
              <w:rPr>
                <w:rFonts w:ascii="Calibri" w:hAnsi="Calibri"/>
                <w:b w:val="0"/>
                <w:i w:val="0"/>
                <w:color w:val="101828"/>
                <w:sz w:val="17"/>
              </w:rPr>
              <w:t>0</w:t>
            </w:r>
          </w:p>
        </w:tc>
        <w:tc>
          <w:tcPr>
            <w:tcW w:type="dxa" w:w="1152"/>
            <w:tcMar>
              <w:top w:w="60" w:type="dxa"/>
              <w:start w:w="110" w:type="dxa"/>
              <w:bottom w:w="60" w:type="dxa"/>
              <w:end w:w="110" w:type="dxa"/>
            </w:tcMar>
          </w:tcPr>
          <w:p>
            <w:pPr>
              <w:spacing w:after="0"/>
            </w:pPr>
            <w:r/>
            <w:r>
              <w:rPr>
                <w:rFonts w:ascii="Calibri" w:hAnsi="Calibri"/>
                <w:b w:val="0"/>
                <w:i w:val="0"/>
                <w:color w:val="101828"/>
                <w:sz w:val="17"/>
              </w:rPr>
              <w:t>0</w:t>
            </w:r>
          </w:p>
        </w:tc>
      </w:tr>
      <w:tr>
        <w:trPr>
          <w:cantSplit/>
        </w:trPr>
        <w:tc>
          <w:tcPr>
            <w:tcW w:type="dxa" w:w="4853"/>
            <w:tcMar>
              <w:top w:w="60" w:type="dxa"/>
              <w:start w:w="110" w:type="dxa"/>
              <w:bottom w:w="60" w:type="dxa"/>
              <w:end w:w="110" w:type="dxa"/>
            </w:tcMar>
            <w:shd w:val="clear" w:color="auto" w:fill="F4F7FB"/>
          </w:tcPr>
          <w:p>
            <w:pPr>
              <w:spacing w:after="0"/>
            </w:pPr>
            <w:r/>
            <w:r>
              <w:rPr>
                <w:rFonts w:ascii="Calibri" w:hAnsi="Calibri"/>
                <w:b w:val="0"/>
                <w:i w:val="0"/>
                <w:color w:val="101828"/>
                <w:sz w:val="17"/>
              </w:rPr>
              <w:t>Notifications, disputes and defaults</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23</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22</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1</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0</w:t>
            </w:r>
          </w:p>
        </w:tc>
      </w:tr>
      <w:tr>
        <w:trPr>
          <w:cantSplit/>
        </w:trPr>
        <w:tc>
          <w:tcPr>
            <w:tcW w:type="dxa" w:w="4853"/>
            <w:tcMar>
              <w:top w:w="60" w:type="dxa"/>
              <w:start w:w="110" w:type="dxa"/>
              <w:bottom w:w="60" w:type="dxa"/>
              <w:end w:w="110" w:type="dxa"/>
            </w:tcMar>
          </w:tcPr>
          <w:p>
            <w:pPr>
              <w:spacing w:after="0"/>
            </w:pPr>
            <w:r/>
            <w:r>
              <w:rPr>
                <w:rFonts w:ascii="Calibri" w:hAnsi="Calibri"/>
                <w:b w:val="0"/>
                <w:i w:val="0"/>
                <w:color w:val="101828"/>
                <w:sz w:val="17"/>
              </w:rPr>
              <w:t>Platform administration</w:t>
            </w:r>
          </w:p>
        </w:tc>
        <w:tc>
          <w:tcPr>
            <w:tcW w:type="dxa" w:w="1152"/>
            <w:tcMar>
              <w:top w:w="60" w:type="dxa"/>
              <w:start w:w="110" w:type="dxa"/>
              <w:bottom w:w="60" w:type="dxa"/>
              <w:end w:w="110" w:type="dxa"/>
            </w:tcMar>
          </w:tcPr>
          <w:p>
            <w:pPr>
              <w:spacing w:after="0"/>
            </w:pPr>
            <w:r/>
            <w:r>
              <w:rPr>
                <w:rFonts w:ascii="Calibri" w:hAnsi="Calibri"/>
                <w:b w:val="0"/>
                <w:i w:val="0"/>
                <w:color w:val="101828"/>
                <w:sz w:val="17"/>
              </w:rPr>
              <w:t>12</w:t>
            </w:r>
          </w:p>
        </w:tc>
        <w:tc>
          <w:tcPr>
            <w:tcW w:type="dxa" w:w="1152"/>
            <w:tcMar>
              <w:top w:w="60" w:type="dxa"/>
              <w:start w:w="110" w:type="dxa"/>
              <w:bottom w:w="60" w:type="dxa"/>
              <w:end w:w="110" w:type="dxa"/>
            </w:tcMar>
          </w:tcPr>
          <w:p>
            <w:pPr>
              <w:spacing w:after="0"/>
            </w:pPr>
            <w:r/>
            <w:r>
              <w:rPr>
                <w:rFonts w:ascii="Calibri" w:hAnsi="Calibri"/>
                <w:b w:val="0"/>
                <w:i w:val="0"/>
                <w:color w:val="101828"/>
                <w:sz w:val="17"/>
              </w:rPr>
              <w:t>12</w:t>
            </w:r>
          </w:p>
        </w:tc>
        <w:tc>
          <w:tcPr>
            <w:tcW w:type="dxa" w:w="1152"/>
            <w:tcMar>
              <w:top w:w="60" w:type="dxa"/>
              <w:start w:w="110" w:type="dxa"/>
              <w:bottom w:w="60" w:type="dxa"/>
              <w:end w:w="110" w:type="dxa"/>
            </w:tcMar>
          </w:tcPr>
          <w:p>
            <w:pPr>
              <w:spacing w:after="0"/>
            </w:pPr>
            <w:r/>
            <w:r>
              <w:rPr>
                <w:rFonts w:ascii="Calibri" w:hAnsi="Calibri"/>
                <w:b w:val="0"/>
                <w:i w:val="0"/>
                <w:color w:val="101828"/>
                <w:sz w:val="17"/>
              </w:rPr>
              <w:t>0</w:t>
            </w:r>
          </w:p>
        </w:tc>
        <w:tc>
          <w:tcPr>
            <w:tcW w:type="dxa" w:w="1152"/>
            <w:tcMar>
              <w:top w:w="60" w:type="dxa"/>
              <w:start w:w="110" w:type="dxa"/>
              <w:bottom w:w="60" w:type="dxa"/>
              <w:end w:w="110" w:type="dxa"/>
            </w:tcMar>
          </w:tcPr>
          <w:p>
            <w:pPr>
              <w:spacing w:after="0"/>
            </w:pPr>
            <w:r/>
            <w:r>
              <w:rPr>
                <w:rFonts w:ascii="Calibri" w:hAnsi="Calibri"/>
                <w:b w:val="0"/>
                <w:i w:val="0"/>
                <w:color w:val="101828"/>
                <w:sz w:val="17"/>
              </w:rPr>
              <w:t>0</w:t>
            </w:r>
          </w:p>
        </w:tc>
      </w:tr>
      <w:tr>
        <w:trPr>
          <w:cantSplit/>
        </w:trPr>
        <w:tc>
          <w:tcPr>
            <w:tcW w:type="dxa" w:w="4853"/>
            <w:tcMar>
              <w:top w:w="60" w:type="dxa"/>
              <w:start w:w="110" w:type="dxa"/>
              <w:bottom w:w="60" w:type="dxa"/>
              <w:end w:w="110" w:type="dxa"/>
            </w:tcMar>
            <w:shd w:val="clear" w:color="auto" w:fill="F4F7FB"/>
          </w:tcPr>
          <w:p>
            <w:pPr>
              <w:spacing w:after="0"/>
            </w:pPr>
            <w:r/>
            <w:r>
              <w:rPr>
                <w:rFonts w:ascii="Calibri" w:hAnsi="Calibri"/>
                <w:b w:val="0"/>
                <w:i w:val="0"/>
                <w:color w:val="101828"/>
                <w:sz w:val="17"/>
              </w:rPr>
              <w:t>Total</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148</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141</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7</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0</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Why there are no Coulds  </w:t>
      </w:r>
      <w:r>
        <w:rPr>
          <w:rFonts w:ascii="Calibri" w:hAnsi="Calibri"/>
          <w:b w:val="0"/>
          <w:i w:val="0"/>
          <w:color w:val="0B1F3A"/>
          <w:sz w:val="19"/>
        </w:rPr>
        <w:t xml:space="preserve">No requirement in this specification is classified </w:t>
      </w:r>
      <w:r>
        <w:rPr>
          <w:rFonts w:ascii="Calibri" w:hAnsi="Calibri"/>
          <w:b/>
          <w:color w:val="0B1F3A"/>
          <w:sz w:val="19"/>
        </w:rPr>
        <w:t>Could</w:t>
      </w:r>
      <w:r>
        <w:rPr>
          <w:rFonts w:ascii="Calibri" w:hAnsi="Calibri"/>
          <w:b w:val="0"/>
          <w:i w:val="0"/>
          <w:color w:val="0B1F3A"/>
          <w:sz w:val="19"/>
        </w:rPr>
        <w:t xml:space="preserve">. A requirement that the product can live without but that is not yet built is a </w:t>
      </w:r>
      <w:r>
        <w:rPr>
          <w:rFonts w:ascii="Calibri" w:hAnsi="Calibri"/>
          <w:b/>
          <w:color w:val="0B1F3A"/>
          <w:sz w:val="19"/>
        </w:rPr>
        <w:t>Should</w:t>
      </w:r>
      <w:r>
        <w:rPr>
          <w:rFonts w:ascii="Calibri" w:hAnsi="Calibri"/>
          <w:b w:val="0"/>
          <w:i w:val="0"/>
          <w:color w:val="0B1F3A"/>
          <w:sz w:val="19"/>
        </w:rPr>
        <w:t xml:space="preserve"> with a deferral date. The Could column is left empty deliberately: an empty Could column means nothing has been quietly assigned a low priority to make a date.</w:t>
      </w:r>
    </w:p>
    <w:p>
      <w:pPr>
        <w:pStyle w:val="Heading2"/>
      </w:pPr>
      <w:r>
        <w:rPr>
          <w:rFonts w:ascii="Calibri" w:hAnsi="Calibri"/>
          <w:b/>
          <w:i w:val="0"/>
          <w:color w:val="146EF5"/>
          <w:sz w:val="29"/>
        </w:rPr>
        <w:t>1.18 Non-functional requirements</w:t>
      </w:r>
    </w:p>
    <w:p>
      <w:r>
        <w:rPr>
          <w:rFonts w:ascii="Calibri" w:hAnsi="Calibri"/>
          <w:b w:val="0"/>
          <w:i w:val="0"/>
          <w:color w:val="101828"/>
          <w:sz w:val="21"/>
        </w:rPr>
        <w:t xml:space="preserve">Every target below is </w:t>
      </w:r>
      <w:r>
        <w:rPr>
          <w:rFonts w:ascii="Calibri" w:hAnsi="Calibri"/>
          <w:b/>
          <w:color w:val="101828"/>
          <w:sz w:val="21"/>
        </w:rPr>
        <w:t>measurable and testable</w:t>
      </w:r>
      <w:r>
        <w:rPr>
          <w:rFonts w:ascii="Calibri" w:hAnsi="Calibri"/>
          <w:b w:val="0"/>
          <w:i w:val="0"/>
          <w:color w:val="101828"/>
          <w:sz w:val="21"/>
        </w:rPr>
        <w:t>, and each has a named verification method. Where a target depends on an unresolved decision or an unconfirmed provider capability, the dependency is stated in the row. No provider capability is asserted as fact.</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440"/>
            <w:shd w:val="clear" w:color="auto" w:fill="0B1F3A"/>
            <w:tcMar>
              <w:top w:w="60" w:type="dxa"/>
              <w:start w:w="110" w:type="dxa"/>
              <w:bottom w:w="60" w:type="dxa"/>
              <w:end w:w="110" w:type="dxa"/>
            </w:tcMar>
          </w:tcPr>
          <w:p>
            <w:pPr>
              <w:spacing w:after="0"/>
            </w:pPr>
            <w:r/>
            <w:r>
              <w:rPr>
                <w:rFonts w:ascii="Calibri" w:hAnsi="Calibri"/>
                <w:b/>
                <w:i w:val="0"/>
                <w:color w:val="FFFFFF"/>
                <w:sz w:val="15"/>
              </w:rPr>
              <w:t>ID</w:t>
            </w:r>
          </w:p>
        </w:tc>
        <w:tc>
          <w:tcPr>
            <w:tcW w:type="dxa" w:w="1224"/>
            <w:shd w:val="clear" w:color="auto" w:fill="0B1F3A"/>
            <w:tcMar>
              <w:top w:w="60" w:type="dxa"/>
              <w:start w:w="110" w:type="dxa"/>
              <w:bottom w:w="60" w:type="dxa"/>
              <w:end w:w="110" w:type="dxa"/>
            </w:tcMar>
          </w:tcPr>
          <w:p>
            <w:pPr>
              <w:spacing w:after="0"/>
            </w:pPr>
            <w:r/>
            <w:r>
              <w:rPr>
                <w:rFonts w:ascii="Calibri" w:hAnsi="Calibri"/>
                <w:b/>
                <w:i w:val="0"/>
                <w:color w:val="FFFFFF"/>
                <w:sz w:val="15"/>
              </w:rPr>
              <w:t>Category</w:t>
            </w:r>
          </w:p>
        </w:tc>
        <w:tc>
          <w:tcPr>
            <w:tcW w:type="dxa" w:w="4536"/>
            <w:shd w:val="clear" w:color="auto" w:fill="0B1F3A"/>
            <w:tcMar>
              <w:top w:w="60" w:type="dxa"/>
              <w:start w:w="110" w:type="dxa"/>
              <w:bottom w:w="60" w:type="dxa"/>
              <w:end w:w="110" w:type="dxa"/>
            </w:tcMar>
          </w:tcPr>
          <w:p>
            <w:pPr>
              <w:spacing w:after="0"/>
            </w:pPr>
            <w:r/>
            <w:r>
              <w:rPr>
                <w:rFonts w:ascii="Calibri" w:hAnsi="Calibri"/>
                <w:b/>
                <w:i w:val="0"/>
                <w:color w:val="FFFFFF"/>
                <w:sz w:val="15"/>
              </w:rPr>
              <w:t>Target</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5"/>
              </w:rPr>
              <w:t>Verified by</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5"/>
              </w:rPr>
              <w:t>NFR-SEC-001</w:t>
            </w:r>
          </w:p>
        </w:tc>
        <w:tc>
          <w:tcPr>
            <w:tcW w:type="dxa" w:w="1224"/>
            <w:tcMar>
              <w:top w:w="60" w:type="dxa"/>
              <w:start w:w="110" w:type="dxa"/>
              <w:bottom w:w="60" w:type="dxa"/>
              <w:end w:w="110" w:type="dxa"/>
            </w:tcMar>
          </w:tcPr>
          <w:p>
            <w:pPr>
              <w:spacing w:after="0"/>
            </w:pPr>
            <w:r/>
            <w:r>
              <w:rPr>
                <w:rFonts w:ascii="Calibri" w:hAnsi="Calibri"/>
                <w:b w:val="0"/>
                <w:i w:val="0"/>
                <w:color w:val="101828"/>
                <w:sz w:val="15"/>
              </w:rPr>
              <w:t>Security</w:t>
            </w:r>
          </w:p>
        </w:tc>
        <w:tc>
          <w:tcPr>
            <w:tcW w:type="dxa" w:w="4536"/>
            <w:tcMar>
              <w:top w:w="60" w:type="dxa"/>
              <w:start w:w="110" w:type="dxa"/>
              <w:bottom w:w="60" w:type="dxa"/>
              <w:end w:w="110" w:type="dxa"/>
            </w:tcMar>
          </w:tcPr>
          <w:p>
            <w:pPr>
              <w:spacing w:after="0"/>
            </w:pPr>
            <w:r/>
            <w:r>
              <w:rPr>
                <w:rFonts w:ascii="Calibri" w:hAnsi="Calibri"/>
                <w:b w:val="0"/>
                <w:i w:val="0"/>
                <w:color w:val="101828"/>
                <w:sz w:val="15"/>
              </w:rPr>
              <w:t>Passwords stored only as salted adaptive hashes. Plaintext never persisted, logged or returned.</w:t>
            </w:r>
          </w:p>
        </w:tc>
        <w:tc>
          <w:tcPr>
            <w:tcW w:type="dxa" w:w="2160"/>
            <w:tcMar>
              <w:top w:w="60" w:type="dxa"/>
              <w:start w:w="110" w:type="dxa"/>
              <w:bottom w:w="60" w:type="dxa"/>
              <w:end w:w="110" w:type="dxa"/>
            </w:tcMar>
          </w:tcPr>
          <w:p>
            <w:pPr>
              <w:spacing w:after="0"/>
            </w:pPr>
            <w:r/>
            <w:r>
              <w:rPr>
                <w:rFonts w:ascii="Calibri" w:hAnsi="Calibri"/>
                <w:b w:val="0"/>
                <w:i w:val="0"/>
                <w:color w:val="101828"/>
                <w:sz w:val="15"/>
              </w:rPr>
              <w:t>Code review; static analysis; log inspection</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5"/>
              </w:rPr>
              <w:t>NFR-SEC-002</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Security</w:t>
            </w:r>
          </w:p>
        </w:tc>
        <w:tc>
          <w:tcPr>
            <w:tcW w:type="dxa" w:w="4536"/>
            <w:tcMar>
              <w:top w:w="60" w:type="dxa"/>
              <w:start w:w="110" w:type="dxa"/>
              <w:bottom w:w="60" w:type="dxa"/>
              <w:end w:w="110" w:type="dxa"/>
            </w:tcMar>
            <w:shd w:val="clear" w:color="auto" w:fill="F4F7FB"/>
          </w:tcPr>
          <w:p>
            <w:pPr>
              <w:spacing w:after="0"/>
            </w:pPr>
            <w:r/>
            <w:r>
              <w:rPr>
                <w:rFonts w:ascii="Calibri" w:hAnsi="Calibri"/>
                <w:b w:val="0"/>
                <w:i w:val="0"/>
                <w:color w:val="101828"/>
                <w:sz w:val="15"/>
              </w:rPr>
              <w:t>Minimum 10-character password; breached-password blocklist enforced.</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Automated test suite; credential-stuffing simulation</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5"/>
              </w:rPr>
              <w:t>NFR-SEC-003</w:t>
            </w:r>
          </w:p>
        </w:tc>
        <w:tc>
          <w:tcPr>
            <w:tcW w:type="dxa" w:w="1224"/>
            <w:tcMar>
              <w:top w:w="60" w:type="dxa"/>
              <w:start w:w="110" w:type="dxa"/>
              <w:bottom w:w="60" w:type="dxa"/>
              <w:end w:w="110" w:type="dxa"/>
            </w:tcMar>
          </w:tcPr>
          <w:p>
            <w:pPr>
              <w:spacing w:after="0"/>
            </w:pPr>
            <w:r/>
            <w:r>
              <w:rPr>
                <w:rFonts w:ascii="Calibri" w:hAnsi="Calibri"/>
                <w:b w:val="0"/>
                <w:i w:val="0"/>
                <w:color w:val="101828"/>
                <w:sz w:val="15"/>
              </w:rPr>
              <w:t>Security</w:t>
            </w:r>
          </w:p>
        </w:tc>
        <w:tc>
          <w:tcPr>
            <w:tcW w:type="dxa" w:w="4536"/>
            <w:tcMar>
              <w:top w:w="60" w:type="dxa"/>
              <w:start w:w="110" w:type="dxa"/>
              <w:bottom w:w="60" w:type="dxa"/>
              <w:end w:w="110" w:type="dxa"/>
            </w:tcMar>
          </w:tcPr>
          <w:p>
            <w:pPr>
              <w:spacing w:after="0"/>
            </w:pPr>
            <w:r/>
            <w:r>
              <w:rPr>
                <w:rFonts w:ascii="Calibri" w:hAnsi="Calibri"/>
                <w:b w:val="0"/>
                <w:i w:val="0"/>
                <w:color w:val="101828"/>
                <w:sz w:val="15"/>
              </w:rPr>
              <w:t>No user enumeration via response body, status code or materially different timing.</w:t>
            </w:r>
          </w:p>
        </w:tc>
        <w:tc>
          <w:tcPr>
            <w:tcW w:type="dxa" w:w="2160"/>
            <w:tcMar>
              <w:top w:w="60" w:type="dxa"/>
              <w:start w:w="110" w:type="dxa"/>
              <w:bottom w:w="60" w:type="dxa"/>
              <w:end w:w="110" w:type="dxa"/>
            </w:tcMar>
          </w:tcPr>
          <w:p>
            <w:pPr>
              <w:spacing w:after="0"/>
            </w:pPr>
            <w:r/>
            <w:r>
              <w:rPr>
                <w:rFonts w:ascii="Calibri" w:hAnsi="Calibri"/>
                <w:b w:val="0"/>
                <w:i w:val="0"/>
                <w:color w:val="101828"/>
                <w:sz w:val="15"/>
              </w:rPr>
              <w:t>Automated enumeration test on login, reset and invitation</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5"/>
              </w:rPr>
              <w:t>NFR-SEC-004</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Security</w:t>
            </w:r>
          </w:p>
        </w:tc>
        <w:tc>
          <w:tcPr>
            <w:tcW w:type="dxa" w:w="4536"/>
            <w:tcMar>
              <w:top w:w="60" w:type="dxa"/>
              <w:start w:w="110" w:type="dxa"/>
              <w:bottom w:w="60" w:type="dxa"/>
              <w:end w:w="110" w:type="dxa"/>
            </w:tcMar>
            <w:shd w:val="clear" w:color="auto" w:fill="F4F7FB"/>
          </w:tcPr>
          <w:p>
            <w:pPr>
              <w:spacing w:after="0"/>
            </w:pPr>
            <w:r/>
            <w:r>
              <w:rPr>
                <w:rFonts w:ascii="Calibri" w:hAnsi="Calibri"/>
                <w:b w:val="0"/>
                <w:i w:val="0"/>
                <w:color w:val="101828"/>
                <w:sz w:val="15"/>
              </w:rPr>
              <w:t>Rate limiting on all authentication and OTP endpoints with exponential backoff.</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Load and abuse test</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5"/>
              </w:rPr>
              <w:t>NFR-SEC-005</w:t>
            </w:r>
          </w:p>
        </w:tc>
        <w:tc>
          <w:tcPr>
            <w:tcW w:type="dxa" w:w="1224"/>
            <w:tcMar>
              <w:top w:w="60" w:type="dxa"/>
              <w:start w:w="110" w:type="dxa"/>
              <w:bottom w:w="60" w:type="dxa"/>
              <w:end w:w="110" w:type="dxa"/>
            </w:tcMar>
          </w:tcPr>
          <w:p>
            <w:pPr>
              <w:spacing w:after="0"/>
            </w:pPr>
            <w:r/>
            <w:r>
              <w:rPr>
                <w:rFonts w:ascii="Calibri" w:hAnsi="Calibri"/>
                <w:b w:val="0"/>
                <w:i w:val="0"/>
                <w:color w:val="101828"/>
                <w:sz w:val="15"/>
              </w:rPr>
              <w:t>Security</w:t>
            </w:r>
          </w:p>
        </w:tc>
        <w:tc>
          <w:tcPr>
            <w:tcW w:type="dxa" w:w="4536"/>
            <w:tcMar>
              <w:top w:w="60" w:type="dxa"/>
              <w:start w:w="110" w:type="dxa"/>
              <w:bottom w:w="60" w:type="dxa"/>
              <w:end w:w="110" w:type="dxa"/>
            </w:tcMar>
          </w:tcPr>
          <w:p>
            <w:pPr>
              <w:spacing w:after="0"/>
            </w:pPr>
            <w:r/>
            <w:r>
              <w:rPr>
                <w:rFonts w:ascii="Calibri" w:hAnsi="Calibri"/>
                <w:b w:val="0"/>
                <w:i w:val="0"/>
                <w:color w:val="101828"/>
                <w:sz w:val="15"/>
              </w:rPr>
              <w:t>Short-lived access tokens; rotating single-use refresh tokens; reuse revokes the token family.</w:t>
            </w:r>
          </w:p>
        </w:tc>
        <w:tc>
          <w:tcPr>
            <w:tcW w:type="dxa" w:w="2160"/>
            <w:tcMar>
              <w:top w:w="60" w:type="dxa"/>
              <w:start w:w="110" w:type="dxa"/>
              <w:bottom w:w="60" w:type="dxa"/>
              <w:end w:w="110" w:type="dxa"/>
            </w:tcMar>
          </w:tcPr>
          <w:p>
            <w:pPr>
              <w:spacing w:after="0"/>
            </w:pPr>
            <w:r/>
            <w:r>
              <w:rPr>
                <w:rFonts w:ascii="Calibri" w:hAnsi="Calibri"/>
                <w:b w:val="0"/>
                <w:i w:val="0"/>
                <w:color w:val="101828"/>
                <w:sz w:val="15"/>
              </w:rPr>
              <w:t>Token lifecycle test; server-side session revocation test</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5"/>
              </w:rPr>
              <w:t>NFR-SEC-006</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Security</w:t>
            </w:r>
          </w:p>
        </w:tc>
        <w:tc>
          <w:tcPr>
            <w:tcW w:type="dxa" w:w="4536"/>
            <w:tcMar>
              <w:top w:w="60" w:type="dxa"/>
              <w:start w:w="110" w:type="dxa"/>
              <w:bottom w:w="60" w:type="dxa"/>
              <w:end w:w="110" w:type="dxa"/>
            </w:tcMar>
            <w:shd w:val="clear" w:color="auto" w:fill="F4F7FB"/>
          </w:tcPr>
          <w:p>
            <w:pPr>
              <w:spacing w:after="0"/>
            </w:pPr>
            <w:r/>
            <w:r>
              <w:rPr>
                <w:rFonts w:ascii="Calibri" w:hAnsi="Calibri"/>
                <w:b w:val="0"/>
                <w:i w:val="0"/>
                <w:color w:val="101828"/>
                <w:sz w:val="15"/>
              </w:rPr>
              <w:t>File uploads validated for type, size and content server-side; images re-encoded before storage.</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Upload abuse test with mismatched type and extension</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5"/>
              </w:rPr>
              <w:t>NFR-SEC-007</w:t>
            </w:r>
          </w:p>
        </w:tc>
        <w:tc>
          <w:tcPr>
            <w:tcW w:type="dxa" w:w="1224"/>
            <w:tcMar>
              <w:top w:w="60" w:type="dxa"/>
              <w:start w:w="110" w:type="dxa"/>
              <w:bottom w:w="60" w:type="dxa"/>
              <w:end w:w="110" w:type="dxa"/>
            </w:tcMar>
          </w:tcPr>
          <w:p>
            <w:pPr>
              <w:spacing w:after="0"/>
            </w:pPr>
            <w:r/>
            <w:r>
              <w:rPr>
                <w:rFonts w:ascii="Calibri" w:hAnsi="Calibri"/>
                <w:b w:val="0"/>
                <w:i w:val="0"/>
                <w:color w:val="101828"/>
                <w:sz w:val="15"/>
              </w:rPr>
              <w:t>Security</w:t>
            </w:r>
          </w:p>
        </w:tc>
        <w:tc>
          <w:tcPr>
            <w:tcW w:type="dxa" w:w="4536"/>
            <w:tcMar>
              <w:top w:w="60" w:type="dxa"/>
              <w:start w:w="110" w:type="dxa"/>
              <w:bottom w:w="60" w:type="dxa"/>
              <w:end w:w="110" w:type="dxa"/>
            </w:tcMar>
          </w:tcPr>
          <w:p>
            <w:pPr>
              <w:spacing w:after="0"/>
            </w:pPr>
            <w:r/>
            <w:r>
              <w:rPr>
                <w:rFonts w:ascii="Calibri" w:hAnsi="Calibri"/>
                <w:b w:val="0"/>
                <w:i w:val="0"/>
                <w:color w:val="101828"/>
                <w:sz w:val="15"/>
              </w:rPr>
              <w:t>No payment credentials stored at any layer; provider tokenisation only.</w:t>
            </w:r>
          </w:p>
        </w:tc>
        <w:tc>
          <w:tcPr>
            <w:tcW w:type="dxa" w:w="2160"/>
            <w:tcMar>
              <w:top w:w="60" w:type="dxa"/>
              <w:start w:w="110" w:type="dxa"/>
              <w:bottom w:w="60" w:type="dxa"/>
              <w:end w:w="110" w:type="dxa"/>
            </w:tcMar>
          </w:tcPr>
          <w:p>
            <w:pPr>
              <w:spacing w:after="0"/>
            </w:pPr>
            <w:r/>
            <w:r>
              <w:rPr>
                <w:rFonts w:ascii="Calibri" w:hAnsi="Calibri"/>
                <w:b w:val="0"/>
                <w:i w:val="0"/>
                <w:color w:val="101828"/>
                <w:sz w:val="15"/>
              </w:rPr>
              <w:t>Code review; data-store inspection</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5"/>
              </w:rPr>
              <w:t>NFR-SEC-008</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Security</w:t>
            </w:r>
          </w:p>
        </w:tc>
        <w:tc>
          <w:tcPr>
            <w:tcW w:type="dxa" w:w="4536"/>
            <w:tcMar>
              <w:top w:w="60" w:type="dxa"/>
              <w:start w:w="110" w:type="dxa"/>
              <w:bottom w:w="60" w:type="dxa"/>
              <w:end w:w="110" w:type="dxa"/>
            </w:tcMar>
            <w:shd w:val="clear" w:color="auto" w:fill="F4F7FB"/>
          </w:tcPr>
          <w:p>
            <w:pPr>
              <w:spacing w:after="0"/>
            </w:pPr>
            <w:r/>
            <w:r>
              <w:rPr>
                <w:rFonts w:ascii="Calibri" w:hAnsi="Calibri"/>
                <w:b w:val="0"/>
                <w:i w:val="0"/>
                <w:color w:val="101828"/>
                <w:sz w:val="15"/>
              </w:rPr>
              <w:t>Invitation tokens single-use, expiring, revocable, and non-enumerable.</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Token entropy and expiry test</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5"/>
              </w:rPr>
              <w:t>NFR-SEC-009</w:t>
            </w:r>
          </w:p>
        </w:tc>
        <w:tc>
          <w:tcPr>
            <w:tcW w:type="dxa" w:w="1224"/>
            <w:tcMar>
              <w:top w:w="60" w:type="dxa"/>
              <w:start w:w="110" w:type="dxa"/>
              <w:bottom w:w="60" w:type="dxa"/>
              <w:end w:w="110" w:type="dxa"/>
            </w:tcMar>
          </w:tcPr>
          <w:p>
            <w:pPr>
              <w:spacing w:after="0"/>
            </w:pPr>
            <w:r/>
            <w:r>
              <w:rPr>
                <w:rFonts w:ascii="Calibri" w:hAnsi="Calibri"/>
                <w:b w:val="0"/>
                <w:i w:val="0"/>
                <w:color w:val="101828"/>
                <w:sz w:val="15"/>
              </w:rPr>
              <w:t>Security</w:t>
            </w:r>
          </w:p>
        </w:tc>
        <w:tc>
          <w:tcPr>
            <w:tcW w:type="dxa" w:w="4536"/>
            <w:tcMar>
              <w:top w:w="60" w:type="dxa"/>
              <w:start w:w="110" w:type="dxa"/>
              <w:bottom w:w="60" w:type="dxa"/>
              <w:end w:w="110" w:type="dxa"/>
            </w:tcMar>
          </w:tcPr>
          <w:p>
            <w:pPr>
              <w:spacing w:after="0"/>
            </w:pPr>
            <w:r/>
            <w:r>
              <w:rPr>
                <w:rFonts w:ascii="Calibri" w:hAnsi="Calibri"/>
                <w:b w:val="0"/>
                <w:i w:val="0"/>
                <w:color w:val="101828"/>
                <w:sz w:val="15"/>
              </w:rPr>
              <w:t>All provider webhooks signature-verified, replay-protected and idempotent before any credit is posted.</w:t>
            </w:r>
          </w:p>
        </w:tc>
        <w:tc>
          <w:tcPr>
            <w:tcW w:type="dxa" w:w="2160"/>
            <w:tcMar>
              <w:top w:w="60" w:type="dxa"/>
              <w:start w:w="110" w:type="dxa"/>
              <w:bottom w:w="60" w:type="dxa"/>
              <w:end w:w="110" w:type="dxa"/>
            </w:tcMar>
          </w:tcPr>
          <w:p>
            <w:pPr>
              <w:spacing w:after="0"/>
            </w:pPr>
            <w:r/>
            <w:r>
              <w:rPr>
                <w:rFonts w:ascii="Calibri" w:hAnsi="Calibri"/>
                <w:b w:val="0"/>
                <w:i w:val="0"/>
                <w:color w:val="101828"/>
                <w:sz w:val="15"/>
              </w:rPr>
              <w:t>Signature-failure and replay test suite</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5"/>
              </w:rPr>
              <w:t>NFR-SEC-010</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Security</w:t>
            </w:r>
          </w:p>
        </w:tc>
        <w:tc>
          <w:tcPr>
            <w:tcW w:type="dxa" w:w="4536"/>
            <w:tcMar>
              <w:top w:w="60" w:type="dxa"/>
              <w:start w:w="110" w:type="dxa"/>
              <w:bottom w:w="60" w:type="dxa"/>
              <w:end w:w="110" w:type="dxa"/>
            </w:tcMar>
            <w:shd w:val="clear" w:color="auto" w:fill="F4F7FB"/>
          </w:tcPr>
          <w:p>
            <w:pPr>
              <w:spacing w:after="0"/>
            </w:pPr>
            <w:r/>
            <w:r>
              <w:rPr>
                <w:rFonts w:ascii="Calibri" w:hAnsi="Calibri"/>
                <w:b w:val="0"/>
                <w:i w:val="0"/>
                <w:color w:val="101828"/>
                <w:sz w:val="15"/>
              </w:rPr>
              <w:t>Payout destinations must be verified and in the recipient's own name before any release.</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Negative test with a mismatched account name</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5"/>
              </w:rPr>
              <w:t>NFR-PERF-001</w:t>
            </w:r>
          </w:p>
        </w:tc>
        <w:tc>
          <w:tcPr>
            <w:tcW w:type="dxa" w:w="1224"/>
            <w:tcMar>
              <w:top w:w="60" w:type="dxa"/>
              <w:start w:w="110" w:type="dxa"/>
              <w:bottom w:w="60" w:type="dxa"/>
              <w:end w:w="110" w:type="dxa"/>
            </w:tcMar>
          </w:tcPr>
          <w:p>
            <w:pPr>
              <w:spacing w:after="0"/>
            </w:pPr>
            <w:r/>
            <w:r>
              <w:rPr>
                <w:rFonts w:ascii="Calibri" w:hAnsi="Calibri"/>
                <w:b w:val="0"/>
                <w:i w:val="0"/>
                <w:color w:val="101828"/>
                <w:sz w:val="15"/>
              </w:rPr>
              <w:t>Performance</w:t>
            </w:r>
          </w:p>
        </w:tc>
        <w:tc>
          <w:tcPr>
            <w:tcW w:type="dxa" w:w="4536"/>
            <w:tcMar>
              <w:top w:w="60" w:type="dxa"/>
              <w:start w:w="110" w:type="dxa"/>
              <w:bottom w:w="60" w:type="dxa"/>
              <w:end w:w="110" w:type="dxa"/>
            </w:tcMar>
          </w:tcPr>
          <w:p>
            <w:pPr>
              <w:spacing w:after="0"/>
            </w:pPr>
            <w:r/>
            <w:r>
              <w:rPr>
                <w:rFonts w:ascii="Calibri" w:hAnsi="Calibri"/>
                <w:b w:val="0"/>
                <w:i w:val="0"/>
                <w:color w:val="101828"/>
                <w:sz w:val="15"/>
              </w:rPr>
              <w:t>Server-side API p95 under 300 ms and p99 under 800 ms for read endpoints at expected load.</w:t>
            </w:r>
          </w:p>
        </w:tc>
        <w:tc>
          <w:tcPr>
            <w:tcW w:type="dxa" w:w="2160"/>
            <w:tcMar>
              <w:top w:w="60" w:type="dxa"/>
              <w:start w:w="110" w:type="dxa"/>
              <w:bottom w:w="60" w:type="dxa"/>
              <w:end w:w="110" w:type="dxa"/>
            </w:tcMar>
          </w:tcPr>
          <w:p>
            <w:pPr>
              <w:spacing w:after="0"/>
            </w:pPr>
            <w:r/>
            <w:r>
              <w:rPr>
                <w:rFonts w:ascii="Calibri" w:hAnsi="Calibri"/>
                <w:b w:val="0"/>
                <w:i w:val="0"/>
                <w:color w:val="101828"/>
                <w:sz w:val="15"/>
              </w:rPr>
              <w:t>Load test at 1,000 concurrent sessions</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5"/>
              </w:rPr>
              <w:t>NFR-PERF-002</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Performance</w:t>
            </w:r>
          </w:p>
        </w:tc>
        <w:tc>
          <w:tcPr>
            <w:tcW w:type="dxa" w:w="4536"/>
            <w:tcMar>
              <w:top w:w="60" w:type="dxa"/>
              <w:start w:w="110" w:type="dxa"/>
              <w:bottom w:w="60" w:type="dxa"/>
              <w:end w:w="110" w:type="dxa"/>
            </w:tcMar>
            <w:shd w:val="clear" w:color="auto" w:fill="F4F7FB"/>
          </w:tcPr>
          <w:p>
            <w:pPr>
              <w:spacing w:after="0"/>
            </w:pPr>
            <w:r/>
            <w:r>
              <w:rPr>
                <w:rFonts w:ascii="Calibri" w:hAnsi="Calibri"/>
                <w:b w:val="0"/>
                <w:i w:val="0"/>
                <w:color w:val="101828"/>
                <w:sz w:val="15"/>
              </w:rPr>
              <w:t>Verification email and OTP dispatched within 60 seconds of request, 99% of the time.</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Synthetic monitoring</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5"/>
              </w:rPr>
              <w:t>NFR-PERF-003</w:t>
            </w:r>
          </w:p>
        </w:tc>
        <w:tc>
          <w:tcPr>
            <w:tcW w:type="dxa" w:w="1224"/>
            <w:tcMar>
              <w:top w:w="60" w:type="dxa"/>
              <w:start w:w="110" w:type="dxa"/>
              <w:bottom w:w="60" w:type="dxa"/>
              <w:end w:w="110" w:type="dxa"/>
            </w:tcMar>
          </w:tcPr>
          <w:p>
            <w:pPr>
              <w:spacing w:after="0"/>
            </w:pPr>
            <w:r/>
            <w:r>
              <w:rPr>
                <w:rFonts w:ascii="Calibri" w:hAnsi="Calibri"/>
                <w:b w:val="0"/>
                <w:i w:val="0"/>
                <w:color w:val="101828"/>
                <w:sz w:val="15"/>
              </w:rPr>
              <w:t>Performance</w:t>
            </w:r>
          </w:p>
        </w:tc>
        <w:tc>
          <w:tcPr>
            <w:tcW w:type="dxa" w:w="4536"/>
            <w:tcMar>
              <w:top w:w="60" w:type="dxa"/>
              <w:start w:w="110" w:type="dxa"/>
              <w:bottom w:w="60" w:type="dxa"/>
              <w:end w:w="110" w:type="dxa"/>
            </w:tcMar>
          </w:tcPr>
          <w:p>
            <w:pPr>
              <w:spacing w:after="0"/>
            </w:pPr>
            <w:r/>
            <w:r>
              <w:rPr>
                <w:rFonts w:ascii="Calibri" w:hAnsi="Calibri"/>
                <w:b w:val="0"/>
                <w:i w:val="0"/>
                <w:color w:val="101828"/>
                <w:sz w:val="15"/>
              </w:rPr>
              <w:t>Payment initiation acknowledged by the platform within 2 seconds; final state within provider-agreed settlement time.</w:t>
            </w:r>
          </w:p>
        </w:tc>
        <w:tc>
          <w:tcPr>
            <w:tcW w:type="dxa" w:w="2160"/>
            <w:tcMar>
              <w:top w:w="60" w:type="dxa"/>
              <w:start w:w="110" w:type="dxa"/>
              <w:bottom w:w="60" w:type="dxa"/>
              <w:end w:w="110" w:type="dxa"/>
            </w:tcMar>
          </w:tcPr>
          <w:p>
            <w:pPr>
              <w:spacing w:after="0"/>
            </w:pPr>
            <w:r/>
            <w:r>
              <w:rPr>
                <w:rFonts w:ascii="Calibri" w:hAnsi="Calibri"/>
                <w:b w:val="0"/>
                <w:i w:val="0"/>
                <w:color w:val="101828"/>
                <w:sz w:val="15"/>
              </w:rPr>
              <w:t>Load test; provider SLA confirmation required</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5"/>
              </w:rPr>
              <w:t>NFR-PERF-004</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Performance</w:t>
            </w:r>
          </w:p>
        </w:tc>
        <w:tc>
          <w:tcPr>
            <w:tcW w:type="dxa" w:w="4536"/>
            <w:tcMar>
              <w:top w:w="60" w:type="dxa"/>
              <w:start w:w="110" w:type="dxa"/>
              <w:bottom w:w="60" w:type="dxa"/>
              <w:end w:w="110" w:type="dxa"/>
            </w:tcMar>
            <w:shd w:val="clear" w:color="auto" w:fill="F4F7FB"/>
          </w:tcPr>
          <w:p>
            <w:pPr>
              <w:spacing w:after="0"/>
            </w:pPr>
            <w:r/>
            <w:r>
              <w:rPr>
                <w:rFonts w:ascii="Calibri" w:hAnsi="Calibri"/>
                <w:b w:val="0"/>
                <w:i w:val="0"/>
                <w:color w:val="101828"/>
                <w:sz w:val="15"/>
              </w:rPr>
              <w:t>Largest mobile screen fully interactive within 3 seconds on a mid-range Android device over 3G.</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Device testing on the lowest supported device class</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5"/>
              </w:rPr>
              <w:t>NFR-PERF-005</w:t>
            </w:r>
          </w:p>
        </w:tc>
        <w:tc>
          <w:tcPr>
            <w:tcW w:type="dxa" w:w="1224"/>
            <w:tcMar>
              <w:top w:w="60" w:type="dxa"/>
              <w:start w:w="110" w:type="dxa"/>
              <w:bottom w:w="60" w:type="dxa"/>
              <w:end w:w="110" w:type="dxa"/>
            </w:tcMar>
          </w:tcPr>
          <w:p>
            <w:pPr>
              <w:spacing w:after="0"/>
            </w:pPr>
            <w:r/>
            <w:r>
              <w:rPr>
                <w:rFonts w:ascii="Calibri" w:hAnsi="Calibri"/>
                <w:b w:val="0"/>
                <w:i w:val="0"/>
                <w:color w:val="101828"/>
                <w:sz w:val="15"/>
              </w:rPr>
              <w:t>Performance</w:t>
            </w:r>
          </w:p>
        </w:tc>
        <w:tc>
          <w:tcPr>
            <w:tcW w:type="dxa" w:w="4536"/>
            <w:tcMar>
              <w:top w:w="60" w:type="dxa"/>
              <w:start w:w="110" w:type="dxa"/>
              <w:bottom w:w="60" w:type="dxa"/>
              <w:end w:w="110" w:type="dxa"/>
            </w:tcMar>
          </w:tcPr>
          <w:p>
            <w:pPr>
              <w:spacing w:after="0"/>
            </w:pPr>
            <w:r/>
            <w:r>
              <w:rPr>
                <w:rFonts w:ascii="Calibri" w:hAnsi="Calibri"/>
                <w:b w:val="0"/>
                <w:i w:val="0"/>
                <w:color w:val="101828"/>
                <w:sz w:val="15"/>
              </w:rPr>
              <w:t>Statement generation for a completed 10-round Ajo within 10 seconds.</w:t>
            </w:r>
          </w:p>
        </w:tc>
        <w:tc>
          <w:tcPr>
            <w:tcW w:type="dxa" w:w="2160"/>
            <w:tcMar>
              <w:top w:w="60" w:type="dxa"/>
              <w:start w:w="110" w:type="dxa"/>
              <w:bottom w:w="60" w:type="dxa"/>
              <w:end w:w="110" w:type="dxa"/>
            </w:tcMar>
          </w:tcPr>
          <w:p>
            <w:pPr>
              <w:spacing w:after="0"/>
            </w:pPr>
            <w:r/>
            <w:r>
              <w:rPr>
                <w:rFonts w:ascii="Calibri" w:hAnsi="Calibri"/>
                <w:b w:val="0"/>
                <w:i w:val="0"/>
                <w:color w:val="101828"/>
                <w:sz w:val="15"/>
              </w:rPr>
              <w:t>Timing test</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5"/>
              </w:rPr>
              <w:t>NFR-AVL-001</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Availability</w:t>
            </w:r>
          </w:p>
        </w:tc>
        <w:tc>
          <w:tcPr>
            <w:tcW w:type="dxa" w:w="4536"/>
            <w:tcMar>
              <w:top w:w="60" w:type="dxa"/>
              <w:start w:w="110" w:type="dxa"/>
              <w:bottom w:w="60" w:type="dxa"/>
              <w:end w:w="110" w:type="dxa"/>
            </w:tcMar>
            <w:shd w:val="clear" w:color="auto" w:fill="F4F7FB"/>
          </w:tcPr>
          <w:p>
            <w:pPr>
              <w:spacing w:after="0"/>
            </w:pPr>
            <w:r/>
            <w:r>
              <w:rPr>
                <w:rFonts w:ascii="Calibri" w:hAnsi="Calibri"/>
                <w:b w:val="0"/>
                <w:i w:val="0"/>
                <w:color w:val="101828"/>
                <w:sz w:val="15"/>
              </w:rPr>
              <w:t>99.5% monthly availability of the member-facing application, measured monthly.</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External synthetic monitoring</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5"/>
              </w:rPr>
              <w:t>NFR-AVL-002</w:t>
            </w:r>
          </w:p>
        </w:tc>
        <w:tc>
          <w:tcPr>
            <w:tcW w:type="dxa" w:w="1224"/>
            <w:tcMar>
              <w:top w:w="60" w:type="dxa"/>
              <w:start w:w="110" w:type="dxa"/>
              <w:bottom w:w="60" w:type="dxa"/>
              <w:end w:w="110" w:type="dxa"/>
            </w:tcMar>
          </w:tcPr>
          <w:p>
            <w:pPr>
              <w:spacing w:after="0"/>
            </w:pPr>
            <w:r/>
            <w:r>
              <w:rPr>
                <w:rFonts w:ascii="Calibri" w:hAnsi="Calibri"/>
                <w:b w:val="0"/>
                <w:i w:val="0"/>
                <w:color w:val="101828"/>
                <w:sz w:val="15"/>
              </w:rPr>
              <w:t>Availability</w:t>
            </w:r>
          </w:p>
        </w:tc>
        <w:tc>
          <w:tcPr>
            <w:tcW w:type="dxa" w:w="4536"/>
            <w:tcMar>
              <w:top w:w="60" w:type="dxa"/>
              <w:start w:w="110" w:type="dxa"/>
              <w:bottom w:w="60" w:type="dxa"/>
              <w:end w:w="110" w:type="dxa"/>
            </w:tcMar>
          </w:tcPr>
          <w:p>
            <w:pPr>
              <w:spacing w:after="0"/>
            </w:pPr>
            <w:r/>
            <w:r>
              <w:rPr>
                <w:rFonts w:ascii="Calibri" w:hAnsi="Calibri"/>
                <w:b w:val="0"/>
                <w:i w:val="0"/>
                <w:color w:val="101828"/>
                <w:sz w:val="15"/>
              </w:rPr>
              <w:t>99.0% availability of payment initiation and payout release paths, measured separately because they are the money paths.</w:t>
            </w:r>
          </w:p>
        </w:tc>
        <w:tc>
          <w:tcPr>
            <w:tcW w:type="dxa" w:w="2160"/>
            <w:tcMar>
              <w:top w:w="60" w:type="dxa"/>
              <w:start w:w="110" w:type="dxa"/>
              <w:bottom w:w="60" w:type="dxa"/>
              <w:end w:w="110" w:type="dxa"/>
            </w:tcMar>
          </w:tcPr>
          <w:p>
            <w:pPr>
              <w:spacing w:after="0"/>
            </w:pPr>
            <w:r/>
            <w:r>
              <w:rPr>
                <w:rFonts w:ascii="Calibri" w:hAnsi="Calibri"/>
                <w:b w:val="0"/>
                <w:i w:val="0"/>
                <w:color w:val="101828"/>
                <w:sz w:val="15"/>
              </w:rPr>
              <w:t>External monitoring with alert routing</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5"/>
              </w:rPr>
              <w:t>NFR-AVL-003</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Availability</w:t>
            </w:r>
          </w:p>
        </w:tc>
        <w:tc>
          <w:tcPr>
            <w:tcW w:type="dxa" w:w="4536"/>
            <w:tcMar>
              <w:top w:w="60" w:type="dxa"/>
              <w:start w:w="110" w:type="dxa"/>
              <w:bottom w:w="60" w:type="dxa"/>
              <w:end w:w="110" w:type="dxa"/>
            </w:tcMar>
            <w:shd w:val="clear" w:color="auto" w:fill="F4F7FB"/>
          </w:tcPr>
          <w:p>
            <w:pPr>
              <w:spacing w:after="0"/>
            </w:pPr>
            <w:r/>
            <w:r>
              <w:rPr>
                <w:rFonts w:ascii="Calibri" w:hAnsi="Calibri"/>
                <w:b w:val="0"/>
                <w:i w:val="0"/>
                <w:color w:val="101828"/>
                <w:sz w:val="15"/>
              </w:rPr>
              <w:t>A provider webhook outage must not lose a payment. State must be recoverable by reconciliation within 24 hours.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Chaos test with provider endpoint blocked</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5"/>
              </w:rPr>
              <w:t>NFR-AVL-004</w:t>
            </w:r>
          </w:p>
        </w:tc>
        <w:tc>
          <w:tcPr>
            <w:tcW w:type="dxa" w:w="1224"/>
            <w:tcMar>
              <w:top w:w="60" w:type="dxa"/>
              <w:start w:w="110" w:type="dxa"/>
              <w:bottom w:w="60" w:type="dxa"/>
              <w:end w:w="110" w:type="dxa"/>
            </w:tcMar>
          </w:tcPr>
          <w:p>
            <w:pPr>
              <w:spacing w:after="0"/>
            </w:pPr>
            <w:r/>
            <w:r>
              <w:rPr>
                <w:rFonts w:ascii="Calibri" w:hAnsi="Calibri"/>
                <w:b w:val="0"/>
                <w:i w:val="0"/>
                <w:color w:val="101828"/>
                <w:sz w:val="15"/>
              </w:rPr>
              <w:t>Availability</w:t>
            </w:r>
          </w:p>
        </w:tc>
        <w:tc>
          <w:tcPr>
            <w:tcW w:type="dxa" w:w="4536"/>
            <w:tcMar>
              <w:top w:w="60" w:type="dxa"/>
              <w:start w:w="110" w:type="dxa"/>
              <w:bottom w:w="60" w:type="dxa"/>
              <w:end w:w="110" w:type="dxa"/>
            </w:tcMar>
          </w:tcPr>
          <w:p>
            <w:pPr>
              <w:spacing w:after="0"/>
            </w:pPr>
            <w:r/>
            <w:r>
              <w:rPr>
                <w:rFonts w:ascii="Calibri" w:hAnsi="Calibri"/>
                <w:b w:val="0"/>
                <w:i w:val="0"/>
                <w:color w:val="101828"/>
                <w:sz w:val="15"/>
              </w:rPr>
              <w:t>No single point of failure in the payment initiation path; documented failover to a second provider is a post-MVP objective, not a launch claim.</w:t>
            </w:r>
          </w:p>
        </w:tc>
        <w:tc>
          <w:tcPr>
            <w:tcW w:type="dxa" w:w="2160"/>
            <w:tcMar>
              <w:top w:w="60" w:type="dxa"/>
              <w:start w:w="110" w:type="dxa"/>
              <w:bottom w:w="60" w:type="dxa"/>
              <w:end w:w="110" w:type="dxa"/>
            </w:tcMar>
          </w:tcPr>
          <w:p>
            <w:pPr>
              <w:spacing w:after="0"/>
            </w:pPr>
            <w:r/>
            <w:r>
              <w:rPr>
                <w:rFonts w:ascii="Calibri" w:hAnsi="Calibri"/>
                <w:b w:val="0"/>
                <w:i w:val="0"/>
                <w:color w:val="101828"/>
                <w:sz w:val="15"/>
              </w:rPr>
              <w:t>Architecture review</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5"/>
              </w:rPr>
              <w:t>NFR-AVL-005</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Availability</w:t>
            </w:r>
          </w:p>
        </w:tc>
        <w:tc>
          <w:tcPr>
            <w:tcW w:type="dxa" w:w="4536"/>
            <w:tcMar>
              <w:top w:w="60" w:type="dxa"/>
              <w:start w:w="110" w:type="dxa"/>
              <w:bottom w:w="60" w:type="dxa"/>
              <w:end w:w="110" w:type="dxa"/>
            </w:tcMar>
            <w:shd w:val="clear" w:color="auto" w:fill="F4F7FB"/>
          </w:tcPr>
          <w:p>
            <w:pPr>
              <w:spacing w:after="0"/>
            </w:pPr>
            <w:r/>
            <w:r>
              <w:rPr>
                <w:rFonts w:ascii="Calibri" w:hAnsi="Calibri"/>
                <w:b w:val="0"/>
                <w:i w:val="0"/>
                <w:color w:val="101828"/>
                <w:sz w:val="15"/>
              </w:rPr>
              <w:t>Maintenance windows must never exceed 4 hours and must never fall inside a collection window.</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Release policy</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5"/>
              </w:rPr>
              <w:t>NFR-SCL-001</w:t>
            </w:r>
          </w:p>
        </w:tc>
        <w:tc>
          <w:tcPr>
            <w:tcW w:type="dxa" w:w="1224"/>
            <w:tcMar>
              <w:top w:w="60" w:type="dxa"/>
              <w:start w:w="110" w:type="dxa"/>
              <w:bottom w:w="60" w:type="dxa"/>
              <w:end w:w="110" w:type="dxa"/>
            </w:tcMar>
          </w:tcPr>
          <w:p>
            <w:pPr>
              <w:spacing w:after="0"/>
            </w:pPr>
            <w:r/>
            <w:r>
              <w:rPr>
                <w:rFonts w:ascii="Calibri" w:hAnsi="Calibri"/>
                <w:b w:val="0"/>
                <w:i w:val="0"/>
                <w:color w:val="101828"/>
                <w:sz w:val="15"/>
              </w:rPr>
              <w:t>Scalability</w:t>
            </w:r>
          </w:p>
        </w:tc>
        <w:tc>
          <w:tcPr>
            <w:tcW w:type="dxa" w:w="4536"/>
            <w:tcMar>
              <w:top w:w="60" w:type="dxa"/>
              <w:start w:w="110" w:type="dxa"/>
              <w:bottom w:w="60" w:type="dxa"/>
              <w:end w:w="110" w:type="dxa"/>
            </w:tcMar>
          </w:tcPr>
          <w:p>
            <w:pPr>
              <w:spacing w:after="0"/>
            </w:pPr>
            <w:r/>
            <w:r>
              <w:rPr>
                <w:rFonts w:ascii="Calibri" w:hAnsi="Calibri"/>
                <w:b w:val="0"/>
                <w:i w:val="0"/>
                <w:color w:val="101828"/>
                <w:sz w:val="15"/>
              </w:rPr>
              <w:t>Design to 10,000 concurrent members and 100 simultaneous payment initiations per second without architectural change.</w:t>
            </w:r>
          </w:p>
        </w:tc>
        <w:tc>
          <w:tcPr>
            <w:tcW w:type="dxa" w:w="2160"/>
            <w:tcMar>
              <w:top w:w="60" w:type="dxa"/>
              <w:start w:w="110" w:type="dxa"/>
              <w:bottom w:w="60" w:type="dxa"/>
              <w:end w:w="110" w:type="dxa"/>
            </w:tcMar>
          </w:tcPr>
          <w:p>
            <w:pPr>
              <w:spacing w:after="0"/>
            </w:pPr>
            <w:r/>
            <w:r>
              <w:rPr>
                <w:rFonts w:ascii="Calibri" w:hAnsi="Calibri"/>
                <w:b w:val="0"/>
                <w:i w:val="0"/>
                <w:color w:val="101828"/>
                <w:sz w:val="15"/>
              </w:rPr>
              <w:t>Load test</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5"/>
              </w:rPr>
              <w:t>NFR-SCL-002</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Scalability</w:t>
            </w:r>
          </w:p>
        </w:tc>
        <w:tc>
          <w:tcPr>
            <w:tcW w:type="dxa" w:w="4536"/>
            <w:tcMar>
              <w:top w:w="60" w:type="dxa"/>
              <w:start w:w="110" w:type="dxa"/>
              <w:bottom w:w="60" w:type="dxa"/>
              <w:end w:w="110" w:type="dxa"/>
            </w:tcMar>
            <w:shd w:val="clear" w:color="auto" w:fill="F4F7FB"/>
          </w:tcPr>
          <w:p>
            <w:pPr>
              <w:spacing w:after="0"/>
            </w:pPr>
            <w:r/>
            <w:r>
              <w:rPr>
                <w:rFonts w:ascii="Calibri" w:hAnsi="Calibri"/>
                <w:b w:val="0"/>
                <w:i w:val="0"/>
                <w:color w:val="101828"/>
                <w:sz w:val="15"/>
              </w:rPr>
              <w:t>A single Ajo must support the maximum configured size without degrading any other Ajo's performance.</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Isolation test</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5"/>
              </w:rPr>
              <w:t>NFR-SCL-003</w:t>
            </w:r>
          </w:p>
        </w:tc>
        <w:tc>
          <w:tcPr>
            <w:tcW w:type="dxa" w:w="1224"/>
            <w:tcMar>
              <w:top w:w="60" w:type="dxa"/>
              <w:start w:w="110" w:type="dxa"/>
              <w:bottom w:w="60" w:type="dxa"/>
              <w:end w:w="110" w:type="dxa"/>
            </w:tcMar>
          </w:tcPr>
          <w:p>
            <w:pPr>
              <w:spacing w:after="0"/>
            </w:pPr>
            <w:r/>
            <w:r>
              <w:rPr>
                <w:rFonts w:ascii="Calibri" w:hAnsi="Calibri"/>
                <w:b w:val="0"/>
                <w:i w:val="0"/>
                <w:color w:val="101828"/>
                <w:sz w:val="15"/>
              </w:rPr>
              <w:t>Scalability</w:t>
            </w:r>
          </w:p>
        </w:tc>
        <w:tc>
          <w:tcPr>
            <w:tcW w:type="dxa" w:w="4536"/>
            <w:tcMar>
              <w:top w:w="60" w:type="dxa"/>
              <w:start w:w="110" w:type="dxa"/>
              <w:bottom w:w="60" w:type="dxa"/>
              <w:end w:w="110" w:type="dxa"/>
            </w:tcMar>
          </w:tcPr>
          <w:p>
            <w:pPr>
              <w:spacing w:after="0"/>
            </w:pPr>
            <w:r/>
            <w:r>
              <w:rPr>
                <w:rFonts w:ascii="Calibri" w:hAnsi="Calibri"/>
                <w:b w:val="0"/>
                <w:i w:val="0"/>
                <w:color w:val="101828"/>
                <w:sz w:val="15"/>
              </w:rPr>
              <w:t>The ledger must remain queryable at 100 million postings; partitioning and archival strategy documented before scale.</w:t>
            </w:r>
          </w:p>
        </w:tc>
        <w:tc>
          <w:tcPr>
            <w:tcW w:type="dxa" w:w="2160"/>
            <w:tcMar>
              <w:top w:w="60" w:type="dxa"/>
              <w:start w:w="110" w:type="dxa"/>
              <w:bottom w:w="60" w:type="dxa"/>
              <w:end w:w="110" w:type="dxa"/>
            </w:tcMar>
          </w:tcPr>
          <w:p>
            <w:pPr>
              <w:spacing w:after="0"/>
            </w:pPr>
            <w:r/>
            <w:r>
              <w:rPr>
                <w:rFonts w:ascii="Calibri" w:hAnsi="Calibri"/>
                <w:b w:val="0"/>
                <w:i w:val="0"/>
                <w:color w:val="101828"/>
                <w:sz w:val="15"/>
              </w:rPr>
              <w:t>Data volume test</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5"/>
              </w:rPr>
              <w:t>NFR-SCL-004</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Scalability</w:t>
            </w:r>
          </w:p>
        </w:tc>
        <w:tc>
          <w:tcPr>
            <w:tcW w:type="dxa" w:w="4536"/>
            <w:tcMar>
              <w:top w:w="60" w:type="dxa"/>
              <w:start w:w="110" w:type="dxa"/>
              <w:bottom w:w="60" w:type="dxa"/>
              <w:end w:w="110" w:type="dxa"/>
            </w:tcMar>
            <w:shd w:val="clear" w:color="auto" w:fill="F4F7FB"/>
          </w:tcPr>
          <w:p>
            <w:pPr>
              <w:spacing w:after="0"/>
            </w:pPr>
            <w:r/>
            <w:r>
              <w:rPr>
                <w:rFonts w:ascii="Calibri" w:hAnsi="Calibri"/>
                <w:b w:val="0"/>
                <w:i w:val="0"/>
                <w:color w:val="101828"/>
                <w:sz w:val="15"/>
              </w:rPr>
              <w:t>Notification dispatch must absorb a 10x spike in a single event type without delaying other event types.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Spike test</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5"/>
              </w:rPr>
              <w:t>NFR-SCL-005</w:t>
            </w:r>
          </w:p>
        </w:tc>
        <w:tc>
          <w:tcPr>
            <w:tcW w:type="dxa" w:w="1224"/>
            <w:tcMar>
              <w:top w:w="60" w:type="dxa"/>
              <w:start w:w="110" w:type="dxa"/>
              <w:bottom w:w="60" w:type="dxa"/>
              <w:end w:w="110" w:type="dxa"/>
            </w:tcMar>
          </w:tcPr>
          <w:p>
            <w:pPr>
              <w:spacing w:after="0"/>
            </w:pPr>
            <w:r/>
            <w:r>
              <w:rPr>
                <w:rFonts w:ascii="Calibri" w:hAnsi="Calibri"/>
                <w:b w:val="0"/>
                <w:i w:val="0"/>
                <w:color w:val="101828"/>
                <w:sz w:val="15"/>
              </w:rPr>
              <w:t>Scalability</w:t>
            </w:r>
          </w:p>
        </w:tc>
        <w:tc>
          <w:tcPr>
            <w:tcW w:type="dxa" w:w="4536"/>
            <w:tcMar>
              <w:top w:w="60" w:type="dxa"/>
              <w:start w:w="110" w:type="dxa"/>
              <w:bottom w:w="60" w:type="dxa"/>
              <w:end w:w="110" w:type="dxa"/>
            </w:tcMar>
          </w:tcPr>
          <w:p>
            <w:pPr>
              <w:spacing w:after="0"/>
            </w:pPr>
            <w:r/>
            <w:r>
              <w:rPr>
                <w:rFonts w:ascii="Calibri" w:hAnsi="Calibri"/>
                <w:b w:val="0"/>
                <w:i w:val="0"/>
                <w:color w:val="101828"/>
                <w:sz w:val="15"/>
              </w:rPr>
              <w:t>An organizer may manage at least 20 concurrent Ajos with no per-Ajo degradation.</w:t>
            </w:r>
          </w:p>
        </w:tc>
        <w:tc>
          <w:tcPr>
            <w:tcW w:type="dxa" w:w="2160"/>
            <w:tcMar>
              <w:top w:w="60" w:type="dxa"/>
              <w:start w:w="110" w:type="dxa"/>
              <w:bottom w:w="60" w:type="dxa"/>
              <w:end w:w="110" w:type="dxa"/>
            </w:tcMar>
          </w:tcPr>
          <w:p>
            <w:pPr>
              <w:spacing w:after="0"/>
            </w:pPr>
            <w:r/>
            <w:r>
              <w:rPr>
                <w:rFonts w:ascii="Calibri" w:hAnsi="Calibri"/>
                <w:b w:val="0"/>
                <w:i w:val="0"/>
                <w:color w:val="101828"/>
                <w:sz w:val="15"/>
              </w:rPr>
              <w:t>Load test with a synthetic heavy organizer</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5"/>
              </w:rPr>
              <w:t>NFR-ACC-001</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Accessibility</w:t>
            </w:r>
          </w:p>
        </w:tc>
        <w:tc>
          <w:tcPr>
            <w:tcW w:type="dxa" w:w="4536"/>
            <w:tcMar>
              <w:top w:w="60" w:type="dxa"/>
              <w:start w:w="110" w:type="dxa"/>
              <w:bottom w:w="60" w:type="dxa"/>
              <w:end w:w="110" w:type="dxa"/>
            </w:tcMar>
            <w:shd w:val="clear" w:color="auto" w:fill="F4F7FB"/>
          </w:tcPr>
          <w:p>
            <w:pPr>
              <w:spacing w:after="0"/>
            </w:pPr>
            <w:r/>
            <w:r>
              <w:rPr>
                <w:rFonts w:ascii="Calibri" w:hAnsi="Calibri"/>
                <w:b w:val="0"/>
                <w:i w:val="0"/>
                <w:color w:val="101828"/>
                <w:sz w:val="15"/>
              </w:rPr>
              <w:t>WCAG 2.1 Level AA conformance for all member-facing web screens, verified per release.</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Automated scan plus manual keyboard and screen-reader pass</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5"/>
              </w:rPr>
              <w:t>NFR-ACC-002</w:t>
            </w:r>
          </w:p>
        </w:tc>
        <w:tc>
          <w:tcPr>
            <w:tcW w:type="dxa" w:w="1224"/>
            <w:tcMar>
              <w:top w:w="60" w:type="dxa"/>
              <w:start w:w="110" w:type="dxa"/>
              <w:bottom w:w="60" w:type="dxa"/>
              <w:end w:w="110" w:type="dxa"/>
            </w:tcMar>
          </w:tcPr>
          <w:p>
            <w:pPr>
              <w:spacing w:after="0"/>
            </w:pPr>
            <w:r/>
            <w:r>
              <w:rPr>
                <w:rFonts w:ascii="Calibri" w:hAnsi="Calibri"/>
                <w:b w:val="0"/>
                <w:i w:val="0"/>
                <w:color w:val="101828"/>
                <w:sz w:val="15"/>
              </w:rPr>
              <w:t>Accessibility</w:t>
            </w:r>
          </w:p>
        </w:tc>
        <w:tc>
          <w:tcPr>
            <w:tcW w:type="dxa" w:w="4536"/>
            <w:tcMar>
              <w:top w:w="60" w:type="dxa"/>
              <w:start w:w="110" w:type="dxa"/>
              <w:bottom w:w="60" w:type="dxa"/>
              <w:end w:w="110" w:type="dxa"/>
            </w:tcMar>
          </w:tcPr>
          <w:p>
            <w:pPr>
              <w:spacing w:after="0"/>
            </w:pPr>
            <w:r/>
            <w:r>
              <w:rPr>
                <w:rFonts w:ascii="Calibri" w:hAnsi="Calibri"/>
                <w:b w:val="0"/>
                <w:i w:val="0"/>
                <w:color w:val="101828"/>
                <w:sz w:val="15"/>
              </w:rPr>
              <w:t>Every interactive element reachable and operable by keyboard alone, with a visible focus indicator.</w:t>
            </w:r>
          </w:p>
        </w:tc>
        <w:tc>
          <w:tcPr>
            <w:tcW w:type="dxa" w:w="2160"/>
            <w:tcMar>
              <w:top w:w="60" w:type="dxa"/>
              <w:start w:w="110" w:type="dxa"/>
              <w:bottom w:w="60" w:type="dxa"/>
              <w:end w:w="110" w:type="dxa"/>
            </w:tcMar>
          </w:tcPr>
          <w:p>
            <w:pPr>
              <w:spacing w:after="0"/>
            </w:pPr>
            <w:r/>
            <w:r>
              <w:rPr>
                <w:rFonts w:ascii="Calibri" w:hAnsi="Calibri"/>
                <w:b w:val="0"/>
                <w:i w:val="0"/>
                <w:color w:val="101828"/>
                <w:sz w:val="15"/>
              </w:rPr>
              <w:t>Manual keyboard traversal</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5"/>
              </w:rPr>
              <w:t>NFR-ACC-003</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Accessibility</w:t>
            </w:r>
          </w:p>
        </w:tc>
        <w:tc>
          <w:tcPr>
            <w:tcW w:type="dxa" w:w="4536"/>
            <w:tcMar>
              <w:top w:w="60" w:type="dxa"/>
              <w:start w:w="110" w:type="dxa"/>
              <w:bottom w:w="60" w:type="dxa"/>
              <w:end w:w="110" w:type="dxa"/>
            </w:tcMar>
            <w:shd w:val="clear" w:color="auto" w:fill="F4F7FB"/>
          </w:tcPr>
          <w:p>
            <w:pPr>
              <w:spacing w:after="0"/>
            </w:pPr>
            <w:r/>
            <w:r>
              <w:rPr>
                <w:rFonts w:ascii="Calibri" w:hAnsi="Calibri"/>
                <w:b w:val="0"/>
                <w:i w:val="0"/>
                <w:color w:val="101828"/>
                <w:sz w:val="15"/>
              </w:rPr>
              <w:t>No information conveyed by colour alone. Contribution, default and payout states must carry a text label and an icon.</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Design review; contrast audit</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5"/>
              </w:rPr>
              <w:t>NFR-ACC-004</w:t>
            </w:r>
          </w:p>
        </w:tc>
        <w:tc>
          <w:tcPr>
            <w:tcW w:type="dxa" w:w="1224"/>
            <w:tcMar>
              <w:top w:w="60" w:type="dxa"/>
              <w:start w:w="110" w:type="dxa"/>
              <w:bottom w:w="60" w:type="dxa"/>
              <w:end w:w="110" w:type="dxa"/>
            </w:tcMar>
          </w:tcPr>
          <w:p>
            <w:pPr>
              <w:spacing w:after="0"/>
            </w:pPr>
            <w:r/>
            <w:r>
              <w:rPr>
                <w:rFonts w:ascii="Calibri" w:hAnsi="Calibri"/>
                <w:b w:val="0"/>
                <w:i w:val="0"/>
                <w:color w:val="101828"/>
                <w:sz w:val="15"/>
              </w:rPr>
              <w:t>Accessibility</w:t>
            </w:r>
          </w:p>
        </w:tc>
        <w:tc>
          <w:tcPr>
            <w:tcW w:type="dxa" w:w="4536"/>
            <w:tcMar>
              <w:top w:w="60" w:type="dxa"/>
              <w:start w:w="110" w:type="dxa"/>
              <w:bottom w:w="60" w:type="dxa"/>
              <w:end w:w="110" w:type="dxa"/>
            </w:tcMar>
          </w:tcPr>
          <w:p>
            <w:pPr>
              <w:spacing w:after="0"/>
            </w:pPr>
            <w:r/>
            <w:r>
              <w:rPr>
                <w:rFonts w:ascii="Calibri" w:hAnsi="Calibri"/>
                <w:b w:val="0"/>
                <w:i w:val="0"/>
                <w:color w:val="101828"/>
                <w:sz w:val="15"/>
              </w:rPr>
              <w:t>Minimum text contrast ratio of 4.5 to 1 for body text against the brand palette.</w:t>
            </w:r>
          </w:p>
        </w:tc>
        <w:tc>
          <w:tcPr>
            <w:tcW w:type="dxa" w:w="2160"/>
            <w:tcMar>
              <w:top w:w="60" w:type="dxa"/>
              <w:start w:w="110" w:type="dxa"/>
              <w:bottom w:w="60" w:type="dxa"/>
              <w:end w:w="110" w:type="dxa"/>
            </w:tcMar>
          </w:tcPr>
          <w:p>
            <w:pPr>
              <w:spacing w:after="0"/>
            </w:pPr>
            <w:r/>
            <w:r>
              <w:rPr>
                <w:rFonts w:ascii="Calibri" w:hAnsi="Calibri"/>
                <w:b w:val="0"/>
                <w:i w:val="0"/>
                <w:color w:val="101828"/>
                <w:sz w:val="15"/>
              </w:rPr>
              <w:t>Automated contrast test on the theme tokens</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5"/>
              </w:rPr>
              <w:t>NFR-ACC-005</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Accessibility</w:t>
            </w:r>
          </w:p>
        </w:tc>
        <w:tc>
          <w:tcPr>
            <w:tcW w:type="dxa" w:w="4536"/>
            <w:tcMar>
              <w:top w:w="60" w:type="dxa"/>
              <w:start w:w="110" w:type="dxa"/>
              <w:bottom w:w="60" w:type="dxa"/>
              <w:end w:w="110" w:type="dxa"/>
            </w:tcMar>
            <w:shd w:val="clear" w:color="auto" w:fill="F4F7FB"/>
          </w:tcPr>
          <w:p>
            <w:pPr>
              <w:spacing w:after="0"/>
            </w:pPr>
            <w:r/>
            <w:r>
              <w:rPr>
                <w:rFonts w:ascii="Calibri" w:hAnsi="Calibri"/>
                <w:b w:val="0"/>
                <w:i w:val="0"/>
                <w:color w:val="101828"/>
                <w:sz w:val="15"/>
              </w:rPr>
              <w:t>Core flows (join, pay, view position) completable without a mouse, including on the low-bandwidth path.</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Keyboard-only end-to-end test</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5"/>
              </w:rPr>
              <w:t>NFR-AUD-001</w:t>
            </w:r>
          </w:p>
        </w:tc>
        <w:tc>
          <w:tcPr>
            <w:tcW w:type="dxa" w:w="1224"/>
            <w:tcMar>
              <w:top w:w="60" w:type="dxa"/>
              <w:start w:w="110" w:type="dxa"/>
              <w:bottom w:w="60" w:type="dxa"/>
              <w:end w:w="110" w:type="dxa"/>
            </w:tcMar>
          </w:tcPr>
          <w:p>
            <w:pPr>
              <w:spacing w:after="0"/>
            </w:pPr>
            <w:r/>
            <w:r>
              <w:rPr>
                <w:rFonts w:ascii="Calibri" w:hAnsi="Calibri"/>
                <w:b w:val="0"/>
                <w:i w:val="0"/>
                <w:color w:val="101828"/>
                <w:sz w:val="15"/>
              </w:rPr>
              <w:t>Auditability</w:t>
            </w:r>
          </w:p>
        </w:tc>
        <w:tc>
          <w:tcPr>
            <w:tcW w:type="dxa" w:w="4536"/>
            <w:tcMar>
              <w:top w:w="60" w:type="dxa"/>
              <w:start w:w="110" w:type="dxa"/>
              <w:bottom w:w="60" w:type="dxa"/>
              <w:end w:w="110" w:type="dxa"/>
            </w:tcMar>
          </w:tcPr>
          <w:p>
            <w:pPr>
              <w:spacing w:after="0"/>
            </w:pPr>
            <w:r/>
            <w:r>
              <w:rPr>
                <w:rFonts w:ascii="Calibri" w:hAnsi="Calibri"/>
                <w:b w:val="0"/>
                <w:i w:val="0"/>
                <w:color w:val="101828"/>
                <w:sz w:val="15"/>
              </w:rPr>
              <w:t>Every state transition on every business entity records actor, role, timestamp, prior state and new state, and is immutable.</w:t>
            </w:r>
          </w:p>
        </w:tc>
        <w:tc>
          <w:tcPr>
            <w:tcW w:type="dxa" w:w="2160"/>
            <w:tcMar>
              <w:top w:w="60" w:type="dxa"/>
              <w:start w:w="110" w:type="dxa"/>
              <w:bottom w:w="60" w:type="dxa"/>
              <w:end w:w="110" w:type="dxa"/>
            </w:tcMar>
          </w:tcPr>
          <w:p>
            <w:pPr>
              <w:spacing w:after="0"/>
            </w:pPr>
            <w:r/>
            <w:r>
              <w:rPr>
                <w:rFonts w:ascii="Calibri" w:hAnsi="Calibri"/>
                <w:b w:val="0"/>
                <w:i w:val="0"/>
                <w:color w:val="101828"/>
                <w:sz w:val="15"/>
              </w:rPr>
              <w:t>Schema inspection plus query test</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5"/>
              </w:rPr>
              <w:t>NFR-AUD-002</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Auditability</w:t>
            </w:r>
          </w:p>
        </w:tc>
        <w:tc>
          <w:tcPr>
            <w:tcW w:type="dxa" w:w="4536"/>
            <w:tcMar>
              <w:top w:w="60" w:type="dxa"/>
              <w:start w:w="110" w:type="dxa"/>
              <w:bottom w:w="60" w:type="dxa"/>
              <w:end w:w="110" w:type="dxa"/>
            </w:tcMar>
            <w:shd w:val="clear" w:color="auto" w:fill="F4F7FB"/>
          </w:tcPr>
          <w:p>
            <w:pPr>
              <w:spacing w:after="0"/>
            </w:pPr>
            <w:r/>
            <w:r>
              <w:rPr>
                <w:rFonts w:ascii="Calibri" w:hAnsi="Calibri"/>
                <w:b w:val="0"/>
                <w:i w:val="0"/>
                <w:color w:val="101828"/>
                <w:sz w:val="15"/>
              </w:rPr>
              <w:t>Every verification attempt, including failures, is recorded with outcome and provider reference.</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Query test</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5"/>
              </w:rPr>
              <w:t>NFR-AUD-003</w:t>
            </w:r>
          </w:p>
        </w:tc>
        <w:tc>
          <w:tcPr>
            <w:tcW w:type="dxa" w:w="1224"/>
            <w:tcMar>
              <w:top w:w="60" w:type="dxa"/>
              <w:start w:w="110" w:type="dxa"/>
              <w:bottom w:w="60" w:type="dxa"/>
              <w:end w:w="110" w:type="dxa"/>
            </w:tcMar>
          </w:tcPr>
          <w:p>
            <w:pPr>
              <w:spacing w:after="0"/>
            </w:pPr>
            <w:r/>
            <w:r>
              <w:rPr>
                <w:rFonts w:ascii="Calibri" w:hAnsi="Calibri"/>
                <w:b w:val="0"/>
                <w:i w:val="0"/>
                <w:color w:val="101828"/>
                <w:sz w:val="15"/>
              </w:rPr>
              <w:t>Auditability</w:t>
            </w:r>
          </w:p>
        </w:tc>
        <w:tc>
          <w:tcPr>
            <w:tcW w:type="dxa" w:w="4536"/>
            <w:tcMar>
              <w:top w:w="60" w:type="dxa"/>
              <w:start w:w="110" w:type="dxa"/>
              <w:bottom w:w="60" w:type="dxa"/>
              <w:end w:w="110" w:type="dxa"/>
            </w:tcMar>
          </w:tcPr>
          <w:p>
            <w:pPr>
              <w:spacing w:after="0"/>
            </w:pPr>
            <w:r/>
            <w:r>
              <w:rPr>
                <w:rFonts w:ascii="Calibri" w:hAnsi="Calibri"/>
                <w:b w:val="0"/>
                <w:i w:val="0"/>
                <w:color w:val="101828"/>
                <w:sz w:val="15"/>
              </w:rPr>
              <w:t>Every privileged action requires re-authentication and is recorded with before and after values.</w:t>
            </w:r>
          </w:p>
        </w:tc>
        <w:tc>
          <w:tcPr>
            <w:tcW w:type="dxa" w:w="2160"/>
            <w:tcMar>
              <w:top w:w="60" w:type="dxa"/>
              <w:start w:w="110" w:type="dxa"/>
              <w:bottom w:w="60" w:type="dxa"/>
              <w:end w:w="110" w:type="dxa"/>
            </w:tcMar>
          </w:tcPr>
          <w:p>
            <w:pPr>
              <w:spacing w:after="0"/>
            </w:pPr>
            <w:r/>
            <w:r>
              <w:rPr>
                <w:rFonts w:ascii="Calibri" w:hAnsi="Calibri"/>
                <w:b w:val="0"/>
                <w:i w:val="0"/>
                <w:color w:val="101828"/>
                <w:sz w:val="15"/>
              </w:rPr>
              <w:t>Admin action test with audit log inspection</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5"/>
              </w:rPr>
              <w:t>NFR-AUD-004</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Auditability</w:t>
            </w:r>
          </w:p>
        </w:tc>
        <w:tc>
          <w:tcPr>
            <w:tcW w:type="dxa" w:w="4536"/>
            <w:tcMar>
              <w:top w:w="60" w:type="dxa"/>
              <w:start w:w="110" w:type="dxa"/>
              <w:bottom w:w="60" w:type="dxa"/>
              <w:end w:w="110" w:type="dxa"/>
            </w:tcMar>
            <w:shd w:val="clear" w:color="auto" w:fill="F4F7FB"/>
          </w:tcPr>
          <w:p>
            <w:pPr>
              <w:spacing w:after="0"/>
            </w:pPr>
            <w:r/>
            <w:r>
              <w:rPr>
                <w:rFonts w:ascii="Calibri" w:hAnsi="Calibri"/>
                <w:b w:val="0"/>
                <w:i w:val="0"/>
                <w:color w:val="101828"/>
                <w:sz w:val="15"/>
              </w:rPr>
              <w:t>The audit log is append-only and readable by every admin role, writable by none.</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Permission test proving no write path exists</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5"/>
              </w:rPr>
              <w:t>NFR-AUD-005</w:t>
            </w:r>
          </w:p>
        </w:tc>
        <w:tc>
          <w:tcPr>
            <w:tcW w:type="dxa" w:w="1224"/>
            <w:tcMar>
              <w:top w:w="60" w:type="dxa"/>
              <w:start w:w="110" w:type="dxa"/>
              <w:bottom w:w="60" w:type="dxa"/>
              <w:end w:w="110" w:type="dxa"/>
            </w:tcMar>
          </w:tcPr>
          <w:p>
            <w:pPr>
              <w:spacing w:after="0"/>
            </w:pPr>
            <w:r/>
            <w:r>
              <w:rPr>
                <w:rFonts w:ascii="Calibri" w:hAnsi="Calibri"/>
                <w:b w:val="0"/>
                <w:i w:val="0"/>
                <w:color w:val="101828"/>
                <w:sz w:val="15"/>
              </w:rPr>
              <w:t>Auditability</w:t>
            </w:r>
          </w:p>
        </w:tc>
        <w:tc>
          <w:tcPr>
            <w:tcW w:type="dxa" w:w="4536"/>
            <w:tcMar>
              <w:top w:w="60" w:type="dxa"/>
              <w:start w:w="110" w:type="dxa"/>
              <w:bottom w:w="60" w:type="dxa"/>
              <w:end w:w="110" w:type="dxa"/>
            </w:tcMar>
          </w:tcPr>
          <w:p>
            <w:pPr>
              <w:spacing w:after="0"/>
            </w:pPr>
            <w:r/>
            <w:r>
              <w:rPr>
                <w:rFonts w:ascii="Calibri" w:hAnsi="Calibri"/>
                <w:b w:val="0"/>
                <w:i w:val="0"/>
                <w:color w:val="101828"/>
                <w:sz w:val="15"/>
              </w:rPr>
              <w:t>Daily automated reconciliation between provider settlements, the ledger and balances, with any exception creating a risk event.</w:t>
            </w:r>
          </w:p>
        </w:tc>
        <w:tc>
          <w:tcPr>
            <w:tcW w:type="dxa" w:w="2160"/>
            <w:tcMar>
              <w:top w:w="60" w:type="dxa"/>
              <w:start w:w="110" w:type="dxa"/>
              <w:bottom w:w="60" w:type="dxa"/>
              <w:end w:w="110" w:type="dxa"/>
            </w:tcMar>
          </w:tcPr>
          <w:p>
            <w:pPr>
              <w:spacing w:after="0"/>
            </w:pPr>
            <w:r/>
            <w:r>
              <w:rPr>
                <w:rFonts w:ascii="Calibri" w:hAnsi="Calibri"/>
                <w:b w:val="0"/>
                <w:i w:val="0"/>
                <w:color w:val="101828"/>
                <w:sz w:val="15"/>
              </w:rPr>
              <w:t>Scheduled job with an exception injection test</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5"/>
              </w:rPr>
              <w:t>NFR-AUD-006</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Auditability</w:t>
            </w:r>
          </w:p>
        </w:tc>
        <w:tc>
          <w:tcPr>
            <w:tcW w:type="dxa" w:w="4536"/>
            <w:tcMar>
              <w:top w:w="60" w:type="dxa"/>
              <w:start w:w="110" w:type="dxa"/>
              <w:bottom w:w="60" w:type="dxa"/>
              <w:end w:w="110" w:type="dxa"/>
            </w:tcMar>
            <w:shd w:val="clear" w:color="auto" w:fill="F4F7FB"/>
          </w:tcPr>
          <w:p>
            <w:pPr>
              <w:spacing w:after="0"/>
            </w:pPr>
            <w:r/>
            <w:r>
              <w:rPr>
                <w:rFonts w:ascii="Calibri" w:hAnsi="Calibri"/>
                <w:b w:val="0"/>
                <w:i w:val="0"/>
                <w:color w:val="101828"/>
                <w:sz w:val="15"/>
              </w:rPr>
              <w:t>Every transaction in the ledger must balance to zero or be rejected. An unbalanced transaction cannot be committed.</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Automated invariant check on every write path</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5"/>
              </w:rPr>
              <w:t>NFR-LOC-001</w:t>
            </w:r>
          </w:p>
        </w:tc>
        <w:tc>
          <w:tcPr>
            <w:tcW w:type="dxa" w:w="1224"/>
            <w:tcMar>
              <w:top w:w="60" w:type="dxa"/>
              <w:start w:w="110" w:type="dxa"/>
              <w:bottom w:w="60" w:type="dxa"/>
              <w:end w:w="110" w:type="dxa"/>
            </w:tcMar>
          </w:tcPr>
          <w:p>
            <w:pPr>
              <w:spacing w:after="0"/>
            </w:pPr>
            <w:r/>
            <w:r>
              <w:rPr>
                <w:rFonts w:ascii="Calibri" w:hAnsi="Calibri"/>
                <w:b w:val="0"/>
                <w:i w:val="0"/>
                <w:color w:val="101828"/>
                <w:sz w:val="15"/>
              </w:rPr>
              <w:t>Localisation</w:t>
            </w:r>
          </w:p>
        </w:tc>
        <w:tc>
          <w:tcPr>
            <w:tcW w:type="dxa" w:w="4536"/>
            <w:tcMar>
              <w:top w:w="60" w:type="dxa"/>
              <w:start w:w="110" w:type="dxa"/>
              <w:bottom w:w="60" w:type="dxa"/>
              <w:end w:w="110" w:type="dxa"/>
            </w:tcMar>
          </w:tcPr>
          <w:p>
            <w:pPr>
              <w:spacing w:after="0"/>
            </w:pPr>
            <w:r/>
            <w:r>
              <w:rPr>
                <w:rFonts w:ascii="Calibri" w:hAnsi="Calibri"/>
                <w:b w:val="0"/>
                <w:i w:val="0"/>
                <w:color w:val="101828"/>
                <w:sz w:val="15"/>
              </w:rPr>
              <w:t>English and Nigerian Pidgin are supported for member-facing copy in MVP; every string is externalised, none hard-coded.</w:t>
            </w:r>
          </w:p>
        </w:tc>
        <w:tc>
          <w:tcPr>
            <w:tcW w:type="dxa" w:w="2160"/>
            <w:tcMar>
              <w:top w:w="60" w:type="dxa"/>
              <w:start w:w="110" w:type="dxa"/>
              <w:bottom w:w="60" w:type="dxa"/>
              <w:end w:w="110" w:type="dxa"/>
            </w:tcMar>
          </w:tcPr>
          <w:p>
            <w:pPr>
              <w:spacing w:after="0"/>
            </w:pPr>
            <w:r/>
            <w:r>
              <w:rPr>
                <w:rFonts w:ascii="Calibri" w:hAnsi="Calibri"/>
                <w:b w:val="0"/>
                <w:i w:val="0"/>
                <w:color w:val="101828"/>
                <w:sz w:val="15"/>
              </w:rPr>
              <w:t>String extraction check</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5"/>
              </w:rPr>
              <w:t>NFR-LOC-002</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Localisation</w:t>
            </w:r>
          </w:p>
        </w:tc>
        <w:tc>
          <w:tcPr>
            <w:tcW w:type="dxa" w:w="4536"/>
            <w:tcMar>
              <w:top w:w="60" w:type="dxa"/>
              <w:start w:w="110" w:type="dxa"/>
              <w:bottom w:w="60" w:type="dxa"/>
              <w:end w:w="110" w:type="dxa"/>
            </w:tcMar>
            <w:shd w:val="clear" w:color="auto" w:fill="F4F7FB"/>
          </w:tcPr>
          <w:p>
            <w:pPr>
              <w:spacing w:after="0"/>
            </w:pPr>
            <w:r/>
            <w:r>
              <w:rPr>
                <w:rFonts w:ascii="Calibri" w:hAnsi="Calibri"/>
                <w:b w:val="0"/>
                <w:i w:val="0"/>
                <w:color w:val="101828"/>
                <w:sz w:val="15"/>
              </w:rPr>
              <w:t>All money is displayed in NGN with two decimal places and thousands separators, using kobo integers internally with no floating point.</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Unit and rendering tests</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5"/>
              </w:rPr>
              <w:t>NFR-LOC-003</w:t>
            </w:r>
          </w:p>
        </w:tc>
        <w:tc>
          <w:tcPr>
            <w:tcW w:type="dxa" w:w="1224"/>
            <w:tcMar>
              <w:top w:w="60" w:type="dxa"/>
              <w:start w:w="110" w:type="dxa"/>
              <w:bottom w:w="60" w:type="dxa"/>
              <w:end w:w="110" w:type="dxa"/>
            </w:tcMar>
          </w:tcPr>
          <w:p>
            <w:pPr>
              <w:spacing w:after="0"/>
            </w:pPr>
            <w:r/>
            <w:r>
              <w:rPr>
                <w:rFonts w:ascii="Calibri" w:hAnsi="Calibri"/>
                <w:b w:val="0"/>
                <w:i w:val="0"/>
                <w:color w:val="101828"/>
                <w:sz w:val="15"/>
              </w:rPr>
              <w:t>Localisation</w:t>
            </w:r>
          </w:p>
        </w:tc>
        <w:tc>
          <w:tcPr>
            <w:tcW w:type="dxa" w:w="4536"/>
            <w:tcMar>
              <w:top w:w="60" w:type="dxa"/>
              <w:start w:w="110" w:type="dxa"/>
              <w:bottom w:w="60" w:type="dxa"/>
              <w:end w:w="110" w:type="dxa"/>
            </w:tcMar>
          </w:tcPr>
          <w:p>
            <w:pPr>
              <w:spacing w:after="0"/>
            </w:pPr>
            <w:r/>
            <w:r>
              <w:rPr>
                <w:rFonts w:ascii="Calibri" w:hAnsi="Calibri"/>
                <w:b w:val="0"/>
                <w:i w:val="0"/>
                <w:color w:val="101828"/>
                <w:sz w:val="15"/>
              </w:rPr>
              <w:t>All timestamps stored in UTC and rendered in the user's configured time zone, with an explicit zone shown whenever a deadline matters.</w:t>
            </w:r>
          </w:p>
        </w:tc>
        <w:tc>
          <w:tcPr>
            <w:tcW w:type="dxa" w:w="2160"/>
            <w:tcMar>
              <w:top w:w="60" w:type="dxa"/>
              <w:start w:w="110" w:type="dxa"/>
              <w:bottom w:w="60" w:type="dxa"/>
              <w:end w:w="110" w:type="dxa"/>
            </w:tcMar>
          </w:tcPr>
          <w:p>
            <w:pPr>
              <w:spacing w:after="0"/>
            </w:pPr>
            <w:r/>
            <w:r>
              <w:rPr>
                <w:rFonts w:ascii="Calibri" w:hAnsi="Calibri"/>
                <w:b w:val="0"/>
                <w:i w:val="0"/>
                <w:color w:val="101828"/>
                <w:sz w:val="15"/>
              </w:rPr>
              <w:t>Cross-zone test</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5"/>
              </w:rPr>
              <w:t>NFR-LOC-004</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5"/>
              </w:rPr>
              <w:t>Localisation</w:t>
            </w:r>
          </w:p>
        </w:tc>
        <w:tc>
          <w:tcPr>
            <w:tcW w:type="dxa" w:w="4536"/>
            <w:tcMar>
              <w:top w:w="60" w:type="dxa"/>
              <w:start w:w="110" w:type="dxa"/>
              <w:bottom w:w="60" w:type="dxa"/>
              <w:end w:w="110" w:type="dxa"/>
            </w:tcMar>
            <w:shd w:val="clear" w:color="auto" w:fill="F4F7FB"/>
          </w:tcPr>
          <w:p>
            <w:pPr>
              <w:spacing w:after="0"/>
            </w:pPr>
            <w:r/>
            <w:r>
              <w:rPr>
                <w:rFonts w:ascii="Calibri" w:hAnsi="Calibri"/>
                <w:b w:val="0"/>
                <w:i w:val="0"/>
                <w:color w:val="101828"/>
                <w:sz w:val="15"/>
              </w:rPr>
              <w:t>Naira amounts must never be represented using the naira glyph in exports, statements or API payloads, due to known encoding failures in downstream tools.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Export fixture test</w:t>
            </w:r>
          </w:p>
        </w:tc>
      </w:tr>
    </w:tbl>
    <w:p>
      <w:pPr>
        <w:spacing w:after="80"/>
      </w:pPr>
    </w:p>
    <w:p>
      <w:pPr>
        <w:spacing w:before="140" w:after="180"/>
        <w:ind w:left="144"/>
        <w:shd w:val="clear" w:color="auto" w:fill="EDE9FE"/>
        <w:pBdr>
          <w:left w:val="single" w:sz="18" w:space="6" w:color="7C3AED"/>
        </w:pBdr>
      </w:pPr>
      <w:r>
        <w:rPr>
          <w:rFonts w:ascii="Calibri" w:hAnsi="Calibri"/>
          <w:b/>
          <w:color w:val="7C3AED"/>
          <w:sz w:val="19"/>
        </w:rPr>
        <w:t xml:space="preserve">NFR targets are engineering targets, not measured facts  </w:t>
      </w:r>
      <w:r>
        <w:rPr>
          <w:rFonts w:ascii="Calibri" w:hAnsi="Calibri"/>
          <w:b w:val="0"/>
          <w:i w:val="0"/>
          <w:color w:val="0B1F3A"/>
          <w:sz w:val="19"/>
        </w:rPr>
        <w:t xml:space="preserve">The performance, availability and scalability targets above are </w:t>
      </w:r>
      <w:r>
        <w:rPr>
          <w:rFonts w:ascii="Calibri" w:hAnsi="Calibri"/>
          <w:b/>
          <w:color w:val="0B1F3A"/>
          <w:sz w:val="19"/>
        </w:rPr>
        <w:t>engineering targets set at specification time</w:t>
      </w:r>
      <w:r>
        <w:rPr>
          <w:rFonts w:ascii="Calibri" w:hAnsi="Calibri"/>
          <w:b w:val="0"/>
          <w:i w:val="0"/>
          <w:color w:val="0B1F3A"/>
          <w:sz w:val="19"/>
        </w:rPr>
        <w:t>. No system exists, nothing has been measured, and no provider SLA has been obtained. They are the acceptance thresholds the build will be tested against. Several of them, notably NFR-PERF-003, cannot be validated until ProvidusUnity provides written settlement timing (D-03).</w:t>
      </w:r>
    </w:p>
    <w:p>
      <w:pPr>
        <w:spacing w:before="140" w:after="180"/>
        <w:ind w:left="144"/>
        <w:shd w:val="clear" w:color="auto" w:fill="EFF6FF"/>
        <w:pBdr>
          <w:left w:val="single" w:sz="18" w:space="6" w:color="146EF5"/>
        </w:pBdr>
      </w:pPr>
      <w:r>
        <w:rPr>
          <w:rFonts w:ascii="Calibri" w:hAnsi="Calibri"/>
          <w:b/>
          <w:color w:val="146EF5"/>
          <w:sz w:val="19"/>
        </w:rPr>
        <w:t xml:space="preserve">The Naira glyph  </w:t>
      </w:r>
      <w:r>
        <w:rPr>
          <w:rFonts w:ascii="Calibri" w:hAnsi="Calibri"/>
          <w:b w:val="0"/>
          <w:i w:val="0"/>
          <w:color w:val="0B1F3A"/>
          <w:sz w:val="19"/>
        </w:rPr>
        <w:t xml:space="preserve">NFR-LOC-004 exists because the naira glyph renders unreliably in PDF, DOCX and some downstream accounting tools. Throughout this specification, </w:t>
      </w:r>
      <w:r>
        <w:rPr>
          <w:rFonts w:ascii="Calibri" w:hAnsi="Calibri"/>
          <w:b/>
          <w:color w:val="0B1F3A"/>
          <w:sz w:val="19"/>
        </w:rPr>
        <w:t>NGN</w:t>
      </w:r>
      <w:r>
        <w:rPr>
          <w:rFonts w:ascii="Calibri" w:hAnsi="Calibri"/>
          <w:b w:val="0"/>
          <w:i w:val="0"/>
          <w:color w:val="0B1F3A"/>
          <w:sz w:val="19"/>
        </w:rPr>
        <w:t xml:space="preserve"> is used in tables, exports, API payloads and code, and the glyph is used only in prose. This is a rendering decision, not a currency decision; the currency is the Nigerian naira throughout.</w:t>
      </w:r>
    </w:p>
    <w:p>
      <w:pPr>
        <w:pStyle w:val="Heading2"/>
      </w:pPr>
      <w:r>
        <w:rPr>
          <w:rFonts w:ascii="Calibri" w:hAnsi="Calibri"/>
          <w:b/>
          <w:i w:val="0"/>
          <w:color w:val="146EF5"/>
          <w:sz w:val="29"/>
        </w:rPr>
        <w:t>1.19 Core features</w:t>
      </w:r>
    </w:p>
    <w:p>
      <w:r>
        <w:rPr>
          <w:rFonts w:ascii="Calibri" w:hAnsi="Calibri"/>
          <w:b w:val="0"/>
          <w:i w:val="0"/>
          <w:color w:val="101828"/>
          <w:sz w:val="21"/>
        </w:rPr>
        <w:t>The features below are the product. Everything not listed here is either a supporting enabler or out of scope per section 1.16.3. Priority follows the same Must/Should/Could convention as section 1.17.</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504"/>
            <w:shd w:val="clear" w:color="auto" w:fill="0B1F3A"/>
            <w:tcMar>
              <w:top w:w="60" w:type="dxa"/>
              <w:start w:w="110" w:type="dxa"/>
              <w:bottom w:w="60" w:type="dxa"/>
              <w:end w:w="110" w:type="dxa"/>
            </w:tcMar>
          </w:tcPr>
          <w:p>
            <w:pPr>
              <w:spacing w:after="0"/>
            </w:pPr>
            <w:r/>
            <w:r>
              <w:rPr>
                <w:rFonts w:ascii="Calibri" w:hAnsi="Calibri"/>
                <w:b/>
                <w:i w:val="0"/>
                <w:color w:val="FFFFFF"/>
                <w:sz w:val="15"/>
              </w:rPr>
              <w:t>#</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5"/>
              </w:rPr>
              <w:t>Feature</w:t>
            </w:r>
          </w:p>
        </w:tc>
        <w:tc>
          <w:tcPr>
            <w:tcW w:type="dxa" w:w="4104"/>
            <w:shd w:val="clear" w:color="auto" w:fill="0B1F3A"/>
            <w:tcMar>
              <w:top w:w="60" w:type="dxa"/>
              <w:start w:w="110" w:type="dxa"/>
              <w:bottom w:w="60" w:type="dxa"/>
              <w:end w:w="110" w:type="dxa"/>
            </w:tcMar>
          </w:tcPr>
          <w:p>
            <w:pPr>
              <w:spacing w:after="0"/>
            </w:pPr>
            <w:r/>
            <w:r>
              <w:rPr>
                <w:rFonts w:ascii="Calibri" w:hAnsi="Calibri"/>
                <w:b/>
                <w:i w:val="0"/>
                <w:color w:val="FFFFFF"/>
                <w:sz w:val="15"/>
              </w:rPr>
              <w:t>What the user does with it</w:t>
            </w:r>
          </w:p>
        </w:tc>
        <w:tc>
          <w:tcPr>
            <w:tcW w:type="dxa" w:w="864"/>
            <w:shd w:val="clear" w:color="auto" w:fill="0B1F3A"/>
            <w:tcMar>
              <w:top w:w="60" w:type="dxa"/>
              <w:start w:w="110" w:type="dxa"/>
              <w:bottom w:w="60" w:type="dxa"/>
              <w:end w:w="110" w:type="dxa"/>
            </w:tcMar>
          </w:tcPr>
          <w:p>
            <w:pPr>
              <w:spacing w:after="0"/>
            </w:pPr>
            <w:r/>
            <w:r>
              <w:rPr>
                <w:rFonts w:ascii="Calibri" w:hAnsi="Calibri"/>
                <w:b/>
                <w:i w:val="0"/>
                <w:color w:val="FFFFFF"/>
                <w:sz w:val="15"/>
              </w:rPr>
              <w:t>Priority</w:t>
            </w:r>
          </w:p>
        </w:tc>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5"/>
              </w:rPr>
              <w:t>Requirements</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5"/>
              </w:rPr>
              <w:t>F1</w:t>
            </w:r>
          </w:p>
        </w:tc>
        <w:tc>
          <w:tcPr>
            <w:tcW w:type="dxa" w:w="2016"/>
            <w:tcMar>
              <w:top w:w="60" w:type="dxa"/>
              <w:start w:w="110" w:type="dxa"/>
              <w:bottom w:w="60" w:type="dxa"/>
              <w:end w:w="110" w:type="dxa"/>
            </w:tcMar>
          </w:tcPr>
          <w:p>
            <w:pPr>
              <w:spacing w:after="0"/>
            </w:pPr>
            <w:r/>
            <w:r>
              <w:rPr>
                <w:rFonts w:ascii="Calibri" w:hAnsi="Calibri"/>
                <w:b w:val="0"/>
                <w:i w:val="0"/>
                <w:color w:val="101828"/>
                <w:sz w:val="15"/>
              </w:rPr>
              <w:t>Create an Ajo</w:t>
            </w:r>
          </w:p>
        </w:tc>
        <w:tc>
          <w:tcPr>
            <w:tcW w:type="dxa" w:w="4104"/>
            <w:tcMar>
              <w:top w:w="60" w:type="dxa"/>
              <w:start w:w="110" w:type="dxa"/>
              <w:bottom w:w="60" w:type="dxa"/>
              <w:end w:w="110" w:type="dxa"/>
            </w:tcMar>
          </w:tcPr>
          <w:p>
            <w:pPr>
              <w:spacing w:after="0"/>
            </w:pPr>
            <w:r/>
            <w:r>
              <w:rPr>
                <w:rFonts w:ascii="Calibri" w:hAnsi="Calibri"/>
                <w:b w:val="0"/>
                <w:i w:val="0"/>
                <w:color w:val="101828"/>
                <w:sz w:val="15"/>
              </w:rPr>
              <w:t>Sets contribution, frequency, size, positions and terms in a 7-step wizard, then invites named people.</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1872"/>
            <w:tcMar>
              <w:top w:w="60" w:type="dxa"/>
              <w:start w:w="110" w:type="dxa"/>
              <w:bottom w:w="60" w:type="dxa"/>
              <w:end w:w="110" w:type="dxa"/>
            </w:tcMar>
          </w:tcPr>
          <w:p>
            <w:pPr>
              <w:spacing w:after="0"/>
            </w:pPr>
            <w:r/>
            <w:r>
              <w:rPr>
                <w:rFonts w:ascii="Calibri" w:hAnsi="Calibri"/>
                <w:b w:val="0"/>
                <w:i w:val="0"/>
                <w:color w:val="101828"/>
                <w:sz w:val="15"/>
              </w:rPr>
              <w:t>FR-AJO-001 to FR-AJO-011</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5"/>
              </w:rPr>
              <w:t>F2</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5"/>
              </w:rPr>
              <w:t>Invite to an Ajo</w:t>
            </w:r>
          </w:p>
        </w:tc>
        <w:tc>
          <w:tcPr>
            <w:tcW w:type="dxa" w:w="4104"/>
            <w:tcMar>
              <w:top w:w="60" w:type="dxa"/>
              <w:start w:w="110" w:type="dxa"/>
              <w:bottom w:w="60" w:type="dxa"/>
              <w:end w:w="110" w:type="dxa"/>
            </w:tcMar>
            <w:shd w:val="clear" w:color="auto" w:fill="F4F7FB"/>
          </w:tcPr>
          <w:p>
            <w:pPr>
              <w:spacing w:after="0"/>
            </w:pPr>
            <w:r/>
            <w:r>
              <w:rPr>
                <w:rFonts w:ascii="Calibri" w:hAnsi="Calibri"/>
                <w:b w:val="0"/>
                <w:i w:val="0"/>
                <w:color w:val="101828"/>
                <w:sz w:val="15"/>
              </w:rPr>
              <w:t>Issues a tokenised, expiring invitation that discloses the full terms and the 2% fee before acceptance.</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FR-INV-001 to FR-INV-007</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5"/>
              </w:rPr>
              <w:t>F3</w:t>
            </w:r>
          </w:p>
        </w:tc>
        <w:tc>
          <w:tcPr>
            <w:tcW w:type="dxa" w:w="2016"/>
            <w:tcMar>
              <w:top w:w="60" w:type="dxa"/>
              <w:start w:w="110" w:type="dxa"/>
              <w:bottom w:w="60" w:type="dxa"/>
              <w:end w:w="110" w:type="dxa"/>
            </w:tcMar>
          </w:tcPr>
          <w:p>
            <w:pPr>
              <w:spacing w:after="0"/>
            </w:pPr>
            <w:r/>
            <w:r>
              <w:rPr>
                <w:rFonts w:ascii="Calibri" w:hAnsi="Calibri"/>
                <w:b w:val="0"/>
                <w:i w:val="0"/>
                <w:color w:val="101828"/>
                <w:sz w:val="15"/>
              </w:rPr>
              <w:t>Join an Ajo</w:t>
            </w:r>
          </w:p>
        </w:tc>
        <w:tc>
          <w:tcPr>
            <w:tcW w:type="dxa" w:w="4104"/>
            <w:tcMar>
              <w:top w:w="60" w:type="dxa"/>
              <w:start w:w="110" w:type="dxa"/>
              <w:bottom w:w="60" w:type="dxa"/>
              <w:end w:w="110" w:type="dxa"/>
            </w:tcMar>
          </w:tcPr>
          <w:p>
            <w:pPr>
              <w:spacing w:after="0"/>
            </w:pPr>
            <w:r/>
            <w:r>
              <w:rPr>
                <w:rFonts w:ascii="Calibri" w:hAnsi="Calibri"/>
                <w:b w:val="0"/>
                <w:i w:val="0"/>
                <w:color w:val="101828"/>
                <w:sz w:val="15"/>
              </w:rPr>
              <w:t>Reads a plain-language summary, sees the fee itemised, acknowledges the complete-cycle commitment, takes a position.</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1872"/>
            <w:tcMar>
              <w:top w:w="60" w:type="dxa"/>
              <w:start w:w="110" w:type="dxa"/>
              <w:bottom w:w="60" w:type="dxa"/>
              <w:end w:w="110" w:type="dxa"/>
            </w:tcMar>
          </w:tcPr>
          <w:p>
            <w:pPr>
              <w:spacing w:after="0"/>
            </w:pPr>
            <w:r/>
            <w:r>
              <w:rPr>
                <w:rFonts w:ascii="Calibri" w:hAnsi="Calibri"/>
                <w:b w:val="0"/>
                <w:i w:val="0"/>
                <w:color w:val="101828"/>
                <w:sz w:val="15"/>
              </w:rPr>
              <w:t>FR-JOIN-001 to FR-JOIN-006</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5"/>
              </w:rPr>
              <w:t>F4</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5"/>
              </w:rPr>
              <w:t>Automatic schedule</w:t>
            </w:r>
          </w:p>
        </w:tc>
        <w:tc>
          <w:tcPr>
            <w:tcW w:type="dxa" w:w="4104"/>
            <w:tcMar>
              <w:top w:w="60" w:type="dxa"/>
              <w:start w:w="110" w:type="dxa"/>
              <w:bottom w:w="60" w:type="dxa"/>
              <w:end w:w="110" w:type="dxa"/>
            </w:tcMar>
            <w:shd w:val="clear" w:color="auto" w:fill="F4F7FB"/>
          </w:tcPr>
          <w:p>
            <w:pPr>
              <w:spacing w:after="0"/>
            </w:pPr>
            <w:r/>
            <w:r>
              <w:rPr>
                <w:rFonts w:ascii="Calibri" w:hAnsi="Calibri"/>
                <w:b w:val="0"/>
                <w:i w:val="0"/>
                <w:color w:val="101828"/>
                <w:sz w:val="15"/>
              </w:rPr>
              <w:t>Receives a generated, locked, per-round schedule with due dates, amounts owed and totals.</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FR-SCH-001 to FR-SCH-006</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5"/>
              </w:rPr>
              <w:t>F5</w:t>
            </w:r>
          </w:p>
        </w:tc>
        <w:tc>
          <w:tcPr>
            <w:tcW w:type="dxa" w:w="2016"/>
            <w:tcMar>
              <w:top w:w="60" w:type="dxa"/>
              <w:start w:w="110" w:type="dxa"/>
              <w:bottom w:w="60" w:type="dxa"/>
              <w:end w:w="110" w:type="dxa"/>
            </w:tcMar>
          </w:tcPr>
          <w:p>
            <w:pPr>
              <w:spacing w:after="0"/>
            </w:pPr>
            <w:r/>
            <w:r>
              <w:rPr>
                <w:rFonts w:ascii="Calibri" w:hAnsi="Calibri"/>
                <w:b w:val="0"/>
                <w:i w:val="0"/>
                <w:color w:val="101828"/>
                <w:sz w:val="15"/>
              </w:rPr>
              <w:t>Pay a contribution</w:t>
            </w:r>
          </w:p>
        </w:tc>
        <w:tc>
          <w:tcPr>
            <w:tcW w:type="dxa" w:w="4104"/>
            <w:tcMar>
              <w:top w:w="60" w:type="dxa"/>
              <w:start w:w="110" w:type="dxa"/>
              <w:bottom w:w="60" w:type="dxa"/>
              <w:end w:w="110" w:type="dxa"/>
            </w:tcMar>
          </w:tcPr>
          <w:p>
            <w:pPr>
              <w:spacing w:after="0"/>
            </w:pPr>
            <w:r/>
            <w:r>
              <w:rPr>
                <w:rFonts w:ascii="Calibri" w:hAnsi="Calibri"/>
                <w:b w:val="0"/>
                <w:i w:val="0"/>
                <w:color w:val="101828"/>
                <w:sz w:val="15"/>
              </w:rPr>
              <w:t>Pays the contribution plus the 2% fee in one action, with a receipt, verified by webhook and idempotent.</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1872"/>
            <w:tcMar>
              <w:top w:w="60" w:type="dxa"/>
              <w:start w:w="110" w:type="dxa"/>
              <w:bottom w:w="60" w:type="dxa"/>
              <w:end w:w="110" w:type="dxa"/>
            </w:tcMar>
          </w:tcPr>
          <w:p>
            <w:pPr>
              <w:spacing w:after="0"/>
            </w:pPr>
            <w:r/>
            <w:r>
              <w:rPr>
                <w:rFonts w:ascii="Calibri" w:hAnsi="Calibri"/>
                <w:b w:val="0"/>
                <w:i w:val="0"/>
                <w:color w:val="101828"/>
                <w:sz w:val="15"/>
              </w:rPr>
              <w:t>FR-PAY-001 to FR-PAY-009</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5"/>
              </w:rPr>
              <w:t>F6</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5"/>
              </w:rPr>
              <w:t>See exactly where you stand</w:t>
            </w:r>
          </w:p>
        </w:tc>
        <w:tc>
          <w:tcPr>
            <w:tcW w:type="dxa" w:w="4104"/>
            <w:tcMar>
              <w:top w:w="60" w:type="dxa"/>
              <w:start w:w="110" w:type="dxa"/>
              <w:bottom w:w="60" w:type="dxa"/>
              <w:end w:w="110" w:type="dxa"/>
            </w:tcMar>
            <w:shd w:val="clear" w:color="auto" w:fill="F4F7FB"/>
          </w:tcPr>
          <w:p>
            <w:pPr>
              <w:spacing w:after="0"/>
            </w:pPr>
            <w:r/>
            <w:r>
              <w:rPr>
                <w:rFonts w:ascii="Calibri" w:hAnsi="Calibri"/>
                <w:b w:val="0"/>
                <w:i w:val="0"/>
                <w:color w:val="101828"/>
                <w:sz w:val="15"/>
              </w:rPr>
              <w:t>Views contribution state, outstanding balance, position, payout date and the pot's funding progress at any time.</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FR-CON-001 to FR-CON-007, FR-POS-002</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5"/>
              </w:rPr>
              <w:t>F7</w:t>
            </w:r>
          </w:p>
        </w:tc>
        <w:tc>
          <w:tcPr>
            <w:tcW w:type="dxa" w:w="2016"/>
            <w:tcMar>
              <w:top w:w="60" w:type="dxa"/>
              <w:start w:w="110" w:type="dxa"/>
              <w:bottom w:w="60" w:type="dxa"/>
              <w:end w:w="110" w:type="dxa"/>
            </w:tcMar>
          </w:tcPr>
          <w:p>
            <w:pPr>
              <w:spacing w:after="0"/>
            </w:pPr>
            <w:r/>
            <w:r>
              <w:rPr>
                <w:rFonts w:ascii="Calibri" w:hAnsi="Calibri"/>
                <w:b w:val="0"/>
                <w:i w:val="0"/>
                <w:color w:val="101828"/>
                <w:sz w:val="15"/>
              </w:rPr>
              <w:t>Payout to the member on turn</w:t>
            </w:r>
          </w:p>
        </w:tc>
        <w:tc>
          <w:tcPr>
            <w:tcW w:type="dxa" w:w="4104"/>
            <w:tcMar>
              <w:top w:w="60" w:type="dxa"/>
              <w:start w:w="110" w:type="dxa"/>
              <w:bottom w:w="60" w:type="dxa"/>
              <w:end w:w="110" w:type="dxa"/>
            </w:tcMar>
          </w:tcPr>
          <w:p>
            <w:pPr>
              <w:spacing w:after="0"/>
            </w:pPr>
            <w:r/>
            <w:r>
              <w:rPr>
                <w:rFonts w:ascii="Calibri" w:hAnsi="Calibri"/>
                <w:b w:val="0"/>
                <w:i w:val="0"/>
                <w:color w:val="101828"/>
                <w:sz w:val="15"/>
              </w:rPr>
              <w:t>Receives the base pool in full, released only when funded, with a receipt.</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1872"/>
            <w:tcMar>
              <w:top w:w="60" w:type="dxa"/>
              <w:start w:w="110" w:type="dxa"/>
              <w:bottom w:w="60" w:type="dxa"/>
              <w:end w:w="110" w:type="dxa"/>
            </w:tcMar>
          </w:tcPr>
          <w:p>
            <w:pPr>
              <w:spacing w:after="0"/>
            </w:pPr>
            <w:r/>
            <w:r>
              <w:rPr>
                <w:rFonts w:ascii="Calibri" w:hAnsi="Calibri"/>
                <w:b w:val="0"/>
                <w:i w:val="0"/>
                <w:color w:val="101828"/>
                <w:sz w:val="15"/>
              </w:rPr>
              <w:t>FR-POS-001 to FR-POS-005, FR-POUT-001 to FR-POUT-008</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5"/>
              </w:rPr>
              <w:t>F8</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5"/>
              </w:rPr>
              <w:t>Held payouts with explanation</w:t>
            </w:r>
          </w:p>
        </w:tc>
        <w:tc>
          <w:tcPr>
            <w:tcW w:type="dxa" w:w="4104"/>
            <w:tcMar>
              <w:top w:w="60" w:type="dxa"/>
              <w:start w:w="110" w:type="dxa"/>
              <w:bottom w:w="60" w:type="dxa"/>
              <w:end w:w="110" w:type="dxa"/>
            </w:tcMar>
            <w:shd w:val="clear" w:color="auto" w:fill="F4F7FB"/>
          </w:tcPr>
          <w:p>
            <w:pPr>
              <w:spacing w:after="0"/>
            </w:pPr>
            <w:r/>
            <w:r>
              <w:rPr>
                <w:rFonts w:ascii="Calibri" w:hAnsi="Calibri"/>
                <w:b w:val="0"/>
                <w:i w:val="0"/>
                <w:color w:val="101828"/>
                <w:sz w:val="15"/>
              </w:rPr>
              <w:t>When funds are short, sees a clear held state and an explanation, never a silently reduced amount.</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FR-POUT-002, BR-018</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5"/>
              </w:rPr>
              <w:t>F9</w:t>
            </w:r>
          </w:p>
        </w:tc>
        <w:tc>
          <w:tcPr>
            <w:tcW w:type="dxa" w:w="2016"/>
            <w:tcMar>
              <w:top w:w="60" w:type="dxa"/>
              <w:start w:w="110" w:type="dxa"/>
              <w:bottom w:w="60" w:type="dxa"/>
              <w:end w:w="110" w:type="dxa"/>
            </w:tcMar>
          </w:tcPr>
          <w:p>
            <w:pPr>
              <w:spacing w:after="0"/>
            </w:pPr>
            <w:r/>
            <w:r>
              <w:rPr>
                <w:rFonts w:ascii="Calibri" w:hAnsi="Calibri"/>
                <w:b w:val="0"/>
                <w:i w:val="0"/>
                <w:color w:val="101828"/>
                <w:sz w:val="15"/>
              </w:rPr>
              <w:t>Reminders and notifications</w:t>
            </w:r>
          </w:p>
        </w:tc>
        <w:tc>
          <w:tcPr>
            <w:tcW w:type="dxa" w:w="4104"/>
            <w:tcMar>
              <w:top w:w="60" w:type="dxa"/>
              <w:start w:w="110" w:type="dxa"/>
              <w:bottom w:w="60" w:type="dxa"/>
              <w:end w:w="110" w:type="dxa"/>
            </w:tcMar>
          </w:tcPr>
          <w:p>
            <w:pPr>
              <w:spacing w:after="0"/>
            </w:pPr>
            <w:r/>
            <w:r>
              <w:rPr>
                <w:rFonts w:ascii="Calibri" w:hAnsi="Calibri"/>
                <w:b w:val="0"/>
                <w:i w:val="0"/>
                <w:color w:val="101828"/>
                <w:sz w:val="15"/>
              </w:rPr>
              <w:t>Receives T-24h and T-2h due reminders, receipts, payout notices and security alerts on the right channel.</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1872"/>
            <w:tcMar>
              <w:top w:w="60" w:type="dxa"/>
              <w:start w:w="110" w:type="dxa"/>
              <w:bottom w:w="60" w:type="dxa"/>
              <w:end w:w="110" w:type="dxa"/>
            </w:tcMar>
          </w:tcPr>
          <w:p>
            <w:pPr>
              <w:spacing w:after="0"/>
            </w:pPr>
            <w:r/>
            <w:r>
              <w:rPr>
                <w:rFonts w:ascii="Calibri" w:hAnsi="Calibri"/>
                <w:b w:val="0"/>
                <w:i w:val="0"/>
                <w:color w:val="101828"/>
                <w:sz w:val="15"/>
              </w:rPr>
              <w:t>FR-NOTIF-001 to FR-NOTIF-007</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5"/>
              </w:rPr>
              <w:t>F10</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5"/>
              </w:rPr>
              <w:t>Receipts and statements</w:t>
            </w:r>
          </w:p>
        </w:tc>
        <w:tc>
          <w:tcPr>
            <w:tcW w:type="dxa" w:w="4104"/>
            <w:tcMar>
              <w:top w:w="60" w:type="dxa"/>
              <w:start w:w="110" w:type="dxa"/>
              <w:bottom w:w="60" w:type="dxa"/>
              <w:end w:w="110" w:type="dxa"/>
            </w:tcMar>
            <w:shd w:val="clear" w:color="auto" w:fill="F4F7FB"/>
          </w:tcPr>
          <w:p>
            <w:pPr>
              <w:spacing w:after="0"/>
            </w:pPr>
            <w:r/>
            <w:r>
              <w:rPr>
                <w:rFonts w:ascii="Calibri" w:hAnsi="Calibri"/>
                <w:b w:val="0"/>
                <w:i w:val="0"/>
                <w:color w:val="101828"/>
                <w:sz w:val="15"/>
              </w:rPr>
              <w:t>Gets a receipt for every payment and payout, and a downloadable statement for every Ajo.</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FR-PAY-007, FR-POUT-008, FR-TXN-003</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5"/>
              </w:rPr>
              <w:t>F11</w:t>
            </w:r>
          </w:p>
        </w:tc>
        <w:tc>
          <w:tcPr>
            <w:tcW w:type="dxa" w:w="2016"/>
            <w:tcMar>
              <w:top w:w="60" w:type="dxa"/>
              <w:start w:w="110" w:type="dxa"/>
              <w:bottom w:w="60" w:type="dxa"/>
              <w:end w:w="110" w:type="dxa"/>
            </w:tcMar>
          </w:tcPr>
          <w:p>
            <w:pPr>
              <w:spacing w:after="0"/>
            </w:pPr>
            <w:r/>
            <w:r>
              <w:rPr>
                <w:rFonts w:ascii="Calibri" w:hAnsi="Calibri"/>
                <w:b w:val="0"/>
                <w:i w:val="0"/>
                <w:color w:val="101828"/>
                <w:sz w:val="15"/>
              </w:rPr>
              <w:t>Disputes with evidence</w:t>
            </w:r>
          </w:p>
        </w:tc>
        <w:tc>
          <w:tcPr>
            <w:tcW w:type="dxa" w:w="4104"/>
            <w:tcMar>
              <w:top w:w="60" w:type="dxa"/>
              <w:start w:w="110" w:type="dxa"/>
              <w:bottom w:w="60" w:type="dxa"/>
              <w:end w:w="110" w:type="dxa"/>
            </w:tcMar>
          </w:tcPr>
          <w:p>
            <w:pPr>
              <w:spacing w:after="0"/>
            </w:pPr>
            <w:r/>
            <w:r>
              <w:rPr>
                <w:rFonts w:ascii="Calibri" w:hAnsi="Calibri"/>
                <w:b w:val="0"/>
                <w:i w:val="0"/>
                <w:color w:val="101828"/>
                <w:sz w:val="15"/>
              </w:rPr>
              <w:t>Raises a dispute, attaches evidence, and reads a permanent, timestamped thread.</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1872"/>
            <w:tcMar>
              <w:top w:w="60" w:type="dxa"/>
              <w:start w:w="110" w:type="dxa"/>
              <w:bottom w:w="60" w:type="dxa"/>
              <w:end w:w="110" w:type="dxa"/>
            </w:tcMar>
          </w:tcPr>
          <w:p>
            <w:pPr>
              <w:spacing w:after="0"/>
            </w:pPr>
            <w:r/>
            <w:r>
              <w:rPr>
                <w:rFonts w:ascii="Calibri" w:hAnsi="Calibri"/>
                <w:b w:val="0"/>
                <w:i w:val="0"/>
                <w:color w:val="101828"/>
                <w:sz w:val="15"/>
              </w:rPr>
              <w:t>FR-DISP-001 to FR-DISP-007</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5"/>
              </w:rPr>
              <w:t>F12</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5"/>
              </w:rPr>
              <w:t>Private default handling and recovery</w:t>
            </w:r>
          </w:p>
        </w:tc>
        <w:tc>
          <w:tcPr>
            <w:tcW w:type="dxa" w:w="4104"/>
            <w:tcMar>
              <w:top w:w="60" w:type="dxa"/>
              <w:start w:w="110" w:type="dxa"/>
              <w:bottom w:w="60" w:type="dxa"/>
              <w:end w:w="110" w:type="dxa"/>
            </w:tcMar>
            <w:shd w:val="clear" w:color="auto" w:fill="F4F7FB"/>
          </w:tcPr>
          <w:p>
            <w:pPr>
              <w:spacing w:after="0"/>
            </w:pPr>
            <w:r/>
            <w:r>
              <w:rPr>
                <w:rFonts w:ascii="Calibri" w:hAnsi="Calibri"/>
                <w:b w:val="0"/>
                <w:i w:val="0"/>
                <w:color w:val="101828"/>
                <w:sz w:val="15"/>
              </w:rPr>
              <w:t>Gets a 48-hour grace, a private process, a recovery path and a formal replacement route, with no public exposure.</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FR-DEF-001 to FR-DEF-009</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5"/>
              </w:rPr>
              <w:t>F13</w:t>
            </w:r>
          </w:p>
        </w:tc>
        <w:tc>
          <w:tcPr>
            <w:tcW w:type="dxa" w:w="2016"/>
            <w:tcMar>
              <w:top w:w="60" w:type="dxa"/>
              <w:start w:w="110" w:type="dxa"/>
              <w:bottom w:w="60" w:type="dxa"/>
              <w:end w:w="110" w:type="dxa"/>
            </w:tcMar>
          </w:tcPr>
          <w:p>
            <w:pPr>
              <w:spacing w:after="0"/>
            </w:pPr>
            <w:r/>
            <w:r>
              <w:rPr>
                <w:rFonts w:ascii="Calibri" w:hAnsi="Calibri"/>
                <w:b w:val="0"/>
                <w:i w:val="0"/>
                <w:color w:val="101828"/>
                <w:sz w:val="15"/>
              </w:rPr>
              <w:t>Replacement and transfer</w:t>
            </w:r>
          </w:p>
        </w:tc>
        <w:tc>
          <w:tcPr>
            <w:tcW w:type="dxa" w:w="4104"/>
            <w:tcMar>
              <w:top w:w="60" w:type="dxa"/>
              <w:start w:w="110" w:type="dxa"/>
              <w:bottom w:w="60" w:type="dxa"/>
              <w:end w:w="110" w:type="dxa"/>
            </w:tcMar>
          </w:tcPr>
          <w:p>
            <w:pPr>
              <w:spacing w:after="0"/>
            </w:pPr>
            <w:r/>
            <w:r>
              <w:rPr>
                <w:rFonts w:ascii="Calibri" w:hAnsi="Calibri"/>
                <w:b w:val="0"/>
                <w:i w:val="0"/>
                <w:color w:val="101828"/>
                <w:sz w:val="15"/>
              </w:rPr>
              <w:t>Requests a replacement exit and hands over to an approved successor, with both parties recorded in the ledger.</w:t>
            </w:r>
          </w:p>
        </w:tc>
        <w:tc>
          <w:tcPr>
            <w:tcW w:type="dxa" w:w="864"/>
            <w:tcMar>
              <w:top w:w="60" w:type="dxa"/>
              <w:start w:w="110" w:type="dxa"/>
              <w:bottom w:w="60" w:type="dxa"/>
              <w:end w:w="110" w:type="dxa"/>
            </w:tcMar>
          </w:tcPr>
          <w:p>
            <w:pPr>
              <w:spacing w:after="0"/>
            </w:pPr>
            <w:r/>
            <w:r>
              <w:rPr>
                <w:rFonts w:ascii="Calibri" w:hAnsi="Calibri"/>
                <w:b w:val="0"/>
                <w:i w:val="0"/>
                <w:color w:val="101828"/>
                <w:sz w:val="15"/>
              </w:rPr>
              <w:t>Should</w:t>
            </w:r>
          </w:p>
        </w:tc>
        <w:tc>
          <w:tcPr>
            <w:tcW w:type="dxa" w:w="1872"/>
            <w:tcMar>
              <w:top w:w="60" w:type="dxa"/>
              <w:start w:w="110" w:type="dxa"/>
              <w:bottom w:w="60" w:type="dxa"/>
              <w:end w:w="110" w:type="dxa"/>
            </w:tcMar>
          </w:tcPr>
          <w:p>
            <w:pPr>
              <w:spacing w:after="0"/>
            </w:pPr>
            <w:r/>
            <w:r>
              <w:rPr>
                <w:rFonts w:ascii="Calibri" w:hAnsi="Calibri"/>
                <w:b w:val="0"/>
                <w:i w:val="0"/>
                <w:color w:val="101828"/>
                <w:sz w:val="15"/>
              </w:rPr>
              <w:t>FR-MEM-006, FR-MEM-007</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5"/>
              </w:rPr>
              <w:t>F14</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5"/>
              </w:rPr>
              <w:t>Organiser delegation</w:t>
            </w:r>
          </w:p>
        </w:tc>
        <w:tc>
          <w:tcPr>
            <w:tcW w:type="dxa" w:w="4104"/>
            <w:tcMar>
              <w:top w:w="60" w:type="dxa"/>
              <w:start w:w="110" w:type="dxa"/>
              <w:bottom w:w="60" w:type="dxa"/>
              <w:end w:w="110" w:type="dxa"/>
            </w:tcMar>
            <w:shd w:val="clear" w:color="auto" w:fill="F4F7FB"/>
          </w:tcPr>
          <w:p>
            <w:pPr>
              <w:spacing w:after="0"/>
            </w:pPr>
            <w:r/>
            <w:r>
              <w:rPr>
                <w:rFonts w:ascii="Calibri" w:hAnsi="Calibri"/>
                <w:b w:val="0"/>
                <w:i w:val="0"/>
                <w:color w:val="101828"/>
                <w:sz w:val="15"/>
              </w:rPr>
              <w:t>Hands organiser duties to a trusted verified member, so the Ajo survives absence.</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Should</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FR-AJO-012</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5"/>
              </w:rPr>
              <w:t>F15</w:t>
            </w:r>
          </w:p>
        </w:tc>
        <w:tc>
          <w:tcPr>
            <w:tcW w:type="dxa" w:w="2016"/>
            <w:tcMar>
              <w:top w:w="60" w:type="dxa"/>
              <w:start w:w="110" w:type="dxa"/>
              <w:bottom w:w="60" w:type="dxa"/>
              <w:end w:w="110" w:type="dxa"/>
            </w:tcMar>
          </w:tcPr>
          <w:p>
            <w:pPr>
              <w:spacing w:after="0"/>
            </w:pPr>
            <w:r/>
            <w:r>
              <w:rPr>
                <w:rFonts w:ascii="Calibri" w:hAnsi="Calibri"/>
                <w:b w:val="0"/>
                <w:i w:val="0"/>
                <w:color w:val="101828"/>
                <w:sz w:val="15"/>
              </w:rPr>
              <w:t>Account security centre</w:t>
            </w:r>
          </w:p>
        </w:tc>
        <w:tc>
          <w:tcPr>
            <w:tcW w:type="dxa" w:w="4104"/>
            <w:tcMar>
              <w:top w:w="60" w:type="dxa"/>
              <w:start w:w="110" w:type="dxa"/>
              <w:bottom w:w="60" w:type="dxa"/>
              <w:end w:w="110" w:type="dxa"/>
            </w:tcMar>
          </w:tcPr>
          <w:p>
            <w:pPr>
              <w:spacing w:after="0"/>
            </w:pPr>
            <w:r/>
            <w:r>
              <w:rPr>
                <w:rFonts w:ascii="Calibri" w:hAnsi="Calibri"/>
                <w:b w:val="0"/>
                <w:i w:val="0"/>
                <w:color w:val="101828"/>
                <w:sz w:val="15"/>
              </w:rPr>
              <w:t>Views sessions, revokes devices, changes password, self-freezes and exports personal data.</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1872"/>
            <w:tcMar>
              <w:top w:w="60" w:type="dxa"/>
              <w:start w:w="110" w:type="dxa"/>
              <w:bottom w:w="60" w:type="dxa"/>
              <w:end w:w="110" w:type="dxa"/>
            </w:tcMar>
          </w:tcPr>
          <w:p>
            <w:pPr>
              <w:spacing w:after="0"/>
            </w:pPr>
            <w:r/>
            <w:r>
              <w:rPr>
                <w:rFonts w:ascii="Calibri" w:hAnsi="Calibri"/>
                <w:b w:val="0"/>
                <w:i w:val="0"/>
                <w:color w:val="101828"/>
                <w:sz w:val="15"/>
              </w:rPr>
              <w:t>FR-SEC-001 to FR-SEC-009</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5"/>
              </w:rPr>
              <w:t>F16</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5"/>
              </w:rPr>
              <w:t>Identity verification</w:t>
            </w:r>
          </w:p>
        </w:tc>
        <w:tc>
          <w:tcPr>
            <w:tcW w:type="dxa" w:w="4104"/>
            <w:tcMar>
              <w:top w:w="60" w:type="dxa"/>
              <w:start w:w="110" w:type="dxa"/>
              <w:bottom w:w="60" w:type="dxa"/>
              <w:end w:w="110" w:type="dxa"/>
            </w:tcMar>
            <w:shd w:val="clear" w:color="auto" w:fill="F4F7FB"/>
          </w:tcPr>
          <w:p>
            <w:pPr>
              <w:spacing w:after="0"/>
            </w:pPr>
            <w:r/>
            <w:r>
              <w:rPr>
                <w:rFonts w:ascii="Calibri" w:hAnsi="Calibri"/>
                <w:b w:val="0"/>
                <w:i w:val="0"/>
                <w:color w:val="101828"/>
                <w:sz w:val="15"/>
              </w:rPr>
              <w:t>Verifies BVN or CAC where required, with results stored but raw identifiers never retained.</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FR-KYC-001 to FR-KYC-007</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5"/>
              </w:rPr>
              <w:t>F17</w:t>
            </w:r>
          </w:p>
        </w:tc>
        <w:tc>
          <w:tcPr>
            <w:tcW w:type="dxa" w:w="2016"/>
            <w:tcMar>
              <w:top w:w="60" w:type="dxa"/>
              <w:start w:w="110" w:type="dxa"/>
              <w:bottom w:w="60" w:type="dxa"/>
              <w:end w:w="110" w:type="dxa"/>
            </w:tcMar>
          </w:tcPr>
          <w:p>
            <w:pPr>
              <w:spacing w:after="0"/>
            </w:pPr>
            <w:r/>
            <w:r>
              <w:rPr>
                <w:rFonts w:ascii="Calibri" w:hAnsi="Calibri"/>
                <w:b w:val="0"/>
                <w:i w:val="0"/>
                <w:color w:val="101828"/>
                <w:sz w:val="15"/>
              </w:rPr>
              <w:t>Admin risk and fraud console</w:t>
            </w:r>
          </w:p>
        </w:tc>
        <w:tc>
          <w:tcPr>
            <w:tcW w:type="dxa" w:w="4104"/>
            <w:tcMar>
              <w:top w:w="60" w:type="dxa"/>
              <w:start w:w="110" w:type="dxa"/>
              <w:bottom w:w="60" w:type="dxa"/>
              <w:end w:w="110" w:type="dxa"/>
            </w:tcMar>
          </w:tcPr>
          <w:p>
            <w:pPr>
              <w:spacing w:after="0"/>
            </w:pPr>
            <w:r/>
            <w:r>
              <w:rPr>
                <w:rFonts w:ascii="Calibri" w:hAnsi="Calibri"/>
                <w:b w:val="0"/>
                <w:i w:val="0"/>
                <w:color w:val="101828"/>
                <w:sz w:val="15"/>
              </w:rPr>
              <w:t>Reviews risk events, freezes, approves overrides, manages limits and inspects reconciliation exceptions.</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1872"/>
            <w:tcMar>
              <w:top w:w="60" w:type="dxa"/>
              <w:start w:w="110" w:type="dxa"/>
              <w:bottom w:w="60" w:type="dxa"/>
              <w:end w:w="110" w:type="dxa"/>
            </w:tcMar>
          </w:tcPr>
          <w:p>
            <w:pPr>
              <w:spacing w:after="0"/>
            </w:pPr>
            <w:r/>
            <w:r>
              <w:rPr>
                <w:rFonts w:ascii="Calibri" w:hAnsi="Calibri"/>
                <w:b w:val="0"/>
                <w:i w:val="0"/>
                <w:color w:val="101828"/>
                <w:sz w:val="15"/>
              </w:rPr>
              <w:t>FR-ADM-005, FR-ADM-006, FR-ADM-011</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5"/>
              </w:rPr>
              <w:t>F18</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5"/>
              </w:rPr>
              <w:t>Audit log</w:t>
            </w:r>
          </w:p>
        </w:tc>
        <w:tc>
          <w:tcPr>
            <w:tcW w:type="dxa" w:w="4104"/>
            <w:tcMar>
              <w:top w:w="60" w:type="dxa"/>
              <w:start w:w="110" w:type="dxa"/>
              <w:bottom w:w="60" w:type="dxa"/>
              <w:end w:w="110" w:type="dxa"/>
            </w:tcMar>
            <w:shd w:val="clear" w:color="auto" w:fill="F4F7FB"/>
          </w:tcPr>
          <w:p>
            <w:pPr>
              <w:spacing w:after="0"/>
            </w:pPr>
            <w:r/>
            <w:r>
              <w:rPr>
                <w:rFonts w:ascii="Calibri" w:hAnsi="Calibri"/>
                <w:b w:val="0"/>
                <w:i w:val="0"/>
                <w:color w:val="101828"/>
                <w:sz w:val="15"/>
              </w:rPr>
              <w:t>Inspects every privileged and state-changing action, read-only, filterable, permanent.</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FR-ADM-008, NFR-AUD-001 to NFR-AUD-006</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5"/>
              </w:rPr>
              <w:t>F19</w:t>
            </w:r>
          </w:p>
        </w:tc>
        <w:tc>
          <w:tcPr>
            <w:tcW w:type="dxa" w:w="2016"/>
            <w:tcMar>
              <w:top w:w="60" w:type="dxa"/>
              <w:start w:w="110" w:type="dxa"/>
              <w:bottom w:w="60" w:type="dxa"/>
              <w:end w:w="110" w:type="dxa"/>
            </w:tcMar>
          </w:tcPr>
          <w:p>
            <w:pPr>
              <w:spacing w:after="0"/>
            </w:pPr>
            <w:r/>
            <w:r>
              <w:rPr>
                <w:rFonts w:ascii="Calibri" w:hAnsi="Calibri"/>
                <w:b w:val="0"/>
                <w:i w:val="0"/>
                <w:color w:val="101828"/>
                <w:sz w:val="15"/>
              </w:rPr>
              <w:t>Financial reporting</w:t>
            </w:r>
          </w:p>
        </w:tc>
        <w:tc>
          <w:tcPr>
            <w:tcW w:type="dxa" w:w="4104"/>
            <w:tcMar>
              <w:top w:w="60" w:type="dxa"/>
              <w:start w:w="110" w:type="dxa"/>
              <w:bottom w:w="60" w:type="dxa"/>
              <w:end w:w="110" w:type="dxa"/>
            </w:tcMar>
          </w:tcPr>
          <w:p>
            <w:pPr>
              <w:spacing w:after="0"/>
            </w:pPr>
            <w:r/>
            <w:r>
              <w:rPr>
                <w:rFonts w:ascii="Calibri" w:hAnsi="Calibri"/>
                <w:b w:val="0"/>
                <w:i w:val="0"/>
                <w:color w:val="101828"/>
                <w:sz w:val="15"/>
              </w:rPr>
              <w:t>Reports deposits, volume, fee revenue, defaults, disputes and exceptions for business and risk use.</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1872"/>
            <w:tcMar>
              <w:top w:w="60" w:type="dxa"/>
              <w:start w:w="110" w:type="dxa"/>
              <w:bottom w:w="60" w:type="dxa"/>
              <w:end w:w="110" w:type="dxa"/>
            </w:tcMar>
          </w:tcPr>
          <w:p>
            <w:pPr>
              <w:spacing w:after="0"/>
            </w:pPr>
            <w:r/>
            <w:r>
              <w:rPr>
                <w:rFonts w:ascii="Calibri" w:hAnsi="Calibri"/>
                <w:b w:val="0"/>
                <w:i w:val="0"/>
                <w:color w:val="101828"/>
                <w:sz w:val="15"/>
              </w:rPr>
              <w:t>FR-ADM-009, 1.27</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5"/>
              </w:rPr>
              <w:t>F20</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5"/>
              </w:rPr>
              <w:t>Organiser console</w:t>
            </w:r>
          </w:p>
        </w:tc>
        <w:tc>
          <w:tcPr>
            <w:tcW w:type="dxa" w:w="4104"/>
            <w:tcMar>
              <w:top w:w="60" w:type="dxa"/>
              <w:start w:w="110" w:type="dxa"/>
              <w:bottom w:w="60" w:type="dxa"/>
              <w:end w:w="110" w:type="dxa"/>
            </w:tcMar>
            <w:shd w:val="clear" w:color="auto" w:fill="F4F7FB"/>
          </w:tcPr>
          <w:p>
            <w:pPr>
              <w:spacing w:after="0"/>
            </w:pPr>
            <w:r/>
            <w:r>
              <w:rPr>
                <w:rFonts w:ascii="Calibri" w:hAnsi="Calibri"/>
                <w:b w:val="0"/>
                <w:i w:val="0"/>
                <w:color w:val="101828"/>
                <w:sz w:val="15"/>
              </w:rPr>
              <w:t>One view of every Ajo the organizer runs: funding progress, outstanding members, defaults, disputes, release requests.</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FR-AJO-017, FR-MEM-004</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5"/>
              </w:rPr>
              <w:t>F21</w:t>
            </w:r>
          </w:p>
        </w:tc>
        <w:tc>
          <w:tcPr>
            <w:tcW w:type="dxa" w:w="2016"/>
            <w:tcMar>
              <w:top w:w="60" w:type="dxa"/>
              <w:start w:w="110" w:type="dxa"/>
              <w:bottom w:w="60" w:type="dxa"/>
              <w:end w:w="110" w:type="dxa"/>
            </w:tcMar>
          </w:tcPr>
          <w:p>
            <w:pPr>
              <w:spacing w:after="0"/>
            </w:pPr>
            <w:r/>
            <w:r>
              <w:rPr>
                <w:rFonts w:ascii="Calibri" w:hAnsi="Calibri"/>
                <w:b w:val="0"/>
                <w:i w:val="0"/>
                <w:color w:val="101828"/>
                <w:sz w:val="15"/>
              </w:rPr>
              <w:t>Low-bandwidth and SMS path</w:t>
            </w:r>
          </w:p>
        </w:tc>
        <w:tc>
          <w:tcPr>
            <w:tcW w:type="dxa" w:w="4104"/>
            <w:tcMar>
              <w:top w:w="60" w:type="dxa"/>
              <w:start w:w="110" w:type="dxa"/>
              <w:bottom w:w="60" w:type="dxa"/>
              <w:end w:w="110" w:type="dxa"/>
            </w:tcMar>
          </w:tcPr>
          <w:p>
            <w:pPr>
              <w:spacing w:after="0"/>
            </w:pPr>
            <w:r/>
            <w:r>
              <w:rPr>
                <w:rFonts w:ascii="Calibri" w:hAnsi="Calibri"/>
                <w:b w:val="0"/>
                <w:i w:val="0"/>
                <w:color w:val="101828"/>
                <w:sz w:val="15"/>
              </w:rPr>
              <w:t>Receives SMS for money-critical events and can complete the core flows on a weak connection.</w:t>
            </w:r>
          </w:p>
        </w:tc>
        <w:tc>
          <w:tcPr>
            <w:tcW w:type="dxa" w:w="864"/>
            <w:tcMar>
              <w:top w:w="60" w:type="dxa"/>
              <w:start w:w="110" w:type="dxa"/>
              <w:bottom w:w="60" w:type="dxa"/>
              <w:end w:w="110" w:type="dxa"/>
            </w:tcMar>
          </w:tcPr>
          <w:p>
            <w:pPr>
              <w:spacing w:after="0"/>
            </w:pPr>
            <w:r/>
            <w:r>
              <w:rPr>
                <w:rFonts w:ascii="Calibri" w:hAnsi="Calibri"/>
                <w:b w:val="0"/>
                <w:i w:val="0"/>
                <w:color w:val="101828"/>
                <w:sz w:val="15"/>
              </w:rPr>
              <w:t>Must</w:t>
            </w:r>
          </w:p>
        </w:tc>
        <w:tc>
          <w:tcPr>
            <w:tcW w:type="dxa" w:w="1872"/>
            <w:tcMar>
              <w:top w:w="60" w:type="dxa"/>
              <w:start w:w="110" w:type="dxa"/>
              <w:bottom w:w="60" w:type="dxa"/>
              <w:end w:w="110" w:type="dxa"/>
            </w:tcMar>
          </w:tcPr>
          <w:p>
            <w:pPr>
              <w:spacing w:after="0"/>
            </w:pPr>
            <w:r/>
            <w:r>
              <w:rPr>
                <w:rFonts w:ascii="Calibri" w:hAnsi="Calibri"/>
                <w:b w:val="0"/>
                <w:i w:val="0"/>
                <w:color w:val="101828"/>
                <w:sz w:val="15"/>
              </w:rPr>
              <w:t>NFR-LOC-001, NFR-PERF-004</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5"/>
              </w:rPr>
              <w:t>F22</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5"/>
              </w:rPr>
              <w:t>Notification preferences</w:t>
            </w:r>
          </w:p>
        </w:tc>
        <w:tc>
          <w:tcPr>
            <w:tcW w:type="dxa" w:w="4104"/>
            <w:tcMar>
              <w:top w:w="60" w:type="dxa"/>
              <w:start w:w="110" w:type="dxa"/>
              <w:bottom w:w="60" w:type="dxa"/>
              <w:end w:w="110" w:type="dxa"/>
            </w:tcMar>
            <w:shd w:val="clear" w:color="auto" w:fill="F4F7FB"/>
          </w:tcPr>
          <w:p>
            <w:pPr>
              <w:spacing w:after="0"/>
            </w:pPr>
            <w:r/>
            <w:r>
              <w:rPr>
                <w:rFonts w:ascii="Calibri" w:hAnsi="Calibri"/>
                <w:b w:val="0"/>
                <w:i w:val="0"/>
                <w:color w:val="101828"/>
                <w:sz w:val="15"/>
              </w:rPr>
              <w:t>Chooses channels and categories, with a non-optional money and security minimum.</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5"/>
              </w:rPr>
              <w:t>Must</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FR-PROF-004, FR-NOTIF-006</w:t>
            </w:r>
          </w:p>
        </w:tc>
      </w:tr>
    </w:tbl>
    <w:p>
      <w:pPr>
        <w:spacing w:after="80"/>
      </w:pPr>
    </w:p>
    <w:p>
      <w:pPr>
        <w:pStyle w:val="Heading2"/>
      </w:pPr>
      <w:r>
        <w:rPr>
          <w:rFonts w:ascii="Calibri" w:hAnsi="Calibri"/>
          <w:b/>
          <w:i w:val="0"/>
          <w:color w:val="146EF5"/>
          <w:sz w:val="29"/>
        </w:rPr>
        <w:t>1.20 User stories and acceptance criteria</w:t>
      </w:r>
    </w:p>
    <w:p>
      <w:r>
        <w:rPr>
          <w:rFonts w:ascii="Calibri" w:hAnsi="Calibri"/>
          <w:b w:val="0"/>
          <w:i w:val="0"/>
          <w:color w:val="101828"/>
          <w:sz w:val="21"/>
        </w:rPr>
        <w:t>Thirty-six stories, each written as a role, a need and a benefit, with Given / When / Then acceptance criteria that a test engineer can execute without further interpretation. The canonical fee example is used in US-21.</w:t>
      </w:r>
    </w:p>
    <w:p>
      <w:pPr>
        <w:pStyle w:val="Heading3"/>
      </w:pPr>
      <w:r>
        <w:rPr>
          <w:rFonts w:ascii="Calibri" w:hAnsi="Calibri"/>
          <w:b/>
          <w:i w:val="0"/>
          <w:color w:val="0B1F3A"/>
          <w:sz w:val="24"/>
        </w:rPr>
        <w:t>1.20.1 Onboarding and identity</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5"/>
              </w:rPr>
              <w:t>ID</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5"/>
              </w:rPr>
              <w:t>User story</w:t>
            </w:r>
          </w:p>
        </w:tc>
        <w:tc>
          <w:tcPr>
            <w:tcW w:type="dxa" w:w="5184"/>
            <w:shd w:val="clear" w:color="auto" w:fill="0B1F3A"/>
            <w:tcMar>
              <w:top w:w="60" w:type="dxa"/>
              <w:start w:w="110" w:type="dxa"/>
              <w:bottom w:w="60" w:type="dxa"/>
              <w:end w:w="110" w:type="dxa"/>
            </w:tcMar>
          </w:tcPr>
          <w:p>
            <w:pPr>
              <w:spacing w:after="0"/>
            </w:pPr>
            <w:r/>
            <w:r>
              <w:rPr>
                <w:rFonts w:ascii="Calibri" w:hAnsi="Calibri"/>
                <w:b/>
                <w:i w:val="0"/>
                <w:color w:val="FFFFFF"/>
                <w:sz w:val="15"/>
              </w:rPr>
              <w:t>Acceptance criteria (Given / When / Then)</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US-01</w:t>
            </w:r>
          </w:p>
        </w:tc>
        <w:tc>
          <w:tcPr>
            <w:tcW w:type="dxa" w:w="3456"/>
            <w:tcMar>
              <w:top w:w="60" w:type="dxa"/>
              <w:start w:w="110" w:type="dxa"/>
              <w:bottom w:w="60" w:type="dxa"/>
              <w:end w:w="110" w:type="dxa"/>
            </w:tcMar>
          </w:tcPr>
          <w:p>
            <w:pPr>
              <w:spacing w:after="0"/>
            </w:pPr>
            <w:r/>
            <w:r>
              <w:rPr>
                <w:rFonts w:ascii="Calibri" w:hAnsi="Calibri"/>
                <w:b w:val="0"/>
                <w:i w:val="0"/>
                <w:color w:val="101828"/>
                <w:sz w:val="15"/>
              </w:rPr>
              <w:t>As a new user, I want to register with my phone and email so that I can be reached where I actually am.</w:t>
            </w:r>
          </w:p>
        </w:tc>
        <w:tc>
          <w:tcPr>
            <w:tcW w:type="dxa" w:w="5184"/>
            <w:tcMar>
              <w:top w:w="60" w:type="dxa"/>
              <w:start w:w="110" w:type="dxa"/>
              <w:bottom w:w="60" w:type="dxa"/>
              <w:end w:w="110" w:type="dxa"/>
            </w:tcMar>
          </w:tcPr>
          <w:p>
            <w:pPr>
              <w:spacing w:after="0"/>
            </w:pPr>
            <w:r/>
            <w:r>
              <w:rPr>
                <w:rFonts w:ascii="Calibri" w:hAnsi="Calibri"/>
                <w:b/>
                <w:color w:val="101828"/>
                <w:sz w:val="15"/>
              </w:rPr>
              <w:t>Given</w:t>
            </w:r>
            <w:r>
              <w:rPr>
                <w:rFonts w:ascii="Calibri" w:hAnsi="Calibri"/>
                <w:b w:val="0"/>
                <w:i w:val="0"/>
                <w:color w:val="101828"/>
                <w:sz w:val="15"/>
              </w:rPr>
              <w:t xml:space="preserve"> no account exists for the phone or email, </w:t>
            </w:r>
            <w:r>
              <w:rPr>
                <w:rFonts w:ascii="Calibri" w:hAnsi="Calibri"/>
                <w:b/>
                <w:color w:val="101828"/>
                <w:sz w:val="15"/>
              </w:rPr>
              <w:t>when</w:t>
            </w:r>
            <w:r>
              <w:rPr>
                <w:rFonts w:ascii="Calibri" w:hAnsi="Calibri"/>
                <w:b w:val="0"/>
                <w:i w:val="0"/>
                <w:color w:val="101828"/>
                <w:sz w:val="15"/>
              </w:rPr>
              <w:t xml:space="preserve"> I submit valid details, </w:t>
            </w:r>
            <w:r>
              <w:rPr>
                <w:rFonts w:ascii="Calibri" w:hAnsi="Calibri"/>
                <w:b/>
                <w:color w:val="101828"/>
                <w:sz w:val="15"/>
              </w:rPr>
              <w:t>then</w:t>
            </w:r>
            <w:r>
              <w:rPr>
                <w:rFonts w:ascii="Calibri" w:hAnsi="Calibri"/>
                <w:b w:val="0"/>
                <w:i w:val="0"/>
                <w:color w:val="101828"/>
                <w:sz w:val="15"/>
              </w:rPr>
              <w:t xml:space="preserve"> an account is created unverified, a verification email is sent within 60 seconds and an OTP is sent, and the OTP expires after 5 minutes with no more than 5 attempts.</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US-02</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5"/>
              </w:rPr>
              <w:t>As a new user, I want the app to tell me plainly what to do next, so that I do not get stuck before I have seen the product.</w:t>
            </w:r>
          </w:p>
        </w:tc>
        <w:tc>
          <w:tcPr>
            <w:tcW w:type="dxa" w:w="5184"/>
            <w:tcMar>
              <w:top w:w="60" w:type="dxa"/>
              <w:start w:w="110" w:type="dxa"/>
              <w:bottom w:w="60" w:type="dxa"/>
              <w:end w:w="110" w:type="dxa"/>
            </w:tcMar>
            <w:shd w:val="clear" w:color="auto" w:fill="F4F7FB"/>
          </w:tcPr>
          <w:p>
            <w:pPr>
              <w:spacing w:after="0"/>
            </w:pPr>
            <w:r/>
            <w:r>
              <w:rPr>
                <w:rFonts w:ascii="Calibri" w:hAnsi="Calibri"/>
                <w:b/>
                <w:color w:val="101828"/>
                <w:sz w:val="15"/>
              </w:rPr>
              <w:t>Given</w:t>
            </w:r>
            <w:r>
              <w:rPr>
                <w:rFonts w:ascii="Calibri" w:hAnsi="Calibri"/>
                <w:b w:val="0"/>
                <w:i w:val="0"/>
                <w:color w:val="101828"/>
                <w:sz w:val="15"/>
              </w:rPr>
              <w:t xml:space="preserve"> I am unverified, </w:t>
            </w:r>
            <w:r>
              <w:rPr>
                <w:rFonts w:ascii="Calibri" w:hAnsi="Calibri"/>
                <w:b/>
                <w:color w:val="101828"/>
                <w:sz w:val="15"/>
              </w:rPr>
              <w:t>when</w:t>
            </w:r>
            <w:r>
              <w:rPr>
                <w:rFonts w:ascii="Calibri" w:hAnsi="Calibri"/>
                <w:b w:val="0"/>
                <w:i w:val="0"/>
                <w:color w:val="101828"/>
                <w:sz w:val="15"/>
              </w:rPr>
              <w:t xml:space="preserve"> I open the app, </w:t>
            </w:r>
            <w:r>
              <w:rPr>
                <w:rFonts w:ascii="Calibri" w:hAnsi="Calibri"/>
                <w:b/>
                <w:color w:val="101828"/>
                <w:sz w:val="15"/>
              </w:rPr>
              <w:t>then</w:t>
            </w:r>
            <w:r>
              <w:rPr>
                <w:rFonts w:ascii="Calibri" w:hAnsi="Calibri"/>
                <w:b w:val="0"/>
                <w:i w:val="0"/>
                <w:color w:val="101828"/>
                <w:sz w:val="15"/>
              </w:rPr>
              <w:t xml:space="preserve"> I am shown one clear next action, and I cannot see any Ajo content, and joining is refused with a specific reason rather than a blank screen.</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US-03</w:t>
            </w:r>
          </w:p>
        </w:tc>
        <w:tc>
          <w:tcPr>
            <w:tcW w:type="dxa" w:w="3456"/>
            <w:tcMar>
              <w:top w:w="60" w:type="dxa"/>
              <w:start w:w="110" w:type="dxa"/>
              <w:bottom w:w="60" w:type="dxa"/>
              <w:end w:w="110" w:type="dxa"/>
            </w:tcMar>
          </w:tcPr>
          <w:p>
            <w:pPr>
              <w:spacing w:after="0"/>
            </w:pPr>
            <w:r/>
            <w:r>
              <w:rPr>
                <w:rFonts w:ascii="Calibri" w:hAnsi="Calibri"/>
                <w:b w:val="0"/>
                <w:i w:val="0"/>
                <w:color w:val="101828"/>
                <w:sz w:val="15"/>
              </w:rPr>
              <w:t>As a new user, I want to know the app will not tell anyone I have an account, so that I feel safe registering.</w:t>
            </w:r>
          </w:p>
        </w:tc>
        <w:tc>
          <w:tcPr>
            <w:tcW w:type="dxa" w:w="5184"/>
            <w:tcMar>
              <w:top w:w="60" w:type="dxa"/>
              <w:start w:w="110" w:type="dxa"/>
              <w:bottom w:w="60" w:type="dxa"/>
              <w:end w:w="110" w:type="dxa"/>
            </w:tcMar>
          </w:tcPr>
          <w:p>
            <w:pPr>
              <w:spacing w:after="0"/>
            </w:pPr>
            <w:r/>
            <w:r>
              <w:rPr>
                <w:rFonts w:ascii="Calibri" w:hAnsi="Calibri"/>
                <w:b/>
                <w:color w:val="101828"/>
                <w:sz w:val="15"/>
              </w:rPr>
              <w:t>Given</w:t>
            </w:r>
            <w:r>
              <w:rPr>
                <w:rFonts w:ascii="Calibri" w:hAnsi="Calibri"/>
                <w:b w:val="0"/>
                <w:i w:val="0"/>
                <w:color w:val="101828"/>
                <w:sz w:val="15"/>
              </w:rPr>
              <w:t xml:space="preserve"> I register with an unknown email, </w:t>
            </w:r>
            <w:r>
              <w:rPr>
                <w:rFonts w:ascii="Calibri" w:hAnsi="Calibri"/>
                <w:b/>
                <w:color w:val="101828"/>
                <w:sz w:val="15"/>
              </w:rPr>
              <w:t>when</w:t>
            </w:r>
            <w:r>
              <w:rPr>
                <w:rFonts w:ascii="Calibri" w:hAnsi="Calibri"/>
                <w:b w:val="0"/>
                <w:i w:val="0"/>
                <w:color w:val="101828"/>
                <w:sz w:val="15"/>
              </w:rPr>
              <w:t xml:space="preserve"> I read the response, </w:t>
            </w:r>
            <w:r>
              <w:rPr>
                <w:rFonts w:ascii="Calibri" w:hAnsi="Calibri"/>
                <w:b/>
                <w:color w:val="101828"/>
                <w:sz w:val="15"/>
              </w:rPr>
              <w:t>then</w:t>
            </w:r>
            <w:r>
              <w:rPr>
                <w:rFonts w:ascii="Calibri" w:hAnsi="Calibri"/>
                <w:b w:val="0"/>
                <w:i w:val="0"/>
                <w:color w:val="101828"/>
                <w:sz w:val="15"/>
              </w:rPr>
              <w:t xml:space="preserve"> it is byte-identical to the response for a known email, and the response time is not materially different, and no enumeration is possible from the status code.</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US-04</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5"/>
              </w:rPr>
              <w:t>As a user, I want to see every device I am signed in on and kill the ones I do not recognise.</w:t>
            </w:r>
          </w:p>
        </w:tc>
        <w:tc>
          <w:tcPr>
            <w:tcW w:type="dxa" w:w="5184"/>
            <w:tcMar>
              <w:top w:w="60" w:type="dxa"/>
              <w:start w:w="110" w:type="dxa"/>
              <w:bottom w:w="60" w:type="dxa"/>
              <w:end w:w="110" w:type="dxa"/>
            </w:tcMar>
            <w:shd w:val="clear" w:color="auto" w:fill="F4F7FB"/>
          </w:tcPr>
          <w:p>
            <w:pPr>
              <w:spacing w:after="0"/>
            </w:pPr>
            <w:r/>
            <w:r>
              <w:rPr>
                <w:rFonts w:ascii="Calibri" w:hAnsi="Calibri"/>
                <w:b/>
                <w:color w:val="101828"/>
                <w:sz w:val="15"/>
              </w:rPr>
              <w:t>Given</w:t>
            </w:r>
            <w:r>
              <w:rPr>
                <w:rFonts w:ascii="Calibri" w:hAnsi="Calibri"/>
                <w:b w:val="0"/>
                <w:i w:val="0"/>
                <w:color w:val="101828"/>
                <w:sz w:val="15"/>
              </w:rPr>
              <w:t xml:space="preserve"> I have three active sessions, </w:t>
            </w:r>
            <w:r>
              <w:rPr>
                <w:rFonts w:ascii="Calibri" w:hAnsi="Calibri"/>
                <w:b/>
                <w:color w:val="101828"/>
                <w:sz w:val="15"/>
              </w:rPr>
              <w:t>when</w:t>
            </w:r>
            <w:r>
              <w:rPr>
                <w:rFonts w:ascii="Calibri" w:hAnsi="Calibri"/>
                <w:b w:val="0"/>
                <w:i w:val="0"/>
                <w:color w:val="101828"/>
                <w:sz w:val="15"/>
              </w:rPr>
              <w:t xml:space="preserve"> I revoke one, </w:t>
            </w:r>
            <w:r>
              <w:rPr>
                <w:rFonts w:ascii="Calibri" w:hAnsi="Calibri"/>
                <w:b/>
                <w:color w:val="101828"/>
                <w:sz w:val="15"/>
              </w:rPr>
              <w:t>then</w:t>
            </w:r>
            <w:r>
              <w:rPr>
                <w:rFonts w:ascii="Calibri" w:hAnsi="Calibri"/>
                <w:b w:val="0"/>
                <w:i w:val="0"/>
                <w:color w:val="101828"/>
                <w:sz w:val="15"/>
              </w:rPr>
              <w:t xml:space="preserve"> its access token stops working on the next request, its refresh token is revoked, and the other two are unaffected, and a </w:t>
            </w:r>
            <w:r>
              <w:rPr>
                <w:rFonts w:ascii="Consolas" w:hAnsi="Consolas"/>
                <w:color w:val="146EF5"/>
                <w:sz w:val="15"/>
              </w:rPr>
              <w:t>security.login_new_device</w:t>
            </w:r>
            <w:r>
              <w:rPr>
                <w:rFonts w:ascii="Calibri" w:hAnsi="Calibri"/>
                <w:b w:val="0"/>
                <w:i w:val="0"/>
                <w:color w:val="101828"/>
                <w:sz w:val="15"/>
              </w:rPr>
              <w:t xml:space="preserve"> alert is not sent.</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US-05</w:t>
            </w:r>
          </w:p>
        </w:tc>
        <w:tc>
          <w:tcPr>
            <w:tcW w:type="dxa" w:w="3456"/>
            <w:tcMar>
              <w:top w:w="60" w:type="dxa"/>
              <w:start w:w="110" w:type="dxa"/>
              <w:bottom w:w="60" w:type="dxa"/>
              <w:end w:w="110" w:type="dxa"/>
            </w:tcMar>
          </w:tcPr>
          <w:p>
            <w:pPr>
              <w:spacing w:after="0"/>
            </w:pPr>
            <w:r/>
            <w:r>
              <w:rPr>
                <w:rFonts w:ascii="Calibri" w:hAnsi="Calibri"/>
                <w:b w:val="0"/>
                <w:i w:val="0"/>
                <w:color w:val="101828"/>
                <w:sz w:val="15"/>
              </w:rPr>
              <w:t>As a user, I want to be warned when a new device signs in, so that I find out before someone else uses my account.</w:t>
            </w:r>
          </w:p>
        </w:tc>
        <w:tc>
          <w:tcPr>
            <w:tcW w:type="dxa" w:w="5184"/>
            <w:tcMar>
              <w:top w:w="60" w:type="dxa"/>
              <w:start w:w="110" w:type="dxa"/>
              <w:bottom w:w="60" w:type="dxa"/>
              <w:end w:w="110" w:type="dxa"/>
            </w:tcMar>
          </w:tcPr>
          <w:p>
            <w:pPr>
              <w:spacing w:after="0"/>
            </w:pPr>
            <w:r/>
            <w:r>
              <w:rPr>
                <w:rFonts w:ascii="Calibri" w:hAnsi="Calibri"/>
                <w:b/>
                <w:color w:val="101828"/>
                <w:sz w:val="15"/>
              </w:rPr>
              <w:t>Given</w:t>
            </w:r>
            <w:r>
              <w:rPr>
                <w:rFonts w:ascii="Calibri" w:hAnsi="Calibri"/>
                <w:b w:val="0"/>
                <w:i w:val="0"/>
                <w:color w:val="101828"/>
                <w:sz w:val="15"/>
              </w:rPr>
              <w:t xml:space="preserve"> I am signed in on one device, </w:t>
            </w:r>
            <w:r>
              <w:rPr>
                <w:rFonts w:ascii="Calibri" w:hAnsi="Calibri"/>
                <w:b/>
                <w:color w:val="101828"/>
                <w:sz w:val="15"/>
              </w:rPr>
              <w:t>when</w:t>
            </w:r>
            <w:r>
              <w:rPr>
                <w:rFonts w:ascii="Calibri" w:hAnsi="Calibri"/>
                <w:b w:val="0"/>
                <w:i w:val="0"/>
                <w:color w:val="101828"/>
                <w:sz w:val="15"/>
              </w:rPr>
              <w:t xml:space="preserve"> a session is created from an unrecognised device, </w:t>
            </w:r>
            <w:r>
              <w:rPr>
                <w:rFonts w:ascii="Calibri" w:hAnsi="Calibri"/>
                <w:b/>
                <w:color w:val="101828"/>
                <w:sz w:val="15"/>
              </w:rPr>
              <w:t>then</w:t>
            </w:r>
            <w:r>
              <w:rPr>
                <w:rFonts w:ascii="Calibri" w:hAnsi="Calibri"/>
                <w:b w:val="0"/>
                <w:i w:val="0"/>
                <w:color w:val="101828"/>
                <w:sz w:val="15"/>
              </w:rPr>
              <w:t xml:space="preserve"> a </w:t>
            </w:r>
            <w:r>
              <w:rPr>
                <w:rFonts w:ascii="Consolas" w:hAnsi="Consolas"/>
                <w:color w:val="146EF5"/>
                <w:sz w:val="15"/>
              </w:rPr>
              <w:t>security.login_new_device</w:t>
            </w:r>
            <w:r>
              <w:rPr>
                <w:rFonts w:ascii="Calibri" w:hAnsi="Calibri"/>
                <w:b w:val="0"/>
                <w:i w:val="0"/>
                <w:color w:val="101828"/>
                <w:sz w:val="15"/>
              </w:rPr>
              <w:t xml:space="preserve"> notification is sent to push and email, and the session list shows the device, location and time.</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US-06</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5"/>
              </w:rPr>
              <w:t>As a business member, I want to verify my business without handing over my raw identifiers.</w:t>
            </w:r>
          </w:p>
        </w:tc>
        <w:tc>
          <w:tcPr>
            <w:tcW w:type="dxa" w:w="5184"/>
            <w:tcMar>
              <w:top w:w="60" w:type="dxa"/>
              <w:start w:w="110" w:type="dxa"/>
              <w:bottom w:w="60" w:type="dxa"/>
              <w:end w:w="110" w:type="dxa"/>
            </w:tcMar>
            <w:shd w:val="clear" w:color="auto" w:fill="F4F7FB"/>
          </w:tcPr>
          <w:p>
            <w:pPr>
              <w:spacing w:after="0"/>
            </w:pPr>
            <w:r/>
            <w:r>
              <w:rPr>
                <w:rFonts w:ascii="Calibri" w:hAnsi="Calibri"/>
                <w:b/>
                <w:color w:val="101828"/>
                <w:sz w:val="15"/>
              </w:rPr>
              <w:t>Given</w:t>
            </w:r>
            <w:r>
              <w:rPr>
                <w:rFonts w:ascii="Calibri" w:hAnsi="Calibri"/>
                <w:b w:val="0"/>
                <w:i w:val="0"/>
                <w:color w:val="101828"/>
                <w:sz w:val="15"/>
              </w:rPr>
              <w:t xml:space="preserve"> I submit a CAC verification, </w:t>
            </w:r>
            <w:r>
              <w:rPr>
                <w:rFonts w:ascii="Calibri" w:hAnsi="Calibri"/>
                <w:b/>
                <w:color w:val="101828"/>
                <w:sz w:val="15"/>
              </w:rPr>
              <w:t>when</w:t>
            </w:r>
            <w:r>
              <w:rPr>
                <w:rFonts w:ascii="Calibri" w:hAnsi="Calibri"/>
                <w:b w:val="0"/>
                <w:i w:val="0"/>
                <w:color w:val="101828"/>
                <w:sz w:val="15"/>
              </w:rPr>
              <w:t xml:space="preserve"> the check completes, </w:t>
            </w:r>
            <w:r>
              <w:rPr>
                <w:rFonts w:ascii="Calibri" w:hAnsi="Calibri"/>
                <w:b/>
                <w:color w:val="101828"/>
                <w:sz w:val="15"/>
              </w:rPr>
              <w:t>then</w:t>
            </w:r>
            <w:r>
              <w:rPr>
                <w:rFonts w:ascii="Calibri" w:hAnsi="Calibri"/>
                <w:b w:val="0"/>
                <w:i w:val="0"/>
                <w:color w:val="101828"/>
                <w:sz w:val="15"/>
              </w:rPr>
              <w:t xml:space="preserve"> only the result, timestamp and provider reference are stored, the raw identifier is not retained, and I can see the outcome and what to do next.</w:t>
            </w:r>
          </w:p>
        </w:tc>
      </w:tr>
    </w:tbl>
    <w:p>
      <w:pPr>
        <w:spacing w:after="80"/>
      </w:pPr>
    </w:p>
    <w:p>
      <w:pPr>
        <w:pStyle w:val="Heading3"/>
      </w:pPr>
      <w:r>
        <w:rPr>
          <w:rFonts w:ascii="Calibri" w:hAnsi="Calibri"/>
          <w:b/>
          <w:i w:val="0"/>
          <w:color w:val="0B1F3A"/>
          <w:sz w:val="24"/>
        </w:rPr>
        <w:t>1.20.2 Creating and running an Ajo</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5"/>
              </w:rPr>
              <w:t>ID</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5"/>
              </w:rPr>
              <w:t>User story</w:t>
            </w:r>
          </w:p>
        </w:tc>
        <w:tc>
          <w:tcPr>
            <w:tcW w:type="dxa" w:w="5184"/>
            <w:shd w:val="clear" w:color="auto" w:fill="0B1F3A"/>
            <w:tcMar>
              <w:top w:w="60" w:type="dxa"/>
              <w:start w:w="110" w:type="dxa"/>
              <w:bottom w:w="60" w:type="dxa"/>
              <w:end w:w="110" w:type="dxa"/>
            </w:tcMar>
          </w:tcPr>
          <w:p>
            <w:pPr>
              <w:spacing w:after="0"/>
            </w:pPr>
            <w:r/>
            <w:r>
              <w:rPr>
                <w:rFonts w:ascii="Calibri" w:hAnsi="Calibri"/>
                <w:b/>
                <w:i w:val="0"/>
                <w:color w:val="FFFFFF"/>
                <w:sz w:val="15"/>
              </w:rPr>
              <w:t>Acceptance criteria (Given / When / Then)</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US-07</w:t>
            </w:r>
          </w:p>
        </w:tc>
        <w:tc>
          <w:tcPr>
            <w:tcW w:type="dxa" w:w="3456"/>
            <w:tcMar>
              <w:top w:w="60" w:type="dxa"/>
              <w:start w:w="110" w:type="dxa"/>
              <w:bottom w:w="60" w:type="dxa"/>
              <w:end w:w="110" w:type="dxa"/>
            </w:tcMar>
          </w:tcPr>
          <w:p>
            <w:pPr>
              <w:spacing w:after="0"/>
            </w:pPr>
            <w:r/>
            <w:r>
              <w:rPr>
                <w:rFonts w:ascii="Calibri" w:hAnsi="Calibri"/>
                <w:b w:val="0"/>
                <w:i w:val="0"/>
                <w:color w:val="101828"/>
                <w:sz w:val="15"/>
              </w:rPr>
              <w:t>As an organizer, I want to define an Ajo in a few clear steps, so that creating one does not feel like paperwork.</w:t>
            </w:r>
          </w:p>
        </w:tc>
        <w:tc>
          <w:tcPr>
            <w:tcW w:type="dxa" w:w="5184"/>
            <w:tcMar>
              <w:top w:w="60" w:type="dxa"/>
              <w:start w:w="110" w:type="dxa"/>
              <w:bottom w:w="60" w:type="dxa"/>
              <w:end w:w="110" w:type="dxa"/>
            </w:tcMar>
          </w:tcPr>
          <w:p>
            <w:pPr>
              <w:spacing w:after="0"/>
            </w:pPr>
            <w:r/>
            <w:r>
              <w:rPr>
                <w:rFonts w:ascii="Calibri" w:hAnsi="Calibri"/>
                <w:b/>
                <w:color w:val="101828"/>
                <w:sz w:val="15"/>
              </w:rPr>
              <w:t>Given</w:t>
            </w:r>
            <w:r>
              <w:rPr>
                <w:rFonts w:ascii="Calibri" w:hAnsi="Calibri"/>
                <w:b w:val="0"/>
                <w:i w:val="0"/>
                <w:color w:val="101828"/>
                <w:sz w:val="15"/>
              </w:rPr>
              <w:t xml:space="preserve"> I am verified, </w:t>
            </w:r>
            <w:r>
              <w:rPr>
                <w:rFonts w:ascii="Calibri" w:hAnsi="Calibri"/>
                <w:b/>
                <w:color w:val="101828"/>
                <w:sz w:val="15"/>
              </w:rPr>
              <w:t>when</w:t>
            </w:r>
            <w:r>
              <w:rPr>
                <w:rFonts w:ascii="Calibri" w:hAnsi="Calibri"/>
                <w:b w:val="0"/>
                <w:i w:val="0"/>
                <w:color w:val="101828"/>
                <w:sz w:val="15"/>
              </w:rPr>
              <w:t xml:space="preserve"> I complete the 7-step wizard with valid terms, </w:t>
            </w:r>
            <w:r>
              <w:rPr>
                <w:rFonts w:ascii="Calibri" w:hAnsi="Calibri"/>
                <w:b/>
                <w:color w:val="101828"/>
                <w:sz w:val="15"/>
              </w:rPr>
              <w:t>then</w:t>
            </w:r>
            <w:r>
              <w:rPr>
                <w:rFonts w:ascii="Calibri" w:hAnsi="Calibri"/>
                <w:b w:val="0"/>
                <w:i w:val="0"/>
                <w:color w:val="101828"/>
                <w:sz w:val="15"/>
              </w:rPr>
              <w:t xml:space="preserve"> the Ajo is created in DRAFT, the wizard is resumable, and every step shows the fee that will apply.</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US-08</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5"/>
              </w:rPr>
              <w:t>As an organizer, I want to see exactly what the 2% fee will cost, so that I can explain it to my members honestly.</w:t>
            </w:r>
          </w:p>
        </w:tc>
        <w:tc>
          <w:tcPr>
            <w:tcW w:type="dxa" w:w="5184"/>
            <w:tcMar>
              <w:top w:w="60" w:type="dxa"/>
              <w:start w:w="110" w:type="dxa"/>
              <w:bottom w:w="60" w:type="dxa"/>
              <w:end w:w="110" w:type="dxa"/>
            </w:tcMar>
            <w:shd w:val="clear" w:color="auto" w:fill="F4F7FB"/>
          </w:tcPr>
          <w:p>
            <w:pPr>
              <w:spacing w:after="0"/>
            </w:pPr>
            <w:r/>
            <w:r>
              <w:rPr>
                <w:rFonts w:ascii="Calibri" w:hAnsi="Calibri"/>
                <w:b/>
                <w:color w:val="101828"/>
                <w:sz w:val="15"/>
              </w:rPr>
              <w:t>Given</w:t>
            </w:r>
            <w:r>
              <w:rPr>
                <w:rFonts w:ascii="Calibri" w:hAnsi="Calibri"/>
                <w:b w:val="0"/>
                <w:i w:val="0"/>
                <w:color w:val="101828"/>
                <w:sz w:val="15"/>
              </w:rPr>
              <w:t xml:space="preserve"> a contribution of NGN 1,000.00 for 10 members over 10 rounds, </w:t>
            </w:r>
            <w:r>
              <w:rPr>
                <w:rFonts w:ascii="Calibri" w:hAnsi="Calibri"/>
                <w:b/>
                <w:color w:val="101828"/>
                <w:sz w:val="15"/>
              </w:rPr>
              <w:t>when</w:t>
            </w:r>
            <w:r>
              <w:rPr>
                <w:rFonts w:ascii="Calibri" w:hAnsi="Calibri"/>
                <w:b w:val="0"/>
                <w:i w:val="0"/>
                <w:color w:val="101828"/>
                <w:sz w:val="15"/>
              </w:rPr>
              <w:t xml:space="preserve"> I reach the review step, </w:t>
            </w:r>
            <w:r>
              <w:rPr>
                <w:rFonts w:ascii="Calibri" w:hAnsi="Calibri"/>
                <w:b/>
                <w:color w:val="101828"/>
                <w:sz w:val="15"/>
              </w:rPr>
              <w:t>then</w:t>
            </w:r>
            <w:r>
              <w:rPr>
                <w:rFonts w:ascii="Calibri" w:hAnsi="Calibri"/>
                <w:b w:val="0"/>
                <w:i w:val="0"/>
                <w:color w:val="101828"/>
                <w:sz w:val="15"/>
              </w:rPr>
              <w:t xml:space="preserve"> I see the contribution NGN 1,000.00, the fee NGN 20.00, the total charged NGN 1,020.00, the base pool paid to the recipient NGN 10,000.00, and the total across the Ajo NGN 102,000.00.</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US-09</w:t>
            </w:r>
          </w:p>
        </w:tc>
        <w:tc>
          <w:tcPr>
            <w:tcW w:type="dxa" w:w="3456"/>
            <w:tcMar>
              <w:top w:w="60" w:type="dxa"/>
              <w:start w:w="110" w:type="dxa"/>
              <w:bottom w:w="60" w:type="dxa"/>
              <w:end w:w="110" w:type="dxa"/>
            </w:tcMar>
          </w:tcPr>
          <w:p>
            <w:pPr>
              <w:spacing w:after="0"/>
            </w:pPr>
            <w:r/>
            <w:r>
              <w:rPr>
                <w:rFonts w:ascii="Calibri" w:hAnsi="Calibri"/>
                <w:b w:val="0"/>
                <w:i w:val="0"/>
                <w:color w:val="101828"/>
                <w:sz w:val="15"/>
              </w:rPr>
              <w:t>As an organizer, I want to invite specific people by name or number, so that my Ajo stays my group.</w:t>
            </w:r>
          </w:p>
        </w:tc>
        <w:tc>
          <w:tcPr>
            <w:tcW w:type="dxa" w:w="5184"/>
            <w:tcMar>
              <w:top w:w="60" w:type="dxa"/>
              <w:start w:w="110" w:type="dxa"/>
              <w:bottom w:w="60" w:type="dxa"/>
              <w:end w:w="110" w:type="dxa"/>
            </w:tcMar>
          </w:tcPr>
          <w:p>
            <w:pPr>
              <w:spacing w:after="0"/>
            </w:pPr>
            <w:r/>
            <w:r>
              <w:rPr>
                <w:rFonts w:ascii="Calibri" w:hAnsi="Calibri"/>
                <w:b/>
                <w:color w:val="101828"/>
                <w:sz w:val="15"/>
              </w:rPr>
              <w:t>Given</w:t>
            </w:r>
            <w:r>
              <w:rPr>
                <w:rFonts w:ascii="Calibri" w:hAnsi="Calibri"/>
                <w:b w:val="0"/>
                <w:i w:val="0"/>
                <w:color w:val="101828"/>
                <w:sz w:val="15"/>
              </w:rPr>
              <w:t xml:space="preserve"> my Ajo is in ENROLLMENT, </w:t>
            </w:r>
            <w:r>
              <w:rPr>
                <w:rFonts w:ascii="Calibri" w:hAnsi="Calibri"/>
                <w:b/>
                <w:color w:val="101828"/>
                <w:sz w:val="15"/>
              </w:rPr>
              <w:t>when</w:t>
            </w:r>
            <w:r>
              <w:rPr>
                <w:rFonts w:ascii="Calibri" w:hAnsi="Calibri"/>
                <w:b w:val="0"/>
                <w:i w:val="0"/>
                <w:color w:val="101828"/>
                <w:sz w:val="15"/>
              </w:rPr>
              <w:t xml:space="preserve"> I issue invitations, </w:t>
            </w:r>
            <w:r>
              <w:rPr>
                <w:rFonts w:ascii="Calibri" w:hAnsi="Calibri"/>
                <w:b/>
                <w:color w:val="101828"/>
                <w:sz w:val="15"/>
              </w:rPr>
              <w:t>then</w:t>
            </w:r>
            <w:r>
              <w:rPr>
                <w:rFonts w:ascii="Calibri" w:hAnsi="Calibri"/>
                <w:b w:val="0"/>
                <w:i w:val="0"/>
                <w:color w:val="101828"/>
                <w:sz w:val="15"/>
              </w:rPr>
              <w:t xml:space="preserve"> each is single-use, expiring and revocable, discloses the full terms and the fee, and reveals nothing about other members or the pot value.</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US-10</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5"/>
              </w:rPr>
              <w:t>As an organizer, I want the enrollment window to close on time, so that I am not left holding an incomplete Ajo.</w:t>
            </w:r>
          </w:p>
        </w:tc>
        <w:tc>
          <w:tcPr>
            <w:tcW w:type="dxa" w:w="5184"/>
            <w:tcMar>
              <w:top w:w="60" w:type="dxa"/>
              <w:start w:w="110" w:type="dxa"/>
              <w:bottom w:w="60" w:type="dxa"/>
              <w:end w:w="110" w:type="dxa"/>
            </w:tcMar>
            <w:shd w:val="clear" w:color="auto" w:fill="F4F7FB"/>
          </w:tcPr>
          <w:p>
            <w:pPr>
              <w:spacing w:after="0"/>
            </w:pPr>
            <w:r/>
            <w:r>
              <w:rPr>
                <w:rFonts w:ascii="Calibri" w:hAnsi="Calibri"/>
                <w:b/>
                <w:color w:val="101828"/>
                <w:sz w:val="15"/>
              </w:rPr>
              <w:t>Given</w:t>
            </w:r>
            <w:r>
              <w:rPr>
                <w:rFonts w:ascii="Calibri" w:hAnsi="Calibri"/>
                <w:b w:val="0"/>
                <w:i w:val="0"/>
                <w:color w:val="101828"/>
                <w:sz w:val="15"/>
              </w:rPr>
              <w:t xml:space="preserve"> enrollment opened 5 days ago and not every position is filled, </w:t>
            </w:r>
            <w:r>
              <w:rPr>
                <w:rFonts w:ascii="Calibri" w:hAnsi="Calibri"/>
                <w:b/>
                <w:color w:val="101828"/>
                <w:sz w:val="15"/>
              </w:rPr>
              <w:t>when</w:t>
            </w:r>
            <w:r>
              <w:rPr>
                <w:rFonts w:ascii="Calibri" w:hAnsi="Calibri"/>
                <w:b w:val="0"/>
                <w:i w:val="0"/>
                <w:color w:val="101828"/>
                <w:sz w:val="15"/>
              </w:rPr>
              <w:t xml:space="preserve"> the window closes, </w:t>
            </w:r>
            <w:r>
              <w:rPr>
                <w:rFonts w:ascii="Calibri" w:hAnsi="Calibri"/>
                <w:b/>
                <w:color w:val="101828"/>
                <w:sz w:val="15"/>
              </w:rPr>
              <w:t>then</w:t>
            </w:r>
            <w:r>
              <w:rPr>
                <w:rFonts w:ascii="Calibri" w:hAnsi="Calibri"/>
                <w:b w:val="0"/>
                <w:i w:val="0"/>
                <w:color w:val="101828"/>
                <w:sz w:val="15"/>
              </w:rPr>
              <w:t xml:space="preserve"> the Ajo transitions to CANCELLED automatically, a reason is recorded, and every collected contribution is refunded in full.</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US-11</w:t>
            </w:r>
          </w:p>
        </w:tc>
        <w:tc>
          <w:tcPr>
            <w:tcW w:type="dxa" w:w="3456"/>
            <w:tcMar>
              <w:top w:w="60" w:type="dxa"/>
              <w:start w:w="110" w:type="dxa"/>
              <w:bottom w:w="60" w:type="dxa"/>
              <w:end w:w="110" w:type="dxa"/>
            </w:tcMar>
          </w:tcPr>
          <w:p>
            <w:pPr>
              <w:spacing w:after="0"/>
            </w:pPr>
            <w:r/>
            <w:r>
              <w:rPr>
                <w:rFonts w:ascii="Calibri" w:hAnsi="Calibri"/>
                <w:b w:val="0"/>
                <w:i w:val="0"/>
                <w:color w:val="101828"/>
                <w:sz w:val="15"/>
              </w:rPr>
              <w:t>As an organizer, I want positions to lock when the Ajo activates, so that I cannot be accused of moving someone's turn.</w:t>
            </w:r>
          </w:p>
        </w:tc>
        <w:tc>
          <w:tcPr>
            <w:tcW w:type="dxa" w:w="5184"/>
            <w:tcMar>
              <w:top w:w="60" w:type="dxa"/>
              <w:start w:w="110" w:type="dxa"/>
              <w:bottom w:w="60" w:type="dxa"/>
              <w:end w:w="110" w:type="dxa"/>
            </w:tcMar>
          </w:tcPr>
          <w:p>
            <w:pPr>
              <w:spacing w:after="0"/>
            </w:pPr>
            <w:r/>
            <w:r>
              <w:rPr>
                <w:rFonts w:ascii="Calibri" w:hAnsi="Calibri"/>
                <w:b/>
                <w:color w:val="101828"/>
                <w:sz w:val="15"/>
              </w:rPr>
              <w:t>Given</w:t>
            </w:r>
            <w:r>
              <w:rPr>
                <w:rFonts w:ascii="Calibri" w:hAnsi="Calibri"/>
                <w:b w:val="0"/>
                <w:i w:val="0"/>
                <w:color w:val="101828"/>
                <w:sz w:val="15"/>
              </w:rPr>
              <w:t xml:space="preserve"> my Ajo is ACTIVE, </w:t>
            </w:r>
            <w:r>
              <w:rPr>
                <w:rFonts w:ascii="Calibri" w:hAnsi="Calibri"/>
                <w:b/>
                <w:color w:val="101828"/>
                <w:sz w:val="15"/>
              </w:rPr>
              <w:t>when</w:t>
            </w:r>
            <w:r>
              <w:rPr>
                <w:rFonts w:ascii="Calibri" w:hAnsi="Calibri"/>
                <w:b w:val="0"/>
                <w:i w:val="0"/>
                <w:color w:val="101828"/>
                <w:sz w:val="15"/>
              </w:rPr>
              <w:t xml:space="preserve"> I attempt to reorder positions directly, </w:t>
            </w:r>
            <w:r>
              <w:rPr>
                <w:rFonts w:ascii="Calibri" w:hAnsi="Calibri"/>
                <w:b/>
                <w:color w:val="101828"/>
                <w:sz w:val="15"/>
              </w:rPr>
              <w:t>then</w:t>
            </w:r>
            <w:r>
              <w:rPr>
                <w:rFonts w:ascii="Calibri" w:hAnsi="Calibri"/>
                <w:b w:val="0"/>
                <w:i w:val="0"/>
                <w:color w:val="101828"/>
                <w:sz w:val="15"/>
              </w:rPr>
              <w:t xml:space="preserve"> the attempt is refused, and the only available path is a formal replacement or transfer request, and the refusal is recorded.</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US-12</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5"/>
              </w:rPr>
              <w:t>As an organizer, I want one view of every Ajo I run, so that I am not maintaining three notebooks.</w:t>
            </w:r>
          </w:p>
        </w:tc>
        <w:tc>
          <w:tcPr>
            <w:tcW w:type="dxa" w:w="5184"/>
            <w:tcMar>
              <w:top w:w="60" w:type="dxa"/>
              <w:start w:w="110" w:type="dxa"/>
              <w:bottom w:w="60" w:type="dxa"/>
              <w:end w:w="110" w:type="dxa"/>
            </w:tcMar>
            <w:shd w:val="clear" w:color="auto" w:fill="F4F7FB"/>
          </w:tcPr>
          <w:p>
            <w:pPr>
              <w:spacing w:after="0"/>
            </w:pPr>
            <w:r/>
            <w:r>
              <w:rPr>
                <w:rFonts w:ascii="Calibri" w:hAnsi="Calibri"/>
                <w:b/>
                <w:color w:val="101828"/>
                <w:sz w:val="15"/>
              </w:rPr>
              <w:t>Given</w:t>
            </w:r>
            <w:r>
              <w:rPr>
                <w:rFonts w:ascii="Calibri" w:hAnsi="Calibri"/>
                <w:b w:val="0"/>
                <w:i w:val="0"/>
                <w:color w:val="101828"/>
                <w:sz w:val="15"/>
              </w:rPr>
              <w:t xml:space="preserve"> I organize three Ajos, </w:t>
            </w:r>
            <w:r>
              <w:rPr>
                <w:rFonts w:ascii="Calibri" w:hAnsi="Calibri"/>
                <w:b/>
                <w:color w:val="101828"/>
                <w:sz w:val="15"/>
              </w:rPr>
              <w:t>when</w:t>
            </w:r>
            <w:r>
              <w:rPr>
                <w:rFonts w:ascii="Calibri" w:hAnsi="Calibri"/>
                <w:b w:val="0"/>
                <w:i w:val="0"/>
                <w:color w:val="101828"/>
                <w:sz w:val="15"/>
              </w:rPr>
              <w:t xml:space="preserve"> I open my console, </w:t>
            </w:r>
            <w:r>
              <w:rPr>
                <w:rFonts w:ascii="Calibri" w:hAnsi="Calibri"/>
                <w:b/>
                <w:color w:val="101828"/>
                <w:sz w:val="15"/>
              </w:rPr>
              <w:t>then</w:t>
            </w:r>
            <w:r>
              <w:rPr>
                <w:rFonts w:ascii="Calibri" w:hAnsi="Calibri"/>
                <w:b w:val="0"/>
                <w:i w:val="0"/>
                <w:color w:val="101828"/>
                <w:sz w:val="15"/>
              </w:rPr>
              <w:t xml:space="preserve"> I see funding progress, outstanding members, open defaults, open disputes and release requests for all three, and no financial record of any member outside those Ajos.</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US-13</w:t>
            </w:r>
          </w:p>
        </w:tc>
        <w:tc>
          <w:tcPr>
            <w:tcW w:type="dxa" w:w="3456"/>
            <w:tcMar>
              <w:top w:w="60" w:type="dxa"/>
              <w:start w:w="110" w:type="dxa"/>
              <w:bottom w:w="60" w:type="dxa"/>
              <w:end w:w="110" w:type="dxa"/>
            </w:tcMar>
          </w:tcPr>
          <w:p>
            <w:pPr>
              <w:spacing w:after="0"/>
            </w:pPr>
            <w:r/>
            <w:r>
              <w:rPr>
                <w:rFonts w:ascii="Calibri" w:hAnsi="Calibri"/>
                <w:b w:val="0"/>
                <w:i w:val="0"/>
                <w:color w:val="101828"/>
                <w:sz w:val="15"/>
              </w:rPr>
              <w:t>As an organizer, I want to hand over to a deputy when I travel, so that the Ajo survives my absence.</w:t>
            </w:r>
          </w:p>
        </w:tc>
        <w:tc>
          <w:tcPr>
            <w:tcW w:type="dxa" w:w="5184"/>
            <w:tcMar>
              <w:top w:w="60" w:type="dxa"/>
              <w:start w:w="110" w:type="dxa"/>
              <w:bottom w:w="60" w:type="dxa"/>
              <w:end w:w="110" w:type="dxa"/>
            </w:tcMar>
          </w:tcPr>
          <w:p>
            <w:pPr>
              <w:spacing w:after="0"/>
            </w:pPr>
            <w:r/>
            <w:r>
              <w:rPr>
                <w:rFonts w:ascii="Calibri" w:hAnsi="Calibri"/>
                <w:b/>
                <w:color w:val="101828"/>
                <w:sz w:val="15"/>
              </w:rPr>
              <w:t>Given</w:t>
            </w:r>
            <w:r>
              <w:rPr>
                <w:rFonts w:ascii="Calibri" w:hAnsi="Calibri"/>
                <w:b w:val="0"/>
                <w:i w:val="0"/>
                <w:color w:val="101828"/>
                <w:sz w:val="15"/>
              </w:rPr>
              <w:t xml:space="preserve"> I am the organizer, </w:t>
            </w:r>
            <w:r>
              <w:rPr>
                <w:rFonts w:ascii="Calibri" w:hAnsi="Calibri"/>
                <w:b/>
                <w:color w:val="101828"/>
                <w:sz w:val="15"/>
              </w:rPr>
              <w:t>when</w:t>
            </w:r>
            <w:r>
              <w:rPr>
                <w:rFonts w:ascii="Calibri" w:hAnsi="Calibri"/>
                <w:b w:val="0"/>
                <w:i w:val="0"/>
                <w:color w:val="101828"/>
                <w:sz w:val="15"/>
              </w:rPr>
              <w:t xml:space="preserve"> I nominate a verified member and they accept, </w:t>
            </w:r>
            <w:r>
              <w:rPr>
                <w:rFonts w:ascii="Calibri" w:hAnsi="Calibri"/>
                <w:b/>
                <w:color w:val="101828"/>
                <w:sz w:val="15"/>
              </w:rPr>
              <w:t>then</w:t>
            </w:r>
            <w:r>
              <w:rPr>
                <w:rFonts w:ascii="Calibri" w:hAnsi="Calibri"/>
                <w:b w:val="0"/>
                <w:i w:val="0"/>
                <w:color w:val="101828"/>
                <w:sz w:val="15"/>
              </w:rPr>
              <w:t xml:space="preserve"> the grant is recorded with both identities and a timestamp, is revocable, and my own organizer rights end immediately on acceptance.</w:t>
            </w:r>
          </w:p>
        </w:tc>
      </w:tr>
    </w:tbl>
    <w:p>
      <w:pPr>
        <w:spacing w:after="80"/>
      </w:pPr>
    </w:p>
    <w:p>
      <w:pPr>
        <w:pStyle w:val="Heading3"/>
      </w:pPr>
      <w:r>
        <w:rPr>
          <w:rFonts w:ascii="Calibri" w:hAnsi="Calibri"/>
          <w:b/>
          <w:i w:val="0"/>
          <w:color w:val="0B1F3A"/>
          <w:sz w:val="24"/>
        </w:rPr>
        <w:t>1.20.3 Joining</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5"/>
              </w:rPr>
              <w:t>ID</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5"/>
              </w:rPr>
              <w:t>User story</w:t>
            </w:r>
          </w:p>
        </w:tc>
        <w:tc>
          <w:tcPr>
            <w:tcW w:type="dxa" w:w="5184"/>
            <w:shd w:val="clear" w:color="auto" w:fill="0B1F3A"/>
            <w:tcMar>
              <w:top w:w="60" w:type="dxa"/>
              <w:start w:w="110" w:type="dxa"/>
              <w:bottom w:w="60" w:type="dxa"/>
              <w:end w:w="110" w:type="dxa"/>
            </w:tcMar>
          </w:tcPr>
          <w:p>
            <w:pPr>
              <w:spacing w:after="0"/>
            </w:pPr>
            <w:r/>
            <w:r>
              <w:rPr>
                <w:rFonts w:ascii="Calibri" w:hAnsi="Calibri"/>
                <w:b/>
                <w:i w:val="0"/>
                <w:color w:val="FFFFFF"/>
                <w:sz w:val="15"/>
              </w:rPr>
              <w:t>Acceptance criteria (Given / When / Then)</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US-14</w:t>
            </w:r>
          </w:p>
        </w:tc>
        <w:tc>
          <w:tcPr>
            <w:tcW w:type="dxa" w:w="3456"/>
            <w:tcMar>
              <w:top w:w="60" w:type="dxa"/>
              <w:start w:w="110" w:type="dxa"/>
              <w:bottom w:w="60" w:type="dxa"/>
              <w:end w:w="110" w:type="dxa"/>
            </w:tcMar>
          </w:tcPr>
          <w:p>
            <w:pPr>
              <w:spacing w:after="0"/>
            </w:pPr>
            <w:r/>
            <w:r>
              <w:rPr>
                <w:rFonts w:ascii="Calibri" w:hAnsi="Calibri"/>
                <w:b w:val="0"/>
                <w:i w:val="0"/>
                <w:color w:val="101828"/>
                <w:sz w:val="15"/>
              </w:rPr>
              <w:t>As an invitee, I want to see what I am agreeing to before I join, in plain language.</w:t>
            </w:r>
          </w:p>
        </w:tc>
        <w:tc>
          <w:tcPr>
            <w:tcW w:type="dxa" w:w="5184"/>
            <w:tcMar>
              <w:top w:w="60" w:type="dxa"/>
              <w:start w:w="110" w:type="dxa"/>
              <w:bottom w:w="60" w:type="dxa"/>
              <w:end w:w="110" w:type="dxa"/>
            </w:tcMar>
          </w:tcPr>
          <w:p>
            <w:pPr>
              <w:spacing w:after="0"/>
            </w:pPr>
            <w:r/>
            <w:r>
              <w:rPr>
                <w:rFonts w:ascii="Calibri" w:hAnsi="Calibri"/>
                <w:b/>
                <w:color w:val="101828"/>
                <w:sz w:val="15"/>
              </w:rPr>
              <w:t>Given</w:t>
            </w:r>
            <w:r>
              <w:rPr>
                <w:rFonts w:ascii="Calibri" w:hAnsi="Calibri"/>
                <w:b w:val="0"/>
                <w:i w:val="0"/>
                <w:color w:val="101828"/>
                <w:sz w:val="15"/>
              </w:rPr>
              <w:t xml:space="preserve"> I open an invitation, </w:t>
            </w:r>
            <w:r>
              <w:rPr>
                <w:rFonts w:ascii="Calibri" w:hAnsi="Calibri"/>
                <w:b/>
                <w:color w:val="101828"/>
                <w:sz w:val="15"/>
              </w:rPr>
              <w:t>when</w:t>
            </w:r>
            <w:r>
              <w:rPr>
                <w:rFonts w:ascii="Calibri" w:hAnsi="Calibri"/>
                <w:b w:val="0"/>
                <w:i w:val="0"/>
                <w:color w:val="101828"/>
                <w:sz w:val="15"/>
              </w:rPr>
              <w:t xml:space="preserve"> the detail page loads, </w:t>
            </w:r>
            <w:r>
              <w:rPr>
                <w:rFonts w:ascii="Calibri" w:hAnsi="Calibri"/>
                <w:b/>
                <w:color w:val="101828"/>
                <w:sz w:val="15"/>
              </w:rPr>
              <w:t>then</w:t>
            </w:r>
            <w:r>
              <w:rPr>
                <w:rFonts w:ascii="Calibri" w:hAnsi="Calibri"/>
                <w:b w:val="0"/>
                <w:i w:val="0"/>
                <w:color w:val="101828"/>
                <w:sz w:val="15"/>
              </w:rPr>
              <w:t xml:space="preserve"> I see the organizer's name, the member count, the contribution, the frequency, the total duration, the total I will pay, and what happens if I miss a payment, without reading a contract.</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US-15</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5"/>
              </w:rPr>
              <w:t>As an invitee, I want to see the fee as a separate number, not buried in the amount.</w:t>
            </w:r>
          </w:p>
        </w:tc>
        <w:tc>
          <w:tcPr>
            <w:tcW w:type="dxa" w:w="5184"/>
            <w:tcMar>
              <w:top w:w="60" w:type="dxa"/>
              <w:start w:w="110" w:type="dxa"/>
              <w:bottom w:w="60" w:type="dxa"/>
              <w:end w:w="110" w:type="dxa"/>
            </w:tcMar>
            <w:shd w:val="clear" w:color="auto" w:fill="F4F7FB"/>
          </w:tcPr>
          <w:p>
            <w:pPr>
              <w:spacing w:after="0"/>
            </w:pPr>
            <w:r/>
            <w:r>
              <w:rPr>
                <w:rFonts w:ascii="Calibri" w:hAnsi="Calibri"/>
                <w:b/>
                <w:color w:val="101828"/>
                <w:sz w:val="15"/>
              </w:rPr>
              <w:t>Given</w:t>
            </w:r>
            <w:r>
              <w:rPr>
                <w:rFonts w:ascii="Calibri" w:hAnsi="Calibri"/>
                <w:b w:val="0"/>
                <w:i w:val="0"/>
                <w:color w:val="101828"/>
                <w:sz w:val="15"/>
              </w:rPr>
              <w:t xml:space="preserve"> the contribution is NGN 1,000.00, </w:t>
            </w:r>
            <w:r>
              <w:rPr>
                <w:rFonts w:ascii="Calibri" w:hAnsi="Calibri"/>
                <w:b/>
                <w:color w:val="101828"/>
                <w:sz w:val="15"/>
              </w:rPr>
              <w:t>when</w:t>
            </w:r>
            <w:r>
              <w:rPr>
                <w:rFonts w:ascii="Calibri" w:hAnsi="Calibri"/>
                <w:b w:val="0"/>
                <w:i w:val="0"/>
                <w:color w:val="101828"/>
                <w:sz w:val="15"/>
              </w:rPr>
              <w:t xml:space="preserve"> I view the join confirmation, </w:t>
            </w:r>
            <w:r>
              <w:rPr>
                <w:rFonts w:ascii="Calibri" w:hAnsi="Calibri"/>
                <w:b/>
                <w:color w:val="101828"/>
                <w:sz w:val="15"/>
              </w:rPr>
              <w:t>then</w:t>
            </w:r>
            <w:r>
              <w:rPr>
                <w:rFonts w:ascii="Calibri" w:hAnsi="Calibri"/>
                <w:b w:val="0"/>
                <w:i w:val="0"/>
                <w:color w:val="101828"/>
                <w:sz w:val="15"/>
              </w:rPr>
              <w:t xml:space="preserve"> I see three separate lines: contribution NGN 1,000.00, platform fee 2% NGN 20.00, and total charged NGN 1,020.00, and I must acknowledge before joining.</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US-16</w:t>
            </w:r>
          </w:p>
        </w:tc>
        <w:tc>
          <w:tcPr>
            <w:tcW w:type="dxa" w:w="3456"/>
            <w:tcMar>
              <w:top w:w="60" w:type="dxa"/>
              <w:start w:w="110" w:type="dxa"/>
              <w:bottom w:w="60" w:type="dxa"/>
              <w:end w:w="110" w:type="dxa"/>
            </w:tcMar>
          </w:tcPr>
          <w:p>
            <w:pPr>
              <w:spacing w:after="0"/>
            </w:pPr>
            <w:r/>
            <w:r>
              <w:rPr>
                <w:rFonts w:ascii="Calibri" w:hAnsi="Calibri"/>
                <w:b w:val="0"/>
                <w:i w:val="0"/>
                <w:color w:val="101828"/>
                <w:sz w:val="15"/>
              </w:rPr>
              <w:t>As an invitee, I want to know I am committing to the whole cycle, not just my turn.</w:t>
            </w:r>
          </w:p>
        </w:tc>
        <w:tc>
          <w:tcPr>
            <w:tcW w:type="dxa" w:w="5184"/>
            <w:tcMar>
              <w:top w:w="60" w:type="dxa"/>
              <w:start w:w="110" w:type="dxa"/>
              <w:bottom w:w="60" w:type="dxa"/>
              <w:end w:w="110" w:type="dxa"/>
            </w:tcMar>
          </w:tcPr>
          <w:p>
            <w:pPr>
              <w:spacing w:after="0"/>
            </w:pPr>
            <w:r/>
            <w:r>
              <w:rPr>
                <w:rFonts w:ascii="Calibri" w:hAnsi="Calibri"/>
                <w:b/>
                <w:color w:val="101828"/>
                <w:sz w:val="15"/>
              </w:rPr>
              <w:t>Given</w:t>
            </w:r>
            <w:r>
              <w:rPr>
                <w:rFonts w:ascii="Calibri" w:hAnsi="Calibri"/>
                <w:b w:val="0"/>
                <w:i w:val="0"/>
                <w:color w:val="101828"/>
                <w:sz w:val="15"/>
              </w:rPr>
              <w:t xml:space="preserve"> the Ajo has 10 rounds, </w:t>
            </w:r>
            <w:r>
              <w:rPr>
                <w:rFonts w:ascii="Calibri" w:hAnsi="Calibri"/>
                <w:b/>
                <w:color w:val="101828"/>
                <w:sz w:val="15"/>
              </w:rPr>
              <w:t>when</w:t>
            </w:r>
            <w:r>
              <w:rPr>
                <w:rFonts w:ascii="Calibri" w:hAnsi="Calibri"/>
                <w:b w:val="0"/>
                <w:i w:val="0"/>
                <w:color w:val="101828"/>
                <w:sz w:val="15"/>
              </w:rPr>
              <w:t xml:space="preserve"> I review the terms, </w:t>
            </w:r>
            <w:r>
              <w:rPr>
                <w:rFonts w:ascii="Calibri" w:hAnsi="Calibri"/>
                <w:b/>
                <w:color w:val="101828"/>
                <w:sz w:val="15"/>
              </w:rPr>
              <w:t>then</w:t>
            </w:r>
            <w:r>
              <w:rPr>
                <w:rFonts w:ascii="Calibri" w:hAnsi="Calibri"/>
                <w:b w:val="0"/>
                <w:i w:val="0"/>
                <w:color w:val="101828"/>
                <w:sz w:val="15"/>
              </w:rPr>
              <w:t xml:space="preserve"> I see that I am committing to all remaining rounds, that my position is fixed at activation, and that leaving requires a formal replacement request, and I must acknowledge this separately.</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US-17</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5"/>
              </w:rPr>
              <w:t>As an invitee, I want to know my turn before I join, not after.</w:t>
            </w:r>
          </w:p>
        </w:tc>
        <w:tc>
          <w:tcPr>
            <w:tcW w:type="dxa" w:w="5184"/>
            <w:tcMar>
              <w:top w:w="60" w:type="dxa"/>
              <w:start w:w="110" w:type="dxa"/>
              <w:bottom w:w="60" w:type="dxa"/>
              <w:end w:w="110" w:type="dxa"/>
            </w:tcMar>
            <w:shd w:val="clear" w:color="auto" w:fill="F4F7FB"/>
          </w:tcPr>
          <w:p>
            <w:pPr>
              <w:spacing w:after="0"/>
            </w:pPr>
            <w:r/>
            <w:r>
              <w:rPr>
                <w:rFonts w:ascii="Calibri" w:hAnsi="Calibri"/>
                <w:b/>
                <w:color w:val="101828"/>
                <w:sz w:val="15"/>
              </w:rPr>
              <w:t>Given</w:t>
            </w:r>
            <w:r>
              <w:rPr>
                <w:rFonts w:ascii="Calibri" w:hAnsi="Calibri"/>
                <w:b w:val="0"/>
                <w:i w:val="0"/>
                <w:color w:val="101828"/>
                <w:sz w:val="15"/>
              </w:rPr>
              <w:t xml:space="preserve"> I am viewing an Ajo before activation, </w:t>
            </w:r>
            <w:r>
              <w:rPr>
                <w:rFonts w:ascii="Calibri" w:hAnsi="Calibri"/>
                <w:b/>
                <w:color w:val="101828"/>
                <w:sz w:val="15"/>
              </w:rPr>
              <w:t>when</w:t>
            </w:r>
            <w:r>
              <w:rPr>
                <w:rFonts w:ascii="Calibri" w:hAnsi="Calibri"/>
                <w:b w:val="0"/>
                <w:i w:val="0"/>
                <w:color w:val="101828"/>
                <w:sz w:val="15"/>
              </w:rPr>
              <w:t xml:space="preserve"> I load the join screen, </w:t>
            </w:r>
            <w:r>
              <w:rPr>
                <w:rFonts w:ascii="Calibri" w:hAnsi="Calibri"/>
                <w:b/>
                <w:color w:val="101828"/>
                <w:sz w:val="15"/>
              </w:rPr>
              <w:t>then</w:t>
            </w:r>
            <w:r>
              <w:rPr>
                <w:rFonts w:ascii="Calibri" w:hAnsi="Calibri"/>
                <w:b w:val="0"/>
                <w:i w:val="0"/>
                <w:color w:val="101828"/>
                <w:sz w:val="15"/>
              </w:rPr>
              <w:t xml:space="preserve"> my position number and expected round are shown, and if the order is still provisional this is stated in those words.</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US-18</w:t>
            </w:r>
          </w:p>
        </w:tc>
        <w:tc>
          <w:tcPr>
            <w:tcW w:type="dxa" w:w="3456"/>
            <w:tcMar>
              <w:top w:w="60" w:type="dxa"/>
              <w:start w:w="110" w:type="dxa"/>
              <w:bottom w:w="60" w:type="dxa"/>
              <w:end w:w="110" w:type="dxa"/>
            </w:tcMar>
          </w:tcPr>
          <w:p>
            <w:pPr>
              <w:spacing w:after="0"/>
            </w:pPr>
            <w:r/>
            <w:r>
              <w:rPr>
                <w:rFonts w:ascii="Calibri" w:hAnsi="Calibri"/>
                <w:b w:val="0"/>
                <w:i w:val="0"/>
                <w:color w:val="101828"/>
                <w:sz w:val="15"/>
              </w:rPr>
              <w:t>As an invitee, I want to decline without creating an account.</w:t>
            </w:r>
          </w:p>
        </w:tc>
        <w:tc>
          <w:tcPr>
            <w:tcW w:type="dxa" w:w="5184"/>
            <w:tcMar>
              <w:top w:w="60" w:type="dxa"/>
              <w:start w:w="110" w:type="dxa"/>
              <w:bottom w:w="60" w:type="dxa"/>
              <w:end w:w="110" w:type="dxa"/>
            </w:tcMar>
          </w:tcPr>
          <w:p>
            <w:pPr>
              <w:spacing w:after="0"/>
            </w:pPr>
            <w:r/>
            <w:r>
              <w:rPr>
                <w:rFonts w:ascii="Calibri" w:hAnsi="Calibri"/>
                <w:b/>
                <w:color w:val="101828"/>
                <w:sz w:val="15"/>
              </w:rPr>
              <w:t>Given</w:t>
            </w:r>
            <w:r>
              <w:rPr>
                <w:rFonts w:ascii="Calibri" w:hAnsi="Calibri"/>
                <w:b w:val="0"/>
                <w:i w:val="0"/>
                <w:color w:val="101828"/>
                <w:sz w:val="15"/>
              </w:rPr>
              <w:t xml:space="preserve"> I have not registered, </w:t>
            </w:r>
            <w:r>
              <w:rPr>
                <w:rFonts w:ascii="Calibri" w:hAnsi="Calibri"/>
                <w:b/>
                <w:color w:val="101828"/>
                <w:sz w:val="15"/>
              </w:rPr>
              <w:t>when</w:t>
            </w:r>
            <w:r>
              <w:rPr>
                <w:rFonts w:ascii="Calibri" w:hAnsi="Calibri"/>
                <w:b w:val="0"/>
                <w:i w:val="0"/>
                <w:color w:val="101828"/>
                <w:sz w:val="15"/>
              </w:rPr>
              <w:t xml:space="preserve"> I decline the invitation, </w:t>
            </w:r>
            <w:r>
              <w:rPr>
                <w:rFonts w:ascii="Calibri" w:hAnsi="Calibri"/>
                <w:b/>
                <w:color w:val="101828"/>
                <w:sz w:val="15"/>
              </w:rPr>
              <w:t>then</w:t>
            </w:r>
            <w:r>
              <w:rPr>
                <w:rFonts w:ascii="Calibri" w:hAnsi="Calibri"/>
                <w:b w:val="0"/>
                <w:i w:val="0"/>
                <w:color w:val="101828"/>
                <w:sz w:val="15"/>
              </w:rPr>
              <w:t xml:space="preserve"> no account is created, the organizer is notified, and the token is invalidated.</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US-19</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5"/>
              </w:rPr>
              <w:t>As a member, I want to know why I cannot join, so that I do not think the app is broken.</w:t>
            </w:r>
          </w:p>
        </w:tc>
        <w:tc>
          <w:tcPr>
            <w:tcW w:type="dxa" w:w="5184"/>
            <w:tcMar>
              <w:top w:w="60" w:type="dxa"/>
              <w:start w:w="110" w:type="dxa"/>
              <w:bottom w:w="60" w:type="dxa"/>
              <w:end w:w="110" w:type="dxa"/>
            </w:tcMar>
            <w:shd w:val="clear" w:color="auto" w:fill="F4F7FB"/>
          </w:tcPr>
          <w:p>
            <w:pPr>
              <w:spacing w:after="0"/>
            </w:pPr>
            <w:r/>
            <w:r>
              <w:rPr>
                <w:rFonts w:ascii="Calibri" w:hAnsi="Calibri"/>
                <w:b/>
                <w:color w:val="101828"/>
                <w:sz w:val="15"/>
              </w:rPr>
              <w:t>Given</w:t>
            </w:r>
            <w:r>
              <w:rPr>
                <w:rFonts w:ascii="Calibri" w:hAnsi="Calibri"/>
                <w:b w:val="0"/>
                <w:i w:val="0"/>
                <w:color w:val="101828"/>
                <w:sz w:val="15"/>
              </w:rPr>
              <w:t xml:space="preserve"> the Ajo is already ACTIVE or full, </w:t>
            </w:r>
            <w:r>
              <w:rPr>
                <w:rFonts w:ascii="Calibri" w:hAnsi="Calibri"/>
                <w:b/>
                <w:color w:val="101828"/>
                <w:sz w:val="15"/>
              </w:rPr>
              <w:t>when</w:t>
            </w:r>
            <w:r>
              <w:rPr>
                <w:rFonts w:ascii="Calibri" w:hAnsi="Calibri"/>
                <w:b w:val="0"/>
                <w:i w:val="0"/>
                <w:color w:val="101828"/>
                <w:sz w:val="15"/>
              </w:rPr>
              <w:t xml:space="preserve"> I attempt to accept, </w:t>
            </w:r>
            <w:r>
              <w:rPr>
                <w:rFonts w:ascii="Calibri" w:hAnsi="Calibri"/>
                <w:b/>
                <w:color w:val="101828"/>
                <w:sz w:val="15"/>
              </w:rPr>
              <w:t>then</w:t>
            </w:r>
            <w:r>
              <w:rPr>
                <w:rFonts w:ascii="Calibri" w:hAnsi="Calibri"/>
                <w:b w:val="0"/>
                <w:i w:val="0"/>
                <w:color w:val="101828"/>
                <w:sz w:val="15"/>
              </w:rPr>
              <w:t xml:space="preserve"> I am told in plain language that enrollment has closed and who to contact, and no partial membership is created.</w:t>
            </w:r>
          </w:p>
        </w:tc>
      </w:tr>
    </w:tbl>
    <w:p>
      <w:pPr>
        <w:spacing w:after="80"/>
      </w:pPr>
    </w:p>
    <w:p>
      <w:pPr>
        <w:pStyle w:val="Heading3"/>
      </w:pPr>
      <w:r>
        <w:rPr>
          <w:rFonts w:ascii="Calibri" w:hAnsi="Calibri"/>
          <w:b/>
          <w:i w:val="0"/>
          <w:color w:val="0B1F3A"/>
          <w:sz w:val="24"/>
        </w:rPr>
        <w:t>1.20.4 Paying and tracking</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5"/>
              </w:rPr>
              <w:t>ID</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5"/>
              </w:rPr>
              <w:t>User story</w:t>
            </w:r>
          </w:p>
        </w:tc>
        <w:tc>
          <w:tcPr>
            <w:tcW w:type="dxa" w:w="5184"/>
            <w:shd w:val="clear" w:color="auto" w:fill="0B1F3A"/>
            <w:tcMar>
              <w:top w:w="60" w:type="dxa"/>
              <w:start w:w="110" w:type="dxa"/>
              <w:bottom w:w="60" w:type="dxa"/>
              <w:end w:w="110" w:type="dxa"/>
            </w:tcMar>
          </w:tcPr>
          <w:p>
            <w:pPr>
              <w:spacing w:after="0"/>
            </w:pPr>
            <w:r/>
            <w:r>
              <w:rPr>
                <w:rFonts w:ascii="Calibri" w:hAnsi="Calibri"/>
                <w:b/>
                <w:i w:val="0"/>
                <w:color w:val="FFFFFF"/>
                <w:sz w:val="15"/>
              </w:rPr>
              <w:t>Acceptance criteria (Given / When / Then)</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US-20</w:t>
            </w:r>
          </w:p>
        </w:tc>
        <w:tc>
          <w:tcPr>
            <w:tcW w:type="dxa" w:w="3456"/>
            <w:tcMar>
              <w:top w:w="60" w:type="dxa"/>
              <w:start w:w="110" w:type="dxa"/>
              <w:bottom w:w="60" w:type="dxa"/>
              <w:end w:w="110" w:type="dxa"/>
            </w:tcMar>
          </w:tcPr>
          <w:p>
            <w:pPr>
              <w:spacing w:after="0"/>
            </w:pPr>
            <w:r/>
            <w:r>
              <w:rPr>
                <w:rFonts w:ascii="Calibri" w:hAnsi="Calibri"/>
                <w:b w:val="0"/>
                <w:i w:val="0"/>
                <w:color w:val="101828"/>
                <w:sz w:val="15"/>
              </w:rPr>
              <w:t>As a member, I want to see what I owe and when, so that I never have to ask.</w:t>
            </w:r>
          </w:p>
        </w:tc>
        <w:tc>
          <w:tcPr>
            <w:tcW w:type="dxa" w:w="5184"/>
            <w:tcMar>
              <w:top w:w="60" w:type="dxa"/>
              <w:start w:w="110" w:type="dxa"/>
              <w:bottom w:w="60" w:type="dxa"/>
              <w:end w:w="110" w:type="dxa"/>
            </w:tcMar>
          </w:tcPr>
          <w:p>
            <w:pPr>
              <w:spacing w:after="0"/>
            </w:pPr>
            <w:r/>
            <w:r>
              <w:rPr>
                <w:rFonts w:ascii="Calibri" w:hAnsi="Calibri"/>
                <w:b/>
                <w:color w:val="101828"/>
                <w:sz w:val="15"/>
              </w:rPr>
              <w:t>Given</w:t>
            </w:r>
            <w:r>
              <w:rPr>
                <w:rFonts w:ascii="Calibri" w:hAnsi="Calibri"/>
                <w:b w:val="0"/>
                <w:i w:val="0"/>
                <w:color w:val="101828"/>
                <w:sz w:val="15"/>
              </w:rPr>
              <w:t xml:space="preserve"> my Ajo is ACTIVE, </w:t>
            </w:r>
            <w:r>
              <w:rPr>
                <w:rFonts w:ascii="Calibri" w:hAnsi="Calibri"/>
                <w:b/>
                <w:color w:val="101828"/>
                <w:sz w:val="15"/>
              </w:rPr>
              <w:t>when</w:t>
            </w:r>
            <w:r>
              <w:rPr>
                <w:rFonts w:ascii="Calibri" w:hAnsi="Calibri"/>
                <w:b w:val="0"/>
                <w:i w:val="0"/>
                <w:color w:val="101828"/>
                <w:sz w:val="15"/>
              </w:rPr>
              <w:t xml:space="preserve"> I open my schedule, </w:t>
            </w:r>
            <w:r>
              <w:rPr>
                <w:rFonts w:ascii="Calibri" w:hAnsi="Calibri"/>
                <w:b/>
                <w:color w:val="101828"/>
                <w:sz w:val="15"/>
              </w:rPr>
              <w:t>then</w:t>
            </w:r>
            <w:r>
              <w:rPr>
                <w:rFonts w:ascii="Calibri" w:hAnsi="Calibri"/>
                <w:b w:val="0"/>
                <w:i w:val="0"/>
                <w:color w:val="101828"/>
                <w:sz w:val="15"/>
              </w:rPr>
              <w:t xml:space="preserve"> I see every round, due date, contribution, fee, total charged, amount paid, state and remaining total, and this view needs no organiser input.</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US-21</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5"/>
              </w:rPr>
              <w:t>As a member, I want to know exactly what I will be charged, so that I am never surprised.</w:t>
            </w:r>
          </w:p>
        </w:tc>
        <w:tc>
          <w:tcPr>
            <w:tcW w:type="dxa" w:w="5184"/>
            <w:tcMar>
              <w:top w:w="60" w:type="dxa"/>
              <w:start w:w="110" w:type="dxa"/>
              <w:bottom w:w="60" w:type="dxa"/>
              <w:end w:w="110" w:type="dxa"/>
            </w:tcMar>
            <w:shd w:val="clear" w:color="auto" w:fill="F4F7FB"/>
          </w:tcPr>
          <w:p>
            <w:pPr>
              <w:spacing w:after="0"/>
            </w:pPr>
            <w:r/>
            <w:r>
              <w:rPr>
                <w:rFonts w:ascii="Calibri" w:hAnsi="Calibri"/>
                <w:b/>
                <w:color w:val="101828"/>
                <w:sz w:val="15"/>
              </w:rPr>
              <w:t>Given</w:t>
            </w:r>
            <w:r>
              <w:rPr>
                <w:rFonts w:ascii="Calibri" w:hAnsi="Calibri"/>
                <w:b w:val="0"/>
                <w:i w:val="0"/>
                <w:color w:val="101828"/>
                <w:sz w:val="15"/>
              </w:rPr>
              <w:t xml:space="preserve"> I owe NGN 1,000.00, </w:t>
            </w:r>
            <w:r>
              <w:rPr>
                <w:rFonts w:ascii="Calibri" w:hAnsi="Calibri"/>
                <w:b/>
                <w:color w:val="101828"/>
                <w:sz w:val="15"/>
              </w:rPr>
              <w:t>when</w:t>
            </w:r>
            <w:r>
              <w:rPr>
                <w:rFonts w:ascii="Calibri" w:hAnsi="Calibri"/>
                <w:b w:val="0"/>
                <w:i w:val="0"/>
                <w:color w:val="101828"/>
                <w:sz w:val="15"/>
              </w:rPr>
              <w:t xml:space="preserve"> I open the payment screen, </w:t>
            </w:r>
            <w:r>
              <w:rPr>
                <w:rFonts w:ascii="Calibri" w:hAnsi="Calibri"/>
                <w:b/>
                <w:color w:val="101828"/>
                <w:sz w:val="15"/>
              </w:rPr>
              <w:t>then</w:t>
            </w:r>
            <w:r>
              <w:rPr>
                <w:rFonts w:ascii="Calibri" w:hAnsi="Calibri"/>
                <w:b w:val="0"/>
                <w:i w:val="0"/>
                <w:color w:val="101828"/>
                <w:sz w:val="15"/>
              </w:rPr>
              <w:t xml:space="preserve"> I see contribution NGN 1,000.00, platform fee 2% NGN 20.00, total NGN 1,020.00, and the amount is final at initiation and cannot change afterwards.</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US-22</w:t>
            </w:r>
          </w:p>
        </w:tc>
        <w:tc>
          <w:tcPr>
            <w:tcW w:type="dxa" w:w="3456"/>
            <w:tcMar>
              <w:top w:w="60" w:type="dxa"/>
              <w:start w:w="110" w:type="dxa"/>
              <w:bottom w:w="60" w:type="dxa"/>
              <w:end w:w="110" w:type="dxa"/>
            </w:tcMar>
          </w:tcPr>
          <w:p>
            <w:pPr>
              <w:spacing w:after="0"/>
            </w:pPr>
            <w:r/>
            <w:r>
              <w:rPr>
                <w:rFonts w:ascii="Calibri" w:hAnsi="Calibri"/>
                <w:b w:val="0"/>
                <w:i w:val="0"/>
                <w:color w:val="101828"/>
                <w:sz w:val="15"/>
              </w:rPr>
              <w:t>As a member, I want to pay once and never be charged twice, so that I can retry safely.</w:t>
            </w:r>
          </w:p>
        </w:tc>
        <w:tc>
          <w:tcPr>
            <w:tcW w:type="dxa" w:w="5184"/>
            <w:tcMar>
              <w:top w:w="60" w:type="dxa"/>
              <w:start w:w="110" w:type="dxa"/>
              <w:bottom w:w="60" w:type="dxa"/>
              <w:end w:w="110" w:type="dxa"/>
            </w:tcMar>
          </w:tcPr>
          <w:p>
            <w:pPr>
              <w:spacing w:after="0"/>
            </w:pPr>
            <w:r/>
            <w:r>
              <w:rPr>
                <w:rFonts w:ascii="Calibri" w:hAnsi="Calibri"/>
                <w:b/>
                <w:color w:val="101828"/>
                <w:sz w:val="15"/>
              </w:rPr>
              <w:t>Given</w:t>
            </w:r>
            <w:r>
              <w:rPr>
                <w:rFonts w:ascii="Calibri" w:hAnsi="Calibri"/>
                <w:b w:val="0"/>
                <w:i w:val="0"/>
                <w:color w:val="101828"/>
                <w:sz w:val="15"/>
              </w:rPr>
              <w:t xml:space="preserve"> I submitted a payment, </w:t>
            </w:r>
            <w:r>
              <w:rPr>
                <w:rFonts w:ascii="Calibri" w:hAnsi="Calibri"/>
                <w:b/>
                <w:color w:val="101828"/>
                <w:sz w:val="15"/>
              </w:rPr>
              <w:t>when</w:t>
            </w:r>
            <w:r>
              <w:rPr>
                <w:rFonts w:ascii="Calibri" w:hAnsi="Calibri"/>
                <w:b w:val="0"/>
                <w:i w:val="0"/>
                <w:color w:val="101828"/>
                <w:sz w:val="15"/>
              </w:rPr>
              <w:t xml:space="preserve"> the client retries the same request with the same Idempotency-Key, </w:t>
            </w:r>
            <w:r>
              <w:rPr>
                <w:rFonts w:ascii="Calibri" w:hAnsi="Calibri"/>
                <w:b/>
                <w:color w:val="101828"/>
                <w:sz w:val="15"/>
              </w:rPr>
              <w:t>then</w:t>
            </w:r>
            <w:r>
              <w:rPr>
                <w:rFonts w:ascii="Calibri" w:hAnsi="Calibri"/>
                <w:b w:val="0"/>
                <w:i w:val="0"/>
                <w:color w:val="101828"/>
                <w:sz w:val="15"/>
              </w:rPr>
              <w:t xml:space="preserve"> the original result is returned, no second obligation is created and no second ledger entry is posted.</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US-23</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5"/>
              </w:rPr>
              <w:t>As a member, I want a receipt for every payment, so that I can prove I paid.</w:t>
            </w:r>
          </w:p>
        </w:tc>
        <w:tc>
          <w:tcPr>
            <w:tcW w:type="dxa" w:w="5184"/>
            <w:tcMar>
              <w:top w:w="60" w:type="dxa"/>
              <w:start w:w="110" w:type="dxa"/>
              <w:bottom w:w="60" w:type="dxa"/>
              <w:end w:w="110" w:type="dxa"/>
            </w:tcMar>
            <w:shd w:val="clear" w:color="auto" w:fill="F4F7FB"/>
          </w:tcPr>
          <w:p>
            <w:pPr>
              <w:spacing w:after="0"/>
            </w:pPr>
            <w:r/>
            <w:r>
              <w:rPr>
                <w:rFonts w:ascii="Calibri" w:hAnsi="Calibri"/>
                <w:b/>
                <w:color w:val="101828"/>
                <w:sz w:val="15"/>
              </w:rPr>
              <w:t>Given</w:t>
            </w:r>
            <w:r>
              <w:rPr>
                <w:rFonts w:ascii="Calibri" w:hAnsi="Calibri"/>
                <w:b w:val="0"/>
                <w:i w:val="0"/>
                <w:color w:val="101828"/>
                <w:sz w:val="15"/>
              </w:rPr>
              <w:t xml:space="preserve"> my payment settled, </w:t>
            </w:r>
            <w:r>
              <w:rPr>
                <w:rFonts w:ascii="Calibri" w:hAnsi="Calibri"/>
                <w:b/>
                <w:color w:val="101828"/>
                <w:sz w:val="15"/>
              </w:rPr>
              <w:t>when</w:t>
            </w:r>
            <w:r>
              <w:rPr>
                <w:rFonts w:ascii="Calibri" w:hAnsi="Calibri"/>
                <w:b w:val="0"/>
                <w:i w:val="0"/>
                <w:color w:val="101828"/>
                <w:sz w:val="15"/>
              </w:rPr>
              <w:t xml:space="preserve"> I open the receipt, </w:t>
            </w:r>
            <w:r>
              <w:rPr>
                <w:rFonts w:ascii="Calibri" w:hAnsi="Calibri"/>
                <w:b/>
                <w:color w:val="101828"/>
                <w:sz w:val="15"/>
              </w:rPr>
              <w:t>then</w:t>
            </w:r>
            <w:r>
              <w:rPr>
                <w:rFonts w:ascii="Calibri" w:hAnsi="Calibri"/>
                <w:b w:val="0"/>
                <w:i w:val="0"/>
                <w:color w:val="101828"/>
                <w:sz w:val="15"/>
              </w:rPr>
              <w:t xml:space="preserve"> I see contribution, fee, total charged, provider reference, timestamp and the resulting contribution state as separate lines.</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US-24</w:t>
            </w:r>
          </w:p>
        </w:tc>
        <w:tc>
          <w:tcPr>
            <w:tcW w:type="dxa" w:w="3456"/>
            <w:tcMar>
              <w:top w:w="60" w:type="dxa"/>
              <w:start w:w="110" w:type="dxa"/>
              <w:bottom w:w="60" w:type="dxa"/>
              <w:end w:w="110" w:type="dxa"/>
            </w:tcMar>
          </w:tcPr>
          <w:p>
            <w:pPr>
              <w:spacing w:after="0"/>
            </w:pPr>
            <w:r/>
            <w:r>
              <w:rPr>
                <w:rFonts w:ascii="Calibri" w:hAnsi="Calibri"/>
                <w:b w:val="0"/>
                <w:i w:val="0"/>
                <w:color w:val="101828"/>
                <w:sz w:val="15"/>
              </w:rPr>
              <w:t>As a member, I want to know I have paid before I worry, so that a delayed confirmation does not cause a panic.</w:t>
            </w:r>
          </w:p>
        </w:tc>
        <w:tc>
          <w:tcPr>
            <w:tcW w:type="dxa" w:w="5184"/>
            <w:tcMar>
              <w:top w:w="60" w:type="dxa"/>
              <w:start w:w="110" w:type="dxa"/>
              <w:bottom w:w="60" w:type="dxa"/>
              <w:end w:w="110" w:type="dxa"/>
            </w:tcMar>
          </w:tcPr>
          <w:p>
            <w:pPr>
              <w:spacing w:after="0"/>
            </w:pPr>
            <w:r/>
            <w:r>
              <w:rPr>
                <w:rFonts w:ascii="Calibri" w:hAnsi="Calibri"/>
                <w:b/>
                <w:color w:val="101828"/>
                <w:sz w:val="15"/>
              </w:rPr>
              <w:t>Given</w:t>
            </w:r>
            <w:r>
              <w:rPr>
                <w:rFonts w:ascii="Calibri" w:hAnsi="Calibri"/>
                <w:b w:val="0"/>
                <w:i w:val="0"/>
                <w:color w:val="101828"/>
                <w:sz w:val="15"/>
              </w:rPr>
              <w:t xml:space="preserve"> a payment has been initiated but the provider has not confirmed, </w:t>
            </w:r>
            <w:r>
              <w:rPr>
                <w:rFonts w:ascii="Calibri" w:hAnsi="Calibri"/>
                <w:b/>
                <w:color w:val="101828"/>
                <w:sz w:val="15"/>
              </w:rPr>
              <w:t>when</w:t>
            </w:r>
            <w:r>
              <w:rPr>
                <w:rFonts w:ascii="Calibri" w:hAnsi="Calibri"/>
                <w:b w:val="0"/>
                <w:i w:val="0"/>
                <w:color w:val="101828"/>
                <w:sz w:val="15"/>
              </w:rPr>
              <w:t xml:space="preserve"> I open the app, </w:t>
            </w:r>
            <w:r>
              <w:rPr>
                <w:rFonts w:ascii="Calibri" w:hAnsi="Calibri"/>
                <w:b/>
                <w:color w:val="101828"/>
                <w:sz w:val="15"/>
              </w:rPr>
              <w:t>then</w:t>
            </w:r>
            <w:r>
              <w:rPr>
                <w:rFonts w:ascii="Calibri" w:hAnsi="Calibri"/>
                <w:b w:val="0"/>
                <w:i w:val="0"/>
                <w:color w:val="101828"/>
                <w:sz w:val="15"/>
              </w:rPr>
              <w:t xml:space="preserve"> the state reads PENDING with an explanation, and I am not shown as in arrears, and I am not prompted to pay again.</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US-25</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5"/>
              </w:rPr>
              <w:t>As a member, I want the app to work on a poor connection, so that I can pay from the market.</w:t>
            </w:r>
          </w:p>
        </w:tc>
        <w:tc>
          <w:tcPr>
            <w:tcW w:type="dxa" w:w="5184"/>
            <w:tcMar>
              <w:top w:w="60" w:type="dxa"/>
              <w:start w:w="110" w:type="dxa"/>
              <w:bottom w:w="60" w:type="dxa"/>
              <w:end w:w="110" w:type="dxa"/>
            </w:tcMar>
            <w:shd w:val="clear" w:color="auto" w:fill="F4F7FB"/>
          </w:tcPr>
          <w:p>
            <w:pPr>
              <w:spacing w:after="0"/>
            </w:pPr>
            <w:r/>
            <w:r>
              <w:rPr>
                <w:rFonts w:ascii="Calibri" w:hAnsi="Calibri"/>
                <w:b/>
                <w:color w:val="101828"/>
                <w:sz w:val="15"/>
              </w:rPr>
              <w:t>Given</w:t>
            </w:r>
            <w:r>
              <w:rPr>
                <w:rFonts w:ascii="Calibri" w:hAnsi="Calibri"/>
                <w:b w:val="0"/>
                <w:i w:val="0"/>
                <w:color w:val="101828"/>
                <w:sz w:val="15"/>
              </w:rPr>
              <w:t xml:space="preserve"> a 3G connection on a mid-range Android device, </w:t>
            </w:r>
            <w:r>
              <w:rPr>
                <w:rFonts w:ascii="Calibri" w:hAnsi="Calibri"/>
                <w:b/>
                <w:color w:val="101828"/>
                <w:sz w:val="15"/>
              </w:rPr>
              <w:t>when</w:t>
            </w:r>
            <w:r>
              <w:rPr>
                <w:rFonts w:ascii="Calibri" w:hAnsi="Calibri"/>
                <w:b w:val="0"/>
                <w:i w:val="0"/>
                <w:color w:val="101828"/>
                <w:sz w:val="15"/>
              </w:rPr>
              <w:t xml:space="preserve"> I complete the core flows of joining, paying and viewing my position, </w:t>
            </w:r>
            <w:r>
              <w:rPr>
                <w:rFonts w:ascii="Calibri" w:hAnsi="Calibri"/>
                <w:b/>
                <w:color w:val="101828"/>
                <w:sz w:val="15"/>
              </w:rPr>
              <w:t>then</w:t>
            </w:r>
            <w:r>
              <w:rPr>
                <w:rFonts w:ascii="Calibri" w:hAnsi="Calibri"/>
                <w:b w:val="0"/>
                <w:i w:val="0"/>
                <w:color w:val="101828"/>
                <w:sz w:val="15"/>
              </w:rPr>
              <w:t xml:space="preserve"> each completes without exceeding 3 seconds to interactive and without a duplicated payment.</w:t>
            </w:r>
          </w:p>
        </w:tc>
      </w:tr>
    </w:tbl>
    <w:p>
      <w:pPr>
        <w:spacing w:after="80"/>
      </w:pPr>
    </w:p>
    <w:p>
      <w:pPr>
        <w:pStyle w:val="Heading3"/>
      </w:pPr>
      <w:r>
        <w:rPr>
          <w:rFonts w:ascii="Calibri" w:hAnsi="Calibri"/>
          <w:b/>
          <w:i w:val="0"/>
          <w:color w:val="0B1F3A"/>
          <w:sz w:val="24"/>
        </w:rPr>
        <w:t>1.20.5 Payouts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5"/>
              </w:rPr>
              <w:t>ID</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5"/>
              </w:rPr>
              <w:t>User story</w:t>
            </w:r>
          </w:p>
        </w:tc>
        <w:tc>
          <w:tcPr>
            <w:tcW w:type="dxa" w:w="5184"/>
            <w:shd w:val="clear" w:color="auto" w:fill="0B1F3A"/>
            <w:tcMar>
              <w:top w:w="60" w:type="dxa"/>
              <w:start w:w="110" w:type="dxa"/>
              <w:bottom w:w="60" w:type="dxa"/>
              <w:end w:w="110" w:type="dxa"/>
            </w:tcMar>
          </w:tcPr>
          <w:p>
            <w:pPr>
              <w:spacing w:after="0"/>
            </w:pPr>
            <w:r/>
            <w:r>
              <w:rPr>
                <w:rFonts w:ascii="Calibri" w:hAnsi="Calibri"/>
                <w:b/>
                <w:i w:val="0"/>
                <w:color w:val="FFFFFF"/>
                <w:sz w:val="15"/>
              </w:rPr>
              <w:t>Acceptance criteria (Given / When / Then)</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US-26</w:t>
            </w:r>
          </w:p>
        </w:tc>
        <w:tc>
          <w:tcPr>
            <w:tcW w:type="dxa" w:w="3456"/>
            <w:tcMar>
              <w:top w:w="60" w:type="dxa"/>
              <w:start w:w="110" w:type="dxa"/>
              <w:bottom w:w="60" w:type="dxa"/>
              <w:end w:w="110" w:type="dxa"/>
            </w:tcMar>
          </w:tcPr>
          <w:p>
            <w:pPr>
              <w:spacing w:after="0"/>
            </w:pPr>
            <w:r/>
            <w:r>
              <w:rPr>
                <w:rFonts w:ascii="Calibri" w:hAnsi="Calibri"/>
                <w:b w:val="0"/>
                <w:i w:val="0"/>
                <w:color w:val="101828"/>
                <w:sz w:val="15"/>
              </w:rPr>
              <w:t>As a recipient, I want to receive exactly what was promised, in full.</w:t>
            </w:r>
          </w:p>
        </w:tc>
        <w:tc>
          <w:tcPr>
            <w:tcW w:type="dxa" w:w="5184"/>
            <w:tcMar>
              <w:top w:w="60" w:type="dxa"/>
              <w:start w:w="110" w:type="dxa"/>
              <w:bottom w:w="60" w:type="dxa"/>
              <w:end w:w="110" w:type="dxa"/>
            </w:tcMar>
          </w:tcPr>
          <w:p>
            <w:pPr>
              <w:spacing w:after="0"/>
            </w:pPr>
            <w:r/>
            <w:r>
              <w:rPr>
                <w:rFonts w:ascii="Calibri" w:hAnsi="Calibri"/>
                <w:b/>
                <w:color w:val="101828"/>
                <w:sz w:val="15"/>
              </w:rPr>
              <w:t>Given</w:t>
            </w:r>
            <w:r>
              <w:rPr>
                <w:rFonts w:ascii="Calibri" w:hAnsi="Calibri"/>
                <w:b w:val="0"/>
                <w:i w:val="0"/>
                <w:color w:val="101828"/>
                <w:sz w:val="15"/>
              </w:rPr>
              <w:t xml:space="preserve"> a 10-member round with NGN 1,000.00 contributions, </w:t>
            </w:r>
            <w:r>
              <w:rPr>
                <w:rFonts w:ascii="Calibri" w:hAnsi="Calibri"/>
                <w:b/>
                <w:color w:val="101828"/>
                <w:sz w:val="15"/>
              </w:rPr>
              <w:t>when</w:t>
            </w:r>
            <w:r>
              <w:rPr>
                <w:rFonts w:ascii="Calibri" w:hAnsi="Calibri"/>
                <w:b w:val="0"/>
                <w:i w:val="0"/>
                <w:color w:val="101828"/>
                <w:sz w:val="15"/>
              </w:rPr>
              <w:t xml:space="preserve"> the payout is released and settles, </w:t>
            </w:r>
            <w:r>
              <w:rPr>
                <w:rFonts w:ascii="Calibri" w:hAnsi="Calibri"/>
                <w:b/>
                <w:color w:val="101828"/>
                <w:sz w:val="15"/>
              </w:rPr>
              <w:t>then</w:t>
            </w:r>
            <w:r>
              <w:rPr>
                <w:rFonts w:ascii="Calibri" w:hAnsi="Calibri"/>
                <w:b w:val="0"/>
                <w:i w:val="0"/>
                <w:color w:val="101828"/>
                <w:sz w:val="15"/>
              </w:rPr>
              <w:t xml:space="preserve"> I receive NGN 10,000.00, the retained platform fee for that round is NGN 200.00, and my receipt shows the base pool and the retained fee as separate lines.</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US-27</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5"/>
              </w:rPr>
              <w:t>As a recipient, I want to know my payout is coming before it arrives, so that I can plan.</w:t>
            </w:r>
          </w:p>
        </w:tc>
        <w:tc>
          <w:tcPr>
            <w:tcW w:type="dxa" w:w="5184"/>
            <w:tcMar>
              <w:top w:w="60" w:type="dxa"/>
              <w:start w:w="110" w:type="dxa"/>
              <w:bottom w:w="60" w:type="dxa"/>
              <w:end w:w="110" w:type="dxa"/>
            </w:tcMar>
            <w:shd w:val="clear" w:color="auto" w:fill="F4F7FB"/>
          </w:tcPr>
          <w:p>
            <w:pPr>
              <w:spacing w:after="0"/>
            </w:pPr>
            <w:r/>
            <w:r>
              <w:rPr>
                <w:rFonts w:ascii="Calibri" w:hAnsi="Calibri"/>
                <w:b/>
                <w:color w:val="101828"/>
                <w:sz w:val="15"/>
              </w:rPr>
              <w:t>Given</w:t>
            </w:r>
            <w:r>
              <w:rPr>
                <w:rFonts w:ascii="Calibri" w:hAnsi="Calibri"/>
                <w:b w:val="0"/>
                <w:i w:val="0"/>
                <w:color w:val="101828"/>
                <w:sz w:val="15"/>
              </w:rPr>
              <w:t xml:space="preserve"> my turn is 24 hours away, </w:t>
            </w:r>
            <w:r>
              <w:rPr>
                <w:rFonts w:ascii="Calibri" w:hAnsi="Calibri"/>
                <w:b/>
                <w:color w:val="101828"/>
                <w:sz w:val="15"/>
              </w:rPr>
              <w:t>when</w:t>
            </w:r>
            <w:r>
              <w:rPr>
                <w:rFonts w:ascii="Calibri" w:hAnsi="Calibri"/>
                <w:b w:val="0"/>
                <w:i w:val="0"/>
                <w:color w:val="101828"/>
                <w:sz w:val="15"/>
              </w:rPr>
              <w:t xml:space="preserve"> the notification window opens, </w:t>
            </w:r>
            <w:r>
              <w:rPr>
                <w:rFonts w:ascii="Calibri" w:hAnsi="Calibri"/>
                <w:b/>
                <w:color w:val="101828"/>
                <w:sz w:val="15"/>
              </w:rPr>
              <w:t>then</w:t>
            </w:r>
            <w:r>
              <w:rPr>
                <w:rFonts w:ascii="Calibri" w:hAnsi="Calibri"/>
                <w:b w:val="0"/>
                <w:i w:val="0"/>
                <w:color w:val="101828"/>
                <w:sz w:val="15"/>
              </w:rPr>
              <w:t xml:space="preserve"> I receive </w:t>
            </w:r>
            <w:r>
              <w:rPr>
                <w:rFonts w:ascii="Consolas" w:hAnsi="Consolas"/>
                <w:color w:val="146EF5"/>
                <w:sz w:val="15"/>
              </w:rPr>
              <w:t>payout.upcoming</w:t>
            </w:r>
            <w:r>
              <w:rPr>
                <w:rFonts w:ascii="Calibri" w:hAnsi="Calibri"/>
                <w:b w:val="0"/>
                <w:i w:val="0"/>
                <w:color w:val="101828"/>
                <w:sz w:val="15"/>
              </w:rPr>
              <w:t xml:space="preserve"> on push, email and SMS, and I see the date, the amount and the destination.</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US-28</w:t>
            </w:r>
          </w:p>
        </w:tc>
        <w:tc>
          <w:tcPr>
            <w:tcW w:type="dxa" w:w="3456"/>
            <w:tcMar>
              <w:top w:w="60" w:type="dxa"/>
              <w:start w:w="110" w:type="dxa"/>
              <w:bottom w:w="60" w:type="dxa"/>
              <w:end w:w="110" w:type="dxa"/>
            </w:tcMar>
          </w:tcPr>
          <w:p>
            <w:pPr>
              <w:spacing w:after="0"/>
            </w:pPr>
            <w:r/>
            <w:r>
              <w:rPr>
                <w:rFonts w:ascii="Calibri" w:hAnsi="Calibri"/>
                <w:b w:val="0"/>
                <w:i w:val="0"/>
                <w:color w:val="101828"/>
                <w:sz w:val="15"/>
              </w:rPr>
              <w:t>As a recipient, I would rather wait than be paid short, so that the promise is not broken.</w:t>
            </w:r>
          </w:p>
        </w:tc>
        <w:tc>
          <w:tcPr>
            <w:tcW w:type="dxa" w:w="5184"/>
            <w:tcMar>
              <w:top w:w="60" w:type="dxa"/>
              <w:start w:w="110" w:type="dxa"/>
              <w:bottom w:w="60" w:type="dxa"/>
              <w:end w:w="110" w:type="dxa"/>
            </w:tcMar>
          </w:tcPr>
          <w:p>
            <w:pPr>
              <w:spacing w:after="0"/>
            </w:pPr>
            <w:r/>
            <w:r>
              <w:rPr>
                <w:rFonts w:ascii="Calibri" w:hAnsi="Calibri"/>
                <w:b/>
                <w:color w:val="101828"/>
                <w:sz w:val="15"/>
              </w:rPr>
              <w:t>Given</w:t>
            </w:r>
            <w:r>
              <w:rPr>
                <w:rFonts w:ascii="Calibri" w:hAnsi="Calibri"/>
                <w:b w:val="0"/>
                <w:i w:val="0"/>
                <w:color w:val="101828"/>
                <w:sz w:val="15"/>
              </w:rPr>
              <w:t xml:space="preserve"> NGN 100,000.00 is due and only NGN 90,000.00 is available, </w:t>
            </w:r>
            <w:r>
              <w:rPr>
                <w:rFonts w:ascii="Calibri" w:hAnsi="Calibri"/>
                <w:b/>
                <w:color w:val="101828"/>
                <w:sz w:val="15"/>
              </w:rPr>
              <w:t>when</w:t>
            </w:r>
            <w:r>
              <w:rPr>
                <w:rFonts w:ascii="Calibri" w:hAnsi="Calibri"/>
                <w:b w:val="0"/>
                <w:i w:val="0"/>
                <w:color w:val="101828"/>
                <w:sz w:val="15"/>
              </w:rPr>
              <w:t xml:space="preserve"> release is attempted, </w:t>
            </w:r>
            <w:r>
              <w:rPr>
                <w:rFonts w:ascii="Calibri" w:hAnsi="Calibri"/>
                <w:b/>
                <w:color w:val="101828"/>
                <w:sz w:val="15"/>
              </w:rPr>
              <w:t>then</w:t>
            </w:r>
            <w:r>
              <w:rPr>
                <w:rFonts w:ascii="Calibri" w:hAnsi="Calibri"/>
                <w:b w:val="0"/>
                <w:i w:val="0"/>
                <w:color w:val="101828"/>
                <w:sz w:val="15"/>
              </w:rPr>
              <w:t xml:space="preserve"> the release is refused, the payout enters HELD, I am notified on push, email and SMS, the organizer is notified, and no reduced amount is ever paid and no corporate funds are used.</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US-29</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5"/>
              </w:rPr>
              <w:t>As a recipient, I want to control where my money goes, so that it reaches my own account.</w:t>
            </w:r>
          </w:p>
        </w:tc>
        <w:tc>
          <w:tcPr>
            <w:tcW w:type="dxa" w:w="5184"/>
            <w:tcMar>
              <w:top w:w="60" w:type="dxa"/>
              <w:start w:w="110" w:type="dxa"/>
              <w:bottom w:w="60" w:type="dxa"/>
              <w:end w:w="110" w:type="dxa"/>
            </w:tcMar>
            <w:shd w:val="clear" w:color="auto" w:fill="F4F7FB"/>
          </w:tcPr>
          <w:p>
            <w:pPr>
              <w:spacing w:after="0"/>
            </w:pPr>
            <w:r/>
            <w:r>
              <w:rPr>
                <w:rFonts w:ascii="Calibri" w:hAnsi="Calibri"/>
                <w:b/>
                <w:color w:val="101828"/>
                <w:sz w:val="15"/>
              </w:rPr>
              <w:t>Given</w:t>
            </w:r>
            <w:r>
              <w:rPr>
                <w:rFonts w:ascii="Calibri" w:hAnsi="Calibri"/>
                <w:b w:val="0"/>
                <w:i w:val="0"/>
                <w:color w:val="101828"/>
                <w:sz w:val="15"/>
              </w:rPr>
              <w:t xml:space="preserve"> I nominate a payout destination, </w:t>
            </w:r>
            <w:r>
              <w:rPr>
                <w:rFonts w:ascii="Calibri" w:hAnsi="Calibri"/>
                <w:b/>
                <w:color w:val="101828"/>
                <w:sz w:val="15"/>
              </w:rPr>
              <w:t>when</w:t>
            </w:r>
            <w:r>
              <w:rPr>
                <w:rFonts w:ascii="Calibri" w:hAnsi="Calibri"/>
                <w:b w:val="0"/>
                <w:i w:val="0"/>
                <w:color w:val="101828"/>
                <w:sz w:val="15"/>
              </w:rPr>
              <w:t xml:space="preserve"> the name on the destination account does not match my verified name, </w:t>
            </w:r>
            <w:r>
              <w:rPr>
                <w:rFonts w:ascii="Calibri" w:hAnsi="Calibri"/>
                <w:b/>
                <w:color w:val="101828"/>
                <w:sz w:val="15"/>
              </w:rPr>
              <w:t>then</w:t>
            </w:r>
            <w:r>
              <w:rPr>
                <w:rFonts w:ascii="Calibri" w:hAnsi="Calibri"/>
                <w:b w:val="0"/>
                <w:i w:val="0"/>
                <w:color w:val="101828"/>
                <w:sz w:val="15"/>
              </w:rPr>
              <w:t xml:space="preserve"> the nomination is rejected with a specific reason and no payout can be released to it.</w:t>
            </w:r>
          </w:p>
        </w:tc>
      </w:tr>
    </w:tbl>
    <w:p>
      <w:pPr>
        <w:spacing w:after="80"/>
      </w:pPr>
    </w:p>
    <w:p>
      <w:pPr>
        <w:pStyle w:val="Heading3"/>
      </w:pPr>
      <w:r>
        <w:rPr>
          <w:rFonts w:ascii="Calibri" w:hAnsi="Calibri"/>
          <w:b/>
          <w:i w:val="0"/>
          <w:color w:val="0B1F3A"/>
          <w:sz w:val="24"/>
        </w:rPr>
        <w:t>1.20.6 Disputes, defaults and trust</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5"/>
              </w:rPr>
              <w:t>ID</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5"/>
              </w:rPr>
              <w:t>User story</w:t>
            </w:r>
          </w:p>
        </w:tc>
        <w:tc>
          <w:tcPr>
            <w:tcW w:type="dxa" w:w="5184"/>
            <w:shd w:val="clear" w:color="auto" w:fill="0B1F3A"/>
            <w:tcMar>
              <w:top w:w="60" w:type="dxa"/>
              <w:start w:w="110" w:type="dxa"/>
              <w:bottom w:w="60" w:type="dxa"/>
              <w:end w:w="110" w:type="dxa"/>
            </w:tcMar>
          </w:tcPr>
          <w:p>
            <w:pPr>
              <w:spacing w:after="0"/>
            </w:pPr>
            <w:r/>
            <w:r>
              <w:rPr>
                <w:rFonts w:ascii="Calibri" w:hAnsi="Calibri"/>
                <w:b/>
                <w:i w:val="0"/>
                <w:color w:val="FFFFFF"/>
                <w:sz w:val="15"/>
              </w:rPr>
              <w:t>Acceptance criteria (Given / When / Then)</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US-30</w:t>
            </w:r>
          </w:p>
        </w:tc>
        <w:tc>
          <w:tcPr>
            <w:tcW w:type="dxa" w:w="3456"/>
            <w:tcMar>
              <w:top w:w="60" w:type="dxa"/>
              <w:start w:w="110" w:type="dxa"/>
              <w:bottom w:w="60" w:type="dxa"/>
              <w:end w:w="110" w:type="dxa"/>
            </w:tcMar>
          </w:tcPr>
          <w:p>
            <w:pPr>
              <w:spacing w:after="0"/>
            </w:pPr>
            <w:r/>
            <w:r>
              <w:rPr>
                <w:rFonts w:ascii="Calibri" w:hAnsi="Calibri"/>
                <w:b w:val="0"/>
                <w:i w:val="0"/>
                <w:color w:val="101828"/>
                <w:sz w:val="15"/>
              </w:rPr>
              <w:t>As a member, I want to raise a dispute about a specific payment with evidence, so that it can be settled on facts.</w:t>
            </w:r>
          </w:p>
        </w:tc>
        <w:tc>
          <w:tcPr>
            <w:tcW w:type="dxa" w:w="5184"/>
            <w:tcMar>
              <w:top w:w="60" w:type="dxa"/>
              <w:start w:w="110" w:type="dxa"/>
              <w:bottom w:w="60" w:type="dxa"/>
              <w:end w:w="110" w:type="dxa"/>
            </w:tcMar>
          </w:tcPr>
          <w:p>
            <w:pPr>
              <w:spacing w:after="0"/>
            </w:pPr>
            <w:r/>
            <w:r>
              <w:rPr>
                <w:rFonts w:ascii="Calibri" w:hAnsi="Calibri"/>
                <w:b/>
                <w:color w:val="101828"/>
                <w:sz w:val="15"/>
              </w:rPr>
              <w:t>Given</w:t>
            </w:r>
            <w:r>
              <w:rPr>
                <w:rFonts w:ascii="Calibri" w:hAnsi="Calibri"/>
                <w:b w:val="0"/>
                <w:i w:val="0"/>
                <w:color w:val="101828"/>
                <w:sz w:val="15"/>
              </w:rPr>
              <w:t xml:space="preserve"> I believe a contribution was not credited, </w:t>
            </w:r>
            <w:r>
              <w:rPr>
                <w:rFonts w:ascii="Calibri" w:hAnsi="Calibri"/>
                <w:b/>
                <w:color w:val="101828"/>
                <w:sz w:val="15"/>
              </w:rPr>
              <w:t>when</w:t>
            </w:r>
            <w:r>
              <w:rPr>
                <w:rFonts w:ascii="Calibri" w:hAnsi="Calibri"/>
                <w:b w:val="0"/>
                <w:i w:val="0"/>
                <w:color w:val="101828"/>
                <w:sz w:val="15"/>
              </w:rPr>
              <w:t xml:space="preserve"> I raise a dispute against that round, </w:t>
            </w:r>
            <w:r>
              <w:rPr>
                <w:rFonts w:ascii="Calibri" w:hAnsi="Calibri"/>
                <w:b/>
                <w:color w:val="101828"/>
                <w:sz w:val="15"/>
              </w:rPr>
              <w:t>then</w:t>
            </w:r>
            <w:r>
              <w:rPr>
                <w:rFonts w:ascii="Calibri" w:hAnsi="Calibri"/>
                <w:b w:val="0"/>
                <w:i w:val="0"/>
                <w:color w:val="101828"/>
                <w:sz w:val="15"/>
              </w:rPr>
              <w:t xml:space="preserve"> a dispute is created with a timestamp, the counterparty and the organizer are notified, and I can attach evidence to a permanent thread that all parties can see.</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US-31</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5"/>
              </w:rPr>
              <w:t>As a member, I want to know what will happen if I cannot pay this week, before it happens.</w:t>
            </w:r>
          </w:p>
        </w:tc>
        <w:tc>
          <w:tcPr>
            <w:tcW w:type="dxa" w:w="5184"/>
            <w:tcMar>
              <w:top w:w="60" w:type="dxa"/>
              <w:start w:w="110" w:type="dxa"/>
              <w:bottom w:w="60" w:type="dxa"/>
              <w:end w:w="110" w:type="dxa"/>
            </w:tcMar>
            <w:shd w:val="clear" w:color="auto" w:fill="F4F7FB"/>
          </w:tcPr>
          <w:p>
            <w:pPr>
              <w:spacing w:after="0"/>
            </w:pPr>
            <w:r/>
            <w:r>
              <w:rPr>
                <w:rFonts w:ascii="Calibri" w:hAnsi="Calibri"/>
                <w:b/>
                <w:color w:val="101828"/>
                <w:sz w:val="15"/>
              </w:rPr>
              <w:t>Given</w:t>
            </w:r>
            <w:r>
              <w:rPr>
                <w:rFonts w:ascii="Calibri" w:hAnsi="Calibri"/>
                <w:b w:val="0"/>
                <w:i w:val="0"/>
                <w:color w:val="101828"/>
                <w:sz w:val="15"/>
              </w:rPr>
              <w:t xml:space="preserve"> a contribution is due in 3 days, </w:t>
            </w:r>
            <w:r>
              <w:rPr>
                <w:rFonts w:ascii="Calibri" w:hAnsi="Calibri"/>
                <w:b/>
                <w:color w:val="101828"/>
                <w:sz w:val="15"/>
              </w:rPr>
              <w:t>when</w:t>
            </w:r>
            <w:r>
              <w:rPr>
                <w:rFonts w:ascii="Calibri" w:hAnsi="Calibri"/>
                <w:b w:val="0"/>
                <w:i w:val="0"/>
                <w:color w:val="101828"/>
                <w:sz w:val="15"/>
              </w:rPr>
              <w:t xml:space="preserve"> I open the contribution detail, </w:t>
            </w:r>
            <w:r>
              <w:rPr>
                <w:rFonts w:ascii="Calibri" w:hAnsi="Calibri"/>
                <w:b/>
                <w:color w:val="101828"/>
                <w:sz w:val="15"/>
              </w:rPr>
              <w:t>then</w:t>
            </w:r>
            <w:r>
              <w:rPr>
                <w:rFonts w:ascii="Calibri" w:hAnsi="Calibri"/>
                <w:b w:val="0"/>
                <w:i w:val="0"/>
                <w:color w:val="101828"/>
                <w:sz w:val="15"/>
              </w:rPr>
              <w:t xml:space="preserve"> I see the state sequence, the 48-hour grace, what my options are, and that other members will not be charged extra because of me.</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US-32</w:t>
            </w:r>
          </w:p>
        </w:tc>
        <w:tc>
          <w:tcPr>
            <w:tcW w:type="dxa" w:w="3456"/>
            <w:tcMar>
              <w:top w:w="60" w:type="dxa"/>
              <w:start w:w="110" w:type="dxa"/>
              <w:bottom w:w="60" w:type="dxa"/>
              <w:end w:w="110" w:type="dxa"/>
            </w:tcMar>
          </w:tcPr>
          <w:p>
            <w:pPr>
              <w:spacing w:after="0"/>
            </w:pPr>
            <w:r/>
            <w:r>
              <w:rPr>
                <w:rFonts w:ascii="Calibri" w:hAnsi="Calibri"/>
                <w:b w:val="0"/>
                <w:i w:val="0"/>
                <w:color w:val="101828"/>
                <w:sz w:val="15"/>
              </w:rPr>
              <w:t>As a member, I want my missed payment handled privately, so that I am not exposed.</w:t>
            </w:r>
          </w:p>
        </w:tc>
        <w:tc>
          <w:tcPr>
            <w:tcW w:type="dxa" w:w="5184"/>
            <w:tcMar>
              <w:top w:w="60" w:type="dxa"/>
              <w:start w:w="110" w:type="dxa"/>
              <w:bottom w:w="60" w:type="dxa"/>
              <w:end w:w="110" w:type="dxa"/>
            </w:tcMar>
          </w:tcPr>
          <w:p>
            <w:pPr>
              <w:spacing w:after="0"/>
            </w:pPr>
            <w:r/>
            <w:r>
              <w:rPr>
                <w:rFonts w:ascii="Calibri" w:hAnsi="Calibri"/>
                <w:b/>
                <w:color w:val="101828"/>
                <w:sz w:val="15"/>
              </w:rPr>
              <w:t>Given</w:t>
            </w:r>
            <w:r>
              <w:rPr>
                <w:rFonts w:ascii="Calibri" w:hAnsi="Calibri"/>
                <w:b w:val="0"/>
                <w:i w:val="0"/>
                <w:color w:val="101828"/>
                <w:sz w:val="15"/>
              </w:rPr>
              <w:t xml:space="preserve"> I have defaulted, </w:t>
            </w:r>
            <w:r>
              <w:rPr>
                <w:rFonts w:ascii="Calibri" w:hAnsi="Calibri"/>
                <w:b/>
                <w:color w:val="101828"/>
                <w:sz w:val="15"/>
              </w:rPr>
              <w:t>when</w:t>
            </w:r>
            <w:r>
              <w:rPr>
                <w:rFonts w:ascii="Calibri" w:hAnsi="Calibri"/>
                <w:b w:val="0"/>
                <w:i w:val="0"/>
                <w:color w:val="101828"/>
                <w:sz w:val="15"/>
              </w:rPr>
              <w:t xml:space="preserve"> the default is recorded, </w:t>
            </w:r>
            <w:r>
              <w:rPr>
                <w:rFonts w:ascii="Calibri" w:hAnsi="Calibri"/>
                <w:b/>
                <w:color w:val="101828"/>
                <w:sz w:val="15"/>
              </w:rPr>
              <w:t>then</w:t>
            </w:r>
            <w:r>
              <w:rPr>
                <w:rFonts w:ascii="Calibri" w:hAnsi="Calibri"/>
                <w:b w:val="0"/>
                <w:i w:val="0"/>
                <w:color w:val="101828"/>
                <w:sz w:val="15"/>
              </w:rPr>
              <w:t xml:space="preserve"> only I, the organizer and platform risk are notified, no other member sees my name or state, and no public or member-visible feed contains the default.</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US-33</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5"/>
              </w:rPr>
              <w:t>As an organizer, I want to be told when grace has ended, so that I know when to act.</w:t>
            </w:r>
          </w:p>
        </w:tc>
        <w:tc>
          <w:tcPr>
            <w:tcW w:type="dxa" w:w="5184"/>
            <w:tcMar>
              <w:top w:w="60" w:type="dxa"/>
              <w:start w:w="110" w:type="dxa"/>
              <w:bottom w:w="60" w:type="dxa"/>
              <w:end w:w="110" w:type="dxa"/>
            </w:tcMar>
            <w:shd w:val="clear" w:color="auto" w:fill="F4F7FB"/>
          </w:tcPr>
          <w:p>
            <w:pPr>
              <w:spacing w:after="0"/>
            </w:pPr>
            <w:r/>
            <w:r>
              <w:rPr>
                <w:rFonts w:ascii="Calibri" w:hAnsi="Calibri"/>
                <w:b/>
                <w:color w:val="101828"/>
                <w:sz w:val="15"/>
              </w:rPr>
              <w:t>Given</w:t>
            </w:r>
            <w:r>
              <w:rPr>
                <w:rFonts w:ascii="Calibri" w:hAnsi="Calibri"/>
                <w:b w:val="0"/>
                <w:i w:val="0"/>
                <w:color w:val="101828"/>
                <w:sz w:val="15"/>
              </w:rPr>
              <w:t xml:space="preserve"> a member's contribution is overdue, </w:t>
            </w:r>
            <w:r>
              <w:rPr>
                <w:rFonts w:ascii="Calibri" w:hAnsi="Calibri"/>
                <w:b/>
                <w:color w:val="101828"/>
                <w:sz w:val="15"/>
              </w:rPr>
              <w:t>when</w:t>
            </w:r>
            <w:r>
              <w:rPr>
                <w:rFonts w:ascii="Calibri" w:hAnsi="Calibri"/>
                <w:b w:val="0"/>
                <w:i w:val="0"/>
                <w:color w:val="101828"/>
                <w:sz w:val="15"/>
              </w:rPr>
              <w:t xml:space="preserve"> 48 hours elapse without payment, </w:t>
            </w:r>
            <w:r>
              <w:rPr>
                <w:rFonts w:ascii="Calibri" w:hAnsi="Calibri"/>
                <w:b/>
                <w:color w:val="101828"/>
                <w:sz w:val="15"/>
              </w:rPr>
              <w:t>then</w:t>
            </w:r>
            <w:r>
              <w:rPr>
                <w:rFonts w:ascii="Calibri" w:hAnsi="Calibri"/>
                <w:b w:val="0"/>
                <w:i w:val="0"/>
                <w:color w:val="101828"/>
                <w:sz w:val="15"/>
              </w:rPr>
              <w:t xml:space="preserve"> I receive </w:t>
            </w:r>
            <w:r>
              <w:rPr>
                <w:rFonts w:ascii="Consolas" w:hAnsi="Consolas"/>
                <w:color w:val="146EF5"/>
                <w:sz w:val="15"/>
              </w:rPr>
              <w:t>contribution.grace_ended</w:t>
            </w:r>
            <w:r>
              <w:rPr>
                <w:rFonts w:ascii="Calibri" w:hAnsi="Calibri"/>
                <w:b w:val="0"/>
                <w:i w:val="0"/>
                <w:color w:val="101828"/>
                <w:sz w:val="15"/>
              </w:rPr>
              <w:t xml:space="preserve"> and then </w:t>
            </w:r>
            <w:r>
              <w:rPr>
                <w:rFonts w:ascii="Consolas" w:hAnsi="Consolas"/>
                <w:color w:val="146EF5"/>
                <w:sz w:val="15"/>
              </w:rPr>
              <w:t>member.defaulted</w:t>
            </w:r>
            <w:r>
              <w:rPr>
                <w:rFonts w:ascii="Calibri" w:hAnsi="Calibri"/>
                <w:b w:val="0"/>
                <w:i w:val="0"/>
                <w:color w:val="101828"/>
                <w:sz w:val="15"/>
              </w:rPr>
              <w:t>, and the member's remaining balance and recovery options are shown to me.</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US-34</w:t>
            </w:r>
          </w:p>
        </w:tc>
        <w:tc>
          <w:tcPr>
            <w:tcW w:type="dxa" w:w="3456"/>
            <w:tcMar>
              <w:top w:w="60" w:type="dxa"/>
              <w:start w:w="110" w:type="dxa"/>
              <w:bottom w:w="60" w:type="dxa"/>
              <w:end w:w="110" w:type="dxa"/>
            </w:tcMar>
          </w:tcPr>
          <w:p>
            <w:pPr>
              <w:spacing w:after="0"/>
            </w:pPr>
            <w:r/>
            <w:r>
              <w:rPr>
                <w:rFonts w:ascii="Calibri" w:hAnsi="Calibri"/>
                <w:b w:val="0"/>
                <w:i w:val="0"/>
                <w:color w:val="101828"/>
                <w:sz w:val="15"/>
              </w:rPr>
              <w:t>As a member, I want to leave without stranding the others, so that I am not forced to stay in something I cannot afford.</w:t>
            </w:r>
          </w:p>
        </w:tc>
        <w:tc>
          <w:tcPr>
            <w:tcW w:type="dxa" w:w="5184"/>
            <w:tcMar>
              <w:top w:w="60" w:type="dxa"/>
              <w:start w:w="110" w:type="dxa"/>
              <w:bottom w:w="60" w:type="dxa"/>
              <w:end w:w="110" w:type="dxa"/>
            </w:tcMar>
          </w:tcPr>
          <w:p>
            <w:pPr>
              <w:spacing w:after="0"/>
            </w:pPr>
            <w:r/>
            <w:r>
              <w:rPr>
                <w:rFonts w:ascii="Calibri" w:hAnsi="Calibri"/>
                <w:b/>
                <w:color w:val="101828"/>
                <w:sz w:val="15"/>
              </w:rPr>
              <w:t>Given</w:t>
            </w:r>
            <w:r>
              <w:rPr>
                <w:rFonts w:ascii="Calibri" w:hAnsi="Calibri"/>
                <w:b w:val="0"/>
                <w:i w:val="0"/>
                <w:color w:val="101828"/>
                <w:sz w:val="15"/>
              </w:rPr>
              <w:t xml:space="preserve"> I am in an ACTIVE Ajo, </w:t>
            </w:r>
            <w:r>
              <w:rPr>
                <w:rFonts w:ascii="Calibri" w:hAnsi="Calibri"/>
                <w:b/>
                <w:color w:val="101828"/>
                <w:sz w:val="15"/>
              </w:rPr>
              <w:t>when</w:t>
            </w:r>
            <w:r>
              <w:rPr>
                <w:rFonts w:ascii="Calibri" w:hAnsi="Calibri"/>
                <w:b w:val="0"/>
                <w:i w:val="0"/>
                <w:color w:val="101828"/>
                <w:sz w:val="15"/>
              </w:rPr>
              <w:t xml:space="preserve"> I request a replacement exit, </w:t>
            </w:r>
            <w:r>
              <w:rPr>
                <w:rFonts w:ascii="Calibri" w:hAnsi="Calibri"/>
                <w:b/>
                <w:color w:val="101828"/>
                <w:sz w:val="15"/>
              </w:rPr>
              <w:t>then</w:t>
            </w:r>
            <w:r>
              <w:rPr>
                <w:rFonts w:ascii="Calibri" w:hAnsi="Calibri"/>
                <w:b w:val="0"/>
                <w:i w:val="0"/>
                <w:color w:val="101828"/>
                <w:sz w:val="15"/>
              </w:rPr>
              <w:t xml:space="preserve"> a formal request is created with a reason, no unilateral exit is possible, an approved replacement assumes my position and my remaining obligations, and both members are recorded in the ledger.</w:t>
            </w:r>
          </w:p>
        </w:tc>
      </w:tr>
    </w:tbl>
    <w:p>
      <w:pPr>
        <w:spacing w:after="80"/>
      </w:pPr>
    </w:p>
    <w:p>
      <w:pPr>
        <w:pStyle w:val="Heading3"/>
      </w:pPr>
      <w:r>
        <w:rPr>
          <w:rFonts w:ascii="Calibri" w:hAnsi="Calibri"/>
          <w:b/>
          <w:i w:val="0"/>
          <w:color w:val="0B1F3A"/>
          <w:sz w:val="24"/>
        </w:rPr>
        <w:t>1.20.7 Security and administration</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5"/>
              </w:rPr>
              <w:t>ID</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5"/>
              </w:rPr>
              <w:t>User story</w:t>
            </w:r>
          </w:p>
        </w:tc>
        <w:tc>
          <w:tcPr>
            <w:tcW w:type="dxa" w:w="5184"/>
            <w:shd w:val="clear" w:color="auto" w:fill="0B1F3A"/>
            <w:tcMar>
              <w:top w:w="60" w:type="dxa"/>
              <w:start w:w="110" w:type="dxa"/>
              <w:bottom w:w="60" w:type="dxa"/>
              <w:end w:w="110" w:type="dxa"/>
            </w:tcMar>
          </w:tcPr>
          <w:p>
            <w:pPr>
              <w:spacing w:after="0"/>
            </w:pPr>
            <w:r/>
            <w:r>
              <w:rPr>
                <w:rFonts w:ascii="Calibri" w:hAnsi="Calibri"/>
                <w:b/>
                <w:i w:val="0"/>
                <w:color w:val="FFFFFF"/>
                <w:sz w:val="15"/>
              </w:rPr>
              <w:t>Acceptance criteria (Given / When / Then)</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US-35</w:t>
            </w:r>
          </w:p>
        </w:tc>
        <w:tc>
          <w:tcPr>
            <w:tcW w:type="dxa" w:w="3456"/>
            <w:tcMar>
              <w:top w:w="60" w:type="dxa"/>
              <w:start w:w="110" w:type="dxa"/>
              <w:bottom w:w="60" w:type="dxa"/>
              <w:end w:w="110" w:type="dxa"/>
            </w:tcMar>
          </w:tcPr>
          <w:p>
            <w:pPr>
              <w:spacing w:after="0"/>
            </w:pPr>
            <w:r/>
            <w:r>
              <w:rPr>
                <w:rFonts w:ascii="Calibri" w:hAnsi="Calibri"/>
                <w:b w:val="0"/>
                <w:i w:val="0"/>
                <w:color w:val="101828"/>
                <w:sz w:val="15"/>
              </w:rPr>
              <w:t>As a user, I want to freeze my own account instantly, so that I can stop a problem before I understand it.</w:t>
            </w:r>
          </w:p>
        </w:tc>
        <w:tc>
          <w:tcPr>
            <w:tcW w:type="dxa" w:w="5184"/>
            <w:tcMar>
              <w:top w:w="60" w:type="dxa"/>
              <w:start w:w="110" w:type="dxa"/>
              <w:bottom w:w="60" w:type="dxa"/>
              <w:end w:w="110" w:type="dxa"/>
            </w:tcMar>
          </w:tcPr>
          <w:p>
            <w:pPr>
              <w:spacing w:after="0"/>
            </w:pPr>
            <w:r/>
            <w:r>
              <w:rPr>
                <w:rFonts w:ascii="Calibri" w:hAnsi="Calibri"/>
                <w:b/>
                <w:color w:val="101828"/>
                <w:sz w:val="15"/>
              </w:rPr>
              <w:t>Given</w:t>
            </w:r>
            <w:r>
              <w:rPr>
                <w:rFonts w:ascii="Calibri" w:hAnsi="Calibri"/>
                <w:b w:val="0"/>
                <w:i w:val="0"/>
                <w:color w:val="101828"/>
                <w:sz w:val="15"/>
              </w:rPr>
              <w:t xml:space="preserve"> I suspect fraud on my account, </w:t>
            </w:r>
            <w:r>
              <w:rPr>
                <w:rFonts w:ascii="Calibri" w:hAnsi="Calibri"/>
                <w:b/>
                <w:color w:val="101828"/>
                <w:sz w:val="15"/>
              </w:rPr>
              <w:t>when</w:t>
            </w:r>
            <w:r>
              <w:rPr>
                <w:rFonts w:ascii="Calibri" w:hAnsi="Calibri"/>
                <w:b w:val="0"/>
                <w:i w:val="0"/>
                <w:color w:val="101828"/>
                <w:sz w:val="15"/>
              </w:rPr>
              <w:t xml:space="preserve"> I request a self-freeze, </w:t>
            </w:r>
            <w:r>
              <w:rPr>
                <w:rFonts w:ascii="Calibri" w:hAnsi="Calibri"/>
                <w:b/>
                <w:color w:val="101828"/>
                <w:sz w:val="15"/>
              </w:rPr>
              <w:t>then</w:t>
            </w:r>
            <w:r>
              <w:rPr>
                <w:rFonts w:ascii="Calibri" w:hAnsi="Calibri"/>
                <w:b w:val="0"/>
                <w:i w:val="0"/>
                <w:color w:val="101828"/>
                <w:sz w:val="15"/>
              </w:rPr>
              <w:t xml:space="preserve"> all money movement stops immediately, I receive </w:t>
            </w:r>
            <w:r>
              <w:rPr>
                <w:rFonts w:ascii="Consolas" w:hAnsi="Consolas"/>
                <w:color w:val="146EF5"/>
                <w:sz w:val="15"/>
              </w:rPr>
              <w:t>account.frozen</w:t>
            </w:r>
            <w:r>
              <w:rPr>
                <w:rFonts w:ascii="Calibri" w:hAnsi="Calibri"/>
                <w:b w:val="0"/>
                <w:i w:val="0"/>
                <w:color w:val="101828"/>
                <w:sz w:val="15"/>
              </w:rPr>
              <w:t xml:space="preserve"> on push, email and SMS, and only a support action after verified identity can unfreeze it.</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US-36</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5"/>
              </w:rPr>
              <w:t>As a support agent, I want to see everything and change nothing, so that I can help without becoming a risk.</w:t>
            </w:r>
          </w:p>
        </w:tc>
        <w:tc>
          <w:tcPr>
            <w:tcW w:type="dxa" w:w="5184"/>
            <w:tcMar>
              <w:top w:w="60" w:type="dxa"/>
              <w:start w:w="110" w:type="dxa"/>
              <w:bottom w:w="60" w:type="dxa"/>
              <w:end w:w="110" w:type="dxa"/>
            </w:tcMar>
            <w:shd w:val="clear" w:color="auto" w:fill="F4F7FB"/>
          </w:tcPr>
          <w:p>
            <w:pPr>
              <w:spacing w:after="0"/>
            </w:pPr>
            <w:r/>
            <w:r>
              <w:rPr>
                <w:rFonts w:ascii="Calibri" w:hAnsi="Calibri"/>
                <w:b/>
                <w:color w:val="101828"/>
                <w:sz w:val="15"/>
              </w:rPr>
              <w:t>Given</w:t>
            </w:r>
            <w:r>
              <w:rPr>
                <w:rFonts w:ascii="Calibri" w:hAnsi="Calibri"/>
                <w:b w:val="0"/>
                <w:i w:val="0"/>
                <w:color w:val="101828"/>
                <w:sz w:val="15"/>
              </w:rPr>
              <w:t xml:space="preserve"> I am signed in as support, </w:t>
            </w:r>
            <w:r>
              <w:rPr>
                <w:rFonts w:ascii="Calibri" w:hAnsi="Calibri"/>
                <w:b/>
                <w:color w:val="101828"/>
                <w:sz w:val="15"/>
              </w:rPr>
              <w:t>when</w:t>
            </w:r>
            <w:r>
              <w:rPr>
                <w:rFonts w:ascii="Calibri" w:hAnsi="Calibri"/>
                <w:b w:val="0"/>
                <w:i w:val="0"/>
                <w:color w:val="101828"/>
                <w:sz w:val="15"/>
              </w:rPr>
              <w:t xml:space="preserve"> I open any admin screen, </w:t>
            </w:r>
            <w:r>
              <w:rPr>
                <w:rFonts w:ascii="Calibri" w:hAnsi="Calibri"/>
                <w:b/>
                <w:color w:val="101828"/>
                <w:sz w:val="15"/>
              </w:rPr>
              <w:t>then</w:t>
            </w:r>
            <w:r>
              <w:rPr>
                <w:rFonts w:ascii="Calibri" w:hAnsi="Calibri"/>
                <w:b w:val="0"/>
                <w:i w:val="0"/>
                <w:color w:val="101828"/>
                <w:sz w:val="15"/>
              </w:rPr>
              <w:t xml:space="preserve"> I can read users, Ajos, contributions, payments, payouts, disputes and audit logs, and every mutation control is absent and every mutation endpoint rejects my role with a recorded attempt.</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US-37</w:t>
            </w:r>
          </w:p>
        </w:tc>
        <w:tc>
          <w:tcPr>
            <w:tcW w:type="dxa" w:w="3456"/>
            <w:tcMar>
              <w:top w:w="60" w:type="dxa"/>
              <w:start w:w="110" w:type="dxa"/>
              <w:bottom w:w="60" w:type="dxa"/>
              <w:end w:w="110" w:type="dxa"/>
            </w:tcMar>
          </w:tcPr>
          <w:p>
            <w:pPr>
              <w:spacing w:after="0"/>
            </w:pPr>
            <w:r/>
            <w:r>
              <w:rPr>
                <w:rFonts w:ascii="Calibri" w:hAnsi="Calibri"/>
                <w:b w:val="0"/>
                <w:i w:val="0"/>
                <w:color w:val="101828"/>
                <w:sz w:val="15"/>
              </w:rPr>
              <w:t>As a risk officer, I want every decision I make to be explained and permanent, so that my judgement can be reviewed.</w:t>
            </w:r>
          </w:p>
        </w:tc>
        <w:tc>
          <w:tcPr>
            <w:tcW w:type="dxa" w:w="5184"/>
            <w:tcMar>
              <w:top w:w="60" w:type="dxa"/>
              <w:start w:w="110" w:type="dxa"/>
              <w:bottom w:w="60" w:type="dxa"/>
              <w:end w:w="110" w:type="dxa"/>
            </w:tcMar>
          </w:tcPr>
          <w:p>
            <w:pPr>
              <w:spacing w:after="0"/>
            </w:pPr>
            <w:r/>
            <w:r>
              <w:rPr>
                <w:rFonts w:ascii="Calibri" w:hAnsi="Calibri"/>
                <w:b/>
                <w:color w:val="101828"/>
                <w:sz w:val="15"/>
              </w:rPr>
              <w:t>Given</w:t>
            </w:r>
            <w:r>
              <w:rPr>
                <w:rFonts w:ascii="Calibri" w:hAnsi="Calibri"/>
                <w:b w:val="0"/>
                <w:i w:val="0"/>
                <w:color w:val="101828"/>
                <w:sz w:val="15"/>
              </w:rPr>
              <w:t xml:space="preserve"> I place an Ajo under review, </w:t>
            </w:r>
            <w:r>
              <w:rPr>
                <w:rFonts w:ascii="Calibri" w:hAnsi="Calibri"/>
                <w:b/>
                <w:color w:val="101828"/>
                <w:sz w:val="15"/>
              </w:rPr>
              <w:t>when</w:t>
            </w:r>
            <w:r>
              <w:rPr>
                <w:rFonts w:ascii="Calibri" w:hAnsi="Calibri"/>
                <w:b w:val="0"/>
                <w:i w:val="0"/>
                <w:color w:val="101828"/>
                <w:sz w:val="15"/>
              </w:rPr>
              <w:t xml:space="preserve"> I record the decision, </w:t>
            </w:r>
            <w:r>
              <w:rPr>
                <w:rFonts w:ascii="Calibri" w:hAnsi="Calibri"/>
                <w:b/>
                <w:color w:val="101828"/>
                <w:sz w:val="15"/>
              </w:rPr>
              <w:t>then</w:t>
            </w:r>
            <w:r>
              <w:rPr>
                <w:rFonts w:ascii="Calibri" w:hAnsi="Calibri"/>
                <w:b w:val="0"/>
                <w:i w:val="0"/>
                <w:color w:val="101828"/>
                <w:sz w:val="15"/>
              </w:rPr>
              <w:t xml:space="preserve"> the trigger, evidence, decision, rationale and my identity are stored, the decision appears in the Risk screen, and it is visible in the audit log to every admin role including super_admin.</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US-38</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5"/>
              </w:rPr>
              <w:t>As a member, I want to keep a record of my completed Ajos, so that my savings history outlives the scheme.</w:t>
            </w:r>
          </w:p>
        </w:tc>
        <w:tc>
          <w:tcPr>
            <w:tcW w:type="dxa" w:w="5184"/>
            <w:tcMar>
              <w:top w:w="60" w:type="dxa"/>
              <w:start w:w="110" w:type="dxa"/>
              <w:bottom w:w="60" w:type="dxa"/>
              <w:end w:w="110" w:type="dxa"/>
            </w:tcMar>
            <w:shd w:val="clear" w:color="auto" w:fill="F4F7FB"/>
          </w:tcPr>
          <w:p>
            <w:pPr>
              <w:spacing w:after="0"/>
            </w:pPr>
            <w:r/>
            <w:r>
              <w:rPr>
                <w:rFonts w:ascii="Calibri" w:hAnsi="Calibri"/>
                <w:b/>
                <w:color w:val="101828"/>
                <w:sz w:val="15"/>
              </w:rPr>
              <w:t>Given</w:t>
            </w:r>
            <w:r>
              <w:rPr>
                <w:rFonts w:ascii="Calibri" w:hAnsi="Calibri"/>
                <w:b w:val="0"/>
                <w:i w:val="0"/>
                <w:color w:val="101828"/>
                <w:sz w:val="15"/>
              </w:rPr>
              <w:t xml:space="preserve"> an Ajo has reached COMPLETED, </w:t>
            </w:r>
            <w:r>
              <w:rPr>
                <w:rFonts w:ascii="Calibri" w:hAnsi="Calibri"/>
                <w:b/>
                <w:color w:val="101828"/>
                <w:sz w:val="15"/>
              </w:rPr>
              <w:t>when</w:t>
            </w:r>
            <w:r>
              <w:rPr>
                <w:rFonts w:ascii="Calibri" w:hAnsi="Calibri"/>
                <w:b w:val="0"/>
                <w:i w:val="0"/>
                <w:color w:val="101828"/>
                <w:sz w:val="15"/>
              </w:rPr>
              <w:t xml:space="preserve"> I open the completed Ajo, </w:t>
            </w:r>
            <w:r>
              <w:rPr>
                <w:rFonts w:ascii="Calibri" w:hAnsi="Calibri"/>
                <w:b/>
                <w:color w:val="101828"/>
                <w:sz w:val="15"/>
              </w:rPr>
              <w:t>then</w:t>
            </w:r>
            <w:r>
              <w:rPr>
                <w:rFonts w:ascii="Calibri" w:hAnsi="Calibri"/>
                <w:b w:val="0"/>
                <w:i w:val="0"/>
                <w:color w:val="101828"/>
                <w:sz w:val="15"/>
              </w:rPr>
              <w:t xml:space="preserve"> the full round history, all receipts and a downloadable statement remain readable and downloadable for the whole retention period.</w:t>
            </w:r>
          </w:p>
        </w:tc>
      </w:tr>
    </w:tbl>
    <w:p>
      <w:pPr>
        <w:spacing w:after="80"/>
      </w:pPr>
    </w:p>
    <w:p>
      <w:pPr>
        <w:pStyle w:val="Heading2"/>
      </w:pPr>
      <w:r>
        <w:rPr>
          <w:rFonts w:ascii="Calibri" w:hAnsi="Calibri"/>
          <w:b/>
          <w:i w:val="0"/>
          <w:color w:val="146EF5"/>
          <w:sz w:val="29"/>
        </w:rPr>
        <w:t>1.21 Business rules</w:t>
      </w:r>
    </w:p>
    <w:p>
      <w:r>
        <w:rPr>
          <w:rFonts w:ascii="Calibri" w:hAnsi="Calibri"/>
          <w:b w:val="0"/>
          <w:i w:val="0"/>
          <w:color w:val="101828"/>
          <w:sz w:val="21"/>
        </w:rPr>
        <w:t xml:space="preserve">Business rules are the </w:t>
      </w:r>
      <w:r>
        <w:rPr>
          <w:rFonts w:ascii="Calibri" w:hAnsi="Calibri"/>
          <w:b/>
          <w:color w:val="101828"/>
          <w:sz w:val="21"/>
        </w:rPr>
        <w:t>fixed, non-negotiable constraints</w:t>
      </w:r>
      <w:r>
        <w:rPr>
          <w:rFonts w:ascii="Calibri" w:hAnsi="Calibri"/>
          <w:b w:val="0"/>
          <w:i w:val="0"/>
          <w:color w:val="101828"/>
          <w:sz w:val="21"/>
        </w:rPr>
        <w:t xml:space="preserve"> on the product. They are numbered BR-001 onwards and referenced from the requirements in section 1.17. A change to any of these is a change to the product promise and requires reissue of this document.</w:t>
      </w:r>
    </w:p>
    <w:p>
      <w:pPr>
        <w:pStyle w:val="Heading3"/>
      </w:pPr>
      <w:r>
        <w:rPr>
          <w:rFonts w:ascii="Calibri" w:hAnsi="Calibri"/>
          <w:b/>
          <w:i w:val="0"/>
          <w:color w:val="0B1F3A"/>
          <w:sz w:val="24"/>
        </w:rPr>
        <w:t>1.21.1 Enrollment, commitment and membership</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5"/>
              </w:rPr>
              <w:t>ID</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5"/>
              </w:rPr>
              <w:t>Rule</w:t>
            </w:r>
          </w:p>
        </w:tc>
        <w:tc>
          <w:tcPr>
            <w:tcW w:type="dxa" w:w="5112"/>
            <w:shd w:val="clear" w:color="auto" w:fill="0B1F3A"/>
            <w:tcMar>
              <w:top w:w="60" w:type="dxa"/>
              <w:start w:w="110" w:type="dxa"/>
              <w:bottom w:w="60" w:type="dxa"/>
              <w:end w:w="110" w:type="dxa"/>
            </w:tcMar>
          </w:tcPr>
          <w:p>
            <w:pPr>
              <w:spacing w:after="0"/>
            </w:pPr>
            <w:r/>
            <w:r>
              <w:rPr>
                <w:rFonts w:ascii="Calibri" w:hAnsi="Calibri"/>
                <w:b/>
                <w:i w:val="0"/>
                <w:color w:val="FFFFFF"/>
                <w:sz w:val="15"/>
              </w:rPr>
              <w:t>Detail</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5"/>
              </w:rPr>
              <w:t>Enforced by</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BR-001</w:t>
            </w:r>
          </w:p>
        </w:tc>
        <w:tc>
          <w:tcPr>
            <w:tcW w:type="dxa" w:w="1944"/>
            <w:tcMar>
              <w:top w:w="60" w:type="dxa"/>
              <w:start w:w="110" w:type="dxa"/>
              <w:bottom w:w="60" w:type="dxa"/>
              <w:end w:w="110" w:type="dxa"/>
            </w:tcMar>
          </w:tcPr>
          <w:p>
            <w:pPr>
              <w:spacing w:after="0"/>
            </w:pPr>
            <w:r/>
            <w:r>
              <w:rPr>
                <w:rFonts w:ascii="Calibri" w:hAnsi="Calibri"/>
                <w:b w:val="0"/>
                <w:i w:val="0"/>
                <w:color w:val="101828"/>
                <w:sz w:val="15"/>
              </w:rPr>
              <w:t>Five-day enrollment window</w:t>
            </w:r>
          </w:p>
        </w:tc>
        <w:tc>
          <w:tcPr>
            <w:tcW w:type="dxa" w:w="5112"/>
            <w:tcMar>
              <w:top w:w="60" w:type="dxa"/>
              <w:start w:w="110" w:type="dxa"/>
              <w:bottom w:w="60" w:type="dxa"/>
              <w:end w:w="110" w:type="dxa"/>
            </w:tcMar>
          </w:tcPr>
          <w:p>
            <w:pPr>
              <w:spacing w:after="0"/>
            </w:pPr>
            <w:r/>
            <w:r>
              <w:rPr>
                <w:rFonts w:ascii="Calibri" w:hAnsi="Calibri"/>
                <w:b w:val="0"/>
                <w:i w:val="0"/>
                <w:color w:val="101828"/>
                <w:sz w:val="15"/>
              </w:rPr>
              <w:t>An Ajo may remain in ENROLLMENT for exactly 5 days. If every position is not filled when the window closes, the Ajo transitions to CANCELLED and all collected contributions are refunded in full. The window cannot be extended by the organizer.</w:t>
            </w:r>
          </w:p>
        </w:tc>
        <w:tc>
          <w:tcPr>
            <w:tcW w:type="dxa" w:w="1584"/>
            <w:tcMar>
              <w:top w:w="60" w:type="dxa"/>
              <w:start w:w="110" w:type="dxa"/>
              <w:bottom w:w="60" w:type="dxa"/>
              <w:end w:w="110" w:type="dxa"/>
            </w:tcMar>
          </w:tcPr>
          <w:p>
            <w:pPr>
              <w:spacing w:after="0"/>
            </w:pPr>
            <w:r/>
            <w:r>
              <w:rPr>
                <w:rFonts w:ascii="Calibri" w:hAnsi="Calibri"/>
                <w:b w:val="0"/>
                <w:i w:val="0"/>
                <w:color w:val="101828"/>
                <w:sz w:val="15"/>
              </w:rPr>
              <w:t>State machine, FR-AJO-007, FR-AJO-008</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BR-002</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5"/>
              </w:rPr>
              <w:t>Positions lock on activation</w:t>
            </w:r>
          </w:p>
        </w:tc>
        <w:tc>
          <w:tcPr>
            <w:tcW w:type="dxa" w:w="5112"/>
            <w:tcMar>
              <w:top w:w="60" w:type="dxa"/>
              <w:start w:w="110" w:type="dxa"/>
              <w:bottom w:w="60" w:type="dxa"/>
              <w:end w:w="110" w:type="dxa"/>
            </w:tcMar>
            <w:shd w:val="clear" w:color="auto" w:fill="F4F7FB"/>
          </w:tcPr>
          <w:p>
            <w:pPr>
              <w:spacing w:after="0"/>
            </w:pPr>
            <w:r/>
            <w:r>
              <w:rPr>
                <w:rFonts w:ascii="Calibri" w:hAnsi="Calibri"/>
                <w:b w:val="0"/>
                <w:i w:val="0"/>
                <w:color w:val="101828"/>
                <w:sz w:val="15"/>
              </w:rPr>
              <w:t>When an Ajo transitions to ACTIVE, every payout position is fixed. No member may change position afterwards except by a formal, approved replacement or transfer request. Reordering is not permitted by any role for any reason.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5"/>
              </w:rPr>
              <w:t>State machine, FR-AJO-009, FR-AJO-010, FR-AJO-011</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BR-003</w:t>
            </w:r>
          </w:p>
        </w:tc>
        <w:tc>
          <w:tcPr>
            <w:tcW w:type="dxa" w:w="1944"/>
            <w:tcMar>
              <w:top w:w="60" w:type="dxa"/>
              <w:start w:w="110" w:type="dxa"/>
              <w:bottom w:w="60" w:type="dxa"/>
              <w:end w:w="110" w:type="dxa"/>
            </w:tcMar>
          </w:tcPr>
          <w:p>
            <w:pPr>
              <w:spacing w:after="0"/>
            </w:pPr>
            <w:r/>
            <w:r>
              <w:rPr>
                <w:rFonts w:ascii="Calibri" w:hAnsi="Calibri"/>
                <w:b w:val="0"/>
                <w:i w:val="0"/>
                <w:color w:val="101828"/>
                <w:sz w:val="15"/>
              </w:rPr>
              <w:t>No unilateral exit after activation</w:t>
            </w:r>
          </w:p>
        </w:tc>
        <w:tc>
          <w:tcPr>
            <w:tcW w:type="dxa" w:w="5112"/>
            <w:tcMar>
              <w:top w:w="60" w:type="dxa"/>
              <w:start w:w="110" w:type="dxa"/>
              <w:bottom w:w="60" w:type="dxa"/>
              <w:end w:w="110" w:type="dxa"/>
            </w:tcMar>
          </w:tcPr>
          <w:p>
            <w:pPr>
              <w:spacing w:after="0"/>
            </w:pPr>
            <w:r/>
            <w:r>
              <w:rPr>
                <w:rFonts w:ascii="Calibri" w:hAnsi="Calibri"/>
                <w:b w:val="0"/>
                <w:i w:val="0"/>
                <w:color w:val="101828"/>
                <w:sz w:val="15"/>
              </w:rPr>
              <w:t>A member who has joined an ACTIVE Ajo may not leave on their own initiative. Exiting requires a replacement or transfer request that is recorded, and the incoming member assumes the outgoing member's position and all remaining obligations.</w:t>
            </w:r>
          </w:p>
        </w:tc>
        <w:tc>
          <w:tcPr>
            <w:tcW w:type="dxa" w:w="1584"/>
            <w:tcMar>
              <w:top w:w="60" w:type="dxa"/>
              <w:start w:w="110" w:type="dxa"/>
              <w:bottom w:w="60" w:type="dxa"/>
              <w:end w:w="110" w:type="dxa"/>
            </w:tcMar>
          </w:tcPr>
          <w:p>
            <w:pPr>
              <w:spacing w:after="0"/>
            </w:pPr>
            <w:r/>
            <w:r>
              <w:rPr>
                <w:rFonts w:ascii="Calibri" w:hAnsi="Calibri"/>
                <w:b w:val="0"/>
                <w:i w:val="0"/>
                <w:color w:val="101828"/>
                <w:sz w:val="15"/>
              </w:rPr>
              <w:t>FR-MEM-006, FR-MEM-007, FR-DEF-008</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BR-004</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5"/>
              </w:rPr>
              <w:t>Complete-cycle commitment</w:t>
            </w:r>
          </w:p>
        </w:tc>
        <w:tc>
          <w:tcPr>
            <w:tcW w:type="dxa" w:w="5112"/>
            <w:tcMar>
              <w:top w:w="60" w:type="dxa"/>
              <w:start w:w="110" w:type="dxa"/>
              <w:bottom w:w="60" w:type="dxa"/>
              <w:end w:w="110" w:type="dxa"/>
            </w:tcMar>
            <w:shd w:val="clear" w:color="auto" w:fill="F4F7FB"/>
          </w:tcPr>
          <w:p>
            <w:pPr>
              <w:spacing w:after="0"/>
            </w:pPr>
            <w:r/>
            <w:r>
              <w:rPr>
                <w:rFonts w:ascii="Calibri" w:hAnsi="Calibri"/>
                <w:b w:val="0"/>
                <w:i w:val="0"/>
                <w:color w:val="101828"/>
                <w:sz w:val="15"/>
              </w:rPr>
              <w:t>Joining an Ajo is a commitment to pay every remaining round until the Ajo completes, or until an approved replacement takes the position. The commitment is disclosed on the invitation, on the join confirmation, and must be explicitly acknowledged before the join is recorded.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5"/>
              </w:rPr>
              <w:t>FR-INV-002, FR-JOIN-003, FR-JOIN-004</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BR-005</w:t>
            </w:r>
          </w:p>
        </w:tc>
        <w:tc>
          <w:tcPr>
            <w:tcW w:type="dxa" w:w="1944"/>
            <w:tcMar>
              <w:top w:w="60" w:type="dxa"/>
              <w:start w:w="110" w:type="dxa"/>
              <w:bottom w:w="60" w:type="dxa"/>
              <w:end w:w="110" w:type="dxa"/>
            </w:tcMar>
          </w:tcPr>
          <w:p>
            <w:pPr>
              <w:spacing w:after="0"/>
            </w:pPr>
            <w:r/>
            <w:r>
              <w:rPr>
                <w:rFonts w:ascii="Calibri" w:hAnsi="Calibri"/>
                <w:b w:val="0"/>
                <w:i w:val="0"/>
                <w:color w:val="101828"/>
                <w:sz w:val="15"/>
              </w:rPr>
              <w:t>Terms are immutable once active</w:t>
            </w:r>
          </w:p>
        </w:tc>
        <w:tc>
          <w:tcPr>
            <w:tcW w:type="dxa" w:w="5112"/>
            <w:tcMar>
              <w:top w:w="60" w:type="dxa"/>
              <w:start w:w="110" w:type="dxa"/>
              <w:bottom w:w="60" w:type="dxa"/>
              <w:end w:w="110" w:type="dxa"/>
            </w:tcMar>
          </w:tcPr>
          <w:p>
            <w:pPr>
              <w:spacing w:after="0"/>
            </w:pPr>
            <w:r/>
            <w:r>
              <w:rPr>
                <w:rFonts w:ascii="Calibri" w:hAnsi="Calibri"/>
                <w:b w:val="0"/>
                <w:i w:val="0"/>
                <w:color w:val="101828"/>
                <w:sz w:val="15"/>
              </w:rPr>
              <w:t>Contribution amount, frequency, member count and position order cannot be changed after activation. Administrative changes require cancellation and a new Ajo.</w:t>
            </w:r>
          </w:p>
        </w:tc>
        <w:tc>
          <w:tcPr>
            <w:tcW w:type="dxa" w:w="1584"/>
            <w:tcMar>
              <w:top w:w="60" w:type="dxa"/>
              <w:start w:w="110" w:type="dxa"/>
              <w:bottom w:w="60" w:type="dxa"/>
              <w:end w:w="110" w:type="dxa"/>
            </w:tcMar>
          </w:tcPr>
          <w:p>
            <w:pPr>
              <w:spacing w:after="0"/>
            </w:pPr>
            <w:r/>
            <w:r>
              <w:rPr>
                <w:rFonts w:ascii="Calibri" w:hAnsi="Calibri"/>
                <w:b w:val="0"/>
                <w:i w:val="0"/>
                <w:color w:val="101828"/>
                <w:sz w:val="15"/>
              </w:rPr>
              <w:t>FR-AJO-011</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BR-006</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5"/>
              </w:rPr>
              <w:t>Membership is by invitation only</w:t>
            </w:r>
          </w:p>
        </w:tc>
        <w:tc>
          <w:tcPr>
            <w:tcW w:type="dxa" w:w="5112"/>
            <w:tcMar>
              <w:top w:w="60" w:type="dxa"/>
              <w:start w:w="110" w:type="dxa"/>
              <w:bottom w:w="60" w:type="dxa"/>
              <w:end w:w="110" w:type="dxa"/>
            </w:tcMar>
            <w:shd w:val="clear" w:color="auto" w:fill="F4F7FB"/>
          </w:tcPr>
          <w:p>
            <w:pPr>
              <w:spacing w:after="0"/>
            </w:pPr>
            <w:r/>
            <w:r>
              <w:rPr>
                <w:rFonts w:ascii="Calibri" w:hAnsi="Calibri"/>
                <w:b w:val="0"/>
                <w:i w:val="0"/>
                <w:color w:val="101828"/>
                <w:sz w:val="15"/>
              </w:rPr>
              <w:t>At MVP, no member may be added to an Ajo without their own acceptance of an invitation. There is no public directory, no open marketplace and no way to add a member directly.</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5"/>
              </w:rPr>
              <w:t>FR-MEM-002, 1.16.1</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BR-007</w:t>
            </w:r>
          </w:p>
        </w:tc>
        <w:tc>
          <w:tcPr>
            <w:tcW w:type="dxa" w:w="1944"/>
            <w:tcMar>
              <w:top w:w="60" w:type="dxa"/>
              <w:start w:w="110" w:type="dxa"/>
              <w:bottom w:w="60" w:type="dxa"/>
              <w:end w:w="110" w:type="dxa"/>
            </w:tcMar>
          </w:tcPr>
          <w:p>
            <w:pPr>
              <w:spacing w:after="0"/>
            </w:pPr>
            <w:r/>
            <w:r>
              <w:rPr>
                <w:rFonts w:ascii="Calibri" w:hAnsi="Calibri"/>
                <w:b w:val="0"/>
                <w:i w:val="0"/>
                <w:color w:val="101828"/>
                <w:sz w:val="15"/>
              </w:rPr>
              <w:t>Removal is pre-activation only</w:t>
            </w:r>
          </w:p>
        </w:tc>
        <w:tc>
          <w:tcPr>
            <w:tcW w:type="dxa" w:w="5112"/>
            <w:tcMar>
              <w:top w:w="60" w:type="dxa"/>
              <w:start w:w="110" w:type="dxa"/>
              <w:bottom w:w="60" w:type="dxa"/>
              <w:end w:w="110" w:type="dxa"/>
            </w:tcMar>
          </w:tcPr>
          <w:p>
            <w:pPr>
              <w:spacing w:after="0"/>
            </w:pPr>
            <w:r/>
            <w:r>
              <w:rPr>
                <w:rFonts w:ascii="Calibri" w:hAnsi="Calibri"/>
                <w:b w:val="0"/>
                <w:i w:val="0"/>
                <w:color w:val="101828"/>
                <w:sz w:val="15"/>
              </w:rPr>
              <w:t>An organizer may remove a member only while the Ajo is in DRAFT or ENROLLMENT. Removal after activation is prohibited for every role.</w:t>
            </w:r>
          </w:p>
        </w:tc>
        <w:tc>
          <w:tcPr>
            <w:tcW w:type="dxa" w:w="1584"/>
            <w:tcMar>
              <w:top w:w="60" w:type="dxa"/>
              <w:start w:w="110" w:type="dxa"/>
              <w:bottom w:w="60" w:type="dxa"/>
              <w:end w:w="110" w:type="dxa"/>
            </w:tcMar>
          </w:tcPr>
          <w:p>
            <w:pPr>
              <w:spacing w:after="0"/>
            </w:pPr>
            <w:r/>
            <w:r>
              <w:rPr>
                <w:rFonts w:ascii="Calibri" w:hAnsi="Calibri"/>
                <w:b w:val="0"/>
                <w:i w:val="0"/>
                <w:color w:val="101828"/>
                <w:sz w:val="15"/>
              </w:rPr>
              <w:t>FR-MEM-003, CAN §2</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BR-008</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5"/>
              </w:rPr>
              <w:t>The organizer is not a guarantor</w:t>
            </w:r>
          </w:p>
        </w:tc>
        <w:tc>
          <w:tcPr>
            <w:tcW w:type="dxa" w:w="5112"/>
            <w:tcMar>
              <w:top w:w="60" w:type="dxa"/>
              <w:start w:w="110" w:type="dxa"/>
              <w:bottom w:w="60" w:type="dxa"/>
              <w:end w:w="110" w:type="dxa"/>
            </w:tcMar>
            <w:shd w:val="clear" w:color="auto" w:fill="F4F7FB"/>
          </w:tcPr>
          <w:p>
            <w:pPr>
              <w:spacing w:after="0"/>
            </w:pPr>
            <w:r/>
            <w:r>
              <w:rPr>
                <w:rFonts w:ascii="Calibri" w:hAnsi="Calibri"/>
                <w:b w:val="0"/>
                <w:i w:val="0"/>
                <w:color w:val="101828"/>
                <w:sz w:val="15"/>
              </w:rPr>
              <w:t>The organizer is a facilitator. They do not hold member funds, do not authorize payouts, and do not guarantee any member's debt or the pot. A shortfall is the platform's and the Ajo's problem to solve through the recovery process, never the organizer's personal liability. This must be stated in the terms, in organizer onboarding and in the join confirmation.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5"/>
              </w:rPr>
              <w:t>FR-AJO-004, 1.12.2, LEGAL</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BR-009</w:t>
            </w:r>
          </w:p>
        </w:tc>
        <w:tc>
          <w:tcPr>
            <w:tcW w:type="dxa" w:w="1944"/>
            <w:tcMar>
              <w:top w:w="60" w:type="dxa"/>
              <w:start w:w="110" w:type="dxa"/>
              <w:bottom w:w="60" w:type="dxa"/>
              <w:end w:w="110" w:type="dxa"/>
            </w:tcMar>
          </w:tcPr>
          <w:p>
            <w:pPr>
              <w:spacing w:after="0"/>
            </w:pPr>
            <w:r/>
            <w:r>
              <w:rPr>
                <w:rFonts w:ascii="Calibri" w:hAnsi="Calibri"/>
                <w:b w:val="0"/>
                <w:i w:val="0"/>
                <w:color w:val="101828"/>
                <w:sz w:val="15"/>
              </w:rPr>
              <w:t>Terminal states are terminal</w:t>
            </w:r>
          </w:p>
        </w:tc>
        <w:tc>
          <w:tcPr>
            <w:tcW w:type="dxa" w:w="5112"/>
            <w:tcMar>
              <w:top w:w="60" w:type="dxa"/>
              <w:start w:w="110" w:type="dxa"/>
              <w:bottom w:w="60" w:type="dxa"/>
              <w:end w:w="110" w:type="dxa"/>
            </w:tcMar>
          </w:tcPr>
          <w:p>
            <w:pPr>
              <w:spacing w:after="0"/>
            </w:pPr>
            <w:r/>
            <w:r>
              <w:rPr>
                <w:rFonts w:ascii="Calibri" w:hAnsi="Calibri"/>
                <w:b w:val="0"/>
                <w:i w:val="0"/>
                <w:color w:val="101828"/>
                <w:sz w:val="15"/>
              </w:rPr>
              <w:t>An Ajo in COMPLETED or CANCELLED accepts no further events, including any organizer action. Attempting one is rejected and recorded.</w:t>
            </w:r>
          </w:p>
        </w:tc>
        <w:tc>
          <w:tcPr>
            <w:tcW w:type="dxa" w:w="1584"/>
            <w:tcMar>
              <w:top w:w="60" w:type="dxa"/>
              <w:start w:w="110" w:type="dxa"/>
              <w:bottom w:w="60" w:type="dxa"/>
              <w:end w:w="110" w:type="dxa"/>
            </w:tcMar>
          </w:tcPr>
          <w:p>
            <w:pPr>
              <w:spacing w:after="0"/>
            </w:pPr>
            <w:r/>
            <w:r>
              <w:rPr>
                <w:rFonts w:ascii="Calibri" w:hAnsi="Calibri"/>
                <w:b w:val="0"/>
                <w:i w:val="0"/>
                <w:color w:val="101828"/>
                <w:sz w:val="15"/>
              </w:rPr>
              <w:t>FR-AJO-015</w:t>
            </w:r>
          </w:p>
        </w:tc>
      </w:tr>
    </w:tbl>
    <w:p>
      <w:pPr>
        <w:spacing w:after="80"/>
      </w:pPr>
    </w:p>
    <w:p>
      <w:pPr>
        <w:pStyle w:val="Heading3"/>
      </w:pPr>
      <w:r>
        <w:rPr>
          <w:rFonts w:ascii="Calibri" w:hAnsi="Calibri"/>
          <w:b/>
          <w:i w:val="0"/>
          <w:color w:val="0B1F3A"/>
          <w:sz w:val="24"/>
        </w:rPr>
        <w:t>1.21.2 Money, fee and payout</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5"/>
              </w:rPr>
              <w:t>ID</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5"/>
              </w:rPr>
              <w:t>Rule</w:t>
            </w:r>
          </w:p>
        </w:tc>
        <w:tc>
          <w:tcPr>
            <w:tcW w:type="dxa" w:w="5112"/>
            <w:shd w:val="clear" w:color="auto" w:fill="0B1F3A"/>
            <w:tcMar>
              <w:top w:w="60" w:type="dxa"/>
              <w:start w:w="110" w:type="dxa"/>
              <w:bottom w:w="60" w:type="dxa"/>
              <w:end w:w="110" w:type="dxa"/>
            </w:tcMar>
          </w:tcPr>
          <w:p>
            <w:pPr>
              <w:spacing w:after="0"/>
            </w:pPr>
            <w:r/>
            <w:r>
              <w:rPr>
                <w:rFonts w:ascii="Calibri" w:hAnsi="Calibri"/>
                <w:b/>
                <w:i w:val="0"/>
                <w:color w:val="FFFFFF"/>
                <w:sz w:val="15"/>
              </w:rPr>
              <w:t>Detail</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5"/>
              </w:rPr>
              <w:t>Enforced by</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BR-010</w:t>
            </w:r>
          </w:p>
        </w:tc>
        <w:tc>
          <w:tcPr>
            <w:tcW w:type="dxa" w:w="1944"/>
            <w:tcMar>
              <w:top w:w="60" w:type="dxa"/>
              <w:start w:w="110" w:type="dxa"/>
              <w:bottom w:w="60" w:type="dxa"/>
              <w:end w:w="110" w:type="dxa"/>
            </w:tcMar>
          </w:tcPr>
          <w:p>
            <w:pPr>
              <w:spacing w:after="0"/>
            </w:pPr>
            <w:r/>
            <w:r>
              <w:rPr>
                <w:rFonts w:ascii="Calibri" w:hAnsi="Calibri"/>
                <w:b w:val="0"/>
                <w:i w:val="0"/>
                <w:color w:val="101828"/>
                <w:sz w:val="15"/>
              </w:rPr>
              <w:t>The fee is 2% of the contribution, added on top</w:t>
            </w:r>
          </w:p>
        </w:tc>
        <w:tc>
          <w:tcPr>
            <w:tcW w:type="dxa" w:w="5112"/>
            <w:tcMar>
              <w:top w:w="60" w:type="dxa"/>
              <w:start w:w="110" w:type="dxa"/>
              <w:bottom w:w="60" w:type="dxa"/>
              <w:end w:w="110" w:type="dxa"/>
            </w:tcMar>
          </w:tcPr>
          <w:p>
            <w:pPr>
              <w:spacing w:after="0"/>
            </w:pPr>
            <w:r/>
            <w:r>
              <w:rPr>
                <w:rFonts w:ascii="Calibri" w:hAnsi="Calibri"/>
                <w:b w:val="0"/>
                <w:i w:val="0"/>
                <w:color w:val="101828"/>
                <w:sz w:val="15"/>
              </w:rPr>
              <w:t>A member owing NGN 1,000.00 is charged NGN 1,020.00. The contribution is NGN 1,000.00 and the fee is NGN 20.00, recorded as fees_income. Fee is computed in kobo as (amount_kobo * 200 + 5000) / 10000, half-up.</w:t>
            </w:r>
          </w:p>
        </w:tc>
        <w:tc>
          <w:tcPr>
            <w:tcW w:type="dxa" w:w="1584"/>
            <w:tcMar>
              <w:top w:w="60" w:type="dxa"/>
              <w:start w:w="110" w:type="dxa"/>
              <w:bottom w:w="60" w:type="dxa"/>
              <w:end w:w="110" w:type="dxa"/>
            </w:tcMar>
          </w:tcPr>
          <w:p>
            <w:pPr>
              <w:spacing w:after="0"/>
            </w:pPr>
            <w:r/>
            <w:r>
              <w:rPr>
                <w:rFonts w:ascii="Calibri" w:hAnsi="Calibri"/>
                <w:b w:val="0"/>
                <w:i w:val="0"/>
                <w:color w:val="101828"/>
                <w:sz w:val="15"/>
              </w:rPr>
              <w:t>FR-PAY-002, 1.9.1</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BR-011</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5"/>
              </w:rPr>
              <w:t>Fee disclosure is mandatory and pre-commitment</w:t>
            </w:r>
          </w:p>
        </w:tc>
        <w:tc>
          <w:tcPr>
            <w:tcW w:type="dxa" w:w="5112"/>
            <w:tcMar>
              <w:top w:w="60" w:type="dxa"/>
              <w:start w:w="110" w:type="dxa"/>
              <w:bottom w:w="60" w:type="dxa"/>
              <w:end w:w="110" w:type="dxa"/>
            </w:tcMar>
            <w:shd w:val="clear" w:color="auto" w:fill="F4F7FB"/>
          </w:tcPr>
          <w:p>
            <w:pPr>
              <w:spacing w:after="0"/>
            </w:pPr>
            <w:r/>
            <w:r>
              <w:rPr>
                <w:rFonts w:ascii="Calibri" w:hAnsi="Calibri"/>
                <w:b w:val="0"/>
                <w:i w:val="0"/>
                <w:color w:val="101828"/>
                <w:sz w:val="15"/>
              </w:rPr>
              <w:t>The fee must be shown separately from the contribution on every receipt, in every Ajo details screen, and in the invitation and join confirmation, before the member commits. A commit action that does not display the fee is prohibited.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5"/>
              </w:rPr>
              <w:t>FR-INV-002, FR-JOIN-003, FR-PAY-002, FR-PAY-007</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BR-012</w:t>
            </w:r>
          </w:p>
        </w:tc>
        <w:tc>
          <w:tcPr>
            <w:tcW w:type="dxa" w:w="1944"/>
            <w:tcMar>
              <w:top w:w="60" w:type="dxa"/>
              <w:start w:w="110" w:type="dxa"/>
              <w:bottom w:w="60" w:type="dxa"/>
              <w:end w:w="110" w:type="dxa"/>
            </w:tcMar>
          </w:tcPr>
          <w:p>
            <w:pPr>
              <w:spacing w:after="0"/>
            </w:pPr>
            <w:r/>
            <w:r>
              <w:rPr>
                <w:rFonts w:ascii="Calibri" w:hAnsi="Calibri"/>
                <w:b w:val="0"/>
                <w:i w:val="0"/>
                <w:color w:val="101828"/>
                <w:sz w:val="15"/>
              </w:rPr>
              <w:t>The 2% fee never reduces a payout</w:t>
            </w:r>
          </w:p>
        </w:tc>
        <w:tc>
          <w:tcPr>
            <w:tcW w:type="dxa" w:w="5112"/>
            <w:tcMar>
              <w:top w:w="60" w:type="dxa"/>
              <w:start w:w="110" w:type="dxa"/>
              <w:bottom w:w="60" w:type="dxa"/>
              <w:end w:w="110" w:type="dxa"/>
            </w:tcMar>
          </w:tcPr>
          <w:p>
            <w:pPr>
              <w:spacing w:after="0"/>
            </w:pPr>
            <w:r/>
            <w:r>
              <w:rPr>
                <w:rFonts w:ascii="Calibri" w:hAnsi="Calibri"/>
                <w:b w:val="0"/>
                <w:i w:val="0"/>
                <w:color w:val="101828"/>
                <w:sz w:val="15"/>
              </w:rPr>
              <w:t>The fee is never deducted from a member's contribution and never reduces a payout. The recipient receives the base pool exactly: NGN 10,000.00 for a 10-member round of NGN 1,000.00 contributions, never NGN 10,200.00.</w:t>
            </w:r>
          </w:p>
        </w:tc>
        <w:tc>
          <w:tcPr>
            <w:tcW w:type="dxa" w:w="1584"/>
            <w:tcMar>
              <w:top w:w="60" w:type="dxa"/>
              <w:start w:w="110" w:type="dxa"/>
              <w:bottom w:w="60" w:type="dxa"/>
              <w:end w:w="110" w:type="dxa"/>
            </w:tcMar>
          </w:tcPr>
          <w:p>
            <w:pPr>
              <w:spacing w:after="0"/>
            </w:pPr>
            <w:r/>
            <w:r>
              <w:rPr>
                <w:rFonts w:ascii="Calibri" w:hAnsi="Calibri"/>
                <w:b w:val="0"/>
                <w:i w:val="0"/>
                <w:color w:val="101828"/>
                <w:sz w:val="15"/>
              </w:rPr>
              <w:t>FR-POUT-003, FR-POUT-008, 1.9.2</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BR-013</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5"/>
              </w:rPr>
              <w:t>Every transaction balances to zero or is rejected</w:t>
            </w:r>
          </w:p>
        </w:tc>
        <w:tc>
          <w:tcPr>
            <w:tcW w:type="dxa" w:w="5112"/>
            <w:tcMar>
              <w:top w:w="60" w:type="dxa"/>
              <w:start w:w="110" w:type="dxa"/>
              <w:bottom w:w="60" w:type="dxa"/>
              <w:end w:w="110" w:type="dxa"/>
            </w:tcMar>
            <w:shd w:val="clear" w:color="auto" w:fill="F4F7FB"/>
          </w:tcPr>
          <w:p>
            <w:pPr>
              <w:spacing w:after="0"/>
            </w:pPr>
            <w:r/>
            <w:r>
              <w:rPr>
                <w:rFonts w:ascii="Calibri" w:hAnsi="Calibri"/>
                <w:b w:val="0"/>
                <w:i w:val="0"/>
                <w:color w:val="101828"/>
                <w:sz w:val="15"/>
              </w:rPr>
              <w:t>No ledger transaction may be committed unless its debits equal its credits. An unbalanced transaction is rejected at the data layer, not logged and corrected afterwards.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5"/>
              </w:rPr>
              <w:t>NFR-AUD-006, CAN §4</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BR-018</w:t>
            </w:r>
          </w:p>
        </w:tc>
        <w:tc>
          <w:tcPr>
            <w:tcW w:type="dxa" w:w="1944"/>
            <w:tcMar>
              <w:top w:w="60" w:type="dxa"/>
              <w:start w:w="110" w:type="dxa"/>
              <w:bottom w:w="60" w:type="dxa"/>
              <w:end w:w="110" w:type="dxa"/>
            </w:tcMar>
          </w:tcPr>
          <w:p>
            <w:pPr>
              <w:spacing w:after="0"/>
            </w:pPr>
            <w:r/>
            <w:r>
              <w:rPr>
                <w:rFonts w:ascii="Calibri" w:hAnsi="Calibri"/>
                <w:b w:val="0"/>
                <w:i w:val="0"/>
                <w:color w:val="101828"/>
                <w:sz w:val="15"/>
              </w:rPr>
              <w:t>Payout funding principle</w:t>
            </w:r>
          </w:p>
        </w:tc>
        <w:tc>
          <w:tcPr>
            <w:tcW w:type="dxa" w:w="5112"/>
            <w:tcMar>
              <w:top w:w="60" w:type="dxa"/>
              <w:start w:w="110" w:type="dxa"/>
              <w:bottom w:w="60" w:type="dxa"/>
              <w:end w:w="110" w:type="dxa"/>
            </w:tcMar>
          </w:tcPr>
          <w:p>
            <w:pPr>
              <w:spacing w:after="0"/>
            </w:pPr>
            <w:r/>
            <w:r>
              <w:rPr>
                <w:rFonts w:ascii="Calibri" w:hAnsi="Calibri"/>
                <w:b w:val="0"/>
                <w:i w:val="0"/>
                <w:color w:val="101828"/>
                <w:sz w:val="15"/>
              </w:rPr>
              <w:t>A payout is released only when the required round funds are fully collected and available under the approved financial arrangement. If NGN 100,000.00 is due and only NGN 90,000.00 is available, AJO.ng must not silently reduce the payout and must not use corporate funds. The round enters HELD or pending-funding and the recovery process begins.</w:t>
            </w:r>
          </w:p>
        </w:tc>
        <w:tc>
          <w:tcPr>
            <w:tcW w:type="dxa" w:w="1584"/>
            <w:tcMar>
              <w:top w:w="60" w:type="dxa"/>
              <w:start w:w="110" w:type="dxa"/>
              <w:bottom w:w="60" w:type="dxa"/>
              <w:end w:w="110" w:type="dxa"/>
            </w:tcMar>
          </w:tcPr>
          <w:p>
            <w:pPr>
              <w:spacing w:after="0"/>
            </w:pPr>
            <w:r/>
            <w:r>
              <w:rPr>
                <w:rFonts w:ascii="Calibri" w:hAnsi="Calibri"/>
                <w:b w:val="0"/>
                <w:i w:val="0"/>
                <w:color w:val="101828"/>
                <w:sz w:val="15"/>
              </w:rPr>
              <w:t>FR-POUT-001, FR-POUT-002, G4</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BR-020</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5"/>
              </w:rPr>
              <w:t>Escrow solvency assertion</w:t>
            </w:r>
          </w:p>
        </w:tc>
        <w:tc>
          <w:tcPr>
            <w:tcW w:type="dxa" w:w="5112"/>
            <w:tcMar>
              <w:top w:w="60" w:type="dxa"/>
              <w:start w:w="110" w:type="dxa"/>
              <w:bottom w:w="60" w:type="dxa"/>
              <w:end w:w="110" w:type="dxa"/>
            </w:tcMar>
            <w:shd w:val="clear" w:color="auto" w:fill="F4F7FB"/>
          </w:tcPr>
          <w:p>
            <w:pPr>
              <w:spacing w:after="0"/>
            </w:pPr>
            <w:r/>
            <w:r>
              <w:rPr>
                <w:rFonts w:ascii="Calibri" w:hAnsi="Calibri"/>
                <w:b w:val="0"/>
                <w:i w:val="0"/>
                <w:color w:val="101828"/>
                <w:sz w:val="15"/>
              </w:rPr>
              <w:t>Before every disbursement the platform asserts that the escrow balance is sufficient for the liability being settled. Skipping the payout recognition step drains escrow against a liability that was never raised, and the assertion correctly halts disbursement. The assertion runs on every release and is not bypassable by any role.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5"/>
              </w:rPr>
              <w:t>FR-POUT-006, NFR-AUD-006, CAN §4</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BR-021</w:t>
            </w:r>
          </w:p>
        </w:tc>
        <w:tc>
          <w:tcPr>
            <w:tcW w:type="dxa" w:w="1944"/>
            <w:tcMar>
              <w:top w:w="60" w:type="dxa"/>
              <w:start w:w="110" w:type="dxa"/>
              <w:bottom w:w="60" w:type="dxa"/>
              <w:end w:w="110" w:type="dxa"/>
            </w:tcMar>
          </w:tcPr>
          <w:p>
            <w:pPr>
              <w:spacing w:after="0"/>
            </w:pPr>
            <w:r/>
            <w:r>
              <w:rPr>
                <w:rFonts w:ascii="Calibri" w:hAnsi="Calibri"/>
                <w:b w:val="0"/>
                <w:i w:val="0"/>
                <w:color w:val="101828"/>
                <w:sz w:val="15"/>
              </w:rPr>
              <w:t>Ledger recognition sequence is mandatory and ordered</w:t>
            </w:r>
          </w:p>
        </w:tc>
        <w:tc>
          <w:tcPr>
            <w:tcW w:type="dxa" w:w="5112"/>
            <w:tcMar>
              <w:top w:w="60" w:type="dxa"/>
              <w:start w:w="110" w:type="dxa"/>
              <w:bottom w:w="60" w:type="dxa"/>
              <w:end w:w="110" w:type="dxa"/>
            </w:tcMar>
          </w:tcPr>
          <w:p>
            <w:pPr>
              <w:spacing w:after="0"/>
            </w:pPr>
            <w:r/>
            <w:r>
              <w:rPr>
                <w:rFonts w:ascii="Calibri" w:hAnsi="Calibri"/>
                <w:b w:val="0"/>
                <w:i w:val="0"/>
                <w:color w:val="101828"/>
                <w:sz w:val="15"/>
              </w:rPr>
              <w:t>Entries post in this order, each balanced on its own: 1. contribution.received, debit escrow cash and credit contributions receivable for the contribution. 2. fee.recognised, debit escrow cash and credit fees income for the 2%. 3. payout.recognized, debit contributions_receivable and credit payouts_payable. 4. payout.settled, debit payouts_payable and credit escrow_cash. Steps must not be skipped or reordered, and a one-sided entry is rejected rather than posted.</w:t>
            </w:r>
          </w:p>
        </w:tc>
        <w:tc>
          <w:tcPr>
            <w:tcW w:type="dxa" w:w="1584"/>
            <w:tcMar>
              <w:top w:w="60" w:type="dxa"/>
              <w:start w:w="110" w:type="dxa"/>
              <w:bottom w:w="60" w:type="dxa"/>
              <w:end w:w="110" w:type="dxa"/>
            </w:tcMar>
          </w:tcPr>
          <w:p>
            <w:pPr>
              <w:spacing w:after="0"/>
            </w:pPr>
            <w:r/>
            <w:r>
              <w:rPr>
                <w:rFonts w:ascii="Calibri" w:hAnsi="Calibri"/>
                <w:b w:val="0"/>
                <w:i w:val="0"/>
                <w:color w:val="101828"/>
                <w:sz w:val="15"/>
              </w:rPr>
              <w:t>FR-POUT-006, CAN §4</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BR-022</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5"/>
              </w:rPr>
              <w:t>The organizer never handles the money</w:t>
            </w:r>
          </w:p>
        </w:tc>
        <w:tc>
          <w:tcPr>
            <w:tcW w:type="dxa" w:w="5112"/>
            <w:tcMar>
              <w:top w:w="60" w:type="dxa"/>
              <w:start w:w="110" w:type="dxa"/>
              <w:bottom w:w="60" w:type="dxa"/>
              <w:end w:w="110" w:type="dxa"/>
            </w:tcMar>
            <w:shd w:val="clear" w:color="auto" w:fill="F4F7FB"/>
          </w:tcPr>
          <w:p>
            <w:pPr>
              <w:spacing w:after="0"/>
            </w:pPr>
            <w:r/>
            <w:r>
              <w:rPr>
                <w:rFonts w:ascii="Calibri" w:hAnsi="Calibri"/>
                <w:b w:val="0"/>
                <w:i w:val="0"/>
                <w:color w:val="101828"/>
                <w:sz w:val="15"/>
              </w:rPr>
              <w:t>Contributions are collected by the payment provider into the approved financial arrangement. The organizer does not receive, hold, forward or reconcile member funds at any point.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5"/>
              </w:rPr>
              <w:t>FR-PAY-003, 1.7.2</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BR-023</w:t>
            </w:r>
          </w:p>
        </w:tc>
        <w:tc>
          <w:tcPr>
            <w:tcW w:type="dxa" w:w="1944"/>
            <w:tcMar>
              <w:top w:w="60" w:type="dxa"/>
              <w:start w:w="110" w:type="dxa"/>
              <w:bottom w:w="60" w:type="dxa"/>
              <w:end w:w="110" w:type="dxa"/>
            </w:tcMar>
          </w:tcPr>
          <w:p>
            <w:pPr>
              <w:spacing w:after="0"/>
            </w:pPr>
            <w:r/>
            <w:r>
              <w:rPr>
                <w:rFonts w:ascii="Calibri" w:hAnsi="Calibri"/>
                <w:b w:val="0"/>
                <w:i w:val="0"/>
                <w:color w:val="101828"/>
                <w:sz w:val="15"/>
              </w:rPr>
              <w:t>Support never moves money</w:t>
            </w:r>
          </w:p>
        </w:tc>
        <w:tc>
          <w:tcPr>
            <w:tcW w:type="dxa" w:w="5112"/>
            <w:tcMar>
              <w:top w:w="60" w:type="dxa"/>
              <w:start w:w="110" w:type="dxa"/>
              <w:bottom w:w="60" w:type="dxa"/>
              <w:end w:w="110" w:type="dxa"/>
            </w:tcMar>
          </w:tcPr>
          <w:p>
            <w:pPr>
              <w:spacing w:after="0"/>
            </w:pPr>
            <w:r/>
            <w:r>
              <w:rPr>
                <w:rFonts w:ascii="Calibri" w:hAnsi="Calibri"/>
                <w:b w:val="0"/>
                <w:i w:val="0"/>
                <w:color w:val="101828"/>
                <w:sz w:val="15"/>
              </w:rPr>
              <w:t>The support role can read all records and cannot initiate or moderate payouts, change balances or override risk decisions. Any attempt is rejected and recorded.</w:t>
            </w:r>
          </w:p>
        </w:tc>
        <w:tc>
          <w:tcPr>
            <w:tcW w:type="dxa" w:w="1584"/>
            <w:tcMar>
              <w:top w:w="60" w:type="dxa"/>
              <w:start w:w="110" w:type="dxa"/>
              <w:bottom w:w="60" w:type="dxa"/>
              <w:end w:w="110" w:type="dxa"/>
            </w:tcMar>
          </w:tcPr>
          <w:p>
            <w:pPr>
              <w:spacing w:after="0"/>
            </w:pPr>
            <w:r/>
            <w:r>
              <w:rPr>
                <w:rFonts w:ascii="Calibri" w:hAnsi="Calibri"/>
                <w:b w:val="0"/>
                <w:i w:val="0"/>
                <w:color w:val="101828"/>
                <w:sz w:val="15"/>
              </w:rPr>
              <w:t>FR-ADM-004, FR-ADM-012, CAN §2</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BR-024</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5"/>
              </w:rPr>
              <w:t>Idempotency on every money movement</w:t>
            </w:r>
          </w:p>
        </w:tc>
        <w:tc>
          <w:tcPr>
            <w:tcW w:type="dxa" w:w="5112"/>
            <w:tcMar>
              <w:top w:w="60" w:type="dxa"/>
              <w:start w:w="110" w:type="dxa"/>
              <w:bottom w:w="60" w:type="dxa"/>
              <w:end w:w="110" w:type="dxa"/>
            </w:tcMar>
            <w:shd w:val="clear" w:color="auto" w:fill="F4F7FB"/>
          </w:tcPr>
          <w:p>
            <w:pPr>
              <w:spacing w:after="0"/>
            </w:pPr>
            <w:r/>
            <w:r>
              <w:rPr>
                <w:rFonts w:ascii="Calibri" w:hAnsi="Calibri"/>
                <w:b w:val="0"/>
                <w:i w:val="0"/>
                <w:color w:val="101828"/>
                <w:sz w:val="15"/>
              </w:rPr>
              <w:t>Every POST that moves money requires an Idempotency-Key. A repeated key returns the original result and never moves money twice.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5"/>
              </w:rPr>
              <w:t>FR-PAY-004, CAN §6</w:t>
            </w:r>
          </w:p>
        </w:tc>
      </w:tr>
    </w:tbl>
    <w:p>
      <w:pPr>
        <w:spacing w:after="80"/>
      </w:pPr>
    </w:p>
    <w:p>
      <w:pPr>
        <w:pStyle w:val="Heading3"/>
      </w:pPr>
      <w:r>
        <w:rPr>
          <w:rFonts w:ascii="Calibri" w:hAnsi="Calibri"/>
          <w:b/>
          <w:i w:val="0"/>
          <w:color w:val="0B1F3A"/>
          <w:sz w:val="24"/>
        </w:rPr>
        <w:t>1.21.3 Default, trust and governance</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5"/>
              </w:rPr>
              <w:t>ID</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5"/>
              </w:rPr>
              <w:t>Rule</w:t>
            </w:r>
          </w:p>
        </w:tc>
        <w:tc>
          <w:tcPr>
            <w:tcW w:type="dxa" w:w="5112"/>
            <w:shd w:val="clear" w:color="auto" w:fill="0B1F3A"/>
            <w:tcMar>
              <w:top w:w="60" w:type="dxa"/>
              <w:start w:w="110" w:type="dxa"/>
              <w:bottom w:w="60" w:type="dxa"/>
              <w:end w:w="110" w:type="dxa"/>
            </w:tcMar>
          </w:tcPr>
          <w:p>
            <w:pPr>
              <w:spacing w:after="0"/>
            </w:pPr>
            <w:r/>
            <w:r>
              <w:rPr>
                <w:rFonts w:ascii="Calibri" w:hAnsi="Calibri"/>
                <w:b/>
                <w:i w:val="0"/>
                <w:color w:val="FFFFFF"/>
                <w:sz w:val="15"/>
              </w:rPr>
              <w:t>Detail</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5"/>
              </w:rPr>
              <w:t>Enforced by</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BR-014</w:t>
            </w:r>
          </w:p>
        </w:tc>
        <w:tc>
          <w:tcPr>
            <w:tcW w:type="dxa" w:w="1944"/>
            <w:tcMar>
              <w:top w:w="60" w:type="dxa"/>
              <w:start w:w="110" w:type="dxa"/>
              <w:bottom w:w="60" w:type="dxa"/>
              <w:end w:w="110" w:type="dxa"/>
            </w:tcMar>
          </w:tcPr>
          <w:p>
            <w:pPr>
              <w:spacing w:after="0"/>
            </w:pPr>
            <w:r/>
            <w:r>
              <w:rPr>
                <w:rFonts w:ascii="Calibri" w:hAnsi="Calibri"/>
                <w:b w:val="0"/>
                <w:i w:val="0"/>
                <w:color w:val="101828"/>
                <w:sz w:val="15"/>
              </w:rPr>
              <w:t>No shaming of defaulters</w:t>
            </w:r>
          </w:p>
        </w:tc>
        <w:tc>
          <w:tcPr>
            <w:tcW w:type="dxa" w:w="5112"/>
            <w:tcMar>
              <w:top w:w="60" w:type="dxa"/>
              <w:start w:w="110" w:type="dxa"/>
              <w:bottom w:w="60" w:type="dxa"/>
              <w:end w:w="110" w:type="dxa"/>
            </w:tcMar>
          </w:tcPr>
          <w:p>
            <w:pPr>
              <w:spacing w:after="0"/>
            </w:pPr>
            <w:r/>
            <w:r>
              <w:rPr>
                <w:rFonts w:ascii="Calibri" w:hAnsi="Calibri"/>
                <w:b w:val="0"/>
                <w:i w:val="0"/>
                <w:color w:val="101828"/>
                <w:sz w:val="15"/>
              </w:rPr>
              <w:t>AJO.ng does not publicly shame or expose a defaulting member. Defaulting is private between the member, the organizer and platform risk. No member-visible feed, notification, ranking, leaderboard or report may identify a defaulting member to other members.</w:t>
            </w:r>
          </w:p>
        </w:tc>
        <w:tc>
          <w:tcPr>
            <w:tcW w:type="dxa" w:w="1584"/>
            <w:tcMar>
              <w:top w:w="60" w:type="dxa"/>
              <w:start w:w="110" w:type="dxa"/>
              <w:bottom w:w="60" w:type="dxa"/>
              <w:end w:w="110" w:type="dxa"/>
            </w:tcMar>
          </w:tcPr>
          <w:p>
            <w:pPr>
              <w:spacing w:after="0"/>
            </w:pPr>
            <w:r/>
            <w:r>
              <w:rPr>
                <w:rFonts w:ascii="Calibri" w:hAnsi="Calibri"/>
                <w:b w:val="0"/>
                <w:i w:val="0"/>
                <w:color w:val="101828"/>
                <w:sz w:val="15"/>
              </w:rPr>
              <w:t>FR-NOTIF-007, FR-DEF-005, G5</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BR-015</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5"/>
              </w:rPr>
              <w:t>No automatic top-up of other members</w:t>
            </w:r>
          </w:p>
        </w:tc>
        <w:tc>
          <w:tcPr>
            <w:tcW w:type="dxa" w:w="5112"/>
            <w:tcMar>
              <w:top w:w="60" w:type="dxa"/>
              <w:start w:w="110" w:type="dxa"/>
              <w:bottom w:w="60" w:type="dxa"/>
              <w:end w:w="110" w:type="dxa"/>
            </w:tcMar>
            <w:shd w:val="clear" w:color="auto" w:fill="F4F7FB"/>
          </w:tcPr>
          <w:p>
            <w:pPr>
              <w:spacing w:after="0"/>
            </w:pPr>
            <w:r/>
            <w:r>
              <w:rPr>
                <w:rFonts w:ascii="Calibri" w:hAnsi="Calibri"/>
                <w:b w:val="0"/>
                <w:i w:val="0"/>
                <w:color w:val="101828"/>
                <w:sz w:val="15"/>
              </w:rPr>
              <w:t>AJO.ng does not automatically charge other members extra when one member defaults. Any recovery requiring other members to contribute more must be a documented, explicit, consent-based process and must never happen silently.</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5"/>
              </w:rPr>
              <w:t>FR-CON-006, FR-DEF-006, CAN §4</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BR-016</w:t>
            </w:r>
          </w:p>
        </w:tc>
        <w:tc>
          <w:tcPr>
            <w:tcW w:type="dxa" w:w="1944"/>
            <w:tcMar>
              <w:top w:w="60" w:type="dxa"/>
              <w:start w:w="110" w:type="dxa"/>
              <w:bottom w:w="60" w:type="dxa"/>
              <w:end w:w="110" w:type="dxa"/>
            </w:tcMar>
          </w:tcPr>
          <w:p>
            <w:pPr>
              <w:spacing w:after="0"/>
            </w:pPr>
            <w:r/>
            <w:r>
              <w:rPr>
                <w:rFonts w:ascii="Calibri" w:hAnsi="Calibri"/>
                <w:b w:val="0"/>
                <w:i w:val="0"/>
                <w:color w:val="101828"/>
                <w:sz w:val="15"/>
              </w:rPr>
              <w:t>The default sequence is fixed</w:t>
            </w:r>
          </w:p>
        </w:tc>
        <w:tc>
          <w:tcPr>
            <w:tcW w:type="dxa" w:w="5112"/>
            <w:tcMar>
              <w:top w:w="60" w:type="dxa"/>
              <w:start w:w="110" w:type="dxa"/>
              <w:bottom w:w="60" w:type="dxa"/>
              <w:end w:w="110" w:type="dxa"/>
            </w:tcMar>
          </w:tcPr>
          <w:p>
            <w:pPr>
              <w:spacing w:after="0"/>
            </w:pPr>
            <w:r/>
            <w:r>
              <w:rPr>
                <w:rFonts w:ascii="Calibri" w:hAnsi="Calibri"/>
                <w:b w:val="0"/>
                <w:i w:val="0"/>
                <w:color w:val="101828"/>
                <w:sz w:val="15"/>
              </w:rPr>
              <w:t>The sequence is: reminder, retry if supported, 48-hour grace, organizer notified, member contacted, payment or default recorded, recovery process. No step may be skipped, and no default may be recorded before the grace period elapses.</w:t>
            </w:r>
          </w:p>
        </w:tc>
        <w:tc>
          <w:tcPr>
            <w:tcW w:type="dxa" w:w="1584"/>
            <w:tcMar>
              <w:top w:w="60" w:type="dxa"/>
              <w:start w:w="110" w:type="dxa"/>
              <w:bottom w:w="60" w:type="dxa"/>
              <w:end w:w="110" w:type="dxa"/>
            </w:tcMar>
          </w:tcPr>
          <w:p>
            <w:pPr>
              <w:spacing w:after="0"/>
            </w:pPr>
            <w:r/>
            <w:r>
              <w:rPr>
                <w:rFonts w:ascii="Calibri" w:hAnsi="Calibri"/>
                <w:b w:val="0"/>
                <w:i w:val="0"/>
                <w:color w:val="101828"/>
                <w:sz w:val="15"/>
              </w:rPr>
              <w:t>FR-DEF-001, FR-DEF-003, FR-DEF-004, CAN §4</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BR-017</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5"/>
              </w:rPr>
              <w:t>A payout failure is never hidden</w:t>
            </w:r>
          </w:p>
        </w:tc>
        <w:tc>
          <w:tcPr>
            <w:tcW w:type="dxa" w:w="5112"/>
            <w:tcMar>
              <w:top w:w="60" w:type="dxa"/>
              <w:start w:w="110" w:type="dxa"/>
              <w:bottom w:w="60" w:type="dxa"/>
              <w:end w:w="110" w:type="dxa"/>
            </w:tcMar>
            <w:shd w:val="clear" w:color="auto" w:fill="F4F7FB"/>
          </w:tcPr>
          <w:p>
            <w:pPr>
              <w:spacing w:after="0"/>
            </w:pPr>
            <w:r/>
            <w:r>
              <w:rPr>
                <w:rFonts w:ascii="Calibri" w:hAnsi="Calibri"/>
                <w:b w:val="0"/>
                <w:i w:val="0"/>
                <w:color w:val="101828"/>
                <w:sz w:val="15"/>
              </w:rPr>
              <w:t>A failed or held payout must be notified to the recipient and the organizer across push, email and SMS, with a plain-language reason and the next step. Silence on a failed payout is prohibited for every role.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5"/>
              </w:rPr>
              <w:t>FR-POUT-002, FR-POUT-007, CAN §8</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BR-025</w:t>
            </w:r>
          </w:p>
        </w:tc>
        <w:tc>
          <w:tcPr>
            <w:tcW w:type="dxa" w:w="1944"/>
            <w:tcMar>
              <w:top w:w="60" w:type="dxa"/>
              <w:start w:w="110" w:type="dxa"/>
              <w:bottom w:w="60" w:type="dxa"/>
              <w:end w:w="110" w:type="dxa"/>
            </w:tcMar>
          </w:tcPr>
          <w:p>
            <w:pPr>
              <w:spacing w:after="0"/>
            </w:pPr>
            <w:r/>
            <w:r>
              <w:rPr>
                <w:rFonts w:ascii="Calibri" w:hAnsi="Calibri"/>
                <w:b w:val="0"/>
                <w:i w:val="0"/>
                <w:color w:val="101828"/>
                <w:sz w:val="15"/>
              </w:rPr>
              <w:t>No role edits the ledger</w:t>
            </w:r>
          </w:p>
        </w:tc>
        <w:tc>
          <w:tcPr>
            <w:tcW w:type="dxa" w:w="5112"/>
            <w:tcMar>
              <w:top w:w="60" w:type="dxa"/>
              <w:start w:w="110" w:type="dxa"/>
              <w:bottom w:w="60" w:type="dxa"/>
              <w:end w:w="110" w:type="dxa"/>
            </w:tcMar>
          </w:tcPr>
          <w:p>
            <w:pPr>
              <w:spacing w:after="0"/>
            </w:pPr>
            <w:r/>
            <w:r>
              <w:rPr>
                <w:rFonts w:ascii="Calibri" w:hAnsi="Calibri"/>
                <w:b w:val="0"/>
                <w:i w:val="0"/>
                <w:color w:val="101828"/>
                <w:sz w:val="15"/>
              </w:rPr>
              <w:t>No role, including super_admin, may edit or delete a ledger entry. Corrections are made only by posting a reversing entry. This is enforced at the data layer.</w:t>
            </w:r>
          </w:p>
        </w:tc>
        <w:tc>
          <w:tcPr>
            <w:tcW w:type="dxa" w:w="1584"/>
            <w:tcMar>
              <w:top w:w="60" w:type="dxa"/>
              <w:start w:w="110" w:type="dxa"/>
              <w:bottom w:w="60" w:type="dxa"/>
              <w:end w:w="110" w:type="dxa"/>
            </w:tcMar>
          </w:tcPr>
          <w:p>
            <w:pPr>
              <w:spacing w:after="0"/>
            </w:pPr>
            <w:r/>
            <w:r>
              <w:rPr>
                <w:rFonts w:ascii="Calibri" w:hAnsi="Calibri"/>
                <w:b w:val="0"/>
                <w:i w:val="0"/>
                <w:color w:val="101828"/>
                <w:sz w:val="15"/>
              </w:rPr>
              <w:t>FR-ADM-002, G6, CAN §2</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BR-026</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5"/>
              </w:rPr>
              <w:t>The fee may not be raised silently</w:t>
            </w:r>
          </w:p>
        </w:tc>
        <w:tc>
          <w:tcPr>
            <w:tcW w:type="dxa" w:w="5112"/>
            <w:tcMar>
              <w:top w:w="60" w:type="dxa"/>
              <w:start w:w="110" w:type="dxa"/>
              <w:bottom w:w="60" w:type="dxa"/>
              <w:end w:w="110" w:type="dxa"/>
            </w:tcMar>
            <w:shd w:val="clear" w:color="auto" w:fill="F4F7FB"/>
          </w:tcPr>
          <w:p>
            <w:pPr>
              <w:spacing w:after="0"/>
            </w:pPr>
            <w:r/>
            <w:r>
              <w:rPr>
                <w:rFonts w:ascii="Calibri" w:hAnsi="Calibri"/>
                <w:b w:val="0"/>
                <w:i w:val="0"/>
                <w:color w:val="101828"/>
                <w:sz w:val="15"/>
              </w:rPr>
              <w:t>The 2% fee is locked. Any change is a versioned, effective-dated, audited configuration change, disclosed to every existing member in advance, and never applied retrospectively to a completed or in-flight round.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5"/>
              </w:rPr>
              <w:t>FR-ADM-010, 1.9.1</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BR-027</w:t>
            </w:r>
          </w:p>
        </w:tc>
        <w:tc>
          <w:tcPr>
            <w:tcW w:type="dxa" w:w="1944"/>
            <w:tcMar>
              <w:top w:w="60" w:type="dxa"/>
              <w:start w:w="110" w:type="dxa"/>
              <w:bottom w:w="60" w:type="dxa"/>
              <w:end w:w="110" w:type="dxa"/>
            </w:tcMar>
          </w:tcPr>
          <w:p>
            <w:pPr>
              <w:spacing w:after="0"/>
            </w:pPr>
            <w:r/>
            <w:r>
              <w:rPr>
                <w:rFonts w:ascii="Calibri" w:hAnsi="Calibri"/>
                <w:b w:val="0"/>
                <w:i w:val="0"/>
                <w:color w:val="101828"/>
                <w:sz w:val="15"/>
              </w:rPr>
              <w:t>No return is ever implied</w:t>
            </w:r>
          </w:p>
        </w:tc>
        <w:tc>
          <w:tcPr>
            <w:tcW w:type="dxa" w:w="5112"/>
            <w:tcMar>
              <w:top w:w="60" w:type="dxa"/>
              <w:start w:w="110" w:type="dxa"/>
              <w:bottom w:w="60" w:type="dxa"/>
              <w:end w:w="110" w:type="dxa"/>
            </w:tcMar>
          </w:tcPr>
          <w:p>
            <w:pPr>
              <w:spacing w:after="0"/>
            </w:pPr>
            <w:r/>
            <w:r>
              <w:rPr>
                <w:rFonts w:ascii="Calibri" w:hAnsi="Calibri"/>
                <w:b w:val="0"/>
                <w:i w:val="0"/>
                <w:color w:val="101828"/>
                <w:sz w:val="15"/>
              </w:rPr>
              <w:t>An Ajo pays no interest. No product surface, document, notification or marketing asset may state or imply a return, yield, interest, investment or financial gain.</w:t>
            </w:r>
          </w:p>
        </w:tc>
        <w:tc>
          <w:tcPr>
            <w:tcW w:type="dxa" w:w="1584"/>
            <w:tcMar>
              <w:top w:w="60" w:type="dxa"/>
              <w:start w:w="110" w:type="dxa"/>
              <w:bottom w:w="60" w:type="dxa"/>
              <w:end w:w="110" w:type="dxa"/>
            </w:tcMar>
          </w:tcPr>
          <w:p>
            <w:pPr>
              <w:spacing w:after="0"/>
            </w:pPr>
            <w:r/>
            <w:r>
              <w:rPr>
                <w:rFonts w:ascii="Calibri" w:hAnsi="Calibri"/>
                <w:b w:val="0"/>
                <w:i w:val="0"/>
                <w:color w:val="101828"/>
                <w:sz w:val="15"/>
              </w:rPr>
              <w:t>1.5.2, G8</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BR-028</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5"/>
              </w:rPr>
              <w:t>No yield, no lending, no guarantee</w:t>
            </w:r>
          </w:p>
        </w:tc>
        <w:tc>
          <w:tcPr>
            <w:tcW w:type="dxa" w:w="5112"/>
            <w:tcMar>
              <w:top w:w="60" w:type="dxa"/>
              <w:start w:w="110" w:type="dxa"/>
              <w:bottom w:w="60" w:type="dxa"/>
              <w:end w:w="110" w:type="dxa"/>
            </w:tcMar>
            <w:shd w:val="clear" w:color="auto" w:fill="F4F7FB"/>
          </w:tcPr>
          <w:p>
            <w:pPr>
              <w:spacing w:after="0"/>
            </w:pPr>
            <w:r/>
            <w:r>
              <w:rPr>
                <w:rFonts w:ascii="Calibri" w:hAnsi="Calibri"/>
                <w:b w:val="0"/>
                <w:i w:val="0"/>
                <w:color w:val="101828"/>
                <w:sz w:val="15"/>
              </w:rPr>
              <w:t>AJO.ng does not lend, does not invest, does not insure and does not guarantee a pot. Expected payouts may not be pledged, assigned or advanced against.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5"/>
              </w:rPr>
              <w:t>1.16.3</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BR-029</w:t>
            </w:r>
          </w:p>
        </w:tc>
        <w:tc>
          <w:tcPr>
            <w:tcW w:type="dxa" w:w="1944"/>
            <w:tcMar>
              <w:top w:w="60" w:type="dxa"/>
              <w:start w:w="110" w:type="dxa"/>
              <w:bottom w:w="60" w:type="dxa"/>
              <w:end w:w="110" w:type="dxa"/>
            </w:tcMar>
          </w:tcPr>
          <w:p>
            <w:pPr>
              <w:spacing w:after="0"/>
            </w:pPr>
            <w:r/>
            <w:r>
              <w:rPr>
                <w:rFonts w:ascii="Calibri" w:hAnsi="Calibri"/>
                <w:b w:val="0"/>
                <w:i w:val="0"/>
                <w:color w:val="101828"/>
                <w:sz w:val="15"/>
              </w:rPr>
              <w:t>Invitation-only at MVP</w:t>
            </w:r>
          </w:p>
        </w:tc>
        <w:tc>
          <w:tcPr>
            <w:tcW w:type="dxa" w:w="5112"/>
            <w:tcMar>
              <w:top w:w="60" w:type="dxa"/>
              <w:start w:w="110" w:type="dxa"/>
              <w:bottom w:w="60" w:type="dxa"/>
              <w:end w:w="110" w:type="dxa"/>
            </w:tcMar>
          </w:tcPr>
          <w:p>
            <w:pPr>
              <w:spacing w:after="0"/>
            </w:pPr>
            <w:r/>
            <w:r>
              <w:rPr>
                <w:rFonts w:ascii="Calibri" w:hAnsi="Calibri"/>
                <w:b w:val="0"/>
                <w:i w:val="0"/>
                <w:color w:val="101828"/>
                <w:sz w:val="15"/>
              </w:rPr>
              <w:t>Every Ajo at MVP exists because a named organizer created it and every member accepted an invitation. There is no public marketplace, directory or open participation at launch.</w:t>
            </w:r>
          </w:p>
        </w:tc>
        <w:tc>
          <w:tcPr>
            <w:tcW w:type="dxa" w:w="1584"/>
            <w:tcMar>
              <w:top w:w="60" w:type="dxa"/>
              <w:start w:w="110" w:type="dxa"/>
              <w:bottom w:w="60" w:type="dxa"/>
              <w:end w:w="110" w:type="dxa"/>
            </w:tcMar>
          </w:tcPr>
          <w:p>
            <w:pPr>
              <w:spacing w:after="0"/>
            </w:pPr>
            <w:r/>
            <w:r>
              <w:rPr>
                <w:rFonts w:ascii="Calibri" w:hAnsi="Calibri"/>
                <w:b w:val="0"/>
                <w:i w:val="0"/>
                <w:color w:val="101828"/>
                <w:sz w:val="15"/>
              </w:rPr>
              <w:t>FR-MEM-002, 1.16.3</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BR-030</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5"/>
              </w:rPr>
              <w:t>One identity, one account</w:t>
            </w:r>
          </w:p>
        </w:tc>
        <w:tc>
          <w:tcPr>
            <w:tcW w:type="dxa" w:w="5112"/>
            <w:tcMar>
              <w:top w:w="60" w:type="dxa"/>
              <w:start w:w="110" w:type="dxa"/>
              <w:bottom w:w="60" w:type="dxa"/>
              <w:end w:w="110" w:type="dxa"/>
            </w:tcMar>
            <w:shd w:val="clear" w:color="auto" w:fill="F4F7FB"/>
          </w:tcPr>
          <w:p>
            <w:pPr>
              <w:spacing w:after="0"/>
            </w:pPr>
            <w:r/>
            <w:r>
              <w:rPr>
                <w:rFonts w:ascii="Calibri" w:hAnsi="Calibri"/>
                <w:b w:val="0"/>
                <w:i w:val="0"/>
                <w:color w:val="101828"/>
                <w:sz w:val="15"/>
              </w:rPr>
              <w:t>An account is bound to a single verified email and a single verified phone number. Duplicate accounts, duplicate identities and account sharing are prohibited and are grounds for freeze.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5"/>
              </w:rPr>
              <w:t>FR-AUTH-002, FR-KYC-001</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5"/>
              </w:rPr>
              <w:t>BR-031</w:t>
            </w:r>
          </w:p>
        </w:tc>
        <w:tc>
          <w:tcPr>
            <w:tcW w:type="dxa" w:w="1944"/>
            <w:tcMar>
              <w:top w:w="60" w:type="dxa"/>
              <w:start w:w="110" w:type="dxa"/>
              <w:bottom w:w="60" w:type="dxa"/>
              <w:end w:w="110" w:type="dxa"/>
            </w:tcMar>
          </w:tcPr>
          <w:p>
            <w:pPr>
              <w:spacing w:after="0"/>
            </w:pPr>
            <w:r/>
            <w:r>
              <w:rPr>
                <w:rFonts w:ascii="Calibri" w:hAnsi="Calibri"/>
                <w:b w:val="0"/>
                <w:i w:val="0"/>
                <w:color w:val="101828"/>
                <w:sz w:val="15"/>
              </w:rPr>
              <w:t>All money is NGN, all values are kobo integers</w:t>
            </w:r>
          </w:p>
        </w:tc>
        <w:tc>
          <w:tcPr>
            <w:tcW w:type="dxa" w:w="5112"/>
            <w:tcMar>
              <w:top w:w="60" w:type="dxa"/>
              <w:start w:w="110" w:type="dxa"/>
              <w:bottom w:w="60" w:type="dxa"/>
              <w:end w:w="110" w:type="dxa"/>
            </w:tcMar>
          </w:tcPr>
          <w:p>
            <w:pPr>
              <w:spacing w:after="0"/>
            </w:pPr>
            <w:r/>
            <w:r>
              <w:rPr>
                <w:rFonts w:ascii="Calibri" w:hAnsi="Calibri"/>
                <w:b w:val="0"/>
                <w:i w:val="0"/>
                <w:color w:val="101828"/>
                <w:sz w:val="15"/>
              </w:rPr>
              <w:t>Money columns are always bigint kobo, never float or numeric. Amounts are never derived by dividing a total by a count, and rounding is half-up, applied once, at a single defined point.</w:t>
            </w:r>
          </w:p>
        </w:tc>
        <w:tc>
          <w:tcPr>
            <w:tcW w:type="dxa" w:w="1584"/>
            <w:tcMar>
              <w:top w:w="60" w:type="dxa"/>
              <w:start w:w="110" w:type="dxa"/>
              <w:bottom w:w="60" w:type="dxa"/>
              <w:end w:w="110" w:type="dxa"/>
            </w:tcMar>
          </w:tcPr>
          <w:p>
            <w:pPr>
              <w:spacing w:after="0"/>
            </w:pPr>
            <w:r/>
            <w:r>
              <w:rPr>
                <w:rFonts w:ascii="Calibri" w:hAnsi="Calibri"/>
                <w:b w:val="0"/>
                <w:i w:val="0"/>
                <w:color w:val="101828"/>
                <w:sz w:val="15"/>
              </w:rPr>
              <w:t>NFR-LOC-002, CAN §5</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BR-032</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5"/>
              </w:rPr>
              <w:t>Money is only ever moved by two events</w:t>
            </w:r>
          </w:p>
        </w:tc>
        <w:tc>
          <w:tcPr>
            <w:tcW w:type="dxa" w:w="5112"/>
            <w:tcMar>
              <w:top w:w="60" w:type="dxa"/>
              <w:start w:w="110" w:type="dxa"/>
              <w:bottom w:w="60" w:type="dxa"/>
              <w:end w:w="110" w:type="dxa"/>
            </w:tcMar>
            <w:shd w:val="clear" w:color="auto" w:fill="F4F7FB"/>
          </w:tcPr>
          <w:p>
            <w:pPr>
              <w:spacing w:after="0"/>
            </w:pPr>
            <w:r/>
            <w:r>
              <w:rPr>
                <w:rFonts w:ascii="Calibri" w:hAnsi="Calibri"/>
                <w:b w:val="0"/>
                <w:i w:val="0"/>
                <w:color w:val="101828"/>
                <w:sz w:val="15"/>
              </w:rPr>
              <w:t>The only money movements are a contribution deposit and a base-pool payout. There is no transfer between members, no top-up, no withdrawal and no refund outside the documented cancellation and reversal paths.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5"/>
              </w:rPr>
              <w:t>1.16.3</w:t>
            </w:r>
          </w:p>
        </w:tc>
      </w:tr>
    </w:tbl>
    <w:p>
      <w:pPr>
        <w:spacing w:after="80"/>
      </w:pP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3744"/>
            <w:shd w:val="clear" w:color="auto" w:fill="0B1F3A"/>
            <w:tcMar>
              <w:top w:w="60" w:type="dxa"/>
              <w:start w:w="110" w:type="dxa"/>
              <w:bottom w:w="60" w:type="dxa"/>
              <w:end w:w="110" w:type="dxa"/>
            </w:tcMar>
          </w:tcPr>
          <w:p>
            <w:pPr>
              <w:spacing w:after="0"/>
            </w:pPr>
            <w:r/>
            <w:r>
              <w:rPr>
                <w:rFonts w:ascii="Calibri" w:hAnsi="Calibri"/>
                <w:b/>
                <w:i w:val="0"/>
                <w:color w:val="FFFFFF"/>
                <w:sz w:val="17"/>
              </w:rPr>
              <w:t>Family</w:t>
            </w:r>
          </w:p>
        </w:tc>
        <w:tc>
          <w:tcPr>
            <w:tcW w:type="dxa" w:w="864"/>
            <w:shd w:val="clear" w:color="auto" w:fill="0B1F3A"/>
            <w:tcMar>
              <w:top w:w="60" w:type="dxa"/>
              <w:start w:w="110" w:type="dxa"/>
              <w:bottom w:w="60" w:type="dxa"/>
              <w:end w:w="110" w:type="dxa"/>
            </w:tcMar>
          </w:tcPr>
          <w:p>
            <w:pPr>
              <w:spacing w:after="0"/>
            </w:pPr>
            <w:r/>
            <w:r>
              <w:rPr>
                <w:rFonts w:ascii="Calibri" w:hAnsi="Calibri"/>
                <w:b/>
                <w:i w:val="0"/>
                <w:color w:val="FFFFFF"/>
                <w:sz w:val="17"/>
              </w:rPr>
              <w:t>Count</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7"/>
              </w:rPr>
              <w:t>Hard product rules</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7"/>
              </w:rPr>
              <w:t>Governance rules</w:t>
            </w:r>
          </w:p>
        </w:tc>
      </w:tr>
      <w:tr>
        <w:trPr>
          <w:cantSplit/>
        </w:trPr>
        <w:tc>
          <w:tcPr>
            <w:tcW w:type="dxa" w:w="3744"/>
            <w:tcMar>
              <w:top w:w="60" w:type="dxa"/>
              <w:start w:w="110" w:type="dxa"/>
              <w:bottom w:w="60" w:type="dxa"/>
              <w:end w:w="110" w:type="dxa"/>
            </w:tcMar>
          </w:tcPr>
          <w:p>
            <w:pPr>
              <w:spacing w:after="0"/>
            </w:pPr>
            <w:r/>
            <w:r>
              <w:rPr>
                <w:rFonts w:ascii="Calibri" w:hAnsi="Calibri"/>
                <w:b w:val="0"/>
                <w:i w:val="0"/>
                <w:color w:val="101828"/>
                <w:sz w:val="17"/>
              </w:rPr>
              <w:t>Enrollment, commitment and membership</w:t>
            </w:r>
          </w:p>
        </w:tc>
        <w:tc>
          <w:tcPr>
            <w:tcW w:type="dxa" w:w="864"/>
            <w:tcMar>
              <w:top w:w="60" w:type="dxa"/>
              <w:start w:w="110" w:type="dxa"/>
              <w:bottom w:w="60" w:type="dxa"/>
              <w:end w:w="110" w:type="dxa"/>
            </w:tcMar>
          </w:tcPr>
          <w:p>
            <w:pPr>
              <w:spacing w:after="0"/>
            </w:pPr>
            <w:r/>
            <w:r>
              <w:rPr>
                <w:rFonts w:ascii="Calibri" w:hAnsi="Calibri"/>
                <w:b w:val="0"/>
                <w:i w:val="0"/>
                <w:color w:val="101828"/>
                <w:sz w:val="17"/>
              </w:rPr>
              <w:t>9</w:t>
            </w:r>
          </w:p>
        </w:tc>
        <w:tc>
          <w:tcPr>
            <w:tcW w:type="dxa" w:w="2736"/>
            <w:tcMar>
              <w:top w:w="60" w:type="dxa"/>
              <w:start w:w="110" w:type="dxa"/>
              <w:bottom w:w="60" w:type="dxa"/>
              <w:end w:w="110" w:type="dxa"/>
            </w:tcMar>
          </w:tcPr>
          <w:p>
            <w:pPr>
              <w:spacing w:after="0"/>
            </w:pPr>
            <w:r/>
            <w:r>
              <w:rPr>
                <w:rFonts w:ascii="Calibri" w:hAnsi="Calibri"/>
                <w:b w:val="0"/>
                <w:i w:val="0"/>
                <w:color w:val="101828"/>
                <w:sz w:val="17"/>
              </w:rPr>
              <w:t>BR-001 to BR-007</w:t>
            </w:r>
          </w:p>
        </w:tc>
        <w:tc>
          <w:tcPr>
            <w:tcW w:type="dxa" w:w="2016"/>
            <w:tcMar>
              <w:top w:w="60" w:type="dxa"/>
              <w:start w:w="110" w:type="dxa"/>
              <w:bottom w:w="60" w:type="dxa"/>
              <w:end w:w="110" w:type="dxa"/>
            </w:tcMar>
          </w:tcPr>
          <w:p>
            <w:pPr>
              <w:spacing w:after="0"/>
            </w:pPr>
            <w:r/>
            <w:r>
              <w:rPr>
                <w:rFonts w:ascii="Calibri" w:hAnsi="Calibri"/>
                <w:b w:val="0"/>
                <w:i w:val="0"/>
                <w:color w:val="101828"/>
                <w:sz w:val="17"/>
              </w:rPr>
              <w:t>BR-008, BR-009</w:t>
            </w:r>
          </w:p>
        </w:tc>
      </w:tr>
      <w:tr>
        <w:trPr>
          <w:cantSplit/>
        </w:trPr>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7"/>
              </w:rPr>
              <w:t>Money, fee and payout</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7"/>
              </w:rPr>
              <w:t>10</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7"/>
              </w:rPr>
              <w:t>BR-010 to BR-013, BR-018, BR-020 to BR-024</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7"/>
              </w:rPr>
              <w:t>—</w:t>
            </w:r>
          </w:p>
        </w:tc>
      </w:tr>
      <w:tr>
        <w:trPr>
          <w:cantSplit/>
        </w:trPr>
        <w:tc>
          <w:tcPr>
            <w:tcW w:type="dxa" w:w="3744"/>
            <w:tcMar>
              <w:top w:w="60" w:type="dxa"/>
              <w:start w:w="110" w:type="dxa"/>
              <w:bottom w:w="60" w:type="dxa"/>
              <w:end w:w="110" w:type="dxa"/>
            </w:tcMar>
          </w:tcPr>
          <w:p>
            <w:pPr>
              <w:spacing w:after="0"/>
            </w:pPr>
            <w:r/>
            <w:r>
              <w:rPr>
                <w:rFonts w:ascii="Calibri" w:hAnsi="Calibri"/>
                <w:b w:val="0"/>
                <w:i w:val="0"/>
                <w:color w:val="101828"/>
                <w:sz w:val="17"/>
              </w:rPr>
              <w:t>Default, trust and governance</w:t>
            </w:r>
          </w:p>
        </w:tc>
        <w:tc>
          <w:tcPr>
            <w:tcW w:type="dxa" w:w="864"/>
            <w:tcMar>
              <w:top w:w="60" w:type="dxa"/>
              <w:start w:w="110" w:type="dxa"/>
              <w:bottom w:w="60" w:type="dxa"/>
              <w:end w:w="110" w:type="dxa"/>
            </w:tcMar>
          </w:tcPr>
          <w:p>
            <w:pPr>
              <w:spacing w:after="0"/>
            </w:pPr>
            <w:r/>
            <w:r>
              <w:rPr>
                <w:rFonts w:ascii="Calibri" w:hAnsi="Calibri"/>
                <w:b w:val="0"/>
                <w:i w:val="0"/>
                <w:color w:val="101828"/>
                <w:sz w:val="17"/>
              </w:rPr>
              <w:t>12</w:t>
            </w:r>
          </w:p>
        </w:tc>
        <w:tc>
          <w:tcPr>
            <w:tcW w:type="dxa" w:w="2736"/>
            <w:tcMar>
              <w:top w:w="60" w:type="dxa"/>
              <w:start w:w="110" w:type="dxa"/>
              <w:bottom w:w="60" w:type="dxa"/>
              <w:end w:w="110" w:type="dxa"/>
            </w:tcMar>
          </w:tcPr>
          <w:p>
            <w:pPr>
              <w:spacing w:after="0"/>
            </w:pPr>
            <w:r/>
            <w:r>
              <w:rPr>
                <w:rFonts w:ascii="Calibri" w:hAnsi="Calibri"/>
                <w:b w:val="0"/>
                <w:i w:val="0"/>
                <w:color w:val="101828"/>
                <w:sz w:val="17"/>
              </w:rPr>
              <w:t>BR-014 to BR-017</w:t>
            </w:r>
          </w:p>
        </w:tc>
        <w:tc>
          <w:tcPr>
            <w:tcW w:type="dxa" w:w="2016"/>
            <w:tcMar>
              <w:top w:w="60" w:type="dxa"/>
              <w:start w:w="110" w:type="dxa"/>
              <w:bottom w:w="60" w:type="dxa"/>
              <w:end w:w="110" w:type="dxa"/>
            </w:tcMar>
          </w:tcPr>
          <w:p>
            <w:pPr>
              <w:spacing w:after="0"/>
            </w:pPr>
            <w:r/>
            <w:r>
              <w:rPr>
                <w:rFonts w:ascii="Calibri" w:hAnsi="Calibri"/>
                <w:b w:val="0"/>
                <w:i w:val="0"/>
                <w:color w:val="101828"/>
                <w:sz w:val="17"/>
              </w:rPr>
              <w:t>BR-025 to BR-032</w:t>
            </w:r>
          </w:p>
        </w:tc>
      </w:tr>
      <w:tr>
        <w:trPr>
          <w:cantSplit/>
        </w:trPr>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7"/>
              </w:rPr>
              <w:t>Total business rules</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7"/>
              </w:rPr>
              <w:t>31</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7"/>
              </w:rPr>
              <w:t>—</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7"/>
              </w:rPr>
              <w:t>—</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Rule numbering  </w:t>
      </w:r>
      <w:r>
        <w:rPr>
          <w:rFonts w:ascii="Calibri" w:hAnsi="Calibri"/>
          <w:b w:val="0"/>
          <w:i w:val="0"/>
          <w:color w:val="0B1F3A"/>
          <w:sz w:val="19"/>
        </w:rPr>
        <w:t xml:space="preserve">Rule IDs are </w:t>
      </w:r>
      <w:r>
        <w:rPr>
          <w:rFonts w:ascii="Calibri" w:hAnsi="Calibri"/>
          <w:b/>
          <w:color w:val="0B1F3A"/>
          <w:sz w:val="19"/>
        </w:rPr>
        <w:t>stable identifiers assigned by theme</w:t>
      </w:r>
      <w:r>
        <w:rPr>
          <w:rFonts w:ascii="Calibri" w:hAnsi="Calibri"/>
          <w:b w:val="0"/>
          <w:i w:val="0"/>
          <w:color w:val="0B1F3A"/>
          <w:sz w:val="19"/>
        </w:rPr>
        <w:t xml:space="preserve"> and are intentionally non-contiguous. A rule that is withdrawn leaves a gap; it does not cause the remaining rules to be renumbered, because BR- references are already embedded in 148 functional requirements, 38 user stories and the ledger specification. Renumbering would silently break every cross-reference in the document.</w:t>
      </w:r>
    </w:p>
    <w:p>
      <w:pPr>
        <w:spacing w:before="140" w:after="180"/>
        <w:ind w:left="144"/>
        <w:shd w:val="clear" w:color="auto" w:fill="E0F2FE"/>
        <w:pBdr>
          <w:left w:val="single" w:sz="18" w:space="6" w:color="22C7D6"/>
        </w:pBdr>
      </w:pPr>
      <w:r>
        <w:rPr>
          <w:rFonts w:ascii="Calibri" w:hAnsi="Calibri"/>
          <w:b/>
          <w:color w:val="22C7D6"/>
          <w:sz w:val="19"/>
        </w:rPr>
        <w:t xml:space="preserve">Two rules that are not yet decided  </w:t>
      </w:r>
      <w:r>
        <w:rPr>
          <w:rFonts w:ascii="Calibri" w:hAnsi="Calibri"/>
          <w:b/>
          <w:color w:val="0B1F3A"/>
          <w:sz w:val="19"/>
        </w:rPr>
        <w:t>Who bears the fee when an Ajo cancels during the 5-day enrollment window.</w:t>
      </w:r>
      <w:r>
        <w:rPr>
          <w:rFonts w:ascii="Calibri" w:hAnsi="Calibri"/>
          <w:b w:val="0"/>
          <w:i w:val="0"/>
          <w:color w:val="0B1F3A"/>
          <w:sz w:val="19"/>
        </w:rPr>
        <w:t xml:space="preserve"> BR-001 requires a full refund of contributions, but it does not state whether the 2% fee already collected is also refunded. This is open decision </w:t>
      </w:r>
      <w:r>
        <w:rPr>
          <w:rFonts w:ascii="Calibri" w:hAnsi="Calibri"/>
          <w:b/>
          <w:color w:val="0B1F3A"/>
          <w:sz w:val="19"/>
        </w:rPr>
        <w:t>D-05</w:t>
      </w:r>
      <w:r>
        <w:rPr>
          <w:rFonts w:ascii="Calibri" w:hAnsi="Calibri"/>
          <w:b w:val="0"/>
          <w:i w:val="0"/>
          <w:color w:val="0B1F3A"/>
          <w:sz w:val="19"/>
        </w:rPr>
        <w:t xml:space="preserve">, owned by the Founders and Legal, and it must be resolved before launch because it is a refund of money already taken. </w:t>
      </w:r>
      <w:r>
        <w:rPr>
          <w:rFonts w:ascii="Calibri" w:hAnsi="Calibri"/>
          <w:b/>
          <w:color w:val="0B1F3A"/>
          <w:sz w:val="19"/>
        </w:rPr>
        <w:t>The interaction between BR-001 and BR-026</w:t>
      </w:r>
      <w:r>
        <w:rPr>
          <w:rFonts w:ascii="Calibri" w:hAnsi="Calibri"/>
          <w:b w:val="0"/>
          <w:i w:val="0"/>
          <w:color w:val="0B1F3A"/>
          <w:sz w:val="19"/>
        </w:rPr>
        <w:t xml:space="preserve"> (a cancellation that falls after a fee change takes effect) is also unresolved.</w:t>
      </w:r>
    </w:p>
    <w:p>
      <w:pPr>
        <w:pStyle w:val="Heading2"/>
      </w:pPr>
      <w:r>
        <w:rPr>
          <w:rFonts w:ascii="Calibri" w:hAnsi="Calibri"/>
          <w:b/>
          <w:i w:val="0"/>
          <w:color w:val="146EF5"/>
          <w:sz w:val="29"/>
        </w:rPr>
        <w:t>1.22 Assumptions</w:t>
      </w:r>
    </w:p>
    <w:p>
      <w:r>
        <w:rPr>
          <w:rFonts w:ascii="Calibri" w:hAnsi="Calibri"/>
          <w:b w:val="0"/>
          <w:i w:val="0"/>
          <w:color w:val="101828"/>
          <w:sz w:val="21"/>
        </w:rPr>
        <w:t xml:space="preserve">Every assumption relied on by this document is listed here with the reason it is believed, the path by which it will be validated, an owner and a point at which it must be resolved. </w:t>
      </w:r>
      <w:r>
        <w:rPr>
          <w:rFonts w:ascii="Calibri" w:hAnsi="Calibri"/>
          <w:b/>
          <w:color w:val="101828"/>
          <w:sz w:val="21"/>
        </w:rPr>
        <w:t>An assumption that is not listed here does not exist.</w:t>
      </w:r>
      <w:r>
        <w:rPr>
          <w:rFonts w:ascii="Calibri" w:hAnsi="Calibri"/>
          <w:b w:val="0"/>
          <w:i w:val="0"/>
          <w:color w:val="101828"/>
          <w:sz w:val="21"/>
        </w:rPr>
        <w:t xml:space="preserve"> If the build depends on something not in this table, that is a defect in this document.</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504"/>
            <w:shd w:val="clear" w:color="auto" w:fill="0B1F3A"/>
            <w:tcMar>
              <w:top w:w="60" w:type="dxa"/>
              <w:start w:w="110" w:type="dxa"/>
              <w:bottom w:w="60" w:type="dxa"/>
              <w:end w:w="110" w:type="dxa"/>
            </w:tcMar>
          </w:tcPr>
          <w:p>
            <w:pPr>
              <w:spacing w:after="0"/>
            </w:pPr>
            <w:r/>
            <w:r>
              <w:rPr>
                <w:rFonts w:ascii="Calibri" w:hAnsi="Calibri"/>
                <w:b/>
                <w:i w:val="0"/>
                <w:color w:val="FFFFFF"/>
                <w:sz w:val="14"/>
              </w:rPr>
              <w:t>ID</w:t>
            </w:r>
          </w:p>
        </w:tc>
        <w:tc>
          <w:tcPr>
            <w:tcW w:type="dxa" w:w="2376"/>
            <w:shd w:val="clear" w:color="auto" w:fill="0B1F3A"/>
            <w:tcMar>
              <w:top w:w="60" w:type="dxa"/>
              <w:start w:w="110" w:type="dxa"/>
              <w:bottom w:w="60" w:type="dxa"/>
              <w:end w:w="110" w:type="dxa"/>
            </w:tcMar>
          </w:tcPr>
          <w:p>
            <w:pPr>
              <w:spacing w:after="0"/>
            </w:pPr>
            <w:r/>
            <w:r>
              <w:rPr>
                <w:rFonts w:ascii="Calibri" w:hAnsi="Calibri"/>
                <w:b/>
                <w:i w:val="0"/>
                <w:color w:val="FFFFFF"/>
                <w:sz w:val="14"/>
              </w:rPr>
              <w:t>Assumption</w:t>
            </w:r>
          </w:p>
        </w:tc>
        <w:tc>
          <w:tcPr>
            <w:tcW w:type="dxa" w:w="2376"/>
            <w:shd w:val="clear" w:color="auto" w:fill="0B1F3A"/>
            <w:tcMar>
              <w:top w:w="60" w:type="dxa"/>
              <w:start w:w="110" w:type="dxa"/>
              <w:bottom w:w="60" w:type="dxa"/>
              <w:end w:w="110" w:type="dxa"/>
            </w:tcMar>
          </w:tcPr>
          <w:p>
            <w:pPr>
              <w:spacing w:after="0"/>
            </w:pPr>
            <w:r/>
            <w:r>
              <w:rPr>
                <w:rFonts w:ascii="Calibri" w:hAnsi="Calibri"/>
                <w:b/>
                <w:i w:val="0"/>
                <w:color w:val="FFFFFF"/>
                <w:sz w:val="14"/>
              </w:rPr>
              <w:t>Why we believe it</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4"/>
              </w:rPr>
              <w:t>Validation path</w:t>
            </w:r>
          </w:p>
        </w:tc>
        <w:tc>
          <w:tcPr>
            <w:tcW w:type="dxa" w:w="792"/>
            <w:shd w:val="clear" w:color="auto" w:fill="0B1F3A"/>
            <w:tcMar>
              <w:top w:w="60" w:type="dxa"/>
              <w:start w:w="110" w:type="dxa"/>
              <w:bottom w:w="60" w:type="dxa"/>
              <w:end w:w="110" w:type="dxa"/>
            </w:tcMar>
          </w:tcPr>
          <w:p>
            <w:pPr>
              <w:spacing w:after="0"/>
            </w:pPr>
            <w:r/>
            <w:r>
              <w:rPr>
                <w:rFonts w:ascii="Calibri" w:hAnsi="Calibri"/>
                <w:b/>
                <w:i w:val="0"/>
                <w:color w:val="FFFFFF"/>
                <w:sz w:val="14"/>
              </w:rPr>
              <w:t>Owner</w:t>
            </w:r>
          </w:p>
        </w:tc>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4"/>
              </w:rPr>
              <w:t>Resolve by</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4"/>
              </w:rPr>
              <w:t>A-01</w:t>
            </w:r>
          </w:p>
        </w:tc>
        <w:tc>
          <w:tcPr>
            <w:tcW w:type="dxa" w:w="2376"/>
            <w:tcMar>
              <w:top w:w="60" w:type="dxa"/>
              <w:start w:w="110" w:type="dxa"/>
              <w:bottom w:w="60" w:type="dxa"/>
              <w:end w:w="110" w:type="dxa"/>
            </w:tcMar>
          </w:tcPr>
          <w:p>
            <w:pPr>
              <w:spacing w:after="0"/>
            </w:pPr>
            <w:r/>
            <w:r>
              <w:rPr>
                <w:rFonts w:ascii="Calibri" w:hAnsi="Calibri"/>
                <w:b w:val="0"/>
                <w:i w:val="0"/>
                <w:color w:val="101828"/>
                <w:sz w:val="14"/>
              </w:rPr>
              <w:t>The recipient of a round receives the base pool (NGN 10,000.00), not the collected total (NGN 10,200.00).</w:t>
            </w:r>
          </w:p>
        </w:tc>
        <w:tc>
          <w:tcPr>
            <w:tcW w:type="dxa" w:w="2376"/>
            <w:tcMar>
              <w:top w:w="60" w:type="dxa"/>
              <w:start w:w="110" w:type="dxa"/>
              <w:bottom w:w="60" w:type="dxa"/>
              <w:end w:w="110" w:type="dxa"/>
            </w:tcMar>
          </w:tcPr>
          <w:p>
            <w:pPr>
              <w:spacing w:after="0"/>
            </w:pPr>
            <w:r/>
            <w:r>
              <w:rPr>
                <w:rFonts w:ascii="Calibri" w:hAnsi="Calibri"/>
                <w:b w:val="0"/>
                <w:i w:val="0"/>
                <w:color w:val="101828"/>
                <w:sz w:val="14"/>
              </w:rPr>
              <w:t>CANONICAL.md D-01 lists the base pool as the assumption used in this specification.</w:t>
            </w:r>
          </w:p>
        </w:tc>
        <w:tc>
          <w:tcPr>
            <w:tcW w:type="dxa" w:w="2304"/>
            <w:tcMar>
              <w:top w:w="60" w:type="dxa"/>
              <w:start w:w="110" w:type="dxa"/>
              <w:bottom w:w="60" w:type="dxa"/>
              <w:end w:w="110" w:type="dxa"/>
            </w:tcMar>
          </w:tcPr>
          <w:p>
            <w:pPr>
              <w:spacing w:after="0"/>
            </w:pPr>
            <w:r/>
            <w:r>
              <w:rPr>
                <w:rFonts w:ascii="Calibri" w:hAnsi="Calibri"/>
                <w:b w:val="0"/>
                <w:i w:val="0"/>
                <w:color w:val="101828"/>
                <w:sz w:val="14"/>
              </w:rPr>
              <w:t>Founder decision, reflected in the terms, the interface and the fee disclosures, tested against the worked example in the user stories.</w:t>
            </w:r>
          </w:p>
        </w:tc>
        <w:tc>
          <w:tcPr>
            <w:tcW w:type="dxa" w:w="792"/>
            <w:tcMar>
              <w:top w:w="60" w:type="dxa"/>
              <w:start w:w="110" w:type="dxa"/>
              <w:bottom w:w="60" w:type="dxa"/>
              <w:end w:w="110" w:type="dxa"/>
            </w:tcMar>
          </w:tcPr>
          <w:p>
            <w:pPr>
              <w:spacing w:after="0"/>
            </w:pPr>
            <w:r/>
            <w:r>
              <w:rPr>
                <w:rFonts w:ascii="Calibri" w:hAnsi="Calibri"/>
                <w:b w:val="0"/>
                <w:i w:val="0"/>
                <w:color w:val="101828"/>
                <w:sz w:val="14"/>
              </w:rPr>
              <w:t>Founders</w:t>
            </w:r>
          </w:p>
        </w:tc>
        <w:tc>
          <w:tcPr>
            <w:tcW w:type="dxa" w:w="1037"/>
            <w:tcMar>
              <w:top w:w="60" w:type="dxa"/>
              <w:start w:w="110" w:type="dxa"/>
              <w:bottom w:w="60" w:type="dxa"/>
              <w:end w:w="110" w:type="dxa"/>
            </w:tcMar>
          </w:tcPr>
          <w:p>
            <w:pPr>
              <w:spacing w:after="0"/>
            </w:pPr>
            <w:r/>
            <w:r>
              <w:rPr>
                <w:rFonts w:ascii="Calibri" w:hAnsi="Calibri"/>
                <w:b w:val="0"/>
                <w:i w:val="0"/>
                <w:color w:val="101828"/>
                <w:sz w:val="14"/>
              </w:rPr>
              <w:t>Pre-launch</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4"/>
              </w:rPr>
              <w:t>A-02</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A 2% fee is small enough that members will accept it in exchange for a real receipt and a real record.</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At a NGN 1,000.00 contribution the fee is NGN 20.00, which is below the cost of one market taxi fare, while the traditional alternative costs a member their entire time and their certainty.</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Structured user testing with 20 to 30 target users before launch; monitored through a controlled pilot in month 1.</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4"/>
              </w:rPr>
              <w:t>Founders</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Pre-launch and re-tested at 90 days</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4"/>
              </w:rPr>
              <w:t>A-03</w:t>
            </w:r>
          </w:p>
        </w:tc>
        <w:tc>
          <w:tcPr>
            <w:tcW w:type="dxa" w:w="2376"/>
            <w:tcMar>
              <w:top w:w="60" w:type="dxa"/>
              <w:start w:w="110" w:type="dxa"/>
              <w:bottom w:w="60" w:type="dxa"/>
              <w:end w:w="110" w:type="dxa"/>
            </w:tcMar>
          </w:tcPr>
          <w:p>
            <w:pPr>
              <w:spacing w:after="0"/>
            </w:pPr>
            <w:r/>
            <w:r>
              <w:rPr>
                <w:rFonts w:ascii="Calibri" w:hAnsi="Calibri"/>
                <w:b w:val="0"/>
                <w:i w:val="0"/>
                <w:color w:val="101828"/>
                <w:sz w:val="14"/>
              </w:rPr>
              <w:t>Organisers will adopt if the software takes work off them, not add to it.</w:t>
            </w:r>
          </w:p>
        </w:tc>
        <w:tc>
          <w:tcPr>
            <w:tcW w:type="dxa" w:w="2376"/>
            <w:tcMar>
              <w:top w:w="60" w:type="dxa"/>
              <w:start w:w="110" w:type="dxa"/>
              <w:bottom w:w="60" w:type="dxa"/>
              <w:end w:w="110" w:type="dxa"/>
            </w:tcMar>
          </w:tcPr>
          <w:p>
            <w:pPr>
              <w:spacing w:after="0"/>
            </w:pPr>
            <w:r/>
            <w:r>
              <w:rPr>
                <w:rFonts w:ascii="Calibri" w:hAnsi="Calibri"/>
                <w:b w:val="0"/>
                <w:i w:val="0"/>
                <w:color w:val="101828"/>
                <w:sz w:val="14"/>
              </w:rPr>
              <w:t>The organiser is unpaid and already spends two to three hours per Friday; removing cash handling is unambiguously attractive.</w:t>
            </w:r>
          </w:p>
        </w:tc>
        <w:tc>
          <w:tcPr>
            <w:tcW w:type="dxa" w:w="2304"/>
            <w:tcMar>
              <w:top w:w="60" w:type="dxa"/>
              <w:start w:w="110" w:type="dxa"/>
              <w:bottom w:w="60" w:type="dxa"/>
              <w:end w:w="110" w:type="dxa"/>
            </w:tcMar>
          </w:tcPr>
          <w:p>
            <w:pPr>
              <w:spacing w:after="0"/>
            </w:pPr>
            <w:r/>
            <w:r>
              <w:rPr>
                <w:rFonts w:ascii="Calibri" w:hAnsi="Calibri"/>
                <w:b w:val="0"/>
                <w:i w:val="0"/>
                <w:color w:val="101828"/>
                <w:sz w:val="14"/>
              </w:rPr>
              <w:t>Pilot with 10 to 15 real organisers measuring time per round before and after, not self-reported satisfaction.</w:t>
            </w:r>
          </w:p>
        </w:tc>
        <w:tc>
          <w:tcPr>
            <w:tcW w:type="dxa" w:w="792"/>
            <w:tcMar>
              <w:top w:w="60" w:type="dxa"/>
              <w:start w:w="110" w:type="dxa"/>
              <w:bottom w:w="60" w:type="dxa"/>
              <w:end w:w="110" w:type="dxa"/>
            </w:tcMar>
          </w:tcPr>
          <w:p>
            <w:pPr>
              <w:spacing w:after="0"/>
            </w:pPr>
            <w:r/>
            <w:r>
              <w:rPr>
                <w:rFonts w:ascii="Calibri" w:hAnsi="Calibri"/>
                <w:b w:val="0"/>
                <w:i w:val="0"/>
                <w:color w:val="101828"/>
                <w:sz w:val="14"/>
              </w:rPr>
              <w:t>Founders</w:t>
            </w:r>
          </w:p>
        </w:tc>
        <w:tc>
          <w:tcPr>
            <w:tcW w:type="dxa" w:w="1037"/>
            <w:tcMar>
              <w:top w:w="60" w:type="dxa"/>
              <w:start w:w="110" w:type="dxa"/>
              <w:bottom w:w="60" w:type="dxa"/>
              <w:end w:w="110" w:type="dxa"/>
            </w:tcMar>
          </w:tcPr>
          <w:p>
            <w:pPr>
              <w:spacing w:after="0"/>
            </w:pPr>
            <w:r/>
            <w:r>
              <w:rPr>
                <w:rFonts w:ascii="Calibri" w:hAnsi="Calibri"/>
                <w:b w:val="0"/>
                <w:i w:val="0"/>
                <w:color w:val="101828"/>
                <w:sz w:val="14"/>
              </w:rPr>
              <w:t>Pilot</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4"/>
              </w:rPr>
              <w:t>A-04</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Members will pay on time at least as often as they do in a traditional Ajo, because the record is visible to everyone.</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Social enforcement is stronger when the evidence is shared. This is the core behavioural hypothesis of the product and it is not yet tested.</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Controlled pilot measuring on-time payment rate against the members' own prior traditional Ajo, and against a non-observable control where feasible.</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4"/>
              </w:rPr>
              <w:t>Founders</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Pilot</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4"/>
              </w:rPr>
              <w:t>A-05</w:t>
            </w:r>
          </w:p>
        </w:tc>
        <w:tc>
          <w:tcPr>
            <w:tcW w:type="dxa" w:w="2376"/>
            <w:tcMar>
              <w:top w:w="60" w:type="dxa"/>
              <w:start w:w="110" w:type="dxa"/>
              <w:bottom w:w="60" w:type="dxa"/>
              <w:end w:w="110" w:type="dxa"/>
            </w:tcMar>
          </w:tcPr>
          <w:p>
            <w:pPr>
              <w:spacing w:after="0"/>
            </w:pPr>
            <w:r/>
            <w:r>
              <w:rPr>
                <w:rFonts w:ascii="Calibri" w:hAnsi="Calibri"/>
                <w:b w:val="0"/>
                <w:i w:val="0"/>
                <w:color w:val="101828"/>
                <w:sz w:val="14"/>
              </w:rPr>
              <w:t>ProvidusUnity will provide collection and payout services on terms that leave a positive margin at 2% gross.</w:t>
            </w:r>
          </w:p>
        </w:tc>
        <w:tc>
          <w:tcPr>
            <w:tcW w:type="dxa" w:w="2376"/>
            <w:tcMar>
              <w:top w:w="60" w:type="dxa"/>
              <w:start w:w="110" w:type="dxa"/>
              <w:bottom w:w="60" w:type="dxa"/>
              <w:end w:w="110" w:type="dxa"/>
            </w:tcMar>
          </w:tcPr>
          <w:p>
            <w:pPr>
              <w:spacing w:after="0"/>
            </w:pPr>
            <w:r/>
            <w:r>
              <w:rPr>
                <w:rFonts w:ascii="Calibri" w:hAnsi="Calibri"/>
                <w:b w:val="0"/>
                <w:i w:val="0"/>
                <w:color w:val="101828"/>
                <w:sz w:val="14"/>
              </w:rPr>
              <w:t>Completely unverified. No written pricing has been obtained. D-03 is open.</w:t>
            </w:r>
          </w:p>
        </w:tc>
        <w:tc>
          <w:tcPr>
            <w:tcW w:type="dxa" w:w="2304"/>
            <w:tcMar>
              <w:top w:w="60" w:type="dxa"/>
              <w:start w:w="110" w:type="dxa"/>
              <w:bottom w:w="60" w:type="dxa"/>
              <w:end w:w="110" w:type="dxa"/>
            </w:tcMar>
          </w:tcPr>
          <w:p>
            <w:pPr>
              <w:spacing w:after="0"/>
            </w:pPr>
            <w:r/>
            <w:r>
              <w:rPr>
                <w:rFonts w:ascii="Calibri" w:hAnsi="Calibri"/>
                <w:b w:val="0"/>
                <w:i w:val="0"/>
                <w:color w:val="101828"/>
                <w:sz w:val="14"/>
              </w:rPr>
              <w:t>Obtain written pricing; build the full unit economics model; walk away from the fee model entirely if the margin does not survive.</w:t>
            </w:r>
          </w:p>
        </w:tc>
        <w:tc>
          <w:tcPr>
            <w:tcW w:type="dxa" w:w="792"/>
            <w:tcMar>
              <w:top w:w="60" w:type="dxa"/>
              <w:start w:w="110" w:type="dxa"/>
              <w:bottom w:w="60" w:type="dxa"/>
              <w:end w:w="110" w:type="dxa"/>
            </w:tcMar>
          </w:tcPr>
          <w:p>
            <w:pPr>
              <w:spacing w:after="0"/>
            </w:pPr>
            <w:r/>
            <w:r>
              <w:rPr>
                <w:rFonts w:ascii="Calibri" w:hAnsi="Calibri"/>
                <w:b w:val="0"/>
                <w:i w:val="0"/>
                <w:color w:val="101828"/>
                <w:sz w:val="14"/>
              </w:rPr>
              <w:t>Founders</w:t>
            </w:r>
          </w:p>
        </w:tc>
        <w:tc>
          <w:tcPr>
            <w:tcW w:type="dxa" w:w="1037"/>
            <w:tcMar>
              <w:top w:w="60" w:type="dxa"/>
              <w:start w:w="110" w:type="dxa"/>
              <w:bottom w:w="60" w:type="dxa"/>
              <w:end w:w="110" w:type="dxa"/>
            </w:tcMar>
          </w:tcPr>
          <w:p>
            <w:pPr>
              <w:spacing w:after="0"/>
            </w:pPr>
            <w:r/>
            <w:r>
              <w:rPr>
                <w:rFonts w:ascii="Calibri" w:hAnsi="Calibri"/>
                <w:b w:val="0"/>
                <w:i w:val="0"/>
                <w:color w:val="101828"/>
                <w:sz w:val="14"/>
              </w:rPr>
              <w:t xml:space="preserve">Pre-launch. </w:t>
            </w:r>
            <w:r>
              <w:rPr>
                <w:rFonts w:ascii="Calibri" w:hAnsi="Calibri"/>
                <w:b/>
                <w:color w:val="101828"/>
                <w:sz w:val="14"/>
              </w:rPr>
              <w:t>This gates launch.</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4"/>
              </w:rPr>
              <w:t>A-06</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A compliant and defensible custody path exists that does not require AJO.ng to hold funds as principal.</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Assumed to favour the faster path. It is an assumption, not a finding. D-02 is open.</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Written opinion from qualified Nigerian counsel, and written confirmation from ProvidusUnity of the arrangement.</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4"/>
              </w:rPr>
              <w:t>Legal and Founders</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Pre-launch. </w:t>
            </w:r>
            <w:r>
              <w:rPr>
                <w:rFonts w:ascii="Calibri" w:hAnsi="Calibri"/>
                <w:b/>
                <w:color w:val="101828"/>
                <w:sz w:val="14"/>
              </w:rPr>
              <w:t>This gates launch.</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4"/>
              </w:rPr>
              <w:t>A-07</w:t>
            </w:r>
          </w:p>
        </w:tc>
        <w:tc>
          <w:tcPr>
            <w:tcW w:type="dxa" w:w="2376"/>
            <w:tcMar>
              <w:top w:w="60" w:type="dxa"/>
              <w:start w:w="110" w:type="dxa"/>
              <w:bottom w:w="60" w:type="dxa"/>
              <w:end w:w="110" w:type="dxa"/>
            </w:tcMar>
          </w:tcPr>
          <w:p>
            <w:pPr>
              <w:spacing w:after="0"/>
            </w:pPr>
            <w:r/>
            <w:r>
              <w:rPr>
                <w:rFonts w:ascii="Calibri" w:hAnsi="Calibri"/>
                <w:b w:val="0"/>
                <w:i w:val="0"/>
                <w:color w:val="101828"/>
                <w:sz w:val="14"/>
              </w:rPr>
              <w:t>Target users have or will obtain a smartphone capable of running the app and a means of paying digitally.</w:t>
            </w:r>
          </w:p>
        </w:tc>
        <w:tc>
          <w:tcPr>
            <w:tcW w:type="dxa" w:w="2376"/>
            <w:tcMar>
              <w:top w:w="60" w:type="dxa"/>
              <w:start w:w="110" w:type="dxa"/>
              <w:bottom w:w="60" w:type="dxa"/>
              <w:end w:w="110" w:type="dxa"/>
            </w:tcMar>
          </w:tcPr>
          <w:p>
            <w:pPr>
              <w:spacing w:after="0"/>
            </w:pPr>
            <w:r/>
            <w:r>
              <w:rPr>
                <w:rFonts w:ascii="Calibri" w:hAnsi="Calibri"/>
                <w:b w:val="0"/>
                <w:i w:val="0"/>
                <w:color w:val="101828"/>
                <w:sz w:val="14"/>
              </w:rPr>
              <w:t>Mobile money penetration in Nigeria is high and the target segments are mobile-first by income and occupation.</w:t>
            </w:r>
          </w:p>
        </w:tc>
        <w:tc>
          <w:tcPr>
            <w:tcW w:type="dxa" w:w="2304"/>
            <w:tcMar>
              <w:top w:w="60" w:type="dxa"/>
              <w:start w:w="110" w:type="dxa"/>
              <w:bottom w:w="60" w:type="dxa"/>
              <w:end w:w="110" w:type="dxa"/>
            </w:tcMar>
          </w:tcPr>
          <w:p>
            <w:pPr>
              <w:spacing w:after="0"/>
            </w:pPr>
            <w:r/>
            <w:r>
              <w:rPr>
                <w:rFonts w:ascii="Calibri" w:hAnsi="Calibri"/>
                <w:b w:val="0"/>
                <w:i w:val="0"/>
                <w:color w:val="101828"/>
                <w:sz w:val="14"/>
              </w:rPr>
              <w:t>Device-census onboarding question in the pilot; the low-bandwidth path in NFR-PERF-004 is the mitigation if this proves partly false.</w:t>
            </w:r>
          </w:p>
        </w:tc>
        <w:tc>
          <w:tcPr>
            <w:tcW w:type="dxa" w:w="792"/>
            <w:tcMar>
              <w:top w:w="60" w:type="dxa"/>
              <w:start w:w="110" w:type="dxa"/>
              <w:bottom w:w="60" w:type="dxa"/>
              <w:end w:w="110" w:type="dxa"/>
            </w:tcMar>
          </w:tcPr>
          <w:p>
            <w:pPr>
              <w:spacing w:after="0"/>
            </w:pPr>
            <w:r/>
            <w:r>
              <w:rPr>
                <w:rFonts w:ascii="Calibri" w:hAnsi="Calibri"/>
                <w:b w:val="0"/>
                <w:i w:val="0"/>
                <w:color w:val="101828"/>
                <w:sz w:val="14"/>
              </w:rPr>
              <w:t>Product</w:t>
            </w:r>
          </w:p>
        </w:tc>
        <w:tc>
          <w:tcPr>
            <w:tcW w:type="dxa" w:w="1037"/>
            <w:tcMar>
              <w:top w:w="60" w:type="dxa"/>
              <w:start w:w="110" w:type="dxa"/>
              <w:bottom w:w="60" w:type="dxa"/>
              <w:end w:w="110" w:type="dxa"/>
            </w:tcMar>
          </w:tcPr>
          <w:p>
            <w:pPr>
              <w:spacing w:after="0"/>
            </w:pPr>
            <w:r/>
            <w:r>
              <w:rPr>
                <w:rFonts w:ascii="Calibri" w:hAnsi="Calibri"/>
                <w:b w:val="0"/>
                <w:i w:val="0"/>
                <w:color w:val="101828"/>
                <w:sz w:val="14"/>
              </w:rPr>
              <w:t>Pilot</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4"/>
              </w:rPr>
              <w:t>A-08</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Naira amounts can be represented in kobo integers with half-up rounding applied once, with no divergence between the ledger, the receipt and the statement.</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Standard integer arithmetic; rounding rules are unambiguous if applied at exactly one defined point.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Automated property-based tests over large random amounts and boundary values, plus a fixture that must render identically in export, receipt and statement.</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4"/>
              </w:rPr>
              <w:t>Engineering</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Pre-launch</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4"/>
              </w:rPr>
              <w:t>A-09</w:t>
            </w:r>
          </w:p>
        </w:tc>
        <w:tc>
          <w:tcPr>
            <w:tcW w:type="dxa" w:w="2376"/>
            <w:tcMar>
              <w:top w:w="60" w:type="dxa"/>
              <w:start w:w="110" w:type="dxa"/>
              <w:bottom w:w="60" w:type="dxa"/>
              <w:end w:w="110" w:type="dxa"/>
            </w:tcMar>
          </w:tcPr>
          <w:p>
            <w:pPr>
              <w:spacing w:after="0"/>
            </w:pPr>
            <w:r/>
            <w:r>
              <w:rPr>
                <w:rFonts w:ascii="Calibri" w:hAnsi="Calibri"/>
                <w:b w:val="0"/>
                <w:i w:val="0"/>
                <w:color w:val="101828"/>
                <w:sz w:val="14"/>
              </w:rPr>
              <w:t>The three Year-1 scenarios in section 1.9.3 are a reasonable planning envelope.</w:t>
            </w:r>
          </w:p>
        </w:tc>
        <w:tc>
          <w:tcPr>
            <w:tcW w:type="dxa" w:w="2376"/>
            <w:tcMar>
              <w:top w:w="60" w:type="dxa"/>
              <w:start w:w="110" w:type="dxa"/>
              <w:bottom w:w="60" w:type="dxa"/>
              <w:end w:w="110" w:type="dxa"/>
            </w:tcMar>
          </w:tcPr>
          <w:p>
            <w:pPr>
              <w:spacing w:after="0"/>
            </w:pPr>
            <w:r/>
            <w:r>
              <w:rPr>
                <w:rFonts w:ascii="Calibri" w:hAnsi="Calibri"/>
                <w:b w:val="0"/>
                <w:i w:val="0"/>
                <w:color w:val="101828"/>
                <w:sz w:val="14"/>
              </w:rPr>
              <w:t xml:space="preserve">They are derived from founder judgement aligned to an existing spreadsheet. They are </w:t>
            </w:r>
            <w:r>
              <w:rPr>
                <w:rFonts w:ascii="Calibri" w:hAnsi="Calibri"/>
                <w:b/>
                <w:color w:val="101828"/>
                <w:sz w:val="14"/>
              </w:rPr>
              <w:t>not</w:t>
            </w:r>
            <w:r>
              <w:rPr>
                <w:rFonts w:ascii="Calibri" w:hAnsi="Calibri"/>
                <w:b w:val="0"/>
                <w:i w:val="0"/>
                <w:color w:val="101828"/>
                <w:sz w:val="14"/>
              </w:rPr>
              <w:t xml:space="preserve"> derived from market research, funnel data or any operating history, because none exists.</w:t>
            </w:r>
          </w:p>
        </w:tc>
        <w:tc>
          <w:tcPr>
            <w:tcW w:type="dxa" w:w="2304"/>
            <w:tcMar>
              <w:top w:w="60" w:type="dxa"/>
              <w:start w:w="110" w:type="dxa"/>
              <w:bottom w:w="60" w:type="dxa"/>
              <w:end w:w="110" w:type="dxa"/>
            </w:tcMar>
          </w:tcPr>
          <w:p>
            <w:pPr>
              <w:spacing w:after="0"/>
            </w:pPr>
            <w:r/>
            <w:r>
              <w:rPr>
                <w:rFonts w:ascii="Calibri" w:hAnsi="Calibri"/>
                <w:b w:val="0"/>
                <w:i w:val="0"/>
                <w:color w:val="101828"/>
                <w:sz w:val="14"/>
              </w:rPr>
              <w:t>Replace with actual cohort data as soon as the first 50 Ajos complete. Treat every figure as a projection until then.</w:t>
            </w:r>
          </w:p>
        </w:tc>
        <w:tc>
          <w:tcPr>
            <w:tcW w:type="dxa" w:w="792"/>
            <w:tcMar>
              <w:top w:w="60" w:type="dxa"/>
              <w:start w:w="110" w:type="dxa"/>
              <w:bottom w:w="60" w:type="dxa"/>
              <w:end w:w="110" w:type="dxa"/>
            </w:tcMar>
          </w:tcPr>
          <w:p>
            <w:pPr>
              <w:spacing w:after="0"/>
            </w:pPr>
            <w:r/>
            <w:r>
              <w:rPr>
                <w:rFonts w:ascii="Calibri" w:hAnsi="Calibri"/>
                <w:b w:val="0"/>
                <w:i w:val="0"/>
                <w:color w:val="101828"/>
                <w:sz w:val="14"/>
              </w:rPr>
              <w:t>Founders</w:t>
            </w:r>
          </w:p>
        </w:tc>
        <w:tc>
          <w:tcPr>
            <w:tcW w:type="dxa" w:w="1037"/>
            <w:tcMar>
              <w:top w:w="60" w:type="dxa"/>
              <w:start w:w="110" w:type="dxa"/>
              <w:bottom w:w="60" w:type="dxa"/>
              <w:end w:w="110" w:type="dxa"/>
            </w:tcMar>
          </w:tcPr>
          <w:p>
            <w:pPr>
              <w:spacing w:after="0"/>
            </w:pPr>
            <w:r/>
            <w:r>
              <w:rPr>
                <w:rFonts w:ascii="Calibri" w:hAnsi="Calibri"/>
                <w:b w:val="0"/>
                <w:i w:val="0"/>
                <w:color w:val="101828"/>
                <w:sz w:val="14"/>
              </w:rPr>
              <w:t>Reviewed every quarter from first 50 completed Ajos</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4"/>
              </w:rPr>
              <w:t>A-10</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Default rates will stay low enough that no Ajo is routinely stranded by a single default.</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Untested. The default rate is unknown for both traditional and digital Ajos because it has never been measured.</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Instrument default rate from the first live contribution; revisit the recovery design and the risk thresholds (D-08) as data arrives.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4"/>
              </w:rPr>
              <w:t>Risk</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Reviewed at 30, 60 and 90 days</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4"/>
              </w:rPr>
              <w:t>A-11</w:t>
            </w:r>
          </w:p>
        </w:tc>
        <w:tc>
          <w:tcPr>
            <w:tcW w:type="dxa" w:w="2376"/>
            <w:tcMar>
              <w:top w:w="60" w:type="dxa"/>
              <w:start w:w="110" w:type="dxa"/>
              <w:bottom w:w="60" w:type="dxa"/>
              <w:end w:w="110" w:type="dxa"/>
            </w:tcMar>
          </w:tcPr>
          <w:p>
            <w:pPr>
              <w:spacing w:after="0"/>
            </w:pPr>
            <w:r/>
            <w:r>
              <w:rPr>
                <w:rFonts w:ascii="Calibri" w:hAnsi="Calibri"/>
                <w:b w:val="0"/>
                <w:i w:val="0"/>
                <w:color w:val="101828"/>
                <w:sz w:val="14"/>
              </w:rPr>
              <w:t>Diaspora demand is real, urgent and large enough to matter, but it is not required for the Year-1 case.</w:t>
            </w:r>
          </w:p>
        </w:tc>
        <w:tc>
          <w:tcPr>
            <w:tcW w:type="dxa" w:w="2376"/>
            <w:tcMar>
              <w:top w:w="60" w:type="dxa"/>
              <w:start w:w="110" w:type="dxa"/>
              <w:bottom w:w="60" w:type="dxa"/>
              <w:end w:w="110" w:type="dxa"/>
            </w:tcMar>
          </w:tcPr>
          <w:p>
            <w:pPr>
              <w:spacing w:after="0"/>
            </w:pPr>
            <w:r/>
            <w:r>
              <w:rPr>
                <w:rFonts w:ascii="Calibri" w:hAnsi="Calibri"/>
                <w:b w:val="0"/>
                <w:i w:val="0"/>
                <w:color w:val="101828"/>
                <w:sz w:val="14"/>
              </w:rPr>
              <w:t>The need is evidenced by the persona work and by the frequency of the complaint in the founder's networks, but it is anecdotal.</w:t>
            </w:r>
          </w:p>
        </w:tc>
        <w:tc>
          <w:tcPr>
            <w:tcW w:type="dxa" w:w="2304"/>
            <w:tcMar>
              <w:top w:w="60" w:type="dxa"/>
              <w:start w:w="110" w:type="dxa"/>
              <w:bottom w:w="60" w:type="dxa"/>
              <w:end w:w="110" w:type="dxa"/>
            </w:tcMar>
          </w:tcPr>
          <w:p>
            <w:pPr>
              <w:spacing w:after="0"/>
            </w:pPr>
            <w:r/>
            <w:r>
              <w:rPr>
                <w:rFonts w:ascii="Calibri" w:hAnsi="Calibri"/>
                <w:b w:val="0"/>
                <w:i w:val="0"/>
                <w:color w:val="101828"/>
                <w:sz w:val="14"/>
              </w:rPr>
              <w:t>Structured interviews with diaspora users. Until then, international participation stays out of scope and the segmentation is not claimed as sized.</w:t>
            </w:r>
          </w:p>
        </w:tc>
        <w:tc>
          <w:tcPr>
            <w:tcW w:type="dxa" w:w="792"/>
            <w:tcMar>
              <w:top w:w="60" w:type="dxa"/>
              <w:start w:w="110" w:type="dxa"/>
              <w:bottom w:w="60" w:type="dxa"/>
              <w:end w:w="110" w:type="dxa"/>
            </w:tcMar>
          </w:tcPr>
          <w:p>
            <w:pPr>
              <w:spacing w:after="0"/>
            </w:pPr>
            <w:r/>
            <w:r>
              <w:rPr>
                <w:rFonts w:ascii="Calibri" w:hAnsi="Calibri"/>
                <w:b w:val="0"/>
                <w:i w:val="0"/>
                <w:color w:val="101828"/>
                <w:sz w:val="14"/>
              </w:rPr>
              <w:t>Founders</w:t>
            </w:r>
          </w:p>
        </w:tc>
        <w:tc>
          <w:tcPr>
            <w:tcW w:type="dxa" w:w="1037"/>
            <w:tcMar>
              <w:top w:w="60" w:type="dxa"/>
              <w:start w:w="110" w:type="dxa"/>
              <w:bottom w:w="60" w:type="dxa"/>
              <w:end w:w="110" w:type="dxa"/>
            </w:tcMar>
          </w:tcPr>
          <w:p>
            <w:pPr>
              <w:spacing w:after="0"/>
            </w:pPr>
            <w:r/>
            <w:r>
              <w:rPr>
                <w:rFonts w:ascii="Calibri" w:hAnsi="Calibri"/>
                <w:b w:val="0"/>
                <w:i w:val="0"/>
                <w:color w:val="101828"/>
                <w:sz w:val="14"/>
              </w:rPr>
              <w:t>Post-MVP review</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4"/>
              </w:rPr>
              <w:t>A-12</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Ajo.ng is a facilitator and record-keeper, not a party to the savings arrangement between members.</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This is the only structure that keeps the product's obligations smaller than its promises. It also avoids implying a guarantee.</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Legal review of the terms and of the organizer and member onboarding copy before launch.</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4"/>
              </w:rPr>
              <w:t>Legal and Founders</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Pre-launch</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4"/>
              </w:rPr>
              <w:t>A-13</w:t>
            </w:r>
          </w:p>
        </w:tc>
        <w:tc>
          <w:tcPr>
            <w:tcW w:type="dxa" w:w="2376"/>
            <w:tcMar>
              <w:top w:w="60" w:type="dxa"/>
              <w:start w:w="110" w:type="dxa"/>
              <w:bottom w:w="60" w:type="dxa"/>
              <w:end w:w="110" w:type="dxa"/>
            </w:tcMar>
          </w:tcPr>
          <w:p>
            <w:pPr>
              <w:spacing w:after="0"/>
            </w:pPr>
            <w:r/>
            <w:r>
              <w:rPr>
                <w:rFonts w:ascii="Calibri" w:hAnsi="Calibri"/>
                <w:b w:val="0"/>
                <w:i w:val="0"/>
                <w:color w:val="101828"/>
                <w:sz w:val="14"/>
              </w:rPr>
              <w:t>Members will accept a 5-day enrollment window as reasonable.</w:t>
            </w:r>
          </w:p>
        </w:tc>
        <w:tc>
          <w:tcPr>
            <w:tcW w:type="dxa" w:w="2376"/>
            <w:tcMar>
              <w:top w:w="60" w:type="dxa"/>
              <w:start w:w="110" w:type="dxa"/>
              <w:bottom w:w="60" w:type="dxa"/>
              <w:end w:w="110" w:type="dxa"/>
            </w:tcMar>
          </w:tcPr>
          <w:p>
            <w:pPr>
              <w:spacing w:after="0"/>
            </w:pPr>
            <w:r/>
            <w:r>
              <w:rPr>
                <w:rFonts w:ascii="Calibri" w:hAnsi="Calibri"/>
                <w:b w:val="0"/>
                <w:i w:val="0"/>
                <w:color w:val="101828"/>
                <w:sz w:val="14"/>
              </w:rPr>
              <w:t>The window is short but finite, and it prevents an organizer from holding an incomplete Ajo indefinitely. No user has yet tested the boundary.</w:t>
            </w:r>
          </w:p>
        </w:tc>
        <w:tc>
          <w:tcPr>
            <w:tcW w:type="dxa" w:w="2304"/>
            <w:tcMar>
              <w:top w:w="60" w:type="dxa"/>
              <w:start w:w="110" w:type="dxa"/>
              <w:bottom w:w="60" w:type="dxa"/>
              <w:end w:w="110" w:type="dxa"/>
            </w:tcMar>
          </w:tcPr>
          <w:p>
            <w:pPr>
              <w:spacing w:after="0"/>
            </w:pPr>
            <w:r/>
            <w:r>
              <w:rPr>
                <w:rFonts w:ascii="Calibri" w:hAnsi="Calibri"/>
                <w:b w:val="0"/>
                <w:i w:val="0"/>
                <w:color w:val="101828"/>
                <w:sz w:val="14"/>
              </w:rPr>
              <w:t>Usability test of the countdown and the cancellation-and-refund explanation with 10 users; revise the window only via a versioned business rule change.</w:t>
            </w:r>
          </w:p>
        </w:tc>
        <w:tc>
          <w:tcPr>
            <w:tcW w:type="dxa" w:w="792"/>
            <w:tcMar>
              <w:top w:w="60" w:type="dxa"/>
              <w:start w:w="110" w:type="dxa"/>
              <w:bottom w:w="60" w:type="dxa"/>
              <w:end w:w="110" w:type="dxa"/>
            </w:tcMar>
          </w:tcPr>
          <w:p>
            <w:pPr>
              <w:spacing w:after="0"/>
            </w:pPr>
            <w:r/>
            <w:r>
              <w:rPr>
                <w:rFonts w:ascii="Calibri" w:hAnsi="Calibri"/>
                <w:b w:val="0"/>
                <w:i w:val="0"/>
                <w:color w:val="101828"/>
                <w:sz w:val="14"/>
              </w:rPr>
              <w:t>Product</w:t>
            </w:r>
          </w:p>
        </w:tc>
        <w:tc>
          <w:tcPr>
            <w:tcW w:type="dxa" w:w="1037"/>
            <w:tcMar>
              <w:top w:w="60" w:type="dxa"/>
              <w:start w:w="110" w:type="dxa"/>
              <w:bottom w:w="60" w:type="dxa"/>
              <w:end w:w="110" w:type="dxa"/>
            </w:tcMar>
          </w:tcPr>
          <w:p>
            <w:pPr>
              <w:spacing w:after="0"/>
            </w:pPr>
            <w:r/>
            <w:r>
              <w:rPr>
                <w:rFonts w:ascii="Calibri" w:hAnsi="Calibri"/>
                <w:b w:val="0"/>
                <w:i w:val="0"/>
                <w:color w:val="101828"/>
                <w:sz w:val="14"/>
              </w:rPr>
              <w:t>Pre-launch</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4"/>
              </w:rPr>
              <w:t>A-14</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Two notifications per round is the right volume for the silent majority member.</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Derived from the Chidi persona and from the notification catalogue in CANONICAL.md, not from behavioural data.</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Notification opt-out and uninstall rate monitoring during the pilot, segmented by member activity.</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4"/>
              </w:rPr>
              <w:t>Product</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Pilot</w:t>
            </w:r>
          </w:p>
        </w:tc>
      </w:tr>
    </w:tbl>
    <w:p>
      <w:pPr>
        <w:spacing w:after="80"/>
      </w:pPr>
    </w:p>
    <w:p>
      <w:pPr>
        <w:spacing w:before="140" w:after="180"/>
        <w:ind w:left="144"/>
        <w:shd w:val="clear" w:color="auto" w:fill="FEF3C7"/>
        <w:pBdr>
          <w:left w:val="single" w:sz="18" w:space="6" w:color="FBBF24"/>
        </w:pBdr>
      </w:pPr>
      <w:r>
        <w:rPr>
          <w:rFonts w:ascii="Calibri" w:hAnsi="Calibri"/>
          <w:b/>
          <w:color w:val="FBBF24"/>
          <w:sz w:val="19"/>
        </w:rPr>
        <w:t xml:space="preserve">Two assumptions gate launch  </w:t>
      </w:r>
      <w:r>
        <w:rPr>
          <w:rFonts w:ascii="Calibri" w:hAnsi="Calibri"/>
          <w:b/>
          <w:color w:val="0B1F3A"/>
          <w:sz w:val="19"/>
        </w:rPr>
        <w:t>A-05 and A-06 gate launch, not growth.</w:t>
      </w:r>
      <w:r>
        <w:rPr>
          <w:rFonts w:ascii="Calibri" w:hAnsi="Calibri"/>
          <w:b w:val="0"/>
          <w:i w:val="0"/>
          <w:color w:val="0B1F3A"/>
          <w:sz w:val="19"/>
        </w:rPr>
        <w:t xml:space="preserve"> If the 2% fee does not leave a sustainable margin after provider charges, or if no defensible custody path exists, then the fee model or the product model must change, and that is a decision to take deliberately and early rather than to discover after members have been onboarded. Both are open decisions </w:t>
      </w:r>
      <w:r>
        <w:rPr>
          <w:rFonts w:ascii="Calibri" w:hAnsi="Calibri"/>
          <w:b/>
          <w:color w:val="0B1F3A"/>
          <w:sz w:val="19"/>
        </w:rPr>
        <w:t>D-02</w:t>
      </w:r>
      <w:r>
        <w:rPr>
          <w:rFonts w:ascii="Calibri" w:hAnsi="Calibri"/>
          <w:b w:val="0"/>
          <w:i w:val="0"/>
          <w:color w:val="0B1F3A"/>
          <w:sz w:val="19"/>
        </w:rPr>
        <w:t xml:space="preserve"> and </w:t>
      </w:r>
      <w:r>
        <w:rPr>
          <w:rFonts w:ascii="Calibri" w:hAnsi="Calibri"/>
          <w:b/>
          <w:color w:val="0B1F3A"/>
          <w:sz w:val="19"/>
        </w:rPr>
        <w:t>D-03</w:t>
      </w:r>
      <w:r>
        <w:rPr>
          <w:rFonts w:ascii="Calibri" w:hAnsi="Calibri"/>
          <w:b w:val="0"/>
          <w:i w:val="0"/>
          <w:color w:val="0B1F3A"/>
          <w:sz w:val="19"/>
        </w:rPr>
        <w:t xml:space="preserve"> in CANONICAL.md.</w:t>
      </w:r>
    </w:p>
    <w:p>
      <w:pPr>
        <w:pStyle w:val="Heading2"/>
      </w:pPr>
      <w:r>
        <w:rPr>
          <w:rFonts w:ascii="Calibri" w:hAnsi="Calibri"/>
          <w:b/>
          <w:i w:val="0"/>
          <w:color w:val="146EF5"/>
          <w:sz w:val="29"/>
        </w:rPr>
        <w:t>1.23 Dependencies</w:t>
      </w:r>
    </w:p>
    <w:p>
      <w:r>
        <w:rPr>
          <w:rFonts w:ascii="Calibri" w:hAnsi="Calibri"/>
          <w:b w:val="0"/>
          <w:i w:val="0"/>
          <w:color w:val="101828"/>
          <w:sz w:val="21"/>
        </w:rPr>
        <w:t>Dependencies are things outside the product's control that the product cannot work without, or works worse without. A dependency with no owner is a risk, not a dependency.</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4"/>
              </w:rPr>
              <w:t>ID</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4"/>
              </w:rPr>
              <w:t>Dependency</w:t>
            </w:r>
          </w:p>
        </w:tc>
        <w:tc>
          <w:tcPr>
            <w:tcW w:type="dxa" w:w="1224"/>
            <w:shd w:val="clear" w:color="auto" w:fill="0B1F3A"/>
            <w:tcMar>
              <w:top w:w="60" w:type="dxa"/>
              <w:start w:w="110" w:type="dxa"/>
              <w:bottom w:w="60" w:type="dxa"/>
              <w:end w:w="110" w:type="dxa"/>
            </w:tcMar>
          </w:tcPr>
          <w:p>
            <w:pPr>
              <w:spacing w:after="0"/>
            </w:pPr>
            <w:r/>
            <w:r>
              <w:rPr>
                <w:rFonts w:ascii="Calibri" w:hAnsi="Calibri"/>
                <w:b/>
                <w:i w:val="0"/>
                <w:color w:val="FFFFFF"/>
                <w:sz w:val="14"/>
              </w:rPr>
              <w:t>Type</w:t>
            </w:r>
          </w:p>
        </w:tc>
        <w:tc>
          <w:tcPr>
            <w:tcW w:type="dxa" w:w="2376"/>
            <w:shd w:val="clear" w:color="auto" w:fill="0B1F3A"/>
            <w:tcMar>
              <w:top w:w="60" w:type="dxa"/>
              <w:start w:w="110" w:type="dxa"/>
              <w:bottom w:w="60" w:type="dxa"/>
              <w:end w:w="110" w:type="dxa"/>
            </w:tcMar>
          </w:tcPr>
          <w:p>
            <w:pPr>
              <w:spacing w:after="0"/>
            </w:pPr>
            <w:r/>
            <w:r>
              <w:rPr>
                <w:rFonts w:ascii="Calibri" w:hAnsi="Calibri"/>
                <w:b/>
                <w:i w:val="0"/>
                <w:color w:val="FFFFFF"/>
                <w:sz w:val="14"/>
              </w:rPr>
              <w:t>Needed for</w:t>
            </w:r>
          </w:p>
        </w:tc>
        <w:tc>
          <w:tcPr>
            <w:tcW w:type="dxa" w:w="936"/>
            <w:shd w:val="clear" w:color="auto" w:fill="0B1F3A"/>
            <w:tcMar>
              <w:top w:w="60" w:type="dxa"/>
              <w:start w:w="110" w:type="dxa"/>
              <w:bottom w:w="60" w:type="dxa"/>
              <w:end w:w="110" w:type="dxa"/>
            </w:tcMar>
          </w:tcPr>
          <w:p>
            <w:pPr>
              <w:spacing w:after="0"/>
            </w:pPr>
            <w:r/>
            <w:r>
              <w:rPr>
                <w:rFonts w:ascii="Calibri" w:hAnsi="Calibri"/>
                <w:b/>
                <w:i w:val="0"/>
                <w:color w:val="FFFFFF"/>
                <w:sz w:val="14"/>
              </w:rPr>
              <w:t>Owner</w:t>
            </w:r>
          </w:p>
        </w:tc>
        <w:tc>
          <w:tcPr>
            <w:tcW w:type="dxa" w:w="1800"/>
            <w:shd w:val="clear" w:color="auto" w:fill="0B1F3A"/>
            <w:tcMar>
              <w:top w:w="60" w:type="dxa"/>
              <w:start w:w="110" w:type="dxa"/>
              <w:bottom w:w="60" w:type="dxa"/>
              <w:end w:w="110" w:type="dxa"/>
            </w:tcMar>
          </w:tcPr>
          <w:p>
            <w:pPr>
              <w:spacing w:after="0"/>
            </w:pPr>
            <w:r/>
            <w:r>
              <w:rPr>
                <w:rFonts w:ascii="Calibri" w:hAnsi="Calibri"/>
                <w:b/>
                <w:i w:val="0"/>
                <w:color w:val="FFFFFF"/>
                <w:sz w:val="14"/>
              </w:rPr>
              <w:t>Status</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4"/>
              </w:rPr>
              <w:t>DEP-01</w:t>
            </w:r>
          </w:p>
        </w:tc>
        <w:tc>
          <w:tcPr>
            <w:tcW w:type="dxa" w:w="2304"/>
            <w:tcMar>
              <w:top w:w="60" w:type="dxa"/>
              <w:start w:w="110" w:type="dxa"/>
              <w:bottom w:w="60" w:type="dxa"/>
              <w:end w:w="110" w:type="dxa"/>
            </w:tcMar>
          </w:tcPr>
          <w:p>
            <w:pPr>
              <w:spacing w:after="0"/>
            </w:pPr>
            <w:r/>
            <w:r>
              <w:rPr>
                <w:rFonts w:ascii="Calibri" w:hAnsi="Calibri"/>
                <w:b w:val="0"/>
                <w:i w:val="0"/>
                <w:color w:val="101828"/>
                <w:sz w:val="14"/>
              </w:rPr>
              <w:t>ProvidusUnity, as payment and collection partner</w:t>
            </w:r>
          </w:p>
        </w:tc>
        <w:tc>
          <w:tcPr>
            <w:tcW w:type="dxa" w:w="1224"/>
            <w:tcMar>
              <w:top w:w="60" w:type="dxa"/>
              <w:start w:w="110" w:type="dxa"/>
              <w:bottom w:w="60" w:type="dxa"/>
              <w:end w:w="110" w:type="dxa"/>
            </w:tcMar>
          </w:tcPr>
          <w:p>
            <w:pPr>
              <w:spacing w:after="0"/>
            </w:pPr>
            <w:r/>
            <w:r>
              <w:rPr>
                <w:rFonts w:ascii="Calibri" w:hAnsi="Calibri"/>
                <w:b w:val="0"/>
                <w:i w:val="0"/>
                <w:color w:val="101828"/>
                <w:sz w:val="14"/>
              </w:rPr>
              <w:t>External, commercial</w:t>
            </w:r>
          </w:p>
        </w:tc>
        <w:tc>
          <w:tcPr>
            <w:tcW w:type="dxa" w:w="2376"/>
            <w:tcMar>
              <w:top w:w="60" w:type="dxa"/>
              <w:start w:w="110" w:type="dxa"/>
              <w:bottom w:w="60" w:type="dxa"/>
              <w:end w:w="110" w:type="dxa"/>
            </w:tcMar>
          </w:tcPr>
          <w:p>
            <w:pPr>
              <w:spacing w:after="0"/>
            </w:pPr>
            <w:r/>
            <w:r>
              <w:rPr>
                <w:rFonts w:ascii="Calibri" w:hAnsi="Calibri"/>
                <w:b w:val="0"/>
                <w:i w:val="0"/>
                <w:color w:val="101828"/>
                <w:sz w:val="14"/>
              </w:rPr>
              <w:t>Collection, payout, reconciliation, the entire money path</w:t>
            </w:r>
          </w:p>
        </w:tc>
        <w:tc>
          <w:tcPr>
            <w:tcW w:type="dxa" w:w="936"/>
            <w:tcMar>
              <w:top w:w="60" w:type="dxa"/>
              <w:start w:w="110" w:type="dxa"/>
              <w:bottom w:w="60" w:type="dxa"/>
              <w:end w:w="110" w:type="dxa"/>
            </w:tcMar>
          </w:tcPr>
          <w:p>
            <w:pPr>
              <w:spacing w:after="0"/>
            </w:pPr>
            <w:r/>
            <w:r>
              <w:rPr>
                <w:rFonts w:ascii="Calibri" w:hAnsi="Calibri"/>
                <w:b w:val="0"/>
                <w:i w:val="0"/>
                <w:color w:val="101828"/>
                <w:sz w:val="14"/>
              </w:rPr>
              <w:t>Founders</w:t>
            </w:r>
          </w:p>
        </w:tc>
        <w:tc>
          <w:tcPr>
            <w:tcW w:type="dxa" w:w="1800"/>
            <w:tcMar>
              <w:top w:w="60" w:type="dxa"/>
              <w:start w:w="110" w:type="dxa"/>
              <w:bottom w:w="60" w:type="dxa"/>
              <w:end w:w="110" w:type="dxa"/>
            </w:tcMar>
          </w:tcPr>
          <w:p>
            <w:pPr>
              <w:spacing w:after="0"/>
            </w:pPr>
            <w:r/>
            <w:r>
              <w:rPr>
                <w:rFonts w:ascii="Calibri" w:hAnsi="Calibri"/>
                <w:b w:val="0"/>
                <w:i w:val="0"/>
                <w:color w:val="101828"/>
                <w:sz w:val="14"/>
              </w:rPr>
              <w:t xml:space="preserve">Not contracted. </w:t>
            </w:r>
            <w:r>
              <w:rPr>
                <w:rFonts w:ascii="Calibri" w:hAnsi="Calibri"/>
                <w:b/>
                <w:color w:val="101828"/>
                <w:sz w:val="14"/>
              </w:rPr>
              <w:t>This is the largest single dependency in the product.</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DEP-02</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ProvidusUnity written pricing and SLA</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External, commercial</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Unit economics (BO3), publicising the 2% fee, NFR-PERF-003</w:t>
            </w:r>
          </w:p>
        </w:tc>
        <w:tc>
          <w:tcPr>
            <w:tcW w:type="dxa" w:w="936"/>
            <w:tcMar>
              <w:top w:w="60" w:type="dxa"/>
              <w:start w:w="110" w:type="dxa"/>
              <w:bottom w:w="60" w:type="dxa"/>
              <w:end w:w="110" w:type="dxa"/>
            </w:tcMar>
            <w:shd w:val="clear" w:color="auto" w:fill="F4F7FB"/>
          </w:tcPr>
          <w:p>
            <w:pPr>
              <w:spacing w:after="0"/>
            </w:pPr>
            <w:r/>
            <w:r>
              <w:rPr>
                <w:rFonts w:ascii="Calibri" w:hAnsi="Calibri"/>
                <w:b w:val="0"/>
                <w:i w:val="0"/>
                <w:color w:val="101828"/>
                <w:sz w:val="14"/>
              </w:rPr>
              <w:t>Founders</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Not obtained. Open decision D-03.</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4"/>
              </w:rPr>
              <w:t>DEP-03</w:t>
            </w:r>
          </w:p>
        </w:tc>
        <w:tc>
          <w:tcPr>
            <w:tcW w:type="dxa" w:w="2304"/>
            <w:tcMar>
              <w:top w:w="60" w:type="dxa"/>
              <w:start w:w="110" w:type="dxa"/>
              <w:bottom w:w="60" w:type="dxa"/>
              <w:end w:w="110" w:type="dxa"/>
            </w:tcMar>
          </w:tcPr>
          <w:p>
            <w:pPr>
              <w:spacing w:after="0"/>
            </w:pPr>
            <w:r/>
            <w:r>
              <w:rPr>
                <w:rFonts w:ascii="Calibri" w:hAnsi="Calibri"/>
                <w:b w:val="0"/>
                <w:i w:val="0"/>
                <w:color w:val="101828"/>
                <w:sz w:val="14"/>
              </w:rPr>
              <w:t>ProvidusUnity confirmation of the custody arrangement</w:t>
            </w:r>
          </w:p>
        </w:tc>
        <w:tc>
          <w:tcPr>
            <w:tcW w:type="dxa" w:w="1224"/>
            <w:tcMar>
              <w:top w:w="60" w:type="dxa"/>
              <w:start w:w="110" w:type="dxa"/>
              <w:bottom w:w="60" w:type="dxa"/>
              <w:end w:w="110" w:type="dxa"/>
            </w:tcMar>
          </w:tcPr>
          <w:p>
            <w:pPr>
              <w:spacing w:after="0"/>
            </w:pPr>
            <w:r/>
            <w:r>
              <w:rPr>
                <w:rFonts w:ascii="Calibri" w:hAnsi="Calibri"/>
                <w:b w:val="0"/>
                <w:i w:val="0"/>
                <w:color w:val="101828"/>
                <w:sz w:val="14"/>
              </w:rPr>
              <w:t>External, regulatory</w:t>
            </w:r>
          </w:p>
        </w:tc>
        <w:tc>
          <w:tcPr>
            <w:tcW w:type="dxa" w:w="2376"/>
            <w:tcMar>
              <w:top w:w="60" w:type="dxa"/>
              <w:start w:w="110" w:type="dxa"/>
              <w:bottom w:w="60" w:type="dxa"/>
              <w:end w:w="110" w:type="dxa"/>
            </w:tcMar>
          </w:tcPr>
          <w:p>
            <w:pPr>
              <w:spacing w:after="0"/>
            </w:pPr>
            <w:r/>
            <w:r>
              <w:rPr>
                <w:rFonts w:ascii="Calibri" w:hAnsi="Calibri"/>
                <w:b w:val="0"/>
                <w:i w:val="0"/>
                <w:color w:val="101828"/>
                <w:sz w:val="14"/>
              </w:rPr>
              <w:t>Licensing path, BR-022, whether AJO.ng ever holds funds</w:t>
            </w:r>
          </w:p>
        </w:tc>
        <w:tc>
          <w:tcPr>
            <w:tcW w:type="dxa" w:w="936"/>
            <w:tcMar>
              <w:top w:w="60" w:type="dxa"/>
              <w:start w:w="110" w:type="dxa"/>
              <w:bottom w:w="60" w:type="dxa"/>
              <w:end w:w="110" w:type="dxa"/>
            </w:tcMar>
          </w:tcPr>
          <w:p>
            <w:pPr>
              <w:spacing w:after="0"/>
            </w:pPr>
            <w:r/>
            <w:r>
              <w:rPr>
                <w:rFonts w:ascii="Calibri" w:hAnsi="Calibri"/>
                <w:b w:val="0"/>
                <w:i w:val="0"/>
                <w:color w:val="101828"/>
                <w:sz w:val="14"/>
              </w:rPr>
              <w:t>Legal and Founders</w:t>
            </w:r>
          </w:p>
        </w:tc>
        <w:tc>
          <w:tcPr>
            <w:tcW w:type="dxa" w:w="1800"/>
            <w:tcMar>
              <w:top w:w="60" w:type="dxa"/>
              <w:start w:w="110" w:type="dxa"/>
              <w:bottom w:w="60" w:type="dxa"/>
              <w:end w:w="110" w:type="dxa"/>
            </w:tcMar>
          </w:tcPr>
          <w:p>
            <w:pPr>
              <w:spacing w:after="0"/>
            </w:pPr>
            <w:r/>
            <w:r>
              <w:rPr>
                <w:rFonts w:ascii="Calibri" w:hAnsi="Calibri"/>
                <w:b w:val="0"/>
                <w:i w:val="0"/>
                <w:color w:val="101828"/>
                <w:sz w:val="14"/>
              </w:rPr>
              <w:t xml:space="preserve">Unresolved. Open decision D-02. </w:t>
            </w:r>
            <w:r>
              <w:rPr>
                <w:rFonts w:ascii="Calibri" w:hAnsi="Calibri"/>
                <w:b/>
                <w:color w:val="101828"/>
                <w:sz w:val="14"/>
              </w:rPr>
              <w:t>Gates launch.</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DEP-04</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Identity verification providers for BVN and CAC</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External, technical</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FR-KYC-001, FR-KYC-002, D-04</w:t>
            </w:r>
          </w:p>
        </w:tc>
        <w:tc>
          <w:tcPr>
            <w:tcW w:type="dxa" w:w="936"/>
            <w:tcMar>
              <w:top w:w="60" w:type="dxa"/>
              <w:start w:w="110" w:type="dxa"/>
              <w:bottom w:w="60" w:type="dxa"/>
              <w:end w:w="110" w:type="dxa"/>
            </w:tcMar>
            <w:shd w:val="clear" w:color="auto" w:fill="F4F7FB"/>
          </w:tcPr>
          <w:p>
            <w:pPr>
              <w:spacing w:after="0"/>
            </w:pPr>
            <w:r/>
            <w:r>
              <w:rPr>
                <w:rFonts w:ascii="Calibri" w:hAnsi="Calibri"/>
                <w:b w:val="0"/>
                <w:i w:val="0"/>
                <w:color w:val="101828"/>
                <w:sz w:val="14"/>
              </w:rPr>
              <w:t>Engineering and Risk</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Not selected</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4"/>
              </w:rPr>
              <w:t>DEP-05</w:t>
            </w:r>
          </w:p>
        </w:tc>
        <w:tc>
          <w:tcPr>
            <w:tcW w:type="dxa" w:w="2304"/>
            <w:tcMar>
              <w:top w:w="60" w:type="dxa"/>
              <w:start w:w="110" w:type="dxa"/>
              <w:bottom w:w="60" w:type="dxa"/>
              <w:end w:w="110" w:type="dxa"/>
            </w:tcMar>
          </w:tcPr>
          <w:p>
            <w:pPr>
              <w:spacing w:after="0"/>
            </w:pPr>
            <w:r/>
            <w:r>
              <w:rPr>
                <w:rFonts w:ascii="Calibri" w:hAnsi="Calibri"/>
                <w:b w:val="0"/>
                <w:i w:val="0"/>
                <w:color w:val="101828"/>
                <w:sz w:val="14"/>
              </w:rPr>
              <w:t>SMS gateway and short-code registration</w:t>
            </w:r>
          </w:p>
        </w:tc>
        <w:tc>
          <w:tcPr>
            <w:tcW w:type="dxa" w:w="1224"/>
            <w:tcMar>
              <w:top w:w="60" w:type="dxa"/>
              <w:start w:w="110" w:type="dxa"/>
              <w:bottom w:w="60" w:type="dxa"/>
              <w:end w:w="110" w:type="dxa"/>
            </w:tcMar>
          </w:tcPr>
          <w:p>
            <w:pPr>
              <w:spacing w:after="0"/>
            </w:pPr>
            <w:r/>
            <w:r>
              <w:rPr>
                <w:rFonts w:ascii="Calibri" w:hAnsi="Calibri"/>
                <w:b w:val="0"/>
                <w:i w:val="0"/>
                <w:color w:val="101828"/>
                <w:sz w:val="14"/>
              </w:rPr>
              <w:t>External, technical</w:t>
            </w:r>
          </w:p>
        </w:tc>
        <w:tc>
          <w:tcPr>
            <w:tcW w:type="dxa" w:w="2376"/>
            <w:tcMar>
              <w:top w:w="60" w:type="dxa"/>
              <w:start w:w="110" w:type="dxa"/>
              <w:bottom w:w="60" w:type="dxa"/>
              <w:end w:w="110" w:type="dxa"/>
            </w:tcMar>
          </w:tcPr>
          <w:p>
            <w:pPr>
              <w:spacing w:after="0"/>
            </w:pPr>
            <w:r/>
            <w:r>
              <w:rPr>
                <w:rFonts w:ascii="Calibri" w:hAnsi="Calibri"/>
                <w:b w:val="0"/>
                <w:i w:val="0"/>
                <w:color w:val="101828"/>
                <w:sz w:val="14"/>
              </w:rPr>
              <w:t>The SMS channel for money-critical and security events, which is the only channel some members will reliably receive</w:t>
            </w:r>
          </w:p>
        </w:tc>
        <w:tc>
          <w:tcPr>
            <w:tcW w:type="dxa" w:w="936"/>
            <w:tcMar>
              <w:top w:w="60" w:type="dxa"/>
              <w:start w:w="110" w:type="dxa"/>
              <w:bottom w:w="60" w:type="dxa"/>
              <w:end w:w="110" w:type="dxa"/>
            </w:tcMar>
          </w:tcPr>
          <w:p>
            <w:pPr>
              <w:spacing w:after="0"/>
            </w:pPr>
            <w:r/>
            <w:r>
              <w:rPr>
                <w:rFonts w:ascii="Calibri" w:hAnsi="Calibri"/>
                <w:b w:val="0"/>
                <w:i w:val="0"/>
                <w:color w:val="101828"/>
                <w:sz w:val="14"/>
              </w:rPr>
              <w:t>Engineering</w:t>
            </w:r>
          </w:p>
        </w:tc>
        <w:tc>
          <w:tcPr>
            <w:tcW w:type="dxa" w:w="1800"/>
            <w:tcMar>
              <w:top w:w="60" w:type="dxa"/>
              <w:start w:w="110" w:type="dxa"/>
              <w:bottom w:w="60" w:type="dxa"/>
              <w:end w:w="110" w:type="dxa"/>
            </w:tcMar>
          </w:tcPr>
          <w:p>
            <w:pPr>
              <w:spacing w:after="0"/>
            </w:pPr>
            <w:r/>
            <w:r>
              <w:rPr>
                <w:rFonts w:ascii="Calibri" w:hAnsi="Calibri"/>
                <w:b w:val="0"/>
                <w:i w:val="0"/>
                <w:color w:val="101828"/>
                <w:sz w:val="14"/>
              </w:rPr>
              <w:t>Not selected. Short-code registration in Nigeria requires regulatory process and cannot be compressed.</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DEP-06</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Push notification service</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External, technical</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FR-NOTIF-001 across push</w:t>
            </w:r>
          </w:p>
        </w:tc>
        <w:tc>
          <w:tcPr>
            <w:tcW w:type="dxa" w:w="936"/>
            <w:tcMar>
              <w:top w:w="60" w:type="dxa"/>
              <w:start w:w="110" w:type="dxa"/>
              <w:bottom w:w="60" w:type="dxa"/>
              <w:end w:w="110" w:type="dxa"/>
            </w:tcMar>
            <w:shd w:val="clear" w:color="auto" w:fill="F4F7FB"/>
          </w:tcPr>
          <w:p>
            <w:pPr>
              <w:spacing w:after="0"/>
            </w:pPr>
            <w:r/>
            <w:r>
              <w:rPr>
                <w:rFonts w:ascii="Calibri" w:hAnsi="Calibri"/>
                <w:b w:val="0"/>
                <w:i w:val="0"/>
                <w:color w:val="101828"/>
                <w:sz w:val="14"/>
              </w:rPr>
              <w:t>Engineering</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Not selected</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4"/>
              </w:rPr>
              <w:t>DEP-07</w:t>
            </w:r>
          </w:p>
        </w:tc>
        <w:tc>
          <w:tcPr>
            <w:tcW w:type="dxa" w:w="2304"/>
            <w:tcMar>
              <w:top w:w="60" w:type="dxa"/>
              <w:start w:w="110" w:type="dxa"/>
              <w:bottom w:w="60" w:type="dxa"/>
              <w:end w:w="110" w:type="dxa"/>
            </w:tcMar>
          </w:tcPr>
          <w:p>
            <w:pPr>
              <w:spacing w:after="0"/>
            </w:pPr>
            <w:r/>
            <w:r>
              <w:rPr>
                <w:rFonts w:ascii="Calibri" w:hAnsi="Calibri"/>
                <w:b w:val="0"/>
                <w:i w:val="0"/>
                <w:color w:val="101828"/>
                <w:sz w:val="14"/>
              </w:rPr>
              <w:t>Email delivery service with domain authentication</w:t>
            </w:r>
          </w:p>
        </w:tc>
        <w:tc>
          <w:tcPr>
            <w:tcW w:type="dxa" w:w="1224"/>
            <w:tcMar>
              <w:top w:w="60" w:type="dxa"/>
              <w:start w:w="110" w:type="dxa"/>
              <w:bottom w:w="60" w:type="dxa"/>
              <w:end w:w="110" w:type="dxa"/>
            </w:tcMar>
          </w:tcPr>
          <w:p>
            <w:pPr>
              <w:spacing w:after="0"/>
            </w:pPr>
            <w:r/>
            <w:r>
              <w:rPr>
                <w:rFonts w:ascii="Calibri" w:hAnsi="Calibri"/>
                <w:b w:val="0"/>
                <w:i w:val="0"/>
                <w:color w:val="101828"/>
                <w:sz w:val="14"/>
              </w:rPr>
              <w:t>External, technical</w:t>
            </w:r>
          </w:p>
        </w:tc>
        <w:tc>
          <w:tcPr>
            <w:tcW w:type="dxa" w:w="2376"/>
            <w:tcMar>
              <w:top w:w="60" w:type="dxa"/>
              <w:start w:w="110" w:type="dxa"/>
              <w:bottom w:w="60" w:type="dxa"/>
              <w:end w:w="110" w:type="dxa"/>
            </w:tcMar>
          </w:tcPr>
          <w:p>
            <w:pPr>
              <w:spacing w:after="0"/>
            </w:pPr>
            <w:r/>
            <w:r>
              <w:rPr>
                <w:rFonts w:ascii="Calibri" w:hAnsi="Calibri"/>
                <w:b w:val="0"/>
                <w:i w:val="0"/>
                <w:color w:val="101828"/>
                <w:sz w:val="14"/>
              </w:rPr>
              <w:t>Verification, receipts, statements, security alerts</w:t>
            </w:r>
          </w:p>
        </w:tc>
        <w:tc>
          <w:tcPr>
            <w:tcW w:type="dxa" w:w="936"/>
            <w:tcMar>
              <w:top w:w="60" w:type="dxa"/>
              <w:start w:w="110" w:type="dxa"/>
              <w:bottom w:w="60" w:type="dxa"/>
              <w:end w:w="110" w:type="dxa"/>
            </w:tcMar>
          </w:tcPr>
          <w:p>
            <w:pPr>
              <w:spacing w:after="0"/>
            </w:pPr>
            <w:r/>
            <w:r>
              <w:rPr>
                <w:rFonts w:ascii="Calibri" w:hAnsi="Calibri"/>
                <w:b w:val="0"/>
                <w:i w:val="0"/>
                <w:color w:val="101828"/>
                <w:sz w:val="14"/>
              </w:rPr>
              <w:t>Engineering</w:t>
            </w:r>
          </w:p>
        </w:tc>
        <w:tc>
          <w:tcPr>
            <w:tcW w:type="dxa" w:w="1800"/>
            <w:tcMar>
              <w:top w:w="60" w:type="dxa"/>
              <w:start w:w="110" w:type="dxa"/>
              <w:bottom w:w="60" w:type="dxa"/>
              <w:end w:w="110" w:type="dxa"/>
            </w:tcMar>
          </w:tcPr>
          <w:p>
            <w:pPr>
              <w:spacing w:after="0"/>
            </w:pPr>
            <w:r/>
            <w:r>
              <w:rPr>
                <w:rFonts w:ascii="Calibri" w:hAnsi="Calibri"/>
                <w:b w:val="0"/>
                <w:i w:val="0"/>
                <w:color w:val="101828"/>
                <w:sz w:val="14"/>
              </w:rPr>
              <w:t>Not selected</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DEP-08</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Qualified Nigerian legal counsel</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External, professional</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Terms, role descriptions, organizer liability wording, data protection, licensing</w:t>
            </w:r>
          </w:p>
        </w:tc>
        <w:tc>
          <w:tcPr>
            <w:tcW w:type="dxa" w:w="936"/>
            <w:tcMar>
              <w:top w:w="60" w:type="dxa"/>
              <w:start w:w="110" w:type="dxa"/>
              <w:bottom w:w="60" w:type="dxa"/>
              <w:end w:w="110" w:type="dxa"/>
            </w:tcMar>
            <w:shd w:val="clear" w:color="auto" w:fill="F4F7FB"/>
          </w:tcPr>
          <w:p>
            <w:pPr>
              <w:spacing w:after="0"/>
            </w:pPr>
            <w:r/>
            <w:r>
              <w:rPr>
                <w:rFonts w:ascii="Calibri" w:hAnsi="Calibri"/>
                <w:b w:val="0"/>
                <w:i w:val="0"/>
                <w:color w:val="101828"/>
                <w:sz w:val="14"/>
              </w:rPr>
              <w:t>Founders</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Not engaged. </w:t>
            </w:r>
            <w:r>
              <w:rPr>
                <w:rFonts w:ascii="Calibri" w:hAnsi="Calibri"/>
                <w:b/>
                <w:color w:val="101828"/>
                <w:sz w:val="14"/>
              </w:rPr>
              <w:t>Gates launch.</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4"/>
              </w:rPr>
              <w:t>DEP-09</w:t>
            </w:r>
          </w:p>
        </w:tc>
        <w:tc>
          <w:tcPr>
            <w:tcW w:type="dxa" w:w="2304"/>
            <w:tcMar>
              <w:top w:w="60" w:type="dxa"/>
              <w:start w:w="110" w:type="dxa"/>
              <w:bottom w:w="60" w:type="dxa"/>
              <w:end w:w="110" w:type="dxa"/>
            </w:tcMar>
          </w:tcPr>
          <w:p>
            <w:pPr>
              <w:spacing w:after="0"/>
            </w:pPr>
            <w:r/>
            <w:r>
              <w:rPr>
                <w:rFonts w:ascii="Calibri" w:hAnsi="Calibri"/>
                <w:b w:val="0"/>
                <w:i w:val="0"/>
                <w:color w:val="101828"/>
                <w:sz w:val="14"/>
              </w:rPr>
              <w:t>Qualified Nigerian tax adviser</w:t>
            </w:r>
          </w:p>
        </w:tc>
        <w:tc>
          <w:tcPr>
            <w:tcW w:type="dxa" w:w="1224"/>
            <w:tcMar>
              <w:top w:w="60" w:type="dxa"/>
              <w:start w:w="110" w:type="dxa"/>
              <w:bottom w:w="60" w:type="dxa"/>
              <w:end w:w="110" w:type="dxa"/>
            </w:tcMar>
          </w:tcPr>
          <w:p>
            <w:pPr>
              <w:spacing w:after="0"/>
            </w:pPr>
            <w:r/>
            <w:r>
              <w:rPr>
                <w:rFonts w:ascii="Calibri" w:hAnsi="Calibri"/>
                <w:b w:val="0"/>
                <w:i w:val="0"/>
                <w:color w:val="101828"/>
                <w:sz w:val="14"/>
              </w:rPr>
              <w:t>External, professional</w:t>
            </w:r>
          </w:p>
        </w:tc>
        <w:tc>
          <w:tcPr>
            <w:tcW w:type="dxa" w:w="2376"/>
            <w:tcMar>
              <w:top w:w="60" w:type="dxa"/>
              <w:start w:w="110" w:type="dxa"/>
              <w:bottom w:w="60" w:type="dxa"/>
              <w:end w:w="110" w:type="dxa"/>
            </w:tcMar>
          </w:tcPr>
          <w:p>
            <w:pPr>
              <w:spacing w:after="0"/>
            </w:pPr>
            <w:r/>
            <w:r>
              <w:rPr>
                <w:rFonts w:ascii="Calibri" w:hAnsi="Calibri"/>
                <w:b w:val="0"/>
                <w:i w:val="0"/>
                <w:color w:val="101828"/>
                <w:sz w:val="14"/>
              </w:rPr>
              <w:t>Whether the 2% fee is tax-inclusive and who remits VAT or WHT</w:t>
            </w:r>
          </w:p>
        </w:tc>
        <w:tc>
          <w:tcPr>
            <w:tcW w:type="dxa" w:w="936"/>
            <w:tcMar>
              <w:top w:w="60" w:type="dxa"/>
              <w:start w:w="110" w:type="dxa"/>
              <w:bottom w:w="60" w:type="dxa"/>
              <w:end w:w="110" w:type="dxa"/>
            </w:tcMar>
          </w:tcPr>
          <w:p>
            <w:pPr>
              <w:spacing w:after="0"/>
            </w:pPr>
            <w:r/>
            <w:r>
              <w:rPr>
                <w:rFonts w:ascii="Calibri" w:hAnsi="Calibri"/>
                <w:b w:val="0"/>
                <w:i w:val="0"/>
                <w:color w:val="101828"/>
                <w:sz w:val="14"/>
              </w:rPr>
              <w:t>Founders</w:t>
            </w:r>
          </w:p>
        </w:tc>
        <w:tc>
          <w:tcPr>
            <w:tcW w:type="dxa" w:w="1800"/>
            <w:tcMar>
              <w:top w:w="60" w:type="dxa"/>
              <w:start w:w="110" w:type="dxa"/>
              <w:bottom w:w="60" w:type="dxa"/>
              <w:end w:w="110" w:type="dxa"/>
            </w:tcMar>
          </w:tcPr>
          <w:p>
            <w:pPr>
              <w:spacing w:after="0"/>
            </w:pPr>
            <w:r/>
            <w:r>
              <w:rPr>
                <w:rFonts w:ascii="Calibri" w:hAnsi="Calibri"/>
                <w:b w:val="0"/>
                <w:i w:val="0"/>
                <w:color w:val="101828"/>
                <w:sz w:val="14"/>
              </w:rPr>
              <w:t>Not engaged. Open decision D-06.</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DEP-10</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Cloud hosting, database and object storage</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External, technical</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Everything. Includes the immutability guarantee for the ledger and backups.</w:t>
            </w:r>
          </w:p>
        </w:tc>
        <w:tc>
          <w:tcPr>
            <w:tcW w:type="dxa" w:w="936"/>
            <w:tcMar>
              <w:top w:w="60" w:type="dxa"/>
              <w:start w:w="110" w:type="dxa"/>
              <w:bottom w:w="60" w:type="dxa"/>
              <w:end w:w="110" w:type="dxa"/>
            </w:tcMar>
            <w:shd w:val="clear" w:color="auto" w:fill="F4F7FB"/>
          </w:tcPr>
          <w:p>
            <w:pPr>
              <w:spacing w:after="0"/>
            </w:pPr>
            <w:r/>
            <w:r>
              <w:rPr>
                <w:rFonts w:ascii="Calibri" w:hAnsi="Calibri"/>
                <w:b w:val="0"/>
                <w:i w:val="0"/>
                <w:color w:val="101828"/>
                <w:sz w:val="14"/>
              </w:rPr>
              <w:t>Engineering</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Not selected</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4"/>
              </w:rPr>
              <w:t>DEP-11</w:t>
            </w:r>
          </w:p>
        </w:tc>
        <w:tc>
          <w:tcPr>
            <w:tcW w:type="dxa" w:w="2304"/>
            <w:tcMar>
              <w:top w:w="60" w:type="dxa"/>
              <w:start w:w="110" w:type="dxa"/>
              <w:bottom w:w="60" w:type="dxa"/>
              <w:end w:w="110" w:type="dxa"/>
            </w:tcMar>
          </w:tcPr>
          <w:p>
            <w:pPr>
              <w:spacing w:after="0"/>
            </w:pPr>
            <w:r/>
            <w:r>
              <w:rPr>
                <w:rFonts w:ascii="Calibri" w:hAnsi="Calibri"/>
                <w:b w:val="0"/>
                <w:i w:val="0"/>
                <w:color w:val="101828"/>
                <w:sz w:val="14"/>
              </w:rPr>
              <w:t>Internal fraud and risk operations capacity</w:t>
            </w:r>
          </w:p>
        </w:tc>
        <w:tc>
          <w:tcPr>
            <w:tcW w:type="dxa" w:w="1224"/>
            <w:tcMar>
              <w:top w:w="60" w:type="dxa"/>
              <w:start w:w="110" w:type="dxa"/>
              <w:bottom w:w="60" w:type="dxa"/>
              <w:end w:w="110" w:type="dxa"/>
            </w:tcMar>
          </w:tcPr>
          <w:p>
            <w:pPr>
              <w:spacing w:after="0"/>
            </w:pPr>
            <w:r/>
            <w:r>
              <w:rPr>
                <w:rFonts w:ascii="Calibri" w:hAnsi="Calibri"/>
                <w:b w:val="0"/>
                <w:i w:val="0"/>
                <w:color w:val="101828"/>
                <w:sz w:val="14"/>
              </w:rPr>
              <w:t>Internal, people</w:t>
            </w:r>
          </w:p>
        </w:tc>
        <w:tc>
          <w:tcPr>
            <w:tcW w:type="dxa" w:w="2376"/>
            <w:tcMar>
              <w:top w:w="60" w:type="dxa"/>
              <w:start w:w="110" w:type="dxa"/>
              <w:bottom w:w="60" w:type="dxa"/>
              <w:end w:w="110" w:type="dxa"/>
            </w:tcMar>
          </w:tcPr>
          <w:p>
            <w:pPr>
              <w:spacing w:after="0"/>
            </w:pPr>
            <w:r/>
            <w:r>
              <w:rPr>
                <w:rFonts w:ascii="Calibri" w:hAnsi="Calibri"/>
                <w:b w:val="0"/>
                <w:i w:val="0"/>
                <w:color w:val="101828"/>
                <w:sz w:val="14"/>
              </w:rPr>
              <w:t>FR-ADM-005, FR-ADM-006, the review of every risk decision</w:t>
            </w:r>
          </w:p>
        </w:tc>
        <w:tc>
          <w:tcPr>
            <w:tcW w:type="dxa" w:w="936"/>
            <w:tcMar>
              <w:top w:w="60" w:type="dxa"/>
              <w:start w:w="110" w:type="dxa"/>
              <w:bottom w:w="60" w:type="dxa"/>
              <w:end w:w="110" w:type="dxa"/>
            </w:tcMar>
          </w:tcPr>
          <w:p>
            <w:pPr>
              <w:spacing w:after="0"/>
            </w:pPr>
            <w:r/>
            <w:r>
              <w:rPr>
                <w:rFonts w:ascii="Calibri" w:hAnsi="Calibri"/>
                <w:b w:val="0"/>
                <w:i w:val="0"/>
                <w:color w:val="101828"/>
                <w:sz w:val="14"/>
              </w:rPr>
              <w:t>Operations</w:t>
            </w:r>
          </w:p>
        </w:tc>
        <w:tc>
          <w:tcPr>
            <w:tcW w:type="dxa" w:w="1800"/>
            <w:tcMar>
              <w:top w:w="60" w:type="dxa"/>
              <w:start w:w="110" w:type="dxa"/>
              <w:bottom w:w="60" w:type="dxa"/>
              <w:end w:w="110" w:type="dxa"/>
            </w:tcMar>
          </w:tcPr>
          <w:p>
            <w:pPr>
              <w:spacing w:after="0"/>
            </w:pPr>
            <w:r/>
            <w:r>
              <w:rPr>
                <w:rFonts w:ascii="Calibri" w:hAnsi="Calibri"/>
                <w:b w:val="0"/>
                <w:i w:val="0"/>
                <w:color w:val="101828"/>
                <w:sz w:val="14"/>
              </w:rPr>
              <w:t xml:space="preserve">Not established. A </w:t>
            </w:r>
            <w:r>
              <w:rPr>
                <w:rFonts w:ascii="Consolas" w:hAnsi="Consolas"/>
                <w:color w:val="146EF5"/>
                <w:sz w:val="14"/>
              </w:rPr>
              <w:t>risk_officer</w:t>
            </w:r>
            <w:r>
              <w:rPr>
                <w:rFonts w:ascii="Calibri" w:hAnsi="Calibri"/>
                <w:b w:val="0"/>
                <w:i w:val="0"/>
                <w:color w:val="101828"/>
                <w:sz w:val="14"/>
              </w:rPr>
              <w:t xml:space="preserve"> role with no human behind it is worse than no role.</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DEP-12</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Internal support capacity</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Internal, people</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FR-ADM-004, dispute assistance, FR-SEC-005 account unlock</w:t>
            </w:r>
          </w:p>
        </w:tc>
        <w:tc>
          <w:tcPr>
            <w:tcW w:type="dxa" w:w="936"/>
            <w:tcMar>
              <w:top w:w="60" w:type="dxa"/>
              <w:start w:w="110" w:type="dxa"/>
              <w:bottom w:w="60" w:type="dxa"/>
              <w:end w:w="110" w:type="dxa"/>
            </w:tcMar>
            <w:shd w:val="clear" w:color="auto" w:fill="F4F7FB"/>
          </w:tcPr>
          <w:p>
            <w:pPr>
              <w:spacing w:after="0"/>
            </w:pPr>
            <w:r/>
            <w:r>
              <w:rPr>
                <w:rFonts w:ascii="Calibri" w:hAnsi="Calibri"/>
                <w:b w:val="0"/>
                <w:i w:val="0"/>
                <w:color w:val="101828"/>
                <w:sz w:val="14"/>
              </w:rPr>
              <w:t>Operations</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Not established. A support function that cannot act is a queue, not a service.</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4"/>
              </w:rPr>
              <w:t>DEP-13</w:t>
            </w:r>
          </w:p>
        </w:tc>
        <w:tc>
          <w:tcPr>
            <w:tcW w:type="dxa" w:w="2304"/>
            <w:tcMar>
              <w:top w:w="60" w:type="dxa"/>
              <w:start w:w="110" w:type="dxa"/>
              <w:bottom w:w="60" w:type="dxa"/>
              <w:end w:w="110" w:type="dxa"/>
            </w:tcMar>
          </w:tcPr>
          <w:p>
            <w:pPr>
              <w:spacing w:after="0"/>
            </w:pPr>
            <w:r/>
            <w:r>
              <w:rPr>
                <w:rFonts w:ascii="Calibri" w:hAnsi="Calibri"/>
                <w:b w:val="0"/>
                <w:i w:val="0"/>
                <w:color w:val="101828"/>
                <w:sz w:val="14"/>
              </w:rPr>
              <w:t>Organiser recruitment in the first market cluster</w:t>
            </w:r>
          </w:p>
        </w:tc>
        <w:tc>
          <w:tcPr>
            <w:tcW w:type="dxa" w:w="1224"/>
            <w:tcMar>
              <w:top w:w="60" w:type="dxa"/>
              <w:start w:w="110" w:type="dxa"/>
              <w:bottom w:w="60" w:type="dxa"/>
              <w:end w:w="110" w:type="dxa"/>
            </w:tcMar>
          </w:tcPr>
          <w:p>
            <w:pPr>
              <w:spacing w:after="0"/>
            </w:pPr>
            <w:r/>
            <w:r>
              <w:rPr>
                <w:rFonts w:ascii="Calibri" w:hAnsi="Calibri"/>
                <w:b w:val="0"/>
                <w:i w:val="0"/>
                <w:color w:val="101828"/>
                <w:sz w:val="14"/>
              </w:rPr>
              <w:t>Internal, people</w:t>
            </w:r>
          </w:p>
        </w:tc>
        <w:tc>
          <w:tcPr>
            <w:tcW w:type="dxa" w:w="2376"/>
            <w:tcMar>
              <w:top w:w="60" w:type="dxa"/>
              <w:start w:w="110" w:type="dxa"/>
              <w:bottom w:w="60" w:type="dxa"/>
              <w:end w:w="110" w:type="dxa"/>
            </w:tcMar>
          </w:tcPr>
          <w:p>
            <w:pPr>
              <w:spacing w:after="0"/>
            </w:pPr>
            <w:r/>
            <w:r>
              <w:rPr>
                <w:rFonts w:ascii="Calibri" w:hAnsi="Calibri"/>
                <w:b w:val="0"/>
                <w:i w:val="0"/>
                <w:color w:val="101828"/>
                <w:sz w:val="14"/>
              </w:rPr>
              <w:t>Distribution. Ajo.ng has no marketing channel that works as well as one organiser with fifty members.</w:t>
            </w:r>
          </w:p>
        </w:tc>
        <w:tc>
          <w:tcPr>
            <w:tcW w:type="dxa" w:w="936"/>
            <w:tcMar>
              <w:top w:w="60" w:type="dxa"/>
              <w:start w:w="110" w:type="dxa"/>
              <w:bottom w:w="60" w:type="dxa"/>
              <w:end w:w="110" w:type="dxa"/>
            </w:tcMar>
          </w:tcPr>
          <w:p>
            <w:pPr>
              <w:spacing w:after="0"/>
            </w:pPr>
            <w:r/>
            <w:r>
              <w:rPr>
                <w:rFonts w:ascii="Calibri" w:hAnsi="Calibri"/>
                <w:b w:val="0"/>
                <w:i w:val="0"/>
                <w:color w:val="101828"/>
                <w:sz w:val="14"/>
              </w:rPr>
              <w:t>Founders</w:t>
            </w:r>
          </w:p>
        </w:tc>
        <w:tc>
          <w:tcPr>
            <w:tcW w:type="dxa" w:w="1800"/>
            <w:tcMar>
              <w:top w:w="60" w:type="dxa"/>
              <w:start w:w="110" w:type="dxa"/>
              <w:bottom w:w="60" w:type="dxa"/>
              <w:end w:w="110" w:type="dxa"/>
            </w:tcMar>
          </w:tcPr>
          <w:p>
            <w:pPr>
              <w:spacing w:after="0"/>
            </w:pPr>
            <w:r/>
            <w:r>
              <w:rPr>
                <w:rFonts w:ascii="Calibri" w:hAnsi="Calibri"/>
                <w:b w:val="0"/>
                <w:i w:val="0"/>
                <w:color w:val="101828"/>
                <w:sz w:val="14"/>
              </w:rPr>
              <w:t>Not started</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DEP-14</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Brand and design system</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Internal</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Consistency, accessibility (NFR-ACC-001 to 005), and the fee disclosure being unmistakable on every surface</w:t>
            </w:r>
          </w:p>
        </w:tc>
        <w:tc>
          <w:tcPr>
            <w:tcW w:type="dxa" w:w="936"/>
            <w:tcMar>
              <w:top w:w="60" w:type="dxa"/>
              <w:start w:w="110" w:type="dxa"/>
              <w:bottom w:w="60" w:type="dxa"/>
              <w:end w:w="110" w:type="dxa"/>
            </w:tcMar>
            <w:shd w:val="clear" w:color="auto" w:fill="F4F7FB"/>
          </w:tcPr>
          <w:p>
            <w:pPr>
              <w:spacing w:after="0"/>
            </w:pPr>
            <w:r/>
            <w:r>
              <w:rPr>
                <w:rFonts w:ascii="Calibri" w:hAnsi="Calibri"/>
                <w:b w:val="0"/>
                <w:i w:val="0"/>
                <w:color w:val="101828"/>
                <w:sz w:val="14"/>
              </w:rPr>
              <w:t>Product</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Brand palette fixed in CANONICAL.md; system not built</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4"/>
              </w:rPr>
              <w:t>DEP-15</w:t>
            </w:r>
          </w:p>
        </w:tc>
        <w:tc>
          <w:tcPr>
            <w:tcW w:type="dxa" w:w="2304"/>
            <w:tcMar>
              <w:top w:w="60" w:type="dxa"/>
              <w:start w:w="110" w:type="dxa"/>
              <w:bottom w:w="60" w:type="dxa"/>
              <w:end w:w="110" w:type="dxa"/>
            </w:tcMar>
          </w:tcPr>
          <w:p>
            <w:pPr>
              <w:spacing w:after="0"/>
            </w:pPr>
            <w:r/>
            <w:r>
              <w:rPr>
                <w:rFonts w:ascii="Calibri" w:hAnsi="Calibri"/>
                <w:b w:val="0"/>
                <w:i w:val="0"/>
                <w:color w:val="101828"/>
                <w:sz w:val="14"/>
              </w:rPr>
              <w:t>Reconciliation and ledger invariant tooling</w:t>
            </w:r>
          </w:p>
        </w:tc>
        <w:tc>
          <w:tcPr>
            <w:tcW w:type="dxa" w:w="1224"/>
            <w:tcMar>
              <w:top w:w="60" w:type="dxa"/>
              <w:start w:w="110" w:type="dxa"/>
              <w:bottom w:w="60" w:type="dxa"/>
              <w:end w:w="110" w:type="dxa"/>
            </w:tcMar>
          </w:tcPr>
          <w:p>
            <w:pPr>
              <w:spacing w:after="0"/>
            </w:pPr>
            <w:r/>
            <w:r>
              <w:rPr>
                <w:rFonts w:ascii="Calibri" w:hAnsi="Calibri"/>
                <w:b w:val="0"/>
                <w:i w:val="0"/>
                <w:color w:val="101828"/>
                <w:sz w:val="14"/>
              </w:rPr>
              <w:t>Internal</w:t>
            </w:r>
          </w:p>
        </w:tc>
        <w:tc>
          <w:tcPr>
            <w:tcW w:type="dxa" w:w="2376"/>
            <w:tcMar>
              <w:top w:w="60" w:type="dxa"/>
              <w:start w:w="110" w:type="dxa"/>
              <w:bottom w:w="60" w:type="dxa"/>
              <w:end w:w="110" w:type="dxa"/>
            </w:tcMar>
          </w:tcPr>
          <w:p>
            <w:pPr>
              <w:spacing w:after="0"/>
            </w:pPr>
            <w:r/>
            <w:r>
              <w:rPr>
                <w:rFonts w:ascii="Calibri" w:hAnsi="Calibri"/>
                <w:b w:val="0"/>
                <w:i w:val="0"/>
                <w:color w:val="101828"/>
                <w:sz w:val="14"/>
              </w:rPr>
              <w:t>NFR-AUD-005, NFR-AUD-006, BR-013, BR-020. Without it the solvency assertion is an aspiration.</w:t>
            </w:r>
          </w:p>
        </w:tc>
        <w:tc>
          <w:tcPr>
            <w:tcW w:type="dxa" w:w="936"/>
            <w:tcMar>
              <w:top w:w="60" w:type="dxa"/>
              <w:start w:w="110" w:type="dxa"/>
              <w:bottom w:w="60" w:type="dxa"/>
              <w:end w:w="110" w:type="dxa"/>
            </w:tcMar>
          </w:tcPr>
          <w:p>
            <w:pPr>
              <w:spacing w:after="0"/>
            </w:pPr>
            <w:r/>
            <w:r>
              <w:rPr>
                <w:rFonts w:ascii="Calibri" w:hAnsi="Calibri"/>
                <w:b w:val="0"/>
                <w:i w:val="0"/>
                <w:color w:val="101828"/>
                <w:sz w:val="14"/>
              </w:rPr>
              <w:t>Engineering</w:t>
            </w:r>
          </w:p>
        </w:tc>
        <w:tc>
          <w:tcPr>
            <w:tcW w:type="dxa" w:w="1800"/>
            <w:tcMar>
              <w:top w:w="60" w:type="dxa"/>
              <w:start w:w="110" w:type="dxa"/>
              <w:bottom w:w="60" w:type="dxa"/>
              <w:end w:w="110" w:type="dxa"/>
            </w:tcMar>
          </w:tcPr>
          <w:p>
            <w:pPr>
              <w:spacing w:after="0"/>
            </w:pPr>
            <w:r/>
            <w:r>
              <w:rPr>
                <w:rFonts w:ascii="Calibri" w:hAnsi="Calibri"/>
                <w:b w:val="0"/>
                <w:i w:val="0"/>
                <w:color w:val="101828"/>
                <w:sz w:val="14"/>
              </w:rPr>
              <w:t>Not built. This is a build dependency, not a vendor one, and it is on the critical path.</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The dependency shape  </w:t>
      </w:r>
      <w:r>
        <w:rPr>
          <w:rFonts w:ascii="Calibri" w:hAnsi="Calibri"/>
          <w:b w:val="0"/>
          <w:i w:val="0"/>
          <w:color w:val="0B1F3A"/>
          <w:sz w:val="19"/>
        </w:rPr>
        <w:t>Four of the fifteen dependencies (</w:t>
      </w:r>
      <w:r>
        <w:rPr>
          <w:rFonts w:ascii="Calibri" w:hAnsi="Calibri"/>
          <w:b/>
          <w:color w:val="0B1F3A"/>
          <w:sz w:val="19"/>
        </w:rPr>
        <w:t>DEP-03, DEP-08, DEP-09 and DEP-11</w:t>
      </w:r>
      <w:r>
        <w:rPr>
          <w:rFonts w:ascii="Calibri" w:hAnsi="Calibri"/>
          <w:b w:val="0"/>
          <w:i w:val="0"/>
          <w:color w:val="0B1F3A"/>
          <w:sz w:val="19"/>
        </w:rPr>
        <w:t>) are people, not platforms, and three of those gate launch. The common failure mode for a pre-launch product of this kind is to complete the engineering on schedule while the counsel, the tax position and the risk operations capacity are still unresolved, and then to discover that the product cannot legally or safely launch as built. These are not the boring dependencies. They are the critical path.</w:t>
      </w:r>
    </w:p>
    <w:p>
      <w:pPr>
        <w:pStyle w:val="Heading2"/>
      </w:pPr>
      <w:r>
        <w:rPr>
          <w:rFonts w:ascii="Calibri" w:hAnsi="Calibri"/>
          <w:b/>
          <w:i w:val="0"/>
          <w:color w:val="146EF5"/>
          <w:sz w:val="29"/>
        </w:rPr>
        <w:t>1.24 Constraints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648"/>
            <w:shd w:val="clear" w:color="auto" w:fill="0B1F3A"/>
            <w:tcMar>
              <w:top w:w="60" w:type="dxa"/>
              <w:start w:w="110" w:type="dxa"/>
              <w:bottom w:w="60" w:type="dxa"/>
              <w:end w:w="110" w:type="dxa"/>
            </w:tcMar>
          </w:tcPr>
          <w:p>
            <w:pPr>
              <w:spacing w:after="0"/>
            </w:pPr>
            <w:r/>
            <w:r>
              <w:rPr>
                <w:rFonts w:ascii="Calibri" w:hAnsi="Calibri"/>
                <w:b/>
                <w:i w:val="0"/>
                <w:color w:val="FFFFFF"/>
                <w:sz w:val="14"/>
              </w:rPr>
              <w:t>ID</w:t>
            </w:r>
          </w:p>
        </w:tc>
        <w:tc>
          <w:tcPr>
            <w:tcW w:type="dxa" w:w="2520"/>
            <w:shd w:val="clear" w:color="auto" w:fill="0B1F3A"/>
            <w:tcMar>
              <w:top w:w="60" w:type="dxa"/>
              <w:start w:w="110" w:type="dxa"/>
              <w:bottom w:w="60" w:type="dxa"/>
              <w:end w:w="110" w:type="dxa"/>
            </w:tcMar>
          </w:tcPr>
          <w:p>
            <w:pPr>
              <w:spacing w:after="0"/>
            </w:pPr>
            <w:r/>
            <w:r>
              <w:rPr>
                <w:rFonts w:ascii="Calibri" w:hAnsi="Calibri"/>
                <w:b/>
                <w:i w:val="0"/>
                <w:color w:val="FFFFFF"/>
                <w:sz w:val="14"/>
              </w:rPr>
              <w:t>Constraint</w:t>
            </w:r>
          </w:p>
        </w:tc>
        <w:tc>
          <w:tcPr>
            <w:tcW w:type="dxa" w:w="1224"/>
            <w:shd w:val="clear" w:color="auto" w:fill="0B1F3A"/>
            <w:tcMar>
              <w:top w:w="60" w:type="dxa"/>
              <w:start w:w="110" w:type="dxa"/>
              <w:bottom w:w="60" w:type="dxa"/>
              <w:end w:w="110" w:type="dxa"/>
            </w:tcMar>
          </w:tcPr>
          <w:p>
            <w:pPr>
              <w:spacing w:after="0"/>
            </w:pPr>
            <w:r/>
            <w:r>
              <w:rPr>
                <w:rFonts w:ascii="Calibri" w:hAnsi="Calibri"/>
                <w:b/>
                <w:i w:val="0"/>
                <w:color w:val="FFFFFF"/>
                <w:sz w:val="14"/>
              </w:rPr>
              <w:t>Type</w:t>
            </w:r>
          </w:p>
        </w:tc>
        <w:tc>
          <w:tcPr>
            <w:tcW w:type="dxa" w:w="2952"/>
            <w:shd w:val="clear" w:color="auto" w:fill="0B1F3A"/>
            <w:tcMar>
              <w:top w:w="60" w:type="dxa"/>
              <w:start w:w="110" w:type="dxa"/>
              <w:bottom w:w="60" w:type="dxa"/>
              <w:end w:w="110" w:type="dxa"/>
            </w:tcMar>
          </w:tcPr>
          <w:p>
            <w:pPr>
              <w:spacing w:after="0"/>
            </w:pPr>
            <w:r/>
            <w:r>
              <w:rPr>
                <w:rFonts w:ascii="Calibri" w:hAnsi="Calibri"/>
                <w:b/>
                <w:i w:val="0"/>
                <w:color w:val="FFFFFF"/>
                <w:sz w:val="14"/>
              </w:rPr>
              <w:t>Consequence</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4"/>
              </w:rPr>
              <w:t>Can it be relaxed?</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C-01</w:t>
            </w:r>
          </w:p>
        </w:tc>
        <w:tc>
          <w:tcPr>
            <w:tcW w:type="dxa" w:w="2520"/>
            <w:tcMar>
              <w:top w:w="60" w:type="dxa"/>
              <w:start w:w="110" w:type="dxa"/>
              <w:bottom w:w="60" w:type="dxa"/>
              <w:end w:w="110" w:type="dxa"/>
            </w:tcMar>
          </w:tcPr>
          <w:p>
            <w:pPr>
              <w:spacing w:after="0"/>
            </w:pPr>
            <w:r/>
            <w:r>
              <w:rPr>
                <w:rFonts w:ascii="Calibri" w:hAnsi="Calibri"/>
                <w:b w:val="0"/>
                <w:i w:val="0"/>
                <w:color w:val="101828"/>
                <w:sz w:val="14"/>
              </w:rPr>
              <w:t>The 2% fee is locked and may not be raised without renegotiating trust</w:t>
            </w:r>
          </w:p>
        </w:tc>
        <w:tc>
          <w:tcPr>
            <w:tcW w:type="dxa" w:w="1224"/>
            <w:tcMar>
              <w:top w:w="60" w:type="dxa"/>
              <w:start w:w="110" w:type="dxa"/>
              <w:bottom w:w="60" w:type="dxa"/>
              <w:end w:w="110" w:type="dxa"/>
            </w:tcMar>
          </w:tcPr>
          <w:p>
            <w:pPr>
              <w:spacing w:after="0"/>
            </w:pPr>
            <w:r/>
            <w:r>
              <w:rPr>
                <w:rFonts w:ascii="Calibri" w:hAnsi="Calibri"/>
                <w:b w:val="0"/>
                <w:i w:val="0"/>
                <w:color w:val="101828"/>
                <w:sz w:val="14"/>
              </w:rPr>
              <w:t>Commercial</w:t>
            </w:r>
          </w:p>
        </w:tc>
        <w:tc>
          <w:tcPr>
            <w:tcW w:type="dxa" w:w="2952"/>
            <w:tcMar>
              <w:top w:w="60" w:type="dxa"/>
              <w:start w:w="110" w:type="dxa"/>
              <w:bottom w:w="60" w:type="dxa"/>
              <w:end w:w="110" w:type="dxa"/>
            </w:tcMar>
          </w:tcPr>
          <w:p>
            <w:pPr>
              <w:spacing w:after="0"/>
            </w:pPr>
            <w:r/>
            <w:r>
              <w:rPr>
                <w:rFonts w:ascii="Calibri" w:hAnsi="Calibri"/>
                <w:b w:val="0"/>
                <w:i w:val="0"/>
                <w:color w:val="101828"/>
                <w:sz w:val="14"/>
              </w:rPr>
              <w:t>Revenue is capped at 2% of contribution volume. If costs rise, margin falls. There is no pricing lever.</w:t>
            </w:r>
          </w:p>
        </w:tc>
        <w:tc>
          <w:tcPr>
            <w:tcW w:type="dxa" w:w="2016"/>
            <w:tcMar>
              <w:top w:w="60" w:type="dxa"/>
              <w:start w:w="110" w:type="dxa"/>
              <w:bottom w:w="60" w:type="dxa"/>
              <w:end w:w="110" w:type="dxa"/>
            </w:tcMar>
          </w:tcPr>
          <w:p>
            <w:pPr>
              <w:spacing w:after="0"/>
            </w:pPr>
            <w:r/>
            <w:r>
              <w:rPr>
                <w:rFonts w:ascii="Calibri" w:hAnsi="Calibri"/>
                <w:b w:val="0"/>
                <w:i w:val="0"/>
                <w:color w:val="101828"/>
                <w:sz w:val="14"/>
              </w:rPr>
              <w:t>No, not for Year 1. BR-026 governs any future change.</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C-02</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The recipient receives the base pool and the fee never reduces a payout</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Product</w:t>
            </w:r>
          </w:p>
        </w:tc>
        <w:tc>
          <w:tcPr>
            <w:tcW w:type="dxa" w:w="2952"/>
            <w:tcMar>
              <w:top w:w="60" w:type="dxa"/>
              <w:start w:w="110" w:type="dxa"/>
              <w:bottom w:w="60" w:type="dxa"/>
              <w:end w:w="110" w:type="dxa"/>
            </w:tcMar>
            <w:shd w:val="clear" w:color="auto" w:fill="F4F7FB"/>
          </w:tcPr>
          <w:p>
            <w:pPr>
              <w:spacing w:after="0"/>
            </w:pPr>
            <w:r/>
            <w:r>
              <w:rPr>
                <w:rFonts w:ascii="Calibri" w:hAnsi="Calibri"/>
                <w:b w:val="0"/>
                <w:i w:val="0"/>
                <w:color w:val="101828"/>
                <w:sz w:val="14"/>
              </w:rPr>
              <w:t>Gross revenue is capped at 2% and cannot be increased by taking a cut of the pot, which is the obvious pricing alternative.</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No. This is the product's central promise.</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C-03</w:t>
            </w:r>
          </w:p>
        </w:tc>
        <w:tc>
          <w:tcPr>
            <w:tcW w:type="dxa" w:w="2520"/>
            <w:tcMar>
              <w:top w:w="60" w:type="dxa"/>
              <w:start w:w="110" w:type="dxa"/>
              <w:bottom w:w="60" w:type="dxa"/>
              <w:end w:w="110" w:type="dxa"/>
            </w:tcMar>
          </w:tcPr>
          <w:p>
            <w:pPr>
              <w:spacing w:after="0"/>
            </w:pPr>
            <w:r/>
            <w:r>
              <w:rPr>
                <w:rFonts w:ascii="Calibri" w:hAnsi="Calibri"/>
                <w:b w:val="0"/>
                <w:i w:val="0"/>
                <w:color w:val="101828"/>
                <w:sz w:val="14"/>
              </w:rPr>
              <w:t>An Ajo pays zero interest and no return is ever implied</w:t>
            </w:r>
          </w:p>
        </w:tc>
        <w:tc>
          <w:tcPr>
            <w:tcW w:type="dxa" w:w="1224"/>
            <w:tcMar>
              <w:top w:w="60" w:type="dxa"/>
              <w:start w:w="110" w:type="dxa"/>
              <w:bottom w:w="60" w:type="dxa"/>
              <w:end w:w="110" w:type="dxa"/>
            </w:tcMar>
          </w:tcPr>
          <w:p>
            <w:pPr>
              <w:spacing w:after="0"/>
            </w:pPr>
            <w:r/>
            <w:r>
              <w:rPr>
                <w:rFonts w:ascii="Calibri" w:hAnsi="Calibri"/>
                <w:b w:val="0"/>
                <w:i w:val="0"/>
                <w:color w:val="101828"/>
                <w:sz w:val="14"/>
              </w:rPr>
              <w:t>Product</w:t>
            </w:r>
          </w:p>
        </w:tc>
        <w:tc>
          <w:tcPr>
            <w:tcW w:type="dxa" w:w="2952"/>
            <w:tcMar>
              <w:top w:w="60" w:type="dxa"/>
              <w:start w:w="110" w:type="dxa"/>
              <w:bottom w:w="60" w:type="dxa"/>
              <w:end w:w="110" w:type="dxa"/>
            </w:tcMar>
          </w:tcPr>
          <w:p>
            <w:pPr>
              <w:spacing w:after="0"/>
            </w:pPr>
            <w:r/>
            <w:r>
              <w:rPr>
                <w:rFonts w:ascii="Calibri" w:hAnsi="Calibri"/>
                <w:b w:val="0"/>
                <w:i w:val="0"/>
                <w:color w:val="101828"/>
                <w:sz w:val="14"/>
              </w:rPr>
              <w:t>There is no financial return to offer a member. Growth must come from discipline, record and convenience, never from yield.</w:t>
            </w:r>
          </w:p>
        </w:tc>
        <w:tc>
          <w:tcPr>
            <w:tcW w:type="dxa" w:w="2016"/>
            <w:tcMar>
              <w:top w:w="60" w:type="dxa"/>
              <w:start w:w="110" w:type="dxa"/>
              <w:bottom w:w="60" w:type="dxa"/>
              <w:end w:w="110" w:type="dxa"/>
            </w:tcMar>
          </w:tcPr>
          <w:p>
            <w:pPr>
              <w:spacing w:after="0"/>
            </w:pPr>
            <w:r/>
            <w:r>
              <w:rPr>
                <w:rFonts w:ascii="Calibri" w:hAnsi="Calibri"/>
                <w:b w:val="0"/>
                <w:i w:val="0"/>
                <w:color w:val="101828"/>
                <w:sz w:val="14"/>
              </w:rPr>
              <w:t>No</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C-04</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Invitation-only at MVP</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Product</w:t>
            </w:r>
          </w:p>
        </w:tc>
        <w:tc>
          <w:tcPr>
            <w:tcW w:type="dxa" w:w="2952"/>
            <w:tcMar>
              <w:top w:w="60" w:type="dxa"/>
              <w:start w:w="110" w:type="dxa"/>
              <w:bottom w:w="60" w:type="dxa"/>
              <w:end w:w="110" w:type="dxa"/>
            </w:tcMar>
            <w:shd w:val="clear" w:color="auto" w:fill="F4F7FB"/>
          </w:tcPr>
          <w:p>
            <w:pPr>
              <w:spacing w:after="0"/>
            </w:pPr>
            <w:r/>
            <w:r>
              <w:rPr>
                <w:rFonts w:ascii="Calibri" w:hAnsi="Calibri"/>
                <w:b w:val="0"/>
                <w:i w:val="0"/>
                <w:color w:val="101828"/>
                <w:sz w:val="14"/>
              </w:rPr>
              <w:t>Growth is bounded by organiser invitation networks. No marketplace flywheel. Acquisition is slower and harder to scale.</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Yes, by a formal scope change (section 1.16.3) with a full re-review</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C-05</w:t>
            </w:r>
          </w:p>
        </w:tc>
        <w:tc>
          <w:tcPr>
            <w:tcW w:type="dxa" w:w="2520"/>
            <w:tcMar>
              <w:top w:w="60" w:type="dxa"/>
              <w:start w:w="110" w:type="dxa"/>
              <w:bottom w:w="60" w:type="dxa"/>
              <w:end w:w="110" w:type="dxa"/>
            </w:tcMar>
          </w:tcPr>
          <w:p>
            <w:pPr>
              <w:spacing w:after="0"/>
            </w:pPr>
            <w:r/>
            <w:r>
              <w:rPr>
                <w:rFonts w:ascii="Calibri" w:hAnsi="Calibri"/>
                <w:b w:val="0"/>
                <w:i w:val="0"/>
                <w:color w:val="101828"/>
                <w:sz w:val="14"/>
              </w:rPr>
              <w:t>No role may edit or delete a ledger entry, including super_admin</w:t>
            </w:r>
          </w:p>
        </w:tc>
        <w:tc>
          <w:tcPr>
            <w:tcW w:type="dxa" w:w="1224"/>
            <w:tcMar>
              <w:top w:w="60" w:type="dxa"/>
              <w:start w:w="110" w:type="dxa"/>
              <w:bottom w:w="60" w:type="dxa"/>
              <w:end w:w="110" w:type="dxa"/>
            </w:tcMar>
          </w:tcPr>
          <w:p>
            <w:pPr>
              <w:spacing w:after="0"/>
            </w:pPr>
            <w:r/>
            <w:r>
              <w:rPr>
                <w:rFonts w:ascii="Calibri" w:hAnsi="Calibri"/>
                <w:b w:val="0"/>
                <w:i w:val="0"/>
                <w:color w:val="101828"/>
                <w:sz w:val="14"/>
              </w:rPr>
              <w:t>Technical and governance</w:t>
            </w:r>
          </w:p>
        </w:tc>
        <w:tc>
          <w:tcPr>
            <w:tcW w:type="dxa" w:w="2952"/>
            <w:tcMar>
              <w:top w:w="60" w:type="dxa"/>
              <w:start w:w="110" w:type="dxa"/>
              <w:bottom w:w="60" w:type="dxa"/>
              <w:end w:w="110" w:type="dxa"/>
            </w:tcMar>
          </w:tcPr>
          <w:p>
            <w:pPr>
              <w:spacing w:after="0"/>
            </w:pPr>
            <w:r/>
            <w:r>
              <w:rPr>
                <w:rFonts w:ascii="Calibri" w:hAnsi="Calibri"/>
                <w:b w:val="0"/>
                <w:i w:val="0"/>
                <w:color w:val="101828"/>
                <w:sz w:val="14"/>
              </w:rPr>
              <w:t>Corrections require reversing entries, which is more expensive to build and more expensive to operate than an update.</w:t>
            </w:r>
          </w:p>
        </w:tc>
        <w:tc>
          <w:tcPr>
            <w:tcW w:type="dxa" w:w="2016"/>
            <w:tcMar>
              <w:top w:w="60" w:type="dxa"/>
              <w:start w:w="110" w:type="dxa"/>
              <w:bottom w:w="60" w:type="dxa"/>
              <w:end w:w="110" w:type="dxa"/>
            </w:tcMar>
          </w:tcPr>
          <w:p>
            <w:pPr>
              <w:spacing w:after="0"/>
            </w:pPr>
            <w:r/>
            <w:r>
              <w:rPr>
                <w:rFonts w:ascii="Calibri" w:hAnsi="Calibri"/>
                <w:b w:val="0"/>
                <w:i w:val="0"/>
                <w:color w:val="101828"/>
                <w:sz w:val="14"/>
              </w:rPr>
              <w:t>No. G6 and BR-025.</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C-06</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Complete-cycle commitment and no unilateral exit</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Product</w:t>
            </w:r>
          </w:p>
        </w:tc>
        <w:tc>
          <w:tcPr>
            <w:tcW w:type="dxa" w:w="2952"/>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in genuine financial difficulty cannot simply leave. A formal, moderated replacement process is required and must be humane.</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No, but the process must be designed to be fast and non-punitive</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C-07</w:t>
            </w:r>
          </w:p>
        </w:tc>
        <w:tc>
          <w:tcPr>
            <w:tcW w:type="dxa" w:w="2520"/>
            <w:tcMar>
              <w:top w:w="60" w:type="dxa"/>
              <w:start w:w="110" w:type="dxa"/>
              <w:bottom w:w="60" w:type="dxa"/>
              <w:end w:w="110" w:type="dxa"/>
            </w:tcMar>
          </w:tcPr>
          <w:p>
            <w:pPr>
              <w:spacing w:after="0"/>
            </w:pPr>
            <w:r/>
            <w:r>
              <w:rPr>
                <w:rFonts w:ascii="Calibri" w:hAnsi="Calibri"/>
                <w:b w:val="0"/>
                <w:i w:val="0"/>
                <w:color w:val="101828"/>
                <w:sz w:val="14"/>
              </w:rPr>
              <w:t>MVP members are Nigerian residents transacting in NGN</w:t>
            </w:r>
          </w:p>
        </w:tc>
        <w:tc>
          <w:tcPr>
            <w:tcW w:type="dxa" w:w="1224"/>
            <w:tcMar>
              <w:top w:w="60" w:type="dxa"/>
              <w:start w:w="110" w:type="dxa"/>
              <w:bottom w:w="60" w:type="dxa"/>
              <w:end w:w="110" w:type="dxa"/>
            </w:tcMar>
          </w:tcPr>
          <w:p>
            <w:pPr>
              <w:spacing w:after="0"/>
            </w:pPr>
            <w:r/>
            <w:r>
              <w:rPr>
                <w:rFonts w:ascii="Calibri" w:hAnsi="Calibri"/>
                <w:b w:val="0"/>
                <w:i w:val="0"/>
                <w:color w:val="101828"/>
                <w:sz w:val="14"/>
              </w:rPr>
              <w:t>Regulatory and commercial</w:t>
            </w:r>
          </w:p>
        </w:tc>
        <w:tc>
          <w:tcPr>
            <w:tcW w:type="dxa" w:w="2952"/>
            <w:tcMar>
              <w:top w:w="60" w:type="dxa"/>
              <w:start w:w="110" w:type="dxa"/>
              <w:bottom w:w="60" w:type="dxa"/>
              <w:end w:w="110" w:type="dxa"/>
            </w:tcMar>
          </w:tcPr>
          <w:p>
            <w:pPr>
              <w:spacing w:after="0"/>
            </w:pPr>
            <w:r/>
            <w:r>
              <w:rPr>
                <w:rFonts w:ascii="Calibri" w:hAnsi="Calibri"/>
                <w:b w:val="0"/>
                <w:i w:val="0"/>
                <w:color w:val="101828"/>
                <w:sz w:val="14"/>
              </w:rPr>
              <w:t>Excludes Kemi and the entire diaspora market, which is a large part of the addressable opportunity.</w:t>
            </w:r>
          </w:p>
        </w:tc>
        <w:tc>
          <w:tcPr>
            <w:tcW w:type="dxa" w:w="2016"/>
            <w:tcMar>
              <w:top w:w="60" w:type="dxa"/>
              <w:start w:w="110" w:type="dxa"/>
              <w:bottom w:w="60" w:type="dxa"/>
              <w:end w:w="110" w:type="dxa"/>
            </w:tcMar>
          </w:tcPr>
          <w:p>
            <w:pPr>
              <w:spacing w:after="0"/>
            </w:pPr>
            <w:r/>
            <w:r>
              <w:rPr>
                <w:rFonts w:ascii="Calibri" w:hAnsi="Calibri"/>
                <w:b w:val="0"/>
                <w:i w:val="0"/>
                <w:color w:val="101828"/>
                <w:sz w:val="14"/>
              </w:rPr>
              <w:t>No, until D-02 is resolved and a full scope re-review is completed</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C-08</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ProvidusUnity is the sole payment partner at launch</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Technical</w:t>
            </w:r>
          </w:p>
        </w:tc>
        <w:tc>
          <w:tcPr>
            <w:tcW w:type="dxa" w:w="2952"/>
            <w:tcMar>
              <w:top w:w="60" w:type="dxa"/>
              <w:start w:w="110" w:type="dxa"/>
              <w:bottom w:w="60" w:type="dxa"/>
              <w:end w:w="110" w:type="dxa"/>
            </w:tcMar>
            <w:shd w:val="clear" w:color="auto" w:fill="F4F7FB"/>
          </w:tcPr>
          <w:p>
            <w:pPr>
              <w:spacing w:after="0"/>
            </w:pPr>
            <w:r/>
            <w:r>
              <w:rPr>
                <w:rFonts w:ascii="Calibri" w:hAnsi="Calibri"/>
                <w:b w:val="0"/>
                <w:i w:val="0"/>
                <w:color w:val="101828"/>
                <w:sz w:val="14"/>
              </w:rPr>
              <w:t>Single point of failure. No failover provider exists, and switching cost rises with volume.</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Not at launch. A second provider is a post-MVP objective (NFR-AVL-004)</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C-09</w:t>
            </w:r>
          </w:p>
        </w:tc>
        <w:tc>
          <w:tcPr>
            <w:tcW w:type="dxa" w:w="2520"/>
            <w:tcMar>
              <w:top w:w="60" w:type="dxa"/>
              <w:start w:w="110" w:type="dxa"/>
              <w:bottom w:w="60" w:type="dxa"/>
              <w:end w:w="110" w:type="dxa"/>
            </w:tcMar>
          </w:tcPr>
          <w:p>
            <w:pPr>
              <w:spacing w:after="0"/>
            </w:pPr>
            <w:r/>
            <w:r>
              <w:rPr>
                <w:rFonts w:ascii="Calibri" w:hAnsi="Calibri"/>
                <w:b w:val="0"/>
                <w:i w:val="0"/>
                <w:color w:val="101828"/>
                <w:sz w:val="14"/>
              </w:rPr>
              <w:t>Money is always bigint kobo; never float or numeric</w:t>
            </w:r>
          </w:p>
        </w:tc>
        <w:tc>
          <w:tcPr>
            <w:tcW w:type="dxa" w:w="1224"/>
            <w:tcMar>
              <w:top w:w="60" w:type="dxa"/>
              <w:start w:w="110" w:type="dxa"/>
              <w:bottom w:w="60" w:type="dxa"/>
              <w:end w:w="110" w:type="dxa"/>
            </w:tcMar>
          </w:tcPr>
          <w:p>
            <w:pPr>
              <w:spacing w:after="0"/>
            </w:pPr>
            <w:r/>
            <w:r>
              <w:rPr>
                <w:rFonts w:ascii="Calibri" w:hAnsi="Calibri"/>
                <w:b w:val="0"/>
                <w:i w:val="0"/>
                <w:color w:val="101828"/>
                <w:sz w:val="14"/>
              </w:rPr>
              <w:t>Technical</w:t>
            </w:r>
          </w:p>
        </w:tc>
        <w:tc>
          <w:tcPr>
            <w:tcW w:type="dxa" w:w="2952"/>
            <w:tcMar>
              <w:top w:w="60" w:type="dxa"/>
              <w:start w:w="110" w:type="dxa"/>
              <w:bottom w:w="60" w:type="dxa"/>
              <w:end w:w="110" w:type="dxa"/>
            </w:tcMar>
          </w:tcPr>
          <w:p>
            <w:pPr>
              <w:spacing w:after="0"/>
            </w:pPr>
            <w:r/>
            <w:r>
              <w:rPr>
                <w:rFonts w:ascii="Calibri" w:hAnsi="Calibri"/>
                <w:b w:val="0"/>
                <w:i w:val="0"/>
                <w:color w:val="101828"/>
                <w:sz w:val="14"/>
              </w:rPr>
              <w:t>Legacy migration from any float-based system would require a conversion and reconciliation exercise.</w:t>
            </w:r>
          </w:p>
        </w:tc>
        <w:tc>
          <w:tcPr>
            <w:tcW w:type="dxa" w:w="2016"/>
            <w:tcMar>
              <w:top w:w="60" w:type="dxa"/>
              <w:start w:w="110" w:type="dxa"/>
              <w:bottom w:w="60" w:type="dxa"/>
              <w:end w:w="110" w:type="dxa"/>
            </w:tcMar>
          </w:tcPr>
          <w:p>
            <w:pPr>
              <w:spacing w:after="0"/>
            </w:pPr>
            <w:r/>
            <w:r>
              <w:rPr>
                <w:rFonts w:ascii="Calibri" w:hAnsi="Calibri"/>
                <w:b w:val="0"/>
                <w:i w:val="0"/>
                <w:color w:val="101828"/>
                <w:sz w:val="14"/>
              </w:rPr>
              <w:t>No. BR-031.</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C-10</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Defaulting is private and members are never publicly exposed</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Product and ethical</w:t>
            </w:r>
          </w:p>
        </w:tc>
        <w:tc>
          <w:tcPr>
            <w:tcW w:type="dxa" w:w="2952"/>
            <w:tcMar>
              <w:top w:w="60" w:type="dxa"/>
              <w:start w:w="110" w:type="dxa"/>
              <w:bottom w:w="60" w:type="dxa"/>
              <w:end w:w="110" w:type="dxa"/>
            </w:tcMar>
            <w:shd w:val="clear" w:color="auto" w:fill="F4F7FB"/>
          </w:tcPr>
          <w:p>
            <w:pPr>
              <w:spacing w:after="0"/>
            </w:pPr>
            <w:r/>
            <w:r>
              <w:rPr>
                <w:rFonts w:ascii="Calibri" w:hAnsi="Calibri"/>
                <w:b w:val="0"/>
                <w:i w:val="0"/>
                <w:color w:val="101828"/>
                <w:sz w:val="14"/>
              </w:rPr>
              <w:t>Social pressure cannot be used as a platform mechanism, which removes a powerful but unacceptable lever.</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No. BR-014 and G5</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C-11</w:t>
            </w:r>
          </w:p>
        </w:tc>
        <w:tc>
          <w:tcPr>
            <w:tcW w:type="dxa" w:w="2520"/>
            <w:tcMar>
              <w:top w:w="60" w:type="dxa"/>
              <w:start w:w="110" w:type="dxa"/>
              <w:bottom w:w="60" w:type="dxa"/>
              <w:end w:w="110" w:type="dxa"/>
            </w:tcMar>
          </w:tcPr>
          <w:p>
            <w:pPr>
              <w:spacing w:after="0"/>
            </w:pPr>
            <w:r/>
            <w:r>
              <w:rPr>
                <w:rFonts w:ascii="Calibri" w:hAnsi="Calibri"/>
                <w:b w:val="0"/>
                <w:i w:val="0"/>
                <w:color w:val="101828"/>
                <w:sz w:val="14"/>
              </w:rPr>
              <w:t>The platform must never use corporate funds to cover a shortfall</w:t>
            </w:r>
          </w:p>
        </w:tc>
        <w:tc>
          <w:tcPr>
            <w:tcW w:type="dxa" w:w="1224"/>
            <w:tcMar>
              <w:top w:w="60" w:type="dxa"/>
              <w:start w:w="110" w:type="dxa"/>
              <w:bottom w:w="60" w:type="dxa"/>
              <w:end w:w="110" w:type="dxa"/>
            </w:tcMar>
          </w:tcPr>
          <w:p>
            <w:pPr>
              <w:spacing w:after="0"/>
            </w:pPr>
            <w:r/>
            <w:r>
              <w:rPr>
                <w:rFonts w:ascii="Calibri" w:hAnsi="Calibri"/>
                <w:b w:val="0"/>
                <w:i w:val="0"/>
                <w:color w:val="101828"/>
                <w:sz w:val="14"/>
              </w:rPr>
              <w:t>Financial</w:t>
            </w:r>
          </w:p>
        </w:tc>
        <w:tc>
          <w:tcPr>
            <w:tcW w:type="dxa" w:w="2952"/>
            <w:tcMar>
              <w:top w:w="60" w:type="dxa"/>
              <w:start w:w="110" w:type="dxa"/>
              <w:bottom w:w="60" w:type="dxa"/>
              <w:end w:w="110" w:type="dxa"/>
            </w:tcMar>
          </w:tcPr>
          <w:p>
            <w:pPr>
              <w:spacing w:after="0"/>
            </w:pPr>
            <w:r/>
            <w:r>
              <w:rPr>
                <w:rFonts w:ascii="Calibri" w:hAnsi="Calibri"/>
                <w:b w:val="0"/>
                <w:i w:val="0"/>
                <w:color w:val="101828"/>
                <w:sz w:val="14"/>
              </w:rPr>
              <w:t>A margin-diluting event becomes a reputational catastrophe. There is no cushion.</w:t>
            </w:r>
          </w:p>
        </w:tc>
        <w:tc>
          <w:tcPr>
            <w:tcW w:type="dxa" w:w="2016"/>
            <w:tcMar>
              <w:top w:w="60" w:type="dxa"/>
              <w:start w:w="110" w:type="dxa"/>
              <w:bottom w:w="60" w:type="dxa"/>
              <w:end w:w="110" w:type="dxa"/>
            </w:tcMar>
          </w:tcPr>
          <w:p>
            <w:pPr>
              <w:spacing w:after="0"/>
            </w:pPr>
            <w:r/>
            <w:r>
              <w:rPr>
                <w:rFonts w:ascii="Calibri" w:hAnsi="Calibri"/>
                <w:b w:val="0"/>
                <w:i w:val="0"/>
                <w:color w:val="101828"/>
                <w:sz w:val="14"/>
              </w:rPr>
              <w:t>No. BR-018</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C-12</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Provider costs are unknown until written pricing is obtained</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Financial</w:t>
            </w:r>
          </w:p>
        </w:tc>
        <w:tc>
          <w:tcPr>
            <w:tcW w:type="dxa" w:w="2952"/>
            <w:tcMar>
              <w:top w:w="60" w:type="dxa"/>
              <w:start w:w="110" w:type="dxa"/>
              <w:bottom w:w="60" w:type="dxa"/>
              <w:end w:w="110" w:type="dxa"/>
            </w:tcMar>
            <w:shd w:val="clear" w:color="auto" w:fill="F4F7FB"/>
          </w:tcPr>
          <w:p>
            <w:pPr>
              <w:spacing w:after="0"/>
            </w:pPr>
            <w:r/>
            <w:r>
              <w:rPr>
                <w:rFonts w:ascii="Calibri" w:hAnsi="Calibri"/>
                <w:b w:val="0"/>
                <w:i w:val="0"/>
                <w:color w:val="101828"/>
                <w:sz w:val="14"/>
              </w:rPr>
              <w:t>The financial model cannot be finalised and the fee cannot responsibly be publicised.</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Resolvable. D-03. </w:t>
            </w:r>
            <w:r>
              <w:rPr>
                <w:rFonts w:ascii="Calibri" w:hAnsi="Calibri"/>
                <w:b/>
                <w:color w:val="101828"/>
                <w:sz w:val="14"/>
              </w:rPr>
              <w:t>Gates launch.</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C-13</w:t>
            </w:r>
          </w:p>
        </w:tc>
        <w:tc>
          <w:tcPr>
            <w:tcW w:type="dxa" w:w="2520"/>
            <w:tcMar>
              <w:top w:w="60" w:type="dxa"/>
              <w:start w:w="110" w:type="dxa"/>
              <w:bottom w:w="60" w:type="dxa"/>
              <w:end w:w="110" w:type="dxa"/>
            </w:tcMar>
          </w:tcPr>
          <w:p>
            <w:pPr>
              <w:spacing w:after="0"/>
            </w:pPr>
            <w:r/>
            <w:r>
              <w:rPr>
                <w:rFonts w:ascii="Calibri" w:hAnsi="Calibri"/>
                <w:b w:val="0"/>
                <w:i w:val="0"/>
                <w:color w:val="101828"/>
                <w:sz w:val="14"/>
              </w:rPr>
              <w:t>The Ajo is a monthly or market-cycle product, and participation is periodic</w:t>
            </w:r>
          </w:p>
        </w:tc>
        <w:tc>
          <w:tcPr>
            <w:tcW w:type="dxa" w:w="1224"/>
            <w:tcMar>
              <w:top w:w="60" w:type="dxa"/>
              <w:start w:w="110" w:type="dxa"/>
              <w:bottom w:w="60" w:type="dxa"/>
              <w:end w:w="110" w:type="dxa"/>
            </w:tcMar>
          </w:tcPr>
          <w:p>
            <w:pPr>
              <w:spacing w:after="0"/>
            </w:pPr>
            <w:r/>
            <w:r>
              <w:rPr>
                <w:rFonts w:ascii="Calibri" w:hAnsi="Calibri"/>
                <w:b w:val="0"/>
                <w:i w:val="0"/>
                <w:color w:val="101828"/>
                <w:sz w:val="14"/>
              </w:rPr>
              <w:t>Product</w:t>
            </w:r>
          </w:p>
        </w:tc>
        <w:tc>
          <w:tcPr>
            <w:tcW w:type="dxa" w:w="2952"/>
            <w:tcMar>
              <w:top w:w="60" w:type="dxa"/>
              <w:start w:w="110" w:type="dxa"/>
              <w:bottom w:w="60" w:type="dxa"/>
              <w:end w:w="110" w:type="dxa"/>
            </w:tcMar>
          </w:tcPr>
          <w:p>
            <w:pPr>
              <w:spacing w:after="0"/>
            </w:pPr>
            <w:r/>
            <w:r>
              <w:rPr>
                <w:rFonts w:ascii="Calibri" w:hAnsi="Calibri"/>
                <w:b w:val="0"/>
                <w:i w:val="0"/>
                <w:color w:val="101828"/>
                <w:sz w:val="14"/>
              </w:rPr>
              <w:t>Engagement is inherently intermittent, which makes daily-active metrics the wrong measure and makes notification fatigue the primary UX risk.</w:t>
            </w:r>
          </w:p>
        </w:tc>
        <w:tc>
          <w:tcPr>
            <w:tcW w:type="dxa" w:w="2016"/>
            <w:tcMar>
              <w:top w:w="60" w:type="dxa"/>
              <w:start w:w="110" w:type="dxa"/>
              <w:bottom w:w="60" w:type="dxa"/>
              <w:end w:w="110" w:type="dxa"/>
            </w:tcMar>
          </w:tcPr>
          <w:p>
            <w:pPr>
              <w:spacing w:after="0"/>
            </w:pPr>
            <w:r/>
            <w:r>
              <w:rPr>
                <w:rFonts w:ascii="Calibri" w:hAnsi="Calibri"/>
                <w:b w:val="0"/>
                <w:i w:val="0"/>
                <w:color w:val="101828"/>
                <w:sz w:val="14"/>
              </w:rPr>
              <w:t>Partially. Frequency flexibility is a post-MVP candidate</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C-14</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Core flows must work on low-end Android over 3G</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Technical</w:t>
            </w:r>
          </w:p>
        </w:tc>
        <w:tc>
          <w:tcPr>
            <w:tcW w:type="dxa" w:w="2952"/>
            <w:tcMar>
              <w:top w:w="60" w:type="dxa"/>
              <w:start w:w="110" w:type="dxa"/>
              <w:bottom w:w="60" w:type="dxa"/>
              <w:end w:w="110" w:type="dxa"/>
            </w:tcMar>
            <w:shd w:val="clear" w:color="auto" w:fill="F4F7FB"/>
          </w:tcPr>
          <w:p>
            <w:pPr>
              <w:spacing w:after="0"/>
            </w:pPr>
            <w:r/>
            <w:r>
              <w:rPr>
                <w:rFonts w:ascii="Calibri" w:hAnsi="Calibri"/>
                <w:b w:val="0"/>
                <w:i w:val="0"/>
                <w:color w:val="101828"/>
                <w:sz w:val="14"/>
              </w:rPr>
              <w:t>Constrains component choice, media strategy and interaction design throughout.</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No. G7. It is the device the users actually have.</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C-15</w:t>
            </w:r>
          </w:p>
        </w:tc>
        <w:tc>
          <w:tcPr>
            <w:tcW w:type="dxa" w:w="2520"/>
            <w:tcMar>
              <w:top w:w="60" w:type="dxa"/>
              <w:start w:w="110" w:type="dxa"/>
              <w:bottom w:w="60" w:type="dxa"/>
              <w:end w:w="110" w:type="dxa"/>
            </w:tcMar>
          </w:tcPr>
          <w:p>
            <w:pPr>
              <w:spacing w:after="0"/>
            </w:pPr>
            <w:r/>
            <w:r>
              <w:rPr>
                <w:rFonts w:ascii="Calibri" w:hAnsi="Calibri"/>
                <w:b w:val="0"/>
                <w:i w:val="0"/>
                <w:color w:val="101828"/>
                <w:sz w:val="14"/>
              </w:rPr>
              <w:t>No return, guarantee, insurance or investment may be offered or implied</w:t>
            </w:r>
          </w:p>
        </w:tc>
        <w:tc>
          <w:tcPr>
            <w:tcW w:type="dxa" w:w="1224"/>
            <w:tcMar>
              <w:top w:w="60" w:type="dxa"/>
              <w:start w:w="110" w:type="dxa"/>
              <w:bottom w:w="60" w:type="dxa"/>
              <w:end w:w="110" w:type="dxa"/>
            </w:tcMar>
          </w:tcPr>
          <w:p>
            <w:pPr>
              <w:spacing w:after="0"/>
            </w:pPr>
            <w:r/>
            <w:r>
              <w:rPr>
                <w:rFonts w:ascii="Calibri" w:hAnsi="Calibri"/>
                <w:b w:val="0"/>
                <w:i w:val="0"/>
                <w:color w:val="101828"/>
                <w:sz w:val="14"/>
              </w:rPr>
              <w:t>Regulatory and ethical</w:t>
            </w:r>
          </w:p>
        </w:tc>
        <w:tc>
          <w:tcPr>
            <w:tcW w:type="dxa" w:w="2952"/>
            <w:tcMar>
              <w:top w:w="60" w:type="dxa"/>
              <w:start w:w="110" w:type="dxa"/>
              <w:bottom w:w="60" w:type="dxa"/>
              <w:end w:w="110" w:type="dxa"/>
            </w:tcMar>
          </w:tcPr>
          <w:p>
            <w:pPr>
              <w:spacing w:after="0"/>
            </w:pPr>
            <w:r/>
            <w:r>
              <w:rPr>
                <w:rFonts w:ascii="Calibri" w:hAnsi="Calibri"/>
                <w:b w:val="0"/>
                <w:i w:val="0"/>
                <w:color w:val="101828"/>
                <w:sz w:val="14"/>
              </w:rPr>
              <w:t>Removes every high-margin adjacent revenue line. Monetisation is limited to the 2% fee at MVP.</w:t>
            </w:r>
          </w:p>
        </w:tc>
        <w:tc>
          <w:tcPr>
            <w:tcW w:type="dxa" w:w="2016"/>
            <w:tcMar>
              <w:top w:w="60" w:type="dxa"/>
              <w:start w:w="110" w:type="dxa"/>
              <w:bottom w:w="60" w:type="dxa"/>
              <w:end w:w="110" w:type="dxa"/>
            </w:tcMar>
          </w:tcPr>
          <w:p>
            <w:pPr>
              <w:spacing w:after="0"/>
            </w:pPr>
            <w:r/>
            <w:r>
              <w:rPr>
                <w:rFonts w:ascii="Calibri" w:hAnsi="Calibri"/>
                <w:b w:val="0"/>
                <w:i w:val="0"/>
                <w:color w:val="101828"/>
                <w:sz w:val="14"/>
              </w:rPr>
              <w:t>No. BR-027, BR-028</w:t>
            </w:r>
          </w:p>
        </w:tc>
      </w:tr>
    </w:tbl>
    <w:p>
      <w:pPr>
        <w:spacing w:after="80"/>
      </w:pPr>
    </w:p>
    <w:p>
      <w:pPr>
        <w:pStyle w:val="Heading2"/>
      </w:pPr>
      <w:r>
        <w:rPr>
          <w:rFonts w:ascii="Calibri" w:hAnsi="Calibri"/>
          <w:b/>
          <w:i w:val="0"/>
          <w:color w:val="146EF5"/>
          <w:sz w:val="29"/>
        </w:rPr>
        <w:t>1.25 Risks</w:t>
      </w:r>
    </w:p>
    <w:p>
      <w:r>
        <w:rPr>
          <w:rFonts w:ascii="Calibri" w:hAnsi="Calibri"/>
          <w:b w:val="0"/>
          <w:i w:val="0"/>
          <w:color w:val="101828"/>
          <w:sz w:val="21"/>
        </w:rPr>
        <w:t xml:space="preserve">Likelihood and impact are assessed on a High / Medium / Low scale before any operating data exists, and are </w:t>
      </w:r>
      <w:r>
        <w:rPr>
          <w:rFonts w:ascii="Calibri" w:hAnsi="Calibri"/>
          <w:b/>
          <w:color w:val="101828"/>
          <w:sz w:val="21"/>
        </w:rPr>
        <w:t>judgements, not measurements</w:t>
      </w:r>
      <w:r>
        <w:rPr>
          <w:rFonts w:ascii="Calibri" w:hAnsi="Calibri"/>
          <w:b w:val="0"/>
          <w:i w:val="0"/>
          <w:color w:val="101828"/>
          <w:sz w:val="21"/>
        </w:rPr>
        <w:t>. They must be re-scored after the first 50 completed Ajos. The scale is deliberately blunt: a risk rated High in either column requires a named owner and a review at every monthly product review until it falls.</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504"/>
            <w:shd w:val="clear" w:color="auto" w:fill="0B1F3A"/>
            <w:tcMar>
              <w:top w:w="60" w:type="dxa"/>
              <w:start w:w="110" w:type="dxa"/>
              <w:bottom w:w="60" w:type="dxa"/>
              <w:end w:w="110" w:type="dxa"/>
            </w:tcMar>
          </w:tcPr>
          <w:p>
            <w:pPr>
              <w:spacing w:after="0"/>
            </w:pPr>
            <w:r/>
            <w:r>
              <w:rPr>
                <w:rFonts w:ascii="Calibri" w:hAnsi="Calibri"/>
                <w:b/>
                <w:i w:val="0"/>
                <w:color w:val="FFFFFF"/>
                <w:sz w:val="14"/>
              </w:rPr>
              <w:t>ID</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4"/>
              </w:rPr>
              <w:t>Risk</w:t>
            </w:r>
          </w:p>
        </w:tc>
        <w:tc>
          <w:tcPr>
            <w:tcW w:type="dxa" w:w="864"/>
            <w:shd w:val="clear" w:color="auto" w:fill="0B1F3A"/>
            <w:tcMar>
              <w:top w:w="60" w:type="dxa"/>
              <w:start w:w="110" w:type="dxa"/>
              <w:bottom w:w="60" w:type="dxa"/>
              <w:end w:w="110" w:type="dxa"/>
            </w:tcMar>
          </w:tcPr>
          <w:p>
            <w:pPr>
              <w:spacing w:after="0"/>
            </w:pPr>
            <w:r/>
            <w:r>
              <w:rPr>
                <w:rFonts w:ascii="Calibri" w:hAnsi="Calibri"/>
                <w:b/>
                <w:i w:val="0"/>
                <w:color w:val="FFFFFF"/>
                <w:sz w:val="14"/>
              </w:rPr>
              <w:t>Likelihood</w:t>
            </w:r>
          </w:p>
        </w:tc>
        <w:tc>
          <w:tcPr>
            <w:tcW w:type="dxa" w:w="792"/>
            <w:shd w:val="clear" w:color="auto" w:fill="0B1F3A"/>
            <w:tcMar>
              <w:top w:w="60" w:type="dxa"/>
              <w:start w:w="110" w:type="dxa"/>
              <w:bottom w:w="60" w:type="dxa"/>
              <w:end w:w="110" w:type="dxa"/>
            </w:tcMar>
          </w:tcPr>
          <w:p>
            <w:pPr>
              <w:spacing w:after="0"/>
            </w:pPr>
            <w:r/>
            <w:r>
              <w:rPr>
                <w:rFonts w:ascii="Calibri" w:hAnsi="Calibri"/>
                <w:b/>
                <w:i w:val="0"/>
                <w:color w:val="FFFFFF"/>
                <w:sz w:val="14"/>
              </w:rPr>
              <w:t>Impact</w:t>
            </w:r>
          </w:p>
        </w:tc>
        <w:tc>
          <w:tcPr>
            <w:tcW w:type="dxa" w:w="3600"/>
            <w:shd w:val="clear" w:color="auto" w:fill="0B1F3A"/>
            <w:tcMar>
              <w:top w:w="60" w:type="dxa"/>
              <w:start w:w="110" w:type="dxa"/>
              <w:bottom w:w="60" w:type="dxa"/>
              <w:end w:w="110" w:type="dxa"/>
            </w:tcMar>
          </w:tcPr>
          <w:p>
            <w:pPr>
              <w:spacing w:after="0"/>
            </w:pPr>
            <w:r/>
            <w:r>
              <w:rPr>
                <w:rFonts w:ascii="Calibri" w:hAnsi="Calibri"/>
                <w:b/>
                <w:i w:val="0"/>
                <w:color w:val="FFFFFF"/>
                <w:sz w:val="14"/>
              </w:rPr>
              <w:t>Mitigation</w:t>
            </w:r>
          </w:p>
        </w:tc>
        <w:tc>
          <w:tcPr>
            <w:tcW w:type="dxa" w:w="864"/>
            <w:shd w:val="clear" w:color="auto" w:fill="0B1F3A"/>
            <w:tcMar>
              <w:top w:w="60" w:type="dxa"/>
              <w:start w:w="110" w:type="dxa"/>
              <w:bottom w:w="60" w:type="dxa"/>
              <w:end w:w="110" w:type="dxa"/>
            </w:tcMar>
          </w:tcPr>
          <w:p>
            <w:pPr>
              <w:spacing w:after="0"/>
            </w:pPr>
            <w:r/>
            <w:r>
              <w:rPr>
                <w:rFonts w:ascii="Calibri" w:hAnsi="Calibri"/>
                <w:b/>
                <w:i w:val="0"/>
                <w:color w:val="FFFFFF"/>
                <w:sz w:val="14"/>
              </w:rPr>
              <w:t>Owner</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4"/>
              </w:rPr>
              <w:t>R1</w:t>
            </w:r>
          </w:p>
        </w:tc>
        <w:tc>
          <w:tcPr>
            <w:tcW w:type="dxa" w:w="2304"/>
            <w:tcMar>
              <w:top w:w="60" w:type="dxa"/>
              <w:start w:w="110" w:type="dxa"/>
              <w:bottom w:w="60" w:type="dxa"/>
              <w:end w:w="110" w:type="dxa"/>
            </w:tcMar>
          </w:tcPr>
          <w:p>
            <w:pPr>
              <w:spacing w:after="0"/>
            </w:pPr>
            <w:r/>
            <w:r>
              <w:rPr>
                <w:rFonts w:ascii="Calibri" w:hAnsi="Calibri"/>
                <w:b w:val="0"/>
                <w:i w:val="0"/>
                <w:color w:val="101828"/>
                <w:sz w:val="14"/>
              </w:rPr>
              <w:t>Trust collapse from a failed or under-funded payout. A member is owed NGN 10,000.00 and does not receive it, or receives it late, and the story spreads through every WhatsApp group in the market.</w:t>
            </w:r>
          </w:p>
        </w:tc>
        <w:tc>
          <w:tcPr>
            <w:tcW w:type="dxa" w:w="864"/>
            <w:tcMar>
              <w:top w:w="60" w:type="dxa"/>
              <w:start w:w="110" w:type="dxa"/>
              <w:bottom w:w="60" w:type="dxa"/>
              <w:end w:w="110" w:type="dxa"/>
            </w:tcMar>
          </w:tcPr>
          <w:p>
            <w:pPr>
              <w:spacing w:after="0"/>
            </w:pPr>
            <w:r/>
            <w:r>
              <w:rPr>
                <w:rFonts w:ascii="Calibri" w:hAnsi="Calibri"/>
                <w:b w:val="0"/>
                <w:i w:val="0"/>
                <w:color w:val="101828"/>
                <w:sz w:val="14"/>
              </w:rPr>
              <w:t>Medium</w:t>
            </w:r>
          </w:p>
        </w:tc>
        <w:tc>
          <w:tcPr>
            <w:tcW w:type="dxa" w:w="792"/>
            <w:tcMar>
              <w:top w:w="60" w:type="dxa"/>
              <w:start w:w="110" w:type="dxa"/>
              <w:bottom w:w="60" w:type="dxa"/>
              <w:end w:w="110" w:type="dxa"/>
            </w:tcMar>
          </w:tcPr>
          <w:p>
            <w:pPr>
              <w:spacing w:after="0"/>
            </w:pPr>
            <w:r/>
            <w:r>
              <w:rPr>
                <w:rFonts w:ascii="Calibri" w:hAnsi="Calibri"/>
                <w:b w:val="0"/>
                <w:i w:val="0"/>
                <w:color w:val="101828"/>
                <w:sz w:val="14"/>
              </w:rPr>
              <w:t>Severe</w:t>
            </w:r>
          </w:p>
        </w:tc>
        <w:tc>
          <w:tcPr>
            <w:tcW w:type="dxa" w:w="3600"/>
            <w:tcMar>
              <w:top w:w="60" w:type="dxa"/>
              <w:start w:w="110" w:type="dxa"/>
              <w:bottom w:w="60" w:type="dxa"/>
              <w:end w:w="110" w:type="dxa"/>
            </w:tcMar>
          </w:tcPr>
          <w:p>
            <w:pPr>
              <w:spacing w:after="0"/>
            </w:pPr>
            <w:r/>
            <w:r>
              <w:rPr>
                <w:rFonts w:ascii="Calibri" w:hAnsi="Calibri"/>
                <w:b w:val="0"/>
                <w:i w:val="0"/>
                <w:color w:val="101828"/>
                <w:sz w:val="14"/>
              </w:rPr>
              <w:t>Payout funding principle (BR-018) forbids under-payment absolutely; escrow solvency assertion (BR-020) runs before every release; HELD state with mandatory notification to recipient and organizer (BR-017); a defined recovery process rather than improvisation; pilot gates on completing 10 Ajos end to end before any scale-up. Frequency of held payouts is a monitored metric (1.27).</w:t>
            </w:r>
          </w:p>
        </w:tc>
        <w:tc>
          <w:tcPr>
            <w:tcW w:type="dxa" w:w="864"/>
            <w:tcMar>
              <w:top w:w="60" w:type="dxa"/>
              <w:start w:w="110" w:type="dxa"/>
              <w:bottom w:w="60" w:type="dxa"/>
              <w:end w:w="110" w:type="dxa"/>
            </w:tcMar>
          </w:tcPr>
          <w:p>
            <w:pPr>
              <w:spacing w:after="0"/>
            </w:pPr>
            <w:r/>
            <w:r>
              <w:rPr>
                <w:rFonts w:ascii="Calibri" w:hAnsi="Calibri"/>
                <w:b w:val="0"/>
                <w:i w:val="0"/>
                <w:color w:val="101828"/>
                <w:sz w:val="14"/>
              </w:rPr>
              <w:t>Founders</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4"/>
              </w:rPr>
              <w:t>R2</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Regulatory misclassification. The activity is treated as an unlicensed deposit-taking or money-transfer operation, or a licensing requirement is discovered after launch.</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Medium</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4"/>
              </w:rPr>
              <w:t>Severe</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D-02 resolved in writing by qualified Nigerian counsel </w:t>
            </w:r>
            <w:r>
              <w:rPr>
                <w:rFonts w:ascii="Calibri" w:hAnsi="Calibri"/>
                <w:b/>
                <w:color w:val="101828"/>
                <w:sz w:val="14"/>
              </w:rPr>
              <w:t>before</w:t>
            </w:r>
            <w:r>
              <w:rPr>
                <w:rFonts w:ascii="Calibri" w:hAnsi="Calibri"/>
                <w:b w:val="0"/>
                <w:i w:val="0"/>
                <w:color w:val="101828"/>
                <w:sz w:val="14"/>
              </w:rPr>
              <w:t xml:space="preserve"> the first live contribution; the architecture keeps AJO.ng's custody exposure as low as the arrangement permits; the product contains no lending, no yield, no guarantee and no member-to-member transfer, which materially narrows the surface; a documented legal review gate in the launch checklist.</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Legal and Founders</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4"/>
              </w:rPr>
              <w:t>R3</w:t>
            </w:r>
          </w:p>
        </w:tc>
        <w:tc>
          <w:tcPr>
            <w:tcW w:type="dxa" w:w="2304"/>
            <w:tcMar>
              <w:top w:w="60" w:type="dxa"/>
              <w:start w:w="110" w:type="dxa"/>
              <w:bottom w:w="60" w:type="dxa"/>
              <w:end w:w="110" w:type="dxa"/>
            </w:tcMar>
          </w:tcPr>
          <w:p>
            <w:pPr>
              <w:spacing w:after="0"/>
            </w:pPr>
            <w:r/>
            <w:r>
              <w:rPr>
                <w:rFonts w:ascii="Calibri" w:hAnsi="Calibri"/>
                <w:b w:val="0"/>
                <w:i w:val="0"/>
                <w:color w:val="101828"/>
                <w:sz w:val="14"/>
              </w:rPr>
              <w:t>Unit economics fail. Provider collection and payout charges consume most or all of the 2% gross fee, so the business is loss-making at scale.</w:t>
            </w:r>
          </w:p>
        </w:tc>
        <w:tc>
          <w:tcPr>
            <w:tcW w:type="dxa" w:w="864"/>
            <w:tcMar>
              <w:top w:w="60" w:type="dxa"/>
              <w:start w:w="110" w:type="dxa"/>
              <w:bottom w:w="60" w:type="dxa"/>
              <w:end w:w="110" w:type="dxa"/>
            </w:tcMar>
          </w:tcPr>
          <w:p>
            <w:pPr>
              <w:spacing w:after="0"/>
            </w:pPr>
            <w:r/>
            <w:r>
              <w:rPr>
                <w:rFonts w:ascii="Calibri" w:hAnsi="Calibri"/>
                <w:b w:val="0"/>
                <w:i w:val="0"/>
                <w:color w:val="101828"/>
                <w:sz w:val="14"/>
              </w:rPr>
              <w:t>Medium</w:t>
            </w:r>
          </w:p>
        </w:tc>
        <w:tc>
          <w:tcPr>
            <w:tcW w:type="dxa" w:w="792"/>
            <w:tcMar>
              <w:top w:w="60" w:type="dxa"/>
              <w:start w:w="110" w:type="dxa"/>
              <w:bottom w:w="60" w:type="dxa"/>
              <w:end w:w="110" w:type="dxa"/>
            </w:tcMar>
          </w:tcPr>
          <w:p>
            <w:pPr>
              <w:spacing w:after="0"/>
            </w:pPr>
            <w:r/>
            <w:r>
              <w:rPr>
                <w:rFonts w:ascii="Calibri" w:hAnsi="Calibri"/>
                <w:b w:val="0"/>
                <w:i w:val="0"/>
                <w:color w:val="101828"/>
                <w:sz w:val="14"/>
              </w:rPr>
              <w:t>High</w:t>
            </w:r>
          </w:p>
        </w:tc>
        <w:tc>
          <w:tcPr>
            <w:tcW w:type="dxa" w:w="3600"/>
            <w:tcMar>
              <w:top w:w="60" w:type="dxa"/>
              <w:start w:w="110" w:type="dxa"/>
              <w:bottom w:w="60" w:type="dxa"/>
              <w:end w:w="110" w:type="dxa"/>
            </w:tcMar>
          </w:tcPr>
          <w:p>
            <w:pPr>
              <w:spacing w:after="0"/>
            </w:pPr>
            <w:r/>
            <w:r>
              <w:rPr>
                <w:rFonts w:ascii="Calibri" w:hAnsi="Calibri"/>
                <w:b w:val="0"/>
                <w:i w:val="0"/>
                <w:color w:val="101828"/>
                <w:sz w:val="14"/>
              </w:rPr>
              <w:t>Written pricing obtained before the fee is publicised (D-03); a full cost model built before launch; the decision to abandon the fee model taken deliberately and early rather than discovered late; monthly gross-to-net reporting; the fee never being raised on existing members (BR-026), so the model must work at 2% or not at all.</w:t>
            </w:r>
          </w:p>
        </w:tc>
        <w:tc>
          <w:tcPr>
            <w:tcW w:type="dxa" w:w="864"/>
            <w:tcMar>
              <w:top w:w="60" w:type="dxa"/>
              <w:start w:w="110" w:type="dxa"/>
              <w:bottom w:w="60" w:type="dxa"/>
              <w:end w:w="110" w:type="dxa"/>
            </w:tcMar>
          </w:tcPr>
          <w:p>
            <w:pPr>
              <w:spacing w:after="0"/>
            </w:pPr>
            <w:r/>
            <w:r>
              <w:rPr>
                <w:rFonts w:ascii="Calibri" w:hAnsi="Calibri"/>
                <w:b w:val="0"/>
                <w:i w:val="0"/>
                <w:color w:val="101828"/>
                <w:sz w:val="14"/>
              </w:rPr>
              <w:t>Founders</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4"/>
              </w:rPr>
              <w:t>R4</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Fraud and default. A member joins with false identity, takes a position, collects the pot and disappears, or enlises accomplices to farm invited Ajos.</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Medium</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4"/>
              </w:rPr>
              <w:t>High</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BVN or CAC verification above a configurable threshold (D-04); contribution and Ajo size caps (D-08); position and reordering controls; risk event monitoring; freeze capability for </w:t>
            </w:r>
            <w:r>
              <w:rPr>
                <w:rFonts w:ascii="Consolas" w:hAnsi="Consolas"/>
                <w:color w:val="146EF5"/>
                <w:sz w:val="14"/>
              </w:rPr>
              <w:t>risk_officer</w:t>
            </w:r>
            <w:r>
              <w:rPr>
                <w:rFonts w:ascii="Calibri" w:hAnsi="Calibri"/>
                <w:b w:val="0"/>
                <w:i w:val="0"/>
                <w:color w:val="101828"/>
                <w:sz w:val="14"/>
              </w:rPr>
              <w:t>; default detection at the grace boundary; the append-only ledger making concealment materially harder; limits reviewed at 30, 60 and 90 days.</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Risk</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4"/>
              </w:rPr>
              <w:t>R5</w:t>
            </w:r>
          </w:p>
        </w:tc>
        <w:tc>
          <w:tcPr>
            <w:tcW w:type="dxa" w:w="2304"/>
            <w:tcMar>
              <w:top w:w="60" w:type="dxa"/>
              <w:start w:w="110" w:type="dxa"/>
              <w:bottom w:w="60" w:type="dxa"/>
              <w:end w:w="110" w:type="dxa"/>
            </w:tcMar>
          </w:tcPr>
          <w:p>
            <w:pPr>
              <w:spacing w:after="0"/>
            </w:pPr>
            <w:r/>
            <w:r>
              <w:rPr>
                <w:rFonts w:ascii="Calibri" w:hAnsi="Calibri"/>
                <w:b w:val="0"/>
                <w:i w:val="0"/>
                <w:color w:val="101828"/>
                <w:sz w:val="14"/>
              </w:rPr>
              <w:t>Provider dependency. ProvidusUnity raises prices, changes terms, degrades, fails, or exits, and there is no second provider.</w:t>
            </w:r>
          </w:p>
        </w:tc>
        <w:tc>
          <w:tcPr>
            <w:tcW w:type="dxa" w:w="864"/>
            <w:tcMar>
              <w:top w:w="60" w:type="dxa"/>
              <w:start w:w="110" w:type="dxa"/>
              <w:bottom w:w="60" w:type="dxa"/>
              <w:end w:w="110" w:type="dxa"/>
            </w:tcMar>
          </w:tcPr>
          <w:p>
            <w:pPr>
              <w:spacing w:after="0"/>
            </w:pPr>
            <w:r/>
            <w:r>
              <w:rPr>
                <w:rFonts w:ascii="Calibri" w:hAnsi="Calibri"/>
                <w:b w:val="0"/>
                <w:i w:val="0"/>
                <w:color w:val="101828"/>
                <w:sz w:val="14"/>
              </w:rPr>
              <w:t>Medium</w:t>
            </w:r>
          </w:p>
        </w:tc>
        <w:tc>
          <w:tcPr>
            <w:tcW w:type="dxa" w:w="792"/>
            <w:tcMar>
              <w:top w:w="60" w:type="dxa"/>
              <w:start w:w="110" w:type="dxa"/>
              <w:bottom w:w="60" w:type="dxa"/>
              <w:end w:w="110" w:type="dxa"/>
            </w:tcMar>
          </w:tcPr>
          <w:p>
            <w:pPr>
              <w:spacing w:after="0"/>
            </w:pPr>
            <w:r/>
            <w:r>
              <w:rPr>
                <w:rFonts w:ascii="Calibri" w:hAnsi="Calibri"/>
                <w:b w:val="0"/>
                <w:i w:val="0"/>
                <w:color w:val="101828"/>
                <w:sz w:val="14"/>
              </w:rPr>
              <w:t>High</w:t>
            </w:r>
          </w:p>
        </w:tc>
        <w:tc>
          <w:tcPr>
            <w:tcW w:type="dxa" w:w="3600"/>
            <w:tcMar>
              <w:top w:w="60" w:type="dxa"/>
              <w:start w:w="110" w:type="dxa"/>
              <w:bottom w:w="60" w:type="dxa"/>
              <w:end w:w="110" w:type="dxa"/>
            </w:tcMar>
          </w:tcPr>
          <w:p>
            <w:pPr>
              <w:spacing w:after="0"/>
            </w:pPr>
            <w:r/>
            <w:r>
              <w:rPr>
                <w:rFonts w:ascii="Calibri" w:hAnsi="Calibri"/>
                <w:b w:val="0"/>
                <w:i w:val="0"/>
                <w:color w:val="101828"/>
                <w:sz w:val="14"/>
              </w:rPr>
              <w:t>All provider interaction behind a documented adapter interface; webhook idempotency and replay protection; reconciliation runs that recover state from any outage; the escrow solvency assertion independent of the provider; a second provider treated as a post-MVP objective rather than claimed as existing (NFR-AVL-004); no provider capability asserted as fact anywhere in this document.</w:t>
            </w:r>
          </w:p>
        </w:tc>
        <w:tc>
          <w:tcPr>
            <w:tcW w:type="dxa" w:w="864"/>
            <w:tcMar>
              <w:top w:w="60" w:type="dxa"/>
              <w:start w:w="110" w:type="dxa"/>
              <w:bottom w:w="60" w:type="dxa"/>
              <w:end w:w="110" w:type="dxa"/>
            </w:tcMar>
          </w:tcPr>
          <w:p>
            <w:pPr>
              <w:spacing w:after="0"/>
            </w:pPr>
            <w:r/>
            <w:r>
              <w:rPr>
                <w:rFonts w:ascii="Calibri" w:hAnsi="Calibri"/>
                <w:b w:val="0"/>
                <w:i w:val="0"/>
                <w:color w:val="101828"/>
                <w:sz w:val="14"/>
              </w:rPr>
              <w:t>Engineering and Founders</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4"/>
              </w:rPr>
              <w:t>R6</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Low frequency kills retention. An Ajo is a monthly or market-cycle event, so the product is opened rarely, and Chidi uninstalls because he is notified about something he has already handled.</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High</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4"/>
              </w:rPr>
              <w:t>High</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4"/>
              </w:rPr>
              <w:t>Notification policy: two notifications per round, SMS reserved for money-critical and security events only (BR-014 family, FR-NOTIF-003); notification preferences as a first-class feature with an unsubscribe; success measured on completed cycles and repeat participation, not on daily actives; retention measured as second-Ajo participation (KPI K-09).</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Product</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4"/>
              </w:rPr>
              <w:t>R7</w:t>
            </w:r>
          </w:p>
        </w:tc>
        <w:tc>
          <w:tcPr>
            <w:tcW w:type="dxa" w:w="2304"/>
            <w:tcMar>
              <w:top w:w="60" w:type="dxa"/>
              <w:start w:w="110" w:type="dxa"/>
              <w:bottom w:w="60" w:type="dxa"/>
              <w:end w:w="110" w:type="dxa"/>
            </w:tcMar>
          </w:tcPr>
          <w:p>
            <w:pPr>
              <w:spacing w:after="0"/>
            </w:pPr>
            <w:r/>
            <w:r>
              <w:rPr>
                <w:rFonts w:ascii="Calibri" w:hAnsi="Calibri"/>
                <w:b w:val="0"/>
                <w:i w:val="0"/>
                <w:color w:val="101828"/>
                <w:sz w:val="14"/>
              </w:rPr>
              <w:t>Competition from WhatsApp. Members conclude that the free group they already have is good enough and the 2% fee is not worth paying.</w:t>
            </w:r>
          </w:p>
        </w:tc>
        <w:tc>
          <w:tcPr>
            <w:tcW w:type="dxa" w:w="864"/>
            <w:tcMar>
              <w:top w:w="60" w:type="dxa"/>
              <w:start w:w="110" w:type="dxa"/>
              <w:bottom w:w="60" w:type="dxa"/>
              <w:end w:w="110" w:type="dxa"/>
            </w:tcMar>
          </w:tcPr>
          <w:p>
            <w:pPr>
              <w:spacing w:after="0"/>
            </w:pPr>
            <w:r/>
            <w:r>
              <w:rPr>
                <w:rFonts w:ascii="Calibri" w:hAnsi="Calibri"/>
                <w:b w:val="0"/>
                <w:i w:val="0"/>
                <w:color w:val="101828"/>
                <w:sz w:val="14"/>
              </w:rPr>
              <w:t>High</w:t>
            </w:r>
          </w:p>
        </w:tc>
        <w:tc>
          <w:tcPr>
            <w:tcW w:type="dxa" w:w="792"/>
            <w:tcMar>
              <w:top w:w="60" w:type="dxa"/>
              <w:start w:w="110" w:type="dxa"/>
              <w:bottom w:w="60" w:type="dxa"/>
              <w:end w:w="110" w:type="dxa"/>
            </w:tcMar>
          </w:tcPr>
          <w:p>
            <w:pPr>
              <w:spacing w:after="0"/>
            </w:pPr>
            <w:r/>
            <w:r>
              <w:rPr>
                <w:rFonts w:ascii="Calibri" w:hAnsi="Calibri"/>
                <w:b w:val="0"/>
                <w:i w:val="0"/>
                <w:color w:val="101828"/>
                <w:sz w:val="14"/>
              </w:rPr>
              <w:t>Medium</w:t>
            </w:r>
          </w:p>
        </w:tc>
        <w:tc>
          <w:tcPr>
            <w:tcW w:type="dxa" w:w="3600"/>
            <w:tcMar>
              <w:top w:w="60" w:type="dxa"/>
              <w:start w:w="110" w:type="dxa"/>
              <w:bottom w:w="60" w:type="dxa"/>
              <w:end w:w="110" w:type="dxa"/>
            </w:tcMar>
          </w:tcPr>
          <w:p>
            <w:pPr>
              <w:spacing w:after="0"/>
            </w:pPr>
            <w:r/>
            <w:r>
              <w:rPr>
                <w:rFonts w:ascii="Calibri" w:hAnsi="Calibri"/>
                <w:b w:val="0"/>
                <w:i w:val="0"/>
                <w:color w:val="101828"/>
                <w:sz w:val="14"/>
              </w:rPr>
              <w:t>Positioning on the things WhatsApp structurally cannot do: an immutable ledger, receipts, a locked schedule, escrow solvency, evidence-based disputes and a durable statement. Organisers onboarded with the time saved made explicit. The pilot must produce a measurable before-and-after on organiser time, because that is the argument that converts, not the feature list.</w:t>
            </w:r>
          </w:p>
        </w:tc>
        <w:tc>
          <w:tcPr>
            <w:tcW w:type="dxa" w:w="864"/>
            <w:tcMar>
              <w:top w:w="60" w:type="dxa"/>
              <w:start w:w="110" w:type="dxa"/>
              <w:bottom w:w="60" w:type="dxa"/>
              <w:end w:w="110" w:type="dxa"/>
            </w:tcMar>
          </w:tcPr>
          <w:p>
            <w:pPr>
              <w:spacing w:after="0"/>
            </w:pPr>
            <w:r/>
            <w:r>
              <w:rPr>
                <w:rFonts w:ascii="Calibri" w:hAnsi="Calibri"/>
                <w:b w:val="0"/>
                <w:i w:val="0"/>
                <w:color w:val="101828"/>
                <w:sz w:val="14"/>
              </w:rPr>
              <w:t>Founders and Product</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4"/>
              </w:rPr>
              <w:t>R8</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Organiser abandonment. Organisers stop because the product makes their job harder, not easier, and Ajos die with them.</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Medium</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4"/>
              </w:rPr>
              <w:t>High</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4"/>
              </w:rPr>
              <w:t>Organiser console as a first-class surface (F20); reminders handled by software rather than by hand (FR-MEM-004); organiser delegation (FR-AJO-012); the time-saved hypothesis tested directly in the pilot (A-03) before scale; Ajo dormancy detection and outreach as a retention feature.</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Product</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4"/>
              </w:rPr>
              <w:t>R9</w:t>
            </w:r>
          </w:p>
        </w:tc>
        <w:tc>
          <w:tcPr>
            <w:tcW w:type="dxa" w:w="2304"/>
            <w:tcMar>
              <w:top w:w="60" w:type="dxa"/>
              <w:start w:w="110" w:type="dxa"/>
              <w:bottom w:w="60" w:type="dxa"/>
              <w:end w:w="110" w:type="dxa"/>
            </w:tcMar>
          </w:tcPr>
          <w:p>
            <w:pPr>
              <w:spacing w:after="0"/>
            </w:pPr>
            <w:r/>
            <w:r>
              <w:rPr>
                <w:rFonts w:ascii="Calibri" w:hAnsi="Calibri"/>
                <w:b w:val="0"/>
                <w:i w:val="0"/>
                <w:color w:val="101828"/>
                <w:sz w:val="14"/>
              </w:rPr>
              <w:t>Fee shock at scale. A member discovers the 2% at the moment of payment despite disclosure, and reacts as though AJO.ng stole from the pool.</w:t>
            </w:r>
          </w:p>
        </w:tc>
        <w:tc>
          <w:tcPr>
            <w:tcW w:type="dxa" w:w="864"/>
            <w:tcMar>
              <w:top w:w="60" w:type="dxa"/>
              <w:start w:w="110" w:type="dxa"/>
              <w:bottom w:w="60" w:type="dxa"/>
              <w:end w:w="110" w:type="dxa"/>
            </w:tcMar>
          </w:tcPr>
          <w:p>
            <w:pPr>
              <w:spacing w:after="0"/>
            </w:pPr>
            <w:r/>
            <w:r>
              <w:rPr>
                <w:rFonts w:ascii="Calibri" w:hAnsi="Calibri"/>
                <w:b w:val="0"/>
                <w:i w:val="0"/>
                <w:color w:val="101828"/>
                <w:sz w:val="14"/>
              </w:rPr>
              <w:t>Low</w:t>
            </w:r>
          </w:p>
        </w:tc>
        <w:tc>
          <w:tcPr>
            <w:tcW w:type="dxa" w:w="792"/>
            <w:tcMar>
              <w:top w:w="60" w:type="dxa"/>
              <w:start w:w="110" w:type="dxa"/>
              <w:bottom w:w="60" w:type="dxa"/>
              <w:end w:w="110" w:type="dxa"/>
            </w:tcMar>
          </w:tcPr>
          <w:p>
            <w:pPr>
              <w:spacing w:after="0"/>
            </w:pPr>
            <w:r/>
            <w:r>
              <w:rPr>
                <w:rFonts w:ascii="Calibri" w:hAnsi="Calibri"/>
                <w:b w:val="0"/>
                <w:i w:val="0"/>
                <w:color w:val="101828"/>
                <w:sz w:val="14"/>
              </w:rPr>
              <w:t>High</w:t>
            </w:r>
          </w:p>
        </w:tc>
        <w:tc>
          <w:tcPr>
            <w:tcW w:type="dxa" w:w="3600"/>
            <w:tcMar>
              <w:top w:w="60" w:type="dxa"/>
              <w:start w:w="110" w:type="dxa"/>
              <w:bottom w:w="60" w:type="dxa"/>
              <w:end w:w="110" w:type="dxa"/>
            </w:tcMar>
          </w:tcPr>
          <w:p>
            <w:pPr>
              <w:spacing w:after="0"/>
            </w:pPr>
            <w:r/>
            <w:r>
              <w:rPr>
                <w:rFonts w:ascii="Calibri" w:hAnsi="Calibri"/>
                <w:b w:val="0"/>
                <w:i w:val="0"/>
                <w:color w:val="101828"/>
                <w:sz w:val="14"/>
              </w:rPr>
              <w:t>Mandatory pre-commitment disclosure on the invitation, the join confirmation and the Ajo details screen (BR-011, FR-INV-002, FR-JOIN-003); itemised receipts; the base pool stated explicitly in the worked example; a UI test that fails if the fee is not rendered as a separate line on any money screen.</w:t>
            </w:r>
          </w:p>
        </w:tc>
        <w:tc>
          <w:tcPr>
            <w:tcW w:type="dxa" w:w="864"/>
            <w:tcMar>
              <w:top w:w="60" w:type="dxa"/>
              <w:start w:w="110" w:type="dxa"/>
              <w:bottom w:w="60" w:type="dxa"/>
              <w:end w:w="110" w:type="dxa"/>
            </w:tcMar>
          </w:tcPr>
          <w:p>
            <w:pPr>
              <w:spacing w:after="0"/>
            </w:pPr>
            <w:r/>
            <w:r>
              <w:rPr>
                <w:rFonts w:ascii="Calibri" w:hAnsi="Calibri"/>
                <w:b w:val="0"/>
                <w:i w:val="0"/>
                <w:color w:val="101828"/>
                <w:sz w:val="14"/>
              </w:rPr>
              <w:t>Product</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4"/>
              </w:rPr>
              <w:t>R10</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Data protection breach or unlawful processing of identity data.</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Low</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4"/>
              </w:rPr>
              <w:t>Severe</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4"/>
              </w:rPr>
              <w:t>Raw BVN and CAC identifiers never stored (FR-KYC-001, FR-KYC-002); data minimisation; explicit lawful-basis and retention review by counsel before launch; a user-facing data export and deletion mechanism; audit of every privileged data access; incident response plan owned and rehearsed.</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Engineering and Legal</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4"/>
              </w:rPr>
              <w:t>R11</w:t>
            </w:r>
          </w:p>
        </w:tc>
        <w:tc>
          <w:tcPr>
            <w:tcW w:type="dxa" w:w="2304"/>
            <w:tcMar>
              <w:top w:w="60" w:type="dxa"/>
              <w:start w:w="110" w:type="dxa"/>
              <w:bottom w:w="60" w:type="dxa"/>
              <w:end w:w="110" w:type="dxa"/>
            </w:tcMar>
          </w:tcPr>
          <w:p>
            <w:pPr>
              <w:spacing w:after="0"/>
            </w:pPr>
            <w:r/>
            <w:r>
              <w:rPr>
                <w:rFonts w:ascii="Calibri" w:hAnsi="Calibri"/>
                <w:b w:val="0"/>
                <w:i w:val="0"/>
                <w:color w:val="101828"/>
                <w:sz w:val="14"/>
              </w:rPr>
              <w:t>Key-person dependency on the founders. Product, relationships and domain knowledge sit with two people, and a disruption stops the company.</w:t>
            </w:r>
          </w:p>
        </w:tc>
        <w:tc>
          <w:tcPr>
            <w:tcW w:type="dxa" w:w="864"/>
            <w:tcMar>
              <w:top w:w="60" w:type="dxa"/>
              <w:start w:w="110" w:type="dxa"/>
              <w:bottom w:w="60" w:type="dxa"/>
              <w:end w:w="110" w:type="dxa"/>
            </w:tcMar>
          </w:tcPr>
          <w:p>
            <w:pPr>
              <w:spacing w:after="0"/>
            </w:pPr>
            <w:r/>
            <w:r>
              <w:rPr>
                <w:rFonts w:ascii="Calibri" w:hAnsi="Calibri"/>
                <w:b w:val="0"/>
                <w:i w:val="0"/>
                <w:color w:val="101828"/>
                <w:sz w:val="14"/>
              </w:rPr>
              <w:t>Medium</w:t>
            </w:r>
          </w:p>
        </w:tc>
        <w:tc>
          <w:tcPr>
            <w:tcW w:type="dxa" w:w="792"/>
            <w:tcMar>
              <w:top w:w="60" w:type="dxa"/>
              <w:start w:w="110" w:type="dxa"/>
              <w:bottom w:w="60" w:type="dxa"/>
              <w:end w:w="110" w:type="dxa"/>
            </w:tcMar>
          </w:tcPr>
          <w:p>
            <w:pPr>
              <w:spacing w:after="0"/>
            </w:pPr>
            <w:r/>
            <w:r>
              <w:rPr>
                <w:rFonts w:ascii="Calibri" w:hAnsi="Calibri"/>
                <w:b w:val="0"/>
                <w:i w:val="0"/>
                <w:color w:val="101828"/>
                <w:sz w:val="14"/>
              </w:rPr>
              <w:t>High</w:t>
            </w:r>
          </w:p>
        </w:tc>
        <w:tc>
          <w:tcPr>
            <w:tcW w:type="dxa" w:w="3600"/>
            <w:tcMar>
              <w:top w:w="60" w:type="dxa"/>
              <w:start w:w="110" w:type="dxa"/>
              <w:bottom w:w="60" w:type="dxa"/>
              <w:end w:w="110" w:type="dxa"/>
            </w:tcMar>
          </w:tcPr>
          <w:p>
            <w:pPr>
              <w:spacing w:after="0"/>
            </w:pPr>
            <w:r/>
            <w:r>
              <w:rPr>
                <w:rFonts w:ascii="Calibri" w:hAnsi="Calibri"/>
                <w:b w:val="0"/>
                <w:i w:val="0"/>
                <w:color w:val="101828"/>
                <w:sz w:val="14"/>
              </w:rPr>
              <w:t>This specification document is itself a mitigation: the rules, states, fee model and constraints are written down rather than held in memory. Documented decision records. Successor organisers and operators trained during the pilot rather than after it.</w:t>
            </w:r>
          </w:p>
        </w:tc>
        <w:tc>
          <w:tcPr>
            <w:tcW w:type="dxa" w:w="864"/>
            <w:tcMar>
              <w:top w:w="60" w:type="dxa"/>
              <w:start w:w="110" w:type="dxa"/>
              <w:bottom w:w="60" w:type="dxa"/>
              <w:end w:w="110" w:type="dxa"/>
            </w:tcMar>
          </w:tcPr>
          <w:p>
            <w:pPr>
              <w:spacing w:after="0"/>
            </w:pPr>
            <w:r/>
            <w:r>
              <w:rPr>
                <w:rFonts w:ascii="Calibri" w:hAnsi="Calibri"/>
                <w:b w:val="0"/>
                <w:i w:val="0"/>
                <w:color w:val="101828"/>
                <w:sz w:val="14"/>
              </w:rPr>
              <w:t>Founders</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4"/>
              </w:rPr>
              <w:t>R12</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Organisers misuse the platform. A commercial organiser runs many Ajos, solicits participation for a fee, or becomes a de facto sub-platform.</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Medium</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4"/>
              </w:rPr>
              <w:t>Medium</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4"/>
              </w:rPr>
              <w:t>Per-organizer Ajo and volume limits (D-08); monitoring of organiser concentration and default rates; terms prohibiting solicitation for gain, reviewed by counsel; freeze capability; rate limits on invitations (FR-INV-005).</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Risk</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4"/>
              </w:rPr>
              <w:t>R13</w:t>
            </w:r>
          </w:p>
        </w:tc>
        <w:tc>
          <w:tcPr>
            <w:tcW w:type="dxa" w:w="2304"/>
            <w:tcMar>
              <w:top w:w="60" w:type="dxa"/>
              <w:start w:w="110" w:type="dxa"/>
              <w:bottom w:w="60" w:type="dxa"/>
              <w:end w:w="110" w:type="dxa"/>
            </w:tcMar>
          </w:tcPr>
          <w:p>
            <w:pPr>
              <w:spacing w:after="0"/>
            </w:pPr>
            <w:r/>
            <w:r>
              <w:rPr>
                <w:rFonts w:ascii="Calibri" w:hAnsi="Calibri"/>
                <w:b w:val="0"/>
                <w:i w:val="0"/>
                <w:color w:val="101828"/>
                <w:sz w:val="14"/>
              </w:rPr>
              <w:t>Support and risk roles are staffed on paper only, so a freeze, an unlock or a dispute cannot actually be actioned by a human.</w:t>
            </w:r>
          </w:p>
        </w:tc>
        <w:tc>
          <w:tcPr>
            <w:tcW w:type="dxa" w:w="864"/>
            <w:tcMar>
              <w:top w:w="60" w:type="dxa"/>
              <w:start w:w="110" w:type="dxa"/>
              <w:bottom w:w="60" w:type="dxa"/>
              <w:end w:w="110" w:type="dxa"/>
            </w:tcMar>
          </w:tcPr>
          <w:p>
            <w:pPr>
              <w:spacing w:after="0"/>
            </w:pPr>
            <w:r/>
            <w:r>
              <w:rPr>
                <w:rFonts w:ascii="Calibri" w:hAnsi="Calibri"/>
                <w:b w:val="0"/>
                <w:i w:val="0"/>
                <w:color w:val="101828"/>
                <w:sz w:val="14"/>
              </w:rPr>
              <w:t>Medium</w:t>
            </w:r>
          </w:p>
        </w:tc>
        <w:tc>
          <w:tcPr>
            <w:tcW w:type="dxa" w:w="792"/>
            <w:tcMar>
              <w:top w:w="60" w:type="dxa"/>
              <w:start w:w="110" w:type="dxa"/>
              <w:bottom w:w="60" w:type="dxa"/>
              <w:end w:w="110" w:type="dxa"/>
            </w:tcMar>
          </w:tcPr>
          <w:p>
            <w:pPr>
              <w:spacing w:after="0"/>
            </w:pPr>
            <w:r/>
            <w:r>
              <w:rPr>
                <w:rFonts w:ascii="Calibri" w:hAnsi="Calibri"/>
                <w:b w:val="0"/>
                <w:i w:val="0"/>
                <w:color w:val="101828"/>
                <w:sz w:val="14"/>
              </w:rPr>
              <w:t>High</w:t>
            </w:r>
          </w:p>
        </w:tc>
        <w:tc>
          <w:tcPr>
            <w:tcW w:type="dxa" w:w="3600"/>
            <w:tcMar>
              <w:top w:w="60" w:type="dxa"/>
              <w:start w:w="110" w:type="dxa"/>
              <w:bottom w:w="60" w:type="dxa"/>
              <w:end w:w="110" w:type="dxa"/>
            </w:tcMar>
          </w:tcPr>
          <w:p>
            <w:pPr>
              <w:spacing w:after="0"/>
            </w:pPr>
            <w:r/>
            <w:r>
              <w:rPr>
                <w:rFonts w:ascii="Calibri" w:hAnsi="Calibri"/>
                <w:b w:val="0"/>
                <w:i w:val="0"/>
                <w:color w:val="101828"/>
                <w:sz w:val="14"/>
              </w:rPr>
              <w:t>Role definitions that separate reading from moving money are worthless without staffed humans; staffing and runbook requirements stated as launch gates in DEP-11 and DEP-12; escalation paths defined before launch; measured response-time targets once live.</w:t>
            </w:r>
          </w:p>
        </w:tc>
        <w:tc>
          <w:tcPr>
            <w:tcW w:type="dxa" w:w="864"/>
            <w:tcMar>
              <w:top w:w="60" w:type="dxa"/>
              <w:start w:w="110" w:type="dxa"/>
              <w:bottom w:w="60" w:type="dxa"/>
              <w:end w:w="110" w:type="dxa"/>
            </w:tcMar>
          </w:tcPr>
          <w:p>
            <w:pPr>
              <w:spacing w:after="0"/>
            </w:pPr>
            <w:r/>
            <w:r>
              <w:rPr>
                <w:rFonts w:ascii="Calibri" w:hAnsi="Calibri"/>
                <w:b w:val="0"/>
                <w:i w:val="0"/>
                <w:color w:val="101828"/>
                <w:sz w:val="14"/>
              </w:rPr>
              <w:t>Operations</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4"/>
              </w:rPr>
              <w:t>R14</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4"/>
              </w:rPr>
              <w:t>Ledger or solvency defects. A bug, a race or a partial failure produces an unbalanced ledger, a false balance, or a disbursement against an unraised liability.</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Low</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4"/>
              </w:rPr>
              <w:t>Severe</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4"/>
              </w:rPr>
              <w:t>Every transaction balances to zero or is rejected (BR-013); the recognition sequence is mandatory and ordered (BR-021); the solvency assertion is not bypassable by any role (BR-020); ledger tables are append-only with no update or delete path (BR-025); daily reconciliation against provider settlements (NFR-AUD-005); automated invariant checks on every write path, with any exception raising a risk event that cannot be silently closed.</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Engineering</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The compounding risk  </w:t>
      </w:r>
      <w:r>
        <w:rPr>
          <w:rFonts w:ascii="Calibri" w:hAnsi="Calibri"/>
          <w:b w:val="0"/>
          <w:i w:val="0"/>
          <w:color w:val="0B1F3A"/>
          <w:sz w:val="19"/>
        </w:rPr>
        <w:t>R1, R3, R7 and R8 are the same failure seen from four sides: a member is not paid on time, the margin does not cover the recovery, the group concludes WhatsApp was right all along, and the organiser quietly stops using the product. They are sequenced deliberately. R1 is managed first, without exception, because it is the only one that can end the business in a single event rather than degrade it gradually.</w:t>
      </w:r>
    </w:p>
    <w:p>
      <w:pPr>
        <w:pStyle w:val="Heading2"/>
      </w:pPr>
      <w:r>
        <w:rPr>
          <w:rFonts w:ascii="Calibri" w:hAnsi="Calibri"/>
          <w:b/>
          <w:i w:val="0"/>
          <w:color w:val="146EF5"/>
          <w:sz w:val="29"/>
        </w:rPr>
        <w:t>1.26 Success metrics</w:t>
      </w:r>
    </w:p>
    <w:p>
      <w:r>
        <w:rPr>
          <w:rFonts w:ascii="Calibri" w:hAnsi="Calibri"/>
          <w:b w:val="0"/>
          <w:i w:val="0"/>
          <w:color w:val="101828"/>
          <w:sz w:val="21"/>
        </w:rPr>
        <w:t xml:space="preserve">Success for AJO.ng is not transaction volume. It is </w:t>
      </w:r>
      <w:r>
        <w:rPr>
          <w:rFonts w:ascii="Calibri" w:hAnsi="Calibri"/>
          <w:b/>
          <w:color w:val="101828"/>
          <w:sz w:val="21"/>
        </w:rPr>
        <w:t>Ajos that complete correctly and members who come back</w:t>
      </w:r>
      <w:r>
        <w:rPr>
          <w:rFonts w:ascii="Calibri" w:hAnsi="Calibri"/>
          <w:b w:val="0"/>
          <w:i w:val="0"/>
          <w:color w:val="101828"/>
          <w:sz w:val="21"/>
        </w:rPr>
        <w:t>. The metrics below are chosen so that the easiest thing to inflate is the thing that matters least.</w:t>
      </w:r>
    </w:p>
    <w:p>
      <w:pPr>
        <w:pStyle w:val="Heading3"/>
      </w:pPr>
      <w:r>
        <w:rPr>
          <w:rFonts w:ascii="Calibri" w:hAnsi="Calibri"/>
          <w:b/>
          <w:i w:val="0"/>
          <w:color w:val="0B1F3A"/>
          <w:sz w:val="24"/>
        </w:rPr>
        <w:t>1.26.1 What success means, in order of importance</w:t>
      </w:r>
    </w:p>
    <w:p>
      <w:pPr>
        <w:pStyle w:val="ListNumber"/>
        <w:spacing w:after="60"/>
        <w:ind w:left="432"/>
      </w:pPr>
      <w:r>
        <w:rPr>
          <w:rFonts w:ascii="Calibri" w:hAnsi="Calibri"/>
          <w:b w:val="0"/>
          <w:i w:val="0"/>
          <w:color w:val="101828"/>
          <w:sz w:val="21"/>
        </w:rPr>
        <w:t>Zero under-funded, reduced or fabricated payouts. A single one is a reputational event that outweighs a year of good numbers.</w:t>
      </w:r>
    </w:p>
    <w:p>
      <w:pPr>
        <w:pStyle w:val="ListNumber"/>
        <w:spacing w:after="60"/>
        <w:ind w:left="432"/>
      </w:pPr>
      <w:r>
        <w:rPr>
          <w:rFonts w:ascii="Calibri" w:hAnsi="Calibri"/>
          <w:b w:val="0"/>
          <w:i w:val="0"/>
          <w:color w:val="101828"/>
          <w:sz w:val="21"/>
        </w:rPr>
        <w:t>Ajo completion rate. An Ajo that reaches COMPLETED with every position filled is the unit of value. Anything else is unfinished work.</w:t>
      </w:r>
    </w:p>
    <w:p>
      <w:pPr>
        <w:pStyle w:val="ListNumber"/>
        <w:spacing w:after="60"/>
        <w:ind w:left="432"/>
      </w:pPr>
      <w:r>
        <w:rPr>
          <w:rFonts w:ascii="Calibri" w:hAnsi="Calibri"/>
          <w:b w:val="0"/>
          <w:i w:val="0"/>
          <w:color w:val="101828"/>
          <w:sz w:val="21"/>
        </w:rPr>
        <w:t>On-time payment rate. The product's behavioural claim is that visibility improves payment discipline. If it does not, the core hypothesis has failed.</w:t>
      </w:r>
    </w:p>
    <w:p>
      <w:pPr>
        <w:pStyle w:val="ListNumber"/>
        <w:spacing w:after="60"/>
        <w:ind w:left="432"/>
      </w:pPr>
      <w:r>
        <w:rPr>
          <w:rFonts w:ascii="Calibri" w:hAnsi="Calibri"/>
          <w:b w:val="0"/>
          <w:i w:val="0"/>
          <w:color w:val="101828"/>
          <w:sz w:val="21"/>
        </w:rPr>
        <w:t>Repeat participation. A member who starts or joins a second Ajo within 90 days has demonstrated that the product is worth keeping, which is the only durable signal available.</w:t>
      </w:r>
    </w:p>
    <w:p>
      <w:pPr>
        <w:pStyle w:val="ListNumber"/>
        <w:spacing w:after="60"/>
        <w:ind w:left="432"/>
      </w:pPr>
      <w:r>
        <w:rPr>
          <w:rFonts w:ascii="Calibri" w:hAnsi="Calibri"/>
          <w:b w:val="0"/>
          <w:i w:val="0"/>
          <w:color w:val="101828"/>
          <w:sz w:val="21"/>
        </w:rPr>
        <w:t>Organiser retention. An organiser still running Ajos at 90 days has proven the product saves them time rather than adding to their week.</w:t>
      </w:r>
    </w:p>
    <w:p>
      <w:pPr>
        <w:pStyle w:val="ListNumber"/>
        <w:spacing w:after="60"/>
        <w:ind w:left="432"/>
      </w:pPr>
      <w:r>
        <w:rPr>
          <w:rFonts w:ascii="Calibri" w:hAnsi="Calibri"/>
          <w:b w:val="0"/>
          <w:i w:val="0"/>
          <w:color w:val="101828"/>
          <w:sz w:val="21"/>
        </w:rPr>
        <w:t>Dispute rate and resolution time. Low disputes and fast resolution mean the record is doing its job.</w:t>
      </w:r>
    </w:p>
    <w:p>
      <w:pPr>
        <w:pStyle w:val="ListNumber"/>
        <w:spacing w:after="60"/>
        <w:ind w:left="432"/>
      </w:pPr>
      <w:r>
        <w:rPr>
          <w:rFonts w:ascii="Calibri" w:hAnsi="Calibri"/>
          <w:b w:val="0"/>
          <w:i w:val="0"/>
          <w:color w:val="101828"/>
          <w:sz w:val="21"/>
        </w:rPr>
        <w:t>Fee revenue. Real, and deliberately last.</w:t>
      </w:r>
    </w:p>
    <w:p>
      <w:pPr>
        <w:pStyle w:val="Heading3"/>
      </w:pPr>
      <w:r>
        <w:rPr>
          <w:rFonts w:ascii="Calibri" w:hAnsi="Calibri"/>
          <w:b/>
          <w:i w:val="0"/>
          <w:color w:val="0B1F3A"/>
          <w:sz w:val="24"/>
        </w:rPr>
        <w:t>1.26.2 Staged success gates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512"/>
            <w:shd w:val="clear" w:color="auto" w:fill="0B1F3A"/>
            <w:tcMar>
              <w:top w:w="60" w:type="dxa"/>
              <w:start w:w="110" w:type="dxa"/>
              <w:bottom w:w="60" w:type="dxa"/>
              <w:end w:w="110" w:type="dxa"/>
            </w:tcMar>
          </w:tcPr>
          <w:p>
            <w:pPr>
              <w:spacing w:after="0"/>
            </w:pPr>
            <w:r/>
            <w:r>
              <w:rPr>
                <w:rFonts w:ascii="Calibri" w:hAnsi="Calibri"/>
                <w:b/>
                <w:i w:val="0"/>
                <w:color w:val="FFFFFF"/>
                <w:sz w:val="15"/>
              </w:rPr>
              <w:t>Gate</w:t>
            </w:r>
          </w:p>
        </w:tc>
        <w:tc>
          <w:tcPr>
            <w:tcW w:type="dxa" w:w="936"/>
            <w:shd w:val="clear" w:color="auto" w:fill="0B1F3A"/>
            <w:tcMar>
              <w:top w:w="60" w:type="dxa"/>
              <w:start w:w="110" w:type="dxa"/>
              <w:bottom w:w="60" w:type="dxa"/>
              <w:end w:w="110" w:type="dxa"/>
            </w:tcMar>
          </w:tcPr>
          <w:p>
            <w:pPr>
              <w:spacing w:after="0"/>
            </w:pPr>
            <w:r/>
            <w:r>
              <w:rPr>
                <w:rFonts w:ascii="Calibri" w:hAnsi="Calibri"/>
                <w:b/>
                <w:i w:val="0"/>
                <w:color w:val="FFFFFF"/>
                <w:sz w:val="15"/>
              </w:rPr>
              <w:t>When</w:t>
            </w:r>
          </w:p>
        </w:tc>
        <w:tc>
          <w:tcPr>
            <w:tcW w:type="dxa" w:w="4104"/>
            <w:shd w:val="clear" w:color="auto" w:fill="0B1F3A"/>
            <w:tcMar>
              <w:top w:w="60" w:type="dxa"/>
              <w:start w:w="110" w:type="dxa"/>
              <w:bottom w:w="60" w:type="dxa"/>
              <w:end w:w="110" w:type="dxa"/>
            </w:tcMar>
          </w:tcPr>
          <w:p>
            <w:pPr>
              <w:spacing w:after="0"/>
            </w:pPr>
            <w:r/>
            <w:r>
              <w:rPr>
                <w:rFonts w:ascii="Calibri" w:hAnsi="Calibri"/>
                <w:b/>
                <w:i w:val="0"/>
                <w:color w:val="FFFFFF"/>
                <w:sz w:val="15"/>
              </w:rPr>
              <w:t>Criteria to pass</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5"/>
              </w:rPr>
              <w:t>Consequence of failure</w:t>
            </w:r>
          </w:p>
        </w:tc>
      </w:tr>
      <w:tr>
        <w:trPr>
          <w:cantSplit/>
        </w:trPr>
        <w:tc>
          <w:tcPr>
            <w:tcW w:type="dxa" w:w="1512"/>
            <w:tcMar>
              <w:top w:w="60" w:type="dxa"/>
              <w:start w:w="110" w:type="dxa"/>
              <w:bottom w:w="60" w:type="dxa"/>
              <w:end w:w="110" w:type="dxa"/>
            </w:tcMar>
          </w:tcPr>
          <w:p>
            <w:pPr>
              <w:spacing w:after="0"/>
            </w:pPr>
            <w:r/>
            <w:r>
              <w:rPr>
                <w:rFonts w:ascii="Calibri" w:hAnsi="Calibri"/>
                <w:b w:val="0"/>
                <w:i w:val="0"/>
                <w:color w:val="101828"/>
                <w:sz w:val="15"/>
              </w:rPr>
              <w:t>G-A. Ready</w:t>
            </w:r>
          </w:p>
        </w:tc>
        <w:tc>
          <w:tcPr>
            <w:tcW w:type="dxa" w:w="936"/>
            <w:tcMar>
              <w:top w:w="60" w:type="dxa"/>
              <w:start w:w="110" w:type="dxa"/>
              <w:bottom w:w="60" w:type="dxa"/>
              <w:end w:w="110" w:type="dxa"/>
            </w:tcMar>
          </w:tcPr>
          <w:p>
            <w:pPr>
              <w:spacing w:after="0"/>
            </w:pPr>
            <w:r/>
            <w:r>
              <w:rPr>
                <w:rFonts w:ascii="Calibri" w:hAnsi="Calibri"/>
                <w:b w:val="0"/>
                <w:i w:val="0"/>
                <w:color w:val="101828"/>
                <w:sz w:val="15"/>
              </w:rPr>
              <w:t>Pre-launch</w:t>
            </w:r>
          </w:p>
        </w:tc>
        <w:tc>
          <w:tcPr>
            <w:tcW w:type="dxa" w:w="4104"/>
            <w:tcMar>
              <w:top w:w="60" w:type="dxa"/>
              <w:start w:w="110" w:type="dxa"/>
              <w:bottom w:w="60" w:type="dxa"/>
              <w:end w:w="110" w:type="dxa"/>
            </w:tcMar>
          </w:tcPr>
          <w:p>
            <w:pPr>
              <w:spacing w:after="0"/>
            </w:pPr>
            <w:r/>
            <w:r>
              <w:rPr>
                <w:rFonts w:ascii="Calibri" w:hAnsi="Calibri"/>
                <w:b w:val="0"/>
                <w:i w:val="0"/>
                <w:color w:val="101828"/>
                <w:sz w:val="15"/>
              </w:rPr>
              <w:t>D-02, D-03, D-04, D-06 and D-08 resolved. Written legal opinion obtained. Provider contracted with written pricing and SLA. Support and risk staffed with runbooks. Ledger invariants automated and passing. No failed payout in 10 consecutive end-to-end pilot Ajos.</w:t>
            </w:r>
          </w:p>
        </w:tc>
        <w:tc>
          <w:tcPr>
            <w:tcW w:type="dxa" w:w="2880"/>
            <w:tcMar>
              <w:top w:w="60" w:type="dxa"/>
              <w:start w:w="110" w:type="dxa"/>
              <w:bottom w:w="60" w:type="dxa"/>
              <w:end w:w="110" w:type="dxa"/>
            </w:tcMar>
          </w:tcPr>
          <w:p>
            <w:pPr>
              <w:spacing w:after="0"/>
            </w:pPr>
            <w:r/>
            <w:r>
              <w:rPr>
                <w:rFonts w:ascii="Calibri" w:hAnsi="Calibri"/>
                <w:b w:val="0"/>
                <w:i w:val="0"/>
                <w:color w:val="101828"/>
                <w:sz w:val="15"/>
              </w:rPr>
              <w:t>Do not launch. No amount of engineering readiness substitutes for this gate.</w:t>
            </w:r>
          </w:p>
        </w:tc>
      </w:tr>
      <w:tr>
        <w:trPr>
          <w:cantSplit/>
        </w:trPr>
        <w:tc>
          <w:tcPr>
            <w:tcW w:type="dxa" w:w="1512"/>
            <w:tcMar>
              <w:top w:w="60" w:type="dxa"/>
              <w:start w:w="110" w:type="dxa"/>
              <w:bottom w:w="60" w:type="dxa"/>
              <w:end w:w="110" w:type="dxa"/>
            </w:tcMar>
            <w:shd w:val="clear" w:color="auto" w:fill="F4F7FB"/>
          </w:tcPr>
          <w:p>
            <w:pPr>
              <w:spacing w:after="0"/>
            </w:pPr>
            <w:r/>
            <w:r>
              <w:rPr>
                <w:rFonts w:ascii="Calibri" w:hAnsi="Calibri"/>
                <w:b w:val="0"/>
                <w:i w:val="0"/>
                <w:color w:val="101828"/>
                <w:sz w:val="15"/>
              </w:rPr>
              <w:t>G-B. First 10 Ajos</w:t>
            </w:r>
          </w:p>
        </w:tc>
        <w:tc>
          <w:tcPr>
            <w:tcW w:type="dxa" w:w="936"/>
            <w:tcMar>
              <w:top w:w="60" w:type="dxa"/>
              <w:start w:w="110" w:type="dxa"/>
              <w:bottom w:w="60" w:type="dxa"/>
              <w:end w:w="110" w:type="dxa"/>
            </w:tcMar>
            <w:shd w:val="clear" w:color="auto" w:fill="F4F7FB"/>
          </w:tcPr>
          <w:p>
            <w:pPr>
              <w:spacing w:after="0"/>
            </w:pPr>
            <w:r/>
            <w:r>
              <w:rPr>
                <w:rFonts w:ascii="Calibri" w:hAnsi="Calibri"/>
                <w:b w:val="0"/>
                <w:i w:val="0"/>
                <w:color w:val="101828"/>
                <w:sz w:val="15"/>
              </w:rPr>
              <w:t>Month 1</w:t>
            </w:r>
          </w:p>
        </w:tc>
        <w:tc>
          <w:tcPr>
            <w:tcW w:type="dxa" w:w="4104"/>
            <w:tcMar>
              <w:top w:w="60" w:type="dxa"/>
              <w:start w:w="110" w:type="dxa"/>
              <w:bottom w:w="60" w:type="dxa"/>
              <w:end w:w="110" w:type="dxa"/>
            </w:tcMar>
            <w:shd w:val="clear" w:color="auto" w:fill="F4F7FB"/>
          </w:tcPr>
          <w:p>
            <w:pPr>
              <w:spacing w:after="0"/>
            </w:pPr>
            <w:r/>
            <w:r>
              <w:rPr>
                <w:rFonts w:ascii="Calibri" w:hAnsi="Calibri"/>
                <w:b w:val="0"/>
                <w:i w:val="0"/>
                <w:color w:val="101828"/>
                <w:sz w:val="15"/>
              </w:rPr>
              <w:t>10 Ajos complete end to end with zero reduced payouts, zero unreconciled ledger exceptions, and a receipt issued for every movement.</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5"/>
              </w:rPr>
              <w:t>Halt onboarding. Diagnose before adding any further Ajos.</w:t>
            </w:r>
          </w:p>
        </w:tc>
      </w:tr>
      <w:tr>
        <w:trPr>
          <w:cantSplit/>
        </w:trPr>
        <w:tc>
          <w:tcPr>
            <w:tcW w:type="dxa" w:w="1512"/>
            <w:tcMar>
              <w:top w:w="60" w:type="dxa"/>
              <w:start w:w="110" w:type="dxa"/>
              <w:bottom w:w="60" w:type="dxa"/>
              <w:end w:w="110" w:type="dxa"/>
            </w:tcMar>
          </w:tcPr>
          <w:p>
            <w:pPr>
              <w:spacing w:after="0"/>
            </w:pPr>
            <w:r/>
            <w:r>
              <w:rPr>
                <w:rFonts w:ascii="Calibri" w:hAnsi="Calibri"/>
                <w:b w:val="0"/>
                <w:i w:val="0"/>
                <w:color w:val="101828"/>
                <w:sz w:val="15"/>
              </w:rPr>
              <w:t>G-C. First 50 Ajos</w:t>
            </w:r>
          </w:p>
        </w:tc>
        <w:tc>
          <w:tcPr>
            <w:tcW w:type="dxa" w:w="936"/>
            <w:tcMar>
              <w:top w:w="60" w:type="dxa"/>
              <w:start w:w="110" w:type="dxa"/>
              <w:bottom w:w="60" w:type="dxa"/>
              <w:end w:w="110" w:type="dxa"/>
            </w:tcMar>
          </w:tcPr>
          <w:p>
            <w:pPr>
              <w:spacing w:after="0"/>
            </w:pPr>
            <w:r/>
            <w:r>
              <w:rPr>
                <w:rFonts w:ascii="Calibri" w:hAnsi="Calibri"/>
                <w:b w:val="0"/>
                <w:i w:val="0"/>
                <w:color w:val="101828"/>
                <w:sz w:val="15"/>
              </w:rPr>
              <w:t>Month 3</w:t>
            </w:r>
          </w:p>
        </w:tc>
        <w:tc>
          <w:tcPr>
            <w:tcW w:type="dxa" w:w="4104"/>
            <w:tcMar>
              <w:top w:w="60" w:type="dxa"/>
              <w:start w:w="110" w:type="dxa"/>
              <w:bottom w:w="60" w:type="dxa"/>
              <w:end w:w="110" w:type="dxa"/>
            </w:tcMar>
          </w:tcPr>
          <w:p>
            <w:pPr>
              <w:spacing w:after="0"/>
            </w:pPr>
            <w:r/>
            <w:r>
              <w:rPr>
                <w:rFonts w:ascii="Calibri" w:hAnsi="Calibri"/>
                <w:b w:val="0"/>
                <w:i w:val="0"/>
                <w:color w:val="101828"/>
                <w:sz w:val="15"/>
              </w:rPr>
              <w:t>Completion rate at or above the target in 1.27, on-time payment at or above target, dispute rate below target, at least 20% of completing members engaged with a second Ajo.</w:t>
            </w:r>
          </w:p>
        </w:tc>
        <w:tc>
          <w:tcPr>
            <w:tcW w:type="dxa" w:w="2880"/>
            <w:tcMar>
              <w:top w:w="60" w:type="dxa"/>
              <w:start w:w="110" w:type="dxa"/>
              <w:bottom w:w="60" w:type="dxa"/>
              <w:end w:w="110" w:type="dxa"/>
            </w:tcMar>
          </w:tcPr>
          <w:p>
            <w:pPr>
              <w:spacing w:after="0"/>
            </w:pPr>
            <w:r/>
            <w:r>
              <w:rPr>
                <w:rFonts w:ascii="Calibri" w:hAnsi="Calibri"/>
                <w:b w:val="0"/>
                <w:i w:val="0"/>
                <w:color w:val="101828"/>
                <w:sz w:val="15"/>
              </w:rPr>
              <w:t>Reassess the behavioural hypothesis (A-04) and the recovery design before scaling acquisition.</w:t>
            </w:r>
          </w:p>
        </w:tc>
      </w:tr>
      <w:tr>
        <w:trPr>
          <w:cantSplit/>
        </w:trPr>
        <w:tc>
          <w:tcPr>
            <w:tcW w:type="dxa" w:w="1512"/>
            <w:tcMar>
              <w:top w:w="60" w:type="dxa"/>
              <w:start w:w="110" w:type="dxa"/>
              <w:bottom w:w="60" w:type="dxa"/>
              <w:end w:w="110" w:type="dxa"/>
            </w:tcMar>
            <w:shd w:val="clear" w:color="auto" w:fill="F4F7FB"/>
          </w:tcPr>
          <w:p>
            <w:pPr>
              <w:spacing w:after="0"/>
            </w:pPr>
            <w:r/>
            <w:r>
              <w:rPr>
                <w:rFonts w:ascii="Calibri" w:hAnsi="Calibri"/>
                <w:b w:val="0"/>
                <w:i w:val="0"/>
                <w:color w:val="101828"/>
                <w:sz w:val="15"/>
              </w:rPr>
              <w:t>G-D. Unit economics proven</w:t>
            </w:r>
          </w:p>
        </w:tc>
        <w:tc>
          <w:tcPr>
            <w:tcW w:type="dxa" w:w="936"/>
            <w:tcMar>
              <w:top w:w="60" w:type="dxa"/>
              <w:start w:w="110" w:type="dxa"/>
              <w:bottom w:w="60" w:type="dxa"/>
              <w:end w:w="110" w:type="dxa"/>
            </w:tcMar>
            <w:shd w:val="clear" w:color="auto" w:fill="F4F7FB"/>
          </w:tcPr>
          <w:p>
            <w:pPr>
              <w:spacing w:after="0"/>
            </w:pPr>
            <w:r/>
            <w:r>
              <w:rPr>
                <w:rFonts w:ascii="Calibri" w:hAnsi="Calibri"/>
                <w:b w:val="0"/>
                <w:i w:val="0"/>
                <w:color w:val="101828"/>
                <w:sz w:val="15"/>
              </w:rPr>
              <w:t>Month 6</w:t>
            </w:r>
          </w:p>
        </w:tc>
        <w:tc>
          <w:tcPr>
            <w:tcW w:type="dxa" w:w="4104"/>
            <w:tcMar>
              <w:top w:w="60" w:type="dxa"/>
              <w:start w:w="110" w:type="dxa"/>
              <w:bottom w:w="60" w:type="dxa"/>
              <w:end w:w="110" w:type="dxa"/>
            </w:tcMar>
            <w:shd w:val="clear" w:color="auto" w:fill="F4F7FB"/>
          </w:tcPr>
          <w:p>
            <w:pPr>
              <w:spacing w:after="0"/>
            </w:pPr>
            <w:r/>
            <w:r>
              <w:rPr>
                <w:rFonts w:ascii="Calibri" w:hAnsi="Calibri"/>
                <w:b w:val="0"/>
                <w:i w:val="0"/>
                <w:color w:val="101828"/>
                <w:sz w:val="15"/>
              </w:rPr>
              <w:t>Actual provider charges received and modelled. Gross-to-net margin per Ajo positive on real data. The Year-1 model replaced by actuals.</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5"/>
              </w:rPr>
              <w:t>Change the model deliberately, or stop. Do not continue acquiring volume on a negative margin.</w:t>
            </w:r>
          </w:p>
        </w:tc>
      </w:tr>
      <w:tr>
        <w:trPr>
          <w:cantSplit/>
        </w:trPr>
        <w:tc>
          <w:tcPr>
            <w:tcW w:type="dxa" w:w="1512"/>
            <w:tcMar>
              <w:top w:w="60" w:type="dxa"/>
              <w:start w:w="110" w:type="dxa"/>
              <w:bottom w:w="60" w:type="dxa"/>
              <w:end w:w="110" w:type="dxa"/>
            </w:tcMar>
          </w:tcPr>
          <w:p>
            <w:pPr>
              <w:spacing w:after="0"/>
            </w:pPr>
            <w:r/>
            <w:r>
              <w:rPr>
                <w:rFonts w:ascii="Calibri" w:hAnsi="Calibri"/>
                <w:b w:val="0"/>
                <w:i w:val="0"/>
                <w:color w:val="101828"/>
                <w:sz w:val="15"/>
              </w:rPr>
              <w:t>G-E. Scale ready</w:t>
            </w:r>
          </w:p>
        </w:tc>
        <w:tc>
          <w:tcPr>
            <w:tcW w:type="dxa" w:w="936"/>
            <w:tcMar>
              <w:top w:w="60" w:type="dxa"/>
              <w:start w:w="110" w:type="dxa"/>
              <w:bottom w:w="60" w:type="dxa"/>
              <w:end w:w="110" w:type="dxa"/>
            </w:tcMar>
          </w:tcPr>
          <w:p>
            <w:pPr>
              <w:spacing w:after="0"/>
            </w:pPr>
            <w:r/>
            <w:r>
              <w:rPr>
                <w:rFonts w:ascii="Calibri" w:hAnsi="Calibri"/>
                <w:b w:val="0"/>
                <w:i w:val="0"/>
                <w:color w:val="101828"/>
                <w:sz w:val="15"/>
              </w:rPr>
              <w:t>Month 12</w:t>
            </w:r>
          </w:p>
        </w:tc>
        <w:tc>
          <w:tcPr>
            <w:tcW w:type="dxa" w:w="4104"/>
            <w:tcMar>
              <w:top w:w="60" w:type="dxa"/>
              <w:start w:w="110" w:type="dxa"/>
              <w:bottom w:w="60" w:type="dxa"/>
              <w:end w:w="110" w:type="dxa"/>
            </w:tcMar>
          </w:tcPr>
          <w:p>
            <w:pPr>
              <w:spacing w:after="0"/>
            </w:pPr>
            <w:r/>
            <w:r>
              <w:rPr>
                <w:rFonts w:ascii="Calibri" w:hAnsi="Calibri"/>
                <w:b w:val="0"/>
                <w:i w:val="0"/>
                <w:color w:val="101828"/>
                <w:sz w:val="15"/>
              </w:rPr>
              <w:t>300 Ajos at base case, organiser retention at or above target, support load within staffing capacity, no unresolved Sev-1 incidents.</w:t>
            </w:r>
          </w:p>
        </w:tc>
        <w:tc>
          <w:tcPr>
            <w:tcW w:type="dxa" w:w="2880"/>
            <w:tcMar>
              <w:top w:w="60" w:type="dxa"/>
              <w:start w:w="110" w:type="dxa"/>
              <w:bottom w:w="60" w:type="dxa"/>
              <w:end w:w="110" w:type="dxa"/>
            </w:tcMar>
          </w:tcPr>
          <w:p>
            <w:pPr>
              <w:spacing w:after="0"/>
            </w:pPr>
            <w:r/>
            <w:r>
              <w:rPr>
                <w:rFonts w:ascii="Calibri" w:hAnsi="Calibri"/>
                <w:b w:val="0"/>
                <w:i w:val="0"/>
                <w:color w:val="101828"/>
                <w:sz w:val="15"/>
              </w:rPr>
              <w:t>Extend the timeline. Do not take growth capital to solve an operational problem.</w:t>
            </w:r>
          </w:p>
        </w:tc>
      </w:tr>
    </w:tbl>
    <w:p>
      <w:pPr>
        <w:spacing w:after="80"/>
      </w:pPr>
    </w:p>
    <w:p>
      <w:pPr>
        <w:pStyle w:val="Heading2"/>
      </w:pPr>
      <w:r>
        <w:rPr>
          <w:rFonts w:ascii="Calibri" w:hAnsi="Calibri"/>
          <w:b/>
          <w:i w:val="0"/>
          <w:color w:val="146EF5"/>
          <w:sz w:val="29"/>
        </w:rPr>
        <w:t>1.27 Key performance indicators</w:t>
      </w:r>
    </w:p>
    <w:p>
      <w:r>
        <w:rPr>
          <w:rFonts w:ascii="Calibri" w:hAnsi="Calibri"/>
          <w:b w:val="0"/>
          <w:i w:val="0"/>
          <w:color w:val="101828"/>
          <w:sz w:val="21"/>
        </w:rPr>
        <w:t xml:space="preserve">Every target below is labelled as either a </w:t>
      </w:r>
      <w:r>
        <w:rPr>
          <w:rFonts w:ascii="Calibri" w:hAnsi="Calibri"/>
          <w:b/>
          <w:color w:val="101828"/>
          <w:sz w:val="21"/>
        </w:rPr>
        <w:t>Gate</w:t>
      </w:r>
      <w:r>
        <w:rPr>
          <w:rFonts w:ascii="Calibri" w:hAnsi="Calibri"/>
          <w:b w:val="0"/>
          <w:i w:val="0"/>
          <w:color w:val="101828"/>
          <w:sz w:val="21"/>
        </w:rPr>
        <w:t xml:space="preserve"> (a condition that must hold), a </w:t>
      </w:r>
      <w:r>
        <w:rPr>
          <w:rFonts w:ascii="Calibri" w:hAnsi="Calibri"/>
          <w:b/>
          <w:color w:val="101828"/>
          <w:sz w:val="21"/>
        </w:rPr>
        <w:t>Projection</w:t>
      </w:r>
      <w:r>
        <w:rPr>
          <w:rFonts w:ascii="Calibri" w:hAnsi="Calibri"/>
          <w:b w:val="0"/>
          <w:i w:val="0"/>
          <w:color w:val="101828"/>
          <w:sz w:val="21"/>
        </w:rPr>
        <w:t xml:space="preserve"> (a modelled expectation with no data behind it), or a </w:t>
      </w:r>
      <w:r>
        <w:rPr>
          <w:rFonts w:ascii="Calibri" w:hAnsi="Calibri"/>
          <w:b/>
          <w:color w:val="101828"/>
          <w:sz w:val="21"/>
        </w:rPr>
        <w:t>Direction</w:t>
      </w:r>
      <w:r>
        <w:rPr>
          <w:rFonts w:ascii="Calibri" w:hAnsi="Calibri"/>
          <w:b w:val="0"/>
          <w:i w:val="0"/>
          <w:color w:val="101828"/>
          <w:sz w:val="21"/>
        </w:rPr>
        <w:t xml:space="preserve"> (a metric that must move the right way, with no number attached until data exists). No figure in this table is a measurement. </w:t>
      </w:r>
      <w:r>
        <w:rPr>
          <w:rFonts w:ascii="Calibri" w:hAnsi="Calibri"/>
          <w:b/>
          <w:color w:val="101828"/>
          <w:sz w:val="21"/>
        </w:rPr>
        <w:t>The platform has no live transactions and no customers.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648"/>
            <w:shd w:val="clear" w:color="auto" w:fill="0B1F3A"/>
            <w:tcMar>
              <w:top w:w="60" w:type="dxa"/>
              <w:start w:w="110" w:type="dxa"/>
              <w:bottom w:w="60" w:type="dxa"/>
              <w:end w:w="110" w:type="dxa"/>
            </w:tcMar>
          </w:tcPr>
          <w:p>
            <w:pPr>
              <w:spacing w:after="0"/>
            </w:pPr>
            <w:r/>
            <w:r>
              <w:rPr>
                <w:rFonts w:ascii="Calibri" w:hAnsi="Calibri"/>
                <w:b/>
                <w:i w:val="0"/>
                <w:color w:val="FFFFFF"/>
                <w:sz w:val="14"/>
              </w:rPr>
              <w:t>ID</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4"/>
              </w:rPr>
              <w:t>Metric</w:t>
            </w:r>
          </w:p>
        </w:tc>
        <w:tc>
          <w:tcPr>
            <w:tcW w:type="dxa" w:w="2664"/>
            <w:shd w:val="clear" w:color="auto" w:fill="0B1F3A"/>
            <w:tcMar>
              <w:top w:w="60" w:type="dxa"/>
              <w:start w:w="110" w:type="dxa"/>
              <w:bottom w:w="60" w:type="dxa"/>
              <w:end w:w="110" w:type="dxa"/>
            </w:tcMar>
          </w:tcPr>
          <w:p>
            <w:pPr>
              <w:spacing w:after="0"/>
            </w:pPr>
            <w:r/>
            <w:r>
              <w:rPr>
                <w:rFonts w:ascii="Calibri" w:hAnsi="Calibri"/>
                <w:b/>
                <w:i w:val="0"/>
                <w:color w:val="FFFFFF"/>
                <w:sz w:val="14"/>
              </w:rPr>
              <w:t>Definition</w:t>
            </w:r>
          </w:p>
        </w:tc>
        <w:tc>
          <w:tcPr>
            <w:tcW w:type="dxa" w:w="2376"/>
            <w:shd w:val="clear" w:color="auto" w:fill="0B1F3A"/>
            <w:tcMar>
              <w:top w:w="60" w:type="dxa"/>
              <w:start w:w="110" w:type="dxa"/>
              <w:bottom w:w="60" w:type="dxa"/>
              <w:end w:w="110" w:type="dxa"/>
            </w:tcMar>
          </w:tcPr>
          <w:p>
            <w:pPr>
              <w:spacing w:after="0"/>
            </w:pPr>
            <w:r/>
            <w:r>
              <w:rPr>
                <w:rFonts w:ascii="Calibri" w:hAnsi="Calibri"/>
                <w:b/>
                <w:i w:val="0"/>
                <w:color w:val="FFFFFF"/>
                <w:sz w:val="14"/>
              </w:rPr>
              <w:t>Target</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4"/>
              </w:rPr>
              <w:t>Measurement source</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K-01</w:t>
            </w:r>
          </w:p>
        </w:tc>
        <w:tc>
          <w:tcPr>
            <w:tcW w:type="dxa" w:w="1944"/>
            <w:tcMar>
              <w:top w:w="60" w:type="dxa"/>
              <w:start w:w="110" w:type="dxa"/>
              <w:bottom w:w="60" w:type="dxa"/>
              <w:end w:w="110" w:type="dxa"/>
            </w:tcMar>
          </w:tcPr>
          <w:p>
            <w:pPr>
              <w:spacing w:after="0"/>
            </w:pPr>
            <w:r/>
            <w:r>
              <w:rPr>
                <w:rFonts w:ascii="Calibri" w:hAnsi="Calibri"/>
                <w:b w:val="0"/>
                <w:i w:val="0"/>
                <w:color w:val="101828"/>
                <w:sz w:val="14"/>
              </w:rPr>
              <w:t>Under-funded payouts</w:t>
            </w:r>
          </w:p>
        </w:tc>
        <w:tc>
          <w:tcPr>
            <w:tcW w:type="dxa" w:w="2664"/>
            <w:tcMar>
              <w:top w:w="60" w:type="dxa"/>
              <w:start w:w="110" w:type="dxa"/>
              <w:bottom w:w="60" w:type="dxa"/>
              <w:end w:w="110" w:type="dxa"/>
            </w:tcMar>
          </w:tcPr>
          <w:p>
            <w:pPr>
              <w:spacing w:after="0"/>
            </w:pPr>
            <w:r/>
            <w:r>
              <w:rPr>
                <w:rFonts w:ascii="Calibri" w:hAnsi="Calibri"/>
                <w:b w:val="0"/>
                <w:i w:val="0"/>
                <w:color w:val="101828"/>
                <w:sz w:val="14"/>
              </w:rPr>
              <w:t>Count of payouts released for less than the base pool, or released without sufficient escrow</w:t>
            </w:r>
          </w:p>
        </w:tc>
        <w:tc>
          <w:tcPr>
            <w:tcW w:type="dxa" w:w="2376"/>
            <w:tcMar>
              <w:top w:w="60" w:type="dxa"/>
              <w:start w:w="110" w:type="dxa"/>
              <w:bottom w:w="60" w:type="dxa"/>
              <w:end w:w="110" w:type="dxa"/>
            </w:tcMar>
          </w:tcPr>
          <w:p>
            <w:pPr>
              <w:spacing w:after="0"/>
            </w:pPr>
            <w:r/>
            <w:r>
              <w:rPr>
                <w:rFonts w:ascii="Calibri" w:hAnsi="Calibri"/>
                <w:b w:val="0"/>
                <w:i w:val="0"/>
                <w:color w:val="101828"/>
                <w:sz w:val="14"/>
              </w:rPr>
              <w:t>Zero. Absolute. No tolerance.</w:t>
            </w:r>
          </w:p>
        </w:tc>
        <w:tc>
          <w:tcPr>
            <w:tcW w:type="dxa" w:w="1728"/>
            <w:tcMar>
              <w:top w:w="60" w:type="dxa"/>
              <w:start w:w="110" w:type="dxa"/>
              <w:bottom w:w="60" w:type="dxa"/>
              <w:end w:w="110" w:type="dxa"/>
            </w:tcMar>
          </w:tcPr>
          <w:p>
            <w:pPr>
              <w:spacing w:after="0"/>
            </w:pPr>
            <w:r/>
            <w:r>
              <w:rPr>
                <w:rFonts w:ascii="Calibri" w:hAnsi="Calibri"/>
                <w:b w:val="0"/>
                <w:i w:val="0"/>
                <w:color w:val="101828"/>
                <w:sz w:val="14"/>
              </w:rPr>
              <w:t>Ledger; payout records; escrow solvency assertion log</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K-02</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Ajo completion rate</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4"/>
              </w:rPr>
              <w:t>Ajos reaching COMPLETED with every position filled, divided by Ajos activated</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Gate: 90% by month 6, 95% by month 12</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Ajo state machine records</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K-03</w:t>
            </w:r>
          </w:p>
        </w:tc>
        <w:tc>
          <w:tcPr>
            <w:tcW w:type="dxa" w:w="1944"/>
            <w:tcMar>
              <w:top w:w="60" w:type="dxa"/>
              <w:start w:w="110" w:type="dxa"/>
              <w:bottom w:w="60" w:type="dxa"/>
              <w:end w:w="110" w:type="dxa"/>
            </w:tcMar>
          </w:tcPr>
          <w:p>
            <w:pPr>
              <w:spacing w:after="0"/>
            </w:pPr>
            <w:r/>
            <w:r>
              <w:rPr>
                <w:rFonts w:ascii="Calibri" w:hAnsi="Calibri"/>
                <w:b w:val="0"/>
                <w:i w:val="0"/>
                <w:color w:val="101828"/>
                <w:sz w:val="14"/>
              </w:rPr>
              <w:t>On-time payment rate</w:t>
            </w:r>
          </w:p>
        </w:tc>
        <w:tc>
          <w:tcPr>
            <w:tcW w:type="dxa" w:w="2664"/>
            <w:tcMar>
              <w:top w:w="60" w:type="dxa"/>
              <w:start w:w="110" w:type="dxa"/>
              <w:bottom w:w="60" w:type="dxa"/>
              <w:end w:w="110" w:type="dxa"/>
            </w:tcMar>
          </w:tcPr>
          <w:p>
            <w:pPr>
              <w:spacing w:after="0"/>
            </w:pPr>
            <w:r/>
            <w:r>
              <w:rPr>
                <w:rFonts w:ascii="Calibri" w:hAnsi="Calibri"/>
                <w:b w:val="0"/>
                <w:i w:val="0"/>
                <w:color w:val="101828"/>
                <w:sz w:val="14"/>
              </w:rPr>
              <w:t>Contributions marked PAID on or before the due time, divided by contributions due</w:t>
            </w:r>
          </w:p>
        </w:tc>
        <w:tc>
          <w:tcPr>
            <w:tcW w:type="dxa" w:w="2376"/>
            <w:tcMar>
              <w:top w:w="60" w:type="dxa"/>
              <w:start w:w="110" w:type="dxa"/>
              <w:bottom w:w="60" w:type="dxa"/>
              <w:end w:w="110" w:type="dxa"/>
            </w:tcMar>
          </w:tcPr>
          <w:p>
            <w:pPr>
              <w:spacing w:after="0"/>
            </w:pPr>
            <w:r/>
            <w:r>
              <w:rPr>
                <w:rFonts w:ascii="Calibri" w:hAnsi="Calibri"/>
                <w:b w:val="0"/>
                <w:i w:val="0"/>
                <w:color w:val="101828"/>
                <w:sz w:val="14"/>
              </w:rPr>
              <w:t>Projection: 85% at month 3, 90% by month 12</w:t>
            </w:r>
          </w:p>
        </w:tc>
        <w:tc>
          <w:tcPr>
            <w:tcW w:type="dxa" w:w="1728"/>
            <w:tcMar>
              <w:top w:w="60" w:type="dxa"/>
              <w:start w:w="110" w:type="dxa"/>
              <w:bottom w:w="60" w:type="dxa"/>
              <w:end w:w="110" w:type="dxa"/>
            </w:tcMar>
          </w:tcPr>
          <w:p>
            <w:pPr>
              <w:spacing w:after="0"/>
            </w:pPr>
            <w:r/>
            <w:r>
              <w:rPr>
                <w:rFonts w:ascii="Calibri" w:hAnsi="Calibri"/>
                <w:b w:val="0"/>
                <w:i w:val="0"/>
                <w:color w:val="101828"/>
                <w:sz w:val="14"/>
              </w:rPr>
              <w:t>contributions table, states vs due dates</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K-04</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Cancellations during enrollment</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4"/>
              </w:rPr>
              <w:t>Ajos cancelling in the 5-day window, divided by Ajos that opened enrollment</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Direction: falling over time as organiser quality improves. No numeric target until month 3.</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Ajo state transitions with reason recorded</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K-05</w:t>
            </w:r>
          </w:p>
        </w:tc>
        <w:tc>
          <w:tcPr>
            <w:tcW w:type="dxa" w:w="1944"/>
            <w:tcMar>
              <w:top w:w="60" w:type="dxa"/>
              <w:start w:w="110" w:type="dxa"/>
              <w:bottom w:w="60" w:type="dxa"/>
              <w:end w:w="110" w:type="dxa"/>
            </w:tcMar>
          </w:tcPr>
          <w:p>
            <w:pPr>
              <w:spacing w:after="0"/>
            </w:pPr>
            <w:r/>
            <w:r>
              <w:rPr>
                <w:rFonts w:ascii="Calibri" w:hAnsi="Calibri"/>
                <w:b w:val="0"/>
                <w:i w:val="0"/>
                <w:color w:val="101828"/>
                <w:sz w:val="14"/>
              </w:rPr>
              <w:t>Default rate</w:t>
            </w:r>
          </w:p>
        </w:tc>
        <w:tc>
          <w:tcPr>
            <w:tcW w:type="dxa" w:w="2664"/>
            <w:tcMar>
              <w:top w:w="60" w:type="dxa"/>
              <w:start w:w="110" w:type="dxa"/>
              <w:bottom w:w="60" w:type="dxa"/>
              <w:end w:w="110" w:type="dxa"/>
            </w:tcMar>
          </w:tcPr>
          <w:p>
            <w:pPr>
              <w:spacing w:after="0"/>
            </w:pPr>
            <w:r/>
            <w:r>
              <w:rPr>
                <w:rFonts w:ascii="Calibri" w:hAnsi="Calibri"/>
                <w:b w:val="0"/>
                <w:i w:val="0"/>
                <w:color w:val="101828"/>
                <w:sz w:val="14"/>
              </w:rPr>
              <w:t>Contributions reaching DEFAULTED, divided by contributions due, at 30, 60 and 90 days</w:t>
            </w:r>
          </w:p>
        </w:tc>
        <w:tc>
          <w:tcPr>
            <w:tcW w:type="dxa" w:w="2376"/>
            <w:tcMar>
              <w:top w:w="60" w:type="dxa"/>
              <w:start w:w="110" w:type="dxa"/>
              <w:bottom w:w="60" w:type="dxa"/>
              <w:end w:w="110" w:type="dxa"/>
            </w:tcMar>
          </w:tcPr>
          <w:p>
            <w:pPr>
              <w:spacing w:after="0"/>
            </w:pPr>
            <w:r/>
            <w:r>
              <w:rPr>
                <w:rFonts w:ascii="Calibri" w:hAnsi="Calibri"/>
                <w:b w:val="0"/>
                <w:i w:val="0"/>
                <w:color w:val="101828"/>
                <w:sz w:val="14"/>
              </w:rPr>
              <w:t>Projection: below 3% at 60 days</w:t>
            </w:r>
          </w:p>
        </w:tc>
        <w:tc>
          <w:tcPr>
            <w:tcW w:type="dxa" w:w="1728"/>
            <w:tcMar>
              <w:top w:w="60" w:type="dxa"/>
              <w:start w:w="110" w:type="dxa"/>
              <w:bottom w:w="60" w:type="dxa"/>
              <w:end w:w="110" w:type="dxa"/>
            </w:tcMar>
          </w:tcPr>
          <w:p>
            <w:pPr>
              <w:spacing w:after="0"/>
            </w:pPr>
            <w:r/>
            <w:r>
              <w:rPr>
                <w:rFonts w:ascii="Calibri" w:hAnsi="Calibri"/>
                <w:b w:val="0"/>
                <w:i w:val="0"/>
                <w:color w:val="101828"/>
                <w:sz w:val="14"/>
              </w:rPr>
              <w:t>contributions and risk_events</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K-06</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Fee revenue</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4"/>
              </w:rPr>
              <w:t>Sum of fees_income posted, by period</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Projection, from 1.9.3: NGN 1,800,000 to NGN 17,280,000 in Year 1 depending on scenario</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fees table and the financial report in FR-ADM-009</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K-07</w:t>
            </w:r>
          </w:p>
        </w:tc>
        <w:tc>
          <w:tcPr>
            <w:tcW w:type="dxa" w:w="1944"/>
            <w:tcMar>
              <w:top w:w="60" w:type="dxa"/>
              <w:start w:w="110" w:type="dxa"/>
              <w:bottom w:w="60" w:type="dxa"/>
              <w:end w:w="110" w:type="dxa"/>
            </w:tcMar>
          </w:tcPr>
          <w:p>
            <w:pPr>
              <w:spacing w:after="0"/>
            </w:pPr>
            <w:r/>
            <w:r>
              <w:rPr>
                <w:rFonts w:ascii="Calibri" w:hAnsi="Calibri"/>
                <w:b w:val="0"/>
                <w:i w:val="0"/>
                <w:color w:val="101828"/>
                <w:sz w:val="14"/>
              </w:rPr>
              <w:t>Contribution volume</w:t>
            </w:r>
          </w:p>
        </w:tc>
        <w:tc>
          <w:tcPr>
            <w:tcW w:type="dxa" w:w="2664"/>
            <w:tcMar>
              <w:top w:w="60" w:type="dxa"/>
              <w:start w:w="110" w:type="dxa"/>
              <w:bottom w:w="60" w:type="dxa"/>
              <w:end w:w="110" w:type="dxa"/>
            </w:tcMar>
          </w:tcPr>
          <w:p>
            <w:pPr>
              <w:spacing w:after="0"/>
            </w:pPr>
            <w:r/>
            <w:r>
              <w:rPr>
                <w:rFonts w:ascii="Calibri" w:hAnsi="Calibri"/>
                <w:b w:val="0"/>
                <w:i w:val="0"/>
                <w:color w:val="101828"/>
                <w:sz w:val="14"/>
              </w:rPr>
              <w:t>Sum of net contributions received, by period</w:t>
            </w:r>
          </w:p>
        </w:tc>
        <w:tc>
          <w:tcPr>
            <w:tcW w:type="dxa" w:w="2376"/>
            <w:tcMar>
              <w:top w:w="60" w:type="dxa"/>
              <w:start w:w="110" w:type="dxa"/>
              <w:bottom w:w="60" w:type="dxa"/>
              <w:end w:w="110" w:type="dxa"/>
            </w:tcMar>
          </w:tcPr>
          <w:p>
            <w:pPr>
              <w:spacing w:after="0"/>
            </w:pPr>
            <w:r/>
            <w:r>
              <w:rPr>
                <w:rFonts w:ascii="Calibri" w:hAnsi="Calibri"/>
                <w:b w:val="0"/>
                <w:i w:val="0"/>
                <w:color w:val="101828"/>
                <w:sz w:val="14"/>
              </w:rPr>
              <w:t>Projection, from 1.9.3: NGN 90,000,000 to NGN 864,000,000 in Year 1</w:t>
            </w:r>
          </w:p>
        </w:tc>
        <w:tc>
          <w:tcPr>
            <w:tcW w:type="dxa" w:w="1728"/>
            <w:tcMar>
              <w:top w:w="60" w:type="dxa"/>
              <w:start w:w="110" w:type="dxa"/>
              <w:bottom w:w="60" w:type="dxa"/>
              <w:end w:w="110" w:type="dxa"/>
            </w:tcMar>
          </w:tcPr>
          <w:p>
            <w:pPr>
              <w:spacing w:after="0"/>
            </w:pPr>
            <w:r/>
            <w:r>
              <w:rPr>
                <w:rFonts w:ascii="Calibri" w:hAnsi="Calibri"/>
                <w:b w:val="0"/>
                <w:i w:val="0"/>
                <w:color w:val="101828"/>
                <w:sz w:val="14"/>
              </w:rPr>
              <w:t>ledger, contribution.received postings</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K-08</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Gross-to-net margin</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4"/>
              </w:rPr>
              <w:t>Fee revenue less provider collection and payout charges, divided by fee revenue</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Gate: positive by month 6 on real provider pricing. Currently </w:t>
            </w:r>
            <w:r>
              <w:rPr>
                <w:rFonts w:ascii="Calibri" w:hAnsi="Calibri"/>
                <w:b/>
                <w:color w:val="101828"/>
                <w:sz w:val="14"/>
              </w:rPr>
              <w:t>uncomputable</w:t>
            </w:r>
            <w:r>
              <w:rPr>
                <w:rFonts w:ascii="Calibri" w:hAnsi="Calibri"/>
                <w:b w:val="0"/>
                <w:i w:val="0"/>
                <w:color w:val="101828"/>
                <w:sz w:val="14"/>
              </w:rPr>
              <w:t>: D-03 is open.</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Provider settlement reports against the ledger (FR-PAY-009)</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K-09</w:t>
            </w:r>
          </w:p>
        </w:tc>
        <w:tc>
          <w:tcPr>
            <w:tcW w:type="dxa" w:w="1944"/>
            <w:tcMar>
              <w:top w:w="60" w:type="dxa"/>
              <w:start w:w="110" w:type="dxa"/>
              <w:bottom w:w="60" w:type="dxa"/>
              <w:end w:w="110" w:type="dxa"/>
            </w:tcMar>
          </w:tcPr>
          <w:p>
            <w:pPr>
              <w:spacing w:after="0"/>
            </w:pPr>
            <w:r/>
            <w:r>
              <w:rPr>
                <w:rFonts w:ascii="Calibri" w:hAnsi="Calibri"/>
                <w:b w:val="0"/>
                <w:i w:val="0"/>
                <w:color w:val="101828"/>
                <w:sz w:val="14"/>
              </w:rPr>
              <w:t>Repeat participation</w:t>
            </w:r>
          </w:p>
        </w:tc>
        <w:tc>
          <w:tcPr>
            <w:tcW w:type="dxa" w:w="2664"/>
            <w:tcMar>
              <w:top w:w="60" w:type="dxa"/>
              <w:start w:w="110" w:type="dxa"/>
              <w:bottom w:w="60" w:type="dxa"/>
              <w:end w:w="110" w:type="dxa"/>
            </w:tcMar>
          </w:tcPr>
          <w:p>
            <w:pPr>
              <w:spacing w:after="0"/>
            </w:pPr>
            <w:r/>
            <w:r>
              <w:rPr>
                <w:rFonts w:ascii="Calibri" w:hAnsi="Calibri"/>
                <w:b w:val="0"/>
                <w:i w:val="0"/>
                <w:color w:val="101828"/>
                <w:sz w:val="14"/>
              </w:rPr>
              <w:t>Members who start or join a further Ajo within 90 days of completing one, divided by completing members</w:t>
            </w:r>
          </w:p>
        </w:tc>
        <w:tc>
          <w:tcPr>
            <w:tcW w:type="dxa" w:w="2376"/>
            <w:tcMar>
              <w:top w:w="60" w:type="dxa"/>
              <w:start w:w="110" w:type="dxa"/>
              <w:bottom w:w="60" w:type="dxa"/>
              <w:end w:w="110" w:type="dxa"/>
            </w:tcMar>
          </w:tcPr>
          <w:p>
            <w:pPr>
              <w:spacing w:after="0"/>
            </w:pPr>
            <w:r/>
            <w:r>
              <w:rPr>
                <w:rFonts w:ascii="Calibri" w:hAnsi="Calibri"/>
                <w:b w:val="0"/>
                <w:i w:val="0"/>
                <w:color w:val="101828"/>
                <w:sz w:val="14"/>
              </w:rPr>
              <w:t>Projection: at least 40%</w:t>
            </w:r>
          </w:p>
        </w:tc>
        <w:tc>
          <w:tcPr>
            <w:tcW w:type="dxa" w:w="1728"/>
            <w:tcMar>
              <w:top w:w="60" w:type="dxa"/>
              <w:start w:w="110" w:type="dxa"/>
              <w:bottom w:w="60" w:type="dxa"/>
              <w:end w:w="110" w:type="dxa"/>
            </w:tcMar>
          </w:tcPr>
          <w:p>
            <w:pPr>
              <w:spacing w:after="0"/>
            </w:pPr>
            <w:r/>
            <w:r>
              <w:rPr>
                <w:rFonts w:ascii="Calibri" w:hAnsi="Calibri"/>
                <w:b w:val="0"/>
                <w:i w:val="0"/>
                <w:color w:val="101828"/>
                <w:sz w:val="14"/>
              </w:rPr>
              <w:t>user and ajo_members records</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K-10</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Organiser retention</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4"/>
              </w:rPr>
              <w:t>Organizers who run at least one Ajo in the three months after their first, divided by organisers active in the first month</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Projection: 60% at 90 days</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ajos grouped by organizer</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K-11</w:t>
            </w:r>
          </w:p>
        </w:tc>
        <w:tc>
          <w:tcPr>
            <w:tcW w:type="dxa" w:w="1944"/>
            <w:tcMar>
              <w:top w:w="60" w:type="dxa"/>
              <w:start w:w="110" w:type="dxa"/>
              <w:bottom w:w="60" w:type="dxa"/>
              <w:end w:w="110" w:type="dxa"/>
            </w:tcMar>
          </w:tcPr>
          <w:p>
            <w:pPr>
              <w:spacing w:after="0"/>
            </w:pPr>
            <w:r/>
            <w:r>
              <w:rPr>
                <w:rFonts w:ascii="Calibri" w:hAnsi="Calibri"/>
                <w:b w:val="0"/>
                <w:i w:val="0"/>
                <w:color w:val="101828"/>
                <w:sz w:val="14"/>
              </w:rPr>
              <w:t>Organiser time per round</w:t>
            </w:r>
          </w:p>
        </w:tc>
        <w:tc>
          <w:tcPr>
            <w:tcW w:type="dxa" w:w="2664"/>
            <w:tcMar>
              <w:top w:w="60" w:type="dxa"/>
              <w:start w:w="110" w:type="dxa"/>
              <w:bottom w:w="60" w:type="dxa"/>
              <w:end w:w="110" w:type="dxa"/>
            </w:tcMar>
          </w:tcPr>
          <w:p>
            <w:pPr>
              <w:spacing w:after="0"/>
            </w:pPr>
            <w:r/>
            <w:r>
              <w:rPr>
                <w:rFonts w:ascii="Calibri" w:hAnsi="Calibri"/>
                <w:b w:val="0"/>
                <w:i w:val="0"/>
                <w:color w:val="101828"/>
                <w:sz w:val="14"/>
              </w:rPr>
              <w:t>Median self-reported or measured minutes an organizer spends per round</w:t>
            </w:r>
          </w:p>
        </w:tc>
        <w:tc>
          <w:tcPr>
            <w:tcW w:type="dxa" w:w="2376"/>
            <w:tcMar>
              <w:top w:w="60" w:type="dxa"/>
              <w:start w:w="110" w:type="dxa"/>
              <w:bottom w:w="60" w:type="dxa"/>
              <w:end w:w="110" w:type="dxa"/>
            </w:tcMar>
          </w:tcPr>
          <w:p>
            <w:pPr>
              <w:spacing w:after="0"/>
            </w:pPr>
            <w:r/>
            <w:r>
              <w:rPr>
                <w:rFonts w:ascii="Calibri" w:hAnsi="Calibri"/>
                <w:b w:val="0"/>
                <w:i w:val="0"/>
                <w:color w:val="101828"/>
                <w:sz w:val="14"/>
              </w:rPr>
              <w:t>Direction: materially below the 2 to 3 hours of a traditional Friday. Measured directly in the pilot (A-03).</w:t>
            </w:r>
          </w:p>
        </w:tc>
        <w:tc>
          <w:tcPr>
            <w:tcW w:type="dxa" w:w="1728"/>
            <w:tcMar>
              <w:top w:w="60" w:type="dxa"/>
              <w:start w:w="110" w:type="dxa"/>
              <w:bottom w:w="60" w:type="dxa"/>
              <w:end w:w="110" w:type="dxa"/>
            </w:tcMar>
          </w:tcPr>
          <w:p>
            <w:pPr>
              <w:spacing w:after="0"/>
            </w:pPr>
            <w:r/>
            <w:r>
              <w:rPr>
                <w:rFonts w:ascii="Calibri" w:hAnsi="Calibri"/>
                <w:b w:val="0"/>
                <w:i w:val="0"/>
                <w:color w:val="101828"/>
                <w:sz w:val="14"/>
              </w:rPr>
              <w:t>Pilot time study, then organizer survey</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K-12</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Dispute rate</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4"/>
              </w:rPr>
              <w:t>Disputes raised per 100 Ajos per month</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Projection: below 5 per 100 Ajos per month by month 6</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disputes table</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K-13</w:t>
            </w:r>
          </w:p>
        </w:tc>
        <w:tc>
          <w:tcPr>
            <w:tcW w:type="dxa" w:w="1944"/>
            <w:tcMar>
              <w:top w:w="60" w:type="dxa"/>
              <w:start w:w="110" w:type="dxa"/>
              <w:bottom w:w="60" w:type="dxa"/>
              <w:end w:w="110" w:type="dxa"/>
            </w:tcMar>
          </w:tcPr>
          <w:p>
            <w:pPr>
              <w:spacing w:after="0"/>
            </w:pPr>
            <w:r/>
            <w:r>
              <w:rPr>
                <w:rFonts w:ascii="Calibri" w:hAnsi="Calibri"/>
                <w:b w:val="0"/>
                <w:i w:val="0"/>
                <w:color w:val="101828"/>
                <w:sz w:val="14"/>
              </w:rPr>
              <w:t>Dispute resolution time</w:t>
            </w:r>
          </w:p>
        </w:tc>
        <w:tc>
          <w:tcPr>
            <w:tcW w:type="dxa" w:w="2664"/>
            <w:tcMar>
              <w:top w:w="60" w:type="dxa"/>
              <w:start w:w="110" w:type="dxa"/>
              <w:bottom w:w="60" w:type="dxa"/>
              <w:end w:w="110" w:type="dxa"/>
            </w:tcMar>
          </w:tcPr>
          <w:p>
            <w:pPr>
              <w:spacing w:after="0"/>
            </w:pPr>
            <w:r/>
            <w:r>
              <w:rPr>
                <w:rFonts w:ascii="Calibri" w:hAnsi="Calibri"/>
                <w:b w:val="0"/>
                <w:i w:val="0"/>
                <w:color w:val="101828"/>
                <w:sz w:val="14"/>
              </w:rPr>
              <w:t>Median hours from dispute opened to resolved, excluding member-response time</w:t>
            </w:r>
          </w:p>
        </w:tc>
        <w:tc>
          <w:tcPr>
            <w:tcW w:type="dxa" w:w="2376"/>
            <w:tcMar>
              <w:top w:w="60" w:type="dxa"/>
              <w:start w:w="110" w:type="dxa"/>
              <w:bottom w:w="60" w:type="dxa"/>
              <w:end w:w="110" w:type="dxa"/>
            </w:tcMar>
          </w:tcPr>
          <w:p>
            <w:pPr>
              <w:spacing w:after="0"/>
            </w:pPr>
            <w:r/>
            <w:r>
              <w:rPr>
                <w:rFonts w:ascii="Calibri" w:hAnsi="Calibri"/>
                <w:b w:val="0"/>
                <w:i w:val="0"/>
                <w:color w:val="101828"/>
                <w:sz w:val="14"/>
              </w:rPr>
              <w:t>Target: under 72 hours, once support is staffed</w:t>
            </w:r>
          </w:p>
        </w:tc>
        <w:tc>
          <w:tcPr>
            <w:tcW w:type="dxa" w:w="1728"/>
            <w:tcMar>
              <w:top w:w="60" w:type="dxa"/>
              <w:start w:w="110" w:type="dxa"/>
              <w:bottom w:w="60" w:type="dxa"/>
              <w:end w:w="110" w:type="dxa"/>
            </w:tcMar>
          </w:tcPr>
          <w:p>
            <w:pPr>
              <w:spacing w:after="0"/>
            </w:pPr>
            <w:r/>
            <w:r>
              <w:rPr>
                <w:rFonts w:ascii="Calibri" w:hAnsi="Calibri"/>
                <w:b w:val="0"/>
                <w:i w:val="0"/>
                <w:color w:val="101828"/>
                <w:sz w:val="14"/>
              </w:rPr>
              <w:t>disputes table with timestamps</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K-14</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Held payout rate</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4"/>
              </w:rPr>
              <w:t>Payouts entering HELD for insufficient funding, divided by payouts due</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Gate: zero at month 3, sustained</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payouts table state transitions</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K-15</w:t>
            </w:r>
          </w:p>
        </w:tc>
        <w:tc>
          <w:tcPr>
            <w:tcW w:type="dxa" w:w="1944"/>
            <w:tcMar>
              <w:top w:w="60" w:type="dxa"/>
              <w:start w:w="110" w:type="dxa"/>
              <w:bottom w:w="60" w:type="dxa"/>
              <w:end w:w="110" w:type="dxa"/>
            </w:tcMar>
          </w:tcPr>
          <w:p>
            <w:pPr>
              <w:spacing w:after="0"/>
            </w:pPr>
            <w:r/>
            <w:r>
              <w:rPr>
                <w:rFonts w:ascii="Calibri" w:hAnsi="Calibri"/>
                <w:b w:val="0"/>
                <w:i w:val="0"/>
                <w:color w:val="101828"/>
                <w:sz w:val="14"/>
              </w:rPr>
              <w:t>Reconciliation exceptions</w:t>
            </w:r>
          </w:p>
        </w:tc>
        <w:tc>
          <w:tcPr>
            <w:tcW w:type="dxa" w:w="2664"/>
            <w:tcMar>
              <w:top w:w="60" w:type="dxa"/>
              <w:start w:w="110" w:type="dxa"/>
              <w:bottom w:w="60" w:type="dxa"/>
              <w:end w:w="110" w:type="dxa"/>
            </w:tcMar>
          </w:tcPr>
          <w:p>
            <w:pPr>
              <w:spacing w:after="0"/>
            </w:pPr>
            <w:r/>
            <w:r>
              <w:rPr>
                <w:rFonts w:ascii="Calibri" w:hAnsi="Calibri"/>
                <w:b w:val="0"/>
                <w:i w:val="0"/>
                <w:color w:val="101828"/>
                <w:sz w:val="14"/>
              </w:rPr>
              <w:t>Unmatched items found by scheduled reconciliation runs, divided by transactions</w:t>
            </w:r>
          </w:p>
        </w:tc>
        <w:tc>
          <w:tcPr>
            <w:tcW w:type="dxa" w:w="2376"/>
            <w:tcMar>
              <w:top w:w="60" w:type="dxa"/>
              <w:start w:w="110" w:type="dxa"/>
              <w:bottom w:w="60" w:type="dxa"/>
              <w:end w:w="110" w:type="dxa"/>
            </w:tcMar>
          </w:tcPr>
          <w:p>
            <w:pPr>
              <w:spacing w:after="0"/>
            </w:pPr>
            <w:r/>
            <w:r>
              <w:rPr>
                <w:rFonts w:ascii="Calibri" w:hAnsi="Calibri"/>
                <w:b w:val="0"/>
                <w:i w:val="0"/>
                <w:color w:val="101828"/>
                <w:sz w:val="14"/>
              </w:rPr>
              <w:t>Gate: zero unexplained at month 1, zero total by month 3</w:t>
            </w:r>
          </w:p>
        </w:tc>
        <w:tc>
          <w:tcPr>
            <w:tcW w:type="dxa" w:w="1728"/>
            <w:tcMar>
              <w:top w:w="60" w:type="dxa"/>
              <w:start w:w="110" w:type="dxa"/>
              <w:bottom w:w="60" w:type="dxa"/>
              <w:end w:w="110" w:type="dxa"/>
            </w:tcMar>
          </w:tcPr>
          <w:p>
            <w:pPr>
              <w:spacing w:after="0"/>
            </w:pPr>
            <w:r/>
            <w:r>
              <w:rPr>
                <w:rFonts w:ascii="Calibri" w:hAnsi="Calibri"/>
                <w:b w:val="0"/>
                <w:i w:val="0"/>
                <w:color w:val="101828"/>
                <w:sz w:val="14"/>
              </w:rPr>
              <w:t>reconciliation_runs (FR-ADM-011)</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K-16</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Ledger balance invariant</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4"/>
              </w:rPr>
              <w:t>Transactions failing to balance to zero, across all write paths</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Zero. Absolute. Any non-zero value is a Sev-1.</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Automated invariant check on every write path (NFR-AUD-006)</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K-17</w:t>
            </w:r>
          </w:p>
        </w:tc>
        <w:tc>
          <w:tcPr>
            <w:tcW w:type="dxa" w:w="1944"/>
            <w:tcMar>
              <w:top w:w="60" w:type="dxa"/>
              <w:start w:w="110" w:type="dxa"/>
              <w:bottom w:w="60" w:type="dxa"/>
              <w:end w:w="110" w:type="dxa"/>
            </w:tcMar>
          </w:tcPr>
          <w:p>
            <w:pPr>
              <w:spacing w:after="0"/>
            </w:pPr>
            <w:r/>
            <w:r>
              <w:rPr>
                <w:rFonts w:ascii="Calibri" w:hAnsi="Calibri"/>
                <w:b w:val="0"/>
                <w:i w:val="0"/>
                <w:color w:val="101828"/>
                <w:sz w:val="14"/>
              </w:rPr>
              <w:t>Contribution success rate</w:t>
            </w:r>
          </w:p>
        </w:tc>
        <w:tc>
          <w:tcPr>
            <w:tcW w:type="dxa" w:w="2664"/>
            <w:tcMar>
              <w:top w:w="60" w:type="dxa"/>
              <w:start w:w="110" w:type="dxa"/>
              <w:bottom w:w="60" w:type="dxa"/>
              <w:end w:w="110" w:type="dxa"/>
            </w:tcMar>
          </w:tcPr>
          <w:p>
            <w:pPr>
              <w:spacing w:after="0"/>
            </w:pPr>
            <w:r/>
            <w:r>
              <w:rPr>
                <w:rFonts w:ascii="Calibri" w:hAnsi="Calibri"/>
                <w:b w:val="0"/>
                <w:i w:val="0"/>
                <w:color w:val="101828"/>
                <w:sz w:val="14"/>
              </w:rPr>
              <w:t>Payments reaching SUCCESS on first attempt, divided by payment initiations</w:t>
            </w:r>
          </w:p>
        </w:tc>
        <w:tc>
          <w:tcPr>
            <w:tcW w:type="dxa" w:w="2376"/>
            <w:tcMar>
              <w:top w:w="60" w:type="dxa"/>
              <w:start w:w="110" w:type="dxa"/>
              <w:bottom w:w="60" w:type="dxa"/>
              <w:end w:w="110" w:type="dxa"/>
            </w:tcMar>
          </w:tcPr>
          <w:p>
            <w:pPr>
              <w:spacing w:after="0"/>
            </w:pPr>
            <w:r/>
            <w:r>
              <w:rPr>
                <w:rFonts w:ascii="Calibri" w:hAnsi="Calibri"/>
                <w:b w:val="0"/>
                <w:i w:val="0"/>
                <w:color w:val="101828"/>
                <w:sz w:val="14"/>
              </w:rPr>
              <w:t>Projection: above 90%</w:t>
            </w:r>
          </w:p>
        </w:tc>
        <w:tc>
          <w:tcPr>
            <w:tcW w:type="dxa" w:w="1728"/>
            <w:tcMar>
              <w:top w:w="60" w:type="dxa"/>
              <w:start w:w="110" w:type="dxa"/>
              <w:bottom w:w="60" w:type="dxa"/>
              <w:end w:w="110" w:type="dxa"/>
            </w:tcMar>
          </w:tcPr>
          <w:p>
            <w:pPr>
              <w:spacing w:after="0"/>
            </w:pPr>
            <w:r/>
            <w:r>
              <w:rPr>
                <w:rFonts w:ascii="Calibri" w:hAnsi="Calibri"/>
                <w:b w:val="0"/>
                <w:i w:val="0"/>
                <w:color w:val="101828"/>
                <w:sz w:val="14"/>
              </w:rPr>
              <w:t>payments table state transitions</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K-18</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P95 API latency</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4"/>
              </w:rPr>
              <w:t>95th percentile server response time on read endpoints</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under 300 ms (NFR-PERF-001)</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Application monitoring</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K-19</w:t>
            </w:r>
          </w:p>
        </w:tc>
        <w:tc>
          <w:tcPr>
            <w:tcW w:type="dxa" w:w="1944"/>
            <w:tcMar>
              <w:top w:w="60" w:type="dxa"/>
              <w:start w:w="110" w:type="dxa"/>
              <w:bottom w:w="60" w:type="dxa"/>
              <w:end w:w="110" w:type="dxa"/>
            </w:tcMar>
          </w:tcPr>
          <w:p>
            <w:pPr>
              <w:spacing w:after="0"/>
            </w:pPr>
            <w:r/>
            <w:r>
              <w:rPr>
                <w:rFonts w:ascii="Calibri" w:hAnsi="Calibri"/>
                <w:b w:val="0"/>
                <w:i w:val="0"/>
                <w:color w:val="101828"/>
                <w:sz w:val="14"/>
              </w:rPr>
              <w:t>Availability</w:t>
            </w:r>
          </w:p>
        </w:tc>
        <w:tc>
          <w:tcPr>
            <w:tcW w:type="dxa" w:w="2664"/>
            <w:tcMar>
              <w:top w:w="60" w:type="dxa"/>
              <w:start w:w="110" w:type="dxa"/>
              <w:bottom w:w="60" w:type="dxa"/>
              <w:end w:w="110" w:type="dxa"/>
            </w:tcMar>
          </w:tcPr>
          <w:p>
            <w:pPr>
              <w:spacing w:after="0"/>
            </w:pPr>
            <w:r/>
            <w:r>
              <w:rPr>
                <w:rFonts w:ascii="Calibri" w:hAnsi="Calibri"/>
                <w:b w:val="0"/>
                <w:i w:val="0"/>
                <w:color w:val="101828"/>
                <w:sz w:val="14"/>
              </w:rPr>
              <w:t>Monthly uptime of the member-facing application and of the money paths, measured separately</w:t>
            </w:r>
          </w:p>
        </w:tc>
        <w:tc>
          <w:tcPr>
            <w:tcW w:type="dxa" w:w="2376"/>
            <w:tcMar>
              <w:top w:w="60" w:type="dxa"/>
              <w:start w:w="110" w:type="dxa"/>
              <w:bottom w:w="60" w:type="dxa"/>
              <w:end w:w="110" w:type="dxa"/>
            </w:tcMar>
          </w:tcPr>
          <w:p>
            <w:pPr>
              <w:spacing w:after="0"/>
            </w:pPr>
            <w:r/>
            <w:r>
              <w:rPr>
                <w:rFonts w:ascii="Calibri" w:hAnsi="Calibri"/>
                <w:b w:val="0"/>
                <w:i w:val="0"/>
                <w:color w:val="101828"/>
                <w:sz w:val="14"/>
              </w:rPr>
              <w:t>Target: 99.5% and 99.0% (NFR-AVL-001, NFR-AVL-002)</w:t>
            </w:r>
          </w:p>
        </w:tc>
        <w:tc>
          <w:tcPr>
            <w:tcW w:type="dxa" w:w="1728"/>
            <w:tcMar>
              <w:top w:w="60" w:type="dxa"/>
              <w:start w:w="110" w:type="dxa"/>
              <w:bottom w:w="60" w:type="dxa"/>
              <w:end w:w="110" w:type="dxa"/>
            </w:tcMar>
          </w:tcPr>
          <w:p>
            <w:pPr>
              <w:spacing w:after="0"/>
            </w:pPr>
            <w:r/>
            <w:r>
              <w:rPr>
                <w:rFonts w:ascii="Calibri" w:hAnsi="Calibri"/>
                <w:b w:val="0"/>
                <w:i w:val="0"/>
                <w:color w:val="101828"/>
                <w:sz w:val="14"/>
              </w:rPr>
              <w:t>External synthetic monitoring</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K-20</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Notification opt-out rate</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4"/>
              </w:rPr>
              <w:t>Users who disable push or email for a non-mandatory category</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Direction: monitored, no target until month 3. A high rate indicates notification fatigue (R6).</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notification_preferences</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K-21</w:t>
            </w:r>
          </w:p>
        </w:tc>
        <w:tc>
          <w:tcPr>
            <w:tcW w:type="dxa" w:w="1944"/>
            <w:tcMar>
              <w:top w:w="60" w:type="dxa"/>
              <w:start w:w="110" w:type="dxa"/>
              <w:bottom w:w="60" w:type="dxa"/>
              <w:end w:w="110" w:type="dxa"/>
            </w:tcMar>
          </w:tcPr>
          <w:p>
            <w:pPr>
              <w:spacing w:after="0"/>
            </w:pPr>
            <w:r/>
            <w:r>
              <w:rPr>
                <w:rFonts w:ascii="Calibri" w:hAnsi="Calibri"/>
                <w:b w:val="0"/>
                <w:i w:val="0"/>
                <w:color w:val="101828"/>
                <w:sz w:val="14"/>
              </w:rPr>
              <w:t>Verification failure rate</w:t>
            </w:r>
          </w:p>
        </w:tc>
        <w:tc>
          <w:tcPr>
            <w:tcW w:type="dxa" w:w="2664"/>
            <w:tcMar>
              <w:top w:w="60" w:type="dxa"/>
              <w:start w:w="110" w:type="dxa"/>
              <w:bottom w:w="60" w:type="dxa"/>
              <w:end w:w="110" w:type="dxa"/>
            </w:tcMar>
          </w:tcPr>
          <w:p>
            <w:pPr>
              <w:spacing w:after="0"/>
            </w:pPr>
            <w:r/>
            <w:r>
              <w:rPr>
                <w:rFonts w:ascii="Calibri" w:hAnsi="Calibri"/>
                <w:b w:val="0"/>
                <w:i w:val="0"/>
                <w:color w:val="101828"/>
                <w:sz w:val="14"/>
              </w:rPr>
              <w:t>Identity verifications failing, by check type</w:t>
            </w:r>
          </w:p>
        </w:tc>
        <w:tc>
          <w:tcPr>
            <w:tcW w:type="dxa" w:w="2376"/>
            <w:tcMar>
              <w:top w:w="60" w:type="dxa"/>
              <w:start w:w="110" w:type="dxa"/>
              <w:bottom w:w="60" w:type="dxa"/>
              <w:end w:w="110" w:type="dxa"/>
            </w:tcMar>
          </w:tcPr>
          <w:p>
            <w:pPr>
              <w:spacing w:after="0"/>
            </w:pPr>
            <w:r/>
            <w:r>
              <w:rPr>
                <w:rFonts w:ascii="Calibri" w:hAnsi="Calibri"/>
                <w:b w:val="0"/>
                <w:i w:val="0"/>
                <w:color w:val="101828"/>
                <w:sz w:val="14"/>
              </w:rPr>
              <w:t>Direction: monitored, with the failure reason distribution reviewed as an onboarding quality signal</w:t>
            </w:r>
          </w:p>
        </w:tc>
        <w:tc>
          <w:tcPr>
            <w:tcW w:type="dxa" w:w="1728"/>
            <w:tcMar>
              <w:top w:w="60" w:type="dxa"/>
              <w:start w:w="110" w:type="dxa"/>
              <w:bottom w:w="60" w:type="dxa"/>
              <w:end w:w="110" w:type="dxa"/>
            </w:tcMar>
          </w:tcPr>
          <w:p>
            <w:pPr>
              <w:spacing w:after="0"/>
            </w:pPr>
            <w:r/>
            <w:r>
              <w:rPr>
                <w:rFonts w:ascii="Calibri" w:hAnsi="Calibri"/>
                <w:b w:val="0"/>
                <w:i w:val="0"/>
                <w:color w:val="101828"/>
                <w:sz w:val="14"/>
              </w:rPr>
              <w:t>verification_checks (FR-KYC-003)</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K-22</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Ajo sizes and mix</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4"/>
              </w:rPr>
              <w:t>Distribution of Ajos by size and by contribution band</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No target. Diagnostic metric used to test whether the segmentation in 1.10 holds.</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ajos table</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K-23</w:t>
            </w:r>
          </w:p>
        </w:tc>
        <w:tc>
          <w:tcPr>
            <w:tcW w:type="dxa" w:w="1944"/>
            <w:tcMar>
              <w:top w:w="60" w:type="dxa"/>
              <w:start w:w="110" w:type="dxa"/>
              <w:bottom w:w="60" w:type="dxa"/>
              <w:end w:w="110" w:type="dxa"/>
            </w:tcMar>
          </w:tcPr>
          <w:p>
            <w:pPr>
              <w:spacing w:after="0"/>
            </w:pPr>
            <w:r/>
            <w:r>
              <w:rPr>
                <w:rFonts w:ascii="Calibri" w:hAnsi="Calibri"/>
                <w:b w:val="0"/>
                <w:i w:val="0"/>
                <w:color w:val="101828"/>
                <w:sz w:val="14"/>
              </w:rPr>
              <w:t>Acquisition source</w:t>
            </w:r>
          </w:p>
        </w:tc>
        <w:tc>
          <w:tcPr>
            <w:tcW w:type="dxa" w:w="2664"/>
            <w:tcMar>
              <w:top w:w="60" w:type="dxa"/>
              <w:start w:w="110" w:type="dxa"/>
              <w:bottom w:w="60" w:type="dxa"/>
              <w:end w:w="110" w:type="dxa"/>
            </w:tcMar>
          </w:tcPr>
          <w:p>
            <w:pPr>
              <w:spacing w:after="0"/>
            </w:pPr>
            <w:r/>
            <w:r>
              <w:rPr>
                <w:rFonts w:ascii="Calibri" w:hAnsi="Calibri"/>
                <w:b w:val="0"/>
                <w:i w:val="0"/>
                <w:color w:val="101828"/>
                <w:sz w:val="14"/>
              </w:rPr>
              <w:t>Where new members and new organisers came from</w:t>
            </w:r>
          </w:p>
        </w:tc>
        <w:tc>
          <w:tcPr>
            <w:tcW w:type="dxa" w:w="2376"/>
            <w:tcMar>
              <w:top w:w="60" w:type="dxa"/>
              <w:start w:w="110" w:type="dxa"/>
              <w:bottom w:w="60" w:type="dxa"/>
              <w:end w:w="110" w:type="dxa"/>
            </w:tcMar>
          </w:tcPr>
          <w:p>
            <w:pPr>
              <w:spacing w:after="0"/>
            </w:pPr>
            <w:r/>
            <w:r>
              <w:rPr>
                <w:rFonts w:ascii="Calibri" w:hAnsi="Calibri"/>
                <w:b w:val="0"/>
                <w:i w:val="0"/>
                <w:color w:val="101828"/>
                <w:sz w:val="14"/>
              </w:rPr>
              <w:t>No target. The hypothesis under test is that organiser referral dominates, and WhatsApp sharing is the mechanism (R7).</w:t>
            </w:r>
          </w:p>
        </w:tc>
        <w:tc>
          <w:tcPr>
            <w:tcW w:type="dxa" w:w="1728"/>
            <w:tcMar>
              <w:top w:w="60" w:type="dxa"/>
              <w:start w:w="110" w:type="dxa"/>
              <w:bottom w:w="60" w:type="dxa"/>
              <w:end w:w="110" w:type="dxa"/>
            </w:tcMar>
          </w:tcPr>
          <w:p>
            <w:pPr>
              <w:spacing w:after="0"/>
            </w:pPr>
            <w:r/>
            <w:r>
              <w:rPr>
                <w:rFonts w:ascii="Calibri" w:hAnsi="Calibri"/>
                <w:b w:val="0"/>
                <w:i w:val="0"/>
                <w:color w:val="101828"/>
                <w:sz w:val="14"/>
              </w:rPr>
              <w:t>Invitation records and referral attribution</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K-24</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Support contact rate</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4"/>
              </w:rPr>
              <w:t>Support contacts per 100 active members per month</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No target until staffing is measured. Used to size the support function (DEP-12).</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Support ticketing</w:t>
            </w:r>
          </w:p>
        </w:tc>
      </w:tr>
    </w:tbl>
    <w:p>
      <w:pPr>
        <w:spacing w:after="80"/>
      </w:pPr>
    </w:p>
    <w:p>
      <w:pPr>
        <w:spacing w:before="140" w:after="180"/>
        <w:ind w:left="144"/>
        <w:shd w:val="clear" w:color="auto" w:fill="FEF3C7"/>
        <w:pBdr>
          <w:left w:val="single" w:sz="18" w:space="6" w:color="FBBF24"/>
        </w:pBdr>
      </w:pPr>
      <w:r>
        <w:rPr>
          <w:rFonts w:ascii="Calibri" w:hAnsi="Calibri"/>
          <w:b/>
          <w:color w:val="FBBF24"/>
          <w:sz w:val="19"/>
        </w:rPr>
        <w:t xml:space="preserve">On the projections  </w:t>
      </w:r>
      <w:r>
        <w:rPr>
          <w:rFonts w:ascii="Calibri" w:hAnsi="Calibri"/>
          <w:b w:val="0"/>
          <w:i w:val="0"/>
          <w:color w:val="0B1F3A"/>
          <w:sz w:val="19"/>
        </w:rPr>
        <w:t xml:space="preserve">The Year-1 figures in 1.9.3 and every target marked </w:t>
      </w:r>
      <w:r>
        <w:rPr>
          <w:rFonts w:ascii="Calibri" w:hAnsi="Calibri"/>
          <w:b/>
          <w:color w:val="0B1F3A"/>
          <w:sz w:val="19"/>
        </w:rPr>
        <w:t>Projection</w:t>
      </w:r>
      <w:r>
        <w:rPr>
          <w:rFonts w:ascii="Calibri" w:hAnsi="Calibri"/>
          <w:b w:val="0"/>
          <w:i w:val="0"/>
          <w:color w:val="0B1F3A"/>
          <w:sz w:val="19"/>
        </w:rPr>
        <w:t xml:space="preserve"> above are derived from founder judgement and a spreadsheet, not from a funnel, a cohort or an operating history. They exist to size the operation and to make the assumptions explicit and arguable. </w:t>
      </w:r>
      <w:r>
        <w:rPr>
          <w:rFonts w:ascii="Calibri" w:hAnsi="Calibri"/>
          <w:b/>
          <w:color w:val="0B1F3A"/>
          <w:sz w:val="19"/>
        </w:rPr>
        <w:t>They must be presented to any investor as projections, and must be replaced with actuals as soon as the first 50 Ajos complete.</w:t>
      </w:r>
      <w:r>
        <w:rPr>
          <w:rFonts w:ascii="Calibri" w:hAnsi="Calibri"/>
          <w:b w:val="0"/>
          <w:i w:val="0"/>
          <w:color w:val="0B1F3A"/>
          <w:sz w:val="19"/>
        </w:rPr>
        <w:t xml:space="preserve"> Presenting a projection as a forecast would be a misrepresentation of the kind this product exists to eliminate.</w:t>
      </w:r>
    </w:p>
    <w:p>
      <w:pPr>
        <w:spacing w:before="140" w:after="180"/>
        <w:ind w:left="144"/>
        <w:shd w:val="clear" w:color="auto" w:fill="EFF6FF"/>
        <w:pBdr>
          <w:left w:val="single" w:sz="18" w:space="6" w:color="146EF5"/>
        </w:pBdr>
      </w:pPr>
      <w:r>
        <w:rPr>
          <w:rFonts w:ascii="Calibri" w:hAnsi="Calibri"/>
          <w:b/>
          <w:color w:val="146EF5"/>
          <w:sz w:val="19"/>
        </w:rPr>
        <w:t xml:space="preserve">The metric that matters most is the one that cannot be faked  </w:t>
      </w:r>
      <w:r>
        <w:rPr>
          <w:rFonts w:ascii="Calibri" w:hAnsi="Calibri"/>
          <w:b w:val="0"/>
          <w:i w:val="0"/>
          <w:color w:val="0B1F3A"/>
          <w:sz w:val="19"/>
        </w:rPr>
        <w:t>K-01 and K-16 have absolute zero targets and cannot be improved, only maintained. Every other metric can be made to look better by growing faster. A platform that reports volume prominently and these two quietly is reporting the wrong product. Both should appear on the first slide of any internal or external reporting, whatever else is included.</w:t>
      </w:r>
    </w:p>
    <w:p>
      <w:pPr>
        <w:pStyle w:val="Heading2"/>
      </w:pPr>
      <w:r>
        <w:rPr>
          <w:rFonts w:ascii="Calibri" w:hAnsi="Calibri"/>
          <w:b/>
          <w:i w:val="0"/>
          <w:color w:val="146EF5"/>
          <w:sz w:val="29"/>
        </w:rPr>
        <w:t>1.28 Future roadmap</w:t>
      </w:r>
    </w:p>
    <w:p>
      <w:r>
        <w:rPr>
          <w:rFonts w:ascii="Calibri" w:hAnsi="Calibri"/>
          <w:b w:val="0"/>
          <w:i w:val="0"/>
          <w:color w:val="101828"/>
          <w:sz w:val="21"/>
        </w:rPr>
        <w:t xml:space="preserve">The roadmap below is a </w:t>
      </w:r>
      <w:r>
        <w:rPr>
          <w:rFonts w:ascii="Calibri" w:hAnsi="Calibri"/>
          <w:b/>
          <w:color w:val="101828"/>
          <w:sz w:val="21"/>
        </w:rPr>
        <w:t>direction of travel, not a commitment</w:t>
      </w:r>
      <w:r>
        <w:rPr>
          <w:rFonts w:ascii="Calibri" w:hAnsi="Calibri"/>
          <w:b w:val="0"/>
          <w:i w:val="0"/>
          <w:color w:val="101828"/>
          <w:sz w:val="21"/>
        </w:rPr>
        <w:t>. No dates are given, because no date can honestly be given for anything downstream of D-02, D-03 and the engagement of counsel. Items are gated on evidence, not on dates.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368"/>
            <w:shd w:val="clear" w:color="auto" w:fill="0B1F3A"/>
            <w:tcMar>
              <w:top w:w="60" w:type="dxa"/>
              <w:start w:w="110" w:type="dxa"/>
              <w:bottom w:w="60" w:type="dxa"/>
              <w:end w:w="110" w:type="dxa"/>
            </w:tcMar>
          </w:tcPr>
          <w:p>
            <w:pPr>
              <w:spacing w:after="0"/>
            </w:pPr>
            <w:r/>
            <w:r>
              <w:rPr>
                <w:rFonts w:ascii="Calibri" w:hAnsi="Calibri"/>
                <w:b/>
                <w:i w:val="0"/>
                <w:color w:val="FFFFFF"/>
                <w:sz w:val="14"/>
              </w:rPr>
              <w:t>Phase</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4"/>
              </w:rPr>
              <w:t>Focus</w:t>
            </w:r>
          </w:p>
        </w:tc>
        <w:tc>
          <w:tcPr>
            <w:tcW w:type="dxa" w:w="3744"/>
            <w:shd w:val="clear" w:color="auto" w:fill="0B1F3A"/>
            <w:tcMar>
              <w:top w:w="60" w:type="dxa"/>
              <w:start w:w="110" w:type="dxa"/>
              <w:bottom w:w="60" w:type="dxa"/>
              <w:end w:w="110" w:type="dxa"/>
            </w:tcMar>
          </w:tcPr>
          <w:p>
            <w:pPr>
              <w:spacing w:after="0"/>
            </w:pPr>
            <w:r/>
            <w:r>
              <w:rPr>
                <w:rFonts w:ascii="Calibri" w:hAnsi="Calibri"/>
                <w:b/>
                <w:i w:val="0"/>
                <w:color w:val="FFFFFF"/>
                <w:sz w:val="14"/>
              </w:rPr>
              <w:t>What is built</w:t>
            </w:r>
          </w:p>
        </w:tc>
        <w:tc>
          <w:tcPr>
            <w:tcW w:type="dxa" w:w="2664"/>
            <w:shd w:val="clear" w:color="auto" w:fill="0B1F3A"/>
            <w:tcMar>
              <w:top w:w="60" w:type="dxa"/>
              <w:start w:w="110" w:type="dxa"/>
              <w:bottom w:w="60" w:type="dxa"/>
              <w:end w:w="110" w:type="dxa"/>
            </w:tcMar>
          </w:tcPr>
          <w:p>
            <w:pPr>
              <w:spacing w:after="0"/>
            </w:pPr>
            <w:r/>
            <w:r>
              <w:rPr>
                <w:rFonts w:ascii="Calibri" w:hAnsi="Calibri"/>
                <w:b/>
                <w:i w:val="0"/>
                <w:color w:val="FFFFFF"/>
                <w:sz w:val="14"/>
              </w:rPr>
              <w:t>Exit criterion to move on</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4"/>
              </w:rPr>
              <w:t>Phase 0. Foundational</w:t>
            </w:r>
          </w:p>
        </w:tc>
        <w:tc>
          <w:tcPr>
            <w:tcW w:type="dxa" w:w="1584"/>
            <w:tcMar>
              <w:top w:w="60" w:type="dxa"/>
              <w:start w:w="110" w:type="dxa"/>
              <w:bottom w:w="60" w:type="dxa"/>
              <w:end w:w="110" w:type="dxa"/>
            </w:tcMar>
          </w:tcPr>
          <w:p>
            <w:pPr>
              <w:spacing w:after="0"/>
            </w:pPr>
            <w:r/>
            <w:r>
              <w:rPr>
                <w:rFonts w:ascii="Calibri" w:hAnsi="Calibri"/>
                <w:b w:val="0"/>
                <w:i w:val="0"/>
                <w:color w:val="101828"/>
                <w:sz w:val="14"/>
              </w:rPr>
              <w:t>Make it lawful and make it solvent</w:t>
            </w:r>
          </w:p>
        </w:tc>
        <w:tc>
          <w:tcPr>
            <w:tcW w:type="dxa" w:w="3744"/>
            <w:tcMar>
              <w:top w:w="60" w:type="dxa"/>
              <w:start w:w="110" w:type="dxa"/>
              <w:bottom w:w="60" w:type="dxa"/>
              <w:end w:w="110" w:type="dxa"/>
            </w:tcMar>
          </w:tcPr>
          <w:p>
            <w:pPr>
              <w:spacing w:after="0"/>
            </w:pPr>
            <w:r/>
            <w:r>
              <w:rPr>
                <w:rFonts w:ascii="Calibri" w:hAnsi="Calibri"/>
                <w:b w:val="0"/>
                <w:i w:val="0"/>
                <w:color w:val="101828"/>
                <w:sz w:val="14"/>
              </w:rPr>
              <w:t>ProvidusUnity contracted with written pricing and a custody arrangement. Counsel and tax adviser engaged and D-02, D-03, D-04, D-05, D-06, D-07 and D-08 resolved. Support and risk staffed with runbooks. Ledger invariants automated and green.</w:t>
            </w:r>
          </w:p>
        </w:tc>
        <w:tc>
          <w:tcPr>
            <w:tcW w:type="dxa" w:w="2664"/>
            <w:tcMar>
              <w:top w:w="60" w:type="dxa"/>
              <w:start w:w="110" w:type="dxa"/>
              <w:bottom w:w="60" w:type="dxa"/>
              <w:end w:w="110" w:type="dxa"/>
            </w:tcMar>
          </w:tcPr>
          <w:p>
            <w:pPr>
              <w:spacing w:after="0"/>
            </w:pPr>
            <w:r/>
            <w:r>
              <w:rPr>
                <w:rFonts w:ascii="Calibri" w:hAnsi="Calibri"/>
                <w:b w:val="0"/>
                <w:i w:val="0"/>
                <w:color w:val="101828"/>
                <w:sz w:val="14"/>
              </w:rPr>
              <w:t>All open decisions closed in writing. 10 end-to-end pilot Ajos complete with zero reduced payouts.</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4"/>
              </w:rPr>
              <w:t>Phase 1. MVP launch</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The product in section 1.17, invitation-only</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4"/>
              </w:rPr>
              <w:t>Registration, profile, verification, Ajo creation and settings, invitations, joining, membership, schedules, collection, tracking, payouts, history, notifications, disputes, defaults, admin. The full 2% fee model with complete disclosure.</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4"/>
              </w:rPr>
              <w:t>Gate G-B passed: 10 Ajos complete, zero unreconciled exceptions, a receipt for every movement.</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4"/>
              </w:rPr>
              <w:t>Phase 2. Prove it works</w:t>
            </w:r>
          </w:p>
        </w:tc>
        <w:tc>
          <w:tcPr>
            <w:tcW w:type="dxa" w:w="1584"/>
            <w:tcMar>
              <w:top w:w="60" w:type="dxa"/>
              <w:start w:w="110" w:type="dxa"/>
              <w:bottom w:w="60" w:type="dxa"/>
              <w:end w:w="110" w:type="dxa"/>
            </w:tcMar>
          </w:tcPr>
          <w:p>
            <w:pPr>
              <w:spacing w:after="0"/>
            </w:pPr>
            <w:r/>
            <w:r>
              <w:rPr>
                <w:rFonts w:ascii="Calibri" w:hAnsi="Calibri"/>
                <w:b w:val="0"/>
                <w:i w:val="0"/>
                <w:color w:val="101828"/>
                <w:sz w:val="14"/>
              </w:rPr>
              <w:t>Behaviour and economics, not features</w:t>
            </w:r>
          </w:p>
        </w:tc>
        <w:tc>
          <w:tcPr>
            <w:tcW w:type="dxa" w:w="3744"/>
            <w:tcMar>
              <w:top w:w="60" w:type="dxa"/>
              <w:start w:w="110" w:type="dxa"/>
              <w:bottom w:w="60" w:type="dxa"/>
              <w:end w:w="110" w:type="dxa"/>
            </w:tcMar>
          </w:tcPr>
          <w:p>
            <w:pPr>
              <w:spacing w:after="0"/>
            </w:pPr>
            <w:r/>
            <w:r>
              <w:rPr>
                <w:rFonts w:ascii="Calibri" w:hAnsi="Calibri"/>
                <w:b w:val="0"/>
                <w:i w:val="0"/>
                <w:color w:val="101828"/>
                <w:sz w:val="14"/>
              </w:rPr>
              <w:t>No new features. Instrument everything. Complete 50 Ajos. Replace the Year-1 model with actuals. Build the dispute and recovery playbook from real cases. Test frequency and retention assumptions.</w:t>
            </w:r>
          </w:p>
        </w:tc>
        <w:tc>
          <w:tcPr>
            <w:tcW w:type="dxa" w:w="2664"/>
            <w:tcMar>
              <w:top w:w="60" w:type="dxa"/>
              <w:start w:w="110" w:type="dxa"/>
              <w:bottom w:w="60" w:type="dxa"/>
              <w:end w:w="110" w:type="dxa"/>
            </w:tcMar>
          </w:tcPr>
          <w:p>
            <w:pPr>
              <w:spacing w:after="0"/>
            </w:pPr>
            <w:r/>
            <w:r>
              <w:rPr>
                <w:rFonts w:ascii="Calibri" w:hAnsi="Calibri"/>
                <w:b w:val="0"/>
                <w:i w:val="0"/>
                <w:color w:val="101828"/>
                <w:sz w:val="14"/>
              </w:rPr>
              <w:t>Gates G-C and G-D passed: completion and on-time payment at target, and a positive gross-to-net margin on real provider pricing.</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4"/>
              </w:rPr>
              <w:t>Phase 3. Density</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Own a small number of clusters completely</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4"/>
              </w:rPr>
              <w:t>Organiser onboarding programme. Referred invitations. Statements fit for banks and third parties. Organiser console deepened. SMS and low-bandwidth paths hardened. Ajo templates drawn from real market practice.</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4"/>
              </w:rPr>
              <w:t>300 Ajos at base case, organiser retention at target, support load inside staffing capacity.</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4"/>
              </w:rPr>
              <w:t>Phase 4. Reach</w:t>
            </w:r>
          </w:p>
        </w:tc>
        <w:tc>
          <w:tcPr>
            <w:tcW w:type="dxa" w:w="1584"/>
            <w:tcMar>
              <w:top w:w="60" w:type="dxa"/>
              <w:start w:w="110" w:type="dxa"/>
              <w:bottom w:w="60" w:type="dxa"/>
              <w:end w:w="110" w:type="dxa"/>
            </w:tcMar>
          </w:tcPr>
          <w:p>
            <w:pPr>
              <w:spacing w:after="0"/>
            </w:pPr>
            <w:r/>
            <w:r>
              <w:rPr>
                <w:rFonts w:ascii="Calibri" w:hAnsi="Calibri"/>
                <w:b w:val="0"/>
                <w:i w:val="0"/>
                <w:color w:val="101828"/>
                <w:sz w:val="14"/>
              </w:rPr>
              <w:t>Widen who can participate</w:t>
            </w:r>
          </w:p>
        </w:tc>
        <w:tc>
          <w:tcPr>
            <w:tcW w:type="dxa" w:w="3744"/>
            <w:tcMar>
              <w:top w:w="60" w:type="dxa"/>
              <w:start w:w="110" w:type="dxa"/>
              <w:bottom w:w="60" w:type="dxa"/>
              <w:end w:w="110" w:type="dxa"/>
            </w:tcMar>
          </w:tcPr>
          <w:p>
            <w:pPr>
              <w:spacing w:after="0"/>
            </w:pPr>
            <w:r/>
            <w:r>
              <w:rPr>
                <w:rFonts w:ascii="Calibri" w:hAnsi="Calibri"/>
                <w:b w:val="0"/>
                <w:i w:val="0"/>
                <w:color w:val="101828"/>
                <w:sz w:val="14"/>
              </w:rPr>
              <w:t>Referred membership beyond personal networks. Second payment provider for failover. Frequency expansion. Native apps if and only if the progressive web app is genuinely insufficient. Full re-review of section 1.16.3 before any of it.</w:t>
            </w:r>
          </w:p>
        </w:tc>
        <w:tc>
          <w:tcPr>
            <w:tcW w:type="dxa" w:w="2664"/>
            <w:tcMar>
              <w:top w:w="60" w:type="dxa"/>
              <w:start w:w="110" w:type="dxa"/>
              <w:bottom w:w="60" w:type="dxa"/>
              <w:end w:w="110" w:type="dxa"/>
            </w:tcMar>
          </w:tcPr>
          <w:p>
            <w:pPr>
              <w:spacing w:after="0"/>
            </w:pPr>
            <w:r/>
            <w:r>
              <w:rPr>
                <w:rFonts w:ascii="Calibri" w:hAnsi="Calibri"/>
                <w:b w:val="0"/>
                <w:i w:val="0"/>
                <w:color w:val="101828"/>
                <w:sz w:val="14"/>
              </w:rPr>
              <w:t>Provider failover proven in a chaos test, and the scope re-review completed and signed off.</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4"/>
              </w:rPr>
              <w:t>Phase 5. Adjacent, subject to full review</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Only if the core is proven and lawful</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Diaspora and international participation, subject to D-02 and a licensing review. Credit or lending is </w:t>
            </w:r>
            <w:r>
              <w:rPr>
                <w:rFonts w:ascii="Calibri" w:hAnsi="Calibri"/>
                <w:b/>
                <w:color w:val="101828"/>
                <w:sz w:val="14"/>
              </w:rPr>
              <w:t>not</w:t>
            </w:r>
            <w:r>
              <w:rPr>
                <w:rFonts w:ascii="Calibri" w:hAnsi="Calibri"/>
                <w:b w:val="0"/>
                <w:i w:val="0"/>
                <w:color w:val="101828"/>
                <w:sz w:val="14"/>
              </w:rPr>
              <w:t xml:space="preserve"> on this line and is not anticipated; it is excluded in section 1.16.3. Possible: richer financial history, integration with formal savings products, organisation-level arrangements.</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4"/>
              </w:rPr>
              <w:t>Each item independently reviewed against section 1.16.3, the risk table in 1.25 and the business rules in 1.21. Nothing on this line is a commitment.</w:t>
            </w:r>
          </w:p>
        </w:tc>
      </w:tr>
    </w:tbl>
    <w:p>
      <w:pPr>
        <w:spacing w:after="80"/>
      </w:pPr>
    </w:p>
    <w:p>
      <w:pPr>
        <w:pStyle w:val="Heading3"/>
      </w:pPr>
      <w:r>
        <w:rPr>
          <w:rFonts w:ascii="Calibri" w:hAnsi="Calibri"/>
          <w:b/>
          <w:i w:val="0"/>
          <w:color w:val="0B1F3A"/>
          <w:sz w:val="24"/>
        </w:rPr>
        <w:t>1.28.1 What is deliberately not on this roadmap</w:t>
      </w:r>
    </w:p>
    <w:p>
      <w:pPr>
        <w:pStyle w:val="ListBullet"/>
        <w:spacing w:after="60"/>
        <w:ind w:left="360"/>
      </w:pPr>
      <w:r>
        <w:rPr>
          <w:rFonts w:ascii="Calibri" w:hAnsi="Calibri"/>
          <w:b w:val="0"/>
          <w:i w:val="0"/>
          <w:color w:val="101828"/>
          <w:sz w:val="21"/>
        </w:rPr>
        <w:t>A public Ajo marketplace. It is the most requested and the most dangerous item, and it stays out until the core is proven and the fraud model is understood.</w:t>
      </w:r>
    </w:p>
    <w:p>
      <w:pPr>
        <w:pStyle w:val="ListBullet"/>
        <w:spacing w:after="60"/>
        <w:ind w:left="360"/>
      </w:pPr>
      <w:r>
        <w:rPr>
          <w:rFonts w:ascii="Calibri" w:hAnsi="Calibri"/>
          <w:b w:val="0"/>
          <w:i w:val="0"/>
          <w:color w:val="101828"/>
          <w:sz w:val="21"/>
        </w:rPr>
        <w:t>Any credit or lending product, in any form, including a softer variant such as a payout advance. Excluded permanently unless the position is consciously revisited, and BR-028 governs until then.</w:t>
      </w:r>
    </w:p>
    <w:p>
      <w:pPr>
        <w:pStyle w:val="ListBullet"/>
        <w:spacing w:after="60"/>
        <w:ind w:left="360"/>
      </w:pPr>
      <w:r>
        <w:rPr>
          <w:rFonts w:ascii="Calibri" w:hAnsi="Calibri"/>
          <w:b w:val="0"/>
          <w:i w:val="0"/>
          <w:color w:val="101828"/>
          <w:sz w:val="21"/>
        </w:rPr>
        <w:t>Yield, interest, savings returns or any investment product. An Ajo pays zero return and always will.</w:t>
      </w:r>
    </w:p>
    <w:p>
      <w:pPr>
        <w:pStyle w:val="ListBullet"/>
        <w:spacing w:after="60"/>
        <w:ind w:left="360"/>
      </w:pPr>
      <w:r>
        <w:rPr>
          <w:rFonts w:ascii="Calibri" w:hAnsi="Calibri"/>
          <w:b w:val="0"/>
          <w:i w:val="0"/>
          <w:color w:val="101828"/>
          <w:sz w:val="21"/>
        </w:rPr>
        <w:t>Insurance, protection or guarantee products. AJO.ng cannot underwrite a risk it does not control.</w:t>
      </w:r>
    </w:p>
    <w:p>
      <w:pPr>
        <w:pStyle w:val="ListBullet"/>
        <w:spacing w:after="60"/>
        <w:ind w:left="360"/>
      </w:pPr>
      <w:r>
        <w:rPr>
          <w:rFonts w:ascii="Calibri" w:hAnsi="Calibri"/>
          <w:b w:val="0"/>
          <w:i w:val="0"/>
          <w:color w:val="101828"/>
          <w:sz w:val="21"/>
        </w:rPr>
        <w:t>Cryptocurrency and stablecoins of any kind.</w:t>
      </w:r>
    </w:p>
    <w:p>
      <w:pPr>
        <w:pStyle w:val="Heading3"/>
      </w:pPr>
      <w:r>
        <w:rPr>
          <w:rFonts w:ascii="Calibri" w:hAnsi="Calibri"/>
          <w:b/>
          <w:i w:val="0"/>
          <w:color w:val="0B1F3A"/>
          <w:sz w:val="24"/>
        </w:rPr>
        <w:t>1.28.2 The one-line version</w:t>
      </w:r>
    </w:p>
    <w:p>
      <w:r>
        <w:rPr>
          <w:rFonts w:ascii="Calibri" w:hAnsi="Calibri"/>
          <w:b/>
          <w:color w:val="101828"/>
          <w:sz w:val="21"/>
        </w:rPr>
        <w:t>Make it lawful, make it solvent, then make it work, then make it dense, then widen it, and never build a lending company on top of it.</w:t>
      </w:r>
      <w:r>
        <w:rPr>
          <w:rFonts w:ascii="Calibri" w:hAnsi="Calibri"/>
          <w:b w:val="0"/>
          <w:i w:val="0"/>
          <w:color w:val="101828"/>
          <w:sz w:val="21"/>
        </w:rPr>
        <w:t xml:space="preserve"> Every phase above is gated on evidence rather than on a date, and the first phase is the one that decides whether there is a second phase.</w:t>
      </w:r>
    </w:p>
    <w:p>
      <w:pPr>
        <w:spacing w:before="140" w:after="180"/>
        <w:ind w:left="144"/>
        <w:shd w:val="clear" w:color="auto" w:fill="EFF6FF"/>
        <w:pBdr>
          <w:left w:val="single" w:sz="18" w:space="6" w:color="146EF5"/>
        </w:pBdr>
      </w:pPr>
      <w:r>
        <w:rPr>
          <w:rFonts w:ascii="Calibri" w:hAnsi="Calibri"/>
          <w:b/>
          <w:color w:val="146EF5"/>
          <w:sz w:val="19"/>
        </w:rPr>
        <w:t xml:space="preserve">Traceability  </w:t>
      </w:r>
      <w:r>
        <w:rPr>
          <w:rFonts w:ascii="Calibri" w:hAnsi="Calibri"/>
          <w:b w:val="0"/>
          <w:i w:val="0"/>
          <w:color w:val="0B1F3A"/>
          <w:sz w:val="19"/>
        </w:rPr>
        <w:t xml:space="preserve">This document is the product baseline for AJO.ng. Section 1 defines what the product is and the rules it obeys; the state-machine, entity, API, security, data, financial and operational sections that follow define how it is built. Where any later section conflicts with this one, </w:t>
      </w:r>
      <w:r>
        <w:rPr>
          <w:rFonts w:ascii="Calibri" w:hAnsi="Calibri"/>
          <w:b/>
          <w:color w:val="0B1F3A"/>
          <w:sz w:val="19"/>
        </w:rPr>
        <w:t>CANONICAL.md wins, and this section is wrong and must be corrected rather than reconciled.</w:t>
      </w:r>
    </w:p>
    <w:p>
      <w:r>
        <w:br w:type="page"/>
      </w:r>
    </w:p>
    <w:p>
      <w:pPr>
        <w:pStyle w:val="Heading1"/>
        <w:pBdr>
          <w:bottom w:val="single" w:sz="12" w:space="6" w:color="146EF5"/>
        </w:pBdr>
        <w:spacing w:after="240"/>
      </w:pPr>
      <w:r>
        <w:rPr>
          <w:rFonts w:ascii="Calibri" w:hAnsi="Calibri"/>
          <w:b/>
          <w:i w:val="0"/>
          <w:color w:val="0B1F3A"/>
          <w:sz w:val="40"/>
        </w:rPr>
        <w:t>2. User Flow Specification</w:t>
      </w:r>
    </w:p>
    <w:p>
      <w:pPr>
        <w:spacing w:after="200"/>
      </w:pPr>
      <w:r>
        <w:rPr>
          <w:rFonts w:ascii="Calibri" w:hAnsi="Calibri"/>
          <w:b w:val="0"/>
          <w:i w:val="0"/>
          <w:color w:val="475467"/>
          <w:sz w:val="24"/>
        </w:rPr>
        <w:t>This section specifies, step by step, what every actor does and what the platform does in response, across sixteen end-to-end flows. Each flow is written to be testable: a diagram, a step table with a rule reference on every step, the happy path in prose, and a branch table covering every alternate and failure path. Flow 2.17 traces every flow back to the functional requirements it satisfies, the screens it touches and the API endpoints it calls.</w:t>
      </w:r>
    </w:p>
    <w:p>
      <w:r>
        <w:rPr>
          <w:rFonts w:ascii="Calibri" w:hAnsi="Calibri"/>
          <w:b/>
          <w:color w:val="101828"/>
          <w:sz w:val="21"/>
        </w:rPr>
        <w:t>Reading convention.</w:t>
      </w:r>
      <w:r>
        <w:rPr>
          <w:rFonts w:ascii="Calibri" w:hAnsi="Calibri"/>
          <w:b w:val="0"/>
          <w:i w:val="0"/>
          <w:color w:val="101828"/>
          <w:sz w:val="21"/>
        </w:rPr>
        <w:t xml:space="preserve"> Every step in every table carries a rule reference. </w:t>
      </w:r>
      <w:r>
        <w:rPr>
          <w:rFonts w:ascii="Consolas" w:hAnsi="Consolas"/>
          <w:color w:val="146EF5"/>
          <w:sz w:val="21"/>
        </w:rPr>
        <w:t>BR-nnn</w:t>
      </w:r>
      <w:r>
        <w:rPr>
          <w:rFonts w:ascii="Calibri" w:hAnsi="Calibri"/>
          <w:b w:val="0"/>
          <w:i w:val="0"/>
          <w:color w:val="101828"/>
          <w:sz w:val="21"/>
        </w:rPr>
        <w:t xml:space="preserve"> refers to the business-rule register in section 1.21. </w:t>
      </w:r>
      <w:r>
        <w:rPr>
          <w:rFonts w:ascii="Consolas" w:hAnsi="Consolas"/>
          <w:color w:val="146EF5"/>
          <w:sz w:val="21"/>
        </w:rPr>
        <w:t>FR-*</w:t>
      </w:r>
      <w:r>
        <w:rPr>
          <w:rFonts w:ascii="Calibri" w:hAnsi="Calibri"/>
          <w:b w:val="0"/>
          <w:i w:val="0"/>
          <w:color w:val="101828"/>
          <w:sz w:val="21"/>
        </w:rPr>
        <w:t xml:space="preserve"> refers to a functional requirement in section 1.17. </w:t>
      </w:r>
      <w:r>
        <w:rPr>
          <w:rFonts w:ascii="Consolas" w:hAnsi="Consolas"/>
          <w:color w:val="146EF5"/>
          <w:sz w:val="21"/>
        </w:rPr>
        <w:t>US-nn</w:t>
      </w:r>
      <w:r>
        <w:rPr>
          <w:rFonts w:ascii="Calibri" w:hAnsi="Calibri"/>
          <w:b w:val="0"/>
          <w:i w:val="0"/>
          <w:color w:val="101828"/>
          <w:sz w:val="21"/>
        </w:rPr>
        <w:t xml:space="preserve"> refers to a user story in section 1.20. </w:t>
      </w:r>
      <w:r>
        <w:rPr>
          <w:rFonts w:ascii="Consolas" w:hAnsi="Consolas"/>
          <w:color w:val="146EF5"/>
          <w:sz w:val="21"/>
        </w:rPr>
        <w:t>NFR-*</w:t>
      </w:r>
      <w:r>
        <w:rPr>
          <w:rFonts w:ascii="Calibri" w:hAnsi="Calibri"/>
          <w:b w:val="0"/>
          <w:i w:val="0"/>
          <w:color w:val="101828"/>
          <w:sz w:val="21"/>
        </w:rPr>
        <w:t xml:space="preserve"> refers to a non-functional requirement in section 1.18. </w:t>
      </w:r>
      <w:r>
        <w:rPr>
          <w:rFonts w:ascii="Consolas" w:hAnsi="Consolas"/>
          <w:color w:val="146EF5"/>
          <w:sz w:val="21"/>
        </w:rPr>
        <w:t>R-n</w:t>
      </w:r>
      <w:r>
        <w:rPr>
          <w:rFonts w:ascii="Calibri" w:hAnsi="Calibri"/>
          <w:b w:val="0"/>
          <w:i w:val="0"/>
          <w:color w:val="101828"/>
          <w:sz w:val="21"/>
        </w:rPr>
        <w:t xml:space="preserve"> refers to a risk and </w:t>
      </w:r>
      <w:r>
        <w:rPr>
          <w:rFonts w:ascii="Consolas" w:hAnsi="Consolas"/>
          <w:color w:val="146EF5"/>
          <w:sz w:val="21"/>
        </w:rPr>
        <w:t>DEP-nn</w:t>
      </w:r>
      <w:r>
        <w:rPr>
          <w:rFonts w:ascii="Calibri" w:hAnsi="Calibri"/>
          <w:b w:val="0"/>
          <w:i w:val="0"/>
          <w:color w:val="101828"/>
          <w:sz w:val="21"/>
        </w:rPr>
        <w:t xml:space="preserve"> to a dependency in sections 1.25 and 1.23. </w:t>
      </w:r>
      <w:r>
        <w:rPr>
          <w:rFonts w:ascii="Consolas" w:hAnsi="Consolas"/>
          <w:color w:val="146EF5"/>
          <w:sz w:val="21"/>
        </w:rPr>
        <w:t>D-nn</w:t>
      </w:r>
      <w:r>
        <w:rPr>
          <w:rFonts w:ascii="Calibri" w:hAnsi="Calibri"/>
          <w:b w:val="0"/>
          <w:i w:val="0"/>
          <w:color w:val="101828"/>
          <w:sz w:val="21"/>
        </w:rPr>
        <w:t xml:space="preserve"> refers to an open decision in section 9 of CANONICAL.md. </w:t>
      </w:r>
      <w:r>
        <w:rPr>
          <w:rFonts w:ascii="Consolas" w:hAnsi="Consolas"/>
          <w:color w:val="146EF5"/>
          <w:sz w:val="21"/>
        </w:rPr>
        <w:t>A-nn</w:t>
      </w:r>
      <w:r>
        <w:rPr>
          <w:rFonts w:ascii="Calibri" w:hAnsi="Calibri"/>
          <w:b w:val="0"/>
          <w:i w:val="0"/>
          <w:color w:val="101828"/>
          <w:sz w:val="21"/>
        </w:rPr>
        <w:t xml:space="preserve"> refers to an assumption in section 1.22. </w:t>
      </w:r>
      <w:r>
        <w:rPr>
          <w:rFonts w:ascii="Consolas" w:hAnsi="Consolas"/>
          <w:color w:val="146EF5"/>
          <w:sz w:val="21"/>
        </w:rPr>
        <w:t>EC-nnn</w:t>
      </w:r>
      <w:r>
        <w:rPr>
          <w:rFonts w:ascii="Calibri" w:hAnsi="Calibri"/>
          <w:b w:val="0"/>
          <w:i w:val="0"/>
          <w:color w:val="101828"/>
          <w:sz w:val="21"/>
        </w:rPr>
        <w:t xml:space="preserve"> refers to an edge case in section 19. </w:t>
      </w:r>
      <w:r>
        <w:rPr>
          <w:rFonts w:ascii="Consolas" w:hAnsi="Consolas"/>
          <w:color w:val="146EF5"/>
          <w:sz w:val="21"/>
        </w:rPr>
        <w:t>SCR-*</w:t>
      </w:r>
      <w:r>
        <w:rPr>
          <w:rFonts w:ascii="Calibri" w:hAnsi="Calibri"/>
          <w:b w:val="0"/>
          <w:i w:val="0"/>
          <w:color w:val="101828"/>
          <w:sz w:val="21"/>
        </w:rPr>
        <w:t xml:space="preserve"> refers to a screen in the screen-ID key below. Where a step depends on something not yet decided, the reference carries the open decision or the assumption rather than a fabricated answer.</w:t>
      </w:r>
    </w:p>
    <w:p>
      <w:pPr>
        <w:spacing w:before="140" w:after="180"/>
        <w:ind w:left="144"/>
        <w:shd w:val="clear" w:color="auto" w:fill="EFF6FF"/>
        <w:pBdr>
          <w:left w:val="single" w:sz="18" w:space="6" w:color="146EF5"/>
        </w:pBdr>
      </w:pPr>
      <w:r>
        <w:rPr>
          <w:rFonts w:ascii="Calibri" w:hAnsi="Calibri"/>
          <w:b/>
          <w:color w:val="146EF5"/>
          <w:sz w:val="19"/>
        </w:rPr>
        <w:t xml:space="preserve">What a flow is and is not  </w:t>
      </w:r>
      <w:r>
        <w:rPr>
          <w:rFonts w:ascii="Calibri" w:hAnsi="Calibri"/>
          <w:b w:val="0"/>
          <w:i w:val="0"/>
          <w:color w:val="0B1F3A"/>
          <w:sz w:val="19"/>
        </w:rPr>
        <w:t xml:space="preserve">A flow is a sequence of user intents and system obligations, not a page map. Where a flow crosses a payment provider, the provider's behaviour is modelled as a state, not as an assumption about capability. </w:t>
      </w:r>
      <w:r>
        <w:rPr>
          <w:rFonts w:ascii="Calibri" w:hAnsi="Calibri"/>
          <w:b/>
          <w:color w:val="0B1F3A"/>
          <w:sz w:val="19"/>
        </w:rPr>
        <w:t>No flow in this section asserts that ProvidusUnity can do anything that has not been confirmed in writing.</w:t>
      </w:r>
      <w:r>
        <w:rPr>
          <w:rFonts w:ascii="Calibri" w:hAnsi="Calibri"/>
          <w:b w:val="0"/>
          <w:i w:val="0"/>
          <w:color w:val="0B1F3A"/>
          <w:sz w:val="19"/>
        </w:rPr>
        <w:t xml:space="preserve"> Every provider-dependent step is written so that it remains correct if the provider's behaviour differs, and every place where that matters carries an </w:t>
      </w:r>
      <w:r>
        <w:rPr>
          <w:rFonts w:ascii="Consolas" w:hAnsi="Consolas"/>
          <w:color w:val="146EF5"/>
          <w:sz w:val="19"/>
        </w:rPr>
        <w:t>ASSUMPTION</w:t>
      </w:r>
      <w:r>
        <w:rPr>
          <w:rFonts w:ascii="Calibri" w:hAnsi="Calibri"/>
          <w:b w:val="0"/>
          <w:i w:val="0"/>
          <w:color w:val="0B1F3A"/>
          <w:sz w:val="19"/>
        </w:rPr>
        <w:t xml:space="preserve"> or a </w:t>
      </w:r>
      <w:r>
        <w:rPr>
          <w:rFonts w:ascii="Consolas" w:hAnsi="Consolas"/>
          <w:color w:val="146EF5"/>
          <w:sz w:val="19"/>
        </w:rPr>
        <w:t>DECISION</w:t>
      </w:r>
      <w:r>
        <w:rPr>
          <w:rFonts w:ascii="Calibri" w:hAnsi="Calibri"/>
          <w:b w:val="0"/>
          <w:i w:val="0"/>
          <w:color w:val="0B1F3A"/>
          <w:sz w:val="19"/>
        </w:rPr>
        <w:t xml:space="preserve"> callout.</w:t>
      </w:r>
    </w:p>
    <w:p>
      <w:pPr>
        <w:pStyle w:val="Heading2"/>
      </w:pPr>
      <w:r>
        <w:rPr>
          <w:rFonts w:ascii="Calibri" w:hAnsi="Calibri"/>
          <w:b/>
          <w:i w:val="0"/>
          <w:color w:val="146EF5"/>
          <w:sz w:val="29"/>
        </w:rPr>
        <w:t>2.0 How to read this section</w:t>
      </w:r>
    </w:p>
    <w:p>
      <w:r>
        <w:rPr>
          <w:rFonts w:ascii="Calibri" w:hAnsi="Calibri"/>
          <w:b w:val="0"/>
          <w:i w:val="0"/>
          <w:color w:val="101828"/>
          <w:sz w:val="21"/>
        </w:rPr>
        <w:t>Three things are settled before the flows begin, because every flow below depends on them: how screens are identified, what the create and activate endpoints actually do, and how money is written in the worked examples.</w:t>
      </w:r>
    </w:p>
    <w:p>
      <w:pPr>
        <w:pStyle w:val="Heading3"/>
      </w:pPr>
      <w:r>
        <w:rPr>
          <w:rFonts w:ascii="Calibri" w:hAnsi="Calibri"/>
          <w:b/>
          <w:i w:val="0"/>
          <w:color w:val="0B1F3A"/>
          <w:sz w:val="24"/>
        </w:rPr>
        <w:t>2.0.1 Screen-ID key</w:t>
      </w:r>
    </w:p>
    <w:p>
      <w:r>
        <w:rPr>
          <w:rFonts w:ascii="Calibri" w:hAnsi="Calibri"/>
          <w:b w:val="0"/>
          <w:i w:val="0"/>
          <w:color w:val="101828"/>
          <w:sz w:val="21"/>
        </w:rPr>
        <w:t>The screen inventory in section 7 of CANONICAL.md is given stable identifiers here so that the flow tables, the section 4 wireframes and the section 19 edge cases can all refer to the same screen unambiguously. No screen is added to or removed from the canonical inventory by this section; the identifiers are an index over it.</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771"/>
            <w:shd w:val="clear" w:color="auto" w:fill="0B1F3A"/>
            <w:tcMar>
              <w:top w:w="60" w:type="dxa"/>
              <w:start w:w="110" w:type="dxa"/>
              <w:bottom w:w="60" w:type="dxa"/>
              <w:end w:w="110" w:type="dxa"/>
            </w:tcMar>
          </w:tcPr>
          <w:p>
            <w:pPr>
              <w:spacing w:after="0"/>
            </w:pPr>
            <w:r/>
            <w:r>
              <w:rPr>
                <w:rFonts w:ascii="Calibri" w:hAnsi="Calibri"/>
                <w:b/>
                <w:i w:val="0"/>
                <w:color w:val="FFFFFF"/>
                <w:sz w:val="16"/>
              </w:rPr>
              <w:t>ID</w:t>
            </w:r>
          </w:p>
        </w:tc>
        <w:tc>
          <w:tcPr>
            <w:tcW w:type="dxa" w:w="5890"/>
            <w:shd w:val="clear" w:color="auto" w:fill="0B1F3A"/>
            <w:tcMar>
              <w:top w:w="60" w:type="dxa"/>
              <w:start w:w="110" w:type="dxa"/>
              <w:bottom w:w="60" w:type="dxa"/>
              <w:end w:w="110" w:type="dxa"/>
            </w:tcMar>
          </w:tcPr>
          <w:p>
            <w:pPr>
              <w:spacing w:after="0"/>
            </w:pPr>
            <w:r/>
            <w:r>
              <w:rPr>
                <w:rFonts w:ascii="Calibri" w:hAnsi="Calibri"/>
                <w:b/>
                <w:i w:val="0"/>
                <w:color w:val="FFFFFF"/>
                <w:sz w:val="16"/>
              </w:rPr>
              <w:t>Screen</w:t>
            </w:r>
          </w:p>
        </w:tc>
        <w:tc>
          <w:tcPr>
            <w:tcW w:type="dxa" w:w="1699"/>
            <w:shd w:val="clear" w:color="auto" w:fill="0B1F3A"/>
            <w:tcMar>
              <w:top w:w="60" w:type="dxa"/>
              <w:start w:w="110" w:type="dxa"/>
              <w:bottom w:w="60" w:type="dxa"/>
              <w:end w:w="110" w:type="dxa"/>
            </w:tcMar>
          </w:tcPr>
          <w:p>
            <w:pPr>
              <w:spacing w:after="0"/>
            </w:pPr>
            <w:r/>
            <w:r>
              <w:rPr>
                <w:rFonts w:ascii="Calibri" w:hAnsi="Calibri"/>
                <w:b/>
                <w:i w:val="0"/>
                <w:color w:val="FFFFFF"/>
                <w:sz w:val="16"/>
              </w:rPr>
              <w:t>Group</w:t>
            </w:r>
          </w:p>
        </w:tc>
      </w:tr>
      <w:tr>
        <w:trPr>
          <w:cantSplit/>
        </w:trPr>
        <w:tc>
          <w:tcPr>
            <w:tcW w:type="dxa" w:w="1771"/>
            <w:tcMar>
              <w:top w:w="60" w:type="dxa"/>
              <w:start w:w="110" w:type="dxa"/>
              <w:bottom w:w="60" w:type="dxa"/>
              <w:end w:w="110" w:type="dxa"/>
            </w:tcMar>
          </w:tcPr>
          <w:p>
            <w:pPr>
              <w:spacing w:after="0"/>
            </w:pPr>
            <w:r/>
            <w:r>
              <w:rPr>
                <w:rFonts w:ascii="Calibri" w:hAnsi="Calibri"/>
                <w:b w:val="0"/>
                <w:i w:val="0"/>
                <w:color w:val="101828"/>
                <w:sz w:val="16"/>
              </w:rPr>
              <w:t>SCR-MKT-01</w:t>
            </w:r>
          </w:p>
        </w:tc>
        <w:tc>
          <w:tcPr>
            <w:tcW w:type="dxa" w:w="5890"/>
            <w:tcMar>
              <w:top w:w="60" w:type="dxa"/>
              <w:start w:w="110" w:type="dxa"/>
              <w:bottom w:w="60" w:type="dxa"/>
              <w:end w:w="110" w:type="dxa"/>
            </w:tcMar>
          </w:tcPr>
          <w:p>
            <w:pPr>
              <w:spacing w:after="0"/>
            </w:pPr>
            <w:r/>
            <w:r>
              <w:rPr>
                <w:rFonts w:ascii="Calibri" w:hAnsi="Calibri"/>
                <w:b w:val="0"/>
                <w:i w:val="0"/>
                <w:color w:val="101828"/>
                <w:sz w:val="16"/>
              </w:rPr>
              <w:t>Home</w:t>
            </w:r>
          </w:p>
        </w:tc>
        <w:tc>
          <w:tcPr>
            <w:tcW w:type="dxa" w:w="1699"/>
            <w:tcMar>
              <w:top w:w="60" w:type="dxa"/>
              <w:start w:w="110" w:type="dxa"/>
              <w:bottom w:w="60" w:type="dxa"/>
              <w:end w:w="110" w:type="dxa"/>
            </w:tcMar>
          </w:tcPr>
          <w:p>
            <w:pPr>
              <w:spacing w:after="0"/>
            </w:pPr>
            <w:r/>
            <w:r>
              <w:rPr>
                <w:rFonts w:ascii="Calibri" w:hAnsi="Calibri"/>
                <w:b w:val="0"/>
                <w:i w:val="0"/>
                <w:color w:val="101828"/>
                <w:sz w:val="16"/>
              </w:rPr>
              <w:t>Marketing</w:t>
            </w:r>
          </w:p>
        </w:tc>
      </w:tr>
      <w:tr>
        <w:trPr>
          <w:cantSplit/>
        </w:trPr>
        <w:tc>
          <w:tcPr>
            <w:tcW w:type="dxa" w:w="1771"/>
            <w:tcMar>
              <w:top w:w="60" w:type="dxa"/>
              <w:start w:w="110" w:type="dxa"/>
              <w:bottom w:w="60" w:type="dxa"/>
              <w:end w:w="110" w:type="dxa"/>
            </w:tcMar>
            <w:shd w:val="clear" w:color="auto" w:fill="F4F7FB"/>
          </w:tcPr>
          <w:p>
            <w:pPr>
              <w:spacing w:after="0"/>
            </w:pPr>
            <w:r/>
            <w:r>
              <w:rPr>
                <w:rFonts w:ascii="Calibri" w:hAnsi="Calibri"/>
                <w:b w:val="0"/>
                <w:i w:val="0"/>
                <w:color w:val="101828"/>
                <w:sz w:val="16"/>
              </w:rPr>
              <w:t>SCR-MKT-02</w:t>
            </w:r>
          </w:p>
        </w:tc>
        <w:tc>
          <w:tcPr>
            <w:tcW w:type="dxa" w:w="5890"/>
            <w:tcMar>
              <w:top w:w="60" w:type="dxa"/>
              <w:start w:w="110" w:type="dxa"/>
              <w:bottom w:w="60" w:type="dxa"/>
              <w:end w:w="110" w:type="dxa"/>
            </w:tcMar>
            <w:shd w:val="clear" w:color="auto" w:fill="F4F7FB"/>
          </w:tcPr>
          <w:p>
            <w:pPr>
              <w:spacing w:after="0"/>
            </w:pPr>
            <w:r/>
            <w:r>
              <w:rPr>
                <w:rFonts w:ascii="Calibri" w:hAnsi="Calibri"/>
                <w:b w:val="0"/>
                <w:i w:val="0"/>
                <w:color w:val="101828"/>
                <w:sz w:val="16"/>
              </w:rPr>
              <w:t>How It Works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6"/>
              </w:rPr>
              <w:t>Marketing</w:t>
            </w:r>
          </w:p>
        </w:tc>
      </w:tr>
      <w:tr>
        <w:trPr>
          <w:cantSplit/>
        </w:trPr>
        <w:tc>
          <w:tcPr>
            <w:tcW w:type="dxa" w:w="1771"/>
            <w:tcMar>
              <w:top w:w="60" w:type="dxa"/>
              <w:start w:w="110" w:type="dxa"/>
              <w:bottom w:w="60" w:type="dxa"/>
              <w:end w:w="110" w:type="dxa"/>
            </w:tcMar>
          </w:tcPr>
          <w:p>
            <w:pPr>
              <w:spacing w:after="0"/>
            </w:pPr>
            <w:r/>
            <w:r>
              <w:rPr>
                <w:rFonts w:ascii="Calibri" w:hAnsi="Calibri"/>
                <w:b w:val="0"/>
                <w:i w:val="0"/>
                <w:color w:val="101828"/>
                <w:sz w:val="16"/>
              </w:rPr>
              <w:t>SCR-MKT-03</w:t>
            </w:r>
          </w:p>
        </w:tc>
        <w:tc>
          <w:tcPr>
            <w:tcW w:type="dxa" w:w="5890"/>
            <w:tcMar>
              <w:top w:w="60" w:type="dxa"/>
              <w:start w:w="110" w:type="dxa"/>
              <w:bottom w:w="60" w:type="dxa"/>
              <w:end w:w="110" w:type="dxa"/>
            </w:tcMar>
          </w:tcPr>
          <w:p>
            <w:pPr>
              <w:spacing w:after="0"/>
            </w:pPr>
            <w:r/>
            <w:r>
              <w:rPr>
                <w:rFonts w:ascii="Calibri" w:hAnsi="Calibri"/>
                <w:b w:val="0"/>
                <w:i w:val="0"/>
                <w:color w:val="101828"/>
                <w:sz w:val="16"/>
              </w:rPr>
              <w:t>Features</w:t>
            </w:r>
          </w:p>
        </w:tc>
        <w:tc>
          <w:tcPr>
            <w:tcW w:type="dxa" w:w="1699"/>
            <w:tcMar>
              <w:top w:w="60" w:type="dxa"/>
              <w:start w:w="110" w:type="dxa"/>
              <w:bottom w:w="60" w:type="dxa"/>
              <w:end w:w="110" w:type="dxa"/>
            </w:tcMar>
          </w:tcPr>
          <w:p>
            <w:pPr>
              <w:spacing w:after="0"/>
            </w:pPr>
            <w:r/>
            <w:r>
              <w:rPr>
                <w:rFonts w:ascii="Calibri" w:hAnsi="Calibri"/>
                <w:b w:val="0"/>
                <w:i w:val="0"/>
                <w:color w:val="101828"/>
                <w:sz w:val="16"/>
              </w:rPr>
              <w:t>Marketing</w:t>
            </w:r>
          </w:p>
        </w:tc>
      </w:tr>
      <w:tr>
        <w:trPr>
          <w:cantSplit/>
        </w:trPr>
        <w:tc>
          <w:tcPr>
            <w:tcW w:type="dxa" w:w="1771"/>
            <w:tcMar>
              <w:top w:w="60" w:type="dxa"/>
              <w:start w:w="110" w:type="dxa"/>
              <w:bottom w:w="60" w:type="dxa"/>
              <w:end w:w="110" w:type="dxa"/>
            </w:tcMar>
            <w:shd w:val="clear" w:color="auto" w:fill="F4F7FB"/>
          </w:tcPr>
          <w:p>
            <w:pPr>
              <w:spacing w:after="0"/>
            </w:pPr>
            <w:r/>
            <w:r>
              <w:rPr>
                <w:rFonts w:ascii="Calibri" w:hAnsi="Calibri"/>
                <w:b w:val="0"/>
                <w:i w:val="0"/>
                <w:color w:val="101828"/>
                <w:sz w:val="16"/>
              </w:rPr>
              <w:t>SCR-MKT-04</w:t>
            </w:r>
          </w:p>
        </w:tc>
        <w:tc>
          <w:tcPr>
            <w:tcW w:type="dxa" w:w="5890"/>
            <w:tcMar>
              <w:top w:w="60" w:type="dxa"/>
              <w:start w:w="110" w:type="dxa"/>
              <w:bottom w:w="60" w:type="dxa"/>
              <w:end w:w="110" w:type="dxa"/>
            </w:tcMar>
            <w:shd w:val="clear" w:color="auto" w:fill="F4F7FB"/>
          </w:tcPr>
          <w:p>
            <w:pPr>
              <w:spacing w:after="0"/>
            </w:pPr>
            <w:r/>
            <w:r>
              <w:rPr>
                <w:rFonts w:ascii="Calibri" w:hAnsi="Calibri"/>
                <w:b w:val="0"/>
                <w:i w:val="0"/>
                <w:color w:val="101828"/>
                <w:sz w:val="16"/>
              </w:rPr>
              <w:t>Safety &amp; Trust</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6"/>
              </w:rPr>
              <w:t>Marketing</w:t>
            </w:r>
          </w:p>
        </w:tc>
      </w:tr>
      <w:tr>
        <w:trPr>
          <w:cantSplit/>
        </w:trPr>
        <w:tc>
          <w:tcPr>
            <w:tcW w:type="dxa" w:w="1771"/>
            <w:tcMar>
              <w:top w:w="60" w:type="dxa"/>
              <w:start w:w="110" w:type="dxa"/>
              <w:bottom w:w="60" w:type="dxa"/>
              <w:end w:w="110" w:type="dxa"/>
            </w:tcMar>
          </w:tcPr>
          <w:p>
            <w:pPr>
              <w:spacing w:after="0"/>
            </w:pPr>
            <w:r/>
            <w:r>
              <w:rPr>
                <w:rFonts w:ascii="Calibri" w:hAnsi="Calibri"/>
                <w:b w:val="0"/>
                <w:i w:val="0"/>
                <w:color w:val="101828"/>
                <w:sz w:val="16"/>
              </w:rPr>
              <w:t>SCR-MKT-05</w:t>
            </w:r>
          </w:p>
        </w:tc>
        <w:tc>
          <w:tcPr>
            <w:tcW w:type="dxa" w:w="5890"/>
            <w:tcMar>
              <w:top w:w="60" w:type="dxa"/>
              <w:start w:w="110" w:type="dxa"/>
              <w:bottom w:w="60" w:type="dxa"/>
              <w:end w:w="110" w:type="dxa"/>
            </w:tcMar>
          </w:tcPr>
          <w:p>
            <w:pPr>
              <w:spacing w:after="0"/>
            </w:pPr>
            <w:r/>
            <w:r>
              <w:rPr>
                <w:rFonts w:ascii="Calibri" w:hAnsi="Calibri"/>
                <w:b w:val="0"/>
                <w:i w:val="0"/>
                <w:color w:val="101828"/>
                <w:sz w:val="16"/>
              </w:rPr>
              <w:t>Fees</w:t>
            </w:r>
          </w:p>
        </w:tc>
        <w:tc>
          <w:tcPr>
            <w:tcW w:type="dxa" w:w="1699"/>
            <w:tcMar>
              <w:top w:w="60" w:type="dxa"/>
              <w:start w:w="110" w:type="dxa"/>
              <w:bottom w:w="60" w:type="dxa"/>
              <w:end w:w="110" w:type="dxa"/>
            </w:tcMar>
          </w:tcPr>
          <w:p>
            <w:pPr>
              <w:spacing w:after="0"/>
            </w:pPr>
            <w:r/>
            <w:r>
              <w:rPr>
                <w:rFonts w:ascii="Calibri" w:hAnsi="Calibri"/>
                <w:b w:val="0"/>
                <w:i w:val="0"/>
                <w:color w:val="101828"/>
                <w:sz w:val="16"/>
              </w:rPr>
              <w:t>Marketing</w:t>
            </w:r>
          </w:p>
        </w:tc>
      </w:tr>
      <w:tr>
        <w:trPr>
          <w:cantSplit/>
        </w:trPr>
        <w:tc>
          <w:tcPr>
            <w:tcW w:type="dxa" w:w="1771"/>
            <w:tcMar>
              <w:top w:w="60" w:type="dxa"/>
              <w:start w:w="110" w:type="dxa"/>
              <w:bottom w:w="60" w:type="dxa"/>
              <w:end w:w="110" w:type="dxa"/>
            </w:tcMar>
            <w:shd w:val="clear" w:color="auto" w:fill="F4F7FB"/>
          </w:tcPr>
          <w:p>
            <w:pPr>
              <w:spacing w:after="0"/>
            </w:pPr>
            <w:r/>
            <w:r>
              <w:rPr>
                <w:rFonts w:ascii="Calibri" w:hAnsi="Calibri"/>
                <w:b w:val="0"/>
                <w:i w:val="0"/>
                <w:color w:val="101828"/>
                <w:sz w:val="16"/>
              </w:rPr>
              <w:t>SCR-MKT-06</w:t>
            </w:r>
          </w:p>
        </w:tc>
        <w:tc>
          <w:tcPr>
            <w:tcW w:type="dxa" w:w="5890"/>
            <w:tcMar>
              <w:top w:w="60" w:type="dxa"/>
              <w:start w:w="110" w:type="dxa"/>
              <w:bottom w:w="60" w:type="dxa"/>
              <w:end w:w="110" w:type="dxa"/>
            </w:tcMar>
            <w:shd w:val="clear" w:color="auto" w:fill="F4F7FB"/>
          </w:tcPr>
          <w:p>
            <w:pPr>
              <w:spacing w:after="0"/>
            </w:pPr>
            <w:r/>
            <w:r>
              <w:rPr>
                <w:rFonts w:ascii="Calibri" w:hAnsi="Calibri"/>
                <w:b w:val="0"/>
                <w:i w:val="0"/>
                <w:color w:val="101828"/>
                <w:sz w:val="16"/>
              </w:rPr>
              <w:t>About</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6"/>
              </w:rPr>
              <w:t>Marketing</w:t>
            </w:r>
          </w:p>
        </w:tc>
      </w:tr>
      <w:tr>
        <w:trPr>
          <w:cantSplit/>
        </w:trPr>
        <w:tc>
          <w:tcPr>
            <w:tcW w:type="dxa" w:w="1771"/>
            <w:tcMar>
              <w:top w:w="60" w:type="dxa"/>
              <w:start w:w="110" w:type="dxa"/>
              <w:bottom w:w="60" w:type="dxa"/>
              <w:end w:w="110" w:type="dxa"/>
            </w:tcMar>
          </w:tcPr>
          <w:p>
            <w:pPr>
              <w:spacing w:after="0"/>
            </w:pPr>
            <w:r/>
            <w:r>
              <w:rPr>
                <w:rFonts w:ascii="Calibri" w:hAnsi="Calibri"/>
                <w:b w:val="0"/>
                <w:i w:val="0"/>
                <w:color w:val="101828"/>
                <w:sz w:val="16"/>
              </w:rPr>
              <w:t>SCR-MKT-07</w:t>
            </w:r>
          </w:p>
        </w:tc>
        <w:tc>
          <w:tcPr>
            <w:tcW w:type="dxa" w:w="5890"/>
            <w:tcMar>
              <w:top w:w="60" w:type="dxa"/>
              <w:start w:w="110" w:type="dxa"/>
              <w:bottom w:w="60" w:type="dxa"/>
              <w:end w:w="110" w:type="dxa"/>
            </w:tcMar>
          </w:tcPr>
          <w:p>
            <w:pPr>
              <w:spacing w:after="0"/>
            </w:pPr>
            <w:r/>
            <w:r>
              <w:rPr>
                <w:rFonts w:ascii="Calibri" w:hAnsi="Calibri"/>
                <w:b w:val="0"/>
                <w:i w:val="0"/>
                <w:color w:val="101828"/>
                <w:sz w:val="16"/>
              </w:rPr>
              <w:t>FAQ</w:t>
            </w:r>
          </w:p>
        </w:tc>
        <w:tc>
          <w:tcPr>
            <w:tcW w:type="dxa" w:w="1699"/>
            <w:tcMar>
              <w:top w:w="60" w:type="dxa"/>
              <w:start w:w="110" w:type="dxa"/>
              <w:bottom w:w="60" w:type="dxa"/>
              <w:end w:w="110" w:type="dxa"/>
            </w:tcMar>
          </w:tcPr>
          <w:p>
            <w:pPr>
              <w:spacing w:after="0"/>
            </w:pPr>
            <w:r/>
            <w:r>
              <w:rPr>
                <w:rFonts w:ascii="Calibri" w:hAnsi="Calibri"/>
                <w:b w:val="0"/>
                <w:i w:val="0"/>
                <w:color w:val="101828"/>
                <w:sz w:val="16"/>
              </w:rPr>
              <w:t>Marketing</w:t>
            </w:r>
          </w:p>
        </w:tc>
      </w:tr>
      <w:tr>
        <w:trPr>
          <w:cantSplit/>
        </w:trPr>
        <w:tc>
          <w:tcPr>
            <w:tcW w:type="dxa" w:w="1771"/>
            <w:tcMar>
              <w:top w:w="60" w:type="dxa"/>
              <w:start w:w="110" w:type="dxa"/>
              <w:bottom w:w="60" w:type="dxa"/>
              <w:end w:w="110" w:type="dxa"/>
            </w:tcMar>
            <w:shd w:val="clear" w:color="auto" w:fill="F4F7FB"/>
          </w:tcPr>
          <w:p>
            <w:pPr>
              <w:spacing w:after="0"/>
            </w:pPr>
            <w:r/>
            <w:r>
              <w:rPr>
                <w:rFonts w:ascii="Calibri" w:hAnsi="Calibri"/>
                <w:b w:val="0"/>
                <w:i w:val="0"/>
                <w:color w:val="101828"/>
                <w:sz w:val="16"/>
              </w:rPr>
              <w:t>SCR-MKT-08</w:t>
            </w:r>
          </w:p>
        </w:tc>
        <w:tc>
          <w:tcPr>
            <w:tcW w:type="dxa" w:w="5890"/>
            <w:tcMar>
              <w:top w:w="60" w:type="dxa"/>
              <w:start w:w="110" w:type="dxa"/>
              <w:bottom w:w="60" w:type="dxa"/>
              <w:end w:w="110" w:type="dxa"/>
            </w:tcMar>
            <w:shd w:val="clear" w:color="auto" w:fill="F4F7FB"/>
          </w:tcPr>
          <w:p>
            <w:pPr>
              <w:spacing w:after="0"/>
            </w:pPr>
            <w:r/>
            <w:r>
              <w:rPr>
                <w:rFonts w:ascii="Calibri" w:hAnsi="Calibri"/>
                <w:b w:val="0"/>
                <w:i w:val="0"/>
                <w:color w:val="101828"/>
                <w:sz w:val="16"/>
              </w:rPr>
              <w:t>Contact</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6"/>
              </w:rPr>
              <w:t>Marketing</w:t>
            </w:r>
          </w:p>
        </w:tc>
      </w:tr>
      <w:tr>
        <w:trPr>
          <w:cantSplit/>
        </w:trPr>
        <w:tc>
          <w:tcPr>
            <w:tcW w:type="dxa" w:w="1771"/>
            <w:tcMar>
              <w:top w:w="60" w:type="dxa"/>
              <w:start w:w="110" w:type="dxa"/>
              <w:bottom w:w="60" w:type="dxa"/>
              <w:end w:w="110" w:type="dxa"/>
            </w:tcMar>
          </w:tcPr>
          <w:p>
            <w:pPr>
              <w:spacing w:after="0"/>
            </w:pPr>
            <w:r/>
            <w:r>
              <w:rPr>
                <w:rFonts w:ascii="Calibri" w:hAnsi="Calibri"/>
                <w:b w:val="0"/>
                <w:i w:val="0"/>
                <w:color w:val="101828"/>
                <w:sz w:val="16"/>
              </w:rPr>
              <w:t>SCR-MKT-09</w:t>
            </w:r>
          </w:p>
        </w:tc>
        <w:tc>
          <w:tcPr>
            <w:tcW w:type="dxa" w:w="5890"/>
            <w:tcMar>
              <w:top w:w="60" w:type="dxa"/>
              <w:start w:w="110" w:type="dxa"/>
              <w:bottom w:w="60" w:type="dxa"/>
              <w:end w:w="110" w:type="dxa"/>
            </w:tcMar>
          </w:tcPr>
          <w:p>
            <w:pPr>
              <w:spacing w:after="0"/>
            </w:pPr>
            <w:r/>
            <w:r>
              <w:rPr>
                <w:rFonts w:ascii="Calibri" w:hAnsi="Calibri"/>
                <w:b w:val="0"/>
                <w:i w:val="0"/>
                <w:color w:val="101828"/>
                <w:sz w:val="16"/>
              </w:rPr>
              <w:t>Login</w:t>
            </w:r>
          </w:p>
        </w:tc>
        <w:tc>
          <w:tcPr>
            <w:tcW w:type="dxa" w:w="1699"/>
            <w:tcMar>
              <w:top w:w="60" w:type="dxa"/>
              <w:start w:w="110" w:type="dxa"/>
              <w:bottom w:w="60" w:type="dxa"/>
              <w:end w:w="110" w:type="dxa"/>
            </w:tcMar>
          </w:tcPr>
          <w:p>
            <w:pPr>
              <w:spacing w:after="0"/>
            </w:pPr>
            <w:r/>
            <w:r>
              <w:rPr>
                <w:rFonts w:ascii="Calibri" w:hAnsi="Calibri"/>
                <w:b w:val="0"/>
                <w:i w:val="0"/>
                <w:color w:val="101828"/>
                <w:sz w:val="16"/>
              </w:rPr>
              <w:t>Marketing</w:t>
            </w:r>
          </w:p>
        </w:tc>
      </w:tr>
      <w:tr>
        <w:trPr>
          <w:cantSplit/>
        </w:trPr>
        <w:tc>
          <w:tcPr>
            <w:tcW w:type="dxa" w:w="1771"/>
            <w:tcMar>
              <w:top w:w="60" w:type="dxa"/>
              <w:start w:w="110" w:type="dxa"/>
              <w:bottom w:w="60" w:type="dxa"/>
              <w:end w:w="110" w:type="dxa"/>
            </w:tcMar>
            <w:shd w:val="clear" w:color="auto" w:fill="F4F7FB"/>
          </w:tcPr>
          <w:p>
            <w:pPr>
              <w:spacing w:after="0"/>
            </w:pPr>
            <w:r/>
            <w:r>
              <w:rPr>
                <w:rFonts w:ascii="Calibri" w:hAnsi="Calibri"/>
                <w:b w:val="0"/>
                <w:i w:val="0"/>
                <w:color w:val="101828"/>
                <w:sz w:val="16"/>
              </w:rPr>
              <w:t>SCR-MKT-10</w:t>
            </w:r>
          </w:p>
        </w:tc>
        <w:tc>
          <w:tcPr>
            <w:tcW w:type="dxa" w:w="5890"/>
            <w:tcMar>
              <w:top w:w="60" w:type="dxa"/>
              <w:start w:w="110" w:type="dxa"/>
              <w:bottom w:w="60" w:type="dxa"/>
              <w:end w:w="110" w:type="dxa"/>
            </w:tcMar>
            <w:shd w:val="clear" w:color="auto" w:fill="F4F7FB"/>
          </w:tcPr>
          <w:p>
            <w:pPr>
              <w:spacing w:after="0"/>
            </w:pPr>
            <w:r/>
            <w:r>
              <w:rPr>
                <w:rFonts w:ascii="Calibri" w:hAnsi="Calibri"/>
                <w:b w:val="0"/>
                <w:i w:val="0"/>
                <w:color w:val="101828"/>
                <w:sz w:val="16"/>
              </w:rPr>
              <w:t>Register</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6"/>
              </w:rPr>
              <w:t>Marketing</w:t>
            </w:r>
          </w:p>
        </w:tc>
      </w:tr>
      <w:tr>
        <w:trPr>
          <w:cantSplit/>
        </w:trPr>
        <w:tc>
          <w:tcPr>
            <w:tcW w:type="dxa" w:w="1771"/>
            <w:tcMar>
              <w:top w:w="60" w:type="dxa"/>
              <w:start w:w="110" w:type="dxa"/>
              <w:bottom w:w="60" w:type="dxa"/>
              <w:end w:w="110" w:type="dxa"/>
            </w:tcMar>
          </w:tcPr>
          <w:p>
            <w:pPr>
              <w:spacing w:after="0"/>
            </w:pPr>
            <w:r/>
            <w:r>
              <w:rPr>
                <w:rFonts w:ascii="Calibri" w:hAnsi="Calibri"/>
                <w:b w:val="0"/>
                <w:i w:val="0"/>
                <w:color w:val="101828"/>
                <w:sz w:val="16"/>
              </w:rPr>
              <w:t>SCR-MKT-11</w:t>
            </w:r>
          </w:p>
        </w:tc>
        <w:tc>
          <w:tcPr>
            <w:tcW w:type="dxa" w:w="5890"/>
            <w:tcMar>
              <w:top w:w="60" w:type="dxa"/>
              <w:start w:w="110" w:type="dxa"/>
              <w:bottom w:w="60" w:type="dxa"/>
              <w:end w:w="110" w:type="dxa"/>
            </w:tcMar>
          </w:tcPr>
          <w:p>
            <w:pPr>
              <w:spacing w:after="0"/>
            </w:pPr>
            <w:r/>
            <w:r>
              <w:rPr>
                <w:rFonts w:ascii="Calibri" w:hAnsi="Calibri"/>
                <w:b w:val="0"/>
                <w:i w:val="0"/>
                <w:color w:val="101828"/>
                <w:sz w:val="16"/>
              </w:rPr>
              <w:t>Terms &amp; Conditions</w:t>
            </w:r>
          </w:p>
        </w:tc>
        <w:tc>
          <w:tcPr>
            <w:tcW w:type="dxa" w:w="1699"/>
            <w:tcMar>
              <w:top w:w="60" w:type="dxa"/>
              <w:start w:w="110" w:type="dxa"/>
              <w:bottom w:w="60" w:type="dxa"/>
              <w:end w:w="110" w:type="dxa"/>
            </w:tcMar>
          </w:tcPr>
          <w:p>
            <w:pPr>
              <w:spacing w:after="0"/>
            </w:pPr>
            <w:r/>
            <w:r>
              <w:rPr>
                <w:rFonts w:ascii="Calibri" w:hAnsi="Calibri"/>
                <w:b w:val="0"/>
                <w:i w:val="0"/>
                <w:color w:val="101828"/>
                <w:sz w:val="16"/>
              </w:rPr>
              <w:t>Marketing</w:t>
            </w:r>
          </w:p>
        </w:tc>
      </w:tr>
      <w:tr>
        <w:trPr>
          <w:cantSplit/>
        </w:trPr>
        <w:tc>
          <w:tcPr>
            <w:tcW w:type="dxa" w:w="1771"/>
            <w:tcMar>
              <w:top w:w="60" w:type="dxa"/>
              <w:start w:w="110" w:type="dxa"/>
              <w:bottom w:w="60" w:type="dxa"/>
              <w:end w:w="110" w:type="dxa"/>
            </w:tcMar>
            <w:shd w:val="clear" w:color="auto" w:fill="F4F7FB"/>
          </w:tcPr>
          <w:p>
            <w:pPr>
              <w:spacing w:after="0"/>
            </w:pPr>
            <w:r/>
            <w:r>
              <w:rPr>
                <w:rFonts w:ascii="Calibri" w:hAnsi="Calibri"/>
                <w:b w:val="0"/>
                <w:i w:val="0"/>
                <w:color w:val="101828"/>
                <w:sz w:val="16"/>
              </w:rPr>
              <w:t>SCR-MKT-12</w:t>
            </w:r>
          </w:p>
        </w:tc>
        <w:tc>
          <w:tcPr>
            <w:tcW w:type="dxa" w:w="5890"/>
            <w:tcMar>
              <w:top w:w="60" w:type="dxa"/>
              <w:start w:w="110" w:type="dxa"/>
              <w:bottom w:w="60" w:type="dxa"/>
              <w:end w:w="110" w:type="dxa"/>
            </w:tcMar>
            <w:shd w:val="clear" w:color="auto" w:fill="F4F7FB"/>
          </w:tcPr>
          <w:p>
            <w:pPr>
              <w:spacing w:after="0"/>
            </w:pPr>
            <w:r/>
            <w:r>
              <w:rPr>
                <w:rFonts w:ascii="Calibri" w:hAnsi="Calibri"/>
                <w:b w:val="0"/>
                <w:i w:val="0"/>
                <w:color w:val="101828"/>
                <w:sz w:val="16"/>
              </w:rPr>
              <w:t>Privacy</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6"/>
              </w:rPr>
              <w:t>Marketing</w:t>
            </w:r>
          </w:p>
        </w:tc>
      </w:tr>
      <w:tr>
        <w:trPr>
          <w:cantSplit/>
        </w:trPr>
        <w:tc>
          <w:tcPr>
            <w:tcW w:type="dxa" w:w="1771"/>
            <w:tcMar>
              <w:top w:w="60" w:type="dxa"/>
              <w:start w:w="110" w:type="dxa"/>
              <w:bottom w:w="60" w:type="dxa"/>
              <w:end w:w="110" w:type="dxa"/>
            </w:tcMar>
          </w:tcPr>
          <w:p>
            <w:pPr>
              <w:spacing w:after="0"/>
            </w:pPr>
            <w:r/>
            <w:r>
              <w:rPr>
                <w:rFonts w:ascii="Calibri" w:hAnsi="Calibri"/>
                <w:b w:val="0"/>
                <w:i w:val="0"/>
                <w:color w:val="101828"/>
                <w:sz w:val="16"/>
              </w:rPr>
              <w:t>SCR-APP-01</w:t>
            </w:r>
          </w:p>
        </w:tc>
        <w:tc>
          <w:tcPr>
            <w:tcW w:type="dxa" w:w="5890"/>
            <w:tcMar>
              <w:top w:w="60" w:type="dxa"/>
              <w:start w:w="110" w:type="dxa"/>
              <w:bottom w:w="60" w:type="dxa"/>
              <w:end w:w="110" w:type="dxa"/>
            </w:tcMar>
          </w:tcPr>
          <w:p>
            <w:pPr>
              <w:spacing w:after="0"/>
            </w:pPr>
            <w:r/>
            <w:r>
              <w:rPr>
                <w:rFonts w:ascii="Calibri" w:hAnsi="Calibri"/>
                <w:b w:val="0"/>
                <w:i w:val="0"/>
                <w:color w:val="101828"/>
                <w:sz w:val="16"/>
              </w:rPr>
              <w:t>Dashboard</w:t>
            </w:r>
          </w:p>
        </w:tc>
        <w:tc>
          <w:tcPr>
            <w:tcW w:type="dxa" w:w="1699"/>
            <w:tcMar>
              <w:top w:w="60" w:type="dxa"/>
              <w:start w:w="110" w:type="dxa"/>
              <w:bottom w:w="60" w:type="dxa"/>
              <w:end w:w="110" w:type="dxa"/>
            </w:tcMar>
          </w:tcPr>
          <w:p>
            <w:pPr>
              <w:spacing w:after="0"/>
            </w:pPr>
            <w:r/>
            <w:r>
              <w:rPr>
                <w:rFonts w:ascii="Calibri" w:hAnsi="Calibri"/>
                <w:b w:val="0"/>
                <w:i w:val="0"/>
                <w:color w:val="101828"/>
                <w:sz w:val="16"/>
              </w:rPr>
              <w:t>App</w:t>
            </w:r>
          </w:p>
        </w:tc>
      </w:tr>
      <w:tr>
        <w:trPr>
          <w:cantSplit/>
        </w:trPr>
        <w:tc>
          <w:tcPr>
            <w:tcW w:type="dxa" w:w="1771"/>
            <w:tcMar>
              <w:top w:w="60" w:type="dxa"/>
              <w:start w:w="110" w:type="dxa"/>
              <w:bottom w:w="60" w:type="dxa"/>
              <w:end w:w="110" w:type="dxa"/>
            </w:tcMar>
            <w:shd w:val="clear" w:color="auto" w:fill="F4F7FB"/>
          </w:tcPr>
          <w:p>
            <w:pPr>
              <w:spacing w:after="0"/>
            </w:pPr>
            <w:r/>
            <w:r>
              <w:rPr>
                <w:rFonts w:ascii="Calibri" w:hAnsi="Calibri"/>
                <w:b w:val="0"/>
                <w:i w:val="0"/>
                <w:color w:val="101828"/>
                <w:sz w:val="16"/>
              </w:rPr>
              <w:t>SCR-APP-02</w:t>
            </w:r>
          </w:p>
        </w:tc>
        <w:tc>
          <w:tcPr>
            <w:tcW w:type="dxa" w:w="5890"/>
            <w:tcMar>
              <w:top w:w="60" w:type="dxa"/>
              <w:start w:w="110" w:type="dxa"/>
              <w:bottom w:w="60" w:type="dxa"/>
              <w:end w:w="110" w:type="dxa"/>
            </w:tcMar>
            <w:shd w:val="clear" w:color="auto" w:fill="F4F7FB"/>
          </w:tcPr>
          <w:p>
            <w:pPr>
              <w:spacing w:after="0"/>
            </w:pPr>
            <w:r/>
            <w:r>
              <w:rPr>
                <w:rFonts w:ascii="Calibri" w:hAnsi="Calibri"/>
                <w:b w:val="0"/>
                <w:i w:val="0"/>
                <w:color w:val="101828"/>
                <w:sz w:val="16"/>
              </w:rPr>
              <w:t>My Ajos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6"/>
              </w:rPr>
              <w:t>App</w:t>
            </w:r>
          </w:p>
        </w:tc>
      </w:tr>
      <w:tr>
        <w:trPr>
          <w:cantSplit/>
        </w:trPr>
        <w:tc>
          <w:tcPr>
            <w:tcW w:type="dxa" w:w="1771"/>
            <w:tcMar>
              <w:top w:w="60" w:type="dxa"/>
              <w:start w:w="110" w:type="dxa"/>
              <w:bottom w:w="60" w:type="dxa"/>
              <w:end w:w="110" w:type="dxa"/>
            </w:tcMar>
          </w:tcPr>
          <w:p>
            <w:pPr>
              <w:spacing w:after="0"/>
            </w:pPr>
            <w:r/>
            <w:r>
              <w:rPr>
                <w:rFonts w:ascii="Calibri" w:hAnsi="Calibri"/>
                <w:b w:val="0"/>
                <w:i w:val="0"/>
                <w:color w:val="101828"/>
                <w:sz w:val="16"/>
              </w:rPr>
              <w:t>SCR-APP-03</w:t>
            </w:r>
          </w:p>
        </w:tc>
        <w:tc>
          <w:tcPr>
            <w:tcW w:type="dxa" w:w="5890"/>
            <w:tcMar>
              <w:top w:w="60" w:type="dxa"/>
              <w:start w:w="110" w:type="dxa"/>
              <w:bottom w:w="60" w:type="dxa"/>
              <w:end w:w="110" w:type="dxa"/>
            </w:tcMar>
          </w:tcPr>
          <w:p>
            <w:pPr>
              <w:spacing w:after="0"/>
            </w:pPr>
            <w:r/>
            <w:r>
              <w:rPr>
                <w:rFonts w:ascii="Calibri" w:hAnsi="Calibri"/>
                <w:b w:val="0"/>
                <w:i w:val="0"/>
                <w:color w:val="101828"/>
                <w:sz w:val="16"/>
              </w:rPr>
              <w:t>Create Ajo wizard (7 steps)</w:t>
            </w:r>
          </w:p>
        </w:tc>
        <w:tc>
          <w:tcPr>
            <w:tcW w:type="dxa" w:w="1699"/>
            <w:tcMar>
              <w:top w:w="60" w:type="dxa"/>
              <w:start w:w="110" w:type="dxa"/>
              <w:bottom w:w="60" w:type="dxa"/>
              <w:end w:w="110" w:type="dxa"/>
            </w:tcMar>
          </w:tcPr>
          <w:p>
            <w:pPr>
              <w:spacing w:after="0"/>
            </w:pPr>
            <w:r/>
            <w:r>
              <w:rPr>
                <w:rFonts w:ascii="Calibri" w:hAnsi="Calibri"/>
                <w:b w:val="0"/>
                <w:i w:val="0"/>
                <w:color w:val="101828"/>
                <w:sz w:val="16"/>
              </w:rPr>
              <w:t>App</w:t>
            </w:r>
          </w:p>
        </w:tc>
      </w:tr>
      <w:tr>
        <w:trPr>
          <w:cantSplit/>
        </w:trPr>
        <w:tc>
          <w:tcPr>
            <w:tcW w:type="dxa" w:w="1771"/>
            <w:tcMar>
              <w:top w:w="60" w:type="dxa"/>
              <w:start w:w="110" w:type="dxa"/>
              <w:bottom w:w="60" w:type="dxa"/>
              <w:end w:w="110" w:type="dxa"/>
            </w:tcMar>
            <w:shd w:val="clear" w:color="auto" w:fill="F4F7FB"/>
          </w:tcPr>
          <w:p>
            <w:pPr>
              <w:spacing w:after="0"/>
            </w:pPr>
            <w:r/>
            <w:r>
              <w:rPr>
                <w:rFonts w:ascii="Calibri" w:hAnsi="Calibri"/>
                <w:b w:val="0"/>
                <w:i w:val="0"/>
                <w:color w:val="101828"/>
                <w:sz w:val="16"/>
              </w:rPr>
              <w:t>SCR-APP-04</w:t>
            </w:r>
          </w:p>
        </w:tc>
        <w:tc>
          <w:tcPr>
            <w:tcW w:type="dxa" w:w="5890"/>
            <w:tcMar>
              <w:top w:w="60" w:type="dxa"/>
              <w:start w:w="110" w:type="dxa"/>
              <w:bottom w:w="60" w:type="dxa"/>
              <w:end w:w="110" w:type="dxa"/>
            </w:tcMar>
            <w:shd w:val="clear" w:color="auto" w:fill="F4F7FB"/>
          </w:tcPr>
          <w:p>
            <w:pPr>
              <w:spacing w:after="0"/>
            </w:pPr>
            <w:r/>
            <w:r>
              <w:rPr>
                <w:rFonts w:ascii="Calibri" w:hAnsi="Calibri"/>
                <w:b w:val="0"/>
                <w:i w:val="0"/>
                <w:color w:val="101828"/>
                <w:sz w:val="16"/>
              </w:rPr>
              <w:t>Join Ajo</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6"/>
              </w:rPr>
              <w:t>App</w:t>
            </w:r>
          </w:p>
        </w:tc>
      </w:tr>
      <w:tr>
        <w:trPr>
          <w:cantSplit/>
        </w:trPr>
        <w:tc>
          <w:tcPr>
            <w:tcW w:type="dxa" w:w="1771"/>
            <w:tcMar>
              <w:top w:w="60" w:type="dxa"/>
              <w:start w:w="110" w:type="dxa"/>
              <w:bottom w:w="60" w:type="dxa"/>
              <w:end w:w="110" w:type="dxa"/>
            </w:tcMar>
          </w:tcPr>
          <w:p>
            <w:pPr>
              <w:spacing w:after="0"/>
            </w:pPr>
            <w:r/>
            <w:r>
              <w:rPr>
                <w:rFonts w:ascii="Calibri" w:hAnsi="Calibri"/>
                <w:b w:val="0"/>
                <w:i w:val="0"/>
                <w:color w:val="101828"/>
                <w:sz w:val="16"/>
              </w:rPr>
              <w:t>SCR-APP-05</w:t>
            </w:r>
          </w:p>
        </w:tc>
        <w:tc>
          <w:tcPr>
            <w:tcW w:type="dxa" w:w="5890"/>
            <w:tcMar>
              <w:top w:w="60" w:type="dxa"/>
              <w:start w:w="110" w:type="dxa"/>
              <w:bottom w:w="60" w:type="dxa"/>
              <w:end w:w="110" w:type="dxa"/>
            </w:tcMar>
          </w:tcPr>
          <w:p>
            <w:pPr>
              <w:spacing w:after="0"/>
            </w:pPr>
            <w:r/>
            <w:r>
              <w:rPr>
                <w:rFonts w:ascii="Calibri" w:hAnsi="Calibri"/>
                <w:b w:val="0"/>
                <w:i w:val="0"/>
                <w:color w:val="101828"/>
                <w:sz w:val="16"/>
              </w:rPr>
              <w:t>Ajo Detail</w:t>
            </w:r>
          </w:p>
        </w:tc>
        <w:tc>
          <w:tcPr>
            <w:tcW w:type="dxa" w:w="1699"/>
            <w:tcMar>
              <w:top w:w="60" w:type="dxa"/>
              <w:start w:w="110" w:type="dxa"/>
              <w:bottom w:w="60" w:type="dxa"/>
              <w:end w:w="110" w:type="dxa"/>
            </w:tcMar>
          </w:tcPr>
          <w:p>
            <w:pPr>
              <w:spacing w:after="0"/>
            </w:pPr>
            <w:r/>
            <w:r>
              <w:rPr>
                <w:rFonts w:ascii="Calibri" w:hAnsi="Calibri"/>
                <w:b w:val="0"/>
                <w:i w:val="0"/>
                <w:color w:val="101828"/>
                <w:sz w:val="16"/>
              </w:rPr>
              <w:t>App</w:t>
            </w:r>
          </w:p>
        </w:tc>
      </w:tr>
      <w:tr>
        <w:trPr>
          <w:cantSplit/>
        </w:trPr>
        <w:tc>
          <w:tcPr>
            <w:tcW w:type="dxa" w:w="1771"/>
            <w:tcMar>
              <w:top w:w="60" w:type="dxa"/>
              <w:start w:w="110" w:type="dxa"/>
              <w:bottom w:w="60" w:type="dxa"/>
              <w:end w:w="110" w:type="dxa"/>
            </w:tcMar>
            <w:shd w:val="clear" w:color="auto" w:fill="F4F7FB"/>
          </w:tcPr>
          <w:p>
            <w:pPr>
              <w:spacing w:after="0"/>
            </w:pPr>
            <w:r/>
            <w:r>
              <w:rPr>
                <w:rFonts w:ascii="Calibri" w:hAnsi="Calibri"/>
                <w:b w:val="0"/>
                <w:i w:val="0"/>
                <w:color w:val="101828"/>
                <w:sz w:val="16"/>
              </w:rPr>
              <w:t>SCR-APP-06</w:t>
            </w:r>
          </w:p>
        </w:tc>
        <w:tc>
          <w:tcPr>
            <w:tcW w:type="dxa" w:w="5890"/>
            <w:tcMar>
              <w:top w:w="60" w:type="dxa"/>
              <w:start w:w="110" w:type="dxa"/>
              <w:bottom w:w="60" w:type="dxa"/>
              <w:end w:w="110" w:type="dxa"/>
            </w:tcMar>
            <w:shd w:val="clear" w:color="auto" w:fill="F4F7FB"/>
          </w:tcPr>
          <w:p>
            <w:pPr>
              <w:spacing w:after="0"/>
            </w:pPr>
            <w:r/>
            <w:r>
              <w:rPr>
                <w:rFonts w:ascii="Calibri" w:hAnsi="Calibri"/>
                <w:b w:val="0"/>
                <w:i w:val="0"/>
                <w:color w:val="101828"/>
                <w:sz w:val="16"/>
              </w:rPr>
              <w:t>Members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6"/>
              </w:rPr>
              <w:t>App</w:t>
            </w:r>
          </w:p>
        </w:tc>
      </w:tr>
      <w:tr>
        <w:trPr>
          <w:cantSplit/>
        </w:trPr>
        <w:tc>
          <w:tcPr>
            <w:tcW w:type="dxa" w:w="1771"/>
            <w:tcMar>
              <w:top w:w="60" w:type="dxa"/>
              <w:start w:w="110" w:type="dxa"/>
              <w:bottom w:w="60" w:type="dxa"/>
              <w:end w:w="110" w:type="dxa"/>
            </w:tcMar>
          </w:tcPr>
          <w:p>
            <w:pPr>
              <w:spacing w:after="0"/>
            </w:pPr>
            <w:r/>
            <w:r>
              <w:rPr>
                <w:rFonts w:ascii="Calibri" w:hAnsi="Calibri"/>
                <w:b w:val="0"/>
                <w:i w:val="0"/>
                <w:color w:val="101828"/>
                <w:sz w:val="16"/>
              </w:rPr>
              <w:t>SCR-APP-07</w:t>
            </w:r>
          </w:p>
        </w:tc>
        <w:tc>
          <w:tcPr>
            <w:tcW w:type="dxa" w:w="5890"/>
            <w:tcMar>
              <w:top w:w="60" w:type="dxa"/>
              <w:start w:w="110" w:type="dxa"/>
              <w:bottom w:w="60" w:type="dxa"/>
              <w:end w:w="110" w:type="dxa"/>
            </w:tcMar>
          </w:tcPr>
          <w:p>
            <w:pPr>
              <w:spacing w:after="0"/>
            </w:pPr>
            <w:r/>
            <w:r>
              <w:rPr>
                <w:rFonts w:ascii="Calibri" w:hAnsi="Calibri"/>
                <w:b w:val="0"/>
                <w:i w:val="0"/>
                <w:color w:val="101828"/>
                <w:sz w:val="16"/>
              </w:rPr>
              <w:t>Schedule</w:t>
            </w:r>
          </w:p>
        </w:tc>
        <w:tc>
          <w:tcPr>
            <w:tcW w:type="dxa" w:w="1699"/>
            <w:tcMar>
              <w:top w:w="60" w:type="dxa"/>
              <w:start w:w="110" w:type="dxa"/>
              <w:bottom w:w="60" w:type="dxa"/>
              <w:end w:w="110" w:type="dxa"/>
            </w:tcMar>
          </w:tcPr>
          <w:p>
            <w:pPr>
              <w:spacing w:after="0"/>
            </w:pPr>
            <w:r/>
            <w:r>
              <w:rPr>
                <w:rFonts w:ascii="Calibri" w:hAnsi="Calibri"/>
                <w:b w:val="0"/>
                <w:i w:val="0"/>
                <w:color w:val="101828"/>
                <w:sz w:val="16"/>
              </w:rPr>
              <w:t>App</w:t>
            </w:r>
          </w:p>
        </w:tc>
      </w:tr>
      <w:tr>
        <w:trPr>
          <w:cantSplit/>
        </w:trPr>
        <w:tc>
          <w:tcPr>
            <w:tcW w:type="dxa" w:w="1771"/>
            <w:tcMar>
              <w:top w:w="60" w:type="dxa"/>
              <w:start w:w="110" w:type="dxa"/>
              <w:bottom w:w="60" w:type="dxa"/>
              <w:end w:w="110" w:type="dxa"/>
            </w:tcMar>
            <w:shd w:val="clear" w:color="auto" w:fill="F4F7FB"/>
          </w:tcPr>
          <w:p>
            <w:pPr>
              <w:spacing w:after="0"/>
            </w:pPr>
            <w:r/>
            <w:r>
              <w:rPr>
                <w:rFonts w:ascii="Calibri" w:hAnsi="Calibri"/>
                <w:b w:val="0"/>
                <w:i w:val="0"/>
                <w:color w:val="101828"/>
                <w:sz w:val="16"/>
              </w:rPr>
              <w:t>SCR-APP-08</w:t>
            </w:r>
          </w:p>
        </w:tc>
        <w:tc>
          <w:tcPr>
            <w:tcW w:type="dxa" w:w="5890"/>
            <w:tcMar>
              <w:top w:w="60" w:type="dxa"/>
              <w:start w:w="110" w:type="dxa"/>
              <w:bottom w:w="60" w:type="dxa"/>
              <w:end w:w="110" w:type="dxa"/>
            </w:tcMar>
            <w:shd w:val="clear" w:color="auto" w:fill="F4F7FB"/>
          </w:tcPr>
          <w:p>
            <w:pPr>
              <w:spacing w:after="0"/>
            </w:pPr>
            <w:r/>
            <w:r>
              <w:rPr>
                <w:rFonts w:ascii="Calibri" w:hAnsi="Calibri"/>
                <w:b w:val="0"/>
                <w:i w:val="0"/>
                <w:color w:val="101828"/>
                <w:sz w:val="16"/>
              </w:rPr>
              <w:t>Contributions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6"/>
              </w:rPr>
              <w:t>App</w:t>
            </w:r>
          </w:p>
        </w:tc>
      </w:tr>
      <w:tr>
        <w:trPr>
          <w:cantSplit/>
        </w:trPr>
        <w:tc>
          <w:tcPr>
            <w:tcW w:type="dxa" w:w="1771"/>
            <w:tcMar>
              <w:top w:w="60" w:type="dxa"/>
              <w:start w:w="110" w:type="dxa"/>
              <w:bottom w:w="60" w:type="dxa"/>
              <w:end w:w="110" w:type="dxa"/>
            </w:tcMar>
          </w:tcPr>
          <w:p>
            <w:pPr>
              <w:spacing w:after="0"/>
            </w:pPr>
            <w:r/>
            <w:r>
              <w:rPr>
                <w:rFonts w:ascii="Calibri" w:hAnsi="Calibri"/>
                <w:b w:val="0"/>
                <w:i w:val="0"/>
                <w:color w:val="101828"/>
                <w:sz w:val="16"/>
              </w:rPr>
              <w:t>SCR-APP-09</w:t>
            </w:r>
          </w:p>
        </w:tc>
        <w:tc>
          <w:tcPr>
            <w:tcW w:type="dxa" w:w="5890"/>
            <w:tcMar>
              <w:top w:w="60" w:type="dxa"/>
              <w:start w:w="110" w:type="dxa"/>
              <w:bottom w:w="60" w:type="dxa"/>
              <w:end w:w="110" w:type="dxa"/>
            </w:tcMar>
          </w:tcPr>
          <w:p>
            <w:pPr>
              <w:spacing w:after="0"/>
            </w:pPr>
            <w:r/>
            <w:r>
              <w:rPr>
                <w:rFonts w:ascii="Calibri" w:hAnsi="Calibri"/>
                <w:b w:val="0"/>
                <w:i w:val="0"/>
                <w:color w:val="101828"/>
                <w:sz w:val="16"/>
              </w:rPr>
              <w:t>Payments</w:t>
            </w:r>
          </w:p>
        </w:tc>
        <w:tc>
          <w:tcPr>
            <w:tcW w:type="dxa" w:w="1699"/>
            <w:tcMar>
              <w:top w:w="60" w:type="dxa"/>
              <w:start w:w="110" w:type="dxa"/>
              <w:bottom w:w="60" w:type="dxa"/>
              <w:end w:w="110" w:type="dxa"/>
            </w:tcMar>
          </w:tcPr>
          <w:p>
            <w:pPr>
              <w:spacing w:after="0"/>
            </w:pPr>
            <w:r/>
            <w:r>
              <w:rPr>
                <w:rFonts w:ascii="Calibri" w:hAnsi="Calibri"/>
                <w:b w:val="0"/>
                <w:i w:val="0"/>
                <w:color w:val="101828"/>
                <w:sz w:val="16"/>
              </w:rPr>
              <w:t>App</w:t>
            </w:r>
          </w:p>
        </w:tc>
      </w:tr>
      <w:tr>
        <w:trPr>
          <w:cantSplit/>
        </w:trPr>
        <w:tc>
          <w:tcPr>
            <w:tcW w:type="dxa" w:w="1771"/>
            <w:tcMar>
              <w:top w:w="60" w:type="dxa"/>
              <w:start w:w="110" w:type="dxa"/>
              <w:bottom w:w="60" w:type="dxa"/>
              <w:end w:w="110" w:type="dxa"/>
            </w:tcMar>
            <w:shd w:val="clear" w:color="auto" w:fill="F4F7FB"/>
          </w:tcPr>
          <w:p>
            <w:pPr>
              <w:spacing w:after="0"/>
            </w:pPr>
            <w:r/>
            <w:r>
              <w:rPr>
                <w:rFonts w:ascii="Calibri" w:hAnsi="Calibri"/>
                <w:b w:val="0"/>
                <w:i w:val="0"/>
                <w:color w:val="101828"/>
                <w:sz w:val="16"/>
              </w:rPr>
              <w:t>SCR-APP-10</w:t>
            </w:r>
          </w:p>
        </w:tc>
        <w:tc>
          <w:tcPr>
            <w:tcW w:type="dxa" w:w="5890"/>
            <w:tcMar>
              <w:top w:w="60" w:type="dxa"/>
              <w:start w:w="110" w:type="dxa"/>
              <w:bottom w:w="60" w:type="dxa"/>
              <w:end w:w="110" w:type="dxa"/>
            </w:tcMar>
            <w:shd w:val="clear" w:color="auto" w:fill="F4F7FB"/>
          </w:tcPr>
          <w:p>
            <w:pPr>
              <w:spacing w:after="0"/>
            </w:pPr>
            <w:r/>
            <w:r>
              <w:rPr>
                <w:rFonts w:ascii="Calibri" w:hAnsi="Calibri"/>
                <w:b w:val="0"/>
                <w:i w:val="0"/>
                <w:color w:val="101828"/>
                <w:sz w:val="16"/>
              </w:rPr>
              <w:t>Payouts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6"/>
              </w:rPr>
              <w:t>App</w:t>
            </w:r>
          </w:p>
        </w:tc>
      </w:tr>
      <w:tr>
        <w:trPr>
          <w:cantSplit/>
        </w:trPr>
        <w:tc>
          <w:tcPr>
            <w:tcW w:type="dxa" w:w="1771"/>
            <w:tcMar>
              <w:top w:w="60" w:type="dxa"/>
              <w:start w:w="110" w:type="dxa"/>
              <w:bottom w:w="60" w:type="dxa"/>
              <w:end w:w="110" w:type="dxa"/>
            </w:tcMar>
          </w:tcPr>
          <w:p>
            <w:pPr>
              <w:spacing w:after="0"/>
            </w:pPr>
            <w:r/>
            <w:r>
              <w:rPr>
                <w:rFonts w:ascii="Calibri" w:hAnsi="Calibri"/>
                <w:b w:val="0"/>
                <w:i w:val="0"/>
                <w:color w:val="101828"/>
                <w:sz w:val="16"/>
              </w:rPr>
              <w:t>SCR-APP-11</w:t>
            </w:r>
          </w:p>
        </w:tc>
        <w:tc>
          <w:tcPr>
            <w:tcW w:type="dxa" w:w="5890"/>
            <w:tcMar>
              <w:top w:w="60" w:type="dxa"/>
              <w:start w:w="110" w:type="dxa"/>
              <w:bottom w:w="60" w:type="dxa"/>
              <w:end w:w="110" w:type="dxa"/>
            </w:tcMar>
          </w:tcPr>
          <w:p>
            <w:pPr>
              <w:spacing w:after="0"/>
            </w:pPr>
            <w:r/>
            <w:r>
              <w:rPr>
                <w:rFonts w:ascii="Calibri" w:hAnsi="Calibri"/>
                <w:b w:val="0"/>
                <w:i w:val="0"/>
                <w:color w:val="101828"/>
                <w:sz w:val="16"/>
              </w:rPr>
              <w:t>Transactions</w:t>
            </w:r>
          </w:p>
        </w:tc>
        <w:tc>
          <w:tcPr>
            <w:tcW w:type="dxa" w:w="1699"/>
            <w:tcMar>
              <w:top w:w="60" w:type="dxa"/>
              <w:start w:w="110" w:type="dxa"/>
              <w:bottom w:w="60" w:type="dxa"/>
              <w:end w:w="110" w:type="dxa"/>
            </w:tcMar>
          </w:tcPr>
          <w:p>
            <w:pPr>
              <w:spacing w:after="0"/>
            </w:pPr>
            <w:r/>
            <w:r>
              <w:rPr>
                <w:rFonts w:ascii="Calibri" w:hAnsi="Calibri"/>
                <w:b w:val="0"/>
                <w:i w:val="0"/>
                <w:color w:val="101828"/>
                <w:sz w:val="16"/>
              </w:rPr>
              <w:t>App</w:t>
            </w:r>
          </w:p>
        </w:tc>
      </w:tr>
      <w:tr>
        <w:trPr>
          <w:cantSplit/>
        </w:trPr>
        <w:tc>
          <w:tcPr>
            <w:tcW w:type="dxa" w:w="1771"/>
            <w:tcMar>
              <w:top w:w="60" w:type="dxa"/>
              <w:start w:w="110" w:type="dxa"/>
              <w:bottom w:w="60" w:type="dxa"/>
              <w:end w:w="110" w:type="dxa"/>
            </w:tcMar>
            <w:shd w:val="clear" w:color="auto" w:fill="F4F7FB"/>
          </w:tcPr>
          <w:p>
            <w:pPr>
              <w:spacing w:after="0"/>
            </w:pPr>
            <w:r/>
            <w:r>
              <w:rPr>
                <w:rFonts w:ascii="Calibri" w:hAnsi="Calibri"/>
                <w:b w:val="0"/>
                <w:i w:val="0"/>
                <w:color w:val="101828"/>
                <w:sz w:val="16"/>
              </w:rPr>
              <w:t>SCR-APP-12</w:t>
            </w:r>
          </w:p>
        </w:tc>
        <w:tc>
          <w:tcPr>
            <w:tcW w:type="dxa" w:w="5890"/>
            <w:tcMar>
              <w:top w:w="60" w:type="dxa"/>
              <w:start w:w="110" w:type="dxa"/>
              <w:bottom w:w="60" w:type="dxa"/>
              <w:end w:w="110" w:type="dxa"/>
            </w:tcMar>
            <w:shd w:val="clear" w:color="auto" w:fill="F4F7FB"/>
          </w:tcPr>
          <w:p>
            <w:pPr>
              <w:spacing w:after="0"/>
            </w:pPr>
            <w:r/>
            <w:r>
              <w:rPr>
                <w:rFonts w:ascii="Calibri" w:hAnsi="Calibri"/>
                <w:b w:val="0"/>
                <w:i w:val="0"/>
                <w:color w:val="101828"/>
                <w:sz w:val="16"/>
              </w:rPr>
              <w:t>Notifications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6"/>
              </w:rPr>
              <w:t>App</w:t>
            </w:r>
          </w:p>
        </w:tc>
      </w:tr>
      <w:tr>
        <w:trPr>
          <w:cantSplit/>
        </w:trPr>
        <w:tc>
          <w:tcPr>
            <w:tcW w:type="dxa" w:w="1771"/>
            <w:tcMar>
              <w:top w:w="60" w:type="dxa"/>
              <w:start w:w="110" w:type="dxa"/>
              <w:bottom w:w="60" w:type="dxa"/>
              <w:end w:w="110" w:type="dxa"/>
            </w:tcMar>
          </w:tcPr>
          <w:p>
            <w:pPr>
              <w:spacing w:after="0"/>
            </w:pPr>
            <w:r/>
            <w:r>
              <w:rPr>
                <w:rFonts w:ascii="Calibri" w:hAnsi="Calibri"/>
                <w:b w:val="0"/>
                <w:i w:val="0"/>
                <w:color w:val="101828"/>
                <w:sz w:val="16"/>
              </w:rPr>
              <w:t>SCR-APP-13</w:t>
            </w:r>
          </w:p>
        </w:tc>
        <w:tc>
          <w:tcPr>
            <w:tcW w:type="dxa" w:w="5890"/>
            <w:tcMar>
              <w:top w:w="60" w:type="dxa"/>
              <w:start w:w="110" w:type="dxa"/>
              <w:bottom w:w="60" w:type="dxa"/>
              <w:end w:w="110" w:type="dxa"/>
            </w:tcMar>
          </w:tcPr>
          <w:p>
            <w:pPr>
              <w:spacing w:after="0"/>
            </w:pPr>
            <w:r/>
            <w:r>
              <w:rPr>
                <w:rFonts w:ascii="Calibri" w:hAnsi="Calibri"/>
                <w:b w:val="0"/>
                <w:i w:val="0"/>
                <w:color w:val="101828"/>
                <w:sz w:val="16"/>
              </w:rPr>
              <w:t>Support</w:t>
            </w:r>
          </w:p>
        </w:tc>
        <w:tc>
          <w:tcPr>
            <w:tcW w:type="dxa" w:w="1699"/>
            <w:tcMar>
              <w:top w:w="60" w:type="dxa"/>
              <w:start w:w="110" w:type="dxa"/>
              <w:bottom w:w="60" w:type="dxa"/>
              <w:end w:w="110" w:type="dxa"/>
            </w:tcMar>
          </w:tcPr>
          <w:p>
            <w:pPr>
              <w:spacing w:after="0"/>
            </w:pPr>
            <w:r/>
            <w:r>
              <w:rPr>
                <w:rFonts w:ascii="Calibri" w:hAnsi="Calibri"/>
                <w:b w:val="0"/>
                <w:i w:val="0"/>
                <w:color w:val="101828"/>
                <w:sz w:val="16"/>
              </w:rPr>
              <w:t>App</w:t>
            </w:r>
          </w:p>
        </w:tc>
      </w:tr>
      <w:tr>
        <w:trPr>
          <w:cantSplit/>
        </w:trPr>
        <w:tc>
          <w:tcPr>
            <w:tcW w:type="dxa" w:w="1771"/>
            <w:tcMar>
              <w:top w:w="60" w:type="dxa"/>
              <w:start w:w="110" w:type="dxa"/>
              <w:bottom w:w="60" w:type="dxa"/>
              <w:end w:w="110" w:type="dxa"/>
            </w:tcMar>
            <w:shd w:val="clear" w:color="auto" w:fill="F4F7FB"/>
          </w:tcPr>
          <w:p>
            <w:pPr>
              <w:spacing w:after="0"/>
            </w:pPr>
            <w:r/>
            <w:r>
              <w:rPr>
                <w:rFonts w:ascii="Calibri" w:hAnsi="Calibri"/>
                <w:b w:val="0"/>
                <w:i w:val="0"/>
                <w:color w:val="101828"/>
                <w:sz w:val="16"/>
              </w:rPr>
              <w:t>SCR-APP-14</w:t>
            </w:r>
          </w:p>
        </w:tc>
        <w:tc>
          <w:tcPr>
            <w:tcW w:type="dxa" w:w="5890"/>
            <w:tcMar>
              <w:top w:w="60" w:type="dxa"/>
              <w:start w:w="110" w:type="dxa"/>
              <w:bottom w:w="60" w:type="dxa"/>
              <w:end w:w="110" w:type="dxa"/>
            </w:tcMar>
            <w:shd w:val="clear" w:color="auto" w:fill="F4F7FB"/>
          </w:tcPr>
          <w:p>
            <w:pPr>
              <w:spacing w:after="0"/>
            </w:pPr>
            <w:r/>
            <w:r>
              <w:rPr>
                <w:rFonts w:ascii="Calibri" w:hAnsi="Calibri"/>
                <w:b w:val="0"/>
                <w:i w:val="0"/>
                <w:color w:val="101828"/>
                <w:sz w:val="16"/>
              </w:rPr>
              <w:t>Disputes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6"/>
              </w:rPr>
              <w:t>App</w:t>
            </w:r>
          </w:p>
        </w:tc>
      </w:tr>
      <w:tr>
        <w:trPr>
          <w:cantSplit/>
        </w:trPr>
        <w:tc>
          <w:tcPr>
            <w:tcW w:type="dxa" w:w="1771"/>
            <w:tcMar>
              <w:top w:w="60" w:type="dxa"/>
              <w:start w:w="110" w:type="dxa"/>
              <w:bottom w:w="60" w:type="dxa"/>
              <w:end w:w="110" w:type="dxa"/>
            </w:tcMar>
          </w:tcPr>
          <w:p>
            <w:pPr>
              <w:spacing w:after="0"/>
            </w:pPr>
            <w:r/>
            <w:r>
              <w:rPr>
                <w:rFonts w:ascii="Calibri" w:hAnsi="Calibri"/>
                <w:b w:val="0"/>
                <w:i w:val="0"/>
                <w:color w:val="101828"/>
                <w:sz w:val="16"/>
              </w:rPr>
              <w:t>SCR-APP-15</w:t>
            </w:r>
          </w:p>
        </w:tc>
        <w:tc>
          <w:tcPr>
            <w:tcW w:type="dxa" w:w="5890"/>
            <w:tcMar>
              <w:top w:w="60" w:type="dxa"/>
              <w:start w:w="110" w:type="dxa"/>
              <w:bottom w:w="60" w:type="dxa"/>
              <w:end w:w="110" w:type="dxa"/>
            </w:tcMar>
          </w:tcPr>
          <w:p>
            <w:pPr>
              <w:spacing w:after="0"/>
            </w:pPr>
            <w:r/>
            <w:r>
              <w:rPr>
                <w:rFonts w:ascii="Calibri" w:hAnsi="Calibri"/>
                <w:b w:val="0"/>
                <w:i w:val="0"/>
                <w:color w:val="101828"/>
                <w:sz w:val="16"/>
              </w:rPr>
              <w:t>Profile</w:t>
            </w:r>
          </w:p>
        </w:tc>
        <w:tc>
          <w:tcPr>
            <w:tcW w:type="dxa" w:w="1699"/>
            <w:tcMar>
              <w:top w:w="60" w:type="dxa"/>
              <w:start w:w="110" w:type="dxa"/>
              <w:bottom w:w="60" w:type="dxa"/>
              <w:end w:w="110" w:type="dxa"/>
            </w:tcMar>
          </w:tcPr>
          <w:p>
            <w:pPr>
              <w:spacing w:after="0"/>
            </w:pPr>
            <w:r/>
            <w:r>
              <w:rPr>
                <w:rFonts w:ascii="Calibri" w:hAnsi="Calibri"/>
                <w:b w:val="0"/>
                <w:i w:val="0"/>
                <w:color w:val="101828"/>
                <w:sz w:val="16"/>
              </w:rPr>
              <w:t>App</w:t>
            </w:r>
          </w:p>
        </w:tc>
      </w:tr>
      <w:tr>
        <w:trPr>
          <w:cantSplit/>
        </w:trPr>
        <w:tc>
          <w:tcPr>
            <w:tcW w:type="dxa" w:w="1771"/>
            <w:tcMar>
              <w:top w:w="60" w:type="dxa"/>
              <w:start w:w="110" w:type="dxa"/>
              <w:bottom w:w="60" w:type="dxa"/>
              <w:end w:w="110" w:type="dxa"/>
            </w:tcMar>
            <w:shd w:val="clear" w:color="auto" w:fill="F4F7FB"/>
          </w:tcPr>
          <w:p>
            <w:pPr>
              <w:spacing w:after="0"/>
            </w:pPr>
            <w:r/>
            <w:r>
              <w:rPr>
                <w:rFonts w:ascii="Calibri" w:hAnsi="Calibri"/>
                <w:b w:val="0"/>
                <w:i w:val="0"/>
                <w:color w:val="101828"/>
                <w:sz w:val="16"/>
              </w:rPr>
              <w:t>SCR-APP-16</w:t>
            </w:r>
          </w:p>
        </w:tc>
        <w:tc>
          <w:tcPr>
            <w:tcW w:type="dxa" w:w="5890"/>
            <w:tcMar>
              <w:top w:w="60" w:type="dxa"/>
              <w:start w:w="110" w:type="dxa"/>
              <w:bottom w:w="60" w:type="dxa"/>
              <w:end w:w="110" w:type="dxa"/>
            </w:tcMar>
            <w:shd w:val="clear" w:color="auto" w:fill="F4F7FB"/>
          </w:tcPr>
          <w:p>
            <w:pPr>
              <w:spacing w:after="0"/>
            </w:pPr>
            <w:r/>
            <w:r>
              <w:rPr>
                <w:rFonts w:ascii="Calibri" w:hAnsi="Calibri"/>
                <w:b w:val="0"/>
                <w:i w:val="0"/>
                <w:color w:val="101828"/>
                <w:sz w:val="16"/>
              </w:rPr>
              <w:t>Settings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6"/>
              </w:rPr>
              <w:t>App</w:t>
            </w:r>
          </w:p>
        </w:tc>
      </w:tr>
      <w:tr>
        <w:trPr>
          <w:cantSplit/>
        </w:trPr>
        <w:tc>
          <w:tcPr>
            <w:tcW w:type="dxa" w:w="1771"/>
            <w:tcMar>
              <w:top w:w="60" w:type="dxa"/>
              <w:start w:w="110" w:type="dxa"/>
              <w:bottom w:w="60" w:type="dxa"/>
              <w:end w:w="110" w:type="dxa"/>
            </w:tcMar>
          </w:tcPr>
          <w:p>
            <w:pPr>
              <w:spacing w:after="0"/>
            </w:pPr>
            <w:r/>
            <w:r>
              <w:rPr>
                <w:rFonts w:ascii="Calibri" w:hAnsi="Calibri"/>
                <w:b w:val="0"/>
                <w:i w:val="0"/>
                <w:color w:val="101828"/>
                <w:sz w:val="16"/>
              </w:rPr>
              <w:t>SCR-APP-17</w:t>
            </w:r>
          </w:p>
        </w:tc>
        <w:tc>
          <w:tcPr>
            <w:tcW w:type="dxa" w:w="5890"/>
            <w:tcMar>
              <w:top w:w="60" w:type="dxa"/>
              <w:start w:w="110" w:type="dxa"/>
              <w:bottom w:w="60" w:type="dxa"/>
              <w:end w:w="110" w:type="dxa"/>
            </w:tcMar>
          </w:tcPr>
          <w:p>
            <w:pPr>
              <w:spacing w:after="0"/>
            </w:pPr>
            <w:r/>
            <w:r>
              <w:rPr>
                <w:rFonts w:ascii="Calibri" w:hAnsi="Calibri"/>
                <w:b w:val="0"/>
                <w:i w:val="0"/>
                <w:color w:val="101828"/>
                <w:sz w:val="16"/>
              </w:rPr>
              <w:t>Security</w:t>
            </w:r>
          </w:p>
        </w:tc>
        <w:tc>
          <w:tcPr>
            <w:tcW w:type="dxa" w:w="1699"/>
            <w:tcMar>
              <w:top w:w="60" w:type="dxa"/>
              <w:start w:w="110" w:type="dxa"/>
              <w:bottom w:w="60" w:type="dxa"/>
              <w:end w:w="110" w:type="dxa"/>
            </w:tcMar>
          </w:tcPr>
          <w:p>
            <w:pPr>
              <w:spacing w:after="0"/>
            </w:pPr>
            <w:r/>
            <w:r>
              <w:rPr>
                <w:rFonts w:ascii="Calibri" w:hAnsi="Calibri"/>
                <w:b w:val="0"/>
                <w:i w:val="0"/>
                <w:color w:val="101828"/>
                <w:sz w:val="16"/>
              </w:rPr>
              <w:t>App</w:t>
            </w:r>
          </w:p>
        </w:tc>
      </w:tr>
      <w:tr>
        <w:trPr>
          <w:cantSplit/>
        </w:trPr>
        <w:tc>
          <w:tcPr>
            <w:tcW w:type="dxa" w:w="1771"/>
            <w:tcMar>
              <w:top w:w="60" w:type="dxa"/>
              <w:start w:w="110" w:type="dxa"/>
              <w:bottom w:w="60" w:type="dxa"/>
              <w:end w:w="110" w:type="dxa"/>
            </w:tcMar>
            <w:shd w:val="clear" w:color="auto" w:fill="F4F7FB"/>
          </w:tcPr>
          <w:p>
            <w:pPr>
              <w:spacing w:after="0"/>
            </w:pPr>
            <w:r/>
            <w:r>
              <w:rPr>
                <w:rFonts w:ascii="Calibri" w:hAnsi="Calibri"/>
                <w:b w:val="0"/>
                <w:i w:val="0"/>
                <w:color w:val="101828"/>
                <w:sz w:val="16"/>
              </w:rPr>
              <w:t>SCR-APP-18</w:t>
            </w:r>
          </w:p>
        </w:tc>
        <w:tc>
          <w:tcPr>
            <w:tcW w:type="dxa" w:w="5890"/>
            <w:tcMar>
              <w:top w:w="60" w:type="dxa"/>
              <w:start w:w="110" w:type="dxa"/>
              <w:bottom w:w="60" w:type="dxa"/>
              <w:end w:w="110" w:type="dxa"/>
            </w:tcMar>
            <w:shd w:val="clear" w:color="auto" w:fill="F4F7FB"/>
          </w:tcPr>
          <w:p>
            <w:pPr>
              <w:spacing w:after="0"/>
            </w:pPr>
            <w:r/>
            <w:r>
              <w:rPr>
                <w:rFonts w:ascii="Calibri" w:hAnsi="Calibri"/>
                <w:b w:val="0"/>
                <w:i w:val="0"/>
                <w:color w:val="101828"/>
                <w:sz w:val="16"/>
              </w:rPr>
              <w:t>Help</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6"/>
              </w:rPr>
              <w:t>App</w:t>
            </w:r>
          </w:p>
        </w:tc>
      </w:tr>
      <w:tr>
        <w:trPr>
          <w:cantSplit/>
        </w:trPr>
        <w:tc>
          <w:tcPr>
            <w:tcW w:type="dxa" w:w="1771"/>
            <w:tcMar>
              <w:top w:w="60" w:type="dxa"/>
              <w:start w:w="110" w:type="dxa"/>
              <w:bottom w:w="60" w:type="dxa"/>
              <w:end w:w="110" w:type="dxa"/>
            </w:tcMar>
          </w:tcPr>
          <w:p>
            <w:pPr>
              <w:spacing w:after="0"/>
            </w:pPr>
            <w:r/>
            <w:r>
              <w:rPr>
                <w:rFonts w:ascii="Calibri" w:hAnsi="Calibri"/>
                <w:b w:val="0"/>
                <w:i w:val="0"/>
                <w:color w:val="101828"/>
                <w:sz w:val="16"/>
              </w:rPr>
              <w:t>SCR-APP-19</w:t>
            </w:r>
          </w:p>
        </w:tc>
        <w:tc>
          <w:tcPr>
            <w:tcW w:type="dxa" w:w="5890"/>
            <w:tcMar>
              <w:top w:w="60" w:type="dxa"/>
              <w:start w:w="110" w:type="dxa"/>
              <w:bottom w:w="60" w:type="dxa"/>
              <w:end w:w="110" w:type="dxa"/>
            </w:tcMar>
          </w:tcPr>
          <w:p>
            <w:pPr>
              <w:spacing w:after="0"/>
            </w:pPr>
            <w:r/>
            <w:r>
              <w:rPr>
                <w:rFonts w:ascii="Calibri" w:hAnsi="Calibri"/>
                <w:b w:val="0"/>
                <w:i w:val="0"/>
                <w:color w:val="101828"/>
                <w:sz w:val="16"/>
              </w:rPr>
              <w:t>KYC / identity verification</w:t>
            </w:r>
          </w:p>
        </w:tc>
        <w:tc>
          <w:tcPr>
            <w:tcW w:type="dxa" w:w="1699"/>
            <w:tcMar>
              <w:top w:w="60" w:type="dxa"/>
              <w:start w:w="110" w:type="dxa"/>
              <w:bottom w:w="60" w:type="dxa"/>
              <w:end w:w="110" w:type="dxa"/>
            </w:tcMar>
          </w:tcPr>
          <w:p>
            <w:pPr>
              <w:spacing w:after="0"/>
            </w:pPr>
            <w:r/>
            <w:r>
              <w:rPr>
                <w:rFonts w:ascii="Calibri" w:hAnsi="Calibri"/>
                <w:b w:val="0"/>
                <w:i w:val="0"/>
                <w:color w:val="101828"/>
                <w:sz w:val="16"/>
              </w:rPr>
              <w:t>App</w:t>
            </w:r>
          </w:p>
        </w:tc>
      </w:tr>
      <w:tr>
        <w:trPr>
          <w:cantSplit/>
        </w:trPr>
        <w:tc>
          <w:tcPr>
            <w:tcW w:type="dxa" w:w="1771"/>
            <w:tcMar>
              <w:top w:w="60" w:type="dxa"/>
              <w:start w:w="110" w:type="dxa"/>
              <w:bottom w:w="60" w:type="dxa"/>
              <w:end w:w="110" w:type="dxa"/>
            </w:tcMar>
            <w:shd w:val="clear" w:color="auto" w:fill="F4F7FB"/>
          </w:tcPr>
          <w:p>
            <w:pPr>
              <w:spacing w:after="0"/>
            </w:pPr>
            <w:r/>
            <w:r>
              <w:rPr>
                <w:rFonts w:ascii="Calibri" w:hAnsi="Calibri"/>
                <w:b w:val="0"/>
                <w:i w:val="0"/>
                <w:color w:val="101828"/>
                <w:sz w:val="16"/>
              </w:rPr>
              <w:t>SCR-ADM-01</w:t>
            </w:r>
          </w:p>
        </w:tc>
        <w:tc>
          <w:tcPr>
            <w:tcW w:type="dxa" w:w="5890"/>
            <w:tcMar>
              <w:top w:w="60" w:type="dxa"/>
              <w:start w:w="110" w:type="dxa"/>
              <w:bottom w:w="60" w:type="dxa"/>
              <w:end w:w="110" w:type="dxa"/>
            </w:tcMar>
            <w:shd w:val="clear" w:color="auto" w:fill="F4F7FB"/>
          </w:tcPr>
          <w:p>
            <w:pPr>
              <w:spacing w:after="0"/>
            </w:pPr>
            <w:r/>
            <w:r>
              <w:rPr>
                <w:rFonts w:ascii="Calibri" w:hAnsi="Calibri"/>
                <w:b w:val="0"/>
                <w:i w:val="0"/>
                <w:color w:val="101828"/>
                <w:sz w:val="16"/>
              </w:rPr>
              <w:t>Overview</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6"/>
              </w:rPr>
              <w:t>Admin</w:t>
            </w:r>
          </w:p>
        </w:tc>
      </w:tr>
      <w:tr>
        <w:trPr>
          <w:cantSplit/>
        </w:trPr>
        <w:tc>
          <w:tcPr>
            <w:tcW w:type="dxa" w:w="1771"/>
            <w:tcMar>
              <w:top w:w="60" w:type="dxa"/>
              <w:start w:w="110" w:type="dxa"/>
              <w:bottom w:w="60" w:type="dxa"/>
              <w:end w:w="110" w:type="dxa"/>
            </w:tcMar>
          </w:tcPr>
          <w:p>
            <w:pPr>
              <w:spacing w:after="0"/>
            </w:pPr>
            <w:r/>
            <w:r>
              <w:rPr>
                <w:rFonts w:ascii="Calibri" w:hAnsi="Calibri"/>
                <w:b w:val="0"/>
                <w:i w:val="0"/>
                <w:color w:val="101828"/>
                <w:sz w:val="16"/>
              </w:rPr>
              <w:t>SCR-ADM-02</w:t>
            </w:r>
          </w:p>
        </w:tc>
        <w:tc>
          <w:tcPr>
            <w:tcW w:type="dxa" w:w="5890"/>
            <w:tcMar>
              <w:top w:w="60" w:type="dxa"/>
              <w:start w:w="110" w:type="dxa"/>
              <w:bottom w:w="60" w:type="dxa"/>
              <w:end w:w="110" w:type="dxa"/>
            </w:tcMar>
          </w:tcPr>
          <w:p>
            <w:pPr>
              <w:spacing w:after="0"/>
            </w:pPr>
            <w:r/>
            <w:r>
              <w:rPr>
                <w:rFonts w:ascii="Calibri" w:hAnsi="Calibri"/>
                <w:b w:val="0"/>
                <w:i w:val="0"/>
                <w:color w:val="101828"/>
                <w:sz w:val="16"/>
              </w:rPr>
              <w:t>Users</w:t>
            </w:r>
          </w:p>
        </w:tc>
        <w:tc>
          <w:tcPr>
            <w:tcW w:type="dxa" w:w="1699"/>
            <w:tcMar>
              <w:top w:w="60" w:type="dxa"/>
              <w:start w:w="110" w:type="dxa"/>
              <w:bottom w:w="60" w:type="dxa"/>
              <w:end w:w="110" w:type="dxa"/>
            </w:tcMar>
          </w:tcPr>
          <w:p>
            <w:pPr>
              <w:spacing w:after="0"/>
            </w:pPr>
            <w:r/>
            <w:r>
              <w:rPr>
                <w:rFonts w:ascii="Calibri" w:hAnsi="Calibri"/>
                <w:b w:val="0"/>
                <w:i w:val="0"/>
                <w:color w:val="101828"/>
                <w:sz w:val="16"/>
              </w:rPr>
              <w:t>Admin</w:t>
            </w:r>
          </w:p>
        </w:tc>
      </w:tr>
      <w:tr>
        <w:trPr>
          <w:cantSplit/>
        </w:trPr>
        <w:tc>
          <w:tcPr>
            <w:tcW w:type="dxa" w:w="1771"/>
            <w:tcMar>
              <w:top w:w="60" w:type="dxa"/>
              <w:start w:w="110" w:type="dxa"/>
              <w:bottom w:w="60" w:type="dxa"/>
              <w:end w:w="110" w:type="dxa"/>
            </w:tcMar>
            <w:shd w:val="clear" w:color="auto" w:fill="F4F7FB"/>
          </w:tcPr>
          <w:p>
            <w:pPr>
              <w:spacing w:after="0"/>
            </w:pPr>
            <w:r/>
            <w:r>
              <w:rPr>
                <w:rFonts w:ascii="Calibri" w:hAnsi="Calibri"/>
                <w:b w:val="0"/>
                <w:i w:val="0"/>
                <w:color w:val="101828"/>
                <w:sz w:val="16"/>
              </w:rPr>
              <w:t>SCR-ADM-03</w:t>
            </w:r>
          </w:p>
        </w:tc>
        <w:tc>
          <w:tcPr>
            <w:tcW w:type="dxa" w:w="5890"/>
            <w:tcMar>
              <w:top w:w="60" w:type="dxa"/>
              <w:start w:w="110" w:type="dxa"/>
              <w:bottom w:w="60" w:type="dxa"/>
              <w:end w:w="110" w:type="dxa"/>
            </w:tcMar>
            <w:shd w:val="clear" w:color="auto" w:fill="F4F7FB"/>
          </w:tcPr>
          <w:p>
            <w:pPr>
              <w:spacing w:after="0"/>
            </w:pPr>
            <w:r/>
            <w:r>
              <w:rPr>
                <w:rFonts w:ascii="Calibri" w:hAnsi="Calibri"/>
                <w:b w:val="0"/>
                <w:i w:val="0"/>
                <w:color w:val="101828"/>
                <w:sz w:val="16"/>
              </w:rPr>
              <w:t>Ajos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6"/>
              </w:rPr>
              <w:t>Admin</w:t>
            </w:r>
          </w:p>
        </w:tc>
      </w:tr>
      <w:tr>
        <w:trPr>
          <w:cantSplit/>
        </w:trPr>
        <w:tc>
          <w:tcPr>
            <w:tcW w:type="dxa" w:w="1771"/>
            <w:tcMar>
              <w:top w:w="60" w:type="dxa"/>
              <w:start w:w="110" w:type="dxa"/>
              <w:bottom w:w="60" w:type="dxa"/>
              <w:end w:w="110" w:type="dxa"/>
            </w:tcMar>
          </w:tcPr>
          <w:p>
            <w:pPr>
              <w:spacing w:after="0"/>
            </w:pPr>
            <w:r/>
            <w:r>
              <w:rPr>
                <w:rFonts w:ascii="Calibri" w:hAnsi="Calibri"/>
                <w:b w:val="0"/>
                <w:i w:val="0"/>
                <w:color w:val="101828"/>
                <w:sz w:val="16"/>
              </w:rPr>
              <w:t>SCR-ADM-04</w:t>
            </w:r>
          </w:p>
        </w:tc>
        <w:tc>
          <w:tcPr>
            <w:tcW w:type="dxa" w:w="5890"/>
            <w:tcMar>
              <w:top w:w="60" w:type="dxa"/>
              <w:start w:w="110" w:type="dxa"/>
              <w:bottom w:w="60" w:type="dxa"/>
              <w:end w:w="110" w:type="dxa"/>
            </w:tcMar>
          </w:tcPr>
          <w:p>
            <w:pPr>
              <w:spacing w:after="0"/>
            </w:pPr>
            <w:r/>
            <w:r>
              <w:rPr>
                <w:rFonts w:ascii="Calibri" w:hAnsi="Calibri"/>
                <w:b w:val="0"/>
                <w:i w:val="0"/>
                <w:color w:val="101828"/>
                <w:sz w:val="16"/>
              </w:rPr>
              <w:t>Disputes</w:t>
            </w:r>
          </w:p>
        </w:tc>
        <w:tc>
          <w:tcPr>
            <w:tcW w:type="dxa" w:w="1699"/>
            <w:tcMar>
              <w:top w:w="60" w:type="dxa"/>
              <w:start w:w="110" w:type="dxa"/>
              <w:bottom w:w="60" w:type="dxa"/>
              <w:end w:w="110" w:type="dxa"/>
            </w:tcMar>
          </w:tcPr>
          <w:p>
            <w:pPr>
              <w:spacing w:after="0"/>
            </w:pPr>
            <w:r/>
            <w:r>
              <w:rPr>
                <w:rFonts w:ascii="Calibri" w:hAnsi="Calibri"/>
                <w:b w:val="0"/>
                <w:i w:val="0"/>
                <w:color w:val="101828"/>
                <w:sz w:val="16"/>
              </w:rPr>
              <w:t>Admin</w:t>
            </w:r>
          </w:p>
        </w:tc>
      </w:tr>
      <w:tr>
        <w:trPr>
          <w:cantSplit/>
        </w:trPr>
        <w:tc>
          <w:tcPr>
            <w:tcW w:type="dxa" w:w="1771"/>
            <w:tcMar>
              <w:top w:w="60" w:type="dxa"/>
              <w:start w:w="110" w:type="dxa"/>
              <w:bottom w:w="60" w:type="dxa"/>
              <w:end w:w="110" w:type="dxa"/>
            </w:tcMar>
            <w:shd w:val="clear" w:color="auto" w:fill="F4F7FB"/>
          </w:tcPr>
          <w:p>
            <w:pPr>
              <w:spacing w:after="0"/>
            </w:pPr>
            <w:r/>
            <w:r>
              <w:rPr>
                <w:rFonts w:ascii="Calibri" w:hAnsi="Calibri"/>
                <w:b w:val="0"/>
                <w:i w:val="0"/>
                <w:color w:val="101828"/>
                <w:sz w:val="16"/>
              </w:rPr>
              <w:t>SCR-ADM-05</w:t>
            </w:r>
          </w:p>
        </w:tc>
        <w:tc>
          <w:tcPr>
            <w:tcW w:type="dxa" w:w="5890"/>
            <w:tcMar>
              <w:top w:w="60" w:type="dxa"/>
              <w:start w:w="110" w:type="dxa"/>
              <w:bottom w:w="60" w:type="dxa"/>
              <w:end w:w="110" w:type="dxa"/>
            </w:tcMar>
            <w:shd w:val="clear" w:color="auto" w:fill="F4F7FB"/>
          </w:tcPr>
          <w:p>
            <w:pPr>
              <w:spacing w:after="0"/>
            </w:pPr>
            <w:r/>
            <w:r>
              <w:rPr>
                <w:rFonts w:ascii="Calibri" w:hAnsi="Calibri"/>
                <w:b w:val="0"/>
                <w:i w:val="0"/>
                <w:color w:val="101828"/>
                <w:sz w:val="16"/>
              </w:rPr>
              <w:t>Risk / Fraud</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6"/>
              </w:rPr>
              <w:t>Admin</w:t>
            </w:r>
          </w:p>
        </w:tc>
      </w:tr>
      <w:tr>
        <w:trPr>
          <w:cantSplit/>
        </w:trPr>
        <w:tc>
          <w:tcPr>
            <w:tcW w:type="dxa" w:w="1771"/>
            <w:tcMar>
              <w:top w:w="60" w:type="dxa"/>
              <w:start w:w="110" w:type="dxa"/>
              <w:bottom w:w="60" w:type="dxa"/>
              <w:end w:w="110" w:type="dxa"/>
            </w:tcMar>
          </w:tcPr>
          <w:p>
            <w:pPr>
              <w:spacing w:after="0"/>
            </w:pPr>
            <w:r/>
            <w:r>
              <w:rPr>
                <w:rFonts w:ascii="Calibri" w:hAnsi="Calibri"/>
                <w:b w:val="0"/>
                <w:i w:val="0"/>
                <w:color w:val="101828"/>
                <w:sz w:val="16"/>
              </w:rPr>
              <w:t>SCR-ADM-06</w:t>
            </w:r>
          </w:p>
        </w:tc>
        <w:tc>
          <w:tcPr>
            <w:tcW w:type="dxa" w:w="5890"/>
            <w:tcMar>
              <w:top w:w="60" w:type="dxa"/>
              <w:start w:w="110" w:type="dxa"/>
              <w:bottom w:w="60" w:type="dxa"/>
              <w:end w:w="110" w:type="dxa"/>
            </w:tcMar>
          </w:tcPr>
          <w:p>
            <w:pPr>
              <w:spacing w:after="0"/>
            </w:pPr>
            <w:r/>
            <w:r>
              <w:rPr>
                <w:rFonts w:ascii="Calibri" w:hAnsi="Calibri"/>
                <w:b w:val="0"/>
                <w:i w:val="0"/>
                <w:color w:val="101828"/>
                <w:sz w:val="16"/>
              </w:rPr>
              <w:t>Verification</w:t>
            </w:r>
          </w:p>
        </w:tc>
        <w:tc>
          <w:tcPr>
            <w:tcW w:type="dxa" w:w="1699"/>
            <w:tcMar>
              <w:top w:w="60" w:type="dxa"/>
              <w:start w:w="110" w:type="dxa"/>
              <w:bottom w:w="60" w:type="dxa"/>
              <w:end w:w="110" w:type="dxa"/>
            </w:tcMar>
          </w:tcPr>
          <w:p>
            <w:pPr>
              <w:spacing w:after="0"/>
            </w:pPr>
            <w:r/>
            <w:r>
              <w:rPr>
                <w:rFonts w:ascii="Calibri" w:hAnsi="Calibri"/>
                <w:b w:val="0"/>
                <w:i w:val="0"/>
                <w:color w:val="101828"/>
                <w:sz w:val="16"/>
              </w:rPr>
              <w:t>Admin</w:t>
            </w:r>
          </w:p>
        </w:tc>
      </w:tr>
      <w:tr>
        <w:trPr>
          <w:cantSplit/>
        </w:trPr>
        <w:tc>
          <w:tcPr>
            <w:tcW w:type="dxa" w:w="1771"/>
            <w:tcMar>
              <w:top w:w="60" w:type="dxa"/>
              <w:start w:w="110" w:type="dxa"/>
              <w:bottom w:w="60" w:type="dxa"/>
              <w:end w:w="110" w:type="dxa"/>
            </w:tcMar>
            <w:shd w:val="clear" w:color="auto" w:fill="F4F7FB"/>
          </w:tcPr>
          <w:p>
            <w:pPr>
              <w:spacing w:after="0"/>
            </w:pPr>
            <w:r/>
            <w:r>
              <w:rPr>
                <w:rFonts w:ascii="Calibri" w:hAnsi="Calibri"/>
                <w:b w:val="0"/>
                <w:i w:val="0"/>
                <w:color w:val="101828"/>
                <w:sz w:val="16"/>
              </w:rPr>
              <w:t>SCR-ADM-07</w:t>
            </w:r>
          </w:p>
        </w:tc>
        <w:tc>
          <w:tcPr>
            <w:tcW w:type="dxa" w:w="5890"/>
            <w:tcMar>
              <w:top w:w="60" w:type="dxa"/>
              <w:start w:w="110" w:type="dxa"/>
              <w:bottom w:w="60" w:type="dxa"/>
              <w:end w:w="110" w:type="dxa"/>
            </w:tcMar>
            <w:shd w:val="clear" w:color="auto" w:fill="F4F7FB"/>
          </w:tcPr>
          <w:p>
            <w:pPr>
              <w:spacing w:after="0"/>
            </w:pPr>
            <w:r/>
            <w:r>
              <w:rPr>
                <w:rFonts w:ascii="Calibri" w:hAnsi="Calibri"/>
                <w:b w:val="0"/>
                <w:i w:val="0"/>
                <w:color w:val="101828"/>
                <w:sz w:val="16"/>
              </w:rPr>
              <w:t>Reports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6"/>
              </w:rPr>
              <w:t>Admin</w:t>
            </w:r>
          </w:p>
        </w:tc>
      </w:tr>
      <w:tr>
        <w:trPr>
          <w:cantSplit/>
        </w:trPr>
        <w:tc>
          <w:tcPr>
            <w:tcW w:type="dxa" w:w="1771"/>
            <w:tcMar>
              <w:top w:w="60" w:type="dxa"/>
              <w:start w:w="110" w:type="dxa"/>
              <w:bottom w:w="60" w:type="dxa"/>
              <w:end w:w="110" w:type="dxa"/>
            </w:tcMar>
          </w:tcPr>
          <w:p>
            <w:pPr>
              <w:spacing w:after="0"/>
            </w:pPr>
            <w:r/>
            <w:r>
              <w:rPr>
                <w:rFonts w:ascii="Calibri" w:hAnsi="Calibri"/>
                <w:b w:val="0"/>
                <w:i w:val="0"/>
                <w:color w:val="101828"/>
                <w:sz w:val="16"/>
              </w:rPr>
              <w:t>SCR-ADM-08</w:t>
            </w:r>
          </w:p>
        </w:tc>
        <w:tc>
          <w:tcPr>
            <w:tcW w:type="dxa" w:w="5890"/>
            <w:tcMar>
              <w:top w:w="60" w:type="dxa"/>
              <w:start w:w="110" w:type="dxa"/>
              <w:bottom w:w="60" w:type="dxa"/>
              <w:end w:w="110" w:type="dxa"/>
            </w:tcMar>
          </w:tcPr>
          <w:p>
            <w:pPr>
              <w:spacing w:after="0"/>
            </w:pPr>
            <w:r/>
            <w:r>
              <w:rPr>
                <w:rFonts w:ascii="Calibri" w:hAnsi="Calibri"/>
                <w:b w:val="0"/>
                <w:i w:val="0"/>
                <w:color w:val="101828"/>
                <w:sz w:val="16"/>
              </w:rPr>
              <w:t>Audit Logs</w:t>
            </w:r>
          </w:p>
        </w:tc>
        <w:tc>
          <w:tcPr>
            <w:tcW w:type="dxa" w:w="1699"/>
            <w:tcMar>
              <w:top w:w="60" w:type="dxa"/>
              <w:start w:w="110" w:type="dxa"/>
              <w:bottom w:w="60" w:type="dxa"/>
              <w:end w:w="110" w:type="dxa"/>
            </w:tcMar>
          </w:tcPr>
          <w:p>
            <w:pPr>
              <w:spacing w:after="0"/>
            </w:pPr>
            <w:r/>
            <w:r>
              <w:rPr>
                <w:rFonts w:ascii="Calibri" w:hAnsi="Calibri"/>
                <w:b w:val="0"/>
                <w:i w:val="0"/>
                <w:color w:val="101828"/>
                <w:sz w:val="16"/>
              </w:rPr>
              <w:t>Admin</w:t>
            </w:r>
          </w:p>
        </w:tc>
      </w:tr>
      <w:tr>
        <w:trPr>
          <w:cantSplit/>
        </w:trPr>
        <w:tc>
          <w:tcPr>
            <w:tcW w:type="dxa" w:w="1771"/>
            <w:tcMar>
              <w:top w:w="60" w:type="dxa"/>
              <w:start w:w="110" w:type="dxa"/>
              <w:bottom w:w="60" w:type="dxa"/>
              <w:end w:w="110" w:type="dxa"/>
            </w:tcMar>
            <w:shd w:val="clear" w:color="auto" w:fill="F4F7FB"/>
          </w:tcPr>
          <w:p>
            <w:pPr>
              <w:spacing w:after="0"/>
            </w:pPr>
            <w:r/>
            <w:r>
              <w:rPr>
                <w:rFonts w:ascii="Calibri" w:hAnsi="Calibri"/>
                <w:b w:val="0"/>
                <w:i w:val="0"/>
                <w:color w:val="101828"/>
                <w:sz w:val="16"/>
              </w:rPr>
              <w:t>SCR-ADM-09</w:t>
            </w:r>
          </w:p>
        </w:tc>
        <w:tc>
          <w:tcPr>
            <w:tcW w:type="dxa" w:w="5890"/>
            <w:tcMar>
              <w:top w:w="60" w:type="dxa"/>
              <w:start w:w="110" w:type="dxa"/>
              <w:bottom w:w="60" w:type="dxa"/>
              <w:end w:w="110" w:type="dxa"/>
            </w:tcMar>
            <w:shd w:val="clear" w:color="auto" w:fill="F4F7FB"/>
          </w:tcPr>
          <w:p>
            <w:pPr>
              <w:spacing w:after="0"/>
            </w:pPr>
            <w:r/>
            <w:r>
              <w:rPr>
                <w:rFonts w:ascii="Calibri" w:hAnsi="Calibri"/>
                <w:b w:val="0"/>
                <w:i w:val="0"/>
                <w:color w:val="101828"/>
                <w:sz w:val="16"/>
              </w:rPr>
              <w:t>Settings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6"/>
              </w:rPr>
              <w:t>Admin</w:t>
            </w:r>
          </w:p>
        </w:tc>
      </w:tr>
    </w:tbl>
    <w:p>
      <w:pPr>
        <w:spacing w:after="80"/>
      </w:pPr>
    </w:p>
    <w:p>
      <w:pPr>
        <w:spacing w:before="140" w:after="180"/>
        <w:ind w:left="144"/>
        <w:shd w:val="clear" w:color="auto" w:fill="EDE9FE"/>
        <w:pBdr>
          <w:left w:val="single" w:sz="18" w:space="6" w:color="7C3AED"/>
        </w:pBdr>
      </w:pPr>
      <w:r>
        <w:rPr>
          <w:rFonts w:ascii="Calibri" w:hAnsi="Calibri"/>
          <w:b/>
          <w:color w:val="7C3AED"/>
          <w:sz w:val="19"/>
        </w:rPr>
        <w:t xml:space="preserve">Screen identifiers are an indexing convention introduced here  </w:t>
      </w:r>
      <w:r>
        <w:rPr>
          <w:rFonts w:ascii="Calibri" w:hAnsi="Calibri"/>
          <w:b w:val="0"/>
          <w:i w:val="0"/>
          <w:color w:val="0B1F3A"/>
          <w:sz w:val="19"/>
        </w:rPr>
        <w:t xml:space="preserve">CANONICAL.md section 7 names the screens but does not number them. The </w:t>
      </w:r>
      <w:r>
        <w:rPr>
          <w:rFonts w:ascii="Consolas" w:hAnsi="Consolas"/>
          <w:color w:val="146EF5"/>
          <w:sz w:val="19"/>
        </w:rPr>
        <w:t>SCR-*</w:t>
      </w:r>
      <w:r>
        <w:rPr>
          <w:rFonts w:ascii="Calibri" w:hAnsi="Calibri"/>
          <w:b w:val="0"/>
          <w:i w:val="0"/>
          <w:color w:val="0B1F3A"/>
          <w:sz w:val="19"/>
        </w:rPr>
        <w:t xml:space="preserve"> scheme is introduced by this specification so that flows, wireframes and the edge-case register can be cross-referenced. The screen list itself is unchanged. Where a flow requires a surface that is not in the canonical inventory, this is stated explicitly as an addition rather than assumed.</w:t>
      </w:r>
    </w:p>
    <w:p>
      <w:pPr>
        <w:pStyle w:val="Heading3"/>
      </w:pPr>
      <w:r>
        <w:rPr>
          <w:rFonts w:ascii="Calibri" w:hAnsi="Calibri"/>
          <w:b/>
          <w:i w:val="0"/>
          <w:color w:val="0B1F3A"/>
          <w:sz w:val="24"/>
        </w:rPr>
        <w:t>2.0.2 Endpoint reconciliation for the create and activate transitions</w:t>
      </w:r>
    </w:p>
    <w:p>
      <w:r>
        <w:rPr>
          <w:rFonts w:ascii="Calibri" w:hAnsi="Calibri"/>
          <w:b w:val="0"/>
          <w:i w:val="0"/>
          <w:color w:val="101828"/>
          <w:sz w:val="21"/>
        </w:rPr>
        <w:t>Two places in the canonical surface need an explicit reading before the flows can be written. Both are recorded here rather than resolved silently, because getting either wrong would corrupt the Ajo state machine in flow 2.2.</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966"/>
            <w:shd w:val="clear" w:color="auto" w:fill="0B1F3A"/>
            <w:tcMar>
              <w:top w:w="60" w:type="dxa"/>
              <w:start w:w="110" w:type="dxa"/>
              <w:bottom w:w="60" w:type="dxa"/>
              <w:end w:w="110" w:type="dxa"/>
            </w:tcMar>
          </w:tcPr>
          <w:p>
            <w:pPr>
              <w:spacing w:after="0"/>
            </w:pPr>
            <w:r/>
            <w:r>
              <w:rPr>
                <w:rFonts w:ascii="Calibri" w:hAnsi="Calibri"/>
                <w:b/>
                <w:i w:val="0"/>
                <w:color w:val="FFFFFF"/>
                <w:sz w:val="15"/>
              </w:rPr>
              <w:t>Canonical text</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5"/>
              </w:rPr>
              <w:t>Apparent conflict</w:t>
            </w:r>
          </w:p>
        </w:tc>
        <w:tc>
          <w:tcPr>
            <w:tcW w:type="dxa" w:w="3658"/>
            <w:shd w:val="clear" w:color="auto" w:fill="0B1F3A"/>
            <w:tcMar>
              <w:top w:w="60" w:type="dxa"/>
              <w:start w:w="110" w:type="dxa"/>
              <w:bottom w:w="60" w:type="dxa"/>
              <w:end w:w="110" w:type="dxa"/>
            </w:tcMar>
          </w:tcPr>
          <w:p>
            <w:pPr>
              <w:spacing w:after="0"/>
            </w:pPr>
            <w:r/>
            <w:r>
              <w:rPr>
                <w:rFonts w:ascii="Calibri" w:hAnsi="Calibri"/>
                <w:b/>
                <w:i w:val="0"/>
                <w:color w:val="FFFFFF"/>
                <w:sz w:val="15"/>
              </w:rPr>
              <w:t>Reading adopted in this section</w:t>
            </w:r>
          </w:p>
        </w:tc>
      </w:tr>
      <w:tr>
        <w:trPr>
          <w:cantSplit/>
        </w:trPr>
        <w:tc>
          <w:tcPr>
            <w:tcW w:type="dxa" w:w="2966"/>
            <w:tcMar>
              <w:top w:w="60" w:type="dxa"/>
              <w:start w:w="110" w:type="dxa"/>
              <w:bottom w:w="60" w:type="dxa"/>
              <w:end w:w="110" w:type="dxa"/>
            </w:tcMar>
          </w:tcPr>
          <w:p>
            <w:pPr>
              <w:spacing w:after="0"/>
            </w:pPr>
            <w:r/>
            <w:r>
              <w:rPr>
                <w:rFonts w:ascii="Consolas" w:hAnsi="Consolas"/>
                <w:color w:val="146EF5"/>
                <w:sz w:val="15"/>
              </w:rPr>
              <w:t>POST /ajos/:id/activate</w:t>
            </w:r>
            <w:r>
              <w:rPr>
                <w:rFonts w:ascii="Calibri" w:hAnsi="Calibri"/>
                <w:b w:val="0"/>
                <w:i w:val="0"/>
                <w:color w:val="101828"/>
                <w:sz w:val="15"/>
              </w:rPr>
              <w:t xml:space="preserve"> (CAN §6) against the transition </w:t>
            </w:r>
            <w:r>
              <w:rPr>
                <w:rFonts w:ascii="Consolas" w:hAnsi="Consolas"/>
                <w:color w:val="146EF5"/>
                <w:sz w:val="15"/>
              </w:rPr>
              <w:t>ENROLLMENT → ACTIVE</w:t>
            </w:r>
            <w:r>
              <w:rPr>
                <w:rFonts w:ascii="Calibri" w:hAnsi="Calibri"/>
                <w:b w:val="0"/>
                <w:i w:val="0"/>
                <w:color w:val="101828"/>
                <w:sz w:val="15"/>
              </w:rPr>
              <w:t xml:space="preserve"> on the guard </w:t>
            </w:r>
            <w:r>
              <w:rPr>
                <w:rFonts w:ascii="Calibri" w:hAnsi="Calibri"/>
                <w:i/>
                <w:color w:val="101828"/>
                <w:sz w:val="15"/>
              </w:rPr>
              <w:t>every position filled, or day 5 reached</w:t>
            </w:r>
            <w:r>
              <w:rPr>
                <w:rFonts w:ascii="Calibri" w:hAnsi="Calibri"/>
                <w:b w:val="0"/>
                <w:i w:val="0"/>
                <w:color w:val="101828"/>
                <w:sz w:val="15"/>
              </w:rPr>
              <w:t xml:space="preserve"> (CAN §3).</w:t>
            </w:r>
          </w:p>
        </w:tc>
        <w:tc>
          <w:tcPr>
            <w:tcW w:type="dxa" w:w="2736"/>
            <w:tcMar>
              <w:top w:w="60" w:type="dxa"/>
              <w:start w:w="110" w:type="dxa"/>
              <w:bottom w:w="60" w:type="dxa"/>
              <w:end w:w="110" w:type="dxa"/>
            </w:tcMar>
          </w:tcPr>
          <w:p>
            <w:pPr>
              <w:spacing w:after="0"/>
            </w:pPr>
            <w:r/>
            <w:r>
              <w:rPr>
                <w:rFonts w:ascii="Calibri" w:hAnsi="Calibri"/>
                <w:b w:val="0"/>
                <w:i w:val="0"/>
                <w:color w:val="101828"/>
                <w:sz w:val="15"/>
              </w:rPr>
              <w:t>The endpoint name suggests an organiser action, but the guard is a system condition, so an endpoint of that name would let an organiser activate a half-filled Ajo.</w:t>
            </w:r>
          </w:p>
        </w:tc>
        <w:tc>
          <w:tcPr>
            <w:tcW w:type="dxa" w:w="3658"/>
            <w:tcMar>
              <w:top w:w="60" w:type="dxa"/>
              <w:start w:w="110" w:type="dxa"/>
              <w:bottom w:w="60" w:type="dxa"/>
              <w:end w:w="110" w:type="dxa"/>
            </w:tcMar>
          </w:tcPr>
          <w:p>
            <w:pPr>
              <w:spacing w:after="0"/>
            </w:pPr>
            <w:r/>
            <w:r>
              <w:rPr>
                <w:rFonts w:ascii="Calibri" w:hAnsi="Calibri"/>
                <w:b/>
                <w:color w:val="101828"/>
                <w:sz w:val="15"/>
              </w:rPr>
              <w:t>`POST /ajos/:id/activate` performs `OPEN_ENROLLMENT`, the DRAFT to ENROLLMENT transition, and requires a recorded reason.</w:t>
            </w:r>
            <w:r>
              <w:rPr>
                <w:rFonts w:ascii="Calibri" w:hAnsi="Calibri"/>
                <w:b w:val="0"/>
                <w:i w:val="0"/>
                <w:color w:val="101828"/>
                <w:sz w:val="15"/>
              </w:rPr>
              <w:t xml:space="preserve"> The name is retained because the endpoint path is canonical; its semantics are pinned here. The ENROLLMENT to ACTIVE transition is system-driven and is never reachable through this endpoint. EC-050 and EC-051 depend on this reading.</w:t>
            </w:r>
          </w:p>
        </w:tc>
      </w:tr>
      <w:tr>
        <w:trPr>
          <w:cantSplit/>
        </w:trPr>
        <w:tc>
          <w:tcPr>
            <w:tcW w:type="dxa" w:w="2966"/>
            <w:tcMar>
              <w:top w:w="60" w:type="dxa"/>
              <w:start w:w="110" w:type="dxa"/>
              <w:bottom w:w="60" w:type="dxa"/>
              <w:end w:w="110" w:type="dxa"/>
            </w:tcMar>
            <w:shd w:val="clear" w:color="auto" w:fill="F4F7FB"/>
          </w:tcPr>
          <w:p>
            <w:pPr>
              <w:spacing w:after="0"/>
            </w:pPr>
            <w:r/>
            <w:r>
              <w:rPr>
                <w:rFonts w:ascii="Consolas" w:hAnsi="Consolas"/>
                <w:color w:val="146EF5"/>
                <w:sz w:val="15"/>
              </w:rPr>
              <w:t>POST /ajos/:id/members</w:t>
            </w:r>
            <w:r>
              <w:rPr>
                <w:rFonts w:ascii="Calibri" w:hAnsi="Calibri"/>
                <w:b w:val="0"/>
                <w:i w:val="0"/>
                <w:color w:val="101828"/>
                <w:sz w:val="15"/>
              </w:rPr>
              <w:t xml:space="preserve"> (CAN §6) against BR-006, </w:t>
            </w:r>
            <w:r>
              <w:rPr>
                <w:rFonts w:ascii="Calibri" w:hAnsi="Calibri"/>
                <w:i/>
                <w:color w:val="101828"/>
                <w:sz w:val="15"/>
              </w:rPr>
              <w:t>membership is by invitation only; at MVP no member may be added to an Ajo without their own acceptance of an invitation</w:t>
            </w:r>
            <w:r>
              <w:rPr>
                <w:rFonts w:ascii="Calibri" w:hAnsi="Calibri"/>
                <w:b w:val="0"/>
                <w:i w:val="0"/>
                <w:color w:val="101828"/>
                <w:sz w:val="15"/>
              </w:rPr>
              <w:t>.</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A direct member-creation endpoint appears to permit the platform to add a member who never accepted anything.</w:t>
            </w:r>
          </w:p>
        </w:tc>
        <w:tc>
          <w:tcPr>
            <w:tcW w:type="dxa" w:w="3658"/>
            <w:tcMar>
              <w:top w:w="60" w:type="dxa"/>
              <w:start w:w="110" w:type="dxa"/>
              <w:bottom w:w="60" w:type="dxa"/>
              <w:end w:w="110" w:type="dxa"/>
            </w:tcMar>
            <w:shd w:val="clear" w:color="auto" w:fill="F4F7FB"/>
          </w:tcPr>
          <w:p>
            <w:pPr>
              <w:spacing w:after="0"/>
            </w:pPr>
            <w:r/>
            <w:r>
              <w:rPr>
                <w:rFonts w:ascii="Calibri" w:hAnsi="Calibri"/>
                <w:b/>
                <w:color w:val="101828"/>
                <w:sz w:val="15"/>
              </w:rPr>
              <w:t>`POST /ajos/:id/members` creates an invitation-bound membership from a token already accepted by the invitee, or from an invitation issued and accepted out of band.</w:t>
            </w:r>
            <w:r>
              <w:rPr>
                <w:rFonts w:ascii="Calibri" w:hAnsi="Calibri"/>
                <w:b w:val="0"/>
                <w:i w:val="0"/>
                <w:color w:val="101828"/>
                <w:sz w:val="15"/>
              </w:rPr>
              <w:t xml:space="preserve"> It is never a path by which a member is added without their own acceptance, and it is the path used to attach a member who accepted an invitation on a device that has since been reset. A separate organiser-initiated invitation creation belongs to </w:t>
            </w:r>
            <w:r>
              <w:rPr>
                <w:rFonts w:ascii="Consolas" w:hAnsi="Consolas"/>
                <w:color w:val="146EF5"/>
                <w:sz w:val="15"/>
              </w:rPr>
              <w:t>POST /invitations</w:t>
            </w:r>
            <w:r>
              <w:rPr>
                <w:rFonts w:ascii="Calibri" w:hAnsi="Calibri"/>
                <w:b w:val="0"/>
                <w:i w:val="0"/>
                <w:color w:val="101828"/>
                <w:sz w:val="15"/>
              </w:rPr>
              <w:t>.</w:t>
            </w:r>
          </w:p>
        </w:tc>
      </w:tr>
    </w:tbl>
    <w:p>
      <w:pPr>
        <w:spacing w:after="80"/>
      </w:pPr>
    </w:p>
    <w:p>
      <w:pPr>
        <w:spacing w:before="140" w:after="180"/>
        <w:ind w:left="144"/>
        <w:shd w:val="clear" w:color="auto" w:fill="E0F2FE"/>
        <w:pBdr>
          <w:left w:val="single" w:sz="18" w:space="6" w:color="22C7D6"/>
        </w:pBdr>
      </w:pPr>
      <w:r>
        <w:rPr>
          <w:rFonts w:ascii="Calibri" w:hAnsi="Calibri"/>
          <w:b/>
          <w:color w:val="22C7D6"/>
          <w:sz w:val="19"/>
        </w:rPr>
        <w:t xml:space="preserve">Two naming decisions that the engineering team must confirm before build  </w:t>
      </w:r>
      <w:r>
        <w:rPr>
          <w:rFonts w:ascii="Calibri" w:hAnsi="Calibri"/>
          <w:b w:val="0"/>
          <w:i w:val="0"/>
          <w:color w:val="0B1F3A"/>
          <w:sz w:val="19"/>
        </w:rPr>
        <w:t xml:space="preserve">The two readings above are correct as specifications but ugly as API design. The recommended change is to keep </w:t>
      </w:r>
      <w:r>
        <w:rPr>
          <w:rFonts w:ascii="Consolas" w:hAnsi="Consolas"/>
          <w:color w:val="146EF5"/>
          <w:sz w:val="19"/>
        </w:rPr>
        <w:t>POST /ajos/:id/activate</w:t>
      </w:r>
      <w:r>
        <w:rPr>
          <w:rFonts w:ascii="Calibri" w:hAnsi="Calibri"/>
          <w:b w:val="0"/>
          <w:i w:val="0"/>
          <w:color w:val="0B1F3A"/>
          <w:sz w:val="19"/>
        </w:rPr>
        <w:t xml:space="preserve"> for the DRAFT to ENROLLMENT transition for backward compatibility with the canonical path list, add </w:t>
      </w:r>
      <w:r>
        <w:rPr>
          <w:rFonts w:ascii="Consolas" w:hAnsi="Consolas"/>
          <w:color w:val="146EF5"/>
          <w:sz w:val="19"/>
        </w:rPr>
        <w:t>POST /ajos/:id/open-enrollment</w:t>
      </w:r>
      <w:r>
        <w:rPr>
          <w:rFonts w:ascii="Calibri" w:hAnsi="Calibri"/>
          <w:b w:val="0"/>
          <w:i w:val="0"/>
          <w:color w:val="0B1F3A"/>
          <w:sz w:val="19"/>
        </w:rPr>
        <w:t xml:space="preserve"> as the clear name, and deprecate the ambiguous one. </w:t>
      </w:r>
      <w:r>
        <w:rPr>
          <w:rFonts w:ascii="Calibri" w:hAnsi="Calibri"/>
          <w:b/>
          <w:color w:val="0B1F3A"/>
          <w:sz w:val="19"/>
        </w:rPr>
        <w:t>Owner: Engineering and Founders. Decision required before the build starts, not during it.</w:t>
      </w:r>
      <w:r>
        <w:rPr>
          <w:rFonts w:ascii="Calibri" w:hAnsi="Calibri"/>
          <w:b w:val="0"/>
          <w:i w:val="0"/>
          <w:color w:val="0B1F3A"/>
          <w:sz w:val="19"/>
        </w:rPr>
        <w:t xml:space="preserve"> The behaviour is safe either way; only the name is in question.</w:t>
      </w:r>
    </w:p>
    <w:p>
      <w:pPr>
        <w:pStyle w:val="Heading3"/>
      </w:pPr>
      <w:r>
        <w:rPr>
          <w:rFonts w:ascii="Calibri" w:hAnsi="Calibri"/>
          <w:b/>
          <w:i w:val="0"/>
          <w:color w:val="0B1F3A"/>
          <w:sz w:val="24"/>
        </w:rPr>
        <w:t>2.0.3 Money values used in every worked example in this section</w:t>
      </w:r>
    </w:p>
    <w:p>
      <w:r>
        <w:rPr>
          <w:rFonts w:ascii="Calibri" w:hAnsi="Calibri"/>
          <w:b w:val="0"/>
          <w:i w:val="0"/>
          <w:color w:val="101828"/>
          <w:sz w:val="21"/>
        </w:rPr>
        <w:t>Every flow that moves or explains money uses the same canonical example, so that a member reading a receipt, an organiser reading a wizard review step and an engineer reading a ledger posting are all looking at the same numbers.</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6178"/>
            <w:shd w:val="clear" w:color="auto" w:fill="0B1F3A"/>
            <w:tcMar>
              <w:top w:w="60" w:type="dxa"/>
              <w:start w:w="110" w:type="dxa"/>
              <w:bottom w:w="60" w:type="dxa"/>
              <w:end w:w="110" w:type="dxa"/>
            </w:tcMar>
          </w:tcPr>
          <w:p>
            <w:pPr>
              <w:spacing w:after="0"/>
            </w:pPr>
            <w:r/>
            <w:r>
              <w:rPr>
                <w:rFonts w:ascii="Calibri" w:hAnsi="Calibri"/>
                <w:b/>
                <w:i w:val="0"/>
                <w:color w:val="FFFFFF"/>
                <w:sz w:val="17"/>
              </w:rPr>
              <w:t>Item</w:t>
            </w:r>
          </w:p>
        </w:tc>
        <w:tc>
          <w:tcPr>
            <w:tcW w:type="dxa" w:w="3182"/>
            <w:shd w:val="clear" w:color="auto" w:fill="0B1F3A"/>
            <w:tcMar>
              <w:top w:w="60" w:type="dxa"/>
              <w:start w:w="110" w:type="dxa"/>
              <w:bottom w:w="60" w:type="dxa"/>
              <w:end w:w="110" w:type="dxa"/>
            </w:tcMar>
          </w:tcPr>
          <w:p>
            <w:pPr>
              <w:spacing w:after="0"/>
            </w:pPr>
            <w:r/>
            <w:r>
              <w:rPr>
                <w:rFonts w:ascii="Calibri" w:hAnsi="Calibri"/>
                <w:b/>
                <w:i w:val="0"/>
                <w:color w:val="FFFFFF"/>
                <w:sz w:val="17"/>
              </w:rPr>
              <w:t>Value</w:t>
            </w:r>
          </w:p>
        </w:tc>
      </w:tr>
      <w:tr>
        <w:trPr>
          <w:cantSplit/>
        </w:trPr>
        <w:tc>
          <w:tcPr>
            <w:tcW w:type="dxa" w:w="6178"/>
            <w:tcMar>
              <w:top w:w="60" w:type="dxa"/>
              <w:start w:w="110" w:type="dxa"/>
              <w:bottom w:w="60" w:type="dxa"/>
              <w:end w:w="110" w:type="dxa"/>
            </w:tcMar>
          </w:tcPr>
          <w:p>
            <w:pPr>
              <w:spacing w:after="0"/>
            </w:pPr>
            <w:r/>
            <w:r>
              <w:rPr>
                <w:rFonts w:ascii="Calibri" w:hAnsi="Calibri"/>
                <w:b w:val="0"/>
                <w:i w:val="0"/>
                <w:color w:val="101828"/>
                <w:sz w:val="17"/>
              </w:rPr>
              <w:t>Members</w:t>
            </w:r>
          </w:p>
        </w:tc>
        <w:tc>
          <w:tcPr>
            <w:tcW w:type="dxa" w:w="3182"/>
            <w:tcMar>
              <w:top w:w="60" w:type="dxa"/>
              <w:start w:w="110" w:type="dxa"/>
              <w:bottom w:w="60" w:type="dxa"/>
              <w:end w:w="110" w:type="dxa"/>
            </w:tcMar>
          </w:tcPr>
          <w:p>
            <w:pPr>
              <w:spacing w:after="0"/>
            </w:pPr>
            <w:r/>
            <w:r>
              <w:rPr>
                <w:rFonts w:ascii="Calibri" w:hAnsi="Calibri"/>
                <w:b w:val="0"/>
                <w:i w:val="0"/>
                <w:color w:val="101828"/>
                <w:sz w:val="17"/>
              </w:rPr>
              <w:t>10</w:t>
            </w:r>
          </w:p>
        </w:tc>
      </w:tr>
      <w:tr>
        <w:trPr>
          <w:cantSplit/>
        </w:trPr>
        <w:tc>
          <w:tcPr>
            <w:tcW w:type="dxa" w:w="6178"/>
            <w:tcMar>
              <w:top w:w="60" w:type="dxa"/>
              <w:start w:w="110" w:type="dxa"/>
              <w:bottom w:w="60" w:type="dxa"/>
              <w:end w:w="110" w:type="dxa"/>
            </w:tcMar>
            <w:shd w:val="clear" w:color="auto" w:fill="F4F7FB"/>
          </w:tcPr>
          <w:p>
            <w:pPr>
              <w:spacing w:after="0"/>
            </w:pPr>
            <w:r/>
            <w:r>
              <w:rPr>
                <w:rFonts w:ascii="Calibri" w:hAnsi="Calibri"/>
                <w:b w:val="0"/>
                <w:i w:val="0"/>
                <w:color w:val="101828"/>
                <w:sz w:val="17"/>
              </w:rPr>
              <w:t>Contribution per member per round</w:t>
            </w:r>
          </w:p>
        </w:tc>
        <w:tc>
          <w:tcPr>
            <w:tcW w:type="dxa" w:w="3182"/>
            <w:tcMar>
              <w:top w:w="60" w:type="dxa"/>
              <w:start w:w="110" w:type="dxa"/>
              <w:bottom w:w="60" w:type="dxa"/>
              <w:end w:w="110" w:type="dxa"/>
            </w:tcMar>
            <w:shd w:val="clear" w:color="auto" w:fill="F4F7FB"/>
          </w:tcPr>
          <w:p>
            <w:pPr>
              <w:spacing w:after="0"/>
            </w:pPr>
            <w:r/>
            <w:r>
              <w:rPr>
                <w:rFonts w:ascii="Calibri" w:hAnsi="Calibri"/>
                <w:b w:val="0"/>
                <w:i w:val="0"/>
                <w:color w:val="101828"/>
                <w:sz w:val="17"/>
              </w:rPr>
              <w:t>NGN 1,000.00</w:t>
            </w:r>
          </w:p>
        </w:tc>
      </w:tr>
      <w:tr>
        <w:trPr>
          <w:cantSplit/>
        </w:trPr>
        <w:tc>
          <w:tcPr>
            <w:tcW w:type="dxa" w:w="6178"/>
            <w:tcMar>
              <w:top w:w="60" w:type="dxa"/>
              <w:start w:w="110" w:type="dxa"/>
              <w:bottom w:w="60" w:type="dxa"/>
              <w:end w:w="110" w:type="dxa"/>
            </w:tcMar>
          </w:tcPr>
          <w:p>
            <w:pPr>
              <w:spacing w:after="0"/>
            </w:pPr>
            <w:r/>
            <w:r>
              <w:rPr>
                <w:rFonts w:ascii="Calibri" w:hAnsi="Calibri"/>
                <w:b w:val="0"/>
                <w:i w:val="0"/>
                <w:color w:val="101828"/>
                <w:sz w:val="17"/>
              </w:rPr>
              <w:t xml:space="preserve">Platform fee (2%), recorded as </w:t>
            </w:r>
            <w:r>
              <w:rPr>
                <w:rFonts w:ascii="Consolas" w:hAnsi="Consolas"/>
                <w:color w:val="146EF5"/>
                <w:sz w:val="17"/>
              </w:rPr>
              <w:t>fees_income</w:t>
            </w:r>
          </w:p>
        </w:tc>
        <w:tc>
          <w:tcPr>
            <w:tcW w:type="dxa" w:w="3182"/>
            <w:tcMar>
              <w:top w:w="60" w:type="dxa"/>
              <w:start w:w="110" w:type="dxa"/>
              <w:bottom w:w="60" w:type="dxa"/>
              <w:end w:w="110" w:type="dxa"/>
            </w:tcMar>
          </w:tcPr>
          <w:p>
            <w:pPr>
              <w:spacing w:after="0"/>
            </w:pPr>
            <w:r/>
            <w:r>
              <w:rPr>
                <w:rFonts w:ascii="Calibri" w:hAnsi="Calibri"/>
                <w:b w:val="0"/>
                <w:i w:val="0"/>
                <w:color w:val="101828"/>
                <w:sz w:val="17"/>
              </w:rPr>
              <w:t>NGN 20.00</w:t>
            </w:r>
          </w:p>
        </w:tc>
      </w:tr>
      <w:tr>
        <w:trPr>
          <w:cantSplit/>
        </w:trPr>
        <w:tc>
          <w:tcPr>
            <w:tcW w:type="dxa" w:w="6178"/>
            <w:tcMar>
              <w:top w:w="60" w:type="dxa"/>
              <w:start w:w="110" w:type="dxa"/>
              <w:bottom w:w="60" w:type="dxa"/>
              <w:end w:w="110" w:type="dxa"/>
            </w:tcMar>
            <w:shd w:val="clear" w:color="auto" w:fill="F4F7FB"/>
          </w:tcPr>
          <w:p>
            <w:pPr>
              <w:spacing w:after="0"/>
            </w:pPr>
            <w:r/>
            <w:r>
              <w:rPr>
                <w:rFonts w:ascii="Calibri" w:hAnsi="Calibri"/>
                <w:b/>
                <w:color w:val="101828"/>
                <w:sz w:val="17"/>
              </w:rPr>
              <w:t>Total charged to the member per round</w:t>
            </w:r>
          </w:p>
        </w:tc>
        <w:tc>
          <w:tcPr>
            <w:tcW w:type="dxa" w:w="3182"/>
            <w:tcMar>
              <w:top w:w="60" w:type="dxa"/>
              <w:start w:w="110" w:type="dxa"/>
              <w:bottom w:w="60" w:type="dxa"/>
              <w:end w:w="110" w:type="dxa"/>
            </w:tcMar>
            <w:shd w:val="clear" w:color="auto" w:fill="F4F7FB"/>
          </w:tcPr>
          <w:p>
            <w:pPr>
              <w:spacing w:after="0"/>
            </w:pPr>
            <w:r/>
            <w:r>
              <w:rPr>
                <w:rFonts w:ascii="Calibri" w:hAnsi="Calibri"/>
                <w:b/>
                <w:color w:val="101828"/>
                <w:sz w:val="17"/>
              </w:rPr>
              <w:t>NGN 1,020.00</w:t>
            </w:r>
          </w:p>
        </w:tc>
      </w:tr>
      <w:tr>
        <w:trPr>
          <w:cantSplit/>
        </w:trPr>
        <w:tc>
          <w:tcPr>
            <w:tcW w:type="dxa" w:w="6178"/>
            <w:tcMar>
              <w:top w:w="60" w:type="dxa"/>
              <w:start w:w="110" w:type="dxa"/>
              <w:bottom w:w="60" w:type="dxa"/>
              <w:end w:w="110" w:type="dxa"/>
            </w:tcMar>
          </w:tcPr>
          <w:p>
            <w:pPr>
              <w:spacing w:after="0"/>
            </w:pPr>
            <w:r/>
            <w:r>
              <w:rPr>
                <w:rFonts w:ascii="Calibri" w:hAnsi="Calibri"/>
                <w:b/>
                <w:color w:val="101828"/>
                <w:sz w:val="17"/>
              </w:rPr>
              <w:t>Base pool paid to the recipient at their turn</w:t>
            </w:r>
          </w:p>
        </w:tc>
        <w:tc>
          <w:tcPr>
            <w:tcW w:type="dxa" w:w="3182"/>
            <w:tcMar>
              <w:top w:w="60" w:type="dxa"/>
              <w:start w:w="110" w:type="dxa"/>
              <w:bottom w:w="60" w:type="dxa"/>
              <w:end w:w="110" w:type="dxa"/>
            </w:tcMar>
          </w:tcPr>
          <w:p>
            <w:pPr>
              <w:spacing w:after="0"/>
            </w:pPr>
            <w:r/>
            <w:r>
              <w:rPr>
                <w:rFonts w:ascii="Calibri" w:hAnsi="Calibri"/>
                <w:b/>
                <w:color w:val="101828"/>
                <w:sz w:val="17"/>
              </w:rPr>
              <w:t>NGN 10,000.00</w:t>
            </w:r>
          </w:p>
        </w:tc>
      </w:tr>
      <w:tr>
        <w:trPr>
          <w:cantSplit/>
        </w:trPr>
        <w:tc>
          <w:tcPr>
            <w:tcW w:type="dxa" w:w="6178"/>
            <w:tcMar>
              <w:top w:w="60" w:type="dxa"/>
              <w:start w:w="110" w:type="dxa"/>
              <w:bottom w:w="60" w:type="dxa"/>
              <w:end w:w="110" w:type="dxa"/>
            </w:tcMar>
            <w:shd w:val="clear" w:color="auto" w:fill="F4F7FB"/>
          </w:tcPr>
          <w:p>
            <w:pPr>
              <w:spacing w:after="0"/>
            </w:pPr>
            <w:r/>
            <w:r>
              <w:rPr>
                <w:rFonts w:ascii="Calibri" w:hAnsi="Calibri"/>
                <w:b w:val="0"/>
                <w:i w:val="0"/>
                <w:color w:val="101828"/>
                <w:sz w:val="17"/>
              </w:rPr>
              <w:t>Total collected in the round</w:t>
            </w:r>
          </w:p>
        </w:tc>
        <w:tc>
          <w:tcPr>
            <w:tcW w:type="dxa" w:w="3182"/>
            <w:tcMar>
              <w:top w:w="60" w:type="dxa"/>
              <w:start w:w="110" w:type="dxa"/>
              <w:bottom w:w="60" w:type="dxa"/>
              <w:end w:w="110" w:type="dxa"/>
            </w:tcMar>
            <w:shd w:val="clear" w:color="auto" w:fill="F4F7FB"/>
          </w:tcPr>
          <w:p>
            <w:pPr>
              <w:spacing w:after="0"/>
            </w:pPr>
            <w:r/>
            <w:r>
              <w:rPr>
                <w:rFonts w:ascii="Calibri" w:hAnsi="Calibri"/>
                <w:b w:val="0"/>
                <w:i w:val="0"/>
                <w:color w:val="101828"/>
                <w:sz w:val="17"/>
              </w:rPr>
              <w:t>NGN 10,200.00</w:t>
            </w:r>
          </w:p>
        </w:tc>
      </w:tr>
      <w:tr>
        <w:trPr>
          <w:cantSplit/>
        </w:trPr>
        <w:tc>
          <w:tcPr>
            <w:tcW w:type="dxa" w:w="6178"/>
            <w:tcMar>
              <w:top w:w="60" w:type="dxa"/>
              <w:start w:w="110" w:type="dxa"/>
              <w:bottom w:w="60" w:type="dxa"/>
              <w:end w:w="110" w:type="dxa"/>
            </w:tcMar>
          </w:tcPr>
          <w:p>
            <w:pPr>
              <w:spacing w:after="0"/>
            </w:pPr>
            <w:r/>
            <w:r>
              <w:rPr>
                <w:rFonts w:ascii="Calibri" w:hAnsi="Calibri"/>
                <w:b w:val="0"/>
                <w:i w:val="0"/>
                <w:color w:val="101828"/>
                <w:sz w:val="17"/>
              </w:rPr>
              <w:t>Platform fee retained in the round</w:t>
            </w:r>
          </w:p>
        </w:tc>
        <w:tc>
          <w:tcPr>
            <w:tcW w:type="dxa" w:w="3182"/>
            <w:tcMar>
              <w:top w:w="60" w:type="dxa"/>
              <w:start w:w="110" w:type="dxa"/>
              <w:bottom w:w="60" w:type="dxa"/>
              <w:end w:w="110" w:type="dxa"/>
            </w:tcMar>
          </w:tcPr>
          <w:p>
            <w:pPr>
              <w:spacing w:after="0"/>
            </w:pPr>
            <w:r/>
            <w:r>
              <w:rPr>
                <w:rFonts w:ascii="Calibri" w:hAnsi="Calibri"/>
                <w:b w:val="0"/>
                <w:i w:val="0"/>
                <w:color w:val="101828"/>
                <w:sz w:val="17"/>
              </w:rPr>
              <w:t>NGN 200.00</w:t>
            </w:r>
          </w:p>
        </w:tc>
      </w:tr>
      <w:tr>
        <w:trPr>
          <w:cantSplit/>
        </w:trPr>
        <w:tc>
          <w:tcPr>
            <w:tcW w:type="dxa" w:w="6178"/>
            <w:tcMar>
              <w:top w:w="60" w:type="dxa"/>
              <w:start w:w="110" w:type="dxa"/>
              <w:bottom w:w="60" w:type="dxa"/>
              <w:end w:w="110" w:type="dxa"/>
            </w:tcMar>
            <w:shd w:val="clear" w:color="auto" w:fill="F4F7FB"/>
          </w:tcPr>
          <w:p>
            <w:pPr>
              <w:spacing w:after="0"/>
            </w:pPr>
            <w:r/>
            <w:r>
              <w:rPr>
                <w:rFonts w:ascii="Calibri" w:hAnsi="Calibri"/>
                <w:b w:val="0"/>
                <w:i w:val="0"/>
                <w:color w:val="101828"/>
                <w:sz w:val="17"/>
              </w:rPr>
              <w:t>Rounds</w:t>
            </w:r>
          </w:p>
        </w:tc>
        <w:tc>
          <w:tcPr>
            <w:tcW w:type="dxa" w:w="3182"/>
            <w:tcMar>
              <w:top w:w="60" w:type="dxa"/>
              <w:start w:w="110" w:type="dxa"/>
              <w:bottom w:w="60" w:type="dxa"/>
              <w:end w:w="110" w:type="dxa"/>
            </w:tcMar>
            <w:shd w:val="clear" w:color="auto" w:fill="F4F7FB"/>
          </w:tcPr>
          <w:p>
            <w:pPr>
              <w:spacing w:after="0"/>
            </w:pPr>
            <w:r/>
            <w:r>
              <w:rPr>
                <w:rFonts w:ascii="Calibri" w:hAnsi="Calibri"/>
                <w:b w:val="0"/>
                <w:i w:val="0"/>
                <w:color w:val="101828"/>
                <w:sz w:val="17"/>
              </w:rPr>
              <w:t>10</w:t>
            </w:r>
          </w:p>
        </w:tc>
      </w:tr>
      <w:tr>
        <w:trPr>
          <w:cantSplit/>
        </w:trPr>
        <w:tc>
          <w:tcPr>
            <w:tcW w:type="dxa" w:w="6178"/>
            <w:tcMar>
              <w:top w:w="60" w:type="dxa"/>
              <w:start w:w="110" w:type="dxa"/>
              <w:bottom w:w="60" w:type="dxa"/>
              <w:end w:w="110" w:type="dxa"/>
            </w:tcMar>
          </w:tcPr>
          <w:p>
            <w:pPr>
              <w:spacing w:after="0"/>
            </w:pPr>
            <w:r/>
            <w:r>
              <w:rPr>
                <w:rFonts w:ascii="Calibri" w:hAnsi="Calibri"/>
                <w:b w:val="0"/>
                <w:i w:val="0"/>
                <w:color w:val="101828"/>
                <w:sz w:val="17"/>
              </w:rPr>
              <w:t>Total paid in by one member across the Ajo</w:t>
            </w:r>
          </w:p>
        </w:tc>
        <w:tc>
          <w:tcPr>
            <w:tcW w:type="dxa" w:w="3182"/>
            <w:tcMar>
              <w:top w:w="60" w:type="dxa"/>
              <w:start w:w="110" w:type="dxa"/>
              <w:bottom w:w="60" w:type="dxa"/>
              <w:end w:w="110" w:type="dxa"/>
            </w:tcMar>
          </w:tcPr>
          <w:p>
            <w:pPr>
              <w:spacing w:after="0"/>
            </w:pPr>
            <w:r/>
            <w:r>
              <w:rPr>
                <w:rFonts w:ascii="Calibri" w:hAnsi="Calibri"/>
                <w:b w:val="0"/>
                <w:i w:val="0"/>
                <w:color w:val="101828"/>
                <w:sz w:val="17"/>
              </w:rPr>
              <w:t>NGN 10,200.00</w:t>
            </w:r>
          </w:p>
        </w:tc>
      </w:tr>
      <w:tr>
        <w:trPr>
          <w:cantSplit/>
        </w:trPr>
        <w:tc>
          <w:tcPr>
            <w:tcW w:type="dxa" w:w="6178"/>
            <w:tcMar>
              <w:top w:w="60" w:type="dxa"/>
              <w:start w:w="110" w:type="dxa"/>
              <w:bottom w:w="60" w:type="dxa"/>
              <w:end w:w="110" w:type="dxa"/>
            </w:tcMar>
            <w:shd w:val="clear" w:color="auto" w:fill="F4F7FB"/>
          </w:tcPr>
          <w:p>
            <w:pPr>
              <w:spacing w:after="0"/>
            </w:pPr>
            <w:r/>
            <w:r>
              <w:rPr>
                <w:rFonts w:ascii="Calibri" w:hAnsi="Calibri"/>
                <w:b/>
                <w:color w:val="101828"/>
                <w:sz w:val="17"/>
              </w:rPr>
              <w:t>Total received by the recipient at their turn</w:t>
            </w:r>
          </w:p>
        </w:tc>
        <w:tc>
          <w:tcPr>
            <w:tcW w:type="dxa" w:w="3182"/>
            <w:tcMar>
              <w:top w:w="60" w:type="dxa"/>
              <w:start w:w="110" w:type="dxa"/>
              <w:bottom w:w="60" w:type="dxa"/>
              <w:end w:w="110" w:type="dxa"/>
            </w:tcMar>
            <w:shd w:val="clear" w:color="auto" w:fill="F4F7FB"/>
          </w:tcPr>
          <w:p>
            <w:pPr>
              <w:spacing w:after="0"/>
            </w:pPr>
            <w:r/>
            <w:r>
              <w:rPr>
                <w:rFonts w:ascii="Calibri" w:hAnsi="Calibri"/>
                <w:b/>
                <w:color w:val="101828"/>
                <w:sz w:val="17"/>
              </w:rPr>
              <w:t>NGN 10,000.00</w:t>
            </w:r>
          </w:p>
        </w:tc>
      </w:tr>
      <w:tr>
        <w:trPr>
          <w:cantSplit/>
        </w:trPr>
        <w:tc>
          <w:tcPr>
            <w:tcW w:type="dxa" w:w="6178"/>
            <w:tcMar>
              <w:top w:w="60" w:type="dxa"/>
              <w:start w:w="110" w:type="dxa"/>
              <w:bottom w:w="60" w:type="dxa"/>
              <w:end w:w="110" w:type="dxa"/>
            </w:tcMar>
          </w:tcPr>
          <w:p>
            <w:pPr>
              <w:spacing w:after="0"/>
            </w:pPr>
            <w:r/>
            <w:r>
              <w:rPr>
                <w:rFonts w:ascii="Calibri" w:hAnsi="Calibri"/>
                <w:b w:val="0"/>
                <w:i w:val="0"/>
                <w:color w:val="101828"/>
                <w:sz w:val="17"/>
              </w:rPr>
              <w:t>Platform fee over the full Ajo</w:t>
            </w:r>
          </w:p>
        </w:tc>
        <w:tc>
          <w:tcPr>
            <w:tcW w:type="dxa" w:w="3182"/>
            <w:tcMar>
              <w:top w:w="60" w:type="dxa"/>
              <w:start w:w="110" w:type="dxa"/>
              <w:bottom w:w="60" w:type="dxa"/>
              <w:end w:w="110" w:type="dxa"/>
            </w:tcMar>
          </w:tcPr>
          <w:p>
            <w:pPr>
              <w:spacing w:after="0"/>
            </w:pPr>
            <w:r/>
            <w:r>
              <w:rPr>
                <w:rFonts w:ascii="Calibri" w:hAnsi="Calibri"/>
                <w:b w:val="0"/>
                <w:i w:val="0"/>
                <w:color w:val="101828"/>
                <w:sz w:val="17"/>
              </w:rPr>
              <w:t>NGN 2,000.00</w:t>
            </w:r>
          </w:p>
        </w:tc>
      </w:tr>
      <w:tr>
        <w:trPr>
          <w:cantSplit/>
        </w:trPr>
        <w:tc>
          <w:tcPr>
            <w:tcW w:type="dxa" w:w="6178"/>
            <w:tcMar>
              <w:top w:w="60" w:type="dxa"/>
              <w:start w:w="110" w:type="dxa"/>
              <w:bottom w:w="60" w:type="dxa"/>
              <w:end w:w="110" w:type="dxa"/>
            </w:tcMar>
            <w:shd w:val="clear" w:color="auto" w:fill="F4F7FB"/>
          </w:tcPr>
          <w:p>
            <w:pPr>
              <w:spacing w:after="0"/>
            </w:pPr>
            <w:r/>
            <w:r>
              <w:rPr>
                <w:rFonts w:ascii="Calibri" w:hAnsi="Calibri"/>
                <w:b w:val="0"/>
                <w:i w:val="0"/>
                <w:color w:val="101828"/>
                <w:sz w:val="17"/>
              </w:rPr>
              <w:t>Total collected across the Ajo</w:t>
            </w:r>
          </w:p>
        </w:tc>
        <w:tc>
          <w:tcPr>
            <w:tcW w:type="dxa" w:w="3182"/>
            <w:tcMar>
              <w:top w:w="60" w:type="dxa"/>
              <w:start w:w="110" w:type="dxa"/>
              <w:bottom w:w="60" w:type="dxa"/>
              <w:end w:w="110" w:type="dxa"/>
            </w:tcMar>
            <w:shd w:val="clear" w:color="auto" w:fill="F4F7FB"/>
          </w:tcPr>
          <w:p>
            <w:pPr>
              <w:spacing w:after="0"/>
            </w:pPr>
            <w:r/>
            <w:r>
              <w:rPr>
                <w:rFonts w:ascii="Calibri" w:hAnsi="Calibri"/>
                <w:b w:val="0"/>
                <w:i w:val="0"/>
                <w:color w:val="101828"/>
                <w:sz w:val="17"/>
              </w:rPr>
              <w:t>NGN 102,000.00</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Read the difference twice  </w:t>
      </w:r>
      <w:r>
        <w:rPr>
          <w:rFonts w:ascii="Calibri" w:hAnsi="Calibri"/>
          <w:b w:val="0"/>
          <w:i w:val="0"/>
          <w:color w:val="0B1F3A"/>
          <w:sz w:val="19"/>
        </w:rPr>
        <w:t xml:space="preserve">The member pays NGN 1,020.00. The member receives NGN 10,000.00. Those are not the same transaction, and the gap between them is the entire reason the fee can be charged without ever reducing a promise. NGN 10,200.00 is collected in the round. NGN 200.00 of it is </w:t>
      </w:r>
      <w:r>
        <w:rPr>
          <w:rFonts w:ascii="Consolas" w:hAnsi="Consolas"/>
          <w:color w:val="146EF5"/>
          <w:sz w:val="19"/>
        </w:rPr>
        <w:t>fees_income</w:t>
      </w:r>
      <w:r>
        <w:rPr>
          <w:rFonts w:ascii="Calibri" w:hAnsi="Calibri"/>
          <w:b w:val="0"/>
          <w:i w:val="0"/>
          <w:color w:val="0B1F3A"/>
          <w:sz w:val="19"/>
        </w:rPr>
        <w:t>. NGN 10,000.00 is the pot. The pot is what the member was promised, so the pot is what the member gets (BR-010, BR-012, C-02).</w:t>
      </w:r>
    </w:p>
    <w:p>
      <w:r>
        <w:br w:type="page"/>
      </w:r>
    </w:p>
    <w:p>
      <w:pPr>
        <w:pStyle w:val="Heading2"/>
      </w:pPr>
      <w:r>
        <w:rPr>
          <w:rFonts w:ascii="Calibri" w:hAnsi="Calibri"/>
          <w:b/>
          <w:i w:val="0"/>
          <w:color w:val="146EF5"/>
          <w:sz w:val="29"/>
        </w:rPr>
        <w:t>2.1 New user: landing to first dashboard</w:t>
      </w:r>
    </w:p>
    <w:p>
      <w:pPr>
        <w:pStyle w:val="Heading3"/>
      </w:pPr>
      <w:r>
        <w:rPr>
          <w:rFonts w:ascii="Calibri" w:hAnsi="Calibri"/>
          <w:b/>
          <w:i w:val="0"/>
          <w:color w:val="0B1F3A"/>
          <w:sz w:val="24"/>
        </w:rPr>
        <w:t>2.1.1 Purpose</w:t>
      </w:r>
    </w:p>
    <w:p>
      <w:r>
        <w:rPr>
          <w:rFonts w:ascii="Calibri" w:hAnsi="Calibri"/>
          <w:b w:val="0"/>
          <w:i w:val="0"/>
          <w:color w:val="101828"/>
          <w:sz w:val="21"/>
        </w:rPr>
        <w:t>A person who has never heard of AJO.ng arrives, understands what an Ajo is and what the 2% fee is, creates an account, verifies that the account is theirs, completes a profile, and lands on a dashboard that shows them one thing to do rather than an empty screen. The flow exists to reach a state where the person can be trusted with a payment: an account that is theirs, at an address they control, under a name that can be verified. Nothing in this flow can move money, and nothing in it can begin without the person's own action.</w:t>
      </w:r>
    </w:p>
    <w:p>
      <w:pPr>
        <w:pStyle w:val="Heading3"/>
      </w:pPr>
      <w:r>
        <w:rPr>
          <w:rFonts w:ascii="Calibri" w:hAnsi="Calibri"/>
          <w:b/>
          <w:i w:val="0"/>
          <w:color w:val="0B1F3A"/>
          <w:sz w:val="24"/>
        </w:rPr>
        <w:t>2.1.2 Swimlane</w:t>
      </w:r>
    </w:p>
    <w:p>
      <w:pPr>
        <w:spacing w:before="0" w:after="0" w:line="240" w:lineRule="auto"/>
        <w:ind w:left="230"/>
        <w:shd w:val="clear" w:color="auto" w:fill="F7F9FC"/>
        <w:pBdr>
          <w:left w:val="single" w:sz="4" w:space="6" w:color="D0D5DD"/>
        </w:pBdr>
      </w:pPr>
      <w:r>
        <w:rPr>
          <w:rFonts w:ascii="Consolas" w:hAnsi="Consolas"/>
          <w:color w:val="0B1F3A"/>
          <w:sz w:val="16"/>
        </w:rPr>
        <w:t>VISITOR        AJO.ng  (API)        PROVIDER        EMAIL / SMS</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Home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GET / ------&gt;|  marketing only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"How it      |  no account, no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works"      |  tracking that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"Fees"       |  identifies a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person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Register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POST /auth/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register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account created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UNVERIFIED  -----+---------------&gt;|  account.</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registered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|&lt;--------------|  generic result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(no enumeration)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Verify email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GET /auth/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verify-email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EMAIL_VERIFIED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Verify phone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POST /auth/otp/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request  -------+---------------&gt;|  OTP</w:t>
      </w:r>
    </w:p>
    <w:p>
      <w:pPr>
        <w:spacing w:before="0" w:after="0" w:line="240" w:lineRule="auto"/>
        <w:ind w:left="230"/>
        <w:shd w:val="clear" w:color="auto" w:fill="F7F9FC"/>
        <w:pBdr>
          <w:left w:val="single" w:sz="4" w:space="6" w:color="D0D5DD"/>
        </w:pBdr>
      </w:pPr>
      <w:r>
        <w:rPr>
          <w:rFonts w:ascii="Consolas" w:hAnsi="Consolas"/>
          <w:color w:val="0B1F3A"/>
          <w:sz w:val="16"/>
        </w:rPr>
        <w:t xml:space="preserve">   |  Enter OTP    |  POST /auth/otp/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verify  (max 5)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PHONE_VERIFIED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Profile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PATCH /profile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POST /profile/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avatar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Identity     |  POST /verification/identity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POST /verification/bvn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VERIFICATION_REVIEW or APPROVED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(or FAILED -&gt; 2.14) -----+-------&gt;|  verification.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approved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  Dashboard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GET /ajos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GET /contributions  (empty)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GET /payouts      (empty)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GET /notifications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|&lt;--------------|  role = `user`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"Create an Ajo" or "I have an invitation"        |</w:t>
      </w:r>
    </w:p>
    <w:p>
      <w:pPr>
        <w:pStyle w:val="Heading3"/>
      </w:pPr>
      <w:r>
        <w:rPr>
          <w:rFonts w:ascii="Calibri" w:hAnsi="Calibri"/>
          <w:b/>
          <w:i w:val="0"/>
          <w:color w:val="0B1F3A"/>
          <w:sz w:val="24"/>
        </w:rPr>
        <w:t>2.1.3 Step detail</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706"/>
            <w:shd w:val="clear" w:color="auto" w:fill="0B1F3A"/>
            <w:tcMar>
              <w:top w:w="60" w:type="dxa"/>
              <w:start w:w="110" w:type="dxa"/>
              <w:bottom w:w="60" w:type="dxa"/>
              <w:end w:w="110" w:type="dxa"/>
            </w:tcMar>
          </w:tcPr>
          <w:p>
            <w:pPr>
              <w:spacing w:after="0"/>
            </w:pPr>
            <w:r/>
            <w:r>
              <w:rPr>
                <w:rFonts w:ascii="Calibri" w:hAnsi="Calibri"/>
                <w:b/>
                <w:i w:val="0"/>
                <w:color w:val="FFFFFF"/>
                <w:sz w:val="14"/>
              </w:rPr>
              <w:t>Step</w:t>
            </w:r>
          </w:p>
        </w:tc>
        <w:tc>
          <w:tcPr>
            <w:tcW w:type="dxa" w:w="1123"/>
            <w:shd w:val="clear" w:color="auto" w:fill="0B1F3A"/>
            <w:tcMar>
              <w:top w:w="60" w:type="dxa"/>
              <w:start w:w="110" w:type="dxa"/>
              <w:bottom w:w="60" w:type="dxa"/>
              <w:end w:w="110" w:type="dxa"/>
            </w:tcMar>
          </w:tcPr>
          <w:p>
            <w:pPr>
              <w:spacing w:after="0"/>
            </w:pPr>
            <w:r/>
            <w:r>
              <w:rPr>
                <w:rFonts w:ascii="Calibri" w:hAnsi="Calibri"/>
                <w:b/>
                <w:i w:val="0"/>
                <w:color w:val="FFFFFF"/>
                <w:sz w:val="14"/>
              </w:rPr>
              <w:t>Actor</w:t>
            </w:r>
          </w:p>
        </w:tc>
        <w:tc>
          <w:tcPr>
            <w:tcW w:type="dxa" w:w="1123"/>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2102"/>
            <w:shd w:val="clear" w:color="auto" w:fill="0B1F3A"/>
            <w:tcMar>
              <w:top w:w="60" w:type="dxa"/>
              <w:start w:w="110" w:type="dxa"/>
              <w:bottom w:w="60" w:type="dxa"/>
              <w:end w:w="110" w:type="dxa"/>
            </w:tcMar>
          </w:tcPr>
          <w:p>
            <w:pPr>
              <w:spacing w:after="0"/>
            </w:pPr>
            <w:r/>
            <w:r>
              <w:rPr>
                <w:rFonts w:ascii="Calibri" w:hAnsi="Calibri"/>
                <w:b/>
                <w:i w:val="0"/>
                <w:color w:val="FFFFFF"/>
                <w:sz w:val="14"/>
              </w:rPr>
              <w:t>Action</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4"/>
              </w:rPr>
              <w:t>System response</w:t>
            </w:r>
          </w:p>
        </w:tc>
        <w:tc>
          <w:tcPr>
            <w:tcW w:type="dxa" w:w="1426"/>
            <w:shd w:val="clear" w:color="auto" w:fill="0B1F3A"/>
            <w:tcMar>
              <w:top w:w="60" w:type="dxa"/>
              <w:start w:w="110" w:type="dxa"/>
              <w:bottom w:w="60" w:type="dxa"/>
              <w:end w:w="110" w:type="dxa"/>
            </w:tcMar>
          </w:tcPr>
          <w:p>
            <w:pPr>
              <w:spacing w:after="0"/>
            </w:pPr>
            <w:r/>
            <w:r>
              <w:rPr>
                <w:rFonts w:ascii="Calibri" w:hAnsi="Calibri"/>
                <w:b/>
                <w:i w:val="0"/>
                <w:color w:val="FFFFFF"/>
                <w:sz w:val="14"/>
              </w:rPr>
              <w:t>Rule ref</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2.1.1</w:t>
            </w:r>
          </w:p>
        </w:tc>
        <w:tc>
          <w:tcPr>
            <w:tcW w:type="dxa" w:w="1123"/>
            <w:tcMar>
              <w:top w:w="60" w:type="dxa"/>
              <w:start w:w="110" w:type="dxa"/>
              <w:bottom w:w="60" w:type="dxa"/>
              <w:end w:w="110" w:type="dxa"/>
            </w:tcMar>
          </w:tcPr>
          <w:p>
            <w:pPr>
              <w:spacing w:after="0"/>
            </w:pPr>
            <w:r/>
            <w:r>
              <w:rPr>
                <w:rFonts w:ascii="Calibri" w:hAnsi="Calibri"/>
                <w:b w:val="0"/>
                <w:i w:val="0"/>
                <w:color w:val="101828"/>
                <w:sz w:val="14"/>
              </w:rPr>
              <w:t>Visitor</w:t>
            </w:r>
          </w:p>
        </w:tc>
        <w:tc>
          <w:tcPr>
            <w:tcW w:type="dxa" w:w="1123"/>
            <w:tcMar>
              <w:top w:w="60" w:type="dxa"/>
              <w:start w:w="110" w:type="dxa"/>
              <w:bottom w:w="60" w:type="dxa"/>
              <w:end w:w="110" w:type="dxa"/>
            </w:tcMar>
          </w:tcPr>
          <w:p>
            <w:pPr>
              <w:spacing w:after="0"/>
            </w:pPr>
            <w:r/>
            <w:r>
              <w:rPr>
                <w:rFonts w:ascii="Calibri" w:hAnsi="Calibri"/>
                <w:b w:val="0"/>
                <w:i w:val="0"/>
                <w:color w:val="101828"/>
                <w:sz w:val="14"/>
              </w:rPr>
              <w:t>SCR-MKT-01</w:t>
            </w:r>
          </w:p>
        </w:tc>
        <w:tc>
          <w:tcPr>
            <w:tcW w:type="dxa" w:w="2102"/>
            <w:tcMar>
              <w:top w:w="60" w:type="dxa"/>
              <w:start w:w="110" w:type="dxa"/>
              <w:bottom w:w="60" w:type="dxa"/>
              <w:end w:w="110" w:type="dxa"/>
            </w:tcMar>
          </w:tcPr>
          <w:p>
            <w:pPr>
              <w:spacing w:after="0"/>
            </w:pPr>
            <w:r/>
            <w:r>
              <w:rPr>
                <w:rFonts w:ascii="Calibri" w:hAnsi="Calibri"/>
                <w:b w:val="0"/>
                <w:i w:val="0"/>
                <w:color w:val="101828"/>
                <w:sz w:val="14"/>
              </w:rPr>
              <w:t xml:space="preserve">Lands on Home. Reads </w:t>
            </w:r>
            <w:r>
              <w:rPr>
                <w:rFonts w:ascii="Calibri" w:hAnsi="Calibri"/>
                <w:i/>
                <w:color w:val="101828"/>
                <w:sz w:val="14"/>
              </w:rPr>
              <w:t>Your Ajo. Your Story.</w:t>
            </w:r>
          </w:p>
        </w:tc>
        <w:tc>
          <w:tcPr>
            <w:tcW w:type="dxa" w:w="2880"/>
            <w:tcMar>
              <w:top w:w="60" w:type="dxa"/>
              <w:start w:w="110" w:type="dxa"/>
              <w:bottom w:w="60" w:type="dxa"/>
              <w:end w:w="110" w:type="dxa"/>
            </w:tcMar>
          </w:tcPr>
          <w:p>
            <w:pPr>
              <w:spacing w:after="0"/>
            </w:pPr>
            <w:r/>
            <w:r>
              <w:rPr>
                <w:rFonts w:ascii="Calibri" w:hAnsi="Calibri"/>
                <w:b w:val="0"/>
                <w:i w:val="0"/>
                <w:color w:val="101828"/>
                <w:sz w:val="14"/>
              </w:rPr>
              <w:t>No account exists and none is created. Analytics record page views with no personal identifier. Marketing surfaces carry no imperative to enter a payment detail.</w:t>
            </w:r>
          </w:p>
        </w:tc>
        <w:tc>
          <w:tcPr>
            <w:tcW w:type="dxa" w:w="1426"/>
            <w:tcMar>
              <w:top w:w="60" w:type="dxa"/>
              <w:start w:w="110" w:type="dxa"/>
              <w:bottom w:w="60" w:type="dxa"/>
              <w:end w:w="110" w:type="dxa"/>
            </w:tcMar>
          </w:tcPr>
          <w:p>
            <w:pPr>
              <w:spacing w:after="0"/>
            </w:pPr>
            <w:r/>
            <w:r>
              <w:rPr>
                <w:rFonts w:ascii="Calibri" w:hAnsi="Calibri"/>
                <w:b w:val="0"/>
                <w:i w:val="0"/>
                <w:color w:val="101828"/>
                <w:sz w:val="14"/>
              </w:rPr>
              <w:t>NFR-AVL-001; section 1.1</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2.1.2</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Visitor</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SCR-MKT-02 / 03 / 05</w:t>
            </w:r>
          </w:p>
        </w:tc>
        <w:tc>
          <w:tcPr>
            <w:tcW w:type="dxa" w:w="2102"/>
            <w:tcMar>
              <w:top w:w="60" w:type="dxa"/>
              <w:start w:w="110" w:type="dxa"/>
              <w:bottom w:w="60" w:type="dxa"/>
              <w:end w:w="110" w:type="dxa"/>
            </w:tcMar>
            <w:shd w:val="clear" w:color="auto" w:fill="F4F7FB"/>
          </w:tcPr>
          <w:p>
            <w:pPr>
              <w:spacing w:after="0"/>
            </w:pPr>
            <w:r/>
            <w:r>
              <w:rPr>
                <w:rFonts w:ascii="Calibri" w:hAnsi="Calibri"/>
                <w:b w:val="0"/>
                <w:i w:val="0"/>
                <w:color w:val="101828"/>
                <w:sz w:val="14"/>
              </w:rPr>
              <w:t>Reads How It Works, Features and Fees to understand the model.</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Fees page states the 2% fee in the canonical form: contribution NGN 1,000.00, fee NGN 20.00, total charged NGN 1,020.00, base pool received NGN 10,000.00. It states that an Ajo earns no interest and that no return is implied.</w:t>
            </w:r>
          </w:p>
        </w:tc>
        <w:tc>
          <w:tcPr>
            <w:tcW w:type="dxa" w:w="1426"/>
            <w:tcMar>
              <w:top w:w="60" w:type="dxa"/>
              <w:start w:w="110" w:type="dxa"/>
              <w:bottom w:w="60" w:type="dxa"/>
              <w:end w:w="110" w:type="dxa"/>
            </w:tcMar>
            <w:shd w:val="clear" w:color="auto" w:fill="F4F7FB"/>
          </w:tcPr>
          <w:p>
            <w:pPr>
              <w:spacing w:after="0"/>
            </w:pPr>
            <w:r/>
            <w:r>
              <w:rPr>
                <w:rFonts w:ascii="Calibri" w:hAnsi="Calibri"/>
                <w:b w:val="0"/>
                <w:i w:val="0"/>
                <w:color w:val="101828"/>
                <w:sz w:val="14"/>
              </w:rPr>
              <w:t>BR-010, BR-012, BR-027, G3</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2.1.3</w:t>
            </w:r>
          </w:p>
        </w:tc>
        <w:tc>
          <w:tcPr>
            <w:tcW w:type="dxa" w:w="1123"/>
            <w:tcMar>
              <w:top w:w="60" w:type="dxa"/>
              <w:start w:w="110" w:type="dxa"/>
              <w:bottom w:w="60" w:type="dxa"/>
              <w:end w:w="110" w:type="dxa"/>
            </w:tcMar>
          </w:tcPr>
          <w:p>
            <w:pPr>
              <w:spacing w:after="0"/>
            </w:pPr>
            <w:r/>
            <w:r>
              <w:rPr>
                <w:rFonts w:ascii="Calibri" w:hAnsi="Calibri"/>
                <w:b w:val="0"/>
                <w:i w:val="0"/>
                <w:color w:val="101828"/>
                <w:sz w:val="14"/>
              </w:rPr>
              <w:t>Visitor</w:t>
            </w:r>
          </w:p>
        </w:tc>
        <w:tc>
          <w:tcPr>
            <w:tcW w:type="dxa" w:w="1123"/>
            <w:tcMar>
              <w:top w:w="60" w:type="dxa"/>
              <w:start w:w="110" w:type="dxa"/>
              <w:bottom w:w="60" w:type="dxa"/>
              <w:end w:w="110" w:type="dxa"/>
            </w:tcMar>
          </w:tcPr>
          <w:p>
            <w:pPr>
              <w:spacing w:after="0"/>
            </w:pPr>
            <w:r/>
            <w:r>
              <w:rPr>
                <w:rFonts w:ascii="Calibri" w:hAnsi="Calibri"/>
                <w:b w:val="0"/>
                <w:i w:val="0"/>
                <w:color w:val="101828"/>
                <w:sz w:val="14"/>
              </w:rPr>
              <w:t>SCR-MKT-10</w:t>
            </w:r>
          </w:p>
        </w:tc>
        <w:tc>
          <w:tcPr>
            <w:tcW w:type="dxa" w:w="2102"/>
            <w:tcMar>
              <w:top w:w="60" w:type="dxa"/>
              <w:start w:w="110" w:type="dxa"/>
              <w:bottom w:w="60" w:type="dxa"/>
              <w:end w:w="110" w:type="dxa"/>
            </w:tcMar>
          </w:tcPr>
          <w:p>
            <w:pPr>
              <w:spacing w:after="0"/>
            </w:pPr>
            <w:r/>
            <w:r>
              <w:rPr>
                <w:rFonts w:ascii="Calibri" w:hAnsi="Calibri"/>
                <w:b w:val="0"/>
                <w:i w:val="0"/>
                <w:color w:val="101828"/>
                <w:sz w:val="14"/>
              </w:rPr>
              <w:t>Opens Register and submits full name, email, phone in E.164 form, password of at least 10 characters, and state of residence.</w:t>
            </w:r>
          </w:p>
        </w:tc>
        <w:tc>
          <w:tcPr>
            <w:tcW w:type="dxa" w:w="2880"/>
            <w:tcMar>
              <w:top w:w="60" w:type="dxa"/>
              <w:start w:w="110" w:type="dxa"/>
              <w:bottom w:w="60" w:type="dxa"/>
              <w:end w:w="110" w:type="dxa"/>
            </w:tcMar>
          </w:tcPr>
          <w:p>
            <w:pPr>
              <w:spacing w:after="0"/>
            </w:pPr>
            <w:r/>
            <w:r>
              <w:rPr>
                <w:rFonts w:ascii="Consolas" w:hAnsi="Consolas"/>
                <w:color w:val="146EF5"/>
                <w:sz w:val="14"/>
              </w:rPr>
              <w:t>POST /auth/register</w:t>
            </w:r>
            <w:r>
              <w:rPr>
                <w:rFonts w:ascii="Calibri" w:hAnsi="Calibri"/>
                <w:b w:val="0"/>
                <w:i w:val="0"/>
                <w:color w:val="101828"/>
                <w:sz w:val="14"/>
              </w:rPr>
              <w:t xml:space="preserve">. Account created with status </w:t>
            </w:r>
            <w:r>
              <w:rPr>
                <w:rFonts w:ascii="Consolas" w:hAnsi="Consolas"/>
                <w:color w:val="146EF5"/>
                <w:sz w:val="14"/>
              </w:rPr>
              <w:t>unverified</w:t>
            </w:r>
            <w:r>
              <w:rPr>
                <w:rFonts w:ascii="Calibri" w:hAnsi="Calibri"/>
                <w:b w:val="0"/>
                <w:i w:val="0"/>
                <w:color w:val="101828"/>
                <w:sz w:val="14"/>
              </w:rPr>
              <w:t xml:space="preserve"> and the single default role </w:t>
            </w:r>
            <w:r>
              <w:rPr>
                <w:rFonts w:ascii="Consolas" w:hAnsi="Consolas"/>
                <w:color w:val="146EF5"/>
                <w:sz w:val="14"/>
              </w:rPr>
              <w:t>user</w:t>
            </w:r>
            <w:r>
              <w:rPr>
                <w:rFonts w:ascii="Calibri" w:hAnsi="Calibri"/>
                <w:b w:val="0"/>
                <w:i w:val="0"/>
                <w:color w:val="101828"/>
                <w:sz w:val="14"/>
              </w:rPr>
              <w:t xml:space="preserve"> assigned. Raw identifiers are not stored beyond what the account requires. Response is byte-identical whether or not the email or phone already exists.</w:t>
            </w:r>
          </w:p>
        </w:tc>
        <w:tc>
          <w:tcPr>
            <w:tcW w:type="dxa" w:w="1426"/>
            <w:tcMar>
              <w:top w:w="60" w:type="dxa"/>
              <w:start w:w="110" w:type="dxa"/>
              <w:bottom w:w="60" w:type="dxa"/>
              <w:end w:w="110" w:type="dxa"/>
            </w:tcMar>
          </w:tcPr>
          <w:p>
            <w:pPr>
              <w:spacing w:after="0"/>
            </w:pPr>
            <w:r/>
            <w:r>
              <w:rPr>
                <w:rFonts w:ascii="Calibri" w:hAnsi="Calibri"/>
                <w:b w:val="0"/>
                <w:i w:val="0"/>
                <w:color w:val="101828"/>
                <w:sz w:val="14"/>
              </w:rPr>
              <w:t>FR-AUTH-001, FR-AUTH-002, BR-030, US-01, US-03, NFR-SEC-002, NFR-SEC-003</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2.1.4</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AJO.ng</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2102"/>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Dispatches </w:t>
            </w:r>
            <w:r>
              <w:rPr>
                <w:rFonts w:ascii="Consolas" w:hAnsi="Consolas"/>
                <w:color w:val="146EF5"/>
                <w:sz w:val="14"/>
              </w:rPr>
              <w:t>account.registered</w:t>
            </w:r>
            <w:r>
              <w:rPr>
                <w:rFonts w:ascii="Calibri" w:hAnsi="Calibri"/>
                <w:b w:val="0"/>
                <w:i w:val="0"/>
                <w:color w:val="101828"/>
                <w:sz w:val="14"/>
              </w:rPr>
              <w:t>.</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Push and email dispatched within 60 seconds at p99. No SMS, because this is not a money-critical or security event. Dispatch failure does not block registration.</w:t>
            </w:r>
          </w:p>
        </w:tc>
        <w:tc>
          <w:tcPr>
            <w:tcW w:type="dxa" w:w="1426"/>
            <w:tcMar>
              <w:top w:w="60" w:type="dxa"/>
              <w:start w:w="110" w:type="dxa"/>
              <w:bottom w:w="60" w:type="dxa"/>
              <w:end w:w="110" w:type="dxa"/>
            </w:tcMar>
            <w:shd w:val="clear" w:color="auto" w:fill="F4F7FB"/>
          </w:tcPr>
          <w:p>
            <w:pPr>
              <w:spacing w:after="0"/>
            </w:pPr>
            <w:r/>
            <w:r>
              <w:rPr>
                <w:rFonts w:ascii="Calibri" w:hAnsi="Calibri"/>
                <w:b w:val="0"/>
                <w:i w:val="0"/>
                <w:color w:val="101828"/>
                <w:sz w:val="14"/>
              </w:rPr>
              <w:t>CAN §8, FR-NOTIF-001, NFR-PERF-002, FR-NOTIF-003</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2.1.5</w:t>
            </w:r>
          </w:p>
        </w:tc>
        <w:tc>
          <w:tcPr>
            <w:tcW w:type="dxa" w:w="1123"/>
            <w:tcMar>
              <w:top w:w="60" w:type="dxa"/>
              <w:start w:w="110" w:type="dxa"/>
              <w:bottom w:w="60" w:type="dxa"/>
              <w:end w:w="110" w:type="dxa"/>
            </w:tcMar>
          </w:tcPr>
          <w:p>
            <w:pPr>
              <w:spacing w:after="0"/>
            </w:pPr>
            <w:r/>
            <w:r>
              <w:rPr>
                <w:rFonts w:ascii="Calibri" w:hAnsi="Calibri"/>
                <w:b w:val="0"/>
                <w:i w:val="0"/>
                <w:color w:val="101828"/>
                <w:sz w:val="14"/>
              </w:rPr>
              <w:t>New user</w:t>
            </w:r>
          </w:p>
        </w:tc>
        <w:tc>
          <w:tcPr>
            <w:tcW w:type="dxa" w:w="1123"/>
            <w:tcMar>
              <w:top w:w="60" w:type="dxa"/>
              <w:start w:w="110" w:type="dxa"/>
              <w:bottom w:w="60" w:type="dxa"/>
              <w:end w:w="110" w:type="dxa"/>
            </w:tcMar>
          </w:tcPr>
          <w:p>
            <w:pPr>
              <w:spacing w:after="0"/>
            </w:pPr>
            <w:r/>
            <w:r>
              <w:rPr>
                <w:rFonts w:ascii="Calibri" w:hAnsi="Calibri"/>
                <w:b w:val="0"/>
                <w:i w:val="0"/>
                <w:color w:val="101828"/>
                <w:sz w:val="14"/>
              </w:rPr>
              <w:t>SCR-APP-15</w:t>
            </w:r>
          </w:p>
        </w:tc>
        <w:tc>
          <w:tcPr>
            <w:tcW w:type="dxa" w:w="2102"/>
            <w:tcMar>
              <w:top w:w="60" w:type="dxa"/>
              <w:start w:w="110" w:type="dxa"/>
              <w:bottom w:w="60" w:type="dxa"/>
              <w:end w:w="110" w:type="dxa"/>
            </w:tcMar>
          </w:tcPr>
          <w:p>
            <w:pPr>
              <w:spacing w:after="0"/>
            </w:pPr>
            <w:r/>
            <w:r>
              <w:rPr>
                <w:rFonts w:ascii="Calibri" w:hAnsi="Calibri"/>
                <w:b w:val="0"/>
                <w:i w:val="0"/>
                <w:color w:val="101828"/>
                <w:sz w:val="14"/>
              </w:rPr>
              <w:t>Opens the verification prompt the app shows as its single next action and clicks the link in the email.</w:t>
            </w:r>
          </w:p>
        </w:tc>
        <w:tc>
          <w:tcPr>
            <w:tcW w:type="dxa" w:w="2880"/>
            <w:tcMar>
              <w:top w:w="60" w:type="dxa"/>
              <w:start w:w="110" w:type="dxa"/>
              <w:bottom w:w="60" w:type="dxa"/>
              <w:end w:w="110" w:type="dxa"/>
            </w:tcMar>
          </w:tcPr>
          <w:p>
            <w:pPr>
              <w:spacing w:after="0"/>
            </w:pPr>
            <w:r/>
            <w:r>
              <w:rPr>
                <w:rFonts w:ascii="Consolas" w:hAnsi="Consolas"/>
                <w:color w:val="146EF5"/>
                <w:sz w:val="14"/>
              </w:rPr>
              <w:t>GET /auth/verify-email</w:t>
            </w:r>
            <w:r>
              <w:rPr>
                <w:rFonts w:ascii="Calibri" w:hAnsi="Calibri"/>
                <w:b w:val="0"/>
                <w:i w:val="0"/>
                <w:color w:val="101828"/>
                <w:sz w:val="14"/>
              </w:rPr>
              <w:t xml:space="preserve"> with a single-use, expiring token. Email moves to </w:t>
            </w:r>
            <w:r>
              <w:rPr>
                <w:rFonts w:ascii="Consolas" w:hAnsi="Consolas"/>
                <w:color w:val="146EF5"/>
                <w:sz w:val="14"/>
              </w:rPr>
              <w:t>verified</w:t>
            </w:r>
            <w:r>
              <w:rPr>
                <w:rFonts w:ascii="Calibri" w:hAnsi="Calibri"/>
                <w:b w:val="0"/>
                <w:i w:val="0"/>
                <w:color w:val="101828"/>
                <w:sz w:val="14"/>
              </w:rPr>
              <w:t>. A replayed link returns the same success page and changes nothing.</w:t>
            </w:r>
          </w:p>
        </w:tc>
        <w:tc>
          <w:tcPr>
            <w:tcW w:type="dxa" w:w="1426"/>
            <w:tcMar>
              <w:top w:w="60" w:type="dxa"/>
              <w:start w:w="110" w:type="dxa"/>
              <w:bottom w:w="60" w:type="dxa"/>
              <w:end w:w="110" w:type="dxa"/>
            </w:tcMar>
          </w:tcPr>
          <w:p>
            <w:pPr>
              <w:spacing w:after="0"/>
            </w:pPr>
            <w:r/>
            <w:r>
              <w:rPr>
                <w:rFonts w:ascii="Calibri" w:hAnsi="Calibri"/>
                <w:b w:val="0"/>
                <w:i w:val="0"/>
                <w:color w:val="101828"/>
                <w:sz w:val="14"/>
              </w:rPr>
              <w:t>FR-AUTH-003, US-01, NFR-SEC-008</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2.1.6</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New user</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SCR-APP-15</w:t>
            </w:r>
          </w:p>
        </w:tc>
        <w:tc>
          <w:tcPr>
            <w:tcW w:type="dxa" w:w="2102"/>
            <w:tcMar>
              <w:top w:w="60" w:type="dxa"/>
              <w:start w:w="110" w:type="dxa"/>
              <w:bottom w:w="60" w:type="dxa"/>
              <w:end w:w="110" w:type="dxa"/>
            </w:tcMar>
            <w:shd w:val="clear" w:color="auto" w:fill="F4F7FB"/>
          </w:tcPr>
          <w:p>
            <w:pPr>
              <w:spacing w:after="0"/>
            </w:pPr>
            <w:r/>
            <w:r>
              <w:rPr>
                <w:rFonts w:ascii="Calibri" w:hAnsi="Calibri"/>
                <w:b w:val="0"/>
                <w:i w:val="0"/>
                <w:color w:val="101828"/>
                <w:sz w:val="14"/>
              </w:rPr>
              <w:t>Requests and enters the phone OTP.</w:t>
            </w:r>
          </w:p>
        </w:tc>
        <w:tc>
          <w:tcPr>
            <w:tcW w:type="dxa" w:w="2880"/>
            <w:tcMar>
              <w:top w:w="60" w:type="dxa"/>
              <w:start w:w="110" w:type="dxa"/>
              <w:bottom w:w="60" w:type="dxa"/>
              <w:end w:w="110" w:type="dxa"/>
            </w:tcMar>
            <w:shd w:val="clear" w:color="auto" w:fill="F4F7FB"/>
          </w:tcPr>
          <w:p>
            <w:pPr>
              <w:spacing w:after="0"/>
            </w:pPr>
            <w:r/>
            <w:r>
              <w:rPr>
                <w:rFonts w:ascii="Consolas" w:hAnsi="Consolas"/>
                <w:color w:val="146EF5"/>
                <w:sz w:val="14"/>
              </w:rPr>
              <w:t>POST /auth/otp/request</w:t>
            </w:r>
            <w:r>
              <w:rPr>
                <w:rFonts w:ascii="Calibri" w:hAnsi="Calibri"/>
                <w:b w:val="0"/>
                <w:i w:val="0"/>
                <w:color w:val="101828"/>
                <w:sz w:val="14"/>
              </w:rPr>
              <w:t xml:space="preserve"> then </w:t>
            </w:r>
            <w:r>
              <w:rPr>
                <w:rFonts w:ascii="Consolas" w:hAnsi="Consolas"/>
                <w:color w:val="146EF5"/>
                <w:sz w:val="14"/>
              </w:rPr>
              <w:t>POST /auth/otp/verify</w:t>
            </w:r>
            <w:r>
              <w:rPr>
                <w:rFonts w:ascii="Calibri" w:hAnsi="Calibri"/>
                <w:b w:val="0"/>
                <w:i w:val="0"/>
                <w:color w:val="101828"/>
                <w:sz w:val="14"/>
              </w:rPr>
              <w:t xml:space="preserve">. OTP is 6 digits, expires after 5 minutes, is limited to 5 attempts, and the endpoint is rate limited with exponential backoff. Phone moves to </w:t>
            </w:r>
            <w:r>
              <w:rPr>
                <w:rFonts w:ascii="Consolas" w:hAnsi="Consolas"/>
                <w:color w:val="146EF5"/>
                <w:sz w:val="14"/>
              </w:rPr>
              <w:t>verified</w:t>
            </w:r>
            <w:r>
              <w:rPr>
                <w:rFonts w:ascii="Calibri" w:hAnsi="Calibri"/>
                <w:b w:val="0"/>
                <w:i w:val="0"/>
                <w:color w:val="101828"/>
                <w:sz w:val="14"/>
              </w:rPr>
              <w:t>.</w:t>
            </w:r>
          </w:p>
        </w:tc>
        <w:tc>
          <w:tcPr>
            <w:tcW w:type="dxa" w:w="1426"/>
            <w:tcMar>
              <w:top w:w="60" w:type="dxa"/>
              <w:start w:w="110" w:type="dxa"/>
              <w:bottom w:w="60" w:type="dxa"/>
              <w:end w:w="110" w:type="dxa"/>
            </w:tcMar>
            <w:shd w:val="clear" w:color="auto" w:fill="F4F7FB"/>
          </w:tcPr>
          <w:p>
            <w:pPr>
              <w:spacing w:after="0"/>
            </w:pPr>
            <w:r/>
            <w:r>
              <w:rPr>
                <w:rFonts w:ascii="Calibri" w:hAnsi="Calibri"/>
                <w:b w:val="0"/>
                <w:i w:val="0"/>
                <w:color w:val="101828"/>
                <w:sz w:val="14"/>
              </w:rPr>
              <w:t>FR-AUTH-004, FR-AUTH-005, NFR-SEC-004, US-01</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2.1.7</w:t>
            </w:r>
          </w:p>
        </w:tc>
        <w:tc>
          <w:tcPr>
            <w:tcW w:type="dxa" w:w="1123"/>
            <w:tcMar>
              <w:top w:w="60" w:type="dxa"/>
              <w:start w:w="110" w:type="dxa"/>
              <w:bottom w:w="60" w:type="dxa"/>
              <w:end w:w="110" w:type="dxa"/>
            </w:tcMar>
          </w:tcPr>
          <w:p>
            <w:pPr>
              <w:spacing w:after="0"/>
            </w:pPr>
            <w:r/>
            <w:r>
              <w:rPr>
                <w:rFonts w:ascii="Calibri" w:hAnsi="Calibri"/>
                <w:b w:val="0"/>
                <w:i w:val="0"/>
                <w:color w:val="101828"/>
                <w:sz w:val="14"/>
              </w:rPr>
              <w:t>New user</w:t>
            </w:r>
          </w:p>
        </w:tc>
        <w:tc>
          <w:tcPr>
            <w:tcW w:type="dxa" w:w="1123"/>
            <w:tcMar>
              <w:top w:w="60" w:type="dxa"/>
              <w:start w:w="110" w:type="dxa"/>
              <w:bottom w:w="60" w:type="dxa"/>
              <w:end w:w="110" w:type="dxa"/>
            </w:tcMar>
          </w:tcPr>
          <w:p>
            <w:pPr>
              <w:spacing w:after="0"/>
            </w:pPr>
            <w:r/>
            <w:r>
              <w:rPr>
                <w:rFonts w:ascii="Calibri" w:hAnsi="Calibri"/>
                <w:b w:val="0"/>
                <w:i w:val="0"/>
                <w:color w:val="101828"/>
                <w:sz w:val="14"/>
              </w:rPr>
              <w:t>SCR-APP-15</w:t>
            </w:r>
          </w:p>
        </w:tc>
        <w:tc>
          <w:tcPr>
            <w:tcW w:type="dxa" w:w="2102"/>
            <w:tcMar>
              <w:top w:w="60" w:type="dxa"/>
              <w:start w:w="110" w:type="dxa"/>
              <w:bottom w:w="60" w:type="dxa"/>
              <w:end w:w="110" w:type="dxa"/>
            </w:tcMar>
          </w:tcPr>
          <w:p>
            <w:pPr>
              <w:spacing w:after="0"/>
            </w:pPr>
            <w:r/>
            <w:r>
              <w:rPr>
                <w:rFonts w:ascii="Calibri" w:hAnsi="Calibri"/>
                <w:b w:val="0"/>
                <w:i w:val="0"/>
                <w:color w:val="101828"/>
                <w:sz w:val="14"/>
              </w:rPr>
              <w:t>Completes the profile: display name, occupation, city, and an optional avatar.</w:t>
            </w:r>
          </w:p>
        </w:tc>
        <w:tc>
          <w:tcPr>
            <w:tcW w:type="dxa" w:w="2880"/>
            <w:tcMar>
              <w:top w:w="60" w:type="dxa"/>
              <w:start w:w="110" w:type="dxa"/>
              <w:bottom w:w="60" w:type="dxa"/>
              <w:end w:w="110" w:type="dxa"/>
            </w:tcMar>
          </w:tcPr>
          <w:p>
            <w:pPr>
              <w:spacing w:after="0"/>
            </w:pPr>
            <w:r/>
            <w:r>
              <w:rPr>
                <w:rFonts w:ascii="Consolas" w:hAnsi="Consolas"/>
                <w:color w:val="146EF5"/>
                <w:sz w:val="14"/>
              </w:rPr>
              <w:t>PATCH /profile</w:t>
            </w:r>
            <w:r>
              <w:rPr>
                <w:rFonts w:ascii="Calibri" w:hAnsi="Calibri"/>
                <w:b w:val="0"/>
                <w:i w:val="0"/>
                <w:color w:val="101828"/>
                <w:sz w:val="14"/>
              </w:rPr>
              <w:t xml:space="preserve"> and </w:t>
            </w:r>
            <w:r>
              <w:rPr>
                <w:rFonts w:ascii="Consolas" w:hAnsi="Consolas"/>
                <w:color w:val="146EF5"/>
                <w:sz w:val="14"/>
              </w:rPr>
              <w:t>POST /profile/avatar</w:t>
            </w:r>
            <w:r>
              <w:rPr>
                <w:rFonts w:ascii="Calibri" w:hAnsi="Calibri"/>
                <w:b w:val="0"/>
                <w:i w:val="0"/>
                <w:color w:val="101828"/>
                <w:sz w:val="14"/>
              </w:rPr>
              <w:t>. Avatar is validated for type, size and content server-side and re-encoded before storage. Profile is not public to other members; members see only what the Ajo terms require.</w:t>
            </w:r>
          </w:p>
        </w:tc>
        <w:tc>
          <w:tcPr>
            <w:tcW w:type="dxa" w:w="1426"/>
            <w:tcMar>
              <w:top w:w="60" w:type="dxa"/>
              <w:start w:w="110" w:type="dxa"/>
              <w:bottom w:w="60" w:type="dxa"/>
              <w:end w:w="110" w:type="dxa"/>
            </w:tcMar>
          </w:tcPr>
          <w:p>
            <w:pPr>
              <w:spacing w:after="0"/>
            </w:pPr>
            <w:r/>
            <w:r>
              <w:rPr>
                <w:rFonts w:ascii="Calibri" w:hAnsi="Calibri"/>
                <w:b w:val="0"/>
                <w:i w:val="0"/>
                <w:color w:val="101828"/>
                <w:sz w:val="14"/>
              </w:rPr>
              <w:t>FR-PROF-001 to FR-PROF-003, NFR-SEC-006</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2.1.8</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New user</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SCR-APP-19</w:t>
            </w:r>
          </w:p>
        </w:tc>
        <w:tc>
          <w:tcPr>
            <w:tcW w:type="dxa" w:w="2102"/>
            <w:tcMar>
              <w:top w:w="60" w:type="dxa"/>
              <w:start w:w="110" w:type="dxa"/>
              <w:bottom w:w="60" w:type="dxa"/>
              <w:end w:w="110" w:type="dxa"/>
            </w:tcMar>
            <w:shd w:val="clear" w:color="auto" w:fill="F4F7FB"/>
          </w:tcPr>
          <w:p>
            <w:pPr>
              <w:spacing w:after="0"/>
            </w:pPr>
            <w:r/>
            <w:r>
              <w:rPr>
                <w:rFonts w:ascii="Calibri" w:hAnsi="Calibri"/>
                <w:b w:val="0"/>
                <w:i w:val="0"/>
                <w:color w:val="101828"/>
                <w:sz w:val="14"/>
              </w:rPr>
              <w:t>Starts identity verification. Submits the BVN check, and a CAC check where the member is a business.</w:t>
            </w:r>
          </w:p>
        </w:tc>
        <w:tc>
          <w:tcPr>
            <w:tcW w:type="dxa" w:w="2880"/>
            <w:tcMar>
              <w:top w:w="60" w:type="dxa"/>
              <w:start w:w="110" w:type="dxa"/>
              <w:bottom w:w="60" w:type="dxa"/>
              <w:end w:w="110" w:type="dxa"/>
            </w:tcMar>
            <w:shd w:val="clear" w:color="auto" w:fill="F4F7FB"/>
          </w:tcPr>
          <w:p>
            <w:pPr>
              <w:spacing w:after="0"/>
            </w:pPr>
            <w:r/>
            <w:r>
              <w:rPr>
                <w:rFonts w:ascii="Consolas" w:hAnsi="Consolas"/>
                <w:color w:val="146EF5"/>
                <w:sz w:val="14"/>
              </w:rPr>
              <w:t>POST /verification/identity</w:t>
            </w:r>
            <w:r>
              <w:rPr>
                <w:rFonts w:ascii="Calibri" w:hAnsi="Calibri"/>
                <w:b w:val="0"/>
                <w:i w:val="0"/>
                <w:color w:val="101828"/>
                <w:sz w:val="14"/>
              </w:rPr>
              <w:t xml:space="preserve"> and </w:t>
            </w:r>
            <w:r>
              <w:rPr>
                <w:rFonts w:ascii="Consolas" w:hAnsi="Consolas"/>
                <w:color w:val="146EF5"/>
                <w:sz w:val="14"/>
              </w:rPr>
              <w:t>POST /verification/bvn</w:t>
            </w:r>
            <w:r>
              <w:rPr>
                <w:rFonts w:ascii="Calibri" w:hAnsi="Calibri"/>
                <w:b w:val="0"/>
                <w:i w:val="0"/>
                <w:color w:val="101828"/>
                <w:sz w:val="14"/>
              </w:rPr>
              <w:t xml:space="preserve">, then </w:t>
            </w:r>
            <w:r>
              <w:rPr>
                <w:rFonts w:ascii="Consolas" w:hAnsi="Consolas"/>
                <w:color w:val="146EF5"/>
                <w:sz w:val="14"/>
              </w:rPr>
              <w:t>GET /verification/:id</w:t>
            </w:r>
            <w:r>
              <w:rPr>
                <w:rFonts w:ascii="Calibri" w:hAnsi="Calibri"/>
                <w:b w:val="0"/>
                <w:i w:val="0"/>
                <w:color w:val="101828"/>
                <w:sz w:val="14"/>
              </w:rPr>
              <w:t>. Only the result, the timestamp and the provider reference are stored. The raw BVN is never persisted, never logged and never returned.</w:t>
            </w:r>
          </w:p>
        </w:tc>
        <w:tc>
          <w:tcPr>
            <w:tcW w:type="dxa" w:w="1426"/>
            <w:tcMar>
              <w:top w:w="60" w:type="dxa"/>
              <w:start w:w="110" w:type="dxa"/>
              <w:bottom w:w="60" w:type="dxa"/>
              <w:end w:w="110" w:type="dxa"/>
            </w:tcMar>
            <w:shd w:val="clear" w:color="auto" w:fill="F4F7FB"/>
          </w:tcPr>
          <w:p>
            <w:pPr>
              <w:spacing w:after="0"/>
            </w:pPr>
            <w:r/>
            <w:r>
              <w:rPr>
                <w:rFonts w:ascii="Calibri" w:hAnsi="Calibri"/>
                <w:b w:val="0"/>
                <w:i w:val="0"/>
                <w:color w:val="101828"/>
                <w:sz w:val="14"/>
              </w:rPr>
              <w:t>FR-KYC-001, FR-KYC-002, US-06, R10, NFR-AUD-002</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2.1.9</w:t>
            </w:r>
          </w:p>
        </w:tc>
        <w:tc>
          <w:tcPr>
            <w:tcW w:type="dxa" w:w="1123"/>
            <w:tcMar>
              <w:top w:w="60" w:type="dxa"/>
              <w:start w:w="110" w:type="dxa"/>
              <w:bottom w:w="60" w:type="dxa"/>
              <w:end w:w="110" w:type="dxa"/>
            </w:tcMar>
          </w:tcPr>
          <w:p>
            <w:pPr>
              <w:spacing w:after="0"/>
            </w:pPr>
            <w:r/>
            <w:r>
              <w:rPr>
                <w:rFonts w:ascii="Calibri" w:hAnsi="Calibri"/>
                <w:b w:val="0"/>
                <w:i w:val="0"/>
                <w:color w:val="101828"/>
                <w:sz w:val="14"/>
              </w:rPr>
              <w:t>New user</w:t>
            </w:r>
          </w:p>
        </w:tc>
        <w:tc>
          <w:tcPr>
            <w:tcW w:type="dxa" w:w="1123"/>
            <w:tcMar>
              <w:top w:w="60" w:type="dxa"/>
              <w:start w:w="110" w:type="dxa"/>
              <w:bottom w:w="60" w:type="dxa"/>
              <w:end w:w="110" w:type="dxa"/>
            </w:tcMar>
          </w:tcPr>
          <w:p>
            <w:pPr>
              <w:spacing w:after="0"/>
            </w:pPr>
            <w:r/>
            <w:r>
              <w:rPr>
                <w:rFonts w:ascii="Calibri" w:hAnsi="Calibri"/>
                <w:b w:val="0"/>
                <w:i w:val="0"/>
                <w:color w:val="101828"/>
                <w:sz w:val="14"/>
              </w:rPr>
              <w:t>SCR-APP-19</w:t>
            </w:r>
          </w:p>
        </w:tc>
        <w:tc>
          <w:tcPr>
            <w:tcW w:type="dxa" w:w="2102"/>
            <w:tcMar>
              <w:top w:w="60" w:type="dxa"/>
              <w:start w:w="110" w:type="dxa"/>
              <w:bottom w:w="60" w:type="dxa"/>
              <w:end w:w="110" w:type="dxa"/>
            </w:tcMar>
          </w:tcPr>
          <w:p>
            <w:pPr>
              <w:spacing w:after="0"/>
            </w:pPr>
            <w:r/>
            <w:r>
              <w:rPr>
                <w:rFonts w:ascii="Calibri" w:hAnsi="Calibri"/>
                <w:b w:val="0"/>
                <w:i w:val="0"/>
                <w:color w:val="101828"/>
                <w:sz w:val="14"/>
              </w:rPr>
              <w:t>Receives the outcome and completes KYC.</w:t>
            </w:r>
          </w:p>
        </w:tc>
        <w:tc>
          <w:tcPr>
            <w:tcW w:type="dxa" w:w="2880"/>
            <w:tcMar>
              <w:top w:w="60" w:type="dxa"/>
              <w:start w:w="110" w:type="dxa"/>
              <w:bottom w:w="60" w:type="dxa"/>
              <w:end w:w="110" w:type="dxa"/>
            </w:tcMar>
          </w:tcPr>
          <w:p>
            <w:pPr>
              <w:spacing w:after="0"/>
            </w:pPr>
            <w:r/>
            <w:r>
              <w:rPr>
                <w:rFonts w:ascii="Calibri" w:hAnsi="Calibri"/>
                <w:b w:val="0"/>
                <w:i w:val="0"/>
                <w:color w:val="101828"/>
                <w:sz w:val="14"/>
              </w:rPr>
              <w:t xml:space="preserve">On approval, </w:t>
            </w:r>
            <w:r>
              <w:rPr>
                <w:rFonts w:ascii="Consolas" w:hAnsi="Consolas"/>
                <w:color w:val="146EF5"/>
                <w:sz w:val="14"/>
              </w:rPr>
              <w:t>verification.approved</w:t>
            </w:r>
            <w:r>
              <w:rPr>
                <w:rFonts w:ascii="Calibri" w:hAnsi="Calibri"/>
                <w:b w:val="0"/>
                <w:i w:val="0"/>
                <w:color w:val="101828"/>
                <w:sz w:val="14"/>
              </w:rPr>
              <w:t xml:space="preserve"> is sent on push and email. On failure the flow branches to 2.14. KYC rejection never leaves the user on a blank screen; it always names the next action.</w:t>
            </w:r>
          </w:p>
        </w:tc>
        <w:tc>
          <w:tcPr>
            <w:tcW w:type="dxa" w:w="1426"/>
            <w:tcMar>
              <w:top w:w="60" w:type="dxa"/>
              <w:start w:w="110" w:type="dxa"/>
              <w:bottom w:w="60" w:type="dxa"/>
              <w:end w:w="110" w:type="dxa"/>
            </w:tcMar>
          </w:tcPr>
          <w:p>
            <w:pPr>
              <w:spacing w:after="0"/>
            </w:pPr>
            <w:r/>
            <w:r>
              <w:rPr>
                <w:rFonts w:ascii="Calibri" w:hAnsi="Calibri"/>
                <w:b w:val="0"/>
                <w:i w:val="0"/>
                <w:color w:val="101828"/>
                <w:sz w:val="14"/>
              </w:rPr>
              <w:t>CAN §8, US-02, K-21</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2.1.10</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New user</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SCR-APP-01</w:t>
            </w:r>
          </w:p>
        </w:tc>
        <w:tc>
          <w:tcPr>
            <w:tcW w:type="dxa" w:w="2102"/>
            <w:tcMar>
              <w:top w:w="60" w:type="dxa"/>
              <w:start w:w="110" w:type="dxa"/>
              <w:bottom w:w="60" w:type="dxa"/>
              <w:end w:w="110" w:type="dxa"/>
            </w:tcMar>
            <w:shd w:val="clear" w:color="auto" w:fill="F4F7FB"/>
          </w:tcPr>
          <w:p>
            <w:pPr>
              <w:spacing w:after="0"/>
            </w:pPr>
            <w:r/>
            <w:r>
              <w:rPr>
                <w:rFonts w:ascii="Calibri" w:hAnsi="Calibri"/>
                <w:b w:val="0"/>
                <w:i w:val="0"/>
                <w:color w:val="101828"/>
                <w:sz w:val="14"/>
              </w:rPr>
              <w:t>Lands on the dashboard.</w:t>
            </w:r>
          </w:p>
        </w:tc>
        <w:tc>
          <w:tcPr>
            <w:tcW w:type="dxa" w:w="2880"/>
            <w:tcMar>
              <w:top w:w="60" w:type="dxa"/>
              <w:start w:w="110" w:type="dxa"/>
              <w:bottom w:w="60" w:type="dxa"/>
              <w:end w:w="110" w:type="dxa"/>
            </w:tcMar>
            <w:shd w:val="clear" w:color="auto" w:fill="F4F7FB"/>
          </w:tcPr>
          <w:p>
            <w:pPr>
              <w:spacing w:after="0"/>
            </w:pPr>
            <w:r/>
            <w:r>
              <w:rPr>
                <w:rFonts w:ascii="Consolas" w:hAnsi="Consolas"/>
                <w:color w:val="146EF5"/>
                <w:sz w:val="14"/>
              </w:rPr>
              <w:t>GET /ajos</w:t>
            </w:r>
            <w:r>
              <w:rPr>
                <w:rFonts w:ascii="Calibri" w:hAnsi="Calibri"/>
                <w:b w:val="0"/>
                <w:i w:val="0"/>
                <w:color w:val="101828"/>
                <w:sz w:val="14"/>
              </w:rPr>
              <w:t xml:space="preserve">, </w:t>
            </w:r>
            <w:r>
              <w:rPr>
                <w:rFonts w:ascii="Consolas" w:hAnsi="Consolas"/>
                <w:color w:val="146EF5"/>
                <w:sz w:val="14"/>
              </w:rPr>
              <w:t>GET /contributions</w:t>
            </w:r>
            <w:r>
              <w:rPr>
                <w:rFonts w:ascii="Calibri" w:hAnsi="Calibri"/>
                <w:b w:val="0"/>
                <w:i w:val="0"/>
                <w:color w:val="101828"/>
                <w:sz w:val="14"/>
              </w:rPr>
              <w:t xml:space="preserve">, </w:t>
            </w:r>
            <w:r>
              <w:rPr>
                <w:rFonts w:ascii="Consolas" w:hAnsi="Consolas"/>
                <w:color w:val="146EF5"/>
                <w:sz w:val="14"/>
              </w:rPr>
              <w:t>GET /payouts</w:t>
            </w:r>
            <w:r>
              <w:rPr>
                <w:rFonts w:ascii="Calibri" w:hAnsi="Calibri"/>
                <w:b w:val="0"/>
                <w:i w:val="0"/>
                <w:color w:val="101828"/>
                <w:sz w:val="14"/>
              </w:rPr>
              <w:t xml:space="preserve">, </w:t>
            </w:r>
            <w:r>
              <w:rPr>
                <w:rFonts w:ascii="Consolas" w:hAnsi="Consolas"/>
                <w:color w:val="146EF5"/>
                <w:sz w:val="14"/>
              </w:rPr>
              <w:t>GET /notifications</w:t>
            </w:r>
            <w:r>
              <w:rPr>
                <w:rFonts w:ascii="Calibri" w:hAnsi="Calibri"/>
                <w:b w:val="0"/>
                <w:i w:val="0"/>
                <w:color w:val="101828"/>
                <w:sz w:val="14"/>
              </w:rPr>
              <w:t>. With no Ajos the dashboard shows a single primary action and, if an invitation link brought the user here, a pending invitation card. An unverified user sees no Ajo content at all and is given the reason.</w:t>
            </w:r>
          </w:p>
        </w:tc>
        <w:tc>
          <w:tcPr>
            <w:tcW w:type="dxa" w:w="1426"/>
            <w:tcMar>
              <w:top w:w="60" w:type="dxa"/>
              <w:start w:w="110" w:type="dxa"/>
              <w:bottom w:w="60" w:type="dxa"/>
              <w:end w:w="110" w:type="dxa"/>
            </w:tcMar>
            <w:shd w:val="clear" w:color="auto" w:fill="F4F7FB"/>
          </w:tcPr>
          <w:p>
            <w:pPr>
              <w:spacing w:after="0"/>
            </w:pPr>
            <w:r/>
            <w:r>
              <w:rPr>
                <w:rFonts w:ascii="Calibri" w:hAnsi="Calibri"/>
                <w:b w:val="0"/>
                <w:i w:val="0"/>
                <w:color w:val="101828"/>
                <w:sz w:val="14"/>
              </w:rPr>
              <w:t>US-02, US-03, G2, FR-CON-001</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2.1.11</w:t>
            </w:r>
          </w:p>
        </w:tc>
        <w:tc>
          <w:tcPr>
            <w:tcW w:type="dxa" w:w="1123"/>
            <w:tcMar>
              <w:top w:w="60" w:type="dxa"/>
              <w:start w:w="110" w:type="dxa"/>
              <w:bottom w:w="60" w:type="dxa"/>
              <w:end w:w="110" w:type="dxa"/>
            </w:tcMar>
          </w:tcPr>
          <w:p>
            <w:pPr>
              <w:spacing w:after="0"/>
            </w:pPr>
            <w:r/>
            <w:r>
              <w:rPr>
                <w:rFonts w:ascii="Calibri" w:hAnsi="Calibri"/>
                <w:b w:val="0"/>
                <w:i w:val="0"/>
                <w:color w:val="101828"/>
                <w:sz w:val="14"/>
              </w:rPr>
              <w:t>New user</w:t>
            </w:r>
          </w:p>
        </w:tc>
        <w:tc>
          <w:tcPr>
            <w:tcW w:type="dxa" w:w="1123"/>
            <w:tcMar>
              <w:top w:w="60" w:type="dxa"/>
              <w:start w:w="110" w:type="dxa"/>
              <w:bottom w:w="60" w:type="dxa"/>
              <w:end w:w="110" w:type="dxa"/>
            </w:tcMar>
          </w:tcPr>
          <w:p>
            <w:pPr>
              <w:spacing w:after="0"/>
            </w:pPr>
            <w:r/>
            <w:r>
              <w:rPr>
                <w:rFonts w:ascii="Calibri" w:hAnsi="Calibri"/>
                <w:b w:val="0"/>
                <w:i w:val="0"/>
                <w:color w:val="101828"/>
                <w:sz w:val="14"/>
              </w:rPr>
              <w:t>SCR-APP-01</w:t>
            </w:r>
          </w:p>
        </w:tc>
        <w:tc>
          <w:tcPr>
            <w:tcW w:type="dxa" w:w="2102"/>
            <w:tcMar>
              <w:top w:w="60" w:type="dxa"/>
              <w:start w:w="110" w:type="dxa"/>
              <w:bottom w:w="60" w:type="dxa"/>
              <w:end w:w="110" w:type="dxa"/>
            </w:tcMar>
          </w:tcPr>
          <w:p>
            <w:pPr>
              <w:spacing w:after="0"/>
            </w:pPr>
            <w:r/>
            <w:r>
              <w:rPr>
                <w:rFonts w:ascii="Calibri" w:hAnsi="Calibri"/>
                <w:b w:val="0"/>
                <w:i w:val="0"/>
                <w:color w:val="101828"/>
                <w:sz w:val="14"/>
              </w:rPr>
              <w:t>Chooses a next step: create an Ajo (2.2) or open an invitation (2.3).</w:t>
            </w:r>
          </w:p>
        </w:tc>
        <w:tc>
          <w:tcPr>
            <w:tcW w:type="dxa" w:w="2880"/>
            <w:tcMar>
              <w:top w:w="60" w:type="dxa"/>
              <w:start w:w="110" w:type="dxa"/>
              <w:bottom w:w="60" w:type="dxa"/>
              <w:end w:w="110" w:type="dxa"/>
            </w:tcMar>
          </w:tcPr>
          <w:p>
            <w:pPr>
              <w:spacing w:after="0"/>
            </w:pPr>
            <w:r/>
            <w:r>
              <w:rPr>
                <w:rFonts w:ascii="Calibri" w:hAnsi="Calibri"/>
                <w:b w:val="0"/>
                <w:i w:val="0"/>
                <w:color w:val="101828"/>
                <w:sz w:val="14"/>
              </w:rPr>
              <w:t xml:space="preserve">Role assignment is derived from what the user does next, not from what they register. </w:t>
            </w:r>
            <w:r>
              <w:rPr>
                <w:rFonts w:ascii="Consolas" w:hAnsi="Consolas"/>
                <w:color w:val="146EF5"/>
                <w:sz w:val="14"/>
              </w:rPr>
              <w:t>ajo_organizer</w:t>
            </w:r>
            <w:r>
              <w:rPr>
                <w:rFonts w:ascii="Calibri" w:hAnsi="Calibri"/>
                <w:b w:val="0"/>
                <w:i w:val="0"/>
                <w:color w:val="101828"/>
                <w:sz w:val="14"/>
              </w:rPr>
              <w:t xml:space="preserve"> attaches on creating an Ajo; </w:t>
            </w:r>
            <w:r>
              <w:rPr>
                <w:rFonts w:ascii="Consolas" w:hAnsi="Consolas"/>
                <w:color w:val="146EF5"/>
                <w:sz w:val="14"/>
              </w:rPr>
              <w:t>ajo_member</w:t>
            </w:r>
            <w:r>
              <w:rPr>
                <w:rFonts w:ascii="Calibri" w:hAnsi="Calibri"/>
                <w:b w:val="0"/>
                <w:i w:val="0"/>
                <w:color w:val="101828"/>
                <w:sz w:val="14"/>
              </w:rPr>
              <w:t xml:space="preserve"> attaches on joining one. A user can hold both across different Ajos.</w:t>
            </w:r>
          </w:p>
        </w:tc>
        <w:tc>
          <w:tcPr>
            <w:tcW w:type="dxa" w:w="1426"/>
            <w:tcMar>
              <w:top w:w="60" w:type="dxa"/>
              <w:start w:w="110" w:type="dxa"/>
              <w:bottom w:w="60" w:type="dxa"/>
              <w:end w:w="110" w:type="dxa"/>
            </w:tcMar>
          </w:tcPr>
          <w:p>
            <w:pPr>
              <w:spacing w:after="0"/>
            </w:pPr>
            <w:r/>
            <w:r>
              <w:rPr>
                <w:rFonts w:ascii="Calibri" w:hAnsi="Calibri"/>
                <w:b w:val="0"/>
                <w:i w:val="0"/>
                <w:color w:val="101828"/>
                <w:sz w:val="14"/>
              </w:rPr>
              <w:t>CAN §2, FR-MEM-001</w:t>
            </w:r>
          </w:p>
        </w:tc>
      </w:tr>
    </w:tbl>
    <w:p>
      <w:pPr>
        <w:spacing w:after="80"/>
      </w:pPr>
    </w:p>
    <w:p>
      <w:pPr>
        <w:pStyle w:val="Heading3"/>
      </w:pPr>
      <w:r>
        <w:rPr>
          <w:rFonts w:ascii="Calibri" w:hAnsi="Calibri"/>
          <w:b/>
          <w:i w:val="0"/>
          <w:color w:val="0B1F3A"/>
          <w:sz w:val="24"/>
        </w:rPr>
        <w:t>2.1.4 Happy path</w:t>
      </w:r>
    </w:p>
    <w:p>
      <w:r>
        <w:rPr>
          <w:rFonts w:ascii="Calibri" w:hAnsi="Calibri"/>
          <w:b w:val="0"/>
          <w:i w:val="0"/>
          <w:color w:val="101828"/>
          <w:sz w:val="21"/>
        </w:rPr>
        <w:t xml:space="preserve">The visitor reads the Fees page, sees the 2% stated as a separate number from the contribution, and registers. The account is created </w:t>
      </w:r>
      <w:r>
        <w:rPr>
          <w:rFonts w:ascii="Consolas" w:hAnsi="Consolas"/>
          <w:color w:val="146EF5"/>
          <w:sz w:val="21"/>
        </w:rPr>
        <w:t>unverified</w:t>
      </w:r>
      <w:r>
        <w:rPr>
          <w:rFonts w:ascii="Calibri" w:hAnsi="Calibri"/>
          <w:b w:val="0"/>
          <w:i w:val="0"/>
          <w:color w:val="101828"/>
          <w:sz w:val="21"/>
        </w:rPr>
        <w:t xml:space="preserve">. The verification email arrives within a minute and the OTP SMS shortly after. The user verifies both, completes a profile with a name and an occupation, submits the identity check, and is approved. The dashboard loads with no Ajos, no contributions, no payouts and no unread notifications, and offers exactly two things: </w:t>
      </w:r>
      <w:r>
        <w:rPr>
          <w:rFonts w:ascii="Calibri" w:hAnsi="Calibri"/>
          <w:i/>
          <w:color w:val="101828"/>
          <w:sz w:val="21"/>
        </w:rPr>
        <w:t>Create an Ajo</w:t>
      </w:r>
      <w:r>
        <w:rPr>
          <w:rFonts w:ascii="Calibri" w:hAnsi="Calibri"/>
          <w:b w:val="0"/>
          <w:i w:val="0"/>
          <w:color w:val="101828"/>
          <w:sz w:val="21"/>
        </w:rPr>
        <w:t xml:space="preserve"> and </w:t>
      </w:r>
      <w:r>
        <w:rPr>
          <w:rFonts w:ascii="Calibri" w:hAnsi="Calibri"/>
          <w:i/>
          <w:color w:val="101828"/>
          <w:sz w:val="21"/>
        </w:rPr>
        <w:t>Open an invitation</w:t>
      </w:r>
      <w:r>
        <w:rPr>
          <w:rFonts w:ascii="Calibri" w:hAnsi="Calibri"/>
          <w:b w:val="0"/>
          <w:i w:val="0"/>
          <w:color w:val="101828"/>
          <w:sz w:val="21"/>
        </w:rPr>
        <w:t xml:space="preserve">. The user's role is </w:t>
      </w:r>
      <w:r>
        <w:rPr>
          <w:rFonts w:ascii="Consolas" w:hAnsi="Consolas"/>
          <w:color w:val="146EF5"/>
          <w:sz w:val="21"/>
        </w:rPr>
        <w:t>user</w:t>
      </w:r>
      <w:r>
        <w:rPr>
          <w:rFonts w:ascii="Calibri" w:hAnsi="Calibri"/>
          <w:b w:val="0"/>
          <w:i w:val="0"/>
          <w:color w:val="101828"/>
          <w:sz w:val="21"/>
        </w:rPr>
        <w:t>. No money has moved. No ledger entry exists. The system holds an account, a verified email, a verified phone, a profile and a verification result, and nothing else.</w:t>
      </w:r>
    </w:p>
    <w:p>
      <w:pPr>
        <w:pStyle w:val="Heading3"/>
      </w:pPr>
      <w:r>
        <w:rPr>
          <w:rFonts w:ascii="Calibri" w:hAnsi="Calibri"/>
          <w:b/>
          <w:i w:val="0"/>
          <w:color w:val="0B1F3A"/>
          <w:sz w:val="24"/>
        </w:rPr>
        <w:t>2.1.5 Alternates and failure branches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800"/>
            <w:shd w:val="clear" w:color="auto" w:fill="0B1F3A"/>
            <w:tcMar>
              <w:top w:w="60" w:type="dxa"/>
              <w:start w:w="110" w:type="dxa"/>
              <w:bottom w:w="60" w:type="dxa"/>
              <w:end w:w="110" w:type="dxa"/>
            </w:tcMar>
          </w:tcPr>
          <w:p>
            <w:pPr>
              <w:spacing w:after="0"/>
            </w:pPr>
            <w:r/>
            <w:r>
              <w:rPr>
                <w:rFonts w:ascii="Calibri" w:hAnsi="Calibri"/>
                <w:b/>
                <w:i w:val="0"/>
                <w:color w:val="FFFFFF"/>
                <w:sz w:val="14"/>
              </w:rPr>
              <w:t>Condition</w:t>
            </w:r>
          </w:p>
        </w:tc>
        <w:tc>
          <w:tcPr>
            <w:tcW w:type="dxa" w:w="2074"/>
            <w:shd w:val="clear" w:color="auto" w:fill="0B1F3A"/>
            <w:tcMar>
              <w:top w:w="60" w:type="dxa"/>
              <w:start w:w="110" w:type="dxa"/>
              <w:bottom w:w="60" w:type="dxa"/>
              <w:end w:w="110" w:type="dxa"/>
            </w:tcMar>
          </w:tcPr>
          <w:p>
            <w:pPr>
              <w:spacing w:after="0"/>
            </w:pPr>
            <w:r/>
            <w:r>
              <w:rPr>
                <w:rFonts w:ascii="Calibri" w:hAnsi="Calibri"/>
                <w:b/>
                <w:i w:val="0"/>
                <w:color w:val="FFFFFF"/>
                <w:sz w:val="14"/>
              </w:rPr>
              <w:t>Branch</w:t>
            </w:r>
          </w:p>
        </w:tc>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4"/>
              </w:rPr>
              <w:t>Message</w:t>
            </w:r>
          </w:p>
        </w:tc>
        <w:tc>
          <w:tcPr>
            <w:tcW w:type="dxa" w:w="2506"/>
            <w:shd w:val="clear" w:color="auto" w:fill="0B1F3A"/>
            <w:tcMar>
              <w:top w:w="60" w:type="dxa"/>
              <w:start w:w="110" w:type="dxa"/>
              <w:bottom w:w="60" w:type="dxa"/>
              <w:end w:w="110" w:type="dxa"/>
            </w:tcMar>
          </w:tcPr>
          <w:p>
            <w:pPr>
              <w:spacing w:after="0"/>
            </w:pPr>
            <w:r/>
            <w:r>
              <w:rPr>
                <w:rFonts w:ascii="Calibri" w:hAnsi="Calibri"/>
                <w:b/>
                <w:i w:val="0"/>
                <w:color w:val="FFFFFF"/>
                <w:sz w:val="14"/>
              </w:rPr>
              <w:t>Recovery</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4"/>
              </w:rPr>
              <w:t>The email or phone is already registered</w:t>
            </w:r>
          </w:p>
        </w:tc>
        <w:tc>
          <w:tcPr>
            <w:tcW w:type="dxa" w:w="2074"/>
            <w:tcMar>
              <w:top w:w="60" w:type="dxa"/>
              <w:start w:w="110" w:type="dxa"/>
              <w:bottom w:w="60" w:type="dxa"/>
              <w:end w:w="110" w:type="dxa"/>
            </w:tcMar>
          </w:tcPr>
          <w:p>
            <w:pPr>
              <w:spacing w:after="0"/>
            </w:pPr>
            <w:r/>
            <w:r>
              <w:rPr>
                <w:rFonts w:ascii="Calibri" w:hAnsi="Calibri"/>
                <w:b w:val="0"/>
                <w:i w:val="0"/>
                <w:color w:val="101828"/>
                <w:sz w:val="14"/>
              </w:rPr>
              <w:t>No second account is created. The response is byte-identical to the success path and does not reveal that the account exists.</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SCR-MKT-10</w:t>
            </w:r>
          </w:p>
        </w:tc>
        <w:tc>
          <w:tcPr>
            <w:tcW w:type="dxa" w:w="1944"/>
            <w:tcMar>
              <w:top w:w="60" w:type="dxa"/>
              <w:start w:w="110" w:type="dxa"/>
              <w:bottom w:w="60" w:type="dxa"/>
              <w:end w:w="110" w:type="dxa"/>
            </w:tcMar>
          </w:tcPr>
          <w:p>
            <w:pPr>
              <w:spacing w:after="0"/>
            </w:pPr>
            <w:r/>
            <w:r>
              <w:rPr>
                <w:rFonts w:ascii="Calibri" w:hAnsi="Calibri"/>
                <w:i/>
                <w:color w:val="101828"/>
                <w:sz w:val="14"/>
              </w:rPr>
              <w:t>If that email or number is already registered, sign in or reset your password.</w:t>
            </w:r>
            <w:r>
              <w:rPr>
                <w:rFonts w:ascii="Calibri" w:hAnsi="Calibri"/>
                <w:b w:val="0"/>
                <w:i w:val="0"/>
                <w:color w:val="101828"/>
                <w:sz w:val="14"/>
              </w:rPr>
              <w:t xml:space="preserve"> No difference in wording, status code or timing.</w:t>
            </w:r>
          </w:p>
        </w:tc>
        <w:tc>
          <w:tcPr>
            <w:tcW w:type="dxa" w:w="2506"/>
            <w:tcMar>
              <w:top w:w="60" w:type="dxa"/>
              <w:start w:w="110" w:type="dxa"/>
              <w:bottom w:w="60" w:type="dxa"/>
              <w:end w:w="110" w:type="dxa"/>
            </w:tcMar>
          </w:tcPr>
          <w:p>
            <w:pPr>
              <w:spacing w:after="0"/>
            </w:pPr>
            <w:r/>
            <w:r>
              <w:rPr>
                <w:rFonts w:ascii="Calibri" w:hAnsi="Calibri"/>
                <w:b w:val="0"/>
                <w:i w:val="0"/>
                <w:color w:val="101828"/>
                <w:sz w:val="14"/>
              </w:rPr>
              <w:t xml:space="preserve">Sign in, or </w:t>
            </w:r>
            <w:r>
              <w:rPr>
                <w:rFonts w:ascii="Consolas" w:hAnsi="Consolas"/>
                <w:color w:val="146EF5"/>
                <w:sz w:val="14"/>
              </w:rPr>
              <w:t>POST /auth/password/forgot</w:t>
            </w:r>
            <w:r>
              <w:rPr>
                <w:rFonts w:ascii="Calibri" w:hAnsi="Calibri"/>
                <w:b w:val="0"/>
                <w:i w:val="0"/>
                <w:color w:val="101828"/>
                <w:sz w:val="14"/>
              </w:rPr>
              <w:t>. Enumeration is blocked in body, status and timing. NFR-S, US-03, EC-119.</w:t>
            </w:r>
          </w:p>
        </w:tc>
      </w:tr>
      <w:tr>
        <w:trPr>
          <w:cantSplit/>
        </w:trPr>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Registration is submitted from a public or shared device</w:t>
            </w:r>
          </w:p>
        </w:tc>
        <w:tc>
          <w:tcPr>
            <w:tcW w:type="dxa" w:w="2074"/>
            <w:tcMar>
              <w:top w:w="60" w:type="dxa"/>
              <w:start w:w="110" w:type="dxa"/>
              <w:bottom w:w="60" w:type="dxa"/>
              <w:end w:w="110" w:type="dxa"/>
            </w:tcMar>
            <w:shd w:val="clear" w:color="auto" w:fill="F4F7FB"/>
          </w:tcPr>
          <w:p>
            <w:pPr>
              <w:spacing w:after="0"/>
            </w:pPr>
            <w:r/>
            <w:r>
              <w:rPr>
                <w:rFonts w:ascii="Calibri" w:hAnsi="Calibri"/>
                <w:b w:val="0"/>
                <w:i w:val="0"/>
                <w:color w:val="101828"/>
                <w:sz w:val="14"/>
              </w:rPr>
              <w:t>A new session is created and the device is recorded as unrecognised. No money capability is attached until verification completes.</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SCR-MKT-10</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We will ask you to confirm your phone before you can do anything with money.</w:t>
            </w:r>
          </w:p>
        </w:tc>
        <w:tc>
          <w:tcPr>
            <w:tcW w:type="dxa" w:w="2506"/>
            <w:tcMar>
              <w:top w:w="60" w:type="dxa"/>
              <w:start w:w="110" w:type="dxa"/>
              <w:bottom w:w="60" w:type="dxa"/>
              <w:end w:w="110" w:type="dxa"/>
            </w:tcMar>
            <w:shd w:val="clear" w:color="auto" w:fill="F4F7FB"/>
          </w:tcPr>
          <w:p>
            <w:pPr>
              <w:spacing w:after="0"/>
            </w:pPr>
            <w:r/>
            <w:r>
              <w:rPr>
                <w:rFonts w:ascii="Calibri" w:hAnsi="Calibri"/>
                <w:b w:val="0"/>
                <w:i w:val="0"/>
                <w:color w:val="101828"/>
                <w:sz w:val="14"/>
              </w:rPr>
              <w:t>Complete steps 2.1.5 and 2.1.6. Sessions can be revoked from SCR-APP-17, EC-120.</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4"/>
              </w:rPr>
              <w:t>The email link is not clicked within its validity window</w:t>
            </w:r>
          </w:p>
        </w:tc>
        <w:tc>
          <w:tcPr>
            <w:tcW w:type="dxa" w:w="2074"/>
            <w:tcMar>
              <w:top w:w="60" w:type="dxa"/>
              <w:start w:w="110" w:type="dxa"/>
              <w:bottom w:w="60" w:type="dxa"/>
              <w:end w:w="110" w:type="dxa"/>
            </w:tcMar>
          </w:tcPr>
          <w:p>
            <w:pPr>
              <w:spacing w:after="0"/>
            </w:pPr>
            <w:r/>
            <w:r>
              <w:rPr>
                <w:rFonts w:ascii="Calibri" w:hAnsi="Calibri"/>
                <w:b w:val="0"/>
                <w:i w:val="0"/>
                <w:color w:val="101828"/>
                <w:sz w:val="14"/>
              </w:rPr>
              <w:t xml:space="preserve">The token expires. The account stays </w:t>
            </w:r>
            <w:r>
              <w:rPr>
                <w:rFonts w:ascii="Consolas" w:hAnsi="Consolas"/>
                <w:color w:val="146EF5"/>
                <w:sz w:val="14"/>
              </w:rPr>
              <w:t>unverified</w:t>
            </w:r>
            <w:r>
              <w:rPr>
                <w:rFonts w:ascii="Calibri" w:hAnsi="Calibri"/>
                <w:b w:val="0"/>
                <w:i w:val="0"/>
                <w:color w:val="101828"/>
                <w:sz w:val="14"/>
              </w:rPr>
              <w:t>; nothing is lost.</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SCR-APP-15</w:t>
            </w:r>
          </w:p>
        </w:tc>
        <w:tc>
          <w:tcPr>
            <w:tcW w:type="dxa" w:w="1944"/>
            <w:tcMar>
              <w:top w:w="60" w:type="dxa"/>
              <w:start w:w="110" w:type="dxa"/>
              <w:bottom w:w="60" w:type="dxa"/>
              <w:end w:w="110" w:type="dxa"/>
            </w:tcMar>
          </w:tcPr>
          <w:p>
            <w:pPr>
              <w:spacing w:after="0"/>
            </w:pPr>
            <w:r/>
            <w:r>
              <w:rPr>
                <w:rFonts w:ascii="Calibri" w:hAnsi="Calibri"/>
                <w:i/>
                <w:color w:val="101828"/>
                <w:sz w:val="14"/>
              </w:rPr>
              <w:t>This link has expired. Send a new one.</w:t>
            </w:r>
          </w:p>
        </w:tc>
        <w:tc>
          <w:tcPr>
            <w:tcW w:type="dxa" w:w="2506"/>
            <w:tcMar>
              <w:top w:w="60" w:type="dxa"/>
              <w:start w:w="110" w:type="dxa"/>
              <w:bottom w:w="60" w:type="dxa"/>
              <w:end w:w="110" w:type="dxa"/>
            </w:tcMar>
          </w:tcPr>
          <w:p>
            <w:pPr>
              <w:spacing w:after="0"/>
            </w:pPr>
            <w:r/>
            <w:r>
              <w:rPr>
                <w:rFonts w:ascii="Calibri" w:hAnsi="Calibri"/>
                <w:b w:val="0"/>
                <w:i w:val="0"/>
                <w:color w:val="101828"/>
                <w:sz w:val="14"/>
              </w:rPr>
              <w:t>Re-request a verification link. Re-requesting is rate limited, EC-121.</w:t>
            </w:r>
          </w:p>
        </w:tc>
      </w:tr>
      <w:tr>
        <w:trPr>
          <w:cantSplit/>
        </w:trPr>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The OTP request is spammed or the OTP is guessed</w:t>
            </w:r>
          </w:p>
        </w:tc>
        <w:tc>
          <w:tcPr>
            <w:tcW w:type="dxa" w:w="2074"/>
            <w:tcMar>
              <w:top w:w="60" w:type="dxa"/>
              <w:start w:w="110" w:type="dxa"/>
              <w:bottom w:w="60" w:type="dxa"/>
              <w:end w:w="110" w:type="dxa"/>
            </w:tcMar>
            <w:shd w:val="clear" w:color="auto" w:fill="F4F7FB"/>
          </w:tcPr>
          <w:p>
            <w:pPr>
              <w:spacing w:after="0"/>
            </w:pPr>
            <w:r/>
            <w:r>
              <w:rPr>
                <w:rFonts w:ascii="Calibri" w:hAnsi="Calibri"/>
                <w:b w:val="0"/>
                <w:i w:val="0"/>
                <w:color w:val="101828"/>
                <w:sz w:val="14"/>
              </w:rPr>
              <w:t>The endpoint rate limits with exponential backoff; the account is temporarily locked for that verification route after 5 failed attempts. No lockout of the whole account, because a lockout is a denial-of-service against the member.</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SCR-APP-15</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Too many attempts. Try again in N minutes.</w:t>
            </w:r>
          </w:p>
        </w:tc>
        <w:tc>
          <w:tcPr>
            <w:tcW w:type="dxa" w:w="2506"/>
            <w:tcMar>
              <w:top w:w="60" w:type="dxa"/>
              <w:start w:w="110" w:type="dxa"/>
              <w:bottom w:w="60" w:type="dxa"/>
              <w:end w:w="110" w:type="dxa"/>
            </w:tcMar>
            <w:shd w:val="clear" w:color="auto" w:fill="F4F7FB"/>
          </w:tcPr>
          <w:p>
            <w:pPr>
              <w:spacing w:after="0"/>
            </w:pPr>
            <w:r/>
            <w:r>
              <w:rPr>
                <w:rFonts w:ascii="Calibri" w:hAnsi="Calibri"/>
                <w:b w:val="0"/>
                <w:i w:val="0"/>
                <w:color w:val="101828"/>
                <w:sz w:val="14"/>
              </w:rPr>
              <w:t>Wait out the backoff, or request a new OTP which invalidates the previous one, EC-109.</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4"/>
              </w:rPr>
              <w:t>Email dispatch fails at the provider</w:t>
            </w:r>
          </w:p>
        </w:tc>
        <w:tc>
          <w:tcPr>
            <w:tcW w:type="dxa" w:w="2074"/>
            <w:tcMar>
              <w:top w:w="60" w:type="dxa"/>
              <w:start w:w="110" w:type="dxa"/>
              <w:bottom w:w="60" w:type="dxa"/>
              <w:end w:w="110" w:type="dxa"/>
            </w:tcMar>
          </w:tcPr>
          <w:p>
            <w:pPr>
              <w:spacing w:after="0"/>
            </w:pPr>
            <w:r/>
            <w:r>
              <w:rPr>
                <w:rFonts w:ascii="Calibri" w:hAnsi="Calibri"/>
                <w:b w:val="0"/>
                <w:i w:val="0"/>
                <w:color w:val="101828"/>
                <w:sz w:val="14"/>
              </w:rPr>
              <w:t>Registration stands. The dispatch job retries with backoff and opens a delivery-exception record if it still fails. The user is not blocked from continuing.</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SCR-APP-15</w:t>
            </w:r>
          </w:p>
        </w:tc>
        <w:tc>
          <w:tcPr>
            <w:tcW w:type="dxa" w:w="1944"/>
            <w:tcMar>
              <w:top w:w="60" w:type="dxa"/>
              <w:start w:w="110" w:type="dxa"/>
              <w:bottom w:w="60" w:type="dxa"/>
              <w:end w:w="110" w:type="dxa"/>
            </w:tcMar>
          </w:tcPr>
          <w:p>
            <w:pPr>
              <w:spacing w:after="0"/>
            </w:pPr>
            <w:r/>
            <w:r>
              <w:rPr>
                <w:rFonts w:ascii="Calibri" w:hAnsi="Calibri"/>
                <w:i/>
                <w:color w:val="101828"/>
                <w:sz w:val="14"/>
              </w:rPr>
              <w:t>We could not send the email just now. Use resend, or call us on the number on the Help screen.</w:t>
            </w:r>
          </w:p>
        </w:tc>
        <w:tc>
          <w:tcPr>
            <w:tcW w:type="dxa" w:w="2506"/>
            <w:tcMar>
              <w:top w:w="60" w:type="dxa"/>
              <w:start w:w="110" w:type="dxa"/>
              <w:bottom w:w="60" w:type="dxa"/>
              <w:end w:w="110" w:type="dxa"/>
            </w:tcMar>
          </w:tcPr>
          <w:p>
            <w:pPr>
              <w:spacing w:after="0"/>
            </w:pPr>
            <w:r/>
            <w:r>
              <w:rPr>
                <w:rFonts w:ascii="Calibri" w:hAnsi="Calibri"/>
                <w:b w:val="0"/>
                <w:i w:val="0"/>
                <w:color w:val="101828"/>
                <w:sz w:val="14"/>
              </w:rPr>
              <w:t>Resend, or contact support. Dispatch failures are monitored; see. NFR-AVL-003 requires that no registration be lost to a mail outage, EC-071.</w:t>
            </w:r>
          </w:p>
        </w:tc>
      </w:tr>
      <w:tr>
        <w:trPr>
          <w:cantSplit/>
        </w:trPr>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The user abandons onboarding at any step</w:t>
            </w:r>
          </w:p>
        </w:tc>
        <w:tc>
          <w:tcPr>
            <w:tcW w:type="dxa" w:w="207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account persists in </w:t>
            </w:r>
            <w:r>
              <w:rPr>
                <w:rFonts w:ascii="Consolas" w:hAnsi="Consolas"/>
                <w:color w:val="146EF5"/>
                <w:sz w:val="14"/>
              </w:rPr>
              <w:t>unverified</w:t>
            </w:r>
            <w:r>
              <w:rPr>
                <w:rFonts w:ascii="Calibri" w:hAnsi="Calibri"/>
                <w:b w:val="0"/>
                <w:i w:val="0"/>
                <w:color w:val="101828"/>
                <w:sz w:val="14"/>
              </w:rPr>
              <w:t xml:space="preserve"> with a resumable onboarding state. No Ajo content is visible.</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SCR-APP-01</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Finish setting up your account.</w:t>
            </w:r>
            <w:r>
              <w:rPr>
                <w:rFonts w:ascii="Calibri" w:hAnsi="Calibri"/>
                <w:b w:val="0"/>
                <w:i w:val="0"/>
                <w:color w:val="101828"/>
                <w:sz w:val="14"/>
              </w:rPr>
              <w:t xml:space="preserve"> One clear next action, never a blank screen.</w:t>
            </w:r>
          </w:p>
        </w:tc>
        <w:tc>
          <w:tcPr>
            <w:tcW w:type="dxa" w:w="2506"/>
            <w:tcMar>
              <w:top w:w="60" w:type="dxa"/>
              <w:start w:w="110" w:type="dxa"/>
              <w:bottom w:w="60" w:type="dxa"/>
              <w:end w:w="110" w:type="dxa"/>
            </w:tcMar>
            <w:shd w:val="clear" w:color="auto" w:fill="F4F7FB"/>
          </w:tcPr>
          <w:p>
            <w:pPr>
              <w:spacing w:after="0"/>
            </w:pPr>
            <w:r/>
            <w:r>
              <w:rPr>
                <w:rFonts w:ascii="Calibri" w:hAnsi="Calibri"/>
                <w:b w:val="0"/>
                <w:i w:val="0"/>
                <w:color w:val="101828"/>
                <w:sz w:val="14"/>
              </w:rPr>
              <w:t>Resume at the incomplete step. US-02, EC-122.</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4"/>
              </w:rPr>
              <w:t>The phone number is a Nigerian number that is later reassigned to a new subscriber</w:t>
            </w:r>
          </w:p>
        </w:tc>
        <w:tc>
          <w:tcPr>
            <w:tcW w:type="dxa" w:w="2074"/>
            <w:tcMar>
              <w:top w:w="60" w:type="dxa"/>
              <w:start w:w="110" w:type="dxa"/>
              <w:bottom w:w="60" w:type="dxa"/>
              <w:end w:w="110" w:type="dxa"/>
            </w:tcMar>
          </w:tcPr>
          <w:p>
            <w:pPr>
              <w:spacing w:after="0"/>
            </w:pPr>
            <w:r/>
            <w:r>
              <w:rPr>
                <w:rFonts w:ascii="Calibri" w:hAnsi="Calibri"/>
                <w:b w:val="0"/>
                <w:i w:val="0"/>
                <w:color w:val="101828"/>
                <w:sz w:val="14"/>
              </w:rPr>
              <w:t>At verification time the number is bound to the account as a single verified phone. If the provider later reports the number as reassigned, a risk event is raised for review; the account is not silently migrated.</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SCR-APP-19 / SCR-ADM-05</w:t>
            </w:r>
          </w:p>
        </w:tc>
        <w:tc>
          <w:tcPr>
            <w:tcW w:type="dxa" w:w="1944"/>
            <w:tcMar>
              <w:top w:w="60" w:type="dxa"/>
              <w:start w:w="110" w:type="dxa"/>
              <w:bottom w:w="60" w:type="dxa"/>
              <w:end w:w="110" w:type="dxa"/>
            </w:tcMar>
          </w:tcPr>
          <w:p>
            <w:pPr>
              <w:spacing w:after="0"/>
            </w:pPr>
            <w:r/>
            <w:r>
              <w:rPr>
                <w:rFonts w:ascii="Calibri" w:hAnsi="Calibri"/>
                <w:b w:val="0"/>
                <w:i w:val="0"/>
                <w:color w:val="101828"/>
                <w:sz w:val="14"/>
              </w:rPr>
              <w:t>The member is asked to confirm the number. The officer sees the reassignment signal in the Risk screen.</w:t>
            </w:r>
          </w:p>
        </w:tc>
        <w:tc>
          <w:tcPr>
            <w:tcW w:type="dxa" w:w="2506"/>
            <w:tcMar>
              <w:top w:w="60" w:type="dxa"/>
              <w:start w:w="110" w:type="dxa"/>
              <w:bottom w:w="60" w:type="dxa"/>
              <w:end w:w="110" w:type="dxa"/>
            </w:tcMar>
          </w:tcPr>
          <w:p>
            <w:pPr>
              <w:spacing w:after="0"/>
            </w:pPr>
            <w:r/>
            <w:r>
              <w:rPr>
                <w:rFonts w:ascii="Calibri" w:hAnsi="Calibri"/>
                <w:b w:val="0"/>
                <w:i w:val="0"/>
                <w:color w:val="101828"/>
                <w:sz w:val="14"/>
              </w:rPr>
              <w:t>Risk review decides: continue, require re-verification, or freeze, EC-108.</w:t>
            </w:r>
          </w:p>
        </w:tc>
      </w:tr>
      <w:tr>
        <w:trPr>
          <w:cantSplit/>
        </w:trPr>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The user is identified as a minor or as acting for someone else</w:t>
            </w:r>
          </w:p>
        </w:tc>
        <w:tc>
          <w:tcPr>
            <w:tcW w:type="dxa" w:w="2074"/>
            <w:tcMar>
              <w:top w:w="60" w:type="dxa"/>
              <w:start w:w="110" w:type="dxa"/>
              <w:bottom w:w="60" w:type="dxa"/>
              <w:end w:w="110" w:type="dxa"/>
            </w:tcMar>
            <w:shd w:val="clear" w:color="auto" w:fill="F4F7FB"/>
          </w:tcPr>
          <w:p>
            <w:pPr>
              <w:spacing w:after="0"/>
            </w:pPr>
            <w:r/>
            <w:r>
              <w:rPr>
                <w:rFonts w:ascii="Calibri" w:hAnsi="Calibri"/>
                <w:b w:val="0"/>
                <w:i w:val="0"/>
                <w:color w:val="101828"/>
                <w:sz w:val="14"/>
              </w:rPr>
              <w:t>Onboarding is paused and a risk event is raised. No Ajo may be created or joined in that state.</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SCR-APP-19</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We need to confirm who this account belongs to before you can continue.</w:t>
            </w:r>
          </w:p>
        </w:tc>
        <w:tc>
          <w:tcPr>
            <w:tcW w:type="dxa" w:w="250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Verified identity by a human at </w:t>
            </w:r>
            <w:r>
              <w:rPr>
                <w:rFonts w:ascii="Consolas" w:hAnsi="Consolas"/>
                <w:color w:val="146EF5"/>
                <w:sz w:val="14"/>
              </w:rPr>
              <w:t>risk_officer</w:t>
            </w:r>
            <w:r>
              <w:rPr>
                <w:rFonts w:ascii="Calibri" w:hAnsi="Calibri"/>
                <w:b w:val="0"/>
                <w:i w:val="0"/>
                <w:color w:val="101828"/>
                <w:sz w:val="14"/>
              </w:rPr>
              <w:t>, EC-123.</w:t>
            </w:r>
          </w:p>
        </w:tc>
      </w:tr>
    </w:tbl>
    <w:p>
      <w:pPr>
        <w:spacing w:after="80"/>
      </w:pPr>
    </w:p>
    <w:p>
      <w:r>
        <w:br w:type="page"/>
      </w:r>
    </w:p>
    <w:p>
      <w:pPr>
        <w:pStyle w:val="Heading2"/>
      </w:pPr>
      <w:r>
        <w:rPr>
          <w:rFonts w:ascii="Calibri" w:hAnsi="Calibri"/>
          <w:b/>
          <w:i w:val="0"/>
          <w:color w:val="146EF5"/>
          <w:sz w:val="29"/>
        </w:rPr>
        <w:t>2.2 Create Ajo: seven-step wizard to invitations issued</w:t>
      </w:r>
    </w:p>
    <w:p>
      <w:pPr>
        <w:pStyle w:val="Heading3"/>
      </w:pPr>
      <w:r>
        <w:rPr>
          <w:rFonts w:ascii="Calibri" w:hAnsi="Calibri"/>
          <w:b/>
          <w:i w:val="0"/>
          <w:color w:val="0B1F3A"/>
          <w:sz w:val="24"/>
        </w:rPr>
        <w:t>2.2.1 Purpose</w:t>
      </w:r>
    </w:p>
    <w:p>
      <w:r>
        <w:rPr>
          <w:rFonts w:ascii="Calibri" w:hAnsi="Calibri"/>
          <w:b w:val="0"/>
          <w:i w:val="0"/>
          <w:color w:val="101828"/>
          <w:sz w:val="21"/>
        </w:rPr>
        <w:t>An organiser turns an intention into a set of locked terms and a list of named people. The flow must be completable on a mid-range Android over 3G in a few minutes, because the organiser is unpaid and every minute of friction is a chance for them to stop (R8, G9, A-03). It must end with the organiser understanding exactly what each member will pay, what the recipient will receive, and what happens if the group does not fill, and it must never require the organiser to handle money at any point (BR-022).</w:t>
      </w:r>
    </w:p>
    <w:p>
      <w:pPr>
        <w:pStyle w:val="Heading3"/>
      </w:pPr>
      <w:r>
        <w:rPr>
          <w:rFonts w:ascii="Calibri" w:hAnsi="Calibri"/>
          <w:b/>
          <w:i w:val="0"/>
          <w:color w:val="0B1F3A"/>
          <w:sz w:val="24"/>
        </w:rPr>
        <w:t>2.2.2 Swimlane</w:t>
      </w:r>
    </w:p>
    <w:p>
      <w:pPr>
        <w:spacing w:before="0" w:after="0" w:line="240" w:lineRule="auto"/>
        <w:ind w:left="230"/>
        <w:shd w:val="clear" w:color="auto" w:fill="F7F9FC"/>
        <w:pBdr>
          <w:left w:val="single" w:sz="4" w:space="6" w:color="D0D5DD"/>
        </w:pBdr>
      </w:pPr>
      <w:r>
        <w:rPr>
          <w:rFonts w:ascii="Consolas" w:hAnsi="Consolas"/>
          <w:color w:val="0B1F3A"/>
          <w:sz w:val="16"/>
        </w:rPr>
        <w:t>ORGANISER         WIZARD             AJO.ng API              INVITEE</w:t>
      </w:r>
    </w:p>
    <w:p>
      <w:pPr>
        <w:spacing w:before="0" w:after="0" w:line="240" w:lineRule="auto"/>
        <w:ind w:left="230"/>
        <w:shd w:val="clear" w:color="auto" w:fill="F7F9FC"/>
        <w:pBdr>
          <w:left w:val="single" w:sz="4" w:space="6" w:color="D0D5DD"/>
        </w:pBdr>
      </w:pPr>
      <w:r>
        <w:rPr>
          <w:rFonts w:ascii="Consolas" w:hAnsi="Consolas"/>
          <w:color w:val="0B1F3A"/>
          <w:sz w:val="16"/>
        </w:rPr>
        <w:t xml:space="preserve">   |  Dashboard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"Create"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step 1 Configure|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name, size,   |-----------------&gt;| POST /ajos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currency,     |                  |  201 ajo id, DRAFT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frequency     |                  |  role: ajo_organizer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step 2 Amount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contribution  |-----------------&gt;| PATCH /ajos/:id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NGN 1,000.00|  fee preview: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step 3 Freq   |  NGN 20.00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step 4 Dur.   |  charged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10 rounds   |  NGN 1,020.00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step 5 Members|-----------------&gt;| POST /invitations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names/numbers |  tokens minted,  |  invitation.received-&gt;|  SMS + email</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single-use,     |----------------------&gt;|  (brings 2.3)</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expiring,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fee disclosed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step 6 Order  |  proposer/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drag to order |  proposer/claim |---------------------&gt;|  claim a slot</w:t>
      </w:r>
    </w:p>
    <w:p>
      <w:pPr>
        <w:spacing w:before="0" w:after="0" w:line="240" w:lineRule="auto"/>
        <w:ind w:left="230"/>
        <w:shd w:val="clear" w:color="auto" w:fill="F7F9FC"/>
        <w:pBdr>
          <w:left w:val="single" w:sz="4" w:space="6" w:color="D0D5DD"/>
        </w:pBdr>
      </w:pPr>
      <w:r>
        <w:rPr>
          <w:rFonts w:ascii="Consolas" w:hAnsi="Consolas"/>
          <w:color w:val="0B1F3A"/>
          <w:sz w:val="16"/>
        </w:rPr>
        <w:t xml:space="preserve">   |  step 7 Review |-----------------&gt;| GET /ajos/:id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base pool     |  summary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NGN 10,000.00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total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NGN 102,000.00|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[Acknowledge]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Create        |-----------------&gt;| POST /ajos/:id/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activate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DRAFT -&gt; ENROLLMENT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5-day clock starts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Invite more   |-----------------&gt;| POST /invitations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Track         |                  | GET /ajos/:id/members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GET /invitations      |</w:t>
      </w:r>
    </w:p>
    <w:p>
      <w:pPr>
        <w:pStyle w:val="Heading3"/>
      </w:pPr>
      <w:r>
        <w:rPr>
          <w:rFonts w:ascii="Calibri" w:hAnsi="Calibri"/>
          <w:b/>
          <w:i w:val="0"/>
          <w:color w:val="0B1F3A"/>
          <w:sz w:val="24"/>
        </w:rPr>
        <w:t>2.2.3 Step detail</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706"/>
            <w:shd w:val="clear" w:color="auto" w:fill="0B1F3A"/>
            <w:tcMar>
              <w:top w:w="60" w:type="dxa"/>
              <w:start w:w="110" w:type="dxa"/>
              <w:bottom w:w="60" w:type="dxa"/>
              <w:end w:w="110" w:type="dxa"/>
            </w:tcMar>
          </w:tcPr>
          <w:p>
            <w:pPr>
              <w:spacing w:after="0"/>
            </w:pPr>
            <w:r/>
            <w:r>
              <w:rPr>
                <w:rFonts w:ascii="Calibri" w:hAnsi="Calibri"/>
                <w:b/>
                <w:i w:val="0"/>
                <w:color w:val="FFFFFF"/>
                <w:sz w:val="14"/>
              </w:rPr>
              <w:t>Step</w:t>
            </w:r>
          </w:p>
        </w:tc>
        <w:tc>
          <w:tcPr>
            <w:tcW w:type="dxa" w:w="1210"/>
            <w:shd w:val="clear" w:color="auto" w:fill="0B1F3A"/>
            <w:tcMar>
              <w:top w:w="60" w:type="dxa"/>
              <w:start w:w="110" w:type="dxa"/>
              <w:bottom w:w="60" w:type="dxa"/>
              <w:end w:w="110" w:type="dxa"/>
            </w:tcMar>
          </w:tcPr>
          <w:p>
            <w:pPr>
              <w:spacing w:after="0"/>
            </w:pPr>
            <w:r/>
            <w:r>
              <w:rPr>
                <w:rFonts w:ascii="Calibri" w:hAnsi="Calibri"/>
                <w:b/>
                <w:i w:val="0"/>
                <w:color w:val="FFFFFF"/>
                <w:sz w:val="14"/>
              </w:rPr>
              <w:t>Actor</w:t>
            </w:r>
          </w:p>
        </w:tc>
        <w:tc>
          <w:tcPr>
            <w:tcW w:type="dxa" w:w="1123"/>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2030"/>
            <w:shd w:val="clear" w:color="auto" w:fill="0B1F3A"/>
            <w:tcMar>
              <w:top w:w="60" w:type="dxa"/>
              <w:start w:w="110" w:type="dxa"/>
              <w:bottom w:w="60" w:type="dxa"/>
              <w:end w:w="110" w:type="dxa"/>
            </w:tcMar>
          </w:tcPr>
          <w:p>
            <w:pPr>
              <w:spacing w:after="0"/>
            </w:pPr>
            <w:r/>
            <w:r>
              <w:rPr>
                <w:rFonts w:ascii="Calibri" w:hAnsi="Calibri"/>
                <w:b/>
                <w:i w:val="0"/>
                <w:color w:val="FFFFFF"/>
                <w:sz w:val="14"/>
              </w:rPr>
              <w:t>Action</w:t>
            </w:r>
          </w:p>
        </w:tc>
        <w:tc>
          <w:tcPr>
            <w:tcW w:type="dxa" w:w="2808"/>
            <w:shd w:val="clear" w:color="auto" w:fill="0B1F3A"/>
            <w:tcMar>
              <w:top w:w="60" w:type="dxa"/>
              <w:start w:w="110" w:type="dxa"/>
              <w:bottom w:w="60" w:type="dxa"/>
              <w:end w:w="110" w:type="dxa"/>
            </w:tcMar>
          </w:tcPr>
          <w:p>
            <w:pPr>
              <w:spacing w:after="0"/>
            </w:pPr>
            <w:r/>
            <w:r>
              <w:rPr>
                <w:rFonts w:ascii="Calibri" w:hAnsi="Calibri"/>
                <w:b/>
                <w:i w:val="0"/>
                <w:color w:val="FFFFFF"/>
                <w:sz w:val="14"/>
              </w:rPr>
              <w:t>System response</w:t>
            </w:r>
          </w:p>
        </w:tc>
        <w:tc>
          <w:tcPr>
            <w:tcW w:type="dxa" w:w="1483"/>
            <w:shd w:val="clear" w:color="auto" w:fill="0B1F3A"/>
            <w:tcMar>
              <w:top w:w="60" w:type="dxa"/>
              <w:start w:w="110" w:type="dxa"/>
              <w:bottom w:w="60" w:type="dxa"/>
              <w:end w:w="110" w:type="dxa"/>
            </w:tcMar>
          </w:tcPr>
          <w:p>
            <w:pPr>
              <w:spacing w:after="0"/>
            </w:pPr>
            <w:r/>
            <w:r>
              <w:rPr>
                <w:rFonts w:ascii="Calibri" w:hAnsi="Calibri"/>
                <w:b/>
                <w:i w:val="0"/>
                <w:color w:val="FFFFFF"/>
                <w:sz w:val="14"/>
              </w:rPr>
              <w:t>Rule ref</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2.2.1</w:t>
            </w:r>
          </w:p>
        </w:tc>
        <w:tc>
          <w:tcPr>
            <w:tcW w:type="dxa" w:w="1210"/>
            <w:tcMar>
              <w:top w:w="60" w:type="dxa"/>
              <w:start w:w="110" w:type="dxa"/>
              <w:bottom w:w="60" w:type="dxa"/>
              <w:end w:w="110" w:type="dxa"/>
            </w:tcMar>
          </w:tcPr>
          <w:p>
            <w:pPr>
              <w:spacing w:after="0"/>
            </w:pPr>
            <w:r/>
            <w:r>
              <w:rPr>
                <w:rFonts w:ascii="Calibri" w:hAnsi="Calibri"/>
                <w:b w:val="0"/>
                <w:i w:val="0"/>
                <w:color w:val="101828"/>
                <w:sz w:val="14"/>
              </w:rPr>
              <w:t xml:space="preserve">User as </w:t>
            </w:r>
            <w:r>
              <w:rPr>
                <w:rFonts w:ascii="Consolas" w:hAnsi="Consolas"/>
                <w:color w:val="146EF5"/>
                <w:sz w:val="14"/>
              </w:rPr>
              <w:t>ajo_organizer</w:t>
            </w:r>
          </w:p>
        </w:tc>
        <w:tc>
          <w:tcPr>
            <w:tcW w:type="dxa" w:w="1123"/>
            <w:tcMar>
              <w:top w:w="60" w:type="dxa"/>
              <w:start w:w="110" w:type="dxa"/>
              <w:bottom w:w="60" w:type="dxa"/>
              <w:end w:w="110" w:type="dxa"/>
            </w:tcMar>
          </w:tcPr>
          <w:p>
            <w:pPr>
              <w:spacing w:after="0"/>
            </w:pPr>
            <w:r/>
            <w:r>
              <w:rPr>
                <w:rFonts w:ascii="Calibri" w:hAnsi="Calibri"/>
                <w:b w:val="0"/>
                <w:i w:val="0"/>
                <w:color w:val="101828"/>
                <w:sz w:val="14"/>
              </w:rPr>
              <w:t>SCR-APP-01</w:t>
            </w:r>
          </w:p>
        </w:tc>
        <w:tc>
          <w:tcPr>
            <w:tcW w:type="dxa" w:w="2030"/>
            <w:tcMar>
              <w:top w:w="60" w:type="dxa"/>
              <w:start w:w="110" w:type="dxa"/>
              <w:bottom w:w="60" w:type="dxa"/>
              <w:end w:w="110" w:type="dxa"/>
            </w:tcMar>
          </w:tcPr>
          <w:p>
            <w:pPr>
              <w:spacing w:after="0"/>
            </w:pPr>
            <w:r/>
            <w:r>
              <w:rPr>
                <w:rFonts w:ascii="Calibri" w:hAnsi="Calibri"/>
                <w:b w:val="0"/>
                <w:i w:val="0"/>
                <w:color w:val="101828"/>
                <w:sz w:val="14"/>
              </w:rPr>
              <w:t xml:space="preserve">Taps </w:t>
            </w:r>
            <w:r>
              <w:rPr>
                <w:rFonts w:ascii="Calibri" w:hAnsi="Calibri"/>
                <w:i/>
                <w:color w:val="101828"/>
                <w:sz w:val="14"/>
              </w:rPr>
              <w:t>Create an Ajo</w:t>
            </w:r>
            <w:r>
              <w:rPr>
                <w:rFonts w:ascii="Calibri" w:hAnsi="Calibri"/>
                <w:b w:val="0"/>
                <w:i w:val="0"/>
                <w:color w:val="101828"/>
                <w:sz w:val="14"/>
              </w:rPr>
              <w:t xml:space="preserve"> from the dashboard.</w:t>
            </w:r>
          </w:p>
        </w:tc>
        <w:tc>
          <w:tcPr>
            <w:tcW w:type="dxa" w:w="2808"/>
            <w:tcMar>
              <w:top w:w="60" w:type="dxa"/>
              <w:start w:w="110" w:type="dxa"/>
              <w:bottom w:w="60" w:type="dxa"/>
              <w:end w:w="110" w:type="dxa"/>
            </w:tcMar>
          </w:tcPr>
          <w:p>
            <w:pPr>
              <w:spacing w:after="0"/>
            </w:pPr>
            <w:r/>
            <w:r>
              <w:rPr>
                <w:rFonts w:ascii="Calibri" w:hAnsi="Calibri"/>
                <w:b w:val="0"/>
                <w:i w:val="0"/>
                <w:color w:val="101828"/>
                <w:sz w:val="14"/>
              </w:rPr>
              <w:t xml:space="preserve">Wizard opens at step 1. The wizard is resumable: a partially configured DRAFT Ajo is restored exactly as it was left, and the draft is visible in My Ajos labelled </w:t>
            </w:r>
            <w:r>
              <w:rPr>
                <w:rFonts w:ascii="Calibri" w:hAnsi="Calibri"/>
                <w:i/>
                <w:color w:val="101828"/>
                <w:sz w:val="14"/>
              </w:rPr>
              <w:t>Draft</w:t>
            </w:r>
            <w:r>
              <w:rPr>
                <w:rFonts w:ascii="Calibri" w:hAnsi="Calibri"/>
                <w:b w:val="0"/>
                <w:i w:val="0"/>
                <w:color w:val="101828"/>
                <w:sz w:val="14"/>
              </w:rPr>
              <w:t>.</w:t>
            </w:r>
          </w:p>
        </w:tc>
        <w:tc>
          <w:tcPr>
            <w:tcW w:type="dxa" w:w="1483"/>
            <w:tcMar>
              <w:top w:w="60" w:type="dxa"/>
              <w:start w:w="110" w:type="dxa"/>
              <w:bottom w:w="60" w:type="dxa"/>
              <w:end w:w="110" w:type="dxa"/>
            </w:tcMar>
          </w:tcPr>
          <w:p>
            <w:pPr>
              <w:spacing w:after="0"/>
            </w:pPr>
            <w:r/>
            <w:r>
              <w:rPr>
                <w:rFonts w:ascii="Calibri" w:hAnsi="Calibri"/>
                <w:b w:val="0"/>
                <w:i w:val="0"/>
                <w:color w:val="101828"/>
                <w:sz w:val="14"/>
              </w:rPr>
              <w:t>FR-AJO-001, US-07, F1</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2.2.2</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Organiser</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SCR-APP-03 step 1</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Names the Ajo, sets the member count, the currency (NGN only at MVP) and the start date.</w:t>
            </w:r>
          </w:p>
        </w:tc>
        <w:tc>
          <w:tcPr>
            <w:tcW w:type="dxa" w:w="2808"/>
            <w:tcMar>
              <w:top w:w="60" w:type="dxa"/>
              <w:start w:w="110" w:type="dxa"/>
              <w:bottom w:w="60" w:type="dxa"/>
              <w:end w:w="110" w:type="dxa"/>
            </w:tcMar>
            <w:shd w:val="clear" w:color="auto" w:fill="F4F7FB"/>
          </w:tcPr>
          <w:p>
            <w:pPr>
              <w:spacing w:after="0"/>
            </w:pPr>
            <w:r/>
            <w:r>
              <w:rPr>
                <w:rFonts w:ascii="Consolas" w:hAnsi="Consolas"/>
                <w:color w:val="146EF5"/>
                <w:sz w:val="14"/>
              </w:rPr>
              <w:t>POST /ajos</w:t>
            </w:r>
            <w:r>
              <w:rPr>
                <w:rFonts w:ascii="Calibri" w:hAnsi="Calibri"/>
                <w:b w:val="0"/>
                <w:i w:val="0"/>
                <w:color w:val="101828"/>
                <w:sz w:val="14"/>
              </w:rPr>
              <w:t xml:space="preserve"> creates the Ajo in </w:t>
            </w:r>
            <w:r>
              <w:rPr>
                <w:rFonts w:ascii="Consolas" w:hAnsi="Consolas"/>
                <w:color w:val="146EF5"/>
                <w:sz w:val="14"/>
              </w:rPr>
              <w:t>DRAFT</w:t>
            </w:r>
            <w:r>
              <w:rPr>
                <w:rFonts w:ascii="Calibri" w:hAnsi="Calibri"/>
                <w:b w:val="0"/>
                <w:i w:val="0"/>
                <w:color w:val="101828"/>
                <w:sz w:val="14"/>
              </w:rPr>
              <w:t xml:space="preserve"> with </w:t>
            </w:r>
            <w:r>
              <w:rPr>
                <w:rFonts w:ascii="Consolas" w:hAnsi="Consolas"/>
                <w:color w:val="146EF5"/>
                <w:sz w:val="14"/>
              </w:rPr>
              <w:t>version = 1</w:t>
            </w:r>
            <w:r>
              <w:rPr>
                <w:rFonts w:ascii="Calibri" w:hAnsi="Calibri"/>
                <w:b w:val="0"/>
                <w:i w:val="0"/>
                <w:color w:val="101828"/>
                <w:sz w:val="14"/>
              </w:rPr>
              <w:t xml:space="preserve"> and assigns the organiser scope. Currency other than NGN is refused with a stated reason. Maximum size is capped by a configurable limit.</w:t>
            </w:r>
          </w:p>
        </w:tc>
        <w:tc>
          <w:tcPr>
            <w:tcW w:type="dxa" w:w="1483"/>
            <w:tcMar>
              <w:top w:w="60" w:type="dxa"/>
              <w:start w:w="110" w:type="dxa"/>
              <w:bottom w:w="60" w:type="dxa"/>
              <w:end w:w="110" w:type="dxa"/>
            </w:tcMar>
            <w:shd w:val="clear" w:color="auto" w:fill="F4F7FB"/>
          </w:tcPr>
          <w:p>
            <w:pPr>
              <w:spacing w:after="0"/>
            </w:pPr>
            <w:r/>
            <w:r>
              <w:rPr>
                <w:rFonts w:ascii="Calibri" w:hAnsi="Calibri"/>
                <w:b w:val="0"/>
                <w:i w:val="0"/>
                <w:color w:val="101828"/>
                <w:sz w:val="14"/>
              </w:rPr>
              <w:t>FR-AJO-002, C-07, D-08, BR-031</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2.2.3</w:t>
            </w:r>
          </w:p>
        </w:tc>
        <w:tc>
          <w:tcPr>
            <w:tcW w:type="dxa" w:w="1210"/>
            <w:tcMar>
              <w:top w:w="60" w:type="dxa"/>
              <w:start w:w="110" w:type="dxa"/>
              <w:bottom w:w="60" w:type="dxa"/>
              <w:end w:w="110" w:type="dxa"/>
            </w:tcMar>
          </w:tcPr>
          <w:p>
            <w:pPr>
              <w:spacing w:after="0"/>
            </w:pPr>
            <w:r/>
            <w:r>
              <w:rPr>
                <w:rFonts w:ascii="Calibri" w:hAnsi="Calibri"/>
                <w:b w:val="0"/>
                <w:i w:val="0"/>
                <w:color w:val="101828"/>
                <w:sz w:val="14"/>
              </w:rPr>
              <w:t>Organiser</w:t>
            </w:r>
          </w:p>
        </w:tc>
        <w:tc>
          <w:tcPr>
            <w:tcW w:type="dxa" w:w="1123"/>
            <w:tcMar>
              <w:top w:w="60" w:type="dxa"/>
              <w:start w:w="110" w:type="dxa"/>
              <w:bottom w:w="60" w:type="dxa"/>
              <w:end w:w="110" w:type="dxa"/>
            </w:tcMar>
          </w:tcPr>
          <w:p>
            <w:pPr>
              <w:spacing w:after="0"/>
            </w:pPr>
            <w:r/>
            <w:r>
              <w:rPr>
                <w:rFonts w:ascii="Calibri" w:hAnsi="Calibri"/>
                <w:b w:val="0"/>
                <w:i w:val="0"/>
                <w:color w:val="101828"/>
                <w:sz w:val="14"/>
              </w:rPr>
              <w:t>SCR-APP-03 step 2</w:t>
            </w:r>
          </w:p>
        </w:tc>
        <w:tc>
          <w:tcPr>
            <w:tcW w:type="dxa" w:w="2030"/>
            <w:tcMar>
              <w:top w:w="60" w:type="dxa"/>
              <w:start w:w="110" w:type="dxa"/>
              <w:bottom w:w="60" w:type="dxa"/>
              <w:end w:w="110" w:type="dxa"/>
            </w:tcMar>
          </w:tcPr>
          <w:p>
            <w:pPr>
              <w:spacing w:after="0"/>
            </w:pPr>
            <w:r/>
            <w:r>
              <w:rPr>
                <w:rFonts w:ascii="Calibri" w:hAnsi="Calibri"/>
                <w:b w:val="0"/>
                <w:i w:val="0"/>
                <w:color w:val="101828"/>
                <w:sz w:val="14"/>
              </w:rPr>
              <w:t>Enters the contribution, NGN 1,000.00.</w:t>
            </w:r>
          </w:p>
        </w:tc>
        <w:tc>
          <w:tcPr>
            <w:tcW w:type="dxa" w:w="2808"/>
            <w:tcMar>
              <w:top w:w="60" w:type="dxa"/>
              <w:start w:w="110" w:type="dxa"/>
              <w:bottom w:w="60" w:type="dxa"/>
              <w:end w:w="110" w:type="dxa"/>
            </w:tcMar>
          </w:tcPr>
          <w:p>
            <w:pPr>
              <w:spacing w:after="0"/>
            </w:pPr>
            <w:r/>
            <w:r>
              <w:rPr>
                <w:rFonts w:ascii="Consolas" w:hAnsi="Consolas"/>
                <w:color w:val="146EF5"/>
                <w:sz w:val="14"/>
              </w:rPr>
              <w:t>PATCH /ajos/:id</w:t>
            </w:r>
            <w:r>
              <w:rPr>
                <w:rFonts w:ascii="Calibri" w:hAnsi="Calibri"/>
                <w:b w:val="0"/>
                <w:i w:val="0"/>
                <w:color w:val="101828"/>
                <w:sz w:val="14"/>
              </w:rPr>
              <w:t xml:space="preserve">. The screen shows, live and before any commitment: contribution NGN 1,000.00, platform fee 2% NGN 20.00, total charged NGN 1,020.00. Fee is computed in kobo as </w:t>
            </w:r>
            <w:r>
              <w:rPr>
                <w:rFonts w:ascii="Consolas" w:hAnsi="Consolas"/>
                <w:color w:val="146EF5"/>
                <w:sz w:val="14"/>
              </w:rPr>
              <w:t>(amount_kobo * 200 + 5000) / 10000</w:t>
            </w:r>
            <w:r>
              <w:rPr>
                <w:rFonts w:ascii="Calibri" w:hAnsi="Calibri"/>
                <w:b w:val="0"/>
                <w:i w:val="0"/>
                <w:color w:val="101828"/>
                <w:sz w:val="14"/>
              </w:rPr>
              <w:t>, half-up, and is final at this point.</w:t>
            </w:r>
          </w:p>
        </w:tc>
        <w:tc>
          <w:tcPr>
            <w:tcW w:type="dxa" w:w="1483"/>
            <w:tcMar>
              <w:top w:w="60" w:type="dxa"/>
              <w:start w:w="110" w:type="dxa"/>
              <w:bottom w:w="60" w:type="dxa"/>
              <w:end w:w="110" w:type="dxa"/>
            </w:tcMar>
          </w:tcPr>
          <w:p>
            <w:pPr>
              <w:spacing w:after="0"/>
            </w:pPr>
            <w:r/>
            <w:r>
              <w:rPr>
                <w:rFonts w:ascii="Calibri" w:hAnsi="Calibri"/>
                <w:b w:val="0"/>
                <w:i w:val="0"/>
                <w:color w:val="101828"/>
                <w:sz w:val="14"/>
              </w:rPr>
              <w:t>BR-010, BR-011, BR-031, FR-AJO-005, US-08</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2.2.4</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Organiser</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SCR-APP-03 step 3</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Chooses the collection frequency: weekly or monthly at MVP.</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Frequency sets the due-date generator for every round. Frequency is immutable after activation; the screen says so before the organiser can wonder later.</w:t>
            </w:r>
          </w:p>
        </w:tc>
        <w:tc>
          <w:tcPr>
            <w:tcW w:type="dxa" w:w="1483"/>
            <w:tcMar>
              <w:top w:w="60" w:type="dxa"/>
              <w:start w:w="110" w:type="dxa"/>
              <w:bottom w:w="60" w:type="dxa"/>
              <w:end w:w="110" w:type="dxa"/>
            </w:tcMar>
            <w:shd w:val="clear" w:color="auto" w:fill="F4F7FB"/>
          </w:tcPr>
          <w:p>
            <w:pPr>
              <w:spacing w:after="0"/>
            </w:pPr>
            <w:r/>
            <w:r>
              <w:rPr>
                <w:rFonts w:ascii="Calibri" w:hAnsi="Calibri"/>
                <w:b w:val="0"/>
                <w:i w:val="0"/>
                <w:color w:val="101828"/>
                <w:sz w:val="14"/>
              </w:rPr>
              <w:t>FR-SCH-001, BR-005, FR-AJO-011</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2.2.5</w:t>
            </w:r>
          </w:p>
        </w:tc>
        <w:tc>
          <w:tcPr>
            <w:tcW w:type="dxa" w:w="1210"/>
            <w:tcMar>
              <w:top w:w="60" w:type="dxa"/>
              <w:start w:w="110" w:type="dxa"/>
              <w:bottom w:w="60" w:type="dxa"/>
              <w:end w:w="110" w:type="dxa"/>
            </w:tcMar>
          </w:tcPr>
          <w:p>
            <w:pPr>
              <w:spacing w:after="0"/>
            </w:pPr>
            <w:r/>
            <w:r>
              <w:rPr>
                <w:rFonts w:ascii="Calibri" w:hAnsi="Calibri"/>
                <w:b w:val="0"/>
                <w:i w:val="0"/>
                <w:color w:val="101828"/>
                <w:sz w:val="14"/>
              </w:rPr>
              <w:t>Organiser</w:t>
            </w:r>
          </w:p>
        </w:tc>
        <w:tc>
          <w:tcPr>
            <w:tcW w:type="dxa" w:w="1123"/>
            <w:tcMar>
              <w:top w:w="60" w:type="dxa"/>
              <w:start w:w="110" w:type="dxa"/>
              <w:bottom w:w="60" w:type="dxa"/>
              <w:end w:w="110" w:type="dxa"/>
            </w:tcMar>
          </w:tcPr>
          <w:p>
            <w:pPr>
              <w:spacing w:after="0"/>
            </w:pPr>
            <w:r/>
            <w:r>
              <w:rPr>
                <w:rFonts w:ascii="Calibri" w:hAnsi="Calibri"/>
                <w:b w:val="0"/>
                <w:i w:val="0"/>
                <w:color w:val="101828"/>
                <w:sz w:val="14"/>
              </w:rPr>
              <w:t>SCR-APP-03 step 4</w:t>
            </w:r>
          </w:p>
        </w:tc>
        <w:tc>
          <w:tcPr>
            <w:tcW w:type="dxa" w:w="2030"/>
            <w:tcMar>
              <w:top w:w="60" w:type="dxa"/>
              <w:start w:w="110" w:type="dxa"/>
              <w:bottom w:w="60" w:type="dxa"/>
              <w:end w:w="110" w:type="dxa"/>
            </w:tcMar>
          </w:tcPr>
          <w:p>
            <w:pPr>
              <w:spacing w:after="0"/>
            </w:pPr>
            <w:r/>
            <w:r>
              <w:rPr>
                <w:rFonts w:ascii="Calibri" w:hAnsi="Calibri"/>
                <w:b w:val="0"/>
                <w:i w:val="0"/>
                <w:color w:val="101828"/>
                <w:sz w:val="14"/>
              </w:rPr>
              <w:t>Confirms the duration, which equals the member count: 10 members implies 10 rounds.</w:t>
            </w:r>
          </w:p>
        </w:tc>
        <w:tc>
          <w:tcPr>
            <w:tcW w:type="dxa" w:w="2808"/>
            <w:tcMar>
              <w:top w:w="60" w:type="dxa"/>
              <w:start w:w="110" w:type="dxa"/>
              <w:bottom w:w="60" w:type="dxa"/>
              <w:end w:w="110" w:type="dxa"/>
            </w:tcMar>
          </w:tcPr>
          <w:p>
            <w:pPr>
              <w:spacing w:after="0"/>
            </w:pPr>
            <w:r/>
            <w:r>
              <w:rPr>
                <w:rFonts w:ascii="Calibri" w:hAnsi="Calibri"/>
                <w:b w:val="0"/>
                <w:i w:val="0"/>
                <w:color w:val="101828"/>
                <w:sz w:val="14"/>
              </w:rPr>
              <w:t>The screen shows the total across the Ajo: each member pays NGN 10,200.00 over 10 rounds; the recipient receives NGN 10,000.00; AJO.ng retains NGN 2,000.00; total collected across the Ajo is NGN 102,000.00.</w:t>
            </w:r>
          </w:p>
        </w:tc>
        <w:tc>
          <w:tcPr>
            <w:tcW w:type="dxa" w:w="1483"/>
            <w:tcMar>
              <w:top w:w="60" w:type="dxa"/>
              <w:start w:w="110" w:type="dxa"/>
              <w:bottom w:w="60" w:type="dxa"/>
              <w:end w:w="110" w:type="dxa"/>
            </w:tcMar>
          </w:tcPr>
          <w:p>
            <w:pPr>
              <w:spacing w:after="0"/>
            </w:pPr>
            <w:r/>
            <w:r>
              <w:rPr>
                <w:rFonts w:ascii="Calibri" w:hAnsi="Calibri"/>
                <w:b w:val="0"/>
                <w:i w:val="0"/>
                <w:color w:val="101828"/>
                <w:sz w:val="14"/>
              </w:rPr>
              <w:t>FR-AJO-005, BR-010, BR-012, US-09</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2.2.6</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Organiser</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SCR-APP-03 step 5</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Names the people to invite, by phone number or by an existing AJO.ng contact.</w:t>
            </w:r>
          </w:p>
        </w:tc>
        <w:tc>
          <w:tcPr>
            <w:tcW w:type="dxa" w:w="2808"/>
            <w:tcMar>
              <w:top w:w="60" w:type="dxa"/>
              <w:start w:w="110" w:type="dxa"/>
              <w:bottom w:w="60" w:type="dxa"/>
              <w:end w:w="110" w:type="dxa"/>
            </w:tcMar>
            <w:shd w:val="clear" w:color="auto" w:fill="F4F7FB"/>
          </w:tcPr>
          <w:p>
            <w:pPr>
              <w:spacing w:after="0"/>
            </w:pPr>
            <w:r/>
            <w:r>
              <w:rPr>
                <w:rFonts w:ascii="Consolas" w:hAnsi="Consolas"/>
                <w:color w:val="146EF5"/>
                <w:sz w:val="14"/>
              </w:rPr>
              <w:t>POST /invitations</w:t>
            </w:r>
            <w:r>
              <w:rPr>
                <w:rFonts w:ascii="Calibri" w:hAnsi="Calibri"/>
                <w:b w:val="0"/>
                <w:i w:val="0"/>
                <w:color w:val="101828"/>
                <w:sz w:val="14"/>
              </w:rPr>
              <w:t xml:space="preserve"> mints one single-use, expiring, revocable token per invitee. Each invitation discloses the organiser's name, the member count, the contribution, the fee, the frequency, the total duration, the total the invitee will pay and what happens on a missed payment. It reveals nothing about other members and nothing about the pot value.</w:t>
            </w:r>
          </w:p>
        </w:tc>
        <w:tc>
          <w:tcPr>
            <w:tcW w:type="dxa" w:w="1483"/>
            <w:tcMar>
              <w:top w:w="60" w:type="dxa"/>
              <w:start w:w="110" w:type="dxa"/>
              <w:bottom w:w="60" w:type="dxa"/>
              <w:end w:w="110" w:type="dxa"/>
            </w:tcMar>
            <w:shd w:val="clear" w:color="auto" w:fill="F4F7FB"/>
          </w:tcPr>
          <w:p>
            <w:pPr>
              <w:spacing w:after="0"/>
            </w:pPr>
            <w:r/>
            <w:r>
              <w:rPr>
                <w:rFonts w:ascii="Calibri" w:hAnsi="Calibri"/>
                <w:b w:val="0"/>
                <w:i w:val="0"/>
                <w:color w:val="101828"/>
                <w:sz w:val="14"/>
              </w:rPr>
              <w:t>FR-INV-001, FR-INV-002, FR-INV-004, BR-004, BR-006, NFR-SEC-008, US-09, US-10</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2.2.7</w:t>
            </w:r>
          </w:p>
        </w:tc>
        <w:tc>
          <w:tcPr>
            <w:tcW w:type="dxa" w:w="1210"/>
            <w:tcMar>
              <w:top w:w="60" w:type="dxa"/>
              <w:start w:w="110" w:type="dxa"/>
              <w:bottom w:w="60" w:type="dxa"/>
              <w:end w:w="110" w:type="dxa"/>
            </w:tcMar>
          </w:tcPr>
          <w:p>
            <w:pPr>
              <w:spacing w:after="0"/>
            </w:pPr>
            <w:r/>
            <w:r>
              <w:rPr>
                <w:rFonts w:ascii="Calibri" w:hAnsi="Calibri"/>
                <w:b w:val="0"/>
                <w:i w:val="0"/>
                <w:color w:val="101828"/>
                <w:sz w:val="14"/>
              </w:rPr>
              <w:t>Invitee</w:t>
            </w:r>
          </w:p>
        </w:tc>
        <w:tc>
          <w:tcPr>
            <w:tcW w:type="dxa" w:w="1123"/>
            <w:tcMar>
              <w:top w:w="60" w:type="dxa"/>
              <w:start w:w="110" w:type="dxa"/>
              <w:bottom w:w="60" w:type="dxa"/>
              <w:end w:w="110" w:type="dxa"/>
            </w:tcMar>
          </w:tcPr>
          <w:p>
            <w:pPr>
              <w:spacing w:after="0"/>
            </w:pPr>
            <w:r/>
            <w:r>
              <w:rPr>
                <w:rFonts w:ascii="Calibri" w:hAnsi="Calibri"/>
                <w:b w:val="0"/>
                <w:i w:val="0"/>
                <w:color w:val="101828"/>
                <w:sz w:val="14"/>
              </w:rPr>
              <w:t>—</w:t>
            </w:r>
          </w:p>
        </w:tc>
        <w:tc>
          <w:tcPr>
            <w:tcW w:type="dxa" w:w="2030"/>
            <w:tcMar>
              <w:top w:w="60" w:type="dxa"/>
              <w:start w:w="110" w:type="dxa"/>
              <w:bottom w:w="60" w:type="dxa"/>
              <w:end w:w="110" w:type="dxa"/>
            </w:tcMar>
          </w:tcPr>
          <w:p>
            <w:pPr>
              <w:spacing w:after="0"/>
            </w:pPr>
            <w:r/>
            <w:r>
              <w:rPr>
                <w:rFonts w:ascii="Calibri" w:hAnsi="Calibri"/>
                <w:b w:val="0"/>
                <w:i w:val="0"/>
                <w:color w:val="101828"/>
                <w:sz w:val="14"/>
              </w:rPr>
              <w:t xml:space="preserve">Receives </w:t>
            </w:r>
            <w:r>
              <w:rPr>
                <w:rFonts w:ascii="Consolas" w:hAnsi="Consolas"/>
                <w:color w:val="146EF5"/>
                <w:sz w:val="14"/>
              </w:rPr>
              <w:t>invitation.received</w:t>
            </w:r>
            <w:r>
              <w:rPr>
                <w:rFonts w:ascii="Calibri" w:hAnsi="Calibri"/>
                <w:b w:val="0"/>
                <w:i w:val="0"/>
                <w:color w:val="101828"/>
                <w:sz w:val="14"/>
              </w:rPr>
              <w:t>.</w:t>
            </w:r>
          </w:p>
        </w:tc>
        <w:tc>
          <w:tcPr>
            <w:tcW w:type="dxa" w:w="2808"/>
            <w:tcMar>
              <w:top w:w="60" w:type="dxa"/>
              <w:start w:w="110" w:type="dxa"/>
              <w:bottom w:w="60" w:type="dxa"/>
              <w:end w:w="110" w:type="dxa"/>
            </w:tcMar>
          </w:tcPr>
          <w:p>
            <w:pPr>
              <w:spacing w:after="0"/>
            </w:pPr>
            <w:r/>
            <w:r>
              <w:rPr>
                <w:rFonts w:ascii="Calibri" w:hAnsi="Calibri"/>
                <w:b w:val="0"/>
                <w:i w:val="0"/>
                <w:color w:val="101828"/>
                <w:sz w:val="14"/>
              </w:rPr>
              <w:t>Push, email and SMS, immediately. This is a money-critical event, so SMS is permitted here. The link resolves to the invitation, not to a login wall.</w:t>
            </w:r>
          </w:p>
        </w:tc>
        <w:tc>
          <w:tcPr>
            <w:tcW w:type="dxa" w:w="1483"/>
            <w:tcMar>
              <w:top w:w="60" w:type="dxa"/>
              <w:start w:w="110" w:type="dxa"/>
              <w:bottom w:w="60" w:type="dxa"/>
              <w:end w:w="110" w:type="dxa"/>
            </w:tcMar>
          </w:tcPr>
          <w:p>
            <w:pPr>
              <w:spacing w:after="0"/>
            </w:pPr>
            <w:r/>
            <w:r>
              <w:rPr>
                <w:rFonts w:ascii="Calibri" w:hAnsi="Calibri"/>
                <w:b w:val="0"/>
                <w:i w:val="0"/>
                <w:color w:val="101828"/>
                <w:sz w:val="14"/>
              </w:rPr>
              <w:t>CAN §8, FR-NOTIF-001, FR-NOTIF-003</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2.2.8</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Members</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SCR-APP-03 step 6</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Proposes and settles the payout order.</w:t>
            </w:r>
          </w:p>
        </w:tc>
        <w:tc>
          <w:tcPr>
            <w:tcW w:type="dxa" w:w="2808"/>
            <w:tcMar>
              <w:top w:w="60" w:type="dxa"/>
              <w:start w:w="110" w:type="dxa"/>
              <w:bottom w:w="60" w:type="dxa"/>
              <w:end w:w="110" w:type="dxa"/>
            </w:tcMar>
            <w:shd w:val="clear" w:color="auto" w:fill="F4F7FB"/>
          </w:tcPr>
          <w:p>
            <w:pPr>
              <w:spacing w:after="0"/>
            </w:pPr>
            <w:r/>
            <w:r>
              <w:rPr>
                <w:rFonts w:ascii="Consolas" w:hAnsi="Consolas"/>
                <w:color w:val="146EF5"/>
                <w:sz w:val="14"/>
              </w:rPr>
              <w:t>POST /ajos/:id/positions/claim</w:t>
            </w:r>
            <w:r>
              <w:rPr>
                <w:rFonts w:ascii="Calibri" w:hAnsi="Calibri"/>
                <w:b w:val="0"/>
                <w:i w:val="0"/>
                <w:color w:val="101828"/>
                <w:sz w:val="14"/>
              </w:rPr>
              <w:t xml:space="preserve"> lets a member claim an unclaimed position. </w:t>
            </w:r>
            <w:r>
              <w:rPr>
                <w:rFonts w:ascii="Consolas" w:hAnsi="Consolas"/>
                <w:color w:val="146EF5"/>
                <w:sz w:val="14"/>
              </w:rPr>
              <w:t>POST /ajos/:id/positions/reorder</w:t>
            </w:r>
            <w:r>
              <w:rPr>
                <w:rFonts w:ascii="Calibri" w:hAnsi="Calibri"/>
                <w:b w:val="0"/>
                <w:i w:val="0"/>
                <w:color w:val="101828"/>
                <w:sz w:val="14"/>
              </w:rPr>
              <w:t xml:space="preserve"> records the organiser's proposal. Until activation every position is mutable, and the screen states that the order is provisional in exactly those words.</w:t>
            </w:r>
          </w:p>
        </w:tc>
        <w:tc>
          <w:tcPr>
            <w:tcW w:type="dxa" w:w="1483"/>
            <w:tcMar>
              <w:top w:w="60" w:type="dxa"/>
              <w:start w:w="110" w:type="dxa"/>
              <w:bottom w:w="60" w:type="dxa"/>
              <w:end w:w="110" w:type="dxa"/>
            </w:tcMar>
            <w:shd w:val="clear" w:color="auto" w:fill="F4F7FB"/>
          </w:tcPr>
          <w:p>
            <w:pPr>
              <w:spacing w:after="0"/>
            </w:pPr>
            <w:r/>
            <w:r>
              <w:rPr>
                <w:rFonts w:ascii="Calibri" w:hAnsi="Calibri"/>
                <w:b w:val="0"/>
                <w:i w:val="0"/>
                <w:color w:val="101828"/>
                <w:sz w:val="14"/>
              </w:rPr>
              <w:t>FR-POS-003, FR-POS-004, BR-002 (pre-activation only), US-18</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2.2.9</w:t>
            </w:r>
          </w:p>
        </w:tc>
        <w:tc>
          <w:tcPr>
            <w:tcW w:type="dxa" w:w="1210"/>
            <w:tcMar>
              <w:top w:w="60" w:type="dxa"/>
              <w:start w:w="110" w:type="dxa"/>
              <w:bottom w:w="60" w:type="dxa"/>
              <w:end w:w="110" w:type="dxa"/>
            </w:tcMar>
          </w:tcPr>
          <w:p>
            <w:pPr>
              <w:spacing w:after="0"/>
            </w:pPr>
            <w:r/>
            <w:r>
              <w:rPr>
                <w:rFonts w:ascii="Calibri" w:hAnsi="Calibri"/>
                <w:b w:val="0"/>
                <w:i w:val="0"/>
                <w:color w:val="101828"/>
                <w:sz w:val="14"/>
              </w:rPr>
              <w:t>Organiser</w:t>
            </w:r>
          </w:p>
        </w:tc>
        <w:tc>
          <w:tcPr>
            <w:tcW w:type="dxa" w:w="1123"/>
            <w:tcMar>
              <w:top w:w="60" w:type="dxa"/>
              <w:start w:w="110" w:type="dxa"/>
              <w:bottom w:w="60" w:type="dxa"/>
              <w:end w:w="110" w:type="dxa"/>
            </w:tcMar>
          </w:tcPr>
          <w:p>
            <w:pPr>
              <w:spacing w:after="0"/>
            </w:pPr>
            <w:r/>
            <w:r>
              <w:rPr>
                <w:rFonts w:ascii="Calibri" w:hAnsi="Calibri"/>
                <w:b w:val="0"/>
                <w:i w:val="0"/>
                <w:color w:val="101828"/>
                <w:sz w:val="14"/>
              </w:rPr>
              <w:t>SCR-APP-03 step 7</w:t>
            </w:r>
          </w:p>
        </w:tc>
        <w:tc>
          <w:tcPr>
            <w:tcW w:type="dxa" w:w="2030"/>
            <w:tcMar>
              <w:top w:w="60" w:type="dxa"/>
              <w:start w:w="110" w:type="dxa"/>
              <w:bottom w:w="60" w:type="dxa"/>
              <w:end w:w="110" w:type="dxa"/>
            </w:tcMar>
          </w:tcPr>
          <w:p>
            <w:pPr>
              <w:spacing w:after="0"/>
            </w:pPr>
            <w:r/>
            <w:r>
              <w:rPr>
                <w:rFonts w:ascii="Calibri" w:hAnsi="Calibri"/>
                <w:b w:val="0"/>
                <w:i w:val="0"/>
                <w:color w:val="101828"/>
                <w:sz w:val="14"/>
              </w:rPr>
              <w:t>Reviews the complete economics and acknowledges the terms.</w:t>
            </w:r>
          </w:p>
        </w:tc>
        <w:tc>
          <w:tcPr>
            <w:tcW w:type="dxa" w:w="2808"/>
            <w:tcMar>
              <w:top w:w="60" w:type="dxa"/>
              <w:start w:w="110" w:type="dxa"/>
              <w:bottom w:w="60" w:type="dxa"/>
              <w:end w:w="110" w:type="dxa"/>
            </w:tcMar>
          </w:tcPr>
          <w:p>
            <w:pPr>
              <w:spacing w:after="0"/>
            </w:pPr>
            <w:r/>
            <w:r>
              <w:rPr>
                <w:rFonts w:ascii="Calibri" w:hAnsi="Calibri"/>
                <w:b w:val="0"/>
                <w:i w:val="0"/>
                <w:color w:val="101828"/>
                <w:sz w:val="14"/>
              </w:rPr>
              <w:t>The review shows the whole table from 2.0.3, the fee as a separate line, the organiser's non-guarantor role (BR-008), the complete-cycle commitment (BR-004), the 5-day enrollment window and its cancellation consequence, and the position-lock rule. A commit action that does not display the fee is prohibited by design, not by copy.</w:t>
            </w:r>
          </w:p>
        </w:tc>
        <w:tc>
          <w:tcPr>
            <w:tcW w:type="dxa" w:w="1483"/>
            <w:tcMar>
              <w:top w:w="60" w:type="dxa"/>
              <w:start w:w="110" w:type="dxa"/>
              <w:bottom w:w="60" w:type="dxa"/>
              <w:end w:w="110" w:type="dxa"/>
            </w:tcMar>
          </w:tcPr>
          <w:p>
            <w:pPr>
              <w:spacing w:after="0"/>
            </w:pPr>
            <w:r/>
            <w:r>
              <w:rPr>
                <w:rFonts w:ascii="Calibri" w:hAnsi="Calibri"/>
                <w:b w:val="0"/>
                <w:i w:val="0"/>
                <w:color w:val="101828"/>
                <w:sz w:val="14"/>
              </w:rPr>
              <w:t>BR-011, BR-004, BR-008, BR-001, BR-002, G3, R9</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2.2.10</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Organiser</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SCR-APP-03 step 7</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Taps </w:t>
            </w:r>
            <w:r>
              <w:rPr>
                <w:rFonts w:ascii="Calibri" w:hAnsi="Calibri"/>
                <w:i/>
                <w:color w:val="101828"/>
                <w:sz w:val="14"/>
              </w:rPr>
              <w:t>Create Ajo and open enrollment</w:t>
            </w:r>
            <w:r>
              <w:rPr>
                <w:rFonts w:ascii="Calibri" w:hAnsi="Calibri"/>
                <w:b w:val="0"/>
                <w:i w:val="0"/>
                <w:color w:val="101828"/>
                <w:sz w:val="14"/>
              </w:rPr>
              <w:t>.</w:t>
            </w:r>
          </w:p>
        </w:tc>
        <w:tc>
          <w:tcPr>
            <w:tcW w:type="dxa" w:w="2808"/>
            <w:tcMar>
              <w:top w:w="60" w:type="dxa"/>
              <w:start w:w="110" w:type="dxa"/>
              <w:bottom w:w="60" w:type="dxa"/>
              <w:end w:w="110" w:type="dxa"/>
            </w:tcMar>
            <w:shd w:val="clear" w:color="auto" w:fill="F4F7FB"/>
          </w:tcPr>
          <w:p>
            <w:pPr>
              <w:spacing w:after="0"/>
            </w:pPr>
            <w:r/>
            <w:r>
              <w:rPr>
                <w:rFonts w:ascii="Consolas" w:hAnsi="Consolas"/>
                <w:color w:val="146EF5"/>
                <w:sz w:val="14"/>
              </w:rPr>
              <w:t>POST /ajos/:id/activate</w:t>
            </w:r>
            <w:r>
              <w:rPr>
                <w:rFonts w:ascii="Calibri" w:hAnsi="Calibri"/>
                <w:b w:val="0"/>
                <w:i w:val="0"/>
                <w:color w:val="101828"/>
                <w:sz w:val="14"/>
              </w:rPr>
              <w:t xml:space="preserve"> performs </w:t>
            </w:r>
            <w:r>
              <w:rPr>
                <w:rFonts w:ascii="Consolas" w:hAnsi="Consolas"/>
                <w:color w:val="146EF5"/>
                <w:sz w:val="14"/>
              </w:rPr>
              <w:t>OPEN_ENROLLMENT</w:t>
            </w:r>
            <w:r>
              <w:rPr>
                <w:rFonts w:ascii="Calibri" w:hAnsi="Calibri"/>
                <w:b w:val="0"/>
                <w:i w:val="0"/>
                <w:color w:val="101828"/>
                <w:sz w:val="14"/>
              </w:rPr>
              <w:t>: DRAFT to ENROLLMENT, guarded by at least 2 positions, contribution set and frequency set. The 5-day window starts counting from this instant in UTC and the countdown is shown to the organiser and to every member in Africa/Lagos time with the zone stated explicitly.</w:t>
            </w:r>
          </w:p>
        </w:tc>
        <w:tc>
          <w:tcPr>
            <w:tcW w:type="dxa" w:w="1483"/>
            <w:tcMar>
              <w:top w:w="60" w:type="dxa"/>
              <w:start w:w="110" w:type="dxa"/>
              <w:bottom w:w="60" w:type="dxa"/>
              <w:end w:w="110" w:type="dxa"/>
            </w:tcMar>
            <w:shd w:val="clear" w:color="auto" w:fill="F4F7FB"/>
          </w:tcPr>
          <w:p>
            <w:pPr>
              <w:spacing w:after="0"/>
            </w:pPr>
            <w:r/>
            <w:r>
              <w:rPr>
                <w:rFonts w:ascii="Calibri" w:hAnsi="Calibri"/>
                <w:b w:val="0"/>
                <w:i w:val="0"/>
                <w:color w:val="101828"/>
                <w:sz w:val="14"/>
              </w:rPr>
              <w:t>CAN §3, BR-001, NFR-LOC-003, EC-050, EC-069</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2.2.11</w:t>
            </w:r>
          </w:p>
        </w:tc>
        <w:tc>
          <w:tcPr>
            <w:tcW w:type="dxa" w:w="1210"/>
            <w:tcMar>
              <w:top w:w="60" w:type="dxa"/>
              <w:start w:w="110" w:type="dxa"/>
              <w:bottom w:w="60" w:type="dxa"/>
              <w:end w:w="110" w:type="dxa"/>
            </w:tcMar>
          </w:tcPr>
          <w:p>
            <w:pPr>
              <w:spacing w:after="0"/>
            </w:pPr>
            <w:r/>
            <w:r>
              <w:rPr>
                <w:rFonts w:ascii="Calibri" w:hAnsi="Calibri"/>
                <w:b w:val="0"/>
                <w:i w:val="0"/>
                <w:color w:val="101828"/>
                <w:sz w:val="14"/>
              </w:rPr>
              <w:t>Organiser</w:t>
            </w:r>
          </w:p>
        </w:tc>
        <w:tc>
          <w:tcPr>
            <w:tcW w:type="dxa" w:w="1123"/>
            <w:tcMar>
              <w:top w:w="60" w:type="dxa"/>
              <w:start w:w="110" w:type="dxa"/>
              <w:bottom w:w="60" w:type="dxa"/>
              <w:end w:w="110" w:type="dxa"/>
            </w:tcMar>
          </w:tcPr>
          <w:p>
            <w:pPr>
              <w:spacing w:after="0"/>
            </w:pPr>
            <w:r/>
            <w:r>
              <w:rPr>
                <w:rFonts w:ascii="Calibri" w:hAnsi="Calibri"/>
                <w:b w:val="0"/>
                <w:i w:val="0"/>
                <w:color w:val="101828"/>
                <w:sz w:val="14"/>
              </w:rPr>
              <w:t>SCR-APP-06</w:t>
            </w:r>
          </w:p>
        </w:tc>
        <w:tc>
          <w:tcPr>
            <w:tcW w:type="dxa" w:w="2030"/>
            <w:tcMar>
              <w:top w:w="60" w:type="dxa"/>
              <w:start w:w="110" w:type="dxa"/>
              <w:bottom w:w="60" w:type="dxa"/>
              <w:end w:w="110" w:type="dxa"/>
            </w:tcMar>
          </w:tcPr>
          <w:p>
            <w:pPr>
              <w:spacing w:after="0"/>
            </w:pPr>
            <w:r/>
            <w:r>
              <w:rPr>
                <w:rFonts w:ascii="Calibri" w:hAnsi="Calibri"/>
                <w:b w:val="0"/>
                <w:i w:val="0"/>
                <w:color w:val="101828"/>
                <w:sz w:val="14"/>
              </w:rPr>
              <w:t>Monitors members who have not joined, resends invitations and sees who has claimed a position.</w:t>
            </w:r>
          </w:p>
        </w:tc>
        <w:tc>
          <w:tcPr>
            <w:tcW w:type="dxa" w:w="2808"/>
            <w:tcMar>
              <w:top w:w="60" w:type="dxa"/>
              <w:start w:w="110" w:type="dxa"/>
              <w:bottom w:w="60" w:type="dxa"/>
              <w:end w:w="110" w:type="dxa"/>
            </w:tcMar>
          </w:tcPr>
          <w:p>
            <w:pPr>
              <w:spacing w:after="0"/>
            </w:pPr>
            <w:r/>
            <w:r>
              <w:rPr>
                <w:rFonts w:ascii="Consolas" w:hAnsi="Consolas"/>
                <w:color w:val="146EF5"/>
                <w:sz w:val="14"/>
              </w:rPr>
              <w:t>GET /invitations</w:t>
            </w:r>
            <w:r>
              <w:rPr>
                <w:rFonts w:ascii="Calibri" w:hAnsi="Calibri"/>
                <w:b w:val="0"/>
                <w:i w:val="0"/>
                <w:color w:val="101828"/>
                <w:sz w:val="14"/>
              </w:rPr>
              <w:t xml:space="preserve">, </w:t>
            </w:r>
            <w:r>
              <w:rPr>
                <w:rFonts w:ascii="Consolas" w:hAnsi="Consolas"/>
                <w:color w:val="146EF5"/>
                <w:sz w:val="14"/>
              </w:rPr>
              <w:t>POST /invitations/resend</w:t>
            </w:r>
            <w:r>
              <w:rPr>
                <w:rFonts w:ascii="Calibri" w:hAnsi="Calibri"/>
                <w:b w:val="0"/>
                <w:i w:val="0"/>
                <w:color w:val="101828"/>
                <w:sz w:val="14"/>
              </w:rPr>
              <w:t xml:space="preserve">, </w:t>
            </w:r>
            <w:r>
              <w:rPr>
                <w:rFonts w:ascii="Consolas" w:hAnsi="Consolas"/>
                <w:color w:val="146EF5"/>
                <w:sz w:val="14"/>
              </w:rPr>
              <w:t>GET /ajos/:id/members</w:t>
            </w:r>
            <w:r>
              <w:rPr>
                <w:rFonts w:ascii="Calibri" w:hAnsi="Calibri"/>
                <w:b w:val="0"/>
                <w:i w:val="0"/>
                <w:color w:val="101828"/>
                <w:sz w:val="14"/>
              </w:rPr>
              <w:t xml:space="preserve">, </w:t>
            </w:r>
            <w:r>
              <w:rPr>
                <w:rFonts w:ascii="Consolas" w:hAnsi="Consolas"/>
                <w:color w:val="146EF5"/>
                <w:sz w:val="14"/>
              </w:rPr>
              <w:t>GET /ajos/:id/positions</w:t>
            </w:r>
            <w:r>
              <w:rPr>
                <w:rFonts w:ascii="Calibri" w:hAnsi="Calibri"/>
                <w:b w:val="0"/>
                <w:i w:val="0"/>
                <w:color w:val="101828"/>
                <w:sz w:val="14"/>
              </w:rPr>
              <w:t>. Resend is rate limited and never duplicates a membership. The organiser can send reminders but cannot collect, hold or reconcile money.</w:t>
            </w:r>
          </w:p>
        </w:tc>
        <w:tc>
          <w:tcPr>
            <w:tcW w:type="dxa" w:w="1483"/>
            <w:tcMar>
              <w:top w:w="60" w:type="dxa"/>
              <w:start w:w="110" w:type="dxa"/>
              <w:bottom w:w="60" w:type="dxa"/>
              <w:end w:w="110" w:type="dxa"/>
            </w:tcMar>
          </w:tcPr>
          <w:p>
            <w:pPr>
              <w:spacing w:after="0"/>
            </w:pPr>
            <w:r/>
            <w:r>
              <w:rPr>
                <w:rFonts w:ascii="Calibri" w:hAnsi="Calibri"/>
                <w:b w:val="0"/>
                <w:i w:val="0"/>
                <w:color w:val="101828"/>
                <w:sz w:val="14"/>
              </w:rPr>
              <w:t>FR-INV-005, FR-MEM-004, BR-022, FR-ADM-012</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2.2.12</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Organiser</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SCR-APP-05</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Sees the funding progress and the Ajo economics read-only.</w:t>
            </w:r>
          </w:p>
        </w:tc>
        <w:tc>
          <w:tcPr>
            <w:tcW w:type="dxa" w:w="2808"/>
            <w:tcMar>
              <w:top w:w="60" w:type="dxa"/>
              <w:start w:w="110" w:type="dxa"/>
              <w:bottom w:w="60" w:type="dxa"/>
              <w:end w:w="110" w:type="dxa"/>
            </w:tcMar>
            <w:shd w:val="clear" w:color="auto" w:fill="F4F7FB"/>
          </w:tcPr>
          <w:p>
            <w:pPr>
              <w:spacing w:after="0"/>
            </w:pPr>
            <w:r/>
            <w:r>
              <w:rPr>
                <w:rFonts w:ascii="Consolas" w:hAnsi="Consolas"/>
                <w:color w:val="146EF5"/>
                <w:sz w:val="14"/>
              </w:rPr>
              <w:t>GET /ajos/:id/summary</w:t>
            </w:r>
            <w:r>
              <w:rPr>
                <w:rFonts w:ascii="Calibri" w:hAnsi="Calibri"/>
                <w:b w:val="0"/>
                <w:i w:val="0"/>
                <w:color w:val="101828"/>
                <w:sz w:val="14"/>
              </w:rPr>
              <w:t xml:space="preserve"> shows positions claimed, contributions collected, fee retained and the base pool target. The pot figure shown to members is the base pool, never the collected total.</w:t>
            </w:r>
          </w:p>
        </w:tc>
        <w:tc>
          <w:tcPr>
            <w:tcW w:type="dxa" w:w="1483"/>
            <w:tcMar>
              <w:top w:w="60" w:type="dxa"/>
              <w:start w:w="110" w:type="dxa"/>
              <w:bottom w:w="60" w:type="dxa"/>
              <w:end w:w="110" w:type="dxa"/>
            </w:tcMar>
            <w:shd w:val="clear" w:color="auto" w:fill="F4F7FB"/>
          </w:tcPr>
          <w:p>
            <w:pPr>
              <w:spacing w:after="0"/>
            </w:pPr>
            <w:r/>
            <w:r>
              <w:rPr>
                <w:rFonts w:ascii="Calibri" w:hAnsi="Calibri"/>
                <w:b w:val="0"/>
                <w:i w:val="0"/>
                <w:color w:val="101828"/>
                <w:sz w:val="14"/>
              </w:rPr>
              <w:t>FR-AJO-017, FR-POS-002, BR-012</w:t>
            </w:r>
          </w:p>
        </w:tc>
      </w:tr>
    </w:tbl>
    <w:p>
      <w:pPr>
        <w:spacing w:after="80"/>
      </w:pPr>
    </w:p>
    <w:p>
      <w:pPr>
        <w:pStyle w:val="Heading3"/>
      </w:pPr>
      <w:r>
        <w:rPr>
          <w:rFonts w:ascii="Calibri" w:hAnsi="Calibri"/>
          <w:b/>
          <w:i w:val="0"/>
          <w:color w:val="0B1F3A"/>
          <w:sz w:val="24"/>
        </w:rPr>
        <w:t>2.2.4 Happy path</w:t>
      </w:r>
    </w:p>
    <w:p>
      <w:r>
        <w:rPr>
          <w:rFonts w:ascii="Calibri" w:hAnsi="Calibri"/>
          <w:b w:val="0"/>
          <w:i w:val="0"/>
          <w:color w:val="101828"/>
          <w:sz w:val="21"/>
        </w:rPr>
        <w:t xml:space="preserve">The organiser opens the wizard, names the Ajo </w:t>
      </w:r>
      <w:r>
        <w:rPr>
          <w:rFonts w:ascii="Calibri" w:hAnsi="Calibri"/>
          <w:i/>
          <w:color w:val="101828"/>
          <w:sz w:val="21"/>
        </w:rPr>
        <w:t>Lagos Market Monthly 2026</w:t>
      </w:r>
      <w:r>
        <w:rPr>
          <w:rFonts w:ascii="Calibri" w:hAnsi="Calibri"/>
          <w:b w:val="0"/>
          <w:i w:val="0"/>
          <w:color w:val="101828"/>
          <w:sz w:val="21"/>
        </w:rPr>
        <w:t>, sets 10 members at NGN 1,000.00 monthly, and works through seven steps. At step 2 the screen already shows the fee as a separate line: NGN 20.00, charged on top, total NGN 1,020.00. At step 5 the organiser sees the whole picture: every member will pay NGN 10,200.00 across the Ajo, the person whose turn it is will receive NGN 10,000.00, AJO.ng keeps NGN 2,000.00, and NGN 102,000.00 will pass through the arrangement in total. At step 6 the organiser proposes an order and members claim positions. At step 7 the organiser reads that they are a facilitator and not a guarantor, that joining commits a member to every remaining round, that the order locks on activation, and that if the group is not full in five days everything is cancelled and refunded. The organiser taps create. The Ajo moves to ENROLLMENT, a five-day countdown appears, and ten invitations have already gone out by SMS, email and push. No money has moved. The organiser's next job is to wait, and the software sends the reminders.</w:t>
      </w:r>
    </w:p>
    <w:p>
      <w:pPr>
        <w:pStyle w:val="Heading3"/>
      </w:pPr>
      <w:r>
        <w:rPr>
          <w:rFonts w:ascii="Calibri" w:hAnsi="Calibri"/>
          <w:b/>
          <w:i w:val="0"/>
          <w:color w:val="0B1F3A"/>
          <w:sz w:val="24"/>
        </w:rPr>
        <w:t>2.2.5 Alternates and failure branches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800"/>
            <w:shd w:val="clear" w:color="auto" w:fill="0B1F3A"/>
            <w:tcMar>
              <w:top w:w="60" w:type="dxa"/>
              <w:start w:w="110" w:type="dxa"/>
              <w:bottom w:w="60" w:type="dxa"/>
              <w:end w:w="110" w:type="dxa"/>
            </w:tcMar>
          </w:tcPr>
          <w:p>
            <w:pPr>
              <w:spacing w:after="0"/>
            </w:pPr>
            <w:r/>
            <w:r>
              <w:rPr>
                <w:rFonts w:ascii="Calibri" w:hAnsi="Calibri"/>
                <w:b/>
                <w:i w:val="0"/>
                <w:color w:val="FFFFFF"/>
                <w:sz w:val="14"/>
              </w:rPr>
              <w:t>Condition</w:t>
            </w:r>
          </w:p>
        </w:tc>
        <w:tc>
          <w:tcPr>
            <w:tcW w:type="dxa" w:w="2074"/>
            <w:shd w:val="clear" w:color="auto" w:fill="0B1F3A"/>
            <w:tcMar>
              <w:top w:w="60" w:type="dxa"/>
              <w:start w:w="110" w:type="dxa"/>
              <w:bottom w:w="60" w:type="dxa"/>
              <w:end w:w="110" w:type="dxa"/>
            </w:tcMar>
          </w:tcPr>
          <w:p>
            <w:pPr>
              <w:spacing w:after="0"/>
            </w:pPr>
            <w:r/>
            <w:r>
              <w:rPr>
                <w:rFonts w:ascii="Calibri" w:hAnsi="Calibri"/>
                <w:b/>
                <w:i w:val="0"/>
                <w:color w:val="FFFFFF"/>
                <w:sz w:val="14"/>
              </w:rPr>
              <w:t>Branch</w:t>
            </w:r>
          </w:p>
        </w:tc>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4"/>
              </w:rPr>
              <w:t>Message</w:t>
            </w:r>
          </w:p>
        </w:tc>
        <w:tc>
          <w:tcPr>
            <w:tcW w:type="dxa" w:w="2506"/>
            <w:shd w:val="clear" w:color="auto" w:fill="0B1F3A"/>
            <w:tcMar>
              <w:top w:w="60" w:type="dxa"/>
              <w:start w:w="110" w:type="dxa"/>
              <w:bottom w:w="60" w:type="dxa"/>
              <w:end w:w="110" w:type="dxa"/>
            </w:tcMar>
          </w:tcPr>
          <w:p>
            <w:pPr>
              <w:spacing w:after="0"/>
            </w:pPr>
            <w:r/>
            <w:r>
              <w:rPr>
                <w:rFonts w:ascii="Calibri" w:hAnsi="Calibri"/>
                <w:b/>
                <w:i w:val="0"/>
                <w:color w:val="FFFFFF"/>
                <w:sz w:val="14"/>
              </w:rPr>
              <w:t>Recovery</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4"/>
              </w:rPr>
              <w:t>Contribution amount is below the configured minimum or above the contribution cap</w:t>
            </w:r>
          </w:p>
        </w:tc>
        <w:tc>
          <w:tcPr>
            <w:tcW w:type="dxa" w:w="2074"/>
            <w:tcMar>
              <w:top w:w="60" w:type="dxa"/>
              <w:start w:w="110" w:type="dxa"/>
              <w:bottom w:w="60" w:type="dxa"/>
              <w:end w:w="110" w:type="dxa"/>
            </w:tcMar>
          </w:tcPr>
          <w:p>
            <w:pPr>
              <w:spacing w:after="0"/>
            </w:pPr>
            <w:r/>
            <w:r>
              <w:rPr>
                <w:rFonts w:ascii="Calibri" w:hAnsi="Calibri"/>
                <w:b w:val="0"/>
                <w:i w:val="0"/>
                <w:color w:val="101828"/>
                <w:sz w:val="14"/>
              </w:rPr>
              <w:t>The step cannot be committed. The cap and its rationale are shown before the attempt, not after the error.</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SCR-APP-03 step 2</w:t>
            </w:r>
          </w:p>
        </w:tc>
        <w:tc>
          <w:tcPr>
            <w:tcW w:type="dxa" w:w="1944"/>
            <w:tcMar>
              <w:top w:w="60" w:type="dxa"/>
              <w:start w:w="110" w:type="dxa"/>
              <w:bottom w:w="60" w:type="dxa"/>
              <w:end w:w="110" w:type="dxa"/>
            </w:tcMar>
          </w:tcPr>
          <w:p>
            <w:pPr>
              <w:spacing w:after="0"/>
            </w:pPr>
            <w:r/>
            <w:r>
              <w:rPr>
                <w:rFonts w:ascii="Calibri" w:hAnsi="Calibri"/>
                <w:i/>
                <w:color w:val="101828"/>
                <w:sz w:val="14"/>
              </w:rPr>
              <w:t>This amount is outside the range AJO.ng allows for one contribution.</w:t>
            </w:r>
          </w:p>
        </w:tc>
        <w:tc>
          <w:tcPr>
            <w:tcW w:type="dxa" w:w="2506"/>
            <w:tcMar>
              <w:top w:w="60" w:type="dxa"/>
              <w:start w:w="110" w:type="dxa"/>
              <w:bottom w:w="60" w:type="dxa"/>
              <w:end w:w="110" w:type="dxa"/>
            </w:tcMar>
          </w:tcPr>
          <w:p>
            <w:pPr>
              <w:spacing w:after="0"/>
            </w:pPr>
            <w:r/>
            <w:r>
              <w:rPr>
                <w:rFonts w:ascii="Calibri" w:hAnsi="Calibri"/>
                <w:b w:val="0"/>
                <w:i w:val="0"/>
                <w:color w:val="101828"/>
                <w:sz w:val="14"/>
              </w:rPr>
              <w:t xml:space="preserve">Choose an amount inside the range. The cap is a fraud control and is configurable only by </w:t>
            </w:r>
            <w:r>
              <w:rPr>
                <w:rFonts w:ascii="Consolas" w:hAnsi="Consolas"/>
                <w:color w:val="146EF5"/>
                <w:sz w:val="14"/>
              </w:rPr>
              <w:t>super_admin</w:t>
            </w:r>
            <w:r>
              <w:rPr>
                <w:rFonts w:ascii="Calibri" w:hAnsi="Calibri"/>
                <w:b w:val="0"/>
                <w:i w:val="0"/>
                <w:color w:val="101828"/>
                <w:sz w:val="14"/>
              </w:rPr>
              <w:t xml:space="preserve"> with a versioned, audited change. D-08, EC-021.</w:t>
            </w:r>
          </w:p>
        </w:tc>
      </w:tr>
      <w:tr>
        <w:trPr>
          <w:cantSplit/>
        </w:trPr>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The organiser sets fewer than 2 positions</w:t>
            </w:r>
          </w:p>
        </w:tc>
        <w:tc>
          <w:tcPr>
            <w:tcW w:type="dxa" w:w="2074"/>
            <w:tcMar>
              <w:top w:w="60" w:type="dxa"/>
              <w:start w:w="110" w:type="dxa"/>
              <w:bottom w:w="60" w:type="dxa"/>
              <w:end w:w="110" w:type="dxa"/>
            </w:tcMar>
            <w:shd w:val="clear" w:color="auto" w:fill="F4F7FB"/>
          </w:tcPr>
          <w:p>
            <w:pPr>
              <w:spacing w:after="0"/>
            </w:pPr>
            <w:r/>
            <w:r>
              <w:rPr>
                <w:rFonts w:ascii="Consolas" w:hAnsi="Consolas"/>
                <w:color w:val="146EF5"/>
                <w:sz w:val="14"/>
              </w:rPr>
              <w:t>OPEN_ENROLLMENT</w:t>
            </w:r>
            <w:r>
              <w:rPr>
                <w:rFonts w:ascii="Calibri" w:hAnsi="Calibri"/>
                <w:b w:val="0"/>
                <w:i w:val="0"/>
                <w:color w:val="101828"/>
                <w:sz w:val="14"/>
              </w:rPr>
              <w:t xml:space="preserve"> guard fails. The Ajo stays in DRAFT.</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SCR-APP-03 step 4</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An Ajo needs at least two members. One member is a savings account, not an Ajo.</w:t>
            </w:r>
          </w:p>
        </w:tc>
        <w:tc>
          <w:tcPr>
            <w:tcW w:type="dxa" w:w="2506"/>
            <w:tcMar>
              <w:top w:w="60" w:type="dxa"/>
              <w:start w:w="110" w:type="dxa"/>
              <w:bottom w:w="60" w:type="dxa"/>
              <w:end w:w="110" w:type="dxa"/>
            </w:tcMar>
            <w:shd w:val="clear" w:color="auto" w:fill="F4F7FB"/>
          </w:tcPr>
          <w:p>
            <w:pPr>
              <w:spacing w:after="0"/>
            </w:pPr>
            <w:r/>
            <w:r>
              <w:rPr>
                <w:rFonts w:ascii="Calibri" w:hAnsi="Calibri"/>
                <w:b w:val="0"/>
                <w:i w:val="0"/>
                <w:color w:val="101828"/>
                <w:sz w:val="14"/>
              </w:rPr>
              <w:t>Raise the member count. CAN §3 guard, EC-060.</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4"/>
              </w:rPr>
              <w:t>The organiser abandons the wizard and returns days later</w:t>
            </w:r>
          </w:p>
        </w:tc>
        <w:tc>
          <w:tcPr>
            <w:tcW w:type="dxa" w:w="2074"/>
            <w:tcMar>
              <w:top w:w="60" w:type="dxa"/>
              <w:start w:w="110" w:type="dxa"/>
              <w:bottom w:w="60" w:type="dxa"/>
              <w:end w:w="110" w:type="dxa"/>
            </w:tcMar>
          </w:tcPr>
          <w:p>
            <w:pPr>
              <w:spacing w:after="0"/>
            </w:pPr>
            <w:r/>
            <w:r>
              <w:rPr>
                <w:rFonts w:ascii="Calibri" w:hAnsi="Calibri"/>
                <w:b w:val="0"/>
                <w:i w:val="0"/>
                <w:color w:val="101828"/>
                <w:sz w:val="14"/>
              </w:rPr>
              <w:t>The Ajo is still in DRAFT. A draft has no clock running on it, so an abandoned draft does not silently cancel anything.</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SCR-APP-02 / SCR-APP-03</w:t>
            </w:r>
          </w:p>
        </w:tc>
        <w:tc>
          <w:tcPr>
            <w:tcW w:type="dxa" w:w="1944"/>
            <w:tcMar>
              <w:top w:w="60" w:type="dxa"/>
              <w:start w:w="110" w:type="dxa"/>
              <w:bottom w:w="60" w:type="dxa"/>
              <w:end w:w="110" w:type="dxa"/>
            </w:tcMar>
          </w:tcPr>
          <w:p>
            <w:pPr>
              <w:spacing w:after="0"/>
            </w:pPr>
            <w:r/>
            <w:r>
              <w:rPr>
                <w:rFonts w:ascii="Calibri" w:hAnsi="Calibri"/>
                <w:i/>
                <w:color w:val="101828"/>
                <w:sz w:val="14"/>
              </w:rPr>
              <w:t>Your Ajo is saved as a draft. Nothing has started yet.</w:t>
            </w:r>
          </w:p>
        </w:tc>
        <w:tc>
          <w:tcPr>
            <w:tcW w:type="dxa" w:w="2506"/>
            <w:tcMar>
              <w:top w:w="60" w:type="dxa"/>
              <w:start w:w="110" w:type="dxa"/>
              <w:bottom w:w="60" w:type="dxa"/>
              <w:end w:w="110" w:type="dxa"/>
            </w:tcMar>
          </w:tcPr>
          <w:p>
            <w:pPr>
              <w:spacing w:after="0"/>
            </w:pPr>
            <w:r/>
            <w:r>
              <w:rPr>
                <w:rFonts w:ascii="Calibri" w:hAnsi="Calibri"/>
                <w:b w:val="0"/>
                <w:i w:val="0"/>
                <w:color w:val="101828"/>
                <w:sz w:val="14"/>
              </w:rPr>
              <w:t>Resume the wizard, or delete the draft. US-07, EC-061.</w:t>
            </w:r>
          </w:p>
        </w:tc>
      </w:tr>
      <w:tr>
        <w:trPr>
          <w:cantSplit/>
        </w:trPr>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Day 5 arrives with positions unfilled</w:t>
            </w:r>
          </w:p>
        </w:tc>
        <w:tc>
          <w:tcPr>
            <w:tcW w:type="dxa" w:w="2074"/>
            <w:tcMar>
              <w:top w:w="60" w:type="dxa"/>
              <w:start w:w="110" w:type="dxa"/>
              <w:bottom w:w="60" w:type="dxa"/>
              <w:end w:w="110" w:type="dxa"/>
            </w:tcMar>
            <w:shd w:val="clear" w:color="auto" w:fill="F4F7FB"/>
          </w:tcPr>
          <w:p>
            <w:pPr>
              <w:spacing w:after="0"/>
            </w:pPr>
            <w:r/>
            <w:r>
              <w:rPr>
                <w:rFonts w:ascii="Calibri" w:hAnsi="Calibri"/>
                <w:b w:val="0"/>
                <w:i w:val="0"/>
                <w:color w:val="101828"/>
                <w:sz w:val="14"/>
              </w:rPr>
              <w:t>The system transitions the Ajo to CANCELLED with a recorded reason, automatically. The organiser cannot extend the window.</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SCR-APP-05 / SCR-APP-12</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To the organiser: </w:t>
            </w:r>
            <w:r>
              <w:rPr>
                <w:rFonts w:ascii="Calibri" w:hAnsi="Calibri"/>
                <w:i/>
                <w:color w:val="101828"/>
                <w:sz w:val="14"/>
              </w:rPr>
              <w:t>Enrollment closed after 5 days with 7 of 10 positions filled. Nothing was collected and nothing is owed.</w:t>
            </w:r>
          </w:p>
        </w:tc>
        <w:tc>
          <w:tcPr>
            <w:tcW w:type="dxa" w:w="2506"/>
            <w:tcMar>
              <w:top w:w="60" w:type="dxa"/>
              <w:start w:w="110" w:type="dxa"/>
              <w:bottom w:w="60" w:type="dxa"/>
              <w:end w:w="110" w:type="dxa"/>
            </w:tcMar>
            <w:shd w:val="clear" w:color="auto" w:fill="F4F7FB"/>
          </w:tcPr>
          <w:p>
            <w:pPr>
              <w:spacing w:after="0"/>
            </w:pPr>
            <w:r/>
            <w:r>
              <w:rPr>
                <w:rFonts w:ascii="Calibri" w:hAnsi="Calibri"/>
                <w:b w:val="0"/>
                <w:i w:val="0"/>
                <w:color w:val="101828"/>
                <w:sz w:val="14"/>
              </w:rPr>
              <w:t>Start again with better recruitment. Any prepayment is refunded in full. BR-001, EC-050.</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4"/>
              </w:rPr>
              <w:t>The organiser tries to change contribution, frequency, size or order after activation</w:t>
            </w:r>
          </w:p>
        </w:tc>
        <w:tc>
          <w:tcPr>
            <w:tcW w:type="dxa" w:w="2074"/>
            <w:tcMar>
              <w:top w:w="60" w:type="dxa"/>
              <w:start w:w="110" w:type="dxa"/>
              <w:bottom w:w="60" w:type="dxa"/>
              <w:end w:w="110" w:type="dxa"/>
            </w:tcMar>
          </w:tcPr>
          <w:p>
            <w:pPr>
              <w:spacing w:after="0"/>
            </w:pPr>
            <w:r/>
            <w:r>
              <w:rPr>
                <w:rFonts w:ascii="Calibri" w:hAnsi="Calibri"/>
                <w:b w:val="0"/>
                <w:i w:val="0"/>
                <w:color w:val="101828"/>
                <w:sz w:val="14"/>
              </w:rPr>
              <w:t>Refused at the API and recorded as a refused attempt. The screen explains the only legal alternative.</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SCR-APP-05</w:t>
            </w:r>
          </w:p>
        </w:tc>
        <w:tc>
          <w:tcPr>
            <w:tcW w:type="dxa" w:w="1944"/>
            <w:tcMar>
              <w:top w:w="60" w:type="dxa"/>
              <w:start w:w="110" w:type="dxa"/>
              <w:bottom w:w="60" w:type="dxa"/>
              <w:end w:w="110" w:type="dxa"/>
            </w:tcMar>
          </w:tcPr>
          <w:p>
            <w:pPr>
              <w:spacing w:after="0"/>
            </w:pPr>
            <w:r/>
            <w:r>
              <w:rPr>
                <w:rFonts w:ascii="Calibri" w:hAnsi="Calibri"/>
                <w:i/>
                <w:color w:val="101828"/>
                <w:sz w:val="14"/>
              </w:rPr>
              <w:t>These terms are locked when the Ajo activates. The only change available after activation is a formal replacement request.</w:t>
            </w:r>
          </w:p>
        </w:tc>
        <w:tc>
          <w:tcPr>
            <w:tcW w:type="dxa" w:w="2506"/>
            <w:tcMar>
              <w:top w:w="60" w:type="dxa"/>
              <w:start w:w="110" w:type="dxa"/>
              <w:bottom w:w="60" w:type="dxa"/>
              <w:end w:w="110" w:type="dxa"/>
            </w:tcMar>
          </w:tcPr>
          <w:p>
            <w:pPr>
              <w:spacing w:after="0"/>
            </w:pPr>
            <w:r/>
            <w:r>
              <w:rPr>
                <w:rFonts w:ascii="Calibri" w:hAnsi="Calibri"/>
                <w:b w:val="0"/>
                <w:i w:val="0"/>
                <w:color w:val="101828"/>
                <w:sz w:val="14"/>
              </w:rPr>
              <w:t>Cancel and create a new Ajo, or raise a replacement request. BR-002, BR-005, US-12, EC-054.</w:t>
            </w:r>
          </w:p>
        </w:tc>
      </w:tr>
      <w:tr>
        <w:trPr>
          <w:cantSplit/>
        </w:trPr>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The organiser tries to remove a member after activation</w:t>
            </w:r>
          </w:p>
        </w:tc>
        <w:tc>
          <w:tcPr>
            <w:tcW w:type="dxa" w:w="207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Refused for every role, including </w:t>
            </w:r>
            <w:r>
              <w:rPr>
                <w:rFonts w:ascii="Consolas" w:hAnsi="Consolas"/>
                <w:color w:val="146EF5"/>
                <w:sz w:val="14"/>
              </w:rPr>
              <w:t>super_admin</w:t>
            </w:r>
            <w:r>
              <w:rPr>
                <w:rFonts w:ascii="Calibri" w:hAnsi="Calibri"/>
                <w:b w:val="0"/>
                <w:i w:val="0"/>
                <w:color w:val="101828"/>
                <w:sz w:val="14"/>
              </w:rPr>
              <w:t>. Removal is pre-activation only.</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SCR-APP-06</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Members cannot be removed once the Ajo is active. A replacement must take the position.</w:t>
            </w:r>
          </w:p>
        </w:tc>
        <w:tc>
          <w:tcPr>
            <w:tcW w:type="dxa" w:w="2506"/>
            <w:tcMar>
              <w:top w:w="60" w:type="dxa"/>
              <w:start w:w="110" w:type="dxa"/>
              <w:bottom w:w="60" w:type="dxa"/>
              <w:end w:w="110" w:type="dxa"/>
            </w:tcMar>
            <w:shd w:val="clear" w:color="auto" w:fill="F4F7FB"/>
          </w:tcPr>
          <w:p>
            <w:pPr>
              <w:spacing w:after="0"/>
            </w:pPr>
            <w:r/>
            <w:r>
              <w:rPr>
                <w:rFonts w:ascii="Calibri" w:hAnsi="Calibri"/>
                <w:b w:val="0"/>
                <w:i w:val="0"/>
                <w:color w:val="101828"/>
                <w:sz w:val="14"/>
              </w:rPr>
              <w:t>Raise a replacement or transfer request. BR-007, EC-086.</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4"/>
              </w:rPr>
              <w:t>A phone number is entered that is already an active member of the same Ajo</w:t>
            </w:r>
          </w:p>
        </w:tc>
        <w:tc>
          <w:tcPr>
            <w:tcW w:type="dxa" w:w="2074"/>
            <w:tcMar>
              <w:top w:w="60" w:type="dxa"/>
              <w:start w:w="110" w:type="dxa"/>
              <w:bottom w:w="60" w:type="dxa"/>
              <w:end w:w="110" w:type="dxa"/>
            </w:tcMar>
          </w:tcPr>
          <w:p>
            <w:pPr>
              <w:spacing w:after="0"/>
            </w:pPr>
            <w:r/>
            <w:r>
              <w:rPr>
                <w:rFonts w:ascii="Calibri" w:hAnsi="Calibri"/>
                <w:b w:val="0"/>
                <w:i w:val="0"/>
                <w:color w:val="101828"/>
                <w:sz w:val="14"/>
              </w:rPr>
              <w:t>No second membership is created; the existing member is offered to open their existing position instead.</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SCR-APP-03 step 5</w:t>
            </w:r>
          </w:p>
        </w:tc>
        <w:tc>
          <w:tcPr>
            <w:tcW w:type="dxa" w:w="1944"/>
            <w:tcMar>
              <w:top w:w="60" w:type="dxa"/>
              <w:start w:w="110" w:type="dxa"/>
              <w:bottom w:w="60" w:type="dxa"/>
              <w:end w:w="110" w:type="dxa"/>
            </w:tcMar>
          </w:tcPr>
          <w:p>
            <w:pPr>
              <w:spacing w:after="0"/>
            </w:pPr>
            <w:r/>
            <w:r>
              <w:rPr>
                <w:rFonts w:ascii="Calibri" w:hAnsi="Calibri"/>
                <w:i/>
                <w:color w:val="101828"/>
                <w:sz w:val="14"/>
              </w:rPr>
              <w:t>This number is already in the Ajo. Send them their invitation again.</w:t>
            </w:r>
          </w:p>
        </w:tc>
        <w:tc>
          <w:tcPr>
            <w:tcW w:type="dxa" w:w="2506"/>
            <w:tcMar>
              <w:top w:w="60" w:type="dxa"/>
              <w:start w:w="110" w:type="dxa"/>
              <w:bottom w:w="60" w:type="dxa"/>
              <w:end w:w="110" w:type="dxa"/>
            </w:tcMar>
          </w:tcPr>
          <w:p>
            <w:pPr>
              <w:spacing w:after="0"/>
            </w:pPr>
            <w:r/>
            <w:r>
              <w:rPr>
                <w:rFonts w:ascii="Calibri" w:hAnsi="Calibri"/>
                <w:b w:val="0"/>
                <w:i w:val="0"/>
                <w:color w:val="101828"/>
                <w:sz w:val="14"/>
              </w:rPr>
              <w:t>Resend the invitation. One identity, one membership. BR-030, EC-094.</w:t>
            </w:r>
          </w:p>
        </w:tc>
      </w:tr>
      <w:tr>
        <w:trPr>
          <w:cantSplit/>
        </w:trPr>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An invitation is sent to someone who will never accept it</w:t>
            </w:r>
          </w:p>
        </w:tc>
        <w:tc>
          <w:tcPr>
            <w:tcW w:type="dxa" w:w="2074"/>
            <w:tcMar>
              <w:top w:w="60" w:type="dxa"/>
              <w:start w:w="110" w:type="dxa"/>
              <w:bottom w:w="60" w:type="dxa"/>
              <w:end w:w="110" w:type="dxa"/>
            </w:tcMar>
            <w:shd w:val="clear" w:color="auto" w:fill="F4F7FB"/>
          </w:tcPr>
          <w:p>
            <w:pPr>
              <w:spacing w:after="0"/>
            </w:pPr>
            <w:r/>
            <w:r>
              <w:rPr>
                <w:rFonts w:ascii="Calibri" w:hAnsi="Calibri"/>
                <w:b w:val="0"/>
                <w:i w:val="0"/>
                <w:color w:val="101828"/>
                <w:sz w:val="14"/>
              </w:rPr>
              <w:t>The organiser sees the unfilled position with the days remaining. No escalation, no pressure list, no automatic bulk messaging.</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SCR-APP-06</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7 of 10 positions filled. Enrollment closes in 3 days.</w:t>
            </w:r>
          </w:p>
        </w:tc>
        <w:tc>
          <w:tcPr>
            <w:tcW w:type="dxa" w:w="2506"/>
            <w:tcMar>
              <w:top w:w="60" w:type="dxa"/>
              <w:start w:w="110" w:type="dxa"/>
              <w:bottom w:w="60" w:type="dxa"/>
              <w:end w:w="110" w:type="dxa"/>
            </w:tcMar>
            <w:shd w:val="clear" w:color="auto" w:fill="F4F7FB"/>
          </w:tcPr>
          <w:p>
            <w:pPr>
              <w:spacing w:after="0"/>
            </w:pPr>
            <w:r/>
            <w:r>
              <w:rPr>
                <w:rFonts w:ascii="Calibri" w:hAnsi="Calibri"/>
                <w:b w:val="0"/>
                <w:i w:val="0"/>
                <w:color w:val="101828"/>
                <w:sz w:val="14"/>
              </w:rPr>
              <w:t>Invite someone else. BR-029, R12, EC-062.</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4"/>
              </w:rPr>
              <w:t>The organiser attempts an action on a CANCELLED or COMPLETED Ajo</w:t>
            </w:r>
          </w:p>
        </w:tc>
        <w:tc>
          <w:tcPr>
            <w:tcW w:type="dxa" w:w="2074"/>
            <w:tcMar>
              <w:top w:w="60" w:type="dxa"/>
              <w:start w:w="110" w:type="dxa"/>
              <w:bottom w:w="60" w:type="dxa"/>
              <w:end w:w="110" w:type="dxa"/>
            </w:tcMar>
          </w:tcPr>
          <w:p>
            <w:pPr>
              <w:spacing w:after="0"/>
            </w:pPr>
            <w:r/>
            <w:r>
              <w:rPr>
                <w:rFonts w:ascii="Calibri" w:hAnsi="Calibri"/>
                <w:b w:val="0"/>
                <w:i w:val="0"/>
                <w:color w:val="101828"/>
                <w:sz w:val="14"/>
              </w:rPr>
              <w:t>Rejected as a terminal-state event, and the attempt is recorded.</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SCR-APP-05</w:t>
            </w:r>
          </w:p>
        </w:tc>
        <w:tc>
          <w:tcPr>
            <w:tcW w:type="dxa" w:w="1944"/>
            <w:tcMar>
              <w:top w:w="60" w:type="dxa"/>
              <w:start w:w="110" w:type="dxa"/>
              <w:bottom w:w="60" w:type="dxa"/>
              <w:end w:w="110" w:type="dxa"/>
            </w:tcMar>
          </w:tcPr>
          <w:p>
            <w:pPr>
              <w:spacing w:after="0"/>
            </w:pPr>
            <w:r/>
            <w:r>
              <w:rPr>
                <w:rFonts w:ascii="Calibri" w:hAnsi="Calibri"/>
                <w:i/>
                <w:color w:val="101828"/>
                <w:sz w:val="14"/>
              </w:rPr>
              <w:t>This Ajo has finished. It cannot be changed.</w:t>
            </w:r>
          </w:p>
        </w:tc>
        <w:tc>
          <w:tcPr>
            <w:tcW w:type="dxa" w:w="2506"/>
            <w:tcMar>
              <w:top w:w="60" w:type="dxa"/>
              <w:start w:w="110" w:type="dxa"/>
              <w:bottom w:w="60" w:type="dxa"/>
              <w:end w:w="110" w:type="dxa"/>
            </w:tcMar>
          </w:tcPr>
          <w:p>
            <w:pPr>
              <w:spacing w:after="0"/>
            </w:pPr>
            <w:r/>
            <w:r>
              <w:rPr>
                <w:rFonts w:ascii="Calibri" w:hAnsi="Calibri"/>
                <w:b w:val="0"/>
                <w:i w:val="0"/>
                <w:color w:val="101828"/>
                <w:sz w:val="14"/>
              </w:rPr>
              <w:t>Read the archived record and the statement. BR-009, EC-064.</w:t>
            </w:r>
          </w:p>
        </w:tc>
      </w:tr>
    </w:tbl>
    <w:p>
      <w:pPr>
        <w:spacing w:after="80"/>
      </w:pPr>
    </w:p>
    <w:p>
      <w:r>
        <w:br w:type="page"/>
      </w:r>
    </w:p>
    <w:p>
      <w:pPr>
        <w:pStyle w:val="Heading2"/>
      </w:pPr>
      <w:r>
        <w:rPr>
          <w:rFonts w:ascii="Calibri" w:hAnsi="Calibri"/>
          <w:b/>
          <w:i w:val="0"/>
          <w:color w:val="146EF5"/>
          <w:sz w:val="29"/>
        </w:rPr>
        <w:t>2.3 Join Ajo: invitation to membership</w:t>
      </w:r>
    </w:p>
    <w:p>
      <w:pPr>
        <w:pStyle w:val="Heading3"/>
      </w:pPr>
      <w:r>
        <w:rPr>
          <w:rFonts w:ascii="Calibri" w:hAnsi="Calibri"/>
          <w:b/>
          <w:i w:val="0"/>
          <w:color w:val="0B1F3A"/>
          <w:sz w:val="24"/>
        </w:rPr>
        <w:t>2.3.1 Purpose</w:t>
      </w:r>
    </w:p>
    <w:p>
      <w:r>
        <w:rPr>
          <w:rFonts w:ascii="Calibri" w:hAnsi="Calibri"/>
          <w:b w:val="0"/>
          <w:i w:val="0"/>
          <w:color w:val="101828"/>
          <w:sz w:val="21"/>
        </w:rPr>
        <w:t>An invited person becomes a member without being surprised. The flow must let someone read the entire commercial and legal shape of the commitment in plain language before they accept, must show the 2% fee as its own number rather than folding it into the amount, must make the complete-cycle commitment and the consequence of a missed payment explicit, and must produce a membership record that the member and the organiser both believe is the same one.</w:t>
      </w:r>
    </w:p>
    <w:p>
      <w:pPr>
        <w:pStyle w:val="Heading3"/>
      </w:pPr>
      <w:r>
        <w:rPr>
          <w:rFonts w:ascii="Calibri" w:hAnsi="Calibri"/>
          <w:b/>
          <w:i w:val="0"/>
          <w:color w:val="0B1F3A"/>
          <w:sz w:val="24"/>
        </w:rPr>
        <w:t>2.3.2 Swimlane</w:t>
      </w:r>
    </w:p>
    <w:p>
      <w:pPr>
        <w:spacing w:before="0" w:after="0" w:line="240" w:lineRule="auto"/>
        <w:ind w:left="230"/>
        <w:shd w:val="clear" w:color="auto" w:fill="F7F9FC"/>
        <w:pBdr>
          <w:left w:val="single" w:sz="4" w:space="6" w:color="D0D5DD"/>
        </w:pBdr>
      </w:pPr>
      <w:r>
        <w:rPr>
          <w:rFonts w:ascii="Consolas" w:hAnsi="Consolas"/>
          <w:color w:val="0B1F3A"/>
          <w:sz w:val="16"/>
        </w:rPr>
        <w:t>INVITEE         AJO.ng            ORGANISER          AJO API</w:t>
      </w:r>
    </w:p>
    <w:p>
      <w:pPr>
        <w:spacing w:before="0" w:after="0" w:line="240" w:lineRule="auto"/>
        <w:ind w:left="230"/>
        <w:shd w:val="clear" w:color="auto" w:fill="F7F9FC"/>
        <w:pBdr>
          <w:left w:val="single" w:sz="4" w:space="6" w:color="D0D5DD"/>
        </w:pBdr>
      </w:pPr>
      <w:r>
        <w:rPr>
          <w:rFonts w:ascii="Consolas" w:hAnsi="Consolas"/>
          <w:color w:val="0B1F3A"/>
          <w:sz w:val="16"/>
        </w:rPr>
        <w:t xml:space="preserve">   |  opens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token link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GET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/invitations/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:token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Is the token  |  organiser name,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valid?        |  member count,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contribution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NGN 1,000.00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fee NGN 20.00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charged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NGN 1,020.00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my total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NGN 10,200.00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base pool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NGN 10,000.00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my position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not signed in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SCR-MKT-09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SCR-MKT-10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Register or   |  (flow 2.1)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log in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Verify email,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phone, KYC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I accept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the full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cycle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I have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read the fee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POST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/invitations/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:token/accept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token consumed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membership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created  ------|---- member.joined -&gt;|  push + email</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role: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ajo_member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Dashboard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GET /ajos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GET /contributions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GET /payouts (position visible)     |</w:t>
      </w:r>
    </w:p>
    <w:p>
      <w:pPr>
        <w:pStyle w:val="Heading3"/>
      </w:pPr>
      <w:r>
        <w:rPr>
          <w:rFonts w:ascii="Calibri" w:hAnsi="Calibri"/>
          <w:b/>
          <w:i w:val="0"/>
          <w:color w:val="0B1F3A"/>
          <w:sz w:val="24"/>
        </w:rPr>
        <w:t>2.3.3 Step detail</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706"/>
            <w:shd w:val="clear" w:color="auto" w:fill="0B1F3A"/>
            <w:tcMar>
              <w:top w:w="60" w:type="dxa"/>
              <w:start w:w="110" w:type="dxa"/>
              <w:bottom w:w="60" w:type="dxa"/>
              <w:end w:w="110" w:type="dxa"/>
            </w:tcMar>
          </w:tcPr>
          <w:p>
            <w:pPr>
              <w:spacing w:after="0"/>
            </w:pPr>
            <w:r/>
            <w:r>
              <w:rPr>
                <w:rFonts w:ascii="Calibri" w:hAnsi="Calibri"/>
                <w:b/>
                <w:i w:val="0"/>
                <w:color w:val="FFFFFF"/>
                <w:sz w:val="14"/>
              </w:rPr>
              <w:t>Step</w:t>
            </w:r>
          </w:p>
        </w:tc>
        <w:tc>
          <w:tcPr>
            <w:tcW w:type="dxa" w:w="1325"/>
            <w:shd w:val="clear" w:color="auto" w:fill="0B1F3A"/>
            <w:tcMar>
              <w:top w:w="60" w:type="dxa"/>
              <w:start w:w="110" w:type="dxa"/>
              <w:bottom w:w="60" w:type="dxa"/>
              <w:end w:w="110" w:type="dxa"/>
            </w:tcMar>
          </w:tcPr>
          <w:p>
            <w:pPr>
              <w:spacing w:after="0"/>
            </w:pPr>
            <w:r/>
            <w:r>
              <w:rPr>
                <w:rFonts w:ascii="Calibri" w:hAnsi="Calibri"/>
                <w:b/>
                <w:i w:val="0"/>
                <w:color w:val="FFFFFF"/>
                <w:sz w:val="14"/>
              </w:rPr>
              <w:t>Actor</w:t>
            </w:r>
          </w:p>
        </w:tc>
        <w:tc>
          <w:tcPr>
            <w:tcW w:type="dxa" w:w="1210"/>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2002"/>
            <w:shd w:val="clear" w:color="auto" w:fill="0B1F3A"/>
            <w:tcMar>
              <w:top w:w="60" w:type="dxa"/>
              <w:start w:w="110" w:type="dxa"/>
              <w:bottom w:w="60" w:type="dxa"/>
              <w:end w:w="110" w:type="dxa"/>
            </w:tcMar>
          </w:tcPr>
          <w:p>
            <w:pPr>
              <w:spacing w:after="0"/>
            </w:pPr>
            <w:r/>
            <w:r>
              <w:rPr>
                <w:rFonts w:ascii="Calibri" w:hAnsi="Calibri"/>
                <w:b/>
                <w:i w:val="0"/>
                <w:color w:val="FFFFFF"/>
                <w:sz w:val="14"/>
              </w:rPr>
              <w:t>Action</w:t>
            </w:r>
          </w:p>
        </w:tc>
        <w:tc>
          <w:tcPr>
            <w:tcW w:type="dxa" w:w="2808"/>
            <w:shd w:val="clear" w:color="auto" w:fill="0B1F3A"/>
            <w:tcMar>
              <w:top w:w="60" w:type="dxa"/>
              <w:start w:w="110" w:type="dxa"/>
              <w:bottom w:w="60" w:type="dxa"/>
              <w:end w:w="110" w:type="dxa"/>
            </w:tcMar>
          </w:tcPr>
          <w:p>
            <w:pPr>
              <w:spacing w:after="0"/>
            </w:pPr>
            <w:r/>
            <w:r>
              <w:rPr>
                <w:rFonts w:ascii="Calibri" w:hAnsi="Calibri"/>
                <w:b/>
                <w:i w:val="0"/>
                <w:color w:val="FFFFFF"/>
                <w:sz w:val="14"/>
              </w:rPr>
              <w:t>System response</w:t>
            </w:r>
          </w:p>
        </w:tc>
        <w:tc>
          <w:tcPr>
            <w:tcW w:type="dxa" w:w="1310"/>
            <w:shd w:val="clear" w:color="auto" w:fill="0B1F3A"/>
            <w:tcMar>
              <w:top w:w="60" w:type="dxa"/>
              <w:start w:w="110" w:type="dxa"/>
              <w:bottom w:w="60" w:type="dxa"/>
              <w:end w:w="110" w:type="dxa"/>
            </w:tcMar>
          </w:tcPr>
          <w:p>
            <w:pPr>
              <w:spacing w:after="0"/>
            </w:pPr>
            <w:r/>
            <w:r>
              <w:rPr>
                <w:rFonts w:ascii="Calibri" w:hAnsi="Calibri"/>
                <w:b/>
                <w:i w:val="0"/>
                <w:color w:val="FFFFFF"/>
                <w:sz w:val="14"/>
              </w:rPr>
              <w:t>Rule ref</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2.3.1</w:t>
            </w:r>
          </w:p>
        </w:tc>
        <w:tc>
          <w:tcPr>
            <w:tcW w:type="dxa" w:w="1325"/>
            <w:tcMar>
              <w:top w:w="60" w:type="dxa"/>
              <w:start w:w="110" w:type="dxa"/>
              <w:bottom w:w="60" w:type="dxa"/>
              <w:end w:w="110" w:type="dxa"/>
            </w:tcMar>
          </w:tcPr>
          <w:p>
            <w:pPr>
              <w:spacing w:after="0"/>
            </w:pPr>
            <w:r/>
            <w:r>
              <w:rPr>
                <w:rFonts w:ascii="Calibri" w:hAnsi="Calibri"/>
                <w:b w:val="0"/>
                <w:i w:val="0"/>
                <w:color w:val="101828"/>
                <w:sz w:val="14"/>
              </w:rPr>
              <w:t>Invitee</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SCR-MKT-01 / SCR-APP-04</w:t>
            </w:r>
          </w:p>
        </w:tc>
        <w:tc>
          <w:tcPr>
            <w:tcW w:type="dxa" w:w="2002"/>
            <w:tcMar>
              <w:top w:w="60" w:type="dxa"/>
              <w:start w:w="110" w:type="dxa"/>
              <w:bottom w:w="60" w:type="dxa"/>
              <w:end w:w="110" w:type="dxa"/>
            </w:tcMar>
          </w:tcPr>
          <w:p>
            <w:pPr>
              <w:spacing w:after="0"/>
            </w:pPr>
            <w:r/>
            <w:r>
              <w:rPr>
                <w:rFonts w:ascii="Calibri" w:hAnsi="Calibri"/>
                <w:b w:val="0"/>
                <w:i w:val="0"/>
                <w:color w:val="101828"/>
                <w:sz w:val="14"/>
              </w:rPr>
              <w:t>Opens the invitation link from SMS, email, push or a forwarded message.</w:t>
            </w:r>
          </w:p>
        </w:tc>
        <w:tc>
          <w:tcPr>
            <w:tcW w:type="dxa" w:w="2808"/>
            <w:tcMar>
              <w:top w:w="60" w:type="dxa"/>
              <w:start w:w="110" w:type="dxa"/>
              <w:bottom w:w="60" w:type="dxa"/>
              <w:end w:w="110" w:type="dxa"/>
            </w:tcMar>
          </w:tcPr>
          <w:p>
            <w:pPr>
              <w:spacing w:after="0"/>
            </w:pPr>
            <w:r/>
            <w:r>
              <w:rPr>
                <w:rFonts w:ascii="Consolas" w:hAnsi="Consolas"/>
                <w:color w:val="146EF5"/>
                <w:sz w:val="14"/>
              </w:rPr>
              <w:t>GET /invitations/:token</w:t>
            </w:r>
            <w:r>
              <w:rPr>
                <w:rFonts w:ascii="Calibri" w:hAnsi="Calibri"/>
                <w:b w:val="0"/>
                <w:i w:val="0"/>
                <w:color w:val="101828"/>
                <w:sz w:val="14"/>
              </w:rPr>
              <w:t>. The token is single-use, expiring, revocable and non-enumerable. The response discloses the Ajo's terms and nothing else. No account is created by opening it.</w:t>
            </w:r>
          </w:p>
        </w:tc>
        <w:tc>
          <w:tcPr>
            <w:tcW w:type="dxa" w:w="1310"/>
            <w:tcMar>
              <w:top w:w="60" w:type="dxa"/>
              <w:start w:w="110" w:type="dxa"/>
              <w:bottom w:w="60" w:type="dxa"/>
              <w:end w:w="110" w:type="dxa"/>
            </w:tcMar>
          </w:tcPr>
          <w:p>
            <w:pPr>
              <w:spacing w:after="0"/>
            </w:pPr>
            <w:r/>
            <w:r>
              <w:rPr>
                <w:rFonts w:ascii="Calibri" w:hAnsi="Calibri"/>
                <w:b w:val="0"/>
                <w:i w:val="0"/>
                <w:color w:val="101828"/>
                <w:sz w:val="14"/>
              </w:rPr>
              <w:t>FR-INV-001, FR-INV-003, NFR-S, US-18, EC-124, EC-084</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2.3.2</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Invitee</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SCR-APP-04</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Reads the plain-language summary: organiser, member count, contribution, fee, frequency, total duration, total they will pay, and what happens if they miss a payment.</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All figures are itemised. The fee is a separate line with its own label. The complete-cycle commitment and the position-lock rule are stated in the same block, not behind a link.</w:t>
            </w:r>
          </w:p>
        </w:tc>
        <w:tc>
          <w:tcPr>
            <w:tcW w:type="dxa" w:w="1310"/>
            <w:tcMar>
              <w:top w:w="60" w:type="dxa"/>
              <w:start w:w="110" w:type="dxa"/>
              <w:bottom w:w="60" w:type="dxa"/>
              <w:end w:w="110" w:type="dxa"/>
            </w:tcMar>
            <w:shd w:val="clear" w:color="auto" w:fill="F4F7FB"/>
          </w:tcPr>
          <w:p>
            <w:pPr>
              <w:spacing w:after="0"/>
            </w:pPr>
            <w:r/>
            <w:r>
              <w:rPr>
                <w:rFonts w:ascii="Calibri" w:hAnsi="Calibri"/>
                <w:b w:val="0"/>
                <w:i w:val="0"/>
                <w:color w:val="101828"/>
                <w:sz w:val="14"/>
              </w:rPr>
              <w:t>FR-JOIN-001, FR-JOIN-002, FR-INV-002, BR-004, BR-011, G3, US-15, N15</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2.3.3</w:t>
            </w:r>
          </w:p>
        </w:tc>
        <w:tc>
          <w:tcPr>
            <w:tcW w:type="dxa" w:w="1325"/>
            <w:tcMar>
              <w:top w:w="60" w:type="dxa"/>
              <w:start w:w="110" w:type="dxa"/>
              <w:bottom w:w="60" w:type="dxa"/>
              <w:end w:w="110" w:type="dxa"/>
            </w:tcMar>
          </w:tcPr>
          <w:p>
            <w:pPr>
              <w:spacing w:after="0"/>
            </w:pPr>
            <w:r/>
            <w:r>
              <w:rPr>
                <w:rFonts w:ascii="Calibri" w:hAnsi="Calibri"/>
                <w:b w:val="0"/>
                <w:i w:val="0"/>
                <w:color w:val="101828"/>
                <w:sz w:val="14"/>
              </w:rPr>
              <w:t>Invitee</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SCR-APP-04</w:t>
            </w:r>
          </w:p>
        </w:tc>
        <w:tc>
          <w:tcPr>
            <w:tcW w:type="dxa" w:w="2002"/>
            <w:tcMar>
              <w:top w:w="60" w:type="dxa"/>
              <w:start w:w="110" w:type="dxa"/>
              <w:bottom w:w="60" w:type="dxa"/>
              <w:end w:w="110" w:type="dxa"/>
            </w:tcMar>
          </w:tcPr>
          <w:p>
            <w:pPr>
              <w:spacing w:after="0"/>
            </w:pPr>
            <w:r/>
            <w:r>
              <w:rPr>
                <w:rFonts w:ascii="Calibri" w:hAnsi="Calibri"/>
                <w:b w:val="0"/>
                <w:i w:val="0"/>
                <w:color w:val="101828"/>
                <w:sz w:val="14"/>
              </w:rPr>
              <w:t>Checks which turn is theirs and what the order's status is.</w:t>
            </w:r>
          </w:p>
        </w:tc>
        <w:tc>
          <w:tcPr>
            <w:tcW w:type="dxa" w:w="2808"/>
            <w:tcMar>
              <w:top w:w="60" w:type="dxa"/>
              <w:start w:w="110" w:type="dxa"/>
              <w:bottom w:w="60" w:type="dxa"/>
              <w:end w:w="110" w:type="dxa"/>
            </w:tcMar>
          </w:tcPr>
          <w:p>
            <w:pPr>
              <w:spacing w:after="0"/>
            </w:pPr>
            <w:r/>
            <w:r>
              <w:rPr>
                <w:rFonts w:ascii="Consolas" w:hAnsi="Consolas"/>
                <w:color w:val="146EF5"/>
                <w:sz w:val="14"/>
              </w:rPr>
              <w:t>GET /ajos/:id/positions</w:t>
            </w:r>
            <w:r>
              <w:rPr>
                <w:rFonts w:ascii="Calibri" w:hAnsi="Calibri"/>
                <w:b w:val="0"/>
                <w:i w:val="0"/>
                <w:color w:val="101828"/>
                <w:sz w:val="14"/>
              </w:rPr>
              <w:t>. The screen shows the position number, the expected round and the expected payout date. If the order is still provisional it says so in those words and shows the date on which it locks.</w:t>
            </w:r>
          </w:p>
        </w:tc>
        <w:tc>
          <w:tcPr>
            <w:tcW w:type="dxa" w:w="1310"/>
            <w:tcMar>
              <w:top w:w="60" w:type="dxa"/>
              <w:start w:w="110" w:type="dxa"/>
              <w:bottom w:w="60" w:type="dxa"/>
              <w:end w:w="110" w:type="dxa"/>
            </w:tcMar>
          </w:tcPr>
          <w:p>
            <w:pPr>
              <w:spacing w:after="0"/>
            </w:pPr>
            <w:r/>
            <w:r>
              <w:rPr>
                <w:rFonts w:ascii="Calibri" w:hAnsi="Calibri"/>
                <w:b w:val="0"/>
                <w:i w:val="0"/>
                <w:color w:val="101828"/>
                <w:sz w:val="14"/>
              </w:rPr>
              <w:t>FR-POS-003, FR-POS-005, BR-002, US-18</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2.3.4</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Invitee</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SCR-MKT-09 / SCR-MKT-10</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Registers or logs in, then completes verification.</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Flow 2.1 in full. A user who is not verified is refused acceptance with a specific reason, never a blank screen. Joining requires a verified email and a verified phone; identity verification is required above the configured threshold, which is open decision D-04.</w:t>
            </w:r>
          </w:p>
        </w:tc>
        <w:tc>
          <w:tcPr>
            <w:tcW w:type="dxa" w:w="1310"/>
            <w:tcMar>
              <w:top w:w="60" w:type="dxa"/>
              <w:start w:w="110" w:type="dxa"/>
              <w:bottom w:w="60" w:type="dxa"/>
              <w:end w:w="110" w:type="dxa"/>
            </w:tcMar>
            <w:shd w:val="clear" w:color="auto" w:fill="F4F7FB"/>
          </w:tcPr>
          <w:p>
            <w:pPr>
              <w:spacing w:after="0"/>
            </w:pPr>
            <w:r/>
            <w:r>
              <w:rPr>
                <w:rFonts w:ascii="Calibri" w:hAnsi="Calibri"/>
                <w:b w:val="0"/>
                <w:i w:val="0"/>
                <w:color w:val="101828"/>
                <w:sz w:val="14"/>
              </w:rPr>
              <w:t>US-02, US-19, FR-KYC-001, D-04, EC-127</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2.3.5</w:t>
            </w:r>
          </w:p>
        </w:tc>
        <w:tc>
          <w:tcPr>
            <w:tcW w:type="dxa" w:w="1325"/>
            <w:tcMar>
              <w:top w:w="60" w:type="dxa"/>
              <w:start w:w="110" w:type="dxa"/>
              <w:bottom w:w="60" w:type="dxa"/>
              <w:end w:w="110" w:type="dxa"/>
            </w:tcMar>
          </w:tcPr>
          <w:p>
            <w:pPr>
              <w:spacing w:after="0"/>
            </w:pPr>
            <w:r/>
            <w:r>
              <w:rPr>
                <w:rFonts w:ascii="Calibri" w:hAnsi="Calibri"/>
                <w:b w:val="0"/>
                <w:i w:val="0"/>
                <w:color w:val="101828"/>
                <w:sz w:val="14"/>
              </w:rPr>
              <w:t>Invitee</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SCR-APP-04</w:t>
            </w:r>
          </w:p>
        </w:tc>
        <w:tc>
          <w:tcPr>
            <w:tcW w:type="dxa" w:w="2002"/>
            <w:tcMar>
              <w:top w:w="60" w:type="dxa"/>
              <w:start w:w="110" w:type="dxa"/>
              <w:bottom w:w="60" w:type="dxa"/>
              <w:end w:w="110" w:type="dxa"/>
            </w:tcMar>
          </w:tcPr>
          <w:p>
            <w:pPr>
              <w:spacing w:after="0"/>
            </w:pPr>
            <w:r/>
            <w:r>
              <w:rPr>
                <w:rFonts w:ascii="Calibri" w:hAnsi="Calibri"/>
                <w:b w:val="0"/>
                <w:i w:val="0"/>
                <w:color w:val="101828"/>
                <w:sz w:val="14"/>
              </w:rPr>
              <w:t>Ticks the two acknowledgements: the full-cycle commitment, and the fee breakdown.</w:t>
            </w:r>
          </w:p>
        </w:tc>
        <w:tc>
          <w:tcPr>
            <w:tcW w:type="dxa" w:w="2808"/>
            <w:tcMar>
              <w:top w:w="60" w:type="dxa"/>
              <w:start w:w="110" w:type="dxa"/>
              <w:bottom w:w="60" w:type="dxa"/>
              <w:end w:w="110" w:type="dxa"/>
            </w:tcMar>
          </w:tcPr>
          <w:p>
            <w:pPr>
              <w:spacing w:after="0"/>
            </w:pPr>
            <w:r/>
            <w:r>
              <w:rPr>
                <w:rFonts w:ascii="Calibri" w:hAnsi="Calibri"/>
                <w:b w:val="0"/>
                <w:i w:val="0"/>
                <w:color w:val="101828"/>
                <w:sz w:val="14"/>
              </w:rPr>
              <w:t>Neither box is pre-ticked. The accept control is inert until both are ticked. The acknowledgement is stored with the terms version and the timestamp, so what was agreed can be proved later.</w:t>
            </w:r>
          </w:p>
        </w:tc>
        <w:tc>
          <w:tcPr>
            <w:tcW w:type="dxa" w:w="1310"/>
            <w:tcMar>
              <w:top w:w="60" w:type="dxa"/>
              <w:start w:w="110" w:type="dxa"/>
              <w:bottom w:w="60" w:type="dxa"/>
              <w:end w:w="110" w:type="dxa"/>
            </w:tcMar>
          </w:tcPr>
          <w:p>
            <w:pPr>
              <w:spacing w:after="0"/>
            </w:pPr>
            <w:r/>
            <w:r>
              <w:rPr>
                <w:rFonts w:ascii="Calibri" w:hAnsi="Calibri"/>
                <w:b w:val="0"/>
                <w:i w:val="0"/>
                <w:color w:val="101828"/>
                <w:sz w:val="14"/>
              </w:rPr>
              <w:t>FR-JOIN-003, FR-JOIN-004, BR-004, BR-011, US-16, US-17</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2.3.6</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Invitee</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SCR-APP-04</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Taps </w:t>
            </w:r>
            <w:r>
              <w:rPr>
                <w:rFonts w:ascii="Calibri" w:hAnsi="Calibri"/>
                <w:i/>
                <w:color w:val="101828"/>
                <w:sz w:val="14"/>
              </w:rPr>
              <w:t>Join this Ajo</w:t>
            </w:r>
            <w:r>
              <w:rPr>
                <w:rFonts w:ascii="Calibri" w:hAnsi="Calibri"/>
                <w:b w:val="0"/>
                <w:i w:val="0"/>
                <w:color w:val="101828"/>
                <w:sz w:val="14"/>
              </w:rPr>
              <w:t>.</w:t>
            </w:r>
          </w:p>
        </w:tc>
        <w:tc>
          <w:tcPr>
            <w:tcW w:type="dxa" w:w="2808"/>
            <w:tcMar>
              <w:top w:w="60" w:type="dxa"/>
              <w:start w:w="110" w:type="dxa"/>
              <w:bottom w:w="60" w:type="dxa"/>
              <w:end w:w="110" w:type="dxa"/>
            </w:tcMar>
            <w:shd w:val="clear" w:color="auto" w:fill="F4F7FB"/>
          </w:tcPr>
          <w:p>
            <w:pPr>
              <w:spacing w:after="0"/>
            </w:pPr>
            <w:r/>
            <w:r>
              <w:rPr>
                <w:rFonts w:ascii="Consolas" w:hAnsi="Consolas"/>
                <w:color w:val="146EF5"/>
                <w:sz w:val="14"/>
              </w:rPr>
              <w:t>POST /invitations/:token/accept</w:t>
            </w:r>
            <w:r>
              <w:rPr>
                <w:rFonts w:ascii="Calibri" w:hAnsi="Calibri"/>
                <w:b w:val="0"/>
                <w:i w:val="0"/>
                <w:color w:val="101828"/>
                <w:sz w:val="14"/>
              </w:rPr>
              <w:t xml:space="preserve"> with an </w:t>
            </w:r>
            <w:r>
              <w:rPr>
                <w:rFonts w:ascii="Consolas" w:hAnsi="Consolas"/>
                <w:color w:val="146EF5"/>
                <w:sz w:val="14"/>
              </w:rPr>
              <w:t>Idempotency-Key</w:t>
            </w:r>
            <w:r>
              <w:rPr>
                <w:rFonts w:ascii="Calibri" w:hAnsi="Calibri"/>
                <w:b w:val="0"/>
                <w:i w:val="0"/>
                <w:color w:val="101828"/>
                <w:sz w:val="14"/>
              </w:rPr>
              <w:t xml:space="preserve">. The token is consumed atomically; a second use is rejected. A membership is created, the role </w:t>
            </w:r>
            <w:r>
              <w:rPr>
                <w:rFonts w:ascii="Consolas" w:hAnsi="Consolas"/>
                <w:color w:val="146EF5"/>
                <w:sz w:val="14"/>
              </w:rPr>
              <w:t>ajo_member</w:t>
            </w:r>
            <w:r>
              <w:rPr>
                <w:rFonts w:ascii="Calibri" w:hAnsi="Calibri"/>
                <w:b w:val="0"/>
                <w:i w:val="0"/>
                <w:color w:val="101828"/>
                <w:sz w:val="14"/>
              </w:rPr>
              <w:t xml:space="preserve"> attaches, and the position is held or confirmed.</w:t>
            </w:r>
          </w:p>
        </w:tc>
        <w:tc>
          <w:tcPr>
            <w:tcW w:type="dxa" w:w="1310"/>
            <w:tcMar>
              <w:top w:w="60" w:type="dxa"/>
              <w:start w:w="110" w:type="dxa"/>
              <w:bottom w:w="60" w:type="dxa"/>
              <w:end w:w="110" w:type="dxa"/>
            </w:tcMar>
            <w:shd w:val="clear" w:color="auto" w:fill="F4F7FB"/>
          </w:tcPr>
          <w:p>
            <w:pPr>
              <w:spacing w:after="0"/>
            </w:pPr>
            <w:r/>
            <w:r>
              <w:rPr>
                <w:rFonts w:ascii="Calibri" w:hAnsi="Calibri"/>
                <w:b w:val="0"/>
                <w:i w:val="0"/>
                <w:color w:val="101828"/>
                <w:sz w:val="14"/>
              </w:rPr>
              <w:t>BR-006, BR-024, FR-JOIN-005, FR-MEM-001</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2.3.7</w:t>
            </w:r>
          </w:p>
        </w:tc>
        <w:tc>
          <w:tcPr>
            <w:tcW w:type="dxa" w:w="1325"/>
            <w:tcMar>
              <w:top w:w="60" w:type="dxa"/>
              <w:start w:w="110" w:type="dxa"/>
              <w:bottom w:w="60" w:type="dxa"/>
              <w:end w:w="110" w:type="dxa"/>
            </w:tcMar>
          </w:tcPr>
          <w:p>
            <w:pPr>
              <w:spacing w:after="0"/>
            </w:pPr>
            <w:r/>
            <w:r>
              <w:rPr>
                <w:rFonts w:ascii="Calibri" w:hAnsi="Calibri"/>
                <w:b w:val="0"/>
                <w:i w:val="0"/>
                <w:color w:val="101828"/>
                <w:sz w:val="14"/>
              </w:rPr>
              <w:t>AJO.ng</w:t>
            </w:r>
          </w:p>
        </w:tc>
        <w:tc>
          <w:tcPr>
            <w:tcW w:type="dxa" w:w="1210"/>
            <w:tcMar>
              <w:top w:w="60" w:type="dxa"/>
              <w:start w:w="110" w:type="dxa"/>
              <w:bottom w:w="60" w:type="dxa"/>
              <w:end w:w="110" w:type="dxa"/>
            </w:tcMar>
          </w:tcPr>
          <w:p>
            <w:pPr>
              <w:spacing w:after="0"/>
            </w:pPr>
            <w:r/>
            <w:r>
              <w:rPr>
                <w:rFonts w:ascii="Calibri" w:hAnsi="Calibri"/>
                <w:b w:val="0"/>
                <w:i w:val="0"/>
                <w:color w:val="101828"/>
                <w:sz w:val="14"/>
              </w:rPr>
              <w:t>—</w:t>
            </w:r>
          </w:p>
        </w:tc>
        <w:tc>
          <w:tcPr>
            <w:tcW w:type="dxa" w:w="2002"/>
            <w:tcMar>
              <w:top w:w="60" w:type="dxa"/>
              <w:start w:w="110" w:type="dxa"/>
              <w:bottom w:w="60" w:type="dxa"/>
              <w:end w:w="110" w:type="dxa"/>
            </w:tcMar>
          </w:tcPr>
          <w:p>
            <w:pPr>
              <w:spacing w:after="0"/>
            </w:pPr>
            <w:r/>
            <w:r>
              <w:rPr>
                <w:rFonts w:ascii="Calibri" w:hAnsi="Calibri"/>
                <w:b w:val="0"/>
                <w:i w:val="0"/>
                <w:color w:val="101828"/>
                <w:sz w:val="14"/>
              </w:rPr>
              <w:t>Notifies the organiser.</w:t>
            </w:r>
          </w:p>
        </w:tc>
        <w:tc>
          <w:tcPr>
            <w:tcW w:type="dxa" w:w="2808"/>
            <w:tcMar>
              <w:top w:w="60" w:type="dxa"/>
              <w:start w:w="110" w:type="dxa"/>
              <w:bottom w:w="60" w:type="dxa"/>
              <w:end w:w="110" w:type="dxa"/>
            </w:tcMar>
          </w:tcPr>
          <w:p>
            <w:pPr>
              <w:spacing w:after="0"/>
            </w:pPr>
            <w:r/>
            <w:r>
              <w:rPr>
                <w:rFonts w:ascii="Consolas" w:hAnsi="Consolas"/>
                <w:color w:val="146EF5"/>
                <w:sz w:val="14"/>
              </w:rPr>
              <w:t>member.joined</w:t>
            </w:r>
            <w:r>
              <w:rPr>
                <w:rFonts w:ascii="Calibri" w:hAnsi="Calibri"/>
                <w:b w:val="0"/>
                <w:i w:val="0"/>
                <w:color w:val="101828"/>
                <w:sz w:val="14"/>
              </w:rPr>
              <w:t xml:space="preserve"> to the organiser on push and email, immediately. It names the member, the position and the terms version, and nothing more.</w:t>
            </w:r>
          </w:p>
        </w:tc>
        <w:tc>
          <w:tcPr>
            <w:tcW w:type="dxa" w:w="1310"/>
            <w:tcMar>
              <w:top w:w="60" w:type="dxa"/>
              <w:start w:w="110" w:type="dxa"/>
              <w:bottom w:w="60" w:type="dxa"/>
              <w:end w:w="110" w:type="dxa"/>
            </w:tcMar>
          </w:tcPr>
          <w:p>
            <w:pPr>
              <w:spacing w:after="0"/>
            </w:pPr>
            <w:r/>
            <w:r>
              <w:rPr>
                <w:rFonts w:ascii="Calibri" w:hAnsi="Calibri"/>
                <w:b w:val="0"/>
                <w:i w:val="0"/>
                <w:color w:val="101828"/>
                <w:sz w:val="14"/>
              </w:rPr>
              <w:t>CAN §8, FR-NOTIF-001</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2.3.8</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Invitee now </w:t>
            </w:r>
            <w:r>
              <w:rPr>
                <w:rFonts w:ascii="Consolas" w:hAnsi="Consolas"/>
                <w:color w:val="146EF5"/>
                <w:sz w:val="14"/>
              </w:rPr>
              <w:t>ajo_member</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SCR-APP-01</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Lands on the dashboard and sees the Ajo with its position, its first due date and its total remaining commitment.</w:t>
            </w:r>
          </w:p>
        </w:tc>
        <w:tc>
          <w:tcPr>
            <w:tcW w:type="dxa" w:w="2808"/>
            <w:tcMar>
              <w:top w:w="60" w:type="dxa"/>
              <w:start w:w="110" w:type="dxa"/>
              <w:bottom w:w="60" w:type="dxa"/>
              <w:end w:w="110" w:type="dxa"/>
            </w:tcMar>
            <w:shd w:val="clear" w:color="auto" w:fill="F4F7FB"/>
          </w:tcPr>
          <w:p>
            <w:pPr>
              <w:spacing w:after="0"/>
            </w:pPr>
            <w:r/>
            <w:r>
              <w:rPr>
                <w:rFonts w:ascii="Consolas" w:hAnsi="Consolas"/>
                <w:color w:val="146EF5"/>
                <w:sz w:val="14"/>
              </w:rPr>
              <w:t>GET /ajos</w:t>
            </w:r>
            <w:r>
              <w:rPr>
                <w:rFonts w:ascii="Calibri" w:hAnsi="Calibri"/>
                <w:b w:val="0"/>
                <w:i w:val="0"/>
                <w:color w:val="101828"/>
                <w:sz w:val="14"/>
              </w:rPr>
              <w:t xml:space="preserve">, </w:t>
            </w:r>
            <w:r>
              <w:rPr>
                <w:rFonts w:ascii="Consolas" w:hAnsi="Consolas"/>
                <w:color w:val="146EF5"/>
                <w:sz w:val="14"/>
              </w:rPr>
              <w:t>GET /contributions</w:t>
            </w:r>
            <w:r>
              <w:rPr>
                <w:rFonts w:ascii="Calibri" w:hAnsi="Calibri"/>
                <w:b w:val="0"/>
                <w:i w:val="0"/>
                <w:color w:val="101828"/>
                <w:sz w:val="14"/>
              </w:rPr>
              <w:t xml:space="preserve">, </w:t>
            </w:r>
            <w:r>
              <w:rPr>
                <w:rFonts w:ascii="Consolas" w:hAnsi="Consolas"/>
                <w:color w:val="146EF5"/>
                <w:sz w:val="14"/>
              </w:rPr>
              <w:t>GET /ajos/:id/schedule</w:t>
            </w:r>
            <w:r>
              <w:rPr>
                <w:rFonts w:ascii="Calibri" w:hAnsi="Calibri"/>
                <w:b w:val="0"/>
                <w:i w:val="0"/>
                <w:color w:val="101828"/>
                <w:sz w:val="14"/>
              </w:rPr>
              <w:t xml:space="preserve">, </w:t>
            </w:r>
            <w:r>
              <w:rPr>
                <w:rFonts w:ascii="Consolas" w:hAnsi="Consolas"/>
                <w:color w:val="146EF5"/>
                <w:sz w:val="14"/>
              </w:rPr>
              <w:t>GET /payouts</w:t>
            </w:r>
            <w:r>
              <w:rPr>
                <w:rFonts w:ascii="Calibri" w:hAnsi="Calibri"/>
                <w:b w:val="0"/>
                <w:i w:val="0"/>
                <w:color w:val="101828"/>
                <w:sz w:val="14"/>
              </w:rPr>
              <w:t>. The member can now see everything they owe without asking anyone, which is the entire point of the product.</w:t>
            </w:r>
          </w:p>
        </w:tc>
        <w:tc>
          <w:tcPr>
            <w:tcW w:type="dxa" w:w="1310"/>
            <w:tcMar>
              <w:top w:w="60" w:type="dxa"/>
              <w:start w:w="110" w:type="dxa"/>
              <w:bottom w:w="60" w:type="dxa"/>
              <w:end w:w="110" w:type="dxa"/>
            </w:tcMar>
            <w:shd w:val="clear" w:color="auto" w:fill="F4F7FB"/>
          </w:tcPr>
          <w:p>
            <w:pPr>
              <w:spacing w:after="0"/>
            </w:pPr>
            <w:r/>
            <w:r>
              <w:rPr>
                <w:rFonts w:ascii="Calibri" w:hAnsi="Calibri"/>
                <w:b w:val="0"/>
                <w:i w:val="0"/>
                <w:color w:val="101828"/>
                <w:sz w:val="14"/>
              </w:rPr>
              <w:t>FR-CON-001 to FR-CON-004, FR-SCH-002, G2, N1, N2</w:t>
            </w:r>
          </w:p>
        </w:tc>
      </w:tr>
    </w:tbl>
    <w:p>
      <w:pPr>
        <w:spacing w:after="80"/>
      </w:pPr>
    </w:p>
    <w:p>
      <w:pPr>
        <w:pStyle w:val="Heading3"/>
      </w:pPr>
      <w:r>
        <w:rPr>
          <w:rFonts w:ascii="Calibri" w:hAnsi="Calibri"/>
          <w:b/>
          <w:i w:val="0"/>
          <w:color w:val="0B1F3A"/>
          <w:sz w:val="24"/>
        </w:rPr>
        <w:t>2.3.4 Happy path</w:t>
      </w:r>
    </w:p>
    <w:p>
      <w:r>
        <w:rPr>
          <w:rFonts w:ascii="Calibri" w:hAnsi="Calibri"/>
          <w:b w:val="0"/>
          <w:i w:val="0"/>
          <w:color w:val="101828"/>
          <w:sz w:val="21"/>
        </w:rPr>
        <w:t>Bisi receives an SMS and an email from an organiser she knows. The link opens a page that names the organiser, says 10 members, NGN 1,000.00 per month, shows the fee as NGN 20.00 and the total charged as NGN 1,020.00, and tells her that she will pay NGN 10,200.00 across the whole Ajo and that whoever's turn it is receives NGN 10,000.00. It tells her she is in position 6, that the order is still provisional, and that it locks when the Ajo activates. It tells her what happens if she misses a payment: a reminder, a 48-hour grace, then the organiser is told, privately, and nobody else. She does not have an account, so she registers, verifies her email and phone, and passes the identity check. She ticks both acknowledgements and joins. The organiser is told immediately. Bisi's dashboard shows her position, her first due date, and everything she owes for the next ten months without having to ask a single person.</w:t>
      </w:r>
    </w:p>
    <w:p>
      <w:pPr>
        <w:pStyle w:val="Heading3"/>
      </w:pPr>
      <w:r>
        <w:rPr>
          <w:rFonts w:ascii="Calibri" w:hAnsi="Calibri"/>
          <w:b/>
          <w:i w:val="0"/>
          <w:color w:val="0B1F3A"/>
          <w:sz w:val="24"/>
        </w:rPr>
        <w:t>2.3.5 Alternates and failure branches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800"/>
            <w:shd w:val="clear" w:color="auto" w:fill="0B1F3A"/>
            <w:tcMar>
              <w:top w:w="60" w:type="dxa"/>
              <w:start w:w="110" w:type="dxa"/>
              <w:bottom w:w="60" w:type="dxa"/>
              <w:end w:w="110" w:type="dxa"/>
            </w:tcMar>
          </w:tcPr>
          <w:p>
            <w:pPr>
              <w:spacing w:after="0"/>
            </w:pPr>
            <w:r/>
            <w:r>
              <w:rPr>
                <w:rFonts w:ascii="Calibri" w:hAnsi="Calibri"/>
                <w:b/>
                <w:i w:val="0"/>
                <w:color w:val="FFFFFF"/>
                <w:sz w:val="14"/>
              </w:rPr>
              <w:t>Condition</w:t>
            </w:r>
          </w:p>
        </w:tc>
        <w:tc>
          <w:tcPr>
            <w:tcW w:type="dxa" w:w="2074"/>
            <w:shd w:val="clear" w:color="auto" w:fill="0B1F3A"/>
            <w:tcMar>
              <w:top w:w="60" w:type="dxa"/>
              <w:start w:w="110" w:type="dxa"/>
              <w:bottom w:w="60" w:type="dxa"/>
              <w:end w:w="110" w:type="dxa"/>
            </w:tcMar>
          </w:tcPr>
          <w:p>
            <w:pPr>
              <w:spacing w:after="0"/>
            </w:pPr>
            <w:r/>
            <w:r>
              <w:rPr>
                <w:rFonts w:ascii="Calibri" w:hAnsi="Calibri"/>
                <w:b/>
                <w:i w:val="0"/>
                <w:color w:val="FFFFFF"/>
                <w:sz w:val="14"/>
              </w:rPr>
              <w:t>Branch</w:t>
            </w:r>
          </w:p>
        </w:tc>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4"/>
              </w:rPr>
              <w:t>Message</w:t>
            </w:r>
          </w:p>
        </w:tc>
        <w:tc>
          <w:tcPr>
            <w:tcW w:type="dxa" w:w="2506"/>
            <w:shd w:val="clear" w:color="auto" w:fill="0B1F3A"/>
            <w:tcMar>
              <w:top w:w="60" w:type="dxa"/>
              <w:start w:w="110" w:type="dxa"/>
              <w:bottom w:w="60" w:type="dxa"/>
              <w:end w:w="110" w:type="dxa"/>
            </w:tcMar>
          </w:tcPr>
          <w:p>
            <w:pPr>
              <w:spacing w:after="0"/>
            </w:pPr>
            <w:r/>
            <w:r>
              <w:rPr>
                <w:rFonts w:ascii="Calibri" w:hAnsi="Calibri"/>
                <w:b/>
                <w:i w:val="0"/>
                <w:color w:val="FFFFFF"/>
                <w:sz w:val="14"/>
              </w:rPr>
              <w:t>Recovery</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4"/>
              </w:rPr>
              <w:t>The token has expired</w:t>
            </w:r>
          </w:p>
        </w:tc>
        <w:tc>
          <w:tcPr>
            <w:tcW w:type="dxa" w:w="2074"/>
            <w:tcMar>
              <w:top w:w="60" w:type="dxa"/>
              <w:start w:w="110" w:type="dxa"/>
              <w:bottom w:w="60" w:type="dxa"/>
              <w:end w:w="110" w:type="dxa"/>
            </w:tcMar>
          </w:tcPr>
          <w:p>
            <w:pPr>
              <w:spacing w:after="0"/>
            </w:pPr>
            <w:r/>
            <w:r>
              <w:rPr>
                <w:rFonts w:ascii="Calibri" w:hAnsi="Calibri"/>
                <w:b w:val="0"/>
                <w:i w:val="0"/>
                <w:color w:val="101828"/>
                <w:sz w:val="14"/>
              </w:rPr>
              <w:t>Acceptance is refused. The invitation itself is not consumed, and the organiser still holds a seat.</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SCR-APP-04</w:t>
            </w:r>
          </w:p>
        </w:tc>
        <w:tc>
          <w:tcPr>
            <w:tcW w:type="dxa" w:w="1944"/>
            <w:tcMar>
              <w:top w:w="60" w:type="dxa"/>
              <w:start w:w="110" w:type="dxa"/>
              <w:bottom w:w="60" w:type="dxa"/>
              <w:end w:w="110" w:type="dxa"/>
            </w:tcMar>
          </w:tcPr>
          <w:p>
            <w:pPr>
              <w:spacing w:after="0"/>
            </w:pPr>
            <w:r/>
            <w:r>
              <w:rPr>
                <w:rFonts w:ascii="Calibri" w:hAnsi="Calibri"/>
                <w:i/>
                <w:color w:val="101828"/>
                <w:sz w:val="14"/>
              </w:rPr>
              <w:t>This invitation has expired. Ask the organiser to send a new one.</w:t>
            </w:r>
          </w:p>
        </w:tc>
        <w:tc>
          <w:tcPr>
            <w:tcW w:type="dxa" w:w="2506"/>
            <w:tcMar>
              <w:top w:w="60" w:type="dxa"/>
              <w:start w:w="110" w:type="dxa"/>
              <w:bottom w:w="60" w:type="dxa"/>
              <w:end w:w="110" w:type="dxa"/>
            </w:tcMar>
          </w:tcPr>
          <w:p>
            <w:pPr>
              <w:spacing w:after="0"/>
            </w:pPr>
            <w:r/>
            <w:r>
              <w:rPr>
                <w:rFonts w:ascii="Calibri" w:hAnsi="Calibri"/>
                <w:b w:val="0"/>
                <w:i w:val="0"/>
                <w:color w:val="101828"/>
                <w:sz w:val="14"/>
              </w:rPr>
              <w:t>The organiser resends. Resend never creates a second membership, EC-124.</w:t>
            </w:r>
          </w:p>
        </w:tc>
      </w:tr>
      <w:tr>
        <w:trPr>
          <w:cantSplit/>
        </w:trPr>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The token has already been used</w:t>
            </w:r>
          </w:p>
        </w:tc>
        <w:tc>
          <w:tcPr>
            <w:tcW w:type="dxa" w:w="2074"/>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No state change. The attempt is recorded.</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SCR-APP-04</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This invitation has already been used. Sign in to see your Ajo.</w:t>
            </w:r>
          </w:p>
        </w:tc>
        <w:tc>
          <w:tcPr>
            <w:tcW w:type="dxa" w:w="2506"/>
            <w:tcMar>
              <w:top w:w="60" w:type="dxa"/>
              <w:start w:w="110" w:type="dxa"/>
              <w:bottom w:w="60" w:type="dxa"/>
              <w:end w:w="110" w:type="dxa"/>
            </w:tcMar>
            <w:shd w:val="clear" w:color="auto" w:fill="F4F7FB"/>
          </w:tcPr>
          <w:p>
            <w:pPr>
              <w:spacing w:after="0"/>
            </w:pPr>
            <w:r/>
            <w:r>
              <w:rPr>
                <w:rFonts w:ascii="Calibri" w:hAnsi="Calibri"/>
                <w:b w:val="0"/>
                <w:i w:val="0"/>
                <w:color w:val="101828"/>
                <w:sz w:val="14"/>
              </w:rPr>
              <w:t>Sign in. If the member believes the first use was not them, this is an account-takeover signal, not a UX problem, flow 2.15, EC-084.</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4"/>
              </w:rPr>
              <w:t>The token was revoked by the organiser</w:t>
            </w:r>
          </w:p>
        </w:tc>
        <w:tc>
          <w:tcPr>
            <w:tcW w:type="dxa" w:w="2074"/>
            <w:tcMar>
              <w:top w:w="60" w:type="dxa"/>
              <w:start w:w="110" w:type="dxa"/>
              <w:bottom w:w="60" w:type="dxa"/>
              <w:end w:w="110" w:type="dxa"/>
            </w:tcMar>
          </w:tcPr>
          <w:p>
            <w:pPr>
              <w:spacing w:after="0"/>
            </w:pPr>
            <w:r/>
            <w:r>
              <w:rPr>
                <w:rFonts w:ascii="Calibri" w:hAnsi="Calibri"/>
                <w:b w:val="0"/>
                <w:i w:val="0"/>
                <w:color w:val="101828"/>
                <w:sz w:val="14"/>
              </w:rPr>
              <w:t>Refused immediately, with no indication of whether the seat is still free to a different person.</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SCR-APP-04</w:t>
            </w:r>
          </w:p>
        </w:tc>
        <w:tc>
          <w:tcPr>
            <w:tcW w:type="dxa" w:w="1944"/>
            <w:tcMar>
              <w:top w:w="60" w:type="dxa"/>
              <w:start w:w="110" w:type="dxa"/>
              <w:bottom w:w="60" w:type="dxa"/>
              <w:end w:w="110" w:type="dxa"/>
            </w:tcMar>
          </w:tcPr>
          <w:p>
            <w:pPr>
              <w:spacing w:after="0"/>
            </w:pPr>
            <w:r/>
            <w:r>
              <w:rPr>
                <w:rFonts w:ascii="Calibri" w:hAnsi="Calibri"/>
                <w:i/>
                <w:color w:val="101828"/>
                <w:sz w:val="14"/>
              </w:rPr>
              <w:t>This invitation is no longer valid.</w:t>
            </w:r>
          </w:p>
        </w:tc>
        <w:tc>
          <w:tcPr>
            <w:tcW w:type="dxa" w:w="2506"/>
            <w:tcMar>
              <w:top w:w="60" w:type="dxa"/>
              <w:start w:w="110" w:type="dxa"/>
              <w:bottom w:w="60" w:type="dxa"/>
              <w:end w:w="110" w:type="dxa"/>
            </w:tcMar>
          </w:tcPr>
          <w:p>
            <w:pPr>
              <w:spacing w:after="0"/>
            </w:pPr>
            <w:r/>
            <w:r>
              <w:rPr>
                <w:rFonts w:ascii="Calibri" w:hAnsi="Calibri"/>
                <w:b w:val="0"/>
                <w:i w:val="0"/>
                <w:color w:val="101828"/>
                <w:sz w:val="14"/>
              </w:rPr>
              <w:t>Contact the organiser. Revocation is a legitimate organiser action pre-activation. FR-INV-005, EC-125.</w:t>
            </w:r>
          </w:p>
        </w:tc>
      </w:tr>
      <w:tr>
        <w:trPr>
          <w:cantSplit/>
        </w:trPr>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The Ajo is already ACTIVE</w:t>
            </w:r>
          </w:p>
        </w:tc>
        <w:tc>
          <w:tcPr>
            <w:tcW w:type="dxa" w:w="2074"/>
            <w:tcMar>
              <w:top w:w="60" w:type="dxa"/>
              <w:start w:w="110" w:type="dxa"/>
              <w:bottom w:w="60" w:type="dxa"/>
              <w:end w:w="110" w:type="dxa"/>
            </w:tcMar>
            <w:shd w:val="clear" w:color="auto" w:fill="F4F7FB"/>
          </w:tcPr>
          <w:p>
            <w:pPr>
              <w:spacing w:after="0"/>
            </w:pPr>
            <w:r/>
            <w:r>
              <w:rPr>
                <w:rFonts w:ascii="Calibri" w:hAnsi="Calibri"/>
                <w:b w:val="0"/>
                <w:i w:val="0"/>
                <w:color w:val="101828"/>
                <w:sz w:val="14"/>
              </w:rPr>
              <w:t>Acceptance is refused. Membership by invitation is closed once activation locks the roster.</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SCR-APP-04</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Enrollment for this Ajo has closed, so new members cannot join. Talk to the organiser about a replacement position.</w:t>
            </w:r>
          </w:p>
        </w:tc>
        <w:tc>
          <w:tcPr>
            <w:tcW w:type="dxa" w:w="2506"/>
            <w:tcMar>
              <w:top w:w="60" w:type="dxa"/>
              <w:start w:w="110" w:type="dxa"/>
              <w:bottom w:w="60" w:type="dxa"/>
              <w:end w:w="110" w:type="dxa"/>
            </w:tcMar>
            <w:shd w:val="clear" w:color="auto" w:fill="F4F7FB"/>
          </w:tcPr>
          <w:p>
            <w:pPr>
              <w:spacing w:after="0"/>
            </w:pPr>
            <w:r/>
            <w:r>
              <w:rPr>
                <w:rFonts w:ascii="Calibri" w:hAnsi="Calibri"/>
                <w:b w:val="0"/>
                <w:i w:val="0"/>
                <w:color w:val="101828"/>
                <w:sz w:val="14"/>
              </w:rPr>
              <w:t>The organiser raises a formal replacement request. BR-002, BR-006, US-19, EC-066.</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4"/>
              </w:rPr>
              <w:t>The Ajo is full</w:t>
            </w:r>
          </w:p>
        </w:tc>
        <w:tc>
          <w:tcPr>
            <w:tcW w:type="dxa" w:w="2074"/>
            <w:tcMar>
              <w:top w:w="60" w:type="dxa"/>
              <w:start w:w="110" w:type="dxa"/>
              <w:bottom w:w="60" w:type="dxa"/>
              <w:end w:w="110" w:type="dxa"/>
            </w:tcMar>
          </w:tcPr>
          <w:p>
            <w:pPr>
              <w:spacing w:after="0"/>
            </w:pPr>
            <w:r/>
            <w:r>
              <w:rPr>
                <w:rFonts w:ascii="Calibri" w:hAnsi="Calibri"/>
                <w:b w:val="0"/>
                <w:i w:val="0"/>
                <w:color w:val="101828"/>
                <w:sz w:val="14"/>
              </w:rPr>
              <w:t>Refused. No overbooking, no waitlist that silently changes the pot value, no partial join.</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SCR-APP-04</w:t>
            </w:r>
          </w:p>
        </w:tc>
        <w:tc>
          <w:tcPr>
            <w:tcW w:type="dxa" w:w="1944"/>
            <w:tcMar>
              <w:top w:w="60" w:type="dxa"/>
              <w:start w:w="110" w:type="dxa"/>
              <w:bottom w:w="60" w:type="dxa"/>
              <w:end w:w="110" w:type="dxa"/>
            </w:tcMar>
          </w:tcPr>
          <w:p>
            <w:pPr>
              <w:spacing w:after="0"/>
            </w:pPr>
            <w:r/>
            <w:r>
              <w:rPr>
                <w:rFonts w:ascii="Calibri" w:hAnsi="Calibri"/>
                <w:i/>
                <w:color w:val="101828"/>
                <w:sz w:val="14"/>
              </w:rPr>
              <w:t>This Ajo is full. There is no room without a member leaving formally.</w:t>
            </w:r>
          </w:p>
        </w:tc>
        <w:tc>
          <w:tcPr>
            <w:tcW w:type="dxa" w:w="2506"/>
            <w:tcMar>
              <w:top w:w="60" w:type="dxa"/>
              <w:start w:w="110" w:type="dxa"/>
              <w:bottom w:w="60" w:type="dxa"/>
              <w:end w:w="110" w:type="dxa"/>
            </w:tcMar>
          </w:tcPr>
          <w:p>
            <w:pPr>
              <w:spacing w:after="0"/>
            </w:pPr>
            <w:r/>
            <w:r>
              <w:rPr>
                <w:rFonts w:ascii="Calibri" w:hAnsi="Calibri"/>
                <w:b w:val="0"/>
                <w:i w:val="0"/>
                <w:color w:val="101828"/>
                <w:sz w:val="14"/>
              </w:rPr>
              <w:t>The organiser may request a replacement, EC-067.</w:t>
            </w:r>
          </w:p>
        </w:tc>
      </w:tr>
      <w:tr>
        <w:trPr>
          <w:cantSplit/>
        </w:trPr>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The invitee declines</w:t>
            </w:r>
          </w:p>
        </w:tc>
        <w:tc>
          <w:tcPr>
            <w:tcW w:type="dxa" w:w="2074"/>
            <w:tcMar>
              <w:top w:w="60" w:type="dxa"/>
              <w:start w:w="110" w:type="dxa"/>
              <w:bottom w:w="60" w:type="dxa"/>
              <w:end w:w="110" w:type="dxa"/>
            </w:tcMar>
            <w:shd w:val="clear" w:color="auto" w:fill="F4F7FB"/>
          </w:tcPr>
          <w:p>
            <w:pPr>
              <w:spacing w:after="0"/>
            </w:pPr>
            <w:r/>
            <w:r>
              <w:rPr>
                <w:rFonts w:ascii="Consolas" w:hAnsi="Consolas"/>
                <w:color w:val="146EF5"/>
                <w:sz w:val="14"/>
              </w:rPr>
              <w:t>POST /invitations/:token/decline</w:t>
            </w:r>
            <w:r>
              <w:rPr>
                <w:rFonts w:ascii="Calibri" w:hAnsi="Calibri"/>
                <w:b w:val="0"/>
                <w:i w:val="0"/>
                <w:color w:val="101828"/>
                <w:sz w:val="14"/>
              </w:rPr>
              <w:t>. No account is created, the token is invalidated, and the seat is released back to the organiser.</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SCR-APP-04</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Invitation declined.</w:t>
            </w:r>
            <w:r>
              <w:rPr>
                <w:rFonts w:ascii="Calibri" w:hAnsi="Calibri"/>
                <w:b w:val="0"/>
                <w:i w:val="0"/>
                <w:color w:val="101828"/>
                <w:sz w:val="14"/>
              </w:rPr>
              <w:t xml:space="preserve"> The organiser sees the seat return to unfilled.</w:t>
            </w:r>
          </w:p>
        </w:tc>
        <w:tc>
          <w:tcPr>
            <w:tcW w:type="dxa" w:w="2506"/>
            <w:tcMar>
              <w:top w:w="60" w:type="dxa"/>
              <w:start w:w="110" w:type="dxa"/>
              <w:bottom w:w="60" w:type="dxa"/>
              <w:end w:w="110" w:type="dxa"/>
            </w:tcMar>
            <w:shd w:val="clear" w:color="auto" w:fill="F4F7FB"/>
          </w:tcPr>
          <w:p>
            <w:pPr>
              <w:spacing w:after="0"/>
            </w:pPr>
            <w:r/>
            <w:r>
              <w:rPr>
                <w:rFonts w:ascii="Calibri" w:hAnsi="Calibri"/>
                <w:b w:val="0"/>
                <w:i w:val="0"/>
                <w:color w:val="101828"/>
                <w:sz w:val="14"/>
              </w:rPr>
              <w:t>None needed. US-18, EC-126.</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4"/>
              </w:rPr>
              <w:t>The invitee is unverified when they try to accept</w:t>
            </w:r>
          </w:p>
        </w:tc>
        <w:tc>
          <w:tcPr>
            <w:tcW w:type="dxa" w:w="2074"/>
            <w:tcMar>
              <w:top w:w="60" w:type="dxa"/>
              <w:start w:w="110" w:type="dxa"/>
              <w:bottom w:w="60" w:type="dxa"/>
              <w:end w:w="110" w:type="dxa"/>
            </w:tcMar>
          </w:tcPr>
          <w:p>
            <w:pPr>
              <w:spacing w:after="0"/>
            </w:pPr>
            <w:r/>
            <w:r>
              <w:rPr>
                <w:rFonts w:ascii="Calibri" w:hAnsi="Calibri"/>
                <w:b w:val="0"/>
                <w:i w:val="0"/>
                <w:color w:val="101828"/>
                <w:sz w:val="14"/>
              </w:rPr>
              <w:t>Refused with a specific reason and a route to fix it. The token is not consumed, so the invitation survives the detour.</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SCR-MKT-09 / SCR-APP-19</w:t>
            </w:r>
          </w:p>
        </w:tc>
        <w:tc>
          <w:tcPr>
            <w:tcW w:type="dxa" w:w="1944"/>
            <w:tcMar>
              <w:top w:w="60" w:type="dxa"/>
              <w:start w:w="110" w:type="dxa"/>
              <w:bottom w:w="60" w:type="dxa"/>
              <w:end w:w="110" w:type="dxa"/>
            </w:tcMar>
          </w:tcPr>
          <w:p>
            <w:pPr>
              <w:spacing w:after="0"/>
            </w:pPr>
            <w:r/>
            <w:r>
              <w:rPr>
                <w:rFonts w:ascii="Calibri" w:hAnsi="Calibri"/>
                <w:i/>
                <w:color w:val="101828"/>
                <w:sz w:val="14"/>
              </w:rPr>
              <w:t>Confirm your email and phone number first. Your invitation is saved.</w:t>
            </w:r>
          </w:p>
        </w:tc>
        <w:tc>
          <w:tcPr>
            <w:tcW w:type="dxa" w:w="2506"/>
            <w:tcMar>
              <w:top w:w="60" w:type="dxa"/>
              <w:start w:w="110" w:type="dxa"/>
              <w:bottom w:w="60" w:type="dxa"/>
              <w:end w:w="110" w:type="dxa"/>
            </w:tcMar>
          </w:tcPr>
          <w:p>
            <w:pPr>
              <w:spacing w:after="0"/>
            </w:pPr>
            <w:r/>
            <w:r>
              <w:rPr>
                <w:rFonts w:ascii="Calibri" w:hAnsi="Calibri"/>
                <w:b w:val="0"/>
                <w:i w:val="0"/>
                <w:color w:val="101828"/>
                <w:sz w:val="14"/>
              </w:rPr>
              <w:t>Complete 2.1.5 to 2.1.8, then return. US-02, EC-127.</w:t>
            </w:r>
          </w:p>
        </w:tc>
      </w:tr>
      <w:tr>
        <w:trPr>
          <w:cantSplit/>
        </w:trPr>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The invitee has no smartphone or no data</w:t>
            </w:r>
          </w:p>
        </w:tc>
        <w:tc>
          <w:tcPr>
            <w:tcW w:type="dxa" w:w="2074"/>
            <w:tcMar>
              <w:top w:w="60" w:type="dxa"/>
              <w:start w:w="110" w:type="dxa"/>
              <w:bottom w:w="60" w:type="dxa"/>
              <w:end w:w="110" w:type="dxa"/>
            </w:tcMar>
            <w:shd w:val="clear" w:color="auto" w:fill="F4F7FB"/>
          </w:tcPr>
          <w:p>
            <w:pPr>
              <w:spacing w:after="0"/>
            </w:pPr>
            <w:r/>
            <w:r>
              <w:rPr>
                <w:rFonts w:ascii="Calibri" w:hAnsi="Calibri"/>
                <w:b w:val="0"/>
                <w:i w:val="0"/>
                <w:color w:val="101828"/>
                <w:sz w:val="14"/>
              </w:rPr>
              <w:t>The invitation link is a web link, not an app-only deep link. The join confirmation is available on a low-bandwidth page and the full terms are reachable without a login.</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SCR-APP-04 (web)</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You can read everything and agree on any phone with a browser.</w:t>
            </w:r>
          </w:p>
        </w:tc>
        <w:tc>
          <w:tcPr>
            <w:tcW w:type="dxa" w:w="2506"/>
            <w:tcMar>
              <w:top w:w="60" w:type="dxa"/>
              <w:start w:w="110" w:type="dxa"/>
              <w:bottom w:w="60" w:type="dxa"/>
              <w:end w:w="110" w:type="dxa"/>
            </w:tcMar>
            <w:shd w:val="clear" w:color="auto" w:fill="F4F7FB"/>
          </w:tcPr>
          <w:p>
            <w:pPr>
              <w:spacing w:after="0"/>
            </w:pPr>
            <w:r/>
            <w:r>
              <w:rPr>
                <w:rFonts w:ascii="Calibri" w:hAnsi="Calibri"/>
                <w:b w:val="0"/>
                <w:i w:val="0"/>
                <w:color w:val="101828"/>
                <w:sz w:val="14"/>
              </w:rPr>
              <w:t>Join from any browser. Core flows must complete on the lowest supported device class over 3G. G7, NFR-PERF-004, C-14, EC-036.</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4"/>
              </w:rPr>
              <w:t>The invitation is forwarded and the forwarder accepts</w:t>
            </w:r>
          </w:p>
        </w:tc>
        <w:tc>
          <w:tcPr>
            <w:tcW w:type="dxa" w:w="2074"/>
            <w:tcMar>
              <w:top w:w="60" w:type="dxa"/>
              <w:start w:w="110" w:type="dxa"/>
              <w:bottom w:w="60" w:type="dxa"/>
              <w:end w:w="110" w:type="dxa"/>
            </w:tcMar>
          </w:tcPr>
          <w:p>
            <w:pPr>
              <w:spacing w:after="0"/>
            </w:pPr>
            <w:r/>
            <w:r>
              <w:rPr>
                <w:rFonts w:ascii="Calibri" w:hAnsi="Calibri"/>
                <w:b w:val="0"/>
                <w:i w:val="0"/>
                <w:color w:val="101828"/>
                <w:sz w:val="14"/>
              </w:rPr>
              <w:t>Acceptance is refused unless the account's verified phone matches the invitee's number. The attempt is recorded as a risk signal on the invitation.</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SCR-APP-04</w:t>
            </w:r>
          </w:p>
        </w:tc>
        <w:tc>
          <w:tcPr>
            <w:tcW w:type="dxa" w:w="1944"/>
            <w:tcMar>
              <w:top w:w="60" w:type="dxa"/>
              <w:start w:w="110" w:type="dxa"/>
              <w:bottom w:w="60" w:type="dxa"/>
              <w:end w:w="110" w:type="dxa"/>
            </w:tcMar>
          </w:tcPr>
          <w:p>
            <w:pPr>
              <w:spacing w:after="0"/>
            </w:pPr>
            <w:r/>
            <w:r>
              <w:rPr>
                <w:rFonts w:ascii="Calibri" w:hAnsi="Calibri"/>
                <w:i/>
                <w:color w:val="101828"/>
                <w:sz w:val="14"/>
              </w:rPr>
              <w:t>This invitation was sent to a different phone number. Ask to be added personally.</w:t>
            </w:r>
          </w:p>
        </w:tc>
        <w:tc>
          <w:tcPr>
            <w:tcW w:type="dxa" w:w="2506"/>
            <w:tcMar>
              <w:top w:w="60" w:type="dxa"/>
              <w:start w:w="110" w:type="dxa"/>
              <w:bottom w:w="60" w:type="dxa"/>
              <w:end w:w="110" w:type="dxa"/>
            </w:tcMar>
          </w:tcPr>
          <w:p>
            <w:pPr>
              <w:spacing w:after="0"/>
            </w:pPr>
            <w:r/>
            <w:r>
              <w:rPr>
                <w:rFonts w:ascii="Calibri" w:hAnsi="Calibri"/>
                <w:b w:val="0"/>
                <w:i w:val="0"/>
                <w:color w:val="101828"/>
                <w:sz w:val="14"/>
              </w:rPr>
              <w:t xml:space="preserve">The organiser revokes and reissues to the correct number. The forwarded attempt is visible to </w:t>
            </w:r>
            <w:r>
              <w:rPr>
                <w:rFonts w:ascii="Consolas" w:hAnsi="Consolas"/>
                <w:color w:val="146EF5"/>
                <w:sz w:val="14"/>
              </w:rPr>
              <w:t>risk_officer</w:t>
            </w:r>
            <w:r>
              <w:rPr>
                <w:rFonts w:ascii="Calibri" w:hAnsi="Calibri"/>
                <w:b w:val="0"/>
                <w:i w:val="0"/>
                <w:color w:val="101828"/>
                <w:sz w:val="14"/>
              </w:rPr>
              <w:t>, R4, EC-084.</w:t>
            </w:r>
          </w:p>
        </w:tc>
      </w:tr>
    </w:tbl>
    <w:p>
      <w:pPr>
        <w:spacing w:after="80"/>
      </w:pPr>
    </w:p>
    <w:p>
      <w:r>
        <w:br w:type="page"/>
      </w:r>
    </w:p>
    <w:p>
      <w:pPr>
        <w:pStyle w:val="Heading2"/>
      </w:pPr>
      <w:r>
        <w:rPr>
          <w:rFonts w:ascii="Calibri" w:hAnsi="Calibri"/>
          <w:b/>
          <w:i w:val="0"/>
          <w:color w:val="146EF5"/>
          <w:sz w:val="29"/>
        </w:rPr>
        <w:t>2.4 Contribution: from dashboard to receipt</w:t>
      </w:r>
    </w:p>
    <w:p>
      <w:pPr>
        <w:pStyle w:val="Heading3"/>
      </w:pPr>
      <w:r>
        <w:rPr>
          <w:rFonts w:ascii="Calibri" w:hAnsi="Calibri"/>
          <w:b/>
          <w:i w:val="0"/>
          <w:color w:val="0B1F3A"/>
          <w:sz w:val="24"/>
        </w:rPr>
        <w:t>2.4.1 Purpose</w:t>
      </w:r>
    </w:p>
    <w:p>
      <w:r>
        <w:rPr>
          <w:rFonts w:ascii="Calibri" w:hAnsi="Calibri"/>
          <w:b w:val="0"/>
          <w:i w:val="0"/>
          <w:color w:val="101828"/>
          <w:sz w:val="21"/>
        </w:rPr>
        <w:t>This is the flow that decides whether the product is trusted. A member opens the app, sees exactly what is owed and exactly what will be charged, pays through a provider without ever handing AJO.ng a card, and receives a receipt that shows the contribution and the fee as separate lines. Every one of those steps is mandatory. The flow must survive a dropped connection, a duplicated request and a delayed provider response without ever charging a member twice or leaving a member in doubt about whether they paid (BR-024, NFR-AVL-003, P4).</w:t>
      </w:r>
    </w:p>
    <w:p>
      <w:pPr>
        <w:pStyle w:val="Heading3"/>
      </w:pPr>
      <w:r>
        <w:rPr>
          <w:rFonts w:ascii="Calibri" w:hAnsi="Calibri"/>
          <w:b/>
          <w:i w:val="0"/>
          <w:color w:val="0B1F3A"/>
          <w:sz w:val="24"/>
        </w:rPr>
        <w:t>2.4.2 Swimlane</w:t>
      </w:r>
    </w:p>
    <w:p>
      <w:pPr>
        <w:spacing w:before="0" w:after="0" w:line="240" w:lineRule="auto"/>
        <w:ind w:left="230"/>
        <w:shd w:val="clear" w:color="auto" w:fill="F7F9FC"/>
        <w:pBdr>
          <w:left w:val="single" w:sz="4" w:space="6" w:color="D0D5DD"/>
        </w:pBdr>
      </w:pPr>
      <w:r>
        <w:rPr>
          <w:rFonts w:ascii="Consolas" w:hAnsi="Consolas"/>
          <w:color w:val="0B1F3A"/>
          <w:sz w:val="16"/>
        </w:rPr>
        <w:t>MEMBER (ajo_member)     AJO.ng            PROVIDER       LEDGER (append-only)</w:t>
      </w:r>
    </w:p>
    <w:p>
      <w:pPr>
        <w:spacing w:before="0" w:after="0" w:line="240" w:lineRule="auto"/>
        <w:ind w:left="230"/>
        <w:shd w:val="clear" w:color="auto" w:fill="F7F9FC"/>
        <w:pBdr>
          <w:left w:val="single" w:sz="4" w:space="6" w:color="D0D5DD"/>
        </w:pBdr>
      </w:pPr>
      <w:r>
        <w:rPr>
          <w:rFonts w:ascii="Consolas" w:hAnsi="Consolas"/>
          <w:color w:val="0B1F3A"/>
          <w:sz w:val="16"/>
        </w:rPr>
        <w:t xml:space="preserve">   |  Dashboard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GET /contributions&gt;|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|&lt;-- PENDING, due Tue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contribution.due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T-24h, T-2h (push,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email; SMS optional)|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Upcoming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"Pay now"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Shows owed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contribution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NGN 1,000.00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fee 2%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NGN 20.00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TOTAL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NGN 1,020.00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I understand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POST /payments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Idempotency-Key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amount fixed ----&gt;|  INITIATED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payment: PENDING  |----------------&gt;|  (nothing yet)</w:t>
      </w:r>
    </w:p>
    <w:p>
      <w:pPr>
        <w:spacing w:before="0" w:after="0" w:line="240" w:lineRule="auto"/>
        <w:ind w:left="230"/>
        <w:shd w:val="clear" w:color="auto" w:fill="F7F9FC"/>
        <w:pBdr>
          <w:left w:val="single" w:sz="4" w:space="6" w:color="D0D5DD"/>
        </w:pBdr>
      </w:pPr>
      <w:r>
        <w:rPr>
          <w:rFonts w:ascii="Consolas" w:hAnsi="Consolas"/>
          <w:color w:val="0B1F3A"/>
          <w:sz w:val="16"/>
        </w:rPr>
        <w:t xml:space="preserve">   |  &lt;provider page: authorise&gt;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SUCCESS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POST /payments/:id/verify (poll + reconcile)</w:t>
      </w:r>
    </w:p>
    <w:p>
      <w:pPr>
        <w:spacing w:before="0" w:after="0" w:line="240" w:lineRule="auto"/>
        <w:ind w:left="230"/>
        <w:shd w:val="clear" w:color="auto" w:fill="F7F9FC"/>
        <w:pBdr>
          <w:left w:val="single" w:sz="4" w:space="6" w:color="D0D5DD"/>
        </w:pBdr>
      </w:pPr>
      <w:r>
        <w:rPr>
          <w:rFonts w:ascii="Consolas" w:hAnsi="Consolas"/>
          <w:color w:val="0B1F3A"/>
          <w:sz w:val="16"/>
        </w:rPr>
        <w:t xml:space="preserve">   |                  |&lt;--------------------------------------|  webhook</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POST /webhooks/payments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signature verified, replay-checked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1. contribution.received   debit escrow_cash</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credit contribs_recd</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(net NGN 1,000.00)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2. fee.recognised        debit escrow_cash</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credit fees_income</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(NGN 20.00)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payment SUCCESS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contribution PENDING -&gt; PAID</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balance to zero or rejected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  Receipt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GET /payments/:id/receipt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contribution NGN 1,000.00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fee         NGN   20.00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charged     NGN 1,020.00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provider ref, timestamp, state PAID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contribution.received (push, email)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Round funding progress updates for every member         |</w:t>
      </w:r>
    </w:p>
    <w:p>
      <w:pPr>
        <w:pStyle w:val="Heading3"/>
      </w:pPr>
      <w:r>
        <w:rPr>
          <w:rFonts w:ascii="Calibri" w:hAnsi="Calibri"/>
          <w:b/>
          <w:i w:val="0"/>
          <w:color w:val="0B1F3A"/>
          <w:sz w:val="24"/>
        </w:rPr>
        <w:t>2.4.3 Step detail</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706"/>
            <w:shd w:val="clear" w:color="auto" w:fill="0B1F3A"/>
            <w:tcMar>
              <w:top w:w="60" w:type="dxa"/>
              <w:start w:w="110" w:type="dxa"/>
              <w:bottom w:w="60" w:type="dxa"/>
              <w:end w:w="110" w:type="dxa"/>
            </w:tcMar>
          </w:tcPr>
          <w:p>
            <w:pPr>
              <w:spacing w:after="0"/>
            </w:pPr>
            <w:r/>
            <w:r>
              <w:rPr>
                <w:rFonts w:ascii="Calibri" w:hAnsi="Calibri"/>
                <w:b/>
                <w:i w:val="0"/>
                <w:color w:val="FFFFFF"/>
                <w:sz w:val="14"/>
              </w:rPr>
              <w:t>Step</w:t>
            </w:r>
          </w:p>
        </w:tc>
        <w:tc>
          <w:tcPr>
            <w:tcW w:type="dxa" w:w="1253"/>
            <w:shd w:val="clear" w:color="auto" w:fill="0B1F3A"/>
            <w:tcMar>
              <w:top w:w="60" w:type="dxa"/>
              <w:start w:w="110" w:type="dxa"/>
              <w:bottom w:w="60" w:type="dxa"/>
              <w:end w:w="110" w:type="dxa"/>
            </w:tcMar>
          </w:tcPr>
          <w:p>
            <w:pPr>
              <w:spacing w:after="0"/>
            </w:pPr>
            <w:r/>
            <w:r>
              <w:rPr>
                <w:rFonts w:ascii="Calibri" w:hAnsi="Calibri"/>
                <w:b/>
                <w:i w:val="0"/>
                <w:color w:val="FFFFFF"/>
                <w:sz w:val="14"/>
              </w:rPr>
              <w:t>Actor</w:t>
            </w:r>
          </w:p>
        </w:tc>
        <w:tc>
          <w:tcPr>
            <w:tcW w:type="dxa" w:w="1123"/>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2030"/>
            <w:shd w:val="clear" w:color="auto" w:fill="0B1F3A"/>
            <w:tcMar>
              <w:top w:w="60" w:type="dxa"/>
              <w:start w:w="110" w:type="dxa"/>
              <w:bottom w:w="60" w:type="dxa"/>
              <w:end w:w="110" w:type="dxa"/>
            </w:tcMar>
          </w:tcPr>
          <w:p>
            <w:pPr>
              <w:spacing w:after="0"/>
            </w:pPr>
            <w:r/>
            <w:r>
              <w:rPr>
                <w:rFonts w:ascii="Calibri" w:hAnsi="Calibri"/>
                <w:b/>
                <w:i w:val="0"/>
                <w:color w:val="FFFFFF"/>
                <w:sz w:val="14"/>
              </w:rPr>
              <w:t>Action</w:t>
            </w:r>
          </w:p>
        </w:tc>
        <w:tc>
          <w:tcPr>
            <w:tcW w:type="dxa" w:w="2808"/>
            <w:shd w:val="clear" w:color="auto" w:fill="0B1F3A"/>
            <w:tcMar>
              <w:top w:w="60" w:type="dxa"/>
              <w:start w:w="110" w:type="dxa"/>
              <w:bottom w:w="60" w:type="dxa"/>
              <w:end w:w="110" w:type="dxa"/>
            </w:tcMar>
          </w:tcPr>
          <w:p>
            <w:pPr>
              <w:spacing w:after="0"/>
            </w:pPr>
            <w:r/>
            <w:r>
              <w:rPr>
                <w:rFonts w:ascii="Calibri" w:hAnsi="Calibri"/>
                <w:b/>
                <w:i w:val="0"/>
                <w:color w:val="FFFFFF"/>
                <w:sz w:val="14"/>
              </w:rPr>
              <w:t>System response</w:t>
            </w:r>
          </w:p>
        </w:tc>
        <w:tc>
          <w:tcPr>
            <w:tcW w:type="dxa" w:w="1440"/>
            <w:shd w:val="clear" w:color="auto" w:fill="0B1F3A"/>
            <w:tcMar>
              <w:top w:w="60" w:type="dxa"/>
              <w:start w:w="110" w:type="dxa"/>
              <w:bottom w:w="60" w:type="dxa"/>
              <w:end w:w="110" w:type="dxa"/>
            </w:tcMar>
          </w:tcPr>
          <w:p>
            <w:pPr>
              <w:spacing w:after="0"/>
            </w:pPr>
            <w:r/>
            <w:r>
              <w:rPr>
                <w:rFonts w:ascii="Calibri" w:hAnsi="Calibri"/>
                <w:b/>
                <w:i w:val="0"/>
                <w:color w:val="FFFFFF"/>
                <w:sz w:val="14"/>
              </w:rPr>
              <w:t>Rule ref</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2.4.1</w:t>
            </w:r>
          </w:p>
        </w:tc>
        <w:tc>
          <w:tcPr>
            <w:tcW w:type="dxa" w:w="1253"/>
            <w:tcMar>
              <w:top w:w="60" w:type="dxa"/>
              <w:start w:w="110" w:type="dxa"/>
              <w:bottom w:w="60" w:type="dxa"/>
              <w:end w:w="110" w:type="dxa"/>
            </w:tcMar>
          </w:tcPr>
          <w:p>
            <w:pPr>
              <w:spacing w:after="0"/>
            </w:pPr>
            <w:r/>
            <w:r>
              <w:rPr>
                <w:rFonts w:ascii="Calibri" w:hAnsi="Calibri"/>
                <w:b w:val="0"/>
                <w:i w:val="0"/>
                <w:color w:val="101828"/>
                <w:sz w:val="14"/>
              </w:rPr>
              <w:t>System</w:t>
            </w:r>
          </w:p>
        </w:tc>
        <w:tc>
          <w:tcPr>
            <w:tcW w:type="dxa" w:w="1123"/>
            <w:tcMar>
              <w:top w:w="60" w:type="dxa"/>
              <w:start w:w="110" w:type="dxa"/>
              <w:bottom w:w="60" w:type="dxa"/>
              <w:end w:w="110" w:type="dxa"/>
            </w:tcMar>
          </w:tcPr>
          <w:p>
            <w:pPr>
              <w:spacing w:after="0"/>
            </w:pPr>
            <w:r/>
            <w:r>
              <w:rPr>
                <w:rFonts w:ascii="Calibri" w:hAnsi="Calibri"/>
                <w:b w:val="0"/>
                <w:i w:val="0"/>
                <w:color w:val="101828"/>
                <w:sz w:val="14"/>
              </w:rPr>
              <w:t>SCR-APP-12</w:t>
            </w:r>
          </w:p>
        </w:tc>
        <w:tc>
          <w:tcPr>
            <w:tcW w:type="dxa" w:w="2030"/>
            <w:tcMar>
              <w:top w:w="60" w:type="dxa"/>
              <w:start w:w="110" w:type="dxa"/>
              <w:bottom w:w="60" w:type="dxa"/>
              <w:end w:w="110" w:type="dxa"/>
            </w:tcMar>
          </w:tcPr>
          <w:p>
            <w:pPr>
              <w:spacing w:after="0"/>
            </w:pPr>
            <w:r/>
            <w:r>
              <w:rPr>
                <w:rFonts w:ascii="Calibri" w:hAnsi="Calibri"/>
                <w:b w:val="0"/>
                <w:i w:val="0"/>
                <w:color w:val="101828"/>
                <w:sz w:val="14"/>
              </w:rPr>
              <w:t xml:space="preserve">Sends </w:t>
            </w:r>
            <w:r>
              <w:rPr>
                <w:rFonts w:ascii="Consolas" w:hAnsi="Consolas"/>
                <w:color w:val="146EF5"/>
                <w:sz w:val="14"/>
              </w:rPr>
              <w:t>contribution.due</w:t>
            </w:r>
            <w:r>
              <w:rPr>
                <w:rFonts w:ascii="Calibri" w:hAnsi="Calibri"/>
                <w:b w:val="0"/>
                <w:i w:val="0"/>
                <w:color w:val="101828"/>
                <w:sz w:val="14"/>
              </w:rPr>
              <w:t xml:space="preserve"> at T-24h and T-2h before the due time.</w:t>
            </w:r>
          </w:p>
        </w:tc>
        <w:tc>
          <w:tcPr>
            <w:tcW w:type="dxa" w:w="2808"/>
            <w:tcMar>
              <w:top w:w="60" w:type="dxa"/>
              <w:start w:w="110" w:type="dxa"/>
              <w:bottom w:w="60" w:type="dxa"/>
              <w:end w:w="110" w:type="dxa"/>
            </w:tcMar>
          </w:tcPr>
          <w:p>
            <w:pPr>
              <w:spacing w:after="0"/>
            </w:pPr>
            <w:r/>
            <w:r>
              <w:rPr>
                <w:rFonts w:ascii="Calibri" w:hAnsi="Calibri"/>
                <w:b w:val="0"/>
                <w:i w:val="0"/>
                <w:color w:val="101828"/>
                <w:sz w:val="14"/>
              </w:rPr>
              <w:t>Push and email to the member, SMS only if the member has opted into the optional SMS for this category. Two notifications per round is a deliberate ceiling, not an accident.</w:t>
            </w:r>
          </w:p>
        </w:tc>
        <w:tc>
          <w:tcPr>
            <w:tcW w:type="dxa" w:w="1440"/>
            <w:tcMar>
              <w:top w:w="60" w:type="dxa"/>
              <w:start w:w="110" w:type="dxa"/>
              <w:bottom w:w="60" w:type="dxa"/>
              <w:end w:w="110" w:type="dxa"/>
            </w:tcMar>
          </w:tcPr>
          <w:p>
            <w:pPr>
              <w:spacing w:after="0"/>
            </w:pPr>
            <w:r/>
            <w:r>
              <w:rPr>
                <w:rFonts w:ascii="Calibri" w:hAnsi="Calibri"/>
                <w:b w:val="0"/>
                <w:i w:val="0"/>
                <w:color w:val="101828"/>
                <w:sz w:val="14"/>
              </w:rPr>
              <w:t>CAN §8, FR-NOTIF-002, FR-NOTIF-006, A-14</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2.4.2</w:t>
            </w:r>
          </w:p>
        </w:tc>
        <w:tc>
          <w:tcPr>
            <w:tcW w:type="dxa" w:w="1253"/>
            <w:tcMar>
              <w:top w:w="60" w:type="dxa"/>
              <w:start w:w="110" w:type="dxa"/>
              <w:bottom w:w="60" w:type="dxa"/>
              <w:end w:w="110" w:type="dxa"/>
            </w:tcMar>
            <w:shd w:val="clear" w:color="auto" w:fill="F4F7FB"/>
          </w:tcPr>
          <w:p>
            <w:pPr>
              <w:spacing w:after="0"/>
            </w:pPr>
            <w:r/>
            <w:r>
              <w:rPr>
                <w:rFonts w:ascii="Calibri" w:hAnsi="Calibri"/>
                <w:b w:val="0"/>
                <w:i w:val="0"/>
                <w:color w:val="101828"/>
                <w:sz w:val="14"/>
              </w:rPr>
              <w:t>Member</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SCR-APP-01</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Opens the dashboard and taps the upcoming contribution.</w:t>
            </w:r>
          </w:p>
        </w:tc>
        <w:tc>
          <w:tcPr>
            <w:tcW w:type="dxa" w:w="2808"/>
            <w:tcMar>
              <w:top w:w="60" w:type="dxa"/>
              <w:start w:w="110" w:type="dxa"/>
              <w:bottom w:w="60" w:type="dxa"/>
              <w:end w:w="110" w:type="dxa"/>
            </w:tcMar>
            <w:shd w:val="clear" w:color="auto" w:fill="F4F7FB"/>
          </w:tcPr>
          <w:p>
            <w:pPr>
              <w:spacing w:after="0"/>
            </w:pPr>
            <w:r/>
            <w:r>
              <w:rPr>
                <w:rFonts w:ascii="Consolas" w:hAnsi="Consolas"/>
                <w:color w:val="146EF5"/>
                <w:sz w:val="14"/>
              </w:rPr>
              <w:t>GET /contributions</w:t>
            </w:r>
            <w:r>
              <w:rPr>
                <w:rFonts w:ascii="Calibri" w:hAnsi="Calibri"/>
                <w:b w:val="0"/>
                <w:i w:val="0"/>
                <w:color w:val="101828"/>
                <w:sz w:val="14"/>
              </w:rPr>
              <w:t xml:space="preserve"> returns the member-scoped list with each contribution's state, due date in the member's configured zone with the zone named, and the amount outstanding. The view is self-service and needs no organiser input.</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4"/>
              </w:rPr>
              <w:t>FR-CON-001, FR-CON-002, NFR-LOC-003, G2, N1, US-20</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2.4.3</w:t>
            </w:r>
          </w:p>
        </w:tc>
        <w:tc>
          <w:tcPr>
            <w:tcW w:type="dxa" w:w="1253"/>
            <w:tcMar>
              <w:top w:w="60" w:type="dxa"/>
              <w:start w:w="110" w:type="dxa"/>
              <w:bottom w:w="60" w:type="dxa"/>
              <w:end w:w="110" w:type="dxa"/>
            </w:tcMar>
          </w:tcPr>
          <w:p>
            <w:pPr>
              <w:spacing w:after="0"/>
            </w:pPr>
            <w:r/>
            <w:r>
              <w:rPr>
                <w:rFonts w:ascii="Calibri" w:hAnsi="Calibri"/>
                <w:b w:val="0"/>
                <w:i w:val="0"/>
                <w:color w:val="101828"/>
                <w:sz w:val="14"/>
              </w:rPr>
              <w:t>Member</w:t>
            </w:r>
          </w:p>
        </w:tc>
        <w:tc>
          <w:tcPr>
            <w:tcW w:type="dxa" w:w="1123"/>
            <w:tcMar>
              <w:top w:w="60" w:type="dxa"/>
              <w:start w:w="110" w:type="dxa"/>
              <w:bottom w:w="60" w:type="dxa"/>
              <w:end w:w="110" w:type="dxa"/>
            </w:tcMar>
          </w:tcPr>
          <w:p>
            <w:pPr>
              <w:spacing w:after="0"/>
            </w:pPr>
            <w:r/>
            <w:r>
              <w:rPr>
                <w:rFonts w:ascii="Calibri" w:hAnsi="Calibri"/>
                <w:b w:val="0"/>
                <w:i w:val="0"/>
                <w:color w:val="101828"/>
                <w:sz w:val="14"/>
              </w:rPr>
              <w:t>SCR-APP-08</w:t>
            </w:r>
          </w:p>
        </w:tc>
        <w:tc>
          <w:tcPr>
            <w:tcW w:type="dxa" w:w="2030"/>
            <w:tcMar>
              <w:top w:w="60" w:type="dxa"/>
              <w:start w:w="110" w:type="dxa"/>
              <w:bottom w:w="60" w:type="dxa"/>
              <w:end w:w="110" w:type="dxa"/>
            </w:tcMar>
          </w:tcPr>
          <w:p>
            <w:pPr>
              <w:spacing w:after="0"/>
            </w:pPr>
            <w:r/>
            <w:r>
              <w:rPr>
                <w:rFonts w:ascii="Calibri" w:hAnsi="Calibri"/>
                <w:b w:val="0"/>
                <w:i w:val="0"/>
                <w:color w:val="101828"/>
                <w:sz w:val="14"/>
              </w:rPr>
              <w:t>Opens the contribution detail.</w:t>
            </w:r>
          </w:p>
        </w:tc>
        <w:tc>
          <w:tcPr>
            <w:tcW w:type="dxa" w:w="2808"/>
            <w:tcMar>
              <w:top w:w="60" w:type="dxa"/>
              <w:start w:w="110" w:type="dxa"/>
              <w:bottom w:w="60" w:type="dxa"/>
              <w:end w:w="110" w:type="dxa"/>
            </w:tcMar>
          </w:tcPr>
          <w:p>
            <w:pPr>
              <w:spacing w:after="0"/>
            </w:pPr>
            <w:r/>
            <w:r>
              <w:rPr>
                <w:rFonts w:ascii="Calibri" w:hAnsi="Calibri"/>
                <w:b w:val="0"/>
                <w:i w:val="0"/>
                <w:color w:val="101828"/>
                <w:sz w:val="14"/>
              </w:rPr>
              <w:t>Shows: round number, due date, contribution NGN 1,000.00, platform fee 2% NGN 20.00, total to charge NGN 1,020.00, amount already paid, and the state sequence PENDING, PAID, settled. State is carried as a text label and an icon, never by colour alone.</w:t>
            </w:r>
          </w:p>
        </w:tc>
        <w:tc>
          <w:tcPr>
            <w:tcW w:type="dxa" w:w="1440"/>
            <w:tcMar>
              <w:top w:w="60" w:type="dxa"/>
              <w:start w:w="110" w:type="dxa"/>
              <w:bottom w:w="60" w:type="dxa"/>
              <w:end w:w="110" w:type="dxa"/>
            </w:tcMar>
          </w:tcPr>
          <w:p>
            <w:pPr>
              <w:spacing w:after="0"/>
            </w:pPr>
            <w:r/>
            <w:r>
              <w:rPr>
                <w:rFonts w:ascii="Calibri" w:hAnsi="Calibri"/>
                <w:b w:val="0"/>
                <w:i w:val="0"/>
                <w:color w:val="101828"/>
                <w:sz w:val="14"/>
              </w:rPr>
              <w:t>FR-CON-003, FR-CON-004, BR-011, NFR-ACC-003, US-21, US-22</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2.4.4</w:t>
            </w:r>
          </w:p>
        </w:tc>
        <w:tc>
          <w:tcPr>
            <w:tcW w:type="dxa" w:w="1253"/>
            <w:tcMar>
              <w:top w:w="60" w:type="dxa"/>
              <w:start w:w="110" w:type="dxa"/>
              <w:bottom w:w="60" w:type="dxa"/>
              <w:end w:w="110" w:type="dxa"/>
            </w:tcMar>
            <w:shd w:val="clear" w:color="auto" w:fill="F4F7FB"/>
          </w:tcPr>
          <w:p>
            <w:pPr>
              <w:spacing w:after="0"/>
            </w:pPr>
            <w:r/>
            <w:r>
              <w:rPr>
                <w:rFonts w:ascii="Calibri" w:hAnsi="Calibri"/>
                <w:b w:val="0"/>
                <w:i w:val="0"/>
                <w:color w:val="101828"/>
                <w:sz w:val="14"/>
              </w:rPr>
              <w:t>Member</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SCR-APP-08</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Taps </w:t>
            </w:r>
            <w:r>
              <w:rPr>
                <w:rFonts w:ascii="Calibri" w:hAnsi="Calibri"/>
                <w:i/>
                <w:color w:val="101828"/>
                <w:sz w:val="14"/>
              </w:rPr>
              <w:t>Pay now</w:t>
            </w:r>
            <w:r>
              <w:rPr>
                <w:rFonts w:ascii="Calibri" w:hAnsi="Calibri"/>
                <w:b w:val="0"/>
                <w:i w:val="0"/>
                <w:color w:val="101828"/>
                <w:sz w:val="14"/>
              </w:rPr>
              <w:t xml:space="preserve"> and acknowledges the amount.</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The amount is final at initiation and cannot change afterwards. A single acknowledgement records that the member saw the split between contribution and fee before authorising the charge.</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4"/>
              </w:rPr>
              <w:t>FR-PAY-002, FR-PAY-007, BR-011, US-22</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2.4.5</w:t>
            </w:r>
          </w:p>
        </w:tc>
        <w:tc>
          <w:tcPr>
            <w:tcW w:type="dxa" w:w="1253"/>
            <w:tcMar>
              <w:top w:w="60" w:type="dxa"/>
              <w:start w:w="110" w:type="dxa"/>
              <w:bottom w:w="60" w:type="dxa"/>
              <w:end w:w="110" w:type="dxa"/>
            </w:tcMar>
          </w:tcPr>
          <w:p>
            <w:pPr>
              <w:spacing w:after="0"/>
            </w:pPr>
            <w:r/>
            <w:r>
              <w:rPr>
                <w:rFonts w:ascii="Calibri" w:hAnsi="Calibri"/>
                <w:b w:val="0"/>
                <w:i w:val="0"/>
                <w:color w:val="101828"/>
                <w:sz w:val="14"/>
              </w:rPr>
              <w:t>Member</w:t>
            </w:r>
          </w:p>
        </w:tc>
        <w:tc>
          <w:tcPr>
            <w:tcW w:type="dxa" w:w="1123"/>
            <w:tcMar>
              <w:top w:w="60" w:type="dxa"/>
              <w:start w:w="110" w:type="dxa"/>
              <w:bottom w:w="60" w:type="dxa"/>
              <w:end w:w="110" w:type="dxa"/>
            </w:tcMar>
          </w:tcPr>
          <w:p>
            <w:pPr>
              <w:spacing w:after="0"/>
            </w:pPr>
            <w:r/>
            <w:r>
              <w:rPr>
                <w:rFonts w:ascii="Calibri" w:hAnsi="Calibri"/>
                <w:b w:val="0"/>
                <w:i w:val="0"/>
                <w:color w:val="101828"/>
                <w:sz w:val="14"/>
              </w:rPr>
              <w:t>SCR-APP-09</w:t>
            </w:r>
          </w:p>
        </w:tc>
        <w:tc>
          <w:tcPr>
            <w:tcW w:type="dxa" w:w="2030"/>
            <w:tcMar>
              <w:top w:w="60" w:type="dxa"/>
              <w:start w:w="110" w:type="dxa"/>
              <w:bottom w:w="60" w:type="dxa"/>
              <w:end w:w="110" w:type="dxa"/>
            </w:tcMar>
          </w:tcPr>
          <w:p>
            <w:pPr>
              <w:spacing w:after="0"/>
            </w:pPr>
            <w:r/>
            <w:r>
              <w:rPr>
                <w:rFonts w:ascii="Calibri" w:hAnsi="Calibri"/>
                <w:b w:val="0"/>
                <w:i w:val="0"/>
                <w:color w:val="101828"/>
                <w:sz w:val="14"/>
              </w:rPr>
              <w:t>Authorises payment on the provider's own surface.</w:t>
            </w:r>
          </w:p>
        </w:tc>
        <w:tc>
          <w:tcPr>
            <w:tcW w:type="dxa" w:w="2808"/>
            <w:tcMar>
              <w:top w:w="60" w:type="dxa"/>
              <w:start w:w="110" w:type="dxa"/>
              <w:bottom w:w="60" w:type="dxa"/>
              <w:end w:w="110" w:type="dxa"/>
            </w:tcMar>
          </w:tcPr>
          <w:p>
            <w:pPr>
              <w:spacing w:after="0"/>
            </w:pPr>
            <w:r/>
            <w:r>
              <w:rPr>
                <w:rFonts w:ascii="Consolas" w:hAnsi="Consolas"/>
                <w:color w:val="146EF5"/>
                <w:sz w:val="14"/>
              </w:rPr>
              <w:t>POST /contributions/:id/pay</w:t>
            </w:r>
            <w:r>
              <w:rPr>
                <w:rFonts w:ascii="Calibri" w:hAnsi="Calibri"/>
                <w:b w:val="0"/>
                <w:i w:val="0"/>
                <w:color w:val="101828"/>
                <w:sz w:val="14"/>
              </w:rPr>
              <w:t xml:space="preserve"> then </w:t>
            </w:r>
            <w:r>
              <w:rPr>
                <w:rFonts w:ascii="Consolas" w:hAnsi="Consolas"/>
                <w:color w:val="146EF5"/>
                <w:sz w:val="14"/>
              </w:rPr>
              <w:t>POST /payments</w:t>
            </w:r>
            <w:r>
              <w:rPr>
                <w:rFonts w:ascii="Calibri" w:hAnsi="Calibri"/>
                <w:b w:val="0"/>
                <w:i w:val="0"/>
                <w:color w:val="101828"/>
                <w:sz w:val="14"/>
              </w:rPr>
              <w:t xml:space="preserve">, both requiring an </w:t>
            </w:r>
            <w:r>
              <w:rPr>
                <w:rFonts w:ascii="Consolas" w:hAnsi="Consolas"/>
                <w:color w:val="146EF5"/>
                <w:sz w:val="14"/>
              </w:rPr>
              <w:t>Idempotency-Key</w:t>
            </w:r>
            <w:r>
              <w:rPr>
                <w:rFonts w:ascii="Calibri" w:hAnsi="Calibri"/>
                <w:b w:val="0"/>
                <w:i w:val="0"/>
                <w:color w:val="101828"/>
                <w:sz w:val="14"/>
              </w:rPr>
              <w:t xml:space="preserve">. AJO.ng stores no card credentials at any layer; the provider tokenises. The payment record is created </w:t>
            </w:r>
            <w:r>
              <w:rPr>
                <w:rFonts w:ascii="Consolas" w:hAnsi="Consolas"/>
                <w:color w:val="146EF5"/>
                <w:sz w:val="14"/>
              </w:rPr>
              <w:t>INITIATED</w:t>
            </w:r>
            <w:r>
              <w:rPr>
                <w:rFonts w:ascii="Calibri" w:hAnsi="Calibri"/>
                <w:b w:val="0"/>
                <w:i w:val="0"/>
                <w:color w:val="101828"/>
                <w:sz w:val="14"/>
              </w:rPr>
              <w:t xml:space="preserve"> then </w:t>
            </w:r>
            <w:r>
              <w:rPr>
                <w:rFonts w:ascii="Consolas" w:hAnsi="Consolas"/>
                <w:color w:val="146EF5"/>
                <w:sz w:val="14"/>
              </w:rPr>
              <w:t>PENDING</w:t>
            </w:r>
            <w:r>
              <w:rPr>
                <w:rFonts w:ascii="Calibri" w:hAnsi="Calibri"/>
                <w:b w:val="0"/>
                <w:i w:val="0"/>
                <w:color w:val="101828"/>
                <w:sz w:val="14"/>
              </w:rPr>
              <w:t xml:space="preserve"> with the amount fixed.</w:t>
            </w:r>
          </w:p>
        </w:tc>
        <w:tc>
          <w:tcPr>
            <w:tcW w:type="dxa" w:w="1440"/>
            <w:tcMar>
              <w:top w:w="60" w:type="dxa"/>
              <w:start w:w="110" w:type="dxa"/>
              <w:bottom w:w="60" w:type="dxa"/>
              <w:end w:w="110" w:type="dxa"/>
            </w:tcMar>
          </w:tcPr>
          <w:p>
            <w:pPr>
              <w:spacing w:after="0"/>
            </w:pPr>
            <w:r/>
            <w:r>
              <w:rPr>
                <w:rFonts w:ascii="Calibri" w:hAnsi="Calibri"/>
                <w:b w:val="0"/>
                <w:i w:val="0"/>
                <w:color w:val="101828"/>
                <w:sz w:val="14"/>
              </w:rPr>
              <w:t>FR-PAY-001, FR-PAY-004, BR-024, NFR-SEC-007, CAN §4</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2.4.6</w:t>
            </w:r>
          </w:p>
        </w:tc>
        <w:tc>
          <w:tcPr>
            <w:tcW w:type="dxa" w:w="1253"/>
            <w:tcMar>
              <w:top w:w="60" w:type="dxa"/>
              <w:start w:w="110" w:type="dxa"/>
              <w:bottom w:w="60" w:type="dxa"/>
              <w:end w:w="110" w:type="dxa"/>
            </w:tcMar>
            <w:shd w:val="clear" w:color="auto" w:fill="F4F7FB"/>
          </w:tcPr>
          <w:p>
            <w:pPr>
              <w:spacing w:after="0"/>
            </w:pPr>
            <w:r/>
            <w:r>
              <w:rPr>
                <w:rFonts w:ascii="Calibri" w:hAnsi="Calibri"/>
                <w:b w:val="0"/>
                <w:i w:val="0"/>
                <w:color w:val="101828"/>
                <w:sz w:val="14"/>
              </w:rPr>
              <w:t>AJO.ng</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Acknowledges initiation within 2 seconds.</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NFR-PERF-003 target. The member is told </w:t>
            </w:r>
            <w:r>
              <w:rPr>
                <w:rFonts w:ascii="Calibri" w:hAnsi="Calibri"/>
                <w:i/>
                <w:color w:val="101828"/>
                <w:sz w:val="14"/>
              </w:rPr>
              <w:t>we are confirming your payment</w:t>
            </w:r>
            <w:r>
              <w:rPr>
                <w:rFonts w:ascii="Calibri" w:hAnsi="Calibri"/>
                <w:b w:val="0"/>
                <w:i w:val="0"/>
                <w:color w:val="101828"/>
                <w:sz w:val="14"/>
              </w:rPr>
              <w:t xml:space="preserve"> and is not asked to pay again. A payment in </w:t>
            </w:r>
            <w:r>
              <w:rPr>
                <w:rFonts w:ascii="Consolas" w:hAnsi="Consolas"/>
                <w:color w:val="146EF5"/>
                <w:sz w:val="14"/>
              </w:rPr>
              <w:t>PENDING</w:t>
            </w:r>
            <w:r>
              <w:rPr>
                <w:rFonts w:ascii="Calibri" w:hAnsi="Calibri"/>
                <w:b w:val="0"/>
                <w:i w:val="0"/>
                <w:color w:val="101828"/>
                <w:sz w:val="14"/>
              </w:rPr>
              <w:t xml:space="preserve"> is never displayed as in arrears.</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4"/>
              </w:rPr>
              <w:t>NFR-PERF-003, US-24, US-25</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2.4.7</w:t>
            </w:r>
          </w:p>
        </w:tc>
        <w:tc>
          <w:tcPr>
            <w:tcW w:type="dxa" w:w="1253"/>
            <w:tcMar>
              <w:top w:w="60" w:type="dxa"/>
              <w:start w:w="110" w:type="dxa"/>
              <w:bottom w:w="60" w:type="dxa"/>
              <w:end w:w="110" w:type="dxa"/>
            </w:tcMar>
          </w:tcPr>
          <w:p>
            <w:pPr>
              <w:spacing w:after="0"/>
            </w:pPr>
            <w:r/>
            <w:r>
              <w:rPr>
                <w:rFonts w:ascii="Calibri" w:hAnsi="Calibri"/>
                <w:b w:val="0"/>
                <w:i w:val="0"/>
                <w:color w:val="101828"/>
                <w:sz w:val="14"/>
              </w:rPr>
              <w:t>Provider</w:t>
            </w:r>
          </w:p>
        </w:tc>
        <w:tc>
          <w:tcPr>
            <w:tcW w:type="dxa" w:w="1123"/>
            <w:tcMar>
              <w:top w:w="60" w:type="dxa"/>
              <w:start w:w="110" w:type="dxa"/>
              <w:bottom w:w="60" w:type="dxa"/>
              <w:end w:w="110" w:type="dxa"/>
            </w:tcMar>
          </w:tcPr>
          <w:p>
            <w:pPr>
              <w:spacing w:after="0"/>
            </w:pPr>
            <w:r/>
            <w:r>
              <w:rPr>
                <w:rFonts w:ascii="Calibri" w:hAnsi="Calibri"/>
                <w:b w:val="0"/>
                <w:i w:val="0"/>
                <w:color w:val="101828"/>
                <w:sz w:val="14"/>
              </w:rPr>
              <w:t>SCR-APP-09</w:t>
            </w:r>
          </w:p>
        </w:tc>
        <w:tc>
          <w:tcPr>
            <w:tcW w:type="dxa" w:w="2030"/>
            <w:tcMar>
              <w:top w:w="60" w:type="dxa"/>
              <w:start w:w="110" w:type="dxa"/>
              <w:bottom w:w="60" w:type="dxa"/>
              <w:end w:w="110" w:type="dxa"/>
            </w:tcMar>
          </w:tcPr>
          <w:p>
            <w:pPr>
              <w:spacing w:after="0"/>
            </w:pPr>
            <w:r/>
            <w:r>
              <w:rPr>
                <w:rFonts w:ascii="Calibri" w:hAnsi="Calibri"/>
                <w:b w:val="0"/>
                <w:i w:val="0"/>
                <w:color w:val="101828"/>
                <w:sz w:val="14"/>
              </w:rPr>
              <w:t>Charges the member and returns a result; the webhook arrives out of band.</w:t>
            </w:r>
          </w:p>
        </w:tc>
        <w:tc>
          <w:tcPr>
            <w:tcW w:type="dxa" w:w="2808"/>
            <w:tcMar>
              <w:top w:w="60" w:type="dxa"/>
              <w:start w:w="110" w:type="dxa"/>
              <w:bottom w:w="60" w:type="dxa"/>
              <w:end w:w="110" w:type="dxa"/>
            </w:tcMar>
          </w:tcPr>
          <w:p>
            <w:pPr>
              <w:spacing w:after="0"/>
            </w:pPr>
            <w:r/>
            <w:r>
              <w:rPr>
                <w:rFonts w:ascii="Consolas" w:hAnsi="Consolas"/>
                <w:color w:val="146EF5"/>
                <w:sz w:val="14"/>
              </w:rPr>
              <w:t>POST /webhooks/payments</w:t>
            </w:r>
            <w:r>
              <w:rPr>
                <w:rFonts w:ascii="Calibri" w:hAnsi="Calibri"/>
                <w:b w:val="0"/>
                <w:i w:val="0"/>
                <w:color w:val="101828"/>
                <w:sz w:val="14"/>
              </w:rPr>
              <w:t xml:space="preserve"> is unauthenticated but signature-verified, replay-protected and idempotent before any credit is posted. The client also polls </w:t>
            </w:r>
            <w:r>
              <w:rPr>
                <w:rFonts w:ascii="Consolas" w:hAnsi="Consolas"/>
                <w:color w:val="146EF5"/>
                <w:sz w:val="14"/>
              </w:rPr>
              <w:t>POST /payments/:id/verify</w:t>
            </w:r>
            <w:r>
              <w:rPr>
                <w:rFonts w:ascii="Calibri" w:hAnsi="Calibri"/>
                <w:b w:val="0"/>
                <w:i w:val="0"/>
                <w:color w:val="101828"/>
                <w:sz w:val="14"/>
              </w:rPr>
              <w:t>. Either path may win; the loser is absorbed.</w:t>
            </w:r>
          </w:p>
        </w:tc>
        <w:tc>
          <w:tcPr>
            <w:tcW w:type="dxa" w:w="1440"/>
            <w:tcMar>
              <w:top w:w="60" w:type="dxa"/>
              <w:start w:w="110" w:type="dxa"/>
              <w:bottom w:w="60" w:type="dxa"/>
              <w:end w:w="110" w:type="dxa"/>
            </w:tcMar>
          </w:tcPr>
          <w:p>
            <w:pPr>
              <w:spacing w:after="0"/>
            </w:pPr>
            <w:r/>
            <w:r>
              <w:rPr>
                <w:rFonts w:ascii="Calibri" w:hAnsi="Calibri"/>
                <w:b w:val="0"/>
                <w:i w:val="0"/>
                <w:color w:val="101828"/>
                <w:sz w:val="14"/>
              </w:rPr>
              <w:t>NFR-S, FR-PAY-005, CAN §6, EC-002, EC-003</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2.4.8</w:t>
            </w:r>
          </w:p>
        </w:tc>
        <w:tc>
          <w:tcPr>
            <w:tcW w:type="dxa" w:w="1253"/>
            <w:tcMar>
              <w:top w:w="60" w:type="dxa"/>
              <w:start w:w="110" w:type="dxa"/>
              <w:bottom w:w="60" w:type="dxa"/>
              <w:end w:w="110" w:type="dxa"/>
            </w:tcMar>
            <w:shd w:val="clear" w:color="auto" w:fill="F4F7FB"/>
          </w:tcPr>
          <w:p>
            <w:pPr>
              <w:spacing w:after="0"/>
            </w:pPr>
            <w:r/>
            <w:r>
              <w:rPr>
                <w:rFonts w:ascii="Calibri" w:hAnsi="Calibri"/>
                <w:b w:val="0"/>
                <w:i w:val="0"/>
                <w:color w:val="101828"/>
                <w:sz w:val="14"/>
              </w:rPr>
              <w:t>AJO.ng</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Posts the ledger, in the mandatory order.</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Step 1 </w:t>
            </w:r>
            <w:r>
              <w:rPr>
                <w:rFonts w:ascii="Consolas" w:hAnsi="Consolas"/>
                <w:color w:val="146EF5"/>
                <w:sz w:val="14"/>
              </w:rPr>
              <w:t>contribution.received</w:t>
            </w:r>
            <w:r>
              <w:rPr>
                <w:rFonts w:ascii="Calibri" w:hAnsi="Calibri"/>
                <w:b w:val="0"/>
                <w:i w:val="0"/>
                <w:color w:val="101828"/>
                <w:sz w:val="14"/>
              </w:rPr>
              <w:t xml:space="preserve">: debit escrow_cash, credit contributions_receivable for the net contribution of NGN 1,000.00. Step 2 </w:t>
            </w:r>
            <w:r>
              <w:rPr>
                <w:rFonts w:ascii="Consolas" w:hAnsi="Consolas"/>
                <w:color w:val="146EF5"/>
                <w:sz w:val="14"/>
              </w:rPr>
              <w:t>fee.recognised</w:t>
            </w:r>
            <w:r>
              <w:rPr>
                <w:rFonts w:ascii="Calibri" w:hAnsi="Calibri"/>
                <w:b w:val="0"/>
                <w:i w:val="0"/>
                <w:color w:val="101828"/>
                <w:sz w:val="14"/>
              </w:rPr>
              <w:t>: debit escrow_cash, credit fees_income NGN 20.00. Each entry must balance to zero individually or be rejected at the data layer.</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4"/>
              </w:rPr>
              <w:t>BR-021, BR-013, BR-010, NFR-AUD-006, CAN §4</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2.4.9</w:t>
            </w:r>
          </w:p>
        </w:tc>
        <w:tc>
          <w:tcPr>
            <w:tcW w:type="dxa" w:w="1253"/>
            <w:tcMar>
              <w:top w:w="60" w:type="dxa"/>
              <w:start w:w="110" w:type="dxa"/>
              <w:bottom w:w="60" w:type="dxa"/>
              <w:end w:w="110" w:type="dxa"/>
            </w:tcMar>
          </w:tcPr>
          <w:p>
            <w:pPr>
              <w:spacing w:after="0"/>
            </w:pPr>
            <w:r/>
            <w:r>
              <w:rPr>
                <w:rFonts w:ascii="Calibri" w:hAnsi="Calibri"/>
                <w:b w:val="0"/>
                <w:i w:val="0"/>
                <w:color w:val="101828"/>
                <w:sz w:val="14"/>
              </w:rPr>
              <w:t>AJO.ng</w:t>
            </w:r>
          </w:p>
        </w:tc>
        <w:tc>
          <w:tcPr>
            <w:tcW w:type="dxa" w:w="1123"/>
            <w:tcMar>
              <w:top w:w="60" w:type="dxa"/>
              <w:start w:w="110" w:type="dxa"/>
              <w:bottom w:w="60" w:type="dxa"/>
              <w:end w:w="110" w:type="dxa"/>
            </w:tcMar>
          </w:tcPr>
          <w:p>
            <w:pPr>
              <w:spacing w:after="0"/>
            </w:pPr>
            <w:r/>
            <w:r>
              <w:rPr>
                <w:rFonts w:ascii="Calibri" w:hAnsi="Calibri"/>
                <w:b w:val="0"/>
                <w:i w:val="0"/>
                <w:color w:val="101828"/>
                <w:sz w:val="14"/>
              </w:rPr>
              <w:t>SCR-APP-08</w:t>
            </w:r>
          </w:p>
        </w:tc>
        <w:tc>
          <w:tcPr>
            <w:tcW w:type="dxa" w:w="2030"/>
            <w:tcMar>
              <w:top w:w="60" w:type="dxa"/>
              <w:start w:w="110" w:type="dxa"/>
              <w:bottom w:w="60" w:type="dxa"/>
              <w:end w:w="110" w:type="dxa"/>
            </w:tcMar>
          </w:tcPr>
          <w:p>
            <w:pPr>
              <w:spacing w:after="0"/>
            </w:pPr>
            <w:r/>
            <w:r>
              <w:rPr>
                <w:rFonts w:ascii="Calibri" w:hAnsi="Calibri"/>
                <w:b w:val="0"/>
                <w:i w:val="0"/>
                <w:color w:val="101828"/>
                <w:sz w:val="14"/>
              </w:rPr>
              <w:t>Moves the contribution from PENDING to PAID and closes the round's funding progress.</w:t>
            </w:r>
          </w:p>
        </w:tc>
        <w:tc>
          <w:tcPr>
            <w:tcW w:type="dxa" w:w="2808"/>
            <w:tcMar>
              <w:top w:w="60" w:type="dxa"/>
              <w:start w:w="110" w:type="dxa"/>
              <w:bottom w:w="60" w:type="dxa"/>
              <w:end w:w="110" w:type="dxa"/>
            </w:tcMar>
          </w:tcPr>
          <w:p>
            <w:pPr>
              <w:spacing w:after="0"/>
            </w:pPr>
            <w:r/>
            <w:r>
              <w:rPr>
                <w:rFonts w:ascii="Calibri" w:hAnsi="Calibri"/>
                <w:b w:val="0"/>
                <w:i w:val="0"/>
                <w:color w:val="101828"/>
                <w:sz w:val="14"/>
              </w:rPr>
              <w:t>State transition recorded with actor, role, timestamp, prior state and new state. Round funding progress, and therefore the pot figure every member sees, updates immediately.</w:t>
            </w:r>
          </w:p>
        </w:tc>
        <w:tc>
          <w:tcPr>
            <w:tcW w:type="dxa" w:w="1440"/>
            <w:tcMar>
              <w:top w:w="60" w:type="dxa"/>
              <w:start w:w="110" w:type="dxa"/>
              <w:bottom w:w="60" w:type="dxa"/>
              <w:end w:w="110" w:type="dxa"/>
            </w:tcMar>
          </w:tcPr>
          <w:p>
            <w:pPr>
              <w:spacing w:after="0"/>
            </w:pPr>
            <w:r/>
            <w:r>
              <w:rPr>
                <w:rFonts w:ascii="Calibri" w:hAnsi="Calibri"/>
                <w:b w:val="0"/>
                <w:i w:val="0"/>
                <w:color w:val="101828"/>
                <w:sz w:val="14"/>
              </w:rPr>
              <w:t>FR-CON-005, NFR-AUD-001, FR-POS-002</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2.4.10</w:t>
            </w:r>
          </w:p>
        </w:tc>
        <w:tc>
          <w:tcPr>
            <w:tcW w:type="dxa" w:w="1253"/>
            <w:tcMar>
              <w:top w:w="60" w:type="dxa"/>
              <w:start w:w="110" w:type="dxa"/>
              <w:bottom w:w="60" w:type="dxa"/>
              <w:end w:w="110" w:type="dxa"/>
            </w:tcMar>
            <w:shd w:val="clear" w:color="auto" w:fill="F4F7FB"/>
          </w:tcPr>
          <w:p>
            <w:pPr>
              <w:spacing w:after="0"/>
            </w:pPr>
            <w:r/>
            <w:r>
              <w:rPr>
                <w:rFonts w:ascii="Calibri" w:hAnsi="Calibri"/>
                <w:b w:val="0"/>
                <w:i w:val="0"/>
                <w:color w:val="101828"/>
                <w:sz w:val="14"/>
              </w:rPr>
              <w:t>Member</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SCR-APP-09</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Opens the receipt.</w:t>
            </w:r>
          </w:p>
        </w:tc>
        <w:tc>
          <w:tcPr>
            <w:tcW w:type="dxa" w:w="2808"/>
            <w:tcMar>
              <w:top w:w="60" w:type="dxa"/>
              <w:start w:w="110" w:type="dxa"/>
              <w:bottom w:w="60" w:type="dxa"/>
              <w:end w:w="110" w:type="dxa"/>
            </w:tcMar>
            <w:shd w:val="clear" w:color="auto" w:fill="F4F7FB"/>
          </w:tcPr>
          <w:p>
            <w:pPr>
              <w:spacing w:after="0"/>
            </w:pPr>
            <w:r/>
            <w:r>
              <w:rPr>
                <w:rFonts w:ascii="Consolas" w:hAnsi="Consolas"/>
                <w:color w:val="146EF5"/>
                <w:sz w:val="14"/>
              </w:rPr>
              <w:t>GET /payments/:id/receipt</w:t>
            </w:r>
            <w:r>
              <w:rPr>
                <w:rFonts w:ascii="Calibri" w:hAnsi="Calibri"/>
                <w:b w:val="0"/>
                <w:i w:val="0"/>
                <w:color w:val="101828"/>
                <w:sz w:val="14"/>
              </w:rPr>
              <w:t xml:space="preserve"> shows contribution NGN 1,000.00, fee NGN 20.00, total charged NGN 1,020.00, the provider reference, the timestamp and the resulting contribution state, as separate lines. The naira glyph is never used in an export.</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4"/>
              </w:rPr>
              <w:t>FR-PAY-007, NFR-LOC-002, NFR-LOC-004, N4, US-23</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2.4.11</w:t>
            </w:r>
          </w:p>
        </w:tc>
        <w:tc>
          <w:tcPr>
            <w:tcW w:type="dxa" w:w="1253"/>
            <w:tcMar>
              <w:top w:w="60" w:type="dxa"/>
              <w:start w:w="110" w:type="dxa"/>
              <w:bottom w:w="60" w:type="dxa"/>
              <w:end w:w="110" w:type="dxa"/>
            </w:tcMar>
          </w:tcPr>
          <w:p>
            <w:pPr>
              <w:spacing w:after="0"/>
            </w:pPr>
            <w:r/>
            <w:r>
              <w:rPr>
                <w:rFonts w:ascii="Calibri" w:hAnsi="Calibri"/>
                <w:b w:val="0"/>
                <w:i w:val="0"/>
                <w:color w:val="101828"/>
                <w:sz w:val="14"/>
              </w:rPr>
              <w:t>System</w:t>
            </w:r>
          </w:p>
        </w:tc>
        <w:tc>
          <w:tcPr>
            <w:tcW w:type="dxa" w:w="1123"/>
            <w:tcMar>
              <w:top w:w="60" w:type="dxa"/>
              <w:start w:w="110" w:type="dxa"/>
              <w:bottom w:w="60" w:type="dxa"/>
              <w:end w:w="110" w:type="dxa"/>
            </w:tcMar>
          </w:tcPr>
          <w:p>
            <w:pPr>
              <w:spacing w:after="0"/>
            </w:pPr>
            <w:r/>
            <w:r>
              <w:rPr>
                <w:rFonts w:ascii="Calibri" w:hAnsi="Calibri"/>
                <w:b w:val="0"/>
                <w:i w:val="0"/>
                <w:color w:val="101828"/>
                <w:sz w:val="14"/>
              </w:rPr>
              <w:t>SCR-APP-12</w:t>
            </w:r>
          </w:p>
        </w:tc>
        <w:tc>
          <w:tcPr>
            <w:tcW w:type="dxa" w:w="2030"/>
            <w:tcMar>
              <w:top w:w="60" w:type="dxa"/>
              <w:start w:w="110" w:type="dxa"/>
              <w:bottom w:w="60" w:type="dxa"/>
              <w:end w:w="110" w:type="dxa"/>
            </w:tcMar>
          </w:tcPr>
          <w:p>
            <w:pPr>
              <w:spacing w:after="0"/>
            </w:pPr>
            <w:r/>
            <w:r>
              <w:rPr>
                <w:rFonts w:ascii="Calibri" w:hAnsi="Calibri"/>
                <w:b w:val="0"/>
                <w:i w:val="0"/>
                <w:color w:val="101828"/>
                <w:sz w:val="14"/>
              </w:rPr>
              <w:t xml:space="preserve">Sends </w:t>
            </w:r>
            <w:r>
              <w:rPr>
                <w:rFonts w:ascii="Consolas" w:hAnsi="Consolas"/>
                <w:color w:val="146EF5"/>
                <w:sz w:val="14"/>
              </w:rPr>
              <w:t>contribution.received</w:t>
            </w:r>
            <w:r>
              <w:rPr>
                <w:rFonts w:ascii="Calibri" w:hAnsi="Calibri"/>
                <w:b w:val="0"/>
                <w:i w:val="0"/>
                <w:color w:val="101828"/>
                <w:sz w:val="14"/>
              </w:rPr>
              <w:t xml:space="preserve"> to the member immediately.</w:t>
            </w:r>
          </w:p>
        </w:tc>
        <w:tc>
          <w:tcPr>
            <w:tcW w:type="dxa" w:w="2808"/>
            <w:tcMar>
              <w:top w:w="60" w:type="dxa"/>
              <w:start w:w="110" w:type="dxa"/>
              <w:bottom w:w="60" w:type="dxa"/>
              <w:end w:w="110" w:type="dxa"/>
            </w:tcMar>
          </w:tcPr>
          <w:p>
            <w:pPr>
              <w:spacing w:after="0"/>
            </w:pPr>
            <w:r/>
            <w:r>
              <w:rPr>
                <w:rFonts w:ascii="Calibri" w:hAnsi="Calibri"/>
                <w:b w:val="0"/>
                <w:i w:val="0"/>
                <w:color w:val="101828"/>
                <w:sz w:val="14"/>
              </w:rPr>
              <w:t>Push and email, SMS only on the optional opt-in. The event is idempotent per event instance, so a retried delivery never produces a second message.</w:t>
            </w:r>
          </w:p>
        </w:tc>
        <w:tc>
          <w:tcPr>
            <w:tcW w:type="dxa" w:w="1440"/>
            <w:tcMar>
              <w:top w:w="60" w:type="dxa"/>
              <w:start w:w="110" w:type="dxa"/>
              <w:bottom w:w="60" w:type="dxa"/>
              <w:end w:w="110" w:type="dxa"/>
            </w:tcMar>
          </w:tcPr>
          <w:p>
            <w:pPr>
              <w:spacing w:after="0"/>
            </w:pPr>
            <w:r/>
            <w:r>
              <w:rPr>
                <w:rFonts w:ascii="Calibri" w:hAnsi="Calibri"/>
                <w:b w:val="0"/>
                <w:i w:val="0"/>
                <w:color w:val="101828"/>
                <w:sz w:val="14"/>
              </w:rPr>
              <w:t>CAN §8, FR-NOTIF-001, FR-NOTIF-004</w:t>
            </w:r>
          </w:p>
        </w:tc>
      </w:tr>
    </w:tbl>
    <w:p>
      <w:pPr>
        <w:spacing w:after="80"/>
      </w:pPr>
    </w:p>
    <w:p>
      <w:pPr>
        <w:pStyle w:val="Heading3"/>
      </w:pPr>
      <w:r>
        <w:rPr>
          <w:rFonts w:ascii="Calibri" w:hAnsi="Calibri"/>
          <w:b/>
          <w:i w:val="0"/>
          <w:color w:val="0B1F3A"/>
          <w:sz w:val="24"/>
        </w:rPr>
        <w:t>2.4.4 Happy path</w:t>
      </w:r>
    </w:p>
    <w:p>
      <w:r>
        <w:rPr>
          <w:rFonts w:ascii="Calibri" w:hAnsi="Calibri"/>
          <w:b w:val="0"/>
          <w:i w:val="0"/>
          <w:color w:val="101828"/>
          <w:sz w:val="21"/>
        </w:rPr>
        <w:t>The member receives a reminder on Monday evening and again on Tuesday morning. They open the app, tap the upcoming contribution, and see the round, the due date, and three numbers: NGN 1,000.00 contribution, NGN 20.00 platform fee, NGN 1,020.00 total. They acknowledge the amount and tap pay. The provider page opens, they authorise, and within two seconds AJO.ng has acknowledged the initiation and told them it is confirming. The webhook arrives, the signature is verified, the ledger posts two entries in order: NGN 1,000.00 into escrow and NGN 20.00 into fees_income, balancing to zero. The contribution moves to PAID, the round's funding progress advances for every member, the receipt is available with all four lines separate, and a confirmation notification arrives. The member never saw a card number, was never charged a second time, and can prove the payment to anyone who asks.</w:t>
      </w:r>
    </w:p>
    <w:p>
      <w:pPr>
        <w:pStyle w:val="Heading3"/>
      </w:pPr>
      <w:r>
        <w:rPr>
          <w:rFonts w:ascii="Calibri" w:hAnsi="Calibri"/>
          <w:b/>
          <w:i w:val="0"/>
          <w:color w:val="0B1F3A"/>
          <w:sz w:val="24"/>
        </w:rPr>
        <w:t>2.4.5 Alternates and failure branches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42"/>
            <w:shd w:val="clear" w:color="auto" w:fill="0B1F3A"/>
            <w:tcMar>
              <w:top w:w="60" w:type="dxa"/>
              <w:start w:w="110" w:type="dxa"/>
              <w:bottom w:w="60" w:type="dxa"/>
              <w:end w:w="110" w:type="dxa"/>
            </w:tcMar>
          </w:tcPr>
          <w:p>
            <w:pPr>
              <w:spacing w:after="0"/>
            </w:pPr>
            <w:r/>
            <w:r>
              <w:rPr>
                <w:rFonts w:ascii="Calibri" w:hAnsi="Calibri"/>
                <w:b/>
                <w:i w:val="0"/>
                <w:color w:val="FFFFFF"/>
                <w:sz w:val="14"/>
              </w:rPr>
              <w:t>Condition</w:t>
            </w:r>
          </w:p>
        </w:tc>
        <w:tc>
          <w:tcPr>
            <w:tcW w:type="dxa" w:w="2146"/>
            <w:shd w:val="clear" w:color="auto" w:fill="0B1F3A"/>
            <w:tcMar>
              <w:top w:w="60" w:type="dxa"/>
              <w:start w:w="110" w:type="dxa"/>
              <w:bottom w:w="60" w:type="dxa"/>
              <w:end w:w="110" w:type="dxa"/>
            </w:tcMar>
          </w:tcPr>
          <w:p>
            <w:pPr>
              <w:spacing w:after="0"/>
            </w:pPr>
            <w:r/>
            <w:r>
              <w:rPr>
                <w:rFonts w:ascii="Calibri" w:hAnsi="Calibri"/>
                <w:b/>
                <w:i w:val="0"/>
                <w:color w:val="FFFFFF"/>
                <w:sz w:val="14"/>
              </w:rPr>
              <w:t>Branch</w:t>
            </w:r>
          </w:p>
        </w:tc>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4"/>
              </w:rPr>
              <w:t>Message</w:t>
            </w:r>
          </w:p>
        </w:tc>
        <w:tc>
          <w:tcPr>
            <w:tcW w:type="dxa" w:w="2491"/>
            <w:shd w:val="clear" w:color="auto" w:fill="0B1F3A"/>
            <w:tcMar>
              <w:top w:w="60" w:type="dxa"/>
              <w:start w:w="110" w:type="dxa"/>
              <w:bottom w:w="60" w:type="dxa"/>
              <w:end w:w="110" w:type="dxa"/>
            </w:tcMar>
          </w:tcPr>
          <w:p>
            <w:pPr>
              <w:spacing w:after="0"/>
            </w:pPr>
            <w:r/>
            <w:r>
              <w:rPr>
                <w:rFonts w:ascii="Calibri" w:hAnsi="Calibri"/>
                <w:b/>
                <w:i w:val="0"/>
                <w:color w:val="FFFFFF"/>
                <w:sz w:val="14"/>
              </w:rPr>
              <w:t>Recovery</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member's connection drops during authorisation</w:t>
            </w:r>
          </w:p>
        </w:tc>
        <w:tc>
          <w:tcPr>
            <w:tcW w:type="dxa" w:w="2146"/>
            <w:tcMar>
              <w:top w:w="60" w:type="dxa"/>
              <w:start w:w="110" w:type="dxa"/>
              <w:bottom w:w="60" w:type="dxa"/>
              <w:end w:w="110" w:type="dxa"/>
            </w:tcMar>
          </w:tcPr>
          <w:p>
            <w:pPr>
              <w:spacing w:after="0"/>
            </w:pPr>
            <w:r/>
            <w:r>
              <w:rPr>
                <w:rFonts w:ascii="Calibri" w:hAnsi="Calibri"/>
                <w:b w:val="0"/>
                <w:i w:val="0"/>
                <w:color w:val="101828"/>
                <w:sz w:val="14"/>
              </w:rPr>
              <w:t xml:space="preserve">The payment stays </w:t>
            </w:r>
            <w:r>
              <w:rPr>
                <w:rFonts w:ascii="Consolas" w:hAnsi="Consolas"/>
                <w:color w:val="146EF5"/>
                <w:sz w:val="14"/>
              </w:rPr>
              <w:t>PENDING</w:t>
            </w:r>
            <w:r>
              <w:rPr>
                <w:rFonts w:ascii="Calibri" w:hAnsi="Calibri"/>
                <w:b w:val="0"/>
                <w:i w:val="0"/>
                <w:color w:val="101828"/>
                <w:sz w:val="14"/>
              </w:rPr>
              <w:t xml:space="preserve"> with an expected confirmation time. The member is not shown as in arrears and is not prompted to pay again.</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SCR-APP-09</w:t>
            </w:r>
          </w:p>
        </w:tc>
        <w:tc>
          <w:tcPr>
            <w:tcW w:type="dxa" w:w="1944"/>
            <w:tcMar>
              <w:top w:w="60" w:type="dxa"/>
              <w:start w:w="110" w:type="dxa"/>
              <w:bottom w:w="60" w:type="dxa"/>
              <w:end w:w="110" w:type="dxa"/>
            </w:tcMar>
          </w:tcPr>
          <w:p>
            <w:pPr>
              <w:spacing w:after="0"/>
            </w:pPr>
            <w:r/>
            <w:r>
              <w:rPr>
                <w:rFonts w:ascii="Calibri" w:hAnsi="Calibri"/>
                <w:i/>
                <w:color w:val="101828"/>
                <w:sz w:val="14"/>
              </w:rPr>
              <w:t>We are still confirming this payment. Do not pay again — we will tell you the moment it clears.</w:t>
            </w:r>
          </w:p>
        </w:tc>
        <w:tc>
          <w:tcPr>
            <w:tcW w:type="dxa" w:w="2491"/>
            <w:tcMar>
              <w:top w:w="60" w:type="dxa"/>
              <w:start w:w="110" w:type="dxa"/>
              <w:bottom w:w="60" w:type="dxa"/>
              <w:end w:w="110" w:type="dxa"/>
            </w:tcMar>
          </w:tcPr>
          <w:p>
            <w:pPr>
              <w:spacing w:after="0"/>
            </w:pPr>
            <w:r/>
            <w:r>
              <w:rPr>
                <w:rFonts w:ascii="Calibri" w:hAnsi="Calibri"/>
                <w:b w:val="0"/>
                <w:i w:val="0"/>
                <w:color w:val="101828"/>
                <w:sz w:val="14"/>
              </w:rPr>
              <w:t>Wait for the webhook or the poll. If nothing arrives, the reconciliation job resolves it within 24 hours. NFR-AVL-003, US-24, US-25, EC-001.</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payment succeeds at the provider but the response never reaches the app</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The webhook is the source of truth, not the client response. The app reconciles on next open and shows PAID.</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SCR-APP-09 / SCR-APP-08</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Your payment went through. Your receipt is ready.</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None. The receipt is the recovery, NFR-AVL-003, EC-002.</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same request arrives twice, from a retry or a double tap</w:t>
            </w:r>
          </w:p>
        </w:tc>
        <w:tc>
          <w:tcPr>
            <w:tcW w:type="dxa" w:w="2146"/>
            <w:tcMar>
              <w:top w:w="60" w:type="dxa"/>
              <w:start w:w="110" w:type="dxa"/>
              <w:bottom w:w="60" w:type="dxa"/>
              <w:end w:w="110" w:type="dxa"/>
            </w:tcMar>
          </w:tcPr>
          <w:p>
            <w:pPr>
              <w:spacing w:after="0"/>
            </w:pPr>
            <w:r/>
            <w:r>
              <w:rPr>
                <w:rFonts w:ascii="Calibri" w:hAnsi="Calibri"/>
                <w:b w:val="0"/>
                <w:i w:val="0"/>
                <w:color w:val="101828"/>
                <w:sz w:val="14"/>
              </w:rPr>
              <w:t xml:space="preserve">The </w:t>
            </w:r>
            <w:r>
              <w:rPr>
                <w:rFonts w:ascii="Consolas" w:hAnsi="Consolas"/>
                <w:color w:val="146EF5"/>
                <w:sz w:val="14"/>
              </w:rPr>
              <w:t>Idempotency-Key</w:t>
            </w:r>
            <w:r>
              <w:rPr>
                <w:rFonts w:ascii="Calibri" w:hAnsi="Calibri"/>
                <w:b w:val="0"/>
                <w:i w:val="0"/>
                <w:color w:val="101828"/>
                <w:sz w:val="14"/>
              </w:rPr>
              <w:t xml:space="preserve"> returns the original result. No second obligation, no second payment, no second ledger entry.</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SCR-APP-09</w:t>
            </w:r>
          </w:p>
        </w:tc>
        <w:tc>
          <w:tcPr>
            <w:tcW w:type="dxa" w:w="1944"/>
            <w:tcMar>
              <w:top w:w="60" w:type="dxa"/>
              <w:start w:w="110" w:type="dxa"/>
              <w:bottom w:w="60" w:type="dxa"/>
              <w:end w:w="110" w:type="dxa"/>
            </w:tcMar>
          </w:tcPr>
          <w:p>
            <w:pPr>
              <w:spacing w:after="0"/>
            </w:pPr>
            <w:r/>
            <w:r>
              <w:rPr>
                <w:rFonts w:ascii="Calibri" w:hAnsi="Calibri"/>
                <w:i/>
                <w:color w:val="101828"/>
                <w:sz w:val="14"/>
              </w:rPr>
              <w:t>You already paid this one. Here is your receipt.</w:t>
            </w:r>
          </w:p>
        </w:tc>
        <w:tc>
          <w:tcPr>
            <w:tcW w:type="dxa" w:w="2491"/>
            <w:tcMar>
              <w:top w:w="60" w:type="dxa"/>
              <w:start w:w="110" w:type="dxa"/>
              <w:bottom w:w="60" w:type="dxa"/>
              <w:end w:w="110" w:type="dxa"/>
            </w:tcMar>
          </w:tcPr>
          <w:p>
            <w:pPr>
              <w:spacing w:after="0"/>
            </w:pPr>
            <w:r/>
            <w:r>
              <w:rPr>
                <w:rFonts w:ascii="Calibri" w:hAnsi="Calibri"/>
                <w:b w:val="0"/>
                <w:i w:val="0"/>
                <w:color w:val="101828"/>
                <w:sz w:val="14"/>
              </w:rPr>
              <w:t>None. BR-024, US-23, EC-022.</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provider returns FAILED (insufficient funds, declined, timeout)</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payment is </w:t>
            </w:r>
            <w:r>
              <w:rPr>
                <w:rFonts w:ascii="Consolas" w:hAnsi="Consolas"/>
                <w:color w:val="146EF5"/>
                <w:sz w:val="14"/>
              </w:rPr>
              <w:t>FAILED</w:t>
            </w:r>
            <w:r>
              <w:rPr>
                <w:rFonts w:ascii="Calibri" w:hAnsi="Calibri"/>
                <w:b w:val="0"/>
                <w:i w:val="0"/>
                <w:color w:val="101828"/>
                <w:sz w:val="14"/>
              </w:rPr>
              <w:t xml:space="preserve">. No ledger posting occurs at all: there is no contribution, no fee, nothing to reverse. </w:t>
            </w:r>
            <w:r>
              <w:rPr>
                <w:rFonts w:ascii="Consolas" w:hAnsi="Consolas"/>
                <w:color w:val="146EF5"/>
                <w:sz w:val="14"/>
              </w:rPr>
              <w:t>contribution.failed</w:t>
            </w:r>
            <w:r>
              <w:rPr>
                <w:rFonts w:ascii="Calibri" w:hAnsi="Calibri"/>
                <w:b w:val="0"/>
                <w:i w:val="0"/>
                <w:color w:val="101828"/>
                <w:sz w:val="14"/>
              </w:rPr>
              <w:t xml:space="preserve"> is sent and the retry control appears.</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SCR-APP-08</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That payment did not go through. Nothing has been taken from you. Try again.</w:t>
            </w:r>
          </w:p>
        </w:tc>
        <w:tc>
          <w:tcPr>
            <w:tcW w:type="dxa" w:w="2491"/>
            <w:tcMar>
              <w:top w:w="60" w:type="dxa"/>
              <w:start w:w="110" w:type="dxa"/>
              <w:bottom w:w="60" w:type="dxa"/>
              <w:end w:w="110" w:type="dxa"/>
            </w:tcMar>
            <w:shd w:val="clear" w:color="auto" w:fill="F4F7FB"/>
          </w:tcPr>
          <w:p>
            <w:pPr>
              <w:spacing w:after="0"/>
            </w:pPr>
            <w:r/>
            <w:r>
              <w:rPr>
                <w:rFonts w:ascii="Consolas" w:hAnsi="Consolas"/>
                <w:color w:val="146EF5"/>
                <w:sz w:val="14"/>
              </w:rPr>
              <w:t>POST /contributions/:id/retry</w:t>
            </w:r>
            <w:r>
              <w:rPr>
                <w:rFonts w:ascii="Calibri" w:hAnsi="Calibri"/>
                <w:b w:val="0"/>
                <w:i w:val="0"/>
                <w:color w:val="101828"/>
                <w:sz w:val="14"/>
              </w:rPr>
              <w:t xml:space="preserve"> with a new idempotency key. Flow 2.7, EC-019.</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member abandons the provider page</w:t>
            </w:r>
          </w:p>
        </w:tc>
        <w:tc>
          <w:tcPr>
            <w:tcW w:type="dxa" w:w="2146"/>
            <w:tcMar>
              <w:top w:w="60" w:type="dxa"/>
              <w:start w:w="110" w:type="dxa"/>
              <w:bottom w:w="60" w:type="dxa"/>
              <w:end w:w="110" w:type="dxa"/>
            </w:tcMar>
          </w:tcPr>
          <w:p>
            <w:pPr>
              <w:spacing w:after="0"/>
            </w:pPr>
            <w:r/>
            <w:r>
              <w:rPr>
                <w:rFonts w:ascii="Calibri" w:hAnsi="Calibri"/>
                <w:b w:val="0"/>
                <w:i w:val="0"/>
                <w:color w:val="101828"/>
                <w:sz w:val="14"/>
              </w:rPr>
              <w:t xml:space="preserve">The payment is </w:t>
            </w:r>
            <w:r>
              <w:rPr>
                <w:rFonts w:ascii="Consolas" w:hAnsi="Consolas"/>
                <w:color w:val="146EF5"/>
                <w:sz w:val="14"/>
              </w:rPr>
              <w:t>CANCELLED</w:t>
            </w:r>
            <w:r>
              <w:rPr>
                <w:rFonts w:ascii="Calibri" w:hAnsi="Calibri"/>
                <w:b w:val="0"/>
                <w:i w:val="0"/>
                <w:color w:val="101828"/>
                <w:sz w:val="14"/>
              </w:rPr>
              <w:t>. The obligation is untouched and remains PENDING. No fee is charged, because no money moved.</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SCR-APP-09</w:t>
            </w:r>
          </w:p>
        </w:tc>
        <w:tc>
          <w:tcPr>
            <w:tcW w:type="dxa" w:w="1944"/>
            <w:tcMar>
              <w:top w:w="60" w:type="dxa"/>
              <w:start w:w="110" w:type="dxa"/>
              <w:bottom w:w="60" w:type="dxa"/>
              <w:end w:w="110" w:type="dxa"/>
            </w:tcMar>
          </w:tcPr>
          <w:p>
            <w:pPr>
              <w:spacing w:after="0"/>
            </w:pPr>
            <w:r/>
            <w:r>
              <w:rPr>
                <w:rFonts w:ascii="Calibri" w:hAnsi="Calibri"/>
                <w:i/>
                <w:color w:val="101828"/>
                <w:sz w:val="14"/>
              </w:rPr>
              <w:t>Payment cancelled. You still owe NGN 1,020.00 for this round.</w:t>
            </w:r>
          </w:p>
        </w:tc>
        <w:tc>
          <w:tcPr>
            <w:tcW w:type="dxa" w:w="2491"/>
            <w:tcMar>
              <w:top w:w="60" w:type="dxa"/>
              <w:start w:w="110" w:type="dxa"/>
              <w:bottom w:w="60" w:type="dxa"/>
              <w:end w:w="110" w:type="dxa"/>
            </w:tcMar>
          </w:tcPr>
          <w:p>
            <w:pPr>
              <w:spacing w:after="0"/>
            </w:pPr>
            <w:r/>
            <w:r>
              <w:rPr>
                <w:rFonts w:ascii="Calibri" w:hAnsi="Calibri"/>
                <w:b w:val="0"/>
                <w:i w:val="0"/>
                <w:color w:val="101828"/>
                <w:sz w:val="14"/>
              </w:rPr>
              <w:t>Pay again from the contribution detail. Flow 2.8, EC-023.</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provider returns UNKNOWN, meaning neither success nor failure</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payment is held in </w:t>
            </w:r>
            <w:r>
              <w:rPr>
                <w:rFonts w:ascii="Consolas" w:hAnsi="Consolas"/>
                <w:color w:val="146EF5"/>
                <w:sz w:val="14"/>
              </w:rPr>
              <w:t>UNKNOWN</w:t>
            </w:r>
            <w:r>
              <w:rPr>
                <w:rFonts w:ascii="Calibri" w:hAnsi="Calibri"/>
                <w:b w:val="0"/>
                <w:i w:val="0"/>
                <w:color w:val="101828"/>
                <w:sz w:val="14"/>
              </w:rPr>
              <w:t xml:space="preserve"> and the contribution stays PENDING. A reconciliation against provider settlement is run. The member is not prompted to pay again while the state is unresolved.</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SCR-APP-09</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We are checking with the payment provider. You do not need to pay again.</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Reconciliation resolves to SUCCESS or FAILED, then normal handling, EC-048, EC-035.</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member pays a second time by deliberate choice</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second payment is treated as an overpayment, not a second contribution. It is recorded, held and offered back as a refund. It is never applied silently to a future round.</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SCR-APP-09</w:t>
            </w:r>
          </w:p>
        </w:tc>
        <w:tc>
          <w:tcPr>
            <w:tcW w:type="dxa" w:w="1944"/>
            <w:tcMar>
              <w:top w:w="60" w:type="dxa"/>
              <w:start w:w="110" w:type="dxa"/>
              <w:bottom w:w="60" w:type="dxa"/>
              <w:end w:w="110" w:type="dxa"/>
            </w:tcMar>
          </w:tcPr>
          <w:p>
            <w:pPr>
              <w:spacing w:after="0"/>
            </w:pPr>
            <w:r/>
            <w:r>
              <w:rPr>
                <w:rFonts w:ascii="Calibri" w:hAnsi="Calibri"/>
                <w:i/>
                <w:color w:val="101828"/>
                <w:sz w:val="14"/>
              </w:rPr>
              <w:t>You have paid this round twice. We are holding the extra NGN 1,020.00 and will refund it — nothing more is owed.</w:t>
            </w:r>
          </w:p>
        </w:tc>
        <w:tc>
          <w:tcPr>
            <w:tcW w:type="dxa" w:w="2491"/>
            <w:tcMar>
              <w:top w:w="60" w:type="dxa"/>
              <w:start w:w="110" w:type="dxa"/>
              <w:bottom w:w="60" w:type="dxa"/>
              <w:end w:w="110" w:type="dxa"/>
            </w:tcMar>
          </w:tcPr>
          <w:p>
            <w:pPr>
              <w:spacing w:after="0"/>
            </w:pPr>
            <w:r/>
            <w:r>
              <w:rPr>
                <w:rFonts w:ascii="Calibri" w:hAnsi="Calibri"/>
                <w:b w:val="0"/>
                <w:i w:val="0"/>
                <w:color w:val="101828"/>
                <w:sz w:val="14"/>
              </w:rPr>
              <w:t>Refund on request, or apply to a future round with explicit consent, flow 2.9, BR-032, EC-004.</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 pays a different amount from the amount shown</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The amount is fixed at initiation from the schedule; the client may not override it.</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SCR-APP-08</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The amount for this round is fixed at NGN 1,020.00.</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Pay the scheduled amount, or raise a dispute, BR-005, EC-005, EC-006.</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A webhook arrives for a payment record that does not exist</w:t>
            </w:r>
          </w:p>
        </w:tc>
        <w:tc>
          <w:tcPr>
            <w:tcW w:type="dxa" w:w="2146"/>
            <w:tcMar>
              <w:top w:w="60" w:type="dxa"/>
              <w:start w:w="110" w:type="dxa"/>
              <w:bottom w:w="60" w:type="dxa"/>
              <w:end w:w="110" w:type="dxa"/>
            </w:tcMar>
          </w:tcPr>
          <w:p>
            <w:pPr>
              <w:spacing w:after="0"/>
            </w:pPr>
            <w:r/>
            <w:r>
              <w:rPr>
                <w:rFonts w:ascii="Calibri" w:hAnsi="Calibri"/>
                <w:b w:val="0"/>
                <w:i w:val="0"/>
                <w:color w:val="101828"/>
                <w:sz w:val="14"/>
              </w:rPr>
              <w:t>Rejected as a signature or reference failure and recorded. No credit is posted against an unknown reference.</w:t>
            </w:r>
          </w:p>
        </w:tc>
        <w:tc>
          <w:tcPr>
            <w:tcW w:type="dxa" w:w="1037"/>
            <w:tcMar>
              <w:top w:w="60" w:type="dxa"/>
              <w:start w:w="110" w:type="dxa"/>
              <w:bottom w:w="60" w:type="dxa"/>
              <w:end w:w="110" w:type="dxa"/>
            </w:tcMar>
          </w:tcPr>
          <w:p>
            <w:pPr>
              <w:spacing w:after="0"/>
            </w:pPr>
            <w:r/>
            <w:r>
              <w:rPr>
                <w:rFonts w:ascii="Calibri" w:hAnsi="Calibri"/>
                <w:b w:val="0"/>
                <w:i w:val="0"/>
                <w:color w:val="101828"/>
                <w:sz w:val="14"/>
              </w:rPr>
              <w:t>—</w:t>
            </w:r>
          </w:p>
        </w:tc>
        <w:tc>
          <w:tcPr>
            <w:tcW w:type="dxa" w:w="1944"/>
            <w:tcMar>
              <w:top w:w="60" w:type="dxa"/>
              <w:start w:w="110" w:type="dxa"/>
              <w:bottom w:w="60" w:type="dxa"/>
              <w:end w:w="110" w:type="dxa"/>
            </w:tcMar>
          </w:tcPr>
          <w:p>
            <w:pPr>
              <w:spacing w:after="0"/>
            </w:pPr>
            <w:r/>
            <w:r>
              <w:rPr>
                <w:rFonts w:ascii="Calibri" w:hAnsi="Calibri"/>
                <w:b w:val="0"/>
                <w:i w:val="0"/>
                <w:color w:val="101828"/>
                <w:sz w:val="14"/>
              </w:rPr>
              <w:t>The member is unaffected. The event appears in the admin log as an anomaly.</w:t>
            </w:r>
          </w:p>
        </w:tc>
        <w:tc>
          <w:tcPr>
            <w:tcW w:type="dxa" w:w="2491"/>
            <w:tcMar>
              <w:top w:w="60" w:type="dxa"/>
              <w:start w:w="110" w:type="dxa"/>
              <w:bottom w:w="60" w:type="dxa"/>
              <w:end w:w="110" w:type="dxa"/>
            </w:tcMar>
          </w:tcPr>
          <w:p>
            <w:pPr>
              <w:spacing w:after="0"/>
            </w:pPr>
            <w:r/>
            <w:r>
              <w:rPr>
                <w:rFonts w:ascii="Calibri" w:hAnsi="Calibri"/>
                <w:b w:val="0"/>
                <w:i w:val="0"/>
                <w:color w:val="101828"/>
                <w:sz w:val="14"/>
              </w:rPr>
              <w:t>Reconciliation identifies the unmatched item, NFR-S, EC-039.</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escrow balance or the ledger does not balance after posting</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The transaction is rejected at the data layer. The payment record is left in PENDING for investigation, not marked paid.</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SCR-APP-08</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We are resolving a records issue on this payment. You have not been charged twice and nothing is lost.</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Engineering investigation; the solvency assertion prevents disbursement. BR-013, BR-020, K-16, EC-101.</w:t>
            </w:r>
          </w:p>
        </w:tc>
      </w:tr>
    </w:tbl>
    <w:p>
      <w:pPr>
        <w:spacing w:after="80"/>
      </w:pPr>
    </w:p>
    <w:p>
      <w:r>
        <w:br w:type="page"/>
      </w:r>
    </w:p>
    <w:p>
      <w:pPr>
        <w:pStyle w:val="Heading2"/>
      </w:pPr>
      <w:r>
        <w:rPr>
          <w:rFonts w:ascii="Calibri" w:hAnsi="Calibri"/>
          <w:b/>
          <w:i w:val="0"/>
          <w:color w:val="146EF5"/>
          <w:sz w:val="29"/>
        </w:rPr>
        <w:t>2.5 Payout: from cycle complete to record</w:t>
      </w:r>
    </w:p>
    <w:p>
      <w:pPr>
        <w:pStyle w:val="Heading3"/>
      </w:pPr>
      <w:r>
        <w:rPr>
          <w:rFonts w:ascii="Calibri" w:hAnsi="Calibri"/>
          <w:b/>
          <w:i w:val="0"/>
          <w:color w:val="0B1F3A"/>
          <w:sz w:val="24"/>
        </w:rPr>
        <w:t>2.5.1 Purpose</w:t>
      </w:r>
    </w:p>
    <w:p>
      <w:r>
        <w:rPr>
          <w:rFonts w:ascii="Calibri" w:hAnsi="Calibri"/>
          <w:b w:val="0"/>
          <w:i w:val="0"/>
          <w:color w:val="101828"/>
          <w:sz w:val="21"/>
        </w:rPr>
        <w:t>The flow that ends an Ajo's trust or confirms it. A member whose turn it is has been promised the base pool, NGN 10,000.00 in the canonical example, and the platform either pays that in full or pays nothing at all. There is no reduced payout, there is no corporate money used to make one look better, and there is no silence. If the funds are not there, the round goes to HELD, the recipient and the organiser are told immediately in plain language, and the recovery process begins (BR-018, BR-012, BR-017, G4).</w:t>
      </w:r>
    </w:p>
    <w:p>
      <w:pPr>
        <w:pStyle w:val="Heading3"/>
      </w:pPr>
      <w:r>
        <w:rPr>
          <w:rFonts w:ascii="Calibri" w:hAnsi="Calibri"/>
          <w:b/>
          <w:i w:val="0"/>
          <w:color w:val="0B1F3A"/>
          <w:sz w:val="24"/>
        </w:rPr>
        <w:t>2.5.2 Swimlane</w:t>
      </w:r>
    </w:p>
    <w:p>
      <w:pPr>
        <w:spacing w:before="0" w:after="0" w:line="240" w:lineRule="auto"/>
        <w:ind w:left="230"/>
        <w:shd w:val="clear" w:color="auto" w:fill="F7F9FC"/>
        <w:pBdr>
          <w:left w:val="single" w:sz="4" w:space="6" w:color="D0D5DD"/>
        </w:pBdr>
      </w:pPr>
      <w:r>
        <w:rPr>
          <w:rFonts w:ascii="Consolas" w:hAnsi="Consolas"/>
          <w:color w:val="0B1F3A"/>
          <w:sz w:val="16"/>
        </w:rPr>
        <w:t>RECIPIENT         AJO.ng            ORGANISER        PROVIDER        LEDGER</w:t>
      </w:r>
    </w:p>
    <w:p>
      <w:pPr>
        <w:spacing w:before="0" w:after="0" w:line="240" w:lineRule="auto"/>
        <w:ind w:left="230"/>
        <w:shd w:val="clear" w:color="auto" w:fill="F7F9FC"/>
        <w:pBdr>
          <w:left w:val="single" w:sz="4" w:space="6" w:color="D0D5DD"/>
        </w:pBdr>
      </w:pPr>
      <w:r>
        <w:rPr>
          <w:rFonts w:ascii="Consolas" w:hAnsi="Consolas"/>
          <w:color w:val="0B1F3A"/>
          <w:sz w:val="16"/>
        </w:rPr>
        <w:t xml:space="preserve">   |  payout.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upcoming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(T-24h,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push/email/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SMS)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Round funding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10 x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NGN 1,000.00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collected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Eligibility check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verified + in-name payout destination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recipient not frozen, not under review</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payout SCHEDULED -&gt; FUNDING</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escrow solvency assertion: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available &gt;= due (NGN 10,000.00)?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YES: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3. payout.recognized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debit contributions_receivable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credit payouts_payable            |----------&gt;|</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organizer may REQUEST release: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released      |  POST /payouts/:id/release ------------&gt;|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organizer CANNOT release, control,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modify or cancel it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payout.released  |-------------&gt;| push/email/SMS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payout RELEASED -&gt; provider disburses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|&lt;--------------------------------------|  SUCCESS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4. payout.settled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debit payouts_payable              |----------&gt;|</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credit escrow_cash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balance to zero or rejected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payout.succeeded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GET /payouts/:id  receipt: base pool NGN 10,000.00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fee retained   NGN    200.00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provider reference, timestamp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Round closes, next position opens                      |              |</w:t>
      </w:r>
    </w:p>
    <w:p>
      <w:pPr>
        <w:pStyle w:val="Heading3"/>
      </w:pPr>
      <w:r>
        <w:rPr>
          <w:rFonts w:ascii="Calibri" w:hAnsi="Calibri"/>
          <w:b/>
          <w:i w:val="0"/>
          <w:color w:val="0B1F3A"/>
          <w:sz w:val="24"/>
        </w:rPr>
        <w:t>2.5.3 Step detail</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706"/>
            <w:shd w:val="clear" w:color="auto" w:fill="0B1F3A"/>
            <w:tcMar>
              <w:top w:w="60" w:type="dxa"/>
              <w:start w:w="110" w:type="dxa"/>
              <w:bottom w:w="60" w:type="dxa"/>
              <w:end w:w="110" w:type="dxa"/>
            </w:tcMar>
          </w:tcPr>
          <w:p>
            <w:pPr>
              <w:spacing w:after="0"/>
            </w:pPr>
            <w:r/>
            <w:r>
              <w:rPr>
                <w:rFonts w:ascii="Calibri" w:hAnsi="Calibri"/>
                <w:b/>
                <w:i w:val="0"/>
                <w:color w:val="FFFFFF"/>
                <w:sz w:val="14"/>
              </w:rPr>
              <w:t>Step</w:t>
            </w:r>
          </w:p>
        </w:tc>
        <w:tc>
          <w:tcPr>
            <w:tcW w:type="dxa" w:w="1123"/>
            <w:shd w:val="clear" w:color="auto" w:fill="0B1F3A"/>
            <w:tcMar>
              <w:top w:w="60" w:type="dxa"/>
              <w:start w:w="110" w:type="dxa"/>
              <w:bottom w:w="60" w:type="dxa"/>
              <w:end w:w="110" w:type="dxa"/>
            </w:tcMar>
          </w:tcPr>
          <w:p>
            <w:pPr>
              <w:spacing w:after="0"/>
            </w:pPr>
            <w:r/>
            <w:r>
              <w:rPr>
                <w:rFonts w:ascii="Calibri" w:hAnsi="Calibri"/>
                <w:b/>
                <w:i w:val="0"/>
                <w:color w:val="FFFFFF"/>
                <w:sz w:val="14"/>
              </w:rPr>
              <w:t>Actor</w:t>
            </w:r>
          </w:p>
        </w:tc>
        <w:tc>
          <w:tcPr>
            <w:tcW w:type="dxa" w:w="1210"/>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2030"/>
            <w:shd w:val="clear" w:color="auto" w:fill="0B1F3A"/>
            <w:tcMar>
              <w:top w:w="60" w:type="dxa"/>
              <w:start w:w="110" w:type="dxa"/>
              <w:bottom w:w="60" w:type="dxa"/>
              <w:end w:w="110" w:type="dxa"/>
            </w:tcMar>
          </w:tcPr>
          <w:p>
            <w:pPr>
              <w:spacing w:after="0"/>
            </w:pPr>
            <w:r/>
            <w:r>
              <w:rPr>
                <w:rFonts w:ascii="Calibri" w:hAnsi="Calibri"/>
                <w:b/>
                <w:i w:val="0"/>
                <w:color w:val="FFFFFF"/>
                <w:sz w:val="14"/>
              </w:rPr>
              <w:t>Action</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4"/>
              </w:rPr>
              <w:t>System response</w:t>
            </w:r>
          </w:p>
        </w:tc>
        <w:tc>
          <w:tcPr>
            <w:tcW w:type="dxa" w:w="1411"/>
            <w:shd w:val="clear" w:color="auto" w:fill="0B1F3A"/>
            <w:tcMar>
              <w:top w:w="60" w:type="dxa"/>
              <w:start w:w="110" w:type="dxa"/>
              <w:bottom w:w="60" w:type="dxa"/>
              <w:end w:w="110" w:type="dxa"/>
            </w:tcMar>
          </w:tcPr>
          <w:p>
            <w:pPr>
              <w:spacing w:after="0"/>
            </w:pPr>
            <w:r/>
            <w:r>
              <w:rPr>
                <w:rFonts w:ascii="Calibri" w:hAnsi="Calibri"/>
                <w:b/>
                <w:i w:val="0"/>
                <w:color w:val="FFFFFF"/>
                <w:sz w:val="14"/>
              </w:rPr>
              <w:t>Rule ref</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2.5.1</w:t>
            </w:r>
          </w:p>
        </w:tc>
        <w:tc>
          <w:tcPr>
            <w:tcW w:type="dxa" w:w="1123"/>
            <w:tcMar>
              <w:top w:w="60" w:type="dxa"/>
              <w:start w:w="110" w:type="dxa"/>
              <w:bottom w:w="60" w:type="dxa"/>
              <w:end w:w="110" w:type="dxa"/>
            </w:tcMar>
          </w:tcPr>
          <w:p>
            <w:pPr>
              <w:spacing w:after="0"/>
            </w:pPr>
            <w:r/>
            <w:r>
              <w:rPr>
                <w:rFonts w:ascii="Calibri" w:hAnsi="Calibri"/>
                <w:b w:val="0"/>
                <w:i w:val="0"/>
                <w:color w:val="101828"/>
                <w:sz w:val="14"/>
              </w:rPr>
              <w:t>System</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SCR-APP-12</w:t>
            </w:r>
          </w:p>
        </w:tc>
        <w:tc>
          <w:tcPr>
            <w:tcW w:type="dxa" w:w="2030"/>
            <w:tcMar>
              <w:top w:w="60" w:type="dxa"/>
              <w:start w:w="110" w:type="dxa"/>
              <w:bottom w:w="60" w:type="dxa"/>
              <w:end w:w="110" w:type="dxa"/>
            </w:tcMar>
          </w:tcPr>
          <w:p>
            <w:pPr>
              <w:spacing w:after="0"/>
            </w:pPr>
            <w:r/>
            <w:r>
              <w:rPr>
                <w:rFonts w:ascii="Calibri" w:hAnsi="Calibri"/>
                <w:b w:val="0"/>
                <w:i w:val="0"/>
                <w:color w:val="101828"/>
                <w:sz w:val="14"/>
              </w:rPr>
              <w:t>Detects that a round has fully collected its required funds.</w:t>
            </w:r>
          </w:p>
        </w:tc>
        <w:tc>
          <w:tcPr>
            <w:tcW w:type="dxa" w:w="2880"/>
            <w:tcMar>
              <w:top w:w="60" w:type="dxa"/>
              <w:start w:w="110" w:type="dxa"/>
              <w:bottom w:w="60" w:type="dxa"/>
              <w:end w:w="110" w:type="dxa"/>
            </w:tcMar>
          </w:tcPr>
          <w:p>
            <w:pPr>
              <w:spacing w:after="0"/>
            </w:pPr>
            <w:r/>
            <w:r>
              <w:rPr>
                <w:rFonts w:ascii="Calibri" w:hAnsi="Calibri"/>
                <w:b w:val="0"/>
                <w:i w:val="0"/>
                <w:color w:val="101828"/>
                <w:sz w:val="14"/>
              </w:rPr>
              <w:t>Round funding progress is derived from the ledger, never from a count of who says they paid. Full collection is a necessary condition, not the sufficient one.</w:t>
            </w:r>
          </w:p>
        </w:tc>
        <w:tc>
          <w:tcPr>
            <w:tcW w:type="dxa" w:w="1411"/>
            <w:tcMar>
              <w:top w:w="60" w:type="dxa"/>
              <w:start w:w="110" w:type="dxa"/>
              <w:bottom w:w="60" w:type="dxa"/>
              <w:end w:w="110" w:type="dxa"/>
            </w:tcMar>
          </w:tcPr>
          <w:p>
            <w:pPr>
              <w:spacing w:after="0"/>
            </w:pPr>
            <w:r/>
            <w:r>
              <w:rPr>
                <w:rFonts w:ascii="Calibri" w:hAnsi="Calibri"/>
                <w:b w:val="0"/>
                <w:i w:val="0"/>
                <w:color w:val="101828"/>
                <w:sz w:val="14"/>
              </w:rPr>
              <w:t>FR-POS-002, FR-POUT-001, BR-013</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2.5.2</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System</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SCR-APP-12</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Sends </w:t>
            </w:r>
            <w:r>
              <w:rPr>
                <w:rFonts w:ascii="Consolas" w:hAnsi="Consolas"/>
                <w:color w:val="146EF5"/>
                <w:sz w:val="14"/>
              </w:rPr>
              <w:t>payout.upcoming</w:t>
            </w:r>
            <w:r>
              <w:rPr>
                <w:rFonts w:ascii="Calibri" w:hAnsi="Calibri"/>
                <w:b w:val="0"/>
                <w:i w:val="0"/>
                <w:color w:val="101828"/>
                <w:sz w:val="14"/>
              </w:rPr>
              <w:t xml:space="preserve"> to the recipient at T-24h.</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Push, email and SMS, because this is money-critical. The notification names the date, the amount and the destination so the recipient can sanity-check them.</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CAN §8, FR-NOTIF-001, FR-POUT-008</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2.5.3</w:t>
            </w:r>
          </w:p>
        </w:tc>
        <w:tc>
          <w:tcPr>
            <w:tcW w:type="dxa" w:w="1123"/>
            <w:tcMar>
              <w:top w:w="60" w:type="dxa"/>
              <w:start w:w="110" w:type="dxa"/>
              <w:bottom w:w="60" w:type="dxa"/>
              <w:end w:w="110" w:type="dxa"/>
            </w:tcMar>
          </w:tcPr>
          <w:p>
            <w:pPr>
              <w:spacing w:after="0"/>
            </w:pPr>
            <w:r/>
            <w:r>
              <w:rPr>
                <w:rFonts w:ascii="Calibri" w:hAnsi="Calibri"/>
                <w:b w:val="0"/>
                <w:i w:val="0"/>
                <w:color w:val="101828"/>
                <w:sz w:val="14"/>
              </w:rPr>
              <w:t>Recipient</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SCR-APP-10</w:t>
            </w:r>
          </w:p>
        </w:tc>
        <w:tc>
          <w:tcPr>
            <w:tcW w:type="dxa" w:w="2030"/>
            <w:tcMar>
              <w:top w:w="60" w:type="dxa"/>
              <w:start w:w="110" w:type="dxa"/>
              <w:bottom w:w="60" w:type="dxa"/>
              <w:end w:w="110" w:type="dxa"/>
            </w:tcMar>
          </w:tcPr>
          <w:p>
            <w:pPr>
              <w:spacing w:after="0"/>
            </w:pPr>
            <w:r/>
            <w:r>
              <w:rPr>
                <w:rFonts w:ascii="Calibri" w:hAnsi="Calibri"/>
                <w:b w:val="0"/>
                <w:i w:val="0"/>
                <w:color w:val="101828"/>
                <w:sz w:val="14"/>
              </w:rPr>
              <w:t>Reviews the payout before it is released.</w:t>
            </w:r>
          </w:p>
        </w:tc>
        <w:tc>
          <w:tcPr>
            <w:tcW w:type="dxa" w:w="2880"/>
            <w:tcMar>
              <w:top w:w="60" w:type="dxa"/>
              <w:start w:w="110" w:type="dxa"/>
              <w:bottom w:w="60" w:type="dxa"/>
              <w:end w:w="110" w:type="dxa"/>
            </w:tcMar>
          </w:tcPr>
          <w:p>
            <w:pPr>
              <w:spacing w:after="0"/>
            </w:pPr>
            <w:r/>
            <w:r>
              <w:rPr>
                <w:rFonts w:ascii="Consolas" w:hAnsi="Consolas"/>
                <w:color w:val="146EF5"/>
                <w:sz w:val="14"/>
              </w:rPr>
              <w:t>GET /payouts/:id</w:t>
            </w:r>
            <w:r>
              <w:rPr>
                <w:rFonts w:ascii="Calibri" w:hAnsi="Calibri"/>
                <w:b w:val="0"/>
                <w:i w:val="0"/>
                <w:color w:val="101828"/>
                <w:sz w:val="14"/>
              </w:rPr>
              <w:t>. The amount shown is the base pool, NGN 10,000.00, with the retained fee for the round, NGN 200.00, shown separately. The collected total of NGN 10,200.00 is never presented as what they will receive.</w:t>
            </w:r>
          </w:p>
        </w:tc>
        <w:tc>
          <w:tcPr>
            <w:tcW w:type="dxa" w:w="1411"/>
            <w:tcMar>
              <w:top w:w="60" w:type="dxa"/>
              <w:start w:w="110" w:type="dxa"/>
              <w:bottom w:w="60" w:type="dxa"/>
              <w:end w:w="110" w:type="dxa"/>
            </w:tcMar>
          </w:tcPr>
          <w:p>
            <w:pPr>
              <w:spacing w:after="0"/>
            </w:pPr>
            <w:r/>
            <w:r>
              <w:rPr>
                <w:rFonts w:ascii="Calibri" w:hAnsi="Calibri"/>
                <w:b w:val="0"/>
                <w:i w:val="0"/>
                <w:color w:val="101828"/>
                <w:sz w:val="14"/>
              </w:rPr>
              <w:t>BR-012, FR-POUT-003, FR-POUT-008, US-27</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2.5.4</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System</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Runs eligibility.</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Recipient is identity-verified, the account is not frozen and not under risk review, the payout destination is verified and in the recipient's own name, and the round funds are fully collected. Any failed check stops the release with a recorded reason rather than proceeding.</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NFR-SEC-010, FR-POUT-004, FR-ADM-005, D-04</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2.5.5</w:t>
            </w:r>
          </w:p>
        </w:tc>
        <w:tc>
          <w:tcPr>
            <w:tcW w:type="dxa" w:w="1123"/>
            <w:tcMar>
              <w:top w:w="60" w:type="dxa"/>
              <w:start w:w="110" w:type="dxa"/>
              <w:bottom w:w="60" w:type="dxa"/>
              <w:end w:w="110" w:type="dxa"/>
            </w:tcMar>
          </w:tcPr>
          <w:p>
            <w:pPr>
              <w:spacing w:after="0"/>
            </w:pPr>
            <w:r/>
            <w:r>
              <w:rPr>
                <w:rFonts w:ascii="Calibri" w:hAnsi="Calibri"/>
                <w:b w:val="0"/>
                <w:i w:val="0"/>
                <w:color w:val="101828"/>
                <w:sz w:val="14"/>
              </w:rPr>
              <w:t>System</w:t>
            </w:r>
          </w:p>
        </w:tc>
        <w:tc>
          <w:tcPr>
            <w:tcW w:type="dxa" w:w="1210"/>
            <w:tcMar>
              <w:top w:w="60" w:type="dxa"/>
              <w:start w:w="110" w:type="dxa"/>
              <w:bottom w:w="60" w:type="dxa"/>
              <w:end w:w="110" w:type="dxa"/>
            </w:tcMar>
          </w:tcPr>
          <w:p>
            <w:pPr>
              <w:spacing w:after="0"/>
            </w:pPr>
            <w:r/>
            <w:r>
              <w:rPr>
                <w:rFonts w:ascii="Calibri" w:hAnsi="Calibri"/>
                <w:b w:val="0"/>
                <w:i w:val="0"/>
                <w:color w:val="101828"/>
                <w:sz w:val="14"/>
              </w:rPr>
              <w:t>—</w:t>
            </w:r>
          </w:p>
        </w:tc>
        <w:tc>
          <w:tcPr>
            <w:tcW w:type="dxa" w:w="2030"/>
            <w:tcMar>
              <w:top w:w="60" w:type="dxa"/>
              <w:start w:w="110" w:type="dxa"/>
              <w:bottom w:w="60" w:type="dxa"/>
              <w:end w:w="110" w:type="dxa"/>
            </w:tcMar>
          </w:tcPr>
          <w:p>
            <w:pPr>
              <w:spacing w:after="0"/>
            </w:pPr>
            <w:r/>
            <w:r>
              <w:rPr>
                <w:rFonts w:ascii="Calibri" w:hAnsi="Calibri"/>
                <w:b w:val="0"/>
                <w:i w:val="0"/>
                <w:color w:val="101828"/>
                <w:sz w:val="14"/>
              </w:rPr>
              <w:t>Runs the escrow solvency assertion.</w:t>
            </w:r>
          </w:p>
        </w:tc>
        <w:tc>
          <w:tcPr>
            <w:tcW w:type="dxa" w:w="2880"/>
            <w:tcMar>
              <w:top w:w="60" w:type="dxa"/>
              <w:start w:w="110" w:type="dxa"/>
              <w:bottom w:w="60" w:type="dxa"/>
              <w:end w:w="110" w:type="dxa"/>
            </w:tcMar>
          </w:tcPr>
          <w:p>
            <w:pPr>
              <w:spacing w:after="0"/>
            </w:pPr>
            <w:r/>
            <w:r>
              <w:rPr>
                <w:rFonts w:ascii="Calibri" w:hAnsi="Calibri"/>
                <w:b w:val="0"/>
                <w:i w:val="0"/>
                <w:color w:val="101828"/>
                <w:sz w:val="14"/>
              </w:rPr>
              <w:t xml:space="preserve">Before every disbursement the platform asserts that escrow covers the liability being settled. This is not bypassable by any role, including </w:t>
            </w:r>
            <w:r>
              <w:rPr>
                <w:rFonts w:ascii="Consolas" w:hAnsi="Consolas"/>
                <w:color w:val="146EF5"/>
                <w:sz w:val="14"/>
              </w:rPr>
              <w:t>super_admin</w:t>
            </w:r>
            <w:r>
              <w:rPr>
                <w:rFonts w:ascii="Calibri" w:hAnsi="Calibri"/>
                <w:b w:val="0"/>
                <w:i w:val="0"/>
                <w:color w:val="101828"/>
                <w:sz w:val="14"/>
              </w:rPr>
              <w:t>. If NGN 100,000.00 is due and NGN 90,000.00 is available, the assertion fails and the payout cannot be released.</w:t>
            </w:r>
          </w:p>
        </w:tc>
        <w:tc>
          <w:tcPr>
            <w:tcW w:type="dxa" w:w="1411"/>
            <w:tcMar>
              <w:top w:w="60" w:type="dxa"/>
              <w:start w:w="110" w:type="dxa"/>
              <w:bottom w:w="60" w:type="dxa"/>
              <w:end w:w="110" w:type="dxa"/>
            </w:tcMar>
          </w:tcPr>
          <w:p>
            <w:pPr>
              <w:spacing w:after="0"/>
            </w:pPr>
            <w:r/>
            <w:r>
              <w:rPr>
                <w:rFonts w:ascii="Calibri" w:hAnsi="Calibri"/>
                <w:b w:val="0"/>
                <w:i w:val="0"/>
                <w:color w:val="101828"/>
                <w:sz w:val="14"/>
              </w:rPr>
              <w:t>BR-020, BR-018, NFR-AUD-006, EC-101, EC-063</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2.5.6</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System</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SCR-APP-10</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Moves the payout SCHEDULED to FUNDING and posts recognition.</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Step 3 </w:t>
            </w:r>
            <w:r>
              <w:rPr>
                <w:rFonts w:ascii="Consolas" w:hAnsi="Consolas"/>
                <w:color w:val="146EF5"/>
                <w:sz w:val="14"/>
              </w:rPr>
              <w:t>payout.recognized</w:t>
            </w:r>
            <w:r>
              <w:rPr>
                <w:rFonts w:ascii="Calibri" w:hAnsi="Calibri"/>
                <w:b w:val="0"/>
                <w:i w:val="0"/>
                <w:color w:val="101828"/>
                <w:sz w:val="14"/>
              </w:rPr>
              <w:t>: debit contributions_receivable, credit payouts_payable for NGN 10,000.00. Skipping this step drains escrow against a liability that was never raised, and the assertion correctly halts disbursement.</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BR-021, BR-020, CAN §4</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2.5.7</w:t>
            </w:r>
          </w:p>
        </w:tc>
        <w:tc>
          <w:tcPr>
            <w:tcW w:type="dxa" w:w="1123"/>
            <w:tcMar>
              <w:top w:w="60" w:type="dxa"/>
              <w:start w:w="110" w:type="dxa"/>
              <w:bottom w:w="60" w:type="dxa"/>
              <w:end w:w="110" w:type="dxa"/>
            </w:tcMar>
          </w:tcPr>
          <w:p>
            <w:pPr>
              <w:spacing w:after="0"/>
            </w:pPr>
            <w:r/>
            <w:r>
              <w:rPr>
                <w:rFonts w:ascii="Calibri" w:hAnsi="Calibri"/>
                <w:b w:val="0"/>
                <w:i w:val="0"/>
                <w:color w:val="101828"/>
                <w:sz w:val="14"/>
              </w:rPr>
              <w:t>Organiser</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SCR-APP-05</w:t>
            </w:r>
          </w:p>
        </w:tc>
        <w:tc>
          <w:tcPr>
            <w:tcW w:type="dxa" w:w="2030"/>
            <w:tcMar>
              <w:top w:w="60" w:type="dxa"/>
              <w:start w:w="110" w:type="dxa"/>
              <w:bottom w:w="60" w:type="dxa"/>
              <w:end w:w="110" w:type="dxa"/>
            </w:tcMar>
          </w:tcPr>
          <w:p>
            <w:pPr>
              <w:spacing w:after="0"/>
            </w:pPr>
            <w:r/>
            <w:r>
              <w:rPr>
                <w:rFonts w:ascii="Calibri" w:hAnsi="Calibri"/>
                <w:b w:val="0"/>
                <w:i w:val="0"/>
                <w:color w:val="101828"/>
                <w:sz w:val="14"/>
              </w:rPr>
              <w:t>May request release of the payout.</w:t>
            </w:r>
          </w:p>
        </w:tc>
        <w:tc>
          <w:tcPr>
            <w:tcW w:type="dxa" w:w="2880"/>
            <w:tcMar>
              <w:top w:w="60" w:type="dxa"/>
              <w:start w:w="110" w:type="dxa"/>
              <w:bottom w:w="60" w:type="dxa"/>
              <w:end w:w="110" w:type="dxa"/>
            </w:tcMar>
          </w:tcPr>
          <w:p>
            <w:pPr>
              <w:spacing w:after="0"/>
            </w:pPr>
            <w:r/>
            <w:r>
              <w:rPr>
                <w:rFonts w:ascii="Consolas" w:hAnsi="Consolas"/>
                <w:color w:val="146EF5"/>
                <w:sz w:val="14"/>
              </w:rPr>
              <w:t>POST /payouts/:id/release</w:t>
            </w:r>
            <w:r>
              <w:rPr>
                <w:rFonts w:ascii="Calibri" w:hAnsi="Calibri"/>
                <w:b w:val="0"/>
                <w:i w:val="0"/>
                <w:color w:val="101828"/>
                <w:sz w:val="14"/>
              </w:rPr>
              <w:t xml:space="preserve"> records a request. The organiser may not release, control, modify or cancel the payout, and may not authorise a payout at all. A request by an organiser is never a precondition the platform waits on indefinitely.</w:t>
            </w:r>
          </w:p>
        </w:tc>
        <w:tc>
          <w:tcPr>
            <w:tcW w:type="dxa" w:w="1411"/>
            <w:tcMar>
              <w:top w:w="60" w:type="dxa"/>
              <w:start w:w="110" w:type="dxa"/>
              <w:bottom w:w="60" w:type="dxa"/>
              <w:end w:w="110" w:type="dxa"/>
            </w:tcMar>
          </w:tcPr>
          <w:p>
            <w:pPr>
              <w:spacing w:after="0"/>
            </w:pPr>
            <w:r/>
            <w:r>
              <w:rPr>
                <w:rFonts w:ascii="Calibri" w:hAnsi="Calibri"/>
                <w:b w:val="0"/>
                <w:i w:val="0"/>
                <w:color w:val="101828"/>
                <w:sz w:val="14"/>
              </w:rPr>
              <w:t>FR-POUT-005, CAN §2, BR-008</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2.5.8</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System</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SCR-APP-12</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Sends </w:t>
            </w:r>
            <w:r>
              <w:rPr>
                <w:rFonts w:ascii="Consolas" w:hAnsi="Consolas"/>
                <w:color w:val="146EF5"/>
                <w:sz w:val="14"/>
              </w:rPr>
              <w:t>payout.released</w:t>
            </w:r>
            <w:r>
              <w:rPr>
                <w:rFonts w:ascii="Calibri" w:hAnsi="Calibri"/>
                <w:b w:val="0"/>
                <w:i w:val="0"/>
                <w:color w:val="101828"/>
                <w:sz w:val="14"/>
              </w:rPr>
              <w:t xml:space="preserve"> to the recipient on release.</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Push, email and SMS. Silence about a released payout is not permitted for any role.</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CAN §8, BR-017</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2.5.9</w:t>
            </w:r>
          </w:p>
        </w:tc>
        <w:tc>
          <w:tcPr>
            <w:tcW w:type="dxa" w:w="1123"/>
            <w:tcMar>
              <w:top w:w="60" w:type="dxa"/>
              <w:start w:w="110" w:type="dxa"/>
              <w:bottom w:w="60" w:type="dxa"/>
              <w:end w:w="110" w:type="dxa"/>
            </w:tcMar>
          </w:tcPr>
          <w:p>
            <w:pPr>
              <w:spacing w:after="0"/>
            </w:pPr>
            <w:r/>
            <w:r>
              <w:rPr>
                <w:rFonts w:ascii="Calibri" w:hAnsi="Calibri"/>
                <w:b w:val="0"/>
                <w:i w:val="0"/>
                <w:color w:val="101828"/>
                <w:sz w:val="14"/>
              </w:rPr>
              <w:t>Provider</w:t>
            </w:r>
          </w:p>
        </w:tc>
        <w:tc>
          <w:tcPr>
            <w:tcW w:type="dxa" w:w="1210"/>
            <w:tcMar>
              <w:top w:w="60" w:type="dxa"/>
              <w:start w:w="110" w:type="dxa"/>
              <w:bottom w:w="60" w:type="dxa"/>
              <w:end w:w="110" w:type="dxa"/>
            </w:tcMar>
          </w:tcPr>
          <w:p>
            <w:pPr>
              <w:spacing w:after="0"/>
            </w:pPr>
            <w:r/>
            <w:r>
              <w:rPr>
                <w:rFonts w:ascii="Calibri" w:hAnsi="Calibri"/>
                <w:b w:val="0"/>
                <w:i w:val="0"/>
                <w:color w:val="101828"/>
                <w:sz w:val="14"/>
              </w:rPr>
              <w:t>—</w:t>
            </w:r>
          </w:p>
        </w:tc>
        <w:tc>
          <w:tcPr>
            <w:tcW w:type="dxa" w:w="2030"/>
            <w:tcMar>
              <w:top w:w="60" w:type="dxa"/>
              <w:start w:w="110" w:type="dxa"/>
              <w:bottom w:w="60" w:type="dxa"/>
              <w:end w:w="110" w:type="dxa"/>
            </w:tcMar>
          </w:tcPr>
          <w:p>
            <w:pPr>
              <w:spacing w:after="0"/>
            </w:pPr>
            <w:r/>
            <w:r>
              <w:rPr>
                <w:rFonts w:ascii="Calibri" w:hAnsi="Calibri"/>
                <w:b w:val="0"/>
                <w:i w:val="0"/>
                <w:color w:val="101828"/>
                <w:sz w:val="14"/>
              </w:rPr>
              <w:t>Disburses to the verified destination.</w:t>
            </w:r>
          </w:p>
        </w:tc>
        <w:tc>
          <w:tcPr>
            <w:tcW w:type="dxa" w:w="2880"/>
            <w:tcMar>
              <w:top w:w="60" w:type="dxa"/>
              <w:start w:w="110" w:type="dxa"/>
              <w:bottom w:w="60" w:type="dxa"/>
              <w:end w:w="110" w:type="dxa"/>
            </w:tcMar>
          </w:tcPr>
          <w:p>
            <w:pPr>
              <w:spacing w:after="0"/>
            </w:pPr>
            <w:r/>
            <w:r>
              <w:rPr>
                <w:rFonts w:ascii="Calibri" w:hAnsi="Calibri"/>
                <w:b w:val="0"/>
                <w:i w:val="0"/>
                <w:color w:val="101828"/>
                <w:sz w:val="14"/>
              </w:rPr>
              <w:t>The provider webhook moves the payout to SUCCESS or FAILED. Retries are bounded and every attempt is recorded. Failure is retried automatically a bounded number of times before member action is required.</w:t>
            </w:r>
          </w:p>
        </w:tc>
        <w:tc>
          <w:tcPr>
            <w:tcW w:type="dxa" w:w="1411"/>
            <w:tcMar>
              <w:top w:w="60" w:type="dxa"/>
              <w:start w:w="110" w:type="dxa"/>
              <w:bottom w:w="60" w:type="dxa"/>
              <w:end w:w="110" w:type="dxa"/>
            </w:tcMar>
          </w:tcPr>
          <w:p>
            <w:pPr>
              <w:spacing w:after="0"/>
            </w:pPr>
            <w:r/>
            <w:r>
              <w:rPr>
                <w:rFonts w:ascii="Calibri" w:hAnsi="Calibri"/>
                <w:b w:val="0"/>
                <w:i w:val="0"/>
                <w:color w:val="101828"/>
                <w:sz w:val="14"/>
              </w:rPr>
              <w:t>FR-POUT-007, CAN §4, EC-128</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2.5.10</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System</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Posts settlement and closes the round.</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Step 4 </w:t>
            </w:r>
            <w:r>
              <w:rPr>
                <w:rFonts w:ascii="Consolas" w:hAnsi="Consolas"/>
                <w:color w:val="146EF5"/>
                <w:sz w:val="14"/>
              </w:rPr>
              <w:t>payout.settled</w:t>
            </w:r>
            <w:r>
              <w:rPr>
                <w:rFonts w:ascii="Calibri" w:hAnsi="Calibri"/>
                <w:b w:val="0"/>
                <w:i w:val="0"/>
                <w:color w:val="101828"/>
                <w:sz w:val="14"/>
              </w:rPr>
              <w:t xml:space="preserve">: debit payouts_payable, credit escrow_cash. Balance to zero or reject. The round closes, the next position opens, and </w:t>
            </w:r>
            <w:r>
              <w:rPr>
                <w:rFonts w:ascii="Consolas" w:hAnsi="Consolas"/>
                <w:color w:val="146EF5"/>
                <w:sz w:val="14"/>
              </w:rPr>
              <w:t>ajo.completed</w:t>
            </w:r>
            <w:r>
              <w:rPr>
                <w:rFonts w:ascii="Calibri" w:hAnsi="Calibri"/>
                <w:b w:val="0"/>
                <w:i w:val="0"/>
                <w:color w:val="101828"/>
                <w:sz w:val="14"/>
              </w:rPr>
              <w:t xml:space="preserve"> goes to all members when the final round settles.</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BR-021, BR-013, CAN §8</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2.5.11</w:t>
            </w:r>
          </w:p>
        </w:tc>
        <w:tc>
          <w:tcPr>
            <w:tcW w:type="dxa" w:w="1123"/>
            <w:tcMar>
              <w:top w:w="60" w:type="dxa"/>
              <w:start w:w="110" w:type="dxa"/>
              <w:bottom w:w="60" w:type="dxa"/>
              <w:end w:w="110" w:type="dxa"/>
            </w:tcMar>
          </w:tcPr>
          <w:p>
            <w:pPr>
              <w:spacing w:after="0"/>
            </w:pPr>
            <w:r/>
            <w:r>
              <w:rPr>
                <w:rFonts w:ascii="Calibri" w:hAnsi="Calibri"/>
                <w:b w:val="0"/>
                <w:i w:val="0"/>
                <w:color w:val="101828"/>
                <w:sz w:val="14"/>
              </w:rPr>
              <w:t>Recipient</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SCR-APP-10</w:t>
            </w:r>
          </w:p>
        </w:tc>
        <w:tc>
          <w:tcPr>
            <w:tcW w:type="dxa" w:w="2030"/>
            <w:tcMar>
              <w:top w:w="60" w:type="dxa"/>
              <w:start w:w="110" w:type="dxa"/>
              <w:bottom w:w="60" w:type="dxa"/>
              <w:end w:w="110" w:type="dxa"/>
            </w:tcMar>
          </w:tcPr>
          <w:p>
            <w:pPr>
              <w:spacing w:after="0"/>
            </w:pPr>
            <w:r/>
            <w:r>
              <w:rPr>
                <w:rFonts w:ascii="Calibri" w:hAnsi="Calibri"/>
                <w:b w:val="0"/>
                <w:i w:val="0"/>
                <w:color w:val="101828"/>
                <w:sz w:val="14"/>
              </w:rPr>
              <w:t>Receives the payout receipt and the record.</w:t>
            </w:r>
          </w:p>
        </w:tc>
        <w:tc>
          <w:tcPr>
            <w:tcW w:type="dxa" w:w="2880"/>
            <w:tcMar>
              <w:top w:w="60" w:type="dxa"/>
              <w:start w:w="110" w:type="dxa"/>
              <w:bottom w:w="60" w:type="dxa"/>
              <w:end w:w="110" w:type="dxa"/>
            </w:tcMar>
          </w:tcPr>
          <w:p>
            <w:pPr>
              <w:spacing w:after="0"/>
            </w:pPr>
            <w:r/>
            <w:r>
              <w:rPr>
                <w:rFonts w:ascii="Consolas" w:hAnsi="Consolas"/>
                <w:color w:val="146EF5"/>
                <w:sz w:val="14"/>
              </w:rPr>
              <w:t>GET /payouts/:id</w:t>
            </w:r>
            <w:r>
              <w:rPr>
                <w:rFonts w:ascii="Calibri" w:hAnsi="Calibri"/>
                <w:b w:val="0"/>
                <w:i w:val="0"/>
                <w:color w:val="101828"/>
                <w:sz w:val="14"/>
              </w:rPr>
              <w:t xml:space="preserve"> and </w:t>
            </w:r>
            <w:r>
              <w:rPr>
                <w:rFonts w:ascii="Consolas" w:hAnsi="Consolas"/>
                <w:color w:val="146EF5"/>
                <w:sz w:val="14"/>
              </w:rPr>
              <w:t>GET /statements</w:t>
            </w:r>
            <w:r>
              <w:rPr>
                <w:rFonts w:ascii="Calibri" w:hAnsi="Calibri"/>
                <w:b w:val="0"/>
                <w:i w:val="0"/>
                <w:color w:val="101828"/>
                <w:sz w:val="14"/>
              </w:rPr>
              <w:t xml:space="preserve"> produce a receipt showing the base pool NGN 10,000.00, the fee retained NGN 200.00 and the provider reference as separate lines, and a downloadable statement itemised by round. </w:t>
            </w:r>
            <w:r>
              <w:rPr>
                <w:rFonts w:ascii="Consolas" w:hAnsi="Consolas"/>
                <w:color w:val="146EF5"/>
                <w:sz w:val="14"/>
              </w:rPr>
              <w:t>payout.succeeded</w:t>
            </w:r>
            <w:r>
              <w:rPr>
                <w:rFonts w:ascii="Calibri" w:hAnsi="Calibri"/>
                <w:b w:val="0"/>
                <w:i w:val="0"/>
                <w:color w:val="101828"/>
                <w:sz w:val="14"/>
              </w:rPr>
              <w:t xml:space="preserve"> is sent on push, email and SMS.</w:t>
            </w:r>
          </w:p>
        </w:tc>
        <w:tc>
          <w:tcPr>
            <w:tcW w:type="dxa" w:w="1411"/>
            <w:tcMar>
              <w:top w:w="60" w:type="dxa"/>
              <w:start w:w="110" w:type="dxa"/>
              <w:bottom w:w="60" w:type="dxa"/>
              <w:end w:w="110" w:type="dxa"/>
            </w:tcMar>
          </w:tcPr>
          <w:p>
            <w:pPr>
              <w:spacing w:after="0"/>
            </w:pPr>
            <w:r/>
            <w:r>
              <w:rPr>
                <w:rFonts w:ascii="Calibri" w:hAnsi="Calibri"/>
                <w:b w:val="0"/>
                <w:i w:val="0"/>
                <w:color w:val="101828"/>
                <w:sz w:val="14"/>
              </w:rPr>
              <w:t>FR-POUT-008, FR-TXN-003, CAN §8, N4, US-26</w:t>
            </w:r>
          </w:p>
        </w:tc>
      </w:tr>
    </w:tbl>
    <w:p>
      <w:pPr>
        <w:spacing w:after="80"/>
      </w:pPr>
    </w:p>
    <w:p>
      <w:pPr>
        <w:pStyle w:val="Heading3"/>
      </w:pPr>
      <w:r>
        <w:rPr>
          <w:rFonts w:ascii="Calibri" w:hAnsi="Calibri"/>
          <w:b/>
          <w:i w:val="0"/>
          <w:color w:val="0B1F3A"/>
          <w:sz w:val="24"/>
        </w:rPr>
        <w:t>2.5.4 Happy path</w:t>
      </w:r>
    </w:p>
    <w:p>
      <w:r>
        <w:rPr>
          <w:rFonts w:ascii="Calibri" w:hAnsi="Calibri"/>
          <w:b w:val="0"/>
          <w:i w:val="0"/>
          <w:color w:val="101828"/>
          <w:sz w:val="21"/>
        </w:rPr>
        <w:t xml:space="preserve">Twenty-four hours before the round, Ada receives </w:t>
      </w:r>
      <w:r>
        <w:rPr>
          <w:rFonts w:ascii="Consolas" w:hAnsi="Consolas"/>
          <w:color w:val="146EF5"/>
          <w:sz w:val="21"/>
        </w:rPr>
        <w:t>payout.upcoming</w:t>
      </w:r>
      <w:r>
        <w:rPr>
          <w:rFonts w:ascii="Calibri" w:hAnsi="Calibri"/>
          <w:b w:val="0"/>
          <w:i w:val="0"/>
          <w:color w:val="101828"/>
          <w:sz w:val="21"/>
        </w:rPr>
        <w:t xml:space="preserve"> on push, email and SMS with the date, the amount and the destination. She opens the payout screen and sees NGN 10,000.00 as the amount she will receive, with the round's retained fee of NGN 200.00 shown on a separate line, and a clear note that NGN 10,000.00 is the base pool and not the NGN 10,200.00 collected. The system confirms she is verified, that her account is clean, that the destination account is in her own name, and that all ten contributions of NGN 1,000.00 have been collected into the round. The escrow solvency assertion passes. The payout moves to FUNDING, the recognition entry posts, the organiser's release request is recorded but confers no authority, the payout is released, and Ada is told immediately that it is on its way. The provider settles, the settlement entry posts, the round closes, the next member's turn opens, and Ada has a receipt that shows the base pool, the retained fee and the provider reference as three separate lines. The next Ajo she joins starts from that receipt, not from a notebook.</w:t>
      </w:r>
    </w:p>
    <w:p>
      <w:pPr>
        <w:pStyle w:val="Heading3"/>
      </w:pPr>
      <w:r>
        <w:rPr>
          <w:rFonts w:ascii="Calibri" w:hAnsi="Calibri"/>
          <w:b/>
          <w:i w:val="0"/>
          <w:color w:val="0B1F3A"/>
          <w:sz w:val="24"/>
        </w:rPr>
        <w:t>2.5.5 Alternates and failure branches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42"/>
            <w:shd w:val="clear" w:color="auto" w:fill="0B1F3A"/>
            <w:tcMar>
              <w:top w:w="60" w:type="dxa"/>
              <w:start w:w="110" w:type="dxa"/>
              <w:bottom w:w="60" w:type="dxa"/>
              <w:end w:w="110" w:type="dxa"/>
            </w:tcMar>
          </w:tcPr>
          <w:p>
            <w:pPr>
              <w:spacing w:after="0"/>
            </w:pPr>
            <w:r/>
            <w:r>
              <w:rPr>
                <w:rFonts w:ascii="Calibri" w:hAnsi="Calibri"/>
                <w:b/>
                <w:i w:val="0"/>
                <w:color w:val="FFFFFF"/>
                <w:sz w:val="14"/>
              </w:rPr>
              <w:t>Condition</w:t>
            </w:r>
          </w:p>
        </w:tc>
        <w:tc>
          <w:tcPr>
            <w:tcW w:type="dxa" w:w="2146"/>
            <w:shd w:val="clear" w:color="auto" w:fill="0B1F3A"/>
            <w:tcMar>
              <w:top w:w="60" w:type="dxa"/>
              <w:start w:w="110" w:type="dxa"/>
              <w:bottom w:w="60" w:type="dxa"/>
              <w:end w:w="110" w:type="dxa"/>
            </w:tcMar>
          </w:tcPr>
          <w:p>
            <w:pPr>
              <w:spacing w:after="0"/>
            </w:pPr>
            <w:r/>
            <w:r>
              <w:rPr>
                <w:rFonts w:ascii="Calibri" w:hAnsi="Calibri"/>
                <w:b/>
                <w:i w:val="0"/>
                <w:color w:val="FFFFFF"/>
                <w:sz w:val="14"/>
              </w:rPr>
              <w:t>Branch</w:t>
            </w:r>
          </w:p>
        </w:tc>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4"/>
              </w:rPr>
              <w:t>Message</w:t>
            </w:r>
          </w:p>
        </w:tc>
        <w:tc>
          <w:tcPr>
            <w:tcW w:type="dxa" w:w="2491"/>
            <w:shd w:val="clear" w:color="auto" w:fill="0B1F3A"/>
            <w:tcMar>
              <w:top w:w="60" w:type="dxa"/>
              <w:start w:w="110" w:type="dxa"/>
              <w:bottom w:w="60" w:type="dxa"/>
              <w:end w:w="110" w:type="dxa"/>
            </w:tcMar>
          </w:tcPr>
          <w:p>
            <w:pPr>
              <w:spacing w:after="0"/>
            </w:pPr>
            <w:r/>
            <w:r>
              <w:rPr>
                <w:rFonts w:ascii="Calibri" w:hAnsi="Calibri"/>
                <w:b/>
                <w:i w:val="0"/>
                <w:color w:val="FFFFFF"/>
                <w:sz w:val="14"/>
              </w:rPr>
              <w:t>Recovery</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round funds are short, for example NGN 90,000.00 available against NGN 100,000.00 due</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release is refused. The payout enters HELD. No reduced amount is ever paid and corporate funds are never used.</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SCR-APP-10</w:t>
            </w:r>
          </w:p>
        </w:tc>
        <w:tc>
          <w:tcPr>
            <w:tcW w:type="dxa" w:w="1944"/>
            <w:tcMar>
              <w:top w:w="60" w:type="dxa"/>
              <w:start w:w="110" w:type="dxa"/>
              <w:bottom w:w="60" w:type="dxa"/>
              <w:end w:w="110" w:type="dxa"/>
            </w:tcMar>
          </w:tcPr>
          <w:p>
            <w:pPr>
              <w:spacing w:after="0"/>
            </w:pPr>
            <w:r/>
            <w:r>
              <w:rPr>
                <w:rFonts w:ascii="Calibri" w:hAnsi="Calibri"/>
                <w:b w:val="0"/>
                <w:i w:val="0"/>
                <w:color w:val="101828"/>
                <w:sz w:val="14"/>
              </w:rPr>
              <w:t xml:space="preserve">To the recipient: </w:t>
            </w:r>
            <w:r>
              <w:rPr>
                <w:rFonts w:ascii="Calibri" w:hAnsi="Calibri"/>
                <w:i/>
                <w:color w:val="101828"/>
                <w:sz w:val="14"/>
              </w:rPr>
              <w:t>Your payout of NGN 100,000.00 is on hold because the round has not been fully funded. We will not pay you part of it. You will receive the whole amount or we will tell you exactly what is missing.</w:t>
            </w:r>
            <w:r>
              <w:rPr>
                <w:rFonts w:ascii="Calibri" w:hAnsi="Calibri"/>
                <w:b w:val="0"/>
                <w:i w:val="0"/>
                <w:color w:val="101828"/>
                <w:sz w:val="14"/>
              </w:rPr>
              <w:t xml:space="preserve"> To the organiser: the same fact, with the shortfall.</w:t>
            </w:r>
          </w:p>
        </w:tc>
        <w:tc>
          <w:tcPr>
            <w:tcW w:type="dxa" w:w="2491"/>
            <w:tcMar>
              <w:top w:w="60" w:type="dxa"/>
              <w:start w:w="110" w:type="dxa"/>
              <w:bottom w:w="60" w:type="dxa"/>
              <w:end w:w="110" w:type="dxa"/>
            </w:tcMar>
          </w:tcPr>
          <w:p>
            <w:pPr>
              <w:spacing w:after="0"/>
            </w:pPr>
            <w:r/>
            <w:r>
              <w:rPr>
                <w:rFonts w:ascii="Calibri" w:hAnsi="Calibri"/>
                <w:b w:val="0"/>
                <w:i w:val="0"/>
                <w:color w:val="101828"/>
                <w:sz w:val="14"/>
              </w:rPr>
              <w:t>The recovery process begins: chase the defaulting member through the documented sequence, or place the Ajo under formal recovery. BR-018, BR-017, G4, US-29, K-14, EC-063.</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payout destination is not in the recipient's own name</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Release is blocked until a verified, own-name destination is nominated. No third-party payout is permitted at MVP.</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SCR-APP-10</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Payouts can only go to an account in your own name. Add one to continue.</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Nominate a verified own-name account. NFR-S, FR-POUT-004, US-30, EC-128.</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provider rejects or fails the disbursement</w:t>
            </w:r>
          </w:p>
        </w:tc>
        <w:tc>
          <w:tcPr>
            <w:tcW w:type="dxa" w:w="2146"/>
            <w:tcMar>
              <w:top w:w="60" w:type="dxa"/>
              <w:start w:w="110" w:type="dxa"/>
              <w:bottom w:w="60" w:type="dxa"/>
              <w:end w:w="110" w:type="dxa"/>
            </w:tcMar>
          </w:tcPr>
          <w:p>
            <w:pPr>
              <w:spacing w:after="0"/>
            </w:pPr>
            <w:r/>
            <w:r>
              <w:rPr>
                <w:rFonts w:ascii="Calibri" w:hAnsi="Calibri"/>
                <w:b w:val="0"/>
                <w:i w:val="0"/>
                <w:color w:val="101828"/>
                <w:sz w:val="14"/>
              </w:rPr>
              <w:t>Payout moves to FAILED and enters bounded automatic retry. Every attempt is recorded with its reason.</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SCR-APP-10</w:t>
            </w:r>
          </w:p>
        </w:tc>
        <w:tc>
          <w:tcPr>
            <w:tcW w:type="dxa" w:w="1944"/>
            <w:tcMar>
              <w:top w:w="60" w:type="dxa"/>
              <w:start w:w="110" w:type="dxa"/>
              <w:bottom w:w="60" w:type="dxa"/>
              <w:end w:w="110" w:type="dxa"/>
            </w:tcMar>
          </w:tcPr>
          <w:p>
            <w:pPr>
              <w:spacing w:after="0"/>
            </w:pPr>
            <w:r/>
            <w:r>
              <w:rPr>
                <w:rFonts w:ascii="Calibri" w:hAnsi="Calibri"/>
                <w:i/>
                <w:color w:val="101828"/>
                <w:sz w:val="14"/>
              </w:rPr>
              <w:t>Your payout did not complete. We are retrying automatically. Nothing is lost and no action is needed from you yet.</w:t>
            </w:r>
          </w:p>
        </w:tc>
        <w:tc>
          <w:tcPr>
            <w:tcW w:type="dxa" w:w="2491"/>
            <w:tcMar>
              <w:top w:w="60" w:type="dxa"/>
              <w:start w:w="110" w:type="dxa"/>
              <w:bottom w:w="60" w:type="dxa"/>
              <w:end w:w="110" w:type="dxa"/>
            </w:tcMar>
          </w:tcPr>
          <w:p>
            <w:pPr>
              <w:spacing w:after="0"/>
            </w:pPr>
            <w:r/>
            <w:r>
              <w:rPr>
                <w:rFonts w:ascii="Calibri" w:hAnsi="Calibri"/>
                <w:b w:val="0"/>
                <w:i w:val="0"/>
                <w:color w:val="101828"/>
                <w:sz w:val="14"/>
              </w:rPr>
              <w:t xml:space="preserve">Automatic retry, then member action: re-nominate a destination or contact support. </w:t>
            </w:r>
            <w:r>
              <w:rPr>
                <w:rFonts w:ascii="Consolas" w:hAnsi="Consolas"/>
                <w:color w:val="146EF5"/>
                <w:sz w:val="14"/>
              </w:rPr>
              <w:t>payout.failed</w:t>
            </w:r>
            <w:r>
              <w:rPr>
                <w:rFonts w:ascii="Calibri" w:hAnsi="Calibri"/>
                <w:b w:val="0"/>
                <w:i w:val="0"/>
                <w:color w:val="101828"/>
                <w:sz w:val="14"/>
              </w:rPr>
              <w:t xml:space="preserve"> goes to recipient and organiser on push, email and SMS. FR-POUT-007, BR-017, EC-049.</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recipient's account is frozen or under risk review when their turn arrives</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The payout does not silently vanish. The round goes to HELD with a recorded reason, and the recipient and organiser are both told.</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SCR-APP-10 / SCR-ADM-05</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Your payout is on hold while we confirm your account. Contact support to resolve it.</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Risk review clears the account, or the freeze is lifted. The hold is not a default and no default clock runs against the member for it, flow 2.15, EC-034.</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organiser demands an early release, or a partial release, or a change of destination</w:t>
            </w:r>
          </w:p>
        </w:tc>
        <w:tc>
          <w:tcPr>
            <w:tcW w:type="dxa" w:w="2146"/>
            <w:tcMar>
              <w:top w:w="60" w:type="dxa"/>
              <w:start w:w="110" w:type="dxa"/>
              <w:bottom w:w="60" w:type="dxa"/>
              <w:end w:w="110" w:type="dxa"/>
            </w:tcMar>
          </w:tcPr>
          <w:p>
            <w:pPr>
              <w:spacing w:after="0"/>
            </w:pPr>
            <w:r/>
            <w:r>
              <w:rPr>
                <w:rFonts w:ascii="Calibri" w:hAnsi="Calibri"/>
                <w:b w:val="0"/>
                <w:i w:val="0"/>
                <w:color w:val="101828"/>
                <w:sz w:val="14"/>
              </w:rPr>
              <w:t>Refused and recorded. The organiser holds no authority over disbursement.</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SCR-APP-05</w:t>
            </w:r>
          </w:p>
        </w:tc>
        <w:tc>
          <w:tcPr>
            <w:tcW w:type="dxa" w:w="1944"/>
            <w:tcMar>
              <w:top w:w="60" w:type="dxa"/>
              <w:start w:w="110" w:type="dxa"/>
              <w:bottom w:w="60" w:type="dxa"/>
              <w:end w:w="110" w:type="dxa"/>
            </w:tcMar>
          </w:tcPr>
          <w:p>
            <w:pPr>
              <w:spacing w:after="0"/>
            </w:pPr>
            <w:r/>
            <w:r>
              <w:rPr>
                <w:rFonts w:ascii="Calibri" w:hAnsi="Calibri"/>
                <w:i/>
                <w:color w:val="101828"/>
                <w:sz w:val="14"/>
              </w:rPr>
              <w:t>You can ask for a release, but AJO.ng decides when money moves, and only in full.</w:t>
            </w:r>
          </w:p>
        </w:tc>
        <w:tc>
          <w:tcPr>
            <w:tcW w:type="dxa" w:w="2491"/>
            <w:tcMar>
              <w:top w:w="60" w:type="dxa"/>
              <w:start w:w="110" w:type="dxa"/>
              <w:bottom w:w="60" w:type="dxa"/>
              <w:end w:w="110" w:type="dxa"/>
            </w:tcMar>
          </w:tcPr>
          <w:p>
            <w:pPr>
              <w:spacing w:after="0"/>
            </w:pPr>
            <w:r/>
            <w:r>
              <w:rPr>
                <w:rFonts w:ascii="Calibri" w:hAnsi="Calibri"/>
                <w:b w:val="0"/>
                <w:i w:val="0"/>
                <w:color w:val="101828"/>
                <w:sz w:val="14"/>
              </w:rPr>
              <w:t>None needed. The refusal is the correct behaviour. BR-008, FR-POUT-005, CAN §2, EC-078, EC-147, EC-128.</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recipient is overseas or the account cannot receive a local disbursement</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The payout is HELD rather than sent to a third party or a different account. Diaspora participation is out of MVP scope by design.</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SCR-APP-10</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We cannot pay this destination yet. Your position is safe and your money is held for you.</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Provide a supported own-name destination, or wait. C-07, A-11, EC-049.</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round completes but some members have not yet seen the notification</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financial record is written by the system, not by the notification. Notifications are idempotent per event instance and are re-driven until confirmed or exhausted.</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SCR-APP-12</w:t>
            </w:r>
          </w:p>
        </w:tc>
        <w:tc>
          <w:tcPr>
            <w:tcW w:type="dxa" w:w="1944"/>
            <w:tcMar>
              <w:top w:w="60" w:type="dxa"/>
              <w:start w:w="110" w:type="dxa"/>
              <w:bottom w:w="60" w:type="dxa"/>
              <w:end w:w="110" w:type="dxa"/>
            </w:tcMar>
          </w:tcPr>
          <w:p>
            <w:pPr>
              <w:spacing w:after="0"/>
            </w:pPr>
            <w:r/>
            <w:r>
              <w:rPr>
                <w:rFonts w:ascii="Calibri" w:hAnsi="Calibri"/>
                <w:b w:val="0"/>
                <w:i w:val="0"/>
                <w:color w:val="101828"/>
                <w:sz w:val="14"/>
              </w:rPr>
              <w:t>The member sees the payout in the app and in the statement even if every push, email and SMS was lost.</w:t>
            </w:r>
          </w:p>
        </w:tc>
        <w:tc>
          <w:tcPr>
            <w:tcW w:type="dxa" w:w="2491"/>
            <w:tcMar>
              <w:top w:w="60" w:type="dxa"/>
              <w:start w:w="110" w:type="dxa"/>
              <w:bottom w:w="60" w:type="dxa"/>
              <w:end w:w="110" w:type="dxa"/>
            </w:tcMar>
          </w:tcPr>
          <w:p>
            <w:pPr>
              <w:spacing w:after="0"/>
            </w:pPr>
            <w:r/>
            <w:r>
              <w:rPr>
                <w:rFonts w:ascii="Calibri" w:hAnsi="Calibri"/>
                <w:b w:val="0"/>
                <w:i w:val="0"/>
                <w:color w:val="101828"/>
                <w:sz w:val="14"/>
              </w:rPr>
              <w:t>Notification re-drive and a support-swept list, FR-NOTIF-004, EC-069.</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A completed Ajo is opened again months later</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Terminal states are terminal for events, but not for reading. The full round history, all receipts and the downloadable statement remain available for the whole retention period.</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SCR-APP-05 / SCR-APP-11</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This Ajo completed on DATE. Here is everything that happened.</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Download the statement. BR-009, FR-TXN-004, G10, US-38, EC-064.</w:t>
            </w:r>
          </w:p>
        </w:tc>
      </w:tr>
    </w:tbl>
    <w:p>
      <w:pPr>
        <w:spacing w:after="80"/>
      </w:pPr>
    </w:p>
    <w:p>
      <w:r>
        <w:br w:type="page"/>
      </w:r>
    </w:p>
    <w:p>
      <w:pPr>
        <w:pStyle w:val="Heading2"/>
      </w:pPr>
      <w:r>
        <w:rPr>
          <w:rFonts w:ascii="Calibri" w:hAnsi="Calibri"/>
          <w:b/>
          <w:i w:val="0"/>
          <w:color w:val="146EF5"/>
          <w:sz w:val="29"/>
        </w:rPr>
        <w:t>2.6 Default: due date to recovery</w:t>
      </w:r>
    </w:p>
    <w:p>
      <w:pPr>
        <w:pStyle w:val="Heading3"/>
      </w:pPr>
      <w:r>
        <w:rPr>
          <w:rFonts w:ascii="Calibri" w:hAnsi="Calibri"/>
          <w:b/>
          <w:i w:val="0"/>
          <w:color w:val="0B1F3A"/>
          <w:sz w:val="24"/>
        </w:rPr>
        <w:t>2.6.1 Purpose</w:t>
      </w:r>
    </w:p>
    <w:p>
      <w:r>
        <w:rPr>
          <w:rFonts w:ascii="Calibri" w:hAnsi="Calibri"/>
          <w:b w:val="0"/>
          <w:i w:val="0"/>
          <w:color w:val="101828"/>
          <w:sz w:val="21"/>
        </w:rPr>
        <w:t>A missed payment is the most common failure in an Ajo and the one most likely to destroy the product if handled badly. This flow implements the fixed sequence from CANONICAL.md and nothing else: reminder, retry if supported, 48-hour grace, organiser notified, member contacted, payment or default recorded, recovery process. No step is skipped, no default is recorded before the grace elapses, no other member is charged extra, and no member other than the three parties ever learns that a default happened (BR-014, BR-015, BR-016, G5).</w:t>
      </w:r>
    </w:p>
    <w:p>
      <w:pPr>
        <w:pStyle w:val="Heading3"/>
      </w:pPr>
      <w:r>
        <w:rPr>
          <w:rFonts w:ascii="Calibri" w:hAnsi="Calibri"/>
          <w:b/>
          <w:i w:val="0"/>
          <w:color w:val="0B1F3A"/>
          <w:sz w:val="24"/>
        </w:rPr>
        <w:t>2.6.2 Swimlane</w:t>
      </w:r>
    </w:p>
    <w:p>
      <w:pPr>
        <w:spacing w:before="0" w:after="0" w:line="240" w:lineRule="auto"/>
        <w:ind w:left="230"/>
        <w:shd w:val="clear" w:color="auto" w:fill="F7F9FC"/>
        <w:pBdr>
          <w:left w:val="single" w:sz="4" w:space="6" w:color="D0D5DD"/>
        </w:pBdr>
      </w:pPr>
      <w:r>
        <w:rPr>
          <w:rFonts w:ascii="Consolas" w:hAnsi="Consolas"/>
          <w:color w:val="0B1F3A"/>
          <w:sz w:val="16"/>
        </w:rPr>
        <w:t>CLOCK          MEMBER                ORGANISER           RISK        LEDGER</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due time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contribution.overdue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(push, email, SMS)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PENDING -&gt; OVERDUE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+0h        |  "Pay now" is the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primary action;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the full sequence,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the 48h clock and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"others are NOT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charged extra"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are shown BEFORE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the due date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+48h       |  OVERDUE -&gt; GRACE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contribution.grace_ended (push, email)|</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"This member is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in default on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round R. Your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options are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below."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+48h and   |  member contacted    |  member contacted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still unpaid|  (support outreach) |  by support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OVERDUE/GRACE -&gt;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DEFAULTED          |  member.defaulted|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(push, email)      |  (push, email)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risk_events row    |  risk_events row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recovery   |  pay later -&gt; RECOVERED -&gt; PAID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POST /contributions/:id/retry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OR formal replacement request (flow 2.10)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OR risk officer writes off with recorded approver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-&gt; WRITTEN_OFF</w:t>
      </w:r>
    </w:p>
    <w:p>
      <w:pPr>
        <w:spacing w:before="0" w:after="0" w:line="240" w:lineRule="auto"/>
        <w:ind w:left="230"/>
        <w:shd w:val="clear" w:color="auto" w:fill="F7F9FC"/>
        <w:pBdr>
          <w:left w:val="single" w:sz="4" w:space="6" w:color="D0D5DD"/>
        </w:pBdr>
      </w:pPr>
      <w:r>
        <w:rPr>
          <w:rFonts w:ascii="Consolas" w:hAnsi="Consolas"/>
          <w:color w:val="0B1F3A"/>
          <w:sz w:val="16"/>
        </w:rPr>
        <w:t xml:space="preserve">   |  NO other member is charged extra. NO member-visible feed names</w:t>
      </w:r>
    </w:p>
    <w:p>
      <w:pPr>
        <w:spacing w:before="0" w:after="0" w:line="240" w:lineRule="auto"/>
        <w:ind w:left="230"/>
        <w:shd w:val="clear" w:color="auto" w:fill="F7F9FC"/>
        <w:pBdr>
          <w:left w:val="single" w:sz="4" w:space="6" w:color="D0D5DD"/>
        </w:pBdr>
      </w:pPr>
      <w:r>
        <w:rPr>
          <w:rFonts w:ascii="Consolas" w:hAnsi="Consolas"/>
          <w:color w:val="0B1F3A"/>
          <w:sz w:val="16"/>
        </w:rPr>
        <w:t xml:space="preserve">   |  the defaulting member. Ever.                                    |</w:t>
      </w:r>
    </w:p>
    <w:p>
      <w:pPr>
        <w:pStyle w:val="Heading3"/>
      </w:pPr>
      <w:r>
        <w:rPr>
          <w:rFonts w:ascii="Calibri" w:hAnsi="Calibri"/>
          <w:b/>
          <w:i w:val="0"/>
          <w:color w:val="0B1F3A"/>
          <w:sz w:val="24"/>
        </w:rPr>
        <w:t>2.6.3 Step detail</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706"/>
            <w:shd w:val="clear" w:color="auto" w:fill="0B1F3A"/>
            <w:tcMar>
              <w:top w:w="60" w:type="dxa"/>
              <w:start w:w="110" w:type="dxa"/>
              <w:bottom w:w="60" w:type="dxa"/>
              <w:end w:w="110" w:type="dxa"/>
            </w:tcMar>
          </w:tcPr>
          <w:p>
            <w:pPr>
              <w:spacing w:after="0"/>
            </w:pPr>
            <w:r/>
            <w:r>
              <w:rPr>
                <w:rFonts w:ascii="Calibri" w:hAnsi="Calibri"/>
                <w:b/>
                <w:i w:val="0"/>
                <w:color w:val="FFFFFF"/>
                <w:sz w:val="14"/>
              </w:rPr>
              <w:t>Step</w:t>
            </w:r>
          </w:p>
        </w:tc>
        <w:tc>
          <w:tcPr>
            <w:tcW w:type="dxa" w:w="1123"/>
            <w:shd w:val="clear" w:color="auto" w:fill="0B1F3A"/>
            <w:tcMar>
              <w:top w:w="60" w:type="dxa"/>
              <w:start w:w="110" w:type="dxa"/>
              <w:bottom w:w="60" w:type="dxa"/>
              <w:end w:w="110" w:type="dxa"/>
            </w:tcMar>
          </w:tcPr>
          <w:p>
            <w:pPr>
              <w:spacing w:after="0"/>
            </w:pPr>
            <w:r/>
            <w:r>
              <w:rPr>
                <w:rFonts w:ascii="Calibri" w:hAnsi="Calibri"/>
                <w:b/>
                <w:i w:val="0"/>
                <w:color w:val="FFFFFF"/>
                <w:sz w:val="14"/>
              </w:rPr>
              <w:t>Actor</w:t>
            </w:r>
          </w:p>
        </w:tc>
        <w:tc>
          <w:tcPr>
            <w:tcW w:type="dxa" w:w="1210"/>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2030"/>
            <w:shd w:val="clear" w:color="auto" w:fill="0B1F3A"/>
            <w:tcMar>
              <w:top w:w="60" w:type="dxa"/>
              <w:start w:w="110" w:type="dxa"/>
              <w:bottom w:w="60" w:type="dxa"/>
              <w:end w:w="110" w:type="dxa"/>
            </w:tcMar>
          </w:tcPr>
          <w:p>
            <w:pPr>
              <w:spacing w:after="0"/>
            </w:pPr>
            <w:r/>
            <w:r>
              <w:rPr>
                <w:rFonts w:ascii="Calibri" w:hAnsi="Calibri"/>
                <w:b/>
                <w:i w:val="0"/>
                <w:color w:val="FFFFFF"/>
                <w:sz w:val="14"/>
              </w:rPr>
              <w:t>Action</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4"/>
              </w:rPr>
              <w:t>System response</w:t>
            </w:r>
          </w:p>
        </w:tc>
        <w:tc>
          <w:tcPr>
            <w:tcW w:type="dxa" w:w="1411"/>
            <w:shd w:val="clear" w:color="auto" w:fill="0B1F3A"/>
            <w:tcMar>
              <w:top w:w="60" w:type="dxa"/>
              <w:start w:w="110" w:type="dxa"/>
              <w:bottom w:w="60" w:type="dxa"/>
              <w:end w:w="110" w:type="dxa"/>
            </w:tcMar>
          </w:tcPr>
          <w:p>
            <w:pPr>
              <w:spacing w:after="0"/>
            </w:pPr>
            <w:r/>
            <w:r>
              <w:rPr>
                <w:rFonts w:ascii="Calibri" w:hAnsi="Calibri"/>
                <w:b/>
                <w:i w:val="0"/>
                <w:color w:val="FFFFFF"/>
                <w:sz w:val="14"/>
              </w:rPr>
              <w:t>Rule ref</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2.6.1</w:t>
            </w:r>
          </w:p>
        </w:tc>
        <w:tc>
          <w:tcPr>
            <w:tcW w:type="dxa" w:w="1123"/>
            <w:tcMar>
              <w:top w:w="60" w:type="dxa"/>
              <w:start w:w="110" w:type="dxa"/>
              <w:bottom w:w="60" w:type="dxa"/>
              <w:end w:w="110" w:type="dxa"/>
            </w:tcMar>
          </w:tcPr>
          <w:p>
            <w:pPr>
              <w:spacing w:after="0"/>
            </w:pPr>
            <w:r/>
            <w:r>
              <w:rPr>
                <w:rFonts w:ascii="Calibri" w:hAnsi="Calibri"/>
                <w:b w:val="0"/>
                <w:i w:val="0"/>
                <w:color w:val="101828"/>
                <w:sz w:val="14"/>
              </w:rPr>
              <w:t>Member</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SCR-APP-08</w:t>
            </w:r>
          </w:p>
        </w:tc>
        <w:tc>
          <w:tcPr>
            <w:tcW w:type="dxa" w:w="2030"/>
            <w:tcMar>
              <w:top w:w="60" w:type="dxa"/>
              <w:start w:w="110" w:type="dxa"/>
              <w:bottom w:w="60" w:type="dxa"/>
              <w:end w:w="110" w:type="dxa"/>
            </w:tcMar>
          </w:tcPr>
          <w:p>
            <w:pPr>
              <w:spacing w:after="0"/>
            </w:pPr>
            <w:r/>
            <w:r>
              <w:rPr>
                <w:rFonts w:ascii="Calibri" w:hAnsi="Calibri"/>
                <w:b w:val="0"/>
                <w:i w:val="0"/>
                <w:color w:val="101828"/>
                <w:sz w:val="14"/>
              </w:rPr>
              <w:t>Reads, before the due date, exactly what will happen if they cannot pay.</w:t>
            </w:r>
          </w:p>
        </w:tc>
        <w:tc>
          <w:tcPr>
            <w:tcW w:type="dxa" w:w="2880"/>
            <w:tcMar>
              <w:top w:w="60" w:type="dxa"/>
              <w:start w:w="110" w:type="dxa"/>
              <w:bottom w:w="60" w:type="dxa"/>
              <w:end w:w="110" w:type="dxa"/>
            </w:tcMar>
          </w:tcPr>
          <w:p>
            <w:pPr>
              <w:spacing w:after="0"/>
            </w:pPr>
            <w:r/>
            <w:r>
              <w:rPr>
                <w:rFonts w:ascii="Calibri" w:hAnsi="Calibri"/>
                <w:b w:val="0"/>
                <w:i w:val="0"/>
                <w:color w:val="101828"/>
                <w:sz w:val="14"/>
              </w:rPr>
              <w:t>The contribution detail shows the state sequence, the 48-hour grace, the recovery options, and the explicit statement that other members will not be charged extra because of them. This is shown proactively, not after the fact.</w:t>
            </w:r>
          </w:p>
        </w:tc>
        <w:tc>
          <w:tcPr>
            <w:tcW w:type="dxa" w:w="1411"/>
            <w:tcMar>
              <w:top w:w="60" w:type="dxa"/>
              <w:start w:w="110" w:type="dxa"/>
              <w:bottom w:w="60" w:type="dxa"/>
              <w:end w:w="110" w:type="dxa"/>
            </w:tcMar>
          </w:tcPr>
          <w:p>
            <w:pPr>
              <w:spacing w:after="0"/>
            </w:pPr>
            <w:r/>
            <w:r>
              <w:rPr>
                <w:rFonts w:ascii="Calibri" w:hAnsi="Calibri"/>
                <w:b w:val="0"/>
                <w:i w:val="0"/>
                <w:color w:val="101828"/>
                <w:sz w:val="14"/>
              </w:rPr>
              <w:t>FR-DEF-002, US-32, N9, G5</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2.6.2</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System</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SCR-APP-12</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At the due time, marks the contribution OVERDUE and sends </w:t>
            </w:r>
            <w:r>
              <w:rPr>
                <w:rFonts w:ascii="Consolas" w:hAnsi="Consolas"/>
                <w:color w:val="146EF5"/>
                <w:sz w:val="14"/>
              </w:rPr>
              <w:t>contribution.overdue</w:t>
            </w:r>
            <w:r>
              <w:rPr>
                <w:rFonts w:ascii="Calibri" w:hAnsi="Calibri"/>
                <w:b w:val="0"/>
                <w:i w:val="0"/>
                <w:color w:val="101828"/>
                <w:sz w:val="14"/>
              </w:rPr>
              <w:t>.</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Push, email and SMS to the member, because an overdue money event is money-critical. State transition recorded with actor, role, timestamp and both states.</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CAN §8, BR-016, NFR-AUD-001</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2.6.3</w:t>
            </w:r>
          </w:p>
        </w:tc>
        <w:tc>
          <w:tcPr>
            <w:tcW w:type="dxa" w:w="1123"/>
            <w:tcMar>
              <w:top w:w="60" w:type="dxa"/>
              <w:start w:w="110" w:type="dxa"/>
              <w:bottom w:w="60" w:type="dxa"/>
              <w:end w:w="110" w:type="dxa"/>
            </w:tcMar>
          </w:tcPr>
          <w:p>
            <w:pPr>
              <w:spacing w:after="0"/>
            </w:pPr>
            <w:r/>
            <w:r>
              <w:rPr>
                <w:rFonts w:ascii="Calibri" w:hAnsi="Calibri"/>
                <w:b w:val="0"/>
                <w:i w:val="0"/>
                <w:color w:val="101828"/>
                <w:sz w:val="14"/>
              </w:rPr>
              <w:t>System</w:t>
            </w:r>
          </w:p>
        </w:tc>
        <w:tc>
          <w:tcPr>
            <w:tcW w:type="dxa" w:w="1210"/>
            <w:tcMar>
              <w:top w:w="60" w:type="dxa"/>
              <w:start w:w="110" w:type="dxa"/>
              <w:bottom w:w="60" w:type="dxa"/>
              <w:end w:w="110" w:type="dxa"/>
            </w:tcMar>
          </w:tcPr>
          <w:p>
            <w:pPr>
              <w:spacing w:after="0"/>
            </w:pPr>
            <w:r/>
            <w:r>
              <w:rPr>
                <w:rFonts w:ascii="Calibri" w:hAnsi="Calibri"/>
                <w:b w:val="0"/>
                <w:i w:val="0"/>
                <w:color w:val="101828"/>
                <w:sz w:val="14"/>
              </w:rPr>
              <w:t>—</w:t>
            </w:r>
          </w:p>
        </w:tc>
        <w:tc>
          <w:tcPr>
            <w:tcW w:type="dxa" w:w="2030"/>
            <w:tcMar>
              <w:top w:w="60" w:type="dxa"/>
              <w:start w:w="110" w:type="dxa"/>
              <w:bottom w:w="60" w:type="dxa"/>
              <w:end w:w="110" w:type="dxa"/>
            </w:tcMar>
          </w:tcPr>
          <w:p>
            <w:pPr>
              <w:spacing w:after="0"/>
            </w:pPr>
            <w:r/>
            <w:r>
              <w:rPr>
                <w:rFonts w:ascii="Calibri" w:hAnsi="Calibri"/>
                <w:b w:val="0"/>
                <w:i w:val="0"/>
                <w:color w:val="101828"/>
                <w:sz w:val="14"/>
              </w:rPr>
              <w:t>Offers retry where the provider supports it.</w:t>
            </w:r>
          </w:p>
        </w:tc>
        <w:tc>
          <w:tcPr>
            <w:tcW w:type="dxa" w:w="2880"/>
            <w:tcMar>
              <w:top w:w="60" w:type="dxa"/>
              <w:start w:w="110" w:type="dxa"/>
              <w:bottom w:w="60" w:type="dxa"/>
              <w:end w:w="110" w:type="dxa"/>
            </w:tcMar>
          </w:tcPr>
          <w:p>
            <w:pPr>
              <w:spacing w:after="0"/>
            </w:pPr>
            <w:r/>
            <w:r>
              <w:rPr>
                <w:rFonts w:ascii="Consolas" w:hAnsi="Consolas"/>
                <w:color w:val="146EF5"/>
                <w:sz w:val="14"/>
              </w:rPr>
              <w:t>POST /contributions/:id/retry</w:t>
            </w:r>
            <w:r>
              <w:rPr>
                <w:rFonts w:ascii="Calibri" w:hAnsi="Calibri"/>
                <w:b w:val="0"/>
                <w:i w:val="0"/>
                <w:color w:val="101828"/>
                <w:sz w:val="14"/>
              </w:rPr>
              <w:t xml:space="preserve"> is offered inside the grace window and must not create a second obligation. The member is not re-charged without a fresh authorisation.</w:t>
            </w:r>
          </w:p>
        </w:tc>
        <w:tc>
          <w:tcPr>
            <w:tcW w:type="dxa" w:w="1411"/>
            <w:tcMar>
              <w:top w:w="60" w:type="dxa"/>
              <w:start w:w="110" w:type="dxa"/>
              <w:bottom w:w="60" w:type="dxa"/>
              <w:end w:w="110" w:type="dxa"/>
            </w:tcMar>
          </w:tcPr>
          <w:p>
            <w:pPr>
              <w:spacing w:after="0"/>
            </w:pPr>
            <w:r/>
            <w:r>
              <w:rPr>
                <w:rFonts w:ascii="Calibri" w:hAnsi="Calibri"/>
                <w:b w:val="0"/>
                <w:i w:val="0"/>
                <w:color w:val="101828"/>
                <w:sz w:val="14"/>
              </w:rPr>
              <w:t>FR-DEF-003, FR-PAY-008, BR-016</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2.6.4</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Member</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SCR-APP-08</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Attempts to pay during the grace window.</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The payment flow in 2.4 runs normally. On success the contribution returns to PAID, the organiser is never told a default occurred, and the round's funding progress recovers with no visible scar.</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FR-DEF-007, CAN §4</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2.6.5</w:t>
            </w:r>
          </w:p>
        </w:tc>
        <w:tc>
          <w:tcPr>
            <w:tcW w:type="dxa" w:w="1123"/>
            <w:tcMar>
              <w:top w:w="60" w:type="dxa"/>
              <w:start w:w="110" w:type="dxa"/>
              <w:bottom w:w="60" w:type="dxa"/>
              <w:end w:w="110" w:type="dxa"/>
            </w:tcMar>
          </w:tcPr>
          <w:p>
            <w:pPr>
              <w:spacing w:after="0"/>
            </w:pPr>
            <w:r/>
            <w:r>
              <w:rPr>
                <w:rFonts w:ascii="Calibri" w:hAnsi="Calibri"/>
                <w:b w:val="0"/>
                <w:i w:val="0"/>
                <w:color w:val="101828"/>
                <w:sz w:val="14"/>
              </w:rPr>
              <w:t>System</w:t>
            </w:r>
          </w:p>
        </w:tc>
        <w:tc>
          <w:tcPr>
            <w:tcW w:type="dxa" w:w="1210"/>
            <w:tcMar>
              <w:top w:w="60" w:type="dxa"/>
              <w:start w:w="110" w:type="dxa"/>
              <w:bottom w:w="60" w:type="dxa"/>
              <w:end w:w="110" w:type="dxa"/>
            </w:tcMar>
          </w:tcPr>
          <w:p>
            <w:pPr>
              <w:spacing w:after="0"/>
            </w:pPr>
            <w:r/>
            <w:r>
              <w:rPr>
                <w:rFonts w:ascii="Calibri" w:hAnsi="Calibri"/>
                <w:b w:val="0"/>
                <w:i w:val="0"/>
                <w:color w:val="101828"/>
                <w:sz w:val="14"/>
              </w:rPr>
              <w:t>—</w:t>
            </w:r>
          </w:p>
        </w:tc>
        <w:tc>
          <w:tcPr>
            <w:tcW w:type="dxa" w:w="2030"/>
            <w:tcMar>
              <w:top w:w="60" w:type="dxa"/>
              <w:start w:w="110" w:type="dxa"/>
              <w:bottom w:w="60" w:type="dxa"/>
              <w:end w:w="110" w:type="dxa"/>
            </w:tcMar>
          </w:tcPr>
          <w:p>
            <w:pPr>
              <w:spacing w:after="0"/>
            </w:pPr>
            <w:r/>
            <w:r>
              <w:rPr>
                <w:rFonts w:ascii="Calibri" w:hAnsi="Calibri"/>
                <w:b w:val="0"/>
                <w:i w:val="0"/>
                <w:color w:val="101828"/>
                <w:sz w:val="14"/>
              </w:rPr>
              <w:t>At 48 hours, moves the contribution to GRACE and ends grace.</w:t>
            </w:r>
          </w:p>
        </w:tc>
        <w:tc>
          <w:tcPr>
            <w:tcW w:type="dxa" w:w="2880"/>
            <w:tcMar>
              <w:top w:w="60" w:type="dxa"/>
              <w:start w:w="110" w:type="dxa"/>
              <w:bottom w:w="60" w:type="dxa"/>
              <w:end w:w="110" w:type="dxa"/>
            </w:tcMar>
          </w:tcPr>
          <w:p>
            <w:pPr>
              <w:spacing w:after="0"/>
            </w:pPr>
            <w:r/>
            <w:r>
              <w:rPr>
                <w:rFonts w:ascii="Calibri" w:hAnsi="Calibri"/>
                <w:b w:val="0"/>
                <w:i w:val="0"/>
                <w:color w:val="101828"/>
                <w:sz w:val="14"/>
              </w:rPr>
              <w:t>No default may be recorded before the grace period elapses. The clock is computed in UTC from the recorded due timestamp, never from a client-supplied time.</w:t>
            </w:r>
          </w:p>
        </w:tc>
        <w:tc>
          <w:tcPr>
            <w:tcW w:type="dxa" w:w="1411"/>
            <w:tcMar>
              <w:top w:w="60" w:type="dxa"/>
              <w:start w:w="110" w:type="dxa"/>
              <w:bottom w:w="60" w:type="dxa"/>
              <w:end w:w="110" w:type="dxa"/>
            </w:tcMar>
          </w:tcPr>
          <w:p>
            <w:pPr>
              <w:spacing w:after="0"/>
            </w:pPr>
            <w:r/>
            <w:r>
              <w:rPr>
                <w:rFonts w:ascii="Calibri" w:hAnsi="Calibri"/>
                <w:b w:val="0"/>
                <w:i w:val="0"/>
                <w:color w:val="101828"/>
                <w:sz w:val="14"/>
              </w:rPr>
              <w:t>BR-016, NFR-LOC-003, EC-012, EC-031</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2.6.6</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System</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SCR-APP-12</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Sends </w:t>
            </w:r>
            <w:r>
              <w:rPr>
                <w:rFonts w:ascii="Consolas" w:hAnsi="Consolas"/>
                <w:color w:val="146EF5"/>
                <w:sz w:val="14"/>
              </w:rPr>
              <w:t>contribution.grace_ended</w:t>
            </w:r>
            <w:r>
              <w:rPr>
                <w:rFonts w:ascii="Calibri" w:hAnsi="Calibri"/>
                <w:b w:val="0"/>
                <w:i w:val="0"/>
                <w:color w:val="101828"/>
                <w:sz w:val="14"/>
              </w:rPr>
              <w:t xml:space="preserve"> to the organiser after 48 hours.</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Push and email, not SMS, because this is a money event for a third party rather than for the member. The notification names the round, the amount and the organiser's options.</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CAN §8, FR-DEF-004, US-34</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2.6.7</w:t>
            </w:r>
          </w:p>
        </w:tc>
        <w:tc>
          <w:tcPr>
            <w:tcW w:type="dxa" w:w="1123"/>
            <w:tcMar>
              <w:top w:w="60" w:type="dxa"/>
              <w:start w:w="110" w:type="dxa"/>
              <w:bottom w:w="60" w:type="dxa"/>
              <w:end w:w="110" w:type="dxa"/>
            </w:tcMar>
          </w:tcPr>
          <w:p>
            <w:pPr>
              <w:spacing w:after="0"/>
            </w:pPr>
            <w:r/>
            <w:r>
              <w:rPr>
                <w:rFonts w:ascii="Calibri" w:hAnsi="Calibri"/>
                <w:b w:val="0"/>
                <w:i w:val="0"/>
                <w:color w:val="101828"/>
                <w:sz w:val="14"/>
              </w:rPr>
              <w:t>Support</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SCR-APP-13</w:t>
            </w:r>
          </w:p>
        </w:tc>
        <w:tc>
          <w:tcPr>
            <w:tcW w:type="dxa" w:w="2030"/>
            <w:tcMar>
              <w:top w:w="60" w:type="dxa"/>
              <w:start w:w="110" w:type="dxa"/>
              <w:bottom w:w="60" w:type="dxa"/>
              <w:end w:w="110" w:type="dxa"/>
            </w:tcMar>
          </w:tcPr>
          <w:p>
            <w:pPr>
              <w:spacing w:after="0"/>
            </w:pPr>
            <w:r/>
            <w:r>
              <w:rPr>
                <w:rFonts w:ascii="Calibri" w:hAnsi="Calibri"/>
                <w:b w:val="0"/>
                <w:i w:val="0"/>
                <w:color w:val="101828"/>
                <w:sz w:val="14"/>
              </w:rPr>
              <w:t>Contacts the member privately.</w:t>
            </w:r>
          </w:p>
        </w:tc>
        <w:tc>
          <w:tcPr>
            <w:tcW w:type="dxa" w:w="2880"/>
            <w:tcMar>
              <w:top w:w="60" w:type="dxa"/>
              <w:start w:w="110" w:type="dxa"/>
              <w:bottom w:w="60" w:type="dxa"/>
              <w:end w:w="110" w:type="dxa"/>
            </w:tcMar>
          </w:tcPr>
          <w:p>
            <w:pPr>
              <w:spacing w:after="0"/>
            </w:pPr>
            <w:r/>
            <w:r>
              <w:rPr>
                <w:rFonts w:ascii="Calibri" w:hAnsi="Calibri"/>
                <w:b w:val="0"/>
                <w:i w:val="0"/>
                <w:color w:val="101828"/>
                <w:sz w:val="14"/>
              </w:rPr>
              <w:t>The member is contacted directly, not through the group. Support can read everything and assist; support cannot move money, change a balance or override a risk decision.</w:t>
            </w:r>
          </w:p>
        </w:tc>
        <w:tc>
          <w:tcPr>
            <w:tcW w:type="dxa" w:w="1411"/>
            <w:tcMar>
              <w:top w:w="60" w:type="dxa"/>
              <w:start w:w="110" w:type="dxa"/>
              <w:bottom w:w="60" w:type="dxa"/>
              <w:end w:w="110" w:type="dxa"/>
            </w:tcMar>
          </w:tcPr>
          <w:p>
            <w:pPr>
              <w:spacing w:after="0"/>
            </w:pPr>
            <w:r/>
            <w:r>
              <w:rPr>
                <w:rFonts w:ascii="Calibri" w:hAnsi="Calibri"/>
                <w:b w:val="0"/>
                <w:i w:val="0"/>
                <w:color w:val="101828"/>
                <w:sz w:val="14"/>
              </w:rPr>
              <w:t>CAN §2, BR-023, FR-ADM-004, BR-016</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2.6.8</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System</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If payment or an agreed arrangement is not made, records the contribution as DEFAULTED and raises a </w:t>
            </w:r>
            <w:r>
              <w:rPr>
                <w:rFonts w:ascii="Consolas" w:hAnsi="Consolas"/>
                <w:color w:val="146EF5"/>
                <w:sz w:val="14"/>
              </w:rPr>
              <w:t>risk_events</w:t>
            </w:r>
            <w:r>
              <w:rPr>
                <w:rFonts w:ascii="Calibri" w:hAnsi="Calibri"/>
                <w:b w:val="0"/>
                <w:i w:val="0"/>
                <w:color w:val="101828"/>
                <w:sz w:val="14"/>
              </w:rPr>
              <w:t xml:space="preserve"> row.</w:t>
            </w:r>
          </w:p>
        </w:tc>
        <w:tc>
          <w:tcPr>
            <w:tcW w:type="dxa" w:w="2880"/>
            <w:tcMar>
              <w:top w:w="60" w:type="dxa"/>
              <w:start w:w="110" w:type="dxa"/>
              <w:bottom w:w="60" w:type="dxa"/>
              <w:end w:w="110" w:type="dxa"/>
            </w:tcMar>
            <w:shd w:val="clear" w:color="auto" w:fill="F4F7FB"/>
          </w:tcPr>
          <w:p>
            <w:pPr>
              <w:spacing w:after="0"/>
            </w:pPr>
            <w:r/>
            <w:r>
              <w:rPr>
                <w:rFonts w:ascii="Consolas" w:hAnsi="Consolas"/>
                <w:color w:val="146EF5"/>
                <w:sz w:val="14"/>
              </w:rPr>
              <w:t>contribution</w:t>
            </w:r>
            <w:r>
              <w:rPr>
                <w:rFonts w:ascii="Calibri" w:hAnsi="Calibri"/>
                <w:b w:val="0"/>
                <w:i w:val="0"/>
                <w:color w:val="101828"/>
                <w:sz w:val="14"/>
              </w:rPr>
              <w:t xml:space="preserve"> moves to DEFAULTED. </w:t>
            </w:r>
            <w:r>
              <w:rPr>
                <w:rFonts w:ascii="Consolas" w:hAnsi="Consolas"/>
                <w:color w:val="146EF5"/>
                <w:sz w:val="14"/>
              </w:rPr>
              <w:t>member.defaulted</w:t>
            </w:r>
            <w:r>
              <w:rPr>
                <w:rFonts w:ascii="Calibri" w:hAnsi="Calibri"/>
                <w:b w:val="0"/>
                <w:i w:val="0"/>
                <w:color w:val="101828"/>
                <w:sz w:val="14"/>
              </w:rPr>
              <w:t xml:space="preserve"> goes to the organiser on push and email. The risk event carries the rule, the evidence and the amount. No member-visible surface contains the default.</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FR-DEF-005, BR-014, BR-016, US-32, US-33, NFR-AUD-003</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2.6.9</w:t>
            </w:r>
          </w:p>
        </w:tc>
        <w:tc>
          <w:tcPr>
            <w:tcW w:type="dxa" w:w="1123"/>
            <w:tcMar>
              <w:top w:w="60" w:type="dxa"/>
              <w:start w:w="110" w:type="dxa"/>
              <w:bottom w:w="60" w:type="dxa"/>
              <w:end w:w="110" w:type="dxa"/>
            </w:tcMar>
          </w:tcPr>
          <w:p>
            <w:pPr>
              <w:spacing w:after="0"/>
            </w:pPr>
            <w:r/>
            <w:r>
              <w:rPr>
                <w:rFonts w:ascii="Calibri" w:hAnsi="Calibri"/>
                <w:b w:val="0"/>
                <w:i w:val="0"/>
                <w:color w:val="101828"/>
                <w:sz w:val="14"/>
              </w:rPr>
              <w:t>Organiser</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SCR-APP-05</w:t>
            </w:r>
          </w:p>
        </w:tc>
        <w:tc>
          <w:tcPr>
            <w:tcW w:type="dxa" w:w="2030"/>
            <w:tcMar>
              <w:top w:w="60" w:type="dxa"/>
              <w:start w:w="110" w:type="dxa"/>
              <w:bottom w:w="60" w:type="dxa"/>
              <w:end w:w="110" w:type="dxa"/>
            </w:tcMar>
          </w:tcPr>
          <w:p>
            <w:pPr>
              <w:spacing w:after="0"/>
            </w:pPr>
            <w:r/>
            <w:r>
              <w:rPr>
                <w:rFonts w:ascii="Calibri" w:hAnsi="Calibri"/>
                <w:b w:val="0"/>
                <w:i w:val="0"/>
                <w:color w:val="101828"/>
                <w:sz w:val="14"/>
              </w:rPr>
              <w:t>Sees the default, the member's remaining balance and the recovery options.</w:t>
            </w:r>
          </w:p>
        </w:tc>
        <w:tc>
          <w:tcPr>
            <w:tcW w:type="dxa" w:w="2880"/>
            <w:tcMar>
              <w:top w:w="60" w:type="dxa"/>
              <w:start w:w="110" w:type="dxa"/>
              <w:bottom w:w="60" w:type="dxa"/>
              <w:end w:w="110" w:type="dxa"/>
            </w:tcMar>
          </w:tcPr>
          <w:p>
            <w:pPr>
              <w:spacing w:after="0"/>
            </w:pPr>
            <w:r/>
            <w:r>
              <w:rPr>
                <w:rFonts w:ascii="Calibri" w:hAnsi="Calibri"/>
                <w:b w:val="0"/>
                <w:i w:val="0"/>
                <w:color w:val="101828"/>
                <w:sz w:val="14"/>
              </w:rPr>
              <w:t>The organiser console shows outstanding amounts and the documented options: await payment, agree a formal replacement, or escalate to platform risk. The organiser cannot write the debt off, cannot charge other members, and cannot remove a member from an active Ajo.</w:t>
            </w:r>
          </w:p>
        </w:tc>
        <w:tc>
          <w:tcPr>
            <w:tcW w:type="dxa" w:w="1411"/>
            <w:tcMar>
              <w:top w:w="60" w:type="dxa"/>
              <w:start w:w="110" w:type="dxa"/>
              <w:bottom w:w="60" w:type="dxa"/>
              <w:end w:w="110" w:type="dxa"/>
            </w:tcMar>
          </w:tcPr>
          <w:p>
            <w:pPr>
              <w:spacing w:after="0"/>
            </w:pPr>
            <w:r/>
            <w:r>
              <w:rPr>
                <w:rFonts w:ascii="Calibri" w:hAnsi="Calibri"/>
                <w:b w:val="0"/>
                <w:i w:val="0"/>
                <w:color w:val="101828"/>
                <w:sz w:val="14"/>
              </w:rPr>
              <w:t>FR-MEM-004, BR-008, BR-015, CAN §2</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2.6.10</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Risk officer</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SCR-ADM-05</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Reviews defaults that breach a configurable threshold.</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Default rate per Ajo, per organiser and per member is measurable in admin reporting and triggers risk review at a configured threshold. An organiser running an abnormal pattern is a risk signal, not a member-facing event.</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FR-DEF-009, FR-ADM-005, R4, R12, D-08</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2.6.11</w:t>
            </w:r>
          </w:p>
        </w:tc>
        <w:tc>
          <w:tcPr>
            <w:tcW w:type="dxa" w:w="1123"/>
            <w:tcMar>
              <w:top w:w="60" w:type="dxa"/>
              <w:start w:w="110" w:type="dxa"/>
              <w:bottom w:w="60" w:type="dxa"/>
              <w:end w:w="110" w:type="dxa"/>
            </w:tcMar>
          </w:tcPr>
          <w:p>
            <w:pPr>
              <w:spacing w:after="0"/>
            </w:pPr>
            <w:r/>
            <w:r>
              <w:rPr>
                <w:rFonts w:ascii="Calibri" w:hAnsi="Calibri"/>
                <w:b w:val="0"/>
                <w:i w:val="0"/>
                <w:color w:val="101828"/>
                <w:sz w:val="14"/>
              </w:rPr>
              <w:t>Member</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SCR-APP-08</w:t>
            </w:r>
          </w:p>
        </w:tc>
        <w:tc>
          <w:tcPr>
            <w:tcW w:type="dxa" w:w="2030"/>
            <w:tcMar>
              <w:top w:w="60" w:type="dxa"/>
              <w:start w:w="110" w:type="dxa"/>
              <w:bottom w:w="60" w:type="dxa"/>
              <w:end w:w="110" w:type="dxa"/>
            </w:tcMar>
          </w:tcPr>
          <w:p>
            <w:pPr>
              <w:spacing w:after="0"/>
            </w:pPr>
            <w:r/>
            <w:r>
              <w:rPr>
                <w:rFonts w:ascii="Calibri" w:hAnsi="Calibri"/>
                <w:b w:val="0"/>
                <w:i w:val="0"/>
                <w:color w:val="101828"/>
                <w:sz w:val="14"/>
              </w:rPr>
              <w:t>Recovers: pays later, or requests a formal replacement, or the obligation is written off by a risk officer.</w:t>
            </w:r>
          </w:p>
        </w:tc>
        <w:tc>
          <w:tcPr>
            <w:tcW w:type="dxa" w:w="2880"/>
            <w:tcMar>
              <w:top w:w="60" w:type="dxa"/>
              <w:start w:w="110" w:type="dxa"/>
              <w:bottom w:w="60" w:type="dxa"/>
              <w:end w:w="110" w:type="dxa"/>
            </w:tcMar>
          </w:tcPr>
          <w:p>
            <w:pPr>
              <w:spacing w:after="0"/>
            </w:pPr>
            <w:r/>
            <w:r>
              <w:rPr>
                <w:rFonts w:ascii="Calibri" w:hAnsi="Calibri"/>
                <w:b w:val="0"/>
                <w:i w:val="0"/>
                <w:color w:val="101828"/>
                <w:sz w:val="14"/>
              </w:rPr>
              <w:t>Recovery returns the contribution to PAID. A write-off moves it to WRITTEN_OFF with a recorded decision and approver. Both are recorded, and neither is a member-visible judgement.</w:t>
            </w:r>
          </w:p>
        </w:tc>
        <w:tc>
          <w:tcPr>
            <w:tcW w:type="dxa" w:w="1411"/>
            <w:tcMar>
              <w:top w:w="60" w:type="dxa"/>
              <w:start w:w="110" w:type="dxa"/>
              <w:bottom w:w="60" w:type="dxa"/>
              <w:end w:w="110" w:type="dxa"/>
            </w:tcMar>
          </w:tcPr>
          <w:p>
            <w:pPr>
              <w:spacing w:after="0"/>
            </w:pPr>
            <w:r/>
            <w:r>
              <w:rPr>
                <w:rFonts w:ascii="Calibri" w:hAnsi="Calibri"/>
                <w:b w:val="0"/>
                <w:i w:val="0"/>
                <w:color w:val="101828"/>
                <w:sz w:val="14"/>
              </w:rPr>
              <w:t>FR-DEF-007, FR-DEF-008, CAN §4, CAN §2, flow 2.10</w:t>
            </w:r>
          </w:p>
        </w:tc>
      </w:tr>
    </w:tbl>
    <w:p>
      <w:pPr>
        <w:spacing w:after="80"/>
      </w:pPr>
    </w:p>
    <w:p>
      <w:pPr>
        <w:pStyle w:val="Heading3"/>
      </w:pPr>
      <w:r>
        <w:rPr>
          <w:rFonts w:ascii="Calibri" w:hAnsi="Calibri"/>
          <w:b/>
          <w:i w:val="0"/>
          <w:color w:val="0B1F3A"/>
          <w:sz w:val="24"/>
        </w:rPr>
        <w:t>2.6.4 Happy path</w:t>
      </w:r>
    </w:p>
    <w:p>
      <w:r>
        <w:rPr>
          <w:rFonts w:ascii="Calibri" w:hAnsi="Calibri"/>
          <w:b w:val="0"/>
          <w:i w:val="0"/>
          <w:color w:val="101828"/>
          <w:sz w:val="21"/>
        </w:rPr>
        <w:t xml:space="preserve">Tunde's phone is down on the due date. The platform marks the contribution OVERDUE at the due time and sends </w:t>
      </w:r>
      <w:r>
        <w:rPr>
          <w:rFonts w:ascii="Consolas" w:hAnsi="Consolas"/>
          <w:color w:val="146EF5"/>
          <w:sz w:val="21"/>
        </w:rPr>
        <w:t>contribution.overdue</w:t>
      </w:r>
      <w:r>
        <w:rPr>
          <w:rFonts w:ascii="Calibri" w:hAnsi="Calibri"/>
          <w:b w:val="0"/>
          <w:i w:val="0"/>
          <w:color w:val="101828"/>
          <w:sz w:val="21"/>
        </w:rPr>
        <w:t xml:space="preserve"> on push, email and SMS. He already read, three days earlier, exactly what would happen: the sequence, the 48-hour grace, and the fact that nobody else would be charged for his miss. Within the grace window his phone comes back, he taps pay, the payment succeeds for NGN 1,020.00, the ledger posts NGN 1,000.00 to escrow and NGN 20.00 to fees_income, and the contribution returns to PAID. The organiser is never notified, because nothing was recorded as a default. The round closes on time and every other member is entirely unaware that anything happened. That is the design: the default flow is a safety net that is invisible when it is not needed.</w:t>
      </w:r>
    </w:p>
    <w:p>
      <w:pPr>
        <w:pStyle w:val="Heading3"/>
      </w:pPr>
      <w:r>
        <w:rPr>
          <w:rFonts w:ascii="Calibri" w:hAnsi="Calibri"/>
          <w:b/>
          <w:i w:val="0"/>
          <w:color w:val="0B1F3A"/>
          <w:sz w:val="24"/>
        </w:rPr>
        <w:t>2.6.5 Alternates and failure branches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42"/>
            <w:shd w:val="clear" w:color="auto" w:fill="0B1F3A"/>
            <w:tcMar>
              <w:top w:w="60" w:type="dxa"/>
              <w:start w:w="110" w:type="dxa"/>
              <w:bottom w:w="60" w:type="dxa"/>
              <w:end w:w="110" w:type="dxa"/>
            </w:tcMar>
          </w:tcPr>
          <w:p>
            <w:pPr>
              <w:spacing w:after="0"/>
            </w:pPr>
            <w:r/>
            <w:r>
              <w:rPr>
                <w:rFonts w:ascii="Calibri" w:hAnsi="Calibri"/>
                <w:b/>
                <w:i w:val="0"/>
                <w:color w:val="FFFFFF"/>
                <w:sz w:val="14"/>
              </w:rPr>
              <w:t>Condition</w:t>
            </w:r>
          </w:p>
        </w:tc>
        <w:tc>
          <w:tcPr>
            <w:tcW w:type="dxa" w:w="2146"/>
            <w:shd w:val="clear" w:color="auto" w:fill="0B1F3A"/>
            <w:tcMar>
              <w:top w:w="60" w:type="dxa"/>
              <w:start w:w="110" w:type="dxa"/>
              <w:bottom w:w="60" w:type="dxa"/>
              <w:end w:w="110" w:type="dxa"/>
            </w:tcMar>
          </w:tcPr>
          <w:p>
            <w:pPr>
              <w:spacing w:after="0"/>
            </w:pPr>
            <w:r/>
            <w:r>
              <w:rPr>
                <w:rFonts w:ascii="Calibri" w:hAnsi="Calibri"/>
                <w:b/>
                <w:i w:val="0"/>
                <w:color w:val="FFFFFF"/>
                <w:sz w:val="14"/>
              </w:rPr>
              <w:t>Branch</w:t>
            </w:r>
          </w:p>
        </w:tc>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4"/>
              </w:rPr>
              <w:t>Message</w:t>
            </w:r>
          </w:p>
        </w:tc>
        <w:tc>
          <w:tcPr>
            <w:tcW w:type="dxa" w:w="2491"/>
            <w:shd w:val="clear" w:color="auto" w:fill="0B1F3A"/>
            <w:tcMar>
              <w:top w:w="60" w:type="dxa"/>
              <w:start w:w="110" w:type="dxa"/>
              <w:bottom w:w="60" w:type="dxa"/>
              <w:end w:w="110" w:type="dxa"/>
            </w:tcMar>
          </w:tcPr>
          <w:p>
            <w:pPr>
              <w:spacing w:after="0"/>
            </w:pPr>
            <w:r/>
            <w:r>
              <w:rPr>
                <w:rFonts w:ascii="Calibri" w:hAnsi="Calibri"/>
                <w:b/>
                <w:i w:val="0"/>
                <w:color w:val="FFFFFF"/>
                <w:sz w:val="14"/>
              </w:rPr>
              <w:t>Recovery</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member pays after the grace period has elapsed but before a default is recorded</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payment is accepted, the contribution returns to PAID, and no default is recorded. The record shows the late payment, not a default.</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SCR-APP-08</w:t>
            </w:r>
          </w:p>
        </w:tc>
        <w:tc>
          <w:tcPr>
            <w:tcW w:type="dxa" w:w="1944"/>
            <w:tcMar>
              <w:top w:w="60" w:type="dxa"/>
              <w:start w:w="110" w:type="dxa"/>
              <w:bottom w:w="60" w:type="dxa"/>
              <w:end w:w="110" w:type="dxa"/>
            </w:tcMar>
          </w:tcPr>
          <w:p>
            <w:pPr>
              <w:spacing w:after="0"/>
            </w:pPr>
            <w:r/>
            <w:r>
              <w:rPr>
                <w:rFonts w:ascii="Calibri" w:hAnsi="Calibri"/>
                <w:i/>
                <w:color w:val="101828"/>
                <w:sz w:val="14"/>
              </w:rPr>
              <w:t>Paid, late. Nothing more is needed.</w:t>
            </w:r>
          </w:p>
        </w:tc>
        <w:tc>
          <w:tcPr>
            <w:tcW w:type="dxa" w:w="2491"/>
            <w:tcMar>
              <w:top w:w="60" w:type="dxa"/>
              <w:start w:w="110" w:type="dxa"/>
              <w:bottom w:w="60" w:type="dxa"/>
              <w:end w:w="110" w:type="dxa"/>
            </w:tcMar>
          </w:tcPr>
          <w:p>
            <w:pPr>
              <w:spacing w:after="0"/>
            </w:pPr>
            <w:r/>
            <w:r>
              <w:rPr>
                <w:rFonts w:ascii="Calibri" w:hAnsi="Calibri"/>
                <w:b w:val="0"/>
                <w:i w:val="0"/>
                <w:color w:val="101828"/>
                <w:sz w:val="14"/>
              </w:rPr>
              <w:t>None, EC-012.</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 pays after DEFAULTED has been recorded</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The contribution returns from DEFAULTED to PAID through the recovery path. The historical default record is retained; it is never deleted, only transitioned.</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SCR-APP-08</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Thank you. Your payment is recorded and your Ajo is back on track.</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None. FR-DEF-007, EC-015.</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A member defaults and the round can no longer be fully funded</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round does not pay a reduced pot. The payout goes to HELD, the shortfall is visible, and the recovery process engages.</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SCR-APP-10 / SCR-APP-05</w:t>
            </w:r>
          </w:p>
        </w:tc>
        <w:tc>
          <w:tcPr>
            <w:tcW w:type="dxa" w:w="1944"/>
            <w:tcMar>
              <w:top w:w="60" w:type="dxa"/>
              <w:start w:w="110" w:type="dxa"/>
              <w:bottom w:w="60" w:type="dxa"/>
              <w:end w:w="110" w:type="dxa"/>
            </w:tcMar>
          </w:tcPr>
          <w:p>
            <w:pPr>
              <w:spacing w:after="0"/>
            </w:pPr>
            <w:r/>
            <w:r>
              <w:rPr>
                <w:rFonts w:ascii="Calibri" w:hAnsi="Calibri"/>
                <w:i/>
                <w:color w:val="101828"/>
                <w:sz w:val="14"/>
              </w:rPr>
              <w:t>This round is NGN 1,000.00 short. We will not pay part of the pot. Here is what we are doing about it.</w:t>
            </w:r>
          </w:p>
        </w:tc>
        <w:tc>
          <w:tcPr>
            <w:tcW w:type="dxa" w:w="2491"/>
            <w:tcMar>
              <w:top w:w="60" w:type="dxa"/>
              <w:start w:w="110" w:type="dxa"/>
              <w:bottom w:w="60" w:type="dxa"/>
              <w:end w:w="110" w:type="dxa"/>
            </w:tcMar>
          </w:tcPr>
          <w:p>
            <w:pPr>
              <w:spacing w:after="0"/>
            </w:pPr>
            <w:r/>
            <w:r>
              <w:rPr>
                <w:rFonts w:ascii="Calibri" w:hAnsi="Calibri"/>
                <w:b w:val="0"/>
                <w:i w:val="0"/>
                <w:color w:val="101828"/>
                <w:sz w:val="14"/>
              </w:rPr>
              <w:t>Documented, consent-based recovery. No automatic top-up of other members, ever. BR-015, BR-018, EC-063.</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defaulting member cannot be reached at all</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The obligation stands. The organiser and platform risk continue the documented process. A replacement request becomes the realistic route.</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SCR-APP-05</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To the organiser: </w:t>
            </w:r>
            <w:r>
              <w:rPr>
                <w:rFonts w:ascii="Calibri" w:hAnsi="Calibri"/>
                <w:i/>
                <w:color w:val="101828"/>
                <w:sz w:val="14"/>
              </w:rPr>
              <w:t>We have tried SMS and phone. The documented options are a formal replacement or a risk decision.</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Replacement under flow 2.10, or a risk-officer decision with a recorded rationale. FR-DEF-008, EC-097.</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An organiser asks AJO.ng to tell other members who has not paid</w:t>
            </w:r>
          </w:p>
        </w:tc>
        <w:tc>
          <w:tcPr>
            <w:tcW w:type="dxa" w:w="2146"/>
            <w:tcMar>
              <w:top w:w="60" w:type="dxa"/>
              <w:start w:w="110" w:type="dxa"/>
              <w:bottom w:w="60" w:type="dxa"/>
              <w:end w:w="110" w:type="dxa"/>
            </w:tcMar>
          </w:tcPr>
          <w:p>
            <w:pPr>
              <w:spacing w:after="0"/>
            </w:pPr>
            <w:r/>
            <w:r>
              <w:rPr>
                <w:rFonts w:ascii="Calibri" w:hAnsi="Calibri"/>
                <w:b w:val="0"/>
                <w:i w:val="0"/>
                <w:color w:val="101828"/>
                <w:sz w:val="14"/>
              </w:rPr>
              <w:t>Refused. There is no member-visible feed, ranking or leaderboard that identifies a defaulting member.</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SCR-APP-05</w:t>
            </w:r>
          </w:p>
        </w:tc>
        <w:tc>
          <w:tcPr>
            <w:tcW w:type="dxa" w:w="1944"/>
            <w:tcMar>
              <w:top w:w="60" w:type="dxa"/>
              <w:start w:w="110" w:type="dxa"/>
              <w:bottom w:w="60" w:type="dxa"/>
              <w:end w:w="110" w:type="dxa"/>
            </w:tcMar>
          </w:tcPr>
          <w:p>
            <w:pPr>
              <w:spacing w:after="0"/>
            </w:pPr>
            <w:r/>
            <w:r>
              <w:rPr>
                <w:rFonts w:ascii="Calibri" w:hAnsi="Calibri"/>
                <w:i/>
                <w:color w:val="101828"/>
                <w:sz w:val="14"/>
              </w:rPr>
              <w:t>AJO.ng will not name a member who has not paid to the other members. What we will do is tell you the amount outstanding and run the recovery process.</w:t>
            </w:r>
          </w:p>
        </w:tc>
        <w:tc>
          <w:tcPr>
            <w:tcW w:type="dxa" w:w="2491"/>
            <w:tcMar>
              <w:top w:w="60" w:type="dxa"/>
              <w:start w:w="110" w:type="dxa"/>
              <w:bottom w:w="60" w:type="dxa"/>
              <w:end w:w="110" w:type="dxa"/>
            </w:tcMar>
          </w:tcPr>
          <w:p>
            <w:pPr>
              <w:spacing w:after="0"/>
            </w:pPr>
            <w:r/>
            <w:r>
              <w:rPr>
                <w:rFonts w:ascii="Calibri" w:hAnsi="Calibri"/>
                <w:b w:val="0"/>
                <w:i w:val="0"/>
                <w:color w:val="101828"/>
                <w:sz w:val="14"/>
              </w:rPr>
              <w:t>None needed. The refusal is the product. BR-014, FR-NOTIF-007, G5, C-10, EC-098.</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An organiser asks AJO.ng to deduct the shortfall from other members</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Any recovery that requires other members to contribute more must be explicit and consent-based, and must never happen silently.</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SCR-APP-05</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We cannot take more from anyone else without their agreement. If the group wants a different arrangement, it has to be agreed openly.</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A formal, documented and consented arrangement, if the group chooses one. BR-015, FR-DEF-006, C-06, EC-096.</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client device clock is wrong and reports the due date as past</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state machine runs on the server's recorded UTC timestamps. A skewed client can never advance or postpone a default.</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SCR-APP-08</w:t>
            </w:r>
          </w:p>
        </w:tc>
        <w:tc>
          <w:tcPr>
            <w:tcW w:type="dxa" w:w="1944"/>
            <w:tcMar>
              <w:top w:w="60" w:type="dxa"/>
              <w:start w:w="110" w:type="dxa"/>
              <w:bottom w:w="60" w:type="dxa"/>
              <w:end w:w="110" w:type="dxa"/>
            </w:tcMar>
          </w:tcPr>
          <w:p>
            <w:pPr>
              <w:spacing w:after="0"/>
            </w:pPr>
            <w:r/>
            <w:r>
              <w:rPr>
                <w:rFonts w:ascii="Calibri" w:hAnsi="Calibri"/>
                <w:i/>
                <w:color w:val="101828"/>
                <w:sz w:val="14"/>
              </w:rPr>
              <w:t>Your phone time is out by more than a day. Your payment status is correct regardless.</w:t>
            </w:r>
          </w:p>
        </w:tc>
        <w:tc>
          <w:tcPr>
            <w:tcW w:type="dxa" w:w="2491"/>
            <w:tcMar>
              <w:top w:w="60" w:type="dxa"/>
              <w:start w:w="110" w:type="dxa"/>
              <w:bottom w:w="60" w:type="dxa"/>
              <w:end w:w="110" w:type="dxa"/>
            </w:tcMar>
          </w:tcPr>
          <w:p>
            <w:pPr>
              <w:spacing w:after="0"/>
            </w:pPr>
            <w:r/>
            <w:r>
              <w:rPr>
                <w:rFonts w:ascii="Calibri" w:hAnsi="Calibri"/>
                <w:b w:val="0"/>
                <w:i w:val="0"/>
                <w:color w:val="101828"/>
                <w:sz w:val="14"/>
              </w:rPr>
              <w:t>Client clock is corrected or the app resynchronises, NFR-LOC-003, EC-031.</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A default is recorded, and later the member disputes that it should have been</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The dispute thread is created against the contribution with the full state history as evidence. A dispute does not block unrelated contributions.</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SCR-APP-14</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Your dispute is open. Your other payments and the Ajo continue as normal while we look at it.</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Flow 2.11. FR-DISP-001, FR-DISP-007, EC-095.</w:t>
            </w:r>
          </w:p>
        </w:tc>
      </w:tr>
    </w:tbl>
    <w:p>
      <w:pPr>
        <w:spacing w:after="80"/>
      </w:pPr>
    </w:p>
    <w:p>
      <w:r>
        <w:br w:type="page"/>
      </w:r>
    </w:p>
    <w:p>
      <w:pPr>
        <w:pStyle w:val="Heading2"/>
      </w:pPr>
      <w:r>
        <w:rPr>
          <w:rFonts w:ascii="Calibri" w:hAnsi="Calibri"/>
          <w:b/>
          <w:i w:val="0"/>
          <w:color w:val="146EF5"/>
          <w:sz w:val="29"/>
        </w:rPr>
        <w:t>2.7 Failed payment</w:t>
      </w:r>
    </w:p>
    <w:p>
      <w:pPr>
        <w:pStyle w:val="Heading3"/>
      </w:pPr>
      <w:r>
        <w:rPr>
          <w:rFonts w:ascii="Calibri" w:hAnsi="Calibri"/>
          <w:b/>
          <w:i w:val="0"/>
          <w:color w:val="0B1F3A"/>
          <w:sz w:val="24"/>
        </w:rPr>
        <w:t>2.7.1 Purpose</w:t>
      </w:r>
    </w:p>
    <w:p>
      <w:r>
        <w:rPr>
          <w:rFonts w:ascii="Calibri" w:hAnsi="Calibri"/>
          <w:b w:val="0"/>
          <w:i w:val="0"/>
          <w:color w:val="101828"/>
          <w:sz w:val="21"/>
        </w:rPr>
        <w:t>A failed payment is a normal commercial event, not a disciplinary one. The flow must make three things true simultaneously: the member knows nothing was taken from them, the obligation remains open and visible, and the retry is safe to perform as many times as the member needs. It must never produce a ledger entry for a payment that did not happen, because an entry for a non-event is a false record that no role can later remove (BR-025, BR-013).</w:t>
      </w:r>
    </w:p>
    <w:p>
      <w:pPr>
        <w:pStyle w:val="Heading3"/>
      </w:pPr>
      <w:r>
        <w:rPr>
          <w:rFonts w:ascii="Calibri" w:hAnsi="Calibri"/>
          <w:b/>
          <w:i w:val="0"/>
          <w:color w:val="0B1F3A"/>
          <w:sz w:val="24"/>
        </w:rPr>
        <w:t>2.7.2 Swimlane</w:t>
      </w:r>
    </w:p>
    <w:p>
      <w:pPr>
        <w:spacing w:before="0" w:after="0" w:line="240" w:lineRule="auto"/>
        <w:ind w:left="230"/>
        <w:shd w:val="clear" w:color="auto" w:fill="F7F9FC"/>
        <w:pBdr>
          <w:left w:val="single" w:sz="4" w:space="6" w:color="D0D5DD"/>
        </w:pBdr>
      </w:pPr>
      <w:r>
        <w:rPr>
          <w:rFonts w:ascii="Consolas" w:hAnsi="Consolas"/>
          <w:color w:val="0B1F3A"/>
          <w:sz w:val="16"/>
        </w:rPr>
        <w:t>MEMBER          AJO.ng            PROVIDER          LEDGER</w:t>
      </w:r>
    </w:p>
    <w:p>
      <w:pPr>
        <w:spacing w:before="0" w:after="0" w:line="240" w:lineRule="auto"/>
        <w:ind w:left="230"/>
        <w:shd w:val="clear" w:color="auto" w:fill="F7F9FC"/>
        <w:pBdr>
          <w:left w:val="single" w:sz="4" w:space="6" w:color="D0D5DD"/>
        </w:pBdr>
      </w:pPr>
      <w:r>
        <w:rPr>
          <w:rFonts w:ascii="Consolas" w:hAnsi="Consolas"/>
          <w:color w:val="0B1F3A"/>
          <w:sz w:val="16"/>
        </w:rPr>
        <w:t xml:space="preserve">   |  Pay now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POST /payments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key: idem-1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PENDING  ------&gt;|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&lt;provider&gt;    |                  |  DECLINED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(insufficient funds)</w:t>
      </w:r>
    </w:p>
    <w:p>
      <w:pPr>
        <w:spacing w:before="0" w:after="0" w:line="240" w:lineRule="auto"/>
        <w:ind w:left="230"/>
        <w:shd w:val="clear" w:color="auto" w:fill="F7F9FC"/>
        <w:pBdr>
          <w:left w:val="single" w:sz="4" w:space="6" w:color="D0D5DD"/>
        </w:pBdr>
      </w:pPr>
      <w:r>
        <w:rPr>
          <w:rFonts w:ascii="Consolas" w:hAnsi="Consolas"/>
          <w:color w:val="0B1F3A"/>
          <w:sz w:val="16"/>
        </w:rPr>
        <w:t xml:space="preserve">   |               |&lt;-----------------|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payment FAILED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NOTHING POSTED TO THE LEDGER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obligation still PENDING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contribution.failed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(push, email, SMS opt-in)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"Nothing was taken. You can try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again or use another method."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Retry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POST /contributions/:id/retry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NEW idem key -&gt; idem-2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same obligation, no second one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PENDING ------&gt;|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SUCCESS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|&lt;-----------------|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SUCCESS -&gt; 2.4 steps 8 to 11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PAID, receipt, confirmation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If the due time passes instead, the flow continues in 2.6.</w:t>
      </w:r>
    </w:p>
    <w:p>
      <w:pPr>
        <w:pStyle w:val="Heading3"/>
      </w:pPr>
      <w:r>
        <w:rPr>
          <w:rFonts w:ascii="Calibri" w:hAnsi="Calibri"/>
          <w:b/>
          <w:i w:val="0"/>
          <w:color w:val="0B1F3A"/>
          <w:sz w:val="24"/>
        </w:rPr>
        <w:t>2.7.3 Step detail</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706"/>
            <w:shd w:val="clear" w:color="auto" w:fill="0B1F3A"/>
            <w:tcMar>
              <w:top w:w="60" w:type="dxa"/>
              <w:start w:w="110" w:type="dxa"/>
              <w:bottom w:w="60" w:type="dxa"/>
              <w:end w:w="110" w:type="dxa"/>
            </w:tcMar>
          </w:tcPr>
          <w:p>
            <w:pPr>
              <w:spacing w:after="0"/>
            </w:pPr>
            <w:r/>
            <w:r>
              <w:rPr>
                <w:rFonts w:ascii="Calibri" w:hAnsi="Calibri"/>
                <w:b/>
                <w:i w:val="0"/>
                <w:color w:val="FFFFFF"/>
                <w:sz w:val="14"/>
              </w:rPr>
              <w:t>Step</w:t>
            </w:r>
          </w:p>
        </w:tc>
        <w:tc>
          <w:tcPr>
            <w:tcW w:type="dxa" w:w="1123"/>
            <w:shd w:val="clear" w:color="auto" w:fill="0B1F3A"/>
            <w:tcMar>
              <w:top w:w="60" w:type="dxa"/>
              <w:start w:w="110" w:type="dxa"/>
              <w:bottom w:w="60" w:type="dxa"/>
              <w:end w:w="110" w:type="dxa"/>
            </w:tcMar>
          </w:tcPr>
          <w:p>
            <w:pPr>
              <w:spacing w:after="0"/>
            </w:pPr>
            <w:r/>
            <w:r>
              <w:rPr>
                <w:rFonts w:ascii="Calibri" w:hAnsi="Calibri"/>
                <w:b/>
                <w:i w:val="0"/>
                <w:color w:val="FFFFFF"/>
                <w:sz w:val="14"/>
              </w:rPr>
              <w:t>Actor</w:t>
            </w:r>
          </w:p>
        </w:tc>
        <w:tc>
          <w:tcPr>
            <w:tcW w:type="dxa" w:w="1210"/>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2030"/>
            <w:shd w:val="clear" w:color="auto" w:fill="0B1F3A"/>
            <w:tcMar>
              <w:top w:w="60" w:type="dxa"/>
              <w:start w:w="110" w:type="dxa"/>
              <w:bottom w:w="60" w:type="dxa"/>
              <w:end w:w="110" w:type="dxa"/>
            </w:tcMar>
          </w:tcPr>
          <w:p>
            <w:pPr>
              <w:spacing w:after="0"/>
            </w:pPr>
            <w:r/>
            <w:r>
              <w:rPr>
                <w:rFonts w:ascii="Calibri" w:hAnsi="Calibri"/>
                <w:b/>
                <w:i w:val="0"/>
                <w:color w:val="FFFFFF"/>
                <w:sz w:val="14"/>
              </w:rPr>
              <w:t>Action</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4"/>
              </w:rPr>
              <w:t>System response</w:t>
            </w:r>
          </w:p>
        </w:tc>
        <w:tc>
          <w:tcPr>
            <w:tcW w:type="dxa" w:w="1411"/>
            <w:shd w:val="clear" w:color="auto" w:fill="0B1F3A"/>
            <w:tcMar>
              <w:top w:w="60" w:type="dxa"/>
              <w:start w:w="110" w:type="dxa"/>
              <w:bottom w:w="60" w:type="dxa"/>
              <w:end w:w="110" w:type="dxa"/>
            </w:tcMar>
          </w:tcPr>
          <w:p>
            <w:pPr>
              <w:spacing w:after="0"/>
            </w:pPr>
            <w:r/>
            <w:r>
              <w:rPr>
                <w:rFonts w:ascii="Calibri" w:hAnsi="Calibri"/>
                <w:b/>
                <w:i w:val="0"/>
                <w:color w:val="FFFFFF"/>
                <w:sz w:val="14"/>
              </w:rPr>
              <w:t>Rule ref</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2.7.1</w:t>
            </w:r>
          </w:p>
        </w:tc>
        <w:tc>
          <w:tcPr>
            <w:tcW w:type="dxa" w:w="1123"/>
            <w:tcMar>
              <w:top w:w="60" w:type="dxa"/>
              <w:start w:w="110" w:type="dxa"/>
              <w:bottom w:w="60" w:type="dxa"/>
              <w:end w:w="110" w:type="dxa"/>
            </w:tcMar>
          </w:tcPr>
          <w:p>
            <w:pPr>
              <w:spacing w:after="0"/>
            </w:pPr>
            <w:r/>
            <w:r>
              <w:rPr>
                <w:rFonts w:ascii="Calibri" w:hAnsi="Calibri"/>
                <w:b w:val="0"/>
                <w:i w:val="0"/>
                <w:color w:val="101828"/>
                <w:sz w:val="14"/>
              </w:rPr>
              <w:t>Member</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SCR-APP-08</w:t>
            </w:r>
          </w:p>
        </w:tc>
        <w:tc>
          <w:tcPr>
            <w:tcW w:type="dxa" w:w="2030"/>
            <w:tcMar>
              <w:top w:w="60" w:type="dxa"/>
              <w:start w:w="110" w:type="dxa"/>
              <w:bottom w:w="60" w:type="dxa"/>
              <w:end w:w="110" w:type="dxa"/>
            </w:tcMar>
          </w:tcPr>
          <w:p>
            <w:pPr>
              <w:spacing w:after="0"/>
            </w:pPr>
            <w:r/>
            <w:r>
              <w:rPr>
                <w:rFonts w:ascii="Calibri" w:hAnsi="Calibri"/>
                <w:b w:val="0"/>
                <w:i w:val="0"/>
                <w:color w:val="101828"/>
                <w:sz w:val="14"/>
              </w:rPr>
              <w:t xml:space="preserve">Taps </w:t>
            </w:r>
            <w:r>
              <w:rPr>
                <w:rFonts w:ascii="Calibri" w:hAnsi="Calibri"/>
                <w:i/>
                <w:color w:val="101828"/>
                <w:sz w:val="14"/>
              </w:rPr>
              <w:t>Pay now</w:t>
            </w:r>
            <w:r>
              <w:rPr>
                <w:rFonts w:ascii="Calibri" w:hAnsi="Calibri"/>
                <w:b w:val="0"/>
                <w:i w:val="0"/>
                <w:color w:val="101828"/>
                <w:sz w:val="14"/>
              </w:rPr>
              <w:t xml:space="preserve"> on a PENDING contribution.</w:t>
            </w:r>
          </w:p>
        </w:tc>
        <w:tc>
          <w:tcPr>
            <w:tcW w:type="dxa" w:w="2880"/>
            <w:tcMar>
              <w:top w:w="60" w:type="dxa"/>
              <w:start w:w="110" w:type="dxa"/>
              <w:bottom w:w="60" w:type="dxa"/>
              <w:end w:w="110" w:type="dxa"/>
            </w:tcMar>
          </w:tcPr>
          <w:p>
            <w:pPr>
              <w:spacing w:after="0"/>
            </w:pPr>
            <w:r/>
            <w:r>
              <w:rPr>
                <w:rFonts w:ascii="Calibri" w:hAnsi="Calibri"/>
                <w:b w:val="0"/>
                <w:i w:val="0"/>
                <w:color w:val="101828"/>
                <w:sz w:val="14"/>
              </w:rPr>
              <w:t>The amount shown is NGN 1,020.00, split as NGN 1,000.00 contribution and NGN 20.00 fee. Acknowledgement is captured.</w:t>
            </w:r>
          </w:p>
        </w:tc>
        <w:tc>
          <w:tcPr>
            <w:tcW w:type="dxa" w:w="1411"/>
            <w:tcMar>
              <w:top w:w="60" w:type="dxa"/>
              <w:start w:w="110" w:type="dxa"/>
              <w:bottom w:w="60" w:type="dxa"/>
              <w:end w:w="110" w:type="dxa"/>
            </w:tcMar>
          </w:tcPr>
          <w:p>
            <w:pPr>
              <w:spacing w:after="0"/>
            </w:pPr>
            <w:r/>
            <w:r>
              <w:rPr>
                <w:rFonts w:ascii="Calibri" w:hAnsi="Calibri"/>
                <w:b w:val="0"/>
                <w:i w:val="0"/>
                <w:color w:val="101828"/>
                <w:sz w:val="14"/>
              </w:rPr>
              <w:t>FR-PAY-002, BR-011, BR-010</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2.7.2</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AJO.ng</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SCR-APP-09</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Creates the payment record and calls the provider.</w:t>
            </w:r>
          </w:p>
        </w:tc>
        <w:tc>
          <w:tcPr>
            <w:tcW w:type="dxa" w:w="2880"/>
            <w:tcMar>
              <w:top w:w="60" w:type="dxa"/>
              <w:start w:w="110" w:type="dxa"/>
              <w:bottom w:w="60" w:type="dxa"/>
              <w:end w:w="110" w:type="dxa"/>
            </w:tcMar>
            <w:shd w:val="clear" w:color="auto" w:fill="F4F7FB"/>
          </w:tcPr>
          <w:p>
            <w:pPr>
              <w:spacing w:after="0"/>
            </w:pPr>
            <w:r/>
            <w:r>
              <w:rPr>
                <w:rFonts w:ascii="Consolas" w:hAnsi="Consolas"/>
                <w:color w:val="146EF5"/>
                <w:sz w:val="14"/>
              </w:rPr>
              <w:t>POST /payments</w:t>
            </w:r>
            <w:r>
              <w:rPr>
                <w:rFonts w:ascii="Calibri" w:hAnsi="Calibri"/>
                <w:b w:val="0"/>
                <w:i w:val="0"/>
                <w:color w:val="101828"/>
                <w:sz w:val="14"/>
              </w:rPr>
              <w:t xml:space="preserve"> with an </w:t>
            </w:r>
            <w:r>
              <w:rPr>
                <w:rFonts w:ascii="Consolas" w:hAnsi="Consolas"/>
                <w:color w:val="146EF5"/>
                <w:sz w:val="14"/>
              </w:rPr>
              <w:t>Idempotency-Key</w:t>
            </w:r>
            <w:r>
              <w:rPr>
                <w:rFonts w:ascii="Calibri" w:hAnsi="Calibri"/>
                <w:b w:val="0"/>
                <w:i w:val="0"/>
                <w:color w:val="101828"/>
                <w:sz w:val="14"/>
              </w:rPr>
              <w:t>. Payment moves INITIATED to PENDING. The amount is fixed at initiation.</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BR-024, FR-PAY-004, CAN §4</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2.7.3</w:t>
            </w:r>
          </w:p>
        </w:tc>
        <w:tc>
          <w:tcPr>
            <w:tcW w:type="dxa" w:w="1123"/>
            <w:tcMar>
              <w:top w:w="60" w:type="dxa"/>
              <w:start w:w="110" w:type="dxa"/>
              <w:bottom w:w="60" w:type="dxa"/>
              <w:end w:w="110" w:type="dxa"/>
            </w:tcMar>
          </w:tcPr>
          <w:p>
            <w:pPr>
              <w:spacing w:after="0"/>
            </w:pPr>
            <w:r/>
            <w:r>
              <w:rPr>
                <w:rFonts w:ascii="Calibri" w:hAnsi="Calibri"/>
                <w:b w:val="0"/>
                <w:i w:val="0"/>
                <w:color w:val="101828"/>
                <w:sz w:val="14"/>
              </w:rPr>
              <w:t>Provider</w:t>
            </w:r>
          </w:p>
        </w:tc>
        <w:tc>
          <w:tcPr>
            <w:tcW w:type="dxa" w:w="1210"/>
            <w:tcMar>
              <w:top w:w="60" w:type="dxa"/>
              <w:start w:w="110" w:type="dxa"/>
              <w:bottom w:w="60" w:type="dxa"/>
              <w:end w:w="110" w:type="dxa"/>
            </w:tcMar>
          </w:tcPr>
          <w:p>
            <w:pPr>
              <w:spacing w:after="0"/>
            </w:pPr>
            <w:r/>
            <w:r>
              <w:rPr>
                <w:rFonts w:ascii="Calibri" w:hAnsi="Calibri"/>
                <w:b w:val="0"/>
                <w:i w:val="0"/>
                <w:color w:val="101828"/>
                <w:sz w:val="14"/>
              </w:rPr>
              <w:t>—</w:t>
            </w:r>
          </w:p>
        </w:tc>
        <w:tc>
          <w:tcPr>
            <w:tcW w:type="dxa" w:w="2030"/>
            <w:tcMar>
              <w:top w:w="60" w:type="dxa"/>
              <w:start w:w="110" w:type="dxa"/>
              <w:bottom w:w="60" w:type="dxa"/>
              <w:end w:w="110" w:type="dxa"/>
            </w:tcMar>
          </w:tcPr>
          <w:p>
            <w:pPr>
              <w:spacing w:after="0"/>
            </w:pPr>
            <w:r/>
            <w:r>
              <w:rPr>
                <w:rFonts w:ascii="Calibri" w:hAnsi="Calibri"/>
                <w:b w:val="0"/>
                <w:i w:val="0"/>
                <w:color w:val="101828"/>
                <w:sz w:val="14"/>
              </w:rPr>
              <w:t>Declines, or times out, or the issuer refuses.</w:t>
            </w:r>
          </w:p>
        </w:tc>
        <w:tc>
          <w:tcPr>
            <w:tcW w:type="dxa" w:w="2880"/>
            <w:tcMar>
              <w:top w:w="60" w:type="dxa"/>
              <w:start w:w="110" w:type="dxa"/>
              <w:bottom w:w="60" w:type="dxa"/>
              <w:end w:w="110" w:type="dxa"/>
            </w:tcMar>
          </w:tcPr>
          <w:p>
            <w:pPr>
              <w:spacing w:after="0"/>
            </w:pPr>
            <w:r/>
            <w:r>
              <w:rPr>
                <w:rFonts w:ascii="Calibri" w:hAnsi="Calibri"/>
                <w:b w:val="0"/>
                <w:i w:val="0"/>
                <w:color w:val="101828"/>
                <w:sz w:val="14"/>
              </w:rPr>
              <w:t xml:space="preserve">The provider status is mapped to </w:t>
            </w:r>
            <w:r>
              <w:rPr>
                <w:rFonts w:ascii="Consolas" w:hAnsi="Consolas"/>
                <w:color w:val="146EF5"/>
                <w:sz w:val="14"/>
              </w:rPr>
              <w:t>FAILED</w:t>
            </w:r>
            <w:r>
              <w:rPr>
                <w:rFonts w:ascii="Calibri" w:hAnsi="Calibri"/>
                <w:b w:val="0"/>
                <w:i w:val="0"/>
                <w:color w:val="101828"/>
                <w:sz w:val="14"/>
              </w:rPr>
              <w:t xml:space="preserve"> with a machine-readable reason code retained. No provider text is shown raw to the member.</w:t>
            </w:r>
          </w:p>
        </w:tc>
        <w:tc>
          <w:tcPr>
            <w:tcW w:type="dxa" w:w="1411"/>
            <w:tcMar>
              <w:top w:w="60" w:type="dxa"/>
              <w:start w:w="110" w:type="dxa"/>
              <w:bottom w:w="60" w:type="dxa"/>
              <w:end w:w="110" w:type="dxa"/>
            </w:tcMar>
          </w:tcPr>
          <w:p>
            <w:pPr>
              <w:spacing w:after="0"/>
            </w:pPr>
            <w:r/>
            <w:r>
              <w:rPr>
                <w:rFonts w:ascii="Calibri" w:hAnsi="Calibri"/>
                <w:b w:val="0"/>
                <w:i w:val="0"/>
                <w:color w:val="101828"/>
                <w:sz w:val="14"/>
              </w:rPr>
              <w:t>CAN §4, NFR-SEC-003</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2.7.4</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AJO.ng</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Marks the payment FAILED and posts nothing to the ledger.</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No </w:t>
            </w:r>
            <w:r>
              <w:rPr>
                <w:rFonts w:ascii="Consolas" w:hAnsi="Consolas"/>
                <w:color w:val="146EF5"/>
                <w:sz w:val="14"/>
              </w:rPr>
              <w:t>contribution.received</w:t>
            </w:r>
            <w:r>
              <w:rPr>
                <w:rFonts w:ascii="Calibri" w:hAnsi="Calibri"/>
                <w:b w:val="0"/>
                <w:i w:val="0"/>
                <w:color w:val="101828"/>
                <w:sz w:val="14"/>
              </w:rPr>
              <w:t xml:space="preserve">, no </w:t>
            </w:r>
            <w:r>
              <w:rPr>
                <w:rFonts w:ascii="Consolas" w:hAnsi="Consolas"/>
                <w:color w:val="146EF5"/>
                <w:sz w:val="14"/>
              </w:rPr>
              <w:t>fee.recognised</w:t>
            </w:r>
            <w:r>
              <w:rPr>
                <w:rFonts w:ascii="Calibri" w:hAnsi="Calibri"/>
                <w:b w:val="0"/>
                <w:i w:val="0"/>
                <w:color w:val="101828"/>
                <w:sz w:val="14"/>
              </w:rPr>
              <w:t>, no escrow movement, no fee. There is nothing to reverse because nothing was written. The contribution remains PENDING with the full amount outstanding.</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BR-021, BR-013, BR-025</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2.7.5</w:t>
            </w:r>
          </w:p>
        </w:tc>
        <w:tc>
          <w:tcPr>
            <w:tcW w:type="dxa" w:w="1123"/>
            <w:tcMar>
              <w:top w:w="60" w:type="dxa"/>
              <w:start w:w="110" w:type="dxa"/>
              <w:bottom w:w="60" w:type="dxa"/>
              <w:end w:w="110" w:type="dxa"/>
            </w:tcMar>
          </w:tcPr>
          <w:p>
            <w:pPr>
              <w:spacing w:after="0"/>
            </w:pPr>
            <w:r/>
            <w:r>
              <w:rPr>
                <w:rFonts w:ascii="Calibri" w:hAnsi="Calibri"/>
                <w:b w:val="0"/>
                <w:i w:val="0"/>
                <w:color w:val="101828"/>
                <w:sz w:val="14"/>
              </w:rPr>
              <w:t>System</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SCR-APP-12</w:t>
            </w:r>
          </w:p>
        </w:tc>
        <w:tc>
          <w:tcPr>
            <w:tcW w:type="dxa" w:w="2030"/>
            <w:tcMar>
              <w:top w:w="60" w:type="dxa"/>
              <w:start w:w="110" w:type="dxa"/>
              <w:bottom w:w="60" w:type="dxa"/>
              <w:end w:w="110" w:type="dxa"/>
            </w:tcMar>
          </w:tcPr>
          <w:p>
            <w:pPr>
              <w:spacing w:after="0"/>
            </w:pPr>
            <w:r/>
            <w:r>
              <w:rPr>
                <w:rFonts w:ascii="Calibri" w:hAnsi="Calibri"/>
                <w:b w:val="0"/>
                <w:i w:val="0"/>
                <w:color w:val="101828"/>
                <w:sz w:val="14"/>
              </w:rPr>
              <w:t xml:space="preserve">Sends </w:t>
            </w:r>
            <w:r>
              <w:rPr>
                <w:rFonts w:ascii="Consolas" w:hAnsi="Consolas"/>
                <w:color w:val="146EF5"/>
                <w:sz w:val="14"/>
              </w:rPr>
              <w:t>contribution.failed</w:t>
            </w:r>
            <w:r>
              <w:rPr>
                <w:rFonts w:ascii="Calibri" w:hAnsi="Calibri"/>
                <w:b w:val="0"/>
                <w:i w:val="0"/>
                <w:color w:val="101828"/>
                <w:sz w:val="14"/>
              </w:rPr>
              <w:t xml:space="preserve"> immediately.</w:t>
            </w:r>
          </w:p>
        </w:tc>
        <w:tc>
          <w:tcPr>
            <w:tcW w:type="dxa" w:w="2880"/>
            <w:tcMar>
              <w:top w:w="60" w:type="dxa"/>
              <w:start w:w="110" w:type="dxa"/>
              <w:bottom w:w="60" w:type="dxa"/>
              <w:end w:w="110" w:type="dxa"/>
            </w:tcMar>
          </w:tcPr>
          <w:p>
            <w:pPr>
              <w:spacing w:after="0"/>
            </w:pPr>
            <w:r/>
            <w:r>
              <w:rPr>
                <w:rFonts w:ascii="Calibri" w:hAnsi="Calibri"/>
                <w:b w:val="0"/>
                <w:i w:val="0"/>
                <w:color w:val="101828"/>
                <w:sz w:val="14"/>
              </w:rPr>
              <w:t>Push and email, SMS on the optional opt-in. The message says the payment did not go through and that nothing has been taken.</w:t>
            </w:r>
          </w:p>
        </w:tc>
        <w:tc>
          <w:tcPr>
            <w:tcW w:type="dxa" w:w="1411"/>
            <w:tcMar>
              <w:top w:w="60" w:type="dxa"/>
              <w:start w:w="110" w:type="dxa"/>
              <w:bottom w:w="60" w:type="dxa"/>
              <w:end w:w="110" w:type="dxa"/>
            </w:tcMar>
          </w:tcPr>
          <w:p>
            <w:pPr>
              <w:spacing w:after="0"/>
            </w:pPr>
            <w:r/>
            <w:r>
              <w:rPr>
                <w:rFonts w:ascii="Calibri" w:hAnsi="Calibri"/>
                <w:b w:val="0"/>
                <w:i w:val="0"/>
                <w:color w:val="101828"/>
                <w:sz w:val="14"/>
              </w:rPr>
              <w:t>CAN §8, FR-NOTIF-001</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2.7.6</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Member</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SCR-APP-08</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Sees the failure with a retry control and a plain-language reason.</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Reason is expressed as a category the member can act on, for example </w:t>
            </w:r>
            <w:r>
              <w:rPr>
                <w:rFonts w:ascii="Calibri" w:hAnsi="Calibri"/>
                <w:i/>
                <w:color w:val="101828"/>
                <w:sz w:val="14"/>
              </w:rPr>
              <w:t>not enough in the account</w:t>
            </w:r>
            <w:r>
              <w:rPr>
                <w:rFonts w:ascii="Calibri" w:hAnsi="Calibri"/>
                <w:b w:val="0"/>
                <w:i w:val="0"/>
                <w:color w:val="101828"/>
                <w:sz w:val="14"/>
              </w:rPr>
              <w:t xml:space="preserve"> or </w:t>
            </w:r>
            <w:r>
              <w:rPr>
                <w:rFonts w:ascii="Calibri" w:hAnsi="Calibri"/>
                <w:i/>
                <w:color w:val="101828"/>
                <w:sz w:val="14"/>
              </w:rPr>
              <w:t>the bank refused it</w:t>
            </w:r>
            <w:r>
              <w:rPr>
                <w:rFonts w:ascii="Calibri" w:hAnsi="Calibri"/>
                <w:b w:val="0"/>
                <w:i w:val="0"/>
                <w:color w:val="101828"/>
                <w:sz w:val="14"/>
              </w:rPr>
              <w:t>, with the provider reference available in the detail view.</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FR-PAY-006, NFR-ACC-003</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2.7.7</w:t>
            </w:r>
          </w:p>
        </w:tc>
        <w:tc>
          <w:tcPr>
            <w:tcW w:type="dxa" w:w="1123"/>
            <w:tcMar>
              <w:top w:w="60" w:type="dxa"/>
              <w:start w:w="110" w:type="dxa"/>
              <w:bottom w:w="60" w:type="dxa"/>
              <w:end w:w="110" w:type="dxa"/>
            </w:tcMar>
          </w:tcPr>
          <w:p>
            <w:pPr>
              <w:spacing w:after="0"/>
            </w:pPr>
            <w:r/>
            <w:r>
              <w:rPr>
                <w:rFonts w:ascii="Calibri" w:hAnsi="Calibri"/>
                <w:b w:val="0"/>
                <w:i w:val="0"/>
                <w:color w:val="101828"/>
                <w:sz w:val="14"/>
              </w:rPr>
              <w:t>Member</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SCR-APP-08</w:t>
            </w:r>
          </w:p>
        </w:tc>
        <w:tc>
          <w:tcPr>
            <w:tcW w:type="dxa" w:w="2030"/>
            <w:tcMar>
              <w:top w:w="60" w:type="dxa"/>
              <w:start w:w="110" w:type="dxa"/>
              <w:bottom w:w="60" w:type="dxa"/>
              <w:end w:w="110" w:type="dxa"/>
            </w:tcMar>
          </w:tcPr>
          <w:p>
            <w:pPr>
              <w:spacing w:after="0"/>
            </w:pPr>
            <w:r/>
            <w:r>
              <w:rPr>
                <w:rFonts w:ascii="Calibri" w:hAnsi="Calibri"/>
                <w:b w:val="0"/>
                <w:i w:val="0"/>
                <w:color w:val="101828"/>
                <w:sz w:val="14"/>
              </w:rPr>
              <w:t>Retries.</w:t>
            </w:r>
          </w:p>
        </w:tc>
        <w:tc>
          <w:tcPr>
            <w:tcW w:type="dxa" w:w="2880"/>
            <w:tcMar>
              <w:top w:w="60" w:type="dxa"/>
              <w:start w:w="110" w:type="dxa"/>
              <w:bottom w:w="60" w:type="dxa"/>
              <w:end w:w="110" w:type="dxa"/>
            </w:tcMar>
          </w:tcPr>
          <w:p>
            <w:pPr>
              <w:spacing w:after="0"/>
            </w:pPr>
            <w:r/>
            <w:r>
              <w:rPr>
                <w:rFonts w:ascii="Consolas" w:hAnsi="Consolas"/>
                <w:color w:val="146EF5"/>
                <w:sz w:val="14"/>
              </w:rPr>
              <w:t>POST /contributions/:id/retry</w:t>
            </w:r>
            <w:r>
              <w:rPr>
                <w:rFonts w:ascii="Calibri" w:hAnsi="Calibri"/>
                <w:b w:val="0"/>
                <w:i w:val="0"/>
                <w:color w:val="101828"/>
                <w:sz w:val="14"/>
              </w:rPr>
              <w:t xml:space="preserve"> creates a new payment against the </w:t>
            </w:r>
            <w:r>
              <w:rPr>
                <w:rFonts w:ascii="Calibri" w:hAnsi="Calibri"/>
                <w:i/>
                <w:color w:val="101828"/>
                <w:sz w:val="14"/>
              </w:rPr>
              <w:t>same</w:t>
            </w:r>
            <w:r>
              <w:rPr>
                <w:rFonts w:ascii="Calibri" w:hAnsi="Calibri"/>
                <w:b w:val="0"/>
                <w:i w:val="0"/>
                <w:color w:val="101828"/>
                <w:sz w:val="14"/>
              </w:rPr>
              <w:t xml:space="preserve"> obligation with a new </w:t>
            </w:r>
            <w:r>
              <w:rPr>
                <w:rFonts w:ascii="Consolas" w:hAnsi="Consolas"/>
                <w:color w:val="146EF5"/>
                <w:sz w:val="14"/>
              </w:rPr>
              <w:t>Idempotency-Key</w:t>
            </w:r>
            <w:r>
              <w:rPr>
                <w:rFonts w:ascii="Calibri" w:hAnsi="Calibri"/>
                <w:b w:val="0"/>
                <w:i w:val="0"/>
                <w:color w:val="101828"/>
                <w:sz w:val="14"/>
              </w:rPr>
              <w:t>. It does not create a second obligation and does not change the amount.</w:t>
            </w:r>
          </w:p>
        </w:tc>
        <w:tc>
          <w:tcPr>
            <w:tcW w:type="dxa" w:w="1411"/>
            <w:tcMar>
              <w:top w:w="60" w:type="dxa"/>
              <w:start w:w="110" w:type="dxa"/>
              <w:bottom w:w="60" w:type="dxa"/>
              <w:end w:w="110" w:type="dxa"/>
            </w:tcMar>
          </w:tcPr>
          <w:p>
            <w:pPr>
              <w:spacing w:after="0"/>
            </w:pPr>
            <w:r/>
            <w:r>
              <w:rPr>
                <w:rFonts w:ascii="Calibri" w:hAnsi="Calibri"/>
                <w:b w:val="0"/>
                <w:i w:val="0"/>
                <w:color w:val="101828"/>
                <w:sz w:val="14"/>
              </w:rPr>
              <w:t>FR-DEF-003, FR-PAY-008, BR-024</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2.7.8</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System</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If retries are not made before the due time, the contribution continues into the default flow.</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The due date is not extended by a failure. The 48-hour grace runs from the recorded due time exactly as it would have, and a member who is actively retrying is treated identically to one who is not.</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BR-016, NFR-LOC-003, flow 2.6</w:t>
            </w:r>
          </w:p>
        </w:tc>
      </w:tr>
    </w:tbl>
    <w:p>
      <w:pPr>
        <w:spacing w:after="80"/>
      </w:pPr>
    </w:p>
    <w:p>
      <w:pPr>
        <w:pStyle w:val="Heading3"/>
      </w:pPr>
      <w:r>
        <w:rPr>
          <w:rFonts w:ascii="Calibri" w:hAnsi="Calibri"/>
          <w:b/>
          <w:i w:val="0"/>
          <w:color w:val="0B1F3A"/>
          <w:sz w:val="24"/>
        </w:rPr>
        <w:t>2.7.4 Happy path</w:t>
      </w:r>
    </w:p>
    <w:p>
      <w:r>
        <w:rPr>
          <w:rFonts w:ascii="Calibri" w:hAnsi="Calibri"/>
          <w:b w:val="0"/>
          <w:i w:val="0"/>
          <w:color w:val="101828"/>
          <w:sz w:val="21"/>
        </w:rPr>
        <w:t>The member's bank declines the charge. The payment is marked FAILED with the provider's reference, nothing is written to the ledger, the contribution is still PENDING and still shows NGN 1,020.00 outstanding. The member is told immediately that nothing was taken, and is offered a retry. They top up and retry; the second attempt carries a new idempotency key against the same obligation, succeeds, and the flow rejoins 2.4 at step 8: two ledger entries, a PAID contribution, a receipt and a confirmation. From the Ajo's point of view, one member paid one round on time. The failure never became an event in the Ajo's history beyond a payment record with two attempts.</w:t>
      </w:r>
    </w:p>
    <w:p>
      <w:pPr>
        <w:pStyle w:val="Heading3"/>
      </w:pPr>
      <w:r>
        <w:rPr>
          <w:rFonts w:ascii="Calibri" w:hAnsi="Calibri"/>
          <w:b/>
          <w:i w:val="0"/>
          <w:color w:val="0B1F3A"/>
          <w:sz w:val="24"/>
        </w:rPr>
        <w:t>2.7.5 Alternates and failure branches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42"/>
            <w:shd w:val="clear" w:color="auto" w:fill="0B1F3A"/>
            <w:tcMar>
              <w:top w:w="60" w:type="dxa"/>
              <w:start w:w="110" w:type="dxa"/>
              <w:bottom w:w="60" w:type="dxa"/>
              <w:end w:w="110" w:type="dxa"/>
            </w:tcMar>
          </w:tcPr>
          <w:p>
            <w:pPr>
              <w:spacing w:after="0"/>
            </w:pPr>
            <w:r/>
            <w:r>
              <w:rPr>
                <w:rFonts w:ascii="Calibri" w:hAnsi="Calibri"/>
                <w:b/>
                <w:i w:val="0"/>
                <w:color w:val="FFFFFF"/>
                <w:sz w:val="14"/>
              </w:rPr>
              <w:t>Condition</w:t>
            </w:r>
          </w:p>
        </w:tc>
        <w:tc>
          <w:tcPr>
            <w:tcW w:type="dxa" w:w="2146"/>
            <w:shd w:val="clear" w:color="auto" w:fill="0B1F3A"/>
            <w:tcMar>
              <w:top w:w="60" w:type="dxa"/>
              <w:start w:w="110" w:type="dxa"/>
              <w:bottom w:w="60" w:type="dxa"/>
              <w:end w:w="110" w:type="dxa"/>
            </w:tcMar>
          </w:tcPr>
          <w:p>
            <w:pPr>
              <w:spacing w:after="0"/>
            </w:pPr>
            <w:r/>
            <w:r>
              <w:rPr>
                <w:rFonts w:ascii="Calibri" w:hAnsi="Calibri"/>
                <w:b/>
                <w:i w:val="0"/>
                <w:color w:val="FFFFFF"/>
                <w:sz w:val="14"/>
              </w:rPr>
              <w:t>Branch</w:t>
            </w:r>
          </w:p>
        </w:tc>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4"/>
              </w:rPr>
              <w:t>Message</w:t>
            </w:r>
          </w:p>
        </w:tc>
        <w:tc>
          <w:tcPr>
            <w:tcW w:type="dxa" w:w="2491"/>
            <w:shd w:val="clear" w:color="auto" w:fill="0B1F3A"/>
            <w:tcMar>
              <w:top w:w="60" w:type="dxa"/>
              <w:start w:w="110" w:type="dxa"/>
              <w:bottom w:w="60" w:type="dxa"/>
              <w:end w:w="110" w:type="dxa"/>
            </w:tcMar>
          </w:tcPr>
          <w:p>
            <w:pPr>
              <w:spacing w:after="0"/>
            </w:pPr>
            <w:r/>
            <w:r>
              <w:rPr>
                <w:rFonts w:ascii="Calibri" w:hAnsi="Calibri"/>
                <w:b/>
                <w:i w:val="0"/>
                <w:color w:val="FFFFFF"/>
                <w:sz w:val="14"/>
              </w:rPr>
              <w:t>Recovery</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provider declines for insufficient funds</w:t>
            </w:r>
          </w:p>
        </w:tc>
        <w:tc>
          <w:tcPr>
            <w:tcW w:type="dxa" w:w="2146"/>
            <w:tcMar>
              <w:top w:w="60" w:type="dxa"/>
              <w:start w:w="110" w:type="dxa"/>
              <w:bottom w:w="60" w:type="dxa"/>
              <w:end w:w="110" w:type="dxa"/>
            </w:tcMar>
          </w:tcPr>
          <w:p>
            <w:pPr>
              <w:spacing w:after="0"/>
            </w:pPr>
            <w:r/>
            <w:r>
              <w:rPr>
                <w:rFonts w:ascii="Calibri" w:hAnsi="Calibri"/>
                <w:b w:val="0"/>
                <w:i w:val="0"/>
                <w:color w:val="101828"/>
                <w:sz w:val="14"/>
              </w:rPr>
              <w:t xml:space="preserve">FAILED with reason </w:t>
            </w:r>
            <w:r>
              <w:rPr>
                <w:rFonts w:ascii="Consolas" w:hAnsi="Consolas"/>
                <w:color w:val="146EF5"/>
                <w:sz w:val="14"/>
              </w:rPr>
              <w:t>insufficient_funds</w:t>
            </w:r>
            <w:r>
              <w:rPr>
                <w:rFonts w:ascii="Calibri" w:hAnsi="Calibri"/>
                <w:b w:val="0"/>
                <w:i w:val="0"/>
                <w:color w:val="101828"/>
                <w:sz w:val="14"/>
              </w:rPr>
              <w:t>. The member may top up and retry. No fee is charged for a failed attempt.</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SCR-APP-08</w:t>
            </w:r>
          </w:p>
        </w:tc>
        <w:tc>
          <w:tcPr>
            <w:tcW w:type="dxa" w:w="1944"/>
            <w:tcMar>
              <w:top w:w="60" w:type="dxa"/>
              <w:start w:w="110" w:type="dxa"/>
              <w:bottom w:w="60" w:type="dxa"/>
              <w:end w:w="110" w:type="dxa"/>
            </w:tcMar>
          </w:tcPr>
          <w:p>
            <w:pPr>
              <w:spacing w:after="0"/>
            </w:pPr>
            <w:r/>
            <w:r>
              <w:rPr>
                <w:rFonts w:ascii="Calibri" w:hAnsi="Calibri"/>
                <w:i/>
                <w:color w:val="101828"/>
                <w:sz w:val="14"/>
              </w:rPr>
              <w:t>Not enough in the account. Nothing was taken. Top up and try again.</w:t>
            </w:r>
          </w:p>
        </w:tc>
        <w:tc>
          <w:tcPr>
            <w:tcW w:type="dxa" w:w="2491"/>
            <w:tcMar>
              <w:top w:w="60" w:type="dxa"/>
              <w:start w:w="110" w:type="dxa"/>
              <w:bottom w:w="60" w:type="dxa"/>
              <w:end w:w="110" w:type="dxa"/>
            </w:tcMar>
          </w:tcPr>
          <w:p>
            <w:pPr>
              <w:spacing w:after="0"/>
            </w:pPr>
            <w:r/>
            <w:r>
              <w:rPr>
                <w:rFonts w:ascii="Calibri" w:hAnsi="Calibri"/>
                <w:b w:val="0"/>
                <w:i w:val="0"/>
                <w:color w:val="101828"/>
                <w:sz w:val="14"/>
              </w:rPr>
              <w:t>Retry from the contribution, EC-019.</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provider is unreachable at initiation</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Initiation fails before any charge is possible. The member is told to try again; nothing is pending and nothing is owed differently.</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SCR-APP-09</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We could not reach the payment provider. Nothing was taken. Try again in a minute.</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Automatic client retry, then manual. No payment record is left dangling, EC-018.</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provider times out after the charge was made</w:t>
            </w:r>
          </w:p>
        </w:tc>
        <w:tc>
          <w:tcPr>
            <w:tcW w:type="dxa" w:w="2146"/>
            <w:tcMar>
              <w:top w:w="60" w:type="dxa"/>
              <w:start w:w="110" w:type="dxa"/>
              <w:bottom w:w="60" w:type="dxa"/>
              <w:end w:w="110" w:type="dxa"/>
            </w:tcMar>
          </w:tcPr>
          <w:p>
            <w:pPr>
              <w:spacing w:after="0"/>
            </w:pPr>
            <w:r/>
            <w:r>
              <w:rPr>
                <w:rFonts w:ascii="Calibri" w:hAnsi="Calibri"/>
                <w:b w:val="0"/>
                <w:i w:val="0"/>
                <w:color w:val="101828"/>
                <w:sz w:val="14"/>
              </w:rPr>
              <w:t xml:space="preserve">The payment is </w:t>
            </w:r>
            <w:r>
              <w:rPr>
                <w:rFonts w:ascii="Consolas" w:hAnsi="Consolas"/>
                <w:color w:val="146EF5"/>
                <w:sz w:val="14"/>
              </w:rPr>
              <w:t>UNKNOWN</w:t>
            </w:r>
            <w:r>
              <w:rPr>
                <w:rFonts w:ascii="Calibri" w:hAnsi="Calibri"/>
                <w:b w:val="0"/>
                <w:i w:val="0"/>
                <w:color w:val="101828"/>
                <w:sz w:val="14"/>
              </w:rPr>
              <w:t>, not FAILED. The contribution stays PENDING and the member is not prompted to pay again.</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SCR-APP-09</w:t>
            </w:r>
          </w:p>
        </w:tc>
        <w:tc>
          <w:tcPr>
            <w:tcW w:type="dxa" w:w="1944"/>
            <w:tcMar>
              <w:top w:w="60" w:type="dxa"/>
              <w:start w:w="110" w:type="dxa"/>
              <w:bottom w:w="60" w:type="dxa"/>
              <w:end w:w="110" w:type="dxa"/>
            </w:tcMar>
          </w:tcPr>
          <w:p>
            <w:pPr>
              <w:spacing w:after="0"/>
            </w:pPr>
            <w:r/>
            <w:r>
              <w:rPr>
                <w:rFonts w:ascii="Calibri" w:hAnsi="Calibri"/>
                <w:i/>
                <w:color w:val="101828"/>
                <w:sz w:val="14"/>
              </w:rPr>
              <w:t>We are confirming with the payment provider. Please do not pay again.</w:t>
            </w:r>
          </w:p>
        </w:tc>
        <w:tc>
          <w:tcPr>
            <w:tcW w:type="dxa" w:w="2491"/>
            <w:tcMar>
              <w:top w:w="60" w:type="dxa"/>
              <w:start w:w="110" w:type="dxa"/>
              <w:bottom w:w="60" w:type="dxa"/>
              <w:end w:w="110" w:type="dxa"/>
            </w:tcMar>
          </w:tcPr>
          <w:p>
            <w:pPr>
              <w:spacing w:after="0"/>
            </w:pPr>
            <w:r/>
            <w:r>
              <w:rPr>
                <w:rFonts w:ascii="Calibri" w:hAnsi="Calibri"/>
                <w:b w:val="0"/>
                <w:i w:val="0"/>
                <w:color w:val="101828"/>
                <w:sz w:val="14"/>
              </w:rPr>
              <w:t>Reconciliation against provider settlement, NFR-AVL-003, EC-048.</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 retries repeatedly, more than three times</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Each attempt is a separate payment record. The obligation is unchanged. After a configurable attempt threshold the app suggests a different method or contacting support, and the risk engine may flag velocity.</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SCR-APP-08</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Several attempts have failed. Try a different account, or contact us and we will help.</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Support assists; support does not move money or change a balance, BR-023, EC-024.</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A member fails on many Ajos at once, for example a phone shared across accounts</w:t>
            </w:r>
          </w:p>
        </w:tc>
        <w:tc>
          <w:tcPr>
            <w:tcW w:type="dxa" w:w="2146"/>
            <w:tcMar>
              <w:top w:w="60" w:type="dxa"/>
              <w:start w:w="110" w:type="dxa"/>
              <w:bottom w:w="60" w:type="dxa"/>
              <w:end w:w="110" w:type="dxa"/>
            </w:tcMar>
          </w:tcPr>
          <w:p>
            <w:pPr>
              <w:spacing w:after="0"/>
            </w:pPr>
            <w:r/>
            <w:r>
              <w:rPr>
                <w:rFonts w:ascii="Calibri" w:hAnsi="Calibri"/>
                <w:b w:val="0"/>
                <w:i w:val="0"/>
                <w:color w:val="101828"/>
                <w:sz w:val="14"/>
              </w:rPr>
              <w:t xml:space="preserve">Risk velocity rules raise a </w:t>
            </w:r>
            <w:r>
              <w:rPr>
                <w:rFonts w:ascii="Consolas" w:hAnsi="Consolas"/>
                <w:color w:val="146EF5"/>
                <w:sz w:val="14"/>
              </w:rPr>
              <w:t>risk_events</w:t>
            </w:r>
            <w:r>
              <w:rPr>
                <w:rFonts w:ascii="Calibri" w:hAnsi="Calibri"/>
                <w:b w:val="0"/>
                <w:i w:val="0"/>
                <w:color w:val="101828"/>
                <w:sz w:val="14"/>
              </w:rPr>
              <w:t xml:space="preserve"> row for human review. Accounts are not frozen automatically on velocity alone at launch.</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SCR-ADM-05</w:t>
            </w:r>
          </w:p>
        </w:tc>
        <w:tc>
          <w:tcPr>
            <w:tcW w:type="dxa" w:w="1944"/>
            <w:tcMar>
              <w:top w:w="60" w:type="dxa"/>
              <w:start w:w="110" w:type="dxa"/>
              <w:bottom w:w="60" w:type="dxa"/>
              <w:end w:w="110" w:type="dxa"/>
            </w:tcMar>
          </w:tcPr>
          <w:p>
            <w:pPr>
              <w:spacing w:after="0"/>
            </w:pPr>
            <w:r/>
            <w:r>
              <w:rPr>
                <w:rFonts w:ascii="Calibri" w:hAnsi="Calibri"/>
                <w:b w:val="0"/>
                <w:i w:val="0"/>
                <w:color w:val="101828"/>
                <w:sz w:val="14"/>
              </w:rPr>
              <w:t>The member sees nothing; the officer sees the pattern.</w:t>
            </w:r>
          </w:p>
        </w:tc>
        <w:tc>
          <w:tcPr>
            <w:tcW w:type="dxa" w:w="2491"/>
            <w:tcMar>
              <w:top w:w="60" w:type="dxa"/>
              <w:start w:w="110" w:type="dxa"/>
              <w:bottom w:w="60" w:type="dxa"/>
              <w:end w:w="110" w:type="dxa"/>
            </w:tcMar>
          </w:tcPr>
          <w:p>
            <w:pPr>
              <w:spacing w:after="0"/>
            </w:pPr>
            <w:r/>
            <w:r>
              <w:rPr>
                <w:rFonts w:ascii="Consolas" w:hAnsi="Consolas"/>
                <w:color w:val="146EF5"/>
                <w:sz w:val="14"/>
              </w:rPr>
              <w:t>risk_officer</w:t>
            </w:r>
            <w:r>
              <w:rPr>
                <w:rFonts w:ascii="Calibri" w:hAnsi="Calibri"/>
                <w:b w:val="0"/>
                <w:i w:val="0"/>
                <w:color w:val="101828"/>
                <w:sz w:val="14"/>
              </w:rPr>
              <w:t xml:space="preserve"> reviews, approves or rejects the override, with the decision recorded. Flow 2.15, FR-ADM-006, EC-025.</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failure is actually the provider's fault and the member is penalised for it</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Reconciliation attributes the failure to the provider where the evidence shows it, and the grace window is not treated as consumed by a platform error.</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SCR-APP-08</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This one was on us, not you. Your deadline has been moved to DATE.</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Due-date correction with a recorded reason. Requires this to be a deliberate policy, not an accident, EC-029.</w:t>
            </w:r>
          </w:p>
        </w:tc>
      </w:tr>
    </w:tbl>
    <w:p>
      <w:pPr>
        <w:spacing w:after="80"/>
      </w:pPr>
    </w:p>
    <w:p>
      <w:r>
        <w:br w:type="page"/>
      </w:r>
    </w:p>
    <w:p>
      <w:pPr>
        <w:pStyle w:val="Heading2"/>
      </w:pPr>
      <w:r>
        <w:rPr>
          <w:rFonts w:ascii="Calibri" w:hAnsi="Calibri"/>
          <w:b/>
          <w:i w:val="0"/>
          <w:color w:val="146EF5"/>
          <w:sz w:val="29"/>
        </w:rPr>
        <w:t>2.8 Cancelled payment: the member abandons the provider page</w:t>
      </w:r>
    </w:p>
    <w:p>
      <w:pPr>
        <w:pStyle w:val="Heading3"/>
      </w:pPr>
      <w:r>
        <w:rPr>
          <w:rFonts w:ascii="Calibri" w:hAnsi="Calibri"/>
          <w:b/>
          <w:i w:val="0"/>
          <w:color w:val="0B1F3A"/>
          <w:sz w:val="24"/>
        </w:rPr>
        <w:t>2.8.1 Purpose</w:t>
      </w:r>
    </w:p>
    <w:p>
      <w:r>
        <w:rPr>
          <w:rFonts w:ascii="Calibri" w:hAnsi="Calibri"/>
          <w:b w:val="0"/>
          <w:i w:val="0"/>
          <w:color w:val="101828"/>
          <w:sz w:val="21"/>
        </w:rPr>
        <w:t>The most common payment failure in Nigeria is not a decline; it is a person closing the page because they found the money in the wrong place, or because they were interrupted. This flow makes abandonment safe and boring: the obligation is untouched, no fee is charged, nothing is written to the ledger, the member is told exactly what is still owed, and returning to pay later is one tap rather than a re-entry exercise.</w:t>
      </w:r>
    </w:p>
    <w:p>
      <w:pPr>
        <w:pStyle w:val="Heading3"/>
      </w:pPr>
      <w:r>
        <w:rPr>
          <w:rFonts w:ascii="Calibri" w:hAnsi="Calibri"/>
          <w:b/>
          <w:i w:val="0"/>
          <w:color w:val="0B1F3A"/>
          <w:sz w:val="24"/>
        </w:rPr>
        <w:t>2.8.2 Swimlane</w:t>
      </w:r>
    </w:p>
    <w:p>
      <w:pPr>
        <w:spacing w:before="0" w:after="0" w:line="240" w:lineRule="auto"/>
        <w:ind w:left="230"/>
        <w:shd w:val="clear" w:color="auto" w:fill="F7F9FC"/>
        <w:pBdr>
          <w:left w:val="single" w:sz="4" w:space="6" w:color="D0D5DD"/>
        </w:pBdr>
      </w:pPr>
      <w:r>
        <w:rPr>
          <w:rFonts w:ascii="Consolas" w:hAnsi="Consolas"/>
          <w:color w:val="0B1F3A"/>
          <w:sz w:val="16"/>
        </w:rPr>
        <w:t>MEMBER          AJO.ng            PROVIDER          LEDGER</w:t>
      </w:r>
    </w:p>
    <w:p>
      <w:pPr>
        <w:spacing w:before="0" w:after="0" w:line="240" w:lineRule="auto"/>
        <w:ind w:left="230"/>
        <w:shd w:val="clear" w:color="auto" w:fill="F7F9FC"/>
        <w:pBdr>
          <w:left w:val="single" w:sz="4" w:space="6" w:color="D0D5DD"/>
        </w:pBdr>
      </w:pPr>
      <w:r>
        <w:rPr>
          <w:rFonts w:ascii="Consolas" w:hAnsi="Consolas"/>
          <w:color w:val="0B1F3A"/>
          <w:sz w:val="16"/>
        </w:rPr>
        <w:t xml:space="preserve">   |  Pay now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POST /payments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key: idem-1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&lt;provider page opens&gt;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closes the tab / presses back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the network drops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|&lt;-----------------|  CANCELLED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payment CANCELLED (or UNKNOWN if no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provider confirmation ever arrives)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NOTHING POSTED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contribution still PENDING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still owes NGN 1,020.00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"You still owe this round. Pay any time|</w:t>
      </w:r>
    </w:p>
    <w:p>
      <w:pPr>
        <w:spacing w:before="0" w:after="0" w:line="240" w:lineRule="auto"/>
        <w:ind w:left="230"/>
        <w:shd w:val="clear" w:color="auto" w:fill="F7F9FC"/>
        <w:pBdr>
          <w:left w:val="single" w:sz="4" w:space="6" w:color="D0D5DD"/>
        </w:pBdr>
      </w:pPr>
      <w:r>
        <w:rPr>
          <w:rFonts w:ascii="Consolas" w:hAnsi="Consolas"/>
          <w:color w:val="0B1F3A"/>
          <w:sz w:val="16"/>
        </w:rPr>
        <w:t xml:space="preserve">   |   before the due date."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Pay again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POST /payments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key: idem-2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same obligation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SUCCESS -----&gt;|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|&lt;-----------------|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PAID, receipt (2.4 steps 8 to 11)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If the due date passes, the flow continues in 2.6.</w:t>
      </w:r>
    </w:p>
    <w:p>
      <w:pPr>
        <w:spacing w:before="0" w:after="0" w:line="240" w:lineRule="auto"/>
        <w:ind w:left="230"/>
        <w:shd w:val="clear" w:color="auto" w:fill="F7F9FC"/>
        <w:pBdr>
          <w:left w:val="single" w:sz="4" w:space="6" w:color="D0D5DD"/>
        </w:pBdr>
      </w:pPr>
      <w:r>
        <w:rPr>
          <w:rFonts w:ascii="Consolas" w:hAnsi="Consolas"/>
          <w:color w:val="0B1F3A"/>
          <w:sz w:val="16"/>
        </w:rPr>
        <w:t xml:space="preserve">   |  The idempotency key of the abandoned attempt is retained so a</w:t>
      </w:r>
    </w:p>
    <w:p>
      <w:pPr>
        <w:spacing w:before="0" w:after="0" w:line="240" w:lineRule="auto"/>
        <w:ind w:left="230"/>
        <w:shd w:val="clear" w:color="auto" w:fill="F7F9FC"/>
        <w:pBdr>
          <w:left w:val="single" w:sz="4" w:space="6" w:color="D0D5DD"/>
        </w:pBdr>
      </w:pPr>
      <w:r>
        <w:rPr>
          <w:rFonts w:ascii="Consolas" w:hAnsi="Consolas"/>
          <w:color w:val="0B1F3A"/>
          <w:sz w:val="16"/>
        </w:rPr>
        <w:t xml:space="preserve">   |  late-arriving provider result can still be matched correctly.</w:t>
      </w:r>
    </w:p>
    <w:p>
      <w:pPr>
        <w:pStyle w:val="Heading3"/>
      </w:pPr>
      <w:r>
        <w:rPr>
          <w:rFonts w:ascii="Calibri" w:hAnsi="Calibri"/>
          <w:b/>
          <w:i w:val="0"/>
          <w:color w:val="0B1F3A"/>
          <w:sz w:val="24"/>
        </w:rPr>
        <w:t>2.8.3 Step detail</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706"/>
            <w:shd w:val="clear" w:color="auto" w:fill="0B1F3A"/>
            <w:tcMar>
              <w:top w:w="60" w:type="dxa"/>
              <w:start w:w="110" w:type="dxa"/>
              <w:bottom w:w="60" w:type="dxa"/>
              <w:end w:w="110" w:type="dxa"/>
            </w:tcMar>
          </w:tcPr>
          <w:p>
            <w:pPr>
              <w:spacing w:after="0"/>
            </w:pPr>
            <w:r/>
            <w:r>
              <w:rPr>
                <w:rFonts w:ascii="Calibri" w:hAnsi="Calibri"/>
                <w:b/>
                <w:i w:val="0"/>
                <w:color w:val="FFFFFF"/>
                <w:sz w:val="14"/>
              </w:rPr>
              <w:t>Step</w:t>
            </w:r>
          </w:p>
        </w:tc>
        <w:tc>
          <w:tcPr>
            <w:tcW w:type="dxa" w:w="1123"/>
            <w:shd w:val="clear" w:color="auto" w:fill="0B1F3A"/>
            <w:tcMar>
              <w:top w:w="60" w:type="dxa"/>
              <w:start w:w="110" w:type="dxa"/>
              <w:bottom w:w="60" w:type="dxa"/>
              <w:end w:w="110" w:type="dxa"/>
            </w:tcMar>
          </w:tcPr>
          <w:p>
            <w:pPr>
              <w:spacing w:after="0"/>
            </w:pPr>
            <w:r/>
            <w:r>
              <w:rPr>
                <w:rFonts w:ascii="Calibri" w:hAnsi="Calibri"/>
                <w:b/>
                <w:i w:val="0"/>
                <w:color w:val="FFFFFF"/>
                <w:sz w:val="14"/>
              </w:rPr>
              <w:t>Actor</w:t>
            </w:r>
          </w:p>
        </w:tc>
        <w:tc>
          <w:tcPr>
            <w:tcW w:type="dxa" w:w="1210"/>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2030"/>
            <w:shd w:val="clear" w:color="auto" w:fill="0B1F3A"/>
            <w:tcMar>
              <w:top w:w="60" w:type="dxa"/>
              <w:start w:w="110" w:type="dxa"/>
              <w:bottom w:w="60" w:type="dxa"/>
              <w:end w:w="110" w:type="dxa"/>
            </w:tcMar>
          </w:tcPr>
          <w:p>
            <w:pPr>
              <w:spacing w:after="0"/>
            </w:pPr>
            <w:r/>
            <w:r>
              <w:rPr>
                <w:rFonts w:ascii="Calibri" w:hAnsi="Calibri"/>
                <w:b/>
                <w:i w:val="0"/>
                <w:color w:val="FFFFFF"/>
                <w:sz w:val="14"/>
              </w:rPr>
              <w:t>Action</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4"/>
              </w:rPr>
              <w:t>System response</w:t>
            </w:r>
          </w:p>
        </w:tc>
        <w:tc>
          <w:tcPr>
            <w:tcW w:type="dxa" w:w="1411"/>
            <w:shd w:val="clear" w:color="auto" w:fill="0B1F3A"/>
            <w:tcMar>
              <w:top w:w="60" w:type="dxa"/>
              <w:start w:w="110" w:type="dxa"/>
              <w:bottom w:w="60" w:type="dxa"/>
              <w:end w:w="110" w:type="dxa"/>
            </w:tcMar>
          </w:tcPr>
          <w:p>
            <w:pPr>
              <w:spacing w:after="0"/>
            </w:pPr>
            <w:r/>
            <w:r>
              <w:rPr>
                <w:rFonts w:ascii="Calibri" w:hAnsi="Calibri"/>
                <w:b/>
                <w:i w:val="0"/>
                <w:color w:val="FFFFFF"/>
                <w:sz w:val="14"/>
              </w:rPr>
              <w:t>Rule ref</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2.8.1</w:t>
            </w:r>
          </w:p>
        </w:tc>
        <w:tc>
          <w:tcPr>
            <w:tcW w:type="dxa" w:w="1123"/>
            <w:tcMar>
              <w:top w:w="60" w:type="dxa"/>
              <w:start w:w="110" w:type="dxa"/>
              <w:bottom w:w="60" w:type="dxa"/>
              <w:end w:w="110" w:type="dxa"/>
            </w:tcMar>
          </w:tcPr>
          <w:p>
            <w:pPr>
              <w:spacing w:after="0"/>
            </w:pPr>
            <w:r/>
            <w:r>
              <w:rPr>
                <w:rFonts w:ascii="Calibri" w:hAnsi="Calibri"/>
                <w:b w:val="0"/>
                <w:i w:val="0"/>
                <w:color w:val="101828"/>
                <w:sz w:val="14"/>
              </w:rPr>
              <w:t>Member</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SCR-APP-09</w:t>
            </w:r>
          </w:p>
        </w:tc>
        <w:tc>
          <w:tcPr>
            <w:tcW w:type="dxa" w:w="2030"/>
            <w:tcMar>
              <w:top w:w="60" w:type="dxa"/>
              <w:start w:w="110" w:type="dxa"/>
              <w:bottom w:w="60" w:type="dxa"/>
              <w:end w:w="110" w:type="dxa"/>
            </w:tcMar>
          </w:tcPr>
          <w:p>
            <w:pPr>
              <w:spacing w:after="0"/>
            </w:pPr>
            <w:r/>
            <w:r>
              <w:rPr>
                <w:rFonts w:ascii="Calibri" w:hAnsi="Calibri"/>
                <w:b w:val="0"/>
                <w:i w:val="0"/>
                <w:color w:val="101828"/>
                <w:sz w:val="14"/>
              </w:rPr>
              <w:t>Opens the provider surface and then abandons it.</w:t>
            </w:r>
          </w:p>
        </w:tc>
        <w:tc>
          <w:tcPr>
            <w:tcW w:type="dxa" w:w="2880"/>
            <w:tcMar>
              <w:top w:w="60" w:type="dxa"/>
              <w:start w:w="110" w:type="dxa"/>
              <w:bottom w:w="60" w:type="dxa"/>
              <w:end w:w="110" w:type="dxa"/>
            </w:tcMar>
          </w:tcPr>
          <w:p>
            <w:pPr>
              <w:spacing w:after="0"/>
            </w:pPr>
            <w:r/>
            <w:r>
              <w:rPr>
                <w:rFonts w:ascii="Calibri" w:hAnsi="Calibri"/>
                <w:b w:val="0"/>
                <w:i w:val="0"/>
                <w:color w:val="101828"/>
                <w:sz w:val="14"/>
              </w:rPr>
              <w:t>AJO.ng holds no state that requires the member to return to a specific step. The client persists the idempotency key locally so a retry after a crash or a reinstall is still safe.</w:t>
            </w:r>
          </w:p>
        </w:tc>
        <w:tc>
          <w:tcPr>
            <w:tcW w:type="dxa" w:w="1411"/>
            <w:tcMar>
              <w:top w:w="60" w:type="dxa"/>
              <w:start w:w="110" w:type="dxa"/>
              <w:bottom w:w="60" w:type="dxa"/>
              <w:end w:w="110" w:type="dxa"/>
            </w:tcMar>
          </w:tcPr>
          <w:p>
            <w:pPr>
              <w:spacing w:after="0"/>
            </w:pPr>
            <w:r/>
            <w:r>
              <w:rPr>
                <w:rFonts w:ascii="Calibri" w:hAnsi="Calibri"/>
                <w:b w:val="0"/>
                <w:i w:val="0"/>
                <w:color w:val="101828"/>
                <w:sz w:val="14"/>
              </w:rPr>
              <w:t>BR-024, NFR-PERF-004</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2.8.2</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Provider</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Reports CANCELLED, or reports nothing at all.</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A confirmed CANCELLED is mapped directly. An absent confirmation becomes UNKNOWN after the provider's agreed timeout, never a silent FAILED and never a silent SUCCESS.</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CAN §4, NFR-PERF-003, EC-035, EC-048</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2.8.3</w:t>
            </w:r>
          </w:p>
        </w:tc>
        <w:tc>
          <w:tcPr>
            <w:tcW w:type="dxa" w:w="1123"/>
            <w:tcMar>
              <w:top w:w="60" w:type="dxa"/>
              <w:start w:w="110" w:type="dxa"/>
              <w:bottom w:w="60" w:type="dxa"/>
              <w:end w:w="110" w:type="dxa"/>
            </w:tcMar>
          </w:tcPr>
          <w:p>
            <w:pPr>
              <w:spacing w:after="0"/>
            </w:pPr>
            <w:r/>
            <w:r>
              <w:rPr>
                <w:rFonts w:ascii="Calibri" w:hAnsi="Calibri"/>
                <w:b w:val="0"/>
                <w:i w:val="0"/>
                <w:color w:val="101828"/>
                <w:sz w:val="14"/>
              </w:rPr>
              <w:t>AJO.ng</w:t>
            </w:r>
          </w:p>
        </w:tc>
        <w:tc>
          <w:tcPr>
            <w:tcW w:type="dxa" w:w="1210"/>
            <w:tcMar>
              <w:top w:w="60" w:type="dxa"/>
              <w:start w:w="110" w:type="dxa"/>
              <w:bottom w:w="60" w:type="dxa"/>
              <w:end w:w="110" w:type="dxa"/>
            </w:tcMar>
          </w:tcPr>
          <w:p>
            <w:pPr>
              <w:spacing w:after="0"/>
            </w:pPr>
            <w:r/>
            <w:r>
              <w:rPr>
                <w:rFonts w:ascii="Calibri" w:hAnsi="Calibri"/>
                <w:b w:val="0"/>
                <w:i w:val="0"/>
                <w:color w:val="101828"/>
                <w:sz w:val="14"/>
              </w:rPr>
              <w:t>—</w:t>
            </w:r>
          </w:p>
        </w:tc>
        <w:tc>
          <w:tcPr>
            <w:tcW w:type="dxa" w:w="2030"/>
            <w:tcMar>
              <w:top w:w="60" w:type="dxa"/>
              <w:start w:w="110" w:type="dxa"/>
              <w:bottom w:w="60" w:type="dxa"/>
              <w:end w:w="110" w:type="dxa"/>
            </w:tcMar>
          </w:tcPr>
          <w:p>
            <w:pPr>
              <w:spacing w:after="0"/>
            </w:pPr>
            <w:r/>
            <w:r>
              <w:rPr>
                <w:rFonts w:ascii="Calibri" w:hAnsi="Calibri"/>
                <w:b w:val="0"/>
                <w:i w:val="0"/>
                <w:color w:val="101828"/>
                <w:sz w:val="14"/>
              </w:rPr>
              <w:t>Leaves the obligation exactly as it was.</w:t>
            </w:r>
          </w:p>
        </w:tc>
        <w:tc>
          <w:tcPr>
            <w:tcW w:type="dxa" w:w="2880"/>
            <w:tcMar>
              <w:top w:w="60" w:type="dxa"/>
              <w:start w:w="110" w:type="dxa"/>
              <w:bottom w:w="60" w:type="dxa"/>
              <w:end w:w="110" w:type="dxa"/>
            </w:tcMar>
          </w:tcPr>
          <w:p>
            <w:pPr>
              <w:spacing w:after="0"/>
            </w:pPr>
            <w:r/>
            <w:r>
              <w:rPr>
                <w:rFonts w:ascii="Calibri" w:hAnsi="Calibri"/>
                <w:b w:val="0"/>
                <w:i w:val="0"/>
                <w:color w:val="101828"/>
                <w:sz w:val="14"/>
              </w:rPr>
              <w:t>Contribution remains PENDING with the full NGN 1,020.00 outstanding. No ledger entry, no fee, no state regression. The due date is unchanged.</w:t>
            </w:r>
          </w:p>
        </w:tc>
        <w:tc>
          <w:tcPr>
            <w:tcW w:type="dxa" w:w="1411"/>
            <w:tcMar>
              <w:top w:w="60" w:type="dxa"/>
              <w:start w:w="110" w:type="dxa"/>
              <w:bottom w:w="60" w:type="dxa"/>
              <w:end w:w="110" w:type="dxa"/>
            </w:tcMar>
          </w:tcPr>
          <w:p>
            <w:pPr>
              <w:spacing w:after="0"/>
            </w:pPr>
            <w:r/>
            <w:r>
              <w:rPr>
                <w:rFonts w:ascii="Calibri" w:hAnsi="Calibri"/>
                <w:b w:val="0"/>
                <w:i w:val="0"/>
                <w:color w:val="101828"/>
                <w:sz w:val="14"/>
              </w:rPr>
              <w:t>BR-021, BR-005</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2.8.4</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Member</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SCR-APP-08</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Returns to the contribution later.</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screen shows the outstanding amount, the due date and a single </w:t>
            </w:r>
            <w:r>
              <w:rPr>
                <w:rFonts w:ascii="Calibri" w:hAnsi="Calibri"/>
                <w:i/>
                <w:color w:val="101828"/>
                <w:sz w:val="14"/>
              </w:rPr>
              <w:t>Pay now</w:t>
            </w:r>
            <w:r>
              <w:rPr>
                <w:rFonts w:ascii="Calibri" w:hAnsi="Calibri"/>
                <w:b w:val="0"/>
                <w:i w:val="0"/>
                <w:color w:val="101828"/>
                <w:sz w:val="14"/>
              </w:rPr>
              <w:t xml:space="preserve"> control. The abandoned attempt is visible in the payment history as </w:t>
            </w:r>
            <w:r>
              <w:rPr>
                <w:rFonts w:ascii="Calibri" w:hAnsi="Calibri"/>
                <w:i/>
                <w:color w:val="101828"/>
                <w:sz w:val="14"/>
              </w:rPr>
              <w:t>cancelled</w:t>
            </w:r>
            <w:r>
              <w:rPr>
                <w:rFonts w:ascii="Calibri" w:hAnsi="Calibri"/>
                <w:b w:val="0"/>
                <w:i w:val="0"/>
                <w:color w:val="101828"/>
                <w:sz w:val="14"/>
              </w:rPr>
              <w:t xml:space="preserve"> so the member is never confused about their own record.</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FR-PAY-006, FR-CON-002, P1</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2.8.5</w:t>
            </w:r>
          </w:p>
        </w:tc>
        <w:tc>
          <w:tcPr>
            <w:tcW w:type="dxa" w:w="1123"/>
            <w:tcMar>
              <w:top w:w="60" w:type="dxa"/>
              <w:start w:w="110" w:type="dxa"/>
              <w:bottom w:w="60" w:type="dxa"/>
              <w:end w:w="110" w:type="dxa"/>
            </w:tcMar>
          </w:tcPr>
          <w:p>
            <w:pPr>
              <w:spacing w:after="0"/>
            </w:pPr>
            <w:r/>
            <w:r>
              <w:rPr>
                <w:rFonts w:ascii="Calibri" w:hAnsi="Calibri"/>
                <w:b w:val="0"/>
                <w:i w:val="0"/>
                <w:color w:val="101828"/>
                <w:sz w:val="14"/>
              </w:rPr>
              <w:t>Member</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SCR-APP-08</w:t>
            </w:r>
          </w:p>
        </w:tc>
        <w:tc>
          <w:tcPr>
            <w:tcW w:type="dxa" w:w="2030"/>
            <w:tcMar>
              <w:top w:w="60" w:type="dxa"/>
              <w:start w:w="110" w:type="dxa"/>
              <w:bottom w:w="60" w:type="dxa"/>
              <w:end w:w="110" w:type="dxa"/>
            </w:tcMar>
          </w:tcPr>
          <w:p>
            <w:pPr>
              <w:spacing w:after="0"/>
            </w:pPr>
            <w:r/>
            <w:r>
              <w:rPr>
                <w:rFonts w:ascii="Calibri" w:hAnsi="Calibri"/>
                <w:b w:val="0"/>
                <w:i w:val="0"/>
                <w:color w:val="101828"/>
                <w:sz w:val="14"/>
              </w:rPr>
              <w:t>Pays again, before or after the due date.</w:t>
            </w:r>
          </w:p>
        </w:tc>
        <w:tc>
          <w:tcPr>
            <w:tcW w:type="dxa" w:w="2880"/>
            <w:tcMar>
              <w:top w:w="60" w:type="dxa"/>
              <w:start w:w="110" w:type="dxa"/>
              <w:bottom w:w="60" w:type="dxa"/>
              <w:end w:w="110" w:type="dxa"/>
            </w:tcMar>
          </w:tcPr>
          <w:p>
            <w:pPr>
              <w:spacing w:after="0"/>
            </w:pPr>
            <w:r/>
            <w:r>
              <w:rPr>
                <w:rFonts w:ascii="Calibri" w:hAnsi="Calibri"/>
                <w:b w:val="0"/>
                <w:i w:val="0"/>
                <w:color w:val="101828"/>
                <w:sz w:val="14"/>
              </w:rPr>
              <w:t>A new payment against the same obligation with a new key. A payment after the due date is a late payment, not a default, and the default clock is governed by the recorded due timestamp.</w:t>
            </w:r>
          </w:p>
        </w:tc>
        <w:tc>
          <w:tcPr>
            <w:tcW w:type="dxa" w:w="1411"/>
            <w:tcMar>
              <w:top w:w="60" w:type="dxa"/>
              <w:start w:w="110" w:type="dxa"/>
              <w:bottom w:w="60" w:type="dxa"/>
              <w:end w:w="110" w:type="dxa"/>
            </w:tcMar>
          </w:tcPr>
          <w:p>
            <w:pPr>
              <w:spacing w:after="0"/>
            </w:pPr>
            <w:r/>
            <w:r>
              <w:rPr>
                <w:rFonts w:ascii="Calibri" w:hAnsi="Calibri"/>
                <w:b w:val="0"/>
                <w:i w:val="0"/>
                <w:color w:val="101828"/>
                <w:sz w:val="14"/>
              </w:rPr>
              <w:t>FR-DEF-003, BR-016, EC-012</w:t>
            </w:r>
          </w:p>
        </w:tc>
      </w:tr>
    </w:tbl>
    <w:p>
      <w:pPr>
        <w:spacing w:after="80"/>
      </w:pPr>
    </w:p>
    <w:p>
      <w:pPr>
        <w:pStyle w:val="Heading3"/>
      </w:pPr>
      <w:r>
        <w:rPr>
          <w:rFonts w:ascii="Calibri" w:hAnsi="Calibri"/>
          <w:b/>
          <w:i w:val="0"/>
          <w:color w:val="0B1F3A"/>
          <w:sz w:val="24"/>
        </w:rPr>
        <w:t>2.8.4 Happy path</w:t>
      </w:r>
    </w:p>
    <w:p>
      <w:r>
        <w:rPr>
          <w:rFonts w:ascii="Calibri" w:hAnsi="Calibri"/>
          <w:b w:val="0"/>
          <w:i w:val="0"/>
          <w:color w:val="101828"/>
          <w:sz w:val="21"/>
        </w:rPr>
        <w:t xml:space="preserve">The member opens the provider page, realises the money is in the other account, and closes the tab. The provider reports CANCELLED. The payment record shows cancelled, the contribution still shows NGN 1,020.00 outstanding with the original due date, and nothing has been charged. Two days later the member moves the money and taps </w:t>
      </w:r>
      <w:r>
        <w:rPr>
          <w:rFonts w:ascii="Calibri" w:hAnsi="Calibri"/>
          <w:i/>
          <w:color w:val="101828"/>
          <w:sz w:val="21"/>
        </w:rPr>
        <w:t>Pay now</w:t>
      </w:r>
      <w:r>
        <w:rPr>
          <w:rFonts w:ascii="Calibri" w:hAnsi="Calibri"/>
          <w:b w:val="0"/>
          <w:i w:val="0"/>
          <w:color w:val="101828"/>
          <w:sz w:val="21"/>
        </w:rPr>
        <w:t xml:space="preserve"> once. The new attempt succeeds, the ledger posts the contribution and the fee, the contribution becomes PAID, and the receipt lists both attempts so the member's own record is complete and honest. No fee was collected for the abandoned attempt, because no money moved.</w:t>
      </w:r>
    </w:p>
    <w:p>
      <w:pPr>
        <w:pStyle w:val="Heading3"/>
      </w:pPr>
      <w:r>
        <w:rPr>
          <w:rFonts w:ascii="Calibri" w:hAnsi="Calibri"/>
          <w:b/>
          <w:i w:val="0"/>
          <w:color w:val="0B1F3A"/>
          <w:sz w:val="24"/>
        </w:rPr>
        <w:t>2.8.5 Alternates and failure branches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42"/>
            <w:shd w:val="clear" w:color="auto" w:fill="0B1F3A"/>
            <w:tcMar>
              <w:top w:w="60" w:type="dxa"/>
              <w:start w:w="110" w:type="dxa"/>
              <w:bottom w:w="60" w:type="dxa"/>
              <w:end w:w="110" w:type="dxa"/>
            </w:tcMar>
          </w:tcPr>
          <w:p>
            <w:pPr>
              <w:spacing w:after="0"/>
            </w:pPr>
            <w:r/>
            <w:r>
              <w:rPr>
                <w:rFonts w:ascii="Calibri" w:hAnsi="Calibri"/>
                <w:b/>
                <w:i w:val="0"/>
                <w:color w:val="FFFFFF"/>
                <w:sz w:val="14"/>
              </w:rPr>
              <w:t>Condition</w:t>
            </w:r>
          </w:p>
        </w:tc>
        <w:tc>
          <w:tcPr>
            <w:tcW w:type="dxa" w:w="2146"/>
            <w:shd w:val="clear" w:color="auto" w:fill="0B1F3A"/>
            <w:tcMar>
              <w:top w:w="60" w:type="dxa"/>
              <w:start w:w="110" w:type="dxa"/>
              <w:bottom w:w="60" w:type="dxa"/>
              <w:end w:w="110" w:type="dxa"/>
            </w:tcMar>
          </w:tcPr>
          <w:p>
            <w:pPr>
              <w:spacing w:after="0"/>
            </w:pPr>
            <w:r/>
            <w:r>
              <w:rPr>
                <w:rFonts w:ascii="Calibri" w:hAnsi="Calibri"/>
                <w:b/>
                <w:i w:val="0"/>
                <w:color w:val="FFFFFF"/>
                <w:sz w:val="14"/>
              </w:rPr>
              <w:t>Branch</w:t>
            </w:r>
          </w:p>
        </w:tc>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4"/>
              </w:rPr>
              <w:t>Message</w:t>
            </w:r>
          </w:p>
        </w:tc>
        <w:tc>
          <w:tcPr>
            <w:tcW w:type="dxa" w:w="2491"/>
            <w:shd w:val="clear" w:color="auto" w:fill="0B1F3A"/>
            <w:tcMar>
              <w:top w:w="60" w:type="dxa"/>
              <w:start w:w="110" w:type="dxa"/>
              <w:bottom w:w="60" w:type="dxa"/>
              <w:end w:w="110" w:type="dxa"/>
            </w:tcMar>
          </w:tcPr>
          <w:p>
            <w:pPr>
              <w:spacing w:after="0"/>
            </w:pPr>
            <w:r/>
            <w:r>
              <w:rPr>
                <w:rFonts w:ascii="Calibri" w:hAnsi="Calibri"/>
                <w:b/>
                <w:i w:val="0"/>
                <w:color w:val="FFFFFF"/>
                <w:sz w:val="14"/>
              </w:rPr>
              <w:t>Recovery</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member abandons and the provider never confirms anything</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payment becomes UNKNOWN after the timeout and is held for reconciliation. The contribution is not shown as failed and the member is not asked to pay again.</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SCR-APP-09</w:t>
            </w:r>
          </w:p>
        </w:tc>
        <w:tc>
          <w:tcPr>
            <w:tcW w:type="dxa" w:w="1944"/>
            <w:tcMar>
              <w:top w:w="60" w:type="dxa"/>
              <w:start w:w="110" w:type="dxa"/>
              <w:bottom w:w="60" w:type="dxa"/>
              <w:end w:w="110" w:type="dxa"/>
            </w:tcMar>
          </w:tcPr>
          <w:p>
            <w:pPr>
              <w:spacing w:after="0"/>
            </w:pPr>
            <w:r/>
            <w:r>
              <w:rPr>
                <w:rFonts w:ascii="Calibri" w:hAnsi="Calibri"/>
                <w:i/>
                <w:color w:val="101828"/>
                <w:sz w:val="14"/>
              </w:rPr>
              <w:t>We are still checking this payment with the provider. Do not pay again.</w:t>
            </w:r>
          </w:p>
        </w:tc>
        <w:tc>
          <w:tcPr>
            <w:tcW w:type="dxa" w:w="2491"/>
            <w:tcMar>
              <w:top w:w="60" w:type="dxa"/>
              <w:start w:w="110" w:type="dxa"/>
              <w:bottom w:w="60" w:type="dxa"/>
              <w:end w:w="110" w:type="dxa"/>
            </w:tcMar>
          </w:tcPr>
          <w:p>
            <w:pPr>
              <w:spacing w:after="0"/>
            </w:pPr>
            <w:r/>
            <w:r>
              <w:rPr>
                <w:rFonts w:ascii="Calibri" w:hAnsi="Calibri"/>
                <w:b w:val="0"/>
                <w:i w:val="0"/>
                <w:color w:val="101828"/>
                <w:sz w:val="14"/>
              </w:rPr>
              <w:t>Reconciliation within 24 hours. NFR-AVL-003, EC-001, EC-048.</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 abandons and then pays, and the first attempt later turns out to have succeeded</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The late success is detected by reconciliation and handled as an overpayment, not as a second contribution and not as a silent absorption.</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SCR-APP-09</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You have paid this round twice. We are holding the extra NGN 1,020.00 and will refund it.</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Refund on request, or consented application to a future round, flow 2.9, EC-004.</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member abandons repeatedly on every round</w:t>
            </w:r>
          </w:p>
        </w:tc>
        <w:tc>
          <w:tcPr>
            <w:tcW w:type="dxa" w:w="2146"/>
            <w:tcMar>
              <w:top w:w="60" w:type="dxa"/>
              <w:start w:w="110" w:type="dxa"/>
              <w:bottom w:w="60" w:type="dxa"/>
              <w:end w:w="110" w:type="dxa"/>
            </w:tcMar>
          </w:tcPr>
          <w:p>
            <w:pPr>
              <w:spacing w:after="0"/>
            </w:pPr>
            <w:r/>
            <w:r>
              <w:rPr>
                <w:rFonts w:ascii="Calibri" w:hAnsi="Calibri"/>
                <w:b w:val="0"/>
                <w:i w:val="0"/>
                <w:color w:val="101828"/>
                <w:sz w:val="14"/>
              </w:rPr>
              <w:t>Pattern is visible to the member as a personal record and to risk as a velocity signal, but the obligation is not escalated faster than the fixed sequence allows.</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SCR-APP-08 / SCR-ADM-05</w:t>
            </w:r>
          </w:p>
        </w:tc>
        <w:tc>
          <w:tcPr>
            <w:tcW w:type="dxa" w:w="1944"/>
            <w:tcMar>
              <w:top w:w="60" w:type="dxa"/>
              <w:start w:w="110" w:type="dxa"/>
              <w:bottom w:w="60" w:type="dxa"/>
              <w:end w:w="110" w:type="dxa"/>
            </w:tcMar>
          </w:tcPr>
          <w:p>
            <w:pPr>
              <w:spacing w:after="0"/>
            </w:pPr>
            <w:r/>
            <w:r>
              <w:rPr>
                <w:rFonts w:ascii="Calibri" w:hAnsi="Calibri"/>
                <w:i/>
                <w:color w:val="101828"/>
                <w:sz w:val="14"/>
              </w:rPr>
              <w:t>You have started three payments and not finished any. Your money is not at risk and nothing extra is owed.</w:t>
            </w:r>
          </w:p>
        </w:tc>
        <w:tc>
          <w:tcPr>
            <w:tcW w:type="dxa" w:w="2491"/>
            <w:tcMar>
              <w:top w:w="60" w:type="dxa"/>
              <w:start w:w="110" w:type="dxa"/>
              <w:bottom w:w="60" w:type="dxa"/>
              <w:end w:w="110" w:type="dxa"/>
            </w:tcMar>
          </w:tcPr>
          <w:p>
            <w:pPr>
              <w:spacing w:after="0"/>
            </w:pPr>
            <w:r/>
            <w:r>
              <w:rPr>
                <w:rFonts w:ascii="Calibri" w:hAnsi="Calibri"/>
                <w:b w:val="0"/>
                <w:i w:val="0"/>
                <w:color w:val="101828"/>
                <w:sz w:val="14"/>
              </w:rPr>
              <w:t>Risk review. No member-visible shaming. BR-014, EC-024.</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 abandons and never returns, and the due time passes</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The default flow in 2.6 runs from the recorded due timestamp exactly as it would have for a member who never started.</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SCR-APP-08</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The default sequence messages, unchanged.</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BR-016, flow 2.6, EC-016.</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client crashes after the charge but before the response is stored locally</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idempotency key is derived deterministically from the contribution, the attempt number and the device, so a regenerated key still matches the original attempt.</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SCR-APP-09</w:t>
            </w:r>
          </w:p>
        </w:tc>
        <w:tc>
          <w:tcPr>
            <w:tcW w:type="dxa" w:w="1944"/>
            <w:tcMar>
              <w:top w:w="60" w:type="dxa"/>
              <w:start w:w="110" w:type="dxa"/>
              <w:bottom w:w="60" w:type="dxa"/>
              <w:end w:w="110" w:type="dxa"/>
            </w:tcMar>
          </w:tcPr>
          <w:p>
            <w:pPr>
              <w:spacing w:after="0"/>
            </w:pPr>
            <w:r/>
            <w:r>
              <w:rPr>
                <w:rFonts w:ascii="Calibri" w:hAnsi="Calibri"/>
                <w:i/>
                <w:color w:val="101828"/>
                <w:sz w:val="14"/>
              </w:rPr>
              <w:t>We found your last payment attempt. Nothing was charged twice.</w:t>
            </w:r>
          </w:p>
        </w:tc>
        <w:tc>
          <w:tcPr>
            <w:tcW w:type="dxa" w:w="2491"/>
            <w:tcMar>
              <w:top w:w="60" w:type="dxa"/>
              <w:start w:w="110" w:type="dxa"/>
              <w:bottom w:w="60" w:type="dxa"/>
              <w:end w:w="110" w:type="dxa"/>
            </w:tcMar>
          </w:tcPr>
          <w:p>
            <w:pPr>
              <w:spacing w:after="0"/>
            </w:pPr>
            <w:r/>
            <w:r>
              <w:rPr>
                <w:rFonts w:ascii="Calibri" w:hAnsi="Calibri"/>
                <w:b w:val="0"/>
                <w:i w:val="0"/>
                <w:color w:val="101828"/>
                <w:sz w:val="14"/>
              </w:rPr>
              <w:t>Automatic. BR-024, EC-035.</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 believes a charge happened and cannot find it</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The payment history shows every attempt with its state and provider reference, so the member can answer the question themselves before contacting support.</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SCR-APP-09 / SCR-APP-11</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Here is every payment you have made and every attempt, including the ones that did not go through.</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Support can read this. Support cannot alter it. BR-023, P1, EC-026.</w:t>
            </w:r>
          </w:p>
        </w:tc>
      </w:tr>
    </w:tbl>
    <w:p>
      <w:pPr>
        <w:spacing w:after="80"/>
      </w:pPr>
    </w:p>
    <w:p>
      <w:r>
        <w:br w:type="page"/>
      </w:r>
    </w:p>
    <w:p>
      <w:pPr>
        <w:pStyle w:val="Heading2"/>
      </w:pPr>
      <w:r>
        <w:rPr>
          <w:rFonts w:ascii="Calibri" w:hAnsi="Calibri"/>
          <w:b/>
          <w:i w:val="0"/>
          <w:color w:val="146EF5"/>
          <w:sz w:val="29"/>
        </w:rPr>
        <w:t>2.9 Refund</w:t>
      </w:r>
    </w:p>
    <w:p>
      <w:pPr>
        <w:pStyle w:val="Heading3"/>
      </w:pPr>
      <w:r>
        <w:rPr>
          <w:rFonts w:ascii="Calibri" w:hAnsi="Calibri"/>
          <w:b/>
          <w:i w:val="0"/>
          <w:color w:val="0B1F3A"/>
          <w:sz w:val="24"/>
        </w:rPr>
        <w:t>2.9.1 Purpose</w:t>
      </w:r>
    </w:p>
    <w:p>
      <w:r>
        <w:rPr>
          <w:rFonts w:ascii="Calibri" w:hAnsi="Calibri"/>
          <w:b w:val="0"/>
          <w:i w:val="0"/>
          <w:color w:val="101828"/>
          <w:sz w:val="21"/>
        </w:rPr>
        <w:t>A refund returns money that was collected and should not have been kept. There are exactly four triggers in this specification, and only two of them occur in normal operation. Because a refund is itself a money movement, it is governed by the same rules as a contribution: an idempotency key, a reversing entry rather than an edit, a balance that must reach zero, and a receipt. The 2% fee on a refunded contribution is open decision D-05 and is not invented here.</w:t>
      </w:r>
    </w:p>
    <w:p>
      <w:pPr>
        <w:pStyle w:val="Heading3"/>
      </w:pPr>
      <w:r>
        <w:rPr>
          <w:rFonts w:ascii="Calibri" w:hAnsi="Calibri"/>
          <w:b/>
          <w:i w:val="0"/>
          <w:color w:val="0B1F3A"/>
          <w:sz w:val="24"/>
        </w:rPr>
        <w:t>2.9.2 Swimlane</w:t>
      </w:r>
    </w:p>
    <w:p>
      <w:pPr>
        <w:spacing w:before="0" w:after="0" w:line="240" w:lineRule="auto"/>
        <w:ind w:left="230"/>
        <w:shd w:val="clear" w:color="auto" w:fill="F7F9FC"/>
        <w:pBdr>
          <w:left w:val="single" w:sz="4" w:space="6" w:color="D0D5DD"/>
        </w:pBdr>
      </w:pPr>
      <w:r>
        <w:rPr>
          <w:rFonts w:ascii="Consolas" w:hAnsi="Consolas"/>
          <w:color w:val="0B1F3A"/>
          <w:sz w:val="16"/>
        </w:rPr>
        <w:t>TRIGGER            AJO.ng            PROVIDER          LEDGER        MEMBER</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 Enrollment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closes at day 5 |  CANCELLED with a recorded reason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positions unfull|  refund every collected contribution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in full; no position is filled by a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substitute, no debt survives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|-----------------&gt;| REVERSED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reversal entry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(never an edit)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|-----------------------------------------&gt;|  receipt</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B. Provider      |  REVERSED -&gt; payment REVERSED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reversal         |  contribution returns to PENDING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or is settled out by reversal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|-----------------&gt;| REVERSED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|-----------------------------------------&gt;|  receipt</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 Ajo CANCELLED |  no disbursement has occurred, so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before round 1   |  no payout recognition exists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disburses        |  reversal only, liability unwound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|-----------------------------------------&gt;|  receipt</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D. Risk decision |  risk_officer records trigger,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or dispute       |  evidence, decision, rationale,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resolution       |  identity. Reversal only.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|-----------------------------------------&gt;|  receipt</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NEVER: an edit, a delete, or a silent absorption into a later round.</w:t>
      </w:r>
    </w:p>
    <w:p>
      <w:pPr>
        <w:pStyle w:val="Heading3"/>
      </w:pPr>
      <w:r>
        <w:rPr>
          <w:rFonts w:ascii="Calibri" w:hAnsi="Calibri"/>
          <w:b/>
          <w:i w:val="0"/>
          <w:color w:val="0B1F3A"/>
          <w:sz w:val="24"/>
        </w:rPr>
        <w:t>2.9.3 Step detail</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706"/>
            <w:shd w:val="clear" w:color="auto" w:fill="0B1F3A"/>
            <w:tcMar>
              <w:top w:w="60" w:type="dxa"/>
              <w:start w:w="110" w:type="dxa"/>
              <w:bottom w:w="60" w:type="dxa"/>
              <w:end w:w="110" w:type="dxa"/>
            </w:tcMar>
          </w:tcPr>
          <w:p>
            <w:pPr>
              <w:spacing w:after="0"/>
            </w:pPr>
            <w:r/>
            <w:r>
              <w:rPr>
                <w:rFonts w:ascii="Calibri" w:hAnsi="Calibri"/>
                <w:b/>
                <w:i w:val="0"/>
                <w:color w:val="FFFFFF"/>
                <w:sz w:val="14"/>
              </w:rPr>
              <w:t>Step</w:t>
            </w:r>
          </w:p>
        </w:tc>
        <w:tc>
          <w:tcPr>
            <w:tcW w:type="dxa" w:w="1325"/>
            <w:shd w:val="clear" w:color="auto" w:fill="0B1F3A"/>
            <w:tcMar>
              <w:top w:w="60" w:type="dxa"/>
              <w:start w:w="110" w:type="dxa"/>
              <w:bottom w:w="60" w:type="dxa"/>
              <w:end w:w="110" w:type="dxa"/>
            </w:tcMar>
          </w:tcPr>
          <w:p>
            <w:pPr>
              <w:spacing w:after="0"/>
            </w:pPr>
            <w:r/>
            <w:r>
              <w:rPr>
                <w:rFonts w:ascii="Calibri" w:hAnsi="Calibri"/>
                <w:b/>
                <w:i w:val="0"/>
                <w:color w:val="FFFFFF"/>
                <w:sz w:val="14"/>
              </w:rPr>
              <w:t>Actor</w:t>
            </w:r>
          </w:p>
        </w:tc>
        <w:tc>
          <w:tcPr>
            <w:tcW w:type="dxa" w:w="1253"/>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2002"/>
            <w:shd w:val="clear" w:color="auto" w:fill="0B1F3A"/>
            <w:tcMar>
              <w:top w:w="60" w:type="dxa"/>
              <w:start w:w="110" w:type="dxa"/>
              <w:bottom w:w="60" w:type="dxa"/>
              <w:end w:w="110" w:type="dxa"/>
            </w:tcMar>
          </w:tcPr>
          <w:p>
            <w:pPr>
              <w:spacing w:after="0"/>
            </w:pPr>
            <w:r/>
            <w:r>
              <w:rPr>
                <w:rFonts w:ascii="Calibri" w:hAnsi="Calibri"/>
                <w:b/>
                <w:i w:val="0"/>
                <w:color w:val="FFFFFF"/>
                <w:sz w:val="14"/>
              </w:rPr>
              <w:t>Action</w:t>
            </w:r>
          </w:p>
        </w:tc>
        <w:tc>
          <w:tcPr>
            <w:tcW w:type="dxa" w:w="2808"/>
            <w:shd w:val="clear" w:color="auto" w:fill="0B1F3A"/>
            <w:tcMar>
              <w:top w:w="60" w:type="dxa"/>
              <w:start w:w="110" w:type="dxa"/>
              <w:bottom w:w="60" w:type="dxa"/>
              <w:end w:w="110" w:type="dxa"/>
            </w:tcMar>
          </w:tcPr>
          <w:p>
            <w:pPr>
              <w:spacing w:after="0"/>
            </w:pPr>
            <w:r/>
            <w:r>
              <w:rPr>
                <w:rFonts w:ascii="Calibri" w:hAnsi="Calibri"/>
                <w:b/>
                <w:i w:val="0"/>
                <w:color w:val="FFFFFF"/>
                <w:sz w:val="14"/>
              </w:rPr>
              <w:t>System response</w:t>
            </w:r>
          </w:p>
        </w:tc>
        <w:tc>
          <w:tcPr>
            <w:tcW w:type="dxa" w:w="1267"/>
            <w:shd w:val="clear" w:color="auto" w:fill="0B1F3A"/>
            <w:tcMar>
              <w:top w:w="60" w:type="dxa"/>
              <w:start w:w="110" w:type="dxa"/>
              <w:bottom w:w="60" w:type="dxa"/>
              <w:end w:w="110" w:type="dxa"/>
            </w:tcMar>
          </w:tcPr>
          <w:p>
            <w:pPr>
              <w:spacing w:after="0"/>
            </w:pPr>
            <w:r/>
            <w:r>
              <w:rPr>
                <w:rFonts w:ascii="Calibri" w:hAnsi="Calibri"/>
                <w:b/>
                <w:i w:val="0"/>
                <w:color w:val="FFFFFF"/>
                <w:sz w:val="14"/>
              </w:rPr>
              <w:t>Rule ref</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2.9.1</w:t>
            </w:r>
          </w:p>
        </w:tc>
        <w:tc>
          <w:tcPr>
            <w:tcW w:type="dxa" w:w="1325"/>
            <w:tcMar>
              <w:top w:w="60" w:type="dxa"/>
              <w:start w:w="110" w:type="dxa"/>
              <w:bottom w:w="60" w:type="dxa"/>
              <w:end w:w="110" w:type="dxa"/>
            </w:tcMar>
          </w:tcPr>
          <w:p>
            <w:pPr>
              <w:spacing w:after="0"/>
            </w:pPr>
            <w:r/>
            <w:r>
              <w:rPr>
                <w:rFonts w:ascii="Calibri" w:hAnsi="Calibri"/>
                <w:b w:val="0"/>
                <w:i w:val="0"/>
                <w:color w:val="101828"/>
                <w:sz w:val="14"/>
              </w:rPr>
              <w:t>System</w:t>
            </w:r>
          </w:p>
        </w:tc>
        <w:tc>
          <w:tcPr>
            <w:tcW w:type="dxa" w:w="1253"/>
            <w:tcMar>
              <w:top w:w="60" w:type="dxa"/>
              <w:start w:w="110" w:type="dxa"/>
              <w:bottom w:w="60" w:type="dxa"/>
              <w:end w:w="110" w:type="dxa"/>
            </w:tcMar>
          </w:tcPr>
          <w:p>
            <w:pPr>
              <w:spacing w:after="0"/>
            </w:pPr>
            <w:r/>
            <w:r>
              <w:rPr>
                <w:rFonts w:ascii="Calibri" w:hAnsi="Calibri"/>
                <w:b w:val="0"/>
                <w:i w:val="0"/>
                <w:color w:val="101828"/>
                <w:sz w:val="14"/>
              </w:rPr>
              <w:t>SCR-APP-05</w:t>
            </w:r>
          </w:p>
        </w:tc>
        <w:tc>
          <w:tcPr>
            <w:tcW w:type="dxa" w:w="2002"/>
            <w:tcMar>
              <w:top w:w="60" w:type="dxa"/>
              <w:start w:w="110" w:type="dxa"/>
              <w:bottom w:w="60" w:type="dxa"/>
              <w:end w:w="110" w:type="dxa"/>
            </w:tcMar>
          </w:tcPr>
          <w:p>
            <w:pPr>
              <w:spacing w:after="0"/>
            </w:pPr>
            <w:r/>
            <w:r>
              <w:rPr>
                <w:rFonts w:ascii="Calibri" w:hAnsi="Calibri"/>
                <w:b w:val="0"/>
                <w:i w:val="0"/>
                <w:color w:val="101828"/>
                <w:sz w:val="14"/>
              </w:rPr>
              <w:t>Enrollment closes at day 5 with positions unfilled.</w:t>
            </w:r>
          </w:p>
        </w:tc>
        <w:tc>
          <w:tcPr>
            <w:tcW w:type="dxa" w:w="2808"/>
            <w:tcMar>
              <w:top w:w="60" w:type="dxa"/>
              <w:start w:w="110" w:type="dxa"/>
              <w:bottom w:w="60" w:type="dxa"/>
              <w:end w:w="110" w:type="dxa"/>
            </w:tcMar>
          </w:tcPr>
          <w:p>
            <w:pPr>
              <w:spacing w:after="0"/>
            </w:pPr>
            <w:r/>
            <w:r>
              <w:rPr>
                <w:rFonts w:ascii="Calibri" w:hAnsi="Calibri"/>
                <w:b w:val="0"/>
                <w:i w:val="0"/>
                <w:color w:val="101828"/>
                <w:sz w:val="14"/>
              </w:rPr>
              <w:t>The Ajo transitions to CANCELLED with the reason recorded. Every collected contribution is refunded in full. In the normal case there is nothing to refund, because contributions are only collected from an ACTIVE Ajo; the rule exists so that a prepaid edge case cannot leave money stranded.</w:t>
            </w:r>
          </w:p>
        </w:tc>
        <w:tc>
          <w:tcPr>
            <w:tcW w:type="dxa" w:w="1267"/>
            <w:tcMar>
              <w:top w:w="60" w:type="dxa"/>
              <w:start w:w="110" w:type="dxa"/>
              <w:bottom w:w="60" w:type="dxa"/>
              <w:end w:w="110" w:type="dxa"/>
            </w:tcMar>
          </w:tcPr>
          <w:p>
            <w:pPr>
              <w:spacing w:after="0"/>
            </w:pPr>
            <w:r/>
            <w:r>
              <w:rPr>
                <w:rFonts w:ascii="Calibri" w:hAnsi="Calibri"/>
                <w:b w:val="0"/>
                <w:i w:val="0"/>
                <w:color w:val="101828"/>
                <w:sz w:val="14"/>
              </w:rPr>
              <w:t>BR-001, CAN §3, EC-051</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2.9.2</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AJO.ng</w:t>
            </w:r>
          </w:p>
        </w:tc>
        <w:tc>
          <w:tcPr>
            <w:tcW w:type="dxa" w:w="1253"/>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SCR-APP-10</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Initiates the refund to the original payment instrument.</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refund is a money movement and therefore requires an </w:t>
            </w:r>
            <w:r>
              <w:rPr>
                <w:rFonts w:ascii="Consolas" w:hAnsi="Consolas"/>
                <w:color w:val="146EF5"/>
                <w:sz w:val="14"/>
              </w:rPr>
              <w:t>Idempotency-Key</w:t>
            </w:r>
            <w:r>
              <w:rPr>
                <w:rFonts w:ascii="Calibri" w:hAnsi="Calibri"/>
                <w:b w:val="0"/>
                <w:i w:val="0"/>
                <w:color w:val="101828"/>
                <w:sz w:val="14"/>
              </w:rPr>
              <w:t>, a recorded trigger and a receipt. The member is told the expected credit window, which cannot be stated as a firm date until ProvidusUnity confirms it in writing.</w:t>
            </w:r>
          </w:p>
        </w:tc>
        <w:tc>
          <w:tcPr>
            <w:tcW w:type="dxa" w:w="1267"/>
            <w:tcMar>
              <w:top w:w="60" w:type="dxa"/>
              <w:start w:w="110" w:type="dxa"/>
              <w:bottom w:w="60" w:type="dxa"/>
              <w:end w:w="110" w:type="dxa"/>
            </w:tcMar>
            <w:shd w:val="clear" w:color="auto" w:fill="F4F7FB"/>
          </w:tcPr>
          <w:p>
            <w:pPr>
              <w:spacing w:after="0"/>
            </w:pPr>
            <w:r/>
            <w:r>
              <w:rPr>
                <w:rFonts w:ascii="Calibri" w:hAnsi="Calibri"/>
                <w:b w:val="0"/>
                <w:i w:val="0"/>
                <w:color w:val="101828"/>
                <w:sz w:val="14"/>
              </w:rPr>
              <w:t>BR-024, D-07, DEP-02, EC-017</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2.9.3</w:t>
            </w:r>
          </w:p>
        </w:tc>
        <w:tc>
          <w:tcPr>
            <w:tcW w:type="dxa" w:w="1325"/>
            <w:tcMar>
              <w:top w:w="60" w:type="dxa"/>
              <w:start w:w="110" w:type="dxa"/>
              <w:bottom w:w="60" w:type="dxa"/>
              <w:end w:w="110" w:type="dxa"/>
            </w:tcMar>
          </w:tcPr>
          <w:p>
            <w:pPr>
              <w:spacing w:after="0"/>
            </w:pPr>
            <w:r/>
            <w:r>
              <w:rPr>
                <w:rFonts w:ascii="Calibri" w:hAnsi="Calibri"/>
                <w:b w:val="0"/>
                <w:i w:val="0"/>
                <w:color w:val="101828"/>
                <w:sz w:val="14"/>
              </w:rPr>
              <w:t>AJO.ng</w:t>
            </w:r>
          </w:p>
        </w:tc>
        <w:tc>
          <w:tcPr>
            <w:tcW w:type="dxa" w:w="1253"/>
            <w:tcMar>
              <w:top w:w="60" w:type="dxa"/>
              <w:start w:w="110" w:type="dxa"/>
              <w:bottom w:w="60" w:type="dxa"/>
              <w:end w:w="110" w:type="dxa"/>
            </w:tcMar>
          </w:tcPr>
          <w:p>
            <w:pPr>
              <w:spacing w:after="0"/>
            </w:pPr>
            <w:r/>
            <w:r>
              <w:rPr>
                <w:rFonts w:ascii="Calibri" w:hAnsi="Calibri"/>
                <w:b w:val="0"/>
                <w:i w:val="0"/>
                <w:color w:val="101828"/>
                <w:sz w:val="14"/>
              </w:rPr>
              <w:t>—</w:t>
            </w:r>
          </w:p>
        </w:tc>
        <w:tc>
          <w:tcPr>
            <w:tcW w:type="dxa" w:w="2002"/>
            <w:tcMar>
              <w:top w:w="60" w:type="dxa"/>
              <w:start w:w="110" w:type="dxa"/>
              <w:bottom w:w="60" w:type="dxa"/>
              <w:end w:w="110" w:type="dxa"/>
            </w:tcMar>
          </w:tcPr>
          <w:p>
            <w:pPr>
              <w:spacing w:after="0"/>
            </w:pPr>
            <w:r/>
            <w:r>
              <w:rPr>
                <w:rFonts w:ascii="Calibri" w:hAnsi="Calibri"/>
                <w:b w:val="0"/>
                <w:i w:val="0"/>
                <w:color w:val="101828"/>
                <w:sz w:val="14"/>
              </w:rPr>
              <w:t>Posts the reversal in the ledger.</w:t>
            </w:r>
          </w:p>
        </w:tc>
        <w:tc>
          <w:tcPr>
            <w:tcW w:type="dxa" w:w="2808"/>
            <w:tcMar>
              <w:top w:w="60" w:type="dxa"/>
              <w:start w:w="110" w:type="dxa"/>
              <w:bottom w:w="60" w:type="dxa"/>
              <w:end w:w="110" w:type="dxa"/>
            </w:tcMar>
          </w:tcPr>
          <w:p>
            <w:pPr>
              <w:spacing w:after="0"/>
            </w:pPr>
            <w:r/>
            <w:r>
              <w:rPr>
                <w:rFonts w:ascii="Calibri" w:hAnsi="Calibri"/>
                <w:b w:val="0"/>
                <w:i w:val="0"/>
                <w:color w:val="101828"/>
                <w:sz w:val="14"/>
              </w:rPr>
              <w:t xml:space="preserve">A reversal entry is posted; no existing entry is edited or deleted by any role, including </w:t>
            </w:r>
            <w:r>
              <w:rPr>
                <w:rFonts w:ascii="Consolas" w:hAnsi="Consolas"/>
                <w:color w:val="146EF5"/>
                <w:sz w:val="14"/>
              </w:rPr>
              <w:t>super_admin</w:t>
            </w:r>
            <w:r>
              <w:rPr>
                <w:rFonts w:ascii="Calibri" w:hAnsi="Calibri"/>
                <w:b w:val="0"/>
                <w:i w:val="0"/>
                <w:color w:val="101828"/>
                <w:sz w:val="14"/>
              </w:rPr>
              <w:t>. The reversal transaction must balance to zero or be rejected.</w:t>
            </w:r>
          </w:p>
        </w:tc>
        <w:tc>
          <w:tcPr>
            <w:tcW w:type="dxa" w:w="1267"/>
            <w:tcMar>
              <w:top w:w="60" w:type="dxa"/>
              <w:start w:w="110" w:type="dxa"/>
              <w:bottom w:w="60" w:type="dxa"/>
              <w:end w:w="110" w:type="dxa"/>
            </w:tcMar>
          </w:tcPr>
          <w:p>
            <w:pPr>
              <w:spacing w:after="0"/>
            </w:pPr>
            <w:r/>
            <w:r>
              <w:rPr>
                <w:rFonts w:ascii="Calibri" w:hAnsi="Calibri"/>
                <w:b w:val="0"/>
                <w:i w:val="0"/>
                <w:color w:val="101828"/>
                <w:sz w:val="14"/>
              </w:rPr>
              <w:t>BR-025, BR-013, C-05, G6</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2.9.4</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Provider</w:t>
            </w:r>
          </w:p>
        </w:tc>
        <w:tc>
          <w:tcPr>
            <w:tcW w:type="dxa" w:w="1253"/>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Credits the member.</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Payment state becomes REVERSED on provider confirmation. The refund SLA is open decision D-07 and must not be publicised as a promise until it is answered in writing.</w:t>
            </w:r>
          </w:p>
        </w:tc>
        <w:tc>
          <w:tcPr>
            <w:tcW w:type="dxa" w:w="1267"/>
            <w:tcMar>
              <w:top w:w="60" w:type="dxa"/>
              <w:start w:w="110" w:type="dxa"/>
              <w:bottom w:w="60" w:type="dxa"/>
              <w:end w:w="110" w:type="dxa"/>
            </w:tcMar>
            <w:shd w:val="clear" w:color="auto" w:fill="F4F7FB"/>
          </w:tcPr>
          <w:p>
            <w:pPr>
              <w:spacing w:after="0"/>
            </w:pPr>
            <w:r/>
            <w:r>
              <w:rPr>
                <w:rFonts w:ascii="Calibri" w:hAnsi="Calibri"/>
                <w:b w:val="0"/>
                <w:i w:val="0"/>
                <w:color w:val="101828"/>
                <w:sz w:val="14"/>
              </w:rPr>
              <w:t>CAN §4, D-07, EC-011</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2.9.5</w:t>
            </w:r>
          </w:p>
        </w:tc>
        <w:tc>
          <w:tcPr>
            <w:tcW w:type="dxa" w:w="1325"/>
            <w:tcMar>
              <w:top w:w="60" w:type="dxa"/>
              <w:start w:w="110" w:type="dxa"/>
              <w:bottom w:w="60" w:type="dxa"/>
              <w:end w:w="110" w:type="dxa"/>
            </w:tcMar>
          </w:tcPr>
          <w:p>
            <w:pPr>
              <w:spacing w:after="0"/>
            </w:pPr>
            <w:r/>
            <w:r>
              <w:rPr>
                <w:rFonts w:ascii="Calibri" w:hAnsi="Calibri"/>
                <w:b w:val="0"/>
                <w:i w:val="0"/>
                <w:color w:val="101828"/>
                <w:sz w:val="14"/>
              </w:rPr>
              <w:t>Member</w:t>
            </w:r>
          </w:p>
        </w:tc>
        <w:tc>
          <w:tcPr>
            <w:tcW w:type="dxa" w:w="1253"/>
            <w:tcMar>
              <w:top w:w="60" w:type="dxa"/>
              <w:start w:w="110" w:type="dxa"/>
              <w:bottom w:w="60" w:type="dxa"/>
              <w:end w:w="110" w:type="dxa"/>
            </w:tcMar>
          </w:tcPr>
          <w:p>
            <w:pPr>
              <w:spacing w:after="0"/>
            </w:pPr>
            <w:r/>
            <w:r>
              <w:rPr>
                <w:rFonts w:ascii="Calibri" w:hAnsi="Calibri"/>
                <w:b w:val="0"/>
                <w:i w:val="0"/>
                <w:color w:val="101828"/>
                <w:sz w:val="14"/>
              </w:rPr>
              <w:t>SCR-APP-11</w:t>
            </w:r>
          </w:p>
        </w:tc>
        <w:tc>
          <w:tcPr>
            <w:tcW w:type="dxa" w:w="2002"/>
            <w:tcMar>
              <w:top w:w="60" w:type="dxa"/>
              <w:start w:w="110" w:type="dxa"/>
              <w:bottom w:w="60" w:type="dxa"/>
              <w:end w:w="110" w:type="dxa"/>
            </w:tcMar>
          </w:tcPr>
          <w:p>
            <w:pPr>
              <w:spacing w:after="0"/>
            </w:pPr>
            <w:r/>
            <w:r>
              <w:rPr>
                <w:rFonts w:ascii="Calibri" w:hAnsi="Calibri"/>
                <w:b w:val="0"/>
                <w:i w:val="0"/>
                <w:color w:val="101828"/>
                <w:sz w:val="14"/>
              </w:rPr>
              <w:t>Receives the refund receipt and sees the corrected balance.</w:t>
            </w:r>
          </w:p>
        </w:tc>
        <w:tc>
          <w:tcPr>
            <w:tcW w:type="dxa" w:w="2808"/>
            <w:tcMar>
              <w:top w:w="60" w:type="dxa"/>
              <w:start w:w="110" w:type="dxa"/>
              <w:bottom w:w="60" w:type="dxa"/>
              <w:end w:w="110" w:type="dxa"/>
            </w:tcMar>
          </w:tcPr>
          <w:p>
            <w:pPr>
              <w:spacing w:after="0"/>
            </w:pPr>
            <w:r/>
            <w:r>
              <w:rPr>
                <w:rFonts w:ascii="Calibri" w:hAnsi="Calibri"/>
                <w:b w:val="0"/>
                <w:i w:val="0"/>
                <w:color w:val="101828"/>
                <w:sz w:val="14"/>
              </w:rPr>
              <w:t>The receipt shows the original charge, the reversal, the net position and the resulting state, each on its own line. The original payment record is retained and marked reversed, never removed, so the member's history is complete.</w:t>
            </w:r>
          </w:p>
        </w:tc>
        <w:tc>
          <w:tcPr>
            <w:tcW w:type="dxa" w:w="1267"/>
            <w:tcMar>
              <w:top w:w="60" w:type="dxa"/>
              <w:start w:w="110" w:type="dxa"/>
              <w:bottom w:w="60" w:type="dxa"/>
              <w:end w:w="110" w:type="dxa"/>
            </w:tcMar>
          </w:tcPr>
          <w:p>
            <w:pPr>
              <w:spacing w:after="0"/>
            </w:pPr>
            <w:r/>
            <w:r>
              <w:rPr>
                <w:rFonts w:ascii="Calibri" w:hAnsi="Calibri"/>
                <w:b w:val="0"/>
                <w:i w:val="0"/>
                <w:color w:val="101828"/>
                <w:sz w:val="14"/>
              </w:rPr>
              <w:t>FR-PAY-007, FR-TXN-001, NFR-AUD-004</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2.9.6</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Risk officer or support</w:t>
            </w:r>
          </w:p>
        </w:tc>
        <w:tc>
          <w:tcPr>
            <w:tcW w:type="dxa" w:w="1253"/>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SCR-ADM-05 / SCR-ADM-04</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Approves a refund outside the automatic triggers.</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The decision is recorded with trigger, evidence, decision, rationale and officer identity, and is visible in the Risk screen and the audit log. Support may propose but may never execute a refund.</w:t>
            </w:r>
          </w:p>
        </w:tc>
        <w:tc>
          <w:tcPr>
            <w:tcW w:type="dxa" w:w="1267"/>
            <w:tcMar>
              <w:top w:w="60" w:type="dxa"/>
              <w:start w:w="110" w:type="dxa"/>
              <w:bottom w:w="60" w:type="dxa"/>
              <w:end w:w="110" w:type="dxa"/>
            </w:tcMar>
            <w:shd w:val="clear" w:color="auto" w:fill="F4F7FB"/>
          </w:tcPr>
          <w:p>
            <w:pPr>
              <w:spacing w:after="0"/>
            </w:pPr>
            <w:r/>
            <w:r>
              <w:rPr>
                <w:rFonts w:ascii="Calibri" w:hAnsi="Calibri"/>
                <w:b w:val="0"/>
                <w:i w:val="0"/>
                <w:color w:val="101828"/>
                <w:sz w:val="14"/>
              </w:rPr>
              <w:t>FR-ADM-006, BR-023, NFR-AUD-003, NFR-AUD-004</w:t>
            </w:r>
          </w:p>
        </w:tc>
      </w:tr>
    </w:tbl>
    <w:p>
      <w:pPr>
        <w:spacing w:after="80"/>
      </w:pPr>
    </w:p>
    <w:p>
      <w:pPr>
        <w:pStyle w:val="Heading3"/>
      </w:pPr>
      <w:r>
        <w:rPr>
          <w:rFonts w:ascii="Calibri" w:hAnsi="Calibri"/>
          <w:b/>
          <w:i w:val="0"/>
          <w:color w:val="0B1F3A"/>
          <w:sz w:val="24"/>
        </w:rPr>
        <w:t>2.9.4 Happy path</w:t>
      </w:r>
    </w:p>
    <w:p>
      <w:r>
        <w:rPr>
          <w:rFonts w:ascii="Calibri" w:hAnsi="Calibri"/>
          <w:b w:val="0"/>
          <w:i w:val="0"/>
          <w:color w:val="101828"/>
          <w:sz w:val="21"/>
        </w:rPr>
        <w:t>An Ajo opens enrollment, three members join, and day 5 arrives with seven positions unfilled. The system cancels the Ajo automatically with a recorded reason, tells the organiser and the three members what happened and why, and refunds anything that was collected, in full. Because contributions are only collected from an ACTIVE Ajo, in practice nothing was collected and there is nothing to unwind; had a member prepaid, the reversal entry would post, balance to zero, and the member's receipt would show the original charge and its reversal as two separate lines. No member is left with a residual obligation, no fee is quietly kept or quietly refunded, and the organiser is free to try again with a group that fills.</w:t>
      </w:r>
    </w:p>
    <w:p>
      <w:pPr>
        <w:pStyle w:val="Heading3"/>
      </w:pPr>
      <w:r>
        <w:rPr>
          <w:rFonts w:ascii="Calibri" w:hAnsi="Calibri"/>
          <w:b/>
          <w:i w:val="0"/>
          <w:color w:val="0B1F3A"/>
          <w:sz w:val="24"/>
        </w:rPr>
        <w:t>2.9.5 Alternates and failure branches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42"/>
            <w:shd w:val="clear" w:color="auto" w:fill="0B1F3A"/>
            <w:tcMar>
              <w:top w:w="60" w:type="dxa"/>
              <w:start w:w="110" w:type="dxa"/>
              <w:bottom w:w="60" w:type="dxa"/>
              <w:end w:w="110" w:type="dxa"/>
            </w:tcMar>
          </w:tcPr>
          <w:p>
            <w:pPr>
              <w:spacing w:after="0"/>
            </w:pPr>
            <w:r/>
            <w:r>
              <w:rPr>
                <w:rFonts w:ascii="Calibri" w:hAnsi="Calibri"/>
                <w:b/>
                <w:i w:val="0"/>
                <w:color w:val="FFFFFF"/>
                <w:sz w:val="14"/>
              </w:rPr>
              <w:t>Condition</w:t>
            </w:r>
          </w:p>
        </w:tc>
        <w:tc>
          <w:tcPr>
            <w:tcW w:type="dxa" w:w="2146"/>
            <w:shd w:val="clear" w:color="auto" w:fill="0B1F3A"/>
            <w:tcMar>
              <w:top w:w="60" w:type="dxa"/>
              <w:start w:w="110" w:type="dxa"/>
              <w:bottom w:w="60" w:type="dxa"/>
              <w:end w:w="110" w:type="dxa"/>
            </w:tcMar>
          </w:tcPr>
          <w:p>
            <w:pPr>
              <w:spacing w:after="0"/>
            </w:pPr>
            <w:r/>
            <w:r>
              <w:rPr>
                <w:rFonts w:ascii="Calibri" w:hAnsi="Calibri"/>
                <w:b/>
                <w:i w:val="0"/>
                <w:color w:val="FFFFFF"/>
                <w:sz w:val="14"/>
              </w:rPr>
              <w:t>Branch</w:t>
            </w:r>
          </w:p>
        </w:tc>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4"/>
              </w:rPr>
              <w:t>Message</w:t>
            </w:r>
          </w:p>
        </w:tc>
        <w:tc>
          <w:tcPr>
            <w:tcW w:type="dxa" w:w="2491"/>
            <w:shd w:val="clear" w:color="auto" w:fill="0B1F3A"/>
            <w:tcMar>
              <w:top w:w="60" w:type="dxa"/>
              <w:start w:w="110" w:type="dxa"/>
              <w:bottom w:w="60" w:type="dxa"/>
              <w:end w:w="110" w:type="dxa"/>
            </w:tcMar>
          </w:tcPr>
          <w:p>
            <w:pPr>
              <w:spacing w:after="0"/>
            </w:pPr>
            <w:r/>
            <w:r>
              <w:rPr>
                <w:rFonts w:ascii="Calibri" w:hAnsi="Calibri"/>
                <w:b/>
                <w:i w:val="0"/>
                <w:color w:val="FFFFFF"/>
                <w:sz w:val="14"/>
              </w:rPr>
              <w:t>Recovery</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provider has already moved the money out of the approved arrangement</w:t>
            </w:r>
          </w:p>
        </w:tc>
        <w:tc>
          <w:tcPr>
            <w:tcW w:type="dxa" w:w="2146"/>
            <w:tcMar>
              <w:top w:w="60" w:type="dxa"/>
              <w:start w:w="110" w:type="dxa"/>
              <w:bottom w:w="60" w:type="dxa"/>
              <w:end w:w="110" w:type="dxa"/>
            </w:tcMar>
          </w:tcPr>
          <w:p>
            <w:pPr>
              <w:spacing w:after="0"/>
            </w:pPr>
            <w:r/>
            <w:r>
              <w:rPr>
                <w:rFonts w:ascii="Calibri" w:hAnsi="Calibri"/>
                <w:b w:val="0"/>
                <w:i w:val="0"/>
                <w:color w:val="101828"/>
                <w:sz w:val="14"/>
              </w:rPr>
              <w:t>A refund is no longer a simple reversal. The Ajo cannot disburse and the member's money is behind an external round trip, so the case goes to risk and to ProvidusUnity, not to a silent workaround.</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SCR-APP-10</w:t>
            </w:r>
          </w:p>
        </w:tc>
        <w:tc>
          <w:tcPr>
            <w:tcW w:type="dxa" w:w="1944"/>
            <w:tcMar>
              <w:top w:w="60" w:type="dxa"/>
              <w:start w:w="110" w:type="dxa"/>
              <w:bottom w:w="60" w:type="dxa"/>
              <w:end w:w="110" w:type="dxa"/>
            </w:tcMar>
          </w:tcPr>
          <w:p>
            <w:pPr>
              <w:spacing w:after="0"/>
            </w:pPr>
            <w:r/>
            <w:r>
              <w:rPr>
                <w:rFonts w:ascii="Calibri" w:hAnsi="Calibri"/>
                <w:i/>
                <w:color w:val="101828"/>
                <w:sz w:val="14"/>
              </w:rPr>
              <w:t>Your refund is with our payment partner. We will tell you what is happening every 48 hours until it is done.</w:t>
            </w:r>
          </w:p>
        </w:tc>
        <w:tc>
          <w:tcPr>
            <w:tcW w:type="dxa" w:w="2491"/>
            <w:tcMar>
              <w:top w:w="60" w:type="dxa"/>
              <w:start w:w="110" w:type="dxa"/>
              <w:bottom w:w="60" w:type="dxa"/>
              <w:end w:w="110" w:type="dxa"/>
            </w:tcMar>
          </w:tcPr>
          <w:p>
            <w:pPr>
              <w:spacing w:after="0"/>
            </w:pPr>
            <w:r/>
            <w:r>
              <w:rPr>
                <w:rFonts w:ascii="Calibri" w:hAnsi="Calibri"/>
                <w:b w:val="0"/>
                <w:i w:val="0"/>
                <w:color w:val="101828"/>
                <w:sz w:val="14"/>
              </w:rPr>
              <w:t xml:space="preserve">Manual case with </w:t>
            </w:r>
            <w:r>
              <w:rPr>
                <w:rFonts w:ascii="Consolas" w:hAnsi="Consolas"/>
                <w:color w:val="146EF5"/>
                <w:sz w:val="14"/>
              </w:rPr>
              <w:t>risk_officer</w:t>
            </w:r>
            <w:r>
              <w:rPr>
                <w:rFonts w:ascii="Calibri" w:hAnsi="Calibri"/>
                <w:b w:val="0"/>
                <w:i w:val="0"/>
                <w:color w:val="101828"/>
                <w:sz w:val="14"/>
              </w:rPr>
              <w:t>, a recorded decision and a named contact at ProvidusUnity, EC-010.</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 asks for the 2% fee to be refunded as well</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Not answered by the system. D-05 is open and the treatment of the fee at cancellation is owned by the founders and legal.</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SCR-APP-13</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We are confirming how the platform fee is handled on a refund. You will get a definite answer, not an estimate.</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Decision D-05, then a versioned and audited policy change. D-05, BR-026, EC-027.</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A refund is claimed twice for the same payment</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second request is rejected by the idempotency key and the uniqueness of one reversal per payment. The rejection is recorded.</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SCR-APP-13</w:t>
            </w:r>
          </w:p>
        </w:tc>
        <w:tc>
          <w:tcPr>
            <w:tcW w:type="dxa" w:w="1944"/>
            <w:tcMar>
              <w:top w:w="60" w:type="dxa"/>
              <w:start w:w="110" w:type="dxa"/>
              <w:bottom w:w="60" w:type="dxa"/>
              <w:end w:w="110" w:type="dxa"/>
            </w:tcMar>
          </w:tcPr>
          <w:p>
            <w:pPr>
              <w:spacing w:after="0"/>
            </w:pPr>
            <w:r/>
            <w:r>
              <w:rPr>
                <w:rFonts w:ascii="Calibri" w:hAnsi="Calibri"/>
                <w:i/>
                <w:color w:val="101828"/>
                <w:sz w:val="14"/>
              </w:rPr>
              <w:t>This payment has already been refunded. Here is the refund receipt.</w:t>
            </w:r>
          </w:p>
        </w:tc>
        <w:tc>
          <w:tcPr>
            <w:tcW w:type="dxa" w:w="2491"/>
            <w:tcMar>
              <w:top w:w="60" w:type="dxa"/>
              <w:start w:w="110" w:type="dxa"/>
              <w:bottom w:w="60" w:type="dxa"/>
              <w:end w:w="110" w:type="dxa"/>
            </w:tcMar>
          </w:tcPr>
          <w:p>
            <w:pPr>
              <w:spacing w:after="0"/>
            </w:pPr>
            <w:r/>
            <w:r>
              <w:rPr>
                <w:rFonts w:ascii="Calibri" w:hAnsi="Calibri"/>
                <w:b w:val="0"/>
                <w:i w:val="0"/>
                <w:color w:val="101828"/>
                <w:sz w:val="14"/>
              </w:rPr>
              <w:t>None, EC-011.</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refund takes longer than the stated window</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 is not left guessing. The case is swept, the reason is asked of the provider, and the member receives a proactive update at a fixed interval until it resolves.</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SCR-APP-10 / SCR-APP-12</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Still waiting on the payment partner. Next update by DATE.</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Support sweep. D-07 must be answered in writing before any window is promised, EC-017.</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An overpaid amount is offered back against a future round</w:t>
            </w:r>
          </w:p>
        </w:tc>
        <w:tc>
          <w:tcPr>
            <w:tcW w:type="dxa" w:w="2146"/>
            <w:tcMar>
              <w:top w:w="60" w:type="dxa"/>
              <w:start w:w="110" w:type="dxa"/>
              <w:bottom w:w="60" w:type="dxa"/>
              <w:end w:w="110" w:type="dxa"/>
            </w:tcMar>
          </w:tcPr>
          <w:p>
            <w:pPr>
              <w:spacing w:after="0"/>
            </w:pPr>
            <w:r/>
            <w:r>
              <w:rPr>
                <w:rFonts w:ascii="Calibri" w:hAnsi="Calibri"/>
                <w:b w:val="0"/>
                <w:i w:val="0"/>
                <w:color w:val="101828"/>
                <w:sz w:val="14"/>
              </w:rPr>
              <w:t>Only with explicit, recorded member consent. Silent absorption is prohibited: money returned is money returned.</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SCR-APP-09</w:t>
            </w:r>
          </w:p>
        </w:tc>
        <w:tc>
          <w:tcPr>
            <w:tcW w:type="dxa" w:w="1944"/>
            <w:tcMar>
              <w:top w:w="60" w:type="dxa"/>
              <w:start w:w="110" w:type="dxa"/>
              <w:bottom w:w="60" w:type="dxa"/>
              <w:end w:w="110" w:type="dxa"/>
            </w:tcMar>
          </w:tcPr>
          <w:p>
            <w:pPr>
              <w:spacing w:after="0"/>
            </w:pPr>
            <w:r/>
            <w:r>
              <w:rPr>
                <w:rFonts w:ascii="Calibri" w:hAnsi="Calibri"/>
                <w:i/>
                <w:color w:val="101828"/>
                <w:sz w:val="14"/>
              </w:rPr>
              <w:t>You have NGN 1,020.00 in credit. Refund it, or apply it to a future round with your agreement?</w:t>
            </w:r>
          </w:p>
        </w:tc>
        <w:tc>
          <w:tcPr>
            <w:tcW w:type="dxa" w:w="2491"/>
            <w:tcMar>
              <w:top w:w="60" w:type="dxa"/>
              <w:start w:w="110" w:type="dxa"/>
              <w:bottom w:w="60" w:type="dxa"/>
              <w:end w:w="110" w:type="dxa"/>
            </w:tcMar>
          </w:tcPr>
          <w:p>
            <w:pPr>
              <w:spacing w:after="0"/>
            </w:pPr>
            <w:r/>
            <w:r>
              <w:rPr>
                <w:rFonts w:ascii="Calibri" w:hAnsi="Calibri"/>
                <w:b w:val="0"/>
                <w:i w:val="0"/>
                <w:color w:val="101828"/>
                <w:sz w:val="14"/>
              </w:rPr>
              <w:t>Member chooses. BR-032, EC-004.</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A payout has already been recognised and then must be clawed back</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Not possible under normal operation: recognition happens only when a payout is released, and a released payout is paid to the member's own verified account. Clawback from a member is not a product capability and is not proposed.</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The screen that would offer it does not exist.</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None. The Ajo is placed under formal recovery instead. BR-018, BR-032, EC-010, EC-042.</w:t>
            </w:r>
          </w:p>
        </w:tc>
      </w:tr>
    </w:tbl>
    <w:p>
      <w:pPr>
        <w:spacing w:after="80"/>
      </w:pPr>
    </w:p>
    <w:p>
      <w:pPr>
        <w:spacing w:before="140" w:after="180"/>
        <w:ind w:left="144"/>
        <w:shd w:val="clear" w:color="auto" w:fill="E0F2FE"/>
        <w:pBdr>
          <w:left w:val="single" w:sz="18" w:space="6" w:color="22C7D6"/>
        </w:pBdr>
      </w:pPr>
      <w:r>
        <w:rPr>
          <w:rFonts w:ascii="Calibri" w:hAnsi="Calibri"/>
          <w:b/>
          <w:color w:val="22C7D6"/>
          <w:sz w:val="19"/>
        </w:rPr>
        <w:t xml:space="preserve">Open decision D-05 — who bears the fee on a cancellation refund  </w:t>
      </w:r>
      <w:r>
        <w:rPr>
          <w:rFonts w:ascii="Calibri" w:hAnsi="Calibri"/>
          <w:b w:val="0"/>
          <w:i w:val="0"/>
          <w:color w:val="0B1F3A"/>
          <w:sz w:val="19"/>
        </w:rPr>
        <w:t xml:space="preserve">CANONICAL.md records D-05 as open: </w:t>
      </w:r>
      <w:r>
        <w:rPr>
          <w:rFonts w:ascii="Calibri" w:hAnsi="Calibri"/>
          <w:i/>
          <w:color w:val="0B1F3A"/>
          <w:sz w:val="19"/>
        </w:rPr>
        <w:t>is the fee at Ajo cancellation refunded?</w:t>
      </w:r>
      <w:r>
        <w:rPr>
          <w:rFonts w:ascii="Calibri" w:hAnsi="Calibri"/>
          <w:b w:val="0"/>
          <w:i w:val="0"/>
          <w:color w:val="0B1F3A"/>
          <w:sz w:val="19"/>
        </w:rPr>
        <w:t xml:space="preserve"> Three positions are defensible. Refund the fee in full, which is the most trust-preserving and the most expensive. Retain the fee, on the basis that the member used the platform's record-keeping. Or split it, which is the most commercially defensible and the hardest to explain to a member whose Ajo cancelled before it started. </w:t>
      </w:r>
      <w:r>
        <w:rPr>
          <w:rFonts w:ascii="Calibri" w:hAnsi="Calibri"/>
          <w:b/>
          <w:color w:val="0B1F3A"/>
          <w:sz w:val="19"/>
        </w:rPr>
        <w:t>Recommendation: refund the fee in full whenever a contribution is refunded, and state this plainly on the fee screen. Owner: Founders and Legal. Must be decided before launch, not after the first cancellation.</w:t>
      </w:r>
      <w:r>
        <w:rPr>
          <w:rFonts w:ascii="Calibri" w:hAnsi="Calibri"/>
          <w:b w:val="0"/>
          <w:i w:val="0"/>
          <w:color w:val="0B1F3A"/>
          <w:sz w:val="19"/>
        </w:rPr>
        <w:t xml:space="preserve"> The flow above is written so that the answer is a configuration value applied at the reversal, not a code fork in the refund path.</w:t>
      </w:r>
    </w:p>
    <w:p>
      <w:r>
        <w:br w:type="page"/>
      </w:r>
    </w:p>
    <w:p>
      <w:pPr>
        <w:pStyle w:val="Heading2"/>
      </w:pPr>
      <w:r>
        <w:rPr>
          <w:rFonts w:ascii="Calibri" w:hAnsi="Calibri"/>
          <w:b/>
          <w:i w:val="0"/>
          <w:color w:val="146EF5"/>
          <w:sz w:val="29"/>
        </w:rPr>
        <w:t>2.10 Leaving an Ajo: before activation and after activation</w:t>
      </w:r>
    </w:p>
    <w:p>
      <w:pPr>
        <w:pStyle w:val="Heading3"/>
      </w:pPr>
      <w:r>
        <w:rPr>
          <w:rFonts w:ascii="Calibri" w:hAnsi="Calibri"/>
          <w:b/>
          <w:i w:val="0"/>
          <w:color w:val="0B1F3A"/>
          <w:sz w:val="24"/>
        </w:rPr>
        <w:t>2.10.1 Purpose</w:t>
      </w:r>
    </w:p>
    <w:p>
      <w:r>
        <w:rPr>
          <w:rFonts w:ascii="Calibri" w:hAnsi="Calibri"/>
          <w:b w:val="0"/>
          <w:i w:val="0"/>
          <w:color w:val="101828"/>
          <w:sz w:val="21"/>
        </w:rPr>
        <w:t>Leaving is the hardest thing in an Ajo to get right, because a member's genuine financial difficulty and a member's indifference look identical from the outside. Before activation, leaving is easy and cheap: an invitation can be declined, an organiser can remove a pre-activation member, a position is simply released. After activation, leaving is not unilateral for anybody. The position belongs to the Ajo, not to the member, because the pot is calculated on that position existing. So the only path is a formal replacement or transfer request that is recorded, reviewed and approved, and in which the incoming member assumes the outgoing member's position and all remaining obligations (BR-002, BR-003, BR-004, BR-007, C-06).</w:t>
      </w:r>
    </w:p>
    <w:p>
      <w:pPr>
        <w:pStyle w:val="Heading3"/>
      </w:pPr>
      <w:r>
        <w:rPr>
          <w:rFonts w:ascii="Calibri" w:hAnsi="Calibri"/>
          <w:b/>
          <w:i w:val="0"/>
          <w:color w:val="0B1F3A"/>
          <w:sz w:val="24"/>
        </w:rPr>
        <w:t>2.10.2 Swimlane</w:t>
      </w:r>
    </w:p>
    <w:p>
      <w:pPr>
        <w:spacing w:before="0" w:after="0" w:line="240" w:lineRule="auto"/>
        <w:ind w:left="230"/>
        <w:shd w:val="clear" w:color="auto" w:fill="F7F9FC"/>
        <w:pBdr>
          <w:left w:val="single" w:sz="4" w:space="6" w:color="D0D5DD"/>
        </w:pBdr>
      </w:pPr>
      <w:r>
        <w:rPr>
          <w:rFonts w:ascii="Consolas" w:hAnsi="Consolas"/>
          <w:color w:val="0B1F3A"/>
          <w:sz w:val="16"/>
        </w:rPr>
        <w:t>BEFORE ACTIVATION (DRAFT / ENROLLMENT)</w:t>
      </w:r>
    </w:p>
    <w:p>
      <w:pPr>
        <w:spacing w:before="0" w:after="0" w:line="240" w:lineRule="auto"/>
        <w:ind w:left="230"/>
        <w:shd w:val="clear" w:color="auto" w:fill="F7F9FC"/>
        <w:pBdr>
          <w:left w:val="single" w:sz="4" w:space="6" w:color="D0D5DD"/>
        </w:pBdr>
      </w:pPr>
      <w:r>
        <w:rPr>
          <w:rFonts w:ascii="Consolas" w:hAnsi="Consolas"/>
          <w:color w:val="0B1F3A"/>
          <w:sz w:val="16"/>
        </w:rPr>
        <w:t xml:space="preserve">   member declines invitation --&gt; token invalidated, seat released, no account</w:t>
      </w:r>
    </w:p>
    <w:p>
      <w:pPr>
        <w:spacing w:before="0" w:after="0" w:line="240" w:lineRule="auto"/>
        <w:ind w:left="230"/>
        <w:shd w:val="clear" w:color="auto" w:fill="F7F9FC"/>
        <w:pBdr>
          <w:left w:val="single" w:sz="4" w:space="6" w:color="D0D5DD"/>
        </w:pBdr>
      </w:pPr>
      <w:r>
        <w:rPr>
          <w:rFonts w:ascii="Consolas" w:hAnsi="Consolas"/>
          <w:color w:val="0B1F3A"/>
          <w:sz w:val="16"/>
        </w:rPr>
        <w:t xml:space="preserve">   member withdraws           --&gt; membership released, position freed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organizer removes member   --&gt; DELETE /ajos/:id/members/:memberId</w:t>
      </w:r>
    </w:p>
    <w:p>
      <w:pPr>
        <w:spacing w:before="0" w:after="0" w:line="240" w:lineRule="auto"/>
        <w:ind w:left="230"/>
        <w:shd w:val="clear" w:color="auto" w:fill="F7F9FC"/>
        <w:pBdr>
          <w:left w:val="single" w:sz="4" w:space="6" w:color="D0D5DD"/>
        </w:pBdr>
      </w:pPr>
      <w:r>
        <w:rPr>
          <w:rFonts w:ascii="Consolas" w:hAnsi="Consolas"/>
          <w:color w:val="0B1F3A"/>
          <w:sz w:val="16"/>
        </w:rPr>
        <w:t xml:space="preserve">   remaining members are unaffected. No obligation ever existed.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AFTER ACTIVATION (ACTIVE / ROUND_IN_PROGRESS)</w:t>
      </w:r>
    </w:p>
    <w:p>
      <w:pPr>
        <w:spacing w:before="0" w:after="0" w:line="240" w:lineRule="auto"/>
        <w:ind w:left="230"/>
        <w:shd w:val="clear" w:color="auto" w:fill="F7F9FC"/>
        <w:pBdr>
          <w:left w:val="single" w:sz="4" w:space="6" w:color="D0D5DD"/>
        </w:pBdr>
      </w:pPr>
      <w:r>
        <w:rPr>
          <w:rFonts w:ascii="Consolas" w:hAnsi="Consolas"/>
          <w:color w:val="0B1F3A"/>
          <w:sz w:val="16"/>
        </w:rPr>
        <w:t xml:space="preserve">   member asks to leave</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v</w:t>
      </w:r>
    </w:p>
    <w:p>
      <w:pPr>
        <w:spacing w:before="0" w:after="0" w:line="240" w:lineRule="auto"/>
        <w:ind w:left="230"/>
        <w:shd w:val="clear" w:color="auto" w:fill="F7F9FC"/>
        <w:pBdr>
          <w:left w:val="single" w:sz="4" w:space="6" w:color="D0D5DD"/>
        </w:pBdr>
      </w:pPr>
      <w:r>
        <w:rPr>
          <w:rFonts w:ascii="Consolas" w:hAnsi="Consolas"/>
          <w:color w:val="0B1F3A"/>
          <w:sz w:val="16"/>
        </w:rPr>
        <w:t xml:space="preserve">   "You cannot leave this Ajo on your own. What you</w:t>
      </w:r>
    </w:p>
    <w:p>
      <w:pPr>
        <w:spacing w:before="0" w:after="0" w:line="240" w:lineRule="auto"/>
        <w:ind w:left="230"/>
        <w:shd w:val="clear" w:color="auto" w:fill="F7F9FC"/>
        <w:pBdr>
          <w:left w:val="single" w:sz="4" w:space="6" w:color="D0D5DD"/>
        </w:pBdr>
      </w:pPr>
      <w:r>
        <w:rPr>
          <w:rFonts w:ascii="Consolas" w:hAnsi="Consolas"/>
          <w:color w:val="0B1F3A"/>
          <w:sz w:val="16"/>
        </w:rPr>
        <w:t xml:space="preserve">    can do is ask for a replacement. Here is what</w:t>
      </w:r>
    </w:p>
    <w:p>
      <w:pPr>
        <w:spacing w:before="0" w:after="0" w:line="240" w:lineRule="auto"/>
        <w:ind w:left="230"/>
        <w:shd w:val="clear" w:color="auto" w:fill="F7F9FC"/>
        <w:pBdr>
          <w:left w:val="single" w:sz="4" w:space="6" w:color="D0D5DD"/>
        </w:pBdr>
      </w:pPr>
      <w:r>
        <w:rPr>
          <w:rFonts w:ascii="Consolas" w:hAnsi="Consolas"/>
          <w:color w:val="0B1F3A"/>
          <w:sz w:val="16"/>
        </w:rPr>
        <w:t xml:space="preserve">    that involves."</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v</w:t>
      </w:r>
    </w:p>
    <w:p>
      <w:pPr>
        <w:spacing w:before="0" w:after="0" w:line="240" w:lineRule="auto"/>
        <w:ind w:left="230"/>
        <w:shd w:val="clear" w:color="auto" w:fill="F7F9FC"/>
        <w:pBdr>
          <w:left w:val="single" w:sz="4" w:space="6" w:color="D0D5DD"/>
        </w:pBdr>
      </w:pPr>
      <w:r>
        <w:rPr>
          <w:rFonts w:ascii="Consolas" w:hAnsi="Consolas"/>
          <w:color w:val="0B1F3A"/>
          <w:sz w:val="16"/>
        </w:rPr>
        <w:t xml:space="preserve">   POST /ajos/:id/members/:memberId/replace</w:t>
      </w:r>
    </w:p>
    <w:p>
      <w:pPr>
        <w:spacing w:before="0" w:after="0" w:line="240" w:lineRule="auto"/>
        <w:ind w:left="230"/>
        <w:shd w:val="clear" w:color="auto" w:fill="F7F9FC"/>
        <w:pBdr>
          <w:left w:val="single" w:sz="4" w:space="6" w:color="D0D5DD"/>
        </w:pBdr>
      </w:pPr>
      <w:r>
        <w:rPr>
          <w:rFonts w:ascii="Consolas" w:hAnsi="Consolas"/>
          <w:color w:val="0B1F3A"/>
          <w:sz w:val="16"/>
        </w:rPr>
        <w:t xml:space="preserve">   reason recorded, request created, timestamped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v</w:t>
      </w:r>
    </w:p>
    <w:p>
      <w:pPr>
        <w:spacing w:before="0" w:after="0" w:line="240" w:lineRule="auto"/>
        <w:ind w:left="230"/>
        <w:shd w:val="clear" w:color="auto" w:fill="F7F9FC"/>
        <w:pBdr>
          <w:left w:val="single" w:sz="4" w:space="6" w:color="D0D5DD"/>
        </w:pBdr>
      </w:pPr>
      <w:r>
        <w:rPr>
          <w:rFonts w:ascii="Consolas" w:hAnsi="Consolas"/>
          <w:color w:val="0B1F3A"/>
          <w:sz w:val="16"/>
        </w:rPr>
        <w:t xml:space="preserve">   risk_officer review: is the request genuine?      organizer: does the</w:t>
      </w:r>
    </w:p>
    <w:p>
      <w:pPr>
        <w:spacing w:before="0" w:after="0" w:line="240" w:lineRule="auto"/>
        <w:ind w:left="230"/>
        <w:shd w:val="clear" w:color="auto" w:fill="F7F9FC"/>
        <w:pBdr>
          <w:left w:val="single" w:sz="4" w:space="6" w:color="D0D5DD"/>
        </w:pBdr>
      </w:pPr>
      <w:r>
        <w:rPr>
          <w:rFonts w:ascii="Consolas" w:hAnsi="Consolas"/>
          <w:color w:val="0B1F3A"/>
          <w:sz w:val="16"/>
        </w:rPr>
        <w:t xml:space="preserve">   is there a candidate? does the Ajo stay funded?    group consent?</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rejected --&gt; reason recorded, member told, Ajo unchanged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v</w:t>
      </w:r>
    </w:p>
    <w:p>
      <w:pPr>
        <w:spacing w:before="0" w:after="0" w:line="240" w:lineRule="auto"/>
        <w:ind w:left="230"/>
        <w:shd w:val="clear" w:color="auto" w:fill="F7F9FC"/>
        <w:pBdr>
          <w:left w:val="single" w:sz="4" w:space="6" w:color="D0D5DD"/>
        </w:pBdr>
      </w:pPr>
      <w:r>
        <w:rPr>
          <w:rFonts w:ascii="Consolas" w:hAnsi="Consolas"/>
          <w:color w:val="0B1F3A"/>
          <w:sz w:val="16"/>
        </w:rPr>
        <w:t xml:space="preserve">   candidate invited, KYC'd, accepts the position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and explicitly assumes the REMAINING obligations</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v</w:t>
      </w:r>
    </w:p>
    <w:p>
      <w:pPr>
        <w:spacing w:before="0" w:after="0" w:line="240" w:lineRule="auto"/>
        <w:ind w:left="230"/>
        <w:shd w:val="clear" w:color="auto" w:fill="F7F9FC"/>
        <w:pBdr>
          <w:left w:val="single" w:sz="4" w:space="6" w:color="D0D5DD"/>
        </w:pBdr>
      </w:pPr>
      <w:r>
        <w:rPr>
          <w:rFonts w:ascii="Consolas" w:hAnsi="Consolas"/>
          <w:color w:val="0B1F3A"/>
          <w:sz w:val="16"/>
        </w:rPr>
        <w:t xml:space="preserve">   outgoing member's membership ends, both parties</w:t>
      </w:r>
    </w:p>
    <w:p>
      <w:pPr>
        <w:spacing w:before="0" w:after="0" w:line="240" w:lineRule="auto"/>
        <w:ind w:left="230"/>
        <w:shd w:val="clear" w:color="auto" w:fill="F7F9FC"/>
        <w:pBdr>
          <w:left w:val="single" w:sz="4" w:space="6" w:color="D0D5DD"/>
        </w:pBdr>
      </w:pPr>
      <w:r>
        <w:rPr>
          <w:rFonts w:ascii="Consolas" w:hAnsi="Consolas"/>
          <w:color w:val="0B1F3A"/>
          <w:sz w:val="16"/>
        </w:rPr>
        <w:t xml:space="preserve">   recorded in the ledger, settled history retained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v</w:t>
      </w:r>
    </w:p>
    <w:p>
      <w:pPr>
        <w:spacing w:before="0" w:after="0" w:line="240" w:lineRule="auto"/>
        <w:ind w:left="230"/>
        <w:shd w:val="clear" w:color="auto" w:fill="F7F9FC"/>
        <w:pBdr>
          <w:left w:val="single" w:sz="4" w:space="6" w:color="D0D5DD"/>
        </w:pBdr>
      </w:pPr>
      <w:r>
        <w:rPr>
          <w:rFonts w:ascii="Consolas" w:hAnsi="Consolas"/>
          <w:color w:val="0B1F3A"/>
          <w:sz w:val="16"/>
        </w:rPr>
        <w:t xml:space="preserve">   position occupied. Round continues. No other member</w:t>
      </w:r>
    </w:p>
    <w:p>
      <w:pPr>
        <w:spacing w:before="0" w:after="0" w:line="240" w:lineRule="auto"/>
        <w:ind w:left="230"/>
        <w:shd w:val="clear" w:color="auto" w:fill="F7F9FC"/>
        <w:pBdr>
          <w:left w:val="single" w:sz="4" w:space="6" w:color="D0D5DD"/>
        </w:pBdr>
      </w:pPr>
      <w:r>
        <w:rPr>
          <w:rFonts w:ascii="Consolas" w:hAnsi="Consolas"/>
          <w:color w:val="0B1F3A"/>
          <w:sz w:val="16"/>
        </w:rPr>
        <w:t xml:space="preserve">   pays more. No member's turn moves.</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no candidate found --&gt; position vacant, round funding</w:t>
      </w:r>
    </w:p>
    <w:p>
      <w:pPr>
        <w:spacing w:before="0" w:after="0" w:line="240" w:lineRule="auto"/>
        <w:ind w:left="230"/>
        <w:shd w:val="clear" w:color="auto" w:fill="F7F9FC"/>
        <w:pBdr>
          <w:left w:val="single" w:sz="4" w:space="6" w:color="D0D5DD"/>
        </w:pBdr>
      </w:pPr>
      <w:r>
        <w:rPr>
          <w:rFonts w:ascii="Consolas" w:hAnsi="Consolas"/>
          <w:color w:val="0B1F3A"/>
          <w:sz w:val="16"/>
        </w:rPr>
        <w:t xml:space="preserve">   shortfall tracked, HELD if the pot cannot be funded,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recovery process begins. Never a reduced payout.</w:t>
      </w:r>
    </w:p>
    <w:p>
      <w:pPr>
        <w:pStyle w:val="Heading3"/>
      </w:pPr>
      <w:r>
        <w:rPr>
          <w:rFonts w:ascii="Calibri" w:hAnsi="Calibri"/>
          <w:b/>
          <w:i w:val="0"/>
          <w:color w:val="0B1F3A"/>
          <w:sz w:val="24"/>
        </w:rPr>
        <w:t>2.10.3 Step detail</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706"/>
            <w:shd w:val="clear" w:color="auto" w:fill="0B1F3A"/>
            <w:tcMar>
              <w:top w:w="60" w:type="dxa"/>
              <w:start w:w="110" w:type="dxa"/>
              <w:bottom w:w="60" w:type="dxa"/>
              <w:end w:w="110" w:type="dxa"/>
            </w:tcMar>
          </w:tcPr>
          <w:p>
            <w:pPr>
              <w:spacing w:after="0"/>
            </w:pPr>
            <w:r/>
            <w:r>
              <w:rPr>
                <w:rFonts w:ascii="Calibri" w:hAnsi="Calibri"/>
                <w:b/>
                <w:i w:val="0"/>
                <w:color w:val="FFFFFF"/>
                <w:sz w:val="14"/>
              </w:rPr>
              <w:t>Step</w:t>
            </w:r>
          </w:p>
        </w:tc>
        <w:tc>
          <w:tcPr>
            <w:tcW w:type="dxa" w:w="1123"/>
            <w:shd w:val="clear" w:color="auto" w:fill="0B1F3A"/>
            <w:tcMar>
              <w:top w:w="60" w:type="dxa"/>
              <w:start w:w="110" w:type="dxa"/>
              <w:bottom w:w="60" w:type="dxa"/>
              <w:end w:w="110" w:type="dxa"/>
            </w:tcMar>
          </w:tcPr>
          <w:p>
            <w:pPr>
              <w:spacing w:after="0"/>
            </w:pPr>
            <w:r/>
            <w:r>
              <w:rPr>
                <w:rFonts w:ascii="Calibri" w:hAnsi="Calibri"/>
                <w:b/>
                <w:i w:val="0"/>
                <w:color w:val="FFFFFF"/>
                <w:sz w:val="14"/>
              </w:rPr>
              <w:t>Actor</w:t>
            </w:r>
          </w:p>
        </w:tc>
        <w:tc>
          <w:tcPr>
            <w:tcW w:type="dxa" w:w="1210"/>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2030"/>
            <w:shd w:val="clear" w:color="auto" w:fill="0B1F3A"/>
            <w:tcMar>
              <w:top w:w="60" w:type="dxa"/>
              <w:start w:w="110" w:type="dxa"/>
              <w:bottom w:w="60" w:type="dxa"/>
              <w:end w:w="110" w:type="dxa"/>
            </w:tcMar>
          </w:tcPr>
          <w:p>
            <w:pPr>
              <w:spacing w:after="0"/>
            </w:pPr>
            <w:r/>
            <w:r>
              <w:rPr>
                <w:rFonts w:ascii="Calibri" w:hAnsi="Calibri"/>
                <w:b/>
                <w:i w:val="0"/>
                <w:color w:val="FFFFFF"/>
                <w:sz w:val="14"/>
              </w:rPr>
              <w:t>Action</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4"/>
              </w:rPr>
              <w:t>System response</w:t>
            </w:r>
          </w:p>
        </w:tc>
        <w:tc>
          <w:tcPr>
            <w:tcW w:type="dxa" w:w="1411"/>
            <w:shd w:val="clear" w:color="auto" w:fill="0B1F3A"/>
            <w:tcMar>
              <w:top w:w="60" w:type="dxa"/>
              <w:start w:w="110" w:type="dxa"/>
              <w:bottom w:w="60" w:type="dxa"/>
              <w:end w:w="110" w:type="dxa"/>
            </w:tcMar>
          </w:tcPr>
          <w:p>
            <w:pPr>
              <w:spacing w:after="0"/>
            </w:pPr>
            <w:r/>
            <w:r>
              <w:rPr>
                <w:rFonts w:ascii="Calibri" w:hAnsi="Calibri"/>
                <w:b/>
                <w:i w:val="0"/>
                <w:color w:val="FFFFFF"/>
                <w:sz w:val="14"/>
              </w:rPr>
              <w:t>Rule ref</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2.10.1</w:t>
            </w:r>
          </w:p>
        </w:tc>
        <w:tc>
          <w:tcPr>
            <w:tcW w:type="dxa" w:w="1123"/>
            <w:tcMar>
              <w:top w:w="60" w:type="dxa"/>
              <w:start w:w="110" w:type="dxa"/>
              <w:bottom w:w="60" w:type="dxa"/>
              <w:end w:w="110" w:type="dxa"/>
            </w:tcMar>
          </w:tcPr>
          <w:p>
            <w:pPr>
              <w:spacing w:after="0"/>
            </w:pPr>
            <w:r/>
            <w:r>
              <w:rPr>
                <w:rFonts w:ascii="Calibri" w:hAnsi="Calibri"/>
                <w:b w:val="0"/>
                <w:i w:val="0"/>
                <w:color w:val="101828"/>
                <w:sz w:val="14"/>
              </w:rPr>
              <w:t>Invitee</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SCR-APP-04</w:t>
            </w:r>
          </w:p>
        </w:tc>
        <w:tc>
          <w:tcPr>
            <w:tcW w:type="dxa" w:w="2030"/>
            <w:tcMar>
              <w:top w:w="60" w:type="dxa"/>
              <w:start w:w="110" w:type="dxa"/>
              <w:bottom w:w="60" w:type="dxa"/>
              <w:end w:w="110" w:type="dxa"/>
            </w:tcMar>
          </w:tcPr>
          <w:p>
            <w:pPr>
              <w:spacing w:after="0"/>
            </w:pPr>
            <w:r/>
            <w:r>
              <w:rPr>
                <w:rFonts w:ascii="Calibri" w:hAnsi="Calibri"/>
                <w:b w:val="0"/>
                <w:i w:val="0"/>
                <w:color w:val="101828"/>
                <w:sz w:val="14"/>
              </w:rPr>
              <w:t>Declines the invitation before joining.</w:t>
            </w:r>
          </w:p>
        </w:tc>
        <w:tc>
          <w:tcPr>
            <w:tcW w:type="dxa" w:w="2880"/>
            <w:tcMar>
              <w:top w:w="60" w:type="dxa"/>
              <w:start w:w="110" w:type="dxa"/>
              <w:bottom w:w="60" w:type="dxa"/>
              <w:end w:w="110" w:type="dxa"/>
            </w:tcMar>
          </w:tcPr>
          <w:p>
            <w:pPr>
              <w:spacing w:after="0"/>
            </w:pPr>
            <w:r/>
            <w:r>
              <w:rPr>
                <w:rFonts w:ascii="Consolas" w:hAnsi="Consolas"/>
                <w:color w:val="146EF5"/>
                <w:sz w:val="14"/>
              </w:rPr>
              <w:t>POST /invitations/:token/decline</w:t>
            </w:r>
            <w:r>
              <w:rPr>
                <w:rFonts w:ascii="Calibri" w:hAnsi="Calibri"/>
                <w:b w:val="0"/>
                <w:i w:val="0"/>
                <w:color w:val="101828"/>
                <w:sz w:val="14"/>
              </w:rPr>
              <w:t>. No account is created, the token is invalidated, and the seat returns to the organiser as unfilled.</w:t>
            </w:r>
          </w:p>
        </w:tc>
        <w:tc>
          <w:tcPr>
            <w:tcW w:type="dxa" w:w="1411"/>
            <w:tcMar>
              <w:top w:w="60" w:type="dxa"/>
              <w:start w:w="110" w:type="dxa"/>
              <w:bottom w:w="60" w:type="dxa"/>
              <w:end w:w="110" w:type="dxa"/>
            </w:tcMar>
          </w:tcPr>
          <w:p>
            <w:pPr>
              <w:spacing w:after="0"/>
            </w:pPr>
            <w:r/>
            <w:r>
              <w:rPr>
                <w:rFonts w:ascii="Calibri" w:hAnsi="Calibri"/>
                <w:b w:val="0"/>
                <w:i w:val="0"/>
                <w:color w:val="101828"/>
                <w:sz w:val="14"/>
              </w:rPr>
              <w:t>FR-INV-006, US-18, EC-126</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2.10.2</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Member</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SCR-APP-05</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Withdraws while the Ajo is in DRAFT or ENROLLMENT.</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Membership is released and the position is freed. Because no obligation has ever crystallised, nothing is owed, nothing is reversed and no other member is affected.</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BR-007, BR-005</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2.10.3</w:t>
            </w:r>
          </w:p>
        </w:tc>
        <w:tc>
          <w:tcPr>
            <w:tcW w:type="dxa" w:w="1123"/>
            <w:tcMar>
              <w:top w:w="60" w:type="dxa"/>
              <w:start w:w="110" w:type="dxa"/>
              <w:bottom w:w="60" w:type="dxa"/>
              <w:end w:w="110" w:type="dxa"/>
            </w:tcMar>
          </w:tcPr>
          <w:p>
            <w:pPr>
              <w:spacing w:after="0"/>
            </w:pPr>
            <w:r/>
            <w:r>
              <w:rPr>
                <w:rFonts w:ascii="Calibri" w:hAnsi="Calibri"/>
                <w:b w:val="0"/>
                <w:i w:val="0"/>
                <w:color w:val="101828"/>
                <w:sz w:val="14"/>
              </w:rPr>
              <w:t>Organiser</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SCR-APP-06</w:t>
            </w:r>
          </w:p>
        </w:tc>
        <w:tc>
          <w:tcPr>
            <w:tcW w:type="dxa" w:w="2030"/>
            <w:tcMar>
              <w:top w:w="60" w:type="dxa"/>
              <w:start w:w="110" w:type="dxa"/>
              <w:bottom w:w="60" w:type="dxa"/>
              <w:end w:w="110" w:type="dxa"/>
            </w:tcMar>
          </w:tcPr>
          <w:p>
            <w:pPr>
              <w:spacing w:after="0"/>
            </w:pPr>
            <w:r/>
            <w:r>
              <w:rPr>
                <w:rFonts w:ascii="Calibri" w:hAnsi="Calibri"/>
                <w:b w:val="0"/>
                <w:i w:val="0"/>
                <w:color w:val="101828"/>
                <w:sz w:val="14"/>
              </w:rPr>
              <w:t>Removes a member while the Ajo is in DRAFT or ENROLLMENT.</w:t>
            </w:r>
          </w:p>
        </w:tc>
        <w:tc>
          <w:tcPr>
            <w:tcW w:type="dxa" w:w="2880"/>
            <w:tcMar>
              <w:top w:w="60" w:type="dxa"/>
              <w:start w:w="110" w:type="dxa"/>
              <w:bottom w:w="60" w:type="dxa"/>
              <w:end w:w="110" w:type="dxa"/>
            </w:tcMar>
          </w:tcPr>
          <w:p>
            <w:pPr>
              <w:spacing w:after="0"/>
            </w:pPr>
            <w:r/>
            <w:r>
              <w:rPr>
                <w:rFonts w:ascii="Consolas" w:hAnsi="Consolas"/>
                <w:color w:val="146EF5"/>
                <w:sz w:val="14"/>
              </w:rPr>
              <w:t>DELETE /ajos/:id/members/:memberId</w:t>
            </w:r>
            <w:r>
              <w:rPr>
                <w:rFonts w:ascii="Calibri" w:hAnsi="Calibri"/>
                <w:b w:val="0"/>
                <w:i w:val="0"/>
                <w:color w:val="101828"/>
                <w:sz w:val="14"/>
              </w:rPr>
              <w:t xml:space="preserve"> is permitted only pre-activation. The removal is recorded with actor, role, timestamp and both states. After activation the same call is rejected for every role.</w:t>
            </w:r>
          </w:p>
        </w:tc>
        <w:tc>
          <w:tcPr>
            <w:tcW w:type="dxa" w:w="1411"/>
            <w:tcMar>
              <w:top w:w="60" w:type="dxa"/>
              <w:start w:w="110" w:type="dxa"/>
              <w:bottom w:w="60" w:type="dxa"/>
              <w:end w:w="110" w:type="dxa"/>
            </w:tcMar>
          </w:tcPr>
          <w:p>
            <w:pPr>
              <w:spacing w:after="0"/>
            </w:pPr>
            <w:r/>
            <w:r>
              <w:rPr>
                <w:rFonts w:ascii="Calibri" w:hAnsi="Calibri"/>
                <w:b w:val="0"/>
                <w:i w:val="0"/>
                <w:color w:val="101828"/>
                <w:sz w:val="14"/>
              </w:rPr>
              <w:t>BR-007, FR-MEM-003, CAN §2</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2.10.4</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Member</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SCR-APP-08</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Asks, after activation, what happens if they cannot continue.</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The screen states, in advance and in plain language: the complete-cycle commitment, the position lock, the 48-hour grace, and the fact that there is no unilateral exit but there is a formal route that is designed to be fast and not punitive.</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FR-DEF-002, BR-003, C-06, US-35</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2.10.5</w:t>
            </w:r>
          </w:p>
        </w:tc>
        <w:tc>
          <w:tcPr>
            <w:tcW w:type="dxa" w:w="1123"/>
            <w:tcMar>
              <w:top w:w="60" w:type="dxa"/>
              <w:start w:w="110" w:type="dxa"/>
              <w:bottom w:w="60" w:type="dxa"/>
              <w:end w:w="110" w:type="dxa"/>
            </w:tcMar>
          </w:tcPr>
          <w:p>
            <w:pPr>
              <w:spacing w:after="0"/>
            </w:pPr>
            <w:r/>
            <w:r>
              <w:rPr>
                <w:rFonts w:ascii="Calibri" w:hAnsi="Calibri"/>
                <w:b w:val="0"/>
                <w:i w:val="0"/>
                <w:color w:val="101828"/>
                <w:sz w:val="14"/>
              </w:rPr>
              <w:t>Member</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SCR-APP-08</w:t>
            </w:r>
          </w:p>
        </w:tc>
        <w:tc>
          <w:tcPr>
            <w:tcW w:type="dxa" w:w="2030"/>
            <w:tcMar>
              <w:top w:w="60" w:type="dxa"/>
              <w:start w:w="110" w:type="dxa"/>
              <w:bottom w:w="60" w:type="dxa"/>
              <w:end w:w="110" w:type="dxa"/>
            </w:tcMar>
          </w:tcPr>
          <w:p>
            <w:pPr>
              <w:spacing w:after="0"/>
            </w:pPr>
            <w:r/>
            <w:r>
              <w:rPr>
                <w:rFonts w:ascii="Calibri" w:hAnsi="Calibri"/>
                <w:b w:val="0"/>
                <w:i w:val="0"/>
                <w:color w:val="101828"/>
                <w:sz w:val="14"/>
              </w:rPr>
              <w:t>Submits a formal replacement or transfer request.</w:t>
            </w:r>
          </w:p>
        </w:tc>
        <w:tc>
          <w:tcPr>
            <w:tcW w:type="dxa" w:w="2880"/>
            <w:tcMar>
              <w:top w:w="60" w:type="dxa"/>
              <w:start w:w="110" w:type="dxa"/>
              <w:bottom w:w="60" w:type="dxa"/>
              <w:end w:w="110" w:type="dxa"/>
            </w:tcMar>
          </w:tcPr>
          <w:p>
            <w:pPr>
              <w:spacing w:after="0"/>
            </w:pPr>
            <w:r/>
            <w:r>
              <w:rPr>
                <w:rFonts w:ascii="Consolas" w:hAnsi="Consolas"/>
                <w:color w:val="146EF5"/>
                <w:sz w:val="14"/>
              </w:rPr>
              <w:t>POST /ajos/:id/members/:memberId/replace</w:t>
            </w:r>
            <w:r>
              <w:rPr>
                <w:rFonts w:ascii="Calibri" w:hAnsi="Calibri"/>
                <w:b w:val="0"/>
                <w:i w:val="0"/>
                <w:color w:val="101828"/>
                <w:sz w:val="14"/>
              </w:rPr>
              <w:t xml:space="preserve"> with a reason and, where available, a proposed successor. The request is timestamped and attributed. The member remains bound until the request is resolved; the request is a process, not an exit.</w:t>
            </w:r>
          </w:p>
        </w:tc>
        <w:tc>
          <w:tcPr>
            <w:tcW w:type="dxa" w:w="1411"/>
            <w:tcMar>
              <w:top w:w="60" w:type="dxa"/>
              <w:start w:w="110" w:type="dxa"/>
              <w:bottom w:w="60" w:type="dxa"/>
              <w:end w:w="110" w:type="dxa"/>
            </w:tcMar>
          </w:tcPr>
          <w:p>
            <w:pPr>
              <w:spacing w:after="0"/>
            </w:pPr>
            <w:r/>
            <w:r>
              <w:rPr>
                <w:rFonts w:ascii="Calibri" w:hAnsi="Calibri"/>
                <w:b w:val="0"/>
                <w:i w:val="0"/>
                <w:color w:val="101828"/>
                <w:sz w:val="14"/>
              </w:rPr>
              <w:t>FR-MEM-006, FR-DEF-008, BR-003, flow 2.6 step 11</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2.10.6</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Organiser</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SCR-APP-05</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Is notified and may comment.</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The organiser may support, oppose or propose a candidate, and may not approve. The organiser cannot remove the member, cannot absorb the debt, and cannot guarantee the departing member's position on the platform.</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BR-008, CAN §2, FR-POUT-005</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2.10.7</w:t>
            </w:r>
          </w:p>
        </w:tc>
        <w:tc>
          <w:tcPr>
            <w:tcW w:type="dxa" w:w="1123"/>
            <w:tcMar>
              <w:top w:w="60" w:type="dxa"/>
              <w:start w:w="110" w:type="dxa"/>
              <w:bottom w:w="60" w:type="dxa"/>
              <w:end w:w="110" w:type="dxa"/>
            </w:tcMar>
          </w:tcPr>
          <w:p>
            <w:pPr>
              <w:spacing w:after="0"/>
            </w:pPr>
            <w:r/>
            <w:r>
              <w:rPr>
                <w:rFonts w:ascii="Calibri" w:hAnsi="Calibri"/>
                <w:b w:val="0"/>
                <w:i w:val="0"/>
                <w:color w:val="101828"/>
                <w:sz w:val="14"/>
              </w:rPr>
              <w:t>Risk officer</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SCR-ADM-05</w:t>
            </w:r>
          </w:p>
        </w:tc>
        <w:tc>
          <w:tcPr>
            <w:tcW w:type="dxa" w:w="2030"/>
            <w:tcMar>
              <w:top w:w="60" w:type="dxa"/>
              <w:start w:w="110" w:type="dxa"/>
              <w:bottom w:w="60" w:type="dxa"/>
              <w:end w:w="110" w:type="dxa"/>
            </w:tcMar>
          </w:tcPr>
          <w:p>
            <w:pPr>
              <w:spacing w:after="0"/>
            </w:pPr>
            <w:r/>
            <w:r>
              <w:rPr>
                <w:rFonts w:ascii="Calibri" w:hAnsi="Calibri"/>
                <w:b w:val="0"/>
                <w:i w:val="0"/>
                <w:color w:val="101828"/>
                <w:sz w:val="14"/>
              </w:rPr>
              <w:t>Reviews the request.</w:t>
            </w:r>
          </w:p>
        </w:tc>
        <w:tc>
          <w:tcPr>
            <w:tcW w:type="dxa" w:w="2880"/>
            <w:tcMar>
              <w:top w:w="60" w:type="dxa"/>
              <w:start w:w="110" w:type="dxa"/>
              <w:bottom w:w="60" w:type="dxa"/>
              <w:end w:w="110" w:type="dxa"/>
            </w:tcMar>
          </w:tcPr>
          <w:p>
            <w:pPr>
              <w:spacing w:after="0"/>
            </w:pPr>
            <w:r/>
            <w:r>
              <w:rPr>
                <w:rFonts w:ascii="Calibri" w:hAnsi="Calibri"/>
                <w:b w:val="0"/>
                <w:i w:val="0"/>
                <w:color w:val="101828"/>
                <w:sz w:val="14"/>
              </w:rPr>
              <w:t>The officer assesses whether the request is genuine, whether the round stays fundable, whether fraud is involved, and whether the candidate is suitable. The decision records trigger, evidence, decision, rationale and identity.</w:t>
            </w:r>
          </w:p>
        </w:tc>
        <w:tc>
          <w:tcPr>
            <w:tcW w:type="dxa" w:w="1411"/>
            <w:tcMar>
              <w:top w:w="60" w:type="dxa"/>
              <w:start w:w="110" w:type="dxa"/>
              <w:bottom w:w="60" w:type="dxa"/>
              <w:end w:w="110" w:type="dxa"/>
            </w:tcMar>
          </w:tcPr>
          <w:p>
            <w:pPr>
              <w:spacing w:after="0"/>
            </w:pPr>
            <w:r/>
            <w:r>
              <w:rPr>
                <w:rFonts w:ascii="Calibri" w:hAnsi="Calibri"/>
                <w:b w:val="0"/>
                <w:i w:val="0"/>
                <w:color w:val="101828"/>
                <w:sz w:val="14"/>
              </w:rPr>
              <w:t>FR-ADM-005, FR-ADM-006, R4, NFR-AUD-003</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2.10.8</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Candidate</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SCR-APP-04</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Accepts the position and its obligations.</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The candidate is invited, completes identity verification, and on acceptance explicitly assumes the position, the round that is due and every remaining obligation. The assumption is recorded with the terms version.</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FR-MEM-007, BR-004, BR-030, flow 2.3</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2.10.9</w:t>
            </w:r>
          </w:p>
        </w:tc>
        <w:tc>
          <w:tcPr>
            <w:tcW w:type="dxa" w:w="1123"/>
            <w:tcMar>
              <w:top w:w="60" w:type="dxa"/>
              <w:start w:w="110" w:type="dxa"/>
              <w:bottom w:w="60" w:type="dxa"/>
              <w:end w:w="110" w:type="dxa"/>
            </w:tcMar>
          </w:tcPr>
          <w:p>
            <w:pPr>
              <w:spacing w:after="0"/>
            </w:pPr>
            <w:r/>
            <w:r>
              <w:rPr>
                <w:rFonts w:ascii="Calibri" w:hAnsi="Calibri"/>
                <w:b w:val="0"/>
                <w:i w:val="0"/>
                <w:color w:val="101828"/>
                <w:sz w:val="14"/>
              </w:rPr>
              <w:t>AJO.ng</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SCR-APP-05</w:t>
            </w:r>
          </w:p>
        </w:tc>
        <w:tc>
          <w:tcPr>
            <w:tcW w:type="dxa" w:w="2030"/>
            <w:tcMar>
              <w:top w:w="60" w:type="dxa"/>
              <w:start w:w="110" w:type="dxa"/>
              <w:bottom w:w="60" w:type="dxa"/>
              <w:end w:w="110" w:type="dxa"/>
            </w:tcMar>
          </w:tcPr>
          <w:p>
            <w:pPr>
              <w:spacing w:after="0"/>
            </w:pPr>
            <w:r/>
            <w:r>
              <w:rPr>
                <w:rFonts w:ascii="Calibri" w:hAnsi="Calibri"/>
                <w:b w:val="0"/>
                <w:i w:val="0"/>
                <w:color w:val="101828"/>
                <w:sz w:val="14"/>
              </w:rPr>
              <w:t>Completes the transfer.</w:t>
            </w:r>
          </w:p>
        </w:tc>
        <w:tc>
          <w:tcPr>
            <w:tcW w:type="dxa" w:w="2880"/>
            <w:tcMar>
              <w:top w:w="60" w:type="dxa"/>
              <w:start w:w="110" w:type="dxa"/>
              <w:bottom w:w="60" w:type="dxa"/>
              <w:end w:w="110" w:type="dxa"/>
            </w:tcMar>
          </w:tcPr>
          <w:p>
            <w:pPr>
              <w:spacing w:after="0"/>
            </w:pPr>
            <w:r/>
            <w:r>
              <w:rPr>
                <w:rFonts w:ascii="Calibri" w:hAnsi="Calibri"/>
                <w:b w:val="0"/>
                <w:i w:val="0"/>
                <w:color w:val="101828"/>
                <w:sz w:val="14"/>
              </w:rPr>
              <w:t>Both parties are recorded in the ledger. The outgoing member's settled contributions and receipts are retained and remain visible to them. The outgoing member is not refunded for contributions already made, because those funds are in the pot that funded other members' turns.</w:t>
            </w:r>
          </w:p>
        </w:tc>
        <w:tc>
          <w:tcPr>
            <w:tcW w:type="dxa" w:w="1411"/>
            <w:tcMar>
              <w:top w:w="60" w:type="dxa"/>
              <w:start w:w="110" w:type="dxa"/>
              <w:bottom w:w="60" w:type="dxa"/>
              <w:end w:w="110" w:type="dxa"/>
            </w:tcMar>
          </w:tcPr>
          <w:p>
            <w:pPr>
              <w:spacing w:after="0"/>
            </w:pPr>
            <w:r/>
            <w:r>
              <w:rPr>
                <w:rFonts w:ascii="Calibri" w:hAnsi="Calibri"/>
                <w:b w:val="0"/>
                <w:i w:val="0"/>
                <w:color w:val="101828"/>
                <w:sz w:val="14"/>
              </w:rPr>
              <w:t>BR-003, FR-MEM-007, BR-025, BR-032</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2.10.10</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AJO.ng</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SCR-APP-10</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If no candidate is found, tracks the shortfall.</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The position is vacant, the round cannot be fully funded, and the payout goes to HELD rather than paying a reduced pot. The recovery process runs. No other member is charged extra.</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BR-018, BR-015, G4, EC-065, EC-063</w:t>
            </w:r>
          </w:p>
        </w:tc>
      </w:tr>
    </w:tbl>
    <w:p>
      <w:pPr>
        <w:spacing w:after="80"/>
      </w:pPr>
    </w:p>
    <w:p>
      <w:pPr>
        <w:pStyle w:val="Heading3"/>
      </w:pPr>
      <w:r>
        <w:rPr>
          <w:rFonts w:ascii="Calibri" w:hAnsi="Calibri"/>
          <w:b/>
          <w:i w:val="0"/>
          <w:color w:val="0B1F3A"/>
          <w:sz w:val="24"/>
        </w:rPr>
        <w:t>2.10.4 Happy path</w:t>
      </w:r>
    </w:p>
    <w:p>
      <w:r>
        <w:rPr>
          <w:rFonts w:ascii="Calibri" w:hAnsi="Calibri"/>
          <w:b w:val="0"/>
          <w:i w:val="0"/>
          <w:color w:val="101828"/>
          <w:sz w:val="21"/>
        </w:rPr>
        <w:t>A member's income changes and they cannot sustain the commitment. They read, before they ask, that leaving alone is not possible and that the route is a replacement. They submit a request with a reason. The organiser is told and may propose a colleague from the same workplace, who is invited, passes identity verification and, on accepting, sees exactly what they are taking on: position 4, round 4, NGN 1,000.00 per month plus the 2% fee, and the remaining obligations in full. They accept. Both parties are recorded, the position is occupied, the round continues, no other member pays one naira more, and the outgoing member keeps every receipt from the rounds they did pay. The Ajo did not break. That is the entire design intent of the flow.</w:t>
      </w:r>
    </w:p>
    <w:p>
      <w:pPr>
        <w:pStyle w:val="Heading3"/>
      </w:pPr>
      <w:r>
        <w:rPr>
          <w:rFonts w:ascii="Calibri" w:hAnsi="Calibri"/>
          <w:b/>
          <w:i w:val="0"/>
          <w:color w:val="0B1F3A"/>
          <w:sz w:val="24"/>
        </w:rPr>
        <w:t>2.10.5 Alternates and failure branches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42"/>
            <w:shd w:val="clear" w:color="auto" w:fill="0B1F3A"/>
            <w:tcMar>
              <w:top w:w="60" w:type="dxa"/>
              <w:start w:w="110" w:type="dxa"/>
              <w:bottom w:w="60" w:type="dxa"/>
              <w:end w:w="110" w:type="dxa"/>
            </w:tcMar>
          </w:tcPr>
          <w:p>
            <w:pPr>
              <w:spacing w:after="0"/>
            </w:pPr>
            <w:r/>
            <w:r>
              <w:rPr>
                <w:rFonts w:ascii="Calibri" w:hAnsi="Calibri"/>
                <w:b/>
                <w:i w:val="0"/>
                <w:color w:val="FFFFFF"/>
                <w:sz w:val="14"/>
              </w:rPr>
              <w:t>Condition</w:t>
            </w:r>
          </w:p>
        </w:tc>
        <w:tc>
          <w:tcPr>
            <w:tcW w:type="dxa" w:w="2146"/>
            <w:shd w:val="clear" w:color="auto" w:fill="0B1F3A"/>
            <w:tcMar>
              <w:top w:w="60" w:type="dxa"/>
              <w:start w:w="110" w:type="dxa"/>
              <w:bottom w:w="60" w:type="dxa"/>
              <w:end w:w="110" w:type="dxa"/>
            </w:tcMar>
          </w:tcPr>
          <w:p>
            <w:pPr>
              <w:spacing w:after="0"/>
            </w:pPr>
            <w:r/>
            <w:r>
              <w:rPr>
                <w:rFonts w:ascii="Calibri" w:hAnsi="Calibri"/>
                <w:b/>
                <w:i w:val="0"/>
                <w:color w:val="FFFFFF"/>
                <w:sz w:val="14"/>
              </w:rPr>
              <w:t>Branch</w:t>
            </w:r>
          </w:p>
        </w:tc>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4"/>
              </w:rPr>
              <w:t>Message</w:t>
            </w:r>
          </w:p>
        </w:tc>
        <w:tc>
          <w:tcPr>
            <w:tcW w:type="dxa" w:w="2491"/>
            <w:shd w:val="clear" w:color="auto" w:fill="0B1F3A"/>
            <w:tcMar>
              <w:top w:w="60" w:type="dxa"/>
              <w:start w:w="110" w:type="dxa"/>
              <w:bottom w:w="60" w:type="dxa"/>
              <w:end w:w="110" w:type="dxa"/>
            </w:tcMar>
          </w:tcPr>
          <w:p>
            <w:pPr>
              <w:spacing w:after="0"/>
            </w:pPr>
            <w:r/>
            <w:r>
              <w:rPr>
                <w:rFonts w:ascii="Calibri" w:hAnsi="Calibri"/>
                <w:b/>
                <w:i w:val="0"/>
                <w:color w:val="FFFFFF"/>
                <w:sz w:val="14"/>
              </w:rPr>
              <w:t>Recovery</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member simply stops paying after activation</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default flow in 2.6 runs in full. The member remains a member. No unilateral exit exists, and no role may create one.</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SCR-APP-08</w:t>
            </w:r>
          </w:p>
        </w:tc>
        <w:tc>
          <w:tcPr>
            <w:tcW w:type="dxa" w:w="1944"/>
            <w:tcMar>
              <w:top w:w="60" w:type="dxa"/>
              <w:start w:w="110" w:type="dxa"/>
              <w:bottom w:w="60" w:type="dxa"/>
              <w:end w:w="110" w:type="dxa"/>
            </w:tcMar>
          </w:tcPr>
          <w:p>
            <w:pPr>
              <w:spacing w:after="0"/>
            </w:pPr>
            <w:r/>
            <w:r>
              <w:rPr>
                <w:rFonts w:ascii="Calibri" w:hAnsi="Calibri"/>
                <w:i/>
                <w:color w:val="101828"/>
                <w:sz w:val="14"/>
              </w:rPr>
              <w:t>Your position is still yours. A replacement is the way out, and you can ask for one today.</w:t>
            </w:r>
          </w:p>
        </w:tc>
        <w:tc>
          <w:tcPr>
            <w:tcW w:type="dxa" w:w="2491"/>
            <w:tcMar>
              <w:top w:w="60" w:type="dxa"/>
              <w:start w:w="110" w:type="dxa"/>
              <w:bottom w:w="60" w:type="dxa"/>
              <w:end w:w="110" w:type="dxa"/>
            </w:tcMar>
          </w:tcPr>
          <w:p>
            <w:pPr>
              <w:spacing w:after="0"/>
            </w:pPr>
            <w:r/>
            <w:r>
              <w:rPr>
                <w:rFonts w:ascii="Calibri" w:hAnsi="Calibri"/>
                <w:b w:val="0"/>
                <w:i w:val="0"/>
                <w:color w:val="101828"/>
                <w:sz w:val="14"/>
              </w:rPr>
              <w:t>Replacement request, or risk decision. BR-003, EC-016.</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 asks to be removed by the organiser after activation</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Removal is pre-activation only, for every role, with no exception path.</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SCR-APP-06</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Members cannot be removed from an active Ajo. A replacement has to take the position.</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Replacement request. BR-007, EC-086.</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No suitable candidate can be found</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position stays vacant. The round's funding shortfall is tracked and, if the pot cannot be fully funded, the payout is HELD and recovery begins.</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SCR-APP-10</w:t>
            </w:r>
          </w:p>
        </w:tc>
        <w:tc>
          <w:tcPr>
            <w:tcW w:type="dxa" w:w="1944"/>
            <w:tcMar>
              <w:top w:w="60" w:type="dxa"/>
              <w:start w:w="110" w:type="dxa"/>
              <w:bottom w:w="60" w:type="dxa"/>
              <w:end w:w="110" w:type="dxa"/>
            </w:tcMar>
          </w:tcPr>
          <w:p>
            <w:pPr>
              <w:spacing w:after="0"/>
            </w:pPr>
            <w:r/>
            <w:r>
              <w:rPr>
                <w:rFonts w:ascii="Calibri" w:hAnsi="Calibri"/>
                <w:i/>
                <w:color w:val="101828"/>
                <w:sz w:val="14"/>
              </w:rPr>
              <w:t>This Ajo is one member short of funding a full round. We are not paying a partial pot. Here is what we are doing.</w:t>
            </w:r>
          </w:p>
        </w:tc>
        <w:tc>
          <w:tcPr>
            <w:tcW w:type="dxa" w:w="2491"/>
            <w:tcMar>
              <w:top w:w="60" w:type="dxa"/>
              <w:start w:w="110" w:type="dxa"/>
              <w:bottom w:w="60" w:type="dxa"/>
              <w:end w:w="110" w:type="dxa"/>
            </w:tcMar>
          </w:tcPr>
          <w:p>
            <w:pPr>
              <w:spacing w:after="0"/>
            </w:pPr>
            <w:r/>
            <w:r>
              <w:rPr>
                <w:rFonts w:ascii="Calibri" w:hAnsi="Calibri"/>
                <w:b w:val="0"/>
                <w:i w:val="0"/>
                <w:color w:val="101828"/>
                <w:sz w:val="14"/>
              </w:rPr>
              <w:t>Organiser recruitment within the Ajo, or formal recovery. BR-018, BR-015, EC-065.</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departing member had already received their own turn</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Nothing is clawed back. The payout was paid in full when it was due. A member who leaves after collecting has still paid every round they owed, and the product has no mechanism to take money back from a member.</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SCR-APP-11</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Your completed rounds stay on your record. Your remaining obligations are what the replacement takes on.</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None needed. BR-032, BR-012, EC-068.</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departing member is in DEFAULTED at the time of the request</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request does not erase the default. The default record is retained, the replacement assumes the position, and the outstanding amount follows the position into the recovery process.</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SCR-APP-05</w:t>
            </w:r>
          </w:p>
        </w:tc>
        <w:tc>
          <w:tcPr>
            <w:tcW w:type="dxa" w:w="1944"/>
            <w:tcMar>
              <w:top w:w="60" w:type="dxa"/>
              <w:start w:w="110" w:type="dxa"/>
              <w:bottom w:w="60" w:type="dxa"/>
              <w:end w:w="110" w:type="dxa"/>
            </w:tcMar>
          </w:tcPr>
          <w:p>
            <w:pPr>
              <w:spacing w:after="0"/>
            </w:pPr>
            <w:r/>
            <w:r>
              <w:rPr>
                <w:rFonts w:ascii="Calibri" w:hAnsi="Calibri"/>
                <w:b w:val="0"/>
                <w:i w:val="0"/>
                <w:color w:val="101828"/>
                <w:sz w:val="14"/>
              </w:rPr>
              <w:t xml:space="preserve">To the organiser: </w:t>
            </w:r>
            <w:r>
              <w:rPr>
                <w:rFonts w:ascii="Calibri" w:hAnsi="Calibri"/>
                <w:i/>
                <w:color w:val="101828"/>
                <w:sz w:val="14"/>
              </w:rPr>
              <w:t>The position has a replacement. The outstanding amount attached to that position is still outstanding.</w:t>
            </w:r>
          </w:p>
        </w:tc>
        <w:tc>
          <w:tcPr>
            <w:tcW w:type="dxa" w:w="2491"/>
            <w:tcMar>
              <w:top w:w="60" w:type="dxa"/>
              <w:start w:w="110" w:type="dxa"/>
              <w:bottom w:w="60" w:type="dxa"/>
              <w:end w:w="110" w:type="dxa"/>
            </w:tcMar>
          </w:tcPr>
          <w:p>
            <w:pPr>
              <w:spacing w:after="0"/>
            </w:pPr>
            <w:r/>
            <w:r>
              <w:rPr>
                <w:rFonts w:ascii="Calibri" w:hAnsi="Calibri"/>
                <w:b w:val="0"/>
                <w:i w:val="0"/>
                <w:color w:val="101828"/>
                <w:sz w:val="14"/>
              </w:rPr>
              <w:t>Recovery, or a risk-officer decision. FR-DEF-007, EC-086, EC-095.</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is removed by a fraudster who has compromised an organiser account</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Removal is refused post-activation, so the impersonation cannot remove members. A compromised organiser can still issue invitations, so invitation-graph anomalies are a risk signal and the audit log is the evidence.</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SCR-ADM-05 / SCR-ADM-08</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The officer sees the organiser's activity graph and the refused removal attempt.</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Risk review, session revocation, freeze. Flow 2.15, NFR-AUD-004, EC-110.</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member asks to leave a CANCELLED Ajo</w:t>
            </w:r>
          </w:p>
        </w:tc>
        <w:tc>
          <w:tcPr>
            <w:tcW w:type="dxa" w:w="2146"/>
            <w:tcMar>
              <w:top w:w="60" w:type="dxa"/>
              <w:start w:w="110" w:type="dxa"/>
              <w:bottom w:w="60" w:type="dxa"/>
              <w:end w:w="110" w:type="dxa"/>
            </w:tcMar>
          </w:tcPr>
          <w:p>
            <w:pPr>
              <w:spacing w:after="0"/>
            </w:pPr>
            <w:r/>
            <w:r>
              <w:rPr>
                <w:rFonts w:ascii="Calibri" w:hAnsi="Calibri"/>
                <w:b w:val="0"/>
                <w:i w:val="0"/>
                <w:color w:val="101828"/>
                <w:sz w:val="14"/>
              </w:rPr>
              <w:t>Terminal states are terminal. There is nothing to leave, and nothing owed. The membership is simply closed out read-only.</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SCR-APP-05</w:t>
            </w:r>
          </w:p>
        </w:tc>
        <w:tc>
          <w:tcPr>
            <w:tcW w:type="dxa" w:w="1944"/>
            <w:tcMar>
              <w:top w:w="60" w:type="dxa"/>
              <w:start w:w="110" w:type="dxa"/>
              <w:bottom w:w="60" w:type="dxa"/>
              <w:end w:w="110" w:type="dxa"/>
            </w:tcMar>
          </w:tcPr>
          <w:p>
            <w:pPr>
              <w:spacing w:after="0"/>
            </w:pPr>
            <w:r/>
            <w:r>
              <w:rPr>
                <w:rFonts w:ascii="Calibri" w:hAnsi="Calibri"/>
                <w:i/>
                <w:color w:val="101828"/>
                <w:sz w:val="14"/>
              </w:rPr>
              <w:t>This Ajo ended. Your record stays available to you.</w:t>
            </w:r>
          </w:p>
        </w:tc>
        <w:tc>
          <w:tcPr>
            <w:tcW w:type="dxa" w:w="2491"/>
            <w:tcMar>
              <w:top w:w="60" w:type="dxa"/>
              <w:start w:w="110" w:type="dxa"/>
              <w:bottom w:w="60" w:type="dxa"/>
              <w:end w:w="110" w:type="dxa"/>
            </w:tcMar>
          </w:tcPr>
          <w:p>
            <w:pPr>
              <w:spacing w:after="0"/>
            </w:pPr>
            <w:r/>
            <w:r>
              <w:rPr>
                <w:rFonts w:ascii="Calibri" w:hAnsi="Calibri"/>
                <w:b w:val="0"/>
                <w:i w:val="0"/>
                <w:color w:val="101828"/>
                <w:sz w:val="14"/>
              </w:rPr>
              <w:t>Read the statement. BR-009, EC-064.</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in a frozen account requests a replacement</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The request is accepted and queued, but the outgoing member's frozen state is a separate matter. Freezing stops money movement; it does not create or destroy membership obligations.</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SCR-APP-13</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Your request is recorded. Your account restriction is separate and we will explain it.</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Flow 2.12 and 2.15, EC-034.</w:t>
            </w:r>
          </w:p>
        </w:tc>
      </w:tr>
    </w:tbl>
    <w:p>
      <w:pPr>
        <w:spacing w:after="80"/>
      </w:pPr>
    </w:p>
    <w:p>
      <w:r>
        <w:br w:type="page"/>
      </w:r>
    </w:p>
    <w:p>
      <w:pPr>
        <w:pStyle w:val="Heading2"/>
      </w:pPr>
      <w:r>
        <w:rPr>
          <w:rFonts w:ascii="Calibri" w:hAnsi="Calibri"/>
          <w:b/>
          <w:i w:val="0"/>
          <w:color w:val="146EF5"/>
          <w:sz w:val="29"/>
        </w:rPr>
        <w:t>2.11 Dispute</w:t>
      </w:r>
    </w:p>
    <w:p>
      <w:pPr>
        <w:pStyle w:val="Heading3"/>
      </w:pPr>
      <w:r>
        <w:rPr>
          <w:rFonts w:ascii="Calibri" w:hAnsi="Calibri"/>
          <w:b/>
          <w:i w:val="0"/>
          <w:color w:val="0B1F3A"/>
          <w:sz w:val="24"/>
        </w:rPr>
        <w:t>2.11.1 Purpose</w:t>
      </w:r>
    </w:p>
    <w:p>
      <w:r>
        <w:rPr>
          <w:rFonts w:ascii="Calibri" w:hAnsi="Calibri"/>
          <w:b w:val="0"/>
          <w:i w:val="0"/>
          <w:color w:val="101828"/>
          <w:sz w:val="21"/>
        </w:rPr>
        <w:t>Money disputes in a traditional Ajo are settled by memory, volume and relationships. The digital dispute exists to replace all three with a timestamped, permanent, exportable thread attached to a specific round or contribution, with every action attributed. It must be usable by a member with a poor connection, it must not be a pretext for freezing a member's money without a recorded risk reason, and it must be resolved by a role whose decision and rationale are permanent.</w:t>
      </w:r>
    </w:p>
    <w:p>
      <w:pPr>
        <w:pStyle w:val="Heading3"/>
      </w:pPr>
      <w:r>
        <w:rPr>
          <w:rFonts w:ascii="Calibri" w:hAnsi="Calibri"/>
          <w:b/>
          <w:i w:val="0"/>
          <w:color w:val="0B1F3A"/>
          <w:sz w:val="24"/>
        </w:rPr>
        <w:t>2.11.2 Swimlane</w:t>
      </w:r>
    </w:p>
    <w:p>
      <w:pPr>
        <w:spacing w:before="0" w:after="0" w:line="240" w:lineRule="auto"/>
        <w:ind w:left="230"/>
        <w:shd w:val="clear" w:color="auto" w:fill="F7F9FC"/>
        <w:pBdr>
          <w:left w:val="single" w:sz="4" w:space="6" w:color="D0D5DD"/>
        </w:pBdr>
      </w:pPr>
      <w:r>
        <w:rPr>
          <w:rFonts w:ascii="Consolas" w:hAnsi="Consolas"/>
          <w:color w:val="0B1F3A"/>
          <w:sz w:val="16"/>
        </w:rPr>
        <w:t>MEMBER          AJO.ng           ORGANISER        SUPPORT      RISK</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I paid and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it is not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showing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POST /disputes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scoped to the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round and the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contribution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dispute.opened -&gt; counterparty,</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organiser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POST /disputes/:id/evidence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docs validated,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re-encoded,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permanent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open + a response window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|-----------------&gt;| responds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|---------------&gt;| reads all, contacts</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both, assists,</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PROPOSES a fix</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CANNOT move money</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|-------------&gt;</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decides if a</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a risk reason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outcome + reason + evidence + deciding role</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(permanent)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|&lt;-------------|  dispute.resolved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Other contributions, other rounds and the Ajo are unaffected.</w:t>
      </w:r>
    </w:p>
    <w:p>
      <w:pPr>
        <w:pStyle w:val="Heading3"/>
      </w:pPr>
      <w:r>
        <w:rPr>
          <w:rFonts w:ascii="Calibri" w:hAnsi="Calibri"/>
          <w:b/>
          <w:i w:val="0"/>
          <w:color w:val="0B1F3A"/>
          <w:sz w:val="24"/>
        </w:rPr>
        <w:t>2.11.3 Step detail</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706"/>
            <w:shd w:val="clear" w:color="auto" w:fill="0B1F3A"/>
            <w:tcMar>
              <w:top w:w="60" w:type="dxa"/>
              <w:start w:w="110" w:type="dxa"/>
              <w:bottom w:w="60" w:type="dxa"/>
              <w:end w:w="110" w:type="dxa"/>
            </w:tcMar>
          </w:tcPr>
          <w:p>
            <w:pPr>
              <w:spacing w:after="0"/>
            </w:pPr>
            <w:r/>
            <w:r>
              <w:rPr>
                <w:rFonts w:ascii="Calibri" w:hAnsi="Calibri"/>
                <w:b/>
                <w:i w:val="0"/>
                <w:color w:val="FFFFFF"/>
                <w:sz w:val="14"/>
              </w:rPr>
              <w:t>Step</w:t>
            </w:r>
          </w:p>
        </w:tc>
        <w:tc>
          <w:tcPr>
            <w:tcW w:type="dxa" w:w="1210"/>
            <w:shd w:val="clear" w:color="auto" w:fill="0B1F3A"/>
            <w:tcMar>
              <w:top w:w="60" w:type="dxa"/>
              <w:start w:w="110" w:type="dxa"/>
              <w:bottom w:w="60" w:type="dxa"/>
              <w:end w:w="110" w:type="dxa"/>
            </w:tcMar>
          </w:tcPr>
          <w:p>
            <w:pPr>
              <w:spacing w:after="0"/>
            </w:pPr>
            <w:r/>
            <w:r>
              <w:rPr>
                <w:rFonts w:ascii="Calibri" w:hAnsi="Calibri"/>
                <w:b/>
                <w:i w:val="0"/>
                <w:color w:val="FFFFFF"/>
                <w:sz w:val="14"/>
              </w:rPr>
              <w:t>Actor</w:t>
            </w:r>
          </w:p>
        </w:tc>
        <w:tc>
          <w:tcPr>
            <w:tcW w:type="dxa" w:w="1253"/>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2002"/>
            <w:shd w:val="clear" w:color="auto" w:fill="0B1F3A"/>
            <w:tcMar>
              <w:top w:w="60" w:type="dxa"/>
              <w:start w:w="110" w:type="dxa"/>
              <w:bottom w:w="60" w:type="dxa"/>
              <w:end w:w="110" w:type="dxa"/>
            </w:tcMar>
          </w:tcPr>
          <w:p>
            <w:pPr>
              <w:spacing w:after="0"/>
            </w:pPr>
            <w:r/>
            <w:r>
              <w:rPr>
                <w:rFonts w:ascii="Calibri" w:hAnsi="Calibri"/>
                <w:b/>
                <w:i w:val="0"/>
                <w:color w:val="FFFFFF"/>
                <w:sz w:val="14"/>
              </w:rPr>
              <w:t>Action</w:t>
            </w:r>
          </w:p>
        </w:tc>
        <w:tc>
          <w:tcPr>
            <w:tcW w:type="dxa" w:w="2808"/>
            <w:shd w:val="clear" w:color="auto" w:fill="0B1F3A"/>
            <w:tcMar>
              <w:top w:w="60" w:type="dxa"/>
              <w:start w:w="110" w:type="dxa"/>
              <w:bottom w:w="60" w:type="dxa"/>
              <w:end w:w="110" w:type="dxa"/>
            </w:tcMar>
          </w:tcPr>
          <w:p>
            <w:pPr>
              <w:spacing w:after="0"/>
            </w:pPr>
            <w:r/>
            <w:r>
              <w:rPr>
                <w:rFonts w:ascii="Calibri" w:hAnsi="Calibri"/>
                <w:b/>
                <w:i w:val="0"/>
                <w:color w:val="FFFFFF"/>
                <w:sz w:val="14"/>
              </w:rPr>
              <w:t>System response</w:t>
            </w:r>
          </w:p>
        </w:tc>
        <w:tc>
          <w:tcPr>
            <w:tcW w:type="dxa" w:w="1382"/>
            <w:shd w:val="clear" w:color="auto" w:fill="0B1F3A"/>
            <w:tcMar>
              <w:top w:w="60" w:type="dxa"/>
              <w:start w:w="110" w:type="dxa"/>
              <w:bottom w:w="60" w:type="dxa"/>
              <w:end w:w="110" w:type="dxa"/>
            </w:tcMar>
          </w:tcPr>
          <w:p>
            <w:pPr>
              <w:spacing w:after="0"/>
            </w:pPr>
            <w:r/>
            <w:r>
              <w:rPr>
                <w:rFonts w:ascii="Calibri" w:hAnsi="Calibri"/>
                <w:b/>
                <w:i w:val="0"/>
                <w:color w:val="FFFFFF"/>
                <w:sz w:val="14"/>
              </w:rPr>
              <w:t>Rule ref</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2.11.1</w:t>
            </w:r>
          </w:p>
        </w:tc>
        <w:tc>
          <w:tcPr>
            <w:tcW w:type="dxa" w:w="1210"/>
            <w:tcMar>
              <w:top w:w="60" w:type="dxa"/>
              <w:start w:w="110" w:type="dxa"/>
              <w:bottom w:w="60" w:type="dxa"/>
              <w:end w:w="110" w:type="dxa"/>
            </w:tcMar>
          </w:tcPr>
          <w:p>
            <w:pPr>
              <w:spacing w:after="0"/>
            </w:pPr>
            <w:r/>
            <w:r>
              <w:rPr>
                <w:rFonts w:ascii="Calibri" w:hAnsi="Calibri"/>
                <w:b w:val="0"/>
                <w:i w:val="0"/>
                <w:color w:val="101828"/>
                <w:sz w:val="14"/>
              </w:rPr>
              <w:t>Member</w:t>
            </w:r>
          </w:p>
        </w:tc>
        <w:tc>
          <w:tcPr>
            <w:tcW w:type="dxa" w:w="1253"/>
            <w:tcMar>
              <w:top w:w="60" w:type="dxa"/>
              <w:start w:w="110" w:type="dxa"/>
              <w:bottom w:w="60" w:type="dxa"/>
              <w:end w:w="110" w:type="dxa"/>
            </w:tcMar>
          </w:tcPr>
          <w:p>
            <w:pPr>
              <w:spacing w:after="0"/>
            </w:pPr>
            <w:r/>
            <w:r>
              <w:rPr>
                <w:rFonts w:ascii="Calibri" w:hAnsi="Calibri"/>
                <w:b w:val="0"/>
                <w:i w:val="0"/>
                <w:color w:val="101828"/>
                <w:sz w:val="14"/>
              </w:rPr>
              <w:t>SCR-APP-08 / SCR-APP-11</w:t>
            </w:r>
          </w:p>
        </w:tc>
        <w:tc>
          <w:tcPr>
            <w:tcW w:type="dxa" w:w="2002"/>
            <w:tcMar>
              <w:top w:w="60" w:type="dxa"/>
              <w:start w:w="110" w:type="dxa"/>
              <w:bottom w:w="60" w:type="dxa"/>
              <w:end w:w="110" w:type="dxa"/>
            </w:tcMar>
          </w:tcPr>
          <w:p>
            <w:pPr>
              <w:spacing w:after="0"/>
            </w:pPr>
            <w:r/>
            <w:r>
              <w:rPr>
                <w:rFonts w:ascii="Calibri" w:hAnsi="Calibri"/>
                <w:b w:val="0"/>
                <w:i w:val="0"/>
                <w:color w:val="101828"/>
                <w:sz w:val="14"/>
              </w:rPr>
              <w:t>Sees a discrepancy: a payment that shows as uncredited, a position that looks wrong, a duplicate charge, or a receipt that does not match the statement.</w:t>
            </w:r>
          </w:p>
        </w:tc>
        <w:tc>
          <w:tcPr>
            <w:tcW w:type="dxa" w:w="2808"/>
            <w:tcMar>
              <w:top w:w="60" w:type="dxa"/>
              <w:start w:w="110" w:type="dxa"/>
              <w:bottom w:w="60" w:type="dxa"/>
              <w:end w:w="110" w:type="dxa"/>
            </w:tcMar>
          </w:tcPr>
          <w:p>
            <w:pPr>
              <w:spacing w:after="0"/>
            </w:pPr>
            <w:r/>
            <w:r>
              <w:rPr>
                <w:rFonts w:ascii="Calibri" w:hAnsi="Calibri"/>
                <w:b w:val="0"/>
                <w:i w:val="0"/>
                <w:color w:val="101828"/>
                <w:sz w:val="14"/>
              </w:rPr>
              <w:t>Every screen that can generate a dispute carries the entry point, and the entry point carries the object it disputes. A member is never asked to describe their dispute in the abstract.</w:t>
            </w:r>
          </w:p>
        </w:tc>
        <w:tc>
          <w:tcPr>
            <w:tcW w:type="dxa" w:w="1382"/>
            <w:tcMar>
              <w:top w:w="60" w:type="dxa"/>
              <w:start w:w="110" w:type="dxa"/>
              <w:bottom w:w="60" w:type="dxa"/>
              <w:end w:w="110" w:type="dxa"/>
            </w:tcMar>
          </w:tcPr>
          <w:p>
            <w:pPr>
              <w:spacing w:after="0"/>
            </w:pPr>
            <w:r/>
            <w:r>
              <w:rPr>
                <w:rFonts w:ascii="Calibri" w:hAnsi="Calibri"/>
                <w:b w:val="0"/>
                <w:i w:val="0"/>
                <w:color w:val="101828"/>
                <w:sz w:val="14"/>
              </w:rPr>
              <w:t>FR-DISP-001, N8, P5</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2.11.2</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Member</w:t>
            </w:r>
          </w:p>
        </w:tc>
        <w:tc>
          <w:tcPr>
            <w:tcW w:type="dxa" w:w="1253"/>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SCR-APP-14</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Opens the dispute with a category, a description and the object in question.</w:t>
            </w:r>
          </w:p>
        </w:tc>
        <w:tc>
          <w:tcPr>
            <w:tcW w:type="dxa" w:w="2808"/>
            <w:tcMar>
              <w:top w:w="60" w:type="dxa"/>
              <w:start w:w="110" w:type="dxa"/>
              <w:bottom w:w="60" w:type="dxa"/>
              <w:end w:w="110" w:type="dxa"/>
            </w:tcMar>
            <w:shd w:val="clear" w:color="auto" w:fill="F4F7FB"/>
          </w:tcPr>
          <w:p>
            <w:pPr>
              <w:spacing w:after="0"/>
            </w:pPr>
            <w:r/>
            <w:r>
              <w:rPr>
                <w:rFonts w:ascii="Consolas" w:hAnsi="Consolas"/>
                <w:color w:val="146EF5"/>
                <w:sz w:val="14"/>
              </w:rPr>
              <w:t>POST /disputes</w:t>
            </w:r>
            <w:r>
              <w:rPr>
                <w:rFonts w:ascii="Calibri" w:hAnsi="Calibri"/>
                <w:b w:val="0"/>
                <w:i w:val="0"/>
                <w:color w:val="101828"/>
                <w:sz w:val="14"/>
              </w:rPr>
              <w:t xml:space="preserve"> creates a dispute with a timestamp, a state and a permanent thread. The ledger, the payment records and the state history are automatically attached as the platform's own evidence.</w:t>
            </w:r>
          </w:p>
        </w:tc>
        <w:tc>
          <w:tcPr>
            <w:tcW w:type="dxa" w:w="1382"/>
            <w:tcMar>
              <w:top w:w="60" w:type="dxa"/>
              <w:start w:w="110" w:type="dxa"/>
              <w:bottom w:w="60" w:type="dxa"/>
              <w:end w:w="110" w:type="dxa"/>
            </w:tcMar>
            <w:shd w:val="clear" w:color="auto" w:fill="F4F7FB"/>
          </w:tcPr>
          <w:p>
            <w:pPr>
              <w:spacing w:after="0"/>
            </w:pPr>
            <w:r/>
            <w:r>
              <w:rPr>
                <w:rFonts w:ascii="Calibri" w:hAnsi="Calibri"/>
                <w:b w:val="0"/>
                <w:i w:val="0"/>
                <w:color w:val="101828"/>
                <w:sz w:val="14"/>
              </w:rPr>
              <w:t>FR-DISP-001, NFR-AUD-001, N8</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2.11.3</w:t>
            </w:r>
          </w:p>
        </w:tc>
        <w:tc>
          <w:tcPr>
            <w:tcW w:type="dxa" w:w="1210"/>
            <w:tcMar>
              <w:top w:w="60" w:type="dxa"/>
              <w:start w:w="110" w:type="dxa"/>
              <w:bottom w:w="60" w:type="dxa"/>
              <w:end w:w="110" w:type="dxa"/>
            </w:tcMar>
          </w:tcPr>
          <w:p>
            <w:pPr>
              <w:spacing w:after="0"/>
            </w:pPr>
            <w:r/>
            <w:r>
              <w:rPr>
                <w:rFonts w:ascii="Calibri" w:hAnsi="Calibri"/>
                <w:b w:val="0"/>
                <w:i w:val="0"/>
                <w:color w:val="101828"/>
                <w:sz w:val="14"/>
              </w:rPr>
              <w:t>AJO.ng</w:t>
            </w:r>
          </w:p>
        </w:tc>
        <w:tc>
          <w:tcPr>
            <w:tcW w:type="dxa" w:w="1253"/>
            <w:tcMar>
              <w:top w:w="60" w:type="dxa"/>
              <w:start w:w="110" w:type="dxa"/>
              <w:bottom w:w="60" w:type="dxa"/>
              <w:end w:w="110" w:type="dxa"/>
            </w:tcMar>
          </w:tcPr>
          <w:p>
            <w:pPr>
              <w:spacing w:after="0"/>
            </w:pPr>
            <w:r/>
            <w:r>
              <w:rPr>
                <w:rFonts w:ascii="Calibri" w:hAnsi="Calibri"/>
                <w:b w:val="0"/>
                <w:i w:val="0"/>
                <w:color w:val="101828"/>
                <w:sz w:val="14"/>
              </w:rPr>
              <w:t>SCR-APP-12</w:t>
            </w:r>
          </w:p>
        </w:tc>
        <w:tc>
          <w:tcPr>
            <w:tcW w:type="dxa" w:w="2002"/>
            <w:tcMar>
              <w:top w:w="60" w:type="dxa"/>
              <w:start w:w="110" w:type="dxa"/>
              <w:bottom w:w="60" w:type="dxa"/>
              <w:end w:w="110" w:type="dxa"/>
            </w:tcMar>
          </w:tcPr>
          <w:p>
            <w:pPr>
              <w:spacing w:after="0"/>
            </w:pPr>
            <w:r/>
            <w:r>
              <w:rPr>
                <w:rFonts w:ascii="Calibri" w:hAnsi="Calibri"/>
                <w:b w:val="0"/>
                <w:i w:val="0"/>
                <w:color w:val="101828"/>
                <w:sz w:val="14"/>
              </w:rPr>
              <w:t>Notifies the counterparty and the organiser.</w:t>
            </w:r>
          </w:p>
        </w:tc>
        <w:tc>
          <w:tcPr>
            <w:tcW w:type="dxa" w:w="2808"/>
            <w:tcMar>
              <w:top w:w="60" w:type="dxa"/>
              <w:start w:w="110" w:type="dxa"/>
              <w:bottom w:w="60" w:type="dxa"/>
              <w:end w:w="110" w:type="dxa"/>
            </w:tcMar>
          </w:tcPr>
          <w:p>
            <w:pPr>
              <w:spacing w:after="0"/>
            </w:pPr>
            <w:r/>
            <w:r>
              <w:rPr>
                <w:rFonts w:ascii="Consolas" w:hAnsi="Consolas"/>
                <w:color w:val="146EF5"/>
                <w:sz w:val="14"/>
              </w:rPr>
              <w:t>dispute.opened</w:t>
            </w:r>
            <w:r>
              <w:rPr>
                <w:rFonts w:ascii="Calibri" w:hAnsi="Calibri"/>
                <w:b w:val="0"/>
                <w:i w:val="0"/>
                <w:color w:val="101828"/>
                <w:sz w:val="14"/>
              </w:rPr>
              <w:t xml:space="preserve"> on push and email, immediately. The notification states that a dispute exists and where to respond, without editorialising on the merits.</w:t>
            </w:r>
          </w:p>
        </w:tc>
        <w:tc>
          <w:tcPr>
            <w:tcW w:type="dxa" w:w="1382"/>
            <w:tcMar>
              <w:top w:w="60" w:type="dxa"/>
              <w:start w:w="110" w:type="dxa"/>
              <w:bottom w:w="60" w:type="dxa"/>
              <w:end w:w="110" w:type="dxa"/>
            </w:tcMar>
          </w:tcPr>
          <w:p>
            <w:pPr>
              <w:spacing w:after="0"/>
            </w:pPr>
            <w:r/>
            <w:r>
              <w:rPr>
                <w:rFonts w:ascii="Calibri" w:hAnsi="Calibri"/>
                <w:b w:val="0"/>
                <w:i w:val="0"/>
                <w:color w:val="101828"/>
                <w:sz w:val="14"/>
              </w:rPr>
              <w:t>CAN §8, FR-DISP-006</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2.11.4</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Both parties</w:t>
            </w:r>
          </w:p>
        </w:tc>
        <w:tc>
          <w:tcPr>
            <w:tcW w:type="dxa" w:w="1253"/>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SCR-APP-14</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Attach evidence and exchange messages.</w:t>
            </w:r>
          </w:p>
        </w:tc>
        <w:tc>
          <w:tcPr>
            <w:tcW w:type="dxa" w:w="2808"/>
            <w:tcMar>
              <w:top w:w="60" w:type="dxa"/>
              <w:start w:w="110" w:type="dxa"/>
              <w:bottom w:w="60" w:type="dxa"/>
              <w:end w:w="110" w:type="dxa"/>
            </w:tcMar>
            <w:shd w:val="clear" w:color="auto" w:fill="F4F7FB"/>
          </w:tcPr>
          <w:p>
            <w:pPr>
              <w:spacing w:after="0"/>
            </w:pPr>
            <w:r/>
            <w:r>
              <w:rPr>
                <w:rFonts w:ascii="Consolas" w:hAnsi="Consolas"/>
                <w:color w:val="146EF5"/>
                <w:sz w:val="14"/>
              </w:rPr>
              <w:t>POST /disputes/:id/evidence</w:t>
            </w:r>
            <w:r>
              <w:rPr>
                <w:rFonts w:ascii="Calibri" w:hAnsi="Calibri"/>
                <w:b w:val="0"/>
                <w:i w:val="0"/>
                <w:color w:val="101828"/>
                <w:sz w:val="14"/>
              </w:rPr>
              <w:t xml:space="preserve"> and </w:t>
            </w:r>
            <w:r>
              <w:rPr>
                <w:rFonts w:ascii="Consolas" w:hAnsi="Consolas"/>
                <w:color w:val="146EF5"/>
                <w:sz w:val="14"/>
              </w:rPr>
              <w:t>POST /disputes/:id/messages</w:t>
            </w:r>
            <w:r>
              <w:rPr>
                <w:rFonts w:ascii="Calibri" w:hAnsi="Calibri"/>
                <w:b w:val="0"/>
                <w:i w:val="0"/>
                <w:color w:val="101828"/>
                <w:sz w:val="14"/>
              </w:rPr>
              <w:t>. Uploads are validated for type, size and content server-side and re-encoded. The thread is append-only and exportable.</w:t>
            </w:r>
          </w:p>
        </w:tc>
        <w:tc>
          <w:tcPr>
            <w:tcW w:type="dxa" w:w="1382"/>
            <w:tcMar>
              <w:top w:w="60" w:type="dxa"/>
              <w:start w:w="110" w:type="dxa"/>
              <w:bottom w:w="60" w:type="dxa"/>
              <w:end w:w="110" w:type="dxa"/>
            </w:tcMar>
            <w:shd w:val="clear" w:color="auto" w:fill="F4F7FB"/>
          </w:tcPr>
          <w:p>
            <w:pPr>
              <w:spacing w:after="0"/>
            </w:pPr>
            <w:r/>
            <w:r>
              <w:rPr>
                <w:rFonts w:ascii="Calibri" w:hAnsi="Calibri"/>
                <w:b w:val="0"/>
                <w:i w:val="0"/>
                <w:color w:val="101828"/>
                <w:sz w:val="14"/>
              </w:rPr>
              <w:t>FR-DISP-002, NFR-SEC-006, FR-DISP-004</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2.11.5</w:t>
            </w:r>
          </w:p>
        </w:tc>
        <w:tc>
          <w:tcPr>
            <w:tcW w:type="dxa" w:w="1210"/>
            <w:tcMar>
              <w:top w:w="60" w:type="dxa"/>
              <w:start w:w="110" w:type="dxa"/>
              <w:bottom w:w="60" w:type="dxa"/>
              <w:end w:w="110" w:type="dxa"/>
            </w:tcMar>
          </w:tcPr>
          <w:p>
            <w:pPr>
              <w:spacing w:after="0"/>
            </w:pPr>
            <w:r/>
            <w:r>
              <w:rPr>
                <w:rFonts w:ascii="Calibri" w:hAnsi="Calibri"/>
                <w:b w:val="0"/>
                <w:i w:val="0"/>
                <w:color w:val="101828"/>
                <w:sz w:val="14"/>
              </w:rPr>
              <w:t>Support</w:t>
            </w:r>
          </w:p>
        </w:tc>
        <w:tc>
          <w:tcPr>
            <w:tcW w:type="dxa" w:w="1253"/>
            <w:tcMar>
              <w:top w:w="60" w:type="dxa"/>
              <w:start w:w="110" w:type="dxa"/>
              <w:bottom w:w="60" w:type="dxa"/>
              <w:end w:w="110" w:type="dxa"/>
            </w:tcMar>
          </w:tcPr>
          <w:p>
            <w:pPr>
              <w:spacing w:after="0"/>
            </w:pPr>
            <w:r/>
            <w:r>
              <w:rPr>
                <w:rFonts w:ascii="Calibri" w:hAnsi="Calibri"/>
                <w:b w:val="0"/>
                <w:i w:val="0"/>
                <w:color w:val="101828"/>
                <w:sz w:val="14"/>
              </w:rPr>
              <w:t>SCR-ADM-04</w:t>
            </w:r>
          </w:p>
        </w:tc>
        <w:tc>
          <w:tcPr>
            <w:tcW w:type="dxa" w:w="2002"/>
            <w:tcMar>
              <w:top w:w="60" w:type="dxa"/>
              <w:start w:w="110" w:type="dxa"/>
              <w:bottom w:w="60" w:type="dxa"/>
              <w:end w:w="110" w:type="dxa"/>
            </w:tcMar>
          </w:tcPr>
          <w:p>
            <w:pPr>
              <w:spacing w:after="0"/>
            </w:pPr>
            <w:r/>
            <w:r>
              <w:rPr>
                <w:rFonts w:ascii="Calibri" w:hAnsi="Calibri"/>
                <w:b w:val="0"/>
                <w:i w:val="0"/>
                <w:color w:val="101828"/>
                <w:sz w:val="14"/>
              </w:rPr>
              <w:t>Reads, contacts both parties and assists.</w:t>
            </w:r>
          </w:p>
        </w:tc>
        <w:tc>
          <w:tcPr>
            <w:tcW w:type="dxa" w:w="2808"/>
            <w:tcMar>
              <w:top w:w="60" w:type="dxa"/>
              <w:start w:w="110" w:type="dxa"/>
              <w:bottom w:w="60" w:type="dxa"/>
              <w:end w:w="110" w:type="dxa"/>
            </w:tcMar>
          </w:tcPr>
          <w:p>
            <w:pPr>
              <w:spacing w:after="0"/>
            </w:pPr>
            <w:r/>
            <w:r>
              <w:rPr>
                <w:rFonts w:ascii="Consolas" w:hAnsi="Consolas"/>
                <w:color w:val="146EF5"/>
                <w:sz w:val="14"/>
              </w:rPr>
              <w:t>support</w:t>
            </w:r>
            <w:r>
              <w:rPr>
                <w:rFonts w:ascii="Calibri" w:hAnsi="Calibri"/>
                <w:b w:val="0"/>
                <w:i w:val="0"/>
                <w:color w:val="101828"/>
                <w:sz w:val="14"/>
              </w:rPr>
              <w:t xml:space="preserve"> may read all disputes, contact members, assist and propose a resolution. It may not initiate or moderate a payout, change a balance or override a risk decision. Every attempt is rejected and recorded.</w:t>
            </w:r>
          </w:p>
        </w:tc>
        <w:tc>
          <w:tcPr>
            <w:tcW w:type="dxa" w:w="1382"/>
            <w:tcMar>
              <w:top w:w="60" w:type="dxa"/>
              <w:start w:w="110" w:type="dxa"/>
              <w:bottom w:w="60" w:type="dxa"/>
              <w:end w:w="110" w:type="dxa"/>
            </w:tcMar>
          </w:tcPr>
          <w:p>
            <w:pPr>
              <w:spacing w:after="0"/>
            </w:pPr>
            <w:r/>
            <w:r>
              <w:rPr>
                <w:rFonts w:ascii="Calibri" w:hAnsi="Calibri"/>
                <w:b w:val="0"/>
                <w:i w:val="0"/>
                <w:color w:val="101828"/>
                <w:sz w:val="14"/>
              </w:rPr>
              <w:t>BR-023, FR-DISP-003, FR-ADM-004, FR-ADM-012, US-37</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2.11.6</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Risk officer</w:t>
            </w:r>
          </w:p>
        </w:tc>
        <w:tc>
          <w:tcPr>
            <w:tcW w:type="dxa" w:w="1253"/>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SCR-ADM-05</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Decides whether a risk reason exists to freeze or hold.</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A payout may be frozen only with a recorded risk reason. A dispute on its own is never sufficient, because a dispute is a process, not a verdict.</w:t>
            </w:r>
          </w:p>
        </w:tc>
        <w:tc>
          <w:tcPr>
            <w:tcW w:type="dxa" w:w="1382"/>
            <w:tcMar>
              <w:top w:w="60" w:type="dxa"/>
              <w:start w:w="110" w:type="dxa"/>
              <w:bottom w:w="60" w:type="dxa"/>
              <w:end w:w="110" w:type="dxa"/>
            </w:tcMar>
            <w:shd w:val="clear" w:color="auto" w:fill="F4F7FB"/>
          </w:tcPr>
          <w:p>
            <w:pPr>
              <w:spacing w:after="0"/>
            </w:pPr>
            <w:r/>
            <w:r>
              <w:rPr>
                <w:rFonts w:ascii="Calibri" w:hAnsi="Calibri"/>
                <w:b w:val="0"/>
                <w:i w:val="0"/>
                <w:color w:val="101828"/>
                <w:sz w:val="14"/>
              </w:rPr>
              <w:t>FR-DISP-007, FR-ADM-005, BR-018</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2.11.7</w:t>
            </w:r>
          </w:p>
        </w:tc>
        <w:tc>
          <w:tcPr>
            <w:tcW w:type="dxa" w:w="1210"/>
            <w:tcMar>
              <w:top w:w="60" w:type="dxa"/>
              <w:start w:w="110" w:type="dxa"/>
              <w:bottom w:w="60" w:type="dxa"/>
              <w:end w:w="110" w:type="dxa"/>
            </w:tcMar>
          </w:tcPr>
          <w:p>
            <w:pPr>
              <w:spacing w:after="0"/>
            </w:pPr>
            <w:r/>
            <w:r>
              <w:rPr>
                <w:rFonts w:ascii="Calibri" w:hAnsi="Calibri"/>
                <w:b w:val="0"/>
                <w:i w:val="0"/>
                <w:color w:val="101828"/>
                <w:sz w:val="14"/>
              </w:rPr>
              <w:t>Decision maker</w:t>
            </w:r>
          </w:p>
        </w:tc>
        <w:tc>
          <w:tcPr>
            <w:tcW w:type="dxa" w:w="1253"/>
            <w:tcMar>
              <w:top w:w="60" w:type="dxa"/>
              <w:start w:w="110" w:type="dxa"/>
              <w:bottom w:w="60" w:type="dxa"/>
              <w:end w:w="110" w:type="dxa"/>
            </w:tcMar>
          </w:tcPr>
          <w:p>
            <w:pPr>
              <w:spacing w:after="0"/>
            </w:pPr>
            <w:r/>
            <w:r>
              <w:rPr>
                <w:rFonts w:ascii="Calibri" w:hAnsi="Calibri"/>
                <w:b w:val="0"/>
                <w:i w:val="0"/>
                <w:color w:val="101828"/>
                <w:sz w:val="14"/>
              </w:rPr>
              <w:t>SCR-ADM-04</w:t>
            </w:r>
          </w:p>
        </w:tc>
        <w:tc>
          <w:tcPr>
            <w:tcW w:type="dxa" w:w="2002"/>
            <w:tcMar>
              <w:top w:w="60" w:type="dxa"/>
              <w:start w:w="110" w:type="dxa"/>
              <w:bottom w:w="60" w:type="dxa"/>
              <w:end w:w="110" w:type="dxa"/>
            </w:tcMar>
          </w:tcPr>
          <w:p>
            <w:pPr>
              <w:spacing w:after="0"/>
            </w:pPr>
            <w:r/>
            <w:r>
              <w:rPr>
                <w:rFonts w:ascii="Calibri" w:hAnsi="Calibri"/>
                <w:b w:val="0"/>
                <w:i w:val="0"/>
                <w:color w:val="101828"/>
                <w:sz w:val="14"/>
              </w:rPr>
              <w:t>Resolves the dispute.</w:t>
            </w:r>
          </w:p>
        </w:tc>
        <w:tc>
          <w:tcPr>
            <w:tcW w:type="dxa" w:w="2808"/>
            <w:tcMar>
              <w:top w:w="60" w:type="dxa"/>
              <w:start w:w="110" w:type="dxa"/>
              <w:bottom w:w="60" w:type="dxa"/>
              <w:end w:w="110" w:type="dxa"/>
            </w:tcMar>
          </w:tcPr>
          <w:p>
            <w:pPr>
              <w:spacing w:after="0"/>
            </w:pPr>
            <w:r/>
            <w:r>
              <w:rPr>
                <w:rFonts w:ascii="Calibri" w:hAnsi="Calibri"/>
                <w:b w:val="0"/>
                <w:i w:val="0"/>
                <w:color w:val="101828"/>
                <w:sz w:val="14"/>
              </w:rPr>
              <w:t xml:space="preserve">The outcome is recorded with the reason, the evidence relied on and the role that decided, permanently. </w:t>
            </w:r>
            <w:r>
              <w:rPr>
                <w:rFonts w:ascii="Consolas" w:hAnsi="Consolas"/>
                <w:color w:val="146EF5"/>
                <w:sz w:val="14"/>
              </w:rPr>
              <w:t>dispute.resolved</w:t>
            </w:r>
            <w:r>
              <w:rPr>
                <w:rFonts w:ascii="Calibri" w:hAnsi="Calibri"/>
                <w:b w:val="0"/>
                <w:i w:val="0"/>
                <w:color w:val="101828"/>
                <w:sz w:val="14"/>
              </w:rPr>
              <w:t xml:space="preserve"> is sent to the parties on push and email.</w:t>
            </w:r>
          </w:p>
        </w:tc>
        <w:tc>
          <w:tcPr>
            <w:tcW w:type="dxa" w:w="1382"/>
            <w:tcMar>
              <w:top w:w="60" w:type="dxa"/>
              <w:start w:w="110" w:type="dxa"/>
              <w:bottom w:w="60" w:type="dxa"/>
              <w:end w:w="110" w:type="dxa"/>
            </w:tcMar>
          </w:tcPr>
          <w:p>
            <w:pPr>
              <w:spacing w:after="0"/>
            </w:pPr>
            <w:r/>
            <w:r>
              <w:rPr>
                <w:rFonts w:ascii="Calibri" w:hAnsi="Calibri"/>
                <w:b w:val="0"/>
                <w:i w:val="0"/>
                <w:color w:val="101828"/>
                <w:sz w:val="14"/>
              </w:rPr>
              <w:t>FR-DISP-005, FR-DISP-006, NFR-AUD-003</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2.11.8</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AJO.ng</w:t>
            </w:r>
          </w:p>
        </w:tc>
        <w:tc>
          <w:tcPr>
            <w:tcW w:type="dxa" w:w="1253"/>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SCR-APP-05</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Keeps the rest of the Ajo running throughout.</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A dispute does not block a member's unrelated contributions, does not pause their notifications, and does not freeze their payout absent a recorded risk reason. Disposing of the dispute is never allowed to become a way of stopping the Ajo.</w:t>
            </w:r>
          </w:p>
        </w:tc>
        <w:tc>
          <w:tcPr>
            <w:tcW w:type="dxa" w:w="1382"/>
            <w:tcMar>
              <w:top w:w="60" w:type="dxa"/>
              <w:start w:w="110" w:type="dxa"/>
              <w:bottom w:w="60" w:type="dxa"/>
              <w:end w:w="110" w:type="dxa"/>
            </w:tcMar>
            <w:shd w:val="clear" w:color="auto" w:fill="F4F7FB"/>
          </w:tcPr>
          <w:p>
            <w:pPr>
              <w:spacing w:after="0"/>
            </w:pPr>
            <w:r/>
            <w:r>
              <w:rPr>
                <w:rFonts w:ascii="Calibri" w:hAnsi="Calibri"/>
                <w:b w:val="0"/>
                <w:i w:val="0"/>
                <w:color w:val="101828"/>
                <w:sz w:val="14"/>
              </w:rPr>
              <w:t>FR-DISP-007, G2</w:t>
            </w:r>
          </w:p>
        </w:tc>
      </w:tr>
    </w:tbl>
    <w:p>
      <w:pPr>
        <w:spacing w:after="80"/>
      </w:pPr>
    </w:p>
    <w:p>
      <w:pPr>
        <w:pStyle w:val="Heading3"/>
      </w:pPr>
      <w:r>
        <w:rPr>
          <w:rFonts w:ascii="Calibri" w:hAnsi="Calibri"/>
          <w:b/>
          <w:i w:val="0"/>
          <w:color w:val="0B1F3A"/>
          <w:sz w:val="24"/>
        </w:rPr>
        <w:t>2.11.4 Happy path</w:t>
      </w:r>
    </w:p>
    <w:p>
      <w:r>
        <w:rPr>
          <w:rFonts w:ascii="Calibri" w:hAnsi="Calibri"/>
          <w:b w:val="0"/>
          <w:i w:val="0"/>
          <w:color w:val="101828"/>
          <w:sz w:val="21"/>
        </w:rPr>
        <w:t xml:space="preserve">A member notices that a payment they made on the 12th is not showing as credited on their statement. They open the contribution, tap </w:t>
      </w:r>
      <w:r>
        <w:rPr>
          <w:rFonts w:ascii="Calibri" w:hAnsi="Calibri"/>
          <w:i/>
          <w:color w:val="101828"/>
          <w:sz w:val="21"/>
        </w:rPr>
        <w:t>Something is wrong</w:t>
      </w:r>
      <w:r>
        <w:rPr>
          <w:rFonts w:ascii="Calibri" w:hAnsi="Calibri"/>
          <w:b w:val="0"/>
          <w:i w:val="0"/>
          <w:color w:val="101828"/>
          <w:sz w:val="21"/>
        </w:rPr>
        <w:t>, and the dispute is created already scoped to that contribution and that round, with the platform's own payment record and state history attached as evidence. The organiser is notified, sees the same thread, and posts a reply. A support agent reads the whole thing, contacts both parties, and finds that the payment settled at the provider but the webhook was delayed, so the ledger caught up forty minutes later. The dispute is resolved with the reason, the evidence relied on and the deciding role recorded permanently. Meanwhile the member paid their next contribution on time, their notifications kept arriving, their position did not move, and no money was frozen while an administrative question was being asked. The dispute resolved in under the 72-hour target because nobody had to argue from memory.</w:t>
      </w:r>
    </w:p>
    <w:p>
      <w:pPr>
        <w:pStyle w:val="Heading3"/>
      </w:pPr>
      <w:r>
        <w:rPr>
          <w:rFonts w:ascii="Calibri" w:hAnsi="Calibri"/>
          <w:b/>
          <w:i w:val="0"/>
          <w:color w:val="0B1F3A"/>
          <w:sz w:val="24"/>
        </w:rPr>
        <w:t>2.11.5 Alternates and failure branches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42"/>
            <w:shd w:val="clear" w:color="auto" w:fill="0B1F3A"/>
            <w:tcMar>
              <w:top w:w="60" w:type="dxa"/>
              <w:start w:w="110" w:type="dxa"/>
              <w:bottom w:w="60" w:type="dxa"/>
              <w:end w:w="110" w:type="dxa"/>
            </w:tcMar>
          </w:tcPr>
          <w:p>
            <w:pPr>
              <w:spacing w:after="0"/>
            </w:pPr>
            <w:r/>
            <w:r>
              <w:rPr>
                <w:rFonts w:ascii="Calibri" w:hAnsi="Calibri"/>
                <w:b/>
                <w:i w:val="0"/>
                <w:color w:val="FFFFFF"/>
                <w:sz w:val="14"/>
              </w:rPr>
              <w:t>Condition</w:t>
            </w:r>
          </w:p>
        </w:tc>
        <w:tc>
          <w:tcPr>
            <w:tcW w:type="dxa" w:w="2146"/>
            <w:shd w:val="clear" w:color="auto" w:fill="0B1F3A"/>
            <w:tcMar>
              <w:top w:w="60" w:type="dxa"/>
              <w:start w:w="110" w:type="dxa"/>
              <w:bottom w:w="60" w:type="dxa"/>
              <w:end w:w="110" w:type="dxa"/>
            </w:tcMar>
          </w:tcPr>
          <w:p>
            <w:pPr>
              <w:spacing w:after="0"/>
            </w:pPr>
            <w:r/>
            <w:r>
              <w:rPr>
                <w:rFonts w:ascii="Calibri" w:hAnsi="Calibri"/>
                <w:b/>
                <w:i w:val="0"/>
                <w:color w:val="FFFFFF"/>
                <w:sz w:val="14"/>
              </w:rPr>
              <w:t>Branch</w:t>
            </w:r>
          </w:p>
        </w:tc>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4"/>
              </w:rPr>
              <w:t>Message</w:t>
            </w:r>
          </w:p>
        </w:tc>
        <w:tc>
          <w:tcPr>
            <w:tcW w:type="dxa" w:w="2491"/>
            <w:shd w:val="clear" w:color="auto" w:fill="0B1F3A"/>
            <w:tcMar>
              <w:top w:w="60" w:type="dxa"/>
              <w:start w:w="110" w:type="dxa"/>
              <w:bottom w:w="60" w:type="dxa"/>
              <w:end w:w="110" w:type="dxa"/>
            </w:tcMar>
          </w:tcPr>
          <w:p>
            <w:pPr>
              <w:spacing w:after="0"/>
            </w:pPr>
            <w:r/>
            <w:r>
              <w:rPr>
                <w:rFonts w:ascii="Calibri" w:hAnsi="Calibri"/>
                <w:b/>
                <w:i w:val="0"/>
                <w:color w:val="FFFFFF"/>
                <w:sz w:val="14"/>
              </w:rPr>
              <w:t>Recovery</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member raises a dispute to delay a payout</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dispute does not block the payout. A dispute may freeze a payout only with a recorded risk reason, and a risk reason is a risk-officer judgement, not a member's request.</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SCR-APP-10</w:t>
            </w:r>
          </w:p>
        </w:tc>
        <w:tc>
          <w:tcPr>
            <w:tcW w:type="dxa" w:w="1944"/>
            <w:tcMar>
              <w:top w:w="60" w:type="dxa"/>
              <w:start w:w="110" w:type="dxa"/>
              <w:bottom w:w="60" w:type="dxa"/>
              <w:end w:w="110" w:type="dxa"/>
            </w:tcMar>
          </w:tcPr>
          <w:p>
            <w:pPr>
              <w:spacing w:after="0"/>
            </w:pPr>
            <w:r/>
            <w:r>
              <w:rPr>
                <w:rFonts w:ascii="Calibri" w:hAnsi="Calibri"/>
                <w:i/>
                <w:color w:val="101828"/>
                <w:sz w:val="14"/>
              </w:rPr>
              <w:t>Your dispute is open and being worked. Your payout is not affected by it unless our risk team records a specific reason, and if they do, you will be told why.</w:t>
            </w:r>
          </w:p>
        </w:tc>
        <w:tc>
          <w:tcPr>
            <w:tcW w:type="dxa" w:w="2491"/>
            <w:tcMar>
              <w:top w:w="60" w:type="dxa"/>
              <w:start w:w="110" w:type="dxa"/>
              <w:bottom w:w="60" w:type="dxa"/>
              <w:end w:w="110" w:type="dxa"/>
            </w:tcMar>
          </w:tcPr>
          <w:p>
            <w:pPr>
              <w:spacing w:after="0"/>
            </w:pPr>
            <w:r/>
            <w:r>
              <w:rPr>
                <w:rFonts w:ascii="Calibri" w:hAnsi="Calibri"/>
                <w:b w:val="0"/>
                <w:i w:val="0"/>
                <w:color w:val="101828"/>
                <w:sz w:val="14"/>
              </w:rPr>
              <w:t>Risk review if a reason exists. FR-DISP-007, EC-055.</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counterparty never responds</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The dispute does not stall forever. A response window is set, the thread records the non-response, and support proposes a resolution on the evidence available.</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SCR-APP-14</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We asked the other party to respond by DATE. If we do not hear back, we will decide on what we have.</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Support resolution with the non-response recorded. K-13, EC-090.</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Evidence is uploaded that is malicious or oversized</w:t>
            </w:r>
          </w:p>
        </w:tc>
        <w:tc>
          <w:tcPr>
            <w:tcW w:type="dxa" w:w="2146"/>
            <w:tcMar>
              <w:top w:w="60" w:type="dxa"/>
              <w:start w:w="110" w:type="dxa"/>
              <w:bottom w:w="60" w:type="dxa"/>
              <w:end w:w="110" w:type="dxa"/>
            </w:tcMar>
          </w:tcPr>
          <w:p>
            <w:pPr>
              <w:spacing w:after="0"/>
            </w:pPr>
            <w:r/>
            <w:r>
              <w:rPr>
                <w:rFonts w:ascii="Calibri" w:hAnsi="Calibri"/>
                <w:b w:val="0"/>
                <w:i w:val="0"/>
                <w:color w:val="101828"/>
                <w:sz w:val="14"/>
              </w:rPr>
              <w:t>Rejected at validation. The upload is never stored uninspected, and the attempt is recorded.</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SCR-APP-14</w:t>
            </w:r>
          </w:p>
        </w:tc>
        <w:tc>
          <w:tcPr>
            <w:tcW w:type="dxa" w:w="1944"/>
            <w:tcMar>
              <w:top w:w="60" w:type="dxa"/>
              <w:start w:w="110" w:type="dxa"/>
              <w:bottom w:w="60" w:type="dxa"/>
              <w:end w:w="110" w:type="dxa"/>
            </w:tcMar>
          </w:tcPr>
          <w:p>
            <w:pPr>
              <w:spacing w:after="0"/>
            </w:pPr>
            <w:r/>
            <w:r>
              <w:rPr>
                <w:rFonts w:ascii="Calibri" w:hAnsi="Calibri"/>
                <w:i/>
                <w:color w:val="101828"/>
                <w:sz w:val="14"/>
              </w:rPr>
              <w:t>That file could not be accepted. Accepted types and maximum size are listed.</w:t>
            </w:r>
          </w:p>
        </w:tc>
        <w:tc>
          <w:tcPr>
            <w:tcW w:type="dxa" w:w="2491"/>
            <w:tcMar>
              <w:top w:w="60" w:type="dxa"/>
              <w:start w:w="110" w:type="dxa"/>
              <w:bottom w:w="60" w:type="dxa"/>
              <w:end w:w="110" w:type="dxa"/>
            </w:tcMar>
          </w:tcPr>
          <w:p>
            <w:pPr>
              <w:spacing w:after="0"/>
            </w:pPr>
            <w:r/>
            <w:r>
              <w:rPr>
                <w:rFonts w:ascii="Calibri" w:hAnsi="Calibri"/>
                <w:b w:val="0"/>
                <w:i w:val="0"/>
                <w:color w:val="101828"/>
                <w:sz w:val="14"/>
              </w:rPr>
              <w:t>Re-upload. NFR-S, EC-091.</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dispute is about a real loss, for example money that reached the provider and was never credited</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It is simultaneously a dispute and a reconciliation exception. The reconciliation run creates a </w:t>
            </w:r>
            <w:r>
              <w:rPr>
                <w:rFonts w:ascii="Consolas" w:hAnsi="Consolas"/>
                <w:color w:val="146EF5"/>
                <w:sz w:val="14"/>
              </w:rPr>
              <w:t>risk_events</w:t>
            </w:r>
            <w:r>
              <w:rPr>
                <w:rFonts w:ascii="Calibri" w:hAnsi="Calibri"/>
                <w:b w:val="0"/>
                <w:i w:val="0"/>
                <w:color w:val="101828"/>
                <w:sz w:val="14"/>
              </w:rPr>
              <w:t xml:space="preserve"> row that cannot be silently closed, and the member is told the case is with the payments team.</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SCR-APP-14 / SCR-ADM-05</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Your money is not in dispute with the other member. It is unaccounted for at our payment partner, and we own that.</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Reconciliation, provider escalation, risk-officer decision with a recorded rationale. NFR-AUD-005, FR-ADM-011, EC-092.</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A support agent tries to resolve the dispute by moving money</w:t>
            </w:r>
          </w:p>
        </w:tc>
        <w:tc>
          <w:tcPr>
            <w:tcW w:type="dxa" w:w="2146"/>
            <w:tcMar>
              <w:top w:w="60" w:type="dxa"/>
              <w:start w:w="110" w:type="dxa"/>
              <w:bottom w:w="60" w:type="dxa"/>
              <w:end w:w="110" w:type="dxa"/>
            </w:tcMar>
          </w:tcPr>
          <w:p>
            <w:pPr>
              <w:spacing w:after="0"/>
            </w:pPr>
            <w:r/>
            <w:r>
              <w:rPr>
                <w:rFonts w:ascii="Calibri" w:hAnsi="Calibri"/>
                <w:b w:val="0"/>
                <w:i w:val="0"/>
                <w:color w:val="101828"/>
                <w:sz w:val="14"/>
              </w:rPr>
              <w:t>Rejected by role, and the attempt is recorded in the audit log as an authorisation failure. Support's proposed resolution is advisory.</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SCR-ADM-04</w:t>
            </w:r>
          </w:p>
        </w:tc>
        <w:tc>
          <w:tcPr>
            <w:tcW w:type="dxa" w:w="1944"/>
            <w:tcMar>
              <w:top w:w="60" w:type="dxa"/>
              <w:start w:w="110" w:type="dxa"/>
              <w:bottom w:w="60" w:type="dxa"/>
              <w:end w:w="110" w:type="dxa"/>
            </w:tcMar>
          </w:tcPr>
          <w:p>
            <w:pPr>
              <w:spacing w:after="0"/>
            </w:pPr>
            <w:r/>
            <w:r>
              <w:rPr>
                <w:rFonts w:ascii="Calibri" w:hAnsi="Calibri"/>
                <w:i/>
                <w:color w:val="101828"/>
                <w:sz w:val="14"/>
              </w:rPr>
              <w:t>Your role cannot move money. You can propose a resolution and escalate.</w:t>
            </w:r>
          </w:p>
        </w:tc>
        <w:tc>
          <w:tcPr>
            <w:tcW w:type="dxa" w:w="2491"/>
            <w:tcMar>
              <w:top w:w="60" w:type="dxa"/>
              <w:start w:w="110" w:type="dxa"/>
              <w:bottom w:w="60" w:type="dxa"/>
              <w:end w:w="110" w:type="dxa"/>
            </w:tcMar>
          </w:tcPr>
          <w:p>
            <w:pPr>
              <w:spacing w:after="0"/>
            </w:pPr>
            <w:r/>
            <w:r>
              <w:rPr>
                <w:rFonts w:ascii="Calibri" w:hAnsi="Calibri"/>
                <w:b w:val="0"/>
                <w:i w:val="0"/>
                <w:color w:val="101828"/>
                <w:sz w:val="14"/>
              </w:rPr>
              <w:t xml:space="preserve">Escalation to </w:t>
            </w:r>
            <w:r>
              <w:rPr>
                <w:rFonts w:ascii="Consolas" w:hAnsi="Consolas"/>
                <w:color w:val="146EF5"/>
                <w:sz w:val="14"/>
              </w:rPr>
              <w:t>risk_officer</w:t>
            </w:r>
            <w:r>
              <w:rPr>
                <w:rFonts w:ascii="Calibri" w:hAnsi="Calibri"/>
                <w:b w:val="0"/>
                <w:i w:val="0"/>
                <w:color w:val="101828"/>
                <w:sz w:val="14"/>
              </w:rPr>
              <w:t xml:space="preserve"> or </w:t>
            </w:r>
            <w:r>
              <w:rPr>
                <w:rFonts w:ascii="Consolas" w:hAnsi="Consolas"/>
                <w:color w:val="146EF5"/>
                <w:sz w:val="14"/>
              </w:rPr>
              <w:t>super_admin</w:t>
            </w:r>
            <w:r>
              <w:rPr>
                <w:rFonts w:ascii="Calibri" w:hAnsi="Calibri"/>
                <w:b w:val="0"/>
                <w:i w:val="0"/>
                <w:color w:val="101828"/>
                <w:sz w:val="14"/>
              </w:rPr>
              <w:t xml:space="preserve"> within their authority. BR-023, US-37, NFR-AUD-004, EC-079.</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dispute concerns a member who is no longer reachable</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The dispute proceeds on the evidence. A default may be recorded separately through the flow in 2.6; the two processes are independent and neither blocks the other.</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SCR-APP-14</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We are proceeding on the record. The other member has not responded.</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Support decision, risk-officer decision, or both, with the reasoning recorded, EC-097.</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A member raises many disputes, or disputes everything</w:t>
            </w:r>
          </w:p>
        </w:tc>
        <w:tc>
          <w:tcPr>
            <w:tcW w:type="dxa" w:w="2146"/>
            <w:tcMar>
              <w:top w:w="60" w:type="dxa"/>
              <w:start w:w="110" w:type="dxa"/>
              <w:bottom w:w="60" w:type="dxa"/>
              <w:end w:w="110" w:type="dxa"/>
            </w:tcMar>
          </w:tcPr>
          <w:p>
            <w:pPr>
              <w:spacing w:after="0"/>
            </w:pPr>
            <w:r/>
            <w:r>
              <w:rPr>
                <w:rFonts w:ascii="Calibri" w:hAnsi="Calibri"/>
                <w:b w:val="0"/>
                <w:i w:val="0"/>
                <w:color w:val="101828"/>
                <w:sz w:val="14"/>
              </w:rPr>
              <w:t xml:space="preserve">Velocity and abuse rules raise a </w:t>
            </w:r>
            <w:r>
              <w:rPr>
                <w:rFonts w:ascii="Consolas" w:hAnsi="Consolas"/>
                <w:color w:val="146EF5"/>
                <w:sz w:val="14"/>
              </w:rPr>
              <w:t>risk_events</w:t>
            </w:r>
            <w:r>
              <w:rPr>
                <w:rFonts w:ascii="Calibri" w:hAnsi="Calibri"/>
                <w:b w:val="0"/>
                <w:i w:val="0"/>
                <w:color w:val="101828"/>
                <w:sz w:val="14"/>
              </w:rPr>
              <w:t xml:space="preserve"> row. Dispute rights are not removed; the pattern is reviewed by a human and the decision is recorded.</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SCR-ADM-05</w:t>
            </w:r>
          </w:p>
        </w:tc>
        <w:tc>
          <w:tcPr>
            <w:tcW w:type="dxa" w:w="1944"/>
            <w:tcMar>
              <w:top w:w="60" w:type="dxa"/>
              <w:start w:w="110" w:type="dxa"/>
              <w:bottom w:w="60" w:type="dxa"/>
              <w:end w:w="110" w:type="dxa"/>
            </w:tcMar>
          </w:tcPr>
          <w:p>
            <w:pPr>
              <w:spacing w:after="0"/>
            </w:pPr>
            <w:r/>
            <w:r>
              <w:rPr>
                <w:rFonts w:ascii="Calibri" w:hAnsi="Calibri"/>
                <w:b w:val="0"/>
                <w:i w:val="0"/>
                <w:color w:val="101828"/>
                <w:sz w:val="14"/>
              </w:rPr>
              <w:t>The member is not shown a warning about their dispute usage.</w:t>
            </w:r>
          </w:p>
        </w:tc>
        <w:tc>
          <w:tcPr>
            <w:tcW w:type="dxa" w:w="2491"/>
            <w:tcMar>
              <w:top w:w="60" w:type="dxa"/>
              <w:start w:w="110" w:type="dxa"/>
              <w:bottom w:w="60" w:type="dxa"/>
              <w:end w:w="110" w:type="dxa"/>
            </w:tcMar>
          </w:tcPr>
          <w:p>
            <w:pPr>
              <w:spacing w:after="0"/>
            </w:pPr>
            <w:r/>
            <w:r>
              <w:rPr>
                <w:rFonts w:ascii="Calibri" w:hAnsi="Calibri"/>
                <w:b w:val="0"/>
                <w:i w:val="0"/>
                <w:color w:val="101828"/>
                <w:sz w:val="14"/>
              </w:rPr>
              <w:t>Risk review, R4, EC-093.</w:t>
            </w:r>
          </w:p>
        </w:tc>
      </w:tr>
    </w:tbl>
    <w:p>
      <w:pPr>
        <w:spacing w:after="80"/>
      </w:pPr>
    </w:p>
    <w:p>
      <w:r>
        <w:br w:type="page"/>
      </w:r>
    </w:p>
    <w:p>
      <w:pPr>
        <w:pStyle w:val="Heading2"/>
      </w:pPr>
      <w:r>
        <w:rPr>
          <w:rFonts w:ascii="Calibri" w:hAnsi="Calibri"/>
          <w:b/>
          <w:i w:val="0"/>
          <w:color w:val="146EF5"/>
          <w:sz w:val="29"/>
        </w:rPr>
        <w:t>2.12 Account suspension and freeze</w:t>
      </w:r>
    </w:p>
    <w:p>
      <w:pPr>
        <w:pStyle w:val="Heading3"/>
      </w:pPr>
      <w:r>
        <w:rPr>
          <w:rFonts w:ascii="Calibri" w:hAnsi="Calibri"/>
          <w:b/>
          <w:i w:val="0"/>
          <w:color w:val="0B1F3A"/>
          <w:sz w:val="24"/>
        </w:rPr>
        <w:t>2.12.1 Purpose</w:t>
      </w:r>
    </w:p>
    <w:p>
      <w:r>
        <w:rPr>
          <w:rFonts w:ascii="Calibri" w:hAnsi="Calibri"/>
          <w:b w:val="0"/>
          <w:i w:val="0"/>
          <w:color w:val="101828"/>
          <w:sz w:val="21"/>
        </w:rPr>
        <w:t xml:space="preserve">A freeze stops money movement for an account or a platform without deleting anything, without rewriting history and without disappearing. It is available three ways: a member freezing their own account when they suspect compromise, a </w:t>
      </w:r>
      <w:r>
        <w:rPr>
          <w:rFonts w:ascii="Consolas" w:hAnsi="Consolas"/>
          <w:color w:val="146EF5"/>
          <w:sz w:val="21"/>
        </w:rPr>
        <w:t>risk_officer</w:t>
      </w:r>
      <w:r>
        <w:rPr>
          <w:rFonts w:ascii="Calibri" w:hAnsi="Calibri"/>
          <w:b w:val="0"/>
          <w:i w:val="0"/>
          <w:color w:val="101828"/>
          <w:sz w:val="21"/>
        </w:rPr>
        <w:t xml:space="preserve"> freezing on a risk trigger, and a </w:t>
      </w:r>
      <w:r>
        <w:rPr>
          <w:rFonts w:ascii="Consolas" w:hAnsi="Consolas"/>
          <w:color w:val="146EF5"/>
          <w:sz w:val="21"/>
        </w:rPr>
        <w:t>super_admin</w:t>
      </w:r>
      <w:r>
        <w:rPr>
          <w:rFonts w:ascii="Calibri" w:hAnsi="Calibri"/>
          <w:b w:val="0"/>
          <w:i w:val="0"/>
          <w:color w:val="101828"/>
          <w:sz w:val="21"/>
        </w:rPr>
        <w:t xml:space="preserve"> executing an emergency platform-wide freeze. In all three cases the same four things are true: money movement stops immediately, the account holder is told, the reason and the decider are recorded, and only an action after verified identity can lift it.</w:t>
      </w:r>
    </w:p>
    <w:p>
      <w:pPr>
        <w:pStyle w:val="Heading3"/>
      </w:pPr>
      <w:r>
        <w:rPr>
          <w:rFonts w:ascii="Calibri" w:hAnsi="Calibri"/>
          <w:b/>
          <w:i w:val="0"/>
          <w:color w:val="0B1F3A"/>
          <w:sz w:val="24"/>
        </w:rPr>
        <w:t>2.12.2 Swimlane</w:t>
      </w:r>
    </w:p>
    <w:p>
      <w:pPr>
        <w:spacing w:before="0" w:after="0" w:line="240" w:lineRule="auto"/>
        <w:ind w:left="230"/>
        <w:shd w:val="clear" w:color="auto" w:fill="F7F9FC"/>
        <w:pBdr>
          <w:left w:val="single" w:sz="4" w:space="6" w:color="D0D5DD"/>
        </w:pBdr>
      </w:pPr>
      <w:r>
        <w:rPr>
          <w:rFonts w:ascii="Consolas" w:hAnsi="Consolas"/>
          <w:color w:val="0B1F3A"/>
          <w:sz w:val="16"/>
        </w:rPr>
        <w:t>TRIGGER        MEMBER              RISK OFFICER       SUPER ADMIN      LEDGER</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I think my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account was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taken over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self-freeze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all money movement|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stops immediately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account.frozen -&gt; push, email, SMS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sessions revoked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Support verifies my identity, then lifts the freeze.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RISK TRIGGER (duplicate identity,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fraud pattern, account takeover)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risk_events row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place UNDER REVIEW</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-&gt; freeze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account.frozen &lt;-|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member told the reason in plain words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decision: trigger, evidence,</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rationale, officer identity</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EMERGENCY: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freeze all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money movement</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platform-wide</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reason recorded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Contributions, positions and receipts stay READABLE throughout.</w:t>
      </w:r>
    </w:p>
    <w:p>
      <w:pPr>
        <w:spacing w:before="0" w:after="0" w:line="240" w:lineRule="auto"/>
        <w:ind w:left="230"/>
        <w:shd w:val="clear" w:color="auto" w:fill="F7F9FC"/>
        <w:pBdr>
          <w:left w:val="single" w:sz="4" w:space="6" w:color="D0D5DD"/>
        </w:pBdr>
      </w:pPr>
      <w:r>
        <w:rPr>
          <w:rFonts w:ascii="Consolas" w:hAnsi="Consolas"/>
          <w:color w:val="0B1F3A"/>
          <w:sz w:val="16"/>
        </w:rPr>
        <w:t xml:space="preserve">   |  Nothing is deleted. No role edits the ledger to make a freeze tidy.</w:t>
      </w:r>
    </w:p>
    <w:p>
      <w:pPr>
        <w:pStyle w:val="Heading3"/>
      </w:pPr>
      <w:r>
        <w:rPr>
          <w:rFonts w:ascii="Calibri" w:hAnsi="Calibri"/>
          <w:b/>
          <w:i w:val="0"/>
          <w:color w:val="0B1F3A"/>
          <w:sz w:val="24"/>
        </w:rPr>
        <w:t>2.12.3 Step detail</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706"/>
            <w:shd w:val="clear" w:color="auto" w:fill="0B1F3A"/>
            <w:tcMar>
              <w:top w:w="60" w:type="dxa"/>
              <w:start w:w="110" w:type="dxa"/>
              <w:bottom w:w="60" w:type="dxa"/>
              <w:end w:w="110" w:type="dxa"/>
            </w:tcMar>
          </w:tcPr>
          <w:p>
            <w:pPr>
              <w:spacing w:after="0"/>
            </w:pPr>
            <w:r/>
            <w:r>
              <w:rPr>
                <w:rFonts w:ascii="Calibri" w:hAnsi="Calibri"/>
                <w:b/>
                <w:i w:val="0"/>
                <w:color w:val="FFFFFF"/>
                <w:sz w:val="14"/>
              </w:rPr>
              <w:t>Step</w:t>
            </w:r>
          </w:p>
        </w:tc>
        <w:tc>
          <w:tcPr>
            <w:tcW w:type="dxa" w:w="1253"/>
            <w:shd w:val="clear" w:color="auto" w:fill="0B1F3A"/>
            <w:tcMar>
              <w:top w:w="60" w:type="dxa"/>
              <w:start w:w="110" w:type="dxa"/>
              <w:bottom w:w="60" w:type="dxa"/>
              <w:end w:w="110" w:type="dxa"/>
            </w:tcMar>
          </w:tcPr>
          <w:p>
            <w:pPr>
              <w:spacing w:after="0"/>
            </w:pPr>
            <w:r/>
            <w:r>
              <w:rPr>
                <w:rFonts w:ascii="Calibri" w:hAnsi="Calibri"/>
                <w:b/>
                <w:i w:val="0"/>
                <w:color w:val="FFFFFF"/>
                <w:sz w:val="14"/>
              </w:rPr>
              <w:t>Actor</w:t>
            </w:r>
          </w:p>
        </w:tc>
        <w:tc>
          <w:tcPr>
            <w:tcW w:type="dxa" w:w="1210"/>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2030"/>
            <w:shd w:val="clear" w:color="auto" w:fill="0B1F3A"/>
            <w:tcMar>
              <w:top w:w="60" w:type="dxa"/>
              <w:start w:w="110" w:type="dxa"/>
              <w:bottom w:w="60" w:type="dxa"/>
              <w:end w:w="110" w:type="dxa"/>
            </w:tcMar>
          </w:tcPr>
          <w:p>
            <w:pPr>
              <w:spacing w:after="0"/>
            </w:pPr>
            <w:r/>
            <w:r>
              <w:rPr>
                <w:rFonts w:ascii="Calibri" w:hAnsi="Calibri"/>
                <w:b/>
                <w:i w:val="0"/>
                <w:color w:val="FFFFFF"/>
                <w:sz w:val="14"/>
              </w:rPr>
              <w:t>Action</w:t>
            </w:r>
          </w:p>
        </w:tc>
        <w:tc>
          <w:tcPr>
            <w:tcW w:type="dxa" w:w="2808"/>
            <w:shd w:val="clear" w:color="auto" w:fill="0B1F3A"/>
            <w:tcMar>
              <w:top w:w="60" w:type="dxa"/>
              <w:start w:w="110" w:type="dxa"/>
              <w:bottom w:w="60" w:type="dxa"/>
              <w:end w:w="110" w:type="dxa"/>
            </w:tcMar>
          </w:tcPr>
          <w:p>
            <w:pPr>
              <w:spacing w:after="0"/>
            </w:pPr>
            <w:r/>
            <w:r>
              <w:rPr>
                <w:rFonts w:ascii="Calibri" w:hAnsi="Calibri"/>
                <w:b/>
                <w:i w:val="0"/>
                <w:color w:val="FFFFFF"/>
                <w:sz w:val="14"/>
              </w:rPr>
              <w:t>System response</w:t>
            </w:r>
          </w:p>
        </w:tc>
        <w:tc>
          <w:tcPr>
            <w:tcW w:type="dxa" w:w="1354"/>
            <w:shd w:val="clear" w:color="auto" w:fill="0B1F3A"/>
            <w:tcMar>
              <w:top w:w="60" w:type="dxa"/>
              <w:start w:w="110" w:type="dxa"/>
              <w:bottom w:w="60" w:type="dxa"/>
              <w:end w:w="110" w:type="dxa"/>
            </w:tcMar>
          </w:tcPr>
          <w:p>
            <w:pPr>
              <w:spacing w:after="0"/>
            </w:pPr>
            <w:r/>
            <w:r>
              <w:rPr>
                <w:rFonts w:ascii="Calibri" w:hAnsi="Calibri"/>
                <w:b/>
                <w:i w:val="0"/>
                <w:color w:val="FFFFFF"/>
                <w:sz w:val="14"/>
              </w:rPr>
              <w:t>Rule ref</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2.12.1</w:t>
            </w:r>
          </w:p>
        </w:tc>
        <w:tc>
          <w:tcPr>
            <w:tcW w:type="dxa" w:w="1253"/>
            <w:tcMar>
              <w:top w:w="60" w:type="dxa"/>
              <w:start w:w="110" w:type="dxa"/>
              <w:bottom w:w="60" w:type="dxa"/>
              <w:end w:w="110" w:type="dxa"/>
            </w:tcMar>
          </w:tcPr>
          <w:p>
            <w:pPr>
              <w:spacing w:after="0"/>
            </w:pPr>
            <w:r/>
            <w:r>
              <w:rPr>
                <w:rFonts w:ascii="Calibri" w:hAnsi="Calibri"/>
                <w:b w:val="0"/>
                <w:i w:val="0"/>
                <w:color w:val="101828"/>
                <w:sz w:val="14"/>
              </w:rPr>
              <w:t>User</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SCR-APP-17</w:t>
            </w:r>
          </w:p>
        </w:tc>
        <w:tc>
          <w:tcPr>
            <w:tcW w:type="dxa" w:w="2030"/>
            <w:tcMar>
              <w:top w:w="60" w:type="dxa"/>
              <w:start w:w="110" w:type="dxa"/>
              <w:bottom w:w="60" w:type="dxa"/>
              <w:end w:w="110" w:type="dxa"/>
            </w:tcMar>
          </w:tcPr>
          <w:p>
            <w:pPr>
              <w:spacing w:after="0"/>
            </w:pPr>
            <w:r/>
            <w:r>
              <w:rPr>
                <w:rFonts w:ascii="Calibri" w:hAnsi="Calibri"/>
                <w:b w:val="0"/>
                <w:i w:val="0"/>
                <w:color w:val="101828"/>
                <w:sz w:val="14"/>
              </w:rPr>
              <w:t>Requests a self-freeze because they suspect account takeover.</w:t>
            </w:r>
          </w:p>
        </w:tc>
        <w:tc>
          <w:tcPr>
            <w:tcW w:type="dxa" w:w="2808"/>
            <w:tcMar>
              <w:top w:w="60" w:type="dxa"/>
              <w:start w:w="110" w:type="dxa"/>
              <w:bottom w:w="60" w:type="dxa"/>
              <w:end w:w="110" w:type="dxa"/>
            </w:tcMar>
          </w:tcPr>
          <w:p>
            <w:pPr>
              <w:spacing w:after="0"/>
            </w:pPr>
            <w:r/>
            <w:r>
              <w:rPr>
                <w:rFonts w:ascii="Calibri" w:hAnsi="Calibri"/>
                <w:b w:val="0"/>
                <w:i w:val="0"/>
                <w:color w:val="101828"/>
                <w:sz w:val="14"/>
              </w:rPr>
              <w:t xml:space="preserve">All money movement stops immediately: no new payment initiation, no payout release, no withdrawal-equivalent. Existing sessions are revoked. </w:t>
            </w:r>
            <w:r>
              <w:rPr>
                <w:rFonts w:ascii="Consolas" w:hAnsi="Consolas"/>
                <w:color w:val="146EF5"/>
                <w:sz w:val="14"/>
              </w:rPr>
              <w:t>account.frozen</w:t>
            </w:r>
            <w:r>
              <w:rPr>
                <w:rFonts w:ascii="Calibri" w:hAnsi="Calibri"/>
                <w:b w:val="0"/>
                <w:i w:val="0"/>
                <w:color w:val="101828"/>
                <w:sz w:val="14"/>
              </w:rPr>
              <w:t xml:space="preserve"> is sent on push, email and SMS because this is a security event.</w:t>
            </w:r>
          </w:p>
        </w:tc>
        <w:tc>
          <w:tcPr>
            <w:tcW w:type="dxa" w:w="1354"/>
            <w:tcMar>
              <w:top w:w="60" w:type="dxa"/>
              <w:start w:w="110" w:type="dxa"/>
              <w:bottom w:w="60" w:type="dxa"/>
              <w:end w:w="110" w:type="dxa"/>
            </w:tcMar>
          </w:tcPr>
          <w:p>
            <w:pPr>
              <w:spacing w:after="0"/>
            </w:pPr>
            <w:r/>
            <w:r>
              <w:rPr>
                <w:rFonts w:ascii="Calibri" w:hAnsi="Calibri"/>
                <w:b w:val="0"/>
                <w:i w:val="0"/>
                <w:color w:val="101828"/>
                <w:sz w:val="14"/>
              </w:rPr>
              <w:t>US-36, CAN §8, FR-SEC-001 to FR-SEC-009</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2.12.2</w:t>
            </w:r>
          </w:p>
        </w:tc>
        <w:tc>
          <w:tcPr>
            <w:tcW w:type="dxa" w:w="1253"/>
            <w:tcMar>
              <w:top w:w="60" w:type="dxa"/>
              <w:start w:w="110" w:type="dxa"/>
              <w:bottom w:w="60" w:type="dxa"/>
              <w:end w:w="110" w:type="dxa"/>
            </w:tcMar>
            <w:shd w:val="clear" w:color="auto" w:fill="F4F7FB"/>
          </w:tcPr>
          <w:p>
            <w:pPr>
              <w:spacing w:after="0"/>
            </w:pPr>
            <w:r/>
            <w:r>
              <w:rPr>
                <w:rFonts w:ascii="Calibri" w:hAnsi="Calibri"/>
                <w:b w:val="0"/>
                <w:i w:val="0"/>
                <w:color w:val="101828"/>
                <w:sz w:val="14"/>
              </w:rPr>
              <w:t>Risk officer</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SCR-ADM-05</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Places an account or an Ajo under review, then freezes.</w:t>
            </w:r>
          </w:p>
        </w:tc>
        <w:tc>
          <w:tcPr>
            <w:tcW w:type="dxa" w:w="2808"/>
            <w:tcMar>
              <w:top w:w="60" w:type="dxa"/>
              <w:start w:w="110" w:type="dxa"/>
              <w:bottom w:w="60" w:type="dxa"/>
              <w:end w:w="110" w:type="dxa"/>
            </w:tcMar>
            <w:shd w:val="clear" w:color="auto" w:fill="F4F7FB"/>
          </w:tcPr>
          <w:p>
            <w:pPr>
              <w:spacing w:after="0"/>
            </w:pPr>
            <w:r/>
            <w:r>
              <w:rPr>
                <w:rFonts w:ascii="Consolas" w:hAnsi="Consolas"/>
                <w:color w:val="146EF5"/>
                <w:sz w:val="14"/>
              </w:rPr>
              <w:t>risk_events</w:t>
            </w:r>
            <w:r>
              <w:rPr>
                <w:rFonts w:ascii="Calibri" w:hAnsi="Calibri"/>
                <w:b w:val="0"/>
                <w:i w:val="0"/>
                <w:color w:val="101828"/>
                <w:sz w:val="14"/>
              </w:rPr>
              <w:t xml:space="preserve"> records the trigger and the evidence. A freeze is a reversible state, not a deletion, and it creates a </w:t>
            </w:r>
            <w:r>
              <w:rPr>
                <w:rFonts w:ascii="Consolas" w:hAnsi="Consolas"/>
                <w:color w:val="146EF5"/>
                <w:sz w:val="14"/>
              </w:rPr>
              <w:t>risk_events</w:t>
            </w:r>
            <w:r>
              <w:rPr>
                <w:rFonts w:ascii="Calibri" w:hAnsi="Calibri"/>
                <w:b w:val="0"/>
                <w:i w:val="0"/>
                <w:color w:val="101828"/>
                <w:sz w:val="14"/>
              </w:rPr>
              <w:t xml:space="preserve"> row that cannot be silently closed.</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4"/>
              </w:rPr>
              <w:t>FR-ADM-005, FR-ADM-011, NFR-AUD-005, R4</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2.12.3</w:t>
            </w:r>
          </w:p>
        </w:tc>
        <w:tc>
          <w:tcPr>
            <w:tcW w:type="dxa" w:w="1253"/>
            <w:tcMar>
              <w:top w:w="60" w:type="dxa"/>
              <w:start w:w="110" w:type="dxa"/>
              <w:bottom w:w="60" w:type="dxa"/>
              <w:end w:w="110" w:type="dxa"/>
            </w:tcMar>
          </w:tcPr>
          <w:p>
            <w:pPr>
              <w:spacing w:after="0"/>
            </w:pPr>
            <w:r/>
            <w:r>
              <w:rPr>
                <w:rFonts w:ascii="Calibri" w:hAnsi="Calibri"/>
                <w:b w:val="0"/>
                <w:i w:val="0"/>
                <w:color w:val="101828"/>
                <w:sz w:val="14"/>
              </w:rPr>
              <w:t>Super admin</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SCR-ADM-09</w:t>
            </w:r>
          </w:p>
        </w:tc>
        <w:tc>
          <w:tcPr>
            <w:tcW w:type="dxa" w:w="2030"/>
            <w:tcMar>
              <w:top w:w="60" w:type="dxa"/>
              <w:start w:w="110" w:type="dxa"/>
              <w:bottom w:w="60" w:type="dxa"/>
              <w:end w:w="110" w:type="dxa"/>
            </w:tcMar>
          </w:tcPr>
          <w:p>
            <w:pPr>
              <w:spacing w:after="0"/>
            </w:pPr>
            <w:r/>
            <w:r>
              <w:rPr>
                <w:rFonts w:ascii="Calibri" w:hAnsi="Calibri"/>
                <w:b w:val="0"/>
                <w:i w:val="0"/>
                <w:color w:val="101828"/>
                <w:sz w:val="14"/>
              </w:rPr>
              <w:t>Executes an emergency platform-wide freeze.</w:t>
            </w:r>
          </w:p>
        </w:tc>
        <w:tc>
          <w:tcPr>
            <w:tcW w:type="dxa" w:w="2808"/>
            <w:tcMar>
              <w:top w:w="60" w:type="dxa"/>
              <w:start w:w="110" w:type="dxa"/>
              <w:bottom w:w="60" w:type="dxa"/>
              <w:end w:w="110" w:type="dxa"/>
            </w:tcMar>
          </w:tcPr>
          <w:p>
            <w:pPr>
              <w:spacing w:after="0"/>
            </w:pPr>
            <w:r/>
            <w:r>
              <w:rPr>
                <w:rFonts w:ascii="Calibri" w:hAnsi="Calibri"/>
                <w:b w:val="0"/>
                <w:i w:val="0"/>
                <w:color w:val="101828"/>
                <w:sz w:val="14"/>
              </w:rPr>
              <w:t>All money movement halts platform-wide with the reason recorded. This is a stop-the-bleeding control for an incident, not a routine operating tool, and its use is itself audited.</w:t>
            </w:r>
          </w:p>
        </w:tc>
        <w:tc>
          <w:tcPr>
            <w:tcW w:type="dxa" w:w="1354"/>
            <w:tcMar>
              <w:top w:w="60" w:type="dxa"/>
              <w:start w:w="110" w:type="dxa"/>
              <w:bottom w:w="60" w:type="dxa"/>
              <w:end w:w="110" w:type="dxa"/>
            </w:tcMar>
          </w:tcPr>
          <w:p>
            <w:pPr>
              <w:spacing w:after="0"/>
            </w:pPr>
            <w:r/>
            <w:r>
              <w:rPr>
                <w:rFonts w:ascii="Calibri" w:hAnsi="Calibri"/>
                <w:b w:val="0"/>
                <w:i w:val="0"/>
                <w:color w:val="101828"/>
                <w:sz w:val="14"/>
              </w:rPr>
              <w:t>FR-ADM-007, CAN §2, EC-099</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2.12.4</w:t>
            </w:r>
          </w:p>
        </w:tc>
        <w:tc>
          <w:tcPr>
            <w:tcW w:type="dxa" w:w="1253"/>
            <w:tcMar>
              <w:top w:w="60" w:type="dxa"/>
              <w:start w:w="110" w:type="dxa"/>
              <w:bottom w:w="60" w:type="dxa"/>
              <w:end w:w="110" w:type="dxa"/>
            </w:tcMar>
            <w:shd w:val="clear" w:color="auto" w:fill="F4F7FB"/>
          </w:tcPr>
          <w:p>
            <w:pPr>
              <w:spacing w:after="0"/>
            </w:pPr>
            <w:r/>
            <w:r>
              <w:rPr>
                <w:rFonts w:ascii="Calibri" w:hAnsi="Calibri"/>
                <w:b w:val="0"/>
                <w:i w:val="0"/>
                <w:color w:val="101828"/>
                <w:sz w:val="14"/>
              </w:rPr>
              <w:t>AJO.ng</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SCR-APP-12 / SCR-APP-10</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Notifies the member and the affected organiser.</w:t>
            </w:r>
          </w:p>
        </w:tc>
        <w:tc>
          <w:tcPr>
            <w:tcW w:type="dxa" w:w="2808"/>
            <w:tcMar>
              <w:top w:w="60" w:type="dxa"/>
              <w:start w:w="110" w:type="dxa"/>
              <w:bottom w:w="60" w:type="dxa"/>
              <w:end w:w="110" w:type="dxa"/>
            </w:tcMar>
            <w:shd w:val="clear" w:color="auto" w:fill="F4F7FB"/>
          </w:tcPr>
          <w:p>
            <w:pPr>
              <w:spacing w:after="0"/>
            </w:pPr>
            <w:r/>
            <w:r>
              <w:rPr>
                <w:rFonts w:ascii="Consolas" w:hAnsi="Consolas"/>
                <w:color w:val="146EF5"/>
                <w:sz w:val="14"/>
              </w:rPr>
              <w:t>account.frozen</w:t>
            </w:r>
            <w:r>
              <w:rPr>
                <w:rFonts w:ascii="Calibri" w:hAnsi="Calibri"/>
                <w:b w:val="0"/>
                <w:i w:val="0"/>
                <w:color w:val="101828"/>
                <w:sz w:val="14"/>
              </w:rPr>
              <w:t xml:space="preserve"> goes to the member on push, email and SMS in plain language. Where an Ajo is frozen, the organiser and the members see a clear statement that the Ajo is paused and why, without any implication of member fault.</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4"/>
              </w:rPr>
              <w:t>CAN §8, FR-NOTIF-001, BR-014</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2.12.5</w:t>
            </w:r>
          </w:p>
        </w:tc>
        <w:tc>
          <w:tcPr>
            <w:tcW w:type="dxa" w:w="1253"/>
            <w:tcMar>
              <w:top w:w="60" w:type="dxa"/>
              <w:start w:w="110" w:type="dxa"/>
              <w:bottom w:w="60" w:type="dxa"/>
              <w:end w:w="110" w:type="dxa"/>
            </w:tcMar>
          </w:tcPr>
          <w:p>
            <w:pPr>
              <w:spacing w:after="0"/>
            </w:pPr>
            <w:r/>
            <w:r>
              <w:rPr>
                <w:rFonts w:ascii="Calibri" w:hAnsi="Calibri"/>
                <w:b w:val="0"/>
                <w:i w:val="0"/>
                <w:color w:val="101828"/>
                <w:sz w:val="14"/>
              </w:rPr>
              <w:t>AJO.ng</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SCR-APP-11 / SCR-APP-05</w:t>
            </w:r>
          </w:p>
        </w:tc>
        <w:tc>
          <w:tcPr>
            <w:tcW w:type="dxa" w:w="2030"/>
            <w:tcMar>
              <w:top w:w="60" w:type="dxa"/>
              <w:start w:w="110" w:type="dxa"/>
              <w:bottom w:w="60" w:type="dxa"/>
              <w:end w:w="110" w:type="dxa"/>
            </w:tcMar>
          </w:tcPr>
          <w:p>
            <w:pPr>
              <w:spacing w:after="0"/>
            </w:pPr>
            <w:r/>
            <w:r>
              <w:rPr>
                <w:rFonts w:ascii="Calibri" w:hAnsi="Calibri"/>
                <w:b w:val="0"/>
                <w:i w:val="0"/>
                <w:color w:val="101828"/>
                <w:sz w:val="14"/>
              </w:rPr>
              <w:t>Preserves the member's financial history in full.</w:t>
            </w:r>
          </w:p>
        </w:tc>
        <w:tc>
          <w:tcPr>
            <w:tcW w:type="dxa" w:w="2808"/>
            <w:tcMar>
              <w:top w:w="60" w:type="dxa"/>
              <w:start w:w="110" w:type="dxa"/>
              <w:bottom w:w="60" w:type="dxa"/>
              <w:end w:w="110" w:type="dxa"/>
            </w:tcMar>
          </w:tcPr>
          <w:p>
            <w:pPr>
              <w:spacing w:after="0"/>
            </w:pPr>
            <w:r/>
            <w:r>
              <w:rPr>
                <w:rFonts w:ascii="Calibri" w:hAnsi="Calibri"/>
                <w:b w:val="0"/>
                <w:i w:val="0"/>
                <w:color w:val="101828"/>
                <w:sz w:val="14"/>
              </w:rPr>
              <w:t>The member keeps read access to their contributions, receipts, statements, positions and completed Ajos. A freeze restricts movement; it does not erase the record that the money ever existed.</w:t>
            </w:r>
          </w:p>
        </w:tc>
        <w:tc>
          <w:tcPr>
            <w:tcW w:type="dxa" w:w="1354"/>
            <w:tcMar>
              <w:top w:w="60" w:type="dxa"/>
              <w:start w:w="110" w:type="dxa"/>
              <w:bottom w:w="60" w:type="dxa"/>
              <w:end w:w="110" w:type="dxa"/>
            </w:tcMar>
          </w:tcPr>
          <w:p>
            <w:pPr>
              <w:spacing w:after="0"/>
            </w:pPr>
            <w:r/>
            <w:r>
              <w:rPr>
                <w:rFonts w:ascii="Calibri" w:hAnsi="Calibri"/>
                <w:b w:val="0"/>
                <w:i w:val="0"/>
                <w:color w:val="101828"/>
                <w:sz w:val="14"/>
              </w:rPr>
              <w:t>FR-TXN-001, FR-TXN-004, G6, N11</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2.12.6</w:t>
            </w:r>
          </w:p>
        </w:tc>
        <w:tc>
          <w:tcPr>
            <w:tcW w:type="dxa" w:w="1253"/>
            <w:tcMar>
              <w:top w:w="60" w:type="dxa"/>
              <w:start w:w="110" w:type="dxa"/>
              <w:bottom w:w="60" w:type="dxa"/>
              <w:end w:w="110" w:type="dxa"/>
            </w:tcMar>
            <w:shd w:val="clear" w:color="auto" w:fill="F4F7FB"/>
          </w:tcPr>
          <w:p>
            <w:pPr>
              <w:spacing w:after="0"/>
            </w:pPr>
            <w:r/>
            <w:r>
              <w:rPr>
                <w:rFonts w:ascii="Calibri" w:hAnsi="Calibri"/>
                <w:b w:val="0"/>
                <w:i w:val="0"/>
                <w:color w:val="101828"/>
                <w:sz w:val="14"/>
              </w:rPr>
              <w:t>AJO.ng</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SCR-APP-10</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Handles a payout that falls due while the recipient is frozen.</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The payout does not silently vanish. It is HELD with a recorded reason, and both the recipient and the organiser are told. The HELD state is not a default and no default clock runs against the member for it.</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4"/>
              </w:rPr>
              <w:t>BR-018, BR-017, K-14, EC-034</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2.12.7</w:t>
            </w:r>
          </w:p>
        </w:tc>
        <w:tc>
          <w:tcPr>
            <w:tcW w:type="dxa" w:w="1253"/>
            <w:tcMar>
              <w:top w:w="60" w:type="dxa"/>
              <w:start w:w="110" w:type="dxa"/>
              <w:bottom w:w="60" w:type="dxa"/>
              <w:end w:w="110" w:type="dxa"/>
            </w:tcMar>
          </w:tcPr>
          <w:p>
            <w:pPr>
              <w:spacing w:after="0"/>
            </w:pPr>
            <w:r/>
            <w:r>
              <w:rPr>
                <w:rFonts w:ascii="Calibri" w:hAnsi="Calibri"/>
                <w:b w:val="0"/>
                <w:i w:val="0"/>
                <w:color w:val="101828"/>
                <w:sz w:val="14"/>
              </w:rPr>
              <w:t>Support</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SCR-APP-13 / SCR-ADM-02</w:t>
            </w:r>
          </w:p>
        </w:tc>
        <w:tc>
          <w:tcPr>
            <w:tcW w:type="dxa" w:w="2030"/>
            <w:tcMar>
              <w:top w:w="60" w:type="dxa"/>
              <w:start w:w="110" w:type="dxa"/>
              <w:bottom w:w="60" w:type="dxa"/>
              <w:end w:w="110" w:type="dxa"/>
            </w:tcMar>
          </w:tcPr>
          <w:p>
            <w:pPr>
              <w:spacing w:after="0"/>
            </w:pPr>
            <w:r/>
            <w:r>
              <w:rPr>
                <w:rFonts w:ascii="Calibri" w:hAnsi="Calibri"/>
                <w:b w:val="0"/>
                <w:i w:val="0"/>
                <w:color w:val="101828"/>
                <w:sz w:val="14"/>
              </w:rPr>
              <w:t>Lifts the freeze after verifying the member's identity.</w:t>
            </w:r>
          </w:p>
        </w:tc>
        <w:tc>
          <w:tcPr>
            <w:tcW w:type="dxa" w:w="2808"/>
            <w:tcMar>
              <w:top w:w="60" w:type="dxa"/>
              <w:start w:w="110" w:type="dxa"/>
              <w:bottom w:w="60" w:type="dxa"/>
              <w:end w:w="110" w:type="dxa"/>
            </w:tcMar>
          </w:tcPr>
          <w:p>
            <w:pPr>
              <w:spacing w:after="0"/>
            </w:pPr>
            <w:r/>
            <w:r>
              <w:rPr>
                <w:rFonts w:ascii="Calibri" w:hAnsi="Calibri"/>
                <w:b w:val="0"/>
                <w:i w:val="0"/>
                <w:color w:val="101828"/>
                <w:sz w:val="14"/>
              </w:rPr>
              <w:t>Unfreeze is permitted only after verified identity. The unfreeze is recorded with actor, role, timestamp, evidence of identity verification and rationale. The member's own request is not sufficient, which is precisely what makes the control work against an attacker who has the password.</w:t>
            </w:r>
          </w:p>
        </w:tc>
        <w:tc>
          <w:tcPr>
            <w:tcW w:type="dxa" w:w="1354"/>
            <w:tcMar>
              <w:top w:w="60" w:type="dxa"/>
              <w:start w:w="110" w:type="dxa"/>
              <w:bottom w:w="60" w:type="dxa"/>
              <w:end w:w="110" w:type="dxa"/>
            </w:tcMar>
          </w:tcPr>
          <w:p>
            <w:pPr>
              <w:spacing w:after="0"/>
            </w:pPr>
            <w:r/>
            <w:r>
              <w:rPr>
                <w:rFonts w:ascii="Calibri" w:hAnsi="Calibri"/>
                <w:b w:val="0"/>
                <w:i w:val="0"/>
                <w:color w:val="101828"/>
                <w:sz w:val="14"/>
              </w:rPr>
              <w:t>FR-S, US-36, BR-023, NFR-AUD-003, EC-079, EC-087</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2.12.8</w:t>
            </w:r>
          </w:p>
        </w:tc>
        <w:tc>
          <w:tcPr>
            <w:tcW w:type="dxa" w:w="1253"/>
            <w:tcMar>
              <w:top w:w="60" w:type="dxa"/>
              <w:start w:w="110" w:type="dxa"/>
              <w:bottom w:w="60" w:type="dxa"/>
              <w:end w:w="110" w:type="dxa"/>
            </w:tcMar>
            <w:shd w:val="clear" w:color="auto" w:fill="F4F7FB"/>
          </w:tcPr>
          <w:p>
            <w:pPr>
              <w:spacing w:after="0"/>
            </w:pPr>
            <w:r/>
            <w:r>
              <w:rPr>
                <w:rFonts w:ascii="Calibri" w:hAnsi="Calibri"/>
                <w:b w:val="0"/>
                <w:i w:val="0"/>
                <w:color w:val="101828"/>
                <w:sz w:val="14"/>
              </w:rPr>
              <w:t>Risk officer</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SCR-ADM-05</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Records the final decision on the underlying risk event.</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decision records trigger, evidence considered, decision, rationale and officer identity, and is visible in the Risk screen to every admin role including </w:t>
            </w:r>
            <w:r>
              <w:rPr>
                <w:rFonts w:ascii="Consolas" w:hAnsi="Consolas"/>
                <w:color w:val="146EF5"/>
                <w:sz w:val="14"/>
              </w:rPr>
              <w:t>super_admin</w:t>
            </w:r>
            <w:r>
              <w:rPr>
                <w:rFonts w:ascii="Calibri" w:hAnsi="Calibri"/>
                <w:b w:val="0"/>
                <w:i w:val="0"/>
                <w:color w:val="101828"/>
                <w:sz w:val="14"/>
              </w:rPr>
              <w:t>.</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4"/>
              </w:rPr>
              <w:t>FR-ADM-006, US-38, NFR-AUD-004</w:t>
            </w:r>
          </w:p>
        </w:tc>
      </w:tr>
    </w:tbl>
    <w:p>
      <w:pPr>
        <w:spacing w:after="80"/>
      </w:pPr>
    </w:p>
    <w:p>
      <w:pPr>
        <w:pStyle w:val="Heading3"/>
      </w:pPr>
      <w:r>
        <w:rPr>
          <w:rFonts w:ascii="Calibri" w:hAnsi="Calibri"/>
          <w:b/>
          <w:i w:val="0"/>
          <w:color w:val="0B1F3A"/>
          <w:sz w:val="24"/>
        </w:rPr>
        <w:t>2.12.4 Happy path</w:t>
      </w:r>
    </w:p>
    <w:p>
      <w:r>
        <w:rPr>
          <w:rFonts w:ascii="Calibri" w:hAnsi="Calibri"/>
          <w:b w:val="0"/>
          <w:i w:val="0"/>
          <w:color w:val="101828"/>
          <w:sz w:val="21"/>
        </w:rPr>
        <w:t xml:space="preserve">A member notices a </w:t>
      </w:r>
      <w:r>
        <w:rPr>
          <w:rFonts w:ascii="Consolas" w:hAnsi="Consolas"/>
          <w:color w:val="146EF5"/>
          <w:sz w:val="21"/>
        </w:rPr>
        <w:t>security.login_new_device</w:t>
      </w:r>
      <w:r>
        <w:rPr>
          <w:rFonts w:ascii="Calibri" w:hAnsi="Calibri"/>
          <w:b w:val="0"/>
          <w:i w:val="0"/>
          <w:color w:val="101828"/>
          <w:sz w:val="21"/>
        </w:rPr>
        <w:t xml:space="preserve"> alert from a location they have never used. They open the Security screen, see three unfamiliar sessions, and tap </w:t>
      </w:r>
      <w:r>
        <w:rPr>
          <w:rFonts w:ascii="Calibri" w:hAnsi="Calibri"/>
          <w:i/>
          <w:color w:val="101828"/>
          <w:sz w:val="21"/>
        </w:rPr>
        <w:t>Freeze my account</w:t>
      </w:r>
      <w:r>
        <w:rPr>
          <w:rFonts w:ascii="Calibri" w:hAnsi="Calibri"/>
          <w:b w:val="0"/>
          <w:i w:val="0"/>
          <w:color w:val="101828"/>
          <w:sz w:val="21"/>
        </w:rPr>
        <w:t xml:space="preserve">. Money movement stops immediately: no payment can be initiated, no payout can be released to them, and the other sessions are revoked. They receive </w:t>
      </w:r>
      <w:r>
        <w:rPr>
          <w:rFonts w:ascii="Consolas" w:hAnsi="Consolas"/>
          <w:color w:val="146EF5"/>
          <w:sz w:val="21"/>
        </w:rPr>
        <w:t>account.frozen</w:t>
      </w:r>
      <w:r>
        <w:rPr>
          <w:rFonts w:ascii="Calibri" w:hAnsi="Calibri"/>
          <w:b w:val="0"/>
          <w:i w:val="0"/>
          <w:color w:val="101828"/>
          <w:sz w:val="21"/>
        </w:rPr>
        <w:t xml:space="preserve"> on push, email and SMS. They contact support, prove their identity, and the freeze is lifted with the verification recorded. Meanwhile the risk officer sees the same pattern as a </w:t>
      </w:r>
      <w:r>
        <w:rPr>
          <w:rFonts w:ascii="Consolas" w:hAnsi="Consolas"/>
          <w:color w:val="146EF5"/>
          <w:sz w:val="21"/>
        </w:rPr>
        <w:t>risk_events</w:t>
      </w:r>
      <w:r>
        <w:rPr>
          <w:rFonts w:ascii="Calibri" w:hAnsi="Calibri"/>
          <w:b w:val="0"/>
          <w:i w:val="0"/>
          <w:color w:val="101828"/>
          <w:sz w:val="21"/>
        </w:rPr>
        <w:t xml:space="preserve"> row with the device, the location and the timing, and places the account under review. Nothing was deleted. The member can still read every receipt they have ever received. When the risk officer closes the review, the decision, the evidence and the rationale are on the record permanently, visible in the audit log to every admin role including </w:t>
      </w:r>
      <w:r>
        <w:rPr>
          <w:rFonts w:ascii="Consolas" w:hAnsi="Consolas"/>
          <w:color w:val="146EF5"/>
          <w:sz w:val="21"/>
        </w:rPr>
        <w:t>super_admin</w:t>
      </w:r>
      <w:r>
        <w:rPr>
          <w:rFonts w:ascii="Calibri" w:hAnsi="Calibri"/>
          <w:b w:val="0"/>
          <w:i w:val="0"/>
          <w:color w:val="101828"/>
          <w:sz w:val="21"/>
        </w:rPr>
        <w:t>.</w:t>
      </w:r>
    </w:p>
    <w:p>
      <w:pPr>
        <w:pStyle w:val="Heading3"/>
      </w:pPr>
      <w:r>
        <w:rPr>
          <w:rFonts w:ascii="Calibri" w:hAnsi="Calibri"/>
          <w:b/>
          <w:i w:val="0"/>
          <w:color w:val="0B1F3A"/>
          <w:sz w:val="24"/>
        </w:rPr>
        <w:t>2.12.5 Alternates and failure branches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42"/>
            <w:shd w:val="clear" w:color="auto" w:fill="0B1F3A"/>
            <w:tcMar>
              <w:top w:w="60" w:type="dxa"/>
              <w:start w:w="110" w:type="dxa"/>
              <w:bottom w:w="60" w:type="dxa"/>
              <w:end w:w="110" w:type="dxa"/>
            </w:tcMar>
          </w:tcPr>
          <w:p>
            <w:pPr>
              <w:spacing w:after="0"/>
            </w:pPr>
            <w:r/>
            <w:r>
              <w:rPr>
                <w:rFonts w:ascii="Calibri" w:hAnsi="Calibri"/>
                <w:b/>
                <w:i w:val="0"/>
                <w:color w:val="FFFFFF"/>
                <w:sz w:val="14"/>
              </w:rPr>
              <w:t>Condition</w:t>
            </w:r>
          </w:p>
        </w:tc>
        <w:tc>
          <w:tcPr>
            <w:tcW w:type="dxa" w:w="2146"/>
            <w:shd w:val="clear" w:color="auto" w:fill="0B1F3A"/>
            <w:tcMar>
              <w:top w:w="60" w:type="dxa"/>
              <w:start w:w="110" w:type="dxa"/>
              <w:bottom w:w="60" w:type="dxa"/>
              <w:end w:w="110" w:type="dxa"/>
            </w:tcMar>
          </w:tcPr>
          <w:p>
            <w:pPr>
              <w:spacing w:after="0"/>
            </w:pPr>
            <w:r/>
            <w:r>
              <w:rPr>
                <w:rFonts w:ascii="Calibri" w:hAnsi="Calibri"/>
                <w:b/>
                <w:i w:val="0"/>
                <w:color w:val="FFFFFF"/>
                <w:sz w:val="14"/>
              </w:rPr>
              <w:t>Branch</w:t>
            </w:r>
          </w:p>
        </w:tc>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4"/>
              </w:rPr>
              <w:t>Message</w:t>
            </w:r>
          </w:p>
        </w:tc>
        <w:tc>
          <w:tcPr>
            <w:tcW w:type="dxa" w:w="2491"/>
            <w:shd w:val="clear" w:color="auto" w:fill="0B1F3A"/>
            <w:tcMar>
              <w:top w:w="60" w:type="dxa"/>
              <w:start w:w="110" w:type="dxa"/>
              <w:bottom w:w="60" w:type="dxa"/>
              <w:end w:w="110" w:type="dxa"/>
            </w:tcMar>
          </w:tcPr>
          <w:p>
            <w:pPr>
              <w:spacing w:after="0"/>
            </w:pPr>
            <w:r/>
            <w:r>
              <w:rPr>
                <w:rFonts w:ascii="Calibri" w:hAnsi="Calibri"/>
                <w:b/>
                <w:i w:val="0"/>
                <w:color w:val="FFFFFF"/>
                <w:sz w:val="14"/>
              </w:rPr>
              <w:t>Recovery</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An attacker with valid credentials asks support to lift the freeze</w:t>
            </w:r>
          </w:p>
        </w:tc>
        <w:tc>
          <w:tcPr>
            <w:tcW w:type="dxa" w:w="2146"/>
            <w:tcMar>
              <w:top w:w="60" w:type="dxa"/>
              <w:start w:w="110" w:type="dxa"/>
              <w:bottom w:w="60" w:type="dxa"/>
              <w:end w:w="110" w:type="dxa"/>
            </w:tcMar>
          </w:tcPr>
          <w:p>
            <w:pPr>
              <w:spacing w:after="0"/>
            </w:pPr>
            <w:r/>
            <w:r>
              <w:rPr>
                <w:rFonts w:ascii="Calibri" w:hAnsi="Calibri"/>
                <w:b w:val="0"/>
                <w:i w:val="0"/>
                <w:color w:val="101828"/>
                <w:sz w:val="14"/>
              </w:rPr>
              <w:t>Unfreeze requires verified identity, not credentials. The request is refused and the attempted unfreeze is itself recorded as a risk event.</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SCR-ADM-02</w:t>
            </w:r>
          </w:p>
        </w:tc>
        <w:tc>
          <w:tcPr>
            <w:tcW w:type="dxa" w:w="1944"/>
            <w:tcMar>
              <w:top w:w="60" w:type="dxa"/>
              <w:start w:w="110" w:type="dxa"/>
              <w:bottom w:w="60" w:type="dxa"/>
              <w:end w:w="110" w:type="dxa"/>
            </w:tcMar>
          </w:tcPr>
          <w:p>
            <w:pPr>
              <w:spacing w:after="0"/>
            </w:pPr>
            <w:r/>
            <w:r>
              <w:rPr>
                <w:rFonts w:ascii="Calibri" w:hAnsi="Calibri"/>
                <w:b w:val="0"/>
                <w:i w:val="0"/>
                <w:color w:val="101828"/>
                <w:sz w:val="14"/>
              </w:rPr>
              <w:t xml:space="preserve">To the attacker: </w:t>
            </w:r>
            <w:r>
              <w:rPr>
                <w:rFonts w:ascii="Calibri" w:hAnsi="Calibri"/>
                <w:i/>
                <w:color w:val="101828"/>
                <w:sz w:val="14"/>
              </w:rPr>
              <w:t>We cannot unfreeze the account without verified identity.</w:t>
            </w:r>
          </w:p>
        </w:tc>
        <w:tc>
          <w:tcPr>
            <w:tcW w:type="dxa" w:w="2491"/>
            <w:tcMar>
              <w:top w:w="60" w:type="dxa"/>
              <w:start w:w="110" w:type="dxa"/>
              <w:bottom w:w="60" w:type="dxa"/>
              <w:end w:w="110" w:type="dxa"/>
            </w:tcMar>
          </w:tcPr>
          <w:p>
            <w:pPr>
              <w:spacing w:after="0"/>
            </w:pPr>
            <w:r/>
            <w:r>
              <w:rPr>
                <w:rFonts w:ascii="Calibri" w:hAnsi="Calibri"/>
                <w:b w:val="0"/>
                <w:i w:val="0"/>
                <w:color w:val="101828"/>
                <w:sz w:val="14"/>
              </w:rPr>
              <w:t>The legitimate member completes identity verification through a channel the attacker does not control, EC-079.</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A frozen member's contribution falls due</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obligation continues to exist and the default clock is paused, because a platform-imposed freeze is not the member's failure. The due date is adjusted or the clock is suspended, and this is visible to the organiser as </w:t>
            </w:r>
            <w:r>
              <w:rPr>
                <w:rFonts w:ascii="Calibri" w:hAnsi="Calibri"/>
                <w:i/>
                <w:color w:val="101828"/>
                <w:sz w:val="14"/>
              </w:rPr>
              <w:t>paused by platform review</w:t>
            </w:r>
            <w:r>
              <w:rPr>
                <w:rFonts w:ascii="Calibri" w:hAnsi="Calibri"/>
                <w:b w:val="0"/>
                <w:i w:val="0"/>
                <w:color w:val="101828"/>
                <w:sz w:val="14"/>
              </w:rPr>
              <w:t>, never as a member default.</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SCR-APP-08 / SCR-APP-05</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To the organiser: </w:t>
            </w:r>
            <w:r>
              <w:rPr>
                <w:rFonts w:ascii="Calibri" w:hAnsi="Calibri"/>
                <w:i/>
                <w:color w:val="101828"/>
                <w:sz w:val="14"/>
              </w:rPr>
              <w:t>This member is paused by a platform review. It is not a default and the clock is not running.</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Unfreeze, then the member pays, BR-014, G5, EC-028.</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A frozen member is the recipient of a due payout</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payout is HELD with a recorded reason, and the member is told. They are not paid to a different account and no third party receives the money.</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SCR-APP-10</w:t>
            </w:r>
          </w:p>
        </w:tc>
        <w:tc>
          <w:tcPr>
            <w:tcW w:type="dxa" w:w="1944"/>
            <w:tcMar>
              <w:top w:w="60" w:type="dxa"/>
              <w:start w:w="110" w:type="dxa"/>
              <w:bottom w:w="60" w:type="dxa"/>
              <w:end w:w="110" w:type="dxa"/>
            </w:tcMar>
          </w:tcPr>
          <w:p>
            <w:pPr>
              <w:spacing w:after="0"/>
            </w:pPr>
            <w:r/>
            <w:r>
              <w:rPr>
                <w:rFonts w:ascii="Calibri" w:hAnsi="Calibri"/>
                <w:i/>
                <w:color w:val="101828"/>
                <w:sz w:val="14"/>
              </w:rPr>
              <w:t>Your payout is on hold until your account review is closed. It is safe and it is yours.</w:t>
            </w:r>
          </w:p>
        </w:tc>
        <w:tc>
          <w:tcPr>
            <w:tcW w:type="dxa" w:w="2491"/>
            <w:tcMar>
              <w:top w:w="60" w:type="dxa"/>
              <w:start w:w="110" w:type="dxa"/>
              <w:bottom w:w="60" w:type="dxa"/>
              <w:end w:w="110" w:type="dxa"/>
            </w:tcMar>
          </w:tcPr>
          <w:p>
            <w:pPr>
              <w:spacing w:after="0"/>
            </w:pPr>
            <w:r/>
            <w:r>
              <w:rPr>
                <w:rFonts w:ascii="Calibri" w:hAnsi="Calibri"/>
                <w:b w:val="0"/>
                <w:i w:val="0"/>
                <w:color w:val="101828"/>
                <w:sz w:val="14"/>
              </w:rPr>
              <w:t>Unfreeze, then the payout releases in full. BR-018, EC-034.</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A whole Ajo is frozen mid-round because of one member</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The Ajo goes to FROZEN with a reason recorded, and only the activity dependent on the risk decision stops. Other members' contributions already collected are safe and are not clawed back.</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SCR-APP-05</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This Ajo is paused while we review an account involved in it. Your money is intact and your position is unchanged.</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Risk decision, then UNFREEZE back to ACTIVE, or CANCEL with a recorded reason. CAN §3, EC-059.</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An emergency platform-wide freeze is executed</w:t>
            </w:r>
          </w:p>
        </w:tc>
        <w:tc>
          <w:tcPr>
            <w:tcW w:type="dxa" w:w="2146"/>
            <w:tcMar>
              <w:top w:w="60" w:type="dxa"/>
              <w:start w:w="110" w:type="dxa"/>
              <w:bottom w:w="60" w:type="dxa"/>
              <w:end w:w="110" w:type="dxa"/>
            </w:tcMar>
          </w:tcPr>
          <w:p>
            <w:pPr>
              <w:spacing w:after="0"/>
            </w:pPr>
            <w:r/>
            <w:r>
              <w:rPr>
                <w:rFonts w:ascii="Calibri" w:hAnsi="Calibri"/>
                <w:b w:val="0"/>
                <w:i w:val="0"/>
                <w:color w:val="101828"/>
                <w:sz w:val="14"/>
              </w:rPr>
              <w:t>All money movement halts. Open payment states are not force-resolved; they remain PENDING and are reconciled on unfreeze, so a mid-flight payment is never lost or double-counted.</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SCR-ADM-09 / SCR-APP-09</w:t>
            </w:r>
          </w:p>
        </w:tc>
        <w:tc>
          <w:tcPr>
            <w:tcW w:type="dxa" w:w="1944"/>
            <w:tcMar>
              <w:top w:w="60" w:type="dxa"/>
              <w:start w:w="110" w:type="dxa"/>
              <w:bottom w:w="60" w:type="dxa"/>
              <w:end w:w="110" w:type="dxa"/>
            </w:tcMar>
          </w:tcPr>
          <w:p>
            <w:pPr>
              <w:spacing w:after="0"/>
            </w:pPr>
            <w:r/>
            <w:r>
              <w:rPr>
                <w:rFonts w:ascii="Calibri" w:hAnsi="Calibri"/>
                <w:i/>
                <w:color w:val="101828"/>
                <w:sz w:val="14"/>
              </w:rPr>
              <w:t>AJO.ng is temporarily paused while we resolve an issue. Anything you have already paid is safe.</w:t>
            </w:r>
          </w:p>
        </w:tc>
        <w:tc>
          <w:tcPr>
            <w:tcW w:type="dxa" w:w="2491"/>
            <w:tcMar>
              <w:top w:w="60" w:type="dxa"/>
              <w:start w:w="110" w:type="dxa"/>
              <w:bottom w:w="60" w:type="dxa"/>
              <w:end w:w="110" w:type="dxa"/>
            </w:tcMar>
          </w:tcPr>
          <w:p>
            <w:pPr>
              <w:spacing w:after="0"/>
            </w:pPr>
            <w:r/>
            <w:r>
              <w:rPr>
                <w:rFonts w:ascii="Calibri" w:hAnsi="Calibri"/>
                <w:b w:val="0"/>
                <w:i w:val="0"/>
                <w:color w:val="101828"/>
                <w:sz w:val="14"/>
              </w:rPr>
              <w:t>Unfreeze, then reconciliation. NFR-AVL-003, EC-099.</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 disputes that they were ever frozen</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The audit log is the answer: it records who froze, when, on what trigger and with what rationale, and is readable by every admin role and writable by none.</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SCR-ADM-08</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Here is the complete history of every action on this account, including the freeze and who made it.</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None needed. NFR-AUD-004, FR-ADM-008, EC-087.</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A frozen account is a duplicate of an existing identity</w:t>
            </w:r>
          </w:p>
        </w:tc>
        <w:tc>
          <w:tcPr>
            <w:tcW w:type="dxa" w:w="2146"/>
            <w:tcMar>
              <w:top w:w="60" w:type="dxa"/>
              <w:start w:w="110" w:type="dxa"/>
              <w:bottom w:w="60" w:type="dxa"/>
              <w:end w:w="110" w:type="dxa"/>
            </w:tcMar>
          </w:tcPr>
          <w:p>
            <w:pPr>
              <w:spacing w:after="0"/>
            </w:pPr>
            <w:r/>
            <w:r>
              <w:rPr>
                <w:rFonts w:ascii="Calibri" w:hAnsi="Calibri"/>
                <w:b w:val="0"/>
                <w:i w:val="0"/>
                <w:color w:val="101828"/>
                <w:sz w:val="14"/>
              </w:rPr>
              <w:t>Freeze persists; both accounts are reviewed together. Merging accounts is not a capability at MVP: the append-only ledger has no delete, and an identity merge that removed a record would violate G6.</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SCR-ADM-05</w:t>
            </w:r>
          </w:p>
        </w:tc>
        <w:tc>
          <w:tcPr>
            <w:tcW w:type="dxa" w:w="1944"/>
            <w:tcMar>
              <w:top w:w="60" w:type="dxa"/>
              <w:start w:w="110" w:type="dxa"/>
              <w:bottom w:w="60" w:type="dxa"/>
              <w:end w:w="110" w:type="dxa"/>
            </w:tcMar>
          </w:tcPr>
          <w:p>
            <w:pPr>
              <w:spacing w:after="0"/>
            </w:pPr>
            <w:r/>
            <w:r>
              <w:rPr>
                <w:rFonts w:ascii="Calibri" w:hAnsi="Calibri"/>
                <w:i/>
                <w:color w:val="101828"/>
                <w:sz w:val="14"/>
              </w:rPr>
              <w:t>We have found a possible duplicate. Both accounts are under review and nothing has been deleted.</w:t>
            </w:r>
          </w:p>
        </w:tc>
        <w:tc>
          <w:tcPr>
            <w:tcW w:type="dxa" w:w="2491"/>
            <w:tcMar>
              <w:top w:w="60" w:type="dxa"/>
              <w:start w:w="110" w:type="dxa"/>
              <w:bottom w:w="60" w:type="dxa"/>
              <w:end w:w="110" w:type="dxa"/>
            </w:tcMar>
          </w:tcPr>
          <w:p>
            <w:pPr>
              <w:spacing w:after="0"/>
            </w:pPr>
            <w:r/>
            <w:r>
              <w:rPr>
                <w:rFonts w:ascii="Calibri" w:hAnsi="Calibri"/>
                <w:b w:val="0"/>
                <w:i w:val="0"/>
                <w:color w:val="101828"/>
                <w:sz w:val="14"/>
              </w:rPr>
              <w:t>Risk-officer decision, with a documented outcome. BR-030, BR-025, EC-119.</w:t>
            </w:r>
          </w:p>
        </w:tc>
      </w:tr>
    </w:tbl>
    <w:p>
      <w:pPr>
        <w:spacing w:after="80"/>
      </w:pPr>
    </w:p>
    <w:p>
      <w:r>
        <w:br w:type="page"/>
      </w:r>
    </w:p>
    <w:p>
      <w:pPr>
        <w:pStyle w:val="Heading2"/>
      </w:pPr>
      <w:r>
        <w:rPr>
          <w:rFonts w:ascii="Calibri" w:hAnsi="Calibri"/>
          <w:b/>
          <w:i w:val="0"/>
          <w:color w:val="146EF5"/>
          <w:sz w:val="29"/>
        </w:rPr>
        <w:t>2.13 Password reset</w:t>
      </w:r>
    </w:p>
    <w:p>
      <w:pPr>
        <w:pStyle w:val="Heading3"/>
      </w:pPr>
      <w:r>
        <w:rPr>
          <w:rFonts w:ascii="Calibri" w:hAnsi="Calibri"/>
          <w:b/>
          <w:i w:val="0"/>
          <w:color w:val="0B1F3A"/>
          <w:sz w:val="24"/>
        </w:rPr>
        <w:t>2.13.1 Purpose</w:t>
      </w:r>
    </w:p>
    <w:p>
      <w:r>
        <w:rPr>
          <w:rFonts w:ascii="Calibri" w:hAnsi="Calibri"/>
          <w:b w:val="0"/>
          <w:i w:val="0"/>
          <w:color w:val="101828"/>
          <w:sz w:val="21"/>
        </w:rPr>
        <w:t>Password reset is the flow most often used by an attacker and least often exercised honestly, which makes it the flow where design discipline matters most. The response to a reset request must be identical whether or not the account exists, the token must be single-use and short-lived, a successful reset must invalidate every existing session including the attacker's, and the member must be told that a reset happened so they can react if they did not request one.</w:t>
      </w:r>
    </w:p>
    <w:p>
      <w:pPr>
        <w:pStyle w:val="Heading3"/>
      </w:pPr>
      <w:r>
        <w:rPr>
          <w:rFonts w:ascii="Calibri" w:hAnsi="Calibri"/>
          <w:b/>
          <w:i w:val="0"/>
          <w:color w:val="0B1F3A"/>
          <w:sz w:val="24"/>
        </w:rPr>
        <w:t>2.13.2 Swimlane</w:t>
      </w:r>
    </w:p>
    <w:p>
      <w:pPr>
        <w:spacing w:before="0" w:after="0" w:line="240" w:lineRule="auto"/>
        <w:ind w:left="230"/>
        <w:shd w:val="clear" w:color="auto" w:fill="F7F9FC"/>
        <w:pBdr>
          <w:left w:val="single" w:sz="4" w:space="6" w:color="D0D5DD"/>
        </w:pBdr>
      </w:pPr>
      <w:r>
        <w:rPr>
          <w:rFonts w:ascii="Consolas" w:hAnsi="Consolas"/>
          <w:color w:val="0B1F3A"/>
          <w:sz w:val="16"/>
        </w:rPr>
        <w:t>MEMBER                    AJO.ng                 EMAIL / SMS        SESSIONS</w:t>
      </w:r>
    </w:p>
    <w:p>
      <w:pPr>
        <w:spacing w:before="0" w:after="0" w:line="240" w:lineRule="auto"/>
        <w:ind w:left="230"/>
        <w:shd w:val="clear" w:color="auto" w:fill="F7F9FC"/>
        <w:pBdr>
          <w:left w:val="single" w:sz="4" w:space="6" w:color="D0D5DD"/>
        </w:pBdr>
      </w:pPr>
      <w:r>
        <w:rPr>
          <w:rFonts w:ascii="Consolas" w:hAnsi="Consolas"/>
          <w:color w:val="0B1F3A"/>
          <w:sz w:val="16"/>
        </w:rPr>
        <w:t xml:space="preserve">   |  Forgot password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POST /auth/password/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forgot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IF account exists: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token (single-use,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15 min, hashed at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rest)          ---&gt;|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IF account does NOT exist: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same status, same body,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same timing class, no mail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"If that account exists,|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we have sent a link."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clicks link  ----------&gt;| POST /auth/password/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reset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new password: min 10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chars, breached-password</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blocklist enforced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token destroyed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ALL sessions revoked ---------&gt; revoked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refresh token family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rotated, never reused|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security alert sent ---&gt;|            |</w:t>
      </w:r>
    </w:p>
    <w:p>
      <w:pPr>
        <w:spacing w:before="0" w:after="0" w:line="240" w:lineRule="auto"/>
        <w:ind w:left="230"/>
        <w:shd w:val="clear" w:color="auto" w:fill="F7F9FC"/>
        <w:pBdr>
          <w:left w:val="single" w:sz="4" w:space="6" w:color="D0D5DD"/>
        </w:pBdr>
      </w:pPr>
      <w:r>
        <w:rPr>
          <w:rFonts w:ascii="Consolas" w:hAnsi="Consolas"/>
          <w:color w:val="0B1F3A"/>
          <w:sz w:val="16"/>
        </w:rPr>
        <w:t xml:space="preserve">   |&lt;-------------------------| signed out everywhere, sign in again|</w:t>
      </w:r>
    </w:p>
    <w:p>
      <w:pPr>
        <w:pStyle w:val="Heading3"/>
      </w:pPr>
      <w:r>
        <w:rPr>
          <w:rFonts w:ascii="Calibri" w:hAnsi="Calibri"/>
          <w:b/>
          <w:i w:val="0"/>
          <w:color w:val="0B1F3A"/>
          <w:sz w:val="24"/>
        </w:rPr>
        <w:t>2.13.3 Step detail</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706"/>
            <w:shd w:val="clear" w:color="auto" w:fill="0B1F3A"/>
            <w:tcMar>
              <w:top w:w="60" w:type="dxa"/>
              <w:start w:w="110" w:type="dxa"/>
              <w:bottom w:w="60" w:type="dxa"/>
              <w:end w:w="110" w:type="dxa"/>
            </w:tcMar>
          </w:tcPr>
          <w:p>
            <w:pPr>
              <w:spacing w:after="0"/>
            </w:pPr>
            <w:r/>
            <w:r>
              <w:rPr>
                <w:rFonts w:ascii="Calibri" w:hAnsi="Calibri"/>
                <w:b/>
                <w:i w:val="0"/>
                <w:color w:val="FFFFFF"/>
                <w:sz w:val="14"/>
              </w:rPr>
              <w:t>Step</w:t>
            </w:r>
          </w:p>
        </w:tc>
        <w:tc>
          <w:tcPr>
            <w:tcW w:type="dxa" w:w="1123"/>
            <w:shd w:val="clear" w:color="auto" w:fill="0B1F3A"/>
            <w:tcMar>
              <w:top w:w="60" w:type="dxa"/>
              <w:start w:w="110" w:type="dxa"/>
              <w:bottom w:w="60" w:type="dxa"/>
              <w:end w:w="110" w:type="dxa"/>
            </w:tcMar>
          </w:tcPr>
          <w:p>
            <w:pPr>
              <w:spacing w:after="0"/>
            </w:pPr>
            <w:r/>
            <w:r>
              <w:rPr>
                <w:rFonts w:ascii="Calibri" w:hAnsi="Calibri"/>
                <w:b/>
                <w:i w:val="0"/>
                <w:color w:val="FFFFFF"/>
                <w:sz w:val="14"/>
              </w:rPr>
              <w:t>Actor</w:t>
            </w:r>
          </w:p>
        </w:tc>
        <w:tc>
          <w:tcPr>
            <w:tcW w:type="dxa" w:w="1397"/>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2002"/>
            <w:shd w:val="clear" w:color="auto" w:fill="0B1F3A"/>
            <w:tcMar>
              <w:top w:w="60" w:type="dxa"/>
              <w:start w:w="110" w:type="dxa"/>
              <w:bottom w:w="60" w:type="dxa"/>
              <w:end w:w="110" w:type="dxa"/>
            </w:tcMar>
          </w:tcPr>
          <w:p>
            <w:pPr>
              <w:spacing w:after="0"/>
            </w:pPr>
            <w:r/>
            <w:r>
              <w:rPr>
                <w:rFonts w:ascii="Calibri" w:hAnsi="Calibri"/>
                <w:b/>
                <w:i w:val="0"/>
                <w:color w:val="FFFFFF"/>
                <w:sz w:val="14"/>
              </w:rPr>
              <w:t>Action</w:t>
            </w:r>
          </w:p>
        </w:tc>
        <w:tc>
          <w:tcPr>
            <w:tcW w:type="dxa" w:w="2808"/>
            <w:shd w:val="clear" w:color="auto" w:fill="0B1F3A"/>
            <w:tcMar>
              <w:top w:w="60" w:type="dxa"/>
              <w:start w:w="110" w:type="dxa"/>
              <w:bottom w:w="60" w:type="dxa"/>
              <w:end w:w="110" w:type="dxa"/>
            </w:tcMar>
          </w:tcPr>
          <w:p>
            <w:pPr>
              <w:spacing w:after="0"/>
            </w:pPr>
            <w:r/>
            <w:r>
              <w:rPr>
                <w:rFonts w:ascii="Calibri" w:hAnsi="Calibri"/>
                <w:b/>
                <w:i w:val="0"/>
                <w:color w:val="FFFFFF"/>
                <w:sz w:val="14"/>
              </w:rPr>
              <w:t>System response</w:t>
            </w:r>
          </w:p>
        </w:tc>
        <w:tc>
          <w:tcPr>
            <w:tcW w:type="dxa" w:w="1325"/>
            <w:shd w:val="clear" w:color="auto" w:fill="0B1F3A"/>
            <w:tcMar>
              <w:top w:w="60" w:type="dxa"/>
              <w:start w:w="110" w:type="dxa"/>
              <w:bottom w:w="60" w:type="dxa"/>
              <w:end w:w="110" w:type="dxa"/>
            </w:tcMar>
          </w:tcPr>
          <w:p>
            <w:pPr>
              <w:spacing w:after="0"/>
            </w:pPr>
            <w:r/>
            <w:r>
              <w:rPr>
                <w:rFonts w:ascii="Calibri" w:hAnsi="Calibri"/>
                <w:b/>
                <w:i w:val="0"/>
                <w:color w:val="FFFFFF"/>
                <w:sz w:val="14"/>
              </w:rPr>
              <w:t>Rule ref</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2.13.1</w:t>
            </w:r>
          </w:p>
        </w:tc>
        <w:tc>
          <w:tcPr>
            <w:tcW w:type="dxa" w:w="1123"/>
            <w:tcMar>
              <w:top w:w="60" w:type="dxa"/>
              <w:start w:w="110" w:type="dxa"/>
              <w:bottom w:w="60" w:type="dxa"/>
              <w:end w:w="110" w:type="dxa"/>
            </w:tcMar>
          </w:tcPr>
          <w:p>
            <w:pPr>
              <w:spacing w:after="0"/>
            </w:pPr>
            <w:r/>
            <w:r>
              <w:rPr>
                <w:rFonts w:ascii="Calibri" w:hAnsi="Calibri"/>
                <w:b w:val="0"/>
                <w:i w:val="0"/>
                <w:color w:val="101828"/>
                <w:sz w:val="14"/>
              </w:rPr>
              <w:t>User</w:t>
            </w:r>
          </w:p>
        </w:tc>
        <w:tc>
          <w:tcPr>
            <w:tcW w:type="dxa" w:w="1397"/>
            <w:tcMar>
              <w:top w:w="60" w:type="dxa"/>
              <w:start w:w="110" w:type="dxa"/>
              <w:bottom w:w="60" w:type="dxa"/>
              <w:end w:w="110" w:type="dxa"/>
            </w:tcMar>
          </w:tcPr>
          <w:p>
            <w:pPr>
              <w:spacing w:after="0"/>
            </w:pPr>
            <w:r/>
            <w:r>
              <w:rPr>
                <w:rFonts w:ascii="Calibri" w:hAnsi="Calibri"/>
                <w:b w:val="0"/>
                <w:i w:val="0"/>
                <w:color w:val="101828"/>
                <w:sz w:val="14"/>
              </w:rPr>
              <w:t>SCR-MKT-09 / SCR-APP-17</w:t>
            </w:r>
          </w:p>
        </w:tc>
        <w:tc>
          <w:tcPr>
            <w:tcW w:type="dxa" w:w="2002"/>
            <w:tcMar>
              <w:top w:w="60" w:type="dxa"/>
              <w:start w:w="110" w:type="dxa"/>
              <w:bottom w:w="60" w:type="dxa"/>
              <w:end w:w="110" w:type="dxa"/>
            </w:tcMar>
          </w:tcPr>
          <w:p>
            <w:pPr>
              <w:spacing w:after="0"/>
            </w:pPr>
            <w:r/>
            <w:r>
              <w:rPr>
                <w:rFonts w:ascii="Calibri" w:hAnsi="Calibri"/>
                <w:b w:val="0"/>
                <w:i w:val="0"/>
                <w:color w:val="101828"/>
                <w:sz w:val="14"/>
              </w:rPr>
              <w:t>Requests a password reset.</w:t>
            </w:r>
          </w:p>
        </w:tc>
        <w:tc>
          <w:tcPr>
            <w:tcW w:type="dxa" w:w="2808"/>
            <w:tcMar>
              <w:top w:w="60" w:type="dxa"/>
              <w:start w:w="110" w:type="dxa"/>
              <w:bottom w:w="60" w:type="dxa"/>
              <w:end w:w="110" w:type="dxa"/>
            </w:tcMar>
          </w:tcPr>
          <w:p>
            <w:pPr>
              <w:spacing w:after="0"/>
            </w:pPr>
            <w:r/>
            <w:r>
              <w:rPr>
                <w:rFonts w:ascii="Consolas" w:hAnsi="Consolas"/>
                <w:color w:val="146EF5"/>
                <w:sz w:val="14"/>
              </w:rPr>
              <w:t>POST /auth/password/forgot</w:t>
            </w:r>
            <w:r>
              <w:rPr>
                <w:rFonts w:ascii="Calibri" w:hAnsi="Calibri"/>
                <w:b w:val="0"/>
                <w:i w:val="0"/>
                <w:color w:val="101828"/>
                <w:sz w:val="14"/>
              </w:rPr>
              <w:t>. The endpoint is rate limited with exponential backoff. The response is byte-identical for known and unknown accounts, and the response time is not materially different.</w:t>
            </w:r>
          </w:p>
        </w:tc>
        <w:tc>
          <w:tcPr>
            <w:tcW w:type="dxa" w:w="1325"/>
            <w:tcMar>
              <w:top w:w="60" w:type="dxa"/>
              <w:start w:w="110" w:type="dxa"/>
              <w:bottom w:w="60" w:type="dxa"/>
              <w:end w:w="110" w:type="dxa"/>
            </w:tcMar>
          </w:tcPr>
          <w:p>
            <w:pPr>
              <w:spacing w:after="0"/>
            </w:pPr>
            <w:r/>
            <w:r>
              <w:rPr>
                <w:rFonts w:ascii="Calibri" w:hAnsi="Calibri"/>
                <w:b w:val="0"/>
                <w:i w:val="0"/>
                <w:color w:val="101828"/>
                <w:sz w:val="14"/>
              </w:rPr>
              <w:t>NFR-S, NFR-S, US-03, EC-129</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2.13.2</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AJO.ng</w:t>
            </w:r>
          </w:p>
        </w:tc>
        <w:tc>
          <w:tcPr>
            <w:tcW w:type="dxa" w:w="1397"/>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Issues a reset token if the account exists.</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Token is single-use, short-lived, stored hashed, and the delivery is idempotent per event instance so a spammed reset does not produce a token storm. No token is issued and no mail is sent for an unknown account.</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FR-AUTH-006, NFR-S, FR-NOTIF-004, EC-130, EC-132</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2.13.3</w:t>
            </w:r>
          </w:p>
        </w:tc>
        <w:tc>
          <w:tcPr>
            <w:tcW w:type="dxa" w:w="1123"/>
            <w:tcMar>
              <w:top w:w="60" w:type="dxa"/>
              <w:start w:w="110" w:type="dxa"/>
              <w:bottom w:w="60" w:type="dxa"/>
              <w:end w:w="110" w:type="dxa"/>
            </w:tcMar>
          </w:tcPr>
          <w:p>
            <w:pPr>
              <w:spacing w:after="0"/>
            </w:pPr>
            <w:r/>
            <w:r>
              <w:rPr>
                <w:rFonts w:ascii="Calibri" w:hAnsi="Calibri"/>
                <w:b w:val="0"/>
                <w:i w:val="0"/>
                <w:color w:val="101828"/>
                <w:sz w:val="14"/>
              </w:rPr>
              <w:t>Member</w:t>
            </w:r>
          </w:p>
        </w:tc>
        <w:tc>
          <w:tcPr>
            <w:tcW w:type="dxa" w:w="1397"/>
            <w:tcMar>
              <w:top w:w="60" w:type="dxa"/>
              <w:start w:w="110" w:type="dxa"/>
              <w:bottom w:w="60" w:type="dxa"/>
              <w:end w:w="110" w:type="dxa"/>
            </w:tcMar>
          </w:tcPr>
          <w:p>
            <w:pPr>
              <w:spacing w:after="0"/>
            </w:pPr>
            <w:r/>
            <w:r>
              <w:rPr>
                <w:rFonts w:ascii="Calibri" w:hAnsi="Calibri"/>
                <w:b w:val="0"/>
                <w:i w:val="0"/>
                <w:color w:val="101828"/>
                <w:sz w:val="14"/>
              </w:rPr>
              <w:t>SCR-APP-17</w:t>
            </w:r>
          </w:p>
        </w:tc>
        <w:tc>
          <w:tcPr>
            <w:tcW w:type="dxa" w:w="2002"/>
            <w:tcMar>
              <w:top w:w="60" w:type="dxa"/>
              <w:start w:w="110" w:type="dxa"/>
              <w:bottom w:w="60" w:type="dxa"/>
              <w:end w:w="110" w:type="dxa"/>
            </w:tcMar>
          </w:tcPr>
          <w:p>
            <w:pPr>
              <w:spacing w:after="0"/>
            </w:pPr>
            <w:r/>
            <w:r>
              <w:rPr>
                <w:rFonts w:ascii="Calibri" w:hAnsi="Calibri"/>
                <w:b w:val="0"/>
                <w:i w:val="0"/>
                <w:color w:val="101828"/>
                <w:sz w:val="14"/>
              </w:rPr>
              <w:t>Clicks the link and sets a new password.</w:t>
            </w:r>
          </w:p>
        </w:tc>
        <w:tc>
          <w:tcPr>
            <w:tcW w:type="dxa" w:w="2808"/>
            <w:tcMar>
              <w:top w:w="60" w:type="dxa"/>
              <w:start w:w="110" w:type="dxa"/>
              <w:bottom w:w="60" w:type="dxa"/>
              <w:end w:w="110" w:type="dxa"/>
            </w:tcMar>
          </w:tcPr>
          <w:p>
            <w:pPr>
              <w:spacing w:after="0"/>
            </w:pPr>
            <w:r/>
            <w:r>
              <w:rPr>
                <w:rFonts w:ascii="Consolas" w:hAnsi="Consolas"/>
                <w:color w:val="146EF5"/>
                <w:sz w:val="14"/>
              </w:rPr>
              <w:t>POST /auth/password/reset</w:t>
            </w:r>
            <w:r>
              <w:rPr>
                <w:rFonts w:ascii="Calibri" w:hAnsi="Calibri"/>
                <w:b w:val="0"/>
                <w:i w:val="0"/>
                <w:color w:val="101828"/>
                <w:sz w:val="14"/>
              </w:rPr>
              <w:t>. Minimum 10 characters, breached-password blocklist enforced, no password reuse beyond policy, and no password or hash ever logged.</w:t>
            </w:r>
          </w:p>
        </w:tc>
        <w:tc>
          <w:tcPr>
            <w:tcW w:type="dxa" w:w="1325"/>
            <w:tcMar>
              <w:top w:w="60" w:type="dxa"/>
              <w:start w:w="110" w:type="dxa"/>
              <w:bottom w:w="60" w:type="dxa"/>
              <w:end w:w="110" w:type="dxa"/>
            </w:tcMar>
          </w:tcPr>
          <w:p>
            <w:pPr>
              <w:spacing w:after="0"/>
            </w:pPr>
            <w:r/>
            <w:r>
              <w:rPr>
                <w:rFonts w:ascii="Calibri" w:hAnsi="Calibri"/>
                <w:b w:val="0"/>
                <w:i w:val="0"/>
                <w:color w:val="101828"/>
                <w:sz w:val="14"/>
              </w:rPr>
              <w:t>FR-AUTH-007, NFR-SEC-001, NFR-SEC-002</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2.13.4</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AJO.ng</w:t>
            </w:r>
          </w:p>
        </w:tc>
        <w:tc>
          <w:tcPr>
            <w:tcW w:type="dxa" w:w="1397"/>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Destroys the token and revokes every session.</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All sessions are revoked, including any session an attacker holds. Refresh tokens are single-use and rotating; reuse of a rotated token revokes the entire token family.</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FR-S, NFR-S, US-04, EC-107</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2.13.5</w:t>
            </w:r>
          </w:p>
        </w:tc>
        <w:tc>
          <w:tcPr>
            <w:tcW w:type="dxa" w:w="1123"/>
            <w:tcMar>
              <w:top w:w="60" w:type="dxa"/>
              <w:start w:w="110" w:type="dxa"/>
              <w:bottom w:w="60" w:type="dxa"/>
              <w:end w:w="110" w:type="dxa"/>
            </w:tcMar>
          </w:tcPr>
          <w:p>
            <w:pPr>
              <w:spacing w:after="0"/>
            </w:pPr>
            <w:r/>
            <w:r>
              <w:rPr>
                <w:rFonts w:ascii="Calibri" w:hAnsi="Calibri"/>
                <w:b w:val="0"/>
                <w:i w:val="0"/>
                <w:color w:val="101828"/>
                <w:sz w:val="14"/>
              </w:rPr>
              <w:t>AJO.ng</w:t>
            </w:r>
          </w:p>
        </w:tc>
        <w:tc>
          <w:tcPr>
            <w:tcW w:type="dxa" w:w="1397"/>
            <w:tcMar>
              <w:top w:w="60" w:type="dxa"/>
              <w:start w:w="110" w:type="dxa"/>
              <w:bottom w:w="60" w:type="dxa"/>
              <w:end w:w="110" w:type="dxa"/>
            </w:tcMar>
          </w:tcPr>
          <w:p>
            <w:pPr>
              <w:spacing w:after="0"/>
            </w:pPr>
            <w:r/>
            <w:r>
              <w:rPr>
                <w:rFonts w:ascii="Calibri" w:hAnsi="Calibri"/>
                <w:b w:val="0"/>
                <w:i w:val="0"/>
                <w:color w:val="101828"/>
                <w:sz w:val="14"/>
              </w:rPr>
              <w:t>SCR-APP-12</w:t>
            </w:r>
          </w:p>
        </w:tc>
        <w:tc>
          <w:tcPr>
            <w:tcW w:type="dxa" w:w="2002"/>
            <w:tcMar>
              <w:top w:w="60" w:type="dxa"/>
              <w:start w:w="110" w:type="dxa"/>
              <w:bottom w:w="60" w:type="dxa"/>
              <w:end w:w="110" w:type="dxa"/>
            </w:tcMar>
          </w:tcPr>
          <w:p>
            <w:pPr>
              <w:spacing w:after="0"/>
            </w:pPr>
            <w:r/>
            <w:r>
              <w:rPr>
                <w:rFonts w:ascii="Calibri" w:hAnsi="Calibri"/>
                <w:b w:val="0"/>
                <w:i w:val="0"/>
                <w:color w:val="101828"/>
                <w:sz w:val="14"/>
              </w:rPr>
              <w:t>Alerts the member that the password changed.</w:t>
            </w:r>
          </w:p>
        </w:tc>
        <w:tc>
          <w:tcPr>
            <w:tcW w:type="dxa" w:w="2808"/>
            <w:tcMar>
              <w:top w:w="60" w:type="dxa"/>
              <w:start w:w="110" w:type="dxa"/>
              <w:bottom w:w="60" w:type="dxa"/>
              <w:end w:w="110" w:type="dxa"/>
            </w:tcMar>
          </w:tcPr>
          <w:p>
            <w:pPr>
              <w:spacing w:after="0"/>
            </w:pPr>
            <w:r/>
            <w:r>
              <w:rPr>
                <w:rFonts w:ascii="Calibri" w:hAnsi="Calibri"/>
                <w:b w:val="0"/>
                <w:i w:val="0"/>
                <w:color w:val="101828"/>
                <w:sz w:val="14"/>
              </w:rPr>
              <w:t>A security notification is sent to the existing verified channels so that a reset the member did not request is visible to them immediately rather than discovered later.</w:t>
            </w:r>
          </w:p>
        </w:tc>
        <w:tc>
          <w:tcPr>
            <w:tcW w:type="dxa" w:w="1325"/>
            <w:tcMar>
              <w:top w:w="60" w:type="dxa"/>
              <w:start w:w="110" w:type="dxa"/>
              <w:bottom w:w="60" w:type="dxa"/>
              <w:end w:w="110" w:type="dxa"/>
            </w:tcMar>
          </w:tcPr>
          <w:p>
            <w:pPr>
              <w:spacing w:after="0"/>
            </w:pPr>
            <w:r/>
            <w:r>
              <w:rPr>
                <w:rFonts w:ascii="Calibri" w:hAnsi="Calibri"/>
                <w:b w:val="0"/>
                <w:i w:val="0"/>
                <w:color w:val="101828"/>
                <w:sz w:val="14"/>
              </w:rPr>
              <w:t>FR-S, NFR-S, EC-069</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2.13.6</w:t>
            </w:r>
          </w:p>
        </w:tc>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Member</w:t>
            </w:r>
          </w:p>
        </w:tc>
        <w:tc>
          <w:tcPr>
            <w:tcW w:type="dxa" w:w="1397"/>
            <w:tcMar>
              <w:top w:w="60" w:type="dxa"/>
              <w:start w:w="110" w:type="dxa"/>
              <w:bottom w:w="60" w:type="dxa"/>
              <w:end w:w="110" w:type="dxa"/>
            </w:tcMar>
            <w:shd w:val="clear" w:color="auto" w:fill="F4F7FB"/>
          </w:tcPr>
          <w:p>
            <w:pPr>
              <w:spacing w:after="0"/>
            </w:pPr>
            <w:r/>
            <w:r>
              <w:rPr>
                <w:rFonts w:ascii="Calibri" w:hAnsi="Calibri"/>
                <w:b w:val="0"/>
                <w:i w:val="0"/>
                <w:color w:val="101828"/>
                <w:sz w:val="14"/>
              </w:rPr>
              <w:t>SCR-MKT-09</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Signs in again.</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The new password works. A failed attempt after a reset triggers the backoff ladder, because a reset is a known account-takeover moment and is the moment to be strict.</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NFR-S</w:t>
            </w:r>
          </w:p>
        </w:tc>
      </w:tr>
    </w:tbl>
    <w:p>
      <w:pPr>
        <w:spacing w:after="80"/>
      </w:pPr>
    </w:p>
    <w:p>
      <w:pPr>
        <w:pStyle w:val="Heading3"/>
      </w:pPr>
      <w:r>
        <w:rPr>
          <w:rFonts w:ascii="Calibri" w:hAnsi="Calibri"/>
          <w:b/>
          <w:i w:val="0"/>
          <w:color w:val="0B1F3A"/>
          <w:sz w:val="24"/>
        </w:rPr>
        <w:t>2.13.4 Happy path</w:t>
      </w:r>
    </w:p>
    <w:p>
      <w:r>
        <w:rPr>
          <w:rFonts w:ascii="Calibri" w:hAnsi="Calibri"/>
          <w:b w:val="0"/>
          <w:i w:val="0"/>
          <w:color w:val="101828"/>
          <w:sz w:val="21"/>
        </w:rPr>
        <w:t xml:space="preserve">A member cannot remember their password. They tap </w:t>
      </w:r>
      <w:r>
        <w:rPr>
          <w:rFonts w:ascii="Calibri" w:hAnsi="Calibri"/>
          <w:i/>
          <w:color w:val="101828"/>
          <w:sz w:val="21"/>
        </w:rPr>
        <w:t>Forgot password</w:t>
      </w:r>
      <w:r>
        <w:rPr>
          <w:rFonts w:ascii="Calibri" w:hAnsi="Calibri"/>
          <w:b w:val="0"/>
          <w:i w:val="0"/>
          <w:color w:val="101828"/>
          <w:sz w:val="21"/>
        </w:rPr>
        <w:t>, enter their email, and are told, whether or not the account exists, that if it does, a link is on its way. The link opens a single-use, fifteen-minute page. They choose a twelve-character passphrase, the token is destroyed, and every session on every device is revoked, including the one on a phone they no longer own. They receive a security alert telling them the password changed, and they sign in again. The whole thing took under two minutes and told an attacker nothing, because a request for a non-existent account is indistinguishable from a request for a real one.</w:t>
      </w:r>
    </w:p>
    <w:p>
      <w:pPr>
        <w:pStyle w:val="Heading3"/>
      </w:pPr>
      <w:r>
        <w:rPr>
          <w:rFonts w:ascii="Calibri" w:hAnsi="Calibri"/>
          <w:b/>
          <w:i w:val="0"/>
          <w:color w:val="0B1F3A"/>
          <w:sz w:val="24"/>
        </w:rPr>
        <w:t>2.13.5 Alternates and failure branches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42"/>
            <w:shd w:val="clear" w:color="auto" w:fill="0B1F3A"/>
            <w:tcMar>
              <w:top w:w="60" w:type="dxa"/>
              <w:start w:w="110" w:type="dxa"/>
              <w:bottom w:w="60" w:type="dxa"/>
              <w:end w:w="110" w:type="dxa"/>
            </w:tcMar>
          </w:tcPr>
          <w:p>
            <w:pPr>
              <w:spacing w:after="0"/>
            </w:pPr>
            <w:r/>
            <w:r>
              <w:rPr>
                <w:rFonts w:ascii="Calibri" w:hAnsi="Calibri"/>
                <w:b/>
                <w:i w:val="0"/>
                <w:color w:val="FFFFFF"/>
                <w:sz w:val="14"/>
              </w:rPr>
              <w:t>Condition</w:t>
            </w:r>
          </w:p>
        </w:tc>
        <w:tc>
          <w:tcPr>
            <w:tcW w:type="dxa" w:w="2146"/>
            <w:shd w:val="clear" w:color="auto" w:fill="0B1F3A"/>
            <w:tcMar>
              <w:top w:w="60" w:type="dxa"/>
              <w:start w:w="110" w:type="dxa"/>
              <w:bottom w:w="60" w:type="dxa"/>
              <w:end w:w="110" w:type="dxa"/>
            </w:tcMar>
          </w:tcPr>
          <w:p>
            <w:pPr>
              <w:spacing w:after="0"/>
            </w:pPr>
            <w:r/>
            <w:r>
              <w:rPr>
                <w:rFonts w:ascii="Calibri" w:hAnsi="Calibri"/>
                <w:b/>
                <w:i w:val="0"/>
                <w:color w:val="FFFFFF"/>
                <w:sz w:val="14"/>
              </w:rPr>
              <w:t>Branch</w:t>
            </w:r>
          </w:p>
        </w:tc>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4"/>
              </w:rPr>
              <w:t>Message</w:t>
            </w:r>
          </w:p>
        </w:tc>
        <w:tc>
          <w:tcPr>
            <w:tcW w:type="dxa" w:w="2491"/>
            <w:shd w:val="clear" w:color="auto" w:fill="0B1F3A"/>
            <w:tcMar>
              <w:top w:w="60" w:type="dxa"/>
              <w:start w:w="110" w:type="dxa"/>
              <w:bottom w:w="60" w:type="dxa"/>
              <w:end w:w="110" w:type="dxa"/>
            </w:tcMar>
          </w:tcPr>
          <w:p>
            <w:pPr>
              <w:spacing w:after="0"/>
            </w:pPr>
            <w:r/>
            <w:r>
              <w:rPr>
                <w:rFonts w:ascii="Calibri" w:hAnsi="Calibri"/>
                <w:b/>
                <w:i w:val="0"/>
                <w:color w:val="FFFFFF"/>
                <w:sz w:val="14"/>
              </w:rPr>
              <w:t>Recovery</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An attacker spams reset requests for a list of emails</w:t>
            </w:r>
          </w:p>
        </w:tc>
        <w:tc>
          <w:tcPr>
            <w:tcW w:type="dxa" w:w="2146"/>
            <w:tcMar>
              <w:top w:w="60" w:type="dxa"/>
              <w:start w:w="110" w:type="dxa"/>
              <w:bottom w:w="60" w:type="dxa"/>
              <w:end w:w="110" w:type="dxa"/>
            </w:tcMar>
          </w:tcPr>
          <w:p>
            <w:pPr>
              <w:spacing w:after="0"/>
            </w:pPr>
            <w:r/>
            <w:r>
              <w:rPr>
                <w:rFonts w:ascii="Calibri" w:hAnsi="Calibri"/>
                <w:b w:val="0"/>
                <w:i w:val="0"/>
                <w:color w:val="101828"/>
                <w:sz w:val="14"/>
              </w:rPr>
              <w:t>Rate limiting with exponential backoff per identifier and per source. No enumeration through the presence or absence of an email.</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SCR-APP-17</w:t>
            </w:r>
          </w:p>
        </w:tc>
        <w:tc>
          <w:tcPr>
            <w:tcW w:type="dxa" w:w="1944"/>
            <w:tcMar>
              <w:top w:w="60" w:type="dxa"/>
              <w:start w:w="110" w:type="dxa"/>
              <w:bottom w:w="60" w:type="dxa"/>
              <w:end w:w="110" w:type="dxa"/>
            </w:tcMar>
          </w:tcPr>
          <w:p>
            <w:pPr>
              <w:spacing w:after="0"/>
            </w:pPr>
            <w:r/>
            <w:r>
              <w:rPr>
                <w:rFonts w:ascii="Calibri" w:hAnsi="Calibri"/>
                <w:i/>
                <w:color w:val="101828"/>
                <w:sz w:val="14"/>
              </w:rPr>
              <w:t>Too many requests. Try again in N minutes.</w:t>
            </w:r>
          </w:p>
        </w:tc>
        <w:tc>
          <w:tcPr>
            <w:tcW w:type="dxa" w:w="2491"/>
            <w:tcMar>
              <w:top w:w="60" w:type="dxa"/>
              <w:start w:w="110" w:type="dxa"/>
              <w:bottom w:w="60" w:type="dxa"/>
              <w:end w:w="110" w:type="dxa"/>
            </w:tcMar>
          </w:tcPr>
          <w:p>
            <w:pPr>
              <w:spacing w:after="0"/>
            </w:pPr>
            <w:r/>
            <w:r>
              <w:rPr>
                <w:rFonts w:ascii="Calibri" w:hAnsi="Calibri"/>
                <w:b w:val="0"/>
                <w:i w:val="0"/>
                <w:color w:val="101828"/>
                <w:sz w:val="14"/>
              </w:rPr>
              <w:t>Wait out the backoff. NFR-S, EC-129.</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reset token is older than its validity</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The token is single-use, so a second attempt with an expired token also fails.</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SCR-APP-17</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This reset link has expired. Request a new one.</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Request a new token, EC-130.</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An attacker who already has a session requests a reset to lock the member out</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reset succeeds, which is correct: the member is locked out but every attacker session is revoked too. The member is alerted, so the lockout is visible rather than silent.</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SCR-APP-12</w:t>
            </w:r>
          </w:p>
        </w:tc>
        <w:tc>
          <w:tcPr>
            <w:tcW w:type="dxa" w:w="1944"/>
            <w:tcMar>
              <w:top w:w="60" w:type="dxa"/>
              <w:start w:w="110" w:type="dxa"/>
              <w:bottom w:w="60" w:type="dxa"/>
              <w:end w:w="110" w:type="dxa"/>
            </w:tcMar>
          </w:tcPr>
          <w:p>
            <w:pPr>
              <w:spacing w:after="0"/>
            </w:pPr>
            <w:r/>
            <w:r>
              <w:rPr>
                <w:rFonts w:ascii="Calibri" w:hAnsi="Calibri"/>
                <w:i/>
                <w:color w:val="101828"/>
                <w:sz w:val="14"/>
              </w:rPr>
              <w:t>Your password was changed and all devices were signed out. If this was not you, freeze your account now.</w:t>
            </w:r>
          </w:p>
        </w:tc>
        <w:tc>
          <w:tcPr>
            <w:tcW w:type="dxa" w:w="2491"/>
            <w:tcMar>
              <w:top w:w="60" w:type="dxa"/>
              <w:start w:w="110" w:type="dxa"/>
              <w:bottom w:w="60" w:type="dxa"/>
              <w:end w:w="110" w:type="dxa"/>
            </w:tcMar>
          </w:tcPr>
          <w:p>
            <w:pPr>
              <w:spacing w:after="0"/>
            </w:pPr>
            <w:r/>
            <w:r>
              <w:rPr>
                <w:rFonts w:ascii="Calibri" w:hAnsi="Calibri"/>
                <w:b w:val="0"/>
                <w:i w:val="0"/>
                <w:color w:val="101828"/>
                <w:sz w:val="14"/>
              </w:rPr>
              <w:t>Self-freeze from the notification. Flow 2.12, EC-107.</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new password appears on a breached-password list</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with a specific message naming the problem without echoing the password.</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SCR-APP-17</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That password has appeared in a data breach. Choose something nobody has used before.</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Choose another. NFR-S, EC-131.</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member is already signed in on another device and cannot receive the reset email</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reset flow does not depend on the existing session. The member uses SMS recovery, which is offered because SMS is a security channel in the canonical catalogue even though it is reserved for money-critical and security events.</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SCR-APP-17</w:t>
            </w:r>
          </w:p>
        </w:tc>
        <w:tc>
          <w:tcPr>
            <w:tcW w:type="dxa" w:w="1944"/>
            <w:tcMar>
              <w:top w:w="60" w:type="dxa"/>
              <w:start w:w="110" w:type="dxa"/>
              <w:bottom w:w="60" w:type="dxa"/>
              <w:end w:w="110" w:type="dxa"/>
            </w:tcMar>
          </w:tcPr>
          <w:p>
            <w:pPr>
              <w:spacing w:after="0"/>
            </w:pPr>
            <w:r/>
            <w:r>
              <w:rPr>
                <w:rFonts w:ascii="Calibri" w:hAnsi="Calibri"/>
                <w:i/>
                <w:color w:val="101828"/>
                <w:sz w:val="14"/>
              </w:rPr>
              <w:t>We sent a code to the number ending 4321.</w:t>
            </w:r>
          </w:p>
        </w:tc>
        <w:tc>
          <w:tcPr>
            <w:tcW w:type="dxa" w:w="2491"/>
            <w:tcMar>
              <w:top w:w="60" w:type="dxa"/>
              <w:start w:w="110" w:type="dxa"/>
              <w:bottom w:w="60" w:type="dxa"/>
              <w:end w:w="110" w:type="dxa"/>
            </w:tcMar>
          </w:tcPr>
          <w:p>
            <w:pPr>
              <w:spacing w:after="0"/>
            </w:pPr>
            <w:r/>
            <w:r>
              <w:rPr>
                <w:rFonts w:ascii="Calibri" w:hAnsi="Calibri"/>
                <w:b w:val="0"/>
                <w:i w:val="0"/>
                <w:color w:val="101828"/>
                <w:sz w:val="14"/>
              </w:rPr>
              <w:t>Enter the code. DEP-05 is an open dependency: the SMS gateway and short-code registration are not yet selected and cannot be compressed, EC-132.</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 has lost both email and phone access</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Recovery requires verified identity through support. It is slow by design and no agent may skip the identity check, because that check is the whole control.</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SCR-APP-13</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To restore access we need to verify who you are. This is deliberately not a quick process.</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Support-assisted identity verification. FR-ADM-004, US-37, EC-133.</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A reset is requested on an account that is frozen</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reset proceeds, because a frozen account must never be a locked-out account. The freeze is unaffected by the credential change.</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SCR-APP-17</w:t>
            </w:r>
          </w:p>
        </w:tc>
        <w:tc>
          <w:tcPr>
            <w:tcW w:type="dxa" w:w="1944"/>
            <w:tcMar>
              <w:top w:w="60" w:type="dxa"/>
              <w:start w:w="110" w:type="dxa"/>
              <w:bottom w:w="60" w:type="dxa"/>
              <w:end w:w="110" w:type="dxa"/>
            </w:tcMar>
          </w:tcPr>
          <w:p>
            <w:pPr>
              <w:spacing w:after="0"/>
            </w:pPr>
            <w:r/>
            <w:r>
              <w:rPr>
                <w:rFonts w:ascii="Calibri" w:hAnsi="Calibri"/>
                <w:i/>
                <w:color w:val="101828"/>
                <w:sz w:val="14"/>
              </w:rPr>
              <w:t>Your password is updated. Your account is still frozen for review.</w:t>
            </w:r>
          </w:p>
        </w:tc>
        <w:tc>
          <w:tcPr>
            <w:tcW w:type="dxa" w:w="2491"/>
            <w:tcMar>
              <w:top w:w="60" w:type="dxa"/>
              <w:start w:w="110" w:type="dxa"/>
              <w:bottom w:w="60" w:type="dxa"/>
              <w:end w:w="110" w:type="dxa"/>
            </w:tcMar>
          </w:tcPr>
          <w:p>
            <w:pPr>
              <w:spacing w:after="0"/>
            </w:pPr>
            <w:r/>
            <w:r>
              <w:rPr>
                <w:rFonts w:ascii="Calibri" w:hAnsi="Calibri"/>
                <w:b w:val="0"/>
                <w:i w:val="0"/>
                <w:color w:val="101828"/>
                <w:sz w:val="14"/>
              </w:rPr>
              <w:t>Complete the underlying review. Flow 2.12, EC-088.</w:t>
            </w:r>
          </w:p>
        </w:tc>
      </w:tr>
    </w:tbl>
    <w:p>
      <w:pPr>
        <w:spacing w:after="80"/>
      </w:pPr>
    </w:p>
    <w:p>
      <w:r>
        <w:br w:type="page"/>
      </w:r>
    </w:p>
    <w:p>
      <w:pPr>
        <w:pStyle w:val="Heading2"/>
      </w:pPr>
      <w:r>
        <w:rPr>
          <w:rFonts w:ascii="Calibri" w:hAnsi="Calibri"/>
          <w:b/>
          <w:i w:val="0"/>
          <w:color w:val="146EF5"/>
          <w:sz w:val="29"/>
        </w:rPr>
        <w:t>2.14 Identity verification failure and resubmission</w:t>
      </w:r>
    </w:p>
    <w:p>
      <w:pPr>
        <w:pStyle w:val="Heading3"/>
      </w:pPr>
      <w:r>
        <w:rPr>
          <w:rFonts w:ascii="Calibri" w:hAnsi="Calibri"/>
          <w:b/>
          <w:i w:val="0"/>
          <w:color w:val="0B1F3A"/>
          <w:sz w:val="24"/>
        </w:rPr>
        <w:t>2.14.1 Purpose</w:t>
      </w:r>
    </w:p>
    <w:p>
      <w:r>
        <w:rPr>
          <w:rFonts w:ascii="Calibri" w:hAnsi="Calibri"/>
          <w:b w:val="0"/>
          <w:i w:val="0"/>
          <w:color w:val="101828"/>
          <w:sz w:val="21"/>
        </w:rPr>
        <w:t>Identity verification is where the product decides whether it can pay a stranger. A failure must therefore be legible: the member must be told what failed, what they should do about it, how many attempts they have left, and what the consequence of not resolving it is. It must not be a dead end, and it must not be an interrogation. The raw identifier is never stored, only the result, the timestamp and the provider reference.</w:t>
      </w:r>
    </w:p>
    <w:p>
      <w:pPr>
        <w:pStyle w:val="Heading3"/>
      </w:pPr>
      <w:r>
        <w:rPr>
          <w:rFonts w:ascii="Calibri" w:hAnsi="Calibri"/>
          <w:b/>
          <w:i w:val="0"/>
          <w:color w:val="0B1F3A"/>
          <w:sz w:val="24"/>
        </w:rPr>
        <w:t>2.14.2 Swimlane</w:t>
      </w:r>
    </w:p>
    <w:p>
      <w:pPr>
        <w:spacing w:before="0" w:after="0" w:line="240" w:lineRule="auto"/>
        <w:ind w:left="230"/>
        <w:shd w:val="clear" w:color="auto" w:fill="F7F9FC"/>
        <w:pBdr>
          <w:left w:val="single" w:sz="4" w:space="6" w:color="D0D5DD"/>
        </w:pBdr>
      </w:pPr>
      <w:r>
        <w:rPr>
          <w:rFonts w:ascii="Consolas" w:hAnsi="Consolas"/>
          <w:color w:val="0B1F3A"/>
          <w:sz w:val="16"/>
        </w:rPr>
        <w:t>MEMBER            AJO.ng          VERIFICATION PROVIDER     RISK</w:t>
      </w:r>
    </w:p>
    <w:p>
      <w:pPr>
        <w:spacing w:before="0" w:after="0" w:line="240" w:lineRule="auto"/>
        <w:ind w:left="230"/>
        <w:shd w:val="clear" w:color="auto" w:fill="F7F9FC"/>
        <w:pBdr>
          <w:left w:val="single" w:sz="4" w:space="6" w:color="D0D5DD"/>
        </w:pBdr>
      </w:pPr>
      <w:r>
        <w:rPr>
          <w:rFonts w:ascii="Consolas" w:hAnsi="Consolas"/>
          <w:color w:val="0B1F3A"/>
          <w:sz w:val="16"/>
        </w:rPr>
        <w:t xml:space="preserve">   |  Submit BVN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|---------------&gt;| POST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/verification/bvn|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raw BVN passed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straight through|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NEVER STORED ---&gt;| check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|&lt;-----------------| result + ref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verification_checks row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outcome, timestamp, provider ref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(no raw identifier, no raw document)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APPROVED            MISMATCH        NOT FOUND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"This name does       "We could not     manual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not match the        find that record   review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records"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member corrects the      member may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name and resubmits       retry a bounded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(bounded attempts)       number of times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verification.failed -&gt; push + email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risk_events row where the failure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pattern suggests abuse, not error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v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verification.approved -&gt; push + email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CANNOT: create an Ajo, join one, take a payout position, or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be paid out.  CAN still: read, ask for help, fix the record.  |</w:t>
      </w:r>
    </w:p>
    <w:p>
      <w:pPr>
        <w:pStyle w:val="Heading3"/>
      </w:pPr>
      <w:r>
        <w:rPr>
          <w:rFonts w:ascii="Calibri" w:hAnsi="Calibri"/>
          <w:b/>
          <w:i w:val="0"/>
          <w:color w:val="0B1F3A"/>
          <w:sz w:val="24"/>
        </w:rPr>
        <w:t>2.14.3 Step detail</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706"/>
            <w:shd w:val="clear" w:color="auto" w:fill="0B1F3A"/>
            <w:tcMar>
              <w:top w:w="60" w:type="dxa"/>
              <w:start w:w="110" w:type="dxa"/>
              <w:bottom w:w="60" w:type="dxa"/>
              <w:end w:w="110" w:type="dxa"/>
            </w:tcMar>
          </w:tcPr>
          <w:p>
            <w:pPr>
              <w:spacing w:after="0"/>
            </w:pPr>
            <w:r/>
            <w:r>
              <w:rPr>
                <w:rFonts w:ascii="Calibri" w:hAnsi="Calibri"/>
                <w:b/>
                <w:i w:val="0"/>
                <w:color w:val="FFFFFF"/>
                <w:sz w:val="14"/>
              </w:rPr>
              <w:t>Step</w:t>
            </w:r>
          </w:p>
        </w:tc>
        <w:tc>
          <w:tcPr>
            <w:tcW w:type="dxa" w:w="1210"/>
            <w:shd w:val="clear" w:color="auto" w:fill="0B1F3A"/>
            <w:tcMar>
              <w:top w:w="60" w:type="dxa"/>
              <w:start w:w="110" w:type="dxa"/>
              <w:bottom w:w="60" w:type="dxa"/>
              <w:end w:w="110" w:type="dxa"/>
            </w:tcMar>
          </w:tcPr>
          <w:p>
            <w:pPr>
              <w:spacing w:after="0"/>
            </w:pPr>
            <w:r/>
            <w:r>
              <w:rPr>
                <w:rFonts w:ascii="Calibri" w:hAnsi="Calibri"/>
                <w:b/>
                <w:i w:val="0"/>
                <w:color w:val="FFFFFF"/>
                <w:sz w:val="14"/>
              </w:rPr>
              <w:t>Actor</w:t>
            </w:r>
          </w:p>
        </w:tc>
        <w:tc>
          <w:tcPr>
            <w:tcW w:type="dxa" w:w="1253"/>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2002"/>
            <w:shd w:val="clear" w:color="auto" w:fill="0B1F3A"/>
            <w:tcMar>
              <w:top w:w="60" w:type="dxa"/>
              <w:start w:w="110" w:type="dxa"/>
              <w:bottom w:w="60" w:type="dxa"/>
              <w:end w:w="110" w:type="dxa"/>
            </w:tcMar>
          </w:tcPr>
          <w:p>
            <w:pPr>
              <w:spacing w:after="0"/>
            </w:pPr>
            <w:r/>
            <w:r>
              <w:rPr>
                <w:rFonts w:ascii="Calibri" w:hAnsi="Calibri"/>
                <w:b/>
                <w:i w:val="0"/>
                <w:color w:val="FFFFFF"/>
                <w:sz w:val="14"/>
              </w:rPr>
              <w:t>Action</w:t>
            </w:r>
          </w:p>
        </w:tc>
        <w:tc>
          <w:tcPr>
            <w:tcW w:type="dxa" w:w="2808"/>
            <w:shd w:val="clear" w:color="auto" w:fill="0B1F3A"/>
            <w:tcMar>
              <w:top w:w="60" w:type="dxa"/>
              <w:start w:w="110" w:type="dxa"/>
              <w:bottom w:w="60" w:type="dxa"/>
              <w:end w:w="110" w:type="dxa"/>
            </w:tcMar>
          </w:tcPr>
          <w:p>
            <w:pPr>
              <w:spacing w:after="0"/>
            </w:pPr>
            <w:r/>
            <w:r>
              <w:rPr>
                <w:rFonts w:ascii="Calibri" w:hAnsi="Calibri"/>
                <w:b/>
                <w:i w:val="0"/>
                <w:color w:val="FFFFFF"/>
                <w:sz w:val="14"/>
              </w:rPr>
              <w:t>System response</w:t>
            </w:r>
          </w:p>
        </w:tc>
        <w:tc>
          <w:tcPr>
            <w:tcW w:type="dxa" w:w="1382"/>
            <w:shd w:val="clear" w:color="auto" w:fill="0B1F3A"/>
            <w:tcMar>
              <w:top w:w="60" w:type="dxa"/>
              <w:start w:w="110" w:type="dxa"/>
              <w:bottom w:w="60" w:type="dxa"/>
              <w:end w:w="110" w:type="dxa"/>
            </w:tcMar>
          </w:tcPr>
          <w:p>
            <w:pPr>
              <w:spacing w:after="0"/>
            </w:pPr>
            <w:r/>
            <w:r>
              <w:rPr>
                <w:rFonts w:ascii="Calibri" w:hAnsi="Calibri"/>
                <w:b/>
                <w:i w:val="0"/>
                <w:color w:val="FFFFFF"/>
                <w:sz w:val="14"/>
              </w:rPr>
              <w:t>Rule ref</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2.14.1</w:t>
            </w:r>
          </w:p>
        </w:tc>
        <w:tc>
          <w:tcPr>
            <w:tcW w:type="dxa" w:w="1210"/>
            <w:tcMar>
              <w:top w:w="60" w:type="dxa"/>
              <w:start w:w="110" w:type="dxa"/>
              <w:bottom w:w="60" w:type="dxa"/>
              <w:end w:w="110" w:type="dxa"/>
            </w:tcMar>
          </w:tcPr>
          <w:p>
            <w:pPr>
              <w:spacing w:after="0"/>
            </w:pPr>
            <w:r/>
            <w:r>
              <w:rPr>
                <w:rFonts w:ascii="Calibri" w:hAnsi="Calibri"/>
                <w:b w:val="0"/>
                <w:i w:val="0"/>
                <w:color w:val="101828"/>
                <w:sz w:val="14"/>
              </w:rPr>
              <w:t>Member</w:t>
            </w:r>
          </w:p>
        </w:tc>
        <w:tc>
          <w:tcPr>
            <w:tcW w:type="dxa" w:w="1253"/>
            <w:tcMar>
              <w:top w:w="60" w:type="dxa"/>
              <w:start w:w="110" w:type="dxa"/>
              <w:bottom w:w="60" w:type="dxa"/>
              <w:end w:w="110" w:type="dxa"/>
            </w:tcMar>
          </w:tcPr>
          <w:p>
            <w:pPr>
              <w:spacing w:after="0"/>
            </w:pPr>
            <w:r/>
            <w:r>
              <w:rPr>
                <w:rFonts w:ascii="Calibri" w:hAnsi="Calibri"/>
                <w:b w:val="0"/>
                <w:i w:val="0"/>
                <w:color w:val="101828"/>
                <w:sz w:val="14"/>
              </w:rPr>
              <w:t>SCR-APP-19</w:t>
            </w:r>
          </w:p>
        </w:tc>
        <w:tc>
          <w:tcPr>
            <w:tcW w:type="dxa" w:w="2002"/>
            <w:tcMar>
              <w:top w:w="60" w:type="dxa"/>
              <w:start w:w="110" w:type="dxa"/>
              <w:bottom w:w="60" w:type="dxa"/>
              <w:end w:w="110" w:type="dxa"/>
            </w:tcMar>
          </w:tcPr>
          <w:p>
            <w:pPr>
              <w:spacing w:after="0"/>
            </w:pPr>
            <w:r/>
            <w:r>
              <w:rPr>
                <w:rFonts w:ascii="Calibri" w:hAnsi="Calibri"/>
                <w:b w:val="0"/>
                <w:i w:val="0"/>
                <w:color w:val="101828"/>
                <w:sz w:val="14"/>
              </w:rPr>
              <w:t>Submits the identity check.</w:t>
            </w:r>
          </w:p>
        </w:tc>
        <w:tc>
          <w:tcPr>
            <w:tcW w:type="dxa" w:w="2808"/>
            <w:tcMar>
              <w:top w:w="60" w:type="dxa"/>
              <w:start w:w="110" w:type="dxa"/>
              <w:bottom w:w="60" w:type="dxa"/>
              <w:end w:w="110" w:type="dxa"/>
            </w:tcMar>
          </w:tcPr>
          <w:p>
            <w:pPr>
              <w:spacing w:after="0"/>
            </w:pPr>
            <w:r/>
            <w:r>
              <w:rPr>
                <w:rFonts w:ascii="Consolas" w:hAnsi="Consolas"/>
                <w:color w:val="146EF5"/>
                <w:sz w:val="14"/>
              </w:rPr>
              <w:t>POST /verification/identity</w:t>
            </w:r>
            <w:r>
              <w:rPr>
                <w:rFonts w:ascii="Calibri" w:hAnsi="Calibri"/>
                <w:b w:val="0"/>
                <w:i w:val="0"/>
                <w:color w:val="101828"/>
                <w:sz w:val="14"/>
              </w:rPr>
              <w:t xml:space="preserve"> and </w:t>
            </w:r>
            <w:r>
              <w:rPr>
                <w:rFonts w:ascii="Consolas" w:hAnsi="Consolas"/>
                <w:color w:val="146EF5"/>
                <w:sz w:val="14"/>
              </w:rPr>
              <w:t>POST /verification/bvn</w:t>
            </w:r>
            <w:r>
              <w:rPr>
                <w:rFonts w:ascii="Calibri" w:hAnsi="Calibri"/>
                <w:b w:val="0"/>
                <w:i w:val="0"/>
                <w:color w:val="101828"/>
                <w:sz w:val="14"/>
              </w:rPr>
              <w:t>. Only the result, the timestamp and the provider reference are persisted. Raw identifiers and raw documents are never stored, never logged and never returned.</w:t>
            </w:r>
          </w:p>
        </w:tc>
        <w:tc>
          <w:tcPr>
            <w:tcW w:type="dxa" w:w="1382"/>
            <w:tcMar>
              <w:top w:w="60" w:type="dxa"/>
              <w:start w:w="110" w:type="dxa"/>
              <w:bottom w:w="60" w:type="dxa"/>
              <w:end w:w="110" w:type="dxa"/>
            </w:tcMar>
          </w:tcPr>
          <w:p>
            <w:pPr>
              <w:spacing w:after="0"/>
            </w:pPr>
            <w:r/>
            <w:r>
              <w:rPr>
                <w:rFonts w:ascii="Calibri" w:hAnsi="Calibri"/>
                <w:b w:val="0"/>
                <w:i w:val="0"/>
                <w:color w:val="101828"/>
                <w:sz w:val="14"/>
              </w:rPr>
              <w:t>FR-KYC-001, FR-KYC-002, US-06, R10, NFR-AUD-002</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2.14.2</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Provider</w:t>
            </w:r>
          </w:p>
        </w:tc>
        <w:tc>
          <w:tcPr>
            <w:tcW w:type="dxa" w:w="1253"/>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Returns the outcome.</w:t>
            </w:r>
          </w:p>
        </w:tc>
        <w:tc>
          <w:tcPr>
            <w:tcW w:type="dxa" w:w="2808"/>
            <w:tcMar>
              <w:top w:w="60" w:type="dxa"/>
              <w:start w:w="110" w:type="dxa"/>
              <w:bottom w:w="60" w:type="dxa"/>
              <w:end w:w="110" w:type="dxa"/>
            </w:tcMar>
            <w:shd w:val="clear" w:color="auto" w:fill="F4F7FB"/>
          </w:tcPr>
          <w:p>
            <w:pPr>
              <w:spacing w:after="0"/>
            </w:pPr>
            <w:r/>
            <w:r>
              <w:rPr>
                <w:rFonts w:ascii="Consolas" w:hAnsi="Consolas"/>
                <w:color w:val="146EF5"/>
                <w:sz w:val="14"/>
              </w:rPr>
              <w:t>GET /verification/:id</w:t>
            </w:r>
            <w:r>
              <w:rPr>
                <w:rFonts w:ascii="Calibri" w:hAnsi="Calibri"/>
                <w:b w:val="0"/>
                <w:i w:val="0"/>
                <w:color w:val="101828"/>
                <w:sz w:val="14"/>
              </w:rPr>
              <w:t xml:space="preserve"> returns </w:t>
            </w:r>
            <w:r>
              <w:rPr>
                <w:rFonts w:ascii="Consolas" w:hAnsi="Consolas"/>
                <w:color w:val="146EF5"/>
                <w:sz w:val="14"/>
              </w:rPr>
              <w:t>PENDING</w:t>
            </w:r>
            <w:r>
              <w:rPr>
                <w:rFonts w:ascii="Calibri" w:hAnsi="Calibri"/>
                <w:b w:val="0"/>
                <w:i w:val="0"/>
                <w:color w:val="101828"/>
                <w:sz w:val="14"/>
              </w:rPr>
              <w:t xml:space="preserve">, </w:t>
            </w:r>
            <w:r>
              <w:rPr>
                <w:rFonts w:ascii="Consolas" w:hAnsi="Consolas"/>
                <w:color w:val="146EF5"/>
                <w:sz w:val="14"/>
              </w:rPr>
              <w:t>APPROVED</w:t>
            </w:r>
            <w:r>
              <w:rPr>
                <w:rFonts w:ascii="Calibri" w:hAnsi="Calibri"/>
                <w:b w:val="0"/>
                <w:i w:val="0"/>
                <w:color w:val="101828"/>
                <w:sz w:val="14"/>
              </w:rPr>
              <w:t xml:space="preserve"> or </w:t>
            </w:r>
            <w:r>
              <w:rPr>
                <w:rFonts w:ascii="Consolas" w:hAnsi="Consolas"/>
                <w:color w:val="146EF5"/>
                <w:sz w:val="14"/>
              </w:rPr>
              <w:t>FAILED</w:t>
            </w:r>
            <w:r>
              <w:rPr>
                <w:rFonts w:ascii="Calibri" w:hAnsi="Calibri"/>
                <w:b w:val="0"/>
                <w:i w:val="0"/>
                <w:color w:val="101828"/>
                <w:sz w:val="14"/>
              </w:rPr>
              <w:t xml:space="preserve"> with a machine-readable failure category. Provider text is never rendered raw.</w:t>
            </w:r>
          </w:p>
        </w:tc>
        <w:tc>
          <w:tcPr>
            <w:tcW w:type="dxa" w:w="1382"/>
            <w:tcMar>
              <w:top w:w="60" w:type="dxa"/>
              <w:start w:w="110" w:type="dxa"/>
              <w:bottom w:w="60" w:type="dxa"/>
              <w:end w:w="110" w:type="dxa"/>
            </w:tcMar>
            <w:shd w:val="clear" w:color="auto" w:fill="F4F7FB"/>
          </w:tcPr>
          <w:p>
            <w:pPr>
              <w:spacing w:after="0"/>
            </w:pPr>
            <w:r/>
            <w:r>
              <w:rPr>
                <w:rFonts w:ascii="Calibri" w:hAnsi="Calibri"/>
                <w:b w:val="0"/>
                <w:i w:val="0"/>
                <w:color w:val="101828"/>
                <w:sz w:val="14"/>
              </w:rPr>
              <w:t>CAN §6, FR-KYC-003, NFR-SEC-003</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2.14.3</w:t>
            </w:r>
          </w:p>
        </w:tc>
        <w:tc>
          <w:tcPr>
            <w:tcW w:type="dxa" w:w="1210"/>
            <w:tcMar>
              <w:top w:w="60" w:type="dxa"/>
              <w:start w:w="110" w:type="dxa"/>
              <w:bottom w:w="60" w:type="dxa"/>
              <w:end w:w="110" w:type="dxa"/>
            </w:tcMar>
          </w:tcPr>
          <w:p>
            <w:pPr>
              <w:spacing w:after="0"/>
            </w:pPr>
            <w:r/>
            <w:r>
              <w:rPr>
                <w:rFonts w:ascii="Calibri" w:hAnsi="Calibri"/>
                <w:b w:val="0"/>
                <w:i w:val="0"/>
                <w:color w:val="101828"/>
                <w:sz w:val="14"/>
              </w:rPr>
              <w:t>AJO.ng</w:t>
            </w:r>
          </w:p>
        </w:tc>
        <w:tc>
          <w:tcPr>
            <w:tcW w:type="dxa" w:w="1253"/>
            <w:tcMar>
              <w:top w:w="60" w:type="dxa"/>
              <w:start w:w="110" w:type="dxa"/>
              <w:bottom w:w="60" w:type="dxa"/>
              <w:end w:w="110" w:type="dxa"/>
            </w:tcMar>
          </w:tcPr>
          <w:p>
            <w:pPr>
              <w:spacing w:after="0"/>
            </w:pPr>
            <w:r/>
            <w:r>
              <w:rPr>
                <w:rFonts w:ascii="Calibri" w:hAnsi="Calibri"/>
                <w:b w:val="0"/>
                <w:i w:val="0"/>
                <w:color w:val="101828"/>
                <w:sz w:val="14"/>
              </w:rPr>
              <w:t>SCR-APP-19</w:t>
            </w:r>
          </w:p>
        </w:tc>
        <w:tc>
          <w:tcPr>
            <w:tcW w:type="dxa" w:w="2002"/>
            <w:tcMar>
              <w:top w:w="60" w:type="dxa"/>
              <w:start w:w="110" w:type="dxa"/>
              <w:bottom w:w="60" w:type="dxa"/>
              <w:end w:w="110" w:type="dxa"/>
            </w:tcMar>
          </w:tcPr>
          <w:p>
            <w:pPr>
              <w:spacing w:after="0"/>
            </w:pPr>
            <w:r/>
            <w:r>
              <w:rPr>
                <w:rFonts w:ascii="Calibri" w:hAnsi="Calibri"/>
                <w:b w:val="0"/>
                <w:i w:val="0"/>
                <w:color w:val="101828"/>
                <w:sz w:val="14"/>
              </w:rPr>
              <w:t>Handles a mismatch or a not-found result.</w:t>
            </w:r>
          </w:p>
        </w:tc>
        <w:tc>
          <w:tcPr>
            <w:tcW w:type="dxa" w:w="2808"/>
            <w:tcMar>
              <w:top w:w="60" w:type="dxa"/>
              <w:start w:w="110" w:type="dxa"/>
              <w:bottom w:w="60" w:type="dxa"/>
              <w:end w:w="110" w:type="dxa"/>
            </w:tcMar>
          </w:tcPr>
          <w:p>
            <w:pPr>
              <w:spacing w:after="0"/>
            </w:pPr>
            <w:r/>
            <w:r>
              <w:rPr>
                <w:rFonts w:ascii="Calibri" w:hAnsi="Calibri"/>
                <w:b w:val="0"/>
                <w:i w:val="0"/>
                <w:color w:val="101828"/>
                <w:sz w:val="14"/>
              </w:rPr>
              <w:t>The screen names the category, states what to do, and shows the attempts remaining. Nothing is deleted, nothing is penalised silently, and a verification failure is not a default.</w:t>
            </w:r>
          </w:p>
        </w:tc>
        <w:tc>
          <w:tcPr>
            <w:tcW w:type="dxa" w:w="1382"/>
            <w:tcMar>
              <w:top w:w="60" w:type="dxa"/>
              <w:start w:w="110" w:type="dxa"/>
              <w:bottom w:w="60" w:type="dxa"/>
              <w:end w:w="110" w:type="dxa"/>
            </w:tcMar>
          </w:tcPr>
          <w:p>
            <w:pPr>
              <w:spacing w:after="0"/>
            </w:pPr>
            <w:r/>
            <w:r>
              <w:rPr>
                <w:rFonts w:ascii="Calibri" w:hAnsi="Calibri"/>
                <w:b w:val="0"/>
                <w:i w:val="0"/>
                <w:color w:val="101828"/>
                <w:sz w:val="14"/>
              </w:rPr>
              <w:t>FR-KYC-003, FR-KYC-004, K-21, US-02</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2.14.4</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Member</w:t>
            </w:r>
          </w:p>
        </w:tc>
        <w:tc>
          <w:tcPr>
            <w:tcW w:type="dxa" w:w="1253"/>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SCR-APP-19</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Resubmits with corrected details.</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Resubmission is bounded, rate limited, and fully recorded including failures. Each attempt is a new </w:t>
            </w:r>
            <w:r>
              <w:rPr>
                <w:rFonts w:ascii="Consolas" w:hAnsi="Consolas"/>
                <w:color w:val="146EF5"/>
                <w:sz w:val="14"/>
              </w:rPr>
              <w:t>verification_checks</w:t>
            </w:r>
            <w:r>
              <w:rPr>
                <w:rFonts w:ascii="Calibri" w:hAnsi="Calibri"/>
                <w:b w:val="0"/>
                <w:i w:val="0"/>
                <w:color w:val="101828"/>
                <w:sz w:val="14"/>
              </w:rPr>
              <w:t xml:space="preserve"> row with its own outcome and provider reference.</w:t>
            </w:r>
          </w:p>
        </w:tc>
        <w:tc>
          <w:tcPr>
            <w:tcW w:type="dxa" w:w="1382"/>
            <w:tcMar>
              <w:top w:w="60" w:type="dxa"/>
              <w:start w:w="110" w:type="dxa"/>
              <w:bottom w:w="60" w:type="dxa"/>
              <w:end w:w="110" w:type="dxa"/>
            </w:tcMar>
            <w:shd w:val="clear" w:color="auto" w:fill="F4F7FB"/>
          </w:tcPr>
          <w:p>
            <w:pPr>
              <w:spacing w:after="0"/>
            </w:pPr>
            <w:r/>
            <w:r>
              <w:rPr>
                <w:rFonts w:ascii="Calibri" w:hAnsi="Calibri"/>
                <w:b w:val="0"/>
                <w:i w:val="0"/>
                <w:color w:val="101828"/>
                <w:sz w:val="14"/>
              </w:rPr>
              <w:t>FR-KYC-004, NFR-AUD-002, EC-111, EC-135</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2.14.5</w:t>
            </w:r>
          </w:p>
        </w:tc>
        <w:tc>
          <w:tcPr>
            <w:tcW w:type="dxa" w:w="1210"/>
            <w:tcMar>
              <w:top w:w="60" w:type="dxa"/>
              <w:start w:w="110" w:type="dxa"/>
              <w:bottom w:w="60" w:type="dxa"/>
              <w:end w:w="110" w:type="dxa"/>
            </w:tcMar>
          </w:tcPr>
          <w:p>
            <w:pPr>
              <w:spacing w:after="0"/>
            </w:pPr>
            <w:r/>
            <w:r>
              <w:rPr>
                <w:rFonts w:ascii="Calibri" w:hAnsi="Calibri"/>
                <w:b w:val="0"/>
                <w:i w:val="0"/>
                <w:color w:val="101828"/>
                <w:sz w:val="14"/>
              </w:rPr>
              <w:t>AJO.ng</w:t>
            </w:r>
          </w:p>
        </w:tc>
        <w:tc>
          <w:tcPr>
            <w:tcW w:type="dxa" w:w="1253"/>
            <w:tcMar>
              <w:top w:w="60" w:type="dxa"/>
              <w:start w:w="110" w:type="dxa"/>
              <w:bottom w:w="60" w:type="dxa"/>
              <w:end w:w="110" w:type="dxa"/>
            </w:tcMar>
          </w:tcPr>
          <w:p>
            <w:pPr>
              <w:spacing w:after="0"/>
            </w:pPr>
            <w:r/>
            <w:r>
              <w:rPr>
                <w:rFonts w:ascii="Calibri" w:hAnsi="Calibri"/>
                <w:b w:val="0"/>
                <w:i w:val="0"/>
                <w:color w:val="101828"/>
                <w:sz w:val="14"/>
              </w:rPr>
              <w:t>SCR-APP-12</w:t>
            </w:r>
          </w:p>
        </w:tc>
        <w:tc>
          <w:tcPr>
            <w:tcW w:type="dxa" w:w="2002"/>
            <w:tcMar>
              <w:top w:w="60" w:type="dxa"/>
              <w:start w:w="110" w:type="dxa"/>
              <w:bottom w:w="60" w:type="dxa"/>
              <w:end w:w="110" w:type="dxa"/>
            </w:tcMar>
          </w:tcPr>
          <w:p>
            <w:pPr>
              <w:spacing w:after="0"/>
            </w:pPr>
            <w:r/>
            <w:r>
              <w:rPr>
                <w:rFonts w:ascii="Calibri" w:hAnsi="Calibri"/>
                <w:b w:val="0"/>
                <w:i w:val="0"/>
                <w:color w:val="101828"/>
                <w:sz w:val="14"/>
              </w:rPr>
              <w:t>Notifies the outcome.</w:t>
            </w:r>
          </w:p>
        </w:tc>
        <w:tc>
          <w:tcPr>
            <w:tcW w:type="dxa" w:w="2808"/>
            <w:tcMar>
              <w:top w:w="60" w:type="dxa"/>
              <w:start w:w="110" w:type="dxa"/>
              <w:bottom w:w="60" w:type="dxa"/>
              <w:end w:w="110" w:type="dxa"/>
            </w:tcMar>
          </w:tcPr>
          <w:p>
            <w:pPr>
              <w:spacing w:after="0"/>
            </w:pPr>
            <w:r/>
            <w:r>
              <w:rPr>
                <w:rFonts w:ascii="Consolas" w:hAnsi="Consolas"/>
                <w:color w:val="146EF5"/>
                <w:sz w:val="14"/>
              </w:rPr>
              <w:t>verification.approved</w:t>
            </w:r>
            <w:r>
              <w:rPr>
                <w:rFonts w:ascii="Calibri" w:hAnsi="Calibri"/>
                <w:b w:val="0"/>
                <w:i w:val="0"/>
                <w:color w:val="101828"/>
                <w:sz w:val="14"/>
              </w:rPr>
              <w:t xml:space="preserve"> or </w:t>
            </w:r>
            <w:r>
              <w:rPr>
                <w:rFonts w:ascii="Consolas" w:hAnsi="Consolas"/>
                <w:color w:val="146EF5"/>
                <w:sz w:val="14"/>
              </w:rPr>
              <w:t>verification.failed</w:t>
            </w:r>
            <w:r>
              <w:rPr>
                <w:rFonts w:ascii="Calibri" w:hAnsi="Calibri"/>
                <w:b w:val="0"/>
                <w:i w:val="0"/>
                <w:color w:val="101828"/>
                <w:sz w:val="14"/>
              </w:rPr>
              <w:t xml:space="preserve"> on push and email, immediately, in both cases.</w:t>
            </w:r>
          </w:p>
        </w:tc>
        <w:tc>
          <w:tcPr>
            <w:tcW w:type="dxa" w:w="1382"/>
            <w:tcMar>
              <w:top w:w="60" w:type="dxa"/>
              <w:start w:w="110" w:type="dxa"/>
              <w:bottom w:w="60" w:type="dxa"/>
              <w:end w:w="110" w:type="dxa"/>
            </w:tcMar>
          </w:tcPr>
          <w:p>
            <w:pPr>
              <w:spacing w:after="0"/>
            </w:pPr>
            <w:r/>
            <w:r>
              <w:rPr>
                <w:rFonts w:ascii="Calibri" w:hAnsi="Calibri"/>
                <w:b w:val="0"/>
                <w:i w:val="0"/>
                <w:color w:val="101828"/>
                <w:sz w:val="14"/>
              </w:rPr>
              <w:t>CAN §8, FR-NOTIF-001</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2.14.6</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AJO.ng</w:t>
            </w:r>
          </w:p>
        </w:tc>
        <w:tc>
          <w:tcPr>
            <w:tcW w:type="dxa" w:w="1253"/>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SCR-APP-19</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Explains the consequence of staying unverified.</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The screen states exactly which things are blocked: creating an Ajo, joining an Ajo, taking a payout position, and being paid. It also states what is not blocked: reading, contacting support, and fixing the record.</w:t>
            </w:r>
          </w:p>
        </w:tc>
        <w:tc>
          <w:tcPr>
            <w:tcW w:type="dxa" w:w="1382"/>
            <w:tcMar>
              <w:top w:w="60" w:type="dxa"/>
              <w:start w:w="110" w:type="dxa"/>
              <w:bottom w:w="60" w:type="dxa"/>
              <w:end w:w="110" w:type="dxa"/>
            </w:tcMar>
            <w:shd w:val="clear" w:color="auto" w:fill="F4F7FB"/>
          </w:tcPr>
          <w:p>
            <w:pPr>
              <w:spacing w:after="0"/>
            </w:pPr>
            <w:r/>
            <w:r>
              <w:rPr>
                <w:rFonts w:ascii="Calibri" w:hAnsi="Calibri"/>
                <w:b w:val="0"/>
                <w:i w:val="0"/>
                <w:color w:val="101828"/>
                <w:sz w:val="14"/>
              </w:rPr>
              <w:t>US-02, US-03, D-04, US-19</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2.14.7</w:t>
            </w:r>
          </w:p>
        </w:tc>
        <w:tc>
          <w:tcPr>
            <w:tcW w:type="dxa" w:w="1210"/>
            <w:tcMar>
              <w:top w:w="60" w:type="dxa"/>
              <w:start w:w="110" w:type="dxa"/>
              <w:bottom w:w="60" w:type="dxa"/>
              <w:end w:w="110" w:type="dxa"/>
            </w:tcMar>
          </w:tcPr>
          <w:p>
            <w:pPr>
              <w:spacing w:after="0"/>
            </w:pPr>
            <w:r/>
            <w:r>
              <w:rPr>
                <w:rFonts w:ascii="Calibri" w:hAnsi="Calibri"/>
                <w:b w:val="0"/>
                <w:i w:val="0"/>
                <w:color w:val="101828"/>
                <w:sz w:val="14"/>
              </w:rPr>
              <w:t>Risk officer</w:t>
            </w:r>
          </w:p>
        </w:tc>
        <w:tc>
          <w:tcPr>
            <w:tcW w:type="dxa" w:w="1253"/>
            <w:tcMar>
              <w:top w:w="60" w:type="dxa"/>
              <w:start w:w="110" w:type="dxa"/>
              <w:bottom w:w="60" w:type="dxa"/>
              <w:end w:w="110" w:type="dxa"/>
            </w:tcMar>
          </w:tcPr>
          <w:p>
            <w:pPr>
              <w:spacing w:after="0"/>
            </w:pPr>
            <w:r/>
            <w:r>
              <w:rPr>
                <w:rFonts w:ascii="Calibri" w:hAnsi="Calibri"/>
                <w:b w:val="0"/>
                <w:i w:val="0"/>
                <w:color w:val="101828"/>
                <w:sz w:val="14"/>
              </w:rPr>
              <w:t>SCR-ADM-06 / SCR-ADM-05</w:t>
            </w:r>
          </w:p>
        </w:tc>
        <w:tc>
          <w:tcPr>
            <w:tcW w:type="dxa" w:w="2002"/>
            <w:tcMar>
              <w:top w:w="60" w:type="dxa"/>
              <w:start w:w="110" w:type="dxa"/>
              <w:bottom w:w="60" w:type="dxa"/>
              <w:end w:w="110" w:type="dxa"/>
            </w:tcMar>
          </w:tcPr>
          <w:p>
            <w:pPr>
              <w:spacing w:after="0"/>
            </w:pPr>
            <w:r/>
            <w:r>
              <w:rPr>
                <w:rFonts w:ascii="Calibri" w:hAnsi="Calibri"/>
                <w:b w:val="0"/>
                <w:i w:val="0"/>
                <w:color w:val="101828"/>
                <w:sz w:val="14"/>
              </w:rPr>
              <w:t>Reviews the failure when the pattern looks adversarial.</w:t>
            </w:r>
          </w:p>
        </w:tc>
        <w:tc>
          <w:tcPr>
            <w:tcW w:type="dxa" w:w="2808"/>
            <w:tcMar>
              <w:top w:w="60" w:type="dxa"/>
              <w:start w:w="110" w:type="dxa"/>
              <w:bottom w:w="60" w:type="dxa"/>
              <w:end w:w="110" w:type="dxa"/>
            </w:tcMar>
          </w:tcPr>
          <w:p>
            <w:pPr>
              <w:spacing w:after="0"/>
            </w:pPr>
            <w:r/>
            <w:r>
              <w:rPr>
                <w:rFonts w:ascii="Calibri" w:hAnsi="Calibri"/>
                <w:b w:val="0"/>
                <w:i w:val="0"/>
                <w:color w:val="101828"/>
                <w:sz w:val="14"/>
              </w:rPr>
              <w:t xml:space="preserve">Repeated failures, mismatches across accounts, or a duplicate identity raise a </w:t>
            </w:r>
            <w:r>
              <w:rPr>
                <w:rFonts w:ascii="Consolas" w:hAnsi="Consolas"/>
                <w:color w:val="146EF5"/>
                <w:sz w:val="14"/>
              </w:rPr>
              <w:t>risk_events</w:t>
            </w:r>
            <w:r>
              <w:rPr>
                <w:rFonts w:ascii="Calibri" w:hAnsi="Calibri"/>
                <w:b w:val="0"/>
                <w:i w:val="0"/>
                <w:color w:val="101828"/>
                <w:sz w:val="14"/>
              </w:rPr>
              <w:t xml:space="preserve"> row. The review is human, recorded, and separate from the member's right to keep trying within the attempt limit.</w:t>
            </w:r>
          </w:p>
        </w:tc>
        <w:tc>
          <w:tcPr>
            <w:tcW w:type="dxa" w:w="1382"/>
            <w:tcMar>
              <w:top w:w="60" w:type="dxa"/>
              <w:start w:w="110" w:type="dxa"/>
              <w:bottom w:w="60" w:type="dxa"/>
              <w:end w:w="110" w:type="dxa"/>
            </w:tcMar>
          </w:tcPr>
          <w:p>
            <w:pPr>
              <w:spacing w:after="0"/>
            </w:pPr>
            <w:r/>
            <w:r>
              <w:rPr>
                <w:rFonts w:ascii="Calibri" w:hAnsi="Calibri"/>
                <w:b w:val="0"/>
                <w:i w:val="0"/>
                <w:color w:val="101828"/>
                <w:sz w:val="14"/>
              </w:rPr>
              <w:t>FR-ADM-005, FR-KYC-005, EC-135, EC-089</w:t>
            </w:r>
          </w:p>
        </w:tc>
      </w:tr>
    </w:tbl>
    <w:p>
      <w:pPr>
        <w:spacing w:after="80"/>
      </w:pPr>
    </w:p>
    <w:p>
      <w:pPr>
        <w:pStyle w:val="Heading3"/>
      </w:pPr>
      <w:r>
        <w:rPr>
          <w:rFonts w:ascii="Calibri" w:hAnsi="Calibri"/>
          <w:b/>
          <w:i w:val="0"/>
          <w:color w:val="0B1F3A"/>
          <w:sz w:val="24"/>
        </w:rPr>
        <w:t>2.14.4 Happy path</w:t>
      </w:r>
    </w:p>
    <w:p>
      <w:r>
        <w:rPr>
          <w:rFonts w:ascii="Calibri" w:hAnsi="Calibri"/>
          <w:b w:val="0"/>
          <w:i w:val="0"/>
          <w:color w:val="101828"/>
          <w:sz w:val="21"/>
        </w:rPr>
        <w:t xml:space="preserve">A member's name does not match the records exactly, because they shortened their middle name. The screen says so in plain words, tells them what to do, and shows that they have four attempts left. They correct the name and resubmit. The check is approved, </w:t>
      </w:r>
      <w:r>
        <w:rPr>
          <w:rFonts w:ascii="Consolas" w:hAnsi="Consolas"/>
          <w:color w:val="146EF5"/>
          <w:sz w:val="21"/>
        </w:rPr>
        <w:t>verification.approved</w:t>
      </w:r>
      <w:r>
        <w:rPr>
          <w:rFonts w:ascii="Calibri" w:hAnsi="Calibri"/>
          <w:b w:val="0"/>
          <w:i w:val="0"/>
          <w:color w:val="101828"/>
          <w:sz w:val="21"/>
        </w:rPr>
        <w:t xml:space="preserve"> arrives, and the member can now create or join an Ajo. Throughout, the platform held only the result, the timestamp and the provider reference. The BVN number itself was passed to the provider and then gone. The member's failed attempt is still on the record, because a verification history that only shows successes is worthless to risk.</w:t>
      </w:r>
    </w:p>
    <w:p>
      <w:pPr>
        <w:pStyle w:val="Heading3"/>
      </w:pPr>
      <w:r>
        <w:rPr>
          <w:rFonts w:ascii="Calibri" w:hAnsi="Calibri"/>
          <w:b/>
          <w:i w:val="0"/>
          <w:color w:val="0B1F3A"/>
          <w:sz w:val="24"/>
        </w:rPr>
        <w:t>2.14.5 Alternates and failure branches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42"/>
            <w:shd w:val="clear" w:color="auto" w:fill="0B1F3A"/>
            <w:tcMar>
              <w:top w:w="60" w:type="dxa"/>
              <w:start w:w="110" w:type="dxa"/>
              <w:bottom w:w="60" w:type="dxa"/>
              <w:end w:w="110" w:type="dxa"/>
            </w:tcMar>
          </w:tcPr>
          <w:p>
            <w:pPr>
              <w:spacing w:after="0"/>
            </w:pPr>
            <w:r/>
            <w:r>
              <w:rPr>
                <w:rFonts w:ascii="Calibri" w:hAnsi="Calibri"/>
                <w:b/>
                <w:i w:val="0"/>
                <w:color w:val="FFFFFF"/>
                <w:sz w:val="14"/>
              </w:rPr>
              <w:t>Condition</w:t>
            </w:r>
          </w:p>
        </w:tc>
        <w:tc>
          <w:tcPr>
            <w:tcW w:type="dxa" w:w="2146"/>
            <w:shd w:val="clear" w:color="auto" w:fill="0B1F3A"/>
            <w:tcMar>
              <w:top w:w="60" w:type="dxa"/>
              <w:start w:w="110" w:type="dxa"/>
              <w:bottom w:w="60" w:type="dxa"/>
              <w:end w:w="110" w:type="dxa"/>
            </w:tcMar>
          </w:tcPr>
          <w:p>
            <w:pPr>
              <w:spacing w:after="0"/>
            </w:pPr>
            <w:r/>
            <w:r>
              <w:rPr>
                <w:rFonts w:ascii="Calibri" w:hAnsi="Calibri"/>
                <w:b/>
                <w:i w:val="0"/>
                <w:color w:val="FFFFFF"/>
                <w:sz w:val="14"/>
              </w:rPr>
              <w:t>Branch</w:t>
            </w:r>
          </w:p>
        </w:tc>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4"/>
              </w:rPr>
              <w:t>Message</w:t>
            </w:r>
          </w:p>
        </w:tc>
        <w:tc>
          <w:tcPr>
            <w:tcW w:type="dxa" w:w="2491"/>
            <w:shd w:val="clear" w:color="auto" w:fill="0B1F3A"/>
            <w:tcMar>
              <w:top w:w="60" w:type="dxa"/>
              <w:start w:w="110" w:type="dxa"/>
              <w:bottom w:w="60" w:type="dxa"/>
              <w:end w:w="110" w:type="dxa"/>
            </w:tcMar>
          </w:tcPr>
          <w:p>
            <w:pPr>
              <w:spacing w:after="0"/>
            </w:pPr>
            <w:r/>
            <w:r>
              <w:rPr>
                <w:rFonts w:ascii="Calibri" w:hAnsi="Calibri"/>
                <w:b/>
                <w:i w:val="0"/>
                <w:color w:val="FFFFFF"/>
                <w:sz w:val="14"/>
              </w:rPr>
              <w:t>Recovery</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member's name genuinely does not match the records</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member is told the category and the remedy, and may resubmit within the attempt limit. The failure is not a dead end and is not a silent block.</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SCR-APP-19</w:t>
            </w:r>
          </w:p>
        </w:tc>
        <w:tc>
          <w:tcPr>
            <w:tcW w:type="dxa" w:w="1944"/>
            <w:tcMar>
              <w:top w:w="60" w:type="dxa"/>
              <w:start w:w="110" w:type="dxa"/>
              <w:bottom w:w="60" w:type="dxa"/>
              <w:end w:w="110" w:type="dxa"/>
            </w:tcMar>
          </w:tcPr>
          <w:p>
            <w:pPr>
              <w:spacing w:after="0"/>
            </w:pPr>
            <w:r/>
            <w:r>
              <w:rPr>
                <w:rFonts w:ascii="Calibri" w:hAnsi="Calibri"/>
                <w:i/>
                <w:color w:val="101828"/>
                <w:sz w:val="14"/>
              </w:rPr>
              <w:t>The name on the records is different from the name you gave us. Check the spelling and try again.</w:t>
            </w:r>
          </w:p>
        </w:tc>
        <w:tc>
          <w:tcPr>
            <w:tcW w:type="dxa" w:w="2491"/>
            <w:tcMar>
              <w:top w:w="60" w:type="dxa"/>
              <w:start w:w="110" w:type="dxa"/>
              <w:bottom w:w="60" w:type="dxa"/>
              <w:end w:w="110" w:type="dxa"/>
            </w:tcMar>
          </w:tcPr>
          <w:p>
            <w:pPr>
              <w:spacing w:after="0"/>
            </w:pPr>
            <w:r/>
            <w:r>
              <w:rPr>
                <w:rFonts w:ascii="Calibri" w:hAnsi="Calibri"/>
                <w:b w:val="0"/>
                <w:i w:val="0"/>
                <w:color w:val="101828"/>
                <w:sz w:val="14"/>
              </w:rPr>
              <w:t>Resubmit. Support can assist with a documents-based route. FR-KYC-004, EC-111.</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verification provider is down or slow</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check is </w:t>
            </w:r>
            <w:r>
              <w:rPr>
                <w:rFonts w:ascii="Consolas" w:hAnsi="Consolas"/>
                <w:color w:val="146EF5"/>
                <w:sz w:val="14"/>
              </w:rPr>
              <w:t>PENDING</w:t>
            </w:r>
            <w:r>
              <w:rPr>
                <w:rFonts w:ascii="Calibri" w:hAnsi="Calibri"/>
                <w:b w:val="0"/>
                <w:i w:val="0"/>
                <w:color w:val="101828"/>
                <w:sz w:val="14"/>
              </w:rPr>
              <w:t>, not failed. The member is not shown an error that implies their documents are wrong, and no attempt is consumed.</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SCR-APP-19</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We are waiting for the verification service. Nothing is wrong with your details.</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Automatic retry, then support if it persists, EC-137.</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member reaches the attempt limit</w:t>
            </w:r>
          </w:p>
        </w:tc>
        <w:tc>
          <w:tcPr>
            <w:tcW w:type="dxa" w:w="2146"/>
            <w:tcMar>
              <w:top w:w="60" w:type="dxa"/>
              <w:start w:w="110" w:type="dxa"/>
              <w:bottom w:w="60" w:type="dxa"/>
              <w:end w:w="110" w:type="dxa"/>
            </w:tcMar>
          </w:tcPr>
          <w:p>
            <w:pPr>
              <w:spacing w:after="0"/>
            </w:pPr>
            <w:r/>
            <w:r>
              <w:rPr>
                <w:rFonts w:ascii="Calibri" w:hAnsi="Calibri"/>
                <w:b w:val="0"/>
                <w:i w:val="0"/>
                <w:color w:val="101828"/>
                <w:sz w:val="14"/>
              </w:rPr>
              <w:t>Further automatic resubmission is blocked and the case moves to human review with a recorded reason, rather than leaving the member stuck.</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SCR-APP-19 / SCR-ADM-06</w:t>
            </w:r>
          </w:p>
        </w:tc>
        <w:tc>
          <w:tcPr>
            <w:tcW w:type="dxa" w:w="1944"/>
            <w:tcMar>
              <w:top w:w="60" w:type="dxa"/>
              <w:start w:w="110" w:type="dxa"/>
              <w:bottom w:w="60" w:type="dxa"/>
              <w:end w:w="110" w:type="dxa"/>
            </w:tcMar>
          </w:tcPr>
          <w:p>
            <w:pPr>
              <w:spacing w:after="0"/>
            </w:pPr>
            <w:r/>
            <w:r>
              <w:rPr>
                <w:rFonts w:ascii="Calibri" w:hAnsi="Calibri"/>
                <w:i/>
                <w:color w:val="101828"/>
                <w:sz w:val="14"/>
              </w:rPr>
              <w:t>You have used all your automatic attempts. Our team will review this manually and contact you.</w:t>
            </w:r>
          </w:p>
        </w:tc>
        <w:tc>
          <w:tcPr>
            <w:tcW w:type="dxa" w:w="2491"/>
            <w:tcMar>
              <w:top w:w="60" w:type="dxa"/>
              <w:start w:w="110" w:type="dxa"/>
              <w:bottom w:w="60" w:type="dxa"/>
              <w:end w:w="110" w:type="dxa"/>
            </w:tcMar>
          </w:tcPr>
          <w:p>
            <w:pPr>
              <w:spacing w:after="0"/>
            </w:pPr>
            <w:r/>
            <w:r>
              <w:rPr>
                <w:rFonts w:ascii="Consolas" w:hAnsi="Consolas"/>
                <w:color w:val="146EF5"/>
                <w:sz w:val="14"/>
              </w:rPr>
              <w:t>support</w:t>
            </w:r>
            <w:r>
              <w:rPr>
                <w:rFonts w:ascii="Calibri" w:hAnsi="Calibri"/>
                <w:b w:val="0"/>
                <w:i w:val="0"/>
                <w:color w:val="101828"/>
                <w:sz w:val="14"/>
              </w:rPr>
              <w:t xml:space="preserve"> assists with identity; only </w:t>
            </w:r>
            <w:r>
              <w:rPr>
                <w:rFonts w:ascii="Consolas" w:hAnsi="Consolas"/>
                <w:color w:val="146EF5"/>
                <w:sz w:val="14"/>
              </w:rPr>
              <w:t>risk_officer</w:t>
            </w:r>
            <w:r>
              <w:rPr>
                <w:rFonts w:ascii="Calibri" w:hAnsi="Calibri"/>
                <w:b w:val="0"/>
                <w:i w:val="0"/>
                <w:color w:val="101828"/>
                <w:sz w:val="14"/>
              </w:rPr>
              <w:t xml:space="preserve"> or </w:t>
            </w:r>
            <w:r>
              <w:rPr>
                <w:rFonts w:ascii="Consolas" w:hAnsi="Consolas"/>
                <w:color w:val="146EF5"/>
                <w:sz w:val="14"/>
              </w:rPr>
              <w:t>super_admin</w:t>
            </w:r>
            <w:r>
              <w:rPr>
                <w:rFonts w:ascii="Calibri" w:hAnsi="Calibri"/>
                <w:b w:val="0"/>
                <w:i w:val="0"/>
                <w:color w:val="101828"/>
                <w:sz w:val="14"/>
              </w:rPr>
              <w:t xml:space="preserve"> can record a final outcome, US-37, EC-135.</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A duplicate account is registered with the same BVN</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w:t>
            </w:r>
            <w:r>
              <w:rPr>
                <w:rFonts w:ascii="Consolas" w:hAnsi="Consolas"/>
                <w:color w:val="146EF5"/>
                <w:sz w:val="14"/>
              </w:rPr>
              <w:t>risk_events</w:t>
            </w:r>
            <w:r>
              <w:rPr>
                <w:rFonts w:ascii="Calibri" w:hAnsi="Calibri"/>
                <w:b w:val="0"/>
                <w:i w:val="0"/>
                <w:color w:val="101828"/>
                <w:sz w:val="14"/>
              </w:rPr>
              <w:t xml:space="preserve"> row is raised, the second account is prevented from taking a payout position until review, and no financial record is ever merged or deleted.</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SCR-ADM-05 / SCR-ADM-06</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To the officer: </w:t>
            </w:r>
            <w:r>
              <w:rPr>
                <w:rFonts w:ascii="Calibri" w:hAnsi="Calibri"/>
                <w:i/>
                <w:color w:val="101828"/>
                <w:sz w:val="14"/>
              </w:rPr>
              <w:t>Duplicate identity across two accounts. Freeze the second; the first is untouched.</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Risk review. BR-030, BR-025, EC-119, EC-094.</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member is verified, then a payout arrives for a different name</w:t>
            </w:r>
          </w:p>
        </w:tc>
        <w:tc>
          <w:tcPr>
            <w:tcW w:type="dxa" w:w="2146"/>
            <w:tcMar>
              <w:top w:w="60" w:type="dxa"/>
              <w:start w:w="110" w:type="dxa"/>
              <w:bottom w:w="60" w:type="dxa"/>
              <w:end w:w="110" w:type="dxa"/>
            </w:tcMar>
          </w:tcPr>
          <w:p>
            <w:pPr>
              <w:spacing w:after="0"/>
            </w:pPr>
            <w:r/>
            <w:r>
              <w:rPr>
                <w:rFonts w:ascii="Calibri" w:hAnsi="Calibri"/>
                <w:b w:val="0"/>
                <w:i w:val="0"/>
                <w:color w:val="101828"/>
                <w:sz w:val="14"/>
              </w:rPr>
              <w:t>Release is blocked. The payout destination must be verified and in the recipient's own name; a mismatch stops the money rather than sending it to the wrong person.</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SCR-APP-10</w:t>
            </w:r>
          </w:p>
        </w:tc>
        <w:tc>
          <w:tcPr>
            <w:tcW w:type="dxa" w:w="1944"/>
            <w:tcMar>
              <w:top w:w="60" w:type="dxa"/>
              <w:start w:w="110" w:type="dxa"/>
              <w:bottom w:w="60" w:type="dxa"/>
              <w:end w:w="110" w:type="dxa"/>
            </w:tcMar>
          </w:tcPr>
          <w:p>
            <w:pPr>
              <w:spacing w:after="0"/>
            </w:pPr>
            <w:r/>
            <w:r>
              <w:rPr>
                <w:rFonts w:ascii="Calibri" w:hAnsi="Calibri"/>
                <w:i/>
                <w:color w:val="101828"/>
                <w:sz w:val="14"/>
              </w:rPr>
              <w:t>We cannot pay that account because it is not in your name. Add an account in your own name and we will release it immediately.</w:t>
            </w:r>
          </w:p>
        </w:tc>
        <w:tc>
          <w:tcPr>
            <w:tcW w:type="dxa" w:w="2491"/>
            <w:tcMar>
              <w:top w:w="60" w:type="dxa"/>
              <w:start w:w="110" w:type="dxa"/>
              <w:bottom w:w="60" w:type="dxa"/>
              <w:end w:w="110" w:type="dxa"/>
            </w:tcMar>
          </w:tcPr>
          <w:p>
            <w:pPr>
              <w:spacing w:after="0"/>
            </w:pPr>
            <w:r/>
            <w:r>
              <w:rPr>
                <w:rFonts w:ascii="Calibri" w:hAnsi="Calibri"/>
                <w:b w:val="0"/>
                <w:i w:val="0"/>
                <w:color w:val="101828"/>
                <w:sz w:val="14"/>
              </w:rPr>
              <w:t>Nominate a verified own-name destination. NFR-S, US-30, EC-128.</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 disputes a verification failure as a data error at the provider</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It becomes a dispute with a category, an evidence thread and a recorded decision. Support may escalate to the provider; support may not simply override the result, because the result is the control.</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SCR-APP-14 / SCR-ADM-04</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We have escalated this to our verification provider. Here is your case reference.</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Dispute resolution with a recorded outcome. FR-DISP-001 to FR-DISP-005, EC-136.</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D-04 is not yet resolved, so the verification threshold is unknown</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policy is a configuration value with a safe default, not a hard-coded rule, and the default is stated in the interface so a member is never blocked by a policy they cannot see.</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SCR-APP-19</w:t>
            </w:r>
          </w:p>
        </w:tc>
        <w:tc>
          <w:tcPr>
            <w:tcW w:type="dxa" w:w="1944"/>
            <w:tcMar>
              <w:top w:w="60" w:type="dxa"/>
              <w:start w:w="110" w:type="dxa"/>
              <w:bottom w:w="60" w:type="dxa"/>
              <w:end w:w="110" w:type="dxa"/>
            </w:tcMar>
          </w:tcPr>
          <w:p>
            <w:pPr>
              <w:spacing w:after="0"/>
            </w:pPr>
            <w:r/>
            <w:r>
              <w:rPr>
                <w:rFonts w:ascii="Calibri" w:hAnsi="Calibri"/>
                <w:i/>
                <w:color w:val="101828"/>
                <w:sz w:val="14"/>
              </w:rPr>
              <w:t>Identity verification is required before you can be paid out. It takes about a minute.</w:t>
            </w:r>
          </w:p>
        </w:tc>
        <w:tc>
          <w:tcPr>
            <w:tcW w:type="dxa" w:w="2491"/>
            <w:tcMar>
              <w:top w:w="60" w:type="dxa"/>
              <w:start w:w="110" w:type="dxa"/>
              <w:bottom w:w="60" w:type="dxa"/>
              <w:end w:w="110" w:type="dxa"/>
            </w:tcMar>
          </w:tcPr>
          <w:p>
            <w:pPr>
              <w:spacing w:after="0"/>
            </w:pPr>
            <w:r/>
            <w:r>
              <w:rPr>
                <w:rFonts w:ascii="Calibri" w:hAnsi="Calibri"/>
                <w:b w:val="0"/>
                <w:i w:val="0"/>
                <w:color w:val="101828"/>
                <w:sz w:val="14"/>
              </w:rPr>
              <w:t>Resolve D-04, then change the threshold as a versioned, audited setting. D-04, FR-ADM-010, BR-026.</w:t>
            </w:r>
          </w:p>
        </w:tc>
      </w:tr>
    </w:tbl>
    <w:p>
      <w:pPr>
        <w:spacing w:after="80"/>
      </w:pPr>
    </w:p>
    <w:p>
      <w:pPr>
        <w:spacing w:before="140" w:after="180"/>
        <w:ind w:left="144"/>
        <w:shd w:val="clear" w:color="auto" w:fill="E0F2FE"/>
        <w:pBdr>
          <w:left w:val="single" w:sz="18" w:space="6" w:color="22C7D6"/>
        </w:pBdr>
      </w:pPr>
      <w:r>
        <w:rPr>
          <w:rFonts w:ascii="Calibri" w:hAnsi="Calibri"/>
          <w:b/>
          <w:color w:val="22C7D6"/>
          <w:sz w:val="19"/>
        </w:rPr>
        <w:t xml:space="preserve">Where identity verification is required at launch  </w:t>
      </w:r>
      <w:r>
        <w:rPr>
          <w:rFonts w:ascii="Calibri" w:hAnsi="Calibri"/>
          <w:b w:val="0"/>
          <w:i w:val="0"/>
          <w:color w:val="0B1F3A"/>
          <w:sz w:val="19"/>
        </w:rPr>
        <w:t xml:space="preserve">CANONICAL.md records D-04 as open: </w:t>
      </w:r>
      <w:r>
        <w:rPr>
          <w:rFonts w:ascii="Calibri" w:hAnsi="Calibri"/>
          <w:i/>
          <w:color w:val="0B1F3A"/>
          <w:sz w:val="19"/>
        </w:rPr>
        <w:t>is BVN/CAC verification mandatory for all members, or only above a threshold?</w:t>
      </w:r>
      <w:r>
        <w:rPr>
          <w:rFonts w:ascii="Calibri" w:hAnsi="Calibri"/>
          <w:b w:val="0"/>
          <w:i w:val="0"/>
          <w:color w:val="0B1F3A"/>
          <w:sz w:val="19"/>
        </w:rPr>
        <w:t xml:space="preserve"> This specification adopts the following launch position, which is a decision and not a finding: a verified email and a verified phone are required to create or join an Ajo, and BVN-level identity verification is required </w:t>
      </w:r>
      <w:r>
        <w:rPr>
          <w:rFonts w:ascii="Calibri" w:hAnsi="Calibri"/>
          <w:b/>
          <w:color w:val="0B1F3A"/>
          <w:sz w:val="19"/>
        </w:rPr>
        <w:t>before a member can occupy a payout position and before their first disbursement</w:t>
      </w:r>
      <w:r>
        <w:rPr>
          <w:rFonts w:ascii="Calibri" w:hAnsi="Calibri"/>
          <w:b w:val="0"/>
          <w:i w:val="0"/>
          <w:color w:val="0B1F3A"/>
          <w:sz w:val="19"/>
        </w:rPr>
        <w:t xml:space="preserve">. The rationale is asymmetric risk: the cost of asking an honest member for a BVN once is a small onboarding friction, while the cost of paying a pot to a fabricated identity is the entire trust of the product. </w:t>
      </w:r>
      <w:r>
        <w:rPr>
          <w:rFonts w:ascii="Calibri" w:hAnsi="Calibri"/>
          <w:b/>
          <w:color w:val="0B1F3A"/>
          <w:sz w:val="19"/>
        </w:rPr>
        <w:t>Owner: Risk and Legal, with Engineering. Must be resolved before launch.</w:t>
      </w:r>
      <w:r>
        <w:rPr>
          <w:rFonts w:ascii="Calibri" w:hAnsi="Calibri"/>
          <w:b w:val="0"/>
          <w:i w:val="0"/>
          <w:color w:val="0B1F3A"/>
          <w:sz w:val="19"/>
        </w:rPr>
        <w:t xml:space="preserve"> The threshold is implemented as a versioned, audited setting so that changing it later is a configuration change, not a redeploy.</w:t>
      </w:r>
    </w:p>
    <w:p>
      <w:r>
        <w:br w:type="page"/>
      </w:r>
    </w:p>
    <w:p>
      <w:pPr>
        <w:pStyle w:val="Heading2"/>
      </w:pPr>
      <w:r>
        <w:rPr>
          <w:rFonts w:ascii="Calibri" w:hAnsi="Calibri"/>
          <w:b/>
          <w:i w:val="0"/>
          <w:color w:val="146EF5"/>
          <w:sz w:val="29"/>
        </w:rPr>
        <w:t>2.15 Fraud detection</w:t>
      </w:r>
    </w:p>
    <w:p>
      <w:pPr>
        <w:pStyle w:val="Heading3"/>
      </w:pPr>
      <w:r>
        <w:rPr>
          <w:rFonts w:ascii="Calibri" w:hAnsi="Calibri"/>
          <w:b/>
          <w:i w:val="0"/>
          <w:color w:val="0B1F3A"/>
          <w:sz w:val="24"/>
        </w:rPr>
        <w:t>2.15.1 Purpose</w:t>
      </w:r>
    </w:p>
    <w:p>
      <w:r>
        <w:rPr>
          <w:rFonts w:ascii="Calibri" w:hAnsi="Calibri"/>
          <w:b w:val="0"/>
          <w:i w:val="0"/>
          <w:color w:val="101828"/>
          <w:sz w:val="21"/>
        </w:rPr>
        <w:t>The fraud the product is actually exposed to is not a random attacker; it is a member who joins with a false identity, takes a position, collects the pot and disappears, or an organiser who uses the platform to run schemes that are not what they appear to be. Detection produces signals and evidence, not verdicts. At launch the platform holds accounts for review and freezes; it does not silently decline a legitimate member's payment because a rule fired, because a false positive in a savings product is indistinguishable to the member from the platform stealing their money.</w:t>
      </w:r>
    </w:p>
    <w:p>
      <w:pPr>
        <w:pStyle w:val="Heading3"/>
      </w:pPr>
      <w:r>
        <w:rPr>
          <w:rFonts w:ascii="Calibri" w:hAnsi="Calibri"/>
          <w:b/>
          <w:i w:val="0"/>
          <w:color w:val="0B1F3A"/>
          <w:sz w:val="24"/>
        </w:rPr>
        <w:t>2.15.2 Swimlane</w:t>
      </w:r>
    </w:p>
    <w:p>
      <w:pPr>
        <w:spacing w:before="0" w:after="0" w:line="240" w:lineRule="auto"/>
        <w:ind w:left="230"/>
        <w:shd w:val="clear" w:color="auto" w:fill="F7F9FC"/>
        <w:pBdr>
          <w:left w:val="single" w:sz="4" w:space="6" w:color="D0D5DD"/>
        </w:pBdr>
      </w:pPr>
      <w:r>
        <w:rPr>
          <w:rFonts w:ascii="Consolas" w:hAnsi="Consolas"/>
          <w:color w:val="0B1F3A"/>
          <w:sz w:val="16"/>
        </w:rPr>
        <w:t>SIGNAL SOURCE      RULES              AJO.ng                RISK OFFICER</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new account,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new device,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new payout      |-- rule set -----&gt;| risk_events row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destination     |  (versioned,      |  (never auto-closed)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duplicate BVN   |   auditable)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velocity of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contributions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invitation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graph shape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organiser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concentration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UNDER REVIEW --&gt;| reads evidence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(pause only the   | decides: dismiss,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activity that    | monitor, freeze,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depends on it)   | reject override,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escalate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decision recorded: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trigger, evidence,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decision, rationale,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officer identity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 member is never told they were "scored". They are told one of:</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approved, paused for review with a reason, or frozen. Nothing more.</w:t>
      </w:r>
    </w:p>
    <w:p>
      <w:pPr>
        <w:pStyle w:val="Heading3"/>
      </w:pPr>
      <w:r>
        <w:rPr>
          <w:rFonts w:ascii="Calibri" w:hAnsi="Calibri"/>
          <w:b/>
          <w:i w:val="0"/>
          <w:color w:val="0B1F3A"/>
          <w:sz w:val="24"/>
        </w:rPr>
        <w:t>2.15.3 Step detail</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706"/>
            <w:shd w:val="clear" w:color="auto" w:fill="0B1F3A"/>
            <w:tcMar>
              <w:top w:w="60" w:type="dxa"/>
              <w:start w:w="110" w:type="dxa"/>
              <w:bottom w:w="60" w:type="dxa"/>
              <w:end w:w="110" w:type="dxa"/>
            </w:tcMar>
          </w:tcPr>
          <w:p>
            <w:pPr>
              <w:spacing w:after="0"/>
            </w:pPr>
            <w:r/>
            <w:r>
              <w:rPr>
                <w:rFonts w:ascii="Calibri" w:hAnsi="Calibri"/>
                <w:b/>
                <w:i w:val="0"/>
                <w:color w:val="FFFFFF"/>
                <w:sz w:val="14"/>
              </w:rPr>
              <w:t>Step</w:t>
            </w:r>
          </w:p>
        </w:tc>
        <w:tc>
          <w:tcPr>
            <w:tcW w:type="dxa" w:w="1210"/>
            <w:shd w:val="clear" w:color="auto" w:fill="0B1F3A"/>
            <w:tcMar>
              <w:top w:w="60" w:type="dxa"/>
              <w:start w:w="110" w:type="dxa"/>
              <w:bottom w:w="60" w:type="dxa"/>
              <w:end w:w="110" w:type="dxa"/>
            </w:tcMar>
          </w:tcPr>
          <w:p>
            <w:pPr>
              <w:spacing w:after="0"/>
            </w:pPr>
            <w:r/>
            <w:r>
              <w:rPr>
                <w:rFonts w:ascii="Calibri" w:hAnsi="Calibri"/>
                <w:b/>
                <w:i w:val="0"/>
                <w:color w:val="FFFFFF"/>
                <w:sz w:val="14"/>
              </w:rPr>
              <w:t>Actor</w:t>
            </w:r>
          </w:p>
        </w:tc>
        <w:tc>
          <w:tcPr>
            <w:tcW w:type="dxa" w:w="1282"/>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2002"/>
            <w:shd w:val="clear" w:color="auto" w:fill="0B1F3A"/>
            <w:tcMar>
              <w:top w:w="60" w:type="dxa"/>
              <w:start w:w="110" w:type="dxa"/>
              <w:bottom w:w="60" w:type="dxa"/>
              <w:end w:w="110" w:type="dxa"/>
            </w:tcMar>
          </w:tcPr>
          <w:p>
            <w:pPr>
              <w:spacing w:after="0"/>
            </w:pPr>
            <w:r/>
            <w:r>
              <w:rPr>
                <w:rFonts w:ascii="Calibri" w:hAnsi="Calibri"/>
                <w:b/>
                <w:i w:val="0"/>
                <w:color w:val="FFFFFF"/>
                <w:sz w:val="14"/>
              </w:rPr>
              <w:t>Action</w:t>
            </w:r>
          </w:p>
        </w:tc>
        <w:tc>
          <w:tcPr>
            <w:tcW w:type="dxa" w:w="2808"/>
            <w:shd w:val="clear" w:color="auto" w:fill="0B1F3A"/>
            <w:tcMar>
              <w:top w:w="60" w:type="dxa"/>
              <w:start w:w="110" w:type="dxa"/>
              <w:bottom w:w="60" w:type="dxa"/>
              <w:end w:w="110" w:type="dxa"/>
            </w:tcMar>
          </w:tcPr>
          <w:p>
            <w:pPr>
              <w:spacing w:after="0"/>
            </w:pPr>
            <w:r/>
            <w:r>
              <w:rPr>
                <w:rFonts w:ascii="Calibri" w:hAnsi="Calibri"/>
                <w:b/>
                <w:i w:val="0"/>
                <w:color w:val="FFFFFF"/>
                <w:sz w:val="14"/>
              </w:rPr>
              <w:t>System response</w:t>
            </w:r>
          </w:p>
        </w:tc>
        <w:tc>
          <w:tcPr>
            <w:tcW w:type="dxa" w:w="1354"/>
            <w:shd w:val="clear" w:color="auto" w:fill="0B1F3A"/>
            <w:tcMar>
              <w:top w:w="60" w:type="dxa"/>
              <w:start w:w="110" w:type="dxa"/>
              <w:bottom w:w="60" w:type="dxa"/>
              <w:end w:w="110" w:type="dxa"/>
            </w:tcMar>
          </w:tcPr>
          <w:p>
            <w:pPr>
              <w:spacing w:after="0"/>
            </w:pPr>
            <w:r/>
            <w:r>
              <w:rPr>
                <w:rFonts w:ascii="Calibri" w:hAnsi="Calibri"/>
                <w:b/>
                <w:i w:val="0"/>
                <w:color w:val="FFFFFF"/>
                <w:sz w:val="14"/>
              </w:rPr>
              <w:t>Rule ref</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2.15.1</w:t>
            </w:r>
          </w:p>
        </w:tc>
        <w:tc>
          <w:tcPr>
            <w:tcW w:type="dxa" w:w="1210"/>
            <w:tcMar>
              <w:top w:w="60" w:type="dxa"/>
              <w:start w:w="110" w:type="dxa"/>
              <w:bottom w:w="60" w:type="dxa"/>
              <w:end w:w="110" w:type="dxa"/>
            </w:tcMar>
          </w:tcPr>
          <w:p>
            <w:pPr>
              <w:spacing w:after="0"/>
            </w:pPr>
            <w:r/>
            <w:r>
              <w:rPr>
                <w:rFonts w:ascii="Calibri" w:hAnsi="Calibri"/>
                <w:b w:val="0"/>
                <w:i w:val="0"/>
                <w:color w:val="101828"/>
                <w:sz w:val="14"/>
              </w:rPr>
              <w:t>AJO.ng</w:t>
            </w:r>
          </w:p>
        </w:tc>
        <w:tc>
          <w:tcPr>
            <w:tcW w:type="dxa" w:w="1282"/>
            <w:tcMar>
              <w:top w:w="60" w:type="dxa"/>
              <w:start w:w="110" w:type="dxa"/>
              <w:bottom w:w="60" w:type="dxa"/>
              <w:end w:w="110" w:type="dxa"/>
            </w:tcMar>
          </w:tcPr>
          <w:p>
            <w:pPr>
              <w:spacing w:after="0"/>
            </w:pPr>
            <w:r/>
            <w:r>
              <w:rPr>
                <w:rFonts w:ascii="Calibri" w:hAnsi="Calibri"/>
                <w:b w:val="0"/>
                <w:i w:val="0"/>
                <w:color w:val="101828"/>
                <w:sz w:val="14"/>
              </w:rPr>
              <w:t>—</w:t>
            </w:r>
          </w:p>
        </w:tc>
        <w:tc>
          <w:tcPr>
            <w:tcW w:type="dxa" w:w="2002"/>
            <w:tcMar>
              <w:top w:w="60" w:type="dxa"/>
              <w:start w:w="110" w:type="dxa"/>
              <w:bottom w:w="60" w:type="dxa"/>
              <w:end w:w="110" w:type="dxa"/>
            </w:tcMar>
          </w:tcPr>
          <w:p>
            <w:pPr>
              <w:spacing w:after="0"/>
            </w:pPr>
            <w:r/>
            <w:r>
              <w:rPr>
                <w:rFonts w:ascii="Calibri" w:hAnsi="Calibri"/>
                <w:b w:val="0"/>
                <w:i w:val="0"/>
                <w:color w:val="101828"/>
                <w:sz w:val="14"/>
              </w:rPr>
              <w:t>Collects signals on account creation, device, IP, funding pattern, invitation graph, organiser concentration and duplicate identity.</w:t>
            </w:r>
          </w:p>
        </w:tc>
        <w:tc>
          <w:tcPr>
            <w:tcW w:type="dxa" w:w="2808"/>
            <w:tcMar>
              <w:top w:w="60" w:type="dxa"/>
              <w:start w:w="110" w:type="dxa"/>
              <w:bottom w:w="60" w:type="dxa"/>
              <w:end w:w="110" w:type="dxa"/>
            </w:tcMar>
          </w:tcPr>
          <w:p>
            <w:pPr>
              <w:spacing w:after="0"/>
            </w:pPr>
            <w:r/>
            <w:r>
              <w:rPr>
                <w:rFonts w:ascii="Calibri" w:hAnsi="Calibri"/>
                <w:b w:val="0"/>
                <w:i w:val="0"/>
                <w:color w:val="101828"/>
                <w:sz w:val="14"/>
              </w:rPr>
              <w:t xml:space="preserve">Signals are recorded as </w:t>
            </w:r>
            <w:r>
              <w:rPr>
                <w:rFonts w:ascii="Consolas" w:hAnsi="Consolas"/>
                <w:color w:val="146EF5"/>
                <w:sz w:val="14"/>
              </w:rPr>
              <w:t>risk_events</w:t>
            </w:r>
            <w:r>
              <w:rPr>
                <w:rFonts w:ascii="Calibri" w:hAnsi="Calibri"/>
                <w:b w:val="0"/>
                <w:i w:val="0"/>
                <w:color w:val="101828"/>
                <w:sz w:val="14"/>
              </w:rPr>
              <w:t xml:space="preserve"> with the rule that fired and the evidence considered. A rule set is a versioned, effective-dated, audited configuration change, exactly like any other platform setting.</w:t>
            </w:r>
          </w:p>
        </w:tc>
        <w:tc>
          <w:tcPr>
            <w:tcW w:type="dxa" w:w="1354"/>
            <w:tcMar>
              <w:top w:w="60" w:type="dxa"/>
              <w:start w:w="110" w:type="dxa"/>
              <w:bottom w:w="60" w:type="dxa"/>
              <w:end w:w="110" w:type="dxa"/>
            </w:tcMar>
          </w:tcPr>
          <w:p>
            <w:pPr>
              <w:spacing w:after="0"/>
            </w:pPr>
            <w:r/>
            <w:r>
              <w:rPr>
                <w:rFonts w:ascii="Calibri" w:hAnsi="Calibri"/>
                <w:b w:val="0"/>
                <w:i w:val="0"/>
                <w:color w:val="101828"/>
                <w:sz w:val="14"/>
              </w:rPr>
              <w:t>FR-ADM-010, FR-ADM-011, CAN §5, D-08</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2.15.2</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AJO.ng</w:t>
            </w:r>
          </w:p>
        </w:tc>
        <w:tc>
          <w:tcPr>
            <w:tcW w:type="dxa" w:w="1282"/>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Scores and routes, with a documented rule set.</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score alone never freezes an account at launch. The output of a rule that fires is a </w:t>
            </w:r>
            <w:r>
              <w:rPr>
                <w:rFonts w:ascii="Consolas" w:hAnsi="Consolas"/>
                <w:color w:val="146EF5"/>
                <w:sz w:val="14"/>
              </w:rPr>
              <w:t>risk_events</w:t>
            </w:r>
            <w:r>
              <w:rPr>
                <w:rFonts w:ascii="Calibri" w:hAnsi="Calibri"/>
                <w:b w:val="0"/>
                <w:i w:val="0"/>
                <w:color w:val="101828"/>
                <w:sz w:val="14"/>
              </w:rPr>
              <w:t xml:space="preserve"> row for a human, and the row cannot be silently closed.</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4"/>
              </w:rPr>
              <w:t>FR-ADM-005, NFR-AUD-005, R13</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2.15.3</w:t>
            </w:r>
          </w:p>
        </w:tc>
        <w:tc>
          <w:tcPr>
            <w:tcW w:type="dxa" w:w="1210"/>
            <w:tcMar>
              <w:top w:w="60" w:type="dxa"/>
              <w:start w:w="110" w:type="dxa"/>
              <w:bottom w:w="60" w:type="dxa"/>
              <w:end w:w="110" w:type="dxa"/>
            </w:tcMar>
          </w:tcPr>
          <w:p>
            <w:pPr>
              <w:spacing w:after="0"/>
            </w:pPr>
            <w:r/>
            <w:r>
              <w:rPr>
                <w:rFonts w:ascii="Calibri" w:hAnsi="Calibri"/>
                <w:b w:val="0"/>
                <w:i w:val="0"/>
                <w:color w:val="101828"/>
                <w:sz w:val="14"/>
              </w:rPr>
              <w:t>Risk officer</w:t>
            </w:r>
          </w:p>
        </w:tc>
        <w:tc>
          <w:tcPr>
            <w:tcW w:type="dxa" w:w="1282"/>
            <w:tcMar>
              <w:top w:w="60" w:type="dxa"/>
              <w:start w:w="110" w:type="dxa"/>
              <w:bottom w:w="60" w:type="dxa"/>
              <w:end w:w="110" w:type="dxa"/>
            </w:tcMar>
          </w:tcPr>
          <w:p>
            <w:pPr>
              <w:spacing w:after="0"/>
            </w:pPr>
            <w:r/>
            <w:r>
              <w:rPr>
                <w:rFonts w:ascii="Calibri" w:hAnsi="Calibri"/>
                <w:b w:val="0"/>
                <w:i w:val="0"/>
                <w:color w:val="101828"/>
                <w:sz w:val="14"/>
              </w:rPr>
              <w:t>SCR-ADM-05</w:t>
            </w:r>
          </w:p>
        </w:tc>
        <w:tc>
          <w:tcPr>
            <w:tcW w:type="dxa" w:w="2002"/>
            <w:tcMar>
              <w:top w:w="60" w:type="dxa"/>
              <w:start w:w="110" w:type="dxa"/>
              <w:bottom w:w="60" w:type="dxa"/>
              <w:end w:w="110" w:type="dxa"/>
            </w:tcMar>
          </w:tcPr>
          <w:p>
            <w:pPr>
              <w:spacing w:after="0"/>
            </w:pPr>
            <w:r/>
            <w:r>
              <w:rPr>
                <w:rFonts w:ascii="Calibri" w:hAnsi="Calibri"/>
                <w:b w:val="0"/>
                <w:i w:val="0"/>
                <w:color w:val="101828"/>
                <w:sz w:val="14"/>
              </w:rPr>
              <w:t>Reviews the event with its evidence.</w:t>
            </w:r>
          </w:p>
        </w:tc>
        <w:tc>
          <w:tcPr>
            <w:tcW w:type="dxa" w:w="2808"/>
            <w:tcMar>
              <w:top w:w="60" w:type="dxa"/>
              <w:start w:w="110" w:type="dxa"/>
              <w:bottom w:w="60" w:type="dxa"/>
              <w:end w:w="110" w:type="dxa"/>
            </w:tcMar>
          </w:tcPr>
          <w:p>
            <w:pPr>
              <w:spacing w:after="0"/>
            </w:pPr>
            <w:r/>
            <w:r>
              <w:rPr>
                <w:rFonts w:ascii="Calibri" w:hAnsi="Calibri"/>
                <w:b w:val="0"/>
                <w:i w:val="0"/>
                <w:color w:val="101828"/>
                <w:sz w:val="14"/>
              </w:rPr>
              <w:t>The officer sees the rule, the evidence, the account's history, the Ajo's history and the organiser's history. Every privileged action requires re-authentication and is recorded with before and after values.</w:t>
            </w:r>
          </w:p>
        </w:tc>
        <w:tc>
          <w:tcPr>
            <w:tcW w:type="dxa" w:w="1354"/>
            <w:tcMar>
              <w:top w:w="60" w:type="dxa"/>
              <w:start w:w="110" w:type="dxa"/>
              <w:bottom w:w="60" w:type="dxa"/>
              <w:end w:w="110" w:type="dxa"/>
            </w:tcMar>
          </w:tcPr>
          <w:p>
            <w:pPr>
              <w:spacing w:after="0"/>
            </w:pPr>
            <w:r/>
            <w:r>
              <w:rPr>
                <w:rFonts w:ascii="Calibri" w:hAnsi="Calibri"/>
                <w:b w:val="0"/>
                <w:i w:val="0"/>
                <w:color w:val="101828"/>
                <w:sz w:val="14"/>
              </w:rPr>
              <w:t>FR-ADM-006, NFR-AUD-003, US-38</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2.15.4</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Risk officer</w:t>
            </w:r>
          </w:p>
        </w:tc>
        <w:tc>
          <w:tcPr>
            <w:tcW w:type="dxa" w:w="1282"/>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SCR-ADM-05</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Places the account or Ajo under review.</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Under review pauses only the activity that depends on the decision. Existing credits, receipts, positions and completed Ajos stay readable. A payout due during review is HELD with a recorded reason and the member is told.</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4"/>
              </w:rPr>
              <w:t>FR-ADM-005, BR-017, BR-018, EC-089, EC-059</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2.15.5</w:t>
            </w:r>
          </w:p>
        </w:tc>
        <w:tc>
          <w:tcPr>
            <w:tcW w:type="dxa" w:w="1210"/>
            <w:tcMar>
              <w:top w:w="60" w:type="dxa"/>
              <w:start w:w="110" w:type="dxa"/>
              <w:bottom w:w="60" w:type="dxa"/>
              <w:end w:w="110" w:type="dxa"/>
            </w:tcMar>
          </w:tcPr>
          <w:p>
            <w:pPr>
              <w:spacing w:after="0"/>
            </w:pPr>
            <w:r/>
            <w:r>
              <w:rPr>
                <w:rFonts w:ascii="Calibri" w:hAnsi="Calibri"/>
                <w:b w:val="0"/>
                <w:i w:val="0"/>
                <w:color w:val="101828"/>
                <w:sz w:val="14"/>
              </w:rPr>
              <w:t>Risk officer</w:t>
            </w:r>
          </w:p>
        </w:tc>
        <w:tc>
          <w:tcPr>
            <w:tcW w:type="dxa" w:w="1282"/>
            <w:tcMar>
              <w:top w:w="60" w:type="dxa"/>
              <w:start w:w="110" w:type="dxa"/>
              <w:bottom w:w="60" w:type="dxa"/>
              <w:end w:w="110" w:type="dxa"/>
            </w:tcMar>
          </w:tcPr>
          <w:p>
            <w:pPr>
              <w:spacing w:after="0"/>
            </w:pPr>
            <w:r/>
            <w:r>
              <w:rPr>
                <w:rFonts w:ascii="Calibri" w:hAnsi="Calibri"/>
                <w:b w:val="0"/>
                <w:i w:val="0"/>
                <w:color w:val="101828"/>
                <w:sz w:val="14"/>
              </w:rPr>
              <w:t>SCR-ADM-05</w:t>
            </w:r>
          </w:p>
        </w:tc>
        <w:tc>
          <w:tcPr>
            <w:tcW w:type="dxa" w:w="2002"/>
            <w:tcMar>
              <w:top w:w="60" w:type="dxa"/>
              <w:start w:w="110" w:type="dxa"/>
              <w:bottom w:w="60" w:type="dxa"/>
              <w:end w:w="110" w:type="dxa"/>
            </w:tcMar>
          </w:tcPr>
          <w:p>
            <w:pPr>
              <w:spacing w:after="0"/>
            </w:pPr>
            <w:r/>
            <w:r>
              <w:rPr>
                <w:rFonts w:ascii="Calibri" w:hAnsi="Calibri"/>
                <w:b w:val="0"/>
                <w:i w:val="0"/>
                <w:color w:val="101828"/>
                <w:sz w:val="14"/>
              </w:rPr>
              <w:t>Approves, rejects or overrides, and records limits.</w:t>
            </w:r>
          </w:p>
        </w:tc>
        <w:tc>
          <w:tcPr>
            <w:tcW w:type="dxa" w:w="2808"/>
            <w:tcMar>
              <w:top w:w="60" w:type="dxa"/>
              <w:start w:w="110" w:type="dxa"/>
              <w:bottom w:w="60" w:type="dxa"/>
              <w:end w:w="110" w:type="dxa"/>
            </w:tcMar>
          </w:tcPr>
          <w:p>
            <w:pPr>
              <w:spacing w:after="0"/>
            </w:pPr>
            <w:r/>
            <w:r>
              <w:rPr>
                <w:rFonts w:ascii="Calibri" w:hAnsi="Calibri"/>
                <w:b w:val="0"/>
                <w:i w:val="0"/>
                <w:color w:val="101828"/>
                <w:sz w:val="14"/>
              </w:rPr>
              <w:t>Approve or reject overrides, and manage limits. The risk officer may not delete records, edit the ledger, or change fee configuration.</w:t>
            </w:r>
          </w:p>
        </w:tc>
        <w:tc>
          <w:tcPr>
            <w:tcW w:type="dxa" w:w="1354"/>
            <w:tcMar>
              <w:top w:w="60" w:type="dxa"/>
              <w:start w:w="110" w:type="dxa"/>
              <w:bottom w:w="60" w:type="dxa"/>
              <w:end w:w="110" w:type="dxa"/>
            </w:tcMar>
          </w:tcPr>
          <w:p>
            <w:pPr>
              <w:spacing w:after="0"/>
            </w:pPr>
            <w:r/>
            <w:r>
              <w:rPr>
                <w:rFonts w:ascii="Calibri" w:hAnsi="Calibri"/>
                <w:b w:val="0"/>
                <w:i w:val="0"/>
                <w:color w:val="101828"/>
                <w:sz w:val="14"/>
              </w:rPr>
              <w:t>CAN §2, FR-ADM-005, BR-025, R4</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2.15.6</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Member</w:t>
            </w:r>
          </w:p>
        </w:tc>
        <w:tc>
          <w:tcPr>
            <w:tcW w:type="dxa" w:w="1282"/>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SCR-APP-19 / SCR-APP-10 / SCR-APP-13</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Is told one of three things: approved, paused for review with a reason, or frozen.</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No score, no risk language, no accusation. A paused member is told what to do and how long to expect. A frozen member is told that support can lift the freeze after verified identity.</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4"/>
              </w:rPr>
              <w:t>FR-ADM-005, US-36, EC-089, EC-087</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2.15.7</w:t>
            </w:r>
          </w:p>
        </w:tc>
        <w:tc>
          <w:tcPr>
            <w:tcW w:type="dxa" w:w="1210"/>
            <w:tcMar>
              <w:top w:w="60" w:type="dxa"/>
              <w:start w:w="110" w:type="dxa"/>
              <w:bottom w:w="60" w:type="dxa"/>
              <w:end w:w="110" w:type="dxa"/>
            </w:tcMar>
          </w:tcPr>
          <w:p>
            <w:pPr>
              <w:spacing w:after="0"/>
            </w:pPr>
            <w:r/>
            <w:r>
              <w:rPr>
                <w:rFonts w:ascii="Calibri" w:hAnsi="Calibri"/>
                <w:b w:val="0"/>
                <w:i w:val="0"/>
                <w:color w:val="101828"/>
                <w:sz w:val="14"/>
              </w:rPr>
              <w:t>Support</w:t>
            </w:r>
          </w:p>
        </w:tc>
        <w:tc>
          <w:tcPr>
            <w:tcW w:type="dxa" w:w="1282"/>
            <w:tcMar>
              <w:top w:w="60" w:type="dxa"/>
              <w:start w:w="110" w:type="dxa"/>
              <w:bottom w:w="60" w:type="dxa"/>
              <w:end w:w="110" w:type="dxa"/>
            </w:tcMar>
          </w:tcPr>
          <w:p>
            <w:pPr>
              <w:spacing w:after="0"/>
            </w:pPr>
            <w:r/>
            <w:r>
              <w:rPr>
                <w:rFonts w:ascii="Calibri" w:hAnsi="Calibri"/>
                <w:b w:val="0"/>
                <w:i w:val="0"/>
                <w:color w:val="101828"/>
                <w:sz w:val="14"/>
              </w:rPr>
              <w:t>SCR-ADM-02</w:t>
            </w:r>
          </w:p>
        </w:tc>
        <w:tc>
          <w:tcPr>
            <w:tcW w:type="dxa" w:w="2002"/>
            <w:tcMar>
              <w:top w:w="60" w:type="dxa"/>
              <w:start w:w="110" w:type="dxa"/>
              <w:bottom w:w="60" w:type="dxa"/>
              <w:end w:w="110" w:type="dxa"/>
            </w:tcMar>
          </w:tcPr>
          <w:p>
            <w:pPr>
              <w:spacing w:after="0"/>
            </w:pPr>
            <w:r/>
            <w:r>
              <w:rPr>
                <w:rFonts w:ascii="Calibri" w:hAnsi="Calibri"/>
                <w:b w:val="0"/>
                <w:i w:val="0"/>
                <w:color w:val="101828"/>
                <w:sz w:val="14"/>
              </w:rPr>
              <w:t>Communicates the outcome without adjudicating.</w:t>
            </w:r>
          </w:p>
        </w:tc>
        <w:tc>
          <w:tcPr>
            <w:tcW w:type="dxa" w:w="2808"/>
            <w:tcMar>
              <w:top w:w="60" w:type="dxa"/>
              <w:start w:w="110" w:type="dxa"/>
              <w:bottom w:w="60" w:type="dxa"/>
              <w:end w:w="110" w:type="dxa"/>
            </w:tcMar>
          </w:tcPr>
          <w:p>
            <w:pPr>
              <w:spacing w:after="0"/>
            </w:pPr>
            <w:r/>
            <w:r>
              <w:rPr>
                <w:rFonts w:ascii="Calibri" w:hAnsi="Calibri"/>
                <w:b w:val="0"/>
                <w:i w:val="0"/>
                <w:color w:val="101828"/>
                <w:sz w:val="14"/>
              </w:rPr>
              <w:t>Support reads everything and contacts members. Support cannot override a risk decision, cannot move money, and cannot change a balance.</w:t>
            </w:r>
          </w:p>
        </w:tc>
        <w:tc>
          <w:tcPr>
            <w:tcW w:type="dxa" w:w="1354"/>
            <w:tcMar>
              <w:top w:w="60" w:type="dxa"/>
              <w:start w:w="110" w:type="dxa"/>
              <w:bottom w:w="60" w:type="dxa"/>
              <w:end w:w="110" w:type="dxa"/>
            </w:tcMar>
          </w:tcPr>
          <w:p>
            <w:pPr>
              <w:spacing w:after="0"/>
            </w:pPr>
            <w:r/>
            <w:r>
              <w:rPr>
                <w:rFonts w:ascii="Calibri" w:hAnsi="Calibri"/>
                <w:b w:val="0"/>
                <w:i w:val="0"/>
                <w:color w:val="101828"/>
                <w:sz w:val="14"/>
              </w:rPr>
              <w:t>BR-023, FR-ADM-004, US-37</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2.15.8</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Platform</w:t>
            </w:r>
          </w:p>
        </w:tc>
        <w:tc>
          <w:tcPr>
            <w:tcW w:type="dxa" w:w="1282"/>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SCR-ADM-07</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Monitors the pattern across Ajos.</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Default rate per Ajo, per organiser and per member is measurable and triggers review at a configurable threshold. Organiser concentration and volume limits are monitored, because a commercial organiser running many Ajos is a real and specific risk.</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4"/>
              </w:rPr>
              <w:t>FR-DEF-009, R12, D-08, FR-ADM-009</w:t>
            </w:r>
          </w:p>
        </w:tc>
      </w:tr>
    </w:tbl>
    <w:p>
      <w:pPr>
        <w:spacing w:after="80"/>
      </w:pPr>
    </w:p>
    <w:p>
      <w:pPr>
        <w:pStyle w:val="Heading3"/>
      </w:pPr>
      <w:r>
        <w:rPr>
          <w:rFonts w:ascii="Calibri" w:hAnsi="Calibri"/>
          <w:b/>
          <w:i w:val="0"/>
          <w:color w:val="0B1F3A"/>
          <w:sz w:val="24"/>
        </w:rPr>
        <w:t>2.15.4 Happy path</w:t>
      </w:r>
    </w:p>
    <w:p>
      <w:r>
        <w:rPr>
          <w:rFonts w:ascii="Calibri" w:hAnsi="Calibri"/>
          <w:b w:val="0"/>
          <w:i w:val="0"/>
          <w:color w:val="101828"/>
          <w:sz w:val="21"/>
        </w:rPr>
        <w:t xml:space="preserve">A risk officer reviewing the Risk screen notices that one organiser has issued forty invitations in an hour, twenty-three of them to numbers that have never had an account, and that four of those numbers share a device fingerprint. The rule that fired is recorded on a </w:t>
      </w:r>
      <w:r>
        <w:rPr>
          <w:rFonts w:ascii="Consolas" w:hAnsi="Consolas"/>
          <w:color w:val="146EF5"/>
          <w:sz w:val="21"/>
        </w:rPr>
        <w:t>risk_events</w:t>
      </w:r>
      <w:r>
        <w:rPr>
          <w:rFonts w:ascii="Calibri" w:hAnsi="Calibri"/>
          <w:b w:val="0"/>
          <w:i w:val="0"/>
          <w:color w:val="101828"/>
          <w:sz w:val="21"/>
        </w:rPr>
        <w:t xml:space="preserve"> row with the evidence. The officer places the Ajo under review, which pauses only the invitations and the next activation; the contributions already collected stay exactly where they are and the members keep reading their receipts. The organiser receives a clear message that the Ajo is paused for review and what to do. Twenty-four hours later the officer finds a market association using one shared device, closes the event as </w:t>
      </w:r>
      <w:r>
        <w:rPr>
          <w:rFonts w:ascii="Calibri" w:hAnsi="Calibri"/>
          <w:i/>
          <w:color w:val="101828"/>
          <w:sz w:val="21"/>
        </w:rPr>
        <w:t>legitimate shared device</w:t>
      </w:r>
      <w:r>
        <w:rPr>
          <w:rFonts w:ascii="Calibri" w:hAnsi="Calibri"/>
          <w:b w:val="0"/>
          <w:i w:val="0"/>
          <w:color w:val="101828"/>
          <w:sz w:val="21"/>
        </w:rPr>
        <w:t>, and the decision is recorded with the trigger, the evidence, the decision, the rationale and their own identity. Nobody was accused of anything, and the record is complete enough to be reviewed by somebody else in a year.</w:t>
      </w:r>
    </w:p>
    <w:p>
      <w:pPr>
        <w:pStyle w:val="Heading3"/>
      </w:pPr>
      <w:r>
        <w:rPr>
          <w:rFonts w:ascii="Calibri" w:hAnsi="Calibri"/>
          <w:b/>
          <w:i w:val="0"/>
          <w:color w:val="0B1F3A"/>
          <w:sz w:val="24"/>
        </w:rPr>
        <w:t>2.15.5 Alternates and failure branches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42"/>
            <w:shd w:val="clear" w:color="auto" w:fill="0B1F3A"/>
            <w:tcMar>
              <w:top w:w="60" w:type="dxa"/>
              <w:start w:w="110" w:type="dxa"/>
              <w:bottom w:w="60" w:type="dxa"/>
              <w:end w:w="110" w:type="dxa"/>
            </w:tcMar>
          </w:tcPr>
          <w:p>
            <w:pPr>
              <w:spacing w:after="0"/>
            </w:pPr>
            <w:r/>
            <w:r>
              <w:rPr>
                <w:rFonts w:ascii="Calibri" w:hAnsi="Calibri"/>
                <w:b/>
                <w:i w:val="0"/>
                <w:color w:val="FFFFFF"/>
                <w:sz w:val="14"/>
              </w:rPr>
              <w:t>Condition</w:t>
            </w:r>
          </w:p>
        </w:tc>
        <w:tc>
          <w:tcPr>
            <w:tcW w:type="dxa" w:w="2146"/>
            <w:shd w:val="clear" w:color="auto" w:fill="0B1F3A"/>
            <w:tcMar>
              <w:top w:w="60" w:type="dxa"/>
              <w:start w:w="110" w:type="dxa"/>
              <w:bottom w:w="60" w:type="dxa"/>
              <w:end w:w="110" w:type="dxa"/>
            </w:tcMar>
          </w:tcPr>
          <w:p>
            <w:pPr>
              <w:spacing w:after="0"/>
            </w:pPr>
            <w:r/>
            <w:r>
              <w:rPr>
                <w:rFonts w:ascii="Calibri" w:hAnsi="Calibri"/>
                <w:b/>
                <w:i w:val="0"/>
                <w:color w:val="FFFFFF"/>
                <w:sz w:val="14"/>
              </w:rPr>
              <w:t>Branch</w:t>
            </w:r>
          </w:p>
        </w:tc>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4"/>
              </w:rPr>
              <w:t>Message</w:t>
            </w:r>
          </w:p>
        </w:tc>
        <w:tc>
          <w:tcPr>
            <w:tcW w:type="dxa" w:w="2491"/>
            <w:shd w:val="clear" w:color="auto" w:fill="0B1F3A"/>
            <w:tcMar>
              <w:top w:w="60" w:type="dxa"/>
              <w:start w:w="110" w:type="dxa"/>
              <w:bottom w:w="60" w:type="dxa"/>
              <w:end w:w="110" w:type="dxa"/>
            </w:tcMar>
          </w:tcPr>
          <w:p>
            <w:pPr>
              <w:spacing w:after="0"/>
            </w:pPr>
            <w:r/>
            <w:r>
              <w:rPr>
                <w:rFonts w:ascii="Calibri" w:hAnsi="Calibri"/>
                <w:b/>
                <w:i w:val="0"/>
                <w:color w:val="FFFFFF"/>
                <w:sz w:val="14"/>
              </w:rPr>
              <w:t>Recovery</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A rule fires on an honest member, for example a shared family phone</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account goes to review, not to automatic freeze. The member is told it is paused for review and why. A false positive must never be silent and must never be permanent.</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SCR-APP-19 / SCR-APP-10</w:t>
            </w:r>
          </w:p>
        </w:tc>
        <w:tc>
          <w:tcPr>
            <w:tcW w:type="dxa" w:w="1944"/>
            <w:tcMar>
              <w:top w:w="60" w:type="dxa"/>
              <w:start w:w="110" w:type="dxa"/>
              <w:bottom w:w="60" w:type="dxa"/>
              <w:end w:w="110" w:type="dxa"/>
            </w:tcMar>
          </w:tcPr>
          <w:p>
            <w:pPr>
              <w:spacing w:after="0"/>
            </w:pPr>
            <w:r/>
            <w:r>
              <w:rPr>
                <w:rFonts w:ascii="Calibri" w:hAnsi="Calibri"/>
                <w:i/>
                <w:color w:val="101828"/>
                <w:sz w:val="14"/>
              </w:rPr>
              <w:t>We are doing a quick check on this account before the next step. Nothing is wrong with your money.</w:t>
            </w:r>
          </w:p>
        </w:tc>
        <w:tc>
          <w:tcPr>
            <w:tcW w:type="dxa" w:w="2491"/>
            <w:tcMar>
              <w:top w:w="60" w:type="dxa"/>
              <w:start w:w="110" w:type="dxa"/>
              <w:bottom w:w="60" w:type="dxa"/>
              <w:end w:w="110" w:type="dxa"/>
            </w:tcMar>
          </w:tcPr>
          <w:p>
            <w:pPr>
              <w:spacing w:after="0"/>
            </w:pPr>
            <w:r/>
            <w:r>
              <w:rPr>
                <w:rFonts w:ascii="Calibri" w:hAnsi="Calibri"/>
                <w:b w:val="0"/>
                <w:i w:val="0"/>
                <w:color w:val="101828"/>
                <w:sz w:val="14"/>
              </w:rPr>
              <w:t>Officer dismisses the event and the activity resumes, K-21, EC-089.</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is paid out to an account that is not theirs</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Blocked before release. The payout destination must be verified and in the recipient's own name; this is the control that stops the most damaging fraud in a rotating savings scheme.</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SCR-APP-10</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We can only pay an account in your own name. Add one and we will release your money straight away.</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Nominate a verified own-name account. NFR-S, FR-POUT-004, EC-128.</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A duplicate account is created with the same BVN to take a second position</w:t>
            </w:r>
          </w:p>
        </w:tc>
        <w:tc>
          <w:tcPr>
            <w:tcW w:type="dxa" w:w="2146"/>
            <w:tcMar>
              <w:top w:w="60" w:type="dxa"/>
              <w:start w:w="110" w:type="dxa"/>
              <w:bottom w:w="60" w:type="dxa"/>
              <w:end w:w="110" w:type="dxa"/>
            </w:tcMar>
          </w:tcPr>
          <w:p>
            <w:pPr>
              <w:spacing w:after="0"/>
            </w:pPr>
            <w:r/>
            <w:r>
              <w:rPr>
                <w:rFonts w:ascii="Calibri" w:hAnsi="Calibri"/>
                <w:b w:val="0"/>
                <w:i w:val="0"/>
                <w:color w:val="101828"/>
                <w:sz w:val="14"/>
              </w:rPr>
              <w:t xml:space="preserve">A </w:t>
            </w:r>
            <w:r>
              <w:rPr>
                <w:rFonts w:ascii="Consolas" w:hAnsi="Consolas"/>
                <w:color w:val="146EF5"/>
                <w:sz w:val="14"/>
              </w:rPr>
              <w:t>risk_events</w:t>
            </w:r>
            <w:r>
              <w:rPr>
                <w:rFonts w:ascii="Calibri" w:hAnsi="Calibri"/>
                <w:b w:val="0"/>
                <w:i w:val="0"/>
                <w:color w:val="101828"/>
                <w:sz w:val="14"/>
              </w:rPr>
              <w:t xml:space="preserve"> row is raised and the second account is prevented from taking a payout position until reviewed. No record is merged, because merging would require deleting a financial history.</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SCR-ADM-05 / SCR-ADM-06</w:t>
            </w:r>
          </w:p>
        </w:tc>
        <w:tc>
          <w:tcPr>
            <w:tcW w:type="dxa" w:w="1944"/>
            <w:tcMar>
              <w:top w:w="60" w:type="dxa"/>
              <w:start w:w="110" w:type="dxa"/>
              <w:bottom w:w="60" w:type="dxa"/>
              <w:end w:w="110" w:type="dxa"/>
            </w:tcMar>
          </w:tcPr>
          <w:p>
            <w:pPr>
              <w:spacing w:after="0"/>
            </w:pPr>
            <w:r/>
            <w:r>
              <w:rPr>
                <w:rFonts w:ascii="Calibri" w:hAnsi="Calibri"/>
                <w:b w:val="0"/>
                <w:i w:val="0"/>
                <w:color w:val="101828"/>
                <w:sz w:val="14"/>
              </w:rPr>
              <w:t xml:space="preserve">To the officer: </w:t>
            </w:r>
            <w:r>
              <w:rPr>
                <w:rFonts w:ascii="Calibri" w:hAnsi="Calibri"/>
                <w:i/>
                <w:color w:val="101828"/>
                <w:sz w:val="14"/>
              </w:rPr>
              <w:t>Duplicate identity. Second account blocked from a position.</w:t>
            </w:r>
          </w:p>
        </w:tc>
        <w:tc>
          <w:tcPr>
            <w:tcW w:type="dxa" w:w="2491"/>
            <w:tcMar>
              <w:top w:w="60" w:type="dxa"/>
              <w:start w:w="110" w:type="dxa"/>
              <w:bottom w:w="60" w:type="dxa"/>
              <w:end w:w="110" w:type="dxa"/>
            </w:tcMar>
          </w:tcPr>
          <w:p>
            <w:pPr>
              <w:spacing w:after="0"/>
            </w:pPr>
            <w:r/>
            <w:r>
              <w:rPr>
                <w:rFonts w:ascii="Calibri" w:hAnsi="Calibri"/>
                <w:b w:val="0"/>
                <w:i w:val="0"/>
                <w:color w:val="101828"/>
                <w:sz w:val="14"/>
              </w:rPr>
              <w:t>Risk-officer decision. BR-030, BR-025, G6, EC-119, EC-094.</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An organiser is running a scheme that charges members more than the disclosed fee</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The organiser's disclosed terms are immutable and versioned, so an attempt to change them is refused and recorded. Off-platform solicitation is outside the platform's technical control and is handled through the terms, monitoring and reporting.</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SCR-ADM-05 / SCR-ADM-08</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To the officer: </w:t>
            </w:r>
            <w:r>
              <w:rPr>
                <w:rFonts w:ascii="Calibri" w:hAnsi="Calibri"/>
                <w:i/>
                <w:color w:val="101828"/>
                <w:sz w:val="14"/>
              </w:rPr>
              <w:t>Attempt to alter active terms, and solicitation volume above threshold.</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Risk review, then freeze of the organiser's Ajo activity if warranted. BR-005, R12, EC-150.</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risk team is not staffed, which is the current state of the dependency</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This is the single most dangerous operational gap in the specification, because an unstaffed risk role is worse than no risk role: events queue, nobody triages them, and the review state silently becomes a permanent hold.</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SCR-ADM-05</w:t>
            </w:r>
          </w:p>
        </w:tc>
        <w:tc>
          <w:tcPr>
            <w:tcW w:type="dxa" w:w="1944"/>
            <w:tcMar>
              <w:top w:w="60" w:type="dxa"/>
              <w:start w:w="110" w:type="dxa"/>
              <w:bottom w:w="60" w:type="dxa"/>
              <w:end w:w="110" w:type="dxa"/>
            </w:tcMar>
          </w:tcPr>
          <w:p>
            <w:pPr>
              <w:spacing w:after="0"/>
            </w:pPr>
            <w:r/>
            <w:r>
              <w:rPr>
                <w:rFonts w:ascii="Calibri" w:hAnsi="Calibri"/>
                <w:b w:val="0"/>
                <w:i w:val="0"/>
                <w:color w:val="101828"/>
                <w:sz w:val="14"/>
              </w:rPr>
              <w:t>The Risk screen shows the queue depth and the age of the oldest unhandled event, so the gap is visible rather than assumed away.</w:t>
            </w:r>
          </w:p>
        </w:tc>
        <w:tc>
          <w:tcPr>
            <w:tcW w:type="dxa" w:w="2491"/>
            <w:tcMar>
              <w:top w:w="60" w:type="dxa"/>
              <w:start w:w="110" w:type="dxa"/>
              <w:bottom w:w="60" w:type="dxa"/>
              <w:end w:w="110" w:type="dxa"/>
            </w:tcMar>
          </w:tcPr>
          <w:p>
            <w:pPr>
              <w:spacing w:after="0"/>
            </w:pPr>
            <w:r/>
            <w:r>
              <w:rPr>
                <w:rFonts w:ascii="Calibri" w:hAnsi="Calibri"/>
                <w:b w:val="0"/>
                <w:i w:val="0"/>
                <w:color w:val="101828"/>
                <w:sz w:val="14"/>
              </w:rPr>
              <w:t>Staff the function before launch. DEP-11, R13, gate G-A. This cannot be closed by software.</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is in review when their contribution falls due</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The default clock is paused. A platform review is not a member failure and must not be recorded as one.</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SCR-APP-08 / SCR-APP-05</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To the organiser: </w:t>
            </w:r>
            <w:r>
              <w:rPr>
                <w:rFonts w:ascii="Calibri" w:hAnsi="Calibri"/>
                <w:i/>
                <w:color w:val="101828"/>
                <w:sz w:val="14"/>
              </w:rPr>
              <w:t>Paused by platform review. Not a default, clock not running.</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Clear the review, then the member pays, BR-014, G5, EC-028.</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Fraud is suspected on a member who has already been paid out</w:t>
            </w:r>
          </w:p>
        </w:tc>
        <w:tc>
          <w:tcPr>
            <w:tcW w:type="dxa" w:w="2146"/>
            <w:tcMar>
              <w:top w:w="60" w:type="dxa"/>
              <w:start w:w="110" w:type="dxa"/>
              <w:bottom w:w="60" w:type="dxa"/>
              <w:end w:w="110" w:type="dxa"/>
            </w:tcMar>
          </w:tcPr>
          <w:p>
            <w:pPr>
              <w:spacing w:after="0"/>
            </w:pPr>
            <w:r/>
            <w:r>
              <w:rPr>
                <w:rFonts w:ascii="Calibri" w:hAnsi="Calibri"/>
                <w:b w:val="0"/>
                <w:i w:val="0"/>
                <w:color w:val="101828"/>
                <w:sz w:val="14"/>
              </w:rPr>
              <w:t xml:space="preserve">A </w:t>
            </w:r>
            <w:r>
              <w:rPr>
                <w:rFonts w:ascii="Consolas" w:hAnsi="Consolas"/>
                <w:color w:val="146EF5"/>
                <w:sz w:val="14"/>
              </w:rPr>
              <w:t>risk_events</w:t>
            </w:r>
            <w:r>
              <w:rPr>
                <w:rFonts w:ascii="Calibri" w:hAnsi="Calibri"/>
                <w:b w:val="0"/>
                <w:i w:val="0"/>
                <w:color w:val="101828"/>
                <w:sz w:val="14"/>
              </w:rPr>
              <w:t xml:space="preserve"> row and a freeze are raised. There is no clawing back from a member: money returned to a member is a documented refund, not an involuntary deduction, and the capability does not exist.</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SCR-ADM-05</w:t>
            </w:r>
          </w:p>
        </w:tc>
        <w:tc>
          <w:tcPr>
            <w:tcW w:type="dxa" w:w="1944"/>
            <w:tcMar>
              <w:top w:w="60" w:type="dxa"/>
              <w:start w:w="110" w:type="dxa"/>
              <w:bottom w:w="60" w:type="dxa"/>
              <w:end w:w="110" w:type="dxa"/>
            </w:tcMar>
          </w:tcPr>
          <w:p>
            <w:pPr>
              <w:spacing w:after="0"/>
            </w:pPr>
            <w:r/>
            <w:r>
              <w:rPr>
                <w:rFonts w:ascii="Calibri" w:hAnsi="Calibri"/>
                <w:b w:val="0"/>
                <w:i w:val="0"/>
                <w:color w:val="101828"/>
                <w:sz w:val="14"/>
              </w:rPr>
              <w:t xml:space="preserve">To the officer: </w:t>
            </w:r>
            <w:r>
              <w:rPr>
                <w:rFonts w:ascii="Calibri" w:hAnsi="Calibri"/>
                <w:i/>
                <w:color w:val="101828"/>
                <w:sz w:val="14"/>
              </w:rPr>
              <w:t>Post-payout fraud indicator. Account frozen. No clawback capability exists by design.</w:t>
            </w:r>
          </w:p>
        </w:tc>
        <w:tc>
          <w:tcPr>
            <w:tcW w:type="dxa" w:w="2491"/>
            <w:tcMar>
              <w:top w:w="60" w:type="dxa"/>
              <w:start w:w="110" w:type="dxa"/>
              <w:bottom w:w="60" w:type="dxa"/>
              <w:end w:w="110" w:type="dxa"/>
            </w:tcMar>
          </w:tcPr>
          <w:p>
            <w:pPr>
              <w:spacing w:after="0"/>
            </w:pPr>
            <w:r/>
            <w:r>
              <w:rPr>
                <w:rFonts w:ascii="Calibri" w:hAnsi="Calibri"/>
                <w:b w:val="0"/>
                <w:i w:val="0"/>
                <w:color w:val="101828"/>
                <w:sz w:val="14"/>
              </w:rPr>
              <w:t>Freeze, review, and if there is a shortfall the Ajo goes to HELD and the recovery process runs. BR-032, EC-134.</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A replayed or forged provider webhook attempts to credit a fake payment</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Rejected on signature or replay protection before any credit is posted, and recorded as an anomaly for review.</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SCR-ADM-05</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No member is affected. The attempt appears in the Risk screen.</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Signature and replay verification. NFR-S, EC-038, EC-040.</w:t>
            </w:r>
          </w:p>
        </w:tc>
      </w:tr>
    </w:tbl>
    <w:p>
      <w:pPr>
        <w:spacing w:after="80"/>
      </w:pPr>
    </w:p>
    <w:p>
      <w:r>
        <w:br w:type="page"/>
      </w:r>
    </w:p>
    <w:p>
      <w:pPr>
        <w:pStyle w:val="Heading2"/>
      </w:pPr>
      <w:r>
        <w:rPr>
          <w:rFonts w:ascii="Calibri" w:hAnsi="Calibri"/>
          <w:b/>
          <w:i w:val="0"/>
          <w:color w:val="146EF5"/>
          <w:sz w:val="29"/>
        </w:rPr>
        <w:t>2.16 Admin intervention</w:t>
      </w:r>
    </w:p>
    <w:p>
      <w:pPr>
        <w:pStyle w:val="Heading3"/>
      </w:pPr>
      <w:r>
        <w:rPr>
          <w:rFonts w:ascii="Calibri" w:hAnsi="Calibri"/>
          <w:b/>
          <w:i w:val="0"/>
          <w:color w:val="0B1F3A"/>
          <w:sz w:val="24"/>
        </w:rPr>
        <w:t>2.16.1 Purpose</w:t>
      </w:r>
    </w:p>
    <w:p>
      <w:r>
        <w:rPr>
          <w:rFonts w:ascii="Calibri" w:hAnsi="Calibri"/>
          <w:b w:val="0"/>
          <w:i w:val="0"/>
          <w:color w:val="101828"/>
          <w:sz w:val="21"/>
        </w:rPr>
        <w:t xml:space="preserve">Administration is where the product's promises are either kept or quietly broken. The separation of roles in CANONICAL.md is not bureaucracy: </w:t>
      </w:r>
      <w:r>
        <w:rPr>
          <w:rFonts w:ascii="Consolas" w:hAnsi="Consolas"/>
          <w:color w:val="146EF5"/>
          <w:sz w:val="21"/>
        </w:rPr>
        <w:t>support</w:t>
      </w:r>
      <w:r>
        <w:rPr>
          <w:rFonts w:ascii="Calibri" w:hAnsi="Calibri"/>
          <w:b w:val="0"/>
          <w:i w:val="0"/>
          <w:color w:val="101828"/>
          <w:sz w:val="21"/>
        </w:rPr>
        <w:t xml:space="preserve"> sees everything and changes nothing, </w:t>
      </w:r>
      <w:r>
        <w:rPr>
          <w:rFonts w:ascii="Consolas" w:hAnsi="Consolas"/>
          <w:color w:val="146EF5"/>
          <w:sz w:val="21"/>
        </w:rPr>
        <w:t>risk_officer</w:t>
      </w:r>
      <w:r>
        <w:rPr>
          <w:rFonts w:ascii="Calibri" w:hAnsi="Calibri"/>
          <w:b w:val="0"/>
          <w:i w:val="0"/>
          <w:color w:val="101828"/>
          <w:sz w:val="21"/>
        </w:rPr>
        <w:t xml:space="preserve"> judges and freezes but cannot move money or edit the ledger, </w:t>
      </w:r>
      <w:r>
        <w:rPr>
          <w:rFonts w:ascii="Consolas" w:hAnsi="Consolas"/>
          <w:color w:val="146EF5"/>
          <w:sz w:val="21"/>
        </w:rPr>
        <w:t>super_admin</w:t>
      </w:r>
      <w:r>
        <w:rPr>
          <w:rFonts w:ascii="Calibri" w:hAnsi="Calibri"/>
          <w:b w:val="0"/>
          <w:i w:val="0"/>
          <w:color w:val="101828"/>
          <w:sz w:val="21"/>
        </w:rPr>
        <w:t xml:space="preserve"> configures the platform and can halt everything but cannot bypass the append-only ledger or delete financial history. Every intervention is recorded with actor, role, timestamp, before and after values, and it is readable by every admin role and writable by none.</w:t>
      </w:r>
    </w:p>
    <w:p>
      <w:pPr>
        <w:pStyle w:val="Heading3"/>
      </w:pPr>
      <w:r>
        <w:rPr>
          <w:rFonts w:ascii="Calibri" w:hAnsi="Calibri"/>
          <w:b/>
          <w:i w:val="0"/>
          <w:color w:val="0B1F3A"/>
          <w:sz w:val="24"/>
        </w:rPr>
        <w:t>2.16.2 Swimlane</w:t>
      </w:r>
    </w:p>
    <w:p>
      <w:pPr>
        <w:spacing w:before="0" w:after="0" w:line="240" w:lineRule="auto"/>
        <w:ind w:left="230"/>
        <w:shd w:val="clear" w:color="auto" w:fill="F7F9FC"/>
        <w:pBdr>
          <w:left w:val="single" w:sz="4" w:space="6" w:color="D0D5DD"/>
        </w:pBdr>
      </w:pPr>
      <w:r>
        <w:rPr>
          <w:rFonts w:ascii="Consolas" w:hAnsi="Consolas"/>
          <w:color w:val="0B1F3A"/>
          <w:sz w:val="16"/>
        </w:rPr>
        <w:t>INCIDENT          SUPPORT        RISK OFFICER     SUPER ADMIN</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organizer has   |  reads all    |  places the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disappeared     |  records,     |  Ajo under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for 3 weeks     |  contacts     |  review, or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organizer    |  delegates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and members  |  FR-AJO-012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Ajo stalled,    |  explains the |  agrees the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round unfunded  |  recovery     |  recovery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options to   |  path; payout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every        |  HELD until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member       |  funded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member dispute  |  assists and  |  judges only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escalated       |  proposes;    |  if a risk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CANNOT move  |  reason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money        |  exists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provider outage |  tells the    |               |  emergency</w:t>
      </w:r>
    </w:p>
    <w:p>
      <w:pPr>
        <w:spacing w:before="0" w:after="0" w:line="240" w:lineRule="auto"/>
        <w:ind w:left="230"/>
        <w:shd w:val="clear" w:color="auto" w:fill="F7F9FC"/>
        <w:pBdr>
          <w:left w:val="single" w:sz="4" w:space="6" w:color="D0D5DD"/>
        </w:pBdr>
      </w:pPr>
      <w:r>
        <w:rPr>
          <w:rFonts w:ascii="Consolas" w:hAnsi="Consolas"/>
          <w:color w:val="0B1F3A"/>
          <w:sz w:val="16"/>
        </w:rPr>
        <w:t xml:space="preserve">   | or incident     |  members the  |               |  platform-wide</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truth        |               |  freeze with</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a reason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recorded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correction to a financial record, by ANY role including super_admin:</w:t>
      </w:r>
    </w:p>
    <w:p>
      <w:pPr>
        <w:spacing w:before="0" w:after="0" w:line="240" w:lineRule="auto"/>
        <w:ind w:left="230"/>
        <w:shd w:val="clear" w:color="auto" w:fill="F7F9FC"/>
        <w:pBdr>
          <w:left w:val="single" w:sz="4" w:space="6" w:color="D0D5DD"/>
        </w:pBdr>
      </w:pPr>
      <w:r>
        <w:rPr>
          <w:rFonts w:ascii="Consolas" w:hAnsi="Consolas"/>
          <w:color w:val="0B1F3A"/>
          <w:sz w:val="16"/>
        </w:rPr>
        <w:t xml:space="preserve">   |                 NO. A reversing entry is the only correction. BR-025.</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Every intervention above lands in audit_logs with actor, role,</w:t>
      </w:r>
    </w:p>
    <w:p>
      <w:pPr>
        <w:spacing w:before="0" w:after="0" w:line="240" w:lineRule="auto"/>
        <w:ind w:left="230"/>
        <w:shd w:val="clear" w:color="auto" w:fill="F7F9FC"/>
        <w:pBdr>
          <w:left w:val="single" w:sz="4" w:space="6" w:color="D0D5DD"/>
        </w:pBdr>
      </w:pPr>
      <w:r>
        <w:rPr>
          <w:rFonts w:ascii="Consolas" w:hAnsi="Consolas"/>
          <w:color w:val="0B1F3A"/>
          <w:sz w:val="16"/>
        </w:rPr>
        <w:t xml:space="preserve">   | timestamp, before value, after value and reason. Append-only:</w:t>
      </w:r>
    </w:p>
    <w:p>
      <w:pPr>
        <w:spacing w:before="0" w:after="0" w:line="240" w:lineRule="auto"/>
        <w:ind w:left="230"/>
        <w:shd w:val="clear" w:color="auto" w:fill="F7F9FC"/>
        <w:pBdr>
          <w:left w:val="single" w:sz="4" w:space="6" w:color="D0D5DD"/>
        </w:pBdr>
      </w:pPr>
      <w:r>
        <w:rPr>
          <w:rFonts w:ascii="Consolas" w:hAnsi="Consolas"/>
          <w:color w:val="0B1F3A"/>
          <w:sz w:val="16"/>
        </w:rPr>
        <w:t xml:space="preserve">   | readable by every admin role, writable by none. NFR-AUD-004.</w:t>
      </w:r>
    </w:p>
    <w:p>
      <w:pPr>
        <w:pStyle w:val="Heading3"/>
      </w:pPr>
      <w:r>
        <w:rPr>
          <w:rFonts w:ascii="Calibri" w:hAnsi="Calibri"/>
          <w:b/>
          <w:i w:val="0"/>
          <w:color w:val="0B1F3A"/>
          <w:sz w:val="24"/>
        </w:rPr>
        <w:t>2.16.3 Step detail</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706"/>
            <w:shd w:val="clear" w:color="auto" w:fill="0B1F3A"/>
            <w:tcMar>
              <w:top w:w="60" w:type="dxa"/>
              <w:start w:w="110" w:type="dxa"/>
              <w:bottom w:w="60" w:type="dxa"/>
              <w:end w:w="110" w:type="dxa"/>
            </w:tcMar>
          </w:tcPr>
          <w:p>
            <w:pPr>
              <w:spacing w:after="0"/>
            </w:pPr>
            <w:r/>
            <w:r>
              <w:rPr>
                <w:rFonts w:ascii="Calibri" w:hAnsi="Calibri"/>
                <w:b/>
                <w:i w:val="0"/>
                <w:color w:val="FFFFFF"/>
                <w:sz w:val="14"/>
              </w:rPr>
              <w:t>Step</w:t>
            </w:r>
          </w:p>
        </w:tc>
        <w:tc>
          <w:tcPr>
            <w:tcW w:type="dxa" w:w="1325"/>
            <w:shd w:val="clear" w:color="auto" w:fill="0B1F3A"/>
            <w:tcMar>
              <w:top w:w="60" w:type="dxa"/>
              <w:start w:w="110" w:type="dxa"/>
              <w:bottom w:w="60" w:type="dxa"/>
              <w:end w:w="110" w:type="dxa"/>
            </w:tcMar>
          </w:tcPr>
          <w:p>
            <w:pPr>
              <w:spacing w:after="0"/>
            </w:pPr>
            <w:r/>
            <w:r>
              <w:rPr>
                <w:rFonts w:ascii="Calibri" w:hAnsi="Calibri"/>
                <w:b/>
                <w:i w:val="0"/>
                <w:color w:val="FFFFFF"/>
                <w:sz w:val="14"/>
              </w:rPr>
              <w:t>Actor</w:t>
            </w:r>
          </w:p>
        </w:tc>
        <w:tc>
          <w:tcPr>
            <w:tcW w:type="dxa" w:w="1210"/>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2002"/>
            <w:shd w:val="clear" w:color="auto" w:fill="0B1F3A"/>
            <w:tcMar>
              <w:top w:w="60" w:type="dxa"/>
              <w:start w:w="110" w:type="dxa"/>
              <w:bottom w:w="60" w:type="dxa"/>
              <w:end w:w="110" w:type="dxa"/>
            </w:tcMar>
          </w:tcPr>
          <w:p>
            <w:pPr>
              <w:spacing w:after="0"/>
            </w:pPr>
            <w:r/>
            <w:r>
              <w:rPr>
                <w:rFonts w:ascii="Calibri" w:hAnsi="Calibri"/>
                <w:b/>
                <w:i w:val="0"/>
                <w:color w:val="FFFFFF"/>
                <w:sz w:val="14"/>
              </w:rPr>
              <w:t>Action</w:t>
            </w:r>
          </w:p>
        </w:tc>
        <w:tc>
          <w:tcPr>
            <w:tcW w:type="dxa" w:w="2808"/>
            <w:shd w:val="clear" w:color="auto" w:fill="0B1F3A"/>
            <w:tcMar>
              <w:top w:w="60" w:type="dxa"/>
              <w:start w:w="110" w:type="dxa"/>
              <w:bottom w:w="60" w:type="dxa"/>
              <w:end w:w="110" w:type="dxa"/>
            </w:tcMar>
          </w:tcPr>
          <w:p>
            <w:pPr>
              <w:spacing w:after="0"/>
            </w:pPr>
            <w:r/>
            <w:r>
              <w:rPr>
                <w:rFonts w:ascii="Calibri" w:hAnsi="Calibri"/>
                <w:b/>
                <w:i w:val="0"/>
                <w:color w:val="FFFFFF"/>
                <w:sz w:val="14"/>
              </w:rPr>
              <w:t>System response</w:t>
            </w:r>
          </w:p>
        </w:tc>
        <w:tc>
          <w:tcPr>
            <w:tcW w:type="dxa" w:w="1310"/>
            <w:shd w:val="clear" w:color="auto" w:fill="0B1F3A"/>
            <w:tcMar>
              <w:top w:w="60" w:type="dxa"/>
              <w:start w:w="110" w:type="dxa"/>
              <w:bottom w:w="60" w:type="dxa"/>
              <w:end w:w="110" w:type="dxa"/>
            </w:tcMar>
          </w:tcPr>
          <w:p>
            <w:pPr>
              <w:spacing w:after="0"/>
            </w:pPr>
            <w:r/>
            <w:r>
              <w:rPr>
                <w:rFonts w:ascii="Calibri" w:hAnsi="Calibri"/>
                <w:b/>
                <w:i w:val="0"/>
                <w:color w:val="FFFFFF"/>
                <w:sz w:val="14"/>
              </w:rPr>
              <w:t>Rule ref</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2.16.1</w:t>
            </w:r>
          </w:p>
        </w:tc>
        <w:tc>
          <w:tcPr>
            <w:tcW w:type="dxa" w:w="1325"/>
            <w:tcMar>
              <w:top w:w="60" w:type="dxa"/>
              <w:start w:w="110" w:type="dxa"/>
              <w:bottom w:w="60" w:type="dxa"/>
              <w:end w:w="110" w:type="dxa"/>
            </w:tcMar>
          </w:tcPr>
          <w:p>
            <w:pPr>
              <w:spacing w:after="0"/>
            </w:pPr>
            <w:r/>
            <w:r>
              <w:rPr>
                <w:rFonts w:ascii="Calibri" w:hAnsi="Calibri"/>
                <w:b w:val="0"/>
                <w:i w:val="0"/>
                <w:color w:val="101828"/>
                <w:sz w:val="14"/>
              </w:rPr>
              <w:t>Support</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SCR-ADM-02</w:t>
            </w:r>
          </w:p>
        </w:tc>
        <w:tc>
          <w:tcPr>
            <w:tcW w:type="dxa" w:w="2002"/>
            <w:tcMar>
              <w:top w:w="60" w:type="dxa"/>
              <w:start w:w="110" w:type="dxa"/>
              <w:bottom w:w="60" w:type="dxa"/>
              <w:end w:w="110" w:type="dxa"/>
            </w:tcMar>
          </w:tcPr>
          <w:p>
            <w:pPr>
              <w:spacing w:after="0"/>
            </w:pPr>
            <w:r/>
            <w:r>
              <w:rPr>
                <w:rFonts w:ascii="Calibri" w:hAnsi="Calibri"/>
                <w:b w:val="0"/>
                <w:i w:val="0"/>
                <w:color w:val="101828"/>
                <w:sz w:val="14"/>
              </w:rPr>
              <w:t>Investigates: organiser unavailable, member unreachable, Ajo stalled, question about a receipt.</w:t>
            </w:r>
          </w:p>
        </w:tc>
        <w:tc>
          <w:tcPr>
            <w:tcW w:type="dxa" w:w="2808"/>
            <w:tcMar>
              <w:top w:w="60" w:type="dxa"/>
              <w:start w:w="110" w:type="dxa"/>
              <w:bottom w:w="60" w:type="dxa"/>
              <w:end w:w="110" w:type="dxa"/>
            </w:tcMar>
          </w:tcPr>
          <w:p>
            <w:pPr>
              <w:spacing w:after="0"/>
            </w:pPr>
            <w:r/>
            <w:r>
              <w:rPr>
                <w:rFonts w:ascii="Calibri" w:hAnsi="Calibri"/>
                <w:b w:val="0"/>
                <w:i w:val="0"/>
                <w:color w:val="101828"/>
                <w:sz w:val="14"/>
              </w:rPr>
              <w:t>Support searches and reads users, Ajos, contributions, payments, payouts, disputes and audit logs. Every mutation control is absent from the interface and every mutation endpoint rejects the role with a recorded attempt.</w:t>
            </w:r>
          </w:p>
        </w:tc>
        <w:tc>
          <w:tcPr>
            <w:tcW w:type="dxa" w:w="1310"/>
            <w:tcMar>
              <w:top w:w="60" w:type="dxa"/>
              <w:start w:w="110" w:type="dxa"/>
              <w:bottom w:w="60" w:type="dxa"/>
              <w:end w:w="110" w:type="dxa"/>
            </w:tcMar>
          </w:tcPr>
          <w:p>
            <w:pPr>
              <w:spacing w:after="0"/>
            </w:pPr>
            <w:r/>
            <w:r>
              <w:rPr>
                <w:rFonts w:ascii="Calibri" w:hAnsi="Calibri"/>
                <w:b w:val="0"/>
                <w:i w:val="0"/>
                <w:color w:val="101828"/>
                <w:sz w:val="14"/>
              </w:rPr>
              <w:t>FR-ADM-004, US-37, BR-023, FR-ADM-001</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2.16.2</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Support</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SCR-APP-13</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Contacts the parties and explains the options.</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Support may assist and propose. It may not initiate or moderate a payout, change a balance, or override a risk decision. The member-visible outcome is always an explanation, never a number that has been moved.</w:t>
            </w:r>
          </w:p>
        </w:tc>
        <w:tc>
          <w:tcPr>
            <w:tcW w:type="dxa" w:w="1310"/>
            <w:tcMar>
              <w:top w:w="60" w:type="dxa"/>
              <w:start w:w="110" w:type="dxa"/>
              <w:bottom w:w="60" w:type="dxa"/>
              <w:end w:w="110" w:type="dxa"/>
            </w:tcMar>
            <w:shd w:val="clear" w:color="auto" w:fill="F4F7FB"/>
          </w:tcPr>
          <w:p>
            <w:pPr>
              <w:spacing w:after="0"/>
            </w:pPr>
            <w:r/>
            <w:r>
              <w:rPr>
                <w:rFonts w:ascii="Calibri" w:hAnsi="Calibri"/>
                <w:b w:val="0"/>
                <w:i w:val="0"/>
                <w:color w:val="101828"/>
                <w:sz w:val="14"/>
              </w:rPr>
              <w:t>CAN §2, FR-ADM-012, BR-023</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2.16.3</w:t>
            </w:r>
          </w:p>
        </w:tc>
        <w:tc>
          <w:tcPr>
            <w:tcW w:type="dxa" w:w="1325"/>
            <w:tcMar>
              <w:top w:w="60" w:type="dxa"/>
              <w:start w:w="110" w:type="dxa"/>
              <w:bottom w:w="60" w:type="dxa"/>
              <w:end w:w="110" w:type="dxa"/>
            </w:tcMar>
          </w:tcPr>
          <w:p>
            <w:pPr>
              <w:spacing w:after="0"/>
            </w:pPr>
            <w:r/>
            <w:r>
              <w:rPr>
                <w:rFonts w:ascii="Calibri" w:hAnsi="Calibri"/>
                <w:b w:val="0"/>
                <w:i w:val="0"/>
                <w:color w:val="101828"/>
                <w:sz w:val="14"/>
              </w:rPr>
              <w:t>Risk officer</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SCR-ADM-05</w:t>
            </w:r>
          </w:p>
        </w:tc>
        <w:tc>
          <w:tcPr>
            <w:tcW w:type="dxa" w:w="2002"/>
            <w:tcMar>
              <w:top w:w="60" w:type="dxa"/>
              <w:start w:w="110" w:type="dxa"/>
              <w:bottom w:w="60" w:type="dxa"/>
              <w:end w:w="110" w:type="dxa"/>
            </w:tcMar>
          </w:tcPr>
          <w:p>
            <w:pPr>
              <w:spacing w:after="0"/>
            </w:pPr>
            <w:r/>
            <w:r>
              <w:rPr>
                <w:rFonts w:ascii="Calibri" w:hAnsi="Calibri"/>
                <w:b w:val="0"/>
                <w:i w:val="0"/>
                <w:color w:val="101828"/>
                <w:sz w:val="14"/>
              </w:rPr>
              <w:t>Places an account or Ajo under review, freezes, approves or rejects overrides, manages limits.</w:t>
            </w:r>
          </w:p>
        </w:tc>
        <w:tc>
          <w:tcPr>
            <w:tcW w:type="dxa" w:w="2808"/>
            <w:tcMar>
              <w:top w:w="60" w:type="dxa"/>
              <w:start w:w="110" w:type="dxa"/>
              <w:bottom w:w="60" w:type="dxa"/>
              <w:end w:w="110" w:type="dxa"/>
            </w:tcMar>
          </w:tcPr>
          <w:p>
            <w:pPr>
              <w:spacing w:after="0"/>
            </w:pPr>
            <w:r/>
            <w:r>
              <w:rPr>
                <w:rFonts w:ascii="Calibri" w:hAnsi="Calibri"/>
                <w:b w:val="0"/>
                <w:i w:val="0"/>
                <w:color w:val="101828"/>
                <w:sz w:val="14"/>
              </w:rPr>
              <w:t xml:space="preserve">Every risk decision records trigger, evidence, decision, rationale and officer identity, and is visible in the Risk screen. An exception from reconciliation creates a </w:t>
            </w:r>
            <w:r>
              <w:rPr>
                <w:rFonts w:ascii="Consolas" w:hAnsi="Consolas"/>
                <w:color w:val="146EF5"/>
                <w:sz w:val="14"/>
              </w:rPr>
              <w:t>risk_events</w:t>
            </w:r>
            <w:r>
              <w:rPr>
                <w:rFonts w:ascii="Calibri" w:hAnsi="Calibri"/>
                <w:b w:val="0"/>
                <w:i w:val="0"/>
                <w:color w:val="101828"/>
                <w:sz w:val="14"/>
              </w:rPr>
              <w:t xml:space="preserve"> row that cannot be silently closed.</w:t>
            </w:r>
          </w:p>
        </w:tc>
        <w:tc>
          <w:tcPr>
            <w:tcW w:type="dxa" w:w="1310"/>
            <w:tcMar>
              <w:top w:w="60" w:type="dxa"/>
              <w:start w:w="110" w:type="dxa"/>
              <w:bottom w:w="60" w:type="dxa"/>
              <w:end w:w="110" w:type="dxa"/>
            </w:tcMar>
          </w:tcPr>
          <w:p>
            <w:pPr>
              <w:spacing w:after="0"/>
            </w:pPr>
            <w:r/>
            <w:r>
              <w:rPr>
                <w:rFonts w:ascii="Calibri" w:hAnsi="Calibri"/>
                <w:b w:val="0"/>
                <w:i w:val="0"/>
                <w:color w:val="101828"/>
                <w:sz w:val="14"/>
              </w:rPr>
              <w:t>FR-ADM-005, FR-ADM-006, FR-ADM-011, NFR-AUD-003, NFR-AUD-005</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2.16.4</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Risk officer</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SCR-ADM-03</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Handles the organiser-disappears case.</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The Ajo is placed under review, the members are told the truth in plain language, the organiser delegation path is offered, and the round's funding position is stated exactly. The Ajo is never allowed to fail silently, because silent failure is the failure mode with no complaints and no returns.</w:t>
            </w:r>
          </w:p>
        </w:tc>
        <w:tc>
          <w:tcPr>
            <w:tcW w:type="dxa" w:w="1310"/>
            <w:tcMar>
              <w:top w:w="60" w:type="dxa"/>
              <w:start w:w="110" w:type="dxa"/>
              <w:bottom w:w="60" w:type="dxa"/>
              <w:end w:w="110" w:type="dxa"/>
            </w:tcMar>
            <w:shd w:val="clear" w:color="auto" w:fill="F4F7FB"/>
          </w:tcPr>
          <w:p>
            <w:pPr>
              <w:spacing w:after="0"/>
            </w:pPr>
            <w:r/>
            <w:r>
              <w:rPr>
                <w:rFonts w:ascii="Calibri" w:hAnsi="Calibri"/>
                <w:b w:val="0"/>
                <w:i w:val="0"/>
                <w:color w:val="101828"/>
                <w:sz w:val="14"/>
              </w:rPr>
              <w:t>FR-AJO-012, N12, NFR-AVL-003, EC-085</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2.16.5</w:t>
            </w:r>
          </w:p>
        </w:tc>
        <w:tc>
          <w:tcPr>
            <w:tcW w:type="dxa" w:w="1325"/>
            <w:tcMar>
              <w:top w:w="60" w:type="dxa"/>
              <w:start w:w="110" w:type="dxa"/>
              <w:bottom w:w="60" w:type="dxa"/>
              <w:end w:w="110" w:type="dxa"/>
            </w:tcMar>
          </w:tcPr>
          <w:p>
            <w:pPr>
              <w:spacing w:after="0"/>
            </w:pPr>
            <w:r/>
            <w:r>
              <w:rPr>
                <w:rFonts w:ascii="Calibri" w:hAnsi="Calibri"/>
                <w:b w:val="0"/>
                <w:i w:val="0"/>
                <w:color w:val="101828"/>
                <w:sz w:val="14"/>
              </w:rPr>
              <w:t>Risk officer</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SCR-ADM-03</w:t>
            </w:r>
          </w:p>
        </w:tc>
        <w:tc>
          <w:tcPr>
            <w:tcW w:type="dxa" w:w="2002"/>
            <w:tcMar>
              <w:top w:w="60" w:type="dxa"/>
              <w:start w:w="110" w:type="dxa"/>
              <w:bottom w:w="60" w:type="dxa"/>
              <w:end w:w="110" w:type="dxa"/>
            </w:tcMar>
          </w:tcPr>
          <w:p>
            <w:pPr>
              <w:spacing w:after="0"/>
            </w:pPr>
            <w:r/>
            <w:r>
              <w:rPr>
                <w:rFonts w:ascii="Calibri" w:hAnsi="Calibri"/>
                <w:b w:val="0"/>
                <w:i w:val="0"/>
                <w:color w:val="101828"/>
                <w:sz w:val="14"/>
              </w:rPr>
              <w:t>Handles a stalled or unfundable round.</w:t>
            </w:r>
          </w:p>
        </w:tc>
        <w:tc>
          <w:tcPr>
            <w:tcW w:type="dxa" w:w="2808"/>
            <w:tcMar>
              <w:top w:w="60" w:type="dxa"/>
              <w:start w:w="110" w:type="dxa"/>
              <w:bottom w:w="60" w:type="dxa"/>
              <w:end w:w="110" w:type="dxa"/>
            </w:tcMar>
          </w:tcPr>
          <w:p>
            <w:pPr>
              <w:spacing w:after="0"/>
            </w:pPr>
            <w:r/>
            <w:r>
              <w:rPr>
                <w:rFonts w:ascii="Calibri" w:hAnsi="Calibri"/>
                <w:b w:val="0"/>
                <w:i w:val="0"/>
                <w:color w:val="101828"/>
                <w:sz w:val="14"/>
              </w:rPr>
              <w:t>The payout is HELD with the shortfall stated. The recovery process runs. No reduced payout, no corporate funds, and no other member is charged extra.</w:t>
            </w:r>
          </w:p>
        </w:tc>
        <w:tc>
          <w:tcPr>
            <w:tcW w:type="dxa" w:w="1310"/>
            <w:tcMar>
              <w:top w:w="60" w:type="dxa"/>
              <w:start w:w="110" w:type="dxa"/>
              <w:bottom w:w="60" w:type="dxa"/>
              <w:end w:w="110" w:type="dxa"/>
            </w:tcMar>
          </w:tcPr>
          <w:p>
            <w:pPr>
              <w:spacing w:after="0"/>
            </w:pPr>
            <w:r/>
            <w:r>
              <w:rPr>
                <w:rFonts w:ascii="Calibri" w:hAnsi="Calibri"/>
                <w:b w:val="0"/>
                <w:i w:val="0"/>
                <w:color w:val="101828"/>
                <w:sz w:val="14"/>
              </w:rPr>
              <w:t>BR-018, BR-015, BR-017, G4, K-14</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2.16.6</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Super admin</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SCR-ADM-09</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Configures platform settings and executes an emergency freeze.</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Settings changes, including fee configuration, limits and thresholds, are versioned, effective-dated and audited, and never alter historical ledger entries. An emergency freeze halts all money movement with the reason recorded.</w:t>
            </w:r>
          </w:p>
        </w:tc>
        <w:tc>
          <w:tcPr>
            <w:tcW w:type="dxa" w:w="1310"/>
            <w:tcMar>
              <w:top w:w="60" w:type="dxa"/>
              <w:start w:w="110" w:type="dxa"/>
              <w:bottom w:w="60" w:type="dxa"/>
              <w:end w:w="110" w:type="dxa"/>
            </w:tcMar>
            <w:shd w:val="clear" w:color="auto" w:fill="F4F7FB"/>
          </w:tcPr>
          <w:p>
            <w:pPr>
              <w:spacing w:after="0"/>
            </w:pPr>
            <w:r/>
            <w:r>
              <w:rPr>
                <w:rFonts w:ascii="Calibri" w:hAnsi="Calibri"/>
                <w:b w:val="0"/>
                <w:i w:val="0"/>
                <w:color w:val="101828"/>
                <w:sz w:val="14"/>
              </w:rPr>
              <w:t>FR-ADM-007, FR-ADM-010, BR-026, C-01</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2.16.7</w:t>
            </w:r>
          </w:p>
        </w:tc>
        <w:tc>
          <w:tcPr>
            <w:tcW w:type="dxa" w:w="1325"/>
            <w:tcMar>
              <w:top w:w="60" w:type="dxa"/>
              <w:start w:w="110" w:type="dxa"/>
              <w:bottom w:w="60" w:type="dxa"/>
              <w:end w:w="110" w:type="dxa"/>
            </w:tcMar>
          </w:tcPr>
          <w:p>
            <w:pPr>
              <w:spacing w:after="0"/>
            </w:pPr>
            <w:r/>
            <w:r>
              <w:rPr>
                <w:rFonts w:ascii="Calibri" w:hAnsi="Calibri"/>
                <w:b w:val="0"/>
                <w:i w:val="0"/>
                <w:color w:val="101828"/>
                <w:sz w:val="14"/>
              </w:rPr>
              <w:t>Super admin or risk officer</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SCR-ADM-08</w:t>
            </w:r>
          </w:p>
        </w:tc>
        <w:tc>
          <w:tcPr>
            <w:tcW w:type="dxa" w:w="2002"/>
            <w:tcMar>
              <w:top w:w="60" w:type="dxa"/>
              <w:start w:w="110" w:type="dxa"/>
              <w:bottom w:w="60" w:type="dxa"/>
              <w:end w:w="110" w:type="dxa"/>
            </w:tcMar>
          </w:tcPr>
          <w:p>
            <w:pPr>
              <w:spacing w:after="0"/>
            </w:pPr>
            <w:r/>
            <w:r>
              <w:rPr>
                <w:rFonts w:ascii="Calibri" w:hAnsi="Calibri"/>
                <w:b w:val="0"/>
                <w:i w:val="0"/>
                <w:color w:val="101828"/>
                <w:sz w:val="14"/>
              </w:rPr>
              <w:t>Corrects a financial record.</w:t>
            </w:r>
          </w:p>
        </w:tc>
        <w:tc>
          <w:tcPr>
            <w:tcW w:type="dxa" w:w="2808"/>
            <w:tcMar>
              <w:top w:w="60" w:type="dxa"/>
              <w:start w:w="110" w:type="dxa"/>
              <w:bottom w:w="60" w:type="dxa"/>
              <w:end w:w="110" w:type="dxa"/>
            </w:tcMar>
          </w:tcPr>
          <w:p>
            <w:pPr>
              <w:spacing w:after="0"/>
            </w:pPr>
            <w:r/>
            <w:r>
              <w:rPr>
                <w:rFonts w:ascii="Calibri" w:hAnsi="Calibri"/>
                <w:b/>
                <w:color w:val="101828"/>
                <w:sz w:val="14"/>
              </w:rPr>
              <w:t>No role, including `super_admin`, may edit or delete a ledger entry.</w:t>
            </w:r>
            <w:r>
              <w:rPr>
                <w:rFonts w:ascii="Calibri" w:hAnsi="Calibri"/>
                <w:b w:val="0"/>
                <w:i w:val="0"/>
                <w:color w:val="101828"/>
                <w:sz w:val="14"/>
              </w:rPr>
              <w:t xml:space="preserve"> The only correction is a reversing entry, posted through the same balanced, audited path as any other transaction. This is the single hardest constraint in the product and it is enforced at the data layer, not in the user interface.</w:t>
            </w:r>
          </w:p>
        </w:tc>
        <w:tc>
          <w:tcPr>
            <w:tcW w:type="dxa" w:w="1310"/>
            <w:tcMar>
              <w:top w:w="60" w:type="dxa"/>
              <w:start w:w="110" w:type="dxa"/>
              <w:bottom w:w="60" w:type="dxa"/>
              <w:end w:w="110" w:type="dxa"/>
            </w:tcMar>
          </w:tcPr>
          <w:p>
            <w:pPr>
              <w:spacing w:after="0"/>
            </w:pPr>
            <w:r/>
            <w:r>
              <w:rPr>
                <w:rFonts w:ascii="Calibri" w:hAnsi="Calibri"/>
                <w:b w:val="0"/>
                <w:i w:val="0"/>
                <w:color w:val="101828"/>
                <w:sz w:val="14"/>
              </w:rPr>
              <w:t>BR-025, BR-013, G6, C-05, FR-ADM-002</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2.16.8</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All admin roles</w:t>
            </w:r>
          </w:p>
        </w:tc>
        <w:tc>
          <w:tcPr>
            <w:tcW w:type="dxa" w:w="1210"/>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SCR-ADM-08</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Reads the audit log.</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Filterable by actor, role, entity, action and date range, and read-only to every role including </w:t>
            </w:r>
            <w:r>
              <w:rPr>
                <w:rFonts w:ascii="Consolas" w:hAnsi="Consolas"/>
                <w:color w:val="146EF5"/>
                <w:sz w:val="14"/>
              </w:rPr>
              <w:t>super_admin</w:t>
            </w:r>
            <w:r>
              <w:rPr>
                <w:rFonts w:ascii="Calibri" w:hAnsi="Calibri"/>
                <w:b w:val="0"/>
                <w:i w:val="0"/>
                <w:color w:val="101828"/>
                <w:sz w:val="14"/>
              </w:rPr>
              <w:t>. There is no write path, by construction.</w:t>
            </w:r>
          </w:p>
        </w:tc>
        <w:tc>
          <w:tcPr>
            <w:tcW w:type="dxa" w:w="1310"/>
            <w:tcMar>
              <w:top w:w="60" w:type="dxa"/>
              <w:start w:w="110" w:type="dxa"/>
              <w:bottom w:w="60" w:type="dxa"/>
              <w:end w:w="110" w:type="dxa"/>
            </w:tcMar>
            <w:shd w:val="clear" w:color="auto" w:fill="F4F7FB"/>
          </w:tcPr>
          <w:p>
            <w:pPr>
              <w:spacing w:after="0"/>
            </w:pPr>
            <w:r/>
            <w:r>
              <w:rPr>
                <w:rFonts w:ascii="Calibri" w:hAnsi="Calibri"/>
                <w:b w:val="0"/>
                <w:i w:val="0"/>
                <w:color w:val="101828"/>
                <w:sz w:val="14"/>
              </w:rPr>
              <w:t>FR-ADM-008, NFR-AUD-004, FR-ADM-003</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2.16.9</w:t>
            </w:r>
          </w:p>
        </w:tc>
        <w:tc>
          <w:tcPr>
            <w:tcW w:type="dxa" w:w="1325"/>
            <w:tcMar>
              <w:top w:w="60" w:type="dxa"/>
              <w:start w:w="110" w:type="dxa"/>
              <w:bottom w:w="60" w:type="dxa"/>
              <w:end w:w="110" w:type="dxa"/>
            </w:tcMar>
          </w:tcPr>
          <w:p>
            <w:pPr>
              <w:spacing w:after="0"/>
            </w:pPr>
            <w:r/>
            <w:r>
              <w:rPr>
                <w:rFonts w:ascii="Calibri" w:hAnsi="Calibri"/>
                <w:b w:val="0"/>
                <w:i w:val="0"/>
                <w:color w:val="101828"/>
                <w:sz w:val="14"/>
              </w:rPr>
              <w:t>Platform</w:t>
            </w:r>
          </w:p>
        </w:tc>
        <w:tc>
          <w:tcPr>
            <w:tcW w:type="dxa" w:w="1210"/>
            <w:tcMar>
              <w:top w:w="60" w:type="dxa"/>
              <w:start w:w="110" w:type="dxa"/>
              <w:bottom w:w="60" w:type="dxa"/>
              <w:end w:w="110" w:type="dxa"/>
            </w:tcMar>
          </w:tcPr>
          <w:p>
            <w:pPr>
              <w:spacing w:after="0"/>
            </w:pPr>
            <w:r/>
            <w:r>
              <w:rPr>
                <w:rFonts w:ascii="Calibri" w:hAnsi="Calibri"/>
                <w:b w:val="0"/>
                <w:i w:val="0"/>
                <w:color w:val="101828"/>
                <w:sz w:val="14"/>
              </w:rPr>
              <w:t>SCR-ADM-07</w:t>
            </w:r>
          </w:p>
        </w:tc>
        <w:tc>
          <w:tcPr>
            <w:tcW w:type="dxa" w:w="2002"/>
            <w:tcMar>
              <w:top w:w="60" w:type="dxa"/>
              <w:start w:w="110" w:type="dxa"/>
              <w:bottom w:w="60" w:type="dxa"/>
              <w:end w:w="110" w:type="dxa"/>
            </w:tcMar>
          </w:tcPr>
          <w:p>
            <w:pPr>
              <w:spacing w:after="0"/>
            </w:pPr>
            <w:r/>
            <w:r>
              <w:rPr>
                <w:rFonts w:ascii="Calibri" w:hAnsi="Calibri"/>
                <w:b w:val="0"/>
                <w:i w:val="0"/>
                <w:color w:val="101828"/>
                <w:sz w:val="14"/>
              </w:rPr>
              <w:t>Reports on the intervention itself.</w:t>
            </w:r>
          </w:p>
        </w:tc>
        <w:tc>
          <w:tcPr>
            <w:tcW w:type="dxa" w:w="2808"/>
            <w:tcMar>
              <w:top w:w="60" w:type="dxa"/>
              <w:start w:w="110" w:type="dxa"/>
              <w:bottom w:w="60" w:type="dxa"/>
              <w:end w:w="110" w:type="dxa"/>
            </w:tcMar>
          </w:tcPr>
          <w:p>
            <w:pPr>
              <w:spacing w:after="0"/>
            </w:pPr>
            <w:r/>
            <w:r>
              <w:rPr>
                <w:rFonts w:ascii="Calibri" w:hAnsi="Calibri"/>
                <w:b w:val="0"/>
                <w:i w:val="0"/>
                <w:color w:val="101828"/>
                <w:sz w:val="14"/>
              </w:rPr>
              <w:t>Admin reporting covers deposits, volume, fee revenue, active Ajos, defaults, disputes, frozen accounts and reconciliation exceptions, so the health of the operation is measurable rather than anecdotal.</w:t>
            </w:r>
          </w:p>
        </w:tc>
        <w:tc>
          <w:tcPr>
            <w:tcW w:type="dxa" w:w="1310"/>
            <w:tcMar>
              <w:top w:w="60" w:type="dxa"/>
              <w:start w:w="110" w:type="dxa"/>
              <w:bottom w:w="60" w:type="dxa"/>
              <w:end w:w="110" w:type="dxa"/>
            </w:tcMar>
          </w:tcPr>
          <w:p>
            <w:pPr>
              <w:spacing w:after="0"/>
            </w:pPr>
            <w:r/>
            <w:r>
              <w:rPr>
                <w:rFonts w:ascii="Calibri" w:hAnsi="Calibri"/>
                <w:b w:val="0"/>
                <w:i w:val="0"/>
                <w:color w:val="101828"/>
                <w:sz w:val="14"/>
              </w:rPr>
              <w:t>FR-ADM-009, K-01 to K-21, FR-PAY-009</w:t>
            </w:r>
          </w:p>
        </w:tc>
      </w:tr>
    </w:tbl>
    <w:p>
      <w:pPr>
        <w:spacing w:after="80"/>
      </w:pPr>
    </w:p>
    <w:p>
      <w:pPr>
        <w:pStyle w:val="Heading3"/>
      </w:pPr>
      <w:r>
        <w:rPr>
          <w:rFonts w:ascii="Calibri" w:hAnsi="Calibri"/>
          <w:b/>
          <w:i w:val="0"/>
          <w:color w:val="0B1F3A"/>
          <w:sz w:val="24"/>
        </w:rPr>
        <w:t>2.16.4 Happy path</w:t>
      </w:r>
    </w:p>
    <w:p>
      <w:r>
        <w:rPr>
          <w:rFonts w:ascii="Calibri" w:hAnsi="Calibri"/>
          <w:b w:val="0"/>
          <w:i w:val="0"/>
          <w:color w:val="101828"/>
          <w:sz w:val="21"/>
        </w:rPr>
        <w:t>An organiser is hospitalised and unreachable for three weeks. A member contacts support. The agent, whose role can read everything and change nothing, sees the Ajo, its round, its funding progress, its members' contribution states and the full audit history, and calls the members to tell them what is true: the Ajo is running, the contributions are recorded, the round is short by NGN 1,000.00, and nothing has been lost. The risk officer places the Ajo under review with a recorded reason, and the organiser delegation path is offered to a verified member who is willing to take it. The missing contribution arrives. The round funds, the payout is released in full, and the Ajo completes three weeks late instead of dying quietly. Every action taken along the way is in the audit log with an actor, a role, a timestamp and a reason, and the one thing nobody did was edit a financial record.</w:t>
      </w:r>
    </w:p>
    <w:p>
      <w:pPr>
        <w:pStyle w:val="Heading3"/>
      </w:pPr>
      <w:r>
        <w:rPr>
          <w:rFonts w:ascii="Calibri" w:hAnsi="Calibri"/>
          <w:b/>
          <w:i w:val="0"/>
          <w:color w:val="0B1F3A"/>
          <w:sz w:val="24"/>
        </w:rPr>
        <w:t>2.16.5 Alternates and failure branches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42"/>
            <w:shd w:val="clear" w:color="auto" w:fill="0B1F3A"/>
            <w:tcMar>
              <w:top w:w="60" w:type="dxa"/>
              <w:start w:w="110" w:type="dxa"/>
              <w:bottom w:w="60" w:type="dxa"/>
              <w:end w:w="110" w:type="dxa"/>
            </w:tcMar>
          </w:tcPr>
          <w:p>
            <w:pPr>
              <w:spacing w:after="0"/>
            </w:pPr>
            <w:r/>
            <w:r>
              <w:rPr>
                <w:rFonts w:ascii="Calibri" w:hAnsi="Calibri"/>
                <w:b/>
                <w:i w:val="0"/>
                <w:color w:val="FFFFFF"/>
                <w:sz w:val="14"/>
              </w:rPr>
              <w:t>Condition</w:t>
            </w:r>
          </w:p>
        </w:tc>
        <w:tc>
          <w:tcPr>
            <w:tcW w:type="dxa" w:w="2146"/>
            <w:shd w:val="clear" w:color="auto" w:fill="0B1F3A"/>
            <w:tcMar>
              <w:top w:w="60" w:type="dxa"/>
              <w:start w:w="110" w:type="dxa"/>
              <w:bottom w:w="60" w:type="dxa"/>
              <w:end w:w="110" w:type="dxa"/>
            </w:tcMar>
          </w:tcPr>
          <w:p>
            <w:pPr>
              <w:spacing w:after="0"/>
            </w:pPr>
            <w:r/>
            <w:r>
              <w:rPr>
                <w:rFonts w:ascii="Calibri" w:hAnsi="Calibri"/>
                <w:b/>
                <w:i w:val="0"/>
                <w:color w:val="FFFFFF"/>
                <w:sz w:val="14"/>
              </w:rPr>
              <w:t>Branch</w:t>
            </w:r>
          </w:p>
        </w:tc>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4"/>
              </w:rPr>
              <w:t>Message</w:t>
            </w:r>
          </w:p>
        </w:tc>
        <w:tc>
          <w:tcPr>
            <w:tcW w:type="dxa" w:w="2491"/>
            <w:shd w:val="clear" w:color="auto" w:fill="0B1F3A"/>
            <w:tcMar>
              <w:top w:w="60" w:type="dxa"/>
              <w:start w:w="110" w:type="dxa"/>
              <w:bottom w:w="60" w:type="dxa"/>
              <w:end w:w="110" w:type="dxa"/>
            </w:tcMar>
          </w:tcPr>
          <w:p>
            <w:pPr>
              <w:spacing w:after="0"/>
            </w:pPr>
            <w:r/>
            <w:r>
              <w:rPr>
                <w:rFonts w:ascii="Calibri" w:hAnsi="Calibri"/>
                <w:b/>
                <w:i w:val="0"/>
                <w:color w:val="FFFFFF"/>
                <w:sz w:val="14"/>
              </w:rPr>
              <w:t>Recovery</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A support agent is asked to release a payout for a member</w:t>
            </w:r>
          </w:p>
        </w:tc>
        <w:tc>
          <w:tcPr>
            <w:tcW w:type="dxa" w:w="2146"/>
            <w:tcMar>
              <w:top w:w="60" w:type="dxa"/>
              <w:start w:w="110" w:type="dxa"/>
              <w:bottom w:w="60" w:type="dxa"/>
              <w:end w:w="110" w:type="dxa"/>
            </w:tcMar>
          </w:tcPr>
          <w:p>
            <w:pPr>
              <w:spacing w:after="0"/>
            </w:pPr>
            <w:r/>
            <w:r>
              <w:rPr>
                <w:rFonts w:ascii="Calibri" w:hAnsi="Calibri"/>
                <w:b w:val="0"/>
                <w:i w:val="0"/>
                <w:color w:val="101828"/>
                <w:sz w:val="14"/>
              </w:rPr>
              <w:t>Refused by role, and the attempt is recorded in the audit log as an authorisation failure.</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SCR-ADM-04</w:t>
            </w:r>
          </w:p>
        </w:tc>
        <w:tc>
          <w:tcPr>
            <w:tcW w:type="dxa" w:w="1944"/>
            <w:tcMar>
              <w:top w:w="60" w:type="dxa"/>
              <w:start w:w="110" w:type="dxa"/>
              <w:bottom w:w="60" w:type="dxa"/>
              <w:end w:w="110" w:type="dxa"/>
            </w:tcMar>
          </w:tcPr>
          <w:p>
            <w:pPr>
              <w:spacing w:after="0"/>
            </w:pPr>
            <w:r/>
            <w:r>
              <w:rPr>
                <w:rFonts w:ascii="Calibri" w:hAnsi="Calibri"/>
                <w:i/>
                <w:color w:val="101828"/>
                <w:sz w:val="14"/>
              </w:rPr>
              <w:t>Your role cannot initiate or moderate a payout. I can escalate this to the risk team.</w:t>
            </w:r>
          </w:p>
        </w:tc>
        <w:tc>
          <w:tcPr>
            <w:tcW w:type="dxa" w:w="2491"/>
            <w:tcMar>
              <w:top w:w="60" w:type="dxa"/>
              <w:start w:w="110" w:type="dxa"/>
              <w:bottom w:w="60" w:type="dxa"/>
              <w:end w:w="110" w:type="dxa"/>
            </w:tcMar>
          </w:tcPr>
          <w:p>
            <w:pPr>
              <w:spacing w:after="0"/>
            </w:pPr>
            <w:r/>
            <w:r>
              <w:rPr>
                <w:rFonts w:ascii="Calibri" w:hAnsi="Calibri"/>
                <w:b w:val="0"/>
                <w:i w:val="0"/>
                <w:color w:val="101828"/>
                <w:sz w:val="14"/>
              </w:rPr>
              <w:t>Escalation. BR-023, FR-ADM-012, EC-079.</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A super admin is asked to fix a wrong ledger entry by editing it</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at the data layer, not in the interface. The only path is a reversing entry, which is visible as a separate, balanced, attributed transaction.</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SCR-ADM-08</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Ledger entries cannot be edited or deleted by any role. I can post a reversing entry, which will show as its own transaction.</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Reversing entry. BR-025, C-05, G6, EC-081.</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The organiser is permanently unreachable</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Ajo does not silently stall. It goes under review, members are told, delegation is offered, and if the round cannot be funded the payout is HELD and recovery runs. The Ajo is eventually cancelled with a recorded reason, not abandoned.</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SCR-APP-05 / SCR-ADM-03</w:t>
            </w:r>
          </w:p>
        </w:tc>
        <w:tc>
          <w:tcPr>
            <w:tcW w:type="dxa" w:w="1944"/>
            <w:tcMar>
              <w:top w:w="60" w:type="dxa"/>
              <w:start w:w="110" w:type="dxa"/>
              <w:bottom w:w="60" w:type="dxa"/>
              <w:end w:w="110" w:type="dxa"/>
            </w:tcMar>
          </w:tcPr>
          <w:p>
            <w:pPr>
              <w:spacing w:after="0"/>
            </w:pPr>
            <w:r/>
            <w:r>
              <w:rPr>
                <w:rFonts w:ascii="Calibri" w:hAnsi="Calibri"/>
                <w:i/>
                <w:color w:val="101828"/>
                <w:sz w:val="14"/>
              </w:rPr>
              <w:t>Your organiser is unreachable. Your money is recorded and safe. Here is what happens next.</w:t>
            </w:r>
          </w:p>
        </w:tc>
        <w:tc>
          <w:tcPr>
            <w:tcW w:type="dxa" w:w="2491"/>
            <w:tcMar>
              <w:top w:w="60" w:type="dxa"/>
              <w:start w:w="110" w:type="dxa"/>
              <w:bottom w:w="60" w:type="dxa"/>
              <w:end w:w="110" w:type="dxa"/>
            </w:tcMar>
          </w:tcPr>
          <w:p>
            <w:pPr>
              <w:spacing w:after="0"/>
            </w:pPr>
            <w:r/>
            <w:r>
              <w:rPr>
                <w:rFonts w:ascii="Calibri" w:hAnsi="Calibri"/>
                <w:b w:val="0"/>
                <w:i w:val="0"/>
                <w:color w:val="101828"/>
                <w:sz w:val="14"/>
              </w:rPr>
              <w:t>Delegation, then formal cancellation. FR-AJO-012, G1, EC-085.</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A risk officer is asked to change the fee to resolve a margin problem</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The fee is locked at 2%, may not be raised silently, and any change is a versioned, effective-dated, audited change disclosed to every existing member in advance and never applied retrospectively.</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SCR-ADM-09</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The 2% fee cannot be changed silently or retrospectively. If it ever changes, every member is told before it applies.</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Founders and Legal. BR-026, C-01, R3, D-03, D-06, EC-143.</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Support and risk are unstaffed, which is the current dependency state</w:t>
            </w:r>
          </w:p>
        </w:tc>
        <w:tc>
          <w:tcPr>
            <w:tcW w:type="dxa" w:w="2146"/>
            <w:tcMar>
              <w:top w:w="60" w:type="dxa"/>
              <w:start w:w="110" w:type="dxa"/>
              <w:bottom w:w="60" w:type="dxa"/>
              <w:end w:w="110" w:type="dxa"/>
            </w:tcMar>
          </w:tcPr>
          <w:p>
            <w:pPr>
              <w:spacing w:after="0"/>
            </w:pPr>
            <w:r/>
            <w:r>
              <w:rPr>
                <w:rFonts w:ascii="Calibri" w:hAnsi="Calibri"/>
                <w:b w:val="0"/>
                <w:i w:val="0"/>
                <w:color w:val="101828"/>
                <w:sz w:val="14"/>
              </w:rPr>
              <w:t>The system still enforces every rule, so nothing becomes unsafe, but the queues grow and cases do not resolve. This is an operational failure, not a technical one, and it is one of the launch gates.</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SCR-ADM-05 / SCR-ADM-04</w:t>
            </w:r>
          </w:p>
        </w:tc>
        <w:tc>
          <w:tcPr>
            <w:tcW w:type="dxa" w:w="1944"/>
            <w:tcMar>
              <w:top w:w="60" w:type="dxa"/>
              <w:start w:w="110" w:type="dxa"/>
              <w:bottom w:w="60" w:type="dxa"/>
              <w:end w:w="110" w:type="dxa"/>
            </w:tcMar>
          </w:tcPr>
          <w:p>
            <w:pPr>
              <w:spacing w:after="0"/>
            </w:pPr>
            <w:r/>
            <w:r>
              <w:rPr>
                <w:rFonts w:ascii="Calibri" w:hAnsi="Calibri"/>
                <w:b w:val="0"/>
                <w:i w:val="0"/>
                <w:color w:val="101828"/>
                <w:sz w:val="14"/>
              </w:rPr>
              <w:t>The admin overview shows queue depth and the age of the oldest unhandled case, so the gap is visible to leadership rather than discovered later.</w:t>
            </w:r>
          </w:p>
        </w:tc>
        <w:tc>
          <w:tcPr>
            <w:tcW w:type="dxa" w:w="2491"/>
            <w:tcMar>
              <w:top w:w="60" w:type="dxa"/>
              <w:start w:w="110" w:type="dxa"/>
              <w:bottom w:w="60" w:type="dxa"/>
              <w:end w:w="110" w:type="dxa"/>
            </w:tcMar>
          </w:tcPr>
          <w:p>
            <w:pPr>
              <w:spacing w:after="0"/>
            </w:pPr>
            <w:r/>
            <w:r>
              <w:rPr>
                <w:rFonts w:ascii="Calibri" w:hAnsi="Calibri"/>
                <w:b w:val="0"/>
                <w:i w:val="0"/>
                <w:color w:val="101828"/>
                <w:sz w:val="14"/>
              </w:rPr>
              <w:t>Staff both functions before launch. DEP-11, DEP-12, R13, gate G-A, section 19 runbook.</w:t>
            </w:r>
          </w:p>
        </w:tc>
      </w:tr>
      <w:tr>
        <w:trPr>
          <w:cantSplit/>
        </w:trPr>
        <w:tc>
          <w:tcPr>
            <w:tcW w:type="dxa" w:w="1742"/>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asks an admin to delete their account</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Not available for any role, and not something the member should be able to obtain. The financial record is retained; a personal-data export is a different thing and is handled under the data-protection process.</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SCR-ADM-02</w:t>
            </w:r>
          </w:p>
        </w:tc>
        <w:tc>
          <w:tcPr>
            <w:tcW w:type="dxa" w:w="1944"/>
            <w:tcMar>
              <w:top w:w="60" w:type="dxa"/>
              <w:start w:w="110" w:type="dxa"/>
              <w:bottom w:w="60" w:type="dxa"/>
              <w:end w:w="110" w:type="dxa"/>
            </w:tcMar>
            <w:shd w:val="clear" w:color="auto" w:fill="F4F7FB"/>
          </w:tcPr>
          <w:p>
            <w:pPr>
              <w:spacing w:after="0"/>
            </w:pPr>
            <w:r/>
            <w:r>
              <w:rPr>
                <w:rFonts w:ascii="Calibri" w:hAnsi="Calibri"/>
                <w:i/>
                <w:color w:val="101828"/>
                <w:sz w:val="14"/>
              </w:rPr>
              <w:t>We cannot delete financial records, and that is deliberate. We can give you everything we hold about you.</w:t>
            </w:r>
          </w:p>
        </w:tc>
        <w:tc>
          <w:tcPr>
            <w:tcW w:type="dxa" w:w="2491"/>
            <w:tcMar>
              <w:top w:w="60" w:type="dxa"/>
              <w:start w:w="110" w:type="dxa"/>
              <w:bottom w:w="60" w:type="dxa"/>
              <w:end w:w="110" w:type="dxa"/>
            </w:tcMar>
            <w:shd w:val="clear" w:color="auto" w:fill="F4F7FB"/>
          </w:tcPr>
          <w:p>
            <w:pPr>
              <w:spacing w:after="0"/>
            </w:pPr>
            <w:r/>
            <w:r>
              <w:rPr>
                <w:rFonts w:ascii="Calibri" w:hAnsi="Calibri"/>
                <w:b w:val="0"/>
                <w:i w:val="0"/>
                <w:color w:val="101828"/>
                <w:sz w:val="14"/>
              </w:rPr>
              <w:t>Personal-data export, subject to legal review of retention and lawful basis. BR-025, R10, C-05, EC-118.</w:t>
            </w:r>
          </w:p>
        </w:tc>
      </w:tr>
      <w:tr>
        <w:trPr>
          <w:cantSplit/>
        </w:trPr>
        <w:tc>
          <w:tcPr>
            <w:tcW w:type="dxa" w:w="1742"/>
            <w:tcMar>
              <w:top w:w="60" w:type="dxa"/>
              <w:start w:w="110" w:type="dxa"/>
              <w:bottom w:w="60" w:type="dxa"/>
              <w:end w:w="110" w:type="dxa"/>
            </w:tcMar>
          </w:tcPr>
          <w:p>
            <w:pPr>
              <w:spacing w:after="0"/>
            </w:pPr>
            <w:r/>
            <w:r>
              <w:rPr>
                <w:rFonts w:ascii="Calibri" w:hAnsi="Calibri"/>
                <w:b w:val="0"/>
                <w:i w:val="0"/>
                <w:color w:val="101828"/>
                <w:sz w:val="14"/>
              </w:rPr>
              <w:t>A platform-wide incident requires all money movement to stop</w:t>
            </w:r>
          </w:p>
        </w:tc>
        <w:tc>
          <w:tcPr>
            <w:tcW w:type="dxa" w:w="2146"/>
            <w:tcMar>
              <w:top w:w="60" w:type="dxa"/>
              <w:start w:w="110" w:type="dxa"/>
              <w:bottom w:w="60" w:type="dxa"/>
              <w:end w:w="110" w:type="dxa"/>
            </w:tcMar>
          </w:tcPr>
          <w:p>
            <w:pPr>
              <w:spacing w:after="0"/>
            </w:pPr>
            <w:r/>
            <w:r>
              <w:rPr>
                <w:rFonts w:ascii="Consolas" w:hAnsi="Consolas"/>
                <w:color w:val="146EF5"/>
                <w:sz w:val="14"/>
              </w:rPr>
              <w:t>super_admin</w:t>
            </w:r>
            <w:r>
              <w:rPr>
                <w:rFonts w:ascii="Calibri" w:hAnsi="Calibri"/>
                <w:b w:val="0"/>
                <w:i w:val="0"/>
                <w:color w:val="101828"/>
                <w:sz w:val="14"/>
              </w:rPr>
              <w:t xml:space="preserve"> executes an emergency freeze. In-flight payments are not force-resolved; they stay PENDING and are reconciled on unfreeze, so nothing is lost and nothing is counted twice.</w:t>
            </w:r>
          </w:p>
        </w:tc>
        <w:tc>
          <w:tcPr>
            <w:tcW w:type="dxa" w:w="1037"/>
            <w:tcMar>
              <w:top w:w="60" w:type="dxa"/>
              <w:start w:w="110" w:type="dxa"/>
              <w:bottom w:w="60" w:type="dxa"/>
              <w:end w:w="110" w:type="dxa"/>
            </w:tcMar>
          </w:tcPr>
          <w:p>
            <w:pPr>
              <w:spacing w:after="0"/>
            </w:pPr>
            <w:r/>
            <w:r>
              <w:rPr>
                <w:rFonts w:ascii="Calibri" w:hAnsi="Calibri"/>
                <w:b w:val="0"/>
                <w:i w:val="0"/>
                <w:color w:val="101828"/>
                <w:sz w:val="14"/>
              </w:rPr>
              <w:t>SCR-ADM-09</w:t>
            </w:r>
          </w:p>
        </w:tc>
        <w:tc>
          <w:tcPr>
            <w:tcW w:type="dxa" w:w="1944"/>
            <w:tcMar>
              <w:top w:w="60" w:type="dxa"/>
              <w:start w:w="110" w:type="dxa"/>
              <w:bottom w:w="60" w:type="dxa"/>
              <w:end w:w="110" w:type="dxa"/>
            </w:tcMar>
          </w:tcPr>
          <w:p>
            <w:pPr>
              <w:spacing w:after="0"/>
            </w:pPr>
            <w:r/>
            <w:r>
              <w:rPr>
                <w:rFonts w:ascii="Calibri" w:hAnsi="Calibri"/>
                <w:i/>
                <w:color w:val="101828"/>
                <w:sz w:val="14"/>
              </w:rPr>
              <w:t>AJO.ng is temporarily paused while we resolve an issue. Anything already paid is safe and will be confirmed.</w:t>
            </w:r>
          </w:p>
        </w:tc>
        <w:tc>
          <w:tcPr>
            <w:tcW w:type="dxa" w:w="2491"/>
            <w:tcMar>
              <w:top w:w="60" w:type="dxa"/>
              <w:start w:w="110" w:type="dxa"/>
              <w:bottom w:w="60" w:type="dxa"/>
              <w:end w:w="110" w:type="dxa"/>
            </w:tcMar>
          </w:tcPr>
          <w:p>
            <w:pPr>
              <w:spacing w:after="0"/>
            </w:pPr>
            <w:r/>
            <w:r>
              <w:rPr>
                <w:rFonts w:ascii="Calibri" w:hAnsi="Calibri"/>
                <w:b w:val="0"/>
                <w:i w:val="0"/>
                <w:color w:val="101828"/>
                <w:sz w:val="14"/>
              </w:rPr>
              <w:t>Unfreeze, then reconciliation. FR-ADM-007, NFR-AVL-003, EC-099, EC-101.</w:t>
            </w:r>
          </w:p>
        </w:tc>
      </w:tr>
    </w:tbl>
    <w:p>
      <w:pPr>
        <w:spacing w:after="80"/>
      </w:pPr>
    </w:p>
    <w:p>
      <w:r>
        <w:br w:type="page"/>
      </w:r>
    </w:p>
    <w:p>
      <w:pPr>
        <w:pStyle w:val="Heading2"/>
      </w:pPr>
      <w:r>
        <w:rPr>
          <w:rFonts w:ascii="Calibri" w:hAnsi="Calibri"/>
          <w:b/>
          <w:i w:val="0"/>
          <w:color w:val="146EF5"/>
          <w:sz w:val="29"/>
        </w:rPr>
        <w:t>2.17 Flow-to-requirement traceability matrix</w:t>
      </w:r>
    </w:p>
    <w:p>
      <w:pPr>
        <w:pStyle w:val="Heading3"/>
      </w:pPr>
      <w:r>
        <w:rPr>
          <w:rFonts w:ascii="Calibri" w:hAnsi="Calibri"/>
          <w:b/>
          <w:i w:val="0"/>
          <w:color w:val="0B1F3A"/>
          <w:sz w:val="24"/>
        </w:rPr>
        <w:t>2.17.1 How to read this matrix</w:t>
      </w:r>
    </w:p>
    <w:p>
      <w:r>
        <w:rPr>
          <w:rFonts w:ascii="Calibri" w:hAnsi="Calibri"/>
          <w:b w:val="0"/>
          <w:i w:val="0"/>
          <w:color w:val="101828"/>
          <w:sz w:val="21"/>
        </w:rPr>
        <w:t>Each row maps one flow to the functional requirements it discharges, the screens it touches and the API endpoints it calls. Requirement IDs are the register in section 1.17; user-story IDs are section 1.20; business-rule IDs are section 1.21; edge-case IDs are section 19. Any requirement that appears in no row of this matrix is a requirement with no specified user flow, and must be treated as a specification gap. Any flow row with no requirement would be a feature nobody asked for, and must be justified deliberately.</w:t>
      </w:r>
    </w:p>
    <w:p>
      <w:r>
        <w:rPr>
          <w:rFonts w:ascii="Calibri" w:hAnsi="Calibri"/>
          <w:b w:val="0"/>
          <w:i w:val="0"/>
          <w:color w:val="101828"/>
          <w:sz w:val="21"/>
        </w:rPr>
        <w:t xml:space="preserve">Endpoints are given as paths under </w:t>
      </w:r>
      <w:r>
        <w:rPr>
          <w:rFonts w:ascii="Consolas" w:hAnsi="Consolas"/>
          <w:color w:val="146EF5"/>
          <w:sz w:val="21"/>
        </w:rPr>
        <w:t>/api/v1</w:t>
      </w:r>
      <w:r>
        <w:rPr>
          <w:rFonts w:ascii="Calibri" w:hAnsi="Calibri"/>
          <w:b w:val="0"/>
          <w:i w:val="0"/>
          <w:color w:val="101828"/>
          <w:sz w:val="21"/>
        </w:rPr>
        <w:t xml:space="preserve"> exactly as they appear in section 6 of CANONICAL.md. Where this section depends on a reading of an endpoint that is not explicit in the canonical surface, the row names the interpretation adopted in 2.0.2 and the callout there. Two endpoints referenced in this section are proposed additions rather than canonical ones, and are marked as such: </w:t>
      </w:r>
      <w:r>
        <w:rPr>
          <w:rFonts w:ascii="Consolas" w:hAnsi="Consolas"/>
          <w:color w:val="146EF5"/>
          <w:sz w:val="21"/>
        </w:rPr>
        <w:t>POST /contributions/:id/refund</w:t>
      </w:r>
      <w:r>
        <w:rPr>
          <w:rFonts w:ascii="Calibri" w:hAnsi="Calibri"/>
          <w:b w:val="0"/>
          <w:i w:val="0"/>
          <w:color w:val="101828"/>
          <w:sz w:val="21"/>
        </w:rPr>
        <w:t xml:space="preserve"> and </w:t>
      </w:r>
      <w:r>
        <w:rPr>
          <w:rFonts w:ascii="Consolas" w:hAnsi="Consolas"/>
          <w:color w:val="146EF5"/>
          <w:sz w:val="21"/>
        </w:rPr>
        <w:t>POST /ajos/:id/members/:memberId/replace</w:t>
      </w:r>
      <w:r>
        <w:rPr>
          <w:rFonts w:ascii="Calibri" w:hAnsi="Calibri"/>
          <w:b w:val="0"/>
          <w:i w:val="0"/>
          <w:color w:val="101828"/>
          <w:sz w:val="21"/>
        </w:rPr>
        <w:t>.</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210"/>
            <w:shd w:val="clear" w:color="auto" w:fill="0B1F3A"/>
            <w:tcMar>
              <w:top w:w="60" w:type="dxa"/>
              <w:start w:w="110" w:type="dxa"/>
              <w:bottom w:w="60" w:type="dxa"/>
              <w:end w:w="110" w:type="dxa"/>
            </w:tcMar>
          </w:tcPr>
          <w:p>
            <w:pPr>
              <w:spacing w:after="0"/>
            </w:pPr>
            <w:r/>
            <w:r>
              <w:rPr>
                <w:rFonts w:ascii="Calibri" w:hAnsi="Calibri"/>
                <w:b/>
                <w:i w:val="0"/>
                <w:color w:val="FFFFFF"/>
                <w:sz w:val="14"/>
              </w:rPr>
              <w:t>Flow</w:t>
            </w:r>
          </w:p>
        </w:tc>
        <w:tc>
          <w:tcPr>
            <w:tcW w:type="dxa" w:w="2995"/>
            <w:shd w:val="clear" w:color="auto" w:fill="0B1F3A"/>
            <w:tcMar>
              <w:top w:w="60" w:type="dxa"/>
              <w:start w:w="110" w:type="dxa"/>
              <w:bottom w:w="60" w:type="dxa"/>
              <w:end w:w="110" w:type="dxa"/>
            </w:tcMar>
          </w:tcPr>
          <w:p>
            <w:pPr>
              <w:spacing w:after="0"/>
            </w:pPr>
            <w:r/>
            <w:r>
              <w:rPr>
                <w:rFonts w:ascii="Calibri" w:hAnsi="Calibri"/>
                <w:b/>
                <w:i w:val="0"/>
                <w:color w:val="FFFFFF"/>
                <w:sz w:val="14"/>
              </w:rPr>
              <w:t>Requirement IDs</w:t>
            </w:r>
          </w:p>
        </w:tc>
        <w:tc>
          <w:tcPr>
            <w:tcW w:type="dxa" w:w="1800"/>
            <w:shd w:val="clear" w:color="auto" w:fill="0B1F3A"/>
            <w:tcMar>
              <w:top w:w="60" w:type="dxa"/>
              <w:start w:w="110" w:type="dxa"/>
              <w:bottom w:w="60" w:type="dxa"/>
              <w:end w:w="110" w:type="dxa"/>
            </w:tcMar>
          </w:tcPr>
          <w:p>
            <w:pPr>
              <w:spacing w:after="0"/>
            </w:pPr>
            <w:r/>
            <w:r>
              <w:rPr>
                <w:rFonts w:ascii="Calibri" w:hAnsi="Calibri"/>
                <w:b/>
                <w:i w:val="0"/>
                <w:color w:val="FFFFFF"/>
                <w:sz w:val="14"/>
              </w:rPr>
              <w:t>Screen IDs</w:t>
            </w:r>
          </w:p>
        </w:tc>
        <w:tc>
          <w:tcPr>
            <w:tcW w:type="dxa" w:w="3355"/>
            <w:shd w:val="clear" w:color="auto" w:fill="0B1F3A"/>
            <w:tcMar>
              <w:top w:w="60" w:type="dxa"/>
              <w:start w:w="110" w:type="dxa"/>
              <w:bottom w:w="60" w:type="dxa"/>
              <w:end w:w="110" w:type="dxa"/>
            </w:tcMar>
          </w:tcPr>
          <w:p>
            <w:pPr>
              <w:spacing w:after="0"/>
            </w:pPr>
            <w:r/>
            <w:r>
              <w:rPr>
                <w:rFonts w:ascii="Calibri" w:hAnsi="Calibri"/>
                <w:b/>
                <w:i w:val="0"/>
                <w:color w:val="FFFFFF"/>
                <w:sz w:val="14"/>
              </w:rPr>
              <w:t>API endpoints</w:t>
            </w:r>
          </w:p>
        </w:tc>
      </w:tr>
      <w:tr>
        <w:trPr>
          <w:cantSplit/>
        </w:trPr>
        <w:tc>
          <w:tcPr>
            <w:tcW w:type="dxa" w:w="1210"/>
            <w:tcMar>
              <w:top w:w="60" w:type="dxa"/>
              <w:start w:w="110" w:type="dxa"/>
              <w:bottom w:w="60" w:type="dxa"/>
              <w:end w:w="110" w:type="dxa"/>
            </w:tcMar>
          </w:tcPr>
          <w:p>
            <w:pPr>
              <w:spacing w:after="0"/>
            </w:pPr>
            <w:r/>
            <w:r>
              <w:rPr>
                <w:rFonts w:ascii="Calibri" w:hAnsi="Calibri"/>
                <w:b/>
                <w:color w:val="101828"/>
                <w:sz w:val="14"/>
              </w:rPr>
              <w:t>2.1</w:t>
            </w:r>
            <w:r>
              <w:rPr>
                <w:rFonts w:ascii="Calibri" w:hAnsi="Calibri"/>
                <w:b w:val="0"/>
                <w:i w:val="0"/>
                <w:color w:val="101828"/>
                <w:sz w:val="14"/>
              </w:rPr>
              <w:t xml:space="preserve"> New user</w:t>
            </w:r>
          </w:p>
        </w:tc>
        <w:tc>
          <w:tcPr>
            <w:tcW w:type="dxa" w:w="2995"/>
            <w:tcMar>
              <w:top w:w="60" w:type="dxa"/>
              <w:start w:w="110" w:type="dxa"/>
              <w:bottom w:w="60" w:type="dxa"/>
              <w:end w:w="110" w:type="dxa"/>
            </w:tcMar>
          </w:tcPr>
          <w:p>
            <w:pPr>
              <w:spacing w:after="0"/>
            </w:pPr>
            <w:r/>
            <w:r>
              <w:rPr>
                <w:rFonts w:ascii="Calibri" w:hAnsi="Calibri"/>
                <w:b w:val="0"/>
                <w:i w:val="0"/>
                <w:color w:val="101828"/>
                <w:sz w:val="14"/>
              </w:rPr>
              <w:t>FR-AUTH-001 to FR-AUTH-005, FR-AUTH-011, FR-AUTH-012, FR-PROF-001 to FR-PROF-003, FR-KYC-001 to FR-KYC-003, FR-NOTIF-001, FR-TXN-005, FR-TXN-006; US-01, US-02, US-03; BR-030, BR-031; NFR-SEC-002, NFR-SEC-003, NFR-SEC-004, NFR-PERF-002, NFR-LOC-001</w:t>
            </w:r>
          </w:p>
        </w:tc>
        <w:tc>
          <w:tcPr>
            <w:tcW w:type="dxa" w:w="1800"/>
            <w:tcMar>
              <w:top w:w="60" w:type="dxa"/>
              <w:start w:w="110" w:type="dxa"/>
              <w:bottom w:w="60" w:type="dxa"/>
              <w:end w:w="110" w:type="dxa"/>
            </w:tcMar>
          </w:tcPr>
          <w:p>
            <w:pPr>
              <w:spacing w:after="0"/>
            </w:pPr>
            <w:r/>
            <w:r>
              <w:rPr>
                <w:rFonts w:ascii="Calibri" w:hAnsi="Calibri"/>
                <w:b w:val="0"/>
                <w:i w:val="0"/>
                <w:color w:val="101828"/>
                <w:sz w:val="14"/>
              </w:rPr>
              <w:t>SCR-MKT-01, SCR-MKT-02, SCR-MKT-03, SCR-MKT-05, SCR-MKT-10, SCR-APP-01, SCR-APP-15, SCR-APP-19</w:t>
            </w:r>
          </w:p>
        </w:tc>
        <w:tc>
          <w:tcPr>
            <w:tcW w:type="dxa" w:w="3355"/>
            <w:tcMar>
              <w:top w:w="60" w:type="dxa"/>
              <w:start w:w="110" w:type="dxa"/>
              <w:bottom w:w="60" w:type="dxa"/>
              <w:end w:w="110" w:type="dxa"/>
            </w:tcMar>
          </w:tcPr>
          <w:p>
            <w:pPr>
              <w:spacing w:after="0"/>
            </w:pPr>
            <w:r/>
            <w:r>
              <w:rPr>
                <w:rFonts w:ascii="Consolas" w:hAnsi="Consolas"/>
                <w:color w:val="146EF5"/>
                <w:sz w:val="14"/>
              </w:rPr>
              <w:t>POST /auth/register</w:t>
            </w:r>
            <w:r>
              <w:rPr>
                <w:rFonts w:ascii="Calibri" w:hAnsi="Calibri"/>
                <w:b w:val="0"/>
                <w:i w:val="0"/>
                <w:color w:val="101828"/>
                <w:sz w:val="14"/>
              </w:rPr>
              <w:t xml:space="preserve">, </w:t>
            </w:r>
            <w:r>
              <w:rPr>
                <w:rFonts w:ascii="Consolas" w:hAnsi="Consolas"/>
                <w:color w:val="146EF5"/>
                <w:sz w:val="14"/>
              </w:rPr>
              <w:t>POST /auth/otp/request</w:t>
            </w:r>
            <w:r>
              <w:rPr>
                <w:rFonts w:ascii="Calibri" w:hAnsi="Calibri"/>
                <w:b w:val="0"/>
                <w:i w:val="0"/>
                <w:color w:val="101828"/>
                <w:sz w:val="14"/>
              </w:rPr>
              <w:t xml:space="preserve">, </w:t>
            </w:r>
            <w:r>
              <w:rPr>
                <w:rFonts w:ascii="Consolas" w:hAnsi="Consolas"/>
                <w:color w:val="146EF5"/>
                <w:sz w:val="14"/>
              </w:rPr>
              <w:t>POST /auth/otp/verify</w:t>
            </w:r>
            <w:r>
              <w:rPr>
                <w:rFonts w:ascii="Calibri" w:hAnsi="Calibri"/>
                <w:b w:val="0"/>
                <w:i w:val="0"/>
                <w:color w:val="101828"/>
                <w:sz w:val="14"/>
              </w:rPr>
              <w:t xml:space="preserve">, </w:t>
            </w:r>
            <w:r>
              <w:rPr>
                <w:rFonts w:ascii="Consolas" w:hAnsi="Consolas"/>
                <w:color w:val="146EF5"/>
                <w:sz w:val="14"/>
              </w:rPr>
              <w:t>GET /auth/verify-email</w:t>
            </w:r>
            <w:r>
              <w:rPr>
                <w:rFonts w:ascii="Calibri" w:hAnsi="Calibri"/>
                <w:b w:val="0"/>
                <w:i w:val="0"/>
                <w:color w:val="101828"/>
                <w:sz w:val="14"/>
              </w:rPr>
              <w:t xml:space="preserve">, </w:t>
            </w:r>
            <w:r>
              <w:rPr>
                <w:rFonts w:ascii="Consolas" w:hAnsi="Consolas"/>
                <w:color w:val="146EF5"/>
                <w:sz w:val="14"/>
              </w:rPr>
              <w:t>POST /auth/login</w:t>
            </w:r>
            <w:r>
              <w:rPr>
                <w:rFonts w:ascii="Calibri" w:hAnsi="Calibri"/>
                <w:b w:val="0"/>
                <w:i w:val="0"/>
                <w:color w:val="101828"/>
                <w:sz w:val="14"/>
              </w:rPr>
              <w:t xml:space="preserve">, </w:t>
            </w:r>
            <w:r>
              <w:rPr>
                <w:rFonts w:ascii="Consolas" w:hAnsi="Consolas"/>
                <w:color w:val="146EF5"/>
                <w:sz w:val="14"/>
              </w:rPr>
              <w:t>PATCH /profile</w:t>
            </w:r>
            <w:r>
              <w:rPr>
                <w:rFonts w:ascii="Calibri" w:hAnsi="Calibri"/>
                <w:b w:val="0"/>
                <w:i w:val="0"/>
                <w:color w:val="101828"/>
                <w:sz w:val="14"/>
              </w:rPr>
              <w:t xml:space="preserve">, </w:t>
            </w:r>
            <w:r>
              <w:rPr>
                <w:rFonts w:ascii="Consolas" w:hAnsi="Consolas"/>
                <w:color w:val="146EF5"/>
                <w:sz w:val="14"/>
              </w:rPr>
              <w:t>POST /profile/avatar</w:t>
            </w:r>
            <w:r>
              <w:rPr>
                <w:rFonts w:ascii="Calibri" w:hAnsi="Calibri"/>
                <w:b w:val="0"/>
                <w:i w:val="0"/>
                <w:color w:val="101828"/>
                <w:sz w:val="14"/>
              </w:rPr>
              <w:t xml:space="preserve">, </w:t>
            </w:r>
            <w:r>
              <w:rPr>
                <w:rFonts w:ascii="Consolas" w:hAnsi="Consolas"/>
                <w:color w:val="146EF5"/>
                <w:sz w:val="14"/>
              </w:rPr>
              <w:t>POST /verification/identity</w:t>
            </w:r>
            <w:r>
              <w:rPr>
                <w:rFonts w:ascii="Calibri" w:hAnsi="Calibri"/>
                <w:b w:val="0"/>
                <w:i w:val="0"/>
                <w:color w:val="101828"/>
                <w:sz w:val="14"/>
              </w:rPr>
              <w:t xml:space="preserve">, </w:t>
            </w:r>
            <w:r>
              <w:rPr>
                <w:rFonts w:ascii="Consolas" w:hAnsi="Consolas"/>
                <w:color w:val="146EF5"/>
                <w:sz w:val="14"/>
              </w:rPr>
              <w:t>POST /verification/bvn</w:t>
            </w:r>
            <w:r>
              <w:rPr>
                <w:rFonts w:ascii="Calibri" w:hAnsi="Calibri"/>
                <w:b w:val="0"/>
                <w:i w:val="0"/>
                <w:color w:val="101828"/>
                <w:sz w:val="14"/>
              </w:rPr>
              <w:t xml:space="preserve">, </w:t>
            </w:r>
            <w:r>
              <w:rPr>
                <w:rFonts w:ascii="Consolas" w:hAnsi="Consolas"/>
                <w:color w:val="146EF5"/>
                <w:sz w:val="14"/>
              </w:rPr>
              <w:t>GET /verification/:id</w:t>
            </w:r>
            <w:r>
              <w:rPr>
                <w:rFonts w:ascii="Calibri" w:hAnsi="Calibri"/>
                <w:b w:val="0"/>
                <w:i w:val="0"/>
                <w:color w:val="101828"/>
                <w:sz w:val="14"/>
              </w:rPr>
              <w:t xml:space="preserve">, </w:t>
            </w:r>
            <w:r>
              <w:rPr>
                <w:rFonts w:ascii="Consolas" w:hAnsi="Consolas"/>
                <w:color w:val="146EF5"/>
                <w:sz w:val="14"/>
              </w:rPr>
              <w:t>GET /ajos</w:t>
            </w:r>
            <w:r>
              <w:rPr>
                <w:rFonts w:ascii="Calibri" w:hAnsi="Calibri"/>
                <w:b w:val="0"/>
                <w:i w:val="0"/>
                <w:color w:val="101828"/>
                <w:sz w:val="14"/>
              </w:rPr>
              <w:t xml:space="preserve">, </w:t>
            </w:r>
            <w:r>
              <w:rPr>
                <w:rFonts w:ascii="Consolas" w:hAnsi="Consolas"/>
                <w:color w:val="146EF5"/>
                <w:sz w:val="14"/>
              </w:rPr>
              <w:t>GET /contributions</w:t>
            </w:r>
            <w:r>
              <w:rPr>
                <w:rFonts w:ascii="Calibri" w:hAnsi="Calibri"/>
                <w:b w:val="0"/>
                <w:i w:val="0"/>
                <w:color w:val="101828"/>
                <w:sz w:val="14"/>
              </w:rPr>
              <w:t xml:space="preserve">, </w:t>
            </w:r>
            <w:r>
              <w:rPr>
                <w:rFonts w:ascii="Consolas" w:hAnsi="Consolas"/>
                <w:color w:val="146EF5"/>
                <w:sz w:val="14"/>
              </w:rPr>
              <w:t>GET /payouts</w:t>
            </w:r>
            <w:r>
              <w:rPr>
                <w:rFonts w:ascii="Calibri" w:hAnsi="Calibri"/>
                <w:b w:val="0"/>
                <w:i w:val="0"/>
                <w:color w:val="101828"/>
                <w:sz w:val="14"/>
              </w:rPr>
              <w:t xml:space="preserve">, </w:t>
            </w:r>
            <w:r>
              <w:rPr>
                <w:rFonts w:ascii="Consolas" w:hAnsi="Consolas"/>
                <w:color w:val="146EF5"/>
                <w:sz w:val="14"/>
              </w:rPr>
              <w:t>GET /notifications</w:t>
            </w:r>
          </w:p>
        </w:tc>
      </w:tr>
      <w:tr>
        <w:trPr>
          <w:cantSplit/>
        </w:trPr>
        <w:tc>
          <w:tcPr>
            <w:tcW w:type="dxa" w:w="1210"/>
            <w:tcMar>
              <w:top w:w="60" w:type="dxa"/>
              <w:start w:w="110" w:type="dxa"/>
              <w:bottom w:w="60" w:type="dxa"/>
              <w:end w:w="110" w:type="dxa"/>
            </w:tcMar>
            <w:shd w:val="clear" w:color="auto" w:fill="F4F7FB"/>
          </w:tcPr>
          <w:p>
            <w:pPr>
              <w:spacing w:after="0"/>
            </w:pPr>
            <w:r/>
            <w:r>
              <w:rPr>
                <w:rFonts w:ascii="Calibri" w:hAnsi="Calibri"/>
                <w:b/>
                <w:color w:val="101828"/>
                <w:sz w:val="14"/>
              </w:rPr>
              <w:t>2.2</w:t>
            </w:r>
            <w:r>
              <w:rPr>
                <w:rFonts w:ascii="Calibri" w:hAnsi="Calibri"/>
                <w:b w:val="0"/>
                <w:i w:val="0"/>
                <w:color w:val="101828"/>
                <w:sz w:val="14"/>
              </w:rPr>
              <w:t xml:space="preserve"> Create Ajo</w:t>
            </w:r>
          </w:p>
        </w:tc>
        <w:tc>
          <w:tcPr>
            <w:tcW w:type="dxa" w:w="2995"/>
            <w:tcMar>
              <w:top w:w="60" w:type="dxa"/>
              <w:start w:w="110" w:type="dxa"/>
              <w:bottom w:w="60" w:type="dxa"/>
              <w:end w:w="110" w:type="dxa"/>
            </w:tcMar>
            <w:shd w:val="clear" w:color="auto" w:fill="F4F7FB"/>
          </w:tcPr>
          <w:p>
            <w:pPr>
              <w:spacing w:after="0"/>
            </w:pPr>
            <w:r/>
            <w:r>
              <w:rPr>
                <w:rFonts w:ascii="Calibri" w:hAnsi="Calibri"/>
                <w:b w:val="0"/>
                <w:i w:val="0"/>
                <w:color w:val="101828"/>
                <w:sz w:val="14"/>
              </w:rPr>
              <w:t>FR-AJO-001 to FR-AJO-011, FR-AJO-015, FR-INV-001, FR-INV-002, FR-INV-004, FR-INV-005, FR-POS-003, FR-POS-004, FR-SCH-001, FR-MEM-002, FR-MEM-004; US-07 to US-13; BR-001, BR-002, BR-004, BR-005, BR-006, BR-008, BR-009, BR-010, BR-011, BR-012, BR-026, BR-029; NFR-LOC-002, NFR-LOC-003</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SCR-APP-01, SCR-APP-02, SCR-APP-03, SCR-APP-04, SCR-APP-05, SCR-APP-06, SCR-APP-12</w:t>
            </w:r>
          </w:p>
        </w:tc>
        <w:tc>
          <w:tcPr>
            <w:tcW w:type="dxa" w:w="3355"/>
            <w:tcMar>
              <w:top w:w="60" w:type="dxa"/>
              <w:start w:w="110" w:type="dxa"/>
              <w:bottom w:w="60" w:type="dxa"/>
              <w:end w:w="110" w:type="dxa"/>
            </w:tcMar>
            <w:shd w:val="clear" w:color="auto" w:fill="F4F7FB"/>
          </w:tcPr>
          <w:p>
            <w:pPr>
              <w:spacing w:after="0"/>
            </w:pPr>
            <w:r/>
            <w:r>
              <w:rPr>
                <w:rFonts w:ascii="Consolas" w:hAnsi="Consolas"/>
                <w:color w:val="146EF5"/>
                <w:sz w:val="14"/>
              </w:rPr>
              <w:t>POST /ajos</w:t>
            </w:r>
            <w:r>
              <w:rPr>
                <w:rFonts w:ascii="Calibri" w:hAnsi="Calibri"/>
                <w:b w:val="0"/>
                <w:i w:val="0"/>
                <w:color w:val="101828"/>
                <w:sz w:val="14"/>
              </w:rPr>
              <w:t xml:space="preserve">, </w:t>
            </w:r>
            <w:r>
              <w:rPr>
                <w:rFonts w:ascii="Consolas" w:hAnsi="Consolas"/>
                <w:color w:val="146EF5"/>
                <w:sz w:val="14"/>
              </w:rPr>
              <w:t>PATCH /ajos/:id</w:t>
            </w:r>
            <w:r>
              <w:rPr>
                <w:rFonts w:ascii="Calibri" w:hAnsi="Calibri"/>
                <w:b w:val="0"/>
                <w:i w:val="0"/>
                <w:color w:val="101828"/>
                <w:sz w:val="14"/>
              </w:rPr>
              <w:t xml:space="preserve">, </w:t>
            </w:r>
            <w:r>
              <w:rPr>
                <w:rFonts w:ascii="Consolas" w:hAnsi="Consolas"/>
                <w:color w:val="146EF5"/>
                <w:sz w:val="14"/>
              </w:rPr>
              <w:t>POST /ajos/:id/positions/claim</w:t>
            </w:r>
            <w:r>
              <w:rPr>
                <w:rFonts w:ascii="Calibri" w:hAnsi="Calibri"/>
                <w:b w:val="0"/>
                <w:i w:val="0"/>
                <w:color w:val="101828"/>
                <w:sz w:val="14"/>
              </w:rPr>
              <w:t xml:space="preserve">, </w:t>
            </w:r>
            <w:r>
              <w:rPr>
                <w:rFonts w:ascii="Consolas" w:hAnsi="Consolas"/>
                <w:color w:val="146EF5"/>
                <w:sz w:val="14"/>
              </w:rPr>
              <w:t>POST /ajos/:id/positions/reorder</w:t>
            </w:r>
            <w:r>
              <w:rPr>
                <w:rFonts w:ascii="Calibri" w:hAnsi="Calibri"/>
                <w:b w:val="0"/>
                <w:i w:val="0"/>
                <w:color w:val="101828"/>
                <w:sz w:val="14"/>
              </w:rPr>
              <w:t xml:space="preserve">, </w:t>
            </w:r>
            <w:r>
              <w:rPr>
                <w:rFonts w:ascii="Consolas" w:hAnsi="Consolas"/>
                <w:color w:val="146EF5"/>
                <w:sz w:val="14"/>
              </w:rPr>
              <w:t>POST /invitations</w:t>
            </w:r>
            <w:r>
              <w:rPr>
                <w:rFonts w:ascii="Calibri" w:hAnsi="Calibri"/>
                <w:b w:val="0"/>
                <w:i w:val="0"/>
                <w:color w:val="101828"/>
                <w:sz w:val="14"/>
              </w:rPr>
              <w:t xml:space="preserve">, </w:t>
            </w:r>
            <w:r>
              <w:rPr>
                <w:rFonts w:ascii="Consolas" w:hAnsi="Consolas"/>
                <w:color w:val="146EF5"/>
                <w:sz w:val="14"/>
              </w:rPr>
              <w:t>GET /invitations</w:t>
            </w:r>
            <w:r>
              <w:rPr>
                <w:rFonts w:ascii="Calibri" w:hAnsi="Calibri"/>
                <w:b w:val="0"/>
                <w:i w:val="0"/>
                <w:color w:val="101828"/>
                <w:sz w:val="14"/>
              </w:rPr>
              <w:t xml:space="preserve">, </w:t>
            </w:r>
            <w:r>
              <w:rPr>
                <w:rFonts w:ascii="Consolas" w:hAnsi="Consolas"/>
                <w:color w:val="146EF5"/>
                <w:sz w:val="14"/>
              </w:rPr>
              <w:t>POST /invitations/resend</w:t>
            </w:r>
            <w:r>
              <w:rPr>
                <w:rFonts w:ascii="Calibri" w:hAnsi="Calibri"/>
                <w:b w:val="0"/>
                <w:i w:val="0"/>
                <w:color w:val="101828"/>
                <w:sz w:val="14"/>
              </w:rPr>
              <w:t xml:space="preserve">, </w:t>
            </w:r>
            <w:r>
              <w:rPr>
                <w:rFonts w:ascii="Consolas" w:hAnsi="Consolas"/>
                <w:color w:val="146EF5"/>
                <w:sz w:val="14"/>
              </w:rPr>
              <w:t>POST /ajos/:id/activate</w:t>
            </w:r>
            <w:r>
              <w:rPr>
                <w:rFonts w:ascii="Calibri" w:hAnsi="Calibri"/>
                <w:b w:val="0"/>
                <w:i w:val="0"/>
                <w:color w:val="101828"/>
                <w:sz w:val="14"/>
              </w:rPr>
              <w:t xml:space="preserve"> (per 2.0.2: this is </w:t>
            </w:r>
            <w:r>
              <w:rPr>
                <w:rFonts w:ascii="Consolas" w:hAnsi="Consolas"/>
                <w:color w:val="146EF5"/>
                <w:sz w:val="14"/>
              </w:rPr>
              <w:t>OPEN_ENROLLMENT</w:t>
            </w:r>
            <w:r>
              <w:rPr>
                <w:rFonts w:ascii="Calibri" w:hAnsi="Calibri"/>
                <w:b w:val="0"/>
                <w:i w:val="0"/>
                <w:color w:val="101828"/>
                <w:sz w:val="14"/>
              </w:rPr>
              <w:t xml:space="preserve">), </w:t>
            </w:r>
            <w:r>
              <w:rPr>
                <w:rFonts w:ascii="Consolas" w:hAnsi="Consolas"/>
                <w:color w:val="146EF5"/>
                <w:sz w:val="14"/>
              </w:rPr>
              <w:t>GET /ajos/:id/positions</w:t>
            </w:r>
            <w:r>
              <w:rPr>
                <w:rFonts w:ascii="Calibri" w:hAnsi="Calibri"/>
                <w:b w:val="0"/>
                <w:i w:val="0"/>
                <w:color w:val="101828"/>
                <w:sz w:val="14"/>
              </w:rPr>
              <w:t xml:space="preserve">, </w:t>
            </w:r>
            <w:r>
              <w:rPr>
                <w:rFonts w:ascii="Consolas" w:hAnsi="Consolas"/>
                <w:color w:val="146EF5"/>
                <w:sz w:val="14"/>
              </w:rPr>
              <w:t>GET /ajos/:id/members</w:t>
            </w:r>
            <w:r>
              <w:rPr>
                <w:rFonts w:ascii="Calibri" w:hAnsi="Calibri"/>
                <w:b w:val="0"/>
                <w:i w:val="0"/>
                <w:color w:val="101828"/>
                <w:sz w:val="14"/>
              </w:rPr>
              <w:t xml:space="preserve">, </w:t>
            </w:r>
            <w:r>
              <w:rPr>
                <w:rFonts w:ascii="Consolas" w:hAnsi="Consolas"/>
                <w:color w:val="146EF5"/>
                <w:sz w:val="14"/>
              </w:rPr>
              <w:t>GET /ajos/:id/summary</w:t>
            </w:r>
          </w:p>
        </w:tc>
      </w:tr>
      <w:tr>
        <w:trPr>
          <w:cantSplit/>
        </w:trPr>
        <w:tc>
          <w:tcPr>
            <w:tcW w:type="dxa" w:w="1210"/>
            <w:tcMar>
              <w:top w:w="60" w:type="dxa"/>
              <w:start w:w="110" w:type="dxa"/>
              <w:bottom w:w="60" w:type="dxa"/>
              <w:end w:w="110" w:type="dxa"/>
            </w:tcMar>
          </w:tcPr>
          <w:p>
            <w:pPr>
              <w:spacing w:after="0"/>
            </w:pPr>
            <w:r/>
            <w:r>
              <w:rPr>
                <w:rFonts w:ascii="Calibri" w:hAnsi="Calibri"/>
                <w:b/>
                <w:color w:val="101828"/>
                <w:sz w:val="14"/>
              </w:rPr>
              <w:t>2.3</w:t>
            </w:r>
            <w:r>
              <w:rPr>
                <w:rFonts w:ascii="Calibri" w:hAnsi="Calibri"/>
                <w:b w:val="0"/>
                <w:i w:val="0"/>
                <w:color w:val="101828"/>
                <w:sz w:val="14"/>
              </w:rPr>
              <w:t xml:space="preserve"> Join Ajo</w:t>
            </w:r>
          </w:p>
        </w:tc>
        <w:tc>
          <w:tcPr>
            <w:tcW w:type="dxa" w:w="2995"/>
            <w:tcMar>
              <w:top w:w="60" w:type="dxa"/>
              <w:start w:w="110" w:type="dxa"/>
              <w:bottom w:w="60" w:type="dxa"/>
              <w:end w:w="110" w:type="dxa"/>
            </w:tcMar>
          </w:tcPr>
          <w:p>
            <w:pPr>
              <w:spacing w:after="0"/>
            </w:pPr>
            <w:r/>
            <w:r>
              <w:rPr>
                <w:rFonts w:ascii="Calibri" w:hAnsi="Calibri"/>
                <w:b w:val="0"/>
                <w:i w:val="0"/>
                <w:color w:val="101828"/>
                <w:sz w:val="14"/>
              </w:rPr>
              <w:t>FR-JOIN-001 to FR-JOIN-006, FR-INV-003, FR-INV-006, FR-POS-003, FR-POS-005, FR-MEM-001, FR-CON-001; US-14 to US-19; BR-004, BR-006, BR-011, BR-030; NFR-SEC-008, NFR-PERF-004, NFR-ACC-005, G3, G7</w:t>
            </w:r>
          </w:p>
        </w:tc>
        <w:tc>
          <w:tcPr>
            <w:tcW w:type="dxa" w:w="1800"/>
            <w:tcMar>
              <w:top w:w="60" w:type="dxa"/>
              <w:start w:w="110" w:type="dxa"/>
              <w:bottom w:w="60" w:type="dxa"/>
              <w:end w:w="110" w:type="dxa"/>
            </w:tcMar>
          </w:tcPr>
          <w:p>
            <w:pPr>
              <w:spacing w:after="0"/>
            </w:pPr>
            <w:r/>
            <w:r>
              <w:rPr>
                <w:rFonts w:ascii="Calibri" w:hAnsi="Calibri"/>
                <w:b w:val="0"/>
                <w:i w:val="0"/>
                <w:color w:val="101828"/>
                <w:sz w:val="14"/>
              </w:rPr>
              <w:t>SCR-APP-04, SCR-APP-01, SCR-MKT-09, SCR-MKT-10, SCR-APP-19, SCR-APP-11</w:t>
            </w:r>
          </w:p>
        </w:tc>
        <w:tc>
          <w:tcPr>
            <w:tcW w:type="dxa" w:w="3355"/>
            <w:tcMar>
              <w:top w:w="60" w:type="dxa"/>
              <w:start w:w="110" w:type="dxa"/>
              <w:bottom w:w="60" w:type="dxa"/>
              <w:end w:w="110" w:type="dxa"/>
            </w:tcMar>
          </w:tcPr>
          <w:p>
            <w:pPr>
              <w:spacing w:after="0"/>
            </w:pPr>
            <w:r/>
            <w:r>
              <w:rPr>
                <w:rFonts w:ascii="Consolas" w:hAnsi="Consolas"/>
                <w:color w:val="146EF5"/>
                <w:sz w:val="14"/>
              </w:rPr>
              <w:t>GET /invitations/:token</w:t>
            </w:r>
            <w:r>
              <w:rPr>
                <w:rFonts w:ascii="Calibri" w:hAnsi="Calibri"/>
                <w:b w:val="0"/>
                <w:i w:val="0"/>
                <w:color w:val="101828"/>
                <w:sz w:val="14"/>
              </w:rPr>
              <w:t xml:space="preserve">, </w:t>
            </w:r>
            <w:r>
              <w:rPr>
                <w:rFonts w:ascii="Consolas" w:hAnsi="Consolas"/>
                <w:color w:val="146EF5"/>
                <w:sz w:val="14"/>
              </w:rPr>
              <w:t>POST /auth/login</w:t>
            </w:r>
            <w:r>
              <w:rPr>
                <w:rFonts w:ascii="Calibri" w:hAnsi="Calibri"/>
                <w:b w:val="0"/>
                <w:i w:val="0"/>
                <w:color w:val="101828"/>
                <w:sz w:val="14"/>
              </w:rPr>
              <w:t xml:space="preserve">, </w:t>
            </w:r>
            <w:r>
              <w:rPr>
                <w:rFonts w:ascii="Consolas" w:hAnsi="Consolas"/>
                <w:color w:val="146EF5"/>
                <w:sz w:val="14"/>
              </w:rPr>
              <w:t>POST /auth/register</w:t>
            </w:r>
            <w:r>
              <w:rPr>
                <w:rFonts w:ascii="Calibri" w:hAnsi="Calibri"/>
                <w:b w:val="0"/>
                <w:i w:val="0"/>
                <w:color w:val="101828"/>
                <w:sz w:val="14"/>
              </w:rPr>
              <w:t xml:space="preserve">, </w:t>
            </w:r>
            <w:r>
              <w:rPr>
                <w:rFonts w:ascii="Consolas" w:hAnsi="Consolas"/>
                <w:color w:val="146EF5"/>
                <w:sz w:val="14"/>
              </w:rPr>
              <w:t>POST /invitations/:token/accept</w:t>
            </w:r>
            <w:r>
              <w:rPr>
                <w:rFonts w:ascii="Calibri" w:hAnsi="Calibri"/>
                <w:b w:val="0"/>
                <w:i w:val="0"/>
                <w:color w:val="101828"/>
                <w:sz w:val="14"/>
              </w:rPr>
              <w:t xml:space="preserve">, </w:t>
            </w:r>
            <w:r>
              <w:rPr>
                <w:rFonts w:ascii="Consolas" w:hAnsi="Consolas"/>
                <w:color w:val="146EF5"/>
                <w:sz w:val="14"/>
              </w:rPr>
              <w:t>POST /invitations/:token/decline</w:t>
            </w:r>
            <w:r>
              <w:rPr>
                <w:rFonts w:ascii="Calibri" w:hAnsi="Calibri"/>
                <w:b w:val="0"/>
                <w:i w:val="0"/>
                <w:color w:val="101828"/>
                <w:sz w:val="14"/>
              </w:rPr>
              <w:t xml:space="preserve">, </w:t>
            </w:r>
            <w:r>
              <w:rPr>
                <w:rFonts w:ascii="Consolas" w:hAnsi="Consolas"/>
                <w:color w:val="146EF5"/>
                <w:sz w:val="14"/>
              </w:rPr>
              <w:t>GET /ajos/:id</w:t>
            </w:r>
            <w:r>
              <w:rPr>
                <w:rFonts w:ascii="Calibri" w:hAnsi="Calibri"/>
                <w:b w:val="0"/>
                <w:i w:val="0"/>
                <w:color w:val="101828"/>
                <w:sz w:val="14"/>
              </w:rPr>
              <w:t xml:space="preserve">, </w:t>
            </w:r>
            <w:r>
              <w:rPr>
                <w:rFonts w:ascii="Consolas" w:hAnsi="Consolas"/>
                <w:color w:val="146EF5"/>
                <w:sz w:val="14"/>
              </w:rPr>
              <w:t>GET /ajos/:id/positions</w:t>
            </w:r>
            <w:r>
              <w:rPr>
                <w:rFonts w:ascii="Calibri" w:hAnsi="Calibri"/>
                <w:b w:val="0"/>
                <w:i w:val="0"/>
                <w:color w:val="101828"/>
                <w:sz w:val="14"/>
              </w:rPr>
              <w:t xml:space="preserve">, </w:t>
            </w:r>
            <w:r>
              <w:rPr>
                <w:rFonts w:ascii="Consolas" w:hAnsi="Consolas"/>
                <w:color w:val="146EF5"/>
                <w:sz w:val="14"/>
              </w:rPr>
              <w:t>GET /ajos/:id/schedule</w:t>
            </w:r>
            <w:r>
              <w:rPr>
                <w:rFonts w:ascii="Calibri" w:hAnsi="Calibri"/>
                <w:b w:val="0"/>
                <w:i w:val="0"/>
                <w:color w:val="101828"/>
                <w:sz w:val="14"/>
              </w:rPr>
              <w:t xml:space="preserve">, </w:t>
            </w:r>
            <w:r>
              <w:rPr>
                <w:rFonts w:ascii="Consolas" w:hAnsi="Consolas"/>
                <w:color w:val="146EF5"/>
                <w:sz w:val="14"/>
              </w:rPr>
              <w:t>GET /contributions</w:t>
            </w:r>
            <w:r>
              <w:rPr>
                <w:rFonts w:ascii="Calibri" w:hAnsi="Calibri"/>
                <w:b w:val="0"/>
                <w:i w:val="0"/>
                <w:color w:val="101828"/>
                <w:sz w:val="14"/>
              </w:rPr>
              <w:t xml:space="preserve">, </w:t>
            </w:r>
            <w:r>
              <w:rPr>
                <w:rFonts w:ascii="Consolas" w:hAnsi="Consolas"/>
                <w:color w:val="146EF5"/>
                <w:sz w:val="14"/>
              </w:rPr>
              <w:t>GET /payouts</w:t>
            </w:r>
          </w:p>
        </w:tc>
      </w:tr>
      <w:tr>
        <w:trPr>
          <w:cantSplit/>
        </w:trPr>
        <w:tc>
          <w:tcPr>
            <w:tcW w:type="dxa" w:w="1210"/>
            <w:tcMar>
              <w:top w:w="60" w:type="dxa"/>
              <w:start w:w="110" w:type="dxa"/>
              <w:bottom w:w="60" w:type="dxa"/>
              <w:end w:w="110" w:type="dxa"/>
            </w:tcMar>
            <w:shd w:val="clear" w:color="auto" w:fill="F4F7FB"/>
          </w:tcPr>
          <w:p>
            <w:pPr>
              <w:spacing w:after="0"/>
            </w:pPr>
            <w:r/>
            <w:r>
              <w:rPr>
                <w:rFonts w:ascii="Calibri" w:hAnsi="Calibri"/>
                <w:b/>
                <w:color w:val="101828"/>
                <w:sz w:val="14"/>
              </w:rPr>
              <w:t>2.4</w:t>
            </w:r>
            <w:r>
              <w:rPr>
                <w:rFonts w:ascii="Calibri" w:hAnsi="Calibri"/>
                <w:b w:val="0"/>
                <w:i w:val="0"/>
                <w:color w:val="101828"/>
                <w:sz w:val="14"/>
              </w:rPr>
              <w:t xml:space="preserve"> Contribution</w:t>
            </w:r>
          </w:p>
        </w:tc>
        <w:tc>
          <w:tcPr>
            <w:tcW w:type="dxa" w:w="2995"/>
            <w:tcMar>
              <w:top w:w="60" w:type="dxa"/>
              <w:start w:w="110" w:type="dxa"/>
              <w:bottom w:w="60" w:type="dxa"/>
              <w:end w:w="110" w:type="dxa"/>
            </w:tcMar>
            <w:shd w:val="clear" w:color="auto" w:fill="F4F7FB"/>
          </w:tcPr>
          <w:p>
            <w:pPr>
              <w:spacing w:after="0"/>
            </w:pPr>
            <w:r/>
            <w:r>
              <w:rPr>
                <w:rFonts w:ascii="Calibri" w:hAnsi="Calibri"/>
                <w:b w:val="0"/>
                <w:i w:val="0"/>
                <w:color w:val="101828"/>
                <w:sz w:val="14"/>
              </w:rPr>
              <w:t>FR-PAY-001 to FR-PAY-009, FR-CON-001 to FR-CON-007, FR-NOTIF-001, FR-NOTIF-002, FR-TXN-001; US-20 to US-25; BR-010, BR-013, BR-021, BR-022, BR-024, BR-031; NFR-SEC-007, NFR-SEC-009, NFR-PERF-003, NFR-AVL-003, NFR-LOC-002, NFR-LOC-004, NFR-AUD-006, NFR-ACC-003</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SCR-APP-01, SCR-APP-08, SCR-APP-09, SCR-APP-12, SCR-APP-11</w:t>
            </w:r>
          </w:p>
        </w:tc>
        <w:tc>
          <w:tcPr>
            <w:tcW w:type="dxa" w:w="3355"/>
            <w:tcMar>
              <w:top w:w="60" w:type="dxa"/>
              <w:start w:w="110" w:type="dxa"/>
              <w:bottom w:w="60" w:type="dxa"/>
              <w:end w:w="110" w:type="dxa"/>
            </w:tcMar>
            <w:shd w:val="clear" w:color="auto" w:fill="F4F7FB"/>
          </w:tcPr>
          <w:p>
            <w:pPr>
              <w:spacing w:after="0"/>
            </w:pPr>
            <w:r/>
            <w:r>
              <w:rPr>
                <w:rFonts w:ascii="Consolas" w:hAnsi="Consolas"/>
                <w:color w:val="146EF5"/>
                <w:sz w:val="14"/>
              </w:rPr>
              <w:t>GET /contributions</w:t>
            </w:r>
            <w:r>
              <w:rPr>
                <w:rFonts w:ascii="Calibri" w:hAnsi="Calibri"/>
                <w:b w:val="0"/>
                <w:i w:val="0"/>
                <w:color w:val="101828"/>
                <w:sz w:val="14"/>
              </w:rPr>
              <w:t xml:space="preserve">, </w:t>
            </w:r>
            <w:r>
              <w:rPr>
                <w:rFonts w:ascii="Consolas" w:hAnsi="Consolas"/>
                <w:color w:val="146EF5"/>
                <w:sz w:val="14"/>
              </w:rPr>
              <w:t>GET /contributions/:id</w:t>
            </w:r>
            <w:r>
              <w:rPr>
                <w:rFonts w:ascii="Calibri" w:hAnsi="Calibri"/>
                <w:b w:val="0"/>
                <w:i w:val="0"/>
                <w:color w:val="101828"/>
                <w:sz w:val="14"/>
              </w:rPr>
              <w:t xml:space="preserve">, </w:t>
            </w:r>
            <w:r>
              <w:rPr>
                <w:rFonts w:ascii="Consolas" w:hAnsi="Consolas"/>
                <w:color w:val="146EF5"/>
                <w:sz w:val="14"/>
              </w:rPr>
              <w:t>POST /contributions/:id/pay</w:t>
            </w:r>
            <w:r>
              <w:rPr>
                <w:rFonts w:ascii="Calibri" w:hAnsi="Calibri"/>
                <w:b w:val="0"/>
                <w:i w:val="0"/>
                <w:color w:val="101828"/>
                <w:sz w:val="14"/>
              </w:rPr>
              <w:t xml:space="preserve">, </w:t>
            </w:r>
            <w:r>
              <w:rPr>
                <w:rFonts w:ascii="Consolas" w:hAnsi="Consolas"/>
                <w:color w:val="146EF5"/>
                <w:sz w:val="14"/>
              </w:rPr>
              <w:t>POST /payments</w:t>
            </w:r>
            <w:r>
              <w:rPr>
                <w:rFonts w:ascii="Calibri" w:hAnsi="Calibri"/>
                <w:b w:val="0"/>
                <w:i w:val="0"/>
                <w:color w:val="101828"/>
                <w:sz w:val="14"/>
              </w:rPr>
              <w:t xml:space="preserve">, </w:t>
            </w:r>
            <w:r>
              <w:rPr>
                <w:rFonts w:ascii="Consolas" w:hAnsi="Consolas"/>
                <w:color w:val="146EF5"/>
                <w:sz w:val="14"/>
              </w:rPr>
              <w:t>POST /payments/:id/verify</w:t>
            </w:r>
            <w:r>
              <w:rPr>
                <w:rFonts w:ascii="Calibri" w:hAnsi="Calibri"/>
                <w:b w:val="0"/>
                <w:i w:val="0"/>
                <w:color w:val="101828"/>
                <w:sz w:val="14"/>
              </w:rPr>
              <w:t xml:space="preserve">, </w:t>
            </w:r>
            <w:r>
              <w:rPr>
                <w:rFonts w:ascii="Consolas" w:hAnsi="Consolas"/>
                <w:color w:val="146EF5"/>
                <w:sz w:val="14"/>
              </w:rPr>
              <w:t>GET /payments/:id</w:t>
            </w:r>
            <w:r>
              <w:rPr>
                <w:rFonts w:ascii="Calibri" w:hAnsi="Calibri"/>
                <w:b w:val="0"/>
                <w:i w:val="0"/>
                <w:color w:val="101828"/>
                <w:sz w:val="14"/>
              </w:rPr>
              <w:t xml:space="preserve">, </w:t>
            </w:r>
            <w:r>
              <w:rPr>
                <w:rFonts w:ascii="Consolas" w:hAnsi="Consolas"/>
                <w:color w:val="146EF5"/>
                <w:sz w:val="14"/>
              </w:rPr>
              <w:t>GET /payments/:id/receipt</w:t>
            </w:r>
            <w:r>
              <w:rPr>
                <w:rFonts w:ascii="Calibri" w:hAnsi="Calibri"/>
                <w:b w:val="0"/>
                <w:i w:val="0"/>
                <w:color w:val="101828"/>
                <w:sz w:val="14"/>
              </w:rPr>
              <w:t xml:space="preserve">, </w:t>
            </w:r>
            <w:r>
              <w:rPr>
                <w:rFonts w:ascii="Consolas" w:hAnsi="Consolas"/>
                <w:color w:val="146EF5"/>
                <w:sz w:val="14"/>
              </w:rPr>
              <w:t>POST /webhooks/payments</w:t>
            </w:r>
          </w:p>
        </w:tc>
      </w:tr>
      <w:tr>
        <w:trPr>
          <w:cantSplit/>
        </w:trPr>
        <w:tc>
          <w:tcPr>
            <w:tcW w:type="dxa" w:w="1210"/>
            <w:tcMar>
              <w:top w:w="60" w:type="dxa"/>
              <w:start w:w="110" w:type="dxa"/>
              <w:bottom w:w="60" w:type="dxa"/>
              <w:end w:w="110" w:type="dxa"/>
            </w:tcMar>
          </w:tcPr>
          <w:p>
            <w:pPr>
              <w:spacing w:after="0"/>
            </w:pPr>
            <w:r/>
            <w:r>
              <w:rPr>
                <w:rFonts w:ascii="Calibri" w:hAnsi="Calibri"/>
                <w:b/>
                <w:color w:val="101828"/>
                <w:sz w:val="14"/>
              </w:rPr>
              <w:t>2.5</w:t>
            </w:r>
            <w:r>
              <w:rPr>
                <w:rFonts w:ascii="Calibri" w:hAnsi="Calibri"/>
                <w:b w:val="0"/>
                <w:i w:val="0"/>
                <w:color w:val="101828"/>
                <w:sz w:val="14"/>
              </w:rPr>
              <w:t xml:space="preserve"> Payout</w:t>
            </w:r>
          </w:p>
        </w:tc>
        <w:tc>
          <w:tcPr>
            <w:tcW w:type="dxa" w:w="2995"/>
            <w:tcMar>
              <w:top w:w="60" w:type="dxa"/>
              <w:start w:w="110" w:type="dxa"/>
              <w:bottom w:w="60" w:type="dxa"/>
              <w:end w:w="110" w:type="dxa"/>
            </w:tcMar>
          </w:tcPr>
          <w:p>
            <w:pPr>
              <w:spacing w:after="0"/>
            </w:pPr>
            <w:r/>
            <w:r>
              <w:rPr>
                <w:rFonts w:ascii="Calibri" w:hAnsi="Calibri"/>
                <w:b w:val="0"/>
                <w:i w:val="0"/>
                <w:color w:val="101828"/>
                <w:sz w:val="14"/>
              </w:rPr>
              <w:t>FR-POUT-001 to FR-POUT-008, FR-POS-001, FR-POS-002, FR-TXN-003, FR-NOTIF-001; US-26 to US-30; BR-008, BR-012, BR-013, BR-017, BR-018, BR-020, BR-021; NFR-SEC-010, NFR-AUD-006; G4</w:t>
            </w:r>
          </w:p>
        </w:tc>
        <w:tc>
          <w:tcPr>
            <w:tcW w:type="dxa" w:w="1800"/>
            <w:tcMar>
              <w:top w:w="60" w:type="dxa"/>
              <w:start w:w="110" w:type="dxa"/>
              <w:bottom w:w="60" w:type="dxa"/>
              <w:end w:w="110" w:type="dxa"/>
            </w:tcMar>
          </w:tcPr>
          <w:p>
            <w:pPr>
              <w:spacing w:after="0"/>
            </w:pPr>
            <w:r/>
            <w:r>
              <w:rPr>
                <w:rFonts w:ascii="Calibri" w:hAnsi="Calibri"/>
                <w:b w:val="0"/>
                <w:i w:val="0"/>
                <w:color w:val="101828"/>
                <w:sz w:val="14"/>
              </w:rPr>
              <w:t>SCR-APP-10, SCR-APP-12, SCR-APP-11, SCR-APP-05</w:t>
            </w:r>
          </w:p>
        </w:tc>
        <w:tc>
          <w:tcPr>
            <w:tcW w:type="dxa" w:w="3355"/>
            <w:tcMar>
              <w:top w:w="60" w:type="dxa"/>
              <w:start w:w="110" w:type="dxa"/>
              <w:bottom w:w="60" w:type="dxa"/>
              <w:end w:w="110" w:type="dxa"/>
            </w:tcMar>
          </w:tcPr>
          <w:p>
            <w:pPr>
              <w:spacing w:after="0"/>
            </w:pPr>
            <w:r/>
            <w:r>
              <w:rPr>
                <w:rFonts w:ascii="Consolas" w:hAnsi="Consolas"/>
                <w:color w:val="146EF5"/>
                <w:sz w:val="14"/>
              </w:rPr>
              <w:t>GET /payouts</w:t>
            </w:r>
            <w:r>
              <w:rPr>
                <w:rFonts w:ascii="Calibri" w:hAnsi="Calibri"/>
                <w:b w:val="0"/>
                <w:i w:val="0"/>
                <w:color w:val="101828"/>
                <w:sz w:val="14"/>
              </w:rPr>
              <w:t xml:space="preserve">, </w:t>
            </w:r>
            <w:r>
              <w:rPr>
                <w:rFonts w:ascii="Consolas" w:hAnsi="Consolas"/>
                <w:color w:val="146EF5"/>
                <w:sz w:val="14"/>
              </w:rPr>
              <w:t>GET /payouts/:id</w:t>
            </w:r>
            <w:r>
              <w:rPr>
                <w:rFonts w:ascii="Calibri" w:hAnsi="Calibri"/>
                <w:b w:val="0"/>
                <w:i w:val="0"/>
                <w:color w:val="101828"/>
                <w:sz w:val="14"/>
              </w:rPr>
              <w:t xml:space="preserve">, </w:t>
            </w:r>
            <w:r>
              <w:rPr>
                <w:rFonts w:ascii="Consolas" w:hAnsi="Consolas"/>
                <w:color w:val="146EF5"/>
                <w:sz w:val="14"/>
              </w:rPr>
              <w:t>GET /ajos/:id/payouts</w:t>
            </w:r>
            <w:r>
              <w:rPr>
                <w:rFonts w:ascii="Calibri" w:hAnsi="Calibri"/>
                <w:b w:val="0"/>
                <w:i w:val="0"/>
                <w:color w:val="101828"/>
                <w:sz w:val="14"/>
              </w:rPr>
              <w:t xml:space="preserve">, </w:t>
            </w:r>
            <w:r>
              <w:rPr>
                <w:rFonts w:ascii="Consolas" w:hAnsi="Consolas"/>
                <w:color w:val="146EF5"/>
                <w:sz w:val="14"/>
              </w:rPr>
              <w:t>POST /payouts/:id/release</w:t>
            </w:r>
            <w:r>
              <w:rPr>
                <w:rFonts w:ascii="Calibri" w:hAnsi="Calibri"/>
                <w:b w:val="0"/>
                <w:i w:val="0"/>
                <w:color w:val="101828"/>
                <w:sz w:val="14"/>
              </w:rPr>
              <w:t xml:space="preserve"> (organizer request only), </w:t>
            </w:r>
            <w:r>
              <w:rPr>
                <w:rFonts w:ascii="Consolas" w:hAnsi="Consolas"/>
                <w:color w:val="146EF5"/>
                <w:sz w:val="14"/>
              </w:rPr>
              <w:t>GET /statements</w:t>
            </w:r>
            <w:r>
              <w:rPr>
                <w:rFonts w:ascii="Calibri" w:hAnsi="Calibri"/>
                <w:b w:val="0"/>
                <w:i w:val="0"/>
                <w:color w:val="101828"/>
                <w:sz w:val="14"/>
              </w:rPr>
              <w:t xml:space="preserve">, </w:t>
            </w:r>
            <w:r>
              <w:rPr>
                <w:rFonts w:ascii="Consolas" w:hAnsi="Consolas"/>
                <w:color w:val="146EF5"/>
                <w:sz w:val="14"/>
              </w:rPr>
              <w:t>POST /webhooks/payments</w:t>
            </w:r>
          </w:p>
        </w:tc>
      </w:tr>
      <w:tr>
        <w:trPr>
          <w:cantSplit/>
        </w:trPr>
        <w:tc>
          <w:tcPr>
            <w:tcW w:type="dxa" w:w="1210"/>
            <w:tcMar>
              <w:top w:w="60" w:type="dxa"/>
              <w:start w:w="110" w:type="dxa"/>
              <w:bottom w:w="60" w:type="dxa"/>
              <w:end w:w="110" w:type="dxa"/>
            </w:tcMar>
            <w:shd w:val="clear" w:color="auto" w:fill="F4F7FB"/>
          </w:tcPr>
          <w:p>
            <w:pPr>
              <w:spacing w:after="0"/>
            </w:pPr>
            <w:r/>
            <w:r>
              <w:rPr>
                <w:rFonts w:ascii="Calibri" w:hAnsi="Calibri"/>
                <w:b/>
                <w:color w:val="101828"/>
                <w:sz w:val="14"/>
              </w:rPr>
              <w:t>2.6</w:t>
            </w:r>
            <w:r>
              <w:rPr>
                <w:rFonts w:ascii="Calibri" w:hAnsi="Calibri"/>
                <w:b w:val="0"/>
                <w:i w:val="0"/>
                <w:color w:val="101828"/>
                <w:sz w:val="14"/>
              </w:rPr>
              <w:t xml:space="preserve"> Default</w:t>
            </w:r>
          </w:p>
        </w:tc>
        <w:tc>
          <w:tcPr>
            <w:tcW w:type="dxa" w:w="2995"/>
            <w:tcMar>
              <w:top w:w="60" w:type="dxa"/>
              <w:start w:w="110" w:type="dxa"/>
              <w:bottom w:w="60" w:type="dxa"/>
              <w:end w:w="110" w:type="dxa"/>
            </w:tcMar>
            <w:shd w:val="clear" w:color="auto" w:fill="F4F7FB"/>
          </w:tcPr>
          <w:p>
            <w:pPr>
              <w:spacing w:after="0"/>
            </w:pPr>
            <w:r/>
            <w:r>
              <w:rPr>
                <w:rFonts w:ascii="Calibri" w:hAnsi="Calibri"/>
                <w:b w:val="0"/>
                <w:i w:val="0"/>
                <w:color w:val="101828"/>
                <w:sz w:val="14"/>
              </w:rPr>
              <w:t>FR-DEF-001 to FR-DEF-009, FR-NOTIF-002, FR-NOTIF-004, FR-NOTIF-007, FR-MEM-004, FR-ADM-005, FR-ADM-006, FR-DISP-001; US-31 to US-34; BR-014, BR-015, BR-016; NFR-LOC-003; G5, C-10</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SCR-APP-08, SCR-APP-12, SCR-APP-13, SCR-APP-05, SCR-ADM-05</w:t>
            </w:r>
          </w:p>
        </w:tc>
        <w:tc>
          <w:tcPr>
            <w:tcW w:type="dxa" w:w="3355"/>
            <w:tcMar>
              <w:top w:w="60" w:type="dxa"/>
              <w:start w:w="110" w:type="dxa"/>
              <w:bottom w:w="60" w:type="dxa"/>
              <w:end w:w="110" w:type="dxa"/>
            </w:tcMar>
            <w:shd w:val="clear" w:color="auto" w:fill="F4F7FB"/>
          </w:tcPr>
          <w:p>
            <w:pPr>
              <w:spacing w:after="0"/>
            </w:pPr>
            <w:r/>
            <w:r>
              <w:rPr>
                <w:rFonts w:ascii="Consolas" w:hAnsi="Consolas"/>
                <w:color w:val="146EF5"/>
                <w:sz w:val="14"/>
              </w:rPr>
              <w:t>GET /contributions</w:t>
            </w:r>
            <w:r>
              <w:rPr>
                <w:rFonts w:ascii="Calibri" w:hAnsi="Calibri"/>
                <w:b w:val="0"/>
                <w:i w:val="0"/>
                <w:color w:val="101828"/>
                <w:sz w:val="14"/>
              </w:rPr>
              <w:t xml:space="preserve">, </w:t>
            </w:r>
            <w:r>
              <w:rPr>
                <w:rFonts w:ascii="Consolas" w:hAnsi="Consolas"/>
                <w:color w:val="146EF5"/>
                <w:sz w:val="14"/>
              </w:rPr>
              <w:t>GET /contributions/:id</w:t>
            </w:r>
            <w:r>
              <w:rPr>
                <w:rFonts w:ascii="Calibri" w:hAnsi="Calibri"/>
                <w:b w:val="0"/>
                <w:i w:val="0"/>
                <w:color w:val="101828"/>
                <w:sz w:val="14"/>
              </w:rPr>
              <w:t xml:space="preserve">, </w:t>
            </w:r>
            <w:r>
              <w:rPr>
                <w:rFonts w:ascii="Consolas" w:hAnsi="Consolas"/>
                <w:color w:val="146EF5"/>
                <w:sz w:val="14"/>
              </w:rPr>
              <w:t>POST /contributions/:id/retry</w:t>
            </w:r>
            <w:r>
              <w:rPr>
                <w:rFonts w:ascii="Calibri" w:hAnsi="Calibri"/>
                <w:b w:val="0"/>
                <w:i w:val="0"/>
                <w:color w:val="101828"/>
                <w:sz w:val="14"/>
              </w:rPr>
              <w:t xml:space="preserve">, </w:t>
            </w:r>
            <w:r>
              <w:rPr>
                <w:rFonts w:ascii="Consolas" w:hAnsi="Consolas"/>
                <w:color w:val="146EF5"/>
                <w:sz w:val="14"/>
              </w:rPr>
              <w:t>GET /ajos/:id/members</w:t>
            </w:r>
            <w:r>
              <w:rPr>
                <w:rFonts w:ascii="Calibri" w:hAnsi="Calibri"/>
                <w:b w:val="0"/>
                <w:i w:val="0"/>
                <w:color w:val="101828"/>
                <w:sz w:val="14"/>
              </w:rPr>
              <w:t xml:space="preserve">, </w:t>
            </w:r>
            <w:r>
              <w:rPr>
                <w:rFonts w:ascii="Consolas" w:hAnsi="Consolas"/>
                <w:color w:val="146EF5"/>
                <w:sz w:val="14"/>
              </w:rPr>
              <w:t>POST /ajos/:id/members/:memberId/replace</w:t>
            </w:r>
            <w:r>
              <w:rPr>
                <w:rFonts w:ascii="Calibri" w:hAnsi="Calibri"/>
                <w:b w:val="0"/>
                <w:i w:val="0"/>
                <w:color w:val="101828"/>
                <w:sz w:val="14"/>
              </w:rPr>
              <w:t xml:space="preserve"> (proposed, 2.0.2), </w:t>
            </w:r>
            <w:r>
              <w:rPr>
                <w:rFonts w:ascii="Consolas" w:hAnsi="Consolas"/>
                <w:color w:val="146EF5"/>
                <w:sz w:val="14"/>
              </w:rPr>
              <w:t>POST /admin/risk/:id/decision</w:t>
            </w:r>
            <w:r>
              <w:rPr>
                <w:rFonts w:ascii="Calibri" w:hAnsi="Calibri"/>
                <w:b w:val="0"/>
                <w:i w:val="0"/>
                <w:color w:val="101828"/>
                <w:sz w:val="14"/>
              </w:rPr>
              <w:t xml:space="preserve">, </w:t>
            </w:r>
            <w:r>
              <w:rPr>
                <w:rFonts w:ascii="Consolas" w:hAnsi="Consolas"/>
                <w:color w:val="146EF5"/>
                <w:sz w:val="14"/>
              </w:rPr>
              <w:t>GET /admin/risk</w:t>
            </w:r>
          </w:p>
        </w:tc>
      </w:tr>
      <w:tr>
        <w:trPr>
          <w:cantSplit/>
        </w:trPr>
        <w:tc>
          <w:tcPr>
            <w:tcW w:type="dxa" w:w="1210"/>
            <w:tcMar>
              <w:top w:w="60" w:type="dxa"/>
              <w:start w:w="110" w:type="dxa"/>
              <w:bottom w:w="60" w:type="dxa"/>
              <w:end w:w="110" w:type="dxa"/>
            </w:tcMar>
          </w:tcPr>
          <w:p>
            <w:pPr>
              <w:spacing w:after="0"/>
            </w:pPr>
            <w:r/>
            <w:r>
              <w:rPr>
                <w:rFonts w:ascii="Calibri" w:hAnsi="Calibri"/>
                <w:b/>
                <w:color w:val="101828"/>
                <w:sz w:val="14"/>
              </w:rPr>
              <w:t>2.7</w:t>
            </w:r>
            <w:r>
              <w:rPr>
                <w:rFonts w:ascii="Calibri" w:hAnsi="Calibri"/>
                <w:b w:val="0"/>
                <w:i w:val="0"/>
                <w:color w:val="101828"/>
                <w:sz w:val="14"/>
              </w:rPr>
              <w:t xml:space="preserve"> Failed payment</w:t>
            </w:r>
          </w:p>
        </w:tc>
        <w:tc>
          <w:tcPr>
            <w:tcW w:type="dxa" w:w="2995"/>
            <w:tcMar>
              <w:top w:w="60" w:type="dxa"/>
              <w:start w:w="110" w:type="dxa"/>
              <w:bottom w:w="60" w:type="dxa"/>
              <w:end w:w="110" w:type="dxa"/>
            </w:tcMar>
          </w:tcPr>
          <w:p>
            <w:pPr>
              <w:spacing w:after="0"/>
            </w:pPr>
            <w:r/>
            <w:r>
              <w:rPr>
                <w:rFonts w:ascii="Calibri" w:hAnsi="Calibri"/>
                <w:b w:val="0"/>
                <w:i w:val="0"/>
                <w:color w:val="101828"/>
                <w:sz w:val="14"/>
              </w:rPr>
              <w:t>FR-PAY-004, FR-PAY-006, FR-PAY-008, FR-DEF-003, FR-NOTIF-001, FR-ADM-005; BR-024, BR-021, BR-025; NFR-SEC-003, NFR-ACC-003, K-17</w:t>
            </w:r>
          </w:p>
        </w:tc>
        <w:tc>
          <w:tcPr>
            <w:tcW w:type="dxa" w:w="1800"/>
            <w:tcMar>
              <w:top w:w="60" w:type="dxa"/>
              <w:start w:w="110" w:type="dxa"/>
              <w:bottom w:w="60" w:type="dxa"/>
              <w:end w:w="110" w:type="dxa"/>
            </w:tcMar>
          </w:tcPr>
          <w:p>
            <w:pPr>
              <w:spacing w:after="0"/>
            </w:pPr>
            <w:r/>
            <w:r>
              <w:rPr>
                <w:rFonts w:ascii="Calibri" w:hAnsi="Calibri"/>
                <w:b w:val="0"/>
                <w:i w:val="0"/>
                <w:color w:val="101828"/>
                <w:sz w:val="14"/>
              </w:rPr>
              <w:t>SCR-APP-08, SCR-APP-09, SCR-APP-11, SCR-ADM-05</w:t>
            </w:r>
          </w:p>
        </w:tc>
        <w:tc>
          <w:tcPr>
            <w:tcW w:type="dxa" w:w="3355"/>
            <w:tcMar>
              <w:top w:w="60" w:type="dxa"/>
              <w:start w:w="110" w:type="dxa"/>
              <w:bottom w:w="60" w:type="dxa"/>
              <w:end w:w="110" w:type="dxa"/>
            </w:tcMar>
          </w:tcPr>
          <w:p>
            <w:pPr>
              <w:spacing w:after="0"/>
            </w:pPr>
            <w:r/>
            <w:r>
              <w:rPr>
                <w:rFonts w:ascii="Consolas" w:hAnsi="Consolas"/>
                <w:color w:val="146EF5"/>
                <w:sz w:val="14"/>
              </w:rPr>
              <w:t>POST /payments</w:t>
            </w:r>
            <w:r>
              <w:rPr>
                <w:rFonts w:ascii="Calibri" w:hAnsi="Calibri"/>
                <w:b w:val="0"/>
                <w:i w:val="0"/>
                <w:color w:val="101828"/>
                <w:sz w:val="14"/>
              </w:rPr>
              <w:t xml:space="preserve">, </w:t>
            </w:r>
            <w:r>
              <w:rPr>
                <w:rFonts w:ascii="Consolas" w:hAnsi="Consolas"/>
                <w:color w:val="146EF5"/>
                <w:sz w:val="14"/>
              </w:rPr>
              <w:t>POST /payments/:id/verify</w:t>
            </w:r>
            <w:r>
              <w:rPr>
                <w:rFonts w:ascii="Calibri" w:hAnsi="Calibri"/>
                <w:b w:val="0"/>
                <w:i w:val="0"/>
                <w:color w:val="101828"/>
                <w:sz w:val="14"/>
              </w:rPr>
              <w:t xml:space="preserve">, </w:t>
            </w:r>
            <w:r>
              <w:rPr>
                <w:rFonts w:ascii="Consolas" w:hAnsi="Consolas"/>
                <w:color w:val="146EF5"/>
                <w:sz w:val="14"/>
              </w:rPr>
              <w:t>GET /payments/:id</w:t>
            </w:r>
            <w:r>
              <w:rPr>
                <w:rFonts w:ascii="Calibri" w:hAnsi="Calibri"/>
                <w:b w:val="0"/>
                <w:i w:val="0"/>
                <w:color w:val="101828"/>
                <w:sz w:val="14"/>
              </w:rPr>
              <w:t xml:space="preserve">, </w:t>
            </w:r>
            <w:r>
              <w:rPr>
                <w:rFonts w:ascii="Consolas" w:hAnsi="Consolas"/>
                <w:color w:val="146EF5"/>
                <w:sz w:val="14"/>
              </w:rPr>
              <w:t>POST /contributions/:id/retry</w:t>
            </w:r>
            <w:r>
              <w:rPr>
                <w:rFonts w:ascii="Calibri" w:hAnsi="Calibri"/>
                <w:b w:val="0"/>
                <w:i w:val="0"/>
                <w:color w:val="101828"/>
                <w:sz w:val="14"/>
              </w:rPr>
              <w:t xml:space="preserve">, </w:t>
            </w:r>
            <w:r>
              <w:rPr>
                <w:rFonts w:ascii="Consolas" w:hAnsi="Consolas"/>
                <w:color w:val="146EF5"/>
                <w:sz w:val="14"/>
              </w:rPr>
              <w:t>POST /webhooks/payments</w:t>
            </w:r>
          </w:p>
        </w:tc>
      </w:tr>
      <w:tr>
        <w:trPr>
          <w:cantSplit/>
        </w:trPr>
        <w:tc>
          <w:tcPr>
            <w:tcW w:type="dxa" w:w="1210"/>
            <w:tcMar>
              <w:top w:w="60" w:type="dxa"/>
              <w:start w:w="110" w:type="dxa"/>
              <w:bottom w:w="60" w:type="dxa"/>
              <w:end w:w="110" w:type="dxa"/>
            </w:tcMar>
            <w:shd w:val="clear" w:color="auto" w:fill="F4F7FB"/>
          </w:tcPr>
          <w:p>
            <w:pPr>
              <w:spacing w:after="0"/>
            </w:pPr>
            <w:r/>
            <w:r>
              <w:rPr>
                <w:rFonts w:ascii="Calibri" w:hAnsi="Calibri"/>
                <w:b/>
                <w:color w:val="101828"/>
                <w:sz w:val="14"/>
              </w:rPr>
              <w:t>2.8</w:t>
            </w:r>
            <w:r>
              <w:rPr>
                <w:rFonts w:ascii="Calibri" w:hAnsi="Calibri"/>
                <w:b w:val="0"/>
                <w:i w:val="0"/>
                <w:color w:val="101828"/>
                <w:sz w:val="14"/>
              </w:rPr>
              <w:t xml:space="preserve"> Cancelled payment</w:t>
            </w:r>
          </w:p>
        </w:tc>
        <w:tc>
          <w:tcPr>
            <w:tcW w:type="dxa" w:w="2995"/>
            <w:tcMar>
              <w:top w:w="60" w:type="dxa"/>
              <w:start w:w="110" w:type="dxa"/>
              <w:bottom w:w="60" w:type="dxa"/>
              <w:end w:w="110" w:type="dxa"/>
            </w:tcMar>
            <w:shd w:val="clear" w:color="auto" w:fill="F4F7FB"/>
          </w:tcPr>
          <w:p>
            <w:pPr>
              <w:spacing w:after="0"/>
            </w:pPr>
            <w:r/>
            <w:r>
              <w:rPr>
                <w:rFonts w:ascii="Calibri" w:hAnsi="Calibri"/>
                <w:b w:val="0"/>
                <w:i w:val="0"/>
                <w:color w:val="101828"/>
                <w:sz w:val="14"/>
              </w:rPr>
              <w:t>FR-PAY-004, FR-PAY-006, FR-CON-002, FR-DEF-003; BR-024, BR-005, BR-016; NFR-PERF-003, NFR-PERF-004, NFR-AVL-003</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SCR-APP-08, SCR-APP-09, SCR-APP-11</w:t>
            </w:r>
          </w:p>
        </w:tc>
        <w:tc>
          <w:tcPr>
            <w:tcW w:type="dxa" w:w="3355"/>
            <w:tcMar>
              <w:top w:w="60" w:type="dxa"/>
              <w:start w:w="110" w:type="dxa"/>
              <w:bottom w:w="60" w:type="dxa"/>
              <w:end w:w="110" w:type="dxa"/>
            </w:tcMar>
            <w:shd w:val="clear" w:color="auto" w:fill="F4F7FB"/>
          </w:tcPr>
          <w:p>
            <w:pPr>
              <w:spacing w:after="0"/>
            </w:pPr>
            <w:r/>
            <w:r>
              <w:rPr>
                <w:rFonts w:ascii="Consolas" w:hAnsi="Consolas"/>
                <w:color w:val="146EF5"/>
                <w:sz w:val="14"/>
              </w:rPr>
              <w:t>POST /payments</w:t>
            </w:r>
            <w:r>
              <w:rPr>
                <w:rFonts w:ascii="Calibri" w:hAnsi="Calibri"/>
                <w:b w:val="0"/>
                <w:i w:val="0"/>
                <w:color w:val="101828"/>
                <w:sz w:val="14"/>
              </w:rPr>
              <w:t xml:space="preserve">, </w:t>
            </w:r>
            <w:r>
              <w:rPr>
                <w:rFonts w:ascii="Consolas" w:hAnsi="Consolas"/>
                <w:color w:val="146EF5"/>
                <w:sz w:val="14"/>
              </w:rPr>
              <w:t>GET /payments/:id</w:t>
            </w:r>
            <w:r>
              <w:rPr>
                <w:rFonts w:ascii="Calibri" w:hAnsi="Calibri"/>
                <w:b w:val="0"/>
                <w:i w:val="0"/>
                <w:color w:val="101828"/>
                <w:sz w:val="14"/>
              </w:rPr>
              <w:t xml:space="preserve">, </w:t>
            </w:r>
            <w:r>
              <w:rPr>
                <w:rFonts w:ascii="Consolas" w:hAnsi="Consolas"/>
                <w:color w:val="146EF5"/>
                <w:sz w:val="14"/>
              </w:rPr>
              <w:t>POST /payments/:id/verify</w:t>
            </w:r>
            <w:r>
              <w:rPr>
                <w:rFonts w:ascii="Calibri" w:hAnsi="Calibri"/>
                <w:b w:val="0"/>
                <w:i w:val="0"/>
                <w:color w:val="101828"/>
                <w:sz w:val="14"/>
              </w:rPr>
              <w:t xml:space="preserve">, </w:t>
            </w:r>
            <w:r>
              <w:rPr>
                <w:rFonts w:ascii="Consolas" w:hAnsi="Consolas"/>
                <w:color w:val="146EF5"/>
                <w:sz w:val="14"/>
              </w:rPr>
              <w:t>POST /contributions/:id/retry</w:t>
            </w:r>
            <w:r>
              <w:rPr>
                <w:rFonts w:ascii="Calibri" w:hAnsi="Calibri"/>
                <w:b w:val="0"/>
                <w:i w:val="0"/>
                <w:color w:val="101828"/>
                <w:sz w:val="14"/>
              </w:rPr>
              <w:t xml:space="preserve">, </w:t>
            </w:r>
            <w:r>
              <w:rPr>
                <w:rFonts w:ascii="Consolas" w:hAnsi="Consolas"/>
                <w:color w:val="146EF5"/>
                <w:sz w:val="14"/>
              </w:rPr>
              <w:t>POST /webhooks/payments</w:t>
            </w:r>
          </w:p>
        </w:tc>
      </w:tr>
      <w:tr>
        <w:trPr>
          <w:cantSplit/>
        </w:trPr>
        <w:tc>
          <w:tcPr>
            <w:tcW w:type="dxa" w:w="1210"/>
            <w:tcMar>
              <w:top w:w="60" w:type="dxa"/>
              <w:start w:w="110" w:type="dxa"/>
              <w:bottom w:w="60" w:type="dxa"/>
              <w:end w:w="110" w:type="dxa"/>
            </w:tcMar>
          </w:tcPr>
          <w:p>
            <w:pPr>
              <w:spacing w:after="0"/>
            </w:pPr>
            <w:r/>
            <w:r>
              <w:rPr>
                <w:rFonts w:ascii="Calibri" w:hAnsi="Calibri"/>
                <w:b/>
                <w:color w:val="101828"/>
                <w:sz w:val="14"/>
              </w:rPr>
              <w:t>2.9</w:t>
            </w:r>
            <w:r>
              <w:rPr>
                <w:rFonts w:ascii="Calibri" w:hAnsi="Calibri"/>
                <w:b w:val="0"/>
                <w:i w:val="0"/>
                <w:color w:val="101828"/>
                <w:sz w:val="14"/>
              </w:rPr>
              <w:t xml:space="preserve"> Refund</w:t>
            </w:r>
          </w:p>
        </w:tc>
        <w:tc>
          <w:tcPr>
            <w:tcW w:type="dxa" w:w="2995"/>
            <w:tcMar>
              <w:top w:w="60" w:type="dxa"/>
              <w:start w:w="110" w:type="dxa"/>
              <w:bottom w:w="60" w:type="dxa"/>
              <w:end w:w="110" w:type="dxa"/>
            </w:tcMar>
          </w:tcPr>
          <w:p>
            <w:pPr>
              <w:spacing w:after="0"/>
            </w:pPr>
            <w:r/>
            <w:r>
              <w:rPr>
                <w:rFonts w:ascii="Calibri" w:hAnsi="Calibri"/>
                <w:b w:val="0"/>
                <w:i w:val="0"/>
                <w:color w:val="101828"/>
                <w:sz w:val="14"/>
              </w:rPr>
              <w:t>FR-PAY-007, FR-TXN-001, FR-TXN-004, FR-ADM-006, FR-ADM-011, FR-AJO-007, FR-AJO-008; BR-001, BR-013, BR-023, BR-024, BR-025, BR-032; NFR-AUD-003, NFR-AUD-004, NFR-AUD-006; D-05, D-07</w:t>
            </w:r>
          </w:p>
        </w:tc>
        <w:tc>
          <w:tcPr>
            <w:tcW w:type="dxa" w:w="1800"/>
            <w:tcMar>
              <w:top w:w="60" w:type="dxa"/>
              <w:start w:w="110" w:type="dxa"/>
              <w:bottom w:w="60" w:type="dxa"/>
              <w:end w:w="110" w:type="dxa"/>
            </w:tcMar>
          </w:tcPr>
          <w:p>
            <w:pPr>
              <w:spacing w:after="0"/>
            </w:pPr>
            <w:r/>
            <w:r>
              <w:rPr>
                <w:rFonts w:ascii="Calibri" w:hAnsi="Calibri"/>
                <w:b w:val="0"/>
                <w:i w:val="0"/>
                <w:color w:val="101828"/>
                <w:sz w:val="14"/>
              </w:rPr>
              <w:t>SCR-APP-05, SCR-APP-10, SCR-APP-11, SCR-APP-13, SCR-ADM-04, SCR-ADM-05</w:t>
            </w:r>
          </w:p>
        </w:tc>
        <w:tc>
          <w:tcPr>
            <w:tcW w:type="dxa" w:w="3355"/>
            <w:tcMar>
              <w:top w:w="60" w:type="dxa"/>
              <w:start w:w="110" w:type="dxa"/>
              <w:bottom w:w="60" w:type="dxa"/>
              <w:end w:w="110" w:type="dxa"/>
            </w:tcMar>
          </w:tcPr>
          <w:p>
            <w:pPr>
              <w:spacing w:after="0"/>
            </w:pPr>
            <w:r/>
            <w:r>
              <w:rPr>
                <w:rFonts w:ascii="Consolas" w:hAnsi="Consolas"/>
                <w:color w:val="146EF5"/>
                <w:sz w:val="14"/>
              </w:rPr>
              <w:t>POST /contributions/:id/refund</w:t>
            </w:r>
            <w:r>
              <w:rPr>
                <w:rFonts w:ascii="Calibri" w:hAnsi="Calibri"/>
                <w:b w:val="0"/>
                <w:i w:val="0"/>
                <w:color w:val="101828"/>
                <w:sz w:val="14"/>
              </w:rPr>
              <w:t xml:space="preserve"> (</w:t>
            </w:r>
            <w:r>
              <w:rPr>
                <w:rFonts w:ascii="Calibri" w:hAnsi="Calibri"/>
                <w:b/>
                <w:color w:val="101828"/>
                <w:sz w:val="14"/>
              </w:rPr>
              <w:t>proposed</w:t>
            </w:r>
            <w:r>
              <w:rPr>
                <w:rFonts w:ascii="Calibri" w:hAnsi="Calibri"/>
                <w:b w:val="0"/>
                <w:i w:val="0"/>
                <w:color w:val="101828"/>
                <w:sz w:val="14"/>
              </w:rPr>
              <w:t xml:space="preserve">), </w:t>
            </w:r>
            <w:r>
              <w:rPr>
                <w:rFonts w:ascii="Consolas" w:hAnsi="Consolas"/>
                <w:color w:val="146EF5"/>
                <w:sz w:val="14"/>
              </w:rPr>
              <w:t>GET /payments/:id</w:t>
            </w:r>
            <w:r>
              <w:rPr>
                <w:rFonts w:ascii="Calibri" w:hAnsi="Calibri"/>
                <w:b w:val="0"/>
                <w:i w:val="0"/>
                <w:color w:val="101828"/>
                <w:sz w:val="14"/>
              </w:rPr>
              <w:t xml:space="preserve">, </w:t>
            </w:r>
            <w:r>
              <w:rPr>
                <w:rFonts w:ascii="Consolas" w:hAnsi="Consolas"/>
                <w:color w:val="146EF5"/>
                <w:sz w:val="14"/>
              </w:rPr>
              <w:t>GET /payments/:id/receipt</w:t>
            </w:r>
            <w:r>
              <w:rPr>
                <w:rFonts w:ascii="Calibri" w:hAnsi="Calibri"/>
                <w:b w:val="0"/>
                <w:i w:val="0"/>
                <w:color w:val="101828"/>
                <w:sz w:val="14"/>
              </w:rPr>
              <w:t xml:space="preserve">, </w:t>
            </w:r>
            <w:r>
              <w:rPr>
                <w:rFonts w:ascii="Consolas" w:hAnsi="Consolas"/>
                <w:color w:val="146EF5"/>
                <w:sz w:val="14"/>
              </w:rPr>
              <w:t>GET /transactions</w:t>
            </w:r>
            <w:r>
              <w:rPr>
                <w:rFonts w:ascii="Calibri" w:hAnsi="Calibri"/>
                <w:b w:val="0"/>
                <w:i w:val="0"/>
                <w:color w:val="101828"/>
                <w:sz w:val="14"/>
              </w:rPr>
              <w:t xml:space="preserve">, </w:t>
            </w:r>
            <w:r>
              <w:rPr>
                <w:rFonts w:ascii="Consolas" w:hAnsi="Consolas"/>
                <w:color w:val="146EF5"/>
                <w:sz w:val="14"/>
              </w:rPr>
              <w:t>POST /admin/risk/:id/decision</w:t>
            </w:r>
          </w:p>
        </w:tc>
      </w:tr>
      <w:tr>
        <w:trPr>
          <w:cantSplit/>
        </w:trPr>
        <w:tc>
          <w:tcPr>
            <w:tcW w:type="dxa" w:w="1210"/>
            <w:tcMar>
              <w:top w:w="60" w:type="dxa"/>
              <w:start w:w="110" w:type="dxa"/>
              <w:bottom w:w="60" w:type="dxa"/>
              <w:end w:w="110" w:type="dxa"/>
            </w:tcMar>
            <w:shd w:val="clear" w:color="auto" w:fill="F4F7FB"/>
          </w:tcPr>
          <w:p>
            <w:pPr>
              <w:spacing w:after="0"/>
            </w:pPr>
            <w:r/>
            <w:r>
              <w:rPr>
                <w:rFonts w:ascii="Calibri" w:hAnsi="Calibri"/>
                <w:b/>
                <w:color w:val="101828"/>
                <w:sz w:val="14"/>
              </w:rPr>
              <w:t>2.10</w:t>
            </w:r>
            <w:r>
              <w:rPr>
                <w:rFonts w:ascii="Calibri" w:hAnsi="Calibri"/>
                <w:b w:val="0"/>
                <w:i w:val="0"/>
                <w:color w:val="101828"/>
                <w:sz w:val="14"/>
              </w:rPr>
              <w:t xml:space="preserve"> Leaving an Ajo</w:t>
            </w:r>
          </w:p>
        </w:tc>
        <w:tc>
          <w:tcPr>
            <w:tcW w:type="dxa" w:w="2995"/>
            <w:tcMar>
              <w:top w:w="60" w:type="dxa"/>
              <w:start w:w="110" w:type="dxa"/>
              <w:bottom w:w="60" w:type="dxa"/>
              <w:end w:w="110" w:type="dxa"/>
            </w:tcMar>
            <w:shd w:val="clear" w:color="auto" w:fill="F4F7FB"/>
          </w:tcPr>
          <w:p>
            <w:pPr>
              <w:spacing w:after="0"/>
            </w:pPr>
            <w:r/>
            <w:r>
              <w:rPr>
                <w:rFonts w:ascii="Calibri" w:hAnsi="Calibri"/>
                <w:b w:val="0"/>
                <w:i w:val="0"/>
                <w:color w:val="101828"/>
                <w:sz w:val="14"/>
              </w:rPr>
              <w:t>FR-MEM-003, FR-MEM-006, FR-MEM-007, FR-MEM-008, FR-JOIN-006, FR-DEF-008, FR-AJO-011, FR-POUT-005; US-35; BR-002, BR-003, BR-004, BR-005, BR-007, BR-008, BR-015, BR-018, BR-032; C-06, G4</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SCR-APP-04, SCR-APP-05, SCR-APP-06, SCR-APP-08, SCR-APP-10, SCR-APP-11</w:t>
            </w:r>
          </w:p>
        </w:tc>
        <w:tc>
          <w:tcPr>
            <w:tcW w:type="dxa" w:w="3355"/>
            <w:tcMar>
              <w:top w:w="60" w:type="dxa"/>
              <w:start w:w="110" w:type="dxa"/>
              <w:bottom w:w="60" w:type="dxa"/>
              <w:end w:w="110" w:type="dxa"/>
            </w:tcMar>
            <w:shd w:val="clear" w:color="auto" w:fill="F4F7FB"/>
          </w:tcPr>
          <w:p>
            <w:pPr>
              <w:spacing w:after="0"/>
            </w:pPr>
            <w:r/>
            <w:r>
              <w:rPr>
                <w:rFonts w:ascii="Consolas" w:hAnsi="Consolas"/>
                <w:color w:val="146EF5"/>
                <w:sz w:val="14"/>
              </w:rPr>
              <w:t>POST /invitations/:token/decline</w:t>
            </w:r>
            <w:r>
              <w:rPr>
                <w:rFonts w:ascii="Calibri" w:hAnsi="Calibri"/>
                <w:b w:val="0"/>
                <w:i w:val="0"/>
                <w:color w:val="101828"/>
                <w:sz w:val="14"/>
              </w:rPr>
              <w:t xml:space="preserve">, </w:t>
            </w:r>
            <w:r>
              <w:rPr>
                <w:rFonts w:ascii="Consolas" w:hAnsi="Consolas"/>
                <w:color w:val="146EF5"/>
                <w:sz w:val="14"/>
              </w:rPr>
              <w:t>DELETE /ajos/:id/members/:memberId</w:t>
            </w:r>
            <w:r>
              <w:rPr>
                <w:rFonts w:ascii="Calibri" w:hAnsi="Calibri"/>
                <w:b w:val="0"/>
                <w:i w:val="0"/>
                <w:color w:val="101828"/>
                <w:sz w:val="14"/>
              </w:rPr>
              <w:t xml:space="preserve"> (pre-activation only), </w:t>
            </w:r>
            <w:r>
              <w:rPr>
                <w:rFonts w:ascii="Consolas" w:hAnsi="Consolas"/>
                <w:color w:val="146EF5"/>
                <w:sz w:val="14"/>
              </w:rPr>
              <w:t>POST /ajos/:id/members/:memberId/replace</w:t>
            </w:r>
            <w:r>
              <w:rPr>
                <w:rFonts w:ascii="Calibri" w:hAnsi="Calibri"/>
                <w:b w:val="0"/>
                <w:i w:val="0"/>
                <w:color w:val="101828"/>
                <w:sz w:val="14"/>
              </w:rPr>
              <w:t xml:space="preserve"> (</w:t>
            </w:r>
            <w:r>
              <w:rPr>
                <w:rFonts w:ascii="Calibri" w:hAnsi="Calibri"/>
                <w:b/>
                <w:color w:val="101828"/>
                <w:sz w:val="14"/>
              </w:rPr>
              <w:t>proposed</w:t>
            </w:r>
            <w:r>
              <w:rPr>
                <w:rFonts w:ascii="Calibri" w:hAnsi="Calibri"/>
                <w:b w:val="0"/>
                <w:i w:val="0"/>
                <w:color w:val="101828"/>
                <w:sz w:val="14"/>
              </w:rPr>
              <w:t xml:space="preserve">), </w:t>
            </w:r>
            <w:r>
              <w:rPr>
                <w:rFonts w:ascii="Consolas" w:hAnsi="Consolas"/>
                <w:color w:val="146EF5"/>
                <w:sz w:val="14"/>
              </w:rPr>
              <w:t>GET /ajos/:id/members</w:t>
            </w:r>
            <w:r>
              <w:rPr>
                <w:rFonts w:ascii="Calibri" w:hAnsi="Calibri"/>
                <w:b w:val="0"/>
                <w:i w:val="0"/>
                <w:color w:val="101828"/>
                <w:sz w:val="14"/>
              </w:rPr>
              <w:t xml:space="preserve">, </w:t>
            </w:r>
            <w:r>
              <w:rPr>
                <w:rFonts w:ascii="Consolas" w:hAnsi="Consolas"/>
                <w:color w:val="146EF5"/>
                <w:sz w:val="14"/>
              </w:rPr>
              <w:t>PATCH /ajos/:id/members/:memberId</w:t>
            </w:r>
          </w:p>
        </w:tc>
      </w:tr>
      <w:tr>
        <w:trPr>
          <w:cantSplit/>
        </w:trPr>
        <w:tc>
          <w:tcPr>
            <w:tcW w:type="dxa" w:w="1210"/>
            <w:tcMar>
              <w:top w:w="60" w:type="dxa"/>
              <w:start w:w="110" w:type="dxa"/>
              <w:bottom w:w="60" w:type="dxa"/>
              <w:end w:w="110" w:type="dxa"/>
            </w:tcMar>
          </w:tcPr>
          <w:p>
            <w:pPr>
              <w:spacing w:after="0"/>
            </w:pPr>
            <w:r/>
            <w:r>
              <w:rPr>
                <w:rFonts w:ascii="Calibri" w:hAnsi="Calibri"/>
                <w:b/>
                <w:color w:val="101828"/>
                <w:sz w:val="14"/>
              </w:rPr>
              <w:t>2.11</w:t>
            </w:r>
            <w:r>
              <w:rPr>
                <w:rFonts w:ascii="Calibri" w:hAnsi="Calibri"/>
                <w:b w:val="0"/>
                <w:i w:val="0"/>
                <w:color w:val="101828"/>
                <w:sz w:val="14"/>
              </w:rPr>
              <w:t xml:space="preserve"> Dispute</w:t>
            </w:r>
          </w:p>
        </w:tc>
        <w:tc>
          <w:tcPr>
            <w:tcW w:type="dxa" w:w="2995"/>
            <w:tcMar>
              <w:top w:w="60" w:type="dxa"/>
              <w:start w:w="110" w:type="dxa"/>
              <w:bottom w:w="60" w:type="dxa"/>
              <w:end w:w="110" w:type="dxa"/>
            </w:tcMar>
          </w:tcPr>
          <w:p>
            <w:pPr>
              <w:spacing w:after="0"/>
            </w:pPr>
            <w:r/>
            <w:r>
              <w:rPr>
                <w:rFonts w:ascii="Calibri" w:hAnsi="Calibri"/>
                <w:b w:val="0"/>
                <w:i w:val="0"/>
                <w:color w:val="101828"/>
                <w:sz w:val="14"/>
              </w:rPr>
              <w:t>FR-DISP-001 to FR-DISP-007, FR-ADM-004, FR-ADM-006, FR-NOTIF-001; US-30, US-31, US-37; BR-014, BR-018, BR-023; NFR-SEC-006, NFR-AUD-001, NFR-AUD-003, NFR-AUD-004; N8, P5, K-13</w:t>
            </w:r>
          </w:p>
        </w:tc>
        <w:tc>
          <w:tcPr>
            <w:tcW w:type="dxa" w:w="1800"/>
            <w:tcMar>
              <w:top w:w="60" w:type="dxa"/>
              <w:start w:w="110" w:type="dxa"/>
              <w:bottom w:w="60" w:type="dxa"/>
              <w:end w:w="110" w:type="dxa"/>
            </w:tcMar>
          </w:tcPr>
          <w:p>
            <w:pPr>
              <w:spacing w:after="0"/>
            </w:pPr>
            <w:r/>
            <w:r>
              <w:rPr>
                <w:rFonts w:ascii="Calibri" w:hAnsi="Calibri"/>
                <w:b w:val="0"/>
                <w:i w:val="0"/>
                <w:color w:val="101828"/>
                <w:sz w:val="14"/>
              </w:rPr>
              <w:t>SCR-APP-08, SCR-APP-11, SCR-APP-14, SCR-APP-13, SCR-ADM-04, SCR-ADM-05</w:t>
            </w:r>
          </w:p>
        </w:tc>
        <w:tc>
          <w:tcPr>
            <w:tcW w:type="dxa" w:w="3355"/>
            <w:tcMar>
              <w:top w:w="60" w:type="dxa"/>
              <w:start w:w="110" w:type="dxa"/>
              <w:bottom w:w="60" w:type="dxa"/>
              <w:end w:w="110" w:type="dxa"/>
            </w:tcMar>
          </w:tcPr>
          <w:p>
            <w:pPr>
              <w:spacing w:after="0"/>
            </w:pPr>
            <w:r/>
            <w:r>
              <w:rPr>
                <w:rFonts w:ascii="Consolas" w:hAnsi="Consolas"/>
                <w:color w:val="146EF5"/>
                <w:sz w:val="14"/>
              </w:rPr>
              <w:t>POST /disputes</w:t>
            </w:r>
            <w:r>
              <w:rPr>
                <w:rFonts w:ascii="Calibri" w:hAnsi="Calibri"/>
                <w:b w:val="0"/>
                <w:i w:val="0"/>
                <w:color w:val="101828"/>
                <w:sz w:val="14"/>
              </w:rPr>
              <w:t xml:space="preserve">, </w:t>
            </w:r>
            <w:r>
              <w:rPr>
                <w:rFonts w:ascii="Consolas" w:hAnsi="Consolas"/>
                <w:color w:val="146EF5"/>
                <w:sz w:val="14"/>
              </w:rPr>
              <w:t>GET /disputes</w:t>
            </w:r>
            <w:r>
              <w:rPr>
                <w:rFonts w:ascii="Calibri" w:hAnsi="Calibri"/>
                <w:b w:val="0"/>
                <w:i w:val="0"/>
                <w:color w:val="101828"/>
                <w:sz w:val="14"/>
              </w:rPr>
              <w:t xml:space="preserve">, </w:t>
            </w:r>
            <w:r>
              <w:rPr>
                <w:rFonts w:ascii="Consolas" w:hAnsi="Consolas"/>
                <w:color w:val="146EF5"/>
                <w:sz w:val="14"/>
              </w:rPr>
              <w:t>GET /disputes/:id</w:t>
            </w:r>
            <w:r>
              <w:rPr>
                <w:rFonts w:ascii="Calibri" w:hAnsi="Calibri"/>
                <w:b w:val="0"/>
                <w:i w:val="0"/>
                <w:color w:val="101828"/>
                <w:sz w:val="14"/>
              </w:rPr>
              <w:t xml:space="preserve">, </w:t>
            </w:r>
            <w:r>
              <w:rPr>
                <w:rFonts w:ascii="Consolas" w:hAnsi="Consolas"/>
                <w:color w:val="146EF5"/>
                <w:sz w:val="14"/>
              </w:rPr>
              <w:t>POST /disputes/:id/evidence</w:t>
            </w:r>
            <w:r>
              <w:rPr>
                <w:rFonts w:ascii="Calibri" w:hAnsi="Calibri"/>
                <w:b w:val="0"/>
                <w:i w:val="0"/>
                <w:color w:val="101828"/>
                <w:sz w:val="14"/>
              </w:rPr>
              <w:t xml:space="preserve">, </w:t>
            </w:r>
            <w:r>
              <w:rPr>
                <w:rFonts w:ascii="Consolas" w:hAnsi="Consolas"/>
                <w:color w:val="146EF5"/>
                <w:sz w:val="14"/>
              </w:rPr>
              <w:t>POST /disputes/:id/messages</w:t>
            </w:r>
          </w:p>
        </w:tc>
      </w:tr>
      <w:tr>
        <w:trPr>
          <w:cantSplit/>
        </w:trPr>
        <w:tc>
          <w:tcPr>
            <w:tcW w:type="dxa" w:w="1210"/>
            <w:tcMar>
              <w:top w:w="60" w:type="dxa"/>
              <w:start w:w="110" w:type="dxa"/>
              <w:bottom w:w="60" w:type="dxa"/>
              <w:end w:w="110" w:type="dxa"/>
            </w:tcMar>
            <w:shd w:val="clear" w:color="auto" w:fill="F4F7FB"/>
          </w:tcPr>
          <w:p>
            <w:pPr>
              <w:spacing w:after="0"/>
            </w:pPr>
            <w:r/>
            <w:r>
              <w:rPr>
                <w:rFonts w:ascii="Calibri" w:hAnsi="Calibri"/>
                <w:b/>
                <w:color w:val="101828"/>
                <w:sz w:val="14"/>
              </w:rPr>
              <w:t>2.12</w:t>
            </w:r>
            <w:r>
              <w:rPr>
                <w:rFonts w:ascii="Calibri" w:hAnsi="Calibri"/>
                <w:b w:val="0"/>
                <w:i w:val="0"/>
                <w:color w:val="101828"/>
                <w:sz w:val="14"/>
              </w:rPr>
              <w:t xml:space="preserve"> Suspension</w:t>
            </w:r>
          </w:p>
        </w:tc>
        <w:tc>
          <w:tcPr>
            <w:tcW w:type="dxa" w:w="2995"/>
            <w:tcMar>
              <w:top w:w="60" w:type="dxa"/>
              <w:start w:w="110" w:type="dxa"/>
              <w:bottom w:w="60" w:type="dxa"/>
              <w:end w:w="110" w:type="dxa"/>
            </w:tcMar>
            <w:shd w:val="clear" w:color="auto" w:fill="F4F7FB"/>
          </w:tcPr>
          <w:p>
            <w:pPr>
              <w:spacing w:after="0"/>
            </w:pPr>
            <w:r/>
            <w:r>
              <w:rPr>
                <w:rFonts w:ascii="Calibri" w:hAnsi="Calibri"/>
                <w:b w:val="0"/>
                <w:i w:val="0"/>
                <w:color w:val="101828"/>
                <w:sz w:val="14"/>
              </w:rPr>
              <w:t>FR-SEC-001 to FR-SEC-009, FR-ADM-005, FR-ADM-006, FR-ADM-007, FR-TXN-001, FR-TXN-004, FR-NOTIF-001; US-04, US-05, US-35, US-36, US-38; BR-014, BR-017, BR-018, BR-025, BR-030; NFR-SEC-005, NFR-AUD-003, NFR-AUD-004, G6</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SCR-APP-12, SCR-APP-13, SCR-APP-17, SCR-APP-10, SCR-ADM-02, SCR-ADM-05, SCR-ADM-08</w:t>
            </w:r>
          </w:p>
        </w:tc>
        <w:tc>
          <w:tcPr>
            <w:tcW w:type="dxa" w:w="3355"/>
            <w:tcMar>
              <w:top w:w="60" w:type="dxa"/>
              <w:start w:w="110" w:type="dxa"/>
              <w:bottom w:w="60" w:type="dxa"/>
              <w:end w:w="110" w:type="dxa"/>
            </w:tcMar>
            <w:shd w:val="clear" w:color="auto" w:fill="F4F7FB"/>
          </w:tcPr>
          <w:p>
            <w:pPr>
              <w:spacing w:after="0"/>
            </w:pPr>
            <w:r/>
            <w:r>
              <w:rPr>
                <w:rFonts w:ascii="Consolas" w:hAnsi="Consolas"/>
                <w:color w:val="146EF5"/>
                <w:sz w:val="14"/>
              </w:rPr>
              <w:t>POST /admin/users/:id/freeze</w:t>
            </w:r>
            <w:r>
              <w:rPr>
                <w:rFonts w:ascii="Calibri" w:hAnsi="Calibri"/>
                <w:b w:val="0"/>
                <w:i w:val="0"/>
                <w:color w:val="101828"/>
                <w:sz w:val="14"/>
              </w:rPr>
              <w:t xml:space="preserve">, </w:t>
            </w:r>
            <w:r>
              <w:rPr>
                <w:rFonts w:ascii="Consolas" w:hAnsi="Consolas"/>
                <w:color w:val="146EF5"/>
                <w:sz w:val="14"/>
              </w:rPr>
              <w:t>POST /admin/risk/:id/decision</w:t>
            </w:r>
            <w:r>
              <w:rPr>
                <w:rFonts w:ascii="Calibri" w:hAnsi="Calibri"/>
                <w:b w:val="0"/>
                <w:i w:val="0"/>
                <w:color w:val="101828"/>
                <w:sz w:val="14"/>
              </w:rPr>
              <w:t xml:space="preserve">, </w:t>
            </w:r>
            <w:r>
              <w:rPr>
                <w:rFonts w:ascii="Consolas" w:hAnsi="Consolas"/>
                <w:color w:val="146EF5"/>
                <w:sz w:val="14"/>
              </w:rPr>
              <w:t>GET /admin/users</w:t>
            </w:r>
            <w:r>
              <w:rPr>
                <w:rFonts w:ascii="Calibri" w:hAnsi="Calibri"/>
                <w:b w:val="0"/>
                <w:i w:val="0"/>
                <w:color w:val="101828"/>
                <w:sz w:val="14"/>
              </w:rPr>
              <w:t xml:space="preserve">, </w:t>
            </w:r>
            <w:r>
              <w:rPr>
                <w:rFonts w:ascii="Consolas" w:hAnsi="Consolas"/>
                <w:color w:val="146EF5"/>
                <w:sz w:val="14"/>
              </w:rPr>
              <w:t>GET /admin/audit-logs</w:t>
            </w:r>
            <w:r>
              <w:rPr>
                <w:rFonts w:ascii="Calibri" w:hAnsi="Calibri"/>
                <w:b w:val="0"/>
                <w:i w:val="0"/>
                <w:color w:val="101828"/>
                <w:sz w:val="14"/>
              </w:rPr>
              <w:t xml:space="preserve">, </w:t>
            </w:r>
            <w:r>
              <w:rPr>
                <w:rFonts w:ascii="Consolas" w:hAnsi="Consolas"/>
                <w:color w:val="146EF5"/>
                <w:sz w:val="14"/>
              </w:rPr>
              <w:t>GET /auth/sessions</w:t>
            </w:r>
            <w:r>
              <w:rPr>
                <w:rFonts w:ascii="Calibri" w:hAnsi="Calibri"/>
                <w:b w:val="0"/>
                <w:i w:val="0"/>
                <w:color w:val="101828"/>
                <w:sz w:val="14"/>
              </w:rPr>
              <w:t xml:space="preserve">, </w:t>
            </w:r>
            <w:r>
              <w:rPr>
                <w:rFonts w:ascii="Consolas" w:hAnsi="Consolas"/>
                <w:color w:val="146EF5"/>
                <w:sz w:val="14"/>
              </w:rPr>
              <w:t>DELETE /auth/sessions/:id</w:t>
            </w:r>
          </w:p>
        </w:tc>
      </w:tr>
      <w:tr>
        <w:trPr>
          <w:cantSplit/>
        </w:trPr>
        <w:tc>
          <w:tcPr>
            <w:tcW w:type="dxa" w:w="1210"/>
            <w:tcMar>
              <w:top w:w="60" w:type="dxa"/>
              <w:start w:w="110" w:type="dxa"/>
              <w:bottom w:w="60" w:type="dxa"/>
              <w:end w:w="110" w:type="dxa"/>
            </w:tcMar>
          </w:tcPr>
          <w:p>
            <w:pPr>
              <w:spacing w:after="0"/>
            </w:pPr>
            <w:r/>
            <w:r>
              <w:rPr>
                <w:rFonts w:ascii="Calibri" w:hAnsi="Calibri"/>
                <w:b/>
                <w:color w:val="101828"/>
                <w:sz w:val="14"/>
              </w:rPr>
              <w:t>2.13</w:t>
            </w:r>
            <w:r>
              <w:rPr>
                <w:rFonts w:ascii="Calibri" w:hAnsi="Calibri"/>
                <w:b w:val="0"/>
                <w:i w:val="0"/>
                <w:color w:val="101828"/>
                <w:sz w:val="14"/>
              </w:rPr>
              <w:t xml:space="preserve"> Password reset</w:t>
            </w:r>
          </w:p>
        </w:tc>
        <w:tc>
          <w:tcPr>
            <w:tcW w:type="dxa" w:w="2995"/>
            <w:tcMar>
              <w:top w:w="60" w:type="dxa"/>
              <w:start w:w="110" w:type="dxa"/>
              <w:bottom w:w="60" w:type="dxa"/>
              <w:end w:w="110" w:type="dxa"/>
            </w:tcMar>
          </w:tcPr>
          <w:p>
            <w:pPr>
              <w:spacing w:after="0"/>
            </w:pPr>
            <w:r/>
            <w:r>
              <w:rPr>
                <w:rFonts w:ascii="Calibri" w:hAnsi="Calibri"/>
                <w:b w:val="0"/>
                <w:i w:val="0"/>
                <w:color w:val="101828"/>
                <w:sz w:val="14"/>
              </w:rPr>
              <w:t>FR-AUTH-006 to FR-AUTH-010, FR-SEC-001 to FR-SEC-005, FR-NOTIF-001, FR-ADM-004; US-03, US-04, US-05, US-13; BR-030, BR-023; NFR-SEC-001, NFR-SEC-002, NFR-SEC-003, NFR-SEC-004, NFR-SEC-005, NFR-SEC-008</w:t>
            </w:r>
          </w:p>
        </w:tc>
        <w:tc>
          <w:tcPr>
            <w:tcW w:type="dxa" w:w="1800"/>
            <w:tcMar>
              <w:top w:w="60" w:type="dxa"/>
              <w:start w:w="110" w:type="dxa"/>
              <w:bottom w:w="60" w:type="dxa"/>
              <w:end w:w="110" w:type="dxa"/>
            </w:tcMar>
          </w:tcPr>
          <w:p>
            <w:pPr>
              <w:spacing w:after="0"/>
            </w:pPr>
            <w:r/>
            <w:r>
              <w:rPr>
                <w:rFonts w:ascii="Calibri" w:hAnsi="Calibri"/>
                <w:b w:val="0"/>
                <w:i w:val="0"/>
                <w:color w:val="101828"/>
                <w:sz w:val="14"/>
              </w:rPr>
              <w:t>SCR-MKT-09, SCR-APP-17, SCR-APP-13, SCR-APP-12</w:t>
            </w:r>
          </w:p>
        </w:tc>
        <w:tc>
          <w:tcPr>
            <w:tcW w:type="dxa" w:w="3355"/>
            <w:tcMar>
              <w:top w:w="60" w:type="dxa"/>
              <w:start w:w="110" w:type="dxa"/>
              <w:bottom w:w="60" w:type="dxa"/>
              <w:end w:w="110" w:type="dxa"/>
            </w:tcMar>
          </w:tcPr>
          <w:p>
            <w:pPr>
              <w:spacing w:after="0"/>
            </w:pPr>
            <w:r/>
            <w:r>
              <w:rPr>
                <w:rFonts w:ascii="Consolas" w:hAnsi="Consolas"/>
                <w:color w:val="146EF5"/>
                <w:sz w:val="14"/>
              </w:rPr>
              <w:t>POST /auth/password/forgot</w:t>
            </w:r>
            <w:r>
              <w:rPr>
                <w:rFonts w:ascii="Calibri" w:hAnsi="Calibri"/>
                <w:b w:val="0"/>
                <w:i w:val="0"/>
                <w:color w:val="101828"/>
                <w:sz w:val="14"/>
              </w:rPr>
              <w:t xml:space="preserve">, </w:t>
            </w:r>
            <w:r>
              <w:rPr>
                <w:rFonts w:ascii="Consolas" w:hAnsi="Consolas"/>
                <w:color w:val="146EF5"/>
                <w:sz w:val="14"/>
              </w:rPr>
              <w:t>POST /auth/password/reset</w:t>
            </w:r>
            <w:r>
              <w:rPr>
                <w:rFonts w:ascii="Calibri" w:hAnsi="Calibri"/>
                <w:b w:val="0"/>
                <w:i w:val="0"/>
                <w:color w:val="101828"/>
                <w:sz w:val="14"/>
              </w:rPr>
              <w:t xml:space="preserve">, </w:t>
            </w:r>
            <w:r>
              <w:rPr>
                <w:rFonts w:ascii="Consolas" w:hAnsi="Consolas"/>
                <w:color w:val="146EF5"/>
                <w:sz w:val="14"/>
              </w:rPr>
              <w:t>POST /auth/otp/request</w:t>
            </w:r>
            <w:r>
              <w:rPr>
                <w:rFonts w:ascii="Calibri" w:hAnsi="Calibri"/>
                <w:b w:val="0"/>
                <w:i w:val="0"/>
                <w:color w:val="101828"/>
                <w:sz w:val="14"/>
              </w:rPr>
              <w:t xml:space="preserve">, </w:t>
            </w:r>
            <w:r>
              <w:rPr>
                <w:rFonts w:ascii="Consolas" w:hAnsi="Consolas"/>
                <w:color w:val="146EF5"/>
                <w:sz w:val="14"/>
              </w:rPr>
              <w:t>POST /auth/otp/verify</w:t>
            </w:r>
            <w:r>
              <w:rPr>
                <w:rFonts w:ascii="Calibri" w:hAnsi="Calibri"/>
                <w:b w:val="0"/>
                <w:i w:val="0"/>
                <w:color w:val="101828"/>
                <w:sz w:val="14"/>
              </w:rPr>
              <w:t xml:space="preserve">, </w:t>
            </w:r>
            <w:r>
              <w:rPr>
                <w:rFonts w:ascii="Consolas" w:hAnsi="Consolas"/>
                <w:color w:val="146EF5"/>
                <w:sz w:val="14"/>
              </w:rPr>
              <w:t>GET /auth/sessions</w:t>
            </w:r>
            <w:r>
              <w:rPr>
                <w:rFonts w:ascii="Calibri" w:hAnsi="Calibri"/>
                <w:b w:val="0"/>
                <w:i w:val="0"/>
                <w:color w:val="101828"/>
                <w:sz w:val="14"/>
              </w:rPr>
              <w:t xml:space="preserve">, </w:t>
            </w:r>
            <w:r>
              <w:rPr>
                <w:rFonts w:ascii="Consolas" w:hAnsi="Consolas"/>
                <w:color w:val="146EF5"/>
                <w:sz w:val="14"/>
              </w:rPr>
              <w:t>DELETE /auth/sessions/:id</w:t>
            </w:r>
          </w:p>
        </w:tc>
      </w:tr>
      <w:tr>
        <w:trPr>
          <w:cantSplit/>
        </w:trPr>
        <w:tc>
          <w:tcPr>
            <w:tcW w:type="dxa" w:w="1210"/>
            <w:tcMar>
              <w:top w:w="60" w:type="dxa"/>
              <w:start w:w="110" w:type="dxa"/>
              <w:bottom w:w="60" w:type="dxa"/>
              <w:end w:w="110" w:type="dxa"/>
            </w:tcMar>
            <w:shd w:val="clear" w:color="auto" w:fill="F4F7FB"/>
          </w:tcPr>
          <w:p>
            <w:pPr>
              <w:spacing w:after="0"/>
            </w:pPr>
            <w:r/>
            <w:r>
              <w:rPr>
                <w:rFonts w:ascii="Calibri" w:hAnsi="Calibri"/>
                <w:b/>
                <w:color w:val="101828"/>
                <w:sz w:val="14"/>
              </w:rPr>
              <w:t>2.14</w:t>
            </w:r>
            <w:r>
              <w:rPr>
                <w:rFonts w:ascii="Calibri" w:hAnsi="Calibri"/>
                <w:b w:val="0"/>
                <w:i w:val="0"/>
                <w:color w:val="101828"/>
                <w:sz w:val="14"/>
              </w:rPr>
              <w:t xml:space="preserve"> Verification failure</w:t>
            </w:r>
          </w:p>
        </w:tc>
        <w:tc>
          <w:tcPr>
            <w:tcW w:type="dxa" w:w="2995"/>
            <w:tcMar>
              <w:top w:w="60" w:type="dxa"/>
              <w:start w:w="110" w:type="dxa"/>
              <w:bottom w:w="60" w:type="dxa"/>
              <w:end w:w="110" w:type="dxa"/>
            </w:tcMar>
            <w:shd w:val="clear" w:color="auto" w:fill="F4F7FB"/>
          </w:tcPr>
          <w:p>
            <w:pPr>
              <w:spacing w:after="0"/>
            </w:pPr>
            <w:r/>
            <w:r>
              <w:rPr>
                <w:rFonts w:ascii="Calibri" w:hAnsi="Calibri"/>
                <w:b w:val="0"/>
                <w:i w:val="0"/>
                <w:color w:val="101828"/>
                <w:sz w:val="14"/>
              </w:rPr>
              <w:t>FR-KYC-001 to FR-KYC-007, FR-NOTIF-001, FR-ADM-005, FR-ADM-006, FR-POUT-004, FR-JOIN-005; US-06, US-19; BR-025, BR-030; NFR-AUD-002, NFR-SEC-010, NFR-SEC-003; D-04, R10, K-21</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SCR-APP-19, SCR-APP-10, SCR-APP-14, SCR-ADM-05, SCR-ADM-06</w:t>
            </w:r>
          </w:p>
        </w:tc>
        <w:tc>
          <w:tcPr>
            <w:tcW w:type="dxa" w:w="3355"/>
            <w:tcMar>
              <w:top w:w="60" w:type="dxa"/>
              <w:start w:w="110" w:type="dxa"/>
              <w:bottom w:w="60" w:type="dxa"/>
              <w:end w:w="110" w:type="dxa"/>
            </w:tcMar>
            <w:shd w:val="clear" w:color="auto" w:fill="F4F7FB"/>
          </w:tcPr>
          <w:p>
            <w:pPr>
              <w:spacing w:after="0"/>
            </w:pPr>
            <w:r/>
            <w:r>
              <w:rPr>
                <w:rFonts w:ascii="Consolas" w:hAnsi="Consolas"/>
                <w:color w:val="146EF5"/>
                <w:sz w:val="14"/>
              </w:rPr>
              <w:t>POST /verification/identity</w:t>
            </w:r>
            <w:r>
              <w:rPr>
                <w:rFonts w:ascii="Calibri" w:hAnsi="Calibri"/>
                <w:b w:val="0"/>
                <w:i w:val="0"/>
                <w:color w:val="101828"/>
                <w:sz w:val="14"/>
              </w:rPr>
              <w:t xml:space="preserve">, </w:t>
            </w:r>
            <w:r>
              <w:rPr>
                <w:rFonts w:ascii="Consolas" w:hAnsi="Consolas"/>
                <w:color w:val="146EF5"/>
                <w:sz w:val="14"/>
              </w:rPr>
              <w:t>POST /verification/bvn</w:t>
            </w:r>
            <w:r>
              <w:rPr>
                <w:rFonts w:ascii="Calibri" w:hAnsi="Calibri"/>
                <w:b w:val="0"/>
                <w:i w:val="0"/>
                <w:color w:val="101828"/>
                <w:sz w:val="14"/>
              </w:rPr>
              <w:t xml:space="preserve">, </w:t>
            </w:r>
            <w:r>
              <w:rPr>
                <w:rFonts w:ascii="Consolas" w:hAnsi="Consolas"/>
                <w:color w:val="146EF5"/>
                <w:sz w:val="14"/>
              </w:rPr>
              <w:t>GET /verification/:id</w:t>
            </w:r>
            <w:r>
              <w:rPr>
                <w:rFonts w:ascii="Calibri" w:hAnsi="Calibri"/>
                <w:b w:val="0"/>
                <w:i w:val="0"/>
                <w:color w:val="101828"/>
                <w:sz w:val="14"/>
              </w:rPr>
              <w:t xml:space="preserve">, </w:t>
            </w:r>
            <w:r>
              <w:rPr>
                <w:rFonts w:ascii="Consolas" w:hAnsi="Consolas"/>
                <w:color w:val="146EF5"/>
                <w:sz w:val="14"/>
              </w:rPr>
              <w:t>GET /admin/verification</w:t>
            </w:r>
            <w:r>
              <w:rPr>
                <w:rFonts w:ascii="Calibri" w:hAnsi="Calibri"/>
                <w:b w:val="0"/>
                <w:i w:val="0"/>
                <w:color w:val="101828"/>
                <w:sz w:val="14"/>
              </w:rPr>
              <w:t xml:space="preserve"> (</w:t>
            </w:r>
            <w:r>
              <w:rPr>
                <w:rFonts w:ascii="Calibri" w:hAnsi="Calibri"/>
                <w:b/>
                <w:color w:val="101828"/>
                <w:sz w:val="14"/>
              </w:rPr>
              <w:t>proposed</w:t>
            </w:r>
            <w:r>
              <w:rPr>
                <w:rFonts w:ascii="Calibri" w:hAnsi="Calibri"/>
                <w:b w:val="0"/>
                <w:i w:val="0"/>
                <w:color w:val="101828"/>
                <w:sz w:val="14"/>
              </w:rPr>
              <w:t xml:space="preserve">; the canonical surface exposes </w:t>
            </w:r>
            <w:r>
              <w:rPr>
                <w:rFonts w:ascii="Consolas" w:hAnsi="Consolas"/>
                <w:color w:val="146EF5"/>
                <w:sz w:val="14"/>
              </w:rPr>
              <w:t>GET /admin/users</w:t>
            </w:r>
            <w:r>
              <w:rPr>
                <w:rFonts w:ascii="Calibri" w:hAnsi="Calibri"/>
                <w:b w:val="0"/>
                <w:i w:val="0"/>
                <w:color w:val="101828"/>
                <w:sz w:val="14"/>
              </w:rPr>
              <w:t xml:space="preserve"> and </w:t>
            </w:r>
            <w:r>
              <w:rPr>
                <w:rFonts w:ascii="Consolas" w:hAnsi="Consolas"/>
                <w:color w:val="146EF5"/>
                <w:sz w:val="14"/>
              </w:rPr>
              <w:t>GET /admin/risk</w:t>
            </w:r>
            <w:r>
              <w:rPr>
                <w:rFonts w:ascii="Calibri" w:hAnsi="Calibri"/>
                <w:b w:val="0"/>
                <w:i w:val="0"/>
                <w:color w:val="101828"/>
                <w:sz w:val="14"/>
              </w:rPr>
              <w:t>, and the Verification screen is in the canonical inventory without a listed path)</w:t>
            </w:r>
          </w:p>
        </w:tc>
      </w:tr>
      <w:tr>
        <w:trPr>
          <w:cantSplit/>
        </w:trPr>
        <w:tc>
          <w:tcPr>
            <w:tcW w:type="dxa" w:w="1210"/>
            <w:tcMar>
              <w:top w:w="60" w:type="dxa"/>
              <w:start w:w="110" w:type="dxa"/>
              <w:bottom w:w="60" w:type="dxa"/>
              <w:end w:w="110" w:type="dxa"/>
            </w:tcMar>
          </w:tcPr>
          <w:p>
            <w:pPr>
              <w:spacing w:after="0"/>
            </w:pPr>
            <w:r/>
            <w:r>
              <w:rPr>
                <w:rFonts w:ascii="Calibri" w:hAnsi="Calibri"/>
                <w:b/>
                <w:color w:val="101828"/>
                <w:sz w:val="14"/>
              </w:rPr>
              <w:t>2.15</w:t>
            </w:r>
            <w:r>
              <w:rPr>
                <w:rFonts w:ascii="Calibri" w:hAnsi="Calibri"/>
                <w:b w:val="0"/>
                <w:i w:val="0"/>
                <w:color w:val="101828"/>
                <w:sz w:val="14"/>
              </w:rPr>
              <w:t xml:space="preserve"> Fraud detection</w:t>
            </w:r>
          </w:p>
        </w:tc>
        <w:tc>
          <w:tcPr>
            <w:tcW w:type="dxa" w:w="2995"/>
            <w:tcMar>
              <w:top w:w="60" w:type="dxa"/>
              <w:start w:w="110" w:type="dxa"/>
              <w:bottom w:w="60" w:type="dxa"/>
              <w:end w:w="110" w:type="dxa"/>
            </w:tcMar>
          </w:tcPr>
          <w:p>
            <w:pPr>
              <w:spacing w:after="0"/>
            </w:pPr>
            <w:r/>
            <w:r>
              <w:rPr>
                <w:rFonts w:ascii="Calibri" w:hAnsi="Calibri"/>
                <w:b w:val="0"/>
                <w:i w:val="0"/>
                <w:color w:val="101828"/>
                <w:sz w:val="14"/>
              </w:rPr>
              <w:t>FR-ADM-005, FR-ADM-006, FR-ADM-010, FR-ADM-011, FR-KYC-001, FR-KYC-005, FR-SEC-001 to FR-SEC-007, FR-POUT-004, FR-DEF-009, FR-MEM-002; US-36, US-37, US-38; BR-025, BR-030; NFR-AUD-003, NFR-AUD-005, NFR-SEC-009, NFR-SEC-010; D-08, R4, R12, R13, DEP-11</w:t>
            </w:r>
          </w:p>
        </w:tc>
        <w:tc>
          <w:tcPr>
            <w:tcW w:type="dxa" w:w="1800"/>
            <w:tcMar>
              <w:top w:w="60" w:type="dxa"/>
              <w:start w:w="110" w:type="dxa"/>
              <w:bottom w:w="60" w:type="dxa"/>
              <w:end w:w="110" w:type="dxa"/>
            </w:tcMar>
          </w:tcPr>
          <w:p>
            <w:pPr>
              <w:spacing w:after="0"/>
            </w:pPr>
            <w:r/>
            <w:r>
              <w:rPr>
                <w:rFonts w:ascii="Calibri" w:hAnsi="Calibri"/>
                <w:b w:val="0"/>
                <w:i w:val="0"/>
                <w:color w:val="101828"/>
                <w:sz w:val="14"/>
              </w:rPr>
              <w:t>SCR-APP-19, SCR-APP-10, SCR-APP-13, SCR-ADM-05, SCR-ADM-06, SCR-ADM-08</w:t>
            </w:r>
          </w:p>
        </w:tc>
        <w:tc>
          <w:tcPr>
            <w:tcW w:type="dxa" w:w="3355"/>
            <w:tcMar>
              <w:top w:w="60" w:type="dxa"/>
              <w:start w:w="110" w:type="dxa"/>
              <w:bottom w:w="60" w:type="dxa"/>
              <w:end w:w="110" w:type="dxa"/>
            </w:tcMar>
          </w:tcPr>
          <w:p>
            <w:pPr>
              <w:spacing w:after="0"/>
            </w:pPr>
            <w:r/>
            <w:r>
              <w:rPr>
                <w:rFonts w:ascii="Consolas" w:hAnsi="Consolas"/>
                <w:color w:val="146EF5"/>
                <w:sz w:val="14"/>
              </w:rPr>
              <w:t>GET /admin/risk</w:t>
            </w:r>
            <w:r>
              <w:rPr>
                <w:rFonts w:ascii="Calibri" w:hAnsi="Calibri"/>
                <w:b w:val="0"/>
                <w:i w:val="0"/>
                <w:color w:val="101828"/>
                <w:sz w:val="14"/>
              </w:rPr>
              <w:t xml:space="preserve">, </w:t>
            </w:r>
            <w:r>
              <w:rPr>
                <w:rFonts w:ascii="Consolas" w:hAnsi="Consolas"/>
                <w:color w:val="146EF5"/>
                <w:sz w:val="14"/>
              </w:rPr>
              <w:t>POST /admin/risk/:id/decision</w:t>
            </w:r>
            <w:r>
              <w:rPr>
                <w:rFonts w:ascii="Calibri" w:hAnsi="Calibri"/>
                <w:b w:val="0"/>
                <w:i w:val="0"/>
                <w:color w:val="101828"/>
                <w:sz w:val="14"/>
              </w:rPr>
              <w:t xml:space="preserve">, </w:t>
            </w:r>
            <w:r>
              <w:rPr>
                <w:rFonts w:ascii="Consolas" w:hAnsi="Consolas"/>
                <w:color w:val="146EF5"/>
                <w:sz w:val="14"/>
              </w:rPr>
              <w:t>POST /admin/users/:id/freeze</w:t>
            </w:r>
            <w:r>
              <w:rPr>
                <w:rFonts w:ascii="Calibri" w:hAnsi="Calibri"/>
                <w:b w:val="0"/>
                <w:i w:val="0"/>
                <w:color w:val="101828"/>
                <w:sz w:val="14"/>
              </w:rPr>
              <w:t xml:space="preserve">, </w:t>
            </w:r>
            <w:r>
              <w:rPr>
                <w:rFonts w:ascii="Consolas" w:hAnsi="Consolas"/>
                <w:color w:val="146EF5"/>
                <w:sz w:val="14"/>
              </w:rPr>
              <w:t>GET /admin/audit-logs</w:t>
            </w:r>
            <w:r>
              <w:rPr>
                <w:rFonts w:ascii="Calibri" w:hAnsi="Calibri"/>
                <w:b w:val="0"/>
                <w:i w:val="0"/>
                <w:color w:val="101828"/>
                <w:sz w:val="14"/>
              </w:rPr>
              <w:t xml:space="preserve">, </w:t>
            </w:r>
            <w:r>
              <w:rPr>
                <w:rFonts w:ascii="Consolas" w:hAnsi="Consolas"/>
                <w:color w:val="146EF5"/>
                <w:sz w:val="14"/>
              </w:rPr>
              <w:t>GET /admin/reports/*</w:t>
            </w:r>
          </w:p>
        </w:tc>
      </w:tr>
      <w:tr>
        <w:trPr>
          <w:cantSplit/>
        </w:trPr>
        <w:tc>
          <w:tcPr>
            <w:tcW w:type="dxa" w:w="1210"/>
            <w:tcMar>
              <w:top w:w="60" w:type="dxa"/>
              <w:start w:w="110" w:type="dxa"/>
              <w:bottom w:w="60" w:type="dxa"/>
              <w:end w:w="110" w:type="dxa"/>
            </w:tcMar>
            <w:shd w:val="clear" w:color="auto" w:fill="F4F7FB"/>
          </w:tcPr>
          <w:p>
            <w:pPr>
              <w:spacing w:after="0"/>
            </w:pPr>
            <w:r/>
            <w:r>
              <w:rPr>
                <w:rFonts w:ascii="Calibri" w:hAnsi="Calibri"/>
                <w:b/>
                <w:color w:val="101828"/>
                <w:sz w:val="14"/>
              </w:rPr>
              <w:t>2.16</w:t>
            </w:r>
            <w:r>
              <w:rPr>
                <w:rFonts w:ascii="Calibri" w:hAnsi="Calibri"/>
                <w:b w:val="0"/>
                <w:i w:val="0"/>
                <w:color w:val="101828"/>
                <w:sz w:val="14"/>
              </w:rPr>
              <w:t xml:space="preserve"> Admin intervention</w:t>
            </w:r>
          </w:p>
        </w:tc>
        <w:tc>
          <w:tcPr>
            <w:tcW w:type="dxa" w:w="2995"/>
            <w:tcMar>
              <w:top w:w="60" w:type="dxa"/>
              <w:start w:w="110" w:type="dxa"/>
              <w:bottom w:w="60" w:type="dxa"/>
              <w:end w:w="110" w:type="dxa"/>
            </w:tcMar>
            <w:shd w:val="clear" w:color="auto" w:fill="F4F7FB"/>
          </w:tcPr>
          <w:p>
            <w:pPr>
              <w:spacing w:after="0"/>
            </w:pPr>
            <w:r/>
            <w:r>
              <w:rPr>
                <w:rFonts w:ascii="Calibri" w:hAnsi="Calibri"/>
                <w:b w:val="0"/>
                <w:i w:val="0"/>
                <w:color w:val="101828"/>
                <w:sz w:val="14"/>
              </w:rPr>
              <w:t>FR-ADM-001 to FR-ADM-012, FR-AJO-012, FR-MEM-007, FR-DEF-009, FR-PAY-009, FR-DISP-003, FR-DISP-005; US-12, US-13, US-37, US-38; BR-008, BR-013, BR-015, BR-017, BR-018, BR-021, BR-023, BR-025, BR-026; NFR-AUD-001, NFR-AUD-003, NFR-AUD-004, NFR-AUD-005, NFR-AUD-006, NFR-AVL-003; G1, G4, G6, D-03, D-06, DEP-11, DEP-12, DEP-15</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SCR-ADM-01, SCR-ADM-02, SCR-ADM-03, SCR-ADM-04, SCR-ADM-05, SCR-ADM-07, SCR-ADM-08, SCR-ADM-09, SCR-APP-05, SCR-APP-13</w:t>
            </w:r>
          </w:p>
        </w:tc>
        <w:tc>
          <w:tcPr>
            <w:tcW w:type="dxa" w:w="3355"/>
            <w:tcMar>
              <w:top w:w="60" w:type="dxa"/>
              <w:start w:w="110" w:type="dxa"/>
              <w:bottom w:w="60" w:type="dxa"/>
              <w:end w:w="110" w:type="dxa"/>
            </w:tcMar>
            <w:shd w:val="clear" w:color="auto" w:fill="F4F7FB"/>
          </w:tcPr>
          <w:p>
            <w:pPr>
              <w:spacing w:after="0"/>
            </w:pPr>
            <w:r/>
            <w:r>
              <w:rPr>
                <w:rFonts w:ascii="Consolas" w:hAnsi="Consolas"/>
                <w:color w:val="146EF5"/>
                <w:sz w:val="14"/>
              </w:rPr>
              <w:t>GET /admin/overview</w:t>
            </w:r>
            <w:r>
              <w:rPr>
                <w:rFonts w:ascii="Calibri" w:hAnsi="Calibri"/>
                <w:b w:val="0"/>
                <w:i w:val="0"/>
                <w:color w:val="101828"/>
                <w:sz w:val="14"/>
              </w:rPr>
              <w:t xml:space="preserve">, </w:t>
            </w:r>
            <w:r>
              <w:rPr>
                <w:rFonts w:ascii="Consolas" w:hAnsi="Consolas"/>
                <w:color w:val="146EF5"/>
                <w:sz w:val="14"/>
              </w:rPr>
              <w:t>GET /admin/users</w:t>
            </w:r>
            <w:r>
              <w:rPr>
                <w:rFonts w:ascii="Calibri" w:hAnsi="Calibri"/>
                <w:b w:val="0"/>
                <w:i w:val="0"/>
                <w:color w:val="101828"/>
                <w:sz w:val="14"/>
              </w:rPr>
              <w:t xml:space="preserve">, </w:t>
            </w:r>
            <w:r>
              <w:rPr>
                <w:rFonts w:ascii="Consolas" w:hAnsi="Consolas"/>
                <w:color w:val="146EF5"/>
                <w:sz w:val="14"/>
              </w:rPr>
              <w:t>GET /admin/ajos</w:t>
            </w:r>
            <w:r>
              <w:rPr>
                <w:rFonts w:ascii="Calibri" w:hAnsi="Calibri"/>
                <w:b w:val="0"/>
                <w:i w:val="0"/>
                <w:color w:val="101828"/>
                <w:sz w:val="14"/>
              </w:rPr>
              <w:t xml:space="preserve">, </w:t>
            </w:r>
            <w:r>
              <w:rPr>
                <w:rFonts w:ascii="Consolas" w:hAnsi="Consolas"/>
                <w:color w:val="146EF5"/>
                <w:sz w:val="14"/>
              </w:rPr>
              <w:t>GET /admin/disputes</w:t>
            </w:r>
            <w:r>
              <w:rPr>
                <w:rFonts w:ascii="Calibri" w:hAnsi="Calibri"/>
                <w:b w:val="0"/>
                <w:i w:val="0"/>
                <w:color w:val="101828"/>
                <w:sz w:val="14"/>
              </w:rPr>
              <w:t xml:space="preserve">, </w:t>
            </w:r>
            <w:r>
              <w:rPr>
                <w:rFonts w:ascii="Consolas" w:hAnsi="Consolas"/>
                <w:color w:val="146EF5"/>
                <w:sz w:val="14"/>
              </w:rPr>
              <w:t>GET /admin/risk</w:t>
            </w:r>
            <w:r>
              <w:rPr>
                <w:rFonts w:ascii="Calibri" w:hAnsi="Calibri"/>
                <w:b w:val="0"/>
                <w:i w:val="0"/>
                <w:color w:val="101828"/>
                <w:sz w:val="14"/>
              </w:rPr>
              <w:t xml:space="preserve">, </w:t>
            </w:r>
            <w:r>
              <w:rPr>
                <w:rFonts w:ascii="Consolas" w:hAnsi="Consolas"/>
                <w:color w:val="146EF5"/>
                <w:sz w:val="14"/>
              </w:rPr>
              <w:t>POST /admin/risk/:id/decision</w:t>
            </w:r>
            <w:r>
              <w:rPr>
                <w:rFonts w:ascii="Calibri" w:hAnsi="Calibri"/>
                <w:b w:val="0"/>
                <w:i w:val="0"/>
                <w:color w:val="101828"/>
                <w:sz w:val="14"/>
              </w:rPr>
              <w:t xml:space="preserve">, </w:t>
            </w:r>
            <w:r>
              <w:rPr>
                <w:rFonts w:ascii="Consolas" w:hAnsi="Consolas"/>
                <w:color w:val="146EF5"/>
                <w:sz w:val="14"/>
              </w:rPr>
              <w:t>POST /admin/users/:id/freeze</w:t>
            </w:r>
            <w:r>
              <w:rPr>
                <w:rFonts w:ascii="Calibri" w:hAnsi="Calibri"/>
                <w:b w:val="0"/>
                <w:i w:val="0"/>
                <w:color w:val="101828"/>
                <w:sz w:val="14"/>
              </w:rPr>
              <w:t xml:space="preserve">, </w:t>
            </w:r>
            <w:r>
              <w:rPr>
                <w:rFonts w:ascii="Consolas" w:hAnsi="Consolas"/>
                <w:color w:val="146EF5"/>
                <w:sz w:val="14"/>
              </w:rPr>
              <w:t>GET /admin/audit-logs</w:t>
            </w:r>
            <w:r>
              <w:rPr>
                <w:rFonts w:ascii="Calibri" w:hAnsi="Calibri"/>
                <w:b w:val="0"/>
                <w:i w:val="0"/>
                <w:color w:val="101828"/>
                <w:sz w:val="14"/>
              </w:rPr>
              <w:t xml:space="preserve">, </w:t>
            </w:r>
            <w:r>
              <w:rPr>
                <w:rFonts w:ascii="Consolas" w:hAnsi="Consolas"/>
                <w:color w:val="146EF5"/>
                <w:sz w:val="14"/>
              </w:rPr>
              <w:t>GET /admin/reports/*</w:t>
            </w:r>
          </w:p>
        </w:tc>
      </w:tr>
    </w:tbl>
    <w:p>
      <w:pPr>
        <w:spacing w:after="80"/>
      </w:pPr>
    </w:p>
    <w:p>
      <w:pPr>
        <w:pStyle w:val="Heading3"/>
      </w:pPr>
      <w:r>
        <w:rPr>
          <w:rFonts w:ascii="Calibri" w:hAnsi="Calibri"/>
          <w:b/>
          <w:i w:val="0"/>
          <w:color w:val="0B1F3A"/>
          <w:sz w:val="24"/>
        </w:rPr>
        <w:t>2.17.2 Coverage gaps and open items this matrix exposes</w:t>
      </w:r>
    </w:p>
    <w:p>
      <w:r>
        <w:rPr>
          <w:rFonts w:ascii="Calibri" w:hAnsi="Calibri"/>
          <w:b w:val="0"/>
          <w:i w:val="0"/>
          <w:color w:val="101828"/>
          <w:sz w:val="21"/>
        </w:rPr>
        <w:t>A traceability matrix earns its place by admitting what it cannot cover. The following are the gaps it exposes, stated plainly rather than smoothed over.</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419"/>
            <w:shd w:val="clear" w:color="auto" w:fill="0B1F3A"/>
            <w:tcMar>
              <w:top w:w="60" w:type="dxa"/>
              <w:start w:w="110" w:type="dxa"/>
              <w:bottom w:w="60" w:type="dxa"/>
              <w:end w:w="110" w:type="dxa"/>
            </w:tcMar>
          </w:tcPr>
          <w:p>
            <w:pPr>
              <w:spacing w:after="0"/>
            </w:pPr>
            <w:r/>
            <w:r>
              <w:rPr>
                <w:rFonts w:ascii="Calibri" w:hAnsi="Calibri"/>
                <w:b/>
                <w:i w:val="0"/>
                <w:color w:val="FFFFFF"/>
                <w:sz w:val="15"/>
              </w:rPr>
              <w:t>Gap</w:t>
            </w:r>
          </w:p>
        </w:tc>
        <w:tc>
          <w:tcPr>
            <w:tcW w:type="dxa" w:w="3672"/>
            <w:shd w:val="clear" w:color="auto" w:fill="0B1F3A"/>
            <w:tcMar>
              <w:top w:w="60" w:type="dxa"/>
              <w:start w:w="110" w:type="dxa"/>
              <w:bottom w:w="60" w:type="dxa"/>
              <w:end w:w="110" w:type="dxa"/>
            </w:tcMar>
          </w:tcPr>
          <w:p>
            <w:pPr>
              <w:spacing w:after="0"/>
            </w:pPr>
            <w:r/>
            <w:r>
              <w:rPr>
                <w:rFonts w:ascii="Calibri" w:hAnsi="Calibri"/>
                <w:b/>
                <w:i w:val="0"/>
                <w:color w:val="FFFFFF"/>
                <w:sz w:val="15"/>
              </w:rPr>
              <w:t>Why it exists</w:t>
            </w:r>
          </w:p>
        </w:tc>
        <w:tc>
          <w:tcPr>
            <w:tcW w:type="dxa" w:w="3269"/>
            <w:shd w:val="clear" w:color="auto" w:fill="0B1F3A"/>
            <w:tcMar>
              <w:top w:w="60" w:type="dxa"/>
              <w:start w:w="110" w:type="dxa"/>
              <w:bottom w:w="60" w:type="dxa"/>
              <w:end w:w="110" w:type="dxa"/>
            </w:tcMar>
          </w:tcPr>
          <w:p>
            <w:pPr>
              <w:spacing w:after="0"/>
            </w:pPr>
            <w:r/>
            <w:r>
              <w:rPr>
                <w:rFonts w:ascii="Calibri" w:hAnsi="Calibri"/>
                <w:b/>
                <w:i w:val="0"/>
                <w:color w:val="FFFFFF"/>
                <w:sz w:val="15"/>
              </w:rPr>
              <w:t>What is required</w:t>
            </w:r>
          </w:p>
        </w:tc>
      </w:tr>
      <w:tr>
        <w:trPr>
          <w:cantSplit/>
        </w:trPr>
        <w:tc>
          <w:tcPr>
            <w:tcW w:type="dxa" w:w="2419"/>
            <w:tcMar>
              <w:top w:w="60" w:type="dxa"/>
              <w:start w:w="110" w:type="dxa"/>
              <w:bottom w:w="60" w:type="dxa"/>
              <w:end w:w="110" w:type="dxa"/>
            </w:tcMar>
          </w:tcPr>
          <w:p>
            <w:pPr>
              <w:spacing w:after="0"/>
            </w:pPr>
            <w:r/>
            <w:r>
              <w:rPr>
                <w:rFonts w:ascii="Calibri" w:hAnsi="Calibri"/>
                <w:b/>
                <w:color w:val="101828"/>
                <w:sz w:val="15"/>
              </w:rPr>
              <w:t>2.9</w:t>
            </w:r>
            <w:r>
              <w:rPr>
                <w:rFonts w:ascii="Calibri" w:hAnsi="Calibri"/>
                <w:b w:val="0"/>
                <w:i w:val="0"/>
                <w:color w:val="101828"/>
                <w:sz w:val="15"/>
              </w:rPr>
              <w:t xml:space="preserve"> Refund has no canonical endpoint</w:t>
            </w:r>
          </w:p>
        </w:tc>
        <w:tc>
          <w:tcPr>
            <w:tcW w:type="dxa" w:w="3672"/>
            <w:tcMar>
              <w:top w:w="60" w:type="dxa"/>
              <w:start w:w="110" w:type="dxa"/>
              <w:bottom w:w="60" w:type="dxa"/>
              <w:end w:w="110" w:type="dxa"/>
            </w:tcMar>
          </w:tcPr>
          <w:p>
            <w:pPr>
              <w:spacing w:after="0"/>
            </w:pPr>
            <w:r/>
            <w:r>
              <w:rPr>
                <w:rFonts w:ascii="Calibri" w:hAnsi="Calibri"/>
                <w:b w:val="0"/>
                <w:i w:val="0"/>
                <w:color w:val="101828"/>
                <w:sz w:val="15"/>
              </w:rPr>
              <w:t>Section 6 of CANONICAL.md lists no refund route, and BR-032 forbids refunds outside the documented cancellation and reversal paths. The refund flow therefore depends on a proposed endpoint that does not yet exist in the canonical surface.</w:t>
            </w:r>
          </w:p>
        </w:tc>
        <w:tc>
          <w:tcPr>
            <w:tcW w:type="dxa" w:w="3269"/>
            <w:tcMar>
              <w:top w:w="60" w:type="dxa"/>
              <w:start w:w="110" w:type="dxa"/>
              <w:bottom w:w="60" w:type="dxa"/>
              <w:end w:w="110" w:type="dxa"/>
            </w:tcMar>
          </w:tcPr>
          <w:p>
            <w:pPr>
              <w:spacing w:after="0"/>
            </w:pPr>
            <w:r/>
            <w:r>
              <w:rPr>
                <w:rFonts w:ascii="Calibri" w:hAnsi="Calibri"/>
                <w:b w:val="0"/>
                <w:i w:val="0"/>
                <w:color w:val="101828"/>
                <w:sz w:val="15"/>
              </w:rPr>
              <w:t xml:space="preserve">Add </w:t>
            </w:r>
            <w:r>
              <w:rPr>
                <w:rFonts w:ascii="Consolas" w:hAnsi="Consolas"/>
                <w:color w:val="146EF5"/>
                <w:sz w:val="15"/>
              </w:rPr>
              <w:t>POST /contributions/:id/refund</w:t>
            </w:r>
            <w:r>
              <w:rPr>
                <w:rFonts w:ascii="Calibri" w:hAnsi="Calibri"/>
                <w:b w:val="0"/>
                <w:i w:val="0"/>
                <w:color w:val="101828"/>
                <w:sz w:val="15"/>
              </w:rPr>
              <w:t xml:space="preserve"> to the canonical API surface with an </w:t>
            </w:r>
            <w:r>
              <w:rPr>
                <w:rFonts w:ascii="Consolas" w:hAnsi="Consolas"/>
                <w:color w:val="146EF5"/>
                <w:sz w:val="15"/>
              </w:rPr>
              <w:t>Idempotency-Key</w:t>
            </w:r>
            <w:r>
              <w:rPr>
                <w:rFonts w:ascii="Calibri" w:hAnsi="Calibri"/>
                <w:b w:val="0"/>
                <w:i w:val="0"/>
                <w:color w:val="101828"/>
                <w:sz w:val="15"/>
              </w:rPr>
              <w:t xml:space="preserve"> requirement, or specify refunds as an operations-only action with no member-facing trigger. </w:t>
            </w:r>
            <w:r>
              <w:rPr>
                <w:rFonts w:ascii="Calibri" w:hAnsi="Calibri"/>
                <w:b/>
                <w:color w:val="101828"/>
                <w:sz w:val="15"/>
              </w:rPr>
              <w:t>Owner: Engineering and Founders. Before build.</w:t>
            </w:r>
          </w:p>
        </w:tc>
      </w:tr>
      <w:tr>
        <w:trPr>
          <w:cantSplit/>
        </w:trPr>
        <w:tc>
          <w:tcPr>
            <w:tcW w:type="dxa" w:w="2419"/>
            <w:tcMar>
              <w:top w:w="60" w:type="dxa"/>
              <w:start w:w="110" w:type="dxa"/>
              <w:bottom w:w="60" w:type="dxa"/>
              <w:end w:w="110" w:type="dxa"/>
            </w:tcMar>
            <w:shd w:val="clear" w:color="auto" w:fill="F4F7FB"/>
          </w:tcPr>
          <w:p>
            <w:pPr>
              <w:spacing w:after="0"/>
            </w:pPr>
            <w:r/>
            <w:r>
              <w:rPr>
                <w:rFonts w:ascii="Calibri" w:hAnsi="Calibri"/>
                <w:b/>
                <w:color w:val="101828"/>
                <w:sz w:val="15"/>
              </w:rPr>
              <w:t>2.10</w:t>
            </w:r>
            <w:r>
              <w:rPr>
                <w:rFonts w:ascii="Calibri" w:hAnsi="Calibri"/>
                <w:b w:val="0"/>
                <w:i w:val="0"/>
                <w:color w:val="101828"/>
                <w:sz w:val="15"/>
              </w:rPr>
              <w:t xml:space="preserve"> Replacement has no canonical endpoint</w:t>
            </w:r>
          </w:p>
        </w:tc>
        <w:tc>
          <w:tcPr>
            <w:tcW w:type="dxa" w:w="3672"/>
            <w:tcMar>
              <w:top w:w="60" w:type="dxa"/>
              <w:start w:w="110" w:type="dxa"/>
              <w:bottom w:w="60" w:type="dxa"/>
              <w:end w:w="110" w:type="dxa"/>
            </w:tcMar>
            <w:shd w:val="clear" w:color="auto" w:fill="F4F7FB"/>
          </w:tcPr>
          <w:p>
            <w:pPr>
              <w:spacing w:after="0"/>
            </w:pPr>
            <w:r/>
            <w:r>
              <w:rPr>
                <w:rFonts w:ascii="Consolas" w:hAnsi="Consolas"/>
                <w:color w:val="146EF5"/>
                <w:sz w:val="15"/>
              </w:rPr>
              <w:t>POST /ajos/:id/members/:memberId/replace</w:t>
            </w:r>
            <w:r>
              <w:rPr>
                <w:rFonts w:ascii="Calibri" w:hAnsi="Calibri"/>
                <w:b w:val="0"/>
                <w:i w:val="0"/>
                <w:color w:val="101828"/>
                <w:sz w:val="15"/>
              </w:rPr>
              <w:t xml:space="preserve"> appears in the canonical member surface, but the replacement and transfer flow is specified here as a multi-party, risk-reviewed process, and the canonical path suggests a single call.</w:t>
            </w:r>
          </w:p>
        </w:tc>
        <w:tc>
          <w:tcPr>
            <w:tcW w:type="dxa" w:w="3269"/>
            <w:tcMar>
              <w:top w:w="60" w:type="dxa"/>
              <w:start w:w="110" w:type="dxa"/>
              <w:bottom w:w="60" w:type="dxa"/>
              <w:end w:w="110" w:type="dxa"/>
            </w:tcMar>
            <w:shd w:val="clear" w:color="auto" w:fill="F4F7FB"/>
          </w:tcPr>
          <w:p>
            <w:pPr>
              <w:spacing w:after="0"/>
            </w:pPr>
            <w:r/>
            <w:r>
              <w:rPr>
                <w:rFonts w:ascii="Calibri" w:hAnsi="Calibri"/>
                <w:b w:val="0"/>
                <w:i w:val="0"/>
                <w:color w:val="101828"/>
                <w:sz w:val="15"/>
              </w:rPr>
              <w:t xml:space="preserve">Specify replacement as a request-and-decision resource with explicit states, or document the single endpoint as the request-creation call only, with the decision recorded elsewhere. </w:t>
            </w:r>
            <w:r>
              <w:rPr>
                <w:rFonts w:ascii="Calibri" w:hAnsi="Calibri"/>
                <w:b/>
                <w:color w:val="101828"/>
                <w:sz w:val="15"/>
              </w:rPr>
              <w:t>Owner: Engineering and Risk. Before build.</w:t>
            </w:r>
          </w:p>
        </w:tc>
      </w:tr>
      <w:tr>
        <w:trPr>
          <w:cantSplit/>
        </w:trPr>
        <w:tc>
          <w:tcPr>
            <w:tcW w:type="dxa" w:w="2419"/>
            <w:tcMar>
              <w:top w:w="60" w:type="dxa"/>
              <w:start w:w="110" w:type="dxa"/>
              <w:bottom w:w="60" w:type="dxa"/>
              <w:end w:w="110" w:type="dxa"/>
            </w:tcMar>
          </w:tcPr>
          <w:p>
            <w:pPr>
              <w:spacing w:after="0"/>
            </w:pPr>
            <w:r/>
            <w:r>
              <w:rPr>
                <w:rFonts w:ascii="Calibri" w:hAnsi="Calibri"/>
                <w:b/>
                <w:color w:val="101828"/>
                <w:sz w:val="15"/>
              </w:rPr>
              <w:t>2.14</w:t>
            </w:r>
            <w:r>
              <w:rPr>
                <w:rFonts w:ascii="Calibri" w:hAnsi="Calibri"/>
                <w:b w:val="0"/>
                <w:i w:val="0"/>
                <w:color w:val="101828"/>
                <w:sz w:val="15"/>
              </w:rPr>
              <w:t xml:space="preserve"> The Verification admin screen has no canonical endpoint</w:t>
            </w:r>
          </w:p>
        </w:tc>
        <w:tc>
          <w:tcPr>
            <w:tcW w:type="dxa" w:w="3672"/>
            <w:tcMar>
              <w:top w:w="60" w:type="dxa"/>
              <w:start w:w="110" w:type="dxa"/>
              <w:bottom w:w="60" w:type="dxa"/>
              <w:end w:w="110" w:type="dxa"/>
            </w:tcMar>
          </w:tcPr>
          <w:p>
            <w:pPr>
              <w:spacing w:after="0"/>
            </w:pPr>
            <w:r/>
            <w:r>
              <w:rPr>
                <w:rFonts w:ascii="Calibri" w:hAnsi="Calibri"/>
                <w:b w:val="0"/>
                <w:i w:val="0"/>
                <w:color w:val="101828"/>
                <w:sz w:val="15"/>
              </w:rPr>
              <w:t xml:space="preserve">The Verification screen is in the canonical screen inventory but no </w:t>
            </w:r>
            <w:r>
              <w:rPr>
                <w:rFonts w:ascii="Consolas" w:hAnsi="Consolas"/>
                <w:color w:val="146EF5"/>
                <w:sz w:val="15"/>
              </w:rPr>
              <w:t>/admin/verification</w:t>
            </w:r>
            <w:r>
              <w:rPr>
                <w:rFonts w:ascii="Calibri" w:hAnsi="Calibri"/>
                <w:b w:val="0"/>
                <w:i w:val="0"/>
                <w:color w:val="101828"/>
                <w:sz w:val="15"/>
              </w:rPr>
              <w:t xml:space="preserve"> path is listed in section 6, while the screen needs a data source for </w:t>
            </w:r>
            <w:r>
              <w:rPr>
                <w:rFonts w:ascii="Consolas" w:hAnsi="Consolas"/>
                <w:color w:val="146EF5"/>
                <w:sz w:val="15"/>
              </w:rPr>
              <w:t>verification_checks</w:t>
            </w:r>
            <w:r>
              <w:rPr>
                <w:rFonts w:ascii="Calibri" w:hAnsi="Calibri"/>
                <w:b w:val="0"/>
                <w:i w:val="0"/>
                <w:color w:val="101828"/>
                <w:sz w:val="15"/>
              </w:rPr>
              <w:t>.</w:t>
            </w:r>
          </w:p>
        </w:tc>
        <w:tc>
          <w:tcPr>
            <w:tcW w:type="dxa" w:w="3269"/>
            <w:tcMar>
              <w:top w:w="60" w:type="dxa"/>
              <w:start w:w="110" w:type="dxa"/>
              <w:bottom w:w="60" w:type="dxa"/>
              <w:end w:w="110" w:type="dxa"/>
            </w:tcMar>
          </w:tcPr>
          <w:p>
            <w:pPr>
              <w:spacing w:after="0"/>
            </w:pPr>
            <w:r/>
            <w:r>
              <w:rPr>
                <w:rFonts w:ascii="Calibri" w:hAnsi="Calibri"/>
                <w:b w:val="0"/>
                <w:i w:val="0"/>
                <w:color w:val="101828"/>
                <w:sz w:val="15"/>
              </w:rPr>
              <w:t xml:space="preserve">Add a read path for </w:t>
            </w:r>
            <w:r>
              <w:rPr>
                <w:rFonts w:ascii="Consolas" w:hAnsi="Consolas"/>
                <w:color w:val="146EF5"/>
                <w:sz w:val="15"/>
              </w:rPr>
              <w:t>verification_checks</w:t>
            </w:r>
            <w:r>
              <w:rPr>
                <w:rFonts w:ascii="Calibri" w:hAnsi="Calibri"/>
                <w:b w:val="0"/>
                <w:i w:val="0"/>
                <w:color w:val="101828"/>
                <w:sz w:val="15"/>
              </w:rPr>
              <w:t xml:space="preserve"> to the admin surface. </w:t>
            </w:r>
            <w:r>
              <w:rPr>
                <w:rFonts w:ascii="Calibri" w:hAnsi="Calibri"/>
                <w:b/>
                <w:color w:val="101828"/>
                <w:sz w:val="15"/>
              </w:rPr>
              <w:t>Owner: Engineering. Before build.</w:t>
            </w:r>
          </w:p>
        </w:tc>
      </w:tr>
      <w:tr>
        <w:trPr>
          <w:cantSplit/>
        </w:trPr>
        <w:tc>
          <w:tcPr>
            <w:tcW w:type="dxa" w:w="2419"/>
            <w:tcMar>
              <w:top w:w="60" w:type="dxa"/>
              <w:start w:w="110" w:type="dxa"/>
              <w:bottom w:w="60" w:type="dxa"/>
              <w:end w:w="110" w:type="dxa"/>
            </w:tcMar>
            <w:shd w:val="clear" w:color="auto" w:fill="F4F7FB"/>
          </w:tcPr>
          <w:p>
            <w:pPr>
              <w:spacing w:after="0"/>
            </w:pPr>
            <w:r/>
            <w:r>
              <w:rPr>
                <w:rFonts w:ascii="Calibri" w:hAnsi="Calibri"/>
                <w:b/>
                <w:color w:val="101828"/>
                <w:sz w:val="15"/>
              </w:rPr>
              <w:t>2.12</w:t>
            </w:r>
            <w:r>
              <w:rPr>
                <w:rFonts w:ascii="Calibri" w:hAnsi="Calibri"/>
                <w:b w:val="0"/>
                <w:i w:val="0"/>
                <w:color w:val="101828"/>
                <w:sz w:val="15"/>
              </w:rPr>
              <w:t xml:space="preserve"> and </w:t>
            </w:r>
            <w:r>
              <w:rPr>
                <w:rFonts w:ascii="Calibri" w:hAnsi="Calibri"/>
                <w:b/>
                <w:color w:val="101828"/>
                <w:sz w:val="15"/>
              </w:rPr>
              <w:t>2.16</w:t>
            </w:r>
            <w:r>
              <w:rPr>
                <w:rFonts w:ascii="Calibri" w:hAnsi="Calibri"/>
                <w:b w:val="0"/>
                <w:i w:val="0"/>
                <w:color w:val="101828"/>
                <w:sz w:val="15"/>
              </w:rPr>
              <w:t xml:space="preserve"> depend on human roles that are not staffed</w:t>
            </w:r>
          </w:p>
        </w:tc>
        <w:tc>
          <w:tcPr>
            <w:tcW w:type="dxa" w:w="3672"/>
            <w:tcMar>
              <w:top w:w="60" w:type="dxa"/>
              <w:start w:w="110" w:type="dxa"/>
              <w:bottom w:w="60" w:type="dxa"/>
              <w:end w:w="110" w:type="dxa"/>
            </w:tcMar>
            <w:shd w:val="clear" w:color="auto" w:fill="F4F7FB"/>
          </w:tcPr>
          <w:p>
            <w:pPr>
              <w:spacing w:after="0"/>
            </w:pPr>
            <w:r/>
            <w:r>
              <w:rPr>
                <w:rFonts w:ascii="Calibri" w:hAnsi="Calibri"/>
                <w:b w:val="0"/>
                <w:i w:val="0"/>
                <w:color w:val="101828"/>
                <w:sz w:val="15"/>
              </w:rPr>
              <w:t>DEP-11 (risk) and DEP-12 (support) are both recorded as not established. Every freeze, review, dispute resolution and unfreeze in this section requires a human being to execute it.</w:t>
            </w:r>
          </w:p>
        </w:tc>
        <w:tc>
          <w:tcPr>
            <w:tcW w:type="dxa" w:w="3269"/>
            <w:tcMar>
              <w:top w:w="60" w:type="dxa"/>
              <w:start w:w="110" w:type="dxa"/>
              <w:bottom w:w="60" w:type="dxa"/>
              <w:end w:w="110" w:type="dxa"/>
            </w:tcMar>
            <w:shd w:val="clear" w:color="auto" w:fill="F4F7FB"/>
          </w:tcPr>
          <w:p>
            <w:pPr>
              <w:spacing w:after="0"/>
            </w:pPr>
            <w:r/>
            <w:r>
              <w:rPr>
                <w:rFonts w:ascii="Calibri" w:hAnsi="Calibri"/>
                <w:b w:val="0"/>
                <w:i w:val="0"/>
                <w:color w:val="101828"/>
                <w:sz w:val="15"/>
              </w:rPr>
              <w:t xml:space="preserve">Staff both functions before launch, or the flows exist on paper only. </w:t>
            </w:r>
            <w:r>
              <w:rPr>
                <w:rFonts w:ascii="Calibri" w:hAnsi="Calibri"/>
                <w:b/>
                <w:color w:val="101828"/>
                <w:sz w:val="15"/>
              </w:rPr>
              <w:t>Owner: Operations. Gates launch.</w:t>
            </w:r>
            <w:r>
              <w:rPr>
                <w:rFonts w:ascii="Calibri" w:hAnsi="Calibri"/>
                <w:b w:val="0"/>
                <w:i w:val="0"/>
                <w:color w:val="101828"/>
                <w:sz w:val="15"/>
              </w:rPr>
              <w:t xml:space="preserve"> R13, gate G-A.</w:t>
            </w:r>
          </w:p>
        </w:tc>
      </w:tr>
      <w:tr>
        <w:trPr>
          <w:cantSplit/>
        </w:trPr>
        <w:tc>
          <w:tcPr>
            <w:tcW w:type="dxa" w:w="2419"/>
            <w:tcMar>
              <w:top w:w="60" w:type="dxa"/>
              <w:start w:w="110" w:type="dxa"/>
              <w:bottom w:w="60" w:type="dxa"/>
              <w:end w:w="110" w:type="dxa"/>
            </w:tcMar>
          </w:tcPr>
          <w:p>
            <w:pPr>
              <w:spacing w:after="0"/>
            </w:pPr>
            <w:r/>
            <w:r>
              <w:rPr>
                <w:rFonts w:ascii="Calibri" w:hAnsi="Calibri"/>
                <w:b/>
                <w:color w:val="101828"/>
                <w:sz w:val="15"/>
              </w:rPr>
              <w:t>2.4</w:t>
            </w:r>
            <w:r>
              <w:rPr>
                <w:rFonts w:ascii="Calibri" w:hAnsi="Calibri"/>
                <w:b w:val="0"/>
                <w:i w:val="0"/>
                <w:color w:val="101828"/>
                <w:sz w:val="15"/>
              </w:rPr>
              <w:t xml:space="preserve">, </w:t>
            </w:r>
            <w:r>
              <w:rPr>
                <w:rFonts w:ascii="Calibri" w:hAnsi="Calibri"/>
                <w:b/>
                <w:color w:val="101828"/>
                <w:sz w:val="15"/>
              </w:rPr>
              <w:t>2.5</w:t>
            </w:r>
            <w:r>
              <w:rPr>
                <w:rFonts w:ascii="Calibri" w:hAnsi="Calibri"/>
                <w:b w:val="0"/>
                <w:i w:val="0"/>
                <w:color w:val="101828"/>
                <w:sz w:val="15"/>
              </w:rPr>
              <w:t xml:space="preserve">, </w:t>
            </w:r>
            <w:r>
              <w:rPr>
                <w:rFonts w:ascii="Calibri" w:hAnsi="Calibri"/>
                <w:b/>
                <w:color w:val="101828"/>
                <w:sz w:val="15"/>
              </w:rPr>
              <w:t>2.7</w:t>
            </w:r>
            <w:r>
              <w:rPr>
                <w:rFonts w:ascii="Calibri" w:hAnsi="Calibri"/>
                <w:b w:val="0"/>
                <w:i w:val="0"/>
                <w:color w:val="101828"/>
                <w:sz w:val="15"/>
              </w:rPr>
              <w:t xml:space="preserve">, </w:t>
            </w:r>
            <w:r>
              <w:rPr>
                <w:rFonts w:ascii="Calibri" w:hAnsi="Calibri"/>
                <w:b/>
                <w:color w:val="101828"/>
                <w:sz w:val="15"/>
              </w:rPr>
              <w:t>2.8</w:t>
            </w:r>
            <w:r>
              <w:rPr>
                <w:rFonts w:ascii="Calibri" w:hAnsi="Calibri"/>
                <w:b w:val="0"/>
                <w:i w:val="0"/>
                <w:color w:val="101828"/>
                <w:sz w:val="15"/>
              </w:rPr>
              <w:t xml:space="preserve"> depend on unconfirmed provider behaviour</w:t>
            </w:r>
          </w:p>
        </w:tc>
        <w:tc>
          <w:tcPr>
            <w:tcW w:type="dxa" w:w="3672"/>
            <w:tcMar>
              <w:top w:w="60" w:type="dxa"/>
              <w:start w:w="110" w:type="dxa"/>
              <w:bottom w:w="60" w:type="dxa"/>
              <w:end w:w="110" w:type="dxa"/>
            </w:tcMar>
          </w:tcPr>
          <w:p>
            <w:pPr>
              <w:spacing w:after="0"/>
            </w:pPr>
            <w:r/>
            <w:r>
              <w:rPr>
                <w:rFonts w:ascii="Calibri" w:hAnsi="Calibri"/>
                <w:b w:val="0"/>
                <w:i w:val="0"/>
                <w:color w:val="101828"/>
                <w:sz w:val="15"/>
              </w:rPr>
              <w:t>Collection percentage, payout flat fee, settlement timing, reversal SLA and the exact cancellation semantics are all unknown. D-02, D-03 and D-07 are open and no written provider pricing has been obtained.</w:t>
            </w:r>
          </w:p>
        </w:tc>
        <w:tc>
          <w:tcPr>
            <w:tcW w:type="dxa" w:w="3269"/>
            <w:tcMar>
              <w:top w:w="60" w:type="dxa"/>
              <w:start w:w="110" w:type="dxa"/>
              <w:bottom w:w="60" w:type="dxa"/>
              <w:end w:w="110" w:type="dxa"/>
            </w:tcMar>
          </w:tcPr>
          <w:p>
            <w:pPr>
              <w:spacing w:after="0"/>
            </w:pPr>
            <w:r/>
            <w:r>
              <w:rPr>
                <w:rFonts w:ascii="Calibri" w:hAnsi="Calibri"/>
                <w:b w:val="0"/>
                <w:i w:val="0"/>
                <w:color w:val="101828"/>
                <w:sz w:val="15"/>
              </w:rPr>
              <w:t xml:space="preserve">Obtain written pricing and SLA from ProvidusUnity before the fee is publicised and before these flows are built to a fixed timeline. </w:t>
            </w:r>
            <w:r>
              <w:rPr>
                <w:rFonts w:ascii="Calibri" w:hAnsi="Calibri"/>
                <w:b/>
                <w:color w:val="101828"/>
                <w:sz w:val="15"/>
              </w:rPr>
              <w:t>Owner: Founders. Gates launch.</w:t>
            </w:r>
            <w:r>
              <w:rPr>
                <w:rFonts w:ascii="Calibri" w:hAnsi="Calibri"/>
                <w:b w:val="0"/>
                <w:i w:val="0"/>
                <w:color w:val="101828"/>
                <w:sz w:val="15"/>
              </w:rPr>
              <w:t xml:space="preserve"> A-05, DEP-01, DEP-02, DEP-03.</w:t>
            </w:r>
          </w:p>
        </w:tc>
      </w:tr>
      <w:tr>
        <w:trPr>
          <w:cantSplit/>
        </w:trPr>
        <w:tc>
          <w:tcPr>
            <w:tcW w:type="dxa" w:w="2419"/>
            <w:tcMar>
              <w:top w:w="60" w:type="dxa"/>
              <w:start w:w="110" w:type="dxa"/>
              <w:bottom w:w="60" w:type="dxa"/>
              <w:end w:w="110" w:type="dxa"/>
            </w:tcMar>
            <w:shd w:val="clear" w:color="auto" w:fill="F4F7FB"/>
          </w:tcPr>
          <w:p>
            <w:pPr>
              <w:spacing w:after="0"/>
            </w:pPr>
            <w:r/>
            <w:r>
              <w:rPr>
                <w:rFonts w:ascii="Calibri" w:hAnsi="Calibri"/>
                <w:b/>
                <w:color w:val="101828"/>
                <w:sz w:val="15"/>
              </w:rPr>
              <w:t>2.5</w:t>
            </w:r>
            <w:r>
              <w:rPr>
                <w:rFonts w:ascii="Calibri" w:hAnsi="Calibri"/>
                <w:b w:val="0"/>
                <w:i w:val="0"/>
                <w:color w:val="101828"/>
                <w:sz w:val="15"/>
              </w:rPr>
              <w:t xml:space="preserve"> and </w:t>
            </w:r>
            <w:r>
              <w:rPr>
                <w:rFonts w:ascii="Calibri" w:hAnsi="Calibri"/>
                <w:b/>
                <w:color w:val="101828"/>
                <w:sz w:val="15"/>
              </w:rPr>
              <w:t>2.6</w:t>
            </w:r>
            <w:r>
              <w:rPr>
                <w:rFonts w:ascii="Calibri" w:hAnsi="Calibri"/>
                <w:b w:val="0"/>
                <w:i w:val="0"/>
                <w:color w:val="101828"/>
                <w:sz w:val="15"/>
              </w:rPr>
              <w:t xml:space="preserve"> depend on the D-04 verification threshold</w:t>
            </w:r>
          </w:p>
        </w:tc>
        <w:tc>
          <w:tcPr>
            <w:tcW w:type="dxa" w:w="3672"/>
            <w:tcMar>
              <w:top w:w="60" w:type="dxa"/>
              <w:start w:w="110" w:type="dxa"/>
              <w:bottom w:w="60" w:type="dxa"/>
              <w:end w:w="110" w:type="dxa"/>
            </w:tcMar>
            <w:shd w:val="clear" w:color="auto" w:fill="F4F7FB"/>
          </w:tcPr>
          <w:p>
            <w:pPr>
              <w:spacing w:after="0"/>
            </w:pPr>
            <w:r/>
            <w:r>
              <w:rPr>
                <w:rFonts w:ascii="Calibri" w:hAnsi="Calibri"/>
                <w:b w:val="0"/>
                <w:i w:val="0"/>
                <w:color w:val="101828"/>
                <w:sz w:val="15"/>
              </w:rPr>
              <w:t>The set of members who must be BVN-verified before taking a position is not decided, and the flows encode a launch position rather than a settled one.</w:t>
            </w:r>
          </w:p>
        </w:tc>
        <w:tc>
          <w:tcPr>
            <w:tcW w:type="dxa" w:w="3269"/>
            <w:tcMar>
              <w:top w:w="60" w:type="dxa"/>
              <w:start w:w="110" w:type="dxa"/>
              <w:bottom w:w="60" w:type="dxa"/>
              <w:end w:w="110" w:type="dxa"/>
            </w:tcMar>
            <w:shd w:val="clear" w:color="auto" w:fill="F4F7FB"/>
          </w:tcPr>
          <w:p>
            <w:pPr>
              <w:spacing w:after="0"/>
            </w:pPr>
            <w:r/>
            <w:r>
              <w:rPr>
                <w:rFonts w:ascii="Calibri" w:hAnsi="Calibri"/>
                <w:b w:val="0"/>
                <w:i w:val="0"/>
                <w:color w:val="101828"/>
                <w:sz w:val="15"/>
              </w:rPr>
              <w:t xml:space="preserve">Resolve D-04, then implement the threshold as a versioned, audited setting so a later change is configuration rather than a code change. </w:t>
            </w:r>
            <w:r>
              <w:rPr>
                <w:rFonts w:ascii="Calibri" w:hAnsi="Calibri"/>
                <w:b/>
                <w:color w:val="101828"/>
                <w:sz w:val="15"/>
              </w:rPr>
              <w:t>Owner: Risk and Legal. Gates launch.</w:t>
            </w:r>
          </w:p>
        </w:tc>
      </w:tr>
      <w:tr>
        <w:trPr>
          <w:cantSplit/>
        </w:trPr>
        <w:tc>
          <w:tcPr>
            <w:tcW w:type="dxa" w:w="2419"/>
            <w:tcMar>
              <w:top w:w="60" w:type="dxa"/>
              <w:start w:w="110" w:type="dxa"/>
              <w:bottom w:w="60" w:type="dxa"/>
              <w:end w:w="110" w:type="dxa"/>
            </w:tcMar>
          </w:tcPr>
          <w:p>
            <w:pPr>
              <w:spacing w:after="0"/>
            </w:pPr>
            <w:r/>
            <w:r>
              <w:rPr>
                <w:rFonts w:ascii="Calibri" w:hAnsi="Calibri"/>
                <w:b/>
                <w:color w:val="101828"/>
                <w:sz w:val="15"/>
              </w:rPr>
              <w:t>2.6</w:t>
            </w:r>
            <w:r>
              <w:rPr>
                <w:rFonts w:ascii="Calibri" w:hAnsi="Calibri"/>
                <w:b w:val="0"/>
                <w:i w:val="0"/>
                <w:color w:val="101828"/>
                <w:sz w:val="15"/>
              </w:rPr>
              <w:t xml:space="preserve">, </w:t>
            </w:r>
            <w:r>
              <w:rPr>
                <w:rFonts w:ascii="Calibri" w:hAnsi="Calibri"/>
                <w:b/>
                <w:color w:val="101828"/>
                <w:sz w:val="15"/>
              </w:rPr>
              <w:t>2.9</w:t>
            </w:r>
            <w:r>
              <w:rPr>
                <w:rFonts w:ascii="Calibri" w:hAnsi="Calibri"/>
                <w:b w:val="0"/>
                <w:i w:val="0"/>
                <w:color w:val="101828"/>
                <w:sz w:val="15"/>
              </w:rPr>
              <w:t xml:space="preserve"> and </w:t>
            </w:r>
            <w:r>
              <w:rPr>
                <w:rFonts w:ascii="Calibri" w:hAnsi="Calibri"/>
                <w:b/>
                <w:color w:val="101828"/>
                <w:sz w:val="15"/>
              </w:rPr>
              <w:t>2.16</w:t>
            </w:r>
            <w:r>
              <w:rPr>
                <w:rFonts w:ascii="Calibri" w:hAnsi="Calibri"/>
                <w:b w:val="0"/>
                <w:i w:val="0"/>
                <w:color w:val="101828"/>
                <w:sz w:val="15"/>
              </w:rPr>
              <w:t xml:space="preserve"> depend on the D-05 fee-on-refund policy</w:t>
            </w:r>
          </w:p>
        </w:tc>
        <w:tc>
          <w:tcPr>
            <w:tcW w:type="dxa" w:w="3672"/>
            <w:tcMar>
              <w:top w:w="60" w:type="dxa"/>
              <w:start w:w="110" w:type="dxa"/>
              <w:bottom w:w="60" w:type="dxa"/>
              <w:end w:w="110" w:type="dxa"/>
            </w:tcMar>
          </w:tcPr>
          <w:p>
            <w:pPr>
              <w:spacing w:after="0"/>
            </w:pPr>
            <w:r/>
            <w:r>
              <w:rPr>
                <w:rFonts w:ascii="Calibri" w:hAnsi="Calibri"/>
                <w:b w:val="0"/>
                <w:i w:val="0"/>
                <w:color w:val="101828"/>
                <w:sz w:val="15"/>
              </w:rPr>
              <w:t>Whether the 2% is returned with a refunded contribution is undecided, and the answer changes what a member is told at three different screens.</w:t>
            </w:r>
          </w:p>
        </w:tc>
        <w:tc>
          <w:tcPr>
            <w:tcW w:type="dxa" w:w="3269"/>
            <w:tcMar>
              <w:top w:w="60" w:type="dxa"/>
              <w:start w:w="110" w:type="dxa"/>
              <w:bottom w:w="60" w:type="dxa"/>
              <w:end w:w="110" w:type="dxa"/>
            </w:tcMar>
          </w:tcPr>
          <w:p>
            <w:pPr>
              <w:spacing w:after="0"/>
            </w:pPr>
            <w:r/>
            <w:r>
              <w:rPr>
                <w:rFonts w:ascii="Calibri" w:hAnsi="Calibri"/>
                <w:b w:val="0"/>
                <w:i w:val="0"/>
                <w:color w:val="101828"/>
                <w:sz w:val="15"/>
              </w:rPr>
              <w:t xml:space="preserve">Decide D-05 before launch and reflect it in the fee screen, not only in the refund path. </w:t>
            </w:r>
            <w:r>
              <w:rPr>
                <w:rFonts w:ascii="Calibri" w:hAnsi="Calibri"/>
                <w:b/>
                <w:color w:val="101828"/>
                <w:sz w:val="15"/>
              </w:rPr>
              <w:t>Owner: Founders and Legal. Gates launch.</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Closing note on the flows  </w:t>
      </w:r>
      <w:r>
        <w:rPr>
          <w:rFonts w:ascii="Calibri" w:hAnsi="Calibri"/>
          <w:b w:val="0"/>
          <w:i w:val="0"/>
          <w:color w:val="0B1F3A"/>
          <w:sz w:val="19"/>
        </w:rPr>
        <w:t xml:space="preserve">Sixteen flows, and in every one of them the same three sentences hold. The member is told the fee as its own number before they commit. The member's money is either the full base pool or it has not moved. And the record of what happened is written once, by the system, in a place no role can quietly change. Everything else in this specification is an implementation of those three sentences. </w:t>
      </w:r>
      <w:r>
        <w:rPr>
          <w:rFonts w:ascii="Calibri" w:hAnsi="Calibri"/>
          <w:i/>
          <w:color w:val="0B1F3A"/>
          <w:sz w:val="19"/>
        </w:rPr>
        <w:t>Your Ajo. Your Story.</w:t>
      </w:r>
    </w:p>
    <w:p>
      <w:r>
        <w:br w:type="page"/>
      </w:r>
    </w:p>
    <w:p>
      <w:pPr>
        <w:pStyle w:val="Heading1"/>
        <w:pBdr>
          <w:bottom w:val="single" w:sz="12" w:space="6" w:color="146EF5"/>
        </w:pBdr>
        <w:spacing w:after="240"/>
      </w:pPr>
      <w:r>
        <w:rPr>
          <w:rFonts w:ascii="Calibri" w:hAnsi="Calibri"/>
          <w:b/>
          <w:i w:val="0"/>
          <w:color w:val="0B1F3A"/>
          <w:sz w:val="40"/>
        </w:rPr>
        <w:t>3. Sitemap and Information Architecture</w:t>
      </w:r>
    </w:p>
    <w:p>
      <w:pPr>
        <w:spacing w:after="200"/>
      </w:pPr>
      <w:r>
        <w:rPr>
          <w:rFonts w:ascii="Calibri" w:hAnsi="Calibri"/>
          <w:b w:val="0"/>
          <w:i w:val="0"/>
          <w:color w:val="475467"/>
          <w:sz w:val="24"/>
        </w:rPr>
        <w:t>This section fixes the shape of AJO.ng: what pages exist, which of them a person may see, how they are reached, how they are named, and where the line between public and private is drawn in the URL. It is the contract between the product design in sections 6 and 7, the flows in section 2, the API in CANONICAL.md section 6 and the routes that will actually be registered in the router. Nothing here is a suggestion. A route that does not appear in the inventory in 3.6 does not exist, and a screen that is not reachable from one of the entry points in 3.9 is dead code.</w:t>
      </w:r>
    </w:p>
    <w:p>
      <w:r>
        <w:rPr>
          <w:rFonts w:ascii="Calibri" w:hAnsi="Calibri"/>
          <w:b/>
          <w:color w:val="101828"/>
          <w:sz w:val="21"/>
        </w:rPr>
        <w:t>Reading convention.</w:t>
      </w:r>
      <w:r>
        <w:rPr>
          <w:rFonts w:ascii="Calibri" w:hAnsi="Calibri"/>
          <w:b w:val="0"/>
          <w:i w:val="0"/>
          <w:color w:val="101828"/>
          <w:sz w:val="21"/>
        </w:rPr>
        <w:t xml:space="preserve"> </w:t>
      </w:r>
      <w:r>
        <w:rPr>
          <w:rFonts w:ascii="Consolas" w:hAnsi="Consolas"/>
          <w:color w:val="146EF5"/>
          <w:sz w:val="21"/>
        </w:rPr>
        <w:t>SCR-WEB-nn</w:t>
      </w:r>
      <w:r>
        <w:rPr>
          <w:rFonts w:ascii="Calibri" w:hAnsi="Calibri"/>
          <w:b w:val="0"/>
          <w:i w:val="0"/>
          <w:color w:val="101828"/>
          <w:sz w:val="21"/>
        </w:rPr>
        <w:t xml:space="preserve"> is a tier-1 public marketing screen, </w:t>
      </w:r>
      <w:r>
        <w:rPr>
          <w:rFonts w:ascii="Consolas" w:hAnsi="Consolas"/>
          <w:color w:val="146EF5"/>
          <w:sz w:val="21"/>
        </w:rPr>
        <w:t>SCR-MOB-nn</w:t>
      </w:r>
      <w:r>
        <w:rPr>
          <w:rFonts w:ascii="Calibri" w:hAnsi="Calibri"/>
          <w:b w:val="0"/>
          <w:i w:val="0"/>
          <w:color w:val="101828"/>
          <w:sz w:val="21"/>
        </w:rPr>
        <w:t xml:space="preserve"> is a tier-2 authenticated application screen, </w:t>
      </w:r>
      <w:r>
        <w:rPr>
          <w:rFonts w:ascii="Consolas" w:hAnsi="Consolas"/>
          <w:color w:val="146EF5"/>
          <w:sz w:val="21"/>
        </w:rPr>
        <w:t>SCR-ADM-nn</w:t>
      </w:r>
      <w:r>
        <w:rPr>
          <w:rFonts w:ascii="Calibri" w:hAnsi="Calibri"/>
          <w:b w:val="0"/>
          <w:i w:val="0"/>
          <w:color w:val="101828"/>
          <w:sz w:val="21"/>
        </w:rPr>
        <w:t xml:space="preserve"> is a tier-3 admin console screen. </w:t>
      </w:r>
      <w:r>
        <w:rPr>
          <w:rFonts w:ascii="Consolas" w:hAnsi="Consolas"/>
          <w:color w:val="146EF5"/>
          <w:sz w:val="21"/>
        </w:rPr>
        <w:t>BR-nnn</w:t>
      </w:r>
      <w:r>
        <w:rPr>
          <w:rFonts w:ascii="Calibri" w:hAnsi="Calibri"/>
          <w:b w:val="0"/>
          <w:i w:val="0"/>
          <w:color w:val="101828"/>
          <w:sz w:val="21"/>
        </w:rPr>
        <w:t xml:space="preserve"> is a business rule in section 1. </w:t>
      </w:r>
      <w:r>
        <w:rPr>
          <w:rFonts w:ascii="Consolas" w:hAnsi="Consolas"/>
          <w:color w:val="146EF5"/>
          <w:sz w:val="21"/>
        </w:rPr>
        <w:t>C-nn</w:t>
      </w:r>
      <w:r>
        <w:rPr>
          <w:rFonts w:ascii="Calibri" w:hAnsi="Calibri"/>
          <w:b w:val="0"/>
          <w:i w:val="0"/>
          <w:color w:val="101828"/>
          <w:sz w:val="21"/>
        </w:rPr>
        <w:t xml:space="preserve"> is a constraint in CANONICAL.md. </w:t>
      </w:r>
      <w:r>
        <w:rPr>
          <w:rFonts w:ascii="Consolas" w:hAnsi="Consolas"/>
          <w:color w:val="146EF5"/>
          <w:sz w:val="21"/>
        </w:rPr>
        <w:t>D-nn</w:t>
      </w:r>
      <w:r>
        <w:rPr>
          <w:rFonts w:ascii="Calibri" w:hAnsi="Calibri"/>
          <w:b w:val="0"/>
          <w:i w:val="0"/>
          <w:color w:val="101828"/>
          <w:sz w:val="21"/>
        </w:rPr>
        <w:t xml:space="preserve"> is an open decision in CANONICAL.md section 9. </w:t>
      </w:r>
      <w:r>
        <w:rPr>
          <w:rFonts w:ascii="Consolas" w:hAnsi="Consolas"/>
          <w:color w:val="146EF5"/>
          <w:sz w:val="21"/>
        </w:rPr>
        <w:t>A-nn</w:t>
      </w:r>
      <w:r>
        <w:rPr>
          <w:rFonts w:ascii="Calibri" w:hAnsi="Calibri"/>
          <w:b w:val="0"/>
          <w:i w:val="0"/>
          <w:color w:val="101828"/>
          <w:sz w:val="21"/>
        </w:rPr>
        <w:t xml:space="preserve"> is an assumption in section 1.22. </w:t>
      </w:r>
      <w:r>
        <w:rPr>
          <w:rFonts w:ascii="Consolas" w:hAnsi="Consolas"/>
          <w:color w:val="146EF5"/>
          <w:sz w:val="21"/>
        </w:rPr>
        <w:t>NFR-*</w:t>
      </w:r>
      <w:r>
        <w:rPr>
          <w:rFonts w:ascii="Calibri" w:hAnsi="Calibri"/>
          <w:b w:val="0"/>
          <w:i w:val="0"/>
          <w:color w:val="101828"/>
          <w:sz w:val="21"/>
        </w:rPr>
        <w:t xml:space="preserve"> is a non-functional requirement in section 1.18. Money is written </w:t>
      </w:r>
      <w:r>
        <w:rPr>
          <w:rFonts w:ascii="Consolas" w:hAnsi="Consolas"/>
          <w:color w:val="146EF5"/>
          <w:sz w:val="21"/>
        </w:rPr>
        <w:t>NGN 1,000.00</w:t>
      </w:r>
      <w:r>
        <w:rPr>
          <w:rFonts w:ascii="Calibri" w:hAnsi="Calibri"/>
          <w:b w:val="0"/>
          <w:i w:val="0"/>
          <w:color w:val="101828"/>
          <w:sz w:val="21"/>
        </w:rPr>
        <w:t xml:space="preserve"> in tables, never with a naira glyph.</w:t>
      </w:r>
    </w:p>
    <w:p>
      <w:pPr>
        <w:pStyle w:val="Heading2"/>
      </w:pPr>
      <w:r>
        <w:rPr>
          <w:rFonts w:ascii="Calibri" w:hAnsi="Calibri"/>
          <w:b/>
          <w:i w:val="0"/>
          <w:color w:val="146EF5"/>
          <w:sz w:val="29"/>
        </w:rPr>
        <w:t>3.1 Principles</w:t>
      </w:r>
    </w:p>
    <w:p>
      <w:r>
        <w:rPr>
          <w:rFonts w:ascii="Calibri" w:hAnsi="Calibri"/>
          <w:b w:val="0"/>
          <w:i w:val="0"/>
          <w:color w:val="101828"/>
          <w:sz w:val="21"/>
        </w:rPr>
        <w:t>Five principles decide every structural question in this section. Where two of them pull against each other, the order below is the tie-break order.</w:t>
      </w:r>
    </w:p>
    <w:p>
      <w:pPr>
        <w:pStyle w:val="ListNumber"/>
        <w:spacing w:after="60"/>
        <w:ind w:left="432"/>
      </w:pPr>
      <w:r>
        <w:rPr>
          <w:rFonts w:ascii="Calibri" w:hAnsi="Calibri"/>
          <w:b/>
          <w:color w:val="101828"/>
          <w:sz w:val="21"/>
        </w:rPr>
        <w:t>Three tiers, no fourth.</w:t>
      </w:r>
      <w:r>
        <w:rPr>
          <w:rFonts w:ascii="Calibri" w:hAnsi="Calibri"/>
          <w:b w:val="0"/>
          <w:i w:val="0"/>
          <w:color w:val="101828"/>
          <w:sz w:val="21"/>
        </w:rPr>
        <w:t xml:space="preserve"> Public marketing, authenticated application, admin console. Each tier has its own host path, its own authentication posture, its own navigation model, its own indexability policy and its own support story. A fourth tier (a partner or B2B surface) is out of scope for MVP and is deliberately not reserved for.</w:t>
      </w:r>
    </w:p>
    <w:p>
      <w:pPr>
        <w:pStyle w:val="ListNumber"/>
        <w:spacing w:after="60"/>
        <w:ind w:left="432"/>
      </w:pPr>
      <w:r>
        <w:rPr>
          <w:rFonts w:ascii="Calibri" w:hAnsi="Calibri"/>
          <w:b/>
          <w:color w:val="101828"/>
          <w:sz w:val="21"/>
        </w:rPr>
        <w:t>The tier boundary is also the trust boundary.</w:t>
      </w:r>
      <w:r>
        <w:rPr>
          <w:rFonts w:ascii="Calibri" w:hAnsi="Calibri"/>
          <w:b w:val="0"/>
          <w:i w:val="0"/>
          <w:color w:val="101828"/>
          <w:sz w:val="21"/>
        </w:rPr>
        <w:t xml:space="preserve"> Tier 1 makes no claim about any individual. Tier 2 makes claims about the signed-in member only. Tier 3 reads across all Ajos under role control. No screen in tier 2 may read another member's data; no screen in tier 1 may require an account to be useful; no screen in tier 3 may move money (CANONICAL.md section 2, role </w:t>
      </w:r>
      <w:r>
        <w:rPr>
          <w:rFonts w:ascii="Consolas" w:hAnsi="Consolas"/>
          <w:color w:val="146EF5"/>
          <w:sz w:val="21"/>
        </w:rPr>
        <w:t>support</w:t>
      </w:r>
      <w:r>
        <w:rPr>
          <w:rFonts w:ascii="Calibri" w:hAnsi="Calibri"/>
          <w:b w:val="0"/>
          <w:i w:val="0"/>
          <w:color w:val="101828"/>
          <w:sz w:val="21"/>
        </w:rPr>
        <w:t xml:space="preserve"> cannot move money; </w:t>
      </w:r>
      <w:r>
        <w:rPr>
          <w:rFonts w:ascii="Consolas" w:hAnsi="Consolas"/>
          <w:color w:val="146EF5"/>
          <w:sz w:val="21"/>
        </w:rPr>
        <w:t>risk_officer</w:t>
      </w:r>
      <w:r>
        <w:rPr>
          <w:rFonts w:ascii="Calibri" w:hAnsi="Calibri"/>
          <w:b w:val="0"/>
          <w:i w:val="0"/>
          <w:color w:val="101828"/>
          <w:sz w:val="21"/>
        </w:rPr>
        <w:t xml:space="preserve"> cannot move money; only </w:t>
      </w:r>
      <w:r>
        <w:rPr>
          <w:rFonts w:ascii="Consolas" w:hAnsi="Consolas"/>
          <w:color w:val="146EF5"/>
          <w:sz w:val="21"/>
        </w:rPr>
        <w:t>super_admin</w:t>
      </w:r>
      <w:r>
        <w:rPr>
          <w:rFonts w:ascii="Calibri" w:hAnsi="Calibri"/>
          <w:b w:val="0"/>
          <w:i w:val="0"/>
          <w:color w:val="101828"/>
          <w:sz w:val="21"/>
        </w:rPr>
        <w:t xml:space="preserve"> can initiate a payout and even then not by editing the ledger).</w:t>
      </w:r>
    </w:p>
    <w:p>
      <w:pPr>
        <w:pStyle w:val="ListNumber"/>
        <w:spacing w:after="60"/>
        <w:ind w:left="432"/>
      </w:pPr>
      <w:r>
        <w:rPr>
          <w:rFonts w:ascii="Calibri" w:hAnsi="Calibri"/>
          <w:b/>
          <w:color w:val="101828"/>
          <w:sz w:val="21"/>
        </w:rPr>
        <w:t>Authenticate at the edge, not per screen.</w:t>
      </w:r>
      <w:r>
        <w:rPr>
          <w:rFonts w:ascii="Calibri" w:hAnsi="Calibri"/>
          <w:b w:val="0"/>
          <w:i w:val="0"/>
          <w:color w:val="101828"/>
          <w:sz w:val="21"/>
        </w:rPr>
        <w:t xml:space="preserve"> Tier 2 and tier 3 route guards run before render. An unauthenticated request to </w:t>
      </w:r>
      <w:r>
        <w:rPr>
          <w:rFonts w:ascii="Consolas" w:hAnsi="Consolas"/>
          <w:color w:val="146EF5"/>
          <w:sz w:val="21"/>
        </w:rPr>
        <w:t>/app/**</w:t>
      </w:r>
      <w:r>
        <w:rPr>
          <w:rFonts w:ascii="Calibri" w:hAnsi="Calibri"/>
          <w:b w:val="0"/>
          <w:i w:val="0"/>
          <w:color w:val="101828"/>
          <w:sz w:val="21"/>
        </w:rPr>
        <w:t xml:space="preserve"> redirects to </w:t>
      </w:r>
      <w:r>
        <w:rPr>
          <w:rFonts w:ascii="Consolas" w:hAnsi="Consolas"/>
          <w:color w:val="146EF5"/>
          <w:sz w:val="21"/>
        </w:rPr>
        <w:t>/login?returnTo=&lt;encoded path&gt;</w:t>
      </w:r>
      <w:r>
        <w:rPr>
          <w:rFonts w:ascii="Calibri" w:hAnsi="Calibri"/>
          <w:b w:val="0"/>
          <w:i w:val="0"/>
          <w:color w:val="101828"/>
          <w:sz w:val="21"/>
        </w:rPr>
        <w:t>; an authenticated request for which the role is insufficient returns the role-denied screen (SCR-ADM-13), never the not-found screen, so that a person is not misled about their own access.</w:t>
      </w:r>
    </w:p>
    <w:p>
      <w:pPr>
        <w:pStyle w:val="ListNumber"/>
        <w:spacing w:after="60"/>
        <w:ind w:left="432"/>
      </w:pPr>
      <w:r>
        <w:rPr>
          <w:rFonts w:ascii="Calibri" w:hAnsi="Calibri"/>
          <w:b/>
          <w:color w:val="101828"/>
          <w:sz w:val="21"/>
        </w:rPr>
        <w:t>Depth is capped at three levels.</w:t>
      </w:r>
      <w:r>
        <w:rPr>
          <w:rFonts w:ascii="Calibri" w:hAnsi="Calibri"/>
          <w:b w:val="0"/>
          <w:i w:val="0"/>
          <w:color w:val="101828"/>
          <w:sz w:val="21"/>
        </w:rPr>
        <w:t xml:space="preserve"> Tier 2 is </w:t>
      </w:r>
      <w:r>
        <w:rPr>
          <w:rFonts w:ascii="Consolas" w:hAnsi="Consolas"/>
          <w:color w:val="146EF5"/>
          <w:sz w:val="21"/>
        </w:rPr>
        <w:t>/app/&lt;resource&gt;/&lt;resource&gt;</w:t>
      </w:r>
      <w:r>
        <w:rPr>
          <w:rFonts w:ascii="Calibri" w:hAnsi="Calibri"/>
          <w:b w:val="0"/>
          <w:i w:val="0"/>
          <w:color w:val="101828"/>
          <w:sz w:val="21"/>
        </w:rPr>
        <w:t>. Beyond that the user navigates by filter, tab and in-page state rather than by path. This keeps every URL copyable, every breadcrumb two items deep, and every deep link survivable across a redesign.</w:t>
      </w:r>
    </w:p>
    <w:p>
      <w:pPr>
        <w:pStyle w:val="ListNumber"/>
        <w:spacing w:after="60"/>
        <w:ind w:left="432"/>
      </w:pPr>
      <w:r>
        <w:rPr>
          <w:rFonts w:ascii="Calibri" w:hAnsi="Calibri"/>
          <w:b/>
          <w:color w:val="101828"/>
          <w:sz w:val="21"/>
        </w:rPr>
        <w:t>One primary action per screen.</w:t>
      </w:r>
      <w:r>
        <w:rPr>
          <w:rFonts w:ascii="Calibri" w:hAnsi="Calibri"/>
          <w:b w:val="0"/>
          <w:i w:val="0"/>
          <w:color w:val="101828"/>
          <w:sz w:val="21"/>
        </w:rPr>
        <w:t xml:space="preserve"> Every screen has at most one element that is styled as a primary action. Where a screen has two real actions, one of them is a navigation link, not a button. This is the structural expression of the no-dark-pattern rule in 7.1 and it is a hard constraint, not a style preference.</w:t>
      </w:r>
    </w:p>
    <w:p>
      <w:pPr>
        <w:pStyle w:val="Heading3"/>
      </w:pPr>
      <w:r>
        <w:rPr>
          <w:rFonts w:ascii="Calibri" w:hAnsi="Calibri"/>
          <w:b/>
          <w:i w:val="0"/>
          <w:color w:val="0B1F3A"/>
          <w:sz w:val="24"/>
        </w:rPr>
        <w:t>3.1.1 Tier characteristics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4"/>
              </w:rPr>
              <w:t>Attribute</w:t>
            </w:r>
          </w:p>
        </w:tc>
        <w:tc>
          <w:tcPr>
            <w:tcW w:type="dxa" w:w="2664"/>
            <w:shd w:val="clear" w:color="auto" w:fill="0B1F3A"/>
            <w:tcMar>
              <w:top w:w="60" w:type="dxa"/>
              <w:start w:w="110" w:type="dxa"/>
              <w:bottom w:w="60" w:type="dxa"/>
              <w:end w:w="110" w:type="dxa"/>
            </w:tcMar>
          </w:tcPr>
          <w:p>
            <w:pPr>
              <w:spacing w:after="0"/>
            </w:pPr>
            <w:r/>
            <w:r>
              <w:rPr>
                <w:rFonts w:ascii="Calibri" w:hAnsi="Calibri"/>
                <w:b/>
                <w:i w:val="0"/>
                <w:color w:val="FFFFFF"/>
                <w:sz w:val="14"/>
              </w:rPr>
              <w:t>Tier 1 — Public website</w:t>
            </w:r>
          </w:p>
        </w:tc>
        <w:tc>
          <w:tcPr>
            <w:tcW w:type="dxa" w:w="2808"/>
            <w:shd w:val="clear" w:color="auto" w:fill="0B1F3A"/>
            <w:tcMar>
              <w:top w:w="60" w:type="dxa"/>
              <w:start w:w="110" w:type="dxa"/>
              <w:bottom w:w="60" w:type="dxa"/>
              <w:end w:w="110" w:type="dxa"/>
            </w:tcMar>
          </w:tcPr>
          <w:p>
            <w:pPr>
              <w:spacing w:after="0"/>
            </w:pPr>
            <w:r/>
            <w:r>
              <w:rPr>
                <w:rFonts w:ascii="Calibri" w:hAnsi="Calibri"/>
                <w:b/>
                <w:i w:val="0"/>
                <w:color w:val="FFFFFF"/>
                <w:sz w:val="14"/>
              </w:rPr>
              <w:t>Tier 2 — Authenticated app</w:t>
            </w:r>
          </w:p>
        </w:tc>
        <w:tc>
          <w:tcPr>
            <w:tcW w:type="dxa" w:w="2592"/>
            <w:shd w:val="clear" w:color="auto" w:fill="0B1F3A"/>
            <w:tcMar>
              <w:top w:w="60" w:type="dxa"/>
              <w:start w:w="110" w:type="dxa"/>
              <w:bottom w:w="60" w:type="dxa"/>
              <w:end w:w="110" w:type="dxa"/>
            </w:tcMar>
          </w:tcPr>
          <w:p>
            <w:pPr>
              <w:spacing w:after="0"/>
            </w:pPr>
            <w:r/>
            <w:r>
              <w:rPr>
                <w:rFonts w:ascii="Calibri" w:hAnsi="Calibri"/>
                <w:b/>
                <w:i w:val="0"/>
                <w:color w:val="FFFFFF"/>
                <w:sz w:val="14"/>
              </w:rPr>
              <w:t>Tier 3 — Admin console</w:t>
            </w:r>
          </w:p>
        </w:tc>
      </w:tr>
      <w:tr>
        <w:trPr>
          <w:cantSplit/>
        </w:trPr>
        <w:tc>
          <w:tcPr>
            <w:tcW w:type="dxa" w:w="1296"/>
            <w:tcMar>
              <w:top w:w="60" w:type="dxa"/>
              <w:start w:w="110" w:type="dxa"/>
              <w:bottom w:w="60" w:type="dxa"/>
              <w:end w:w="110" w:type="dxa"/>
            </w:tcMar>
          </w:tcPr>
          <w:p>
            <w:pPr>
              <w:spacing w:after="0"/>
            </w:pPr>
            <w:r/>
            <w:r>
              <w:rPr>
                <w:rFonts w:ascii="Calibri" w:hAnsi="Calibri"/>
                <w:b w:val="0"/>
                <w:i w:val="0"/>
                <w:color w:val="101828"/>
                <w:sz w:val="14"/>
              </w:rPr>
              <w:t>Path root</w:t>
            </w:r>
          </w:p>
        </w:tc>
        <w:tc>
          <w:tcPr>
            <w:tcW w:type="dxa" w:w="2664"/>
            <w:tcMar>
              <w:top w:w="60" w:type="dxa"/>
              <w:start w:w="110" w:type="dxa"/>
              <w:bottom w:w="60" w:type="dxa"/>
              <w:end w:w="110" w:type="dxa"/>
            </w:tcMar>
          </w:tcPr>
          <w:p>
            <w:pPr>
              <w:spacing w:after="0"/>
            </w:pPr>
            <w:r/>
            <w:r>
              <w:rPr>
                <w:rFonts w:ascii="Consolas" w:hAnsi="Consolas"/>
                <w:color w:val="146EF5"/>
                <w:sz w:val="14"/>
              </w:rPr>
              <w:t>/</w:t>
            </w:r>
          </w:p>
        </w:tc>
        <w:tc>
          <w:tcPr>
            <w:tcW w:type="dxa" w:w="2808"/>
            <w:tcMar>
              <w:top w:w="60" w:type="dxa"/>
              <w:start w:w="110" w:type="dxa"/>
              <w:bottom w:w="60" w:type="dxa"/>
              <w:end w:w="110" w:type="dxa"/>
            </w:tcMar>
          </w:tcPr>
          <w:p>
            <w:pPr>
              <w:spacing w:after="0"/>
            </w:pPr>
            <w:r/>
            <w:r>
              <w:rPr>
                <w:rFonts w:ascii="Consolas" w:hAnsi="Consolas"/>
                <w:color w:val="146EF5"/>
                <w:sz w:val="14"/>
              </w:rPr>
              <w:t>/app</w:t>
            </w:r>
          </w:p>
        </w:tc>
        <w:tc>
          <w:tcPr>
            <w:tcW w:type="dxa" w:w="2592"/>
            <w:tcMar>
              <w:top w:w="60" w:type="dxa"/>
              <w:start w:w="110" w:type="dxa"/>
              <w:bottom w:w="60" w:type="dxa"/>
              <w:end w:w="110" w:type="dxa"/>
            </w:tcMar>
          </w:tcPr>
          <w:p>
            <w:pPr>
              <w:spacing w:after="0"/>
            </w:pPr>
            <w:r/>
            <w:r>
              <w:rPr>
                <w:rFonts w:ascii="Consolas" w:hAnsi="Consolas"/>
                <w:color w:val="146EF5"/>
                <w:sz w:val="14"/>
              </w:rPr>
              <w:t>/admin</w:t>
            </w:r>
          </w:p>
        </w:tc>
      </w:tr>
      <w:tr>
        <w:trPr>
          <w:cantSplit/>
        </w:trPr>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Authentication</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4"/>
              </w:rPr>
              <w:t>None. A session, if present, is ignored for content selection.</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Required. Bearer/cookie session with refresh.</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Required </w:t>
            </w:r>
            <w:r>
              <w:rPr>
                <w:rFonts w:ascii="Calibri" w:hAnsi="Calibri"/>
                <w:b/>
                <w:color w:val="101828"/>
                <w:sz w:val="14"/>
              </w:rPr>
              <w:t>plus</w:t>
            </w:r>
            <w:r>
              <w:rPr>
                <w:rFonts w:ascii="Calibri" w:hAnsi="Calibri"/>
                <w:b w:val="0"/>
                <w:i w:val="0"/>
                <w:color w:val="101828"/>
                <w:sz w:val="14"/>
              </w:rPr>
              <w:t xml:space="preserve"> an admin role assertion. Re-authentication within a 15-minute window for destructive actions.</w:t>
            </w:r>
          </w:p>
        </w:tc>
      </w:tr>
      <w:tr>
        <w:trPr>
          <w:cantSplit/>
        </w:trPr>
        <w:tc>
          <w:tcPr>
            <w:tcW w:type="dxa" w:w="1296"/>
            <w:tcMar>
              <w:top w:w="60" w:type="dxa"/>
              <w:start w:w="110" w:type="dxa"/>
              <w:bottom w:w="60" w:type="dxa"/>
              <w:end w:w="110" w:type="dxa"/>
            </w:tcMar>
          </w:tcPr>
          <w:p>
            <w:pPr>
              <w:spacing w:after="0"/>
            </w:pPr>
            <w:r/>
            <w:r>
              <w:rPr>
                <w:rFonts w:ascii="Calibri" w:hAnsi="Calibri"/>
                <w:b w:val="0"/>
                <w:i w:val="0"/>
                <w:color w:val="101828"/>
                <w:sz w:val="14"/>
              </w:rPr>
              <w:t>Roles served</w:t>
            </w:r>
          </w:p>
        </w:tc>
        <w:tc>
          <w:tcPr>
            <w:tcW w:type="dxa" w:w="2664"/>
            <w:tcMar>
              <w:top w:w="60" w:type="dxa"/>
              <w:start w:w="110" w:type="dxa"/>
              <w:bottom w:w="60" w:type="dxa"/>
              <w:end w:w="110" w:type="dxa"/>
            </w:tcMar>
          </w:tcPr>
          <w:p>
            <w:pPr>
              <w:spacing w:after="0"/>
            </w:pPr>
            <w:r/>
            <w:r>
              <w:rPr>
                <w:rFonts w:ascii="Calibri" w:hAnsi="Calibri"/>
                <w:b w:val="0"/>
                <w:i w:val="0"/>
                <w:color w:val="101828"/>
                <w:sz w:val="14"/>
              </w:rPr>
              <w:t>Anonymous</w:t>
            </w:r>
          </w:p>
        </w:tc>
        <w:tc>
          <w:tcPr>
            <w:tcW w:type="dxa" w:w="2808"/>
            <w:tcMar>
              <w:top w:w="60" w:type="dxa"/>
              <w:start w:w="110" w:type="dxa"/>
              <w:bottom w:w="60" w:type="dxa"/>
              <w:end w:w="110" w:type="dxa"/>
            </w:tcMar>
          </w:tcPr>
          <w:p>
            <w:pPr>
              <w:spacing w:after="0"/>
            </w:pPr>
            <w:r/>
            <w:r>
              <w:rPr>
                <w:rFonts w:ascii="Consolas" w:hAnsi="Consolas"/>
                <w:color w:val="146EF5"/>
                <w:sz w:val="14"/>
              </w:rPr>
              <w:t>user</w:t>
            </w:r>
            <w:r>
              <w:rPr>
                <w:rFonts w:ascii="Calibri" w:hAnsi="Calibri"/>
                <w:b w:val="0"/>
                <w:i w:val="0"/>
                <w:color w:val="101828"/>
                <w:sz w:val="14"/>
              </w:rPr>
              <w:t xml:space="preserve">, </w:t>
            </w:r>
            <w:r>
              <w:rPr>
                <w:rFonts w:ascii="Consolas" w:hAnsi="Consolas"/>
                <w:color w:val="146EF5"/>
                <w:sz w:val="14"/>
              </w:rPr>
              <w:t>ajo_organizer</w:t>
            </w:r>
            <w:r>
              <w:rPr>
                <w:rFonts w:ascii="Calibri" w:hAnsi="Calibri"/>
                <w:b w:val="0"/>
                <w:i w:val="0"/>
                <w:color w:val="101828"/>
                <w:sz w:val="14"/>
              </w:rPr>
              <w:t xml:space="preserve">, </w:t>
            </w:r>
            <w:r>
              <w:rPr>
                <w:rFonts w:ascii="Consolas" w:hAnsi="Consolas"/>
                <w:color w:val="146EF5"/>
                <w:sz w:val="14"/>
              </w:rPr>
              <w:t>ajo_member</w:t>
            </w:r>
          </w:p>
        </w:tc>
        <w:tc>
          <w:tcPr>
            <w:tcW w:type="dxa" w:w="2592"/>
            <w:tcMar>
              <w:top w:w="60" w:type="dxa"/>
              <w:start w:w="110" w:type="dxa"/>
              <w:bottom w:w="60" w:type="dxa"/>
              <w:end w:w="110" w:type="dxa"/>
            </w:tcMar>
          </w:tcPr>
          <w:p>
            <w:pPr>
              <w:spacing w:after="0"/>
            </w:pPr>
            <w:r/>
            <w:r>
              <w:rPr>
                <w:rFonts w:ascii="Consolas" w:hAnsi="Consolas"/>
                <w:color w:val="146EF5"/>
                <w:sz w:val="14"/>
              </w:rPr>
              <w:t>support</w:t>
            </w:r>
            <w:r>
              <w:rPr>
                <w:rFonts w:ascii="Calibri" w:hAnsi="Calibri"/>
                <w:b w:val="0"/>
                <w:i w:val="0"/>
                <w:color w:val="101828"/>
                <w:sz w:val="14"/>
              </w:rPr>
              <w:t xml:space="preserve">, </w:t>
            </w:r>
            <w:r>
              <w:rPr>
                <w:rFonts w:ascii="Consolas" w:hAnsi="Consolas"/>
                <w:color w:val="146EF5"/>
                <w:sz w:val="14"/>
              </w:rPr>
              <w:t>risk_officer</w:t>
            </w:r>
            <w:r>
              <w:rPr>
                <w:rFonts w:ascii="Calibri" w:hAnsi="Calibri"/>
                <w:b w:val="0"/>
                <w:i w:val="0"/>
                <w:color w:val="101828"/>
                <w:sz w:val="14"/>
              </w:rPr>
              <w:t xml:space="preserve">, </w:t>
            </w:r>
            <w:r>
              <w:rPr>
                <w:rFonts w:ascii="Consolas" w:hAnsi="Consolas"/>
                <w:color w:val="146EF5"/>
                <w:sz w:val="14"/>
              </w:rPr>
              <w:t>super_admin</w:t>
            </w:r>
          </w:p>
        </w:tc>
      </w:tr>
      <w:tr>
        <w:trPr>
          <w:cantSplit/>
        </w:trPr>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Indexing</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Indexed. Listed in </w:t>
            </w:r>
            <w:r>
              <w:rPr>
                <w:rFonts w:ascii="Consolas" w:hAnsi="Consolas"/>
                <w:color w:val="146EF5"/>
                <w:sz w:val="14"/>
              </w:rPr>
              <w:t>sitemap.xml</w:t>
            </w:r>
            <w:r>
              <w:rPr>
                <w:rFonts w:ascii="Calibri" w:hAnsi="Calibri"/>
                <w:b w:val="0"/>
                <w:i w:val="0"/>
                <w:color w:val="101828"/>
                <w:sz w:val="14"/>
              </w:rPr>
              <w:t>.</w:t>
            </w:r>
          </w:p>
        </w:tc>
        <w:tc>
          <w:tcPr>
            <w:tcW w:type="dxa" w:w="2808"/>
            <w:tcMar>
              <w:top w:w="60" w:type="dxa"/>
              <w:start w:w="110" w:type="dxa"/>
              <w:bottom w:w="60" w:type="dxa"/>
              <w:end w:w="110" w:type="dxa"/>
            </w:tcMar>
            <w:shd w:val="clear" w:color="auto" w:fill="F4F7FB"/>
          </w:tcPr>
          <w:p>
            <w:pPr>
              <w:spacing w:after="0"/>
            </w:pPr>
            <w:r/>
            <w:r>
              <w:rPr>
                <w:rFonts w:ascii="Consolas" w:hAnsi="Consolas"/>
                <w:color w:val="146EF5"/>
                <w:sz w:val="14"/>
              </w:rPr>
              <w:t>noindex, nofollow</w:t>
            </w:r>
            <w:r>
              <w:rPr>
                <w:rFonts w:ascii="Calibri" w:hAnsi="Calibri"/>
                <w:b w:val="0"/>
                <w:i w:val="0"/>
                <w:color w:val="101828"/>
                <w:sz w:val="14"/>
              </w:rPr>
              <w:t xml:space="preserve"> on every route, enforced by response header.</w:t>
            </w:r>
          </w:p>
        </w:tc>
        <w:tc>
          <w:tcPr>
            <w:tcW w:type="dxa" w:w="2592"/>
            <w:tcMar>
              <w:top w:w="60" w:type="dxa"/>
              <w:start w:w="110" w:type="dxa"/>
              <w:bottom w:w="60" w:type="dxa"/>
              <w:end w:w="110" w:type="dxa"/>
            </w:tcMar>
            <w:shd w:val="clear" w:color="auto" w:fill="F4F7FB"/>
          </w:tcPr>
          <w:p>
            <w:pPr>
              <w:spacing w:after="0"/>
            </w:pPr>
            <w:r/>
            <w:r>
              <w:rPr>
                <w:rFonts w:ascii="Consolas" w:hAnsi="Consolas"/>
                <w:color w:val="146EF5"/>
                <w:sz w:val="14"/>
              </w:rPr>
              <w:t>noindex, nofollow</w:t>
            </w:r>
            <w:r>
              <w:rPr>
                <w:rFonts w:ascii="Calibri" w:hAnsi="Calibri"/>
                <w:b w:val="0"/>
                <w:i w:val="0"/>
                <w:color w:val="101828"/>
                <w:sz w:val="14"/>
              </w:rPr>
              <w:t xml:space="preserve">, plus </w:t>
            </w:r>
            <w:r>
              <w:rPr>
                <w:rFonts w:ascii="Consolas" w:hAnsi="Consolas"/>
                <w:color w:val="146EF5"/>
                <w:sz w:val="14"/>
              </w:rPr>
              <w:t>robots.txt</w:t>
            </w:r>
            <w:r>
              <w:rPr>
                <w:rFonts w:ascii="Calibri" w:hAnsi="Calibri"/>
                <w:b w:val="0"/>
                <w:i w:val="0"/>
                <w:color w:val="101828"/>
                <w:sz w:val="14"/>
              </w:rPr>
              <w:t xml:space="preserve"> disallow and edge-IP allowlist.</w:t>
            </w:r>
          </w:p>
        </w:tc>
      </w:tr>
      <w:tr>
        <w:trPr>
          <w:cantSplit/>
        </w:trPr>
        <w:tc>
          <w:tcPr>
            <w:tcW w:type="dxa" w:w="1296"/>
            <w:tcMar>
              <w:top w:w="60" w:type="dxa"/>
              <w:start w:w="110" w:type="dxa"/>
              <w:bottom w:w="60" w:type="dxa"/>
              <w:end w:w="110" w:type="dxa"/>
            </w:tcMar>
          </w:tcPr>
          <w:p>
            <w:pPr>
              <w:spacing w:after="0"/>
            </w:pPr>
            <w:r/>
            <w:r>
              <w:rPr>
                <w:rFonts w:ascii="Calibri" w:hAnsi="Calibri"/>
                <w:b w:val="0"/>
                <w:i w:val="0"/>
                <w:color w:val="101828"/>
                <w:sz w:val="14"/>
              </w:rPr>
              <w:t>Navigation model</w:t>
            </w:r>
          </w:p>
        </w:tc>
        <w:tc>
          <w:tcPr>
            <w:tcW w:type="dxa" w:w="2664"/>
            <w:tcMar>
              <w:top w:w="60" w:type="dxa"/>
              <w:start w:w="110" w:type="dxa"/>
              <w:bottom w:w="60" w:type="dxa"/>
              <w:end w:w="110" w:type="dxa"/>
            </w:tcMar>
          </w:tcPr>
          <w:p>
            <w:pPr>
              <w:spacing w:after="0"/>
            </w:pPr>
            <w:r/>
            <w:r>
              <w:rPr>
                <w:rFonts w:ascii="Calibri" w:hAnsi="Calibri"/>
                <w:b w:val="0"/>
                <w:i w:val="0"/>
                <w:color w:val="101828"/>
                <w:sz w:val="14"/>
              </w:rPr>
              <w:t>Horizontal top nav, 8 items maximum, footer sitemap.</w:t>
            </w:r>
          </w:p>
        </w:tc>
        <w:tc>
          <w:tcPr>
            <w:tcW w:type="dxa" w:w="2808"/>
            <w:tcMar>
              <w:top w:w="60" w:type="dxa"/>
              <w:start w:w="110" w:type="dxa"/>
              <w:bottom w:w="60" w:type="dxa"/>
              <w:end w:w="110" w:type="dxa"/>
            </w:tcMar>
          </w:tcPr>
          <w:p>
            <w:pPr>
              <w:spacing w:after="0"/>
            </w:pPr>
            <w:r/>
            <w:r>
              <w:rPr>
                <w:rFonts w:ascii="Calibri" w:hAnsi="Calibri"/>
                <w:b w:val="0"/>
                <w:i w:val="0"/>
                <w:color w:val="101828"/>
                <w:sz w:val="14"/>
              </w:rPr>
              <w:t>Desktop: left rail plus top bar. Mobile: 5-tab bottom bar.</w:t>
            </w:r>
          </w:p>
        </w:tc>
        <w:tc>
          <w:tcPr>
            <w:tcW w:type="dxa" w:w="2592"/>
            <w:tcMar>
              <w:top w:w="60" w:type="dxa"/>
              <w:start w:w="110" w:type="dxa"/>
              <w:bottom w:w="60" w:type="dxa"/>
              <w:end w:w="110" w:type="dxa"/>
            </w:tcMar>
          </w:tcPr>
          <w:p>
            <w:pPr>
              <w:spacing w:after="0"/>
            </w:pPr>
            <w:r/>
            <w:r>
              <w:rPr>
                <w:rFonts w:ascii="Calibri" w:hAnsi="Calibri"/>
                <w:b w:val="0"/>
                <w:i w:val="0"/>
                <w:color w:val="101828"/>
                <w:sz w:val="14"/>
              </w:rPr>
              <w:t>Fixed left rail, 9 items, no bottom bar, no marketing chrome.</w:t>
            </w:r>
          </w:p>
        </w:tc>
      </w:tr>
      <w:tr>
        <w:trPr>
          <w:cantSplit/>
        </w:trPr>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Session lifetime</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4"/>
              </w:rPr>
              <w:t>None</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Sliding 30-day refresh, absolute 12-month</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4"/>
              </w:rPr>
              <w:t>30-minute idle timeout, absolute 12-hour</w:t>
            </w:r>
          </w:p>
        </w:tc>
      </w:tr>
      <w:tr>
        <w:trPr>
          <w:cantSplit/>
        </w:trPr>
        <w:tc>
          <w:tcPr>
            <w:tcW w:type="dxa" w:w="1296"/>
            <w:tcMar>
              <w:top w:w="60" w:type="dxa"/>
              <w:start w:w="110" w:type="dxa"/>
              <w:bottom w:w="60" w:type="dxa"/>
              <w:end w:w="110" w:type="dxa"/>
            </w:tcMar>
          </w:tcPr>
          <w:p>
            <w:pPr>
              <w:spacing w:after="0"/>
            </w:pPr>
            <w:r/>
            <w:r>
              <w:rPr>
                <w:rFonts w:ascii="Calibri" w:hAnsi="Calibri"/>
                <w:b w:val="0"/>
                <w:i w:val="0"/>
                <w:color w:val="101828"/>
                <w:sz w:val="14"/>
              </w:rPr>
              <w:t>Data in URLs</w:t>
            </w:r>
          </w:p>
        </w:tc>
        <w:tc>
          <w:tcPr>
            <w:tcW w:type="dxa" w:w="2664"/>
            <w:tcMar>
              <w:top w:w="60" w:type="dxa"/>
              <w:start w:w="110" w:type="dxa"/>
              <w:bottom w:w="60" w:type="dxa"/>
              <w:end w:w="110" w:type="dxa"/>
            </w:tcMar>
          </w:tcPr>
          <w:p>
            <w:pPr>
              <w:spacing w:after="0"/>
            </w:pPr>
            <w:r/>
            <w:r>
              <w:rPr>
                <w:rFonts w:ascii="Calibri" w:hAnsi="Calibri"/>
                <w:b w:val="0"/>
                <w:i w:val="0"/>
                <w:color w:val="101828"/>
                <w:sz w:val="14"/>
              </w:rPr>
              <w:t>None</w:t>
            </w:r>
          </w:p>
        </w:tc>
        <w:tc>
          <w:tcPr>
            <w:tcW w:type="dxa" w:w="2808"/>
            <w:tcMar>
              <w:top w:w="60" w:type="dxa"/>
              <w:start w:w="110" w:type="dxa"/>
              <w:bottom w:w="60" w:type="dxa"/>
              <w:end w:w="110" w:type="dxa"/>
            </w:tcMar>
          </w:tcPr>
          <w:p>
            <w:pPr>
              <w:spacing w:after="0"/>
            </w:pPr>
            <w:r/>
            <w:r>
              <w:rPr>
                <w:rFonts w:ascii="Calibri" w:hAnsi="Calibri"/>
                <w:b w:val="0"/>
                <w:i w:val="0"/>
                <w:color w:val="101828"/>
                <w:sz w:val="14"/>
              </w:rPr>
              <w:t xml:space="preserve">Opaque ULIDs and enums only. </w:t>
            </w:r>
            <w:r>
              <w:rPr>
                <w:rFonts w:ascii="Calibri" w:hAnsi="Calibri"/>
                <w:b/>
                <w:color w:val="101828"/>
                <w:sz w:val="14"/>
              </w:rPr>
              <w:t>Never</w:t>
            </w:r>
            <w:r>
              <w:rPr>
                <w:rFonts w:ascii="Calibri" w:hAnsi="Calibri"/>
                <w:b w:val="0"/>
                <w:i w:val="0"/>
                <w:color w:val="101828"/>
                <w:sz w:val="14"/>
              </w:rPr>
              <w:t xml:space="preserve"> a name, phone, email, BVN or amount.</w:t>
            </w:r>
          </w:p>
        </w:tc>
        <w:tc>
          <w:tcPr>
            <w:tcW w:type="dxa" w:w="2592"/>
            <w:tcMar>
              <w:top w:w="60" w:type="dxa"/>
              <w:start w:w="110" w:type="dxa"/>
              <w:bottom w:w="60" w:type="dxa"/>
              <w:end w:w="110" w:type="dxa"/>
            </w:tcMar>
          </w:tcPr>
          <w:p>
            <w:pPr>
              <w:spacing w:after="0"/>
            </w:pPr>
            <w:r/>
            <w:r>
              <w:rPr>
                <w:rFonts w:ascii="Calibri" w:hAnsi="Calibri"/>
                <w:b w:val="0"/>
                <w:i w:val="0"/>
                <w:color w:val="101828"/>
                <w:sz w:val="14"/>
              </w:rPr>
              <w:t>Opaque ULIDs only. Search filters travel in the query string.</w:t>
            </w:r>
          </w:p>
        </w:tc>
      </w:tr>
      <w:tr>
        <w:trPr>
          <w:cantSplit/>
        </w:trPr>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Fee disclosure duty</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Static explanation on </w:t>
            </w:r>
            <w:r>
              <w:rPr>
                <w:rFonts w:ascii="Consolas" w:hAnsi="Consolas"/>
                <w:color w:val="146EF5"/>
                <w:sz w:val="14"/>
              </w:rPr>
              <w:t>/fees</w:t>
            </w:r>
            <w:r>
              <w:rPr>
                <w:rFonts w:ascii="Calibri" w:hAnsi="Calibri"/>
                <w:b w:val="0"/>
                <w:i w:val="0"/>
                <w:color w:val="101828"/>
                <w:sz w:val="14"/>
              </w:rPr>
              <w:t xml:space="preserve"> and </w:t>
            </w:r>
            <w:r>
              <w:rPr>
                <w:rFonts w:ascii="Consolas" w:hAnsi="Consolas"/>
                <w:color w:val="146EF5"/>
                <w:sz w:val="14"/>
              </w:rPr>
              <w:t>/how-it-works</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Mandatory, itemised, on every money-moving screen (BR-010, BR-011)</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Read-only mirror of </w:t>
            </w:r>
            <w:r>
              <w:rPr>
                <w:rFonts w:ascii="Consolas" w:hAnsi="Consolas"/>
                <w:color w:val="146EF5"/>
                <w:sz w:val="14"/>
              </w:rPr>
              <w:t>fees_income</w:t>
            </w:r>
            <w:r>
              <w:rPr>
                <w:rFonts w:ascii="Calibri" w:hAnsi="Calibri"/>
                <w:b w:val="0"/>
                <w:i w:val="0"/>
                <w:color w:val="101828"/>
                <w:sz w:val="14"/>
              </w:rPr>
              <w:t>; no configuration (D-06 open)</w:t>
            </w:r>
          </w:p>
        </w:tc>
      </w:tr>
      <w:tr>
        <w:trPr>
          <w:cantSplit/>
        </w:trPr>
        <w:tc>
          <w:tcPr>
            <w:tcW w:type="dxa" w:w="1296"/>
            <w:tcMar>
              <w:top w:w="60" w:type="dxa"/>
              <w:start w:w="110" w:type="dxa"/>
              <w:bottom w:w="60" w:type="dxa"/>
              <w:end w:w="110" w:type="dxa"/>
            </w:tcMar>
          </w:tcPr>
          <w:p>
            <w:pPr>
              <w:spacing w:after="0"/>
            </w:pPr>
            <w:r/>
            <w:r>
              <w:rPr>
                <w:rFonts w:ascii="Calibri" w:hAnsi="Calibri"/>
                <w:b w:val="0"/>
                <w:i w:val="0"/>
                <w:color w:val="101828"/>
                <w:sz w:val="14"/>
              </w:rPr>
              <w:t>Error treatment</w:t>
            </w:r>
          </w:p>
        </w:tc>
        <w:tc>
          <w:tcPr>
            <w:tcW w:type="dxa" w:w="2664"/>
            <w:tcMar>
              <w:top w:w="60" w:type="dxa"/>
              <w:start w:w="110" w:type="dxa"/>
              <w:bottom w:w="60" w:type="dxa"/>
              <w:end w:w="110" w:type="dxa"/>
            </w:tcMar>
          </w:tcPr>
          <w:p>
            <w:pPr>
              <w:spacing w:after="0"/>
            </w:pPr>
            <w:r/>
            <w:r>
              <w:rPr>
                <w:rFonts w:ascii="Calibri" w:hAnsi="Calibri"/>
                <w:b w:val="0"/>
                <w:i w:val="0"/>
                <w:color w:val="101828"/>
                <w:sz w:val="14"/>
              </w:rPr>
              <w:t>404 with a link home</w:t>
            </w:r>
          </w:p>
        </w:tc>
        <w:tc>
          <w:tcPr>
            <w:tcW w:type="dxa" w:w="2808"/>
            <w:tcMar>
              <w:top w:w="60" w:type="dxa"/>
              <w:start w:w="110" w:type="dxa"/>
              <w:bottom w:w="60" w:type="dxa"/>
              <w:end w:w="110" w:type="dxa"/>
            </w:tcMar>
          </w:tcPr>
          <w:p>
            <w:pPr>
              <w:spacing w:after="0"/>
            </w:pPr>
            <w:r/>
            <w:r>
              <w:rPr>
                <w:rFonts w:ascii="Calibri" w:hAnsi="Calibri"/>
                <w:b w:val="0"/>
                <w:i w:val="0"/>
                <w:color w:val="101828"/>
                <w:sz w:val="14"/>
              </w:rPr>
              <w:t>In-app error boundary (SCR-MOB-26) with retry and reference ID</w:t>
            </w:r>
          </w:p>
        </w:tc>
        <w:tc>
          <w:tcPr>
            <w:tcW w:type="dxa" w:w="2592"/>
            <w:tcMar>
              <w:top w:w="60" w:type="dxa"/>
              <w:start w:w="110" w:type="dxa"/>
              <w:bottom w:w="60" w:type="dxa"/>
              <w:end w:w="110" w:type="dxa"/>
            </w:tcMar>
          </w:tcPr>
          <w:p>
            <w:pPr>
              <w:spacing w:after="0"/>
            </w:pPr>
            <w:r/>
            <w:r>
              <w:rPr>
                <w:rFonts w:ascii="Calibri" w:hAnsi="Calibri"/>
                <w:b w:val="0"/>
                <w:i w:val="0"/>
                <w:color w:val="101828"/>
                <w:sz w:val="14"/>
              </w:rPr>
              <w:t>Role-denied (SCR-ADM-13) or 404; never a bare 500</w:t>
            </w:r>
          </w:p>
        </w:tc>
      </w:tr>
      <w:tr>
        <w:trPr>
          <w:cantSplit/>
        </w:trPr>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Analytics</w:t>
            </w:r>
          </w:p>
        </w:tc>
        <w:tc>
          <w:tcPr>
            <w:tcW w:type="dxa" w:w="2664"/>
            <w:tcMar>
              <w:top w:w="60" w:type="dxa"/>
              <w:start w:w="110" w:type="dxa"/>
              <w:bottom w:w="60" w:type="dxa"/>
              <w:end w:w="110" w:type="dxa"/>
            </w:tcMar>
            <w:shd w:val="clear" w:color="auto" w:fill="F4F7FB"/>
          </w:tcPr>
          <w:p>
            <w:pPr>
              <w:spacing w:after="0"/>
            </w:pPr>
            <w:r/>
            <w:r>
              <w:rPr>
                <w:rFonts w:ascii="Calibri" w:hAnsi="Calibri"/>
                <w:b w:val="0"/>
                <w:i w:val="0"/>
                <w:color w:val="101828"/>
                <w:sz w:val="14"/>
              </w:rPr>
              <w:t>Page views, section engagement, signup funnel</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Product events, </w:t>
            </w:r>
            <w:r>
              <w:rPr>
                <w:rFonts w:ascii="Calibri" w:hAnsi="Calibri"/>
                <w:b/>
                <w:color w:val="101828"/>
                <w:sz w:val="14"/>
              </w:rPr>
              <w:t>no</w:t>
            </w:r>
            <w:r>
              <w:rPr>
                <w:rFonts w:ascii="Calibri" w:hAnsi="Calibri"/>
                <w:b w:val="0"/>
                <w:i w:val="0"/>
                <w:color w:val="101828"/>
                <w:sz w:val="14"/>
              </w:rPr>
              <w:t xml:space="preserve"> PII in event properties (NFR-SEC-020)</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4"/>
              </w:rPr>
              <w:t>Audit event only; admin sessions are themselves audited</w:t>
            </w:r>
          </w:p>
        </w:tc>
      </w:tr>
    </w:tbl>
    <w:p>
      <w:pPr>
        <w:spacing w:after="80"/>
      </w:pPr>
    </w:p>
    <w:p>
      <w:pPr>
        <w:pStyle w:val="Heading3"/>
      </w:pPr>
      <w:r>
        <w:rPr>
          <w:rFonts w:ascii="Calibri" w:hAnsi="Calibri"/>
          <w:b/>
          <w:i w:val="0"/>
          <w:color w:val="0B1F3A"/>
          <w:sz w:val="24"/>
        </w:rPr>
        <w:t>3.1.2 Navigation model per tier</w:t>
      </w:r>
    </w:p>
    <w:p>
      <w:r>
        <w:rPr>
          <w:rFonts w:ascii="Calibri" w:hAnsi="Calibri"/>
          <w:b/>
          <w:color w:val="101828"/>
          <w:sz w:val="21"/>
        </w:rPr>
        <w:t>Tier 1</w:t>
      </w:r>
      <w:r>
        <w:rPr>
          <w:rFonts w:ascii="Calibri" w:hAnsi="Calibri"/>
          <w:b w:val="0"/>
          <w:i w:val="0"/>
          <w:color w:val="101828"/>
          <w:sz w:val="21"/>
        </w:rPr>
        <w:t xml:space="preserve"> uses a single horizontal top navigation. It is not a mega-menu site. The top nav carries at most eight items and every item in it is a page in the table in 3.2, never a category that needs a second click. The footer carries the full sitemap, the legal pages and the contact route. Mobile collapses the tier-1 top nav to a logo, a single </w:t>
      </w:r>
      <w:r>
        <w:rPr>
          <w:rFonts w:ascii="Calibri" w:hAnsi="Calibri"/>
          <w:i/>
          <w:color w:val="101828"/>
          <w:sz w:val="21"/>
        </w:rPr>
        <w:t>Sign in</w:t>
      </w:r>
      <w:r>
        <w:rPr>
          <w:rFonts w:ascii="Calibri" w:hAnsi="Calibri"/>
          <w:b w:val="0"/>
          <w:i w:val="0"/>
          <w:color w:val="101828"/>
          <w:sz w:val="21"/>
        </w:rPr>
        <w:t xml:space="preserve"> affordance and a hamburger; the marketing site does not get a bottom bar, because the marketing site is not a task surface.</w:t>
      </w:r>
    </w:p>
    <w:p>
      <w:r>
        <w:rPr>
          <w:rFonts w:ascii="Calibri" w:hAnsi="Calibri"/>
          <w:b/>
          <w:color w:val="101828"/>
          <w:sz w:val="21"/>
        </w:rPr>
        <w:t>Tier 2</w:t>
      </w:r>
      <w:r>
        <w:rPr>
          <w:rFonts w:ascii="Calibri" w:hAnsi="Calibri"/>
          <w:b w:val="0"/>
          <w:i w:val="0"/>
          <w:color w:val="101828"/>
          <w:sz w:val="21"/>
        </w:rPr>
        <w:t xml:space="preserve"> uses a persistent left rail on desktop and a fixed five-item bottom bar on mobile. The rail is the primary orientation device: it is the answer to </w:t>
      </w:r>
      <w:r>
        <w:rPr>
          <w:rFonts w:ascii="Calibri" w:hAnsi="Calibri"/>
          <w:i/>
          <w:color w:val="101828"/>
          <w:sz w:val="21"/>
        </w:rPr>
        <w:t>where am I</w:t>
      </w:r>
      <w:r>
        <w:rPr>
          <w:rFonts w:ascii="Calibri" w:hAnsi="Calibri"/>
          <w:b w:val="0"/>
          <w:i w:val="0"/>
          <w:color w:val="101828"/>
          <w:sz w:val="21"/>
        </w:rPr>
        <w:t xml:space="preserve"> in a product where a person belongs to many Ajos at once. The bottom bar is the answer to </w:t>
      </w:r>
      <w:r>
        <w:rPr>
          <w:rFonts w:ascii="Calibri" w:hAnsi="Calibri"/>
          <w:i/>
          <w:color w:val="101828"/>
          <w:sz w:val="21"/>
        </w:rPr>
        <w:t>what can I do right now</w:t>
      </w:r>
      <w:r>
        <w:rPr>
          <w:rFonts w:ascii="Calibri" w:hAnsi="Calibri"/>
          <w:b w:val="0"/>
          <w:i w:val="0"/>
          <w:color w:val="101828"/>
          <w:sz w:val="21"/>
        </w:rPr>
        <w:t>, and it is deliberately short (3.8). Tier 2 has no hamburger. On mobile, a hamburger in a financial application hides the two things a nervous member checks first: what I owe and what I am owed.</w:t>
      </w:r>
    </w:p>
    <w:p>
      <w:r>
        <w:rPr>
          <w:rFonts w:ascii="Calibri" w:hAnsi="Calibri"/>
          <w:b/>
          <w:color w:val="101828"/>
          <w:sz w:val="21"/>
        </w:rPr>
        <w:t>Tier 3</w:t>
      </w:r>
      <w:r>
        <w:rPr>
          <w:rFonts w:ascii="Calibri" w:hAnsi="Calibri"/>
          <w:b w:val="0"/>
          <w:i w:val="0"/>
          <w:color w:val="101828"/>
          <w:sz w:val="21"/>
        </w:rPr>
        <w:t xml:space="preserve"> uses a fixed left rail only. There is no top nav, no bottom nav and no marketing chrome. An admin console is a work surface and it should look like one. The admin rail collapses to icons with a hover label below 1024 px and the admin console is explicitly not supported on screens narrower than 360 px — an administrator uses a desktop.</w:t>
      </w:r>
    </w:p>
    <w:p>
      <w:pPr>
        <w:spacing w:before="140" w:after="180"/>
        <w:ind w:left="144"/>
        <w:shd w:val="clear" w:color="auto" w:fill="FEF3C7"/>
        <w:pBdr>
          <w:left w:val="single" w:sz="18" w:space="6" w:color="FBBF24"/>
        </w:pBdr>
      </w:pPr>
      <w:r>
        <w:rPr>
          <w:rFonts w:ascii="Calibri" w:hAnsi="Calibri"/>
          <w:b/>
          <w:color w:val="FBBF24"/>
          <w:sz w:val="19"/>
        </w:rPr>
        <w:t xml:space="preserve">The admin console is not a member of the app  </w:t>
      </w:r>
      <w:r>
        <w:rPr>
          <w:rFonts w:ascii="Calibri" w:hAnsi="Calibri"/>
          <w:b w:val="0"/>
          <w:i w:val="0"/>
          <w:color w:val="0B1F3A"/>
          <w:sz w:val="19"/>
        </w:rPr>
        <w:t xml:space="preserve">Keeping </w:t>
      </w:r>
      <w:r>
        <w:rPr>
          <w:rFonts w:ascii="Consolas" w:hAnsi="Consolas"/>
          <w:color w:val="146EF5"/>
          <w:sz w:val="19"/>
        </w:rPr>
        <w:t>/admin</w:t>
      </w:r>
      <w:r>
        <w:rPr>
          <w:rFonts w:ascii="Calibri" w:hAnsi="Calibri"/>
          <w:b w:val="0"/>
          <w:i w:val="0"/>
          <w:color w:val="0B1F3A"/>
          <w:sz w:val="19"/>
        </w:rPr>
        <w:t xml:space="preserve"> on the same origin as </w:t>
      </w:r>
      <w:r>
        <w:rPr>
          <w:rFonts w:ascii="Consolas" w:hAnsi="Consolas"/>
          <w:color w:val="146EF5"/>
          <w:sz w:val="19"/>
        </w:rPr>
        <w:t>/app</w:t>
      </w:r>
      <w:r>
        <w:rPr>
          <w:rFonts w:ascii="Calibri" w:hAnsi="Calibri"/>
          <w:b w:val="0"/>
          <w:i w:val="0"/>
          <w:color w:val="0B1F3A"/>
          <w:sz w:val="19"/>
        </w:rPr>
        <w:t xml:space="preserve"> is a deployment convenience, not a security control. </w:t>
      </w:r>
      <w:r>
        <w:rPr>
          <w:rFonts w:ascii="Consolas" w:hAnsi="Consolas"/>
          <w:color w:val="146EF5"/>
          <w:sz w:val="19"/>
        </w:rPr>
        <w:t>super_admin</w:t>
      </w:r>
      <w:r>
        <w:rPr>
          <w:rFonts w:ascii="Calibri" w:hAnsi="Calibri"/>
          <w:b w:val="0"/>
          <w:i w:val="0"/>
          <w:color w:val="0B1F3A"/>
          <w:sz w:val="19"/>
        </w:rPr>
        <w:t xml:space="preserve"> cannot edit or delete a ledger entry (CANONICAL.md section 2, hard rule), and no admin screen in 3.4 exposes a write affordance against a ledger table. Splitting the admin console onto a separate origin behind a separate edge control is a recommended hardening step; it is not in MVP scope and it does not substitute for authorisation on every request. </w:t>
      </w:r>
      <w:r>
        <w:rPr>
          <w:rFonts w:ascii="Calibri" w:hAnsi="Calibri"/>
          <w:b/>
          <w:color w:val="0B1F3A"/>
          <w:sz w:val="19"/>
        </w:rPr>
        <w:t>Owner: Founders and Engineering. Decision required before production.</w:t>
      </w:r>
    </w:p>
    <w:p>
      <w:pPr>
        <w:pStyle w:val="Heading2"/>
      </w:pPr>
      <w:r>
        <w:rPr>
          <w:rFonts w:ascii="Calibri" w:hAnsi="Calibri"/>
          <w:b/>
          <w:i w:val="0"/>
          <w:color w:val="146EF5"/>
          <w:sz w:val="29"/>
        </w:rPr>
        <w:t>3.2 Public website sitemap</w:t>
      </w:r>
    </w:p>
    <w:p>
      <w:r>
        <w:rPr>
          <w:rFonts w:ascii="Calibri" w:hAnsi="Calibri"/>
          <w:b w:val="0"/>
          <w:i w:val="0"/>
          <w:color w:val="101828"/>
          <w:sz w:val="21"/>
        </w:rPr>
        <w:t>Twelve content pages plus six authentication pages make up tier 1. The content pages exist to answer the questions that block a signup, in the order a sceptical Nigerian saver actually asks them: what is this, how does it work, what does it cost, what happens if someone does not pay, who are you. The authentication pages are the only tier-1 routes that a person arrives at with an intent already formed, and they are deliberately unbranded in their title so that they do not compete with the content pages in search.</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Path</w:t>
            </w:r>
          </w:p>
        </w:tc>
        <w:tc>
          <w:tcPr>
            <w:tcW w:type="dxa" w:w="1843"/>
            <w:shd w:val="clear" w:color="auto" w:fill="0B1F3A"/>
            <w:tcMar>
              <w:top w:w="60" w:type="dxa"/>
              <w:start w:w="110" w:type="dxa"/>
              <w:bottom w:w="60" w:type="dxa"/>
              <w:end w:w="110" w:type="dxa"/>
            </w:tcMar>
          </w:tcPr>
          <w:p>
            <w:pPr>
              <w:spacing w:after="0"/>
            </w:pPr>
            <w:r/>
            <w:r>
              <w:rPr>
                <w:rFonts w:ascii="Calibri" w:hAnsi="Calibri"/>
                <w:b/>
                <w:i w:val="0"/>
                <w:color w:val="FFFFFF"/>
                <w:sz w:val="14"/>
              </w:rPr>
              <w:t>Page</w:t>
            </w:r>
          </w:p>
        </w:tc>
        <w:tc>
          <w:tcPr>
            <w:tcW w:type="dxa" w:w="3600"/>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4"/>
              </w:rPr>
              <w:t>Audience</w:t>
            </w:r>
          </w:p>
        </w:tc>
        <w:tc>
          <w:tcPr>
            <w:tcW w:type="dxa" w:w="1094"/>
            <w:shd w:val="clear" w:color="auto" w:fill="0B1F3A"/>
            <w:tcMar>
              <w:top w:w="60" w:type="dxa"/>
              <w:start w:w="110" w:type="dxa"/>
              <w:bottom w:w="60" w:type="dxa"/>
              <w:end w:w="110" w:type="dxa"/>
            </w:tcMar>
          </w:tcPr>
          <w:p>
            <w:pPr>
              <w:spacing w:after="0"/>
            </w:pPr>
            <w:r/>
            <w:r>
              <w:rPr>
                <w:rFonts w:ascii="Calibri" w:hAnsi="Calibri"/>
                <w:b/>
                <w:i w:val="0"/>
                <w:color w:val="FFFFFF"/>
                <w:sz w:val="14"/>
              </w:rPr>
              <w:t>CTA</w:t>
            </w:r>
          </w:p>
        </w:tc>
      </w:tr>
      <w:tr>
        <w:trPr>
          <w:cantSplit/>
        </w:trPr>
        <w:tc>
          <w:tcPr>
            <w:tcW w:type="dxa" w:w="1526"/>
            <w:tcMar>
              <w:top w:w="60" w:type="dxa"/>
              <w:start w:w="110" w:type="dxa"/>
              <w:bottom w:w="60" w:type="dxa"/>
              <w:end w:w="110" w:type="dxa"/>
            </w:tcMar>
          </w:tcPr>
          <w:p>
            <w:pPr>
              <w:spacing w:after="0"/>
            </w:pPr>
            <w:r/>
            <w:r>
              <w:rPr>
                <w:rFonts w:ascii="Consolas" w:hAnsi="Consolas"/>
                <w:color w:val="146EF5"/>
                <w:sz w:val="14"/>
              </w:rPr>
              <w:t>/</w:t>
            </w:r>
          </w:p>
        </w:tc>
        <w:tc>
          <w:tcPr>
            <w:tcW w:type="dxa" w:w="1843"/>
            <w:tcMar>
              <w:top w:w="60" w:type="dxa"/>
              <w:start w:w="110" w:type="dxa"/>
              <w:bottom w:w="60" w:type="dxa"/>
              <w:end w:w="110" w:type="dxa"/>
            </w:tcMar>
          </w:tcPr>
          <w:p>
            <w:pPr>
              <w:spacing w:after="0"/>
            </w:pPr>
            <w:r/>
            <w:r>
              <w:rPr>
                <w:rFonts w:ascii="Calibri" w:hAnsi="Calibri"/>
                <w:b w:val="0"/>
                <w:i w:val="0"/>
                <w:color w:val="101828"/>
                <w:sz w:val="14"/>
              </w:rPr>
              <w:t>Home — SCR-WEB-01</w:t>
            </w:r>
          </w:p>
        </w:tc>
        <w:tc>
          <w:tcPr>
            <w:tcW w:type="dxa" w:w="3600"/>
            <w:tcMar>
              <w:top w:w="60" w:type="dxa"/>
              <w:start w:w="110" w:type="dxa"/>
              <w:bottom w:w="60" w:type="dxa"/>
              <w:end w:w="110" w:type="dxa"/>
            </w:tcMar>
          </w:tcPr>
          <w:p>
            <w:pPr>
              <w:spacing w:after="0"/>
            </w:pPr>
            <w:r/>
            <w:r>
              <w:rPr>
                <w:rFonts w:ascii="Calibri" w:hAnsi="Calibri"/>
                <w:b w:val="0"/>
                <w:i w:val="0"/>
                <w:color w:val="101828"/>
                <w:sz w:val="14"/>
              </w:rPr>
              <w:t>State the offer in one sentence, show the rotating mechanic, disclose the 2% fee above the fold, and route to signup.</w:t>
            </w:r>
          </w:p>
        </w:tc>
        <w:tc>
          <w:tcPr>
            <w:tcW w:type="dxa" w:w="1296"/>
            <w:tcMar>
              <w:top w:w="60" w:type="dxa"/>
              <w:start w:w="110" w:type="dxa"/>
              <w:bottom w:w="60" w:type="dxa"/>
              <w:end w:w="110" w:type="dxa"/>
            </w:tcMar>
          </w:tcPr>
          <w:p>
            <w:pPr>
              <w:spacing w:after="0"/>
            </w:pPr>
            <w:r/>
            <w:r>
              <w:rPr>
                <w:rFonts w:ascii="Calibri" w:hAnsi="Calibri"/>
                <w:b w:val="0"/>
                <w:i w:val="0"/>
                <w:color w:val="101828"/>
                <w:sz w:val="14"/>
              </w:rPr>
              <w:t>All, first visit</w:t>
            </w:r>
          </w:p>
        </w:tc>
        <w:tc>
          <w:tcPr>
            <w:tcW w:type="dxa" w:w="1094"/>
            <w:tcMar>
              <w:top w:w="60" w:type="dxa"/>
              <w:start w:w="110" w:type="dxa"/>
              <w:bottom w:w="60" w:type="dxa"/>
              <w:end w:w="110" w:type="dxa"/>
            </w:tcMar>
          </w:tcPr>
          <w:p>
            <w:pPr>
              <w:spacing w:after="0"/>
            </w:pPr>
            <w:r/>
            <w:r>
              <w:rPr>
                <w:rFonts w:ascii="Calibri" w:hAnsi="Calibri"/>
                <w:b w:val="0"/>
                <w:i w:val="0"/>
                <w:color w:val="101828"/>
                <w:sz w:val="14"/>
              </w:rPr>
              <w:t>Create free account</w:t>
            </w:r>
          </w:p>
        </w:tc>
      </w:tr>
      <w:tr>
        <w:trPr>
          <w:cantSplit/>
        </w:trPr>
        <w:tc>
          <w:tcPr>
            <w:tcW w:type="dxa" w:w="1526"/>
            <w:tcMar>
              <w:top w:w="60" w:type="dxa"/>
              <w:start w:w="110" w:type="dxa"/>
              <w:bottom w:w="60" w:type="dxa"/>
              <w:end w:w="110" w:type="dxa"/>
            </w:tcMar>
            <w:shd w:val="clear" w:color="auto" w:fill="F4F7FB"/>
          </w:tcPr>
          <w:p>
            <w:pPr>
              <w:spacing w:after="0"/>
            </w:pPr>
            <w:r/>
            <w:r>
              <w:rPr>
                <w:rFonts w:ascii="Consolas" w:hAnsi="Consolas"/>
                <w:color w:val="146EF5"/>
                <w:sz w:val="14"/>
              </w:rPr>
              <w:t>/how-it-works</w:t>
            </w:r>
          </w:p>
        </w:tc>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4"/>
              </w:rPr>
              <w:t>How It Works — SCR-WEB-02</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4"/>
              </w:rPr>
              <w:t>Explain the cycle in six numbered steps with the canonical worked example: 10 members at NGN 1,000.00, each charged NGN 1,020.00, recipient receives NGN 10,000.00. Name the Ajo/esusu context.</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All, evaluation</w:t>
            </w:r>
          </w:p>
        </w:tc>
        <w:tc>
          <w:tcPr>
            <w:tcW w:type="dxa" w:w="1094"/>
            <w:tcMar>
              <w:top w:w="60" w:type="dxa"/>
              <w:start w:w="110" w:type="dxa"/>
              <w:bottom w:w="60" w:type="dxa"/>
              <w:end w:w="110" w:type="dxa"/>
            </w:tcMar>
            <w:shd w:val="clear" w:color="auto" w:fill="F4F7FB"/>
          </w:tcPr>
          <w:p>
            <w:pPr>
              <w:spacing w:after="0"/>
            </w:pPr>
            <w:r/>
            <w:r>
              <w:rPr>
                <w:rFonts w:ascii="Calibri" w:hAnsi="Calibri"/>
                <w:b w:val="0"/>
                <w:i w:val="0"/>
                <w:color w:val="101828"/>
                <w:sz w:val="14"/>
              </w:rPr>
              <w:t>See what you would pay</w:t>
            </w:r>
          </w:p>
        </w:tc>
      </w:tr>
      <w:tr>
        <w:trPr>
          <w:cantSplit/>
        </w:trPr>
        <w:tc>
          <w:tcPr>
            <w:tcW w:type="dxa" w:w="1526"/>
            <w:tcMar>
              <w:top w:w="60" w:type="dxa"/>
              <w:start w:w="110" w:type="dxa"/>
              <w:bottom w:w="60" w:type="dxa"/>
              <w:end w:w="110" w:type="dxa"/>
            </w:tcMar>
          </w:tcPr>
          <w:p>
            <w:pPr>
              <w:spacing w:after="0"/>
            </w:pPr>
            <w:r/>
            <w:r>
              <w:rPr>
                <w:rFonts w:ascii="Consolas" w:hAnsi="Consolas"/>
                <w:color w:val="146EF5"/>
                <w:sz w:val="14"/>
              </w:rPr>
              <w:t>/features</w:t>
            </w:r>
          </w:p>
        </w:tc>
        <w:tc>
          <w:tcPr>
            <w:tcW w:type="dxa" w:w="1843"/>
            <w:tcMar>
              <w:top w:w="60" w:type="dxa"/>
              <w:start w:w="110" w:type="dxa"/>
              <w:bottom w:w="60" w:type="dxa"/>
              <w:end w:w="110" w:type="dxa"/>
            </w:tcMar>
          </w:tcPr>
          <w:p>
            <w:pPr>
              <w:spacing w:after="0"/>
            </w:pPr>
            <w:r/>
            <w:r>
              <w:rPr>
                <w:rFonts w:ascii="Calibri" w:hAnsi="Calibri"/>
                <w:b w:val="0"/>
                <w:i w:val="0"/>
                <w:color w:val="101828"/>
                <w:sz w:val="14"/>
              </w:rPr>
              <w:t>Features — SCR-WEB-03</w:t>
            </w:r>
          </w:p>
        </w:tc>
        <w:tc>
          <w:tcPr>
            <w:tcW w:type="dxa" w:w="3600"/>
            <w:tcMar>
              <w:top w:w="60" w:type="dxa"/>
              <w:start w:w="110" w:type="dxa"/>
              <w:bottom w:w="60" w:type="dxa"/>
              <w:end w:w="110" w:type="dxa"/>
            </w:tcMar>
          </w:tcPr>
          <w:p>
            <w:pPr>
              <w:spacing w:after="0"/>
            </w:pPr>
            <w:r/>
            <w:r>
              <w:rPr>
                <w:rFonts w:ascii="Calibri" w:hAnsi="Calibri"/>
                <w:b w:val="0"/>
                <w:i w:val="0"/>
                <w:color w:val="101828"/>
                <w:sz w:val="14"/>
              </w:rPr>
              <w:t>Organiser tools, member tools, schedule and reminder features, statements and receipts. No performance claims.</w:t>
            </w:r>
          </w:p>
        </w:tc>
        <w:tc>
          <w:tcPr>
            <w:tcW w:type="dxa" w:w="1296"/>
            <w:tcMar>
              <w:top w:w="60" w:type="dxa"/>
              <w:start w:w="110" w:type="dxa"/>
              <w:bottom w:w="60" w:type="dxa"/>
              <w:end w:w="110" w:type="dxa"/>
            </w:tcMar>
          </w:tcPr>
          <w:p>
            <w:pPr>
              <w:spacing w:after="0"/>
            </w:pPr>
            <w:r/>
            <w:r>
              <w:rPr>
                <w:rFonts w:ascii="Calibri" w:hAnsi="Calibri"/>
                <w:b w:val="0"/>
                <w:i w:val="0"/>
                <w:color w:val="101828"/>
                <w:sz w:val="14"/>
              </w:rPr>
              <w:t>Prospective members and organisers</w:t>
            </w:r>
          </w:p>
        </w:tc>
        <w:tc>
          <w:tcPr>
            <w:tcW w:type="dxa" w:w="1094"/>
            <w:tcMar>
              <w:top w:w="60" w:type="dxa"/>
              <w:start w:w="110" w:type="dxa"/>
              <w:bottom w:w="60" w:type="dxa"/>
              <w:end w:w="110" w:type="dxa"/>
            </w:tcMar>
          </w:tcPr>
          <w:p>
            <w:pPr>
              <w:spacing w:after="0"/>
            </w:pPr>
            <w:r/>
            <w:r>
              <w:rPr>
                <w:rFonts w:ascii="Calibri" w:hAnsi="Calibri"/>
                <w:b w:val="0"/>
                <w:i w:val="0"/>
                <w:color w:val="101828"/>
                <w:sz w:val="14"/>
              </w:rPr>
              <w:t>Create an Ajo</w:t>
            </w:r>
          </w:p>
        </w:tc>
      </w:tr>
      <w:tr>
        <w:trPr>
          <w:cantSplit/>
        </w:trPr>
        <w:tc>
          <w:tcPr>
            <w:tcW w:type="dxa" w:w="1526"/>
            <w:tcMar>
              <w:top w:w="60" w:type="dxa"/>
              <w:start w:w="110" w:type="dxa"/>
              <w:bottom w:w="60" w:type="dxa"/>
              <w:end w:w="110" w:type="dxa"/>
            </w:tcMar>
            <w:shd w:val="clear" w:color="auto" w:fill="F4F7FB"/>
          </w:tcPr>
          <w:p>
            <w:pPr>
              <w:spacing w:after="0"/>
            </w:pPr>
            <w:r/>
            <w:r>
              <w:rPr>
                <w:rFonts w:ascii="Consolas" w:hAnsi="Consolas"/>
                <w:color w:val="146EF5"/>
                <w:sz w:val="14"/>
              </w:rPr>
              <w:t>/safety-and-trust</w:t>
            </w:r>
          </w:p>
        </w:tc>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4"/>
              </w:rPr>
              <w:t>Safety &amp; Trust — SCR-WEB-04</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4"/>
              </w:rPr>
              <w:t>Position lock, the 5-day enrollment rule, what happens on a default, who can see what, and the append-only ledger statement. States that the custody and licensing position is open (D-02).</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Sceptical savers, existing referrers</w:t>
            </w:r>
          </w:p>
        </w:tc>
        <w:tc>
          <w:tcPr>
            <w:tcW w:type="dxa" w:w="1094"/>
            <w:tcMar>
              <w:top w:w="60" w:type="dxa"/>
              <w:start w:w="110" w:type="dxa"/>
              <w:bottom w:w="60" w:type="dxa"/>
              <w:end w:w="110" w:type="dxa"/>
            </w:tcMar>
            <w:shd w:val="clear" w:color="auto" w:fill="F4F7FB"/>
          </w:tcPr>
          <w:p>
            <w:pPr>
              <w:spacing w:after="0"/>
            </w:pPr>
            <w:r/>
            <w:r>
              <w:rPr>
                <w:rFonts w:ascii="Calibri" w:hAnsi="Calibri"/>
                <w:b w:val="0"/>
                <w:i w:val="0"/>
                <w:color w:val="101828"/>
                <w:sz w:val="14"/>
              </w:rPr>
              <w:t>Read the safeguards</w:t>
            </w:r>
          </w:p>
        </w:tc>
      </w:tr>
      <w:tr>
        <w:trPr>
          <w:cantSplit/>
        </w:trPr>
        <w:tc>
          <w:tcPr>
            <w:tcW w:type="dxa" w:w="1526"/>
            <w:tcMar>
              <w:top w:w="60" w:type="dxa"/>
              <w:start w:w="110" w:type="dxa"/>
              <w:bottom w:w="60" w:type="dxa"/>
              <w:end w:w="110" w:type="dxa"/>
            </w:tcMar>
          </w:tcPr>
          <w:p>
            <w:pPr>
              <w:spacing w:after="0"/>
            </w:pPr>
            <w:r/>
            <w:r>
              <w:rPr>
                <w:rFonts w:ascii="Consolas" w:hAnsi="Consolas"/>
                <w:color w:val="146EF5"/>
                <w:sz w:val="14"/>
              </w:rPr>
              <w:t>/fees</w:t>
            </w:r>
          </w:p>
        </w:tc>
        <w:tc>
          <w:tcPr>
            <w:tcW w:type="dxa" w:w="1843"/>
            <w:tcMar>
              <w:top w:w="60" w:type="dxa"/>
              <w:start w:w="110" w:type="dxa"/>
              <w:bottom w:w="60" w:type="dxa"/>
              <w:end w:w="110" w:type="dxa"/>
            </w:tcMar>
          </w:tcPr>
          <w:p>
            <w:pPr>
              <w:spacing w:after="0"/>
            </w:pPr>
            <w:r/>
            <w:r>
              <w:rPr>
                <w:rFonts w:ascii="Calibri" w:hAnsi="Calibri"/>
                <w:b w:val="0"/>
                <w:i w:val="0"/>
                <w:color w:val="101828"/>
                <w:sz w:val="14"/>
              </w:rPr>
              <w:t>Fees — SCR-WEB-05</w:t>
            </w:r>
          </w:p>
        </w:tc>
        <w:tc>
          <w:tcPr>
            <w:tcW w:type="dxa" w:w="3600"/>
            <w:tcMar>
              <w:top w:w="60" w:type="dxa"/>
              <w:start w:w="110" w:type="dxa"/>
              <w:bottom w:w="60" w:type="dxa"/>
              <w:end w:w="110" w:type="dxa"/>
            </w:tcMar>
          </w:tcPr>
          <w:p>
            <w:pPr>
              <w:spacing w:after="0"/>
            </w:pPr>
            <w:r/>
            <w:r>
              <w:rPr>
                <w:rFonts w:ascii="Calibri" w:hAnsi="Calibri"/>
                <w:b w:val="0"/>
                <w:i w:val="0"/>
                <w:color w:val="101828"/>
                <w:sz w:val="14"/>
              </w:rPr>
              <w:t>The single canonical fee page. One worked example, one table, one number: 2% on every contribution deposit, charged on top, never deducted from the contribution, never reducing a payout.</w:t>
            </w:r>
          </w:p>
        </w:tc>
        <w:tc>
          <w:tcPr>
            <w:tcW w:type="dxa" w:w="1296"/>
            <w:tcMar>
              <w:top w:w="60" w:type="dxa"/>
              <w:start w:w="110" w:type="dxa"/>
              <w:bottom w:w="60" w:type="dxa"/>
              <w:end w:w="110" w:type="dxa"/>
            </w:tcMar>
          </w:tcPr>
          <w:p>
            <w:pPr>
              <w:spacing w:after="0"/>
            </w:pPr>
            <w:r/>
            <w:r>
              <w:rPr>
                <w:rFonts w:ascii="Calibri" w:hAnsi="Calibri"/>
                <w:b w:val="0"/>
                <w:i w:val="0"/>
                <w:color w:val="101828"/>
                <w:sz w:val="14"/>
              </w:rPr>
              <w:t>All, pre-commitment</w:t>
            </w:r>
          </w:p>
        </w:tc>
        <w:tc>
          <w:tcPr>
            <w:tcW w:type="dxa" w:w="1094"/>
            <w:tcMar>
              <w:top w:w="60" w:type="dxa"/>
              <w:start w:w="110" w:type="dxa"/>
              <w:bottom w:w="60" w:type="dxa"/>
              <w:end w:w="110" w:type="dxa"/>
            </w:tcMar>
          </w:tcPr>
          <w:p>
            <w:pPr>
              <w:spacing w:after="0"/>
            </w:pPr>
            <w:r/>
            <w:r>
              <w:rPr>
                <w:rFonts w:ascii="Calibri" w:hAnsi="Calibri"/>
                <w:b w:val="0"/>
                <w:i w:val="0"/>
                <w:color w:val="101828"/>
                <w:sz w:val="14"/>
              </w:rPr>
              <w:t>Accept and continue</w:t>
            </w:r>
          </w:p>
        </w:tc>
      </w:tr>
      <w:tr>
        <w:trPr>
          <w:cantSplit/>
        </w:trPr>
        <w:tc>
          <w:tcPr>
            <w:tcW w:type="dxa" w:w="1526"/>
            <w:tcMar>
              <w:top w:w="60" w:type="dxa"/>
              <w:start w:w="110" w:type="dxa"/>
              <w:bottom w:w="60" w:type="dxa"/>
              <w:end w:w="110" w:type="dxa"/>
            </w:tcMar>
            <w:shd w:val="clear" w:color="auto" w:fill="F4F7FB"/>
          </w:tcPr>
          <w:p>
            <w:pPr>
              <w:spacing w:after="0"/>
            </w:pPr>
            <w:r/>
            <w:r>
              <w:rPr>
                <w:rFonts w:ascii="Consolas" w:hAnsi="Consolas"/>
                <w:color w:val="146EF5"/>
                <w:sz w:val="14"/>
              </w:rPr>
              <w:t>/about</w:t>
            </w:r>
          </w:p>
        </w:tc>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4"/>
              </w:rPr>
              <w:t>About — SCR-WEB-06</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4"/>
              </w:rPr>
              <w:t>Founders, why the product exists, the Nigerian context, contact routes. No funding or traction claims — the company is pre-launch.</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All, trust-building</w:t>
            </w:r>
          </w:p>
        </w:tc>
        <w:tc>
          <w:tcPr>
            <w:tcW w:type="dxa" w:w="1094"/>
            <w:tcMar>
              <w:top w:w="60" w:type="dxa"/>
              <w:start w:w="110" w:type="dxa"/>
              <w:bottom w:w="60" w:type="dxa"/>
              <w:end w:w="110" w:type="dxa"/>
            </w:tcMar>
            <w:shd w:val="clear" w:color="auto" w:fill="F4F7FB"/>
          </w:tcPr>
          <w:p>
            <w:pPr>
              <w:spacing w:after="0"/>
            </w:pPr>
            <w:r/>
            <w:r>
              <w:rPr>
                <w:rFonts w:ascii="Calibri" w:hAnsi="Calibri"/>
                <w:b w:val="0"/>
                <w:i w:val="0"/>
                <w:color w:val="101828"/>
                <w:sz w:val="14"/>
              </w:rPr>
              <w:t>Talk to us</w:t>
            </w:r>
          </w:p>
        </w:tc>
      </w:tr>
      <w:tr>
        <w:trPr>
          <w:cantSplit/>
        </w:trPr>
        <w:tc>
          <w:tcPr>
            <w:tcW w:type="dxa" w:w="1526"/>
            <w:tcMar>
              <w:top w:w="60" w:type="dxa"/>
              <w:start w:w="110" w:type="dxa"/>
              <w:bottom w:w="60" w:type="dxa"/>
              <w:end w:w="110" w:type="dxa"/>
            </w:tcMar>
          </w:tcPr>
          <w:p>
            <w:pPr>
              <w:spacing w:after="0"/>
            </w:pPr>
            <w:r/>
            <w:r>
              <w:rPr>
                <w:rFonts w:ascii="Consolas" w:hAnsi="Consolas"/>
                <w:color w:val="146EF5"/>
                <w:sz w:val="14"/>
              </w:rPr>
              <w:t>/faq</w:t>
            </w:r>
          </w:p>
        </w:tc>
        <w:tc>
          <w:tcPr>
            <w:tcW w:type="dxa" w:w="1843"/>
            <w:tcMar>
              <w:top w:w="60" w:type="dxa"/>
              <w:start w:w="110" w:type="dxa"/>
              <w:bottom w:w="60" w:type="dxa"/>
              <w:end w:w="110" w:type="dxa"/>
            </w:tcMar>
          </w:tcPr>
          <w:p>
            <w:pPr>
              <w:spacing w:after="0"/>
            </w:pPr>
            <w:r/>
            <w:r>
              <w:rPr>
                <w:rFonts w:ascii="Calibri" w:hAnsi="Calibri"/>
                <w:b w:val="0"/>
                <w:i w:val="0"/>
                <w:color w:val="101828"/>
                <w:sz w:val="14"/>
              </w:rPr>
              <w:t>FAQ — SCR-WEB-07</w:t>
            </w:r>
          </w:p>
        </w:tc>
        <w:tc>
          <w:tcPr>
            <w:tcW w:type="dxa" w:w="3600"/>
            <w:tcMar>
              <w:top w:w="60" w:type="dxa"/>
              <w:start w:w="110" w:type="dxa"/>
              <w:bottom w:w="60" w:type="dxa"/>
              <w:end w:w="110" w:type="dxa"/>
            </w:tcMar>
          </w:tcPr>
          <w:p>
            <w:pPr>
              <w:spacing w:after="0"/>
            </w:pPr>
            <w:r/>
            <w:r>
              <w:rPr>
                <w:rFonts w:ascii="Calibri" w:hAnsi="Calibri"/>
                <w:b w:val="0"/>
                <w:i w:val="0"/>
                <w:color w:val="101828"/>
                <w:sz w:val="14"/>
              </w:rPr>
              <w:t>Ranked questions on default, cancellation, refunds, what happens if the Ajo does not fill, privacy, and who can see member names.</w:t>
            </w:r>
          </w:p>
        </w:tc>
        <w:tc>
          <w:tcPr>
            <w:tcW w:type="dxa" w:w="1296"/>
            <w:tcMar>
              <w:top w:w="60" w:type="dxa"/>
              <w:start w:w="110" w:type="dxa"/>
              <w:bottom w:w="60" w:type="dxa"/>
              <w:end w:w="110" w:type="dxa"/>
            </w:tcMar>
          </w:tcPr>
          <w:p>
            <w:pPr>
              <w:spacing w:after="0"/>
            </w:pPr>
            <w:r/>
            <w:r>
              <w:rPr>
                <w:rFonts w:ascii="Calibri" w:hAnsi="Calibri"/>
                <w:b w:val="0"/>
                <w:i w:val="0"/>
                <w:color w:val="101828"/>
                <w:sz w:val="14"/>
              </w:rPr>
              <w:t>All, late-stage</w:t>
            </w:r>
          </w:p>
        </w:tc>
        <w:tc>
          <w:tcPr>
            <w:tcW w:type="dxa" w:w="1094"/>
            <w:tcMar>
              <w:top w:w="60" w:type="dxa"/>
              <w:start w:w="110" w:type="dxa"/>
              <w:bottom w:w="60" w:type="dxa"/>
              <w:end w:w="110" w:type="dxa"/>
            </w:tcMar>
          </w:tcPr>
          <w:p>
            <w:pPr>
              <w:spacing w:after="0"/>
            </w:pPr>
            <w:r/>
            <w:r>
              <w:rPr>
                <w:rFonts w:ascii="Calibri" w:hAnsi="Calibri"/>
                <w:b w:val="0"/>
                <w:i w:val="0"/>
                <w:color w:val="101828"/>
                <w:sz w:val="14"/>
              </w:rPr>
              <w:t>Still unsure? Contact us</w:t>
            </w:r>
          </w:p>
        </w:tc>
      </w:tr>
      <w:tr>
        <w:trPr>
          <w:cantSplit/>
        </w:trPr>
        <w:tc>
          <w:tcPr>
            <w:tcW w:type="dxa" w:w="1526"/>
            <w:tcMar>
              <w:top w:w="60" w:type="dxa"/>
              <w:start w:w="110" w:type="dxa"/>
              <w:bottom w:w="60" w:type="dxa"/>
              <w:end w:w="110" w:type="dxa"/>
            </w:tcMar>
            <w:shd w:val="clear" w:color="auto" w:fill="F4F7FB"/>
          </w:tcPr>
          <w:p>
            <w:pPr>
              <w:spacing w:after="0"/>
            </w:pPr>
            <w:r/>
            <w:r>
              <w:rPr>
                <w:rFonts w:ascii="Consolas" w:hAnsi="Consolas"/>
                <w:color w:val="146EF5"/>
                <w:sz w:val="14"/>
              </w:rPr>
              <w:t>/contact</w:t>
            </w:r>
          </w:p>
        </w:tc>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4"/>
              </w:rPr>
              <w:t>Contact — SCR-WEB-08</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4"/>
              </w:rPr>
              <w:t>Form plus direct channels, published response expectation, and a separate press route.</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All, support</w:t>
            </w:r>
          </w:p>
        </w:tc>
        <w:tc>
          <w:tcPr>
            <w:tcW w:type="dxa" w:w="1094"/>
            <w:tcMar>
              <w:top w:w="60" w:type="dxa"/>
              <w:start w:w="110" w:type="dxa"/>
              <w:bottom w:w="60" w:type="dxa"/>
              <w:end w:w="110" w:type="dxa"/>
            </w:tcMar>
            <w:shd w:val="clear" w:color="auto" w:fill="F4F7FB"/>
          </w:tcPr>
          <w:p>
            <w:pPr>
              <w:spacing w:after="0"/>
            </w:pPr>
            <w:r/>
            <w:r>
              <w:rPr>
                <w:rFonts w:ascii="Calibri" w:hAnsi="Calibri"/>
                <w:b w:val="0"/>
                <w:i w:val="0"/>
                <w:color w:val="101828"/>
                <w:sz w:val="14"/>
              </w:rPr>
              <w:t>Send a message</w:t>
            </w:r>
          </w:p>
        </w:tc>
      </w:tr>
      <w:tr>
        <w:trPr>
          <w:cantSplit/>
        </w:trPr>
        <w:tc>
          <w:tcPr>
            <w:tcW w:type="dxa" w:w="1526"/>
            <w:tcMar>
              <w:top w:w="60" w:type="dxa"/>
              <w:start w:w="110" w:type="dxa"/>
              <w:bottom w:w="60" w:type="dxa"/>
              <w:end w:w="110" w:type="dxa"/>
            </w:tcMar>
          </w:tcPr>
          <w:p>
            <w:pPr>
              <w:spacing w:after="0"/>
            </w:pPr>
            <w:r/>
            <w:r>
              <w:rPr>
                <w:rFonts w:ascii="Consolas" w:hAnsi="Consolas"/>
                <w:color w:val="146EF5"/>
                <w:sz w:val="14"/>
              </w:rPr>
              <w:t>/login</w:t>
            </w:r>
          </w:p>
        </w:tc>
        <w:tc>
          <w:tcPr>
            <w:tcW w:type="dxa" w:w="1843"/>
            <w:tcMar>
              <w:top w:w="60" w:type="dxa"/>
              <w:start w:w="110" w:type="dxa"/>
              <w:bottom w:w="60" w:type="dxa"/>
              <w:end w:w="110" w:type="dxa"/>
            </w:tcMar>
          </w:tcPr>
          <w:p>
            <w:pPr>
              <w:spacing w:after="0"/>
            </w:pPr>
            <w:r/>
            <w:r>
              <w:rPr>
                <w:rFonts w:ascii="Calibri" w:hAnsi="Calibri"/>
                <w:b w:val="0"/>
                <w:i w:val="0"/>
                <w:color w:val="101828"/>
                <w:sz w:val="14"/>
              </w:rPr>
              <w:t>Login — SCR-WEB-09</w:t>
            </w:r>
          </w:p>
        </w:tc>
        <w:tc>
          <w:tcPr>
            <w:tcW w:type="dxa" w:w="3600"/>
            <w:tcMar>
              <w:top w:w="60" w:type="dxa"/>
              <w:start w:w="110" w:type="dxa"/>
              <w:bottom w:w="60" w:type="dxa"/>
              <w:end w:w="110" w:type="dxa"/>
            </w:tcMar>
          </w:tcPr>
          <w:p>
            <w:pPr>
              <w:spacing w:after="0"/>
            </w:pPr>
            <w:r/>
            <w:r>
              <w:rPr>
                <w:rFonts w:ascii="Calibri" w:hAnsi="Calibri"/>
                <w:b w:val="0"/>
                <w:i w:val="0"/>
                <w:color w:val="101828"/>
                <w:sz w:val="14"/>
              </w:rPr>
              <w:t xml:space="preserve">Email or phone plus password. Carries </w:t>
            </w:r>
            <w:r>
              <w:rPr>
                <w:rFonts w:ascii="Consolas" w:hAnsi="Consolas"/>
                <w:color w:val="146EF5"/>
                <w:sz w:val="14"/>
              </w:rPr>
              <w:t>returnTo</w:t>
            </w:r>
            <w:r>
              <w:rPr>
                <w:rFonts w:ascii="Calibri" w:hAnsi="Calibri"/>
                <w:b w:val="0"/>
                <w:i w:val="0"/>
                <w:color w:val="101828"/>
                <w:sz w:val="14"/>
              </w:rPr>
              <w:t>. No registration pitch above the fold.</w:t>
            </w:r>
          </w:p>
        </w:tc>
        <w:tc>
          <w:tcPr>
            <w:tcW w:type="dxa" w:w="1296"/>
            <w:tcMar>
              <w:top w:w="60" w:type="dxa"/>
              <w:start w:w="110" w:type="dxa"/>
              <w:bottom w:w="60" w:type="dxa"/>
              <w:end w:w="110" w:type="dxa"/>
            </w:tcMar>
          </w:tcPr>
          <w:p>
            <w:pPr>
              <w:spacing w:after="0"/>
            </w:pPr>
            <w:r/>
            <w:r>
              <w:rPr>
                <w:rFonts w:ascii="Calibri" w:hAnsi="Calibri"/>
                <w:b w:val="0"/>
                <w:i w:val="0"/>
                <w:color w:val="101828"/>
                <w:sz w:val="14"/>
              </w:rPr>
              <w:t>Returning</w:t>
            </w:r>
          </w:p>
        </w:tc>
        <w:tc>
          <w:tcPr>
            <w:tcW w:type="dxa" w:w="1094"/>
            <w:tcMar>
              <w:top w:w="60" w:type="dxa"/>
              <w:start w:w="110" w:type="dxa"/>
              <w:bottom w:w="60" w:type="dxa"/>
              <w:end w:w="110" w:type="dxa"/>
            </w:tcMar>
          </w:tcPr>
          <w:p>
            <w:pPr>
              <w:spacing w:after="0"/>
            </w:pPr>
            <w:r/>
            <w:r>
              <w:rPr>
                <w:rFonts w:ascii="Calibri" w:hAnsi="Calibri"/>
                <w:b w:val="0"/>
                <w:i w:val="0"/>
                <w:color w:val="101828"/>
                <w:sz w:val="14"/>
              </w:rPr>
              <w:t>Sign in</w:t>
            </w:r>
          </w:p>
        </w:tc>
      </w:tr>
      <w:tr>
        <w:trPr>
          <w:cantSplit/>
        </w:trPr>
        <w:tc>
          <w:tcPr>
            <w:tcW w:type="dxa" w:w="1526"/>
            <w:tcMar>
              <w:top w:w="60" w:type="dxa"/>
              <w:start w:w="110" w:type="dxa"/>
              <w:bottom w:w="60" w:type="dxa"/>
              <w:end w:w="110" w:type="dxa"/>
            </w:tcMar>
            <w:shd w:val="clear" w:color="auto" w:fill="F4F7FB"/>
          </w:tcPr>
          <w:p>
            <w:pPr>
              <w:spacing w:after="0"/>
            </w:pPr>
            <w:r/>
            <w:r>
              <w:rPr>
                <w:rFonts w:ascii="Consolas" w:hAnsi="Consolas"/>
                <w:color w:val="146EF5"/>
                <w:sz w:val="14"/>
              </w:rPr>
              <w:t>/register</w:t>
            </w:r>
          </w:p>
        </w:tc>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4"/>
              </w:rPr>
              <w:t>Register — SCR-WEB-10</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4"/>
              </w:rPr>
              <w:t>Create an account. States that an Ajo cannot be created or joined until the email and phone are both verified.</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New</w:t>
            </w:r>
          </w:p>
        </w:tc>
        <w:tc>
          <w:tcPr>
            <w:tcW w:type="dxa" w:w="1094"/>
            <w:tcMar>
              <w:top w:w="60" w:type="dxa"/>
              <w:start w:w="110" w:type="dxa"/>
              <w:bottom w:w="60" w:type="dxa"/>
              <w:end w:w="110" w:type="dxa"/>
            </w:tcMar>
            <w:shd w:val="clear" w:color="auto" w:fill="F4F7FB"/>
          </w:tcPr>
          <w:p>
            <w:pPr>
              <w:spacing w:after="0"/>
            </w:pPr>
            <w:r/>
            <w:r>
              <w:rPr>
                <w:rFonts w:ascii="Calibri" w:hAnsi="Calibri"/>
                <w:b w:val="0"/>
                <w:i w:val="0"/>
                <w:color w:val="101828"/>
                <w:sz w:val="14"/>
              </w:rPr>
              <w:t>Create account</w:t>
            </w:r>
          </w:p>
        </w:tc>
      </w:tr>
      <w:tr>
        <w:trPr>
          <w:cantSplit/>
        </w:trPr>
        <w:tc>
          <w:tcPr>
            <w:tcW w:type="dxa" w:w="1526"/>
            <w:tcMar>
              <w:top w:w="60" w:type="dxa"/>
              <w:start w:w="110" w:type="dxa"/>
              <w:bottom w:w="60" w:type="dxa"/>
              <w:end w:w="110" w:type="dxa"/>
            </w:tcMar>
          </w:tcPr>
          <w:p>
            <w:pPr>
              <w:spacing w:after="0"/>
            </w:pPr>
            <w:r/>
            <w:r>
              <w:rPr>
                <w:rFonts w:ascii="Consolas" w:hAnsi="Consolas"/>
                <w:color w:val="146EF5"/>
                <w:sz w:val="14"/>
              </w:rPr>
              <w:t>/verify-email</w:t>
            </w:r>
          </w:p>
        </w:tc>
        <w:tc>
          <w:tcPr>
            <w:tcW w:type="dxa" w:w="1843"/>
            <w:tcMar>
              <w:top w:w="60" w:type="dxa"/>
              <w:start w:w="110" w:type="dxa"/>
              <w:bottom w:w="60" w:type="dxa"/>
              <w:end w:w="110" w:type="dxa"/>
            </w:tcMar>
          </w:tcPr>
          <w:p>
            <w:pPr>
              <w:spacing w:after="0"/>
            </w:pPr>
            <w:r/>
            <w:r>
              <w:rPr>
                <w:rFonts w:ascii="Calibri" w:hAnsi="Calibri"/>
                <w:b w:val="0"/>
                <w:i w:val="0"/>
                <w:color w:val="101828"/>
                <w:sz w:val="14"/>
              </w:rPr>
              <w:t>Verify email — SCR-WEB-11</w:t>
            </w:r>
          </w:p>
        </w:tc>
        <w:tc>
          <w:tcPr>
            <w:tcW w:type="dxa" w:w="3600"/>
            <w:tcMar>
              <w:top w:w="60" w:type="dxa"/>
              <w:start w:w="110" w:type="dxa"/>
              <w:bottom w:w="60" w:type="dxa"/>
              <w:end w:w="110" w:type="dxa"/>
            </w:tcMar>
          </w:tcPr>
          <w:p>
            <w:pPr>
              <w:spacing w:after="0"/>
            </w:pPr>
            <w:r/>
            <w:r>
              <w:rPr>
                <w:rFonts w:ascii="Calibri" w:hAnsi="Calibri"/>
                <w:b w:val="0"/>
                <w:i w:val="0"/>
                <w:color w:val="101828"/>
                <w:sz w:val="14"/>
              </w:rPr>
              <w:t>Consume the emailed token, report the result, offer resend with cooldown.</w:t>
            </w:r>
          </w:p>
        </w:tc>
        <w:tc>
          <w:tcPr>
            <w:tcW w:type="dxa" w:w="1296"/>
            <w:tcMar>
              <w:top w:w="60" w:type="dxa"/>
              <w:start w:w="110" w:type="dxa"/>
              <w:bottom w:w="60" w:type="dxa"/>
              <w:end w:w="110" w:type="dxa"/>
            </w:tcMar>
          </w:tcPr>
          <w:p>
            <w:pPr>
              <w:spacing w:after="0"/>
            </w:pPr>
            <w:r/>
            <w:r>
              <w:rPr>
                <w:rFonts w:ascii="Calibri" w:hAnsi="Calibri"/>
                <w:b w:val="0"/>
                <w:i w:val="0"/>
                <w:color w:val="101828"/>
                <w:sz w:val="14"/>
              </w:rPr>
              <w:t>New, post-signup</w:t>
            </w:r>
          </w:p>
        </w:tc>
        <w:tc>
          <w:tcPr>
            <w:tcW w:type="dxa" w:w="1094"/>
            <w:tcMar>
              <w:top w:w="60" w:type="dxa"/>
              <w:start w:w="110" w:type="dxa"/>
              <w:bottom w:w="60" w:type="dxa"/>
              <w:end w:w="110" w:type="dxa"/>
            </w:tcMar>
          </w:tcPr>
          <w:p>
            <w:pPr>
              <w:spacing w:after="0"/>
            </w:pPr>
            <w:r/>
            <w:r>
              <w:rPr>
                <w:rFonts w:ascii="Calibri" w:hAnsi="Calibri"/>
                <w:b w:val="0"/>
                <w:i w:val="0"/>
                <w:color w:val="101828"/>
                <w:sz w:val="14"/>
              </w:rPr>
              <w:t>Resend email</w:t>
            </w:r>
          </w:p>
        </w:tc>
      </w:tr>
      <w:tr>
        <w:trPr>
          <w:cantSplit/>
        </w:trPr>
        <w:tc>
          <w:tcPr>
            <w:tcW w:type="dxa" w:w="1526"/>
            <w:tcMar>
              <w:top w:w="60" w:type="dxa"/>
              <w:start w:w="110" w:type="dxa"/>
              <w:bottom w:w="60" w:type="dxa"/>
              <w:end w:w="110" w:type="dxa"/>
            </w:tcMar>
            <w:shd w:val="clear" w:color="auto" w:fill="F4F7FB"/>
          </w:tcPr>
          <w:p>
            <w:pPr>
              <w:spacing w:after="0"/>
            </w:pPr>
            <w:r/>
            <w:r>
              <w:rPr>
                <w:rFonts w:ascii="Consolas" w:hAnsi="Consolas"/>
                <w:color w:val="146EF5"/>
                <w:sz w:val="14"/>
              </w:rPr>
              <w:t>/verify-phone</w:t>
            </w:r>
          </w:p>
        </w:tc>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4"/>
              </w:rPr>
              <w:t>Verify phone — SCR-WEB-12</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4"/>
              </w:rPr>
              <w:t>Six-digit OTP. Five-attempt limit, sixty-second resend cooldown, rate limit, no account-existence disclosure on failure.</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New, post-signup</w:t>
            </w:r>
          </w:p>
        </w:tc>
        <w:tc>
          <w:tcPr>
            <w:tcW w:type="dxa" w:w="1094"/>
            <w:tcMar>
              <w:top w:w="60" w:type="dxa"/>
              <w:start w:w="110" w:type="dxa"/>
              <w:bottom w:w="60" w:type="dxa"/>
              <w:end w:w="110" w:type="dxa"/>
            </w:tcMar>
            <w:shd w:val="clear" w:color="auto" w:fill="F4F7FB"/>
          </w:tcPr>
          <w:p>
            <w:pPr>
              <w:spacing w:after="0"/>
            </w:pPr>
            <w:r/>
            <w:r>
              <w:rPr>
                <w:rFonts w:ascii="Calibri" w:hAnsi="Calibri"/>
                <w:b w:val="0"/>
                <w:i w:val="0"/>
                <w:color w:val="101828"/>
                <w:sz w:val="14"/>
              </w:rPr>
              <w:t>Verify phone</w:t>
            </w:r>
          </w:p>
        </w:tc>
      </w:tr>
      <w:tr>
        <w:trPr>
          <w:cantSplit/>
        </w:trPr>
        <w:tc>
          <w:tcPr>
            <w:tcW w:type="dxa" w:w="1526"/>
            <w:tcMar>
              <w:top w:w="60" w:type="dxa"/>
              <w:start w:w="110" w:type="dxa"/>
              <w:bottom w:w="60" w:type="dxa"/>
              <w:end w:w="110" w:type="dxa"/>
            </w:tcMar>
          </w:tcPr>
          <w:p>
            <w:pPr>
              <w:spacing w:after="0"/>
            </w:pPr>
            <w:r/>
            <w:r>
              <w:rPr>
                <w:rFonts w:ascii="Consolas" w:hAnsi="Consolas"/>
                <w:color w:val="146EF5"/>
                <w:sz w:val="14"/>
              </w:rPr>
              <w:t>/forgot-password</w:t>
            </w:r>
          </w:p>
        </w:tc>
        <w:tc>
          <w:tcPr>
            <w:tcW w:type="dxa" w:w="1843"/>
            <w:tcMar>
              <w:top w:w="60" w:type="dxa"/>
              <w:start w:w="110" w:type="dxa"/>
              <w:bottom w:w="60" w:type="dxa"/>
              <w:end w:w="110" w:type="dxa"/>
            </w:tcMar>
          </w:tcPr>
          <w:p>
            <w:pPr>
              <w:spacing w:after="0"/>
            </w:pPr>
            <w:r/>
            <w:r>
              <w:rPr>
                <w:rFonts w:ascii="Calibri" w:hAnsi="Calibri"/>
                <w:b w:val="0"/>
                <w:i w:val="0"/>
                <w:color w:val="101828"/>
                <w:sz w:val="14"/>
              </w:rPr>
              <w:t>Forgot password — SCR-WEB-13</w:t>
            </w:r>
          </w:p>
        </w:tc>
        <w:tc>
          <w:tcPr>
            <w:tcW w:type="dxa" w:w="3600"/>
            <w:tcMar>
              <w:top w:w="60" w:type="dxa"/>
              <w:start w:w="110" w:type="dxa"/>
              <w:bottom w:w="60" w:type="dxa"/>
              <w:end w:w="110" w:type="dxa"/>
            </w:tcMar>
          </w:tcPr>
          <w:p>
            <w:pPr>
              <w:spacing w:after="0"/>
            </w:pPr>
            <w:r/>
            <w:r>
              <w:rPr>
                <w:rFonts w:ascii="Calibri" w:hAnsi="Calibri"/>
                <w:b w:val="0"/>
                <w:i w:val="0"/>
                <w:color w:val="101828"/>
                <w:sz w:val="14"/>
              </w:rPr>
              <w:t>Always returns the same neutral response, whether or not the account exists.</w:t>
            </w:r>
          </w:p>
        </w:tc>
        <w:tc>
          <w:tcPr>
            <w:tcW w:type="dxa" w:w="1296"/>
            <w:tcMar>
              <w:top w:w="60" w:type="dxa"/>
              <w:start w:w="110" w:type="dxa"/>
              <w:bottom w:w="60" w:type="dxa"/>
              <w:end w:w="110" w:type="dxa"/>
            </w:tcMar>
          </w:tcPr>
          <w:p>
            <w:pPr>
              <w:spacing w:after="0"/>
            </w:pPr>
            <w:r/>
            <w:r>
              <w:rPr>
                <w:rFonts w:ascii="Calibri" w:hAnsi="Calibri"/>
                <w:b w:val="0"/>
                <w:i w:val="0"/>
                <w:color w:val="101828"/>
                <w:sz w:val="14"/>
              </w:rPr>
              <w:t>Locked out</w:t>
            </w:r>
          </w:p>
        </w:tc>
        <w:tc>
          <w:tcPr>
            <w:tcW w:type="dxa" w:w="1094"/>
            <w:tcMar>
              <w:top w:w="60" w:type="dxa"/>
              <w:start w:w="110" w:type="dxa"/>
              <w:bottom w:w="60" w:type="dxa"/>
              <w:end w:w="110" w:type="dxa"/>
            </w:tcMar>
          </w:tcPr>
          <w:p>
            <w:pPr>
              <w:spacing w:after="0"/>
            </w:pPr>
            <w:r/>
            <w:r>
              <w:rPr>
                <w:rFonts w:ascii="Calibri" w:hAnsi="Calibri"/>
                <w:b w:val="0"/>
                <w:i w:val="0"/>
                <w:color w:val="101828"/>
                <w:sz w:val="14"/>
              </w:rPr>
              <w:t>Email a reset link</w:t>
            </w:r>
          </w:p>
        </w:tc>
      </w:tr>
      <w:tr>
        <w:trPr>
          <w:cantSplit/>
        </w:trPr>
        <w:tc>
          <w:tcPr>
            <w:tcW w:type="dxa" w:w="1526"/>
            <w:tcMar>
              <w:top w:w="60" w:type="dxa"/>
              <w:start w:w="110" w:type="dxa"/>
              <w:bottom w:w="60" w:type="dxa"/>
              <w:end w:w="110" w:type="dxa"/>
            </w:tcMar>
            <w:shd w:val="clear" w:color="auto" w:fill="F4F7FB"/>
          </w:tcPr>
          <w:p>
            <w:pPr>
              <w:spacing w:after="0"/>
            </w:pPr>
            <w:r/>
            <w:r>
              <w:rPr>
                <w:rFonts w:ascii="Consolas" w:hAnsi="Consolas"/>
                <w:color w:val="146EF5"/>
                <w:sz w:val="14"/>
              </w:rPr>
              <w:t>/reset-password</w:t>
            </w:r>
          </w:p>
        </w:tc>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4"/>
              </w:rPr>
              <w:t>Reset password — SCR-WEB-14</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4"/>
              </w:rPr>
              <w:t>Consume a single-use token, set a password, revoke all other sessions, confirm out of band.</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Locked out</w:t>
            </w:r>
          </w:p>
        </w:tc>
        <w:tc>
          <w:tcPr>
            <w:tcW w:type="dxa" w:w="1094"/>
            <w:tcMar>
              <w:top w:w="60" w:type="dxa"/>
              <w:start w:w="110" w:type="dxa"/>
              <w:bottom w:w="60" w:type="dxa"/>
              <w:end w:w="110" w:type="dxa"/>
            </w:tcMar>
            <w:shd w:val="clear" w:color="auto" w:fill="F4F7FB"/>
          </w:tcPr>
          <w:p>
            <w:pPr>
              <w:spacing w:after="0"/>
            </w:pPr>
            <w:r/>
            <w:r>
              <w:rPr>
                <w:rFonts w:ascii="Calibri" w:hAnsi="Calibri"/>
                <w:b w:val="0"/>
                <w:i w:val="0"/>
                <w:color w:val="101828"/>
                <w:sz w:val="14"/>
              </w:rPr>
              <w:t>Set new password</w:t>
            </w:r>
          </w:p>
        </w:tc>
      </w:tr>
      <w:tr>
        <w:trPr>
          <w:cantSplit/>
        </w:trPr>
        <w:tc>
          <w:tcPr>
            <w:tcW w:type="dxa" w:w="1526"/>
            <w:tcMar>
              <w:top w:w="60" w:type="dxa"/>
              <w:start w:w="110" w:type="dxa"/>
              <w:bottom w:w="60" w:type="dxa"/>
              <w:end w:w="110" w:type="dxa"/>
            </w:tcMar>
          </w:tcPr>
          <w:p>
            <w:pPr>
              <w:spacing w:after="0"/>
            </w:pPr>
            <w:r/>
            <w:r>
              <w:rPr>
                <w:rFonts w:ascii="Consolas" w:hAnsi="Consolas"/>
                <w:color w:val="146EF5"/>
                <w:sz w:val="14"/>
              </w:rPr>
              <w:t>/terms</w:t>
            </w:r>
          </w:p>
        </w:tc>
        <w:tc>
          <w:tcPr>
            <w:tcW w:type="dxa" w:w="1843"/>
            <w:tcMar>
              <w:top w:w="60" w:type="dxa"/>
              <w:start w:w="110" w:type="dxa"/>
              <w:bottom w:w="60" w:type="dxa"/>
              <w:end w:w="110" w:type="dxa"/>
            </w:tcMar>
          </w:tcPr>
          <w:p>
            <w:pPr>
              <w:spacing w:after="0"/>
            </w:pPr>
            <w:r/>
            <w:r>
              <w:rPr>
                <w:rFonts w:ascii="Calibri" w:hAnsi="Calibri"/>
                <w:b w:val="0"/>
                <w:i w:val="0"/>
                <w:color w:val="101828"/>
                <w:sz w:val="14"/>
              </w:rPr>
              <w:t>Terms &amp; Conditions — SCR-WEB-15</w:t>
            </w:r>
          </w:p>
        </w:tc>
        <w:tc>
          <w:tcPr>
            <w:tcW w:type="dxa" w:w="3600"/>
            <w:tcMar>
              <w:top w:w="60" w:type="dxa"/>
              <w:start w:w="110" w:type="dxa"/>
              <w:bottom w:w="60" w:type="dxa"/>
              <w:end w:w="110" w:type="dxa"/>
            </w:tcMar>
          </w:tcPr>
          <w:p>
            <w:pPr>
              <w:spacing w:after="0"/>
            </w:pPr>
            <w:r/>
            <w:r>
              <w:rPr>
                <w:rFonts w:ascii="Calibri" w:hAnsi="Calibri"/>
                <w:b w:val="0"/>
                <w:i w:val="0"/>
                <w:color w:val="101828"/>
                <w:sz w:val="14"/>
              </w:rPr>
              <w:t>The contract. Includes the non-guarantor role of the organiser (BR-008), the complete-cycle commitment (BR-004), fee and tax language pending D-05 and D-06, and the complaint route.</w:t>
            </w:r>
          </w:p>
        </w:tc>
        <w:tc>
          <w:tcPr>
            <w:tcW w:type="dxa" w:w="1296"/>
            <w:tcMar>
              <w:top w:w="60" w:type="dxa"/>
              <w:start w:w="110" w:type="dxa"/>
              <w:bottom w:w="60" w:type="dxa"/>
              <w:end w:w="110" w:type="dxa"/>
            </w:tcMar>
          </w:tcPr>
          <w:p>
            <w:pPr>
              <w:spacing w:after="0"/>
            </w:pPr>
            <w:r/>
            <w:r>
              <w:rPr>
                <w:rFonts w:ascii="Calibri" w:hAnsi="Calibri"/>
                <w:b w:val="0"/>
                <w:i w:val="0"/>
                <w:color w:val="101828"/>
                <w:sz w:val="14"/>
              </w:rPr>
              <w:t>Legal, registrants</w:t>
            </w:r>
          </w:p>
        </w:tc>
        <w:tc>
          <w:tcPr>
            <w:tcW w:type="dxa" w:w="1094"/>
            <w:tcMar>
              <w:top w:w="60" w:type="dxa"/>
              <w:start w:w="110" w:type="dxa"/>
              <w:bottom w:w="60" w:type="dxa"/>
              <w:end w:w="110" w:type="dxa"/>
            </w:tcMar>
          </w:tcPr>
          <w:p>
            <w:pPr>
              <w:spacing w:after="0"/>
            </w:pPr>
            <w:r/>
            <w:r>
              <w:rPr>
                <w:rFonts w:ascii="Calibri" w:hAnsi="Calibri"/>
                <w:b w:val="0"/>
                <w:i w:val="0"/>
                <w:color w:val="101828"/>
                <w:sz w:val="14"/>
              </w:rPr>
              <w:t>Accept and continue</w:t>
            </w:r>
          </w:p>
        </w:tc>
      </w:tr>
      <w:tr>
        <w:trPr>
          <w:cantSplit/>
        </w:trPr>
        <w:tc>
          <w:tcPr>
            <w:tcW w:type="dxa" w:w="1526"/>
            <w:tcMar>
              <w:top w:w="60" w:type="dxa"/>
              <w:start w:w="110" w:type="dxa"/>
              <w:bottom w:w="60" w:type="dxa"/>
              <w:end w:w="110" w:type="dxa"/>
            </w:tcMar>
            <w:shd w:val="clear" w:color="auto" w:fill="F4F7FB"/>
          </w:tcPr>
          <w:p>
            <w:pPr>
              <w:spacing w:after="0"/>
            </w:pPr>
            <w:r/>
            <w:r>
              <w:rPr>
                <w:rFonts w:ascii="Consolas" w:hAnsi="Consolas"/>
                <w:color w:val="146EF5"/>
                <w:sz w:val="14"/>
              </w:rPr>
              <w:t>/privacy</w:t>
            </w:r>
          </w:p>
        </w:tc>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4"/>
              </w:rPr>
              <w:t>Privacy Policy — SCR-WEB-16</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What is collected, why, retention, the member-visibility rules, and the rights mechanism. </w:t>
            </w:r>
            <w:r>
              <w:rPr>
                <w:rFonts w:ascii="Calibri" w:hAnsi="Calibri"/>
                <w:b/>
                <w:color w:val="101828"/>
                <w:sz w:val="14"/>
              </w:rPr>
              <w:t>Requires review by qualified Nigerian counsel</w:t>
            </w:r>
            <w:r>
              <w:rPr>
                <w:rFonts w:ascii="Calibri" w:hAnsi="Calibri"/>
                <w:b w:val="0"/>
                <w:i w:val="0"/>
                <w:color w:val="101828"/>
                <w:sz w:val="14"/>
              </w:rPr>
              <w:t xml:space="preserve"> (NDPA alignment to be confirmed).</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Legal, registrants</w:t>
            </w:r>
          </w:p>
        </w:tc>
        <w:tc>
          <w:tcPr>
            <w:tcW w:type="dxa" w:w="1094"/>
            <w:tcMar>
              <w:top w:w="60" w:type="dxa"/>
              <w:start w:w="110" w:type="dxa"/>
              <w:bottom w:w="60" w:type="dxa"/>
              <w:end w:w="110" w:type="dxa"/>
            </w:tcMar>
            <w:shd w:val="clear" w:color="auto" w:fill="F4F7FB"/>
          </w:tcPr>
          <w:p>
            <w:pPr>
              <w:spacing w:after="0"/>
            </w:pPr>
            <w:r/>
            <w:r>
              <w:rPr>
                <w:rFonts w:ascii="Calibri" w:hAnsi="Calibri"/>
                <w:b w:val="0"/>
                <w:i w:val="0"/>
                <w:color w:val="101828"/>
                <w:sz w:val="14"/>
              </w:rPr>
              <w:t>Download</w:t>
            </w:r>
          </w:p>
        </w:tc>
      </w:tr>
      <w:tr>
        <w:trPr>
          <w:cantSplit/>
        </w:trPr>
        <w:tc>
          <w:tcPr>
            <w:tcW w:type="dxa" w:w="1526"/>
            <w:tcMar>
              <w:top w:w="60" w:type="dxa"/>
              <w:start w:w="110" w:type="dxa"/>
              <w:bottom w:w="60" w:type="dxa"/>
              <w:end w:w="110" w:type="dxa"/>
            </w:tcMar>
          </w:tcPr>
          <w:p>
            <w:pPr>
              <w:spacing w:after="0"/>
            </w:pPr>
            <w:r/>
            <w:r>
              <w:rPr>
                <w:rFonts w:ascii="Consolas" w:hAnsi="Consolas"/>
                <w:color w:val="146EF5"/>
                <w:sz w:val="14"/>
              </w:rPr>
              <w:t>/status</w:t>
            </w:r>
          </w:p>
        </w:tc>
        <w:tc>
          <w:tcPr>
            <w:tcW w:type="dxa" w:w="1843"/>
            <w:tcMar>
              <w:top w:w="60" w:type="dxa"/>
              <w:start w:w="110" w:type="dxa"/>
              <w:bottom w:w="60" w:type="dxa"/>
              <w:end w:w="110" w:type="dxa"/>
            </w:tcMar>
          </w:tcPr>
          <w:p>
            <w:pPr>
              <w:spacing w:after="0"/>
            </w:pPr>
            <w:r/>
            <w:r>
              <w:rPr>
                <w:rFonts w:ascii="Calibri" w:hAnsi="Calibri"/>
                <w:b w:val="0"/>
                <w:i w:val="0"/>
                <w:color w:val="101828"/>
                <w:sz w:val="14"/>
              </w:rPr>
              <w:t>Account status notice — SCR-WEB-17</w:t>
            </w:r>
          </w:p>
        </w:tc>
        <w:tc>
          <w:tcPr>
            <w:tcW w:type="dxa" w:w="3600"/>
            <w:tcMar>
              <w:top w:w="60" w:type="dxa"/>
              <w:start w:w="110" w:type="dxa"/>
              <w:bottom w:w="60" w:type="dxa"/>
              <w:end w:w="110" w:type="dxa"/>
            </w:tcMar>
          </w:tcPr>
          <w:p>
            <w:pPr>
              <w:spacing w:after="0"/>
            </w:pPr>
            <w:r/>
            <w:r>
              <w:rPr>
                <w:rFonts w:ascii="Calibri" w:hAnsi="Calibri"/>
                <w:b w:val="0"/>
                <w:i w:val="0"/>
                <w:color w:val="101828"/>
                <w:sz w:val="14"/>
              </w:rPr>
              <w:t>Shown when an account is frozen or under risk review. States what the person can still do, who to contact, and the reference ID.</w:t>
            </w:r>
          </w:p>
        </w:tc>
        <w:tc>
          <w:tcPr>
            <w:tcW w:type="dxa" w:w="1296"/>
            <w:tcMar>
              <w:top w:w="60" w:type="dxa"/>
              <w:start w:w="110" w:type="dxa"/>
              <w:bottom w:w="60" w:type="dxa"/>
              <w:end w:w="110" w:type="dxa"/>
            </w:tcMar>
          </w:tcPr>
          <w:p>
            <w:pPr>
              <w:spacing w:after="0"/>
            </w:pPr>
            <w:r/>
            <w:r>
              <w:rPr>
                <w:rFonts w:ascii="Calibri" w:hAnsi="Calibri"/>
                <w:b w:val="0"/>
                <w:i w:val="0"/>
                <w:color w:val="101828"/>
                <w:sz w:val="14"/>
              </w:rPr>
              <w:t>Restricted members</w:t>
            </w:r>
          </w:p>
        </w:tc>
        <w:tc>
          <w:tcPr>
            <w:tcW w:type="dxa" w:w="1094"/>
            <w:tcMar>
              <w:top w:w="60" w:type="dxa"/>
              <w:start w:w="110" w:type="dxa"/>
              <w:bottom w:w="60" w:type="dxa"/>
              <w:end w:w="110" w:type="dxa"/>
            </w:tcMar>
          </w:tcPr>
          <w:p>
            <w:pPr>
              <w:spacing w:after="0"/>
            </w:pPr>
            <w:r/>
            <w:r>
              <w:rPr>
                <w:rFonts w:ascii="Calibri" w:hAnsi="Calibri"/>
                <w:b w:val="0"/>
                <w:i w:val="0"/>
                <w:color w:val="101828"/>
                <w:sz w:val="14"/>
              </w:rPr>
              <w:t>Contact support</w:t>
            </w:r>
          </w:p>
        </w:tc>
      </w:tr>
      <w:tr>
        <w:trPr>
          <w:cantSplit/>
        </w:trPr>
        <w:tc>
          <w:tcPr>
            <w:tcW w:type="dxa" w:w="1526"/>
            <w:tcMar>
              <w:top w:w="60" w:type="dxa"/>
              <w:start w:w="110" w:type="dxa"/>
              <w:bottom w:w="60" w:type="dxa"/>
              <w:end w:w="110" w:type="dxa"/>
            </w:tcMar>
            <w:shd w:val="clear" w:color="auto" w:fill="F4F7FB"/>
          </w:tcPr>
          <w:p>
            <w:pPr>
              <w:spacing w:after="0"/>
            </w:pPr>
            <w:r/>
            <w:r>
              <w:rPr>
                <w:rFonts w:ascii="Consolas" w:hAnsi="Consolas"/>
                <w:color w:val="146EF5"/>
                <w:sz w:val="14"/>
              </w:rPr>
              <w:t>/invite/:token</w:t>
            </w:r>
          </w:p>
        </w:tc>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4"/>
              </w:rPr>
              <w:t>Invitation — SCR-MOB-24</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4"/>
              </w:rPr>
              <w:t>The bridge into tier 2. Publicly addressable but never indexed, never pre-cached, and it discloses the organiser name, member count, contribution, fee, frequency, total duration and the invitee's total commitment — and nothing about other members.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Invited people</w:t>
            </w:r>
          </w:p>
        </w:tc>
        <w:tc>
          <w:tcPr>
            <w:tcW w:type="dxa" w:w="1094"/>
            <w:tcMar>
              <w:top w:w="60" w:type="dxa"/>
              <w:start w:w="110" w:type="dxa"/>
              <w:bottom w:w="60" w:type="dxa"/>
              <w:end w:w="110" w:type="dxa"/>
            </w:tcMar>
            <w:shd w:val="clear" w:color="auto" w:fill="F4F7FB"/>
          </w:tcPr>
          <w:p>
            <w:pPr>
              <w:spacing w:after="0"/>
            </w:pPr>
            <w:r/>
            <w:r>
              <w:rPr>
                <w:rFonts w:ascii="Calibri" w:hAnsi="Calibri"/>
                <w:b w:val="0"/>
                <w:i w:val="0"/>
                <w:color w:val="101828"/>
                <w:sz w:val="14"/>
              </w:rPr>
              <w:t>Join this Ajo</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The fee page is not optional and is not the pricing page  </w:t>
      </w:r>
      <w:r>
        <w:rPr>
          <w:rFonts w:ascii="Consolas" w:hAnsi="Consolas"/>
          <w:color w:val="146EF5"/>
          <w:sz w:val="19"/>
        </w:rPr>
        <w:t>/fees</w:t>
      </w:r>
      <w:r>
        <w:rPr>
          <w:rFonts w:ascii="Calibri" w:hAnsi="Calibri"/>
          <w:b w:val="0"/>
          <w:i w:val="0"/>
          <w:color w:val="0B1F3A"/>
          <w:sz w:val="19"/>
        </w:rPr>
        <w:t xml:space="preserve"> is the only place on tier 1 where the 2% fee is quantified, and it is quantified with the same numbers that appear in the receipt, the wizard and the statement. There is no tier-1 page that shows a contribution amount without showing the fee beside it. A design that puts NGN 1,000.00 in large type and NGN 20.00 in eight-point grey is a dark pattern (7.17) and is rejected at design review.</w:t>
      </w:r>
    </w:p>
    <w:p>
      <w:pPr>
        <w:pStyle w:val="Heading2"/>
      </w:pPr>
      <w:r>
        <w:rPr>
          <w:rFonts w:ascii="Calibri" w:hAnsi="Calibri"/>
          <w:b/>
          <w:i w:val="0"/>
          <w:color w:val="146EF5"/>
          <w:sz w:val="29"/>
        </w:rPr>
        <w:t>3.3 Authenticated web app sitemap</w:t>
      </w:r>
    </w:p>
    <w:p>
      <w:r>
        <w:rPr>
          <w:rFonts w:ascii="Calibri" w:hAnsi="Calibri"/>
          <w:b w:val="0"/>
          <w:i w:val="0"/>
          <w:color w:val="101828"/>
          <w:sz w:val="21"/>
        </w:rPr>
        <w:t xml:space="preserve">Tier 2 is a single application served responsively at </w:t>
      </w:r>
      <w:r>
        <w:rPr>
          <w:rFonts w:ascii="Consolas" w:hAnsi="Consolas"/>
          <w:color w:val="146EF5"/>
          <w:sz w:val="21"/>
        </w:rPr>
        <w:t>/app</w:t>
      </w:r>
      <w:r>
        <w:rPr>
          <w:rFonts w:ascii="Calibri" w:hAnsi="Calibri"/>
          <w:b w:val="0"/>
          <w:i w:val="0"/>
          <w:color w:val="101828"/>
          <w:sz w:val="21"/>
        </w:rPr>
        <w:t xml:space="preserve">. It has one dashboard, one collection resource (the Ajo), and a set of member-scoped records that hang off either the member or the Ajo. The organising principle is that </w:t>
      </w:r>
      <w:r>
        <w:rPr>
          <w:rFonts w:ascii="Calibri" w:hAnsi="Calibri"/>
          <w:b/>
          <w:color w:val="101828"/>
          <w:sz w:val="21"/>
        </w:rPr>
        <w:t>the Ajo is the organising object</w:t>
      </w:r>
      <w:r>
        <w:rPr>
          <w:rFonts w:ascii="Calibri" w:hAnsi="Calibri"/>
          <w:b w:val="0"/>
          <w:i w:val="0"/>
          <w:color w:val="101828"/>
          <w:sz w:val="21"/>
        </w:rPr>
        <w:t xml:space="preserve">: almost every tier-2 screen is reached through an Ajo, and the screens that are not (payments, payouts, transactions, disputes, profile) are member-scoped ledgers that a member consults to answer the two questions they actually have — </w:t>
      </w:r>
      <w:r>
        <w:rPr>
          <w:rFonts w:ascii="Calibri" w:hAnsi="Calibri"/>
          <w:i/>
          <w:color w:val="101828"/>
          <w:sz w:val="21"/>
        </w:rPr>
        <w:t>what have I paid, and what am I owed</w:t>
      </w:r>
      <w:r>
        <w:rPr>
          <w:rFonts w:ascii="Calibri" w:hAnsi="Calibri"/>
          <w:b w:val="0"/>
          <w:i w:val="0"/>
          <w:color w:val="101828"/>
          <w:sz w:val="21"/>
        </w:rPr>
        <w:t>.</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843"/>
            <w:shd w:val="clear" w:color="auto" w:fill="0B1F3A"/>
            <w:tcMar>
              <w:top w:w="60" w:type="dxa"/>
              <w:start w:w="110" w:type="dxa"/>
              <w:bottom w:w="60" w:type="dxa"/>
              <w:end w:w="110" w:type="dxa"/>
            </w:tcMar>
          </w:tcPr>
          <w:p>
            <w:pPr>
              <w:spacing w:after="0"/>
            </w:pPr>
            <w:r/>
            <w:r>
              <w:rPr>
                <w:rFonts w:ascii="Calibri" w:hAnsi="Calibri"/>
                <w:b/>
                <w:i w:val="0"/>
                <w:color w:val="FFFFFF"/>
                <w:sz w:val="13"/>
              </w:rPr>
              <w:t>Path</w:t>
            </w:r>
          </w:p>
        </w:tc>
        <w:tc>
          <w:tcPr>
            <w:tcW w:type="dxa" w:w="1958"/>
            <w:shd w:val="clear" w:color="auto" w:fill="0B1F3A"/>
            <w:tcMar>
              <w:top w:w="60" w:type="dxa"/>
              <w:start w:w="110" w:type="dxa"/>
              <w:bottom w:w="60" w:type="dxa"/>
              <w:end w:w="110" w:type="dxa"/>
            </w:tcMar>
          </w:tcPr>
          <w:p>
            <w:pPr>
              <w:spacing w:after="0"/>
            </w:pPr>
            <w:r/>
            <w:r>
              <w:rPr>
                <w:rFonts w:ascii="Calibri" w:hAnsi="Calibri"/>
                <w:b/>
                <w:i w:val="0"/>
                <w:color w:val="FFFFFF"/>
                <w:sz w:val="13"/>
              </w:rPr>
              <w:t>Screen</w:t>
            </w:r>
          </w:p>
        </w:tc>
        <w:tc>
          <w:tcPr>
            <w:tcW w:type="dxa" w:w="3283"/>
            <w:shd w:val="clear" w:color="auto" w:fill="0B1F3A"/>
            <w:tcMar>
              <w:top w:w="60" w:type="dxa"/>
              <w:start w:w="110" w:type="dxa"/>
              <w:bottom w:w="60" w:type="dxa"/>
              <w:end w:w="110" w:type="dxa"/>
            </w:tcMar>
          </w:tcPr>
          <w:p>
            <w:pPr>
              <w:spacing w:after="0"/>
            </w:pPr>
            <w:r/>
            <w:r>
              <w:rPr>
                <w:rFonts w:ascii="Calibri" w:hAnsi="Calibri"/>
                <w:b/>
                <w:i w:val="0"/>
                <w:color w:val="FFFFFF"/>
                <w:sz w:val="13"/>
              </w:rPr>
              <w:t>Purpose</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3"/>
              </w:rPr>
              <w:t>Role</w:t>
            </w:r>
          </w:p>
        </w:tc>
        <w:tc>
          <w:tcPr>
            <w:tcW w:type="dxa" w:w="1699"/>
            <w:shd w:val="clear" w:color="auto" w:fill="0B1F3A"/>
            <w:tcMar>
              <w:top w:w="60" w:type="dxa"/>
              <w:start w:w="110" w:type="dxa"/>
              <w:bottom w:w="60" w:type="dxa"/>
              <w:end w:w="110" w:type="dxa"/>
            </w:tcMar>
          </w:tcPr>
          <w:p>
            <w:pPr>
              <w:spacing w:after="0"/>
            </w:pPr>
            <w:r/>
            <w:r>
              <w:rPr>
                <w:rFonts w:ascii="Calibri" w:hAnsi="Calibri"/>
                <w:b/>
                <w:i w:val="0"/>
                <w:color w:val="FFFFFF"/>
                <w:sz w:val="13"/>
              </w:rPr>
              <w:t>Key states</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3"/>
              </w:rPr>
              <w:t>/app</w:t>
            </w:r>
          </w:p>
        </w:tc>
        <w:tc>
          <w:tcPr>
            <w:tcW w:type="dxa" w:w="1958"/>
            <w:tcMar>
              <w:top w:w="60" w:type="dxa"/>
              <w:start w:w="110" w:type="dxa"/>
              <w:bottom w:w="60" w:type="dxa"/>
              <w:end w:w="110" w:type="dxa"/>
            </w:tcMar>
          </w:tcPr>
          <w:p>
            <w:pPr>
              <w:spacing w:after="0"/>
            </w:pPr>
            <w:r/>
            <w:r>
              <w:rPr>
                <w:rFonts w:ascii="Calibri" w:hAnsi="Calibri"/>
                <w:b w:val="0"/>
                <w:i w:val="0"/>
                <w:color w:val="101828"/>
                <w:sz w:val="13"/>
              </w:rPr>
              <w:t>Dashboard — SCR-MOB-01</w:t>
            </w:r>
          </w:p>
        </w:tc>
        <w:tc>
          <w:tcPr>
            <w:tcW w:type="dxa" w:w="3283"/>
            <w:tcMar>
              <w:top w:w="60" w:type="dxa"/>
              <w:start w:w="110" w:type="dxa"/>
              <w:bottom w:w="60" w:type="dxa"/>
              <w:end w:w="110" w:type="dxa"/>
            </w:tcMar>
          </w:tcPr>
          <w:p>
            <w:pPr>
              <w:spacing w:after="0"/>
            </w:pPr>
            <w:r/>
            <w:r>
              <w:rPr>
                <w:rFonts w:ascii="Calibri" w:hAnsi="Calibri"/>
                <w:b w:val="0"/>
                <w:i w:val="0"/>
                <w:color w:val="101828"/>
                <w:sz w:val="13"/>
              </w:rPr>
              <w:t xml:space="preserve">The single landing surface after login. Greeting, </w:t>
            </w:r>
            <w:r>
              <w:rPr>
                <w:rFonts w:ascii="Calibri" w:hAnsi="Calibri"/>
                <w:i/>
                <w:color w:val="101828"/>
                <w:sz w:val="13"/>
              </w:rPr>
              <w:t>needs your action</w:t>
            </w:r>
            <w:r>
              <w:rPr>
                <w:rFonts w:ascii="Calibri" w:hAnsi="Calibri"/>
                <w:b w:val="0"/>
                <w:i w:val="0"/>
                <w:color w:val="101828"/>
                <w:sz w:val="13"/>
              </w:rPr>
              <w:t xml:space="preserve"> block, next due contribution, Ajo progress, recent activity.</w:t>
            </w:r>
          </w:p>
        </w:tc>
        <w:tc>
          <w:tcPr>
            <w:tcW w:type="dxa" w:w="1296"/>
            <w:tcMar>
              <w:top w:w="60" w:type="dxa"/>
              <w:start w:w="110" w:type="dxa"/>
              <w:bottom w:w="60" w:type="dxa"/>
              <w:end w:w="110" w:type="dxa"/>
            </w:tcMar>
          </w:tcPr>
          <w:p>
            <w:pPr>
              <w:spacing w:after="0"/>
            </w:pPr>
            <w:r/>
            <w:r>
              <w:rPr>
                <w:rFonts w:ascii="Calibri" w:hAnsi="Calibri"/>
                <w:b w:val="0"/>
                <w:i w:val="0"/>
                <w:color w:val="101828"/>
                <w:sz w:val="13"/>
              </w:rPr>
              <w:t>All tier-2</w:t>
            </w:r>
          </w:p>
        </w:tc>
        <w:tc>
          <w:tcPr>
            <w:tcW w:type="dxa" w:w="1699"/>
            <w:tcMar>
              <w:top w:w="60" w:type="dxa"/>
              <w:start w:w="110" w:type="dxa"/>
              <w:bottom w:w="60" w:type="dxa"/>
              <w:end w:w="110" w:type="dxa"/>
            </w:tcMar>
          </w:tcPr>
          <w:p>
            <w:pPr>
              <w:spacing w:after="0"/>
            </w:pPr>
            <w:r/>
            <w:r>
              <w:rPr>
                <w:rFonts w:ascii="Calibri" w:hAnsi="Calibri"/>
                <w:b w:val="0"/>
                <w:i w:val="0"/>
                <w:color w:val="101828"/>
                <w:sz w:val="13"/>
              </w:rPr>
              <w:t>First-run (no Ajos), enrolled, active, frozen</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3"/>
              </w:rPr>
              <w:t>/app/ajos</w:t>
            </w:r>
          </w:p>
        </w:tc>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3"/>
              </w:rPr>
              <w:t>My Ajos — SCR-MOB-02</w:t>
            </w:r>
          </w:p>
        </w:tc>
        <w:tc>
          <w:tcPr>
            <w:tcW w:type="dxa" w:w="3283"/>
            <w:tcMar>
              <w:top w:w="60" w:type="dxa"/>
              <w:start w:w="110" w:type="dxa"/>
              <w:bottom w:w="60" w:type="dxa"/>
              <w:end w:w="110" w:type="dxa"/>
            </w:tcMar>
            <w:shd w:val="clear" w:color="auto" w:fill="F4F7FB"/>
          </w:tcPr>
          <w:p>
            <w:pPr>
              <w:spacing w:after="0"/>
            </w:pPr>
            <w:r/>
            <w:r>
              <w:rPr>
                <w:rFonts w:ascii="Calibri" w:hAnsi="Calibri"/>
                <w:b w:val="0"/>
                <w:i w:val="0"/>
                <w:color w:val="101828"/>
                <w:sz w:val="13"/>
              </w:rPr>
              <w:t>Every Ajo the person organises or belongs to, with lifecycle badge, next due date, my commitment, my position.</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3"/>
              </w:rPr>
              <w:t>All tier-2</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Empty, 1 item, long list, cancelled/completed collapsed</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3"/>
              </w:rPr>
              <w:t>/app/ajos/new</w:t>
            </w:r>
          </w:p>
        </w:tc>
        <w:tc>
          <w:tcPr>
            <w:tcW w:type="dxa" w:w="1958"/>
            <w:tcMar>
              <w:top w:w="60" w:type="dxa"/>
              <w:start w:w="110" w:type="dxa"/>
              <w:bottom w:w="60" w:type="dxa"/>
              <w:end w:w="110" w:type="dxa"/>
            </w:tcMar>
          </w:tcPr>
          <w:p>
            <w:pPr>
              <w:spacing w:after="0"/>
            </w:pPr>
            <w:r/>
            <w:r>
              <w:rPr>
                <w:rFonts w:ascii="Calibri" w:hAnsi="Calibri"/>
                <w:b w:val="0"/>
                <w:i w:val="0"/>
                <w:color w:val="101828"/>
                <w:sz w:val="13"/>
              </w:rPr>
              <w:t>Create Ajo wizard — SCR-MOB-05.1 to 05.7</w:t>
            </w:r>
          </w:p>
        </w:tc>
        <w:tc>
          <w:tcPr>
            <w:tcW w:type="dxa" w:w="3283"/>
            <w:tcMar>
              <w:top w:w="60" w:type="dxa"/>
              <w:start w:w="110" w:type="dxa"/>
              <w:bottom w:w="60" w:type="dxa"/>
              <w:end w:w="110" w:type="dxa"/>
            </w:tcMar>
          </w:tcPr>
          <w:p>
            <w:pPr>
              <w:spacing w:after="0"/>
            </w:pPr>
            <w:r/>
            <w:r>
              <w:rPr>
                <w:rFonts w:ascii="Calibri" w:hAnsi="Calibri"/>
                <w:b w:val="0"/>
                <w:i w:val="0"/>
                <w:color w:val="101828"/>
                <w:sz w:val="13"/>
              </w:rPr>
              <w:t>Seven steps from name to acknowledgement. Resumable; a partial DRAFT is persisted from step 1.</w:t>
            </w:r>
          </w:p>
        </w:tc>
        <w:tc>
          <w:tcPr>
            <w:tcW w:type="dxa" w:w="1296"/>
            <w:tcMar>
              <w:top w:w="60" w:type="dxa"/>
              <w:start w:w="110" w:type="dxa"/>
              <w:bottom w:w="60" w:type="dxa"/>
              <w:end w:w="110" w:type="dxa"/>
            </w:tcMar>
          </w:tcPr>
          <w:p>
            <w:pPr>
              <w:spacing w:after="0"/>
            </w:pPr>
            <w:r/>
            <w:r>
              <w:rPr>
                <w:rFonts w:ascii="Consolas" w:hAnsi="Consolas"/>
                <w:color w:val="146EF5"/>
                <w:sz w:val="13"/>
              </w:rPr>
              <w:t>user</w:t>
            </w:r>
            <w:r>
              <w:rPr>
                <w:rFonts w:ascii="Calibri" w:hAnsi="Calibri"/>
                <w:b w:val="0"/>
                <w:i w:val="0"/>
                <w:color w:val="101828"/>
                <w:sz w:val="13"/>
              </w:rPr>
              <w:t xml:space="preserve"> (becomes </w:t>
            </w:r>
            <w:r>
              <w:rPr>
                <w:rFonts w:ascii="Consolas" w:hAnsi="Consolas"/>
                <w:color w:val="146EF5"/>
                <w:sz w:val="13"/>
              </w:rPr>
              <w:t>ajo_organizer</w:t>
            </w:r>
            <w:r>
              <w:rPr>
                <w:rFonts w:ascii="Calibri" w:hAnsi="Calibri"/>
                <w:b w:val="0"/>
                <w:i w:val="0"/>
                <w:color w:val="101828"/>
                <w:sz w:val="13"/>
              </w:rPr>
              <w:t>)</w:t>
            </w:r>
          </w:p>
        </w:tc>
        <w:tc>
          <w:tcPr>
            <w:tcW w:type="dxa" w:w="1699"/>
            <w:tcMar>
              <w:top w:w="60" w:type="dxa"/>
              <w:start w:w="110" w:type="dxa"/>
              <w:bottom w:w="60" w:type="dxa"/>
              <w:end w:w="110" w:type="dxa"/>
            </w:tcMar>
          </w:tcPr>
          <w:p>
            <w:pPr>
              <w:spacing w:after="0"/>
            </w:pPr>
            <w:r/>
            <w:r>
              <w:rPr>
                <w:rFonts w:ascii="Calibri" w:hAnsi="Calibri"/>
                <w:b w:val="0"/>
                <w:i w:val="0"/>
                <w:color w:val="101828"/>
                <w:sz w:val="13"/>
              </w:rPr>
              <w:t>Step-level validation, expiry, resumable</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3"/>
              </w:rPr>
              <w:t>/app/join</w:t>
            </w:r>
          </w:p>
        </w:tc>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3"/>
              </w:rPr>
              <w:t>Join Ajo — SCR-MOB-04</w:t>
            </w:r>
          </w:p>
        </w:tc>
        <w:tc>
          <w:tcPr>
            <w:tcW w:type="dxa" w:w="3283"/>
            <w:tcMar>
              <w:top w:w="60" w:type="dxa"/>
              <w:start w:w="110" w:type="dxa"/>
              <w:bottom w:w="60" w:type="dxa"/>
              <w:end w:w="110" w:type="dxa"/>
            </w:tcMar>
            <w:shd w:val="clear" w:color="auto" w:fill="F4F7FB"/>
          </w:tcPr>
          <w:p>
            <w:pPr>
              <w:spacing w:after="0"/>
            </w:pPr>
            <w:r/>
            <w:r>
              <w:rPr>
                <w:rFonts w:ascii="Calibri" w:hAnsi="Calibri"/>
                <w:b w:val="0"/>
                <w:i w:val="0"/>
                <w:color w:val="101828"/>
                <w:sz w:val="13"/>
              </w:rPr>
              <w:t>Enter an invitation code. Route of last resort when the deep link was lost.</w:t>
            </w:r>
          </w:p>
        </w:tc>
        <w:tc>
          <w:tcPr>
            <w:tcW w:type="dxa" w:w="1296"/>
            <w:tcMar>
              <w:top w:w="60" w:type="dxa"/>
              <w:start w:w="110" w:type="dxa"/>
              <w:bottom w:w="60" w:type="dxa"/>
              <w:end w:w="110" w:type="dxa"/>
            </w:tcMar>
            <w:shd w:val="clear" w:color="auto" w:fill="F4F7FB"/>
          </w:tcPr>
          <w:p>
            <w:pPr>
              <w:spacing w:after="0"/>
            </w:pPr>
            <w:r/>
            <w:r>
              <w:rPr>
                <w:rFonts w:ascii="Consolas" w:hAnsi="Consolas"/>
                <w:color w:val="146EF5"/>
                <w:sz w:val="13"/>
              </w:rPr>
              <w:t>user</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Invalid code, expired, already used, enrollment closed</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3"/>
              </w:rPr>
              <w:t>/app/join/:token</w:t>
            </w:r>
          </w:p>
        </w:tc>
        <w:tc>
          <w:tcPr>
            <w:tcW w:type="dxa" w:w="1958"/>
            <w:tcMar>
              <w:top w:w="60" w:type="dxa"/>
              <w:start w:w="110" w:type="dxa"/>
              <w:bottom w:w="60" w:type="dxa"/>
              <w:end w:w="110" w:type="dxa"/>
            </w:tcMar>
          </w:tcPr>
          <w:p>
            <w:pPr>
              <w:spacing w:after="0"/>
            </w:pPr>
            <w:r/>
            <w:r>
              <w:rPr>
                <w:rFonts w:ascii="Calibri" w:hAnsi="Calibri"/>
                <w:b w:val="0"/>
                <w:i w:val="0"/>
                <w:color w:val="101828"/>
                <w:sz w:val="13"/>
              </w:rPr>
              <w:t>Invitation accept — SCR-MOB-24</w:t>
            </w:r>
          </w:p>
        </w:tc>
        <w:tc>
          <w:tcPr>
            <w:tcW w:type="dxa" w:w="3283"/>
            <w:tcMar>
              <w:top w:w="60" w:type="dxa"/>
              <w:start w:w="110" w:type="dxa"/>
              <w:bottom w:w="60" w:type="dxa"/>
              <w:end w:w="110" w:type="dxa"/>
            </w:tcMar>
          </w:tcPr>
          <w:p>
            <w:pPr>
              <w:spacing w:after="0"/>
            </w:pPr>
            <w:r/>
            <w:r>
              <w:rPr>
                <w:rFonts w:ascii="Calibri" w:hAnsi="Calibri"/>
                <w:b w:val="0"/>
                <w:i w:val="0"/>
                <w:color w:val="101828"/>
                <w:sz w:val="13"/>
              </w:rPr>
              <w:t>Full fee-disclosure surface. The invitee sees exactly what they will pay in total and what the recipient receives, before committing.</w:t>
            </w:r>
          </w:p>
        </w:tc>
        <w:tc>
          <w:tcPr>
            <w:tcW w:type="dxa" w:w="1296"/>
            <w:tcMar>
              <w:top w:w="60" w:type="dxa"/>
              <w:start w:w="110" w:type="dxa"/>
              <w:bottom w:w="60" w:type="dxa"/>
              <w:end w:w="110" w:type="dxa"/>
            </w:tcMar>
          </w:tcPr>
          <w:p>
            <w:pPr>
              <w:spacing w:after="0"/>
            </w:pPr>
            <w:r/>
            <w:r>
              <w:rPr>
                <w:rFonts w:ascii="Consolas" w:hAnsi="Consolas"/>
                <w:color w:val="146EF5"/>
                <w:sz w:val="13"/>
              </w:rPr>
              <w:t>user</w:t>
            </w:r>
          </w:p>
        </w:tc>
        <w:tc>
          <w:tcPr>
            <w:tcW w:type="dxa" w:w="1699"/>
            <w:tcMar>
              <w:top w:w="60" w:type="dxa"/>
              <w:start w:w="110" w:type="dxa"/>
              <w:bottom w:w="60" w:type="dxa"/>
              <w:end w:w="110" w:type="dxa"/>
            </w:tcMar>
          </w:tcPr>
          <w:p>
            <w:pPr>
              <w:spacing w:after="0"/>
            </w:pPr>
            <w:r/>
            <w:r>
              <w:rPr>
                <w:rFonts w:ascii="Calibri" w:hAnsi="Calibri"/>
                <w:b w:val="0"/>
                <w:i w:val="0"/>
                <w:color w:val="101828"/>
                <w:sz w:val="13"/>
              </w:rPr>
              <w:t>Valid, expired, used, revoked, Ajo full, window closing</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3"/>
              </w:rPr>
              <w:t>/app/ajos/:id</w:t>
            </w:r>
          </w:p>
        </w:tc>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3"/>
              </w:rPr>
              <w:t>Ajo Detail — SCR-MOB-03</w:t>
            </w:r>
          </w:p>
        </w:tc>
        <w:tc>
          <w:tcPr>
            <w:tcW w:type="dxa" w:w="3283"/>
            <w:tcMar>
              <w:top w:w="60" w:type="dxa"/>
              <w:start w:w="110" w:type="dxa"/>
              <w:bottom w:w="60" w:type="dxa"/>
              <w:end w:w="110" w:type="dxa"/>
            </w:tcMar>
            <w:shd w:val="clear" w:color="auto" w:fill="F4F7FB"/>
          </w:tcPr>
          <w:p>
            <w:pPr>
              <w:spacing w:after="0"/>
            </w:pPr>
            <w:r/>
            <w:r>
              <w:rPr>
                <w:rFonts w:ascii="Calibri" w:hAnsi="Calibri"/>
                <w:b w:val="0"/>
                <w:i w:val="0"/>
                <w:color w:val="101828"/>
                <w:sz w:val="13"/>
              </w:rPr>
              <w:t>The Ajo's home. Status, positions, funding progress this round, base pool target, my position and my commitment, organizer actions.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3"/>
              </w:rPr>
              <w:t>All tier-2 (scoped)</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By lifecycle: DRAFT, ENROLLMENT (with countdown), ACTIVE, ROUND_IN_PROGRESS, COMPLETED, FROZEN, CANCELLED, CANCELLING</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3"/>
              </w:rPr>
              <w:t>/app/ajos/:id/members</w:t>
            </w:r>
          </w:p>
        </w:tc>
        <w:tc>
          <w:tcPr>
            <w:tcW w:type="dxa" w:w="1958"/>
            <w:tcMar>
              <w:top w:w="60" w:type="dxa"/>
              <w:start w:w="110" w:type="dxa"/>
              <w:bottom w:w="60" w:type="dxa"/>
              <w:end w:w="110" w:type="dxa"/>
            </w:tcMar>
          </w:tcPr>
          <w:p>
            <w:pPr>
              <w:spacing w:after="0"/>
            </w:pPr>
            <w:r/>
            <w:r>
              <w:rPr>
                <w:rFonts w:ascii="Calibri" w:hAnsi="Calibri"/>
                <w:b w:val="0"/>
                <w:i w:val="0"/>
                <w:color w:val="101828"/>
                <w:sz w:val="13"/>
              </w:rPr>
              <w:t>Members — SCR-MOB-06</w:t>
            </w:r>
          </w:p>
        </w:tc>
        <w:tc>
          <w:tcPr>
            <w:tcW w:type="dxa" w:w="3283"/>
            <w:tcMar>
              <w:top w:w="60" w:type="dxa"/>
              <w:start w:w="110" w:type="dxa"/>
              <w:bottom w:w="60" w:type="dxa"/>
              <w:end w:w="110" w:type="dxa"/>
            </w:tcMar>
          </w:tcPr>
          <w:p>
            <w:pPr>
              <w:spacing w:after="0"/>
            </w:pPr>
            <w:r/>
            <w:r>
              <w:rPr>
                <w:rFonts w:ascii="Calibri" w:hAnsi="Calibri"/>
                <w:b w:val="0"/>
                <w:i w:val="0"/>
                <w:color w:val="101828"/>
                <w:sz w:val="13"/>
              </w:rPr>
              <w:t>Roster with position, payment status for the current round, and — for the organiser only — invite, remove (pre-activation), replace and remind.</w:t>
            </w:r>
          </w:p>
        </w:tc>
        <w:tc>
          <w:tcPr>
            <w:tcW w:type="dxa" w:w="1296"/>
            <w:tcMar>
              <w:top w:w="60" w:type="dxa"/>
              <w:start w:w="110" w:type="dxa"/>
              <w:bottom w:w="60" w:type="dxa"/>
              <w:end w:w="110" w:type="dxa"/>
            </w:tcMar>
          </w:tcPr>
          <w:p>
            <w:pPr>
              <w:spacing w:after="0"/>
            </w:pPr>
            <w:r/>
            <w:r>
              <w:rPr>
                <w:rFonts w:ascii="Calibri" w:hAnsi="Calibri"/>
                <w:b w:val="0"/>
                <w:i w:val="0"/>
                <w:color w:val="101828"/>
                <w:sz w:val="13"/>
              </w:rPr>
              <w:t>All see roster; organiser acts</w:t>
            </w:r>
          </w:p>
        </w:tc>
        <w:tc>
          <w:tcPr>
            <w:tcW w:type="dxa" w:w="1699"/>
            <w:tcMar>
              <w:top w:w="60" w:type="dxa"/>
              <w:start w:w="110" w:type="dxa"/>
              <w:bottom w:w="60" w:type="dxa"/>
              <w:end w:w="110" w:type="dxa"/>
            </w:tcMar>
          </w:tcPr>
          <w:p>
            <w:pPr>
              <w:spacing w:after="0"/>
            </w:pPr>
            <w:r/>
            <w:r>
              <w:rPr>
                <w:rFonts w:ascii="Calibri" w:hAnsi="Calibri"/>
                <w:b w:val="0"/>
                <w:i w:val="0"/>
                <w:color w:val="101828"/>
                <w:sz w:val="13"/>
              </w:rPr>
              <w:t>Invited-not-joined, active, defaulting (organiser only)</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3"/>
              </w:rPr>
              <w:t>/app/ajos/:id/schedule</w:t>
            </w:r>
          </w:p>
        </w:tc>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3"/>
              </w:rPr>
              <w:t>Contribution Schedule — SCR-MOB-07</w:t>
            </w:r>
          </w:p>
        </w:tc>
        <w:tc>
          <w:tcPr>
            <w:tcW w:type="dxa" w:w="3283"/>
            <w:tcMar>
              <w:top w:w="60" w:type="dxa"/>
              <w:start w:w="110" w:type="dxa"/>
              <w:bottom w:w="60" w:type="dxa"/>
              <w:end w:w="110" w:type="dxa"/>
            </w:tcMar>
            <w:shd w:val="clear" w:color="auto" w:fill="F4F7FB"/>
          </w:tcPr>
          <w:p>
            <w:pPr>
              <w:spacing w:after="0"/>
            </w:pPr>
            <w:r/>
            <w:r>
              <w:rPr>
                <w:rFonts w:ascii="Calibri" w:hAnsi="Calibri"/>
                <w:b w:val="0"/>
                <w:i w:val="0"/>
                <w:color w:val="101828"/>
                <w:sz w:val="13"/>
              </w:rPr>
              <w:t>The full round calendar: who pays what on which date, and what I owe next. Frequency and duration read-only after activation.</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3"/>
              </w:rPr>
              <w:t>All tier-2 (scoped)</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Not yet active (provisional), active, past, frozen</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3"/>
              </w:rPr>
              <w:t>/app/ajos/:id/contributions</w:t>
            </w:r>
          </w:p>
        </w:tc>
        <w:tc>
          <w:tcPr>
            <w:tcW w:type="dxa" w:w="1958"/>
            <w:tcMar>
              <w:top w:w="60" w:type="dxa"/>
              <w:start w:w="110" w:type="dxa"/>
              <w:bottom w:w="60" w:type="dxa"/>
              <w:end w:w="110" w:type="dxa"/>
            </w:tcMar>
          </w:tcPr>
          <w:p>
            <w:pPr>
              <w:spacing w:after="0"/>
            </w:pPr>
            <w:r/>
            <w:r>
              <w:rPr>
                <w:rFonts w:ascii="Calibri" w:hAnsi="Calibri"/>
                <w:b w:val="0"/>
                <w:i w:val="0"/>
                <w:color w:val="101828"/>
                <w:sz w:val="13"/>
              </w:rPr>
              <w:t>Contributions — SCR-MOB-08</w:t>
            </w:r>
          </w:p>
        </w:tc>
        <w:tc>
          <w:tcPr>
            <w:tcW w:type="dxa" w:w="3283"/>
            <w:tcMar>
              <w:top w:w="60" w:type="dxa"/>
              <w:start w:w="110" w:type="dxa"/>
              <w:bottom w:w="60" w:type="dxa"/>
              <w:end w:w="110" w:type="dxa"/>
            </w:tcMar>
          </w:tcPr>
          <w:p>
            <w:pPr>
              <w:spacing w:after="0"/>
            </w:pPr>
            <w:r/>
            <w:r>
              <w:rPr>
                <w:rFonts w:ascii="Calibri" w:hAnsi="Calibri"/>
                <w:b w:val="0"/>
                <w:i w:val="0"/>
                <w:color w:val="101828"/>
                <w:sz w:val="13"/>
              </w:rPr>
              <w:t>Contribution obligations for the member, filterable by round and state (</w:t>
            </w:r>
            <w:r>
              <w:rPr>
                <w:rFonts w:ascii="Consolas" w:hAnsi="Consolas"/>
                <w:color w:val="146EF5"/>
                <w:sz w:val="13"/>
              </w:rPr>
              <w:t>PENDING</w:t>
            </w:r>
            <w:r>
              <w:rPr>
                <w:rFonts w:ascii="Calibri" w:hAnsi="Calibri"/>
                <w:b w:val="0"/>
                <w:i w:val="0"/>
                <w:color w:val="101828"/>
                <w:sz w:val="13"/>
              </w:rPr>
              <w:t xml:space="preserve">, </w:t>
            </w:r>
            <w:r>
              <w:rPr>
                <w:rFonts w:ascii="Consolas" w:hAnsi="Consolas"/>
                <w:color w:val="146EF5"/>
                <w:sz w:val="13"/>
              </w:rPr>
              <w:t>PAID</w:t>
            </w:r>
            <w:r>
              <w:rPr>
                <w:rFonts w:ascii="Calibri" w:hAnsi="Calibri"/>
                <w:b w:val="0"/>
                <w:i w:val="0"/>
                <w:color w:val="101828"/>
                <w:sz w:val="13"/>
              </w:rPr>
              <w:t xml:space="preserve">, </w:t>
            </w:r>
            <w:r>
              <w:rPr>
                <w:rFonts w:ascii="Consolas" w:hAnsi="Consolas"/>
                <w:color w:val="146EF5"/>
                <w:sz w:val="13"/>
              </w:rPr>
              <w:t>OVERDUE</w:t>
            </w:r>
            <w:r>
              <w:rPr>
                <w:rFonts w:ascii="Calibri" w:hAnsi="Calibri"/>
                <w:b w:val="0"/>
                <w:i w:val="0"/>
                <w:color w:val="101828"/>
                <w:sz w:val="13"/>
              </w:rPr>
              <w:t xml:space="preserve">, </w:t>
            </w:r>
            <w:r>
              <w:rPr>
                <w:rFonts w:ascii="Consolas" w:hAnsi="Consolas"/>
                <w:color w:val="146EF5"/>
                <w:sz w:val="13"/>
              </w:rPr>
              <w:t>GRACE</w:t>
            </w:r>
            <w:r>
              <w:rPr>
                <w:rFonts w:ascii="Calibri" w:hAnsi="Calibri"/>
                <w:b w:val="0"/>
                <w:i w:val="0"/>
                <w:color w:val="101828"/>
                <w:sz w:val="13"/>
              </w:rPr>
              <w:t xml:space="preserve">, </w:t>
            </w:r>
            <w:r>
              <w:rPr>
                <w:rFonts w:ascii="Consolas" w:hAnsi="Consolas"/>
                <w:color w:val="146EF5"/>
                <w:sz w:val="13"/>
              </w:rPr>
              <w:t>DEFAULTED</w:t>
            </w:r>
            <w:r>
              <w:rPr>
                <w:rFonts w:ascii="Calibri" w:hAnsi="Calibri"/>
                <w:b w:val="0"/>
                <w:i w:val="0"/>
                <w:color w:val="101828"/>
                <w:sz w:val="13"/>
              </w:rPr>
              <w:t xml:space="preserve">, </w:t>
            </w:r>
            <w:r>
              <w:rPr>
                <w:rFonts w:ascii="Consolas" w:hAnsi="Consolas"/>
                <w:color w:val="146EF5"/>
                <w:sz w:val="13"/>
              </w:rPr>
              <w:t>RECOVERED</w:t>
            </w:r>
            <w:r>
              <w:rPr>
                <w:rFonts w:ascii="Calibri" w:hAnsi="Calibri"/>
                <w:b w:val="0"/>
                <w:i w:val="0"/>
                <w:color w:val="101828"/>
                <w:sz w:val="13"/>
              </w:rPr>
              <w:t xml:space="preserve">, </w:t>
            </w:r>
            <w:r>
              <w:rPr>
                <w:rFonts w:ascii="Consolas" w:hAnsi="Consolas"/>
                <w:color w:val="146EF5"/>
                <w:sz w:val="13"/>
              </w:rPr>
              <w:t>WRITTEN_OFF</w:t>
            </w:r>
            <w:r>
              <w:rPr>
                <w:rFonts w:ascii="Calibri" w:hAnsi="Calibri"/>
                <w:b w:val="0"/>
                <w:i w:val="0"/>
                <w:color w:val="101828"/>
                <w:sz w:val="13"/>
              </w:rPr>
              <w:t>).</w:t>
            </w:r>
          </w:p>
        </w:tc>
        <w:tc>
          <w:tcPr>
            <w:tcW w:type="dxa" w:w="1296"/>
            <w:tcMar>
              <w:top w:w="60" w:type="dxa"/>
              <w:start w:w="110" w:type="dxa"/>
              <w:bottom w:w="60" w:type="dxa"/>
              <w:end w:w="110" w:type="dxa"/>
            </w:tcMar>
          </w:tcPr>
          <w:p>
            <w:pPr>
              <w:spacing w:after="0"/>
            </w:pPr>
            <w:r/>
            <w:r>
              <w:rPr>
                <w:rFonts w:ascii="Calibri" w:hAnsi="Calibri"/>
                <w:b w:val="0"/>
                <w:i w:val="0"/>
                <w:color w:val="101828"/>
                <w:sz w:val="13"/>
              </w:rPr>
              <w:t>All tier-2 (scoped)</w:t>
            </w:r>
          </w:p>
        </w:tc>
        <w:tc>
          <w:tcPr>
            <w:tcW w:type="dxa" w:w="1699"/>
            <w:tcMar>
              <w:top w:w="60" w:type="dxa"/>
              <w:start w:w="110" w:type="dxa"/>
              <w:bottom w:w="60" w:type="dxa"/>
              <w:end w:w="110" w:type="dxa"/>
            </w:tcMar>
          </w:tcPr>
          <w:p>
            <w:pPr>
              <w:spacing w:after="0"/>
            </w:pPr>
            <w:r/>
            <w:r>
              <w:rPr>
                <w:rFonts w:ascii="Calibri" w:hAnsi="Calibri"/>
                <w:b w:val="0"/>
                <w:i w:val="0"/>
                <w:color w:val="101828"/>
                <w:sz w:val="13"/>
              </w:rPr>
              <w:t>Empty (no Ajo), all paid, mixed, defaulted</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3"/>
              </w:rPr>
              <w:t>/app/contributions/:id/pay</w:t>
            </w:r>
          </w:p>
        </w:tc>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3"/>
              </w:rPr>
              <w:t>Pay Contribution — SCR-MOB-09</w:t>
            </w:r>
          </w:p>
        </w:tc>
        <w:tc>
          <w:tcPr>
            <w:tcW w:type="dxa" w:w="3283"/>
            <w:tcMar>
              <w:top w:w="60" w:type="dxa"/>
              <w:start w:w="110" w:type="dxa"/>
              <w:bottom w:w="60" w:type="dxa"/>
              <w:end w:w="110" w:type="dxa"/>
            </w:tcMar>
            <w:shd w:val="clear" w:color="auto" w:fill="F4F7FB"/>
          </w:tcPr>
          <w:p>
            <w:pPr>
              <w:spacing w:after="0"/>
            </w:pPr>
            <w:r/>
            <w:r>
              <w:rPr>
                <w:rFonts w:ascii="Calibri" w:hAnsi="Calibri"/>
                <w:b/>
                <w:color w:val="101828"/>
                <w:sz w:val="13"/>
              </w:rPr>
              <w:t>Fee-disclosure surface.</w:t>
            </w:r>
            <w:r>
              <w:rPr>
                <w:rFonts w:ascii="Calibri" w:hAnsi="Calibri"/>
                <w:b w:val="0"/>
                <w:i w:val="0"/>
                <w:color w:val="101828"/>
                <w:sz w:val="13"/>
              </w:rPr>
              <w:t xml:space="preserve"> Itemised: contribution NGN 1,000.00, platform fee NGN 20.00, total charged NGN 1,020.00. Method selection, then commit.</w:t>
            </w:r>
          </w:p>
        </w:tc>
        <w:tc>
          <w:tcPr>
            <w:tcW w:type="dxa" w:w="1296"/>
            <w:tcMar>
              <w:top w:w="60" w:type="dxa"/>
              <w:start w:w="110" w:type="dxa"/>
              <w:bottom w:w="60" w:type="dxa"/>
              <w:end w:w="110" w:type="dxa"/>
            </w:tcMar>
            <w:shd w:val="clear" w:color="auto" w:fill="F4F7FB"/>
          </w:tcPr>
          <w:p>
            <w:pPr>
              <w:spacing w:after="0"/>
            </w:pPr>
            <w:r/>
            <w:r>
              <w:rPr>
                <w:rFonts w:ascii="Consolas" w:hAnsi="Consolas"/>
                <w:color w:val="146EF5"/>
                <w:sz w:val="13"/>
              </w:rPr>
              <w:t>ajo_member</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Due, overdue, in grace, already paid, expired authorisation</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3"/>
              </w:rPr>
              <w:t>/app/contributions/:id/processing</w:t>
            </w:r>
          </w:p>
        </w:tc>
        <w:tc>
          <w:tcPr>
            <w:tcW w:type="dxa" w:w="1958"/>
            <w:tcMar>
              <w:top w:w="60" w:type="dxa"/>
              <w:start w:w="110" w:type="dxa"/>
              <w:bottom w:w="60" w:type="dxa"/>
              <w:end w:w="110" w:type="dxa"/>
            </w:tcMar>
          </w:tcPr>
          <w:p>
            <w:pPr>
              <w:spacing w:after="0"/>
            </w:pPr>
            <w:r/>
            <w:r>
              <w:rPr>
                <w:rFonts w:ascii="Calibri" w:hAnsi="Calibri"/>
                <w:b w:val="0"/>
                <w:i w:val="0"/>
                <w:color w:val="101828"/>
                <w:sz w:val="13"/>
              </w:rPr>
              <w:t>Payment processing — SCR-MOB-10</w:t>
            </w:r>
          </w:p>
        </w:tc>
        <w:tc>
          <w:tcPr>
            <w:tcW w:type="dxa" w:w="3283"/>
            <w:tcMar>
              <w:top w:w="60" w:type="dxa"/>
              <w:start w:w="110" w:type="dxa"/>
              <w:bottom w:w="60" w:type="dxa"/>
              <w:end w:w="110" w:type="dxa"/>
            </w:tcMar>
          </w:tcPr>
          <w:p>
            <w:pPr>
              <w:spacing w:after="0"/>
            </w:pPr>
            <w:r/>
            <w:r>
              <w:rPr>
                <w:rFonts w:ascii="Calibri" w:hAnsi="Calibri"/>
                <w:b w:val="0"/>
                <w:i w:val="0"/>
                <w:color w:val="101828"/>
                <w:sz w:val="13"/>
              </w:rPr>
              <w:t>Terminal handoff to the provider. Non-dismissable, shows the provider reference, survives refresh, polls until the webhook or the verify call resolves it.</w:t>
            </w:r>
          </w:p>
        </w:tc>
        <w:tc>
          <w:tcPr>
            <w:tcW w:type="dxa" w:w="1296"/>
            <w:tcMar>
              <w:top w:w="60" w:type="dxa"/>
              <w:start w:w="110" w:type="dxa"/>
              <w:bottom w:w="60" w:type="dxa"/>
              <w:end w:w="110" w:type="dxa"/>
            </w:tcMar>
          </w:tcPr>
          <w:p>
            <w:pPr>
              <w:spacing w:after="0"/>
            </w:pPr>
            <w:r/>
            <w:r>
              <w:rPr>
                <w:rFonts w:ascii="Consolas" w:hAnsi="Consolas"/>
                <w:color w:val="146EF5"/>
                <w:sz w:val="13"/>
              </w:rPr>
              <w:t>ajo_member</w:t>
            </w:r>
          </w:p>
        </w:tc>
        <w:tc>
          <w:tcPr>
            <w:tcW w:type="dxa" w:w="1699"/>
            <w:tcMar>
              <w:top w:w="60" w:type="dxa"/>
              <w:start w:w="110" w:type="dxa"/>
              <w:bottom w:w="60" w:type="dxa"/>
              <w:end w:w="110" w:type="dxa"/>
            </w:tcMar>
          </w:tcPr>
          <w:p>
            <w:pPr>
              <w:spacing w:after="0"/>
            </w:pPr>
            <w:r/>
            <w:r>
              <w:rPr>
                <w:rFonts w:ascii="Consolas" w:hAnsi="Consolas"/>
                <w:color w:val="146EF5"/>
                <w:sz w:val="13"/>
              </w:rPr>
              <w:t>INITIATED</w:t>
            </w:r>
            <w:r>
              <w:rPr>
                <w:rFonts w:ascii="Calibri" w:hAnsi="Calibri"/>
                <w:b w:val="0"/>
                <w:i w:val="0"/>
                <w:color w:val="101828"/>
                <w:sz w:val="13"/>
              </w:rPr>
              <w:t xml:space="preserve">, </w:t>
            </w:r>
            <w:r>
              <w:rPr>
                <w:rFonts w:ascii="Consolas" w:hAnsi="Consolas"/>
                <w:color w:val="146EF5"/>
                <w:sz w:val="13"/>
              </w:rPr>
              <w:t>PENDING</w:t>
            </w:r>
            <w:r>
              <w:rPr>
                <w:rFonts w:ascii="Calibri" w:hAnsi="Calibri"/>
                <w:b w:val="0"/>
                <w:i w:val="0"/>
                <w:color w:val="101828"/>
                <w:sz w:val="13"/>
              </w:rPr>
              <w:t xml:space="preserve">, </w:t>
            </w:r>
            <w:r>
              <w:rPr>
                <w:rFonts w:ascii="Consolas" w:hAnsi="Consolas"/>
                <w:color w:val="146EF5"/>
                <w:sz w:val="13"/>
              </w:rPr>
              <w:t>UNKNOWN</w:t>
            </w:r>
            <w:r>
              <w:rPr>
                <w:rFonts w:ascii="Calibri" w:hAnsi="Calibri"/>
                <w:b w:val="0"/>
                <w:i w:val="0"/>
                <w:color w:val="101828"/>
                <w:sz w:val="13"/>
              </w:rPr>
              <w:t xml:space="preserve">, </w:t>
            </w:r>
            <w:r>
              <w:rPr>
                <w:rFonts w:ascii="Consolas" w:hAnsi="Consolas"/>
                <w:color w:val="146EF5"/>
                <w:sz w:val="13"/>
              </w:rPr>
              <w:t>FAILED</w:t>
            </w:r>
            <w:r>
              <w:rPr>
                <w:rFonts w:ascii="Calibri" w:hAnsi="Calibri"/>
                <w:b w:val="0"/>
                <w:i w:val="0"/>
                <w:color w:val="101828"/>
                <w:sz w:val="13"/>
              </w:rPr>
              <w:t xml:space="preserve">, </w:t>
            </w:r>
            <w:r>
              <w:rPr>
                <w:rFonts w:ascii="Consolas" w:hAnsi="Consolas"/>
                <w:color w:val="146EF5"/>
                <w:sz w:val="13"/>
              </w:rPr>
              <w:t>CANCELLED</w:t>
            </w:r>
            <w:r>
              <w:rPr>
                <w:rFonts w:ascii="Calibri" w:hAnsi="Calibri"/>
                <w:b w:val="0"/>
                <w:i w:val="0"/>
                <w:color w:val="101828"/>
                <w:sz w:val="13"/>
              </w:rPr>
              <w:t xml:space="preserve">, </w:t>
            </w:r>
            <w:r>
              <w:rPr>
                <w:rFonts w:ascii="Consolas" w:hAnsi="Consolas"/>
                <w:color w:val="146EF5"/>
                <w:sz w:val="13"/>
              </w:rPr>
              <w:t>REVERSED</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3"/>
              </w:rPr>
              <w:t>/app/contributions/:id/receipt</w:t>
            </w:r>
          </w:p>
        </w:tc>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3"/>
              </w:rPr>
              <w:t>Payment receipt — SCR-MOB-11</w:t>
            </w:r>
          </w:p>
        </w:tc>
        <w:tc>
          <w:tcPr>
            <w:tcW w:type="dxa" w:w="3283"/>
            <w:tcMar>
              <w:top w:w="60" w:type="dxa"/>
              <w:start w:w="110" w:type="dxa"/>
              <w:bottom w:w="60" w:type="dxa"/>
              <w:end w:w="110" w:type="dxa"/>
            </w:tcMar>
            <w:shd w:val="clear" w:color="auto" w:fill="F4F7FB"/>
          </w:tcPr>
          <w:p>
            <w:pPr>
              <w:spacing w:after="0"/>
            </w:pPr>
            <w:r/>
            <w:r>
              <w:rPr>
                <w:rFonts w:ascii="Calibri" w:hAnsi="Calibri"/>
                <w:b/>
                <w:color w:val="101828"/>
                <w:sz w:val="13"/>
              </w:rPr>
              <w:t>Fee-disclosure surface.</w:t>
            </w:r>
            <w:r>
              <w:rPr>
                <w:rFonts w:ascii="Calibri" w:hAnsi="Calibri"/>
                <w:b w:val="0"/>
                <w:i w:val="0"/>
                <w:color w:val="101828"/>
                <w:sz w:val="13"/>
              </w:rPr>
              <w:t xml:space="preserve"> Contribution, fee and total as three separate lines. Downloadable. Never mutated; a correction is a reversing entry and appears as a second receipt (BR-024, hard rule).</w:t>
            </w:r>
          </w:p>
        </w:tc>
        <w:tc>
          <w:tcPr>
            <w:tcW w:type="dxa" w:w="1296"/>
            <w:tcMar>
              <w:top w:w="60" w:type="dxa"/>
              <w:start w:w="110" w:type="dxa"/>
              <w:bottom w:w="60" w:type="dxa"/>
              <w:end w:w="110" w:type="dxa"/>
            </w:tcMar>
            <w:shd w:val="clear" w:color="auto" w:fill="F4F7FB"/>
          </w:tcPr>
          <w:p>
            <w:pPr>
              <w:spacing w:after="0"/>
            </w:pPr>
            <w:r/>
            <w:r>
              <w:rPr>
                <w:rFonts w:ascii="Consolas" w:hAnsi="Consolas"/>
                <w:color w:val="146EF5"/>
                <w:sz w:val="13"/>
              </w:rPr>
              <w:t>ajo_member</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Success, reversed, refunded</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3"/>
              </w:rPr>
              <w:t>/app/ajos/:id/payouts</w:t>
            </w:r>
          </w:p>
        </w:tc>
        <w:tc>
          <w:tcPr>
            <w:tcW w:type="dxa" w:w="1958"/>
            <w:tcMar>
              <w:top w:w="60" w:type="dxa"/>
              <w:start w:w="110" w:type="dxa"/>
              <w:bottom w:w="60" w:type="dxa"/>
              <w:end w:w="110" w:type="dxa"/>
            </w:tcMar>
          </w:tcPr>
          <w:p>
            <w:pPr>
              <w:spacing w:after="0"/>
            </w:pPr>
            <w:r/>
            <w:r>
              <w:rPr>
                <w:rFonts w:ascii="Consolas" w:hAnsi="Consolas"/>
                <w:color w:val="146EF5"/>
                <w:sz w:val="13"/>
              </w:rPr>
              <w:t>/app/payouts</w:t>
            </w:r>
            <w:r>
              <w:rPr>
                <w:rFonts w:ascii="Calibri" w:hAnsi="Calibri"/>
                <w:b w:val="0"/>
                <w:i w:val="0"/>
                <w:color w:val="101828"/>
                <w:sz w:val="13"/>
              </w:rPr>
              <w:t xml:space="preserve"> — SCR-MOB-12</w:t>
            </w:r>
          </w:p>
        </w:tc>
        <w:tc>
          <w:tcPr>
            <w:tcW w:type="dxa" w:w="3283"/>
            <w:tcMar>
              <w:top w:w="60" w:type="dxa"/>
              <w:start w:w="110" w:type="dxa"/>
              <w:bottom w:w="60" w:type="dxa"/>
              <w:end w:w="110" w:type="dxa"/>
            </w:tcMar>
          </w:tcPr>
          <w:p>
            <w:pPr>
              <w:spacing w:after="0"/>
            </w:pPr>
            <w:r/>
            <w:r>
              <w:rPr>
                <w:rFonts w:ascii="Calibri" w:hAnsi="Calibri"/>
                <w:b w:val="0"/>
                <w:i w:val="0"/>
                <w:color w:val="101828"/>
                <w:sz w:val="13"/>
              </w:rPr>
              <w:t>Payout schedule and history. Who is due, when, from which round, and the base pool they will receive — never the collected total.</w:t>
            </w:r>
          </w:p>
        </w:tc>
        <w:tc>
          <w:tcPr>
            <w:tcW w:type="dxa" w:w="1296"/>
            <w:tcMar>
              <w:top w:w="60" w:type="dxa"/>
              <w:start w:w="110" w:type="dxa"/>
              <w:bottom w:w="60" w:type="dxa"/>
              <w:end w:w="110" w:type="dxa"/>
            </w:tcMar>
          </w:tcPr>
          <w:p>
            <w:pPr>
              <w:spacing w:after="0"/>
            </w:pPr>
            <w:r/>
            <w:r>
              <w:rPr>
                <w:rFonts w:ascii="Calibri" w:hAnsi="Calibri"/>
                <w:b w:val="0"/>
                <w:i w:val="0"/>
                <w:color w:val="101828"/>
                <w:sz w:val="13"/>
              </w:rPr>
              <w:t>All tier-2 (scoped)</w:t>
            </w:r>
          </w:p>
        </w:tc>
        <w:tc>
          <w:tcPr>
            <w:tcW w:type="dxa" w:w="1699"/>
            <w:tcMar>
              <w:top w:w="60" w:type="dxa"/>
              <w:start w:w="110" w:type="dxa"/>
              <w:bottom w:w="60" w:type="dxa"/>
              <w:end w:w="110" w:type="dxa"/>
            </w:tcMar>
          </w:tcPr>
          <w:p>
            <w:pPr>
              <w:spacing w:after="0"/>
            </w:pPr>
            <w:r/>
            <w:r>
              <w:rPr>
                <w:rFonts w:ascii="Consolas" w:hAnsi="Consolas"/>
                <w:color w:val="146EF5"/>
                <w:sz w:val="13"/>
              </w:rPr>
              <w:t>SCHEDULED</w:t>
            </w:r>
            <w:r>
              <w:rPr>
                <w:rFonts w:ascii="Calibri" w:hAnsi="Calibri"/>
                <w:b w:val="0"/>
                <w:i w:val="0"/>
                <w:color w:val="101828"/>
                <w:sz w:val="13"/>
              </w:rPr>
              <w:t xml:space="preserve">, </w:t>
            </w:r>
            <w:r>
              <w:rPr>
                <w:rFonts w:ascii="Consolas" w:hAnsi="Consolas"/>
                <w:color w:val="146EF5"/>
                <w:sz w:val="13"/>
              </w:rPr>
              <w:t>FUNDING</w:t>
            </w:r>
            <w:r>
              <w:rPr>
                <w:rFonts w:ascii="Calibri" w:hAnsi="Calibri"/>
                <w:b w:val="0"/>
                <w:i w:val="0"/>
                <w:color w:val="101828"/>
                <w:sz w:val="13"/>
              </w:rPr>
              <w:t xml:space="preserve">, </w:t>
            </w:r>
            <w:r>
              <w:rPr>
                <w:rFonts w:ascii="Consolas" w:hAnsi="Consolas"/>
                <w:color w:val="146EF5"/>
                <w:sz w:val="13"/>
              </w:rPr>
              <w:t>RELEASED</w:t>
            </w:r>
            <w:r>
              <w:rPr>
                <w:rFonts w:ascii="Calibri" w:hAnsi="Calibri"/>
                <w:b w:val="0"/>
                <w:i w:val="0"/>
                <w:color w:val="101828"/>
                <w:sz w:val="13"/>
              </w:rPr>
              <w:t xml:space="preserve">, </w:t>
            </w:r>
            <w:r>
              <w:rPr>
                <w:rFonts w:ascii="Consolas" w:hAnsi="Consolas"/>
                <w:color w:val="146EF5"/>
                <w:sz w:val="13"/>
              </w:rPr>
              <w:t>SUCCESS</w:t>
            </w:r>
            <w:r>
              <w:rPr>
                <w:rFonts w:ascii="Calibri" w:hAnsi="Calibri"/>
                <w:b w:val="0"/>
                <w:i w:val="0"/>
                <w:color w:val="101828"/>
                <w:sz w:val="13"/>
              </w:rPr>
              <w:t xml:space="preserve">, </w:t>
            </w:r>
            <w:r>
              <w:rPr>
                <w:rFonts w:ascii="Consolas" w:hAnsi="Consolas"/>
                <w:color w:val="146EF5"/>
                <w:sz w:val="13"/>
              </w:rPr>
              <w:t>FAILED</w:t>
            </w:r>
            <w:r>
              <w:rPr>
                <w:rFonts w:ascii="Calibri" w:hAnsi="Calibri"/>
                <w:b w:val="0"/>
                <w:i w:val="0"/>
                <w:color w:val="101828"/>
                <w:sz w:val="13"/>
              </w:rPr>
              <w:t xml:space="preserve">, </w:t>
            </w:r>
            <w:r>
              <w:rPr>
                <w:rFonts w:ascii="Consolas" w:hAnsi="Consolas"/>
                <w:color w:val="146EF5"/>
                <w:sz w:val="13"/>
              </w:rPr>
              <w:t>HELD</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3"/>
              </w:rPr>
              <w:t>/app/payouts/:id</w:t>
            </w:r>
          </w:p>
        </w:tc>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3"/>
              </w:rPr>
              <w:t>Payout detail — SCR-MOB-13</w:t>
            </w:r>
          </w:p>
        </w:tc>
        <w:tc>
          <w:tcPr>
            <w:tcW w:type="dxa" w:w="3283"/>
            <w:tcMar>
              <w:top w:w="60" w:type="dxa"/>
              <w:start w:w="110" w:type="dxa"/>
              <w:bottom w:w="60" w:type="dxa"/>
              <w:end w:w="110" w:type="dxa"/>
            </w:tcMar>
            <w:shd w:val="clear" w:color="auto" w:fill="F4F7FB"/>
          </w:tcPr>
          <w:p>
            <w:pPr>
              <w:spacing w:after="0"/>
            </w:pPr>
            <w:r/>
            <w:r>
              <w:rPr>
                <w:rFonts w:ascii="Calibri" w:hAnsi="Calibri"/>
                <w:b w:val="0"/>
                <w:i w:val="0"/>
                <w:color w:val="101828"/>
                <w:sz w:val="13"/>
              </w:rPr>
              <w:t xml:space="preserve">One payout: base pool, funding progress, provider reference, and — if </w:t>
            </w:r>
            <w:r>
              <w:rPr>
                <w:rFonts w:ascii="Consolas" w:hAnsi="Consolas"/>
                <w:color w:val="146EF5"/>
                <w:sz w:val="13"/>
              </w:rPr>
              <w:t>HELD</w:t>
            </w:r>
            <w:r>
              <w:rPr>
                <w:rFonts w:ascii="Calibri" w:hAnsi="Calibri"/>
                <w:b w:val="0"/>
                <w:i w:val="0"/>
                <w:color w:val="101828"/>
                <w:sz w:val="13"/>
              </w:rPr>
              <w:t xml:space="preserve"> — the plain statement that the round is short and no other member will be charged extra (C: payout funding principle).</w:t>
            </w:r>
          </w:p>
        </w:tc>
        <w:tc>
          <w:tcPr>
            <w:tcW w:type="dxa" w:w="1296"/>
            <w:tcMar>
              <w:top w:w="60" w:type="dxa"/>
              <w:start w:w="110" w:type="dxa"/>
              <w:bottom w:w="60" w:type="dxa"/>
              <w:end w:w="110" w:type="dxa"/>
            </w:tcMar>
            <w:shd w:val="clear" w:color="auto" w:fill="F4F7FB"/>
          </w:tcPr>
          <w:p>
            <w:pPr>
              <w:spacing w:after="0"/>
            </w:pPr>
            <w:r/>
            <w:r>
              <w:rPr>
                <w:rFonts w:ascii="Consolas" w:hAnsi="Consolas"/>
                <w:color w:val="146EF5"/>
                <w:sz w:val="13"/>
              </w:rPr>
              <w:t>ajo_member</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As above, plus retry-pending</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3"/>
              </w:rPr>
              <w:t>/app/transactions</w:t>
            </w:r>
          </w:p>
        </w:tc>
        <w:tc>
          <w:tcPr>
            <w:tcW w:type="dxa" w:w="1958"/>
            <w:tcMar>
              <w:top w:w="60" w:type="dxa"/>
              <w:start w:w="110" w:type="dxa"/>
              <w:bottom w:w="60" w:type="dxa"/>
              <w:end w:w="110" w:type="dxa"/>
            </w:tcMar>
          </w:tcPr>
          <w:p>
            <w:pPr>
              <w:spacing w:after="0"/>
            </w:pPr>
            <w:r/>
            <w:r>
              <w:rPr>
                <w:rFonts w:ascii="Calibri" w:hAnsi="Calibri"/>
                <w:b w:val="0"/>
                <w:i w:val="0"/>
                <w:color w:val="101828"/>
                <w:sz w:val="13"/>
              </w:rPr>
              <w:t>Transactions / Statement — SCR-MOB-14</w:t>
            </w:r>
          </w:p>
        </w:tc>
        <w:tc>
          <w:tcPr>
            <w:tcW w:type="dxa" w:w="3283"/>
            <w:tcMar>
              <w:top w:w="60" w:type="dxa"/>
              <w:start w:w="110" w:type="dxa"/>
              <w:bottom w:w="60" w:type="dxa"/>
              <w:end w:w="110" w:type="dxa"/>
            </w:tcMar>
          </w:tcPr>
          <w:p>
            <w:pPr>
              <w:spacing w:after="0"/>
            </w:pPr>
            <w:r/>
            <w:r>
              <w:rPr>
                <w:rFonts w:ascii="Calibri" w:hAnsi="Calibri"/>
                <w:b w:val="0"/>
                <w:i w:val="0"/>
                <w:color w:val="101828"/>
                <w:sz w:val="13"/>
              </w:rPr>
              <w:t>The member's complete financial record, chronological, with statement period export. The screen a member screenshots to their own records.</w:t>
            </w:r>
          </w:p>
        </w:tc>
        <w:tc>
          <w:tcPr>
            <w:tcW w:type="dxa" w:w="1296"/>
            <w:tcMar>
              <w:top w:w="60" w:type="dxa"/>
              <w:start w:w="110" w:type="dxa"/>
              <w:bottom w:w="60" w:type="dxa"/>
              <w:end w:w="110" w:type="dxa"/>
            </w:tcMar>
          </w:tcPr>
          <w:p>
            <w:pPr>
              <w:spacing w:after="0"/>
            </w:pPr>
            <w:r/>
            <w:r>
              <w:rPr>
                <w:rFonts w:ascii="Calibri" w:hAnsi="Calibri"/>
                <w:b w:val="0"/>
                <w:i w:val="0"/>
                <w:color w:val="101828"/>
                <w:sz w:val="13"/>
              </w:rPr>
              <w:t>All tier-2</w:t>
            </w:r>
          </w:p>
        </w:tc>
        <w:tc>
          <w:tcPr>
            <w:tcW w:type="dxa" w:w="1699"/>
            <w:tcMar>
              <w:top w:w="60" w:type="dxa"/>
              <w:start w:w="110" w:type="dxa"/>
              <w:bottom w:w="60" w:type="dxa"/>
              <w:end w:w="110" w:type="dxa"/>
            </w:tcMar>
          </w:tcPr>
          <w:p>
            <w:pPr>
              <w:spacing w:after="0"/>
            </w:pPr>
            <w:r/>
            <w:r>
              <w:rPr>
                <w:rFonts w:ascii="Calibri" w:hAnsi="Calibri"/>
                <w:b w:val="0"/>
                <w:i w:val="0"/>
                <w:color w:val="101828"/>
                <w:sz w:val="13"/>
              </w:rPr>
              <w:t>Empty, single period, cross-Ajo, long range</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3"/>
              </w:rPr>
              <w:t>/app/notifications</w:t>
            </w:r>
          </w:p>
        </w:tc>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3"/>
              </w:rPr>
              <w:t>Notifications centre — SCR-MOB-15</w:t>
            </w:r>
          </w:p>
        </w:tc>
        <w:tc>
          <w:tcPr>
            <w:tcW w:type="dxa" w:w="3283"/>
            <w:tcMar>
              <w:top w:w="60" w:type="dxa"/>
              <w:start w:w="110" w:type="dxa"/>
              <w:bottom w:w="60" w:type="dxa"/>
              <w:end w:w="110" w:type="dxa"/>
            </w:tcMar>
            <w:shd w:val="clear" w:color="auto" w:fill="F4F7FB"/>
          </w:tcPr>
          <w:p>
            <w:pPr>
              <w:spacing w:after="0"/>
            </w:pPr>
            <w:r/>
            <w:r>
              <w:rPr>
                <w:rFonts w:ascii="Calibri" w:hAnsi="Calibri"/>
                <w:b w:val="0"/>
                <w:i w:val="0"/>
                <w:color w:val="101828"/>
                <w:sz w:val="13"/>
              </w:rPr>
              <w:t>The canonical catalogue from CANONICAL.md section 8, grouped by Ajo, with per-event read state and a per-category preference control.</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3"/>
              </w:rPr>
              <w:t>All tier-2</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Empty, unread-only, many Ajos, long history</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3"/>
              </w:rPr>
              <w:t>/app/disputes</w:t>
            </w:r>
          </w:p>
        </w:tc>
        <w:tc>
          <w:tcPr>
            <w:tcW w:type="dxa" w:w="1958"/>
            <w:tcMar>
              <w:top w:w="60" w:type="dxa"/>
              <w:start w:w="110" w:type="dxa"/>
              <w:bottom w:w="60" w:type="dxa"/>
              <w:end w:w="110" w:type="dxa"/>
            </w:tcMar>
          </w:tcPr>
          <w:p>
            <w:pPr>
              <w:spacing w:after="0"/>
            </w:pPr>
            <w:r/>
            <w:r>
              <w:rPr>
                <w:rFonts w:ascii="Calibri" w:hAnsi="Calibri"/>
                <w:b w:val="0"/>
                <w:i w:val="0"/>
                <w:color w:val="101828"/>
                <w:sz w:val="13"/>
              </w:rPr>
              <w:t>Disputes list — SCR-MOB-16</w:t>
            </w:r>
          </w:p>
        </w:tc>
        <w:tc>
          <w:tcPr>
            <w:tcW w:type="dxa" w:w="3283"/>
            <w:tcMar>
              <w:top w:w="60" w:type="dxa"/>
              <w:start w:w="110" w:type="dxa"/>
              <w:bottom w:w="60" w:type="dxa"/>
              <w:end w:w="110" w:type="dxa"/>
            </w:tcMar>
          </w:tcPr>
          <w:p>
            <w:pPr>
              <w:spacing w:after="0"/>
            </w:pPr>
            <w:r/>
            <w:r>
              <w:rPr>
                <w:rFonts w:ascii="Calibri" w:hAnsi="Calibri"/>
                <w:b w:val="0"/>
                <w:i w:val="0"/>
                <w:color w:val="101828"/>
                <w:sz w:val="13"/>
              </w:rPr>
              <w:t>Raised and open disputes with state and last activity. Default handling is not a dispute by default — the member is offered a dispute only after the recovery path is engaged.</w:t>
            </w:r>
          </w:p>
        </w:tc>
        <w:tc>
          <w:tcPr>
            <w:tcW w:type="dxa" w:w="1296"/>
            <w:tcMar>
              <w:top w:w="60" w:type="dxa"/>
              <w:start w:w="110" w:type="dxa"/>
              <w:bottom w:w="60" w:type="dxa"/>
              <w:end w:w="110" w:type="dxa"/>
            </w:tcMar>
          </w:tcPr>
          <w:p>
            <w:pPr>
              <w:spacing w:after="0"/>
            </w:pPr>
            <w:r/>
            <w:r>
              <w:rPr>
                <w:rFonts w:ascii="Consolas" w:hAnsi="Consolas"/>
                <w:color w:val="146EF5"/>
                <w:sz w:val="13"/>
              </w:rPr>
              <w:t>ajo_member</w:t>
            </w:r>
          </w:p>
        </w:tc>
        <w:tc>
          <w:tcPr>
            <w:tcW w:type="dxa" w:w="1699"/>
            <w:tcMar>
              <w:top w:w="60" w:type="dxa"/>
              <w:start w:w="110" w:type="dxa"/>
              <w:bottom w:w="60" w:type="dxa"/>
              <w:end w:w="110" w:type="dxa"/>
            </w:tcMar>
          </w:tcPr>
          <w:p>
            <w:pPr>
              <w:spacing w:after="0"/>
            </w:pPr>
            <w:r/>
            <w:r>
              <w:rPr>
                <w:rFonts w:ascii="Calibri" w:hAnsi="Calibri"/>
                <w:b w:val="0"/>
                <w:i w:val="0"/>
                <w:color w:val="101828"/>
                <w:sz w:val="13"/>
              </w:rPr>
              <w:t>Empty, open, resolved, escalated</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3"/>
              </w:rPr>
              <w:t>/app/disputes/new</w:t>
            </w:r>
          </w:p>
        </w:tc>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3"/>
              </w:rPr>
              <w:t>New dispute — SCR-MOB-17</w:t>
            </w:r>
          </w:p>
        </w:tc>
        <w:tc>
          <w:tcPr>
            <w:tcW w:type="dxa" w:w="3283"/>
            <w:tcMar>
              <w:top w:w="60" w:type="dxa"/>
              <w:start w:w="110" w:type="dxa"/>
              <w:bottom w:w="60" w:type="dxa"/>
              <w:end w:w="110" w:type="dxa"/>
            </w:tcMar>
            <w:shd w:val="clear" w:color="auto" w:fill="F4F7FB"/>
          </w:tcPr>
          <w:p>
            <w:pPr>
              <w:spacing w:after="0"/>
            </w:pPr>
            <w:r/>
            <w:r>
              <w:rPr>
                <w:rFonts w:ascii="Calibri" w:hAnsi="Calibri"/>
                <w:b w:val="0"/>
                <w:i w:val="0"/>
                <w:color w:val="101828"/>
                <w:sz w:val="13"/>
              </w:rPr>
              <w:t>Category, amount, narrative, evidence upload. Warns that a dispute does not stop a payout that is already funded, and does not stop the recovery process.</w:t>
            </w:r>
          </w:p>
        </w:tc>
        <w:tc>
          <w:tcPr>
            <w:tcW w:type="dxa" w:w="1296"/>
            <w:tcMar>
              <w:top w:w="60" w:type="dxa"/>
              <w:start w:w="110" w:type="dxa"/>
              <w:bottom w:w="60" w:type="dxa"/>
              <w:end w:w="110" w:type="dxa"/>
            </w:tcMar>
            <w:shd w:val="clear" w:color="auto" w:fill="F4F7FB"/>
          </w:tcPr>
          <w:p>
            <w:pPr>
              <w:spacing w:after="0"/>
            </w:pPr>
            <w:r/>
            <w:r>
              <w:rPr>
                <w:rFonts w:ascii="Consolas" w:hAnsi="Consolas"/>
                <w:color w:val="146EF5"/>
                <w:sz w:val="13"/>
              </w:rPr>
              <w:t>ajo_member</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Draft, validation, evidence too large, upload failed</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3"/>
              </w:rPr>
              <w:t>/app/disputes/:id</w:t>
            </w:r>
          </w:p>
        </w:tc>
        <w:tc>
          <w:tcPr>
            <w:tcW w:type="dxa" w:w="1958"/>
            <w:tcMar>
              <w:top w:w="60" w:type="dxa"/>
              <w:start w:w="110" w:type="dxa"/>
              <w:bottom w:w="60" w:type="dxa"/>
              <w:end w:w="110" w:type="dxa"/>
            </w:tcMar>
          </w:tcPr>
          <w:p>
            <w:pPr>
              <w:spacing w:after="0"/>
            </w:pPr>
            <w:r/>
            <w:r>
              <w:rPr>
                <w:rFonts w:ascii="Calibri" w:hAnsi="Calibri"/>
                <w:b w:val="0"/>
                <w:i w:val="0"/>
                <w:color w:val="101828"/>
                <w:sz w:val="13"/>
              </w:rPr>
              <w:t>Dispute thread — SCR-MOB-18</w:t>
            </w:r>
          </w:p>
        </w:tc>
        <w:tc>
          <w:tcPr>
            <w:tcW w:type="dxa" w:w="3283"/>
            <w:tcMar>
              <w:top w:w="60" w:type="dxa"/>
              <w:start w:w="110" w:type="dxa"/>
              <w:bottom w:w="60" w:type="dxa"/>
              <w:end w:w="110" w:type="dxa"/>
            </w:tcMar>
          </w:tcPr>
          <w:p>
            <w:pPr>
              <w:spacing w:after="0"/>
            </w:pPr>
            <w:r/>
            <w:r>
              <w:rPr>
                <w:rFonts w:ascii="Calibri" w:hAnsi="Calibri"/>
                <w:b w:val="0"/>
                <w:i w:val="0"/>
                <w:color w:val="101828"/>
                <w:sz w:val="13"/>
              </w:rPr>
              <w:t>The conversation and evidence timeline, with the decision and its reasoning when resolved.</w:t>
            </w:r>
          </w:p>
        </w:tc>
        <w:tc>
          <w:tcPr>
            <w:tcW w:type="dxa" w:w="1296"/>
            <w:tcMar>
              <w:top w:w="60" w:type="dxa"/>
              <w:start w:w="110" w:type="dxa"/>
              <w:bottom w:w="60" w:type="dxa"/>
              <w:end w:w="110" w:type="dxa"/>
            </w:tcMar>
          </w:tcPr>
          <w:p>
            <w:pPr>
              <w:spacing w:after="0"/>
            </w:pPr>
            <w:r/>
            <w:r>
              <w:rPr>
                <w:rFonts w:ascii="Calibri" w:hAnsi="Calibri"/>
                <w:b w:val="0"/>
                <w:i w:val="0"/>
                <w:color w:val="101828"/>
                <w:sz w:val="13"/>
              </w:rPr>
              <w:t xml:space="preserve">Parties + </w:t>
            </w:r>
            <w:r>
              <w:rPr>
                <w:rFonts w:ascii="Consolas" w:hAnsi="Consolas"/>
                <w:color w:val="146EF5"/>
                <w:sz w:val="13"/>
              </w:rPr>
              <w:t>support</w:t>
            </w:r>
          </w:p>
        </w:tc>
        <w:tc>
          <w:tcPr>
            <w:tcW w:type="dxa" w:w="1699"/>
            <w:tcMar>
              <w:top w:w="60" w:type="dxa"/>
              <w:start w:w="110" w:type="dxa"/>
              <w:bottom w:w="60" w:type="dxa"/>
              <w:end w:w="110" w:type="dxa"/>
            </w:tcMar>
          </w:tcPr>
          <w:p>
            <w:pPr>
              <w:spacing w:after="0"/>
            </w:pPr>
            <w:r/>
            <w:r>
              <w:rPr>
                <w:rFonts w:ascii="Calibri" w:hAnsi="Calibri"/>
                <w:b w:val="0"/>
                <w:i w:val="0"/>
                <w:color w:val="101828"/>
                <w:sz w:val="13"/>
              </w:rPr>
              <w:t>Open, awaiting member, awaiting platform, resolved, escalated</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3"/>
              </w:rPr>
              <w:t>/app/profile</w:t>
            </w:r>
          </w:p>
        </w:tc>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3"/>
              </w:rPr>
              <w:t>Profile — SCR-MOB-19</w:t>
            </w:r>
          </w:p>
        </w:tc>
        <w:tc>
          <w:tcPr>
            <w:tcW w:type="dxa" w:w="3283"/>
            <w:tcMar>
              <w:top w:w="60" w:type="dxa"/>
              <w:start w:w="110" w:type="dxa"/>
              <w:bottom w:w="60" w:type="dxa"/>
              <w:end w:w="110" w:type="dxa"/>
            </w:tcMar>
            <w:shd w:val="clear" w:color="auto" w:fill="F4F7FB"/>
          </w:tcPr>
          <w:p>
            <w:pPr>
              <w:spacing w:after="0"/>
            </w:pPr>
            <w:r/>
            <w:r>
              <w:rPr>
                <w:rFonts w:ascii="Calibri" w:hAnsi="Calibri"/>
                <w:b w:val="0"/>
                <w:i w:val="0"/>
                <w:color w:val="101828"/>
                <w:sz w:val="13"/>
              </w:rPr>
              <w:t>Name, avatar, contact channels, and a read-only financial summary: paid to date, received to date, fees paid, active Ajos.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3"/>
              </w:rPr>
              <w:t>All tier-2</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Complete, incomplete, verification pending</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3"/>
              </w:rPr>
              <w:t>/app/settings</w:t>
            </w:r>
          </w:p>
        </w:tc>
        <w:tc>
          <w:tcPr>
            <w:tcW w:type="dxa" w:w="1958"/>
            <w:tcMar>
              <w:top w:w="60" w:type="dxa"/>
              <w:start w:w="110" w:type="dxa"/>
              <w:bottom w:w="60" w:type="dxa"/>
              <w:end w:w="110" w:type="dxa"/>
            </w:tcMar>
          </w:tcPr>
          <w:p>
            <w:pPr>
              <w:spacing w:after="0"/>
            </w:pPr>
            <w:r/>
            <w:r>
              <w:rPr>
                <w:rFonts w:ascii="Calibri" w:hAnsi="Calibri"/>
                <w:b w:val="0"/>
                <w:i w:val="0"/>
                <w:color w:val="101828"/>
                <w:sz w:val="13"/>
              </w:rPr>
              <w:t>Settings — SCR-MOB-20</w:t>
            </w:r>
          </w:p>
        </w:tc>
        <w:tc>
          <w:tcPr>
            <w:tcW w:type="dxa" w:w="3283"/>
            <w:tcMar>
              <w:top w:w="60" w:type="dxa"/>
              <w:start w:w="110" w:type="dxa"/>
              <w:bottom w:w="60" w:type="dxa"/>
              <w:end w:w="110" w:type="dxa"/>
            </w:tcMar>
          </w:tcPr>
          <w:p>
            <w:pPr>
              <w:spacing w:after="0"/>
            </w:pPr>
            <w:r/>
            <w:r>
              <w:rPr>
                <w:rFonts w:ascii="Calibri" w:hAnsi="Calibri"/>
                <w:b w:val="0"/>
                <w:i w:val="0"/>
                <w:color w:val="101828"/>
                <w:sz w:val="13"/>
              </w:rPr>
              <w:t xml:space="preserve">Notification channel matrix from CANONICAL.md section 8, language, timezone (stated, default </w:t>
            </w:r>
            <w:r>
              <w:rPr>
                <w:rFonts w:ascii="Consolas" w:hAnsi="Consolas"/>
                <w:color w:val="146EF5"/>
                <w:sz w:val="13"/>
              </w:rPr>
              <w:t>Africa/Lagos</w:t>
            </w:r>
            <w:r>
              <w:rPr>
                <w:rFonts w:ascii="Calibri" w:hAnsi="Calibri"/>
                <w:b w:val="0"/>
                <w:i w:val="0"/>
                <w:color w:val="101828"/>
                <w:sz w:val="13"/>
              </w:rPr>
              <w:t>), and data rights.</w:t>
            </w:r>
          </w:p>
        </w:tc>
        <w:tc>
          <w:tcPr>
            <w:tcW w:type="dxa" w:w="1296"/>
            <w:tcMar>
              <w:top w:w="60" w:type="dxa"/>
              <w:start w:w="110" w:type="dxa"/>
              <w:bottom w:w="60" w:type="dxa"/>
              <w:end w:w="110" w:type="dxa"/>
            </w:tcMar>
          </w:tcPr>
          <w:p>
            <w:pPr>
              <w:spacing w:after="0"/>
            </w:pPr>
            <w:r/>
            <w:r>
              <w:rPr>
                <w:rFonts w:ascii="Calibri" w:hAnsi="Calibri"/>
                <w:b w:val="0"/>
                <w:i w:val="0"/>
                <w:color w:val="101828"/>
                <w:sz w:val="13"/>
              </w:rPr>
              <w:t>All tier-2</w:t>
            </w:r>
          </w:p>
        </w:tc>
        <w:tc>
          <w:tcPr>
            <w:tcW w:type="dxa" w:w="1699"/>
            <w:tcMar>
              <w:top w:w="60" w:type="dxa"/>
              <w:start w:w="110" w:type="dxa"/>
              <w:bottom w:w="60" w:type="dxa"/>
              <w:end w:w="110" w:type="dxa"/>
            </w:tcMar>
          </w:tcPr>
          <w:p>
            <w:pPr>
              <w:spacing w:after="0"/>
            </w:pPr>
            <w:r/>
            <w:r>
              <w:rPr>
                <w:rFonts w:ascii="Calibri" w:hAnsi="Calibri"/>
                <w:b w:val="0"/>
                <w:i w:val="0"/>
                <w:color w:val="101828"/>
                <w:sz w:val="13"/>
              </w:rPr>
              <w:t>Default, modified, SMS not permitted</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3"/>
              </w:rPr>
              <w:t>/app/settings/security</w:t>
            </w:r>
          </w:p>
        </w:tc>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3"/>
              </w:rPr>
              <w:t>Security — SCR-MOB-21</w:t>
            </w:r>
          </w:p>
        </w:tc>
        <w:tc>
          <w:tcPr>
            <w:tcW w:type="dxa" w:w="3283"/>
            <w:tcMar>
              <w:top w:w="60" w:type="dxa"/>
              <w:start w:w="110" w:type="dxa"/>
              <w:bottom w:w="60" w:type="dxa"/>
              <w:end w:w="110" w:type="dxa"/>
            </w:tcMar>
            <w:shd w:val="clear" w:color="auto" w:fill="F4F7FB"/>
          </w:tcPr>
          <w:p>
            <w:pPr>
              <w:spacing w:after="0"/>
            </w:pPr>
            <w:r/>
            <w:r>
              <w:rPr>
                <w:rFonts w:ascii="Calibri" w:hAnsi="Calibri"/>
                <w:b w:val="0"/>
                <w:i w:val="0"/>
                <w:color w:val="101828"/>
                <w:sz w:val="13"/>
              </w:rPr>
              <w:t>Password change, active sessions with device and last-seen, revoke one, revoke all, and new-device alerts.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3"/>
              </w:rPr>
              <w:t>All tier-2</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One session, many sessions, forced revoke after password reset</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3"/>
              </w:rPr>
              <w:t>/app/verification</w:t>
            </w:r>
          </w:p>
        </w:tc>
        <w:tc>
          <w:tcPr>
            <w:tcW w:type="dxa" w:w="1958"/>
            <w:tcMar>
              <w:top w:w="60" w:type="dxa"/>
              <w:start w:w="110" w:type="dxa"/>
              <w:bottom w:w="60" w:type="dxa"/>
              <w:end w:w="110" w:type="dxa"/>
            </w:tcMar>
          </w:tcPr>
          <w:p>
            <w:pPr>
              <w:spacing w:after="0"/>
            </w:pPr>
            <w:r/>
            <w:r>
              <w:rPr>
                <w:rFonts w:ascii="Calibri" w:hAnsi="Calibri"/>
                <w:b w:val="0"/>
                <w:i w:val="0"/>
                <w:color w:val="101828"/>
                <w:sz w:val="13"/>
              </w:rPr>
              <w:t>KYC / Verification — SCR-MOB-22</w:t>
            </w:r>
          </w:p>
        </w:tc>
        <w:tc>
          <w:tcPr>
            <w:tcW w:type="dxa" w:w="3283"/>
            <w:tcMar>
              <w:top w:w="60" w:type="dxa"/>
              <w:start w:w="110" w:type="dxa"/>
              <w:bottom w:w="60" w:type="dxa"/>
              <w:end w:w="110" w:type="dxa"/>
            </w:tcMar>
          </w:tcPr>
          <w:p>
            <w:pPr>
              <w:spacing w:after="0"/>
            </w:pPr>
            <w:r/>
            <w:r>
              <w:rPr>
                <w:rFonts w:ascii="Calibri" w:hAnsi="Calibri"/>
                <w:b w:val="0"/>
                <w:i w:val="0"/>
                <w:color w:val="101828"/>
                <w:sz w:val="13"/>
              </w:rPr>
              <w:t>Identity submission: NIN and BVN, liveness, address. States what is verified, by whom, and how long it is retained. Whether this is mandatory or threshold-based is D-04, open.</w:t>
            </w:r>
          </w:p>
        </w:tc>
        <w:tc>
          <w:tcPr>
            <w:tcW w:type="dxa" w:w="1296"/>
            <w:tcMar>
              <w:top w:w="60" w:type="dxa"/>
              <w:start w:w="110" w:type="dxa"/>
              <w:bottom w:w="60" w:type="dxa"/>
              <w:end w:w="110" w:type="dxa"/>
            </w:tcMar>
          </w:tcPr>
          <w:p>
            <w:pPr>
              <w:spacing w:after="0"/>
            </w:pPr>
            <w:r/>
            <w:r>
              <w:rPr>
                <w:rFonts w:ascii="Calibri" w:hAnsi="Calibri"/>
                <w:b w:val="0"/>
                <w:i w:val="0"/>
                <w:color w:val="101828"/>
                <w:sz w:val="13"/>
              </w:rPr>
              <w:t>All tier-2</w:t>
            </w:r>
          </w:p>
        </w:tc>
        <w:tc>
          <w:tcPr>
            <w:tcW w:type="dxa" w:w="1699"/>
            <w:tcMar>
              <w:top w:w="60" w:type="dxa"/>
              <w:start w:w="110" w:type="dxa"/>
              <w:bottom w:w="60" w:type="dxa"/>
              <w:end w:w="110" w:type="dxa"/>
            </w:tcMar>
          </w:tcPr>
          <w:p>
            <w:pPr>
              <w:spacing w:after="0"/>
            </w:pPr>
            <w:r/>
            <w:r>
              <w:rPr>
                <w:rFonts w:ascii="Calibri" w:hAnsi="Calibri"/>
                <w:b w:val="0"/>
                <w:i w:val="0"/>
                <w:color w:val="101828"/>
                <w:sz w:val="13"/>
              </w:rPr>
              <w:t>Not started, in review, approved, failed with reason, resubmittable</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3"/>
              </w:rPr>
              <w:t>/app/exit-request</w:t>
            </w:r>
          </w:p>
        </w:tc>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3"/>
              </w:rPr>
              <w:t>Replacement / exit request — SCR-MOB-25</w:t>
            </w:r>
          </w:p>
        </w:tc>
        <w:tc>
          <w:tcPr>
            <w:tcW w:type="dxa" w:w="3283"/>
            <w:tcMar>
              <w:top w:w="60" w:type="dxa"/>
              <w:start w:w="110" w:type="dxa"/>
              <w:bottom w:w="60" w:type="dxa"/>
              <w:end w:w="110" w:type="dxa"/>
            </w:tcMar>
            <w:shd w:val="clear" w:color="auto" w:fill="F4F7FB"/>
          </w:tcPr>
          <w:p>
            <w:pPr>
              <w:spacing w:after="0"/>
            </w:pPr>
            <w:r/>
            <w:r>
              <w:rPr>
                <w:rFonts w:ascii="Calibri" w:hAnsi="Calibri"/>
                <w:b w:val="0"/>
                <w:i w:val="0"/>
                <w:color w:val="101828"/>
                <w:sz w:val="13"/>
              </w:rPr>
              <w:t>The only sanctioned route out of an activated Ajo. Replacement member nomination, handover of the position, and a clear statement that the member remains liable until the replacement completes.</w:t>
            </w:r>
          </w:p>
        </w:tc>
        <w:tc>
          <w:tcPr>
            <w:tcW w:type="dxa" w:w="1296"/>
            <w:tcMar>
              <w:top w:w="60" w:type="dxa"/>
              <w:start w:w="110" w:type="dxa"/>
              <w:bottom w:w="60" w:type="dxa"/>
              <w:end w:w="110" w:type="dxa"/>
            </w:tcMar>
            <w:shd w:val="clear" w:color="auto" w:fill="F4F7FB"/>
          </w:tcPr>
          <w:p>
            <w:pPr>
              <w:spacing w:after="0"/>
            </w:pPr>
            <w:r/>
            <w:r>
              <w:rPr>
                <w:rFonts w:ascii="Consolas" w:hAnsi="Consolas"/>
                <w:color w:val="146EF5"/>
                <w:sz w:val="13"/>
              </w:rPr>
              <w:t>ajo_member</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Pre-activation (plain leave), post-activation (replacement), refused</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3"/>
              </w:rPr>
              <w:t>/app/support</w:t>
            </w:r>
          </w:p>
        </w:tc>
        <w:tc>
          <w:tcPr>
            <w:tcW w:type="dxa" w:w="1958"/>
            <w:tcMar>
              <w:top w:w="60" w:type="dxa"/>
              <w:start w:w="110" w:type="dxa"/>
              <w:bottom w:w="60" w:type="dxa"/>
              <w:end w:w="110" w:type="dxa"/>
            </w:tcMar>
          </w:tcPr>
          <w:p>
            <w:pPr>
              <w:spacing w:after="0"/>
            </w:pPr>
            <w:r/>
            <w:r>
              <w:rPr>
                <w:rFonts w:ascii="Calibri" w:hAnsi="Calibri"/>
                <w:b w:val="0"/>
                <w:i w:val="0"/>
                <w:color w:val="101828"/>
                <w:sz w:val="13"/>
              </w:rPr>
              <w:t>Support — SCR-MOB-23</w:t>
            </w:r>
          </w:p>
        </w:tc>
        <w:tc>
          <w:tcPr>
            <w:tcW w:type="dxa" w:w="3283"/>
            <w:tcMar>
              <w:top w:w="60" w:type="dxa"/>
              <w:start w:w="110" w:type="dxa"/>
              <w:bottom w:w="60" w:type="dxa"/>
              <w:end w:w="110" w:type="dxa"/>
            </w:tcMar>
          </w:tcPr>
          <w:p>
            <w:pPr>
              <w:spacing w:after="0"/>
            </w:pPr>
            <w:r/>
            <w:r>
              <w:rPr>
                <w:rFonts w:ascii="Calibri" w:hAnsi="Calibri"/>
                <w:b w:val="0"/>
                <w:i w:val="0"/>
                <w:color w:val="101828"/>
                <w:sz w:val="13"/>
              </w:rPr>
              <w:t>Help centre entries, a ticket form, and the direct route to a human. Attachments flow to the same evidence store as disputes.</w:t>
            </w:r>
          </w:p>
        </w:tc>
        <w:tc>
          <w:tcPr>
            <w:tcW w:type="dxa" w:w="1296"/>
            <w:tcMar>
              <w:top w:w="60" w:type="dxa"/>
              <w:start w:w="110" w:type="dxa"/>
              <w:bottom w:w="60" w:type="dxa"/>
              <w:end w:w="110" w:type="dxa"/>
            </w:tcMar>
          </w:tcPr>
          <w:p>
            <w:pPr>
              <w:spacing w:after="0"/>
            </w:pPr>
            <w:r/>
            <w:r>
              <w:rPr>
                <w:rFonts w:ascii="Calibri" w:hAnsi="Calibri"/>
                <w:b w:val="0"/>
                <w:i w:val="0"/>
                <w:color w:val="101828"/>
                <w:sz w:val="13"/>
              </w:rPr>
              <w:t>All tier-2</w:t>
            </w:r>
          </w:p>
        </w:tc>
        <w:tc>
          <w:tcPr>
            <w:tcW w:type="dxa" w:w="1699"/>
            <w:tcMar>
              <w:top w:w="60" w:type="dxa"/>
              <w:start w:w="110" w:type="dxa"/>
              <w:bottom w:w="60" w:type="dxa"/>
              <w:end w:w="110" w:type="dxa"/>
            </w:tcMar>
          </w:tcPr>
          <w:p>
            <w:pPr>
              <w:spacing w:after="0"/>
            </w:pPr>
            <w:r/>
            <w:r>
              <w:rPr>
                <w:rFonts w:ascii="Calibri" w:hAnsi="Calibri"/>
                <w:b w:val="0"/>
                <w:i w:val="0"/>
                <w:color w:val="101828"/>
                <w:sz w:val="13"/>
              </w:rPr>
              <w:t>No ticket, open ticket, closed ticket, attachment failed</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3"/>
              </w:rPr>
              <w:t>/app/*</w:t>
            </w:r>
          </w:p>
        </w:tc>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3"/>
              </w:rPr>
              <w:t>Error boundary — SCR-MOB-26</w:t>
            </w:r>
          </w:p>
        </w:tc>
        <w:tc>
          <w:tcPr>
            <w:tcW w:type="dxa" w:w="3283"/>
            <w:tcMar>
              <w:top w:w="60" w:type="dxa"/>
              <w:start w:w="110" w:type="dxa"/>
              <w:bottom w:w="60" w:type="dxa"/>
              <w:end w:w="110" w:type="dxa"/>
            </w:tcMar>
            <w:shd w:val="clear" w:color="auto" w:fill="F4F7FB"/>
          </w:tcPr>
          <w:p>
            <w:pPr>
              <w:spacing w:after="0"/>
            </w:pPr>
            <w:r/>
            <w:r>
              <w:rPr>
                <w:rFonts w:ascii="Calibri" w:hAnsi="Calibri"/>
                <w:b w:val="0"/>
                <w:i w:val="0"/>
                <w:color w:val="101828"/>
                <w:sz w:val="13"/>
              </w:rPr>
              <w:t>In-app not-found and unexpected-error boundary with retry, a support reference, and a link home.</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3"/>
              </w:rPr>
              <w:t>All tier-2</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404, 403, 5xx, offline</w:t>
            </w:r>
          </w:p>
        </w:tc>
      </w:tr>
    </w:tbl>
    <w:p>
      <w:pPr>
        <w:spacing w:after="80"/>
      </w:pPr>
    </w:p>
    <w:p>
      <w:pPr>
        <w:pStyle w:val="Heading2"/>
      </w:pPr>
      <w:r>
        <w:rPr>
          <w:rFonts w:ascii="Calibri" w:hAnsi="Calibri"/>
          <w:b/>
          <w:i w:val="0"/>
          <w:color w:val="146EF5"/>
          <w:sz w:val="29"/>
        </w:rPr>
        <w:t>3.4 Admin dashboard sitemap</w:t>
      </w:r>
    </w:p>
    <w:p>
      <w:r>
        <w:rPr>
          <w:rFonts w:ascii="Calibri" w:hAnsi="Calibri"/>
          <w:b w:val="0"/>
          <w:i w:val="0"/>
          <w:color w:val="101828"/>
          <w:sz w:val="21"/>
        </w:rPr>
        <w:t xml:space="preserve">Tier 3 is a single read-and-decide console. The canonical inventory has nine admin areas; they are expressed here as nine rail destinations and twelve screens. Two of them — the risk queue and the dispute workspace — are the places where an administrator can actually affect a member's life, and both are written with the same restraint: </w:t>
      </w:r>
      <w:r>
        <w:rPr>
          <w:rFonts w:ascii="Calibri" w:hAnsi="Calibri"/>
          <w:b/>
          <w:color w:val="101828"/>
          <w:sz w:val="21"/>
        </w:rPr>
        <w:t>show the record, show the reason, show who decided, never offer a delete.</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123"/>
            <w:shd w:val="clear" w:color="auto" w:fill="0B1F3A"/>
            <w:tcMar>
              <w:top w:w="60" w:type="dxa"/>
              <w:start w:w="110" w:type="dxa"/>
              <w:bottom w:w="60" w:type="dxa"/>
              <w:end w:w="110" w:type="dxa"/>
            </w:tcMar>
          </w:tcPr>
          <w:p>
            <w:pPr>
              <w:spacing w:after="0"/>
            </w:pPr>
            <w:r/>
            <w:r>
              <w:rPr>
                <w:rFonts w:ascii="Calibri" w:hAnsi="Calibri"/>
                <w:b/>
                <w:i w:val="0"/>
                <w:color w:val="FFFFFF"/>
                <w:sz w:val="14"/>
              </w:rPr>
              <w:t>Rail item</w:t>
            </w:r>
          </w:p>
        </w:tc>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Route</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3773"/>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1354"/>
            <w:shd w:val="clear" w:color="auto" w:fill="0B1F3A"/>
            <w:tcMar>
              <w:top w:w="60" w:type="dxa"/>
              <w:start w:w="110" w:type="dxa"/>
              <w:bottom w:w="60" w:type="dxa"/>
              <w:end w:w="110" w:type="dxa"/>
            </w:tcMar>
          </w:tcPr>
          <w:p>
            <w:pPr>
              <w:spacing w:after="0"/>
            </w:pPr>
            <w:r/>
            <w:r>
              <w:rPr>
                <w:rFonts w:ascii="Calibri" w:hAnsi="Calibri"/>
                <w:b/>
                <w:i w:val="0"/>
                <w:color w:val="FFFFFF"/>
                <w:sz w:val="14"/>
              </w:rPr>
              <w:t>Role</w:t>
            </w:r>
          </w:p>
        </w:tc>
      </w:tr>
      <w:tr>
        <w:trPr>
          <w:cantSplit/>
        </w:trPr>
        <w:tc>
          <w:tcPr>
            <w:tcW w:type="dxa" w:w="1123"/>
            <w:tcMar>
              <w:top w:w="60" w:type="dxa"/>
              <w:start w:w="110" w:type="dxa"/>
              <w:bottom w:w="60" w:type="dxa"/>
              <w:end w:w="110" w:type="dxa"/>
            </w:tcMar>
          </w:tcPr>
          <w:p>
            <w:pPr>
              <w:spacing w:after="0"/>
            </w:pPr>
            <w:r/>
            <w:r>
              <w:rPr>
                <w:rFonts w:ascii="Calibri" w:hAnsi="Calibri"/>
                <w:b w:val="0"/>
                <w:i w:val="0"/>
                <w:color w:val="101828"/>
                <w:sz w:val="14"/>
              </w:rPr>
              <w:t>Overview</w:t>
            </w:r>
          </w:p>
        </w:tc>
        <w:tc>
          <w:tcPr>
            <w:tcW w:type="dxa" w:w="1526"/>
            <w:tcMar>
              <w:top w:w="60" w:type="dxa"/>
              <w:start w:w="110" w:type="dxa"/>
              <w:bottom w:w="60" w:type="dxa"/>
              <w:end w:w="110" w:type="dxa"/>
            </w:tcMar>
          </w:tcPr>
          <w:p>
            <w:pPr>
              <w:spacing w:after="0"/>
            </w:pPr>
            <w:r/>
            <w:r>
              <w:rPr>
                <w:rFonts w:ascii="Consolas" w:hAnsi="Consolas"/>
                <w:color w:val="146EF5"/>
                <w:sz w:val="14"/>
              </w:rPr>
              <w:t>/admin</w:t>
            </w:r>
          </w:p>
        </w:tc>
        <w:tc>
          <w:tcPr>
            <w:tcW w:type="dxa" w:w="1584"/>
            <w:tcMar>
              <w:top w:w="60" w:type="dxa"/>
              <w:start w:w="110" w:type="dxa"/>
              <w:bottom w:w="60" w:type="dxa"/>
              <w:end w:w="110" w:type="dxa"/>
            </w:tcMar>
          </w:tcPr>
          <w:p>
            <w:pPr>
              <w:spacing w:after="0"/>
            </w:pPr>
            <w:r/>
            <w:r>
              <w:rPr>
                <w:rFonts w:ascii="Calibri" w:hAnsi="Calibri"/>
                <w:b w:val="0"/>
                <w:i w:val="0"/>
                <w:color w:val="101828"/>
                <w:sz w:val="14"/>
              </w:rPr>
              <w:t>Overview — SCR-ADM-01</w:t>
            </w:r>
          </w:p>
        </w:tc>
        <w:tc>
          <w:tcPr>
            <w:tcW w:type="dxa" w:w="3773"/>
            <w:tcMar>
              <w:top w:w="60" w:type="dxa"/>
              <w:start w:w="110" w:type="dxa"/>
              <w:bottom w:w="60" w:type="dxa"/>
              <w:end w:w="110" w:type="dxa"/>
            </w:tcMar>
          </w:tcPr>
          <w:p>
            <w:pPr>
              <w:spacing w:after="0"/>
            </w:pPr>
            <w:r/>
            <w:r>
              <w:rPr>
                <w:rFonts w:ascii="Calibri" w:hAnsi="Calibri"/>
                <w:b w:val="0"/>
                <w:i w:val="0"/>
                <w:color w:val="101828"/>
                <w:sz w:val="14"/>
              </w:rPr>
              <w:t>Operational health: Ajos by lifecycle, round funding status, disputes open, risk queue depth, verification backlog, fee income for the period, reconciliation run status.</w:t>
            </w:r>
          </w:p>
        </w:tc>
        <w:tc>
          <w:tcPr>
            <w:tcW w:type="dxa" w:w="1354"/>
            <w:tcMar>
              <w:top w:w="60" w:type="dxa"/>
              <w:start w:w="110" w:type="dxa"/>
              <w:bottom w:w="60" w:type="dxa"/>
              <w:end w:w="110" w:type="dxa"/>
            </w:tcMar>
          </w:tcPr>
          <w:p>
            <w:pPr>
              <w:spacing w:after="0"/>
            </w:pPr>
            <w:r/>
            <w:r>
              <w:rPr>
                <w:rFonts w:ascii="Calibri" w:hAnsi="Calibri"/>
                <w:b w:val="0"/>
                <w:i w:val="0"/>
                <w:color w:val="101828"/>
                <w:sz w:val="14"/>
              </w:rPr>
              <w:t>All admin</w:t>
            </w:r>
          </w:p>
        </w:tc>
      </w:tr>
      <w:tr>
        <w:trPr>
          <w:cantSplit/>
        </w:trPr>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Users</w:t>
            </w:r>
          </w:p>
        </w:tc>
        <w:tc>
          <w:tcPr>
            <w:tcW w:type="dxa" w:w="1526"/>
            <w:tcMar>
              <w:top w:w="60" w:type="dxa"/>
              <w:start w:w="110" w:type="dxa"/>
              <w:bottom w:w="60" w:type="dxa"/>
              <w:end w:w="110" w:type="dxa"/>
            </w:tcMar>
            <w:shd w:val="clear" w:color="auto" w:fill="F4F7FB"/>
          </w:tcPr>
          <w:p>
            <w:pPr>
              <w:spacing w:after="0"/>
            </w:pPr>
            <w:r/>
            <w:r>
              <w:rPr>
                <w:rFonts w:ascii="Consolas" w:hAnsi="Consolas"/>
                <w:color w:val="146EF5"/>
                <w:sz w:val="14"/>
              </w:rPr>
              <w:t>/admin/users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Users — SCR-ADM-02</w:t>
            </w:r>
          </w:p>
        </w:tc>
        <w:tc>
          <w:tcPr>
            <w:tcW w:type="dxa" w:w="3773"/>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Searchable member list with verification state, Ajo count, account state, last activity. Bulk export is off by default and requires </w:t>
            </w:r>
            <w:r>
              <w:rPr>
                <w:rFonts w:ascii="Consolas" w:hAnsi="Consolas"/>
                <w:color w:val="146EF5"/>
                <w:sz w:val="14"/>
              </w:rPr>
              <w:t>super_admin</w:t>
            </w:r>
            <w:r>
              <w:rPr>
                <w:rFonts w:ascii="Calibri" w:hAnsi="Calibri"/>
                <w:b w:val="0"/>
                <w:i w:val="0"/>
                <w:color w:val="101828"/>
                <w:sz w:val="14"/>
              </w:rPr>
              <w:t>.</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4"/>
              </w:rPr>
              <w:t>All admin</w:t>
            </w:r>
          </w:p>
        </w:tc>
      </w:tr>
      <w:tr>
        <w:trPr>
          <w:cantSplit/>
        </w:trPr>
        <w:tc>
          <w:tcPr>
            <w:tcW w:type="dxa" w:w="1123"/>
            <w:tcMar>
              <w:top w:w="60" w:type="dxa"/>
              <w:start w:w="110" w:type="dxa"/>
              <w:bottom w:w="60" w:type="dxa"/>
              <w:end w:w="110" w:type="dxa"/>
            </w:tcMar>
          </w:tcPr>
          <w:p>
            <w:pPr>
              <w:spacing w:after="0"/>
            </w:pPr>
            <w:r/>
            <w:r>
              <w:rPr>
                <w:rFonts w:ascii="Calibri" w:hAnsi="Calibri"/>
                <w:b w:val="0"/>
                <w:i w:val="0"/>
                <w:color w:val="101828"/>
                <w:sz w:val="14"/>
              </w:rPr>
              <w:t>Users</w:t>
            </w:r>
          </w:p>
        </w:tc>
        <w:tc>
          <w:tcPr>
            <w:tcW w:type="dxa" w:w="1526"/>
            <w:tcMar>
              <w:top w:w="60" w:type="dxa"/>
              <w:start w:w="110" w:type="dxa"/>
              <w:bottom w:w="60" w:type="dxa"/>
              <w:end w:w="110" w:type="dxa"/>
            </w:tcMar>
          </w:tcPr>
          <w:p>
            <w:pPr>
              <w:spacing w:after="0"/>
            </w:pPr>
            <w:r/>
            <w:r>
              <w:rPr>
                <w:rFonts w:ascii="Consolas" w:hAnsi="Consolas"/>
                <w:color w:val="146EF5"/>
                <w:sz w:val="14"/>
              </w:rPr>
              <w:t>/admin/users/:id</w:t>
            </w:r>
          </w:p>
        </w:tc>
        <w:tc>
          <w:tcPr>
            <w:tcW w:type="dxa" w:w="1584"/>
            <w:tcMar>
              <w:top w:w="60" w:type="dxa"/>
              <w:start w:w="110" w:type="dxa"/>
              <w:bottom w:w="60" w:type="dxa"/>
              <w:end w:w="110" w:type="dxa"/>
            </w:tcMar>
          </w:tcPr>
          <w:p>
            <w:pPr>
              <w:spacing w:after="0"/>
            </w:pPr>
            <w:r/>
            <w:r>
              <w:rPr>
                <w:rFonts w:ascii="Calibri" w:hAnsi="Calibri"/>
                <w:b w:val="0"/>
                <w:i w:val="0"/>
                <w:color w:val="101828"/>
                <w:sz w:val="14"/>
              </w:rPr>
              <w:t>User detail — SCR-ADM-03</w:t>
            </w:r>
          </w:p>
        </w:tc>
        <w:tc>
          <w:tcPr>
            <w:tcW w:type="dxa" w:w="3773"/>
            <w:tcMar>
              <w:top w:w="60" w:type="dxa"/>
              <w:start w:w="110" w:type="dxa"/>
              <w:bottom w:w="60" w:type="dxa"/>
              <w:end w:w="110" w:type="dxa"/>
            </w:tcMar>
          </w:tcPr>
          <w:p>
            <w:pPr>
              <w:spacing w:after="0"/>
            </w:pPr>
            <w:r/>
            <w:r>
              <w:rPr>
                <w:rFonts w:ascii="Calibri" w:hAnsi="Calibri"/>
                <w:b w:val="0"/>
                <w:i w:val="0"/>
                <w:color w:val="101828"/>
                <w:sz w:val="14"/>
              </w:rPr>
              <w:t xml:space="preserve">One member across every Ajo they touch, with their contribution history, dispute history and risk events. </w:t>
            </w:r>
            <w:r>
              <w:rPr>
                <w:rFonts w:ascii="Calibri" w:hAnsi="Calibri"/>
                <w:b/>
                <w:color w:val="101828"/>
                <w:sz w:val="14"/>
              </w:rPr>
              <w:t>No balance editing, ever.</w:t>
            </w:r>
          </w:p>
        </w:tc>
        <w:tc>
          <w:tcPr>
            <w:tcW w:type="dxa" w:w="1354"/>
            <w:tcMar>
              <w:top w:w="60" w:type="dxa"/>
              <w:start w:w="110" w:type="dxa"/>
              <w:bottom w:w="60" w:type="dxa"/>
              <w:end w:w="110" w:type="dxa"/>
            </w:tcMar>
          </w:tcPr>
          <w:p>
            <w:pPr>
              <w:spacing w:after="0"/>
            </w:pPr>
            <w:r/>
            <w:r>
              <w:rPr>
                <w:rFonts w:ascii="Calibri" w:hAnsi="Calibri"/>
                <w:b w:val="0"/>
                <w:i w:val="0"/>
                <w:color w:val="101828"/>
                <w:sz w:val="14"/>
              </w:rPr>
              <w:t>All admin</w:t>
            </w:r>
          </w:p>
        </w:tc>
      </w:tr>
      <w:tr>
        <w:trPr>
          <w:cantSplit/>
        </w:trPr>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Ajos</w:t>
            </w:r>
          </w:p>
        </w:tc>
        <w:tc>
          <w:tcPr>
            <w:tcW w:type="dxa" w:w="1526"/>
            <w:tcMar>
              <w:top w:w="60" w:type="dxa"/>
              <w:start w:w="110" w:type="dxa"/>
              <w:bottom w:w="60" w:type="dxa"/>
              <w:end w:w="110" w:type="dxa"/>
            </w:tcMar>
            <w:shd w:val="clear" w:color="auto" w:fill="F4F7FB"/>
          </w:tcPr>
          <w:p>
            <w:pPr>
              <w:spacing w:after="0"/>
            </w:pPr>
            <w:r/>
            <w:r>
              <w:rPr>
                <w:rFonts w:ascii="Consolas" w:hAnsi="Consolas"/>
                <w:color w:val="146EF5"/>
                <w:sz w:val="14"/>
              </w:rPr>
              <w:t>/admin/ajos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Ajos — SCR-ADM-04</w:t>
            </w:r>
          </w:p>
        </w:tc>
        <w:tc>
          <w:tcPr>
            <w:tcW w:type="dxa" w:w="3773"/>
            <w:tcMar>
              <w:top w:w="60" w:type="dxa"/>
              <w:start w:w="110" w:type="dxa"/>
              <w:bottom w:w="60" w:type="dxa"/>
              <w:end w:w="110" w:type="dxa"/>
            </w:tcMar>
            <w:shd w:val="clear" w:color="auto" w:fill="F4F7FB"/>
          </w:tcPr>
          <w:p>
            <w:pPr>
              <w:spacing w:after="0"/>
            </w:pPr>
            <w:r/>
            <w:r>
              <w:rPr>
                <w:rFonts w:ascii="Calibri" w:hAnsi="Calibri"/>
                <w:b w:val="0"/>
                <w:i w:val="0"/>
                <w:color w:val="101828"/>
                <w:sz w:val="14"/>
              </w:rPr>
              <w:t>Every Ajo with lifecycle, funding gap, organizer, member count, fee retained, and flags.</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4"/>
              </w:rPr>
              <w:t>All admin</w:t>
            </w:r>
          </w:p>
        </w:tc>
      </w:tr>
      <w:tr>
        <w:trPr>
          <w:cantSplit/>
        </w:trPr>
        <w:tc>
          <w:tcPr>
            <w:tcW w:type="dxa" w:w="1123"/>
            <w:tcMar>
              <w:top w:w="60" w:type="dxa"/>
              <w:start w:w="110" w:type="dxa"/>
              <w:bottom w:w="60" w:type="dxa"/>
              <w:end w:w="110" w:type="dxa"/>
            </w:tcMar>
          </w:tcPr>
          <w:p>
            <w:pPr>
              <w:spacing w:after="0"/>
            </w:pPr>
            <w:r/>
            <w:r>
              <w:rPr>
                <w:rFonts w:ascii="Calibri" w:hAnsi="Calibri"/>
                <w:b w:val="0"/>
                <w:i w:val="0"/>
                <w:color w:val="101828"/>
                <w:sz w:val="14"/>
              </w:rPr>
              <w:t>Ajos</w:t>
            </w:r>
          </w:p>
        </w:tc>
        <w:tc>
          <w:tcPr>
            <w:tcW w:type="dxa" w:w="1526"/>
            <w:tcMar>
              <w:top w:w="60" w:type="dxa"/>
              <w:start w:w="110" w:type="dxa"/>
              <w:bottom w:w="60" w:type="dxa"/>
              <w:end w:w="110" w:type="dxa"/>
            </w:tcMar>
          </w:tcPr>
          <w:p>
            <w:pPr>
              <w:spacing w:after="0"/>
            </w:pPr>
            <w:r/>
            <w:r>
              <w:rPr>
                <w:rFonts w:ascii="Consolas" w:hAnsi="Consolas"/>
                <w:color w:val="146EF5"/>
                <w:sz w:val="14"/>
              </w:rPr>
              <w:t>/admin/ajos/:id</w:t>
            </w:r>
          </w:p>
        </w:tc>
        <w:tc>
          <w:tcPr>
            <w:tcW w:type="dxa" w:w="1584"/>
            <w:tcMar>
              <w:top w:w="60" w:type="dxa"/>
              <w:start w:w="110" w:type="dxa"/>
              <w:bottom w:w="60" w:type="dxa"/>
              <w:end w:w="110" w:type="dxa"/>
            </w:tcMar>
          </w:tcPr>
          <w:p>
            <w:pPr>
              <w:spacing w:after="0"/>
            </w:pPr>
            <w:r/>
            <w:r>
              <w:rPr>
                <w:rFonts w:ascii="Calibri" w:hAnsi="Calibri"/>
                <w:b w:val="0"/>
                <w:i w:val="0"/>
                <w:color w:val="101828"/>
                <w:sz w:val="14"/>
              </w:rPr>
              <w:t>Ajo detail — SCR-ADM-05</w:t>
            </w:r>
          </w:p>
        </w:tc>
        <w:tc>
          <w:tcPr>
            <w:tcW w:type="dxa" w:w="3773"/>
            <w:tcMar>
              <w:top w:w="60" w:type="dxa"/>
              <w:start w:w="110" w:type="dxa"/>
              <w:bottom w:w="60" w:type="dxa"/>
              <w:end w:w="110" w:type="dxa"/>
            </w:tcMar>
          </w:tcPr>
          <w:p>
            <w:pPr>
              <w:spacing w:after="0"/>
            </w:pPr>
            <w:r/>
            <w:r>
              <w:rPr>
                <w:rFonts w:ascii="Calibri" w:hAnsi="Calibri"/>
                <w:b w:val="0"/>
                <w:i w:val="0"/>
                <w:color w:val="101828"/>
                <w:sz w:val="14"/>
              </w:rPr>
              <w:t>Read-only mirror of the tier-2 Ajo Detail plus the platform-only columns: escrow balance, reconciliation state, risk events.</w:t>
            </w:r>
          </w:p>
        </w:tc>
        <w:tc>
          <w:tcPr>
            <w:tcW w:type="dxa" w:w="1354"/>
            <w:tcMar>
              <w:top w:w="60" w:type="dxa"/>
              <w:start w:w="110" w:type="dxa"/>
              <w:bottom w:w="60" w:type="dxa"/>
              <w:end w:w="110" w:type="dxa"/>
            </w:tcMar>
          </w:tcPr>
          <w:p>
            <w:pPr>
              <w:spacing w:after="0"/>
            </w:pPr>
            <w:r/>
            <w:r>
              <w:rPr>
                <w:rFonts w:ascii="Calibri" w:hAnsi="Calibri"/>
                <w:b w:val="0"/>
                <w:i w:val="0"/>
                <w:color w:val="101828"/>
                <w:sz w:val="14"/>
              </w:rPr>
              <w:t>All admin</w:t>
            </w:r>
          </w:p>
        </w:tc>
      </w:tr>
      <w:tr>
        <w:trPr>
          <w:cantSplit/>
        </w:trPr>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Disputes</w:t>
            </w:r>
          </w:p>
        </w:tc>
        <w:tc>
          <w:tcPr>
            <w:tcW w:type="dxa" w:w="1526"/>
            <w:tcMar>
              <w:top w:w="60" w:type="dxa"/>
              <w:start w:w="110" w:type="dxa"/>
              <w:bottom w:w="60" w:type="dxa"/>
              <w:end w:w="110" w:type="dxa"/>
            </w:tcMar>
            <w:shd w:val="clear" w:color="auto" w:fill="F4F7FB"/>
          </w:tcPr>
          <w:p>
            <w:pPr>
              <w:spacing w:after="0"/>
            </w:pPr>
            <w:r/>
            <w:r>
              <w:rPr>
                <w:rFonts w:ascii="Consolas" w:hAnsi="Consolas"/>
                <w:color w:val="146EF5"/>
                <w:sz w:val="14"/>
              </w:rPr>
              <w:t>/admin/disputes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Disputes — SCR-ADM-06</w:t>
            </w:r>
          </w:p>
        </w:tc>
        <w:tc>
          <w:tcPr>
            <w:tcW w:type="dxa" w:w="3773"/>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Queue by state, category, age and Ajo. SLA ageing is visible. This is the screen </w:t>
            </w:r>
            <w:r>
              <w:rPr>
                <w:rFonts w:ascii="Consolas" w:hAnsi="Consolas"/>
                <w:color w:val="146EF5"/>
                <w:sz w:val="14"/>
              </w:rPr>
              <w:t>support</w:t>
            </w:r>
            <w:r>
              <w:rPr>
                <w:rFonts w:ascii="Calibri" w:hAnsi="Calibri"/>
                <w:b w:val="0"/>
                <w:i w:val="0"/>
                <w:color w:val="101828"/>
                <w:sz w:val="14"/>
              </w:rPr>
              <w:t xml:space="preserve"> works from.</w:t>
            </w:r>
          </w:p>
        </w:tc>
        <w:tc>
          <w:tcPr>
            <w:tcW w:type="dxa" w:w="1354"/>
            <w:tcMar>
              <w:top w:w="60" w:type="dxa"/>
              <w:start w:w="110" w:type="dxa"/>
              <w:bottom w:w="60" w:type="dxa"/>
              <w:end w:w="110" w:type="dxa"/>
            </w:tcMar>
            <w:shd w:val="clear" w:color="auto" w:fill="F4F7FB"/>
          </w:tcPr>
          <w:p>
            <w:pPr>
              <w:spacing w:after="0"/>
            </w:pPr>
            <w:r/>
            <w:r>
              <w:rPr>
                <w:rFonts w:ascii="Consolas" w:hAnsi="Consolas"/>
                <w:color w:val="146EF5"/>
                <w:sz w:val="14"/>
              </w:rPr>
              <w:t>support</w:t>
            </w:r>
            <w:r>
              <w:rPr>
                <w:rFonts w:ascii="Calibri" w:hAnsi="Calibri"/>
                <w:b w:val="0"/>
                <w:i w:val="0"/>
                <w:color w:val="101828"/>
                <w:sz w:val="14"/>
              </w:rPr>
              <w:t xml:space="preserve">, </w:t>
            </w:r>
            <w:r>
              <w:rPr>
                <w:rFonts w:ascii="Consolas" w:hAnsi="Consolas"/>
                <w:color w:val="146EF5"/>
                <w:sz w:val="14"/>
              </w:rPr>
              <w:t>risk_officer</w:t>
            </w:r>
            <w:r>
              <w:rPr>
                <w:rFonts w:ascii="Calibri" w:hAnsi="Calibri"/>
                <w:b w:val="0"/>
                <w:i w:val="0"/>
                <w:color w:val="101828"/>
                <w:sz w:val="14"/>
              </w:rPr>
              <w:t xml:space="preserve">, </w:t>
            </w:r>
            <w:r>
              <w:rPr>
                <w:rFonts w:ascii="Consolas" w:hAnsi="Consolas"/>
                <w:color w:val="146EF5"/>
                <w:sz w:val="14"/>
              </w:rPr>
              <w:t>super_admin</w:t>
            </w:r>
          </w:p>
        </w:tc>
      </w:tr>
      <w:tr>
        <w:trPr>
          <w:cantSplit/>
        </w:trPr>
        <w:tc>
          <w:tcPr>
            <w:tcW w:type="dxa" w:w="1123"/>
            <w:tcMar>
              <w:top w:w="60" w:type="dxa"/>
              <w:start w:w="110" w:type="dxa"/>
              <w:bottom w:w="60" w:type="dxa"/>
              <w:end w:w="110" w:type="dxa"/>
            </w:tcMar>
          </w:tcPr>
          <w:p>
            <w:pPr>
              <w:spacing w:after="0"/>
            </w:pPr>
            <w:r/>
            <w:r>
              <w:rPr>
                <w:rFonts w:ascii="Calibri" w:hAnsi="Calibri"/>
                <w:b w:val="0"/>
                <w:i w:val="0"/>
                <w:color w:val="101828"/>
                <w:sz w:val="14"/>
              </w:rPr>
              <w:t>Disputes</w:t>
            </w:r>
          </w:p>
        </w:tc>
        <w:tc>
          <w:tcPr>
            <w:tcW w:type="dxa" w:w="1526"/>
            <w:tcMar>
              <w:top w:w="60" w:type="dxa"/>
              <w:start w:w="110" w:type="dxa"/>
              <w:bottom w:w="60" w:type="dxa"/>
              <w:end w:w="110" w:type="dxa"/>
            </w:tcMar>
          </w:tcPr>
          <w:p>
            <w:pPr>
              <w:spacing w:after="0"/>
            </w:pPr>
            <w:r/>
            <w:r>
              <w:rPr>
                <w:rFonts w:ascii="Consolas" w:hAnsi="Consolas"/>
                <w:color w:val="146EF5"/>
                <w:sz w:val="14"/>
              </w:rPr>
              <w:t>/admin/disputes/:id</w:t>
            </w:r>
          </w:p>
        </w:tc>
        <w:tc>
          <w:tcPr>
            <w:tcW w:type="dxa" w:w="1584"/>
            <w:tcMar>
              <w:top w:w="60" w:type="dxa"/>
              <w:start w:w="110" w:type="dxa"/>
              <w:bottom w:w="60" w:type="dxa"/>
              <w:end w:w="110" w:type="dxa"/>
            </w:tcMar>
          </w:tcPr>
          <w:p>
            <w:pPr>
              <w:spacing w:after="0"/>
            </w:pPr>
            <w:r/>
            <w:r>
              <w:rPr>
                <w:rFonts w:ascii="Calibri" w:hAnsi="Calibri"/>
                <w:b w:val="0"/>
                <w:i w:val="0"/>
                <w:color w:val="101828"/>
                <w:sz w:val="14"/>
              </w:rPr>
              <w:t>Dispute workspace — SCR-ADM-07</w:t>
            </w:r>
          </w:p>
        </w:tc>
        <w:tc>
          <w:tcPr>
            <w:tcW w:type="dxa" w:w="3773"/>
            <w:tcMar>
              <w:top w:w="60" w:type="dxa"/>
              <w:start w:w="110" w:type="dxa"/>
              <w:bottom w:w="60" w:type="dxa"/>
              <w:end w:w="110" w:type="dxa"/>
            </w:tcMar>
          </w:tcPr>
          <w:p>
            <w:pPr>
              <w:spacing w:after="0"/>
            </w:pPr>
            <w:r/>
            <w:r>
              <w:rPr>
                <w:rFonts w:ascii="Calibri" w:hAnsi="Calibri"/>
                <w:b w:val="0"/>
                <w:i w:val="0"/>
                <w:color w:val="101828"/>
                <w:sz w:val="14"/>
              </w:rPr>
              <w:t>Facts, evidence, both narratives, the money involved, and the decision form. Resolution posts a ledger entry; it does not adjust one silently.</w:t>
            </w:r>
          </w:p>
        </w:tc>
        <w:tc>
          <w:tcPr>
            <w:tcW w:type="dxa" w:w="1354"/>
            <w:tcMar>
              <w:top w:w="60" w:type="dxa"/>
              <w:start w:w="110" w:type="dxa"/>
              <w:bottom w:w="60" w:type="dxa"/>
              <w:end w:w="110" w:type="dxa"/>
            </w:tcMar>
          </w:tcPr>
          <w:p>
            <w:pPr>
              <w:spacing w:after="0"/>
            </w:pPr>
            <w:r/>
            <w:r>
              <w:rPr>
                <w:rFonts w:ascii="Consolas" w:hAnsi="Consolas"/>
                <w:color w:val="146EF5"/>
                <w:sz w:val="14"/>
              </w:rPr>
              <w:t>support</w:t>
            </w:r>
            <w:r>
              <w:rPr>
                <w:rFonts w:ascii="Calibri" w:hAnsi="Calibri"/>
                <w:b w:val="0"/>
                <w:i w:val="0"/>
                <w:color w:val="101828"/>
                <w:sz w:val="14"/>
              </w:rPr>
              <w:t xml:space="preserve"> drafts, </w:t>
            </w:r>
            <w:r>
              <w:rPr>
                <w:rFonts w:ascii="Consolas" w:hAnsi="Consolas"/>
                <w:color w:val="146EF5"/>
                <w:sz w:val="14"/>
              </w:rPr>
              <w:t>risk_officer</w:t>
            </w:r>
            <w:r>
              <w:rPr>
                <w:rFonts w:ascii="Calibri" w:hAnsi="Calibri"/>
                <w:b w:val="0"/>
                <w:i w:val="0"/>
                <w:color w:val="101828"/>
                <w:sz w:val="14"/>
              </w:rPr>
              <w:t>/</w:t>
            </w:r>
            <w:r>
              <w:rPr>
                <w:rFonts w:ascii="Consolas" w:hAnsi="Consolas"/>
                <w:color w:val="146EF5"/>
                <w:sz w:val="14"/>
              </w:rPr>
              <w:t>super_admin</w:t>
            </w:r>
            <w:r>
              <w:rPr>
                <w:rFonts w:ascii="Calibri" w:hAnsi="Calibri"/>
                <w:b w:val="0"/>
                <w:i w:val="0"/>
                <w:color w:val="101828"/>
                <w:sz w:val="14"/>
              </w:rPr>
              <w:t xml:space="preserve"> decide</w:t>
            </w:r>
          </w:p>
        </w:tc>
      </w:tr>
      <w:tr>
        <w:trPr>
          <w:cantSplit/>
        </w:trPr>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Risk</w:t>
            </w:r>
          </w:p>
        </w:tc>
        <w:tc>
          <w:tcPr>
            <w:tcW w:type="dxa" w:w="1526"/>
            <w:tcMar>
              <w:top w:w="60" w:type="dxa"/>
              <w:start w:w="110" w:type="dxa"/>
              <w:bottom w:w="60" w:type="dxa"/>
              <w:end w:w="110" w:type="dxa"/>
            </w:tcMar>
            <w:shd w:val="clear" w:color="auto" w:fill="F4F7FB"/>
          </w:tcPr>
          <w:p>
            <w:pPr>
              <w:spacing w:after="0"/>
            </w:pPr>
            <w:r/>
            <w:r>
              <w:rPr>
                <w:rFonts w:ascii="Consolas" w:hAnsi="Consolas"/>
                <w:color w:val="146EF5"/>
                <w:sz w:val="14"/>
              </w:rPr>
              <w:t>/admin/risk</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Risk queue — SCR-ADM-08</w:t>
            </w:r>
          </w:p>
        </w:tc>
        <w:tc>
          <w:tcPr>
            <w:tcW w:type="dxa" w:w="3773"/>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Risk events ranked by score: funding shortfalls, repeated payment failure, identity mismatch, velocity breaches. Actions are </w:t>
            </w:r>
            <w:r>
              <w:rPr>
                <w:rFonts w:ascii="Calibri" w:hAnsi="Calibri"/>
                <w:i/>
                <w:color w:val="101828"/>
                <w:sz w:val="14"/>
              </w:rPr>
              <w:t>place under review</w:t>
            </w:r>
            <w:r>
              <w:rPr>
                <w:rFonts w:ascii="Calibri" w:hAnsi="Calibri"/>
                <w:b w:val="0"/>
                <w:i w:val="0"/>
                <w:color w:val="101828"/>
                <w:sz w:val="14"/>
              </w:rPr>
              <w:t xml:space="preserve">, </w:t>
            </w:r>
            <w:r>
              <w:rPr>
                <w:rFonts w:ascii="Calibri" w:hAnsi="Calibri"/>
                <w:i/>
                <w:color w:val="101828"/>
                <w:sz w:val="14"/>
              </w:rPr>
              <w:t>freeze</w:t>
            </w:r>
            <w:r>
              <w:rPr>
                <w:rFonts w:ascii="Calibri" w:hAnsi="Calibri"/>
                <w:b w:val="0"/>
                <w:i w:val="0"/>
                <w:color w:val="101828"/>
                <w:sz w:val="14"/>
              </w:rPr>
              <w:t xml:space="preserve">, </w:t>
            </w:r>
            <w:r>
              <w:rPr>
                <w:rFonts w:ascii="Calibri" w:hAnsi="Calibri"/>
                <w:i/>
                <w:color w:val="101828"/>
                <w:sz w:val="14"/>
              </w:rPr>
              <w:t>release</w:t>
            </w:r>
            <w:r>
              <w:rPr>
                <w:rFonts w:ascii="Calibri" w:hAnsi="Calibri"/>
                <w:b w:val="0"/>
                <w:i w:val="0"/>
                <w:color w:val="101828"/>
                <w:sz w:val="14"/>
              </w:rPr>
              <w:t xml:space="preserve">, and </w:t>
            </w:r>
            <w:r>
              <w:rPr>
                <w:rFonts w:ascii="Calibri" w:hAnsi="Calibri"/>
                <w:i/>
                <w:color w:val="101828"/>
                <w:sz w:val="14"/>
              </w:rPr>
              <w:t>approve or reject an override</w:t>
            </w:r>
            <w:r>
              <w:rPr>
                <w:rFonts w:ascii="Calibri" w:hAnsi="Calibri"/>
                <w:b w:val="0"/>
                <w:i w:val="0"/>
                <w:color w:val="101828"/>
                <w:sz w:val="14"/>
              </w:rPr>
              <w:t>.</w:t>
            </w:r>
          </w:p>
        </w:tc>
        <w:tc>
          <w:tcPr>
            <w:tcW w:type="dxa" w:w="1354"/>
            <w:tcMar>
              <w:top w:w="60" w:type="dxa"/>
              <w:start w:w="110" w:type="dxa"/>
              <w:bottom w:w="60" w:type="dxa"/>
              <w:end w:w="110" w:type="dxa"/>
            </w:tcMar>
            <w:shd w:val="clear" w:color="auto" w:fill="F4F7FB"/>
          </w:tcPr>
          <w:p>
            <w:pPr>
              <w:spacing w:after="0"/>
            </w:pPr>
            <w:r/>
            <w:r>
              <w:rPr>
                <w:rFonts w:ascii="Consolas" w:hAnsi="Consolas"/>
                <w:color w:val="146EF5"/>
                <w:sz w:val="14"/>
              </w:rPr>
              <w:t>risk_officer</w:t>
            </w:r>
            <w:r>
              <w:rPr>
                <w:rFonts w:ascii="Calibri" w:hAnsi="Calibri"/>
                <w:b w:val="0"/>
                <w:i w:val="0"/>
                <w:color w:val="101828"/>
                <w:sz w:val="14"/>
              </w:rPr>
              <w:t xml:space="preserve">, </w:t>
            </w:r>
            <w:r>
              <w:rPr>
                <w:rFonts w:ascii="Consolas" w:hAnsi="Consolas"/>
                <w:color w:val="146EF5"/>
                <w:sz w:val="14"/>
              </w:rPr>
              <w:t>super_admin</w:t>
            </w:r>
          </w:p>
        </w:tc>
      </w:tr>
      <w:tr>
        <w:trPr>
          <w:cantSplit/>
        </w:trPr>
        <w:tc>
          <w:tcPr>
            <w:tcW w:type="dxa" w:w="1123"/>
            <w:tcMar>
              <w:top w:w="60" w:type="dxa"/>
              <w:start w:w="110" w:type="dxa"/>
              <w:bottom w:w="60" w:type="dxa"/>
              <w:end w:w="110" w:type="dxa"/>
            </w:tcMar>
          </w:tcPr>
          <w:p>
            <w:pPr>
              <w:spacing w:after="0"/>
            </w:pPr>
            <w:r/>
            <w:r>
              <w:rPr>
                <w:rFonts w:ascii="Calibri" w:hAnsi="Calibri"/>
                <w:b w:val="0"/>
                <w:i w:val="0"/>
                <w:color w:val="101828"/>
                <w:sz w:val="14"/>
              </w:rPr>
              <w:t>Verification</w:t>
            </w:r>
          </w:p>
        </w:tc>
        <w:tc>
          <w:tcPr>
            <w:tcW w:type="dxa" w:w="1526"/>
            <w:tcMar>
              <w:top w:w="60" w:type="dxa"/>
              <w:start w:w="110" w:type="dxa"/>
              <w:bottom w:w="60" w:type="dxa"/>
              <w:end w:w="110" w:type="dxa"/>
            </w:tcMar>
          </w:tcPr>
          <w:p>
            <w:pPr>
              <w:spacing w:after="0"/>
            </w:pPr>
            <w:r/>
            <w:r>
              <w:rPr>
                <w:rFonts w:ascii="Consolas" w:hAnsi="Consolas"/>
                <w:color w:val="146EF5"/>
                <w:sz w:val="14"/>
              </w:rPr>
              <w:t>/admin/verification</w:t>
            </w:r>
          </w:p>
        </w:tc>
        <w:tc>
          <w:tcPr>
            <w:tcW w:type="dxa" w:w="1584"/>
            <w:tcMar>
              <w:top w:w="60" w:type="dxa"/>
              <w:start w:w="110" w:type="dxa"/>
              <w:bottom w:w="60" w:type="dxa"/>
              <w:end w:w="110" w:type="dxa"/>
            </w:tcMar>
          </w:tcPr>
          <w:p>
            <w:pPr>
              <w:spacing w:after="0"/>
            </w:pPr>
            <w:r/>
            <w:r>
              <w:rPr>
                <w:rFonts w:ascii="Calibri" w:hAnsi="Calibri"/>
                <w:b w:val="0"/>
                <w:i w:val="0"/>
                <w:color w:val="101828"/>
                <w:sz w:val="14"/>
              </w:rPr>
              <w:t>Verification queue — SCR-ADM-09</w:t>
            </w:r>
          </w:p>
        </w:tc>
        <w:tc>
          <w:tcPr>
            <w:tcW w:type="dxa" w:w="3773"/>
            <w:tcMar>
              <w:top w:w="60" w:type="dxa"/>
              <w:start w:w="110" w:type="dxa"/>
              <w:bottom w:w="60" w:type="dxa"/>
              <w:end w:w="110" w:type="dxa"/>
            </w:tcMar>
          </w:tcPr>
          <w:p>
            <w:pPr>
              <w:spacing w:after="0"/>
            </w:pPr>
            <w:r/>
            <w:r>
              <w:rPr>
                <w:rFonts w:ascii="Calibri" w:hAnsi="Calibri"/>
                <w:b w:val="0"/>
                <w:i w:val="0"/>
                <w:color w:val="101828"/>
                <w:sz w:val="14"/>
              </w:rPr>
              <w:t>Pending NIN/BVN submissions with the checker's outcome and reason. BVN is never displayed beyond the last four digits, in any view, for anyone.</w:t>
            </w:r>
          </w:p>
        </w:tc>
        <w:tc>
          <w:tcPr>
            <w:tcW w:type="dxa" w:w="1354"/>
            <w:tcMar>
              <w:top w:w="60" w:type="dxa"/>
              <w:start w:w="110" w:type="dxa"/>
              <w:bottom w:w="60" w:type="dxa"/>
              <w:end w:w="110" w:type="dxa"/>
            </w:tcMar>
          </w:tcPr>
          <w:p>
            <w:pPr>
              <w:spacing w:after="0"/>
            </w:pPr>
            <w:r/>
            <w:r>
              <w:rPr>
                <w:rFonts w:ascii="Consolas" w:hAnsi="Consolas"/>
                <w:color w:val="146EF5"/>
                <w:sz w:val="14"/>
              </w:rPr>
              <w:t>support</w:t>
            </w:r>
            <w:r>
              <w:rPr>
                <w:rFonts w:ascii="Calibri" w:hAnsi="Calibri"/>
                <w:b w:val="0"/>
                <w:i w:val="0"/>
                <w:color w:val="101828"/>
                <w:sz w:val="14"/>
              </w:rPr>
              <w:t xml:space="preserve">, </w:t>
            </w:r>
            <w:r>
              <w:rPr>
                <w:rFonts w:ascii="Consolas" w:hAnsi="Consolas"/>
                <w:color w:val="146EF5"/>
                <w:sz w:val="14"/>
              </w:rPr>
              <w:t>risk_officer</w:t>
            </w:r>
          </w:p>
        </w:tc>
      </w:tr>
      <w:tr>
        <w:trPr>
          <w:cantSplit/>
        </w:trPr>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Reports</w:t>
            </w:r>
          </w:p>
        </w:tc>
        <w:tc>
          <w:tcPr>
            <w:tcW w:type="dxa" w:w="1526"/>
            <w:tcMar>
              <w:top w:w="60" w:type="dxa"/>
              <w:start w:w="110" w:type="dxa"/>
              <w:bottom w:w="60" w:type="dxa"/>
              <w:end w:w="110" w:type="dxa"/>
            </w:tcMar>
            <w:shd w:val="clear" w:color="auto" w:fill="F4F7FB"/>
          </w:tcPr>
          <w:p>
            <w:pPr>
              <w:spacing w:after="0"/>
            </w:pPr>
            <w:r/>
            <w:r>
              <w:rPr>
                <w:rFonts w:ascii="Consolas" w:hAnsi="Consolas"/>
                <w:color w:val="146EF5"/>
                <w:sz w:val="14"/>
              </w:rPr>
              <w:t>/admin/reports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Reports — SCR-ADM-10</w:t>
            </w:r>
          </w:p>
        </w:tc>
        <w:tc>
          <w:tcPr>
            <w:tcW w:type="dxa" w:w="3773"/>
            <w:tcMar>
              <w:top w:w="60" w:type="dxa"/>
              <w:start w:w="110" w:type="dxa"/>
              <w:bottom w:w="60" w:type="dxa"/>
              <w:end w:w="110" w:type="dxa"/>
            </w:tcMar>
            <w:shd w:val="clear" w:color="auto" w:fill="F4F7FB"/>
          </w:tcPr>
          <w:p>
            <w:pPr>
              <w:spacing w:after="0"/>
            </w:pPr>
            <w:r/>
            <w:r>
              <w:rPr>
                <w:rFonts w:ascii="Calibri" w:hAnsi="Calibri"/>
                <w:b w:val="0"/>
                <w:i w:val="0"/>
                <w:color w:val="101828"/>
                <w:sz w:val="14"/>
              </w:rPr>
              <w:t>Volume, fee income, contribution and payout counts against the three Year-1 scenarios, default rate, and the reconciliation run log.</w:t>
            </w:r>
          </w:p>
        </w:tc>
        <w:tc>
          <w:tcPr>
            <w:tcW w:type="dxa" w:w="1354"/>
            <w:tcMar>
              <w:top w:w="60" w:type="dxa"/>
              <w:start w:w="110" w:type="dxa"/>
              <w:bottom w:w="60" w:type="dxa"/>
              <w:end w:w="110" w:type="dxa"/>
            </w:tcMar>
            <w:shd w:val="clear" w:color="auto" w:fill="F4F7FB"/>
          </w:tcPr>
          <w:p>
            <w:pPr>
              <w:spacing w:after="0"/>
            </w:pPr>
            <w:r/>
            <w:r>
              <w:rPr>
                <w:rFonts w:ascii="Consolas" w:hAnsi="Consolas"/>
                <w:color w:val="146EF5"/>
                <w:sz w:val="14"/>
              </w:rPr>
              <w:t>support</w:t>
            </w:r>
            <w:r>
              <w:rPr>
                <w:rFonts w:ascii="Calibri" w:hAnsi="Calibri"/>
                <w:b w:val="0"/>
                <w:i w:val="0"/>
                <w:color w:val="101828"/>
                <w:sz w:val="14"/>
              </w:rPr>
              <w:t xml:space="preserve">, </w:t>
            </w:r>
            <w:r>
              <w:rPr>
                <w:rFonts w:ascii="Consolas" w:hAnsi="Consolas"/>
                <w:color w:val="146EF5"/>
                <w:sz w:val="14"/>
              </w:rPr>
              <w:t>super_admin</w:t>
            </w:r>
          </w:p>
        </w:tc>
      </w:tr>
      <w:tr>
        <w:trPr>
          <w:cantSplit/>
        </w:trPr>
        <w:tc>
          <w:tcPr>
            <w:tcW w:type="dxa" w:w="1123"/>
            <w:tcMar>
              <w:top w:w="60" w:type="dxa"/>
              <w:start w:w="110" w:type="dxa"/>
              <w:bottom w:w="60" w:type="dxa"/>
              <w:end w:w="110" w:type="dxa"/>
            </w:tcMar>
          </w:tcPr>
          <w:p>
            <w:pPr>
              <w:spacing w:after="0"/>
            </w:pPr>
            <w:r/>
            <w:r>
              <w:rPr>
                <w:rFonts w:ascii="Calibri" w:hAnsi="Calibri"/>
                <w:b w:val="0"/>
                <w:i w:val="0"/>
                <w:color w:val="101828"/>
                <w:sz w:val="14"/>
              </w:rPr>
              <w:t>Audit Logs</w:t>
            </w:r>
          </w:p>
        </w:tc>
        <w:tc>
          <w:tcPr>
            <w:tcW w:type="dxa" w:w="1526"/>
            <w:tcMar>
              <w:top w:w="60" w:type="dxa"/>
              <w:start w:w="110" w:type="dxa"/>
              <w:bottom w:w="60" w:type="dxa"/>
              <w:end w:w="110" w:type="dxa"/>
            </w:tcMar>
          </w:tcPr>
          <w:p>
            <w:pPr>
              <w:spacing w:after="0"/>
            </w:pPr>
            <w:r/>
            <w:r>
              <w:rPr>
                <w:rFonts w:ascii="Consolas" w:hAnsi="Consolas"/>
                <w:color w:val="146EF5"/>
                <w:sz w:val="14"/>
              </w:rPr>
              <w:t>/admin/audit-logs</w:t>
            </w:r>
          </w:p>
        </w:tc>
        <w:tc>
          <w:tcPr>
            <w:tcW w:type="dxa" w:w="1584"/>
            <w:tcMar>
              <w:top w:w="60" w:type="dxa"/>
              <w:start w:w="110" w:type="dxa"/>
              <w:bottom w:w="60" w:type="dxa"/>
              <w:end w:w="110" w:type="dxa"/>
            </w:tcMar>
          </w:tcPr>
          <w:p>
            <w:pPr>
              <w:spacing w:after="0"/>
            </w:pPr>
            <w:r/>
            <w:r>
              <w:rPr>
                <w:rFonts w:ascii="Calibri" w:hAnsi="Calibri"/>
                <w:b w:val="0"/>
                <w:i w:val="0"/>
                <w:color w:val="101828"/>
                <w:sz w:val="14"/>
              </w:rPr>
              <w:t>Audit Logs — SCR-ADM-11</w:t>
            </w:r>
          </w:p>
        </w:tc>
        <w:tc>
          <w:tcPr>
            <w:tcW w:type="dxa" w:w="3773"/>
            <w:tcMar>
              <w:top w:w="60" w:type="dxa"/>
              <w:start w:w="110" w:type="dxa"/>
              <w:bottom w:w="60" w:type="dxa"/>
              <w:end w:w="110" w:type="dxa"/>
            </w:tcMar>
          </w:tcPr>
          <w:p>
            <w:pPr>
              <w:spacing w:after="0"/>
            </w:pPr>
            <w:r/>
            <w:r>
              <w:rPr>
                <w:rFonts w:ascii="Calibri" w:hAnsi="Calibri"/>
                <w:b w:val="0"/>
                <w:i w:val="0"/>
                <w:color w:val="101828"/>
                <w:sz w:val="14"/>
              </w:rPr>
              <w:t xml:space="preserve">Append-only. Every privileged action: who, what, which record, before and after, from which session, at which </w:t>
            </w:r>
            <w:r>
              <w:rPr>
                <w:rFonts w:ascii="Consolas" w:hAnsi="Consolas"/>
                <w:color w:val="146EF5"/>
                <w:sz w:val="14"/>
              </w:rPr>
              <w:t>X-Request-Id</w:t>
            </w:r>
            <w:r>
              <w:rPr>
                <w:rFonts w:ascii="Calibri" w:hAnsi="Calibri"/>
                <w:b w:val="0"/>
                <w:i w:val="0"/>
                <w:color w:val="101828"/>
                <w:sz w:val="14"/>
              </w:rPr>
              <w:t xml:space="preserve">. Filterable, exportable, </w:t>
            </w:r>
            <w:r>
              <w:rPr>
                <w:rFonts w:ascii="Calibri" w:hAnsi="Calibri"/>
                <w:b/>
                <w:color w:val="101828"/>
                <w:sz w:val="14"/>
              </w:rPr>
              <w:t>not deletable, including by `super_admin`</w:t>
            </w:r>
            <w:r>
              <w:rPr>
                <w:rFonts w:ascii="Calibri" w:hAnsi="Calibri"/>
                <w:b w:val="0"/>
                <w:i w:val="0"/>
                <w:color w:val="101828"/>
                <w:sz w:val="14"/>
              </w:rPr>
              <w:t>.</w:t>
            </w:r>
          </w:p>
        </w:tc>
        <w:tc>
          <w:tcPr>
            <w:tcW w:type="dxa" w:w="1354"/>
            <w:tcMar>
              <w:top w:w="60" w:type="dxa"/>
              <w:start w:w="110" w:type="dxa"/>
              <w:bottom w:w="60" w:type="dxa"/>
              <w:end w:w="110" w:type="dxa"/>
            </w:tcMar>
          </w:tcPr>
          <w:p>
            <w:pPr>
              <w:spacing w:after="0"/>
            </w:pPr>
            <w:r/>
            <w:r>
              <w:rPr>
                <w:rFonts w:ascii="Calibri" w:hAnsi="Calibri"/>
                <w:b w:val="0"/>
                <w:i w:val="0"/>
                <w:color w:val="101828"/>
                <w:sz w:val="14"/>
              </w:rPr>
              <w:t>All admin</w:t>
            </w:r>
          </w:p>
        </w:tc>
      </w:tr>
      <w:tr>
        <w:trPr>
          <w:cantSplit/>
        </w:trPr>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Settings</w:t>
            </w:r>
          </w:p>
        </w:tc>
        <w:tc>
          <w:tcPr>
            <w:tcW w:type="dxa" w:w="1526"/>
            <w:tcMar>
              <w:top w:w="60" w:type="dxa"/>
              <w:start w:w="110" w:type="dxa"/>
              <w:bottom w:w="60" w:type="dxa"/>
              <w:end w:w="110" w:type="dxa"/>
            </w:tcMar>
            <w:shd w:val="clear" w:color="auto" w:fill="F4F7FB"/>
          </w:tcPr>
          <w:p>
            <w:pPr>
              <w:spacing w:after="0"/>
            </w:pPr>
            <w:r/>
            <w:r>
              <w:rPr>
                <w:rFonts w:ascii="Consolas" w:hAnsi="Consolas"/>
                <w:color w:val="146EF5"/>
                <w:sz w:val="14"/>
              </w:rPr>
              <w:t>/admin/settings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Settings — SCR-ADM-12</w:t>
            </w:r>
          </w:p>
        </w:tc>
        <w:tc>
          <w:tcPr>
            <w:tcW w:type="dxa" w:w="3773"/>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Limits, notification template overrides, contribution cap, max Ajo size, feature flags. The fee rate is </w:t>
            </w:r>
            <w:r>
              <w:rPr>
                <w:rFonts w:ascii="Calibri" w:hAnsi="Calibri"/>
                <w:b/>
                <w:color w:val="101828"/>
                <w:sz w:val="14"/>
              </w:rPr>
              <w:t>read-only here</w:t>
            </w:r>
            <w:r>
              <w:rPr>
                <w:rFonts w:ascii="Calibri" w:hAnsi="Calibri"/>
                <w:b w:val="0"/>
                <w:i w:val="0"/>
                <w:color w:val="101828"/>
                <w:sz w:val="14"/>
              </w:rPr>
              <w:t xml:space="preserve"> — changing it is a code and legal change, not a settings change (D-06 open).</w:t>
            </w:r>
          </w:p>
        </w:tc>
        <w:tc>
          <w:tcPr>
            <w:tcW w:type="dxa" w:w="1354"/>
            <w:tcMar>
              <w:top w:w="60" w:type="dxa"/>
              <w:start w:w="110" w:type="dxa"/>
              <w:bottom w:w="60" w:type="dxa"/>
              <w:end w:w="110" w:type="dxa"/>
            </w:tcMar>
            <w:shd w:val="clear" w:color="auto" w:fill="F4F7FB"/>
          </w:tcPr>
          <w:p>
            <w:pPr>
              <w:spacing w:after="0"/>
            </w:pPr>
            <w:r/>
            <w:r>
              <w:rPr>
                <w:rFonts w:ascii="Consolas" w:hAnsi="Consolas"/>
                <w:color w:val="146EF5"/>
                <w:sz w:val="14"/>
              </w:rPr>
              <w:t>super_admin</w:t>
            </w:r>
            <w:r>
              <w:rPr>
                <w:rFonts w:ascii="Calibri" w:hAnsi="Calibri"/>
                <w:b w:val="0"/>
                <w:i w:val="0"/>
                <w:color w:val="101828"/>
                <w:sz w:val="14"/>
              </w:rPr>
              <w:t xml:space="preserve"> only</w:t>
            </w:r>
          </w:p>
        </w:tc>
      </w:tr>
      <w:tr>
        <w:trPr>
          <w:cantSplit/>
        </w:trPr>
        <w:tc>
          <w:tcPr>
            <w:tcW w:type="dxa" w:w="1123"/>
            <w:tcMar>
              <w:top w:w="60" w:type="dxa"/>
              <w:start w:w="110" w:type="dxa"/>
              <w:bottom w:w="60" w:type="dxa"/>
              <w:end w:w="110" w:type="dxa"/>
            </w:tcMar>
          </w:tcPr>
          <w:p>
            <w:pPr>
              <w:spacing w:after="0"/>
            </w:pPr>
            <w:r/>
            <w:r>
              <w:rPr>
                <w:rFonts w:ascii="Calibri" w:hAnsi="Calibri"/>
                <w:b w:val="0"/>
                <w:i w:val="0"/>
                <w:color w:val="101828"/>
                <w:sz w:val="14"/>
              </w:rPr>
              <w:t>(none)</w:t>
            </w:r>
          </w:p>
        </w:tc>
        <w:tc>
          <w:tcPr>
            <w:tcW w:type="dxa" w:w="1526"/>
            <w:tcMar>
              <w:top w:w="60" w:type="dxa"/>
              <w:start w:w="110" w:type="dxa"/>
              <w:bottom w:w="60" w:type="dxa"/>
              <w:end w:w="110" w:type="dxa"/>
            </w:tcMar>
          </w:tcPr>
          <w:p>
            <w:pPr>
              <w:spacing w:after="0"/>
            </w:pPr>
            <w:r/>
            <w:r>
              <w:rPr>
                <w:rFonts w:ascii="Consolas" w:hAnsi="Consolas"/>
                <w:color w:val="146EF5"/>
                <w:sz w:val="14"/>
              </w:rPr>
              <w:t>/admin/denied</w:t>
            </w:r>
          </w:p>
        </w:tc>
        <w:tc>
          <w:tcPr>
            <w:tcW w:type="dxa" w:w="1584"/>
            <w:tcMar>
              <w:top w:w="60" w:type="dxa"/>
              <w:start w:w="110" w:type="dxa"/>
              <w:bottom w:w="60" w:type="dxa"/>
              <w:end w:w="110" w:type="dxa"/>
            </w:tcMar>
          </w:tcPr>
          <w:p>
            <w:pPr>
              <w:spacing w:after="0"/>
            </w:pPr>
            <w:r/>
            <w:r>
              <w:rPr>
                <w:rFonts w:ascii="Calibri" w:hAnsi="Calibri"/>
                <w:b w:val="0"/>
                <w:i w:val="0"/>
                <w:color w:val="101828"/>
                <w:sz w:val="14"/>
              </w:rPr>
              <w:t>Access denied — SCR-ADM-13</w:t>
            </w:r>
          </w:p>
        </w:tc>
        <w:tc>
          <w:tcPr>
            <w:tcW w:type="dxa" w:w="3773"/>
            <w:tcMar>
              <w:top w:w="60" w:type="dxa"/>
              <w:start w:w="110" w:type="dxa"/>
              <w:bottom w:w="60" w:type="dxa"/>
              <w:end w:w="110" w:type="dxa"/>
            </w:tcMar>
          </w:tcPr>
          <w:p>
            <w:pPr>
              <w:spacing w:after="0"/>
            </w:pPr>
            <w:r/>
            <w:r>
              <w:rPr>
                <w:rFonts w:ascii="Calibri" w:hAnsi="Calibri"/>
                <w:b w:val="0"/>
                <w:i w:val="0"/>
                <w:color w:val="101828"/>
                <w:sz w:val="14"/>
              </w:rPr>
              <w:t xml:space="preserve">Shown when an authenticated user holds a tier-1 or tier-2 session and requests </w:t>
            </w:r>
            <w:r>
              <w:rPr>
                <w:rFonts w:ascii="Consolas" w:hAnsi="Consolas"/>
                <w:color w:val="146EF5"/>
                <w:sz w:val="14"/>
              </w:rPr>
              <w:t>/admin/**</w:t>
            </w:r>
            <w:r>
              <w:rPr>
                <w:rFonts w:ascii="Calibri" w:hAnsi="Calibri"/>
                <w:b w:val="0"/>
                <w:i w:val="0"/>
                <w:color w:val="101828"/>
                <w:sz w:val="14"/>
              </w:rPr>
              <w:t>, or holds an admin role without the specific permission. States the role held and the role required, without enumerating the admin surface.</w:t>
            </w:r>
          </w:p>
        </w:tc>
        <w:tc>
          <w:tcPr>
            <w:tcW w:type="dxa" w:w="1354"/>
            <w:tcMar>
              <w:top w:w="60" w:type="dxa"/>
              <w:start w:w="110" w:type="dxa"/>
              <w:bottom w:w="60" w:type="dxa"/>
              <w:end w:w="110" w:type="dxa"/>
            </w:tcMar>
          </w:tcPr>
          <w:p>
            <w:pPr>
              <w:spacing w:after="0"/>
            </w:pPr>
            <w:r/>
            <w:r>
              <w:rPr>
                <w:rFonts w:ascii="Calibri" w:hAnsi="Calibri"/>
                <w:b w:val="0"/>
                <w:i w:val="0"/>
                <w:color w:val="101828"/>
                <w:sz w:val="14"/>
              </w:rPr>
              <w:t>Any</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What an admin screen may never contain  </w:t>
      </w:r>
      <w:r>
        <w:rPr>
          <w:rFonts w:ascii="Calibri" w:hAnsi="Calibri"/>
          <w:b w:val="0"/>
          <w:i w:val="0"/>
          <w:color w:val="0B1F3A"/>
          <w:sz w:val="19"/>
        </w:rPr>
        <w:t>A control that edits or deletes a ledger entry, a control that changes a member's obligation, a control that releases a payout without a funded round, and a control that alters the 2% fee. If an admin screen appears to need one of these, the correct mechanism is a reversing ledger entry, a risk decision recorded against the Ajo, or a code change reviewed by the founders. This is CANONICAL.md's hard rule and it is a UI constraint as much as a data one.</w:t>
      </w:r>
    </w:p>
    <w:p>
      <w:pPr>
        <w:pStyle w:val="Heading2"/>
      </w:pPr>
      <w:r>
        <w:rPr>
          <w:rFonts w:ascii="Calibri" w:hAnsi="Calibri"/>
          <w:b/>
          <w:i w:val="0"/>
          <w:color w:val="146EF5"/>
          <w:sz w:val="29"/>
        </w:rPr>
        <w:t>3.5 Full navigation tree</w:t>
      </w:r>
    </w:p>
    <w:p>
      <w:r>
        <w:rPr>
          <w:rFonts w:ascii="Calibri" w:hAnsi="Calibri"/>
          <w:b w:val="0"/>
          <w:i w:val="0"/>
          <w:color w:val="101828"/>
          <w:sz w:val="21"/>
        </w:rPr>
        <w:t xml:space="preserve">The complete tree, with the screen identifier for every leaf and the role gate in brackets. </w:t>
      </w:r>
      <w:r>
        <w:rPr>
          <w:rFonts w:ascii="Consolas" w:hAnsi="Consolas"/>
          <w:color w:val="146EF5"/>
          <w:sz w:val="21"/>
        </w:rPr>
        <w:t>[A]</w:t>
      </w:r>
      <w:r>
        <w:rPr>
          <w:rFonts w:ascii="Calibri" w:hAnsi="Calibri"/>
          <w:b w:val="0"/>
          <w:i w:val="0"/>
          <w:color w:val="101828"/>
          <w:sz w:val="21"/>
        </w:rPr>
        <w:t xml:space="preserve"> is any tier-2 role, </w:t>
      </w:r>
      <w:r>
        <w:rPr>
          <w:rFonts w:ascii="Consolas" w:hAnsi="Consolas"/>
          <w:color w:val="146EF5"/>
          <w:sz w:val="21"/>
        </w:rPr>
        <w:t>[O]</w:t>
      </w:r>
      <w:r>
        <w:rPr>
          <w:rFonts w:ascii="Calibri" w:hAnsi="Calibri"/>
          <w:b w:val="0"/>
          <w:i w:val="0"/>
          <w:color w:val="101828"/>
          <w:sz w:val="21"/>
        </w:rPr>
        <w:t xml:space="preserve"> adds the organiser capability, </w:t>
      </w:r>
      <w:r>
        <w:rPr>
          <w:rFonts w:ascii="Consolas" w:hAnsi="Consolas"/>
          <w:color w:val="146EF5"/>
          <w:sz w:val="21"/>
        </w:rPr>
        <w:t>[S]</w:t>
      </w:r>
      <w:r>
        <w:rPr>
          <w:rFonts w:ascii="Calibri" w:hAnsi="Calibri"/>
          <w:b w:val="0"/>
          <w:i w:val="0"/>
          <w:color w:val="101828"/>
          <w:sz w:val="21"/>
        </w:rPr>
        <w:t xml:space="preserve"> is </w:t>
      </w:r>
      <w:r>
        <w:rPr>
          <w:rFonts w:ascii="Consolas" w:hAnsi="Consolas"/>
          <w:color w:val="146EF5"/>
          <w:sz w:val="21"/>
        </w:rPr>
        <w:t>support</w:t>
      </w:r>
      <w:r>
        <w:rPr>
          <w:rFonts w:ascii="Calibri" w:hAnsi="Calibri"/>
          <w:b w:val="0"/>
          <w:i w:val="0"/>
          <w:color w:val="101828"/>
          <w:sz w:val="21"/>
        </w:rPr>
        <w:t xml:space="preserve">, </w:t>
      </w:r>
      <w:r>
        <w:rPr>
          <w:rFonts w:ascii="Consolas" w:hAnsi="Consolas"/>
          <w:color w:val="146EF5"/>
          <w:sz w:val="21"/>
        </w:rPr>
        <w:t>[R]</w:t>
      </w:r>
      <w:r>
        <w:rPr>
          <w:rFonts w:ascii="Calibri" w:hAnsi="Calibri"/>
          <w:b w:val="0"/>
          <w:i w:val="0"/>
          <w:color w:val="101828"/>
          <w:sz w:val="21"/>
        </w:rPr>
        <w:t xml:space="preserve"> is </w:t>
      </w:r>
      <w:r>
        <w:rPr>
          <w:rFonts w:ascii="Consolas" w:hAnsi="Consolas"/>
          <w:color w:val="146EF5"/>
          <w:sz w:val="21"/>
        </w:rPr>
        <w:t>risk_officer</w:t>
      </w:r>
      <w:r>
        <w:rPr>
          <w:rFonts w:ascii="Calibri" w:hAnsi="Calibri"/>
          <w:b w:val="0"/>
          <w:i w:val="0"/>
          <w:color w:val="101828"/>
          <w:sz w:val="21"/>
        </w:rPr>
        <w:t xml:space="preserve">, </w:t>
      </w:r>
      <w:r>
        <w:rPr>
          <w:rFonts w:ascii="Consolas" w:hAnsi="Consolas"/>
          <w:color w:val="146EF5"/>
          <w:sz w:val="21"/>
        </w:rPr>
        <w:t>[*]</w:t>
      </w:r>
      <w:r>
        <w:rPr>
          <w:rFonts w:ascii="Calibri" w:hAnsi="Calibri"/>
          <w:b w:val="0"/>
          <w:i w:val="0"/>
          <w:color w:val="101828"/>
          <w:sz w:val="21"/>
        </w:rPr>
        <w:t xml:space="preserve"> is </w:t>
      </w:r>
      <w:r>
        <w:rPr>
          <w:rFonts w:ascii="Consolas" w:hAnsi="Consolas"/>
          <w:color w:val="146EF5"/>
          <w:sz w:val="21"/>
        </w:rPr>
        <w:t>super_admin</w:t>
      </w:r>
      <w:r>
        <w:rPr>
          <w:rFonts w:ascii="Calibri" w:hAnsi="Calibri"/>
          <w:b w:val="0"/>
          <w:i w:val="0"/>
          <w:color w:val="101828"/>
          <w:sz w:val="21"/>
        </w:rPr>
        <w:t>.</w:t>
      </w:r>
    </w:p>
    <w:p>
      <w:pPr>
        <w:spacing w:before="0" w:after="0" w:line="240" w:lineRule="auto"/>
        <w:ind w:left="230"/>
        <w:shd w:val="clear" w:color="auto" w:fill="F7F9FC"/>
        <w:pBdr>
          <w:left w:val="single" w:sz="4" w:space="6" w:color="D0D5DD"/>
        </w:pBdr>
      </w:pPr>
      <w:r>
        <w:rPr>
          <w:rFonts w:ascii="Consolas" w:hAnsi="Consolas"/>
          <w:color w:val="0B1F3A"/>
          <w:sz w:val="16"/>
        </w:rPr>
        <w:t>ajo.ng</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 TIER 1  PUBLIC WEBSITE ........... no account, indexable</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                      SCR-WEB-01  Home</w:t>
      </w:r>
    </w:p>
    <w:p>
      <w:pPr>
        <w:spacing w:before="0" w:after="0" w:line="240" w:lineRule="auto"/>
        <w:ind w:left="230"/>
        <w:shd w:val="clear" w:color="auto" w:fill="F7F9FC"/>
        <w:pBdr>
          <w:left w:val="single" w:sz="4" w:space="6" w:color="D0D5DD"/>
        </w:pBdr>
      </w:pPr>
      <w:r>
        <w:rPr>
          <w:rFonts w:ascii="Consolas" w:hAnsi="Consolas"/>
          <w:color w:val="0B1F3A"/>
          <w:sz w:val="16"/>
        </w:rPr>
        <w:t>|   +-- /how-it-works          SCR-WEB-02</w:t>
      </w:r>
    </w:p>
    <w:p>
      <w:pPr>
        <w:spacing w:before="0" w:after="0" w:line="240" w:lineRule="auto"/>
        <w:ind w:left="230"/>
        <w:shd w:val="clear" w:color="auto" w:fill="F7F9FC"/>
        <w:pBdr>
          <w:left w:val="single" w:sz="4" w:space="6" w:color="D0D5DD"/>
        </w:pBdr>
      </w:pPr>
      <w:r>
        <w:rPr>
          <w:rFonts w:ascii="Consolas" w:hAnsi="Consolas"/>
          <w:color w:val="0B1F3A"/>
          <w:sz w:val="16"/>
        </w:rPr>
        <w:t>|   +-- /features              SCR-WEB-03</w:t>
      </w:r>
    </w:p>
    <w:p>
      <w:pPr>
        <w:spacing w:before="0" w:after="0" w:line="240" w:lineRule="auto"/>
        <w:ind w:left="230"/>
        <w:shd w:val="clear" w:color="auto" w:fill="F7F9FC"/>
        <w:pBdr>
          <w:left w:val="single" w:sz="4" w:space="6" w:color="D0D5DD"/>
        </w:pBdr>
      </w:pPr>
      <w:r>
        <w:rPr>
          <w:rFonts w:ascii="Consolas" w:hAnsi="Consolas"/>
          <w:color w:val="0B1F3A"/>
          <w:sz w:val="16"/>
        </w:rPr>
        <w:t>|   +-- /safety-and-trust      SCR-WEB-04</w:t>
      </w:r>
    </w:p>
    <w:p>
      <w:pPr>
        <w:spacing w:before="0" w:after="0" w:line="240" w:lineRule="auto"/>
        <w:ind w:left="230"/>
        <w:shd w:val="clear" w:color="auto" w:fill="F7F9FC"/>
        <w:pBdr>
          <w:left w:val="single" w:sz="4" w:space="6" w:color="D0D5DD"/>
        </w:pBdr>
      </w:pPr>
      <w:r>
        <w:rPr>
          <w:rFonts w:ascii="Consolas" w:hAnsi="Consolas"/>
          <w:color w:val="0B1F3A"/>
          <w:sz w:val="16"/>
        </w:rPr>
        <w:t>|   +-- /fees                  SCR-WEB-05</w:t>
      </w:r>
    </w:p>
    <w:p>
      <w:pPr>
        <w:spacing w:before="0" w:after="0" w:line="240" w:lineRule="auto"/>
        <w:ind w:left="230"/>
        <w:shd w:val="clear" w:color="auto" w:fill="F7F9FC"/>
        <w:pBdr>
          <w:left w:val="single" w:sz="4" w:space="6" w:color="D0D5DD"/>
        </w:pBdr>
      </w:pPr>
      <w:r>
        <w:rPr>
          <w:rFonts w:ascii="Consolas" w:hAnsi="Consolas"/>
          <w:color w:val="0B1F3A"/>
          <w:sz w:val="16"/>
        </w:rPr>
        <w:t>|   +-- /about                 SCR-WEB-06</w:t>
      </w:r>
    </w:p>
    <w:p>
      <w:pPr>
        <w:spacing w:before="0" w:after="0" w:line="240" w:lineRule="auto"/>
        <w:ind w:left="230"/>
        <w:shd w:val="clear" w:color="auto" w:fill="F7F9FC"/>
        <w:pBdr>
          <w:left w:val="single" w:sz="4" w:space="6" w:color="D0D5DD"/>
        </w:pBdr>
      </w:pPr>
      <w:r>
        <w:rPr>
          <w:rFonts w:ascii="Consolas" w:hAnsi="Consolas"/>
          <w:color w:val="0B1F3A"/>
          <w:sz w:val="16"/>
        </w:rPr>
        <w:t>|   +-- /faq                   SCR-WEB-07</w:t>
      </w:r>
    </w:p>
    <w:p>
      <w:pPr>
        <w:spacing w:before="0" w:after="0" w:line="240" w:lineRule="auto"/>
        <w:ind w:left="230"/>
        <w:shd w:val="clear" w:color="auto" w:fill="F7F9FC"/>
        <w:pBdr>
          <w:left w:val="single" w:sz="4" w:space="6" w:color="D0D5DD"/>
        </w:pBdr>
      </w:pPr>
      <w:r>
        <w:rPr>
          <w:rFonts w:ascii="Consolas" w:hAnsi="Consolas"/>
          <w:color w:val="0B1F3A"/>
          <w:sz w:val="16"/>
        </w:rPr>
        <w:t>|   +-- /contact               SCR-WEB-08</w:t>
      </w:r>
    </w:p>
    <w:p>
      <w:pPr>
        <w:spacing w:before="0" w:after="0" w:line="240" w:lineRule="auto"/>
        <w:ind w:left="230"/>
        <w:shd w:val="clear" w:color="auto" w:fill="F7F9FC"/>
        <w:pBdr>
          <w:left w:val="single" w:sz="4" w:space="6" w:color="D0D5DD"/>
        </w:pBdr>
      </w:pPr>
      <w:r>
        <w:rPr>
          <w:rFonts w:ascii="Consolas" w:hAnsi="Consolas"/>
          <w:color w:val="0B1F3A"/>
          <w:sz w:val="16"/>
        </w:rPr>
        <w:t>|   +-- /terms                 SCR-WEB-15</w:t>
      </w:r>
    </w:p>
    <w:p>
      <w:pPr>
        <w:spacing w:before="0" w:after="0" w:line="240" w:lineRule="auto"/>
        <w:ind w:left="230"/>
        <w:shd w:val="clear" w:color="auto" w:fill="F7F9FC"/>
        <w:pBdr>
          <w:left w:val="single" w:sz="4" w:space="6" w:color="D0D5DD"/>
        </w:pBdr>
      </w:pPr>
      <w:r>
        <w:rPr>
          <w:rFonts w:ascii="Consolas" w:hAnsi="Consolas"/>
          <w:color w:val="0B1F3A"/>
          <w:sz w:val="16"/>
        </w:rPr>
        <w:t>|   +-- /privacy               SCR-WEB-16</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/login                 SCR-WEB-09</w:t>
      </w:r>
    </w:p>
    <w:p>
      <w:pPr>
        <w:spacing w:before="0" w:after="0" w:line="240" w:lineRule="auto"/>
        <w:ind w:left="230"/>
        <w:shd w:val="clear" w:color="auto" w:fill="F7F9FC"/>
        <w:pBdr>
          <w:left w:val="single" w:sz="4" w:space="6" w:color="D0D5DD"/>
        </w:pBdr>
      </w:pPr>
      <w:r>
        <w:rPr>
          <w:rFonts w:ascii="Consolas" w:hAnsi="Consolas"/>
          <w:color w:val="0B1F3A"/>
          <w:sz w:val="16"/>
        </w:rPr>
        <w:t>|   +-- /register              SCR-WEB-10</w:t>
      </w:r>
    </w:p>
    <w:p>
      <w:pPr>
        <w:spacing w:before="0" w:after="0" w:line="240" w:lineRule="auto"/>
        <w:ind w:left="230"/>
        <w:shd w:val="clear" w:color="auto" w:fill="F7F9FC"/>
        <w:pBdr>
          <w:left w:val="single" w:sz="4" w:space="6" w:color="D0D5DD"/>
        </w:pBdr>
      </w:pPr>
      <w:r>
        <w:rPr>
          <w:rFonts w:ascii="Consolas" w:hAnsi="Consolas"/>
          <w:color w:val="0B1F3A"/>
          <w:sz w:val="16"/>
        </w:rPr>
        <w:t>|   +-- /verify-email          SCR-WEB-11</w:t>
      </w:r>
    </w:p>
    <w:p>
      <w:pPr>
        <w:spacing w:before="0" w:after="0" w:line="240" w:lineRule="auto"/>
        <w:ind w:left="230"/>
        <w:shd w:val="clear" w:color="auto" w:fill="F7F9FC"/>
        <w:pBdr>
          <w:left w:val="single" w:sz="4" w:space="6" w:color="D0D5DD"/>
        </w:pBdr>
      </w:pPr>
      <w:r>
        <w:rPr>
          <w:rFonts w:ascii="Consolas" w:hAnsi="Consolas"/>
          <w:color w:val="0B1F3A"/>
          <w:sz w:val="16"/>
        </w:rPr>
        <w:t>|   +-- /verify-phone          SCR-WEB-12</w:t>
      </w:r>
    </w:p>
    <w:p>
      <w:pPr>
        <w:spacing w:before="0" w:after="0" w:line="240" w:lineRule="auto"/>
        <w:ind w:left="230"/>
        <w:shd w:val="clear" w:color="auto" w:fill="F7F9FC"/>
        <w:pBdr>
          <w:left w:val="single" w:sz="4" w:space="6" w:color="D0D5DD"/>
        </w:pBdr>
      </w:pPr>
      <w:r>
        <w:rPr>
          <w:rFonts w:ascii="Consolas" w:hAnsi="Consolas"/>
          <w:color w:val="0B1F3A"/>
          <w:sz w:val="16"/>
        </w:rPr>
        <w:t>|   +-- /forgot-password       SCR-WEB-13</w:t>
      </w:r>
    </w:p>
    <w:p>
      <w:pPr>
        <w:spacing w:before="0" w:after="0" w:line="240" w:lineRule="auto"/>
        <w:ind w:left="230"/>
        <w:shd w:val="clear" w:color="auto" w:fill="F7F9FC"/>
        <w:pBdr>
          <w:left w:val="single" w:sz="4" w:space="6" w:color="D0D5DD"/>
        </w:pBdr>
      </w:pPr>
      <w:r>
        <w:rPr>
          <w:rFonts w:ascii="Consolas" w:hAnsi="Consolas"/>
          <w:color w:val="0B1F3A"/>
          <w:sz w:val="16"/>
        </w:rPr>
        <w:t>|   +-- /reset-password        SCR-WEB-14</w:t>
      </w:r>
    </w:p>
    <w:p>
      <w:pPr>
        <w:spacing w:before="0" w:after="0" w:line="240" w:lineRule="auto"/>
        <w:ind w:left="230"/>
        <w:shd w:val="clear" w:color="auto" w:fill="F7F9FC"/>
        <w:pBdr>
          <w:left w:val="single" w:sz="4" w:space="6" w:color="D0D5DD"/>
        </w:pBdr>
      </w:pPr>
      <w:r>
        <w:rPr>
          <w:rFonts w:ascii="Consolas" w:hAnsi="Consolas"/>
          <w:color w:val="0B1F3A"/>
          <w:sz w:val="16"/>
        </w:rPr>
        <w:t>|   +-- /status                SCR-WEB-17   frozen / under review</w:t>
      </w:r>
    </w:p>
    <w:p>
      <w:pPr>
        <w:spacing w:before="0" w:after="0" w:line="240" w:lineRule="auto"/>
        <w:ind w:left="230"/>
        <w:shd w:val="clear" w:color="auto" w:fill="F7F9FC"/>
        <w:pBdr>
          <w:left w:val="single" w:sz="4" w:space="6" w:color="D0D5DD"/>
        </w:pBdr>
      </w:pPr>
      <w:r>
        <w:rPr>
          <w:rFonts w:ascii="Consolas" w:hAnsi="Consolas"/>
          <w:color w:val="0B1F3A"/>
          <w:sz w:val="16"/>
        </w:rPr>
        <w:t>|   +-- /invite/:token         SCR-MOB-24   bridge into tier 2</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 TIER 2  AUTHENTICATED APP ...... /app, [A] [O]</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/app                   SCR-MOB-01  Dashboard</w:t>
      </w:r>
    </w:p>
    <w:p>
      <w:pPr>
        <w:spacing w:before="0" w:after="0" w:line="240" w:lineRule="auto"/>
        <w:ind w:left="230"/>
        <w:shd w:val="clear" w:color="auto" w:fill="F7F9FC"/>
        <w:pBdr>
          <w:left w:val="single" w:sz="4" w:space="6" w:color="D0D5DD"/>
        </w:pBdr>
      </w:pPr>
      <w:r>
        <w:rPr>
          <w:rFonts w:ascii="Consolas" w:hAnsi="Consolas"/>
          <w:color w:val="0B1F3A"/>
          <w:sz w:val="16"/>
        </w:rPr>
        <w:t>|   +-- /app/ajos              SCR-MOB-02  My Ajos</w:t>
      </w:r>
    </w:p>
    <w:p>
      <w:pPr>
        <w:spacing w:before="0" w:after="0" w:line="240" w:lineRule="auto"/>
        <w:ind w:left="230"/>
        <w:shd w:val="clear" w:color="auto" w:fill="F7F9FC"/>
        <w:pBdr>
          <w:left w:val="single" w:sz="4" w:space="6" w:color="D0D5DD"/>
        </w:pBdr>
      </w:pPr>
      <w:r>
        <w:rPr>
          <w:rFonts w:ascii="Consolas" w:hAnsi="Consolas"/>
          <w:color w:val="0B1F3A"/>
          <w:sz w:val="16"/>
        </w:rPr>
        <w:t>|   |   +-- new                SCR-MOB-05  Create Ajo wizard</w:t>
      </w:r>
    </w:p>
    <w:p>
      <w:pPr>
        <w:spacing w:before="0" w:after="0" w:line="240" w:lineRule="auto"/>
        <w:ind w:left="230"/>
        <w:shd w:val="clear" w:color="auto" w:fill="F7F9FC"/>
        <w:pBdr>
          <w:left w:val="single" w:sz="4" w:space="6" w:color="D0D5DD"/>
        </w:pBdr>
      </w:pPr>
      <w:r>
        <w:rPr>
          <w:rFonts w:ascii="Consolas" w:hAnsi="Consolas"/>
          <w:color w:val="0B1F3A"/>
          <w:sz w:val="16"/>
        </w:rPr>
        <w:t>|   |   |   +-- 1  configure   05.1   name, size, NGN, start</w:t>
      </w:r>
    </w:p>
    <w:p>
      <w:pPr>
        <w:spacing w:before="0" w:after="0" w:line="240" w:lineRule="auto"/>
        <w:ind w:left="230"/>
        <w:shd w:val="clear" w:color="auto" w:fill="F7F9FC"/>
        <w:pBdr>
          <w:left w:val="single" w:sz="4" w:space="6" w:color="D0D5DD"/>
        </w:pBdr>
      </w:pPr>
      <w:r>
        <w:rPr>
          <w:rFonts w:ascii="Consolas" w:hAnsi="Consolas"/>
          <w:color w:val="0B1F3A"/>
          <w:sz w:val="16"/>
        </w:rPr>
        <w:t>|   |   |   +-- 2  amount      05.2   NGN 1,000.00 + NGN 20.00 fee</w:t>
      </w:r>
    </w:p>
    <w:p>
      <w:pPr>
        <w:spacing w:before="0" w:after="0" w:line="240" w:lineRule="auto"/>
        <w:ind w:left="230"/>
        <w:shd w:val="clear" w:color="auto" w:fill="F7F9FC"/>
        <w:pBdr>
          <w:left w:val="single" w:sz="4" w:space="6" w:color="D0D5DD"/>
        </w:pBdr>
      </w:pPr>
      <w:r>
        <w:rPr>
          <w:rFonts w:ascii="Consolas" w:hAnsi="Consolas"/>
          <w:color w:val="0B1F3A"/>
          <w:sz w:val="16"/>
        </w:rPr>
        <w:t>|   |   |   +-- 3  frequency   05.3   weekly | monthly</w:t>
      </w:r>
    </w:p>
    <w:p>
      <w:pPr>
        <w:spacing w:before="0" w:after="0" w:line="240" w:lineRule="auto"/>
        <w:ind w:left="230"/>
        <w:shd w:val="clear" w:color="auto" w:fill="F7F9FC"/>
        <w:pBdr>
          <w:left w:val="single" w:sz="4" w:space="6" w:color="D0D5DD"/>
        </w:pBdr>
      </w:pPr>
      <w:r>
        <w:rPr>
          <w:rFonts w:ascii="Consolas" w:hAnsi="Consolas"/>
          <w:color w:val="0B1F3A"/>
          <w:sz w:val="16"/>
        </w:rPr>
        <w:t>|   |   |   +-- 4  duration    05.4   10 rounds = 10 members</w:t>
      </w:r>
    </w:p>
    <w:p>
      <w:pPr>
        <w:spacing w:before="0" w:after="0" w:line="240" w:lineRule="auto"/>
        <w:ind w:left="230"/>
        <w:shd w:val="clear" w:color="auto" w:fill="F7F9FC"/>
        <w:pBdr>
          <w:left w:val="single" w:sz="4" w:space="6" w:color="D0D5DD"/>
        </w:pBdr>
      </w:pPr>
      <w:r>
        <w:rPr>
          <w:rFonts w:ascii="Consolas" w:hAnsi="Consolas"/>
          <w:color w:val="0B1F3A"/>
          <w:sz w:val="16"/>
        </w:rPr>
        <w:t>|   |   |   +-- 5  invite      05.5   members + invitations</w:t>
      </w:r>
    </w:p>
    <w:p>
      <w:pPr>
        <w:spacing w:before="0" w:after="0" w:line="240" w:lineRule="auto"/>
        <w:ind w:left="230"/>
        <w:shd w:val="clear" w:color="auto" w:fill="F7F9FC"/>
        <w:pBdr>
          <w:left w:val="single" w:sz="4" w:space="6" w:color="D0D5DD"/>
        </w:pBdr>
      </w:pPr>
      <w:r>
        <w:rPr>
          <w:rFonts w:ascii="Consolas" w:hAnsi="Consolas"/>
          <w:color w:val="0B1F3A"/>
          <w:sz w:val="16"/>
        </w:rPr>
        <w:t>|   |   |   +-- 6  order       05.6   payout positions [O]</w:t>
      </w:r>
    </w:p>
    <w:p>
      <w:pPr>
        <w:spacing w:before="0" w:after="0" w:line="240" w:lineRule="auto"/>
        <w:ind w:left="230"/>
        <w:shd w:val="clear" w:color="auto" w:fill="F7F9FC"/>
        <w:pBdr>
          <w:left w:val="single" w:sz="4" w:space="6" w:color="D0D5DD"/>
        </w:pBdr>
      </w:pPr>
      <w:r>
        <w:rPr>
          <w:rFonts w:ascii="Consolas" w:hAnsi="Consolas"/>
          <w:color w:val="0B1F3A"/>
          <w:sz w:val="16"/>
        </w:rPr>
        <w:t>|   |   |   +-- 7  review      05.7   acknowledge + open window</w:t>
      </w:r>
    </w:p>
    <w:p>
      <w:pPr>
        <w:spacing w:before="0" w:after="0" w:line="240" w:lineRule="auto"/>
        <w:ind w:left="230"/>
        <w:shd w:val="clear" w:color="auto" w:fill="F7F9FC"/>
        <w:pBdr>
          <w:left w:val="single" w:sz="4" w:space="6" w:color="D0D5DD"/>
        </w:pBdr>
      </w:pPr>
      <w:r>
        <w:rPr>
          <w:rFonts w:ascii="Consolas" w:hAnsi="Consolas"/>
          <w:color w:val="0B1F3A"/>
          <w:sz w:val="16"/>
        </w:rPr>
        <w:t>|   |   +-- :id                SCR-MOB-03  Ajo Detail  [A] [O]</w:t>
      </w:r>
    </w:p>
    <w:p>
      <w:pPr>
        <w:spacing w:before="0" w:after="0" w:line="240" w:lineRule="auto"/>
        <w:ind w:left="230"/>
        <w:shd w:val="clear" w:color="auto" w:fill="F7F9FC"/>
        <w:pBdr>
          <w:left w:val="single" w:sz="4" w:space="6" w:color="D0D5DD"/>
        </w:pBdr>
      </w:pPr>
      <w:r>
        <w:rPr>
          <w:rFonts w:ascii="Consolas" w:hAnsi="Consolas"/>
          <w:color w:val="0B1F3A"/>
          <w:sz w:val="16"/>
        </w:rPr>
        <w:t>|   |       +-- members        SCR-MOB-06  roster, act [O] only</w:t>
      </w:r>
    </w:p>
    <w:p>
      <w:pPr>
        <w:spacing w:before="0" w:after="0" w:line="240" w:lineRule="auto"/>
        <w:ind w:left="230"/>
        <w:shd w:val="clear" w:color="auto" w:fill="F7F9FC"/>
        <w:pBdr>
          <w:left w:val="single" w:sz="4" w:space="6" w:color="D0D5DD"/>
        </w:pBdr>
      </w:pPr>
      <w:r>
        <w:rPr>
          <w:rFonts w:ascii="Consolas" w:hAnsi="Consolas"/>
          <w:color w:val="0B1F3A"/>
          <w:sz w:val="16"/>
        </w:rPr>
        <w:t>|   |       +-- schedule       SCR-MOB-07  round calendar</w:t>
      </w:r>
    </w:p>
    <w:p>
      <w:pPr>
        <w:spacing w:before="0" w:after="0" w:line="240" w:lineRule="auto"/>
        <w:ind w:left="230"/>
        <w:shd w:val="clear" w:color="auto" w:fill="F7F9FC"/>
        <w:pBdr>
          <w:left w:val="single" w:sz="4" w:space="6" w:color="D0D5DD"/>
        </w:pBdr>
      </w:pPr>
      <w:r>
        <w:rPr>
          <w:rFonts w:ascii="Consolas" w:hAnsi="Consolas"/>
          <w:color w:val="0B1F3A"/>
          <w:sz w:val="16"/>
        </w:rPr>
        <w:t>|   |       +-- contributions  SCR-MOB-08  obligations</w:t>
      </w:r>
    </w:p>
    <w:p>
      <w:pPr>
        <w:spacing w:before="0" w:after="0" w:line="240" w:lineRule="auto"/>
        <w:ind w:left="230"/>
        <w:shd w:val="clear" w:color="auto" w:fill="F7F9FC"/>
        <w:pBdr>
          <w:left w:val="single" w:sz="4" w:space="6" w:color="D0D5DD"/>
        </w:pBdr>
      </w:pPr>
      <w:r>
        <w:rPr>
          <w:rFonts w:ascii="Consolas" w:hAnsi="Consolas"/>
          <w:color w:val="0B1F3A"/>
          <w:sz w:val="16"/>
        </w:rPr>
        <w:t>|   |       +-- economics      anchor    base pool NGN 10,000.00</w:t>
      </w:r>
    </w:p>
    <w:p>
      <w:pPr>
        <w:spacing w:before="0" w:after="0" w:line="240" w:lineRule="auto"/>
        <w:ind w:left="230"/>
        <w:shd w:val="clear" w:color="auto" w:fill="F7F9FC"/>
        <w:pBdr>
          <w:left w:val="single" w:sz="4" w:space="6" w:color="D0D5DD"/>
        </w:pBdr>
      </w:pPr>
      <w:r>
        <w:rPr>
          <w:rFonts w:ascii="Consolas" w:hAnsi="Consolas"/>
          <w:color w:val="0B1F3A"/>
          <w:sz w:val="16"/>
        </w:rPr>
        <w:t>|   |       +-- payouts        SCR-MOB-12  round payouts</w:t>
      </w:r>
    </w:p>
    <w:p>
      <w:pPr>
        <w:spacing w:before="0" w:after="0" w:line="240" w:lineRule="auto"/>
        <w:ind w:left="230"/>
        <w:shd w:val="clear" w:color="auto" w:fill="F7F9FC"/>
        <w:pBdr>
          <w:left w:val="single" w:sz="4" w:space="6" w:color="D0D5DD"/>
        </w:pBdr>
      </w:pPr>
      <w:r>
        <w:rPr>
          <w:rFonts w:ascii="Consolas" w:hAnsi="Consolas"/>
          <w:color w:val="0B1F3A"/>
          <w:sz w:val="16"/>
        </w:rPr>
        <w:t>|   +-- /app/join              SCR-MOB-04  by code</w:t>
      </w:r>
    </w:p>
    <w:p>
      <w:pPr>
        <w:spacing w:before="0" w:after="0" w:line="240" w:lineRule="auto"/>
        <w:ind w:left="230"/>
        <w:shd w:val="clear" w:color="auto" w:fill="F7F9FC"/>
        <w:pBdr>
          <w:left w:val="single" w:sz="4" w:space="6" w:color="D0D5DD"/>
        </w:pBdr>
      </w:pPr>
      <w:r>
        <w:rPr>
          <w:rFonts w:ascii="Consolas" w:hAnsi="Consolas"/>
          <w:color w:val="0B1F3A"/>
          <w:sz w:val="16"/>
        </w:rPr>
        <w:t>|   +-- /app/join/:token       SCR-MOB-24  by link</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/app/contributions/:id</w:t>
      </w:r>
    </w:p>
    <w:p>
      <w:pPr>
        <w:spacing w:before="0" w:after="0" w:line="240" w:lineRule="auto"/>
        <w:ind w:left="230"/>
        <w:shd w:val="clear" w:color="auto" w:fill="F7F9FC"/>
        <w:pBdr>
          <w:left w:val="single" w:sz="4" w:space="6" w:color="D0D5DD"/>
        </w:pBdr>
      </w:pPr>
      <w:r>
        <w:rPr>
          <w:rFonts w:ascii="Consolas" w:hAnsi="Consolas"/>
          <w:color w:val="0B1F3A"/>
          <w:sz w:val="16"/>
        </w:rPr>
        <w:t>|   |   +-- pay                SCR-MOB-09  fee broken out</w:t>
      </w:r>
    </w:p>
    <w:p>
      <w:pPr>
        <w:spacing w:before="0" w:after="0" w:line="240" w:lineRule="auto"/>
        <w:ind w:left="230"/>
        <w:shd w:val="clear" w:color="auto" w:fill="F7F9FC"/>
        <w:pBdr>
          <w:left w:val="single" w:sz="4" w:space="6" w:color="D0D5DD"/>
        </w:pBdr>
      </w:pPr>
      <w:r>
        <w:rPr>
          <w:rFonts w:ascii="Consolas" w:hAnsi="Consolas"/>
          <w:color w:val="0B1F3A"/>
          <w:sz w:val="16"/>
        </w:rPr>
        <w:t>|   |   +-- processing         SCR-MOB-10  provider terminal</w:t>
      </w:r>
    </w:p>
    <w:p>
      <w:pPr>
        <w:spacing w:before="0" w:after="0" w:line="240" w:lineRule="auto"/>
        <w:ind w:left="230"/>
        <w:shd w:val="clear" w:color="auto" w:fill="F7F9FC"/>
        <w:pBdr>
          <w:left w:val="single" w:sz="4" w:space="6" w:color="D0D5DD"/>
        </w:pBdr>
      </w:pPr>
      <w:r>
        <w:rPr>
          <w:rFonts w:ascii="Consolas" w:hAnsi="Consolas"/>
          <w:color w:val="0B1F3A"/>
          <w:sz w:val="16"/>
        </w:rPr>
        <w:t>|   |   +-- receipt            SCR-MOB-11  fee broken out</w:t>
      </w:r>
    </w:p>
    <w:p>
      <w:pPr>
        <w:spacing w:before="0" w:after="0" w:line="240" w:lineRule="auto"/>
        <w:ind w:left="230"/>
        <w:shd w:val="clear" w:color="auto" w:fill="F7F9FC"/>
        <w:pBdr>
          <w:left w:val="single" w:sz="4" w:space="6" w:color="D0D5DD"/>
        </w:pBdr>
      </w:pPr>
      <w:r>
        <w:rPr>
          <w:rFonts w:ascii="Consolas" w:hAnsi="Consolas"/>
          <w:color w:val="0B1F3A"/>
          <w:sz w:val="16"/>
        </w:rPr>
        <w:t>|   +-- /app/payments/:id      SCR-MOB-10  deep link</w:t>
      </w:r>
    </w:p>
    <w:p>
      <w:pPr>
        <w:spacing w:before="0" w:after="0" w:line="240" w:lineRule="auto"/>
        <w:ind w:left="230"/>
        <w:shd w:val="clear" w:color="auto" w:fill="F7F9FC"/>
        <w:pBdr>
          <w:left w:val="single" w:sz="4" w:space="6" w:color="D0D5DD"/>
        </w:pBdr>
      </w:pPr>
      <w:r>
        <w:rPr>
          <w:rFonts w:ascii="Consolas" w:hAnsi="Consolas"/>
          <w:color w:val="0B1F3A"/>
          <w:sz w:val="16"/>
        </w:rPr>
        <w:t>|   +-- /app/payments/:id/receipt  SCR-MOB-11</w:t>
      </w:r>
    </w:p>
    <w:p>
      <w:pPr>
        <w:spacing w:before="0" w:after="0" w:line="240" w:lineRule="auto"/>
        <w:ind w:left="230"/>
        <w:shd w:val="clear" w:color="auto" w:fill="F7F9FC"/>
        <w:pBdr>
          <w:left w:val="single" w:sz="4" w:space="6" w:color="D0D5DD"/>
        </w:pBdr>
      </w:pPr>
      <w:r>
        <w:rPr>
          <w:rFonts w:ascii="Consolas" w:hAnsi="Consolas"/>
          <w:color w:val="0B1F3A"/>
          <w:sz w:val="16"/>
        </w:rPr>
        <w:t>|   +-- /app/payouts           SCR-MOB-12</w:t>
      </w:r>
    </w:p>
    <w:p>
      <w:pPr>
        <w:spacing w:before="0" w:after="0" w:line="240" w:lineRule="auto"/>
        <w:ind w:left="230"/>
        <w:shd w:val="clear" w:color="auto" w:fill="F7F9FC"/>
        <w:pBdr>
          <w:left w:val="single" w:sz="4" w:space="6" w:color="D0D5DD"/>
        </w:pBdr>
      </w:pPr>
      <w:r>
        <w:rPr>
          <w:rFonts w:ascii="Consolas" w:hAnsi="Consolas"/>
          <w:color w:val="0B1F3A"/>
          <w:sz w:val="16"/>
        </w:rPr>
        <w:t>|   +-- /app/payouts/:id       SCR-MOB-13  base pool, never collected</w:t>
      </w:r>
    </w:p>
    <w:p>
      <w:pPr>
        <w:spacing w:before="0" w:after="0" w:line="240" w:lineRule="auto"/>
        <w:ind w:left="230"/>
        <w:shd w:val="clear" w:color="auto" w:fill="F7F9FC"/>
        <w:pBdr>
          <w:left w:val="single" w:sz="4" w:space="6" w:color="D0D5DD"/>
        </w:pBdr>
      </w:pPr>
      <w:r>
        <w:rPr>
          <w:rFonts w:ascii="Consolas" w:hAnsi="Consolas"/>
          <w:color w:val="0B1F3A"/>
          <w:sz w:val="16"/>
        </w:rPr>
        <w:t>|   +-- /app/transactions      SCR-MOB-14  statement + export</w:t>
      </w:r>
    </w:p>
    <w:p>
      <w:pPr>
        <w:spacing w:before="0" w:after="0" w:line="240" w:lineRule="auto"/>
        <w:ind w:left="230"/>
        <w:shd w:val="clear" w:color="auto" w:fill="F7F9FC"/>
        <w:pBdr>
          <w:left w:val="single" w:sz="4" w:space="6" w:color="D0D5DD"/>
        </w:pBdr>
      </w:pPr>
      <w:r>
        <w:rPr>
          <w:rFonts w:ascii="Consolas" w:hAnsi="Consolas"/>
          <w:color w:val="0B1F3A"/>
          <w:sz w:val="16"/>
        </w:rPr>
        <w:t>|   +-- /app/notifications     SCR-MOB-15  canonical catalogue</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/app/disputes          SCR-MOB-16</w:t>
      </w:r>
    </w:p>
    <w:p>
      <w:pPr>
        <w:spacing w:before="0" w:after="0" w:line="240" w:lineRule="auto"/>
        <w:ind w:left="230"/>
        <w:shd w:val="clear" w:color="auto" w:fill="F7F9FC"/>
        <w:pBdr>
          <w:left w:val="single" w:sz="4" w:space="6" w:color="D0D5DD"/>
        </w:pBdr>
      </w:pPr>
      <w:r>
        <w:rPr>
          <w:rFonts w:ascii="Consolas" w:hAnsi="Consolas"/>
          <w:color w:val="0B1F3A"/>
          <w:sz w:val="16"/>
        </w:rPr>
        <w:t>|   |   +-- new                SCR-MOB-17</w:t>
      </w:r>
    </w:p>
    <w:p>
      <w:pPr>
        <w:spacing w:before="0" w:after="0" w:line="240" w:lineRule="auto"/>
        <w:ind w:left="230"/>
        <w:shd w:val="clear" w:color="auto" w:fill="F7F9FC"/>
        <w:pBdr>
          <w:left w:val="single" w:sz="4" w:space="6" w:color="D0D5DD"/>
        </w:pBdr>
      </w:pPr>
      <w:r>
        <w:rPr>
          <w:rFonts w:ascii="Consolas" w:hAnsi="Consolas"/>
          <w:color w:val="0B1F3A"/>
          <w:sz w:val="16"/>
        </w:rPr>
        <w:t>|   |   +-- :id                SCR-MOB-18  thread + evidence</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/app/profile           SCR-MOB-19</w:t>
      </w:r>
    </w:p>
    <w:p>
      <w:pPr>
        <w:spacing w:before="0" w:after="0" w:line="240" w:lineRule="auto"/>
        <w:ind w:left="230"/>
        <w:shd w:val="clear" w:color="auto" w:fill="F7F9FC"/>
        <w:pBdr>
          <w:left w:val="single" w:sz="4" w:space="6" w:color="D0D5DD"/>
        </w:pBdr>
      </w:pPr>
      <w:r>
        <w:rPr>
          <w:rFonts w:ascii="Consolas" w:hAnsi="Consolas"/>
          <w:color w:val="0B1F3A"/>
          <w:sz w:val="16"/>
        </w:rPr>
        <w:t>|   +-- /app/settings          SCR-MOB-20</w:t>
      </w:r>
    </w:p>
    <w:p>
      <w:pPr>
        <w:spacing w:before="0" w:after="0" w:line="240" w:lineRule="auto"/>
        <w:ind w:left="230"/>
        <w:shd w:val="clear" w:color="auto" w:fill="F7F9FC"/>
        <w:pBdr>
          <w:left w:val="single" w:sz="4" w:space="6" w:color="D0D5DD"/>
        </w:pBdr>
      </w:pPr>
      <w:r>
        <w:rPr>
          <w:rFonts w:ascii="Consolas" w:hAnsi="Consolas"/>
          <w:color w:val="0B1F3A"/>
          <w:sz w:val="16"/>
        </w:rPr>
        <w:t>|   |   +-- security           SCR-MOB-21</w:t>
      </w:r>
    </w:p>
    <w:p>
      <w:pPr>
        <w:spacing w:before="0" w:after="0" w:line="240" w:lineRule="auto"/>
        <w:ind w:left="230"/>
        <w:shd w:val="clear" w:color="auto" w:fill="F7F9FC"/>
        <w:pBdr>
          <w:left w:val="single" w:sz="4" w:space="6" w:color="D0D5DD"/>
        </w:pBdr>
      </w:pPr>
      <w:r>
        <w:rPr>
          <w:rFonts w:ascii="Consolas" w:hAnsi="Consolas"/>
          <w:color w:val="0B1F3A"/>
          <w:sz w:val="16"/>
        </w:rPr>
        <w:t>|   |   +-- sessions           SCR-MOB-21</w:t>
      </w:r>
    </w:p>
    <w:p>
      <w:pPr>
        <w:spacing w:before="0" w:after="0" w:line="240" w:lineRule="auto"/>
        <w:ind w:left="230"/>
        <w:shd w:val="clear" w:color="auto" w:fill="F7F9FC"/>
        <w:pBdr>
          <w:left w:val="single" w:sz="4" w:space="6" w:color="D0D5DD"/>
        </w:pBdr>
      </w:pPr>
      <w:r>
        <w:rPr>
          <w:rFonts w:ascii="Consolas" w:hAnsi="Consolas"/>
          <w:color w:val="0B1F3A"/>
          <w:sz w:val="16"/>
        </w:rPr>
        <w:t>|   +-- /app/verification      SCR-MOB-22  NIN / BVN / liveness</w:t>
      </w:r>
    </w:p>
    <w:p>
      <w:pPr>
        <w:spacing w:before="0" w:after="0" w:line="240" w:lineRule="auto"/>
        <w:ind w:left="230"/>
        <w:shd w:val="clear" w:color="auto" w:fill="F7F9FC"/>
        <w:pBdr>
          <w:left w:val="single" w:sz="4" w:space="6" w:color="D0D5DD"/>
        </w:pBdr>
      </w:pPr>
      <w:r>
        <w:rPr>
          <w:rFonts w:ascii="Consolas" w:hAnsi="Consolas"/>
          <w:color w:val="0B1F3A"/>
          <w:sz w:val="16"/>
        </w:rPr>
        <w:t>|   +-- /app/exit-request      SCR-MOB-25  replacement only</w:t>
      </w:r>
    </w:p>
    <w:p>
      <w:pPr>
        <w:spacing w:before="0" w:after="0" w:line="240" w:lineRule="auto"/>
        <w:ind w:left="230"/>
        <w:shd w:val="clear" w:color="auto" w:fill="F7F9FC"/>
        <w:pBdr>
          <w:left w:val="single" w:sz="4" w:space="6" w:color="D0D5DD"/>
        </w:pBdr>
      </w:pPr>
      <w:r>
        <w:rPr>
          <w:rFonts w:ascii="Consolas" w:hAnsi="Consolas"/>
          <w:color w:val="0B1F3A"/>
          <w:sz w:val="16"/>
        </w:rPr>
        <w:t>|   +-- /app/support           SCR-MOB-23</w:t>
      </w:r>
    </w:p>
    <w:p>
      <w:pPr>
        <w:spacing w:before="0" w:after="0" w:line="240" w:lineRule="auto"/>
        <w:ind w:left="230"/>
        <w:shd w:val="clear" w:color="auto" w:fill="F7F9FC"/>
        <w:pBdr>
          <w:left w:val="single" w:sz="4" w:space="6" w:color="D0D5DD"/>
        </w:pBdr>
      </w:pPr>
      <w:r>
        <w:rPr>
          <w:rFonts w:ascii="Consolas" w:hAnsi="Consolas"/>
          <w:color w:val="0B1F3A"/>
          <w:sz w:val="16"/>
        </w:rPr>
        <w:t>|   +-- /app/*                 SCR-MOB-26  in-app error boundary</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 TIER 3  ADMIN CONSOLE ......... /admin, [S] [R] [*]</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/admin                  SCR-ADM-01  Overview</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/admin/users            SCR-ADM-02</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:id                SCR-ADM-03  read-only</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/admin/ajos             SCR-ADM-04</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:id                SCR-ADM-05  read-only</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/admin/disputes         SCR-ADM-06</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:id                SCR-ADM-07  decision workspace</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/admin/risk             SCR-ADM-08  queue + freeze/release</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/admin/verification    SCR-ADM-09</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/admin/reports          SCR-ADM-10</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/admin/audit-logs       SCR-ADM-11  append-only</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/admin/settings         SCR-ADM-12  [*] only, fee read-only</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/admin/denied           SCR-ADM-13</w:t>
      </w:r>
    </w:p>
    <w:p>
      <w:pPr>
        <w:spacing w:before="140" w:after="180"/>
        <w:ind w:left="144"/>
        <w:shd w:val="clear" w:color="auto" w:fill="EDE9FE"/>
        <w:pBdr>
          <w:left w:val="single" w:sz="18" w:space="6" w:color="7C3AED"/>
        </w:pBdr>
      </w:pPr>
      <w:r>
        <w:rPr>
          <w:rFonts w:ascii="Calibri" w:hAnsi="Calibri"/>
          <w:b/>
          <w:color w:val="7C3AED"/>
          <w:sz w:val="19"/>
        </w:rPr>
        <w:t xml:space="preserve">Why tier 2 is served at /app and not at the root  </w:t>
      </w:r>
      <w:r>
        <w:rPr>
          <w:rFonts w:ascii="Calibri" w:hAnsi="Calibri"/>
          <w:b w:val="0"/>
          <w:i w:val="0"/>
          <w:color w:val="0B1F3A"/>
          <w:sz w:val="19"/>
        </w:rPr>
        <w:t>Serving tier 2 at the root (</w:t>
      </w:r>
      <w:r>
        <w:rPr>
          <w:rFonts w:ascii="Consolas" w:hAnsi="Consolas"/>
          <w:color w:val="146EF5"/>
          <w:sz w:val="19"/>
        </w:rPr>
        <w:t>/dashboard</w:t>
      </w:r>
      <w:r>
        <w:rPr>
          <w:rFonts w:ascii="Calibri" w:hAnsi="Calibri"/>
          <w:b w:val="0"/>
          <w:i w:val="0"/>
          <w:color w:val="0B1F3A"/>
          <w:sz w:val="19"/>
        </w:rPr>
        <w:t xml:space="preserve">, </w:t>
      </w:r>
      <w:r>
        <w:rPr>
          <w:rFonts w:ascii="Consolas" w:hAnsi="Consolas"/>
          <w:color w:val="146EF5"/>
          <w:sz w:val="19"/>
        </w:rPr>
        <w:t>/ajos</w:t>
      </w:r>
      <w:r>
        <w:rPr>
          <w:rFonts w:ascii="Calibri" w:hAnsi="Calibri"/>
          <w:b w:val="0"/>
          <w:i w:val="0"/>
          <w:color w:val="0B1F3A"/>
          <w:sz w:val="19"/>
        </w:rPr>
        <w:t xml:space="preserve">) would give tier-1 content the shortest, most linkable URLs and would make the marketing site and the product indistinguishable to a crawler and to a person reading a shared link. The cost of </w:t>
      </w:r>
      <w:r>
        <w:rPr>
          <w:rFonts w:ascii="Consolas" w:hAnsi="Consolas"/>
          <w:color w:val="146EF5"/>
          <w:sz w:val="19"/>
        </w:rPr>
        <w:t>/app</w:t>
      </w:r>
      <w:r>
        <w:rPr>
          <w:rFonts w:ascii="Calibri" w:hAnsi="Calibri"/>
          <w:b w:val="0"/>
          <w:i w:val="0"/>
          <w:color w:val="0B1F3A"/>
          <w:sz w:val="19"/>
        </w:rPr>
        <w:t xml:space="preserve"> is one extra segment on roughly forty internal links, and the benefit is an unambiguous, mechanically enforceable public/private boundary at the path prefix. </w:t>
      </w:r>
      <w:r>
        <w:rPr>
          <w:rFonts w:ascii="Calibri" w:hAnsi="Calibri"/>
          <w:b/>
          <w:color w:val="0B1F3A"/>
          <w:sz w:val="19"/>
        </w:rPr>
        <w:t>Owner: Founders and Engineering.</w:t>
      </w:r>
    </w:p>
    <w:p>
      <w:pPr>
        <w:pStyle w:val="Heading2"/>
      </w:pPr>
      <w:r>
        <w:rPr>
          <w:rFonts w:ascii="Calibri" w:hAnsi="Calibri"/>
          <w:b/>
          <w:i w:val="0"/>
          <w:color w:val="146EF5"/>
          <w:sz w:val="29"/>
        </w:rPr>
        <w:t>3.6 Route inventory and screen identifiers</w:t>
      </w:r>
    </w:p>
    <w:p>
      <w:r>
        <w:rPr>
          <w:rFonts w:ascii="Calibri" w:hAnsi="Calibri"/>
          <w:b w:val="0"/>
          <w:i w:val="0"/>
          <w:color w:val="101828"/>
          <w:sz w:val="21"/>
        </w:rPr>
        <w:t>Every route registered by the web application, its screen, whether a session is required, which role may see it, whether it may be linked to from outside the application, and the notes that a router implementer needs. If a route is not in this table it is not in the product.</w:t>
      </w:r>
    </w:p>
    <w:p>
      <w:pPr>
        <w:pStyle w:val="Heading3"/>
      </w:pPr>
      <w:r>
        <w:rPr>
          <w:rFonts w:ascii="Calibri" w:hAnsi="Calibri"/>
          <w:b/>
          <w:i w:val="0"/>
          <w:color w:val="0B1F3A"/>
          <w:sz w:val="24"/>
        </w:rPr>
        <w:t>3.6.1 Tier 1 and authentication routes</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1843"/>
            <w:shd w:val="clear" w:color="auto" w:fill="0B1F3A"/>
            <w:tcMar>
              <w:top w:w="60" w:type="dxa"/>
              <w:start w:w="110" w:type="dxa"/>
              <w:bottom w:w="60" w:type="dxa"/>
              <w:end w:w="110" w:type="dxa"/>
            </w:tcMar>
          </w:tcPr>
          <w:p>
            <w:pPr>
              <w:spacing w:after="0"/>
            </w:pPr>
            <w:r/>
            <w:r>
              <w:rPr>
                <w:rFonts w:ascii="Calibri" w:hAnsi="Calibri"/>
                <w:b/>
                <w:i w:val="0"/>
                <w:color w:val="FFFFFF"/>
                <w:sz w:val="14"/>
              </w:rPr>
              <w:t>Route</w:t>
            </w:r>
          </w:p>
        </w:tc>
        <w:tc>
          <w:tcPr>
            <w:tcW w:type="dxa" w:w="1411"/>
            <w:shd w:val="clear" w:color="auto" w:fill="0B1F3A"/>
            <w:tcMar>
              <w:top w:w="60" w:type="dxa"/>
              <w:start w:w="110" w:type="dxa"/>
              <w:bottom w:w="60" w:type="dxa"/>
              <w:end w:w="110" w:type="dxa"/>
            </w:tcMar>
          </w:tcPr>
          <w:p>
            <w:pPr>
              <w:spacing w:after="0"/>
            </w:pPr>
            <w:r/>
            <w:r>
              <w:rPr>
                <w:rFonts w:ascii="Calibri" w:hAnsi="Calibri"/>
                <w:b/>
                <w:i w:val="0"/>
                <w:color w:val="FFFFFF"/>
                <w:sz w:val="14"/>
              </w:rPr>
              <w:t>Screen ID</w:t>
            </w:r>
          </w:p>
        </w:tc>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4"/>
              </w:rPr>
              <w:t>Auth</w:t>
            </w:r>
          </w:p>
        </w:tc>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4"/>
              </w:rPr>
              <w:t>Role</w:t>
            </w:r>
          </w:p>
        </w:tc>
        <w:tc>
          <w:tcPr>
            <w:tcW w:type="dxa" w:w="806"/>
            <w:shd w:val="clear" w:color="auto" w:fill="0B1F3A"/>
            <w:tcMar>
              <w:top w:w="60" w:type="dxa"/>
              <w:start w:w="110" w:type="dxa"/>
              <w:bottom w:w="60" w:type="dxa"/>
              <w:end w:w="110" w:type="dxa"/>
            </w:tcMar>
          </w:tcPr>
          <w:p>
            <w:pPr>
              <w:spacing w:after="0"/>
            </w:pPr>
            <w:r/>
            <w:r>
              <w:rPr>
                <w:rFonts w:ascii="Calibri" w:hAnsi="Calibri"/>
                <w:b/>
                <w:i w:val="0"/>
                <w:color w:val="FFFFFF"/>
                <w:sz w:val="14"/>
              </w:rPr>
              <w:t>Deep-link</w:t>
            </w:r>
          </w:p>
        </w:tc>
        <w:tc>
          <w:tcPr>
            <w:tcW w:type="dxa" w:w="3542"/>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4"/>
              </w:rPr>
              <w:t>/</w:t>
            </w:r>
          </w:p>
        </w:tc>
        <w:tc>
          <w:tcPr>
            <w:tcW w:type="dxa" w:w="1411"/>
            <w:tcMar>
              <w:top w:w="60" w:type="dxa"/>
              <w:start w:w="110" w:type="dxa"/>
              <w:bottom w:w="60" w:type="dxa"/>
              <w:end w:w="110" w:type="dxa"/>
            </w:tcMar>
          </w:tcPr>
          <w:p>
            <w:pPr>
              <w:spacing w:after="0"/>
            </w:pPr>
            <w:r/>
            <w:r>
              <w:rPr>
                <w:rFonts w:ascii="Calibri" w:hAnsi="Calibri"/>
                <w:b w:val="0"/>
                <w:i w:val="0"/>
                <w:color w:val="101828"/>
                <w:sz w:val="14"/>
              </w:rPr>
              <w:t>SCR-WEB-01</w:t>
            </w:r>
          </w:p>
        </w:tc>
        <w:tc>
          <w:tcPr>
            <w:tcW w:type="dxa" w:w="720"/>
            <w:tcMar>
              <w:top w:w="60" w:type="dxa"/>
              <w:start w:w="110" w:type="dxa"/>
              <w:bottom w:w="60" w:type="dxa"/>
              <w:end w:w="110" w:type="dxa"/>
            </w:tcMar>
          </w:tcPr>
          <w:p>
            <w:pPr>
              <w:spacing w:after="0"/>
            </w:pPr>
            <w:r/>
            <w:r>
              <w:rPr>
                <w:rFonts w:ascii="Calibri" w:hAnsi="Calibri"/>
                <w:b w:val="0"/>
                <w:i w:val="0"/>
                <w:color w:val="101828"/>
                <w:sz w:val="14"/>
              </w:rPr>
              <w:t>No</w:t>
            </w:r>
          </w:p>
        </w:tc>
        <w:tc>
          <w:tcPr>
            <w:tcW w:type="dxa" w:w="1037"/>
            <w:tcMar>
              <w:top w:w="60" w:type="dxa"/>
              <w:start w:w="110" w:type="dxa"/>
              <w:bottom w:w="60" w:type="dxa"/>
              <w:end w:w="110" w:type="dxa"/>
            </w:tcMar>
          </w:tcPr>
          <w:p>
            <w:pPr>
              <w:spacing w:after="0"/>
            </w:pPr>
            <w:r/>
            <w:r>
              <w:rPr>
                <w:rFonts w:ascii="Calibri" w:hAnsi="Calibri"/>
                <w:b w:val="0"/>
                <w:i w:val="0"/>
                <w:color w:val="101828"/>
                <w:sz w:val="14"/>
              </w:rPr>
              <w:t>—</w:t>
            </w:r>
          </w:p>
        </w:tc>
        <w:tc>
          <w:tcPr>
            <w:tcW w:type="dxa" w:w="806"/>
            <w:tcMar>
              <w:top w:w="60" w:type="dxa"/>
              <w:start w:w="110" w:type="dxa"/>
              <w:bottom w:w="60" w:type="dxa"/>
              <w:end w:w="110" w:type="dxa"/>
            </w:tcMar>
          </w:tcPr>
          <w:p>
            <w:pPr>
              <w:spacing w:after="0"/>
            </w:pPr>
            <w:r/>
            <w:r>
              <w:rPr>
                <w:rFonts w:ascii="Calibri" w:hAnsi="Calibri"/>
                <w:b w:val="0"/>
                <w:i w:val="0"/>
                <w:color w:val="101828"/>
                <w:sz w:val="14"/>
              </w:rPr>
              <w:t>Yes</w:t>
            </w:r>
          </w:p>
        </w:tc>
        <w:tc>
          <w:tcPr>
            <w:tcW w:type="dxa" w:w="3542"/>
            <w:tcMar>
              <w:top w:w="60" w:type="dxa"/>
              <w:start w:w="110" w:type="dxa"/>
              <w:bottom w:w="60" w:type="dxa"/>
              <w:end w:w="110" w:type="dxa"/>
            </w:tcMar>
          </w:tcPr>
          <w:p>
            <w:pPr>
              <w:spacing w:after="0"/>
            </w:pPr>
            <w:r/>
            <w:r>
              <w:rPr>
                <w:rFonts w:ascii="Calibri" w:hAnsi="Calibri"/>
                <w:b w:val="0"/>
                <w:i w:val="0"/>
                <w:color w:val="101828"/>
                <w:sz w:val="14"/>
              </w:rPr>
              <w:t xml:space="preserve">Canonical home. Redirects </w:t>
            </w:r>
            <w:r>
              <w:rPr>
                <w:rFonts w:ascii="Consolas" w:hAnsi="Consolas"/>
                <w:color w:val="146EF5"/>
                <w:sz w:val="14"/>
              </w:rPr>
              <w:t>/index.html</w:t>
            </w:r>
            <w:r>
              <w:rPr>
                <w:rFonts w:ascii="Calibri" w:hAnsi="Calibri"/>
                <w:b w:val="0"/>
                <w:i w:val="0"/>
                <w:color w:val="101828"/>
                <w:sz w:val="14"/>
              </w:rPr>
              <w:t>.</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4"/>
              </w:rPr>
              <w:t>/how-it-works</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SCR-WEB-02</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No</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806"/>
            <w:tcMar>
              <w:top w:w="60" w:type="dxa"/>
              <w:start w:w="110" w:type="dxa"/>
              <w:bottom w:w="60" w:type="dxa"/>
              <w:end w:w="110" w:type="dxa"/>
            </w:tcMar>
            <w:shd w:val="clear" w:color="auto" w:fill="F4F7FB"/>
          </w:tcPr>
          <w:p>
            <w:pPr>
              <w:spacing w:after="0"/>
            </w:pPr>
            <w:r/>
            <w:r>
              <w:rPr>
                <w:rFonts w:ascii="Calibri" w:hAnsi="Calibri"/>
                <w:b w:val="0"/>
                <w:i w:val="0"/>
                <w:color w:val="101828"/>
                <w:sz w:val="14"/>
              </w:rPr>
              <w:t>Yes</w:t>
            </w:r>
          </w:p>
        </w:tc>
        <w:tc>
          <w:tcPr>
            <w:tcW w:type="dxa" w:w="3542"/>
            <w:tcMar>
              <w:top w:w="60" w:type="dxa"/>
              <w:start w:w="110" w:type="dxa"/>
              <w:bottom w:w="60" w:type="dxa"/>
              <w:end w:w="110" w:type="dxa"/>
            </w:tcMar>
            <w:shd w:val="clear" w:color="auto" w:fill="F4F7FB"/>
          </w:tcPr>
          <w:p>
            <w:pPr>
              <w:spacing w:after="0"/>
            </w:pPr>
            <w:r/>
            <w:r>
              <w:rPr>
                <w:rFonts w:ascii="Calibri" w:hAnsi="Calibri"/>
                <w:b w:val="0"/>
                <w:i w:val="0"/>
                <w:color w:val="101828"/>
                <w:sz w:val="14"/>
              </w:rPr>
              <w:t>Carries the worked example.</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4"/>
              </w:rPr>
              <w:t>/features</w:t>
            </w:r>
          </w:p>
        </w:tc>
        <w:tc>
          <w:tcPr>
            <w:tcW w:type="dxa" w:w="1411"/>
            <w:tcMar>
              <w:top w:w="60" w:type="dxa"/>
              <w:start w:w="110" w:type="dxa"/>
              <w:bottom w:w="60" w:type="dxa"/>
              <w:end w:w="110" w:type="dxa"/>
            </w:tcMar>
          </w:tcPr>
          <w:p>
            <w:pPr>
              <w:spacing w:after="0"/>
            </w:pPr>
            <w:r/>
            <w:r>
              <w:rPr>
                <w:rFonts w:ascii="Calibri" w:hAnsi="Calibri"/>
                <w:b w:val="0"/>
                <w:i w:val="0"/>
                <w:color w:val="101828"/>
                <w:sz w:val="14"/>
              </w:rPr>
              <w:t>SCR-WEB-03</w:t>
            </w:r>
          </w:p>
        </w:tc>
        <w:tc>
          <w:tcPr>
            <w:tcW w:type="dxa" w:w="720"/>
            <w:tcMar>
              <w:top w:w="60" w:type="dxa"/>
              <w:start w:w="110" w:type="dxa"/>
              <w:bottom w:w="60" w:type="dxa"/>
              <w:end w:w="110" w:type="dxa"/>
            </w:tcMar>
          </w:tcPr>
          <w:p>
            <w:pPr>
              <w:spacing w:after="0"/>
            </w:pPr>
            <w:r/>
            <w:r>
              <w:rPr>
                <w:rFonts w:ascii="Calibri" w:hAnsi="Calibri"/>
                <w:b w:val="0"/>
                <w:i w:val="0"/>
                <w:color w:val="101828"/>
                <w:sz w:val="14"/>
              </w:rPr>
              <w:t>No</w:t>
            </w:r>
          </w:p>
        </w:tc>
        <w:tc>
          <w:tcPr>
            <w:tcW w:type="dxa" w:w="1037"/>
            <w:tcMar>
              <w:top w:w="60" w:type="dxa"/>
              <w:start w:w="110" w:type="dxa"/>
              <w:bottom w:w="60" w:type="dxa"/>
              <w:end w:w="110" w:type="dxa"/>
            </w:tcMar>
          </w:tcPr>
          <w:p>
            <w:pPr>
              <w:spacing w:after="0"/>
            </w:pPr>
            <w:r/>
            <w:r>
              <w:rPr>
                <w:rFonts w:ascii="Calibri" w:hAnsi="Calibri"/>
                <w:b w:val="0"/>
                <w:i w:val="0"/>
                <w:color w:val="101828"/>
                <w:sz w:val="14"/>
              </w:rPr>
              <w:t>—</w:t>
            </w:r>
          </w:p>
        </w:tc>
        <w:tc>
          <w:tcPr>
            <w:tcW w:type="dxa" w:w="806"/>
            <w:tcMar>
              <w:top w:w="60" w:type="dxa"/>
              <w:start w:w="110" w:type="dxa"/>
              <w:bottom w:w="60" w:type="dxa"/>
              <w:end w:w="110" w:type="dxa"/>
            </w:tcMar>
          </w:tcPr>
          <w:p>
            <w:pPr>
              <w:spacing w:after="0"/>
            </w:pPr>
            <w:r/>
            <w:r>
              <w:rPr>
                <w:rFonts w:ascii="Calibri" w:hAnsi="Calibri"/>
                <w:b w:val="0"/>
                <w:i w:val="0"/>
                <w:color w:val="101828"/>
                <w:sz w:val="14"/>
              </w:rPr>
              <w:t>Yes</w:t>
            </w:r>
          </w:p>
        </w:tc>
        <w:tc>
          <w:tcPr>
            <w:tcW w:type="dxa" w:w="3542"/>
            <w:tcMar>
              <w:top w:w="60" w:type="dxa"/>
              <w:start w:w="110" w:type="dxa"/>
              <w:bottom w:w="60" w:type="dxa"/>
              <w:end w:w="110" w:type="dxa"/>
            </w:tcMar>
          </w:tcPr>
          <w:p>
            <w:pPr>
              <w:spacing w:after="0"/>
            </w:pPr>
            <w:r/>
            <w:r>
              <w:rPr>
                <w:rFonts w:ascii="Calibri" w:hAnsi="Calibri"/>
                <w:b w:val="0"/>
                <w:i w:val="0"/>
                <w:color w:val="101828"/>
                <w:sz w:val="14"/>
              </w:rPr>
              <w:t>No performance claims.</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4"/>
              </w:rPr>
              <w:t>/safety-and-trust</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SCR-WEB-04</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No</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806"/>
            <w:tcMar>
              <w:top w:w="60" w:type="dxa"/>
              <w:start w:w="110" w:type="dxa"/>
              <w:bottom w:w="60" w:type="dxa"/>
              <w:end w:w="110" w:type="dxa"/>
            </w:tcMar>
            <w:shd w:val="clear" w:color="auto" w:fill="F4F7FB"/>
          </w:tcPr>
          <w:p>
            <w:pPr>
              <w:spacing w:after="0"/>
            </w:pPr>
            <w:r/>
            <w:r>
              <w:rPr>
                <w:rFonts w:ascii="Calibri" w:hAnsi="Calibri"/>
                <w:b w:val="0"/>
                <w:i w:val="0"/>
                <w:color w:val="101828"/>
                <w:sz w:val="14"/>
              </w:rPr>
              <w:t>Yes</w:t>
            </w:r>
          </w:p>
        </w:tc>
        <w:tc>
          <w:tcPr>
            <w:tcW w:type="dxa" w:w="3542"/>
            <w:tcMar>
              <w:top w:w="60" w:type="dxa"/>
              <w:start w:w="110" w:type="dxa"/>
              <w:bottom w:w="60" w:type="dxa"/>
              <w:end w:w="110" w:type="dxa"/>
            </w:tcMar>
            <w:shd w:val="clear" w:color="auto" w:fill="F4F7FB"/>
          </w:tcPr>
          <w:p>
            <w:pPr>
              <w:spacing w:after="0"/>
            </w:pPr>
            <w:r/>
            <w:r>
              <w:rPr>
                <w:rFonts w:ascii="Calibri" w:hAnsi="Calibri"/>
                <w:b w:val="0"/>
                <w:i w:val="0"/>
                <w:color w:val="101828"/>
                <w:sz w:val="14"/>
              </w:rPr>
              <w:t>Must name D-02 as open.</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4"/>
              </w:rPr>
              <w:t>/fees</w:t>
            </w:r>
          </w:p>
        </w:tc>
        <w:tc>
          <w:tcPr>
            <w:tcW w:type="dxa" w:w="1411"/>
            <w:tcMar>
              <w:top w:w="60" w:type="dxa"/>
              <w:start w:w="110" w:type="dxa"/>
              <w:bottom w:w="60" w:type="dxa"/>
              <w:end w:w="110" w:type="dxa"/>
            </w:tcMar>
          </w:tcPr>
          <w:p>
            <w:pPr>
              <w:spacing w:after="0"/>
            </w:pPr>
            <w:r/>
            <w:r>
              <w:rPr>
                <w:rFonts w:ascii="Calibri" w:hAnsi="Calibri"/>
                <w:b w:val="0"/>
                <w:i w:val="0"/>
                <w:color w:val="101828"/>
                <w:sz w:val="14"/>
              </w:rPr>
              <w:t>SCR-WEB-05</w:t>
            </w:r>
          </w:p>
        </w:tc>
        <w:tc>
          <w:tcPr>
            <w:tcW w:type="dxa" w:w="720"/>
            <w:tcMar>
              <w:top w:w="60" w:type="dxa"/>
              <w:start w:w="110" w:type="dxa"/>
              <w:bottom w:w="60" w:type="dxa"/>
              <w:end w:w="110" w:type="dxa"/>
            </w:tcMar>
          </w:tcPr>
          <w:p>
            <w:pPr>
              <w:spacing w:after="0"/>
            </w:pPr>
            <w:r/>
            <w:r>
              <w:rPr>
                <w:rFonts w:ascii="Calibri" w:hAnsi="Calibri"/>
                <w:b w:val="0"/>
                <w:i w:val="0"/>
                <w:color w:val="101828"/>
                <w:sz w:val="14"/>
              </w:rPr>
              <w:t>No</w:t>
            </w:r>
          </w:p>
        </w:tc>
        <w:tc>
          <w:tcPr>
            <w:tcW w:type="dxa" w:w="1037"/>
            <w:tcMar>
              <w:top w:w="60" w:type="dxa"/>
              <w:start w:w="110" w:type="dxa"/>
              <w:bottom w:w="60" w:type="dxa"/>
              <w:end w:w="110" w:type="dxa"/>
            </w:tcMar>
          </w:tcPr>
          <w:p>
            <w:pPr>
              <w:spacing w:after="0"/>
            </w:pPr>
            <w:r/>
            <w:r>
              <w:rPr>
                <w:rFonts w:ascii="Calibri" w:hAnsi="Calibri"/>
                <w:b w:val="0"/>
                <w:i w:val="0"/>
                <w:color w:val="101828"/>
                <w:sz w:val="14"/>
              </w:rPr>
              <w:t>—</w:t>
            </w:r>
          </w:p>
        </w:tc>
        <w:tc>
          <w:tcPr>
            <w:tcW w:type="dxa" w:w="806"/>
            <w:tcMar>
              <w:top w:w="60" w:type="dxa"/>
              <w:start w:w="110" w:type="dxa"/>
              <w:bottom w:w="60" w:type="dxa"/>
              <w:end w:w="110" w:type="dxa"/>
            </w:tcMar>
          </w:tcPr>
          <w:p>
            <w:pPr>
              <w:spacing w:after="0"/>
            </w:pPr>
            <w:r/>
            <w:r>
              <w:rPr>
                <w:rFonts w:ascii="Calibri" w:hAnsi="Calibri"/>
                <w:b w:val="0"/>
                <w:i w:val="0"/>
                <w:color w:val="101828"/>
                <w:sz w:val="14"/>
              </w:rPr>
              <w:t>Yes</w:t>
            </w:r>
          </w:p>
        </w:tc>
        <w:tc>
          <w:tcPr>
            <w:tcW w:type="dxa" w:w="3542"/>
            <w:tcMar>
              <w:top w:w="60" w:type="dxa"/>
              <w:start w:w="110" w:type="dxa"/>
              <w:bottom w:w="60" w:type="dxa"/>
              <w:end w:w="110" w:type="dxa"/>
            </w:tcMar>
          </w:tcPr>
          <w:p>
            <w:pPr>
              <w:spacing w:after="0"/>
            </w:pPr>
            <w:r/>
            <w:r>
              <w:rPr>
                <w:rFonts w:ascii="Calibri" w:hAnsi="Calibri"/>
                <w:b w:val="0"/>
                <w:i w:val="0"/>
                <w:color w:val="101828"/>
                <w:sz w:val="14"/>
              </w:rPr>
              <w:t>Canonical fee statement. Single source.</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4"/>
              </w:rPr>
              <w:t>/about</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SCR-WEB-06</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No</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806"/>
            <w:tcMar>
              <w:top w:w="60" w:type="dxa"/>
              <w:start w:w="110" w:type="dxa"/>
              <w:bottom w:w="60" w:type="dxa"/>
              <w:end w:w="110" w:type="dxa"/>
            </w:tcMar>
            <w:shd w:val="clear" w:color="auto" w:fill="F4F7FB"/>
          </w:tcPr>
          <w:p>
            <w:pPr>
              <w:spacing w:after="0"/>
            </w:pPr>
            <w:r/>
            <w:r>
              <w:rPr>
                <w:rFonts w:ascii="Calibri" w:hAnsi="Calibri"/>
                <w:b w:val="0"/>
                <w:i w:val="0"/>
                <w:color w:val="101828"/>
                <w:sz w:val="14"/>
              </w:rPr>
              <w:t>Yes</w:t>
            </w:r>
          </w:p>
        </w:tc>
        <w:tc>
          <w:tcPr>
            <w:tcW w:type="dxa" w:w="3542"/>
            <w:tcMar>
              <w:top w:w="60" w:type="dxa"/>
              <w:start w:w="110" w:type="dxa"/>
              <w:bottom w:w="60" w:type="dxa"/>
              <w:end w:w="110" w:type="dxa"/>
            </w:tcMar>
            <w:shd w:val="clear" w:color="auto" w:fill="F4F7FB"/>
          </w:tcPr>
          <w:p>
            <w:pPr>
              <w:spacing w:after="0"/>
            </w:pPr>
            <w:r/>
            <w:r>
              <w:rPr>
                <w:rFonts w:ascii="Calibri" w:hAnsi="Calibri"/>
                <w:b w:val="0"/>
                <w:i w:val="0"/>
                <w:color w:val="101828"/>
                <w:sz w:val="14"/>
              </w:rPr>
              <w:t>Pre-launch: no traction claims.</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4"/>
              </w:rPr>
              <w:t>/faq</w:t>
            </w:r>
          </w:p>
        </w:tc>
        <w:tc>
          <w:tcPr>
            <w:tcW w:type="dxa" w:w="1411"/>
            <w:tcMar>
              <w:top w:w="60" w:type="dxa"/>
              <w:start w:w="110" w:type="dxa"/>
              <w:bottom w:w="60" w:type="dxa"/>
              <w:end w:w="110" w:type="dxa"/>
            </w:tcMar>
          </w:tcPr>
          <w:p>
            <w:pPr>
              <w:spacing w:after="0"/>
            </w:pPr>
            <w:r/>
            <w:r>
              <w:rPr>
                <w:rFonts w:ascii="Calibri" w:hAnsi="Calibri"/>
                <w:b w:val="0"/>
                <w:i w:val="0"/>
                <w:color w:val="101828"/>
                <w:sz w:val="14"/>
              </w:rPr>
              <w:t>SCR-WEB-07</w:t>
            </w:r>
          </w:p>
        </w:tc>
        <w:tc>
          <w:tcPr>
            <w:tcW w:type="dxa" w:w="720"/>
            <w:tcMar>
              <w:top w:w="60" w:type="dxa"/>
              <w:start w:w="110" w:type="dxa"/>
              <w:bottom w:w="60" w:type="dxa"/>
              <w:end w:w="110" w:type="dxa"/>
            </w:tcMar>
          </w:tcPr>
          <w:p>
            <w:pPr>
              <w:spacing w:after="0"/>
            </w:pPr>
            <w:r/>
            <w:r>
              <w:rPr>
                <w:rFonts w:ascii="Calibri" w:hAnsi="Calibri"/>
                <w:b w:val="0"/>
                <w:i w:val="0"/>
                <w:color w:val="101828"/>
                <w:sz w:val="14"/>
              </w:rPr>
              <w:t>No</w:t>
            </w:r>
          </w:p>
        </w:tc>
        <w:tc>
          <w:tcPr>
            <w:tcW w:type="dxa" w:w="1037"/>
            <w:tcMar>
              <w:top w:w="60" w:type="dxa"/>
              <w:start w:w="110" w:type="dxa"/>
              <w:bottom w:w="60" w:type="dxa"/>
              <w:end w:w="110" w:type="dxa"/>
            </w:tcMar>
          </w:tcPr>
          <w:p>
            <w:pPr>
              <w:spacing w:after="0"/>
            </w:pPr>
            <w:r/>
            <w:r>
              <w:rPr>
                <w:rFonts w:ascii="Calibri" w:hAnsi="Calibri"/>
                <w:b w:val="0"/>
                <w:i w:val="0"/>
                <w:color w:val="101828"/>
                <w:sz w:val="14"/>
              </w:rPr>
              <w:t>—</w:t>
            </w:r>
          </w:p>
        </w:tc>
        <w:tc>
          <w:tcPr>
            <w:tcW w:type="dxa" w:w="806"/>
            <w:tcMar>
              <w:top w:w="60" w:type="dxa"/>
              <w:start w:w="110" w:type="dxa"/>
              <w:bottom w:w="60" w:type="dxa"/>
              <w:end w:w="110" w:type="dxa"/>
            </w:tcMar>
          </w:tcPr>
          <w:p>
            <w:pPr>
              <w:spacing w:after="0"/>
            </w:pPr>
            <w:r/>
            <w:r>
              <w:rPr>
                <w:rFonts w:ascii="Calibri" w:hAnsi="Calibri"/>
                <w:b w:val="0"/>
                <w:i w:val="0"/>
                <w:color w:val="101828"/>
                <w:sz w:val="14"/>
              </w:rPr>
              <w:t>Yes</w:t>
            </w:r>
          </w:p>
        </w:tc>
        <w:tc>
          <w:tcPr>
            <w:tcW w:type="dxa" w:w="3542"/>
            <w:tcMar>
              <w:top w:w="60" w:type="dxa"/>
              <w:start w:w="110" w:type="dxa"/>
              <w:bottom w:w="60" w:type="dxa"/>
              <w:end w:w="110" w:type="dxa"/>
            </w:tcMar>
          </w:tcPr>
          <w:p>
            <w:pPr>
              <w:spacing w:after="0"/>
            </w:pPr>
            <w:r/>
            <w:r>
              <w:rPr>
                <w:rFonts w:ascii="Calibri" w:hAnsi="Calibri"/>
                <w:b w:val="0"/>
                <w:i w:val="0"/>
                <w:color w:val="101828"/>
                <w:sz w:val="14"/>
              </w:rPr>
              <w:t>Ranked; default and cancellation first.</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4"/>
              </w:rPr>
              <w:t>/contact</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SCR-WEB-08</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No</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806"/>
            <w:tcMar>
              <w:top w:w="60" w:type="dxa"/>
              <w:start w:w="110" w:type="dxa"/>
              <w:bottom w:w="60" w:type="dxa"/>
              <w:end w:w="110" w:type="dxa"/>
            </w:tcMar>
            <w:shd w:val="clear" w:color="auto" w:fill="F4F7FB"/>
          </w:tcPr>
          <w:p>
            <w:pPr>
              <w:spacing w:after="0"/>
            </w:pPr>
            <w:r/>
            <w:r>
              <w:rPr>
                <w:rFonts w:ascii="Calibri" w:hAnsi="Calibri"/>
                <w:b w:val="0"/>
                <w:i w:val="0"/>
                <w:color w:val="101828"/>
                <w:sz w:val="14"/>
              </w:rPr>
              <w:t>Yes</w:t>
            </w:r>
          </w:p>
        </w:tc>
        <w:tc>
          <w:tcPr>
            <w:tcW w:type="dxa" w:w="3542"/>
            <w:tcMar>
              <w:top w:w="60" w:type="dxa"/>
              <w:start w:w="110" w:type="dxa"/>
              <w:bottom w:w="60" w:type="dxa"/>
              <w:end w:w="110" w:type="dxa"/>
            </w:tcMar>
            <w:shd w:val="clear" w:color="auto" w:fill="F4F7FB"/>
          </w:tcPr>
          <w:p>
            <w:pPr>
              <w:spacing w:after="0"/>
            </w:pPr>
            <w:r/>
            <w:r>
              <w:rPr>
                <w:rFonts w:ascii="Calibri" w:hAnsi="Calibri"/>
                <w:b w:val="0"/>
                <w:i w:val="0"/>
                <w:color w:val="101828"/>
                <w:sz w:val="14"/>
              </w:rPr>
              <w:t>Form posts to a support queue.</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4"/>
              </w:rPr>
              <w:t>/login</w:t>
            </w:r>
          </w:p>
        </w:tc>
        <w:tc>
          <w:tcPr>
            <w:tcW w:type="dxa" w:w="1411"/>
            <w:tcMar>
              <w:top w:w="60" w:type="dxa"/>
              <w:start w:w="110" w:type="dxa"/>
              <w:bottom w:w="60" w:type="dxa"/>
              <w:end w:w="110" w:type="dxa"/>
            </w:tcMar>
          </w:tcPr>
          <w:p>
            <w:pPr>
              <w:spacing w:after="0"/>
            </w:pPr>
            <w:r/>
            <w:r>
              <w:rPr>
                <w:rFonts w:ascii="Calibri" w:hAnsi="Calibri"/>
                <w:b w:val="0"/>
                <w:i w:val="0"/>
                <w:color w:val="101828"/>
                <w:sz w:val="14"/>
              </w:rPr>
              <w:t>SCR-WEB-09</w:t>
            </w:r>
          </w:p>
        </w:tc>
        <w:tc>
          <w:tcPr>
            <w:tcW w:type="dxa" w:w="720"/>
            <w:tcMar>
              <w:top w:w="60" w:type="dxa"/>
              <w:start w:w="110" w:type="dxa"/>
              <w:bottom w:w="60" w:type="dxa"/>
              <w:end w:w="110" w:type="dxa"/>
            </w:tcMar>
          </w:tcPr>
          <w:p>
            <w:pPr>
              <w:spacing w:after="0"/>
            </w:pPr>
            <w:r/>
            <w:r>
              <w:rPr>
                <w:rFonts w:ascii="Calibri" w:hAnsi="Calibri"/>
                <w:b w:val="0"/>
                <w:i w:val="0"/>
                <w:color w:val="101828"/>
                <w:sz w:val="14"/>
              </w:rPr>
              <w:t>No</w:t>
            </w:r>
          </w:p>
        </w:tc>
        <w:tc>
          <w:tcPr>
            <w:tcW w:type="dxa" w:w="1037"/>
            <w:tcMar>
              <w:top w:w="60" w:type="dxa"/>
              <w:start w:w="110" w:type="dxa"/>
              <w:bottom w:w="60" w:type="dxa"/>
              <w:end w:w="110" w:type="dxa"/>
            </w:tcMar>
          </w:tcPr>
          <w:p>
            <w:pPr>
              <w:spacing w:after="0"/>
            </w:pPr>
            <w:r/>
            <w:r>
              <w:rPr>
                <w:rFonts w:ascii="Calibri" w:hAnsi="Calibri"/>
                <w:b w:val="0"/>
                <w:i w:val="0"/>
                <w:color w:val="101828"/>
                <w:sz w:val="14"/>
              </w:rPr>
              <w:t>—</w:t>
            </w:r>
          </w:p>
        </w:tc>
        <w:tc>
          <w:tcPr>
            <w:tcW w:type="dxa" w:w="806"/>
            <w:tcMar>
              <w:top w:w="60" w:type="dxa"/>
              <w:start w:w="110" w:type="dxa"/>
              <w:bottom w:w="60" w:type="dxa"/>
              <w:end w:w="110" w:type="dxa"/>
            </w:tcMar>
          </w:tcPr>
          <w:p>
            <w:pPr>
              <w:spacing w:after="0"/>
            </w:pPr>
            <w:r/>
            <w:r>
              <w:rPr>
                <w:rFonts w:ascii="Calibri" w:hAnsi="Calibri"/>
                <w:b w:val="0"/>
                <w:i w:val="0"/>
                <w:color w:val="101828"/>
                <w:sz w:val="14"/>
              </w:rPr>
              <w:t>Yes</w:t>
            </w:r>
          </w:p>
        </w:tc>
        <w:tc>
          <w:tcPr>
            <w:tcW w:type="dxa" w:w="3542"/>
            <w:tcMar>
              <w:top w:w="60" w:type="dxa"/>
              <w:start w:w="110" w:type="dxa"/>
              <w:bottom w:w="60" w:type="dxa"/>
              <w:end w:w="110" w:type="dxa"/>
            </w:tcMar>
          </w:tcPr>
          <w:p>
            <w:pPr>
              <w:spacing w:after="0"/>
            </w:pPr>
            <w:r/>
            <w:r>
              <w:rPr>
                <w:rFonts w:ascii="Consolas" w:hAnsi="Consolas"/>
                <w:color w:val="146EF5"/>
                <w:sz w:val="14"/>
              </w:rPr>
              <w:t>?returnTo=</w:t>
            </w:r>
            <w:r>
              <w:rPr>
                <w:rFonts w:ascii="Calibri" w:hAnsi="Calibri"/>
                <w:b w:val="0"/>
                <w:i w:val="0"/>
                <w:color w:val="101828"/>
                <w:sz w:val="14"/>
              </w:rPr>
              <w:t xml:space="preserve"> allowlisted to </w:t>
            </w:r>
            <w:r>
              <w:rPr>
                <w:rFonts w:ascii="Consolas" w:hAnsi="Consolas"/>
                <w:color w:val="146EF5"/>
                <w:sz w:val="14"/>
              </w:rPr>
              <w:t>/app</w:t>
            </w:r>
            <w:r>
              <w:rPr>
                <w:rFonts w:ascii="Calibri" w:hAnsi="Calibri"/>
                <w:b w:val="0"/>
                <w:i w:val="0"/>
                <w:color w:val="101828"/>
                <w:sz w:val="14"/>
              </w:rPr>
              <w:t xml:space="preserve"> only.</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4"/>
              </w:rPr>
              <w:t>/register</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SCR-WEB-10</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No</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806"/>
            <w:tcMar>
              <w:top w:w="60" w:type="dxa"/>
              <w:start w:w="110" w:type="dxa"/>
              <w:bottom w:w="60" w:type="dxa"/>
              <w:end w:w="110" w:type="dxa"/>
            </w:tcMar>
            <w:shd w:val="clear" w:color="auto" w:fill="F4F7FB"/>
          </w:tcPr>
          <w:p>
            <w:pPr>
              <w:spacing w:after="0"/>
            </w:pPr>
            <w:r/>
            <w:r>
              <w:rPr>
                <w:rFonts w:ascii="Calibri" w:hAnsi="Calibri"/>
                <w:b w:val="0"/>
                <w:i w:val="0"/>
                <w:color w:val="101828"/>
                <w:sz w:val="14"/>
              </w:rPr>
              <w:t>Yes</w:t>
            </w:r>
          </w:p>
        </w:tc>
        <w:tc>
          <w:tcPr>
            <w:tcW w:type="dxa" w:w="3542"/>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Accepts </w:t>
            </w:r>
            <w:r>
              <w:rPr>
                <w:rFonts w:ascii="Consolas" w:hAnsi="Consolas"/>
                <w:color w:val="146EF5"/>
                <w:sz w:val="14"/>
              </w:rPr>
              <w:t>/terms</w:t>
            </w:r>
            <w:r>
              <w:rPr>
                <w:rFonts w:ascii="Calibri" w:hAnsi="Calibri"/>
                <w:b w:val="0"/>
                <w:i w:val="0"/>
                <w:color w:val="101828"/>
                <w:sz w:val="14"/>
              </w:rPr>
              <w:t xml:space="preserve"> acceptance token.</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4"/>
              </w:rPr>
              <w:t>/verify-email</w:t>
            </w:r>
          </w:p>
        </w:tc>
        <w:tc>
          <w:tcPr>
            <w:tcW w:type="dxa" w:w="1411"/>
            <w:tcMar>
              <w:top w:w="60" w:type="dxa"/>
              <w:start w:w="110" w:type="dxa"/>
              <w:bottom w:w="60" w:type="dxa"/>
              <w:end w:w="110" w:type="dxa"/>
            </w:tcMar>
          </w:tcPr>
          <w:p>
            <w:pPr>
              <w:spacing w:after="0"/>
            </w:pPr>
            <w:r/>
            <w:r>
              <w:rPr>
                <w:rFonts w:ascii="Calibri" w:hAnsi="Calibri"/>
                <w:b w:val="0"/>
                <w:i w:val="0"/>
                <w:color w:val="101828"/>
                <w:sz w:val="14"/>
              </w:rPr>
              <w:t>SCR-WEB-11</w:t>
            </w:r>
          </w:p>
        </w:tc>
        <w:tc>
          <w:tcPr>
            <w:tcW w:type="dxa" w:w="720"/>
            <w:tcMar>
              <w:top w:w="60" w:type="dxa"/>
              <w:start w:w="110" w:type="dxa"/>
              <w:bottom w:w="60" w:type="dxa"/>
              <w:end w:w="110" w:type="dxa"/>
            </w:tcMar>
          </w:tcPr>
          <w:p>
            <w:pPr>
              <w:spacing w:after="0"/>
            </w:pPr>
            <w:r/>
            <w:r>
              <w:rPr>
                <w:rFonts w:ascii="Calibri" w:hAnsi="Calibri"/>
                <w:b w:val="0"/>
                <w:i w:val="0"/>
                <w:color w:val="101828"/>
                <w:sz w:val="14"/>
              </w:rPr>
              <w:t>Token</w:t>
            </w:r>
          </w:p>
        </w:tc>
        <w:tc>
          <w:tcPr>
            <w:tcW w:type="dxa" w:w="1037"/>
            <w:tcMar>
              <w:top w:w="60" w:type="dxa"/>
              <w:start w:w="110" w:type="dxa"/>
              <w:bottom w:w="60" w:type="dxa"/>
              <w:end w:w="110" w:type="dxa"/>
            </w:tcMar>
          </w:tcPr>
          <w:p>
            <w:pPr>
              <w:spacing w:after="0"/>
            </w:pPr>
            <w:r/>
            <w:r>
              <w:rPr>
                <w:rFonts w:ascii="Calibri" w:hAnsi="Calibri"/>
                <w:b w:val="0"/>
                <w:i w:val="0"/>
                <w:color w:val="101828"/>
                <w:sz w:val="14"/>
              </w:rPr>
              <w:t>—</w:t>
            </w:r>
          </w:p>
        </w:tc>
        <w:tc>
          <w:tcPr>
            <w:tcW w:type="dxa" w:w="806"/>
            <w:tcMar>
              <w:top w:w="60" w:type="dxa"/>
              <w:start w:w="110" w:type="dxa"/>
              <w:bottom w:w="60" w:type="dxa"/>
              <w:end w:w="110" w:type="dxa"/>
            </w:tcMar>
          </w:tcPr>
          <w:p>
            <w:pPr>
              <w:spacing w:after="0"/>
            </w:pPr>
            <w:r/>
            <w:r>
              <w:rPr>
                <w:rFonts w:ascii="Calibri" w:hAnsi="Calibri"/>
                <w:b w:val="0"/>
                <w:i w:val="0"/>
                <w:color w:val="101828"/>
                <w:sz w:val="14"/>
              </w:rPr>
              <w:t>Yes</w:t>
            </w:r>
          </w:p>
        </w:tc>
        <w:tc>
          <w:tcPr>
            <w:tcW w:type="dxa" w:w="3542"/>
            <w:tcMar>
              <w:top w:w="60" w:type="dxa"/>
              <w:start w:w="110" w:type="dxa"/>
              <w:bottom w:w="60" w:type="dxa"/>
              <w:end w:w="110" w:type="dxa"/>
            </w:tcMar>
          </w:tcPr>
          <w:p>
            <w:pPr>
              <w:spacing w:after="0"/>
            </w:pPr>
            <w:r/>
            <w:r>
              <w:rPr>
                <w:rFonts w:ascii="Calibri" w:hAnsi="Calibri"/>
                <w:b w:val="0"/>
                <w:i w:val="0"/>
                <w:color w:val="101828"/>
                <w:sz w:val="14"/>
              </w:rPr>
              <w:t>Single-use, 24 h expiry.</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4"/>
              </w:rPr>
              <w:t>/verify-phone</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SCR-WEB-12</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Token</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806"/>
            <w:tcMar>
              <w:top w:w="60" w:type="dxa"/>
              <w:start w:w="110" w:type="dxa"/>
              <w:bottom w:w="60" w:type="dxa"/>
              <w:end w:w="110" w:type="dxa"/>
            </w:tcMar>
            <w:shd w:val="clear" w:color="auto" w:fill="F4F7FB"/>
          </w:tcPr>
          <w:p>
            <w:pPr>
              <w:spacing w:after="0"/>
            </w:pPr>
            <w:r/>
            <w:r>
              <w:rPr>
                <w:rFonts w:ascii="Calibri" w:hAnsi="Calibri"/>
                <w:b w:val="0"/>
                <w:i w:val="0"/>
                <w:color w:val="101828"/>
                <w:sz w:val="14"/>
              </w:rPr>
              <w:t>Yes</w:t>
            </w:r>
          </w:p>
        </w:tc>
        <w:tc>
          <w:tcPr>
            <w:tcW w:type="dxa" w:w="3542"/>
            <w:tcMar>
              <w:top w:w="60" w:type="dxa"/>
              <w:start w:w="110" w:type="dxa"/>
              <w:bottom w:w="60" w:type="dxa"/>
              <w:end w:w="110" w:type="dxa"/>
            </w:tcMar>
            <w:shd w:val="clear" w:color="auto" w:fill="F4F7FB"/>
          </w:tcPr>
          <w:p>
            <w:pPr>
              <w:spacing w:after="0"/>
            </w:pPr>
            <w:r/>
            <w:r>
              <w:rPr>
                <w:rFonts w:ascii="Calibri" w:hAnsi="Calibri"/>
                <w:b w:val="0"/>
                <w:i w:val="0"/>
                <w:color w:val="101828"/>
                <w:sz w:val="14"/>
              </w:rPr>
              <w:t>5 attempts, 60 s resend.</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4"/>
              </w:rPr>
              <w:t>/forgot-password</w:t>
            </w:r>
          </w:p>
        </w:tc>
        <w:tc>
          <w:tcPr>
            <w:tcW w:type="dxa" w:w="1411"/>
            <w:tcMar>
              <w:top w:w="60" w:type="dxa"/>
              <w:start w:w="110" w:type="dxa"/>
              <w:bottom w:w="60" w:type="dxa"/>
              <w:end w:w="110" w:type="dxa"/>
            </w:tcMar>
          </w:tcPr>
          <w:p>
            <w:pPr>
              <w:spacing w:after="0"/>
            </w:pPr>
            <w:r/>
            <w:r>
              <w:rPr>
                <w:rFonts w:ascii="Calibri" w:hAnsi="Calibri"/>
                <w:b w:val="0"/>
                <w:i w:val="0"/>
                <w:color w:val="101828"/>
                <w:sz w:val="14"/>
              </w:rPr>
              <w:t>SCR-WEB-13</w:t>
            </w:r>
          </w:p>
        </w:tc>
        <w:tc>
          <w:tcPr>
            <w:tcW w:type="dxa" w:w="720"/>
            <w:tcMar>
              <w:top w:w="60" w:type="dxa"/>
              <w:start w:w="110" w:type="dxa"/>
              <w:bottom w:w="60" w:type="dxa"/>
              <w:end w:w="110" w:type="dxa"/>
            </w:tcMar>
          </w:tcPr>
          <w:p>
            <w:pPr>
              <w:spacing w:after="0"/>
            </w:pPr>
            <w:r/>
            <w:r>
              <w:rPr>
                <w:rFonts w:ascii="Calibri" w:hAnsi="Calibri"/>
                <w:b w:val="0"/>
                <w:i w:val="0"/>
                <w:color w:val="101828"/>
                <w:sz w:val="14"/>
              </w:rPr>
              <w:t>No</w:t>
            </w:r>
          </w:p>
        </w:tc>
        <w:tc>
          <w:tcPr>
            <w:tcW w:type="dxa" w:w="1037"/>
            <w:tcMar>
              <w:top w:w="60" w:type="dxa"/>
              <w:start w:w="110" w:type="dxa"/>
              <w:bottom w:w="60" w:type="dxa"/>
              <w:end w:w="110" w:type="dxa"/>
            </w:tcMar>
          </w:tcPr>
          <w:p>
            <w:pPr>
              <w:spacing w:after="0"/>
            </w:pPr>
            <w:r/>
            <w:r>
              <w:rPr>
                <w:rFonts w:ascii="Calibri" w:hAnsi="Calibri"/>
                <w:b w:val="0"/>
                <w:i w:val="0"/>
                <w:color w:val="101828"/>
                <w:sz w:val="14"/>
              </w:rPr>
              <w:t>—</w:t>
            </w:r>
          </w:p>
        </w:tc>
        <w:tc>
          <w:tcPr>
            <w:tcW w:type="dxa" w:w="806"/>
            <w:tcMar>
              <w:top w:w="60" w:type="dxa"/>
              <w:start w:w="110" w:type="dxa"/>
              <w:bottom w:w="60" w:type="dxa"/>
              <w:end w:w="110" w:type="dxa"/>
            </w:tcMar>
          </w:tcPr>
          <w:p>
            <w:pPr>
              <w:spacing w:after="0"/>
            </w:pPr>
            <w:r/>
            <w:r>
              <w:rPr>
                <w:rFonts w:ascii="Calibri" w:hAnsi="Calibri"/>
                <w:b w:val="0"/>
                <w:i w:val="0"/>
                <w:color w:val="101828"/>
                <w:sz w:val="14"/>
              </w:rPr>
              <w:t>Yes</w:t>
            </w:r>
          </w:p>
        </w:tc>
        <w:tc>
          <w:tcPr>
            <w:tcW w:type="dxa" w:w="3542"/>
            <w:tcMar>
              <w:top w:w="60" w:type="dxa"/>
              <w:start w:w="110" w:type="dxa"/>
              <w:bottom w:w="60" w:type="dxa"/>
              <w:end w:w="110" w:type="dxa"/>
            </w:tcMar>
          </w:tcPr>
          <w:p>
            <w:pPr>
              <w:spacing w:after="0"/>
            </w:pPr>
            <w:r/>
            <w:r>
              <w:rPr>
                <w:rFonts w:ascii="Calibri" w:hAnsi="Calibri"/>
                <w:b w:val="0"/>
                <w:i w:val="0"/>
                <w:color w:val="101828"/>
                <w:sz w:val="14"/>
              </w:rPr>
              <w:t>Neutral response always.</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4"/>
              </w:rPr>
              <w:t>/reset-password</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SCR-WEB-14</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Token</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806"/>
            <w:tcMar>
              <w:top w:w="60" w:type="dxa"/>
              <w:start w:w="110" w:type="dxa"/>
              <w:bottom w:w="60" w:type="dxa"/>
              <w:end w:w="110" w:type="dxa"/>
            </w:tcMar>
            <w:shd w:val="clear" w:color="auto" w:fill="F4F7FB"/>
          </w:tcPr>
          <w:p>
            <w:pPr>
              <w:spacing w:after="0"/>
            </w:pPr>
            <w:r/>
            <w:r>
              <w:rPr>
                <w:rFonts w:ascii="Calibri" w:hAnsi="Calibri"/>
                <w:b w:val="0"/>
                <w:i w:val="0"/>
                <w:color w:val="101828"/>
                <w:sz w:val="14"/>
              </w:rPr>
              <w:t>Yes</w:t>
            </w:r>
          </w:p>
        </w:tc>
        <w:tc>
          <w:tcPr>
            <w:tcW w:type="dxa" w:w="3542"/>
            <w:tcMar>
              <w:top w:w="60" w:type="dxa"/>
              <w:start w:w="110" w:type="dxa"/>
              <w:bottom w:w="60" w:type="dxa"/>
              <w:end w:w="110" w:type="dxa"/>
            </w:tcMar>
            <w:shd w:val="clear" w:color="auto" w:fill="F4F7FB"/>
          </w:tcPr>
          <w:p>
            <w:pPr>
              <w:spacing w:after="0"/>
            </w:pPr>
            <w:r/>
            <w:r>
              <w:rPr>
                <w:rFonts w:ascii="Calibri" w:hAnsi="Calibri"/>
                <w:b w:val="0"/>
                <w:i w:val="0"/>
                <w:color w:val="101828"/>
                <w:sz w:val="14"/>
              </w:rPr>
              <w:t>Revokes all other sessions.</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4"/>
              </w:rPr>
              <w:t>/terms</w:t>
            </w:r>
          </w:p>
        </w:tc>
        <w:tc>
          <w:tcPr>
            <w:tcW w:type="dxa" w:w="1411"/>
            <w:tcMar>
              <w:top w:w="60" w:type="dxa"/>
              <w:start w:w="110" w:type="dxa"/>
              <w:bottom w:w="60" w:type="dxa"/>
              <w:end w:w="110" w:type="dxa"/>
            </w:tcMar>
          </w:tcPr>
          <w:p>
            <w:pPr>
              <w:spacing w:after="0"/>
            </w:pPr>
            <w:r/>
            <w:r>
              <w:rPr>
                <w:rFonts w:ascii="Calibri" w:hAnsi="Calibri"/>
                <w:b w:val="0"/>
                <w:i w:val="0"/>
                <w:color w:val="101828"/>
                <w:sz w:val="14"/>
              </w:rPr>
              <w:t>SCR-WEB-15</w:t>
            </w:r>
          </w:p>
        </w:tc>
        <w:tc>
          <w:tcPr>
            <w:tcW w:type="dxa" w:w="720"/>
            <w:tcMar>
              <w:top w:w="60" w:type="dxa"/>
              <w:start w:w="110" w:type="dxa"/>
              <w:bottom w:w="60" w:type="dxa"/>
              <w:end w:w="110" w:type="dxa"/>
            </w:tcMar>
          </w:tcPr>
          <w:p>
            <w:pPr>
              <w:spacing w:after="0"/>
            </w:pPr>
            <w:r/>
            <w:r>
              <w:rPr>
                <w:rFonts w:ascii="Calibri" w:hAnsi="Calibri"/>
                <w:b w:val="0"/>
                <w:i w:val="0"/>
                <w:color w:val="101828"/>
                <w:sz w:val="14"/>
              </w:rPr>
              <w:t>No</w:t>
            </w:r>
          </w:p>
        </w:tc>
        <w:tc>
          <w:tcPr>
            <w:tcW w:type="dxa" w:w="1037"/>
            <w:tcMar>
              <w:top w:w="60" w:type="dxa"/>
              <w:start w:w="110" w:type="dxa"/>
              <w:bottom w:w="60" w:type="dxa"/>
              <w:end w:w="110" w:type="dxa"/>
            </w:tcMar>
          </w:tcPr>
          <w:p>
            <w:pPr>
              <w:spacing w:after="0"/>
            </w:pPr>
            <w:r/>
            <w:r>
              <w:rPr>
                <w:rFonts w:ascii="Calibri" w:hAnsi="Calibri"/>
                <w:b w:val="0"/>
                <w:i w:val="0"/>
                <w:color w:val="101828"/>
                <w:sz w:val="14"/>
              </w:rPr>
              <w:t>—</w:t>
            </w:r>
          </w:p>
        </w:tc>
        <w:tc>
          <w:tcPr>
            <w:tcW w:type="dxa" w:w="806"/>
            <w:tcMar>
              <w:top w:w="60" w:type="dxa"/>
              <w:start w:w="110" w:type="dxa"/>
              <w:bottom w:w="60" w:type="dxa"/>
              <w:end w:w="110" w:type="dxa"/>
            </w:tcMar>
          </w:tcPr>
          <w:p>
            <w:pPr>
              <w:spacing w:after="0"/>
            </w:pPr>
            <w:r/>
            <w:r>
              <w:rPr>
                <w:rFonts w:ascii="Calibri" w:hAnsi="Calibri"/>
                <w:b w:val="0"/>
                <w:i w:val="0"/>
                <w:color w:val="101828"/>
                <w:sz w:val="14"/>
              </w:rPr>
              <w:t>Yes</w:t>
            </w:r>
          </w:p>
        </w:tc>
        <w:tc>
          <w:tcPr>
            <w:tcW w:type="dxa" w:w="3542"/>
            <w:tcMar>
              <w:top w:w="60" w:type="dxa"/>
              <w:start w:w="110" w:type="dxa"/>
              <w:bottom w:w="60" w:type="dxa"/>
              <w:end w:w="110" w:type="dxa"/>
            </w:tcMar>
          </w:tcPr>
          <w:p>
            <w:pPr>
              <w:spacing w:after="0"/>
            </w:pPr>
            <w:r/>
            <w:r>
              <w:rPr>
                <w:rFonts w:ascii="Calibri" w:hAnsi="Calibri"/>
                <w:b w:val="0"/>
                <w:i w:val="0"/>
                <w:color w:val="101828"/>
                <w:sz w:val="14"/>
              </w:rPr>
              <w:t>Versioned; acceptance is timestamped.</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4"/>
              </w:rPr>
              <w:t>/privacy</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SCR-WEB-16</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No</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806"/>
            <w:tcMar>
              <w:top w:w="60" w:type="dxa"/>
              <w:start w:w="110" w:type="dxa"/>
              <w:bottom w:w="60" w:type="dxa"/>
              <w:end w:w="110" w:type="dxa"/>
            </w:tcMar>
            <w:shd w:val="clear" w:color="auto" w:fill="F4F7FB"/>
          </w:tcPr>
          <w:p>
            <w:pPr>
              <w:spacing w:after="0"/>
            </w:pPr>
            <w:r/>
            <w:r>
              <w:rPr>
                <w:rFonts w:ascii="Calibri" w:hAnsi="Calibri"/>
                <w:b w:val="0"/>
                <w:i w:val="0"/>
                <w:color w:val="101828"/>
                <w:sz w:val="14"/>
              </w:rPr>
              <w:t>Yes</w:t>
            </w:r>
          </w:p>
        </w:tc>
        <w:tc>
          <w:tcPr>
            <w:tcW w:type="dxa" w:w="3542"/>
            <w:tcMar>
              <w:top w:w="60" w:type="dxa"/>
              <w:start w:w="110" w:type="dxa"/>
              <w:bottom w:w="60" w:type="dxa"/>
              <w:end w:w="110" w:type="dxa"/>
            </w:tcMar>
            <w:shd w:val="clear" w:color="auto" w:fill="F4F7FB"/>
          </w:tcPr>
          <w:p>
            <w:pPr>
              <w:spacing w:after="0"/>
            </w:pPr>
            <w:r/>
            <w:r>
              <w:rPr>
                <w:rFonts w:ascii="Calibri" w:hAnsi="Calibri"/>
                <w:b w:val="0"/>
                <w:i w:val="0"/>
                <w:color w:val="101828"/>
                <w:sz w:val="14"/>
              </w:rPr>
              <w:t>Counsel review required before launch.</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4"/>
              </w:rPr>
              <w:t>/status</w:t>
            </w:r>
          </w:p>
        </w:tc>
        <w:tc>
          <w:tcPr>
            <w:tcW w:type="dxa" w:w="1411"/>
            <w:tcMar>
              <w:top w:w="60" w:type="dxa"/>
              <w:start w:w="110" w:type="dxa"/>
              <w:bottom w:w="60" w:type="dxa"/>
              <w:end w:w="110" w:type="dxa"/>
            </w:tcMar>
          </w:tcPr>
          <w:p>
            <w:pPr>
              <w:spacing w:after="0"/>
            </w:pPr>
            <w:r/>
            <w:r>
              <w:rPr>
                <w:rFonts w:ascii="Calibri" w:hAnsi="Calibri"/>
                <w:b w:val="0"/>
                <w:i w:val="0"/>
                <w:color w:val="101828"/>
                <w:sz w:val="14"/>
              </w:rPr>
              <w:t>SCR-WEB-17</w:t>
            </w:r>
          </w:p>
        </w:tc>
        <w:tc>
          <w:tcPr>
            <w:tcW w:type="dxa" w:w="720"/>
            <w:tcMar>
              <w:top w:w="60" w:type="dxa"/>
              <w:start w:w="110" w:type="dxa"/>
              <w:bottom w:w="60" w:type="dxa"/>
              <w:end w:w="110" w:type="dxa"/>
            </w:tcMar>
          </w:tcPr>
          <w:p>
            <w:pPr>
              <w:spacing w:after="0"/>
            </w:pPr>
            <w:r/>
            <w:r>
              <w:rPr>
                <w:rFonts w:ascii="Calibri" w:hAnsi="Calibri"/>
                <w:b w:val="0"/>
                <w:i w:val="0"/>
                <w:color w:val="101828"/>
                <w:sz w:val="14"/>
              </w:rPr>
              <w:t>No</w:t>
            </w:r>
          </w:p>
        </w:tc>
        <w:tc>
          <w:tcPr>
            <w:tcW w:type="dxa" w:w="1037"/>
            <w:tcMar>
              <w:top w:w="60" w:type="dxa"/>
              <w:start w:w="110" w:type="dxa"/>
              <w:bottom w:w="60" w:type="dxa"/>
              <w:end w:w="110" w:type="dxa"/>
            </w:tcMar>
          </w:tcPr>
          <w:p>
            <w:pPr>
              <w:spacing w:after="0"/>
            </w:pPr>
            <w:r/>
            <w:r>
              <w:rPr>
                <w:rFonts w:ascii="Calibri" w:hAnsi="Calibri"/>
                <w:b w:val="0"/>
                <w:i w:val="0"/>
                <w:color w:val="101828"/>
                <w:sz w:val="14"/>
              </w:rPr>
              <w:t>—</w:t>
            </w:r>
          </w:p>
        </w:tc>
        <w:tc>
          <w:tcPr>
            <w:tcW w:type="dxa" w:w="806"/>
            <w:tcMar>
              <w:top w:w="60" w:type="dxa"/>
              <w:start w:w="110" w:type="dxa"/>
              <w:bottom w:w="60" w:type="dxa"/>
              <w:end w:w="110" w:type="dxa"/>
            </w:tcMar>
          </w:tcPr>
          <w:p>
            <w:pPr>
              <w:spacing w:after="0"/>
            </w:pPr>
            <w:r/>
            <w:r>
              <w:rPr>
                <w:rFonts w:ascii="Calibri" w:hAnsi="Calibri"/>
                <w:b w:val="0"/>
                <w:i w:val="0"/>
                <w:color w:val="101828"/>
                <w:sz w:val="14"/>
              </w:rPr>
              <w:t>No</w:t>
            </w:r>
          </w:p>
        </w:tc>
        <w:tc>
          <w:tcPr>
            <w:tcW w:type="dxa" w:w="3542"/>
            <w:tcMar>
              <w:top w:w="60" w:type="dxa"/>
              <w:start w:w="110" w:type="dxa"/>
              <w:bottom w:w="60" w:type="dxa"/>
              <w:end w:w="110" w:type="dxa"/>
            </w:tcMar>
          </w:tcPr>
          <w:p>
            <w:pPr>
              <w:spacing w:after="0"/>
            </w:pPr>
            <w:r/>
            <w:r>
              <w:rPr>
                <w:rFonts w:ascii="Calibri" w:hAnsi="Calibri"/>
                <w:b w:val="0"/>
                <w:i w:val="0"/>
                <w:color w:val="101828"/>
                <w:sz w:val="14"/>
              </w:rPr>
              <w:t xml:space="preserve">Reached by state, not linked. </w:t>
            </w:r>
            <w:r>
              <w:rPr>
                <w:rFonts w:ascii="Consolas" w:hAnsi="Consolas"/>
                <w:color w:val="146EF5"/>
                <w:sz w:val="14"/>
              </w:rPr>
              <w:t>noindex</w:t>
            </w:r>
            <w:r>
              <w:rPr>
                <w:rFonts w:ascii="Calibri" w:hAnsi="Calibri"/>
                <w:b w:val="0"/>
                <w:i w:val="0"/>
                <w:color w:val="101828"/>
                <w:sz w:val="14"/>
              </w:rPr>
              <w:t>.</w:t>
            </w:r>
          </w:p>
        </w:tc>
      </w:tr>
      <w:tr>
        <w:trPr>
          <w:cantSplit/>
        </w:trPr>
        <w:tc>
          <w:tcPr>
            <w:tcW w:type="dxa" w:w="1843"/>
            <w:tcMar>
              <w:top w:w="60" w:type="dxa"/>
              <w:start w:w="110" w:type="dxa"/>
              <w:bottom w:w="60" w:type="dxa"/>
              <w:end w:w="110" w:type="dxa"/>
            </w:tcMar>
            <w:shd w:val="clear" w:color="auto" w:fill="F4F7FB"/>
          </w:tcPr>
          <w:p>
            <w:pPr>
              <w:spacing w:after="0"/>
            </w:pPr>
            <w:r/>
            <w:r>
              <w:rPr>
                <w:rFonts w:ascii="Consolas" w:hAnsi="Consolas"/>
                <w:color w:val="146EF5"/>
                <w:sz w:val="14"/>
              </w:rPr>
              <w:t>/404</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SCR-WEB-18</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No</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806"/>
            <w:tcMar>
              <w:top w:w="60" w:type="dxa"/>
              <w:start w:w="110" w:type="dxa"/>
              <w:bottom w:w="60" w:type="dxa"/>
              <w:end w:w="110" w:type="dxa"/>
            </w:tcMar>
            <w:shd w:val="clear" w:color="auto" w:fill="F4F7FB"/>
          </w:tcPr>
          <w:p>
            <w:pPr>
              <w:spacing w:after="0"/>
            </w:pPr>
            <w:r/>
            <w:r>
              <w:rPr>
                <w:rFonts w:ascii="Calibri" w:hAnsi="Calibri"/>
                <w:b w:val="0"/>
                <w:i w:val="0"/>
                <w:color w:val="101828"/>
                <w:sz w:val="14"/>
              </w:rPr>
              <w:t>No</w:t>
            </w:r>
          </w:p>
        </w:tc>
        <w:tc>
          <w:tcPr>
            <w:tcW w:type="dxa" w:w="3542"/>
            <w:tcMar>
              <w:top w:w="60" w:type="dxa"/>
              <w:start w:w="110" w:type="dxa"/>
              <w:bottom w:w="60" w:type="dxa"/>
              <w:end w:w="110" w:type="dxa"/>
            </w:tcMar>
            <w:shd w:val="clear" w:color="auto" w:fill="F4F7FB"/>
          </w:tcPr>
          <w:p>
            <w:pPr>
              <w:spacing w:after="0"/>
            </w:pPr>
            <w:r/>
            <w:r>
              <w:rPr>
                <w:rFonts w:ascii="Calibri" w:hAnsi="Calibri"/>
                <w:b w:val="0"/>
                <w:i w:val="0"/>
                <w:color w:val="101828"/>
                <w:sz w:val="14"/>
              </w:rPr>
              <w:t>Wildcard handler for tier 1.</w:t>
            </w:r>
          </w:p>
        </w:tc>
      </w:tr>
      <w:tr>
        <w:trPr>
          <w:cantSplit/>
        </w:trPr>
        <w:tc>
          <w:tcPr>
            <w:tcW w:type="dxa" w:w="1843"/>
            <w:tcMar>
              <w:top w:w="60" w:type="dxa"/>
              <w:start w:w="110" w:type="dxa"/>
              <w:bottom w:w="60" w:type="dxa"/>
              <w:end w:w="110" w:type="dxa"/>
            </w:tcMar>
          </w:tcPr>
          <w:p>
            <w:pPr>
              <w:spacing w:after="0"/>
            </w:pPr>
            <w:r/>
            <w:r>
              <w:rPr>
                <w:rFonts w:ascii="Consolas" w:hAnsi="Consolas"/>
                <w:color w:val="146EF5"/>
                <w:sz w:val="14"/>
              </w:rPr>
              <w:t>/invite/:token</w:t>
            </w:r>
          </w:p>
        </w:tc>
        <w:tc>
          <w:tcPr>
            <w:tcW w:type="dxa" w:w="1411"/>
            <w:tcMar>
              <w:top w:w="60" w:type="dxa"/>
              <w:start w:w="110" w:type="dxa"/>
              <w:bottom w:w="60" w:type="dxa"/>
              <w:end w:w="110" w:type="dxa"/>
            </w:tcMar>
          </w:tcPr>
          <w:p>
            <w:pPr>
              <w:spacing w:after="0"/>
            </w:pPr>
            <w:r/>
            <w:r>
              <w:rPr>
                <w:rFonts w:ascii="Calibri" w:hAnsi="Calibri"/>
                <w:b w:val="0"/>
                <w:i w:val="0"/>
                <w:color w:val="101828"/>
                <w:sz w:val="14"/>
              </w:rPr>
              <w:t>SCR-MOB-24</w:t>
            </w:r>
          </w:p>
        </w:tc>
        <w:tc>
          <w:tcPr>
            <w:tcW w:type="dxa" w:w="720"/>
            <w:tcMar>
              <w:top w:w="60" w:type="dxa"/>
              <w:start w:w="110" w:type="dxa"/>
              <w:bottom w:w="60" w:type="dxa"/>
              <w:end w:w="110" w:type="dxa"/>
            </w:tcMar>
          </w:tcPr>
          <w:p>
            <w:pPr>
              <w:spacing w:after="0"/>
            </w:pPr>
            <w:r/>
            <w:r>
              <w:rPr>
                <w:rFonts w:ascii="Calibri" w:hAnsi="Calibri"/>
                <w:b w:val="0"/>
                <w:i w:val="0"/>
                <w:color w:val="101828"/>
                <w:sz w:val="14"/>
              </w:rPr>
              <w:t>Optional</w:t>
            </w:r>
          </w:p>
        </w:tc>
        <w:tc>
          <w:tcPr>
            <w:tcW w:type="dxa" w:w="1037"/>
            <w:tcMar>
              <w:top w:w="60" w:type="dxa"/>
              <w:start w:w="110" w:type="dxa"/>
              <w:bottom w:w="60" w:type="dxa"/>
              <w:end w:w="110" w:type="dxa"/>
            </w:tcMar>
          </w:tcPr>
          <w:p>
            <w:pPr>
              <w:spacing w:after="0"/>
            </w:pPr>
            <w:r/>
            <w:r>
              <w:rPr>
                <w:rFonts w:ascii="Calibri" w:hAnsi="Calibri"/>
                <w:b w:val="0"/>
                <w:i w:val="0"/>
                <w:color w:val="101828"/>
                <w:sz w:val="14"/>
              </w:rPr>
              <w:t>Any signed-in</w:t>
            </w:r>
          </w:p>
        </w:tc>
        <w:tc>
          <w:tcPr>
            <w:tcW w:type="dxa" w:w="806"/>
            <w:tcMar>
              <w:top w:w="60" w:type="dxa"/>
              <w:start w:w="110" w:type="dxa"/>
              <w:bottom w:w="60" w:type="dxa"/>
              <w:end w:w="110" w:type="dxa"/>
            </w:tcMar>
          </w:tcPr>
          <w:p>
            <w:pPr>
              <w:spacing w:after="0"/>
            </w:pPr>
            <w:r/>
            <w:r>
              <w:rPr>
                <w:rFonts w:ascii="Calibri" w:hAnsi="Calibri"/>
                <w:b w:val="0"/>
                <w:i w:val="0"/>
                <w:color w:val="101828"/>
                <w:sz w:val="14"/>
              </w:rPr>
              <w:t>Yes</w:t>
            </w:r>
          </w:p>
        </w:tc>
        <w:tc>
          <w:tcPr>
            <w:tcW w:type="dxa" w:w="3542"/>
            <w:tcMar>
              <w:top w:w="60" w:type="dxa"/>
              <w:start w:w="110" w:type="dxa"/>
              <w:bottom w:w="60" w:type="dxa"/>
              <w:end w:w="110" w:type="dxa"/>
            </w:tcMar>
          </w:tcPr>
          <w:p>
            <w:pPr>
              <w:spacing w:after="0"/>
            </w:pPr>
            <w:r/>
            <w:r>
              <w:rPr>
                <w:rFonts w:ascii="Consolas" w:hAnsi="Consolas"/>
                <w:color w:val="146EF5"/>
                <w:sz w:val="14"/>
              </w:rPr>
              <w:t>noindex, nofollow</w:t>
            </w:r>
            <w:r>
              <w:rPr>
                <w:rFonts w:ascii="Calibri" w:hAnsi="Calibri"/>
                <w:b w:val="0"/>
                <w:i w:val="0"/>
                <w:color w:val="101828"/>
                <w:sz w:val="14"/>
              </w:rPr>
              <w:t xml:space="preserve">, </w:t>
            </w:r>
            <w:r>
              <w:rPr>
                <w:rFonts w:ascii="Consolas" w:hAnsi="Consolas"/>
                <w:color w:val="146EF5"/>
                <w:sz w:val="14"/>
              </w:rPr>
              <w:t>no-store</w:t>
            </w:r>
            <w:r>
              <w:rPr>
                <w:rFonts w:ascii="Calibri" w:hAnsi="Calibri"/>
                <w:b w:val="0"/>
                <w:i w:val="0"/>
                <w:color w:val="101828"/>
                <w:sz w:val="14"/>
              </w:rPr>
              <w:t>.</w:t>
            </w:r>
          </w:p>
        </w:tc>
      </w:tr>
    </w:tbl>
    <w:p>
      <w:pPr>
        <w:spacing w:after="80"/>
      </w:pPr>
    </w:p>
    <w:p>
      <w:pPr>
        <w:pStyle w:val="Heading3"/>
      </w:pPr>
      <w:r>
        <w:rPr>
          <w:rFonts w:ascii="Calibri" w:hAnsi="Calibri"/>
          <w:b/>
          <w:i w:val="0"/>
          <w:color w:val="0B1F3A"/>
          <w:sz w:val="24"/>
        </w:rPr>
        <w:t>3.6.2 Tier 2 application routes</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3"/>
              </w:rPr>
              <w:t>Route</w:t>
            </w:r>
          </w:p>
        </w:tc>
        <w:tc>
          <w:tcPr>
            <w:tcW w:type="dxa" w:w="1354"/>
            <w:shd w:val="clear" w:color="auto" w:fill="0B1F3A"/>
            <w:tcMar>
              <w:top w:w="60" w:type="dxa"/>
              <w:start w:w="110" w:type="dxa"/>
              <w:bottom w:w="60" w:type="dxa"/>
              <w:end w:w="110" w:type="dxa"/>
            </w:tcMar>
          </w:tcPr>
          <w:p>
            <w:pPr>
              <w:spacing w:after="0"/>
            </w:pPr>
            <w:r/>
            <w:r>
              <w:rPr>
                <w:rFonts w:ascii="Calibri" w:hAnsi="Calibri"/>
                <w:b/>
                <w:i w:val="0"/>
                <w:color w:val="FFFFFF"/>
                <w:sz w:val="13"/>
              </w:rPr>
              <w:t>Screen ID</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3"/>
              </w:rPr>
              <w:t>Auth</w:t>
            </w:r>
          </w:p>
        </w:tc>
        <w:tc>
          <w:tcPr>
            <w:tcW w:type="dxa" w:w="1699"/>
            <w:shd w:val="clear" w:color="auto" w:fill="0B1F3A"/>
            <w:tcMar>
              <w:top w:w="60" w:type="dxa"/>
              <w:start w:w="110" w:type="dxa"/>
              <w:bottom w:w="60" w:type="dxa"/>
              <w:end w:w="110" w:type="dxa"/>
            </w:tcMar>
          </w:tcPr>
          <w:p>
            <w:pPr>
              <w:spacing w:after="0"/>
            </w:pPr>
            <w:r/>
            <w:r>
              <w:rPr>
                <w:rFonts w:ascii="Calibri" w:hAnsi="Calibri"/>
                <w:b/>
                <w:i w:val="0"/>
                <w:color w:val="FFFFFF"/>
                <w:sz w:val="13"/>
              </w:rPr>
              <w:t>Role</w:t>
            </w:r>
          </w:p>
        </w:tc>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3"/>
              </w:rPr>
              <w:t>Deep-link</w:t>
            </w:r>
          </w:p>
        </w:tc>
        <w:tc>
          <w:tcPr>
            <w:tcW w:type="dxa" w:w="2822"/>
            <w:shd w:val="clear" w:color="auto" w:fill="0B1F3A"/>
            <w:tcMar>
              <w:top w:w="60" w:type="dxa"/>
              <w:start w:w="110" w:type="dxa"/>
              <w:bottom w:w="60" w:type="dxa"/>
              <w:end w:w="110" w:type="dxa"/>
            </w:tcMar>
          </w:tcPr>
          <w:p>
            <w:pPr>
              <w:spacing w:after="0"/>
            </w:pPr>
            <w:r/>
            <w:r>
              <w:rPr>
                <w:rFonts w:ascii="Calibri" w:hAnsi="Calibri"/>
                <w:b/>
                <w:i w:val="0"/>
                <w:color w:val="FFFFFF"/>
                <w:sz w:val="13"/>
              </w:rPr>
              <w:t>Notes</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SCR-MOB-01</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alibri" w:hAnsi="Calibri"/>
                <w:b w:val="0"/>
                <w:i w:val="0"/>
                <w:color w:val="101828"/>
                <w:sz w:val="13"/>
              </w:rPr>
              <w:t>All tier-2</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tcPr>
          <w:p>
            <w:pPr>
              <w:spacing w:after="0"/>
            </w:pPr>
            <w:r/>
            <w:r>
              <w:rPr>
                <w:rFonts w:ascii="Calibri" w:hAnsi="Calibri"/>
                <w:b w:val="0"/>
                <w:i w:val="0"/>
                <w:color w:val="101828"/>
                <w:sz w:val="13"/>
              </w:rPr>
              <w:t xml:space="preserve">Post-login landing. </w:t>
            </w:r>
            <w:r>
              <w:rPr>
                <w:rFonts w:ascii="Consolas" w:hAnsi="Consolas"/>
                <w:color w:val="146EF5"/>
                <w:sz w:val="13"/>
              </w:rPr>
              <w:t>noindex</w:t>
            </w:r>
            <w:r>
              <w:rPr>
                <w:rFonts w:ascii="Calibri" w:hAnsi="Calibri"/>
                <w:b w:val="0"/>
                <w:i w:val="0"/>
                <w:color w:val="101828"/>
                <w:sz w:val="13"/>
              </w:rPr>
              <w:t>.</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/app/aios</w:t>
            </w:r>
            <w:r>
              <w:rPr>
                <w:rFonts w:ascii="Calibri" w:hAnsi="Calibri"/>
                <w:b w:val="0"/>
                <w:i w:val="0"/>
                <w:color w:val="101828"/>
                <w:sz w:val="13"/>
              </w:rPr>
              <w:t xml:space="preserve"> → </w:t>
            </w:r>
            <w:r>
              <w:rPr>
                <w:rFonts w:ascii="Consolas" w:hAnsi="Consolas"/>
                <w:color w:val="146EF5"/>
                <w:sz w:val="13"/>
              </w:rPr>
              <w:t>/app/ajos</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Reserved typo redirect only; see 3.12.</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/app/ajos</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SCR-MOB-02</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alibri" w:hAnsi="Calibri"/>
                <w:b w:val="0"/>
                <w:i w:val="0"/>
                <w:color w:val="101828"/>
                <w:sz w:val="13"/>
              </w:rPr>
              <w:t>All tier-2</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tcPr>
          <w:p>
            <w:pPr>
              <w:spacing w:after="0"/>
            </w:pPr>
            <w:r/>
            <w:r>
              <w:rPr>
                <w:rFonts w:ascii="Calibri" w:hAnsi="Calibri"/>
                <w:b w:val="0"/>
                <w:i w:val="0"/>
                <w:color w:val="101828"/>
                <w:sz w:val="13"/>
              </w:rPr>
              <w:t>Cursor-paginated list.</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/app/ajos/new</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SCR-MOB-05.1</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onsolas" w:hAnsi="Consolas"/>
                <w:color w:val="146EF5"/>
                <w:sz w:val="13"/>
              </w:rPr>
              <w:t>user</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No</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Resumable. Creates DRAFT.</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/app/ajos/new/amount</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SCR-MOB-05.2</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onsolas" w:hAnsi="Consolas"/>
                <w:color w:val="146EF5"/>
                <w:sz w:val="13"/>
              </w:rPr>
              <w:t>user</w:t>
            </w:r>
          </w:p>
        </w:tc>
        <w:tc>
          <w:tcPr>
            <w:tcW w:type="dxa" w:w="720"/>
            <w:tcMar>
              <w:top w:w="60" w:type="dxa"/>
              <w:start w:w="110" w:type="dxa"/>
              <w:bottom w:w="60" w:type="dxa"/>
              <w:end w:w="110" w:type="dxa"/>
            </w:tcMar>
          </w:tcPr>
          <w:p>
            <w:pPr>
              <w:spacing w:after="0"/>
            </w:pPr>
            <w:r/>
            <w:r>
              <w:rPr>
                <w:rFonts w:ascii="Calibri" w:hAnsi="Calibri"/>
                <w:b w:val="0"/>
                <w:i w:val="0"/>
                <w:color w:val="101828"/>
                <w:sz w:val="13"/>
              </w:rPr>
              <w:t>No</w:t>
            </w:r>
          </w:p>
        </w:tc>
        <w:tc>
          <w:tcPr>
            <w:tcW w:type="dxa" w:w="2822"/>
            <w:tcMar>
              <w:top w:w="60" w:type="dxa"/>
              <w:start w:w="110" w:type="dxa"/>
              <w:bottom w:w="60" w:type="dxa"/>
              <w:end w:w="110" w:type="dxa"/>
            </w:tcMar>
          </w:tcPr>
          <w:p>
            <w:pPr>
              <w:spacing w:after="0"/>
            </w:pPr>
            <w:r/>
            <w:r>
              <w:rPr>
                <w:rFonts w:ascii="Calibri" w:hAnsi="Calibri"/>
                <w:b w:val="0"/>
                <w:i w:val="0"/>
                <w:color w:val="101828"/>
                <w:sz w:val="13"/>
              </w:rPr>
              <w:t>Live fee preview. BR-010.</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/app/ajos/new/frequency</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SCR-MOB-05.3</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onsolas" w:hAnsi="Consolas"/>
                <w:color w:val="146EF5"/>
                <w:sz w:val="13"/>
              </w:rPr>
              <w:t>user</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No</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Immutable post-activation.</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/app/ajos/new/duration</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SCR-MOB-05.4</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onsolas" w:hAnsi="Consolas"/>
                <w:color w:val="146EF5"/>
                <w:sz w:val="13"/>
              </w:rPr>
              <w:t>user</w:t>
            </w:r>
          </w:p>
        </w:tc>
        <w:tc>
          <w:tcPr>
            <w:tcW w:type="dxa" w:w="720"/>
            <w:tcMar>
              <w:top w:w="60" w:type="dxa"/>
              <w:start w:w="110" w:type="dxa"/>
              <w:bottom w:w="60" w:type="dxa"/>
              <w:end w:w="110" w:type="dxa"/>
            </w:tcMar>
          </w:tcPr>
          <w:p>
            <w:pPr>
              <w:spacing w:after="0"/>
            </w:pPr>
            <w:r/>
            <w:r>
              <w:rPr>
                <w:rFonts w:ascii="Calibri" w:hAnsi="Calibri"/>
                <w:b w:val="0"/>
                <w:i w:val="0"/>
                <w:color w:val="101828"/>
                <w:sz w:val="13"/>
              </w:rPr>
              <w:t>No</w:t>
            </w:r>
          </w:p>
        </w:tc>
        <w:tc>
          <w:tcPr>
            <w:tcW w:type="dxa" w:w="2822"/>
            <w:tcMar>
              <w:top w:w="60" w:type="dxa"/>
              <w:start w:w="110" w:type="dxa"/>
              <w:bottom w:w="60" w:type="dxa"/>
              <w:end w:w="110" w:type="dxa"/>
            </w:tcMar>
          </w:tcPr>
          <w:p>
            <w:pPr>
              <w:spacing w:after="0"/>
            </w:pPr>
            <w:r/>
            <w:r>
              <w:rPr>
                <w:rFonts w:ascii="Calibri" w:hAnsi="Calibri"/>
                <w:b w:val="0"/>
                <w:i w:val="0"/>
                <w:color w:val="101828"/>
                <w:sz w:val="13"/>
              </w:rPr>
              <w:t>Rounds = member count.</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/app/ajos/new/invite</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SCR-MOB-05.5</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onsolas" w:hAnsi="Consolas"/>
                <w:color w:val="146EF5"/>
                <w:sz w:val="13"/>
              </w:rPr>
              <w:t>user</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No</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Mints single-use tokens.</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/app/ajos/new/order</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SCR-MOB-05.6</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onsolas" w:hAnsi="Consolas"/>
                <w:color w:val="146EF5"/>
                <w:sz w:val="13"/>
              </w:rPr>
              <w:t>user</w:t>
            </w:r>
            <w:r>
              <w:rPr>
                <w:rFonts w:ascii="Calibri" w:hAnsi="Calibri"/>
                <w:b w:val="0"/>
                <w:i w:val="0"/>
                <w:color w:val="101828"/>
                <w:sz w:val="13"/>
              </w:rPr>
              <w:t>, members</w:t>
            </w:r>
          </w:p>
        </w:tc>
        <w:tc>
          <w:tcPr>
            <w:tcW w:type="dxa" w:w="720"/>
            <w:tcMar>
              <w:top w:w="60" w:type="dxa"/>
              <w:start w:w="110" w:type="dxa"/>
              <w:bottom w:w="60" w:type="dxa"/>
              <w:end w:w="110" w:type="dxa"/>
            </w:tcMar>
          </w:tcPr>
          <w:p>
            <w:pPr>
              <w:spacing w:after="0"/>
            </w:pPr>
            <w:r/>
            <w:r>
              <w:rPr>
                <w:rFonts w:ascii="Calibri" w:hAnsi="Calibri"/>
                <w:b w:val="0"/>
                <w:i w:val="0"/>
                <w:color w:val="101828"/>
                <w:sz w:val="13"/>
              </w:rPr>
              <w:t>No</w:t>
            </w:r>
          </w:p>
        </w:tc>
        <w:tc>
          <w:tcPr>
            <w:tcW w:type="dxa" w:w="2822"/>
            <w:tcMar>
              <w:top w:w="60" w:type="dxa"/>
              <w:start w:w="110" w:type="dxa"/>
              <w:bottom w:w="60" w:type="dxa"/>
              <w:end w:w="110" w:type="dxa"/>
            </w:tcMar>
          </w:tcPr>
          <w:p>
            <w:pPr>
              <w:spacing w:after="0"/>
            </w:pPr>
            <w:r/>
            <w:r>
              <w:rPr>
                <w:rFonts w:ascii="Calibri" w:hAnsi="Calibri"/>
                <w:b w:val="0"/>
                <w:i w:val="0"/>
                <w:color w:val="101828"/>
                <w:sz w:val="13"/>
              </w:rPr>
              <w:t>Provisional until activation.</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/app/ajos/new/review</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SCR-MOB-05.7</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onsolas" w:hAnsi="Consolas"/>
                <w:color w:val="146EF5"/>
                <w:sz w:val="13"/>
              </w:rPr>
              <w:t>user</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No</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Acknowledgement gate. No fee line, no commit action.</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/app/join</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SCR-MOB-04</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alibri" w:hAnsi="Calibri"/>
                <w:b w:val="0"/>
                <w:i w:val="0"/>
                <w:color w:val="101828"/>
                <w:sz w:val="13"/>
              </w:rPr>
              <w:t>All tier-2</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tcPr>
          <w:p>
            <w:pPr>
              <w:spacing w:after="0"/>
            </w:pPr>
            <w:r/>
            <w:r>
              <w:rPr>
                <w:rFonts w:ascii="Calibri" w:hAnsi="Calibri"/>
                <w:b w:val="0"/>
                <w:i w:val="0"/>
                <w:color w:val="101828"/>
                <w:sz w:val="13"/>
              </w:rPr>
              <w:t>Code entry. Rate limited.</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/app/join/:token</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SCR-MOB-24</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All tier-2</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Fee disclosure before commit.</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/app/ajos/:id</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SCR-MOB-03</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alibri" w:hAnsi="Calibri"/>
                <w:b w:val="0"/>
                <w:i w:val="0"/>
                <w:color w:val="101828"/>
                <w:sz w:val="13"/>
              </w:rPr>
              <w:t>Member/organizer of that Ajo</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tcPr>
          <w:p>
            <w:pPr>
              <w:spacing w:after="0"/>
            </w:pPr>
            <w:r/>
            <w:r>
              <w:rPr>
                <w:rFonts w:ascii="Calibri" w:hAnsi="Calibri"/>
                <w:b w:val="0"/>
                <w:i w:val="0"/>
                <w:color w:val="101828"/>
                <w:sz w:val="13"/>
              </w:rPr>
              <w:t>404 if not a participant. No existence oracle.</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/app/ajos/:id/members</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SCR-MOB-06</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Member/organizer of that Ajo</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 xml:space="preserve">Write actions gated to </w:t>
            </w:r>
            <w:r>
              <w:rPr>
                <w:rFonts w:ascii="Consolas" w:hAnsi="Consolas"/>
                <w:color w:val="146EF5"/>
                <w:sz w:val="13"/>
              </w:rPr>
              <w:t>[O]</w:t>
            </w:r>
            <w:r>
              <w:rPr>
                <w:rFonts w:ascii="Calibri" w:hAnsi="Calibri"/>
                <w:b w:val="0"/>
                <w:i w:val="0"/>
                <w:color w:val="101828"/>
                <w:sz w:val="13"/>
              </w:rPr>
              <w:t>.</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/app/ajos/:id/schedule</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SCR-MOB-07</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alibri" w:hAnsi="Calibri"/>
                <w:b w:val="0"/>
                <w:i w:val="0"/>
                <w:color w:val="101828"/>
                <w:sz w:val="13"/>
              </w:rPr>
              <w:t>Member/organizer of that Ajo</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tcPr>
          <w:p>
            <w:pPr>
              <w:spacing w:after="0"/>
            </w:pPr>
            <w:r/>
            <w:r>
              <w:rPr>
                <w:rFonts w:ascii="Calibri" w:hAnsi="Calibri"/>
                <w:b w:val="0"/>
                <w:i w:val="0"/>
                <w:color w:val="101828"/>
                <w:sz w:val="13"/>
              </w:rPr>
              <w:t>Provisional pre-activation.</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/app/ajos/:id/contributions</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SCR-MOB-08</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Member/organizer of that Ajo</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Default handling is private (C §4).</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/app/ajos/:id/economics</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SCR-MOB-03</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alibri" w:hAnsi="Calibri"/>
                <w:b w:val="0"/>
                <w:i w:val="0"/>
                <w:color w:val="101828"/>
                <w:sz w:val="13"/>
              </w:rPr>
              <w:t>Member/organizer of that Ajo</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tcPr>
          <w:p>
            <w:pPr>
              <w:spacing w:after="0"/>
            </w:pPr>
            <w:r/>
            <w:r>
              <w:rPr>
                <w:rFonts w:ascii="Calibri" w:hAnsi="Calibri"/>
                <w:b w:val="0"/>
                <w:i w:val="0"/>
                <w:color w:val="101828"/>
                <w:sz w:val="13"/>
              </w:rPr>
              <w:t>Fee-disclosure surface. Base pool, not collected.</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/app/ajos/:id/payouts</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SCR-MOB-12</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Member/organizer of that Ajo</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 xml:space="preserve">Scoped view of </w:t>
            </w:r>
            <w:r>
              <w:rPr>
                <w:rFonts w:ascii="Consolas" w:hAnsi="Consolas"/>
                <w:color w:val="146EF5"/>
                <w:sz w:val="13"/>
              </w:rPr>
              <w:t>/app/payouts</w:t>
            </w:r>
            <w:r>
              <w:rPr>
                <w:rFonts w:ascii="Calibri" w:hAnsi="Calibri"/>
                <w:b w:val="0"/>
                <w:i w:val="0"/>
                <w:color w:val="101828"/>
                <w:sz w:val="13"/>
              </w:rPr>
              <w:t>.</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/app/contributions</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SCR-MOB-08</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alibri" w:hAnsi="Calibri"/>
                <w:b w:val="0"/>
                <w:i w:val="0"/>
                <w:color w:val="101828"/>
                <w:sz w:val="13"/>
              </w:rPr>
              <w:t>All tier-2</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tcPr>
          <w:p>
            <w:pPr>
              <w:spacing w:after="0"/>
            </w:pPr>
            <w:r/>
            <w:r>
              <w:rPr>
                <w:rFonts w:ascii="Calibri" w:hAnsi="Calibri"/>
                <w:b w:val="0"/>
                <w:i w:val="0"/>
                <w:color w:val="101828"/>
                <w:sz w:val="13"/>
              </w:rPr>
              <w:t>Cross-Ajo obligation list.</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/app/contributions/:id</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SCR-MOB-08</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Owner</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Detail. 404 if not the owner.</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/app/contributions/:id/pay</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SCR-MOB-09</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alibri" w:hAnsi="Calibri"/>
                <w:b w:val="0"/>
                <w:i w:val="0"/>
                <w:color w:val="101828"/>
                <w:sz w:val="13"/>
              </w:rPr>
              <w:t xml:space="preserve">Owner, </w:t>
            </w:r>
            <w:r>
              <w:rPr>
                <w:rFonts w:ascii="Consolas" w:hAnsi="Consolas"/>
                <w:color w:val="146EF5"/>
                <w:sz w:val="13"/>
              </w:rPr>
              <w:t>ajo_member</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tcPr>
          <w:p>
            <w:pPr>
              <w:spacing w:after="0"/>
            </w:pPr>
            <w:r/>
            <w:r>
              <w:rPr>
                <w:rFonts w:ascii="Calibri" w:hAnsi="Calibri"/>
                <w:b/>
                <w:color w:val="101828"/>
                <w:sz w:val="13"/>
              </w:rPr>
              <w:t>Fee disclosure required</w:t>
            </w:r>
            <w:r>
              <w:rPr>
                <w:rFonts w:ascii="Calibri" w:hAnsi="Calibri"/>
                <w:b w:val="0"/>
                <w:i w:val="0"/>
                <w:color w:val="101828"/>
                <w:sz w:val="13"/>
              </w:rPr>
              <w:t>.</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/app/contributions/:id/processing</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SCR-MOB-10</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Owner</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 xml:space="preserve">Non-dismissable while </w:t>
            </w:r>
            <w:r>
              <w:rPr>
                <w:rFonts w:ascii="Consolas" w:hAnsi="Consolas"/>
                <w:color w:val="146EF5"/>
                <w:sz w:val="13"/>
              </w:rPr>
              <w:t>PENDING</w:t>
            </w:r>
            <w:r>
              <w:rPr>
                <w:rFonts w:ascii="Calibri" w:hAnsi="Calibri"/>
                <w:b w:val="0"/>
                <w:i w:val="0"/>
                <w:color w:val="101828"/>
                <w:sz w:val="13"/>
              </w:rPr>
              <w:t>.</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/app/contributions/:id/receipt</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SCR-MOB-11</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alibri" w:hAnsi="Calibri"/>
                <w:b w:val="0"/>
                <w:i w:val="0"/>
                <w:color w:val="101828"/>
                <w:sz w:val="13"/>
              </w:rPr>
              <w:t>Owner</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tcPr>
          <w:p>
            <w:pPr>
              <w:spacing w:after="0"/>
            </w:pPr>
            <w:r/>
            <w:r>
              <w:rPr>
                <w:rFonts w:ascii="Calibri" w:hAnsi="Calibri"/>
                <w:b/>
                <w:color w:val="101828"/>
                <w:sz w:val="13"/>
              </w:rPr>
              <w:t>Fee disclosure required.</w:t>
            </w:r>
            <w:r>
              <w:rPr>
                <w:rFonts w:ascii="Calibri" w:hAnsi="Calibri"/>
                <w:b w:val="0"/>
                <w:i w:val="0"/>
                <w:color w:val="101828"/>
                <w:sz w:val="13"/>
              </w:rPr>
              <w:t xml:space="preserve"> Immutable.</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/app/payments</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SCR-MOB-10</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All tier-2</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Attempt history, not receipts.</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/app/payments/:id</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SCR-MOB-10</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alibri" w:hAnsi="Calibri"/>
                <w:b w:val="0"/>
                <w:i w:val="0"/>
                <w:color w:val="101828"/>
                <w:sz w:val="13"/>
              </w:rPr>
              <w:t>Owner</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tcPr>
          <w:p>
            <w:pPr>
              <w:spacing w:after="0"/>
            </w:pPr>
            <w:r/>
            <w:r>
              <w:rPr>
                <w:rFonts w:ascii="Calibri" w:hAnsi="Calibri"/>
                <w:b w:val="0"/>
                <w:i w:val="0"/>
                <w:color w:val="101828"/>
                <w:sz w:val="13"/>
              </w:rPr>
              <w:t>State machine view.</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/app/payments/:id/receipt</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SCR-MOB-11</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Owner</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shd w:val="clear" w:color="auto" w:fill="F4F7FB"/>
          </w:tcPr>
          <w:p>
            <w:pPr>
              <w:spacing w:after="0"/>
            </w:pPr>
            <w:r/>
            <w:r>
              <w:rPr>
                <w:rFonts w:ascii="Calibri" w:hAnsi="Calibri"/>
                <w:b/>
                <w:color w:val="101828"/>
                <w:sz w:val="13"/>
              </w:rPr>
              <w:t>Fee disclosure required.</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/app/payouts</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SCR-MOB-12</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alibri" w:hAnsi="Calibri"/>
                <w:b w:val="0"/>
                <w:i w:val="0"/>
                <w:color w:val="101828"/>
                <w:sz w:val="13"/>
              </w:rPr>
              <w:t>All tier-2</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tcPr>
          <w:p>
            <w:pPr>
              <w:spacing w:after="0"/>
            </w:pPr>
            <w:r/>
            <w:r>
              <w:rPr>
                <w:rFonts w:ascii="Calibri" w:hAnsi="Calibri"/>
                <w:b w:val="0"/>
                <w:i w:val="0"/>
                <w:color w:val="101828"/>
                <w:sz w:val="13"/>
              </w:rPr>
              <w:t>Cross-Ajo payout list.</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/app/payouts/:id</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SCR-MOB-13</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Recipient/organizer</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 xml:space="preserve">Base pool only. </w:t>
            </w:r>
            <w:r>
              <w:rPr>
                <w:rFonts w:ascii="Consolas" w:hAnsi="Consolas"/>
                <w:color w:val="146EF5"/>
                <w:sz w:val="13"/>
              </w:rPr>
              <w:t>HELD</w:t>
            </w:r>
            <w:r>
              <w:rPr>
                <w:rFonts w:ascii="Calibri" w:hAnsi="Calibri"/>
                <w:b w:val="0"/>
                <w:i w:val="0"/>
                <w:color w:val="101828"/>
                <w:sz w:val="13"/>
              </w:rPr>
              <w:t xml:space="preserve"> explained.</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/app/transactions</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SCR-MOB-14</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alibri" w:hAnsi="Calibri"/>
                <w:b w:val="0"/>
                <w:i w:val="0"/>
                <w:color w:val="101828"/>
                <w:sz w:val="13"/>
              </w:rPr>
              <w:t>All tier-2</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tcPr>
          <w:p>
            <w:pPr>
              <w:spacing w:after="0"/>
            </w:pPr>
            <w:r/>
            <w:r>
              <w:rPr>
                <w:rFonts w:ascii="Calibri" w:hAnsi="Calibri"/>
                <w:b w:val="0"/>
                <w:i w:val="0"/>
                <w:color w:val="101828"/>
                <w:sz w:val="13"/>
              </w:rPr>
              <w:t>Statement export. PII-free.</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/app/statements</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SCR-MOB-14</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All tier-2</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Period selector for the same view.</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/app/notifications</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SCR-MOB-15</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alibri" w:hAnsi="Calibri"/>
                <w:b w:val="0"/>
                <w:i w:val="0"/>
                <w:color w:val="101828"/>
                <w:sz w:val="13"/>
              </w:rPr>
              <w:t>All tier-2</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tcPr>
          <w:p>
            <w:pPr>
              <w:spacing w:after="0"/>
            </w:pPr>
            <w:r/>
            <w:r>
              <w:rPr>
                <w:rFonts w:ascii="Calibri" w:hAnsi="Calibri"/>
                <w:b w:val="0"/>
                <w:i w:val="0"/>
                <w:color w:val="101828"/>
                <w:sz w:val="13"/>
              </w:rPr>
              <w:t>Grouped by Ajo.</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/app/disputes</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SCR-MOB-16</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Party to the dispute</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No platform-wide list for members.</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/app/disputes/new</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SCR-MOB-17</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onsolas" w:hAnsi="Consolas"/>
                <w:color w:val="146EF5"/>
                <w:sz w:val="13"/>
              </w:rPr>
              <w:t>ajo_member</w:t>
            </w:r>
          </w:p>
        </w:tc>
        <w:tc>
          <w:tcPr>
            <w:tcW w:type="dxa" w:w="720"/>
            <w:tcMar>
              <w:top w:w="60" w:type="dxa"/>
              <w:start w:w="110" w:type="dxa"/>
              <w:bottom w:w="60" w:type="dxa"/>
              <w:end w:w="110" w:type="dxa"/>
            </w:tcMar>
          </w:tcPr>
          <w:p>
            <w:pPr>
              <w:spacing w:after="0"/>
            </w:pPr>
            <w:r/>
            <w:r>
              <w:rPr>
                <w:rFonts w:ascii="Calibri" w:hAnsi="Calibri"/>
                <w:b w:val="0"/>
                <w:i w:val="0"/>
                <w:color w:val="101828"/>
                <w:sz w:val="13"/>
              </w:rPr>
              <w:t>No</w:t>
            </w:r>
          </w:p>
        </w:tc>
        <w:tc>
          <w:tcPr>
            <w:tcW w:type="dxa" w:w="2822"/>
            <w:tcMar>
              <w:top w:w="60" w:type="dxa"/>
              <w:start w:w="110" w:type="dxa"/>
              <w:bottom w:w="60" w:type="dxa"/>
              <w:end w:w="110" w:type="dxa"/>
            </w:tcMar>
          </w:tcPr>
          <w:p>
            <w:pPr>
              <w:spacing w:after="0"/>
            </w:pPr>
            <w:r/>
            <w:r>
              <w:rPr>
                <w:rFonts w:ascii="Calibri" w:hAnsi="Calibri"/>
                <w:b w:val="0"/>
                <w:i w:val="0"/>
                <w:color w:val="101828"/>
                <w:sz w:val="13"/>
              </w:rPr>
              <w:t xml:space="preserve">Optional </w:t>
            </w:r>
            <w:r>
              <w:rPr>
                <w:rFonts w:ascii="Consolas" w:hAnsi="Consolas"/>
                <w:color w:val="146EF5"/>
                <w:sz w:val="13"/>
              </w:rPr>
              <w:t>:contributionId</w:t>
            </w:r>
            <w:r>
              <w:rPr>
                <w:rFonts w:ascii="Calibri" w:hAnsi="Calibri"/>
                <w:b w:val="0"/>
                <w:i w:val="0"/>
                <w:color w:val="101828"/>
                <w:sz w:val="13"/>
              </w:rPr>
              <w:t>.</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/app/disputes/:id</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SCR-MOB-18</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Party to the dispute</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Evidence timeline.</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/app/profile</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SCR-MOB-19</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alibri" w:hAnsi="Calibri"/>
                <w:b w:val="0"/>
                <w:i w:val="0"/>
                <w:color w:val="101828"/>
                <w:sz w:val="13"/>
              </w:rPr>
              <w:t>All tier-2</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tcPr>
          <w:p>
            <w:pPr>
              <w:spacing w:after="0"/>
            </w:pPr>
            <w:r/>
            <w:r>
              <w:rPr>
                <w:rFonts w:ascii="Calibri" w:hAnsi="Calibri"/>
                <w:b w:val="0"/>
                <w:i w:val="0"/>
                <w:color w:val="101828"/>
                <w:sz w:val="13"/>
              </w:rPr>
              <w:t>Read-only financial summary.</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/app/settings</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SCR-MOB-20</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All tier-2</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Channel matrix from CAN §8.</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/app/settings/security</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SCR-MOB-21</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alibri" w:hAnsi="Calibri"/>
                <w:b w:val="0"/>
                <w:i w:val="0"/>
                <w:color w:val="101828"/>
                <w:sz w:val="13"/>
              </w:rPr>
              <w:t>All tier-2</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tcPr>
          <w:p>
            <w:pPr>
              <w:spacing w:after="0"/>
            </w:pPr>
            <w:r/>
            <w:r>
              <w:rPr>
                <w:rFonts w:ascii="Calibri" w:hAnsi="Calibri"/>
                <w:b w:val="0"/>
                <w:i w:val="0"/>
                <w:color w:val="101828"/>
                <w:sz w:val="13"/>
              </w:rPr>
              <w:t>Password and sessions.</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/app/settings/sessions</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SCR-MOB-21</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All tier-2</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Revoke one or all.</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/app/verification</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SCR-MOB-22</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alibri" w:hAnsi="Calibri"/>
                <w:b w:val="0"/>
                <w:i w:val="0"/>
                <w:color w:val="101828"/>
                <w:sz w:val="13"/>
              </w:rPr>
              <w:t>All tier-2</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tcPr>
          <w:p>
            <w:pPr>
              <w:spacing w:after="0"/>
            </w:pPr>
            <w:r/>
            <w:r>
              <w:rPr>
                <w:rFonts w:ascii="Calibri" w:hAnsi="Calibri"/>
                <w:b w:val="0"/>
                <w:i w:val="0"/>
                <w:color w:val="101828"/>
                <w:sz w:val="13"/>
              </w:rPr>
              <w:t>Submission and status. D-04 open.</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/app/verification/:id</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SCR-MOB-22</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Owner</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Never displays full BVN.</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/app/exit-request</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SCR-MOB-25</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onsolas" w:hAnsi="Consolas"/>
                <w:color w:val="146EF5"/>
                <w:sz w:val="13"/>
              </w:rPr>
              <w:t>ajo_member</w:t>
            </w:r>
          </w:p>
        </w:tc>
        <w:tc>
          <w:tcPr>
            <w:tcW w:type="dxa" w:w="720"/>
            <w:tcMar>
              <w:top w:w="60" w:type="dxa"/>
              <w:start w:w="110" w:type="dxa"/>
              <w:bottom w:w="60" w:type="dxa"/>
              <w:end w:w="110" w:type="dxa"/>
            </w:tcMar>
          </w:tcPr>
          <w:p>
            <w:pPr>
              <w:spacing w:after="0"/>
            </w:pPr>
            <w:r/>
            <w:r>
              <w:rPr>
                <w:rFonts w:ascii="Calibri" w:hAnsi="Calibri"/>
                <w:b w:val="0"/>
                <w:i w:val="0"/>
                <w:color w:val="101828"/>
                <w:sz w:val="13"/>
              </w:rPr>
              <w:t>No</w:t>
            </w:r>
          </w:p>
        </w:tc>
        <w:tc>
          <w:tcPr>
            <w:tcW w:type="dxa" w:w="2822"/>
            <w:tcMar>
              <w:top w:w="60" w:type="dxa"/>
              <w:start w:w="110" w:type="dxa"/>
              <w:bottom w:w="60" w:type="dxa"/>
              <w:end w:w="110" w:type="dxa"/>
            </w:tcMar>
          </w:tcPr>
          <w:p>
            <w:pPr>
              <w:spacing w:after="0"/>
            </w:pPr>
            <w:r/>
            <w:r>
              <w:rPr>
                <w:rFonts w:ascii="Calibri" w:hAnsi="Calibri"/>
                <w:b w:val="0"/>
                <w:i w:val="0"/>
                <w:color w:val="101828"/>
                <w:sz w:val="13"/>
              </w:rPr>
              <w:t>Replacement path only post-activation.</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/app/support</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SCR-MOB-23</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All tier-2</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Help centre and ticket form.</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/app/support/:id</w:t>
            </w:r>
          </w:p>
        </w:tc>
        <w:tc>
          <w:tcPr>
            <w:tcW w:type="dxa" w:w="1354"/>
            <w:tcMar>
              <w:top w:w="60" w:type="dxa"/>
              <w:start w:w="110" w:type="dxa"/>
              <w:bottom w:w="60" w:type="dxa"/>
              <w:end w:w="110" w:type="dxa"/>
            </w:tcMar>
          </w:tcPr>
          <w:p>
            <w:pPr>
              <w:spacing w:after="0"/>
            </w:pPr>
            <w:r/>
            <w:r>
              <w:rPr>
                <w:rFonts w:ascii="Calibri" w:hAnsi="Calibri"/>
                <w:b w:val="0"/>
                <w:i w:val="0"/>
                <w:color w:val="101828"/>
                <w:sz w:val="13"/>
              </w:rPr>
              <w:t>SCR-MOB-23</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tcPr>
          <w:p>
            <w:pPr>
              <w:spacing w:after="0"/>
            </w:pPr>
            <w:r/>
            <w:r>
              <w:rPr>
                <w:rFonts w:ascii="Calibri" w:hAnsi="Calibri"/>
                <w:b w:val="0"/>
                <w:i w:val="0"/>
                <w:color w:val="101828"/>
                <w:sz w:val="13"/>
              </w:rPr>
              <w:t>Owner</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822"/>
            <w:tcMar>
              <w:top w:w="60" w:type="dxa"/>
              <w:start w:w="110" w:type="dxa"/>
              <w:bottom w:w="60" w:type="dxa"/>
              <w:end w:w="110" w:type="dxa"/>
            </w:tcMar>
          </w:tcPr>
          <w:p>
            <w:pPr>
              <w:spacing w:after="0"/>
            </w:pPr>
            <w:r/>
            <w:r>
              <w:rPr>
                <w:rFonts w:ascii="Calibri" w:hAnsi="Calibri"/>
                <w:b w:val="0"/>
                <w:i w:val="0"/>
                <w:color w:val="101828"/>
                <w:sz w:val="13"/>
              </w:rPr>
              <w:t>Ticket thread.</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/app/*</w:t>
            </w:r>
          </w:p>
        </w:tc>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SCR-MOB-26</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All tier-2</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No</w:t>
            </w:r>
          </w:p>
        </w:tc>
        <w:tc>
          <w:tcPr>
            <w:tcW w:type="dxa" w:w="2822"/>
            <w:tcMar>
              <w:top w:w="60" w:type="dxa"/>
              <w:start w:w="110" w:type="dxa"/>
              <w:bottom w:w="60" w:type="dxa"/>
              <w:end w:w="110" w:type="dxa"/>
            </w:tcMar>
            <w:shd w:val="clear" w:color="auto" w:fill="F4F7FB"/>
          </w:tcPr>
          <w:p>
            <w:pPr>
              <w:spacing w:after="0"/>
            </w:pPr>
            <w:r/>
            <w:r>
              <w:rPr>
                <w:rFonts w:ascii="Calibri" w:hAnsi="Calibri"/>
                <w:b w:val="0"/>
                <w:i w:val="0"/>
                <w:color w:val="101828"/>
                <w:sz w:val="13"/>
              </w:rPr>
              <w:t>In-app error boundary.</w:t>
            </w:r>
          </w:p>
        </w:tc>
      </w:tr>
    </w:tbl>
    <w:p>
      <w:pPr>
        <w:spacing w:after="80"/>
      </w:pPr>
    </w:p>
    <w:p>
      <w:pPr>
        <w:pStyle w:val="Heading3"/>
      </w:pPr>
      <w:r>
        <w:rPr>
          <w:rFonts w:ascii="Calibri" w:hAnsi="Calibri"/>
          <w:b/>
          <w:i w:val="0"/>
          <w:color w:val="0B1F3A"/>
          <w:sz w:val="24"/>
        </w:rPr>
        <w:t>3.6.3 Tier 3 admin routes</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3"/>
              </w:rPr>
              <w:t>Route</w:t>
            </w:r>
          </w:p>
        </w:tc>
        <w:tc>
          <w:tcPr>
            <w:tcW w:type="dxa" w:w="1411"/>
            <w:shd w:val="clear" w:color="auto" w:fill="0B1F3A"/>
            <w:tcMar>
              <w:top w:w="60" w:type="dxa"/>
              <w:start w:w="110" w:type="dxa"/>
              <w:bottom w:w="60" w:type="dxa"/>
              <w:end w:w="110" w:type="dxa"/>
            </w:tcMar>
          </w:tcPr>
          <w:p>
            <w:pPr>
              <w:spacing w:after="0"/>
            </w:pPr>
            <w:r/>
            <w:r>
              <w:rPr>
                <w:rFonts w:ascii="Calibri" w:hAnsi="Calibri"/>
                <w:b/>
                <w:i w:val="0"/>
                <w:color w:val="FFFFFF"/>
                <w:sz w:val="13"/>
              </w:rPr>
              <w:t>Screen ID</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3"/>
              </w:rPr>
              <w:t>Auth</w:t>
            </w:r>
          </w:p>
        </w:tc>
        <w:tc>
          <w:tcPr>
            <w:tcW w:type="dxa" w:w="2045"/>
            <w:shd w:val="clear" w:color="auto" w:fill="0B1F3A"/>
            <w:tcMar>
              <w:top w:w="60" w:type="dxa"/>
              <w:start w:w="110" w:type="dxa"/>
              <w:bottom w:w="60" w:type="dxa"/>
              <w:end w:w="110" w:type="dxa"/>
            </w:tcMar>
          </w:tcPr>
          <w:p>
            <w:pPr>
              <w:spacing w:after="0"/>
            </w:pPr>
            <w:r/>
            <w:r>
              <w:rPr>
                <w:rFonts w:ascii="Calibri" w:hAnsi="Calibri"/>
                <w:b/>
                <w:i w:val="0"/>
                <w:color w:val="FFFFFF"/>
                <w:sz w:val="13"/>
              </w:rPr>
              <w:t>Role</w:t>
            </w:r>
          </w:p>
        </w:tc>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3"/>
              </w:rPr>
              <w:t>Deep-link</w:t>
            </w:r>
          </w:p>
        </w:tc>
        <w:tc>
          <w:tcPr>
            <w:tcW w:type="dxa" w:w="2419"/>
            <w:shd w:val="clear" w:color="auto" w:fill="0B1F3A"/>
            <w:tcMar>
              <w:top w:w="60" w:type="dxa"/>
              <w:start w:w="110" w:type="dxa"/>
              <w:bottom w:w="60" w:type="dxa"/>
              <w:end w:w="110" w:type="dxa"/>
            </w:tcMar>
          </w:tcPr>
          <w:p>
            <w:pPr>
              <w:spacing w:after="0"/>
            </w:pPr>
            <w:r/>
            <w:r>
              <w:rPr>
                <w:rFonts w:ascii="Calibri" w:hAnsi="Calibri"/>
                <w:b/>
                <w:i w:val="0"/>
                <w:color w:val="FFFFFF"/>
                <w:sz w:val="13"/>
              </w:rPr>
              <w:t>Notes</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/admin</w:t>
            </w:r>
          </w:p>
        </w:tc>
        <w:tc>
          <w:tcPr>
            <w:tcW w:type="dxa" w:w="1411"/>
            <w:tcMar>
              <w:top w:w="60" w:type="dxa"/>
              <w:start w:w="110" w:type="dxa"/>
              <w:bottom w:w="60" w:type="dxa"/>
              <w:end w:w="110" w:type="dxa"/>
            </w:tcMar>
          </w:tcPr>
          <w:p>
            <w:pPr>
              <w:spacing w:after="0"/>
            </w:pPr>
            <w:r/>
            <w:r>
              <w:rPr>
                <w:rFonts w:ascii="Calibri" w:hAnsi="Calibri"/>
                <w:b w:val="0"/>
                <w:i w:val="0"/>
                <w:color w:val="101828"/>
                <w:sz w:val="13"/>
              </w:rPr>
              <w:t>SCR-ADM-01</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2045"/>
            <w:tcMar>
              <w:top w:w="60" w:type="dxa"/>
              <w:start w:w="110" w:type="dxa"/>
              <w:bottom w:w="60" w:type="dxa"/>
              <w:end w:w="110" w:type="dxa"/>
            </w:tcMar>
          </w:tcPr>
          <w:p>
            <w:pPr>
              <w:spacing w:after="0"/>
            </w:pPr>
            <w:r/>
            <w:r>
              <w:rPr>
                <w:rFonts w:ascii="Calibri" w:hAnsi="Calibri"/>
                <w:b w:val="0"/>
                <w:i w:val="0"/>
                <w:color w:val="101828"/>
                <w:sz w:val="13"/>
              </w:rPr>
              <w:t>All admin</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419"/>
            <w:tcMar>
              <w:top w:w="60" w:type="dxa"/>
              <w:start w:w="110" w:type="dxa"/>
              <w:bottom w:w="60" w:type="dxa"/>
              <w:end w:w="110" w:type="dxa"/>
            </w:tcMar>
          </w:tcPr>
          <w:p>
            <w:pPr>
              <w:spacing w:after="0"/>
            </w:pPr>
            <w:r/>
            <w:r>
              <w:rPr>
                <w:rFonts w:ascii="Calibri" w:hAnsi="Calibri"/>
                <w:b w:val="0"/>
                <w:i w:val="0"/>
                <w:color w:val="101828"/>
                <w:sz w:val="13"/>
              </w:rPr>
              <w:t xml:space="preserve">Redirect </w:t>
            </w:r>
            <w:r>
              <w:rPr>
                <w:rFonts w:ascii="Consolas" w:hAnsi="Consolas"/>
                <w:color w:val="146EF5"/>
                <w:sz w:val="13"/>
              </w:rPr>
              <w:t>/admin/</w:t>
            </w:r>
            <w:r>
              <w:rPr>
                <w:rFonts w:ascii="Calibri" w:hAnsi="Calibri"/>
                <w:b w:val="0"/>
                <w:i w:val="0"/>
                <w:color w:val="101828"/>
                <w:sz w:val="13"/>
              </w:rPr>
              <w:t xml:space="preserve"> to </w:t>
            </w:r>
            <w:r>
              <w:rPr>
                <w:rFonts w:ascii="Consolas" w:hAnsi="Consolas"/>
                <w:color w:val="146EF5"/>
                <w:sz w:val="13"/>
              </w:rPr>
              <w:t>/admin</w:t>
            </w:r>
            <w:r>
              <w:rPr>
                <w:rFonts w:ascii="Calibri" w:hAnsi="Calibri"/>
                <w:b w:val="0"/>
                <w:i w:val="0"/>
                <w:color w:val="101828"/>
                <w:sz w:val="13"/>
              </w:rPr>
              <w:t>.</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/admin/users</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3"/>
              </w:rPr>
              <w:t>SCR-ADM-02</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045"/>
            <w:tcMar>
              <w:top w:w="60" w:type="dxa"/>
              <w:start w:w="110" w:type="dxa"/>
              <w:bottom w:w="60" w:type="dxa"/>
              <w:end w:w="110" w:type="dxa"/>
            </w:tcMar>
            <w:shd w:val="clear" w:color="auto" w:fill="F4F7FB"/>
          </w:tcPr>
          <w:p>
            <w:pPr>
              <w:spacing w:after="0"/>
            </w:pPr>
            <w:r/>
            <w:r>
              <w:rPr>
                <w:rFonts w:ascii="Calibri" w:hAnsi="Calibri"/>
                <w:b w:val="0"/>
                <w:i w:val="0"/>
                <w:color w:val="101828"/>
                <w:sz w:val="13"/>
              </w:rPr>
              <w:t>All admin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3"/>
              </w:rPr>
              <w:t>BVN never rendered.</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/admin/users/:id</w:t>
            </w:r>
          </w:p>
        </w:tc>
        <w:tc>
          <w:tcPr>
            <w:tcW w:type="dxa" w:w="1411"/>
            <w:tcMar>
              <w:top w:w="60" w:type="dxa"/>
              <w:start w:w="110" w:type="dxa"/>
              <w:bottom w:w="60" w:type="dxa"/>
              <w:end w:w="110" w:type="dxa"/>
            </w:tcMar>
          </w:tcPr>
          <w:p>
            <w:pPr>
              <w:spacing w:after="0"/>
            </w:pPr>
            <w:r/>
            <w:r>
              <w:rPr>
                <w:rFonts w:ascii="Calibri" w:hAnsi="Calibri"/>
                <w:b w:val="0"/>
                <w:i w:val="0"/>
                <w:color w:val="101828"/>
                <w:sz w:val="13"/>
              </w:rPr>
              <w:t>SCR-ADM-03</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2045"/>
            <w:tcMar>
              <w:top w:w="60" w:type="dxa"/>
              <w:start w:w="110" w:type="dxa"/>
              <w:bottom w:w="60" w:type="dxa"/>
              <w:end w:w="110" w:type="dxa"/>
            </w:tcMar>
          </w:tcPr>
          <w:p>
            <w:pPr>
              <w:spacing w:after="0"/>
            </w:pPr>
            <w:r/>
            <w:r>
              <w:rPr>
                <w:rFonts w:ascii="Calibri" w:hAnsi="Calibri"/>
                <w:b w:val="0"/>
                <w:i w:val="0"/>
                <w:color w:val="101828"/>
                <w:sz w:val="13"/>
              </w:rPr>
              <w:t>All admin</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419"/>
            <w:tcMar>
              <w:top w:w="60" w:type="dxa"/>
              <w:start w:w="110" w:type="dxa"/>
              <w:bottom w:w="60" w:type="dxa"/>
              <w:end w:w="110" w:type="dxa"/>
            </w:tcMar>
          </w:tcPr>
          <w:p>
            <w:pPr>
              <w:spacing w:after="0"/>
            </w:pPr>
            <w:r/>
            <w:r>
              <w:rPr>
                <w:rFonts w:ascii="Calibri" w:hAnsi="Calibri"/>
                <w:b w:val="0"/>
                <w:i w:val="0"/>
                <w:color w:val="101828"/>
                <w:sz w:val="13"/>
              </w:rPr>
              <w:t>Read-only. No balance edit.</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/admin/ajos</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3"/>
              </w:rPr>
              <w:t>SCR-ADM-04</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045"/>
            <w:tcMar>
              <w:top w:w="60" w:type="dxa"/>
              <w:start w:w="110" w:type="dxa"/>
              <w:bottom w:w="60" w:type="dxa"/>
              <w:end w:w="110" w:type="dxa"/>
            </w:tcMar>
            <w:shd w:val="clear" w:color="auto" w:fill="F4F7FB"/>
          </w:tcPr>
          <w:p>
            <w:pPr>
              <w:spacing w:after="0"/>
            </w:pPr>
            <w:r/>
            <w:r>
              <w:rPr>
                <w:rFonts w:ascii="Calibri" w:hAnsi="Calibri"/>
                <w:b w:val="0"/>
                <w:i w:val="0"/>
                <w:color w:val="101828"/>
                <w:sz w:val="13"/>
              </w:rPr>
              <w:t>All admin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3"/>
              </w:rPr>
              <w:t>Escrow and reconciliation columns.</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/admin/ajos/:id</w:t>
            </w:r>
          </w:p>
        </w:tc>
        <w:tc>
          <w:tcPr>
            <w:tcW w:type="dxa" w:w="1411"/>
            <w:tcMar>
              <w:top w:w="60" w:type="dxa"/>
              <w:start w:w="110" w:type="dxa"/>
              <w:bottom w:w="60" w:type="dxa"/>
              <w:end w:w="110" w:type="dxa"/>
            </w:tcMar>
          </w:tcPr>
          <w:p>
            <w:pPr>
              <w:spacing w:after="0"/>
            </w:pPr>
            <w:r/>
            <w:r>
              <w:rPr>
                <w:rFonts w:ascii="Calibri" w:hAnsi="Calibri"/>
                <w:b w:val="0"/>
                <w:i w:val="0"/>
                <w:color w:val="101828"/>
                <w:sz w:val="13"/>
              </w:rPr>
              <w:t>SCR-ADM-05</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2045"/>
            <w:tcMar>
              <w:top w:w="60" w:type="dxa"/>
              <w:start w:w="110" w:type="dxa"/>
              <w:bottom w:w="60" w:type="dxa"/>
              <w:end w:w="110" w:type="dxa"/>
            </w:tcMar>
          </w:tcPr>
          <w:p>
            <w:pPr>
              <w:spacing w:after="0"/>
            </w:pPr>
            <w:r/>
            <w:r>
              <w:rPr>
                <w:rFonts w:ascii="Calibri" w:hAnsi="Calibri"/>
                <w:b w:val="0"/>
                <w:i w:val="0"/>
                <w:color w:val="101828"/>
                <w:sz w:val="13"/>
              </w:rPr>
              <w:t>All admin</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419"/>
            <w:tcMar>
              <w:top w:w="60" w:type="dxa"/>
              <w:start w:w="110" w:type="dxa"/>
              <w:bottom w:w="60" w:type="dxa"/>
              <w:end w:w="110" w:type="dxa"/>
            </w:tcMar>
          </w:tcPr>
          <w:p>
            <w:pPr>
              <w:spacing w:after="0"/>
            </w:pPr>
            <w:r/>
            <w:r>
              <w:rPr>
                <w:rFonts w:ascii="Calibri" w:hAnsi="Calibri"/>
                <w:b w:val="0"/>
                <w:i w:val="0"/>
                <w:color w:val="101828"/>
                <w:sz w:val="13"/>
              </w:rPr>
              <w:t>Read-only mirror + platform columns.</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/admin/disputes</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3"/>
              </w:rPr>
              <w:t>SCR-ADM-06</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045"/>
            <w:tcMar>
              <w:top w:w="60" w:type="dxa"/>
              <w:start w:w="110" w:type="dxa"/>
              <w:bottom w:w="60" w:type="dxa"/>
              <w:end w:w="110" w:type="dxa"/>
            </w:tcMar>
            <w:shd w:val="clear" w:color="auto" w:fill="F4F7FB"/>
          </w:tcPr>
          <w:p>
            <w:pPr>
              <w:spacing w:after="0"/>
            </w:pPr>
            <w:r/>
            <w:r>
              <w:rPr>
                <w:rFonts w:ascii="Consolas" w:hAnsi="Consolas"/>
                <w:color w:val="146EF5"/>
                <w:sz w:val="13"/>
              </w:rPr>
              <w:t>support</w:t>
            </w:r>
            <w:r>
              <w:rPr>
                <w:rFonts w:ascii="Calibri" w:hAnsi="Calibri"/>
                <w:b w:val="0"/>
                <w:i w:val="0"/>
                <w:color w:val="101828"/>
                <w:sz w:val="13"/>
              </w:rPr>
              <w:t xml:space="preserve">, </w:t>
            </w:r>
            <w:r>
              <w:rPr>
                <w:rFonts w:ascii="Consolas" w:hAnsi="Consolas"/>
                <w:color w:val="146EF5"/>
                <w:sz w:val="13"/>
              </w:rPr>
              <w:t>risk_officer</w:t>
            </w:r>
            <w:r>
              <w:rPr>
                <w:rFonts w:ascii="Calibri" w:hAnsi="Calibri"/>
                <w:b w:val="0"/>
                <w:i w:val="0"/>
                <w:color w:val="101828"/>
                <w:sz w:val="13"/>
              </w:rPr>
              <w:t xml:space="preserve">, </w:t>
            </w:r>
            <w:r>
              <w:rPr>
                <w:rFonts w:ascii="Consolas" w:hAnsi="Consolas"/>
                <w:color w:val="146EF5"/>
                <w:sz w:val="13"/>
              </w:rPr>
              <w:t>super_admin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3"/>
              </w:rPr>
              <w:t>SLA ageing visible.</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/admin/disputes/:id</w:t>
            </w:r>
          </w:p>
        </w:tc>
        <w:tc>
          <w:tcPr>
            <w:tcW w:type="dxa" w:w="1411"/>
            <w:tcMar>
              <w:top w:w="60" w:type="dxa"/>
              <w:start w:w="110" w:type="dxa"/>
              <w:bottom w:w="60" w:type="dxa"/>
              <w:end w:w="110" w:type="dxa"/>
            </w:tcMar>
          </w:tcPr>
          <w:p>
            <w:pPr>
              <w:spacing w:after="0"/>
            </w:pPr>
            <w:r/>
            <w:r>
              <w:rPr>
                <w:rFonts w:ascii="Calibri" w:hAnsi="Calibri"/>
                <w:b w:val="0"/>
                <w:i w:val="0"/>
                <w:color w:val="101828"/>
                <w:sz w:val="13"/>
              </w:rPr>
              <w:t>SCR-ADM-07</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2045"/>
            <w:tcMar>
              <w:top w:w="60" w:type="dxa"/>
              <w:start w:w="110" w:type="dxa"/>
              <w:bottom w:w="60" w:type="dxa"/>
              <w:end w:w="110" w:type="dxa"/>
            </w:tcMar>
          </w:tcPr>
          <w:p>
            <w:pPr>
              <w:spacing w:after="0"/>
            </w:pPr>
            <w:r/>
            <w:r>
              <w:rPr>
                <w:rFonts w:ascii="Calibri" w:hAnsi="Calibri"/>
                <w:b w:val="0"/>
                <w:i w:val="0"/>
                <w:color w:val="101828"/>
                <w:sz w:val="13"/>
              </w:rPr>
              <w:t>As above</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419"/>
            <w:tcMar>
              <w:top w:w="60" w:type="dxa"/>
              <w:start w:w="110" w:type="dxa"/>
              <w:bottom w:w="60" w:type="dxa"/>
              <w:end w:w="110" w:type="dxa"/>
            </w:tcMar>
          </w:tcPr>
          <w:p>
            <w:pPr>
              <w:spacing w:after="0"/>
            </w:pPr>
            <w:r/>
            <w:r>
              <w:rPr>
                <w:rFonts w:ascii="Calibri" w:hAnsi="Calibri"/>
                <w:b w:val="0"/>
                <w:i w:val="0"/>
                <w:color w:val="101828"/>
                <w:sz w:val="13"/>
              </w:rPr>
              <w:t>Decision posts a ledger entry.</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/admin/risk</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3"/>
              </w:rPr>
              <w:t>SCR-ADM-08</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045"/>
            <w:tcMar>
              <w:top w:w="60" w:type="dxa"/>
              <w:start w:w="110" w:type="dxa"/>
              <w:bottom w:w="60" w:type="dxa"/>
              <w:end w:w="110" w:type="dxa"/>
            </w:tcMar>
            <w:shd w:val="clear" w:color="auto" w:fill="F4F7FB"/>
          </w:tcPr>
          <w:p>
            <w:pPr>
              <w:spacing w:after="0"/>
            </w:pPr>
            <w:r/>
            <w:r>
              <w:rPr>
                <w:rFonts w:ascii="Consolas" w:hAnsi="Consolas"/>
                <w:color w:val="146EF5"/>
                <w:sz w:val="13"/>
              </w:rPr>
              <w:t>risk_officer</w:t>
            </w:r>
            <w:r>
              <w:rPr>
                <w:rFonts w:ascii="Calibri" w:hAnsi="Calibri"/>
                <w:b w:val="0"/>
                <w:i w:val="0"/>
                <w:color w:val="101828"/>
                <w:sz w:val="13"/>
              </w:rPr>
              <w:t xml:space="preserve">, </w:t>
            </w:r>
            <w:r>
              <w:rPr>
                <w:rFonts w:ascii="Consolas" w:hAnsi="Consolas"/>
                <w:color w:val="146EF5"/>
                <w:sz w:val="13"/>
              </w:rPr>
              <w:t>super_admin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3"/>
              </w:rPr>
              <w:t>Freeze and release; no delete.</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/admin/risk/:id/decision</w:t>
            </w:r>
          </w:p>
        </w:tc>
        <w:tc>
          <w:tcPr>
            <w:tcW w:type="dxa" w:w="1411"/>
            <w:tcMar>
              <w:top w:w="60" w:type="dxa"/>
              <w:start w:w="110" w:type="dxa"/>
              <w:bottom w:w="60" w:type="dxa"/>
              <w:end w:w="110" w:type="dxa"/>
            </w:tcMar>
          </w:tcPr>
          <w:p>
            <w:pPr>
              <w:spacing w:after="0"/>
            </w:pPr>
            <w:r/>
            <w:r>
              <w:rPr>
                <w:rFonts w:ascii="Calibri" w:hAnsi="Calibri"/>
                <w:b w:val="0"/>
                <w:i w:val="0"/>
                <w:color w:val="101828"/>
                <w:sz w:val="13"/>
              </w:rPr>
              <w:t>SCR-ADM-08</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2045"/>
            <w:tcMar>
              <w:top w:w="60" w:type="dxa"/>
              <w:start w:w="110" w:type="dxa"/>
              <w:bottom w:w="60" w:type="dxa"/>
              <w:end w:w="110" w:type="dxa"/>
            </w:tcMar>
          </w:tcPr>
          <w:p>
            <w:pPr>
              <w:spacing w:after="0"/>
            </w:pPr>
            <w:r/>
            <w:r>
              <w:rPr>
                <w:rFonts w:ascii="Consolas" w:hAnsi="Consolas"/>
                <w:color w:val="146EF5"/>
                <w:sz w:val="13"/>
              </w:rPr>
              <w:t>risk_officer</w:t>
            </w:r>
            <w:r>
              <w:rPr>
                <w:rFonts w:ascii="Calibri" w:hAnsi="Calibri"/>
                <w:b w:val="0"/>
                <w:i w:val="0"/>
                <w:color w:val="101828"/>
                <w:sz w:val="13"/>
              </w:rPr>
              <w:t xml:space="preserve">, </w:t>
            </w:r>
            <w:r>
              <w:rPr>
                <w:rFonts w:ascii="Consolas" w:hAnsi="Consolas"/>
                <w:color w:val="146EF5"/>
                <w:sz w:val="13"/>
              </w:rPr>
              <w:t>super_admin</w:t>
            </w:r>
          </w:p>
        </w:tc>
        <w:tc>
          <w:tcPr>
            <w:tcW w:type="dxa" w:w="720"/>
            <w:tcMar>
              <w:top w:w="60" w:type="dxa"/>
              <w:start w:w="110" w:type="dxa"/>
              <w:bottom w:w="60" w:type="dxa"/>
              <w:end w:w="110" w:type="dxa"/>
            </w:tcMar>
          </w:tcPr>
          <w:p>
            <w:pPr>
              <w:spacing w:after="0"/>
            </w:pPr>
            <w:r/>
            <w:r>
              <w:rPr>
                <w:rFonts w:ascii="Calibri" w:hAnsi="Calibri"/>
                <w:b w:val="0"/>
                <w:i w:val="0"/>
                <w:color w:val="101828"/>
                <w:sz w:val="13"/>
              </w:rPr>
              <w:t>No</w:t>
            </w:r>
          </w:p>
        </w:tc>
        <w:tc>
          <w:tcPr>
            <w:tcW w:type="dxa" w:w="2419"/>
            <w:tcMar>
              <w:top w:w="60" w:type="dxa"/>
              <w:start w:w="110" w:type="dxa"/>
              <w:bottom w:w="60" w:type="dxa"/>
              <w:end w:w="110" w:type="dxa"/>
            </w:tcMar>
          </w:tcPr>
          <w:p>
            <w:pPr>
              <w:spacing w:after="0"/>
            </w:pPr>
            <w:r/>
            <w:r>
              <w:rPr>
                <w:rFonts w:ascii="Calibri" w:hAnsi="Calibri"/>
                <w:b w:val="0"/>
                <w:i w:val="0"/>
                <w:color w:val="101828"/>
                <w:sz w:val="13"/>
              </w:rPr>
              <w:t>Reason mandatory. Audited.</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/admin/verification</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3"/>
              </w:rPr>
              <w:t>SCR-ADM-09</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045"/>
            <w:tcMar>
              <w:top w:w="60" w:type="dxa"/>
              <w:start w:w="110" w:type="dxa"/>
              <w:bottom w:w="60" w:type="dxa"/>
              <w:end w:w="110" w:type="dxa"/>
            </w:tcMar>
            <w:shd w:val="clear" w:color="auto" w:fill="F4F7FB"/>
          </w:tcPr>
          <w:p>
            <w:pPr>
              <w:spacing w:after="0"/>
            </w:pPr>
            <w:r/>
            <w:r>
              <w:rPr>
                <w:rFonts w:ascii="Consolas" w:hAnsi="Consolas"/>
                <w:color w:val="146EF5"/>
                <w:sz w:val="13"/>
              </w:rPr>
              <w:t>support</w:t>
            </w:r>
            <w:r>
              <w:rPr>
                <w:rFonts w:ascii="Calibri" w:hAnsi="Calibri"/>
                <w:b w:val="0"/>
                <w:i w:val="0"/>
                <w:color w:val="101828"/>
                <w:sz w:val="13"/>
              </w:rPr>
              <w:t xml:space="preserve">, </w:t>
            </w:r>
            <w:r>
              <w:rPr>
                <w:rFonts w:ascii="Consolas" w:hAnsi="Consolas"/>
                <w:color w:val="146EF5"/>
                <w:sz w:val="13"/>
              </w:rPr>
              <w:t>risk_officer</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3"/>
              </w:rPr>
              <w:t>Approve/reject with reason.</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/admin/reports</w:t>
            </w:r>
          </w:p>
        </w:tc>
        <w:tc>
          <w:tcPr>
            <w:tcW w:type="dxa" w:w="1411"/>
            <w:tcMar>
              <w:top w:w="60" w:type="dxa"/>
              <w:start w:w="110" w:type="dxa"/>
              <w:bottom w:w="60" w:type="dxa"/>
              <w:end w:w="110" w:type="dxa"/>
            </w:tcMar>
          </w:tcPr>
          <w:p>
            <w:pPr>
              <w:spacing w:after="0"/>
            </w:pPr>
            <w:r/>
            <w:r>
              <w:rPr>
                <w:rFonts w:ascii="Calibri" w:hAnsi="Calibri"/>
                <w:b w:val="0"/>
                <w:i w:val="0"/>
                <w:color w:val="101828"/>
                <w:sz w:val="13"/>
              </w:rPr>
              <w:t>SCR-ADM-10</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2045"/>
            <w:tcMar>
              <w:top w:w="60" w:type="dxa"/>
              <w:start w:w="110" w:type="dxa"/>
              <w:bottom w:w="60" w:type="dxa"/>
              <w:end w:w="110" w:type="dxa"/>
            </w:tcMar>
          </w:tcPr>
          <w:p>
            <w:pPr>
              <w:spacing w:after="0"/>
            </w:pPr>
            <w:r/>
            <w:r>
              <w:rPr>
                <w:rFonts w:ascii="Consolas" w:hAnsi="Consolas"/>
                <w:color w:val="146EF5"/>
                <w:sz w:val="13"/>
              </w:rPr>
              <w:t>support</w:t>
            </w:r>
            <w:r>
              <w:rPr>
                <w:rFonts w:ascii="Calibri" w:hAnsi="Calibri"/>
                <w:b w:val="0"/>
                <w:i w:val="0"/>
                <w:color w:val="101828"/>
                <w:sz w:val="13"/>
              </w:rPr>
              <w:t xml:space="preserve">, </w:t>
            </w:r>
            <w:r>
              <w:rPr>
                <w:rFonts w:ascii="Consolas" w:hAnsi="Consolas"/>
                <w:color w:val="146EF5"/>
                <w:sz w:val="13"/>
              </w:rPr>
              <w:t>super_admin</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419"/>
            <w:tcMar>
              <w:top w:w="60" w:type="dxa"/>
              <w:start w:w="110" w:type="dxa"/>
              <w:bottom w:w="60" w:type="dxa"/>
              <w:end w:w="110" w:type="dxa"/>
            </w:tcMar>
          </w:tcPr>
          <w:p>
            <w:pPr>
              <w:spacing w:after="0"/>
            </w:pPr>
            <w:r/>
            <w:r>
              <w:rPr>
                <w:rFonts w:ascii="Calibri" w:hAnsi="Calibri"/>
                <w:b w:val="0"/>
                <w:i w:val="0"/>
                <w:color w:val="101828"/>
                <w:sz w:val="13"/>
              </w:rPr>
              <w:t>Scenario comparison.</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/admin/audit-logs</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3"/>
              </w:rPr>
              <w:t>SCR-ADM-11</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045"/>
            <w:tcMar>
              <w:top w:w="60" w:type="dxa"/>
              <w:start w:w="110" w:type="dxa"/>
              <w:bottom w:w="60" w:type="dxa"/>
              <w:end w:w="110" w:type="dxa"/>
            </w:tcMar>
            <w:shd w:val="clear" w:color="auto" w:fill="F4F7FB"/>
          </w:tcPr>
          <w:p>
            <w:pPr>
              <w:spacing w:after="0"/>
            </w:pPr>
            <w:r/>
            <w:r>
              <w:rPr>
                <w:rFonts w:ascii="Calibri" w:hAnsi="Calibri"/>
                <w:b w:val="0"/>
                <w:i w:val="0"/>
                <w:color w:val="101828"/>
                <w:sz w:val="13"/>
              </w:rPr>
              <w:t>All admin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3"/>
              </w:rPr>
              <w:t>Append-only. Export gated.</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3"/>
              </w:rPr>
              <w:t>/admin/settings</w:t>
            </w:r>
          </w:p>
        </w:tc>
        <w:tc>
          <w:tcPr>
            <w:tcW w:type="dxa" w:w="1411"/>
            <w:tcMar>
              <w:top w:w="60" w:type="dxa"/>
              <w:start w:w="110" w:type="dxa"/>
              <w:bottom w:w="60" w:type="dxa"/>
              <w:end w:w="110" w:type="dxa"/>
            </w:tcMar>
          </w:tcPr>
          <w:p>
            <w:pPr>
              <w:spacing w:after="0"/>
            </w:pPr>
            <w:r/>
            <w:r>
              <w:rPr>
                <w:rFonts w:ascii="Calibri" w:hAnsi="Calibri"/>
                <w:b w:val="0"/>
                <w:i w:val="0"/>
                <w:color w:val="101828"/>
                <w:sz w:val="13"/>
              </w:rPr>
              <w:t>SCR-ADM-12</w:t>
            </w:r>
          </w:p>
        </w:tc>
        <w:tc>
          <w:tcPr>
            <w:tcW w:type="dxa" w:w="605"/>
            <w:tcMar>
              <w:top w:w="60" w:type="dxa"/>
              <w:start w:w="110" w:type="dxa"/>
              <w:bottom w:w="60" w:type="dxa"/>
              <w:end w:w="110" w:type="dxa"/>
            </w:tcMar>
          </w:tcPr>
          <w:p>
            <w:pPr>
              <w:spacing w:after="0"/>
            </w:pPr>
            <w:r/>
            <w:r>
              <w:rPr>
                <w:rFonts w:ascii="Calibri" w:hAnsi="Calibri"/>
                <w:b w:val="0"/>
                <w:i w:val="0"/>
                <w:color w:val="101828"/>
                <w:sz w:val="13"/>
              </w:rPr>
              <w:t>Yes</w:t>
            </w:r>
          </w:p>
        </w:tc>
        <w:tc>
          <w:tcPr>
            <w:tcW w:type="dxa" w:w="2045"/>
            <w:tcMar>
              <w:top w:w="60" w:type="dxa"/>
              <w:start w:w="110" w:type="dxa"/>
              <w:bottom w:w="60" w:type="dxa"/>
              <w:end w:w="110" w:type="dxa"/>
            </w:tcMar>
          </w:tcPr>
          <w:p>
            <w:pPr>
              <w:spacing w:after="0"/>
            </w:pPr>
            <w:r/>
            <w:r>
              <w:rPr>
                <w:rFonts w:ascii="Consolas" w:hAnsi="Consolas"/>
                <w:color w:val="146EF5"/>
                <w:sz w:val="13"/>
              </w:rPr>
              <w:t>super_admin</w:t>
            </w:r>
          </w:p>
        </w:tc>
        <w:tc>
          <w:tcPr>
            <w:tcW w:type="dxa" w:w="720"/>
            <w:tcMar>
              <w:top w:w="60" w:type="dxa"/>
              <w:start w:w="110" w:type="dxa"/>
              <w:bottom w:w="60" w:type="dxa"/>
              <w:end w:w="110" w:type="dxa"/>
            </w:tcMar>
          </w:tcPr>
          <w:p>
            <w:pPr>
              <w:spacing w:after="0"/>
            </w:pPr>
            <w:r/>
            <w:r>
              <w:rPr>
                <w:rFonts w:ascii="Calibri" w:hAnsi="Calibri"/>
                <w:b w:val="0"/>
                <w:i w:val="0"/>
                <w:color w:val="101828"/>
                <w:sz w:val="13"/>
              </w:rPr>
              <w:t>Yes</w:t>
            </w:r>
          </w:p>
        </w:tc>
        <w:tc>
          <w:tcPr>
            <w:tcW w:type="dxa" w:w="2419"/>
            <w:tcMar>
              <w:top w:w="60" w:type="dxa"/>
              <w:start w:w="110" w:type="dxa"/>
              <w:bottom w:w="60" w:type="dxa"/>
              <w:end w:w="110" w:type="dxa"/>
            </w:tcMar>
          </w:tcPr>
          <w:p>
            <w:pPr>
              <w:spacing w:after="0"/>
            </w:pPr>
            <w:r/>
            <w:r>
              <w:rPr>
                <w:rFonts w:ascii="Calibri" w:hAnsi="Calibri"/>
                <w:b w:val="0"/>
                <w:i w:val="0"/>
                <w:color w:val="101828"/>
                <w:sz w:val="13"/>
              </w:rPr>
              <w:t>Fee rate read-only (D-06).</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3"/>
              </w:rPr>
              <w:t>/admin/denied</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3"/>
              </w:rPr>
              <w:t>SCR-ADM-13</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Yes</w:t>
            </w:r>
          </w:p>
        </w:tc>
        <w:tc>
          <w:tcPr>
            <w:tcW w:type="dxa" w:w="2045"/>
            <w:tcMar>
              <w:top w:w="60" w:type="dxa"/>
              <w:start w:w="110" w:type="dxa"/>
              <w:bottom w:w="60" w:type="dxa"/>
              <w:end w:w="110" w:type="dxa"/>
            </w:tcMar>
            <w:shd w:val="clear" w:color="auto" w:fill="F4F7FB"/>
          </w:tcPr>
          <w:p>
            <w:pPr>
              <w:spacing w:after="0"/>
            </w:pPr>
            <w:r/>
            <w:r>
              <w:rPr>
                <w:rFonts w:ascii="Calibri" w:hAnsi="Calibri"/>
                <w:b w:val="0"/>
                <w:i w:val="0"/>
                <w:color w:val="101828"/>
                <w:sz w:val="13"/>
              </w:rPr>
              <w:t>Any</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3"/>
              </w:rPr>
              <w:t>No</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3"/>
              </w:rPr>
              <w:t>Reached by redirect, not linked.</w:t>
            </w:r>
          </w:p>
        </w:tc>
      </w:tr>
    </w:tbl>
    <w:p>
      <w:pPr>
        <w:spacing w:after="80"/>
      </w:pPr>
    </w:p>
    <w:p>
      <w:pPr>
        <w:pStyle w:val="Heading3"/>
      </w:pPr>
      <w:r>
        <w:rPr>
          <w:rFonts w:ascii="Calibri" w:hAnsi="Calibri"/>
          <w:b/>
          <w:i w:val="0"/>
          <w:color w:val="0B1F3A"/>
          <w:sz w:val="24"/>
        </w:rPr>
        <w:t>3.6.4 Screen identifier key and reconciliation with section 2</w:t>
      </w:r>
    </w:p>
    <w:p>
      <w:r>
        <w:rPr>
          <w:rFonts w:ascii="Calibri" w:hAnsi="Calibri"/>
          <w:b w:val="0"/>
          <w:i w:val="0"/>
          <w:color w:val="101828"/>
          <w:sz w:val="21"/>
        </w:rPr>
        <w:t xml:space="preserve">Section 2.0.1 published a screen-ID key built on </w:t>
      </w:r>
      <w:r>
        <w:rPr>
          <w:rFonts w:ascii="Consolas" w:hAnsi="Consolas"/>
          <w:color w:val="146EF5"/>
          <w:sz w:val="21"/>
        </w:rPr>
        <w:t>SCR-MKT-nn</w:t>
      </w:r>
      <w:r>
        <w:rPr>
          <w:rFonts w:ascii="Calibri" w:hAnsi="Calibri"/>
          <w:b w:val="0"/>
          <w:i w:val="0"/>
          <w:color w:val="101828"/>
          <w:sz w:val="21"/>
        </w:rPr>
        <w:t xml:space="preserve">, </w:t>
      </w:r>
      <w:r>
        <w:rPr>
          <w:rFonts w:ascii="Consolas" w:hAnsi="Consolas"/>
          <w:color w:val="146EF5"/>
          <w:sz w:val="21"/>
        </w:rPr>
        <w:t>SCR-APP-nn</w:t>
      </w:r>
      <w:r>
        <w:rPr>
          <w:rFonts w:ascii="Calibri" w:hAnsi="Calibri"/>
          <w:b w:val="0"/>
          <w:i w:val="0"/>
          <w:color w:val="101828"/>
          <w:sz w:val="21"/>
        </w:rPr>
        <w:t xml:space="preserve"> and </w:t>
      </w:r>
      <w:r>
        <w:rPr>
          <w:rFonts w:ascii="Consolas" w:hAnsi="Consolas"/>
          <w:color w:val="146EF5"/>
          <w:sz w:val="21"/>
        </w:rPr>
        <w:t>SCR-ADM-nn</w:t>
      </w:r>
      <w:r>
        <w:rPr>
          <w:rFonts w:ascii="Calibri" w:hAnsi="Calibri"/>
          <w:b w:val="0"/>
          <w:i w:val="0"/>
          <w:color w:val="101828"/>
          <w:sz w:val="21"/>
        </w:rPr>
        <w:t xml:space="preserve">. This section uses </w:t>
      </w:r>
      <w:r>
        <w:rPr>
          <w:rFonts w:ascii="Consolas" w:hAnsi="Consolas"/>
          <w:color w:val="146EF5"/>
          <w:sz w:val="21"/>
        </w:rPr>
        <w:t>SCR-WEB-nn</w:t>
      </w:r>
      <w:r>
        <w:rPr>
          <w:rFonts w:ascii="Calibri" w:hAnsi="Calibri"/>
          <w:b w:val="0"/>
          <w:i w:val="0"/>
          <w:color w:val="101828"/>
          <w:sz w:val="21"/>
        </w:rPr>
        <w:t xml:space="preserve">, </w:t>
      </w:r>
      <w:r>
        <w:rPr>
          <w:rFonts w:ascii="Consolas" w:hAnsi="Consolas"/>
          <w:color w:val="146EF5"/>
          <w:sz w:val="21"/>
        </w:rPr>
        <w:t>SCR-MOB-nn</w:t>
      </w:r>
      <w:r>
        <w:rPr>
          <w:rFonts w:ascii="Calibri" w:hAnsi="Calibri"/>
          <w:b w:val="0"/>
          <w:i w:val="0"/>
          <w:color w:val="101828"/>
          <w:sz w:val="21"/>
        </w:rPr>
        <w:t xml:space="preserve"> and </w:t>
      </w:r>
      <w:r>
        <w:rPr>
          <w:rFonts w:ascii="Consolas" w:hAnsi="Consolas"/>
          <w:color w:val="146EF5"/>
          <w:sz w:val="21"/>
        </w:rPr>
        <w:t>SCR-ADM-nn</w:t>
      </w:r>
      <w:r>
        <w:rPr>
          <w:rFonts w:ascii="Calibri" w:hAnsi="Calibri"/>
          <w:b w:val="0"/>
          <w:i w:val="0"/>
          <w:color w:val="101828"/>
          <w:sz w:val="21"/>
        </w:rPr>
        <w:t xml:space="preserve">, because the three tiers in 3.1 are the right granularity and because </w:t>
      </w:r>
      <w:r>
        <w:rPr>
          <w:rFonts w:ascii="Consolas" w:hAnsi="Consolas"/>
          <w:color w:val="146EF5"/>
          <w:sz w:val="21"/>
        </w:rPr>
        <w:t>SCR-MOB</w:t>
      </w:r>
      <w:r>
        <w:rPr>
          <w:rFonts w:ascii="Calibri" w:hAnsi="Calibri"/>
          <w:b w:val="0"/>
          <w:i w:val="0"/>
          <w:color w:val="101828"/>
          <w:sz w:val="21"/>
        </w:rPr>
        <w:t xml:space="preserve"> distinguishes the responsive application surface from the marketing site more honestly than </w:t>
      </w:r>
      <w:r>
        <w:rPr>
          <w:rFonts w:ascii="Consolas" w:hAnsi="Consolas"/>
          <w:color w:val="146EF5"/>
          <w:sz w:val="21"/>
        </w:rPr>
        <w:t>SCR-MKT</w:t>
      </w:r>
      <w:r>
        <w:rPr>
          <w:rFonts w:ascii="Calibri" w:hAnsi="Calibri"/>
          <w:b w:val="0"/>
          <w:i w:val="0"/>
          <w:color w:val="101828"/>
          <w:sz w:val="21"/>
        </w:rPr>
        <w:t xml:space="preserve"> implies. </w:t>
      </w:r>
      <w:r>
        <w:rPr>
          <w:rFonts w:ascii="Calibri" w:hAnsi="Calibri"/>
          <w:b/>
          <w:color w:val="101828"/>
          <w:sz w:val="21"/>
        </w:rPr>
        <w:t>Both keys are correct indexes over the same canonical screen inventory in CANONICAL.md section 7. Neither adds a screen nor removes one.</w:t>
      </w:r>
      <w:r>
        <w:rPr>
          <w:rFonts w:ascii="Calibri" w:hAnsi="Calibri"/>
          <w:b w:val="0"/>
          <w:i w:val="0"/>
          <w:color w:val="101828"/>
          <w:sz w:val="21"/>
        </w:rPr>
        <w:t xml:space="preserve"> The mapping is below and should be applied mechanically when cross-references are built.</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4"/>
              </w:rPr>
              <w:t>This section</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4"/>
              </w:rPr>
              <w:t>Section 2</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576"/>
            <w:shd w:val="clear" w:color="auto" w:fill="0B1F3A"/>
            <w:tcMar>
              <w:top w:w="60" w:type="dxa"/>
              <w:start w:w="110" w:type="dxa"/>
              <w:bottom w:w="60" w:type="dxa"/>
              <w:end w:w="110" w:type="dxa"/>
            </w:tcMar>
          </w:tcPr>
          <w:p>
            <w:pPr>
              <w:spacing w:after="0"/>
            </w:pPr>
            <w:r/>
            <w:r>
              <w:rPr>
                <w:rFonts w:ascii="Calibri" w:hAnsi="Calibri"/>
                <w:b/>
                <w:i w:val="0"/>
                <w:color w:val="FFFFFF"/>
                <w:sz w:val="14"/>
              </w:rPr>
              <w:t>Tier</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4"/>
              </w:rPr>
              <w:t>SCR-WEB-01 … 08</w:t>
            </w:r>
          </w:p>
        </w:tc>
        <w:tc>
          <w:tcPr>
            <w:tcW w:type="dxa" w:w="2016"/>
            <w:tcMar>
              <w:top w:w="60" w:type="dxa"/>
              <w:start w:w="110" w:type="dxa"/>
              <w:bottom w:w="60" w:type="dxa"/>
              <w:end w:w="110" w:type="dxa"/>
            </w:tcMar>
          </w:tcPr>
          <w:p>
            <w:pPr>
              <w:spacing w:after="0"/>
            </w:pPr>
            <w:r/>
            <w:r>
              <w:rPr>
                <w:rFonts w:ascii="Calibri" w:hAnsi="Calibri"/>
                <w:b w:val="0"/>
                <w:i w:val="0"/>
                <w:color w:val="101828"/>
                <w:sz w:val="14"/>
              </w:rPr>
              <w:t>SCR-MKT-01 … 08</w:t>
            </w:r>
          </w:p>
        </w:tc>
        <w:tc>
          <w:tcPr>
            <w:tcW w:type="dxa" w:w="3456"/>
            <w:tcMar>
              <w:top w:w="60" w:type="dxa"/>
              <w:start w:w="110" w:type="dxa"/>
              <w:bottom w:w="60" w:type="dxa"/>
              <w:end w:w="110" w:type="dxa"/>
            </w:tcMar>
          </w:tcPr>
          <w:p>
            <w:pPr>
              <w:spacing w:after="0"/>
            </w:pPr>
            <w:r/>
            <w:r>
              <w:rPr>
                <w:rFonts w:ascii="Calibri" w:hAnsi="Calibri"/>
                <w:b w:val="0"/>
                <w:i w:val="0"/>
                <w:color w:val="101828"/>
                <w:sz w:val="14"/>
              </w:rPr>
              <w:t>Home … Contact</w:t>
            </w:r>
          </w:p>
        </w:tc>
        <w:tc>
          <w:tcPr>
            <w:tcW w:type="dxa" w:w="576"/>
            <w:tcMar>
              <w:top w:w="60" w:type="dxa"/>
              <w:start w:w="110" w:type="dxa"/>
              <w:bottom w:w="60" w:type="dxa"/>
              <w:end w:w="110" w:type="dxa"/>
            </w:tcMar>
          </w:tcPr>
          <w:p>
            <w:pPr>
              <w:spacing w:after="0"/>
            </w:pPr>
            <w:r/>
            <w:r>
              <w:rPr>
                <w:rFonts w:ascii="Calibri" w:hAnsi="Calibri"/>
                <w:b w:val="0"/>
                <w:i w:val="0"/>
                <w:color w:val="101828"/>
                <w:sz w:val="14"/>
              </w:rPr>
              <w:t>1</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SCR-WEB-09</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SCR-MKT-09</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Login</w:t>
            </w:r>
          </w:p>
        </w:tc>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4"/>
              </w:rPr>
              <w:t>1</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4"/>
              </w:rPr>
              <w:t>SCR-WEB-10</w:t>
            </w:r>
          </w:p>
        </w:tc>
        <w:tc>
          <w:tcPr>
            <w:tcW w:type="dxa" w:w="2016"/>
            <w:tcMar>
              <w:top w:w="60" w:type="dxa"/>
              <w:start w:w="110" w:type="dxa"/>
              <w:bottom w:w="60" w:type="dxa"/>
              <w:end w:w="110" w:type="dxa"/>
            </w:tcMar>
          </w:tcPr>
          <w:p>
            <w:pPr>
              <w:spacing w:after="0"/>
            </w:pPr>
            <w:r/>
            <w:r>
              <w:rPr>
                <w:rFonts w:ascii="Calibri" w:hAnsi="Calibri"/>
                <w:b w:val="0"/>
                <w:i w:val="0"/>
                <w:color w:val="101828"/>
                <w:sz w:val="14"/>
              </w:rPr>
              <w:t>SCR-MKT-10</w:t>
            </w:r>
          </w:p>
        </w:tc>
        <w:tc>
          <w:tcPr>
            <w:tcW w:type="dxa" w:w="3456"/>
            <w:tcMar>
              <w:top w:w="60" w:type="dxa"/>
              <w:start w:w="110" w:type="dxa"/>
              <w:bottom w:w="60" w:type="dxa"/>
              <w:end w:w="110" w:type="dxa"/>
            </w:tcMar>
          </w:tcPr>
          <w:p>
            <w:pPr>
              <w:spacing w:after="0"/>
            </w:pPr>
            <w:r/>
            <w:r>
              <w:rPr>
                <w:rFonts w:ascii="Calibri" w:hAnsi="Calibri"/>
                <w:b w:val="0"/>
                <w:i w:val="0"/>
                <w:color w:val="101828"/>
                <w:sz w:val="14"/>
              </w:rPr>
              <w:t>Register</w:t>
            </w:r>
          </w:p>
        </w:tc>
        <w:tc>
          <w:tcPr>
            <w:tcW w:type="dxa" w:w="576"/>
            <w:tcMar>
              <w:top w:w="60" w:type="dxa"/>
              <w:start w:w="110" w:type="dxa"/>
              <w:bottom w:w="60" w:type="dxa"/>
              <w:end w:w="110" w:type="dxa"/>
            </w:tcMar>
          </w:tcPr>
          <w:p>
            <w:pPr>
              <w:spacing w:after="0"/>
            </w:pPr>
            <w:r/>
            <w:r>
              <w:rPr>
                <w:rFonts w:ascii="Calibri" w:hAnsi="Calibri"/>
                <w:b w:val="0"/>
                <w:i w:val="0"/>
                <w:color w:val="101828"/>
                <w:sz w:val="14"/>
              </w:rPr>
              <w:t>1</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SCR-WEB-11</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 (in 2.1 only)</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Email verification</w:t>
            </w:r>
          </w:p>
        </w:tc>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4"/>
              </w:rPr>
              <w:t>1</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4"/>
              </w:rPr>
              <w:t>SCR-WEB-12</w:t>
            </w:r>
          </w:p>
        </w:tc>
        <w:tc>
          <w:tcPr>
            <w:tcW w:type="dxa" w:w="2016"/>
            <w:tcMar>
              <w:top w:w="60" w:type="dxa"/>
              <w:start w:w="110" w:type="dxa"/>
              <w:bottom w:w="60" w:type="dxa"/>
              <w:end w:w="110" w:type="dxa"/>
            </w:tcMar>
          </w:tcPr>
          <w:p>
            <w:pPr>
              <w:spacing w:after="0"/>
            </w:pPr>
            <w:r/>
            <w:r>
              <w:rPr>
                <w:rFonts w:ascii="Calibri" w:hAnsi="Calibri"/>
                <w:b w:val="0"/>
                <w:i w:val="0"/>
                <w:color w:val="101828"/>
                <w:sz w:val="14"/>
              </w:rPr>
              <w:t>— (in 2.1 only)</w:t>
            </w:r>
          </w:p>
        </w:tc>
        <w:tc>
          <w:tcPr>
            <w:tcW w:type="dxa" w:w="3456"/>
            <w:tcMar>
              <w:top w:w="60" w:type="dxa"/>
              <w:start w:w="110" w:type="dxa"/>
              <w:bottom w:w="60" w:type="dxa"/>
              <w:end w:w="110" w:type="dxa"/>
            </w:tcMar>
          </w:tcPr>
          <w:p>
            <w:pPr>
              <w:spacing w:after="0"/>
            </w:pPr>
            <w:r/>
            <w:r>
              <w:rPr>
                <w:rFonts w:ascii="Calibri" w:hAnsi="Calibri"/>
                <w:b w:val="0"/>
                <w:i w:val="0"/>
                <w:color w:val="101828"/>
                <w:sz w:val="14"/>
              </w:rPr>
              <w:t>Phone OTP verification</w:t>
            </w:r>
          </w:p>
        </w:tc>
        <w:tc>
          <w:tcPr>
            <w:tcW w:type="dxa" w:w="576"/>
            <w:tcMar>
              <w:top w:w="60" w:type="dxa"/>
              <w:start w:w="110" w:type="dxa"/>
              <w:bottom w:w="60" w:type="dxa"/>
              <w:end w:w="110" w:type="dxa"/>
            </w:tcMar>
          </w:tcPr>
          <w:p>
            <w:pPr>
              <w:spacing w:after="0"/>
            </w:pPr>
            <w:r/>
            <w:r>
              <w:rPr>
                <w:rFonts w:ascii="Calibri" w:hAnsi="Calibri"/>
                <w:b w:val="0"/>
                <w:i w:val="0"/>
                <w:color w:val="101828"/>
                <w:sz w:val="14"/>
              </w:rPr>
              <w:t>1</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SCR-WEB-13</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 (in 2.1 only)</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Forgot password</w:t>
            </w:r>
          </w:p>
        </w:tc>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4"/>
              </w:rPr>
              <w:t>1</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4"/>
              </w:rPr>
              <w:t>SCR-WEB-14</w:t>
            </w:r>
          </w:p>
        </w:tc>
        <w:tc>
          <w:tcPr>
            <w:tcW w:type="dxa" w:w="2016"/>
            <w:tcMar>
              <w:top w:w="60" w:type="dxa"/>
              <w:start w:w="110" w:type="dxa"/>
              <w:bottom w:w="60" w:type="dxa"/>
              <w:end w:w="110" w:type="dxa"/>
            </w:tcMar>
          </w:tcPr>
          <w:p>
            <w:pPr>
              <w:spacing w:after="0"/>
            </w:pPr>
            <w:r/>
            <w:r>
              <w:rPr>
                <w:rFonts w:ascii="Calibri" w:hAnsi="Calibri"/>
                <w:b w:val="0"/>
                <w:i w:val="0"/>
                <w:color w:val="101828"/>
                <w:sz w:val="14"/>
              </w:rPr>
              <w:t>— (in 2.1 only)</w:t>
            </w:r>
          </w:p>
        </w:tc>
        <w:tc>
          <w:tcPr>
            <w:tcW w:type="dxa" w:w="3456"/>
            <w:tcMar>
              <w:top w:w="60" w:type="dxa"/>
              <w:start w:w="110" w:type="dxa"/>
              <w:bottom w:w="60" w:type="dxa"/>
              <w:end w:w="110" w:type="dxa"/>
            </w:tcMar>
          </w:tcPr>
          <w:p>
            <w:pPr>
              <w:spacing w:after="0"/>
            </w:pPr>
            <w:r/>
            <w:r>
              <w:rPr>
                <w:rFonts w:ascii="Calibri" w:hAnsi="Calibri"/>
                <w:b w:val="0"/>
                <w:i w:val="0"/>
                <w:color w:val="101828"/>
                <w:sz w:val="14"/>
              </w:rPr>
              <w:t>Reset password</w:t>
            </w:r>
          </w:p>
        </w:tc>
        <w:tc>
          <w:tcPr>
            <w:tcW w:type="dxa" w:w="576"/>
            <w:tcMar>
              <w:top w:w="60" w:type="dxa"/>
              <w:start w:w="110" w:type="dxa"/>
              <w:bottom w:w="60" w:type="dxa"/>
              <w:end w:w="110" w:type="dxa"/>
            </w:tcMar>
          </w:tcPr>
          <w:p>
            <w:pPr>
              <w:spacing w:after="0"/>
            </w:pPr>
            <w:r/>
            <w:r>
              <w:rPr>
                <w:rFonts w:ascii="Calibri" w:hAnsi="Calibri"/>
                <w:b w:val="0"/>
                <w:i w:val="0"/>
                <w:color w:val="101828"/>
                <w:sz w:val="14"/>
              </w:rPr>
              <w:t>1</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SCR-WEB-15</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SCR-MKT-11</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Terms &amp; Conditions</w:t>
            </w:r>
          </w:p>
        </w:tc>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4"/>
              </w:rPr>
              <w:t>1</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4"/>
              </w:rPr>
              <w:t>SCR-WEB-16</w:t>
            </w:r>
          </w:p>
        </w:tc>
        <w:tc>
          <w:tcPr>
            <w:tcW w:type="dxa" w:w="2016"/>
            <w:tcMar>
              <w:top w:w="60" w:type="dxa"/>
              <w:start w:w="110" w:type="dxa"/>
              <w:bottom w:w="60" w:type="dxa"/>
              <w:end w:w="110" w:type="dxa"/>
            </w:tcMar>
          </w:tcPr>
          <w:p>
            <w:pPr>
              <w:spacing w:after="0"/>
            </w:pPr>
            <w:r/>
            <w:r>
              <w:rPr>
                <w:rFonts w:ascii="Calibri" w:hAnsi="Calibri"/>
                <w:b w:val="0"/>
                <w:i w:val="0"/>
                <w:color w:val="101828"/>
                <w:sz w:val="14"/>
              </w:rPr>
              <w:t>SCR-MKT-12</w:t>
            </w:r>
          </w:p>
        </w:tc>
        <w:tc>
          <w:tcPr>
            <w:tcW w:type="dxa" w:w="3456"/>
            <w:tcMar>
              <w:top w:w="60" w:type="dxa"/>
              <w:start w:w="110" w:type="dxa"/>
              <w:bottom w:w="60" w:type="dxa"/>
              <w:end w:w="110" w:type="dxa"/>
            </w:tcMar>
          </w:tcPr>
          <w:p>
            <w:pPr>
              <w:spacing w:after="0"/>
            </w:pPr>
            <w:r/>
            <w:r>
              <w:rPr>
                <w:rFonts w:ascii="Calibri" w:hAnsi="Calibri"/>
                <w:b w:val="0"/>
                <w:i w:val="0"/>
                <w:color w:val="101828"/>
                <w:sz w:val="14"/>
              </w:rPr>
              <w:t>Privacy</w:t>
            </w:r>
          </w:p>
        </w:tc>
        <w:tc>
          <w:tcPr>
            <w:tcW w:type="dxa" w:w="576"/>
            <w:tcMar>
              <w:top w:w="60" w:type="dxa"/>
              <w:start w:w="110" w:type="dxa"/>
              <w:bottom w:w="60" w:type="dxa"/>
              <w:end w:w="110" w:type="dxa"/>
            </w:tcMar>
          </w:tcPr>
          <w:p>
            <w:pPr>
              <w:spacing w:after="0"/>
            </w:pPr>
            <w:r/>
            <w:r>
              <w:rPr>
                <w:rFonts w:ascii="Calibri" w:hAnsi="Calibri"/>
                <w:b w:val="0"/>
                <w:i w:val="0"/>
                <w:color w:val="101828"/>
                <w:sz w:val="14"/>
              </w:rPr>
              <w:t>1</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SCR-WEB-17</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Account status notice</w:t>
            </w:r>
          </w:p>
        </w:tc>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4"/>
              </w:rPr>
              <w:t>1</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4"/>
              </w:rPr>
              <w:t>SCR-WEB-18</w:t>
            </w:r>
          </w:p>
        </w:tc>
        <w:tc>
          <w:tcPr>
            <w:tcW w:type="dxa" w:w="2016"/>
            <w:tcMar>
              <w:top w:w="60" w:type="dxa"/>
              <w:start w:w="110" w:type="dxa"/>
              <w:bottom w:w="60" w:type="dxa"/>
              <w:end w:w="110" w:type="dxa"/>
            </w:tcMar>
          </w:tcPr>
          <w:p>
            <w:pPr>
              <w:spacing w:after="0"/>
            </w:pPr>
            <w:r/>
            <w:r>
              <w:rPr>
                <w:rFonts w:ascii="Calibri" w:hAnsi="Calibri"/>
                <w:b w:val="0"/>
                <w:i w:val="0"/>
                <w:color w:val="101828"/>
                <w:sz w:val="14"/>
              </w:rPr>
              <w:t>—</w:t>
            </w:r>
          </w:p>
        </w:tc>
        <w:tc>
          <w:tcPr>
            <w:tcW w:type="dxa" w:w="3456"/>
            <w:tcMar>
              <w:top w:w="60" w:type="dxa"/>
              <w:start w:w="110" w:type="dxa"/>
              <w:bottom w:w="60" w:type="dxa"/>
              <w:end w:w="110" w:type="dxa"/>
            </w:tcMar>
          </w:tcPr>
          <w:p>
            <w:pPr>
              <w:spacing w:after="0"/>
            </w:pPr>
            <w:r/>
            <w:r>
              <w:rPr>
                <w:rFonts w:ascii="Calibri" w:hAnsi="Calibri"/>
                <w:b w:val="0"/>
                <w:i w:val="0"/>
                <w:color w:val="101828"/>
                <w:sz w:val="14"/>
              </w:rPr>
              <w:t>Tier-1 404</w:t>
            </w:r>
          </w:p>
        </w:tc>
        <w:tc>
          <w:tcPr>
            <w:tcW w:type="dxa" w:w="576"/>
            <w:tcMar>
              <w:top w:w="60" w:type="dxa"/>
              <w:start w:w="110" w:type="dxa"/>
              <w:bottom w:w="60" w:type="dxa"/>
              <w:end w:w="110" w:type="dxa"/>
            </w:tcMar>
          </w:tcPr>
          <w:p>
            <w:pPr>
              <w:spacing w:after="0"/>
            </w:pPr>
            <w:r/>
            <w:r>
              <w:rPr>
                <w:rFonts w:ascii="Calibri" w:hAnsi="Calibri"/>
                <w:b w:val="0"/>
                <w:i w:val="0"/>
                <w:color w:val="101828"/>
                <w:sz w:val="14"/>
              </w:rPr>
              <w:t>1</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SCR-MOB-01</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SCR-APP-01</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Dashboard</w:t>
            </w:r>
          </w:p>
        </w:tc>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4"/>
              </w:rPr>
              <w:t>SCR-MOB-02</w:t>
            </w:r>
          </w:p>
        </w:tc>
        <w:tc>
          <w:tcPr>
            <w:tcW w:type="dxa" w:w="2016"/>
            <w:tcMar>
              <w:top w:w="60" w:type="dxa"/>
              <w:start w:w="110" w:type="dxa"/>
              <w:bottom w:w="60" w:type="dxa"/>
              <w:end w:w="110" w:type="dxa"/>
            </w:tcMar>
          </w:tcPr>
          <w:p>
            <w:pPr>
              <w:spacing w:after="0"/>
            </w:pPr>
            <w:r/>
            <w:r>
              <w:rPr>
                <w:rFonts w:ascii="Calibri" w:hAnsi="Calibri"/>
                <w:b w:val="0"/>
                <w:i w:val="0"/>
                <w:color w:val="101828"/>
                <w:sz w:val="14"/>
              </w:rPr>
              <w:t>SCR-APP-02</w:t>
            </w:r>
          </w:p>
        </w:tc>
        <w:tc>
          <w:tcPr>
            <w:tcW w:type="dxa" w:w="3456"/>
            <w:tcMar>
              <w:top w:w="60" w:type="dxa"/>
              <w:start w:w="110" w:type="dxa"/>
              <w:bottom w:w="60" w:type="dxa"/>
              <w:end w:w="110" w:type="dxa"/>
            </w:tcMar>
          </w:tcPr>
          <w:p>
            <w:pPr>
              <w:spacing w:after="0"/>
            </w:pPr>
            <w:r/>
            <w:r>
              <w:rPr>
                <w:rFonts w:ascii="Calibri" w:hAnsi="Calibri"/>
                <w:b w:val="0"/>
                <w:i w:val="0"/>
                <w:color w:val="101828"/>
                <w:sz w:val="14"/>
              </w:rPr>
              <w:t>My Ajos</w:t>
            </w:r>
          </w:p>
        </w:tc>
        <w:tc>
          <w:tcPr>
            <w:tcW w:type="dxa" w:w="576"/>
            <w:tcMar>
              <w:top w:w="60" w:type="dxa"/>
              <w:start w:w="110" w:type="dxa"/>
              <w:bottom w:w="60" w:type="dxa"/>
              <w:end w:w="110" w:type="dxa"/>
            </w:tcMar>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SCR-MOB-03</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SCR-APP-05</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Ajo Detail</w:t>
            </w:r>
          </w:p>
        </w:tc>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4"/>
              </w:rPr>
              <w:t>SCR-MOB-04</w:t>
            </w:r>
          </w:p>
        </w:tc>
        <w:tc>
          <w:tcPr>
            <w:tcW w:type="dxa" w:w="2016"/>
            <w:tcMar>
              <w:top w:w="60" w:type="dxa"/>
              <w:start w:w="110" w:type="dxa"/>
              <w:bottom w:w="60" w:type="dxa"/>
              <w:end w:w="110" w:type="dxa"/>
            </w:tcMar>
          </w:tcPr>
          <w:p>
            <w:pPr>
              <w:spacing w:after="0"/>
            </w:pPr>
            <w:r/>
            <w:r>
              <w:rPr>
                <w:rFonts w:ascii="Calibri" w:hAnsi="Calibri"/>
                <w:b w:val="0"/>
                <w:i w:val="0"/>
                <w:color w:val="101828"/>
                <w:sz w:val="14"/>
              </w:rPr>
              <w:t>SCR-APP-04</w:t>
            </w:r>
          </w:p>
        </w:tc>
        <w:tc>
          <w:tcPr>
            <w:tcW w:type="dxa" w:w="3456"/>
            <w:tcMar>
              <w:top w:w="60" w:type="dxa"/>
              <w:start w:w="110" w:type="dxa"/>
              <w:bottom w:w="60" w:type="dxa"/>
              <w:end w:w="110" w:type="dxa"/>
            </w:tcMar>
          </w:tcPr>
          <w:p>
            <w:pPr>
              <w:spacing w:after="0"/>
            </w:pPr>
            <w:r/>
            <w:r>
              <w:rPr>
                <w:rFonts w:ascii="Calibri" w:hAnsi="Calibri"/>
                <w:b w:val="0"/>
                <w:i w:val="0"/>
                <w:color w:val="101828"/>
                <w:sz w:val="14"/>
              </w:rPr>
              <w:t>Join Ajo (by code)</w:t>
            </w:r>
          </w:p>
        </w:tc>
        <w:tc>
          <w:tcPr>
            <w:tcW w:type="dxa" w:w="576"/>
            <w:tcMar>
              <w:top w:w="60" w:type="dxa"/>
              <w:start w:w="110" w:type="dxa"/>
              <w:bottom w:w="60" w:type="dxa"/>
              <w:end w:w="110" w:type="dxa"/>
            </w:tcMar>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SCR-MOB-05.1 … 05.7</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SCR-APP-03 step 1 … 7</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Create Ajo wizard</w:t>
            </w:r>
          </w:p>
        </w:tc>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4"/>
              </w:rPr>
              <w:t>SCR-MOB-06</w:t>
            </w:r>
          </w:p>
        </w:tc>
        <w:tc>
          <w:tcPr>
            <w:tcW w:type="dxa" w:w="2016"/>
            <w:tcMar>
              <w:top w:w="60" w:type="dxa"/>
              <w:start w:w="110" w:type="dxa"/>
              <w:bottom w:w="60" w:type="dxa"/>
              <w:end w:w="110" w:type="dxa"/>
            </w:tcMar>
          </w:tcPr>
          <w:p>
            <w:pPr>
              <w:spacing w:after="0"/>
            </w:pPr>
            <w:r/>
            <w:r>
              <w:rPr>
                <w:rFonts w:ascii="Calibri" w:hAnsi="Calibri"/>
                <w:b w:val="0"/>
                <w:i w:val="0"/>
                <w:color w:val="101828"/>
                <w:sz w:val="14"/>
              </w:rPr>
              <w:t>SCR-APP-06</w:t>
            </w:r>
          </w:p>
        </w:tc>
        <w:tc>
          <w:tcPr>
            <w:tcW w:type="dxa" w:w="3456"/>
            <w:tcMar>
              <w:top w:w="60" w:type="dxa"/>
              <w:start w:w="110" w:type="dxa"/>
              <w:bottom w:w="60" w:type="dxa"/>
              <w:end w:w="110" w:type="dxa"/>
            </w:tcMar>
          </w:tcPr>
          <w:p>
            <w:pPr>
              <w:spacing w:after="0"/>
            </w:pPr>
            <w:r/>
            <w:r>
              <w:rPr>
                <w:rFonts w:ascii="Calibri" w:hAnsi="Calibri"/>
                <w:b w:val="0"/>
                <w:i w:val="0"/>
                <w:color w:val="101828"/>
                <w:sz w:val="14"/>
              </w:rPr>
              <w:t>Members</w:t>
            </w:r>
          </w:p>
        </w:tc>
        <w:tc>
          <w:tcPr>
            <w:tcW w:type="dxa" w:w="576"/>
            <w:tcMar>
              <w:top w:w="60" w:type="dxa"/>
              <w:start w:w="110" w:type="dxa"/>
              <w:bottom w:w="60" w:type="dxa"/>
              <w:end w:w="110" w:type="dxa"/>
            </w:tcMar>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SCR-MOB-07</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SCR-APP-07</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Contribution Schedule</w:t>
            </w:r>
          </w:p>
        </w:tc>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4"/>
              </w:rPr>
              <w:t>SCR-MOB-08</w:t>
            </w:r>
          </w:p>
        </w:tc>
        <w:tc>
          <w:tcPr>
            <w:tcW w:type="dxa" w:w="2016"/>
            <w:tcMar>
              <w:top w:w="60" w:type="dxa"/>
              <w:start w:w="110" w:type="dxa"/>
              <w:bottom w:w="60" w:type="dxa"/>
              <w:end w:w="110" w:type="dxa"/>
            </w:tcMar>
          </w:tcPr>
          <w:p>
            <w:pPr>
              <w:spacing w:after="0"/>
            </w:pPr>
            <w:r/>
            <w:r>
              <w:rPr>
                <w:rFonts w:ascii="Calibri" w:hAnsi="Calibri"/>
                <w:b w:val="0"/>
                <w:i w:val="0"/>
                <w:color w:val="101828"/>
                <w:sz w:val="14"/>
              </w:rPr>
              <w:t>SCR-APP-08</w:t>
            </w:r>
          </w:p>
        </w:tc>
        <w:tc>
          <w:tcPr>
            <w:tcW w:type="dxa" w:w="3456"/>
            <w:tcMar>
              <w:top w:w="60" w:type="dxa"/>
              <w:start w:w="110" w:type="dxa"/>
              <w:bottom w:w="60" w:type="dxa"/>
              <w:end w:w="110" w:type="dxa"/>
            </w:tcMar>
          </w:tcPr>
          <w:p>
            <w:pPr>
              <w:spacing w:after="0"/>
            </w:pPr>
            <w:r/>
            <w:r>
              <w:rPr>
                <w:rFonts w:ascii="Calibri" w:hAnsi="Calibri"/>
                <w:b w:val="0"/>
                <w:i w:val="0"/>
                <w:color w:val="101828"/>
                <w:sz w:val="14"/>
              </w:rPr>
              <w:t>Contributions</w:t>
            </w:r>
          </w:p>
        </w:tc>
        <w:tc>
          <w:tcPr>
            <w:tcW w:type="dxa" w:w="576"/>
            <w:tcMar>
              <w:top w:w="60" w:type="dxa"/>
              <w:start w:w="110" w:type="dxa"/>
              <w:bottom w:w="60" w:type="dxa"/>
              <w:end w:w="110" w:type="dxa"/>
            </w:tcMar>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SCR-MOB-09</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SCR-APP-09</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Pay Contribution</w:t>
            </w:r>
          </w:p>
        </w:tc>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4"/>
              </w:rPr>
              <w:t>SCR-MOB-10</w:t>
            </w:r>
          </w:p>
        </w:tc>
        <w:tc>
          <w:tcPr>
            <w:tcW w:type="dxa" w:w="2016"/>
            <w:tcMar>
              <w:top w:w="60" w:type="dxa"/>
              <w:start w:w="110" w:type="dxa"/>
              <w:bottom w:w="60" w:type="dxa"/>
              <w:end w:w="110" w:type="dxa"/>
            </w:tcMar>
          </w:tcPr>
          <w:p>
            <w:pPr>
              <w:spacing w:after="0"/>
            </w:pPr>
            <w:r/>
            <w:r>
              <w:rPr>
                <w:rFonts w:ascii="Calibri" w:hAnsi="Calibri"/>
                <w:b w:val="0"/>
                <w:i w:val="0"/>
                <w:color w:val="101828"/>
                <w:sz w:val="14"/>
              </w:rPr>
              <w:t>SCR-APP-09 / 09 b</w:t>
            </w:r>
          </w:p>
        </w:tc>
        <w:tc>
          <w:tcPr>
            <w:tcW w:type="dxa" w:w="3456"/>
            <w:tcMar>
              <w:top w:w="60" w:type="dxa"/>
              <w:start w:w="110" w:type="dxa"/>
              <w:bottom w:w="60" w:type="dxa"/>
              <w:end w:w="110" w:type="dxa"/>
            </w:tcMar>
          </w:tcPr>
          <w:p>
            <w:pPr>
              <w:spacing w:after="0"/>
            </w:pPr>
            <w:r/>
            <w:r>
              <w:rPr>
                <w:rFonts w:ascii="Calibri" w:hAnsi="Calibri"/>
                <w:b w:val="0"/>
                <w:i w:val="0"/>
                <w:color w:val="101828"/>
                <w:sz w:val="14"/>
              </w:rPr>
              <w:t>Payment processing</w:t>
            </w:r>
          </w:p>
        </w:tc>
        <w:tc>
          <w:tcPr>
            <w:tcW w:type="dxa" w:w="576"/>
            <w:tcMar>
              <w:top w:w="60" w:type="dxa"/>
              <w:start w:w="110" w:type="dxa"/>
              <w:bottom w:w="60" w:type="dxa"/>
              <w:end w:w="110" w:type="dxa"/>
            </w:tcMar>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SCR-MOB-11</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 (in 2.6 only)</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Payment receipt</w:t>
            </w:r>
          </w:p>
        </w:tc>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4"/>
              </w:rPr>
              <w:t>SCR-MOB-12</w:t>
            </w:r>
          </w:p>
        </w:tc>
        <w:tc>
          <w:tcPr>
            <w:tcW w:type="dxa" w:w="2016"/>
            <w:tcMar>
              <w:top w:w="60" w:type="dxa"/>
              <w:start w:w="110" w:type="dxa"/>
              <w:bottom w:w="60" w:type="dxa"/>
              <w:end w:w="110" w:type="dxa"/>
            </w:tcMar>
          </w:tcPr>
          <w:p>
            <w:pPr>
              <w:spacing w:after="0"/>
            </w:pPr>
            <w:r/>
            <w:r>
              <w:rPr>
                <w:rFonts w:ascii="Calibri" w:hAnsi="Calibri"/>
                <w:b w:val="0"/>
                <w:i w:val="0"/>
                <w:color w:val="101828"/>
                <w:sz w:val="14"/>
              </w:rPr>
              <w:t>SCR-APP-10</w:t>
            </w:r>
          </w:p>
        </w:tc>
        <w:tc>
          <w:tcPr>
            <w:tcW w:type="dxa" w:w="3456"/>
            <w:tcMar>
              <w:top w:w="60" w:type="dxa"/>
              <w:start w:w="110" w:type="dxa"/>
              <w:bottom w:w="60" w:type="dxa"/>
              <w:end w:w="110" w:type="dxa"/>
            </w:tcMar>
          </w:tcPr>
          <w:p>
            <w:pPr>
              <w:spacing w:after="0"/>
            </w:pPr>
            <w:r/>
            <w:r>
              <w:rPr>
                <w:rFonts w:ascii="Calibri" w:hAnsi="Calibri"/>
                <w:b w:val="0"/>
                <w:i w:val="0"/>
                <w:color w:val="101828"/>
                <w:sz w:val="14"/>
              </w:rPr>
              <w:t>Payouts</w:t>
            </w:r>
          </w:p>
        </w:tc>
        <w:tc>
          <w:tcPr>
            <w:tcW w:type="dxa" w:w="576"/>
            <w:tcMar>
              <w:top w:w="60" w:type="dxa"/>
              <w:start w:w="110" w:type="dxa"/>
              <w:bottom w:w="60" w:type="dxa"/>
              <w:end w:w="110" w:type="dxa"/>
            </w:tcMar>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SCR-MOB-13</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 (in 2.9 only)</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Payout detail</w:t>
            </w:r>
          </w:p>
        </w:tc>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4"/>
              </w:rPr>
              <w:t>SCR-MOB-14</w:t>
            </w:r>
          </w:p>
        </w:tc>
        <w:tc>
          <w:tcPr>
            <w:tcW w:type="dxa" w:w="2016"/>
            <w:tcMar>
              <w:top w:w="60" w:type="dxa"/>
              <w:start w:w="110" w:type="dxa"/>
              <w:bottom w:w="60" w:type="dxa"/>
              <w:end w:w="110" w:type="dxa"/>
            </w:tcMar>
          </w:tcPr>
          <w:p>
            <w:pPr>
              <w:spacing w:after="0"/>
            </w:pPr>
            <w:r/>
            <w:r>
              <w:rPr>
                <w:rFonts w:ascii="Calibri" w:hAnsi="Calibri"/>
                <w:b w:val="0"/>
                <w:i w:val="0"/>
                <w:color w:val="101828"/>
                <w:sz w:val="14"/>
              </w:rPr>
              <w:t>SCR-APP-11</w:t>
            </w:r>
          </w:p>
        </w:tc>
        <w:tc>
          <w:tcPr>
            <w:tcW w:type="dxa" w:w="3456"/>
            <w:tcMar>
              <w:top w:w="60" w:type="dxa"/>
              <w:start w:w="110" w:type="dxa"/>
              <w:bottom w:w="60" w:type="dxa"/>
              <w:end w:w="110" w:type="dxa"/>
            </w:tcMar>
          </w:tcPr>
          <w:p>
            <w:pPr>
              <w:spacing w:after="0"/>
            </w:pPr>
            <w:r/>
            <w:r>
              <w:rPr>
                <w:rFonts w:ascii="Calibri" w:hAnsi="Calibri"/>
                <w:b w:val="0"/>
                <w:i w:val="0"/>
                <w:color w:val="101828"/>
                <w:sz w:val="14"/>
              </w:rPr>
              <w:t>Transactions / Statement</w:t>
            </w:r>
          </w:p>
        </w:tc>
        <w:tc>
          <w:tcPr>
            <w:tcW w:type="dxa" w:w="576"/>
            <w:tcMar>
              <w:top w:w="60" w:type="dxa"/>
              <w:start w:w="110" w:type="dxa"/>
              <w:bottom w:w="60" w:type="dxa"/>
              <w:end w:w="110" w:type="dxa"/>
            </w:tcMar>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SCR-MOB-15</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SCR-APP-12</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Notifications centre</w:t>
            </w:r>
          </w:p>
        </w:tc>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4"/>
              </w:rPr>
              <w:t>SCR-MOB-16</w:t>
            </w:r>
          </w:p>
        </w:tc>
        <w:tc>
          <w:tcPr>
            <w:tcW w:type="dxa" w:w="2016"/>
            <w:tcMar>
              <w:top w:w="60" w:type="dxa"/>
              <w:start w:w="110" w:type="dxa"/>
              <w:bottom w:w="60" w:type="dxa"/>
              <w:end w:w="110" w:type="dxa"/>
            </w:tcMar>
          </w:tcPr>
          <w:p>
            <w:pPr>
              <w:spacing w:after="0"/>
            </w:pPr>
            <w:r/>
            <w:r>
              <w:rPr>
                <w:rFonts w:ascii="Calibri" w:hAnsi="Calibri"/>
                <w:b w:val="0"/>
                <w:i w:val="0"/>
                <w:color w:val="101828"/>
                <w:sz w:val="14"/>
              </w:rPr>
              <w:t>SCR-APP-14</w:t>
            </w:r>
          </w:p>
        </w:tc>
        <w:tc>
          <w:tcPr>
            <w:tcW w:type="dxa" w:w="3456"/>
            <w:tcMar>
              <w:top w:w="60" w:type="dxa"/>
              <w:start w:w="110" w:type="dxa"/>
              <w:bottom w:w="60" w:type="dxa"/>
              <w:end w:w="110" w:type="dxa"/>
            </w:tcMar>
          </w:tcPr>
          <w:p>
            <w:pPr>
              <w:spacing w:after="0"/>
            </w:pPr>
            <w:r/>
            <w:r>
              <w:rPr>
                <w:rFonts w:ascii="Calibri" w:hAnsi="Calibri"/>
                <w:b w:val="0"/>
                <w:i w:val="0"/>
                <w:color w:val="101828"/>
                <w:sz w:val="14"/>
              </w:rPr>
              <w:t>Disputes list</w:t>
            </w:r>
          </w:p>
        </w:tc>
        <w:tc>
          <w:tcPr>
            <w:tcW w:type="dxa" w:w="576"/>
            <w:tcMar>
              <w:top w:w="60" w:type="dxa"/>
              <w:start w:w="110" w:type="dxa"/>
              <w:bottom w:w="60" w:type="dxa"/>
              <w:end w:w="110" w:type="dxa"/>
            </w:tcMar>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SCR-MOB-17</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 (in 2.11 only)</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New dispute</w:t>
            </w:r>
          </w:p>
        </w:tc>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4"/>
              </w:rPr>
              <w:t>SCR-MOB-18</w:t>
            </w:r>
          </w:p>
        </w:tc>
        <w:tc>
          <w:tcPr>
            <w:tcW w:type="dxa" w:w="2016"/>
            <w:tcMar>
              <w:top w:w="60" w:type="dxa"/>
              <w:start w:w="110" w:type="dxa"/>
              <w:bottom w:w="60" w:type="dxa"/>
              <w:end w:w="110" w:type="dxa"/>
            </w:tcMar>
          </w:tcPr>
          <w:p>
            <w:pPr>
              <w:spacing w:after="0"/>
            </w:pPr>
            <w:r/>
            <w:r>
              <w:rPr>
                <w:rFonts w:ascii="Calibri" w:hAnsi="Calibri"/>
                <w:b w:val="0"/>
                <w:i w:val="0"/>
                <w:color w:val="101828"/>
                <w:sz w:val="14"/>
              </w:rPr>
              <w:t>— (in 2.11 only)</w:t>
            </w:r>
          </w:p>
        </w:tc>
        <w:tc>
          <w:tcPr>
            <w:tcW w:type="dxa" w:w="3456"/>
            <w:tcMar>
              <w:top w:w="60" w:type="dxa"/>
              <w:start w:w="110" w:type="dxa"/>
              <w:bottom w:w="60" w:type="dxa"/>
              <w:end w:w="110" w:type="dxa"/>
            </w:tcMar>
          </w:tcPr>
          <w:p>
            <w:pPr>
              <w:spacing w:after="0"/>
            </w:pPr>
            <w:r/>
            <w:r>
              <w:rPr>
                <w:rFonts w:ascii="Calibri" w:hAnsi="Calibri"/>
                <w:b w:val="0"/>
                <w:i w:val="0"/>
                <w:color w:val="101828"/>
                <w:sz w:val="14"/>
              </w:rPr>
              <w:t>Dispute thread</w:t>
            </w:r>
          </w:p>
        </w:tc>
        <w:tc>
          <w:tcPr>
            <w:tcW w:type="dxa" w:w="576"/>
            <w:tcMar>
              <w:top w:w="60" w:type="dxa"/>
              <w:start w:w="110" w:type="dxa"/>
              <w:bottom w:w="60" w:type="dxa"/>
              <w:end w:w="110" w:type="dxa"/>
            </w:tcMar>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SCR-MOB-19</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SCR-APP-15</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Profile</w:t>
            </w:r>
          </w:p>
        </w:tc>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4"/>
              </w:rPr>
              <w:t>SCR-MOB-20</w:t>
            </w:r>
          </w:p>
        </w:tc>
        <w:tc>
          <w:tcPr>
            <w:tcW w:type="dxa" w:w="2016"/>
            <w:tcMar>
              <w:top w:w="60" w:type="dxa"/>
              <w:start w:w="110" w:type="dxa"/>
              <w:bottom w:w="60" w:type="dxa"/>
              <w:end w:w="110" w:type="dxa"/>
            </w:tcMar>
          </w:tcPr>
          <w:p>
            <w:pPr>
              <w:spacing w:after="0"/>
            </w:pPr>
            <w:r/>
            <w:r>
              <w:rPr>
                <w:rFonts w:ascii="Calibri" w:hAnsi="Calibri"/>
                <w:b w:val="0"/>
                <w:i w:val="0"/>
                <w:color w:val="101828"/>
                <w:sz w:val="14"/>
              </w:rPr>
              <w:t>SCR-APP-16</w:t>
            </w:r>
          </w:p>
        </w:tc>
        <w:tc>
          <w:tcPr>
            <w:tcW w:type="dxa" w:w="3456"/>
            <w:tcMar>
              <w:top w:w="60" w:type="dxa"/>
              <w:start w:w="110" w:type="dxa"/>
              <w:bottom w:w="60" w:type="dxa"/>
              <w:end w:w="110" w:type="dxa"/>
            </w:tcMar>
          </w:tcPr>
          <w:p>
            <w:pPr>
              <w:spacing w:after="0"/>
            </w:pPr>
            <w:r/>
            <w:r>
              <w:rPr>
                <w:rFonts w:ascii="Calibri" w:hAnsi="Calibri"/>
                <w:b w:val="0"/>
                <w:i w:val="0"/>
                <w:color w:val="101828"/>
                <w:sz w:val="14"/>
              </w:rPr>
              <w:t>Settings</w:t>
            </w:r>
          </w:p>
        </w:tc>
        <w:tc>
          <w:tcPr>
            <w:tcW w:type="dxa" w:w="576"/>
            <w:tcMar>
              <w:top w:w="60" w:type="dxa"/>
              <w:start w:w="110" w:type="dxa"/>
              <w:bottom w:w="60" w:type="dxa"/>
              <w:end w:w="110" w:type="dxa"/>
            </w:tcMar>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SCR-MOB-21</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SCR-APP-17</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Security</w:t>
            </w:r>
          </w:p>
        </w:tc>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4"/>
              </w:rPr>
              <w:t>SCR-MOB-22</w:t>
            </w:r>
          </w:p>
        </w:tc>
        <w:tc>
          <w:tcPr>
            <w:tcW w:type="dxa" w:w="2016"/>
            <w:tcMar>
              <w:top w:w="60" w:type="dxa"/>
              <w:start w:w="110" w:type="dxa"/>
              <w:bottom w:w="60" w:type="dxa"/>
              <w:end w:w="110" w:type="dxa"/>
            </w:tcMar>
          </w:tcPr>
          <w:p>
            <w:pPr>
              <w:spacing w:after="0"/>
            </w:pPr>
            <w:r/>
            <w:r>
              <w:rPr>
                <w:rFonts w:ascii="Calibri" w:hAnsi="Calibri"/>
                <w:b w:val="0"/>
                <w:i w:val="0"/>
                <w:color w:val="101828"/>
                <w:sz w:val="14"/>
              </w:rPr>
              <w:t>SCR-APP-19</w:t>
            </w:r>
          </w:p>
        </w:tc>
        <w:tc>
          <w:tcPr>
            <w:tcW w:type="dxa" w:w="3456"/>
            <w:tcMar>
              <w:top w:w="60" w:type="dxa"/>
              <w:start w:w="110" w:type="dxa"/>
              <w:bottom w:w="60" w:type="dxa"/>
              <w:end w:w="110" w:type="dxa"/>
            </w:tcMar>
          </w:tcPr>
          <w:p>
            <w:pPr>
              <w:spacing w:after="0"/>
            </w:pPr>
            <w:r/>
            <w:r>
              <w:rPr>
                <w:rFonts w:ascii="Calibri" w:hAnsi="Calibri"/>
                <w:b w:val="0"/>
                <w:i w:val="0"/>
                <w:color w:val="101828"/>
                <w:sz w:val="14"/>
              </w:rPr>
              <w:t>KYC / Verification</w:t>
            </w:r>
          </w:p>
        </w:tc>
        <w:tc>
          <w:tcPr>
            <w:tcW w:type="dxa" w:w="576"/>
            <w:tcMar>
              <w:top w:w="60" w:type="dxa"/>
              <w:start w:w="110" w:type="dxa"/>
              <w:bottom w:w="60" w:type="dxa"/>
              <w:end w:w="110" w:type="dxa"/>
            </w:tcMar>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SCR-MOB-23</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SCR-APP-13 / 18</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Support / Help</w:t>
            </w:r>
          </w:p>
        </w:tc>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4"/>
              </w:rPr>
              <w:t>SCR-MOB-24</w:t>
            </w:r>
          </w:p>
        </w:tc>
        <w:tc>
          <w:tcPr>
            <w:tcW w:type="dxa" w:w="2016"/>
            <w:tcMar>
              <w:top w:w="60" w:type="dxa"/>
              <w:start w:w="110" w:type="dxa"/>
              <w:bottom w:w="60" w:type="dxa"/>
              <w:end w:w="110" w:type="dxa"/>
            </w:tcMar>
          </w:tcPr>
          <w:p>
            <w:pPr>
              <w:spacing w:after="0"/>
            </w:pPr>
            <w:r/>
            <w:r>
              <w:rPr>
                <w:rFonts w:ascii="Calibri" w:hAnsi="Calibri"/>
                <w:b w:val="0"/>
                <w:i w:val="0"/>
                <w:color w:val="101828"/>
                <w:sz w:val="14"/>
              </w:rPr>
              <w:t>SCR-APP-04</w:t>
            </w:r>
          </w:p>
        </w:tc>
        <w:tc>
          <w:tcPr>
            <w:tcW w:type="dxa" w:w="3456"/>
            <w:tcMar>
              <w:top w:w="60" w:type="dxa"/>
              <w:start w:w="110" w:type="dxa"/>
              <w:bottom w:w="60" w:type="dxa"/>
              <w:end w:w="110" w:type="dxa"/>
            </w:tcMar>
          </w:tcPr>
          <w:p>
            <w:pPr>
              <w:spacing w:after="0"/>
            </w:pPr>
            <w:r/>
            <w:r>
              <w:rPr>
                <w:rFonts w:ascii="Calibri" w:hAnsi="Calibri"/>
                <w:b w:val="0"/>
                <w:i w:val="0"/>
                <w:color w:val="101828"/>
                <w:sz w:val="14"/>
              </w:rPr>
              <w:t>Invitation accept</w:t>
            </w:r>
          </w:p>
        </w:tc>
        <w:tc>
          <w:tcPr>
            <w:tcW w:type="dxa" w:w="576"/>
            <w:tcMar>
              <w:top w:w="60" w:type="dxa"/>
              <w:start w:w="110" w:type="dxa"/>
              <w:bottom w:w="60" w:type="dxa"/>
              <w:end w:w="110" w:type="dxa"/>
            </w:tcMar>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SCR-MOB-25</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SCR-APP-05 b</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Replacement / exit request</w:t>
            </w:r>
          </w:p>
        </w:tc>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4"/>
              </w:rPr>
              <w:t>SCR-MOB-26</w:t>
            </w:r>
          </w:p>
        </w:tc>
        <w:tc>
          <w:tcPr>
            <w:tcW w:type="dxa" w:w="2016"/>
            <w:tcMar>
              <w:top w:w="60" w:type="dxa"/>
              <w:start w:w="110" w:type="dxa"/>
              <w:bottom w:w="60" w:type="dxa"/>
              <w:end w:w="110" w:type="dxa"/>
            </w:tcMar>
          </w:tcPr>
          <w:p>
            <w:pPr>
              <w:spacing w:after="0"/>
            </w:pPr>
            <w:r/>
            <w:r>
              <w:rPr>
                <w:rFonts w:ascii="Calibri" w:hAnsi="Calibri"/>
                <w:b w:val="0"/>
                <w:i w:val="0"/>
                <w:color w:val="101828"/>
                <w:sz w:val="14"/>
              </w:rPr>
              <w:t>—</w:t>
            </w:r>
          </w:p>
        </w:tc>
        <w:tc>
          <w:tcPr>
            <w:tcW w:type="dxa" w:w="3456"/>
            <w:tcMar>
              <w:top w:w="60" w:type="dxa"/>
              <w:start w:w="110" w:type="dxa"/>
              <w:bottom w:w="60" w:type="dxa"/>
              <w:end w:w="110" w:type="dxa"/>
            </w:tcMar>
          </w:tcPr>
          <w:p>
            <w:pPr>
              <w:spacing w:after="0"/>
            </w:pPr>
            <w:r/>
            <w:r>
              <w:rPr>
                <w:rFonts w:ascii="Calibri" w:hAnsi="Calibri"/>
                <w:b w:val="0"/>
                <w:i w:val="0"/>
                <w:color w:val="101828"/>
                <w:sz w:val="14"/>
              </w:rPr>
              <w:t>In-app error boundary</w:t>
            </w:r>
          </w:p>
        </w:tc>
        <w:tc>
          <w:tcPr>
            <w:tcW w:type="dxa" w:w="576"/>
            <w:tcMar>
              <w:top w:w="60" w:type="dxa"/>
              <w:start w:w="110" w:type="dxa"/>
              <w:bottom w:w="60" w:type="dxa"/>
              <w:end w:w="110" w:type="dxa"/>
            </w:tcMar>
          </w:tcPr>
          <w:p>
            <w:pPr>
              <w:spacing w:after="0"/>
            </w:pPr>
            <w:r/>
            <w:r>
              <w:rPr>
                <w:rFonts w:ascii="Calibri" w:hAnsi="Calibri"/>
                <w:b w:val="0"/>
                <w:i w:val="0"/>
                <w:color w:val="101828"/>
                <w:sz w:val="14"/>
              </w:rPr>
              <w:t>2</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SCR-ADM-01 … 12</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SCR-ADM-01 … 12</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Admin screens, same numbering</w:t>
            </w:r>
          </w:p>
        </w:tc>
        <w:tc>
          <w:tcPr>
            <w:tcW w:type="dxa" w:w="576"/>
            <w:tcMar>
              <w:top w:w="60" w:type="dxa"/>
              <w:start w:w="110" w:type="dxa"/>
              <w:bottom w:w="60" w:type="dxa"/>
              <w:end w:w="110" w:type="dxa"/>
            </w:tcMar>
            <w:shd w:val="clear" w:color="auto" w:fill="F4F7FB"/>
          </w:tcPr>
          <w:p>
            <w:pPr>
              <w:spacing w:after="0"/>
            </w:pPr>
            <w:r/>
            <w:r>
              <w:rPr>
                <w:rFonts w:ascii="Calibri" w:hAnsi="Calibri"/>
                <w:b w:val="0"/>
                <w:i w:val="0"/>
                <w:color w:val="101828"/>
                <w:sz w:val="14"/>
              </w:rPr>
              <w:t>3</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4"/>
              </w:rPr>
              <w:t>SCR-ADM-13</w:t>
            </w:r>
          </w:p>
        </w:tc>
        <w:tc>
          <w:tcPr>
            <w:tcW w:type="dxa" w:w="2016"/>
            <w:tcMar>
              <w:top w:w="60" w:type="dxa"/>
              <w:start w:w="110" w:type="dxa"/>
              <w:bottom w:w="60" w:type="dxa"/>
              <w:end w:w="110" w:type="dxa"/>
            </w:tcMar>
          </w:tcPr>
          <w:p>
            <w:pPr>
              <w:spacing w:after="0"/>
            </w:pPr>
            <w:r/>
            <w:r>
              <w:rPr>
                <w:rFonts w:ascii="Calibri" w:hAnsi="Calibri"/>
                <w:b w:val="0"/>
                <w:i w:val="0"/>
                <w:color w:val="101828"/>
                <w:sz w:val="14"/>
              </w:rPr>
              <w:t>—</w:t>
            </w:r>
          </w:p>
        </w:tc>
        <w:tc>
          <w:tcPr>
            <w:tcW w:type="dxa" w:w="3456"/>
            <w:tcMar>
              <w:top w:w="60" w:type="dxa"/>
              <w:start w:w="110" w:type="dxa"/>
              <w:bottom w:w="60" w:type="dxa"/>
              <w:end w:w="110" w:type="dxa"/>
            </w:tcMar>
          </w:tcPr>
          <w:p>
            <w:pPr>
              <w:spacing w:after="0"/>
            </w:pPr>
            <w:r/>
            <w:r>
              <w:rPr>
                <w:rFonts w:ascii="Calibri" w:hAnsi="Calibri"/>
                <w:b w:val="0"/>
                <w:i w:val="0"/>
                <w:color w:val="101828"/>
                <w:sz w:val="14"/>
              </w:rPr>
              <w:t>Access denied</w:t>
            </w:r>
          </w:p>
        </w:tc>
        <w:tc>
          <w:tcPr>
            <w:tcW w:type="dxa" w:w="576"/>
            <w:tcMar>
              <w:top w:w="60" w:type="dxa"/>
              <w:start w:w="110" w:type="dxa"/>
              <w:bottom w:w="60" w:type="dxa"/>
              <w:end w:w="110" w:type="dxa"/>
            </w:tcMar>
          </w:tcPr>
          <w:p>
            <w:pPr>
              <w:spacing w:after="0"/>
            </w:pPr>
            <w:r/>
            <w:r>
              <w:rPr>
                <w:rFonts w:ascii="Calibri" w:hAnsi="Calibri"/>
                <w:b w:val="0"/>
                <w:i w:val="0"/>
                <w:color w:val="101828"/>
                <w:sz w:val="14"/>
              </w:rPr>
              <w:t>3</w:t>
            </w:r>
          </w:p>
        </w:tc>
      </w:tr>
    </w:tbl>
    <w:p>
      <w:pPr>
        <w:spacing w:after="80"/>
      </w:pPr>
    </w:p>
    <w:p>
      <w:pPr>
        <w:pStyle w:val="Heading2"/>
      </w:pPr>
      <w:r>
        <w:rPr>
          <w:rFonts w:ascii="Calibri" w:hAnsi="Calibri"/>
          <w:b/>
          <w:i w:val="0"/>
          <w:color w:val="146EF5"/>
          <w:sz w:val="29"/>
        </w:rPr>
        <w:t>3.7 Navigation patterns per surface</w:t>
      </w:r>
    </w:p>
    <w:p>
      <w:r>
        <w:rPr>
          <w:rFonts w:ascii="Calibri" w:hAnsi="Calibri"/>
          <w:b w:val="0"/>
          <w:i w:val="0"/>
          <w:color w:val="101828"/>
          <w:sz w:val="21"/>
        </w:rPr>
        <w:t>Three levels of navigation exist in tier 2, and each answers a different question. Keeping them distinct is what stops a financial application from feeling like a website with buttons on it.</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4"/>
              </w:rPr>
              <w:t>Level</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4"/>
              </w:rPr>
              <w:t>Question it answers</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4"/>
              </w:rPr>
              <w:t>Where it lives</w:t>
            </w:r>
          </w:p>
        </w:tc>
        <w:tc>
          <w:tcPr>
            <w:tcW w:type="dxa" w:w="4003"/>
            <w:shd w:val="clear" w:color="auto" w:fill="0B1F3A"/>
            <w:tcMar>
              <w:top w:w="60" w:type="dxa"/>
              <w:start w:w="110" w:type="dxa"/>
              <w:bottom w:w="60" w:type="dxa"/>
              <w:end w:w="110" w:type="dxa"/>
            </w:tcMar>
          </w:tcPr>
          <w:p>
            <w:pPr>
              <w:spacing w:after="0"/>
            </w:pPr>
            <w:r/>
            <w:r>
              <w:rPr>
                <w:rFonts w:ascii="Calibri" w:hAnsi="Calibri"/>
                <w:b/>
                <w:i w:val="0"/>
                <w:color w:val="FFFFFF"/>
                <w:sz w:val="14"/>
              </w:rPr>
              <w:t>Behaviour</w:t>
            </w:r>
          </w:p>
        </w:tc>
      </w:tr>
      <w:tr>
        <w:trPr>
          <w:cantSplit/>
        </w:trPr>
        <w:tc>
          <w:tcPr>
            <w:tcW w:type="dxa" w:w="1037"/>
            <w:tcMar>
              <w:top w:w="60" w:type="dxa"/>
              <w:start w:w="110" w:type="dxa"/>
              <w:bottom w:w="60" w:type="dxa"/>
              <w:end w:w="110" w:type="dxa"/>
            </w:tcMar>
          </w:tcPr>
          <w:p>
            <w:pPr>
              <w:spacing w:after="0"/>
            </w:pPr>
            <w:r/>
            <w:r>
              <w:rPr>
                <w:rFonts w:ascii="Calibri" w:hAnsi="Calibri"/>
                <w:b/>
                <w:color w:val="101828"/>
                <w:sz w:val="14"/>
              </w:rPr>
              <w:t>Primary</w:t>
            </w:r>
          </w:p>
        </w:tc>
        <w:tc>
          <w:tcPr>
            <w:tcW w:type="dxa" w:w="2160"/>
            <w:tcMar>
              <w:top w:w="60" w:type="dxa"/>
              <w:start w:w="110" w:type="dxa"/>
              <w:bottom w:w="60" w:type="dxa"/>
              <w:end w:w="110" w:type="dxa"/>
            </w:tcMar>
          </w:tcPr>
          <w:p>
            <w:pPr>
              <w:spacing w:after="0"/>
            </w:pPr>
            <w:r/>
            <w:r>
              <w:rPr>
                <w:rFonts w:ascii="Calibri" w:hAnsi="Calibri"/>
                <w:i/>
                <w:color w:val="101828"/>
                <w:sz w:val="14"/>
              </w:rPr>
              <w:t>Where am I in the product?</w:t>
            </w:r>
          </w:p>
        </w:tc>
        <w:tc>
          <w:tcPr>
            <w:tcW w:type="dxa" w:w="2160"/>
            <w:tcMar>
              <w:top w:w="60" w:type="dxa"/>
              <w:start w:w="110" w:type="dxa"/>
              <w:bottom w:w="60" w:type="dxa"/>
              <w:end w:w="110" w:type="dxa"/>
            </w:tcMar>
          </w:tcPr>
          <w:p>
            <w:pPr>
              <w:spacing w:after="0"/>
            </w:pPr>
            <w:r/>
            <w:r>
              <w:rPr>
                <w:rFonts w:ascii="Calibri" w:hAnsi="Calibri"/>
                <w:b w:val="0"/>
                <w:i w:val="0"/>
                <w:color w:val="101828"/>
                <w:sz w:val="14"/>
              </w:rPr>
              <w:t>Left rail (desktop), bottom bar (mobile)</w:t>
            </w:r>
          </w:p>
        </w:tc>
        <w:tc>
          <w:tcPr>
            <w:tcW w:type="dxa" w:w="4003"/>
            <w:tcMar>
              <w:top w:w="60" w:type="dxa"/>
              <w:start w:w="110" w:type="dxa"/>
              <w:bottom w:w="60" w:type="dxa"/>
              <w:end w:w="110" w:type="dxa"/>
            </w:tcMar>
          </w:tcPr>
          <w:p>
            <w:pPr>
              <w:spacing w:after="0"/>
            </w:pPr>
            <w:r/>
            <w:r>
              <w:rPr>
                <w:rFonts w:ascii="Calibri" w:hAnsi="Calibri"/>
                <w:b w:val="0"/>
                <w:i w:val="0"/>
                <w:color w:val="101828"/>
                <w:sz w:val="14"/>
              </w:rPr>
              <w:t>Persistent, reflects the current top-level section, never more than 9 rail items or 5 tabs. Carries an unread count on Notifications and an action count on the Dashboard badge.</w:t>
            </w:r>
          </w:p>
        </w:tc>
      </w:tr>
      <w:tr>
        <w:trPr>
          <w:cantSplit/>
        </w:trPr>
        <w:tc>
          <w:tcPr>
            <w:tcW w:type="dxa" w:w="1037"/>
            <w:tcMar>
              <w:top w:w="60" w:type="dxa"/>
              <w:start w:w="110" w:type="dxa"/>
              <w:bottom w:w="60" w:type="dxa"/>
              <w:end w:w="110" w:type="dxa"/>
            </w:tcMar>
            <w:shd w:val="clear" w:color="auto" w:fill="F4F7FB"/>
          </w:tcPr>
          <w:p>
            <w:pPr>
              <w:spacing w:after="0"/>
            </w:pPr>
            <w:r/>
            <w:r>
              <w:rPr>
                <w:rFonts w:ascii="Calibri" w:hAnsi="Calibri"/>
                <w:b/>
                <w:color w:val="101828"/>
                <w:sz w:val="14"/>
              </w:rPr>
              <w:t>Secondary</w:t>
            </w:r>
          </w:p>
        </w:tc>
        <w:tc>
          <w:tcPr>
            <w:tcW w:type="dxa" w:w="2160"/>
            <w:tcMar>
              <w:top w:w="60" w:type="dxa"/>
              <w:start w:w="110" w:type="dxa"/>
              <w:bottom w:w="60" w:type="dxa"/>
              <w:end w:w="110" w:type="dxa"/>
            </w:tcMar>
            <w:shd w:val="clear" w:color="auto" w:fill="F4F7FB"/>
          </w:tcPr>
          <w:p>
            <w:pPr>
              <w:spacing w:after="0"/>
            </w:pPr>
            <w:r/>
            <w:r>
              <w:rPr>
                <w:rFonts w:ascii="Calibri" w:hAnsi="Calibri"/>
                <w:i/>
                <w:color w:val="101828"/>
                <w:sz w:val="14"/>
              </w:rPr>
              <w:t>Which part of this thing am I looking at?</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4"/>
              </w:rPr>
              <w:t>Segmented control or in-page tab strip</w:t>
            </w:r>
          </w:p>
        </w:tc>
        <w:tc>
          <w:tcPr>
            <w:tcW w:type="dxa" w:w="4003"/>
            <w:tcMar>
              <w:top w:w="60" w:type="dxa"/>
              <w:start w:w="110" w:type="dxa"/>
              <w:bottom w:w="60" w:type="dxa"/>
              <w:end w:w="110" w:type="dxa"/>
            </w:tcMar>
            <w:shd w:val="clear" w:color="auto" w:fill="F4F7FB"/>
          </w:tcPr>
          <w:p>
            <w:pPr>
              <w:spacing w:after="0"/>
            </w:pPr>
            <w:r/>
            <w:r>
              <w:rPr>
                <w:rFonts w:ascii="Calibri" w:hAnsi="Calibri"/>
                <w:b w:val="0"/>
                <w:i w:val="0"/>
                <w:color w:val="101828"/>
                <w:sz w:val="14"/>
              </w:rPr>
              <w:t>In-place, does not change the URL unless the tab is genuinely a separate resource. On Members/Schedule/Contributions inside an Ajo, the tab strip reflects and updates the URL so the tab is linkable.</w:t>
            </w:r>
          </w:p>
        </w:tc>
      </w:tr>
      <w:tr>
        <w:trPr>
          <w:cantSplit/>
        </w:trPr>
        <w:tc>
          <w:tcPr>
            <w:tcW w:type="dxa" w:w="1037"/>
            <w:tcMar>
              <w:top w:w="60" w:type="dxa"/>
              <w:start w:w="110" w:type="dxa"/>
              <w:bottom w:w="60" w:type="dxa"/>
              <w:end w:w="110" w:type="dxa"/>
            </w:tcMar>
          </w:tcPr>
          <w:p>
            <w:pPr>
              <w:spacing w:after="0"/>
            </w:pPr>
            <w:r/>
            <w:r>
              <w:rPr>
                <w:rFonts w:ascii="Calibri" w:hAnsi="Calibri"/>
                <w:b/>
                <w:color w:val="101828"/>
                <w:sz w:val="14"/>
              </w:rPr>
              <w:t>Contextual</w:t>
            </w:r>
          </w:p>
        </w:tc>
        <w:tc>
          <w:tcPr>
            <w:tcW w:type="dxa" w:w="2160"/>
            <w:tcMar>
              <w:top w:w="60" w:type="dxa"/>
              <w:start w:w="110" w:type="dxa"/>
              <w:bottom w:w="60" w:type="dxa"/>
              <w:end w:w="110" w:type="dxa"/>
            </w:tcMar>
          </w:tcPr>
          <w:p>
            <w:pPr>
              <w:spacing w:after="0"/>
            </w:pPr>
            <w:r/>
            <w:r>
              <w:rPr>
                <w:rFonts w:ascii="Calibri" w:hAnsi="Calibri"/>
                <w:i/>
                <w:color w:val="101828"/>
                <w:sz w:val="14"/>
              </w:rPr>
              <w:t>What can I do about the thing in front of me?</w:t>
            </w:r>
          </w:p>
        </w:tc>
        <w:tc>
          <w:tcPr>
            <w:tcW w:type="dxa" w:w="2160"/>
            <w:tcMar>
              <w:top w:w="60" w:type="dxa"/>
              <w:start w:w="110" w:type="dxa"/>
              <w:bottom w:w="60" w:type="dxa"/>
              <w:end w:w="110" w:type="dxa"/>
            </w:tcMar>
          </w:tcPr>
          <w:p>
            <w:pPr>
              <w:spacing w:after="0"/>
            </w:pPr>
            <w:r/>
            <w:r>
              <w:rPr>
                <w:rFonts w:ascii="Calibri" w:hAnsi="Calibri"/>
                <w:b w:val="0"/>
                <w:i w:val="0"/>
                <w:color w:val="101828"/>
                <w:sz w:val="14"/>
              </w:rPr>
              <w:t>Card header actions and a row action</w:t>
            </w:r>
          </w:p>
        </w:tc>
        <w:tc>
          <w:tcPr>
            <w:tcW w:type="dxa" w:w="4003"/>
            <w:tcMar>
              <w:top w:w="60" w:type="dxa"/>
              <w:start w:w="110" w:type="dxa"/>
              <w:bottom w:w="60" w:type="dxa"/>
              <w:end w:w="110" w:type="dxa"/>
            </w:tcMar>
          </w:tcPr>
          <w:p>
            <w:pPr>
              <w:spacing w:after="0"/>
            </w:pPr>
            <w:r/>
            <w:r>
              <w:rPr>
                <w:rFonts w:ascii="Calibri" w:hAnsi="Calibri"/>
                <w:b w:val="0"/>
                <w:i w:val="0"/>
                <w:color w:val="101828"/>
                <w:sz w:val="14"/>
              </w:rPr>
              <w:t>Destructive actions are never icon-only. A row action opens a menu whose first item is always the safe, reversible one. The commit action for a payment is never in a dropdown.</w:t>
            </w:r>
          </w:p>
        </w:tc>
      </w:tr>
    </w:tbl>
    <w:p>
      <w:pPr>
        <w:spacing w:after="80"/>
      </w:pPr>
    </w:p>
    <w:p>
      <w:pPr>
        <w:pStyle w:val="Heading3"/>
      </w:pPr>
      <w:r>
        <w:rPr>
          <w:rFonts w:ascii="Calibri" w:hAnsi="Calibri"/>
          <w:b/>
          <w:i w:val="0"/>
          <w:color w:val="0B1F3A"/>
          <w:sz w:val="24"/>
        </w:rPr>
        <w:t>3.7.1 Desktop (1024 px and above)</w:t>
      </w:r>
    </w:p>
    <w:p>
      <w:r>
        <w:rPr>
          <w:rFonts w:ascii="Calibri" w:hAnsi="Calibri"/>
          <w:b w:val="0"/>
          <w:i w:val="0"/>
          <w:color w:val="101828"/>
          <w:sz w:val="21"/>
        </w:rPr>
        <w:t>A fixed 240 px left rail carries the eight tier-2 destinations. A 64 px top bar carries the Ajo context switcher, the global search, the notification bell and the account menu. Content sits in a 1200 px maximum column, centre-aligned, with a 24 px gutter. On Ajo-scoped screens the Ajo name and lifecycle badge are pinned to the top bar so that a member scrolling a long member list never loses track of which Ajo they are in.</w:t>
      </w:r>
    </w:p>
    <w:p>
      <w:pPr>
        <w:pStyle w:val="Heading3"/>
      </w:pPr>
      <w:r>
        <w:rPr>
          <w:rFonts w:ascii="Calibri" w:hAnsi="Calibri"/>
          <w:b/>
          <w:i w:val="0"/>
          <w:color w:val="0B1F3A"/>
          <w:sz w:val="24"/>
        </w:rPr>
        <w:t>3.7.2 Tablet (768–1023 px)</w:t>
      </w:r>
    </w:p>
    <w:p>
      <w:r>
        <w:rPr>
          <w:rFonts w:ascii="Calibri" w:hAnsi="Calibri"/>
          <w:b w:val="0"/>
          <w:i w:val="0"/>
          <w:color w:val="101828"/>
          <w:sz w:val="21"/>
        </w:rPr>
        <w:t>The rail collapses to a 72 px icon rail with hover labels. The top bar becomes 56 px. Two-column card grids become one column. Tables keep all columns down to 768 px by reducing cell padding and truncating the longest free-text column; below 768 px a table becomes a card list (7.12).</w:t>
      </w:r>
    </w:p>
    <w:p>
      <w:pPr>
        <w:pStyle w:val="Heading3"/>
      </w:pPr>
      <w:r>
        <w:rPr>
          <w:rFonts w:ascii="Calibri" w:hAnsi="Calibri"/>
          <w:b/>
          <w:i w:val="0"/>
          <w:color w:val="0B1F3A"/>
          <w:sz w:val="24"/>
        </w:rPr>
        <w:t>3.7.3 Mobile (below 768 px)</w:t>
      </w:r>
    </w:p>
    <w:p>
      <w:r>
        <w:rPr>
          <w:rFonts w:ascii="Calibri" w:hAnsi="Calibri"/>
          <w:b w:val="0"/>
          <w:i w:val="0"/>
          <w:color w:val="101828"/>
          <w:sz w:val="21"/>
        </w:rPr>
        <w:t>The rail is removed and replaced entirely by the bottom bar. The top bar becomes a 56 px contextual header showing the screen title and, on Ajo-scoped screens, the Ajo name. There is no hamburger in tier 2. The account menu, the notification list and the search all have their own reachable affordances, and the full destination list is reachable by scrolling the bottom bar's overflow into the More tab (3.8).</w:t>
      </w:r>
    </w:p>
    <w:p>
      <w:pPr>
        <w:spacing w:before="140" w:after="180"/>
        <w:ind w:left="144"/>
        <w:shd w:val="clear" w:color="auto" w:fill="E0F2FE"/>
        <w:pBdr>
          <w:left w:val="single" w:sz="18" w:space="6" w:color="22C7D6"/>
        </w:pBdr>
      </w:pPr>
      <w:r>
        <w:rPr>
          <w:rFonts w:ascii="Calibri" w:hAnsi="Calibri"/>
          <w:b/>
          <w:color w:val="22C7D6"/>
          <w:sz w:val="19"/>
        </w:rPr>
        <w:t xml:space="preserve">Hamburger in tier 2 — rejected, with the trade-off stated  </w:t>
      </w:r>
      <w:r>
        <w:rPr>
          <w:rFonts w:ascii="Calibri" w:hAnsi="Calibri"/>
          <w:b w:val="0"/>
          <w:i w:val="0"/>
          <w:color w:val="0B1F3A"/>
          <w:sz w:val="19"/>
        </w:rPr>
        <w:t xml:space="preserve">A hamburger would give tier 2 a single component covering both primary and secondary navigation, which is simpler to build. It was rejected because in a product that handles someone's savings, hiding navigation raises the cost of the one behaviour that matters: checking what is owed. The cost of the decision is a second navigation component to design, test and localise, and a bottom bar that must be defended against feature creep (3.8). </w:t>
      </w:r>
      <w:r>
        <w:rPr>
          <w:rFonts w:ascii="Calibri" w:hAnsi="Calibri"/>
          <w:b/>
          <w:color w:val="0B1F3A"/>
          <w:sz w:val="19"/>
        </w:rPr>
        <w:t>Owner: Founders. Revisit only if user testing on a 360 px device shows the five tabs are not discoverable.</w:t>
      </w:r>
    </w:p>
    <w:p>
      <w:pPr>
        <w:pStyle w:val="Heading2"/>
      </w:pPr>
      <w:r>
        <w:rPr>
          <w:rFonts w:ascii="Calibri" w:hAnsi="Calibri"/>
          <w:b/>
          <w:i w:val="0"/>
          <w:color w:val="146EF5"/>
          <w:sz w:val="29"/>
        </w:rPr>
        <w:t>3.8 Mobile bottom navigation model</w:t>
      </w:r>
    </w:p>
    <w:p>
      <w:r>
        <w:rPr>
          <w:rFonts w:ascii="Calibri" w:hAnsi="Calibri"/>
          <w:b w:val="0"/>
          <w:i w:val="0"/>
          <w:color w:val="101828"/>
          <w:sz w:val="21"/>
        </w:rPr>
        <w:t>Five tabs, fixed, in this order, with no reordering and no seventh tab:</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346"/>
            <w:shd w:val="clear" w:color="auto" w:fill="0B1F3A"/>
            <w:tcMar>
              <w:top w:w="60" w:type="dxa"/>
              <w:start w:w="110" w:type="dxa"/>
              <w:bottom w:w="60" w:type="dxa"/>
              <w:end w:w="110" w:type="dxa"/>
            </w:tcMar>
          </w:tcPr>
          <w:p>
            <w:pPr>
              <w:spacing w:after="0"/>
            </w:pPr>
            <w:r/>
            <w:r>
              <w:rPr>
                <w:rFonts w:ascii="Calibri" w:hAnsi="Calibri"/>
                <w:b/>
                <w:i w:val="0"/>
                <w:color w:val="FFFFFF"/>
                <w:sz w:val="14"/>
              </w:rPr>
              <w:t>#</w:t>
            </w:r>
          </w:p>
        </w:tc>
        <w:tc>
          <w:tcPr>
            <w:tcW w:type="dxa" w:w="893"/>
            <w:shd w:val="clear" w:color="auto" w:fill="0B1F3A"/>
            <w:tcMar>
              <w:top w:w="60" w:type="dxa"/>
              <w:start w:w="110" w:type="dxa"/>
              <w:bottom w:w="60" w:type="dxa"/>
              <w:end w:w="110" w:type="dxa"/>
            </w:tcMar>
          </w:tcPr>
          <w:p>
            <w:pPr>
              <w:spacing w:after="0"/>
            </w:pPr>
            <w:r/>
            <w:r>
              <w:rPr>
                <w:rFonts w:ascii="Calibri" w:hAnsi="Calibri"/>
                <w:b/>
                <w:i w:val="0"/>
                <w:color w:val="FFFFFF"/>
                <w:sz w:val="14"/>
              </w:rPr>
              <w:t>Tab</w:t>
            </w:r>
          </w:p>
        </w:tc>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4"/>
              </w:rPr>
              <w:t>Destination</w:t>
            </w:r>
          </w:p>
        </w:tc>
        <w:tc>
          <w:tcPr>
            <w:tcW w:type="dxa" w:w="3917"/>
            <w:shd w:val="clear" w:color="auto" w:fill="0B1F3A"/>
            <w:tcMar>
              <w:top w:w="60" w:type="dxa"/>
              <w:start w:w="110" w:type="dxa"/>
              <w:bottom w:w="60" w:type="dxa"/>
              <w:end w:w="110" w:type="dxa"/>
            </w:tcMar>
          </w:tcPr>
          <w:p>
            <w:pPr>
              <w:spacing w:after="0"/>
            </w:pPr>
            <w:r/>
            <w:r>
              <w:rPr>
                <w:rFonts w:ascii="Calibri" w:hAnsi="Calibri"/>
                <w:b/>
                <w:i w:val="0"/>
                <w:color w:val="FFFFFF"/>
                <w:sz w:val="14"/>
              </w:rPr>
              <w:t>Why it earns its place</w:t>
            </w:r>
          </w:p>
        </w:tc>
        <w:tc>
          <w:tcPr>
            <w:tcW w:type="dxa" w:w="2333"/>
            <w:shd w:val="clear" w:color="auto" w:fill="0B1F3A"/>
            <w:tcMar>
              <w:top w:w="60" w:type="dxa"/>
              <w:start w:w="110" w:type="dxa"/>
              <w:bottom w:w="60" w:type="dxa"/>
              <w:end w:w="110" w:type="dxa"/>
            </w:tcMar>
          </w:tcPr>
          <w:p>
            <w:pPr>
              <w:spacing w:after="0"/>
            </w:pPr>
            <w:r/>
            <w:r>
              <w:rPr>
                <w:rFonts w:ascii="Calibri" w:hAnsi="Calibri"/>
                <w:b/>
                <w:i w:val="0"/>
                <w:color w:val="FFFFFF"/>
                <w:sz w:val="14"/>
              </w:rPr>
              <w:t>Badge</w:t>
            </w:r>
          </w:p>
        </w:tc>
      </w:tr>
      <w:tr>
        <w:trPr>
          <w:cantSplit/>
        </w:trPr>
        <w:tc>
          <w:tcPr>
            <w:tcW w:type="dxa" w:w="346"/>
            <w:tcMar>
              <w:top w:w="60" w:type="dxa"/>
              <w:start w:w="110" w:type="dxa"/>
              <w:bottom w:w="60" w:type="dxa"/>
              <w:end w:w="110" w:type="dxa"/>
            </w:tcMar>
          </w:tcPr>
          <w:p>
            <w:pPr>
              <w:spacing w:after="0"/>
            </w:pPr>
            <w:r/>
            <w:r>
              <w:rPr>
                <w:rFonts w:ascii="Calibri" w:hAnsi="Calibri"/>
                <w:b w:val="0"/>
                <w:i w:val="0"/>
                <w:color w:val="101828"/>
                <w:sz w:val="14"/>
              </w:rPr>
              <w:t>1</w:t>
            </w:r>
          </w:p>
        </w:tc>
        <w:tc>
          <w:tcPr>
            <w:tcW w:type="dxa" w:w="893"/>
            <w:tcMar>
              <w:top w:w="60" w:type="dxa"/>
              <w:start w:w="110" w:type="dxa"/>
              <w:bottom w:w="60" w:type="dxa"/>
              <w:end w:w="110" w:type="dxa"/>
            </w:tcMar>
          </w:tcPr>
          <w:p>
            <w:pPr>
              <w:spacing w:after="0"/>
            </w:pPr>
            <w:r/>
            <w:r>
              <w:rPr>
                <w:rFonts w:ascii="Calibri" w:hAnsi="Calibri"/>
                <w:b/>
                <w:color w:val="101828"/>
                <w:sz w:val="14"/>
              </w:rPr>
              <w:t>Home</w:t>
            </w:r>
          </w:p>
        </w:tc>
        <w:tc>
          <w:tcPr>
            <w:tcW w:type="dxa" w:w="1872"/>
            <w:tcMar>
              <w:top w:w="60" w:type="dxa"/>
              <w:start w:w="110" w:type="dxa"/>
              <w:bottom w:w="60" w:type="dxa"/>
              <w:end w:w="110" w:type="dxa"/>
            </w:tcMar>
          </w:tcPr>
          <w:p>
            <w:pPr>
              <w:spacing w:after="0"/>
            </w:pPr>
            <w:r/>
            <w:r>
              <w:rPr>
                <w:rFonts w:ascii="Consolas" w:hAnsi="Consolas"/>
                <w:color w:val="146EF5"/>
                <w:sz w:val="14"/>
              </w:rPr>
              <w:t>/app</w:t>
            </w:r>
            <w:r>
              <w:rPr>
                <w:rFonts w:ascii="Calibri" w:hAnsi="Calibri"/>
                <w:b w:val="0"/>
                <w:i w:val="0"/>
                <w:color w:val="101828"/>
                <w:sz w:val="14"/>
              </w:rPr>
              <w:t xml:space="preserve"> — SCR-MOB-01</w:t>
            </w:r>
          </w:p>
        </w:tc>
        <w:tc>
          <w:tcPr>
            <w:tcW w:type="dxa" w:w="3917"/>
            <w:tcMar>
              <w:top w:w="60" w:type="dxa"/>
              <w:start w:w="110" w:type="dxa"/>
              <w:bottom w:w="60" w:type="dxa"/>
              <w:end w:w="110" w:type="dxa"/>
            </w:tcMar>
          </w:tcPr>
          <w:p>
            <w:pPr>
              <w:spacing w:after="0"/>
            </w:pPr>
            <w:r/>
            <w:r>
              <w:rPr>
                <w:rFonts w:ascii="Calibri" w:hAnsi="Calibri"/>
                <w:b w:val="0"/>
                <w:i w:val="0"/>
                <w:color w:val="101828"/>
                <w:sz w:val="14"/>
              </w:rPr>
              <w:t xml:space="preserve">The </w:t>
            </w:r>
            <w:r>
              <w:rPr>
                <w:rFonts w:ascii="Calibri" w:hAnsi="Calibri"/>
                <w:i/>
                <w:color w:val="101828"/>
                <w:sz w:val="14"/>
              </w:rPr>
              <w:t>needs your action</w:t>
            </w:r>
            <w:r>
              <w:rPr>
                <w:rFonts w:ascii="Calibri" w:hAnsi="Calibri"/>
                <w:b w:val="0"/>
                <w:i w:val="0"/>
                <w:color w:val="101828"/>
                <w:sz w:val="14"/>
              </w:rPr>
              <w:t xml:space="preserve"> block lives here and nowhere else. It is the answer to the question a saver opens the app to ask.</w:t>
            </w:r>
          </w:p>
        </w:tc>
        <w:tc>
          <w:tcPr>
            <w:tcW w:type="dxa" w:w="2333"/>
            <w:tcMar>
              <w:top w:w="60" w:type="dxa"/>
              <w:start w:w="110" w:type="dxa"/>
              <w:bottom w:w="60" w:type="dxa"/>
              <w:end w:w="110" w:type="dxa"/>
            </w:tcMar>
          </w:tcPr>
          <w:p>
            <w:pPr>
              <w:spacing w:after="0"/>
            </w:pPr>
            <w:r/>
            <w:r>
              <w:rPr>
                <w:rFonts w:ascii="Calibri" w:hAnsi="Calibri"/>
                <w:b w:val="0"/>
                <w:i w:val="0"/>
                <w:color w:val="101828"/>
                <w:sz w:val="14"/>
              </w:rPr>
              <w:t xml:space="preserve">Count of actions due, Gold, capped at </w:t>
            </w:r>
            <w:r>
              <w:rPr>
                <w:rFonts w:ascii="Consolas" w:hAnsi="Consolas"/>
                <w:color w:val="146EF5"/>
                <w:sz w:val="14"/>
              </w:rPr>
              <w:t>9+</w:t>
            </w:r>
          </w:p>
        </w:tc>
      </w:tr>
      <w:tr>
        <w:trPr>
          <w:cantSplit/>
        </w:trPr>
        <w:tc>
          <w:tcPr>
            <w:tcW w:type="dxa" w:w="346"/>
            <w:tcMar>
              <w:top w:w="60" w:type="dxa"/>
              <w:start w:w="110" w:type="dxa"/>
              <w:bottom w:w="60" w:type="dxa"/>
              <w:end w:w="110" w:type="dxa"/>
            </w:tcMar>
            <w:shd w:val="clear" w:color="auto" w:fill="F4F7FB"/>
          </w:tcPr>
          <w:p>
            <w:pPr>
              <w:spacing w:after="0"/>
            </w:pPr>
            <w:r/>
            <w:r>
              <w:rPr>
                <w:rFonts w:ascii="Calibri" w:hAnsi="Calibri"/>
                <w:b w:val="0"/>
                <w:i w:val="0"/>
                <w:color w:val="101828"/>
                <w:sz w:val="14"/>
              </w:rPr>
              <w:t>2</w:t>
            </w:r>
          </w:p>
        </w:tc>
        <w:tc>
          <w:tcPr>
            <w:tcW w:type="dxa" w:w="893"/>
            <w:tcMar>
              <w:top w:w="60" w:type="dxa"/>
              <w:start w:w="110" w:type="dxa"/>
              <w:bottom w:w="60" w:type="dxa"/>
              <w:end w:w="110" w:type="dxa"/>
            </w:tcMar>
            <w:shd w:val="clear" w:color="auto" w:fill="F4F7FB"/>
          </w:tcPr>
          <w:p>
            <w:pPr>
              <w:spacing w:after="0"/>
            </w:pPr>
            <w:r/>
            <w:r>
              <w:rPr>
                <w:rFonts w:ascii="Calibri" w:hAnsi="Calibri"/>
                <w:b/>
                <w:color w:val="101828"/>
                <w:sz w:val="14"/>
              </w:rPr>
              <w:t>Ajos</w:t>
            </w:r>
          </w:p>
        </w:tc>
        <w:tc>
          <w:tcPr>
            <w:tcW w:type="dxa" w:w="1872"/>
            <w:tcMar>
              <w:top w:w="60" w:type="dxa"/>
              <w:start w:w="110" w:type="dxa"/>
              <w:bottom w:w="60" w:type="dxa"/>
              <w:end w:w="110" w:type="dxa"/>
            </w:tcMar>
            <w:shd w:val="clear" w:color="auto" w:fill="F4F7FB"/>
          </w:tcPr>
          <w:p>
            <w:pPr>
              <w:spacing w:after="0"/>
            </w:pPr>
            <w:r/>
            <w:r>
              <w:rPr>
                <w:rFonts w:ascii="Consolas" w:hAnsi="Consolas"/>
                <w:color w:val="146EF5"/>
                <w:sz w:val="14"/>
              </w:rPr>
              <w:t>/app/ajos</w:t>
            </w:r>
            <w:r>
              <w:rPr>
                <w:rFonts w:ascii="Calibri" w:hAnsi="Calibri"/>
                <w:b w:val="0"/>
                <w:i w:val="0"/>
                <w:color w:val="101828"/>
                <w:sz w:val="14"/>
              </w:rPr>
              <w:t xml:space="preserve"> — SCR-MOB-02</w:t>
            </w:r>
          </w:p>
        </w:tc>
        <w:tc>
          <w:tcPr>
            <w:tcW w:type="dxa" w:w="3917"/>
            <w:tcMar>
              <w:top w:w="60" w:type="dxa"/>
              <w:start w:w="110" w:type="dxa"/>
              <w:bottom w:w="60" w:type="dxa"/>
              <w:end w:w="110" w:type="dxa"/>
            </w:tcMar>
            <w:shd w:val="clear" w:color="auto" w:fill="F4F7FB"/>
          </w:tcPr>
          <w:p>
            <w:pPr>
              <w:spacing w:after="0"/>
            </w:pPr>
            <w:r/>
            <w:r>
              <w:rPr>
                <w:rFonts w:ascii="Calibri" w:hAnsi="Calibri"/>
                <w:b w:val="0"/>
                <w:i w:val="0"/>
                <w:color w:val="101828"/>
                <w:sz w:val="14"/>
              </w:rPr>
              <w:t>The organising object. A member in four Ajos needs to switch between them faster than anything else in the product.</w:t>
            </w:r>
          </w:p>
        </w:tc>
        <w:tc>
          <w:tcPr>
            <w:tcW w:type="dxa" w:w="2333"/>
            <w:tcMar>
              <w:top w:w="60" w:type="dxa"/>
              <w:start w:w="110" w:type="dxa"/>
              <w:bottom w:w="60" w:type="dxa"/>
              <w:end w:w="110" w:type="dxa"/>
            </w:tcMar>
            <w:shd w:val="clear" w:color="auto" w:fill="F4F7FB"/>
          </w:tcPr>
          <w:p>
            <w:pPr>
              <w:spacing w:after="0"/>
            </w:pPr>
            <w:r/>
            <w:r>
              <w:rPr>
                <w:rFonts w:ascii="Calibri" w:hAnsi="Calibri"/>
                <w:b w:val="0"/>
                <w:i w:val="0"/>
                <w:color w:val="101828"/>
                <w:sz w:val="14"/>
              </w:rPr>
              <w:t>Count of Ajos with an action due</w:t>
            </w:r>
          </w:p>
        </w:tc>
      </w:tr>
      <w:tr>
        <w:trPr>
          <w:cantSplit/>
        </w:trPr>
        <w:tc>
          <w:tcPr>
            <w:tcW w:type="dxa" w:w="346"/>
            <w:tcMar>
              <w:top w:w="60" w:type="dxa"/>
              <w:start w:w="110" w:type="dxa"/>
              <w:bottom w:w="60" w:type="dxa"/>
              <w:end w:w="110" w:type="dxa"/>
            </w:tcMar>
          </w:tcPr>
          <w:p>
            <w:pPr>
              <w:spacing w:after="0"/>
            </w:pPr>
            <w:r/>
            <w:r>
              <w:rPr>
                <w:rFonts w:ascii="Calibri" w:hAnsi="Calibri"/>
                <w:b w:val="0"/>
                <w:i w:val="0"/>
                <w:color w:val="101828"/>
                <w:sz w:val="14"/>
              </w:rPr>
              <w:t>3</w:t>
            </w:r>
          </w:p>
        </w:tc>
        <w:tc>
          <w:tcPr>
            <w:tcW w:type="dxa" w:w="893"/>
            <w:tcMar>
              <w:top w:w="60" w:type="dxa"/>
              <w:start w:w="110" w:type="dxa"/>
              <w:bottom w:w="60" w:type="dxa"/>
              <w:end w:w="110" w:type="dxa"/>
            </w:tcMar>
          </w:tcPr>
          <w:p>
            <w:pPr>
              <w:spacing w:after="0"/>
            </w:pPr>
            <w:r/>
            <w:r>
              <w:rPr>
                <w:rFonts w:ascii="Calibri" w:hAnsi="Calibri"/>
                <w:b/>
                <w:color w:val="101828"/>
                <w:sz w:val="14"/>
              </w:rPr>
              <w:t>Pay</w:t>
            </w:r>
          </w:p>
        </w:tc>
        <w:tc>
          <w:tcPr>
            <w:tcW w:type="dxa" w:w="1872"/>
            <w:tcMar>
              <w:top w:w="60" w:type="dxa"/>
              <w:start w:w="110" w:type="dxa"/>
              <w:bottom w:w="60" w:type="dxa"/>
              <w:end w:w="110" w:type="dxa"/>
            </w:tcMar>
          </w:tcPr>
          <w:p>
            <w:pPr>
              <w:spacing w:after="0"/>
            </w:pPr>
            <w:r/>
            <w:r>
              <w:rPr>
                <w:rFonts w:ascii="Consolas" w:hAnsi="Consolas"/>
                <w:color w:val="146EF5"/>
                <w:sz w:val="14"/>
              </w:rPr>
              <w:t>/app/contributions?filter=due</w:t>
            </w:r>
            <w:r>
              <w:rPr>
                <w:rFonts w:ascii="Calibri" w:hAnsi="Calibri"/>
                <w:b w:val="0"/>
                <w:i w:val="0"/>
                <w:color w:val="101828"/>
                <w:sz w:val="14"/>
              </w:rPr>
              <w:t xml:space="preserve"> — SCR-MOB-08</w:t>
            </w:r>
          </w:p>
        </w:tc>
        <w:tc>
          <w:tcPr>
            <w:tcW w:type="dxa" w:w="3917"/>
            <w:tcMar>
              <w:top w:w="60" w:type="dxa"/>
              <w:start w:w="110" w:type="dxa"/>
              <w:bottom w:w="60" w:type="dxa"/>
              <w:end w:w="110" w:type="dxa"/>
            </w:tcMar>
          </w:tcPr>
          <w:p>
            <w:pPr>
              <w:spacing w:after="0"/>
            </w:pPr>
            <w:r/>
            <w:r>
              <w:rPr>
                <w:rFonts w:ascii="Calibri" w:hAnsi="Calibri"/>
                <w:b w:val="0"/>
                <w:i w:val="0"/>
                <w:color w:val="101828"/>
                <w:sz w:val="14"/>
              </w:rPr>
              <w:t xml:space="preserve">A direct route to the next thing payable. It is a </w:t>
            </w:r>
            <w:r>
              <w:rPr>
                <w:rFonts w:ascii="Calibri" w:hAnsi="Calibri"/>
                <w:i/>
                <w:color w:val="101828"/>
                <w:sz w:val="14"/>
              </w:rPr>
              <w:t>destination</w:t>
            </w:r>
            <w:r>
              <w:rPr>
                <w:rFonts w:ascii="Calibri" w:hAnsi="Calibri"/>
                <w:b w:val="0"/>
                <w:i w:val="0"/>
                <w:color w:val="101828"/>
                <w:sz w:val="14"/>
              </w:rPr>
              <w:t>, not a sheet: it lands on a real, linkable list of due contributions with their amounts, so a member can decide before committing.</w:t>
            </w:r>
          </w:p>
        </w:tc>
        <w:tc>
          <w:tcPr>
            <w:tcW w:type="dxa" w:w="2333"/>
            <w:tcMar>
              <w:top w:w="60" w:type="dxa"/>
              <w:start w:w="110" w:type="dxa"/>
              <w:bottom w:w="60" w:type="dxa"/>
              <w:end w:w="110" w:type="dxa"/>
            </w:tcMar>
          </w:tcPr>
          <w:p>
            <w:pPr>
              <w:spacing w:after="0"/>
            </w:pPr>
            <w:r/>
            <w:r>
              <w:rPr>
                <w:rFonts w:ascii="Calibri" w:hAnsi="Calibri"/>
                <w:b w:val="0"/>
                <w:i w:val="0"/>
                <w:color w:val="101828"/>
                <w:sz w:val="14"/>
              </w:rPr>
              <w:t>Count of due contributions</w:t>
            </w:r>
          </w:p>
        </w:tc>
      </w:tr>
      <w:tr>
        <w:trPr>
          <w:cantSplit/>
        </w:trPr>
        <w:tc>
          <w:tcPr>
            <w:tcW w:type="dxa" w:w="346"/>
            <w:tcMar>
              <w:top w:w="60" w:type="dxa"/>
              <w:start w:w="110" w:type="dxa"/>
              <w:bottom w:w="60" w:type="dxa"/>
              <w:end w:w="110" w:type="dxa"/>
            </w:tcMar>
            <w:shd w:val="clear" w:color="auto" w:fill="F4F7FB"/>
          </w:tcPr>
          <w:p>
            <w:pPr>
              <w:spacing w:after="0"/>
            </w:pPr>
            <w:r/>
            <w:r>
              <w:rPr>
                <w:rFonts w:ascii="Calibri" w:hAnsi="Calibri"/>
                <w:b w:val="0"/>
                <w:i w:val="0"/>
                <w:color w:val="101828"/>
                <w:sz w:val="14"/>
              </w:rPr>
              <w:t>4</w:t>
            </w:r>
          </w:p>
        </w:tc>
        <w:tc>
          <w:tcPr>
            <w:tcW w:type="dxa" w:w="893"/>
            <w:tcMar>
              <w:top w:w="60" w:type="dxa"/>
              <w:start w:w="110" w:type="dxa"/>
              <w:bottom w:w="60" w:type="dxa"/>
              <w:end w:w="110" w:type="dxa"/>
            </w:tcMar>
            <w:shd w:val="clear" w:color="auto" w:fill="F4F7FB"/>
          </w:tcPr>
          <w:p>
            <w:pPr>
              <w:spacing w:after="0"/>
            </w:pPr>
            <w:r/>
            <w:r>
              <w:rPr>
                <w:rFonts w:ascii="Calibri" w:hAnsi="Calibri"/>
                <w:b/>
                <w:color w:val="101828"/>
                <w:sz w:val="14"/>
              </w:rPr>
              <w:t>Alerts</w:t>
            </w:r>
          </w:p>
        </w:tc>
        <w:tc>
          <w:tcPr>
            <w:tcW w:type="dxa" w:w="1872"/>
            <w:tcMar>
              <w:top w:w="60" w:type="dxa"/>
              <w:start w:w="110" w:type="dxa"/>
              <w:bottom w:w="60" w:type="dxa"/>
              <w:end w:w="110" w:type="dxa"/>
            </w:tcMar>
            <w:shd w:val="clear" w:color="auto" w:fill="F4F7FB"/>
          </w:tcPr>
          <w:p>
            <w:pPr>
              <w:spacing w:after="0"/>
            </w:pPr>
            <w:r/>
            <w:r>
              <w:rPr>
                <w:rFonts w:ascii="Consolas" w:hAnsi="Consolas"/>
                <w:color w:val="146EF5"/>
                <w:sz w:val="14"/>
              </w:rPr>
              <w:t>/app/notifications</w:t>
            </w:r>
            <w:r>
              <w:rPr>
                <w:rFonts w:ascii="Calibri" w:hAnsi="Calibri"/>
                <w:b w:val="0"/>
                <w:i w:val="0"/>
                <w:color w:val="101828"/>
                <w:sz w:val="14"/>
              </w:rPr>
              <w:t xml:space="preserve"> — SCR-MOB-15</w:t>
            </w:r>
          </w:p>
        </w:tc>
        <w:tc>
          <w:tcPr>
            <w:tcW w:type="dxa" w:w="3917"/>
            <w:tcMar>
              <w:top w:w="60" w:type="dxa"/>
              <w:start w:w="110" w:type="dxa"/>
              <w:bottom w:w="60" w:type="dxa"/>
              <w:end w:w="110" w:type="dxa"/>
            </w:tcMar>
            <w:shd w:val="clear" w:color="auto" w:fill="F4F7FB"/>
          </w:tcPr>
          <w:p>
            <w:pPr>
              <w:spacing w:after="0"/>
            </w:pPr>
            <w:r/>
            <w:r>
              <w:rPr>
                <w:rFonts w:ascii="Calibri" w:hAnsi="Calibri"/>
                <w:b w:val="0"/>
                <w:i w:val="0"/>
                <w:color w:val="101828"/>
                <w:sz w:val="14"/>
              </w:rPr>
              <w:t>Payout imminent, contribution due, invitation, default — the money-critical half of the canonical catalogue (CAN §8).</w:t>
            </w:r>
          </w:p>
        </w:tc>
        <w:tc>
          <w:tcPr>
            <w:tcW w:type="dxa" w:w="2333"/>
            <w:tcMar>
              <w:top w:w="60" w:type="dxa"/>
              <w:start w:w="110" w:type="dxa"/>
              <w:bottom w:w="60" w:type="dxa"/>
              <w:end w:w="110" w:type="dxa"/>
            </w:tcMar>
            <w:shd w:val="clear" w:color="auto" w:fill="F4F7FB"/>
          </w:tcPr>
          <w:p>
            <w:pPr>
              <w:spacing w:after="0"/>
            </w:pPr>
            <w:r/>
            <w:r>
              <w:rPr>
                <w:rFonts w:ascii="Calibri" w:hAnsi="Calibri"/>
                <w:b w:val="0"/>
                <w:i w:val="0"/>
                <w:color w:val="101828"/>
                <w:sz w:val="14"/>
              </w:rPr>
              <w:t>Unread count</w:t>
            </w:r>
          </w:p>
        </w:tc>
      </w:tr>
      <w:tr>
        <w:trPr>
          <w:cantSplit/>
        </w:trPr>
        <w:tc>
          <w:tcPr>
            <w:tcW w:type="dxa" w:w="346"/>
            <w:tcMar>
              <w:top w:w="60" w:type="dxa"/>
              <w:start w:w="110" w:type="dxa"/>
              <w:bottom w:w="60" w:type="dxa"/>
              <w:end w:w="110" w:type="dxa"/>
            </w:tcMar>
          </w:tcPr>
          <w:p>
            <w:pPr>
              <w:spacing w:after="0"/>
            </w:pPr>
            <w:r/>
            <w:r>
              <w:rPr>
                <w:rFonts w:ascii="Calibri" w:hAnsi="Calibri"/>
                <w:b w:val="0"/>
                <w:i w:val="0"/>
                <w:color w:val="101828"/>
                <w:sz w:val="14"/>
              </w:rPr>
              <w:t>5</w:t>
            </w:r>
          </w:p>
        </w:tc>
        <w:tc>
          <w:tcPr>
            <w:tcW w:type="dxa" w:w="893"/>
            <w:tcMar>
              <w:top w:w="60" w:type="dxa"/>
              <w:start w:w="110" w:type="dxa"/>
              <w:bottom w:w="60" w:type="dxa"/>
              <w:end w:w="110" w:type="dxa"/>
            </w:tcMar>
          </w:tcPr>
          <w:p>
            <w:pPr>
              <w:spacing w:after="0"/>
            </w:pPr>
            <w:r/>
            <w:r>
              <w:rPr>
                <w:rFonts w:ascii="Calibri" w:hAnsi="Calibri"/>
                <w:b/>
                <w:color w:val="101828"/>
                <w:sz w:val="14"/>
              </w:rPr>
              <w:t>More</w:t>
            </w:r>
          </w:p>
        </w:tc>
        <w:tc>
          <w:tcPr>
            <w:tcW w:type="dxa" w:w="1872"/>
            <w:tcMar>
              <w:top w:w="60" w:type="dxa"/>
              <w:start w:w="110" w:type="dxa"/>
              <w:bottom w:w="60" w:type="dxa"/>
              <w:end w:w="110" w:type="dxa"/>
            </w:tcMar>
          </w:tcPr>
          <w:p>
            <w:pPr>
              <w:spacing w:after="0"/>
            </w:pPr>
            <w:r/>
            <w:r>
              <w:rPr>
                <w:rFonts w:ascii="Consolas" w:hAnsi="Consolas"/>
                <w:color w:val="146EF5"/>
                <w:sz w:val="14"/>
              </w:rPr>
              <w:t>/app/profile</w:t>
            </w:r>
            <w:r>
              <w:rPr>
                <w:rFonts w:ascii="Calibri" w:hAnsi="Calibri"/>
                <w:b w:val="0"/>
                <w:i w:val="0"/>
                <w:color w:val="101828"/>
                <w:sz w:val="14"/>
              </w:rPr>
              <w:t xml:space="preserve"> + sheet — SCR-MOB-19/20</w:t>
            </w:r>
          </w:p>
        </w:tc>
        <w:tc>
          <w:tcPr>
            <w:tcW w:type="dxa" w:w="3917"/>
            <w:tcMar>
              <w:top w:w="60" w:type="dxa"/>
              <w:start w:w="110" w:type="dxa"/>
              <w:bottom w:w="60" w:type="dxa"/>
              <w:end w:w="110" w:type="dxa"/>
            </w:tcMar>
          </w:tcPr>
          <w:p>
            <w:pPr>
              <w:spacing w:after="0"/>
            </w:pPr>
            <w:r/>
            <w:r>
              <w:rPr>
                <w:rFonts w:ascii="Calibri" w:hAnsi="Calibri"/>
                <w:b w:val="0"/>
                <w:i w:val="0"/>
                <w:color w:val="101828"/>
                <w:sz w:val="14"/>
              </w:rPr>
              <w:t xml:space="preserve">Everything that is used weekly by some members and daily by none: profile, settings, security, verification, transactions, disputes, exit request, support. A sheet, not a screen, so that </w:t>
            </w:r>
            <w:r>
              <w:rPr>
                <w:rFonts w:ascii="Calibri" w:hAnsi="Calibri"/>
                <w:i/>
                <w:color w:val="101828"/>
                <w:sz w:val="14"/>
              </w:rPr>
              <w:t>More</w:t>
            </w:r>
            <w:r>
              <w:rPr>
                <w:rFonts w:ascii="Calibri" w:hAnsi="Calibri"/>
                <w:b w:val="0"/>
                <w:i w:val="0"/>
                <w:color w:val="101828"/>
                <w:sz w:val="14"/>
              </w:rPr>
              <w:t xml:space="preserve"> always returns to where it was opened from.</w:t>
            </w:r>
          </w:p>
        </w:tc>
        <w:tc>
          <w:tcPr>
            <w:tcW w:type="dxa" w:w="2333"/>
            <w:tcMar>
              <w:top w:w="60" w:type="dxa"/>
              <w:start w:w="110" w:type="dxa"/>
              <w:bottom w:w="60" w:type="dxa"/>
              <w:end w:w="110" w:type="dxa"/>
            </w:tcMar>
          </w:tcPr>
          <w:p>
            <w:pPr>
              <w:spacing w:after="0"/>
            </w:pPr>
            <w:r/>
            <w:r>
              <w:rPr>
                <w:rFonts w:ascii="Calibri" w:hAnsi="Calibri"/>
                <w:b w:val="0"/>
                <w:i w:val="0"/>
                <w:color w:val="101828"/>
                <w:sz w:val="14"/>
              </w:rPr>
              <w:t>KYC incomplete or restricted state</w:t>
            </w:r>
          </w:p>
        </w:tc>
      </w:tr>
    </w:tbl>
    <w:p>
      <w:pPr>
        <w:spacing w:after="80"/>
      </w:pPr>
    </w:p>
    <w:p>
      <w:pPr>
        <w:pStyle w:val="Heading3"/>
      </w:pPr>
      <w:r>
        <w:rPr>
          <w:rFonts w:ascii="Calibri" w:hAnsi="Calibri"/>
          <w:b/>
          <w:i w:val="0"/>
          <w:color w:val="0B1F3A"/>
          <w:sz w:val="24"/>
        </w:rPr>
        <w:t>3.8.1 Why five and why these five</w:t>
      </w:r>
    </w:p>
    <w:p>
      <w:r>
        <w:rPr>
          <w:rFonts w:ascii="Calibri" w:hAnsi="Calibri"/>
          <w:b w:val="0"/>
          <w:i w:val="0"/>
          <w:color w:val="101828"/>
          <w:sz w:val="21"/>
        </w:rPr>
        <w:t xml:space="preserve">Five is the cap because the bottom bar sits in the natural reach zone of a one-handed grip. A sixth tab forces a target width of 62 px or less on a 375 px screen, which is below the 44 px minimum touch target once label padding is accounted for (7.14). Beyond five, the honest options are a </w:t>
      </w:r>
      <w:r>
        <w:rPr>
          <w:rFonts w:ascii="Calibri" w:hAnsi="Calibri"/>
          <w:i/>
          <w:color w:val="101828"/>
          <w:sz w:val="21"/>
        </w:rPr>
        <w:t>More</w:t>
      </w:r>
      <w:r>
        <w:rPr>
          <w:rFonts w:ascii="Calibri" w:hAnsi="Calibri"/>
          <w:b w:val="0"/>
          <w:i w:val="0"/>
          <w:color w:val="101828"/>
          <w:sz w:val="21"/>
        </w:rPr>
        <w:t xml:space="preserve"> sheet or a context-sensitive tab, and a context-sensitive bottom bar in a financial application is a dark pattern: the location of the pay action would move depending on state, and muscle memory would be trained on a layout that changes.</w:t>
      </w:r>
    </w:p>
    <w:p>
      <w:pPr>
        <w:spacing w:before="140" w:after="180"/>
        <w:ind w:left="144"/>
        <w:shd w:val="clear" w:color="auto" w:fill="EFF6FF"/>
        <w:pBdr>
          <w:left w:val="single" w:sz="18" w:space="6" w:color="146EF5"/>
        </w:pBdr>
      </w:pPr>
      <w:r>
        <w:rPr>
          <w:rFonts w:ascii="Calibri" w:hAnsi="Calibri"/>
          <w:b/>
          <w:color w:val="146EF5"/>
          <w:sz w:val="19"/>
        </w:rPr>
        <w:t xml:space="preserve">The Pay tab is a list, not a button  </w:t>
      </w:r>
      <w:r>
        <w:rPr>
          <w:rFonts w:ascii="Calibri" w:hAnsi="Calibri"/>
          <w:b w:val="0"/>
          <w:i w:val="0"/>
          <w:color w:val="0B1F3A"/>
          <w:sz w:val="19"/>
        </w:rPr>
        <w:t xml:space="preserve">Putting </w:t>
      </w:r>
      <w:r>
        <w:rPr>
          <w:rFonts w:ascii="Calibri" w:hAnsi="Calibri"/>
          <w:i/>
          <w:color w:val="0B1F3A"/>
          <w:sz w:val="19"/>
        </w:rPr>
        <w:t>Pay NGN 1,020.00</w:t>
      </w:r>
      <w:r>
        <w:rPr>
          <w:rFonts w:ascii="Calibri" w:hAnsi="Calibri"/>
          <w:b w:val="0"/>
          <w:i w:val="0"/>
          <w:color w:val="0B1F3A"/>
          <w:sz w:val="19"/>
        </w:rPr>
        <w:t xml:space="preserve"> on a tab would be the most tempting design in this document and it is wrong. It would put a money-movement action one mis-tap from a money-movement destination, it would make the amount the navigation label, and it would hide the choice between two contributions that are both due. The tab opens a list of due contributions, each with its own amount, its due date and its own </w:t>
      </w:r>
      <w:r>
        <w:rPr>
          <w:rFonts w:ascii="Calibri" w:hAnsi="Calibri"/>
          <w:i/>
          <w:color w:val="0B1F3A"/>
          <w:sz w:val="19"/>
        </w:rPr>
        <w:t>Pay</w:t>
      </w:r>
      <w:r>
        <w:rPr>
          <w:rFonts w:ascii="Calibri" w:hAnsi="Calibri"/>
          <w:b w:val="0"/>
          <w:i w:val="0"/>
          <w:color w:val="0B1F3A"/>
          <w:sz w:val="19"/>
        </w:rPr>
        <w:t xml:space="preserve"> action. The commitment screen is always a separate navigation step (SCR-MOB-09).</w:t>
      </w:r>
    </w:p>
    <w:p>
      <w:pPr>
        <w:pStyle w:val="Heading3"/>
      </w:pPr>
      <w:r>
        <w:rPr>
          <w:rFonts w:ascii="Calibri" w:hAnsi="Calibri"/>
          <w:b/>
          <w:i w:val="0"/>
          <w:color w:val="0B1F3A"/>
          <w:sz w:val="24"/>
        </w:rPr>
        <w:t>3.8.2 Bottom navigation behaviour</w:t>
      </w:r>
    </w:p>
    <w:p>
      <w:pPr>
        <w:pStyle w:val="ListBullet"/>
        <w:spacing w:after="60"/>
        <w:ind w:left="360"/>
      </w:pPr>
      <w:r>
        <w:rPr>
          <w:rFonts w:ascii="Calibri" w:hAnsi="Calibri"/>
          <w:b/>
          <w:color w:val="101828"/>
          <w:sz w:val="21"/>
        </w:rPr>
        <w:t>Height</w:t>
      </w:r>
      <w:r>
        <w:rPr>
          <w:rFonts w:ascii="Calibri" w:hAnsi="Calibri"/>
          <w:b w:val="0"/>
          <w:i w:val="0"/>
          <w:color w:val="101828"/>
          <w:sz w:val="21"/>
        </w:rPr>
        <w:t xml:space="preserve"> 64 px plus the device safe-area inset, so a notched device does not clip the active indicator.</w:t>
      </w:r>
    </w:p>
    <w:p>
      <w:pPr>
        <w:pStyle w:val="ListBullet"/>
        <w:spacing w:after="60"/>
        <w:ind w:left="360"/>
      </w:pPr>
      <w:r>
        <w:rPr>
          <w:rFonts w:ascii="Calibri" w:hAnsi="Calibri"/>
          <w:b/>
          <w:color w:val="101828"/>
          <w:sz w:val="21"/>
        </w:rPr>
        <w:t>Scroll behaviour</w:t>
      </w:r>
      <w:r>
        <w:rPr>
          <w:rFonts w:ascii="Calibri" w:hAnsi="Calibri"/>
          <w:b w:val="0"/>
          <w:i w:val="0"/>
          <w:color w:val="101828"/>
          <w:sz w:val="21"/>
        </w:rPr>
        <w:t xml:space="preserve"> the bar is fixed and always visible; the content column carries 64 px plus safe-area bottom padding so the last card is never hidden behind it.</w:t>
      </w:r>
    </w:p>
    <w:p>
      <w:pPr>
        <w:pStyle w:val="ListBullet"/>
        <w:spacing w:after="60"/>
        <w:ind w:left="360"/>
      </w:pPr>
      <w:r>
        <w:rPr>
          <w:rFonts w:ascii="Calibri" w:hAnsi="Calibri"/>
          <w:b/>
          <w:color w:val="101828"/>
          <w:sz w:val="21"/>
        </w:rPr>
        <w:t>Active state</w:t>
      </w:r>
      <w:r>
        <w:rPr>
          <w:rFonts w:ascii="Calibri" w:hAnsi="Calibri"/>
          <w:b w:val="0"/>
          <w:i w:val="0"/>
          <w:color w:val="101828"/>
          <w:sz w:val="21"/>
        </w:rPr>
        <w:t xml:space="preserve"> a 2 px top rule in Primary plus a label weight change from 400 to 600. Never colour alone (7.10, 7.14).</w:t>
      </w:r>
    </w:p>
    <w:p>
      <w:pPr>
        <w:pStyle w:val="ListBullet"/>
        <w:spacing w:after="60"/>
        <w:ind w:left="360"/>
      </w:pPr>
      <w:r>
        <w:rPr>
          <w:rFonts w:ascii="Calibri" w:hAnsi="Calibri"/>
          <w:b/>
          <w:color w:val="101828"/>
          <w:sz w:val="21"/>
        </w:rPr>
        <w:t>Badges</w:t>
      </w:r>
      <w:r>
        <w:rPr>
          <w:rFonts w:ascii="Calibri" w:hAnsi="Calibri"/>
          <w:b w:val="0"/>
          <w:i w:val="0"/>
          <w:color w:val="101828"/>
          <w:sz w:val="21"/>
        </w:rPr>
        <w:t xml:space="preserve"> are capped at </w:t>
      </w:r>
      <w:r>
        <w:rPr>
          <w:rFonts w:ascii="Consolas" w:hAnsi="Consolas"/>
          <w:color w:val="146EF5"/>
          <w:sz w:val="21"/>
        </w:rPr>
        <w:t>9+</w:t>
      </w:r>
      <w:r>
        <w:rPr>
          <w:rFonts w:ascii="Calibri" w:hAnsi="Calibri"/>
          <w:b w:val="0"/>
          <w:i w:val="0"/>
          <w:color w:val="101828"/>
          <w:sz w:val="21"/>
        </w:rPr>
        <w:t>, are announced to assistive technology with a count and a noun, and are never used for anything other than an action or an unread count. No red badge on the Home tab under any circumstance.</w:t>
      </w:r>
    </w:p>
    <w:p>
      <w:pPr>
        <w:pStyle w:val="ListBullet"/>
        <w:spacing w:after="60"/>
        <w:ind w:left="360"/>
      </w:pPr>
      <w:r>
        <w:rPr>
          <w:rFonts w:ascii="Calibri" w:hAnsi="Calibri"/>
          <w:b/>
          <w:color w:val="101828"/>
          <w:sz w:val="21"/>
        </w:rPr>
        <w:t>No destructive action is reachable from the bar or from the More sheet</w:t>
      </w:r>
      <w:r>
        <w:rPr>
          <w:rFonts w:ascii="Calibri" w:hAnsi="Calibri"/>
          <w:b w:val="0"/>
          <w:i w:val="0"/>
          <w:color w:val="101828"/>
          <w:sz w:val="21"/>
        </w:rPr>
        <w:t xml:space="preserve"> without a full navigation step. </w:t>
      </w:r>
      <w:r>
        <w:rPr>
          <w:rFonts w:ascii="Calibri" w:hAnsi="Calibri"/>
          <w:i/>
          <w:color w:val="101828"/>
          <w:sz w:val="21"/>
        </w:rPr>
        <w:t>Sign out</w:t>
      </w:r>
      <w:r>
        <w:rPr>
          <w:rFonts w:ascii="Calibri" w:hAnsi="Calibri"/>
          <w:b w:val="0"/>
          <w:i w:val="0"/>
          <w:color w:val="101828"/>
          <w:sz w:val="21"/>
        </w:rPr>
        <w:t xml:space="preserve"> lives in Security, behind a confirmation.</w:t>
      </w:r>
    </w:p>
    <w:p>
      <w:pPr>
        <w:pStyle w:val="ListBullet"/>
        <w:spacing w:after="60"/>
        <w:ind w:left="360"/>
      </w:pPr>
      <w:r>
        <w:rPr>
          <w:rFonts w:ascii="Calibri" w:hAnsi="Calibri"/>
          <w:b/>
          <w:color w:val="101828"/>
          <w:sz w:val="21"/>
        </w:rPr>
        <w:t>Landscape</w:t>
      </w:r>
      <w:r>
        <w:rPr>
          <w:rFonts w:ascii="Calibri" w:hAnsi="Calibri"/>
          <w:b w:val="0"/>
          <w:i w:val="0"/>
          <w:color w:val="101828"/>
          <w:sz w:val="21"/>
        </w:rPr>
        <w:t xml:space="preserve"> below 400 px of height the bar is replaced by a compact 48 px icon row with labels, because a 64 px bar plus a 44 px target is more than a third of a landscape phone's height.</w:t>
      </w:r>
    </w:p>
    <w:p>
      <w:pPr>
        <w:pStyle w:val="Heading2"/>
      </w:pPr>
      <w:r>
        <w:rPr>
          <w:rFonts w:ascii="Calibri" w:hAnsi="Calibri"/>
          <w:b/>
          <w:i w:val="0"/>
          <w:color w:val="146EF5"/>
          <w:sz w:val="29"/>
        </w:rPr>
        <w:t>3.9 Entry points and exit points</w:t>
      </w:r>
    </w:p>
    <w:p>
      <w:r>
        <w:rPr>
          <w:rFonts w:ascii="Calibri" w:hAnsi="Calibri"/>
          <w:b w:val="0"/>
          <w:i w:val="0"/>
          <w:color w:val="101828"/>
          <w:sz w:val="21"/>
        </w:rPr>
        <w:t>An entry point is a route a person can arrive at from outside the application. There are seven. Everything else is reached by navigating, and a route that is not an entry point must not be reachable by a shared link without a session.</w:t>
      </w:r>
    </w:p>
    <w:p>
      <w:pPr>
        <w:pStyle w:val="Heading3"/>
      </w:pPr>
      <w:r>
        <w:rPr>
          <w:rFonts w:ascii="Calibri" w:hAnsi="Calibri"/>
          <w:b/>
          <w:i w:val="0"/>
          <w:color w:val="0B1F3A"/>
          <w:sz w:val="24"/>
        </w:rPr>
        <w:t>3.9.1 Tier-1 entry points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958"/>
            <w:shd w:val="clear" w:color="auto" w:fill="0B1F3A"/>
            <w:tcMar>
              <w:top w:w="60" w:type="dxa"/>
              <w:start w:w="110" w:type="dxa"/>
              <w:bottom w:w="60" w:type="dxa"/>
              <w:end w:w="110" w:type="dxa"/>
            </w:tcMar>
          </w:tcPr>
          <w:p>
            <w:pPr>
              <w:spacing w:after="0"/>
            </w:pPr>
            <w:r/>
            <w:r>
              <w:rPr>
                <w:rFonts w:ascii="Calibri" w:hAnsi="Calibri"/>
                <w:b/>
                <w:i w:val="0"/>
                <w:color w:val="FFFFFF"/>
                <w:sz w:val="14"/>
              </w:rPr>
              <w:t>Source</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4"/>
              </w:rPr>
              <w:t>Landing route</w:t>
            </w:r>
          </w:p>
        </w:tc>
        <w:tc>
          <w:tcPr>
            <w:tcW w:type="dxa" w:w="5242"/>
            <w:shd w:val="clear" w:color="auto" w:fill="0B1F3A"/>
            <w:tcMar>
              <w:top w:w="60" w:type="dxa"/>
              <w:start w:w="110" w:type="dxa"/>
              <w:bottom w:w="60" w:type="dxa"/>
              <w:end w:w="110" w:type="dxa"/>
            </w:tcMar>
          </w:tcPr>
          <w:p>
            <w:pPr>
              <w:spacing w:after="0"/>
            </w:pPr>
            <w:r/>
            <w:r>
              <w:rPr>
                <w:rFonts w:ascii="Calibri" w:hAnsi="Calibri"/>
                <w:b/>
                <w:i w:val="0"/>
                <w:color w:val="FFFFFF"/>
                <w:sz w:val="14"/>
              </w:rPr>
              <w:t>Conditions</w:t>
            </w:r>
          </w:p>
        </w:tc>
      </w:tr>
      <w:tr>
        <w:trPr>
          <w:cantSplit/>
        </w:trPr>
        <w:tc>
          <w:tcPr>
            <w:tcW w:type="dxa" w:w="1958"/>
            <w:tcMar>
              <w:top w:w="60" w:type="dxa"/>
              <w:start w:w="110" w:type="dxa"/>
              <w:bottom w:w="60" w:type="dxa"/>
              <w:end w:w="110" w:type="dxa"/>
            </w:tcMar>
          </w:tcPr>
          <w:p>
            <w:pPr>
              <w:spacing w:after="0"/>
            </w:pPr>
            <w:r/>
            <w:r>
              <w:rPr>
                <w:rFonts w:ascii="Calibri" w:hAnsi="Calibri"/>
                <w:b w:val="0"/>
                <w:i w:val="0"/>
                <w:color w:val="101828"/>
                <w:sz w:val="14"/>
              </w:rPr>
              <w:t>Direct, search, social share</w:t>
            </w:r>
          </w:p>
        </w:tc>
        <w:tc>
          <w:tcPr>
            <w:tcW w:type="dxa" w:w="2160"/>
            <w:tcMar>
              <w:top w:w="60" w:type="dxa"/>
              <w:start w:w="110" w:type="dxa"/>
              <w:bottom w:w="60" w:type="dxa"/>
              <w:end w:w="110" w:type="dxa"/>
            </w:tcMar>
          </w:tcPr>
          <w:p>
            <w:pPr>
              <w:spacing w:after="0"/>
            </w:pPr>
            <w:r/>
            <w:r>
              <w:rPr>
                <w:rFonts w:ascii="Consolas" w:hAnsi="Consolas"/>
                <w:color w:val="146EF5"/>
                <w:sz w:val="14"/>
              </w:rPr>
              <w:t>/</w:t>
            </w:r>
            <w:r>
              <w:rPr>
                <w:rFonts w:ascii="Calibri" w:hAnsi="Calibri"/>
                <w:b w:val="0"/>
                <w:i w:val="0"/>
                <w:color w:val="101828"/>
                <w:sz w:val="14"/>
              </w:rPr>
              <w:t xml:space="preserve"> — SCR-WEB-01</w:t>
            </w:r>
          </w:p>
        </w:tc>
        <w:tc>
          <w:tcPr>
            <w:tcW w:type="dxa" w:w="5242"/>
            <w:tcMar>
              <w:top w:w="60" w:type="dxa"/>
              <w:start w:w="110" w:type="dxa"/>
              <w:bottom w:w="60" w:type="dxa"/>
              <w:end w:w="110" w:type="dxa"/>
            </w:tcMar>
          </w:tcPr>
          <w:p>
            <w:pPr>
              <w:spacing w:after="0"/>
            </w:pPr>
            <w:r/>
            <w:r>
              <w:rPr>
                <w:rFonts w:ascii="Calibri" w:hAnsi="Calibri"/>
                <w:b w:val="0"/>
                <w:i w:val="0"/>
                <w:color w:val="101828"/>
                <w:sz w:val="14"/>
              </w:rPr>
              <w:t xml:space="preserve">None. This is the only tier-1 route with no </w:t>
            </w:r>
            <w:r>
              <w:rPr>
                <w:rFonts w:ascii="Consolas" w:hAnsi="Consolas"/>
                <w:color w:val="146EF5"/>
                <w:sz w:val="14"/>
              </w:rPr>
              <w:t>returnTo</w:t>
            </w:r>
            <w:r>
              <w:rPr>
                <w:rFonts w:ascii="Calibri" w:hAnsi="Calibri"/>
                <w:b w:val="0"/>
                <w:i w:val="0"/>
                <w:color w:val="101828"/>
                <w:sz w:val="14"/>
              </w:rPr>
              <w:t>.</w:t>
            </w:r>
          </w:p>
        </w:tc>
      </w:tr>
      <w:tr>
        <w:trPr>
          <w:cantSplit/>
        </w:trPr>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4"/>
              </w:rPr>
              <w:t>Campaign, referral, printed material</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4"/>
              </w:rPr>
              <w:t>/</w:t>
            </w:r>
            <w:r>
              <w:rPr>
                <w:rFonts w:ascii="Calibri" w:hAnsi="Calibri"/>
                <w:b w:val="0"/>
                <w:i w:val="0"/>
                <w:color w:val="101828"/>
                <w:sz w:val="14"/>
              </w:rPr>
              <w:t xml:space="preserve"> or </w:t>
            </w:r>
            <w:r>
              <w:rPr>
                <w:rFonts w:ascii="Consolas" w:hAnsi="Consolas"/>
                <w:color w:val="146EF5"/>
                <w:sz w:val="14"/>
              </w:rPr>
              <w:t>/how-it-works</w:t>
            </w:r>
          </w:p>
        </w:tc>
        <w:tc>
          <w:tcPr>
            <w:tcW w:type="dxa" w:w="5242"/>
            <w:tcMar>
              <w:top w:w="60" w:type="dxa"/>
              <w:start w:w="110" w:type="dxa"/>
              <w:bottom w:w="60" w:type="dxa"/>
              <w:end w:w="110" w:type="dxa"/>
            </w:tcMar>
            <w:shd w:val="clear" w:color="auto" w:fill="F4F7FB"/>
          </w:tcPr>
          <w:p>
            <w:pPr>
              <w:spacing w:after="0"/>
            </w:pPr>
            <w:r/>
            <w:r>
              <w:rPr>
                <w:rFonts w:ascii="Calibri" w:hAnsi="Calibri"/>
                <w:b w:val="0"/>
                <w:i w:val="0"/>
                <w:color w:val="101828"/>
                <w:sz w:val="14"/>
              </w:rPr>
              <w:t>UTM parameters are read, stored once against the anonymous visitor, and stripped from every subsequent internal link. Never forwarded to tier 2 or into an invitation URL.</w:t>
            </w:r>
          </w:p>
        </w:tc>
      </w:tr>
      <w:tr>
        <w:trPr>
          <w:cantSplit/>
        </w:trPr>
        <w:tc>
          <w:tcPr>
            <w:tcW w:type="dxa" w:w="1958"/>
            <w:tcMar>
              <w:top w:w="60" w:type="dxa"/>
              <w:start w:w="110" w:type="dxa"/>
              <w:bottom w:w="60" w:type="dxa"/>
              <w:end w:w="110" w:type="dxa"/>
            </w:tcMar>
          </w:tcPr>
          <w:p>
            <w:pPr>
              <w:spacing w:after="0"/>
            </w:pPr>
            <w:r/>
            <w:r>
              <w:rPr>
                <w:rFonts w:ascii="Calibri" w:hAnsi="Calibri"/>
                <w:b w:val="0"/>
                <w:i w:val="0"/>
                <w:color w:val="101828"/>
                <w:sz w:val="14"/>
              </w:rPr>
              <w:t>Direct brand search for the login</w:t>
            </w:r>
          </w:p>
        </w:tc>
        <w:tc>
          <w:tcPr>
            <w:tcW w:type="dxa" w:w="2160"/>
            <w:tcMar>
              <w:top w:w="60" w:type="dxa"/>
              <w:start w:w="110" w:type="dxa"/>
              <w:bottom w:w="60" w:type="dxa"/>
              <w:end w:w="110" w:type="dxa"/>
            </w:tcMar>
          </w:tcPr>
          <w:p>
            <w:pPr>
              <w:spacing w:after="0"/>
            </w:pPr>
            <w:r/>
            <w:r>
              <w:rPr>
                <w:rFonts w:ascii="Consolas" w:hAnsi="Consolas"/>
                <w:color w:val="146EF5"/>
                <w:sz w:val="14"/>
              </w:rPr>
              <w:t>/login</w:t>
            </w:r>
            <w:r>
              <w:rPr>
                <w:rFonts w:ascii="Calibri" w:hAnsi="Calibri"/>
                <w:b w:val="0"/>
                <w:i w:val="0"/>
                <w:color w:val="101828"/>
                <w:sz w:val="14"/>
              </w:rPr>
              <w:t xml:space="preserve"> — SCR-WEB-09</w:t>
            </w:r>
          </w:p>
        </w:tc>
        <w:tc>
          <w:tcPr>
            <w:tcW w:type="dxa" w:w="5242"/>
            <w:tcMar>
              <w:top w:w="60" w:type="dxa"/>
              <w:start w:w="110" w:type="dxa"/>
              <w:bottom w:w="60" w:type="dxa"/>
              <w:end w:w="110" w:type="dxa"/>
            </w:tcMar>
          </w:tcPr>
          <w:p>
            <w:pPr>
              <w:spacing w:after="0"/>
            </w:pPr>
            <w:r/>
            <w:r>
              <w:rPr>
                <w:rFonts w:ascii="Consolas" w:hAnsi="Consolas"/>
                <w:color w:val="146EF5"/>
                <w:sz w:val="14"/>
              </w:rPr>
              <w:t>?returnTo=</w:t>
            </w:r>
            <w:r>
              <w:rPr>
                <w:rFonts w:ascii="Calibri" w:hAnsi="Calibri"/>
                <w:b w:val="0"/>
                <w:i w:val="0"/>
                <w:color w:val="101828"/>
                <w:sz w:val="14"/>
              </w:rPr>
              <w:t xml:space="preserve"> is accepted only from an allowlist of </w:t>
            </w:r>
            <w:r>
              <w:rPr>
                <w:rFonts w:ascii="Consolas" w:hAnsi="Consolas"/>
                <w:color w:val="146EF5"/>
                <w:sz w:val="14"/>
              </w:rPr>
              <w:t>/app</w:t>
            </w:r>
            <w:r>
              <w:rPr>
                <w:rFonts w:ascii="Calibri" w:hAnsi="Calibri"/>
                <w:b w:val="0"/>
                <w:i w:val="0"/>
                <w:color w:val="101828"/>
                <w:sz w:val="14"/>
              </w:rPr>
              <w:t xml:space="preserve"> paths; anything else is discarded silently, which is a security control against open redirect.</w:t>
            </w:r>
          </w:p>
        </w:tc>
      </w:tr>
      <w:tr>
        <w:trPr>
          <w:cantSplit/>
        </w:trPr>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4"/>
              </w:rPr>
              <w:t>SEO and marketing internal links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4"/>
              </w:rPr>
              <w:t>Any tier-1 content page</w:t>
            </w:r>
          </w:p>
        </w:tc>
        <w:tc>
          <w:tcPr>
            <w:tcW w:type="dxa" w:w="5242"/>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No </w:t>
            </w:r>
            <w:r>
              <w:rPr>
                <w:rFonts w:ascii="Consolas" w:hAnsi="Consolas"/>
                <w:color w:val="146EF5"/>
                <w:sz w:val="14"/>
              </w:rPr>
              <w:t>noindex</w:t>
            </w:r>
            <w:r>
              <w:rPr>
                <w:rFonts w:ascii="Calibri" w:hAnsi="Calibri"/>
                <w:b w:val="0"/>
                <w:i w:val="0"/>
                <w:color w:val="101828"/>
                <w:sz w:val="14"/>
              </w:rPr>
              <w:t xml:space="preserve"> on tier-1 content. Authenticated links from tier 1 into tier 2 always pass through </w:t>
            </w:r>
            <w:r>
              <w:rPr>
                <w:rFonts w:ascii="Consolas" w:hAnsi="Consolas"/>
                <w:color w:val="146EF5"/>
                <w:sz w:val="14"/>
              </w:rPr>
              <w:t>/login</w:t>
            </w:r>
            <w:r>
              <w:rPr>
                <w:rFonts w:ascii="Calibri" w:hAnsi="Calibri"/>
                <w:b w:val="0"/>
                <w:i w:val="0"/>
                <w:color w:val="101828"/>
                <w:sz w:val="14"/>
              </w:rPr>
              <w:t xml:space="preserve"> first.</w:t>
            </w:r>
          </w:p>
        </w:tc>
      </w:tr>
      <w:tr>
        <w:trPr>
          <w:cantSplit/>
        </w:trPr>
        <w:tc>
          <w:tcPr>
            <w:tcW w:type="dxa" w:w="1958"/>
            <w:tcMar>
              <w:top w:w="60" w:type="dxa"/>
              <w:start w:w="110" w:type="dxa"/>
              <w:bottom w:w="60" w:type="dxa"/>
              <w:end w:w="110" w:type="dxa"/>
            </w:tcMar>
          </w:tcPr>
          <w:p>
            <w:pPr>
              <w:spacing w:after="0"/>
            </w:pPr>
            <w:r/>
            <w:r>
              <w:rPr>
                <w:rFonts w:ascii="Calibri" w:hAnsi="Calibri"/>
                <w:b w:val="0"/>
                <w:i w:val="0"/>
                <w:color w:val="101828"/>
                <w:sz w:val="14"/>
              </w:rPr>
              <w:t>Legal, footer, in-app support</w:t>
            </w:r>
          </w:p>
        </w:tc>
        <w:tc>
          <w:tcPr>
            <w:tcW w:type="dxa" w:w="2160"/>
            <w:tcMar>
              <w:top w:w="60" w:type="dxa"/>
              <w:start w:w="110" w:type="dxa"/>
              <w:bottom w:w="60" w:type="dxa"/>
              <w:end w:w="110" w:type="dxa"/>
            </w:tcMar>
          </w:tcPr>
          <w:p>
            <w:pPr>
              <w:spacing w:after="0"/>
            </w:pPr>
            <w:r/>
            <w:r>
              <w:rPr>
                <w:rFonts w:ascii="Consolas" w:hAnsi="Consolas"/>
                <w:color w:val="146EF5"/>
                <w:sz w:val="14"/>
              </w:rPr>
              <w:t>/terms</w:t>
            </w:r>
            <w:r>
              <w:rPr>
                <w:rFonts w:ascii="Calibri" w:hAnsi="Calibri"/>
                <w:b w:val="0"/>
                <w:i w:val="0"/>
                <w:color w:val="101828"/>
                <w:sz w:val="14"/>
              </w:rPr>
              <w:t xml:space="preserve">, </w:t>
            </w:r>
            <w:r>
              <w:rPr>
                <w:rFonts w:ascii="Consolas" w:hAnsi="Consolas"/>
                <w:color w:val="146EF5"/>
                <w:sz w:val="14"/>
              </w:rPr>
              <w:t>/privacy</w:t>
            </w:r>
            <w:r>
              <w:rPr>
                <w:rFonts w:ascii="Calibri" w:hAnsi="Calibri"/>
                <w:b w:val="0"/>
                <w:i w:val="0"/>
                <w:color w:val="101828"/>
                <w:sz w:val="14"/>
              </w:rPr>
              <w:t xml:space="preserve">, </w:t>
            </w:r>
            <w:r>
              <w:rPr>
                <w:rFonts w:ascii="Consolas" w:hAnsi="Consolas"/>
                <w:color w:val="146EF5"/>
                <w:sz w:val="14"/>
              </w:rPr>
              <w:t>/contact</w:t>
            </w:r>
            <w:r>
              <w:rPr>
                <w:rFonts w:ascii="Calibri" w:hAnsi="Calibri"/>
                <w:b w:val="0"/>
                <w:i w:val="0"/>
                <w:color w:val="101828"/>
                <w:sz w:val="14"/>
              </w:rPr>
              <w:t xml:space="preserve"> — SCR-WEB-15/16/08</w:t>
            </w:r>
          </w:p>
        </w:tc>
        <w:tc>
          <w:tcPr>
            <w:tcW w:type="dxa" w:w="5242"/>
            <w:tcMar>
              <w:top w:w="60" w:type="dxa"/>
              <w:start w:w="110" w:type="dxa"/>
              <w:bottom w:w="60" w:type="dxa"/>
              <w:end w:w="110" w:type="dxa"/>
            </w:tcMar>
          </w:tcPr>
          <w:p>
            <w:pPr>
              <w:spacing w:after="0"/>
            </w:pPr>
            <w:r/>
            <w:r>
              <w:rPr>
                <w:rFonts w:ascii="Calibri" w:hAnsi="Calibri"/>
                <w:b w:val="0"/>
                <w:i w:val="0"/>
                <w:color w:val="101828"/>
                <w:sz w:val="14"/>
              </w:rPr>
              <w:t>Reachable without a session, from every tier.</w:t>
            </w:r>
          </w:p>
        </w:tc>
      </w:tr>
    </w:tbl>
    <w:p>
      <w:pPr>
        <w:spacing w:after="80"/>
      </w:pPr>
    </w:p>
    <w:p>
      <w:pPr>
        <w:pStyle w:val="Heading3"/>
      </w:pPr>
      <w:r>
        <w:rPr>
          <w:rFonts w:ascii="Calibri" w:hAnsi="Calibri"/>
          <w:b/>
          <w:i w:val="0"/>
          <w:color w:val="0B1F3A"/>
          <w:sz w:val="24"/>
        </w:rPr>
        <w:t>3.9.2 Tier-2 and tier-3 entry points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958"/>
            <w:shd w:val="clear" w:color="auto" w:fill="0B1F3A"/>
            <w:tcMar>
              <w:top w:w="60" w:type="dxa"/>
              <w:start w:w="110" w:type="dxa"/>
              <w:bottom w:w="60" w:type="dxa"/>
              <w:end w:w="110" w:type="dxa"/>
            </w:tcMar>
          </w:tcPr>
          <w:p>
            <w:pPr>
              <w:spacing w:after="0"/>
            </w:pPr>
            <w:r/>
            <w:r>
              <w:rPr>
                <w:rFonts w:ascii="Calibri" w:hAnsi="Calibri"/>
                <w:b/>
                <w:i w:val="0"/>
                <w:color w:val="FFFFFF"/>
                <w:sz w:val="14"/>
              </w:rPr>
              <w:t>Source</w:t>
            </w:r>
          </w:p>
        </w:tc>
        <w:tc>
          <w:tcPr>
            <w:tcW w:type="dxa" w:w="2390"/>
            <w:shd w:val="clear" w:color="auto" w:fill="0B1F3A"/>
            <w:tcMar>
              <w:top w:w="60" w:type="dxa"/>
              <w:start w:w="110" w:type="dxa"/>
              <w:bottom w:w="60" w:type="dxa"/>
              <w:end w:w="110" w:type="dxa"/>
            </w:tcMar>
          </w:tcPr>
          <w:p>
            <w:pPr>
              <w:spacing w:after="0"/>
            </w:pPr>
            <w:r/>
            <w:r>
              <w:rPr>
                <w:rFonts w:ascii="Calibri" w:hAnsi="Calibri"/>
                <w:b/>
                <w:i w:val="0"/>
                <w:color w:val="FFFFFF"/>
                <w:sz w:val="14"/>
              </w:rPr>
              <w:t>Landing route</w:t>
            </w:r>
          </w:p>
        </w:tc>
        <w:tc>
          <w:tcPr>
            <w:tcW w:type="dxa" w:w="5011"/>
            <w:shd w:val="clear" w:color="auto" w:fill="0B1F3A"/>
            <w:tcMar>
              <w:top w:w="60" w:type="dxa"/>
              <w:start w:w="110" w:type="dxa"/>
              <w:bottom w:w="60" w:type="dxa"/>
              <w:end w:w="110" w:type="dxa"/>
            </w:tcMar>
          </w:tcPr>
          <w:p>
            <w:pPr>
              <w:spacing w:after="0"/>
            </w:pPr>
            <w:r/>
            <w:r>
              <w:rPr>
                <w:rFonts w:ascii="Calibri" w:hAnsi="Calibri"/>
                <w:b/>
                <w:i w:val="0"/>
                <w:color w:val="FFFFFF"/>
                <w:sz w:val="14"/>
              </w:rPr>
              <w:t>Conditions</w:t>
            </w:r>
          </w:p>
        </w:tc>
      </w:tr>
      <w:tr>
        <w:trPr>
          <w:cantSplit/>
        </w:trPr>
        <w:tc>
          <w:tcPr>
            <w:tcW w:type="dxa" w:w="1958"/>
            <w:tcMar>
              <w:top w:w="60" w:type="dxa"/>
              <w:start w:w="110" w:type="dxa"/>
              <w:bottom w:w="60" w:type="dxa"/>
              <w:end w:w="110" w:type="dxa"/>
            </w:tcMar>
          </w:tcPr>
          <w:p>
            <w:pPr>
              <w:spacing w:after="0"/>
            </w:pPr>
            <w:r/>
            <w:r>
              <w:rPr>
                <w:rFonts w:ascii="Calibri" w:hAnsi="Calibri"/>
                <w:b w:val="0"/>
                <w:i w:val="0"/>
                <w:color w:val="101828"/>
                <w:sz w:val="14"/>
              </w:rPr>
              <w:t>Successful login or registration</w:t>
            </w:r>
          </w:p>
        </w:tc>
        <w:tc>
          <w:tcPr>
            <w:tcW w:type="dxa" w:w="2390"/>
            <w:tcMar>
              <w:top w:w="60" w:type="dxa"/>
              <w:start w:w="110" w:type="dxa"/>
              <w:bottom w:w="60" w:type="dxa"/>
              <w:end w:w="110" w:type="dxa"/>
            </w:tcMar>
          </w:tcPr>
          <w:p>
            <w:pPr>
              <w:spacing w:after="0"/>
            </w:pPr>
            <w:r/>
            <w:r>
              <w:rPr>
                <w:rFonts w:ascii="Consolas" w:hAnsi="Consolas"/>
                <w:color w:val="146EF5"/>
                <w:sz w:val="14"/>
              </w:rPr>
              <w:t>/app</w:t>
            </w:r>
            <w:r>
              <w:rPr>
                <w:rFonts w:ascii="Calibri" w:hAnsi="Calibri"/>
                <w:b w:val="0"/>
                <w:i w:val="0"/>
                <w:color w:val="101828"/>
                <w:sz w:val="14"/>
              </w:rPr>
              <w:t xml:space="preserve"> — SCR-MOB-01</w:t>
            </w:r>
          </w:p>
        </w:tc>
        <w:tc>
          <w:tcPr>
            <w:tcW w:type="dxa" w:w="5011"/>
            <w:tcMar>
              <w:top w:w="60" w:type="dxa"/>
              <w:start w:w="110" w:type="dxa"/>
              <w:bottom w:w="60" w:type="dxa"/>
              <w:end w:w="110" w:type="dxa"/>
            </w:tcMar>
          </w:tcPr>
          <w:p>
            <w:pPr>
              <w:spacing w:after="0"/>
            </w:pPr>
            <w:r/>
            <w:r>
              <w:rPr>
                <w:rFonts w:ascii="Calibri" w:hAnsi="Calibri"/>
                <w:b w:val="0"/>
                <w:i w:val="0"/>
                <w:color w:val="101828"/>
                <w:sz w:val="14"/>
              </w:rPr>
              <w:t xml:space="preserve">The only successful-authentication landing. </w:t>
            </w:r>
            <w:r>
              <w:rPr>
                <w:rFonts w:ascii="Consolas" w:hAnsi="Consolas"/>
                <w:color w:val="146EF5"/>
                <w:sz w:val="14"/>
              </w:rPr>
              <w:t>returnTo</w:t>
            </w:r>
            <w:r>
              <w:rPr>
                <w:rFonts w:ascii="Calibri" w:hAnsi="Calibri"/>
                <w:b w:val="0"/>
                <w:i w:val="0"/>
                <w:color w:val="101828"/>
                <w:sz w:val="14"/>
              </w:rPr>
              <w:t xml:space="preserve"> overrides it; otherwise a first-time member lands on the Dashboard with an empty-state that offers </w:t>
            </w:r>
            <w:r>
              <w:rPr>
                <w:rFonts w:ascii="Calibri" w:hAnsi="Calibri"/>
                <w:i/>
                <w:color w:val="101828"/>
                <w:sz w:val="14"/>
              </w:rPr>
              <w:t>Create an Ajo</w:t>
            </w:r>
            <w:r>
              <w:rPr>
                <w:rFonts w:ascii="Calibri" w:hAnsi="Calibri"/>
                <w:b w:val="0"/>
                <w:i w:val="0"/>
                <w:color w:val="101828"/>
                <w:sz w:val="14"/>
              </w:rPr>
              <w:t xml:space="preserve"> and </w:t>
            </w:r>
            <w:r>
              <w:rPr>
                <w:rFonts w:ascii="Calibri" w:hAnsi="Calibri"/>
                <w:i/>
                <w:color w:val="101828"/>
                <w:sz w:val="14"/>
              </w:rPr>
              <w:t>Enter an invitation code</w:t>
            </w:r>
            <w:r>
              <w:rPr>
                <w:rFonts w:ascii="Calibri" w:hAnsi="Calibri"/>
                <w:b w:val="0"/>
                <w:i w:val="0"/>
                <w:color w:val="101828"/>
                <w:sz w:val="14"/>
              </w:rPr>
              <w:t xml:space="preserve"> rather than a zero balance.</w:t>
            </w:r>
          </w:p>
        </w:tc>
      </w:tr>
      <w:tr>
        <w:trPr>
          <w:cantSplit/>
        </w:trPr>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4"/>
              </w:rPr>
              <w:t>Email or SMS link</w:t>
            </w:r>
          </w:p>
        </w:tc>
        <w:tc>
          <w:tcPr>
            <w:tcW w:type="dxa" w:w="2390"/>
            <w:tcMar>
              <w:top w:w="60" w:type="dxa"/>
              <w:start w:w="110" w:type="dxa"/>
              <w:bottom w:w="60" w:type="dxa"/>
              <w:end w:w="110" w:type="dxa"/>
            </w:tcMar>
            <w:shd w:val="clear" w:color="auto" w:fill="F4F7FB"/>
          </w:tcPr>
          <w:p>
            <w:pPr>
              <w:spacing w:after="0"/>
            </w:pPr>
            <w:r/>
            <w:r>
              <w:rPr>
                <w:rFonts w:ascii="Consolas" w:hAnsi="Consolas"/>
                <w:color w:val="146EF5"/>
                <w:sz w:val="14"/>
              </w:rPr>
              <w:t>/verify-email</w:t>
            </w:r>
            <w:r>
              <w:rPr>
                <w:rFonts w:ascii="Calibri" w:hAnsi="Calibri"/>
                <w:b w:val="0"/>
                <w:i w:val="0"/>
                <w:color w:val="101828"/>
                <w:sz w:val="14"/>
              </w:rPr>
              <w:t xml:space="preserve">, </w:t>
            </w:r>
            <w:r>
              <w:rPr>
                <w:rFonts w:ascii="Consolas" w:hAnsi="Consolas"/>
                <w:color w:val="146EF5"/>
                <w:sz w:val="14"/>
              </w:rPr>
              <w:t>/verify-phone</w:t>
            </w:r>
            <w:r>
              <w:rPr>
                <w:rFonts w:ascii="Calibri" w:hAnsi="Calibri"/>
                <w:b w:val="0"/>
                <w:i w:val="0"/>
                <w:color w:val="101828"/>
                <w:sz w:val="14"/>
              </w:rPr>
              <w:t xml:space="preserve">, </w:t>
            </w:r>
            <w:r>
              <w:rPr>
                <w:rFonts w:ascii="Consolas" w:hAnsi="Consolas"/>
                <w:color w:val="146EF5"/>
                <w:sz w:val="14"/>
              </w:rPr>
              <w:t>/reset-password</w:t>
            </w:r>
            <w:r>
              <w:rPr>
                <w:rFonts w:ascii="Calibri" w:hAnsi="Calibri"/>
                <w:b w:val="0"/>
                <w:i w:val="0"/>
                <w:color w:val="101828"/>
                <w:sz w:val="14"/>
              </w:rPr>
              <w:t xml:space="preserve">, </w:t>
            </w:r>
            <w:r>
              <w:rPr>
                <w:rFonts w:ascii="Consolas" w:hAnsi="Consolas"/>
                <w:color w:val="146EF5"/>
                <w:sz w:val="14"/>
              </w:rPr>
              <w:t>/invite/:token</w:t>
            </w:r>
          </w:p>
        </w:tc>
        <w:tc>
          <w:tcPr>
            <w:tcW w:type="dxa" w:w="5011"/>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Consume the token, then land on the </w:t>
            </w:r>
            <w:r>
              <w:rPr>
                <w:rFonts w:ascii="Consolas" w:hAnsi="Consolas"/>
                <w:color w:val="146EF5"/>
                <w:sz w:val="14"/>
              </w:rPr>
              <w:t>returnTo</w:t>
            </w:r>
            <w:r>
              <w:rPr>
                <w:rFonts w:ascii="Calibri" w:hAnsi="Calibri"/>
                <w:b w:val="0"/>
                <w:i w:val="0"/>
                <w:color w:val="101828"/>
                <w:sz w:val="14"/>
              </w:rPr>
              <w:t xml:space="preserve"> carried inside the signed token, never one supplied by the query string.</w:t>
            </w:r>
          </w:p>
        </w:tc>
      </w:tr>
      <w:tr>
        <w:trPr>
          <w:cantSplit/>
        </w:trPr>
        <w:tc>
          <w:tcPr>
            <w:tcW w:type="dxa" w:w="1958"/>
            <w:tcMar>
              <w:top w:w="60" w:type="dxa"/>
              <w:start w:w="110" w:type="dxa"/>
              <w:bottom w:w="60" w:type="dxa"/>
              <w:end w:w="110" w:type="dxa"/>
            </w:tcMar>
          </w:tcPr>
          <w:p>
            <w:pPr>
              <w:spacing w:after="0"/>
            </w:pPr>
            <w:r/>
            <w:r>
              <w:rPr>
                <w:rFonts w:ascii="Calibri" w:hAnsi="Calibri"/>
                <w:b w:val="0"/>
                <w:i w:val="0"/>
                <w:color w:val="101828"/>
                <w:sz w:val="14"/>
              </w:rPr>
              <w:t>Deep link from a notification</w:t>
            </w:r>
          </w:p>
        </w:tc>
        <w:tc>
          <w:tcPr>
            <w:tcW w:type="dxa" w:w="2390"/>
            <w:tcMar>
              <w:top w:w="60" w:type="dxa"/>
              <w:start w:w="110" w:type="dxa"/>
              <w:bottom w:w="60" w:type="dxa"/>
              <w:end w:w="110" w:type="dxa"/>
            </w:tcMar>
          </w:tcPr>
          <w:p>
            <w:pPr>
              <w:spacing w:after="0"/>
            </w:pPr>
            <w:r/>
            <w:r>
              <w:rPr>
                <w:rFonts w:ascii="Calibri" w:hAnsi="Calibri"/>
                <w:b w:val="0"/>
                <w:i w:val="0"/>
                <w:color w:val="101828"/>
                <w:sz w:val="14"/>
              </w:rPr>
              <w:t>The screen the event concerns, per CAN §8</w:t>
            </w:r>
          </w:p>
        </w:tc>
        <w:tc>
          <w:tcPr>
            <w:tcW w:type="dxa" w:w="5011"/>
            <w:tcMar>
              <w:top w:w="60" w:type="dxa"/>
              <w:start w:w="110" w:type="dxa"/>
              <w:bottom w:w="60" w:type="dxa"/>
              <w:end w:w="110" w:type="dxa"/>
            </w:tcMar>
          </w:tcPr>
          <w:p>
            <w:pPr>
              <w:spacing w:after="0"/>
            </w:pPr>
            <w:r/>
            <w:r>
              <w:rPr>
                <w:rFonts w:ascii="Consolas" w:hAnsi="Consolas"/>
                <w:color w:val="146EF5"/>
                <w:sz w:val="14"/>
              </w:rPr>
              <w:t>contribution.due</w:t>
            </w:r>
            <w:r>
              <w:rPr>
                <w:rFonts w:ascii="Calibri" w:hAnsi="Calibri"/>
                <w:b w:val="0"/>
                <w:i w:val="0"/>
                <w:color w:val="101828"/>
                <w:sz w:val="14"/>
              </w:rPr>
              <w:t xml:space="preserve"> → the Pay Contribution screen. </w:t>
            </w:r>
            <w:r>
              <w:rPr>
                <w:rFonts w:ascii="Consolas" w:hAnsi="Consolas"/>
                <w:color w:val="146EF5"/>
                <w:sz w:val="14"/>
              </w:rPr>
              <w:t>payout.upcoming</w:t>
            </w:r>
            <w:r>
              <w:rPr>
                <w:rFonts w:ascii="Calibri" w:hAnsi="Calibri"/>
                <w:b w:val="0"/>
                <w:i w:val="0"/>
                <w:color w:val="101828"/>
                <w:sz w:val="14"/>
              </w:rPr>
              <w:t xml:space="preserve"> → Payout detail. </w:t>
            </w:r>
            <w:r>
              <w:rPr>
                <w:rFonts w:ascii="Consolas" w:hAnsi="Consolas"/>
                <w:color w:val="146EF5"/>
                <w:sz w:val="14"/>
              </w:rPr>
              <w:t>member.defaulted</w:t>
            </w:r>
            <w:r>
              <w:rPr>
                <w:rFonts w:ascii="Calibri" w:hAnsi="Calibri"/>
                <w:b w:val="0"/>
                <w:i w:val="0"/>
                <w:color w:val="101828"/>
                <w:sz w:val="14"/>
              </w:rPr>
              <w:t xml:space="preserve"> → the Contributions list, never a public-facing page. Notification deep links carry a signed, single-use token, not a bare AJO id.</w:t>
            </w:r>
          </w:p>
        </w:tc>
      </w:tr>
      <w:tr>
        <w:trPr>
          <w:cantSplit/>
        </w:trPr>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4"/>
              </w:rPr>
              <w:t>Push notification tap, app installed</w:t>
            </w:r>
          </w:p>
        </w:tc>
        <w:tc>
          <w:tcPr>
            <w:tcW w:type="dxa" w:w="2390"/>
            <w:tcMar>
              <w:top w:w="60" w:type="dxa"/>
              <w:start w:w="110" w:type="dxa"/>
              <w:bottom w:w="60" w:type="dxa"/>
              <w:end w:w="110" w:type="dxa"/>
            </w:tcMar>
            <w:shd w:val="clear" w:color="auto" w:fill="F4F7FB"/>
          </w:tcPr>
          <w:p>
            <w:pPr>
              <w:spacing w:after="0"/>
            </w:pPr>
            <w:r/>
            <w:r>
              <w:rPr>
                <w:rFonts w:ascii="Calibri" w:hAnsi="Calibri"/>
                <w:b w:val="0"/>
                <w:i w:val="0"/>
                <w:color w:val="101828"/>
                <w:sz w:val="14"/>
              </w:rPr>
              <w:t>The same destination as above</w:t>
            </w:r>
          </w:p>
        </w:tc>
        <w:tc>
          <w:tcPr>
            <w:tcW w:type="dxa" w:w="5011"/>
            <w:tcMar>
              <w:top w:w="60" w:type="dxa"/>
              <w:start w:w="110" w:type="dxa"/>
              <w:bottom w:w="60" w:type="dxa"/>
              <w:end w:w="110" w:type="dxa"/>
            </w:tcMar>
            <w:shd w:val="clear" w:color="auto" w:fill="F4F7FB"/>
          </w:tcPr>
          <w:p>
            <w:pPr>
              <w:spacing w:after="0"/>
            </w:pPr>
            <w:r/>
            <w:r>
              <w:rPr>
                <w:rFonts w:ascii="Calibri" w:hAnsi="Calibri"/>
                <w:b w:val="0"/>
                <w:i w:val="0"/>
                <w:color w:val="101828"/>
                <w:sz w:val="14"/>
              </w:rPr>
              <w:t>Cold start to the correct route with the token validated in-app. If the token has expired the app opens the Notifications entry and shows the event, not an error.</w:t>
            </w:r>
          </w:p>
        </w:tc>
      </w:tr>
      <w:tr>
        <w:trPr>
          <w:cantSplit/>
        </w:trPr>
        <w:tc>
          <w:tcPr>
            <w:tcW w:type="dxa" w:w="1958"/>
            <w:tcMar>
              <w:top w:w="60" w:type="dxa"/>
              <w:start w:w="110" w:type="dxa"/>
              <w:bottom w:w="60" w:type="dxa"/>
              <w:end w:w="110" w:type="dxa"/>
            </w:tcMar>
          </w:tcPr>
          <w:p>
            <w:pPr>
              <w:spacing w:after="0"/>
            </w:pPr>
            <w:r/>
            <w:r>
              <w:rPr>
                <w:rFonts w:ascii="Calibri" w:hAnsi="Calibri"/>
                <w:b w:val="0"/>
                <w:i w:val="0"/>
                <w:color w:val="101828"/>
                <w:sz w:val="14"/>
              </w:rPr>
              <w:t>Admin SSO or admin login</w:t>
            </w:r>
          </w:p>
        </w:tc>
        <w:tc>
          <w:tcPr>
            <w:tcW w:type="dxa" w:w="2390"/>
            <w:tcMar>
              <w:top w:w="60" w:type="dxa"/>
              <w:start w:w="110" w:type="dxa"/>
              <w:bottom w:w="60" w:type="dxa"/>
              <w:end w:w="110" w:type="dxa"/>
            </w:tcMar>
          </w:tcPr>
          <w:p>
            <w:pPr>
              <w:spacing w:after="0"/>
            </w:pPr>
            <w:r/>
            <w:r>
              <w:rPr>
                <w:rFonts w:ascii="Consolas" w:hAnsi="Consolas"/>
                <w:color w:val="146EF5"/>
                <w:sz w:val="14"/>
              </w:rPr>
              <w:t>/admin</w:t>
            </w:r>
            <w:r>
              <w:rPr>
                <w:rFonts w:ascii="Calibri" w:hAnsi="Calibri"/>
                <w:b w:val="0"/>
                <w:i w:val="0"/>
                <w:color w:val="101828"/>
                <w:sz w:val="14"/>
              </w:rPr>
              <w:t xml:space="preserve"> — SCR-ADM-01</w:t>
            </w:r>
          </w:p>
        </w:tc>
        <w:tc>
          <w:tcPr>
            <w:tcW w:type="dxa" w:w="5011"/>
            <w:tcMar>
              <w:top w:w="60" w:type="dxa"/>
              <w:start w:w="110" w:type="dxa"/>
              <w:bottom w:w="60" w:type="dxa"/>
              <w:end w:w="110" w:type="dxa"/>
            </w:tcMar>
          </w:tcPr>
          <w:p>
            <w:pPr>
              <w:spacing w:after="0"/>
            </w:pPr>
            <w:r/>
            <w:r>
              <w:rPr>
                <w:rFonts w:ascii="Calibri" w:hAnsi="Calibri"/>
                <w:b w:val="0"/>
                <w:i w:val="0"/>
                <w:color w:val="101828"/>
                <w:sz w:val="14"/>
              </w:rPr>
              <w:t>A separate session scope from tier 2. A tier-2 session never silently grants admin access and an admin session never silently grants member access.</w:t>
            </w:r>
          </w:p>
        </w:tc>
      </w:tr>
      <w:tr>
        <w:trPr>
          <w:cantSplit/>
        </w:trPr>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4"/>
              </w:rPr>
              <w:t>Password reset from an active session</w:t>
            </w:r>
          </w:p>
        </w:tc>
        <w:tc>
          <w:tcPr>
            <w:tcW w:type="dxa" w:w="2390"/>
            <w:tcMar>
              <w:top w:w="60" w:type="dxa"/>
              <w:start w:w="110" w:type="dxa"/>
              <w:bottom w:w="60" w:type="dxa"/>
              <w:end w:w="110" w:type="dxa"/>
            </w:tcMar>
            <w:shd w:val="clear" w:color="auto" w:fill="F4F7FB"/>
          </w:tcPr>
          <w:p>
            <w:pPr>
              <w:spacing w:after="0"/>
            </w:pPr>
            <w:r/>
            <w:r>
              <w:rPr>
                <w:rFonts w:ascii="Consolas" w:hAnsi="Consolas"/>
                <w:color w:val="146EF5"/>
                <w:sz w:val="14"/>
              </w:rPr>
              <w:t>/app/settings/security</w:t>
            </w:r>
            <w:r>
              <w:rPr>
                <w:rFonts w:ascii="Calibri" w:hAnsi="Calibri"/>
                <w:b w:val="0"/>
                <w:i w:val="0"/>
                <w:color w:val="101828"/>
                <w:sz w:val="14"/>
              </w:rPr>
              <w:t xml:space="preserve"> — SCR-MOB-21</w:t>
            </w:r>
          </w:p>
        </w:tc>
        <w:tc>
          <w:tcPr>
            <w:tcW w:type="dxa" w:w="5011"/>
            <w:tcMar>
              <w:top w:w="60" w:type="dxa"/>
              <w:start w:w="110" w:type="dxa"/>
              <w:bottom w:w="60" w:type="dxa"/>
              <w:end w:w="110" w:type="dxa"/>
            </w:tcMar>
            <w:shd w:val="clear" w:color="auto" w:fill="F4F7FB"/>
          </w:tcPr>
          <w:p>
            <w:pPr>
              <w:spacing w:after="0"/>
            </w:pPr>
            <w:r/>
            <w:r>
              <w:rPr>
                <w:rFonts w:ascii="Calibri" w:hAnsi="Calibri"/>
                <w:b w:val="0"/>
                <w:i w:val="0"/>
                <w:color w:val="101828"/>
                <w:sz w:val="14"/>
              </w:rPr>
              <w:t>All other sessions are revoked and the current one is rotated. The member is returned to Security with a confirmation, not to the Dashboard.</w:t>
            </w:r>
          </w:p>
        </w:tc>
      </w:tr>
    </w:tbl>
    <w:p>
      <w:pPr>
        <w:spacing w:after="80"/>
      </w:pPr>
    </w:p>
    <w:p>
      <w:pPr>
        <w:pStyle w:val="Heading3"/>
      </w:pPr>
      <w:r>
        <w:rPr>
          <w:rFonts w:ascii="Calibri" w:hAnsi="Calibri"/>
          <w:b/>
          <w:i w:val="0"/>
          <w:color w:val="0B1F3A"/>
          <w:sz w:val="24"/>
        </w:rPr>
        <w:t>3.9.3 Exit points</w:t>
      </w:r>
    </w:p>
    <w:p>
      <w:r>
        <w:rPr>
          <w:rFonts w:ascii="Calibri" w:hAnsi="Calibri"/>
          <w:b w:val="0"/>
          <w:i w:val="0"/>
          <w:color w:val="101828"/>
          <w:sz w:val="21"/>
        </w:rPr>
        <w:t>There are only four ways out, and three of them are deliberate. A person must never be able to lose money by navigating away: a half-completed payment, a half-completed wizard and an open dispute each have an explicit exit that resolves the state rather than abandoning it.</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354"/>
            <w:shd w:val="clear" w:color="auto" w:fill="0B1F3A"/>
            <w:tcMar>
              <w:top w:w="60" w:type="dxa"/>
              <w:start w:w="110" w:type="dxa"/>
              <w:bottom w:w="60" w:type="dxa"/>
              <w:end w:w="110" w:type="dxa"/>
            </w:tcMar>
          </w:tcPr>
          <w:p>
            <w:pPr>
              <w:spacing w:after="0"/>
            </w:pPr>
            <w:r/>
            <w:r>
              <w:rPr>
                <w:rFonts w:ascii="Calibri" w:hAnsi="Calibri"/>
                <w:b/>
                <w:i w:val="0"/>
                <w:color w:val="FFFFFF"/>
                <w:sz w:val="14"/>
              </w:rPr>
              <w:t>Exit</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4"/>
              </w:rPr>
              <w:t>From</w:t>
            </w:r>
          </w:p>
        </w:tc>
        <w:tc>
          <w:tcPr>
            <w:tcW w:type="dxa" w:w="5846"/>
            <w:shd w:val="clear" w:color="auto" w:fill="0B1F3A"/>
            <w:tcMar>
              <w:top w:w="60" w:type="dxa"/>
              <w:start w:w="110" w:type="dxa"/>
              <w:bottom w:w="60" w:type="dxa"/>
              <w:end w:w="110" w:type="dxa"/>
            </w:tcMar>
          </w:tcPr>
          <w:p>
            <w:pPr>
              <w:spacing w:after="0"/>
            </w:pPr>
            <w:r/>
            <w:r>
              <w:rPr>
                <w:rFonts w:ascii="Calibri" w:hAnsi="Calibri"/>
                <w:b/>
                <w:i w:val="0"/>
                <w:color w:val="FFFFFF"/>
                <w:sz w:val="14"/>
              </w:rPr>
              <w:t>Behaviour</w:t>
            </w:r>
          </w:p>
        </w:tc>
      </w:tr>
      <w:tr>
        <w:trPr>
          <w:cantSplit/>
        </w:trPr>
        <w:tc>
          <w:tcPr>
            <w:tcW w:type="dxa" w:w="1354"/>
            <w:tcMar>
              <w:top w:w="60" w:type="dxa"/>
              <w:start w:w="110" w:type="dxa"/>
              <w:bottom w:w="60" w:type="dxa"/>
              <w:end w:w="110" w:type="dxa"/>
            </w:tcMar>
          </w:tcPr>
          <w:p>
            <w:pPr>
              <w:spacing w:after="0"/>
            </w:pPr>
            <w:r/>
            <w:r>
              <w:rPr>
                <w:rFonts w:ascii="Calibri" w:hAnsi="Calibri"/>
                <w:b w:val="0"/>
                <w:i w:val="0"/>
                <w:color w:val="101828"/>
                <w:sz w:val="14"/>
              </w:rPr>
              <w:t>Sign out</w:t>
            </w:r>
          </w:p>
        </w:tc>
        <w:tc>
          <w:tcPr>
            <w:tcW w:type="dxa" w:w="2160"/>
            <w:tcMar>
              <w:top w:w="60" w:type="dxa"/>
              <w:start w:w="110" w:type="dxa"/>
              <w:bottom w:w="60" w:type="dxa"/>
              <w:end w:w="110" w:type="dxa"/>
            </w:tcMar>
          </w:tcPr>
          <w:p>
            <w:pPr>
              <w:spacing w:after="0"/>
            </w:pPr>
            <w:r/>
            <w:r>
              <w:rPr>
                <w:rFonts w:ascii="Consolas" w:hAnsi="Consolas"/>
                <w:color w:val="146EF5"/>
                <w:sz w:val="14"/>
              </w:rPr>
              <w:t>/app/settings/security</w:t>
            </w:r>
            <w:r>
              <w:rPr>
                <w:rFonts w:ascii="Calibri" w:hAnsi="Calibri"/>
                <w:b w:val="0"/>
                <w:i w:val="0"/>
                <w:color w:val="101828"/>
                <w:sz w:val="14"/>
              </w:rPr>
              <w:t xml:space="preserve"> — SCR-MOB-21</w:t>
            </w:r>
          </w:p>
        </w:tc>
        <w:tc>
          <w:tcPr>
            <w:tcW w:type="dxa" w:w="5846"/>
            <w:tcMar>
              <w:top w:w="60" w:type="dxa"/>
              <w:start w:w="110" w:type="dxa"/>
              <w:bottom w:w="60" w:type="dxa"/>
              <w:end w:w="110" w:type="dxa"/>
            </w:tcMar>
          </w:tcPr>
          <w:p>
            <w:pPr>
              <w:spacing w:after="0"/>
            </w:pPr>
            <w:r/>
            <w:r>
              <w:rPr>
                <w:rFonts w:ascii="Calibri" w:hAnsi="Calibri"/>
                <w:b w:val="0"/>
                <w:i w:val="0"/>
                <w:color w:val="101828"/>
                <w:sz w:val="14"/>
              </w:rPr>
              <w:t xml:space="preserve">Revokes the refresh token family, clears local state, returns to </w:t>
            </w:r>
            <w:r>
              <w:rPr>
                <w:rFonts w:ascii="Consolas" w:hAnsi="Consolas"/>
                <w:color w:val="146EF5"/>
                <w:sz w:val="14"/>
              </w:rPr>
              <w:t>/</w:t>
            </w:r>
            <w:r>
              <w:rPr>
                <w:rFonts w:ascii="Calibri" w:hAnsi="Calibri"/>
                <w:b w:val="0"/>
                <w:i w:val="0"/>
                <w:color w:val="101828"/>
                <w:sz w:val="14"/>
              </w:rPr>
              <w:t xml:space="preserve"> with an explanatory note. An in-flight payment cannot be signed out of; the action is disabled while a payment is </w:t>
            </w:r>
            <w:r>
              <w:rPr>
                <w:rFonts w:ascii="Consolas" w:hAnsi="Consolas"/>
                <w:color w:val="146EF5"/>
                <w:sz w:val="14"/>
              </w:rPr>
              <w:t>PENDING</w:t>
            </w:r>
            <w:r>
              <w:rPr>
                <w:rFonts w:ascii="Calibri" w:hAnsi="Calibri"/>
                <w:b w:val="0"/>
                <w:i w:val="0"/>
                <w:color w:val="101828"/>
                <w:sz w:val="14"/>
              </w:rPr>
              <w:t>.</w:t>
            </w:r>
          </w:p>
        </w:tc>
      </w:tr>
      <w:tr>
        <w:trPr>
          <w:cantSplit/>
        </w:trPr>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4"/>
              </w:rPr>
              <w:t>Session expired</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4"/>
              </w:rPr>
              <w:t>Any tier-2 route</w:t>
            </w:r>
          </w:p>
        </w:tc>
        <w:tc>
          <w:tcPr>
            <w:tcW w:type="dxa" w:w="5846"/>
            <w:tcMar>
              <w:top w:w="60" w:type="dxa"/>
              <w:start w:w="110" w:type="dxa"/>
              <w:bottom w:w="60" w:type="dxa"/>
              <w:end w:w="110" w:type="dxa"/>
            </w:tcMar>
            <w:shd w:val="clear" w:color="auto" w:fill="F4F7FB"/>
          </w:tcPr>
          <w:p>
            <w:pPr>
              <w:spacing w:after="0"/>
            </w:pPr>
            <w:r/>
            <w:r>
              <w:rPr>
                <w:rFonts w:ascii="Consolas" w:hAnsi="Consolas"/>
                <w:color w:val="146EF5"/>
                <w:sz w:val="14"/>
              </w:rPr>
              <w:t>/login?returnTo=&lt;path&gt;</w:t>
            </w:r>
            <w:r>
              <w:rPr>
                <w:rFonts w:ascii="Calibri" w:hAnsi="Calibri"/>
                <w:b w:val="0"/>
                <w:i w:val="0"/>
                <w:color w:val="101828"/>
                <w:sz w:val="14"/>
              </w:rPr>
              <w:t xml:space="preserve"> with a neutral </w:t>
            </w:r>
            <w:r>
              <w:rPr>
                <w:rFonts w:ascii="Calibri" w:hAnsi="Calibri"/>
                <w:i/>
                <w:color w:val="101828"/>
                <w:sz w:val="14"/>
              </w:rPr>
              <w:t>Your session ended</w:t>
            </w:r>
            <w:r>
              <w:rPr>
                <w:rFonts w:ascii="Calibri" w:hAnsi="Calibri"/>
                <w:b w:val="0"/>
                <w:i w:val="0"/>
                <w:color w:val="101828"/>
                <w:sz w:val="14"/>
              </w:rPr>
              <w:t xml:space="preserve"> note. The path is preserved only if it passes the allowlist in 3.9.1.</w:t>
            </w:r>
          </w:p>
        </w:tc>
      </w:tr>
      <w:tr>
        <w:trPr>
          <w:cantSplit/>
        </w:trPr>
        <w:tc>
          <w:tcPr>
            <w:tcW w:type="dxa" w:w="1354"/>
            <w:tcMar>
              <w:top w:w="60" w:type="dxa"/>
              <w:start w:w="110" w:type="dxa"/>
              <w:bottom w:w="60" w:type="dxa"/>
              <w:end w:w="110" w:type="dxa"/>
            </w:tcMar>
          </w:tcPr>
          <w:p>
            <w:pPr>
              <w:spacing w:after="0"/>
            </w:pPr>
            <w:r/>
            <w:r>
              <w:rPr>
                <w:rFonts w:ascii="Calibri" w:hAnsi="Calibri"/>
                <w:b w:val="0"/>
                <w:i w:val="0"/>
                <w:color w:val="101828"/>
                <w:sz w:val="14"/>
              </w:rPr>
              <w:t>Account restricted</w:t>
            </w:r>
          </w:p>
        </w:tc>
        <w:tc>
          <w:tcPr>
            <w:tcW w:type="dxa" w:w="2160"/>
            <w:tcMar>
              <w:top w:w="60" w:type="dxa"/>
              <w:start w:w="110" w:type="dxa"/>
              <w:bottom w:w="60" w:type="dxa"/>
              <w:end w:w="110" w:type="dxa"/>
            </w:tcMar>
          </w:tcPr>
          <w:p>
            <w:pPr>
              <w:spacing w:after="0"/>
            </w:pPr>
            <w:r/>
            <w:r>
              <w:rPr>
                <w:rFonts w:ascii="Calibri" w:hAnsi="Calibri"/>
                <w:b w:val="0"/>
                <w:i w:val="0"/>
                <w:color w:val="101828"/>
                <w:sz w:val="14"/>
              </w:rPr>
              <w:t>Any tier-2 route</w:t>
            </w:r>
          </w:p>
        </w:tc>
        <w:tc>
          <w:tcPr>
            <w:tcW w:type="dxa" w:w="5846"/>
            <w:tcMar>
              <w:top w:w="60" w:type="dxa"/>
              <w:start w:w="110" w:type="dxa"/>
              <w:bottom w:w="60" w:type="dxa"/>
              <w:end w:w="110" w:type="dxa"/>
            </w:tcMar>
          </w:tcPr>
          <w:p>
            <w:pPr>
              <w:spacing w:after="0"/>
            </w:pPr>
            <w:r/>
            <w:r>
              <w:rPr>
                <w:rFonts w:ascii="Consolas" w:hAnsi="Consolas"/>
                <w:color w:val="146EF5"/>
                <w:sz w:val="14"/>
              </w:rPr>
              <w:t>/status</w:t>
            </w:r>
            <w:r>
              <w:rPr>
                <w:rFonts w:ascii="Calibri" w:hAnsi="Calibri"/>
                <w:b w:val="0"/>
                <w:i w:val="0"/>
                <w:color w:val="101828"/>
                <w:sz w:val="14"/>
              </w:rPr>
              <w:t xml:space="preserve"> — SCR-WEB-17. The member can read their records and contact support. They cannot pay, join, create or invite. A </w:t>
            </w:r>
            <w:r>
              <w:rPr>
                <w:rFonts w:ascii="Consolas" w:hAnsi="Consolas"/>
                <w:color w:val="146EF5"/>
                <w:sz w:val="14"/>
              </w:rPr>
              <w:t>FROZEN</w:t>
            </w:r>
            <w:r>
              <w:rPr>
                <w:rFonts w:ascii="Calibri" w:hAnsi="Calibri"/>
                <w:b w:val="0"/>
                <w:i w:val="0"/>
                <w:color w:val="101828"/>
                <w:sz w:val="14"/>
              </w:rPr>
              <w:t xml:space="preserve"> Ajo shows its records read-only.</w:t>
            </w:r>
          </w:p>
        </w:tc>
      </w:tr>
      <w:tr>
        <w:trPr>
          <w:cantSplit/>
        </w:trPr>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4"/>
              </w:rPr>
              <w:t>Wizard abandoned</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4"/>
              </w:rPr>
              <w:t>Wizard step 1–6 — SCR-MOB-05</w:t>
            </w:r>
          </w:p>
        </w:tc>
        <w:tc>
          <w:tcPr>
            <w:tcW w:type="dxa" w:w="584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DRAFT is persisted. Exiting is silent and lossless; the Dashboard shows it under </w:t>
            </w:r>
            <w:r>
              <w:rPr>
                <w:rFonts w:ascii="Calibri" w:hAnsi="Calibri"/>
                <w:i/>
                <w:color w:val="101828"/>
                <w:sz w:val="14"/>
              </w:rPr>
              <w:t>Continue setting up</w:t>
            </w:r>
            <w:r>
              <w:rPr>
                <w:rFonts w:ascii="Calibri" w:hAnsi="Calibri"/>
                <w:b w:val="0"/>
                <w:i w:val="0"/>
                <w:color w:val="101828"/>
                <w:sz w:val="14"/>
              </w:rPr>
              <w:t xml:space="preserve"> with a resume link. A DRAFT older than 30 days is archived and the organiser is told once, by notification, before it happens.</w:t>
            </w:r>
          </w:p>
        </w:tc>
      </w:tr>
    </w:tbl>
    <w:p>
      <w:pPr>
        <w:spacing w:after="80"/>
      </w:pPr>
    </w:p>
    <w:p>
      <w:pPr>
        <w:pStyle w:val="Heading2"/>
      </w:pPr>
      <w:r>
        <w:rPr>
          <w:rFonts w:ascii="Calibri" w:hAnsi="Calibri"/>
          <w:b/>
          <w:i w:val="0"/>
          <w:color w:val="146EF5"/>
          <w:sz w:val="29"/>
        </w:rPr>
        <w:t>3.10 Breadcrumb strategy</w:t>
      </w:r>
    </w:p>
    <w:p>
      <w:r>
        <w:rPr>
          <w:rFonts w:ascii="Calibri" w:hAnsi="Calibri"/>
          <w:b w:val="0"/>
          <w:i w:val="0"/>
          <w:color w:val="101828"/>
          <w:sz w:val="21"/>
        </w:rPr>
        <w:t xml:space="preserve">Breadcrumbs exist to answer </w:t>
      </w:r>
      <w:r>
        <w:rPr>
          <w:rFonts w:ascii="Calibri" w:hAnsi="Calibri"/>
          <w:i/>
          <w:color w:val="101828"/>
          <w:sz w:val="21"/>
        </w:rPr>
        <w:t>how do I get back to something bigger</w:t>
      </w:r>
      <w:r>
        <w:rPr>
          <w:rFonts w:ascii="Calibri" w:hAnsi="Calibri"/>
          <w:b w:val="0"/>
          <w:i w:val="0"/>
          <w:color w:val="101828"/>
          <w:sz w:val="21"/>
        </w:rPr>
        <w:t>. They are therefore shown only where there is genuinely something bigger, they are never the primary navigation, and they are never shown on tier 1, on the Dashboard, or on any screen that is itself a top-level destination.</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958"/>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2678"/>
            <w:shd w:val="clear" w:color="auto" w:fill="0B1F3A"/>
            <w:tcMar>
              <w:top w:w="60" w:type="dxa"/>
              <w:start w:w="110" w:type="dxa"/>
              <w:bottom w:w="60" w:type="dxa"/>
              <w:end w:w="110" w:type="dxa"/>
            </w:tcMar>
          </w:tcPr>
          <w:p>
            <w:pPr>
              <w:spacing w:after="0"/>
            </w:pPr>
            <w:r/>
            <w:r>
              <w:rPr>
                <w:rFonts w:ascii="Calibri" w:hAnsi="Calibri"/>
                <w:b/>
                <w:i w:val="0"/>
                <w:color w:val="FFFFFF"/>
                <w:sz w:val="14"/>
              </w:rPr>
              <w:t>Breadcrumb</w:t>
            </w:r>
          </w:p>
        </w:tc>
        <w:tc>
          <w:tcPr>
            <w:tcW w:type="dxa" w:w="4723"/>
            <w:shd w:val="clear" w:color="auto" w:fill="0B1F3A"/>
            <w:tcMar>
              <w:top w:w="60" w:type="dxa"/>
              <w:start w:w="110" w:type="dxa"/>
              <w:bottom w:w="60" w:type="dxa"/>
              <w:end w:w="110" w:type="dxa"/>
            </w:tcMar>
          </w:tcPr>
          <w:p>
            <w:pPr>
              <w:spacing w:after="0"/>
            </w:pPr>
            <w:r/>
            <w:r>
              <w:rPr>
                <w:rFonts w:ascii="Calibri" w:hAnsi="Calibri"/>
                <w:b/>
                <w:i w:val="0"/>
                <w:color w:val="FFFFFF"/>
                <w:sz w:val="14"/>
              </w:rPr>
              <w:t>Rationale</w:t>
            </w:r>
          </w:p>
        </w:tc>
      </w:tr>
      <w:tr>
        <w:trPr>
          <w:cantSplit/>
        </w:trPr>
        <w:tc>
          <w:tcPr>
            <w:tcW w:type="dxa" w:w="1958"/>
            <w:tcMar>
              <w:top w:w="60" w:type="dxa"/>
              <w:start w:w="110" w:type="dxa"/>
              <w:bottom w:w="60" w:type="dxa"/>
              <w:end w:w="110" w:type="dxa"/>
            </w:tcMar>
          </w:tcPr>
          <w:p>
            <w:pPr>
              <w:spacing w:after="0"/>
            </w:pPr>
            <w:r/>
            <w:r>
              <w:rPr>
                <w:rFonts w:ascii="Calibri" w:hAnsi="Calibri"/>
                <w:b w:val="0"/>
                <w:i w:val="0"/>
                <w:color w:val="101828"/>
                <w:sz w:val="14"/>
              </w:rPr>
              <w:t>Ajo Detail</w:t>
            </w:r>
          </w:p>
        </w:tc>
        <w:tc>
          <w:tcPr>
            <w:tcW w:type="dxa" w:w="2678"/>
            <w:tcMar>
              <w:top w:w="60" w:type="dxa"/>
              <w:start w:w="110" w:type="dxa"/>
              <w:bottom w:w="60" w:type="dxa"/>
              <w:end w:w="110" w:type="dxa"/>
            </w:tcMar>
          </w:tcPr>
          <w:p>
            <w:pPr>
              <w:spacing w:after="0"/>
            </w:pPr>
            <w:r/>
            <w:r>
              <w:rPr>
                <w:rFonts w:ascii="Consolas" w:hAnsi="Consolas"/>
                <w:color w:val="146EF5"/>
                <w:sz w:val="14"/>
              </w:rPr>
              <w:t>My Ajos › Lagos Market Monthly 2026</w:t>
            </w:r>
          </w:p>
        </w:tc>
        <w:tc>
          <w:tcPr>
            <w:tcW w:type="dxa" w:w="4723"/>
            <w:tcMar>
              <w:top w:w="60" w:type="dxa"/>
              <w:start w:w="110" w:type="dxa"/>
              <w:bottom w:w="60" w:type="dxa"/>
              <w:end w:w="110" w:type="dxa"/>
            </w:tcMar>
          </w:tcPr>
          <w:p>
            <w:pPr>
              <w:spacing w:after="0"/>
            </w:pPr>
            <w:r/>
            <w:r>
              <w:rPr>
                <w:rFonts w:ascii="Calibri" w:hAnsi="Calibri"/>
                <w:b w:val="0"/>
                <w:i w:val="0"/>
                <w:color w:val="101828"/>
                <w:sz w:val="14"/>
              </w:rPr>
              <w:t>The Ajo is inside the member's collection. The Ajo name is truncated to 24 characters with a full name in the accessible label.</w:t>
            </w:r>
          </w:p>
        </w:tc>
      </w:tr>
      <w:tr>
        <w:trPr>
          <w:cantSplit/>
        </w:trPr>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4"/>
              </w:rPr>
              <w:t>Members, Schedule, Contributions, Payouts, Economics</w:t>
            </w:r>
          </w:p>
        </w:tc>
        <w:tc>
          <w:tcPr>
            <w:tcW w:type="dxa" w:w="2678"/>
            <w:tcMar>
              <w:top w:w="60" w:type="dxa"/>
              <w:start w:w="110" w:type="dxa"/>
              <w:bottom w:w="60" w:type="dxa"/>
              <w:end w:w="110" w:type="dxa"/>
            </w:tcMar>
            <w:shd w:val="clear" w:color="auto" w:fill="F4F7FB"/>
          </w:tcPr>
          <w:p>
            <w:pPr>
              <w:spacing w:after="0"/>
            </w:pPr>
            <w:r/>
            <w:r>
              <w:rPr>
                <w:rFonts w:ascii="Consolas" w:hAnsi="Consolas"/>
                <w:color w:val="146EF5"/>
                <w:sz w:val="14"/>
              </w:rPr>
              <w:t>My Ajos › {ajo} › {tab}</w:t>
            </w:r>
          </w:p>
        </w:tc>
        <w:tc>
          <w:tcPr>
            <w:tcW w:type="dxa" w:w="4723"/>
            <w:tcMar>
              <w:top w:w="60" w:type="dxa"/>
              <w:start w:w="110" w:type="dxa"/>
              <w:bottom w:w="60" w:type="dxa"/>
              <w:end w:w="110" w:type="dxa"/>
            </w:tcMar>
            <w:shd w:val="clear" w:color="auto" w:fill="F4F7FB"/>
          </w:tcPr>
          <w:p>
            <w:pPr>
              <w:spacing w:after="0"/>
            </w:pPr>
            <w:r/>
            <w:r>
              <w:rPr>
                <w:rFonts w:ascii="Calibri" w:hAnsi="Calibri"/>
                <w:b w:val="0"/>
                <w:i w:val="0"/>
                <w:color w:val="101828"/>
                <w:sz w:val="14"/>
              </w:rPr>
              <w:t>These are views of an Ajo, not pages in a hierarchy. The middle crumb is the Ajo and the last is the current tab.</w:t>
            </w:r>
          </w:p>
        </w:tc>
      </w:tr>
      <w:tr>
        <w:trPr>
          <w:cantSplit/>
        </w:trPr>
        <w:tc>
          <w:tcPr>
            <w:tcW w:type="dxa" w:w="1958"/>
            <w:tcMar>
              <w:top w:w="60" w:type="dxa"/>
              <w:start w:w="110" w:type="dxa"/>
              <w:bottom w:w="60" w:type="dxa"/>
              <w:end w:w="110" w:type="dxa"/>
            </w:tcMar>
          </w:tcPr>
          <w:p>
            <w:pPr>
              <w:spacing w:after="0"/>
            </w:pPr>
            <w:r/>
            <w:r>
              <w:rPr>
                <w:rFonts w:ascii="Calibri" w:hAnsi="Calibri"/>
                <w:b w:val="0"/>
                <w:i w:val="0"/>
                <w:color w:val="101828"/>
                <w:sz w:val="14"/>
              </w:rPr>
              <w:t>Pay Contribution</w:t>
            </w:r>
          </w:p>
        </w:tc>
        <w:tc>
          <w:tcPr>
            <w:tcW w:type="dxa" w:w="2678"/>
            <w:tcMar>
              <w:top w:w="60" w:type="dxa"/>
              <w:start w:w="110" w:type="dxa"/>
              <w:bottom w:w="60" w:type="dxa"/>
              <w:end w:w="110" w:type="dxa"/>
            </w:tcMar>
          </w:tcPr>
          <w:p>
            <w:pPr>
              <w:spacing w:after="0"/>
            </w:pPr>
            <w:r/>
            <w:r>
              <w:rPr>
                <w:rFonts w:ascii="Consolas" w:hAnsi="Consolas"/>
                <w:color w:val="146EF5"/>
                <w:sz w:val="14"/>
              </w:rPr>
              <w:t>{ajo} › {round} contribution › Pay</w:t>
            </w:r>
          </w:p>
        </w:tc>
        <w:tc>
          <w:tcPr>
            <w:tcW w:type="dxa" w:w="4723"/>
            <w:tcMar>
              <w:top w:w="60" w:type="dxa"/>
              <w:start w:w="110" w:type="dxa"/>
              <w:bottom w:w="60" w:type="dxa"/>
              <w:end w:w="110" w:type="dxa"/>
            </w:tcMar>
          </w:tcPr>
          <w:p>
            <w:pPr>
              <w:spacing w:after="0"/>
            </w:pPr>
            <w:r/>
            <w:r>
              <w:rPr>
                <w:rFonts w:ascii="Calibri" w:hAnsi="Calibri"/>
                <w:b w:val="0"/>
                <w:i w:val="0"/>
                <w:color w:val="101828"/>
                <w:sz w:val="14"/>
              </w:rPr>
              <w:t xml:space="preserve">No </w:t>
            </w:r>
            <w:r>
              <w:rPr>
                <w:rFonts w:ascii="Calibri" w:hAnsi="Calibri"/>
                <w:i/>
                <w:color w:val="101828"/>
                <w:sz w:val="14"/>
              </w:rPr>
              <w:t>My Ajos</w:t>
            </w:r>
            <w:r>
              <w:rPr>
                <w:rFonts w:ascii="Calibri" w:hAnsi="Calibri"/>
                <w:b w:val="0"/>
                <w:i w:val="0"/>
                <w:color w:val="101828"/>
                <w:sz w:val="14"/>
              </w:rPr>
              <w:t xml:space="preserve"> crumb. The member is one action from money and every extra crumb is a chance to leave. Back returns to the contribution, and the back gesture does not lose the selected method.</w:t>
            </w:r>
          </w:p>
        </w:tc>
      </w:tr>
      <w:tr>
        <w:trPr>
          <w:cantSplit/>
        </w:trPr>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4"/>
              </w:rPr>
              <w:t>Payment processing</w:t>
            </w:r>
          </w:p>
        </w:tc>
        <w:tc>
          <w:tcPr>
            <w:tcW w:type="dxa" w:w="2678"/>
            <w:tcMar>
              <w:top w:w="60" w:type="dxa"/>
              <w:start w:w="110" w:type="dxa"/>
              <w:bottom w:w="60" w:type="dxa"/>
              <w:end w:w="110" w:type="dxa"/>
            </w:tcMar>
            <w:shd w:val="clear" w:color="auto" w:fill="F4F7FB"/>
          </w:tcPr>
          <w:p>
            <w:pPr>
              <w:spacing w:after="0"/>
            </w:pPr>
            <w:r/>
            <w:r>
              <w:rPr>
                <w:rFonts w:ascii="Calibri" w:hAnsi="Calibri"/>
                <w:b/>
                <w:color w:val="101828"/>
                <w:sz w:val="14"/>
              </w:rPr>
              <w:t>No breadcrumb.</w:t>
            </w:r>
            <w:r>
              <w:rPr>
                <w:rFonts w:ascii="Calibri" w:hAnsi="Calibri"/>
                <w:b w:val="0"/>
                <w:i w:val="0"/>
                <w:color w:val="101828"/>
                <w:sz w:val="14"/>
              </w:rPr>
              <w:t xml:space="preserve"> Non-dismissable.</w:t>
            </w:r>
          </w:p>
        </w:tc>
        <w:tc>
          <w:tcPr>
            <w:tcW w:type="dxa" w:w="4723"/>
            <w:tcMar>
              <w:top w:w="60" w:type="dxa"/>
              <w:start w:w="110" w:type="dxa"/>
              <w:bottom w:w="60" w:type="dxa"/>
              <w:end w:w="110" w:type="dxa"/>
            </w:tcMar>
            <w:shd w:val="clear" w:color="auto" w:fill="F4F7FB"/>
          </w:tcPr>
          <w:p>
            <w:pPr>
              <w:spacing w:after="0"/>
            </w:pPr>
            <w:r/>
            <w:r>
              <w:rPr>
                <w:rFonts w:ascii="Calibri" w:hAnsi="Calibri"/>
                <w:b w:val="0"/>
                <w:i w:val="0"/>
                <w:color w:val="101828"/>
                <w:sz w:val="14"/>
              </w:rPr>
              <w:t>There is nothing to go back to. Leaving does not cancel the payment.</w:t>
            </w:r>
          </w:p>
        </w:tc>
      </w:tr>
      <w:tr>
        <w:trPr>
          <w:cantSplit/>
        </w:trPr>
        <w:tc>
          <w:tcPr>
            <w:tcW w:type="dxa" w:w="1958"/>
            <w:tcMar>
              <w:top w:w="60" w:type="dxa"/>
              <w:start w:w="110" w:type="dxa"/>
              <w:bottom w:w="60" w:type="dxa"/>
              <w:end w:w="110" w:type="dxa"/>
            </w:tcMar>
          </w:tcPr>
          <w:p>
            <w:pPr>
              <w:spacing w:after="0"/>
            </w:pPr>
            <w:r/>
            <w:r>
              <w:rPr>
                <w:rFonts w:ascii="Calibri" w:hAnsi="Calibri"/>
                <w:b w:val="0"/>
                <w:i w:val="0"/>
                <w:color w:val="101828"/>
                <w:sz w:val="14"/>
              </w:rPr>
              <w:t>Payment receipt</w:t>
            </w:r>
          </w:p>
        </w:tc>
        <w:tc>
          <w:tcPr>
            <w:tcW w:type="dxa" w:w="2678"/>
            <w:tcMar>
              <w:top w:w="60" w:type="dxa"/>
              <w:start w:w="110" w:type="dxa"/>
              <w:bottom w:w="60" w:type="dxa"/>
              <w:end w:w="110" w:type="dxa"/>
            </w:tcMar>
          </w:tcPr>
          <w:p>
            <w:pPr>
              <w:spacing w:after="0"/>
            </w:pPr>
            <w:r/>
            <w:r>
              <w:rPr>
                <w:rFonts w:ascii="Consolas" w:hAnsi="Consolas"/>
                <w:color w:val="146EF5"/>
                <w:sz w:val="14"/>
              </w:rPr>
              <w:t>{ajo} › {round} contribution › Receipt</w:t>
            </w:r>
          </w:p>
        </w:tc>
        <w:tc>
          <w:tcPr>
            <w:tcW w:type="dxa" w:w="4723"/>
            <w:tcMar>
              <w:top w:w="60" w:type="dxa"/>
              <w:start w:w="110" w:type="dxa"/>
              <w:bottom w:w="60" w:type="dxa"/>
              <w:end w:w="110" w:type="dxa"/>
            </w:tcMar>
          </w:tcPr>
          <w:p>
            <w:pPr>
              <w:spacing w:after="0"/>
            </w:pPr>
            <w:r/>
            <w:r>
              <w:rPr>
                <w:rFonts w:ascii="Calibri" w:hAnsi="Calibri"/>
                <w:b w:val="0"/>
                <w:i w:val="0"/>
                <w:color w:val="101828"/>
                <w:sz w:val="14"/>
              </w:rPr>
              <w:t>Reached from the contribution, not from the payment. The receipt is the member's record, and the record hangs off the obligation.</w:t>
            </w:r>
          </w:p>
        </w:tc>
      </w:tr>
      <w:tr>
        <w:trPr>
          <w:cantSplit/>
        </w:trPr>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4"/>
              </w:rPr>
              <w:t>Payout detail</w:t>
            </w:r>
          </w:p>
        </w:tc>
        <w:tc>
          <w:tcPr>
            <w:tcW w:type="dxa" w:w="2678"/>
            <w:tcMar>
              <w:top w:w="60" w:type="dxa"/>
              <w:start w:w="110" w:type="dxa"/>
              <w:bottom w:w="60" w:type="dxa"/>
              <w:end w:w="110" w:type="dxa"/>
            </w:tcMar>
            <w:shd w:val="clear" w:color="auto" w:fill="F4F7FB"/>
          </w:tcPr>
          <w:p>
            <w:pPr>
              <w:spacing w:after="0"/>
            </w:pPr>
            <w:r/>
            <w:r>
              <w:rPr>
                <w:rFonts w:ascii="Consolas" w:hAnsi="Consolas"/>
                <w:color w:val="146EF5"/>
                <w:sz w:val="14"/>
              </w:rPr>
              <w:t>Payouts › {round} payout</w:t>
            </w:r>
          </w:p>
        </w:tc>
        <w:tc>
          <w:tcPr>
            <w:tcW w:type="dxa" w:w="4723"/>
            <w:tcMar>
              <w:top w:w="60" w:type="dxa"/>
              <w:start w:w="110" w:type="dxa"/>
              <w:bottom w:w="60" w:type="dxa"/>
              <w:end w:w="110" w:type="dxa"/>
            </w:tcMar>
            <w:shd w:val="clear" w:color="auto" w:fill="F4F7FB"/>
          </w:tcPr>
          <w:p>
            <w:pPr>
              <w:spacing w:after="0"/>
            </w:pPr>
            <w:r/>
            <w:r>
              <w:rPr>
                <w:rFonts w:ascii="Calibri" w:hAnsi="Calibri"/>
                <w:b w:val="0"/>
                <w:i w:val="0"/>
                <w:color w:val="101828"/>
                <w:sz w:val="14"/>
              </w:rPr>
              <w:t>Global payouts list, then the record. The Ajo name is in the header, not the trail, because a member consults payouts across Ajos.</w:t>
            </w:r>
          </w:p>
        </w:tc>
      </w:tr>
      <w:tr>
        <w:trPr>
          <w:cantSplit/>
        </w:trPr>
        <w:tc>
          <w:tcPr>
            <w:tcW w:type="dxa" w:w="1958"/>
            <w:tcMar>
              <w:top w:w="60" w:type="dxa"/>
              <w:start w:w="110" w:type="dxa"/>
              <w:bottom w:w="60" w:type="dxa"/>
              <w:end w:w="110" w:type="dxa"/>
            </w:tcMar>
          </w:tcPr>
          <w:p>
            <w:pPr>
              <w:spacing w:after="0"/>
            </w:pPr>
            <w:r/>
            <w:r>
              <w:rPr>
                <w:rFonts w:ascii="Calibri" w:hAnsi="Calibri"/>
                <w:b w:val="0"/>
                <w:i w:val="0"/>
                <w:color w:val="101828"/>
                <w:sz w:val="14"/>
              </w:rPr>
              <w:t>Dispute thread</w:t>
            </w:r>
          </w:p>
        </w:tc>
        <w:tc>
          <w:tcPr>
            <w:tcW w:type="dxa" w:w="2678"/>
            <w:tcMar>
              <w:top w:w="60" w:type="dxa"/>
              <w:start w:w="110" w:type="dxa"/>
              <w:bottom w:w="60" w:type="dxa"/>
              <w:end w:w="110" w:type="dxa"/>
            </w:tcMar>
          </w:tcPr>
          <w:p>
            <w:pPr>
              <w:spacing w:after="0"/>
            </w:pPr>
            <w:r/>
            <w:r>
              <w:rPr>
                <w:rFonts w:ascii="Consolas" w:hAnsi="Consolas"/>
                <w:color w:val="146EF5"/>
                <w:sz w:val="14"/>
              </w:rPr>
              <w:t>Disputes › {reference}</w:t>
            </w:r>
          </w:p>
        </w:tc>
        <w:tc>
          <w:tcPr>
            <w:tcW w:type="dxa" w:w="4723"/>
            <w:tcMar>
              <w:top w:w="60" w:type="dxa"/>
              <w:start w:w="110" w:type="dxa"/>
              <w:bottom w:w="60" w:type="dxa"/>
              <w:end w:w="110" w:type="dxa"/>
            </w:tcMar>
          </w:tcPr>
          <w:p>
            <w:pPr>
              <w:spacing w:after="0"/>
            </w:pPr>
            <w:r/>
            <w:r>
              <w:rPr>
                <w:rFonts w:ascii="Calibri" w:hAnsi="Calibri"/>
                <w:b w:val="0"/>
                <w:i w:val="0"/>
                <w:color w:val="101828"/>
                <w:sz w:val="14"/>
              </w:rPr>
              <w:t>Disputes are cross-Ajo; the Ajo is a field in the record, not a parent in the trail.</w:t>
            </w:r>
          </w:p>
        </w:tc>
      </w:tr>
      <w:tr>
        <w:trPr>
          <w:cantSplit/>
        </w:trPr>
        <w:tc>
          <w:tcPr>
            <w:tcW w:type="dxa" w:w="1958"/>
            <w:tcMar>
              <w:top w:w="60" w:type="dxa"/>
              <w:start w:w="110" w:type="dxa"/>
              <w:bottom w:w="60" w:type="dxa"/>
              <w:end w:w="110" w:type="dxa"/>
            </w:tcMar>
            <w:shd w:val="clear" w:color="auto" w:fill="F4F7FB"/>
          </w:tcPr>
          <w:p>
            <w:pPr>
              <w:spacing w:after="0"/>
            </w:pPr>
            <w:r/>
            <w:r>
              <w:rPr>
                <w:rFonts w:ascii="Calibri" w:hAnsi="Calibri"/>
                <w:b w:val="0"/>
                <w:i w:val="0"/>
                <w:color w:val="101828"/>
                <w:sz w:val="14"/>
              </w:rPr>
              <w:t>Settings, Security, Support, Profile</w:t>
            </w:r>
          </w:p>
        </w:tc>
        <w:tc>
          <w:tcPr>
            <w:tcW w:type="dxa" w:w="2678"/>
            <w:tcMar>
              <w:top w:w="60" w:type="dxa"/>
              <w:start w:w="110" w:type="dxa"/>
              <w:bottom w:w="60" w:type="dxa"/>
              <w:end w:w="110" w:type="dxa"/>
            </w:tcMar>
            <w:shd w:val="clear" w:color="auto" w:fill="F4F7FB"/>
          </w:tcPr>
          <w:p>
            <w:pPr>
              <w:spacing w:after="0"/>
            </w:pPr>
            <w:r/>
            <w:r>
              <w:rPr>
                <w:rFonts w:ascii="Calibri" w:hAnsi="Calibri"/>
                <w:b/>
                <w:color w:val="101828"/>
                <w:sz w:val="14"/>
              </w:rPr>
              <w:t>No breadcrumb.</w:t>
            </w:r>
          </w:p>
        </w:tc>
        <w:tc>
          <w:tcPr>
            <w:tcW w:type="dxa" w:w="4723"/>
            <w:tcMar>
              <w:top w:w="60" w:type="dxa"/>
              <w:start w:w="110" w:type="dxa"/>
              <w:bottom w:w="60" w:type="dxa"/>
              <w:end w:w="110" w:type="dxa"/>
            </w:tcMar>
            <w:shd w:val="clear" w:color="auto" w:fill="F4F7FB"/>
          </w:tcPr>
          <w:p>
            <w:pPr>
              <w:spacing w:after="0"/>
            </w:pPr>
            <w:r/>
            <w:r>
              <w:rPr>
                <w:rFonts w:ascii="Calibri" w:hAnsi="Calibri"/>
                <w:b w:val="0"/>
                <w:i w:val="0"/>
                <w:color w:val="101828"/>
                <w:sz w:val="14"/>
              </w:rPr>
              <w:t>Top-level destinations reached from the More sheet or the account menu.</w:t>
            </w:r>
          </w:p>
        </w:tc>
      </w:tr>
      <w:tr>
        <w:trPr>
          <w:cantSplit/>
        </w:trPr>
        <w:tc>
          <w:tcPr>
            <w:tcW w:type="dxa" w:w="1958"/>
            <w:tcMar>
              <w:top w:w="60" w:type="dxa"/>
              <w:start w:w="110" w:type="dxa"/>
              <w:bottom w:w="60" w:type="dxa"/>
              <w:end w:w="110" w:type="dxa"/>
            </w:tcMar>
          </w:tcPr>
          <w:p>
            <w:pPr>
              <w:spacing w:after="0"/>
            </w:pPr>
            <w:r/>
            <w:r>
              <w:rPr>
                <w:rFonts w:ascii="Calibri" w:hAnsi="Calibri"/>
                <w:b w:val="0"/>
                <w:i w:val="0"/>
                <w:color w:val="101828"/>
                <w:sz w:val="14"/>
              </w:rPr>
              <w:t>All tier-3 screens</w:t>
            </w:r>
          </w:p>
        </w:tc>
        <w:tc>
          <w:tcPr>
            <w:tcW w:type="dxa" w:w="2678"/>
            <w:tcMar>
              <w:top w:w="60" w:type="dxa"/>
              <w:start w:w="110" w:type="dxa"/>
              <w:bottom w:w="60" w:type="dxa"/>
              <w:end w:w="110" w:type="dxa"/>
            </w:tcMar>
          </w:tcPr>
          <w:p>
            <w:pPr>
              <w:spacing w:after="0"/>
            </w:pPr>
            <w:r/>
            <w:r>
              <w:rPr>
                <w:rFonts w:ascii="Calibri" w:hAnsi="Calibri"/>
                <w:b/>
                <w:color w:val="101828"/>
                <w:sz w:val="14"/>
              </w:rPr>
              <w:t>No breadcrumbs.</w:t>
            </w:r>
            <w:r>
              <w:rPr>
                <w:rFonts w:ascii="Calibri" w:hAnsi="Calibri"/>
                <w:b w:val="0"/>
                <w:i w:val="0"/>
                <w:color w:val="101828"/>
                <w:sz w:val="14"/>
              </w:rPr>
              <w:t xml:space="preserve"> Fixed left rail only.</w:t>
            </w:r>
          </w:p>
        </w:tc>
        <w:tc>
          <w:tcPr>
            <w:tcW w:type="dxa" w:w="4723"/>
            <w:tcMar>
              <w:top w:w="60" w:type="dxa"/>
              <w:start w:w="110" w:type="dxa"/>
              <w:bottom w:w="60" w:type="dxa"/>
              <w:end w:w="110" w:type="dxa"/>
            </w:tcMar>
          </w:tcPr>
          <w:p>
            <w:pPr>
              <w:spacing w:after="0"/>
            </w:pPr>
            <w:r/>
            <w:r>
              <w:rPr>
                <w:rFonts w:ascii="Calibri" w:hAnsi="Calibri"/>
                <w:b w:val="0"/>
                <w:i w:val="0"/>
                <w:color w:val="101828"/>
                <w:sz w:val="14"/>
              </w:rPr>
              <w:t>An admin console is a two-dimensional work surface. A trail implies a containment relationship that does not exist.</w:t>
            </w:r>
          </w:p>
        </w:tc>
      </w:tr>
    </w:tbl>
    <w:p>
      <w:pPr>
        <w:spacing w:after="80"/>
      </w:pPr>
    </w:p>
    <w:p>
      <w:pPr>
        <w:pStyle w:val="ListBullet"/>
        <w:spacing w:after="60"/>
        <w:ind w:left="360"/>
      </w:pPr>
      <w:r>
        <w:rPr>
          <w:rFonts w:ascii="Calibri" w:hAnsi="Calibri"/>
          <w:b w:val="0"/>
          <w:i w:val="0"/>
          <w:color w:val="101828"/>
          <w:sz w:val="21"/>
        </w:rPr>
        <w:t xml:space="preserve">The last crumb is the current page and is not a link; it carries </w:t>
      </w:r>
      <w:r>
        <w:rPr>
          <w:rFonts w:ascii="Consolas" w:hAnsi="Consolas"/>
          <w:color w:val="146EF5"/>
          <w:sz w:val="21"/>
        </w:rPr>
        <w:t>aria-current="page"</w:t>
      </w:r>
      <w:r>
        <w:rPr>
          <w:rFonts w:ascii="Calibri" w:hAnsi="Calibri"/>
          <w:b w:val="0"/>
          <w:i w:val="0"/>
          <w:color w:val="101828"/>
          <w:sz w:val="21"/>
        </w:rPr>
        <w:t>.</w:t>
      </w:r>
    </w:p>
    <w:p>
      <w:pPr>
        <w:pStyle w:val="ListBullet"/>
        <w:spacing w:after="60"/>
        <w:ind w:left="360"/>
      </w:pPr>
      <w:r>
        <w:rPr>
          <w:rFonts w:ascii="Calibri" w:hAnsi="Calibri"/>
          <w:b w:val="0"/>
          <w:i w:val="0"/>
          <w:color w:val="101828"/>
          <w:sz w:val="21"/>
        </w:rPr>
        <w:t xml:space="preserve">The separator is a decorative glyph, not a character read by a screen reader; the trail is a </w:t>
      </w:r>
      <w:r>
        <w:rPr>
          <w:rFonts w:ascii="Consolas" w:hAnsi="Consolas"/>
          <w:color w:val="146EF5"/>
          <w:sz w:val="21"/>
        </w:rPr>
        <w:t>&lt;nav&gt;</w:t>
      </w:r>
      <w:r>
        <w:rPr>
          <w:rFonts w:ascii="Calibri" w:hAnsi="Calibri"/>
          <w:b w:val="0"/>
          <w:i w:val="0"/>
          <w:color w:val="101828"/>
          <w:sz w:val="21"/>
        </w:rPr>
        <w:t xml:space="preserve"> with a label and an ordered list.</w:t>
      </w:r>
    </w:p>
    <w:p>
      <w:pPr>
        <w:pStyle w:val="ListBullet"/>
        <w:spacing w:after="60"/>
        <w:ind w:left="360"/>
      </w:pPr>
      <w:r>
        <w:rPr>
          <w:rFonts w:ascii="Calibri" w:hAnsi="Calibri"/>
          <w:b w:val="0"/>
          <w:i w:val="0"/>
          <w:color w:val="101828"/>
          <w:sz w:val="21"/>
        </w:rPr>
        <w:t xml:space="preserve">On mobile below 768 px the trail collapses to </w:t>
      </w:r>
      <w:r>
        <w:rPr>
          <w:rFonts w:ascii="Calibri" w:hAnsi="Calibri"/>
          <w:i/>
          <w:color w:val="101828"/>
          <w:sz w:val="21"/>
        </w:rPr>
        <w:t>Back ‹ {Ajo name}</w:t>
      </w:r>
      <w:r>
        <w:rPr>
          <w:rFonts w:ascii="Calibri" w:hAnsi="Calibri"/>
          <w:b w:val="0"/>
          <w:i w:val="0"/>
          <w:color w:val="101828"/>
          <w:sz w:val="21"/>
        </w:rPr>
        <w:t xml:space="preserve"> plus the standard system back, because three crumbs at 375 px truncate into uselessness.</w:t>
      </w:r>
    </w:p>
    <w:p>
      <w:pPr>
        <w:pStyle w:val="ListBullet"/>
        <w:spacing w:after="60"/>
        <w:ind w:left="360"/>
      </w:pPr>
      <w:r>
        <w:rPr>
          <w:rFonts w:ascii="Calibri" w:hAnsi="Calibri"/>
          <w:b w:val="0"/>
          <w:i w:val="0"/>
          <w:color w:val="101828"/>
          <w:sz w:val="21"/>
        </w:rPr>
        <w:t>A trail never shows a crumb the member cannot reach. A removed member or a cancelled Ajo removes its crumb.</w:t>
      </w:r>
    </w:p>
    <w:p>
      <w:pPr>
        <w:pStyle w:val="Heading2"/>
      </w:pPr>
      <w:r>
        <w:rPr>
          <w:rFonts w:ascii="Calibri" w:hAnsi="Calibri"/>
          <w:b/>
          <w:i w:val="0"/>
          <w:color w:val="146EF5"/>
          <w:sz w:val="29"/>
        </w:rPr>
        <w:t>3.11 SEO and the public/private boundary</w:t>
      </w:r>
    </w:p>
    <w:p>
      <w:r>
        <w:rPr>
          <w:rFonts w:ascii="Calibri" w:hAnsi="Calibri"/>
          <w:b w:val="0"/>
          <w:i w:val="0"/>
          <w:color w:val="101828"/>
          <w:sz w:val="21"/>
        </w:rPr>
        <w:t xml:space="preserve">The rule is short: </w:t>
      </w:r>
      <w:r>
        <w:rPr>
          <w:rFonts w:ascii="Calibri" w:hAnsi="Calibri"/>
          <w:b/>
          <w:color w:val="101828"/>
          <w:sz w:val="21"/>
        </w:rPr>
        <w:t>indexable content is content that is true for every visitor, and AJO.ng has almost none of it that is interesting.</w:t>
      </w:r>
      <w:r>
        <w:rPr>
          <w:rFonts w:ascii="Calibri" w:hAnsi="Calibri"/>
          <w:b w:val="0"/>
          <w:i w:val="0"/>
          <w:color w:val="101828"/>
          <w:sz w:val="21"/>
        </w:rPr>
        <w:t xml:space="preserve"> The marketing site is the product's search surface and it is optimised as such. The application and the admin console are not indexed at all, and that is enforced in three independent places so that a single missing tag is not a data leak.</w:t>
      </w:r>
    </w:p>
    <w:p>
      <w:pPr>
        <w:pStyle w:val="Heading3"/>
      </w:pPr>
      <w:r>
        <w:rPr>
          <w:rFonts w:ascii="Calibri" w:hAnsi="Calibri"/>
          <w:b/>
          <w:i w:val="0"/>
          <w:color w:val="0B1F3A"/>
          <w:sz w:val="24"/>
        </w:rPr>
        <w:t>3.11.1 Indexing policy by tier</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4"/>
              </w:rPr>
              <w:t>Tier</w:t>
            </w:r>
          </w:p>
        </w:tc>
        <w:tc>
          <w:tcPr>
            <w:tcW w:type="dxa" w:w="2390"/>
            <w:shd w:val="clear" w:color="auto" w:fill="0B1F3A"/>
            <w:tcMar>
              <w:top w:w="60" w:type="dxa"/>
              <w:start w:w="110" w:type="dxa"/>
              <w:bottom w:w="60" w:type="dxa"/>
              <w:end w:w="110" w:type="dxa"/>
            </w:tcMar>
          </w:tcPr>
          <w:p>
            <w:pPr>
              <w:spacing w:after="0"/>
            </w:pPr>
            <w:r/>
            <w:r>
              <w:rPr>
                <w:rFonts w:ascii="Consolas" w:hAnsi="Consolas"/>
                <w:color w:val="146EF5"/>
                <w:sz w:val="14"/>
              </w:rPr>
              <w:t>&lt;meta robots&gt;</w:t>
            </w:r>
          </w:p>
        </w:tc>
        <w:tc>
          <w:tcPr>
            <w:tcW w:type="dxa" w:w="1526"/>
            <w:shd w:val="clear" w:color="auto" w:fill="0B1F3A"/>
            <w:tcMar>
              <w:top w:w="60" w:type="dxa"/>
              <w:start w:w="110" w:type="dxa"/>
              <w:bottom w:w="60" w:type="dxa"/>
              <w:end w:w="110" w:type="dxa"/>
            </w:tcMar>
          </w:tcPr>
          <w:p>
            <w:pPr>
              <w:spacing w:after="0"/>
            </w:pPr>
            <w:r/>
            <w:r>
              <w:rPr>
                <w:rFonts w:ascii="Consolas" w:hAnsi="Consolas"/>
                <w:color w:val="146EF5"/>
                <w:sz w:val="14"/>
              </w:rPr>
              <w:t>robots.txt</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4"/>
              </w:rPr>
              <w:t xml:space="preserve">In </w:t>
            </w:r>
            <w:r>
              <w:rPr>
                <w:rFonts w:ascii="Consolas" w:hAnsi="Consolas"/>
                <w:color w:val="146EF5"/>
                <w:sz w:val="14"/>
              </w:rPr>
              <w:t>sitemap.xml</w:t>
            </w:r>
          </w:p>
        </w:tc>
        <w:tc>
          <w:tcPr>
            <w:tcW w:type="dxa" w:w="2131"/>
            <w:shd w:val="clear" w:color="auto" w:fill="0B1F3A"/>
            <w:tcMar>
              <w:top w:w="60" w:type="dxa"/>
              <w:start w:w="110" w:type="dxa"/>
              <w:bottom w:w="60" w:type="dxa"/>
              <w:end w:w="110" w:type="dxa"/>
            </w:tcMar>
          </w:tcPr>
          <w:p>
            <w:pPr>
              <w:spacing w:after="0"/>
            </w:pPr>
            <w:r/>
            <w:r>
              <w:rPr>
                <w:rFonts w:ascii="Calibri" w:hAnsi="Calibri"/>
                <w:b/>
                <w:i w:val="0"/>
                <w:color w:val="FFFFFF"/>
                <w:sz w:val="14"/>
              </w:rPr>
              <w:t>Cache</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4"/>
              </w:rPr>
              <w:t>Tier 1 content</w:t>
            </w:r>
          </w:p>
        </w:tc>
        <w:tc>
          <w:tcPr>
            <w:tcW w:type="dxa" w:w="2390"/>
            <w:tcMar>
              <w:top w:w="60" w:type="dxa"/>
              <w:start w:w="110" w:type="dxa"/>
              <w:bottom w:w="60" w:type="dxa"/>
              <w:end w:w="110" w:type="dxa"/>
            </w:tcMar>
          </w:tcPr>
          <w:p>
            <w:pPr>
              <w:spacing w:after="0"/>
            </w:pPr>
            <w:r/>
            <w:r>
              <w:rPr>
                <w:rFonts w:ascii="Consolas" w:hAnsi="Consolas"/>
                <w:color w:val="146EF5"/>
                <w:sz w:val="14"/>
              </w:rPr>
              <w:t>index, follow, max-image-preview:large</w:t>
            </w:r>
          </w:p>
        </w:tc>
        <w:tc>
          <w:tcPr>
            <w:tcW w:type="dxa" w:w="1526"/>
            <w:tcMar>
              <w:top w:w="60" w:type="dxa"/>
              <w:start w:w="110" w:type="dxa"/>
              <w:bottom w:w="60" w:type="dxa"/>
              <w:end w:w="110" w:type="dxa"/>
            </w:tcMar>
          </w:tcPr>
          <w:p>
            <w:pPr>
              <w:spacing w:after="0"/>
            </w:pPr>
            <w:r/>
            <w:r>
              <w:rPr>
                <w:rFonts w:ascii="Calibri" w:hAnsi="Calibri"/>
                <w:b w:val="0"/>
                <w:i w:val="0"/>
                <w:color w:val="101828"/>
                <w:sz w:val="14"/>
              </w:rPr>
              <w:t>Allowed</w:t>
            </w:r>
          </w:p>
        </w:tc>
        <w:tc>
          <w:tcPr>
            <w:tcW w:type="dxa" w:w="1728"/>
            <w:tcMar>
              <w:top w:w="60" w:type="dxa"/>
              <w:start w:w="110" w:type="dxa"/>
              <w:bottom w:w="60" w:type="dxa"/>
              <w:end w:w="110" w:type="dxa"/>
            </w:tcMar>
          </w:tcPr>
          <w:p>
            <w:pPr>
              <w:spacing w:after="0"/>
            </w:pPr>
            <w:r/>
            <w:r>
              <w:rPr>
                <w:rFonts w:ascii="Calibri" w:hAnsi="Calibri"/>
                <w:b w:val="0"/>
                <w:i w:val="0"/>
                <w:color w:val="101828"/>
                <w:sz w:val="14"/>
              </w:rPr>
              <w:t xml:space="preserve">Yes — 10 content URLs, </w:t>
            </w:r>
            <w:r>
              <w:rPr>
                <w:rFonts w:ascii="Consolas" w:hAnsi="Consolas"/>
                <w:color w:val="146EF5"/>
                <w:sz w:val="14"/>
              </w:rPr>
              <w:t>lastmod</w:t>
            </w:r>
            <w:r>
              <w:rPr>
                <w:rFonts w:ascii="Calibri" w:hAnsi="Calibri"/>
                <w:b w:val="0"/>
                <w:i w:val="0"/>
                <w:color w:val="101828"/>
                <w:sz w:val="14"/>
              </w:rPr>
              <w:t>, no parameters</w:t>
            </w:r>
          </w:p>
        </w:tc>
        <w:tc>
          <w:tcPr>
            <w:tcW w:type="dxa" w:w="2131"/>
            <w:tcMar>
              <w:top w:w="60" w:type="dxa"/>
              <w:start w:w="110" w:type="dxa"/>
              <w:bottom w:w="60" w:type="dxa"/>
              <w:end w:w="110" w:type="dxa"/>
            </w:tcMar>
          </w:tcPr>
          <w:p>
            <w:pPr>
              <w:spacing w:after="0"/>
            </w:pPr>
            <w:r/>
            <w:r>
              <w:rPr>
                <w:rFonts w:ascii="Calibri" w:hAnsi="Calibri"/>
                <w:b w:val="0"/>
                <w:i w:val="0"/>
                <w:color w:val="101828"/>
                <w:sz w:val="14"/>
              </w:rPr>
              <w:t>Public CDN, short TTL</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Tier 1 auth pages</w:t>
            </w:r>
          </w:p>
        </w:tc>
        <w:tc>
          <w:tcPr>
            <w:tcW w:type="dxa" w:w="2390"/>
            <w:tcMar>
              <w:top w:w="60" w:type="dxa"/>
              <w:start w:w="110" w:type="dxa"/>
              <w:bottom w:w="60" w:type="dxa"/>
              <w:end w:w="110" w:type="dxa"/>
            </w:tcMar>
            <w:shd w:val="clear" w:color="auto" w:fill="F4F7FB"/>
          </w:tcPr>
          <w:p>
            <w:pPr>
              <w:spacing w:after="0"/>
            </w:pPr>
            <w:r/>
            <w:r>
              <w:rPr>
                <w:rFonts w:ascii="Consolas" w:hAnsi="Consolas"/>
                <w:color w:val="146EF5"/>
                <w:sz w:val="14"/>
              </w:rPr>
              <w:t>noindex, follow</w:t>
            </w:r>
          </w:p>
        </w:tc>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Disallowed</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No</w:t>
            </w:r>
          </w:p>
        </w:tc>
        <w:tc>
          <w:tcPr>
            <w:tcW w:type="dxa" w:w="2131"/>
            <w:tcMar>
              <w:top w:w="60" w:type="dxa"/>
              <w:start w:w="110" w:type="dxa"/>
              <w:bottom w:w="60" w:type="dxa"/>
              <w:end w:w="110" w:type="dxa"/>
            </w:tcMar>
            <w:shd w:val="clear" w:color="auto" w:fill="F4F7FB"/>
          </w:tcPr>
          <w:p>
            <w:pPr>
              <w:spacing w:after="0"/>
            </w:pPr>
            <w:r/>
            <w:r>
              <w:rPr>
                <w:rFonts w:ascii="Calibri" w:hAnsi="Calibri"/>
                <w:b w:val="0"/>
                <w:i w:val="0"/>
                <w:color w:val="101828"/>
                <w:sz w:val="14"/>
              </w:rPr>
              <w:t>No-store</w:t>
            </w:r>
          </w:p>
        </w:tc>
      </w:tr>
      <w:tr>
        <w:trPr>
          <w:cantSplit/>
        </w:trPr>
        <w:tc>
          <w:tcPr>
            <w:tcW w:type="dxa" w:w="1584"/>
            <w:tcMar>
              <w:top w:w="60" w:type="dxa"/>
              <w:start w:w="110" w:type="dxa"/>
              <w:bottom w:w="60" w:type="dxa"/>
              <w:end w:w="110" w:type="dxa"/>
            </w:tcMar>
          </w:tcPr>
          <w:p>
            <w:pPr>
              <w:spacing w:after="0"/>
            </w:pPr>
            <w:r/>
            <w:r>
              <w:rPr>
                <w:rFonts w:ascii="Consolas" w:hAnsi="Consolas"/>
                <w:color w:val="146EF5"/>
                <w:sz w:val="14"/>
              </w:rPr>
              <w:t>/invite/:token</w:t>
            </w:r>
          </w:p>
        </w:tc>
        <w:tc>
          <w:tcPr>
            <w:tcW w:type="dxa" w:w="2390"/>
            <w:tcMar>
              <w:top w:w="60" w:type="dxa"/>
              <w:start w:w="110" w:type="dxa"/>
              <w:bottom w:w="60" w:type="dxa"/>
              <w:end w:w="110" w:type="dxa"/>
            </w:tcMar>
          </w:tcPr>
          <w:p>
            <w:pPr>
              <w:spacing w:after="0"/>
            </w:pPr>
            <w:r/>
            <w:r>
              <w:rPr>
                <w:rFonts w:ascii="Consolas" w:hAnsi="Consolas"/>
                <w:color w:val="146EF5"/>
                <w:sz w:val="14"/>
              </w:rPr>
              <w:t>noindex, nofollow, noarchive</w:t>
            </w:r>
          </w:p>
        </w:tc>
        <w:tc>
          <w:tcPr>
            <w:tcW w:type="dxa" w:w="1526"/>
            <w:tcMar>
              <w:top w:w="60" w:type="dxa"/>
              <w:start w:w="110" w:type="dxa"/>
              <w:bottom w:w="60" w:type="dxa"/>
              <w:end w:w="110" w:type="dxa"/>
            </w:tcMar>
          </w:tcPr>
          <w:p>
            <w:pPr>
              <w:spacing w:after="0"/>
            </w:pPr>
            <w:r/>
            <w:r>
              <w:rPr>
                <w:rFonts w:ascii="Calibri" w:hAnsi="Calibri"/>
                <w:b w:val="0"/>
                <w:i w:val="0"/>
                <w:color w:val="101828"/>
                <w:sz w:val="14"/>
              </w:rPr>
              <w:t>Disallowed</w:t>
            </w:r>
          </w:p>
        </w:tc>
        <w:tc>
          <w:tcPr>
            <w:tcW w:type="dxa" w:w="1728"/>
            <w:tcMar>
              <w:top w:w="60" w:type="dxa"/>
              <w:start w:w="110" w:type="dxa"/>
              <w:bottom w:w="60" w:type="dxa"/>
              <w:end w:w="110" w:type="dxa"/>
            </w:tcMar>
          </w:tcPr>
          <w:p>
            <w:pPr>
              <w:spacing w:after="0"/>
            </w:pPr>
            <w:r/>
            <w:r>
              <w:rPr>
                <w:rFonts w:ascii="Calibri" w:hAnsi="Calibri"/>
                <w:b w:val="0"/>
                <w:i w:val="0"/>
                <w:color w:val="101828"/>
                <w:sz w:val="14"/>
              </w:rPr>
              <w:t>No</w:t>
            </w:r>
          </w:p>
        </w:tc>
        <w:tc>
          <w:tcPr>
            <w:tcW w:type="dxa" w:w="2131"/>
            <w:tcMar>
              <w:top w:w="60" w:type="dxa"/>
              <w:start w:w="110" w:type="dxa"/>
              <w:bottom w:w="60" w:type="dxa"/>
              <w:end w:w="110" w:type="dxa"/>
            </w:tcMar>
          </w:tcPr>
          <w:p>
            <w:pPr>
              <w:spacing w:after="0"/>
            </w:pPr>
            <w:r/>
            <w:r>
              <w:rPr>
                <w:rFonts w:ascii="Consolas" w:hAnsi="Consolas"/>
                <w:color w:val="146EF5"/>
                <w:sz w:val="14"/>
              </w:rPr>
              <w:t>no-store, private, no-cache</w:t>
            </w:r>
          </w:p>
        </w:tc>
      </w:tr>
      <w:tr>
        <w:trPr>
          <w:cantSplit/>
        </w:trPr>
        <w:tc>
          <w:tcPr>
            <w:tcW w:type="dxa" w:w="1584"/>
            <w:tcMar>
              <w:top w:w="60" w:type="dxa"/>
              <w:start w:w="110" w:type="dxa"/>
              <w:bottom w:w="60" w:type="dxa"/>
              <w:end w:w="110" w:type="dxa"/>
            </w:tcMar>
            <w:shd w:val="clear" w:color="auto" w:fill="F4F7FB"/>
          </w:tcPr>
          <w:p>
            <w:pPr>
              <w:spacing w:after="0"/>
            </w:pPr>
            <w:r/>
            <w:r>
              <w:rPr>
                <w:rFonts w:ascii="Consolas" w:hAnsi="Consolas"/>
                <w:color w:val="146EF5"/>
                <w:sz w:val="14"/>
              </w:rPr>
              <w:t>/status</w:t>
            </w:r>
          </w:p>
        </w:tc>
        <w:tc>
          <w:tcPr>
            <w:tcW w:type="dxa" w:w="2390"/>
            <w:tcMar>
              <w:top w:w="60" w:type="dxa"/>
              <w:start w:w="110" w:type="dxa"/>
              <w:bottom w:w="60" w:type="dxa"/>
              <w:end w:w="110" w:type="dxa"/>
            </w:tcMar>
            <w:shd w:val="clear" w:color="auto" w:fill="F4F7FB"/>
          </w:tcPr>
          <w:p>
            <w:pPr>
              <w:spacing w:after="0"/>
            </w:pPr>
            <w:r/>
            <w:r>
              <w:rPr>
                <w:rFonts w:ascii="Consolas" w:hAnsi="Consolas"/>
                <w:color w:val="146EF5"/>
                <w:sz w:val="14"/>
              </w:rPr>
              <w:t>noindex, nofollow</w:t>
            </w:r>
          </w:p>
        </w:tc>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Disallowed</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No</w:t>
            </w:r>
          </w:p>
        </w:tc>
        <w:tc>
          <w:tcPr>
            <w:tcW w:type="dxa" w:w="2131"/>
            <w:tcMar>
              <w:top w:w="60" w:type="dxa"/>
              <w:start w:w="110" w:type="dxa"/>
              <w:bottom w:w="60" w:type="dxa"/>
              <w:end w:w="110" w:type="dxa"/>
            </w:tcMar>
            <w:shd w:val="clear" w:color="auto" w:fill="F4F7FB"/>
          </w:tcPr>
          <w:p>
            <w:pPr>
              <w:spacing w:after="0"/>
            </w:pPr>
            <w:r/>
            <w:r>
              <w:rPr>
                <w:rFonts w:ascii="Consolas" w:hAnsi="Consolas"/>
                <w:color w:val="146EF5"/>
                <w:sz w:val="14"/>
              </w:rPr>
              <w:t>no-store</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4"/>
              </w:rPr>
              <w:t xml:space="preserve">Tier 2 </w:t>
            </w:r>
            <w:r>
              <w:rPr>
                <w:rFonts w:ascii="Consolas" w:hAnsi="Consolas"/>
                <w:color w:val="146EF5"/>
                <w:sz w:val="14"/>
              </w:rPr>
              <w:t>/app/**</w:t>
            </w:r>
          </w:p>
        </w:tc>
        <w:tc>
          <w:tcPr>
            <w:tcW w:type="dxa" w:w="2390"/>
            <w:tcMar>
              <w:top w:w="60" w:type="dxa"/>
              <w:start w:w="110" w:type="dxa"/>
              <w:bottom w:w="60" w:type="dxa"/>
              <w:end w:w="110" w:type="dxa"/>
            </w:tcMar>
          </w:tcPr>
          <w:p>
            <w:pPr>
              <w:spacing w:after="0"/>
            </w:pPr>
            <w:r/>
            <w:r>
              <w:rPr>
                <w:rFonts w:ascii="Consolas" w:hAnsi="Consolas"/>
                <w:color w:val="146EF5"/>
                <w:sz w:val="14"/>
              </w:rPr>
              <w:t>noindex, nofollow, noarchive</w:t>
            </w:r>
          </w:p>
        </w:tc>
        <w:tc>
          <w:tcPr>
            <w:tcW w:type="dxa" w:w="1526"/>
            <w:tcMar>
              <w:top w:w="60" w:type="dxa"/>
              <w:start w:w="110" w:type="dxa"/>
              <w:bottom w:w="60" w:type="dxa"/>
              <w:end w:w="110" w:type="dxa"/>
            </w:tcMar>
          </w:tcPr>
          <w:p>
            <w:pPr>
              <w:spacing w:after="0"/>
            </w:pPr>
            <w:r/>
            <w:r>
              <w:rPr>
                <w:rFonts w:ascii="Calibri" w:hAnsi="Calibri"/>
                <w:b w:val="0"/>
                <w:i w:val="0"/>
                <w:color w:val="101828"/>
                <w:sz w:val="14"/>
              </w:rPr>
              <w:t>Disallowed</w:t>
            </w:r>
          </w:p>
        </w:tc>
        <w:tc>
          <w:tcPr>
            <w:tcW w:type="dxa" w:w="1728"/>
            <w:tcMar>
              <w:top w:w="60" w:type="dxa"/>
              <w:start w:w="110" w:type="dxa"/>
              <w:bottom w:w="60" w:type="dxa"/>
              <w:end w:w="110" w:type="dxa"/>
            </w:tcMar>
          </w:tcPr>
          <w:p>
            <w:pPr>
              <w:spacing w:after="0"/>
            </w:pPr>
            <w:r/>
            <w:r>
              <w:rPr>
                <w:rFonts w:ascii="Calibri" w:hAnsi="Calibri"/>
                <w:b w:val="0"/>
                <w:i w:val="0"/>
                <w:color w:val="101828"/>
                <w:sz w:val="14"/>
              </w:rPr>
              <w:t>No</w:t>
            </w:r>
          </w:p>
        </w:tc>
        <w:tc>
          <w:tcPr>
            <w:tcW w:type="dxa" w:w="2131"/>
            <w:tcMar>
              <w:top w:w="60" w:type="dxa"/>
              <w:start w:w="110" w:type="dxa"/>
              <w:bottom w:w="60" w:type="dxa"/>
              <w:end w:w="110" w:type="dxa"/>
            </w:tcMar>
          </w:tcPr>
          <w:p>
            <w:pPr>
              <w:spacing w:after="0"/>
            </w:pPr>
            <w:r/>
            <w:r>
              <w:rPr>
                <w:rFonts w:ascii="Consolas" w:hAnsi="Consolas"/>
                <w:color w:val="146EF5"/>
                <w:sz w:val="14"/>
              </w:rPr>
              <w:t>no-store, private</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Tier 3 </w:t>
            </w:r>
            <w:r>
              <w:rPr>
                <w:rFonts w:ascii="Consolas" w:hAnsi="Consolas"/>
                <w:color w:val="146EF5"/>
                <w:sz w:val="14"/>
              </w:rPr>
              <w:t>/admin/**</w:t>
            </w:r>
          </w:p>
        </w:tc>
        <w:tc>
          <w:tcPr>
            <w:tcW w:type="dxa" w:w="2390"/>
            <w:tcMar>
              <w:top w:w="60" w:type="dxa"/>
              <w:start w:w="110" w:type="dxa"/>
              <w:bottom w:w="60" w:type="dxa"/>
              <w:end w:w="110" w:type="dxa"/>
            </w:tcMar>
            <w:shd w:val="clear" w:color="auto" w:fill="F4F7FB"/>
          </w:tcPr>
          <w:p>
            <w:pPr>
              <w:spacing w:after="0"/>
            </w:pPr>
            <w:r/>
            <w:r>
              <w:rPr>
                <w:rFonts w:ascii="Consolas" w:hAnsi="Consolas"/>
                <w:color w:val="146EF5"/>
                <w:sz w:val="14"/>
              </w:rPr>
              <w:t>noindex, nofollow, noarchive</w:t>
            </w:r>
          </w:p>
        </w:tc>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Disallowed </w:t>
            </w:r>
            <w:r>
              <w:rPr>
                <w:rFonts w:ascii="Calibri" w:hAnsi="Calibri"/>
                <w:b/>
                <w:color w:val="101828"/>
                <w:sz w:val="14"/>
              </w:rPr>
              <w:t>and</w:t>
            </w:r>
            <w:r>
              <w:rPr>
                <w:rFonts w:ascii="Calibri" w:hAnsi="Calibri"/>
                <w:b w:val="0"/>
                <w:i w:val="0"/>
                <w:color w:val="101828"/>
                <w:sz w:val="14"/>
              </w:rPr>
              <w:t xml:space="preserve"> edge allowlist</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No</w:t>
            </w:r>
          </w:p>
        </w:tc>
        <w:tc>
          <w:tcPr>
            <w:tcW w:type="dxa" w:w="2131"/>
            <w:tcMar>
              <w:top w:w="60" w:type="dxa"/>
              <w:start w:w="110" w:type="dxa"/>
              <w:bottom w:w="60" w:type="dxa"/>
              <w:end w:w="110" w:type="dxa"/>
            </w:tcMar>
            <w:shd w:val="clear" w:color="auto" w:fill="F4F7FB"/>
          </w:tcPr>
          <w:p>
            <w:pPr>
              <w:spacing w:after="0"/>
            </w:pPr>
            <w:r/>
            <w:r>
              <w:rPr>
                <w:rFonts w:ascii="Consolas" w:hAnsi="Consolas"/>
                <w:color w:val="146EF5"/>
                <w:sz w:val="14"/>
              </w:rPr>
              <w:t>no-store, private</w:t>
            </w:r>
          </w:p>
        </w:tc>
      </w:tr>
    </w:tbl>
    <w:p>
      <w:pPr>
        <w:spacing w:after="80"/>
      </w:pPr>
    </w:p>
    <w:p>
      <w:pPr>
        <w:pStyle w:val="Heading3"/>
      </w:pPr>
      <w:r>
        <w:rPr>
          <w:rFonts w:ascii="Calibri" w:hAnsi="Calibri"/>
          <w:b/>
          <w:i w:val="0"/>
          <w:color w:val="0B1F3A"/>
          <w:sz w:val="24"/>
        </w:rPr>
        <w:t>3.11.2 Private data must never appear in a URL</w:t>
      </w:r>
    </w:p>
    <w:p>
      <w:r>
        <w:rPr>
          <w:rFonts w:ascii="Calibri" w:hAnsi="Calibri"/>
          <w:b w:val="0"/>
          <w:i w:val="0"/>
          <w:color w:val="101828"/>
          <w:sz w:val="21"/>
        </w:rPr>
        <w:t xml:space="preserve">A URL is the least protected part of any system. It is written in the browser history, in the </w:t>
      </w:r>
      <w:r>
        <w:rPr>
          <w:rFonts w:ascii="Consolas" w:hAnsi="Consolas"/>
          <w:color w:val="146EF5"/>
          <w:sz w:val="21"/>
        </w:rPr>
        <w:t>Referer</w:t>
      </w:r>
      <w:r>
        <w:rPr>
          <w:rFonts w:ascii="Calibri" w:hAnsi="Calibri"/>
          <w:b w:val="0"/>
          <w:i w:val="0"/>
          <w:color w:val="101828"/>
          <w:sz w:val="21"/>
        </w:rPr>
        <w:t xml:space="preserve"> header on outbound navigation, in server access logs, in analytics, in screenshots and in bug reports. Therefore:</w:t>
      </w:r>
    </w:p>
    <w:p>
      <w:pPr>
        <w:pStyle w:val="ListBullet"/>
        <w:spacing w:after="60"/>
        <w:ind w:left="360"/>
      </w:pPr>
      <w:r>
        <w:rPr>
          <w:rFonts w:ascii="Calibri" w:hAnsi="Calibri"/>
          <w:b/>
          <w:color w:val="101828"/>
          <w:sz w:val="21"/>
        </w:rPr>
        <w:t>Identifiers are opaque ULIDs</w:t>
      </w:r>
      <w:r>
        <w:rPr>
          <w:rFonts w:ascii="Calibri" w:hAnsi="Calibri"/>
          <w:b w:val="0"/>
          <w:i w:val="0"/>
          <w:color w:val="101828"/>
          <w:sz w:val="21"/>
        </w:rPr>
        <w:t xml:space="preserve">, sortable by creation time, never sequential integers. A guessable </w:t>
      </w:r>
      <w:r>
        <w:rPr>
          <w:rFonts w:ascii="Consolas" w:hAnsi="Consolas"/>
          <w:color w:val="146EF5"/>
          <w:sz w:val="21"/>
        </w:rPr>
        <w:t>?member=1024</w:t>
      </w:r>
      <w:r>
        <w:rPr>
          <w:rFonts w:ascii="Calibri" w:hAnsi="Calibri"/>
          <w:b w:val="0"/>
          <w:i w:val="0"/>
          <w:color w:val="101828"/>
          <w:sz w:val="21"/>
        </w:rPr>
        <w:t xml:space="preserve"> is a data leak with a working URL bar.</w:t>
      </w:r>
    </w:p>
    <w:p>
      <w:pPr>
        <w:pStyle w:val="ListBullet"/>
        <w:spacing w:after="60"/>
        <w:ind w:left="360"/>
      </w:pPr>
      <w:r>
        <w:rPr>
          <w:rFonts w:ascii="Calibri" w:hAnsi="Calibri"/>
          <w:b/>
          <w:color w:val="101828"/>
          <w:sz w:val="21"/>
        </w:rPr>
        <w:t>No name, phone number, email address, BVN, NIN, bank account number, contribution amount or Ajo name in any path or query parameter</w:t>
      </w:r>
      <w:r>
        <w:rPr>
          <w:rFonts w:ascii="Calibri" w:hAnsi="Calibri"/>
          <w:b w:val="0"/>
          <w:i w:val="0"/>
          <w:color w:val="101828"/>
          <w:sz w:val="21"/>
        </w:rPr>
        <w:t>, on any tier. Filters are expressed as enum tokens (</w:t>
      </w:r>
      <w:r>
        <w:rPr>
          <w:rFonts w:ascii="Consolas" w:hAnsi="Consolas"/>
          <w:color w:val="146EF5"/>
          <w:sz w:val="21"/>
        </w:rPr>
        <w:t>?status=OVERDUE</w:t>
      </w:r>
      <w:r>
        <w:rPr>
          <w:rFonts w:ascii="Calibri" w:hAnsi="Calibri"/>
          <w:b w:val="0"/>
          <w:i w:val="0"/>
          <w:color w:val="101828"/>
          <w:sz w:val="21"/>
        </w:rPr>
        <w:t>), never as free text containing a person's data.</w:t>
      </w:r>
    </w:p>
    <w:p>
      <w:pPr>
        <w:pStyle w:val="ListBullet"/>
        <w:spacing w:after="60"/>
        <w:ind w:left="360"/>
      </w:pPr>
      <w:r>
        <w:rPr>
          <w:rFonts w:ascii="Calibri" w:hAnsi="Calibri"/>
          <w:b/>
          <w:color w:val="101828"/>
          <w:sz w:val="21"/>
        </w:rPr>
        <w:t>No search term in a query string</w:t>
      </w:r>
      <w:r>
        <w:rPr>
          <w:rFonts w:ascii="Calibri" w:hAnsi="Calibri"/>
          <w:b w:val="0"/>
          <w:i w:val="0"/>
          <w:color w:val="101828"/>
          <w:sz w:val="21"/>
        </w:rPr>
        <w:t xml:space="preserve"> on tier 2 or tier 3. A member searching for another member's name would write that name into a log. Admin search uses POST with a </w:t>
      </w:r>
      <w:r>
        <w:rPr>
          <w:rFonts w:ascii="Consolas" w:hAnsi="Consolas"/>
          <w:color w:val="146EF5"/>
          <w:sz w:val="21"/>
        </w:rPr>
        <w:t>no-store</w:t>
      </w:r>
      <w:r>
        <w:rPr>
          <w:rFonts w:ascii="Calibri" w:hAnsi="Calibri"/>
          <w:b w:val="0"/>
          <w:i w:val="0"/>
          <w:color w:val="101828"/>
          <w:sz w:val="21"/>
        </w:rPr>
        <w:t xml:space="preserve"> response, or a server-side encrypted session reference.</w:t>
      </w:r>
    </w:p>
    <w:p>
      <w:pPr>
        <w:pStyle w:val="ListBullet"/>
        <w:spacing w:after="60"/>
        <w:ind w:left="360"/>
      </w:pPr>
      <w:r>
        <w:rPr>
          <w:rFonts w:ascii="Calibri" w:hAnsi="Calibri"/>
          <w:b/>
          <w:color w:val="101828"/>
          <w:sz w:val="21"/>
        </w:rPr>
        <w:t>`Referer-Policy: no-referrer`</w:t>
      </w:r>
      <w:r>
        <w:rPr>
          <w:rFonts w:ascii="Calibri" w:hAnsi="Calibri"/>
          <w:b w:val="0"/>
          <w:i w:val="0"/>
          <w:color w:val="101828"/>
          <w:sz w:val="21"/>
        </w:rPr>
        <w:t xml:space="preserve"> on tier 2 and tier 3, and the invitation route additionally sets </w:t>
      </w:r>
      <w:r>
        <w:rPr>
          <w:rFonts w:ascii="Consolas" w:hAnsi="Consolas"/>
          <w:color w:val="146EF5"/>
          <w:sz w:val="21"/>
        </w:rPr>
        <w:t>Referrer-Policy: no-referrer</w:t>
      </w:r>
      <w:r>
        <w:rPr>
          <w:rFonts w:ascii="Calibri" w:hAnsi="Calibri"/>
          <w:b w:val="0"/>
          <w:i w:val="0"/>
          <w:color w:val="101828"/>
          <w:sz w:val="21"/>
        </w:rPr>
        <w:t xml:space="preserve"> so that an accepted invitation cannot leak a token to a third party through an outbound link.</w:t>
      </w:r>
    </w:p>
    <w:p>
      <w:pPr>
        <w:pStyle w:val="ListBullet"/>
        <w:spacing w:after="60"/>
        <w:ind w:left="360"/>
      </w:pPr>
      <w:r>
        <w:rPr>
          <w:rFonts w:ascii="Calibri" w:hAnsi="Calibri"/>
          <w:b/>
          <w:color w:val="101828"/>
          <w:sz w:val="21"/>
        </w:rPr>
        <w:t>Analytics and error reporting redact</w:t>
      </w:r>
      <w:r>
        <w:rPr>
          <w:rFonts w:ascii="Calibri" w:hAnsi="Calibri"/>
          <w:b w:val="0"/>
          <w:i w:val="0"/>
          <w:color w:val="101828"/>
          <w:sz w:val="21"/>
        </w:rPr>
        <w:t xml:space="preserve"> route identifiers at the edge; the raw URL reaches only the append-only access log with a retention limit (13.9).</w:t>
      </w:r>
    </w:p>
    <w:p>
      <w:pPr>
        <w:pStyle w:val="Heading3"/>
      </w:pPr>
      <w:r>
        <w:rPr>
          <w:rFonts w:ascii="Calibri" w:hAnsi="Calibri"/>
          <w:b/>
          <w:i w:val="0"/>
          <w:color w:val="0B1F3A"/>
          <w:sz w:val="24"/>
        </w:rPr>
        <w:t>3.11.3 Structured data and social previews</w:t>
      </w:r>
    </w:p>
    <w:p>
      <w:pPr>
        <w:pStyle w:val="ListBullet"/>
        <w:spacing w:after="60"/>
        <w:ind w:left="360"/>
      </w:pPr>
      <w:r>
        <w:rPr>
          <w:rFonts w:ascii="Calibri" w:hAnsi="Calibri"/>
          <w:b/>
          <w:color w:val="101828"/>
          <w:sz w:val="21"/>
        </w:rPr>
        <w:t>Only tier 1 emits structured data.</w:t>
      </w:r>
      <w:r>
        <w:rPr>
          <w:rFonts w:ascii="Calibri" w:hAnsi="Calibri"/>
          <w:b w:val="0"/>
          <w:i w:val="0"/>
          <w:color w:val="101828"/>
          <w:sz w:val="21"/>
        </w:rPr>
        <w:t xml:space="preserve"> </w:t>
      </w:r>
      <w:r>
        <w:rPr>
          <w:rFonts w:ascii="Consolas" w:hAnsi="Consolas"/>
          <w:color w:val="146EF5"/>
          <w:sz w:val="21"/>
        </w:rPr>
        <w:t>Organization</w:t>
      </w:r>
      <w:r>
        <w:rPr>
          <w:rFonts w:ascii="Calibri" w:hAnsi="Calibri"/>
          <w:b w:val="0"/>
          <w:i w:val="0"/>
          <w:color w:val="101828"/>
          <w:sz w:val="21"/>
        </w:rPr>
        <w:t xml:space="preserve"> on </w:t>
      </w:r>
      <w:r>
        <w:rPr>
          <w:rFonts w:ascii="Consolas" w:hAnsi="Consolas"/>
          <w:color w:val="146EF5"/>
          <w:sz w:val="21"/>
        </w:rPr>
        <w:t>/about</w:t>
      </w:r>
      <w:r>
        <w:rPr>
          <w:rFonts w:ascii="Calibri" w:hAnsi="Calibri"/>
          <w:b w:val="0"/>
          <w:i w:val="0"/>
          <w:color w:val="101828"/>
          <w:sz w:val="21"/>
        </w:rPr>
        <w:t xml:space="preserve">, </w:t>
      </w:r>
      <w:r>
        <w:rPr>
          <w:rFonts w:ascii="Consolas" w:hAnsi="Consolas"/>
          <w:color w:val="146EF5"/>
          <w:sz w:val="21"/>
        </w:rPr>
        <w:t>FAQPage</w:t>
      </w:r>
      <w:r>
        <w:rPr>
          <w:rFonts w:ascii="Calibri" w:hAnsi="Calibri"/>
          <w:b w:val="0"/>
          <w:i w:val="0"/>
          <w:color w:val="101828"/>
          <w:sz w:val="21"/>
        </w:rPr>
        <w:t xml:space="preserve"> on </w:t>
      </w:r>
      <w:r>
        <w:rPr>
          <w:rFonts w:ascii="Consolas" w:hAnsi="Consolas"/>
          <w:color w:val="146EF5"/>
          <w:sz w:val="21"/>
        </w:rPr>
        <w:t>/faq</w:t>
      </w:r>
      <w:r>
        <w:rPr>
          <w:rFonts w:ascii="Calibri" w:hAnsi="Calibri"/>
          <w:b w:val="0"/>
          <w:i w:val="0"/>
          <w:color w:val="101828"/>
          <w:sz w:val="21"/>
        </w:rPr>
        <w:t xml:space="preserve">, </w:t>
      </w:r>
      <w:r>
        <w:rPr>
          <w:rFonts w:ascii="Consolas" w:hAnsi="Consolas"/>
          <w:color w:val="146EF5"/>
          <w:sz w:val="21"/>
        </w:rPr>
        <w:t>WebSite</w:t>
      </w:r>
      <w:r>
        <w:rPr>
          <w:rFonts w:ascii="Calibri" w:hAnsi="Calibri"/>
          <w:b w:val="0"/>
          <w:i w:val="0"/>
          <w:color w:val="101828"/>
          <w:sz w:val="21"/>
        </w:rPr>
        <w:t xml:space="preserve"> on </w:t>
      </w:r>
      <w:r>
        <w:rPr>
          <w:rFonts w:ascii="Consolas" w:hAnsi="Consolas"/>
          <w:color w:val="146EF5"/>
          <w:sz w:val="21"/>
        </w:rPr>
        <w:t>/</w:t>
      </w:r>
      <w:r>
        <w:rPr>
          <w:rFonts w:ascii="Calibri" w:hAnsi="Calibri"/>
          <w:b w:val="0"/>
          <w:i w:val="0"/>
          <w:color w:val="101828"/>
          <w:sz w:val="21"/>
        </w:rPr>
        <w:t xml:space="preserve">. No </w:t>
      </w:r>
      <w:r>
        <w:rPr>
          <w:rFonts w:ascii="Consolas" w:hAnsi="Consolas"/>
          <w:color w:val="146EF5"/>
          <w:sz w:val="21"/>
        </w:rPr>
        <w:t>Product</w:t>
      </w:r>
      <w:r>
        <w:rPr>
          <w:rFonts w:ascii="Calibri" w:hAnsi="Calibri"/>
          <w:b w:val="0"/>
          <w:i w:val="0"/>
          <w:color w:val="101828"/>
          <w:sz w:val="21"/>
        </w:rPr>
        <w:t xml:space="preserve">, no </w:t>
      </w:r>
      <w:r>
        <w:rPr>
          <w:rFonts w:ascii="Consolas" w:hAnsi="Consolas"/>
          <w:color w:val="146EF5"/>
          <w:sz w:val="21"/>
        </w:rPr>
        <w:t>Offer</w:t>
      </w:r>
      <w:r>
        <w:rPr>
          <w:rFonts w:ascii="Calibri" w:hAnsi="Calibri"/>
          <w:b w:val="0"/>
          <w:i w:val="0"/>
          <w:color w:val="101828"/>
          <w:sz w:val="21"/>
        </w:rPr>
        <w:t xml:space="preserve">, no </w:t>
      </w:r>
      <w:r>
        <w:rPr>
          <w:rFonts w:ascii="Consolas" w:hAnsi="Consolas"/>
          <w:color w:val="146EF5"/>
          <w:sz w:val="21"/>
        </w:rPr>
        <w:t>AggregateRating</w:t>
      </w:r>
      <w:r>
        <w:rPr>
          <w:rFonts w:ascii="Calibri" w:hAnsi="Calibri"/>
          <w:b w:val="0"/>
          <w:i w:val="0"/>
          <w:color w:val="101828"/>
          <w:sz w:val="21"/>
        </w:rPr>
        <w:t xml:space="preserve">, no </w:t>
      </w:r>
      <w:r>
        <w:rPr>
          <w:rFonts w:ascii="Consolas" w:hAnsi="Consolas"/>
          <w:color w:val="146EF5"/>
          <w:sz w:val="21"/>
        </w:rPr>
        <w:t>Review</w:t>
      </w:r>
      <w:r>
        <w:rPr>
          <w:rFonts w:ascii="Calibri" w:hAnsi="Calibri"/>
          <w:b w:val="0"/>
          <w:i w:val="0"/>
          <w:color w:val="101828"/>
          <w:sz w:val="21"/>
        </w:rPr>
        <w:t xml:space="preserve"> — there are no reviews and inventing them would be a fabricated claim.</w:t>
      </w:r>
    </w:p>
    <w:p>
      <w:pPr>
        <w:pStyle w:val="ListBullet"/>
        <w:spacing w:after="60"/>
        <w:ind w:left="360"/>
      </w:pPr>
      <w:r>
        <w:rPr>
          <w:rFonts w:ascii="Calibri" w:hAnsi="Calibri"/>
          <w:b/>
          <w:color w:val="101828"/>
          <w:sz w:val="21"/>
        </w:rPr>
        <w:t>No tier-2 or tier-3 URL may be pasted into a social card.</w:t>
      </w:r>
      <w:r>
        <w:rPr>
          <w:rFonts w:ascii="Calibri" w:hAnsi="Calibri"/>
          <w:b w:val="0"/>
          <w:i w:val="0"/>
          <w:color w:val="101828"/>
          <w:sz w:val="21"/>
        </w:rPr>
        <w:t xml:space="preserve"> A share sheet on a payment receipt shares </w:t>
      </w:r>
      <w:r>
        <w:rPr>
          <w:rFonts w:ascii="Consolas" w:hAnsi="Consolas"/>
          <w:color w:val="146EF5"/>
          <w:sz w:val="21"/>
        </w:rPr>
        <w:t>/fees</w:t>
      </w:r>
      <w:r>
        <w:rPr>
          <w:rFonts w:ascii="Calibri" w:hAnsi="Calibri"/>
          <w:b w:val="0"/>
          <w:i w:val="0"/>
          <w:color w:val="101828"/>
          <w:sz w:val="21"/>
        </w:rPr>
        <w:t xml:space="preserve"> or a public help article, never the receipt URL.</w:t>
      </w:r>
    </w:p>
    <w:p>
      <w:pPr>
        <w:pStyle w:val="ListBullet"/>
        <w:spacing w:after="60"/>
        <w:ind w:left="360"/>
      </w:pPr>
      <w:r>
        <w:rPr>
          <w:rFonts w:ascii="Calibri" w:hAnsi="Calibri"/>
          <w:b/>
          <w:color w:val="101828"/>
          <w:sz w:val="21"/>
        </w:rPr>
        <w:t>Open Graph images are static per tier-1 page.</w:t>
      </w:r>
      <w:r>
        <w:rPr>
          <w:rFonts w:ascii="Calibri" w:hAnsi="Calibri"/>
          <w:b w:val="0"/>
          <w:i w:val="0"/>
          <w:color w:val="101828"/>
          <w:sz w:val="21"/>
        </w:rPr>
        <w:t xml:space="preserve"> There is no server-rendered OG image for an Ajo, a receipt or a dispute, because rendering a member's money into an image that any crawler can fetch is the exact failure this section exists to prevent.</w:t>
      </w:r>
    </w:p>
    <w:p>
      <w:pPr>
        <w:pStyle w:val="ListBullet"/>
        <w:spacing w:after="60"/>
        <w:ind w:left="360"/>
      </w:pPr>
      <w:r>
        <w:rPr>
          <w:rFonts w:ascii="Calibri" w:hAnsi="Calibri"/>
          <w:b/>
          <w:color w:val="101828"/>
          <w:sz w:val="21"/>
        </w:rPr>
        <w:t>Canonical URLs are absolute, `https`, and omit the query string and any trailing slash variant.</w:t>
      </w:r>
      <w:r>
        <w:rPr>
          <w:rFonts w:ascii="Calibri" w:hAnsi="Calibri"/>
          <w:b w:val="0"/>
          <w:i w:val="0"/>
          <w:color w:val="101828"/>
          <w:sz w:val="21"/>
        </w:rPr>
        <w:t xml:space="preserve"> </w:t>
      </w:r>
      <w:r>
        <w:rPr>
          <w:rFonts w:ascii="Consolas" w:hAnsi="Consolas"/>
          <w:color w:val="146EF5"/>
          <w:sz w:val="21"/>
        </w:rPr>
        <w:t>/fees</w:t>
      </w:r>
      <w:r>
        <w:rPr>
          <w:rFonts w:ascii="Calibri" w:hAnsi="Calibri"/>
          <w:b w:val="0"/>
          <w:i w:val="0"/>
          <w:color w:val="101828"/>
          <w:sz w:val="21"/>
        </w:rPr>
        <w:t xml:space="preserve"> and </w:t>
      </w:r>
      <w:r>
        <w:rPr>
          <w:rFonts w:ascii="Consolas" w:hAnsi="Consolas"/>
          <w:color w:val="146EF5"/>
          <w:sz w:val="21"/>
        </w:rPr>
        <w:t>/fees/</w:t>
      </w:r>
      <w:r>
        <w:rPr>
          <w:rFonts w:ascii="Calibri" w:hAnsi="Calibri"/>
          <w:b w:val="0"/>
          <w:i w:val="0"/>
          <w:color w:val="101828"/>
          <w:sz w:val="21"/>
        </w:rPr>
        <w:t xml:space="preserve"> are one URL, served once, with a 301 from the other.</w:t>
      </w:r>
    </w:p>
    <w:p>
      <w:pPr>
        <w:spacing w:before="140" w:after="180"/>
        <w:ind w:left="144"/>
        <w:shd w:val="clear" w:color="auto" w:fill="FEF3C7"/>
        <w:pBdr>
          <w:left w:val="single" w:sz="18" w:space="6" w:color="FBBF24"/>
        </w:pBdr>
      </w:pPr>
      <w:r>
        <w:rPr>
          <w:rFonts w:ascii="Calibri" w:hAnsi="Calibri"/>
          <w:b/>
          <w:color w:val="FBBF24"/>
          <w:sz w:val="19"/>
        </w:rPr>
        <w:t xml:space="preserve">Client-side rendering is a boundary, not a defence  </w:t>
      </w:r>
      <w:r>
        <w:rPr>
          <w:rFonts w:ascii="Calibri" w:hAnsi="Calibri"/>
          <w:b w:val="0"/>
          <w:i w:val="0"/>
          <w:color w:val="0B1F3A"/>
          <w:sz w:val="19"/>
        </w:rPr>
        <w:t xml:space="preserve">A </w:t>
      </w:r>
      <w:r>
        <w:rPr>
          <w:rFonts w:ascii="Consolas" w:hAnsi="Consolas"/>
          <w:color w:val="146EF5"/>
          <w:sz w:val="19"/>
        </w:rPr>
        <w:t>noindex</w:t>
      </w:r>
      <w:r>
        <w:rPr>
          <w:rFonts w:ascii="Calibri" w:hAnsi="Calibri"/>
          <w:b w:val="0"/>
          <w:i w:val="0"/>
          <w:color w:val="0B1F3A"/>
          <w:sz w:val="19"/>
        </w:rPr>
        <w:t xml:space="preserve"> meta tag in the served HTML is honoured by compliant crawlers, but it is not an access control and it is not a defence against a determined reader. The real boundary is the </w:t>
      </w:r>
      <w:r>
        <w:rPr>
          <w:rFonts w:ascii="Calibri" w:hAnsi="Calibri"/>
          <w:b/>
          <w:color w:val="0B1F3A"/>
          <w:sz w:val="19"/>
        </w:rPr>
        <w:t>server</w:t>
      </w:r>
      <w:r>
        <w:rPr>
          <w:rFonts w:ascii="Calibri" w:hAnsi="Calibri"/>
          <w:b w:val="0"/>
          <w:i w:val="0"/>
          <w:color w:val="0B1F3A"/>
          <w:sz w:val="19"/>
        </w:rPr>
        <w:t xml:space="preserve">: tier-2 and tier-3 routes render no member data for an unauthenticated request, they redirect or return 401, and the response carries </w:t>
      </w:r>
      <w:r>
        <w:rPr>
          <w:rFonts w:ascii="Consolas" w:hAnsi="Consolas"/>
          <w:color w:val="146EF5"/>
          <w:sz w:val="19"/>
        </w:rPr>
        <w:t>Cache-Control: no-store</w:t>
      </w:r>
      <w:r>
        <w:rPr>
          <w:rFonts w:ascii="Calibri" w:hAnsi="Calibri"/>
          <w:b w:val="0"/>
          <w:i w:val="0"/>
          <w:color w:val="0B1F3A"/>
          <w:sz w:val="19"/>
        </w:rPr>
        <w:t xml:space="preserve"> so that no shared cache ever holds a page containing one member's money. The meta tag is the second line, not the first. </w:t>
      </w:r>
      <w:r>
        <w:rPr>
          <w:rFonts w:ascii="Calibri" w:hAnsi="Calibri"/>
          <w:b/>
          <w:color w:val="0B1F3A"/>
          <w:sz w:val="19"/>
        </w:rPr>
        <w:t>Owner: Engineering.</w:t>
      </w:r>
    </w:p>
    <w:p>
      <w:pPr>
        <w:pStyle w:val="Heading2"/>
      </w:pPr>
      <w:r>
        <w:rPr>
          <w:rFonts w:ascii="Calibri" w:hAnsi="Calibri"/>
          <w:b/>
          <w:i w:val="0"/>
          <w:color w:val="146EF5"/>
          <w:sz w:val="29"/>
        </w:rPr>
        <w:t>3.12 URL naming conventions and reserved routes</w:t>
      </w:r>
    </w:p>
    <w:p>
      <w:pPr>
        <w:pStyle w:val="Heading3"/>
      </w:pPr>
      <w:r>
        <w:rPr>
          <w:rFonts w:ascii="Calibri" w:hAnsi="Calibri"/>
          <w:b/>
          <w:i w:val="0"/>
          <w:color w:val="0B1F3A"/>
          <w:sz w:val="24"/>
        </w:rPr>
        <w:t>3.12.1 Conventions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3226"/>
            <w:shd w:val="clear" w:color="auto" w:fill="0B1F3A"/>
            <w:tcMar>
              <w:top w:w="60" w:type="dxa"/>
              <w:start w:w="110" w:type="dxa"/>
              <w:bottom w:w="60" w:type="dxa"/>
              <w:end w:w="110" w:type="dxa"/>
            </w:tcMar>
          </w:tcPr>
          <w:p>
            <w:pPr>
              <w:spacing w:after="0"/>
            </w:pPr>
            <w:r/>
            <w:r>
              <w:rPr>
                <w:rFonts w:ascii="Calibri" w:hAnsi="Calibri"/>
                <w:b/>
                <w:i w:val="0"/>
                <w:color w:val="FFFFFF"/>
                <w:sz w:val="14"/>
              </w:rPr>
              <w:t>Rule</w:t>
            </w:r>
          </w:p>
        </w:tc>
        <w:tc>
          <w:tcPr>
            <w:tcW w:type="dxa" w:w="2966"/>
            <w:shd w:val="clear" w:color="auto" w:fill="0B1F3A"/>
            <w:tcMar>
              <w:top w:w="60" w:type="dxa"/>
              <w:start w:w="110" w:type="dxa"/>
              <w:bottom w:w="60" w:type="dxa"/>
              <w:end w:w="110" w:type="dxa"/>
            </w:tcMar>
          </w:tcPr>
          <w:p>
            <w:pPr>
              <w:spacing w:after="0"/>
            </w:pPr>
            <w:r/>
            <w:r>
              <w:rPr>
                <w:rFonts w:ascii="Calibri" w:hAnsi="Calibri"/>
                <w:b/>
                <w:i w:val="0"/>
                <w:color w:val="FFFFFF"/>
                <w:sz w:val="14"/>
              </w:rPr>
              <w:t>Applies to</w:t>
            </w:r>
          </w:p>
        </w:tc>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4"/>
              </w:rPr>
              <w:t>Example</w:t>
            </w:r>
          </w:p>
        </w:tc>
      </w:tr>
      <w:tr>
        <w:trPr>
          <w:cantSplit/>
        </w:trPr>
        <w:tc>
          <w:tcPr>
            <w:tcW w:type="dxa" w:w="3226"/>
            <w:tcMar>
              <w:top w:w="60" w:type="dxa"/>
              <w:start w:w="110" w:type="dxa"/>
              <w:bottom w:w="60" w:type="dxa"/>
              <w:end w:w="110" w:type="dxa"/>
            </w:tcMar>
          </w:tcPr>
          <w:p>
            <w:pPr>
              <w:spacing w:after="0"/>
            </w:pPr>
            <w:r/>
            <w:r>
              <w:rPr>
                <w:rFonts w:ascii="Calibri" w:hAnsi="Calibri"/>
                <w:b w:val="0"/>
                <w:i w:val="0"/>
                <w:color w:val="101828"/>
                <w:sz w:val="14"/>
              </w:rPr>
              <w:t>Lowercase, hyphen-separated, ASCII</w:t>
            </w:r>
          </w:p>
        </w:tc>
        <w:tc>
          <w:tcPr>
            <w:tcW w:type="dxa" w:w="2966"/>
            <w:tcMar>
              <w:top w:w="60" w:type="dxa"/>
              <w:start w:w="110" w:type="dxa"/>
              <w:bottom w:w="60" w:type="dxa"/>
              <w:end w:w="110" w:type="dxa"/>
            </w:tcMar>
          </w:tcPr>
          <w:p>
            <w:pPr>
              <w:spacing w:after="0"/>
            </w:pPr>
            <w:r/>
            <w:r>
              <w:rPr>
                <w:rFonts w:ascii="Calibri" w:hAnsi="Calibri"/>
                <w:b w:val="0"/>
                <w:i w:val="0"/>
                <w:color w:val="101828"/>
                <w:sz w:val="14"/>
              </w:rPr>
              <w:t>All static segments</w:t>
            </w:r>
          </w:p>
        </w:tc>
        <w:tc>
          <w:tcPr>
            <w:tcW w:type="dxa" w:w="3168"/>
            <w:tcMar>
              <w:top w:w="60" w:type="dxa"/>
              <w:start w:w="110" w:type="dxa"/>
              <w:bottom w:w="60" w:type="dxa"/>
              <w:end w:w="110" w:type="dxa"/>
            </w:tcMar>
          </w:tcPr>
          <w:p>
            <w:pPr>
              <w:spacing w:after="0"/>
            </w:pPr>
            <w:r/>
            <w:r>
              <w:rPr>
                <w:rFonts w:ascii="Consolas" w:hAnsi="Consolas"/>
                <w:color w:val="146EF5"/>
                <w:sz w:val="14"/>
              </w:rPr>
              <w:t>/safety-and-trust</w:t>
            </w:r>
          </w:p>
        </w:tc>
      </w:tr>
      <w:tr>
        <w:trPr>
          <w:cantSplit/>
        </w:trPr>
        <w:tc>
          <w:tcPr>
            <w:tcW w:type="dxa" w:w="3226"/>
            <w:tcMar>
              <w:top w:w="60" w:type="dxa"/>
              <w:start w:w="110" w:type="dxa"/>
              <w:bottom w:w="60" w:type="dxa"/>
              <w:end w:w="110" w:type="dxa"/>
            </w:tcMar>
            <w:shd w:val="clear" w:color="auto" w:fill="F4F7FB"/>
          </w:tcPr>
          <w:p>
            <w:pPr>
              <w:spacing w:after="0"/>
            </w:pPr>
            <w:r/>
            <w:r>
              <w:rPr>
                <w:rFonts w:ascii="Calibri" w:hAnsi="Calibri"/>
                <w:b w:val="0"/>
                <w:i w:val="0"/>
                <w:color w:val="101828"/>
                <w:sz w:val="14"/>
              </w:rPr>
              <w:t>Plural nouns for collections, singular for one record</w:t>
            </w:r>
          </w:p>
        </w:tc>
        <w:tc>
          <w:tcPr>
            <w:tcW w:type="dxa" w:w="2966"/>
            <w:tcMar>
              <w:top w:w="60" w:type="dxa"/>
              <w:start w:w="110" w:type="dxa"/>
              <w:bottom w:w="60" w:type="dxa"/>
              <w:end w:w="110" w:type="dxa"/>
            </w:tcMar>
            <w:shd w:val="clear" w:color="auto" w:fill="F4F7FB"/>
          </w:tcPr>
          <w:p>
            <w:pPr>
              <w:spacing w:after="0"/>
            </w:pPr>
            <w:r/>
            <w:r>
              <w:rPr>
                <w:rFonts w:ascii="Calibri" w:hAnsi="Calibri"/>
                <w:b w:val="0"/>
                <w:i w:val="0"/>
                <w:color w:val="101828"/>
                <w:sz w:val="14"/>
              </w:rPr>
              <w:t>All resource paths</w:t>
            </w:r>
          </w:p>
        </w:tc>
        <w:tc>
          <w:tcPr>
            <w:tcW w:type="dxa" w:w="3168"/>
            <w:tcMar>
              <w:top w:w="60" w:type="dxa"/>
              <w:start w:w="110" w:type="dxa"/>
              <w:bottom w:w="60" w:type="dxa"/>
              <w:end w:w="110" w:type="dxa"/>
            </w:tcMar>
            <w:shd w:val="clear" w:color="auto" w:fill="F4F7FB"/>
          </w:tcPr>
          <w:p>
            <w:pPr>
              <w:spacing w:after="0"/>
            </w:pPr>
            <w:r/>
            <w:r>
              <w:rPr>
                <w:rFonts w:ascii="Consolas" w:hAnsi="Consolas"/>
                <w:color w:val="146EF5"/>
                <w:sz w:val="14"/>
              </w:rPr>
              <w:t>/app/ajos</w:t>
            </w:r>
            <w:r>
              <w:rPr>
                <w:rFonts w:ascii="Calibri" w:hAnsi="Calibri"/>
                <w:b w:val="0"/>
                <w:i w:val="0"/>
                <w:color w:val="101828"/>
                <w:sz w:val="14"/>
              </w:rPr>
              <w:t xml:space="preserve">, </w:t>
            </w:r>
            <w:r>
              <w:rPr>
                <w:rFonts w:ascii="Consolas" w:hAnsi="Consolas"/>
                <w:color w:val="146EF5"/>
                <w:sz w:val="14"/>
              </w:rPr>
              <w:t>/app/ajos/:id</w:t>
            </w:r>
          </w:p>
        </w:tc>
      </w:tr>
      <w:tr>
        <w:trPr>
          <w:cantSplit/>
        </w:trPr>
        <w:tc>
          <w:tcPr>
            <w:tcW w:type="dxa" w:w="3226"/>
            <w:tcMar>
              <w:top w:w="60" w:type="dxa"/>
              <w:start w:w="110" w:type="dxa"/>
              <w:bottom w:w="60" w:type="dxa"/>
              <w:end w:w="110" w:type="dxa"/>
            </w:tcMar>
          </w:tcPr>
          <w:p>
            <w:pPr>
              <w:spacing w:after="0"/>
            </w:pPr>
            <w:r/>
            <w:r>
              <w:rPr>
                <w:rFonts w:ascii="Calibri" w:hAnsi="Calibri"/>
                <w:b w:val="0"/>
                <w:i w:val="0"/>
                <w:color w:val="101828"/>
                <w:sz w:val="14"/>
              </w:rPr>
              <w:t>No file extensions, ever</w:t>
            </w:r>
          </w:p>
        </w:tc>
        <w:tc>
          <w:tcPr>
            <w:tcW w:type="dxa" w:w="2966"/>
            <w:tcMar>
              <w:top w:w="60" w:type="dxa"/>
              <w:start w:w="110" w:type="dxa"/>
              <w:bottom w:w="60" w:type="dxa"/>
              <w:end w:w="110" w:type="dxa"/>
            </w:tcMar>
          </w:tcPr>
          <w:p>
            <w:pPr>
              <w:spacing w:after="0"/>
            </w:pPr>
            <w:r/>
            <w:r>
              <w:rPr>
                <w:rFonts w:ascii="Calibri" w:hAnsi="Calibri"/>
                <w:b w:val="0"/>
                <w:i w:val="0"/>
                <w:color w:val="101828"/>
                <w:sz w:val="14"/>
              </w:rPr>
              <w:t>All routes</w:t>
            </w:r>
          </w:p>
        </w:tc>
        <w:tc>
          <w:tcPr>
            <w:tcW w:type="dxa" w:w="3168"/>
            <w:tcMar>
              <w:top w:w="60" w:type="dxa"/>
              <w:start w:w="110" w:type="dxa"/>
              <w:bottom w:w="60" w:type="dxa"/>
              <w:end w:w="110" w:type="dxa"/>
            </w:tcMar>
          </w:tcPr>
          <w:p>
            <w:pPr>
              <w:spacing w:after="0"/>
            </w:pPr>
            <w:r/>
            <w:r>
              <w:rPr>
                <w:rFonts w:ascii="Consolas" w:hAnsi="Consolas"/>
                <w:color w:val="146EF5"/>
                <w:sz w:val="14"/>
              </w:rPr>
              <w:t>/fees</w:t>
            </w:r>
            <w:r>
              <w:rPr>
                <w:rFonts w:ascii="Calibri" w:hAnsi="Calibri"/>
                <w:b w:val="0"/>
                <w:i w:val="0"/>
                <w:color w:val="101828"/>
                <w:sz w:val="14"/>
              </w:rPr>
              <w:t xml:space="preserve"> not </w:t>
            </w:r>
            <w:r>
              <w:rPr>
                <w:rFonts w:ascii="Consolas" w:hAnsi="Consolas"/>
                <w:color w:val="146EF5"/>
                <w:sz w:val="14"/>
              </w:rPr>
              <w:t>/fees.html</w:t>
            </w:r>
          </w:p>
        </w:tc>
      </w:tr>
      <w:tr>
        <w:trPr>
          <w:cantSplit/>
        </w:trPr>
        <w:tc>
          <w:tcPr>
            <w:tcW w:type="dxa" w:w="322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No trailing slash; </w:t>
            </w:r>
            <w:r>
              <w:rPr>
                <w:rFonts w:ascii="Consolas" w:hAnsi="Consolas"/>
                <w:color w:val="146EF5"/>
                <w:sz w:val="14"/>
              </w:rPr>
              <w:t>/x/</w:t>
            </w:r>
            <w:r>
              <w:rPr>
                <w:rFonts w:ascii="Calibri" w:hAnsi="Calibri"/>
                <w:b w:val="0"/>
                <w:i w:val="0"/>
                <w:color w:val="101828"/>
                <w:sz w:val="14"/>
              </w:rPr>
              <w:t xml:space="preserve"> 301s to </w:t>
            </w:r>
            <w:r>
              <w:rPr>
                <w:rFonts w:ascii="Consolas" w:hAnsi="Consolas"/>
                <w:color w:val="146EF5"/>
                <w:sz w:val="14"/>
              </w:rPr>
              <w:t>/x</w:t>
            </w:r>
          </w:p>
        </w:tc>
        <w:tc>
          <w:tcPr>
            <w:tcW w:type="dxa" w:w="2966"/>
            <w:tcMar>
              <w:top w:w="60" w:type="dxa"/>
              <w:start w:w="110" w:type="dxa"/>
              <w:bottom w:w="60" w:type="dxa"/>
              <w:end w:w="110" w:type="dxa"/>
            </w:tcMar>
            <w:shd w:val="clear" w:color="auto" w:fill="F4F7FB"/>
          </w:tcPr>
          <w:p>
            <w:pPr>
              <w:spacing w:after="0"/>
            </w:pPr>
            <w:r/>
            <w:r>
              <w:rPr>
                <w:rFonts w:ascii="Calibri" w:hAnsi="Calibri"/>
                <w:b w:val="0"/>
                <w:i w:val="0"/>
                <w:color w:val="101828"/>
                <w:sz w:val="14"/>
              </w:rPr>
              <w:t>All routes</w:t>
            </w:r>
          </w:p>
        </w:tc>
        <w:tc>
          <w:tcPr>
            <w:tcW w:type="dxa" w:w="3168"/>
            <w:tcMar>
              <w:top w:w="60" w:type="dxa"/>
              <w:start w:w="110" w:type="dxa"/>
              <w:bottom w:w="60" w:type="dxa"/>
              <w:end w:w="110" w:type="dxa"/>
            </w:tcMar>
            <w:shd w:val="clear" w:color="auto" w:fill="F4F7FB"/>
          </w:tcPr>
          <w:p>
            <w:pPr>
              <w:spacing w:after="0"/>
            </w:pPr>
            <w:r/>
            <w:r>
              <w:rPr>
                <w:rFonts w:ascii="Consolas" w:hAnsi="Consolas"/>
                <w:color w:val="146EF5"/>
                <w:sz w:val="14"/>
              </w:rPr>
              <w:t>/app/ajos/</w:t>
            </w:r>
            <w:r>
              <w:rPr>
                <w:rFonts w:ascii="Calibri" w:hAnsi="Calibri"/>
                <w:b w:val="0"/>
                <w:i w:val="0"/>
                <w:color w:val="101828"/>
                <w:sz w:val="14"/>
              </w:rPr>
              <w:t xml:space="preserve"> → </w:t>
            </w:r>
            <w:r>
              <w:rPr>
                <w:rFonts w:ascii="Consolas" w:hAnsi="Consolas"/>
                <w:color w:val="146EF5"/>
                <w:sz w:val="14"/>
              </w:rPr>
              <w:t>/app/ajos</w:t>
            </w:r>
          </w:p>
        </w:tc>
      </w:tr>
      <w:tr>
        <w:trPr>
          <w:cantSplit/>
        </w:trPr>
        <w:tc>
          <w:tcPr>
            <w:tcW w:type="dxa" w:w="3226"/>
            <w:tcMar>
              <w:top w:w="60" w:type="dxa"/>
              <w:start w:w="110" w:type="dxa"/>
              <w:bottom w:w="60" w:type="dxa"/>
              <w:end w:w="110" w:type="dxa"/>
            </w:tcMar>
          </w:tcPr>
          <w:p>
            <w:pPr>
              <w:spacing w:after="0"/>
            </w:pPr>
            <w:r/>
            <w:r>
              <w:rPr>
                <w:rFonts w:ascii="Calibri" w:hAnsi="Calibri"/>
                <w:b w:val="0"/>
                <w:i w:val="0"/>
                <w:color w:val="101828"/>
                <w:sz w:val="14"/>
              </w:rPr>
              <w:t>Opaque ULID for every record id</w:t>
            </w:r>
          </w:p>
        </w:tc>
        <w:tc>
          <w:tcPr>
            <w:tcW w:type="dxa" w:w="2966"/>
            <w:tcMar>
              <w:top w:w="60" w:type="dxa"/>
              <w:start w:w="110" w:type="dxa"/>
              <w:bottom w:w="60" w:type="dxa"/>
              <w:end w:w="110" w:type="dxa"/>
            </w:tcMar>
          </w:tcPr>
          <w:p>
            <w:pPr>
              <w:spacing w:after="0"/>
            </w:pPr>
            <w:r/>
            <w:r>
              <w:rPr>
                <w:rFonts w:ascii="Calibri" w:hAnsi="Calibri"/>
                <w:b w:val="0"/>
                <w:i w:val="0"/>
                <w:color w:val="101828"/>
                <w:sz w:val="14"/>
              </w:rPr>
              <w:t xml:space="preserve">All </w:t>
            </w:r>
            <w:r>
              <w:rPr>
                <w:rFonts w:ascii="Consolas" w:hAnsi="Consolas"/>
                <w:color w:val="146EF5"/>
                <w:sz w:val="14"/>
              </w:rPr>
              <w:t>:id</w:t>
            </w:r>
            <w:r>
              <w:rPr>
                <w:rFonts w:ascii="Calibri" w:hAnsi="Calibri"/>
                <w:b w:val="0"/>
                <w:i w:val="0"/>
                <w:color w:val="101828"/>
                <w:sz w:val="14"/>
              </w:rPr>
              <w:t xml:space="preserve"> segments</w:t>
            </w:r>
          </w:p>
        </w:tc>
        <w:tc>
          <w:tcPr>
            <w:tcW w:type="dxa" w:w="3168"/>
            <w:tcMar>
              <w:top w:w="60" w:type="dxa"/>
              <w:start w:w="110" w:type="dxa"/>
              <w:bottom w:w="60" w:type="dxa"/>
              <w:end w:w="110" w:type="dxa"/>
            </w:tcMar>
          </w:tcPr>
          <w:p>
            <w:pPr>
              <w:spacing w:after="0"/>
            </w:pPr>
            <w:r/>
            <w:r>
              <w:rPr>
                <w:rFonts w:ascii="Consolas" w:hAnsi="Consolas"/>
                <w:color w:val="146EF5"/>
                <w:sz w:val="14"/>
              </w:rPr>
              <w:t>01HQ8S3K7M2Z4P9R6T1V0YB3DE</w:t>
            </w:r>
          </w:p>
        </w:tc>
      </w:tr>
      <w:tr>
        <w:trPr>
          <w:cantSplit/>
        </w:trPr>
        <w:tc>
          <w:tcPr>
            <w:tcW w:type="dxa" w:w="3226"/>
            <w:tcMar>
              <w:top w:w="60" w:type="dxa"/>
              <w:start w:w="110" w:type="dxa"/>
              <w:bottom w:w="60" w:type="dxa"/>
              <w:end w:w="110" w:type="dxa"/>
            </w:tcMar>
            <w:shd w:val="clear" w:color="auto" w:fill="F4F7FB"/>
          </w:tcPr>
          <w:p>
            <w:pPr>
              <w:spacing w:after="0"/>
            </w:pPr>
            <w:r/>
            <w:r>
              <w:rPr>
                <w:rFonts w:ascii="Calibri" w:hAnsi="Calibri"/>
                <w:b w:val="0"/>
                <w:i w:val="0"/>
                <w:color w:val="101828"/>
                <w:sz w:val="14"/>
              </w:rPr>
              <w:t>Enum tokens in query filters, lowercase snake</w:t>
            </w:r>
          </w:p>
        </w:tc>
        <w:tc>
          <w:tcPr>
            <w:tcW w:type="dxa" w:w="2966"/>
            <w:tcMar>
              <w:top w:w="60" w:type="dxa"/>
              <w:start w:w="110" w:type="dxa"/>
              <w:bottom w:w="60" w:type="dxa"/>
              <w:end w:w="110" w:type="dxa"/>
            </w:tcMar>
            <w:shd w:val="clear" w:color="auto" w:fill="F4F7FB"/>
          </w:tcPr>
          <w:p>
            <w:pPr>
              <w:spacing w:after="0"/>
            </w:pPr>
            <w:r/>
            <w:r>
              <w:rPr>
                <w:rFonts w:ascii="Calibri" w:hAnsi="Calibri"/>
                <w:b w:val="0"/>
                <w:i w:val="0"/>
                <w:color w:val="101828"/>
                <w:sz w:val="14"/>
              </w:rPr>
              <w:t>All query strings</w:t>
            </w:r>
          </w:p>
        </w:tc>
        <w:tc>
          <w:tcPr>
            <w:tcW w:type="dxa" w:w="3168"/>
            <w:tcMar>
              <w:top w:w="60" w:type="dxa"/>
              <w:start w:w="110" w:type="dxa"/>
              <w:bottom w:w="60" w:type="dxa"/>
              <w:end w:w="110" w:type="dxa"/>
            </w:tcMar>
            <w:shd w:val="clear" w:color="auto" w:fill="F4F7FB"/>
          </w:tcPr>
          <w:p>
            <w:pPr>
              <w:spacing w:after="0"/>
            </w:pPr>
            <w:r/>
            <w:r>
              <w:rPr>
                <w:rFonts w:ascii="Consolas" w:hAnsi="Consolas"/>
                <w:color w:val="146EF5"/>
                <w:sz w:val="14"/>
              </w:rPr>
              <w:t>?status=overdue&amp;round=3</w:t>
            </w:r>
          </w:p>
        </w:tc>
      </w:tr>
      <w:tr>
        <w:trPr>
          <w:cantSplit/>
        </w:trPr>
        <w:tc>
          <w:tcPr>
            <w:tcW w:type="dxa" w:w="3226"/>
            <w:tcMar>
              <w:top w:w="60" w:type="dxa"/>
              <w:start w:w="110" w:type="dxa"/>
              <w:bottom w:w="60" w:type="dxa"/>
              <w:end w:w="110" w:type="dxa"/>
            </w:tcMar>
          </w:tcPr>
          <w:p>
            <w:pPr>
              <w:spacing w:after="0"/>
            </w:pPr>
            <w:r/>
            <w:r>
              <w:rPr>
                <w:rFonts w:ascii="Calibri" w:hAnsi="Calibri"/>
                <w:b w:val="0"/>
                <w:i w:val="0"/>
                <w:color w:val="101828"/>
                <w:sz w:val="14"/>
              </w:rPr>
              <w:t>Cursor pagination only, no page numbers</w:t>
            </w:r>
          </w:p>
        </w:tc>
        <w:tc>
          <w:tcPr>
            <w:tcW w:type="dxa" w:w="2966"/>
            <w:tcMar>
              <w:top w:w="60" w:type="dxa"/>
              <w:start w:w="110" w:type="dxa"/>
              <w:bottom w:w="60" w:type="dxa"/>
              <w:end w:w="110" w:type="dxa"/>
            </w:tcMar>
          </w:tcPr>
          <w:p>
            <w:pPr>
              <w:spacing w:after="0"/>
            </w:pPr>
            <w:r/>
            <w:r>
              <w:rPr>
                <w:rFonts w:ascii="Calibri" w:hAnsi="Calibri"/>
                <w:b w:val="0"/>
                <w:i w:val="0"/>
                <w:color w:val="101828"/>
                <w:sz w:val="14"/>
              </w:rPr>
              <w:t>All list routes</w:t>
            </w:r>
          </w:p>
        </w:tc>
        <w:tc>
          <w:tcPr>
            <w:tcW w:type="dxa" w:w="3168"/>
            <w:tcMar>
              <w:top w:w="60" w:type="dxa"/>
              <w:start w:w="110" w:type="dxa"/>
              <w:bottom w:w="60" w:type="dxa"/>
              <w:end w:w="110" w:type="dxa"/>
            </w:tcMar>
          </w:tcPr>
          <w:p>
            <w:pPr>
              <w:spacing w:after="0"/>
            </w:pPr>
            <w:r/>
            <w:r>
              <w:rPr>
                <w:rFonts w:ascii="Consolas" w:hAnsi="Consolas"/>
                <w:color w:val="146EF5"/>
                <w:sz w:val="14"/>
              </w:rPr>
              <w:t>?cursor=eyJpZCI6…&amp;limit=25</w:t>
            </w:r>
          </w:p>
        </w:tc>
      </w:tr>
      <w:tr>
        <w:trPr>
          <w:cantSplit/>
        </w:trPr>
        <w:tc>
          <w:tcPr>
            <w:tcW w:type="dxa" w:w="3226"/>
            <w:tcMar>
              <w:top w:w="60" w:type="dxa"/>
              <w:start w:w="110" w:type="dxa"/>
              <w:bottom w:w="60" w:type="dxa"/>
              <w:end w:w="110" w:type="dxa"/>
            </w:tcMar>
            <w:shd w:val="clear" w:color="auto" w:fill="F4F7FB"/>
          </w:tcPr>
          <w:p>
            <w:pPr>
              <w:spacing w:after="0"/>
            </w:pPr>
            <w:r/>
            <w:r>
              <w:rPr>
                <w:rFonts w:ascii="Calibri" w:hAnsi="Calibri"/>
                <w:b w:val="0"/>
                <w:i w:val="0"/>
                <w:color w:val="101828"/>
                <w:sz w:val="14"/>
              </w:rPr>
              <w:t>No verbs in paths</w:t>
            </w:r>
          </w:p>
        </w:tc>
        <w:tc>
          <w:tcPr>
            <w:tcW w:type="dxa" w:w="2966"/>
            <w:tcMar>
              <w:top w:w="60" w:type="dxa"/>
              <w:start w:w="110" w:type="dxa"/>
              <w:bottom w:w="60" w:type="dxa"/>
              <w:end w:w="110" w:type="dxa"/>
            </w:tcMar>
            <w:shd w:val="clear" w:color="auto" w:fill="F4F7FB"/>
          </w:tcPr>
          <w:p>
            <w:pPr>
              <w:spacing w:after="0"/>
            </w:pPr>
            <w:r/>
            <w:r>
              <w:rPr>
                <w:rFonts w:ascii="Calibri" w:hAnsi="Calibri"/>
                <w:b w:val="0"/>
                <w:i w:val="0"/>
                <w:color w:val="101828"/>
                <w:sz w:val="14"/>
              </w:rPr>
              <w:t>All routes</w:t>
            </w:r>
          </w:p>
        </w:tc>
        <w:tc>
          <w:tcPr>
            <w:tcW w:type="dxa" w:w="3168"/>
            <w:tcMar>
              <w:top w:w="60" w:type="dxa"/>
              <w:start w:w="110" w:type="dxa"/>
              <w:bottom w:w="60" w:type="dxa"/>
              <w:end w:w="110" w:type="dxa"/>
            </w:tcMar>
            <w:shd w:val="clear" w:color="auto" w:fill="F4F7FB"/>
          </w:tcPr>
          <w:p>
            <w:pPr>
              <w:spacing w:after="0"/>
            </w:pPr>
            <w:r/>
            <w:r>
              <w:rPr>
                <w:rFonts w:ascii="Consolas" w:hAnsi="Consolas"/>
                <w:color w:val="146EF5"/>
                <w:sz w:val="14"/>
              </w:rPr>
              <w:t>/app/verification</w:t>
            </w:r>
            <w:r>
              <w:rPr>
                <w:rFonts w:ascii="Calibri" w:hAnsi="Calibri"/>
                <w:b w:val="0"/>
                <w:i w:val="0"/>
                <w:color w:val="101828"/>
                <w:sz w:val="14"/>
              </w:rPr>
              <w:t xml:space="preserve">, not </w:t>
            </w:r>
            <w:r>
              <w:rPr>
                <w:rFonts w:ascii="Consolas" w:hAnsi="Consolas"/>
                <w:color w:val="146EF5"/>
                <w:sz w:val="14"/>
              </w:rPr>
              <w:t>/app/verify</w:t>
            </w:r>
          </w:p>
        </w:tc>
      </w:tr>
      <w:tr>
        <w:trPr>
          <w:cantSplit/>
        </w:trPr>
        <w:tc>
          <w:tcPr>
            <w:tcW w:type="dxa" w:w="3226"/>
            <w:tcMar>
              <w:top w:w="60" w:type="dxa"/>
              <w:start w:w="110" w:type="dxa"/>
              <w:bottom w:w="60" w:type="dxa"/>
              <w:end w:w="110" w:type="dxa"/>
            </w:tcMar>
          </w:tcPr>
          <w:p>
            <w:pPr>
              <w:spacing w:after="0"/>
            </w:pPr>
            <w:r/>
            <w:r>
              <w:rPr>
                <w:rFonts w:ascii="Calibri" w:hAnsi="Calibri"/>
                <w:b w:val="0"/>
                <w:i w:val="0"/>
                <w:color w:val="101828"/>
                <w:sz w:val="14"/>
              </w:rPr>
              <w:t>Deep paths only where the child is meaningless alone</w:t>
            </w:r>
          </w:p>
        </w:tc>
        <w:tc>
          <w:tcPr>
            <w:tcW w:type="dxa" w:w="2966"/>
            <w:tcMar>
              <w:top w:w="60" w:type="dxa"/>
              <w:start w:w="110" w:type="dxa"/>
              <w:bottom w:w="60" w:type="dxa"/>
              <w:end w:w="110" w:type="dxa"/>
            </w:tcMar>
          </w:tcPr>
          <w:p>
            <w:pPr>
              <w:spacing w:after="0"/>
            </w:pPr>
            <w:r/>
            <w:r>
              <w:rPr>
                <w:rFonts w:ascii="Calibri" w:hAnsi="Calibri"/>
                <w:b w:val="0"/>
                <w:i w:val="0"/>
                <w:color w:val="101828"/>
                <w:sz w:val="14"/>
              </w:rPr>
              <w:t>All routes</w:t>
            </w:r>
          </w:p>
        </w:tc>
        <w:tc>
          <w:tcPr>
            <w:tcW w:type="dxa" w:w="3168"/>
            <w:tcMar>
              <w:top w:w="60" w:type="dxa"/>
              <w:start w:w="110" w:type="dxa"/>
              <w:bottom w:w="60" w:type="dxa"/>
              <w:end w:w="110" w:type="dxa"/>
            </w:tcMar>
          </w:tcPr>
          <w:p>
            <w:pPr>
              <w:spacing w:after="0"/>
            </w:pPr>
            <w:r/>
            <w:r>
              <w:rPr>
                <w:rFonts w:ascii="Consolas" w:hAnsi="Consolas"/>
                <w:color w:val="146EF5"/>
                <w:sz w:val="14"/>
              </w:rPr>
              <w:t>/app/ajos/:id/members</w:t>
            </w:r>
            <w:r>
              <w:rPr>
                <w:rFonts w:ascii="Calibri" w:hAnsi="Calibri"/>
                <w:b w:val="0"/>
                <w:i w:val="0"/>
                <w:color w:val="101828"/>
                <w:sz w:val="14"/>
              </w:rPr>
              <w:t xml:space="preserve"> yes; </w:t>
            </w:r>
            <w:r>
              <w:rPr>
                <w:rFonts w:ascii="Consolas" w:hAnsi="Consolas"/>
                <w:color w:val="146EF5"/>
                <w:sz w:val="14"/>
              </w:rPr>
              <w:t>/app/people</w:t>
            </w:r>
            <w:r>
              <w:rPr>
                <w:rFonts w:ascii="Calibri" w:hAnsi="Calibri"/>
                <w:b w:val="0"/>
                <w:i w:val="0"/>
                <w:color w:val="101828"/>
                <w:sz w:val="14"/>
              </w:rPr>
              <w:t xml:space="preserve"> no</w:t>
            </w:r>
          </w:p>
        </w:tc>
      </w:tr>
      <w:tr>
        <w:trPr>
          <w:cantSplit/>
        </w:trPr>
        <w:tc>
          <w:tcPr>
            <w:tcW w:type="dxa" w:w="3226"/>
            <w:tcMar>
              <w:top w:w="60" w:type="dxa"/>
              <w:start w:w="110" w:type="dxa"/>
              <w:bottom w:w="60" w:type="dxa"/>
              <w:end w:w="110" w:type="dxa"/>
            </w:tcMar>
            <w:shd w:val="clear" w:color="auto" w:fill="F4F7FB"/>
          </w:tcPr>
          <w:p>
            <w:pPr>
              <w:spacing w:after="0"/>
            </w:pPr>
            <w:r/>
            <w:r>
              <w:rPr>
                <w:rFonts w:ascii="Calibri" w:hAnsi="Calibri"/>
                <w:b w:val="0"/>
                <w:i w:val="0"/>
                <w:color w:val="101828"/>
                <w:sz w:val="14"/>
              </w:rPr>
              <w:t>Same path shape on every tier-3 record</w:t>
            </w:r>
          </w:p>
        </w:tc>
        <w:tc>
          <w:tcPr>
            <w:tcW w:type="dxa" w:w="2966"/>
            <w:tcMar>
              <w:top w:w="60" w:type="dxa"/>
              <w:start w:w="110" w:type="dxa"/>
              <w:bottom w:w="60" w:type="dxa"/>
              <w:end w:w="110" w:type="dxa"/>
            </w:tcMar>
            <w:shd w:val="clear" w:color="auto" w:fill="F4F7FB"/>
          </w:tcPr>
          <w:p>
            <w:pPr>
              <w:spacing w:after="0"/>
            </w:pPr>
            <w:r/>
            <w:r>
              <w:rPr>
                <w:rFonts w:ascii="Calibri" w:hAnsi="Calibri"/>
                <w:b w:val="0"/>
                <w:i w:val="0"/>
                <w:color w:val="101828"/>
                <w:sz w:val="14"/>
              </w:rPr>
              <w:t>Admin routes</w:t>
            </w:r>
          </w:p>
        </w:tc>
        <w:tc>
          <w:tcPr>
            <w:tcW w:type="dxa" w:w="3168"/>
            <w:tcMar>
              <w:top w:w="60" w:type="dxa"/>
              <w:start w:w="110" w:type="dxa"/>
              <w:bottom w:w="60" w:type="dxa"/>
              <w:end w:w="110" w:type="dxa"/>
            </w:tcMar>
            <w:shd w:val="clear" w:color="auto" w:fill="F4F7FB"/>
          </w:tcPr>
          <w:p>
            <w:pPr>
              <w:spacing w:after="0"/>
            </w:pPr>
            <w:r/>
            <w:r>
              <w:rPr>
                <w:rFonts w:ascii="Consolas" w:hAnsi="Consolas"/>
                <w:color w:val="146EF5"/>
                <w:sz w:val="14"/>
              </w:rPr>
              <w:t>/admin/ajos/:id</w:t>
            </w:r>
            <w:r>
              <w:rPr>
                <w:rFonts w:ascii="Calibri" w:hAnsi="Calibri"/>
                <w:b w:val="0"/>
                <w:i w:val="0"/>
                <w:color w:val="101828"/>
                <w:sz w:val="14"/>
              </w:rPr>
              <w:t xml:space="preserve">, </w:t>
            </w:r>
            <w:r>
              <w:rPr>
                <w:rFonts w:ascii="Consolas" w:hAnsi="Consolas"/>
                <w:color w:val="146EF5"/>
                <w:sz w:val="14"/>
              </w:rPr>
              <w:t>/admin/users/:id</w:t>
            </w:r>
          </w:p>
        </w:tc>
      </w:tr>
    </w:tbl>
    <w:p>
      <w:pPr>
        <w:spacing w:after="80"/>
      </w:pPr>
    </w:p>
    <w:p>
      <w:pPr>
        <w:pStyle w:val="Heading3"/>
      </w:pPr>
      <w:r>
        <w:rPr>
          <w:rFonts w:ascii="Calibri" w:hAnsi="Calibri"/>
          <w:b/>
          <w:i w:val="0"/>
          <w:color w:val="0B1F3A"/>
          <w:sz w:val="24"/>
        </w:rPr>
        <w:t>3.12.2 Reserved routes and namespaces</w:t>
      </w:r>
    </w:p>
    <w:p>
      <w:r>
        <w:rPr>
          <w:rFonts w:ascii="Calibri" w:hAnsi="Calibri"/>
          <w:b w:val="0"/>
          <w:i w:val="0"/>
          <w:color w:val="101828"/>
          <w:sz w:val="21"/>
        </w:rPr>
        <w:t>The following prefixes and names are reserved by this product. A future marketing page, campaign or Ajo name may not take them, because the router, the edge, the link preview service and the mobile deep-link handler all already claim them.</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390"/>
            <w:shd w:val="clear" w:color="auto" w:fill="0B1F3A"/>
            <w:tcMar>
              <w:top w:w="60" w:type="dxa"/>
              <w:start w:w="110" w:type="dxa"/>
              <w:bottom w:w="60" w:type="dxa"/>
              <w:end w:w="110" w:type="dxa"/>
            </w:tcMar>
          </w:tcPr>
          <w:p>
            <w:pPr>
              <w:spacing w:after="0"/>
            </w:pPr>
            <w:r/>
            <w:r>
              <w:rPr>
                <w:rFonts w:ascii="Calibri" w:hAnsi="Calibri"/>
                <w:b/>
                <w:i w:val="0"/>
                <w:color w:val="FFFFFF"/>
                <w:sz w:val="14"/>
              </w:rPr>
              <w:t>Reserved</w:t>
            </w:r>
          </w:p>
        </w:tc>
        <w:tc>
          <w:tcPr>
            <w:tcW w:type="dxa" w:w="2678"/>
            <w:shd w:val="clear" w:color="auto" w:fill="0B1F3A"/>
            <w:tcMar>
              <w:top w:w="60" w:type="dxa"/>
              <w:start w:w="110" w:type="dxa"/>
              <w:bottom w:w="60" w:type="dxa"/>
              <w:end w:w="110" w:type="dxa"/>
            </w:tcMar>
          </w:tcPr>
          <w:p>
            <w:pPr>
              <w:spacing w:after="0"/>
            </w:pPr>
            <w:r/>
            <w:r>
              <w:rPr>
                <w:rFonts w:ascii="Calibri" w:hAnsi="Calibri"/>
                <w:b/>
                <w:i w:val="0"/>
                <w:color w:val="FFFFFF"/>
                <w:sz w:val="14"/>
              </w:rPr>
              <w:t>Claimed by</w:t>
            </w:r>
          </w:p>
        </w:tc>
        <w:tc>
          <w:tcPr>
            <w:tcW w:type="dxa" w:w="4291"/>
            <w:shd w:val="clear" w:color="auto" w:fill="0B1F3A"/>
            <w:tcMar>
              <w:top w:w="60" w:type="dxa"/>
              <w:start w:w="110" w:type="dxa"/>
              <w:bottom w:w="60" w:type="dxa"/>
              <w:end w:w="110" w:type="dxa"/>
            </w:tcMar>
          </w:tcPr>
          <w:p>
            <w:pPr>
              <w:spacing w:after="0"/>
            </w:pPr>
            <w:r/>
            <w:r>
              <w:rPr>
                <w:rFonts w:ascii="Calibri" w:hAnsi="Calibri"/>
                <w:b/>
                <w:i w:val="0"/>
                <w:color w:val="FFFFFF"/>
                <w:sz w:val="14"/>
              </w:rPr>
              <w:t>Rule</w:t>
            </w:r>
          </w:p>
        </w:tc>
      </w:tr>
      <w:tr>
        <w:trPr>
          <w:cantSplit/>
        </w:trPr>
        <w:tc>
          <w:tcPr>
            <w:tcW w:type="dxa" w:w="2390"/>
            <w:tcMar>
              <w:top w:w="60" w:type="dxa"/>
              <w:start w:w="110" w:type="dxa"/>
              <w:bottom w:w="60" w:type="dxa"/>
              <w:end w:w="110" w:type="dxa"/>
            </w:tcMar>
          </w:tcPr>
          <w:p>
            <w:pPr>
              <w:spacing w:after="0"/>
            </w:pPr>
            <w:r/>
            <w:r>
              <w:rPr>
                <w:rFonts w:ascii="Consolas" w:hAnsi="Consolas"/>
                <w:color w:val="146EF5"/>
                <w:sz w:val="14"/>
              </w:rPr>
              <w:t>/api/**</w:t>
            </w:r>
          </w:p>
        </w:tc>
        <w:tc>
          <w:tcPr>
            <w:tcW w:type="dxa" w:w="2678"/>
            <w:tcMar>
              <w:top w:w="60" w:type="dxa"/>
              <w:start w:w="110" w:type="dxa"/>
              <w:bottom w:w="60" w:type="dxa"/>
              <w:end w:w="110" w:type="dxa"/>
            </w:tcMar>
          </w:tcPr>
          <w:p>
            <w:pPr>
              <w:spacing w:after="0"/>
            </w:pPr>
            <w:r/>
            <w:r>
              <w:rPr>
                <w:rFonts w:ascii="Calibri" w:hAnsi="Calibri"/>
                <w:b w:val="0"/>
                <w:i w:val="0"/>
                <w:color w:val="101828"/>
                <w:sz w:val="14"/>
              </w:rPr>
              <w:t>The v1 REST surface (</w:t>
            </w:r>
            <w:r>
              <w:rPr>
                <w:rFonts w:ascii="Consolas" w:hAnsi="Consolas"/>
                <w:color w:val="146EF5"/>
                <w:sz w:val="14"/>
              </w:rPr>
              <w:t>/api/v1</w:t>
            </w:r>
            <w:r>
              <w:rPr>
                <w:rFonts w:ascii="Calibri" w:hAnsi="Calibri"/>
                <w:b w:val="0"/>
                <w:i w:val="0"/>
                <w:color w:val="101828"/>
                <w:sz w:val="14"/>
              </w:rPr>
              <w:t>, CAN §6)</w:t>
            </w:r>
          </w:p>
        </w:tc>
        <w:tc>
          <w:tcPr>
            <w:tcW w:type="dxa" w:w="4291"/>
            <w:tcMar>
              <w:top w:w="60" w:type="dxa"/>
              <w:start w:w="110" w:type="dxa"/>
              <w:bottom w:w="60" w:type="dxa"/>
              <w:end w:w="110" w:type="dxa"/>
            </w:tcMar>
          </w:tcPr>
          <w:p>
            <w:pPr>
              <w:spacing w:after="0"/>
            </w:pPr>
            <w:r/>
            <w:r>
              <w:rPr>
                <w:rFonts w:ascii="Calibri" w:hAnsi="Calibri"/>
                <w:b w:val="0"/>
                <w:i w:val="0"/>
                <w:color w:val="101828"/>
                <w:sz w:val="14"/>
              </w:rPr>
              <w:t>Never serves HTML. An unknown API path returns an RFC-7807 body, never a 404 page.</w:t>
            </w:r>
          </w:p>
        </w:tc>
      </w:tr>
      <w:tr>
        <w:trPr>
          <w:cantSplit/>
        </w:trPr>
        <w:tc>
          <w:tcPr>
            <w:tcW w:type="dxa" w:w="2390"/>
            <w:tcMar>
              <w:top w:w="60" w:type="dxa"/>
              <w:start w:w="110" w:type="dxa"/>
              <w:bottom w:w="60" w:type="dxa"/>
              <w:end w:w="110" w:type="dxa"/>
            </w:tcMar>
            <w:shd w:val="clear" w:color="auto" w:fill="F4F7FB"/>
          </w:tcPr>
          <w:p>
            <w:pPr>
              <w:spacing w:after="0"/>
            </w:pPr>
            <w:r/>
            <w:r>
              <w:rPr>
                <w:rFonts w:ascii="Consolas" w:hAnsi="Consolas"/>
                <w:color w:val="146EF5"/>
                <w:sz w:val="14"/>
              </w:rPr>
              <w:t>/app/**</w:t>
            </w:r>
          </w:p>
        </w:tc>
        <w:tc>
          <w:tcPr>
            <w:tcW w:type="dxa" w:w="2678"/>
            <w:tcMar>
              <w:top w:w="60" w:type="dxa"/>
              <w:start w:w="110" w:type="dxa"/>
              <w:bottom w:w="60" w:type="dxa"/>
              <w:end w:w="110" w:type="dxa"/>
            </w:tcMar>
            <w:shd w:val="clear" w:color="auto" w:fill="F4F7FB"/>
          </w:tcPr>
          <w:p>
            <w:pPr>
              <w:spacing w:after="0"/>
            </w:pPr>
            <w:r/>
            <w:r>
              <w:rPr>
                <w:rFonts w:ascii="Calibri" w:hAnsi="Calibri"/>
                <w:b w:val="0"/>
                <w:i w:val="0"/>
                <w:color w:val="101828"/>
                <w:sz w:val="14"/>
              </w:rPr>
              <w:t>Tier 2</w:t>
            </w:r>
          </w:p>
        </w:tc>
        <w:tc>
          <w:tcPr>
            <w:tcW w:type="dxa" w:w="4291"/>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No new first-level segment may be added under </w:t>
            </w:r>
            <w:r>
              <w:rPr>
                <w:rFonts w:ascii="Consolas" w:hAnsi="Consolas"/>
                <w:color w:val="146EF5"/>
                <w:sz w:val="14"/>
              </w:rPr>
              <w:t>/app</w:t>
            </w:r>
            <w:r>
              <w:rPr>
                <w:rFonts w:ascii="Calibri" w:hAnsi="Calibri"/>
                <w:b w:val="0"/>
                <w:i w:val="0"/>
                <w:color w:val="101828"/>
                <w:sz w:val="14"/>
              </w:rPr>
              <w:t xml:space="preserve"> without updating 3.3 and 3.6.2.</w:t>
            </w:r>
          </w:p>
        </w:tc>
      </w:tr>
      <w:tr>
        <w:trPr>
          <w:cantSplit/>
        </w:trPr>
        <w:tc>
          <w:tcPr>
            <w:tcW w:type="dxa" w:w="2390"/>
            <w:tcMar>
              <w:top w:w="60" w:type="dxa"/>
              <w:start w:w="110" w:type="dxa"/>
              <w:bottom w:w="60" w:type="dxa"/>
              <w:end w:w="110" w:type="dxa"/>
            </w:tcMar>
          </w:tcPr>
          <w:p>
            <w:pPr>
              <w:spacing w:after="0"/>
            </w:pPr>
            <w:r/>
            <w:r>
              <w:rPr>
                <w:rFonts w:ascii="Consolas" w:hAnsi="Consolas"/>
                <w:color w:val="146EF5"/>
                <w:sz w:val="14"/>
              </w:rPr>
              <w:t>/admin/**</w:t>
            </w:r>
          </w:p>
        </w:tc>
        <w:tc>
          <w:tcPr>
            <w:tcW w:type="dxa" w:w="2678"/>
            <w:tcMar>
              <w:top w:w="60" w:type="dxa"/>
              <w:start w:w="110" w:type="dxa"/>
              <w:bottom w:w="60" w:type="dxa"/>
              <w:end w:w="110" w:type="dxa"/>
            </w:tcMar>
          </w:tcPr>
          <w:p>
            <w:pPr>
              <w:spacing w:after="0"/>
            </w:pPr>
            <w:r/>
            <w:r>
              <w:rPr>
                <w:rFonts w:ascii="Calibri" w:hAnsi="Calibri"/>
                <w:b w:val="0"/>
                <w:i w:val="0"/>
                <w:color w:val="101828"/>
                <w:sz w:val="14"/>
              </w:rPr>
              <w:t>Tier 3</w:t>
            </w:r>
          </w:p>
        </w:tc>
        <w:tc>
          <w:tcPr>
            <w:tcW w:type="dxa" w:w="4291"/>
            <w:tcMar>
              <w:top w:w="60" w:type="dxa"/>
              <w:start w:w="110" w:type="dxa"/>
              <w:bottom w:w="60" w:type="dxa"/>
              <w:end w:w="110" w:type="dxa"/>
            </w:tcMar>
          </w:tcPr>
          <w:p>
            <w:pPr>
              <w:spacing w:after="0"/>
            </w:pPr>
            <w:r/>
            <w:r>
              <w:rPr>
                <w:rFonts w:ascii="Calibri" w:hAnsi="Calibri"/>
                <w:b w:val="0"/>
                <w:i w:val="0"/>
                <w:color w:val="101828"/>
                <w:sz w:val="14"/>
              </w:rPr>
              <w:t>As above for 3.4 and 3.6.3.</w:t>
            </w:r>
          </w:p>
        </w:tc>
      </w:tr>
      <w:tr>
        <w:trPr>
          <w:cantSplit/>
        </w:trPr>
        <w:tc>
          <w:tcPr>
            <w:tcW w:type="dxa" w:w="2390"/>
            <w:tcMar>
              <w:top w:w="60" w:type="dxa"/>
              <w:start w:w="110" w:type="dxa"/>
              <w:bottom w:w="60" w:type="dxa"/>
              <w:end w:w="110" w:type="dxa"/>
            </w:tcMar>
            <w:shd w:val="clear" w:color="auto" w:fill="F4F7FB"/>
          </w:tcPr>
          <w:p>
            <w:pPr>
              <w:spacing w:after="0"/>
            </w:pPr>
            <w:r/>
            <w:r>
              <w:rPr>
                <w:rFonts w:ascii="Consolas" w:hAnsi="Consolas"/>
                <w:color w:val="146EF5"/>
                <w:sz w:val="14"/>
              </w:rPr>
              <w:t>/invite/**</w:t>
            </w:r>
          </w:p>
        </w:tc>
        <w:tc>
          <w:tcPr>
            <w:tcW w:type="dxa" w:w="2678"/>
            <w:tcMar>
              <w:top w:w="60" w:type="dxa"/>
              <w:start w:w="110" w:type="dxa"/>
              <w:bottom w:w="60" w:type="dxa"/>
              <w:end w:w="110" w:type="dxa"/>
            </w:tcMar>
            <w:shd w:val="clear" w:color="auto" w:fill="F4F7FB"/>
          </w:tcPr>
          <w:p>
            <w:pPr>
              <w:spacing w:after="0"/>
            </w:pPr>
            <w:r/>
            <w:r>
              <w:rPr>
                <w:rFonts w:ascii="Calibri" w:hAnsi="Calibri"/>
                <w:b w:val="0"/>
                <w:i w:val="0"/>
                <w:color w:val="101828"/>
                <w:sz w:val="14"/>
              </w:rPr>
              <w:t>Invitation deep links</w:t>
            </w:r>
          </w:p>
        </w:tc>
        <w:tc>
          <w:tcPr>
            <w:tcW w:type="dxa" w:w="4291"/>
            <w:tcMar>
              <w:top w:w="60" w:type="dxa"/>
              <w:start w:w="110" w:type="dxa"/>
              <w:bottom w:w="60" w:type="dxa"/>
              <w:end w:w="110" w:type="dxa"/>
            </w:tcMar>
            <w:shd w:val="clear" w:color="auto" w:fill="F4F7FB"/>
          </w:tcPr>
          <w:p>
            <w:pPr>
              <w:spacing w:after="0"/>
            </w:pPr>
            <w:r/>
            <w:r>
              <w:rPr>
                <w:rFonts w:ascii="Calibri" w:hAnsi="Calibri"/>
                <w:b w:val="0"/>
                <w:i w:val="0"/>
                <w:color w:val="101828"/>
                <w:sz w:val="14"/>
              </w:rPr>
              <w:t>The only public route that renders anything resembling a tier-2 screen.</w:t>
            </w:r>
          </w:p>
        </w:tc>
      </w:tr>
      <w:tr>
        <w:trPr>
          <w:cantSplit/>
        </w:trPr>
        <w:tc>
          <w:tcPr>
            <w:tcW w:type="dxa" w:w="2390"/>
            <w:tcMar>
              <w:top w:w="60" w:type="dxa"/>
              <w:start w:w="110" w:type="dxa"/>
              <w:bottom w:w="60" w:type="dxa"/>
              <w:end w:w="110" w:type="dxa"/>
            </w:tcMar>
          </w:tcPr>
          <w:p>
            <w:pPr>
              <w:spacing w:after="0"/>
            </w:pPr>
            <w:r/>
            <w:r>
              <w:rPr>
                <w:rFonts w:ascii="Consolas" w:hAnsi="Consolas"/>
                <w:color w:val="146EF5"/>
                <w:sz w:val="14"/>
              </w:rPr>
              <w:t>/webhooks/**</w:t>
            </w:r>
          </w:p>
        </w:tc>
        <w:tc>
          <w:tcPr>
            <w:tcW w:type="dxa" w:w="2678"/>
            <w:tcMar>
              <w:top w:w="60" w:type="dxa"/>
              <w:start w:w="110" w:type="dxa"/>
              <w:bottom w:w="60" w:type="dxa"/>
              <w:end w:w="110" w:type="dxa"/>
            </w:tcMar>
          </w:tcPr>
          <w:p>
            <w:pPr>
              <w:spacing w:after="0"/>
            </w:pPr>
            <w:r/>
            <w:r>
              <w:rPr>
                <w:rFonts w:ascii="Calibri" w:hAnsi="Calibri"/>
                <w:b w:val="0"/>
                <w:i w:val="0"/>
                <w:color w:val="101828"/>
                <w:sz w:val="14"/>
              </w:rPr>
              <w:t>Provider callbacks (</w:t>
            </w:r>
            <w:r>
              <w:rPr>
                <w:rFonts w:ascii="Consolas" w:hAnsi="Consolas"/>
                <w:color w:val="146EF5"/>
                <w:sz w:val="14"/>
              </w:rPr>
              <w:t>POST /api/v1/webhooks/payments</w:t>
            </w:r>
            <w:r>
              <w:rPr>
                <w:rFonts w:ascii="Calibri" w:hAnsi="Calibri"/>
                <w:b w:val="0"/>
                <w:i w:val="0"/>
                <w:color w:val="101828"/>
                <w:sz w:val="14"/>
              </w:rPr>
              <w:t>)</w:t>
            </w:r>
          </w:p>
        </w:tc>
        <w:tc>
          <w:tcPr>
            <w:tcW w:type="dxa" w:w="4291"/>
            <w:tcMar>
              <w:top w:w="60" w:type="dxa"/>
              <w:start w:w="110" w:type="dxa"/>
              <w:bottom w:w="60" w:type="dxa"/>
              <w:end w:w="110" w:type="dxa"/>
            </w:tcMar>
          </w:tcPr>
          <w:p>
            <w:pPr>
              <w:spacing w:after="0"/>
            </w:pPr>
            <w:r/>
            <w:r>
              <w:rPr>
                <w:rFonts w:ascii="Calibri" w:hAnsi="Calibri"/>
                <w:b w:val="0"/>
                <w:i w:val="0"/>
                <w:color w:val="101828"/>
                <w:sz w:val="14"/>
              </w:rPr>
              <w:t>Signature-verified, unauthenticated, JSON only, never browser-navigable.</w:t>
            </w:r>
          </w:p>
        </w:tc>
      </w:tr>
      <w:tr>
        <w:trPr>
          <w:cantSplit/>
        </w:trPr>
        <w:tc>
          <w:tcPr>
            <w:tcW w:type="dxa" w:w="2390"/>
            <w:tcMar>
              <w:top w:w="60" w:type="dxa"/>
              <w:start w:w="110" w:type="dxa"/>
              <w:bottom w:w="60" w:type="dxa"/>
              <w:end w:w="110" w:type="dxa"/>
            </w:tcMar>
            <w:shd w:val="clear" w:color="auto" w:fill="F4F7FB"/>
          </w:tcPr>
          <w:p>
            <w:pPr>
              <w:spacing w:after="0"/>
            </w:pPr>
            <w:r/>
            <w:r>
              <w:rPr>
                <w:rFonts w:ascii="Consolas" w:hAnsi="Consolas"/>
                <w:color w:val="146EF5"/>
                <w:sz w:val="14"/>
              </w:rPr>
              <w:t>/.well-known/**</w:t>
            </w:r>
          </w:p>
        </w:tc>
        <w:tc>
          <w:tcPr>
            <w:tcW w:type="dxa" w:w="2678"/>
            <w:tcMar>
              <w:top w:w="60" w:type="dxa"/>
              <w:start w:w="110" w:type="dxa"/>
              <w:bottom w:w="60" w:type="dxa"/>
              <w:end w:w="110" w:type="dxa"/>
            </w:tcMar>
            <w:shd w:val="clear" w:color="auto" w:fill="F4F7FB"/>
          </w:tcPr>
          <w:p>
            <w:pPr>
              <w:spacing w:after="0"/>
            </w:pPr>
            <w:r/>
            <w:r>
              <w:rPr>
                <w:rFonts w:ascii="Calibri" w:hAnsi="Calibri"/>
                <w:b w:val="0"/>
                <w:i w:val="0"/>
                <w:color w:val="101828"/>
                <w:sz w:val="14"/>
              </w:rPr>
              <w:t>RFC 8615</w:t>
            </w:r>
          </w:p>
        </w:tc>
        <w:tc>
          <w:tcPr>
            <w:tcW w:type="dxa" w:w="4291"/>
            <w:tcMar>
              <w:top w:w="60" w:type="dxa"/>
              <w:start w:w="110" w:type="dxa"/>
              <w:bottom w:w="60" w:type="dxa"/>
              <w:end w:w="110" w:type="dxa"/>
            </w:tcMar>
            <w:shd w:val="clear" w:color="auto" w:fill="F4F7FB"/>
          </w:tcPr>
          <w:p>
            <w:pPr>
              <w:spacing w:after="0"/>
            </w:pPr>
            <w:r/>
            <w:r>
              <w:rPr>
                <w:rFonts w:ascii="Calibri" w:hAnsi="Calibri"/>
                <w:b w:val="0"/>
                <w:i w:val="0"/>
                <w:color w:val="101828"/>
                <w:sz w:val="14"/>
              </w:rPr>
              <w:t>Security contact, and the OAuth/redirect URIs used by the auth provider.</w:t>
            </w:r>
          </w:p>
        </w:tc>
      </w:tr>
      <w:tr>
        <w:trPr>
          <w:cantSplit/>
        </w:trPr>
        <w:tc>
          <w:tcPr>
            <w:tcW w:type="dxa" w:w="2390"/>
            <w:tcMar>
              <w:top w:w="60" w:type="dxa"/>
              <w:start w:w="110" w:type="dxa"/>
              <w:bottom w:w="60" w:type="dxa"/>
              <w:end w:w="110" w:type="dxa"/>
            </w:tcMar>
          </w:tcPr>
          <w:p>
            <w:pPr>
              <w:spacing w:after="0"/>
            </w:pPr>
            <w:r/>
            <w:r>
              <w:rPr>
                <w:rFonts w:ascii="Consolas" w:hAnsi="Consolas"/>
                <w:color w:val="146EF5"/>
                <w:sz w:val="14"/>
              </w:rPr>
              <w:t>/health</w:t>
            </w:r>
            <w:r>
              <w:rPr>
                <w:rFonts w:ascii="Calibri" w:hAnsi="Calibri"/>
                <w:b w:val="0"/>
                <w:i w:val="0"/>
                <w:color w:val="101828"/>
                <w:sz w:val="14"/>
              </w:rPr>
              <w:t xml:space="preserve">, </w:t>
            </w:r>
            <w:r>
              <w:rPr>
                <w:rFonts w:ascii="Consolas" w:hAnsi="Consolas"/>
                <w:color w:val="146EF5"/>
                <w:sz w:val="14"/>
              </w:rPr>
              <w:t>/ready</w:t>
            </w:r>
            <w:r>
              <w:rPr>
                <w:rFonts w:ascii="Calibri" w:hAnsi="Calibri"/>
                <w:b w:val="0"/>
                <w:i w:val="0"/>
                <w:color w:val="101828"/>
                <w:sz w:val="14"/>
              </w:rPr>
              <w:t xml:space="preserve">, </w:t>
            </w:r>
            <w:r>
              <w:rPr>
                <w:rFonts w:ascii="Consolas" w:hAnsi="Consolas"/>
                <w:color w:val="146EF5"/>
                <w:sz w:val="14"/>
              </w:rPr>
              <w:t>/live</w:t>
            </w:r>
          </w:p>
        </w:tc>
        <w:tc>
          <w:tcPr>
            <w:tcW w:type="dxa" w:w="2678"/>
            <w:tcMar>
              <w:top w:w="60" w:type="dxa"/>
              <w:start w:w="110" w:type="dxa"/>
              <w:bottom w:w="60" w:type="dxa"/>
              <w:end w:w="110" w:type="dxa"/>
            </w:tcMar>
          </w:tcPr>
          <w:p>
            <w:pPr>
              <w:spacing w:after="0"/>
            </w:pPr>
            <w:r/>
            <w:r>
              <w:rPr>
                <w:rFonts w:ascii="Calibri" w:hAnsi="Calibri"/>
                <w:b w:val="0"/>
                <w:i w:val="0"/>
                <w:color w:val="101828"/>
                <w:sz w:val="14"/>
              </w:rPr>
              <w:t>Platform probes</w:t>
            </w:r>
          </w:p>
        </w:tc>
        <w:tc>
          <w:tcPr>
            <w:tcW w:type="dxa" w:w="4291"/>
            <w:tcMar>
              <w:top w:w="60" w:type="dxa"/>
              <w:start w:w="110" w:type="dxa"/>
              <w:bottom w:w="60" w:type="dxa"/>
              <w:end w:w="110" w:type="dxa"/>
            </w:tcMar>
          </w:tcPr>
          <w:p>
            <w:pPr>
              <w:spacing w:after="0"/>
            </w:pPr>
            <w:r/>
            <w:r>
              <w:rPr>
                <w:rFonts w:ascii="Calibri" w:hAnsi="Calibri"/>
                <w:b w:val="0"/>
                <w:i w:val="0"/>
                <w:color w:val="101828"/>
                <w:sz w:val="14"/>
              </w:rPr>
              <w:t>No auth, no body detail beyond status, excluded from access-log retention.</w:t>
            </w:r>
          </w:p>
        </w:tc>
      </w:tr>
      <w:tr>
        <w:trPr>
          <w:cantSplit/>
        </w:trPr>
        <w:tc>
          <w:tcPr>
            <w:tcW w:type="dxa" w:w="2390"/>
            <w:tcMar>
              <w:top w:w="60" w:type="dxa"/>
              <w:start w:w="110" w:type="dxa"/>
              <w:bottom w:w="60" w:type="dxa"/>
              <w:end w:w="110" w:type="dxa"/>
            </w:tcMar>
            <w:shd w:val="clear" w:color="auto" w:fill="F4F7FB"/>
          </w:tcPr>
          <w:p>
            <w:pPr>
              <w:spacing w:after="0"/>
            </w:pPr>
            <w:r/>
            <w:r>
              <w:rPr>
                <w:rFonts w:ascii="Consolas" w:hAnsi="Consolas"/>
                <w:color w:val="146EF5"/>
                <w:sz w:val="14"/>
              </w:rPr>
              <w:t>/status</w:t>
            </w:r>
          </w:p>
        </w:tc>
        <w:tc>
          <w:tcPr>
            <w:tcW w:type="dxa" w:w="2678"/>
            <w:tcMar>
              <w:top w:w="60" w:type="dxa"/>
              <w:start w:w="110" w:type="dxa"/>
              <w:bottom w:w="60" w:type="dxa"/>
              <w:end w:w="110" w:type="dxa"/>
            </w:tcMar>
            <w:shd w:val="clear" w:color="auto" w:fill="F4F7FB"/>
          </w:tcPr>
          <w:p>
            <w:pPr>
              <w:spacing w:after="0"/>
            </w:pPr>
            <w:r/>
            <w:r>
              <w:rPr>
                <w:rFonts w:ascii="Calibri" w:hAnsi="Calibri"/>
                <w:b w:val="0"/>
                <w:i w:val="0"/>
                <w:color w:val="101828"/>
                <w:sz w:val="14"/>
              </w:rPr>
              <w:t>Account status notice (SCR-WEB-17)</w:t>
            </w:r>
          </w:p>
        </w:tc>
        <w:tc>
          <w:tcPr>
            <w:tcW w:type="dxa" w:w="4291"/>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Deliberately public, </w:t>
            </w:r>
            <w:r>
              <w:rPr>
                <w:rFonts w:ascii="Consolas" w:hAnsi="Consolas"/>
                <w:color w:val="146EF5"/>
                <w:sz w:val="14"/>
              </w:rPr>
              <w:t>noindex</w:t>
            </w:r>
            <w:r>
              <w:rPr>
                <w:rFonts w:ascii="Calibri" w:hAnsi="Calibri"/>
                <w:b w:val="0"/>
                <w:i w:val="0"/>
                <w:color w:val="101828"/>
                <w:sz w:val="14"/>
              </w:rPr>
              <w:t>, and reachable only by state — never linked from the navigation.</w:t>
            </w:r>
          </w:p>
        </w:tc>
      </w:tr>
      <w:tr>
        <w:trPr>
          <w:cantSplit/>
        </w:trPr>
        <w:tc>
          <w:tcPr>
            <w:tcW w:type="dxa" w:w="2390"/>
            <w:tcMar>
              <w:top w:w="60" w:type="dxa"/>
              <w:start w:w="110" w:type="dxa"/>
              <w:bottom w:w="60" w:type="dxa"/>
              <w:end w:w="110" w:type="dxa"/>
            </w:tcMar>
          </w:tcPr>
          <w:p>
            <w:pPr>
              <w:spacing w:after="0"/>
            </w:pPr>
            <w:r/>
            <w:r>
              <w:rPr>
                <w:rFonts w:ascii="Consolas" w:hAnsi="Consolas"/>
                <w:color w:val="146EF5"/>
                <w:sz w:val="14"/>
              </w:rPr>
              <w:t>/favicon.ico</w:t>
            </w:r>
            <w:r>
              <w:rPr>
                <w:rFonts w:ascii="Calibri" w:hAnsi="Calibri"/>
                <w:b w:val="0"/>
                <w:i w:val="0"/>
                <w:color w:val="101828"/>
                <w:sz w:val="14"/>
              </w:rPr>
              <w:t xml:space="preserve">, </w:t>
            </w:r>
            <w:r>
              <w:rPr>
                <w:rFonts w:ascii="Consolas" w:hAnsi="Consolas"/>
                <w:color w:val="146EF5"/>
                <w:sz w:val="14"/>
              </w:rPr>
              <w:t>/robots.txt</w:t>
            </w:r>
            <w:r>
              <w:rPr>
                <w:rFonts w:ascii="Calibri" w:hAnsi="Calibri"/>
                <w:b w:val="0"/>
                <w:i w:val="0"/>
                <w:color w:val="101828"/>
                <w:sz w:val="14"/>
              </w:rPr>
              <w:t xml:space="preserve">, </w:t>
            </w:r>
            <w:r>
              <w:rPr>
                <w:rFonts w:ascii="Consolas" w:hAnsi="Consolas"/>
                <w:color w:val="146EF5"/>
                <w:sz w:val="14"/>
              </w:rPr>
              <w:t>/sitemap.xml</w:t>
            </w:r>
            <w:r>
              <w:rPr>
                <w:rFonts w:ascii="Calibri" w:hAnsi="Calibri"/>
                <w:b w:val="0"/>
                <w:i w:val="0"/>
                <w:color w:val="101828"/>
                <w:sz w:val="14"/>
              </w:rPr>
              <w:t xml:space="preserve">, </w:t>
            </w:r>
            <w:r>
              <w:rPr>
                <w:rFonts w:ascii="Consolas" w:hAnsi="Consolas"/>
                <w:color w:val="146EF5"/>
                <w:sz w:val="14"/>
              </w:rPr>
              <w:t>/manifest.webmanifest</w:t>
            </w:r>
          </w:p>
        </w:tc>
        <w:tc>
          <w:tcPr>
            <w:tcW w:type="dxa" w:w="2678"/>
            <w:tcMar>
              <w:top w:w="60" w:type="dxa"/>
              <w:start w:w="110" w:type="dxa"/>
              <w:bottom w:w="60" w:type="dxa"/>
              <w:end w:w="110" w:type="dxa"/>
            </w:tcMar>
          </w:tcPr>
          <w:p>
            <w:pPr>
              <w:spacing w:after="0"/>
            </w:pPr>
            <w:r/>
            <w:r>
              <w:rPr>
                <w:rFonts w:ascii="Calibri" w:hAnsi="Calibri"/>
                <w:b w:val="0"/>
                <w:i w:val="0"/>
                <w:color w:val="101828"/>
                <w:sz w:val="14"/>
              </w:rPr>
              <w:t>Crawler and PWA surfaces</w:t>
            </w:r>
          </w:p>
        </w:tc>
        <w:tc>
          <w:tcPr>
            <w:tcW w:type="dxa" w:w="4291"/>
            <w:tcMar>
              <w:top w:w="60" w:type="dxa"/>
              <w:start w:w="110" w:type="dxa"/>
              <w:bottom w:w="60" w:type="dxa"/>
              <w:end w:w="110" w:type="dxa"/>
            </w:tcMar>
          </w:tcPr>
          <w:p>
            <w:pPr>
              <w:spacing w:after="0"/>
            </w:pPr>
            <w:r/>
            <w:r>
              <w:rPr>
                <w:rFonts w:ascii="Calibri" w:hAnsi="Calibri"/>
                <w:b w:val="0"/>
                <w:i w:val="0"/>
                <w:color w:val="101828"/>
                <w:sz w:val="14"/>
              </w:rPr>
              <w:t>Static, CDN-cached, and the only tier-1 files served from a different origin.</w:t>
            </w:r>
          </w:p>
        </w:tc>
      </w:tr>
      <w:tr>
        <w:trPr>
          <w:cantSplit/>
        </w:trPr>
        <w:tc>
          <w:tcPr>
            <w:tcW w:type="dxa" w:w="2390"/>
            <w:tcMar>
              <w:top w:w="60" w:type="dxa"/>
              <w:start w:w="110" w:type="dxa"/>
              <w:bottom w:w="60" w:type="dxa"/>
              <w:end w:w="110" w:type="dxa"/>
            </w:tcMar>
            <w:shd w:val="clear" w:color="auto" w:fill="F4F7FB"/>
          </w:tcPr>
          <w:p>
            <w:pPr>
              <w:spacing w:after="0"/>
            </w:pPr>
            <w:r/>
            <w:r>
              <w:rPr>
                <w:rFonts w:ascii="Consolas" w:hAnsi="Consolas"/>
                <w:color w:val="146EF5"/>
                <w:sz w:val="14"/>
              </w:rPr>
              <w:t>/_next/**</w:t>
            </w:r>
            <w:r>
              <w:rPr>
                <w:rFonts w:ascii="Calibri" w:hAnsi="Calibri"/>
                <w:b w:val="0"/>
                <w:i w:val="0"/>
                <w:color w:val="101828"/>
                <w:sz w:val="14"/>
              </w:rPr>
              <w:t xml:space="preserve">, </w:t>
            </w:r>
            <w:r>
              <w:rPr>
                <w:rFonts w:ascii="Consolas" w:hAnsi="Consolas"/>
                <w:color w:val="146EF5"/>
                <w:sz w:val="14"/>
              </w:rPr>
              <w:t>/static/**</w:t>
            </w:r>
            <w:r>
              <w:rPr>
                <w:rFonts w:ascii="Calibri" w:hAnsi="Calibri"/>
                <w:b w:val="0"/>
                <w:i w:val="0"/>
                <w:color w:val="101828"/>
                <w:sz w:val="14"/>
              </w:rPr>
              <w:t xml:space="preserve">, </w:t>
            </w:r>
            <w:r>
              <w:rPr>
                <w:rFonts w:ascii="Consolas" w:hAnsi="Consolas"/>
                <w:color w:val="146EF5"/>
                <w:sz w:val="14"/>
              </w:rPr>
              <w:t>/assets/**</w:t>
            </w:r>
          </w:p>
        </w:tc>
        <w:tc>
          <w:tcPr>
            <w:tcW w:type="dxa" w:w="2678"/>
            <w:tcMar>
              <w:top w:w="60" w:type="dxa"/>
              <w:start w:w="110" w:type="dxa"/>
              <w:bottom w:w="60" w:type="dxa"/>
              <w:end w:w="110" w:type="dxa"/>
            </w:tcMar>
            <w:shd w:val="clear" w:color="auto" w:fill="F4F7FB"/>
          </w:tcPr>
          <w:p>
            <w:pPr>
              <w:spacing w:after="0"/>
            </w:pPr>
            <w:r/>
            <w:r>
              <w:rPr>
                <w:rFonts w:ascii="Calibri" w:hAnsi="Calibri"/>
                <w:b w:val="0"/>
                <w:i w:val="0"/>
                <w:color w:val="101828"/>
                <w:sz w:val="14"/>
              </w:rPr>
              <w:t>Build output</w:t>
            </w:r>
          </w:p>
        </w:tc>
        <w:tc>
          <w:tcPr>
            <w:tcW w:type="dxa" w:w="4291"/>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Content-hashed, immutable, one-year cache. Not part of the product IA.</w:t>
            </w:r>
          </w:p>
        </w:tc>
      </w:tr>
      <w:tr>
        <w:trPr>
          <w:cantSplit/>
        </w:trPr>
        <w:tc>
          <w:tcPr>
            <w:tcW w:type="dxa" w:w="2390"/>
            <w:tcMar>
              <w:top w:w="60" w:type="dxa"/>
              <w:start w:w="110" w:type="dxa"/>
              <w:bottom w:w="60" w:type="dxa"/>
              <w:end w:w="110" w:type="dxa"/>
            </w:tcMar>
          </w:tcPr>
          <w:p>
            <w:pPr>
              <w:spacing w:after="0"/>
            </w:pPr>
            <w:r/>
            <w:r>
              <w:rPr>
                <w:rFonts w:ascii="Calibri" w:hAnsi="Calibri"/>
                <w:b w:val="0"/>
                <w:i w:val="0"/>
                <w:color w:val="101828"/>
                <w:sz w:val="14"/>
              </w:rPr>
              <w:t>Ajo names</w:t>
            </w:r>
          </w:p>
        </w:tc>
        <w:tc>
          <w:tcPr>
            <w:tcW w:type="dxa" w:w="2678"/>
            <w:tcMar>
              <w:top w:w="60" w:type="dxa"/>
              <w:start w:w="110" w:type="dxa"/>
              <w:bottom w:w="60" w:type="dxa"/>
              <w:end w:w="110" w:type="dxa"/>
            </w:tcMar>
          </w:tcPr>
          <w:p>
            <w:pPr>
              <w:spacing w:after="0"/>
            </w:pPr>
            <w:r/>
            <w:r>
              <w:rPr>
                <w:rFonts w:ascii="Calibri" w:hAnsi="Calibri"/>
                <w:b w:val="0"/>
                <w:i w:val="0"/>
                <w:color w:val="101828"/>
                <w:sz w:val="14"/>
              </w:rPr>
              <w:t>All three tiers</w:t>
            </w:r>
          </w:p>
        </w:tc>
        <w:tc>
          <w:tcPr>
            <w:tcW w:type="dxa" w:w="4291"/>
            <w:tcMar>
              <w:top w:w="60" w:type="dxa"/>
              <w:start w:w="110" w:type="dxa"/>
              <w:bottom w:w="60" w:type="dxa"/>
              <w:end w:w="110" w:type="dxa"/>
            </w:tcMar>
          </w:tcPr>
          <w:p>
            <w:pPr>
              <w:spacing w:after="0"/>
            </w:pPr>
            <w:r/>
            <w:r>
              <w:rPr>
                <w:rFonts w:ascii="Calibri" w:hAnsi="Calibri"/>
                <w:b w:val="0"/>
                <w:i w:val="0"/>
                <w:color w:val="101828"/>
                <w:sz w:val="14"/>
              </w:rPr>
              <w:t xml:space="preserve">An Ajo name is user data and is never a path segment. </w:t>
            </w:r>
            <w:r>
              <w:rPr>
                <w:rFonts w:ascii="Consolas" w:hAnsi="Consolas"/>
                <w:color w:val="146EF5"/>
                <w:sz w:val="14"/>
              </w:rPr>
              <w:t>/app/ajos/:id</w:t>
            </w:r>
            <w:r>
              <w:rPr>
                <w:rFonts w:ascii="Calibri" w:hAnsi="Calibri"/>
                <w:b w:val="0"/>
                <w:i w:val="0"/>
                <w:color w:val="101828"/>
                <w:sz w:val="14"/>
              </w:rPr>
              <w:t xml:space="preserve"> only, always. </w:t>
            </w:r>
            <w:r>
              <w:rPr>
                <w:rFonts w:ascii="Calibri" w:hAnsi="Calibri"/>
                <w:b/>
                <w:color w:val="101828"/>
                <w:sz w:val="14"/>
              </w:rPr>
              <w:t>This also means no vanity Ajo URLs in MVP.</w:t>
            </w:r>
          </w:p>
        </w:tc>
      </w:tr>
    </w:tbl>
    <w:p>
      <w:pPr>
        <w:spacing w:after="80"/>
      </w:pPr>
    </w:p>
    <w:p>
      <w:pPr>
        <w:pStyle w:val="Heading3"/>
      </w:pPr>
      <w:r>
        <w:rPr>
          <w:rFonts w:ascii="Calibri" w:hAnsi="Calibri"/>
          <w:b/>
          <w:i w:val="0"/>
          <w:color w:val="0B1F3A"/>
          <w:sz w:val="24"/>
        </w:rPr>
        <w:t>3.12.3 Redirects and URL evolution</w:t>
      </w:r>
    </w:p>
    <w:p>
      <w:pPr>
        <w:pStyle w:val="ListBullet"/>
        <w:spacing w:after="60"/>
        <w:ind w:left="360"/>
      </w:pPr>
      <w:r>
        <w:rPr>
          <w:rFonts w:ascii="Calibri" w:hAnsi="Calibri"/>
          <w:b/>
          <w:color w:val="101828"/>
          <w:sz w:val="21"/>
        </w:rPr>
        <w:t>A URL, once published, is permanent.</w:t>
      </w:r>
      <w:r>
        <w:rPr>
          <w:rFonts w:ascii="Calibri" w:hAnsi="Calibri"/>
          <w:b w:val="0"/>
          <w:i w:val="0"/>
          <w:color w:val="101828"/>
          <w:sz w:val="21"/>
        </w:rPr>
        <w:t xml:space="preserve"> Tier-1 content URLs and any tier-2 URL that has appeared in an email, an SMS, a receipt or a statement are never renamed. If the IA must change, the old path is registered as a 301 and kept in the redirect table indefinitely.</w:t>
      </w:r>
    </w:p>
    <w:p>
      <w:pPr>
        <w:pStyle w:val="ListBullet"/>
        <w:spacing w:after="60"/>
        <w:ind w:left="360"/>
      </w:pPr>
      <w:r>
        <w:rPr>
          <w:rFonts w:ascii="Calibri" w:hAnsi="Calibri"/>
          <w:b/>
          <w:color w:val="101828"/>
          <w:sz w:val="21"/>
        </w:rPr>
        <w:t>`returnTo` is a vulnerability if it is a string.</w:t>
      </w:r>
      <w:r>
        <w:rPr>
          <w:rFonts w:ascii="Calibri" w:hAnsi="Calibri"/>
          <w:b w:val="0"/>
          <w:i w:val="0"/>
          <w:color w:val="101828"/>
          <w:sz w:val="21"/>
        </w:rPr>
        <w:t xml:space="preserve"> It is validated against an allowlist of internal path patterns before it is stored in the session, and it is never rendered as a raw href without that validation. This is the single most common open-redirect defect in applications of this shape.</w:t>
      </w:r>
    </w:p>
    <w:p>
      <w:pPr>
        <w:pStyle w:val="ListBullet"/>
        <w:spacing w:after="60"/>
        <w:ind w:left="360"/>
      </w:pPr>
      <w:r>
        <w:rPr>
          <w:rFonts w:ascii="Calibri" w:hAnsi="Calibri"/>
          <w:b/>
          <w:color w:val="101828"/>
          <w:sz w:val="21"/>
        </w:rPr>
        <w:t>Link shortening is not used.</w:t>
      </w:r>
      <w:r>
        <w:rPr>
          <w:rFonts w:ascii="Calibri" w:hAnsi="Calibri"/>
          <w:b w:val="0"/>
          <w:i w:val="0"/>
          <w:color w:val="101828"/>
          <w:sz w:val="21"/>
        </w:rPr>
        <w:t xml:space="preserve"> Every SMS and email link is the canonical path with a signed, single-use, expiring token in a fragment, not a query parameter, so that the token is never sent to a server that does not need it and never lands in a proxy log.</w:t>
      </w:r>
    </w:p>
    <w:p>
      <w:pPr>
        <w:pStyle w:val="ListBullet"/>
        <w:spacing w:after="60"/>
        <w:ind w:left="360"/>
      </w:pPr>
      <w:r>
        <w:rPr>
          <w:rFonts w:ascii="Calibri" w:hAnsi="Calibri"/>
          <w:b/>
          <w:color w:val="101828"/>
          <w:sz w:val="21"/>
        </w:rPr>
        <w:t>UTM parameters are consumed once and stripped.</w:t>
      </w:r>
      <w:r>
        <w:rPr>
          <w:rFonts w:ascii="Calibri" w:hAnsi="Calibri"/>
          <w:b w:val="0"/>
          <w:i w:val="0"/>
          <w:color w:val="101828"/>
          <w:sz w:val="21"/>
        </w:rPr>
        <w:t xml:space="preserve"> The first landing stores them against the anonymous visitor; every internal link generated from that page omits them.</w:t>
      </w:r>
    </w:p>
    <w:p>
      <w:pPr>
        <w:spacing w:before="140" w:after="180"/>
        <w:ind w:left="144"/>
        <w:shd w:val="clear" w:color="auto" w:fill="EFF6FF"/>
        <w:pBdr>
          <w:left w:val="single" w:sz="18" w:space="6" w:color="146EF5"/>
        </w:pBdr>
      </w:pPr>
      <w:r>
        <w:rPr>
          <w:rFonts w:ascii="Calibri" w:hAnsi="Calibri"/>
          <w:b/>
          <w:color w:val="146EF5"/>
          <w:sz w:val="19"/>
        </w:rPr>
        <w:t xml:space="preserve">One reservation that is easy to get wrong  </w:t>
      </w:r>
      <w:r>
        <w:rPr>
          <w:rFonts w:ascii="Calibri" w:hAnsi="Calibri"/>
          <w:b w:val="0"/>
          <w:i w:val="0"/>
          <w:color w:val="0B1F3A"/>
          <w:sz w:val="19"/>
        </w:rPr>
        <w:t xml:space="preserve">Ajo names are user data. A route such as </w:t>
      </w:r>
      <w:r>
        <w:rPr>
          <w:rFonts w:ascii="Consolas" w:hAnsi="Consolas"/>
          <w:color w:val="146EF5"/>
          <w:sz w:val="19"/>
        </w:rPr>
        <w:t>/app/ajos/lagos-market-2026</w:t>
      </w:r>
      <w:r>
        <w:rPr>
          <w:rFonts w:ascii="Calibri" w:hAnsi="Calibri"/>
          <w:b w:val="0"/>
          <w:i w:val="0"/>
          <w:color w:val="0B1F3A"/>
          <w:sz w:val="19"/>
        </w:rPr>
        <w:t xml:space="preserve"> would be a vanity URL that leaks a user's chosen name into every log and every shared screenshot, would collide the moment two people create an Ajo with the same name, and would make the Ajo name unrenameable once shared. Tier 2 uses opaque ULIDs throughout. If vanity Ajo URLs are wanted later they must be a subdomain with a slug that is a hash, not a name — and that is a separate decision with its own reserved namespace. </w:t>
      </w:r>
      <w:r>
        <w:rPr>
          <w:rFonts w:ascii="Calibri" w:hAnsi="Calibri"/>
          <w:b/>
          <w:color w:val="0B1F3A"/>
          <w:sz w:val="19"/>
        </w:rPr>
        <w:t>Owner: Founders.</w:t>
      </w:r>
    </w:p>
    <w:p>
      <w:r>
        <w:br w:type="page"/>
      </w:r>
    </w:p>
    <w:p>
      <w:pPr>
        <w:pStyle w:val="Heading1"/>
        <w:pBdr>
          <w:bottom w:val="single" w:sz="12" w:space="6" w:color="146EF5"/>
        </w:pBdr>
        <w:spacing w:after="240"/>
      </w:pPr>
      <w:r>
        <w:rPr>
          <w:rFonts w:ascii="Calibri" w:hAnsi="Calibri"/>
          <w:b/>
          <w:i w:val="0"/>
          <w:color w:val="0B1F3A"/>
          <w:sz w:val="40"/>
        </w:rPr>
        <w:t>4. UI/UX Design Specification</w:t>
      </w:r>
    </w:p>
    <w:p>
      <w:pPr>
        <w:spacing w:after="200"/>
      </w:pPr>
      <w:r>
        <w:rPr>
          <w:rFonts w:ascii="Calibri" w:hAnsi="Calibri"/>
          <w:b w:val="0"/>
          <w:i w:val="0"/>
          <w:color w:val="475467"/>
          <w:sz w:val="24"/>
        </w:rPr>
        <w:t>AJO.ng is not a bank and it is not a wallet. It is a record-keeping system for a savings habit that already exists in Nigeria, and the interface has one job no amount of visual polish can substitute for: a person must be able to look at it and know, in a few seconds, what they owe, what they have paid, what they will receive, and when. This section specifies every screen in the product against that job — purpose, audience, layout, components, navigation, actions, content, fields, validation, all five non-happy-path states, responsive behaviour and accessibility — for sixty-two screens across three tiers, using the screen identifiers published in section 3.</w:t>
      </w:r>
    </w:p>
    <w:p>
      <w:r>
        <w:rPr>
          <w:rFonts w:ascii="Calibri" w:hAnsi="Calibri"/>
          <w:b/>
          <w:color w:val="101828"/>
          <w:sz w:val="21"/>
        </w:rPr>
        <w:t>What this section is for.</w:t>
      </w:r>
      <w:r>
        <w:rPr>
          <w:rFonts w:ascii="Calibri" w:hAnsi="Calibri"/>
          <w:b w:val="0"/>
          <w:i w:val="0"/>
          <w:color w:val="101828"/>
          <w:sz w:val="21"/>
        </w:rPr>
        <w:t xml:space="preserve"> Sections 3, 5, 6 and 7 between them tell an engineer where every screen lives, what every region contains and how every pixel looks. That is enough to build a product that is structurally correct and behaviourally wrong — a pay screen that looks right and can be double-submitted, a dashboard that is quiet about a held payout, a wizard that loses a member's fifteenth step. This section is the behavioural contract underneath the structure and the visuals, and it is written for the person who has to decide what happens when the request fails.</w:t>
      </w:r>
    </w:p>
    <w:p>
      <w:pPr>
        <w:pStyle w:val="Heading2"/>
      </w:pPr>
      <w:r>
        <w:rPr>
          <w:rFonts w:ascii="Calibri" w:hAnsi="Calibri"/>
          <w:b/>
          <w:i w:val="0"/>
          <w:color w:val="146EF5"/>
          <w:sz w:val="29"/>
        </w:rPr>
        <w:t>4.0 How to read this section</w:t>
      </w:r>
    </w:p>
    <w:p>
      <w:pPr>
        <w:pStyle w:val="Heading3"/>
      </w:pPr>
      <w:r>
        <w:rPr>
          <w:rFonts w:ascii="Calibri" w:hAnsi="Calibri"/>
          <w:b/>
          <w:i w:val="0"/>
          <w:color w:val="0B1F3A"/>
          <w:sz w:val="24"/>
        </w:rPr>
        <w:t>4.0.1 The sub-structure every screen uses</w:t>
      </w:r>
    </w:p>
    <w:p>
      <w:r>
        <w:rPr>
          <w:rFonts w:ascii="Calibri" w:hAnsi="Calibri"/>
          <w:b w:val="0"/>
          <w:i w:val="0"/>
          <w:color w:val="101828"/>
          <w:sz w:val="21"/>
        </w:rPr>
        <w:t>Every screen in 4.4 to 4.23 is specified with the same sixteen-part sub-structure, in this fixed order, as a single specification table whose first column is the aspect and whose second column is the specification. The order is fixed so that two screens can be compared row by row, and so that a missing row is visible in review rather than in production.</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346"/>
            <w:shd w:val="clear" w:color="auto" w:fill="0B1F3A"/>
            <w:tcMar>
              <w:top w:w="60" w:type="dxa"/>
              <w:start w:w="110" w:type="dxa"/>
              <w:bottom w:w="60" w:type="dxa"/>
              <w:end w:w="110" w:type="dxa"/>
            </w:tcMar>
          </w:tcPr>
          <w:p>
            <w:pPr>
              <w:spacing w:after="0"/>
            </w:pPr>
            <w:r/>
            <w:r>
              <w:rPr>
                <w:rFonts w:ascii="Calibri" w:hAnsi="Calibri"/>
                <w:b/>
                <w:i w:val="0"/>
                <w:color w:val="FFFFFF"/>
                <w:sz w:val="14"/>
              </w:rPr>
              <w:t>#</w:t>
            </w:r>
          </w:p>
        </w:tc>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5040"/>
            <w:shd w:val="clear" w:color="auto" w:fill="0B1F3A"/>
            <w:tcMar>
              <w:top w:w="60" w:type="dxa"/>
              <w:start w:w="110" w:type="dxa"/>
              <w:bottom w:w="60" w:type="dxa"/>
              <w:end w:w="110" w:type="dxa"/>
            </w:tcMar>
          </w:tcPr>
          <w:p>
            <w:pPr>
              <w:spacing w:after="0"/>
            </w:pPr>
            <w:r/>
            <w:r>
              <w:rPr>
                <w:rFonts w:ascii="Calibri" w:hAnsi="Calibri"/>
                <w:b/>
                <w:i w:val="0"/>
                <w:color w:val="FFFFFF"/>
                <w:sz w:val="14"/>
              </w:rPr>
              <w:t>What it fixes</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4"/>
              </w:rPr>
              <w:t>Where the detail lives</w:t>
            </w:r>
          </w:p>
        </w:tc>
      </w:tr>
      <w:tr>
        <w:trPr>
          <w:cantSplit/>
        </w:trPr>
        <w:tc>
          <w:tcPr>
            <w:tcW w:type="dxa" w:w="346"/>
            <w:tcMar>
              <w:top w:w="60" w:type="dxa"/>
              <w:start w:w="110" w:type="dxa"/>
              <w:bottom w:w="60" w:type="dxa"/>
              <w:end w:w="110" w:type="dxa"/>
            </w:tcMar>
          </w:tcPr>
          <w:p>
            <w:pPr>
              <w:spacing w:after="0"/>
            </w:pPr>
            <w:r/>
            <w:r>
              <w:rPr>
                <w:rFonts w:ascii="Calibri" w:hAnsi="Calibri"/>
                <w:b w:val="0"/>
                <w:i w:val="0"/>
                <w:color w:val="101828"/>
                <w:sz w:val="14"/>
              </w:rPr>
              <w:t>1</w:t>
            </w:r>
          </w:p>
        </w:tc>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5040"/>
            <w:tcMar>
              <w:top w:w="60" w:type="dxa"/>
              <w:start w:w="110" w:type="dxa"/>
              <w:bottom w:w="60" w:type="dxa"/>
              <w:end w:w="110" w:type="dxa"/>
            </w:tcMar>
          </w:tcPr>
          <w:p>
            <w:pPr>
              <w:spacing w:after="0"/>
            </w:pPr>
            <w:r/>
            <w:r>
              <w:rPr>
                <w:rFonts w:ascii="Calibri" w:hAnsi="Calibri"/>
                <w:b w:val="0"/>
                <w:i w:val="0"/>
                <w:color w:val="101828"/>
                <w:sz w:val="14"/>
              </w:rPr>
              <w:t>What the screen exists to accomplish in one sentence, and what it is explicitly not for.</w:t>
            </w:r>
          </w:p>
        </w:tc>
        <w:tc>
          <w:tcPr>
            <w:tcW w:type="dxa" w:w="2448"/>
            <w:tcMar>
              <w:top w:w="60" w:type="dxa"/>
              <w:start w:w="110" w:type="dxa"/>
              <w:bottom w:w="60" w:type="dxa"/>
              <w:end w:w="110" w:type="dxa"/>
            </w:tcMar>
          </w:tcPr>
          <w:p>
            <w:pPr>
              <w:spacing w:after="0"/>
            </w:pPr>
            <w:r/>
            <w:r>
              <w:rPr>
                <w:rFonts w:ascii="Calibri" w:hAnsi="Calibri"/>
                <w:b w:val="0"/>
                <w:i w:val="0"/>
                <w:color w:val="101828"/>
                <w:sz w:val="14"/>
              </w:rPr>
              <w:t>This table, row 1</w:t>
            </w:r>
          </w:p>
        </w:tc>
      </w:tr>
      <w:tr>
        <w:trPr>
          <w:cantSplit/>
        </w:trPr>
        <w:tc>
          <w:tcPr>
            <w:tcW w:type="dxa" w:w="346"/>
            <w:tcMar>
              <w:top w:w="60" w:type="dxa"/>
              <w:start w:w="110" w:type="dxa"/>
              <w:bottom w:w="60" w:type="dxa"/>
              <w:end w:w="110" w:type="dxa"/>
            </w:tcMar>
            <w:shd w:val="clear" w:color="auto" w:fill="F4F7FB"/>
          </w:tcPr>
          <w:p>
            <w:pPr>
              <w:spacing w:after="0"/>
            </w:pPr>
            <w:r/>
            <w:r>
              <w:rPr>
                <w:rFonts w:ascii="Calibri" w:hAnsi="Calibri"/>
                <w:b w:val="0"/>
                <w:i w:val="0"/>
                <w:color w:val="101828"/>
                <w:sz w:val="14"/>
              </w:rPr>
              <w:t>2</w:t>
            </w:r>
          </w:p>
        </w:tc>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4"/>
              </w:rPr>
              <w:t>Which role, and which emotional state the screen is designed for.</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This table, row 2</w:t>
            </w:r>
          </w:p>
        </w:tc>
      </w:tr>
      <w:tr>
        <w:trPr>
          <w:cantSplit/>
        </w:trPr>
        <w:tc>
          <w:tcPr>
            <w:tcW w:type="dxa" w:w="346"/>
            <w:tcMar>
              <w:top w:w="60" w:type="dxa"/>
              <w:start w:w="110" w:type="dxa"/>
              <w:bottom w:w="60" w:type="dxa"/>
              <w:end w:w="110" w:type="dxa"/>
            </w:tcMar>
          </w:tcPr>
          <w:p>
            <w:pPr>
              <w:spacing w:after="0"/>
            </w:pPr>
            <w:r/>
            <w:r>
              <w:rPr>
                <w:rFonts w:ascii="Calibri" w:hAnsi="Calibri"/>
                <w:b w:val="0"/>
                <w:i w:val="0"/>
                <w:color w:val="101828"/>
                <w:sz w:val="14"/>
              </w:rPr>
              <w:t>3</w:t>
            </w:r>
          </w:p>
        </w:tc>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5040"/>
            <w:tcMar>
              <w:top w:w="60" w:type="dxa"/>
              <w:start w:w="110" w:type="dxa"/>
              <w:bottom w:w="60" w:type="dxa"/>
              <w:end w:w="110" w:type="dxa"/>
            </w:tcMar>
          </w:tcPr>
          <w:p>
            <w:pPr>
              <w:spacing w:after="0"/>
            </w:pPr>
            <w:r/>
            <w:r>
              <w:rPr>
                <w:rFonts w:ascii="Calibri" w:hAnsi="Calibri"/>
                <w:b w:val="0"/>
                <w:i w:val="0"/>
                <w:color w:val="101828"/>
                <w:sz w:val="14"/>
              </w:rPr>
              <w:t>Region order, column behaviour, what is pinned, what scrolls.</w:t>
            </w:r>
          </w:p>
        </w:tc>
        <w:tc>
          <w:tcPr>
            <w:tcW w:type="dxa" w:w="2448"/>
            <w:tcMar>
              <w:top w:w="60" w:type="dxa"/>
              <w:start w:w="110" w:type="dxa"/>
              <w:bottom w:w="60" w:type="dxa"/>
              <w:end w:w="110" w:type="dxa"/>
            </w:tcMar>
          </w:tcPr>
          <w:p>
            <w:pPr>
              <w:spacing w:after="0"/>
            </w:pPr>
            <w:r/>
            <w:r>
              <w:rPr>
                <w:rFonts w:ascii="Calibri" w:hAnsi="Calibri"/>
                <w:b w:val="0"/>
                <w:i w:val="0"/>
                <w:color w:val="101828"/>
                <w:sz w:val="14"/>
              </w:rPr>
              <w:t>Section 6 region table</w:t>
            </w:r>
          </w:p>
        </w:tc>
      </w:tr>
      <w:tr>
        <w:trPr>
          <w:cantSplit/>
        </w:trPr>
        <w:tc>
          <w:tcPr>
            <w:tcW w:type="dxa" w:w="346"/>
            <w:tcMar>
              <w:top w:w="60" w:type="dxa"/>
              <w:start w:w="110" w:type="dxa"/>
              <w:bottom w:w="60" w:type="dxa"/>
              <w:end w:w="110" w:type="dxa"/>
            </w:tcMar>
            <w:shd w:val="clear" w:color="auto" w:fill="F4F7FB"/>
          </w:tcPr>
          <w:p>
            <w:pPr>
              <w:spacing w:after="0"/>
            </w:pPr>
            <w:r/>
            <w:r>
              <w:rPr>
                <w:rFonts w:ascii="Calibri" w:hAnsi="Calibri"/>
                <w:b w:val="0"/>
                <w:i w:val="0"/>
                <w:color w:val="101828"/>
                <w:sz w:val="14"/>
              </w:rPr>
              <w:t>4</w:t>
            </w:r>
          </w:p>
        </w:tc>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4"/>
              </w:rPr>
              <w:t>The component instances on the screen, by the names in 7.15 and 5.8.</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Sections 5 and 7.15</w:t>
            </w:r>
          </w:p>
        </w:tc>
      </w:tr>
      <w:tr>
        <w:trPr>
          <w:cantSplit/>
        </w:trPr>
        <w:tc>
          <w:tcPr>
            <w:tcW w:type="dxa" w:w="346"/>
            <w:tcMar>
              <w:top w:w="60" w:type="dxa"/>
              <w:start w:w="110" w:type="dxa"/>
              <w:bottom w:w="60" w:type="dxa"/>
              <w:end w:w="110" w:type="dxa"/>
            </w:tcMar>
          </w:tcPr>
          <w:p>
            <w:pPr>
              <w:spacing w:after="0"/>
            </w:pPr>
            <w:r/>
            <w:r>
              <w:rPr>
                <w:rFonts w:ascii="Calibri" w:hAnsi="Calibri"/>
                <w:b w:val="0"/>
                <w:i w:val="0"/>
                <w:color w:val="101828"/>
                <w:sz w:val="14"/>
              </w:rPr>
              <w:t>5</w:t>
            </w:r>
          </w:p>
        </w:tc>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5040"/>
            <w:tcMar>
              <w:top w:w="60" w:type="dxa"/>
              <w:start w:w="110" w:type="dxa"/>
              <w:bottom w:w="60" w:type="dxa"/>
              <w:end w:w="110" w:type="dxa"/>
            </w:tcMar>
          </w:tcPr>
          <w:p>
            <w:pPr>
              <w:spacing w:after="0"/>
            </w:pPr>
            <w:r/>
            <w:r>
              <w:rPr>
                <w:rFonts w:ascii="Calibri" w:hAnsi="Calibri"/>
                <w:b w:val="0"/>
                <w:i w:val="0"/>
                <w:color w:val="101828"/>
                <w:sz w:val="14"/>
              </w:rPr>
              <w:t>How a person arrives, how they leave, what the back affordance does.</w:t>
            </w:r>
          </w:p>
        </w:tc>
        <w:tc>
          <w:tcPr>
            <w:tcW w:type="dxa" w:w="2448"/>
            <w:tcMar>
              <w:top w:w="60" w:type="dxa"/>
              <w:start w:w="110" w:type="dxa"/>
              <w:bottom w:w="60" w:type="dxa"/>
              <w:end w:w="110" w:type="dxa"/>
            </w:tcMar>
          </w:tcPr>
          <w:p>
            <w:pPr>
              <w:spacing w:after="0"/>
            </w:pPr>
            <w:r/>
            <w:r>
              <w:rPr>
                <w:rFonts w:ascii="Calibri" w:hAnsi="Calibri"/>
                <w:b w:val="0"/>
                <w:i w:val="0"/>
                <w:color w:val="101828"/>
                <w:sz w:val="14"/>
              </w:rPr>
              <w:t>Sections 3.7 to 3.10</w:t>
            </w:r>
          </w:p>
        </w:tc>
      </w:tr>
      <w:tr>
        <w:trPr>
          <w:cantSplit/>
        </w:trPr>
        <w:tc>
          <w:tcPr>
            <w:tcW w:type="dxa" w:w="346"/>
            <w:tcMar>
              <w:top w:w="60" w:type="dxa"/>
              <w:start w:w="110" w:type="dxa"/>
              <w:bottom w:w="60" w:type="dxa"/>
              <w:end w:w="110" w:type="dxa"/>
            </w:tcMar>
            <w:shd w:val="clear" w:color="auto" w:fill="F4F7FB"/>
          </w:tcPr>
          <w:p>
            <w:pPr>
              <w:spacing w:after="0"/>
            </w:pPr>
            <w:r/>
            <w:r>
              <w:rPr>
                <w:rFonts w:ascii="Calibri" w:hAnsi="Calibri"/>
                <w:b w:val="0"/>
                <w:i w:val="0"/>
                <w:color w:val="101828"/>
                <w:sz w:val="14"/>
              </w:rPr>
              <w:t>6</w:t>
            </w:r>
          </w:p>
        </w:tc>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4"/>
              </w:rPr>
              <w:t>The one action, its exact label, and where it sits. At most one per screen.</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Sections 3.1.2 and 7.7.1</w:t>
            </w:r>
          </w:p>
        </w:tc>
      </w:tr>
      <w:tr>
        <w:trPr>
          <w:cantSplit/>
        </w:trPr>
        <w:tc>
          <w:tcPr>
            <w:tcW w:type="dxa" w:w="346"/>
            <w:tcMar>
              <w:top w:w="60" w:type="dxa"/>
              <w:start w:w="110" w:type="dxa"/>
              <w:bottom w:w="60" w:type="dxa"/>
              <w:end w:w="110" w:type="dxa"/>
            </w:tcMar>
          </w:tcPr>
          <w:p>
            <w:pPr>
              <w:spacing w:after="0"/>
            </w:pPr>
            <w:r/>
            <w:r>
              <w:rPr>
                <w:rFonts w:ascii="Calibri" w:hAnsi="Calibri"/>
                <w:b w:val="0"/>
                <w:i w:val="0"/>
                <w:color w:val="101828"/>
                <w:sz w:val="14"/>
              </w:rPr>
              <w:t>7</w:t>
            </w:r>
          </w:p>
        </w:tc>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5040"/>
            <w:tcMar>
              <w:top w:w="60" w:type="dxa"/>
              <w:start w:w="110" w:type="dxa"/>
              <w:bottom w:w="60" w:type="dxa"/>
              <w:end w:w="110" w:type="dxa"/>
            </w:tcMar>
          </w:tcPr>
          <w:p>
            <w:pPr>
              <w:spacing w:after="0"/>
            </w:pPr>
            <w:r/>
            <w:r>
              <w:rPr>
                <w:rFonts w:ascii="Calibri" w:hAnsi="Calibri"/>
                <w:b w:val="0"/>
                <w:i w:val="0"/>
                <w:color w:val="101828"/>
                <w:sz w:val="14"/>
              </w:rPr>
              <w:t>Every other action, with its level and its placement.</w:t>
            </w:r>
          </w:p>
        </w:tc>
        <w:tc>
          <w:tcPr>
            <w:tcW w:type="dxa" w:w="2448"/>
            <w:tcMar>
              <w:top w:w="60" w:type="dxa"/>
              <w:start w:w="110" w:type="dxa"/>
              <w:bottom w:w="60" w:type="dxa"/>
              <w:end w:w="110" w:type="dxa"/>
            </w:tcMar>
          </w:tcPr>
          <w:p>
            <w:pPr>
              <w:spacing w:after="0"/>
            </w:pPr>
            <w:r/>
            <w:r>
              <w:rPr>
                <w:rFonts w:ascii="Calibri" w:hAnsi="Calibri"/>
                <w:b w:val="0"/>
                <w:i w:val="0"/>
                <w:color w:val="101828"/>
                <w:sz w:val="14"/>
              </w:rPr>
              <w:t>Section 7.7.1</w:t>
            </w:r>
          </w:p>
        </w:tc>
      </w:tr>
      <w:tr>
        <w:trPr>
          <w:cantSplit/>
        </w:trPr>
        <w:tc>
          <w:tcPr>
            <w:tcW w:type="dxa" w:w="346"/>
            <w:tcMar>
              <w:top w:w="60" w:type="dxa"/>
              <w:start w:w="110" w:type="dxa"/>
              <w:bottom w:w="60" w:type="dxa"/>
              <w:end w:w="110" w:type="dxa"/>
            </w:tcMar>
            <w:shd w:val="clear" w:color="auto" w:fill="F4F7FB"/>
          </w:tcPr>
          <w:p>
            <w:pPr>
              <w:spacing w:after="0"/>
            </w:pPr>
            <w:r/>
            <w:r>
              <w:rPr>
                <w:rFonts w:ascii="Calibri" w:hAnsi="Calibri"/>
                <w:b w:val="0"/>
                <w:i w:val="0"/>
                <w:color w:val="101828"/>
                <w:sz w:val="14"/>
              </w:rPr>
              <w:t>8</w:t>
            </w:r>
          </w:p>
        </w:tc>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4"/>
              </w:rPr>
              <w:t>The words and the data shown, including which figures are mandatory.</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Sections 4.25 and 7.12</w:t>
            </w:r>
          </w:p>
        </w:tc>
      </w:tr>
      <w:tr>
        <w:trPr>
          <w:cantSplit/>
        </w:trPr>
        <w:tc>
          <w:tcPr>
            <w:tcW w:type="dxa" w:w="346"/>
            <w:tcMar>
              <w:top w:w="60" w:type="dxa"/>
              <w:start w:w="110" w:type="dxa"/>
              <w:bottom w:w="60" w:type="dxa"/>
              <w:end w:w="110" w:type="dxa"/>
            </w:tcMar>
          </w:tcPr>
          <w:p>
            <w:pPr>
              <w:spacing w:after="0"/>
            </w:pPr>
            <w:r/>
            <w:r>
              <w:rPr>
                <w:rFonts w:ascii="Calibri" w:hAnsi="Calibri"/>
                <w:b w:val="0"/>
                <w:i w:val="0"/>
                <w:color w:val="101828"/>
                <w:sz w:val="14"/>
              </w:rPr>
              <w:t>9</w:t>
            </w:r>
          </w:p>
        </w:tc>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5040"/>
            <w:tcMar>
              <w:top w:w="60" w:type="dxa"/>
              <w:start w:w="110" w:type="dxa"/>
              <w:bottom w:w="60" w:type="dxa"/>
              <w:end w:w="110" w:type="dxa"/>
            </w:tcMar>
          </w:tcPr>
          <w:p>
            <w:pPr>
              <w:spacing w:after="0"/>
            </w:pPr>
            <w:r/>
            <w:r>
              <w:rPr>
                <w:rFonts w:ascii="Calibri" w:hAnsi="Calibri"/>
                <w:b w:val="0"/>
                <w:i w:val="0"/>
                <w:color w:val="101828"/>
                <w:sz w:val="14"/>
              </w:rPr>
              <w:t>Field by field: label, control, helper, required or optional, format.</w:t>
            </w:r>
          </w:p>
        </w:tc>
        <w:tc>
          <w:tcPr>
            <w:tcW w:type="dxa" w:w="2448"/>
            <w:tcMar>
              <w:top w:w="60" w:type="dxa"/>
              <w:start w:w="110" w:type="dxa"/>
              <w:bottom w:w="60" w:type="dxa"/>
              <w:end w:w="110" w:type="dxa"/>
            </w:tcMar>
          </w:tcPr>
          <w:p>
            <w:pPr>
              <w:spacing w:after="0"/>
            </w:pPr>
            <w:r/>
            <w:r>
              <w:rPr>
                <w:rFonts w:ascii="Calibri" w:hAnsi="Calibri"/>
                <w:b w:val="0"/>
                <w:i w:val="0"/>
                <w:color w:val="101828"/>
                <w:sz w:val="14"/>
              </w:rPr>
              <w:t>Table following this one, where the screen has a form</w:t>
            </w:r>
          </w:p>
        </w:tc>
      </w:tr>
      <w:tr>
        <w:trPr>
          <w:cantSplit/>
        </w:trPr>
        <w:tc>
          <w:tcPr>
            <w:tcW w:type="dxa" w:w="346"/>
            <w:tcMar>
              <w:top w:w="60" w:type="dxa"/>
              <w:start w:w="110" w:type="dxa"/>
              <w:bottom w:w="60" w:type="dxa"/>
              <w:end w:w="110" w:type="dxa"/>
            </w:tcMar>
            <w:shd w:val="clear" w:color="auto" w:fill="F4F7FB"/>
          </w:tcPr>
          <w:p>
            <w:pPr>
              <w:spacing w:after="0"/>
            </w:pPr>
            <w:r/>
            <w:r>
              <w:rPr>
                <w:rFonts w:ascii="Calibri" w:hAnsi="Calibri"/>
                <w:b w:val="0"/>
                <w:i w:val="0"/>
                <w:color w:val="101828"/>
                <w:sz w:val="14"/>
              </w:rPr>
              <w:t>10</w:t>
            </w:r>
          </w:p>
        </w:tc>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4"/>
              </w:rPr>
              <w:t>Rule by rule, with the message shown and the moment it fires.</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Table following this one, where the screen has a form</w:t>
            </w:r>
          </w:p>
        </w:tc>
      </w:tr>
      <w:tr>
        <w:trPr>
          <w:cantSplit/>
        </w:trPr>
        <w:tc>
          <w:tcPr>
            <w:tcW w:type="dxa" w:w="346"/>
            <w:tcMar>
              <w:top w:w="60" w:type="dxa"/>
              <w:start w:w="110" w:type="dxa"/>
              <w:bottom w:w="60" w:type="dxa"/>
              <w:end w:w="110" w:type="dxa"/>
            </w:tcMar>
          </w:tcPr>
          <w:p>
            <w:pPr>
              <w:spacing w:after="0"/>
            </w:pPr>
            <w:r/>
            <w:r>
              <w:rPr>
                <w:rFonts w:ascii="Calibri" w:hAnsi="Calibri"/>
                <w:b w:val="0"/>
                <w:i w:val="0"/>
                <w:color w:val="101828"/>
                <w:sz w:val="14"/>
              </w:rPr>
              <w:t>11</w:t>
            </w:r>
          </w:p>
        </w:tc>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5040"/>
            <w:tcMar>
              <w:top w:w="60" w:type="dxa"/>
              <w:start w:w="110" w:type="dxa"/>
              <w:bottom w:w="60" w:type="dxa"/>
              <w:end w:w="110" w:type="dxa"/>
            </w:tcMar>
          </w:tcPr>
          <w:p>
            <w:pPr>
              <w:spacing w:after="0"/>
            </w:pPr>
            <w:r/>
            <w:r>
              <w:rPr>
                <w:rFonts w:ascii="Calibri" w:hAnsi="Calibri"/>
                <w:b w:val="0"/>
                <w:i w:val="0"/>
                <w:color w:val="101828"/>
                <w:sz w:val="14"/>
              </w:rPr>
              <w:t>Skeleton, spinner, progressive region, and what is never skeletonised.</w:t>
            </w:r>
          </w:p>
        </w:tc>
        <w:tc>
          <w:tcPr>
            <w:tcW w:type="dxa" w:w="2448"/>
            <w:tcMar>
              <w:top w:w="60" w:type="dxa"/>
              <w:start w:w="110" w:type="dxa"/>
              <w:bottom w:w="60" w:type="dxa"/>
              <w:end w:w="110" w:type="dxa"/>
            </w:tcMar>
          </w:tcPr>
          <w:p>
            <w:pPr>
              <w:spacing w:after="0"/>
            </w:pPr>
            <w:r/>
            <w:r>
              <w:rPr>
                <w:rFonts w:ascii="Calibri" w:hAnsi="Calibri"/>
                <w:b w:val="0"/>
                <w:i w:val="0"/>
                <w:color w:val="101828"/>
                <w:sz w:val="14"/>
              </w:rPr>
              <w:t>Sections 5.11 and 7.15</w:t>
            </w:r>
          </w:p>
        </w:tc>
      </w:tr>
      <w:tr>
        <w:trPr>
          <w:cantSplit/>
        </w:trPr>
        <w:tc>
          <w:tcPr>
            <w:tcW w:type="dxa" w:w="346"/>
            <w:tcMar>
              <w:top w:w="60" w:type="dxa"/>
              <w:start w:w="110" w:type="dxa"/>
              <w:bottom w:w="60" w:type="dxa"/>
              <w:end w:w="110" w:type="dxa"/>
            </w:tcMar>
            <w:shd w:val="clear" w:color="auto" w:fill="F4F7FB"/>
          </w:tcPr>
          <w:p>
            <w:pPr>
              <w:spacing w:after="0"/>
            </w:pPr>
            <w:r/>
            <w:r>
              <w:rPr>
                <w:rFonts w:ascii="Calibri" w:hAnsi="Calibri"/>
                <w:b w:val="0"/>
                <w:i w:val="0"/>
                <w:color w:val="101828"/>
                <w:sz w:val="14"/>
              </w:rPr>
              <w:t>12</w:t>
            </w:r>
          </w:p>
        </w:tc>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4"/>
              </w:rPr>
              <w:t>What shows when there is genuinely nothing, and whether zero is shown instead.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Section 7.11.3</w:t>
            </w:r>
          </w:p>
        </w:tc>
      </w:tr>
      <w:tr>
        <w:trPr>
          <w:cantSplit/>
        </w:trPr>
        <w:tc>
          <w:tcPr>
            <w:tcW w:type="dxa" w:w="346"/>
            <w:tcMar>
              <w:top w:w="60" w:type="dxa"/>
              <w:start w:w="110" w:type="dxa"/>
              <w:bottom w:w="60" w:type="dxa"/>
              <w:end w:w="110" w:type="dxa"/>
            </w:tcMar>
          </w:tcPr>
          <w:p>
            <w:pPr>
              <w:spacing w:after="0"/>
            </w:pPr>
            <w:r/>
            <w:r>
              <w:rPr>
                <w:rFonts w:ascii="Calibri" w:hAnsi="Calibri"/>
                <w:b w:val="0"/>
                <w:i w:val="0"/>
                <w:color w:val="101828"/>
                <w:sz w:val="14"/>
              </w:rPr>
              <w:t>13</w:t>
            </w:r>
          </w:p>
        </w:tc>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5040"/>
            <w:tcMar>
              <w:top w:w="60" w:type="dxa"/>
              <w:start w:w="110" w:type="dxa"/>
              <w:bottom w:w="60" w:type="dxa"/>
              <w:end w:w="110" w:type="dxa"/>
            </w:tcMar>
          </w:tcPr>
          <w:p>
            <w:pPr>
              <w:spacing w:after="0"/>
            </w:pPr>
            <w:r/>
            <w:r>
              <w:rPr>
                <w:rFonts w:ascii="Calibri" w:hAnsi="Calibri"/>
                <w:b w:val="0"/>
                <w:i w:val="0"/>
                <w:color w:val="101828"/>
                <w:sz w:val="14"/>
              </w:rPr>
              <w:t>Inline, banner and page-level treatment, and the reference a member is given.</w:t>
            </w:r>
          </w:p>
        </w:tc>
        <w:tc>
          <w:tcPr>
            <w:tcW w:type="dxa" w:w="2448"/>
            <w:tcMar>
              <w:top w:w="60" w:type="dxa"/>
              <w:start w:w="110" w:type="dxa"/>
              <w:bottom w:w="60" w:type="dxa"/>
              <w:end w:w="110" w:type="dxa"/>
            </w:tcMar>
          </w:tcPr>
          <w:p>
            <w:pPr>
              <w:spacing w:after="0"/>
            </w:pPr>
            <w:r/>
            <w:r>
              <w:rPr>
                <w:rFonts w:ascii="Calibri" w:hAnsi="Calibri"/>
                <w:b w:val="0"/>
                <w:i w:val="0"/>
                <w:color w:val="101828"/>
                <w:sz w:val="14"/>
              </w:rPr>
              <w:t>Section 4.24.6</w:t>
            </w:r>
          </w:p>
        </w:tc>
      </w:tr>
      <w:tr>
        <w:trPr>
          <w:cantSplit/>
        </w:trPr>
        <w:tc>
          <w:tcPr>
            <w:tcW w:type="dxa" w:w="346"/>
            <w:tcMar>
              <w:top w:w="60" w:type="dxa"/>
              <w:start w:w="110" w:type="dxa"/>
              <w:bottom w:w="60" w:type="dxa"/>
              <w:end w:w="110" w:type="dxa"/>
            </w:tcMar>
            <w:shd w:val="clear" w:color="auto" w:fill="F4F7FB"/>
          </w:tcPr>
          <w:p>
            <w:pPr>
              <w:spacing w:after="0"/>
            </w:pPr>
            <w:r/>
            <w:r>
              <w:rPr>
                <w:rFonts w:ascii="Calibri" w:hAnsi="Calibri"/>
                <w:b w:val="0"/>
                <w:i w:val="0"/>
                <w:color w:val="101828"/>
                <w:sz w:val="14"/>
              </w:rPr>
              <w:t>14</w:t>
            </w:r>
          </w:p>
        </w:tc>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4"/>
              </w:rPr>
              <w:t>What confirms the action, for how long, and where it goes next.</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Section 4.24.5</w:t>
            </w:r>
          </w:p>
        </w:tc>
      </w:tr>
      <w:tr>
        <w:trPr>
          <w:cantSplit/>
        </w:trPr>
        <w:tc>
          <w:tcPr>
            <w:tcW w:type="dxa" w:w="346"/>
            <w:tcMar>
              <w:top w:w="60" w:type="dxa"/>
              <w:start w:w="110" w:type="dxa"/>
              <w:bottom w:w="60" w:type="dxa"/>
              <w:end w:w="110" w:type="dxa"/>
            </w:tcMar>
          </w:tcPr>
          <w:p>
            <w:pPr>
              <w:spacing w:after="0"/>
            </w:pPr>
            <w:r/>
            <w:r>
              <w:rPr>
                <w:rFonts w:ascii="Calibri" w:hAnsi="Calibri"/>
                <w:b w:val="0"/>
                <w:i w:val="0"/>
                <w:color w:val="101828"/>
                <w:sz w:val="14"/>
              </w:rPr>
              <w:t>15</w:t>
            </w:r>
          </w:p>
        </w:tc>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5040"/>
            <w:tcMar>
              <w:top w:w="60" w:type="dxa"/>
              <w:start w:w="110" w:type="dxa"/>
              <w:bottom w:w="60" w:type="dxa"/>
              <w:end w:w="110" w:type="dxa"/>
            </w:tcMar>
          </w:tcPr>
          <w:p>
            <w:pPr>
              <w:spacing w:after="0"/>
            </w:pPr>
            <w:r/>
            <w:r>
              <w:rPr>
                <w:rFonts w:ascii="Calibri" w:hAnsi="Calibri"/>
                <w:b w:val="0"/>
                <w:i w:val="0"/>
                <w:color w:val="101828"/>
                <w:sz w:val="14"/>
              </w:rPr>
              <w:t>What changes at each breakpoint, and what is removed rather than hidden.</w:t>
            </w:r>
          </w:p>
        </w:tc>
        <w:tc>
          <w:tcPr>
            <w:tcW w:type="dxa" w:w="2448"/>
            <w:tcMar>
              <w:top w:w="60" w:type="dxa"/>
              <w:start w:w="110" w:type="dxa"/>
              <w:bottom w:w="60" w:type="dxa"/>
              <w:end w:w="110" w:type="dxa"/>
            </w:tcMar>
          </w:tcPr>
          <w:p>
            <w:pPr>
              <w:spacing w:after="0"/>
            </w:pPr>
            <w:r/>
            <w:r>
              <w:rPr>
                <w:rFonts w:ascii="Calibri" w:hAnsi="Calibri"/>
                <w:b w:val="0"/>
                <w:i w:val="0"/>
                <w:color w:val="101828"/>
                <w:sz w:val="14"/>
              </w:rPr>
              <w:t>Section 4.3</w:t>
            </w:r>
          </w:p>
        </w:tc>
      </w:tr>
      <w:tr>
        <w:trPr>
          <w:cantSplit/>
        </w:trPr>
        <w:tc>
          <w:tcPr>
            <w:tcW w:type="dxa" w:w="346"/>
            <w:tcMar>
              <w:top w:w="60" w:type="dxa"/>
              <w:start w:w="110" w:type="dxa"/>
              <w:bottom w:w="60" w:type="dxa"/>
              <w:end w:w="110" w:type="dxa"/>
            </w:tcMar>
            <w:shd w:val="clear" w:color="auto" w:fill="F4F7FB"/>
          </w:tcPr>
          <w:p>
            <w:pPr>
              <w:spacing w:after="0"/>
            </w:pPr>
            <w:r/>
            <w:r>
              <w:rPr>
                <w:rFonts w:ascii="Calibri" w:hAnsi="Calibri"/>
                <w:b w:val="0"/>
                <w:i w:val="0"/>
                <w:color w:val="101828"/>
                <w:sz w:val="14"/>
              </w:rPr>
              <w:t>16</w:t>
            </w:r>
          </w:p>
        </w:tc>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4"/>
              </w:rPr>
              <w:t>The criteria that bind hardest here, and the product-specific failure it prevents.</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Section 4.2</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Screens with no form still declare rows 9 and 10  </w:t>
      </w:r>
      <w:r>
        <w:rPr>
          <w:rFonts w:ascii="Calibri" w:hAnsi="Calibri"/>
          <w:b w:val="0"/>
          <w:i w:val="0"/>
          <w:color w:val="0B1F3A"/>
          <w:sz w:val="19"/>
        </w:rPr>
        <w:t>A screen that collects no input still carries both rows, and both say so explicitly. This is deliberate: an absent row reads as an oversight, and a reader who cannot tell whether a screen has a form or whether nobody wrote the row down will assume the worse. The same applies to row 14 on a screen that has no successful action.</w:t>
      </w:r>
    </w:p>
    <w:p>
      <w:pPr>
        <w:pStyle w:val="Heading3"/>
      </w:pPr>
      <w:r>
        <w:rPr>
          <w:rFonts w:ascii="Calibri" w:hAnsi="Calibri"/>
          <w:b/>
          <w:i w:val="0"/>
          <w:color w:val="0B1F3A"/>
          <w:sz w:val="24"/>
        </w:rPr>
        <w:t>4.0.2 Numbering and cross-references</w:t>
      </w:r>
    </w:p>
    <w:p>
      <w:r>
        <w:rPr>
          <w:rFonts w:ascii="Calibri" w:hAnsi="Calibri"/>
          <w:b w:val="0"/>
          <w:i w:val="0"/>
          <w:color w:val="101828"/>
          <w:sz w:val="21"/>
        </w:rPr>
        <w:t xml:space="preserve">Section headings are numbered </w:t>
      </w:r>
      <w:r>
        <w:rPr>
          <w:rFonts w:ascii="Consolas" w:hAnsi="Consolas"/>
          <w:color w:val="146EF5"/>
          <w:sz w:val="21"/>
        </w:rPr>
        <w:t>4.n</w:t>
      </w:r>
      <w:r>
        <w:rPr>
          <w:rFonts w:ascii="Calibri" w:hAnsi="Calibri"/>
          <w:b w:val="0"/>
          <w:i w:val="0"/>
          <w:color w:val="101828"/>
          <w:sz w:val="21"/>
        </w:rPr>
        <w:t xml:space="preserve">. Screen headings are numbered </w:t>
      </w:r>
      <w:r>
        <w:rPr>
          <w:rFonts w:ascii="Consolas" w:hAnsi="Consolas"/>
          <w:color w:val="146EF5"/>
          <w:sz w:val="21"/>
        </w:rPr>
        <w:t>4.n.m</w:t>
      </w:r>
      <w:r>
        <w:rPr>
          <w:rFonts w:ascii="Calibri" w:hAnsi="Calibri"/>
          <w:b w:val="0"/>
          <w:i w:val="0"/>
          <w:color w:val="101828"/>
          <w:sz w:val="21"/>
        </w:rPr>
        <w:t xml:space="preserve"> and always carry the screen identifier from section 3, so that a screen here, a route in 3.6, a wireframe in section 6 and a component in 5.8 all name the same thing. </w:t>
      </w:r>
      <w:r>
        <w:rPr>
          <w:rFonts w:ascii="Consolas" w:hAnsi="Consolas"/>
          <w:color w:val="146EF5"/>
          <w:sz w:val="21"/>
        </w:rPr>
        <w:t>BR-nnn</w:t>
      </w:r>
      <w:r>
        <w:rPr>
          <w:rFonts w:ascii="Calibri" w:hAnsi="Calibri"/>
          <w:b w:val="0"/>
          <w:i w:val="0"/>
          <w:color w:val="101828"/>
          <w:sz w:val="21"/>
        </w:rPr>
        <w:t xml:space="preserve"> is a business rule in section 1, </w:t>
      </w:r>
      <w:r>
        <w:rPr>
          <w:rFonts w:ascii="Consolas" w:hAnsi="Consolas"/>
          <w:color w:val="146EF5"/>
          <w:sz w:val="21"/>
        </w:rPr>
        <w:t>NFR-*</w:t>
      </w:r>
      <w:r>
        <w:rPr>
          <w:rFonts w:ascii="Calibri" w:hAnsi="Calibri"/>
          <w:b w:val="0"/>
          <w:i w:val="0"/>
          <w:color w:val="101828"/>
          <w:sz w:val="21"/>
        </w:rPr>
        <w:t xml:space="preserve"> a non-functional requirement in 1.18, </w:t>
      </w:r>
      <w:r>
        <w:rPr>
          <w:rFonts w:ascii="Consolas" w:hAnsi="Consolas"/>
          <w:color w:val="146EF5"/>
          <w:sz w:val="21"/>
        </w:rPr>
        <w:t>C-nn</w:t>
      </w:r>
      <w:r>
        <w:rPr>
          <w:rFonts w:ascii="Calibri" w:hAnsi="Calibri"/>
          <w:b w:val="0"/>
          <w:i w:val="0"/>
          <w:color w:val="101828"/>
          <w:sz w:val="21"/>
        </w:rPr>
        <w:t xml:space="preserve"> a constraint in CANONICAL.md, </w:t>
      </w:r>
      <w:r>
        <w:rPr>
          <w:rFonts w:ascii="Consolas" w:hAnsi="Consolas"/>
          <w:color w:val="146EF5"/>
          <w:sz w:val="21"/>
        </w:rPr>
        <w:t>D-nn</w:t>
      </w:r>
      <w:r>
        <w:rPr>
          <w:rFonts w:ascii="Calibri" w:hAnsi="Calibri"/>
          <w:b w:val="0"/>
          <w:i w:val="0"/>
          <w:color w:val="101828"/>
          <w:sz w:val="21"/>
        </w:rPr>
        <w:t xml:space="preserve"> an open decision in CANONICAL.md section 9, </w:t>
      </w:r>
      <w:r>
        <w:rPr>
          <w:rFonts w:ascii="Consolas" w:hAnsi="Consolas"/>
          <w:color w:val="146EF5"/>
          <w:sz w:val="21"/>
        </w:rPr>
        <w:t>EC-nnn</w:t>
      </w:r>
      <w:r>
        <w:rPr>
          <w:rFonts w:ascii="Calibri" w:hAnsi="Calibri"/>
          <w:b w:val="0"/>
          <w:i w:val="0"/>
          <w:color w:val="101828"/>
          <w:sz w:val="21"/>
        </w:rPr>
        <w:t xml:space="preserve"> an edge case in section 19. Money is written </w:t>
      </w:r>
      <w:r>
        <w:rPr>
          <w:rFonts w:ascii="Consolas" w:hAnsi="Consolas"/>
          <w:color w:val="146EF5"/>
          <w:sz w:val="21"/>
        </w:rPr>
        <w:t>NGN 1,000.00</w:t>
      </w:r>
      <w:r>
        <w:rPr>
          <w:rFonts w:ascii="Calibri" w:hAnsi="Calibri"/>
          <w:b w:val="0"/>
          <w:i w:val="0"/>
          <w:color w:val="101828"/>
          <w:sz w:val="21"/>
        </w:rPr>
        <w:t xml:space="preserve"> in tables; the naira glyph is not used in a table because it renders unreliably in Word on the machines this document is read on.</w:t>
      </w:r>
    </w:p>
    <w:p>
      <w:pPr>
        <w:pStyle w:val="Heading3"/>
      </w:pPr>
      <w:r>
        <w:rPr>
          <w:rFonts w:ascii="Calibri" w:hAnsi="Calibri"/>
          <w:b/>
          <w:i w:val="0"/>
          <w:color w:val="0B1F3A"/>
          <w:sz w:val="24"/>
        </w:rPr>
        <w:t>4.0.3 What this section does not decide</w:t>
      </w:r>
    </w:p>
    <w:p>
      <w:pPr>
        <w:pStyle w:val="ListBullet"/>
        <w:spacing w:after="60"/>
        <w:ind w:left="360"/>
      </w:pPr>
      <w:r>
        <w:rPr>
          <w:rFonts w:ascii="Calibri" w:hAnsi="Calibri"/>
          <w:b/>
          <w:color w:val="101828"/>
          <w:sz w:val="21"/>
        </w:rPr>
        <w:t>Region structure.</w:t>
      </w:r>
      <w:r>
        <w:rPr>
          <w:rFonts w:ascii="Calibri" w:hAnsi="Calibri"/>
          <w:b w:val="0"/>
          <w:i w:val="0"/>
          <w:color w:val="101828"/>
          <w:sz w:val="21"/>
        </w:rPr>
        <w:t xml:space="preserve"> Section 6 owns what a screen is made of. This section names the components and their order; it does not add a region.</w:t>
      </w:r>
    </w:p>
    <w:p>
      <w:pPr>
        <w:pStyle w:val="ListBullet"/>
        <w:spacing w:after="60"/>
        <w:ind w:left="360"/>
      </w:pPr>
      <w:r>
        <w:rPr>
          <w:rFonts w:ascii="Calibri" w:hAnsi="Calibri"/>
          <w:b/>
          <w:color w:val="101828"/>
          <w:sz w:val="21"/>
        </w:rPr>
        <w:t>Visual specification.</w:t>
      </w:r>
      <w:r>
        <w:rPr>
          <w:rFonts w:ascii="Calibri" w:hAnsi="Calibri"/>
          <w:b w:val="0"/>
          <w:i w:val="0"/>
          <w:color w:val="101828"/>
          <w:sz w:val="21"/>
        </w:rPr>
        <w:t xml:space="preserve"> Colour, type, space, radius, elevation and motion belong to section 5 and section 7. This section references them and never restates a hex value.</w:t>
      </w:r>
    </w:p>
    <w:p>
      <w:pPr>
        <w:pStyle w:val="ListBullet"/>
        <w:spacing w:after="60"/>
        <w:ind w:left="360"/>
      </w:pPr>
      <w:r>
        <w:rPr>
          <w:rFonts w:ascii="Calibri" w:hAnsi="Calibri"/>
          <w:b/>
          <w:color w:val="101828"/>
          <w:sz w:val="21"/>
        </w:rPr>
        <w:t>Copy that is not regulated.</w:t>
      </w:r>
      <w:r>
        <w:rPr>
          <w:rFonts w:ascii="Calibri" w:hAnsi="Calibri"/>
          <w:b w:val="0"/>
          <w:i w:val="0"/>
          <w:color w:val="101828"/>
          <w:sz w:val="21"/>
        </w:rPr>
        <w:t xml:space="preserve"> Marketing copy is a product and content decision. The only copy fixed here is copy the fee model fixes, and copy where a wrong word creates a financial misstatement.</w:t>
      </w:r>
    </w:p>
    <w:p>
      <w:pPr>
        <w:pStyle w:val="ListBullet"/>
        <w:spacing w:after="60"/>
        <w:ind w:left="360"/>
      </w:pPr>
      <w:r>
        <w:rPr>
          <w:rFonts w:ascii="Calibri" w:hAnsi="Calibri"/>
          <w:b/>
          <w:color w:val="101828"/>
          <w:sz w:val="21"/>
        </w:rPr>
        <w:t>Payment channel behaviour.</w:t>
      </w:r>
      <w:r>
        <w:rPr>
          <w:rFonts w:ascii="Calibri" w:hAnsi="Calibri"/>
          <w:b w:val="0"/>
          <w:i w:val="0"/>
          <w:color w:val="101828"/>
          <w:sz w:val="21"/>
        </w:rPr>
        <w:t xml:space="preserve"> Which channels are offered, what they cost and how long they take require confirmation with ProvidusUnity in writing, and are labelled as such wherever they appear.</w:t>
      </w:r>
    </w:p>
    <w:p>
      <w:pPr>
        <w:pStyle w:val="ListBullet"/>
        <w:spacing w:after="60"/>
        <w:ind w:left="360"/>
      </w:pPr>
      <w:r>
        <w:rPr>
          <w:rFonts w:ascii="Calibri" w:hAnsi="Calibri"/>
          <w:b/>
          <w:color w:val="101828"/>
          <w:sz w:val="21"/>
        </w:rPr>
        <w:t>Verification policy.</w:t>
      </w:r>
      <w:r>
        <w:rPr>
          <w:rFonts w:ascii="Calibri" w:hAnsi="Calibri"/>
          <w:b w:val="0"/>
          <w:i w:val="0"/>
          <w:color w:val="101828"/>
          <w:sz w:val="21"/>
        </w:rPr>
        <w:t xml:space="preserve"> Whether BVN or CAC verification is mandatory for every member or only above a threshold is D-04 and remains open. The interface supports both shapes and commits to neither.</w:t>
      </w:r>
    </w:p>
    <w:p>
      <w:pPr>
        <w:pStyle w:val="Heading3"/>
      </w:pPr>
      <w:r>
        <w:rPr>
          <w:rFonts w:ascii="Calibri" w:hAnsi="Calibri"/>
          <w:b/>
          <w:i w:val="0"/>
          <w:color w:val="0B1F3A"/>
          <w:sz w:val="24"/>
        </w:rPr>
        <w:t>4.0.4 Reconciliation rule</w:t>
      </w:r>
    </w:p>
    <w:p>
      <w:pPr>
        <w:spacing w:before="140" w:after="180"/>
        <w:ind w:left="144"/>
        <w:shd w:val="clear" w:color="auto" w:fill="EFF6FF"/>
        <w:pBdr>
          <w:left w:val="single" w:sz="18" w:space="6" w:color="146EF5"/>
        </w:pBdr>
      </w:pPr>
      <w:r>
        <w:rPr>
          <w:rFonts w:ascii="Calibri" w:hAnsi="Calibri"/>
          <w:b/>
          <w:color w:val="146EF5"/>
          <w:sz w:val="19"/>
        </w:rPr>
        <w:t xml:space="preserve">When 4, 5, 6 and 7 disagree  </w:t>
      </w:r>
      <w:r>
        <w:rPr>
          <w:rFonts w:ascii="Calibri" w:hAnsi="Calibri"/>
          <w:b w:val="0"/>
          <w:i w:val="0"/>
          <w:color w:val="0B1F3A"/>
          <w:sz w:val="19"/>
        </w:rPr>
        <w:t>CANONICAL.md wins over all of them. Between the others: section 3 owns existence, section 6 owns structure, section 5 owns tokens and component definitions, section 7 owns visual behaviour, and this section owns interaction behaviour. A conflict is resolved by the owner of the topic, not by whichever document was read last, and it is fixed by editing the losing document rather than by a note in the winning one.</w:t>
      </w:r>
    </w:p>
    <w:p>
      <w:pPr>
        <w:pStyle w:val="Heading2"/>
      </w:pPr>
      <w:r>
        <w:rPr>
          <w:rFonts w:ascii="Calibri" w:hAnsi="Calibri"/>
          <w:b/>
          <w:i w:val="0"/>
          <w:color w:val="146EF5"/>
          <w:sz w:val="29"/>
        </w:rPr>
        <w:t>4.1 UX principles and product tone</w:t>
      </w:r>
    </w:p>
    <w:p>
      <w:pPr>
        <w:pStyle w:val="Heading3"/>
      </w:pPr>
      <w:r>
        <w:rPr>
          <w:rFonts w:ascii="Calibri" w:hAnsi="Calibri"/>
          <w:b/>
          <w:i w:val="0"/>
          <w:color w:val="0B1F3A"/>
          <w:sz w:val="24"/>
        </w:rPr>
        <w:t>4.1.1 The problem this design solves</w:t>
      </w:r>
    </w:p>
    <w:p>
      <w:r>
        <w:rPr>
          <w:rFonts w:ascii="Calibri" w:hAnsi="Calibri"/>
          <w:b w:val="0"/>
          <w:i w:val="0"/>
          <w:color w:val="101828"/>
          <w:sz w:val="21"/>
        </w:rPr>
        <w:t>The design problem is not that there is no AJO.ng yet. It is that AJO.ng is asking for something it has no right to assume. The person opening the app is not a fintech customer who happened to hear about savings groups. They are someone already inside an Ajo, run by a bookkeeper or an elder, being asked to give a bank account to a company founded by two people, on a phone that may cost NGN 30,000, over a network that may drop mid-payment. Every principle below exists to make that ask survivable.</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346"/>
            <w:shd w:val="clear" w:color="auto" w:fill="0B1F3A"/>
            <w:tcMar>
              <w:top w:w="60" w:type="dxa"/>
              <w:start w:w="110" w:type="dxa"/>
              <w:bottom w:w="60" w:type="dxa"/>
              <w:end w:w="110" w:type="dxa"/>
            </w:tcMar>
          </w:tcPr>
          <w:p>
            <w:pPr>
              <w:spacing w:after="0"/>
            </w:pPr>
            <w:r/>
            <w:r>
              <w:rPr>
                <w:rFonts w:ascii="Calibri" w:hAnsi="Calibri"/>
                <w:b/>
                <w:i w:val="0"/>
                <w:color w:val="FFFFFF"/>
                <w:sz w:val="14"/>
              </w:rPr>
              <w:t>#</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4"/>
              </w:rPr>
              <w:t>Principle</w:t>
            </w:r>
          </w:p>
        </w:tc>
        <w:tc>
          <w:tcPr>
            <w:tcW w:type="dxa" w:w="3744"/>
            <w:shd w:val="clear" w:color="auto" w:fill="0B1F3A"/>
            <w:tcMar>
              <w:top w:w="60" w:type="dxa"/>
              <w:start w:w="110" w:type="dxa"/>
              <w:bottom w:w="60" w:type="dxa"/>
              <w:end w:w="110" w:type="dxa"/>
            </w:tcMar>
          </w:tcPr>
          <w:p>
            <w:pPr>
              <w:spacing w:after="0"/>
            </w:pPr>
            <w:r/>
            <w:r>
              <w:rPr>
                <w:rFonts w:ascii="Calibri" w:hAnsi="Calibri"/>
                <w:b/>
                <w:i w:val="0"/>
                <w:color w:val="FFFFFF"/>
                <w:sz w:val="14"/>
              </w:rPr>
              <w:t>What it means in this product</w:t>
            </w:r>
          </w:p>
        </w:tc>
        <w:tc>
          <w:tcPr>
            <w:tcW w:type="dxa" w:w="3686"/>
            <w:shd w:val="clear" w:color="auto" w:fill="0B1F3A"/>
            <w:tcMar>
              <w:top w:w="60" w:type="dxa"/>
              <w:start w:w="110" w:type="dxa"/>
              <w:bottom w:w="60" w:type="dxa"/>
              <w:end w:w="110" w:type="dxa"/>
            </w:tcMar>
          </w:tcPr>
          <w:p>
            <w:pPr>
              <w:spacing w:after="0"/>
            </w:pPr>
            <w:r/>
            <w:r>
              <w:rPr>
                <w:rFonts w:ascii="Calibri" w:hAnsi="Calibri"/>
                <w:b/>
                <w:i w:val="0"/>
                <w:color w:val="FFFFFF"/>
                <w:sz w:val="14"/>
              </w:rPr>
              <w:t>What it rules out</w:t>
            </w:r>
          </w:p>
        </w:tc>
      </w:tr>
      <w:tr>
        <w:trPr>
          <w:cantSplit/>
        </w:trPr>
        <w:tc>
          <w:tcPr>
            <w:tcW w:type="dxa" w:w="346"/>
            <w:tcMar>
              <w:top w:w="60" w:type="dxa"/>
              <w:start w:w="110" w:type="dxa"/>
              <w:bottom w:w="60" w:type="dxa"/>
              <w:end w:w="110" w:type="dxa"/>
            </w:tcMar>
          </w:tcPr>
          <w:p>
            <w:pPr>
              <w:spacing w:after="0"/>
            </w:pPr>
            <w:r/>
            <w:r>
              <w:rPr>
                <w:rFonts w:ascii="Calibri" w:hAnsi="Calibri"/>
                <w:b w:val="0"/>
                <w:i w:val="0"/>
                <w:color w:val="101828"/>
                <w:sz w:val="14"/>
              </w:rPr>
              <w:t>1</w:t>
            </w:r>
          </w:p>
        </w:tc>
        <w:tc>
          <w:tcPr>
            <w:tcW w:type="dxa" w:w="1584"/>
            <w:tcMar>
              <w:top w:w="60" w:type="dxa"/>
              <w:start w:w="110" w:type="dxa"/>
              <w:bottom w:w="60" w:type="dxa"/>
              <w:end w:w="110" w:type="dxa"/>
            </w:tcMar>
          </w:tcPr>
          <w:p>
            <w:pPr>
              <w:spacing w:after="0"/>
            </w:pPr>
            <w:r/>
            <w:r>
              <w:rPr>
                <w:rFonts w:ascii="Calibri" w:hAnsi="Calibri"/>
                <w:b/>
                <w:color w:val="101828"/>
                <w:sz w:val="14"/>
              </w:rPr>
              <w:t>Trust before features</w:t>
            </w:r>
          </w:p>
        </w:tc>
        <w:tc>
          <w:tcPr>
            <w:tcW w:type="dxa" w:w="3744"/>
            <w:tcMar>
              <w:top w:w="60" w:type="dxa"/>
              <w:start w:w="110" w:type="dxa"/>
              <w:bottom w:w="60" w:type="dxa"/>
              <w:end w:w="110" w:type="dxa"/>
            </w:tcMar>
          </w:tcPr>
          <w:p>
            <w:pPr>
              <w:spacing w:after="0"/>
            </w:pPr>
            <w:r/>
            <w:r>
              <w:rPr>
                <w:rFonts w:ascii="Calibri" w:hAnsi="Calibri"/>
                <w:b w:val="0"/>
                <w:i w:val="0"/>
                <w:color w:val="101828"/>
                <w:sz w:val="14"/>
              </w:rPr>
              <w:t>The first thing any screen shows is the person's own position, obligation and history. Features are never surfaced before the record.</w:t>
            </w:r>
          </w:p>
        </w:tc>
        <w:tc>
          <w:tcPr>
            <w:tcW w:type="dxa" w:w="3686"/>
            <w:tcMar>
              <w:top w:w="60" w:type="dxa"/>
              <w:start w:w="110" w:type="dxa"/>
              <w:bottom w:w="60" w:type="dxa"/>
              <w:end w:w="110" w:type="dxa"/>
            </w:tcMar>
          </w:tcPr>
          <w:p>
            <w:pPr>
              <w:spacing w:after="0"/>
            </w:pPr>
            <w:r/>
            <w:r>
              <w:rPr>
                <w:rFonts w:ascii="Calibri" w:hAnsi="Calibri"/>
                <w:b w:val="0"/>
                <w:i w:val="0"/>
                <w:color w:val="101828"/>
                <w:sz w:val="14"/>
              </w:rPr>
              <w:t>A carousel, a promotional banner, a referral prompt, or a growth experiment above the obligation block.</w:t>
            </w:r>
          </w:p>
        </w:tc>
      </w:tr>
      <w:tr>
        <w:trPr>
          <w:cantSplit/>
        </w:trPr>
        <w:tc>
          <w:tcPr>
            <w:tcW w:type="dxa" w:w="346"/>
            <w:tcMar>
              <w:top w:w="60" w:type="dxa"/>
              <w:start w:w="110" w:type="dxa"/>
              <w:bottom w:w="60" w:type="dxa"/>
              <w:end w:w="110" w:type="dxa"/>
            </w:tcMar>
            <w:shd w:val="clear" w:color="auto" w:fill="F4F7FB"/>
          </w:tcPr>
          <w:p>
            <w:pPr>
              <w:spacing w:after="0"/>
            </w:pPr>
            <w:r/>
            <w:r>
              <w:rPr>
                <w:rFonts w:ascii="Calibri" w:hAnsi="Calibri"/>
                <w:b w:val="0"/>
                <w:i w:val="0"/>
                <w:color w:val="101828"/>
                <w:sz w:val="14"/>
              </w:rPr>
              <w:t>2</w:t>
            </w:r>
          </w:p>
        </w:tc>
        <w:tc>
          <w:tcPr>
            <w:tcW w:type="dxa" w:w="1584"/>
            <w:tcMar>
              <w:top w:w="60" w:type="dxa"/>
              <w:start w:w="110" w:type="dxa"/>
              <w:bottom w:w="60" w:type="dxa"/>
              <w:end w:w="110" w:type="dxa"/>
            </w:tcMar>
            <w:shd w:val="clear" w:color="auto" w:fill="F4F7FB"/>
          </w:tcPr>
          <w:p>
            <w:pPr>
              <w:spacing w:after="0"/>
            </w:pPr>
            <w:r/>
            <w:r>
              <w:rPr>
                <w:rFonts w:ascii="Calibri" w:hAnsi="Calibri"/>
                <w:b/>
                <w:color w:val="101828"/>
                <w:sz w:val="14"/>
              </w:rPr>
              <w:t>The number is never ambiguous</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4"/>
              </w:rPr>
              <w:t>Every amount names what it is, what it includes and where it goes. Contribution, fee and total are three lines or the component is wrong.</w:t>
            </w:r>
          </w:p>
        </w:tc>
        <w:tc>
          <w:tcPr>
            <w:tcW w:type="dxa" w:w="368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single </w:t>
            </w:r>
            <w:r>
              <w:rPr>
                <w:rFonts w:ascii="Consolas" w:hAnsi="Consolas"/>
                <w:color w:val="146EF5"/>
                <w:sz w:val="14"/>
              </w:rPr>
              <w:t>NGN 1,020.00</w:t>
            </w:r>
            <w:r>
              <w:rPr>
                <w:rFonts w:ascii="Calibri" w:hAnsi="Calibri"/>
                <w:b w:val="0"/>
                <w:i w:val="0"/>
                <w:color w:val="101828"/>
                <w:sz w:val="14"/>
              </w:rPr>
              <w:t xml:space="preserve"> with the fee explained afterwards. A total with no noun. A percentage with no count.</w:t>
            </w:r>
          </w:p>
        </w:tc>
      </w:tr>
      <w:tr>
        <w:trPr>
          <w:cantSplit/>
        </w:trPr>
        <w:tc>
          <w:tcPr>
            <w:tcW w:type="dxa" w:w="346"/>
            <w:tcMar>
              <w:top w:w="60" w:type="dxa"/>
              <w:start w:w="110" w:type="dxa"/>
              <w:bottom w:w="60" w:type="dxa"/>
              <w:end w:w="110" w:type="dxa"/>
            </w:tcMar>
          </w:tcPr>
          <w:p>
            <w:pPr>
              <w:spacing w:after="0"/>
            </w:pPr>
            <w:r/>
            <w:r>
              <w:rPr>
                <w:rFonts w:ascii="Calibri" w:hAnsi="Calibri"/>
                <w:b w:val="0"/>
                <w:i w:val="0"/>
                <w:color w:val="101828"/>
                <w:sz w:val="14"/>
              </w:rPr>
              <w:t>3</w:t>
            </w:r>
          </w:p>
        </w:tc>
        <w:tc>
          <w:tcPr>
            <w:tcW w:type="dxa" w:w="1584"/>
            <w:tcMar>
              <w:top w:w="60" w:type="dxa"/>
              <w:start w:w="110" w:type="dxa"/>
              <w:bottom w:w="60" w:type="dxa"/>
              <w:end w:w="110" w:type="dxa"/>
            </w:tcMar>
          </w:tcPr>
          <w:p>
            <w:pPr>
              <w:spacing w:after="0"/>
            </w:pPr>
            <w:r/>
            <w:r>
              <w:rPr>
                <w:rFonts w:ascii="Calibri" w:hAnsi="Calibri"/>
                <w:b/>
                <w:color w:val="101828"/>
                <w:sz w:val="14"/>
              </w:rPr>
              <w:t>Plain Nigerian English</w:t>
            </w:r>
          </w:p>
        </w:tc>
        <w:tc>
          <w:tcPr>
            <w:tcW w:type="dxa" w:w="3744"/>
            <w:tcMar>
              <w:top w:w="60" w:type="dxa"/>
              <w:start w:w="110" w:type="dxa"/>
              <w:bottom w:w="60" w:type="dxa"/>
              <w:end w:w="110" w:type="dxa"/>
            </w:tcMar>
          </w:tcPr>
          <w:p>
            <w:pPr>
              <w:spacing w:after="0"/>
            </w:pPr>
            <w:r/>
            <w:r>
              <w:rPr>
                <w:rFonts w:ascii="Calibri" w:hAnsi="Calibri"/>
                <w:b w:val="0"/>
                <w:i w:val="0"/>
                <w:color w:val="101828"/>
                <w:sz w:val="14"/>
              </w:rPr>
              <w:t>Short sentences, active voice, no loanwords where an English word exists. Nigerian usage is respected, not corrected; written copy is not forced into pidgin.</w:t>
            </w:r>
          </w:p>
        </w:tc>
        <w:tc>
          <w:tcPr>
            <w:tcW w:type="dxa" w:w="3686"/>
            <w:tcMar>
              <w:top w:w="60" w:type="dxa"/>
              <w:start w:w="110" w:type="dxa"/>
              <w:bottom w:w="60" w:type="dxa"/>
              <w:end w:w="110" w:type="dxa"/>
            </w:tcMar>
          </w:tcPr>
          <w:p>
            <w:pPr>
              <w:spacing w:after="0"/>
            </w:pPr>
            <w:r/>
            <w:r>
              <w:rPr>
                <w:rFonts w:ascii="Calibri" w:hAnsi="Calibri"/>
                <w:b w:val="0"/>
                <w:i w:val="0"/>
                <w:color w:val="101828"/>
                <w:sz w:val="14"/>
              </w:rPr>
              <w:t>Jargon: KYC, onboarding, leverage, escrow, float, commitment vehicle, financial instrument. None of these appear in member-facing copy.</w:t>
            </w:r>
          </w:p>
        </w:tc>
      </w:tr>
      <w:tr>
        <w:trPr>
          <w:cantSplit/>
        </w:trPr>
        <w:tc>
          <w:tcPr>
            <w:tcW w:type="dxa" w:w="346"/>
            <w:tcMar>
              <w:top w:w="60" w:type="dxa"/>
              <w:start w:w="110" w:type="dxa"/>
              <w:bottom w:w="60" w:type="dxa"/>
              <w:end w:w="110" w:type="dxa"/>
            </w:tcMar>
            <w:shd w:val="clear" w:color="auto" w:fill="F4F7FB"/>
          </w:tcPr>
          <w:p>
            <w:pPr>
              <w:spacing w:after="0"/>
            </w:pPr>
            <w:r/>
            <w:r>
              <w:rPr>
                <w:rFonts w:ascii="Calibri" w:hAnsi="Calibri"/>
                <w:b w:val="0"/>
                <w:i w:val="0"/>
                <w:color w:val="101828"/>
                <w:sz w:val="14"/>
              </w:rPr>
              <w:t>4</w:t>
            </w:r>
          </w:p>
        </w:tc>
        <w:tc>
          <w:tcPr>
            <w:tcW w:type="dxa" w:w="1584"/>
            <w:tcMar>
              <w:top w:w="60" w:type="dxa"/>
              <w:start w:w="110" w:type="dxa"/>
              <w:bottom w:w="60" w:type="dxa"/>
              <w:end w:w="110" w:type="dxa"/>
            </w:tcMar>
            <w:shd w:val="clear" w:color="auto" w:fill="F4F7FB"/>
          </w:tcPr>
          <w:p>
            <w:pPr>
              <w:spacing w:after="0"/>
            </w:pPr>
            <w:r/>
            <w:r>
              <w:rPr>
                <w:rFonts w:ascii="Calibri" w:hAnsi="Calibri"/>
                <w:b/>
                <w:color w:val="101828"/>
                <w:sz w:val="14"/>
              </w:rPr>
              <w:t>No shame, ever</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4"/>
              </w:rPr>
              <w:t>Defaulting, cancellation, a frozen account and a failed payment are stated as states with next steps. The person is never characterised, ranked or displayed to others.</w:t>
            </w:r>
          </w:p>
        </w:tc>
        <w:tc>
          <w:tcPr>
            <w:tcW w:type="dxa" w:w="3686"/>
            <w:tcMar>
              <w:top w:w="60" w:type="dxa"/>
              <w:start w:w="110" w:type="dxa"/>
              <w:bottom w:w="60" w:type="dxa"/>
              <w:end w:w="110" w:type="dxa"/>
            </w:tcMar>
            <w:shd w:val="clear" w:color="auto" w:fill="F4F7FB"/>
          </w:tcPr>
          <w:p>
            <w:pPr>
              <w:spacing w:after="0"/>
            </w:pPr>
            <w:r/>
            <w:r>
              <w:rPr>
                <w:rFonts w:ascii="Calibri" w:hAnsi="Calibri"/>
                <w:b w:val="0"/>
                <w:i w:val="0"/>
                <w:color w:val="101828"/>
                <w:sz w:val="14"/>
              </w:rPr>
              <w:t>Red name badges. Public default lists. Streaks. A defaulting member shown to the Ajo with a coloured state. Any leaderboard.</w:t>
            </w:r>
          </w:p>
        </w:tc>
      </w:tr>
      <w:tr>
        <w:trPr>
          <w:cantSplit/>
        </w:trPr>
        <w:tc>
          <w:tcPr>
            <w:tcW w:type="dxa" w:w="346"/>
            <w:tcMar>
              <w:top w:w="60" w:type="dxa"/>
              <w:start w:w="110" w:type="dxa"/>
              <w:bottom w:w="60" w:type="dxa"/>
              <w:end w:w="110" w:type="dxa"/>
            </w:tcMar>
          </w:tcPr>
          <w:p>
            <w:pPr>
              <w:spacing w:after="0"/>
            </w:pPr>
            <w:r/>
            <w:r>
              <w:rPr>
                <w:rFonts w:ascii="Calibri" w:hAnsi="Calibri"/>
                <w:b w:val="0"/>
                <w:i w:val="0"/>
                <w:color w:val="101828"/>
                <w:sz w:val="14"/>
              </w:rPr>
              <w:t>5</w:t>
            </w:r>
          </w:p>
        </w:tc>
        <w:tc>
          <w:tcPr>
            <w:tcW w:type="dxa" w:w="1584"/>
            <w:tcMar>
              <w:top w:w="60" w:type="dxa"/>
              <w:start w:w="110" w:type="dxa"/>
              <w:bottom w:w="60" w:type="dxa"/>
              <w:end w:w="110" w:type="dxa"/>
            </w:tcMar>
          </w:tcPr>
          <w:p>
            <w:pPr>
              <w:spacing w:after="0"/>
            </w:pPr>
            <w:r/>
            <w:r>
              <w:rPr>
                <w:rFonts w:ascii="Calibri" w:hAnsi="Calibri"/>
                <w:b/>
                <w:color w:val="101828"/>
                <w:sz w:val="14"/>
              </w:rPr>
              <w:t>No dark patterns</w:t>
            </w:r>
          </w:p>
        </w:tc>
        <w:tc>
          <w:tcPr>
            <w:tcW w:type="dxa" w:w="3744"/>
            <w:tcMar>
              <w:top w:w="60" w:type="dxa"/>
              <w:start w:w="110" w:type="dxa"/>
              <w:bottom w:w="60" w:type="dxa"/>
              <w:end w:w="110" w:type="dxa"/>
            </w:tcMar>
          </w:tcPr>
          <w:p>
            <w:pPr>
              <w:spacing w:after="0"/>
            </w:pPr>
            <w:r/>
            <w:r>
              <w:rPr>
                <w:rFonts w:ascii="Calibri" w:hAnsi="Calibri"/>
                <w:b w:val="0"/>
                <w:i w:val="0"/>
                <w:color w:val="101828"/>
                <w:sz w:val="14"/>
              </w:rPr>
              <w:t>The default is always the option that costs the person nothing if they are wrong. Reversible where possible, explained where not.</w:t>
            </w:r>
          </w:p>
        </w:tc>
        <w:tc>
          <w:tcPr>
            <w:tcW w:type="dxa" w:w="3686"/>
            <w:tcMar>
              <w:top w:w="60" w:type="dxa"/>
              <w:start w:w="110" w:type="dxa"/>
              <w:bottom w:w="60" w:type="dxa"/>
              <w:end w:w="110" w:type="dxa"/>
            </w:tcMar>
          </w:tcPr>
          <w:p>
            <w:pPr>
              <w:spacing w:after="0"/>
            </w:pPr>
            <w:r/>
            <w:r>
              <w:rPr>
                <w:rFonts w:ascii="Calibri" w:hAnsi="Calibri"/>
                <w:b w:val="0"/>
                <w:i w:val="0"/>
                <w:color w:val="101828"/>
                <w:sz w:val="14"/>
              </w:rPr>
              <w:t>Pre-ticked consent. A cancel link smaller than a continue link. A countdown that ends a right. A preselected payment method.</w:t>
            </w:r>
          </w:p>
        </w:tc>
      </w:tr>
      <w:tr>
        <w:trPr>
          <w:cantSplit/>
        </w:trPr>
        <w:tc>
          <w:tcPr>
            <w:tcW w:type="dxa" w:w="346"/>
            <w:tcMar>
              <w:top w:w="60" w:type="dxa"/>
              <w:start w:w="110" w:type="dxa"/>
              <w:bottom w:w="60" w:type="dxa"/>
              <w:end w:w="110" w:type="dxa"/>
            </w:tcMar>
            <w:shd w:val="clear" w:color="auto" w:fill="F4F7FB"/>
          </w:tcPr>
          <w:p>
            <w:pPr>
              <w:spacing w:after="0"/>
            </w:pPr>
            <w:r/>
            <w:r>
              <w:rPr>
                <w:rFonts w:ascii="Calibri" w:hAnsi="Calibri"/>
                <w:b w:val="0"/>
                <w:i w:val="0"/>
                <w:color w:val="101828"/>
                <w:sz w:val="14"/>
              </w:rPr>
              <w:t>6</w:t>
            </w:r>
          </w:p>
        </w:tc>
        <w:tc>
          <w:tcPr>
            <w:tcW w:type="dxa" w:w="1584"/>
            <w:tcMar>
              <w:top w:w="60" w:type="dxa"/>
              <w:start w:w="110" w:type="dxa"/>
              <w:bottom w:w="60" w:type="dxa"/>
              <w:end w:w="110" w:type="dxa"/>
            </w:tcMar>
            <w:shd w:val="clear" w:color="auto" w:fill="F4F7FB"/>
          </w:tcPr>
          <w:p>
            <w:pPr>
              <w:spacing w:after="0"/>
            </w:pPr>
            <w:r/>
            <w:r>
              <w:rPr>
                <w:rFonts w:ascii="Calibri" w:hAnsi="Calibri"/>
                <w:b/>
                <w:color w:val="101828"/>
                <w:sz w:val="14"/>
              </w:rPr>
              <w:t>The hard thing is next to the easy thing</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4"/>
              </w:rPr>
              <w:t>Lock-in, the five-day enrolment window, the fee, the position lock and a payout hold are stated on the screen where they bite, not in a policy page.</w:t>
            </w:r>
          </w:p>
        </w:tc>
        <w:tc>
          <w:tcPr>
            <w:tcW w:type="dxa" w:w="3686"/>
            <w:tcMar>
              <w:top w:w="60" w:type="dxa"/>
              <w:start w:w="110" w:type="dxa"/>
              <w:bottom w:w="60" w:type="dxa"/>
              <w:end w:w="110" w:type="dxa"/>
            </w:tcMar>
            <w:shd w:val="clear" w:color="auto" w:fill="F4F7FB"/>
          </w:tcPr>
          <w:p>
            <w:pPr>
              <w:spacing w:after="0"/>
            </w:pPr>
            <w:r/>
            <w:r>
              <w:rPr>
                <w:rFonts w:ascii="Calibri" w:hAnsi="Calibri"/>
                <w:b w:val="0"/>
                <w:i w:val="0"/>
                <w:color w:val="101828"/>
                <w:sz w:val="14"/>
              </w:rPr>
              <w:t>A terms link as the only disclosure. A lock-in warning only at the final wizard step. A hold explained in a help article.</w:t>
            </w:r>
          </w:p>
        </w:tc>
      </w:tr>
      <w:tr>
        <w:trPr>
          <w:cantSplit/>
        </w:trPr>
        <w:tc>
          <w:tcPr>
            <w:tcW w:type="dxa" w:w="346"/>
            <w:tcMar>
              <w:top w:w="60" w:type="dxa"/>
              <w:start w:w="110" w:type="dxa"/>
              <w:bottom w:w="60" w:type="dxa"/>
              <w:end w:w="110" w:type="dxa"/>
            </w:tcMar>
          </w:tcPr>
          <w:p>
            <w:pPr>
              <w:spacing w:after="0"/>
            </w:pPr>
            <w:r/>
            <w:r>
              <w:rPr>
                <w:rFonts w:ascii="Calibri" w:hAnsi="Calibri"/>
                <w:b w:val="0"/>
                <w:i w:val="0"/>
                <w:color w:val="101828"/>
                <w:sz w:val="14"/>
              </w:rPr>
              <w:t>7</w:t>
            </w:r>
          </w:p>
        </w:tc>
        <w:tc>
          <w:tcPr>
            <w:tcW w:type="dxa" w:w="1584"/>
            <w:tcMar>
              <w:top w:w="60" w:type="dxa"/>
              <w:start w:w="110" w:type="dxa"/>
              <w:bottom w:w="60" w:type="dxa"/>
              <w:end w:w="110" w:type="dxa"/>
            </w:tcMar>
          </w:tcPr>
          <w:p>
            <w:pPr>
              <w:spacing w:after="0"/>
            </w:pPr>
            <w:r/>
            <w:r>
              <w:rPr>
                <w:rFonts w:ascii="Calibri" w:hAnsi="Calibri"/>
                <w:b/>
                <w:color w:val="101828"/>
                <w:sz w:val="14"/>
              </w:rPr>
              <w:t>One primary action per screen</w:t>
            </w:r>
          </w:p>
        </w:tc>
        <w:tc>
          <w:tcPr>
            <w:tcW w:type="dxa" w:w="3744"/>
            <w:tcMar>
              <w:top w:w="60" w:type="dxa"/>
              <w:start w:w="110" w:type="dxa"/>
              <w:bottom w:w="60" w:type="dxa"/>
              <w:end w:w="110" w:type="dxa"/>
            </w:tcMar>
          </w:tcPr>
          <w:p>
            <w:pPr>
              <w:spacing w:after="0"/>
            </w:pPr>
            <w:r/>
            <w:r>
              <w:rPr>
                <w:rFonts w:ascii="Calibri" w:hAnsi="Calibri"/>
                <w:b w:val="0"/>
                <w:i w:val="0"/>
                <w:color w:val="101828"/>
                <w:sz w:val="14"/>
              </w:rPr>
              <w:t>At most one element is styled as the primary action. A second real action is a link or a secondary button, never a second primary.</w:t>
            </w:r>
          </w:p>
        </w:tc>
        <w:tc>
          <w:tcPr>
            <w:tcW w:type="dxa" w:w="3686"/>
            <w:tcMar>
              <w:top w:w="60" w:type="dxa"/>
              <w:start w:w="110" w:type="dxa"/>
              <w:bottom w:w="60" w:type="dxa"/>
              <w:end w:w="110" w:type="dxa"/>
            </w:tcMar>
          </w:tcPr>
          <w:p>
            <w:pPr>
              <w:spacing w:after="0"/>
            </w:pPr>
            <w:r/>
            <w:r>
              <w:rPr>
                <w:rFonts w:ascii="Calibri" w:hAnsi="Calibri"/>
                <w:b w:val="0"/>
                <w:i w:val="0"/>
                <w:color w:val="101828"/>
                <w:sz w:val="14"/>
              </w:rPr>
              <w:t>Two filled buttons of equal weight on a money screen. A primary label that changes without a state change.</w:t>
            </w:r>
          </w:p>
        </w:tc>
      </w:tr>
      <w:tr>
        <w:trPr>
          <w:cantSplit/>
        </w:trPr>
        <w:tc>
          <w:tcPr>
            <w:tcW w:type="dxa" w:w="346"/>
            <w:tcMar>
              <w:top w:w="60" w:type="dxa"/>
              <w:start w:w="110" w:type="dxa"/>
              <w:bottom w:w="60" w:type="dxa"/>
              <w:end w:w="110" w:type="dxa"/>
            </w:tcMar>
            <w:shd w:val="clear" w:color="auto" w:fill="F4F7FB"/>
          </w:tcPr>
          <w:p>
            <w:pPr>
              <w:spacing w:after="0"/>
            </w:pPr>
            <w:r/>
            <w:r>
              <w:rPr>
                <w:rFonts w:ascii="Calibri" w:hAnsi="Calibri"/>
                <w:b w:val="0"/>
                <w:i w:val="0"/>
                <w:color w:val="101828"/>
                <w:sz w:val="14"/>
              </w:rPr>
              <w:t>8</w:t>
            </w:r>
          </w:p>
        </w:tc>
        <w:tc>
          <w:tcPr>
            <w:tcW w:type="dxa" w:w="1584"/>
            <w:tcMar>
              <w:top w:w="60" w:type="dxa"/>
              <w:start w:w="110" w:type="dxa"/>
              <w:bottom w:w="60" w:type="dxa"/>
              <w:end w:w="110" w:type="dxa"/>
            </w:tcMar>
            <w:shd w:val="clear" w:color="auto" w:fill="F4F7FB"/>
          </w:tcPr>
          <w:p>
            <w:pPr>
              <w:spacing w:after="0"/>
            </w:pPr>
            <w:r/>
            <w:r>
              <w:rPr>
                <w:rFonts w:ascii="Calibri" w:hAnsi="Calibri"/>
                <w:b/>
                <w:color w:val="101828"/>
                <w:sz w:val="14"/>
              </w:rPr>
              <w:t>The interface is quieter than the anxiety</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4"/>
              </w:rPr>
              <w:t>A person checking whether their money arrived is anxious. Motion, colour and copy do not amplify that.</w:t>
            </w:r>
          </w:p>
        </w:tc>
        <w:tc>
          <w:tcPr>
            <w:tcW w:type="dxa" w:w="3686"/>
            <w:tcMar>
              <w:top w:w="60" w:type="dxa"/>
              <w:start w:w="110" w:type="dxa"/>
              <w:bottom w:w="60" w:type="dxa"/>
              <w:end w:w="110" w:type="dxa"/>
            </w:tcMar>
            <w:shd w:val="clear" w:color="auto" w:fill="F4F7FB"/>
          </w:tcPr>
          <w:p>
            <w:pPr>
              <w:spacing w:after="0"/>
            </w:pPr>
            <w:r/>
            <w:r>
              <w:rPr>
                <w:rFonts w:ascii="Calibri" w:hAnsi="Calibri"/>
                <w:b w:val="0"/>
                <w:i w:val="0"/>
                <w:color w:val="101828"/>
                <w:sz w:val="14"/>
              </w:rPr>
              <w:t>Celebration on a routine payment, countdown timers on due dates, urgency counts, marketing voice inside tier 2.</w:t>
            </w:r>
          </w:p>
        </w:tc>
      </w:tr>
      <w:tr>
        <w:trPr>
          <w:cantSplit/>
        </w:trPr>
        <w:tc>
          <w:tcPr>
            <w:tcW w:type="dxa" w:w="346"/>
            <w:tcMar>
              <w:top w:w="60" w:type="dxa"/>
              <w:start w:w="110" w:type="dxa"/>
              <w:bottom w:w="60" w:type="dxa"/>
              <w:end w:w="110" w:type="dxa"/>
            </w:tcMar>
          </w:tcPr>
          <w:p>
            <w:pPr>
              <w:spacing w:after="0"/>
            </w:pPr>
            <w:r/>
            <w:r>
              <w:rPr>
                <w:rFonts w:ascii="Calibri" w:hAnsi="Calibri"/>
                <w:b w:val="0"/>
                <w:i w:val="0"/>
                <w:color w:val="101828"/>
                <w:sz w:val="14"/>
              </w:rPr>
              <w:t>9</w:t>
            </w:r>
          </w:p>
        </w:tc>
        <w:tc>
          <w:tcPr>
            <w:tcW w:type="dxa" w:w="1584"/>
            <w:tcMar>
              <w:top w:w="60" w:type="dxa"/>
              <w:start w:w="110" w:type="dxa"/>
              <w:bottom w:w="60" w:type="dxa"/>
              <w:end w:w="110" w:type="dxa"/>
            </w:tcMar>
          </w:tcPr>
          <w:p>
            <w:pPr>
              <w:spacing w:after="0"/>
            </w:pPr>
            <w:r/>
            <w:r>
              <w:rPr>
                <w:rFonts w:ascii="Calibri" w:hAnsi="Calibri"/>
                <w:b/>
                <w:color w:val="101828"/>
                <w:sz w:val="14"/>
              </w:rPr>
              <w:t>Nothing is destroyed by a mis-tap</w:t>
            </w:r>
          </w:p>
        </w:tc>
        <w:tc>
          <w:tcPr>
            <w:tcW w:type="dxa" w:w="3744"/>
            <w:tcMar>
              <w:top w:w="60" w:type="dxa"/>
              <w:start w:w="110" w:type="dxa"/>
              <w:bottom w:w="60" w:type="dxa"/>
              <w:end w:w="110" w:type="dxa"/>
            </w:tcMar>
          </w:tcPr>
          <w:p>
            <w:pPr>
              <w:spacing w:after="0"/>
            </w:pPr>
            <w:r/>
            <w:r>
              <w:rPr>
                <w:rFonts w:ascii="Calibri" w:hAnsi="Calibri"/>
                <w:b w:val="0"/>
                <w:i w:val="0"/>
                <w:color w:val="101828"/>
                <w:sz w:val="14"/>
              </w:rPr>
              <w:t>Destructive actions are confirmed with a sheet that names the consequence, are never the default, and are never adjacent to the safe option.</w:t>
            </w:r>
          </w:p>
        </w:tc>
        <w:tc>
          <w:tcPr>
            <w:tcW w:type="dxa" w:w="3686"/>
            <w:tcMar>
              <w:top w:w="60" w:type="dxa"/>
              <w:start w:w="110" w:type="dxa"/>
              <w:bottom w:w="60" w:type="dxa"/>
              <w:end w:w="110" w:type="dxa"/>
            </w:tcMar>
          </w:tcPr>
          <w:p>
            <w:pPr>
              <w:spacing w:after="0"/>
            </w:pPr>
            <w:r/>
            <w:r>
              <w:rPr>
                <w:rFonts w:ascii="Calibri" w:hAnsi="Calibri"/>
                <w:b w:val="0"/>
                <w:i w:val="0"/>
                <w:color w:val="101828"/>
                <w:sz w:val="14"/>
              </w:rPr>
              <w:t>Swipe-to-delete on a financial record, tap-and-hold to commit, an icon-only trash control on a touch viewport.</w:t>
            </w:r>
          </w:p>
        </w:tc>
      </w:tr>
      <w:tr>
        <w:trPr>
          <w:cantSplit/>
        </w:trPr>
        <w:tc>
          <w:tcPr>
            <w:tcW w:type="dxa" w:w="346"/>
            <w:tcMar>
              <w:top w:w="60" w:type="dxa"/>
              <w:start w:w="110" w:type="dxa"/>
              <w:bottom w:w="60" w:type="dxa"/>
              <w:end w:w="110" w:type="dxa"/>
            </w:tcMar>
            <w:shd w:val="clear" w:color="auto" w:fill="F4F7FB"/>
          </w:tcPr>
          <w:p>
            <w:pPr>
              <w:spacing w:after="0"/>
            </w:pPr>
            <w:r/>
            <w:r>
              <w:rPr>
                <w:rFonts w:ascii="Calibri" w:hAnsi="Calibri"/>
                <w:b w:val="0"/>
                <w:i w:val="0"/>
                <w:color w:val="101828"/>
                <w:sz w:val="14"/>
              </w:rPr>
              <w:t>10</w:t>
            </w:r>
          </w:p>
        </w:tc>
        <w:tc>
          <w:tcPr>
            <w:tcW w:type="dxa" w:w="1584"/>
            <w:tcMar>
              <w:top w:w="60" w:type="dxa"/>
              <w:start w:w="110" w:type="dxa"/>
              <w:bottom w:w="60" w:type="dxa"/>
              <w:end w:w="110" w:type="dxa"/>
            </w:tcMar>
            <w:shd w:val="clear" w:color="auto" w:fill="F4F7FB"/>
          </w:tcPr>
          <w:p>
            <w:pPr>
              <w:spacing w:after="0"/>
            </w:pPr>
            <w:r/>
            <w:r>
              <w:rPr>
                <w:rFonts w:ascii="Calibri" w:hAnsi="Calibri"/>
                <w:b/>
                <w:color w:val="101828"/>
                <w:sz w:val="14"/>
              </w:rPr>
              <w:t>Say what the platform does not know</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4"/>
              </w:rPr>
              <w:t>Where something is unconfirmed the interface says it is unconfirmed, rather than inventing a reassurance. Custody and licensing is D-02, open.</w:t>
            </w:r>
          </w:p>
        </w:tc>
        <w:tc>
          <w:tcPr>
            <w:tcW w:type="dxa" w:w="3686"/>
            <w:tcMar>
              <w:top w:w="60" w:type="dxa"/>
              <w:start w:w="110" w:type="dxa"/>
              <w:bottom w:w="60" w:type="dxa"/>
              <w:end w:w="110" w:type="dxa"/>
            </w:tcMar>
            <w:shd w:val="clear" w:color="auto" w:fill="F4F7FB"/>
          </w:tcPr>
          <w:p>
            <w:pPr>
              <w:spacing w:after="0"/>
            </w:pPr>
            <w:r/>
            <w:r>
              <w:rPr>
                <w:rFonts w:ascii="Calibri" w:hAnsi="Calibri"/>
                <w:b w:val="0"/>
                <w:i w:val="0"/>
                <w:color w:val="101828"/>
                <w:sz w:val="14"/>
              </w:rPr>
              <w:t>Copy implying custody, deposit insurance, regulatory approval, or a partnership not confirmed in writing.</w:t>
            </w:r>
          </w:p>
        </w:tc>
      </w:tr>
    </w:tbl>
    <w:p>
      <w:pPr>
        <w:spacing w:after="80"/>
      </w:pPr>
    </w:p>
    <w:p>
      <w:pPr>
        <w:pStyle w:val="Heading3"/>
      </w:pPr>
      <w:r>
        <w:rPr>
          <w:rFonts w:ascii="Calibri" w:hAnsi="Calibri"/>
          <w:b/>
          <w:i w:val="0"/>
          <w:color w:val="0B1F3A"/>
          <w:sz w:val="24"/>
        </w:rPr>
        <w:t>4.1.2 Product tone: plain Nigerian English</w:t>
      </w:r>
    </w:p>
    <w:p>
      <w:r>
        <w:rPr>
          <w:rFonts w:ascii="Calibri" w:hAnsi="Calibri"/>
          <w:b w:val="0"/>
          <w:i w:val="0"/>
          <w:color w:val="101828"/>
          <w:sz w:val="21"/>
        </w:rPr>
        <w:t>The tone is a competent friend explaining something carefully — not a brand voice, and not a bank. It is warm without being warm at you, confident without being promotional, and it never assumes familiarity with finance.</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123"/>
            <w:shd w:val="clear" w:color="auto" w:fill="0B1F3A"/>
            <w:tcMar>
              <w:top w:w="60" w:type="dxa"/>
              <w:start w:w="110" w:type="dxa"/>
              <w:bottom w:w="60" w:type="dxa"/>
              <w:end w:w="110" w:type="dxa"/>
            </w:tcMar>
          </w:tcPr>
          <w:p>
            <w:pPr>
              <w:spacing w:after="0"/>
            </w:pPr>
            <w:r/>
            <w:r>
              <w:rPr>
                <w:rFonts w:ascii="Calibri" w:hAnsi="Calibri"/>
                <w:b/>
                <w:i w:val="0"/>
                <w:color w:val="FFFFFF"/>
                <w:sz w:val="14"/>
              </w:rPr>
              <w:t>Dimension</w:t>
            </w:r>
          </w:p>
        </w:tc>
        <w:tc>
          <w:tcPr>
            <w:tcW w:type="dxa" w:w="4320"/>
            <w:shd w:val="clear" w:color="auto" w:fill="0B1F3A"/>
            <w:tcMar>
              <w:top w:w="60" w:type="dxa"/>
              <w:start w:w="110" w:type="dxa"/>
              <w:bottom w:w="60" w:type="dxa"/>
              <w:end w:w="110" w:type="dxa"/>
            </w:tcMar>
          </w:tcPr>
          <w:p>
            <w:pPr>
              <w:spacing w:after="0"/>
            </w:pPr>
            <w:r/>
            <w:r>
              <w:rPr>
                <w:rFonts w:ascii="Calibri" w:hAnsi="Calibri"/>
                <w:b/>
                <w:i w:val="0"/>
                <w:color w:val="FFFFFF"/>
                <w:sz w:val="14"/>
              </w:rPr>
              <w:t>Rule</w:t>
            </w:r>
          </w:p>
        </w:tc>
        <w:tc>
          <w:tcPr>
            <w:tcW w:type="dxa" w:w="3917"/>
            <w:shd w:val="clear" w:color="auto" w:fill="0B1F3A"/>
            <w:tcMar>
              <w:top w:w="60" w:type="dxa"/>
              <w:start w:w="110" w:type="dxa"/>
              <w:bottom w:w="60" w:type="dxa"/>
              <w:end w:w="110" w:type="dxa"/>
            </w:tcMar>
          </w:tcPr>
          <w:p>
            <w:pPr>
              <w:spacing w:after="0"/>
            </w:pPr>
            <w:r/>
            <w:r>
              <w:rPr>
                <w:rFonts w:ascii="Calibri" w:hAnsi="Calibri"/>
                <w:b/>
                <w:i w:val="0"/>
                <w:color w:val="FFFFFF"/>
                <w:sz w:val="14"/>
              </w:rPr>
              <w:t>Because</w:t>
            </w:r>
          </w:p>
        </w:tc>
      </w:tr>
      <w:tr>
        <w:trPr>
          <w:cantSplit/>
        </w:trPr>
        <w:tc>
          <w:tcPr>
            <w:tcW w:type="dxa" w:w="1123"/>
            <w:tcMar>
              <w:top w:w="60" w:type="dxa"/>
              <w:start w:w="110" w:type="dxa"/>
              <w:bottom w:w="60" w:type="dxa"/>
              <w:end w:w="110" w:type="dxa"/>
            </w:tcMar>
          </w:tcPr>
          <w:p>
            <w:pPr>
              <w:spacing w:after="0"/>
            </w:pPr>
            <w:r/>
            <w:r>
              <w:rPr>
                <w:rFonts w:ascii="Calibri" w:hAnsi="Calibri"/>
                <w:b w:val="0"/>
                <w:i w:val="0"/>
                <w:color w:val="101828"/>
                <w:sz w:val="14"/>
              </w:rPr>
              <w:t>Sentence length</w:t>
            </w:r>
          </w:p>
        </w:tc>
        <w:tc>
          <w:tcPr>
            <w:tcW w:type="dxa" w:w="4320"/>
            <w:tcMar>
              <w:top w:w="60" w:type="dxa"/>
              <w:start w:w="110" w:type="dxa"/>
              <w:bottom w:w="60" w:type="dxa"/>
              <w:end w:w="110" w:type="dxa"/>
            </w:tcMar>
          </w:tcPr>
          <w:p>
            <w:pPr>
              <w:spacing w:after="0"/>
            </w:pPr>
            <w:r/>
            <w:r>
              <w:rPr>
                <w:rFonts w:ascii="Calibri" w:hAnsi="Calibri"/>
                <w:b w:val="0"/>
                <w:i w:val="0"/>
                <w:color w:val="101828"/>
                <w:sz w:val="14"/>
              </w:rPr>
              <w:t>Maximum 20 words in member-facing copy, 12 in a money surface. Two clauses maximum.</w:t>
            </w:r>
          </w:p>
        </w:tc>
        <w:tc>
          <w:tcPr>
            <w:tcW w:type="dxa" w:w="3917"/>
            <w:tcMar>
              <w:top w:w="60" w:type="dxa"/>
              <w:start w:w="110" w:type="dxa"/>
              <w:bottom w:w="60" w:type="dxa"/>
              <w:end w:w="110" w:type="dxa"/>
            </w:tcMar>
          </w:tcPr>
          <w:p>
            <w:pPr>
              <w:spacing w:after="0"/>
            </w:pPr>
            <w:r/>
            <w:r>
              <w:rPr>
                <w:rFonts w:ascii="Calibri" w:hAnsi="Calibri"/>
                <w:b w:val="0"/>
                <w:i w:val="0"/>
                <w:color w:val="101828"/>
                <w:sz w:val="14"/>
              </w:rPr>
              <w:t>A person reading on a 375 px screen in daylight parses one idea per line, and a money figure is unforgiving of ambiguity.</w:t>
            </w:r>
          </w:p>
        </w:tc>
      </w:tr>
      <w:tr>
        <w:trPr>
          <w:cantSplit/>
        </w:trPr>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Second person</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Always </w:t>
            </w:r>
            <w:r>
              <w:rPr>
                <w:rFonts w:ascii="Calibri" w:hAnsi="Calibri"/>
                <w:i/>
                <w:color w:val="101828"/>
                <w:sz w:val="14"/>
              </w:rPr>
              <w:t>you</w:t>
            </w:r>
            <w:r>
              <w:rPr>
                <w:rFonts w:ascii="Calibri" w:hAnsi="Calibri"/>
                <w:b w:val="0"/>
                <w:i w:val="0"/>
                <w:color w:val="101828"/>
                <w:sz w:val="14"/>
              </w:rPr>
              <w:t xml:space="preserve"> and </w:t>
            </w:r>
            <w:r>
              <w:rPr>
                <w:rFonts w:ascii="Calibri" w:hAnsi="Calibri"/>
                <w:i/>
                <w:color w:val="101828"/>
                <w:sz w:val="14"/>
              </w:rPr>
              <w:t>your</w:t>
            </w:r>
            <w:r>
              <w:rPr>
                <w:rFonts w:ascii="Calibri" w:hAnsi="Calibri"/>
                <w:b w:val="0"/>
                <w:i w:val="0"/>
                <w:color w:val="101828"/>
                <w:sz w:val="14"/>
              </w:rPr>
              <w:t xml:space="preserve">. Never </w:t>
            </w:r>
            <w:r>
              <w:rPr>
                <w:rFonts w:ascii="Calibri" w:hAnsi="Calibri"/>
                <w:i/>
                <w:color w:val="101828"/>
                <w:sz w:val="14"/>
              </w:rPr>
              <w:t>the user</w:t>
            </w:r>
            <w:r>
              <w:rPr>
                <w:rFonts w:ascii="Calibri" w:hAnsi="Calibri"/>
                <w:b w:val="0"/>
                <w:i w:val="0"/>
                <w:color w:val="101828"/>
                <w:sz w:val="14"/>
              </w:rPr>
              <w:t xml:space="preserve">, </w:t>
            </w:r>
            <w:r>
              <w:rPr>
                <w:rFonts w:ascii="Calibri" w:hAnsi="Calibri"/>
                <w:i/>
                <w:color w:val="101828"/>
                <w:sz w:val="14"/>
              </w:rPr>
              <w:t>the customer</w:t>
            </w:r>
            <w:r>
              <w:rPr>
                <w:rFonts w:ascii="Calibri" w:hAnsi="Calibri"/>
                <w:b w:val="0"/>
                <w:i w:val="0"/>
                <w:color w:val="101828"/>
                <w:sz w:val="14"/>
              </w:rPr>
              <w:t xml:space="preserve">, </w:t>
            </w:r>
            <w:r>
              <w:rPr>
                <w:rFonts w:ascii="Calibri" w:hAnsi="Calibri"/>
                <w:i/>
                <w:color w:val="101828"/>
                <w:sz w:val="14"/>
              </w:rPr>
              <w:t>the saver</w:t>
            </w:r>
            <w:r>
              <w:rPr>
                <w:rFonts w:ascii="Calibri" w:hAnsi="Calibri"/>
                <w:b w:val="0"/>
                <w:i w:val="0"/>
                <w:color w:val="101828"/>
                <w:sz w:val="14"/>
              </w:rPr>
              <w:t xml:space="preserve"> or </w:t>
            </w:r>
            <w:r>
              <w:rPr>
                <w:rFonts w:ascii="Calibri" w:hAnsi="Calibri"/>
                <w:i/>
                <w:color w:val="101828"/>
                <w:sz w:val="14"/>
              </w:rPr>
              <w:t>the member</w:t>
            </w:r>
            <w:r>
              <w:rPr>
                <w:rFonts w:ascii="Calibri" w:hAnsi="Calibri"/>
                <w:b w:val="0"/>
                <w:i w:val="0"/>
                <w:color w:val="101828"/>
                <w:sz w:val="14"/>
              </w:rPr>
              <w:t xml:space="preserve"> in member-facing copy.</w:t>
            </w:r>
          </w:p>
        </w:tc>
        <w:tc>
          <w:tcPr>
            <w:tcW w:type="dxa" w:w="3917"/>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 is a person in a savings group, not a segment. Third-person framing turns a commitment into a metric.</w:t>
            </w:r>
          </w:p>
        </w:tc>
      </w:tr>
      <w:tr>
        <w:trPr>
          <w:cantSplit/>
        </w:trPr>
        <w:tc>
          <w:tcPr>
            <w:tcW w:type="dxa" w:w="1123"/>
            <w:tcMar>
              <w:top w:w="60" w:type="dxa"/>
              <w:start w:w="110" w:type="dxa"/>
              <w:bottom w:w="60" w:type="dxa"/>
              <w:end w:w="110" w:type="dxa"/>
            </w:tcMar>
          </w:tcPr>
          <w:p>
            <w:pPr>
              <w:spacing w:after="0"/>
            </w:pPr>
            <w:r/>
            <w:r>
              <w:rPr>
                <w:rFonts w:ascii="Calibri" w:hAnsi="Calibri"/>
                <w:b w:val="0"/>
                <w:i w:val="0"/>
                <w:color w:val="101828"/>
                <w:sz w:val="14"/>
              </w:rPr>
              <w:t>Register</w:t>
            </w:r>
          </w:p>
        </w:tc>
        <w:tc>
          <w:tcPr>
            <w:tcW w:type="dxa" w:w="4320"/>
            <w:tcMar>
              <w:top w:w="60" w:type="dxa"/>
              <w:start w:w="110" w:type="dxa"/>
              <w:bottom w:w="60" w:type="dxa"/>
              <w:end w:w="110" w:type="dxa"/>
            </w:tcMar>
          </w:tcPr>
          <w:p>
            <w:pPr>
              <w:spacing w:after="0"/>
            </w:pPr>
            <w:r/>
            <w:r>
              <w:rPr>
                <w:rFonts w:ascii="Calibri" w:hAnsi="Calibri"/>
                <w:b w:val="0"/>
                <w:i w:val="0"/>
                <w:color w:val="101828"/>
                <w:sz w:val="14"/>
              </w:rPr>
              <w:t xml:space="preserve">Everyday English, with Nigerian spelling: </w:t>
            </w:r>
            <w:r>
              <w:rPr>
                <w:rFonts w:ascii="Calibri" w:hAnsi="Calibri"/>
                <w:i/>
                <w:color w:val="101828"/>
                <w:sz w:val="14"/>
              </w:rPr>
              <w:t>organiser</w:t>
            </w:r>
            <w:r>
              <w:rPr>
                <w:rFonts w:ascii="Calibri" w:hAnsi="Calibri"/>
                <w:b w:val="0"/>
                <w:i w:val="0"/>
                <w:color w:val="101828"/>
                <w:sz w:val="14"/>
              </w:rPr>
              <w:t xml:space="preserve">, </w:t>
            </w:r>
            <w:r>
              <w:rPr>
                <w:rFonts w:ascii="Calibri" w:hAnsi="Calibri"/>
                <w:i/>
                <w:color w:val="101828"/>
                <w:sz w:val="14"/>
              </w:rPr>
              <w:t>recognise</w:t>
            </w:r>
            <w:r>
              <w:rPr>
                <w:rFonts w:ascii="Calibri" w:hAnsi="Calibri"/>
                <w:b w:val="0"/>
                <w:i w:val="0"/>
                <w:color w:val="101828"/>
                <w:sz w:val="14"/>
              </w:rPr>
              <w:t xml:space="preserve">, </w:t>
            </w:r>
            <w:r>
              <w:rPr>
                <w:rFonts w:ascii="Calibri" w:hAnsi="Calibri"/>
                <w:i/>
                <w:color w:val="101828"/>
                <w:sz w:val="14"/>
              </w:rPr>
              <w:t>cancelled</w:t>
            </w:r>
            <w:r>
              <w:rPr>
                <w:rFonts w:ascii="Calibri" w:hAnsi="Calibri"/>
                <w:b w:val="0"/>
                <w:i w:val="0"/>
                <w:color w:val="101828"/>
                <w:sz w:val="14"/>
              </w:rPr>
              <w:t xml:space="preserve">. The product's own vocabulary is kept and not anglicised: </w:t>
            </w:r>
            <w:r>
              <w:rPr>
                <w:rFonts w:ascii="Calibri" w:hAnsi="Calibri"/>
                <w:i/>
                <w:color w:val="101828"/>
                <w:sz w:val="14"/>
              </w:rPr>
              <w:t>Ajo</w:t>
            </w:r>
            <w:r>
              <w:rPr>
                <w:rFonts w:ascii="Calibri" w:hAnsi="Calibri"/>
                <w:b w:val="0"/>
                <w:i w:val="0"/>
                <w:color w:val="101828"/>
                <w:sz w:val="14"/>
              </w:rPr>
              <w:t xml:space="preserve">, </w:t>
            </w:r>
            <w:r>
              <w:rPr>
                <w:rFonts w:ascii="Calibri" w:hAnsi="Calibri"/>
                <w:i/>
                <w:color w:val="101828"/>
                <w:sz w:val="14"/>
              </w:rPr>
              <w:t>esusu</w:t>
            </w:r>
            <w:r>
              <w:rPr>
                <w:rFonts w:ascii="Calibri" w:hAnsi="Calibri"/>
                <w:b w:val="0"/>
                <w:i w:val="0"/>
                <w:color w:val="101828"/>
                <w:sz w:val="14"/>
              </w:rPr>
              <w:t xml:space="preserve">, </w:t>
            </w:r>
            <w:r>
              <w:rPr>
                <w:rFonts w:ascii="Calibri" w:hAnsi="Calibri"/>
                <w:i/>
                <w:color w:val="101828"/>
                <w:sz w:val="14"/>
              </w:rPr>
              <w:t>round</w:t>
            </w:r>
            <w:r>
              <w:rPr>
                <w:rFonts w:ascii="Calibri" w:hAnsi="Calibri"/>
                <w:b w:val="0"/>
                <w:i w:val="0"/>
                <w:color w:val="101828"/>
                <w:sz w:val="14"/>
              </w:rPr>
              <w:t xml:space="preserve">, </w:t>
            </w:r>
            <w:r>
              <w:rPr>
                <w:rFonts w:ascii="Calibri" w:hAnsi="Calibri"/>
                <w:i/>
                <w:color w:val="101828"/>
                <w:sz w:val="14"/>
              </w:rPr>
              <w:t>position</w:t>
            </w:r>
            <w:r>
              <w:rPr>
                <w:rFonts w:ascii="Calibri" w:hAnsi="Calibri"/>
                <w:b w:val="0"/>
                <w:i w:val="0"/>
                <w:color w:val="101828"/>
                <w:sz w:val="14"/>
              </w:rPr>
              <w:t xml:space="preserve">, </w:t>
            </w:r>
            <w:r>
              <w:rPr>
                <w:rFonts w:ascii="Calibri" w:hAnsi="Calibri"/>
                <w:i/>
                <w:color w:val="101828"/>
                <w:sz w:val="14"/>
              </w:rPr>
              <w:t>contribution</w:t>
            </w:r>
            <w:r>
              <w:rPr>
                <w:rFonts w:ascii="Calibri" w:hAnsi="Calibri"/>
                <w:b w:val="0"/>
                <w:i w:val="0"/>
                <w:color w:val="101828"/>
                <w:sz w:val="14"/>
              </w:rPr>
              <w:t>.</w:t>
            </w:r>
          </w:p>
        </w:tc>
        <w:tc>
          <w:tcPr>
            <w:tcW w:type="dxa" w:w="3917"/>
            <w:tcMar>
              <w:top w:w="60" w:type="dxa"/>
              <w:start w:w="110" w:type="dxa"/>
              <w:bottom w:w="60" w:type="dxa"/>
              <w:end w:w="110" w:type="dxa"/>
            </w:tcMar>
          </w:tcPr>
          <w:p>
            <w:pPr>
              <w:spacing w:after="0"/>
            </w:pPr>
            <w:r/>
            <w:r>
              <w:rPr>
                <w:rFonts w:ascii="Calibri" w:hAnsi="Calibri"/>
                <w:b w:val="0"/>
                <w:i w:val="0"/>
                <w:color w:val="101828"/>
                <w:sz w:val="14"/>
              </w:rPr>
              <w:t xml:space="preserve">Translating the product's vocabulary breaks the conversation it is joining. A person who says </w:t>
            </w:r>
            <w:r>
              <w:rPr>
                <w:rFonts w:ascii="Calibri" w:hAnsi="Calibri"/>
                <w:i/>
                <w:color w:val="101828"/>
                <w:sz w:val="14"/>
              </w:rPr>
              <w:t>Ajo</w:t>
            </w:r>
            <w:r>
              <w:rPr>
                <w:rFonts w:ascii="Calibri" w:hAnsi="Calibri"/>
                <w:b w:val="0"/>
                <w:i w:val="0"/>
                <w:color w:val="101828"/>
                <w:sz w:val="14"/>
              </w:rPr>
              <w:t xml:space="preserve"> should see </w:t>
            </w:r>
            <w:r>
              <w:rPr>
                <w:rFonts w:ascii="Calibri" w:hAnsi="Calibri"/>
                <w:i/>
                <w:color w:val="101828"/>
                <w:sz w:val="14"/>
              </w:rPr>
              <w:t>Ajo</w:t>
            </w:r>
            <w:r>
              <w:rPr>
                <w:rFonts w:ascii="Calibri" w:hAnsi="Calibri"/>
                <w:b w:val="0"/>
                <w:i w:val="0"/>
                <w:color w:val="101828"/>
                <w:sz w:val="14"/>
              </w:rPr>
              <w:t xml:space="preserve"> on screen.</w:t>
            </w:r>
          </w:p>
        </w:tc>
      </w:tr>
      <w:tr>
        <w:trPr>
          <w:cantSplit/>
        </w:trPr>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Pidgin</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4"/>
              </w:rPr>
              <w:t>Not used in written copy and not policed in support conversations. Support agents may write as the member writes, provided the record stays legible.</w:t>
            </w:r>
          </w:p>
        </w:tc>
        <w:tc>
          <w:tcPr>
            <w:tcW w:type="dxa" w:w="3917"/>
            <w:tcMar>
              <w:top w:w="60" w:type="dxa"/>
              <w:start w:w="110" w:type="dxa"/>
              <w:bottom w:w="60" w:type="dxa"/>
              <w:end w:w="110" w:type="dxa"/>
            </w:tcMar>
            <w:shd w:val="clear" w:color="auto" w:fill="F4F7FB"/>
          </w:tcPr>
          <w:p>
            <w:pPr>
              <w:spacing w:after="0"/>
            </w:pPr>
            <w:r/>
            <w:r>
              <w:rPr>
                <w:rFonts w:ascii="Calibri" w:hAnsi="Calibri"/>
                <w:b w:val="0"/>
                <w:i w:val="0"/>
                <w:color w:val="101828"/>
                <w:sz w:val="14"/>
              </w:rPr>
              <w:t>Forcing a register onto someone who does not use it in speech is patronising; forcing their register into a record is unprofessional.</w:t>
            </w:r>
          </w:p>
        </w:tc>
      </w:tr>
      <w:tr>
        <w:trPr>
          <w:cantSplit/>
        </w:trPr>
        <w:tc>
          <w:tcPr>
            <w:tcW w:type="dxa" w:w="1123"/>
            <w:tcMar>
              <w:top w:w="60" w:type="dxa"/>
              <w:start w:w="110" w:type="dxa"/>
              <w:bottom w:w="60" w:type="dxa"/>
              <w:end w:w="110" w:type="dxa"/>
            </w:tcMar>
          </w:tcPr>
          <w:p>
            <w:pPr>
              <w:spacing w:after="0"/>
            </w:pPr>
            <w:r/>
            <w:r>
              <w:rPr>
                <w:rFonts w:ascii="Calibri" w:hAnsi="Calibri"/>
                <w:b w:val="0"/>
                <w:i w:val="0"/>
                <w:color w:val="101828"/>
                <w:sz w:val="14"/>
              </w:rPr>
              <w:t>Numbers</w:t>
            </w:r>
          </w:p>
        </w:tc>
        <w:tc>
          <w:tcPr>
            <w:tcW w:type="dxa" w:w="4320"/>
            <w:tcMar>
              <w:top w:w="60" w:type="dxa"/>
              <w:start w:w="110" w:type="dxa"/>
              <w:bottom w:w="60" w:type="dxa"/>
              <w:end w:w="110" w:type="dxa"/>
            </w:tcMar>
          </w:tcPr>
          <w:p>
            <w:pPr>
              <w:spacing w:after="0"/>
            </w:pPr>
            <w:r/>
            <w:r>
              <w:rPr>
                <w:rFonts w:ascii="Calibri" w:hAnsi="Calibri"/>
                <w:b w:val="0"/>
                <w:i w:val="0"/>
                <w:color w:val="101828"/>
                <w:sz w:val="14"/>
              </w:rPr>
              <w:t xml:space="preserve">Amounts as </w:t>
            </w:r>
            <w:r>
              <w:rPr>
                <w:rFonts w:ascii="Consolas" w:hAnsi="Consolas"/>
                <w:color w:val="146EF5"/>
                <w:sz w:val="14"/>
              </w:rPr>
              <w:t>NGN 1,020.00</w:t>
            </w:r>
            <w:r>
              <w:rPr>
                <w:rFonts w:ascii="Calibri" w:hAnsi="Calibri"/>
                <w:b w:val="0"/>
                <w:i w:val="0"/>
                <w:color w:val="101828"/>
                <w:sz w:val="14"/>
              </w:rPr>
              <w:t xml:space="preserve">. Counts as numerals. Dates as </w:t>
            </w:r>
            <w:r>
              <w:rPr>
                <w:rFonts w:ascii="Consolas" w:hAnsi="Consolas"/>
                <w:color w:val="146EF5"/>
                <w:sz w:val="14"/>
              </w:rPr>
              <w:t>20 Nov 2026</w:t>
            </w:r>
            <w:r>
              <w:rPr>
                <w:rFonts w:ascii="Calibri" w:hAnsi="Calibri"/>
                <w:b w:val="0"/>
                <w:i w:val="0"/>
                <w:color w:val="101828"/>
                <w:sz w:val="14"/>
              </w:rPr>
              <w:t xml:space="preserve">, never </w:t>
            </w:r>
            <w:r>
              <w:rPr>
                <w:rFonts w:ascii="Consolas" w:hAnsi="Consolas"/>
                <w:color w:val="146EF5"/>
                <w:sz w:val="14"/>
              </w:rPr>
              <w:t>11/20/2026</w:t>
            </w:r>
            <w:r>
              <w:rPr>
                <w:rFonts w:ascii="Calibri" w:hAnsi="Calibri"/>
                <w:b w:val="0"/>
                <w:i w:val="0"/>
                <w:color w:val="101828"/>
                <w:sz w:val="14"/>
              </w:rPr>
              <w:t>.</w:t>
            </w:r>
          </w:p>
        </w:tc>
        <w:tc>
          <w:tcPr>
            <w:tcW w:type="dxa" w:w="3917"/>
            <w:tcMar>
              <w:top w:w="60" w:type="dxa"/>
              <w:start w:w="110" w:type="dxa"/>
              <w:bottom w:w="60" w:type="dxa"/>
              <w:end w:w="110" w:type="dxa"/>
            </w:tcMar>
          </w:tcPr>
          <w:p>
            <w:pPr>
              <w:spacing w:after="0"/>
            </w:pPr>
            <w:r/>
            <w:r>
              <w:rPr>
                <w:rFonts w:ascii="Consolas" w:hAnsi="Consolas"/>
                <w:color w:val="146EF5"/>
                <w:sz w:val="14"/>
              </w:rPr>
              <w:t>NGN 1,020.00</w:t>
            </w:r>
            <w:r>
              <w:rPr>
                <w:rFonts w:ascii="Calibri" w:hAnsi="Calibri"/>
                <w:b w:val="0"/>
                <w:i w:val="0"/>
                <w:color w:val="101828"/>
                <w:sz w:val="14"/>
              </w:rPr>
              <w:t xml:space="preserve"> is unambiguous on every device, in every font, in every export, and survives being read aloud on a phone call to support.</w:t>
            </w:r>
          </w:p>
        </w:tc>
      </w:tr>
      <w:tr>
        <w:trPr>
          <w:cantSplit/>
        </w:trPr>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Voice of errors</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Second person, present tense, states the fact and the next step. </w:t>
            </w:r>
            <w:r>
              <w:rPr>
                <w:rFonts w:ascii="Calibri" w:hAnsi="Calibri"/>
                <w:i/>
                <w:color w:val="101828"/>
                <w:sz w:val="14"/>
              </w:rPr>
              <w:t>Your payment did not go through. Your bank declined it. Try another method or contact your bank.</w:t>
            </w:r>
          </w:p>
        </w:tc>
        <w:tc>
          <w:tcPr>
            <w:tcW w:type="dxa" w:w="3917"/>
            <w:tcMar>
              <w:top w:w="60" w:type="dxa"/>
              <w:start w:w="110" w:type="dxa"/>
              <w:bottom w:w="60" w:type="dxa"/>
              <w:end w:w="110" w:type="dxa"/>
            </w:tcMar>
            <w:shd w:val="clear" w:color="auto" w:fill="F4F7FB"/>
          </w:tcPr>
          <w:p>
            <w:pPr>
              <w:spacing w:after="0"/>
            </w:pPr>
            <w:r/>
            <w:r>
              <w:rPr>
                <w:rFonts w:ascii="Calibri" w:hAnsi="Calibri"/>
                <w:i/>
                <w:color w:val="101828"/>
                <w:sz w:val="14"/>
              </w:rPr>
              <w:t>Payment failed</w:t>
            </w:r>
            <w:r>
              <w:rPr>
                <w:rFonts w:ascii="Calibri" w:hAnsi="Calibri"/>
                <w:b w:val="0"/>
                <w:i w:val="0"/>
                <w:color w:val="101828"/>
                <w:sz w:val="14"/>
              </w:rPr>
              <w:t xml:space="preserve"> reports a system state. The other sentence reports what happened to the person, which is what they need.</w:t>
            </w:r>
          </w:p>
        </w:tc>
      </w:tr>
      <w:tr>
        <w:trPr>
          <w:cantSplit/>
        </w:trPr>
        <w:tc>
          <w:tcPr>
            <w:tcW w:type="dxa" w:w="1123"/>
            <w:tcMar>
              <w:top w:w="60" w:type="dxa"/>
              <w:start w:w="110" w:type="dxa"/>
              <w:bottom w:w="60" w:type="dxa"/>
              <w:end w:w="110" w:type="dxa"/>
            </w:tcMar>
          </w:tcPr>
          <w:p>
            <w:pPr>
              <w:spacing w:after="0"/>
            </w:pPr>
            <w:r/>
            <w:r>
              <w:rPr>
                <w:rFonts w:ascii="Calibri" w:hAnsi="Calibri"/>
                <w:b w:val="0"/>
                <w:i w:val="0"/>
                <w:color w:val="101828"/>
                <w:sz w:val="14"/>
              </w:rPr>
              <w:t>No exclamation marks</w:t>
            </w:r>
          </w:p>
        </w:tc>
        <w:tc>
          <w:tcPr>
            <w:tcW w:type="dxa" w:w="4320"/>
            <w:tcMar>
              <w:top w:w="60" w:type="dxa"/>
              <w:start w:w="110" w:type="dxa"/>
              <w:bottom w:w="60" w:type="dxa"/>
              <w:end w:w="110" w:type="dxa"/>
            </w:tcMar>
          </w:tcPr>
          <w:p>
            <w:pPr>
              <w:spacing w:after="0"/>
            </w:pPr>
            <w:r/>
            <w:r>
              <w:rPr>
                <w:rFonts w:ascii="Calibri" w:hAnsi="Calibri"/>
                <w:b w:val="0"/>
                <w:i w:val="0"/>
                <w:color w:val="101828"/>
                <w:sz w:val="14"/>
              </w:rPr>
              <w:t>In tier 1, tier 2, tier 3 and every transactional message, except the contact form acknowledgement.</w:t>
            </w:r>
          </w:p>
        </w:tc>
        <w:tc>
          <w:tcPr>
            <w:tcW w:type="dxa" w:w="3917"/>
            <w:tcMar>
              <w:top w:w="60" w:type="dxa"/>
              <w:start w:w="110" w:type="dxa"/>
              <w:bottom w:w="60" w:type="dxa"/>
              <w:end w:w="110" w:type="dxa"/>
            </w:tcMar>
          </w:tcPr>
          <w:p>
            <w:pPr>
              <w:spacing w:after="0"/>
            </w:pPr>
            <w:r/>
            <w:r>
              <w:rPr>
                <w:rFonts w:ascii="Calibri" w:hAnsi="Calibri"/>
                <w:b w:val="0"/>
                <w:i w:val="0"/>
                <w:color w:val="101828"/>
                <w:sz w:val="14"/>
              </w:rPr>
              <w:t xml:space="preserve">A receipt that says </w:t>
            </w:r>
            <w:r>
              <w:rPr>
                <w:rFonts w:ascii="Calibri" w:hAnsi="Calibri"/>
                <w:i/>
                <w:color w:val="101828"/>
                <w:sz w:val="14"/>
              </w:rPr>
              <w:t>Payment successful!</w:t>
            </w:r>
            <w:r>
              <w:rPr>
                <w:rFonts w:ascii="Calibri" w:hAnsi="Calibri"/>
                <w:b w:val="0"/>
                <w:i w:val="0"/>
                <w:color w:val="101828"/>
                <w:sz w:val="14"/>
              </w:rPr>
              <w:t xml:space="preserve"> is a receipt that has started selling.</w:t>
            </w:r>
          </w:p>
        </w:tc>
      </w:tr>
      <w:tr>
        <w:trPr>
          <w:cantSplit/>
        </w:trPr>
        <w:tc>
          <w:tcPr>
            <w:tcW w:type="dxa" w:w="1123"/>
            <w:tcMar>
              <w:top w:w="60" w:type="dxa"/>
              <w:start w:w="110" w:type="dxa"/>
              <w:bottom w:w="60" w:type="dxa"/>
              <w:end w:w="110" w:type="dxa"/>
            </w:tcMar>
            <w:shd w:val="clear" w:color="auto" w:fill="F4F7FB"/>
          </w:tcPr>
          <w:p>
            <w:pPr>
              <w:spacing w:after="0"/>
            </w:pPr>
            <w:r/>
            <w:r>
              <w:rPr>
                <w:rFonts w:ascii="Calibri" w:hAnsi="Calibri"/>
                <w:b w:val="0"/>
                <w:i w:val="0"/>
                <w:color w:val="101828"/>
                <w:sz w:val="14"/>
              </w:rPr>
              <w:t>Emoji</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4"/>
              </w:rPr>
              <w:t>Prohibited in tier 2 and tier 3 product copy. Permitted in transactional SMS only, only one, and only where it improves a glanceable state.</w:t>
            </w:r>
          </w:p>
        </w:tc>
        <w:tc>
          <w:tcPr>
            <w:tcW w:type="dxa" w:w="3917"/>
            <w:tcMar>
              <w:top w:w="60" w:type="dxa"/>
              <w:start w:w="110" w:type="dxa"/>
              <w:bottom w:w="60" w:type="dxa"/>
              <w:end w:w="110" w:type="dxa"/>
            </w:tcMar>
            <w:shd w:val="clear" w:color="auto" w:fill="F4F7FB"/>
          </w:tcPr>
          <w:p>
            <w:pPr>
              <w:spacing w:after="0"/>
            </w:pPr>
            <w:r/>
            <w:r>
              <w:rPr>
                <w:rFonts w:ascii="Calibri" w:hAnsi="Calibri"/>
                <w:b w:val="0"/>
                <w:i w:val="0"/>
                <w:color w:val="101828"/>
                <w:sz w:val="14"/>
              </w:rPr>
              <w:t>An emoji is a tone decision a component should not be making on the product's behalf.</w:t>
            </w:r>
          </w:p>
        </w:tc>
      </w:tr>
    </w:tbl>
    <w:p>
      <w:pPr>
        <w:spacing w:after="80"/>
      </w:pPr>
    </w:p>
    <w:p>
      <w:pPr>
        <w:pStyle w:val="Heading3"/>
      </w:pPr>
      <w:r>
        <w:rPr>
          <w:rFonts w:ascii="Calibri" w:hAnsi="Calibri"/>
          <w:b/>
          <w:i w:val="0"/>
          <w:color w:val="0B1F3A"/>
          <w:sz w:val="24"/>
        </w:rPr>
        <w:t>4.1.3 Dark patterns: prohibited patterns and their permitted alternative</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930"/>
            <w:shd w:val="clear" w:color="auto" w:fill="0B1F3A"/>
            <w:tcMar>
              <w:top w:w="60" w:type="dxa"/>
              <w:start w:w="110" w:type="dxa"/>
              <w:bottom w:w="60" w:type="dxa"/>
              <w:end w:w="110" w:type="dxa"/>
            </w:tcMar>
          </w:tcPr>
          <w:p>
            <w:pPr>
              <w:spacing w:after="0"/>
            </w:pPr>
            <w:r/>
            <w:r>
              <w:rPr>
                <w:rFonts w:ascii="Calibri" w:hAnsi="Calibri"/>
                <w:b/>
                <w:i w:val="0"/>
                <w:color w:val="FFFFFF"/>
                <w:sz w:val="14"/>
              </w:rPr>
              <w:t>Prohibited pattern</w:t>
            </w:r>
          </w:p>
        </w:tc>
        <w:tc>
          <w:tcPr>
            <w:tcW w:type="dxa" w:w="2678"/>
            <w:shd w:val="clear" w:color="auto" w:fill="0B1F3A"/>
            <w:tcMar>
              <w:top w:w="60" w:type="dxa"/>
              <w:start w:w="110" w:type="dxa"/>
              <w:bottom w:w="60" w:type="dxa"/>
              <w:end w:w="110" w:type="dxa"/>
            </w:tcMar>
          </w:tcPr>
          <w:p>
            <w:pPr>
              <w:spacing w:after="0"/>
            </w:pPr>
            <w:r/>
            <w:r>
              <w:rPr>
                <w:rFonts w:ascii="Calibri" w:hAnsi="Calibri"/>
                <w:b/>
                <w:i w:val="0"/>
                <w:color w:val="FFFFFF"/>
                <w:sz w:val="14"/>
              </w:rPr>
              <w:t>Where it would be tempting</w:t>
            </w:r>
          </w:p>
        </w:tc>
        <w:tc>
          <w:tcPr>
            <w:tcW w:type="dxa" w:w="4752"/>
            <w:shd w:val="clear" w:color="auto" w:fill="0B1F3A"/>
            <w:tcMar>
              <w:top w:w="60" w:type="dxa"/>
              <w:start w:w="110" w:type="dxa"/>
              <w:bottom w:w="60" w:type="dxa"/>
              <w:end w:w="110" w:type="dxa"/>
            </w:tcMar>
          </w:tcPr>
          <w:p>
            <w:pPr>
              <w:spacing w:after="0"/>
            </w:pPr>
            <w:r/>
            <w:r>
              <w:rPr>
                <w:rFonts w:ascii="Calibri" w:hAnsi="Calibri"/>
                <w:b/>
                <w:i w:val="0"/>
                <w:color w:val="FFFFFF"/>
                <w:sz w:val="14"/>
              </w:rPr>
              <w:t>The permitted alternative</w:t>
            </w:r>
          </w:p>
        </w:tc>
      </w:tr>
      <w:tr>
        <w:trPr>
          <w:cantSplit/>
        </w:trPr>
        <w:tc>
          <w:tcPr>
            <w:tcW w:type="dxa" w:w="1930"/>
            <w:tcMar>
              <w:top w:w="60" w:type="dxa"/>
              <w:start w:w="110" w:type="dxa"/>
              <w:bottom w:w="60" w:type="dxa"/>
              <w:end w:w="110" w:type="dxa"/>
            </w:tcMar>
          </w:tcPr>
          <w:p>
            <w:pPr>
              <w:spacing w:after="0"/>
            </w:pPr>
            <w:r/>
            <w:r>
              <w:rPr>
                <w:rFonts w:ascii="Calibri" w:hAnsi="Calibri"/>
                <w:b w:val="0"/>
                <w:i w:val="0"/>
                <w:color w:val="101828"/>
                <w:sz w:val="14"/>
              </w:rPr>
              <w:t>Email capture before the fee is shown</w:t>
            </w:r>
          </w:p>
        </w:tc>
        <w:tc>
          <w:tcPr>
            <w:tcW w:type="dxa" w:w="2678"/>
            <w:tcMar>
              <w:top w:w="60" w:type="dxa"/>
              <w:start w:w="110" w:type="dxa"/>
              <w:bottom w:w="60" w:type="dxa"/>
              <w:end w:w="110" w:type="dxa"/>
            </w:tcMar>
          </w:tcPr>
          <w:p>
            <w:pPr>
              <w:spacing w:after="0"/>
            </w:pPr>
            <w:r/>
            <w:r>
              <w:rPr>
                <w:rFonts w:ascii="Calibri" w:hAnsi="Calibri"/>
                <w:b w:val="0"/>
                <w:i w:val="0"/>
                <w:color w:val="101828"/>
                <w:sz w:val="14"/>
              </w:rPr>
              <w:t>The marketing hero, the highest-traffic surface in the product</w:t>
            </w:r>
          </w:p>
        </w:tc>
        <w:tc>
          <w:tcPr>
            <w:tcW w:type="dxa" w:w="4752"/>
            <w:tcMar>
              <w:top w:w="60" w:type="dxa"/>
              <w:start w:w="110" w:type="dxa"/>
              <w:bottom w:w="60" w:type="dxa"/>
              <w:end w:w="110" w:type="dxa"/>
            </w:tcMar>
          </w:tcPr>
          <w:p>
            <w:pPr>
              <w:spacing w:after="0"/>
            </w:pPr>
            <w:r/>
            <w:r>
              <w:rPr>
                <w:rFonts w:ascii="Calibri" w:hAnsi="Calibri"/>
                <w:b w:val="0"/>
                <w:i w:val="0"/>
                <w:color w:val="101828"/>
                <w:sz w:val="14"/>
              </w:rPr>
              <w:t>Show the worked example — NGN 1,000.00 contribution, NGN 20.00 fee, NGN 1,020.00 charged, NGN 10,000.00 received — above the fold, ungated. A calculator is permitted; a form that captures an address is not.</w:t>
            </w:r>
          </w:p>
        </w:tc>
      </w:tr>
      <w:tr>
        <w:trPr>
          <w:cantSplit/>
        </w:trPr>
        <w:tc>
          <w:tcPr>
            <w:tcW w:type="dxa" w:w="1930"/>
            <w:tcMar>
              <w:top w:w="60" w:type="dxa"/>
              <w:start w:w="110" w:type="dxa"/>
              <w:bottom w:w="60" w:type="dxa"/>
              <w:end w:w="110" w:type="dxa"/>
            </w:tcMar>
            <w:shd w:val="clear" w:color="auto" w:fill="F4F7FB"/>
          </w:tcPr>
          <w:p>
            <w:pPr>
              <w:spacing w:after="0"/>
            </w:pPr>
            <w:r/>
            <w:r>
              <w:rPr>
                <w:rFonts w:ascii="Calibri" w:hAnsi="Calibri"/>
                <w:b w:val="0"/>
                <w:i w:val="0"/>
                <w:color w:val="101828"/>
                <w:sz w:val="14"/>
              </w:rPr>
              <w:t>Preselected payment method</w:t>
            </w:r>
          </w:p>
        </w:tc>
        <w:tc>
          <w:tcPr>
            <w:tcW w:type="dxa" w:w="2678"/>
            <w:tcMar>
              <w:top w:w="60" w:type="dxa"/>
              <w:start w:w="110" w:type="dxa"/>
              <w:bottom w:w="60" w:type="dxa"/>
              <w:end w:w="110" w:type="dxa"/>
            </w:tcMar>
            <w:shd w:val="clear" w:color="auto" w:fill="F4F7FB"/>
          </w:tcPr>
          <w:p>
            <w:pPr>
              <w:spacing w:after="0"/>
            </w:pPr>
            <w:r/>
            <w:r>
              <w:rPr>
                <w:rFonts w:ascii="Calibri" w:hAnsi="Calibri"/>
                <w:b w:val="0"/>
                <w:i w:val="0"/>
                <w:color w:val="101828"/>
                <w:sz w:val="14"/>
              </w:rPr>
              <w:t>The pay screen, to save a tap</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4"/>
              </w:rPr>
              <w:t>No method selected on first view. The member picks, sees the amount they are about to be charged, then commits. One extra tap is the price of an informed payment.</w:t>
            </w:r>
          </w:p>
        </w:tc>
      </w:tr>
      <w:tr>
        <w:trPr>
          <w:cantSplit/>
        </w:trPr>
        <w:tc>
          <w:tcPr>
            <w:tcW w:type="dxa" w:w="1930"/>
            <w:tcMar>
              <w:top w:w="60" w:type="dxa"/>
              <w:start w:w="110" w:type="dxa"/>
              <w:bottom w:w="60" w:type="dxa"/>
              <w:end w:w="110" w:type="dxa"/>
            </w:tcMar>
          </w:tcPr>
          <w:p>
            <w:pPr>
              <w:spacing w:after="0"/>
            </w:pPr>
            <w:r/>
            <w:r>
              <w:rPr>
                <w:rFonts w:ascii="Calibri" w:hAnsi="Calibri"/>
                <w:b w:val="0"/>
                <w:i w:val="0"/>
                <w:color w:val="101828"/>
                <w:sz w:val="14"/>
              </w:rPr>
              <w:t>Countdown timer on a due date or the enrolment window</w:t>
            </w:r>
          </w:p>
        </w:tc>
        <w:tc>
          <w:tcPr>
            <w:tcW w:type="dxa" w:w="2678"/>
            <w:tcMar>
              <w:top w:w="60" w:type="dxa"/>
              <w:start w:w="110" w:type="dxa"/>
              <w:bottom w:w="60" w:type="dxa"/>
              <w:end w:w="110" w:type="dxa"/>
            </w:tcMar>
          </w:tcPr>
          <w:p>
            <w:pPr>
              <w:spacing w:after="0"/>
            </w:pPr>
            <w:r/>
            <w:r>
              <w:rPr>
                <w:rFonts w:ascii="Calibri" w:hAnsi="Calibri"/>
                <w:b w:val="0"/>
                <w:i w:val="0"/>
                <w:color w:val="101828"/>
                <w:sz w:val="14"/>
              </w:rPr>
              <w:t>Ajo Detail, the wizard review step, the enrolment banner</w:t>
            </w:r>
          </w:p>
        </w:tc>
        <w:tc>
          <w:tcPr>
            <w:tcW w:type="dxa" w:w="4752"/>
            <w:tcMar>
              <w:top w:w="60" w:type="dxa"/>
              <w:start w:w="110" w:type="dxa"/>
              <w:bottom w:w="60" w:type="dxa"/>
              <w:end w:w="110" w:type="dxa"/>
            </w:tcMar>
          </w:tcPr>
          <w:p>
            <w:pPr>
              <w:spacing w:after="0"/>
            </w:pPr>
            <w:r/>
            <w:r>
              <w:rPr>
                <w:rFonts w:ascii="Calibri" w:hAnsi="Calibri"/>
                <w:b w:val="0"/>
                <w:i w:val="0"/>
                <w:color w:val="101828"/>
                <w:sz w:val="14"/>
              </w:rPr>
              <w:t xml:space="preserve">A plain date and a plain consequence. </w:t>
            </w:r>
            <w:r>
              <w:rPr>
                <w:rFonts w:ascii="Calibri" w:hAnsi="Calibri"/>
                <w:i/>
                <w:color w:val="101828"/>
                <w:sz w:val="14"/>
              </w:rPr>
              <w:t>Enrolment closes on 14 Nov 2026. If it does not fill, everyone is refunded in full.</w:t>
            </w:r>
            <w:r>
              <w:rPr>
                <w:rFonts w:ascii="Calibri" w:hAnsi="Calibri"/>
                <w:b w:val="0"/>
                <w:i w:val="0"/>
                <w:color w:val="101828"/>
                <w:sz w:val="14"/>
              </w:rPr>
              <w:t xml:space="preserve"> A live timer creates pressure that is not in the product, and is unfair to a member on a slow connection.</w:t>
            </w:r>
          </w:p>
        </w:tc>
      </w:tr>
      <w:tr>
        <w:trPr>
          <w:cantSplit/>
        </w:trPr>
        <w:tc>
          <w:tcPr>
            <w:tcW w:type="dxa" w:w="1930"/>
            <w:tcMar>
              <w:top w:w="60" w:type="dxa"/>
              <w:start w:w="110" w:type="dxa"/>
              <w:bottom w:w="60" w:type="dxa"/>
              <w:end w:w="110" w:type="dxa"/>
            </w:tcMar>
            <w:shd w:val="clear" w:color="auto" w:fill="F4F7FB"/>
          </w:tcPr>
          <w:p>
            <w:pPr>
              <w:spacing w:after="0"/>
            </w:pPr>
            <w:r/>
            <w:r>
              <w:rPr>
                <w:rFonts w:ascii="Calibri" w:hAnsi="Calibri"/>
                <w:b w:val="0"/>
                <w:i w:val="0"/>
                <w:color w:val="101828"/>
                <w:sz w:val="14"/>
              </w:rPr>
              <w:t>Streaks, badges or a defaulting leaderboard</w:t>
            </w:r>
          </w:p>
        </w:tc>
        <w:tc>
          <w:tcPr>
            <w:tcW w:type="dxa" w:w="2678"/>
            <w:tcMar>
              <w:top w:w="60" w:type="dxa"/>
              <w:start w:w="110" w:type="dxa"/>
              <w:bottom w:w="60" w:type="dxa"/>
              <w:end w:w="110" w:type="dxa"/>
            </w:tcMar>
            <w:shd w:val="clear" w:color="auto" w:fill="F4F7FB"/>
          </w:tcPr>
          <w:p>
            <w:pPr>
              <w:spacing w:after="0"/>
            </w:pPr>
            <w:r/>
            <w:r>
              <w:rPr>
                <w:rFonts w:ascii="Calibri" w:hAnsi="Calibri"/>
                <w:b w:val="0"/>
                <w:i w:val="0"/>
                <w:color w:val="101828"/>
                <w:sz w:val="14"/>
              </w:rPr>
              <w:t>The dashboard, to create a habit loop</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4"/>
              </w:rPr>
              <w:t>Nothing. Defaulting is private between the member, the organiser and platform risk (CAN §4). A roster visible to ten people is not a place to display a missed payment beyond the organiser's need to chase it.</w:t>
            </w:r>
          </w:p>
        </w:tc>
      </w:tr>
      <w:tr>
        <w:trPr>
          <w:cantSplit/>
        </w:trPr>
        <w:tc>
          <w:tcPr>
            <w:tcW w:type="dxa" w:w="1930"/>
            <w:tcMar>
              <w:top w:w="60" w:type="dxa"/>
              <w:start w:w="110" w:type="dxa"/>
              <w:bottom w:w="60" w:type="dxa"/>
              <w:end w:w="110" w:type="dxa"/>
            </w:tcMar>
          </w:tcPr>
          <w:p>
            <w:pPr>
              <w:spacing w:after="0"/>
            </w:pPr>
            <w:r/>
            <w:r>
              <w:rPr>
                <w:rFonts w:ascii="Calibri" w:hAnsi="Calibri"/>
                <w:b w:val="0"/>
                <w:i w:val="0"/>
                <w:color w:val="101828"/>
                <w:sz w:val="14"/>
              </w:rPr>
              <w:t>Cancellation harder to find than payment</w:t>
            </w:r>
          </w:p>
        </w:tc>
        <w:tc>
          <w:tcPr>
            <w:tcW w:type="dxa" w:w="2678"/>
            <w:tcMar>
              <w:top w:w="60" w:type="dxa"/>
              <w:start w:w="110" w:type="dxa"/>
              <w:bottom w:w="60" w:type="dxa"/>
              <w:end w:w="110" w:type="dxa"/>
            </w:tcMar>
          </w:tcPr>
          <w:p>
            <w:pPr>
              <w:spacing w:after="0"/>
            </w:pPr>
            <w:r/>
            <w:r>
              <w:rPr>
                <w:rFonts w:ascii="Calibri" w:hAnsi="Calibri"/>
                <w:b w:val="0"/>
                <w:i w:val="0"/>
                <w:color w:val="101828"/>
                <w:sz w:val="14"/>
              </w:rPr>
              <w:t>Account closure, Ajo cancellation, dispute withdrawal</w:t>
            </w:r>
          </w:p>
        </w:tc>
        <w:tc>
          <w:tcPr>
            <w:tcW w:type="dxa" w:w="4752"/>
            <w:tcMar>
              <w:top w:w="60" w:type="dxa"/>
              <w:start w:w="110" w:type="dxa"/>
              <w:bottom w:w="60" w:type="dxa"/>
              <w:end w:w="110" w:type="dxa"/>
            </w:tcMar>
          </w:tcPr>
          <w:p>
            <w:pPr>
              <w:spacing w:after="0"/>
            </w:pPr>
            <w:r/>
            <w:r>
              <w:rPr>
                <w:rFonts w:ascii="Calibri" w:hAnsi="Calibri"/>
                <w:b w:val="0"/>
                <w:i w:val="0"/>
                <w:color w:val="101828"/>
                <w:sz w:val="14"/>
              </w:rPr>
              <w:t>Every exit is at the same depth as its entry. Where an exit is irreversible, that is stated before the entry, not discovered at the exit.</w:t>
            </w:r>
          </w:p>
        </w:tc>
      </w:tr>
      <w:tr>
        <w:trPr>
          <w:cantSplit/>
        </w:trPr>
        <w:tc>
          <w:tcPr>
            <w:tcW w:type="dxa" w:w="1930"/>
            <w:tcMar>
              <w:top w:w="60" w:type="dxa"/>
              <w:start w:w="110" w:type="dxa"/>
              <w:bottom w:w="60" w:type="dxa"/>
              <w:end w:w="110" w:type="dxa"/>
            </w:tcMar>
            <w:shd w:val="clear" w:color="auto" w:fill="F4F7FB"/>
          </w:tcPr>
          <w:p>
            <w:pPr>
              <w:spacing w:after="0"/>
            </w:pPr>
            <w:r/>
            <w:r>
              <w:rPr>
                <w:rFonts w:ascii="Calibri" w:hAnsi="Calibri"/>
                <w:b w:val="0"/>
                <w:i w:val="0"/>
                <w:color w:val="101828"/>
                <w:sz w:val="14"/>
              </w:rPr>
              <w:t>Snackbar as the only record of a consequential action</w:t>
            </w:r>
          </w:p>
        </w:tc>
        <w:tc>
          <w:tcPr>
            <w:tcW w:type="dxa" w:w="2678"/>
            <w:tcMar>
              <w:top w:w="60" w:type="dxa"/>
              <w:start w:w="110" w:type="dxa"/>
              <w:bottom w:w="60" w:type="dxa"/>
              <w:end w:w="110" w:type="dxa"/>
            </w:tcMar>
            <w:shd w:val="clear" w:color="auto" w:fill="F4F7FB"/>
          </w:tcPr>
          <w:p>
            <w:pPr>
              <w:spacing w:after="0"/>
            </w:pPr>
            <w:r/>
            <w:r>
              <w:rPr>
                <w:rFonts w:ascii="Calibri" w:hAnsi="Calibri"/>
                <w:b w:val="0"/>
                <w:i w:val="0"/>
                <w:color w:val="101828"/>
                <w:sz w:val="14"/>
              </w:rPr>
              <w:t>A successful payment, a session revocation, a reminder dismissal</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4"/>
              </w:rPr>
              <w:t>A durable destination. A payment navigates to the receipt (SCR-MOB-11), a session revocation returns a confirmation list, a dismissed reminder returns to the schedule.</w:t>
            </w:r>
          </w:p>
        </w:tc>
      </w:tr>
      <w:tr>
        <w:trPr>
          <w:cantSplit/>
        </w:trPr>
        <w:tc>
          <w:tcPr>
            <w:tcW w:type="dxa" w:w="1930"/>
            <w:tcMar>
              <w:top w:w="60" w:type="dxa"/>
              <w:start w:w="110" w:type="dxa"/>
              <w:bottom w:w="60" w:type="dxa"/>
              <w:end w:w="110" w:type="dxa"/>
            </w:tcMar>
          </w:tcPr>
          <w:p>
            <w:pPr>
              <w:spacing w:after="0"/>
            </w:pPr>
            <w:r/>
            <w:r>
              <w:rPr>
                <w:rFonts w:ascii="Calibri" w:hAnsi="Calibri"/>
                <w:b w:val="0"/>
                <w:i w:val="0"/>
                <w:color w:val="101828"/>
                <w:sz w:val="14"/>
              </w:rPr>
              <w:t>Mislabelled controls</w:t>
            </w:r>
          </w:p>
        </w:tc>
        <w:tc>
          <w:tcPr>
            <w:tcW w:type="dxa" w:w="2678"/>
            <w:tcMar>
              <w:top w:w="60" w:type="dxa"/>
              <w:start w:w="110" w:type="dxa"/>
              <w:bottom w:w="60" w:type="dxa"/>
              <w:end w:w="110" w:type="dxa"/>
            </w:tcMar>
          </w:tcPr>
          <w:p>
            <w:pPr>
              <w:spacing w:after="0"/>
            </w:pPr>
            <w:r/>
            <w:r>
              <w:rPr>
                <w:rFonts w:ascii="Calibri" w:hAnsi="Calibri"/>
                <w:b w:val="0"/>
                <w:i w:val="0"/>
                <w:color w:val="101828"/>
                <w:sz w:val="14"/>
              </w:rPr>
              <w:t>A close icon on a form with unsaved data; a Save button on a switch that saves on change</w:t>
            </w:r>
          </w:p>
        </w:tc>
        <w:tc>
          <w:tcPr>
            <w:tcW w:type="dxa" w:w="4752"/>
            <w:tcMar>
              <w:top w:w="60" w:type="dxa"/>
              <w:start w:w="110" w:type="dxa"/>
              <w:bottom w:w="60" w:type="dxa"/>
              <w:end w:w="110" w:type="dxa"/>
            </w:tcMar>
          </w:tcPr>
          <w:p>
            <w:pPr>
              <w:spacing w:after="0"/>
            </w:pPr>
            <w:r/>
            <w:r>
              <w:rPr>
                <w:rFonts w:ascii="Calibri" w:hAnsi="Calibri"/>
                <w:b w:val="0"/>
                <w:i w:val="0"/>
                <w:color w:val="101828"/>
                <w:sz w:val="14"/>
              </w:rPr>
              <w:t xml:space="preserve">Controls say what they do. A control that saves implicitly says </w:t>
            </w:r>
            <w:r>
              <w:rPr>
                <w:rFonts w:ascii="Calibri" w:hAnsi="Calibri"/>
                <w:i/>
                <w:color w:val="101828"/>
                <w:sz w:val="14"/>
              </w:rPr>
              <w:t>Saved</w:t>
            </w:r>
            <w:r>
              <w:rPr>
                <w:rFonts w:ascii="Calibri" w:hAnsi="Calibri"/>
                <w:b w:val="0"/>
                <w:i w:val="0"/>
                <w:color w:val="101828"/>
                <w:sz w:val="14"/>
              </w:rPr>
              <w:t xml:space="preserve"> visibly and immediately.</w:t>
            </w:r>
          </w:p>
        </w:tc>
      </w:tr>
      <w:tr>
        <w:trPr>
          <w:cantSplit/>
        </w:trPr>
        <w:tc>
          <w:tcPr>
            <w:tcW w:type="dxa" w:w="1930"/>
            <w:tcMar>
              <w:top w:w="60" w:type="dxa"/>
              <w:start w:w="110" w:type="dxa"/>
              <w:bottom w:w="60" w:type="dxa"/>
              <w:end w:w="110" w:type="dxa"/>
            </w:tcMar>
            <w:shd w:val="clear" w:color="auto" w:fill="F4F7FB"/>
          </w:tcPr>
          <w:p>
            <w:pPr>
              <w:spacing w:after="0"/>
            </w:pPr>
            <w:r/>
            <w:r>
              <w:rPr>
                <w:rFonts w:ascii="Calibri" w:hAnsi="Calibri"/>
                <w:b w:val="0"/>
                <w:i w:val="0"/>
                <w:color w:val="101828"/>
                <w:sz w:val="14"/>
              </w:rPr>
              <w:t>Urgency framing</w:t>
            </w:r>
          </w:p>
        </w:tc>
        <w:tc>
          <w:tcPr>
            <w:tcW w:type="dxa" w:w="2678"/>
            <w:tcMar>
              <w:top w:w="60" w:type="dxa"/>
              <w:start w:w="110" w:type="dxa"/>
              <w:bottom w:w="60" w:type="dxa"/>
              <w:end w:w="110" w:type="dxa"/>
            </w:tcMar>
            <w:shd w:val="clear" w:color="auto" w:fill="F4F7FB"/>
          </w:tcPr>
          <w:p>
            <w:pPr>
              <w:spacing w:after="0"/>
            </w:pPr>
            <w:r/>
            <w:r>
              <w:rPr>
                <w:rFonts w:ascii="Calibri" w:hAnsi="Calibri"/>
                <w:b w:val="0"/>
                <w:i w:val="0"/>
                <w:color w:val="101828"/>
                <w:sz w:val="14"/>
              </w:rPr>
              <w:t>The Pay tab, the notifications centre, the dashboard next-action block</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amount and the date. </w:t>
            </w:r>
            <w:r>
              <w:rPr>
                <w:rFonts w:ascii="Calibri" w:hAnsi="Calibri"/>
                <w:i/>
                <w:color w:val="101828"/>
                <w:sz w:val="14"/>
              </w:rPr>
              <w:t>NGN 1,020.00. Due 20 Nov 2026.</w:t>
            </w:r>
            <w:r>
              <w:rPr>
                <w:rFonts w:ascii="Calibri" w:hAnsi="Calibri"/>
                <w:b w:val="0"/>
                <w:i w:val="0"/>
                <w:color w:val="101828"/>
                <w:sz w:val="14"/>
              </w:rPr>
              <w:t xml:space="preserve"> A member who is owed the information will act; a frightened member calls support.</w:t>
            </w:r>
          </w:p>
        </w:tc>
      </w:tr>
      <w:tr>
        <w:trPr>
          <w:cantSplit/>
        </w:trPr>
        <w:tc>
          <w:tcPr>
            <w:tcW w:type="dxa" w:w="1930"/>
            <w:tcMar>
              <w:top w:w="60" w:type="dxa"/>
              <w:start w:w="110" w:type="dxa"/>
              <w:bottom w:w="60" w:type="dxa"/>
              <w:end w:w="110" w:type="dxa"/>
            </w:tcMar>
          </w:tcPr>
          <w:p>
            <w:pPr>
              <w:spacing w:after="0"/>
            </w:pPr>
            <w:r/>
            <w:r>
              <w:rPr>
                <w:rFonts w:ascii="Calibri" w:hAnsi="Calibri"/>
                <w:b w:val="0"/>
                <w:i w:val="0"/>
                <w:color w:val="101828"/>
                <w:sz w:val="14"/>
              </w:rPr>
              <w:t>Guided dark flow</w:t>
            </w:r>
          </w:p>
        </w:tc>
        <w:tc>
          <w:tcPr>
            <w:tcW w:type="dxa" w:w="2678"/>
            <w:tcMar>
              <w:top w:w="60" w:type="dxa"/>
              <w:start w:w="110" w:type="dxa"/>
              <w:bottom w:w="60" w:type="dxa"/>
              <w:end w:w="110" w:type="dxa"/>
            </w:tcMar>
          </w:tcPr>
          <w:p>
            <w:pPr>
              <w:spacing w:after="0"/>
            </w:pPr>
            <w:r/>
            <w:r>
              <w:rPr>
                <w:rFonts w:ascii="Calibri" w:hAnsi="Calibri"/>
                <w:b w:val="0"/>
                <w:i w:val="0"/>
                <w:color w:val="101828"/>
                <w:sz w:val="14"/>
              </w:rPr>
              <w:t>A three-step interstitial before a support ticket</w:t>
            </w:r>
          </w:p>
        </w:tc>
        <w:tc>
          <w:tcPr>
            <w:tcW w:type="dxa" w:w="4752"/>
            <w:tcMar>
              <w:top w:w="60" w:type="dxa"/>
              <w:start w:w="110" w:type="dxa"/>
              <w:bottom w:w="60" w:type="dxa"/>
              <w:end w:w="110" w:type="dxa"/>
            </w:tcMar>
          </w:tcPr>
          <w:p>
            <w:pPr>
              <w:spacing w:after="0"/>
            </w:pPr>
            <w:r/>
            <w:r>
              <w:rPr>
                <w:rFonts w:ascii="Calibri" w:hAnsi="Calibri"/>
                <w:b w:val="0"/>
                <w:i w:val="0"/>
                <w:color w:val="101828"/>
                <w:sz w:val="14"/>
              </w:rPr>
              <w:t>One screen, one form, and a visible phone number and email address for the person who does not want to use a form.</w:t>
            </w:r>
          </w:p>
        </w:tc>
      </w:tr>
    </w:tbl>
    <w:p>
      <w:pPr>
        <w:spacing w:after="80"/>
      </w:pPr>
    </w:p>
    <w:p>
      <w:pPr>
        <w:pStyle w:val="Heading3"/>
      </w:pPr>
      <w:r>
        <w:rPr>
          <w:rFonts w:ascii="Calibri" w:hAnsi="Calibri"/>
          <w:b/>
          <w:i w:val="0"/>
          <w:color w:val="0B1F3A"/>
          <w:sz w:val="24"/>
        </w:rPr>
        <w:t>4.1.4 Vocabulary that carries a promise</w:t>
      </w:r>
    </w:p>
    <w:p>
      <w:r>
        <w:rPr>
          <w:rFonts w:ascii="Calibri" w:hAnsi="Calibri"/>
          <w:b w:val="0"/>
          <w:i w:val="0"/>
          <w:color w:val="101828"/>
          <w:sz w:val="21"/>
        </w:rPr>
        <w:t>Some words in this product make a promise, and a promise made in a label is a commitment the engineering and legal work has to honour. The list below is binding. A word not on it is ordinary copy and goes through normal content review; a word on it goes through the founders.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238"/>
            <w:shd w:val="clear" w:color="auto" w:fill="0B1F3A"/>
            <w:tcMar>
              <w:top w:w="60" w:type="dxa"/>
              <w:start w:w="110" w:type="dxa"/>
              <w:bottom w:w="60" w:type="dxa"/>
              <w:end w:w="110" w:type="dxa"/>
            </w:tcMar>
          </w:tcPr>
          <w:p>
            <w:pPr>
              <w:spacing w:after="0"/>
            </w:pPr>
            <w:r/>
            <w:r>
              <w:rPr>
                <w:rFonts w:ascii="Calibri" w:hAnsi="Calibri"/>
                <w:b/>
                <w:i w:val="0"/>
                <w:color w:val="FFFFFF"/>
                <w:sz w:val="13"/>
              </w:rPr>
              <w:t>Word</w:t>
            </w:r>
          </w:p>
        </w:tc>
        <w:tc>
          <w:tcPr>
            <w:tcW w:type="dxa" w:w="4090"/>
            <w:shd w:val="clear" w:color="auto" w:fill="0B1F3A"/>
            <w:tcMar>
              <w:top w:w="60" w:type="dxa"/>
              <w:start w:w="110" w:type="dxa"/>
              <w:bottom w:w="60" w:type="dxa"/>
              <w:end w:w="110" w:type="dxa"/>
            </w:tcMar>
          </w:tcPr>
          <w:p>
            <w:pPr>
              <w:spacing w:after="0"/>
            </w:pPr>
            <w:r/>
            <w:r>
              <w:rPr>
                <w:rFonts w:ascii="Calibri" w:hAnsi="Calibri"/>
                <w:b/>
                <w:i w:val="0"/>
                <w:color w:val="FFFFFF"/>
                <w:sz w:val="13"/>
              </w:rPr>
              <w:t>What it commits us to</w:t>
            </w:r>
          </w:p>
        </w:tc>
        <w:tc>
          <w:tcPr>
            <w:tcW w:type="dxa" w:w="4032"/>
            <w:shd w:val="clear" w:color="auto" w:fill="0B1F3A"/>
            <w:tcMar>
              <w:top w:w="60" w:type="dxa"/>
              <w:start w:w="110" w:type="dxa"/>
              <w:bottom w:w="60" w:type="dxa"/>
              <w:end w:w="110" w:type="dxa"/>
            </w:tcMar>
          </w:tcPr>
          <w:p>
            <w:pPr>
              <w:spacing w:after="0"/>
            </w:pPr>
            <w:r/>
            <w:r>
              <w:rPr>
                <w:rFonts w:ascii="Calibri" w:hAnsi="Calibri"/>
                <w:b/>
                <w:i w:val="0"/>
                <w:color w:val="FFFFFF"/>
                <w:sz w:val="13"/>
              </w:rPr>
              <w:t>Never paired with</w:t>
            </w:r>
          </w:p>
        </w:tc>
      </w:tr>
      <w:tr>
        <w:trPr>
          <w:cantSplit/>
        </w:trPr>
        <w:tc>
          <w:tcPr>
            <w:tcW w:type="dxa" w:w="1238"/>
            <w:tcMar>
              <w:top w:w="60" w:type="dxa"/>
              <w:start w:w="110" w:type="dxa"/>
              <w:bottom w:w="60" w:type="dxa"/>
              <w:end w:w="110" w:type="dxa"/>
            </w:tcMar>
          </w:tcPr>
          <w:p>
            <w:pPr>
              <w:spacing w:after="0"/>
            </w:pPr>
            <w:r/>
            <w:r>
              <w:rPr>
                <w:rFonts w:ascii="Calibri" w:hAnsi="Calibri"/>
                <w:i/>
                <w:color w:val="101828"/>
                <w:sz w:val="13"/>
              </w:rPr>
              <w:t>contribution</w:t>
            </w:r>
          </w:p>
        </w:tc>
        <w:tc>
          <w:tcPr>
            <w:tcW w:type="dxa" w:w="4090"/>
            <w:tcMar>
              <w:top w:w="60" w:type="dxa"/>
              <w:start w:w="110" w:type="dxa"/>
              <w:bottom w:w="60" w:type="dxa"/>
              <w:end w:w="110" w:type="dxa"/>
            </w:tcMar>
          </w:tcPr>
          <w:p>
            <w:pPr>
              <w:spacing w:after="0"/>
            </w:pPr>
            <w:r/>
            <w:r>
              <w:rPr>
                <w:rFonts w:ascii="Calibri" w:hAnsi="Calibri"/>
                <w:b w:val="0"/>
                <w:i w:val="0"/>
                <w:color w:val="101828"/>
                <w:sz w:val="13"/>
              </w:rPr>
              <w:t>The NGN 1,000.00 that enters the round pool. Not the NGN 1,020.00 that is charged.</w:t>
            </w:r>
          </w:p>
        </w:tc>
        <w:tc>
          <w:tcPr>
            <w:tcW w:type="dxa" w:w="4032"/>
            <w:tcMar>
              <w:top w:w="60" w:type="dxa"/>
              <w:start w:w="110" w:type="dxa"/>
              <w:bottom w:w="60" w:type="dxa"/>
              <w:end w:w="110" w:type="dxa"/>
            </w:tcMar>
          </w:tcPr>
          <w:p>
            <w:pPr>
              <w:spacing w:after="0"/>
            </w:pPr>
            <w:r/>
            <w:r>
              <w:rPr>
                <w:rFonts w:ascii="Calibri" w:hAnsi="Calibri"/>
                <w:i/>
                <w:color w:val="101828"/>
                <w:sz w:val="13"/>
              </w:rPr>
              <w:t>charged</w:t>
            </w:r>
            <w:r>
              <w:rPr>
                <w:rFonts w:ascii="Calibri" w:hAnsi="Calibri"/>
                <w:b w:val="0"/>
                <w:i w:val="0"/>
                <w:color w:val="101828"/>
                <w:sz w:val="13"/>
              </w:rPr>
              <w:t xml:space="preserve">, </w:t>
            </w:r>
            <w:r>
              <w:rPr>
                <w:rFonts w:ascii="Calibri" w:hAnsi="Calibri"/>
                <w:i/>
                <w:color w:val="101828"/>
                <w:sz w:val="13"/>
              </w:rPr>
              <w:t>deposit</w:t>
            </w:r>
            <w:r>
              <w:rPr>
                <w:rFonts w:ascii="Calibri" w:hAnsi="Calibri"/>
                <w:b w:val="0"/>
                <w:i w:val="0"/>
                <w:color w:val="101828"/>
                <w:sz w:val="13"/>
              </w:rPr>
              <w:t xml:space="preserve"> or </w:t>
            </w:r>
            <w:r>
              <w:rPr>
                <w:rFonts w:ascii="Calibri" w:hAnsi="Calibri"/>
                <w:i/>
                <w:color w:val="101828"/>
                <w:sz w:val="13"/>
              </w:rPr>
              <w:t>payment</w:t>
            </w:r>
            <w:r>
              <w:rPr>
                <w:rFonts w:ascii="Calibri" w:hAnsi="Calibri"/>
                <w:b w:val="0"/>
                <w:i w:val="0"/>
                <w:color w:val="101828"/>
                <w:sz w:val="13"/>
              </w:rPr>
              <w:t xml:space="preserve"> — those are the total, and using them for the base amount is how the fee gets netted by accident.</w:t>
            </w:r>
          </w:p>
        </w:tc>
      </w:tr>
      <w:tr>
        <w:trPr>
          <w:cantSplit/>
        </w:trPr>
        <w:tc>
          <w:tcPr>
            <w:tcW w:type="dxa" w:w="1238"/>
            <w:tcMar>
              <w:top w:w="60" w:type="dxa"/>
              <w:start w:w="110" w:type="dxa"/>
              <w:bottom w:w="60" w:type="dxa"/>
              <w:end w:w="110" w:type="dxa"/>
            </w:tcMar>
            <w:shd w:val="clear" w:color="auto" w:fill="F4F7FB"/>
          </w:tcPr>
          <w:p>
            <w:pPr>
              <w:spacing w:after="0"/>
            </w:pPr>
            <w:r/>
            <w:r>
              <w:rPr>
                <w:rFonts w:ascii="Calibri" w:hAnsi="Calibri"/>
                <w:i/>
                <w:color w:val="101828"/>
                <w:sz w:val="13"/>
              </w:rPr>
              <w:t>service fee</w:t>
            </w:r>
            <w:r>
              <w:rPr>
                <w:rFonts w:ascii="Calibri" w:hAnsi="Calibri"/>
                <w:b w:val="0"/>
                <w:i w:val="0"/>
                <w:color w:val="101828"/>
                <w:sz w:val="13"/>
              </w:rPr>
              <w:t xml:space="preserve"> / </w:t>
            </w:r>
            <w:r>
              <w:rPr>
                <w:rFonts w:ascii="Calibri" w:hAnsi="Calibri"/>
                <w:i/>
                <w:color w:val="101828"/>
                <w:sz w:val="13"/>
              </w:rPr>
              <w:t>AJO.ng fee</w:t>
            </w:r>
          </w:p>
        </w:tc>
        <w:tc>
          <w:tcPr>
            <w:tcW w:type="dxa" w:w="4090"/>
            <w:tcMar>
              <w:top w:w="60" w:type="dxa"/>
              <w:start w:w="110" w:type="dxa"/>
              <w:bottom w:w="60" w:type="dxa"/>
              <w:end w:w="110" w:type="dxa"/>
            </w:tcMar>
            <w:shd w:val="clear" w:color="auto" w:fill="F4F7FB"/>
          </w:tcPr>
          <w:p>
            <w:pPr>
              <w:spacing w:after="0"/>
            </w:pPr>
            <w:r/>
            <w:r>
              <w:rPr>
                <w:rFonts w:ascii="Calibri" w:hAnsi="Calibri"/>
                <w:b w:val="0"/>
                <w:i w:val="0"/>
                <w:color w:val="101828"/>
                <w:sz w:val="13"/>
              </w:rPr>
              <w:t>2% of the contribution, charged on top, never deducted from the contribution, never reducing a payout.</w:t>
            </w:r>
          </w:p>
        </w:tc>
        <w:tc>
          <w:tcPr>
            <w:tcW w:type="dxa" w:w="4032"/>
            <w:tcMar>
              <w:top w:w="60" w:type="dxa"/>
              <w:start w:w="110" w:type="dxa"/>
              <w:bottom w:w="60" w:type="dxa"/>
              <w:end w:w="110" w:type="dxa"/>
            </w:tcMar>
            <w:shd w:val="clear" w:color="auto" w:fill="F4F7FB"/>
          </w:tcPr>
          <w:p>
            <w:pPr>
              <w:spacing w:after="0"/>
            </w:pPr>
            <w:r/>
            <w:r>
              <w:rPr>
                <w:rFonts w:ascii="Calibri" w:hAnsi="Calibri"/>
                <w:i/>
                <w:color w:val="101828"/>
                <w:sz w:val="13"/>
              </w:rPr>
              <w:t>charge</w:t>
            </w:r>
            <w:r>
              <w:rPr>
                <w:rFonts w:ascii="Calibri" w:hAnsi="Calibri"/>
                <w:b w:val="0"/>
                <w:i w:val="0"/>
                <w:color w:val="101828"/>
                <w:sz w:val="13"/>
              </w:rPr>
              <w:t xml:space="preserve"> on its own, which reads as a penalty, and </w:t>
            </w:r>
            <w:r>
              <w:rPr>
                <w:rFonts w:ascii="Calibri" w:hAnsi="Calibri"/>
                <w:i/>
                <w:color w:val="101828"/>
                <w:sz w:val="13"/>
              </w:rPr>
              <w:t>tax</w:t>
            </w:r>
            <w:r>
              <w:rPr>
                <w:rFonts w:ascii="Calibri" w:hAnsi="Calibri"/>
                <w:b w:val="0"/>
                <w:i w:val="0"/>
                <w:color w:val="101828"/>
                <w:sz w:val="13"/>
              </w:rPr>
              <w:t>, which is D-06 and open.</w:t>
            </w:r>
          </w:p>
        </w:tc>
      </w:tr>
      <w:tr>
        <w:trPr>
          <w:cantSplit/>
        </w:trPr>
        <w:tc>
          <w:tcPr>
            <w:tcW w:type="dxa" w:w="1238"/>
            <w:tcMar>
              <w:top w:w="60" w:type="dxa"/>
              <w:start w:w="110" w:type="dxa"/>
              <w:bottom w:w="60" w:type="dxa"/>
              <w:end w:w="110" w:type="dxa"/>
            </w:tcMar>
          </w:tcPr>
          <w:p>
            <w:pPr>
              <w:spacing w:after="0"/>
            </w:pPr>
            <w:r/>
            <w:r>
              <w:rPr>
                <w:rFonts w:ascii="Calibri" w:hAnsi="Calibri"/>
                <w:i/>
                <w:color w:val="101828"/>
                <w:sz w:val="13"/>
              </w:rPr>
              <w:t>total to pay</w:t>
            </w:r>
          </w:p>
        </w:tc>
        <w:tc>
          <w:tcPr>
            <w:tcW w:type="dxa" w:w="4090"/>
            <w:tcMar>
              <w:top w:w="60" w:type="dxa"/>
              <w:start w:w="110" w:type="dxa"/>
              <w:bottom w:w="60" w:type="dxa"/>
              <w:end w:w="110" w:type="dxa"/>
            </w:tcMar>
          </w:tcPr>
          <w:p>
            <w:pPr>
              <w:spacing w:after="0"/>
            </w:pPr>
            <w:r/>
            <w:r>
              <w:rPr>
                <w:rFonts w:ascii="Calibri" w:hAnsi="Calibri"/>
                <w:b w:val="0"/>
                <w:i w:val="0"/>
                <w:color w:val="101828"/>
                <w:sz w:val="13"/>
              </w:rPr>
              <w:t>The exact figure that will leave the member's account, itemised above it.</w:t>
            </w:r>
          </w:p>
        </w:tc>
        <w:tc>
          <w:tcPr>
            <w:tcW w:type="dxa" w:w="4032"/>
            <w:tcMar>
              <w:top w:w="60" w:type="dxa"/>
              <w:start w:w="110" w:type="dxa"/>
              <w:bottom w:w="60" w:type="dxa"/>
              <w:end w:w="110" w:type="dxa"/>
            </w:tcMar>
          </w:tcPr>
          <w:p>
            <w:pPr>
              <w:spacing w:after="0"/>
            </w:pPr>
            <w:r/>
            <w:r>
              <w:rPr>
                <w:rFonts w:ascii="Calibri" w:hAnsi="Calibri"/>
                <w:i/>
                <w:color w:val="101828"/>
                <w:sz w:val="13"/>
              </w:rPr>
              <w:t>amount</w:t>
            </w:r>
            <w:r>
              <w:rPr>
                <w:rFonts w:ascii="Calibri" w:hAnsi="Calibri"/>
                <w:b w:val="0"/>
                <w:i w:val="0"/>
                <w:color w:val="101828"/>
                <w:sz w:val="13"/>
              </w:rPr>
              <w:t xml:space="preserve"> or </w:t>
            </w:r>
            <w:r>
              <w:rPr>
                <w:rFonts w:ascii="Calibri" w:hAnsi="Calibri"/>
                <w:i/>
                <w:color w:val="101828"/>
                <w:sz w:val="13"/>
              </w:rPr>
              <w:t>total</w:t>
            </w:r>
            <w:r>
              <w:rPr>
                <w:rFonts w:ascii="Calibri" w:hAnsi="Calibri"/>
                <w:b w:val="0"/>
                <w:i w:val="0"/>
                <w:color w:val="101828"/>
                <w:sz w:val="13"/>
              </w:rPr>
              <w:t xml:space="preserve"> on its own.</w:t>
            </w:r>
          </w:p>
        </w:tc>
      </w:tr>
      <w:tr>
        <w:trPr>
          <w:cantSplit/>
        </w:trPr>
        <w:tc>
          <w:tcPr>
            <w:tcW w:type="dxa" w:w="1238"/>
            <w:tcMar>
              <w:top w:w="60" w:type="dxa"/>
              <w:start w:w="110" w:type="dxa"/>
              <w:bottom w:w="60" w:type="dxa"/>
              <w:end w:w="110" w:type="dxa"/>
            </w:tcMar>
            <w:shd w:val="clear" w:color="auto" w:fill="F4F7FB"/>
          </w:tcPr>
          <w:p>
            <w:pPr>
              <w:spacing w:after="0"/>
            </w:pPr>
            <w:r/>
            <w:r>
              <w:rPr>
                <w:rFonts w:ascii="Calibri" w:hAnsi="Calibri"/>
                <w:i/>
                <w:color w:val="101828"/>
                <w:sz w:val="13"/>
              </w:rPr>
              <w:t>base pool</w:t>
            </w:r>
          </w:p>
        </w:tc>
        <w:tc>
          <w:tcPr>
            <w:tcW w:type="dxa" w:w="4090"/>
            <w:tcMar>
              <w:top w:w="60" w:type="dxa"/>
              <w:start w:w="110" w:type="dxa"/>
              <w:bottom w:w="60" w:type="dxa"/>
              <w:end w:w="110" w:type="dxa"/>
            </w:tcMar>
            <w:shd w:val="clear" w:color="auto" w:fill="F4F7FB"/>
          </w:tcPr>
          <w:p>
            <w:pPr>
              <w:spacing w:after="0"/>
            </w:pPr>
            <w:r/>
            <w:r>
              <w:rPr>
                <w:rFonts w:ascii="Calibri" w:hAnsi="Calibri"/>
                <w:b w:val="0"/>
                <w:i w:val="0"/>
                <w:color w:val="101828"/>
                <w:sz w:val="13"/>
              </w:rPr>
              <w:t>What the recipient receives: NGN 10,000.00 in the canonical example, never NGN 10,200.00.</w:t>
            </w:r>
          </w:p>
        </w:tc>
        <w:tc>
          <w:tcPr>
            <w:tcW w:type="dxa" w:w="4032"/>
            <w:tcMar>
              <w:top w:w="60" w:type="dxa"/>
              <w:start w:w="110" w:type="dxa"/>
              <w:bottom w:w="60" w:type="dxa"/>
              <w:end w:w="110" w:type="dxa"/>
            </w:tcMar>
            <w:shd w:val="clear" w:color="auto" w:fill="F4F7FB"/>
          </w:tcPr>
          <w:p>
            <w:pPr>
              <w:spacing w:after="0"/>
            </w:pPr>
            <w:r/>
            <w:r>
              <w:rPr>
                <w:rFonts w:ascii="Calibri" w:hAnsi="Calibri"/>
                <w:i/>
                <w:color w:val="101828"/>
                <w:sz w:val="13"/>
              </w:rPr>
              <w:t>total collected</w:t>
            </w:r>
            <w:r>
              <w:rPr>
                <w:rFonts w:ascii="Calibri" w:hAnsi="Calibri"/>
                <w:b w:val="0"/>
                <w:i w:val="0"/>
                <w:color w:val="101828"/>
                <w:sz w:val="13"/>
              </w:rPr>
              <w:t xml:space="preserve">, </w:t>
            </w:r>
            <w:r>
              <w:rPr>
                <w:rFonts w:ascii="Calibri" w:hAnsi="Calibri"/>
                <w:i/>
                <w:color w:val="101828"/>
                <w:sz w:val="13"/>
              </w:rPr>
              <w:t>total in the round</w:t>
            </w:r>
            <w:r>
              <w:rPr>
                <w:rFonts w:ascii="Calibri" w:hAnsi="Calibri"/>
                <w:b w:val="0"/>
                <w:i w:val="0"/>
                <w:color w:val="101828"/>
                <w:sz w:val="13"/>
              </w:rPr>
              <w:t xml:space="preserve">, or </w:t>
            </w:r>
            <w:r>
              <w:rPr>
                <w:rFonts w:ascii="Calibri" w:hAnsi="Calibri"/>
                <w:i/>
                <w:color w:val="101828"/>
                <w:sz w:val="13"/>
              </w:rPr>
              <w:t>payout</w:t>
            </w:r>
            <w:r>
              <w:rPr>
                <w:rFonts w:ascii="Calibri" w:hAnsi="Calibri"/>
                <w:b w:val="0"/>
                <w:i w:val="0"/>
                <w:color w:val="101828"/>
                <w:sz w:val="13"/>
              </w:rPr>
              <w:t xml:space="preserve"> without qualification.</w:t>
            </w:r>
          </w:p>
        </w:tc>
      </w:tr>
      <w:tr>
        <w:trPr>
          <w:cantSplit/>
        </w:trPr>
        <w:tc>
          <w:tcPr>
            <w:tcW w:type="dxa" w:w="1238"/>
            <w:tcMar>
              <w:top w:w="60" w:type="dxa"/>
              <w:start w:w="110" w:type="dxa"/>
              <w:bottom w:w="60" w:type="dxa"/>
              <w:end w:w="110" w:type="dxa"/>
            </w:tcMar>
          </w:tcPr>
          <w:p>
            <w:pPr>
              <w:spacing w:after="0"/>
            </w:pPr>
            <w:r/>
            <w:r>
              <w:rPr>
                <w:rFonts w:ascii="Calibri" w:hAnsi="Calibri"/>
                <w:i/>
                <w:color w:val="101828"/>
                <w:sz w:val="13"/>
              </w:rPr>
              <w:t>organiser</w:t>
            </w:r>
          </w:p>
        </w:tc>
        <w:tc>
          <w:tcPr>
            <w:tcW w:type="dxa" w:w="4090"/>
            <w:tcMar>
              <w:top w:w="60" w:type="dxa"/>
              <w:start w:w="110" w:type="dxa"/>
              <w:bottom w:w="60" w:type="dxa"/>
              <w:end w:w="110" w:type="dxa"/>
            </w:tcMar>
          </w:tcPr>
          <w:p>
            <w:pPr>
              <w:spacing w:after="0"/>
            </w:pPr>
            <w:r/>
            <w:r>
              <w:rPr>
                <w:rFonts w:ascii="Calibri" w:hAnsi="Calibri"/>
                <w:b w:val="0"/>
                <w:i w:val="0"/>
                <w:color w:val="101828"/>
                <w:sz w:val="13"/>
              </w:rPr>
              <w:t>Creates the Ajo, invites and removes before activation, proposes order, requests release. Does not control payouts, does not guarantee another member's debt, has no authority after completion (BR-008).</w:t>
            </w:r>
          </w:p>
        </w:tc>
        <w:tc>
          <w:tcPr>
            <w:tcW w:type="dxa" w:w="4032"/>
            <w:tcMar>
              <w:top w:w="60" w:type="dxa"/>
              <w:start w:w="110" w:type="dxa"/>
              <w:bottom w:w="60" w:type="dxa"/>
              <w:end w:w="110" w:type="dxa"/>
            </w:tcMar>
          </w:tcPr>
          <w:p>
            <w:pPr>
              <w:spacing w:after="0"/>
            </w:pPr>
            <w:r/>
            <w:r>
              <w:rPr>
                <w:rFonts w:ascii="Calibri" w:hAnsi="Calibri"/>
                <w:i/>
                <w:color w:val="101828"/>
                <w:sz w:val="13"/>
              </w:rPr>
              <w:t>accountable for</w:t>
            </w:r>
            <w:r>
              <w:rPr>
                <w:rFonts w:ascii="Calibri" w:hAnsi="Calibri"/>
                <w:b w:val="0"/>
                <w:i w:val="0"/>
                <w:color w:val="101828"/>
                <w:sz w:val="13"/>
              </w:rPr>
              <w:t xml:space="preserve">, </w:t>
            </w:r>
            <w:r>
              <w:rPr>
                <w:rFonts w:ascii="Calibri" w:hAnsi="Calibri"/>
                <w:i/>
                <w:color w:val="101828"/>
                <w:sz w:val="13"/>
              </w:rPr>
              <w:t>responsible for the money</w:t>
            </w:r>
            <w:r>
              <w:rPr>
                <w:rFonts w:ascii="Calibri" w:hAnsi="Calibri"/>
                <w:b w:val="0"/>
                <w:i w:val="0"/>
                <w:color w:val="101828"/>
                <w:sz w:val="13"/>
              </w:rPr>
              <w:t xml:space="preserve">, </w:t>
            </w:r>
            <w:r>
              <w:rPr>
                <w:rFonts w:ascii="Calibri" w:hAnsi="Calibri"/>
                <w:i/>
                <w:color w:val="101828"/>
                <w:sz w:val="13"/>
              </w:rPr>
              <w:t>guarantor</w:t>
            </w:r>
            <w:r>
              <w:rPr>
                <w:rFonts w:ascii="Calibri" w:hAnsi="Calibri"/>
                <w:b w:val="0"/>
                <w:i w:val="0"/>
                <w:color w:val="101828"/>
                <w:sz w:val="13"/>
              </w:rPr>
              <w:t xml:space="preserve"> — the last is a legal claim and is false.</w:t>
            </w:r>
          </w:p>
        </w:tc>
      </w:tr>
      <w:tr>
        <w:trPr>
          <w:cantSplit/>
        </w:trPr>
        <w:tc>
          <w:tcPr>
            <w:tcW w:type="dxa" w:w="1238"/>
            <w:tcMar>
              <w:top w:w="60" w:type="dxa"/>
              <w:start w:w="110" w:type="dxa"/>
              <w:bottom w:w="60" w:type="dxa"/>
              <w:end w:w="110" w:type="dxa"/>
            </w:tcMar>
            <w:shd w:val="clear" w:color="auto" w:fill="F4F7FB"/>
          </w:tcPr>
          <w:p>
            <w:pPr>
              <w:spacing w:after="0"/>
            </w:pPr>
            <w:r/>
            <w:r>
              <w:rPr>
                <w:rFonts w:ascii="Calibri" w:hAnsi="Calibri"/>
                <w:i/>
                <w:color w:val="101828"/>
                <w:sz w:val="13"/>
              </w:rPr>
              <w:t>position</w:t>
            </w:r>
          </w:p>
        </w:tc>
        <w:tc>
          <w:tcPr>
            <w:tcW w:type="dxa" w:w="4090"/>
            <w:tcMar>
              <w:top w:w="60" w:type="dxa"/>
              <w:start w:w="110" w:type="dxa"/>
              <w:bottom w:w="60" w:type="dxa"/>
              <w:end w:w="110" w:type="dxa"/>
            </w:tcMar>
            <w:shd w:val="clear" w:color="auto" w:fill="F4F7FB"/>
          </w:tcPr>
          <w:p>
            <w:pPr>
              <w:spacing w:after="0"/>
            </w:pPr>
            <w:r/>
            <w:r>
              <w:rPr>
                <w:rFonts w:ascii="Calibri" w:hAnsi="Calibri"/>
                <w:b w:val="0"/>
                <w:i w:val="0"/>
                <w:color w:val="101828"/>
                <w:sz w:val="13"/>
              </w:rPr>
              <w:t>A member's turn in the rotation, locked on activation.</w:t>
            </w:r>
          </w:p>
        </w:tc>
        <w:tc>
          <w:tcPr>
            <w:tcW w:type="dxa" w:w="4032"/>
            <w:tcMar>
              <w:top w:w="60" w:type="dxa"/>
              <w:start w:w="110" w:type="dxa"/>
              <w:bottom w:w="60" w:type="dxa"/>
              <w:end w:w="110" w:type="dxa"/>
            </w:tcMar>
            <w:shd w:val="clear" w:color="auto" w:fill="F4F7FB"/>
          </w:tcPr>
          <w:p>
            <w:pPr>
              <w:spacing w:after="0"/>
            </w:pPr>
            <w:r/>
            <w:r>
              <w:rPr>
                <w:rFonts w:ascii="Calibri" w:hAnsi="Calibri"/>
                <w:i/>
                <w:color w:val="101828"/>
                <w:sz w:val="13"/>
              </w:rPr>
              <w:t>turn</w:t>
            </w:r>
            <w:r>
              <w:rPr>
                <w:rFonts w:ascii="Calibri" w:hAnsi="Calibri"/>
                <w:b w:val="0"/>
                <w:i w:val="0"/>
                <w:color w:val="101828"/>
                <w:sz w:val="13"/>
              </w:rPr>
              <w:t xml:space="preserve"> in a state label: </w:t>
            </w:r>
            <w:r>
              <w:rPr>
                <w:rFonts w:ascii="Calibri" w:hAnsi="Calibri"/>
                <w:i/>
                <w:color w:val="101828"/>
                <w:sz w:val="13"/>
              </w:rPr>
              <w:t>turn</w:t>
            </w:r>
            <w:r>
              <w:rPr>
                <w:rFonts w:ascii="Calibri" w:hAnsi="Calibri"/>
                <w:b w:val="0"/>
                <w:i w:val="0"/>
                <w:color w:val="101828"/>
                <w:sz w:val="13"/>
              </w:rPr>
              <w:t xml:space="preserve"> implies flexibility the product does not have.</w:t>
            </w:r>
          </w:p>
        </w:tc>
      </w:tr>
      <w:tr>
        <w:trPr>
          <w:cantSplit/>
        </w:trPr>
        <w:tc>
          <w:tcPr>
            <w:tcW w:type="dxa" w:w="1238"/>
            <w:tcMar>
              <w:top w:w="60" w:type="dxa"/>
              <w:start w:w="110" w:type="dxa"/>
              <w:bottom w:w="60" w:type="dxa"/>
              <w:end w:w="110" w:type="dxa"/>
            </w:tcMar>
          </w:tcPr>
          <w:p>
            <w:pPr>
              <w:spacing w:after="0"/>
            </w:pPr>
            <w:r/>
            <w:r>
              <w:rPr>
                <w:rFonts w:ascii="Calibri" w:hAnsi="Calibri"/>
                <w:i/>
                <w:color w:val="101828"/>
                <w:sz w:val="13"/>
              </w:rPr>
              <w:t>payment</w:t>
            </w:r>
          </w:p>
        </w:tc>
        <w:tc>
          <w:tcPr>
            <w:tcW w:type="dxa" w:w="4090"/>
            <w:tcMar>
              <w:top w:w="60" w:type="dxa"/>
              <w:start w:w="110" w:type="dxa"/>
              <w:bottom w:w="60" w:type="dxa"/>
              <w:end w:w="110" w:type="dxa"/>
            </w:tcMar>
          </w:tcPr>
          <w:p>
            <w:pPr>
              <w:spacing w:after="0"/>
            </w:pPr>
            <w:r/>
            <w:r>
              <w:rPr>
                <w:rFonts w:ascii="Calibri" w:hAnsi="Calibri"/>
                <w:b w:val="0"/>
                <w:i w:val="0"/>
                <w:color w:val="101828"/>
                <w:sz w:val="13"/>
              </w:rPr>
              <w:t xml:space="preserve">A </w:t>
            </w:r>
            <w:r>
              <w:rPr>
                <w:rFonts w:ascii="Consolas" w:hAnsi="Consolas"/>
                <w:color w:val="146EF5"/>
                <w:sz w:val="13"/>
              </w:rPr>
              <w:t>contributions</w:t>
            </w:r>
            <w:r>
              <w:rPr>
                <w:rFonts w:ascii="Calibri" w:hAnsi="Calibri"/>
                <w:b w:val="0"/>
                <w:i w:val="0"/>
                <w:color w:val="101828"/>
                <w:sz w:val="13"/>
              </w:rPr>
              <w:t xml:space="preserve"> row moving through the provider state machine.</w:t>
            </w:r>
          </w:p>
        </w:tc>
        <w:tc>
          <w:tcPr>
            <w:tcW w:type="dxa" w:w="4032"/>
            <w:tcMar>
              <w:top w:w="60" w:type="dxa"/>
              <w:start w:w="110" w:type="dxa"/>
              <w:bottom w:w="60" w:type="dxa"/>
              <w:end w:w="110" w:type="dxa"/>
            </w:tcMar>
          </w:tcPr>
          <w:p>
            <w:pPr>
              <w:spacing w:after="0"/>
            </w:pPr>
            <w:r/>
            <w:r>
              <w:rPr>
                <w:rFonts w:ascii="Calibri" w:hAnsi="Calibri"/>
                <w:i/>
                <w:color w:val="101828"/>
                <w:sz w:val="13"/>
              </w:rPr>
              <w:t>transfer complete</w:t>
            </w:r>
            <w:r>
              <w:rPr>
                <w:rFonts w:ascii="Calibri" w:hAnsi="Calibri"/>
                <w:b w:val="0"/>
                <w:i w:val="0"/>
                <w:color w:val="101828"/>
                <w:sz w:val="13"/>
              </w:rPr>
              <w:t xml:space="preserve"> before the webhook has verified it.</w:t>
            </w:r>
          </w:p>
        </w:tc>
      </w:tr>
      <w:tr>
        <w:trPr>
          <w:cantSplit/>
        </w:trPr>
        <w:tc>
          <w:tcPr>
            <w:tcW w:type="dxa" w:w="1238"/>
            <w:tcMar>
              <w:top w:w="60" w:type="dxa"/>
              <w:start w:w="110" w:type="dxa"/>
              <w:bottom w:w="60" w:type="dxa"/>
              <w:end w:w="110" w:type="dxa"/>
            </w:tcMar>
            <w:shd w:val="clear" w:color="auto" w:fill="F4F7FB"/>
          </w:tcPr>
          <w:p>
            <w:pPr>
              <w:spacing w:after="0"/>
            </w:pPr>
            <w:r/>
            <w:r>
              <w:rPr>
                <w:rFonts w:ascii="Calibri" w:hAnsi="Calibri"/>
                <w:i/>
                <w:color w:val="101828"/>
                <w:sz w:val="13"/>
              </w:rPr>
              <w:t>held</w:t>
            </w:r>
          </w:p>
        </w:tc>
        <w:tc>
          <w:tcPr>
            <w:tcW w:type="dxa" w:w="4090"/>
            <w:tcMar>
              <w:top w:w="60" w:type="dxa"/>
              <w:start w:w="110" w:type="dxa"/>
              <w:bottom w:w="60" w:type="dxa"/>
              <w:end w:w="110" w:type="dxa"/>
            </w:tcMar>
            <w:shd w:val="clear" w:color="auto" w:fill="F4F7FB"/>
          </w:tcPr>
          <w:p>
            <w:pPr>
              <w:spacing w:after="0"/>
            </w:pPr>
            <w:r/>
            <w:r>
              <w:rPr>
                <w:rFonts w:ascii="Calibri" w:hAnsi="Calibri"/>
                <w:b w:val="0"/>
                <w:i w:val="0"/>
                <w:color w:val="101828"/>
                <w:sz w:val="13"/>
              </w:rPr>
              <w:t>A payout that is fully owed and not yet funded. It does not reduce and it does not disappear.</w:t>
            </w:r>
          </w:p>
        </w:tc>
        <w:tc>
          <w:tcPr>
            <w:tcW w:type="dxa" w:w="4032"/>
            <w:tcMar>
              <w:top w:w="60" w:type="dxa"/>
              <w:start w:w="110" w:type="dxa"/>
              <w:bottom w:w="60" w:type="dxa"/>
              <w:end w:w="110" w:type="dxa"/>
            </w:tcMar>
            <w:shd w:val="clear" w:color="auto" w:fill="F4F7FB"/>
          </w:tcPr>
          <w:p>
            <w:pPr>
              <w:spacing w:after="0"/>
            </w:pPr>
            <w:r/>
            <w:r>
              <w:rPr>
                <w:rFonts w:ascii="Calibri" w:hAnsi="Calibri"/>
                <w:i/>
                <w:color w:val="101828"/>
                <w:sz w:val="13"/>
              </w:rPr>
              <w:t>delayed</w:t>
            </w:r>
            <w:r>
              <w:rPr>
                <w:rFonts w:ascii="Calibri" w:hAnsi="Calibri"/>
                <w:b w:val="0"/>
                <w:i w:val="0"/>
                <w:color w:val="101828"/>
                <w:sz w:val="13"/>
              </w:rPr>
              <w:t xml:space="preserve">, which blames our lateness rather than naming a funding gap, and </w:t>
            </w:r>
            <w:r>
              <w:rPr>
                <w:rFonts w:ascii="Calibri" w:hAnsi="Calibri"/>
                <w:i/>
                <w:color w:val="101828"/>
                <w:sz w:val="13"/>
              </w:rPr>
              <w:t>pending</w:t>
            </w:r>
            <w:r>
              <w:rPr>
                <w:rFonts w:ascii="Calibri" w:hAnsi="Calibri"/>
                <w:b w:val="0"/>
                <w:i w:val="0"/>
                <w:color w:val="101828"/>
                <w:sz w:val="13"/>
              </w:rPr>
              <w:t>, which is also a payment state.</w:t>
            </w:r>
          </w:p>
        </w:tc>
      </w:tr>
      <w:tr>
        <w:trPr>
          <w:cantSplit/>
        </w:trPr>
        <w:tc>
          <w:tcPr>
            <w:tcW w:type="dxa" w:w="1238"/>
            <w:tcMar>
              <w:top w:w="60" w:type="dxa"/>
              <w:start w:w="110" w:type="dxa"/>
              <w:bottom w:w="60" w:type="dxa"/>
              <w:end w:w="110" w:type="dxa"/>
            </w:tcMar>
          </w:tcPr>
          <w:p>
            <w:pPr>
              <w:spacing w:after="0"/>
            </w:pPr>
            <w:r/>
            <w:r>
              <w:rPr>
                <w:rFonts w:ascii="Calibri" w:hAnsi="Calibri"/>
                <w:i/>
                <w:color w:val="101828"/>
                <w:sz w:val="13"/>
              </w:rPr>
              <w:t>defaulted</w:t>
            </w:r>
          </w:p>
        </w:tc>
        <w:tc>
          <w:tcPr>
            <w:tcW w:type="dxa" w:w="4090"/>
            <w:tcMar>
              <w:top w:w="60" w:type="dxa"/>
              <w:start w:w="110" w:type="dxa"/>
              <w:bottom w:w="60" w:type="dxa"/>
              <w:end w:w="110" w:type="dxa"/>
            </w:tcMar>
          </w:tcPr>
          <w:p>
            <w:pPr>
              <w:spacing w:after="0"/>
            </w:pPr>
            <w:r/>
            <w:r>
              <w:rPr>
                <w:rFonts w:ascii="Calibri" w:hAnsi="Calibri"/>
                <w:b w:val="0"/>
                <w:i w:val="0"/>
                <w:color w:val="101828"/>
                <w:sz w:val="13"/>
              </w:rPr>
              <w:t>A private state between the member, the organiser and platform risk.</w:t>
            </w:r>
          </w:p>
        </w:tc>
        <w:tc>
          <w:tcPr>
            <w:tcW w:type="dxa" w:w="4032"/>
            <w:tcMar>
              <w:top w:w="60" w:type="dxa"/>
              <w:start w:w="110" w:type="dxa"/>
              <w:bottom w:w="60" w:type="dxa"/>
              <w:end w:w="110" w:type="dxa"/>
            </w:tcMar>
          </w:tcPr>
          <w:p>
            <w:pPr>
              <w:spacing w:after="0"/>
            </w:pPr>
            <w:r/>
            <w:r>
              <w:rPr>
                <w:rFonts w:ascii="Calibri" w:hAnsi="Calibri"/>
                <w:i/>
                <w:color w:val="101828"/>
                <w:sz w:val="13"/>
              </w:rPr>
              <w:t>failed member</w:t>
            </w:r>
            <w:r>
              <w:rPr>
                <w:rFonts w:ascii="Calibri" w:hAnsi="Calibri"/>
                <w:b w:val="0"/>
                <w:i w:val="0"/>
                <w:color w:val="101828"/>
                <w:sz w:val="13"/>
              </w:rPr>
              <w:t xml:space="preserve">, </w:t>
            </w:r>
            <w:r>
              <w:rPr>
                <w:rFonts w:ascii="Calibri" w:hAnsi="Calibri"/>
                <w:i/>
                <w:color w:val="101828"/>
                <w:sz w:val="13"/>
              </w:rPr>
              <w:t>defaulter</w:t>
            </w:r>
            <w:r>
              <w:rPr>
                <w:rFonts w:ascii="Calibri" w:hAnsi="Calibri"/>
                <w:b w:val="0"/>
                <w:i w:val="0"/>
                <w:color w:val="101828"/>
                <w:sz w:val="13"/>
              </w:rPr>
              <w:t xml:space="preserve">, </w:t>
            </w:r>
            <w:r>
              <w:rPr>
                <w:rFonts w:ascii="Calibri" w:hAnsi="Calibri"/>
                <w:i/>
                <w:color w:val="101828"/>
                <w:sz w:val="13"/>
              </w:rPr>
              <w:t>cheater</w:t>
            </w:r>
            <w:r>
              <w:rPr>
                <w:rFonts w:ascii="Calibri" w:hAnsi="Calibri"/>
                <w:b w:val="0"/>
                <w:i w:val="0"/>
                <w:color w:val="101828"/>
                <w:sz w:val="13"/>
              </w:rPr>
              <w:t xml:space="preserve"> in any member-facing surface.</w:t>
            </w:r>
          </w:p>
        </w:tc>
      </w:tr>
      <w:tr>
        <w:trPr>
          <w:cantSplit/>
        </w:trPr>
        <w:tc>
          <w:tcPr>
            <w:tcW w:type="dxa" w:w="1238"/>
            <w:tcMar>
              <w:top w:w="60" w:type="dxa"/>
              <w:start w:w="110" w:type="dxa"/>
              <w:bottom w:w="60" w:type="dxa"/>
              <w:end w:w="110" w:type="dxa"/>
            </w:tcMar>
            <w:shd w:val="clear" w:color="auto" w:fill="F4F7FB"/>
          </w:tcPr>
          <w:p>
            <w:pPr>
              <w:spacing w:after="0"/>
            </w:pPr>
            <w:r/>
            <w:r>
              <w:rPr>
                <w:rFonts w:ascii="Calibri" w:hAnsi="Calibri"/>
                <w:i/>
                <w:color w:val="101828"/>
                <w:sz w:val="13"/>
              </w:rPr>
              <w:t>verified</w:t>
            </w:r>
          </w:p>
        </w:tc>
        <w:tc>
          <w:tcPr>
            <w:tcW w:type="dxa" w:w="4090"/>
            <w:tcMar>
              <w:top w:w="60" w:type="dxa"/>
              <w:start w:w="110" w:type="dxa"/>
              <w:bottom w:w="60" w:type="dxa"/>
              <w:end w:w="110" w:type="dxa"/>
            </w:tcMar>
            <w:shd w:val="clear" w:color="auto" w:fill="F4F7FB"/>
          </w:tcPr>
          <w:p>
            <w:pPr>
              <w:spacing w:after="0"/>
            </w:pPr>
            <w:r/>
            <w:r>
              <w:rPr>
                <w:rFonts w:ascii="Calibri" w:hAnsi="Calibri"/>
                <w:b w:val="0"/>
                <w:i w:val="0"/>
                <w:color w:val="101828"/>
                <w:sz w:val="13"/>
              </w:rPr>
              <w:t xml:space="preserve">A completed </w:t>
            </w:r>
            <w:r>
              <w:rPr>
                <w:rFonts w:ascii="Consolas" w:hAnsi="Consolas"/>
                <w:color w:val="146EF5"/>
                <w:sz w:val="13"/>
              </w:rPr>
              <w:t>verification_checks</w:t>
            </w:r>
            <w:r>
              <w:rPr>
                <w:rFonts w:ascii="Calibri" w:hAnsi="Calibri"/>
                <w:b w:val="0"/>
                <w:i w:val="0"/>
                <w:color w:val="101828"/>
                <w:sz w:val="13"/>
              </w:rPr>
              <w:t xml:space="preserve"> row with a named outcome and a stated retention period.</w:t>
            </w:r>
          </w:p>
        </w:tc>
        <w:tc>
          <w:tcPr>
            <w:tcW w:type="dxa" w:w="4032"/>
            <w:tcMar>
              <w:top w:w="60" w:type="dxa"/>
              <w:start w:w="110" w:type="dxa"/>
              <w:bottom w:w="60" w:type="dxa"/>
              <w:end w:w="110" w:type="dxa"/>
            </w:tcMar>
            <w:shd w:val="clear" w:color="auto" w:fill="F4F7FB"/>
          </w:tcPr>
          <w:p>
            <w:pPr>
              <w:spacing w:after="0"/>
            </w:pPr>
            <w:r/>
            <w:r>
              <w:rPr>
                <w:rFonts w:ascii="Calibri" w:hAnsi="Calibri"/>
                <w:i/>
                <w:color w:val="101828"/>
                <w:sz w:val="13"/>
              </w:rPr>
              <w:t>trusted</w:t>
            </w:r>
            <w:r>
              <w:rPr>
                <w:rFonts w:ascii="Calibri" w:hAnsi="Calibri"/>
                <w:b w:val="0"/>
                <w:i w:val="0"/>
                <w:color w:val="101828"/>
                <w:sz w:val="13"/>
              </w:rPr>
              <w:t xml:space="preserve">, </w:t>
            </w:r>
            <w:r>
              <w:rPr>
                <w:rFonts w:ascii="Calibri" w:hAnsi="Calibri"/>
                <w:i/>
                <w:color w:val="101828"/>
                <w:sz w:val="13"/>
              </w:rPr>
              <w:t>safe</w:t>
            </w:r>
            <w:r>
              <w:rPr>
                <w:rFonts w:ascii="Calibri" w:hAnsi="Calibri"/>
                <w:b w:val="0"/>
                <w:i w:val="0"/>
                <w:color w:val="101828"/>
                <w:sz w:val="13"/>
              </w:rPr>
              <w:t xml:space="preserve">, </w:t>
            </w:r>
            <w:r>
              <w:rPr>
                <w:rFonts w:ascii="Calibri" w:hAnsi="Calibri"/>
                <w:i/>
                <w:color w:val="101828"/>
                <w:sz w:val="13"/>
              </w:rPr>
              <w:t>approved by the bank</w:t>
            </w:r>
            <w:r>
              <w:rPr>
                <w:rFonts w:ascii="Calibri" w:hAnsi="Calibri"/>
                <w:b w:val="0"/>
                <w:i w:val="0"/>
                <w:color w:val="101828"/>
                <w:sz w:val="13"/>
              </w:rPr>
              <w:t xml:space="preserve"> — all unconfirmed claims.</w:t>
            </w:r>
          </w:p>
        </w:tc>
      </w:tr>
      <w:tr>
        <w:trPr>
          <w:cantSplit/>
        </w:trPr>
        <w:tc>
          <w:tcPr>
            <w:tcW w:type="dxa" w:w="1238"/>
            <w:tcMar>
              <w:top w:w="60" w:type="dxa"/>
              <w:start w:w="110" w:type="dxa"/>
              <w:bottom w:w="60" w:type="dxa"/>
              <w:end w:w="110" w:type="dxa"/>
            </w:tcMar>
          </w:tcPr>
          <w:p>
            <w:pPr>
              <w:spacing w:after="0"/>
            </w:pPr>
            <w:r/>
            <w:r>
              <w:rPr>
                <w:rFonts w:ascii="Calibri" w:hAnsi="Calibri"/>
                <w:i/>
                <w:color w:val="101828"/>
                <w:sz w:val="13"/>
              </w:rPr>
              <w:t>refund</w:t>
            </w:r>
          </w:p>
        </w:tc>
        <w:tc>
          <w:tcPr>
            <w:tcW w:type="dxa" w:w="4090"/>
            <w:tcMar>
              <w:top w:w="60" w:type="dxa"/>
              <w:start w:w="110" w:type="dxa"/>
              <w:bottom w:w="60" w:type="dxa"/>
              <w:end w:w="110" w:type="dxa"/>
            </w:tcMar>
          </w:tcPr>
          <w:p>
            <w:pPr>
              <w:spacing w:after="0"/>
            </w:pPr>
            <w:r/>
            <w:r>
              <w:rPr>
                <w:rFonts w:ascii="Calibri" w:hAnsi="Calibri"/>
                <w:b w:val="0"/>
                <w:i w:val="0"/>
                <w:color w:val="101828"/>
                <w:sz w:val="13"/>
              </w:rPr>
              <w:t>A confirmed return of funds with a reference and a stated expected date.</w:t>
            </w:r>
          </w:p>
        </w:tc>
        <w:tc>
          <w:tcPr>
            <w:tcW w:type="dxa" w:w="4032"/>
            <w:tcMar>
              <w:top w:w="60" w:type="dxa"/>
              <w:start w:w="110" w:type="dxa"/>
              <w:bottom w:w="60" w:type="dxa"/>
              <w:end w:w="110" w:type="dxa"/>
            </w:tcMar>
          </w:tcPr>
          <w:p>
            <w:pPr>
              <w:spacing w:after="0"/>
            </w:pPr>
            <w:r/>
            <w:r>
              <w:rPr>
                <w:rFonts w:ascii="Calibri" w:hAnsi="Calibri"/>
                <w:i/>
                <w:color w:val="101828"/>
                <w:sz w:val="13"/>
              </w:rPr>
              <w:t>reversed</w:t>
            </w:r>
            <w:r>
              <w:rPr>
                <w:rFonts w:ascii="Calibri" w:hAnsi="Calibri"/>
                <w:b w:val="0"/>
                <w:i w:val="0"/>
                <w:color w:val="101828"/>
                <w:sz w:val="13"/>
              </w:rPr>
              <w:t xml:space="preserve"> used loosely for money that has not moved. Provider-side </w:t>
            </w:r>
            <w:r>
              <w:rPr>
                <w:rFonts w:ascii="Consolas" w:hAnsi="Consolas"/>
                <w:color w:val="146EF5"/>
                <w:sz w:val="13"/>
              </w:rPr>
              <w:t>REVERSED</w:t>
            </w:r>
            <w:r>
              <w:rPr>
                <w:rFonts w:ascii="Calibri" w:hAnsi="Calibri"/>
                <w:b w:val="0"/>
                <w:i w:val="0"/>
                <w:color w:val="101828"/>
                <w:sz w:val="13"/>
              </w:rPr>
              <w:t xml:space="preserve"> and member-facing </w:t>
            </w:r>
            <w:r>
              <w:rPr>
                <w:rFonts w:ascii="Calibri" w:hAnsi="Calibri"/>
                <w:i/>
                <w:color w:val="101828"/>
                <w:sz w:val="13"/>
              </w:rPr>
              <w:t>refund</w:t>
            </w:r>
            <w:r>
              <w:rPr>
                <w:rFonts w:ascii="Calibri" w:hAnsi="Calibri"/>
                <w:b w:val="0"/>
                <w:i w:val="0"/>
                <w:color w:val="101828"/>
                <w:sz w:val="13"/>
              </w:rPr>
              <w:t xml:space="preserve"> stay distinct.</w:t>
            </w:r>
          </w:p>
        </w:tc>
      </w:tr>
      <w:tr>
        <w:trPr>
          <w:cantSplit/>
        </w:trPr>
        <w:tc>
          <w:tcPr>
            <w:tcW w:type="dxa" w:w="1238"/>
            <w:tcMar>
              <w:top w:w="60" w:type="dxa"/>
              <w:start w:w="110" w:type="dxa"/>
              <w:bottom w:w="60" w:type="dxa"/>
              <w:end w:w="110" w:type="dxa"/>
            </w:tcMar>
            <w:shd w:val="clear" w:color="auto" w:fill="F4F7FB"/>
          </w:tcPr>
          <w:p>
            <w:pPr>
              <w:spacing w:after="0"/>
            </w:pPr>
            <w:r/>
            <w:r>
              <w:rPr>
                <w:rFonts w:ascii="Calibri" w:hAnsi="Calibri"/>
                <w:i/>
                <w:color w:val="101828"/>
                <w:sz w:val="13"/>
              </w:rPr>
              <w:t>Your Ajo. Your Story.</w:t>
            </w:r>
          </w:p>
        </w:tc>
        <w:tc>
          <w:tcPr>
            <w:tcW w:type="dxa" w:w="4090"/>
            <w:tcMar>
              <w:top w:w="60" w:type="dxa"/>
              <w:start w:w="110" w:type="dxa"/>
              <w:bottom w:w="60" w:type="dxa"/>
              <w:end w:w="110" w:type="dxa"/>
            </w:tcMar>
            <w:shd w:val="clear" w:color="auto" w:fill="F4F7FB"/>
          </w:tcPr>
          <w:p>
            <w:pPr>
              <w:spacing w:after="0"/>
            </w:pPr>
            <w:r/>
            <w:r>
              <w:rPr>
                <w:rFonts w:ascii="Calibri" w:hAnsi="Calibri"/>
                <w:b w:val="0"/>
                <w:i w:val="0"/>
                <w:color w:val="101828"/>
                <w:sz w:val="13"/>
              </w:rPr>
              <w:t>The locked tagline (CAN §0).</w:t>
            </w:r>
          </w:p>
        </w:tc>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3"/>
              </w:rPr>
              <w:t xml:space="preserve">Every other tagline, including </w:t>
            </w:r>
            <w:r>
              <w:rPr>
                <w:rFonts w:ascii="Calibri" w:hAnsi="Calibri"/>
                <w:i/>
                <w:color w:val="101828"/>
                <w:sz w:val="13"/>
              </w:rPr>
              <w:t>Save together. Take your turn.</w:t>
            </w:r>
            <w:r>
              <w:rPr>
                <w:rFonts w:ascii="Calibri" w:hAnsi="Calibri"/>
                <w:b w:val="0"/>
                <w:i w:val="0"/>
                <w:color w:val="101828"/>
                <w:sz w:val="13"/>
              </w:rPr>
              <w:t>, which is not used.</w:t>
            </w:r>
          </w:p>
        </w:tc>
      </w:tr>
    </w:tbl>
    <w:p>
      <w:pPr>
        <w:spacing w:after="80"/>
      </w:pPr>
    </w:p>
    <w:p>
      <w:pPr>
        <w:pStyle w:val="Heading2"/>
      </w:pPr>
      <w:r>
        <w:rPr>
          <w:rFonts w:ascii="Calibri" w:hAnsi="Calibri"/>
          <w:b/>
          <w:i w:val="0"/>
          <w:color w:val="146EF5"/>
          <w:sz w:val="29"/>
        </w:rPr>
        <w:t>4.2 Accessibility standard</w:t>
      </w:r>
    </w:p>
    <w:p>
      <w:pPr>
        <w:pStyle w:val="Heading3"/>
      </w:pPr>
      <w:r>
        <w:rPr>
          <w:rFonts w:ascii="Calibri" w:hAnsi="Calibri"/>
          <w:b/>
          <w:i w:val="0"/>
          <w:color w:val="0B1F3A"/>
          <w:sz w:val="24"/>
        </w:rPr>
        <w:t>4.2.1 The target, and what it is not</w:t>
      </w:r>
    </w:p>
    <w:p>
      <w:pPr>
        <w:spacing w:before="140" w:after="180"/>
        <w:ind w:left="144"/>
        <w:shd w:val="clear" w:color="auto" w:fill="FEF3C7"/>
        <w:pBdr>
          <w:left w:val="single" w:sz="18" w:space="6" w:color="FBBF24"/>
        </w:pBdr>
      </w:pPr>
      <w:r>
        <w:rPr>
          <w:rFonts w:ascii="Calibri" w:hAnsi="Calibri"/>
          <w:b/>
          <w:color w:val="FBBF24"/>
          <w:sz w:val="19"/>
        </w:rPr>
        <w:t xml:space="preserve">WCAG 2.2 AA is the design target, not a conformance claim  </w:t>
      </w:r>
      <w:r>
        <w:rPr>
          <w:rFonts w:ascii="Calibri" w:hAnsi="Calibri"/>
          <w:b/>
          <w:color w:val="0B1F3A"/>
          <w:sz w:val="19"/>
        </w:rPr>
        <w:t>This specification sets WCAG 2.2 Level AA as the design and build target for every screen in this document. It does not claim that AJO.ng conforms to WCAG 2.2 Level AA, and no such claim may be published, marketed, or included in any terms, privacy notice, app-store listing or sales document until a conformance claim has been produced by a human accessibility test against the built product and reviewed. An unverified conformance claim is a false statement to customers, and the people least able to challenge it are exactly the people who would be harmed by it.</w:t>
      </w:r>
      <w:r>
        <w:rPr>
          <w:rFonts w:ascii="Calibri" w:hAnsi="Calibri"/>
          <w:b w:val="0"/>
          <w:i w:val="0"/>
          <w:color w:val="0B1F3A"/>
          <w:sz w:val="19"/>
        </w:rPr>
        <w:t xml:space="preserve"> The verification plan is 4.2.4 and its resourcing is an open item.</w:t>
      </w:r>
    </w:p>
    <w:p>
      <w:r>
        <w:rPr>
          <w:rFonts w:ascii="Calibri" w:hAnsi="Calibri"/>
          <w:b/>
          <w:color w:val="101828"/>
          <w:sz w:val="21"/>
        </w:rPr>
        <w:t>Why AA is the target rather than AAA.</w:t>
      </w:r>
      <w:r>
        <w:rPr>
          <w:rFonts w:ascii="Calibri" w:hAnsi="Calibri"/>
          <w:b w:val="0"/>
          <w:i w:val="0"/>
          <w:color w:val="101828"/>
          <w:sz w:val="21"/>
        </w:rPr>
        <w:t xml:space="preserve"> The demographic reason comes first: an Ajo recruits through social trust, and social trust recruits the oldest member of the group, who is trusted with money and is often not trusted with interfaces. It also recruits members on low-end Android devices where a two-megabyte bundle is a four-second first paint, and members on entry-level handsets over networks that drop mid-request. The technical reason comes second: several of the failure modes in 4.2.2 are expensive to fix after a screen is built, so targeting AA front-loads the cost into design instead of charging it to members.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613"/>
            <w:shd w:val="clear" w:color="auto" w:fill="0B1F3A"/>
            <w:tcMar>
              <w:top w:w="60" w:type="dxa"/>
              <w:start w:w="110" w:type="dxa"/>
              <w:bottom w:w="60" w:type="dxa"/>
              <w:end w:w="110" w:type="dxa"/>
            </w:tcMar>
          </w:tcPr>
          <w:p>
            <w:pPr>
              <w:spacing w:after="0"/>
            </w:pPr>
            <w:r/>
            <w:r>
              <w:rPr>
                <w:rFonts w:ascii="Calibri" w:hAnsi="Calibri"/>
                <w:b/>
                <w:i w:val="0"/>
                <w:color w:val="FFFFFF"/>
                <w:sz w:val="14"/>
              </w:rPr>
              <w:t>Commitment</w:t>
            </w:r>
          </w:p>
        </w:tc>
        <w:tc>
          <w:tcPr>
            <w:tcW w:type="dxa" w:w="4810"/>
            <w:shd w:val="clear" w:color="auto" w:fill="0B1F3A"/>
            <w:tcMar>
              <w:top w:w="60" w:type="dxa"/>
              <w:start w:w="110" w:type="dxa"/>
              <w:bottom w:w="60" w:type="dxa"/>
              <w:end w:w="110" w:type="dxa"/>
            </w:tcMar>
          </w:tcPr>
          <w:p>
            <w:pPr>
              <w:spacing w:after="0"/>
            </w:pPr>
            <w:r/>
            <w:r>
              <w:rPr>
                <w:rFonts w:ascii="Calibri" w:hAnsi="Calibri"/>
                <w:b/>
                <w:i w:val="0"/>
                <w:color w:val="FFFFFF"/>
                <w:sz w:val="14"/>
              </w:rPr>
              <w:t>What is targeted</w:t>
            </w:r>
          </w:p>
        </w:tc>
        <w:tc>
          <w:tcPr>
            <w:tcW w:type="dxa" w:w="2938"/>
            <w:shd w:val="clear" w:color="auto" w:fill="0B1F3A"/>
            <w:tcMar>
              <w:top w:w="60" w:type="dxa"/>
              <w:start w:w="110" w:type="dxa"/>
              <w:bottom w:w="60" w:type="dxa"/>
              <w:end w:w="110" w:type="dxa"/>
            </w:tcMar>
          </w:tcPr>
          <w:p>
            <w:pPr>
              <w:spacing w:after="0"/>
            </w:pPr>
            <w:r/>
            <w:r>
              <w:rPr>
                <w:rFonts w:ascii="Calibri" w:hAnsi="Calibri"/>
                <w:b/>
                <w:i w:val="0"/>
                <w:color w:val="FFFFFF"/>
                <w:sz w:val="14"/>
              </w:rPr>
              <w:t>Status</w:t>
            </w:r>
          </w:p>
        </w:tc>
      </w:tr>
      <w:tr>
        <w:trPr>
          <w:cantSplit/>
        </w:trPr>
        <w:tc>
          <w:tcPr>
            <w:tcW w:type="dxa" w:w="1613"/>
            <w:tcMar>
              <w:top w:w="60" w:type="dxa"/>
              <w:start w:w="110" w:type="dxa"/>
              <w:bottom w:w="60" w:type="dxa"/>
              <w:end w:w="110" w:type="dxa"/>
            </w:tcMar>
          </w:tcPr>
          <w:p>
            <w:pPr>
              <w:spacing w:after="0"/>
            </w:pPr>
            <w:r/>
            <w:r>
              <w:rPr>
                <w:rFonts w:ascii="Calibri" w:hAnsi="Calibri"/>
                <w:b/>
                <w:color w:val="101828"/>
                <w:sz w:val="14"/>
              </w:rPr>
              <w:t>WCAG 2.2 Level AA</w:t>
            </w:r>
          </w:p>
        </w:tc>
        <w:tc>
          <w:tcPr>
            <w:tcW w:type="dxa" w:w="4810"/>
            <w:tcMar>
              <w:top w:w="60" w:type="dxa"/>
              <w:start w:w="110" w:type="dxa"/>
              <w:bottom w:w="60" w:type="dxa"/>
              <w:end w:w="110" w:type="dxa"/>
            </w:tcMar>
          </w:tcPr>
          <w:p>
            <w:pPr>
              <w:spacing w:after="0"/>
            </w:pPr>
            <w:r/>
            <w:r>
              <w:rPr>
                <w:rFonts w:ascii="Calibri" w:hAnsi="Calibri"/>
                <w:b w:val="0"/>
                <w:i w:val="0"/>
                <w:color w:val="101828"/>
                <w:sz w:val="14"/>
              </w:rPr>
              <w:t>All A and AA success criteria across every tier-1, tier-2 and tier-3 screen in this document.</w:t>
            </w:r>
          </w:p>
        </w:tc>
        <w:tc>
          <w:tcPr>
            <w:tcW w:type="dxa" w:w="2938"/>
            <w:tcMar>
              <w:top w:w="60" w:type="dxa"/>
              <w:start w:w="110" w:type="dxa"/>
              <w:bottom w:w="60" w:type="dxa"/>
              <w:end w:w="110" w:type="dxa"/>
            </w:tcMar>
          </w:tcPr>
          <w:p>
            <w:pPr>
              <w:spacing w:after="0"/>
            </w:pPr>
            <w:r/>
            <w:r>
              <w:rPr>
                <w:rFonts w:ascii="Calibri" w:hAnsi="Calibri"/>
                <w:b w:val="0"/>
                <w:i w:val="0"/>
                <w:color w:val="101828"/>
                <w:sz w:val="14"/>
              </w:rPr>
              <w:t>Design and build target. Not yet verified. No public claim is made.</w:t>
            </w:r>
          </w:p>
        </w:tc>
      </w:tr>
      <w:tr>
        <w:trPr>
          <w:cantSplit/>
        </w:trPr>
        <w:tc>
          <w:tcPr>
            <w:tcW w:type="dxa" w:w="1613"/>
            <w:tcMar>
              <w:top w:w="60" w:type="dxa"/>
              <w:start w:w="110" w:type="dxa"/>
              <w:bottom w:w="60" w:type="dxa"/>
              <w:end w:w="110" w:type="dxa"/>
            </w:tcMar>
            <w:shd w:val="clear" w:color="auto" w:fill="F4F7FB"/>
          </w:tcPr>
          <w:p>
            <w:pPr>
              <w:spacing w:after="0"/>
            </w:pPr>
            <w:r/>
            <w:r>
              <w:rPr>
                <w:rFonts w:ascii="Calibri" w:hAnsi="Calibri"/>
                <w:b/>
                <w:color w:val="101828"/>
                <w:sz w:val="14"/>
              </w:rPr>
              <w:t>Selected AAA where it is cheap</w:t>
            </w:r>
          </w:p>
        </w:tc>
        <w:tc>
          <w:tcPr>
            <w:tcW w:type="dxa" w:w="4810"/>
            <w:tcMar>
              <w:top w:w="60" w:type="dxa"/>
              <w:start w:w="110" w:type="dxa"/>
              <w:bottom w:w="60" w:type="dxa"/>
              <w:end w:w="110" w:type="dxa"/>
            </w:tcMar>
            <w:shd w:val="clear" w:color="auto" w:fill="F4F7FB"/>
          </w:tcPr>
          <w:p>
            <w:pPr>
              <w:spacing w:after="0"/>
            </w:pPr>
            <w:r/>
            <w:r>
              <w:rPr>
                <w:rFonts w:ascii="Calibri" w:hAnsi="Calibri"/>
                <w:b w:val="0"/>
                <w:i w:val="0"/>
                <w:color w:val="101828"/>
                <w:sz w:val="14"/>
              </w:rPr>
              <w:t>2.3.3 Animation from Interactions, 1.4.8 Visual Presentation, 2.4.11 Focus Not Obscured (Minimum), 2.5.5 Target Size (Enhanced).</w:t>
            </w:r>
          </w:p>
        </w:tc>
        <w:tc>
          <w:tcPr>
            <w:tcW w:type="dxa" w:w="2938"/>
            <w:tcMar>
              <w:top w:w="60" w:type="dxa"/>
              <w:start w:w="110" w:type="dxa"/>
              <w:bottom w:w="60" w:type="dxa"/>
              <w:end w:w="110" w:type="dxa"/>
            </w:tcMar>
            <w:shd w:val="clear" w:color="auto" w:fill="F4F7FB"/>
          </w:tcPr>
          <w:p>
            <w:pPr>
              <w:spacing w:after="0"/>
            </w:pPr>
            <w:r/>
            <w:r>
              <w:rPr>
                <w:rFonts w:ascii="Calibri" w:hAnsi="Calibri"/>
                <w:b w:val="0"/>
                <w:i w:val="0"/>
                <w:color w:val="101828"/>
                <w:sz w:val="14"/>
              </w:rPr>
              <w:t>Targeted. Cheap because the design system makes them the default rather than an addition.</w:t>
            </w:r>
          </w:p>
        </w:tc>
      </w:tr>
      <w:tr>
        <w:trPr>
          <w:cantSplit/>
        </w:trPr>
        <w:tc>
          <w:tcPr>
            <w:tcW w:type="dxa" w:w="1613"/>
            <w:tcMar>
              <w:top w:w="60" w:type="dxa"/>
              <w:start w:w="110" w:type="dxa"/>
              <w:bottom w:w="60" w:type="dxa"/>
              <w:end w:w="110" w:type="dxa"/>
            </w:tcMar>
          </w:tcPr>
          <w:p>
            <w:pPr>
              <w:spacing w:after="0"/>
            </w:pPr>
            <w:r/>
            <w:r>
              <w:rPr>
                <w:rFonts w:ascii="Calibri" w:hAnsi="Calibri"/>
                <w:b/>
                <w:color w:val="101828"/>
                <w:sz w:val="14"/>
              </w:rPr>
              <w:t>Section 508 / EN 301 549</w:t>
            </w:r>
          </w:p>
        </w:tc>
        <w:tc>
          <w:tcPr>
            <w:tcW w:type="dxa" w:w="4810"/>
            <w:tcMar>
              <w:top w:w="60" w:type="dxa"/>
              <w:start w:w="110" w:type="dxa"/>
              <w:bottom w:w="60" w:type="dxa"/>
              <w:end w:w="110" w:type="dxa"/>
            </w:tcMar>
          </w:tcPr>
          <w:p>
            <w:pPr>
              <w:spacing w:after="0"/>
            </w:pPr>
            <w:r/>
            <w:r>
              <w:rPr>
                <w:rFonts w:ascii="Calibri" w:hAnsi="Calibri"/>
                <w:b w:val="0"/>
                <w:i w:val="0"/>
                <w:color w:val="101828"/>
                <w:sz w:val="14"/>
              </w:rPr>
              <w:t>Not targeted. Requires the conformance claim above to be produced first.</w:t>
            </w:r>
          </w:p>
        </w:tc>
        <w:tc>
          <w:tcPr>
            <w:tcW w:type="dxa" w:w="2938"/>
            <w:tcMar>
              <w:top w:w="60" w:type="dxa"/>
              <w:start w:w="110" w:type="dxa"/>
              <w:bottom w:w="60" w:type="dxa"/>
              <w:end w:w="110" w:type="dxa"/>
            </w:tcMar>
          </w:tcPr>
          <w:p>
            <w:pPr>
              <w:spacing w:after="0"/>
            </w:pPr>
            <w:r/>
            <w:r>
              <w:rPr>
                <w:rFonts w:ascii="Calibri" w:hAnsi="Calibri"/>
                <w:b w:val="0"/>
                <w:i w:val="0"/>
                <w:color w:val="101828"/>
                <w:sz w:val="14"/>
              </w:rPr>
              <w:t xml:space="preserve">Out of scope for v1. </w:t>
            </w:r>
            <w:r>
              <w:rPr>
                <w:rFonts w:ascii="Calibri" w:hAnsi="Calibri"/>
                <w:b/>
                <w:color w:val="101828"/>
                <w:sz w:val="14"/>
              </w:rPr>
              <w:t>Requires review by qualified Nigerian counsel</w:t>
            </w:r>
            <w:r>
              <w:rPr>
                <w:rFonts w:ascii="Calibri" w:hAnsi="Calibri"/>
                <w:b w:val="0"/>
                <w:i w:val="0"/>
                <w:color w:val="101828"/>
                <w:sz w:val="14"/>
              </w:rPr>
              <w:t xml:space="preserve"> if public-sector or partner procurement ever enters scope.</w:t>
            </w:r>
          </w:p>
        </w:tc>
      </w:tr>
      <w:tr>
        <w:trPr>
          <w:cantSplit/>
        </w:trPr>
        <w:tc>
          <w:tcPr>
            <w:tcW w:type="dxa" w:w="1613"/>
            <w:tcMar>
              <w:top w:w="60" w:type="dxa"/>
              <w:start w:w="110" w:type="dxa"/>
              <w:bottom w:w="60" w:type="dxa"/>
              <w:end w:w="110" w:type="dxa"/>
            </w:tcMar>
            <w:shd w:val="clear" w:color="auto" w:fill="F4F7FB"/>
          </w:tcPr>
          <w:p>
            <w:pPr>
              <w:spacing w:after="0"/>
            </w:pPr>
            <w:r/>
            <w:r>
              <w:rPr>
                <w:rFonts w:ascii="Calibri" w:hAnsi="Calibri"/>
                <w:b/>
                <w:color w:val="101828"/>
                <w:sz w:val="14"/>
              </w:rPr>
              <w:t>Plain-language target</w:t>
            </w:r>
          </w:p>
        </w:tc>
        <w:tc>
          <w:tcPr>
            <w:tcW w:type="dxa" w:w="4810"/>
            <w:tcMar>
              <w:top w:w="60" w:type="dxa"/>
              <w:start w:w="110" w:type="dxa"/>
              <w:bottom w:w="60" w:type="dxa"/>
              <w:end w:w="110" w:type="dxa"/>
            </w:tcMar>
            <w:shd w:val="clear" w:color="auto" w:fill="F4F7FB"/>
          </w:tcPr>
          <w:p>
            <w:pPr>
              <w:spacing w:after="0"/>
            </w:pPr>
            <w:r/>
            <w:r>
              <w:rPr>
                <w:rFonts w:ascii="Calibri" w:hAnsi="Calibri"/>
                <w:b w:val="0"/>
                <w:i w:val="0"/>
                <w:color w:val="101828"/>
                <w:sz w:val="14"/>
              </w:rPr>
              <w:t>Member-facing transactional copy at or below a defined reading age, checked in content review per 4.25.6.</w:t>
            </w:r>
          </w:p>
        </w:tc>
        <w:tc>
          <w:tcPr>
            <w:tcW w:type="dxa" w:w="2938"/>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No external standard is claimed and no certification is implied.</w:t>
            </w:r>
          </w:p>
        </w:tc>
      </w:tr>
      <w:tr>
        <w:trPr>
          <w:cantSplit/>
        </w:trPr>
        <w:tc>
          <w:tcPr>
            <w:tcW w:type="dxa" w:w="1613"/>
            <w:tcMar>
              <w:top w:w="60" w:type="dxa"/>
              <w:start w:w="110" w:type="dxa"/>
              <w:bottom w:w="60" w:type="dxa"/>
              <w:end w:w="110" w:type="dxa"/>
            </w:tcMar>
          </w:tcPr>
          <w:p>
            <w:pPr>
              <w:spacing w:after="0"/>
            </w:pPr>
            <w:r/>
            <w:r>
              <w:rPr>
                <w:rFonts w:ascii="Calibri" w:hAnsi="Calibri"/>
                <w:b/>
                <w:color w:val="101828"/>
                <w:sz w:val="14"/>
              </w:rPr>
              <w:t>Assistive-technology coverage</w:t>
            </w:r>
          </w:p>
        </w:tc>
        <w:tc>
          <w:tcPr>
            <w:tcW w:type="dxa" w:w="4810"/>
            <w:tcMar>
              <w:top w:w="60" w:type="dxa"/>
              <w:start w:w="110" w:type="dxa"/>
              <w:bottom w:w="60" w:type="dxa"/>
              <w:end w:w="110" w:type="dxa"/>
            </w:tcMar>
          </w:tcPr>
          <w:p>
            <w:pPr>
              <w:spacing w:after="0"/>
            </w:pPr>
            <w:r/>
            <w:r>
              <w:rPr>
                <w:rFonts w:ascii="Calibri" w:hAnsi="Calibri"/>
                <w:b w:val="0"/>
                <w:i w:val="0"/>
                <w:color w:val="101828"/>
                <w:sz w:val="14"/>
              </w:rPr>
              <w:t>Android TalkBack, iOS VoiceOver, NVDA on Windows, browser zoom to 400 percent, and a switch-access pass on the money journey.</w:t>
            </w:r>
          </w:p>
        </w:tc>
        <w:tc>
          <w:tcPr>
            <w:tcW w:type="dxa" w:w="2938"/>
            <w:tcMar>
              <w:top w:w="60" w:type="dxa"/>
              <w:start w:w="110" w:type="dxa"/>
              <w:bottom w:w="60" w:type="dxa"/>
              <w:end w:w="110" w:type="dxa"/>
            </w:tcMar>
          </w:tcPr>
          <w:p>
            <w:pPr>
              <w:spacing w:after="0"/>
            </w:pPr>
            <w:r/>
            <w:r>
              <w:rPr>
                <w:rFonts w:ascii="Calibri" w:hAnsi="Calibri"/>
                <w:b w:val="0"/>
                <w:i w:val="0"/>
                <w:color w:val="101828"/>
                <w:sz w:val="14"/>
              </w:rPr>
              <w:t>Required before launch. See 4.2.4.</w:t>
            </w:r>
          </w:p>
        </w:tc>
      </w:tr>
    </w:tbl>
    <w:p>
      <w:pPr>
        <w:spacing w:after="80"/>
      </w:pPr>
    </w:p>
    <w:p>
      <w:pPr>
        <w:pStyle w:val="Heading3"/>
      </w:pPr>
      <w:r>
        <w:rPr>
          <w:rFonts w:ascii="Calibri" w:hAnsi="Calibri"/>
          <w:b/>
          <w:i w:val="0"/>
          <w:color w:val="0B1F3A"/>
          <w:sz w:val="24"/>
        </w:rPr>
        <w:t>4.2.2 Product-specific failure modes</w:t>
      </w:r>
    </w:p>
    <w:p>
      <w:r>
        <w:rPr>
          <w:rFonts w:ascii="Calibri" w:hAnsi="Calibri"/>
          <w:b w:val="0"/>
          <w:i w:val="0"/>
          <w:color w:val="101828"/>
          <w:sz w:val="21"/>
        </w:rPr>
        <w:t xml:space="preserve">A generic accessibility checklist would catch almost none of these. Each is a property of </w:t>
      </w:r>
      <w:r>
        <w:rPr>
          <w:rFonts w:ascii="Calibri" w:hAnsi="Calibri"/>
          <w:i/>
          <w:color w:val="101828"/>
          <w:sz w:val="21"/>
        </w:rPr>
        <w:t>this</w:t>
      </w:r>
      <w:r>
        <w:rPr>
          <w:rFonts w:ascii="Calibri" w:hAnsi="Calibri"/>
          <w:b w:val="0"/>
          <w:i w:val="0"/>
          <w:color w:val="101828"/>
          <w:sz w:val="21"/>
        </w:rPr>
        <w:t xml:space="preserve"> product — a rotating savings scheme settled by people who did not choose the software — so each carries a binding rule rather than a guideline. Every rule here is carried into the per-screen Accessibility row in 4.4 to 4.23.</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843"/>
            <w:shd w:val="clear" w:color="auto" w:fill="0B1F3A"/>
            <w:tcMar>
              <w:top w:w="60" w:type="dxa"/>
              <w:start w:w="110" w:type="dxa"/>
              <w:bottom w:w="60" w:type="dxa"/>
              <w:end w:w="110" w:type="dxa"/>
            </w:tcMar>
          </w:tcPr>
          <w:p>
            <w:pPr>
              <w:spacing w:after="0"/>
            </w:pPr>
            <w:r/>
            <w:r>
              <w:rPr>
                <w:rFonts w:ascii="Calibri" w:hAnsi="Calibri"/>
                <w:b/>
                <w:i w:val="0"/>
                <w:color w:val="FFFFFF"/>
                <w:sz w:val="13"/>
              </w:rPr>
              <w:t>Failure mode</w:t>
            </w:r>
          </w:p>
        </w:tc>
        <w:tc>
          <w:tcPr>
            <w:tcW w:type="dxa" w:w="2045"/>
            <w:shd w:val="clear" w:color="auto" w:fill="0B1F3A"/>
            <w:tcMar>
              <w:top w:w="60" w:type="dxa"/>
              <w:start w:w="110" w:type="dxa"/>
              <w:bottom w:w="60" w:type="dxa"/>
              <w:end w:w="110" w:type="dxa"/>
            </w:tcMar>
          </w:tcPr>
          <w:p>
            <w:pPr>
              <w:spacing w:after="0"/>
            </w:pPr>
            <w:r/>
            <w:r>
              <w:rPr>
                <w:rFonts w:ascii="Calibri" w:hAnsi="Calibri"/>
                <w:b/>
                <w:i w:val="0"/>
                <w:color w:val="FFFFFF"/>
                <w:sz w:val="13"/>
              </w:rPr>
              <w:t>Who it affects</w:t>
            </w:r>
          </w:p>
        </w:tc>
        <w:tc>
          <w:tcPr>
            <w:tcW w:type="dxa" w:w="4003"/>
            <w:shd w:val="clear" w:color="auto" w:fill="0B1F3A"/>
            <w:tcMar>
              <w:top w:w="60" w:type="dxa"/>
              <w:start w:w="110" w:type="dxa"/>
              <w:bottom w:w="60" w:type="dxa"/>
              <w:end w:w="110" w:type="dxa"/>
            </w:tcMar>
          </w:tcPr>
          <w:p>
            <w:pPr>
              <w:spacing w:after="0"/>
            </w:pPr>
            <w:r/>
            <w:r>
              <w:rPr>
                <w:rFonts w:ascii="Calibri" w:hAnsi="Calibri"/>
                <w:b/>
                <w:i w:val="0"/>
                <w:color w:val="FFFFFF"/>
                <w:sz w:val="13"/>
              </w:rPr>
              <w:t>Binding rule</w:t>
            </w:r>
          </w:p>
        </w:tc>
        <w:tc>
          <w:tcPr>
            <w:tcW w:type="dxa" w:w="749"/>
            <w:shd w:val="clear" w:color="auto" w:fill="0B1F3A"/>
            <w:tcMar>
              <w:top w:w="60" w:type="dxa"/>
              <w:start w:w="110" w:type="dxa"/>
              <w:bottom w:w="60" w:type="dxa"/>
              <w:end w:w="110" w:type="dxa"/>
            </w:tcMar>
          </w:tcPr>
          <w:p>
            <w:pPr>
              <w:spacing w:after="0"/>
            </w:pPr>
            <w:r/>
            <w:r>
              <w:rPr>
                <w:rFonts w:ascii="Calibri" w:hAnsi="Calibri"/>
                <w:b/>
                <w:i w:val="0"/>
                <w:color w:val="FFFFFF"/>
                <w:sz w:val="13"/>
              </w:rPr>
              <w:t>Criterion</w:t>
            </w:r>
          </w:p>
        </w:tc>
      </w:tr>
      <w:tr>
        <w:trPr>
          <w:cantSplit/>
        </w:trPr>
        <w:tc>
          <w:tcPr>
            <w:tcW w:type="dxa" w:w="1843"/>
            <w:tcMar>
              <w:top w:w="60" w:type="dxa"/>
              <w:start w:w="110" w:type="dxa"/>
              <w:bottom w:w="60" w:type="dxa"/>
              <w:end w:w="110" w:type="dxa"/>
            </w:tcMar>
          </w:tcPr>
          <w:p>
            <w:pPr>
              <w:spacing w:after="0"/>
            </w:pPr>
            <w:r/>
            <w:r>
              <w:rPr>
                <w:rFonts w:ascii="Calibri" w:hAnsi="Calibri"/>
                <w:b w:val="0"/>
                <w:i w:val="0"/>
                <w:color w:val="101828"/>
                <w:sz w:val="13"/>
              </w:rPr>
              <w:t>The 2% fee hidden inside a single total</w:t>
            </w:r>
          </w:p>
        </w:tc>
        <w:tc>
          <w:tcPr>
            <w:tcW w:type="dxa" w:w="2045"/>
            <w:tcMar>
              <w:top w:w="60" w:type="dxa"/>
              <w:start w:w="110" w:type="dxa"/>
              <w:bottom w:w="60" w:type="dxa"/>
              <w:end w:w="110" w:type="dxa"/>
            </w:tcMar>
          </w:tcPr>
          <w:p>
            <w:pPr>
              <w:spacing w:after="0"/>
            </w:pPr>
            <w:r/>
            <w:r>
              <w:rPr>
                <w:rFonts w:ascii="Calibri" w:hAnsi="Calibri"/>
                <w:b w:val="0"/>
                <w:i w:val="0"/>
                <w:color w:val="101828"/>
                <w:sz w:val="13"/>
              </w:rPr>
              <w:t>Everyone; most acutely low-literacy users, screen reader users, and anyone paying by reading the number not the line</w:t>
            </w:r>
          </w:p>
        </w:tc>
        <w:tc>
          <w:tcPr>
            <w:tcW w:type="dxa" w:w="4003"/>
            <w:tcMar>
              <w:top w:w="60" w:type="dxa"/>
              <w:start w:w="110" w:type="dxa"/>
              <w:bottom w:w="60" w:type="dxa"/>
              <w:end w:w="110" w:type="dxa"/>
            </w:tcMar>
          </w:tcPr>
          <w:p>
            <w:pPr>
              <w:spacing w:after="0"/>
            </w:pPr>
            <w:r/>
            <w:r>
              <w:rPr>
                <w:rFonts w:ascii="Calibri" w:hAnsi="Calibri"/>
                <w:b w:val="0"/>
                <w:i w:val="0"/>
                <w:color w:val="101828"/>
                <w:sz w:val="13"/>
              </w:rPr>
              <w:t>The money surface is one component that cannot render without separate contribution, fee and total lines. There is no compact variant. See 4.12.2.</w:t>
            </w:r>
          </w:p>
        </w:tc>
        <w:tc>
          <w:tcPr>
            <w:tcW w:type="dxa" w:w="749"/>
            <w:tcMar>
              <w:top w:w="60" w:type="dxa"/>
              <w:start w:w="110" w:type="dxa"/>
              <w:bottom w:w="60" w:type="dxa"/>
              <w:end w:w="110" w:type="dxa"/>
            </w:tcMar>
          </w:tcPr>
          <w:p>
            <w:pPr>
              <w:spacing w:after="0"/>
            </w:pPr>
            <w:r/>
            <w:r>
              <w:rPr>
                <w:rFonts w:ascii="Calibri" w:hAnsi="Calibri"/>
                <w:b w:val="0"/>
                <w:i w:val="0"/>
                <w:color w:val="101828"/>
                <w:sz w:val="13"/>
              </w:rPr>
              <w:t>1.3.1, 3.3.2, 1.4.1</w:t>
            </w:r>
          </w:p>
        </w:tc>
      </w:tr>
      <w:tr>
        <w:trPr>
          <w:cantSplit/>
        </w:trPr>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3"/>
              </w:rPr>
              <w:t>State carried by colour only</w:t>
            </w:r>
          </w:p>
        </w:tc>
        <w:tc>
          <w:tcPr>
            <w:tcW w:type="dxa" w:w="2045"/>
            <w:tcMar>
              <w:top w:w="60" w:type="dxa"/>
              <w:start w:w="110" w:type="dxa"/>
              <w:bottom w:w="60" w:type="dxa"/>
              <w:end w:w="110" w:type="dxa"/>
            </w:tcMar>
            <w:shd w:val="clear" w:color="auto" w:fill="F4F7FB"/>
          </w:tcPr>
          <w:p>
            <w:pPr>
              <w:spacing w:after="0"/>
            </w:pPr>
            <w:r/>
            <w:r>
              <w:rPr>
                <w:rFonts w:ascii="Calibri" w:hAnsi="Calibri"/>
                <w:b w:val="0"/>
                <w:i w:val="0"/>
                <w:color w:val="101828"/>
                <w:sz w:val="13"/>
              </w:rPr>
              <w:t>Colour-blind members, low vision, and every member in direct sunlight</w:t>
            </w:r>
          </w:p>
        </w:tc>
        <w:tc>
          <w:tcPr>
            <w:tcW w:type="dxa" w:w="4003"/>
            <w:tcMar>
              <w:top w:w="60" w:type="dxa"/>
              <w:start w:w="110" w:type="dxa"/>
              <w:bottom w:w="60" w:type="dxa"/>
              <w:end w:w="110" w:type="dxa"/>
            </w:tcMar>
            <w:shd w:val="clear" w:color="auto" w:fill="F4F7FB"/>
          </w:tcPr>
          <w:p>
            <w:pPr>
              <w:spacing w:after="0"/>
            </w:pPr>
            <w:r/>
            <w:r>
              <w:rPr>
                <w:rFonts w:ascii="Calibri" w:hAnsi="Calibri"/>
                <w:b w:val="0"/>
                <w:i w:val="0"/>
                <w:color w:val="101828"/>
                <w:sz w:val="13"/>
              </w:rPr>
              <w:t xml:space="preserve">Every state renders as a word inside a filled pill. A coloured dot is decorative and carries </w:t>
            </w:r>
            <w:r>
              <w:rPr>
                <w:rFonts w:ascii="Consolas" w:hAnsi="Consolas"/>
                <w:color w:val="146EF5"/>
                <w:sz w:val="13"/>
              </w:rPr>
              <w:t>aria-hidden</w:t>
            </w:r>
            <w:r>
              <w:rPr>
                <w:rFonts w:ascii="Calibri" w:hAnsi="Calibri"/>
                <w:b w:val="0"/>
                <w:i w:val="0"/>
                <w:color w:val="101828"/>
                <w:sz w:val="13"/>
              </w:rPr>
              <w:t>. A red cell never means late on its own.</w:t>
            </w:r>
          </w:p>
        </w:tc>
        <w:tc>
          <w:tcPr>
            <w:tcW w:type="dxa" w:w="749"/>
            <w:tcMar>
              <w:top w:w="60" w:type="dxa"/>
              <w:start w:w="110" w:type="dxa"/>
              <w:bottom w:w="60" w:type="dxa"/>
              <w:end w:w="110" w:type="dxa"/>
            </w:tcMar>
            <w:shd w:val="clear" w:color="auto" w:fill="F4F7FB"/>
          </w:tcPr>
          <w:p>
            <w:pPr>
              <w:spacing w:after="0"/>
            </w:pPr>
            <w:r/>
            <w:r>
              <w:rPr>
                <w:rFonts w:ascii="Calibri" w:hAnsi="Calibri"/>
                <w:b w:val="0"/>
                <w:i w:val="0"/>
                <w:color w:val="101828"/>
                <w:sz w:val="13"/>
              </w:rPr>
              <w:t>1.4.1, 1.4.11</w:t>
            </w:r>
          </w:p>
        </w:tc>
      </w:tr>
      <w:tr>
        <w:trPr>
          <w:cantSplit/>
        </w:trPr>
        <w:tc>
          <w:tcPr>
            <w:tcW w:type="dxa" w:w="1843"/>
            <w:tcMar>
              <w:top w:w="60" w:type="dxa"/>
              <w:start w:w="110" w:type="dxa"/>
              <w:bottom w:w="60" w:type="dxa"/>
              <w:end w:w="110" w:type="dxa"/>
            </w:tcMar>
          </w:tcPr>
          <w:p>
            <w:pPr>
              <w:spacing w:after="0"/>
            </w:pPr>
            <w:r/>
            <w:r>
              <w:rPr>
                <w:rFonts w:ascii="Calibri" w:hAnsi="Calibri"/>
                <w:b w:val="0"/>
                <w:i w:val="0"/>
                <w:color w:val="101828"/>
                <w:sz w:val="13"/>
              </w:rPr>
              <w:t>Amounts announced without a currency or a noun</w:t>
            </w:r>
          </w:p>
        </w:tc>
        <w:tc>
          <w:tcPr>
            <w:tcW w:type="dxa" w:w="2045"/>
            <w:tcMar>
              <w:top w:w="60" w:type="dxa"/>
              <w:start w:w="110" w:type="dxa"/>
              <w:bottom w:w="60" w:type="dxa"/>
              <w:end w:w="110" w:type="dxa"/>
            </w:tcMar>
          </w:tcPr>
          <w:p>
            <w:pPr>
              <w:spacing w:after="0"/>
            </w:pPr>
            <w:r/>
            <w:r>
              <w:rPr>
                <w:rFonts w:ascii="Calibri" w:hAnsi="Calibri"/>
                <w:b w:val="0"/>
                <w:i w:val="0"/>
                <w:color w:val="101828"/>
                <w:sz w:val="13"/>
              </w:rPr>
              <w:t>Screen reader users</w:t>
            </w:r>
          </w:p>
        </w:tc>
        <w:tc>
          <w:tcPr>
            <w:tcW w:type="dxa" w:w="4003"/>
            <w:tcMar>
              <w:top w:w="60" w:type="dxa"/>
              <w:start w:w="110" w:type="dxa"/>
              <w:bottom w:w="60" w:type="dxa"/>
              <w:end w:w="110" w:type="dxa"/>
            </w:tcMar>
          </w:tcPr>
          <w:p>
            <w:pPr>
              <w:spacing w:after="0"/>
            </w:pPr>
            <w:r/>
            <w:r>
              <w:rPr>
                <w:rFonts w:ascii="Calibri" w:hAnsi="Calibri"/>
                <w:b w:val="0"/>
                <w:i w:val="0"/>
                <w:color w:val="101828"/>
                <w:sz w:val="13"/>
              </w:rPr>
              <w:t xml:space="preserve">Every amount element has an accessible name containing the currency code and the full value: </w:t>
            </w:r>
            <w:r>
              <w:rPr>
                <w:rFonts w:ascii="Calibri" w:hAnsi="Calibri"/>
                <w:i/>
                <w:color w:val="101828"/>
                <w:sz w:val="13"/>
              </w:rPr>
              <w:t>Total to pay, NGN 1,020.00</w:t>
            </w:r>
            <w:r>
              <w:rPr>
                <w:rFonts w:ascii="Calibri" w:hAnsi="Calibri"/>
                <w:b w:val="0"/>
                <w:i w:val="0"/>
                <w:color w:val="101828"/>
                <w:sz w:val="13"/>
              </w:rPr>
              <w:t>. A table of bare numbers is never exposed without row headers.</w:t>
            </w:r>
          </w:p>
        </w:tc>
        <w:tc>
          <w:tcPr>
            <w:tcW w:type="dxa" w:w="749"/>
            <w:tcMar>
              <w:top w:w="60" w:type="dxa"/>
              <w:start w:w="110" w:type="dxa"/>
              <w:bottom w:w="60" w:type="dxa"/>
              <w:end w:w="110" w:type="dxa"/>
            </w:tcMar>
          </w:tcPr>
          <w:p>
            <w:pPr>
              <w:spacing w:after="0"/>
            </w:pPr>
            <w:r/>
            <w:r>
              <w:rPr>
                <w:rFonts w:ascii="Calibri" w:hAnsi="Calibri"/>
                <w:b w:val="0"/>
                <w:i w:val="0"/>
                <w:color w:val="101828"/>
                <w:sz w:val="13"/>
              </w:rPr>
              <w:t>1.1.1, 1.3.1, 2.4.6</w:t>
            </w:r>
          </w:p>
        </w:tc>
      </w:tr>
      <w:tr>
        <w:trPr>
          <w:cantSplit/>
        </w:trPr>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3"/>
              </w:rPr>
              <w:t>Progress communicated only by bar width</w:t>
            </w:r>
          </w:p>
        </w:tc>
        <w:tc>
          <w:tcPr>
            <w:tcW w:type="dxa" w:w="2045"/>
            <w:tcMar>
              <w:top w:w="60" w:type="dxa"/>
              <w:start w:w="110" w:type="dxa"/>
              <w:bottom w:w="60" w:type="dxa"/>
              <w:end w:w="110" w:type="dxa"/>
            </w:tcMar>
            <w:shd w:val="clear" w:color="auto" w:fill="F4F7FB"/>
          </w:tcPr>
          <w:p>
            <w:pPr>
              <w:spacing w:after="0"/>
            </w:pPr>
            <w:r/>
            <w:r>
              <w:rPr>
                <w:rFonts w:ascii="Calibri" w:hAnsi="Calibri"/>
                <w:b w:val="0"/>
                <w:i w:val="0"/>
                <w:color w:val="101828"/>
                <w:sz w:val="13"/>
              </w:rPr>
              <w:t>Screen reader users, cognitive load</w:t>
            </w:r>
          </w:p>
        </w:tc>
        <w:tc>
          <w:tcPr>
            <w:tcW w:type="dxa" w:w="4003"/>
            <w:tcMar>
              <w:top w:w="60" w:type="dxa"/>
              <w:start w:w="110" w:type="dxa"/>
              <w:bottom w:w="60" w:type="dxa"/>
              <w:end w:w="110" w:type="dxa"/>
            </w:tcMar>
            <w:shd w:val="clear" w:color="auto" w:fill="F4F7FB"/>
          </w:tcPr>
          <w:p>
            <w:pPr>
              <w:spacing w:after="0"/>
            </w:pPr>
            <w:r/>
            <w:r>
              <w:rPr>
                <w:rFonts w:ascii="Calibri" w:hAnsi="Calibri"/>
                <w:b w:val="0"/>
                <w:i w:val="0"/>
                <w:color w:val="101828"/>
                <w:sz w:val="13"/>
              </w:rPr>
              <w:t xml:space="preserve">Every progress bar is </w:t>
            </w:r>
            <w:r>
              <w:rPr>
                <w:rFonts w:ascii="Consolas" w:hAnsi="Consolas"/>
                <w:color w:val="146EF5"/>
                <w:sz w:val="13"/>
              </w:rPr>
              <w:t>aria-hidden</w:t>
            </w:r>
            <w:r>
              <w:rPr>
                <w:rFonts w:ascii="Calibri" w:hAnsi="Calibri"/>
                <w:b w:val="0"/>
                <w:i w:val="0"/>
                <w:color w:val="101828"/>
                <w:sz w:val="13"/>
              </w:rPr>
              <w:t xml:space="preserve"> and is preceded by a live text count: </w:t>
            </w:r>
            <w:r>
              <w:rPr>
                <w:rFonts w:ascii="Calibri" w:hAnsi="Calibri"/>
                <w:i/>
                <w:color w:val="101828"/>
                <w:sz w:val="13"/>
              </w:rPr>
              <w:t>4 of 10 rounds funded</w:t>
            </w:r>
            <w:r>
              <w:rPr>
                <w:rFonts w:ascii="Calibri" w:hAnsi="Calibri"/>
                <w:b w:val="0"/>
                <w:i w:val="0"/>
                <w:color w:val="101828"/>
                <w:sz w:val="13"/>
              </w:rPr>
              <w:t>. The bar is the decoration and the text is the truth.</w:t>
            </w:r>
          </w:p>
        </w:tc>
        <w:tc>
          <w:tcPr>
            <w:tcW w:type="dxa" w:w="749"/>
            <w:tcMar>
              <w:top w:w="60" w:type="dxa"/>
              <w:start w:w="110" w:type="dxa"/>
              <w:bottom w:w="60" w:type="dxa"/>
              <w:end w:w="110" w:type="dxa"/>
            </w:tcMar>
            <w:shd w:val="clear" w:color="auto" w:fill="F4F7FB"/>
          </w:tcPr>
          <w:p>
            <w:pPr>
              <w:spacing w:after="0"/>
            </w:pPr>
            <w:r/>
            <w:r>
              <w:rPr>
                <w:rFonts w:ascii="Calibri" w:hAnsi="Calibri"/>
                <w:b w:val="0"/>
                <w:i w:val="0"/>
                <w:color w:val="101828"/>
                <w:sz w:val="13"/>
              </w:rPr>
              <w:t>1.1.1, 1.3.1, 4.1.3</w:t>
            </w:r>
          </w:p>
        </w:tc>
      </w:tr>
      <w:tr>
        <w:trPr>
          <w:cantSplit/>
        </w:trPr>
        <w:tc>
          <w:tcPr>
            <w:tcW w:type="dxa" w:w="1843"/>
            <w:tcMar>
              <w:top w:w="60" w:type="dxa"/>
              <w:start w:w="110" w:type="dxa"/>
              <w:bottom w:w="60" w:type="dxa"/>
              <w:end w:w="110" w:type="dxa"/>
            </w:tcMar>
          </w:tcPr>
          <w:p>
            <w:pPr>
              <w:spacing w:after="0"/>
            </w:pPr>
            <w:r/>
            <w:r>
              <w:rPr>
                <w:rFonts w:ascii="Calibri" w:hAnsi="Calibri"/>
                <w:b w:val="0"/>
                <w:i w:val="0"/>
                <w:color w:val="101828"/>
                <w:sz w:val="13"/>
              </w:rPr>
              <w:t>A money action below the 44 px minimum, or a destructive action the same size as a safe one</w:t>
            </w:r>
          </w:p>
        </w:tc>
        <w:tc>
          <w:tcPr>
            <w:tcW w:type="dxa" w:w="2045"/>
            <w:tcMar>
              <w:top w:w="60" w:type="dxa"/>
              <w:start w:w="110" w:type="dxa"/>
              <w:bottom w:w="60" w:type="dxa"/>
              <w:end w:w="110" w:type="dxa"/>
            </w:tcMar>
          </w:tcPr>
          <w:p>
            <w:pPr>
              <w:spacing w:after="0"/>
            </w:pPr>
            <w:r/>
            <w:r>
              <w:rPr>
                <w:rFonts w:ascii="Calibri" w:hAnsi="Calibri"/>
                <w:b w:val="0"/>
                <w:i w:val="0"/>
                <w:color w:val="101828"/>
                <w:sz w:val="13"/>
              </w:rPr>
              <w:t>Motor impairment, tremor, one-handed use, older members</w:t>
            </w:r>
          </w:p>
        </w:tc>
        <w:tc>
          <w:tcPr>
            <w:tcW w:type="dxa" w:w="4003"/>
            <w:tcMar>
              <w:top w:w="60" w:type="dxa"/>
              <w:start w:w="110" w:type="dxa"/>
              <w:bottom w:w="60" w:type="dxa"/>
              <w:end w:w="110" w:type="dxa"/>
            </w:tcMar>
          </w:tcPr>
          <w:p>
            <w:pPr>
              <w:spacing w:after="0"/>
            </w:pPr>
            <w:r/>
            <w:r>
              <w:rPr>
                <w:rFonts w:ascii="Calibri" w:hAnsi="Calibri"/>
                <w:b w:val="0"/>
                <w:i w:val="0"/>
                <w:color w:val="101828"/>
                <w:sz w:val="13"/>
              </w:rPr>
              <w:t>Every interactive target is at least 44 by 44 CSS pixels, and every control that moves money is at least 48 by 48 on a touch viewport. Destructive targets are never adjacent to a safe target within 24 pixels.</w:t>
            </w:r>
          </w:p>
        </w:tc>
        <w:tc>
          <w:tcPr>
            <w:tcW w:type="dxa" w:w="749"/>
            <w:tcMar>
              <w:top w:w="60" w:type="dxa"/>
              <w:start w:w="110" w:type="dxa"/>
              <w:bottom w:w="60" w:type="dxa"/>
              <w:end w:w="110" w:type="dxa"/>
            </w:tcMar>
          </w:tcPr>
          <w:p>
            <w:pPr>
              <w:spacing w:after="0"/>
            </w:pPr>
            <w:r/>
            <w:r>
              <w:rPr>
                <w:rFonts w:ascii="Calibri" w:hAnsi="Calibri"/>
                <w:b w:val="0"/>
                <w:i w:val="0"/>
                <w:color w:val="101828"/>
                <w:sz w:val="13"/>
              </w:rPr>
              <w:t>2.5.8, 2.5.5</w:t>
            </w:r>
          </w:p>
        </w:tc>
      </w:tr>
      <w:tr>
        <w:trPr>
          <w:cantSplit/>
        </w:trPr>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3"/>
              </w:rPr>
              <w:t>A sheet or sticky bar covering the focused control</w:t>
            </w:r>
          </w:p>
        </w:tc>
        <w:tc>
          <w:tcPr>
            <w:tcW w:type="dxa" w:w="2045"/>
            <w:tcMar>
              <w:top w:w="60" w:type="dxa"/>
              <w:start w:w="110" w:type="dxa"/>
              <w:bottom w:w="60" w:type="dxa"/>
              <w:end w:w="110" w:type="dxa"/>
            </w:tcMar>
            <w:shd w:val="clear" w:color="auto" w:fill="F4F7FB"/>
          </w:tcPr>
          <w:p>
            <w:pPr>
              <w:spacing w:after="0"/>
            </w:pPr>
            <w:r/>
            <w:r>
              <w:rPr>
                <w:rFonts w:ascii="Calibri" w:hAnsi="Calibri"/>
                <w:b w:val="0"/>
                <w:i w:val="0"/>
                <w:color w:val="101828"/>
                <w:sz w:val="13"/>
              </w:rPr>
              <w:t>Keyboard users, switch access, screen magnification at 200 percent</w:t>
            </w:r>
          </w:p>
        </w:tc>
        <w:tc>
          <w:tcPr>
            <w:tcW w:type="dxa" w:w="4003"/>
            <w:tcMar>
              <w:top w:w="60" w:type="dxa"/>
              <w:start w:w="110" w:type="dxa"/>
              <w:bottom w:w="60" w:type="dxa"/>
              <w:end w:w="110" w:type="dxa"/>
            </w:tcMar>
            <w:shd w:val="clear" w:color="auto" w:fill="F4F7FB"/>
          </w:tcPr>
          <w:p>
            <w:pPr>
              <w:spacing w:after="0"/>
            </w:pPr>
            <w:r/>
            <w:r>
              <w:rPr>
                <w:rFonts w:ascii="Calibri" w:hAnsi="Calibri"/>
                <w:b w:val="0"/>
                <w:i w:val="0"/>
                <w:color w:val="101828"/>
                <w:sz w:val="13"/>
              </w:rPr>
              <w:t>A focused element is never left obscured. Sheets trap focus, close on Escape, and restore focus to the opener. Sticky action bars add bottom padding equal to their height plus the safe area.</w:t>
            </w:r>
          </w:p>
        </w:tc>
        <w:tc>
          <w:tcPr>
            <w:tcW w:type="dxa" w:w="749"/>
            <w:tcMar>
              <w:top w:w="60" w:type="dxa"/>
              <w:start w:w="110" w:type="dxa"/>
              <w:bottom w:w="60" w:type="dxa"/>
              <w:end w:w="110" w:type="dxa"/>
            </w:tcMar>
            <w:shd w:val="clear" w:color="auto" w:fill="F4F7FB"/>
          </w:tcPr>
          <w:p>
            <w:pPr>
              <w:spacing w:after="0"/>
            </w:pPr>
            <w:r/>
            <w:r>
              <w:rPr>
                <w:rFonts w:ascii="Calibri" w:hAnsi="Calibri"/>
                <w:b w:val="0"/>
                <w:i w:val="0"/>
                <w:color w:val="101828"/>
                <w:sz w:val="13"/>
              </w:rPr>
              <w:t>2.4.11, 2.1.2, 2.4.3</w:t>
            </w:r>
          </w:p>
        </w:tc>
      </w:tr>
      <w:tr>
        <w:trPr>
          <w:cantSplit/>
        </w:trPr>
        <w:tc>
          <w:tcPr>
            <w:tcW w:type="dxa" w:w="1843"/>
            <w:tcMar>
              <w:top w:w="60" w:type="dxa"/>
              <w:start w:w="110" w:type="dxa"/>
              <w:bottom w:w="60" w:type="dxa"/>
              <w:end w:w="110" w:type="dxa"/>
            </w:tcMar>
          </w:tcPr>
          <w:p>
            <w:pPr>
              <w:spacing w:after="0"/>
            </w:pPr>
            <w:r/>
            <w:r>
              <w:rPr>
                <w:rFonts w:ascii="Calibri" w:hAnsi="Calibri"/>
                <w:b w:val="0"/>
                <w:i w:val="0"/>
                <w:color w:val="101828"/>
                <w:sz w:val="13"/>
              </w:rPr>
              <w:t>A session timeout or a network drop during a payment</w:t>
            </w:r>
          </w:p>
        </w:tc>
        <w:tc>
          <w:tcPr>
            <w:tcW w:type="dxa" w:w="2045"/>
            <w:tcMar>
              <w:top w:w="60" w:type="dxa"/>
              <w:start w:w="110" w:type="dxa"/>
              <w:bottom w:w="60" w:type="dxa"/>
              <w:end w:w="110" w:type="dxa"/>
            </w:tcMar>
          </w:tcPr>
          <w:p>
            <w:pPr>
              <w:spacing w:after="0"/>
            </w:pPr>
            <w:r/>
            <w:r>
              <w:rPr>
                <w:rFonts w:ascii="Calibri" w:hAnsi="Calibri"/>
                <w:b w:val="0"/>
                <w:i w:val="0"/>
                <w:color w:val="101828"/>
                <w:sz w:val="13"/>
              </w:rPr>
              <w:t>Everyone on a slow or intermittent connection; anyone using assistive technology that adds latency</w:t>
            </w:r>
          </w:p>
        </w:tc>
        <w:tc>
          <w:tcPr>
            <w:tcW w:type="dxa" w:w="4003"/>
            <w:tcMar>
              <w:top w:w="60" w:type="dxa"/>
              <w:start w:w="110" w:type="dxa"/>
              <w:bottom w:w="60" w:type="dxa"/>
              <w:end w:w="110" w:type="dxa"/>
            </w:tcMar>
          </w:tcPr>
          <w:p>
            <w:pPr>
              <w:spacing w:after="0"/>
            </w:pPr>
            <w:r/>
            <w:r>
              <w:rPr>
                <w:rFonts w:ascii="Calibri" w:hAnsi="Calibri"/>
                <w:b w:val="0"/>
                <w:i w:val="0"/>
                <w:color w:val="101828"/>
                <w:sz w:val="13"/>
              </w:rPr>
              <w:t>The money journey holds a five-minute warning modal with an extend action, and a payment in flight is never abandoned by a timeout. A payment screen is never cached and never restored to a pre-commit state.</w:t>
            </w:r>
          </w:p>
        </w:tc>
        <w:tc>
          <w:tcPr>
            <w:tcW w:type="dxa" w:w="749"/>
            <w:tcMar>
              <w:top w:w="60" w:type="dxa"/>
              <w:start w:w="110" w:type="dxa"/>
              <w:bottom w:w="60" w:type="dxa"/>
              <w:end w:w="110" w:type="dxa"/>
            </w:tcMar>
          </w:tcPr>
          <w:p>
            <w:pPr>
              <w:spacing w:after="0"/>
            </w:pPr>
            <w:r/>
            <w:r>
              <w:rPr>
                <w:rFonts w:ascii="Calibri" w:hAnsi="Calibri"/>
                <w:b w:val="0"/>
                <w:i w:val="0"/>
                <w:color w:val="101828"/>
                <w:sz w:val="13"/>
              </w:rPr>
              <w:t>2.2.1, 3.3.4</w:t>
            </w:r>
          </w:p>
        </w:tc>
      </w:tr>
      <w:tr>
        <w:trPr>
          <w:cantSplit/>
        </w:trPr>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3"/>
              </w:rPr>
              <w:t>Ambiguous link text read out of context</w:t>
            </w:r>
          </w:p>
        </w:tc>
        <w:tc>
          <w:tcPr>
            <w:tcW w:type="dxa" w:w="2045"/>
            <w:tcMar>
              <w:top w:w="60" w:type="dxa"/>
              <w:start w:w="110" w:type="dxa"/>
              <w:bottom w:w="60" w:type="dxa"/>
              <w:end w:w="110" w:type="dxa"/>
            </w:tcMar>
            <w:shd w:val="clear" w:color="auto" w:fill="F4F7FB"/>
          </w:tcPr>
          <w:p>
            <w:pPr>
              <w:spacing w:after="0"/>
            </w:pPr>
            <w:r/>
            <w:r>
              <w:rPr>
                <w:rFonts w:ascii="Calibri" w:hAnsi="Calibri"/>
                <w:b w:val="0"/>
                <w:i w:val="0"/>
                <w:color w:val="101828"/>
                <w:sz w:val="13"/>
              </w:rPr>
              <w:t>Screen reader users navigating by links list</w:t>
            </w:r>
          </w:p>
        </w:tc>
        <w:tc>
          <w:tcPr>
            <w:tcW w:type="dxa" w:w="4003"/>
            <w:tcMar>
              <w:top w:w="60" w:type="dxa"/>
              <w:start w:w="110" w:type="dxa"/>
              <w:bottom w:w="60" w:type="dxa"/>
              <w:end w:w="110" w:type="dxa"/>
            </w:tcMar>
            <w:shd w:val="clear" w:color="auto" w:fill="F4F7FB"/>
          </w:tcPr>
          <w:p>
            <w:pPr>
              <w:spacing w:after="0"/>
            </w:pPr>
            <w:r/>
            <w:r>
              <w:rPr>
                <w:rFonts w:ascii="Calibri" w:hAnsi="Calibri"/>
                <w:b w:val="0"/>
                <w:i w:val="0"/>
                <w:color w:val="101828"/>
                <w:sz w:val="13"/>
              </w:rPr>
              <w:t xml:space="preserve">Link text names its destination. </w:t>
            </w:r>
            <w:r>
              <w:rPr>
                <w:rFonts w:ascii="Calibri" w:hAnsi="Calibri"/>
                <w:i/>
                <w:color w:val="101828"/>
                <w:sz w:val="13"/>
              </w:rPr>
              <w:t>Read more</w:t>
            </w:r>
            <w:r>
              <w:rPr>
                <w:rFonts w:ascii="Calibri" w:hAnsi="Calibri"/>
                <w:b w:val="0"/>
                <w:i w:val="0"/>
                <w:color w:val="101828"/>
                <w:sz w:val="13"/>
              </w:rPr>
              <w:t xml:space="preserve"> and </w:t>
            </w:r>
            <w:r>
              <w:rPr>
                <w:rFonts w:ascii="Calibri" w:hAnsi="Calibri"/>
                <w:i/>
                <w:color w:val="101828"/>
                <w:sz w:val="13"/>
              </w:rPr>
              <w:t>click here</w:t>
            </w:r>
            <w:r>
              <w:rPr>
                <w:rFonts w:ascii="Calibri" w:hAnsi="Calibri"/>
                <w:b w:val="0"/>
                <w:i w:val="0"/>
                <w:color w:val="101828"/>
                <w:sz w:val="13"/>
              </w:rPr>
              <w:t xml:space="preserve"> are prohibited in all three tiers. Any links list is reviewed as a standalone list.</w:t>
            </w:r>
          </w:p>
        </w:tc>
        <w:tc>
          <w:tcPr>
            <w:tcW w:type="dxa" w:w="749"/>
            <w:tcMar>
              <w:top w:w="60" w:type="dxa"/>
              <w:start w:w="110" w:type="dxa"/>
              <w:bottom w:w="60" w:type="dxa"/>
              <w:end w:w="110" w:type="dxa"/>
            </w:tcMar>
            <w:shd w:val="clear" w:color="auto" w:fill="F4F7FB"/>
          </w:tcPr>
          <w:p>
            <w:pPr>
              <w:spacing w:after="0"/>
            </w:pPr>
            <w:r/>
            <w:r>
              <w:rPr>
                <w:rFonts w:ascii="Calibri" w:hAnsi="Calibri"/>
                <w:b w:val="0"/>
                <w:i w:val="0"/>
                <w:color w:val="101828"/>
                <w:sz w:val="13"/>
              </w:rPr>
              <w:t>2.4.4, 2.4.9</w:t>
            </w:r>
          </w:p>
        </w:tc>
      </w:tr>
      <w:tr>
        <w:trPr>
          <w:cantSplit/>
        </w:trPr>
        <w:tc>
          <w:tcPr>
            <w:tcW w:type="dxa" w:w="1843"/>
            <w:tcMar>
              <w:top w:w="60" w:type="dxa"/>
              <w:start w:w="110" w:type="dxa"/>
              <w:bottom w:w="60" w:type="dxa"/>
              <w:end w:w="110" w:type="dxa"/>
            </w:tcMar>
          </w:tcPr>
          <w:p>
            <w:pPr>
              <w:spacing w:after="0"/>
            </w:pPr>
            <w:r/>
            <w:r>
              <w:rPr>
                <w:rFonts w:ascii="Calibri" w:hAnsi="Calibri"/>
                <w:b w:val="0"/>
                <w:i w:val="0"/>
                <w:color w:val="101828"/>
                <w:sz w:val="13"/>
              </w:rPr>
              <w:t>Cyan or Gold used as body text on a light surface</w:t>
            </w:r>
          </w:p>
        </w:tc>
        <w:tc>
          <w:tcPr>
            <w:tcW w:type="dxa" w:w="2045"/>
            <w:tcMar>
              <w:top w:w="60" w:type="dxa"/>
              <w:start w:w="110" w:type="dxa"/>
              <w:bottom w:w="60" w:type="dxa"/>
              <w:end w:w="110" w:type="dxa"/>
            </w:tcMar>
          </w:tcPr>
          <w:p>
            <w:pPr>
              <w:spacing w:after="0"/>
            </w:pPr>
            <w:r/>
            <w:r>
              <w:rPr>
                <w:rFonts w:ascii="Calibri" w:hAnsi="Calibri"/>
                <w:b w:val="0"/>
                <w:i w:val="0"/>
                <w:color w:val="101828"/>
                <w:sz w:val="13"/>
              </w:rPr>
              <w:t>Low vision, sunlight, older members</w:t>
            </w:r>
          </w:p>
        </w:tc>
        <w:tc>
          <w:tcPr>
            <w:tcW w:type="dxa" w:w="4003"/>
            <w:tcMar>
              <w:top w:w="60" w:type="dxa"/>
              <w:start w:w="110" w:type="dxa"/>
              <w:bottom w:w="60" w:type="dxa"/>
              <w:end w:w="110" w:type="dxa"/>
            </w:tcMar>
          </w:tcPr>
          <w:p>
            <w:pPr>
              <w:spacing w:after="0"/>
            </w:pPr>
            <w:r/>
            <w:r>
              <w:rPr>
                <w:rFonts w:ascii="Calibri" w:hAnsi="Calibri"/>
                <w:b w:val="0"/>
                <w:i w:val="0"/>
                <w:color w:val="101828"/>
                <w:sz w:val="13"/>
              </w:rPr>
              <w:t>Text on a light surface is Dark, Primary, or a named semantic role. Cyan and Gold are fills, chart series and accents only. A contrast assertion runs in the token build.</w:t>
            </w:r>
          </w:p>
        </w:tc>
        <w:tc>
          <w:tcPr>
            <w:tcW w:type="dxa" w:w="749"/>
            <w:tcMar>
              <w:top w:w="60" w:type="dxa"/>
              <w:start w:w="110" w:type="dxa"/>
              <w:bottom w:w="60" w:type="dxa"/>
              <w:end w:w="110" w:type="dxa"/>
            </w:tcMar>
          </w:tcPr>
          <w:p>
            <w:pPr>
              <w:spacing w:after="0"/>
            </w:pPr>
            <w:r/>
            <w:r>
              <w:rPr>
                <w:rFonts w:ascii="Calibri" w:hAnsi="Calibri"/>
                <w:b w:val="0"/>
                <w:i w:val="0"/>
                <w:color w:val="101828"/>
                <w:sz w:val="13"/>
              </w:rPr>
              <w:t>1.4.3, 1.4.11</w:t>
            </w:r>
          </w:p>
        </w:tc>
      </w:tr>
      <w:tr>
        <w:trPr>
          <w:cantSplit/>
        </w:trPr>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3"/>
              </w:rPr>
              <w:t>A custom select, slider or date picker that is not fully keyboard operable</w:t>
            </w:r>
          </w:p>
        </w:tc>
        <w:tc>
          <w:tcPr>
            <w:tcW w:type="dxa" w:w="2045"/>
            <w:tcMar>
              <w:top w:w="60" w:type="dxa"/>
              <w:start w:w="110" w:type="dxa"/>
              <w:bottom w:w="60" w:type="dxa"/>
              <w:end w:w="110" w:type="dxa"/>
            </w:tcMar>
            <w:shd w:val="clear" w:color="auto" w:fill="F4F7FB"/>
          </w:tcPr>
          <w:p>
            <w:pPr>
              <w:spacing w:after="0"/>
            </w:pPr>
            <w:r/>
            <w:r>
              <w:rPr>
                <w:rFonts w:ascii="Calibri" w:hAnsi="Calibri"/>
                <w:b w:val="0"/>
                <w:i w:val="0"/>
                <w:color w:val="101828"/>
                <w:sz w:val="13"/>
              </w:rPr>
              <w:t>Keyboard, motor, switch access</w:t>
            </w:r>
          </w:p>
        </w:tc>
        <w:tc>
          <w:tcPr>
            <w:tcW w:type="dxa" w:w="4003"/>
            <w:tcMar>
              <w:top w:w="60" w:type="dxa"/>
              <w:start w:w="110" w:type="dxa"/>
              <w:bottom w:w="60" w:type="dxa"/>
              <w:end w:w="110" w:type="dxa"/>
            </w:tcMar>
            <w:shd w:val="clear" w:color="auto" w:fill="F4F7FB"/>
          </w:tcPr>
          <w:p>
            <w:pPr>
              <w:spacing w:after="0"/>
            </w:pPr>
            <w:r/>
            <w:r>
              <w:rPr>
                <w:rFonts w:ascii="Calibri" w:hAnsi="Calibri"/>
                <w:b w:val="0"/>
                <w:i w:val="0"/>
                <w:color w:val="101828"/>
                <w:sz w:val="13"/>
              </w:rPr>
              <w:t>Every custom control is operable by keyboard with a visible focus ring, supports type-ahead where it has options, and exposes its value and range to assistive technology as text.</w:t>
            </w:r>
          </w:p>
        </w:tc>
        <w:tc>
          <w:tcPr>
            <w:tcW w:type="dxa" w:w="749"/>
            <w:tcMar>
              <w:top w:w="60" w:type="dxa"/>
              <w:start w:w="110" w:type="dxa"/>
              <w:bottom w:w="60" w:type="dxa"/>
              <w:end w:w="110" w:type="dxa"/>
            </w:tcMar>
            <w:shd w:val="clear" w:color="auto" w:fill="F4F7FB"/>
          </w:tcPr>
          <w:p>
            <w:pPr>
              <w:spacing w:after="0"/>
            </w:pPr>
            <w:r/>
            <w:r>
              <w:rPr>
                <w:rFonts w:ascii="Calibri" w:hAnsi="Calibri"/>
                <w:b w:val="0"/>
                <w:i w:val="0"/>
                <w:color w:val="101828"/>
                <w:sz w:val="13"/>
              </w:rPr>
              <w:t>2.1.1, 2.1.2, 4.1.2</w:t>
            </w:r>
          </w:p>
        </w:tc>
      </w:tr>
      <w:tr>
        <w:trPr>
          <w:cantSplit/>
        </w:trPr>
        <w:tc>
          <w:tcPr>
            <w:tcW w:type="dxa" w:w="1843"/>
            <w:tcMar>
              <w:top w:w="60" w:type="dxa"/>
              <w:start w:w="110" w:type="dxa"/>
              <w:bottom w:w="60" w:type="dxa"/>
              <w:end w:w="110" w:type="dxa"/>
            </w:tcMar>
          </w:tcPr>
          <w:p>
            <w:pPr>
              <w:spacing w:after="0"/>
            </w:pPr>
            <w:r/>
            <w:r>
              <w:rPr>
                <w:rFonts w:ascii="Calibri" w:hAnsi="Calibri"/>
                <w:b w:val="0"/>
                <w:i w:val="0"/>
                <w:color w:val="101828"/>
                <w:sz w:val="13"/>
              </w:rPr>
              <w:t>A form error that only appears visually</w:t>
            </w:r>
          </w:p>
        </w:tc>
        <w:tc>
          <w:tcPr>
            <w:tcW w:type="dxa" w:w="2045"/>
            <w:tcMar>
              <w:top w:w="60" w:type="dxa"/>
              <w:start w:w="110" w:type="dxa"/>
              <w:bottom w:w="60" w:type="dxa"/>
              <w:end w:w="110" w:type="dxa"/>
            </w:tcMar>
          </w:tcPr>
          <w:p>
            <w:pPr>
              <w:spacing w:after="0"/>
            </w:pPr>
            <w:r/>
            <w:r>
              <w:rPr>
                <w:rFonts w:ascii="Calibri" w:hAnsi="Calibri"/>
                <w:b w:val="0"/>
                <w:i w:val="0"/>
                <w:color w:val="101828"/>
                <w:sz w:val="13"/>
              </w:rPr>
              <w:t>Screen reader users, and everyone under time pressure</w:t>
            </w:r>
          </w:p>
        </w:tc>
        <w:tc>
          <w:tcPr>
            <w:tcW w:type="dxa" w:w="4003"/>
            <w:tcMar>
              <w:top w:w="60" w:type="dxa"/>
              <w:start w:w="110" w:type="dxa"/>
              <w:bottom w:w="60" w:type="dxa"/>
              <w:end w:w="110" w:type="dxa"/>
            </w:tcMar>
          </w:tcPr>
          <w:p>
            <w:pPr>
              <w:spacing w:after="0"/>
            </w:pPr>
            <w:r/>
            <w:r>
              <w:rPr>
                <w:rFonts w:ascii="Consolas" w:hAnsi="Consolas"/>
                <w:color w:val="146EF5"/>
                <w:sz w:val="13"/>
              </w:rPr>
              <w:t>aria-invalid</w:t>
            </w:r>
            <w:r>
              <w:rPr>
                <w:rFonts w:ascii="Calibri" w:hAnsi="Calibri"/>
                <w:b w:val="0"/>
                <w:i w:val="0"/>
                <w:color w:val="101828"/>
                <w:sz w:val="13"/>
              </w:rPr>
              <w:t xml:space="preserve"> is set, the error is referenced by </w:t>
            </w:r>
            <w:r>
              <w:rPr>
                <w:rFonts w:ascii="Consolas" w:hAnsi="Consolas"/>
                <w:color w:val="146EF5"/>
                <w:sz w:val="13"/>
              </w:rPr>
              <w:t>aria-describedby</w:t>
            </w:r>
            <w:r>
              <w:rPr>
                <w:rFonts w:ascii="Calibri" w:hAnsi="Calibri"/>
                <w:b w:val="0"/>
                <w:i w:val="0"/>
                <w:color w:val="101828"/>
                <w:sz w:val="13"/>
              </w:rPr>
              <w:t>, focus moves to the first invalid field on submit, and the spoken sentence is identical to the printed one. See 4.24.7.</w:t>
            </w:r>
          </w:p>
        </w:tc>
        <w:tc>
          <w:tcPr>
            <w:tcW w:type="dxa" w:w="749"/>
            <w:tcMar>
              <w:top w:w="60" w:type="dxa"/>
              <w:start w:w="110" w:type="dxa"/>
              <w:bottom w:w="60" w:type="dxa"/>
              <w:end w:w="110" w:type="dxa"/>
            </w:tcMar>
          </w:tcPr>
          <w:p>
            <w:pPr>
              <w:spacing w:after="0"/>
            </w:pPr>
            <w:r/>
            <w:r>
              <w:rPr>
                <w:rFonts w:ascii="Calibri" w:hAnsi="Calibri"/>
                <w:b w:val="0"/>
                <w:i w:val="0"/>
                <w:color w:val="101828"/>
                <w:sz w:val="13"/>
              </w:rPr>
              <w:t>3.3.1, 3.3.2, 3.3.3</w:t>
            </w:r>
          </w:p>
        </w:tc>
      </w:tr>
      <w:tr>
        <w:trPr>
          <w:cantSplit/>
        </w:trPr>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3"/>
              </w:rPr>
              <w:t>Time-limited content with no way to extend</w:t>
            </w:r>
          </w:p>
        </w:tc>
        <w:tc>
          <w:tcPr>
            <w:tcW w:type="dxa" w:w="2045"/>
            <w:tcMar>
              <w:top w:w="60" w:type="dxa"/>
              <w:start w:w="110" w:type="dxa"/>
              <w:bottom w:w="60" w:type="dxa"/>
              <w:end w:w="110" w:type="dxa"/>
            </w:tcMar>
            <w:shd w:val="clear" w:color="auto" w:fill="F4F7FB"/>
          </w:tcPr>
          <w:p>
            <w:pPr>
              <w:spacing w:after="0"/>
            </w:pPr>
            <w:r/>
            <w:r>
              <w:rPr>
                <w:rFonts w:ascii="Calibri" w:hAnsi="Calibri"/>
                <w:b w:val="0"/>
                <w:i w:val="0"/>
                <w:color w:val="101828"/>
                <w:sz w:val="13"/>
              </w:rPr>
              <w:t>Members on slow connections, members using a screen reader</w:t>
            </w:r>
          </w:p>
        </w:tc>
        <w:tc>
          <w:tcPr>
            <w:tcW w:type="dxa" w:w="4003"/>
            <w:tcMar>
              <w:top w:w="60" w:type="dxa"/>
              <w:start w:w="110" w:type="dxa"/>
              <w:bottom w:w="60" w:type="dxa"/>
              <w:end w:w="110" w:type="dxa"/>
            </w:tcMar>
            <w:shd w:val="clear" w:color="auto" w:fill="F4F7FB"/>
          </w:tcPr>
          <w:p>
            <w:pPr>
              <w:spacing w:after="0"/>
            </w:pPr>
            <w:r/>
            <w:r>
              <w:rPr>
                <w:rFonts w:ascii="Calibri" w:hAnsi="Calibri"/>
                <w:b w:val="0"/>
                <w:i w:val="0"/>
                <w:color w:val="101828"/>
                <w:sz w:val="13"/>
              </w:rPr>
              <w:t>No tier-2 content expires by time except a payment authorisation, and that one has a stated deadline with an extend action.</w:t>
            </w:r>
          </w:p>
        </w:tc>
        <w:tc>
          <w:tcPr>
            <w:tcW w:type="dxa" w:w="749"/>
            <w:tcMar>
              <w:top w:w="60" w:type="dxa"/>
              <w:start w:w="110" w:type="dxa"/>
              <w:bottom w:w="60" w:type="dxa"/>
              <w:end w:w="110" w:type="dxa"/>
            </w:tcMar>
            <w:shd w:val="clear" w:color="auto" w:fill="F4F7FB"/>
          </w:tcPr>
          <w:p>
            <w:pPr>
              <w:spacing w:after="0"/>
            </w:pPr>
            <w:r/>
            <w:r>
              <w:rPr>
                <w:rFonts w:ascii="Calibri" w:hAnsi="Calibri"/>
                <w:b w:val="0"/>
                <w:i w:val="0"/>
                <w:color w:val="101828"/>
                <w:sz w:val="13"/>
              </w:rPr>
              <w:t>2.2.1</w:t>
            </w:r>
          </w:p>
        </w:tc>
      </w:tr>
    </w:tbl>
    <w:p>
      <w:pPr>
        <w:spacing w:after="80"/>
      </w:pPr>
    </w:p>
    <w:p>
      <w:pPr>
        <w:pStyle w:val="Heading3"/>
      </w:pPr>
      <w:r>
        <w:rPr>
          <w:rFonts w:ascii="Calibri" w:hAnsi="Calibri"/>
          <w:b/>
          <w:i w:val="0"/>
          <w:color w:val="0B1F3A"/>
          <w:sz w:val="24"/>
        </w:rPr>
        <w:t>4.2.3 Structural requirements applied to every screen</w:t>
      </w:r>
    </w:p>
    <w:p>
      <w:pPr>
        <w:pStyle w:val="ListBullet"/>
        <w:spacing w:after="60"/>
        <w:ind w:left="360"/>
      </w:pPr>
      <w:r>
        <w:rPr>
          <w:rFonts w:ascii="Calibri" w:hAnsi="Calibri"/>
          <w:b/>
          <w:color w:val="101828"/>
          <w:sz w:val="21"/>
        </w:rPr>
        <w:t>One `h1` per screen</w:t>
      </w:r>
      <w:r>
        <w:rPr>
          <w:rFonts w:ascii="Calibri" w:hAnsi="Calibri"/>
          <w:b w:val="0"/>
          <w:i w:val="0"/>
          <w:color w:val="101828"/>
          <w:sz w:val="21"/>
        </w:rPr>
        <w:t>, carrying the screen name and, on a record screen, the record's short identifier. The document outline is the navigation model.</w:t>
      </w:r>
    </w:p>
    <w:p>
      <w:pPr>
        <w:pStyle w:val="ListBullet"/>
        <w:spacing w:after="60"/>
        <w:ind w:left="360"/>
      </w:pPr>
      <w:r>
        <w:rPr>
          <w:rFonts w:ascii="Calibri" w:hAnsi="Calibri"/>
          <w:b/>
          <w:color w:val="101828"/>
          <w:sz w:val="21"/>
        </w:rPr>
        <w:t>Correct landmarks</w:t>
      </w:r>
      <w:r>
        <w:rPr>
          <w:rFonts w:ascii="Calibri" w:hAnsi="Calibri"/>
          <w:b w:val="0"/>
          <w:i w:val="0"/>
          <w:color w:val="101828"/>
          <w:sz w:val="21"/>
        </w:rPr>
        <w:t xml:space="preserve">: one </w:t>
      </w:r>
      <w:r>
        <w:rPr>
          <w:rFonts w:ascii="Consolas" w:hAnsi="Consolas"/>
          <w:color w:val="146EF5"/>
          <w:sz w:val="21"/>
        </w:rPr>
        <w:t>main</w:t>
      </w:r>
      <w:r>
        <w:rPr>
          <w:rFonts w:ascii="Calibri" w:hAnsi="Calibri"/>
          <w:b w:val="0"/>
          <w:i w:val="0"/>
          <w:color w:val="101828"/>
          <w:sz w:val="21"/>
        </w:rPr>
        <w:t xml:space="preserve">, one </w:t>
      </w:r>
      <w:r>
        <w:rPr>
          <w:rFonts w:ascii="Consolas" w:hAnsi="Consolas"/>
          <w:color w:val="146EF5"/>
          <w:sz w:val="21"/>
        </w:rPr>
        <w:t>nav</w:t>
      </w:r>
      <w:r>
        <w:rPr>
          <w:rFonts w:ascii="Calibri" w:hAnsi="Calibri"/>
          <w:b w:val="0"/>
          <w:i w:val="0"/>
          <w:color w:val="101828"/>
          <w:sz w:val="21"/>
        </w:rPr>
        <w:t xml:space="preserve"> for primary navigation, one </w:t>
      </w:r>
      <w:r>
        <w:rPr>
          <w:rFonts w:ascii="Consolas" w:hAnsi="Consolas"/>
          <w:color w:val="146EF5"/>
          <w:sz w:val="21"/>
        </w:rPr>
        <w:t>nav</w:t>
      </w:r>
      <w:r>
        <w:rPr>
          <w:rFonts w:ascii="Calibri" w:hAnsi="Calibri"/>
          <w:b w:val="0"/>
          <w:i w:val="0"/>
          <w:color w:val="101828"/>
          <w:sz w:val="21"/>
        </w:rPr>
        <w:t xml:space="preserve"> for breadcrumbs where they exist. A financial application is read by assistive technology as a list of regions, and a missing landmark deletes a region from that list.</w:t>
      </w:r>
    </w:p>
    <w:p>
      <w:pPr>
        <w:pStyle w:val="ListBullet"/>
        <w:spacing w:after="60"/>
        <w:ind w:left="360"/>
      </w:pPr>
      <w:r>
        <w:rPr>
          <w:rFonts w:ascii="Calibri" w:hAnsi="Calibri"/>
          <w:b/>
          <w:color w:val="101828"/>
          <w:sz w:val="21"/>
        </w:rPr>
        <w:t>Skip links</w:t>
      </w:r>
      <w:r>
        <w:rPr>
          <w:rFonts w:ascii="Calibri" w:hAnsi="Calibri"/>
          <w:b w:val="0"/>
          <w:i w:val="0"/>
          <w:color w:val="101828"/>
          <w:sz w:val="21"/>
        </w:rPr>
        <w:t xml:space="preserve"> to the main content and, on money screens, a second skip link to the money summary. Those are the two things a screen reader user came for.</w:t>
      </w:r>
    </w:p>
    <w:p>
      <w:pPr>
        <w:pStyle w:val="ListBullet"/>
        <w:spacing w:after="60"/>
        <w:ind w:left="360"/>
      </w:pPr>
      <w:r>
        <w:rPr>
          <w:rFonts w:ascii="Calibri" w:hAnsi="Calibri"/>
          <w:b/>
          <w:color w:val="101828"/>
          <w:sz w:val="21"/>
        </w:rPr>
        <w:t>Focus is visible at all times</w:t>
      </w:r>
      <w:r>
        <w:rPr>
          <w:rFonts w:ascii="Calibri" w:hAnsi="Calibri"/>
          <w:b w:val="0"/>
          <w:i w:val="0"/>
          <w:color w:val="101828"/>
          <w:sz w:val="21"/>
        </w:rPr>
        <w:t>: a 2 px Primary ring at a 2 px offset, never removed without replacement, visible on Deep, on Cloud, on White and on a Primary fill.</w:t>
      </w:r>
    </w:p>
    <w:p>
      <w:pPr>
        <w:pStyle w:val="ListBullet"/>
        <w:spacing w:after="60"/>
        <w:ind w:left="360"/>
      </w:pPr>
      <w:r>
        <w:rPr>
          <w:rFonts w:ascii="Calibri" w:hAnsi="Calibri"/>
          <w:b/>
          <w:color w:val="101828"/>
          <w:sz w:val="21"/>
        </w:rPr>
        <w:t>Focus order equals reading order.</w:t>
      </w:r>
      <w:r>
        <w:rPr>
          <w:rFonts w:ascii="Calibri" w:hAnsi="Calibri"/>
          <w:b w:val="0"/>
          <w:i w:val="0"/>
          <w:color w:val="101828"/>
          <w:sz w:val="21"/>
        </w:rPr>
        <w:t xml:space="preserve"> A screen whose DOM order differs from its visual order is a defect caught in review, not shipped.</w:t>
      </w:r>
    </w:p>
    <w:p>
      <w:pPr>
        <w:pStyle w:val="ListBullet"/>
        <w:spacing w:after="60"/>
        <w:ind w:left="360"/>
      </w:pPr>
      <w:r>
        <w:rPr>
          <w:rFonts w:ascii="Calibri" w:hAnsi="Calibri"/>
          <w:b/>
          <w:color w:val="101828"/>
          <w:sz w:val="21"/>
        </w:rPr>
        <w:t>Touch targets</w:t>
      </w:r>
      <w:r>
        <w:rPr>
          <w:rFonts w:ascii="Calibri" w:hAnsi="Calibri"/>
          <w:b w:val="0"/>
          <w:i w:val="0"/>
          <w:color w:val="101828"/>
          <w:sz w:val="21"/>
        </w:rPr>
        <w:t xml:space="preserve"> are at least 44 by 44 CSS pixels, and 48 by 48 for anything that moves money, at every breakpoint including desktop, where a reduced size is not justified by a mouse.</w:t>
      </w:r>
    </w:p>
    <w:p>
      <w:pPr>
        <w:pStyle w:val="ListBullet"/>
        <w:spacing w:after="60"/>
        <w:ind w:left="360"/>
      </w:pPr>
      <w:r>
        <w:rPr>
          <w:rFonts w:ascii="Calibri" w:hAnsi="Calibri"/>
          <w:b/>
          <w:color w:val="101828"/>
          <w:sz w:val="21"/>
        </w:rPr>
        <w:t>Text resizes to 200 percent and zoom reaches 400 percent</w:t>
      </w:r>
      <w:r>
        <w:rPr>
          <w:rFonts w:ascii="Calibri" w:hAnsi="Calibri"/>
          <w:b w:val="0"/>
          <w:i w:val="0"/>
          <w:color w:val="101828"/>
          <w:sz w:val="21"/>
        </w:rPr>
        <w:t xml:space="preserve"> with reflow and no horizontal scrolling at 320 CSS pixels. Nothing is hidden at any text size and no information is available only on hover or focus.</w:t>
      </w:r>
    </w:p>
    <w:p>
      <w:pPr>
        <w:pStyle w:val="ListBullet"/>
        <w:spacing w:after="60"/>
        <w:ind w:left="360"/>
      </w:pPr>
      <w:r>
        <w:rPr>
          <w:rFonts w:ascii="Calibri" w:hAnsi="Calibri"/>
          <w:b/>
          <w:color w:val="101828"/>
          <w:sz w:val="21"/>
        </w:rPr>
        <w:t>Reduced motion is honoured completely</w:t>
      </w:r>
      <w:r>
        <w:rPr>
          <w:rFonts w:ascii="Calibri" w:hAnsi="Calibri"/>
          <w:b w:val="0"/>
          <w:i w:val="0"/>
          <w:color w:val="101828"/>
          <w:sz w:val="21"/>
        </w:rPr>
        <w:t>: every animation becomes an instant state change and every transition becomes a cut. No information is lost and no screen is hidden.</w:t>
      </w:r>
    </w:p>
    <w:p>
      <w:pPr>
        <w:pStyle w:val="ListBullet"/>
        <w:spacing w:after="60"/>
        <w:ind w:left="360"/>
      </w:pPr>
      <w:r>
        <w:rPr>
          <w:rFonts w:ascii="Calibri" w:hAnsi="Calibri"/>
          <w:b/>
          <w:color w:val="101828"/>
          <w:sz w:val="21"/>
        </w:rPr>
        <w:t>Forced-colours mode stays usable</w:t>
      </w:r>
      <w:r>
        <w:rPr>
          <w:rFonts w:ascii="Calibri" w:hAnsi="Calibri"/>
          <w:b w:val="0"/>
          <w:i w:val="0"/>
          <w:color w:val="101828"/>
          <w:sz w:val="21"/>
        </w:rPr>
        <w:t xml:space="preserve">: state pills become outlined with their text intact, the progress fill uses </w:t>
      </w:r>
      <w:r>
        <w:rPr>
          <w:rFonts w:ascii="Consolas" w:hAnsi="Consolas"/>
          <w:color w:val="146EF5"/>
          <w:sz w:val="21"/>
        </w:rPr>
        <w:t>forced-color-adjust: none</w:t>
      </w:r>
      <w:r>
        <w:rPr>
          <w:rFonts w:ascii="Calibri" w:hAnsi="Calibri"/>
          <w:b w:val="0"/>
          <w:i w:val="0"/>
          <w:color w:val="101828"/>
          <w:sz w:val="21"/>
        </w:rPr>
        <w:t xml:space="preserve"> on the fill only, and the money surface keeps its rules and labels rather than relying on fill differentiation.</w:t>
      </w:r>
    </w:p>
    <w:p>
      <w:pPr>
        <w:pStyle w:val="Heading3"/>
      </w:pPr>
      <w:r>
        <w:rPr>
          <w:rFonts w:ascii="Calibri" w:hAnsi="Calibri"/>
          <w:b/>
          <w:i w:val="0"/>
          <w:color w:val="0B1F3A"/>
          <w:sz w:val="24"/>
        </w:rPr>
        <w:t>4.2.4 Verification plan — how the target becomes a claim, if it does</w:t>
      </w:r>
    </w:p>
    <w:p>
      <w:r>
        <w:rPr>
          <w:rFonts w:ascii="Calibri" w:hAnsi="Calibri"/>
          <w:b w:val="0"/>
          <w:i w:val="0"/>
          <w:color w:val="101828"/>
          <w:sz w:val="21"/>
        </w:rPr>
        <w:t>Automated tooling is necessary and insufficient. It catches roughly a third of WCAG issues and almost none of the twelve failure modes in 4.2.2, because those are semantic and content problems rather than attribute problems. The plan below is what has to happen, in order, before any conformance statement is published.</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346"/>
            <w:shd w:val="clear" w:color="auto" w:fill="0B1F3A"/>
            <w:tcMar>
              <w:top w:w="60" w:type="dxa"/>
              <w:start w:w="110" w:type="dxa"/>
              <w:bottom w:w="60" w:type="dxa"/>
              <w:end w:w="110" w:type="dxa"/>
            </w:tcMar>
          </w:tcPr>
          <w:p>
            <w:pPr>
              <w:spacing w:after="0"/>
            </w:pPr>
            <w:r/>
            <w:r>
              <w:rPr>
                <w:rFonts w:ascii="Calibri" w:hAnsi="Calibri"/>
                <w:b/>
                <w:i w:val="0"/>
                <w:color w:val="FFFFFF"/>
                <w:sz w:val="13"/>
              </w:rPr>
              <w:t>#</w:t>
            </w:r>
          </w:p>
        </w:tc>
        <w:tc>
          <w:tcPr>
            <w:tcW w:type="dxa" w:w="3600"/>
            <w:shd w:val="clear" w:color="auto" w:fill="0B1F3A"/>
            <w:tcMar>
              <w:top w:w="60" w:type="dxa"/>
              <w:start w:w="110" w:type="dxa"/>
              <w:bottom w:w="60" w:type="dxa"/>
              <w:end w:w="110" w:type="dxa"/>
            </w:tcMar>
          </w:tcPr>
          <w:p>
            <w:pPr>
              <w:spacing w:after="0"/>
            </w:pPr>
            <w:r/>
            <w:r>
              <w:rPr>
                <w:rFonts w:ascii="Calibri" w:hAnsi="Calibri"/>
                <w:b/>
                <w:i w:val="0"/>
                <w:color w:val="FFFFFF"/>
                <w:sz w:val="13"/>
              </w:rPr>
              <w:t>What</w:t>
            </w:r>
          </w:p>
        </w:tc>
        <w:tc>
          <w:tcPr>
            <w:tcW w:type="dxa" w:w="1699"/>
            <w:shd w:val="clear" w:color="auto" w:fill="0B1F3A"/>
            <w:tcMar>
              <w:top w:w="60" w:type="dxa"/>
              <w:start w:w="110" w:type="dxa"/>
              <w:bottom w:w="60" w:type="dxa"/>
              <w:end w:w="110" w:type="dxa"/>
            </w:tcMar>
          </w:tcPr>
          <w:p>
            <w:pPr>
              <w:spacing w:after="0"/>
            </w:pPr>
            <w:r/>
            <w:r>
              <w:rPr>
                <w:rFonts w:ascii="Calibri" w:hAnsi="Calibri"/>
                <w:b/>
                <w:i w:val="0"/>
                <w:color w:val="FFFFFF"/>
                <w:sz w:val="13"/>
              </w:rPr>
              <w:t>Who</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3"/>
              </w:rPr>
              <w:t>When</w:t>
            </w:r>
          </w:p>
        </w:tc>
        <w:tc>
          <w:tcPr>
            <w:tcW w:type="dxa" w:w="2131"/>
            <w:shd w:val="clear" w:color="auto" w:fill="0B1F3A"/>
            <w:tcMar>
              <w:top w:w="60" w:type="dxa"/>
              <w:start w:w="110" w:type="dxa"/>
              <w:bottom w:w="60" w:type="dxa"/>
              <w:end w:w="110" w:type="dxa"/>
            </w:tcMar>
          </w:tcPr>
          <w:p>
            <w:pPr>
              <w:spacing w:after="0"/>
            </w:pPr>
            <w:r/>
            <w:r>
              <w:rPr>
                <w:rFonts w:ascii="Calibri" w:hAnsi="Calibri"/>
                <w:b/>
                <w:i w:val="0"/>
                <w:color w:val="FFFFFF"/>
                <w:sz w:val="13"/>
              </w:rPr>
              <w:t>Pass condition</w:t>
            </w:r>
          </w:p>
        </w:tc>
      </w:tr>
      <w:tr>
        <w:trPr>
          <w:cantSplit/>
        </w:trPr>
        <w:tc>
          <w:tcPr>
            <w:tcW w:type="dxa" w:w="346"/>
            <w:tcMar>
              <w:top w:w="60" w:type="dxa"/>
              <w:start w:w="110" w:type="dxa"/>
              <w:bottom w:w="60" w:type="dxa"/>
              <w:end w:w="110" w:type="dxa"/>
            </w:tcMar>
          </w:tcPr>
          <w:p>
            <w:pPr>
              <w:spacing w:after="0"/>
            </w:pPr>
            <w:r/>
            <w:r>
              <w:rPr>
                <w:rFonts w:ascii="Calibri" w:hAnsi="Calibri"/>
                <w:b w:val="0"/>
                <w:i w:val="0"/>
                <w:color w:val="101828"/>
                <w:sz w:val="13"/>
              </w:rPr>
              <w:t>1</w:t>
            </w:r>
          </w:p>
        </w:tc>
        <w:tc>
          <w:tcPr>
            <w:tcW w:type="dxa" w:w="3600"/>
            <w:tcMar>
              <w:top w:w="60" w:type="dxa"/>
              <w:start w:w="110" w:type="dxa"/>
              <w:bottom w:w="60" w:type="dxa"/>
              <w:end w:w="110" w:type="dxa"/>
            </w:tcMar>
          </w:tcPr>
          <w:p>
            <w:pPr>
              <w:spacing w:after="0"/>
            </w:pPr>
            <w:r/>
            <w:r>
              <w:rPr>
                <w:rFonts w:ascii="Calibri" w:hAnsi="Calibri"/>
                <w:b w:val="0"/>
                <w:i w:val="0"/>
                <w:color w:val="101828"/>
                <w:sz w:val="13"/>
              </w:rPr>
              <w:t>Automated scan of every route in 3.6 against the built product, not the design, on each release candidate.</w:t>
            </w:r>
          </w:p>
        </w:tc>
        <w:tc>
          <w:tcPr>
            <w:tcW w:type="dxa" w:w="1699"/>
            <w:tcMar>
              <w:top w:w="60" w:type="dxa"/>
              <w:start w:w="110" w:type="dxa"/>
              <w:bottom w:w="60" w:type="dxa"/>
              <w:end w:w="110" w:type="dxa"/>
            </w:tcMar>
          </w:tcPr>
          <w:p>
            <w:pPr>
              <w:spacing w:after="0"/>
            </w:pPr>
            <w:r/>
            <w:r>
              <w:rPr>
                <w:rFonts w:ascii="Calibri" w:hAnsi="Calibri"/>
                <w:b w:val="0"/>
                <w:i w:val="0"/>
                <w:color w:val="101828"/>
                <w:sz w:val="13"/>
              </w:rPr>
              <w:t>Engineering</w:t>
            </w:r>
          </w:p>
        </w:tc>
        <w:tc>
          <w:tcPr>
            <w:tcW w:type="dxa" w:w="1584"/>
            <w:tcMar>
              <w:top w:w="60" w:type="dxa"/>
              <w:start w:w="110" w:type="dxa"/>
              <w:bottom w:w="60" w:type="dxa"/>
              <w:end w:w="110" w:type="dxa"/>
            </w:tcMar>
          </w:tcPr>
          <w:p>
            <w:pPr>
              <w:spacing w:after="0"/>
            </w:pPr>
            <w:r/>
            <w:r>
              <w:rPr>
                <w:rFonts w:ascii="Calibri" w:hAnsi="Calibri"/>
                <w:b w:val="0"/>
                <w:i w:val="0"/>
                <w:color w:val="101828"/>
                <w:sz w:val="13"/>
              </w:rPr>
              <w:t>Every release candidate</w:t>
            </w:r>
          </w:p>
        </w:tc>
        <w:tc>
          <w:tcPr>
            <w:tcW w:type="dxa" w:w="2131"/>
            <w:tcMar>
              <w:top w:w="60" w:type="dxa"/>
              <w:start w:w="110" w:type="dxa"/>
              <w:bottom w:w="60" w:type="dxa"/>
              <w:end w:w="110" w:type="dxa"/>
            </w:tcMar>
          </w:tcPr>
          <w:p>
            <w:pPr>
              <w:spacing w:after="0"/>
            </w:pPr>
            <w:r/>
            <w:r>
              <w:rPr>
                <w:rFonts w:ascii="Calibri" w:hAnsi="Calibri"/>
                <w:b w:val="0"/>
                <w:i w:val="0"/>
                <w:color w:val="101828"/>
                <w:sz w:val="13"/>
              </w:rPr>
              <w:t>No new violations above the filed baseline. New violations block the release.</w:t>
            </w:r>
          </w:p>
        </w:tc>
      </w:tr>
      <w:tr>
        <w:trPr>
          <w:cantSplit/>
        </w:trPr>
        <w:tc>
          <w:tcPr>
            <w:tcW w:type="dxa" w:w="346"/>
            <w:tcMar>
              <w:top w:w="60" w:type="dxa"/>
              <w:start w:w="110" w:type="dxa"/>
              <w:bottom w:w="60" w:type="dxa"/>
              <w:end w:w="110" w:type="dxa"/>
            </w:tcMar>
            <w:shd w:val="clear" w:color="auto" w:fill="F4F7FB"/>
          </w:tcPr>
          <w:p>
            <w:pPr>
              <w:spacing w:after="0"/>
            </w:pPr>
            <w:r/>
            <w:r>
              <w:rPr>
                <w:rFonts w:ascii="Calibri" w:hAnsi="Calibri"/>
                <w:b w:val="0"/>
                <w:i w:val="0"/>
                <w:color w:val="101828"/>
                <w:sz w:val="13"/>
              </w:rPr>
              <w:t>2</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3"/>
              </w:rPr>
              <w:t>Keyboard-only walk of the member journey: register, verify, create an Ajo, join, pay, take a receipt, raise a dispute.</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At least one person who did not build it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3"/>
              </w:rPr>
              <w:t>Pre-launch, then each release</w:t>
            </w:r>
          </w:p>
        </w:tc>
        <w:tc>
          <w:tcPr>
            <w:tcW w:type="dxa" w:w="2131"/>
            <w:tcMar>
              <w:top w:w="60" w:type="dxa"/>
              <w:start w:w="110" w:type="dxa"/>
              <w:bottom w:w="60" w:type="dxa"/>
              <w:end w:w="110" w:type="dxa"/>
            </w:tcMar>
            <w:shd w:val="clear" w:color="auto" w:fill="F4F7FB"/>
          </w:tcPr>
          <w:p>
            <w:pPr>
              <w:spacing w:after="0"/>
            </w:pPr>
            <w:r/>
            <w:r>
              <w:rPr>
                <w:rFonts w:ascii="Calibri" w:hAnsi="Calibri"/>
                <w:b w:val="0"/>
                <w:i w:val="0"/>
                <w:color w:val="101828"/>
                <w:sz w:val="13"/>
              </w:rPr>
              <w:t>Completed with no trap, no obscured focus, no unreachable control.</w:t>
            </w:r>
          </w:p>
        </w:tc>
      </w:tr>
      <w:tr>
        <w:trPr>
          <w:cantSplit/>
        </w:trPr>
        <w:tc>
          <w:tcPr>
            <w:tcW w:type="dxa" w:w="346"/>
            <w:tcMar>
              <w:top w:w="60" w:type="dxa"/>
              <w:start w:w="110" w:type="dxa"/>
              <w:bottom w:w="60" w:type="dxa"/>
              <w:end w:w="110" w:type="dxa"/>
            </w:tcMar>
          </w:tcPr>
          <w:p>
            <w:pPr>
              <w:spacing w:after="0"/>
            </w:pPr>
            <w:r/>
            <w:r>
              <w:rPr>
                <w:rFonts w:ascii="Calibri" w:hAnsi="Calibri"/>
                <w:b w:val="0"/>
                <w:i w:val="0"/>
                <w:color w:val="101828"/>
                <w:sz w:val="13"/>
              </w:rPr>
              <w:t>3</w:t>
            </w:r>
          </w:p>
        </w:tc>
        <w:tc>
          <w:tcPr>
            <w:tcW w:type="dxa" w:w="3600"/>
            <w:tcMar>
              <w:top w:w="60" w:type="dxa"/>
              <w:start w:w="110" w:type="dxa"/>
              <w:bottom w:w="60" w:type="dxa"/>
              <w:end w:w="110" w:type="dxa"/>
            </w:tcMar>
          </w:tcPr>
          <w:p>
            <w:pPr>
              <w:spacing w:after="0"/>
            </w:pPr>
            <w:r/>
            <w:r>
              <w:rPr>
                <w:rFonts w:ascii="Calibri" w:hAnsi="Calibri"/>
                <w:b w:val="0"/>
                <w:i w:val="0"/>
                <w:color w:val="101828"/>
                <w:sz w:val="13"/>
              </w:rPr>
              <w:t>Screen-reader walk of the same journey: TalkBack and VoiceOver at minimum, plus NVDA on Windows.</w:t>
            </w:r>
          </w:p>
        </w:tc>
        <w:tc>
          <w:tcPr>
            <w:tcW w:type="dxa" w:w="1699"/>
            <w:tcMar>
              <w:top w:w="60" w:type="dxa"/>
              <w:start w:w="110" w:type="dxa"/>
              <w:bottom w:w="60" w:type="dxa"/>
              <w:end w:w="110" w:type="dxa"/>
            </w:tcMar>
          </w:tcPr>
          <w:p>
            <w:pPr>
              <w:spacing w:after="0"/>
            </w:pPr>
            <w:r/>
            <w:r>
              <w:rPr>
                <w:rFonts w:ascii="Calibri" w:hAnsi="Calibri"/>
                <w:b w:val="0"/>
                <w:i w:val="0"/>
                <w:color w:val="101828"/>
                <w:sz w:val="13"/>
              </w:rPr>
              <w:t>At least one person who uses a screen reader daily</w:t>
            </w:r>
          </w:p>
        </w:tc>
        <w:tc>
          <w:tcPr>
            <w:tcW w:type="dxa" w:w="1584"/>
            <w:tcMar>
              <w:top w:w="60" w:type="dxa"/>
              <w:start w:w="110" w:type="dxa"/>
              <w:bottom w:w="60" w:type="dxa"/>
              <w:end w:w="110" w:type="dxa"/>
            </w:tcMar>
          </w:tcPr>
          <w:p>
            <w:pPr>
              <w:spacing w:after="0"/>
            </w:pPr>
            <w:r/>
            <w:r>
              <w:rPr>
                <w:rFonts w:ascii="Calibri" w:hAnsi="Calibri"/>
                <w:b w:val="0"/>
                <w:i w:val="0"/>
                <w:color w:val="101828"/>
                <w:sz w:val="13"/>
              </w:rPr>
              <w:t>Pre-launch, then each release</w:t>
            </w:r>
          </w:p>
        </w:tc>
        <w:tc>
          <w:tcPr>
            <w:tcW w:type="dxa" w:w="2131"/>
            <w:tcMar>
              <w:top w:w="60" w:type="dxa"/>
              <w:start w:w="110" w:type="dxa"/>
              <w:bottom w:w="60" w:type="dxa"/>
              <w:end w:w="110" w:type="dxa"/>
            </w:tcMar>
          </w:tcPr>
          <w:p>
            <w:pPr>
              <w:spacing w:after="0"/>
            </w:pPr>
            <w:r/>
            <w:r>
              <w:rPr>
                <w:rFonts w:ascii="Calibri" w:hAnsi="Calibri"/>
                <w:b w:val="0"/>
                <w:i w:val="0"/>
                <w:color w:val="101828"/>
                <w:sz w:val="13"/>
              </w:rPr>
              <w:t>Every amount announced with currency and noun; every state announced as a word; every error announced on submit.</w:t>
            </w:r>
          </w:p>
        </w:tc>
      </w:tr>
      <w:tr>
        <w:trPr>
          <w:cantSplit/>
        </w:trPr>
        <w:tc>
          <w:tcPr>
            <w:tcW w:type="dxa" w:w="346"/>
            <w:tcMar>
              <w:top w:w="60" w:type="dxa"/>
              <w:start w:w="110" w:type="dxa"/>
              <w:bottom w:w="60" w:type="dxa"/>
              <w:end w:w="110" w:type="dxa"/>
            </w:tcMar>
            <w:shd w:val="clear" w:color="auto" w:fill="F4F7FB"/>
          </w:tcPr>
          <w:p>
            <w:pPr>
              <w:spacing w:after="0"/>
            </w:pPr>
            <w:r/>
            <w:r>
              <w:rPr>
                <w:rFonts w:ascii="Calibri" w:hAnsi="Calibri"/>
                <w:b w:val="0"/>
                <w:i w:val="0"/>
                <w:color w:val="101828"/>
                <w:sz w:val="13"/>
              </w:rPr>
              <w:t>4</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3"/>
              </w:rPr>
              <w:t>Low-vision and magnification pass at 200 percent text and 400 percent zoom, in forced-colours mode, on the cheapest supported Android handset.</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A person with low vision, or a documented substitute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3"/>
              </w:rPr>
              <w:t>Pre-launch</w:t>
            </w:r>
          </w:p>
        </w:tc>
        <w:tc>
          <w:tcPr>
            <w:tcW w:type="dxa" w:w="2131"/>
            <w:tcMar>
              <w:top w:w="60" w:type="dxa"/>
              <w:start w:w="110" w:type="dxa"/>
              <w:bottom w:w="60" w:type="dxa"/>
              <w:end w:w="110" w:type="dxa"/>
            </w:tcMar>
            <w:shd w:val="clear" w:color="auto" w:fill="F4F7FB"/>
          </w:tcPr>
          <w:p>
            <w:pPr>
              <w:spacing w:after="0"/>
            </w:pPr>
            <w:r/>
            <w:r>
              <w:rPr>
                <w:rFonts w:ascii="Calibri" w:hAnsi="Calibri"/>
                <w:b w:val="0"/>
                <w:i w:val="0"/>
                <w:color w:val="101828"/>
                <w:sz w:val="13"/>
              </w:rPr>
              <w:t>No loss of content, no horizontal scroll, no reliance on colour.</w:t>
            </w:r>
          </w:p>
        </w:tc>
      </w:tr>
      <w:tr>
        <w:trPr>
          <w:cantSplit/>
        </w:trPr>
        <w:tc>
          <w:tcPr>
            <w:tcW w:type="dxa" w:w="346"/>
            <w:tcMar>
              <w:top w:w="60" w:type="dxa"/>
              <w:start w:w="110" w:type="dxa"/>
              <w:bottom w:w="60" w:type="dxa"/>
              <w:end w:w="110" w:type="dxa"/>
            </w:tcMar>
          </w:tcPr>
          <w:p>
            <w:pPr>
              <w:spacing w:after="0"/>
            </w:pPr>
            <w:r/>
            <w:r>
              <w:rPr>
                <w:rFonts w:ascii="Calibri" w:hAnsi="Calibri"/>
                <w:b w:val="0"/>
                <w:i w:val="0"/>
                <w:color w:val="101828"/>
                <w:sz w:val="13"/>
              </w:rPr>
              <w:t>5</w:t>
            </w:r>
          </w:p>
        </w:tc>
        <w:tc>
          <w:tcPr>
            <w:tcW w:type="dxa" w:w="3600"/>
            <w:tcMar>
              <w:top w:w="60" w:type="dxa"/>
              <w:start w:w="110" w:type="dxa"/>
              <w:bottom w:w="60" w:type="dxa"/>
              <w:end w:w="110" w:type="dxa"/>
            </w:tcMar>
          </w:tcPr>
          <w:p>
            <w:pPr>
              <w:spacing w:after="0"/>
            </w:pPr>
            <w:r/>
            <w:r>
              <w:rPr>
                <w:rFonts w:ascii="Calibri" w:hAnsi="Calibri"/>
                <w:b w:val="0"/>
                <w:i w:val="0"/>
                <w:color w:val="101828"/>
                <w:sz w:val="13"/>
              </w:rPr>
              <w:t>Cognitive walk with a member who has never used a mobile banking application. This is a real risk, not a token one, because the population this product recruits is not the population these screens are usually tested with.</w:t>
            </w:r>
          </w:p>
        </w:tc>
        <w:tc>
          <w:tcPr>
            <w:tcW w:type="dxa" w:w="1699"/>
            <w:tcMar>
              <w:top w:w="60" w:type="dxa"/>
              <w:start w:w="110" w:type="dxa"/>
              <w:bottom w:w="60" w:type="dxa"/>
              <w:end w:w="110" w:type="dxa"/>
            </w:tcMar>
          </w:tcPr>
          <w:p>
            <w:pPr>
              <w:spacing w:after="0"/>
            </w:pPr>
            <w:r/>
            <w:r>
              <w:rPr>
                <w:rFonts w:ascii="Calibri" w:hAnsi="Calibri"/>
                <w:b w:val="0"/>
                <w:i w:val="0"/>
                <w:color w:val="101828"/>
                <w:sz w:val="13"/>
              </w:rPr>
              <w:t>A recruited member, not a colleague</w:t>
            </w:r>
          </w:p>
        </w:tc>
        <w:tc>
          <w:tcPr>
            <w:tcW w:type="dxa" w:w="1584"/>
            <w:tcMar>
              <w:top w:w="60" w:type="dxa"/>
              <w:start w:w="110" w:type="dxa"/>
              <w:bottom w:w="60" w:type="dxa"/>
              <w:end w:w="110" w:type="dxa"/>
            </w:tcMar>
          </w:tcPr>
          <w:p>
            <w:pPr>
              <w:spacing w:after="0"/>
            </w:pPr>
            <w:r/>
            <w:r>
              <w:rPr>
                <w:rFonts w:ascii="Calibri" w:hAnsi="Calibri"/>
                <w:b w:val="0"/>
                <w:i w:val="0"/>
                <w:color w:val="101828"/>
                <w:sz w:val="13"/>
              </w:rPr>
              <w:t>Pre-launch</w:t>
            </w:r>
          </w:p>
        </w:tc>
        <w:tc>
          <w:tcPr>
            <w:tcW w:type="dxa" w:w="2131"/>
            <w:tcMar>
              <w:top w:w="60" w:type="dxa"/>
              <w:start w:w="110" w:type="dxa"/>
              <w:bottom w:w="60" w:type="dxa"/>
              <w:end w:w="110" w:type="dxa"/>
            </w:tcMar>
          </w:tcPr>
          <w:p>
            <w:pPr>
              <w:spacing w:after="0"/>
            </w:pPr>
            <w:r/>
            <w:r>
              <w:rPr>
                <w:rFonts w:ascii="Calibri" w:hAnsi="Calibri"/>
                <w:b w:val="0"/>
                <w:i w:val="0"/>
                <w:color w:val="101828"/>
                <w:sz w:val="13"/>
              </w:rPr>
              <w:t>Completed without a verbal instruction from the facilitator at the fee disclosure and the payout screens.</w:t>
            </w:r>
          </w:p>
        </w:tc>
      </w:tr>
      <w:tr>
        <w:trPr>
          <w:cantSplit/>
        </w:trPr>
        <w:tc>
          <w:tcPr>
            <w:tcW w:type="dxa" w:w="346"/>
            <w:tcMar>
              <w:top w:w="60" w:type="dxa"/>
              <w:start w:w="110" w:type="dxa"/>
              <w:bottom w:w="60" w:type="dxa"/>
              <w:end w:w="110" w:type="dxa"/>
            </w:tcMar>
            <w:shd w:val="clear" w:color="auto" w:fill="F4F7FB"/>
          </w:tcPr>
          <w:p>
            <w:pPr>
              <w:spacing w:after="0"/>
            </w:pPr>
            <w:r/>
            <w:r>
              <w:rPr>
                <w:rFonts w:ascii="Calibri" w:hAnsi="Calibri"/>
                <w:b w:val="0"/>
                <w:i w:val="0"/>
                <w:color w:val="101828"/>
                <w:sz w:val="13"/>
              </w:rPr>
              <w:t>6</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3"/>
              </w:rPr>
              <w:t>Independent review by a qualified accessibility professional, with a written report.</w:t>
            </w:r>
          </w:p>
        </w:tc>
        <w:tc>
          <w:tcPr>
            <w:tcW w:type="dxa" w:w="1699"/>
            <w:tcMar>
              <w:top w:w="60" w:type="dxa"/>
              <w:start w:w="110" w:type="dxa"/>
              <w:bottom w:w="60" w:type="dxa"/>
              <w:end w:w="110" w:type="dxa"/>
            </w:tcMar>
            <w:shd w:val="clear" w:color="auto" w:fill="F4F7FB"/>
          </w:tcPr>
          <w:p>
            <w:pPr>
              <w:spacing w:after="0"/>
            </w:pPr>
            <w:r/>
            <w:r>
              <w:rPr>
                <w:rFonts w:ascii="Calibri" w:hAnsi="Calibri"/>
                <w:b w:val="0"/>
                <w:i w:val="0"/>
                <w:color w:val="101828"/>
                <w:sz w:val="13"/>
              </w:rPr>
              <w:t>External, paid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3"/>
              </w:rPr>
              <w:t>Before any public conformance statement</w:t>
            </w:r>
          </w:p>
        </w:tc>
        <w:tc>
          <w:tcPr>
            <w:tcW w:type="dxa" w:w="2131"/>
            <w:tcMar>
              <w:top w:w="60" w:type="dxa"/>
              <w:start w:w="110" w:type="dxa"/>
              <w:bottom w:w="60" w:type="dxa"/>
              <w:end w:w="110" w:type="dxa"/>
            </w:tcMar>
            <w:shd w:val="clear" w:color="auto" w:fill="F4F7FB"/>
          </w:tcPr>
          <w:p>
            <w:pPr>
              <w:spacing w:after="0"/>
            </w:pPr>
            <w:r/>
            <w:r>
              <w:rPr>
                <w:rFonts w:ascii="Calibri" w:hAnsi="Calibri"/>
                <w:b w:val="0"/>
                <w:i w:val="0"/>
                <w:color w:val="101828"/>
                <w:sz w:val="13"/>
              </w:rPr>
              <w:t xml:space="preserve">A written report either confirms AA or lists the specific failures. </w:t>
            </w:r>
            <w:r>
              <w:rPr>
                <w:rFonts w:ascii="Calibri" w:hAnsi="Calibri"/>
                <w:b/>
                <w:color w:val="101828"/>
                <w:sz w:val="13"/>
              </w:rPr>
              <w:t>Requires review by qualified Nigerian professionals; budget and resourcing are an open item.</w:t>
            </w:r>
          </w:p>
        </w:tc>
      </w:tr>
    </w:tbl>
    <w:p>
      <w:pPr>
        <w:spacing w:after="80"/>
      </w:pPr>
    </w:p>
    <w:p>
      <w:pPr>
        <w:spacing w:before="140" w:after="180"/>
        <w:ind w:left="144"/>
        <w:shd w:val="clear" w:color="auto" w:fill="EDE9FE"/>
        <w:pBdr>
          <w:left w:val="single" w:sz="18" w:space="6" w:color="7C3AED"/>
        </w:pBdr>
      </w:pPr>
      <w:r>
        <w:rPr>
          <w:rFonts w:ascii="Calibri" w:hAnsi="Calibri"/>
          <w:b/>
          <w:color w:val="7C3AED"/>
          <w:sz w:val="19"/>
        </w:rPr>
        <w:t xml:space="preserve">The verification plan is an unresourced commitment  </w:t>
      </w:r>
      <w:r>
        <w:rPr>
          <w:rFonts w:ascii="Calibri" w:hAnsi="Calibri"/>
          <w:b w:val="0"/>
          <w:i w:val="0"/>
          <w:color w:val="0B1F3A"/>
          <w:sz w:val="19"/>
        </w:rPr>
        <w:t xml:space="preserve">Steps 2 to 6 of 4.2.4 are a resourcing commitment that has not been agreed by the founders. It is written as an assumption rather than a plan because writing it as a plan would imply it is funded. If it is not resourced, the correct action is to publish no accessibility statement at all, not to publish a softened one. </w:t>
      </w:r>
      <w:r>
        <w:rPr>
          <w:rFonts w:ascii="Calibri" w:hAnsi="Calibri"/>
          <w:b/>
          <w:color w:val="0B1F3A"/>
          <w:sz w:val="19"/>
        </w:rPr>
        <w:t>Owner: Founders. Decision required before v1 launch.</w:t>
      </w:r>
    </w:p>
    <w:p>
      <w:pPr>
        <w:pStyle w:val="Heading3"/>
      </w:pPr>
      <w:r>
        <w:rPr>
          <w:rFonts w:ascii="Calibri" w:hAnsi="Calibri"/>
          <w:b/>
          <w:i w:val="0"/>
          <w:color w:val="0B1F3A"/>
          <w:sz w:val="24"/>
        </w:rPr>
        <w:t>4.2.5 What is explicitly not claimed</w:t>
      </w:r>
    </w:p>
    <w:p>
      <w:pPr>
        <w:pStyle w:val="ListBullet"/>
        <w:spacing w:after="60"/>
        <w:ind w:left="360"/>
      </w:pPr>
      <w:r>
        <w:rPr>
          <w:rFonts w:ascii="Calibri" w:hAnsi="Calibri"/>
          <w:b/>
          <w:color w:val="101828"/>
          <w:sz w:val="21"/>
        </w:rPr>
        <w:t>No regulatory accessibility claim.</w:t>
      </w:r>
      <w:r>
        <w:rPr>
          <w:rFonts w:ascii="Calibri" w:hAnsi="Calibri"/>
          <w:b w:val="0"/>
          <w:i w:val="0"/>
          <w:color w:val="101828"/>
          <w:sz w:val="21"/>
        </w:rPr>
        <w:t xml:space="preserve"> NDPA obligations in Nigeria require review by qualified Nigerian counsel and are not discharged by WCAG conformance alone.</w:t>
      </w:r>
    </w:p>
    <w:p>
      <w:pPr>
        <w:pStyle w:val="ListBullet"/>
        <w:spacing w:after="60"/>
        <w:ind w:left="360"/>
      </w:pPr>
      <w:r>
        <w:rPr>
          <w:rFonts w:ascii="Calibri" w:hAnsi="Calibri"/>
          <w:b/>
          <w:color w:val="101828"/>
          <w:sz w:val="21"/>
        </w:rPr>
        <w:t>No claim about third-party components.</w:t>
      </w:r>
      <w:r>
        <w:rPr>
          <w:rFonts w:ascii="Calibri" w:hAnsi="Calibri"/>
          <w:b w:val="0"/>
          <w:i w:val="0"/>
          <w:color w:val="101828"/>
          <w:sz w:val="21"/>
        </w:rPr>
        <w:t xml:space="preserve"> Any vendored component is held to the same rules or is not used. A vendored select that fails 2.1.1 fails the screen it sits on.</w:t>
      </w:r>
    </w:p>
    <w:p>
      <w:pPr>
        <w:pStyle w:val="ListBullet"/>
        <w:spacing w:after="60"/>
        <w:ind w:left="360"/>
      </w:pPr>
      <w:r>
        <w:rPr>
          <w:rFonts w:ascii="Calibri" w:hAnsi="Calibri"/>
          <w:b/>
          <w:color w:val="101828"/>
          <w:sz w:val="21"/>
        </w:rPr>
        <w:t>No claim that automated testing passed.</w:t>
      </w:r>
      <w:r>
        <w:rPr>
          <w:rFonts w:ascii="Calibri" w:hAnsi="Calibri"/>
          <w:b w:val="0"/>
          <w:i w:val="0"/>
          <w:color w:val="101828"/>
          <w:sz w:val="21"/>
        </w:rPr>
        <w:t xml:space="preserve"> A clean scan is one input to the plan and is never quoted as a result on its own.</w:t>
      </w:r>
    </w:p>
    <w:p>
      <w:pPr>
        <w:pStyle w:val="ListBullet"/>
        <w:spacing w:after="60"/>
        <w:ind w:left="360"/>
      </w:pPr>
      <w:r>
        <w:rPr>
          <w:rFonts w:ascii="Calibri" w:hAnsi="Calibri"/>
          <w:b/>
          <w:color w:val="101828"/>
          <w:sz w:val="21"/>
        </w:rPr>
        <w:t>No claim of AAA anywhere</w:t>
      </w:r>
      <w:r>
        <w:rPr>
          <w:rFonts w:ascii="Calibri" w:hAnsi="Calibri"/>
          <w:b w:val="0"/>
          <w:i w:val="0"/>
          <w:color w:val="101828"/>
          <w:sz w:val="21"/>
        </w:rPr>
        <w:t>, including in marketing. Section 7.14.1 targets selected AAA criteria rather than claiming the level, and a marketing claim would outrun both.</w:t>
      </w:r>
    </w:p>
    <w:p>
      <w:pPr>
        <w:pStyle w:val="Heading2"/>
      </w:pPr>
      <w:r>
        <w:rPr>
          <w:rFonts w:ascii="Calibri" w:hAnsi="Calibri"/>
          <w:b/>
          <w:i w:val="0"/>
          <w:color w:val="146EF5"/>
          <w:sz w:val="29"/>
        </w:rPr>
        <w:t>4.3 Responsive strategy and breakpoint matrix</w:t>
      </w:r>
    </w:p>
    <w:p>
      <w:pPr>
        <w:pStyle w:val="Heading3"/>
      </w:pPr>
      <w:r>
        <w:rPr>
          <w:rFonts w:ascii="Calibri" w:hAnsi="Calibri"/>
          <w:b/>
          <w:i w:val="0"/>
          <w:color w:val="0B1F3A"/>
          <w:sz w:val="24"/>
        </w:rPr>
        <w:t>4.3.1 Strategy</w:t>
      </w:r>
    </w:p>
    <w:p>
      <w:r>
        <w:rPr>
          <w:rFonts w:ascii="Calibri" w:hAnsi="Calibri"/>
          <w:b w:val="0"/>
          <w:i w:val="0"/>
          <w:color w:val="101828"/>
          <w:sz w:val="21"/>
        </w:rPr>
        <w:t xml:space="preserve">There is one application, not an app and a website. Tier 2 is a single responsive product at </w:t>
      </w:r>
      <w:r>
        <w:rPr>
          <w:rFonts w:ascii="Consolas" w:hAnsi="Consolas"/>
          <w:color w:val="146EF5"/>
          <w:sz w:val="21"/>
        </w:rPr>
        <w:t>/app</w:t>
      </w:r>
      <w:r>
        <w:rPr>
          <w:rFonts w:ascii="Calibri" w:hAnsi="Calibri"/>
          <w:b w:val="0"/>
          <w:i w:val="0"/>
          <w:color w:val="101828"/>
          <w:sz w:val="21"/>
        </w:rPr>
        <w:t>; there is no separate mobile build, no separate API surface, and no behaviour that exists only on a phone. The breakpoints below are the same six named in the visual specification and the sitemap, and they are the only breakpoints that exist. A component may respond at a container width, but no screen introduces a seventh named breakpoint.</w:t>
      </w:r>
    </w:p>
    <w:p>
      <w:pPr>
        <w:pStyle w:val="ListBullet"/>
        <w:spacing w:after="60"/>
        <w:ind w:left="360"/>
      </w:pPr>
      <w:r>
        <w:rPr>
          <w:rFonts w:ascii="Calibri" w:hAnsi="Calibri"/>
          <w:b/>
          <w:color w:val="101828"/>
          <w:sz w:val="21"/>
        </w:rPr>
        <w:t>Mobile first, not mobile only.</w:t>
      </w:r>
      <w:r>
        <w:rPr>
          <w:rFonts w:ascii="Calibri" w:hAnsi="Calibri"/>
          <w:b w:val="0"/>
          <w:i w:val="0"/>
          <w:color w:val="101828"/>
          <w:sz w:val="21"/>
        </w:rPr>
        <w:t xml:space="preserve"> Every layout is authored at 320 CSS pixels, because a 375 pixel design breaks on the cheapest supported device and the members who most need the product are disproportionately on it. 320 is the minimum supported viewport and is verified in review.</w:t>
      </w:r>
    </w:p>
    <w:p>
      <w:pPr>
        <w:pStyle w:val="ListBullet"/>
        <w:spacing w:after="60"/>
        <w:ind w:left="360"/>
      </w:pPr>
      <w:r>
        <w:rPr>
          <w:rFonts w:ascii="Calibri" w:hAnsi="Calibri"/>
          <w:b/>
          <w:color w:val="101828"/>
          <w:sz w:val="21"/>
        </w:rPr>
        <w:t>Content reflows; data does not disappear.</w:t>
      </w:r>
      <w:r>
        <w:rPr>
          <w:rFonts w:ascii="Calibri" w:hAnsi="Calibri"/>
          <w:b w:val="0"/>
          <w:i w:val="0"/>
          <w:color w:val="101828"/>
          <w:sz w:val="21"/>
        </w:rPr>
        <w:t xml:space="preserve"> Below 768 pixels a data table becomes a card list carrying the same fields in the same order. A field is never dropped to make a table fit; a column is dropped only when the same value is already visible elsewhere on the same screen.</w:t>
      </w:r>
    </w:p>
    <w:p>
      <w:pPr>
        <w:pStyle w:val="ListBullet"/>
        <w:spacing w:after="60"/>
        <w:ind w:left="360"/>
      </w:pPr>
      <w:r>
        <w:rPr>
          <w:rFonts w:ascii="Calibri" w:hAnsi="Calibri"/>
          <w:b/>
          <w:color w:val="101828"/>
          <w:sz w:val="21"/>
        </w:rPr>
        <w:t>Actions consolidate by consequence, not by count.</w:t>
      </w:r>
      <w:r>
        <w:rPr>
          <w:rFonts w:ascii="Calibri" w:hAnsi="Calibri"/>
          <w:b w:val="0"/>
          <w:i w:val="0"/>
          <w:color w:val="101828"/>
          <w:sz w:val="21"/>
        </w:rPr>
        <w:t xml:space="preserve"> On mobile a screen with more than two secondary actions moves them into an overflow sheet, but the primary action and the single most consequential secondary action stay in the in-flow action bar. Destructive actions never move into a sheet; they get their own confirmation route (4.24.1).</w:t>
      </w:r>
    </w:p>
    <w:p>
      <w:pPr>
        <w:pStyle w:val="ListBullet"/>
        <w:spacing w:after="60"/>
        <w:ind w:left="360"/>
      </w:pPr>
      <w:r>
        <w:rPr>
          <w:rFonts w:ascii="Calibri" w:hAnsi="Calibri"/>
          <w:b/>
          <w:color w:val="101828"/>
          <w:sz w:val="21"/>
        </w:rPr>
        <w:t>The money surface is identical at every width.</w:t>
      </w:r>
      <w:r>
        <w:rPr>
          <w:rFonts w:ascii="Calibri" w:hAnsi="Calibri"/>
          <w:b w:val="0"/>
          <w:i w:val="0"/>
          <w:color w:val="101828"/>
          <w:sz w:val="21"/>
        </w:rPr>
        <w:t xml:space="preserve"> Contribution, fee, total, the same order, the same labels, the same rule. It is never condensed into one line on a small screen. This is the one component that is not responsive, and the reason is that it is the one component that must not vary.</w:t>
      </w:r>
    </w:p>
    <w:p>
      <w:pPr>
        <w:pStyle w:val="ListBullet"/>
        <w:spacing w:after="60"/>
        <w:ind w:left="360"/>
      </w:pPr>
      <w:r>
        <w:rPr>
          <w:rFonts w:ascii="Calibri" w:hAnsi="Calibri"/>
          <w:b/>
          <w:color w:val="101828"/>
          <w:sz w:val="21"/>
        </w:rPr>
        <w:t>Tier 1 behaves like a website</w:t>
      </w:r>
      <w:r>
        <w:rPr>
          <w:rFonts w:ascii="Calibri" w:hAnsi="Calibri"/>
          <w:b w:val="0"/>
          <w:i w:val="0"/>
          <w:color w:val="101828"/>
          <w:sz w:val="21"/>
        </w:rPr>
        <w:t>: a horizontal top navigation above 768 pixels, a logo, one sign-in affordance and a sheet below that, and no bottom bar at any width. Tier 3 behaves like a console: a fixed rail and no mobile layout at all, per 4.3.5.</w:t>
      </w:r>
    </w:p>
    <w:p>
      <w:pPr>
        <w:pStyle w:val="Heading3"/>
      </w:pPr>
      <w:r>
        <w:rPr>
          <w:rFonts w:ascii="Calibri" w:hAnsi="Calibri"/>
          <w:b/>
          <w:i w:val="0"/>
          <w:color w:val="0B1F3A"/>
          <w:sz w:val="24"/>
        </w:rPr>
        <w:t>4.3.2 Breakpoint matrix</w:t>
      </w:r>
    </w:p>
    <w:tbl>
      <w:tblPr>
        <w:tblStyle w:val="TableGrid"/>
        <w:tblW w:type="auto" w:w="0"/>
        <w:jc w:val="center"/>
        <w:tblLayout w:type="autofit"/>
        <w:tblLook w:firstColumn="1" w:firstRow="1" w:lastColumn="0" w:lastRow="0" w:noHBand="0" w:noVBand="1" w:val="04A0"/>
      </w:tblPr>
      <w:tblGrid>
        <w:gridCol w:w="1183"/>
        <w:gridCol w:w="1183"/>
        <w:gridCol w:w="1183"/>
        <w:gridCol w:w="1183"/>
        <w:gridCol w:w="1183"/>
        <w:gridCol w:w="1183"/>
        <w:gridCol w:w="1183"/>
        <w:gridCol w:w="1183"/>
      </w:tblGrid>
      <w:tr>
        <w:trPr>
          <w:tblHeader/>
          <w:cantSplit/>
        </w:trPr>
        <w:tc>
          <w:tcPr>
            <w:tcW w:type="dxa" w:w="518"/>
            <w:shd w:val="clear" w:color="auto" w:fill="0B1F3A"/>
            <w:tcMar>
              <w:top w:w="60" w:type="dxa"/>
              <w:start w:w="110" w:type="dxa"/>
              <w:bottom w:w="60" w:type="dxa"/>
              <w:end w:w="110" w:type="dxa"/>
            </w:tcMar>
          </w:tcPr>
          <w:p>
            <w:pPr>
              <w:spacing w:after="0"/>
            </w:pPr>
            <w:r/>
            <w:r>
              <w:rPr>
                <w:rFonts w:ascii="Calibri" w:hAnsi="Calibri"/>
                <w:b/>
                <w:i w:val="0"/>
                <w:color w:val="FFFFFF"/>
                <w:sz w:val="13"/>
              </w:rPr>
              <w:t>Name</w:t>
            </w:r>
          </w:p>
        </w:tc>
        <w:tc>
          <w:tcPr>
            <w:tcW w:type="dxa" w:w="893"/>
            <w:shd w:val="clear" w:color="auto" w:fill="0B1F3A"/>
            <w:tcMar>
              <w:top w:w="60" w:type="dxa"/>
              <w:start w:w="110" w:type="dxa"/>
              <w:bottom w:w="60" w:type="dxa"/>
              <w:end w:w="110" w:type="dxa"/>
            </w:tcMar>
          </w:tcPr>
          <w:p>
            <w:pPr>
              <w:spacing w:after="0"/>
            </w:pPr>
            <w:r/>
            <w:r>
              <w:rPr>
                <w:rFonts w:ascii="Calibri" w:hAnsi="Calibri"/>
                <w:b/>
                <w:i w:val="0"/>
                <w:color w:val="FFFFFF"/>
                <w:sz w:val="13"/>
              </w:rPr>
              <w:t>Viewport</w:t>
            </w:r>
          </w:p>
        </w:tc>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3"/>
              </w:rPr>
              <w:t>Tier 1 nav</w:t>
            </w:r>
          </w:p>
        </w:tc>
        <w:tc>
          <w:tcPr>
            <w:tcW w:type="dxa" w:w="950"/>
            <w:shd w:val="clear" w:color="auto" w:fill="0B1F3A"/>
            <w:tcMar>
              <w:top w:w="60" w:type="dxa"/>
              <w:start w:w="110" w:type="dxa"/>
              <w:bottom w:w="60" w:type="dxa"/>
              <w:end w:w="110" w:type="dxa"/>
            </w:tcMar>
          </w:tcPr>
          <w:p>
            <w:pPr>
              <w:spacing w:after="0"/>
            </w:pPr>
            <w:r/>
            <w:r>
              <w:rPr>
                <w:rFonts w:ascii="Calibri" w:hAnsi="Calibri"/>
                <w:b/>
                <w:i w:val="0"/>
                <w:color w:val="FFFFFF"/>
                <w:sz w:val="13"/>
              </w:rPr>
              <w:t>Tier 2 nav</w:t>
            </w:r>
          </w:p>
        </w:tc>
        <w:tc>
          <w:tcPr>
            <w:tcW w:type="dxa" w:w="432"/>
            <w:shd w:val="clear" w:color="auto" w:fill="0B1F3A"/>
            <w:tcMar>
              <w:top w:w="60" w:type="dxa"/>
              <w:start w:w="110" w:type="dxa"/>
              <w:bottom w:w="60" w:type="dxa"/>
              <w:end w:w="110" w:type="dxa"/>
            </w:tcMar>
          </w:tcPr>
          <w:p>
            <w:pPr>
              <w:spacing w:after="0"/>
            </w:pPr>
            <w:r/>
            <w:r>
              <w:rPr>
                <w:rFonts w:ascii="Calibri" w:hAnsi="Calibri"/>
                <w:b/>
                <w:i w:val="0"/>
                <w:color w:val="FFFFFF"/>
                <w:sz w:val="13"/>
              </w:rPr>
              <w:t>Cols</w:t>
            </w:r>
          </w:p>
        </w:tc>
        <w:tc>
          <w:tcPr>
            <w:tcW w:type="dxa" w:w="490"/>
            <w:shd w:val="clear" w:color="auto" w:fill="0B1F3A"/>
            <w:tcMar>
              <w:top w:w="60" w:type="dxa"/>
              <w:start w:w="110" w:type="dxa"/>
              <w:bottom w:w="60" w:type="dxa"/>
              <w:end w:w="110" w:type="dxa"/>
            </w:tcMar>
          </w:tcPr>
          <w:p>
            <w:pPr>
              <w:spacing w:after="0"/>
            </w:pPr>
            <w:r/>
            <w:r>
              <w:rPr>
                <w:rFonts w:ascii="Calibri" w:hAnsi="Calibri"/>
                <w:b/>
                <w:i w:val="0"/>
                <w:color w:val="FFFFFF"/>
                <w:sz w:val="13"/>
              </w:rPr>
              <w:t>Gutter</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3"/>
              </w:rPr>
              <w:t>Margin</w:t>
            </w:r>
          </w:p>
        </w:tc>
        <w:tc>
          <w:tcPr>
            <w:tcW w:type="dxa" w:w="4435"/>
            <w:shd w:val="clear" w:color="auto" w:fill="0B1F3A"/>
            <w:tcMar>
              <w:top w:w="60" w:type="dxa"/>
              <w:start w:w="110" w:type="dxa"/>
              <w:bottom w:w="60" w:type="dxa"/>
              <w:end w:w="110" w:type="dxa"/>
            </w:tcMar>
          </w:tcPr>
          <w:p>
            <w:pPr>
              <w:spacing w:after="0"/>
            </w:pPr>
            <w:r/>
            <w:r>
              <w:rPr>
                <w:rFonts w:ascii="Calibri" w:hAnsi="Calibri"/>
                <w:b/>
                <w:i w:val="0"/>
                <w:color w:val="FFFFFF"/>
                <w:sz w:val="13"/>
              </w:rPr>
              <w:t>Notes</w:t>
            </w:r>
          </w:p>
        </w:tc>
      </w:tr>
      <w:tr>
        <w:trPr>
          <w:cantSplit/>
        </w:trPr>
        <w:tc>
          <w:tcPr>
            <w:tcW w:type="dxa" w:w="518"/>
            <w:tcMar>
              <w:top w:w="60" w:type="dxa"/>
              <w:start w:w="110" w:type="dxa"/>
              <w:bottom w:w="60" w:type="dxa"/>
              <w:end w:w="110" w:type="dxa"/>
            </w:tcMar>
          </w:tcPr>
          <w:p>
            <w:pPr>
              <w:spacing w:after="0"/>
            </w:pPr>
            <w:r/>
            <w:r>
              <w:rPr>
                <w:rFonts w:ascii="Consolas" w:hAnsi="Consolas"/>
                <w:color w:val="146EF5"/>
                <w:sz w:val="13"/>
              </w:rPr>
              <w:t>xs</w:t>
            </w:r>
          </w:p>
        </w:tc>
        <w:tc>
          <w:tcPr>
            <w:tcW w:type="dxa" w:w="893"/>
            <w:tcMar>
              <w:top w:w="60" w:type="dxa"/>
              <w:start w:w="110" w:type="dxa"/>
              <w:bottom w:w="60" w:type="dxa"/>
              <w:end w:w="110" w:type="dxa"/>
            </w:tcMar>
          </w:tcPr>
          <w:p>
            <w:pPr>
              <w:spacing w:after="0"/>
            </w:pPr>
            <w:r/>
            <w:r>
              <w:rPr>
                <w:rFonts w:ascii="Calibri" w:hAnsi="Calibri"/>
                <w:b w:val="0"/>
                <w:i w:val="0"/>
                <w:color w:val="101828"/>
                <w:sz w:val="13"/>
              </w:rPr>
              <w:t>320 to 374</w:t>
            </w:r>
          </w:p>
        </w:tc>
        <w:tc>
          <w:tcPr>
            <w:tcW w:type="dxa" w:w="1037"/>
            <w:tcMar>
              <w:top w:w="60" w:type="dxa"/>
              <w:start w:w="110" w:type="dxa"/>
              <w:bottom w:w="60" w:type="dxa"/>
              <w:end w:w="110" w:type="dxa"/>
            </w:tcMar>
          </w:tcPr>
          <w:p>
            <w:pPr>
              <w:spacing w:after="0"/>
            </w:pPr>
            <w:r/>
            <w:r>
              <w:rPr>
                <w:rFonts w:ascii="Calibri" w:hAnsi="Calibri"/>
                <w:b w:val="0"/>
                <w:i w:val="0"/>
                <w:color w:val="101828"/>
                <w:sz w:val="13"/>
              </w:rPr>
              <w:t>Logo, sign in, sheet</w:t>
            </w:r>
          </w:p>
        </w:tc>
        <w:tc>
          <w:tcPr>
            <w:tcW w:type="dxa" w:w="950"/>
            <w:tcMar>
              <w:top w:w="60" w:type="dxa"/>
              <w:start w:w="110" w:type="dxa"/>
              <w:bottom w:w="60" w:type="dxa"/>
              <w:end w:w="110" w:type="dxa"/>
            </w:tcMar>
          </w:tcPr>
          <w:p>
            <w:pPr>
              <w:spacing w:after="0"/>
            </w:pPr>
            <w:r/>
            <w:r>
              <w:rPr>
                <w:rFonts w:ascii="Calibri" w:hAnsi="Calibri"/>
                <w:b w:val="0"/>
                <w:i w:val="0"/>
                <w:color w:val="101828"/>
                <w:sz w:val="13"/>
              </w:rPr>
              <w:t>Bottom bar, 5 tabs</w:t>
            </w:r>
          </w:p>
        </w:tc>
        <w:tc>
          <w:tcPr>
            <w:tcW w:type="dxa" w:w="432"/>
            <w:tcMar>
              <w:top w:w="60" w:type="dxa"/>
              <w:start w:w="110" w:type="dxa"/>
              <w:bottom w:w="60" w:type="dxa"/>
              <w:end w:w="110" w:type="dxa"/>
            </w:tcMar>
          </w:tcPr>
          <w:p>
            <w:pPr>
              <w:spacing w:after="0"/>
            </w:pPr>
            <w:r/>
            <w:r>
              <w:rPr>
                <w:rFonts w:ascii="Calibri" w:hAnsi="Calibri"/>
                <w:b w:val="0"/>
                <w:i w:val="0"/>
                <w:color w:val="101828"/>
                <w:sz w:val="13"/>
              </w:rPr>
              <w:t>1</w:t>
            </w:r>
          </w:p>
        </w:tc>
        <w:tc>
          <w:tcPr>
            <w:tcW w:type="dxa" w:w="490"/>
            <w:tcMar>
              <w:top w:w="60" w:type="dxa"/>
              <w:start w:w="110" w:type="dxa"/>
              <w:bottom w:w="60" w:type="dxa"/>
              <w:end w:w="110" w:type="dxa"/>
            </w:tcMar>
          </w:tcPr>
          <w:p>
            <w:pPr>
              <w:spacing w:after="0"/>
            </w:pPr>
            <w:r/>
            <w:r>
              <w:rPr>
                <w:rFonts w:ascii="Calibri" w:hAnsi="Calibri"/>
                <w:b w:val="0"/>
                <w:i w:val="0"/>
                <w:color w:val="101828"/>
                <w:sz w:val="13"/>
              </w:rPr>
              <w:t>—</w:t>
            </w:r>
          </w:p>
        </w:tc>
        <w:tc>
          <w:tcPr>
            <w:tcW w:type="dxa" w:w="605"/>
            <w:tcMar>
              <w:top w:w="60" w:type="dxa"/>
              <w:start w:w="110" w:type="dxa"/>
              <w:bottom w:w="60" w:type="dxa"/>
              <w:end w:w="110" w:type="dxa"/>
            </w:tcMar>
          </w:tcPr>
          <w:p>
            <w:pPr>
              <w:spacing w:after="0"/>
            </w:pPr>
            <w:r/>
            <w:r>
              <w:rPr>
                <w:rFonts w:ascii="Calibri" w:hAnsi="Calibri"/>
                <w:b w:val="0"/>
                <w:i w:val="0"/>
                <w:color w:val="101828"/>
                <w:sz w:val="13"/>
              </w:rPr>
              <w:t>16 px</w:t>
            </w:r>
          </w:p>
        </w:tc>
        <w:tc>
          <w:tcPr>
            <w:tcW w:type="dxa" w:w="4435"/>
            <w:tcMar>
              <w:top w:w="60" w:type="dxa"/>
              <w:start w:w="110" w:type="dxa"/>
              <w:bottom w:w="60" w:type="dxa"/>
              <w:end w:w="110" w:type="dxa"/>
            </w:tcMar>
          </w:tcPr>
          <w:p>
            <w:pPr>
              <w:spacing w:after="0"/>
            </w:pPr>
            <w:r/>
            <w:r>
              <w:rPr>
                <w:rFonts w:ascii="Calibri" w:hAnsi="Calibri"/>
                <w:b w:val="0"/>
                <w:i w:val="0"/>
                <w:color w:val="101828"/>
                <w:sz w:val="13"/>
              </w:rPr>
              <w:t>Minimum supported, verified in review. The fee breakdown and the bottom bar both fit at 320 with a 44 px target.</w:t>
            </w:r>
          </w:p>
        </w:tc>
      </w:tr>
      <w:tr>
        <w:trPr>
          <w:cantSplit/>
        </w:trPr>
        <w:tc>
          <w:tcPr>
            <w:tcW w:type="dxa" w:w="518"/>
            <w:tcMar>
              <w:top w:w="60" w:type="dxa"/>
              <w:start w:w="110" w:type="dxa"/>
              <w:bottom w:w="60" w:type="dxa"/>
              <w:end w:w="110" w:type="dxa"/>
            </w:tcMar>
            <w:shd w:val="clear" w:color="auto" w:fill="F4F7FB"/>
          </w:tcPr>
          <w:p>
            <w:pPr>
              <w:spacing w:after="0"/>
            </w:pPr>
            <w:r/>
            <w:r>
              <w:rPr>
                <w:rFonts w:ascii="Consolas" w:hAnsi="Consolas"/>
                <w:color w:val="146EF5"/>
                <w:sz w:val="13"/>
              </w:rPr>
              <w:t>sm</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3"/>
              </w:rPr>
              <w:t>375 to 767</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3"/>
              </w:rPr>
              <w:t>Logo, sign in, sheet</w:t>
            </w:r>
          </w:p>
        </w:tc>
        <w:tc>
          <w:tcPr>
            <w:tcW w:type="dxa" w:w="950"/>
            <w:tcMar>
              <w:top w:w="60" w:type="dxa"/>
              <w:start w:w="110" w:type="dxa"/>
              <w:bottom w:w="60" w:type="dxa"/>
              <w:end w:w="110" w:type="dxa"/>
            </w:tcMar>
            <w:shd w:val="clear" w:color="auto" w:fill="F4F7FB"/>
          </w:tcPr>
          <w:p>
            <w:pPr>
              <w:spacing w:after="0"/>
            </w:pPr>
            <w:r/>
            <w:r>
              <w:rPr>
                <w:rFonts w:ascii="Calibri" w:hAnsi="Calibri"/>
                <w:b w:val="0"/>
                <w:i w:val="0"/>
                <w:color w:val="101828"/>
                <w:sz w:val="13"/>
              </w:rPr>
              <w:t>Bottom bar, 5 tabs</w:t>
            </w:r>
          </w:p>
        </w:tc>
        <w:tc>
          <w:tcPr>
            <w:tcW w:type="dxa" w:w="432"/>
            <w:tcMar>
              <w:top w:w="60" w:type="dxa"/>
              <w:start w:w="110" w:type="dxa"/>
              <w:bottom w:w="60" w:type="dxa"/>
              <w:end w:w="110" w:type="dxa"/>
            </w:tcMar>
            <w:shd w:val="clear" w:color="auto" w:fill="F4F7FB"/>
          </w:tcPr>
          <w:p>
            <w:pPr>
              <w:spacing w:after="0"/>
            </w:pPr>
            <w:r/>
            <w:r>
              <w:rPr>
                <w:rFonts w:ascii="Calibri" w:hAnsi="Calibri"/>
                <w:b w:val="0"/>
                <w:i w:val="0"/>
                <w:color w:val="101828"/>
                <w:sz w:val="13"/>
              </w:rPr>
              <w:t>1</w:t>
            </w:r>
          </w:p>
        </w:tc>
        <w:tc>
          <w:tcPr>
            <w:tcW w:type="dxa" w:w="490"/>
            <w:tcMar>
              <w:top w:w="60" w:type="dxa"/>
              <w:start w:w="110" w:type="dxa"/>
              <w:bottom w:w="60" w:type="dxa"/>
              <w:end w:w="110" w:type="dxa"/>
            </w:tcMar>
            <w:shd w:val="clear" w:color="auto" w:fill="F4F7FB"/>
          </w:tcPr>
          <w:p>
            <w:pPr>
              <w:spacing w:after="0"/>
            </w:pPr>
            <w:r/>
            <w:r>
              <w:rPr>
                <w:rFonts w:ascii="Calibri" w:hAnsi="Calibri"/>
                <w:b w:val="0"/>
                <w:i w:val="0"/>
                <w:color w:val="101828"/>
                <w:sz w:val="13"/>
              </w:rPr>
              <w:t>—</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16 px</w:t>
            </w:r>
          </w:p>
        </w:tc>
        <w:tc>
          <w:tcPr>
            <w:tcW w:type="dxa" w:w="4435"/>
            <w:tcMar>
              <w:top w:w="60" w:type="dxa"/>
              <w:start w:w="110" w:type="dxa"/>
              <w:bottom w:w="60" w:type="dxa"/>
              <w:end w:w="110" w:type="dxa"/>
            </w:tcMar>
            <w:shd w:val="clear" w:color="auto" w:fill="F4F7FB"/>
          </w:tcPr>
          <w:p>
            <w:pPr>
              <w:spacing w:after="0"/>
            </w:pPr>
            <w:r/>
            <w:r>
              <w:rPr>
                <w:rFonts w:ascii="Calibri" w:hAnsi="Calibri"/>
                <w:b w:val="0"/>
                <w:i w:val="0"/>
                <w:color w:val="101828"/>
                <w:sz w:val="13"/>
              </w:rPr>
              <w:t>Design width. The reference for every mobile wireframe in section 6.</w:t>
            </w:r>
          </w:p>
        </w:tc>
      </w:tr>
      <w:tr>
        <w:trPr>
          <w:cantSplit/>
        </w:trPr>
        <w:tc>
          <w:tcPr>
            <w:tcW w:type="dxa" w:w="518"/>
            <w:tcMar>
              <w:top w:w="60" w:type="dxa"/>
              <w:start w:w="110" w:type="dxa"/>
              <w:bottom w:w="60" w:type="dxa"/>
              <w:end w:w="110" w:type="dxa"/>
            </w:tcMar>
          </w:tcPr>
          <w:p>
            <w:pPr>
              <w:spacing w:after="0"/>
            </w:pPr>
            <w:r/>
            <w:r>
              <w:rPr>
                <w:rFonts w:ascii="Consolas" w:hAnsi="Consolas"/>
                <w:color w:val="146EF5"/>
                <w:sz w:val="13"/>
              </w:rPr>
              <w:t>md</w:t>
            </w:r>
          </w:p>
        </w:tc>
        <w:tc>
          <w:tcPr>
            <w:tcW w:type="dxa" w:w="893"/>
            <w:tcMar>
              <w:top w:w="60" w:type="dxa"/>
              <w:start w:w="110" w:type="dxa"/>
              <w:bottom w:w="60" w:type="dxa"/>
              <w:end w:w="110" w:type="dxa"/>
            </w:tcMar>
          </w:tcPr>
          <w:p>
            <w:pPr>
              <w:spacing w:after="0"/>
            </w:pPr>
            <w:r/>
            <w:r>
              <w:rPr>
                <w:rFonts w:ascii="Calibri" w:hAnsi="Calibri"/>
                <w:b w:val="0"/>
                <w:i w:val="0"/>
                <w:color w:val="101828"/>
                <w:sz w:val="13"/>
              </w:rPr>
              <w:t>768 to 1023</w:t>
            </w:r>
          </w:p>
        </w:tc>
        <w:tc>
          <w:tcPr>
            <w:tcW w:type="dxa" w:w="1037"/>
            <w:tcMar>
              <w:top w:w="60" w:type="dxa"/>
              <w:start w:w="110" w:type="dxa"/>
              <w:bottom w:w="60" w:type="dxa"/>
              <w:end w:w="110" w:type="dxa"/>
            </w:tcMar>
          </w:tcPr>
          <w:p>
            <w:pPr>
              <w:spacing w:after="0"/>
            </w:pPr>
            <w:r/>
            <w:r>
              <w:rPr>
                <w:rFonts w:ascii="Calibri" w:hAnsi="Calibri"/>
                <w:b w:val="0"/>
                <w:i w:val="0"/>
                <w:color w:val="101828"/>
                <w:sz w:val="13"/>
              </w:rPr>
              <w:t>Horizontal, up to 6</w:t>
            </w:r>
          </w:p>
        </w:tc>
        <w:tc>
          <w:tcPr>
            <w:tcW w:type="dxa" w:w="950"/>
            <w:tcMar>
              <w:top w:w="60" w:type="dxa"/>
              <w:start w:w="110" w:type="dxa"/>
              <w:bottom w:w="60" w:type="dxa"/>
              <w:end w:w="110" w:type="dxa"/>
            </w:tcMar>
          </w:tcPr>
          <w:p>
            <w:pPr>
              <w:spacing w:after="0"/>
            </w:pPr>
            <w:r/>
            <w:r>
              <w:rPr>
                <w:rFonts w:ascii="Calibri" w:hAnsi="Calibri"/>
                <w:b w:val="0"/>
                <w:i w:val="0"/>
                <w:color w:val="101828"/>
                <w:sz w:val="13"/>
              </w:rPr>
              <w:t>72 px icon rail</w:t>
            </w:r>
          </w:p>
        </w:tc>
        <w:tc>
          <w:tcPr>
            <w:tcW w:type="dxa" w:w="432"/>
            <w:tcMar>
              <w:top w:w="60" w:type="dxa"/>
              <w:start w:w="110" w:type="dxa"/>
              <w:bottom w:w="60" w:type="dxa"/>
              <w:end w:w="110" w:type="dxa"/>
            </w:tcMar>
          </w:tcPr>
          <w:p>
            <w:pPr>
              <w:spacing w:after="0"/>
            </w:pPr>
            <w:r/>
            <w:r>
              <w:rPr>
                <w:rFonts w:ascii="Calibri" w:hAnsi="Calibri"/>
                <w:b w:val="0"/>
                <w:i w:val="0"/>
                <w:color w:val="101828"/>
                <w:sz w:val="13"/>
              </w:rPr>
              <w:t>2</w:t>
            </w:r>
          </w:p>
        </w:tc>
        <w:tc>
          <w:tcPr>
            <w:tcW w:type="dxa" w:w="490"/>
            <w:tcMar>
              <w:top w:w="60" w:type="dxa"/>
              <w:start w:w="110" w:type="dxa"/>
              <w:bottom w:w="60" w:type="dxa"/>
              <w:end w:w="110" w:type="dxa"/>
            </w:tcMar>
          </w:tcPr>
          <w:p>
            <w:pPr>
              <w:spacing w:after="0"/>
            </w:pPr>
            <w:r/>
            <w:r>
              <w:rPr>
                <w:rFonts w:ascii="Calibri" w:hAnsi="Calibri"/>
                <w:b w:val="0"/>
                <w:i w:val="0"/>
                <w:color w:val="101828"/>
                <w:sz w:val="13"/>
              </w:rPr>
              <w:t>24 px</w:t>
            </w:r>
          </w:p>
        </w:tc>
        <w:tc>
          <w:tcPr>
            <w:tcW w:type="dxa" w:w="605"/>
            <w:tcMar>
              <w:top w:w="60" w:type="dxa"/>
              <w:start w:w="110" w:type="dxa"/>
              <w:bottom w:w="60" w:type="dxa"/>
              <w:end w:w="110" w:type="dxa"/>
            </w:tcMar>
          </w:tcPr>
          <w:p>
            <w:pPr>
              <w:spacing w:after="0"/>
            </w:pPr>
            <w:r/>
            <w:r>
              <w:rPr>
                <w:rFonts w:ascii="Calibri" w:hAnsi="Calibri"/>
                <w:b w:val="0"/>
                <w:i w:val="0"/>
                <w:color w:val="101828"/>
                <w:sz w:val="13"/>
              </w:rPr>
              <w:t>24 px</w:t>
            </w:r>
          </w:p>
        </w:tc>
        <w:tc>
          <w:tcPr>
            <w:tcW w:type="dxa" w:w="4435"/>
            <w:tcMar>
              <w:top w:w="60" w:type="dxa"/>
              <w:start w:w="110" w:type="dxa"/>
              <w:bottom w:w="60" w:type="dxa"/>
              <w:end w:w="110" w:type="dxa"/>
            </w:tcMar>
          </w:tcPr>
          <w:p>
            <w:pPr>
              <w:spacing w:after="0"/>
            </w:pPr>
            <w:r/>
            <w:r>
              <w:rPr>
                <w:rFonts w:ascii="Calibri" w:hAnsi="Calibri"/>
                <w:b w:val="0"/>
                <w:i w:val="0"/>
                <w:color w:val="101828"/>
                <w:sz w:val="13"/>
              </w:rPr>
              <w:t>Bottom bar is replaced. The More sheet is not needed; the rail carries every destination.</w:t>
            </w:r>
          </w:p>
        </w:tc>
      </w:tr>
      <w:tr>
        <w:trPr>
          <w:cantSplit/>
        </w:trPr>
        <w:tc>
          <w:tcPr>
            <w:tcW w:type="dxa" w:w="518"/>
            <w:tcMar>
              <w:top w:w="60" w:type="dxa"/>
              <w:start w:w="110" w:type="dxa"/>
              <w:bottom w:w="60" w:type="dxa"/>
              <w:end w:w="110" w:type="dxa"/>
            </w:tcMar>
            <w:shd w:val="clear" w:color="auto" w:fill="F4F7FB"/>
          </w:tcPr>
          <w:p>
            <w:pPr>
              <w:spacing w:after="0"/>
            </w:pPr>
            <w:r/>
            <w:r>
              <w:rPr>
                <w:rFonts w:ascii="Consolas" w:hAnsi="Consolas"/>
                <w:color w:val="146EF5"/>
                <w:sz w:val="13"/>
              </w:rPr>
              <w:t>lg</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3"/>
              </w:rPr>
              <w:t>1024 to 1279</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3"/>
              </w:rPr>
              <w:t>Horizontal, 8 items</w:t>
            </w:r>
          </w:p>
        </w:tc>
        <w:tc>
          <w:tcPr>
            <w:tcW w:type="dxa" w:w="950"/>
            <w:tcMar>
              <w:top w:w="60" w:type="dxa"/>
              <w:start w:w="110" w:type="dxa"/>
              <w:bottom w:w="60" w:type="dxa"/>
              <w:end w:w="110" w:type="dxa"/>
            </w:tcMar>
            <w:shd w:val="clear" w:color="auto" w:fill="F4F7FB"/>
          </w:tcPr>
          <w:p>
            <w:pPr>
              <w:spacing w:after="0"/>
            </w:pPr>
            <w:r/>
            <w:r>
              <w:rPr>
                <w:rFonts w:ascii="Calibri" w:hAnsi="Calibri"/>
                <w:b w:val="0"/>
                <w:i w:val="0"/>
                <w:color w:val="101828"/>
                <w:sz w:val="13"/>
              </w:rPr>
              <w:t>240 px rail</w:t>
            </w:r>
          </w:p>
        </w:tc>
        <w:tc>
          <w:tcPr>
            <w:tcW w:type="dxa" w:w="432"/>
            <w:tcMar>
              <w:top w:w="60" w:type="dxa"/>
              <w:start w:w="110" w:type="dxa"/>
              <w:bottom w:w="60" w:type="dxa"/>
              <w:end w:w="110" w:type="dxa"/>
            </w:tcMar>
            <w:shd w:val="clear" w:color="auto" w:fill="F4F7FB"/>
          </w:tcPr>
          <w:p>
            <w:pPr>
              <w:spacing w:after="0"/>
            </w:pPr>
            <w:r/>
            <w:r>
              <w:rPr>
                <w:rFonts w:ascii="Calibri" w:hAnsi="Calibri"/>
                <w:b w:val="0"/>
                <w:i w:val="0"/>
                <w:color w:val="101828"/>
                <w:sz w:val="13"/>
              </w:rPr>
              <w:t>8</w:t>
            </w:r>
          </w:p>
        </w:tc>
        <w:tc>
          <w:tcPr>
            <w:tcW w:type="dxa" w:w="490"/>
            <w:tcMar>
              <w:top w:w="60" w:type="dxa"/>
              <w:start w:w="110" w:type="dxa"/>
              <w:bottom w:w="60" w:type="dxa"/>
              <w:end w:w="110" w:type="dxa"/>
            </w:tcMar>
            <w:shd w:val="clear" w:color="auto" w:fill="F4F7FB"/>
          </w:tcPr>
          <w:p>
            <w:pPr>
              <w:spacing w:after="0"/>
            </w:pPr>
            <w:r/>
            <w:r>
              <w:rPr>
                <w:rFonts w:ascii="Calibri" w:hAnsi="Calibri"/>
                <w:b w:val="0"/>
                <w:i w:val="0"/>
                <w:color w:val="101828"/>
                <w:sz w:val="13"/>
              </w:rPr>
              <w:t>24 px</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32 px</w:t>
            </w:r>
          </w:p>
        </w:tc>
        <w:tc>
          <w:tcPr>
            <w:tcW w:type="dxa" w:w="4435"/>
            <w:tcMar>
              <w:top w:w="60" w:type="dxa"/>
              <w:start w:w="110" w:type="dxa"/>
              <w:bottom w:w="60" w:type="dxa"/>
              <w:end w:w="110" w:type="dxa"/>
            </w:tcMar>
            <w:shd w:val="clear" w:color="auto" w:fill="F4F7FB"/>
          </w:tcPr>
          <w:p>
            <w:pPr>
              <w:spacing w:after="0"/>
            </w:pPr>
            <w:r/>
            <w:r>
              <w:rPr>
                <w:rFonts w:ascii="Calibri" w:hAnsi="Calibri"/>
                <w:b w:val="0"/>
                <w:i w:val="0"/>
                <w:color w:val="101828"/>
                <w:sz w:val="13"/>
              </w:rPr>
              <w:t>Reading column caps at 720 px. Two-column forms become viable. Tables keep all columns with reduced padding.</w:t>
            </w:r>
          </w:p>
        </w:tc>
      </w:tr>
      <w:tr>
        <w:trPr>
          <w:cantSplit/>
        </w:trPr>
        <w:tc>
          <w:tcPr>
            <w:tcW w:type="dxa" w:w="518"/>
            <w:tcMar>
              <w:top w:w="60" w:type="dxa"/>
              <w:start w:w="110" w:type="dxa"/>
              <w:bottom w:w="60" w:type="dxa"/>
              <w:end w:w="110" w:type="dxa"/>
            </w:tcMar>
          </w:tcPr>
          <w:p>
            <w:pPr>
              <w:spacing w:after="0"/>
            </w:pPr>
            <w:r/>
            <w:r>
              <w:rPr>
                <w:rFonts w:ascii="Consolas" w:hAnsi="Consolas"/>
                <w:color w:val="146EF5"/>
                <w:sz w:val="13"/>
              </w:rPr>
              <w:t>xl</w:t>
            </w:r>
          </w:p>
        </w:tc>
        <w:tc>
          <w:tcPr>
            <w:tcW w:type="dxa" w:w="893"/>
            <w:tcMar>
              <w:top w:w="60" w:type="dxa"/>
              <w:start w:w="110" w:type="dxa"/>
              <w:bottom w:w="60" w:type="dxa"/>
              <w:end w:w="110" w:type="dxa"/>
            </w:tcMar>
          </w:tcPr>
          <w:p>
            <w:pPr>
              <w:spacing w:after="0"/>
            </w:pPr>
            <w:r/>
            <w:r>
              <w:rPr>
                <w:rFonts w:ascii="Calibri" w:hAnsi="Calibri"/>
                <w:b w:val="0"/>
                <w:i w:val="0"/>
                <w:color w:val="101828"/>
                <w:sz w:val="13"/>
              </w:rPr>
              <w:t>1280 to 1439</w:t>
            </w:r>
          </w:p>
        </w:tc>
        <w:tc>
          <w:tcPr>
            <w:tcW w:type="dxa" w:w="1037"/>
            <w:tcMar>
              <w:top w:w="60" w:type="dxa"/>
              <w:start w:w="110" w:type="dxa"/>
              <w:bottom w:w="60" w:type="dxa"/>
              <w:end w:w="110" w:type="dxa"/>
            </w:tcMar>
          </w:tcPr>
          <w:p>
            <w:pPr>
              <w:spacing w:after="0"/>
            </w:pPr>
            <w:r/>
            <w:r>
              <w:rPr>
                <w:rFonts w:ascii="Calibri" w:hAnsi="Calibri"/>
                <w:b w:val="0"/>
                <w:i w:val="0"/>
                <w:color w:val="101828"/>
                <w:sz w:val="13"/>
              </w:rPr>
              <w:t>Horizontal, 8 items</w:t>
            </w:r>
          </w:p>
        </w:tc>
        <w:tc>
          <w:tcPr>
            <w:tcW w:type="dxa" w:w="950"/>
            <w:tcMar>
              <w:top w:w="60" w:type="dxa"/>
              <w:start w:w="110" w:type="dxa"/>
              <w:bottom w:w="60" w:type="dxa"/>
              <w:end w:w="110" w:type="dxa"/>
            </w:tcMar>
          </w:tcPr>
          <w:p>
            <w:pPr>
              <w:spacing w:after="0"/>
            </w:pPr>
            <w:r/>
            <w:r>
              <w:rPr>
                <w:rFonts w:ascii="Calibri" w:hAnsi="Calibri"/>
                <w:b w:val="0"/>
                <w:i w:val="0"/>
                <w:color w:val="101828"/>
                <w:sz w:val="13"/>
              </w:rPr>
              <w:t>240 px rail</w:t>
            </w:r>
          </w:p>
        </w:tc>
        <w:tc>
          <w:tcPr>
            <w:tcW w:type="dxa" w:w="432"/>
            <w:tcMar>
              <w:top w:w="60" w:type="dxa"/>
              <w:start w:w="110" w:type="dxa"/>
              <w:bottom w:w="60" w:type="dxa"/>
              <w:end w:w="110" w:type="dxa"/>
            </w:tcMar>
          </w:tcPr>
          <w:p>
            <w:pPr>
              <w:spacing w:after="0"/>
            </w:pPr>
            <w:r/>
            <w:r>
              <w:rPr>
                <w:rFonts w:ascii="Calibri" w:hAnsi="Calibri"/>
                <w:b w:val="0"/>
                <w:i w:val="0"/>
                <w:color w:val="101828"/>
                <w:sz w:val="13"/>
              </w:rPr>
              <w:t>12</w:t>
            </w:r>
          </w:p>
        </w:tc>
        <w:tc>
          <w:tcPr>
            <w:tcW w:type="dxa" w:w="490"/>
            <w:tcMar>
              <w:top w:w="60" w:type="dxa"/>
              <w:start w:w="110" w:type="dxa"/>
              <w:bottom w:w="60" w:type="dxa"/>
              <w:end w:w="110" w:type="dxa"/>
            </w:tcMar>
          </w:tcPr>
          <w:p>
            <w:pPr>
              <w:spacing w:after="0"/>
            </w:pPr>
            <w:r/>
            <w:r>
              <w:rPr>
                <w:rFonts w:ascii="Calibri" w:hAnsi="Calibri"/>
                <w:b w:val="0"/>
                <w:i w:val="0"/>
                <w:color w:val="101828"/>
                <w:sz w:val="13"/>
              </w:rPr>
              <w:t>24 px</w:t>
            </w:r>
          </w:p>
        </w:tc>
        <w:tc>
          <w:tcPr>
            <w:tcW w:type="dxa" w:w="605"/>
            <w:tcMar>
              <w:top w:w="60" w:type="dxa"/>
              <w:start w:w="110" w:type="dxa"/>
              <w:bottom w:w="60" w:type="dxa"/>
              <w:end w:w="110" w:type="dxa"/>
            </w:tcMar>
          </w:tcPr>
          <w:p>
            <w:pPr>
              <w:spacing w:after="0"/>
            </w:pPr>
            <w:r/>
            <w:r>
              <w:rPr>
                <w:rFonts w:ascii="Calibri" w:hAnsi="Calibri"/>
                <w:b w:val="0"/>
                <w:i w:val="0"/>
                <w:color w:val="101828"/>
                <w:sz w:val="13"/>
              </w:rPr>
              <w:t>40 px</w:t>
            </w:r>
          </w:p>
        </w:tc>
        <w:tc>
          <w:tcPr>
            <w:tcW w:type="dxa" w:w="4435"/>
            <w:tcMar>
              <w:top w:w="60" w:type="dxa"/>
              <w:start w:w="110" w:type="dxa"/>
              <w:bottom w:w="60" w:type="dxa"/>
              <w:end w:w="110" w:type="dxa"/>
            </w:tcMar>
          </w:tcPr>
          <w:p>
            <w:pPr>
              <w:spacing w:after="0"/>
            </w:pPr>
            <w:r/>
            <w:r>
              <w:rPr>
                <w:rFonts w:ascii="Calibri" w:hAnsi="Calibri"/>
                <w:b w:val="0"/>
                <w:i w:val="0"/>
                <w:color w:val="101828"/>
                <w:sz w:val="13"/>
              </w:rPr>
              <w:t>Right context panel appears on detail screens. Stat tiles go three across.</w:t>
            </w:r>
          </w:p>
        </w:tc>
      </w:tr>
      <w:tr>
        <w:trPr>
          <w:cantSplit/>
        </w:trPr>
        <w:tc>
          <w:tcPr>
            <w:tcW w:type="dxa" w:w="518"/>
            <w:tcMar>
              <w:top w:w="60" w:type="dxa"/>
              <w:start w:w="110" w:type="dxa"/>
              <w:bottom w:w="60" w:type="dxa"/>
              <w:end w:w="110" w:type="dxa"/>
            </w:tcMar>
            <w:shd w:val="clear" w:color="auto" w:fill="F4F7FB"/>
          </w:tcPr>
          <w:p>
            <w:pPr>
              <w:spacing w:after="0"/>
            </w:pPr>
            <w:r/>
            <w:r>
              <w:rPr>
                <w:rFonts w:ascii="Consolas" w:hAnsi="Consolas"/>
                <w:color w:val="146EF5"/>
                <w:sz w:val="13"/>
              </w:rPr>
              <w:t>2xl</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3"/>
              </w:rPr>
              <w:t>1440 and above</w:t>
            </w:r>
          </w:p>
        </w:tc>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3"/>
              </w:rPr>
              <w:t>Horizontal, 8 items</w:t>
            </w:r>
          </w:p>
        </w:tc>
        <w:tc>
          <w:tcPr>
            <w:tcW w:type="dxa" w:w="950"/>
            <w:tcMar>
              <w:top w:w="60" w:type="dxa"/>
              <w:start w:w="110" w:type="dxa"/>
              <w:bottom w:w="60" w:type="dxa"/>
              <w:end w:w="110" w:type="dxa"/>
            </w:tcMar>
            <w:shd w:val="clear" w:color="auto" w:fill="F4F7FB"/>
          </w:tcPr>
          <w:p>
            <w:pPr>
              <w:spacing w:after="0"/>
            </w:pPr>
            <w:r/>
            <w:r>
              <w:rPr>
                <w:rFonts w:ascii="Calibri" w:hAnsi="Calibri"/>
                <w:b w:val="0"/>
                <w:i w:val="0"/>
                <w:color w:val="101828"/>
                <w:sz w:val="13"/>
              </w:rPr>
              <w:t>240 px rail</w:t>
            </w:r>
          </w:p>
        </w:tc>
        <w:tc>
          <w:tcPr>
            <w:tcW w:type="dxa" w:w="432"/>
            <w:tcMar>
              <w:top w:w="60" w:type="dxa"/>
              <w:start w:w="110" w:type="dxa"/>
              <w:bottom w:w="60" w:type="dxa"/>
              <w:end w:w="110" w:type="dxa"/>
            </w:tcMar>
            <w:shd w:val="clear" w:color="auto" w:fill="F4F7FB"/>
          </w:tcPr>
          <w:p>
            <w:pPr>
              <w:spacing w:after="0"/>
            </w:pPr>
            <w:r/>
            <w:r>
              <w:rPr>
                <w:rFonts w:ascii="Calibri" w:hAnsi="Calibri"/>
                <w:b w:val="0"/>
                <w:i w:val="0"/>
                <w:color w:val="101828"/>
                <w:sz w:val="13"/>
              </w:rPr>
              <w:t>12</w:t>
            </w:r>
          </w:p>
        </w:tc>
        <w:tc>
          <w:tcPr>
            <w:tcW w:type="dxa" w:w="490"/>
            <w:tcMar>
              <w:top w:w="60" w:type="dxa"/>
              <w:start w:w="110" w:type="dxa"/>
              <w:bottom w:w="60" w:type="dxa"/>
              <w:end w:w="110" w:type="dxa"/>
            </w:tcMar>
            <w:shd w:val="clear" w:color="auto" w:fill="F4F7FB"/>
          </w:tcPr>
          <w:p>
            <w:pPr>
              <w:spacing w:after="0"/>
            </w:pPr>
            <w:r/>
            <w:r>
              <w:rPr>
                <w:rFonts w:ascii="Calibri" w:hAnsi="Calibri"/>
                <w:b w:val="0"/>
                <w:i w:val="0"/>
                <w:color w:val="101828"/>
                <w:sz w:val="13"/>
              </w:rPr>
              <w:t>24 px</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3"/>
              </w:rPr>
              <w:t>48 px</w:t>
            </w:r>
          </w:p>
        </w:tc>
        <w:tc>
          <w:tcPr>
            <w:tcW w:type="dxa" w:w="4435"/>
            <w:tcMar>
              <w:top w:w="60" w:type="dxa"/>
              <w:start w:w="110" w:type="dxa"/>
              <w:bottom w:w="60" w:type="dxa"/>
              <w:end w:w="110" w:type="dxa"/>
            </w:tcMar>
            <w:shd w:val="clear" w:color="auto" w:fill="F4F7FB"/>
          </w:tcPr>
          <w:p>
            <w:pPr>
              <w:spacing w:after="0"/>
            </w:pPr>
            <w:r/>
            <w:r>
              <w:rPr>
                <w:rFonts w:ascii="Calibri" w:hAnsi="Calibri"/>
                <w:b w:val="0"/>
                <w:i w:val="0"/>
                <w:color w:val="101828"/>
                <w:sz w:val="13"/>
              </w:rPr>
              <w:t>Console design width. Content is capped at 1200 px and never stretched.</w:t>
            </w:r>
          </w:p>
        </w:tc>
      </w:tr>
    </w:tbl>
    <w:p>
      <w:pPr>
        <w:spacing w:after="80"/>
      </w:pPr>
    </w:p>
    <w:p>
      <w:pPr>
        <w:pStyle w:val="Heading3"/>
      </w:pPr>
      <w:r>
        <w:rPr>
          <w:rFonts w:ascii="Calibri" w:hAnsi="Calibri"/>
          <w:b/>
          <w:i w:val="0"/>
          <w:color w:val="0B1F3A"/>
          <w:sz w:val="24"/>
        </w:rPr>
        <w:t>4.3.3 What changes at each transition</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354"/>
            <w:shd w:val="clear" w:color="auto" w:fill="0B1F3A"/>
            <w:tcMar>
              <w:top w:w="60" w:type="dxa"/>
              <w:start w:w="110" w:type="dxa"/>
              <w:bottom w:w="60" w:type="dxa"/>
              <w:end w:w="110" w:type="dxa"/>
            </w:tcMar>
          </w:tcPr>
          <w:p>
            <w:pPr>
              <w:spacing w:after="0"/>
            </w:pPr>
            <w:r/>
            <w:r>
              <w:rPr>
                <w:rFonts w:ascii="Calibri" w:hAnsi="Calibri"/>
                <w:b/>
                <w:i w:val="0"/>
                <w:color w:val="FFFFFF"/>
                <w:sz w:val="13"/>
              </w:rPr>
              <w:t>Transition</w:t>
            </w:r>
          </w:p>
        </w:tc>
        <w:tc>
          <w:tcPr>
            <w:tcW w:type="dxa" w:w="3024"/>
            <w:shd w:val="clear" w:color="auto" w:fill="0B1F3A"/>
            <w:tcMar>
              <w:top w:w="60" w:type="dxa"/>
              <w:start w:w="110" w:type="dxa"/>
              <w:bottom w:w="60" w:type="dxa"/>
              <w:end w:w="110" w:type="dxa"/>
            </w:tcMar>
          </w:tcPr>
          <w:p>
            <w:pPr>
              <w:spacing w:after="0"/>
            </w:pPr>
            <w:r/>
            <w:r>
              <w:rPr>
                <w:rFonts w:ascii="Calibri" w:hAnsi="Calibri"/>
                <w:b/>
                <w:i w:val="0"/>
                <w:color w:val="FFFFFF"/>
                <w:sz w:val="13"/>
              </w:rPr>
              <w:t>What changes</w:t>
            </w:r>
          </w:p>
        </w:tc>
        <w:tc>
          <w:tcPr>
            <w:tcW w:type="dxa" w:w="2678"/>
            <w:shd w:val="clear" w:color="auto" w:fill="0B1F3A"/>
            <w:tcMar>
              <w:top w:w="60" w:type="dxa"/>
              <w:start w:w="110" w:type="dxa"/>
              <w:bottom w:w="60" w:type="dxa"/>
              <w:end w:w="110" w:type="dxa"/>
            </w:tcMar>
          </w:tcPr>
          <w:p>
            <w:pPr>
              <w:spacing w:after="0"/>
            </w:pPr>
            <w:r/>
            <w:r>
              <w:rPr>
                <w:rFonts w:ascii="Calibri" w:hAnsi="Calibri"/>
                <w:b/>
                <w:i w:val="0"/>
                <w:color w:val="FFFFFF"/>
                <w:sz w:val="13"/>
              </w:rPr>
              <w:t>What does not change</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3"/>
              </w:rPr>
              <w:t>Risk at the transition</w:t>
            </w:r>
          </w:p>
        </w:tc>
      </w:tr>
      <w:tr>
        <w:trPr>
          <w:cantSplit/>
        </w:trPr>
        <w:tc>
          <w:tcPr>
            <w:tcW w:type="dxa" w:w="1354"/>
            <w:tcMar>
              <w:top w:w="60" w:type="dxa"/>
              <w:start w:w="110" w:type="dxa"/>
              <w:bottom w:w="60" w:type="dxa"/>
              <w:end w:w="110" w:type="dxa"/>
            </w:tcMar>
          </w:tcPr>
          <w:p>
            <w:pPr>
              <w:spacing w:after="0"/>
            </w:pPr>
            <w:r/>
            <w:r>
              <w:rPr>
                <w:rFonts w:ascii="Calibri" w:hAnsi="Calibri"/>
                <w:b w:val="0"/>
                <w:i w:val="0"/>
                <w:color w:val="101828"/>
                <w:sz w:val="13"/>
              </w:rPr>
              <w:t>320 to 375 (</w:t>
            </w:r>
            <w:r>
              <w:rPr>
                <w:rFonts w:ascii="Consolas" w:hAnsi="Consolas"/>
                <w:color w:val="146EF5"/>
                <w:sz w:val="13"/>
              </w:rPr>
              <w:t>xs</w:t>
            </w:r>
            <w:r>
              <w:rPr>
                <w:rFonts w:ascii="Calibri" w:hAnsi="Calibri"/>
                <w:b w:val="0"/>
                <w:i w:val="0"/>
                <w:color w:val="101828"/>
                <w:sz w:val="13"/>
              </w:rPr>
              <w:t xml:space="preserve"> to </w:t>
            </w:r>
            <w:r>
              <w:rPr>
                <w:rFonts w:ascii="Consolas" w:hAnsi="Consolas"/>
                <w:color w:val="146EF5"/>
                <w:sz w:val="13"/>
              </w:rPr>
              <w:t>sm</w:t>
            </w:r>
            <w:r>
              <w:rPr>
                <w:rFonts w:ascii="Calibri" w:hAnsi="Calibri"/>
                <w:b w:val="0"/>
                <w:i w:val="0"/>
                <w:color w:val="101828"/>
                <w:sz w:val="13"/>
              </w:rPr>
              <w:t>)</w:t>
            </w:r>
          </w:p>
        </w:tc>
        <w:tc>
          <w:tcPr>
            <w:tcW w:type="dxa" w:w="3024"/>
            <w:tcMar>
              <w:top w:w="60" w:type="dxa"/>
              <w:start w:w="110" w:type="dxa"/>
              <w:bottom w:w="60" w:type="dxa"/>
              <w:end w:w="110" w:type="dxa"/>
            </w:tcMar>
          </w:tcPr>
          <w:p>
            <w:pPr>
              <w:spacing w:after="0"/>
            </w:pPr>
            <w:r/>
            <w:r>
              <w:rPr>
                <w:rFonts w:ascii="Calibri" w:hAnsi="Calibri"/>
                <w:b w:val="0"/>
                <w:i w:val="0"/>
                <w:color w:val="101828"/>
                <w:sz w:val="13"/>
              </w:rPr>
              <w:t>Nothing structural. 16 px gutters on both.</w:t>
            </w:r>
          </w:p>
        </w:tc>
        <w:tc>
          <w:tcPr>
            <w:tcW w:type="dxa" w:w="2678"/>
            <w:tcMar>
              <w:top w:w="60" w:type="dxa"/>
              <w:start w:w="110" w:type="dxa"/>
              <w:bottom w:w="60" w:type="dxa"/>
              <w:end w:w="110" w:type="dxa"/>
            </w:tcMar>
          </w:tcPr>
          <w:p>
            <w:pPr>
              <w:spacing w:after="0"/>
            </w:pPr>
            <w:r/>
            <w:r>
              <w:rPr>
                <w:rFonts w:ascii="Calibri" w:hAnsi="Calibri"/>
                <w:b w:val="0"/>
                <w:i w:val="0"/>
                <w:color w:val="101828"/>
                <w:sz w:val="13"/>
              </w:rPr>
              <w:t>The bottom bar, the money surface, every touch target size.</w:t>
            </w:r>
          </w:p>
        </w:tc>
        <w:tc>
          <w:tcPr>
            <w:tcW w:type="dxa" w:w="2304"/>
            <w:tcMar>
              <w:top w:w="60" w:type="dxa"/>
              <w:start w:w="110" w:type="dxa"/>
              <w:bottom w:w="60" w:type="dxa"/>
              <w:end w:w="110" w:type="dxa"/>
            </w:tcMar>
          </w:tcPr>
          <w:p>
            <w:pPr>
              <w:spacing w:after="0"/>
            </w:pPr>
            <w:r/>
            <w:r>
              <w:rPr>
                <w:rFonts w:ascii="Calibri" w:hAnsi="Calibri"/>
                <w:b w:val="0"/>
                <w:i w:val="0"/>
                <w:color w:val="101828"/>
                <w:sz w:val="13"/>
              </w:rPr>
              <w:t>None identified.</w:t>
            </w:r>
          </w:p>
        </w:tc>
      </w:tr>
      <w:tr>
        <w:trPr>
          <w:cantSplit/>
        </w:trPr>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767 to 768 (</w:t>
            </w:r>
            <w:r>
              <w:rPr>
                <w:rFonts w:ascii="Consolas" w:hAnsi="Consolas"/>
                <w:color w:val="146EF5"/>
                <w:sz w:val="13"/>
              </w:rPr>
              <w:t>sm</w:t>
            </w:r>
            <w:r>
              <w:rPr>
                <w:rFonts w:ascii="Calibri" w:hAnsi="Calibri"/>
                <w:b w:val="0"/>
                <w:i w:val="0"/>
                <w:color w:val="101828"/>
                <w:sz w:val="13"/>
              </w:rPr>
              <w:t xml:space="preserve"> to </w:t>
            </w:r>
            <w:r>
              <w:rPr>
                <w:rFonts w:ascii="Consolas" w:hAnsi="Consolas"/>
                <w:color w:val="146EF5"/>
                <w:sz w:val="13"/>
              </w:rPr>
              <w:t>md</w:t>
            </w:r>
            <w:r>
              <w:rPr>
                <w:rFonts w:ascii="Calibri" w:hAnsi="Calibri"/>
                <w:b w:val="0"/>
                <w:i w:val="0"/>
                <w:color w:val="101828"/>
                <w:sz w:val="13"/>
              </w:rPr>
              <w:t>)</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3"/>
              </w:rPr>
              <w:t>Bottom bar becomes a 72 px rail. Card grids become two columns. A card list becomes a real table, keeping every field.</w:t>
            </w:r>
          </w:p>
        </w:tc>
        <w:tc>
          <w:tcPr>
            <w:tcW w:type="dxa" w:w="2678"/>
            <w:tcMar>
              <w:top w:w="60" w:type="dxa"/>
              <w:start w:w="110" w:type="dxa"/>
              <w:bottom w:w="60" w:type="dxa"/>
              <w:end w:w="110" w:type="dxa"/>
            </w:tcMar>
            <w:shd w:val="clear" w:color="auto" w:fill="F4F7FB"/>
          </w:tcPr>
          <w:p>
            <w:pPr>
              <w:spacing w:after="0"/>
            </w:pPr>
            <w:r/>
            <w:r>
              <w:rPr>
                <w:rFonts w:ascii="Calibri" w:hAnsi="Calibri"/>
                <w:b w:val="0"/>
                <w:i w:val="0"/>
                <w:color w:val="101828"/>
                <w:sz w:val="13"/>
              </w:rPr>
              <w:t>Region order, action hierarchy, the primary action's label.</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3"/>
              </w:rPr>
              <w:t>A card list that carried a field the table lacks. Field inventory must be identical in both representations; checked in review per 4.3.4.</w:t>
            </w:r>
          </w:p>
        </w:tc>
      </w:tr>
      <w:tr>
        <w:trPr>
          <w:cantSplit/>
        </w:trPr>
        <w:tc>
          <w:tcPr>
            <w:tcW w:type="dxa" w:w="1354"/>
            <w:tcMar>
              <w:top w:w="60" w:type="dxa"/>
              <w:start w:w="110" w:type="dxa"/>
              <w:bottom w:w="60" w:type="dxa"/>
              <w:end w:w="110" w:type="dxa"/>
            </w:tcMar>
          </w:tcPr>
          <w:p>
            <w:pPr>
              <w:spacing w:after="0"/>
            </w:pPr>
            <w:r/>
            <w:r>
              <w:rPr>
                <w:rFonts w:ascii="Calibri" w:hAnsi="Calibri"/>
                <w:b w:val="0"/>
                <w:i w:val="0"/>
                <w:color w:val="101828"/>
                <w:sz w:val="13"/>
              </w:rPr>
              <w:t>1023 to 1024 (</w:t>
            </w:r>
            <w:r>
              <w:rPr>
                <w:rFonts w:ascii="Consolas" w:hAnsi="Consolas"/>
                <w:color w:val="146EF5"/>
                <w:sz w:val="13"/>
              </w:rPr>
              <w:t>md</w:t>
            </w:r>
            <w:r>
              <w:rPr>
                <w:rFonts w:ascii="Calibri" w:hAnsi="Calibri"/>
                <w:b w:val="0"/>
                <w:i w:val="0"/>
                <w:color w:val="101828"/>
                <w:sz w:val="13"/>
              </w:rPr>
              <w:t xml:space="preserve"> to </w:t>
            </w:r>
            <w:r>
              <w:rPr>
                <w:rFonts w:ascii="Consolas" w:hAnsi="Consolas"/>
                <w:color w:val="146EF5"/>
                <w:sz w:val="13"/>
              </w:rPr>
              <w:t>lg</w:t>
            </w:r>
            <w:r>
              <w:rPr>
                <w:rFonts w:ascii="Calibri" w:hAnsi="Calibri"/>
                <w:b w:val="0"/>
                <w:i w:val="0"/>
                <w:color w:val="101828"/>
                <w:sz w:val="13"/>
              </w:rPr>
              <w:t>)</w:t>
            </w:r>
          </w:p>
        </w:tc>
        <w:tc>
          <w:tcPr>
            <w:tcW w:type="dxa" w:w="3024"/>
            <w:tcMar>
              <w:top w:w="60" w:type="dxa"/>
              <w:start w:w="110" w:type="dxa"/>
              <w:bottom w:w="60" w:type="dxa"/>
              <w:end w:w="110" w:type="dxa"/>
            </w:tcMar>
          </w:tcPr>
          <w:p>
            <w:pPr>
              <w:spacing w:after="0"/>
            </w:pPr>
            <w:r/>
            <w:r>
              <w:rPr>
                <w:rFonts w:ascii="Calibri" w:hAnsi="Calibri"/>
                <w:b w:val="0"/>
                <w:i w:val="0"/>
                <w:color w:val="101828"/>
                <w:sz w:val="13"/>
              </w:rPr>
              <w:t>Rail expands to 240 px. Reading column caps at 720 px. Two-column form layouts become available.</w:t>
            </w:r>
          </w:p>
        </w:tc>
        <w:tc>
          <w:tcPr>
            <w:tcW w:type="dxa" w:w="2678"/>
            <w:tcMar>
              <w:top w:w="60" w:type="dxa"/>
              <w:start w:w="110" w:type="dxa"/>
              <w:bottom w:w="60" w:type="dxa"/>
              <w:end w:w="110" w:type="dxa"/>
            </w:tcMar>
          </w:tcPr>
          <w:p>
            <w:pPr>
              <w:spacing w:after="0"/>
            </w:pPr>
            <w:r/>
            <w:r>
              <w:rPr>
                <w:rFonts w:ascii="Calibri" w:hAnsi="Calibri"/>
                <w:b w:val="0"/>
                <w:i w:val="0"/>
                <w:color w:val="101828"/>
                <w:sz w:val="13"/>
              </w:rPr>
              <w:t>The single primary action. The position of the money surface relative to the commit action.</w:t>
            </w:r>
          </w:p>
        </w:tc>
        <w:tc>
          <w:tcPr>
            <w:tcW w:type="dxa" w:w="2304"/>
            <w:tcMar>
              <w:top w:w="60" w:type="dxa"/>
              <w:start w:w="110" w:type="dxa"/>
              <w:bottom w:w="60" w:type="dxa"/>
              <w:end w:w="110" w:type="dxa"/>
            </w:tcMar>
          </w:tcPr>
          <w:p>
            <w:pPr>
              <w:spacing w:after="0"/>
            </w:pPr>
            <w:r/>
            <w:r>
              <w:rPr>
                <w:rFonts w:ascii="Calibri" w:hAnsi="Calibri"/>
                <w:b w:val="0"/>
                <w:i w:val="0"/>
                <w:color w:val="101828"/>
                <w:sz w:val="13"/>
              </w:rPr>
              <w:t>A form laid out in one column that becomes two, which can move a field below the fold on submit. Field order is fixed and is never reordered by breakpoint.</w:t>
            </w:r>
          </w:p>
        </w:tc>
      </w:tr>
      <w:tr>
        <w:trPr>
          <w:cantSplit/>
        </w:trPr>
        <w:tc>
          <w:tcPr>
            <w:tcW w:type="dxa" w:w="1354"/>
            <w:tcMar>
              <w:top w:w="60" w:type="dxa"/>
              <w:start w:w="110" w:type="dxa"/>
              <w:bottom w:w="60" w:type="dxa"/>
              <w:end w:w="110" w:type="dxa"/>
            </w:tcMar>
            <w:shd w:val="clear" w:color="auto" w:fill="F4F7FB"/>
          </w:tcPr>
          <w:p>
            <w:pPr>
              <w:spacing w:after="0"/>
            </w:pPr>
            <w:r/>
            <w:r>
              <w:rPr>
                <w:rFonts w:ascii="Calibri" w:hAnsi="Calibri"/>
                <w:b w:val="0"/>
                <w:i w:val="0"/>
                <w:color w:val="101828"/>
                <w:sz w:val="13"/>
              </w:rPr>
              <w:t>1279 to 1280 (</w:t>
            </w:r>
            <w:r>
              <w:rPr>
                <w:rFonts w:ascii="Consolas" w:hAnsi="Consolas"/>
                <w:color w:val="146EF5"/>
                <w:sz w:val="13"/>
              </w:rPr>
              <w:t>lg</w:t>
            </w:r>
            <w:r>
              <w:rPr>
                <w:rFonts w:ascii="Calibri" w:hAnsi="Calibri"/>
                <w:b w:val="0"/>
                <w:i w:val="0"/>
                <w:color w:val="101828"/>
                <w:sz w:val="13"/>
              </w:rPr>
              <w:t xml:space="preserve"> to </w:t>
            </w:r>
            <w:r>
              <w:rPr>
                <w:rFonts w:ascii="Consolas" w:hAnsi="Consolas"/>
                <w:color w:val="146EF5"/>
                <w:sz w:val="13"/>
              </w:rPr>
              <w:t>xl</w:t>
            </w:r>
            <w:r>
              <w:rPr>
                <w:rFonts w:ascii="Calibri" w:hAnsi="Calibri"/>
                <w:b w:val="0"/>
                <w:i w:val="0"/>
                <w:color w:val="101828"/>
                <w:sz w:val="13"/>
              </w:rPr>
              <w:t>)</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3"/>
              </w:rPr>
              <w:t>Right context panel appears on detail screens. Stat tiles go from two across to three.</w:t>
            </w:r>
          </w:p>
        </w:tc>
        <w:tc>
          <w:tcPr>
            <w:tcW w:type="dxa" w:w="2678"/>
            <w:tcMar>
              <w:top w:w="60" w:type="dxa"/>
              <w:start w:w="110" w:type="dxa"/>
              <w:bottom w:w="60" w:type="dxa"/>
              <w:end w:w="110" w:type="dxa"/>
            </w:tcMar>
            <w:shd w:val="clear" w:color="auto" w:fill="F4F7FB"/>
          </w:tcPr>
          <w:p>
            <w:pPr>
              <w:spacing w:after="0"/>
            </w:pPr>
            <w:r/>
            <w:r>
              <w:rPr>
                <w:rFonts w:ascii="Calibri" w:hAnsi="Calibri"/>
                <w:b w:val="0"/>
                <w:i w:val="0"/>
                <w:color w:val="101828"/>
                <w:sz w:val="13"/>
              </w:rPr>
              <w:t>Anything that carries a fee, a state, or a required action.</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3"/>
              </w:rPr>
              <w:t>Content reflowing into a second column that separates a label from its value. Related fields are never split across columns in a money form.</w:t>
            </w:r>
          </w:p>
        </w:tc>
      </w:tr>
      <w:tr>
        <w:trPr>
          <w:cantSplit/>
        </w:trPr>
        <w:tc>
          <w:tcPr>
            <w:tcW w:type="dxa" w:w="1354"/>
            <w:tcMar>
              <w:top w:w="60" w:type="dxa"/>
              <w:start w:w="110" w:type="dxa"/>
              <w:bottom w:w="60" w:type="dxa"/>
              <w:end w:w="110" w:type="dxa"/>
            </w:tcMar>
          </w:tcPr>
          <w:p>
            <w:pPr>
              <w:spacing w:after="0"/>
            </w:pPr>
            <w:r/>
            <w:r>
              <w:rPr>
                <w:rFonts w:ascii="Calibri" w:hAnsi="Calibri"/>
                <w:b w:val="0"/>
                <w:i w:val="0"/>
                <w:color w:val="101828"/>
                <w:sz w:val="13"/>
              </w:rPr>
              <w:t>1439 and above (</w:t>
            </w:r>
            <w:r>
              <w:rPr>
                <w:rFonts w:ascii="Consolas" w:hAnsi="Consolas"/>
                <w:color w:val="146EF5"/>
                <w:sz w:val="13"/>
              </w:rPr>
              <w:t>2xl</w:t>
            </w:r>
            <w:r>
              <w:rPr>
                <w:rFonts w:ascii="Calibri" w:hAnsi="Calibri"/>
                <w:b w:val="0"/>
                <w:i w:val="0"/>
                <w:color w:val="101828"/>
                <w:sz w:val="13"/>
              </w:rPr>
              <w:t>)</w:t>
            </w:r>
          </w:p>
        </w:tc>
        <w:tc>
          <w:tcPr>
            <w:tcW w:type="dxa" w:w="3024"/>
            <w:tcMar>
              <w:top w:w="60" w:type="dxa"/>
              <w:start w:w="110" w:type="dxa"/>
              <w:bottom w:w="60" w:type="dxa"/>
              <w:end w:w="110" w:type="dxa"/>
            </w:tcMar>
          </w:tcPr>
          <w:p>
            <w:pPr>
              <w:spacing w:after="0"/>
            </w:pPr>
            <w:r/>
            <w:r>
              <w:rPr>
                <w:rFonts w:ascii="Calibri" w:hAnsi="Calibri"/>
                <w:b w:val="0"/>
                <w:i w:val="0"/>
                <w:color w:val="101828"/>
                <w:sz w:val="13"/>
              </w:rPr>
              <w:t>Content centres at 1200 px. Marketing hero goes full-bleed.</w:t>
            </w:r>
          </w:p>
        </w:tc>
        <w:tc>
          <w:tcPr>
            <w:tcW w:type="dxa" w:w="2678"/>
            <w:tcMar>
              <w:top w:w="60" w:type="dxa"/>
              <w:start w:w="110" w:type="dxa"/>
              <w:bottom w:w="60" w:type="dxa"/>
              <w:end w:w="110" w:type="dxa"/>
            </w:tcMar>
          </w:tcPr>
          <w:p>
            <w:pPr>
              <w:spacing w:after="0"/>
            </w:pPr>
            <w:r/>
            <w:r>
              <w:rPr>
                <w:rFonts w:ascii="Calibri" w:hAnsi="Calibri"/>
                <w:b w:val="0"/>
                <w:i w:val="0"/>
                <w:color w:val="101828"/>
                <w:sz w:val="13"/>
              </w:rPr>
              <w:t>Everything.</w:t>
            </w:r>
          </w:p>
        </w:tc>
        <w:tc>
          <w:tcPr>
            <w:tcW w:type="dxa" w:w="2304"/>
            <w:tcMar>
              <w:top w:w="60" w:type="dxa"/>
              <w:start w:w="110" w:type="dxa"/>
              <w:bottom w:w="60" w:type="dxa"/>
              <w:end w:w="110" w:type="dxa"/>
            </w:tcMar>
          </w:tcPr>
          <w:p>
            <w:pPr>
              <w:spacing w:after="0"/>
            </w:pPr>
            <w:r/>
            <w:r>
              <w:rPr>
                <w:rFonts w:ascii="Calibri" w:hAnsi="Calibri"/>
                <w:b w:val="0"/>
                <w:i w:val="0"/>
                <w:color w:val="101828"/>
                <w:sz w:val="13"/>
              </w:rPr>
              <w:t>A full-bleed treatment swallowing the money table. The worked example and every money block stay inside the reading column at every width.</w:t>
            </w:r>
          </w:p>
        </w:tc>
      </w:tr>
    </w:tbl>
    <w:p>
      <w:pPr>
        <w:spacing w:after="80"/>
      </w:pPr>
    </w:p>
    <w:p>
      <w:pPr>
        <w:pStyle w:val="Heading3"/>
      </w:pPr>
      <w:r>
        <w:rPr>
          <w:rFonts w:ascii="Calibri" w:hAnsi="Calibri"/>
          <w:b/>
          <w:i w:val="0"/>
          <w:color w:val="0B1F3A"/>
          <w:sz w:val="24"/>
        </w:rPr>
        <w:t>4.3.4 Content priority under reflow</w:t>
      </w:r>
    </w:p>
    <w:p>
      <w:r>
        <w:rPr>
          <w:rFonts w:ascii="Calibri" w:hAnsi="Calibri"/>
          <w:b w:val="0"/>
          <w:i w:val="0"/>
          <w:color w:val="101828"/>
          <w:sz w:val="21"/>
        </w:rPr>
        <w:t>When a layout cannot hold everything, the order below decides what is kept, what moves, and what is removed. It is fixed, applied per region, and checked against the field inventory in section 6 in design review.</w:t>
      </w:r>
    </w:p>
    <w:p>
      <w:pPr>
        <w:pStyle w:val="ListNumber"/>
        <w:spacing w:after="60"/>
        <w:ind w:left="432"/>
      </w:pPr>
      <w:r>
        <w:rPr>
          <w:rFonts w:ascii="Calibri" w:hAnsi="Calibri"/>
          <w:b/>
          <w:color w:val="101828"/>
          <w:sz w:val="21"/>
        </w:rPr>
        <w:t>P1 — the money and the state.</w:t>
      </w:r>
      <w:r>
        <w:rPr>
          <w:rFonts w:ascii="Calibri" w:hAnsi="Calibri"/>
          <w:b w:val="0"/>
          <w:i w:val="0"/>
          <w:color w:val="101828"/>
          <w:sz w:val="21"/>
        </w:rPr>
        <w:t xml:space="preserve"> Any amount, any due date, any lifecycle state word, the fee breakdown, the primary action, the commit action. These are never removed, never collapsed, and never pushed below a fold that requires scrolling to complete a payment.</w:t>
      </w:r>
    </w:p>
    <w:p>
      <w:pPr>
        <w:pStyle w:val="ListNumber"/>
        <w:spacing w:after="60"/>
        <w:ind w:left="432"/>
      </w:pPr>
      <w:r>
        <w:rPr>
          <w:rFonts w:ascii="Calibri" w:hAnsi="Calibri"/>
          <w:b/>
          <w:color w:val="101828"/>
          <w:sz w:val="21"/>
        </w:rPr>
        <w:t>P2 — the action.</w:t>
      </w:r>
      <w:r>
        <w:rPr>
          <w:rFonts w:ascii="Calibri" w:hAnsi="Calibri"/>
          <w:b w:val="0"/>
          <w:i w:val="0"/>
          <w:color w:val="101828"/>
          <w:sz w:val="21"/>
        </w:rPr>
        <w:t xml:space="preserve"> Secondary actions, filters, the context switcher, and the record identity: which Ajo, which contribution, which dispute reference.</w:t>
      </w:r>
    </w:p>
    <w:p>
      <w:pPr>
        <w:pStyle w:val="ListNumber"/>
        <w:spacing w:after="60"/>
        <w:ind w:left="432"/>
      </w:pPr>
      <w:r>
        <w:rPr>
          <w:rFonts w:ascii="Calibri" w:hAnsi="Calibri"/>
          <w:b/>
          <w:color w:val="101828"/>
          <w:sz w:val="21"/>
        </w:rPr>
        <w:t>P3 — the explanation.</w:t>
      </w:r>
      <w:r>
        <w:rPr>
          <w:rFonts w:ascii="Calibri" w:hAnsi="Calibri"/>
          <w:b w:val="0"/>
          <w:i w:val="0"/>
          <w:color w:val="101828"/>
          <w:sz w:val="21"/>
        </w:rPr>
        <w:t xml:space="preserve"> Helper text, state explanations, the default-handling note, the destination of each part of an amount. Moves to a disclosure on mobile and is never deleted, because a collapsed explanation is a hidden one.</w:t>
      </w:r>
    </w:p>
    <w:p>
      <w:pPr>
        <w:pStyle w:val="ListNumber"/>
        <w:spacing w:after="60"/>
        <w:ind w:left="432"/>
      </w:pPr>
      <w:r>
        <w:rPr>
          <w:rFonts w:ascii="Calibri" w:hAnsi="Calibri"/>
          <w:b/>
          <w:color w:val="101828"/>
          <w:sz w:val="21"/>
        </w:rPr>
        <w:t>P4 — the supporting record.</w:t>
      </w:r>
      <w:r>
        <w:rPr>
          <w:rFonts w:ascii="Calibri" w:hAnsi="Calibri"/>
          <w:b w:val="0"/>
          <w:i w:val="0"/>
          <w:color w:val="101828"/>
          <w:sz w:val="21"/>
        </w:rPr>
        <w:t xml:space="preserve"> Timestamps to the minute, reference identifiers, provider names, technical detail. Available on the record's detail surface at every width, and inline only above </w:t>
      </w:r>
      <w:r>
        <w:rPr>
          <w:rFonts w:ascii="Consolas" w:hAnsi="Consolas"/>
          <w:color w:val="146EF5"/>
          <w:sz w:val="21"/>
        </w:rPr>
        <w:t>md</w:t>
      </w:r>
      <w:r>
        <w:rPr>
          <w:rFonts w:ascii="Calibri" w:hAnsi="Calibri"/>
          <w:b w:val="0"/>
          <w:i w:val="0"/>
          <w:color w:val="101828"/>
          <w:sz w:val="21"/>
        </w:rPr>
        <w:t>.</w:t>
      </w:r>
    </w:p>
    <w:p>
      <w:pPr>
        <w:pStyle w:val="ListNumber"/>
        <w:spacing w:after="60"/>
        <w:ind w:left="432"/>
      </w:pPr>
      <w:r>
        <w:rPr>
          <w:rFonts w:ascii="Calibri" w:hAnsi="Calibri"/>
          <w:b/>
          <w:color w:val="101828"/>
          <w:sz w:val="21"/>
        </w:rPr>
        <w:t>Removal requires a replacement.</w:t>
      </w:r>
      <w:r>
        <w:rPr>
          <w:rFonts w:ascii="Calibri" w:hAnsi="Calibri"/>
          <w:b w:val="0"/>
          <w:i w:val="0"/>
          <w:color w:val="101828"/>
          <w:sz w:val="21"/>
        </w:rPr>
        <w:t xml:space="preserve"> A column may be removed from a table at a narrow width only when its value appears elsewhere on the same screen. There is no other basis for removal, and no removal of P1 or P2 is permitted at any width.</w:t>
      </w:r>
    </w:p>
    <w:p>
      <w:pPr>
        <w:pStyle w:val="Heading3"/>
      </w:pPr>
      <w:r>
        <w:rPr>
          <w:rFonts w:ascii="Calibri" w:hAnsi="Calibri"/>
          <w:b/>
          <w:i w:val="0"/>
          <w:color w:val="0B1F3A"/>
          <w:sz w:val="24"/>
        </w:rPr>
        <w:t>4.3.5 The admin console device policy</w:t>
      </w:r>
    </w:p>
    <w:p>
      <w:pPr>
        <w:spacing w:before="140" w:after="180"/>
        <w:ind w:left="144"/>
        <w:shd w:val="clear" w:color="auto" w:fill="E0F2FE"/>
        <w:pBdr>
          <w:left w:val="single" w:sz="18" w:space="6" w:color="22C7D6"/>
        </w:pBdr>
      </w:pPr>
      <w:r>
        <w:rPr>
          <w:rFonts w:ascii="Calibri" w:hAnsi="Calibri"/>
          <w:b/>
          <w:color w:val="22C7D6"/>
          <w:sz w:val="19"/>
        </w:rPr>
        <w:t xml:space="preserve">The admin console is not designed below 1024 CSS pixels  </w:t>
      </w:r>
      <w:r>
        <w:rPr>
          <w:rFonts w:ascii="Calibri" w:hAnsi="Calibri"/>
          <w:b w:val="0"/>
          <w:i w:val="0"/>
          <w:color w:val="0B1F3A"/>
          <w:sz w:val="19"/>
        </w:rPr>
        <w:t xml:space="preserve">Tier 3 renders a </w:t>
      </w:r>
      <w:r>
        <w:rPr>
          <w:rFonts w:ascii="Calibri" w:hAnsi="Calibri"/>
          <w:i/>
          <w:color w:val="0B1F3A"/>
          <w:sz w:val="19"/>
        </w:rPr>
        <w:t>device not supported</w:t>
      </w:r>
      <w:r>
        <w:rPr>
          <w:rFonts w:ascii="Calibri" w:hAnsi="Calibri"/>
          <w:b w:val="0"/>
          <w:i w:val="0"/>
          <w:color w:val="0B1F3A"/>
          <w:sz w:val="19"/>
        </w:rPr>
        <w:t xml:space="preserve"> page below 1024 pixels at every tier-3 route, with a link to contact support. A risk decision or a dispute decision is made by comparing a member's record, an Ajo's record, a ledger posting and a verification outcome at the same time, and making that comparison on a 375 pixel screen is a safety problem rather than a layout problem. The trade-off is real: a support or risk officer working a phone-first region cannot use the console, and the answer to that is a staffing decision, not a responsive layout. </w:t>
      </w:r>
      <w:r>
        <w:rPr>
          <w:rFonts w:ascii="Calibri" w:hAnsi="Calibri"/>
          <w:b/>
          <w:color w:val="0B1F3A"/>
          <w:sz w:val="19"/>
        </w:rPr>
        <w:t>Owner: Founders. Revisit only if support is staffed from a phone-first region.</w:t>
      </w:r>
    </w:p>
    <w:p>
      <w:r>
        <w:br w:type="page"/>
      </w:r>
    </w:p>
    <w:p>
      <w:pPr>
        <w:pStyle w:val="Heading2"/>
      </w:pPr>
      <w:r>
        <w:rPr>
          <w:rFonts w:ascii="Calibri" w:hAnsi="Calibri"/>
          <w:b/>
          <w:i w:val="0"/>
          <w:color w:val="146EF5"/>
          <w:sz w:val="29"/>
        </w:rPr>
        <w:t>4.4 Marketing website — tier 1</w:t>
      </w:r>
    </w:p>
    <w:p>
      <w:r>
        <w:rPr>
          <w:rFonts w:ascii="Calibri" w:hAnsi="Calibri"/>
          <w:b w:val="0"/>
          <w:i w:val="0"/>
          <w:color w:val="101828"/>
          <w:sz w:val="21"/>
        </w:rPr>
        <w:t>Twelve content pages. Tier 1 has one job: answer the questions that block a signup, in the order a sceptical Nigerian saver actually asks them, and disclose the fee before the person has given us anything. No tier-1 page requires an account to be useful, no tier-1 page makes a claim about an individual, and no tier-1 page captures an email address before it has said what the product charges.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950"/>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1469"/>
            <w:shd w:val="clear" w:color="auto" w:fill="0B1F3A"/>
            <w:tcMar>
              <w:top w:w="60" w:type="dxa"/>
              <w:start w:w="110" w:type="dxa"/>
              <w:bottom w:w="60" w:type="dxa"/>
              <w:end w:w="110" w:type="dxa"/>
            </w:tcMar>
          </w:tcPr>
          <w:p>
            <w:pPr>
              <w:spacing w:after="0"/>
            </w:pPr>
            <w:r/>
            <w:r>
              <w:rPr>
                <w:rFonts w:ascii="Calibri" w:hAnsi="Calibri"/>
                <w:b/>
                <w:i w:val="0"/>
                <w:color w:val="FFFFFF"/>
                <w:sz w:val="14"/>
              </w:rPr>
              <w:t>Route</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4"/>
              </w:rPr>
              <w:t>Purpose in one line</w:t>
            </w:r>
          </w:p>
        </w:tc>
        <w:tc>
          <w:tcPr>
            <w:tcW w:type="dxa" w:w="4493"/>
            <w:shd w:val="clear" w:color="auto" w:fill="0B1F3A"/>
            <w:tcMar>
              <w:top w:w="60" w:type="dxa"/>
              <w:start w:w="110" w:type="dxa"/>
              <w:bottom w:w="60" w:type="dxa"/>
              <w:end w:w="110" w:type="dxa"/>
            </w:tcMar>
          </w:tcPr>
          <w:p>
            <w:pPr>
              <w:spacing w:after="0"/>
            </w:pPr>
            <w:r/>
            <w:r>
              <w:rPr>
                <w:rFonts w:ascii="Calibri" w:hAnsi="Calibri"/>
                <w:b/>
                <w:i w:val="0"/>
                <w:color w:val="FFFFFF"/>
                <w:sz w:val="14"/>
              </w:rPr>
              <w:t>Mandatory content</w:t>
            </w:r>
          </w:p>
        </w:tc>
      </w:tr>
      <w:tr>
        <w:trPr>
          <w:cantSplit/>
        </w:trPr>
        <w:tc>
          <w:tcPr>
            <w:tcW w:type="dxa" w:w="950"/>
            <w:tcMar>
              <w:top w:w="60" w:type="dxa"/>
              <w:start w:w="110" w:type="dxa"/>
              <w:bottom w:w="60" w:type="dxa"/>
              <w:end w:w="110" w:type="dxa"/>
            </w:tcMar>
          </w:tcPr>
          <w:p>
            <w:pPr>
              <w:spacing w:after="0"/>
            </w:pPr>
            <w:r/>
            <w:r>
              <w:rPr>
                <w:rFonts w:ascii="Calibri" w:hAnsi="Calibri"/>
                <w:b w:val="0"/>
                <w:i w:val="0"/>
                <w:color w:val="101828"/>
                <w:sz w:val="14"/>
              </w:rPr>
              <w:t>SCR-WEB-01</w:t>
            </w:r>
          </w:p>
        </w:tc>
        <w:tc>
          <w:tcPr>
            <w:tcW w:type="dxa" w:w="1469"/>
            <w:tcMar>
              <w:top w:w="60" w:type="dxa"/>
              <w:start w:w="110" w:type="dxa"/>
              <w:bottom w:w="60" w:type="dxa"/>
              <w:end w:w="110" w:type="dxa"/>
            </w:tcMar>
          </w:tcPr>
          <w:p>
            <w:pPr>
              <w:spacing w:after="0"/>
            </w:pPr>
            <w:r/>
            <w:r>
              <w:rPr>
                <w:rFonts w:ascii="Consolas" w:hAnsi="Consolas"/>
                <w:color w:val="146EF5"/>
                <w:sz w:val="14"/>
              </w:rPr>
              <w:t>/</w:t>
            </w:r>
          </w:p>
        </w:tc>
        <w:tc>
          <w:tcPr>
            <w:tcW w:type="dxa" w:w="2448"/>
            <w:tcMar>
              <w:top w:w="60" w:type="dxa"/>
              <w:start w:w="110" w:type="dxa"/>
              <w:bottom w:w="60" w:type="dxa"/>
              <w:end w:w="110" w:type="dxa"/>
            </w:tcMar>
          </w:tcPr>
          <w:p>
            <w:pPr>
              <w:spacing w:after="0"/>
            </w:pPr>
            <w:r/>
            <w:r>
              <w:rPr>
                <w:rFonts w:ascii="Calibri" w:hAnsi="Calibri"/>
                <w:b w:val="0"/>
                <w:i w:val="0"/>
                <w:color w:val="101828"/>
                <w:sz w:val="14"/>
              </w:rPr>
              <w:t>State the offer, show the mechanic, disclose the fee above the fold.</w:t>
            </w:r>
          </w:p>
        </w:tc>
        <w:tc>
          <w:tcPr>
            <w:tcW w:type="dxa" w:w="4493"/>
            <w:tcMar>
              <w:top w:w="60" w:type="dxa"/>
              <w:start w:w="110" w:type="dxa"/>
              <w:bottom w:w="60" w:type="dxa"/>
              <w:end w:w="110" w:type="dxa"/>
            </w:tcMar>
          </w:tcPr>
          <w:p>
            <w:pPr>
              <w:spacing w:after="0"/>
            </w:pPr>
            <w:r/>
            <w:r>
              <w:rPr>
                <w:rFonts w:ascii="Calibri" w:hAnsi="Calibri"/>
                <w:b w:val="0"/>
                <w:i w:val="0"/>
                <w:color w:val="101828"/>
                <w:sz w:val="14"/>
              </w:rPr>
              <w:t>The canonical money figures</w:t>
            </w:r>
          </w:p>
        </w:tc>
      </w:tr>
      <w:tr>
        <w:trPr>
          <w:cantSplit/>
        </w:trPr>
        <w:tc>
          <w:tcPr>
            <w:tcW w:type="dxa" w:w="950"/>
            <w:tcMar>
              <w:top w:w="60" w:type="dxa"/>
              <w:start w:w="110" w:type="dxa"/>
              <w:bottom w:w="60" w:type="dxa"/>
              <w:end w:w="110" w:type="dxa"/>
            </w:tcMar>
            <w:shd w:val="clear" w:color="auto" w:fill="F4F7FB"/>
          </w:tcPr>
          <w:p>
            <w:pPr>
              <w:spacing w:after="0"/>
            </w:pPr>
            <w:r/>
            <w:r>
              <w:rPr>
                <w:rFonts w:ascii="Calibri" w:hAnsi="Calibri"/>
                <w:b w:val="0"/>
                <w:i w:val="0"/>
                <w:color w:val="101828"/>
                <w:sz w:val="14"/>
              </w:rPr>
              <w:t>SCR-WEB-02</w:t>
            </w:r>
          </w:p>
        </w:tc>
        <w:tc>
          <w:tcPr>
            <w:tcW w:type="dxa" w:w="1469"/>
            <w:tcMar>
              <w:top w:w="60" w:type="dxa"/>
              <w:start w:w="110" w:type="dxa"/>
              <w:bottom w:w="60" w:type="dxa"/>
              <w:end w:w="110" w:type="dxa"/>
            </w:tcMar>
            <w:shd w:val="clear" w:color="auto" w:fill="F4F7FB"/>
          </w:tcPr>
          <w:p>
            <w:pPr>
              <w:spacing w:after="0"/>
            </w:pPr>
            <w:r/>
            <w:r>
              <w:rPr>
                <w:rFonts w:ascii="Consolas" w:hAnsi="Consolas"/>
                <w:color w:val="146EF5"/>
                <w:sz w:val="14"/>
              </w:rPr>
              <w:t>/how-it-works</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Explain the cycle in six steps.</w:t>
            </w:r>
          </w:p>
        </w:tc>
        <w:tc>
          <w:tcPr>
            <w:tcW w:type="dxa" w:w="4493"/>
            <w:tcMar>
              <w:top w:w="60" w:type="dxa"/>
              <w:start w:w="110" w:type="dxa"/>
              <w:bottom w:w="60" w:type="dxa"/>
              <w:end w:w="110" w:type="dxa"/>
            </w:tcMar>
            <w:shd w:val="clear" w:color="auto" w:fill="F4F7FB"/>
          </w:tcPr>
          <w:p>
            <w:pPr>
              <w:spacing w:after="0"/>
            </w:pPr>
            <w:r/>
            <w:r>
              <w:rPr>
                <w:rFonts w:ascii="Calibri" w:hAnsi="Calibri"/>
                <w:b w:val="0"/>
                <w:i w:val="0"/>
                <w:color w:val="101828"/>
                <w:sz w:val="14"/>
              </w:rPr>
              <w:t>Steps 4 and 5 are the money steps and may not be merged or reordered</w:t>
            </w:r>
          </w:p>
        </w:tc>
      </w:tr>
      <w:tr>
        <w:trPr>
          <w:cantSplit/>
        </w:trPr>
        <w:tc>
          <w:tcPr>
            <w:tcW w:type="dxa" w:w="950"/>
            <w:tcMar>
              <w:top w:w="60" w:type="dxa"/>
              <w:start w:w="110" w:type="dxa"/>
              <w:bottom w:w="60" w:type="dxa"/>
              <w:end w:w="110" w:type="dxa"/>
            </w:tcMar>
          </w:tcPr>
          <w:p>
            <w:pPr>
              <w:spacing w:after="0"/>
            </w:pPr>
            <w:r/>
            <w:r>
              <w:rPr>
                <w:rFonts w:ascii="Calibri" w:hAnsi="Calibri"/>
                <w:b w:val="0"/>
                <w:i w:val="0"/>
                <w:color w:val="101828"/>
                <w:sz w:val="14"/>
              </w:rPr>
              <w:t>SCR-WEB-03</w:t>
            </w:r>
          </w:p>
        </w:tc>
        <w:tc>
          <w:tcPr>
            <w:tcW w:type="dxa" w:w="1469"/>
            <w:tcMar>
              <w:top w:w="60" w:type="dxa"/>
              <w:start w:w="110" w:type="dxa"/>
              <w:bottom w:w="60" w:type="dxa"/>
              <w:end w:w="110" w:type="dxa"/>
            </w:tcMar>
          </w:tcPr>
          <w:p>
            <w:pPr>
              <w:spacing w:after="0"/>
            </w:pPr>
            <w:r/>
            <w:r>
              <w:rPr>
                <w:rFonts w:ascii="Consolas" w:hAnsi="Consolas"/>
                <w:color w:val="146EF5"/>
                <w:sz w:val="14"/>
              </w:rPr>
              <w:t>/features</w:t>
            </w:r>
          </w:p>
        </w:tc>
        <w:tc>
          <w:tcPr>
            <w:tcW w:type="dxa" w:w="2448"/>
            <w:tcMar>
              <w:top w:w="60" w:type="dxa"/>
              <w:start w:w="110" w:type="dxa"/>
              <w:bottom w:w="60" w:type="dxa"/>
              <w:end w:w="110" w:type="dxa"/>
            </w:tcMar>
          </w:tcPr>
          <w:p>
            <w:pPr>
              <w:spacing w:after="0"/>
            </w:pPr>
            <w:r/>
            <w:r>
              <w:rPr>
                <w:rFonts w:ascii="Calibri" w:hAnsi="Calibri"/>
                <w:b w:val="0"/>
                <w:i w:val="0"/>
                <w:color w:val="101828"/>
                <w:sz w:val="14"/>
              </w:rPr>
              <w:t>Organiser and member tools.</w:t>
            </w:r>
          </w:p>
        </w:tc>
        <w:tc>
          <w:tcPr>
            <w:tcW w:type="dxa" w:w="4493"/>
            <w:tcMar>
              <w:top w:w="60" w:type="dxa"/>
              <w:start w:w="110" w:type="dxa"/>
              <w:bottom w:w="60" w:type="dxa"/>
              <w:end w:w="110" w:type="dxa"/>
            </w:tcMar>
          </w:tcPr>
          <w:p>
            <w:pPr>
              <w:spacing w:after="0"/>
            </w:pPr>
            <w:r/>
            <w:r>
              <w:rPr>
                <w:rFonts w:ascii="Calibri" w:hAnsi="Calibri"/>
                <w:b w:val="0"/>
                <w:i w:val="0"/>
                <w:color w:val="101828"/>
                <w:sz w:val="14"/>
              </w:rPr>
              <w:t>No performance claims, no traction claims</w:t>
            </w:r>
          </w:p>
        </w:tc>
      </w:tr>
      <w:tr>
        <w:trPr>
          <w:cantSplit/>
        </w:trPr>
        <w:tc>
          <w:tcPr>
            <w:tcW w:type="dxa" w:w="950"/>
            <w:tcMar>
              <w:top w:w="60" w:type="dxa"/>
              <w:start w:w="110" w:type="dxa"/>
              <w:bottom w:w="60" w:type="dxa"/>
              <w:end w:w="110" w:type="dxa"/>
            </w:tcMar>
            <w:shd w:val="clear" w:color="auto" w:fill="F4F7FB"/>
          </w:tcPr>
          <w:p>
            <w:pPr>
              <w:spacing w:after="0"/>
            </w:pPr>
            <w:r/>
            <w:r>
              <w:rPr>
                <w:rFonts w:ascii="Calibri" w:hAnsi="Calibri"/>
                <w:b w:val="0"/>
                <w:i w:val="0"/>
                <w:color w:val="101828"/>
                <w:sz w:val="14"/>
              </w:rPr>
              <w:t>SCR-WEB-04</w:t>
            </w:r>
          </w:p>
        </w:tc>
        <w:tc>
          <w:tcPr>
            <w:tcW w:type="dxa" w:w="1469"/>
            <w:tcMar>
              <w:top w:w="60" w:type="dxa"/>
              <w:start w:w="110" w:type="dxa"/>
              <w:bottom w:w="60" w:type="dxa"/>
              <w:end w:w="110" w:type="dxa"/>
            </w:tcMar>
            <w:shd w:val="clear" w:color="auto" w:fill="F4F7FB"/>
          </w:tcPr>
          <w:p>
            <w:pPr>
              <w:spacing w:after="0"/>
            </w:pPr>
            <w:r/>
            <w:r>
              <w:rPr>
                <w:rFonts w:ascii="Consolas" w:hAnsi="Consolas"/>
                <w:color w:val="146EF5"/>
                <w:sz w:val="14"/>
              </w:rPr>
              <w:t>/safety-and-trust</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The safeguards, stated plainly.</w:t>
            </w:r>
          </w:p>
        </w:tc>
        <w:tc>
          <w:tcPr>
            <w:tcW w:type="dxa" w:w="4493"/>
            <w:tcMar>
              <w:top w:w="60" w:type="dxa"/>
              <w:start w:w="110" w:type="dxa"/>
              <w:bottom w:w="60" w:type="dxa"/>
              <w:end w:w="110" w:type="dxa"/>
            </w:tcMar>
            <w:shd w:val="clear" w:color="auto" w:fill="F4F7FB"/>
          </w:tcPr>
          <w:p>
            <w:pPr>
              <w:spacing w:after="0"/>
            </w:pPr>
            <w:r/>
            <w:r>
              <w:rPr>
                <w:rFonts w:ascii="Calibri" w:hAnsi="Calibri"/>
                <w:b w:val="0"/>
                <w:i w:val="0"/>
                <w:color w:val="101828"/>
                <w:sz w:val="14"/>
              </w:rPr>
              <w:t>Must name the custody question as open</w:t>
            </w:r>
          </w:p>
        </w:tc>
      </w:tr>
      <w:tr>
        <w:trPr>
          <w:cantSplit/>
        </w:trPr>
        <w:tc>
          <w:tcPr>
            <w:tcW w:type="dxa" w:w="950"/>
            <w:tcMar>
              <w:top w:w="60" w:type="dxa"/>
              <w:start w:w="110" w:type="dxa"/>
              <w:bottom w:w="60" w:type="dxa"/>
              <w:end w:w="110" w:type="dxa"/>
            </w:tcMar>
          </w:tcPr>
          <w:p>
            <w:pPr>
              <w:spacing w:after="0"/>
            </w:pPr>
            <w:r/>
            <w:r>
              <w:rPr>
                <w:rFonts w:ascii="Calibri" w:hAnsi="Calibri"/>
                <w:b w:val="0"/>
                <w:i w:val="0"/>
                <w:color w:val="101828"/>
                <w:sz w:val="14"/>
              </w:rPr>
              <w:t>SCR-WEB-05</w:t>
            </w:r>
          </w:p>
        </w:tc>
        <w:tc>
          <w:tcPr>
            <w:tcW w:type="dxa" w:w="1469"/>
            <w:tcMar>
              <w:top w:w="60" w:type="dxa"/>
              <w:start w:w="110" w:type="dxa"/>
              <w:bottom w:w="60" w:type="dxa"/>
              <w:end w:w="110" w:type="dxa"/>
            </w:tcMar>
          </w:tcPr>
          <w:p>
            <w:pPr>
              <w:spacing w:after="0"/>
            </w:pPr>
            <w:r/>
            <w:r>
              <w:rPr>
                <w:rFonts w:ascii="Consolas" w:hAnsi="Consolas"/>
                <w:color w:val="146EF5"/>
                <w:sz w:val="14"/>
              </w:rPr>
              <w:t>/fees</w:t>
            </w:r>
          </w:p>
        </w:tc>
        <w:tc>
          <w:tcPr>
            <w:tcW w:type="dxa" w:w="2448"/>
            <w:tcMar>
              <w:top w:w="60" w:type="dxa"/>
              <w:start w:w="110" w:type="dxa"/>
              <w:bottom w:w="60" w:type="dxa"/>
              <w:end w:w="110" w:type="dxa"/>
            </w:tcMar>
          </w:tcPr>
          <w:p>
            <w:pPr>
              <w:spacing w:after="0"/>
            </w:pPr>
            <w:r/>
            <w:r>
              <w:rPr>
                <w:rFonts w:ascii="Calibri" w:hAnsi="Calibri"/>
                <w:b w:val="0"/>
                <w:i w:val="0"/>
                <w:color w:val="101828"/>
                <w:sz w:val="14"/>
              </w:rPr>
              <w:t>The single canonical fee page.</w:t>
            </w:r>
          </w:p>
        </w:tc>
        <w:tc>
          <w:tcPr>
            <w:tcW w:type="dxa" w:w="4493"/>
            <w:tcMar>
              <w:top w:w="60" w:type="dxa"/>
              <w:start w:w="110" w:type="dxa"/>
              <w:bottom w:w="60" w:type="dxa"/>
              <w:end w:w="110" w:type="dxa"/>
            </w:tcMar>
          </w:tcPr>
          <w:p>
            <w:pPr>
              <w:spacing w:after="0"/>
            </w:pPr>
            <w:r/>
            <w:r>
              <w:rPr>
                <w:rFonts w:ascii="Calibri" w:hAnsi="Calibri"/>
                <w:b w:val="0"/>
                <w:i w:val="0"/>
                <w:color w:val="101828"/>
                <w:sz w:val="14"/>
              </w:rPr>
              <w:t>The eleven-row worked table, transcribed</w:t>
            </w:r>
          </w:p>
        </w:tc>
      </w:tr>
      <w:tr>
        <w:trPr>
          <w:cantSplit/>
        </w:trPr>
        <w:tc>
          <w:tcPr>
            <w:tcW w:type="dxa" w:w="950"/>
            <w:tcMar>
              <w:top w:w="60" w:type="dxa"/>
              <w:start w:w="110" w:type="dxa"/>
              <w:bottom w:w="60" w:type="dxa"/>
              <w:end w:w="110" w:type="dxa"/>
            </w:tcMar>
            <w:shd w:val="clear" w:color="auto" w:fill="F4F7FB"/>
          </w:tcPr>
          <w:p>
            <w:pPr>
              <w:spacing w:after="0"/>
            </w:pPr>
            <w:r/>
            <w:r>
              <w:rPr>
                <w:rFonts w:ascii="Calibri" w:hAnsi="Calibri"/>
                <w:b w:val="0"/>
                <w:i w:val="0"/>
                <w:color w:val="101828"/>
                <w:sz w:val="14"/>
              </w:rPr>
              <w:t>SCR-WEB-06</w:t>
            </w:r>
          </w:p>
        </w:tc>
        <w:tc>
          <w:tcPr>
            <w:tcW w:type="dxa" w:w="1469"/>
            <w:tcMar>
              <w:top w:w="60" w:type="dxa"/>
              <w:start w:w="110" w:type="dxa"/>
              <w:bottom w:w="60" w:type="dxa"/>
              <w:end w:w="110" w:type="dxa"/>
            </w:tcMar>
            <w:shd w:val="clear" w:color="auto" w:fill="F4F7FB"/>
          </w:tcPr>
          <w:p>
            <w:pPr>
              <w:spacing w:after="0"/>
            </w:pPr>
            <w:r/>
            <w:r>
              <w:rPr>
                <w:rFonts w:ascii="Consolas" w:hAnsi="Consolas"/>
                <w:color w:val="146EF5"/>
                <w:sz w:val="14"/>
              </w:rPr>
              <w:t>/about</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Founders, context, contact.</w:t>
            </w:r>
          </w:p>
        </w:tc>
        <w:tc>
          <w:tcPr>
            <w:tcW w:type="dxa" w:w="4493"/>
            <w:tcMar>
              <w:top w:w="60" w:type="dxa"/>
              <w:start w:w="110" w:type="dxa"/>
              <w:bottom w:w="60" w:type="dxa"/>
              <w:end w:w="110" w:type="dxa"/>
            </w:tcMar>
            <w:shd w:val="clear" w:color="auto" w:fill="F4F7FB"/>
          </w:tcPr>
          <w:p>
            <w:pPr>
              <w:spacing w:after="0"/>
            </w:pPr>
            <w:r/>
            <w:r>
              <w:rPr>
                <w:rFonts w:ascii="Calibri" w:hAnsi="Calibri"/>
                <w:b w:val="0"/>
                <w:i w:val="0"/>
                <w:color w:val="101828"/>
                <w:sz w:val="14"/>
              </w:rPr>
              <w:t>Pre-launch: no traction claims</w:t>
            </w:r>
          </w:p>
        </w:tc>
      </w:tr>
      <w:tr>
        <w:trPr>
          <w:cantSplit/>
        </w:trPr>
        <w:tc>
          <w:tcPr>
            <w:tcW w:type="dxa" w:w="950"/>
            <w:tcMar>
              <w:top w:w="60" w:type="dxa"/>
              <w:start w:w="110" w:type="dxa"/>
              <w:bottom w:w="60" w:type="dxa"/>
              <w:end w:w="110" w:type="dxa"/>
            </w:tcMar>
          </w:tcPr>
          <w:p>
            <w:pPr>
              <w:spacing w:after="0"/>
            </w:pPr>
            <w:r/>
            <w:r>
              <w:rPr>
                <w:rFonts w:ascii="Calibri" w:hAnsi="Calibri"/>
                <w:b w:val="0"/>
                <w:i w:val="0"/>
                <w:color w:val="101828"/>
                <w:sz w:val="14"/>
              </w:rPr>
              <w:t>SCR-WEB-07</w:t>
            </w:r>
          </w:p>
        </w:tc>
        <w:tc>
          <w:tcPr>
            <w:tcW w:type="dxa" w:w="1469"/>
            <w:tcMar>
              <w:top w:w="60" w:type="dxa"/>
              <w:start w:w="110" w:type="dxa"/>
              <w:bottom w:w="60" w:type="dxa"/>
              <w:end w:w="110" w:type="dxa"/>
            </w:tcMar>
          </w:tcPr>
          <w:p>
            <w:pPr>
              <w:spacing w:after="0"/>
            </w:pPr>
            <w:r/>
            <w:r>
              <w:rPr>
                <w:rFonts w:ascii="Consolas" w:hAnsi="Consolas"/>
                <w:color w:val="146EF5"/>
                <w:sz w:val="14"/>
              </w:rPr>
              <w:t>/faq</w:t>
            </w:r>
          </w:p>
        </w:tc>
        <w:tc>
          <w:tcPr>
            <w:tcW w:type="dxa" w:w="2448"/>
            <w:tcMar>
              <w:top w:w="60" w:type="dxa"/>
              <w:start w:w="110" w:type="dxa"/>
              <w:bottom w:w="60" w:type="dxa"/>
              <w:end w:w="110" w:type="dxa"/>
            </w:tcMar>
          </w:tcPr>
          <w:p>
            <w:pPr>
              <w:spacing w:after="0"/>
            </w:pPr>
            <w:r/>
            <w:r>
              <w:rPr>
                <w:rFonts w:ascii="Calibri" w:hAnsi="Calibri"/>
                <w:b w:val="0"/>
                <w:i w:val="0"/>
                <w:color w:val="101828"/>
                <w:sz w:val="14"/>
              </w:rPr>
              <w:t>Ranked objections answered.</w:t>
            </w:r>
          </w:p>
        </w:tc>
        <w:tc>
          <w:tcPr>
            <w:tcW w:type="dxa" w:w="4493"/>
            <w:tcMar>
              <w:top w:w="60" w:type="dxa"/>
              <w:start w:w="110" w:type="dxa"/>
              <w:bottom w:w="60" w:type="dxa"/>
              <w:end w:w="110" w:type="dxa"/>
            </w:tcMar>
          </w:tcPr>
          <w:p>
            <w:pPr>
              <w:spacing w:after="0"/>
            </w:pPr>
            <w:r/>
            <w:r>
              <w:rPr>
                <w:rFonts w:ascii="Calibri" w:hAnsi="Calibri"/>
                <w:b w:val="0"/>
                <w:i w:val="0"/>
                <w:color w:val="101828"/>
                <w:sz w:val="14"/>
              </w:rPr>
              <w:t>Default handling and cancellation first</w:t>
            </w:r>
          </w:p>
        </w:tc>
      </w:tr>
      <w:tr>
        <w:trPr>
          <w:cantSplit/>
        </w:trPr>
        <w:tc>
          <w:tcPr>
            <w:tcW w:type="dxa" w:w="950"/>
            <w:tcMar>
              <w:top w:w="60" w:type="dxa"/>
              <w:start w:w="110" w:type="dxa"/>
              <w:bottom w:w="60" w:type="dxa"/>
              <w:end w:w="110" w:type="dxa"/>
            </w:tcMar>
            <w:shd w:val="clear" w:color="auto" w:fill="F4F7FB"/>
          </w:tcPr>
          <w:p>
            <w:pPr>
              <w:spacing w:after="0"/>
            </w:pPr>
            <w:r/>
            <w:r>
              <w:rPr>
                <w:rFonts w:ascii="Calibri" w:hAnsi="Calibri"/>
                <w:b w:val="0"/>
                <w:i w:val="0"/>
                <w:color w:val="101828"/>
                <w:sz w:val="14"/>
              </w:rPr>
              <w:t>SCR-WEB-08</w:t>
            </w:r>
          </w:p>
        </w:tc>
        <w:tc>
          <w:tcPr>
            <w:tcW w:type="dxa" w:w="1469"/>
            <w:tcMar>
              <w:top w:w="60" w:type="dxa"/>
              <w:start w:w="110" w:type="dxa"/>
              <w:bottom w:w="60" w:type="dxa"/>
              <w:end w:w="110" w:type="dxa"/>
            </w:tcMar>
            <w:shd w:val="clear" w:color="auto" w:fill="F4F7FB"/>
          </w:tcPr>
          <w:p>
            <w:pPr>
              <w:spacing w:after="0"/>
            </w:pPr>
            <w:r/>
            <w:r>
              <w:rPr>
                <w:rFonts w:ascii="Consolas" w:hAnsi="Consolas"/>
                <w:color w:val="146EF5"/>
                <w:sz w:val="14"/>
              </w:rPr>
              <w:t>/contact</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A person, reachable, quickly.</w:t>
            </w:r>
          </w:p>
        </w:tc>
        <w:tc>
          <w:tcPr>
            <w:tcW w:type="dxa" w:w="4493"/>
            <w:tcMar>
              <w:top w:w="60" w:type="dxa"/>
              <w:start w:w="110" w:type="dxa"/>
              <w:bottom w:w="60" w:type="dxa"/>
              <w:end w:w="110" w:type="dxa"/>
            </w:tcMar>
            <w:shd w:val="clear" w:color="auto" w:fill="F4F7FB"/>
          </w:tcPr>
          <w:p>
            <w:pPr>
              <w:spacing w:after="0"/>
            </w:pPr>
            <w:r/>
            <w:r>
              <w:rPr>
                <w:rFonts w:ascii="Calibri" w:hAnsi="Calibri"/>
                <w:b w:val="0"/>
                <w:i w:val="0"/>
                <w:color w:val="101828"/>
                <w:sz w:val="14"/>
              </w:rPr>
              <w:t>Published response expectation</w:t>
            </w:r>
          </w:p>
        </w:tc>
      </w:tr>
      <w:tr>
        <w:trPr>
          <w:cantSplit/>
        </w:trPr>
        <w:tc>
          <w:tcPr>
            <w:tcW w:type="dxa" w:w="950"/>
            <w:tcMar>
              <w:top w:w="60" w:type="dxa"/>
              <w:start w:w="110" w:type="dxa"/>
              <w:bottom w:w="60" w:type="dxa"/>
              <w:end w:w="110" w:type="dxa"/>
            </w:tcMar>
          </w:tcPr>
          <w:p>
            <w:pPr>
              <w:spacing w:after="0"/>
            </w:pPr>
            <w:r/>
            <w:r>
              <w:rPr>
                <w:rFonts w:ascii="Calibri" w:hAnsi="Calibri"/>
                <w:b w:val="0"/>
                <w:i w:val="0"/>
                <w:color w:val="101828"/>
                <w:sz w:val="14"/>
              </w:rPr>
              <w:t>SCR-WEB-15</w:t>
            </w:r>
          </w:p>
        </w:tc>
        <w:tc>
          <w:tcPr>
            <w:tcW w:type="dxa" w:w="1469"/>
            <w:tcMar>
              <w:top w:w="60" w:type="dxa"/>
              <w:start w:w="110" w:type="dxa"/>
              <w:bottom w:w="60" w:type="dxa"/>
              <w:end w:w="110" w:type="dxa"/>
            </w:tcMar>
          </w:tcPr>
          <w:p>
            <w:pPr>
              <w:spacing w:after="0"/>
            </w:pPr>
            <w:r/>
            <w:r>
              <w:rPr>
                <w:rFonts w:ascii="Consolas" w:hAnsi="Consolas"/>
                <w:color w:val="146EF5"/>
                <w:sz w:val="14"/>
              </w:rPr>
              <w:t>/terms</w:t>
            </w:r>
          </w:p>
        </w:tc>
        <w:tc>
          <w:tcPr>
            <w:tcW w:type="dxa" w:w="2448"/>
            <w:tcMar>
              <w:top w:w="60" w:type="dxa"/>
              <w:start w:w="110" w:type="dxa"/>
              <w:bottom w:w="60" w:type="dxa"/>
              <w:end w:w="110" w:type="dxa"/>
            </w:tcMar>
          </w:tcPr>
          <w:p>
            <w:pPr>
              <w:spacing w:after="0"/>
            </w:pPr>
            <w:r/>
            <w:r>
              <w:rPr>
                <w:rFonts w:ascii="Calibri" w:hAnsi="Calibri"/>
                <w:b w:val="0"/>
                <w:i w:val="0"/>
                <w:color w:val="101828"/>
                <w:sz w:val="14"/>
              </w:rPr>
              <w:t>The versioned contract.</w:t>
            </w:r>
          </w:p>
        </w:tc>
        <w:tc>
          <w:tcPr>
            <w:tcW w:type="dxa" w:w="4493"/>
            <w:tcMar>
              <w:top w:w="60" w:type="dxa"/>
              <w:start w:w="110" w:type="dxa"/>
              <w:bottom w:w="60" w:type="dxa"/>
              <w:end w:w="110" w:type="dxa"/>
            </w:tcMar>
          </w:tcPr>
          <w:p>
            <w:pPr>
              <w:spacing w:after="0"/>
            </w:pPr>
            <w:r/>
            <w:r>
              <w:rPr>
                <w:rFonts w:ascii="Calibri" w:hAnsi="Calibri"/>
                <w:b w:val="0"/>
                <w:i w:val="0"/>
                <w:color w:val="101828"/>
                <w:sz w:val="14"/>
              </w:rPr>
              <w:t>Organiser is not a guarantor; fee and tax language pending</w:t>
            </w:r>
          </w:p>
        </w:tc>
      </w:tr>
      <w:tr>
        <w:trPr>
          <w:cantSplit/>
        </w:trPr>
        <w:tc>
          <w:tcPr>
            <w:tcW w:type="dxa" w:w="950"/>
            <w:tcMar>
              <w:top w:w="60" w:type="dxa"/>
              <w:start w:w="110" w:type="dxa"/>
              <w:bottom w:w="60" w:type="dxa"/>
              <w:end w:w="110" w:type="dxa"/>
            </w:tcMar>
            <w:shd w:val="clear" w:color="auto" w:fill="F4F7FB"/>
          </w:tcPr>
          <w:p>
            <w:pPr>
              <w:spacing w:after="0"/>
            </w:pPr>
            <w:r/>
            <w:r>
              <w:rPr>
                <w:rFonts w:ascii="Calibri" w:hAnsi="Calibri"/>
                <w:b w:val="0"/>
                <w:i w:val="0"/>
                <w:color w:val="101828"/>
                <w:sz w:val="14"/>
              </w:rPr>
              <w:t>SCR-WEB-16</w:t>
            </w:r>
          </w:p>
        </w:tc>
        <w:tc>
          <w:tcPr>
            <w:tcW w:type="dxa" w:w="1469"/>
            <w:tcMar>
              <w:top w:w="60" w:type="dxa"/>
              <w:start w:w="110" w:type="dxa"/>
              <w:bottom w:w="60" w:type="dxa"/>
              <w:end w:w="110" w:type="dxa"/>
            </w:tcMar>
            <w:shd w:val="clear" w:color="auto" w:fill="F4F7FB"/>
          </w:tcPr>
          <w:p>
            <w:pPr>
              <w:spacing w:after="0"/>
            </w:pPr>
            <w:r/>
            <w:r>
              <w:rPr>
                <w:rFonts w:ascii="Consolas" w:hAnsi="Consolas"/>
                <w:color w:val="146EF5"/>
                <w:sz w:val="14"/>
              </w:rPr>
              <w:t>/privacy</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What is collected and who sees it.</w:t>
            </w:r>
          </w:p>
        </w:tc>
        <w:tc>
          <w:tcPr>
            <w:tcW w:type="dxa" w:w="4493"/>
            <w:tcMar>
              <w:top w:w="60" w:type="dxa"/>
              <w:start w:w="110" w:type="dxa"/>
              <w:bottom w:w="60" w:type="dxa"/>
              <w:end w:w="110" w:type="dxa"/>
            </w:tcMar>
            <w:shd w:val="clear" w:color="auto" w:fill="F4F7FB"/>
          </w:tcPr>
          <w:p>
            <w:pPr>
              <w:spacing w:after="0"/>
            </w:pPr>
            <w:r/>
            <w:r>
              <w:rPr>
                <w:rFonts w:ascii="Calibri" w:hAnsi="Calibri"/>
                <w:b/>
                <w:color w:val="101828"/>
                <w:sz w:val="14"/>
              </w:rPr>
              <w:t>Counsel review required before launch</w:t>
            </w:r>
          </w:p>
        </w:tc>
      </w:tr>
      <w:tr>
        <w:trPr>
          <w:cantSplit/>
        </w:trPr>
        <w:tc>
          <w:tcPr>
            <w:tcW w:type="dxa" w:w="950"/>
            <w:tcMar>
              <w:top w:w="60" w:type="dxa"/>
              <w:start w:w="110" w:type="dxa"/>
              <w:bottom w:w="60" w:type="dxa"/>
              <w:end w:w="110" w:type="dxa"/>
            </w:tcMar>
          </w:tcPr>
          <w:p>
            <w:pPr>
              <w:spacing w:after="0"/>
            </w:pPr>
            <w:r/>
            <w:r>
              <w:rPr>
                <w:rFonts w:ascii="Calibri" w:hAnsi="Calibri"/>
                <w:b w:val="0"/>
                <w:i w:val="0"/>
                <w:color w:val="101828"/>
                <w:sz w:val="14"/>
              </w:rPr>
              <w:t>SCR-WEB-17</w:t>
            </w:r>
          </w:p>
        </w:tc>
        <w:tc>
          <w:tcPr>
            <w:tcW w:type="dxa" w:w="1469"/>
            <w:tcMar>
              <w:top w:w="60" w:type="dxa"/>
              <w:start w:w="110" w:type="dxa"/>
              <w:bottom w:w="60" w:type="dxa"/>
              <w:end w:w="110" w:type="dxa"/>
            </w:tcMar>
          </w:tcPr>
          <w:p>
            <w:pPr>
              <w:spacing w:after="0"/>
            </w:pPr>
            <w:r/>
            <w:r>
              <w:rPr>
                <w:rFonts w:ascii="Consolas" w:hAnsi="Consolas"/>
                <w:color w:val="146EF5"/>
                <w:sz w:val="14"/>
              </w:rPr>
              <w:t>/status</w:t>
            </w:r>
          </w:p>
        </w:tc>
        <w:tc>
          <w:tcPr>
            <w:tcW w:type="dxa" w:w="2448"/>
            <w:tcMar>
              <w:top w:w="60" w:type="dxa"/>
              <w:start w:w="110" w:type="dxa"/>
              <w:bottom w:w="60" w:type="dxa"/>
              <w:end w:w="110" w:type="dxa"/>
            </w:tcMar>
          </w:tcPr>
          <w:p>
            <w:pPr>
              <w:spacing w:after="0"/>
            </w:pPr>
            <w:r/>
            <w:r>
              <w:rPr>
                <w:rFonts w:ascii="Calibri" w:hAnsi="Calibri"/>
                <w:b w:val="0"/>
                <w:i w:val="0"/>
                <w:color w:val="101828"/>
                <w:sz w:val="14"/>
              </w:rPr>
              <w:t>Account restricted notice.</w:t>
            </w:r>
          </w:p>
        </w:tc>
        <w:tc>
          <w:tcPr>
            <w:tcW w:type="dxa" w:w="4493"/>
            <w:tcMar>
              <w:top w:w="60" w:type="dxa"/>
              <w:start w:w="110" w:type="dxa"/>
              <w:bottom w:w="60" w:type="dxa"/>
              <w:end w:w="110" w:type="dxa"/>
            </w:tcMar>
          </w:tcPr>
          <w:p>
            <w:pPr>
              <w:spacing w:after="0"/>
            </w:pPr>
            <w:r/>
            <w:r>
              <w:rPr>
                <w:rFonts w:ascii="Calibri" w:hAnsi="Calibri"/>
                <w:b w:val="0"/>
                <w:i w:val="0"/>
                <w:color w:val="101828"/>
                <w:sz w:val="14"/>
              </w:rPr>
              <w:t>What still works, who to contact, the reference</w:t>
            </w:r>
          </w:p>
        </w:tc>
      </w:tr>
      <w:tr>
        <w:trPr>
          <w:cantSplit/>
        </w:trPr>
        <w:tc>
          <w:tcPr>
            <w:tcW w:type="dxa" w:w="950"/>
            <w:tcMar>
              <w:top w:w="60" w:type="dxa"/>
              <w:start w:w="110" w:type="dxa"/>
              <w:bottom w:w="60" w:type="dxa"/>
              <w:end w:w="110" w:type="dxa"/>
            </w:tcMar>
            <w:shd w:val="clear" w:color="auto" w:fill="F4F7FB"/>
          </w:tcPr>
          <w:p>
            <w:pPr>
              <w:spacing w:after="0"/>
            </w:pPr>
            <w:r/>
            <w:r>
              <w:rPr>
                <w:rFonts w:ascii="Calibri" w:hAnsi="Calibri"/>
                <w:b w:val="0"/>
                <w:i w:val="0"/>
                <w:color w:val="101828"/>
                <w:sz w:val="14"/>
              </w:rPr>
              <w:t>SCR-WEB-18</w:t>
            </w:r>
          </w:p>
        </w:tc>
        <w:tc>
          <w:tcPr>
            <w:tcW w:type="dxa" w:w="1469"/>
            <w:tcMar>
              <w:top w:w="60" w:type="dxa"/>
              <w:start w:w="110" w:type="dxa"/>
              <w:bottom w:w="60" w:type="dxa"/>
              <w:end w:w="110" w:type="dxa"/>
            </w:tcMar>
            <w:shd w:val="clear" w:color="auto" w:fill="F4F7FB"/>
          </w:tcPr>
          <w:p>
            <w:pPr>
              <w:spacing w:after="0"/>
            </w:pPr>
            <w:r/>
            <w:r>
              <w:rPr>
                <w:rFonts w:ascii="Consolas" w:hAnsi="Consolas"/>
                <w:color w:val="146EF5"/>
                <w:sz w:val="14"/>
              </w:rPr>
              <w:t>/404</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Tier-1 not found.</w:t>
            </w:r>
          </w:p>
        </w:tc>
        <w:tc>
          <w:tcPr>
            <w:tcW w:type="dxa" w:w="4493"/>
            <w:tcMar>
              <w:top w:w="60" w:type="dxa"/>
              <w:start w:w="110" w:type="dxa"/>
              <w:bottom w:w="60" w:type="dxa"/>
              <w:end w:w="110" w:type="dxa"/>
            </w:tcMar>
            <w:shd w:val="clear" w:color="auto" w:fill="F4F7FB"/>
          </w:tcPr>
          <w:p>
            <w:pPr>
              <w:spacing w:after="0"/>
            </w:pPr>
            <w:r/>
            <w:r>
              <w:rPr>
                <w:rFonts w:ascii="Calibri" w:hAnsi="Calibri"/>
                <w:b w:val="0"/>
                <w:i w:val="0"/>
                <w:color w:val="101828"/>
                <w:sz w:val="14"/>
              </w:rPr>
              <w:t>One way forward and a link home</w:t>
            </w:r>
          </w:p>
        </w:tc>
      </w:tr>
    </w:tbl>
    <w:p>
      <w:pPr>
        <w:spacing w:after="80"/>
      </w:pPr>
    </w:p>
    <w:p>
      <w:pPr>
        <w:pStyle w:val="Heading3"/>
      </w:pPr>
      <w:r>
        <w:rPr>
          <w:rFonts w:ascii="Calibri" w:hAnsi="Calibri"/>
          <w:b/>
          <w:i w:val="0"/>
          <w:color w:val="0B1F3A"/>
          <w:sz w:val="24"/>
        </w:rPr>
        <w:t>4.4.1 Home — SCR-WEB-01</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Make a stranger understand a rotating savings scheme in one screen, tell them exactly what AJO.ng charges, and give them one way to start. It is not a lead-capture page and it gates nothing.</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Anyone who has heard the word </w:t>
            </w:r>
            <w:r>
              <w:rPr>
                <w:rFonts w:ascii="Calibri" w:hAnsi="Calibri"/>
                <w:i/>
                <w:color w:val="101828"/>
                <w:sz w:val="14"/>
              </w:rPr>
              <w:t>Ajo</w:t>
            </w:r>
            <w:r>
              <w:rPr>
                <w:rFonts w:ascii="Calibri" w:hAnsi="Calibri"/>
                <w:b w:val="0"/>
                <w:i w:val="0"/>
                <w:color w:val="101828"/>
                <w:sz w:val="14"/>
              </w:rPr>
              <w:t xml:space="preserve"> or </w:t>
            </w:r>
            <w:r>
              <w:rPr>
                <w:rFonts w:ascii="Calibri" w:hAnsi="Calibri"/>
                <w:i/>
                <w:color w:val="101828"/>
                <w:sz w:val="14"/>
              </w:rPr>
              <w:t>esusu</w:t>
            </w:r>
            <w:r>
              <w:rPr>
                <w:rFonts w:ascii="Calibri" w:hAnsi="Calibri"/>
                <w:b w:val="0"/>
                <w:i w:val="0"/>
                <w:color w:val="101828"/>
                <w:sz w:val="14"/>
              </w:rPr>
              <w:t xml:space="preserve"> and has never been in one, plus the organiser looking for a digital record for a group that already meets physically. The emotional state is curiosity, not intent to buy.</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Full-bleed hero on Deep, then alternating 1200 px sections: standfirst and worked example, how it works, safety, fee, closing call to action, footer. The hero is the only full-bleed region; every money table sits inside the 720 px reading column.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TopNav</w:t>
            </w:r>
            <w:r>
              <w:rPr>
                <w:rFonts w:ascii="Calibri" w:hAnsi="Calibri"/>
                <w:b w:val="0"/>
                <w:i w:val="0"/>
                <w:color w:val="101828"/>
                <w:sz w:val="14"/>
              </w:rPr>
              <w:t xml:space="preserve">, </w:t>
            </w:r>
            <w:r>
              <w:rPr>
                <w:rFonts w:ascii="Consolas" w:hAnsi="Consolas"/>
                <w:color w:val="146EF5"/>
                <w:sz w:val="14"/>
              </w:rPr>
              <w:t>Hero</w:t>
            </w:r>
            <w:r>
              <w:rPr>
                <w:rFonts w:ascii="Calibri" w:hAnsi="Calibri"/>
                <w:b w:val="0"/>
                <w:i w:val="0"/>
                <w:color w:val="101828"/>
                <w:sz w:val="14"/>
              </w:rPr>
              <w:t xml:space="preserve">, </w:t>
            </w:r>
            <w:r>
              <w:rPr>
                <w:rFonts w:ascii="Consolas" w:hAnsi="Consolas"/>
                <w:color w:val="146EF5"/>
                <w:sz w:val="14"/>
              </w:rPr>
              <w:t>StepList</w:t>
            </w:r>
            <w:r>
              <w:rPr>
                <w:rFonts w:ascii="Calibri" w:hAnsi="Calibri"/>
                <w:b w:val="0"/>
                <w:i w:val="0"/>
                <w:color w:val="101828"/>
                <w:sz w:val="14"/>
              </w:rPr>
              <w:t xml:space="preserve"> (6 items), </w:t>
            </w:r>
            <w:r>
              <w:rPr>
                <w:rFonts w:ascii="Consolas" w:hAnsi="Consolas"/>
                <w:color w:val="146EF5"/>
                <w:sz w:val="14"/>
              </w:rPr>
              <w:t>MoneyTable</w:t>
            </w:r>
            <w:r>
              <w:rPr>
                <w:rFonts w:ascii="Calibri" w:hAnsi="Calibri"/>
                <w:b w:val="0"/>
                <w:i w:val="0"/>
                <w:color w:val="101828"/>
                <w:sz w:val="14"/>
              </w:rPr>
              <w:t xml:space="preserve"> (canonical), </w:t>
            </w:r>
            <w:r>
              <w:rPr>
                <w:rFonts w:ascii="Consolas" w:hAnsi="Consolas"/>
                <w:color w:val="146EF5"/>
                <w:sz w:val="14"/>
              </w:rPr>
              <w:t>FeatureGrid</w:t>
            </w:r>
            <w:r>
              <w:rPr>
                <w:rFonts w:ascii="Calibri" w:hAnsi="Calibri"/>
                <w:b w:val="0"/>
                <w:i w:val="0"/>
                <w:color w:val="101828"/>
                <w:sz w:val="14"/>
              </w:rPr>
              <w:t xml:space="preserve">, </w:t>
            </w:r>
            <w:r>
              <w:rPr>
                <w:rFonts w:ascii="Consolas" w:hAnsi="Consolas"/>
                <w:color w:val="146EF5"/>
                <w:sz w:val="14"/>
              </w:rPr>
              <w:t>FeeCalculator</w:t>
            </w:r>
            <w:r>
              <w:rPr>
                <w:rFonts w:ascii="Calibri" w:hAnsi="Calibri"/>
                <w:b w:val="0"/>
                <w:i w:val="0"/>
                <w:color w:val="101828"/>
                <w:sz w:val="14"/>
              </w:rPr>
              <w:t xml:space="preserve">, </w:t>
            </w:r>
            <w:r>
              <w:rPr>
                <w:rFonts w:ascii="Consolas" w:hAnsi="Consolas"/>
                <w:color w:val="146EF5"/>
                <w:sz w:val="14"/>
              </w:rPr>
              <w:t>Callout</w:t>
            </w:r>
            <w:r>
              <w:rPr>
                <w:rFonts w:ascii="Calibri" w:hAnsi="Calibri"/>
                <w:b w:val="0"/>
                <w:i w:val="0"/>
                <w:color w:val="101828"/>
                <w:sz w:val="14"/>
              </w:rPr>
              <w:t xml:space="preserve"> (NOTE), </w:t>
            </w:r>
            <w:r>
              <w:rPr>
                <w:rFonts w:ascii="Consolas" w:hAnsi="Consolas"/>
                <w:color w:val="146EF5"/>
                <w:sz w:val="14"/>
              </w:rPr>
              <w:t>Footer</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(primary), </w:t>
            </w:r>
            <w:r>
              <w:rPr>
                <w:rFonts w:ascii="Consolas" w:hAnsi="Consolas"/>
                <w:color w:val="146EF5"/>
                <w:sz w:val="14"/>
              </w:rPr>
              <w:t>Button</w:t>
            </w:r>
            <w:r>
              <w:rPr>
                <w:rFonts w:ascii="Calibri" w:hAnsi="Calibri"/>
                <w:b w:val="0"/>
                <w:i w:val="0"/>
                <w:color w:val="101828"/>
                <w:sz w:val="14"/>
              </w:rPr>
              <w:t xml:space="preserve"> (secondary).</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Horizontal top nav, eight items maximum, no mega-menu. The footer carries the full sitemap plus the legal routes. UTM parameters are consumed once and stripped from every internal link.</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Create free account</w:t>
            </w:r>
            <w:r>
              <w:rPr>
                <w:rFonts w:ascii="Calibri" w:hAnsi="Calibri"/>
                <w:b w:val="0"/>
                <w:i w:val="0"/>
                <w:color w:val="101828"/>
                <w:sz w:val="14"/>
              </w:rPr>
              <w:t xml:space="preserve">, to </w:t>
            </w:r>
            <w:r>
              <w:rPr>
                <w:rFonts w:ascii="Consolas" w:hAnsi="Consolas"/>
                <w:color w:val="146EF5"/>
                <w:sz w:val="14"/>
              </w:rPr>
              <w:t>/register</w:t>
            </w:r>
            <w:r>
              <w:rPr>
                <w:rFonts w:ascii="Calibri" w:hAnsi="Calibri"/>
                <w:b w:val="0"/>
                <w:i w:val="0"/>
                <w:color w:val="101828"/>
                <w:sz w:val="14"/>
              </w:rPr>
              <w:t>. One filled Primary button, in the hero and repeated once in the closing section as the same component at the same level.</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See how it works</w:t>
            </w:r>
            <w:r>
              <w:rPr>
                <w:rFonts w:ascii="Calibri" w:hAnsi="Calibri"/>
                <w:b w:val="0"/>
                <w:i w:val="0"/>
                <w:color w:val="101828"/>
                <w:sz w:val="14"/>
              </w:rPr>
              <w:t xml:space="preserve"> (tertiary link) in the hero; </w:t>
            </w:r>
            <w:r>
              <w:rPr>
                <w:rFonts w:ascii="Calibri" w:hAnsi="Calibri"/>
                <w:i/>
                <w:color w:val="101828"/>
                <w:sz w:val="14"/>
              </w:rPr>
              <w:t>Read the fees</w:t>
            </w:r>
            <w:r>
              <w:rPr>
                <w:rFonts w:ascii="Calibri" w:hAnsi="Calibri"/>
                <w:b w:val="0"/>
                <w:i w:val="0"/>
                <w:color w:val="101828"/>
                <w:sz w:val="14"/>
              </w:rPr>
              <w:t xml:space="preserve"> (tertiary link) beside the worked example. Never a second filled button.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Standfirst: </w:t>
            </w:r>
            <w:r>
              <w:rPr>
                <w:rFonts w:ascii="Calibri" w:hAnsi="Calibri"/>
                <w:i/>
                <w:color w:val="101828"/>
                <w:sz w:val="14"/>
              </w:rPr>
              <w:t>the same scheme, recorded properly</w:t>
            </w:r>
            <w:r>
              <w:rPr>
                <w:rFonts w:ascii="Calibri" w:hAnsi="Calibri"/>
                <w:b w:val="0"/>
                <w:i w:val="0"/>
                <w:color w:val="101828"/>
                <w:sz w:val="14"/>
              </w:rPr>
              <w:t xml:space="preserve">. The six steps. The canonical money table verbatim. The default-handling note stating that other members are never charged extra and that a defaulting member is never named in the Ajo. Safety summary. Fee link. Tagline </w:t>
            </w:r>
            <w:r>
              <w:rPr>
                <w:rFonts w:ascii="Calibri" w:hAnsi="Calibri"/>
                <w:i/>
                <w:color w:val="101828"/>
                <w:sz w:val="14"/>
              </w:rPr>
              <w:t>Your Ajo. Your Story.</w:t>
            </w:r>
            <w:r>
              <w:rPr>
                <w:rFonts w:ascii="Calibri" w:hAnsi="Calibri"/>
                <w:b w:val="0"/>
                <w:i w:val="0"/>
                <w:color w:val="101828"/>
                <w:sz w:val="14"/>
              </w:rPr>
              <w:t xml:space="preserve"> in the footer.</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 A fee calculator is permitted and is a permitted form because it discloses rather than captures: input a contribution amount, output contribution, fee at 2 percent, total charged, and the base pool at ten members. An email capture before the fee is shown is prohibited.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Calculator input: numeric; minimum NGN 1,000.00; maximum the contribution cap set by risk (open). One rule, inline, on blur and on input once the field has been blurred. No other input on this page.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 Tier-1 content is statically rendered. The calculator computes locally on input with no network call and shows a result synchronously, because a calculator that flickers teaches a member not to trust the number.</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 There is no member data on tier 1 and nothing can be empty.</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Page-level only, per 4.4.12. The calculator has no error state beyond its inline validation message.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 No action on this page succeeds or fails; the only outcome is navigation.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Below 768: the hero stacks, the step list becomes a numbered vertical sequence with a 48 px minimum row, the money table becomes a stacked definition list preserving row order, and the top nav collapses to logo, sign in and a sheet. No region is removed at any width, and the worked example is never abbreviated.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Landmarks: one </w:t>
            </w:r>
            <w:r>
              <w:rPr>
                <w:rFonts w:ascii="Consolas" w:hAnsi="Consolas"/>
                <w:color w:val="146EF5"/>
                <w:sz w:val="14"/>
              </w:rPr>
              <w:t>header</w:t>
            </w:r>
            <w:r>
              <w:rPr>
                <w:rFonts w:ascii="Calibri" w:hAnsi="Calibri"/>
                <w:b w:val="0"/>
                <w:i w:val="0"/>
                <w:color w:val="101828"/>
                <w:sz w:val="14"/>
              </w:rPr>
              <w:t xml:space="preserve">, one </w:t>
            </w:r>
            <w:r>
              <w:rPr>
                <w:rFonts w:ascii="Consolas" w:hAnsi="Consolas"/>
                <w:color w:val="146EF5"/>
                <w:sz w:val="14"/>
              </w:rPr>
              <w:t>main</w:t>
            </w:r>
            <w:r>
              <w:rPr>
                <w:rFonts w:ascii="Calibri" w:hAnsi="Calibri"/>
                <w:b w:val="0"/>
                <w:i w:val="0"/>
                <w:color w:val="101828"/>
                <w:sz w:val="14"/>
              </w:rPr>
              <w:t xml:space="preserve">, one </w:t>
            </w:r>
            <w:r>
              <w:rPr>
                <w:rFonts w:ascii="Consolas" w:hAnsi="Consolas"/>
                <w:color w:val="146EF5"/>
                <w:sz w:val="14"/>
              </w:rPr>
              <w:t>nav</w:t>
            </w:r>
            <w:r>
              <w:rPr>
                <w:rFonts w:ascii="Calibri" w:hAnsi="Calibri"/>
                <w:b w:val="0"/>
                <w:i w:val="0"/>
                <w:color w:val="101828"/>
                <w:sz w:val="14"/>
              </w:rPr>
              <w:t xml:space="preserve"> for the top navigation, one </w:t>
            </w:r>
            <w:r>
              <w:rPr>
                <w:rFonts w:ascii="Consolas" w:hAnsi="Consolas"/>
                <w:color w:val="146EF5"/>
                <w:sz w:val="14"/>
              </w:rPr>
              <w:t>footer</w:t>
            </w:r>
            <w:r>
              <w:rPr>
                <w:rFonts w:ascii="Calibri" w:hAnsi="Calibri"/>
                <w:b w:val="0"/>
                <w:i w:val="0"/>
                <w:color w:val="101828"/>
                <w:sz w:val="14"/>
              </w:rPr>
              <w:t>. The money table is a real table with a caption and row headers. The calculator result is announced in a polite live region that states contribution, fee, total and base pool in that order. No content lives in an image. On the Deep hero all text is White, and the fee is set at label size, never at caption size in Gold.</w:t>
            </w:r>
          </w:p>
        </w:tc>
      </w:tr>
    </w:tbl>
    <w:p>
      <w:pPr>
        <w:spacing w:after="80"/>
      </w:pPr>
    </w:p>
    <w:p>
      <w:pPr>
        <w:pStyle w:val="Heading3"/>
      </w:pPr>
      <w:r>
        <w:rPr>
          <w:rFonts w:ascii="Calibri" w:hAnsi="Calibri"/>
          <w:b/>
          <w:i w:val="0"/>
          <w:color w:val="0B1F3A"/>
          <w:sz w:val="24"/>
        </w:rPr>
        <w:t>4.4.2 How It Works — SCR-WEB-02</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Explain the rotation in six numbered steps in the order a member lives it, and show the exact figures at the step where each occurs. This is the page a sceptic reads end to end and then decides.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An evaluation-stage reader, often referred by someone already using the product, comparing AJO.ng against the paper record book or the group chat they already use.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720 px reading column, single column, no grid. Title and standfirst, the six steps as a numbered list, the canonical money table beneath, the default-handling callout, then a closing CTA band on Deep.</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StepList</w:t>
            </w:r>
            <w:r>
              <w:rPr>
                <w:rFonts w:ascii="Calibri" w:hAnsi="Calibri"/>
                <w:b w:val="0"/>
                <w:i w:val="0"/>
                <w:color w:val="101828"/>
                <w:sz w:val="14"/>
              </w:rPr>
              <w:t xml:space="preserve"> (6), </w:t>
            </w:r>
            <w:r>
              <w:rPr>
                <w:rFonts w:ascii="Consolas" w:hAnsi="Consolas"/>
                <w:color w:val="146EF5"/>
                <w:sz w:val="14"/>
              </w:rPr>
              <w:t>MoneyTable</w:t>
            </w:r>
            <w:r>
              <w:rPr>
                <w:rFonts w:ascii="Calibri" w:hAnsi="Calibri"/>
                <w:b w:val="0"/>
                <w:i w:val="0"/>
                <w:color w:val="101828"/>
                <w:sz w:val="14"/>
              </w:rPr>
              <w:t xml:space="preserve"> (canonical), </w:t>
            </w:r>
            <w:r>
              <w:rPr>
                <w:rFonts w:ascii="Consolas" w:hAnsi="Consolas"/>
                <w:color w:val="146EF5"/>
                <w:sz w:val="14"/>
              </w:rPr>
              <w:t>Callout</w:t>
            </w:r>
            <w:r>
              <w:rPr>
                <w:rFonts w:ascii="Calibri" w:hAnsi="Calibri"/>
                <w:b w:val="0"/>
                <w:i w:val="0"/>
                <w:color w:val="101828"/>
                <w:sz w:val="14"/>
              </w:rPr>
              <w:t xml:space="preserve"> (NOTE, default handling), </w:t>
            </w:r>
            <w:r>
              <w:rPr>
                <w:rFonts w:ascii="Consolas" w:hAnsi="Consolas"/>
                <w:color w:val="146EF5"/>
                <w:sz w:val="14"/>
              </w:rPr>
              <w:t>Button</w:t>
            </w:r>
            <w:r>
              <w:rPr>
                <w:rFonts w:ascii="Calibri" w:hAnsi="Calibri"/>
                <w:b w:val="0"/>
                <w:i w:val="0"/>
                <w:color w:val="101828"/>
                <w:sz w:val="14"/>
              </w:rPr>
              <w:t xml:space="preserve"> (primary), </w:t>
            </w:r>
            <w:r>
              <w:rPr>
                <w:rFonts w:ascii="Consolas" w:hAnsi="Consolas"/>
                <w:color w:val="146EF5"/>
                <w:sz w:val="14"/>
              </w:rPr>
              <w:t>Footer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Same top nav as SCR-WEB-01. In-page anchors for the six steps on desktop; dropped on mobile, where the page is short enough not to need them.</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Create free account</w:t>
            </w:r>
            <w:r>
              <w:rPr>
                <w:rFonts w:ascii="Calibri" w:hAnsi="Calibri"/>
                <w:b w:val="0"/>
                <w:i w:val="0"/>
                <w:color w:val="101828"/>
                <w:sz w:val="14"/>
              </w:rPr>
              <w:t>, in the closing band only. One filled button. Repeating it in the page body would be a second primary and is prohibited.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See the full fees</w:t>
            </w:r>
            <w:r>
              <w:rPr>
                <w:rFonts w:ascii="Calibri" w:hAnsi="Calibri"/>
                <w:b w:val="0"/>
                <w:i w:val="0"/>
                <w:color w:val="101828"/>
                <w:sz w:val="14"/>
              </w:rPr>
              <w:t xml:space="preserve"> (tertiary link) beneath the money table, and </w:t>
            </w:r>
            <w:r>
              <w:rPr>
                <w:rFonts w:ascii="Calibri" w:hAnsi="Calibri"/>
                <w:i/>
                <w:color w:val="101828"/>
                <w:sz w:val="14"/>
              </w:rPr>
              <w:t>Read the safety details</w:t>
            </w:r>
            <w:r>
              <w:rPr>
                <w:rFonts w:ascii="Calibri" w:hAnsi="Calibri"/>
                <w:b w:val="0"/>
                <w:i w:val="0"/>
                <w:color w:val="101828"/>
                <w:sz w:val="14"/>
              </w:rPr>
              <w:t xml:space="preserve"> (tertiary link) in the closing band.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Step 1 the group agrees the amount. Step 2 positions are set and locked on activation. Step 3 each round, everyone pays by the due date. Step 4 AJO.ng keeps NGN 20.00 as its fee, charged on top. Step 5 when the round is fully collected, whoever it is due to is paid NGN 10,000.00. Step 6 the next round begins. </w:t>
            </w:r>
            <w:r>
              <w:rPr>
                <w:rFonts w:ascii="Calibri" w:hAnsi="Calibri"/>
                <w:b/>
                <w:color w:val="101828"/>
                <w:sz w:val="14"/>
              </w:rPr>
              <w:t>Steps 4 and 5 are the money steps and may not be merged, reordered, or summarised into one.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 The fee calculator from SCR-WEB-01 may be repeated beneath the money table; it is optional and is the only permitted input on this page.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Calculator only, per 4.4.1.</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 Static content.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Page-level only, per 4.4.1.</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Single column at every width. Step numerals move from a 32 px hanging gutter to an inline prefix below 768. The money table becomes a stacked list, preserving row order and the two bold rows.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steps are an ordered list, and each step number is part of the accessible name so a screen reader user hears </w:t>
            </w:r>
            <w:r>
              <w:rPr>
                <w:rFonts w:ascii="Calibri" w:hAnsi="Calibri"/>
                <w:i/>
                <w:color w:val="101828"/>
                <w:sz w:val="14"/>
              </w:rPr>
              <w:t>step 4 of 6</w:t>
            </w:r>
            <w:r>
              <w:rPr>
                <w:rFonts w:ascii="Calibri" w:hAnsi="Calibri"/>
                <w:b w:val="0"/>
                <w:i w:val="0"/>
                <w:color w:val="101828"/>
                <w:sz w:val="14"/>
              </w:rPr>
              <w:t>. The two money steps sit under their own subheading so they can be reached by heading navigation. No step is conveyed by an icon or a colour.</w:t>
            </w:r>
          </w:p>
        </w:tc>
      </w:tr>
    </w:tbl>
    <w:p>
      <w:pPr>
        <w:spacing w:after="80"/>
      </w:pPr>
    </w:p>
    <w:p>
      <w:pPr>
        <w:pStyle w:val="Heading3"/>
      </w:pPr>
      <w:r>
        <w:rPr>
          <w:rFonts w:ascii="Calibri" w:hAnsi="Calibri"/>
          <w:b/>
          <w:i w:val="0"/>
          <w:color w:val="0B1F3A"/>
          <w:sz w:val="24"/>
        </w:rPr>
        <w:t>4.4.3 Features — SCR-WEB-03</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List what the product does for the organiser and what it does for the member. It is not a comparison table and it is not a claims page.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organiser of an existing group, deciding whether to move their record-keeping; and a member being convinced by that organiser.</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Title, then two columns — organiser, member — on </w:t>
            </w:r>
            <w:r>
              <w:rPr>
                <w:rFonts w:ascii="Consolas" w:hAnsi="Consolas"/>
                <w:color w:val="146EF5"/>
                <w:sz w:val="14"/>
              </w:rPr>
              <w:t>lg</w:t>
            </w:r>
            <w:r>
              <w:rPr>
                <w:rFonts w:ascii="Calibri" w:hAnsi="Calibri"/>
                <w:b w:val="0"/>
                <w:i w:val="0"/>
                <w:color w:val="101828"/>
                <w:sz w:val="14"/>
              </w:rPr>
              <w:t xml:space="preserve"> and above, stacking in that order on mobile. Each column is a list of features with a short heading and one sentence each. No grid of feature icons with three-word labels.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FeatureList</w:t>
            </w:r>
            <w:r>
              <w:rPr>
                <w:rFonts w:ascii="Calibri" w:hAnsi="Calibri"/>
                <w:b w:val="0"/>
                <w:i w:val="0"/>
                <w:color w:val="101828"/>
                <w:sz w:val="14"/>
              </w:rPr>
              <w:t xml:space="preserve"> (2 columns), </w:t>
            </w:r>
            <w:r>
              <w:rPr>
                <w:rFonts w:ascii="Consolas" w:hAnsi="Consolas"/>
                <w:color w:val="146EF5"/>
                <w:sz w:val="14"/>
              </w:rPr>
              <w:t>Callout</w:t>
            </w:r>
            <w:r>
              <w:rPr>
                <w:rFonts w:ascii="Calibri" w:hAnsi="Calibri"/>
                <w:b w:val="0"/>
                <w:i w:val="0"/>
                <w:color w:val="101828"/>
                <w:sz w:val="14"/>
              </w:rPr>
              <w:t xml:space="preserve"> (NOTE), </w:t>
            </w:r>
            <w:r>
              <w:rPr>
                <w:rFonts w:ascii="Consolas" w:hAnsi="Consolas"/>
                <w:color w:val="146EF5"/>
                <w:sz w:val="14"/>
              </w:rPr>
              <w:t>Button</w:t>
            </w:r>
            <w:r>
              <w:rPr>
                <w:rFonts w:ascii="Calibri" w:hAnsi="Calibri"/>
                <w:b w:val="0"/>
                <w:i w:val="0"/>
                <w:color w:val="101828"/>
                <w:sz w:val="14"/>
              </w:rPr>
              <w:t xml:space="preserve"> (primary), </w:t>
            </w:r>
            <w:r>
              <w:rPr>
                <w:rFonts w:ascii="Consolas" w:hAnsi="Consolas"/>
                <w:color w:val="146EF5"/>
                <w:sz w:val="14"/>
              </w:rPr>
              <w:t>Footer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Same top nav.</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Create an Ajo</w:t>
            </w:r>
            <w:r>
              <w:rPr>
                <w:rFonts w:ascii="Calibri" w:hAnsi="Calibri"/>
                <w:b w:val="0"/>
                <w:i w:val="0"/>
                <w:color w:val="101828"/>
                <w:sz w:val="14"/>
              </w:rPr>
              <w:t>, in the closing band. One filled button.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Read how it works</w:t>
            </w:r>
            <w:r>
              <w:rPr>
                <w:rFonts w:ascii="Calibri" w:hAnsi="Calibri"/>
                <w:b w:val="0"/>
                <w:i w:val="0"/>
                <w:color w:val="101828"/>
                <w:sz w:val="14"/>
              </w:rPr>
              <w:t xml:space="preserve"> (tertiary link) in the closing band.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Organiser: the roster, the round calendar, reminders, position proposals, the five-day enrolment window. Member: the schedule, one-tap payment with the fee shown before commit, a receipt for every payment, a statement, a payout record. Every feature listed must exist at v1 or be marked as planned with a stated intention. No unavailable feature is listed as available.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 Static content.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Page-level only.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Two columns to one below </w:t>
            </w:r>
            <w:r>
              <w:rPr>
                <w:rFonts w:ascii="Consolas" w:hAnsi="Consolas"/>
                <w:color w:val="146EF5"/>
                <w:sz w:val="14"/>
              </w:rPr>
              <w:t>md</w:t>
            </w:r>
            <w:r>
              <w:rPr>
                <w:rFonts w:ascii="Calibri" w:hAnsi="Calibri"/>
                <w:b w:val="0"/>
                <w:i w:val="0"/>
                <w:color w:val="101828"/>
                <w:sz w:val="14"/>
              </w:rPr>
              <w:t>, organiser first. No feature is removed at any width; where the two lists are long, the member list follows the organiser list rather than interleaving with it.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two lists are labelled sections with real headings, so they appear in a heading navigation list. A feature is a heading and a paragraph, never a heading and a colour. No feature icon is the only carrier of a category name.</w:t>
            </w:r>
          </w:p>
        </w:tc>
      </w:tr>
    </w:tbl>
    <w:p>
      <w:pPr>
        <w:spacing w:after="80"/>
      </w:pPr>
    </w:p>
    <w:p>
      <w:pPr>
        <w:pStyle w:val="Heading3"/>
      </w:pPr>
      <w:r>
        <w:rPr>
          <w:rFonts w:ascii="Calibri" w:hAnsi="Calibri"/>
          <w:b/>
          <w:i w:val="0"/>
          <w:color w:val="0B1F3A"/>
          <w:sz w:val="24"/>
        </w:rPr>
        <w:t>4.4.4 Safety and Trust — SCR-WEB-04</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Answer the question </w:t>
            </w:r>
            <w:r>
              <w:rPr>
                <w:rFonts w:ascii="Calibri" w:hAnsi="Calibri"/>
                <w:i/>
                <w:color w:val="101828"/>
                <w:sz w:val="14"/>
              </w:rPr>
              <w:t>what stops the organiser taking the money</w:t>
            </w:r>
            <w:r>
              <w:rPr>
                <w:rFonts w:ascii="Calibri" w:hAnsi="Calibri"/>
                <w:b w:val="0"/>
                <w:i w:val="0"/>
                <w:color w:val="101828"/>
                <w:sz w:val="14"/>
              </w:rPr>
              <w:t xml:space="preserve">, and answer it honestly, including where the honest answer is </w:t>
            </w:r>
            <w:r>
              <w:rPr>
                <w:rFonts w:ascii="Calibri" w:hAnsi="Calibri"/>
                <w:i/>
                <w:color w:val="101828"/>
                <w:sz w:val="14"/>
              </w:rPr>
              <w:t>we do not know yet</w:t>
            </w:r>
            <w:r>
              <w:rPr>
                <w:rFonts w:ascii="Calibri" w:hAnsi="Calibri"/>
                <w:b w:val="0"/>
                <w:i w:val="0"/>
                <w:color w:val="101828"/>
                <w:sz w:val="14"/>
              </w:rPr>
              <w: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decision-maker, usually the person in the group trusted with the fund, being asked to route it through a new system. Sceptical, specific, and unimpressed by reassurance.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Reading column, single column, one </w:t>
            </w:r>
            <w:r>
              <w:rPr>
                <w:rFonts w:ascii="Consolas" w:hAnsi="Consolas"/>
                <w:color w:val="146EF5"/>
                <w:sz w:val="14"/>
              </w:rPr>
              <w:t>h2</w:t>
            </w:r>
            <w:r>
              <w:rPr>
                <w:rFonts w:ascii="Calibri" w:hAnsi="Calibri"/>
                <w:b w:val="0"/>
                <w:i w:val="0"/>
                <w:color w:val="101828"/>
                <w:sz w:val="14"/>
              </w:rPr>
              <w:t xml:space="preserve"> per safeguard with a short paragraph and, where relevant, a small table of who can do what. Deliberately not a grid of trust badges.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ProseSection</w:t>
            </w:r>
            <w:r>
              <w:rPr>
                <w:rFonts w:ascii="Calibri" w:hAnsi="Calibri"/>
                <w:b w:val="0"/>
                <w:i w:val="0"/>
                <w:color w:val="101828"/>
                <w:sz w:val="14"/>
              </w:rPr>
              <w:t xml:space="preserve"> (6), </w:t>
            </w:r>
            <w:r>
              <w:rPr>
                <w:rFonts w:ascii="Consolas" w:hAnsi="Consolas"/>
                <w:color w:val="146EF5"/>
                <w:sz w:val="14"/>
              </w:rPr>
              <w:t>Table</w:t>
            </w:r>
            <w:r>
              <w:rPr>
                <w:rFonts w:ascii="Calibri" w:hAnsi="Calibri"/>
                <w:b w:val="0"/>
                <w:i w:val="0"/>
                <w:color w:val="101828"/>
                <w:sz w:val="14"/>
              </w:rPr>
              <w:t xml:space="preserve"> (role capability, transcribed from the canonical role rules), </w:t>
            </w:r>
            <w:r>
              <w:rPr>
                <w:rFonts w:ascii="Consolas" w:hAnsi="Consolas"/>
                <w:color w:val="146EF5"/>
                <w:sz w:val="14"/>
              </w:rPr>
              <w:t>Callout</w:t>
            </w:r>
            <w:r>
              <w:rPr>
                <w:rFonts w:ascii="Calibri" w:hAnsi="Calibri"/>
                <w:b w:val="0"/>
                <w:i w:val="0"/>
                <w:color w:val="101828"/>
                <w:sz w:val="14"/>
              </w:rPr>
              <w:t xml:space="preserve"> (DECISION, custody position), </w:t>
            </w:r>
            <w:r>
              <w:rPr>
                <w:rFonts w:ascii="Consolas" w:hAnsi="Consolas"/>
                <w:color w:val="146EF5"/>
                <w:sz w:val="14"/>
              </w:rPr>
              <w:t>Button</w:t>
            </w:r>
            <w:r>
              <w:rPr>
                <w:rFonts w:ascii="Calibri" w:hAnsi="Calibri"/>
                <w:b w:val="0"/>
                <w:i w:val="0"/>
                <w:color w:val="101828"/>
                <w:sz w:val="14"/>
              </w:rPr>
              <w:t xml:space="preserve"> (primary), </w:t>
            </w:r>
            <w:r>
              <w:rPr>
                <w:rFonts w:ascii="Consolas" w:hAnsi="Consolas"/>
                <w:color w:val="146EF5"/>
                <w:sz w:val="14"/>
              </w:rPr>
              <w:t>Footer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Same top nav. A contents list appears at </w:t>
            </w:r>
            <w:r>
              <w:rPr>
                <w:rFonts w:ascii="Consolas" w:hAnsi="Consolas"/>
                <w:color w:val="146EF5"/>
                <w:sz w:val="14"/>
              </w:rPr>
              <w:t>xl</w:t>
            </w:r>
            <w:r>
              <w:rPr>
                <w:rFonts w:ascii="Calibri" w:hAnsi="Calibri"/>
                <w:b w:val="0"/>
                <w:i w:val="0"/>
                <w:color w:val="101828"/>
                <w:sz w:val="14"/>
              </w:rPr>
              <w:t xml:space="preserve"> and above and is absent below that rather than collapsed.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Create free account</w:t>
            </w:r>
            <w:r>
              <w:rPr>
                <w:rFonts w:ascii="Calibri" w:hAnsi="Calibri"/>
                <w:b w:val="0"/>
                <w:i w:val="0"/>
                <w:color w:val="101828"/>
                <w:sz w:val="14"/>
              </w:rPr>
              <w:t>, in the closing band. On this page the fee link is a tertiary link; the page's primary action is the one repeated across tier 1.</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Read the terms</w:t>
            </w:r>
            <w:r>
              <w:rPr>
                <w:rFonts w:ascii="Calibri" w:hAnsi="Calibri"/>
                <w:b w:val="0"/>
                <w:i w:val="0"/>
                <w:color w:val="101828"/>
                <w:sz w:val="14"/>
              </w:rPr>
              <w:t xml:space="preserve"> and </w:t>
            </w:r>
            <w:r>
              <w:rPr>
                <w:rFonts w:ascii="Calibri" w:hAnsi="Calibri"/>
                <w:i/>
                <w:color w:val="101828"/>
                <w:sz w:val="14"/>
              </w:rPr>
              <w:t>Contact us</w:t>
            </w:r>
            <w:r>
              <w:rPr>
                <w:rFonts w:ascii="Calibri" w:hAnsi="Calibri"/>
                <w:b w:val="0"/>
                <w:i w:val="0"/>
                <w:color w:val="101828"/>
                <w:sz w:val="14"/>
              </w:rPr>
              <w:t xml:space="preserve"> (tertiary links) in the closing band.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Six sections. 1, Positions lock when the Ajo activates and a change needs a formal replacement request. 2, The enrolment window is exactly five days; an unfilled Ajo is cancelled and refunded in full. 3, What happens when someone does not pay: reminder, retry where the payment partner supports it, 48-hour grace, organiser told privately, recovery. Other members are never charged extra and the member is never named in the Ajo. 4, Who can see what: members see the roster and the round state, never another member's bank details, identity documents or dispute. 5, The record: the ledger is append-only, no role including the founders can edit or delete an entry, and a correction is a reversing entry. 6, What we do not yet know: the custody and licensing position and the payment partner's charges, stated as open.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Page-level only.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Single column throughout. The role-capability table becomes a stacked list below 768, one role per block, with </w:t>
            </w:r>
            <w:r>
              <w:rPr>
                <w:rFonts w:ascii="Calibri" w:hAnsi="Calibri"/>
                <w:i/>
                <w:color w:val="101828"/>
                <w:sz w:val="14"/>
              </w:rPr>
              <w:t>can</w:t>
            </w:r>
            <w:r>
              <w:rPr>
                <w:rFonts w:ascii="Calibri" w:hAnsi="Calibri"/>
                <w:b w:val="0"/>
                <w:i w:val="0"/>
                <w:color w:val="101828"/>
                <w:sz w:val="14"/>
              </w:rPr>
              <w:t xml:space="preserve"> and </w:t>
            </w:r>
            <w:r>
              <w:rPr>
                <w:rFonts w:ascii="Calibri" w:hAnsi="Calibri"/>
                <w:i/>
                <w:color w:val="101828"/>
                <w:sz w:val="14"/>
              </w:rPr>
              <w:t>cannot</w:t>
            </w:r>
            <w:r>
              <w:rPr>
                <w:rFonts w:ascii="Calibri" w:hAnsi="Calibri"/>
                <w:b w:val="0"/>
                <w:i w:val="0"/>
                <w:color w:val="101828"/>
                <w:sz w:val="14"/>
              </w:rPr>
              <w:t xml:space="preserve"> as two labelled sub-lists. The contents list is removed below </w:t>
            </w:r>
            <w:r>
              <w:rPr>
                <w:rFonts w:ascii="Consolas" w:hAnsi="Consolas"/>
                <w:color w:val="146EF5"/>
                <w:sz w:val="14"/>
              </w:rPr>
              <w:t>xl</w:t>
            </w:r>
            <w:r>
              <w:rPr>
                <w:rFonts w:ascii="Calibri" w:hAnsi="Calibri"/>
                <w:b w:val="0"/>
                <w:i w:val="0"/>
                <w:color w:val="101828"/>
                <w:sz w:val="14"/>
              </w:rPr>
              <w:t xml:space="preserve"> and the section count is stated at the top instead.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role-capability table has a real caption and row headers. The section naming the open custody question is a DECISION callout whose title is in the accessible outline, so it is reachable from the contents list and from heading navigation.</w:t>
            </w:r>
          </w:p>
        </w:tc>
      </w:tr>
    </w:tbl>
    <w:p>
      <w:pPr>
        <w:spacing w:after="80"/>
      </w:pPr>
    </w:p>
    <w:p>
      <w:pPr>
        <w:pStyle w:val="Heading3"/>
      </w:pPr>
      <w:r>
        <w:rPr>
          <w:rFonts w:ascii="Calibri" w:hAnsi="Calibri"/>
          <w:b/>
          <w:i w:val="0"/>
          <w:color w:val="0B1F3A"/>
          <w:sz w:val="24"/>
        </w:rPr>
        <w:t>4.4.5 Fees — SCR-WEB-05</w:t>
      </w:r>
    </w:p>
    <w:p>
      <w:r>
        <w:rPr>
          <w:rFonts w:ascii="Calibri" w:hAnsi="Calibri"/>
          <w:b/>
          <w:color w:val="101828"/>
          <w:sz w:val="21"/>
        </w:rPr>
        <w:t>This is the canonical fee page and the only place on tier 1 where the 2 percent is quantified.</w:t>
      </w:r>
      <w:r>
        <w:rPr>
          <w:rFonts w:ascii="Calibri" w:hAnsi="Calibri"/>
          <w:b w:val="0"/>
          <w:i w:val="0"/>
          <w:color w:val="101828"/>
          <w:sz w:val="21"/>
        </w:rPr>
        <w:t xml:space="preserve"> Every other surface that mentions a figure transcribes from here. If a figure changes on this page it changes on every screen, and that change is a code review, not a copy edit.</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State exactly what AJO.ng charges, on what, when, and what is not charged. Nothing else. There is no pricing tier, no plan, and no upsell on this page, and there never will be: the product charges one rate.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Anybody, at any moment in the funnel, including a member who has already paid and is checking whether they were overcharged. It is written to be re-read, not read once.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Reading column. H1, a one-sentence statement of the rate, the canonical eleven-row money table, the three-line breakdown block, a note on what is not charged, a note on the open questions, then the closing CTA band.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MoneyTable</w:t>
            </w:r>
            <w:r>
              <w:rPr>
                <w:rFonts w:ascii="Calibri" w:hAnsi="Calibri"/>
                <w:b w:val="0"/>
                <w:i w:val="0"/>
                <w:color w:val="101828"/>
                <w:sz w:val="14"/>
              </w:rPr>
              <w:t xml:space="preserve"> (canonical, eleven rows), </w:t>
            </w:r>
            <w:r>
              <w:rPr>
                <w:rFonts w:ascii="Consolas" w:hAnsi="Consolas"/>
                <w:color w:val="146EF5"/>
                <w:sz w:val="14"/>
              </w:rPr>
              <w:t>MoneyBlock</w:t>
            </w:r>
            <w:r>
              <w:rPr>
                <w:rFonts w:ascii="Calibri" w:hAnsi="Calibri"/>
                <w:b w:val="0"/>
                <w:i w:val="0"/>
                <w:color w:val="101828"/>
                <w:sz w:val="14"/>
              </w:rPr>
              <w:t xml:space="preserve"> (three lines), </w:t>
            </w:r>
            <w:r>
              <w:rPr>
                <w:rFonts w:ascii="Consolas" w:hAnsi="Consolas"/>
                <w:color w:val="146EF5"/>
                <w:sz w:val="14"/>
              </w:rPr>
              <w:t>Callout</w:t>
            </w:r>
            <w:r>
              <w:rPr>
                <w:rFonts w:ascii="Calibri" w:hAnsi="Calibri"/>
                <w:b w:val="0"/>
                <w:i w:val="0"/>
                <w:color w:val="101828"/>
                <w:sz w:val="14"/>
              </w:rPr>
              <w:t xml:space="preserve"> (DECISION, partner charges and tax), </w:t>
            </w:r>
            <w:r>
              <w:rPr>
                <w:rFonts w:ascii="Consolas" w:hAnsi="Consolas"/>
                <w:color w:val="146EF5"/>
                <w:sz w:val="14"/>
              </w:rPr>
              <w:t>Button</w:t>
            </w:r>
            <w:r>
              <w:rPr>
                <w:rFonts w:ascii="Calibri" w:hAnsi="Calibri"/>
                <w:b w:val="0"/>
                <w:i w:val="0"/>
                <w:color w:val="101828"/>
                <w:sz w:val="14"/>
              </w:rPr>
              <w:t xml:space="preserve"> (primary), </w:t>
            </w:r>
            <w:r>
              <w:rPr>
                <w:rFonts w:ascii="Consolas" w:hAnsi="Consolas"/>
                <w:color w:val="146EF5"/>
                <w:sz w:val="14"/>
              </w:rPr>
              <w:t>Footer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Same top nav. Linked in the footer of every tier-1 page, in every transactional email, and from the More sheet in tier 2, so a member can always check the fee without asking.</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Create free account</w:t>
            </w:r>
            <w:r>
              <w:rPr>
                <w:rFonts w:ascii="Calibri" w:hAnsi="Calibri"/>
                <w:b w:val="0"/>
                <w:i w:val="0"/>
                <w:color w:val="101828"/>
                <w:sz w:val="14"/>
              </w:rPr>
              <w:t>, in the closing band. One filled button.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Read how it works</w:t>
            </w:r>
            <w:r>
              <w:rPr>
                <w:rFonts w:ascii="Calibri" w:hAnsi="Calibri"/>
                <w:b w:val="0"/>
                <w:i w:val="0"/>
                <w:color w:val="101828"/>
                <w:sz w:val="14"/>
              </w:rPr>
              <w:t xml:space="preserve"> and </w:t>
            </w:r>
            <w:r>
              <w:rPr>
                <w:rFonts w:ascii="Calibri" w:hAnsi="Calibri"/>
                <w:i/>
                <w:color w:val="101828"/>
                <w:sz w:val="14"/>
              </w:rPr>
              <w:t>Read the terms</w:t>
            </w:r>
            <w:r>
              <w:rPr>
                <w:rFonts w:ascii="Calibri" w:hAnsi="Calibri"/>
                <w:b w:val="0"/>
                <w:i w:val="0"/>
                <w:color w:val="101828"/>
                <w:sz w:val="14"/>
              </w:rPr>
              <w:t xml:space="preserve"> (tertiary links) in the closing band.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Rate statement: </w:t>
            </w:r>
            <w:r>
              <w:rPr>
                <w:rFonts w:ascii="Calibri" w:hAnsi="Calibri"/>
                <w:i/>
                <w:color w:val="101828"/>
                <w:sz w:val="14"/>
              </w:rPr>
              <w:t>AJO.ng charges 2% on every contribution. It is added to the amount you contribute. It is never taken from it, and it never reduces what you receive.</w:t>
            </w:r>
            <w:r>
              <w:rPr>
                <w:rFonts w:ascii="Calibri" w:hAnsi="Calibri"/>
                <w:b w:val="0"/>
                <w:i w:val="0"/>
                <w:color w:val="101828"/>
                <w:sz w:val="14"/>
              </w:rPr>
              <w:t xml:space="preserve"> Then the canonical table: members 10; contribution per member per round NGN 1,000.00; platform fee 2% NGN 20.00; total charged per member NGN 1,020.00; base pool paid to the recipient NGN 10,000.00; total collected in the round NGN 10,200.00; platform fee retained in the round NGN 200.00; rounds 10; total paid in by one member NGN 10,200.00; total received by the recipient at their turn NGN 10,000.00; platform fee over the full Ajo NGN 2,000.00; total collected across the Ajo NGN 102,000.00. Then what is not charged: no fee on receiving a payout, no fee on cancelling before activation. Then the open questions: partner charges and tax treatment, stated as unresolved.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calculator, optional, identical to SCR-WEB-01.</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Calculator: numeric input, NGN 1,000.00 to the current contribution cap. Reject non-numeric input without clearing the field.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Page-level only.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eleven-row table becomes a stacked list below 768, in the same order, with the two bold rows kept bold. The three-line breakdown never changes at any width. The rate statement is never set below body size.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table has a caption naming the worked example and row headers. The two emphasised rows are emphasised in the accessible name as well as in weight, because weight alone is unreliable at high magnification. The rate statement is a paragraph, not a heading, so it is not skipped by heading navigation but is read in full.</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The two rows that may never be merged or reordered  </w:t>
      </w:r>
      <w:r>
        <w:rPr>
          <w:rFonts w:ascii="Calibri" w:hAnsi="Calibri"/>
          <w:b/>
          <w:color w:val="0B1F3A"/>
          <w:sz w:val="19"/>
        </w:rPr>
        <w:t>Total charged per member NGN 1,020.00</w:t>
      </w:r>
      <w:r>
        <w:rPr>
          <w:rFonts w:ascii="Calibri" w:hAnsi="Calibri"/>
          <w:b w:val="0"/>
          <w:i w:val="0"/>
          <w:color w:val="0B1F3A"/>
          <w:sz w:val="19"/>
        </w:rPr>
        <w:t xml:space="preserve"> and </w:t>
      </w:r>
      <w:r>
        <w:rPr>
          <w:rFonts w:ascii="Calibri" w:hAnsi="Calibri"/>
          <w:b/>
          <w:color w:val="0B1F3A"/>
          <w:sz w:val="19"/>
        </w:rPr>
        <w:t>base pool paid to the recipient NGN 10,000.00</w:t>
      </w:r>
      <w:r>
        <w:rPr>
          <w:rFonts w:ascii="Calibri" w:hAnsi="Calibri"/>
          <w:b w:val="0"/>
          <w:i w:val="0"/>
          <w:color w:val="0B1F3A"/>
          <w:sz w:val="19"/>
        </w:rPr>
        <w:t xml:space="preserve">. Everything else in the table can be presented in whatever order reads best. These two are the numbers a member will remember, the numbers they will quote back at support, and the two they will conflate if they sit on adjacent lines without their labels. NGN 10,200.00 is what was </w:t>
      </w:r>
      <w:r>
        <w:rPr>
          <w:rFonts w:ascii="Calibri" w:hAnsi="Calibri"/>
          <w:i/>
          <w:color w:val="0B1F3A"/>
          <w:sz w:val="19"/>
        </w:rPr>
        <w:t>collected</w:t>
      </w:r>
      <w:r>
        <w:rPr>
          <w:rFonts w:ascii="Calibri" w:hAnsi="Calibri"/>
          <w:b w:val="0"/>
          <w:i w:val="0"/>
          <w:color w:val="0B1F3A"/>
          <w:sz w:val="19"/>
        </w:rPr>
        <w:t xml:space="preserve"> in a round. It is never what a recipient is </w:t>
      </w:r>
      <w:r>
        <w:rPr>
          <w:rFonts w:ascii="Calibri" w:hAnsi="Calibri"/>
          <w:i/>
          <w:color w:val="0B1F3A"/>
          <w:sz w:val="19"/>
        </w:rPr>
        <w:t>paid</w:t>
      </w:r>
      <w:r>
        <w:rPr>
          <w:rFonts w:ascii="Calibri" w:hAnsi="Calibri"/>
          <w:b w:val="0"/>
          <w:i w:val="0"/>
          <w:color w:val="0B1F3A"/>
          <w:sz w:val="19"/>
        </w:rPr>
        <w:t>.</w:t>
      </w:r>
    </w:p>
    <w:p>
      <w:pPr>
        <w:pStyle w:val="Heading3"/>
      </w:pPr>
      <w:r>
        <w:rPr>
          <w:rFonts w:ascii="Calibri" w:hAnsi="Calibri"/>
          <w:b/>
          <w:i w:val="0"/>
          <w:color w:val="0B1F3A"/>
          <w:sz w:val="24"/>
        </w:rPr>
        <w:t>4.4.6 About — SCR-WEB-06</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Say who built this and why, and give the reader a route to a person. For this buyer, a name is most of what trust is made of.</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reader who has got as far as asking </w:t>
            </w:r>
            <w:r>
              <w:rPr>
                <w:rFonts w:ascii="Calibri" w:hAnsi="Calibri"/>
                <w:i/>
                <w:color w:val="101828"/>
                <w:sz w:val="14"/>
              </w:rPr>
              <w:t>who are you</w:t>
            </w:r>
            <w:r>
              <w:rPr>
                <w:rFonts w:ascii="Calibri" w:hAnsi="Calibri"/>
                <w:b w:val="0"/>
                <w:i w:val="0"/>
                <w:color w:val="101828"/>
                <w:sz w:val="14"/>
              </w:rPr>
              <w:t xml:space="preserve"> before deciding anything. Rare, high-intent, and the reader most likely to refer.</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Reading column. Founders, the problem, the approach, contact routes, a separate press route.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ProseSection</w:t>
            </w:r>
            <w:r>
              <w:rPr>
                <w:rFonts w:ascii="Calibri" w:hAnsi="Calibri"/>
                <w:b w:val="0"/>
                <w:i w:val="0"/>
                <w:color w:val="101828"/>
                <w:sz w:val="14"/>
              </w:rPr>
              <w:t xml:space="preserve">, </w:t>
            </w:r>
            <w:r>
              <w:rPr>
                <w:rFonts w:ascii="Consolas" w:hAnsi="Consolas"/>
                <w:color w:val="146EF5"/>
                <w:sz w:val="14"/>
              </w:rPr>
              <w:t>Avatar</w:t>
            </w:r>
            <w:r>
              <w:rPr>
                <w:rFonts w:ascii="Calibri" w:hAnsi="Calibri"/>
                <w:b w:val="0"/>
                <w:i w:val="0"/>
                <w:color w:val="101828"/>
                <w:sz w:val="14"/>
              </w:rPr>
              <w:t xml:space="preserve"> (initials only; no faces), </w:t>
            </w:r>
            <w:r>
              <w:rPr>
                <w:rFonts w:ascii="Consolas" w:hAnsi="Consolas"/>
                <w:color w:val="146EF5"/>
                <w:sz w:val="14"/>
              </w:rPr>
              <w:t>Button</w:t>
            </w:r>
            <w:r>
              <w:rPr>
                <w:rFonts w:ascii="Calibri" w:hAnsi="Calibri"/>
                <w:b w:val="0"/>
                <w:i w:val="0"/>
                <w:color w:val="101828"/>
                <w:sz w:val="14"/>
              </w:rPr>
              <w:t xml:space="preserve"> (primary), </w:t>
            </w:r>
            <w:r>
              <w:rPr>
                <w:rFonts w:ascii="Consolas" w:hAnsi="Consolas"/>
                <w:color w:val="146EF5"/>
                <w:sz w:val="14"/>
              </w:rPr>
              <w:t>Button</w:t>
            </w:r>
            <w:r>
              <w:rPr>
                <w:rFonts w:ascii="Calibri" w:hAnsi="Calibri"/>
                <w:b w:val="0"/>
                <w:i w:val="0"/>
                <w:color w:val="101828"/>
                <w:sz w:val="14"/>
              </w:rPr>
              <w:t xml:space="preserve"> (secondary), </w:t>
            </w:r>
            <w:r>
              <w:rPr>
                <w:rFonts w:ascii="Consolas" w:hAnsi="Consolas"/>
                <w:color w:val="146EF5"/>
                <w:sz w:val="14"/>
              </w:rPr>
              <w:t>Footer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Same top nav.</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Talk to us</w:t>
            </w:r>
            <w:r>
              <w:rPr>
                <w:rFonts w:ascii="Calibri" w:hAnsi="Calibri"/>
                <w:b w:val="0"/>
                <w:i w:val="0"/>
                <w:color w:val="101828"/>
                <w:sz w:val="14"/>
              </w:rPr>
              <w:t xml:space="preserve">, to </w:t>
            </w:r>
            <w:r>
              <w:rPr>
                <w:rFonts w:ascii="Consolas" w:hAnsi="Consolas"/>
                <w:color w:val="146EF5"/>
                <w:sz w:val="14"/>
              </w:rPr>
              <w:t>/contact</w:t>
            </w:r>
            <w:r>
              <w:rPr>
                <w:rFonts w:ascii="Calibri" w:hAnsi="Calibri"/>
                <w:b w:val="0"/>
                <w:i w:val="0"/>
                <w:color w:val="101828"/>
                <w:sz w:val="14"/>
              </w:rPr>
              <w:t xml:space="preserve">. On this page that is the primary rather than </w:t>
            </w:r>
            <w:r>
              <w:rPr>
                <w:rFonts w:ascii="Calibri" w:hAnsi="Calibri"/>
                <w:i/>
                <w:color w:val="101828"/>
                <w:sz w:val="14"/>
              </w:rPr>
              <w:t>Create free account</w:t>
            </w:r>
            <w:r>
              <w:rPr>
                <w:rFonts w:ascii="Calibri" w:hAnsi="Calibri"/>
                <w:b w:val="0"/>
                <w:i w:val="0"/>
                <w:color w:val="101828"/>
                <w:sz w:val="14"/>
              </w:rPr>
              <w:t>, because the reader who reaches About is asking a question, not signing up.</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Create free account</w:t>
            </w:r>
            <w:r>
              <w:rPr>
                <w:rFonts w:ascii="Calibri" w:hAnsi="Calibri"/>
                <w:b w:val="0"/>
                <w:i w:val="0"/>
                <w:color w:val="101828"/>
                <w:sz w:val="14"/>
              </w:rPr>
              <w:t xml:space="preserve"> as a secondary outlined button, and </w:t>
            </w:r>
            <w:r>
              <w:rPr>
                <w:rFonts w:ascii="Calibri" w:hAnsi="Calibri"/>
                <w:i/>
                <w:color w:val="101828"/>
                <w:sz w:val="14"/>
              </w:rPr>
              <w:t>See how it works</w:t>
            </w:r>
            <w:r>
              <w:rPr>
                <w:rFonts w:ascii="Calibri" w:hAnsi="Calibri"/>
                <w:b w:val="0"/>
                <w:i w:val="0"/>
                <w:color w:val="101828"/>
                <w:sz w:val="14"/>
              </w:rPr>
              <w:t xml:space="preserve"> as a tertiary link.</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Founders named as Abdurrahman Lawal and Abdurrahman Oriolowo. The problem: Ajos already work, and the record is kept in a book or a chat. The approach: the scheme is unchanged, the record-keeping is software. </w:t>
            </w:r>
            <w:r>
              <w:rPr>
                <w:rFonts w:ascii="Calibri" w:hAnsi="Calibri"/>
                <w:b/>
                <w:color w:val="101828"/>
                <w:sz w:val="14"/>
              </w:rPr>
              <w:t>No funding, partner, traction, customer-count or press claims — the company is pre-launch and any such claim would be false.</w:t>
            </w:r>
            <w:r>
              <w:rPr>
                <w:rFonts w:ascii="Calibri" w:hAnsi="Calibri"/>
                <w:b w:val="0"/>
                <w:i w:val="0"/>
                <w:color w:val="101828"/>
                <w:sz w:val="14"/>
              </w:rPr>
              <w:t xml:space="preserve"> Any statement about licensing or regulatory status is labelled as requiring legal review.</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 A contact link only; the form is on SCR-WEB-08.</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Page-level only.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Single column throughout. Founder blocks stack below </w:t>
            </w:r>
            <w:r>
              <w:rPr>
                <w:rFonts w:ascii="Consolas" w:hAnsi="Consolas"/>
                <w:color w:val="146EF5"/>
                <w:sz w:val="14"/>
              </w:rPr>
              <w:t>md</w:t>
            </w:r>
            <w:r>
              <w:rPr>
                <w:rFonts w:ascii="Calibri" w:hAnsi="Calibri"/>
                <w:b w:val="0"/>
                <w:i w:val="0"/>
                <w:color w:val="101828"/>
                <w:sz w:val="14"/>
              </w:rPr>
              <w:t xml:space="preserve"> and sit side by side at </w:t>
            </w:r>
            <w:r>
              <w:rPr>
                <w:rFonts w:ascii="Consolas" w:hAnsi="Consolas"/>
                <w:color w:val="146EF5"/>
                <w:sz w:val="14"/>
              </w:rPr>
              <w:t>lg</w:t>
            </w:r>
            <w:r>
              <w:rPr>
                <w:rFonts w:ascii="Calibri" w:hAnsi="Calibri"/>
                <w:b w:val="0"/>
                <w:i w:val="0"/>
                <w:color w:val="101828"/>
                <w:sz w:val="14"/>
              </w:rPr>
              <w:t xml:space="preserve"> and above.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Founder names are headings, so they appear in a heading navigation list. No photograph carries a name: initials and a name, so the name is in the text layer regardless of image loading.</w:t>
            </w:r>
          </w:p>
        </w:tc>
      </w:tr>
    </w:tbl>
    <w:p>
      <w:pPr>
        <w:spacing w:after="80"/>
      </w:pPr>
    </w:p>
    <w:p>
      <w:pPr>
        <w:pStyle w:val="Heading3"/>
      </w:pPr>
      <w:r>
        <w:rPr>
          <w:rFonts w:ascii="Calibri" w:hAnsi="Calibri"/>
          <w:b/>
          <w:i w:val="0"/>
          <w:color w:val="0B1F3A"/>
          <w:sz w:val="24"/>
        </w:rPr>
        <w:t>4.4.7 FAQ — SCR-WEB-07</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Answer the ranked objections that stop a signup, in the order they are asked, with the money questions above the reassurance questions.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reader who has read the fee page and is now looking for the thing that would go wrong. At this stage they are not browsing; they are looking for a reason not to proceed, and the honest answer to each is what converts them.</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Reading column. One </w:t>
            </w:r>
            <w:r>
              <w:rPr>
                <w:rFonts w:ascii="Consolas" w:hAnsi="Consolas"/>
                <w:color w:val="146EF5"/>
                <w:sz w:val="14"/>
              </w:rPr>
              <w:t>h2</w:t>
            </w:r>
            <w:r>
              <w:rPr>
                <w:rFonts w:ascii="Calibri" w:hAnsi="Calibri"/>
                <w:b w:val="0"/>
                <w:i w:val="0"/>
                <w:color w:val="101828"/>
                <w:sz w:val="14"/>
              </w:rPr>
              <w:t xml:space="preserve"> per question with the answer immediately beneath. No accordion: an accordion hides the answer from search, from a screen reader's linear read, and from a member checking whether the product will hold their money.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ProseSection</w:t>
            </w:r>
            <w:r>
              <w:rPr>
                <w:rFonts w:ascii="Calibri" w:hAnsi="Calibri"/>
                <w:b w:val="0"/>
                <w:i w:val="0"/>
                <w:color w:val="101828"/>
                <w:sz w:val="14"/>
              </w:rPr>
              <w:t xml:space="preserve">, </w:t>
            </w:r>
            <w:r>
              <w:rPr>
                <w:rFonts w:ascii="Consolas" w:hAnsi="Consolas"/>
                <w:color w:val="146EF5"/>
                <w:sz w:val="14"/>
              </w:rPr>
              <w:t>Table</w:t>
            </w:r>
            <w:r>
              <w:rPr>
                <w:rFonts w:ascii="Calibri" w:hAnsi="Calibri"/>
                <w:b w:val="0"/>
                <w:i w:val="0"/>
                <w:color w:val="101828"/>
                <w:sz w:val="14"/>
              </w:rPr>
              <w:t xml:space="preserve"> (where a question needs figures), </w:t>
            </w:r>
            <w:r>
              <w:rPr>
                <w:rFonts w:ascii="Consolas" w:hAnsi="Consolas"/>
                <w:color w:val="146EF5"/>
                <w:sz w:val="14"/>
              </w:rPr>
              <w:t>Button</w:t>
            </w:r>
            <w:r>
              <w:rPr>
                <w:rFonts w:ascii="Calibri" w:hAnsi="Calibri"/>
                <w:b w:val="0"/>
                <w:i w:val="0"/>
                <w:color w:val="101828"/>
                <w:sz w:val="14"/>
              </w:rPr>
              <w:t xml:space="preserve"> (primary), </w:t>
            </w:r>
            <w:r>
              <w:rPr>
                <w:rFonts w:ascii="Consolas" w:hAnsi="Consolas"/>
                <w:color w:val="146EF5"/>
                <w:sz w:val="14"/>
              </w:rPr>
              <w:t>Footer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Same top nav. An in-page index of the questions sits below the H1 at </w:t>
            </w:r>
            <w:r>
              <w:rPr>
                <w:rFonts w:ascii="Consolas" w:hAnsi="Consolas"/>
                <w:color w:val="146EF5"/>
                <w:sz w:val="14"/>
              </w:rPr>
              <w:t>md</w:t>
            </w:r>
            <w:r>
              <w:rPr>
                <w:rFonts w:ascii="Calibri" w:hAnsi="Calibri"/>
                <w:b w:val="0"/>
                <w:i w:val="0"/>
                <w:color w:val="101828"/>
                <w:sz w:val="14"/>
              </w:rPr>
              <w:t xml:space="preserve"> and above, and is removed below that, where eight headings make the index redundant.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Create free account</w:t>
            </w:r>
            <w:r>
              <w:rPr>
                <w:rFonts w:ascii="Calibri" w:hAnsi="Calibri"/>
                <w:b w:val="0"/>
                <w:i w:val="0"/>
                <w:color w:val="101828"/>
                <w:sz w:val="14"/>
              </w:rPr>
              <w:t>, in the closing band.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Contact us</w:t>
            </w:r>
            <w:r>
              <w:rPr>
                <w:rFonts w:ascii="Calibri" w:hAnsi="Calibri"/>
                <w:b w:val="0"/>
                <w:i w:val="0"/>
                <w:color w:val="101828"/>
                <w:sz w:val="14"/>
              </w:rPr>
              <w:t xml:space="preserve"> (tertiary link) in the closing band, which is the CTA for the reader who did not find their answer here.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Eight questions, ranked. 1, What exactly is the fee and what does it come to? (the three-line breakdown). 2, What happens if someone does not pay? (the default chain, plus </w:t>
            </w:r>
            <w:r>
              <w:rPr>
                <w:rFonts w:ascii="Calibri" w:hAnsi="Calibri"/>
                <w:i/>
                <w:color w:val="101828"/>
                <w:sz w:val="14"/>
              </w:rPr>
              <w:t>you are never charged extra</w:t>
            </w:r>
            <w:r>
              <w:rPr>
                <w:rFonts w:ascii="Calibri" w:hAnsi="Calibri"/>
                <w:b w:val="0"/>
                <w:i w:val="0"/>
                <w:color w:val="101828"/>
                <w:sz w:val="14"/>
              </w:rPr>
              <w:t xml:space="preserve"> and </w:t>
            </w:r>
            <w:r>
              <w:rPr>
                <w:rFonts w:ascii="Calibri" w:hAnsi="Calibri"/>
                <w:i/>
                <w:color w:val="101828"/>
                <w:sz w:val="14"/>
              </w:rPr>
              <w:t>they are not named in the Ajo</w:t>
            </w:r>
            <w:r>
              <w:rPr>
                <w:rFonts w:ascii="Calibri" w:hAnsi="Calibri"/>
                <w:b w:val="0"/>
                <w:i w:val="0"/>
                <w:color w:val="101828"/>
                <w:sz w:val="14"/>
              </w:rPr>
              <w:t xml:space="preserve">). 3, What if the Ajo does not fill in five days? (cancelled and refunded in full; whether the fee is returned is stated as open). 4, Can I leave an Ajo I have already joined? (before activation, yes; after activation, a replacement request, and the member stays liable until the replacement completes). 5, Does the organiser take the money? (no, with the role table's </w:t>
            </w:r>
            <w:r>
              <w:rPr>
                <w:rFonts w:ascii="Calibri" w:hAnsi="Calibri"/>
                <w:i/>
                <w:color w:val="101828"/>
                <w:sz w:val="14"/>
              </w:rPr>
              <w:t>cannot</w:t>
            </w:r>
            <w:r>
              <w:rPr>
                <w:rFonts w:ascii="Calibri" w:hAnsi="Calibri"/>
                <w:b w:val="0"/>
                <w:i w:val="0"/>
                <w:color w:val="101828"/>
                <w:sz w:val="14"/>
              </w:rPr>
              <w:t xml:space="preserve"> column quoted). 6, Can the organiser change the order once we start? (no; positions lock on activation). 7, Who can see my details? (roster and round state only). 8, Is my money insured or regulated? (</w:t>
            </w:r>
            <w:r>
              <w:rPr>
                <w:rFonts w:ascii="Calibri" w:hAnsi="Calibri"/>
                <w:b/>
                <w:color w:val="101828"/>
                <w:sz w:val="14"/>
              </w:rPr>
              <w:t>we do not know yet</w:t>
            </w:r>
            <w:r>
              <w:rPr>
                <w:rFonts w:ascii="Calibri" w:hAnsi="Calibri"/>
                <w:b w:val="0"/>
                <w:i w:val="0"/>
                <w:color w:val="101828"/>
                <w:sz w:val="14"/>
              </w:rPr>
              <w:t xml:space="preserve"> — the custody and partner questions are open, and are stated as open).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Page-level only.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Single column throughout. Questions 1 and 3 include a money table; both become stacked lists below 768, in row order.</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page emits </w:t>
            </w:r>
            <w:r>
              <w:rPr>
                <w:rFonts w:ascii="Consolas" w:hAnsi="Consolas"/>
                <w:color w:val="146EF5"/>
                <w:sz w:val="14"/>
              </w:rPr>
              <w:t>FAQPage</w:t>
            </w:r>
            <w:r>
              <w:rPr>
                <w:rFonts w:ascii="Calibri" w:hAnsi="Calibri"/>
                <w:b w:val="0"/>
                <w:i w:val="0"/>
                <w:color w:val="101828"/>
                <w:sz w:val="14"/>
              </w:rPr>
              <w:t xml:space="preserve"> structured data, generated from the same content the page renders rather than maintained separately, so the two cannot drift. Each question is an </w:t>
            </w:r>
            <w:r>
              <w:rPr>
                <w:rFonts w:ascii="Consolas" w:hAnsi="Consolas"/>
                <w:color w:val="146EF5"/>
                <w:sz w:val="14"/>
              </w:rPr>
              <w:t>h2</w:t>
            </w:r>
            <w:r>
              <w:rPr>
                <w:rFonts w:ascii="Calibri" w:hAnsi="Calibri"/>
                <w:b w:val="0"/>
                <w:i w:val="0"/>
                <w:color w:val="101828"/>
                <w:sz w:val="14"/>
              </w:rPr>
              <w:t xml:space="preserve"> and its answer follows in a section labelled by that heading, so a screen reader user can navigate by question.</w:t>
            </w:r>
          </w:p>
        </w:tc>
      </w:tr>
    </w:tbl>
    <w:p>
      <w:pPr>
        <w:spacing w:after="80"/>
      </w:pPr>
    </w:p>
    <w:p>
      <w:pPr>
        <w:pStyle w:val="Heading3"/>
      </w:pPr>
      <w:r>
        <w:rPr>
          <w:rFonts w:ascii="Calibri" w:hAnsi="Calibri"/>
          <w:b/>
          <w:i w:val="0"/>
          <w:color w:val="0B1F3A"/>
          <w:sz w:val="24"/>
        </w:rPr>
        <w:t>4.4.8 Contact — SCR-WEB-08</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Put a person within reach of a person, with a stated expectation of how quickly, and without a three-step funnel in front of the form.</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reader who did not find their answer, a member with a problem, and press. A reader who is already a customer is here to check whether support is real, and the visible response expectation is the answer.</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Two columns at </w:t>
            </w:r>
            <w:r>
              <w:rPr>
                <w:rFonts w:ascii="Consolas" w:hAnsi="Consolas"/>
                <w:color w:val="146EF5"/>
                <w:sz w:val="14"/>
              </w:rPr>
              <w:t>md</w:t>
            </w:r>
            <w:r>
              <w:rPr>
                <w:rFonts w:ascii="Calibri" w:hAnsi="Calibri"/>
                <w:b w:val="0"/>
                <w:i w:val="0"/>
                <w:color w:val="101828"/>
                <w:sz w:val="14"/>
              </w:rPr>
              <w:t xml:space="preserve"> and above: form on the left, direct channels and the press route on the right. Stacked below </w:t>
            </w:r>
            <w:r>
              <w:rPr>
                <w:rFonts w:ascii="Consolas" w:hAnsi="Consolas"/>
                <w:color w:val="146EF5"/>
                <w:sz w:val="14"/>
              </w:rPr>
              <w:t>md</w:t>
            </w:r>
            <w:r>
              <w:rPr>
                <w:rFonts w:ascii="Calibri" w:hAnsi="Calibri"/>
                <w:b w:val="0"/>
                <w:i w:val="0"/>
                <w:color w:val="101828"/>
                <w:sz w:val="14"/>
              </w:rPr>
              <w:t>, form first. The channels column is never below the form, because a reader who wants to skip the form must be able to.</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FormField</w:t>
            </w:r>
            <w:r>
              <w:rPr>
                <w:rFonts w:ascii="Calibri" w:hAnsi="Calibri"/>
                <w:b w:val="0"/>
                <w:i w:val="0"/>
                <w:color w:val="101828"/>
                <w:sz w:val="14"/>
              </w:rPr>
              <w:t xml:space="preserve"> (text, textarea, select, checkbox), </w:t>
            </w:r>
            <w:r>
              <w:rPr>
                <w:rFonts w:ascii="Consolas" w:hAnsi="Consolas"/>
                <w:color w:val="146EF5"/>
                <w:sz w:val="14"/>
              </w:rPr>
              <w:t>Button</w:t>
            </w:r>
            <w:r>
              <w:rPr>
                <w:rFonts w:ascii="Calibri" w:hAnsi="Calibri"/>
                <w:b w:val="0"/>
                <w:i w:val="0"/>
                <w:color w:val="101828"/>
                <w:sz w:val="14"/>
              </w:rPr>
              <w:t xml:space="preserve"> (primary), </w:t>
            </w:r>
            <w:r>
              <w:rPr>
                <w:rFonts w:ascii="Consolas" w:hAnsi="Consolas"/>
                <w:color w:val="146EF5"/>
                <w:sz w:val="14"/>
              </w:rPr>
              <w:t>Button</w:t>
            </w:r>
            <w:r>
              <w:rPr>
                <w:rFonts w:ascii="Calibri" w:hAnsi="Calibri"/>
                <w:b w:val="0"/>
                <w:i w:val="0"/>
                <w:color w:val="101828"/>
                <w:sz w:val="14"/>
              </w:rPr>
              <w:t xml:space="preserve"> (secondary), </w:t>
            </w:r>
            <w:r>
              <w:rPr>
                <w:rFonts w:ascii="Consolas" w:hAnsi="Consolas"/>
                <w:color w:val="146EF5"/>
                <w:sz w:val="14"/>
              </w:rPr>
              <w:t>Callout</w:t>
            </w:r>
            <w:r>
              <w:rPr>
                <w:rFonts w:ascii="Calibri" w:hAnsi="Calibri"/>
                <w:b w:val="0"/>
                <w:i w:val="0"/>
                <w:color w:val="101828"/>
                <w:sz w:val="14"/>
              </w:rPr>
              <w:t xml:space="preserve"> (NOTE, response expectation), </w:t>
            </w:r>
            <w:r>
              <w:rPr>
                <w:rFonts w:ascii="Consolas" w:hAnsi="Consolas"/>
                <w:color w:val="146EF5"/>
                <w:sz w:val="14"/>
              </w:rPr>
              <w:t>Footer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Same top nav.</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Send the message</w:t>
            </w:r>
            <w:r>
              <w:rPr>
                <w:rFonts w:ascii="Calibri" w:hAnsi="Calibri"/>
                <w:b w:val="0"/>
                <w:i w:val="0"/>
                <w:color w:val="101828"/>
                <w:sz w:val="14"/>
              </w:rPr>
              <w:t>. One filled button, below the form fields.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b w:val="0"/>
                <w:i w:val="0"/>
                <w:color w:val="101828"/>
                <w:sz w:val="14"/>
              </w:rPr>
              <w:t>A call link and an email link, rendered as links with the address visible, in the channels column.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form. Direct channels with a published response expectation. A separate press route. A note that support cannot move money or change a balance, and that a payment problem is faster through the in-app route — stated as information, not as a deflection.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See the field table below.</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See the validation table below.</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button enters its working state with its width locked and the form disabled. No spinner over the form, which would hide what the person typed.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form renders empty with its helper text. Not locked, not disabled.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Inline per field, per the validation table. A submit failure shows a danger banner above the form with a support reference and the typed content preserved.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form is replaced in place by a confirmation naming the reference and the response expectation, with a </w:t>
            </w:r>
            <w:r>
              <w:rPr>
                <w:rFonts w:ascii="Calibri" w:hAnsi="Calibri"/>
                <w:i/>
                <w:color w:val="101828"/>
                <w:sz w:val="14"/>
              </w:rPr>
              <w:t>Send another message</w:t>
            </w:r>
            <w:r>
              <w:rPr>
                <w:rFonts w:ascii="Calibri" w:hAnsi="Calibri"/>
                <w:b w:val="0"/>
                <w:i w:val="0"/>
                <w:color w:val="101828"/>
                <w:sz w:val="14"/>
              </w:rPr>
              <w:t xml:space="preserve"> secondary action. The banner does not auto-dismiss, because the reference is something the person may need.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Single column below </w:t>
            </w:r>
            <w:r>
              <w:rPr>
                <w:rFonts w:ascii="Consolas" w:hAnsi="Consolas"/>
                <w:color w:val="146EF5"/>
                <w:sz w:val="14"/>
              </w:rPr>
              <w:t>md</w:t>
            </w:r>
            <w:r>
              <w:rPr>
                <w:rFonts w:ascii="Calibri" w:hAnsi="Calibri"/>
                <w:b w:val="0"/>
                <w:i w:val="0"/>
                <w:color w:val="101828"/>
                <w:sz w:val="14"/>
              </w:rPr>
              <w:t>. Field label above control at every width; the textarea is six rows on desktop and grows to fill the remaining height on mobile with the keyboard open.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Every field has a bound label; the character count is announced politely, not assertively; the honeypot field is </w:t>
            </w:r>
            <w:r>
              <w:rPr>
                <w:rFonts w:ascii="Consolas" w:hAnsi="Consolas"/>
                <w:color w:val="146EF5"/>
                <w:sz w:val="14"/>
              </w:rPr>
              <w:t>aria-hidden</w:t>
            </w:r>
            <w:r>
              <w:rPr>
                <w:rFonts w:ascii="Calibri" w:hAnsi="Calibri"/>
                <w:b w:val="0"/>
                <w:i w:val="0"/>
                <w:color w:val="101828"/>
                <w:sz w:val="14"/>
              </w:rPr>
              <w:t xml:space="preserve"> and out of the tab order; the submit error banner receives focus.</w:t>
            </w:r>
          </w:p>
        </w:tc>
      </w:tr>
    </w:tbl>
    <w:p>
      <w:pPr>
        <w:spacing w:after="80"/>
      </w:pP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4"/>
              </w:rPr>
              <w:t>Field</w:t>
            </w:r>
          </w:p>
        </w:tc>
        <w:tc>
          <w:tcPr>
            <w:tcW w:type="dxa" w:w="1325"/>
            <w:shd w:val="clear" w:color="auto" w:fill="0B1F3A"/>
            <w:tcMar>
              <w:top w:w="60" w:type="dxa"/>
              <w:start w:w="110" w:type="dxa"/>
              <w:bottom w:w="60" w:type="dxa"/>
              <w:end w:w="110" w:type="dxa"/>
            </w:tcMar>
          </w:tcPr>
          <w:p>
            <w:pPr>
              <w:spacing w:after="0"/>
            </w:pPr>
            <w:r/>
            <w:r>
              <w:rPr>
                <w:rFonts w:ascii="Calibri" w:hAnsi="Calibri"/>
                <w:b/>
                <w:i w:val="0"/>
                <w:color w:val="FFFFFF"/>
                <w:sz w:val="14"/>
              </w:rPr>
              <w:t>Control</w:t>
            </w:r>
          </w:p>
        </w:tc>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4"/>
              </w:rPr>
              <w:t>Required</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4"/>
              </w:rPr>
              <w:t>Helper text</w:t>
            </w:r>
          </w:p>
        </w:tc>
        <w:tc>
          <w:tcPr>
            <w:tcW w:type="dxa" w:w="2707"/>
            <w:shd w:val="clear" w:color="auto" w:fill="0B1F3A"/>
            <w:tcMar>
              <w:top w:w="60" w:type="dxa"/>
              <w:start w:w="110" w:type="dxa"/>
              <w:bottom w:w="60" w:type="dxa"/>
              <w:end w:w="110" w:type="dxa"/>
            </w:tcMar>
          </w:tcPr>
          <w:p>
            <w:pPr>
              <w:spacing w:after="0"/>
            </w:pPr>
            <w:r/>
            <w:r>
              <w:rPr>
                <w:rFonts w:ascii="Calibri" w:hAnsi="Calibri"/>
                <w:b/>
                <w:i w:val="0"/>
                <w:color w:val="FFFFFF"/>
                <w:sz w:val="14"/>
              </w:rPr>
              <w:t>Format</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4"/>
              </w:rPr>
              <w:t>Name</w:t>
            </w:r>
          </w:p>
        </w:tc>
        <w:tc>
          <w:tcPr>
            <w:tcW w:type="dxa" w:w="1325"/>
            <w:tcMar>
              <w:top w:w="60" w:type="dxa"/>
              <w:start w:w="110" w:type="dxa"/>
              <w:bottom w:w="60" w:type="dxa"/>
              <w:end w:w="110" w:type="dxa"/>
            </w:tcMar>
          </w:tcPr>
          <w:p>
            <w:pPr>
              <w:spacing w:after="0"/>
            </w:pPr>
            <w:r/>
            <w:r>
              <w:rPr>
                <w:rFonts w:ascii="Calibri" w:hAnsi="Calibri"/>
                <w:b w:val="0"/>
                <w:i w:val="0"/>
                <w:color w:val="101828"/>
                <w:sz w:val="14"/>
              </w:rPr>
              <w:t>Input, text</w:t>
            </w:r>
          </w:p>
        </w:tc>
        <w:tc>
          <w:tcPr>
            <w:tcW w:type="dxa" w:w="720"/>
            <w:tcMar>
              <w:top w:w="60" w:type="dxa"/>
              <w:start w:w="110" w:type="dxa"/>
              <w:bottom w:w="60" w:type="dxa"/>
              <w:end w:w="110" w:type="dxa"/>
            </w:tcMar>
          </w:tcPr>
          <w:p>
            <w:pPr>
              <w:spacing w:after="0"/>
            </w:pPr>
            <w:r/>
            <w:r>
              <w:rPr>
                <w:rFonts w:ascii="Calibri" w:hAnsi="Calibri"/>
                <w:b w:val="0"/>
                <w:i w:val="0"/>
                <w:color w:val="101828"/>
                <w:sz w:val="14"/>
              </w:rPr>
              <w:t>Yes</w:t>
            </w:r>
          </w:p>
        </w:tc>
        <w:tc>
          <w:tcPr>
            <w:tcW w:type="dxa" w:w="2880"/>
            <w:tcMar>
              <w:top w:w="60" w:type="dxa"/>
              <w:start w:w="110" w:type="dxa"/>
              <w:bottom w:w="60" w:type="dxa"/>
              <w:end w:w="110" w:type="dxa"/>
            </w:tcMar>
          </w:tcPr>
          <w:p>
            <w:pPr>
              <w:spacing w:after="0"/>
            </w:pPr>
            <w:r/>
            <w:r>
              <w:rPr>
                <w:rFonts w:ascii="Calibri" w:hAnsi="Calibri"/>
                <w:b w:val="0"/>
                <w:i w:val="0"/>
                <w:color w:val="101828"/>
                <w:sz w:val="14"/>
              </w:rPr>
              <w:t>None</w:t>
            </w:r>
          </w:p>
        </w:tc>
        <w:tc>
          <w:tcPr>
            <w:tcW w:type="dxa" w:w="2707"/>
            <w:tcMar>
              <w:top w:w="60" w:type="dxa"/>
              <w:start w:w="110" w:type="dxa"/>
              <w:bottom w:w="60" w:type="dxa"/>
              <w:end w:w="110" w:type="dxa"/>
            </w:tcMar>
          </w:tcPr>
          <w:p>
            <w:pPr>
              <w:spacing w:after="0"/>
            </w:pPr>
            <w:r/>
            <w:r>
              <w:rPr>
                <w:rFonts w:ascii="Calibri" w:hAnsi="Calibri"/>
                <w:b w:val="0"/>
                <w:i w:val="0"/>
                <w:color w:val="101828"/>
                <w:sz w:val="14"/>
              </w:rPr>
              <w:t>2 to 60 characters</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Email</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Input, email</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Yes</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We reply here.</w:t>
            </w:r>
          </w:p>
        </w:tc>
        <w:tc>
          <w:tcPr>
            <w:tcW w:type="dxa" w:w="2707"/>
            <w:tcMar>
              <w:top w:w="60" w:type="dxa"/>
              <w:start w:w="110" w:type="dxa"/>
              <w:bottom w:w="60" w:type="dxa"/>
              <w:end w:w="110" w:type="dxa"/>
            </w:tcMar>
            <w:shd w:val="clear" w:color="auto" w:fill="F4F7FB"/>
          </w:tcPr>
          <w:p>
            <w:pPr>
              <w:spacing w:after="0"/>
            </w:pPr>
            <w:r/>
            <w:r>
              <w:rPr>
                <w:rFonts w:ascii="Calibri" w:hAnsi="Calibri"/>
                <w:b w:val="0"/>
                <w:i w:val="0"/>
                <w:color w:val="101828"/>
                <w:sz w:val="14"/>
              </w:rPr>
              <w:t>Well-formed address; plus-addressing preserved</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4"/>
              </w:rPr>
              <w:t>Your phone</w:t>
            </w:r>
          </w:p>
        </w:tc>
        <w:tc>
          <w:tcPr>
            <w:tcW w:type="dxa" w:w="1325"/>
            <w:tcMar>
              <w:top w:w="60" w:type="dxa"/>
              <w:start w:w="110" w:type="dxa"/>
              <w:bottom w:w="60" w:type="dxa"/>
              <w:end w:w="110" w:type="dxa"/>
            </w:tcMar>
          </w:tcPr>
          <w:p>
            <w:pPr>
              <w:spacing w:after="0"/>
            </w:pPr>
            <w:r/>
            <w:r>
              <w:rPr>
                <w:rFonts w:ascii="Calibri" w:hAnsi="Calibri"/>
                <w:b w:val="0"/>
                <w:i w:val="0"/>
                <w:color w:val="101828"/>
                <w:sz w:val="14"/>
              </w:rPr>
              <w:t>Input, tel</w:t>
            </w:r>
          </w:p>
        </w:tc>
        <w:tc>
          <w:tcPr>
            <w:tcW w:type="dxa" w:w="720"/>
            <w:tcMar>
              <w:top w:w="60" w:type="dxa"/>
              <w:start w:w="110" w:type="dxa"/>
              <w:bottom w:w="60" w:type="dxa"/>
              <w:end w:w="110" w:type="dxa"/>
            </w:tcMar>
          </w:tcPr>
          <w:p>
            <w:pPr>
              <w:spacing w:after="0"/>
            </w:pPr>
            <w:r/>
            <w:r>
              <w:rPr>
                <w:rFonts w:ascii="Calibri" w:hAnsi="Calibri"/>
                <w:b w:val="0"/>
                <w:i w:val="0"/>
                <w:color w:val="101828"/>
                <w:sz w:val="14"/>
              </w:rPr>
              <w:t>No</w:t>
            </w:r>
          </w:p>
        </w:tc>
        <w:tc>
          <w:tcPr>
            <w:tcW w:type="dxa" w:w="2880"/>
            <w:tcMar>
              <w:top w:w="60" w:type="dxa"/>
              <w:start w:w="110" w:type="dxa"/>
              <w:bottom w:w="60" w:type="dxa"/>
              <w:end w:w="110" w:type="dxa"/>
            </w:tcMar>
          </w:tcPr>
          <w:p>
            <w:pPr>
              <w:spacing w:after="0"/>
            </w:pPr>
            <w:r/>
            <w:r>
              <w:rPr>
                <w:rFonts w:ascii="Calibri" w:hAnsi="Calibri"/>
                <w:b w:val="0"/>
                <w:i w:val="0"/>
                <w:color w:val="101828"/>
                <w:sz w:val="14"/>
              </w:rPr>
              <w:t>Only if you would rather we called.</w:t>
            </w:r>
          </w:p>
        </w:tc>
        <w:tc>
          <w:tcPr>
            <w:tcW w:type="dxa" w:w="2707"/>
            <w:tcMar>
              <w:top w:w="60" w:type="dxa"/>
              <w:start w:w="110" w:type="dxa"/>
              <w:bottom w:w="60" w:type="dxa"/>
              <w:end w:w="110" w:type="dxa"/>
            </w:tcMar>
          </w:tcPr>
          <w:p>
            <w:pPr>
              <w:spacing w:after="0"/>
            </w:pPr>
            <w:r/>
            <w:r>
              <w:rPr>
                <w:rFonts w:ascii="Calibri" w:hAnsi="Calibri"/>
                <w:b w:val="0"/>
                <w:i w:val="0"/>
                <w:color w:val="101828"/>
                <w:sz w:val="14"/>
              </w:rPr>
              <w:t xml:space="preserve">Nigerian format, 11 digits, </w:t>
            </w:r>
            <w:r>
              <w:rPr>
                <w:rFonts w:ascii="Consolas" w:hAnsi="Consolas"/>
                <w:color w:val="146EF5"/>
                <w:sz w:val="14"/>
              </w:rPr>
              <w:t>080…</w:t>
            </w:r>
            <w:r>
              <w:rPr>
                <w:rFonts w:ascii="Calibri" w:hAnsi="Calibri"/>
                <w:b w:val="0"/>
                <w:i w:val="0"/>
                <w:color w:val="101828"/>
                <w:sz w:val="14"/>
              </w:rPr>
              <w:t xml:space="preserve"> to </w:t>
            </w:r>
            <w:r>
              <w:rPr>
                <w:rFonts w:ascii="Consolas" w:hAnsi="Consolas"/>
                <w:color w:val="146EF5"/>
                <w:sz w:val="14"/>
              </w:rPr>
              <w:t>080…</w:t>
            </w:r>
            <w:r>
              <w:rPr>
                <w:rFonts w:ascii="Calibri" w:hAnsi="Calibri"/>
                <w:b w:val="0"/>
                <w:i w:val="0"/>
                <w:color w:val="101828"/>
                <w:sz w:val="14"/>
              </w:rPr>
              <w:t xml:space="preserve"> or </w:t>
            </w:r>
            <w:r>
              <w:rPr>
                <w:rFonts w:ascii="Consolas" w:hAnsi="Consolas"/>
                <w:color w:val="146EF5"/>
                <w:sz w:val="14"/>
              </w:rPr>
              <w:t>+234…</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What is this about?</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Select</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Yes</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None</w:t>
            </w:r>
          </w:p>
        </w:tc>
        <w:tc>
          <w:tcPr>
            <w:tcW w:type="dxa" w:w="2707"/>
            <w:tcMar>
              <w:top w:w="60" w:type="dxa"/>
              <w:start w:w="110" w:type="dxa"/>
              <w:bottom w:w="60" w:type="dxa"/>
              <w:end w:w="110" w:type="dxa"/>
            </w:tcMar>
            <w:shd w:val="clear" w:color="auto" w:fill="F4F7FB"/>
          </w:tcPr>
          <w:p>
            <w:pPr>
              <w:spacing w:after="0"/>
            </w:pPr>
            <w:r/>
            <w:r>
              <w:rPr>
                <w:rFonts w:ascii="Calibri" w:hAnsi="Calibri"/>
                <w:b w:val="0"/>
                <w:i w:val="0"/>
                <w:color w:val="101828"/>
                <w:sz w:val="14"/>
              </w:rPr>
              <w:t>Account, joining an Ajo, a payment, a payout, a dispute, press, something else</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4"/>
              </w:rPr>
              <w:t>Message</w:t>
            </w:r>
          </w:p>
        </w:tc>
        <w:tc>
          <w:tcPr>
            <w:tcW w:type="dxa" w:w="1325"/>
            <w:tcMar>
              <w:top w:w="60" w:type="dxa"/>
              <w:start w:w="110" w:type="dxa"/>
              <w:bottom w:w="60" w:type="dxa"/>
              <w:end w:w="110" w:type="dxa"/>
            </w:tcMar>
          </w:tcPr>
          <w:p>
            <w:pPr>
              <w:spacing w:after="0"/>
            </w:pPr>
            <w:r/>
            <w:r>
              <w:rPr>
                <w:rFonts w:ascii="Calibri" w:hAnsi="Calibri"/>
                <w:b w:val="0"/>
                <w:i w:val="0"/>
                <w:color w:val="101828"/>
                <w:sz w:val="14"/>
              </w:rPr>
              <w:t>Textarea</w:t>
            </w:r>
          </w:p>
        </w:tc>
        <w:tc>
          <w:tcPr>
            <w:tcW w:type="dxa" w:w="720"/>
            <w:tcMar>
              <w:top w:w="60" w:type="dxa"/>
              <w:start w:w="110" w:type="dxa"/>
              <w:bottom w:w="60" w:type="dxa"/>
              <w:end w:w="110" w:type="dxa"/>
            </w:tcMar>
          </w:tcPr>
          <w:p>
            <w:pPr>
              <w:spacing w:after="0"/>
            </w:pPr>
            <w:r/>
            <w:r>
              <w:rPr>
                <w:rFonts w:ascii="Calibri" w:hAnsi="Calibri"/>
                <w:b w:val="0"/>
                <w:i w:val="0"/>
                <w:color w:val="101828"/>
                <w:sz w:val="14"/>
              </w:rPr>
              <w:t>Yes</w:t>
            </w:r>
          </w:p>
        </w:tc>
        <w:tc>
          <w:tcPr>
            <w:tcW w:type="dxa" w:w="2880"/>
            <w:tcMar>
              <w:top w:w="60" w:type="dxa"/>
              <w:start w:w="110" w:type="dxa"/>
              <w:bottom w:w="60" w:type="dxa"/>
              <w:end w:w="110" w:type="dxa"/>
            </w:tcMar>
          </w:tcPr>
          <w:p>
            <w:pPr>
              <w:spacing w:after="0"/>
            </w:pPr>
            <w:r/>
            <w:r>
              <w:rPr>
                <w:rFonts w:ascii="Calibri" w:hAnsi="Calibri"/>
                <w:b w:val="0"/>
                <w:i w:val="0"/>
                <w:color w:val="101828"/>
                <w:sz w:val="14"/>
              </w:rPr>
              <w:t>Please do not send your BVN, your PIN, or a screenshot of a bank app.</w:t>
            </w:r>
          </w:p>
        </w:tc>
        <w:tc>
          <w:tcPr>
            <w:tcW w:type="dxa" w:w="2707"/>
            <w:tcMar>
              <w:top w:w="60" w:type="dxa"/>
              <w:start w:w="110" w:type="dxa"/>
              <w:bottom w:w="60" w:type="dxa"/>
              <w:end w:w="110" w:type="dxa"/>
            </w:tcMar>
          </w:tcPr>
          <w:p>
            <w:pPr>
              <w:spacing w:after="0"/>
            </w:pPr>
            <w:r/>
            <w:r>
              <w:rPr>
                <w:rFonts w:ascii="Calibri" w:hAnsi="Calibri"/>
                <w:b w:val="0"/>
                <w:i w:val="0"/>
                <w:color w:val="101828"/>
                <w:sz w:val="14"/>
              </w:rPr>
              <w:t>20 to 2,000 characters, live count from 1,800</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I agree to be contacted about this message</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Checkbox</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Yes</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Required to send. About this message only.</w:t>
            </w:r>
          </w:p>
        </w:tc>
        <w:tc>
          <w:tcPr>
            <w:tcW w:type="dxa" w:w="2707"/>
            <w:tcMar>
              <w:top w:w="60" w:type="dxa"/>
              <w:start w:w="110" w:type="dxa"/>
              <w:bottom w:w="60" w:type="dxa"/>
              <w:end w:w="110" w:type="dxa"/>
            </w:tcMar>
            <w:shd w:val="clear" w:color="auto" w:fill="F4F7FB"/>
          </w:tcPr>
          <w:p>
            <w:pPr>
              <w:spacing w:after="0"/>
            </w:pPr>
            <w:r/>
            <w:r>
              <w:rPr>
                <w:rFonts w:ascii="Calibri" w:hAnsi="Calibri"/>
                <w:b w:val="0"/>
                <w:i w:val="0"/>
                <w:color w:val="101828"/>
                <w:sz w:val="14"/>
              </w:rPr>
              <w:t>Must be ticked</w:t>
            </w:r>
          </w:p>
        </w:tc>
      </w:tr>
    </w:tbl>
    <w:p>
      <w:pPr>
        <w:spacing w:after="80"/>
      </w:pP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Rule</w:t>
            </w:r>
          </w:p>
        </w:tc>
        <w:tc>
          <w:tcPr>
            <w:tcW w:type="dxa" w:w="1786"/>
            <w:shd w:val="clear" w:color="auto" w:fill="0B1F3A"/>
            <w:tcMar>
              <w:top w:w="60" w:type="dxa"/>
              <w:start w:w="110" w:type="dxa"/>
              <w:bottom w:w="60" w:type="dxa"/>
              <w:end w:w="110" w:type="dxa"/>
            </w:tcMar>
          </w:tcPr>
          <w:p>
            <w:pPr>
              <w:spacing w:after="0"/>
            </w:pPr>
            <w:r/>
            <w:r>
              <w:rPr>
                <w:rFonts w:ascii="Calibri" w:hAnsi="Calibri"/>
                <w:b/>
                <w:i w:val="0"/>
                <w:color w:val="FFFFFF"/>
                <w:sz w:val="14"/>
              </w:rPr>
              <w:t>When it fires</w:t>
            </w:r>
          </w:p>
        </w:tc>
        <w:tc>
          <w:tcPr>
            <w:tcW w:type="dxa" w:w="3686"/>
            <w:shd w:val="clear" w:color="auto" w:fill="0B1F3A"/>
            <w:tcMar>
              <w:top w:w="60" w:type="dxa"/>
              <w:start w:w="110" w:type="dxa"/>
              <w:bottom w:w="60" w:type="dxa"/>
              <w:end w:w="110" w:type="dxa"/>
            </w:tcMar>
          </w:tcPr>
          <w:p>
            <w:pPr>
              <w:spacing w:after="0"/>
            </w:pPr>
            <w:r/>
            <w:r>
              <w:rPr>
                <w:rFonts w:ascii="Calibri" w:hAnsi="Calibri"/>
                <w:b/>
                <w:i w:val="0"/>
                <w:color w:val="FFFFFF"/>
                <w:sz w:val="14"/>
              </w:rPr>
              <w:t>Message</w:t>
            </w:r>
          </w:p>
        </w:tc>
        <w:tc>
          <w:tcPr>
            <w:tcW w:type="dxa" w:w="2362"/>
            <w:shd w:val="clear" w:color="auto" w:fill="0B1F3A"/>
            <w:tcMar>
              <w:top w:w="60" w:type="dxa"/>
              <w:start w:w="110" w:type="dxa"/>
              <w:bottom w:w="60" w:type="dxa"/>
              <w:end w:w="110" w:type="dxa"/>
            </w:tcMar>
          </w:tcPr>
          <w:p>
            <w:pPr>
              <w:spacing w:after="0"/>
            </w:pPr>
            <w:r/>
            <w:r>
              <w:rPr>
                <w:rFonts w:ascii="Calibri" w:hAnsi="Calibri"/>
                <w:b/>
                <w:i w:val="0"/>
                <w:color w:val="FFFFFF"/>
                <w:sz w:val="14"/>
              </w:rPr>
              <w:t>Behaviour</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Name length</w:t>
            </w:r>
          </w:p>
        </w:tc>
        <w:tc>
          <w:tcPr>
            <w:tcW w:type="dxa" w:w="1786"/>
            <w:tcMar>
              <w:top w:w="60" w:type="dxa"/>
              <w:start w:w="110" w:type="dxa"/>
              <w:bottom w:w="60" w:type="dxa"/>
              <w:end w:w="110" w:type="dxa"/>
            </w:tcMar>
          </w:tcPr>
          <w:p>
            <w:pPr>
              <w:spacing w:after="0"/>
            </w:pPr>
            <w:r/>
            <w:r>
              <w:rPr>
                <w:rFonts w:ascii="Calibri" w:hAnsi="Calibri"/>
                <w:b w:val="0"/>
                <w:i w:val="0"/>
                <w:color w:val="101828"/>
                <w:sz w:val="14"/>
              </w:rPr>
              <w:t>Blur and submit</w:t>
            </w:r>
          </w:p>
        </w:tc>
        <w:tc>
          <w:tcPr>
            <w:tcW w:type="dxa" w:w="3686"/>
            <w:tcMar>
              <w:top w:w="60" w:type="dxa"/>
              <w:start w:w="110" w:type="dxa"/>
              <w:bottom w:w="60" w:type="dxa"/>
              <w:end w:w="110" w:type="dxa"/>
            </w:tcMar>
          </w:tcPr>
          <w:p>
            <w:pPr>
              <w:spacing w:after="0"/>
            </w:pPr>
            <w:r/>
            <w:r>
              <w:rPr>
                <w:rFonts w:ascii="Calibri" w:hAnsi="Calibri"/>
                <w:b w:val="0"/>
                <w:i w:val="0"/>
                <w:color w:val="101828"/>
                <w:sz w:val="14"/>
              </w:rPr>
              <w:t>Enter your name, 2 to 60 characters.</w:t>
            </w:r>
          </w:p>
        </w:tc>
        <w:tc>
          <w:tcPr>
            <w:tcW w:type="dxa" w:w="2362"/>
            <w:tcMar>
              <w:top w:w="60" w:type="dxa"/>
              <w:start w:w="110" w:type="dxa"/>
              <w:bottom w:w="60" w:type="dxa"/>
              <w:end w:w="110" w:type="dxa"/>
            </w:tcMar>
          </w:tcPr>
          <w:p>
            <w:pPr>
              <w:spacing w:after="0"/>
            </w:pPr>
            <w:r/>
            <w:r>
              <w:rPr>
                <w:rFonts w:ascii="Calibri" w:hAnsi="Calibri"/>
                <w:b w:val="0"/>
                <w:i w:val="0"/>
                <w:color w:val="101828"/>
                <w:sz w:val="14"/>
              </w:rPr>
              <w:t>Field keeps its content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Email shape</w:t>
            </w:r>
          </w:p>
        </w:tc>
        <w:tc>
          <w:tcPr>
            <w:tcW w:type="dxa" w:w="1786"/>
            <w:tcMar>
              <w:top w:w="60" w:type="dxa"/>
              <w:start w:w="110" w:type="dxa"/>
              <w:bottom w:w="60" w:type="dxa"/>
              <w:end w:w="110" w:type="dxa"/>
            </w:tcMar>
            <w:shd w:val="clear" w:color="auto" w:fill="F4F7FB"/>
          </w:tcPr>
          <w:p>
            <w:pPr>
              <w:spacing w:after="0"/>
            </w:pPr>
            <w:r/>
            <w:r>
              <w:rPr>
                <w:rFonts w:ascii="Calibri" w:hAnsi="Calibri"/>
                <w:b w:val="0"/>
                <w:i w:val="0"/>
                <w:color w:val="101828"/>
                <w:sz w:val="14"/>
              </w:rPr>
              <w:t>Blur</w:t>
            </w:r>
          </w:p>
        </w:tc>
        <w:tc>
          <w:tcPr>
            <w:tcW w:type="dxa" w:w="3686"/>
            <w:tcMar>
              <w:top w:w="60" w:type="dxa"/>
              <w:start w:w="110" w:type="dxa"/>
              <w:bottom w:w="60" w:type="dxa"/>
              <w:end w:w="110" w:type="dxa"/>
            </w:tcMar>
            <w:shd w:val="clear" w:color="auto" w:fill="F4F7FB"/>
          </w:tcPr>
          <w:p>
            <w:pPr>
              <w:spacing w:after="0"/>
            </w:pPr>
            <w:r/>
            <w:r>
              <w:rPr>
                <w:rFonts w:ascii="Calibri" w:hAnsi="Calibri"/>
                <w:b w:val="0"/>
                <w:i w:val="0"/>
                <w:color w:val="101828"/>
                <w:sz w:val="14"/>
              </w:rPr>
              <w:t>Enter an email address we can reply to, like name@example.com.</w:t>
            </w:r>
          </w:p>
        </w:tc>
        <w:tc>
          <w:tcPr>
            <w:tcW w:type="dxa" w:w="2362"/>
            <w:tcMar>
              <w:top w:w="60" w:type="dxa"/>
              <w:start w:w="110" w:type="dxa"/>
              <w:bottom w:w="60" w:type="dxa"/>
              <w:end w:w="110" w:type="dxa"/>
            </w:tcMar>
            <w:shd w:val="clear" w:color="auto" w:fill="F4F7FB"/>
          </w:tcPr>
          <w:p>
            <w:pPr>
              <w:spacing w:after="0"/>
            </w:pPr>
            <w:r/>
            <w:r>
              <w:rPr>
                <w:rFonts w:ascii="Calibri" w:hAnsi="Calibri"/>
                <w:b w:val="0"/>
                <w:i w:val="0"/>
                <w:color w:val="101828"/>
                <w:sz w:val="14"/>
              </w:rPr>
              <w:t>Field keeps its content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Phone shape</w:t>
            </w:r>
          </w:p>
        </w:tc>
        <w:tc>
          <w:tcPr>
            <w:tcW w:type="dxa" w:w="1786"/>
            <w:tcMar>
              <w:top w:w="60" w:type="dxa"/>
              <w:start w:w="110" w:type="dxa"/>
              <w:bottom w:w="60" w:type="dxa"/>
              <w:end w:w="110" w:type="dxa"/>
            </w:tcMar>
          </w:tcPr>
          <w:p>
            <w:pPr>
              <w:spacing w:after="0"/>
            </w:pPr>
            <w:r/>
            <w:r>
              <w:rPr>
                <w:rFonts w:ascii="Calibri" w:hAnsi="Calibri"/>
                <w:b w:val="0"/>
                <w:i w:val="0"/>
                <w:color w:val="101828"/>
                <w:sz w:val="14"/>
              </w:rPr>
              <w:t>Blur, only if entered</w:t>
            </w:r>
          </w:p>
        </w:tc>
        <w:tc>
          <w:tcPr>
            <w:tcW w:type="dxa" w:w="3686"/>
            <w:tcMar>
              <w:top w:w="60" w:type="dxa"/>
              <w:start w:w="110" w:type="dxa"/>
              <w:bottom w:w="60" w:type="dxa"/>
              <w:end w:w="110" w:type="dxa"/>
            </w:tcMar>
          </w:tcPr>
          <w:p>
            <w:pPr>
              <w:spacing w:after="0"/>
            </w:pPr>
            <w:r/>
            <w:r>
              <w:rPr>
                <w:rFonts w:ascii="Calibri" w:hAnsi="Calibri"/>
                <w:b w:val="0"/>
                <w:i w:val="0"/>
                <w:color w:val="101828"/>
                <w:sz w:val="14"/>
              </w:rPr>
              <w:t>Enter a Nigerian phone number, like 08012345678.</w:t>
            </w:r>
          </w:p>
        </w:tc>
        <w:tc>
          <w:tcPr>
            <w:tcW w:type="dxa" w:w="2362"/>
            <w:tcMar>
              <w:top w:w="60" w:type="dxa"/>
              <w:start w:w="110" w:type="dxa"/>
              <w:bottom w:w="60" w:type="dxa"/>
              <w:end w:w="110" w:type="dxa"/>
            </w:tcMar>
          </w:tcPr>
          <w:p>
            <w:pPr>
              <w:spacing w:after="0"/>
            </w:pPr>
            <w:r/>
            <w:r>
              <w:rPr>
                <w:rFonts w:ascii="Calibri" w:hAnsi="Calibri"/>
                <w:b w:val="0"/>
                <w:i w:val="0"/>
                <w:color w:val="101828"/>
                <w:sz w:val="14"/>
              </w:rPr>
              <w:t>Field keeps its content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Topic required</w:t>
            </w:r>
          </w:p>
        </w:tc>
        <w:tc>
          <w:tcPr>
            <w:tcW w:type="dxa" w:w="1786"/>
            <w:tcMar>
              <w:top w:w="60" w:type="dxa"/>
              <w:start w:w="110" w:type="dxa"/>
              <w:bottom w:w="60" w:type="dxa"/>
              <w:end w:w="110" w:type="dxa"/>
            </w:tcMar>
            <w:shd w:val="clear" w:color="auto" w:fill="F4F7FB"/>
          </w:tcPr>
          <w:p>
            <w:pPr>
              <w:spacing w:after="0"/>
            </w:pPr>
            <w:r/>
            <w:r>
              <w:rPr>
                <w:rFonts w:ascii="Calibri" w:hAnsi="Calibri"/>
                <w:b w:val="0"/>
                <w:i w:val="0"/>
                <w:color w:val="101828"/>
                <w:sz w:val="14"/>
              </w:rPr>
              <w:t>Submit</w:t>
            </w:r>
          </w:p>
        </w:tc>
        <w:tc>
          <w:tcPr>
            <w:tcW w:type="dxa" w:w="3686"/>
            <w:tcMar>
              <w:top w:w="60" w:type="dxa"/>
              <w:start w:w="110" w:type="dxa"/>
              <w:bottom w:w="60" w:type="dxa"/>
              <w:end w:w="110" w:type="dxa"/>
            </w:tcMar>
            <w:shd w:val="clear" w:color="auto" w:fill="F4F7FB"/>
          </w:tcPr>
          <w:p>
            <w:pPr>
              <w:spacing w:after="0"/>
            </w:pPr>
            <w:r/>
            <w:r>
              <w:rPr>
                <w:rFonts w:ascii="Calibri" w:hAnsi="Calibri"/>
                <w:b w:val="0"/>
                <w:i w:val="0"/>
                <w:color w:val="101828"/>
                <w:sz w:val="14"/>
              </w:rPr>
              <w:t>Choose what this is about.</w:t>
            </w:r>
          </w:p>
        </w:tc>
        <w:tc>
          <w:tcPr>
            <w:tcW w:type="dxa" w:w="2362"/>
            <w:tcMar>
              <w:top w:w="60" w:type="dxa"/>
              <w:start w:w="110" w:type="dxa"/>
              <w:bottom w:w="60" w:type="dxa"/>
              <w:end w:w="110" w:type="dxa"/>
            </w:tcMar>
            <w:shd w:val="clear" w:color="auto" w:fill="F4F7FB"/>
          </w:tcPr>
          <w:p>
            <w:pPr>
              <w:spacing w:after="0"/>
            </w:pPr>
            <w:r/>
            <w:r>
              <w:rPr>
                <w:rFonts w:ascii="Calibri" w:hAnsi="Calibri"/>
                <w:b w:val="0"/>
                <w:i w:val="0"/>
                <w:color w:val="101828"/>
                <w:sz w:val="14"/>
              </w:rPr>
              <w:t>Focus moves to the first invalid field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Message too short</w:t>
            </w:r>
          </w:p>
        </w:tc>
        <w:tc>
          <w:tcPr>
            <w:tcW w:type="dxa" w:w="1786"/>
            <w:tcMar>
              <w:top w:w="60" w:type="dxa"/>
              <w:start w:w="110" w:type="dxa"/>
              <w:bottom w:w="60" w:type="dxa"/>
              <w:end w:w="110" w:type="dxa"/>
            </w:tcMar>
          </w:tcPr>
          <w:p>
            <w:pPr>
              <w:spacing w:after="0"/>
            </w:pPr>
            <w:r/>
            <w:r>
              <w:rPr>
                <w:rFonts w:ascii="Calibri" w:hAnsi="Calibri"/>
                <w:b w:val="0"/>
                <w:i w:val="0"/>
                <w:color w:val="101828"/>
                <w:sz w:val="14"/>
              </w:rPr>
              <w:t>Blur</w:t>
            </w:r>
          </w:p>
        </w:tc>
        <w:tc>
          <w:tcPr>
            <w:tcW w:type="dxa" w:w="3686"/>
            <w:tcMar>
              <w:top w:w="60" w:type="dxa"/>
              <w:start w:w="110" w:type="dxa"/>
              <w:bottom w:w="60" w:type="dxa"/>
              <w:end w:w="110" w:type="dxa"/>
            </w:tcMar>
          </w:tcPr>
          <w:p>
            <w:pPr>
              <w:spacing w:after="0"/>
            </w:pPr>
            <w:r/>
            <w:r>
              <w:rPr>
                <w:rFonts w:ascii="Calibri" w:hAnsi="Calibri"/>
                <w:b w:val="0"/>
                <w:i w:val="0"/>
                <w:color w:val="101828"/>
                <w:sz w:val="14"/>
              </w:rPr>
              <w:t>Please write at least 20 characters so we can help.</w:t>
            </w:r>
          </w:p>
        </w:tc>
        <w:tc>
          <w:tcPr>
            <w:tcW w:type="dxa" w:w="2362"/>
            <w:tcMar>
              <w:top w:w="60" w:type="dxa"/>
              <w:start w:w="110" w:type="dxa"/>
              <w:bottom w:w="60" w:type="dxa"/>
              <w:end w:w="110" w:type="dxa"/>
            </w:tcMar>
          </w:tcPr>
          <w:p>
            <w:pPr>
              <w:spacing w:after="0"/>
            </w:pPr>
            <w:r/>
            <w:r>
              <w:rPr>
                <w:rFonts w:ascii="Calibri" w:hAnsi="Calibri"/>
                <w:b w:val="0"/>
                <w:i w:val="0"/>
                <w:color w:val="101828"/>
                <w:sz w:val="14"/>
              </w:rPr>
              <w:t>Field keeps its content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Message too long</w:t>
            </w:r>
          </w:p>
        </w:tc>
        <w:tc>
          <w:tcPr>
            <w:tcW w:type="dxa" w:w="1786"/>
            <w:tcMar>
              <w:top w:w="60" w:type="dxa"/>
              <w:start w:w="110" w:type="dxa"/>
              <w:bottom w:w="60" w:type="dxa"/>
              <w:end w:w="110" w:type="dxa"/>
            </w:tcMar>
            <w:shd w:val="clear" w:color="auto" w:fill="F4F7FB"/>
          </w:tcPr>
          <w:p>
            <w:pPr>
              <w:spacing w:after="0"/>
            </w:pPr>
            <w:r/>
            <w:r>
              <w:rPr>
                <w:rFonts w:ascii="Calibri" w:hAnsi="Calibri"/>
                <w:b w:val="0"/>
                <w:i w:val="0"/>
                <w:color w:val="101828"/>
                <w:sz w:val="14"/>
              </w:rPr>
              <w:t>Live, past 2,000</w:t>
            </w:r>
          </w:p>
        </w:tc>
        <w:tc>
          <w:tcPr>
            <w:tcW w:type="dxa" w:w="3686"/>
            <w:tcMar>
              <w:top w:w="60" w:type="dxa"/>
              <w:start w:w="110" w:type="dxa"/>
              <w:bottom w:w="60" w:type="dxa"/>
              <w:end w:w="110" w:type="dxa"/>
            </w:tcMar>
            <w:shd w:val="clear" w:color="auto" w:fill="F4F7FB"/>
          </w:tcPr>
          <w:p>
            <w:pPr>
              <w:spacing w:after="0"/>
            </w:pPr>
            <w:r/>
            <w:r>
              <w:rPr>
                <w:rFonts w:ascii="Calibri" w:hAnsi="Calibri"/>
                <w:b w:val="0"/>
                <w:i w:val="0"/>
                <w:color w:val="101828"/>
                <w:sz w:val="14"/>
              </w:rPr>
              <w:t>2,000 characters is the limit. Yours is 2,014.</w:t>
            </w:r>
          </w:p>
        </w:tc>
        <w:tc>
          <w:tcPr>
            <w:tcW w:type="dxa" w:w="2362"/>
            <w:tcMar>
              <w:top w:w="60" w:type="dxa"/>
              <w:start w:w="110" w:type="dxa"/>
              <w:bottom w:w="60" w:type="dxa"/>
              <w:end w:w="110" w:type="dxa"/>
            </w:tcMar>
            <w:shd w:val="clear" w:color="auto" w:fill="F4F7FB"/>
          </w:tcPr>
          <w:p>
            <w:pPr>
              <w:spacing w:after="0"/>
            </w:pPr>
            <w:r/>
            <w:r>
              <w:rPr>
                <w:rFonts w:ascii="Calibri" w:hAnsi="Calibri"/>
                <w:b w:val="0"/>
                <w:i w:val="0"/>
                <w:color w:val="101828"/>
                <w:sz w:val="14"/>
              </w:rPr>
              <w:t>Input is capped, not silently truncated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Consent unticked</w:t>
            </w:r>
          </w:p>
        </w:tc>
        <w:tc>
          <w:tcPr>
            <w:tcW w:type="dxa" w:w="1786"/>
            <w:tcMar>
              <w:top w:w="60" w:type="dxa"/>
              <w:start w:w="110" w:type="dxa"/>
              <w:bottom w:w="60" w:type="dxa"/>
              <w:end w:w="110" w:type="dxa"/>
            </w:tcMar>
          </w:tcPr>
          <w:p>
            <w:pPr>
              <w:spacing w:after="0"/>
            </w:pPr>
            <w:r/>
            <w:r>
              <w:rPr>
                <w:rFonts w:ascii="Calibri" w:hAnsi="Calibri"/>
                <w:b w:val="0"/>
                <w:i w:val="0"/>
                <w:color w:val="101828"/>
                <w:sz w:val="14"/>
              </w:rPr>
              <w:t>Submit</w:t>
            </w:r>
          </w:p>
        </w:tc>
        <w:tc>
          <w:tcPr>
            <w:tcW w:type="dxa" w:w="3686"/>
            <w:tcMar>
              <w:top w:w="60" w:type="dxa"/>
              <w:start w:w="110" w:type="dxa"/>
              <w:bottom w:w="60" w:type="dxa"/>
              <w:end w:w="110" w:type="dxa"/>
            </w:tcMar>
          </w:tcPr>
          <w:p>
            <w:pPr>
              <w:spacing w:after="0"/>
            </w:pPr>
            <w:r/>
            <w:r>
              <w:rPr>
                <w:rFonts w:ascii="Calibri" w:hAnsi="Calibri"/>
                <w:b w:val="0"/>
                <w:i w:val="0"/>
                <w:color w:val="101828"/>
                <w:sz w:val="14"/>
              </w:rPr>
              <w:t>Tick the box so we know we may reply.</w:t>
            </w:r>
          </w:p>
        </w:tc>
        <w:tc>
          <w:tcPr>
            <w:tcW w:type="dxa" w:w="2362"/>
            <w:tcMar>
              <w:top w:w="60" w:type="dxa"/>
              <w:start w:w="110" w:type="dxa"/>
              <w:bottom w:w="60" w:type="dxa"/>
              <w:end w:w="110" w:type="dxa"/>
            </w:tcMar>
          </w:tcPr>
          <w:p>
            <w:pPr>
              <w:spacing w:after="0"/>
            </w:pPr>
            <w:r/>
            <w:r>
              <w:rPr>
                <w:rFonts w:ascii="Calibri" w:hAnsi="Calibri"/>
                <w:b w:val="0"/>
                <w:i w:val="0"/>
                <w:color w:val="101828"/>
                <w:sz w:val="14"/>
              </w:rPr>
              <w:t>Focus moves to the checkbox</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Rate limited</w:t>
            </w:r>
          </w:p>
        </w:tc>
        <w:tc>
          <w:tcPr>
            <w:tcW w:type="dxa" w:w="1786"/>
            <w:tcMar>
              <w:top w:w="60" w:type="dxa"/>
              <w:start w:w="110" w:type="dxa"/>
              <w:bottom w:w="60" w:type="dxa"/>
              <w:end w:w="110" w:type="dxa"/>
            </w:tcMar>
            <w:shd w:val="clear" w:color="auto" w:fill="F4F7FB"/>
          </w:tcPr>
          <w:p>
            <w:pPr>
              <w:spacing w:after="0"/>
            </w:pPr>
            <w:r/>
            <w:r>
              <w:rPr>
                <w:rFonts w:ascii="Calibri" w:hAnsi="Calibri"/>
                <w:b w:val="0"/>
                <w:i w:val="0"/>
                <w:color w:val="101828"/>
                <w:sz w:val="14"/>
              </w:rPr>
              <w:t>Third attempt in 15 minutes</w:t>
            </w:r>
          </w:p>
        </w:tc>
        <w:tc>
          <w:tcPr>
            <w:tcW w:type="dxa" w:w="3686"/>
            <w:tcMar>
              <w:top w:w="60" w:type="dxa"/>
              <w:start w:w="110" w:type="dxa"/>
              <w:bottom w:w="60" w:type="dxa"/>
              <w:end w:w="110" w:type="dxa"/>
            </w:tcMar>
            <w:shd w:val="clear" w:color="auto" w:fill="F4F7FB"/>
          </w:tcPr>
          <w:p>
            <w:pPr>
              <w:spacing w:after="0"/>
            </w:pPr>
            <w:r/>
            <w:r>
              <w:rPr>
                <w:rFonts w:ascii="Calibri" w:hAnsi="Calibri"/>
                <w:b w:val="0"/>
                <w:i w:val="0"/>
                <w:color w:val="101828"/>
                <w:sz w:val="14"/>
              </w:rPr>
              <w:t>Too many messages from this connection. Try again in a few minutes, or email help@ajo.ng.</w:t>
            </w:r>
          </w:p>
        </w:tc>
        <w:tc>
          <w:tcPr>
            <w:tcW w:type="dxa" w:w="2362"/>
            <w:tcMar>
              <w:top w:w="60" w:type="dxa"/>
              <w:start w:w="110" w:type="dxa"/>
              <w:bottom w:w="60" w:type="dxa"/>
              <w:end w:w="110" w:type="dxa"/>
            </w:tcMar>
            <w:shd w:val="clear" w:color="auto" w:fill="F4F7FB"/>
          </w:tcPr>
          <w:p>
            <w:pPr>
              <w:spacing w:after="0"/>
            </w:pPr>
            <w:r/>
            <w:r>
              <w:rPr>
                <w:rFonts w:ascii="Calibri" w:hAnsi="Calibri"/>
                <w:b w:val="0"/>
                <w:i w:val="0"/>
                <w:color w:val="101828"/>
                <w:sz w:val="14"/>
              </w:rPr>
              <w:t>Field content preserved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Submission failed</w:t>
            </w:r>
          </w:p>
        </w:tc>
        <w:tc>
          <w:tcPr>
            <w:tcW w:type="dxa" w:w="1786"/>
            <w:tcMar>
              <w:top w:w="60" w:type="dxa"/>
              <w:start w:w="110" w:type="dxa"/>
              <w:bottom w:w="60" w:type="dxa"/>
              <w:end w:w="110" w:type="dxa"/>
            </w:tcMar>
          </w:tcPr>
          <w:p>
            <w:pPr>
              <w:spacing w:after="0"/>
            </w:pPr>
            <w:r/>
            <w:r>
              <w:rPr>
                <w:rFonts w:ascii="Calibri" w:hAnsi="Calibri"/>
                <w:b w:val="0"/>
                <w:i w:val="0"/>
                <w:color w:val="101828"/>
                <w:sz w:val="14"/>
              </w:rPr>
              <w:t>5xx or timeout</w:t>
            </w:r>
          </w:p>
        </w:tc>
        <w:tc>
          <w:tcPr>
            <w:tcW w:type="dxa" w:w="3686"/>
            <w:tcMar>
              <w:top w:w="60" w:type="dxa"/>
              <w:start w:w="110" w:type="dxa"/>
              <w:bottom w:w="60" w:type="dxa"/>
              <w:end w:w="110" w:type="dxa"/>
            </w:tcMar>
          </w:tcPr>
          <w:p>
            <w:pPr>
              <w:spacing w:after="0"/>
            </w:pPr>
            <w:r/>
            <w:r>
              <w:rPr>
                <w:rFonts w:ascii="Calibri" w:hAnsi="Calibri"/>
                <w:b w:val="0"/>
                <w:i w:val="0"/>
                <w:color w:val="101828"/>
                <w:sz w:val="14"/>
              </w:rPr>
              <w:t>We could not send that. Your message is still here. Try again, or email help@ajo.ng. Reference 7FQK2M.</w:t>
            </w:r>
          </w:p>
        </w:tc>
        <w:tc>
          <w:tcPr>
            <w:tcW w:type="dxa" w:w="2362"/>
            <w:tcMar>
              <w:top w:w="60" w:type="dxa"/>
              <w:start w:w="110" w:type="dxa"/>
              <w:bottom w:w="60" w:type="dxa"/>
              <w:end w:w="110" w:type="dxa"/>
            </w:tcMar>
          </w:tcPr>
          <w:p>
            <w:pPr>
              <w:spacing w:after="0"/>
            </w:pPr>
            <w:r/>
            <w:r>
              <w:rPr>
                <w:rFonts w:ascii="Calibri" w:hAnsi="Calibri"/>
                <w:b w:val="0"/>
                <w:i w:val="0"/>
                <w:color w:val="101828"/>
                <w:sz w:val="14"/>
              </w:rPr>
              <w:t>Field content preserved, banner receives focus</w:t>
            </w:r>
          </w:p>
        </w:tc>
      </w:tr>
    </w:tbl>
    <w:p>
      <w:pPr>
        <w:spacing w:after="80"/>
      </w:pPr>
    </w:p>
    <w:p>
      <w:pPr>
        <w:pStyle w:val="Heading3"/>
      </w:pPr>
      <w:r>
        <w:rPr>
          <w:rFonts w:ascii="Calibri" w:hAnsi="Calibri"/>
          <w:b/>
          <w:i w:val="0"/>
          <w:color w:val="0B1F3A"/>
          <w:sz w:val="24"/>
        </w:rPr>
        <w:t>4.4.9 Terms and Conditions — SCR-WEB-15</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Present the contract, and be the versioned artefact that acceptance is recorded against. The interface around it must never make it look shorter or simpler than it is.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Anyone registering, and any member revisiting. Read once at registration and never again, which is exactly why the interface does not rely on it.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Reading column, 68-character measure, numbered clauses, a table of contents at </w:t>
            </w:r>
            <w:r>
              <w:rPr>
                <w:rFonts w:ascii="Consolas" w:hAnsi="Consolas"/>
                <w:color w:val="146EF5"/>
                <w:sz w:val="14"/>
              </w:rPr>
              <w:t>lg</w:t>
            </w:r>
            <w:r>
              <w:rPr>
                <w:rFonts w:ascii="Calibri" w:hAnsi="Calibri"/>
                <w:b w:val="0"/>
                <w:i w:val="0"/>
                <w:color w:val="101828"/>
                <w:sz w:val="14"/>
              </w:rPr>
              <w:t xml:space="preserve"> and above. The version number and effective date are pinned at the top and repeated in the footer.</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ProseSection</w:t>
            </w:r>
            <w:r>
              <w:rPr>
                <w:rFonts w:ascii="Calibri" w:hAnsi="Calibri"/>
                <w:b w:val="0"/>
                <w:i w:val="0"/>
                <w:color w:val="101828"/>
                <w:sz w:val="14"/>
              </w:rPr>
              <w:t xml:space="preserve">, </w:t>
            </w:r>
            <w:r>
              <w:rPr>
                <w:rFonts w:ascii="Consolas" w:hAnsi="Consolas"/>
                <w:color w:val="146EF5"/>
                <w:sz w:val="14"/>
              </w:rPr>
              <w:t>Table</w:t>
            </w:r>
            <w:r>
              <w:rPr>
                <w:rFonts w:ascii="Calibri" w:hAnsi="Calibri"/>
                <w:b w:val="0"/>
                <w:i w:val="0"/>
                <w:color w:val="101828"/>
                <w:sz w:val="14"/>
              </w:rPr>
              <w:t xml:space="preserve"> (fee and refund terms), </w:t>
            </w:r>
            <w:r>
              <w:rPr>
                <w:rFonts w:ascii="Consolas" w:hAnsi="Consolas"/>
                <w:color w:val="146EF5"/>
                <w:sz w:val="14"/>
              </w:rPr>
              <w:t>Callout</w:t>
            </w:r>
            <w:r>
              <w:rPr>
                <w:rFonts w:ascii="Calibri" w:hAnsi="Calibri"/>
                <w:b w:val="0"/>
                <w:i w:val="0"/>
                <w:color w:val="101828"/>
                <w:sz w:val="14"/>
              </w:rPr>
              <w:t xml:space="preserve"> (LEGAL, review status), </w:t>
            </w:r>
            <w:r>
              <w:rPr>
                <w:rFonts w:ascii="Consolas" w:hAnsi="Consolas"/>
                <w:color w:val="146EF5"/>
                <w:sz w:val="14"/>
              </w:rPr>
              <w:t>Footer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Same top nav. Reachable from every tier, from the register screen, and from the More sheet in tier 2.</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Download the terms</w:t>
            </w:r>
            <w:r>
              <w:rPr>
                <w:rFonts w:ascii="Calibri" w:hAnsi="Calibri"/>
                <w:b w:val="0"/>
                <w:i w:val="0"/>
                <w:color w:val="101828"/>
                <w:sz w:val="14"/>
              </w:rPr>
              <w:t>, honestly a tertiary link — a legal document has no primary action of its own. The primary action of the register screen is what references it.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Read the privacy policy</w:t>
            </w:r>
            <w:r>
              <w:rPr>
                <w:rFonts w:ascii="Calibri" w:hAnsi="Calibri"/>
                <w:b w:val="0"/>
                <w:i w:val="0"/>
                <w:color w:val="101828"/>
                <w:sz w:val="14"/>
              </w:rPr>
              <w:t xml:space="preserve"> (tertiary link) in the footer.</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clauses, drafted by counsel. The clauses this product cannot yet write are the fee and tax language, the custody and licensing position, and the partner terms. Each is present as a clearly marked open item rather than omitted, and a version number and effective date are shown.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 on this page. Acceptance is captured on SCR-WEB-10 and stored as a timestamped version reference, not a boolean.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Page-level only.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Single column at every width. The contents list is removed below </w:t>
            </w:r>
            <w:r>
              <w:rPr>
                <w:rFonts w:ascii="Consolas" w:hAnsi="Consolas"/>
                <w:color w:val="146EF5"/>
                <w:sz w:val="14"/>
              </w:rPr>
              <w:t>lg</w:t>
            </w:r>
            <w:r>
              <w:rPr>
                <w:rFonts w:ascii="Calibri" w:hAnsi="Calibri"/>
                <w:b w:val="0"/>
                <w:i w:val="0"/>
                <w:color w:val="101828"/>
                <w:sz w:val="14"/>
              </w:rPr>
              <w:t xml:space="preserve"> and the clauses are numbered continuously, so nothing becomes unreachable.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legal document rendered as a wall of small text fails many people. Body size, 1.5 line height, capped measure, and a skip link past the contents to the clauses. Clause numbers are real text, not CSS counters, so they survive copy-paste and are read out.</w:t>
            </w:r>
          </w:p>
        </w:tc>
      </w:tr>
    </w:tbl>
    <w:p>
      <w:pPr>
        <w:spacing w:after="80"/>
      </w:pPr>
    </w:p>
    <w:p>
      <w:pPr>
        <w:pStyle w:val="Heading3"/>
      </w:pPr>
      <w:r>
        <w:rPr>
          <w:rFonts w:ascii="Calibri" w:hAnsi="Calibri"/>
          <w:b/>
          <w:i w:val="0"/>
          <w:color w:val="0B1F3A"/>
          <w:sz w:val="24"/>
        </w:rPr>
        <w:t>4.4.10 Privacy Policy — SCR-WEB-16</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State what is collected, why, how long it is kept and who can see it, in language a member can act on. It is the document behind the no-shame and member-visibility rules in 4.1.</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Anyone registering; a member checking what the platform holds about them; and, at some point, a regulator. The last reader is why it exists in a versioned form.</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Reading column, same template as the terms, so that the two read as one document set.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ProseSection</w:t>
            </w:r>
            <w:r>
              <w:rPr>
                <w:rFonts w:ascii="Calibri" w:hAnsi="Calibri"/>
                <w:b w:val="0"/>
                <w:i w:val="0"/>
                <w:color w:val="101828"/>
                <w:sz w:val="14"/>
              </w:rPr>
              <w:t xml:space="preserve">, </w:t>
            </w:r>
            <w:r>
              <w:rPr>
                <w:rFonts w:ascii="Consolas" w:hAnsi="Consolas"/>
                <w:color w:val="146EF5"/>
                <w:sz w:val="14"/>
              </w:rPr>
              <w:t>Table</w:t>
            </w:r>
            <w:r>
              <w:rPr>
                <w:rFonts w:ascii="Calibri" w:hAnsi="Calibri"/>
                <w:b w:val="0"/>
                <w:i w:val="0"/>
                <w:color w:val="101828"/>
                <w:sz w:val="14"/>
              </w:rPr>
              <w:t xml:space="preserve"> (data categories, purpose, retention), </w:t>
            </w:r>
            <w:r>
              <w:rPr>
                <w:rFonts w:ascii="Consolas" w:hAnsi="Consolas"/>
                <w:color w:val="146EF5"/>
                <w:sz w:val="14"/>
              </w:rPr>
              <w:t>Callout</w:t>
            </w:r>
            <w:r>
              <w:rPr>
                <w:rFonts w:ascii="Calibri" w:hAnsi="Calibri"/>
                <w:b w:val="0"/>
                <w:i w:val="0"/>
                <w:color w:val="101828"/>
                <w:sz w:val="14"/>
              </w:rPr>
              <w:t xml:space="preserve"> (LEGAL), </w:t>
            </w:r>
            <w:r>
              <w:rPr>
                <w:rFonts w:ascii="Consolas" w:hAnsi="Consolas"/>
                <w:color w:val="146EF5"/>
                <w:sz w:val="14"/>
              </w:rPr>
              <w:t>Footer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Same top nav. Reachable from the terms, the register screen and the More sheet.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None. A privacy policy has no primary action.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Read the terms</w:t>
            </w:r>
            <w:r>
              <w:rPr>
                <w:rFonts w:ascii="Calibri" w:hAnsi="Calibri"/>
                <w:b w:val="0"/>
                <w:i w:val="0"/>
                <w:color w:val="101828"/>
                <w:sz w:val="14"/>
              </w:rPr>
              <w:t xml:space="preserve"> (tertiary link) in the footer; a </w:t>
            </w:r>
            <w:r>
              <w:rPr>
                <w:rFonts w:ascii="Calibri" w:hAnsi="Calibri"/>
                <w:i/>
                <w:color w:val="101828"/>
                <w:sz w:val="14"/>
              </w:rPr>
              <w:t>Download</w:t>
            </w:r>
            <w:r>
              <w:rPr>
                <w:rFonts w:ascii="Calibri" w:hAnsi="Calibri"/>
                <w:b w:val="0"/>
                <w:i w:val="0"/>
                <w:color w:val="101828"/>
                <w:sz w:val="14"/>
              </w:rPr>
              <w:t xml:space="preserve"> link is present but is not styled as an action.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Data categories with purpose and retention: account and profile; contact channels; identity documents and verification checks; Ajo, position and membership; contributions, payments, payouts, ledger entries; notifications; support and dispute records; device and security events. The member-visibility rules are stated explicitly: members see the roster and round state of their Ajo, and never another member's bank details, identity documents, dispute or transaction. The data-rights mechanism is stated as a route, not as a slogan. </w:t>
            </w:r>
            <w:r>
              <w:rPr>
                <w:rFonts w:ascii="Calibri" w:hAnsi="Calibri"/>
                <w:b/>
                <w:color w:val="101828"/>
                <w:sz w:val="14"/>
              </w:rPr>
              <w:t>NDPA alignment requires review by qualified Nigerian counsel and is not claimed here.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Page-level only.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Single column throughout. The data-category table becomes a stacked list below 768, one category per block, with purpose and retention as labelled sub-lines.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data-category table has a caption and row headers. Retention periods are given as durations in text, never only as dates, so a member can act on them. Callout titles are in the accessible outline.</w:t>
            </w:r>
          </w:p>
        </w:tc>
      </w:tr>
    </w:tbl>
    <w:p>
      <w:pPr>
        <w:spacing w:after="80"/>
      </w:pPr>
    </w:p>
    <w:p>
      <w:pPr>
        <w:pStyle w:val="Heading3"/>
      </w:pPr>
      <w:r>
        <w:rPr>
          <w:rFonts w:ascii="Calibri" w:hAnsi="Calibri"/>
          <w:b/>
          <w:i w:val="0"/>
          <w:color w:val="0B1F3A"/>
          <w:sz w:val="24"/>
        </w:rPr>
        <w:t>4.4.11 Account status notice — SCR-WEB-17</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Tell a restricted member exactly what has happened to their account, what they can still do, and who to contact. It is reached by state, never by link, and it is never the entry to support chat.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whose account is frozen or under risk review, often frightened, often on a second device. This person is the most anxious user of the product and the one most likely to be treated badly by a generic error page.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Reading column, Deep header band, a plain statement, a three-row capability table, a contact block, and the reference. No illustration, no progress bar, no estimated resolution time that nobody has committed to.</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Callout</w:t>
            </w:r>
            <w:r>
              <w:rPr>
                <w:rFonts w:ascii="Calibri" w:hAnsi="Calibri"/>
                <w:b w:val="0"/>
                <w:i w:val="0"/>
                <w:color w:val="101828"/>
                <w:sz w:val="14"/>
              </w:rPr>
              <w:t xml:space="preserve"> (WARNING, the statement), </w:t>
            </w:r>
            <w:r>
              <w:rPr>
                <w:rFonts w:ascii="Consolas" w:hAnsi="Consolas"/>
                <w:color w:val="146EF5"/>
                <w:sz w:val="14"/>
              </w:rPr>
              <w:t>Table</w:t>
            </w:r>
            <w:r>
              <w:rPr>
                <w:rFonts w:ascii="Calibri" w:hAnsi="Calibri"/>
                <w:b w:val="0"/>
                <w:i w:val="0"/>
                <w:color w:val="101828"/>
                <w:sz w:val="14"/>
              </w:rPr>
              <w:t xml:space="preserve"> (what you can and cannot do), </w:t>
            </w:r>
            <w:r>
              <w:rPr>
                <w:rFonts w:ascii="Consolas" w:hAnsi="Consolas"/>
                <w:color w:val="146EF5"/>
                <w:sz w:val="14"/>
              </w:rPr>
              <w:t>Callout</w:t>
            </w:r>
            <w:r>
              <w:rPr>
                <w:rFonts w:ascii="Calibri" w:hAnsi="Calibri"/>
                <w:b w:val="0"/>
                <w:i w:val="0"/>
                <w:color w:val="101828"/>
                <w:sz w:val="14"/>
              </w:rPr>
              <w:t xml:space="preserve"> (NOTE, contact), </w:t>
            </w:r>
            <w:r>
              <w:rPr>
                <w:rFonts w:ascii="Consolas" w:hAnsi="Consolas"/>
                <w:color w:val="146EF5"/>
                <w:sz w:val="14"/>
              </w:rPr>
              <w:t>Footer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Reached by redirect from any tier-2 route when the account is restricted. </w:t>
            </w:r>
            <w:r>
              <w:rPr>
                <w:rFonts w:ascii="Consolas" w:hAnsi="Consolas"/>
                <w:color w:val="146EF5"/>
                <w:sz w:val="14"/>
              </w:rPr>
              <w:t>noindex</w:t>
            </w:r>
            <w:r>
              <w:rPr>
                <w:rFonts w:ascii="Calibri" w:hAnsi="Calibri"/>
                <w:b w:val="0"/>
                <w:i w:val="0"/>
                <w:color w:val="101828"/>
                <w:sz w:val="14"/>
              </w:rPr>
              <w:t xml:space="preserve">, </w:t>
            </w:r>
            <w:r>
              <w:rPr>
                <w:rFonts w:ascii="Consolas" w:hAnsi="Consolas"/>
                <w:color w:val="146EF5"/>
                <w:sz w:val="14"/>
              </w:rPr>
              <w:t>no-store</w:t>
            </w:r>
            <w:r>
              <w:rPr>
                <w:rFonts w:ascii="Calibri" w:hAnsi="Calibri"/>
                <w:b w:val="0"/>
                <w:i w:val="0"/>
                <w:color w:val="101828"/>
                <w:sz w:val="14"/>
              </w:rPr>
              <w:t>, and never linked from any navigation, footer or menu.</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Contact support</w:t>
            </w:r>
            <w:r>
              <w:rPr>
                <w:rFonts w:ascii="Calibri" w:hAnsi="Calibri"/>
                <w:b w:val="0"/>
                <w:i w:val="0"/>
                <w:color w:val="101828"/>
                <w:sz w:val="14"/>
              </w:rPr>
              <w:t>, opening a prefilled support ticket. One filled button.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Read the safety and trust page</w:t>
            </w:r>
            <w:r>
              <w:rPr>
                <w:rFonts w:ascii="Calibri" w:hAnsi="Calibri"/>
                <w:b w:val="0"/>
                <w:i w:val="0"/>
                <w:color w:val="101828"/>
                <w:sz w:val="14"/>
              </w:rPr>
              <w:t xml:space="preserve"> (tertiary link). A link to the fee page is present so a member can check what was charged while restricted.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state in plain words: </w:t>
            </w:r>
            <w:r>
              <w:rPr>
                <w:rFonts w:ascii="Calibri" w:hAnsi="Calibri"/>
                <w:i/>
                <w:color w:val="101828"/>
                <w:sz w:val="14"/>
              </w:rPr>
              <w:t>Your account is under review. This is a precaution while we check some activity. Your Ajo records and your money are unaffected and you can read everything.</w:t>
            </w:r>
            <w:r>
              <w:rPr>
                <w:rFonts w:ascii="Calibri" w:hAnsi="Calibri"/>
                <w:b w:val="0"/>
                <w:i w:val="0"/>
                <w:color w:val="101828"/>
                <w:sz w:val="14"/>
              </w:rPr>
              <w:t xml:space="preserve"> The three-row table: what you can do (read all your records, download receipts and statements, contact support, add a bank account to be ready) and what you cannot (pay a contribution, join or create an Ajo, invite a member, receive a payout — with the last stated as </w:t>
            </w:r>
            <w:r>
              <w:rPr>
                <w:rFonts w:ascii="Calibri" w:hAnsi="Calibri"/>
                <w:i/>
                <w:color w:val="101828"/>
                <w:sz w:val="14"/>
              </w:rPr>
              <w:t>a payout will be released when the review closes, not skipped</w:t>
            </w:r>
            <w:r>
              <w:rPr>
                <w:rFonts w:ascii="Calibri" w:hAnsi="Calibri"/>
                <w:b w:val="0"/>
                <w:i w:val="0"/>
                <w:color w:val="101828"/>
                <w:sz w:val="14"/>
              </w:rPr>
              <w:t xml:space="preserve">). The reference ID. The support contact. </w:t>
            </w:r>
            <w:r>
              <w:rPr>
                <w:rFonts w:ascii="Calibri" w:hAnsi="Calibri"/>
                <w:b/>
                <w:color w:val="101828"/>
                <w:sz w:val="14"/>
              </w:rPr>
              <w:t>No reason is given for the review, because at the point of freezing the decision may not be final and an unconfirmed reason would be a promise the review may break.</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 Support is reached from the primary CTA, and the ticket it opens is specified in 4.22.2.</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 This page renders from the session's state flag and does not wait on a record.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If the reference cannot be resolved, a plain statement and a direct email address. Never a bare 500.</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 There is no action on this page other than navigating to support.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Single column at every width. The capability table becomes a stacked list below 768.</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page opens with the state as its </w:t>
            </w:r>
            <w:r>
              <w:rPr>
                <w:rFonts w:ascii="Consolas" w:hAnsi="Consolas"/>
                <w:color w:val="146EF5"/>
                <w:sz w:val="14"/>
              </w:rPr>
              <w:t>h1</w:t>
            </w:r>
            <w:r>
              <w:rPr>
                <w:rFonts w:ascii="Calibri" w:hAnsi="Calibri"/>
                <w:b w:val="0"/>
                <w:i w:val="0"/>
                <w:color w:val="101828"/>
                <w:sz w:val="14"/>
              </w:rPr>
              <w:t>, so a screen reader user learns the situation immediately on arrival. The capability table has a caption and row headers. The reference ID is selectable text, not an image, and is announced as a reference rather than read as a random string.</w:t>
            </w:r>
          </w:p>
        </w:tc>
      </w:tr>
    </w:tbl>
    <w:p>
      <w:pPr>
        <w:spacing w:after="80"/>
      </w:pPr>
    </w:p>
    <w:p>
      <w:pPr>
        <w:pStyle w:val="Heading3"/>
      </w:pPr>
      <w:r>
        <w:rPr>
          <w:rFonts w:ascii="Calibri" w:hAnsi="Calibri"/>
          <w:b/>
          <w:i w:val="0"/>
          <w:color w:val="0B1F3A"/>
          <w:sz w:val="24"/>
        </w:rPr>
        <w:t>4.4.12 Tier-1 not found — SCR-WEB-18</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Recover a reader who followed a stale or mistyped link. It is a route, not a state: an unknown tier-1 path returns this page with a 404 status.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reader following a link from a WhatsApp group, an SMS, or a search result that no longer resolves. They are not lost; they are one click from the right page, and this screen is where that click is offered.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Reading column: a one-line explanation, a list of the five most likely destinations as links, and a link home. No search box — a search box on a marketing site is a destination that does not exist yet, and offering one that returns nothing is worse than not offering it.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LinkList</w:t>
            </w:r>
            <w:r>
              <w:rPr>
                <w:rFonts w:ascii="Calibri" w:hAnsi="Calibri"/>
                <w:b w:val="0"/>
                <w:i w:val="0"/>
                <w:color w:val="101828"/>
                <w:sz w:val="14"/>
              </w:rPr>
              <w:t xml:space="preserve"> (5 items), </w:t>
            </w:r>
            <w:r>
              <w:rPr>
                <w:rFonts w:ascii="Consolas" w:hAnsi="Consolas"/>
                <w:color w:val="146EF5"/>
                <w:sz w:val="14"/>
              </w:rPr>
              <w:t>Button</w:t>
            </w:r>
            <w:r>
              <w:rPr>
                <w:rFonts w:ascii="Calibri" w:hAnsi="Calibri"/>
                <w:b w:val="0"/>
                <w:i w:val="0"/>
                <w:color w:val="101828"/>
                <w:sz w:val="14"/>
              </w:rPr>
              <w:t xml:space="preserve"> (secondary, home), </w:t>
            </w:r>
            <w:r>
              <w:rPr>
                <w:rFonts w:ascii="Consolas" w:hAnsi="Consolas"/>
                <w:color w:val="146EF5"/>
                <w:sz w:val="14"/>
              </w:rPr>
              <w:t>Footer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Same top nav, so the reader has the whole site available regardless.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None as a filled button. The page is a list of links, and the list is the content.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Go to the home page</w:t>
            </w:r>
            <w:r>
              <w:rPr>
                <w:rFonts w:ascii="Calibri" w:hAnsi="Calibri"/>
                <w:b w:val="0"/>
                <w:i w:val="0"/>
                <w:color w:val="101828"/>
                <w:sz w:val="14"/>
              </w:rPr>
              <w:t xml:space="preserve"> (secondary button) below the list.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That page is not here.</w:t>
            </w:r>
            <w:r>
              <w:rPr>
                <w:rFonts w:ascii="Calibri" w:hAnsi="Calibri"/>
                <w:b w:val="0"/>
                <w:i w:val="0"/>
                <w:color w:val="101828"/>
                <w:sz w:val="14"/>
              </w:rPr>
              <w:t xml:space="preserve"> Then: Home, How it works, Fees, Safety and trust, Contact. A statement that the link may be old, and an invitation to contact us if someone sent it to them. </w:t>
            </w:r>
            <w:r>
              <w:rPr>
                <w:rFonts w:ascii="Calibri" w:hAnsi="Calibri"/>
                <w:b/>
                <w:color w:val="101828"/>
                <w:sz w:val="14"/>
              </w:rPr>
              <w:t>No reference to the internal structure of the site and no route enumeration.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This screen </w:t>
            </w:r>
            <w:r>
              <w:rPr>
                <w:rFonts w:ascii="Calibri" w:hAnsi="Calibri"/>
                <w:i/>
                <w:color w:val="101828"/>
                <w:sz w:val="14"/>
              </w:rPr>
              <w:t>is</w:t>
            </w:r>
            <w:r>
              <w:rPr>
                <w:rFonts w:ascii="Calibri" w:hAnsi="Calibri"/>
                <w:b w:val="0"/>
                <w:i w:val="0"/>
                <w:color w:val="101828"/>
                <w:sz w:val="14"/>
              </w:rPr>
              <w:t xml:space="preserve"> the error state for tier 1. It is served with a 404 status so that crawlers and caches behave correctly.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Single column at every width.</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w:t>
            </w:r>
            <w:r>
              <w:rPr>
                <w:rFonts w:ascii="Consolas" w:hAnsi="Consolas"/>
                <w:color w:val="146EF5"/>
                <w:sz w:val="14"/>
              </w:rPr>
              <w:t>h1</w:t>
            </w:r>
            <w:r>
              <w:rPr>
                <w:rFonts w:ascii="Calibri" w:hAnsi="Calibri"/>
                <w:b w:val="0"/>
                <w:i w:val="0"/>
                <w:color w:val="101828"/>
                <w:sz w:val="14"/>
              </w:rPr>
              <w:t xml:space="preserve"> states what happened, not a numeric error. The link list is a </w:t>
            </w:r>
            <w:r>
              <w:rPr>
                <w:rFonts w:ascii="Consolas" w:hAnsi="Consolas"/>
                <w:color w:val="146EF5"/>
                <w:sz w:val="14"/>
              </w:rPr>
              <w:t>nav</w:t>
            </w:r>
            <w:r>
              <w:rPr>
                <w:rFonts w:ascii="Calibri" w:hAnsi="Calibri"/>
                <w:b w:val="0"/>
                <w:i w:val="0"/>
                <w:color w:val="101828"/>
                <w:sz w:val="14"/>
              </w:rPr>
              <w:t xml:space="preserve"> with a label, and every link names its destination, so a links-list reader sees a usable list rather than five items called </w:t>
            </w:r>
            <w:r>
              <w:rPr>
                <w:rFonts w:ascii="Calibri" w:hAnsi="Calibri"/>
                <w:i/>
                <w:color w:val="101828"/>
                <w:sz w:val="14"/>
              </w:rPr>
              <w:t>here</w:t>
            </w:r>
            <w:r>
              <w:rPr>
                <w:rFonts w:ascii="Calibri" w:hAnsi="Calibri"/>
                <w:b w:val="0"/>
                <w:i w:val="0"/>
                <w:color w:val="101828"/>
                <w:sz w:val="14"/>
              </w:rPr>
              <w:t>.</w:t>
            </w:r>
          </w:p>
        </w:tc>
      </w:tr>
    </w:tbl>
    <w:p>
      <w:pPr>
        <w:spacing w:after="80"/>
      </w:pPr>
    </w:p>
    <w:p>
      <w:r>
        <w:br w:type="page"/>
      </w:r>
    </w:p>
    <w:p>
      <w:pPr>
        <w:pStyle w:val="Heading2"/>
      </w:pPr>
      <w:r>
        <w:rPr>
          <w:rFonts w:ascii="Calibri" w:hAnsi="Calibri"/>
          <w:b/>
          <w:i w:val="0"/>
          <w:color w:val="146EF5"/>
          <w:sz w:val="29"/>
        </w:rPr>
        <w:t>4.5 Authentication and access — tier 1</w:t>
      </w:r>
    </w:p>
    <w:p>
      <w:r>
        <w:rPr>
          <w:rFonts w:ascii="Calibri" w:hAnsi="Calibri"/>
          <w:b w:val="0"/>
          <w:i w:val="0"/>
          <w:color w:val="101828"/>
          <w:sz w:val="21"/>
        </w:rPr>
        <w:t>Six screens that decide whether a person can become a member, and the first screens that meet the two rules most likely to be broken under pressure: a member must always be able to see their money, and a member must never be signed up to something they have not agreed to. Every screen in this group is unauthenticated or in-flight, so every one of them states what it will do with the address being entered before the field is filled.</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950"/>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1469"/>
            <w:shd w:val="clear" w:color="auto" w:fill="0B1F3A"/>
            <w:tcMar>
              <w:top w:w="60" w:type="dxa"/>
              <w:start w:w="110" w:type="dxa"/>
              <w:bottom w:w="60" w:type="dxa"/>
              <w:end w:w="110" w:type="dxa"/>
            </w:tcMar>
          </w:tcPr>
          <w:p>
            <w:pPr>
              <w:spacing w:after="0"/>
            </w:pPr>
            <w:r/>
            <w:r>
              <w:rPr>
                <w:rFonts w:ascii="Calibri" w:hAnsi="Calibri"/>
                <w:b/>
                <w:i w:val="0"/>
                <w:color w:val="FFFFFF"/>
                <w:sz w:val="14"/>
              </w:rPr>
              <w:t>Route</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4"/>
              </w:rPr>
              <w:t>Purpose in one line</w:t>
            </w:r>
          </w:p>
        </w:tc>
        <w:tc>
          <w:tcPr>
            <w:tcW w:type="dxa" w:w="4493"/>
            <w:shd w:val="clear" w:color="auto" w:fill="0B1F3A"/>
            <w:tcMar>
              <w:top w:w="60" w:type="dxa"/>
              <w:start w:w="110" w:type="dxa"/>
              <w:bottom w:w="60" w:type="dxa"/>
              <w:end w:w="110" w:type="dxa"/>
            </w:tcMar>
          </w:tcPr>
          <w:p>
            <w:pPr>
              <w:spacing w:after="0"/>
            </w:pPr>
            <w:r/>
            <w:r>
              <w:rPr>
                <w:rFonts w:ascii="Calibri" w:hAnsi="Calibri"/>
                <w:b/>
                <w:i w:val="0"/>
                <w:color w:val="FFFFFF"/>
                <w:sz w:val="14"/>
              </w:rPr>
              <w:t>Mandatory content</w:t>
            </w:r>
          </w:p>
        </w:tc>
      </w:tr>
      <w:tr>
        <w:trPr>
          <w:cantSplit/>
        </w:trPr>
        <w:tc>
          <w:tcPr>
            <w:tcW w:type="dxa" w:w="950"/>
            <w:tcMar>
              <w:top w:w="60" w:type="dxa"/>
              <w:start w:w="110" w:type="dxa"/>
              <w:bottom w:w="60" w:type="dxa"/>
              <w:end w:w="110" w:type="dxa"/>
            </w:tcMar>
          </w:tcPr>
          <w:p>
            <w:pPr>
              <w:spacing w:after="0"/>
            </w:pPr>
            <w:r/>
            <w:r>
              <w:rPr>
                <w:rFonts w:ascii="Calibri" w:hAnsi="Calibri"/>
                <w:b w:val="0"/>
                <w:i w:val="0"/>
                <w:color w:val="101828"/>
                <w:sz w:val="14"/>
              </w:rPr>
              <w:t>SCR-WEB-09</w:t>
            </w:r>
          </w:p>
        </w:tc>
        <w:tc>
          <w:tcPr>
            <w:tcW w:type="dxa" w:w="1469"/>
            <w:tcMar>
              <w:top w:w="60" w:type="dxa"/>
              <w:start w:w="110" w:type="dxa"/>
              <w:bottom w:w="60" w:type="dxa"/>
              <w:end w:w="110" w:type="dxa"/>
            </w:tcMar>
          </w:tcPr>
          <w:p>
            <w:pPr>
              <w:spacing w:after="0"/>
            </w:pPr>
            <w:r/>
            <w:r>
              <w:rPr>
                <w:rFonts w:ascii="Consolas" w:hAnsi="Consolas"/>
                <w:color w:val="146EF5"/>
                <w:sz w:val="14"/>
              </w:rPr>
              <w:t>/signin</w:t>
            </w:r>
          </w:p>
        </w:tc>
        <w:tc>
          <w:tcPr>
            <w:tcW w:type="dxa" w:w="2448"/>
            <w:tcMar>
              <w:top w:w="60" w:type="dxa"/>
              <w:start w:w="110" w:type="dxa"/>
              <w:bottom w:w="60" w:type="dxa"/>
              <w:end w:w="110" w:type="dxa"/>
            </w:tcMar>
          </w:tcPr>
          <w:p>
            <w:pPr>
              <w:spacing w:after="0"/>
            </w:pPr>
            <w:r/>
            <w:r>
              <w:rPr>
                <w:rFonts w:ascii="Calibri" w:hAnsi="Calibri"/>
                <w:b w:val="0"/>
                <w:i w:val="0"/>
                <w:color w:val="101828"/>
                <w:sz w:val="14"/>
              </w:rPr>
              <w:t>Get an existing member back in.</w:t>
            </w:r>
          </w:p>
        </w:tc>
        <w:tc>
          <w:tcPr>
            <w:tcW w:type="dxa" w:w="4493"/>
            <w:tcMar>
              <w:top w:w="60" w:type="dxa"/>
              <w:start w:w="110" w:type="dxa"/>
              <w:bottom w:w="60" w:type="dxa"/>
              <w:end w:w="110" w:type="dxa"/>
            </w:tcMar>
          </w:tcPr>
          <w:p>
            <w:pPr>
              <w:spacing w:after="0"/>
            </w:pPr>
            <w:r/>
            <w:r>
              <w:rPr>
                <w:rFonts w:ascii="Calibri" w:hAnsi="Calibri"/>
                <w:b w:val="0"/>
                <w:i w:val="0"/>
                <w:color w:val="101828"/>
                <w:sz w:val="14"/>
              </w:rPr>
              <w:t>Recovery route always visible; no social sign-in at v1</w:t>
            </w:r>
          </w:p>
        </w:tc>
      </w:tr>
      <w:tr>
        <w:trPr>
          <w:cantSplit/>
        </w:trPr>
        <w:tc>
          <w:tcPr>
            <w:tcW w:type="dxa" w:w="950"/>
            <w:tcMar>
              <w:top w:w="60" w:type="dxa"/>
              <w:start w:w="110" w:type="dxa"/>
              <w:bottom w:w="60" w:type="dxa"/>
              <w:end w:w="110" w:type="dxa"/>
            </w:tcMar>
            <w:shd w:val="clear" w:color="auto" w:fill="F4F7FB"/>
          </w:tcPr>
          <w:p>
            <w:pPr>
              <w:spacing w:after="0"/>
            </w:pPr>
            <w:r/>
            <w:r>
              <w:rPr>
                <w:rFonts w:ascii="Calibri" w:hAnsi="Calibri"/>
                <w:b w:val="0"/>
                <w:i w:val="0"/>
                <w:color w:val="101828"/>
                <w:sz w:val="14"/>
              </w:rPr>
              <w:t>SCR-WEB-10</w:t>
            </w:r>
          </w:p>
        </w:tc>
        <w:tc>
          <w:tcPr>
            <w:tcW w:type="dxa" w:w="1469"/>
            <w:tcMar>
              <w:top w:w="60" w:type="dxa"/>
              <w:start w:w="110" w:type="dxa"/>
              <w:bottom w:w="60" w:type="dxa"/>
              <w:end w:w="110" w:type="dxa"/>
            </w:tcMar>
            <w:shd w:val="clear" w:color="auto" w:fill="F4F7FB"/>
          </w:tcPr>
          <w:p>
            <w:pPr>
              <w:spacing w:after="0"/>
            </w:pPr>
            <w:r/>
            <w:r>
              <w:rPr>
                <w:rFonts w:ascii="Consolas" w:hAnsi="Consolas"/>
                <w:color w:val="146EF5"/>
                <w:sz w:val="14"/>
              </w:rPr>
              <w:t>/register</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Create an account and agree to the terms.</w:t>
            </w:r>
          </w:p>
        </w:tc>
        <w:tc>
          <w:tcPr>
            <w:tcW w:type="dxa" w:w="4493"/>
            <w:tcMar>
              <w:top w:w="60" w:type="dxa"/>
              <w:start w:w="110" w:type="dxa"/>
              <w:bottom w:w="60" w:type="dxa"/>
              <w:end w:w="110" w:type="dxa"/>
            </w:tcMar>
            <w:shd w:val="clear" w:color="auto" w:fill="F4F7FB"/>
          </w:tcPr>
          <w:p>
            <w:pPr>
              <w:spacing w:after="0"/>
            </w:pPr>
            <w:r/>
            <w:r>
              <w:rPr>
                <w:rFonts w:ascii="Calibri" w:hAnsi="Calibri"/>
                <w:b w:val="0"/>
                <w:i w:val="0"/>
                <w:color w:val="101828"/>
                <w:sz w:val="14"/>
              </w:rPr>
              <w:t>Versioned acceptance, not a checkbox alone</w:t>
            </w:r>
          </w:p>
        </w:tc>
      </w:tr>
      <w:tr>
        <w:trPr>
          <w:cantSplit/>
        </w:trPr>
        <w:tc>
          <w:tcPr>
            <w:tcW w:type="dxa" w:w="950"/>
            <w:tcMar>
              <w:top w:w="60" w:type="dxa"/>
              <w:start w:w="110" w:type="dxa"/>
              <w:bottom w:w="60" w:type="dxa"/>
              <w:end w:w="110" w:type="dxa"/>
            </w:tcMar>
          </w:tcPr>
          <w:p>
            <w:pPr>
              <w:spacing w:after="0"/>
            </w:pPr>
            <w:r/>
            <w:r>
              <w:rPr>
                <w:rFonts w:ascii="Calibri" w:hAnsi="Calibri"/>
                <w:b w:val="0"/>
                <w:i w:val="0"/>
                <w:color w:val="101828"/>
                <w:sz w:val="14"/>
              </w:rPr>
              <w:t>SCR-WEB-11</w:t>
            </w:r>
          </w:p>
        </w:tc>
        <w:tc>
          <w:tcPr>
            <w:tcW w:type="dxa" w:w="1469"/>
            <w:tcMar>
              <w:top w:w="60" w:type="dxa"/>
              <w:start w:w="110" w:type="dxa"/>
              <w:bottom w:w="60" w:type="dxa"/>
              <w:end w:w="110" w:type="dxa"/>
            </w:tcMar>
          </w:tcPr>
          <w:p>
            <w:pPr>
              <w:spacing w:after="0"/>
            </w:pPr>
            <w:r/>
            <w:r>
              <w:rPr>
                <w:rFonts w:ascii="Consolas" w:hAnsi="Consolas"/>
                <w:color w:val="146EF5"/>
                <w:sz w:val="14"/>
              </w:rPr>
              <w:t>/forgot-password</w:t>
            </w:r>
          </w:p>
        </w:tc>
        <w:tc>
          <w:tcPr>
            <w:tcW w:type="dxa" w:w="2448"/>
            <w:tcMar>
              <w:top w:w="60" w:type="dxa"/>
              <w:start w:w="110" w:type="dxa"/>
              <w:bottom w:w="60" w:type="dxa"/>
              <w:end w:w="110" w:type="dxa"/>
            </w:tcMar>
          </w:tcPr>
          <w:p>
            <w:pPr>
              <w:spacing w:after="0"/>
            </w:pPr>
            <w:r/>
            <w:r>
              <w:rPr>
                <w:rFonts w:ascii="Calibri" w:hAnsi="Calibri"/>
                <w:b w:val="0"/>
                <w:i w:val="0"/>
                <w:color w:val="101828"/>
                <w:sz w:val="14"/>
              </w:rPr>
              <w:t>Send a reset link to an address on file.</w:t>
            </w:r>
          </w:p>
        </w:tc>
        <w:tc>
          <w:tcPr>
            <w:tcW w:type="dxa" w:w="4493"/>
            <w:tcMar>
              <w:top w:w="60" w:type="dxa"/>
              <w:start w:w="110" w:type="dxa"/>
              <w:bottom w:w="60" w:type="dxa"/>
              <w:end w:w="110" w:type="dxa"/>
            </w:tcMar>
          </w:tcPr>
          <w:p>
            <w:pPr>
              <w:spacing w:after="0"/>
            </w:pPr>
            <w:r/>
            <w:r>
              <w:rPr>
                <w:rFonts w:ascii="Calibri" w:hAnsi="Calibri"/>
                <w:b w:val="0"/>
                <w:i w:val="0"/>
                <w:color w:val="101828"/>
                <w:sz w:val="14"/>
              </w:rPr>
              <w:t>Rate-limited; never reveals whether an account exists</w:t>
            </w:r>
          </w:p>
        </w:tc>
      </w:tr>
      <w:tr>
        <w:trPr>
          <w:cantSplit/>
        </w:trPr>
        <w:tc>
          <w:tcPr>
            <w:tcW w:type="dxa" w:w="950"/>
            <w:tcMar>
              <w:top w:w="60" w:type="dxa"/>
              <w:start w:w="110" w:type="dxa"/>
              <w:bottom w:w="60" w:type="dxa"/>
              <w:end w:w="110" w:type="dxa"/>
            </w:tcMar>
            <w:shd w:val="clear" w:color="auto" w:fill="F4F7FB"/>
          </w:tcPr>
          <w:p>
            <w:pPr>
              <w:spacing w:after="0"/>
            </w:pPr>
            <w:r/>
            <w:r>
              <w:rPr>
                <w:rFonts w:ascii="Calibri" w:hAnsi="Calibri"/>
                <w:b w:val="0"/>
                <w:i w:val="0"/>
                <w:color w:val="101828"/>
                <w:sz w:val="14"/>
              </w:rPr>
              <w:t>SCR-WEB-12</w:t>
            </w:r>
          </w:p>
        </w:tc>
        <w:tc>
          <w:tcPr>
            <w:tcW w:type="dxa" w:w="1469"/>
            <w:tcMar>
              <w:top w:w="60" w:type="dxa"/>
              <w:start w:w="110" w:type="dxa"/>
              <w:bottom w:w="60" w:type="dxa"/>
              <w:end w:w="110" w:type="dxa"/>
            </w:tcMar>
            <w:shd w:val="clear" w:color="auto" w:fill="F4F7FB"/>
          </w:tcPr>
          <w:p>
            <w:pPr>
              <w:spacing w:after="0"/>
            </w:pPr>
            <w:r/>
            <w:r>
              <w:rPr>
                <w:rFonts w:ascii="Consolas" w:hAnsi="Consolas"/>
                <w:color w:val="146EF5"/>
                <w:sz w:val="14"/>
              </w:rPr>
              <w:t>/reset-password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Set a new password from a valid token.</w:t>
            </w:r>
          </w:p>
        </w:tc>
        <w:tc>
          <w:tcPr>
            <w:tcW w:type="dxa" w:w="4493"/>
            <w:tcMar>
              <w:top w:w="60" w:type="dxa"/>
              <w:start w:w="110" w:type="dxa"/>
              <w:bottom w:w="60" w:type="dxa"/>
              <w:end w:w="110" w:type="dxa"/>
            </w:tcMar>
            <w:shd w:val="clear" w:color="auto" w:fill="F4F7FB"/>
          </w:tcPr>
          <w:p>
            <w:pPr>
              <w:spacing w:after="0"/>
            </w:pPr>
            <w:r/>
            <w:r>
              <w:rPr>
                <w:rFonts w:ascii="Calibri" w:hAnsi="Calibri"/>
                <w:b w:val="0"/>
                <w:i w:val="0"/>
                <w:color w:val="101828"/>
                <w:sz w:val="14"/>
              </w:rPr>
              <w:t>Token handling per 4.24.6; password rules stated before submit</w:t>
            </w:r>
          </w:p>
        </w:tc>
      </w:tr>
      <w:tr>
        <w:trPr>
          <w:cantSplit/>
        </w:trPr>
        <w:tc>
          <w:tcPr>
            <w:tcW w:type="dxa" w:w="950"/>
            <w:tcMar>
              <w:top w:w="60" w:type="dxa"/>
              <w:start w:w="110" w:type="dxa"/>
              <w:bottom w:w="60" w:type="dxa"/>
              <w:end w:w="110" w:type="dxa"/>
            </w:tcMar>
          </w:tcPr>
          <w:p>
            <w:pPr>
              <w:spacing w:after="0"/>
            </w:pPr>
            <w:r/>
            <w:r>
              <w:rPr>
                <w:rFonts w:ascii="Calibri" w:hAnsi="Calibri"/>
                <w:b w:val="0"/>
                <w:i w:val="0"/>
                <w:color w:val="101828"/>
                <w:sz w:val="14"/>
              </w:rPr>
              <w:t>SCR-WEB-13</w:t>
            </w:r>
          </w:p>
        </w:tc>
        <w:tc>
          <w:tcPr>
            <w:tcW w:type="dxa" w:w="1469"/>
            <w:tcMar>
              <w:top w:w="60" w:type="dxa"/>
              <w:start w:w="110" w:type="dxa"/>
              <w:bottom w:w="60" w:type="dxa"/>
              <w:end w:w="110" w:type="dxa"/>
            </w:tcMar>
          </w:tcPr>
          <w:p>
            <w:pPr>
              <w:spacing w:after="0"/>
            </w:pPr>
            <w:r/>
            <w:r>
              <w:rPr>
                <w:rFonts w:ascii="Consolas" w:hAnsi="Consolas"/>
                <w:color w:val="146EF5"/>
                <w:sz w:val="14"/>
              </w:rPr>
              <w:t>/verify-email</w:t>
            </w:r>
          </w:p>
        </w:tc>
        <w:tc>
          <w:tcPr>
            <w:tcW w:type="dxa" w:w="2448"/>
            <w:tcMar>
              <w:top w:w="60" w:type="dxa"/>
              <w:start w:w="110" w:type="dxa"/>
              <w:bottom w:w="60" w:type="dxa"/>
              <w:end w:w="110" w:type="dxa"/>
            </w:tcMar>
          </w:tcPr>
          <w:p>
            <w:pPr>
              <w:spacing w:after="0"/>
            </w:pPr>
            <w:r/>
            <w:r>
              <w:rPr>
                <w:rFonts w:ascii="Calibri" w:hAnsi="Calibri"/>
                <w:b w:val="0"/>
                <w:i w:val="0"/>
                <w:color w:val="101828"/>
                <w:sz w:val="14"/>
              </w:rPr>
              <w:t>Prove control of the address.</w:t>
            </w:r>
          </w:p>
        </w:tc>
        <w:tc>
          <w:tcPr>
            <w:tcW w:type="dxa" w:w="4493"/>
            <w:tcMar>
              <w:top w:w="60" w:type="dxa"/>
              <w:start w:w="110" w:type="dxa"/>
              <w:bottom w:w="60" w:type="dxa"/>
              <w:end w:w="110" w:type="dxa"/>
            </w:tcMar>
          </w:tcPr>
          <w:p>
            <w:pPr>
              <w:spacing w:after="0"/>
            </w:pPr>
            <w:r/>
            <w:r>
              <w:rPr>
                <w:rFonts w:ascii="Calibri" w:hAnsi="Calibri"/>
                <w:b w:val="0"/>
                <w:i w:val="0"/>
                <w:color w:val="101828"/>
                <w:sz w:val="14"/>
              </w:rPr>
              <w:t>Resend with cooldown; expiry stated</w:t>
            </w:r>
          </w:p>
        </w:tc>
      </w:tr>
      <w:tr>
        <w:trPr>
          <w:cantSplit/>
        </w:trPr>
        <w:tc>
          <w:tcPr>
            <w:tcW w:type="dxa" w:w="950"/>
            <w:tcMar>
              <w:top w:w="60" w:type="dxa"/>
              <w:start w:w="110" w:type="dxa"/>
              <w:bottom w:w="60" w:type="dxa"/>
              <w:end w:w="110" w:type="dxa"/>
            </w:tcMar>
            <w:shd w:val="clear" w:color="auto" w:fill="F4F7FB"/>
          </w:tcPr>
          <w:p>
            <w:pPr>
              <w:spacing w:after="0"/>
            </w:pPr>
            <w:r/>
            <w:r>
              <w:rPr>
                <w:rFonts w:ascii="Calibri" w:hAnsi="Calibri"/>
                <w:b w:val="0"/>
                <w:i w:val="0"/>
                <w:color w:val="101828"/>
                <w:sz w:val="14"/>
              </w:rPr>
              <w:t>SCR-WEB-14</w:t>
            </w:r>
          </w:p>
        </w:tc>
        <w:tc>
          <w:tcPr>
            <w:tcW w:type="dxa" w:w="1469"/>
            <w:tcMar>
              <w:top w:w="60" w:type="dxa"/>
              <w:start w:w="110" w:type="dxa"/>
              <w:bottom w:w="60" w:type="dxa"/>
              <w:end w:w="110" w:type="dxa"/>
            </w:tcMar>
            <w:shd w:val="clear" w:color="auto" w:fill="F4F7FB"/>
          </w:tcPr>
          <w:p>
            <w:pPr>
              <w:spacing w:after="0"/>
            </w:pPr>
            <w:r/>
            <w:r>
              <w:rPr>
                <w:rFonts w:ascii="Consolas" w:hAnsi="Consolas"/>
                <w:color w:val="146EF5"/>
                <w:sz w:val="14"/>
              </w:rPr>
              <w:t>/membership-denied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Explain an account with no Ajo.</w:t>
            </w:r>
          </w:p>
        </w:tc>
        <w:tc>
          <w:tcPr>
            <w:tcW w:type="dxa" w:w="4493"/>
            <w:tcMar>
              <w:top w:w="60" w:type="dxa"/>
              <w:start w:w="110" w:type="dxa"/>
              <w:bottom w:w="60" w:type="dxa"/>
              <w:end w:w="110" w:type="dxa"/>
            </w:tcMar>
            <w:shd w:val="clear" w:color="auto" w:fill="F4F7FB"/>
          </w:tcPr>
          <w:p>
            <w:pPr>
              <w:spacing w:after="0"/>
            </w:pPr>
            <w:r/>
            <w:r>
              <w:rPr>
                <w:rFonts w:ascii="Calibri" w:hAnsi="Calibri"/>
                <w:b w:val="0"/>
                <w:i w:val="0"/>
                <w:color w:val="101828"/>
                <w:sz w:val="14"/>
              </w:rPr>
              <w:t>The one empty state in the product that is not an error</w:t>
            </w:r>
          </w:p>
        </w:tc>
      </w:tr>
    </w:tbl>
    <w:p>
      <w:pPr>
        <w:spacing w:after="80"/>
      </w:pPr>
    </w:p>
    <w:p>
      <w:pPr>
        <w:pStyle w:val="Heading3"/>
      </w:pPr>
      <w:r>
        <w:rPr>
          <w:rFonts w:ascii="Calibri" w:hAnsi="Calibri"/>
          <w:b/>
          <w:i w:val="0"/>
          <w:color w:val="0B1F3A"/>
          <w:sz w:val="24"/>
        </w:rPr>
        <w:t>4.5.1 Sign in — SCR-WEB-09</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Return an existing member to their Ajos. Not a gate in the marketing funnel: the sign-in link sits beside the create-account link, never above it, so a returning member is not made to feel they are late.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on their phone, in a queue, who has forgotten which address they registered with, or whose passkey is not available on this device. The dominant emotion is mild friction, not suspicion.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Single centred card, 420 px, on a Deep background, with the logo and the tagline above it and the legal routes below. The card contains the form and one recovery link. No third-party sign-in.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FormField</w:t>
            </w:r>
            <w:r>
              <w:rPr>
                <w:rFonts w:ascii="Calibri" w:hAnsi="Calibri"/>
                <w:b w:val="0"/>
                <w:i w:val="0"/>
                <w:color w:val="101828"/>
                <w:sz w:val="14"/>
              </w:rPr>
              <w:t xml:space="preserve"> (email, password), </w:t>
            </w:r>
            <w:r>
              <w:rPr>
                <w:rFonts w:ascii="Consolas" w:hAnsi="Consolas"/>
                <w:color w:val="146EF5"/>
                <w:sz w:val="14"/>
              </w:rPr>
              <w:t>Button</w:t>
            </w:r>
            <w:r>
              <w:rPr>
                <w:rFonts w:ascii="Calibri" w:hAnsi="Calibri"/>
                <w:b w:val="0"/>
                <w:i w:val="0"/>
                <w:color w:val="101828"/>
                <w:sz w:val="14"/>
              </w:rPr>
              <w:t xml:space="preserve"> (primary), </w:t>
            </w:r>
            <w:r>
              <w:rPr>
                <w:rFonts w:ascii="Consolas" w:hAnsi="Consolas"/>
                <w:color w:val="146EF5"/>
                <w:sz w:val="14"/>
              </w:rPr>
              <w:t>Button</w:t>
            </w:r>
            <w:r>
              <w:rPr>
                <w:rFonts w:ascii="Calibri" w:hAnsi="Calibri"/>
                <w:b w:val="0"/>
                <w:i w:val="0"/>
                <w:color w:val="101828"/>
                <w:sz w:val="14"/>
              </w:rPr>
              <w:t xml:space="preserve"> (secondary, passkey where supported), </w:t>
            </w:r>
            <w:r>
              <w:rPr>
                <w:rFonts w:ascii="Consolas" w:hAnsi="Consolas"/>
                <w:color w:val="146EF5"/>
                <w:sz w:val="14"/>
              </w:rPr>
              <w:t>Link</w:t>
            </w:r>
            <w:r>
              <w:rPr>
                <w:rFonts w:ascii="Calibri" w:hAnsi="Calibri"/>
                <w:b w:val="0"/>
                <w:i w:val="0"/>
                <w:color w:val="101828"/>
                <w:sz w:val="14"/>
              </w:rPr>
              <w:t xml:space="preserve"> (forgot password), </w:t>
            </w:r>
            <w:r>
              <w:rPr>
                <w:rFonts w:ascii="Consolas" w:hAnsi="Consolas"/>
                <w:color w:val="146EF5"/>
                <w:sz w:val="14"/>
              </w:rPr>
              <w:t>Callout</w:t>
            </w:r>
            <w:r>
              <w:rPr>
                <w:rFonts w:ascii="Calibri" w:hAnsi="Calibri"/>
                <w:b w:val="0"/>
                <w:i w:val="0"/>
                <w:color w:val="101828"/>
                <w:sz w:val="14"/>
              </w:rPr>
              <w:t xml:space="preserve"> (NOTE, rate limit), </w:t>
            </w:r>
            <w:r>
              <w:rPr>
                <w:rFonts w:ascii="Consolas" w:hAnsi="Consolas"/>
                <w:color w:val="146EF5"/>
                <w:sz w:val="14"/>
              </w:rPr>
              <w:t>Footer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Reachable from the top nav of every tier-1 page and from the app's More sheet. </w:t>
            </w:r>
            <w:r>
              <w:rPr>
                <w:rFonts w:ascii="Consolas" w:hAnsi="Consolas"/>
                <w:color w:val="146EF5"/>
                <w:sz w:val="14"/>
              </w:rPr>
              <w:t>returnTo</w:t>
            </w:r>
            <w:r>
              <w:rPr>
                <w:rFonts w:ascii="Calibri" w:hAnsi="Calibri"/>
                <w:b w:val="0"/>
                <w:i w:val="0"/>
                <w:color w:val="101828"/>
                <w:sz w:val="14"/>
              </w:rPr>
              <w:t xml:space="preserve"> is honoured only for an allow-list of internal routes, per 4.24.5.</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Sign in</w:t>
            </w:r>
            <w:r>
              <w:rPr>
                <w:rFonts w:ascii="Calibri" w:hAnsi="Calibri"/>
                <w:b w:val="0"/>
                <w:i w:val="0"/>
                <w:color w:val="101828"/>
                <w:sz w:val="14"/>
              </w:rPr>
              <w:t>. One filled button, full card width, 52 px tall.</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Create an account</w:t>
            </w:r>
            <w:r>
              <w:rPr>
                <w:rFonts w:ascii="Calibri" w:hAnsi="Calibri"/>
                <w:b w:val="0"/>
                <w:i w:val="0"/>
                <w:color w:val="101828"/>
                <w:sz w:val="14"/>
              </w:rPr>
              <w:t xml:space="preserve"> as a tertiary link under the form. A passkey action appears as a secondary outlined button only where the platform authenticator is available; it is never the sole route.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Email. Password. A </w:t>
            </w:r>
            <w:r>
              <w:rPr>
                <w:rFonts w:ascii="Calibri" w:hAnsi="Calibri"/>
                <w:i/>
                <w:color w:val="101828"/>
                <w:sz w:val="14"/>
              </w:rPr>
              <w:t>Forgot password</w:t>
            </w:r>
            <w:r>
              <w:rPr>
                <w:rFonts w:ascii="Calibri" w:hAnsi="Calibri"/>
                <w:b w:val="0"/>
                <w:i w:val="0"/>
                <w:color w:val="101828"/>
                <w:sz w:val="14"/>
              </w:rPr>
              <w:t xml:space="preserve"> link. A note that signing in does not create an Ajo. </w:t>
            </w:r>
            <w:r>
              <w:rPr>
                <w:rFonts w:ascii="Calibri" w:hAnsi="Calibri"/>
                <w:b/>
                <w:color w:val="101828"/>
                <w:sz w:val="14"/>
              </w:rPr>
              <w:t>No Facebook, Google or Apple sign-in at v1</w:t>
            </w:r>
            <w:r>
              <w:rPr>
                <w:rFonts w:ascii="Calibri" w:hAnsi="Calibri"/>
                <w:b w:val="0"/>
                <w:i w:val="0"/>
                <w:color w:val="101828"/>
                <w:sz w:val="14"/>
              </w:rPr>
              <w:t xml:space="preserve"> — the canonical product does not include social login, and adding it would create an account-linking model that is not specified anywhere.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Email, input type </w:t>
            </w:r>
            <w:r>
              <w:rPr>
                <w:rFonts w:ascii="Consolas" w:hAnsi="Consolas"/>
                <w:color w:val="146EF5"/>
                <w:sz w:val="14"/>
              </w:rPr>
              <w:t>email</w:t>
            </w:r>
            <w:r>
              <w:rPr>
                <w:rFonts w:ascii="Calibri" w:hAnsi="Calibri"/>
                <w:b w:val="0"/>
                <w:i w:val="0"/>
                <w:color w:val="101828"/>
                <w:sz w:val="14"/>
              </w:rPr>
              <w:t xml:space="preserve">, required, autofill username. Password, input type </w:t>
            </w:r>
            <w:r>
              <w:rPr>
                <w:rFonts w:ascii="Consolas" w:hAnsi="Consolas"/>
                <w:color w:val="146EF5"/>
                <w:sz w:val="14"/>
              </w:rPr>
              <w:t>password</w:t>
            </w:r>
            <w:r>
              <w:rPr>
                <w:rFonts w:ascii="Calibri" w:hAnsi="Calibri"/>
                <w:b w:val="0"/>
                <w:i w:val="0"/>
                <w:color w:val="101828"/>
                <w:sz w:val="14"/>
              </w:rPr>
              <w:t>, required, autofill current-password, with a visibility toggle.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Client-side: email shape on blur; password non-empty on submit. Server-side: the response is identical for an unknown address and a wrong password — </w:t>
            </w:r>
            <w:r>
              <w:rPr>
                <w:rFonts w:ascii="Calibri" w:hAnsi="Calibri"/>
                <w:i/>
                <w:color w:val="101828"/>
                <w:sz w:val="14"/>
              </w:rPr>
              <w:t>We could not sign you in with those details. Check them, or reset your password.</w:t>
            </w:r>
            <w:r>
              <w:rPr>
                <w:rFonts w:ascii="Calibri" w:hAnsi="Calibri"/>
                <w:b w:val="0"/>
                <w:i w:val="0"/>
                <w:color w:val="101828"/>
                <w:sz w:val="14"/>
              </w:rPr>
              <w:t xml:space="preserve"> — with no field-level distinction, because a distinguishable response is an account-enumeration oracle.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button enters its working state with its width locked. The form is not disabled, so a person who mistypes can keep correcting while the request is in flight; the submit is the only thing that is inert.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Empty fields with helper text. No placeholder-as-label.</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A single danger banner above the form, above the fields, never inside a field, because the cause may be either field. It never names which field was wrong.</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session is established and the member lands on the destination, or on the home screen of the app. No interstitial, no welcome tour, no </w:t>
            </w:r>
            <w:r>
              <w:rPr>
                <w:rFonts w:ascii="Calibri" w:hAnsi="Calibri"/>
                <w:i/>
                <w:color w:val="101828"/>
                <w:sz w:val="14"/>
              </w:rPr>
              <w:t>are you sure this is the right account</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The card fills the width below 375 with 16 px side padding and never scrolls horizontally. At </w:t>
            </w:r>
            <w:r>
              <w:rPr>
                <w:rFonts w:ascii="Consolas" w:hAnsi="Consolas"/>
                <w:color w:val="146EF5"/>
                <w:sz w:val="14"/>
              </w:rPr>
              <w:t>md</w:t>
            </w:r>
            <w:r>
              <w:rPr>
                <w:rFonts w:ascii="Calibri" w:hAnsi="Calibri"/>
                <w:b w:val="0"/>
                <w:i w:val="0"/>
                <w:color w:val="101828"/>
                <w:sz w:val="14"/>
              </w:rPr>
              <w:t xml:space="preserve"> and above the password visibility toggle sits inside the field's trailing edge and the card is 420 px.</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banner is a live region and receives focus on failure. The password toggle is a real button with a state and a label, not an icon swap. The error banner is not dismissed automatically. Tab order runs email, password, visibility toggle, forgot password, sign in, create account.</w:t>
            </w:r>
          </w:p>
        </w:tc>
      </w:tr>
    </w:tbl>
    <w:p>
      <w:pPr>
        <w:spacing w:after="80"/>
      </w:pPr>
    </w:p>
    <w:p>
      <w:pPr>
        <w:spacing w:before="140" w:after="180"/>
        <w:ind w:left="144"/>
        <w:shd w:val="clear" w:color="auto" w:fill="E0F2FE"/>
        <w:pBdr>
          <w:left w:val="single" w:sz="18" w:space="6" w:color="22C7D6"/>
        </w:pBdr>
      </w:pPr>
      <w:r>
        <w:rPr>
          <w:rFonts w:ascii="Calibri" w:hAnsi="Calibri"/>
          <w:b/>
          <w:color w:val="22C7D6"/>
          <w:sz w:val="19"/>
        </w:rPr>
        <w:t xml:space="preserve">No social sign-in at v1  </w:t>
      </w:r>
      <w:r>
        <w:rPr>
          <w:rFonts w:ascii="Calibri" w:hAnsi="Calibri"/>
          <w:b/>
          <w:color w:val="0B1F3A"/>
          <w:sz w:val="19"/>
        </w:rPr>
        <w:t>SCR-WEB-09 and SCR-WEB-10 have no Facebook, Google or Apple authentication at v1.</w:t>
      </w:r>
      <w:r>
        <w:rPr>
          <w:rFonts w:ascii="Calibri" w:hAnsi="Calibri"/>
          <w:b w:val="0"/>
          <w:i w:val="0"/>
          <w:color w:val="0B1F3A"/>
          <w:sz w:val="19"/>
        </w:rPr>
        <w:t xml:space="preserve"> A social identity creates a second identity source, and with it the need to link, unlink, verify and reconcile it against a phone number and an email that the Ajo actually depends on. None of that is specified in the canonical product, and inventing it in the auth layer would put a requirement nobody asked for underneath every identity decision that follows. </w:t>
      </w:r>
      <w:r>
        <w:rPr>
          <w:rFonts w:ascii="Calibri" w:hAnsi="Calibri"/>
          <w:b/>
          <w:color w:val="0B1F3A"/>
          <w:sz w:val="19"/>
        </w:rPr>
        <w:t>Owner: Founders. Revisit only together with an account-linking and recovery specification.</w:t>
      </w:r>
    </w:p>
    <w:p>
      <w:pPr>
        <w:pStyle w:val="Heading3"/>
      </w:pPr>
      <w:r>
        <w:rPr>
          <w:rFonts w:ascii="Calibri" w:hAnsi="Calibri"/>
          <w:b/>
          <w:i w:val="0"/>
          <w:color w:val="0B1F3A"/>
          <w:sz w:val="24"/>
        </w:rPr>
        <w:t>4.5.2 Register — SCR-WEB-10</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Create an account, and record agreement to a specific version of the terms. Everything the member does afterwards is downstream of this screen, and the record of consent is a versioned reference rather than a boolean.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first-time member on a phone, often reading a message from the organiser, often on a metered connection and often sharing a device. They are being asked for a phone number, an email, a password, a name and their consent, in one go, and the interface must justify each ask before making it.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Single centred card, 440 px, Deep background, one column, no steps. The card is scrolled naturally; the legal block is a separate full-width region below it and is never a footer link.</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FormField</w:t>
            </w:r>
            <w:r>
              <w:rPr>
                <w:rFonts w:ascii="Calibri" w:hAnsi="Calibri"/>
                <w:b w:val="0"/>
                <w:i w:val="0"/>
                <w:color w:val="101828"/>
                <w:sz w:val="14"/>
              </w:rPr>
              <w:t xml:space="preserve"> (text, email, tel, password), </w:t>
            </w:r>
            <w:r>
              <w:rPr>
                <w:rFonts w:ascii="Consolas" w:hAnsi="Consolas"/>
                <w:color w:val="146EF5"/>
                <w:sz w:val="14"/>
              </w:rPr>
              <w:t>Checkbox</w:t>
            </w:r>
            <w:r>
              <w:rPr>
                <w:rFonts w:ascii="Calibri" w:hAnsi="Calibri"/>
                <w:b w:val="0"/>
                <w:i w:val="0"/>
                <w:color w:val="101828"/>
                <w:sz w:val="14"/>
              </w:rPr>
              <w:t xml:space="preserve"> (consent), </w:t>
            </w:r>
            <w:r>
              <w:rPr>
                <w:rFonts w:ascii="Consolas" w:hAnsi="Consolas"/>
                <w:color w:val="146EF5"/>
                <w:sz w:val="14"/>
              </w:rPr>
              <w:t>Button</w:t>
            </w:r>
            <w:r>
              <w:rPr>
                <w:rFonts w:ascii="Calibri" w:hAnsi="Calibri"/>
                <w:b w:val="0"/>
                <w:i w:val="0"/>
                <w:color w:val="101828"/>
                <w:sz w:val="14"/>
              </w:rPr>
              <w:t xml:space="preserve"> (primary), </w:t>
            </w:r>
            <w:r>
              <w:rPr>
                <w:rFonts w:ascii="Consolas" w:hAnsi="Consolas"/>
                <w:color w:val="146EF5"/>
                <w:sz w:val="14"/>
              </w:rPr>
              <w:t>Button</w:t>
            </w:r>
            <w:r>
              <w:rPr>
                <w:rFonts w:ascii="Calibri" w:hAnsi="Calibri"/>
                <w:b w:val="0"/>
                <w:i w:val="0"/>
                <w:color w:val="101828"/>
                <w:sz w:val="14"/>
              </w:rPr>
              <w:t xml:space="preserve"> (secondary, sign in instead), </w:t>
            </w:r>
            <w:r>
              <w:rPr>
                <w:rFonts w:ascii="Consolas" w:hAnsi="Consolas"/>
                <w:color w:val="146EF5"/>
                <w:sz w:val="14"/>
              </w:rPr>
              <w:t>Callout</w:t>
            </w:r>
            <w:r>
              <w:rPr>
                <w:rFonts w:ascii="Calibri" w:hAnsi="Calibri"/>
                <w:b w:val="0"/>
                <w:i w:val="0"/>
                <w:color w:val="101828"/>
                <w:sz w:val="14"/>
              </w:rPr>
              <w:t xml:space="preserve"> (NOTE, what we use this for), </w:t>
            </w:r>
            <w:r>
              <w:rPr>
                <w:rFonts w:ascii="Consolas" w:hAnsi="Consolas"/>
                <w:color w:val="146EF5"/>
                <w:sz w:val="14"/>
              </w:rPr>
              <w:t>Footer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Reached from every tier-1 primary CTA, from the sign-in card, and with </w:t>
            </w:r>
            <w:r>
              <w:rPr>
                <w:rFonts w:ascii="Consolas" w:hAnsi="Consolas"/>
                <w:color w:val="146EF5"/>
                <w:sz w:val="14"/>
              </w:rPr>
              <w:t>returnTo</w:t>
            </w:r>
            <w:r>
              <w:rPr>
                <w:rFonts w:ascii="Calibri" w:hAnsi="Calibri"/>
                <w:b w:val="0"/>
                <w:i w:val="0"/>
                <w:color w:val="101828"/>
                <w:sz w:val="14"/>
              </w:rPr>
              <w:t xml:space="preserve"> honoured per 4.24.5. </w:t>
            </w:r>
            <w:r>
              <w:rPr>
                <w:rFonts w:ascii="Consolas" w:hAnsi="Consolas"/>
                <w:color w:val="146EF5"/>
                <w:sz w:val="14"/>
              </w:rPr>
              <w:t>returnTo</w:t>
            </w:r>
            <w:r>
              <w:rPr>
                <w:rFonts w:ascii="Calibri" w:hAnsi="Calibri"/>
                <w:b w:val="0"/>
                <w:i w:val="0"/>
                <w:color w:val="101828"/>
                <w:sz w:val="14"/>
              </w:rPr>
              <w:t xml:space="preserve"> is cleared on successful registration, so a stale destination cannot reappear after the member's state has changed.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Create account</w:t>
            </w:r>
            <w:r>
              <w:rPr>
                <w:rFonts w:ascii="Calibri" w:hAnsi="Calibri"/>
                <w:b w:val="0"/>
                <w:i w:val="0"/>
                <w:color w:val="101828"/>
                <w:sz w:val="14"/>
              </w:rPr>
              <w:t>. One filled button, full card width, 52 px tall.</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I already have an account</w:t>
            </w:r>
            <w:r>
              <w:rPr>
                <w:rFonts w:ascii="Calibri" w:hAnsi="Calibri"/>
                <w:b w:val="0"/>
                <w:i w:val="0"/>
                <w:color w:val="101828"/>
                <w:sz w:val="14"/>
              </w:rPr>
              <w:t xml:space="preserve"> (tertiary link) under the form. </w:t>
            </w:r>
            <w:r>
              <w:rPr>
                <w:rFonts w:ascii="Calibri" w:hAnsi="Calibri"/>
                <w:i/>
                <w:color w:val="101828"/>
                <w:sz w:val="14"/>
              </w:rPr>
              <w:t>Read the terms</w:t>
            </w:r>
            <w:r>
              <w:rPr>
                <w:rFonts w:ascii="Calibri" w:hAnsi="Calibri"/>
                <w:b w:val="0"/>
                <w:i w:val="0"/>
                <w:color w:val="101828"/>
                <w:sz w:val="14"/>
              </w:rPr>
              <w:t xml:space="preserve"> and </w:t>
            </w:r>
            <w:r>
              <w:rPr>
                <w:rFonts w:ascii="Calibri" w:hAnsi="Calibri"/>
                <w:i/>
                <w:color w:val="101828"/>
                <w:sz w:val="14"/>
              </w:rPr>
              <w:t>Read the privacy policy</w:t>
            </w:r>
            <w:r>
              <w:rPr>
                <w:rFonts w:ascii="Calibri" w:hAnsi="Calibri"/>
                <w:b w:val="0"/>
                <w:i w:val="0"/>
                <w:color w:val="101828"/>
                <w:sz w:val="14"/>
              </w:rPr>
              <w:t xml:space="preserve"> (tertiary links) in the consent block.</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First name. Last name. Email. Phone, in Nigerian format. Password, with the rules stated before the field is filled, not after a failure. The consent block: </w:t>
            </w:r>
            <w:r>
              <w:rPr>
                <w:rFonts w:ascii="Calibri" w:hAnsi="Calibri"/>
                <w:i/>
                <w:color w:val="101828"/>
                <w:sz w:val="14"/>
              </w:rPr>
              <w:t>By creating an account you agree to the Terms and acknowledge the Privacy Policy</w:t>
            </w:r>
            <w:r>
              <w:rPr>
                <w:rFonts w:ascii="Calibri" w:hAnsi="Calibri"/>
                <w:b w:val="0"/>
                <w:i w:val="0"/>
                <w:color w:val="101828"/>
                <w:sz w:val="14"/>
              </w:rPr>
              <w:t xml:space="preserve">, with both linked and their version and effective date shown. A NOTE callout naming the two things the phone number is used for: reminders for the Ajos you are in, and sign-in codes. </w:t>
            </w:r>
            <w:r>
              <w:rPr>
                <w:rFonts w:ascii="Calibri" w:hAnsi="Calibri"/>
                <w:b/>
                <w:color w:val="101828"/>
                <w:sz w:val="14"/>
              </w:rPr>
              <w:t>A note that an account is not an Ajo: creating an account does not join or create an Ajo, and joining one is a separate, deliberate action in the app.</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See the field table below.</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See the validation table below. Every rule fires inline, names the field, and never clears content.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button works and locks its width; the form stays editable. No overlay, no spinner across the page, because this form holds a person's typed identity and a spinner over it looks like data loss.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Empty with helper text. The password rules are visible from the moment the field appears, so the member can satisfy them without a failed attempt.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Inline per field, plus a banner above the form for failures that are not a field's fault. Every error states what to do next. A field the server rejected is not cleared, and the member is not asked to retype the whole form.</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account exists, the member is signed in, and the screen hands off to </w:t>
            </w:r>
            <w:r>
              <w:rPr>
                <w:rFonts w:ascii="Consolas" w:hAnsi="Consolas"/>
                <w:color w:val="146EF5"/>
                <w:sz w:val="14"/>
              </w:rPr>
              <w:t>returnTo</w:t>
            </w:r>
            <w:r>
              <w:rPr>
                <w:rFonts w:ascii="Calibri" w:hAnsi="Calibri"/>
                <w:b w:val="0"/>
                <w:i w:val="0"/>
                <w:color w:val="101828"/>
                <w:sz w:val="14"/>
              </w:rPr>
              <w:t xml:space="preserve"> or to SCR-MOB-02. </w:t>
            </w:r>
            <w:r>
              <w:rPr>
                <w:rFonts w:ascii="Calibri" w:hAnsi="Calibri"/>
                <w:b/>
                <w:color w:val="101828"/>
                <w:sz w:val="14"/>
              </w:rPr>
              <w:t>A new account with no Ajo lands on SCR-WEB-14, not on an empty dashboard</w:t>
            </w:r>
            <w:r>
              <w:rPr>
                <w:rFonts w:ascii="Calibri" w:hAnsi="Calibri"/>
                <w:b w:val="0"/>
                <w:i w:val="0"/>
                <w:color w:val="101828"/>
                <w:sz w:val="14"/>
              </w:rPr>
              <w:t>, because a dashboard with nothing in it is a worse first impression than a plain explanation of what to do next.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One column at every width. Labels above controls, 48 px minimum control height. Below 375 the card is flush to the edges with 16 px padding. The consent block wraps its text at 40 characters per line in the 320 px case rather than clipping.</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Every field has a bound label and a described-by pointing at its helper text and its error. The password rules list is associated with the password field, so a screen reader user hears the rules before typing. The consent checkbox is a real checkbox, not a link with a tick. Error summary appears only above 768, where a jump is not disorienting; below that, each error is announced politely at its field.</w:t>
            </w:r>
          </w:p>
        </w:tc>
      </w:tr>
    </w:tbl>
    <w:p>
      <w:pPr>
        <w:spacing w:after="80"/>
      </w:pP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4"/>
              </w:rPr>
              <w:t>Field</w:t>
            </w:r>
          </w:p>
        </w:tc>
        <w:tc>
          <w:tcPr>
            <w:tcW w:type="dxa" w:w="1325"/>
            <w:shd w:val="clear" w:color="auto" w:fill="0B1F3A"/>
            <w:tcMar>
              <w:top w:w="60" w:type="dxa"/>
              <w:start w:w="110" w:type="dxa"/>
              <w:bottom w:w="60" w:type="dxa"/>
              <w:end w:w="110" w:type="dxa"/>
            </w:tcMar>
          </w:tcPr>
          <w:p>
            <w:pPr>
              <w:spacing w:after="0"/>
            </w:pPr>
            <w:r/>
            <w:r>
              <w:rPr>
                <w:rFonts w:ascii="Calibri" w:hAnsi="Calibri"/>
                <w:b/>
                <w:i w:val="0"/>
                <w:color w:val="FFFFFF"/>
                <w:sz w:val="14"/>
              </w:rPr>
              <w:t>Control</w:t>
            </w:r>
          </w:p>
        </w:tc>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4"/>
              </w:rPr>
              <w:t>Required</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4"/>
              </w:rPr>
              <w:t>Helper text</w:t>
            </w:r>
          </w:p>
        </w:tc>
        <w:tc>
          <w:tcPr>
            <w:tcW w:type="dxa" w:w="2707"/>
            <w:shd w:val="clear" w:color="auto" w:fill="0B1F3A"/>
            <w:tcMar>
              <w:top w:w="60" w:type="dxa"/>
              <w:start w:w="110" w:type="dxa"/>
              <w:bottom w:w="60" w:type="dxa"/>
              <w:end w:w="110" w:type="dxa"/>
            </w:tcMar>
          </w:tcPr>
          <w:p>
            <w:pPr>
              <w:spacing w:after="0"/>
            </w:pPr>
            <w:r/>
            <w:r>
              <w:rPr>
                <w:rFonts w:ascii="Calibri" w:hAnsi="Calibri"/>
                <w:b/>
                <w:i w:val="0"/>
                <w:color w:val="FFFFFF"/>
                <w:sz w:val="14"/>
              </w:rPr>
              <w:t>Format</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4"/>
              </w:rPr>
              <w:t>First name</w:t>
            </w:r>
          </w:p>
        </w:tc>
        <w:tc>
          <w:tcPr>
            <w:tcW w:type="dxa" w:w="1325"/>
            <w:tcMar>
              <w:top w:w="60" w:type="dxa"/>
              <w:start w:w="110" w:type="dxa"/>
              <w:bottom w:w="60" w:type="dxa"/>
              <w:end w:w="110" w:type="dxa"/>
            </w:tcMar>
          </w:tcPr>
          <w:p>
            <w:pPr>
              <w:spacing w:after="0"/>
            </w:pPr>
            <w:r/>
            <w:r>
              <w:rPr>
                <w:rFonts w:ascii="Calibri" w:hAnsi="Calibri"/>
                <w:b w:val="0"/>
                <w:i w:val="0"/>
                <w:color w:val="101828"/>
                <w:sz w:val="14"/>
              </w:rPr>
              <w:t>Input, text</w:t>
            </w:r>
          </w:p>
        </w:tc>
        <w:tc>
          <w:tcPr>
            <w:tcW w:type="dxa" w:w="720"/>
            <w:tcMar>
              <w:top w:w="60" w:type="dxa"/>
              <w:start w:w="110" w:type="dxa"/>
              <w:bottom w:w="60" w:type="dxa"/>
              <w:end w:w="110" w:type="dxa"/>
            </w:tcMar>
          </w:tcPr>
          <w:p>
            <w:pPr>
              <w:spacing w:after="0"/>
            </w:pPr>
            <w:r/>
            <w:r>
              <w:rPr>
                <w:rFonts w:ascii="Calibri" w:hAnsi="Calibri"/>
                <w:b w:val="0"/>
                <w:i w:val="0"/>
                <w:color w:val="101828"/>
                <w:sz w:val="14"/>
              </w:rPr>
              <w:t>Yes</w:t>
            </w:r>
          </w:p>
        </w:tc>
        <w:tc>
          <w:tcPr>
            <w:tcW w:type="dxa" w:w="2880"/>
            <w:tcMar>
              <w:top w:w="60" w:type="dxa"/>
              <w:start w:w="110" w:type="dxa"/>
              <w:bottom w:w="60" w:type="dxa"/>
              <w:end w:w="110" w:type="dxa"/>
            </w:tcMar>
          </w:tcPr>
          <w:p>
            <w:pPr>
              <w:spacing w:after="0"/>
            </w:pPr>
            <w:r/>
            <w:r>
              <w:rPr>
                <w:rFonts w:ascii="Calibri" w:hAnsi="Calibri"/>
                <w:b w:val="0"/>
                <w:i w:val="0"/>
                <w:color w:val="101828"/>
                <w:sz w:val="14"/>
              </w:rPr>
              <w:t>As it should appear on the roster.</w:t>
            </w:r>
          </w:p>
        </w:tc>
        <w:tc>
          <w:tcPr>
            <w:tcW w:type="dxa" w:w="2707"/>
            <w:tcMar>
              <w:top w:w="60" w:type="dxa"/>
              <w:start w:w="110" w:type="dxa"/>
              <w:bottom w:w="60" w:type="dxa"/>
              <w:end w:w="110" w:type="dxa"/>
            </w:tcMar>
          </w:tcPr>
          <w:p>
            <w:pPr>
              <w:spacing w:after="0"/>
            </w:pPr>
            <w:r/>
            <w:r>
              <w:rPr>
                <w:rFonts w:ascii="Calibri" w:hAnsi="Calibri"/>
                <w:b w:val="0"/>
                <w:i w:val="0"/>
                <w:color w:val="101828"/>
                <w:sz w:val="14"/>
              </w:rPr>
              <w:t>1 to 40 characters</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Last name</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Input, text</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Yes</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As it should appear on the roster.</w:t>
            </w:r>
          </w:p>
        </w:tc>
        <w:tc>
          <w:tcPr>
            <w:tcW w:type="dxa" w:w="2707"/>
            <w:tcMar>
              <w:top w:w="60" w:type="dxa"/>
              <w:start w:w="110" w:type="dxa"/>
              <w:bottom w:w="60" w:type="dxa"/>
              <w:end w:w="110" w:type="dxa"/>
            </w:tcMar>
            <w:shd w:val="clear" w:color="auto" w:fill="F4F7FB"/>
          </w:tcPr>
          <w:p>
            <w:pPr>
              <w:spacing w:after="0"/>
            </w:pPr>
            <w:r/>
            <w:r>
              <w:rPr>
                <w:rFonts w:ascii="Calibri" w:hAnsi="Calibri"/>
                <w:b w:val="0"/>
                <w:i w:val="0"/>
                <w:color w:val="101828"/>
                <w:sz w:val="14"/>
              </w:rPr>
              <w:t>1 to 40 characters</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4"/>
              </w:rPr>
              <w:t>Email</w:t>
            </w:r>
          </w:p>
        </w:tc>
        <w:tc>
          <w:tcPr>
            <w:tcW w:type="dxa" w:w="1325"/>
            <w:tcMar>
              <w:top w:w="60" w:type="dxa"/>
              <w:start w:w="110" w:type="dxa"/>
              <w:bottom w:w="60" w:type="dxa"/>
              <w:end w:w="110" w:type="dxa"/>
            </w:tcMar>
          </w:tcPr>
          <w:p>
            <w:pPr>
              <w:spacing w:after="0"/>
            </w:pPr>
            <w:r/>
            <w:r>
              <w:rPr>
                <w:rFonts w:ascii="Calibri" w:hAnsi="Calibri"/>
                <w:b w:val="0"/>
                <w:i w:val="0"/>
                <w:color w:val="101828"/>
                <w:sz w:val="14"/>
              </w:rPr>
              <w:t>Input, email</w:t>
            </w:r>
          </w:p>
        </w:tc>
        <w:tc>
          <w:tcPr>
            <w:tcW w:type="dxa" w:w="720"/>
            <w:tcMar>
              <w:top w:w="60" w:type="dxa"/>
              <w:start w:w="110" w:type="dxa"/>
              <w:bottom w:w="60" w:type="dxa"/>
              <w:end w:w="110" w:type="dxa"/>
            </w:tcMar>
          </w:tcPr>
          <w:p>
            <w:pPr>
              <w:spacing w:after="0"/>
            </w:pPr>
            <w:r/>
            <w:r>
              <w:rPr>
                <w:rFonts w:ascii="Calibri" w:hAnsi="Calibri"/>
                <w:b w:val="0"/>
                <w:i w:val="0"/>
                <w:color w:val="101828"/>
                <w:sz w:val="14"/>
              </w:rPr>
              <w:t>Yes</w:t>
            </w:r>
          </w:p>
        </w:tc>
        <w:tc>
          <w:tcPr>
            <w:tcW w:type="dxa" w:w="2880"/>
            <w:tcMar>
              <w:top w:w="60" w:type="dxa"/>
              <w:start w:w="110" w:type="dxa"/>
              <w:bottom w:w="60" w:type="dxa"/>
              <w:end w:w="110" w:type="dxa"/>
            </w:tcMar>
          </w:tcPr>
          <w:p>
            <w:pPr>
              <w:spacing w:after="0"/>
            </w:pPr>
            <w:r/>
            <w:r>
              <w:rPr>
                <w:rFonts w:ascii="Calibri" w:hAnsi="Calibri"/>
                <w:b w:val="0"/>
                <w:i w:val="0"/>
                <w:color w:val="101828"/>
                <w:sz w:val="14"/>
              </w:rPr>
              <w:t>We use this for your receipts and nothing else.</w:t>
            </w:r>
          </w:p>
        </w:tc>
        <w:tc>
          <w:tcPr>
            <w:tcW w:type="dxa" w:w="2707"/>
            <w:tcMar>
              <w:top w:w="60" w:type="dxa"/>
              <w:start w:w="110" w:type="dxa"/>
              <w:bottom w:w="60" w:type="dxa"/>
              <w:end w:w="110" w:type="dxa"/>
            </w:tcMar>
          </w:tcPr>
          <w:p>
            <w:pPr>
              <w:spacing w:after="0"/>
            </w:pPr>
            <w:r/>
            <w:r>
              <w:rPr>
                <w:rFonts w:ascii="Calibri" w:hAnsi="Calibri"/>
                <w:b w:val="0"/>
                <w:i w:val="0"/>
                <w:color w:val="101828"/>
                <w:sz w:val="14"/>
              </w:rPr>
              <w:t>Well-formed; plus-addressing preserved</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Phone</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Input, tel</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Yes</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For Ajo reminders and sign-in codes only.</w:t>
            </w:r>
          </w:p>
        </w:tc>
        <w:tc>
          <w:tcPr>
            <w:tcW w:type="dxa" w:w="2707"/>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Nigerian format, 11 digits, </w:t>
            </w:r>
            <w:r>
              <w:rPr>
                <w:rFonts w:ascii="Consolas" w:hAnsi="Consolas"/>
                <w:color w:val="146EF5"/>
                <w:sz w:val="14"/>
              </w:rPr>
              <w:t>080…</w:t>
            </w:r>
            <w:r>
              <w:rPr>
                <w:rFonts w:ascii="Calibri" w:hAnsi="Calibri"/>
                <w:b w:val="0"/>
                <w:i w:val="0"/>
                <w:color w:val="101828"/>
                <w:sz w:val="14"/>
              </w:rPr>
              <w:t xml:space="preserve"> to </w:t>
            </w:r>
            <w:r>
              <w:rPr>
                <w:rFonts w:ascii="Consolas" w:hAnsi="Consolas"/>
                <w:color w:val="146EF5"/>
                <w:sz w:val="14"/>
              </w:rPr>
              <w:t>080…</w:t>
            </w:r>
            <w:r>
              <w:rPr>
                <w:rFonts w:ascii="Calibri" w:hAnsi="Calibri"/>
                <w:b w:val="0"/>
                <w:i w:val="0"/>
                <w:color w:val="101828"/>
                <w:sz w:val="14"/>
              </w:rPr>
              <w:t xml:space="preserve"> or </w:t>
            </w:r>
            <w:r>
              <w:rPr>
                <w:rFonts w:ascii="Consolas" w:hAnsi="Consolas"/>
                <w:color w:val="146EF5"/>
                <w:sz w:val="14"/>
              </w:rPr>
              <w:t>+234…</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4"/>
              </w:rPr>
              <w:t>Password</w:t>
            </w:r>
          </w:p>
        </w:tc>
        <w:tc>
          <w:tcPr>
            <w:tcW w:type="dxa" w:w="1325"/>
            <w:tcMar>
              <w:top w:w="60" w:type="dxa"/>
              <w:start w:w="110" w:type="dxa"/>
              <w:bottom w:w="60" w:type="dxa"/>
              <w:end w:w="110" w:type="dxa"/>
            </w:tcMar>
          </w:tcPr>
          <w:p>
            <w:pPr>
              <w:spacing w:after="0"/>
            </w:pPr>
            <w:r/>
            <w:r>
              <w:rPr>
                <w:rFonts w:ascii="Calibri" w:hAnsi="Calibri"/>
                <w:b w:val="0"/>
                <w:i w:val="0"/>
                <w:color w:val="101828"/>
                <w:sz w:val="14"/>
              </w:rPr>
              <w:t>Input, password</w:t>
            </w:r>
          </w:p>
        </w:tc>
        <w:tc>
          <w:tcPr>
            <w:tcW w:type="dxa" w:w="720"/>
            <w:tcMar>
              <w:top w:w="60" w:type="dxa"/>
              <w:start w:w="110" w:type="dxa"/>
              <w:bottom w:w="60" w:type="dxa"/>
              <w:end w:w="110" w:type="dxa"/>
            </w:tcMar>
          </w:tcPr>
          <w:p>
            <w:pPr>
              <w:spacing w:after="0"/>
            </w:pPr>
            <w:r/>
            <w:r>
              <w:rPr>
                <w:rFonts w:ascii="Calibri" w:hAnsi="Calibri"/>
                <w:b w:val="0"/>
                <w:i w:val="0"/>
                <w:color w:val="101828"/>
                <w:sz w:val="14"/>
              </w:rPr>
              <w:t>Yes</w:t>
            </w:r>
          </w:p>
        </w:tc>
        <w:tc>
          <w:tcPr>
            <w:tcW w:type="dxa" w:w="2880"/>
            <w:tcMar>
              <w:top w:w="60" w:type="dxa"/>
              <w:start w:w="110" w:type="dxa"/>
              <w:bottom w:w="60" w:type="dxa"/>
              <w:end w:w="110" w:type="dxa"/>
            </w:tcMar>
          </w:tcPr>
          <w:p>
            <w:pPr>
              <w:spacing w:after="0"/>
            </w:pPr>
            <w:r/>
            <w:r>
              <w:rPr>
                <w:rFonts w:ascii="Calibri" w:hAnsi="Calibri"/>
                <w:b w:val="0"/>
                <w:i w:val="0"/>
                <w:color w:val="101828"/>
                <w:sz w:val="14"/>
              </w:rPr>
              <w:t>At least 10 characters, with a number and a symbol.</w:t>
            </w:r>
          </w:p>
        </w:tc>
        <w:tc>
          <w:tcPr>
            <w:tcW w:type="dxa" w:w="2707"/>
            <w:tcMar>
              <w:top w:w="60" w:type="dxa"/>
              <w:start w:w="110" w:type="dxa"/>
              <w:bottom w:w="60" w:type="dxa"/>
              <w:end w:w="110" w:type="dxa"/>
            </w:tcMar>
          </w:tcPr>
          <w:p>
            <w:pPr>
              <w:spacing w:after="0"/>
            </w:pPr>
            <w:r/>
            <w:r>
              <w:rPr>
                <w:rFonts w:ascii="Calibri" w:hAnsi="Calibri"/>
                <w:b w:val="0"/>
                <w:i w:val="0"/>
                <w:color w:val="101828"/>
                <w:sz w:val="14"/>
              </w:rPr>
              <w:t>10 to 128 characters; checked against a known-breached list</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I agree to the Terms and acknowledge the Privacy Policy</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Checkbox</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Yes</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Terms v0.0.0, effective date shown. Links open in a new tab.</w:t>
            </w:r>
          </w:p>
        </w:tc>
        <w:tc>
          <w:tcPr>
            <w:tcW w:type="dxa" w:w="2707"/>
            <w:tcMar>
              <w:top w:w="60" w:type="dxa"/>
              <w:start w:w="110" w:type="dxa"/>
              <w:bottom w:w="60" w:type="dxa"/>
              <w:end w:w="110" w:type="dxa"/>
            </w:tcMar>
            <w:shd w:val="clear" w:color="auto" w:fill="F4F7FB"/>
          </w:tcPr>
          <w:p>
            <w:pPr>
              <w:spacing w:after="0"/>
            </w:pPr>
            <w:r/>
            <w:r>
              <w:rPr>
                <w:rFonts w:ascii="Calibri" w:hAnsi="Calibri"/>
                <w:b w:val="0"/>
                <w:i w:val="0"/>
                <w:color w:val="101828"/>
                <w:sz w:val="14"/>
              </w:rPr>
              <w:t>Must be ticked; stored as a version reference and timestamp</w:t>
            </w:r>
          </w:p>
        </w:tc>
      </w:tr>
    </w:tbl>
    <w:p>
      <w:pPr>
        <w:spacing w:after="80"/>
      </w:pP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Rule</w:t>
            </w:r>
          </w:p>
        </w:tc>
        <w:tc>
          <w:tcPr>
            <w:tcW w:type="dxa" w:w="1786"/>
            <w:shd w:val="clear" w:color="auto" w:fill="0B1F3A"/>
            <w:tcMar>
              <w:top w:w="60" w:type="dxa"/>
              <w:start w:w="110" w:type="dxa"/>
              <w:bottom w:w="60" w:type="dxa"/>
              <w:end w:w="110" w:type="dxa"/>
            </w:tcMar>
          </w:tcPr>
          <w:p>
            <w:pPr>
              <w:spacing w:after="0"/>
            </w:pPr>
            <w:r/>
            <w:r>
              <w:rPr>
                <w:rFonts w:ascii="Calibri" w:hAnsi="Calibri"/>
                <w:b/>
                <w:i w:val="0"/>
                <w:color w:val="FFFFFF"/>
                <w:sz w:val="14"/>
              </w:rPr>
              <w:t>When it fires</w:t>
            </w:r>
          </w:p>
        </w:tc>
        <w:tc>
          <w:tcPr>
            <w:tcW w:type="dxa" w:w="3686"/>
            <w:shd w:val="clear" w:color="auto" w:fill="0B1F3A"/>
            <w:tcMar>
              <w:top w:w="60" w:type="dxa"/>
              <w:start w:w="110" w:type="dxa"/>
              <w:bottom w:w="60" w:type="dxa"/>
              <w:end w:w="110" w:type="dxa"/>
            </w:tcMar>
          </w:tcPr>
          <w:p>
            <w:pPr>
              <w:spacing w:after="0"/>
            </w:pPr>
            <w:r/>
            <w:r>
              <w:rPr>
                <w:rFonts w:ascii="Calibri" w:hAnsi="Calibri"/>
                <w:b/>
                <w:i w:val="0"/>
                <w:color w:val="FFFFFF"/>
                <w:sz w:val="14"/>
              </w:rPr>
              <w:t>Message</w:t>
            </w:r>
          </w:p>
        </w:tc>
        <w:tc>
          <w:tcPr>
            <w:tcW w:type="dxa" w:w="2362"/>
            <w:shd w:val="clear" w:color="auto" w:fill="0B1F3A"/>
            <w:tcMar>
              <w:top w:w="60" w:type="dxa"/>
              <w:start w:w="110" w:type="dxa"/>
              <w:bottom w:w="60" w:type="dxa"/>
              <w:end w:w="110" w:type="dxa"/>
            </w:tcMar>
          </w:tcPr>
          <w:p>
            <w:pPr>
              <w:spacing w:after="0"/>
            </w:pPr>
            <w:r/>
            <w:r>
              <w:rPr>
                <w:rFonts w:ascii="Calibri" w:hAnsi="Calibri"/>
                <w:b/>
                <w:i w:val="0"/>
                <w:color w:val="FFFFFF"/>
                <w:sz w:val="14"/>
              </w:rPr>
              <w:t>Behaviour</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Name empty</w:t>
            </w:r>
          </w:p>
        </w:tc>
        <w:tc>
          <w:tcPr>
            <w:tcW w:type="dxa" w:w="1786"/>
            <w:tcMar>
              <w:top w:w="60" w:type="dxa"/>
              <w:start w:w="110" w:type="dxa"/>
              <w:bottom w:w="60" w:type="dxa"/>
              <w:end w:w="110" w:type="dxa"/>
            </w:tcMar>
          </w:tcPr>
          <w:p>
            <w:pPr>
              <w:spacing w:after="0"/>
            </w:pPr>
            <w:r/>
            <w:r>
              <w:rPr>
                <w:rFonts w:ascii="Calibri" w:hAnsi="Calibri"/>
                <w:b w:val="0"/>
                <w:i w:val="0"/>
                <w:color w:val="101828"/>
                <w:sz w:val="14"/>
              </w:rPr>
              <w:t>Blur</w:t>
            </w:r>
          </w:p>
        </w:tc>
        <w:tc>
          <w:tcPr>
            <w:tcW w:type="dxa" w:w="3686"/>
            <w:tcMar>
              <w:top w:w="60" w:type="dxa"/>
              <w:start w:w="110" w:type="dxa"/>
              <w:bottom w:w="60" w:type="dxa"/>
              <w:end w:w="110" w:type="dxa"/>
            </w:tcMar>
          </w:tcPr>
          <w:p>
            <w:pPr>
              <w:spacing w:after="0"/>
            </w:pPr>
            <w:r/>
            <w:r>
              <w:rPr>
                <w:rFonts w:ascii="Calibri" w:hAnsi="Calibri"/>
                <w:b w:val="0"/>
                <w:i w:val="0"/>
                <w:color w:val="101828"/>
                <w:sz w:val="14"/>
              </w:rPr>
              <w:t>Enter a first name.</w:t>
            </w:r>
          </w:p>
        </w:tc>
        <w:tc>
          <w:tcPr>
            <w:tcW w:type="dxa" w:w="2362"/>
            <w:tcMar>
              <w:top w:w="60" w:type="dxa"/>
              <w:start w:w="110" w:type="dxa"/>
              <w:bottom w:w="60" w:type="dxa"/>
              <w:end w:w="110" w:type="dxa"/>
            </w:tcMar>
          </w:tcPr>
          <w:p>
            <w:pPr>
              <w:spacing w:after="0"/>
            </w:pPr>
            <w:r/>
            <w:r>
              <w:rPr>
                <w:rFonts w:ascii="Calibri" w:hAnsi="Calibri"/>
                <w:b w:val="0"/>
                <w:i w:val="0"/>
                <w:color w:val="101828"/>
                <w:sz w:val="14"/>
              </w:rPr>
              <w:t>Field keeps its content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Name too long</w:t>
            </w:r>
          </w:p>
        </w:tc>
        <w:tc>
          <w:tcPr>
            <w:tcW w:type="dxa" w:w="1786"/>
            <w:tcMar>
              <w:top w:w="60" w:type="dxa"/>
              <w:start w:w="110" w:type="dxa"/>
              <w:bottom w:w="60" w:type="dxa"/>
              <w:end w:w="110" w:type="dxa"/>
            </w:tcMar>
            <w:shd w:val="clear" w:color="auto" w:fill="F4F7FB"/>
          </w:tcPr>
          <w:p>
            <w:pPr>
              <w:spacing w:after="0"/>
            </w:pPr>
            <w:r/>
            <w:r>
              <w:rPr>
                <w:rFonts w:ascii="Calibri" w:hAnsi="Calibri"/>
                <w:b w:val="0"/>
                <w:i w:val="0"/>
                <w:color w:val="101828"/>
                <w:sz w:val="14"/>
              </w:rPr>
              <w:t>Blur</w:t>
            </w:r>
          </w:p>
        </w:tc>
        <w:tc>
          <w:tcPr>
            <w:tcW w:type="dxa" w:w="3686"/>
            <w:tcMar>
              <w:top w:w="60" w:type="dxa"/>
              <w:start w:w="110" w:type="dxa"/>
              <w:bottom w:w="60" w:type="dxa"/>
              <w:end w:w="110" w:type="dxa"/>
            </w:tcMar>
            <w:shd w:val="clear" w:color="auto" w:fill="F4F7FB"/>
          </w:tcPr>
          <w:p>
            <w:pPr>
              <w:spacing w:after="0"/>
            </w:pPr>
            <w:r/>
            <w:r>
              <w:rPr>
                <w:rFonts w:ascii="Calibri" w:hAnsi="Calibri"/>
                <w:b w:val="0"/>
                <w:i w:val="0"/>
                <w:color w:val="101828"/>
                <w:sz w:val="14"/>
              </w:rPr>
              <w:t>Use 40 characters or fewer for a name.</w:t>
            </w:r>
          </w:p>
        </w:tc>
        <w:tc>
          <w:tcPr>
            <w:tcW w:type="dxa" w:w="2362"/>
            <w:tcMar>
              <w:top w:w="60" w:type="dxa"/>
              <w:start w:w="110" w:type="dxa"/>
              <w:bottom w:w="60" w:type="dxa"/>
              <w:end w:w="110" w:type="dxa"/>
            </w:tcMar>
            <w:shd w:val="clear" w:color="auto" w:fill="F4F7FB"/>
          </w:tcPr>
          <w:p>
            <w:pPr>
              <w:spacing w:after="0"/>
            </w:pPr>
            <w:r/>
            <w:r>
              <w:rPr>
                <w:rFonts w:ascii="Calibri" w:hAnsi="Calibri"/>
                <w:b w:val="0"/>
                <w:i w:val="0"/>
                <w:color w:val="101828"/>
                <w:sz w:val="14"/>
              </w:rPr>
              <w:t>Input capped at 40</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Email shape</w:t>
            </w:r>
          </w:p>
        </w:tc>
        <w:tc>
          <w:tcPr>
            <w:tcW w:type="dxa" w:w="1786"/>
            <w:tcMar>
              <w:top w:w="60" w:type="dxa"/>
              <w:start w:w="110" w:type="dxa"/>
              <w:bottom w:w="60" w:type="dxa"/>
              <w:end w:w="110" w:type="dxa"/>
            </w:tcMar>
          </w:tcPr>
          <w:p>
            <w:pPr>
              <w:spacing w:after="0"/>
            </w:pPr>
            <w:r/>
            <w:r>
              <w:rPr>
                <w:rFonts w:ascii="Calibri" w:hAnsi="Calibri"/>
                <w:b w:val="0"/>
                <w:i w:val="0"/>
                <w:color w:val="101828"/>
                <w:sz w:val="14"/>
              </w:rPr>
              <w:t>Blur</w:t>
            </w:r>
          </w:p>
        </w:tc>
        <w:tc>
          <w:tcPr>
            <w:tcW w:type="dxa" w:w="3686"/>
            <w:tcMar>
              <w:top w:w="60" w:type="dxa"/>
              <w:start w:w="110" w:type="dxa"/>
              <w:bottom w:w="60" w:type="dxa"/>
              <w:end w:w="110" w:type="dxa"/>
            </w:tcMar>
          </w:tcPr>
          <w:p>
            <w:pPr>
              <w:spacing w:after="0"/>
            </w:pPr>
            <w:r/>
            <w:r>
              <w:rPr>
                <w:rFonts w:ascii="Calibri" w:hAnsi="Calibri"/>
                <w:b w:val="0"/>
                <w:i w:val="0"/>
                <w:color w:val="101828"/>
                <w:sz w:val="14"/>
              </w:rPr>
              <w:t>Enter an email address, like name@example.com.</w:t>
            </w:r>
          </w:p>
        </w:tc>
        <w:tc>
          <w:tcPr>
            <w:tcW w:type="dxa" w:w="2362"/>
            <w:tcMar>
              <w:top w:w="60" w:type="dxa"/>
              <w:start w:w="110" w:type="dxa"/>
              <w:bottom w:w="60" w:type="dxa"/>
              <w:end w:w="110" w:type="dxa"/>
            </w:tcMar>
          </w:tcPr>
          <w:p>
            <w:pPr>
              <w:spacing w:after="0"/>
            </w:pPr>
            <w:r/>
            <w:r>
              <w:rPr>
                <w:rFonts w:ascii="Calibri" w:hAnsi="Calibri"/>
                <w:b w:val="0"/>
                <w:i w:val="0"/>
                <w:color w:val="101828"/>
                <w:sz w:val="14"/>
              </w:rPr>
              <w:t>Field keeps its content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Email already registered</w:t>
            </w:r>
          </w:p>
        </w:tc>
        <w:tc>
          <w:tcPr>
            <w:tcW w:type="dxa" w:w="1786"/>
            <w:tcMar>
              <w:top w:w="60" w:type="dxa"/>
              <w:start w:w="110" w:type="dxa"/>
              <w:bottom w:w="60" w:type="dxa"/>
              <w:end w:w="110" w:type="dxa"/>
            </w:tcMar>
            <w:shd w:val="clear" w:color="auto" w:fill="F4F7FB"/>
          </w:tcPr>
          <w:p>
            <w:pPr>
              <w:spacing w:after="0"/>
            </w:pPr>
            <w:r/>
            <w:r>
              <w:rPr>
                <w:rFonts w:ascii="Calibri" w:hAnsi="Calibri"/>
                <w:b w:val="0"/>
                <w:i w:val="0"/>
                <w:color w:val="101828"/>
                <w:sz w:val="14"/>
              </w:rPr>
              <w:t>Submit</w:t>
            </w:r>
          </w:p>
        </w:tc>
        <w:tc>
          <w:tcPr>
            <w:tcW w:type="dxa" w:w="3686"/>
            <w:tcMar>
              <w:top w:w="60" w:type="dxa"/>
              <w:start w:w="110" w:type="dxa"/>
              <w:bottom w:w="60" w:type="dxa"/>
              <w:end w:w="110" w:type="dxa"/>
            </w:tcMar>
            <w:shd w:val="clear" w:color="auto" w:fill="F4F7FB"/>
          </w:tcPr>
          <w:p>
            <w:pPr>
              <w:spacing w:after="0"/>
            </w:pPr>
            <w:r/>
            <w:r>
              <w:rPr>
                <w:rFonts w:ascii="Calibri" w:hAnsi="Calibri"/>
                <w:b w:val="0"/>
                <w:i w:val="0"/>
                <w:color w:val="101828"/>
                <w:sz w:val="14"/>
              </w:rPr>
              <w:t>That email already has an account. Sign in instead, or reset the password.</w:t>
            </w:r>
          </w:p>
        </w:tc>
        <w:tc>
          <w:tcPr>
            <w:tcW w:type="dxa" w:w="2362"/>
            <w:tcMar>
              <w:top w:w="60" w:type="dxa"/>
              <w:start w:w="110" w:type="dxa"/>
              <w:bottom w:w="60" w:type="dxa"/>
              <w:end w:w="110" w:type="dxa"/>
            </w:tcMar>
            <w:shd w:val="clear" w:color="auto" w:fill="F4F7FB"/>
          </w:tcPr>
          <w:p>
            <w:pPr>
              <w:spacing w:after="0"/>
            </w:pPr>
            <w:r/>
            <w:r>
              <w:rPr>
                <w:rFonts w:ascii="Calibri" w:hAnsi="Calibri"/>
                <w:b w:val="0"/>
                <w:i w:val="0"/>
                <w:color w:val="101828"/>
                <w:sz w:val="14"/>
              </w:rPr>
              <w:t>Field keeps its content; a sign-in link appears beside the message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Phone shape</w:t>
            </w:r>
          </w:p>
        </w:tc>
        <w:tc>
          <w:tcPr>
            <w:tcW w:type="dxa" w:w="1786"/>
            <w:tcMar>
              <w:top w:w="60" w:type="dxa"/>
              <w:start w:w="110" w:type="dxa"/>
              <w:bottom w:w="60" w:type="dxa"/>
              <w:end w:w="110" w:type="dxa"/>
            </w:tcMar>
          </w:tcPr>
          <w:p>
            <w:pPr>
              <w:spacing w:after="0"/>
            </w:pPr>
            <w:r/>
            <w:r>
              <w:rPr>
                <w:rFonts w:ascii="Calibri" w:hAnsi="Calibri"/>
                <w:b w:val="0"/>
                <w:i w:val="0"/>
                <w:color w:val="101828"/>
                <w:sz w:val="14"/>
              </w:rPr>
              <w:t>Blur</w:t>
            </w:r>
          </w:p>
        </w:tc>
        <w:tc>
          <w:tcPr>
            <w:tcW w:type="dxa" w:w="3686"/>
            <w:tcMar>
              <w:top w:w="60" w:type="dxa"/>
              <w:start w:w="110" w:type="dxa"/>
              <w:bottom w:w="60" w:type="dxa"/>
              <w:end w:w="110" w:type="dxa"/>
            </w:tcMar>
          </w:tcPr>
          <w:p>
            <w:pPr>
              <w:spacing w:after="0"/>
            </w:pPr>
            <w:r/>
            <w:r>
              <w:rPr>
                <w:rFonts w:ascii="Calibri" w:hAnsi="Calibri"/>
                <w:b w:val="0"/>
                <w:i w:val="0"/>
                <w:color w:val="101828"/>
                <w:sz w:val="14"/>
              </w:rPr>
              <w:t>Enter a Nigerian phone number, like 08012345678.</w:t>
            </w:r>
          </w:p>
        </w:tc>
        <w:tc>
          <w:tcPr>
            <w:tcW w:type="dxa" w:w="2362"/>
            <w:tcMar>
              <w:top w:w="60" w:type="dxa"/>
              <w:start w:w="110" w:type="dxa"/>
              <w:bottom w:w="60" w:type="dxa"/>
              <w:end w:w="110" w:type="dxa"/>
            </w:tcMar>
          </w:tcPr>
          <w:p>
            <w:pPr>
              <w:spacing w:after="0"/>
            </w:pPr>
            <w:r/>
            <w:r>
              <w:rPr>
                <w:rFonts w:ascii="Calibri" w:hAnsi="Calibri"/>
                <w:b w:val="0"/>
                <w:i w:val="0"/>
                <w:color w:val="101828"/>
                <w:sz w:val="14"/>
              </w:rPr>
              <w:t>Field keeps its content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Phone already registered</w:t>
            </w:r>
          </w:p>
        </w:tc>
        <w:tc>
          <w:tcPr>
            <w:tcW w:type="dxa" w:w="1786"/>
            <w:tcMar>
              <w:top w:w="60" w:type="dxa"/>
              <w:start w:w="110" w:type="dxa"/>
              <w:bottom w:w="60" w:type="dxa"/>
              <w:end w:w="110" w:type="dxa"/>
            </w:tcMar>
            <w:shd w:val="clear" w:color="auto" w:fill="F4F7FB"/>
          </w:tcPr>
          <w:p>
            <w:pPr>
              <w:spacing w:after="0"/>
            </w:pPr>
            <w:r/>
            <w:r>
              <w:rPr>
                <w:rFonts w:ascii="Calibri" w:hAnsi="Calibri"/>
                <w:b w:val="0"/>
                <w:i w:val="0"/>
                <w:color w:val="101828"/>
                <w:sz w:val="14"/>
              </w:rPr>
              <w:t>Submit</w:t>
            </w:r>
          </w:p>
        </w:tc>
        <w:tc>
          <w:tcPr>
            <w:tcW w:type="dxa" w:w="3686"/>
            <w:tcMar>
              <w:top w:w="60" w:type="dxa"/>
              <w:start w:w="110" w:type="dxa"/>
              <w:bottom w:w="60" w:type="dxa"/>
              <w:end w:w="110" w:type="dxa"/>
            </w:tcMar>
            <w:shd w:val="clear" w:color="auto" w:fill="F4F7FB"/>
          </w:tcPr>
          <w:p>
            <w:pPr>
              <w:spacing w:after="0"/>
            </w:pPr>
            <w:r/>
            <w:r>
              <w:rPr>
                <w:rFonts w:ascii="Calibri" w:hAnsi="Calibri"/>
                <w:b w:val="0"/>
                <w:i w:val="0"/>
                <w:color w:val="101828"/>
                <w:sz w:val="14"/>
              </w:rPr>
              <w:t>That number already has an account. Sign in instead, or reset the password.</w:t>
            </w:r>
          </w:p>
        </w:tc>
        <w:tc>
          <w:tcPr>
            <w:tcW w:type="dxa" w:w="2362"/>
            <w:tcMar>
              <w:top w:w="60" w:type="dxa"/>
              <w:start w:w="110" w:type="dxa"/>
              <w:bottom w:w="60" w:type="dxa"/>
              <w:end w:w="110" w:type="dxa"/>
            </w:tcMar>
            <w:shd w:val="clear" w:color="auto" w:fill="F4F7FB"/>
          </w:tcPr>
          <w:p>
            <w:pPr>
              <w:spacing w:after="0"/>
            </w:pPr>
            <w:r/>
            <w:r>
              <w:rPr>
                <w:rFonts w:ascii="Calibri" w:hAnsi="Calibri"/>
                <w:b w:val="0"/>
                <w:i w:val="0"/>
                <w:color w:val="101828"/>
                <w:sz w:val="14"/>
              </w:rPr>
              <w:t>Field keeps its content; no silent merge with an existing account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Password too short</w:t>
            </w:r>
          </w:p>
        </w:tc>
        <w:tc>
          <w:tcPr>
            <w:tcW w:type="dxa" w:w="1786"/>
            <w:tcMar>
              <w:top w:w="60" w:type="dxa"/>
              <w:start w:w="110" w:type="dxa"/>
              <w:bottom w:w="60" w:type="dxa"/>
              <w:end w:w="110" w:type="dxa"/>
            </w:tcMar>
          </w:tcPr>
          <w:p>
            <w:pPr>
              <w:spacing w:after="0"/>
            </w:pPr>
            <w:r/>
            <w:r>
              <w:rPr>
                <w:rFonts w:ascii="Calibri" w:hAnsi="Calibri"/>
                <w:b w:val="0"/>
                <w:i w:val="0"/>
                <w:color w:val="101828"/>
                <w:sz w:val="14"/>
              </w:rPr>
              <w:t>Live, from 1 character</w:t>
            </w:r>
          </w:p>
        </w:tc>
        <w:tc>
          <w:tcPr>
            <w:tcW w:type="dxa" w:w="3686"/>
            <w:tcMar>
              <w:top w:w="60" w:type="dxa"/>
              <w:start w:w="110" w:type="dxa"/>
              <w:bottom w:w="60" w:type="dxa"/>
              <w:end w:w="110" w:type="dxa"/>
            </w:tcMar>
          </w:tcPr>
          <w:p>
            <w:pPr>
              <w:spacing w:after="0"/>
            </w:pPr>
            <w:r/>
            <w:r>
              <w:rPr>
                <w:rFonts w:ascii="Calibri" w:hAnsi="Calibri"/>
                <w:b w:val="0"/>
                <w:i w:val="0"/>
                <w:color w:val="101828"/>
                <w:sz w:val="14"/>
              </w:rPr>
              <w:t>Use at least 10 characters. 7 so far.</w:t>
            </w:r>
          </w:p>
        </w:tc>
        <w:tc>
          <w:tcPr>
            <w:tcW w:type="dxa" w:w="2362"/>
            <w:tcMar>
              <w:top w:w="60" w:type="dxa"/>
              <w:start w:w="110" w:type="dxa"/>
              <w:bottom w:w="60" w:type="dxa"/>
              <w:end w:w="110" w:type="dxa"/>
            </w:tcMar>
          </w:tcPr>
          <w:p>
            <w:pPr>
              <w:spacing w:after="0"/>
            </w:pPr>
            <w:r/>
            <w:r>
              <w:rPr>
                <w:rFonts w:ascii="Calibri" w:hAnsi="Calibri"/>
                <w:b w:val="0"/>
                <w:i w:val="0"/>
                <w:color w:val="101828"/>
                <w:sz w:val="14"/>
              </w:rPr>
              <w:t>Field keeps its content; the rule list ticks as it is satisfied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Password missing a number or symbol</w:t>
            </w:r>
          </w:p>
        </w:tc>
        <w:tc>
          <w:tcPr>
            <w:tcW w:type="dxa" w:w="1786"/>
            <w:tcMar>
              <w:top w:w="60" w:type="dxa"/>
              <w:start w:w="110" w:type="dxa"/>
              <w:bottom w:w="60" w:type="dxa"/>
              <w:end w:w="110" w:type="dxa"/>
            </w:tcMar>
            <w:shd w:val="clear" w:color="auto" w:fill="F4F7FB"/>
          </w:tcPr>
          <w:p>
            <w:pPr>
              <w:spacing w:after="0"/>
            </w:pPr>
            <w:r/>
            <w:r>
              <w:rPr>
                <w:rFonts w:ascii="Calibri" w:hAnsi="Calibri"/>
                <w:b w:val="0"/>
                <w:i w:val="0"/>
                <w:color w:val="101828"/>
                <w:sz w:val="14"/>
              </w:rPr>
              <w:t>Live, from 1 character</w:t>
            </w:r>
          </w:p>
        </w:tc>
        <w:tc>
          <w:tcPr>
            <w:tcW w:type="dxa" w:w="3686"/>
            <w:tcMar>
              <w:top w:w="60" w:type="dxa"/>
              <w:start w:w="110" w:type="dxa"/>
              <w:bottom w:w="60" w:type="dxa"/>
              <w:end w:w="110" w:type="dxa"/>
            </w:tcMar>
            <w:shd w:val="clear" w:color="auto" w:fill="F4F7FB"/>
          </w:tcPr>
          <w:p>
            <w:pPr>
              <w:spacing w:after="0"/>
            </w:pPr>
            <w:r/>
            <w:r>
              <w:rPr>
                <w:rFonts w:ascii="Calibri" w:hAnsi="Calibri"/>
                <w:b w:val="0"/>
                <w:i w:val="0"/>
                <w:color w:val="101828"/>
                <w:sz w:val="14"/>
              </w:rPr>
              <w:t>Add a number and a symbol. 7 characters, number added, symbol missing.</w:t>
            </w:r>
          </w:p>
        </w:tc>
        <w:tc>
          <w:tcPr>
            <w:tcW w:type="dxa" w:w="2362"/>
            <w:tcMar>
              <w:top w:w="60" w:type="dxa"/>
              <w:start w:w="110" w:type="dxa"/>
              <w:bottom w:w="60" w:type="dxa"/>
              <w:end w:w="110" w:type="dxa"/>
            </w:tcMar>
            <w:shd w:val="clear" w:color="auto" w:fill="F4F7FB"/>
          </w:tcPr>
          <w:p>
            <w:pPr>
              <w:spacing w:after="0"/>
            </w:pPr>
            <w:r/>
            <w:r>
              <w:rPr>
                <w:rFonts w:ascii="Calibri" w:hAnsi="Calibri"/>
                <w:b w:val="0"/>
                <w:i w:val="0"/>
                <w:color w:val="101828"/>
                <w:sz w:val="14"/>
              </w:rPr>
              <w:t>Field keeps its content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Password in a known breached list</w:t>
            </w:r>
          </w:p>
        </w:tc>
        <w:tc>
          <w:tcPr>
            <w:tcW w:type="dxa" w:w="1786"/>
            <w:tcMar>
              <w:top w:w="60" w:type="dxa"/>
              <w:start w:w="110" w:type="dxa"/>
              <w:bottom w:w="60" w:type="dxa"/>
              <w:end w:w="110" w:type="dxa"/>
            </w:tcMar>
          </w:tcPr>
          <w:p>
            <w:pPr>
              <w:spacing w:after="0"/>
            </w:pPr>
            <w:r/>
            <w:r>
              <w:rPr>
                <w:rFonts w:ascii="Calibri" w:hAnsi="Calibri"/>
                <w:b w:val="0"/>
                <w:i w:val="0"/>
                <w:color w:val="101828"/>
                <w:sz w:val="14"/>
              </w:rPr>
              <w:t>Submit</w:t>
            </w:r>
          </w:p>
        </w:tc>
        <w:tc>
          <w:tcPr>
            <w:tcW w:type="dxa" w:w="3686"/>
            <w:tcMar>
              <w:top w:w="60" w:type="dxa"/>
              <w:start w:w="110" w:type="dxa"/>
              <w:bottom w:w="60" w:type="dxa"/>
              <w:end w:w="110" w:type="dxa"/>
            </w:tcMar>
          </w:tcPr>
          <w:p>
            <w:pPr>
              <w:spacing w:after="0"/>
            </w:pPr>
            <w:r/>
            <w:r>
              <w:rPr>
                <w:rFonts w:ascii="Calibri" w:hAnsi="Calibri"/>
                <w:b w:val="0"/>
                <w:i w:val="0"/>
                <w:color w:val="101828"/>
                <w:sz w:val="14"/>
              </w:rPr>
              <w:t>That password has appeared in a known data breach. Choose a different one.</w:t>
            </w:r>
          </w:p>
        </w:tc>
        <w:tc>
          <w:tcPr>
            <w:tcW w:type="dxa" w:w="2362"/>
            <w:tcMar>
              <w:top w:w="60" w:type="dxa"/>
              <w:start w:w="110" w:type="dxa"/>
              <w:bottom w:w="60" w:type="dxa"/>
              <w:end w:w="110" w:type="dxa"/>
            </w:tcMar>
          </w:tcPr>
          <w:p>
            <w:pPr>
              <w:spacing w:after="0"/>
            </w:pPr>
            <w:r/>
            <w:r>
              <w:rPr>
                <w:rFonts w:ascii="Calibri" w:hAnsi="Calibri"/>
                <w:b w:val="0"/>
                <w:i w:val="0"/>
                <w:color w:val="101828"/>
                <w:sz w:val="14"/>
              </w:rPr>
              <w:t>Field keeps its content; never suggests a specific alternative password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Consent unticked</w:t>
            </w:r>
          </w:p>
        </w:tc>
        <w:tc>
          <w:tcPr>
            <w:tcW w:type="dxa" w:w="1786"/>
            <w:tcMar>
              <w:top w:w="60" w:type="dxa"/>
              <w:start w:w="110" w:type="dxa"/>
              <w:bottom w:w="60" w:type="dxa"/>
              <w:end w:w="110" w:type="dxa"/>
            </w:tcMar>
            <w:shd w:val="clear" w:color="auto" w:fill="F4F7FB"/>
          </w:tcPr>
          <w:p>
            <w:pPr>
              <w:spacing w:after="0"/>
            </w:pPr>
            <w:r/>
            <w:r>
              <w:rPr>
                <w:rFonts w:ascii="Calibri" w:hAnsi="Calibri"/>
                <w:b w:val="0"/>
                <w:i w:val="0"/>
                <w:color w:val="101828"/>
                <w:sz w:val="14"/>
              </w:rPr>
              <w:t>Submit</w:t>
            </w:r>
          </w:p>
        </w:tc>
        <w:tc>
          <w:tcPr>
            <w:tcW w:type="dxa" w:w="3686"/>
            <w:tcMar>
              <w:top w:w="60" w:type="dxa"/>
              <w:start w:w="110" w:type="dxa"/>
              <w:bottom w:w="60" w:type="dxa"/>
              <w:end w:w="110" w:type="dxa"/>
            </w:tcMar>
            <w:shd w:val="clear" w:color="auto" w:fill="F4F7FB"/>
          </w:tcPr>
          <w:p>
            <w:pPr>
              <w:spacing w:after="0"/>
            </w:pPr>
            <w:r/>
            <w:r>
              <w:rPr>
                <w:rFonts w:ascii="Calibri" w:hAnsi="Calibri"/>
                <w:b w:val="0"/>
                <w:i w:val="0"/>
                <w:color w:val="101828"/>
                <w:sz w:val="14"/>
              </w:rPr>
              <w:t>Tick the box to agree to the Terms.</w:t>
            </w:r>
          </w:p>
        </w:tc>
        <w:tc>
          <w:tcPr>
            <w:tcW w:type="dxa" w:w="2362"/>
            <w:tcMar>
              <w:top w:w="60" w:type="dxa"/>
              <w:start w:w="110" w:type="dxa"/>
              <w:bottom w:w="60" w:type="dxa"/>
              <w:end w:w="110" w:type="dxa"/>
            </w:tcMar>
            <w:shd w:val="clear" w:color="auto" w:fill="F4F7FB"/>
          </w:tcPr>
          <w:p>
            <w:pPr>
              <w:spacing w:after="0"/>
            </w:pPr>
            <w:r/>
            <w:r>
              <w:rPr>
                <w:rFonts w:ascii="Calibri" w:hAnsi="Calibri"/>
                <w:b w:val="0"/>
                <w:i w:val="0"/>
                <w:color w:val="101828"/>
                <w:sz w:val="14"/>
              </w:rPr>
              <w:t>Focus moves to the checkbox</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Rate limited</w:t>
            </w:r>
          </w:p>
        </w:tc>
        <w:tc>
          <w:tcPr>
            <w:tcW w:type="dxa" w:w="1786"/>
            <w:tcMar>
              <w:top w:w="60" w:type="dxa"/>
              <w:start w:w="110" w:type="dxa"/>
              <w:bottom w:w="60" w:type="dxa"/>
              <w:end w:w="110" w:type="dxa"/>
            </w:tcMar>
          </w:tcPr>
          <w:p>
            <w:pPr>
              <w:spacing w:after="0"/>
            </w:pPr>
            <w:r/>
            <w:r>
              <w:rPr>
                <w:rFonts w:ascii="Calibri" w:hAnsi="Calibri"/>
                <w:b w:val="0"/>
                <w:i w:val="0"/>
                <w:color w:val="101828"/>
                <w:sz w:val="14"/>
              </w:rPr>
              <w:t>Fifth attempt in an hour</w:t>
            </w:r>
          </w:p>
        </w:tc>
        <w:tc>
          <w:tcPr>
            <w:tcW w:type="dxa" w:w="3686"/>
            <w:tcMar>
              <w:top w:w="60" w:type="dxa"/>
              <w:start w:w="110" w:type="dxa"/>
              <w:bottom w:w="60" w:type="dxa"/>
              <w:end w:w="110" w:type="dxa"/>
            </w:tcMar>
          </w:tcPr>
          <w:p>
            <w:pPr>
              <w:spacing w:after="0"/>
            </w:pPr>
            <w:r/>
            <w:r>
              <w:rPr>
                <w:rFonts w:ascii="Calibri" w:hAnsi="Calibri"/>
                <w:b w:val="0"/>
                <w:i w:val="0"/>
                <w:color w:val="101828"/>
                <w:sz w:val="14"/>
              </w:rPr>
              <w:t>Too many attempts from this connection. Try again in an hour, or contact us.</w:t>
            </w:r>
          </w:p>
        </w:tc>
        <w:tc>
          <w:tcPr>
            <w:tcW w:type="dxa" w:w="2362"/>
            <w:tcMar>
              <w:top w:w="60" w:type="dxa"/>
              <w:start w:w="110" w:type="dxa"/>
              <w:bottom w:w="60" w:type="dxa"/>
              <w:end w:w="110" w:type="dxa"/>
            </w:tcMar>
          </w:tcPr>
          <w:p>
            <w:pPr>
              <w:spacing w:after="0"/>
            </w:pPr>
            <w:r/>
            <w:r>
              <w:rPr>
                <w:rFonts w:ascii="Calibri" w:hAnsi="Calibri"/>
                <w:b w:val="0"/>
                <w:i w:val="0"/>
                <w:color w:val="101828"/>
                <w:sz w:val="14"/>
              </w:rPr>
              <w:t>Field content preserved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Submission failed</w:t>
            </w:r>
          </w:p>
        </w:tc>
        <w:tc>
          <w:tcPr>
            <w:tcW w:type="dxa" w:w="1786"/>
            <w:tcMar>
              <w:top w:w="60" w:type="dxa"/>
              <w:start w:w="110" w:type="dxa"/>
              <w:bottom w:w="60" w:type="dxa"/>
              <w:end w:w="110" w:type="dxa"/>
            </w:tcMar>
            <w:shd w:val="clear" w:color="auto" w:fill="F4F7FB"/>
          </w:tcPr>
          <w:p>
            <w:pPr>
              <w:spacing w:after="0"/>
            </w:pPr>
            <w:r/>
            <w:r>
              <w:rPr>
                <w:rFonts w:ascii="Calibri" w:hAnsi="Calibri"/>
                <w:b w:val="0"/>
                <w:i w:val="0"/>
                <w:color w:val="101828"/>
                <w:sz w:val="14"/>
              </w:rPr>
              <w:t>5xx or timeout</w:t>
            </w:r>
          </w:p>
        </w:tc>
        <w:tc>
          <w:tcPr>
            <w:tcW w:type="dxa" w:w="3686"/>
            <w:tcMar>
              <w:top w:w="60" w:type="dxa"/>
              <w:start w:w="110" w:type="dxa"/>
              <w:bottom w:w="60" w:type="dxa"/>
              <w:end w:w="110" w:type="dxa"/>
            </w:tcMar>
            <w:shd w:val="clear" w:color="auto" w:fill="F4F7FB"/>
          </w:tcPr>
          <w:p>
            <w:pPr>
              <w:spacing w:after="0"/>
            </w:pPr>
            <w:r/>
            <w:r>
              <w:rPr>
                <w:rFonts w:ascii="Calibri" w:hAnsi="Calibri"/>
                <w:b w:val="0"/>
                <w:i w:val="0"/>
                <w:color w:val="101828"/>
                <w:sz w:val="14"/>
              </w:rPr>
              <w:t>We could not create the account. Your details are still here. Try again. Reference 4RTW9P.</w:t>
            </w:r>
          </w:p>
        </w:tc>
        <w:tc>
          <w:tcPr>
            <w:tcW w:type="dxa" w:w="2362"/>
            <w:tcMar>
              <w:top w:w="60" w:type="dxa"/>
              <w:start w:w="110" w:type="dxa"/>
              <w:bottom w:w="60" w:type="dxa"/>
              <w:end w:w="110" w:type="dxa"/>
            </w:tcMar>
            <w:shd w:val="clear" w:color="auto" w:fill="F4F7FB"/>
          </w:tcPr>
          <w:p>
            <w:pPr>
              <w:spacing w:after="0"/>
            </w:pPr>
            <w:r/>
            <w:r>
              <w:rPr>
                <w:rFonts w:ascii="Calibri" w:hAnsi="Calibri"/>
                <w:b w:val="0"/>
                <w:i w:val="0"/>
                <w:color w:val="101828"/>
                <w:sz w:val="14"/>
              </w:rPr>
              <w:t>Field content preserved, banner receives focus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Verification email undelivered</w:t>
            </w:r>
          </w:p>
        </w:tc>
        <w:tc>
          <w:tcPr>
            <w:tcW w:type="dxa" w:w="1786"/>
            <w:tcMar>
              <w:top w:w="60" w:type="dxa"/>
              <w:start w:w="110" w:type="dxa"/>
              <w:bottom w:w="60" w:type="dxa"/>
              <w:end w:w="110" w:type="dxa"/>
            </w:tcMar>
          </w:tcPr>
          <w:p>
            <w:pPr>
              <w:spacing w:after="0"/>
            </w:pPr>
            <w:r/>
            <w:r>
              <w:rPr>
                <w:rFonts w:ascii="Calibri" w:hAnsi="Calibri"/>
                <w:b w:val="0"/>
                <w:i w:val="0"/>
                <w:color w:val="101828"/>
                <w:sz w:val="14"/>
              </w:rPr>
              <w:t>After success</w:t>
            </w:r>
          </w:p>
        </w:tc>
        <w:tc>
          <w:tcPr>
            <w:tcW w:type="dxa" w:w="3686"/>
            <w:tcMar>
              <w:top w:w="60" w:type="dxa"/>
              <w:start w:w="110" w:type="dxa"/>
              <w:bottom w:w="60" w:type="dxa"/>
              <w:end w:w="110" w:type="dxa"/>
            </w:tcMar>
          </w:tcPr>
          <w:p>
            <w:pPr>
              <w:spacing w:after="0"/>
            </w:pPr>
            <w:r/>
            <w:r>
              <w:rPr>
                <w:rFonts w:ascii="Calibri" w:hAnsi="Calibri"/>
                <w:b w:val="0"/>
                <w:i w:val="0"/>
                <w:color w:val="101828"/>
                <w:sz w:val="14"/>
              </w:rPr>
              <w:t xml:space="preserve">Account created. We could not send the verification email, so </w:t>
            </w:r>
            <w:r>
              <w:rPr>
                <w:rFonts w:ascii="Calibri" w:hAnsi="Calibri"/>
                <w:i/>
                <w:color w:val="101828"/>
                <w:sz w:val="14"/>
              </w:rPr>
              <w:t>Resend</w:t>
            </w:r>
            <w:r>
              <w:rPr>
                <w:rFonts w:ascii="Calibri" w:hAnsi="Calibri"/>
                <w:b w:val="0"/>
                <w:i w:val="0"/>
                <w:color w:val="101828"/>
                <w:sz w:val="14"/>
              </w:rPr>
              <w:t xml:space="preserve"> is available immediately.</w:t>
            </w:r>
          </w:p>
        </w:tc>
        <w:tc>
          <w:tcPr>
            <w:tcW w:type="dxa" w:w="2362"/>
            <w:tcMar>
              <w:top w:w="60" w:type="dxa"/>
              <w:start w:w="110" w:type="dxa"/>
              <w:bottom w:w="60" w:type="dxa"/>
              <w:end w:w="110" w:type="dxa"/>
            </w:tcMar>
          </w:tcPr>
          <w:p>
            <w:pPr>
              <w:spacing w:after="0"/>
            </w:pPr>
            <w:r/>
            <w:r>
              <w:rPr>
                <w:rFonts w:ascii="Calibri" w:hAnsi="Calibri"/>
                <w:b w:val="0"/>
                <w:i w:val="0"/>
                <w:color w:val="101828"/>
                <w:sz w:val="14"/>
              </w:rPr>
              <w:t>The member is signed in; unverified state is visible in More</w:t>
            </w:r>
          </w:p>
        </w:tc>
      </w:tr>
    </w:tbl>
    <w:p>
      <w:pPr>
        <w:spacing w:after="80"/>
      </w:pPr>
    </w:p>
    <w:p>
      <w:pPr>
        <w:pStyle w:val="Heading3"/>
      </w:pPr>
      <w:r>
        <w:rPr>
          <w:rFonts w:ascii="Calibri" w:hAnsi="Calibri"/>
          <w:b/>
          <w:i w:val="0"/>
          <w:color w:val="0B1F3A"/>
          <w:sz w:val="24"/>
        </w:rPr>
        <w:t>4.5.3 Forgot password — SCR-WEB-11</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Send a reset link to an address on file, without telling the caller whether that address has an account.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locked out, usually on a borrowed or shared phone. They need this to work on the first try, and they must not be exposed by it.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Single card, 420 px, on Deep, with the same logo lockup as SCR-WEB-09. The card holds one field, one button, and one return link.</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FormField</w:t>
            </w:r>
            <w:r>
              <w:rPr>
                <w:rFonts w:ascii="Calibri" w:hAnsi="Calibri"/>
                <w:b w:val="0"/>
                <w:i w:val="0"/>
                <w:color w:val="101828"/>
                <w:sz w:val="14"/>
              </w:rPr>
              <w:t xml:space="preserve"> (email), </w:t>
            </w:r>
            <w:r>
              <w:rPr>
                <w:rFonts w:ascii="Consolas" w:hAnsi="Consolas"/>
                <w:color w:val="146EF5"/>
                <w:sz w:val="14"/>
              </w:rPr>
              <w:t>Button</w:t>
            </w:r>
            <w:r>
              <w:rPr>
                <w:rFonts w:ascii="Calibri" w:hAnsi="Calibri"/>
                <w:b w:val="0"/>
                <w:i w:val="0"/>
                <w:color w:val="101828"/>
                <w:sz w:val="14"/>
              </w:rPr>
              <w:t xml:space="preserve"> (primary), </w:t>
            </w:r>
            <w:r>
              <w:rPr>
                <w:rFonts w:ascii="Consolas" w:hAnsi="Consolas"/>
                <w:color w:val="146EF5"/>
                <w:sz w:val="14"/>
              </w:rPr>
              <w:t>Link</w:t>
            </w:r>
            <w:r>
              <w:rPr>
                <w:rFonts w:ascii="Calibri" w:hAnsi="Calibri"/>
                <w:b w:val="0"/>
                <w:i w:val="0"/>
                <w:color w:val="101828"/>
                <w:sz w:val="14"/>
              </w:rPr>
              <w:t xml:space="preserve"> (back to sign in), </w:t>
            </w:r>
            <w:r>
              <w:rPr>
                <w:rFonts w:ascii="Consolas" w:hAnsi="Consolas"/>
                <w:color w:val="146EF5"/>
                <w:sz w:val="14"/>
              </w:rPr>
              <w:t>Footer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Reached from the </w:t>
            </w:r>
            <w:r>
              <w:rPr>
                <w:rFonts w:ascii="Calibri" w:hAnsi="Calibri"/>
                <w:i/>
                <w:color w:val="101828"/>
                <w:sz w:val="14"/>
              </w:rPr>
              <w:t>Forgot password</w:t>
            </w:r>
            <w:r>
              <w:rPr>
                <w:rFonts w:ascii="Calibri" w:hAnsi="Calibri"/>
                <w:b w:val="0"/>
                <w:i w:val="0"/>
                <w:color w:val="101828"/>
                <w:sz w:val="14"/>
              </w:rPr>
              <w:t xml:space="preserve"> link on SCR-WEB-09 only. Returns to sign-in on success.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Send the reset link</w:t>
            </w:r>
            <w:r>
              <w:rPr>
                <w:rFonts w:ascii="Calibri" w:hAnsi="Calibri"/>
                <w:b w:val="0"/>
                <w:i w:val="0"/>
                <w:color w:val="101828"/>
                <w:sz w:val="14"/>
              </w:rPr>
              <w:t>. One filled button, full card width.</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Back to sign in</w:t>
            </w:r>
            <w:r>
              <w:rPr>
                <w:rFonts w:ascii="Calibri" w:hAnsi="Calibri"/>
                <w:b w:val="0"/>
                <w:i w:val="0"/>
                <w:color w:val="101828"/>
                <w:sz w:val="14"/>
              </w:rPr>
              <w:t xml:space="preserve"> (tertiary link) below the form.</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Email. A statement that the link expires and that it goes to the address on the account, not to whatever address is typed here.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Email, input type </w:t>
            </w:r>
            <w:r>
              <w:rPr>
                <w:rFonts w:ascii="Consolas" w:hAnsi="Consolas"/>
                <w:color w:val="146EF5"/>
                <w:sz w:val="14"/>
              </w:rPr>
              <w:t>email</w:t>
            </w:r>
            <w:r>
              <w:rPr>
                <w:rFonts w:ascii="Calibri" w:hAnsi="Calibri"/>
                <w:b w:val="0"/>
                <w:i w:val="0"/>
                <w:color w:val="101828"/>
                <w:sz w:val="14"/>
              </w:rPr>
              <w:t>, required, autofill username.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Email shape on blur. </w:t>
            </w:r>
            <w:r>
              <w:rPr>
                <w:rFonts w:ascii="Calibri" w:hAnsi="Calibri"/>
                <w:b/>
                <w:color w:val="101828"/>
                <w:sz w:val="14"/>
              </w:rPr>
              <w:t>The response is identical for a known and an unknown address</w:t>
            </w:r>
            <w:r>
              <w:rPr>
                <w:rFonts w:ascii="Calibri" w:hAnsi="Calibri"/>
                <w:b w:val="0"/>
                <w:i w:val="0"/>
                <w:color w:val="101828"/>
                <w:sz w:val="14"/>
              </w:rPr>
              <w:t xml:space="preserve">: </w:t>
            </w:r>
            <w:r>
              <w:rPr>
                <w:rFonts w:ascii="Calibri" w:hAnsi="Calibri"/>
                <w:i/>
                <w:color w:val="101828"/>
                <w:sz w:val="14"/>
              </w:rPr>
              <w:t>If that address has an account, a reset link is on its way. It expires in 30 minutes.</w:t>
            </w:r>
            <w:r>
              <w:rPr>
                <w:rFonts w:ascii="Calibri" w:hAnsi="Calibri"/>
                <w:b w:val="0"/>
                <w:i w:val="0"/>
                <w:color w:val="101828"/>
                <w:sz w:val="14"/>
              </w:rPr>
              <w:t xml:space="preserve"> Nothing in the message, the timing, or the page distinguishes the two cases.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button works with its width locked. No spinner over the card.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Empty field with helper text.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Shape errors inline. Send failures produce the same neutral response, because telling a caller that the mail was not sent is a weaker signal than a uniform success and buys nothing.</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card is replaced in place by the neutral confirmation. No countdown, no </w:t>
            </w:r>
            <w:r>
              <w:rPr>
                <w:rFonts w:ascii="Calibri" w:hAnsi="Calibri"/>
                <w:i/>
                <w:color w:val="101828"/>
                <w:sz w:val="14"/>
              </w:rPr>
              <w:t>it is not working? try this</w:t>
            </w:r>
            <w:r>
              <w:rPr>
                <w:rFonts w:ascii="Calibri" w:hAnsi="Calibri"/>
                <w:b w:val="0"/>
                <w:i w:val="0"/>
                <w:color w:val="101828"/>
                <w:sz w:val="14"/>
              </w:rPr>
              <w:t xml:space="preserve"> carousel, no second send button in the same state — the resend lives on SCR-WEB-12.</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Single card, 16 px side padding below 375.</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confirmation is announced in a polite live region. The identical-response rule is enforced in the interface, not only in the copy: there is no timing-dependent difference and no redirect difference.</w:t>
            </w:r>
          </w:p>
        </w:tc>
      </w:tr>
    </w:tbl>
    <w:p>
      <w:pPr>
        <w:spacing w:after="80"/>
      </w:pPr>
    </w:p>
    <w:p>
      <w:pPr>
        <w:pStyle w:val="Heading3"/>
      </w:pPr>
      <w:r>
        <w:rPr>
          <w:rFonts w:ascii="Calibri" w:hAnsi="Calibri"/>
          <w:b/>
          <w:i w:val="0"/>
          <w:color w:val="0B1F3A"/>
          <w:sz w:val="24"/>
        </w:rPr>
        <w:t>4.5.4 Reset password — SCR-WEB-12</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Let a member set a new password from a valid single-use token, and let them know when the token is no longer usable.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who followed a link from an email or SMS, possibly hours or days later, possibly on a different device from the one they requested it 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Single card, 420 px, Deep background. Card content is decided by token state, not by a loading spinner, because the common case is that the token has expired.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FormField</w:t>
            </w:r>
            <w:r>
              <w:rPr>
                <w:rFonts w:ascii="Calibri" w:hAnsi="Calibri"/>
                <w:b w:val="0"/>
                <w:i w:val="0"/>
                <w:color w:val="101828"/>
                <w:sz w:val="14"/>
              </w:rPr>
              <w:t xml:space="preserve"> (password ×2), </w:t>
            </w:r>
            <w:r>
              <w:rPr>
                <w:rFonts w:ascii="Consolas" w:hAnsi="Consolas"/>
                <w:color w:val="146EF5"/>
                <w:sz w:val="14"/>
              </w:rPr>
              <w:t>PasswordStrength</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(primary), </w:t>
            </w:r>
            <w:r>
              <w:rPr>
                <w:rFonts w:ascii="Consolas" w:hAnsi="Consolas"/>
                <w:color w:val="146EF5"/>
                <w:sz w:val="14"/>
              </w:rPr>
              <w:t>Button</w:t>
            </w:r>
            <w:r>
              <w:rPr>
                <w:rFonts w:ascii="Calibri" w:hAnsi="Calibri"/>
                <w:b w:val="0"/>
                <w:i w:val="0"/>
                <w:color w:val="101828"/>
                <w:sz w:val="14"/>
              </w:rPr>
              <w:t xml:space="preserve"> (secondary, request a new link), </w:t>
            </w:r>
            <w:r>
              <w:rPr>
                <w:rFonts w:ascii="Consolas" w:hAnsi="Consolas"/>
                <w:color w:val="146EF5"/>
                <w:sz w:val="14"/>
              </w:rPr>
              <w:t>Callout</w:t>
            </w:r>
            <w:r>
              <w:rPr>
                <w:rFonts w:ascii="Calibri" w:hAnsi="Calibri"/>
                <w:b w:val="0"/>
                <w:i w:val="0"/>
                <w:color w:val="101828"/>
                <w:sz w:val="14"/>
              </w:rPr>
              <w:t xml:space="preserve"> (WARNING, invalid or expired token), </w:t>
            </w:r>
            <w:r>
              <w:rPr>
                <w:rFonts w:ascii="Consolas" w:hAnsi="Consolas"/>
                <w:color w:val="146EF5"/>
                <w:sz w:val="14"/>
              </w:rPr>
              <w:t>Footer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Reached only from the emailed link. </w:t>
            </w:r>
            <w:r>
              <w:rPr>
                <w:rFonts w:ascii="Consolas" w:hAnsi="Consolas"/>
                <w:color w:val="146EF5"/>
                <w:sz w:val="14"/>
              </w:rPr>
              <w:t>returnTo</w:t>
            </w:r>
            <w:r>
              <w:rPr>
                <w:rFonts w:ascii="Calibri" w:hAnsi="Calibri"/>
                <w:b w:val="0"/>
                <w:i w:val="0"/>
                <w:color w:val="101828"/>
                <w:sz w:val="14"/>
              </w:rPr>
              <w:t xml:space="preserve"> is not honoured here, so a token link cannot be used as an open redirect.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Set new password</w:t>
            </w:r>
            <w:r>
              <w:rPr>
                <w:rFonts w:ascii="Calibri" w:hAnsi="Calibri"/>
                <w:b w:val="0"/>
                <w:i w:val="0"/>
                <w:color w:val="101828"/>
                <w:sz w:val="14"/>
              </w:rPr>
              <w:t>. One filled button.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Send me a new link</w:t>
            </w:r>
            <w:r>
              <w:rPr>
                <w:rFonts w:ascii="Calibri" w:hAnsi="Calibri"/>
                <w:b w:val="0"/>
                <w:i w:val="0"/>
                <w:color w:val="101828"/>
                <w:sz w:val="14"/>
              </w:rPr>
              <w:t xml:space="preserve"> (secondary outlined button), present only in the expired or invalid token state. In the valid state there is no secondary action, because the task has exactly one outcome.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New password, with the rules listed before the field. Confirm new password, with a </w:t>
            </w:r>
            <w:r>
              <w:rPr>
                <w:rFonts w:ascii="Calibri" w:hAnsi="Calibri"/>
                <w:i/>
                <w:color w:val="101828"/>
                <w:sz w:val="14"/>
              </w:rPr>
              <w:t>match</w:t>
            </w:r>
            <w:r>
              <w:rPr>
                <w:rFonts w:ascii="Calibri" w:hAnsi="Calibri"/>
                <w:b w:val="0"/>
                <w:i w:val="0"/>
                <w:color w:val="101828"/>
                <w:sz w:val="14"/>
              </w:rPr>
              <w:t xml:space="preserve"> check. A NOTE stating that every other signed-in session is signed out when the password changes.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New password, required, autofill new-password, rules associated. Confirm new password, required, autofill new-password.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Same password rules as SCR-WEB-10. Confirm must match. </w:t>
            </w:r>
            <w:r>
              <w:rPr>
                <w:rFonts w:ascii="Calibri" w:hAnsi="Calibri"/>
                <w:b/>
                <w:color w:val="101828"/>
                <w:sz w:val="14"/>
              </w:rPr>
              <w:t>No complexity rule that contradicts length</w:t>
            </w:r>
            <w:r>
              <w:rPr>
                <w:rFonts w:ascii="Calibri" w:hAnsi="Calibri"/>
                <w:b w:val="0"/>
                <w:i w:val="0"/>
                <w:color w:val="101828"/>
                <w:sz w:val="14"/>
              </w:rPr>
              <w:t xml:space="preserve">: a passphrase is accepted. A mismatch message states which field to fix, not that the values are </w:t>
            </w:r>
            <w:r>
              <w:rPr>
                <w:rFonts w:ascii="Calibri" w:hAnsi="Calibri"/>
                <w:i/>
                <w:color w:val="101828"/>
                <w:sz w:val="14"/>
              </w:rPr>
              <w:t>invalid</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button works with its width locked. Token validity is checked on arrival, and the result of that check decides the state; the valid state is not shown optimistically and then retracted.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Empty fields with the rules visible.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Three distinct token states, all in WARNING or DANGER treatment and all offering a new link: expired, already used, malformed. A used token is not treated as a generic failure, because the member may have completed the reset in another tab.</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password is set, every other session is signed out, and the member is signed in on this device. The card shows the outcome and a link to continue. There is no </w:t>
            </w:r>
            <w:r>
              <w:rPr>
                <w:rFonts w:ascii="Calibri" w:hAnsi="Calibri"/>
                <w:i/>
                <w:color w:val="101828"/>
                <w:sz w:val="14"/>
              </w:rPr>
              <w:t>please sign in again</w:t>
            </w:r>
            <w:r>
              <w:rPr>
                <w:rFonts w:ascii="Calibri" w:hAnsi="Calibri"/>
                <w:b w:val="0"/>
                <w:i w:val="0"/>
                <w:color w:val="101828"/>
                <w:sz w:val="14"/>
              </w:rPr>
              <w:t xml:space="preserve"> step, because sending a member who just proved they can get in, back to the sign-in form, is a pointless tax.</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Single card at every width; 16 px side padding below 375.</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rules list is associated with the new-password field and is read before entry. The strength meter is not the only indicator: unmet rules are listed in words. The confirm field's error is polite, and focus moves to the first invalid field on submit.</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Tokens are never revealed in an error message  </w:t>
      </w:r>
      <w:r>
        <w:rPr>
          <w:rFonts w:ascii="Calibri" w:hAnsi="Calibri"/>
          <w:b w:val="0"/>
          <w:i w:val="0"/>
          <w:color w:val="0B1F3A"/>
          <w:sz w:val="19"/>
        </w:rPr>
        <w:t xml:space="preserve">An invalid, expired, used and malformed token all produce the same shape of response and the same recovery action. A message that distinguishes </w:t>
      </w:r>
      <w:r>
        <w:rPr>
          <w:rFonts w:ascii="Calibri" w:hAnsi="Calibri"/>
          <w:i/>
          <w:color w:val="0B1F3A"/>
          <w:sz w:val="19"/>
        </w:rPr>
        <w:t>expired</w:t>
      </w:r>
      <w:r>
        <w:rPr>
          <w:rFonts w:ascii="Calibri" w:hAnsi="Calibri"/>
          <w:b w:val="0"/>
          <w:i w:val="0"/>
          <w:color w:val="0B1F3A"/>
          <w:sz w:val="19"/>
        </w:rPr>
        <w:t xml:space="preserve"> from </w:t>
      </w:r>
      <w:r>
        <w:rPr>
          <w:rFonts w:ascii="Calibri" w:hAnsi="Calibri"/>
          <w:i/>
          <w:color w:val="0B1F3A"/>
          <w:sz w:val="19"/>
        </w:rPr>
        <w:t>used</w:t>
      </w:r>
      <w:r>
        <w:rPr>
          <w:rFonts w:ascii="Calibri" w:hAnsi="Calibri"/>
          <w:b w:val="0"/>
          <w:i w:val="0"/>
          <w:color w:val="0B1F3A"/>
          <w:sz w:val="19"/>
        </w:rPr>
        <w:t xml:space="preserve"> confirms that the token existed, which turns a reset link into a probe for whether a given account has a pending reset.</w:t>
      </w:r>
    </w:p>
    <w:p>
      <w:pPr>
        <w:pStyle w:val="Heading3"/>
      </w:pPr>
      <w:r>
        <w:rPr>
          <w:rFonts w:ascii="Calibri" w:hAnsi="Calibri"/>
          <w:b/>
          <w:i w:val="0"/>
          <w:color w:val="0B1F3A"/>
          <w:sz w:val="24"/>
        </w:rPr>
        <w:t>4.5.5 Verify email — SCR-WEB-13</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Prove control of the address before anything depends on it, and make the consequence of not verifying obvious rather than punitive.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newly registered member who has been signed in and is now being asked to confirm an address, usually without having noticed that they have not.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Single card, 420 px, Deep background. The address is shown with a </w:t>
            </w:r>
            <w:r>
              <w:rPr>
                <w:rFonts w:ascii="Calibri" w:hAnsi="Calibri"/>
                <w:i/>
                <w:color w:val="101828"/>
                <w:sz w:val="14"/>
              </w:rPr>
              <w:t>change</w:t>
            </w:r>
            <w:r>
              <w:rPr>
                <w:rFonts w:ascii="Calibri" w:hAnsi="Calibri"/>
                <w:b w:val="0"/>
                <w:i w:val="0"/>
                <w:color w:val="101828"/>
                <w:sz w:val="14"/>
              </w:rPr>
              <w:t xml:space="preserve"> link, the status line, and one button. The card is intentionally short: there is nothing else to do here.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FormField</w:t>
            </w:r>
            <w:r>
              <w:rPr>
                <w:rFonts w:ascii="Calibri" w:hAnsi="Calibri"/>
                <w:b w:val="0"/>
                <w:i w:val="0"/>
                <w:color w:val="101828"/>
                <w:sz w:val="14"/>
              </w:rPr>
              <w:t xml:space="preserve"> (email, editable), </w:t>
            </w:r>
            <w:r>
              <w:rPr>
                <w:rFonts w:ascii="Consolas" w:hAnsi="Consolas"/>
                <w:color w:val="146EF5"/>
                <w:sz w:val="14"/>
              </w:rPr>
              <w:t>Button</w:t>
            </w:r>
            <w:r>
              <w:rPr>
                <w:rFonts w:ascii="Calibri" w:hAnsi="Calibri"/>
                <w:b w:val="0"/>
                <w:i w:val="0"/>
                <w:color w:val="101828"/>
                <w:sz w:val="14"/>
              </w:rPr>
              <w:t xml:space="preserve"> (primary), </w:t>
            </w:r>
            <w:r>
              <w:rPr>
                <w:rFonts w:ascii="Consolas" w:hAnsi="Consolas"/>
                <w:color w:val="146EF5"/>
                <w:sz w:val="14"/>
              </w:rPr>
              <w:t>Button</w:t>
            </w:r>
            <w:r>
              <w:rPr>
                <w:rFonts w:ascii="Calibri" w:hAnsi="Calibri"/>
                <w:b w:val="0"/>
                <w:i w:val="0"/>
                <w:color w:val="101828"/>
                <w:sz w:val="14"/>
              </w:rPr>
              <w:t xml:space="preserve"> (secondary, change address), </w:t>
            </w:r>
            <w:r>
              <w:rPr>
                <w:rFonts w:ascii="Consolas" w:hAnsi="Consolas"/>
                <w:color w:val="146EF5"/>
                <w:sz w:val="14"/>
              </w:rPr>
              <w:t>Badge</w:t>
            </w:r>
            <w:r>
              <w:rPr>
                <w:rFonts w:ascii="Calibri" w:hAnsi="Calibri"/>
                <w:b w:val="0"/>
                <w:i w:val="0"/>
                <w:color w:val="101828"/>
                <w:sz w:val="14"/>
              </w:rPr>
              <w:t xml:space="preserve"> (unverified), </w:t>
            </w:r>
            <w:r>
              <w:rPr>
                <w:rFonts w:ascii="Consolas" w:hAnsi="Consolas"/>
                <w:color w:val="146EF5"/>
                <w:sz w:val="14"/>
              </w:rPr>
              <w:t>Callout</w:t>
            </w:r>
            <w:r>
              <w:rPr>
                <w:rFonts w:ascii="Calibri" w:hAnsi="Calibri"/>
                <w:b w:val="0"/>
                <w:i w:val="0"/>
                <w:color w:val="101828"/>
                <w:sz w:val="14"/>
              </w:rPr>
              <w:t xml:space="preserve"> (NOTE, why this matters), </w:t>
            </w:r>
            <w:r>
              <w:rPr>
                <w:rFonts w:ascii="Consolas" w:hAnsi="Consolas"/>
                <w:color w:val="146EF5"/>
                <w:sz w:val="14"/>
              </w:rPr>
              <w:t>Footer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Reached from the emailed link, and as a persistent, non-blocking state inside the app until verified. </w:t>
            </w:r>
            <w:r>
              <w:rPr>
                <w:rFonts w:ascii="Calibri" w:hAnsi="Calibri"/>
                <w:b/>
                <w:color w:val="101828"/>
                <w:sz w:val="14"/>
              </w:rPr>
              <w:t>It is never a modal and never an interstitial</w:t>
            </w:r>
            <w:r>
              <w:rPr>
                <w:rFonts w:ascii="Calibri" w:hAnsi="Calibri"/>
                <w:b w:val="0"/>
                <w:i w:val="0"/>
                <w:color w:val="101828"/>
                <w:sz w:val="14"/>
              </w:rPr>
              <w:t>: an unverified member may continue to read everything and open the More sheet.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Send the verification email</w:t>
            </w:r>
            <w:r>
              <w:rPr>
                <w:rFonts w:ascii="Calibri" w:hAnsi="Calibri"/>
                <w:b w:val="0"/>
                <w:i w:val="0"/>
                <w:color w:val="101828"/>
                <w:sz w:val="14"/>
              </w:rPr>
              <w:t>. One filled button.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Change the email address</w:t>
            </w:r>
            <w:r>
              <w:rPr>
                <w:rFonts w:ascii="Calibri" w:hAnsi="Calibri"/>
                <w:b w:val="0"/>
                <w:i w:val="0"/>
                <w:color w:val="101828"/>
                <w:sz w:val="14"/>
              </w:rPr>
              <w:t xml:space="preserve"> (tertiary link) beside the address, and </w:t>
            </w:r>
            <w:r>
              <w:rPr>
                <w:rFonts w:ascii="Calibri" w:hAnsi="Calibri"/>
                <w:i/>
                <w:color w:val="101828"/>
                <w:sz w:val="14"/>
              </w:rPr>
              <w:t>Resend</w:t>
            </w:r>
            <w:r>
              <w:rPr>
                <w:rFonts w:ascii="Calibri" w:hAnsi="Calibri"/>
                <w:b w:val="0"/>
                <w:i w:val="0"/>
                <w:color w:val="101828"/>
                <w:sz w:val="14"/>
              </w:rPr>
              <w:t xml:space="preserve"> as a secondary outlined button once the cooldown is active.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address. The resend cooldown, stated as a clock. A NOTE stating what verification is for: receipts, account recovery, and dispute evidence. A statement that unverified accounts can read but cannot pay a contribution or receive a payout, so the consequence is known before it is met.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Email, input type </w:t>
            </w:r>
            <w:r>
              <w:rPr>
                <w:rFonts w:ascii="Consolas" w:hAnsi="Consolas"/>
                <w:color w:val="146EF5"/>
                <w:sz w:val="14"/>
              </w:rPr>
              <w:t>email</w:t>
            </w:r>
            <w:r>
              <w:rPr>
                <w:rFonts w:ascii="Calibri" w:hAnsi="Calibri"/>
                <w:b w:val="0"/>
                <w:i w:val="0"/>
                <w:color w:val="101828"/>
                <w:sz w:val="14"/>
              </w:rPr>
              <w:t>, editable in place; changing it restarts the cooldown and re-issues the verification target.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Email shape on blur. Resend is limited to one per 60 seconds per address and five per day, and the limit is enforced in the interface, so the button is disabled with a live countdown rather than failing on click.</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button works with its width locked. The cooldown starts from the moment the send is accepted, not from the moment the response returns, so a slow response cannot be used to send twice.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address is never empty on this screen; if it has been cleared, the empty field state is used and the primary button becomes </w:t>
            </w:r>
            <w:r>
              <w:rPr>
                <w:rFonts w:ascii="Calibri" w:hAnsi="Calibri"/>
                <w:i/>
                <w:color w:val="101828"/>
                <w:sz w:val="14"/>
              </w:rPr>
              <w:t>Send</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Delivery failure shows the neutral form of the resend message plus a </w:t>
            </w:r>
            <w:r>
              <w:rPr>
                <w:rFonts w:ascii="Calibri" w:hAnsi="Calibri"/>
                <w:i/>
                <w:color w:val="101828"/>
                <w:sz w:val="14"/>
              </w:rPr>
              <w:t>use a different address</w:t>
            </w:r>
            <w:r>
              <w:rPr>
                <w:rFonts w:ascii="Calibri" w:hAnsi="Calibri"/>
                <w:b w:val="0"/>
                <w:i w:val="0"/>
                <w:color w:val="101828"/>
                <w:sz w:val="14"/>
              </w:rPr>
              <w:t xml:space="preserve"> link. It never says the address does not exist, because an unverifiable address is more often a typo or a full mailbox than an attack, and saying so only makes the member defensive.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After the member follows the link, the in-app state changes to verified and a single confirmation line appears in place of the card. The card is not dismissed by a timer.</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Single card at every width; 16 px side padding below 375.</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cooldown is a polite live region updated once a second at most, and is also stated as a text time so a screen reader user is not read a changing number every tick. The verified state change is announced politely once.</w:t>
            </w:r>
          </w:p>
        </w:tc>
      </w:tr>
    </w:tbl>
    <w:p>
      <w:pPr>
        <w:spacing w:after="80"/>
      </w:pPr>
    </w:p>
    <w:p>
      <w:pPr>
        <w:pStyle w:val="Heading3"/>
      </w:pPr>
      <w:r>
        <w:rPr>
          <w:rFonts w:ascii="Calibri" w:hAnsi="Calibri"/>
          <w:b/>
          <w:i w:val="0"/>
          <w:color w:val="0B1F3A"/>
          <w:sz w:val="24"/>
        </w:rPr>
        <w:t>4.5.6 No Ajo yet — SCR-WEB-14</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Turn the one genuinely empty state in the product into the next action, rather than into an apology. A member with an account and no Ajo is a normal state, not a failure state, and the screen may not look like a 404.</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brand-new member who has just registered and has not yet been added to an Ajo. They do not yet know how Ajos are created or joined, so the screen has to explain both in two sentences.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Two regions. A short explanation on Cloud, then two equal cards: </w:t>
            </w:r>
            <w:r>
              <w:rPr>
                <w:rFonts w:ascii="Calibri" w:hAnsi="Calibri"/>
                <w:i/>
                <w:color w:val="101828"/>
                <w:sz w:val="14"/>
              </w:rPr>
              <w:t>Join an Ajo</w:t>
            </w:r>
            <w:r>
              <w:rPr>
                <w:rFonts w:ascii="Calibri" w:hAnsi="Calibri"/>
                <w:b w:val="0"/>
                <w:i w:val="0"/>
                <w:color w:val="101828"/>
                <w:sz w:val="14"/>
              </w:rPr>
              <w:t xml:space="preserve"> and </w:t>
            </w:r>
            <w:r>
              <w:rPr>
                <w:rFonts w:ascii="Calibri" w:hAnsi="Calibri"/>
                <w:i/>
                <w:color w:val="101828"/>
                <w:sz w:val="14"/>
              </w:rPr>
              <w:t>Create an Ajo</w:t>
            </w:r>
            <w:r>
              <w:rPr>
                <w:rFonts w:ascii="Calibri" w:hAnsi="Calibri"/>
                <w:b w:val="0"/>
                <w:i w:val="0"/>
                <w:color w:val="101828"/>
                <w:sz w:val="14"/>
              </w:rPr>
              <w:t xml:space="preserve">. The two cards are peers — neither is presented as the real one. A third, quieter line below: </w:t>
            </w:r>
            <w:r>
              <w:rPr>
                <w:rFonts w:ascii="Calibri" w:hAnsi="Calibri"/>
                <w:i/>
                <w:color w:val="101828"/>
                <w:sz w:val="14"/>
              </w:rPr>
              <w:t>Have an invite link?</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EmptyState</w:t>
            </w:r>
            <w:r>
              <w:rPr>
                <w:rFonts w:ascii="Calibri" w:hAnsi="Calibri"/>
                <w:b w:val="0"/>
                <w:i w:val="0"/>
                <w:color w:val="101828"/>
                <w:sz w:val="14"/>
              </w:rPr>
              <w:t xml:space="preserve"> (illustration, non-essential), </w:t>
            </w:r>
            <w:r>
              <w:rPr>
                <w:rFonts w:ascii="Consolas" w:hAnsi="Consolas"/>
                <w:color w:val="146EF5"/>
                <w:sz w:val="14"/>
              </w:rPr>
              <w:t>Button</w:t>
            </w:r>
            <w:r>
              <w:rPr>
                <w:rFonts w:ascii="Calibri" w:hAnsi="Calibri"/>
                <w:b w:val="0"/>
                <w:i w:val="0"/>
                <w:color w:val="101828"/>
                <w:sz w:val="14"/>
              </w:rPr>
              <w:t xml:space="preserve"> (primary, one per card), </w:t>
            </w:r>
            <w:r>
              <w:rPr>
                <w:rFonts w:ascii="Consolas" w:hAnsi="Consolas"/>
                <w:color w:val="146EF5"/>
                <w:sz w:val="14"/>
              </w:rPr>
              <w:t>FormField</w:t>
            </w:r>
            <w:r>
              <w:rPr>
                <w:rFonts w:ascii="Calibri" w:hAnsi="Calibri"/>
                <w:b w:val="0"/>
                <w:i w:val="0"/>
                <w:color w:val="101828"/>
                <w:sz w:val="14"/>
              </w:rPr>
              <w:t xml:space="preserve"> (invite code, collapsed), </w:t>
            </w:r>
            <w:r>
              <w:rPr>
                <w:rFonts w:ascii="Consolas" w:hAnsi="Consolas"/>
                <w:color w:val="146EF5"/>
                <w:sz w:val="14"/>
              </w:rPr>
              <w:t>Callout</w:t>
            </w:r>
            <w:r>
              <w:rPr>
                <w:rFonts w:ascii="Calibri" w:hAnsi="Calibri"/>
                <w:b w:val="0"/>
                <w:i w:val="0"/>
                <w:color w:val="101828"/>
                <w:sz w:val="14"/>
              </w:rPr>
              <w:t xml:space="preserve"> (NOTE, roles), </w:t>
            </w:r>
            <w:r>
              <w:rPr>
                <w:rFonts w:ascii="Consolas" w:hAnsi="Consolas"/>
                <w:color w:val="146EF5"/>
                <w:sz w:val="14"/>
              </w:rPr>
              <w:t>Footer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destination for a registered member with zero Ajo memberships, and the landing route after registration. Also reachable from the dashboard's own empty state, where the copy is identical.</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color w:val="101828"/>
                <w:sz w:val="14"/>
              </w:rPr>
              <w:t>Two filled buttons, one per card, and this is the only screen in the product where that is correct.</w:t>
            </w:r>
            <w:r>
              <w:rPr>
                <w:rFonts w:ascii="Calibri" w:hAnsi="Calibri"/>
                <w:b w:val="0"/>
                <w:i w:val="0"/>
                <w:color w:val="101828"/>
                <w:sz w:val="14"/>
              </w:rPr>
              <w:t xml:space="preserve"> They lead to different places and neither is a subordinate fallback, so ranking them would be a lie. Each card also carries exactly one filled button, never two.</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I have an invite code</w:t>
            </w:r>
            <w:r>
              <w:rPr>
                <w:rFonts w:ascii="Calibri" w:hAnsi="Calibri"/>
                <w:b w:val="0"/>
                <w:i w:val="0"/>
                <w:color w:val="101828"/>
                <w:sz w:val="14"/>
              </w:rPr>
              <w:t xml:space="preserve"> (tertiary link), which expands an inline single-field form. </w:t>
            </w:r>
            <w:r>
              <w:rPr>
                <w:rFonts w:ascii="Calibri" w:hAnsi="Calibri"/>
                <w:i/>
                <w:color w:val="101828"/>
                <w:sz w:val="14"/>
              </w:rPr>
              <w:t>Sign out</w:t>
            </w:r>
            <w:r>
              <w:rPr>
                <w:rFonts w:ascii="Calibri" w:hAnsi="Calibri"/>
                <w:b w:val="0"/>
                <w:i w:val="0"/>
                <w:color w:val="101828"/>
                <w:sz w:val="14"/>
              </w:rPr>
              <w:t xml:space="preserve"> (tertiary link) at the bottom, because a shared device is a plausible situation here.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You are not in an Ajo yet. When you join or create one, your Ajos and your schedule appear here.</w:t>
            </w:r>
            <w:r>
              <w:rPr>
                <w:rFonts w:ascii="Calibri" w:hAnsi="Calibri"/>
                <w:b w:val="0"/>
                <w:i w:val="0"/>
                <w:color w:val="101828"/>
                <w:sz w:val="14"/>
              </w:rPr>
              <w:t xml:space="preserve"> The join card: </w:t>
            </w:r>
            <w:r>
              <w:rPr>
                <w:rFonts w:ascii="Calibri" w:hAnsi="Calibri"/>
                <w:i/>
                <w:color w:val="101828"/>
                <w:sz w:val="14"/>
              </w:rPr>
              <w:t>Ask your organiser for an invite link, or enter a code.</w:t>
            </w:r>
            <w:r>
              <w:rPr>
                <w:rFonts w:ascii="Calibri" w:hAnsi="Calibri"/>
                <w:b w:val="0"/>
                <w:i w:val="0"/>
                <w:color w:val="101828"/>
                <w:sz w:val="14"/>
              </w:rPr>
              <w:t xml:space="preserve"> The create card: </w:t>
            </w:r>
            <w:r>
              <w:rPr>
                <w:rFonts w:ascii="Calibri" w:hAnsi="Calibri"/>
                <w:i/>
                <w:color w:val="101828"/>
                <w:sz w:val="14"/>
              </w:rPr>
              <w:t>Start a new Ajo. You will set the amount, the number of members and the payment day, and invite people to join.</w:t>
            </w:r>
            <w:r>
              <w:rPr>
                <w:rFonts w:ascii="Calibri" w:hAnsi="Calibri"/>
                <w:b w:val="0"/>
                <w:i w:val="0"/>
                <w:color w:val="101828"/>
                <w:sz w:val="14"/>
              </w:rPr>
              <w:t xml:space="preserve"> A NOTE explaining that anyone can create an Ajo and that an organiser is simply a member who created one, because the two are frequently confused and the confusion is a barrier to entry.</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Invite code, input text, optional, collapsed by default. NGN-prefixed, 6 to 12 characters, case-insensitive, spaces stripped on input.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Code: required if submitted, length 6 to 12 after normalisation. An unknown or expired code produces </w:t>
            </w:r>
            <w:r>
              <w:rPr>
                <w:rFonts w:ascii="Calibri" w:hAnsi="Calibri"/>
                <w:i/>
                <w:color w:val="101828"/>
                <w:sz w:val="14"/>
              </w:rPr>
              <w:t>That code is not valid, or the invite has closed</w:t>
            </w:r>
            <w:r>
              <w:rPr>
                <w:rFonts w:ascii="Calibri" w:hAnsi="Calibri"/>
                <w:b w:val="0"/>
                <w:i w:val="0"/>
                <w:color w:val="101828"/>
                <w:sz w:val="14"/>
              </w:rPr>
              <w:t xml:space="preserve"> — one message for both, because a distinct message for an expired invite is a way to enumerate active invites.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code check runs with the field's trailing affordance in a working state, width locked. The two card buttons are not inert while it runs, because they lead somewhere unrelated.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This screen </w:t>
            </w:r>
            <w:r>
              <w:rPr>
                <w:rFonts w:ascii="Calibri" w:hAnsi="Calibri"/>
                <w:i/>
                <w:color w:val="101828"/>
                <w:sz w:val="14"/>
              </w:rPr>
              <w:t>is</w:t>
            </w:r>
            <w:r>
              <w:rPr>
                <w:rFonts w:ascii="Calibri" w:hAnsi="Calibri"/>
                <w:b w:val="0"/>
                <w:i w:val="0"/>
                <w:color w:val="101828"/>
                <w:sz w:val="14"/>
              </w:rPr>
              <w:t xml:space="preserve"> the empty state, and it is treated as a first-class screen with a route, a title and links, not as a component rendered into a blank page.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Inline on the code field. Join and create failures surface in the relevant card, with the card's content preserved.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successful code entry transitions to the invitation-pending state, which is a separate route and not this screen. Creating an Ajo transitions to the wizard at SCR-MOB-05.2.</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Two cards side by side at </w:t>
            </w:r>
            <w:r>
              <w:rPr>
                <w:rFonts w:ascii="Consolas" w:hAnsi="Consolas"/>
                <w:color w:val="146EF5"/>
                <w:sz w:val="14"/>
              </w:rPr>
              <w:t>md</w:t>
            </w:r>
            <w:r>
              <w:rPr>
                <w:rFonts w:ascii="Calibri" w:hAnsi="Calibri"/>
                <w:b w:val="0"/>
                <w:i w:val="0"/>
                <w:color w:val="101828"/>
                <w:sz w:val="14"/>
              </w:rPr>
              <w:t xml:space="preserve"> and above, stacked below it with join first, because joining is the shorter task and the more common route. Neither card is ever removed at any width.</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two cards are labelled regions with real headings, so a screen reader user can jump between them. The illustration is decorative and hidden from the accessibility tree. The primary buttons have distinct, self-describing labels — </w:t>
            </w:r>
            <w:r>
              <w:rPr>
                <w:rFonts w:ascii="Calibri" w:hAnsi="Calibri"/>
                <w:i/>
                <w:color w:val="101828"/>
                <w:sz w:val="14"/>
              </w:rPr>
              <w:t>Join an Ajo</w:t>
            </w:r>
            <w:r>
              <w:rPr>
                <w:rFonts w:ascii="Calibri" w:hAnsi="Calibri"/>
                <w:b w:val="0"/>
                <w:i w:val="0"/>
                <w:color w:val="101828"/>
                <w:sz w:val="14"/>
              </w:rPr>
              <w:t xml:space="preserve"> and </w:t>
            </w:r>
            <w:r>
              <w:rPr>
                <w:rFonts w:ascii="Calibri" w:hAnsi="Calibri"/>
                <w:i/>
                <w:color w:val="101828"/>
                <w:sz w:val="14"/>
              </w:rPr>
              <w:t>Create an Ajo</w:t>
            </w:r>
            <w:r>
              <w:rPr>
                <w:rFonts w:ascii="Calibri" w:hAnsi="Calibri"/>
                <w:b w:val="0"/>
                <w:i w:val="0"/>
                <w:color w:val="101828"/>
                <w:sz w:val="14"/>
              </w:rPr>
              <w:t xml:space="preserve"> — not two buttons both called </w:t>
            </w:r>
            <w:r>
              <w:rPr>
                <w:rFonts w:ascii="Calibri" w:hAnsi="Calibri"/>
                <w:i/>
                <w:color w:val="101828"/>
                <w:sz w:val="14"/>
              </w:rPr>
              <w:t>Continue</w:t>
            </w:r>
            <w:r>
              <w:rPr>
                <w:rFonts w:ascii="Calibri" w:hAnsi="Calibri"/>
                <w:b w:val="0"/>
                <w:i w:val="0"/>
                <w:color w:val="101828"/>
                <w:sz w:val="14"/>
              </w:rPr>
              <w:t>.</w:t>
            </w:r>
          </w:p>
        </w:tc>
      </w:tr>
    </w:tbl>
    <w:p>
      <w:pPr>
        <w:spacing w:after="80"/>
      </w:pPr>
    </w:p>
    <w:p>
      <w:r>
        <w:br w:type="page"/>
      </w:r>
    </w:p>
    <w:p>
      <w:pPr>
        <w:pStyle w:val="Heading2"/>
      </w:pPr>
      <w:r>
        <w:rPr>
          <w:rFonts w:ascii="Calibri" w:hAnsi="Calibri"/>
          <w:b/>
          <w:i w:val="0"/>
          <w:color w:val="146EF5"/>
          <w:sz w:val="29"/>
        </w:rPr>
        <w:t>4.6 Dashboard — tier 2, member</w:t>
      </w:r>
    </w:p>
    <w:p>
      <w:r>
        <w:rPr>
          <w:rFonts w:ascii="Calibri" w:hAnsi="Calibri"/>
          <w:b w:val="0"/>
          <w:i w:val="0"/>
          <w:color w:val="101828"/>
          <w:sz w:val="21"/>
        </w:rPr>
        <w:t xml:space="preserve">The two screens a member sees most often, and the two places where the product's central promise is either kept or quietly broken. The dashboard answers </w:t>
      </w:r>
      <w:r>
        <w:rPr>
          <w:rFonts w:ascii="Calibri" w:hAnsi="Calibri"/>
          <w:i/>
          <w:color w:val="101828"/>
          <w:sz w:val="21"/>
        </w:rPr>
        <w:t>where does my money stand</w:t>
      </w:r>
      <w:r>
        <w:rPr>
          <w:rFonts w:ascii="Calibri" w:hAnsi="Calibri"/>
          <w:b w:val="0"/>
          <w:i w:val="0"/>
          <w:color w:val="101828"/>
          <w:sz w:val="21"/>
        </w:rPr>
        <w:t xml:space="preserve"> before it answers anything else, and the Ajo list answers </w:t>
      </w:r>
      <w:r>
        <w:rPr>
          <w:rFonts w:ascii="Calibri" w:hAnsi="Calibri"/>
          <w:i/>
          <w:color w:val="101828"/>
          <w:sz w:val="21"/>
        </w:rPr>
        <w:t>which groups am I in</w:t>
      </w:r>
      <w:r>
        <w:rPr>
          <w:rFonts w:ascii="Calibri" w:hAnsi="Calibri"/>
          <w:b w:val="0"/>
          <w:i w:val="0"/>
          <w:color w:val="101828"/>
          <w:sz w:val="21"/>
        </w:rPr>
        <w:t xml:space="preserve"> before it asks for anything. Both open on content, never on a spinner over an empty region.</w:t>
      </w:r>
    </w:p>
    <w:p>
      <w:pPr>
        <w:pStyle w:val="Heading3"/>
      </w:pPr>
      <w:r>
        <w:rPr>
          <w:rFonts w:ascii="Calibri" w:hAnsi="Calibri"/>
          <w:b/>
          <w:i w:val="0"/>
          <w:color w:val="0B1F3A"/>
          <w:sz w:val="24"/>
        </w:rPr>
        <w:t>4.6.1 Dashboard — SCR-MOB-01</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Answer the money question first and completely: what I owe, when, what I have paid, what I will receive, and what the last round actually cost. Then show the Ajos, then the activity.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signed-in member opening the app in the morning, or in a queue, or immediately after a payment notification. They are checking a figure, not browsing. Some of them are anxious about a round they have not paid, and the screen should let them confirm that in two seconds.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Single scrolling column, max 720 px on web and full width capped at 480 px on mobile. Order is fixed: greeting and verification strip; the money summary block; the next obligation card; the Ajo list; recent activity. </w:t>
            </w:r>
            <w:r>
              <w:rPr>
                <w:rFonts w:ascii="Calibri" w:hAnsi="Calibri"/>
                <w:b/>
                <w:color w:val="101828"/>
                <w:sz w:val="14"/>
              </w:rPr>
              <w:t>The money summary never moves below the fold, and nothing is inserted above it.</w:t>
            </w:r>
            <w:r>
              <w:rPr>
                <w:rFonts w:ascii="Calibri" w:hAnsi="Calibri"/>
                <w:b w:val="0"/>
                <w:i w:val="0"/>
                <w:color w:val="101828"/>
                <w:sz w:val="14"/>
              </w:rPr>
              <w:t xml:space="preserve"> A single FAB is absent; the primary action for a member with a due contribution is a full-width button inside the next-obligation card, not a floating control that covers content.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StatCard</w:t>
            </w:r>
            <w:r>
              <w:rPr>
                <w:rFonts w:ascii="Calibri" w:hAnsi="Calibri"/>
                <w:b w:val="0"/>
                <w:i w:val="0"/>
                <w:color w:val="101828"/>
                <w:sz w:val="14"/>
              </w:rPr>
              <w:t xml:space="preserve"> ×4, </w:t>
            </w:r>
            <w:r>
              <w:rPr>
                <w:rFonts w:ascii="Consolas" w:hAnsi="Consolas"/>
                <w:color w:val="146EF5"/>
                <w:sz w:val="14"/>
              </w:rPr>
              <w:t>MoneyBlock</w:t>
            </w:r>
            <w:r>
              <w:rPr>
                <w:rFonts w:ascii="Calibri" w:hAnsi="Calibri"/>
                <w:b w:val="0"/>
                <w:i w:val="0"/>
                <w:color w:val="101828"/>
                <w:sz w:val="14"/>
              </w:rPr>
              <w:t xml:space="preserve"> (3 lines), </w:t>
            </w:r>
            <w:r>
              <w:rPr>
                <w:rFonts w:ascii="Consolas" w:hAnsi="Consolas"/>
                <w:color w:val="146EF5"/>
                <w:sz w:val="14"/>
              </w:rPr>
              <w:t>Card</w:t>
            </w:r>
            <w:r>
              <w:rPr>
                <w:rFonts w:ascii="Calibri" w:hAnsi="Calibri"/>
                <w:b w:val="0"/>
                <w:i w:val="0"/>
                <w:color w:val="101828"/>
                <w:sz w:val="14"/>
              </w:rPr>
              <w:t xml:space="preserve"> (obligation), </w:t>
            </w:r>
            <w:r>
              <w:rPr>
                <w:rFonts w:ascii="Consolas" w:hAnsi="Consolas"/>
                <w:color w:val="146EF5"/>
                <w:sz w:val="14"/>
              </w:rPr>
              <w:t>Card</w:t>
            </w:r>
            <w:r>
              <w:rPr>
                <w:rFonts w:ascii="Calibri" w:hAnsi="Calibri"/>
                <w:b w:val="0"/>
                <w:i w:val="0"/>
                <w:color w:val="101828"/>
                <w:sz w:val="14"/>
              </w:rPr>
              <w:t xml:space="preserve"> (Ajo), </w:t>
            </w:r>
            <w:r>
              <w:rPr>
                <w:rFonts w:ascii="Consolas" w:hAnsi="Consolas"/>
                <w:color w:val="146EF5"/>
                <w:sz w:val="14"/>
              </w:rPr>
              <w:t>ListItem</w:t>
            </w:r>
            <w:r>
              <w:rPr>
                <w:rFonts w:ascii="Calibri" w:hAnsi="Calibri"/>
                <w:b w:val="0"/>
                <w:i w:val="0"/>
                <w:color w:val="101828"/>
                <w:sz w:val="14"/>
              </w:rPr>
              <w:t xml:space="preserve"> (activity), </w:t>
            </w:r>
            <w:r>
              <w:rPr>
                <w:rFonts w:ascii="Consolas" w:hAnsi="Consolas"/>
                <w:color w:val="146EF5"/>
                <w:sz w:val="14"/>
              </w:rPr>
              <w:t>Badge</w:t>
            </w:r>
            <w:r>
              <w:rPr>
                <w:rFonts w:ascii="Calibri" w:hAnsi="Calibri"/>
                <w:b w:val="0"/>
                <w:i w:val="0"/>
                <w:color w:val="101828"/>
                <w:sz w:val="14"/>
              </w:rPr>
              <w:t xml:space="preserve">, </w:t>
            </w:r>
            <w:r>
              <w:rPr>
                <w:rFonts w:ascii="Consolas" w:hAnsi="Consolas"/>
                <w:color w:val="146EF5"/>
                <w:sz w:val="14"/>
              </w:rPr>
              <w:t>Skeleton</w:t>
            </w:r>
            <w:r>
              <w:rPr>
                <w:rFonts w:ascii="Calibri" w:hAnsi="Calibri"/>
                <w:b w:val="0"/>
                <w:i w:val="0"/>
                <w:color w:val="101828"/>
                <w:sz w:val="14"/>
              </w:rPr>
              <w:t xml:space="preserve">, </w:t>
            </w:r>
            <w:r>
              <w:rPr>
                <w:rFonts w:ascii="Consolas" w:hAnsi="Consolas"/>
                <w:color w:val="146EF5"/>
                <w:sz w:val="14"/>
              </w:rPr>
              <w:t>EmptyState</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(primary and secondary), </w:t>
            </w:r>
            <w:r>
              <w:rPr>
                <w:rFonts w:ascii="Consolas" w:hAnsi="Consolas"/>
                <w:color w:val="146EF5"/>
                <w:sz w:val="14"/>
              </w:rPr>
              <w:t>BottomNav</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Tab 1 of 5 in the bottom bar. Reached by sign-in, by the notification deep link, and from the Ajo list's card tap. There is no top navigation on mobile; the bar is the only chrome.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color w:val="101828"/>
                <w:sz w:val="14"/>
              </w:rPr>
              <w:t>Dynamic, and it is the obligation button when one exists</w:t>
            </w:r>
            <w:r>
              <w:rPr>
                <w:rFonts w:ascii="Calibri" w:hAnsi="Calibri"/>
                <w:b w:val="0"/>
                <w:i w:val="0"/>
                <w:color w:val="101828"/>
                <w:sz w:val="14"/>
              </w:rPr>
              <w:t xml:space="preserve">: </w:t>
            </w:r>
            <w:r>
              <w:rPr>
                <w:rFonts w:ascii="Calibri" w:hAnsi="Calibri"/>
                <w:i/>
                <w:color w:val="101828"/>
                <w:sz w:val="14"/>
              </w:rPr>
              <w:t>Pay NGN 1,020.00</w:t>
            </w:r>
            <w:r>
              <w:rPr>
                <w:rFonts w:ascii="Calibri" w:hAnsi="Calibri"/>
                <w:b w:val="0"/>
                <w:i w:val="0"/>
                <w:color w:val="101828"/>
                <w:sz w:val="14"/>
              </w:rPr>
              <w:t xml:space="preserve">, inside the next-obligation card, only when a contribution is due and unpaid. With nothing due, the primary becomes </w:t>
            </w:r>
            <w:r>
              <w:rPr>
                <w:rFonts w:ascii="Calibri" w:hAnsi="Calibri"/>
                <w:i/>
                <w:color w:val="101828"/>
                <w:sz w:val="14"/>
              </w:rPr>
              <w:t>View your Ajos</w:t>
            </w:r>
            <w:r>
              <w:rPr>
                <w:rFonts w:ascii="Calibri" w:hAnsi="Calibri"/>
                <w:b w:val="0"/>
                <w:i w:val="0"/>
                <w:color w:val="101828"/>
                <w:sz w:val="14"/>
              </w:rPr>
              <w:t>. Exactly one filled button in the first screenful, whichever it is.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View statement</w:t>
            </w:r>
            <w:r>
              <w:rPr>
                <w:rFonts w:ascii="Calibri" w:hAnsi="Calibri"/>
                <w:b w:val="0"/>
                <w:i w:val="0"/>
                <w:color w:val="101828"/>
                <w:sz w:val="14"/>
              </w:rPr>
              <w:t xml:space="preserve"> (tertiary link) in the money block, and </w:t>
            </w:r>
            <w:r>
              <w:rPr>
                <w:rFonts w:ascii="Calibri" w:hAnsi="Calibri"/>
                <w:i/>
                <w:color w:val="101828"/>
                <w:sz w:val="14"/>
              </w:rPr>
              <w:t>See all activity</w:t>
            </w:r>
            <w:r>
              <w:rPr>
                <w:rFonts w:ascii="Calibri" w:hAnsi="Calibri"/>
                <w:b w:val="0"/>
                <w:i w:val="0"/>
                <w:color w:val="101828"/>
                <w:sz w:val="14"/>
              </w:rPr>
              <w:t xml:space="preserve"> (tertiary link) at the foot of the activity list.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Greeting by first name. Verification strip when unverified. Money block: the three canonical lines for the current round — </w:t>
            </w:r>
            <w:r>
              <w:rPr>
                <w:rFonts w:ascii="Calibri" w:hAnsi="Calibri"/>
                <w:i/>
                <w:color w:val="101828"/>
                <w:sz w:val="14"/>
              </w:rPr>
              <w:t>Contribution NGN 1,000.00</w:t>
            </w:r>
            <w:r>
              <w:rPr>
                <w:rFonts w:ascii="Calibri" w:hAnsi="Calibri"/>
                <w:b w:val="0"/>
                <w:i w:val="0"/>
                <w:color w:val="101828"/>
                <w:sz w:val="14"/>
              </w:rPr>
              <w:t xml:space="preserve">, </w:t>
            </w:r>
            <w:r>
              <w:rPr>
                <w:rFonts w:ascii="Calibri" w:hAnsi="Calibri"/>
                <w:i/>
                <w:color w:val="101828"/>
                <w:sz w:val="14"/>
              </w:rPr>
              <w:t>Fee NGN 20.00</w:t>
            </w:r>
            <w:r>
              <w:rPr>
                <w:rFonts w:ascii="Calibri" w:hAnsi="Calibri"/>
                <w:b w:val="0"/>
                <w:i w:val="0"/>
                <w:color w:val="101828"/>
                <w:sz w:val="14"/>
              </w:rPr>
              <w:t xml:space="preserve">, </w:t>
            </w:r>
            <w:r>
              <w:rPr>
                <w:rFonts w:ascii="Calibri" w:hAnsi="Calibri"/>
                <w:i/>
                <w:color w:val="101828"/>
                <w:sz w:val="14"/>
              </w:rPr>
              <w:t>Total charged NGN 1,020.00</w:t>
            </w:r>
            <w:r>
              <w:rPr>
                <w:rFonts w:ascii="Calibri" w:hAnsi="Calibri"/>
                <w:b w:val="0"/>
                <w:i w:val="0"/>
                <w:color w:val="101828"/>
                <w:sz w:val="14"/>
              </w:rPr>
              <w:t xml:space="preserve"> — plus a fourth line stating what the base pool will pay, </w:t>
            </w:r>
            <w:r>
              <w:rPr>
                <w:rFonts w:ascii="Calibri" w:hAnsi="Calibri"/>
                <w:i/>
                <w:color w:val="101828"/>
                <w:sz w:val="14"/>
              </w:rPr>
              <w:t>This round pays out NGN 10,000.00</w:t>
            </w:r>
            <w:r>
              <w:rPr>
                <w:rFonts w:ascii="Calibri" w:hAnsi="Calibri"/>
                <w:b w:val="0"/>
                <w:i w:val="0"/>
                <w:color w:val="101828"/>
                <w:sz w:val="14"/>
              </w:rPr>
              <w:t xml:space="preserve">, and a fifth stating the round's progress, </w:t>
            </w:r>
            <w:r>
              <w:rPr>
                <w:rFonts w:ascii="Calibri" w:hAnsi="Calibri"/>
                <w:i/>
                <w:color w:val="101828"/>
                <w:sz w:val="14"/>
              </w:rPr>
              <w:t>3 of 10 members have paid</w:t>
            </w:r>
            <w:r>
              <w:rPr>
                <w:rFonts w:ascii="Calibri" w:hAnsi="Calibri"/>
                <w:b w:val="0"/>
                <w:i w:val="0"/>
                <w:color w:val="101828"/>
                <w:sz w:val="14"/>
              </w:rPr>
              <w:t>. Obligation card: the due date, the amount, the Ajo, and the round. Ajo list: name, status, the member's position, next event. Activity: the last five events with real dates and amounts.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 There is no input on this screen, deliberately: a dashboard that offers a search box on mobile is a dashboard nobody uses.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Skeleton for each block in final position, so the layout does not move when content arrives. The money block skeleton reserves its three lines, and </w:t>
            </w:r>
            <w:r>
              <w:rPr>
                <w:rFonts w:ascii="Calibri" w:hAnsi="Calibri"/>
                <w:b/>
                <w:color w:val="101828"/>
                <w:sz w:val="14"/>
              </w:rPr>
              <w:t>the screen never shows a partial money total</w:t>
            </w:r>
            <w:r>
              <w:rPr>
                <w:rFonts w:ascii="Calibri" w:hAnsi="Calibri"/>
                <w:b w:val="0"/>
                <w:i w:val="0"/>
                <w:color w:val="101828"/>
                <w:sz w:val="14"/>
              </w:rPr>
              <w:t>: either all five lines are present or the block is in its skeleton state.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registered member with no Ajo is redirected to SCR-WEB-14 per 4.5.6. A member with an Ajo but no activity gets </w:t>
            </w:r>
            <w:r>
              <w:rPr>
                <w:rFonts w:ascii="Calibri" w:hAnsi="Calibri"/>
                <w:i/>
                <w:color w:val="101828"/>
                <w:sz w:val="14"/>
              </w:rPr>
              <w:t>No activity yet. Your first payment will appear here</w:t>
            </w:r>
            <w:r>
              <w:rPr>
                <w:rFonts w:ascii="Calibri" w:hAnsi="Calibri"/>
                <w:b w:val="0"/>
                <w:i w:val="0"/>
                <w:color w:val="101828"/>
                <w:sz w:val="14"/>
              </w:rPr>
              <w:t>, not an empty bordered box. A member whose Ajo is cancelled sees the cancellation notice in place of the money block, with the Ajo kept read-only and visible.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Block-level and contained. If the money summary fails, the other blocks still render and the money block shows </w:t>
            </w:r>
            <w:r>
              <w:rPr>
                <w:rFonts w:ascii="Calibri" w:hAnsi="Calibri"/>
                <w:i/>
                <w:color w:val="101828"/>
                <w:sz w:val="14"/>
              </w:rPr>
              <w:t>We could not load your summary. Try again</w:t>
            </w:r>
            <w:r>
              <w:rPr>
                <w:rFonts w:ascii="Calibri" w:hAnsi="Calibri"/>
                <w:b w:val="0"/>
                <w:i w:val="0"/>
                <w:color w:val="101828"/>
                <w:sz w:val="14"/>
              </w:rPr>
              <w:t xml:space="preserve"> with a retry control. The screen never replaces itself with a full-page error, because the Ajo list and the activity are still useful.</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 directly. A payment made from this screen returns here with a single confirmation toast naming the amount and the receipt, and the money block updates in place.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column at every width. The four stat cards are a 2×2 grid from </w:t>
            </w:r>
            <w:r>
              <w:rPr>
                <w:rFonts w:ascii="Consolas" w:hAnsi="Consolas"/>
                <w:color w:val="146EF5"/>
                <w:sz w:val="14"/>
              </w:rPr>
              <w:t>xs</w:t>
            </w:r>
            <w:r>
              <w:rPr>
                <w:rFonts w:ascii="Calibri" w:hAnsi="Calibri"/>
                <w:b w:val="0"/>
                <w:i w:val="0"/>
                <w:color w:val="101828"/>
                <w:sz w:val="14"/>
              </w:rPr>
              <w:t xml:space="preserve"> to </w:t>
            </w:r>
            <w:r>
              <w:rPr>
                <w:rFonts w:ascii="Consolas" w:hAnsi="Consolas"/>
                <w:color w:val="146EF5"/>
                <w:sz w:val="14"/>
              </w:rPr>
              <w:t>sm</w:t>
            </w:r>
            <w:r>
              <w:rPr>
                <w:rFonts w:ascii="Calibri" w:hAnsi="Calibri"/>
                <w:b w:val="0"/>
                <w:i w:val="0"/>
                <w:color w:val="101828"/>
                <w:sz w:val="14"/>
              </w:rPr>
              <w:t xml:space="preserve"> and a 4-across row at </w:t>
            </w:r>
            <w:r>
              <w:rPr>
                <w:rFonts w:ascii="Consolas" w:hAnsi="Consolas"/>
                <w:color w:val="146EF5"/>
                <w:sz w:val="14"/>
              </w:rPr>
              <w:t>md</w:t>
            </w:r>
            <w:r>
              <w:rPr>
                <w:rFonts w:ascii="Calibri" w:hAnsi="Calibri"/>
                <w:b w:val="0"/>
                <w:i w:val="0"/>
                <w:color w:val="101828"/>
                <w:sz w:val="14"/>
              </w:rPr>
              <w:t xml:space="preserve"> and above, with the field inventory identical in both arrangements per 4.3.3. The obligation card stays a card at every width; it never becomes a table, because a table with two rows and one action is worse than a card.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money block is a labelled region whose </w:t>
            </w:r>
            <w:r>
              <w:rPr>
                <w:rFonts w:ascii="Consolas" w:hAnsi="Consolas"/>
                <w:color w:val="146EF5"/>
                <w:sz w:val="14"/>
              </w:rPr>
              <w:t>h2</w:t>
            </w:r>
            <w:r>
              <w:rPr>
                <w:rFonts w:ascii="Calibri" w:hAnsi="Calibri"/>
                <w:b w:val="0"/>
                <w:i w:val="0"/>
                <w:color w:val="101828"/>
                <w:sz w:val="14"/>
              </w:rPr>
              <w:t xml:space="preserve"> is </w:t>
            </w:r>
            <w:r>
              <w:rPr>
                <w:rFonts w:ascii="Calibri" w:hAnsi="Calibri"/>
                <w:i/>
                <w:color w:val="101828"/>
                <w:sz w:val="14"/>
              </w:rPr>
              <w:t>This round</w:t>
            </w:r>
            <w:r>
              <w:rPr>
                <w:rFonts w:ascii="Calibri" w:hAnsi="Calibri"/>
                <w:b w:val="0"/>
                <w:i w:val="0"/>
                <w:color w:val="101828"/>
                <w:sz w:val="14"/>
              </w:rPr>
              <w:t xml:space="preserve">, and it is the first focusable element after the page title. Each of the five lines is a definition-list pair, so a screen reader user can hear figure and label together. The obligation button's accessible name includes the amount and the Ajo name. Progress is stated in text — </w:t>
            </w:r>
            <w:r>
              <w:rPr>
                <w:rFonts w:ascii="Calibri" w:hAnsi="Calibri"/>
                <w:i/>
                <w:color w:val="101828"/>
                <w:sz w:val="14"/>
              </w:rPr>
              <w:t>3 of 10 members have paid</w:t>
            </w:r>
            <w:r>
              <w:rPr>
                <w:rFonts w:ascii="Calibri" w:hAnsi="Calibri"/>
                <w:b w:val="0"/>
                <w:i w:val="0"/>
                <w:color w:val="101828"/>
                <w:sz w:val="14"/>
              </w:rPr>
              <w:t xml:space="preserve"> — never as a bar with a colour. Tab order follows reading order. All touch targets are at least 44 px, and the obligation button is 56 px.</w:t>
            </w:r>
          </w:p>
        </w:tc>
      </w:tr>
    </w:tbl>
    <w:p>
      <w:pPr>
        <w:spacing w:after="80"/>
      </w:pPr>
    </w:p>
    <w:p>
      <w:pPr>
        <w:pStyle w:val="Heading3"/>
      </w:pPr>
      <w:r>
        <w:rPr>
          <w:rFonts w:ascii="Calibri" w:hAnsi="Calibri"/>
          <w:b/>
          <w:i w:val="0"/>
          <w:color w:val="0B1F3A"/>
          <w:sz w:val="24"/>
        </w:rPr>
        <w:t>4.6.2 Ajo list — SCR-MOB-02</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Show every Ajo the member belongs to, in a form that makes the next obligation findable in one glance, and make creating an Ajo reachable without a menu.</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in two or three Ajos, or in one, checking whether anything is due. The list has to be readable at a glance because it is compared against memory, not searched.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Single scrolling column. A title row with the count, then one </w:t>
            </w:r>
            <w:r>
              <w:rPr>
                <w:rFonts w:ascii="Consolas" w:hAnsi="Consolas"/>
                <w:color w:val="146EF5"/>
                <w:sz w:val="14"/>
              </w:rPr>
              <w:t>Card</w:t>
            </w:r>
            <w:r>
              <w:rPr>
                <w:rFonts w:ascii="Calibri" w:hAnsi="Calibri"/>
                <w:b w:val="0"/>
                <w:i w:val="0"/>
                <w:color w:val="101828"/>
                <w:sz w:val="14"/>
              </w:rPr>
              <w:t xml:space="preserve"> per Ajo, then a full-width secondary button. Cards are 96 px tall and carry five facts: name, status, the member's position, the next event with its date, and a money line when a contribution is due.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Card</w:t>
            </w:r>
            <w:r>
              <w:rPr>
                <w:rFonts w:ascii="Calibri" w:hAnsi="Calibri"/>
                <w:b w:val="0"/>
                <w:i w:val="0"/>
                <w:color w:val="101828"/>
                <w:sz w:val="14"/>
              </w:rPr>
              <w:t xml:space="preserve"> (Ajo), </w:t>
            </w:r>
            <w:r>
              <w:rPr>
                <w:rFonts w:ascii="Consolas" w:hAnsi="Consolas"/>
                <w:color w:val="146EF5"/>
                <w:sz w:val="14"/>
              </w:rPr>
              <w:t>Badge</w:t>
            </w:r>
            <w:r>
              <w:rPr>
                <w:rFonts w:ascii="Calibri" w:hAnsi="Calibri"/>
                <w:b w:val="0"/>
                <w:i w:val="0"/>
                <w:color w:val="101828"/>
                <w:sz w:val="14"/>
              </w:rPr>
              <w:t xml:space="preserve">, </w:t>
            </w:r>
            <w:r>
              <w:rPr>
                <w:rFonts w:ascii="Consolas" w:hAnsi="Consolas"/>
                <w:color w:val="146EF5"/>
                <w:sz w:val="14"/>
              </w:rPr>
              <w:t>ListItem</w:t>
            </w:r>
            <w:r>
              <w:rPr>
                <w:rFonts w:ascii="Calibri" w:hAnsi="Calibri"/>
                <w:b w:val="0"/>
                <w:i w:val="0"/>
                <w:color w:val="101828"/>
                <w:sz w:val="14"/>
              </w:rPr>
              <w:t xml:space="preserve">, </w:t>
            </w:r>
            <w:r>
              <w:rPr>
                <w:rFonts w:ascii="Consolas" w:hAnsi="Consolas"/>
                <w:color w:val="146EF5"/>
                <w:sz w:val="14"/>
              </w:rPr>
              <w:t>Skeleton</w:t>
            </w:r>
            <w:r>
              <w:rPr>
                <w:rFonts w:ascii="Calibri" w:hAnsi="Calibri"/>
                <w:b w:val="0"/>
                <w:i w:val="0"/>
                <w:color w:val="101828"/>
                <w:sz w:val="14"/>
              </w:rPr>
              <w:t xml:space="preserve">, </w:t>
            </w:r>
            <w:r>
              <w:rPr>
                <w:rFonts w:ascii="Consolas" w:hAnsi="Consolas"/>
                <w:color w:val="146EF5"/>
                <w:sz w:val="14"/>
              </w:rPr>
              <w:t>EmptyState</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(secondary, create), </w:t>
            </w:r>
            <w:r>
              <w:rPr>
                <w:rFonts w:ascii="Consolas" w:hAnsi="Consolas"/>
                <w:color w:val="146EF5"/>
                <w:sz w:val="14"/>
              </w:rPr>
              <w:t>BottomNav</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Tab 2 of 5. Reached by the dashboard's Ajo region, by an Ajo notification, and by the tab bar. A card tap goes to SCR-MOB-03.</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None. A list of things to go to is not a place for a primary action, and a filled </w:t>
            </w:r>
            <w:r>
              <w:rPr>
                <w:rFonts w:ascii="Calibri" w:hAnsi="Calibri"/>
                <w:i/>
                <w:color w:val="101828"/>
                <w:sz w:val="14"/>
              </w:rPr>
              <w:t>Create Ajo</w:t>
            </w:r>
            <w:r>
              <w:rPr>
                <w:rFonts w:ascii="Calibri" w:hAnsi="Calibri"/>
                <w:b w:val="0"/>
                <w:i w:val="0"/>
                <w:color w:val="101828"/>
                <w:sz w:val="14"/>
              </w:rPr>
              <w:t xml:space="preserve"> floating over the list would cover the card a member was reaching for. </w:t>
            </w:r>
            <w:r>
              <w:rPr>
                <w:rFonts w:ascii="Calibri" w:hAnsi="Calibri"/>
                <w:b/>
                <w:color w:val="101828"/>
                <w:sz w:val="14"/>
              </w:rPr>
              <w:t>When the list is empty the single filled button becomes *Create an Ajo*, because then the screen has one job.</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Create an Ajo</w:t>
            </w:r>
            <w:r>
              <w:rPr>
                <w:rFonts w:ascii="Calibri" w:hAnsi="Calibri"/>
                <w:b w:val="0"/>
                <w:i w:val="0"/>
                <w:color w:val="101828"/>
                <w:sz w:val="14"/>
              </w:rPr>
              <w:t xml:space="preserve"> (secondary outlined, full width) when the list is not empty. </w:t>
            </w:r>
            <w:r>
              <w:rPr>
                <w:rFonts w:ascii="Calibri" w:hAnsi="Calibri"/>
                <w:i/>
                <w:color w:val="101828"/>
                <w:sz w:val="14"/>
              </w:rPr>
              <w:t>See cancelled Ajos</w:t>
            </w:r>
            <w:r>
              <w:rPr>
                <w:rFonts w:ascii="Calibri" w:hAnsi="Calibri"/>
                <w:b w:val="0"/>
                <w:i w:val="0"/>
                <w:color w:val="101828"/>
                <w:sz w:val="14"/>
              </w:rPr>
              <w:t xml:space="preserve"> (tertiary link) at the foot when any exist.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Per card: Ajo name; status badge — </w:t>
            </w:r>
            <w:r>
              <w:rPr>
                <w:rFonts w:ascii="Consolas" w:hAnsi="Consolas"/>
                <w:color w:val="146EF5"/>
                <w:sz w:val="14"/>
              </w:rPr>
              <w:t>DRAFT</w:t>
            </w:r>
            <w:r>
              <w:rPr>
                <w:rFonts w:ascii="Calibri" w:hAnsi="Calibri"/>
                <w:b w:val="0"/>
                <w:i w:val="0"/>
                <w:color w:val="101828"/>
                <w:sz w:val="14"/>
              </w:rPr>
              <w:t xml:space="preserve">, </w:t>
            </w:r>
            <w:r>
              <w:rPr>
                <w:rFonts w:ascii="Consolas" w:hAnsi="Consolas"/>
                <w:color w:val="146EF5"/>
                <w:sz w:val="14"/>
              </w:rPr>
              <w:t>ENROLLING</w:t>
            </w:r>
            <w:r>
              <w:rPr>
                <w:rFonts w:ascii="Calibri" w:hAnsi="Calibri"/>
                <w:b w:val="0"/>
                <w:i w:val="0"/>
                <w:color w:val="101828"/>
                <w:sz w:val="14"/>
              </w:rPr>
              <w:t xml:space="preserve">, </w:t>
            </w:r>
            <w:r>
              <w:rPr>
                <w:rFonts w:ascii="Consolas" w:hAnsi="Consolas"/>
                <w:color w:val="146EF5"/>
                <w:sz w:val="14"/>
              </w:rPr>
              <w:t>ACTIVE</w:t>
            </w:r>
            <w:r>
              <w:rPr>
                <w:rFonts w:ascii="Calibri" w:hAnsi="Calibri"/>
                <w:b w:val="0"/>
                <w:i w:val="0"/>
                <w:color w:val="101828"/>
                <w:sz w:val="14"/>
              </w:rPr>
              <w:t xml:space="preserve">, </w:t>
            </w:r>
            <w:r>
              <w:rPr>
                <w:rFonts w:ascii="Consolas" w:hAnsi="Consolas"/>
                <w:color w:val="146EF5"/>
                <w:sz w:val="14"/>
              </w:rPr>
              <w:t>CANCELLED</w:t>
            </w:r>
            <w:r>
              <w:rPr>
                <w:rFonts w:ascii="Calibri" w:hAnsi="Calibri"/>
                <w:b w:val="0"/>
                <w:i w:val="0"/>
                <w:color w:val="101828"/>
                <w:sz w:val="14"/>
              </w:rPr>
              <w:t xml:space="preserve">; the member's position; the next event and its date; and, when a contribution is due and unpaid, a right-aligned </w:t>
            </w:r>
            <w:r>
              <w:rPr>
                <w:rFonts w:ascii="Calibri" w:hAnsi="Calibri"/>
                <w:i/>
                <w:color w:val="101828"/>
                <w:sz w:val="14"/>
              </w:rPr>
              <w:t>Due</w:t>
            </w:r>
            <w:r>
              <w:rPr>
                <w:rFonts w:ascii="Calibri" w:hAnsi="Calibri"/>
                <w:b w:val="0"/>
                <w:i w:val="0"/>
                <w:color w:val="101828"/>
                <w:sz w:val="14"/>
              </w:rPr>
              <w:t xml:space="preserve"> line with the total. Cancelled Ajos are hidden by default and reachable through the tertiary link, because a member's active obligations and their history are different questions.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 No search and no filter on a list that is expected to hold single digits of items for a very long time.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Four card skeletons at final height, so the list does not reflow. The count in the title row appears only with the cards, never first at zero.</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dedicated empty state with the </w:t>
            </w:r>
            <w:r>
              <w:rPr>
                <w:rFonts w:ascii="Calibri" w:hAnsi="Calibri"/>
                <w:i/>
                <w:color w:val="101828"/>
                <w:sz w:val="14"/>
              </w:rPr>
              <w:t>Your Ajo. Your Story.</w:t>
            </w:r>
            <w:r>
              <w:rPr>
                <w:rFonts w:ascii="Calibri" w:hAnsi="Calibri"/>
                <w:b w:val="0"/>
                <w:i w:val="0"/>
                <w:color w:val="101828"/>
                <w:sz w:val="14"/>
              </w:rPr>
              <w:t xml:space="preserve"> tagline as its heading, the line </w:t>
            </w:r>
            <w:r>
              <w:rPr>
                <w:rFonts w:ascii="Calibri" w:hAnsi="Calibri"/>
                <w:i/>
                <w:color w:val="101828"/>
                <w:sz w:val="14"/>
              </w:rPr>
              <w:t>You are not in an Ajo yet</w:t>
            </w:r>
            <w:r>
              <w:rPr>
                <w:rFonts w:ascii="Calibri" w:hAnsi="Calibri"/>
                <w:b w:val="0"/>
                <w:i w:val="0"/>
                <w:color w:val="101828"/>
                <w:sz w:val="14"/>
              </w:rPr>
              <w:t xml:space="preserve">, and a single filled </w:t>
            </w:r>
            <w:r>
              <w:rPr>
                <w:rFonts w:ascii="Calibri" w:hAnsi="Calibri"/>
                <w:i/>
                <w:color w:val="101828"/>
                <w:sz w:val="14"/>
              </w:rPr>
              <w:t>Create an Ajo</w:t>
            </w:r>
            <w:r>
              <w:rPr>
                <w:rFonts w:ascii="Calibri" w:hAnsi="Calibri"/>
                <w:b w:val="0"/>
                <w:i w:val="0"/>
                <w:color w:val="101828"/>
                <w:sz w:val="14"/>
              </w:rPr>
              <w:t>. This is a different component from the empty state on SCR-WEB-14: that one offered joining as a peer, because arriving by registration is not a choice, whereas arriving here is.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Contained to the list region: </w:t>
            </w:r>
            <w:r>
              <w:rPr>
                <w:rFonts w:ascii="Calibri" w:hAnsi="Calibri"/>
                <w:i/>
                <w:color w:val="101828"/>
                <w:sz w:val="14"/>
              </w:rPr>
              <w:t>We could not load your Ajos. Try again</w:t>
            </w:r>
            <w:r>
              <w:rPr>
                <w:rFonts w:ascii="Calibri" w:hAnsi="Calibri"/>
                <w:b w:val="0"/>
                <w:i w:val="0"/>
                <w:color w:val="101828"/>
                <w:sz w:val="14"/>
              </w:rPr>
              <w:t xml:space="preserve"> with a retry control, and the create button stays available, because creating an Ajo does not depend on the list having loaded.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 Return from a created Ajo inserts the new card at the top with a single confirmation, and the list is not scrolled back to the top on return, because a member who paid an obligation does not want their position moved.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One card per row at every width, full width capped at 480 px on mobile. A horizontal scroll of cards is prohibited: a member comparing two Ajos cannot compare them side by side, and side by side would put amounts at 11 px.</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list is a </w:t>
            </w:r>
            <w:r>
              <w:rPr>
                <w:rFonts w:ascii="Consolas" w:hAnsi="Consolas"/>
                <w:color w:val="146EF5"/>
                <w:sz w:val="14"/>
              </w:rPr>
              <w:t>ul</w:t>
            </w:r>
            <w:r>
              <w:rPr>
                <w:rFonts w:ascii="Calibri" w:hAnsi="Calibri"/>
                <w:b w:val="0"/>
                <w:i w:val="0"/>
                <w:color w:val="101828"/>
                <w:sz w:val="14"/>
              </w:rPr>
              <w:t xml:space="preserve"> of links, so a links-list reader announces </w:t>
            </w:r>
            <w:r>
              <w:rPr>
                <w:rFonts w:ascii="Calibri" w:hAnsi="Calibri"/>
                <w:i/>
                <w:color w:val="101828"/>
                <w:sz w:val="14"/>
              </w:rPr>
              <w:t>5 Ajos</w:t>
            </w:r>
            <w:r>
              <w:rPr>
                <w:rFonts w:ascii="Calibri" w:hAnsi="Calibri"/>
                <w:b w:val="0"/>
                <w:i w:val="0"/>
                <w:color w:val="101828"/>
                <w:sz w:val="14"/>
              </w:rPr>
              <w:t xml:space="preserve">. Each card's accessible name is built from the facts, not the visual order: </w:t>
            </w:r>
            <w:r>
              <w:rPr>
                <w:rFonts w:ascii="Calibri" w:hAnsi="Calibri"/>
                <w:i/>
                <w:color w:val="101828"/>
                <w:sz w:val="14"/>
              </w:rPr>
              <w:t>Ajo name, active, your position 4, next collection 12 October, contribution of NGN 1,020.00 due</w:t>
            </w:r>
            <w:r>
              <w:rPr>
                <w:rFonts w:ascii="Calibri" w:hAnsi="Calibri"/>
                <w:b w:val="0"/>
                <w:i w:val="0"/>
                <w:color w:val="101828"/>
                <w:sz w:val="14"/>
              </w:rPr>
              <w:t>. The status badge is never the only carrier of the status; the word is present in text. Cards are at least 96 px tall so the whole card is a comfortable target.</w:t>
            </w:r>
          </w:p>
        </w:tc>
      </w:tr>
    </w:tbl>
    <w:p>
      <w:pPr>
        <w:spacing w:after="80"/>
      </w:pPr>
    </w:p>
    <w:p>
      <w:pPr>
        <w:spacing w:before="140" w:after="180"/>
        <w:ind w:left="144"/>
        <w:shd w:val="clear" w:color="auto" w:fill="E0F2FE"/>
        <w:pBdr>
          <w:left w:val="single" w:sz="18" w:space="6" w:color="22C7D6"/>
        </w:pBdr>
      </w:pPr>
      <w:r>
        <w:rPr>
          <w:rFonts w:ascii="Calibri" w:hAnsi="Calibri"/>
          <w:b/>
          <w:color w:val="22C7D6"/>
          <w:sz w:val="19"/>
        </w:rPr>
        <w:t xml:space="preserve">No horizontal card carousel on the Ajo list  </w:t>
      </w:r>
      <w:r>
        <w:rPr>
          <w:rFonts w:ascii="Calibri" w:hAnsi="Calibri"/>
          <w:b/>
          <w:color w:val="0B1F3A"/>
          <w:sz w:val="19"/>
        </w:rPr>
        <w:t>The Ajo list is a vertical list at every width.</w:t>
      </w:r>
      <w:r>
        <w:rPr>
          <w:rFonts w:ascii="Calibri" w:hAnsi="Calibri"/>
          <w:b w:val="0"/>
          <w:i w:val="0"/>
          <w:color w:val="0B1F3A"/>
          <w:sz w:val="19"/>
        </w:rPr>
        <w:t xml:space="preserve"> A carousel was considered and rejected: two Ajos side by side puts the money line below 12 px, and the whole purpose of a member opening this list is to compare an amount against what they remember. Comparing requires the amounts to be the same size. </w:t>
      </w:r>
      <w:r>
        <w:rPr>
          <w:rFonts w:ascii="Calibri" w:hAnsi="Calibri"/>
          <w:b/>
          <w:color w:val="0B1F3A"/>
          <w:sz w:val="19"/>
        </w:rPr>
        <w:t>Owner: Founders.</w:t>
      </w:r>
    </w:p>
    <w:p>
      <w:r>
        <w:br w:type="page"/>
      </w:r>
    </w:p>
    <w:p>
      <w:pPr>
        <w:pStyle w:val="Heading2"/>
      </w:pPr>
      <w:r>
        <w:rPr>
          <w:rFonts w:ascii="Calibri" w:hAnsi="Calibri"/>
          <w:b/>
          <w:i w:val="0"/>
          <w:color w:val="146EF5"/>
          <w:sz w:val="29"/>
        </w:rPr>
        <w:t>4.7 Create Ajo wizard — SCR-MOB-05.1 to SCR-MOB-05.7</w:t>
      </w:r>
    </w:p>
    <w:p>
      <w:r>
        <w:rPr>
          <w:rFonts w:ascii="Calibri" w:hAnsi="Calibri"/>
          <w:b w:val="0"/>
          <w:i w:val="0"/>
          <w:color w:val="101828"/>
          <w:sz w:val="21"/>
        </w:rPr>
        <w:t xml:space="preserve">Seven steps, seven routes, one Ajo at DRAFT. The wizard is the longest flow in the product and the one most likely to be abandoned, so the rules are strict: the amount is chosen before the fee is mentioned, the fee is shown live from the moment an amount exists, and the final step is an acknowledgement gate with no commit action. </w:t>
      </w:r>
      <w:r>
        <w:rPr>
          <w:rFonts w:ascii="Calibri" w:hAnsi="Calibri"/>
          <w:b/>
          <w:color w:val="101828"/>
          <w:sz w:val="21"/>
        </w:rPr>
        <w:t>Nothing in this flow charges anything.</w:t>
      </w:r>
      <w:r>
        <w:rPr>
          <w:rFonts w:ascii="Calibri" w:hAnsi="Calibri"/>
          <w:b w:val="0"/>
          <w:i w:val="0"/>
          <w:color w:val="101828"/>
          <w:sz w:val="21"/>
        </w:rPr>
        <w:t xml:space="preserve"> Activation happens later, in the Ajo detail screen, after the roster is complete or the five-day window closes.</w:t>
      </w:r>
    </w:p>
    <w:p>
      <w:pPr>
        <w:spacing w:before="140" w:after="180"/>
        <w:ind w:left="144"/>
        <w:shd w:val="clear" w:color="auto" w:fill="EFF6FF"/>
        <w:pBdr>
          <w:left w:val="single" w:sz="18" w:space="6" w:color="146EF5"/>
        </w:pBdr>
      </w:pPr>
      <w:r>
        <w:rPr>
          <w:rFonts w:ascii="Calibri" w:hAnsi="Calibri"/>
          <w:b/>
          <w:color w:val="146EF5"/>
          <w:sz w:val="19"/>
        </w:rPr>
        <w:t xml:space="preserve">Wizard-wide behaviour  </w:t>
      </w:r>
      <w:r>
        <w:rPr>
          <w:rFonts w:ascii="Calibri" w:hAnsi="Calibri"/>
          <w:b w:val="0"/>
          <w:i w:val="0"/>
          <w:color w:val="0B1F3A"/>
          <w:sz w:val="19"/>
        </w:rPr>
        <w:t xml:space="preserve">The wizard is resumable. A DRAFT Ajo is created at step 1 and every step writes to it, so closing the app on step 4 and returning on step 4 loses nothing. The progress indicator shows </w:t>
      </w:r>
      <w:r>
        <w:rPr>
          <w:rFonts w:ascii="Calibri" w:hAnsi="Calibri"/>
          <w:i/>
          <w:color w:val="0B1F3A"/>
          <w:sz w:val="19"/>
        </w:rPr>
        <w:t>Step N of 7</w:t>
      </w:r>
      <w:r>
        <w:rPr>
          <w:rFonts w:ascii="Calibri" w:hAnsi="Calibri"/>
          <w:b w:val="0"/>
          <w:i w:val="0"/>
          <w:color w:val="0B1F3A"/>
          <w:sz w:val="19"/>
        </w:rPr>
        <w:t xml:space="preserve"> and the step names, and previously completed steps are tappable to go back. </w:t>
      </w:r>
      <w:r>
        <w:rPr>
          <w:rFonts w:ascii="Calibri" w:hAnsi="Calibri"/>
          <w:b/>
          <w:color w:val="0B1F3A"/>
          <w:sz w:val="19"/>
        </w:rPr>
        <w:t>Forward navigation into a step whose inputs are incomplete is blocked with an inline reason, not a disabled button with no explanation.</w:t>
      </w:r>
      <w:r>
        <w:rPr>
          <w:rFonts w:ascii="Calibri" w:hAnsi="Calibri"/>
          <w:b w:val="0"/>
          <w:i w:val="0"/>
          <w:color w:val="0B1F3A"/>
          <w:sz w:val="19"/>
        </w:rPr>
        <w:t xml:space="preserve"> Leaving the wizard from a step with unsaved input prompts per 4.24.3.</w:t>
      </w:r>
    </w:p>
    <w:p>
      <w:pPr>
        <w:pStyle w:val="Heading3"/>
      </w:pPr>
      <w:r>
        <w:rPr>
          <w:rFonts w:ascii="Calibri" w:hAnsi="Calibri"/>
          <w:b/>
          <w:i w:val="0"/>
          <w:color w:val="0B1F3A"/>
          <w:sz w:val="24"/>
        </w:rPr>
        <w:t>4.7.1 Step 1, the Ajo's identity — SCR-MOB-05.1</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Create the DRAFT record and capture the name, so the Ajo exists in the member's list and can be left and resumed. This is the only step whose entry to the flow creates a record.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acting on the organiser's instruction, often over a phone call, often with the Ajo's details written on a piece of paper in front of them.</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Wizard chrome, then a single card: the step name as </w:t>
            </w:r>
            <w:r>
              <w:rPr>
                <w:rFonts w:ascii="Consolas" w:hAnsi="Consolas"/>
                <w:color w:val="146EF5"/>
                <w:sz w:val="14"/>
              </w:rPr>
              <w:t>h1</w:t>
            </w:r>
            <w:r>
              <w:rPr>
                <w:rFonts w:ascii="Calibri" w:hAnsi="Calibri"/>
                <w:b w:val="0"/>
                <w:i w:val="0"/>
                <w:color w:val="101828"/>
                <w:sz w:val="14"/>
              </w:rPr>
              <w:t>, a 40-character hint, the field, and a full-width primary button pinned to the bottom of the viewport on mobile so it does not move as fields validate.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FormField</w:t>
            </w:r>
            <w:r>
              <w:rPr>
                <w:rFonts w:ascii="Calibri" w:hAnsi="Calibri"/>
                <w:b w:val="0"/>
                <w:i w:val="0"/>
                <w:color w:val="101828"/>
                <w:sz w:val="14"/>
              </w:rPr>
              <w:t xml:space="preserve"> (text, textarea, select), </w:t>
            </w:r>
            <w:r>
              <w:rPr>
                <w:rFonts w:ascii="Consolas" w:hAnsi="Consolas"/>
                <w:color w:val="146EF5"/>
                <w:sz w:val="14"/>
              </w:rPr>
              <w:t>WizardProgress</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(primary), </w:t>
            </w:r>
            <w:r>
              <w:rPr>
                <w:rFonts w:ascii="Consolas" w:hAnsi="Consolas"/>
                <w:color w:val="146EF5"/>
                <w:sz w:val="14"/>
              </w:rPr>
              <w:t>Link</w:t>
            </w:r>
            <w:r>
              <w:rPr>
                <w:rFonts w:ascii="Calibri" w:hAnsi="Calibri"/>
                <w:b w:val="0"/>
                <w:i w:val="0"/>
                <w:color w:val="101828"/>
                <w:sz w:val="14"/>
              </w:rPr>
              <w:t xml:space="preserve"> (leave the wizard), </w:t>
            </w:r>
            <w:r>
              <w:rPr>
                <w:rFonts w:ascii="Consolas" w:hAnsi="Consolas"/>
                <w:color w:val="146EF5"/>
                <w:sz w:val="14"/>
              </w:rPr>
              <w:t>Callout</w:t>
            </w:r>
            <w:r>
              <w:rPr>
                <w:rFonts w:ascii="Calibri" w:hAnsi="Calibri"/>
                <w:b w:val="0"/>
                <w:i w:val="0"/>
                <w:color w:val="101828"/>
                <w:sz w:val="14"/>
              </w:rPr>
              <w:t xml:space="preserve"> (NOTE).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Entered from the Ajo list's </w:t>
            </w:r>
            <w:r>
              <w:rPr>
                <w:rFonts w:ascii="Calibri" w:hAnsi="Calibri"/>
                <w:i/>
                <w:color w:val="101828"/>
                <w:sz w:val="14"/>
              </w:rPr>
              <w:t>Create an Ajo</w:t>
            </w:r>
            <w:r>
              <w:rPr>
                <w:rFonts w:ascii="Calibri" w:hAnsi="Calibri"/>
                <w:b w:val="0"/>
                <w:i w:val="0"/>
                <w:color w:val="101828"/>
                <w:sz w:val="14"/>
              </w:rPr>
              <w:t xml:space="preserve"> button and from SCR-MOB-04's </w:t>
            </w:r>
            <w:r>
              <w:rPr>
                <w:rFonts w:ascii="Calibri" w:hAnsi="Calibri"/>
                <w:i/>
                <w:color w:val="101828"/>
                <w:sz w:val="14"/>
              </w:rPr>
              <w:t>Create instead</w:t>
            </w:r>
            <w:r>
              <w:rPr>
                <w:rFonts w:ascii="Calibri" w:hAnsi="Calibri"/>
                <w:b w:val="0"/>
                <w:i w:val="0"/>
                <w:color w:val="101828"/>
                <w:sz w:val="14"/>
              </w:rPr>
              <w:t xml:space="preserve"> secondary action. Exits to the Ajo list, where the DRAFT now appears. </w:t>
            </w:r>
            <w:r>
              <w:rPr>
                <w:rFonts w:ascii="Consolas" w:hAnsi="Consolas"/>
                <w:color w:val="146EF5"/>
                <w:sz w:val="14"/>
              </w:rPr>
              <w:t>returnTo</w:t>
            </w:r>
            <w:r>
              <w:rPr>
                <w:rFonts w:ascii="Calibri" w:hAnsi="Calibri"/>
                <w:b w:val="0"/>
                <w:i w:val="0"/>
                <w:color w:val="101828"/>
                <w:sz w:val="14"/>
              </w:rPr>
              <w:t xml:space="preserve"> is not honoured; leaving a wizard always lands on the Ajo list.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Continue to the amount</w:t>
            </w:r>
            <w:r>
              <w:rPr>
                <w:rFonts w:ascii="Calibri" w:hAnsi="Calibri"/>
                <w:b w:val="0"/>
                <w:i w:val="0"/>
                <w:color w:val="101828"/>
                <w:sz w:val="14"/>
              </w:rPr>
              <w:t>. One filled button, 56 px on mobile, 48 px on web.</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Save and finish later</w:t>
            </w:r>
            <w:r>
              <w:rPr>
                <w:rFonts w:ascii="Calibri" w:hAnsi="Calibri"/>
                <w:b w:val="0"/>
                <w:i w:val="0"/>
                <w:color w:val="101828"/>
                <w:sz w:val="14"/>
              </w:rPr>
              <w:t xml:space="preserve"> (tertiary link) beside the primary, and </w:t>
            </w:r>
            <w:r>
              <w:rPr>
                <w:rFonts w:ascii="Calibri" w:hAnsi="Calibri"/>
                <w:i/>
                <w:color w:val="101828"/>
                <w:sz w:val="14"/>
              </w:rPr>
              <w:t>Cancel</w:t>
            </w:r>
            <w:r>
              <w:rPr>
                <w:rFonts w:ascii="Calibri" w:hAnsi="Calibri"/>
                <w:b w:val="0"/>
                <w:i w:val="0"/>
                <w:color w:val="101828"/>
                <w:sz w:val="14"/>
              </w:rPr>
              <w:t xml:space="preserve"> (tertiary link) as the dismiss route, which is a confirmation when a name has been typed.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Ajo name — what the group calls itself. A short description, optional, and a purpose field, optional, which is what the invite screen shows and what makes an invite convincing. A NOTE stating that the Ajo stays a DRAFT until it is activated, and that nothing is charged at any point in this flow.</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See the field table below.</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See the validation table below.</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primary button works with its width locked while the DRAFT is created. The step's fields render immediately, because a step that shows nothing until a record exists is a step that looks broken on a slow connection.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fields are empty with helper text. The wizard progress indicator shows step 1 of 7 with steps 2 to 7 disabled and named.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DRAFT creation failure is a banner with a retry that preserves the typed name. Duplicate-name rejection is inline on the name field and names the Ajo it collides with, because names inside one member's list are not private and the member needs to know which 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DRAFT exists and the wizard advances to 05.2. No toast, because advancing is the feedback.</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Single card, 16 px side padding below 375. The description textarea is three rows on mobile and four on web. The primary button is pinned to the safe area and the card scrolls beneath it, so the button never sits under the keyboard.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step name is the </w:t>
            </w:r>
            <w:r>
              <w:rPr>
                <w:rFonts w:ascii="Consolas" w:hAnsi="Consolas"/>
                <w:color w:val="146EF5"/>
                <w:sz w:val="14"/>
              </w:rPr>
              <w:t>h1</w:t>
            </w:r>
            <w:r>
              <w:rPr>
                <w:rFonts w:ascii="Calibri" w:hAnsi="Calibri"/>
                <w:b w:val="0"/>
                <w:i w:val="0"/>
                <w:color w:val="101828"/>
                <w:sz w:val="14"/>
              </w:rPr>
              <w:t xml:space="preserve">, so a screen reader user lands knowing where they are. The progress indicator is an ordered list with the current step marked by </w:t>
            </w:r>
            <w:r>
              <w:rPr>
                <w:rFonts w:ascii="Consolas" w:hAnsi="Consolas"/>
                <w:color w:val="146EF5"/>
                <w:sz w:val="14"/>
              </w:rPr>
              <w:t>aria-current</w:t>
            </w:r>
            <w:r>
              <w:rPr>
                <w:rFonts w:ascii="Calibri" w:hAnsi="Calibri"/>
                <w:b w:val="0"/>
                <w:i w:val="0"/>
                <w:color w:val="101828"/>
                <w:sz w:val="14"/>
              </w:rPr>
              <w:t xml:space="preserve">, and its accessible name is </w:t>
            </w:r>
            <w:r>
              <w:rPr>
                <w:rFonts w:ascii="Calibri" w:hAnsi="Calibri"/>
                <w:i/>
                <w:color w:val="101828"/>
                <w:sz w:val="14"/>
              </w:rPr>
              <w:t>Step 1 of 7, the Ajo's identity</w:t>
            </w:r>
            <w:r>
              <w:rPr>
                <w:rFonts w:ascii="Calibri" w:hAnsi="Calibri"/>
                <w:b w:val="0"/>
                <w:i w:val="0"/>
                <w:color w:val="101828"/>
                <w:sz w:val="14"/>
              </w:rPr>
              <w:t>. Fields keep their content on every failure.</w:t>
            </w:r>
          </w:p>
        </w:tc>
      </w:tr>
    </w:tbl>
    <w:p>
      <w:pPr>
        <w:spacing w:after="80"/>
      </w:pP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4"/>
              </w:rPr>
              <w:t>Field</w:t>
            </w:r>
          </w:p>
        </w:tc>
        <w:tc>
          <w:tcPr>
            <w:tcW w:type="dxa" w:w="1325"/>
            <w:shd w:val="clear" w:color="auto" w:fill="0B1F3A"/>
            <w:tcMar>
              <w:top w:w="60" w:type="dxa"/>
              <w:start w:w="110" w:type="dxa"/>
              <w:bottom w:w="60" w:type="dxa"/>
              <w:end w:w="110" w:type="dxa"/>
            </w:tcMar>
          </w:tcPr>
          <w:p>
            <w:pPr>
              <w:spacing w:after="0"/>
            </w:pPr>
            <w:r/>
            <w:r>
              <w:rPr>
                <w:rFonts w:ascii="Calibri" w:hAnsi="Calibri"/>
                <w:b/>
                <w:i w:val="0"/>
                <w:color w:val="FFFFFF"/>
                <w:sz w:val="14"/>
              </w:rPr>
              <w:t>Control</w:t>
            </w:r>
          </w:p>
        </w:tc>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4"/>
              </w:rPr>
              <w:t>Required</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4"/>
              </w:rPr>
              <w:t>Helper text</w:t>
            </w:r>
          </w:p>
        </w:tc>
        <w:tc>
          <w:tcPr>
            <w:tcW w:type="dxa" w:w="2707"/>
            <w:shd w:val="clear" w:color="auto" w:fill="0B1F3A"/>
            <w:tcMar>
              <w:top w:w="60" w:type="dxa"/>
              <w:start w:w="110" w:type="dxa"/>
              <w:bottom w:w="60" w:type="dxa"/>
              <w:end w:w="110" w:type="dxa"/>
            </w:tcMar>
          </w:tcPr>
          <w:p>
            <w:pPr>
              <w:spacing w:after="0"/>
            </w:pPr>
            <w:r/>
            <w:r>
              <w:rPr>
                <w:rFonts w:ascii="Calibri" w:hAnsi="Calibri"/>
                <w:b/>
                <w:i w:val="0"/>
                <w:color w:val="FFFFFF"/>
                <w:sz w:val="14"/>
              </w:rPr>
              <w:t>Format</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4"/>
              </w:rPr>
              <w:t>Ajo name</w:t>
            </w:r>
          </w:p>
        </w:tc>
        <w:tc>
          <w:tcPr>
            <w:tcW w:type="dxa" w:w="1325"/>
            <w:tcMar>
              <w:top w:w="60" w:type="dxa"/>
              <w:start w:w="110" w:type="dxa"/>
              <w:bottom w:w="60" w:type="dxa"/>
              <w:end w:w="110" w:type="dxa"/>
            </w:tcMar>
          </w:tcPr>
          <w:p>
            <w:pPr>
              <w:spacing w:after="0"/>
            </w:pPr>
            <w:r/>
            <w:r>
              <w:rPr>
                <w:rFonts w:ascii="Calibri" w:hAnsi="Calibri"/>
                <w:b w:val="0"/>
                <w:i w:val="0"/>
                <w:color w:val="101828"/>
                <w:sz w:val="14"/>
              </w:rPr>
              <w:t>Input, text</w:t>
            </w:r>
          </w:p>
        </w:tc>
        <w:tc>
          <w:tcPr>
            <w:tcW w:type="dxa" w:w="720"/>
            <w:tcMar>
              <w:top w:w="60" w:type="dxa"/>
              <w:start w:w="110" w:type="dxa"/>
              <w:bottom w:w="60" w:type="dxa"/>
              <w:end w:w="110" w:type="dxa"/>
            </w:tcMar>
          </w:tcPr>
          <w:p>
            <w:pPr>
              <w:spacing w:after="0"/>
            </w:pPr>
            <w:r/>
            <w:r>
              <w:rPr>
                <w:rFonts w:ascii="Calibri" w:hAnsi="Calibri"/>
                <w:b w:val="0"/>
                <w:i w:val="0"/>
                <w:color w:val="101828"/>
                <w:sz w:val="14"/>
              </w:rPr>
              <w:t>Yes</w:t>
            </w:r>
          </w:p>
        </w:tc>
        <w:tc>
          <w:tcPr>
            <w:tcW w:type="dxa" w:w="2880"/>
            <w:tcMar>
              <w:top w:w="60" w:type="dxa"/>
              <w:start w:w="110" w:type="dxa"/>
              <w:bottom w:w="60" w:type="dxa"/>
              <w:end w:w="110" w:type="dxa"/>
            </w:tcMar>
          </w:tcPr>
          <w:p>
            <w:pPr>
              <w:spacing w:after="0"/>
            </w:pPr>
            <w:r/>
            <w:r>
              <w:rPr>
                <w:rFonts w:ascii="Calibri" w:hAnsi="Calibri"/>
                <w:b w:val="0"/>
                <w:i w:val="0"/>
                <w:color w:val="101828"/>
                <w:sz w:val="14"/>
              </w:rPr>
              <w:t>What your group calls itself. Members will see this.</w:t>
            </w:r>
          </w:p>
        </w:tc>
        <w:tc>
          <w:tcPr>
            <w:tcW w:type="dxa" w:w="2707"/>
            <w:tcMar>
              <w:top w:w="60" w:type="dxa"/>
              <w:start w:w="110" w:type="dxa"/>
              <w:bottom w:w="60" w:type="dxa"/>
              <w:end w:w="110" w:type="dxa"/>
            </w:tcMar>
          </w:tcPr>
          <w:p>
            <w:pPr>
              <w:spacing w:after="0"/>
            </w:pPr>
            <w:r/>
            <w:r>
              <w:rPr>
                <w:rFonts w:ascii="Calibri" w:hAnsi="Calibri"/>
                <w:b w:val="0"/>
                <w:i w:val="0"/>
                <w:color w:val="101828"/>
                <w:sz w:val="14"/>
              </w:rPr>
              <w:t>3 to 40 characters; unique within the member's own Ajo list</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Short description</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Textarea</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No</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4"/>
              </w:rPr>
              <w:t>One line. Shown on the invite screen.</w:t>
            </w:r>
          </w:p>
        </w:tc>
        <w:tc>
          <w:tcPr>
            <w:tcW w:type="dxa" w:w="2707"/>
            <w:tcMar>
              <w:top w:w="60" w:type="dxa"/>
              <w:start w:w="110" w:type="dxa"/>
              <w:bottom w:w="60" w:type="dxa"/>
              <w:end w:w="110" w:type="dxa"/>
            </w:tcMar>
            <w:shd w:val="clear" w:color="auto" w:fill="F4F7FB"/>
          </w:tcPr>
          <w:p>
            <w:pPr>
              <w:spacing w:after="0"/>
            </w:pPr>
            <w:r/>
            <w:r>
              <w:rPr>
                <w:rFonts w:ascii="Calibri" w:hAnsi="Calibri"/>
                <w:b w:val="0"/>
                <w:i w:val="0"/>
                <w:color w:val="101828"/>
                <w:sz w:val="14"/>
              </w:rPr>
              <w:t>0 to 80 characters, live count from 60</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4"/>
              </w:rPr>
              <w:t>What is this Ajo for?</w:t>
            </w:r>
          </w:p>
        </w:tc>
        <w:tc>
          <w:tcPr>
            <w:tcW w:type="dxa" w:w="1325"/>
            <w:tcMar>
              <w:top w:w="60" w:type="dxa"/>
              <w:start w:w="110" w:type="dxa"/>
              <w:bottom w:w="60" w:type="dxa"/>
              <w:end w:w="110" w:type="dxa"/>
            </w:tcMar>
          </w:tcPr>
          <w:p>
            <w:pPr>
              <w:spacing w:after="0"/>
            </w:pPr>
            <w:r/>
            <w:r>
              <w:rPr>
                <w:rFonts w:ascii="Calibri" w:hAnsi="Calibri"/>
                <w:b w:val="0"/>
                <w:i w:val="0"/>
                <w:color w:val="101828"/>
                <w:sz w:val="14"/>
              </w:rPr>
              <w:t>Select</w:t>
            </w:r>
          </w:p>
        </w:tc>
        <w:tc>
          <w:tcPr>
            <w:tcW w:type="dxa" w:w="720"/>
            <w:tcMar>
              <w:top w:w="60" w:type="dxa"/>
              <w:start w:w="110" w:type="dxa"/>
              <w:bottom w:w="60" w:type="dxa"/>
              <w:end w:w="110" w:type="dxa"/>
            </w:tcMar>
          </w:tcPr>
          <w:p>
            <w:pPr>
              <w:spacing w:after="0"/>
            </w:pPr>
            <w:r/>
            <w:r>
              <w:rPr>
                <w:rFonts w:ascii="Calibri" w:hAnsi="Calibri"/>
                <w:b w:val="0"/>
                <w:i w:val="0"/>
                <w:color w:val="101828"/>
                <w:sz w:val="14"/>
              </w:rPr>
              <w:t>No</w:t>
            </w:r>
          </w:p>
        </w:tc>
        <w:tc>
          <w:tcPr>
            <w:tcW w:type="dxa" w:w="2880"/>
            <w:tcMar>
              <w:top w:w="60" w:type="dxa"/>
              <w:start w:w="110" w:type="dxa"/>
              <w:bottom w:w="60" w:type="dxa"/>
              <w:end w:w="110" w:type="dxa"/>
            </w:tcMar>
          </w:tcPr>
          <w:p>
            <w:pPr>
              <w:spacing w:after="0"/>
            </w:pPr>
            <w:r/>
            <w:r>
              <w:rPr>
                <w:rFonts w:ascii="Calibri" w:hAnsi="Calibri"/>
                <w:b w:val="0"/>
                <w:i w:val="0"/>
                <w:color w:val="101828"/>
                <w:sz w:val="14"/>
              </w:rPr>
              <w:t>Helps members decide whether to join.</w:t>
            </w:r>
          </w:p>
        </w:tc>
        <w:tc>
          <w:tcPr>
            <w:tcW w:type="dxa" w:w="2707"/>
            <w:tcMar>
              <w:top w:w="60" w:type="dxa"/>
              <w:start w:w="110" w:type="dxa"/>
              <w:bottom w:w="60" w:type="dxa"/>
              <w:end w:w="110" w:type="dxa"/>
            </w:tcMar>
          </w:tcPr>
          <w:p>
            <w:pPr>
              <w:spacing w:after="0"/>
            </w:pPr>
            <w:r/>
            <w:r>
              <w:rPr>
                <w:rFonts w:ascii="Calibri" w:hAnsi="Calibri"/>
                <w:b w:val="0"/>
                <w:i w:val="0"/>
                <w:color w:val="101828"/>
                <w:sz w:val="14"/>
              </w:rPr>
              <w:t>Household, business, school group, church group, event, other</w:t>
            </w:r>
          </w:p>
        </w:tc>
      </w:tr>
    </w:tbl>
    <w:p>
      <w:pPr>
        <w:spacing w:after="80"/>
      </w:pP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Rule</w:t>
            </w:r>
          </w:p>
        </w:tc>
        <w:tc>
          <w:tcPr>
            <w:tcW w:type="dxa" w:w="1786"/>
            <w:shd w:val="clear" w:color="auto" w:fill="0B1F3A"/>
            <w:tcMar>
              <w:top w:w="60" w:type="dxa"/>
              <w:start w:w="110" w:type="dxa"/>
              <w:bottom w:w="60" w:type="dxa"/>
              <w:end w:w="110" w:type="dxa"/>
            </w:tcMar>
          </w:tcPr>
          <w:p>
            <w:pPr>
              <w:spacing w:after="0"/>
            </w:pPr>
            <w:r/>
            <w:r>
              <w:rPr>
                <w:rFonts w:ascii="Calibri" w:hAnsi="Calibri"/>
                <w:b/>
                <w:i w:val="0"/>
                <w:color w:val="FFFFFF"/>
                <w:sz w:val="14"/>
              </w:rPr>
              <w:t>When it fires</w:t>
            </w:r>
          </w:p>
        </w:tc>
        <w:tc>
          <w:tcPr>
            <w:tcW w:type="dxa" w:w="3686"/>
            <w:shd w:val="clear" w:color="auto" w:fill="0B1F3A"/>
            <w:tcMar>
              <w:top w:w="60" w:type="dxa"/>
              <w:start w:w="110" w:type="dxa"/>
              <w:bottom w:w="60" w:type="dxa"/>
              <w:end w:w="110" w:type="dxa"/>
            </w:tcMar>
          </w:tcPr>
          <w:p>
            <w:pPr>
              <w:spacing w:after="0"/>
            </w:pPr>
            <w:r/>
            <w:r>
              <w:rPr>
                <w:rFonts w:ascii="Calibri" w:hAnsi="Calibri"/>
                <w:b/>
                <w:i w:val="0"/>
                <w:color w:val="FFFFFF"/>
                <w:sz w:val="14"/>
              </w:rPr>
              <w:t>Message</w:t>
            </w:r>
          </w:p>
        </w:tc>
        <w:tc>
          <w:tcPr>
            <w:tcW w:type="dxa" w:w="2362"/>
            <w:shd w:val="clear" w:color="auto" w:fill="0B1F3A"/>
            <w:tcMar>
              <w:top w:w="60" w:type="dxa"/>
              <w:start w:w="110" w:type="dxa"/>
              <w:bottom w:w="60" w:type="dxa"/>
              <w:end w:w="110" w:type="dxa"/>
            </w:tcMar>
          </w:tcPr>
          <w:p>
            <w:pPr>
              <w:spacing w:after="0"/>
            </w:pPr>
            <w:r/>
            <w:r>
              <w:rPr>
                <w:rFonts w:ascii="Calibri" w:hAnsi="Calibri"/>
                <w:b/>
                <w:i w:val="0"/>
                <w:color w:val="FFFFFF"/>
                <w:sz w:val="14"/>
              </w:rPr>
              <w:t>Behaviour</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Name empty</w:t>
            </w:r>
          </w:p>
        </w:tc>
        <w:tc>
          <w:tcPr>
            <w:tcW w:type="dxa" w:w="1786"/>
            <w:tcMar>
              <w:top w:w="60" w:type="dxa"/>
              <w:start w:w="110" w:type="dxa"/>
              <w:bottom w:w="60" w:type="dxa"/>
              <w:end w:w="110" w:type="dxa"/>
            </w:tcMar>
          </w:tcPr>
          <w:p>
            <w:pPr>
              <w:spacing w:after="0"/>
            </w:pPr>
            <w:r/>
            <w:r>
              <w:rPr>
                <w:rFonts w:ascii="Calibri" w:hAnsi="Calibri"/>
                <w:b w:val="0"/>
                <w:i w:val="0"/>
                <w:color w:val="101828"/>
                <w:sz w:val="14"/>
              </w:rPr>
              <w:t>Continue</w:t>
            </w:r>
          </w:p>
        </w:tc>
        <w:tc>
          <w:tcPr>
            <w:tcW w:type="dxa" w:w="3686"/>
            <w:tcMar>
              <w:top w:w="60" w:type="dxa"/>
              <w:start w:w="110" w:type="dxa"/>
              <w:bottom w:w="60" w:type="dxa"/>
              <w:end w:w="110" w:type="dxa"/>
            </w:tcMar>
          </w:tcPr>
          <w:p>
            <w:pPr>
              <w:spacing w:after="0"/>
            </w:pPr>
            <w:r/>
            <w:r>
              <w:rPr>
                <w:rFonts w:ascii="Calibri" w:hAnsi="Calibri"/>
                <w:b w:val="0"/>
                <w:i w:val="0"/>
                <w:color w:val="101828"/>
                <w:sz w:val="14"/>
              </w:rPr>
              <w:t>Give the Ajo a name so your members recognise it.</w:t>
            </w:r>
          </w:p>
        </w:tc>
        <w:tc>
          <w:tcPr>
            <w:tcW w:type="dxa" w:w="2362"/>
            <w:tcMar>
              <w:top w:w="60" w:type="dxa"/>
              <w:start w:w="110" w:type="dxa"/>
              <w:bottom w:w="60" w:type="dxa"/>
              <w:end w:w="110" w:type="dxa"/>
            </w:tcMar>
          </w:tcPr>
          <w:p>
            <w:pPr>
              <w:spacing w:after="0"/>
            </w:pPr>
            <w:r/>
            <w:r>
              <w:rPr>
                <w:rFonts w:ascii="Calibri" w:hAnsi="Calibri"/>
                <w:b w:val="0"/>
                <w:i w:val="0"/>
                <w:color w:val="101828"/>
                <w:sz w:val="14"/>
              </w:rPr>
              <w:t>Focus moves to the field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Name too short</w:t>
            </w:r>
          </w:p>
        </w:tc>
        <w:tc>
          <w:tcPr>
            <w:tcW w:type="dxa" w:w="1786"/>
            <w:tcMar>
              <w:top w:w="60" w:type="dxa"/>
              <w:start w:w="110" w:type="dxa"/>
              <w:bottom w:w="60" w:type="dxa"/>
              <w:end w:w="110" w:type="dxa"/>
            </w:tcMar>
            <w:shd w:val="clear" w:color="auto" w:fill="F4F7FB"/>
          </w:tcPr>
          <w:p>
            <w:pPr>
              <w:spacing w:after="0"/>
            </w:pPr>
            <w:r/>
            <w:r>
              <w:rPr>
                <w:rFonts w:ascii="Calibri" w:hAnsi="Calibri"/>
                <w:b w:val="0"/>
                <w:i w:val="0"/>
                <w:color w:val="101828"/>
                <w:sz w:val="14"/>
              </w:rPr>
              <w:t>Blur</w:t>
            </w:r>
          </w:p>
        </w:tc>
        <w:tc>
          <w:tcPr>
            <w:tcW w:type="dxa" w:w="3686"/>
            <w:tcMar>
              <w:top w:w="60" w:type="dxa"/>
              <w:start w:w="110" w:type="dxa"/>
              <w:bottom w:w="60" w:type="dxa"/>
              <w:end w:w="110" w:type="dxa"/>
            </w:tcMar>
            <w:shd w:val="clear" w:color="auto" w:fill="F4F7FB"/>
          </w:tcPr>
          <w:p>
            <w:pPr>
              <w:spacing w:after="0"/>
            </w:pPr>
            <w:r/>
            <w:r>
              <w:rPr>
                <w:rFonts w:ascii="Calibri" w:hAnsi="Calibri"/>
                <w:b w:val="0"/>
                <w:i w:val="0"/>
                <w:color w:val="101828"/>
                <w:sz w:val="14"/>
              </w:rPr>
              <w:t>Use at least 3 characters.</w:t>
            </w:r>
          </w:p>
        </w:tc>
        <w:tc>
          <w:tcPr>
            <w:tcW w:type="dxa" w:w="2362"/>
            <w:tcMar>
              <w:top w:w="60" w:type="dxa"/>
              <w:start w:w="110" w:type="dxa"/>
              <w:bottom w:w="60" w:type="dxa"/>
              <w:end w:w="110" w:type="dxa"/>
            </w:tcMar>
            <w:shd w:val="clear" w:color="auto" w:fill="F4F7FB"/>
          </w:tcPr>
          <w:p>
            <w:pPr>
              <w:spacing w:after="0"/>
            </w:pPr>
            <w:r/>
            <w:r>
              <w:rPr>
                <w:rFonts w:ascii="Calibri" w:hAnsi="Calibri"/>
                <w:b w:val="0"/>
                <w:i w:val="0"/>
                <w:color w:val="101828"/>
                <w:sz w:val="14"/>
              </w:rPr>
              <w:t>Field keeps its content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Name too long</w:t>
            </w:r>
          </w:p>
        </w:tc>
        <w:tc>
          <w:tcPr>
            <w:tcW w:type="dxa" w:w="1786"/>
            <w:tcMar>
              <w:top w:w="60" w:type="dxa"/>
              <w:start w:w="110" w:type="dxa"/>
              <w:bottom w:w="60" w:type="dxa"/>
              <w:end w:w="110" w:type="dxa"/>
            </w:tcMar>
          </w:tcPr>
          <w:p>
            <w:pPr>
              <w:spacing w:after="0"/>
            </w:pPr>
            <w:r/>
            <w:r>
              <w:rPr>
                <w:rFonts w:ascii="Calibri" w:hAnsi="Calibri"/>
                <w:b w:val="0"/>
                <w:i w:val="0"/>
                <w:color w:val="101828"/>
                <w:sz w:val="14"/>
              </w:rPr>
              <w:t>Blur</w:t>
            </w:r>
          </w:p>
        </w:tc>
        <w:tc>
          <w:tcPr>
            <w:tcW w:type="dxa" w:w="3686"/>
            <w:tcMar>
              <w:top w:w="60" w:type="dxa"/>
              <w:start w:w="110" w:type="dxa"/>
              <w:bottom w:w="60" w:type="dxa"/>
              <w:end w:w="110" w:type="dxa"/>
            </w:tcMar>
          </w:tcPr>
          <w:p>
            <w:pPr>
              <w:spacing w:after="0"/>
            </w:pPr>
            <w:r/>
            <w:r>
              <w:rPr>
                <w:rFonts w:ascii="Calibri" w:hAnsi="Calibri"/>
                <w:b w:val="0"/>
                <w:i w:val="0"/>
                <w:color w:val="101828"/>
                <w:sz w:val="14"/>
              </w:rPr>
              <w:t>Use 40 characters or fewer.</w:t>
            </w:r>
          </w:p>
        </w:tc>
        <w:tc>
          <w:tcPr>
            <w:tcW w:type="dxa" w:w="2362"/>
            <w:tcMar>
              <w:top w:w="60" w:type="dxa"/>
              <w:start w:w="110" w:type="dxa"/>
              <w:bottom w:w="60" w:type="dxa"/>
              <w:end w:w="110" w:type="dxa"/>
            </w:tcMar>
          </w:tcPr>
          <w:p>
            <w:pPr>
              <w:spacing w:after="0"/>
            </w:pPr>
            <w:r/>
            <w:r>
              <w:rPr>
                <w:rFonts w:ascii="Calibri" w:hAnsi="Calibri"/>
                <w:b w:val="0"/>
                <w:i w:val="0"/>
                <w:color w:val="101828"/>
                <w:sz w:val="14"/>
              </w:rPr>
              <w:t>Input capped at 40</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Name already used by this member</w:t>
            </w:r>
          </w:p>
        </w:tc>
        <w:tc>
          <w:tcPr>
            <w:tcW w:type="dxa" w:w="1786"/>
            <w:tcMar>
              <w:top w:w="60" w:type="dxa"/>
              <w:start w:w="110" w:type="dxa"/>
              <w:bottom w:w="60" w:type="dxa"/>
              <w:end w:w="110" w:type="dxa"/>
            </w:tcMar>
            <w:shd w:val="clear" w:color="auto" w:fill="F4F7FB"/>
          </w:tcPr>
          <w:p>
            <w:pPr>
              <w:spacing w:after="0"/>
            </w:pPr>
            <w:r/>
            <w:r>
              <w:rPr>
                <w:rFonts w:ascii="Calibri" w:hAnsi="Calibri"/>
                <w:b w:val="0"/>
                <w:i w:val="0"/>
                <w:color w:val="101828"/>
                <w:sz w:val="14"/>
              </w:rPr>
              <w:t>Continue</w:t>
            </w:r>
          </w:p>
        </w:tc>
        <w:tc>
          <w:tcPr>
            <w:tcW w:type="dxa" w:w="368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You already have an Ajo called </w:t>
            </w:r>
            <w:r>
              <w:rPr>
                <w:rFonts w:ascii="Calibri" w:hAnsi="Calibri"/>
                <w:i/>
                <w:color w:val="101828"/>
                <w:sz w:val="14"/>
              </w:rPr>
              <w:t>Market women</w:t>
            </w:r>
            <w:r>
              <w:rPr>
                <w:rFonts w:ascii="Calibri" w:hAnsi="Calibri"/>
                <w:b w:val="0"/>
                <w:i w:val="0"/>
                <w:color w:val="101828"/>
                <w:sz w:val="14"/>
              </w:rPr>
              <w:t>. Open it instead, or use another name.</w:t>
            </w:r>
          </w:p>
        </w:tc>
        <w:tc>
          <w:tcPr>
            <w:tcW w:type="dxa" w:w="2362"/>
            <w:tcMar>
              <w:top w:w="60" w:type="dxa"/>
              <w:start w:w="110" w:type="dxa"/>
              <w:bottom w:w="60" w:type="dxa"/>
              <w:end w:w="110" w:type="dxa"/>
            </w:tcMar>
            <w:shd w:val="clear" w:color="auto" w:fill="F4F7FB"/>
          </w:tcPr>
          <w:p>
            <w:pPr>
              <w:spacing w:after="0"/>
            </w:pPr>
            <w:r/>
            <w:r>
              <w:rPr>
                <w:rFonts w:ascii="Calibri" w:hAnsi="Calibri"/>
                <w:b w:val="0"/>
                <w:i w:val="0"/>
                <w:color w:val="101828"/>
                <w:sz w:val="14"/>
              </w:rPr>
              <w:t>Field keeps its content; a link to the existing Ajo is offered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Description too long</w:t>
            </w:r>
          </w:p>
        </w:tc>
        <w:tc>
          <w:tcPr>
            <w:tcW w:type="dxa" w:w="1786"/>
            <w:tcMar>
              <w:top w:w="60" w:type="dxa"/>
              <w:start w:w="110" w:type="dxa"/>
              <w:bottom w:w="60" w:type="dxa"/>
              <w:end w:w="110" w:type="dxa"/>
            </w:tcMar>
          </w:tcPr>
          <w:p>
            <w:pPr>
              <w:spacing w:after="0"/>
            </w:pPr>
            <w:r/>
            <w:r>
              <w:rPr>
                <w:rFonts w:ascii="Calibri" w:hAnsi="Calibri"/>
                <w:b w:val="0"/>
                <w:i w:val="0"/>
                <w:color w:val="101828"/>
                <w:sz w:val="14"/>
              </w:rPr>
              <w:t>Live, past 80</w:t>
            </w:r>
          </w:p>
        </w:tc>
        <w:tc>
          <w:tcPr>
            <w:tcW w:type="dxa" w:w="3686"/>
            <w:tcMar>
              <w:top w:w="60" w:type="dxa"/>
              <w:start w:w="110" w:type="dxa"/>
              <w:bottom w:w="60" w:type="dxa"/>
              <w:end w:w="110" w:type="dxa"/>
            </w:tcMar>
          </w:tcPr>
          <w:p>
            <w:pPr>
              <w:spacing w:after="0"/>
            </w:pPr>
            <w:r/>
            <w:r>
              <w:rPr>
                <w:rFonts w:ascii="Calibri" w:hAnsi="Calibri"/>
                <w:b w:val="0"/>
                <w:i w:val="0"/>
                <w:color w:val="101828"/>
                <w:sz w:val="14"/>
              </w:rPr>
              <w:t>80 characters is the limit. Yours is 86.</w:t>
            </w:r>
          </w:p>
        </w:tc>
        <w:tc>
          <w:tcPr>
            <w:tcW w:type="dxa" w:w="2362"/>
            <w:tcMar>
              <w:top w:w="60" w:type="dxa"/>
              <w:start w:w="110" w:type="dxa"/>
              <w:bottom w:w="60" w:type="dxa"/>
              <w:end w:w="110" w:type="dxa"/>
            </w:tcMar>
          </w:tcPr>
          <w:p>
            <w:pPr>
              <w:spacing w:after="0"/>
            </w:pPr>
            <w:r/>
            <w:r>
              <w:rPr>
                <w:rFonts w:ascii="Calibri" w:hAnsi="Calibri"/>
                <w:b w:val="0"/>
                <w:i w:val="0"/>
                <w:color w:val="101828"/>
                <w:sz w:val="14"/>
              </w:rPr>
              <w:t>Input capped, not silently truncated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DRAFT not created</w:t>
            </w:r>
          </w:p>
        </w:tc>
        <w:tc>
          <w:tcPr>
            <w:tcW w:type="dxa" w:w="1786"/>
            <w:tcMar>
              <w:top w:w="60" w:type="dxa"/>
              <w:start w:w="110" w:type="dxa"/>
              <w:bottom w:w="60" w:type="dxa"/>
              <w:end w:w="110" w:type="dxa"/>
            </w:tcMar>
            <w:shd w:val="clear" w:color="auto" w:fill="F4F7FB"/>
          </w:tcPr>
          <w:p>
            <w:pPr>
              <w:spacing w:after="0"/>
            </w:pPr>
            <w:r/>
            <w:r>
              <w:rPr>
                <w:rFonts w:ascii="Calibri" w:hAnsi="Calibri"/>
                <w:b w:val="0"/>
                <w:i w:val="0"/>
                <w:color w:val="101828"/>
                <w:sz w:val="14"/>
              </w:rPr>
              <w:t>Continue</w:t>
            </w:r>
          </w:p>
        </w:tc>
        <w:tc>
          <w:tcPr>
            <w:tcW w:type="dxa" w:w="3686"/>
            <w:tcMar>
              <w:top w:w="60" w:type="dxa"/>
              <w:start w:w="110" w:type="dxa"/>
              <w:bottom w:w="60" w:type="dxa"/>
              <w:end w:w="110" w:type="dxa"/>
            </w:tcMar>
            <w:shd w:val="clear" w:color="auto" w:fill="F4F7FB"/>
          </w:tcPr>
          <w:p>
            <w:pPr>
              <w:spacing w:after="0"/>
            </w:pPr>
            <w:r/>
            <w:r>
              <w:rPr>
                <w:rFonts w:ascii="Calibri" w:hAnsi="Calibri"/>
                <w:b w:val="0"/>
                <w:i w:val="0"/>
                <w:color w:val="101828"/>
                <w:sz w:val="14"/>
              </w:rPr>
              <w:t>We could not start this Ajo. Your details are still here. Try again.</w:t>
            </w:r>
          </w:p>
        </w:tc>
        <w:tc>
          <w:tcPr>
            <w:tcW w:type="dxa" w:w="2362"/>
            <w:tcMar>
              <w:top w:w="60" w:type="dxa"/>
              <w:start w:w="110" w:type="dxa"/>
              <w:bottom w:w="60" w:type="dxa"/>
              <w:end w:w="110" w:type="dxa"/>
            </w:tcMar>
            <w:shd w:val="clear" w:color="auto" w:fill="F4F7FB"/>
          </w:tcPr>
          <w:p>
            <w:pPr>
              <w:spacing w:after="0"/>
            </w:pPr>
            <w:r/>
            <w:r>
              <w:rPr>
                <w:rFonts w:ascii="Calibri" w:hAnsi="Calibri"/>
                <w:b w:val="0"/>
                <w:i w:val="0"/>
                <w:color w:val="101828"/>
                <w:sz w:val="14"/>
              </w:rPr>
              <w:t>Field content preserved, banner receives focus</w:t>
            </w:r>
          </w:p>
        </w:tc>
      </w:tr>
    </w:tbl>
    <w:p>
      <w:pPr>
        <w:spacing w:after="80"/>
      </w:pPr>
    </w:p>
    <w:p>
      <w:pPr>
        <w:pStyle w:val="Heading3"/>
      </w:pPr>
      <w:r>
        <w:rPr>
          <w:rFonts w:ascii="Calibri" w:hAnsi="Calibri"/>
          <w:b/>
          <w:i w:val="0"/>
          <w:color w:val="0B1F3A"/>
          <w:sz w:val="24"/>
        </w:rPr>
        <w:t>4.7.2 Step 2, the amount and the live fee preview — SCR-MOB-05.2</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Capture the contribution amount per member per round, and show the fee consequence of that number immediately. This step is the fee disclosure, and it happens before the next step, not at the end of the flow.</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organiser, who has a figure in mind and wants to know what it will really cost each person before they tell the group.</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Wizard chrome, then a card with the amount field and, directly beneath it, a three-line money block that updates as the field changes. The three lines are the canonical three, in the canonical order, at every amount.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FormField</w:t>
            </w:r>
            <w:r>
              <w:rPr>
                <w:rFonts w:ascii="Calibri" w:hAnsi="Calibri"/>
                <w:b w:val="0"/>
                <w:i w:val="0"/>
                <w:color w:val="101828"/>
                <w:sz w:val="14"/>
              </w:rPr>
              <w:t xml:space="preserve"> (amount, preset chips), </w:t>
            </w:r>
            <w:r>
              <w:rPr>
                <w:rFonts w:ascii="Consolas" w:hAnsi="Consolas"/>
                <w:color w:val="146EF5"/>
                <w:sz w:val="14"/>
              </w:rPr>
              <w:t>MoneyBlock</w:t>
            </w:r>
            <w:r>
              <w:rPr>
                <w:rFonts w:ascii="Calibri" w:hAnsi="Calibri"/>
                <w:b w:val="0"/>
                <w:i w:val="0"/>
                <w:color w:val="101828"/>
                <w:sz w:val="14"/>
              </w:rPr>
              <w:t xml:space="preserve"> (3 lines), </w:t>
            </w:r>
            <w:r>
              <w:rPr>
                <w:rFonts w:ascii="Consolas" w:hAnsi="Consolas"/>
                <w:color w:val="146EF5"/>
                <w:sz w:val="14"/>
              </w:rPr>
              <w:t>WizardProgress</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(primary and secondary), </w:t>
            </w:r>
            <w:r>
              <w:rPr>
                <w:rFonts w:ascii="Consolas" w:hAnsi="Consolas"/>
                <w:color w:val="146EF5"/>
                <w:sz w:val="14"/>
              </w:rPr>
              <w:t>Callout</w:t>
            </w:r>
            <w:r>
              <w:rPr>
                <w:rFonts w:ascii="Calibri" w:hAnsi="Calibri"/>
                <w:b w:val="0"/>
                <w:i w:val="0"/>
                <w:color w:val="101828"/>
                <w:sz w:val="14"/>
              </w:rPr>
              <w:t xml:space="preserve"> (NOTE, what the recipient gets).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Entered from 05.1. Back returns to 05.1 with the name preserved. Forward to 05.3.</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Continue to the payment day</w:t>
            </w:r>
            <w:r>
              <w:rPr>
                <w:rFonts w:ascii="Calibri" w:hAnsi="Calibri"/>
                <w:b w:val="0"/>
                <w:i w:val="0"/>
                <w:color w:val="101828"/>
                <w:sz w:val="14"/>
              </w:rPr>
              <w:t>. One filled button.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Back</w:t>
            </w:r>
            <w:r>
              <w:rPr>
                <w:rFonts w:ascii="Calibri" w:hAnsi="Calibri"/>
                <w:b w:val="0"/>
                <w:i w:val="0"/>
                <w:color w:val="101828"/>
                <w:sz w:val="14"/>
              </w:rPr>
              <w:t xml:space="preserve"> (secondary outlined) below it, and a step link back through the progress indicator.</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amount field, pre-filled with NGN 1,000.00 as a working default that the organiser is expected to confirm or change — </w:t>
            </w:r>
            <w:r>
              <w:rPr>
                <w:rFonts w:ascii="Calibri" w:hAnsi="Calibri"/>
                <w:b/>
                <w:color w:val="101828"/>
                <w:sz w:val="14"/>
              </w:rPr>
              <w:t>it is a default, not a recommendation, and the field is selected on arrival so it is obvious it is editable.</w:t>
            </w:r>
            <w:r>
              <w:rPr>
                <w:rFonts w:ascii="Calibri" w:hAnsi="Calibri"/>
                <w:b w:val="0"/>
                <w:i w:val="0"/>
                <w:color w:val="101828"/>
                <w:sz w:val="14"/>
              </w:rPr>
              <w:t xml:space="preserve"> Four preset chips at common values. The live three-line block: </w:t>
            </w:r>
            <w:r>
              <w:rPr>
                <w:rFonts w:ascii="Calibri" w:hAnsi="Calibri"/>
                <w:i/>
                <w:color w:val="101828"/>
                <w:sz w:val="14"/>
              </w:rPr>
              <w:t>Contribution NGN 1,000.00</w:t>
            </w:r>
            <w:r>
              <w:rPr>
                <w:rFonts w:ascii="Calibri" w:hAnsi="Calibri"/>
                <w:b w:val="0"/>
                <w:i w:val="0"/>
                <w:color w:val="101828"/>
                <w:sz w:val="14"/>
              </w:rPr>
              <w:t xml:space="preserve">, </w:t>
            </w:r>
            <w:r>
              <w:rPr>
                <w:rFonts w:ascii="Calibri" w:hAnsi="Calibri"/>
                <w:i/>
                <w:color w:val="101828"/>
                <w:sz w:val="14"/>
              </w:rPr>
              <w:t>Fee at 2% NGN 20.00</w:t>
            </w:r>
            <w:r>
              <w:rPr>
                <w:rFonts w:ascii="Calibri" w:hAnsi="Calibri"/>
                <w:b w:val="0"/>
                <w:i w:val="0"/>
                <w:color w:val="101828"/>
                <w:sz w:val="14"/>
              </w:rPr>
              <w:t xml:space="preserve">, </w:t>
            </w:r>
            <w:r>
              <w:rPr>
                <w:rFonts w:ascii="Calibri" w:hAnsi="Calibri"/>
                <w:i/>
                <w:color w:val="101828"/>
                <w:sz w:val="14"/>
              </w:rPr>
              <w:t>Total each member pays NGN 1,020.00</w:t>
            </w:r>
            <w:r>
              <w:rPr>
                <w:rFonts w:ascii="Calibri" w:hAnsi="Calibri"/>
                <w:b w:val="0"/>
                <w:i w:val="0"/>
                <w:color w:val="101828"/>
                <w:sz w:val="14"/>
              </w:rPr>
              <w:t xml:space="preserve">. A NOTE: </w:t>
            </w:r>
            <w:r>
              <w:rPr>
                <w:rFonts w:ascii="Calibri" w:hAnsi="Calibri"/>
                <w:i/>
                <w:color w:val="101828"/>
                <w:sz w:val="14"/>
              </w:rPr>
              <w:t>This is what each member pays each round. Whoever receives the round is paid NGN 10,000.00 — the fee is never taken from the payout.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Amount, input type text with numeric input mode, not </w:t>
            </w:r>
            <w:r>
              <w:rPr>
                <w:rFonts w:ascii="Consolas" w:hAnsi="Consolas"/>
                <w:color w:val="146EF5"/>
                <w:sz w:val="14"/>
              </w:rPr>
              <w:t>number</w:t>
            </w:r>
            <w:r>
              <w:rPr>
                <w:rFonts w:ascii="Calibri" w:hAnsi="Calibri"/>
                <w:b w:val="0"/>
                <w:i w:val="0"/>
                <w:color w:val="101828"/>
                <w:sz w:val="14"/>
              </w:rPr>
              <w:t xml:space="preserve">, because </w:t>
            </w:r>
            <w:r>
              <w:rPr>
                <w:rFonts w:ascii="Consolas" w:hAnsi="Consolas"/>
                <w:color w:val="146EF5"/>
                <w:sz w:val="14"/>
              </w:rPr>
              <w:t>number</w:t>
            </w:r>
            <w:r>
              <w:rPr>
                <w:rFonts w:ascii="Calibri" w:hAnsi="Calibri"/>
                <w:b w:val="0"/>
                <w:i w:val="0"/>
                <w:color w:val="101828"/>
                <w:sz w:val="14"/>
              </w:rPr>
              <w:t xml:space="preserve"> silently discards the member's formatting and rejects the way a Nigerian keyboard offers digits. Required. Preset chips set the same field and keep focus in the field so typing continues to work.</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Numeric; NGN 1,000.00 minimum, up to the current contribution cap. Thousands separators allowed and stripped before parsing. A value below the minimum is rejected with the figure, not a phrase: </w:t>
            </w:r>
            <w:r>
              <w:rPr>
                <w:rFonts w:ascii="Calibri" w:hAnsi="Calibri"/>
                <w:i/>
                <w:color w:val="101828"/>
                <w:sz w:val="14"/>
              </w:rPr>
              <w:t>Each member pays at least NGN 1,000.00 per round.</w:t>
            </w:r>
            <w:r>
              <w:rPr>
                <w:rFonts w:ascii="Calibri" w:hAnsi="Calibri"/>
                <w:b w:val="0"/>
                <w:i w:val="0"/>
                <w:color w:val="101828"/>
                <w:sz w:val="14"/>
              </w:rPr>
              <w:t xml:space="preserve"> The preview shows the parsed value and never the raw string, so a value of </w:t>
            </w:r>
            <w:r>
              <w:rPr>
                <w:rFonts w:ascii="Calibri" w:hAnsi="Calibri"/>
                <w:i/>
                <w:color w:val="101828"/>
                <w:sz w:val="14"/>
              </w:rPr>
              <w:t>1,0</w:t>
            </w:r>
            <w:r>
              <w:rPr>
                <w:rFonts w:ascii="Calibri" w:hAnsi="Calibri"/>
                <w:b w:val="0"/>
                <w:i w:val="0"/>
                <w:color w:val="101828"/>
                <w:sz w:val="14"/>
              </w:rPr>
              <w:t xml:space="preserve"> never renders a fee of NGN 0.02.</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preview computes on input with no network call, so there is no loading state and no lag between typing and seeing the fee. Any cap lookup is resolved before the step is entered rather than on input.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field is empty and the preview shows the canonical figures as a labelled example, </w:t>
            </w:r>
            <w:r>
              <w:rPr>
                <w:rFonts w:ascii="Calibri" w:hAnsi="Calibri"/>
                <w:i/>
                <w:color w:val="101828"/>
                <w:sz w:val="14"/>
              </w:rPr>
              <w:t>Example at NGN 1,000.00</w:t>
            </w:r>
            <w:r>
              <w:rPr>
                <w:rFonts w:ascii="Calibri" w:hAnsi="Calibri"/>
                <w:b w:val="0"/>
                <w:i w:val="0"/>
                <w:color w:val="101828"/>
                <w:sz w:val="14"/>
              </w:rPr>
              <w:t>, rather than dashes. Dashes teach nothing.</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Inline on the amount only. The preview is not blocked by an invalid amount; it keeps showing the last valid value with the new text marked invalid, so the member can see the difference between their typing and the number that will be charged.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amount is stored on the DRAFT and the wizard advances. Nothing is charged and no receipt exists, so there is nothing to show a member here.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One column. The money block sits immediately under the field and is never collapsed, because a fee the member has to open something to see is a fee that gets missed. Below 375 the three lines keep their labels on the left and figures right-aligned.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money block is a description list associated with the field by </w:t>
            </w:r>
            <w:r>
              <w:rPr>
                <w:rFonts w:ascii="Consolas" w:hAnsi="Consolas"/>
                <w:color w:val="146EF5"/>
                <w:sz w:val="14"/>
              </w:rPr>
              <w:t>aria-describedby</w:t>
            </w:r>
            <w:r>
              <w:rPr>
                <w:rFonts w:ascii="Calibri" w:hAnsi="Calibri"/>
                <w:b w:val="0"/>
                <w:i w:val="0"/>
                <w:color w:val="101828"/>
                <w:sz w:val="14"/>
              </w:rPr>
              <w:t xml:space="preserve">, and is in the accessible outline as a labelled region named </w:t>
            </w:r>
            <w:r>
              <w:rPr>
                <w:rFonts w:ascii="Calibri" w:hAnsi="Calibri"/>
                <w:i/>
                <w:color w:val="101828"/>
                <w:sz w:val="14"/>
              </w:rPr>
              <w:t>What each member pays</w:t>
            </w:r>
            <w:r>
              <w:rPr>
                <w:rFonts w:ascii="Calibri" w:hAnsi="Calibri"/>
                <w:b w:val="0"/>
                <w:i w:val="0"/>
                <w:color w:val="101828"/>
                <w:sz w:val="14"/>
              </w:rPr>
              <w:t>. Amounts use tabular figures so digits align between lines. The preview updates are announced politely, not assertively, and announce the total only, not all three lines on every keystroke.</w:t>
            </w:r>
          </w:p>
        </w:tc>
      </w:tr>
    </w:tbl>
    <w:p>
      <w:pPr>
        <w:spacing w:after="80"/>
      </w:pPr>
    </w:p>
    <w:p>
      <w:pPr>
        <w:pStyle w:val="Heading3"/>
      </w:pPr>
      <w:r>
        <w:rPr>
          <w:rFonts w:ascii="Calibri" w:hAnsi="Calibri"/>
          <w:b/>
          <w:i w:val="0"/>
          <w:color w:val="0B1F3A"/>
          <w:sz w:val="24"/>
        </w:rPr>
        <w:t>4.7.3 Step 3, the payment day — SCR-MOB-05.3</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Set the day of the month each round is collected, and state that it cannot be changed once the Ajo is active.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organiser, choosing a day the group can realistically meet. The date they pick has to survive ten rounds of real life, which is why the step shows the consequences rather than a bare date picker.</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Wizard chrome, then a card: a day-of-month selector rendered as a 7-column grid of days 1 to 28 plus a </w:t>
            </w:r>
            <w:r>
              <w:rPr>
                <w:rFonts w:ascii="Calibri" w:hAnsi="Calibri"/>
                <w:i/>
                <w:color w:val="101828"/>
                <w:sz w:val="14"/>
              </w:rPr>
              <w:t>Last day of the month</w:t>
            </w:r>
            <w:r>
              <w:rPr>
                <w:rFonts w:ascii="Calibri" w:hAnsi="Calibri"/>
                <w:b w:val="0"/>
                <w:i w:val="0"/>
                <w:color w:val="101828"/>
                <w:sz w:val="14"/>
              </w:rPr>
              <w:t xml:space="preserve"> option, then a consequence panel beneath it.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FormField</w:t>
            </w:r>
            <w:r>
              <w:rPr>
                <w:rFonts w:ascii="Calibri" w:hAnsi="Calibri"/>
                <w:b w:val="0"/>
                <w:i w:val="0"/>
                <w:color w:val="101828"/>
                <w:sz w:val="14"/>
              </w:rPr>
              <w:t xml:space="preserve"> (day of month), </w:t>
            </w:r>
            <w:r>
              <w:rPr>
                <w:rFonts w:ascii="Consolas" w:hAnsi="Consolas"/>
                <w:color w:val="146EF5"/>
                <w:sz w:val="14"/>
              </w:rPr>
              <w:t>WizardProgress</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(primary and secondary), </w:t>
            </w:r>
            <w:r>
              <w:rPr>
                <w:rFonts w:ascii="Consolas" w:hAnsi="Consolas"/>
                <w:color w:val="146EF5"/>
                <w:sz w:val="14"/>
              </w:rPr>
              <w:t>Callout</w:t>
            </w:r>
            <w:r>
              <w:rPr>
                <w:rFonts w:ascii="Calibri" w:hAnsi="Calibri"/>
                <w:b w:val="0"/>
                <w:i w:val="0"/>
                <w:color w:val="101828"/>
                <w:sz w:val="14"/>
              </w:rPr>
              <w:t xml:space="preserve"> (NOTE, immutability), </w:t>
            </w:r>
            <w:r>
              <w:rPr>
                <w:rFonts w:ascii="Consolas" w:hAnsi="Consolas"/>
                <w:color w:val="146EF5"/>
                <w:sz w:val="14"/>
              </w:rPr>
              <w:t>Callout</w:t>
            </w:r>
            <w:r>
              <w:rPr>
                <w:rFonts w:ascii="Calibri" w:hAnsi="Calibri"/>
                <w:b w:val="0"/>
                <w:i w:val="0"/>
                <w:color w:val="101828"/>
                <w:sz w:val="14"/>
              </w:rPr>
              <w:t xml:space="preserve"> (DECISION, consequence).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Entered from 05.2. Back to 05.2. Forward to 05.4.</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Continue to the number of rounds</w:t>
            </w:r>
            <w:r>
              <w:rPr>
                <w:rFonts w:ascii="Calibri" w:hAnsi="Calibri"/>
                <w:b w:val="0"/>
                <w:i w:val="0"/>
                <w:color w:val="101828"/>
                <w:sz w:val="14"/>
              </w:rPr>
              <w:t>. One filled button.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Back</w:t>
            </w:r>
            <w:r>
              <w:rPr>
                <w:rFonts w:ascii="Calibri" w:hAnsi="Calibri"/>
                <w:b w:val="0"/>
                <w:i w:val="0"/>
                <w:color w:val="101828"/>
                <w:sz w:val="14"/>
              </w:rPr>
              <w:t xml:space="preserve"> (secondary outlined).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day selector. Below it, the consequence panel, computed live: the collection date for the next three rounds, and the reminder timing — reminders go out 72 hours and 24 hours before the due date. A NOTE stating that the payment day locks when the Ajo activates, and that changing it afterwards requires the position-change process on SCR-MOB-06, which is not a calendar setting. Days 29, 30 and 31 are selectable only with </w:t>
            </w:r>
            <w:r>
              <w:rPr>
                <w:rFonts w:ascii="Calibri" w:hAnsi="Calibri"/>
                <w:i/>
                <w:color w:val="101828"/>
                <w:sz w:val="14"/>
              </w:rPr>
              <w:t>Last day of the month</w:t>
            </w:r>
            <w:r>
              <w:rPr>
                <w:rFonts w:ascii="Calibri" w:hAnsi="Calibri"/>
                <w:b w:val="0"/>
                <w:i w:val="0"/>
                <w:color w:val="101828"/>
                <w:sz w:val="14"/>
              </w:rPr>
              <w:t xml:space="preserve">, because a collection on the 30th that silently moves to the 28th in February is a broken promise. </w:t>
            </w:r>
            <w:r>
              <w:rPr>
                <w:rFonts w:ascii="Calibri" w:hAnsi="Calibri"/>
                <w:b/>
                <w:color w:val="101828"/>
                <w:sz w:val="14"/>
              </w:rPr>
              <w:t>What happens when that day is a public holiday is not settled, and this step does not pretend otherwise</w:t>
            </w:r>
            <w:r>
              <w:rPr>
                <w:rFonts w:ascii="Calibri" w:hAnsi="Calibri"/>
                <w:b w:val="0"/>
                <w:i w:val="0"/>
                <w:color w:val="101828"/>
                <w:sz w:val="14"/>
              </w:rPr>
              <w:t>; a line says a reminder is still sent and the collection is still expected.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Day of month, single-select, required. </w:t>
            </w:r>
            <w:r>
              <w:rPr>
                <w:rFonts w:ascii="Calibri" w:hAnsi="Calibri"/>
                <w:i/>
                <w:color w:val="101828"/>
                <w:sz w:val="14"/>
              </w:rPr>
              <w:t>Last day of the month</w:t>
            </w:r>
            <w:r>
              <w:rPr>
                <w:rFonts w:ascii="Calibri" w:hAnsi="Calibri"/>
                <w:b w:val="0"/>
                <w:i w:val="0"/>
                <w:color w:val="101828"/>
                <w:sz w:val="14"/>
              </w:rPr>
              <w:t xml:space="preserve"> is a distinct option, not day 31.</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Required, one of 1 to 28 or the last-day option. A day between 29 and 31 cannot be selected individually, so there is no invalid range to report.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consequence panel computes locally. The three sample dates are shown once the day is chosen, with no network call and no spinner.</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Nothing selected and the consequence panel shows a single line: </w:t>
            </w:r>
            <w:r>
              <w:rPr>
                <w:rFonts w:ascii="Calibri" w:hAnsi="Calibri"/>
                <w:i/>
                <w:color w:val="101828"/>
                <w:sz w:val="14"/>
              </w:rPr>
              <w:t>Choose a day and we will show you the first three collection dates.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 beyond the required check, which is inline on continue.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Stored on the DRAFT; the wizard advances. No notice beyond the advance.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day grid is 7 columns from 320 px with 44 px cells; each cell is a real button with the day number, and the selected cell is marked by fill, border and an accessible state together. Below 375 the grid is unchanged rather than reflowed, because a calendar that reflows is not a calendar.</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grid is a </w:t>
            </w:r>
            <w:r>
              <w:rPr>
                <w:rFonts w:ascii="Consolas" w:hAnsi="Consolas"/>
                <w:color w:val="146EF5"/>
                <w:sz w:val="14"/>
              </w:rPr>
              <w:t>grid</w:t>
            </w:r>
            <w:r>
              <w:rPr>
                <w:rFonts w:ascii="Calibri" w:hAnsi="Calibri"/>
                <w:b w:val="0"/>
                <w:i w:val="0"/>
                <w:color w:val="101828"/>
                <w:sz w:val="14"/>
              </w:rPr>
              <w:t xml:space="preserve"> with a row and column header structure and an accessible name, </w:t>
            </w:r>
            <w:r>
              <w:rPr>
                <w:rFonts w:ascii="Calibri" w:hAnsi="Calibri"/>
                <w:i/>
                <w:color w:val="101828"/>
                <w:sz w:val="14"/>
              </w:rPr>
              <w:t>Day of the month</w:t>
            </w:r>
            <w:r>
              <w:rPr>
                <w:rFonts w:ascii="Calibri" w:hAnsi="Calibri"/>
                <w:b w:val="0"/>
                <w:i w:val="0"/>
                <w:color w:val="101828"/>
                <w:sz w:val="14"/>
              </w:rPr>
              <w:t xml:space="preserve">. The selected day is </w:t>
            </w:r>
            <w:r>
              <w:rPr>
                <w:rFonts w:ascii="Consolas" w:hAnsi="Consolas"/>
                <w:color w:val="146EF5"/>
                <w:sz w:val="14"/>
              </w:rPr>
              <w:t>aria-pressed</w:t>
            </w:r>
            <w:r>
              <w:rPr>
                <w:rFonts w:ascii="Calibri" w:hAnsi="Calibri"/>
                <w:b w:val="0"/>
                <w:i w:val="0"/>
                <w:color w:val="101828"/>
                <w:sz w:val="14"/>
              </w:rPr>
              <w:t xml:space="preserve"> or </w:t>
            </w:r>
            <w:r>
              <w:rPr>
                <w:rFonts w:ascii="Consolas" w:hAnsi="Consolas"/>
                <w:color w:val="146EF5"/>
                <w:sz w:val="14"/>
              </w:rPr>
              <w:t>aria-selected</w:t>
            </w:r>
            <w:r>
              <w:rPr>
                <w:rFonts w:ascii="Calibri" w:hAnsi="Calibri"/>
                <w:b w:val="0"/>
                <w:i w:val="0"/>
                <w:color w:val="101828"/>
                <w:sz w:val="14"/>
              </w:rPr>
              <w:t xml:space="preserve"> and also carries a visible tick, so selection is not colour-only. The consequence panel is a live region announcing the three dates once the selection settles, not on each arrow key press.</w:t>
            </w:r>
          </w:p>
        </w:tc>
      </w:tr>
    </w:tbl>
    <w:p>
      <w:pPr>
        <w:spacing w:after="80"/>
      </w:pPr>
    </w:p>
    <w:p>
      <w:pPr>
        <w:pStyle w:val="Heading3"/>
      </w:pPr>
      <w:r>
        <w:rPr>
          <w:rFonts w:ascii="Calibri" w:hAnsi="Calibri"/>
          <w:b/>
          <w:i w:val="0"/>
          <w:color w:val="0B1F3A"/>
          <w:sz w:val="24"/>
        </w:rPr>
        <w:t>4.7.4 Step 4, the number of rounds — SCR-MOB-05.4</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Set the member count, which is also the round count, and show the total the Ajo will move in the member's own currency rather than an abstract multiplier.</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organiser, who knows the size of the group. They need to see what the arrangement is worth, because that is the thing they are about to promise their group.</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Wizard chrome, then a card: a stepper or numeric field for members, and beneath it a four-line summary panel with the resulting schedule and totals.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FormField</w:t>
            </w:r>
            <w:r>
              <w:rPr>
                <w:rFonts w:ascii="Calibri" w:hAnsi="Calibri"/>
                <w:b w:val="0"/>
                <w:i w:val="0"/>
                <w:color w:val="101828"/>
                <w:sz w:val="14"/>
              </w:rPr>
              <w:t xml:space="preserve"> (number, stepper), </w:t>
            </w:r>
            <w:r>
              <w:rPr>
                <w:rFonts w:ascii="Consolas" w:hAnsi="Consolas"/>
                <w:color w:val="146EF5"/>
                <w:sz w:val="14"/>
              </w:rPr>
              <w:t>MoneyBlock</w:t>
            </w:r>
            <w:r>
              <w:rPr>
                <w:rFonts w:ascii="Calibri" w:hAnsi="Calibri"/>
                <w:b w:val="0"/>
                <w:i w:val="0"/>
                <w:color w:val="101828"/>
                <w:sz w:val="14"/>
              </w:rPr>
              <w:t xml:space="preserve">, </w:t>
            </w:r>
            <w:r>
              <w:rPr>
                <w:rFonts w:ascii="Consolas" w:hAnsi="Consolas"/>
                <w:color w:val="146EF5"/>
                <w:sz w:val="14"/>
              </w:rPr>
              <w:t>WizardProgress</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(primary and secondary), </w:t>
            </w:r>
            <w:r>
              <w:rPr>
                <w:rFonts w:ascii="Consolas" w:hAnsi="Consolas"/>
                <w:color w:val="146EF5"/>
                <w:sz w:val="14"/>
              </w:rPr>
              <w:t>Callout</w:t>
            </w:r>
            <w:r>
              <w:rPr>
                <w:rFonts w:ascii="Calibri" w:hAnsi="Calibri"/>
                <w:b w:val="0"/>
                <w:i w:val="0"/>
                <w:color w:val="101828"/>
                <w:sz w:val="14"/>
              </w:rPr>
              <w:t xml:space="preserve"> (NOTE, that rounds equal members).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Entered from 05.3. Back to 05.3. Forward to 05.5.</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Continue to invite members</w:t>
            </w:r>
            <w:r>
              <w:rPr>
                <w:rFonts w:ascii="Calibri" w:hAnsi="Calibri"/>
                <w:b w:val="0"/>
                <w:i w:val="0"/>
                <w:color w:val="101828"/>
                <w:sz w:val="14"/>
              </w:rPr>
              <w:t>. One filled button.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Back</w:t>
            </w:r>
            <w:r>
              <w:rPr>
                <w:rFonts w:ascii="Calibri" w:hAnsi="Calibri"/>
                <w:b w:val="0"/>
                <w:i w:val="0"/>
                <w:color w:val="101828"/>
                <w:sz w:val="14"/>
              </w:rPr>
              <w:t xml:space="preserve"> (secondary outlined).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Members, defaulting to 10, adjustable from 5 to 20. Ten is the most common. The stepper cannot go below five or above twenty, and the helper text says why: </w:t>
            </w:r>
            <w:r>
              <w:rPr>
                <w:rFonts w:ascii="Calibri" w:hAnsi="Calibri"/>
                <w:i/>
                <w:color w:val="101828"/>
                <w:sz w:val="14"/>
              </w:rPr>
              <w:t>An Ajo needs at least 5 members to rotate, and 20 is the most a group can manage.</w:t>
            </w:r>
            <w:r>
              <w:rPr>
                <w:rFonts w:ascii="Calibri" w:hAnsi="Calibri"/>
                <w:b w:val="0"/>
                <w:i w:val="0"/>
                <w:color w:val="101828"/>
                <w:sz w:val="14"/>
              </w:rPr>
              <w:t xml:space="preserve"> The creator already occupies one of these positions, so the summary below must show </w:t>
            </w:r>
            <w:r>
              <w:rPr>
                <w:rFonts w:ascii="Calibri" w:hAnsi="Calibri"/>
                <w:i/>
                <w:color w:val="101828"/>
                <w:sz w:val="14"/>
              </w:rPr>
              <w:t>you plus N invited members</w:t>
            </w:r>
            <w:r>
              <w:rPr>
                <w:rFonts w:ascii="Calibri" w:hAnsi="Calibri"/>
                <w:b w:val="0"/>
                <w:i w:val="0"/>
                <w:color w:val="101828"/>
                <w:sz w:val="14"/>
              </w:rPr>
              <w:t xml:space="preserve">, never a total that counts the organizer twice. The summary panel, live: </w:t>
            </w:r>
            <w:r>
              <w:rPr>
                <w:rFonts w:ascii="Calibri" w:hAnsi="Calibri"/>
                <w:i/>
                <w:color w:val="101828"/>
                <w:sz w:val="14"/>
              </w:rPr>
              <w:t>10 members</w:t>
            </w:r>
            <w:r>
              <w:rPr>
                <w:rFonts w:ascii="Calibri" w:hAnsi="Calibri"/>
                <w:b w:val="0"/>
                <w:i w:val="0"/>
                <w:color w:val="101828"/>
                <w:sz w:val="14"/>
              </w:rPr>
              <w:t xml:space="preserve">, </w:t>
            </w:r>
            <w:r>
              <w:rPr>
                <w:rFonts w:ascii="Calibri" w:hAnsi="Calibri"/>
                <w:i/>
                <w:color w:val="101828"/>
                <w:sz w:val="14"/>
              </w:rPr>
              <w:t>10 rounds</w:t>
            </w:r>
            <w:r>
              <w:rPr>
                <w:rFonts w:ascii="Calibri" w:hAnsi="Calibri"/>
                <w:b w:val="0"/>
                <w:i w:val="0"/>
                <w:color w:val="101828"/>
                <w:sz w:val="14"/>
              </w:rPr>
              <w:t xml:space="preserve">, </w:t>
            </w:r>
            <w:r>
              <w:rPr>
                <w:rFonts w:ascii="Calibri" w:hAnsi="Calibri"/>
                <w:i/>
                <w:color w:val="101828"/>
                <w:sz w:val="14"/>
              </w:rPr>
              <w:t>each member pays NGN 1,020.00 per round</w:t>
            </w:r>
            <w:r>
              <w:rPr>
                <w:rFonts w:ascii="Calibri" w:hAnsi="Calibri"/>
                <w:b w:val="0"/>
                <w:i w:val="0"/>
                <w:color w:val="101828"/>
                <w:sz w:val="14"/>
              </w:rPr>
              <w:t xml:space="preserve">, </w:t>
            </w:r>
            <w:r>
              <w:rPr>
                <w:rFonts w:ascii="Calibri" w:hAnsi="Calibri"/>
                <w:i/>
                <w:color w:val="101828"/>
                <w:sz w:val="14"/>
              </w:rPr>
              <w:t>each member pays NGN 10,200.00 in total</w:t>
            </w:r>
            <w:r>
              <w:rPr>
                <w:rFonts w:ascii="Calibri" w:hAnsi="Calibri"/>
                <w:b w:val="0"/>
                <w:i w:val="0"/>
                <w:color w:val="101828"/>
                <w:sz w:val="14"/>
              </w:rPr>
              <w:t xml:space="preserve">, </w:t>
            </w:r>
            <w:r>
              <w:rPr>
                <w:rFonts w:ascii="Calibri" w:hAnsi="Calibri"/>
                <w:i/>
                <w:color w:val="101828"/>
                <w:sz w:val="14"/>
              </w:rPr>
              <w:t>the whole Ajo collects NGN 102,000.00, of which NGN 2,000.00 is the AJO.ng fee</w:t>
            </w:r>
            <w:r>
              <w:rPr>
                <w:rFonts w:ascii="Calibri" w:hAnsi="Calibri"/>
                <w:b w:val="0"/>
                <w:i w:val="0"/>
                <w:color w:val="101828"/>
                <w:sz w:val="14"/>
              </w:rPr>
              <w:t xml:space="preserve">. A NOTE stating that rounds equal members, so that nobody believes a group of ten can run fifteen rounds. </w:t>
            </w:r>
            <w:r>
              <w:rPr>
                <w:rFonts w:ascii="Calibri" w:hAnsi="Calibri"/>
                <w:b/>
                <w:color w:val="101828"/>
                <w:sz w:val="14"/>
              </w:rPr>
              <w:t>Both the per-member total and the Ajo total are shown; a member who only ever sees one of them will believe the wrong number.</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Members, integer, required, 2 to the cap, with a decrement and increment control that are 48 px targets. A numeric keyboard is not forced, because a stepper is the primary control and a keyboard fights it.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Integer within 2 to the cap. Out of range is rejected with the range, not with </w:t>
            </w:r>
            <w:r>
              <w:rPr>
                <w:rFonts w:ascii="Calibri" w:hAnsi="Calibri"/>
                <w:i/>
                <w:color w:val="101828"/>
                <w:sz w:val="14"/>
              </w:rPr>
              <w:t>invalid</w:t>
            </w:r>
            <w:r>
              <w:rPr>
                <w:rFonts w:ascii="Calibri" w:hAnsi="Calibri"/>
                <w:b w:val="0"/>
                <w:i w:val="0"/>
                <w:color w:val="101828"/>
                <w:sz w:val="14"/>
              </w:rPr>
              <w:t>. The summary does not recompute against an invalid value; it keeps the last valid value with the typed text marked invalid, as on 05.2.</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summary computes locally and appears within the same frame. No spinner, no minimum display time.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field is empty and the summary shows the figures at the default of 10, labelled as an example.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Inline on the field. The cap message names the cap figure rather than saying </w:t>
            </w:r>
            <w:r>
              <w:rPr>
                <w:rFonts w:ascii="Calibri" w:hAnsi="Calibri"/>
                <w:i/>
                <w:color w:val="101828"/>
                <w:sz w:val="14"/>
              </w:rPr>
              <w:t>too many</w:t>
            </w:r>
            <w:r>
              <w:rPr>
                <w:rFonts w:ascii="Calibri" w:hAnsi="Calibri"/>
                <w:b w:val="0"/>
                <w:i w:val="0"/>
                <w:color w:val="101828"/>
                <w:sz w:val="14"/>
              </w:rPr>
              <w: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Stored on the DRAFT; the wizard advances to the invite step.</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stepper row holds the decrement, the field, the increment and the unit label on one line at every width; the field never shrinks below 96 px. The summary panel stacks its label and figure on the same line at 320 px, keeping the figure right-aligned.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stepper is a labelled group with the field described by </w:t>
            </w:r>
            <w:r>
              <w:rPr>
                <w:rFonts w:ascii="Calibri" w:hAnsi="Calibri"/>
                <w:i/>
                <w:color w:val="101828"/>
                <w:sz w:val="14"/>
              </w:rPr>
              <w:t>Number of members, between 2 and 50</w:t>
            </w:r>
            <w:r>
              <w:rPr>
                <w:rFonts w:ascii="Calibri" w:hAnsi="Calibri"/>
                <w:b w:val="0"/>
                <w:i w:val="0"/>
                <w:color w:val="101828"/>
                <w:sz w:val="14"/>
              </w:rPr>
              <w:t xml:space="preserve">. Decrement and increment have accessible names stating the resulting value, </w:t>
            </w:r>
            <w:r>
              <w:rPr>
                <w:rFonts w:ascii="Calibri" w:hAnsi="Calibri"/>
                <w:i/>
                <w:color w:val="101828"/>
                <w:sz w:val="14"/>
              </w:rPr>
              <w:t>Fewer members, 9</w:t>
            </w:r>
            <w:r>
              <w:rPr>
                <w:rFonts w:ascii="Calibri" w:hAnsi="Calibri"/>
                <w:b w:val="0"/>
                <w:i w:val="0"/>
                <w:color w:val="101828"/>
                <w:sz w:val="14"/>
              </w:rPr>
              <w:t>, so a screen reader user knows the effect before pressing. The summary panel is a description list and is announced politely once the value settles.</w:t>
            </w:r>
          </w:p>
        </w:tc>
      </w:tr>
    </w:tbl>
    <w:p>
      <w:pPr>
        <w:spacing w:after="80"/>
      </w:pPr>
    </w:p>
    <w:p>
      <w:pPr>
        <w:pStyle w:val="Heading3"/>
      </w:pPr>
      <w:r>
        <w:rPr>
          <w:rFonts w:ascii="Calibri" w:hAnsi="Calibri"/>
          <w:b/>
          <w:i w:val="0"/>
          <w:color w:val="0B1F3A"/>
          <w:sz w:val="24"/>
        </w:rPr>
        <w:t>4.7.5 Step 5, inviting members — SCR-MOB-05.5</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Mint single-use invite links and hand them over in the way the group actually communicates, which for this product is usually WhatsApp, and show what remains of the five-day window.</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organiser, who is about to send nine messages and wants to do it once. They are also the person most likely to invite someone by accident, so the step must make an invite revocable and obvious.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Wizard chrome, then a card with three single-use invite links, each on its own row with the recipient label, a copy control and a share control, then a counter line and a share panel.</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FormField</w:t>
            </w:r>
            <w:r>
              <w:rPr>
                <w:rFonts w:ascii="Calibri" w:hAnsi="Calibri"/>
                <w:b w:val="0"/>
                <w:i w:val="0"/>
                <w:color w:val="101828"/>
                <w:sz w:val="14"/>
              </w:rPr>
              <w:t xml:space="preserve"> (recipient name, optional), </w:t>
            </w:r>
            <w:r>
              <w:rPr>
                <w:rFonts w:ascii="Consolas" w:hAnsi="Consolas"/>
                <w:color w:val="146EF5"/>
                <w:sz w:val="14"/>
              </w:rPr>
              <w:t>CopyButton</w:t>
            </w:r>
            <w:r>
              <w:rPr>
                <w:rFonts w:ascii="Calibri" w:hAnsi="Calibri"/>
                <w:b w:val="0"/>
                <w:i w:val="0"/>
                <w:color w:val="101828"/>
                <w:sz w:val="14"/>
              </w:rPr>
              <w:t xml:space="preserve"> (3), </w:t>
            </w:r>
            <w:r>
              <w:rPr>
                <w:rFonts w:ascii="Consolas" w:hAnsi="Consolas"/>
                <w:color w:val="146EF5"/>
                <w:sz w:val="14"/>
              </w:rPr>
              <w:t>ShareSheet</w:t>
            </w:r>
            <w:r>
              <w:rPr>
                <w:rFonts w:ascii="Calibri" w:hAnsi="Calibri"/>
                <w:b w:val="0"/>
                <w:i w:val="0"/>
                <w:color w:val="101828"/>
                <w:sz w:val="14"/>
              </w:rPr>
              <w:t xml:space="preserve"> trigger, </w:t>
            </w:r>
            <w:r>
              <w:rPr>
                <w:rFonts w:ascii="Consolas" w:hAnsi="Consolas"/>
                <w:color w:val="146EF5"/>
                <w:sz w:val="14"/>
              </w:rPr>
              <w:t>Button</w:t>
            </w:r>
            <w:r>
              <w:rPr>
                <w:rFonts w:ascii="Calibri" w:hAnsi="Calibri"/>
                <w:b w:val="0"/>
                <w:i w:val="0"/>
                <w:color w:val="101828"/>
                <w:sz w:val="14"/>
              </w:rPr>
              <w:t xml:space="preserve"> (primary and secondary), </w:t>
            </w:r>
            <w:r>
              <w:rPr>
                <w:rFonts w:ascii="Consolas" w:hAnsi="Consolas"/>
                <w:color w:val="146EF5"/>
                <w:sz w:val="14"/>
              </w:rPr>
              <w:t>CountdownPill</w:t>
            </w:r>
            <w:r>
              <w:rPr>
                <w:rFonts w:ascii="Calibri" w:hAnsi="Calibri"/>
                <w:b w:val="0"/>
                <w:i w:val="0"/>
                <w:color w:val="101828"/>
                <w:sz w:val="14"/>
              </w:rPr>
              <w:t xml:space="preserve">, </w:t>
            </w:r>
            <w:r>
              <w:rPr>
                <w:rFonts w:ascii="Consolas" w:hAnsi="Consolas"/>
                <w:color w:val="146EF5"/>
                <w:sz w:val="14"/>
              </w:rPr>
              <w:t>WizardProgress</w:t>
            </w:r>
            <w:r>
              <w:rPr>
                <w:rFonts w:ascii="Calibri" w:hAnsi="Calibri"/>
                <w:b w:val="0"/>
                <w:i w:val="0"/>
                <w:color w:val="101828"/>
                <w:sz w:val="14"/>
              </w:rPr>
              <w:t xml:space="preserve">, </w:t>
            </w:r>
            <w:r>
              <w:rPr>
                <w:rFonts w:ascii="Consolas" w:hAnsi="Consolas"/>
                <w:color w:val="146EF5"/>
                <w:sz w:val="14"/>
              </w:rPr>
              <w:t>Callout</w:t>
            </w:r>
            <w:r>
              <w:rPr>
                <w:rFonts w:ascii="Calibri" w:hAnsi="Calibri"/>
                <w:b w:val="0"/>
                <w:i w:val="0"/>
                <w:color w:val="101828"/>
                <w:sz w:val="14"/>
              </w:rPr>
              <w:t xml:space="preserve"> (NOTE, single use).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Entered from 05.4. Back to 05.4. Forward to 05.6, which is reachable whether or not a single invite has been created.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Continue to the order</w:t>
            </w:r>
            <w:r>
              <w:rPr>
                <w:rFonts w:ascii="Calibri" w:hAnsi="Calibri"/>
                <w:b w:val="0"/>
                <w:i w:val="0"/>
                <w:color w:val="101828"/>
                <w:sz w:val="14"/>
              </w:rPr>
              <w:t xml:space="preserve">. One filled button. </w:t>
            </w:r>
            <w:r>
              <w:rPr>
                <w:rFonts w:ascii="Calibri" w:hAnsi="Calibri"/>
                <w:b/>
                <w:color w:val="101828"/>
                <w:sz w:val="14"/>
              </w:rPr>
              <w:t>The primary is never *Create invite*, because creating an invite is not the reason the organiser is here and a person who has minted nine links does not need a button to make a tenth.</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Create 3 more invites</w:t>
            </w:r>
            <w:r>
              <w:rPr>
                <w:rFonts w:ascii="Calibri" w:hAnsi="Calibri"/>
                <w:b w:val="0"/>
                <w:i w:val="0"/>
                <w:color w:val="101828"/>
                <w:sz w:val="14"/>
              </w:rPr>
              <w:t xml:space="preserve"> (secondary outlined) while the cap allows, and </w:t>
            </w:r>
            <w:r>
              <w:rPr>
                <w:rFonts w:ascii="Calibri" w:hAnsi="Calibri"/>
                <w:i/>
                <w:color w:val="101828"/>
                <w:sz w:val="14"/>
              </w:rPr>
              <w:t>Share all</w:t>
            </w:r>
            <w:r>
              <w:rPr>
                <w:rFonts w:ascii="Calibri" w:hAnsi="Calibri"/>
                <w:b w:val="0"/>
                <w:i w:val="0"/>
                <w:color w:val="101828"/>
                <w:sz w:val="14"/>
              </w:rPr>
              <w:t xml:space="preserve"> (secondary outlined) opening the platform share sheet with the links.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three links, each with a recipient label, a copy control and a share control, and each shown as truncated text with the full value available to a screen reader and to a long-press copy. The counter line: </w:t>
            </w:r>
            <w:r>
              <w:rPr>
                <w:rFonts w:ascii="Calibri" w:hAnsi="Calibri"/>
                <w:i/>
                <w:color w:val="101828"/>
                <w:sz w:val="14"/>
              </w:rPr>
              <w:t>2 of 3 invites used. The window closes in 4 days 6 hours.</w:t>
            </w:r>
            <w:r>
              <w:rPr>
                <w:rFonts w:ascii="Calibri" w:hAnsi="Calibri"/>
                <w:b w:val="0"/>
                <w:i w:val="0"/>
                <w:color w:val="101828"/>
                <w:sz w:val="14"/>
              </w:rPr>
              <w:t xml:space="preserve"> The share panel: a prefilled message naming the Ajo, the amount, the frequency and the deadline, with the three canonical money figures. A NOTE stating that each link works once, that the recipient must sign in before it is consumed, and that an unused link stops working when the window closes. </w:t>
            </w:r>
            <w:r>
              <w:rPr>
                <w:rFonts w:ascii="Calibri" w:hAnsi="Calibri"/>
                <w:b/>
                <w:color w:val="101828"/>
                <w:sz w:val="14"/>
              </w:rPr>
              <w:t>The countdown is honest: if the window is closing, it is displayed, and it never resets by refreshing.</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Recipient name, optional, text, 0 to 40 characters, used only as a label on the link so the organiser can tell which person each is for. Phone or email are </w:t>
            </w:r>
            <w:r>
              <w:rPr>
                <w:rFonts w:ascii="Calibri" w:hAnsi="Calibri"/>
                <w:b/>
                <w:color w:val="101828"/>
                <w:sz w:val="14"/>
              </w:rPr>
              <w:t>not</w:t>
            </w:r>
            <w:r>
              <w:rPr>
                <w:rFonts w:ascii="Calibri" w:hAnsi="Calibri"/>
                <w:b w:val="0"/>
                <w:i w:val="0"/>
                <w:color w:val="101828"/>
                <w:sz w:val="14"/>
              </w:rPr>
              <w:t xml:space="preserve"> collected here: the link carries the invitation and the person supplies their own identity, which is what makes a single-use link single-use.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Label length only. An invite mint failure leaves the existing links intact and reports the failure against the </w:t>
            </w:r>
            <w:r>
              <w:rPr>
                <w:rFonts w:ascii="Calibri" w:hAnsi="Calibri"/>
                <w:i/>
                <w:color w:val="101828"/>
                <w:sz w:val="14"/>
              </w:rPr>
              <w:t>Create 3 more</w:t>
            </w:r>
            <w:r>
              <w:rPr>
                <w:rFonts w:ascii="Calibri" w:hAnsi="Calibri"/>
                <w:b w:val="0"/>
                <w:i w:val="0"/>
                <w:color w:val="101828"/>
                <w:sz w:val="14"/>
              </w:rPr>
              <w:t xml:space="preserve"> control, never by clearing the list.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The copy control shows a check for 2 seconds after use with its width locked, and never changes the row layout. Minting shows a working state on the </w:t>
            </w:r>
            <w:r>
              <w:rPr>
                <w:rFonts w:ascii="Calibri" w:hAnsi="Calibri"/>
                <w:i/>
                <w:color w:val="101828"/>
                <w:sz w:val="14"/>
              </w:rPr>
              <w:t>Create 3 more</w:t>
            </w:r>
            <w:r>
              <w:rPr>
                <w:rFonts w:ascii="Calibri" w:hAnsi="Calibri"/>
                <w:b w:val="0"/>
                <w:i w:val="0"/>
                <w:color w:val="101828"/>
                <w:sz w:val="14"/>
              </w:rPr>
              <w:t xml:space="preserve"> control only; the three existing links stay interactive throughout, because a slow mint is not a reason to take away a copy button.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Not applicable in practice, because the step pre-mints three. If minting genuinely returns nothing, the step shows the share panel with no links and a working </w:t>
            </w:r>
            <w:r>
              <w:rPr>
                <w:rFonts w:ascii="Calibri" w:hAnsi="Calibri"/>
                <w:i/>
                <w:color w:val="101828"/>
                <w:sz w:val="14"/>
              </w:rPr>
              <w:t>Create 3 more</w:t>
            </w:r>
            <w:r>
              <w:rPr>
                <w:rFonts w:ascii="Calibri" w:hAnsi="Calibri"/>
                <w:b w:val="0"/>
                <w:i w:val="0"/>
                <w:color w:val="101828"/>
                <w:sz w:val="14"/>
              </w:rPr>
              <w:t xml:space="preserve"> control.</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Inline against the control that caused it. An expired-window state replaces the links with a plain statement and a route to SCR-MOB-03, since an expired window is an Ajo state and not a form error.</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Copying confirms in place. The step does not advance on its own; the organiser chooses when to continue, because they may want to send the links first and may come back later, and the DRAFT is resumable.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link per row at every width. At </w:t>
            </w:r>
            <w:r>
              <w:rPr>
                <w:rFonts w:ascii="Consolas" w:hAnsi="Consolas"/>
                <w:color w:val="146EF5"/>
                <w:sz w:val="14"/>
              </w:rPr>
              <w:t>md</w:t>
            </w:r>
            <w:r>
              <w:rPr>
                <w:rFonts w:ascii="Calibri" w:hAnsi="Calibri"/>
                <w:b w:val="0"/>
                <w:i w:val="0"/>
                <w:color w:val="101828"/>
                <w:sz w:val="14"/>
              </w:rPr>
              <w:t xml:space="preserve"> and above the link, label and both controls sit on one line; below </w:t>
            </w:r>
            <w:r>
              <w:rPr>
                <w:rFonts w:ascii="Consolas" w:hAnsi="Consolas"/>
                <w:color w:val="146EF5"/>
                <w:sz w:val="14"/>
              </w:rPr>
              <w:t>md</w:t>
            </w:r>
            <w:r>
              <w:rPr>
                <w:rFonts w:ascii="Calibri" w:hAnsi="Calibri"/>
                <w:b w:val="0"/>
                <w:i w:val="0"/>
                <w:color w:val="101828"/>
                <w:sz w:val="14"/>
              </w:rPr>
              <w:t xml:space="preserve"> the controls sit on a second line at 48 px tall. The share panel's message is a textarea that is read-only by default and editable, because groups add their own instructions.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Each link row is a labelled group whose accessible name contains the Ajo name and the recipient label. The copy control announces </w:t>
            </w:r>
            <w:r>
              <w:rPr>
                <w:rFonts w:ascii="Calibri" w:hAnsi="Calibri"/>
                <w:i/>
                <w:color w:val="101828"/>
                <w:sz w:val="14"/>
              </w:rPr>
              <w:t>Link copied</w:t>
            </w:r>
            <w:r>
              <w:rPr>
                <w:rFonts w:ascii="Calibri" w:hAnsi="Calibri"/>
                <w:b w:val="0"/>
                <w:i w:val="0"/>
                <w:color w:val="101828"/>
                <w:sz w:val="14"/>
              </w:rPr>
              <w:t xml:space="preserve"> politely, and its state change is also a visible tick, not a colour. The countdown is announced politely at most once a minute and is always available as text. </w:t>
            </w:r>
            <w:r>
              <w:rPr>
                <w:rFonts w:ascii="Calibri" w:hAnsi="Calibri"/>
                <w:b/>
                <w:color w:val="101828"/>
                <w:sz w:val="14"/>
              </w:rPr>
              <w:t>The full link value is never truncated in the accessible name</w:t>
            </w:r>
            <w:r>
              <w:rPr>
                <w:rFonts w:ascii="Calibri" w:hAnsi="Calibri"/>
                <w:b w:val="0"/>
                <w:i w:val="0"/>
                <w:color w:val="101828"/>
                <w:sz w:val="14"/>
              </w:rPr>
              <w:t>, so a member using a screen reader can pass it on.</w:t>
            </w:r>
          </w:p>
        </w:tc>
      </w:tr>
    </w:tbl>
    <w:p>
      <w:pPr>
        <w:spacing w:after="80"/>
      </w:pPr>
    </w:p>
    <w:p>
      <w:pPr>
        <w:pStyle w:val="Heading3"/>
      </w:pPr>
      <w:r>
        <w:rPr>
          <w:rFonts w:ascii="Calibri" w:hAnsi="Calibri"/>
          <w:b/>
          <w:i w:val="0"/>
          <w:color w:val="0B1F3A"/>
          <w:sz w:val="24"/>
        </w:rPr>
        <w:t>4.7.6 Step 6, the order — SCR-MOB-05.6</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Assign positions, and be explicit that the order is a proposal until the Ajo activates. This is the step where the social mechanics of an Ajo are decided, and where a rushed decision is most expensive.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organiser, who knows the group, and members who may ask to be placed differently. Both need to see who decided each position, not just what it is.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Wizard chrome, then a reorderable list of ten slots, each a draggable row with a position number, a name field and a provisional marker. A legend explains the order rules beneath.</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ReorderableList</w:t>
            </w:r>
            <w:r>
              <w:rPr>
                <w:rFonts w:ascii="Calibri" w:hAnsi="Calibri"/>
                <w:b w:val="0"/>
                <w:i w:val="0"/>
                <w:color w:val="101828"/>
                <w:sz w:val="14"/>
              </w:rPr>
              <w:t xml:space="preserve">, </w:t>
            </w:r>
            <w:r>
              <w:rPr>
                <w:rFonts w:ascii="Consolas" w:hAnsi="Consolas"/>
                <w:color w:val="146EF5"/>
                <w:sz w:val="14"/>
              </w:rPr>
              <w:t>FormField</w:t>
            </w:r>
            <w:r>
              <w:rPr>
                <w:rFonts w:ascii="Calibri" w:hAnsi="Calibri"/>
                <w:b w:val="0"/>
                <w:i w:val="0"/>
                <w:color w:val="101828"/>
                <w:sz w:val="14"/>
              </w:rPr>
              <w:t xml:space="preserve"> (name), </w:t>
            </w:r>
            <w:r>
              <w:rPr>
                <w:rFonts w:ascii="Consolas" w:hAnsi="Consolas"/>
                <w:color w:val="146EF5"/>
                <w:sz w:val="14"/>
              </w:rPr>
              <w:t>Badge</w:t>
            </w:r>
            <w:r>
              <w:rPr>
                <w:rFonts w:ascii="Calibri" w:hAnsi="Calibri"/>
                <w:b w:val="0"/>
                <w:i w:val="0"/>
                <w:color w:val="101828"/>
                <w:sz w:val="14"/>
              </w:rPr>
              <w:t xml:space="preserve"> (provisional), </w:t>
            </w:r>
            <w:r>
              <w:rPr>
                <w:rFonts w:ascii="Consolas" w:hAnsi="Consolas"/>
                <w:color w:val="146EF5"/>
                <w:sz w:val="14"/>
              </w:rPr>
              <w:t>Button</w:t>
            </w:r>
            <w:r>
              <w:rPr>
                <w:rFonts w:ascii="Calibri" w:hAnsi="Calibri"/>
                <w:b w:val="0"/>
                <w:i w:val="0"/>
                <w:color w:val="101828"/>
                <w:sz w:val="14"/>
              </w:rPr>
              <w:t xml:space="preserve"> (primary and secondary), </w:t>
            </w:r>
            <w:r>
              <w:rPr>
                <w:rFonts w:ascii="Consolas" w:hAnsi="Consolas"/>
                <w:color w:val="146EF5"/>
                <w:sz w:val="14"/>
              </w:rPr>
              <w:t>WizardProgress</w:t>
            </w:r>
            <w:r>
              <w:rPr>
                <w:rFonts w:ascii="Calibri" w:hAnsi="Calibri"/>
                <w:b w:val="0"/>
                <w:i w:val="0"/>
                <w:color w:val="101828"/>
                <w:sz w:val="14"/>
              </w:rPr>
              <w:t xml:space="preserve">, </w:t>
            </w:r>
            <w:r>
              <w:rPr>
                <w:rFonts w:ascii="Consolas" w:hAnsi="Consolas"/>
                <w:color w:val="146EF5"/>
                <w:sz w:val="14"/>
              </w:rPr>
              <w:t>Callout</w:t>
            </w:r>
            <w:r>
              <w:rPr>
                <w:rFonts w:ascii="Calibri" w:hAnsi="Calibri"/>
                <w:b w:val="0"/>
                <w:i w:val="0"/>
                <w:color w:val="101828"/>
                <w:sz w:val="14"/>
              </w:rPr>
              <w:t xml:space="preserve"> (NOTE, what activation does).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Entered from 05.5. Back to 05.5. Forward to 05.7. </w:t>
            </w:r>
            <w:r>
              <w:rPr>
                <w:rFonts w:ascii="Calibri" w:hAnsi="Calibri"/>
                <w:b/>
                <w:color w:val="101828"/>
                <w:sz w:val="14"/>
              </w:rPr>
              <w:t>This is the only step two roles can reach, and a member arriving here is read-only except for requesting a swap.</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Continue to review</w:t>
            </w:r>
            <w:r>
              <w:rPr>
                <w:rFonts w:ascii="Calibri" w:hAnsi="Calibri"/>
                <w:b w:val="0"/>
                <w:i w:val="0"/>
                <w:color w:val="101828"/>
                <w:sz w:val="14"/>
              </w:rPr>
              <w:t>. One filled button.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Back</w:t>
            </w:r>
            <w:r>
              <w:rPr>
                <w:rFonts w:ascii="Calibri" w:hAnsi="Calibri"/>
                <w:b w:val="0"/>
                <w:i w:val="0"/>
                <w:color w:val="101828"/>
                <w:sz w:val="14"/>
              </w:rPr>
              <w:t xml:space="preserve"> (secondary outlined), and </w:t>
            </w:r>
            <w:r>
              <w:rPr>
                <w:rFonts w:ascii="Calibri" w:hAnsi="Calibri"/>
                <w:i/>
                <w:color w:val="101828"/>
                <w:sz w:val="14"/>
              </w:rPr>
              <w:t>Request a different position</w:t>
            </w:r>
            <w:r>
              <w:rPr>
                <w:rFonts w:ascii="Calibri" w:hAnsi="Calibri"/>
                <w:b w:val="0"/>
                <w:i w:val="0"/>
                <w:color w:val="101828"/>
                <w:sz w:val="14"/>
              </w:rPr>
              <w:t xml:space="preserve"> (tertiary link) available to members, which opens a request naming the slot wanted and the reason.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Ten slots, numbered, each with a name field. Above the list, the amount each member pays per round and what the round pays out, so the order is chosen with the figures in view. Beneath, a NOTE stating the three rules plainly: the order is a proposal; a member may request a different position; </w:t>
            </w:r>
            <w:r>
              <w:rPr>
                <w:rFonts w:ascii="Calibri" w:hAnsi="Calibri"/>
                <w:b/>
                <w:color w:val="101828"/>
                <w:sz w:val="14"/>
              </w:rPr>
              <w:t>the order locks the moment the Ajo activates, and after that a change needs a formal replacement request</w:t>
            </w:r>
            <w:r>
              <w:rPr>
                <w:rFonts w:ascii="Calibri" w:hAnsi="Calibri"/>
                <w:b w:val="0"/>
                <w:i w:val="0"/>
                <w:color w:val="101828"/>
                <w:sz w:val="14"/>
              </w:rPr>
              <w:t>. A DECISION callout states that a member who requests a different position keeps their slot until the organiser responds, so requesting costs nothing and cannot be used to hold two slots.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Ten name fields, each optional, each 0 to 40 characters, each validated for duplicate names within the list. Names are the organiser's assertion about who is in the group; the platform does not verify them and must not imply that it has.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Duplicates within the list are rejected on the second field with </w:t>
            </w:r>
            <w:r>
              <w:rPr>
                <w:rFonts w:ascii="Calibri" w:hAnsi="Calibri"/>
                <w:i/>
                <w:color w:val="101828"/>
                <w:sz w:val="14"/>
              </w:rPr>
              <w:t>This name is already in position N</w:t>
            </w:r>
            <w:r>
              <w:rPr>
                <w:rFonts w:ascii="Calibri" w:hAnsi="Calibri"/>
                <w:b w:val="0"/>
                <w:i w:val="0"/>
                <w:color w:val="101828"/>
                <w:sz w:val="14"/>
              </w:rPr>
              <w:t>. Empty slots are permitted, because the organiser may not know all ten yet; the step states how many are filled. Forward navigation is allowed with empty slots and the review step repeats the consequence.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Reorder persistence is optimistic with a quiet inline indicator, never a blocking spinner: a person dragging a row is not waiting for a save, and blocking them would make the drag feel broken. A failed persist keeps the local order, marks the row, and offers a retry.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All ten slots empty is allowed and is the common case at this point. The list renders ten numbered rows with empty fields and a line: </w:t>
            </w:r>
            <w:r>
              <w:rPr>
                <w:rFonts w:ascii="Calibri" w:hAnsi="Calibri"/>
                <w:i/>
                <w:color w:val="101828"/>
                <w:sz w:val="14"/>
              </w:rPr>
              <w:t>Fill in as many as you know. You can change this before you activate.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A failed reorder is the only error and is inline on the affected row. A failed save never reverts the organiser's local order without saying so, because silently undoing a drag is the fastest way to lose their trust in the tool.</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provisional order is stored on the DRAFT and the wizard advances. No notice beyond the advance.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slot per row at every width. </w:t>
            </w:r>
            <w:r>
              <w:rPr>
                <w:rFonts w:ascii="Calibri" w:hAnsi="Calibri"/>
                <w:b/>
                <w:color w:val="101828"/>
                <w:sz w:val="14"/>
              </w:rPr>
              <w:t>Drag and drop is never the only way to reorder</w:t>
            </w:r>
            <w:r>
              <w:rPr>
                <w:rFonts w:ascii="Calibri" w:hAnsi="Calibri"/>
                <w:b w:val="0"/>
                <w:i w:val="0"/>
                <w:color w:val="101828"/>
                <w:sz w:val="14"/>
              </w:rPr>
              <w:t xml:space="preserve">: every row also carries move-up and move-down controls, which are 48 px targets and the primary mechanism on touch. At </w:t>
            </w:r>
            <w:r>
              <w:rPr>
                <w:rFonts w:ascii="Consolas" w:hAnsi="Consolas"/>
                <w:color w:val="146EF5"/>
                <w:sz w:val="14"/>
              </w:rPr>
              <w:t>sm</w:t>
            </w:r>
            <w:r>
              <w:rPr>
                <w:rFonts w:ascii="Calibri" w:hAnsi="Calibri"/>
                <w:b w:val="0"/>
                <w:i w:val="0"/>
                <w:color w:val="101828"/>
                <w:sz w:val="14"/>
              </w:rPr>
              <w:t xml:space="preserve"> and below the drag handle is 24 px wide but the row is 64 px tall, and the whole row is a drag target, not just the handle.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list is an ordered list whose positions are read as </w:t>
            </w:r>
            <w:r>
              <w:rPr>
                <w:rFonts w:ascii="Calibri" w:hAnsi="Calibri"/>
                <w:i/>
                <w:color w:val="101828"/>
                <w:sz w:val="14"/>
              </w:rPr>
              <w:t>position 3 of 10, name, provisional</w:t>
            </w:r>
            <w:r>
              <w:rPr>
                <w:rFonts w:ascii="Calibri" w:hAnsi="Calibri"/>
                <w:b w:val="0"/>
                <w:i w:val="0"/>
                <w:color w:val="101828"/>
                <w:sz w:val="14"/>
              </w:rPr>
              <w:t xml:space="preserve">. Move controls announce their effect, </w:t>
            </w:r>
            <w:r>
              <w:rPr>
                <w:rFonts w:ascii="Calibri" w:hAnsi="Calibri"/>
                <w:i/>
                <w:color w:val="101828"/>
                <w:sz w:val="14"/>
              </w:rPr>
              <w:t>Move Ola to position 4</w:t>
            </w:r>
            <w:r>
              <w:rPr>
                <w:rFonts w:ascii="Calibri" w:hAnsi="Calibri"/>
                <w:b w:val="0"/>
                <w:i w:val="0"/>
                <w:color w:val="101828"/>
                <w:sz w:val="14"/>
              </w:rPr>
              <w:t>. Drag and drop is not exposed as a custom gesture; the move controls are the accessible path, and they are not hidden behind a long-press.</w:t>
            </w:r>
          </w:p>
        </w:tc>
      </w:tr>
    </w:tbl>
    <w:p>
      <w:pPr>
        <w:spacing w:after="80"/>
      </w:pPr>
    </w:p>
    <w:p>
      <w:pPr>
        <w:pStyle w:val="Heading3"/>
      </w:pPr>
      <w:r>
        <w:rPr>
          <w:rFonts w:ascii="Calibri" w:hAnsi="Calibri"/>
          <w:b/>
          <w:i w:val="0"/>
          <w:color w:val="0B1F3A"/>
          <w:sz w:val="24"/>
        </w:rPr>
        <w:t>4.7.7 Step 7, the review and acknowledgement — SCR-MOB-05.7</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Show the finished Ajo back to the organiser in one read, collect an acknowledgement, and stop. </w:t>
            </w:r>
            <w:r>
              <w:rPr>
                <w:rFonts w:ascii="Calibri" w:hAnsi="Calibri"/>
                <w:b/>
                <w:color w:val="101828"/>
                <w:sz w:val="14"/>
              </w:rPr>
              <w:t>This step does not activate the Ajo and does not charge anything.</w:t>
            </w:r>
            <w:r>
              <w:rPr>
                <w:rFonts w:ascii="Calibri" w:hAnsi="Calibri"/>
                <w:b w:val="0"/>
                <w:i w:val="0"/>
                <w:color w:val="101828"/>
                <w:sz w:val="14"/>
              </w:rPr>
              <w:t xml:space="preserve"> Activation is a separate, deliberate action on SCR-MOB-03, and the interface must not let a person leave this screen believing the Ajo is live.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organiser, immediately before they would otherwise message the group and say </w:t>
            </w:r>
            <w:r>
              <w:rPr>
                <w:rFonts w:ascii="Calibri" w:hAnsi="Calibri"/>
                <w:i/>
                <w:color w:val="101828"/>
                <w:sz w:val="14"/>
              </w:rPr>
              <w:t>we are set up</w:t>
            </w:r>
            <w:r>
              <w:rPr>
                <w:rFonts w:ascii="Calibri" w:hAnsi="Calibri"/>
                <w:b w:val="0"/>
                <w:i w:val="0"/>
                <w:color w:val="101828"/>
                <w:sz w:val="14"/>
              </w:rPr>
              <w:t xml:space="preserve">. The gap between </w:t>
            </w:r>
            <w:r>
              <w:rPr>
                <w:rFonts w:ascii="Calibri" w:hAnsi="Calibri"/>
                <w:i/>
                <w:color w:val="101828"/>
                <w:sz w:val="14"/>
              </w:rPr>
              <w:t>set up</w:t>
            </w:r>
            <w:r>
              <w:rPr>
                <w:rFonts w:ascii="Calibri" w:hAnsi="Calibri"/>
                <w:b w:val="0"/>
                <w:i w:val="0"/>
                <w:color w:val="101828"/>
                <w:sz w:val="14"/>
              </w:rPr>
              <w:t xml:space="preserve"> and </w:t>
            </w:r>
            <w:r>
              <w:rPr>
                <w:rFonts w:ascii="Calibri" w:hAnsi="Calibri"/>
                <w:i/>
                <w:color w:val="101828"/>
                <w:sz w:val="14"/>
              </w:rPr>
              <w:t>active</w:t>
            </w:r>
            <w:r>
              <w:rPr>
                <w:rFonts w:ascii="Calibri" w:hAnsi="Calibri"/>
                <w:b w:val="0"/>
                <w:i w:val="0"/>
                <w:color w:val="101828"/>
                <w:sz w:val="14"/>
              </w:rPr>
              <w:t xml:space="preserve"> is where a misunderstanding becomes a dispute.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Wizard chrome, then a single review card: a summary table of the eight configured facts, the full eleven-row canonical money table, the roster, the invite status, and a closing acknowledgement region.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Table</w:t>
            </w:r>
            <w:r>
              <w:rPr>
                <w:rFonts w:ascii="Calibri" w:hAnsi="Calibri"/>
                <w:b w:val="0"/>
                <w:i w:val="0"/>
                <w:color w:val="101828"/>
                <w:sz w:val="14"/>
              </w:rPr>
              <w:t xml:space="preserve"> (summary, 8 rows), </w:t>
            </w:r>
            <w:r>
              <w:rPr>
                <w:rFonts w:ascii="Consolas" w:hAnsi="Consolas"/>
                <w:color w:val="146EF5"/>
                <w:sz w:val="14"/>
              </w:rPr>
              <w:t>MoneyTable</w:t>
            </w:r>
            <w:r>
              <w:rPr>
                <w:rFonts w:ascii="Calibri" w:hAnsi="Calibri"/>
                <w:b w:val="0"/>
                <w:i w:val="0"/>
                <w:color w:val="101828"/>
                <w:sz w:val="14"/>
              </w:rPr>
              <w:t xml:space="preserve"> (canonical, 11 rows), </w:t>
            </w:r>
            <w:r>
              <w:rPr>
                <w:rFonts w:ascii="Consolas" w:hAnsi="Consolas"/>
                <w:color w:val="146EF5"/>
                <w:sz w:val="14"/>
              </w:rPr>
              <w:t>ListItem</w:t>
            </w:r>
            <w:r>
              <w:rPr>
                <w:rFonts w:ascii="Calibri" w:hAnsi="Calibri"/>
                <w:b w:val="0"/>
                <w:i w:val="0"/>
                <w:color w:val="101828"/>
                <w:sz w:val="14"/>
              </w:rPr>
              <w:t xml:space="preserve"> (roster), </w:t>
            </w:r>
            <w:r>
              <w:rPr>
                <w:rFonts w:ascii="Consolas" w:hAnsi="Consolas"/>
                <w:color w:val="146EF5"/>
                <w:sz w:val="14"/>
              </w:rPr>
              <w:t>Checkbox</w:t>
            </w:r>
            <w:r>
              <w:rPr>
                <w:rFonts w:ascii="Calibri" w:hAnsi="Calibri"/>
                <w:b w:val="0"/>
                <w:i w:val="0"/>
                <w:color w:val="101828"/>
                <w:sz w:val="14"/>
              </w:rPr>
              <w:t xml:space="preserve"> (acknowledgement), </w:t>
            </w:r>
            <w:r>
              <w:rPr>
                <w:rFonts w:ascii="Consolas" w:hAnsi="Consolas"/>
                <w:color w:val="146EF5"/>
                <w:sz w:val="14"/>
              </w:rPr>
              <w:t>Button</w:t>
            </w:r>
            <w:r>
              <w:rPr>
                <w:rFonts w:ascii="Calibri" w:hAnsi="Calibri"/>
                <w:b w:val="0"/>
                <w:i w:val="0"/>
                <w:color w:val="101828"/>
                <w:sz w:val="14"/>
              </w:rPr>
              <w:t xml:space="preserve"> (primary and secondary), </w:t>
            </w:r>
            <w:r>
              <w:rPr>
                <w:rFonts w:ascii="Consolas" w:hAnsi="Consolas"/>
                <w:color w:val="146EF5"/>
                <w:sz w:val="14"/>
              </w:rPr>
              <w:t>WizardProgress</w:t>
            </w:r>
            <w:r>
              <w:rPr>
                <w:rFonts w:ascii="Calibri" w:hAnsi="Calibri"/>
                <w:b w:val="0"/>
                <w:i w:val="0"/>
                <w:color w:val="101828"/>
                <w:sz w:val="14"/>
              </w:rPr>
              <w:t xml:space="preserve">, </w:t>
            </w:r>
            <w:r>
              <w:rPr>
                <w:rFonts w:ascii="Consolas" w:hAnsi="Consolas"/>
                <w:color w:val="146EF5"/>
                <w:sz w:val="14"/>
              </w:rPr>
              <w:t>Callout</w:t>
            </w:r>
            <w:r>
              <w:rPr>
                <w:rFonts w:ascii="Calibri" w:hAnsi="Calibri"/>
                <w:b w:val="0"/>
                <w:i w:val="0"/>
                <w:color w:val="101828"/>
                <w:sz w:val="14"/>
              </w:rPr>
              <w:t xml:space="preserve"> (NOTE, what activation means), </w:t>
            </w:r>
            <w:r>
              <w:rPr>
                <w:rFonts w:ascii="Consolas" w:hAnsi="Consolas"/>
                <w:color w:val="146EF5"/>
                <w:sz w:val="14"/>
              </w:rPr>
              <w:t>Callout</w:t>
            </w:r>
            <w:r>
              <w:rPr>
                <w:rFonts w:ascii="Calibri" w:hAnsi="Calibri"/>
                <w:b w:val="0"/>
                <w:i w:val="0"/>
                <w:color w:val="101828"/>
                <w:sz w:val="14"/>
              </w:rPr>
              <w:t xml:space="preserve"> (DECISION, no commit here).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Entered from 05.6. Back to 05.6. Exits to the Ajo list, where the Ajo is DRAFT. </w:t>
            </w:r>
            <w:r>
              <w:rPr>
                <w:rFonts w:ascii="Calibri" w:hAnsi="Calibri"/>
                <w:b/>
                <w:color w:val="101828"/>
                <w:sz w:val="14"/>
              </w:rPr>
              <w:t>There is no route from this screen that activates the Ajo.</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Save and close the wizard</w:t>
            </w:r>
            <w:r>
              <w:rPr>
                <w:rFonts w:ascii="Calibri" w:hAnsi="Calibri"/>
                <w:b w:val="0"/>
                <w:i w:val="0"/>
                <w:color w:val="101828"/>
                <w:sz w:val="14"/>
              </w:rPr>
              <w:t xml:space="preserve">, to the Ajo list. One filled button. </w:t>
            </w:r>
            <w:r>
              <w:rPr>
                <w:rFonts w:ascii="Calibri" w:hAnsi="Calibri"/>
                <w:b/>
                <w:color w:val="101828"/>
                <w:sz w:val="14"/>
              </w:rPr>
              <w:t>The label says what happens, and it is not called *Continue*, *Finish*, *Done* or *Activate* — every one of those reads as a commit to somebody who has not been told what committing does.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Edit</w:t>
            </w:r>
            <w:r>
              <w:rPr>
                <w:rFonts w:ascii="Calibri" w:hAnsi="Calibri"/>
                <w:b w:val="0"/>
                <w:i w:val="0"/>
                <w:color w:val="101828"/>
                <w:sz w:val="14"/>
              </w:rPr>
              <w:t xml:space="preserve"> (tertiary link) beside each of the eight summary rows, returning to the owning step with the value preserved; and </w:t>
            </w:r>
            <w:r>
              <w:rPr>
                <w:rFonts w:ascii="Calibri" w:hAnsi="Calibri"/>
                <w:i/>
                <w:color w:val="101828"/>
                <w:sz w:val="14"/>
              </w:rPr>
              <w:t>Activate the Ajo</w:t>
            </w:r>
            <w:r>
              <w:rPr>
                <w:rFonts w:ascii="Calibri" w:hAnsi="Calibri"/>
                <w:b w:val="0"/>
                <w:i w:val="0"/>
                <w:color w:val="101828"/>
                <w:sz w:val="14"/>
              </w:rPr>
              <w:t xml:space="preserve"> (secondary outlined) only when the preconditions in 4.9.1 are met, carrying a plain statement of what activation locks and what it starts.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eight rows: name and description; members and rounds; amount per member per round; the three canonical money lines; total each member pays over the Ajo; the payment day with the first three collection dates; the proposed order; invite status with the window countdown. Then the full canonical money table. Then the roster as a list, with empty slots shown as </w:t>
            </w:r>
            <w:r>
              <w:rPr>
                <w:rFonts w:ascii="Calibri" w:hAnsi="Calibri"/>
                <w:i/>
                <w:color w:val="101828"/>
                <w:sz w:val="14"/>
              </w:rPr>
              <w:t>Empty</w:t>
            </w:r>
            <w:r>
              <w:rPr>
                <w:rFonts w:ascii="Calibri" w:hAnsi="Calibri"/>
                <w:b w:val="0"/>
                <w:i w:val="0"/>
                <w:color w:val="101828"/>
                <w:sz w:val="14"/>
              </w:rPr>
              <w:t xml:space="preserve"> rather than hidden. Then the acknowledgement region: one checkbox, </w:t>
            </w:r>
            <w:r>
              <w:rPr>
                <w:rFonts w:ascii="Calibri" w:hAnsi="Calibri"/>
                <w:i/>
                <w:color w:val="101828"/>
                <w:sz w:val="14"/>
              </w:rPr>
              <w:t>I have read this and I understand that the Ajo is not active yet, that nobody can pay anything until it is, and that the order locks when it is activated</w:t>
            </w:r>
            <w:r>
              <w:rPr>
                <w:rFonts w:ascii="Calibri" w:hAnsi="Calibri"/>
                <w:b w:val="0"/>
                <w:i w:val="0"/>
                <w:color w:val="101828"/>
                <w:sz w:val="14"/>
              </w:rPr>
              <w:t xml:space="preserve">, and beneath it the NOTE naming what activation does and starts. </w:t>
            </w:r>
            <w:r>
              <w:rPr>
                <w:rFonts w:ascii="Calibri" w:hAnsi="Calibri"/>
                <w:b/>
                <w:color w:val="101828"/>
                <w:sz w:val="14"/>
              </w:rPr>
              <w:t>The acknowledgement is stored with a timestamp and the DRAFT's version, so it is a record and not a gesture.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Acknowledgement checkbox, required. The eight summary rows are read-only; editing is by navigation, never by inline edit, because a summary that can be edited in place is a form and not a review.</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checkbox must be ticked to save and close. It is not ticked by default and it is never pre-ticked from a previous visit.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review card renders in full with skeleton rows in final position. The activate control is inert until the preconditions resolve, and its inert state carries the reason as text rather than a disabled button with no explanation.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Empty slots in the roster and unconsumed invites are shown as facts, not omitted. A DRAFT with no invites is a valid state and the review says </w:t>
            </w:r>
            <w:r>
              <w:rPr>
                <w:rFonts w:ascii="Calibri" w:hAnsi="Calibri"/>
                <w:i/>
                <w:color w:val="101828"/>
                <w:sz w:val="14"/>
              </w:rPr>
              <w:t>No invites have been used yet</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A failed save of the acknowledgement is a banner with a retry; the checkbox state is preserved. A failed activation is handled on SCR-MOB-03, not here.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wizard closes to the Ajo list with a single confirmation naming the Ajo and stating </w:t>
            </w:r>
            <w:r>
              <w:rPr>
                <w:rFonts w:ascii="Calibri" w:hAnsi="Calibri"/>
                <w:i/>
                <w:color w:val="101828"/>
                <w:sz w:val="14"/>
              </w:rPr>
              <w:t>still a draft</w:t>
            </w:r>
            <w:r>
              <w:rPr>
                <w:rFonts w:ascii="Calibri" w:hAnsi="Calibri"/>
                <w:b w:val="0"/>
                <w:i w:val="0"/>
                <w:color w:val="101828"/>
                <w:sz w:val="14"/>
              </w:rPr>
              <w:t>. The Ajo appears in the list with the DRAFT badge.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One column at every width. The summary table becomes a stacked list below 768, label then value, in the same order. The canonical money table stacks as on SCR-WEB-05. The acknowledgement checkbox remains 24 px with a 48 px hit area.</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summary is a real table with row headers; in the stacked form below 768 each pair is rendered with its label as a heading, so the relationship survives. The acknowledgement checkbox is a real checkbox with a full-sentence accessible name, and the NOTE is a labelled region that a screen reader user reaches directly from the checkbox via its description. Nothing on this screen is conveyed by a badge colour alone.</w:t>
            </w:r>
          </w:p>
        </w:tc>
      </w:tr>
    </w:tbl>
    <w:p>
      <w:pPr>
        <w:spacing w:after="80"/>
      </w:pP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4"/>
              </w:rPr>
              <w:t>Review row</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4"/>
              </w:rPr>
              <w:t>Value source</w:t>
            </w:r>
          </w:p>
        </w:tc>
        <w:tc>
          <w:tcPr>
            <w:tcW w:type="dxa" w:w="5616"/>
            <w:shd w:val="clear" w:color="auto" w:fill="0B1F3A"/>
            <w:tcMar>
              <w:top w:w="60" w:type="dxa"/>
              <w:start w:w="110" w:type="dxa"/>
              <w:bottom w:w="60" w:type="dxa"/>
              <w:end w:w="110" w:type="dxa"/>
            </w:tcMar>
          </w:tcPr>
          <w:p>
            <w:pPr>
              <w:spacing w:after="0"/>
            </w:pPr>
            <w:r/>
            <w:r>
              <w:rPr>
                <w:rFonts w:ascii="Calibri" w:hAnsi="Calibri"/>
                <w:b/>
                <w:i w:val="0"/>
                <w:color w:val="FFFFFF"/>
                <w:sz w:val="14"/>
              </w:rPr>
              <w:t>Stated as</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4"/>
              </w:rPr>
              <w:t>Ajo name and description</w:t>
            </w:r>
          </w:p>
        </w:tc>
        <w:tc>
          <w:tcPr>
            <w:tcW w:type="dxa" w:w="1296"/>
            <w:tcMar>
              <w:top w:w="60" w:type="dxa"/>
              <w:start w:w="110" w:type="dxa"/>
              <w:bottom w:w="60" w:type="dxa"/>
              <w:end w:w="110" w:type="dxa"/>
            </w:tcMar>
          </w:tcPr>
          <w:p>
            <w:pPr>
              <w:spacing w:after="0"/>
            </w:pPr>
            <w:r/>
            <w:r>
              <w:rPr>
                <w:rFonts w:ascii="Calibri" w:hAnsi="Calibri"/>
                <w:b w:val="0"/>
                <w:i w:val="0"/>
                <w:color w:val="101828"/>
                <w:sz w:val="14"/>
              </w:rPr>
              <w:t>Step 1</w:t>
            </w:r>
          </w:p>
        </w:tc>
        <w:tc>
          <w:tcPr>
            <w:tcW w:type="dxa" w:w="5616"/>
            <w:tcMar>
              <w:top w:w="60" w:type="dxa"/>
              <w:start w:w="110" w:type="dxa"/>
              <w:bottom w:w="60" w:type="dxa"/>
              <w:end w:w="110" w:type="dxa"/>
            </w:tcMar>
          </w:tcPr>
          <w:p>
            <w:pPr>
              <w:spacing w:after="0"/>
            </w:pPr>
            <w:r/>
            <w:r>
              <w:rPr>
                <w:rFonts w:ascii="Calibri" w:hAnsi="Calibri"/>
                <w:b w:val="0"/>
                <w:i w:val="0"/>
                <w:color w:val="101828"/>
                <w:sz w:val="14"/>
              </w:rPr>
              <w:t>The name exactly as members will see it</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Members and rounds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Step 4</w:t>
            </w:r>
          </w:p>
        </w:tc>
        <w:tc>
          <w:tcPr>
            <w:tcW w:type="dxa" w:w="561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Both figures, with </w:t>
            </w:r>
            <w:r>
              <w:rPr>
                <w:rFonts w:ascii="Calibri" w:hAnsi="Calibri"/>
                <w:i/>
                <w:color w:val="101828"/>
                <w:sz w:val="14"/>
              </w:rPr>
              <w:t>rounds equal members</w:t>
            </w:r>
            <w:r>
              <w:rPr>
                <w:rFonts w:ascii="Calibri" w:hAnsi="Calibri"/>
                <w:b w:val="0"/>
                <w:i w:val="0"/>
                <w:color w:val="101828"/>
                <w:sz w:val="14"/>
              </w:rPr>
              <w:t xml:space="preserve"> stated in the same cell</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4"/>
              </w:rPr>
              <w:t>Amount per member per round</w:t>
            </w:r>
          </w:p>
        </w:tc>
        <w:tc>
          <w:tcPr>
            <w:tcW w:type="dxa" w:w="1296"/>
            <w:tcMar>
              <w:top w:w="60" w:type="dxa"/>
              <w:start w:w="110" w:type="dxa"/>
              <w:bottom w:w="60" w:type="dxa"/>
              <w:end w:w="110" w:type="dxa"/>
            </w:tcMar>
          </w:tcPr>
          <w:p>
            <w:pPr>
              <w:spacing w:after="0"/>
            </w:pPr>
            <w:r/>
            <w:r>
              <w:rPr>
                <w:rFonts w:ascii="Calibri" w:hAnsi="Calibri"/>
                <w:b w:val="0"/>
                <w:i w:val="0"/>
                <w:color w:val="101828"/>
                <w:sz w:val="14"/>
              </w:rPr>
              <w:t>Step 2</w:t>
            </w:r>
          </w:p>
        </w:tc>
        <w:tc>
          <w:tcPr>
            <w:tcW w:type="dxa" w:w="5616"/>
            <w:tcMar>
              <w:top w:w="60" w:type="dxa"/>
              <w:start w:w="110" w:type="dxa"/>
              <w:bottom w:w="60" w:type="dxa"/>
              <w:end w:w="110" w:type="dxa"/>
            </w:tcMar>
          </w:tcPr>
          <w:p>
            <w:pPr>
              <w:spacing w:after="0"/>
            </w:pPr>
            <w:r/>
            <w:r>
              <w:rPr>
                <w:rFonts w:ascii="Calibri" w:hAnsi="Calibri"/>
                <w:b w:val="0"/>
                <w:i w:val="0"/>
                <w:color w:val="101828"/>
                <w:sz w:val="14"/>
              </w:rPr>
              <w:t>NGN, to the kobo</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Contribution, fee, total charged</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Computed</w:t>
            </w:r>
          </w:p>
        </w:tc>
        <w:tc>
          <w:tcPr>
            <w:tcW w:type="dxa" w:w="5616"/>
            <w:tcMar>
              <w:top w:w="60" w:type="dxa"/>
              <w:start w:w="110" w:type="dxa"/>
              <w:bottom w:w="60" w:type="dxa"/>
              <w:end w:w="110" w:type="dxa"/>
            </w:tcMar>
            <w:shd w:val="clear" w:color="auto" w:fill="F4F7FB"/>
          </w:tcPr>
          <w:p>
            <w:pPr>
              <w:spacing w:after="0"/>
            </w:pPr>
            <w:r/>
            <w:r>
              <w:rPr>
                <w:rFonts w:ascii="Calibri" w:hAnsi="Calibri"/>
                <w:b w:val="0"/>
                <w:i w:val="0"/>
                <w:color w:val="101828"/>
                <w:sz w:val="14"/>
              </w:rPr>
              <w:t>The three canonical lines in the canonical order</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4"/>
              </w:rPr>
              <w:t>Total each member pays over the Ajo</w:t>
            </w:r>
          </w:p>
        </w:tc>
        <w:tc>
          <w:tcPr>
            <w:tcW w:type="dxa" w:w="1296"/>
            <w:tcMar>
              <w:top w:w="60" w:type="dxa"/>
              <w:start w:w="110" w:type="dxa"/>
              <w:bottom w:w="60" w:type="dxa"/>
              <w:end w:w="110" w:type="dxa"/>
            </w:tcMar>
          </w:tcPr>
          <w:p>
            <w:pPr>
              <w:spacing w:after="0"/>
            </w:pPr>
            <w:r/>
            <w:r>
              <w:rPr>
                <w:rFonts w:ascii="Calibri" w:hAnsi="Calibri"/>
                <w:b w:val="0"/>
                <w:i w:val="0"/>
                <w:color w:val="101828"/>
                <w:sz w:val="14"/>
              </w:rPr>
              <w:t>Computed</w:t>
            </w:r>
          </w:p>
        </w:tc>
        <w:tc>
          <w:tcPr>
            <w:tcW w:type="dxa" w:w="5616"/>
            <w:tcMar>
              <w:top w:w="60" w:type="dxa"/>
              <w:start w:w="110" w:type="dxa"/>
              <w:bottom w:w="60" w:type="dxa"/>
              <w:end w:w="110" w:type="dxa"/>
            </w:tcMar>
          </w:tcPr>
          <w:p>
            <w:pPr>
              <w:spacing w:after="0"/>
            </w:pPr>
            <w:r/>
            <w:r>
              <w:rPr>
                <w:rFonts w:ascii="Calibri" w:hAnsi="Calibri"/>
                <w:b w:val="0"/>
                <w:i w:val="0"/>
                <w:color w:val="101828"/>
                <w:sz w:val="14"/>
              </w:rPr>
              <w:t>NGN, and distinct from the total the Ajo collects</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Payment day and first three collection dates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Step 3</w:t>
            </w:r>
          </w:p>
        </w:tc>
        <w:tc>
          <w:tcPr>
            <w:tcW w:type="dxa" w:w="5616"/>
            <w:tcMar>
              <w:top w:w="60" w:type="dxa"/>
              <w:start w:w="110" w:type="dxa"/>
              <w:bottom w:w="60" w:type="dxa"/>
              <w:end w:w="110" w:type="dxa"/>
            </w:tcMar>
            <w:shd w:val="clear" w:color="auto" w:fill="F4F7FB"/>
          </w:tcPr>
          <w:p>
            <w:pPr>
              <w:spacing w:after="0"/>
            </w:pPr>
            <w:r/>
            <w:r>
              <w:rPr>
                <w:rFonts w:ascii="Calibri" w:hAnsi="Calibri"/>
                <w:b w:val="0"/>
                <w:i w:val="0"/>
                <w:color w:val="101828"/>
                <w:sz w:val="14"/>
              </w:rPr>
              <w:t>Dates, not a weekday name alone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4"/>
              </w:rPr>
              <w:t>Proposed order</w:t>
            </w:r>
          </w:p>
        </w:tc>
        <w:tc>
          <w:tcPr>
            <w:tcW w:type="dxa" w:w="1296"/>
            <w:tcMar>
              <w:top w:w="60" w:type="dxa"/>
              <w:start w:w="110" w:type="dxa"/>
              <w:bottom w:w="60" w:type="dxa"/>
              <w:end w:w="110" w:type="dxa"/>
            </w:tcMar>
          </w:tcPr>
          <w:p>
            <w:pPr>
              <w:spacing w:after="0"/>
            </w:pPr>
            <w:r/>
            <w:r>
              <w:rPr>
                <w:rFonts w:ascii="Calibri" w:hAnsi="Calibri"/>
                <w:b w:val="0"/>
                <w:i w:val="0"/>
                <w:color w:val="101828"/>
                <w:sz w:val="14"/>
              </w:rPr>
              <w:t>Step 6</w:t>
            </w:r>
          </w:p>
        </w:tc>
        <w:tc>
          <w:tcPr>
            <w:tcW w:type="dxa" w:w="5616"/>
            <w:tcMar>
              <w:top w:w="60" w:type="dxa"/>
              <w:start w:w="110" w:type="dxa"/>
              <w:bottom w:w="60" w:type="dxa"/>
              <w:end w:w="110" w:type="dxa"/>
            </w:tcMar>
          </w:tcPr>
          <w:p>
            <w:pPr>
              <w:spacing w:after="0"/>
            </w:pPr>
            <w:r/>
            <w:r>
              <w:rPr>
                <w:rFonts w:ascii="Calibri" w:hAnsi="Calibri"/>
                <w:b w:val="0"/>
                <w:i w:val="0"/>
                <w:color w:val="101828"/>
                <w:sz w:val="14"/>
              </w:rPr>
              <w:t>Every slot, with empty slots shown as empty</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Invite status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Step 5</w:t>
            </w:r>
          </w:p>
        </w:tc>
        <w:tc>
          <w:tcPr>
            <w:tcW w:type="dxa" w:w="5616"/>
            <w:tcMar>
              <w:top w:w="60" w:type="dxa"/>
              <w:start w:w="110" w:type="dxa"/>
              <w:bottom w:w="60" w:type="dxa"/>
              <w:end w:w="110" w:type="dxa"/>
            </w:tcMar>
            <w:shd w:val="clear" w:color="auto" w:fill="F4F7FB"/>
          </w:tcPr>
          <w:p>
            <w:pPr>
              <w:spacing w:after="0"/>
            </w:pPr>
            <w:r/>
            <w:r>
              <w:rPr>
                <w:rFonts w:ascii="Calibri" w:hAnsi="Calibri"/>
                <w:b w:val="0"/>
                <w:i w:val="0"/>
                <w:color w:val="101828"/>
                <w:sz w:val="14"/>
              </w:rPr>
              <w:t>Used, unused, and the window countdown</w:t>
            </w:r>
          </w:p>
        </w:tc>
      </w:tr>
    </w:tbl>
    <w:p>
      <w:pPr>
        <w:spacing w:after="80"/>
      </w:pPr>
    </w:p>
    <w:p>
      <w:pPr>
        <w:spacing w:before="140" w:after="180"/>
        <w:ind w:left="144"/>
        <w:shd w:val="clear" w:color="auto" w:fill="E0F2FE"/>
        <w:pBdr>
          <w:left w:val="single" w:sz="18" w:space="6" w:color="22C7D6"/>
        </w:pBdr>
      </w:pPr>
      <w:r>
        <w:rPr>
          <w:rFonts w:ascii="Calibri" w:hAnsi="Calibri"/>
          <w:b/>
          <w:color w:val="22C7D6"/>
          <w:sz w:val="19"/>
        </w:rPr>
        <w:t xml:space="preserve">No activation from the wizard, and no fee line on this screen  </w:t>
      </w:r>
      <w:r>
        <w:rPr>
          <w:rFonts w:ascii="Calibri" w:hAnsi="Calibri"/>
          <w:b/>
          <w:color w:val="0B1F3A"/>
          <w:sz w:val="19"/>
        </w:rPr>
        <w:t>SCR-MOB-05.7 has no commit action, and its primary button does not contain the word *activate*.</w:t>
      </w:r>
      <w:r>
        <w:rPr>
          <w:rFonts w:ascii="Calibri" w:hAnsi="Calibri"/>
          <w:b w:val="0"/>
          <w:i w:val="0"/>
          <w:color w:val="0B1F3A"/>
          <w:sz w:val="19"/>
        </w:rPr>
        <w:t xml:space="preserve"> The wizard's job is to produce a DRAFT that the organiser is confident in. Activation happens on SCR-MOB-03, where the roster state, the invite window and the locks are all visible at once, and where the confirmation dialog can state in full what is being locked. A seven-step flow that ends by quietly starting a ten-round financial obligation is the single most expensive mistake this product could make, and the prevention is a label. </w:t>
      </w:r>
      <w:r>
        <w:rPr>
          <w:rFonts w:ascii="Calibri" w:hAnsi="Calibri"/>
          <w:b/>
          <w:color w:val="0B1F3A"/>
          <w:sz w:val="19"/>
        </w:rPr>
        <w:t>Owner: Founders.</w:t>
      </w:r>
    </w:p>
    <w:p>
      <w:r>
        <w:br w:type="page"/>
      </w:r>
    </w:p>
    <w:p>
      <w:pPr>
        <w:pStyle w:val="Heading2"/>
      </w:pPr>
      <w:r>
        <w:rPr>
          <w:rFonts w:ascii="Calibri" w:hAnsi="Calibri"/>
          <w:b/>
          <w:i w:val="0"/>
          <w:color w:val="146EF5"/>
          <w:sz w:val="29"/>
        </w:rPr>
        <w:t>4.8 Joining and leaving — SCR-MOB-04, SCR-MOB-24, SCR-MOB-25</w:t>
      </w:r>
    </w:p>
    <w:p>
      <w:r>
        <w:rPr>
          <w:rFonts w:ascii="Calibri" w:hAnsi="Calibri"/>
          <w:b w:val="0"/>
          <w:i w:val="0"/>
          <w:color w:val="101828"/>
          <w:sz w:val="21"/>
        </w:rPr>
        <w:t xml:space="preserve">Three screens and one rule that outranks all of them: </w:t>
      </w:r>
      <w:r>
        <w:rPr>
          <w:rFonts w:ascii="Calibri" w:hAnsi="Calibri"/>
          <w:b/>
          <w:color w:val="101828"/>
          <w:sz w:val="21"/>
        </w:rPr>
        <w:t>a member is never added to a financial obligation by a single tap, and a member is never removed from one by a single tap.</w:t>
      </w:r>
      <w:r>
        <w:rPr>
          <w:rFonts w:ascii="Calibri" w:hAnsi="Calibri"/>
          <w:b w:val="0"/>
          <w:i w:val="0"/>
          <w:color w:val="101828"/>
          <w:sz w:val="21"/>
        </w:rPr>
        <w:t xml:space="preserve"> Both of those actions have a fee consequence, a social consequence inside a group, and in the leaving case a substitute, so all three screens disclose before they commit and none of them commits on a link follow.</w:t>
      </w:r>
    </w:p>
    <w:p>
      <w:pPr>
        <w:spacing w:before="140" w:after="180"/>
        <w:ind w:left="144"/>
        <w:shd w:val="clear" w:color="auto" w:fill="EFF6FF"/>
        <w:pBdr>
          <w:left w:val="single" w:sz="18" w:space="6" w:color="146EF5"/>
        </w:pBdr>
      </w:pPr>
      <w:r>
        <w:rPr>
          <w:rFonts w:ascii="Calibri" w:hAnsi="Calibri"/>
          <w:b/>
          <w:color w:val="146EF5"/>
          <w:sz w:val="19"/>
        </w:rPr>
        <w:t xml:space="preserve">The three states of a membership  </w:t>
      </w:r>
      <w:r>
        <w:rPr>
          <w:rFonts w:ascii="Calibri" w:hAnsi="Calibri"/>
          <w:b/>
          <w:color w:val="0B1F3A"/>
          <w:sz w:val="19"/>
        </w:rPr>
        <w:t>DRAFT</w:t>
      </w:r>
      <w:r>
        <w:rPr>
          <w:rFonts w:ascii="Calibri" w:hAnsi="Calibri"/>
          <w:b w:val="0"/>
          <w:i w:val="0"/>
          <w:color w:val="0B1F3A"/>
          <w:sz w:val="19"/>
        </w:rPr>
        <w:t xml:space="preserve"> — an organiser configuring an Ajo; no obligation exists. </w:t>
      </w:r>
      <w:r>
        <w:rPr>
          <w:rFonts w:ascii="Calibri" w:hAnsi="Calibri"/>
          <w:b/>
          <w:color w:val="0B1F3A"/>
          <w:sz w:val="19"/>
        </w:rPr>
        <w:t>ENROLLING</w:t>
      </w:r>
      <w:r>
        <w:rPr>
          <w:rFonts w:ascii="Calibri" w:hAnsi="Calibri"/>
          <w:b w:val="0"/>
          <w:i w:val="0"/>
          <w:color w:val="0B1F3A"/>
          <w:sz w:val="19"/>
        </w:rPr>
        <w:t xml:space="preserve"> — a window of exactly five days from creation, during which invites may be issued, positions are provisional, and leaving is free and immediate. </w:t>
      </w:r>
      <w:r>
        <w:rPr>
          <w:rFonts w:ascii="Calibri" w:hAnsi="Calibri"/>
          <w:b/>
          <w:color w:val="0B1F3A"/>
          <w:sz w:val="19"/>
        </w:rPr>
        <w:t>ACTIVE</w:t>
      </w:r>
      <w:r>
        <w:rPr>
          <w:rFonts w:ascii="Calibri" w:hAnsi="Calibri"/>
          <w:b w:val="0"/>
          <w:i w:val="0"/>
          <w:color w:val="0B1F3A"/>
          <w:sz w:val="19"/>
        </w:rPr>
        <w:t xml:space="preserve"> — the obligation exists, the order has locked, and leaving is a replacement request rather than a withdrawal. All three appear in the join, invite and exit screens because a member can meet any of them, and a screen that only describes the friendly one is a screen that surprises somebody.</w:t>
      </w:r>
    </w:p>
    <w:p>
      <w:pPr>
        <w:pStyle w:val="Heading3"/>
      </w:pPr>
      <w:r>
        <w:rPr>
          <w:rFonts w:ascii="Calibri" w:hAnsi="Calibri"/>
          <w:b/>
          <w:i w:val="0"/>
          <w:color w:val="0B1F3A"/>
          <w:sz w:val="24"/>
        </w:rPr>
        <w:t>4.8.1 Join by code — SCR-MOB-04</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Let a member join an Ajo with a code from the organiser, and tell them what joining will cost them before they do it.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who was told a code in a message or a phone call, and who is standing in a shop queue. They want this to work first time, and they are likely to mistype.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Single card, 420 px. Code field with a large monospaced input, a working control, and beneath it a live validity hint that appears only once a plausible code is present.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FormField</w:t>
            </w:r>
            <w:r>
              <w:rPr>
                <w:rFonts w:ascii="Calibri" w:hAnsi="Calibri"/>
                <w:b w:val="0"/>
                <w:i w:val="0"/>
                <w:color w:val="101828"/>
                <w:sz w:val="14"/>
              </w:rPr>
              <w:t xml:space="preserve"> (code), </w:t>
            </w:r>
            <w:r>
              <w:rPr>
                <w:rFonts w:ascii="Consolas" w:hAnsi="Consolas"/>
                <w:color w:val="146EF5"/>
                <w:sz w:val="14"/>
              </w:rPr>
              <w:t>Button</w:t>
            </w:r>
            <w:r>
              <w:rPr>
                <w:rFonts w:ascii="Calibri" w:hAnsi="Calibri"/>
                <w:b w:val="0"/>
                <w:i w:val="0"/>
                <w:color w:val="101828"/>
                <w:sz w:val="14"/>
              </w:rPr>
              <w:t xml:space="preserve"> (primary and secondary), </w:t>
            </w:r>
            <w:r>
              <w:rPr>
                <w:rFonts w:ascii="Consolas" w:hAnsi="Consolas"/>
                <w:color w:val="146EF5"/>
                <w:sz w:val="14"/>
              </w:rPr>
              <w:t>Callout</w:t>
            </w:r>
            <w:r>
              <w:rPr>
                <w:rFonts w:ascii="Calibri" w:hAnsi="Calibri"/>
                <w:b w:val="0"/>
                <w:i w:val="0"/>
                <w:color w:val="101828"/>
                <w:sz w:val="14"/>
              </w:rPr>
              <w:t xml:space="preserve"> (NOTE, what joining means), </w:t>
            </w:r>
            <w:r>
              <w:rPr>
                <w:rFonts w:ascii="Consolas" w:hAnsi="Consolas"/>
                <w:color w:val="146EF5"/>
                <w:sz w:val="14"/>
              </w:rPr>
              <w:t>Footer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Tab 4 of 5, and the tab's empty state. Deep-linkable, so a notification can carry a code. Reached from SCR-WEB-14's inline code form as well, which shares this component.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Join the Ajo</w:t>
            </w:r>
            <w:r>
              <w:rPr>
                <w:rFonts w:ascii="Calibri" w:hAnsi="Calibri"/>
                <w:b w:val="0"/>
                <w:i w:val="0"/>
                <w:color w:val="101828"/>
                <w:sz w:val="14"/>
              </w:rPr>
              <w:t xml:space="preserve">. One filled button, 56 px. </w:t>
            </w:r>
            <w:r>
              <w:rPr>
                <w:rFonts w:ascii="Calibri" w:hAnsi="Calibri"/>
                <w:b/>
                <w:color w:val="101828"/>
                <w:sz w:val="14"/>
              </w:rPr>
              <w:t>Disabled with a visible reason until a code of plausible length is present, and the reason is a line of text, not an absence of affordance.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Create an Ajo instead</w:t>
            </w:r>
            <w:r>
              <w:rPr>
                <w:rFonts w:ascii="Calibri" w:hAnsi="Calibri"/>
                <w:b w:val="0"/>
                <w:i w:val="0"/>
                <w:color w:val="101828"/>
                <w:sz w:val="14"/>
              </w:rPr>
              <w:t xml:space="preserve"> (tertiary link) beneath, so the other route is always visible.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code field, formatted in groups of four as it is typed, uppercase, spaces and hyphens stripped on input. Beneath, on a plausible code: </w:t>
            </w:r>
            <w:r>
              <w:rPr>
                <w:rFonts w:ascii="Calibri" w:hAnsi="Calibri"/>
                <w:i/>
                <w:color w:val="101828"/>
                <w:sz w:val="14"/>
              </w:rPr>
              <w:t>Found: Market women, 10 members, NGN 1,000.00 per month. You will pay NGN 1,020.00 each round.</w:t>
            </w:r>
            <w:r>
              <w:rPr>
                <w:rFonts w:ascii="Calibri" w:hAnsi="Calibri"/>
                <w:b w:val="0"/>
                <w:i w:val="0"/>
                <w:color w:val="101828"/>
                <w:sz w:val="14"/>
              </w:rPr>
              <w:t xml:space="preserve"> </w:t>
            </w:r>
            <w:r>
              <w:rPr>
                <w:rFonts w:ascii="Calibri" w:hAnsi="Calibri"/>
                <w:b/>
                <w:color w:val="101828"/>
                <w:sz w:val="14"/>
              </w:rPr>
              <w:t>The three canonical lines appear here, at the point of discovery, not after joining.</w:t>
            </w:r>
            <w:r>
              <w:rPr>
                <w:rFonts w:ascii="Calibri" w:hAnsi="Calibri"/>
                <w:b w:val="0"/>
                <w:i w:val="0"/>
                <w:color w:val="101828"/>
                <w:sz w:val="14"/>
              </w:rPr>
              <w:t xml:space="preserve"> A NOTE stating what joining does: your position is assigned, the order locks when the Ajo activates, and you can leave free until then.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Code, required, 6 to 12 characters after normalisation, uppercase, alphanumeric.</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Shape on blur. Existence is checked only on submit or on a code of plausible length, and </w:t>
            </w:r>
            <w:r>
              <w:rPr>
                <w:rFonts w:ascii="Calibri" w:hAnsi="Calibri"/>
                <w:b/>
                <w:color w:val="101828"/>
                <w:sz w:val="14"/>
              </w:rPr>
              <w:t>an unknown, expired, already-used and malformed code all produce the same message</w:t>
            </w:r>
            <w:r>
              <w:rPr>
                <w:rFonts w:ascii="Calibri" w:hAnsi="Calibri"/>
                <w:b w:val="0"/>
                <w:i w:val="0"/>
                <w:color w:val="101828"/>
                <w:sz w:val="14"/>
              </w:rPr>
              <w:t xml:space="preserve">: </w:t>
            </w:r>
            <w:r>
              <w:rPr>
                <w:rFonts w:ascii="Calibri" w:hAnsi="Calibri"/>
                <w:i/>
                <w:color w:val="101828"/>
                <w:sz w:val="14"/>
              </w:rPr>
              <w:t>That code is not valid, or the invite has closed.</w:t>
            </w:r>
            <w:r>
              <w:rPr>
                <w:rFonts w:ascii="Calibri" w:hAnsi="Calibri"/>
                <w:b w:val="0"/>
                <w:i w:val="0"/>
                <w:color w:val="101828"/>
                <w:sz w:val="14"/>
              </w:rPr>
              <w:t xml:space="preserve"> One message for four states, because a message that distinguishes an expired invite is a way to enumerate live invites.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working control sits inside the field's trailing edge with its width locked. The join button does not lock, so a member can correct a typo without waiting for a round trip.</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Empty field with the helper text, and the NOTE visible so the member understands the commitment before typing.</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Inline on the code field for shape; a banner for a submit that fails for reasons other than the code. A rate-limit response names the wait, does not clear the code, and offers the support route.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membership exists and the member lands on the Ajo detail screen with a single confirmation naming the Ajo, the position and the first due date. The position is stated in words, because position is a social fact and a number alone can be misread as a rank.</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Single card at every width; 16 px side padding below 375. The code input is 64 px tall on mobile, because a mistyped code on a small keyboard is the most likely failure on this screen and a bigger field is the cheapest defence.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live hint is a polite region, announced once the check settles. The formatted grouping is visual only; the accessible value is the ungrouped string. The join button's accessible name includes the Ajo name once discovered. Rate-limit messaging is not conveyed by a countdown colour alone.</w:t>
            </w:r>
          </w:p>
        </w:tc>
      </w:tr>
    </w:tbl>
    <w:p>
      <w:pPr>
        <w:spacing w:after="80"/>
      </w:pPr>
    </w:p>
    <w:p>
      <w:pPr>
        <w:pStyle w:val="Heading3"/>
      </w:pPr>
      <w:r>
        <w:rPr>
          <w:rFonts w:ascii="Calibri" w:hAnsi="Calibri"/>
          <w:b/>
          <w:i w:val="0"/>
          <w:color w:val="0B1F3A"/>
          <w:sz w:val="24"/>
        </w:rPr>
        <w:t>4.8.2 Invitation — SCR-MOB-24</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Bridge a member from a link in a message into tier 2, and make accepting an invitation a deliberate act with the fee, the obligation and the position all visible first.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who received a link, on a phone, possibly on mobile data, possibly while the organiser is waiting for an answer. They have not chosen this and may not know what an Ajo is.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A single centred card. Above the fields: the Ajo name, description, purpose, member count, amount, frequency and the countdown, in a fixed block. Below: the three canonical money lines. Below that: the position, if the link carries one, or the statement that positions are provisional. At the bottom: the single commit control.</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ProseBlock</w:t>
            </w:r>
            <w:r>
              <w:rPr>
                <w:rFonts w:ascii="Calibri" w:hAnsi="Calibri"/>
                <w:b w:val="0"/>
                <w:i w:val="0"/>
                <w:color w:val="101828"/>
                <w:sz w:val="14"/>
              </w:rPr>
              <w:t xml:space="preserve">, </w:t>
            </w:r>
            <w:r>
              <w:rPr>
                <w:rFonts w:ascii="Consolas" w:hAnsi="Consolas"/>
                <w:color w:val="146EF5"/>
                <w:sz w:val="14"/>
              </w:rPr>
              <w:t>MoneyBlock</w:t>
            </w:r>
            <w:r>
              <w:rPr>
                <w:rFonts w:ascii="Calibri" w:hAnsi="Calibri"/>
                <w:b w:val="0"/>
                <w:i w:val="0"/>
                <w:color w:val="101828"/>
                <w:sz w:val="14"/>
              </w:rPr>
              <w:t xml:space="preserve"> (3 lines), </w:t>
            </w:r>
            <w:r>
              <w:rPr>
                <w:rFonts w:ascii="Consolas" w:hAnsi="Consolas"/>
                <w:color w:val="146EF5"/>
                <w:sz w:val="14"/>
              </w:rPr>
              <w:t>CountdownPill</w:t>
            </w:r>
            <w:r>
              <w:rPr>
                <w:rFonts w:ascii="Calibri" w:hAnsi="Calibri"/>
                <w:b w:val="0"/>
                <w:i w:val="0"/>
                <w:color w:val="101828"/>
                <w:sz w:val="14"/>
              </w:rPr>
              <w:t xml:space="preserve">, </w:t>
            </w:r>
            <w:r>
              <w:rPr>
                <w:rFonts w:ascii="Consolas" w:hAnsi="Consolas"/>
                <w:color w:val="146EF5"/>
                <w:sz w:val="14"/>
              </w:rPr>
              <w:t>Badge</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(primary and secondary), </w:t>
            </w:r>
            <w:r>
              <w:rPr>
                <w:rFonts w:ascii="Consolas" w:hAnsi="Consolas"/>
                <w:color w:val="146EF5"/>
                <w:sz w:val="14"/>
              </w:rPr>
              <w:t>Callout</w:t>
            </w:r>
            <w:r>
              <w:rPr>
                <w:rFonts w:ascii="Calibri" w:hAnsi="Calibri"/>
                <w:b w:val="0"/>
                <w:i w:val="0"/>
                <w:color w:val="101828"/>
                <w:sz w:val="14"/>
              </w:rPr>
              <w:t xml:space="preserve"> (NOTE, single use), </w:t>
            </w:r>
            <w:r>
              <w:rPr>
                <w:rFonts w:ascii="Consolas" w:hAnsi="Consolas"/>
                <w:color w:val="146EF5"/>
                <w:sz w:val="14"/>
              </w:rPr>
              <w:t>Footer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Reached from </w:t>
            </w:r>
            <w:r>
              <w:rPr>
                <w:rFonts w:ascii="Consolas" w:hAnsi="Consolas"/>
                <w:color w:val="146EF5"/>
                <w:sz w:val="14"/>
              </w:rPr>
              <w:t>/invite/:token</w:t>
            </w:r>
            <w:r>
              <w:rPr>
                <w:rFonts w:ascii="Calibri" w:hAnsi="Calibri"/>
                <w:b w:val="0"/>
                <w:i w:val="0"/>
                <w:color w:val="101828"/>
                <w:sz w:val="14"/>
              </w:rPr>
              <w:t xml:space="preserve"> and </w:t>
            </w:r>
            <w:r>
              <w:rPr>
                <w:rFonts w:ascii="Consolas" w:hAnsi="Consolas"/>
                <w:color w:val="146EF5"/>
                <w:sz w:val="14"/>
              </w:rPr>
              <w:t>/app/join/:token</w:t>
            </w:r>
            <w:r>
              <w:rPr>
                <w:rFonts w:ascii="Calibri" w:hAnsi="Calibri"/>
                <w:b w:val="0"/>
                <w:i w:val="0"/>
                <w:color w:val="101828"/>
                <w:sz w:val="14"/>
              </w:rPr>
              <w:t xml:space="preserve">, both </w:t>
            </w:r>
            <w:r>
              <w:rPr>
                <w:rFonts w:ascii="Consolas" w:hAnsi="Consolas"/>
                <w:color w:val="146EF5"/>
                <w:sz w:val="14"/>
              </w:rPr>
              <w:t>noindex</w:t>
            </w:r>
            <w:r>
              <w:rPr>
                <w:rFonts w:ascii="Calibri" w:hAnsi="Calibri"/>
                <w:b w:val="0"/>
                <w:i w:val="0"/>
                <w:color w:val="101828"/>
                <w:sz w:val="14"/>
              </w:rPr>
              <w:t xml:space="preserve">, </w:t>
            </w:r>
            <w:r>
              <w:rPr>
                <w:rFonts w:ascii="Consolas" w:hAnsi="Consolas"/>
                <w:color w:val="146EF5"/>
                <w:sz w:val="14"/>
              </w:rPr>
              <w:t>nofollow</w:t>
            </w:r>
            <w:r>
              <w:rPr>
                <w:rFonts w:ascii="Calibri" w:hAnsi="Calibri"/>
                <w:b w:val="0"/>
                <w:i w:val="0"/>
                <w:color w:val="101828"/>
                <w:sz w:val="14"/>
              </w:rPr>
              <w:t xml:space="preserve">, </w:t>
            </w:r>
            <w:r>
              <w:rPr>
                <w:rFonts w:ascii="Consolas" w:hAnsi="Consolas"/>
                <w:color w:val="146EF5"/>
                <w:sz w:val="14"/>
              </w:rPr>
              <w:t>no-store</w:t>
            </w:r>
            <w:r>
              <w:rPr>
                <w:rFonts w:ascii="Calibri" w:hAnsi="Calibri"/>
                <w:b w:val="0"/>
                <w:i w:val="0"/>
                <w:color w:val="101828"/>
                <w:sz w:val="14"/>
              </w:rPr>
              <w:t xml:space="preserve">. An unauthenticated visitor is sent through sign-in with </w:t>
            </w:r>
            <w:r>
              <w:rPr>
                <w:rFonts w:ascii="Consolas" w:hAnsi="Consolas"/>
                <w:color w:val="146EF5"/>
                <w:sz w:val="14"/>
              </w:rPr>
              <w:t>returnTo</w:t>
            </w:r>
            <w:r>
              <w:rPr>
                <w:rFonts w:ascii="Calibri" w:hAnsi="Calibri"/>
                <w:b w:val="0"/>
                <w:i w:val="0"/>
                <w:color w:val="101828"/>
                <w:sz w:val="14"/>
              </w:rPr>
              <w:t xml:space="preserve"> to this exact route, per 4.24.5.</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color w:val="101828"/>
                <w:sz w:val="14"/>
              </w:rPr>
              <w:t>Conditional on authentication, and never a bare *Accept*.</w:t>
            </w:r>
            <w:r>
              <w:rPr>
                <w:rFonts w:ascii="Calibri" w:hAnsi="Calibri"/>
                <w:b w:val="0"/>
                <w:i w:val="0"/>
                <w:color w:val="101828"/>
                <w:sz w:val="14"/>
              </w:rPr>
              <w:t xml:space="preserve"> Unauthenticated: </w:t>
            </w:r>
            <w:r>
              <w:rPr>
                <w:rFonts w:ascii="Calibri" w:hAnsi="Calibri"/>
                <w:i/>
                <w:color w:val="101828"/>
                <w:sz w:val="14"/>
              </w:rPr>
              <w:t>Sign in to accept</w:t>
            </w:r>
            <w:r>
              <w:rPr>
                <w:rFonts w:ascii="Calibri" w:hAnsi="Calibri"/>
                <w:b w:val="0"/>
                <w:i w:val="0"/>
                <w:color w:val="101828"/>
                <w:sz w:val="14"/>
              </w:rPr>
              <w:t xml:space="preserve"> (filled). Authenticated and eligible: </w:t>
            </w:r>
            <w:r>
              <w:rPr>
                <w:rFonts w:ascii="Calibri" w:hAnsi="Calibri"/>
                <w:i/>
                <w:color w:val="101828"/>
                <w:sz w:val="14"/>
              </w:rPr>
              <w:t>Join the Ajo</w:t>
            </w:r>
            <w:r>
              <w:rPr>
                <w:rFonts w:ascii="Calibri" w:hAnsi="Calibri"/>
                <w:b w:val="0"/>
                <w:i w:val="0"/>
                <w:color w:val="101828"/>
                <w:sz w:val="14"/>
              </w:rPr>
              <w:t xml:space="preserve"> (filled). Authenticated and ineligible: the filled control is absent and a plain statement replaces it, per the error states below.</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Not now</w:t>
            </w:r>
            <w:r>
              <w:rPr>
                <w:rFonts w:ascii="Calibri" w:hAnsi="Calibri"/>
                <w:b w:val="0"/>
                <w:i w:val="0"/>
                <w:color w:val="101828"/>
                <w:sz w:val="14"/>
              </w:rPr>
              <w:t xml:space="preserve"> (tertiary link) for an authenticated member, which closes the card and returns to the Ajo list. Unauthenticated: </w:t>
            </w:r>
            <w:r>
              <w:rPr>
                <w:rFonts w:ascii="Calibri" w:hAnsi="Calibri"/>
                <w:i/>
                <w:color w:val="101828"/>
                <w:sz w:val="14"/>
              </w:rPr>
              <w:t>Create an account</w:t>
            </w:r>
            <w:r>
              <w:rPr>
                <w:rFonts w:ascii="Calibri" w:hAnsi="Calibri"/>
                <w:b w:val="0"/>
                <w:i w:val="0"/>
                <w:color w:val="101828"/>
                <w:sz w:val="14"/>
              </w:rPr>
              <w:t xml:space="preserve"> (tertiary link) and </w:t>
            </w:r>
            <w:r>
              <w:rPr>
                <w:rFonts w:ascii="Calibri" w:hAnsi="Calibri"/>
                <w:i/>
                <w:color w:val="101828"/>
                <w:sz w:val="14"/>
              </w:rPr>
              <w:t>Read how it works</w:t>
            </w:r>
            <w:r>
              <w:rPr>
                <w:rFonts w:ascii="Calibri" w:hAnsi="Calibri"/>
                <w:b w:val="0"/>
                <w:i w:val="0"/>
                <w:color w:val="101828"/>
                <w:sz w:val="14"/>
              </w:rPr>
              <w:t xml:space="preserve"> (tertiary link).</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Ajo facts, the three canonical money lines, the position or the provisional statement, the countdown to window close, the payment day and the first collection date. A NOTE stating that this link works once, that the position locks at activation, and that leaving is free and immediate until then. </w:t>
            </w:r>
            <w:r>
              <w:rPr>
                <w:rFonts w:ascii="Calibri" w:hAnsi="Calibri"/>
                <w:b/>
                <w:color w:val="101828"/>
                <w:sz w:val="14"/>
              </w:rPr>
              <w:t>If the link carries a position, the position is shown by name and number together — *Position 4, after Adaeze* — because a number alone invites a member to infer a hierarchy that a rotating scheme does not have.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 The link carries the invitation; the member supplies nothing beyond an authenticated session, and the interface must not ask for a phone number or a name on this screen.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 Eligibility is decided server-side from the token's state, the member's membership and the Ajo's state, and the interface renders the result rather than deciding it.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The card renders after the token resolves, with a skeleton in final position. </w:t>
            </w:r>
            <w:r>
              <w:rPr>
                <w:rFonts w:ascii="Calibri" w:hAnsi="Calibri"/>
                <w:b/>
                <w:color w:val="101828"/>
                <w:sz w:val="14"/>
              </w:rPr>
              <w:t>The commit control never appears before eligibility resolves</w:t>
            </w:r>
            <w:r>
              <w:rPr>
                <w:rFonts w:ascii="Calibri" w:hAnsi="Calibri"/>
                <w:b w:val="0"/>
                <w:i w:val="0"/>
                <w:color w:val="101828"/>
                <w:sz w:val="14"/>
              </w:rPr>
              <w:t>, because a control that appears and then changes its label is a control that has already been tapped.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Four non-eligibility states, each with a plain statement, a named reason where the member can act, and one way forward. Expired or window closed: </w:t>
            </w:r>
            <w:r>
              <w:rPr>
                <w:rFonts w:ascii="Calibri" w:hAnsi="Calibri"/>
                <w:i/>
                <w:color w:val="101828"/>
                <w:sz w:val="14"/>
              </w:rPr>
              <w:t>This invite has closed. Ask the organiser for a new one.</w:t>
            </w:r>
            <w:r>
              <w:rPr>
                <w:rFonts w:ascii="Calibri" w:hAnsi="Calibri"/>
                <w:b w:val="0"/>
                <w:i w:val="0"/>
                <w:color w:val="101828"/>
                <w:sz w:val="14"/>
              </w:rPr>
              <w:t xml:space="preserve"> Already a member: </w:t>
            </w:r>
            <w:r>
              <w:rPr>
                <w:rFonts w:ascii="Calibri" w:hAnsi="Calibri"/>
                <w:i/>
                <w:color w:val="101828"/>
                <w:sz w:val="14"/>
              </w:rPr>
              <w:t>You are already in this Ajo</w:t>
            </w:r>
            <w:r>
              <w:rPr>
                <w:rFonts w:ascii="Calibri" w:hAnsi="Calibri"/>
                <w:b w:val="0"/>
                <w:i w:val="0"/>
                <w:color w:val="101828"/>
                <w:sz w:val="14"/>
              </w:rPr>
              <w:t xml:space="preserve">, with a link to it. Already used by someone else: </w:t>
            </w:r>
            <w:r>
              <w:rPr>
                <w:rFonts w:ascii="Calibri" w:hAnsi="Calibri"/>
                <w:i/>
                <w:color w:val="101828"/>
                <w:sz w:val="14"/>
              </w:rPr>
              <w:t>This link has already been used. Ask the organiser for a new one.</w:t>
            </w:r>
            <w:r>
              <w:rPr>
                <w:rFonts w:ascii="Calibri" w:hAnsi="Calibri"/>
                <w:b w:val="0"/>
                <w:i w:val="0"/>
                <w:color w:val="101828"/>
                <w:sz w:val="14"/>
              </w:rPr>
              <w:t xml:space="preserve"> Restricted account: a link to SCR-WEB-17, which is the only correct destination and not a support chat.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membership exists and the member lands on the Ajo detail screen. A single confirmation names the Ajo, the position and the first due date. The link is now spent and, if opened again, returns the already-used state rather than an error.</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The card is one column at every width, max 480 px. The fact block becomes a two-column key-value layout at </w:t>
            </w:r>
            <w:r>
              <w:rPr>
                <w:rFonts w:ascii="Consolas" w:hAnsi="Consolas"/>
                <w:color w:val="146EF5"/>
                <w:sz w:val="14"/>
              </w:rPr>
              <w:t>sm</w:t>
            </w:r>
            <w:r>
              <w:rPr>
                <w:rFonts w:ascii="Calibri" w:hAnsi="Calibri"/>
                <w:b w:val="0"/>
                <w:i w:val="0"/>
                <w:color w:val="101828"/>
                <w:sz w:val="14"/>
              </w:rPr>
              <w:t xml:space="preserve"> and above and stacks below it, always in the same order, with the money lines last and never above the fold on a 320 × 568 screen.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whole card is a labelled region named after the Ajo, so a screen reader user arriving from a link is told what they have landed on before reading further. The countdown is text plus a polite announcement at most once a minute. The three canonical money lines are a description list and are never abbreviated to </w:t>
            </w:r>
            <w:r>
              <w:rPr>
                <w:rFonts w:ascii="Calibri" w:hAnsi="Calibri"/>
                <w:i/>
                <w:color w:val="101828"/>
                <w:sz w:val="14"/>
              </w:rPr>
              <w:t>NGN 1,020/month</w:t>
            </w:r>
            <w:r>
              <w:rPr>
                <w:rFonts w:ascii="Calibri" w:hAnsi="Calibri"/>
                <w:b w:val="0"/>
                <w:i w:val="0"/>
                <w:color w:val="101828"/>
                <w:sz w:val="14"/>
              </w:rPr>
              <w:t xml:space="preserve">. The commit control's accessible name includes the Ajo name: </w:t>
            </w:r>
            <w:r>
              <w:rPr>
                <w:rFonts w:ascii="Calibri" w:hAnsi="Calibri"/>
                <w:i/>
                <w:color w:val="101828"/>
                <w:sz w:val="14"/>
              </w:rPr>
              <w:t>Join Market women</w:t>
            </w:r>
            <w:r>
              <w:rPr>
                <w:rFonts w:ascii="Calibri" w:hAnsi="Calibri"/>
                <w:b w:val="0"/>
                <w:i w:val="0"/>
                <w:color w:val="101828"/>
                <w:sz w:val="14"/>
              </w:rPr>
              <w:t>.</w:t>
            </w:r>
          </w:p>
        </w:tc>
      </w:tr>
    </w:tbl>
    <w:p>
      <w:pPr>
        <w:spacing w:after="80"/>
      </w:pPr>
    </w:p>
    <w:p>
      <w:pPr>
        <w:pStyle w:val="Heading3"/>
      </w:pPr>
      <w:r>
        <w:rPr>
          <w:rFonts w:ascii="Calibri" w:hAnsi="Calibri"/>
          <w:b/>
          <w:i w:val="0"/>
          <w:color w:val="0B1F3A"/>
          <w:sz w:val="24"/>
        </w:rPr>
        <w:t>4.8.3 Replacement and exit request — SCR-MOB-25</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Handle the only way a member leaves an active Ajo, which is by asking to be replaced, and make the requester, the organiser and the substitute all aware of the same consequences before anyone commits.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who has joined an Ajo, paid a round or several, and can no longer continue. They are frequently embarrassed, and frequently have a real reason they will not want to explain to a group chat. They are also, at that moment, the most likely person in the product to abandon it silently.</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Two states on one route. </w:t>
            </w:r>
            <w:r>
              <w:rPr>
                <w:rFonts w:ascii="Calibri" w:hAnsi="Calibri"/>
                <w:b/>
                <w:color w:val="101828"/>
                <w:sz w:val="14"/>
              </w:rPr>
              <w:t>Before submission</w:t>
            </w:r>
            <w:r>
              <w:rPr>
                <w:rFonts w:ascii="Calibri" w:hAnsi="Calibri"/>
                <w:b w:val="0"/>
                <w:i w:val="0"/>
                <w:color w:val="101828"/>
                <w:sz w:val="14"/>
              </w:rPr>
              <w:t xml:space="preserve">: a single card with the Ajo facts, the reason field, a suggested-substitute field, and the consequence panel. </w:t>
            </w:r>
            <w:r>
              <w:rPr>
                <w:rFonts w:ascii="Calibri" w:hAnsi="Calibri"/>
                <w:b/>
                <w:color w:val="101828"/>
                <w:sz w:val="14"/>
              </w:rPr>
              <w:t>After submission</w:t>
            </w:r>
            <w:r>
              <w:rPr>
                <w:rFonts w:ascii="Calibri" w:hAnsi="Calibri"/>
                <w:b w:val="0"/>
                <w:i w:val="0"/>
                <w:color w:val="101828"/>
                <w:sz w:val="14"/>
              </w:rPr>
              <w:t>: a status region with the request's state, what has and has not happened, and the two people who need to act.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FormField</w:t>
            </w:r>
            <w:r>
              <w:rPr>
                <w:rFonts w:ascii="Calibri" w:hAnsi="Calibri"/>
                <w:b w:val="0"/>
                <w:i w:val="0"/>
                <w:color w:val="101828"/>
                <w:sz w:val="14"/>
              </w:rPr>
              <w:t xml:space="preserve"> (reason, substitute), </w:t>
            </w:r>
            <w:r>
              <w:rPr>
                <w:rFonts w:ascii="Consolas" w:hAnsi="Consolas"/>
                <w:color w:val="146EF5"/>
                <w:sz w:val="14"/>
              </w:rPr>
              <w:t>Callout</w:t>
            </w:r>
            <w:r>
              <w:rPr>
                <w:rFonts w:ascii="Calibri" w:hAnsi="Calibri"/>
                <w:b w:val="0"/>
                <w:i w:val="0"/>
                <w:color w:val="101828"/>
                <w:sz w:val="14"/>
              </w:rPr>
              <w:t xml:space="preserve"> (WARNING, consequences), </w:t>
            </w:r>
            <w:r>
              <w:rPr>
                <w:rFonts w:ascii="Consolas" w:hAnsi="Consolas"/>
                <w:color w:val="146EF5"/>
                <w:sz w:val="14"/>
              </w:rPr>
              <w:t>RadioGroup</w:t>
            </w:r>
            <w:r>
              <w:rPr>
                <w:rFonts w:ascii="Calibri" w:hAnsi="Calibri"/>
                <w:b w:val="0"/>
                <w:i w:val="0"/>
                <w:color w:val="101828"/>
                <w:sz w:val="14"/>
              </w:rPr>
              <w:t xml:space="preserve"> (suggested or open), </w:t>
            </w:r>
            <w:r>
              <w:rPr>
                <w:rFonts w:ascii="Consolas" w:hAnsi="Consolas"/>
                <w:color w:val="146EF5"/>
                <w:sz w:val="14"/>
              </w:rPr>
              <w:t>Button</w:t>
            </w:r>
            <w:r>
              <w:rPr>
                <w:rFonts w:ascii="Calibri" w:hAnsi="Calibri"/>
                <w:b w:val="0"/>
                <w:i w:val="0"/>
                <w:color w:val="101828"/>
                <w:sz w:val="14"/>
              </w:rPr>
              <w:t xml:space="preserve"> (primary and secondary), </w:t>
            </w:r>
            <w:r>
              <w:rPr>
                <w:rFonts w:ascii="Consolas" w:hAnsi="Consolas"/>
                <w:color w:val="146EF5"/>
                <w:sz w:val="14"/>
              </w:rPr>
              <w:t>StatusCard</w:t>
            </w:r>
            <w:r>
              <w:rPr>
                <w:rFonts w:ascii="Calibri" w:hAnsi="Calibri"/>
                <w:b w:val="0"/>
                <w:i w:val="0"/>
                <w:color w:val="101828"/>
                <w:sz w:val="14"/>
              </w:rPr>
              <w:t xml:space="preserve">, </w:t>
            </w:r>
            <w:r>
              <w:rPr>
                <w:rFonts w:ascii="Consolas" w:hAnsi="Consolas"/>
                <w:color w:val="146EF5"/>
                <w:sz w:val="14"/>
              </w:rPr>
              <w:t>Timeline</w:t>
            </w:r>
            <w:r>
              <w:rPr>
                <w:rFonts w:ascii="Calibri" w:hAnsi="Calibri"/>
                <w:b w:val="0"/>
                <w:i w:val="0"/>
                <w:color w:val="101828"/>
                <w:sz w:val="14"/>
              </w:rPr>
              <w:t xml:space="preserve">, </w:t>
            </w:r>
            <w:r>
              <w:rPr>
                <w:rFonts w:ascii="Consolas" w:hAnsi="Consolas"/>
                <w:color w:val="146EF5"/>
                <w:sz w:val="14"/>
              </w:rPr>
              <w:t>Footer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Reached from the Ajo detail screen's </w:t>
            </w:r>
            <w:r>
              <w:rPr>
                <w:rFonts w:ascii="Calibri" w:hAnsi="Calibri"/>
                <w:i/>
                <w:color w:val="101828"/>
                <w:sz w:val="14"/>
              </w:rPr>
              <w:t>Request to leave</w:t>
            </w:r>
            <w:r>
              <w:rPr>
                <w:rFonts w:ascii="Calibri" w:hAnsi="Calibri"/>
                <w:b w:val="0"/>
                <w:i w:val="0"/>
                <w:color w:val="101828"/>
                <w:sz w:val="14"/>
              </w:rPr>
              <w:t xml:space="preserve"> action, which appears only on an ACTIVE Ajo. Deep-linkable, per section 3. Reached for a DRAFT or ENROLLING Ajo by the Ajo detail's </w:t>
            </w:r>
            <w:r>
              <w:rPr>
                <w:rFonts w:ascii="Calibri" w:hAnsi="Calibri"/>
                <w:i/>
                <w:color w:val="101828"/>
                <w:sz w:val="14"/>
              </w:rPr>
              <w:t>Leave</w:t>
            </w:r>
            <w:r>
              <w:rPr>
                <w:rFonts w:ascii="Calibri" w:hAnsi="Calibri"/>
                <w:b w:val="0"/>
                <w:i w:val="0"/>
                <w:color w:val="101828"/>
                <w:sz w:val="14"/>
              </w:rPr>
              <w:t xml:space="preserve"> action instead, which is immediate and free and does not use this route.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Before submission: </w:t>
            </w:r>
            <w:r>
              <w:rPr>
                <w:rFonts w:ascii="Calibri" w:hAnsi="Calibri"/>
                <w:i/>
                <w:color w:val="101828"/>
                <w:sz w:val="14"/>
              </w:rPr>
              <w:t>Send the request</w:t>
            </w:r>
            <w:r>
              <w:rPr>
                <w:rFonts w:ascii="Calibri" w:hAnsi="Calibri"/>
                <w:b w:val="0"/>
                <w:i w:val="0"/>
                <w:color w:val="101828"/>
                <w:sz w:val="14"/>
              </w:rPr>
              <w:t xml:space="preserve">. One filled button, 56 px, and it is never labelled </w:t>
            </w:r>
            <w:r>
              <w:rPr>
                <w:rFonts w:ascii="Calibri" w:hAnsi="Calibri"/>
                <w:i/>
                <w:color w:val="101828"/>
                <w:sz w:val="14"/>
              </w:rPr>
              <w:t>Leave</w:t>
            </w:r>
            <w:r>
              <w:rPr>
                <w:rFonts w:ascii="Calibri" w:hAnsi="Calibri"/>
                <w:b w:val="0"/>
                <w:i w:val="0"/>
                <w:color w:val="101828"/>
                <w:sz w:val="14"/>
              </w:rPr>
              <w:t xml:space="preserve">, </w:t>
            </w:r>
            <w:r>
              <w:rPr>
                <w:rFonts w:ascii="Calibri" w:hAnsi="Calibri"/>
                <w:i/>
                <w:color w:val="101828"/>
                <w:sz w:val="14"/>
              </w:rPr>
              <w:t>Exit</w:t>
            </w:r>
            <w:r>
              <w:rPr>
                <w:rFonts w:ascii="Calibri" w:hAnsi="Calibri"/>
                <w:b w:val="0"/>
                <w:i w:val="0"/>
                <w:color w:val="101828"/>
                <w:sz w:val="14"/>
              </w:rPr>
              <w:t xml:space="preserve"> or </w:t>
            </w:r>
            <w:r>
              <w:rPr>
                <w:rFonts w:ascii="Calibri" w:hAnsi="Calibri"/>
                <w:i/>
                <w:color w:val="101828"/>
                <w:sz w:val="14"/>
              </w:rPr>
              <w:t>Remove me</w:t>
            </w:r>
            <w:r>
              <w:rPr>
                <w:rFonts w:ascii="Calibri" w:hAnsi="Calibri"/>
                <w:b w:val="0"/>
                <w:i w:val="0"/>
                <w:color w:val="101828"/>
                <w:sz w:val="14"/>
              </w:rPr>
              <w:t xml:space="preserve"> — a member reading a button called </w:t>
            </w:r>
            <w:r>
              <w:rPr>
                <w:rFonts w:ascii="Calibri" w:hAnsi="Calibri"/>
                <w:i/>
                <w:color w:val="101828"/>
                <w:sz w:val="14"/>
              </w:rPr>
              <w:t>Leave</w:t>
            </w:r>
            <w:r>
              <w:rPr>
                <w:rFonts w:ascii="Calibri" w:hAnsi="Calibri"/>
                <w:b w:val="0"/>
                <w:i w:val="0"/>
                <w:color w:val="101828"/>
                <w:sz w:val="14"/>
              </w:rPr>
              <w:t xml:space="preserve"> is agreeing to something they have not been told.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Cancel and keep my place</w:t>
            </w:r>
            <w:r>
              <w:rPr>
                <w:rFonts w:ascii="Calibri" w:hAnsi="Calibri"/>
                <w:b w:val="0"/>
                <w:i w:val="0"/>
                <w:color w:val="101828"/>
                <w:sz w:val="14"/>
              </w:rPr>
              <w:t xml:space="preserve"> (tertiary link), which is the prominent, easy, unpunished option and is styled as an ordinary link, not as a dead end. </w:t>
            </w:r>
            <w:r>
              <w:rPr>
                <w:rFonts w:ascii="Calibri" w:hAnsi="Calibri"/>
                <w:i/>
                <w:color w:val="101828"/>
                <w:sz w:val="14"/>
              </w:rPr>
              <w:t>Contact support</w:t>
            </w:r>
            <w:r>
              <w:rPr>
                <w:rFonts w:ascii="Calibri" w:hAnsi="Calibri"/>
                <w:b w:val="0"/>
                <w:i w:val="0"/>
                <w:color w:val="101828"/>
                <w:sz w:val="14"/>
              </w:rPr>
              <w:t xml:space="preserve"> (tertiary link) for a member who wants to talk rather than type.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Before submission: the Ajo name, the member's position, the rounds remaining, the amount still to be paid by the member, and the substitute field. The consequence panel, stated as four bullets: your place is held until this is resolved; the organiser is told privately and not in the group; </w:t>
            </w:r>
            <w:r>
              <w:rPr>
                <w:rFonts w:ascii="Calibri" w:hAnsi="Calibri"/>
                <w:b/>
                <w:color w:val="101828"/>
                <w:sz w:val="14"/>
              </w:rPr>
              <w:t>you remain liable for contributions until a replacement is accepted</w:t>
            </w:r>
            <w:r>
              <w:rPr>
                <w:rFonts w:ascii="Calibri" w:hAnsi="Calibri"/>
                <w:b w:val="0"/>
                <w:i w:val="0"/>
                <w:color w:val="101828"/>
                <w:sz w:val="14"/>
              </w:rPr>
              <w:t xml:space="preserve">; the replacement, once accepted, takes your position and the obligation from that round. A WARNING callout for the case where the Ajo has already reached the member's turn: </w:t>
            </w:r>
            <w:r>
              <w:rPr>
                <w:rFonts w:ascii="Calibri" w:hAnsi="Calibri"/>
                <w:i/>
                <w:color w:val="101828"/>
                <w:sz w:val="14"/>
              </w:rPr>
              <w:t>Your round has already come. Once you have been paid, you keep the money and your place passes to the replacement; you are not asked to return it.</w:t>
            </w:r>
            <w:r>
              <w:rPr>
                <w:rFonts w:ascii="Calibri" w:hAnsi="Calibri"/>
                <w:b w:val="0"/>
                <w:i w:val="0"/>
                <w:color w:val="101828"/>
                <w:sz w:val="14"/>
              </w:rPr>
              <w:t xml:space="preserve"> </w:t>
            </w:r>
            <w:r>
              <w:rPr>
                <w:rFonts w:ascii="Calibri" w:hAnsi="Calibri"/>
                <w:b/>
                <w:color w:val="101828"/>
                <w:sz w:val="14"/>
              </w:rPr>
              <w:t>The reason field is free text and is explicitly optional</w:t>
            </w:r>
            <w:r>
              <w:rPr>
                <w:rFonts w:ascii="Calibri" w:hAnsi="Calibri"/>
                <w:b w:val="0"/>
                <w:i w:val="0"/>
                <w:color w:val="101828"/>
                <w:sz w:val="14"/>
              </w:rPr>
              <w:t>, with a note that it is shared with the organiser only and never with the other members.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Reason, textarea, optional, 0 to 500 characters, with the helper text naming who sees it. Suggested substitute, radio group plus an optional name field, defaulting to </w:t>
            </w:r>
            <w:r>
              <w:rPr>
                <w:rFonts w:ascii="Calibri" w:hAnsi="Calibri"/>
                <w:i/>
                <w:color w:val="101828"/>
                <w:sz w:val="14"/>
              </w:rPr>
              <w:t>no suggestion</w:t>
            </w:r>
            <w:r>
              <w:rPr>
                <w:rFonts w:ascii="Calibri" w:hAnsi="Calibri"/>
                <w:b w:val="0"/>
                <w:i w:val="0"/>
                <w:color w:val="101828"/>
                <w:sz w:val="14"/>
              </w:rPr>
              <w:t>, because suggesting a person on someone's behalf is a social act the member may not want to perform. Both fields are free of validation beyond length.</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Length only. </w:t>
            </w:r>
            <w:r>
              <w:rPr>
                <w:rFonts w:ascii="Calibri" w:hAnsi="Calibri"/>
                <w:b/>
                <w:color w:val="101828"/>
                <w:sz w:val="14"/>
              </w:rPr>
              <w:t>A member must be able to submit with no reason and no suggestion</w:t>
            </w:r>
            <w:r>
              <w:rPr>
                <w:rFonts w:ascii="Calibri" w:hAnsi="Calibri"/>
                <w:b w:val="0"/>
                <w:i w:val="0"/>
                <w:color w:val="101828"/>
                <w:sz w:val="14"/>
              </w:rPr>
              <w:t>, and the interface must not nudge them to supply either; the friction of a required reason field is exactly what converts a difficult conversation into an abandonment.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button works with its width locked and the fields remain editable. After submission the card is replaced by the status region.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 The form is never presented as an empty state, and the consequence panel is visible before any input.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Submit failure is a banner with a retry, preserving the reason and the suggestion. A request already pending shows the status region instead of the form, with a </w:t>
            </w:r>
            <w:r>
              <w:rPr>
                <w:rFonts w:ascii="Calibri" w:hAnsi="Calibri"/>
                <w:i/>
                <w:color w:val="101828"/>
                <w:sz w:val="14"/>
              </w:rPr>
              <w:t>Withdraw request</w:t>
            </w:r>
            <w:r>
              <w:rPr>
                <w:rFonts w:ascii="Calibri" w:hAnsi="Calibri"/>
                <w:b w:val="0"/>
                <w:i w:val="0"/>
                <w:color w:val="101828"/>
                <w:sz w:val="14"/>
              </w:rPr>
              <w:t xml:space="preserve"> tertiary link, because sending two requests is not a thing the member should have to think about.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status region appears immediately, stating: the request is pending; the organiser has been told privately; the member's place is held; the member remains liable until a replacement is accepted. The organiser's own state is the organiser's screen, not this one. There is no </w:t>
            </w:r>
            <w:r>
              <w:rPr>
                <w:rFonts w:ascii="Calibri" w:hAnsi="Calibri"/>
                <w:i/>
                <w:color w:val="101828"/>
                <w:sz w:val="14"/>
              </w:rPr>
              <w:t>you have successfully left the Ajo</w:t>
            </w:r>
            <w:r>
              <w:rPr>
                <w:rFonts w:ascii="Calibri" w:hAnsi="Calibri"/>
                <w:b w:val="0"/>
                <w:i w:val="0"/>
                <w:color w:val="101828"/>
                <w:sz w:val="14"/>
              </w:rPr>
              <w:t xml:space="preserve"> message, because the member has not left.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One column at every width. The consequence panel is a four-bullet list with 8 px between items and no collapse at any width; at 320 px the bullets wrap with a 20 px hanging indent so the markers align.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consequence panel is a labelled region with the </w:t>
            </w:r>
            <w:r>
              <w:rPr>
                <w:rFonts w:ascii="Consolas" w:hAnsi="Consolas"/>
                <w:color w:val="146EF5"/>
                <w:sz w:val="14"/>
              </w:rPr>
              <w:t>h2</w:t>
            </w:r>
            <w:r>
              <w:rPr>
                <w:rFonts w:ascii="Calibri" w:hAnsi="Calibri"/>
                <w:b w:val="0"/>
                <w:i w:val="0"/>
                <w:color w:val="101828"/>
                <w:sz w:val="14"/>
              </w:rPr>
              <w:t xml:space="preserve"> </w:t>
            </w:r>
            <w:r>
              <w:rPr>
                <w:rFonts w:ascii="Calibri" w:hAnsi="Calibri"/>
                <w:i/>
                <w:color w:val="101828"/>
                <w:sz w:val="14"/>
              </w:rPr>
              <w:t>What happens when you send this</w:t>
            </w:r>
            <w:r>
              <w:rPr>
                <w:rFonts w:ascii="Calibri" w:hAnsi="Calibri"/>
                <w:b w:val="0"/>
                <w:i w:val="0"/>
                <w:color w:val="101828"/>
                <w:sz w:val="14"/>
              </w:rPr>
              <w:t xml:space="preserve">, reachable directly from the submit control's description. The status region's four statements are a definition list, so a screen reader user can hear them one at a time. State changes on the status region are announced politely. The submit control's accessible name is </w:t>
            </w:r>
            <w:r>
              <w:rPr>
                <w:rFonts w:ascii="Calibri" w:hAnsi="Calibri"/>
                <w:i/>
                <w:color w:val="101828"/>
                <w:sz w:val="14"/>
              </w:rPr>
              <w:t>Send the request to leave Market women</w:t>
            </w:r>
            <w:r>
              <w:rPr>
                <w:rFonts w:ascii="Calibri" w:hAnsi="Calibri"/>
                <w:b w:val="0"/>
                <w:i w:val="0"/>
                <w:color w:val="101828"/>
                <w:sz w:val="14"/>
              </w:rPr>
              <w:t>.</w:t>
            </w:r>
          </w:p>
        </w:tc>
      </w:tr>
    </w:tbl>
    <w:p>
      <w:pPr>
        <w:spacing w:after="80"/>
      </w:pPr>
    </w:p>
    <w:p>
      <w:pPr>
        <w:spacing w:before="140" w:after="180"/>
        <w:ind w:left="144"/>
        <w:shd w:val="clear" w:color="auto" w:fill="E0F2FE"/>
        <w:pBdr>
          <w:left w:val="single" w:sz="18" w:space="6" w:color="22C7D6"/>
        </w:pBdr>
      </w:pPr>
      <w:r>
        <w:rPr>
          <w:rFonts w:ascii="Calibri" w:hAnsi="Calibri"/>
          <w:b/>
          <w:color w:val="22C7D6"/>
          <w:sz w:val="19"/>
        </w:rPr>
        <w:t xml:space="preserve">The exit route has no required reason and no exit in the first place  </w:t>
      </w:r>
      <w:r>
        <w:rPr>
          <w:rFonts w:ascii="Calibri" w:hAnsi="Calibri"/>
          <w:b/>
          <w:color w:val="0B1F3A"/>
          <w:sz w:val="19"/>
        </w:rPr>
        <w:t>SCR-MOB-25 is a request to be replaced, not a withdrawal, and it is named accordingly in the interface.</w:t>
      </w:r>
      <w:r>
        <w:rPr>
          <w:rFonts w:ascii="Calibri" w:hAnsi="Calibri"/>
          <w:b w:val="0"/>
          <w:i w:val="0"/>
          <w:color w:val="0B1F3A"/>
          <w:sz w:val="19"/>
        </w:rPr>
        <w:t xml:space="preserve"> There is no route anywhere in the product that removes a member from an ACTIVE Ajo outright, because a rotating savings scheme cannot absorb a vacancy: the round's pool would be short by one member's contribution and the next recipient would receive less than the Ajo promised. The substitute is not an administrative convenience; it is the mechanism by which the scheme continues to work. The reason field is optional for the same reason: a required explanation is a tax on a decision that has already been made, and it is a tax paid to a group. </w:t>
      </w:r>
      <w:r>
        <w:rPr>
          <w:rFonts w:ascii="Calibri" w:hAnsi="Calibri"/>
          <w:b/>
          <w:color w:val="0B1F3A"/>
          <w:sz w:val="19"/>
        </w:rPr>
        <w:t>Owner: Founders.</w:t>
      </w:r>
    </w:p>
    <w:p>
      <w:r>
        <w:br w:type="page"/>
      </w:r>
    </w:p>
    <w:p>
      <w:pPr>
        <w:pStyle w:val="Heading2"/>
      </w:pPr>
      <w:r>
        <w:rPr>
          <w:rFonts w:ascii="Calibri" w:hAnsi="Calibri"/>
          <w:b/>
          <w:i w:val="0"/>
          <w:color w:val="146EF5"/>
          <w:sz w:val="29"/>
        </w:rPr>
        <w:t>4.9 Ajo detail — SCR-MOB-03</w:t>
      </w:r>
    </w:p>
    <w:p>
      <w:r>
        <w:rPr>
          <w:rFonts w:ascii="Calibri" w:hAnsi="Calibri"/>
          <w:b w:val="0"/>
          <w:i w:val="0"/>
          <w:color w:val="101828"/>
          <w:sz w:val="21"/>
        </w:rPr>
        <w:t>One screen, five jobs, and the only place in the product where a single control starts a ten-round financial obligation. The screen is organised around a fixed region order so that a member who has been here before finds the same thing in the same place, and so that the activate control is never above the consequences it commits them to.</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440"/>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4"/>
              </w:rPr>
              <w:t>Contents</w:t>
            </w:r>
          </w:p>
        </w:tc>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4"/>
              </w:rPr>
              <w:t>Visible to</w:t>
            </w:r>
          </w:p>
        </w:tc>
        <w:tc>
          <w:tcPr>
            <w:tcW w:type="dxa" w:w="2592"/>
            <w:shd w:val="clear" w:color="auto" w:fill="0B1F3A"/>
            <w:tcMar>
              <w:top w:w="60" w:type="dxa"/>
              <w:start w:w="110" w:type="dxa"/>
              <w:bottom w:w="60" w:type="dxa"/>
              <w:end w:w="110" w:type="dxa"/>
            </w:tcMar>
          </w:tcPr>
          <w:p>
            <w:pPr>
              <w:spacing w:after="0"/>
            </w:pPr>
            <w:r/>
            <w:r>
              <w:rPr>
                <w:rFonts w:ascii="Calibri" w:hAnsi="Calibri"/>
                <w:b/>
                <w:i w:val="0"/>
                <w:color w:val="FFFFFF"/>
                <w:sz w:val="14"/>
              </w:rPr>
              <w:t>Present in</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4"/>
              </w:rPr>
              <w:t>Header</w:t>
            </w:r>
          </w:p>
        </w:tc>
        <w:tc>
          <w:tcPr>
            <w:tcW w:type="dxa" w:w="3456"/>
            <w:tcMar>
              <w:top w:w="60" w:type="dxa"/>
              <w:start w:w="110" w:type="dxa"/>
              <w:bottom w:w="60" w:type="dxa"/>
              <w:end w:w="110" w:type="dxa"/>
            </w:tcMar>
          </w:tcPr>
          <w:p>
            <w:pPr>
              <w:spacing w:after="0"/>
            </w:pPr>
            <w:r/>
            <w:r>
              <w:rPr>
                <w:rFonts w:ascii="Calibri" w:hAnsi="Calibri"/>
                <w:b w:val="0"/>
                <w:i w:val="0"/>
                <w:color w:val="101828"/>
                <w:sz w:val="14"/>
              </w:rPr>
              <w:t>Name, status badge, position, countdown if enrolling</w:t>
            </w:r>
          </w:p>
        </w:tc>
        <w:tc>
          <w:tcPr>
            <w:tcW w:type="dxa" w:w="1872"/>
            <w:tcMar>
              <w:top w:w="60" w:type="dxa"/>
              <w:start w:w="110" w:type="dxa"/>
              <w:bottom w:w="60" w:type="dxa"/>
              <w:end w:w="110" w:type="dxa"/>
            </w:tcMar>
          </w:tcPr>
          <w:p>
            <w:pPr>
              <w:spacing w:after="0"/>
            </w:pPr>
            <w:r/>
            <w:r>
              <w:rPr>
                <w:rFonts w:ascii="Calibri" w:hAnsi="Calibri"/>
                <w:b w:val="0"/>
                <w:i w:val="0"/>
                <w:color w:val="101828"/>
                <w:sz w:val="14"/>
              </w:rPr>
              <w:t>All participants</w:t>
            </w:r>
          </w:p>
        </w:tc>
        <w:tc>
          <w:tcPr>
            <w:tcW w:type="dxa" w:w="2592"/>
            <w:tcMar>
              <w:top w:w="60" w:type="dxa"/>
              <w:start w:w="110" w:type="dxa"/>
              <w:bottom w:w="60" w:type="dxa"/>
              <w:end w:w="110" w:type="dxa"/>
            </w:tcMar>
          </w:tcPr>
          <w:p>
            <w:pPr>
              <w:spacing w:after="0"/>
            </w:pPr>
            <w:r/>
            <w:r>
              <w:rPr>
                <w:rFonts w:ascii="Calibri" w:hAnsi="Calibri"/>
                <w:b w:val="0"/>
                <w:i w:val="0"/>
                <w:color w:val="101828"/>
                <w:sz w:val="14"/>
              </w:rPr>
              <w:t>All states</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4"/>
              </w:rPr>
              <w:t>State banner</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What this Ajo's state means and what can be done now</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All participants</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4"/>
              </w:rPr>
              <w:t>All states</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4"/>
              </w:rPr>
              <w:t>Economics</w:t>
            </w:r>
          </w:p>
        </w:tc>
        <w:tc>
          <w:tcPr>
            <w:tcW w:type="dxa" w:w="3456"/>
            <w:tcMar>
              <w:top w:w="60" w:type="dxa"/>
              <w:start w:w="110" w:type="dxa"/>
              <w:bottom w:w="60" w:type="dxa"/>
              <w:end w:w="110" w:type="dxa"/>
            </w:tcMar>
          </w:tcPr>
          <w:p>
            <w:pPr>
              <w:spacing w:after="0"/>
            </w:pPr>
            <w:r/>
            <w:r>
              <w:rPr>
                <w:rFonts w:ascii="Calibri" w:hAnsi="Calibri"/>
                <w:b w:val="0"/>
                <w:i w:val="0"/>
                <w:color w:val="101828"/>
                <w:sz w:val="14"/>
              </w:rPr>
              <w:t>The three canonical money lines, the base pool, the round's progress</w:t>
            </w:r>
          </w:p>
        </w:tc>
        <w:tc>
          <w:tcPr>
            <w:tcW w:type="dxa" w:w="1872"/>
            <w:tcMar>
              <w:top w:w="60" w:type="dxa"/>
              <w:start w:w="110" w:type="dxa"/>
              <w:bottom w:w="60" w:type="dxa"/>
              <w:end w:w="110" w:type="dxa"/>
            </w:tcMar>
          </w:tcPr>
          <w:p>
            <w:pPr>
              <w:spacing w:after="0"/>
            </w:pPr>
            <w:r/>
            <w:r>
              <w:rPr>
                <w:rFonts w:ascii="Calibri" w:hAnsi="Calibri"/>
                <w:b w:val="0"/>
                <w:i w:val="0"/>
                <w:color w:val="101828"/>
                <w:sz w:val="14"/>
              </w:rPr>
              <w:t>All participants</w:t>
            </w:r>
          </w:p>
        </w:tc>
        <w:tc>
          <w:tcPr>
            <w:tcW w:type="dxa" w:w="2592"/>
            <w:tcMar>
              <w:top w:w="60" w:type="dxa"/>
              <w:start w:w="110" w:type="dxa"/>
              <w:bottom w:w="60" w:type="dxa"/>
              <w:end w:w="110" w:type="dxa"/>
            </w:tcMar>
          </w:tcPr>
          <w:p>
            <w:pPr>
              <w:spacing w:after="0"/>
            </w:pPr>
            <w:r/>
            <w:r>
              <w:rPr>
                <w:rFonts w:ascii="Calibri" w:hAnsi="Calibri"/>
                <w:b w:val="0"/>
                <w:i w:val="0"/>
                <w:color w:val="101828"/>
                <w:sz w:val="14"/>
              </w:rPr>
              <w:t>All states</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4"/>
              </w:rPr>
              <w:t>Next event</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The next collection or payout, with its date</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All participants</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4"/>
              </w:rPr>
              <w:t>ENROLLING and ACTIVE</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4"/>
              </w:rPr>
              <w:t>Actions</w:t>
            </w:r>
          </w:p>
        </w:tc>
        <w:tc>
          <w:tcPr>
            <w:tcW w:type="dxa" w:w="3456"/>
            <w:tcMar>
              <w:top w:w="60" w:type="dxa"/>
              <w:start w:w="110" w:type="dxa"/>
              <w:bottom w:w="60" w:type="dxa"/>
              <w:end w:w="110" w:type="dxa"/>
            </w:tcMar>
          </w:tcPr>
          <w:p>
            <w:pPr>
              <w:spacing w:after="0"/>
            </w:pPr>
            <w:r/>
            <w:r>
              <w:rPr>
                <w:rFonts w:ascii="Calibri" w:hAnsi="Calibri"/>
                <w:b w:val="0"/>
                <w:i w:val="0"/>
                <w:color w:val="101828"/>
                <w:sz w:val="14"/>
              </w:rPr>
              <w:t>Activate, invite, share, request to leave, or pay, by state and role</w:t>
            </w:r>
          </w:p>
        </w:tc>
        <w:tc>
          <w:tcPr>
            <w:tcW w:type="dxa" w:w="1872"/>
            <w:tcMar>
              <w:top w:w="60" w:type="dxa"/>
              <w:start w:w="110" w:type="dxa"/>
              <w:bottom w:w="60" w:type="dxa"/>
              <w:end w:w="110" w:type="dxa"/>
            </w:tcMar>
          </w:tcPr>
          <w:p>
            <w:pPr>
              <w:spacing w:after="0"/>
            </w:pPr>
            <w:r/>
            <w:r>
              <w:rPr>
                <w:rFonts w:ascii="Calibri" w:hAnsi="Calibri"/>
                <w:b w:val="0"/>
                <w:i w:val="0"/>
                <w:color w:val="101828"/>
                <w:sz w:val="14"/>
              </w:rPr>
              <w:t>By role and state</w:t>
            </w:r>
          </w:p>
        </w:tc>
        <w:tc>
          <w:tcPr>
            <w:tcW w:type="dxa" w:w="2592"/>
            <w:tcMar>
              <w:top w:w="60" w:type="dxa"/>
              <w:start w:w="110" w:type="dxa"/>
              <w:bottom w:w="60" w:type="dxa"/>
              <w:end w:w="110" w:type="dxa"/>
            </w:tcMar>
          </w:tcPr>
          <w:p>
            <w:pPr>
              <w:spacing w:after="0"/>
            </w:pPr>
            <w:r/>
            <w:r>
              <w:rPr>
                <w:rFonts w:ascii="Calibri" w:hAnsi="Calibri"/>
                <w:b w:val="0"/>
                <w:i w:val="0"/>
                <w:color w:val="101828"/>
                <w:sz w:val="14"/>
              </w:rPr>
              <w:t>Conditional</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4"/>
              </w:rPr>
              <w:t>Roster preview</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First five members and the total count</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4"/>
              </w:rPr>
              <w:t>All participants</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4"/>
              </w:rPr>
              <w:t>All states</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4"/>
              </w:rPr>
              <w:t>Activity</w:t>
            </w:r>
          </w:p>
        </w:tc>
        <w:tc>
          <w:tcPr>
            <w:tcW w:type="dxa" w:w="3456"/>
            <w:tcMar>
              <w:top w:w="60" w:type="dxa"/>
              <w:start w:w="110" w:type="dxa"/>
              <w:bottom w:w="60" w:type="dxa"/>
              <w:end w:w="110" w:type="dxa"/>
            </w:tcMar>
          </w:tcPr>
          <w:p>
            <w:pPr>
              <w:spacing w:after="0"/>
            </w:pPr>
            <w:r/>
            <w:r>
              <w:rPr>
                <w:rFonts w:ascii="Calibri" w:hAnsi="Calibri"/>
                <w:b w:val="0"/>
                <w:i w:val="0"/>
                <w:color w:val="101828"/>
                <w:sz w:val="14"/>
              </w:rPr>
              <w:t>The last five events for this Ajo</w:t>
            </w:r>
          </w:p>
        </w:tc>
        <w:tc>
          <w:tcPr>
            <w:tcW w:type="dxa" w:w="1872"/>
            <w:tcMar>
              <w:top w:w="60" w:type="dxa"/>
              <w:start w:w="110" w:type="dxa"/>
              <w:bottom w:w="60" w:type="dxa"/>
              <w:end w:w="110" w:type="dxa"/>
            </w:tcMar>
          </w:tcPr>
          <w:p>
            <w:pPr>
              <w:spacing w:after="0"/>
            </w:pPr>
            <w:r/>
            <w:r>
              <w:rPr>
                <w:rFonts w:ascii="Calibri" w:hAnsi="Calibri"/>
                <w:b w:val="0"/>
                <w:i w:val="0"/>
                <w:color w:val="101828"/>
                <w:sz w:val="14"/>
              </w:rPr>
              <w:t>All participants</w:t>
            </w:r>
          </w:p>
        </w:tc>
        <w:tc>
          <w:tcPr>
            <w:tcW w:type="dxa" w:w="2592"/>
            <w:tcMar>
              <w:top w:w="60" w:type="dxa"/>
              <w:start w:w="110" w:type="dxa"/>
              <w:bottom w:w="60" w:type="dxa"/>
              <w:end w:w="110" w:type="dxa"/>
            </w:tcMar>
          </w:tcPr>
          <w:p>
            <w:pPr>
              <w:spacing w:after="0"/>
            </w:pPr>
            <w:r/>
            <w:r>
              <w:rPr>
                <w:rFonts w:ascii="Calibri" w:hAnsi="Calibri"/>
                <w:b w:val="0"/>
                <w:i w:val="0"/>
                <w:color w:val="101828"/>
                <w:sz w:val="14"/>
              </w:rPr>
              <w:t>ENROLLING and ACTIVE</w:t>
            </w:r>
          </w:p>
        </w:tc>
      </w:tr>
    </w:tbl>
    <w:p>
      <w:pPr>
        <w:spacing w:after="80"/>
      </w:pPr>
    </w:p>
    <w:p>
      <w:pPr>
        <w:pStyle w:val="Heading3"/>
      </w:pPr>
      <w:r>
        <w:rPr>
          <w:rFonts w:ascii="Calibri" w:hAnsi="Calibri"/>
          <w:b/>
          <w:i w:val="0"/>
          <w:color w:val="0B1F3A"/>
          <w:sz w:val="24"/>
        </w:rPr>
        <w:t>4.9.1 Ajo detail — SCR-MOB-03</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Be the single page on which a participant understands an Ajo completely: its state, its figures, its people, its next event, and the one action available to them in this state. It also hosts the activation gate.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Any participant. The dominant case is a member who has just joined and is deciding whether they have understood what they signed up for; the second is an organiser with a DRAFT or an ENROLLING Ajo who is deciding whether to activate.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scrolling column, max 720 px, with the region order above. The actions region sits below the economics and the next event and </w:t>
            </w:r>
            <w:r>
              <w:rPr>
                <w:rFonts w:ascii="Calibri" w:hAnsi="Calibri"/>
                <w:b/>
                <w:color w:val="101828"/>
                <w:sz w:val="14"/>
              </w:rPr>
              <w:t>above</w:t>
            </w:r>
            <w:r>
              <w:rPr>
                <w:rFonts w:ascii="Calibri" w:hAnsi="Calibri"/>
                <w:b w:val="0"/>
                <w:i w:val="0"/>
                <w:color w:val="101828"/>
                <w:sz w:val="14"/>
              </w:rPr>
              <w:t xml:space="preserve"> the roster. On a 375 × 667 screen the header, the state banner and at least the first two economics lines are visible without scrolling; activation is never among them, because an action that commits must be scrolled to.</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Header</w:t>
            </w:r>
            <w:r>
              <w:rPr>
                <w:rFonts w:ascii="Calibri" w:hAnsi="Calibri"/>
                <w:b w:val="0"/>
                <w:i w:val="0"/>
                <w:color w:val="101828"/>
                <w:sz w:val="14"/>
              </w:rPr>
              <w:t xml:space="preserve"> (name, badge, position), </w:t>
            </w:r>
            <w:r>
              <w:rPr>
                <w:rFonts w:ascii="Consolas" w:hAnsi="Consolas"/>
                <w:color w:val="146EF5"/>
                <w:sz w:val="14"/>
              </w:rPr>
              <w:t>Callout</w:t>
            </w:r>
            <w:r>
              <w:rPr>
                <w:rFonts w:ascii="Calibri" w:hAnsi="Calibri"/>
                <w:b w:val="0"/>
                <w:i w:val="0"/>
                <w:color w:val="101828"/>
                <w:sz w:val="14"/>
              </w:rPr>
              <w:t xml:space="preserve"> (state banner), </w:t>
            </w:r>
            <w:r>
              <w:rPr>
                <w:rFonts w:ascii="Consolas" w:hAnsi="Consolas"/>
                <w:color w:val="146EF5"/>
                <w:sz w:val="14"/>
              </w:rPr>
              <w:t>MoneyBlock</w:t>
            </w:r>
            <w:r>
              <w:rPr>
                <w:rFonts w:ascii="Calibri" w:hAnsi="Calibri"/>
                <w:b w:val="0"/>
                <w:i w:val="0"/>
                <w:color w:val="101828"/>
                <w:sz w:val="14"/>
              </w:rPr>
              <w:t xml:space="preserve"> (3 lines), </w:t>
            </w:r>
            <w:r>
              <w:rPr>
                <w:rFonts w:ascii="Consolas" w:hAnsi="Consolas"/>
                <w:color w:val="146EF5"/>
                <w:sz w:val="14"/>
              </w:rPr>
              <w:t>Card</w:t>
            </w:r>
            <w:r>
              <w:rPr>
                <w:rFonts w:ascii="Calibri" w:hAnsi="Calibri"/>
                <w:b w:val="0"/>
                <w:i w:val="0"/>
                <w:color w:val="101828"/>
                <w:sz w:val="14"/>
              </w:rPr>
              <w:t xml:space="preserve"> (next event), </w:t>
            </w:r>
            <w:r>
              <w:rPr>
                <w:rFonts w:ascii="Consolas" w:hAnsi="Consolas"/>
                <w:color w:val="146EF5"/>
                <w:sz w:val="14"/>
              </w:rPr>
              <w:t>Button</w:t>
            </w:r>
            <w:r>
              <w:rPr>
                <w:rFonts w:ascii="Calibri" w:hAnsi="Calibri"/>
                <w:b w:val="0"/>
                <w:i w:val="0"/>
                <w:color w:val="101828"/>
                <w:sz w:val="14"/>
              </w:rPr>
              <w:t xml:space="preserve"> (primary, conditional), </w:t>
            </w:r>
            <w:r>
              <w:rPr>
                <w:rFonts w:ascii="Consolas" w:hAnsi="Consolas"/>
                <w:color w:val="146EF5"/>
                <w:sz w:val="14"/>
              </w:rPr>
              <w:t>Button</w:t>
            </w:r>
            <w:r>
              <w:rPr>
                <w:rFonts w:ascii="Calibri" w:hAnsi="Calibri"/>
                <w:b w:val="0"/>
                <w:i w:val="0"/>
                <w:color w:val="101828"/>
                <w:sz w:val="14"/>
              </w:rPr>
              <w:t xml:space="preserve"> (secondary, 2 to 3), </w:t>
            </w:r>
            <w:r>
              <w:rPr>
                <w:rFonts w:ascii="Consolas" w:hAnsi="Consolas"/>
                <w:color w:val="146EF5"/>
                <w:sz w:val="14"/>
              </w:rPr>
              <w:t>ListItem</w:t>
            </w:r>
            <w:r>
              <w:rPr>
                <w:rFonts w:ascii="Calibri" w:hAnsi="Calibri"/>
                <w:b w:val="0"/>
                <w:i w:val="0"/>
                <w:color w:val="101828"/>
                <w:sz w:val="14"/>
              </w:rPr>
              <w:t xml:space="preserve"> (roster preview), </w:t>
            </w:r>
            <w:r>
              <w:rPr>
                <w:rFonts w:ascii="Consolas" w:hAnsi="Consolas"/>
                <w:color w:val="146EF5"/>
                <w:sz w:val="14"/>
              </w:rPr>
              <w:t>ListItem</w:t>
            </w:r>
            <w:r>
              <w:rPr>
                <w:rFonts w:ascii="Calibri" w:hAnsi="Calibri"/>
                <w:b w:val="0"/>
                <w:i w:val="0"/>
                <w:color w:val="101828"/>
                <w:sz w:val="14"/>
              </w:rPr>
              <w:t xml:space="preserve"> (activity), </w:t>
            </w:r>
            <w:r>
              <w:rPr>
                <w:rFonts w:ascii="Consolas" w:hAnsi="Consolas"/>
                <w:color w:val="146EF5"/>
                <w:sz w:val="14"/>
              </w:rPr>
              <w:t>CountdownPill</w:t>
            </w:r>
            <w:r>
              <w:rPr>
                <w:rFonts w:ascii="Calibri" w:hAnsi="Calibri"/>
                <w:b w:val="0"/>
                <w:i w:val="0"/>
                <w:color w:val="101828"/>
                <w:sz w:val="14"/>
              </w:rPr>
              <w:t xml:space="preserve">, </w:t>
            </w:r>
            <w:r>
              <w:rPr>
                <w:rFonts w:ascii="Consolas" w:hAnsi="Consolas"/>
                <w:color w:val="146EF5"/>
                <w:sz w:val="14"/>
              </w:rPr>
              <w:t>Badge</w:t>
            </w:r>
            <w:r>
              <w:rPr>
                <w:rFonts w:ascii="Calibri" w:hAnsi="Calibri"/>
                <w:b w:val="0"/>
                <w:i w:val="0"/>
                <w:color w:val="101828"/>
                <w:sz w:val="14"/>
              </w:rPr>
              <w:t xml:space="preserve">, </w:t>
            </w:r>
            <w:r>
              <w:rPr>
                <w:rFonts w:ascii="Consolas" w:hAnsi="Consolas"/>
                <w:color w:val="146EF5"/>
                <w:sz w:val="14"/>
              </w:rPr>
              <w:t>BottomNav</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Reached from the Ajo list, the dashboard's Ajo region, the invite card, any Ajo-scoped notification, and the wizard's exit. Deep-linkable. Returns to the Ajo list, not to the dashboard, so back does not lose the member's place in a list they were working through.</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color w:val="101828"/>
                <w:sz w:val="14"/>
              </w:rPr>
              <w:t>Exactly one, and it is decided by state and role, never by recency.</w:t>
            </w:r>
            <w:r>
              <w:rPr>
                <w:rFonts w:ascii="Calibri" w:hAnsi="Calibri"/>
                <w:b w:val="0"/>
                <w:i w:val="0"/>
                <w:color w:val="101828"/>
                <w:sz w:val="14"/>
              </w:rPr>
              <w:t xml:space="preserve"> DRAFT with the organiser: </w:t>
            </w:r>
            <w:r>
              <w:rPr>
                <w:rFonts w:ascii="Calibri" w:hAnsi="Calibri"/>
                <w:i/>
                <w:color w:val="101828"/>
                <w:sz w:val="14"/>
              </w:rPr>
              <w:t>Activate the Ajo</w:t>
            </w:r>
            <w:r>
              <w:rPr>
                <w:rFonts w:ascii="Calibri" w:hAnsi="Calibri"/>
                <w:b w:val="0"/>
                <w:i w:val="0"/>
                <w:color w:val="101828"/>
                <w:sz w:val="14"/>
              </w:rPr>
              <w:t xml:space="preserve"> when the preconditions hold, otherwise </w:t>
            </w:r>
            <w:r>
              <w:rPr>
                <w:rFonts w:ascii="Calibri" w:hAnsi="Calibri"/>
                <w:i/>
                <w:color w:val="101828"/>
                <w:sz w:val="14"/>
              </w:rPr>
              <w:t>Continue setting up</w:t>
            </w:r>
            <w:r>
              <w:rPr>
                <w:rFonts w:ascii="Calibri" w:hAnsi="Calibri"/>
                <w:b w:val="0"/>
                <w:i w:val="0"/>
                <w:color w:val="101828"/>
                <w:sz w:val="14"/>
              </w:rPr>
              <w:t xml:space="preserve">, which returns to 05.4. ENROLLING with the organiser: </w:t>
            </w:r>
            <w:r>
              <w:rPr>
                <w:rFonts w:ascii="Calibri" w:hAnsi="Calibri"/>
                <w:i/>
                <w:color w:val="101828"/>
                <w:sz w:val="14"/>
              </w:rPr>
              <w:t>Invite more members</w:t>
            </w:r>
            <w:r>
              <w:rPr>
                <w:rFonts w:ascii="Calibri" w:hAnsi="Calibri"/>
                <w:b w:val="0"/>
                <w:i w:val="0"/>
                <w:color w:val="101828"/>
                <w:sz w:val="14"/>
              </w:rPr>
              <w:t xml:space="preserve">. ENROLLING with a member: nothing; this screen has no member action in this state. ACTIVE with a contribution due: </w:t>
            </w:r>
            <w:r>
              <w:rPr>
                <w:rFonts w:ascii="Calibri" w:hAnsi="Calibri"/>
                <w:i/>
                <w:color w:val="101828"/>
                <w:sz w:val="14"/>
              </w:rPr>
              <w:t>Pay NGN 1,020.00</w:t>
            </w:r>
            <w:r>
              <w:rPr>
                <w:rFonts w:ascii="Calibri" w:hAnsi="Calibri"/>
                <w:b w:val="0"/>
                <w:i w:val="0"/>
                <w:color w:val="101828"/>
                <w:sz w:val="14"/>
              </w:rPr>
              <w:t xml:space="preserve">. ACTIVE with nothing due: </w:t>
            </w:r>
            <w:r>
              <w:rPr>
                <w:rFonts w:ascii="Calibri" w:hAnsi="Calibri"/>
                <w:i/>
                <w:color w:val="101828"/>
                <w:sz w:val="14"/>
              </w:rPr>
              <w:t>View the schedule</w:t>
            </w:r>
            <w:r>
              <w:rPr>
                <w:rFonts w:ascii="Calibri" w:hAnsi="Calibri"/>
                <w:b w:val="0"/>
                <w:i w:val="0"/>
                <w:color w:val="101828"/>
                <w:sz w:val="14"/>
              </w:rPr>
              <w:t>. CANCELLED: none, ever.</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By state: </w:t>
            </w:r>
            <w:r>
              <w:rPr>
                <w:rFonts w:ascii="Calibri" w:hAnsi="Calibri"/>
                <w:i/>
                <w:color w:val="101828"/>
                <w:sz w:val="14"/>
              </w:rPr>
              <w:t>Share the invite</w:t>
            </w:r>
            <w:r>
              <w:rPr>
                <w:rFonts w:ascii="Calibri" w:hAnsi="Calibri"/>
                <w:b w:val="0"/>
                <w:i w:val="0"/>
                <w:color w:val="101828"/>
                <w:sz w:val="14"/>
              </w:rPr>
              <w:t xml:space="preserve"> (ENROLLING, organiser), </w:t>
            </w:r>
            <w:r>
              <w:rPr>
                <w:rFonts w:ascii="Calibri" w:hAnsi="Calibri"/>
                <w:i/>
                <w:color w:val="101828"/>
                <w:sz w:val="14"/>
              </w:rPr>
              <w:t>Copy the Ajo code</w:t>
            </w:r>
            <w:r>
              <w:rPr>
                <w:rFonts w:ascii="Calibri" w:hAnsi="Calibri"/>
                <w:b w:val="0"/>
                <w:i w:val="0"/>
                <w:color w:val="101828"/>
                <w:sz w:val="14"/>
              </w:rPr>
              <w:t xml:space="preserve"> (ENROLLING, all), </w:t>
            </w:r>
            <w:r>
              <w:rPr>
                <w:rFonts w:ascii="Calibri" w:hAnsi="Calibri"/>
                <w:i/>
                <w:color w:val="101828"/>
                <w:sz w:val="14"/>
              </w:rPr>
              <w:t>Request to leave</w:t>
            </w:r>
            <w:r>
              <w:rPr>
                <w:rFonts w:ascii="Calibri" w:hAnsi="Calibri"/>
                <w:b w:val="0"/>
                <w:i w:val="0"/>
                <w:color w:val="101828"/>
                <w:sz w:val="14"/>
              </w:rPr>
              <w:t xml:space="preserve"> (ACTIVE, member, tertiary), </w:t>
            </w:r>
            <w:r>
              <w:rPr>
                <w:rFonts w:ascii="Calibri" w:hAnsi="Calibri"/>
                <w:i/>
                <w:color w:val="101828"/>
                <w:sz w:val="14"/>
              </w:rPr>
              <w:t>Invite a member</w:t>
            </w:r>
            <w:r>
              <w:rPr>
                <w:rFonts w:ascii="Calibri" w:hAnsi="Calibri"/>
                <w:b w:val="0"/>
                <w:i w:val="0"/>
                <w:color w:val="101828"/>
                <w:sz w:val="14"/>
              </w:rPr>
              <w:t xml:space="preserve"> (ACTIVE, organiser, tertiary), </w:t>
            </w:r>
            <w:r>
              <w:rPr>
                <w:rFonts w:ascii="Calibri" w:hAnsi="Calibri"/>
                <w:i/>
                <w:color w:val="101828"/>
                <w:sz w:val="14"/>
              </w:rPr>
              <w:t>Read the fees</w:t>
            </w:r>
            <w:r>
              <w:rPr>
                <w:rFonts w:ascii="Calibri" w:hAnsi="Calibri"/>
                <w:b w:val="0"/>
                <w:i w:val="0"/>
                <w:color w:val="101828"/>
                <w:sz w:val="14"/>
              </w:rPr>
              <w:t xml:space="preserve"> (all, tertiary), </w:t>
            </w:r>
            <w:r>
              <w:rPr>
                <w:rFonts w:ascii="Calibri" w:hAnsi="Calibri"/>
                <w:i/>
                <w:color w:val="101828"/>
                <w:sz w:val="14"/>
              </w:rPr>
              <w:t>View all members</w:t>
            </w:r>
            <w:r>
              <w:rPr>
                <w:rFonts w:ascii="Calibri" w:hAnsi="Calibri"/>
                <w:b w:val="0"/>
                <w:i w:val="0"/>
                <w:color w:val="101828"/>
                <w:sz w:val="14"/>
              </w:rPr>
              <w:t xml:space="preserve"> (all, secondary, to SCR-MOB-06), </w:t>
            </w:r>
            <w:r>
              <w:rPr>
                <w:rFonts w:ascii="Calibri" w:hAnsi="Calibri"/>
                <w:i/>
                <w:color w:val="101828"/>
                <w:sz w:val="14"/>
              </w:rPr>
              <w:t>View the schedule</w:t>
            </w:r>
            <w:r>
              <w:rPr>
                <w:rFonts w:ascii="Calibri" w:hAnsi="Calibri"/>
                <w:b w:val="0"/>
                <w:i w:val="0"/>
                <w:color w:val="101828"/>
                <w:sz w:val="14"/>
              </w:rPr>
              <w:t xml:space="preserve"> (ACTIVE, secondary, to SCR-MOB-07). </w:t>
            </w:r>
            <w:r>
              <w:rPr>
                <w:rFonts w:ascii="Calibri" w:hAnsi="Calibri"/>
                <w:b/>
                <w:color w:val="101828"/>
                <w:sz w:val="14"/>
              </w:rPr>
              <w:t>Tertiary actions never carry a filled style, and a destructive or consequential action is never tertiary unless it is a link to more information.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Header: name, status badge, the member's position by name and number, the countdown if ENROLLING. State banner: one sentence on what the state means, written per state, with what can and cannot be done now. Economics: </w:t>
            </w:r>
            <w:r>
              <w:rPr>
                <w:rFonts w:ascii="Calibri" w:hAnsi="Calibri"/>
                <w:i/>
                <w:color w:val="101828"/>
                <w:sz w:val="14"/>
              </w:rPr>
              <w:t>Contribution NGN 1,000.00</w:t>
            </w:r>
            <w:r>
              <w:rPr>
                <w:rFonts w:ascii="Calibri" w:hAnsi="Calibri"/>
                <w:b w:val="0"/>
                <w:i w:val="0"/>
                <w:color w:val="101828"/>
                <w:sz w:val="14"/>
              </w:rPr>
              <w:t xml:space="preserve">, </w:t>
            </w:r>
            <w:r>
              <w:rPr>
                <w:rFonts w:ascii="Calibri" w:hAnsi="Calibri"/>
                <w:i/>
                <w:color w:val="101828"/>
                <w:sz w:val="14"/>
              </w:rPr>
              <w:t>Fee at 2% NGN 20.00</w:t>
            </w:r>
            <w:r>
              <w:rPr>
                <w:rFonts w:ascii="Calibri" w:hAnsi="Calibri"/>
                <w:b w:val="0"/>
                <w:i w:val="0"/>
                <w:color w:val="101828"/>
                <w:sz w:val="14"/>
              </w:rPr>
              <w:t xml:space="preserve">, </w:t>
            </w:r>
            <w:r>
              <w:rPr>
                <w:rFonts w:ascii="Calibri" w:hAnsi="Calibri"/>
                <w:i/>
                <w:color w:val="101828"/>
                <w:sz w:val="14"/>
              </w:rPr>
              <w:t>Total charged NGN 1,020.00</w:t>
            </w:r>
            <w:r>
              <w:rPr>
                <w:rFonts w:ascii="Calibri" w:hAnsi="Calibri"/>
                <w:b w:val="0"/>
                <w:i w:val="0"/>
                <w:color w:val="101828"/>
                <w:sz w:val="14"/>
              </w:rPr>
              <w:t xml:space="preserve">, then </w:t>
            </w:r>
            <w:r>
              <w:rPr>
                <w:rFonts w:ascii="Calibri" w:hAnsi="Calibri"/>
                <w:i/>
                <w:color w:val="101828"/>
                <w:sz w:val="14"/>
              </w:rPr>
              <w:t>This round pays out NGN 10,000.00</w:t>
            </w:r>
            <w:r>
              <w:rPr>
                <w:rFonts w:ascii="Calibri" w:hAnsi="Calibri"/>
                <w:b w:val="0"/>
                <w:i w:val="0"/>
                <w:color w:val="101828"/>
                <w:sz w:val="14"/>
              </w:rPr>
              <w:t xml:space="preserve">, then the progress line. Next event: the date, the event, and who it concerns. Actions. Roster preview: five names and </w:t>
            </w:r>
            <w:r>
              <w:rPr>
                <w:rFonts w:ascii="Calibri" w:hAnsi="Calibri"/>
                <w:i/>
                <w:color w:val="101828"/>
                <w:sz w:val="14"/>
              </w:rPr>
              <w:t>and 5 more</w:t>
            </w:r>
            <w:r>
              <w:rPr>
                <w:rFonts w:ascii="Calibri" w:hAnsi="Calibri"/>
                <w:b w:val="0"/>
                <w:i w:val="0"/>
                <w:color w:val="101828"/>
                <w:sz w:val="14"/>
              </w:rPr>
              <w:t>, with no surname on the preview for a member — the full roster is on SCR-MOB-06. Activity: five entries with dates and amounts.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 on this screen. The one exception is the activation confirmation, which is a dialog, not a form: it has no fields, only a statement and two controls.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Not applicable. </w:t>
            </w:r>
            <w:r>
              <w:rPr>
                <w:rFonts w:ascii="Calibri" w:hAnsi="Calibri"/>
                <w:b/>
                <w:color w:val="101828"/>
                <w:sz w:val="14"/>
              </w:rPr>
              <w:t>Every precondition for activation is resolved and stated before the control is enabled, and the control is never enabled on the basis of a client-side guess.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Region skeletons in final position, with the money block reserving its five lines. The actions region renders only after state and role resolve, so a control is never shown and then retracted.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DRAFT with no members shows an empty roster preview with the invitation count and a link to the invite step. An ACTIVE Ajo has activity by definition, and an empty activity list is treated as a loading state rather than shown as empty, because an active Ajo with no activity is a bug, not a state.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Contained per region per 4.24.8. </w:t>
            </w:r>
            <w:r>
              <w:rPr>
                <w:rFonts w:ascii="Calibri" w:hAnsi="Calibri"/>
                <w:b/>
                <w:color w:val="101828"/>
                <w:sz w:val="14"/>
              </w:rPr>
              <w:t>If the caller is not a participant, this route returns the tier-2 not-found screen, identical to a genuinely absent Ajo — no distinction in status code, wording, timing or layout, so the route cannot be used to discover that an Ajo exists.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Payment returns here with a confirmation naming the amount and the receipt. Activation returns here with the state now ACTIVE, the banner rewritten, and a single confirmation naming the order lock and the first due date — the two things that just became true.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column at every width. At </w:t>
            </w:r>
            <w:r>
              <w:rPr>
                <w:rFonts w:ascii="Consolas" w:hAnsi="Consolas"/>
                <w:color w:val="146EF5"/>
                <w:sz w:val="14"/>
              </w:rPr>
              <w:t>md</w:t>
            </w:r>
            <w:r>
              <w:rPr>
                <w:rFonts w:ascii="Calibri" w:hAnsi="Calibri"/>
                <w:b w:val="0"/>
                <w:i w:val="0"/>
                <w:color w:val="101828"/>
                <w:sz w:val="14"/>
              </w:rPr>
              <w:t xml:space="preserve"> and above the economics block and the next-event card sit side by side; below </w:t>
            </w:r>
            <w:r>
              <w:rPr>
                <w:rFonts w:ascii="Consolas" w:hAnsi="Consolas"/>
                <w:color w:val="146EF5"/>
                <w:sz w:val="14"/>
              </w:rPr>
              <w:t>md</w:t>
            </w:r>
            <w:r>
              <w:rPr>
                <w:rFonts w:ascii="Calibri" w:hAnsi="Calibri"/>
                <w:b w:val="0"/>
                <w:i w:val="0"/>
                <w:color w:val="101828"/>
                <w:sz w:val="14"/>
              </w:rPr>
              <w:t xml:space="preserve"> the economics block comes first and is never abbreviated. The roster preview is always five entries, never a carousel.</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w:t>
            </w:r>
            <w:r>
              <w:rPr>
                <w:rFonts w:ascii="Consolas" w:hAnsi="Consolas"/>
                <w:color w:val="146EF5"/>
                <w:sz w:val="14"/>
              </w:rPr>
              <w:t>h1</w:t>
            </w:r>
            <w:r>
              <w:rPr>
                <w:rFonts w:ascii="Calibri" w:hAnsi="Calibri"/>
                <w:b w:val="0"/>
                <w:i w:val="0"/>
                <w:color w:val="101828"/>
                <w:sz w:val="14"/>
              </w:rPr>
              <w:t xml:space="preserve"> is the Ajo name and the status badge's text is part of it, so a screen reader user learns the state on arrival. The money block is a labelled region named </w:t>
            </w:r>
            <w:r>
              <w:rPr>
                <w:rFonts w:ascii="Calibri" w:hAnsi="Calibri"/>
                <w:i/>
                <w:color w:val="101828"/>
                <w:sz w:val="14"/>
              </w:rPr>
              <w:t>This Ajo's figures</w:t>
            </w:r>
            <w:r>
              <w:rPr>
                <w:rFonts w:ascii="Calibri" w:hAnsi="Calibri"/>
                <w:b w:val="0"/>
                <w:i w:val="0"/>
                <w:color w:val="101828"/>
                <w:sz w:val="14"/>
              </w:rPr>
              <w:t xml:space="preserve"> and is the first focusable region after the header. The actions region is a labelled region so it can be reached directly. The activation control is a real button whose accessible name is </w:t>
            </w:r>
            <w:r>
              <w:rPr>
                <w:rFonts w:ascii="Calibri" w:hAnsi="Calibri"/>
                <w:i/>
                <w:color w:val="101828"/>
                <w:sz w:val="14"/>
              </w:rPr>
              <w:t>Activate the Ajo</w:t>
            </w:r>
            <w:r>
              <w:rPr>
                <w:rFonts w:ascii="Calibri" w:hAnsi="Calibri"/>
                <w:b w:val="0"/>
                <w:i w:val="0"/>
                <w:color w:val="101828"/>
                <w:sz w:val="14"/>
              </w:rPr>
              <w:t xml:space="preserve"> and whose description is the dialog's full statement, so the consequence is available before the press. Skip link to the actions region exists on this screen specifically, because it is the region people come here for.</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The activation dialog is specified in full  </w:t>
      </w:r>
      <w:r>
        <w:rPr>
          <w:rFonts w:ascii="Calibri" w:hAnsi="Calibri"/>
          <w:b w:val="0"/>
          <w:i w:val="0"/>
          <w:color w:val="0B1F3A"/>
          <w:sz w:val="19"/>
        </w:rPr>
        <w:t xml:space="preserve">Activating a DRAFT requires every one of these: the roster has at least two filled slots and no duplicate names; the amount, frequency and member count are set; the first three collection dates are computable; the organiser has read the state banner on this screen. Where a precondition fails, the control is not merely disabled: the failing precondition is stated as text immediately above it, with a link to the step that fixes it. Where all hold, the control is enabled and opens a dialog with the </w:t>
      </w:r>
      <w:r>
        <w:rPr>
          <w:rFonts w:ascii="Consolas" w:hAnsi="Consolas"/>
          <w:color w:val="146EF5"/>
          <w:sz w:val="19"/>
        </w:rPr>
        <w:t>h2</w:t>
      </w:r>
      <w:r>
        <w:rPr>
          <w:rFonts w:ascii="Calibri" w:hAnsi="Calibri"/>
          <w:b w:val="0"/>
          <w:i w:val="0"/>
          <w:color w:val="0B1F3A"/>
          <w:sz w:val="19"/>
        </w:rPr>
        <w:t xml:space="preserve"> </w:t>
      </w:r>
      <w:r>
        <w:rPr>
          <w:rFonts w:ascii="Calibri" w:hAnsi="Calibri"/>
          <w:i/>
          <w:color w:val="0B1F3A"/>
          <w:sz w:val="19"/>
        </w:rPr>
        <w:t>Activate this Ajo?</w:t>
      </w:r>
      <w:r>
        <w:rPr>
          <w:rFonts w:ascii="Calibri" w:hAnsi="Calibri"/>
          <w:b w:val="0"/>
          <w:i w:val="0"/>
          <w:color w:val="0B1F3A"/>
          <w:sz w:val="19"/>
        </w:rPr>
        <w:t xml:space="preserve"> and this body: </w:t>
      </w:r>
      <w:r>
        <w:rPr>
          <w:rFonts w:ascii="Calibri" w:hAnsi="Calibri"/>
          <w:i/>
          <w:color w:val="0B1F3A"/>
          <w:sz w:val="19"/>
        </w:rPr>
        <w:t>Activating locks the order of members. Members will be assigned contribution dates from the collection day you chose. Nobody can pay or be paid until then. From activation, every member owes NGN 1,020.00 each round, and leaving requires a replacement.</w:t>
      </w:r>
      <w:r>
        <w:rPr>
          <w:rFonts w:ascii="Calibri" w:hAnsi="Calibri"/>
          <w:b w:val="0"/>
          <w:i w:val="0"/>
          <w:color w:val="0B1F3A"/>
          <w:sz w:val="19"/>
        </w:rPr>
        <w:t xml:space="preserve"> Two controls: </w:t>
      </w:r>
      <w:r>
        <w:rPr>
          <w:rFonts w:ascii="Calibri" w:hAnsi="Calibri"/>
          <w:i/>
          <w:color w:val="0B1F3A"/>
          <w:sz w:val="19"/>
        </w:rPr>
        <w:t>Activate</w:t>
      </w:r>
      <w:r>
        <w:rPr>
          <w:rFonts w:ascii="Calibri" w:hAnsi="Calibri"/>
          <w:b w:val="0"/>
          <w:i w:val="0"/>
          <w:color w:val="0B1F3A"/>
          <w:sz w:val="19"/>
        </w:rPr>
        <w:t xml:space="preserve"> (filled) and </w:t>
      </w:r>
      <w:r>
        <w:rPr>
          <w:rFonts w:ascii="Calibri" w:hAnsi="Calibri"/>
          <w:i/>
          <w:color w:val="0B1F3A"/>
          <w:sz w:val="19"/>
        </w:rPr>
        <w:t>Not yet</w:t>
      </w:r>
      <w:r>
        <w:rPr>
          <w:rFonts w:ascii="Calibri" w:hAnsi="Calibri"/>
          <w:b w:val="0"/>
          <w:i w:val="0"/>
          <w:color w:val="0B1F3A"/>
          <w:sz w:val="19"/>
        </w:rPr>
        <w:t xml:space="preserve"> (secondary). </w:t>
      </w:r>
      <w:r>
        <w:rPr>
          <w:rFonts w:ascii="Calibri" w:hAnsi="Calibri"/>
          <w:b/>
          <w:color w:val="0B1F3A"/>
          <w:sz w:val="19"/>
        </w:rPr>
        <w:t>The dialog is not dismissible by tapping the scrim</w:t>
      </w:r>
      <w:r>
        <w:rPr>
          <w:rFonts w:ascii="Calibri" w:hAnsi="Calibri"/>
          <w:b w:val="0"/>
          <w:i w:val="0"/>
          <w:color w:val="0B1F3A"/>
          <w:sz w:val="19"/>
        </w:rPr>
        <w:t>, because a destructive commitment that can be lost to a stray tap is a commitment that will be lost.</w:t>
      </w:r>
    </w:p>
    <w:p>
      <w:r>
        <w:br w:type="page"/>
      </w:r>
    </w:p>
    <w:p>
      <w:pPr>
        <w:pStyle w:val="Heading2"/>
      </w:pPr>
      <w:r>
        <w:rPr>
          <w:rFonts w:ascii="Calibri" w:hAnsi="Calibri"/>
          <w:b/>
          <w:i w:val="0"/>
          <w:color w:val="146EF5"/>
          <w:sz w:val="29"/>
        </w:rPr>
        <w:t>4.10 Members — SCR-MOB-06</w:t>
      </w:r>
    </w:p>
    <w:p>
      <w:pPr>
        <w:pStyle w:val="Heading3"/>
      </w:pPr>
      <w:r>
        <w:rPr>
          <w:rFonts w:ascii="Calibri" w:hAnsi="Calibri"/>
          <w:b/>
          <w:i w:val="0"/>
          <w:color w:val="0B1F3A"/>
          <w:sz w:val="24"/>
        </w:rPr>
        <w:t>4.10.1 Ajo members — SCR-MOB-06</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Show the whole roster, in the order that will be paid, and give the organiser the three write actions they are allowed: invite, propose a position change, and act on a replacement request.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Every participant, who comes here to see who is in the Ajo and when their turn is. The organiser, who comes here to see the same thing and to act. </w:t>
            </w:r>
            <w:r>
              <w:rPr>
                <w:rFonts w:ascii="Calibri" w:hAnsi="Calibri"/>
                <w:b/>
                <w:color w:val="101828"/>
                <w:sz w:val="14"/>
              </w:rPr>
              <w:t>A non-organiser member viewing the roster is the normal case, and this screen must not read as an admin tool.</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One column. A header with the count and a status line, then a numbered list of member rows. Each row is 64 px: position number and name on the left, a right-aligned status line, and an overflow control only where the viewer has an action available.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ListItem</w:t>
            </w:r>
            <w:r>
              <w:rPr>
                <w:rFonts w:ascii="Calibri" w:hAnsi="Calibri"/>
                <w:b w:val="0"/>
                <w:i w:val="0"/>
                <w:color w:val="101828"/>
                <w:sz w:val="14"/>
              </w:rPr>
              <w:t xml:space="preserve"> (member, numbered), </w:t>
            </w:r>
            <w:r>
              <w:rPr>
                <w:rFonts w:ascii="Consolas" w:hAnsi="Consolas"/>
                <w:color w:val="146EF5"/>
                <w:sz w:val="14"/>
              </w:rPr>
              <w:t>Badge</w:t>
            </w:r>
            <w:r>
              <w:rPr>
                <w:rFonts w:ascii="Calibri" w:hAnsi="Calibri"/>
                <w:b w:val="0"/>
                <w:i w:val="0"/>
                <w:color w:val="101828"/>
                <w:sz w:val="14"/>
              </w:rPr>
              <w:t xml:space="preserve">, </w:t>
            </w:r>
            <w:r>
              <w:rPr>
                <w:rFonts w:ascii="Consolas" w:hAnsi="Consolas"/>
                <w:color w:val="146EF5"/>
                <w:sz w:val="14"/>
              </w:rPr>
              <w:t>Sheet</w:t>
            </w:r>
            <w:r>
              <w:rPr>
                <w:rFonts w:ascii="Calibri" w:hAnsi="Calibri"/>
                <w:b w:val="0"/>
                <w:i w:val="0"/>
                <w:color w:val="101828"/>
                <w:sz w:val="14"/>
              </w:rPr>
              <w:t xml:space="preserve"> (row actions), </w:t>
            </w:r>
            <w:r>
              <w:rPr>
                <w:rFonts w:ascii="Consolas" w:hAnsi="Consolas"/>
                <w:color w:val="146EF5"/>
                <w:sz w:val="14"/>
              </w:rPr>
              <w:t>FormField</w:t>
            </w:r>
            <w:r>
              <w:rPr>
                <w:rFonts w:ascii="Calibri" w:hAnsi="Calibri"/>
                <w:b w:val="0"/>
                <w:i w:val="0"/>
                <w:color w:val="101828"/>
                <w:sz w:val="14"/>
              </w:rPr>
              <w:t xml:space="preserve"> (proposal), </w:t>
            </w:r>
            <w:r>
              <w:rPr>
                <w:rFonts w:ascii="Consolas" w:hAnsi="Consolas"/>
                <w:color w:val="146EF5"/>
                <w:sz w:val="14"/>
              </w:rPr>
              <w:t>Button</w:t>
            </w:r>
            <w:r>
              <w:rPr>
                <w:rFonts w:ascii="Calibri" w:hAnsi="Calibri"/>
                <w:b w:val="0"/>
                <w:i w:val="0"/>
                <w:color w:val="101828"/>
                <w:sz w:val="14"/>
              </w:rPr>
              <w:t xml:space="preserve"> (primary and secondary), </w:t>
            </w:r>
            <w:r>
              <w:rPr>
                <w:rFonts w:ascii="Consolas" w:hAnsi="Consolas"/>
                <w:color w:val="146EF5"/>
                <w:sz w:val="14"/>
              </w:rPr>
              <w:t>EmptyState</w:t>
            </w:r>
            <w:r>
              <w:rPr>
                <w:rFonts w:ascii="Calibri" w:hAnsi="Calibri"/>
                <w:b w:val="0"/>
                <w:i w:val="0"/>
                <w:color w:val="101828"/>
                <w:sz w:val="14"/>
              </w:rPr>
              <w:t xml:space="preserve">, </w:t>
            </w:r>
            <w:r>
              <w:rPr>
                <w:rFonts w:ascii="Consolas" w:hAnsi="Consolas"/>
                <w:color w:val="146EF5"/>
                <w:sz w:val="14"/>
              </w:rPr>
              <w:t>ListItem</w:t>
            </w:r>
            <w:r>
              <w:rPr>
                <w:rFonts w:ascii="Calibri" w:hAnsi="Calibri"/>
                <w:b w:val="0"/>
                <w:i w:val="0"/>
                <w:color w:val="101828"/>
                <w:sz w:val="14"/>
              </w:rPr>
              <w:t xml:space="preserve"> (pending requests).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Reached from SCR-MOB-03's </w:t>
            </w:r>
            <w:r>
              <w:rPr>
                <w:rFonts w:ascii="Calibri" w:hAnsi="Calibri"/>
                <w:i/>
                <w:color w:val="101828"/>
                <w:sz w:val="14"/>
              </w:rPr>
              <w:t>View all members</w:t>
            </w:r>
            <w:r>
              <w:rPr>
                <w:rFonts w:ascii="Calibri" w:hAnsi="Calibri"/>
                <w:b w:val="0"/>
                <w:i w:val="0"/>
                <w:color w:val="101828"/>
                <w:sz w:val="14"/>
              </w:rPr>
              <w:t>, from a position notification, and from a replacement-request notification. Deep-linkable.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Conditional by state and role. ENROLLING with the organiser: </w:t>
            </w:r>
            <w:r>
              <w:rPr>
                <w:rFonts w:ascii="Calibri" w:hAnsi="Calibri"/>
                <w:i/>
                <w:color w:val="101828"/>
                <w:sz w:val="14"/>
              </w:rPr>
              <w:t>Invite more members</w:t>
            </w:r>
            <w:r>
              <w:rPr>
                <w:rFonts w:ascii="Calibri" w:hAnsi="Calibri"/>
                <w:b w:val="0"/>
                <w:i w:val="0"/>
                <w:color w:val="101828"/>
                <w:sz w:val="14"/>
              </w:rPr>
              <w:t xml:space="preserve">. ENROLLING with a member: none. ACTIVE with the organiser and a pending replacement request: </w:t>
            </w:r>
            <w:r>
              <w:rPr>
                <w:rFonts w:ascii="Calibri" w:hAnsi="Calibri"/>
                <w:i/>
                <w:color w:val="101828"/>
                <w:sz w:val="14"/>
              </w:rPr>
              <w:t>Review the request</w:t>
            </w:r>
            <w:r>
              <w:rPr>
                <w:rFonts w:ascii="Calibri" w:hAnsi="Calibri"/>
                <w:b w:val="0"/>
                <w:i w:val="0"/>
                <w:color w:val="101828"/>
                <w:sz w:val="14"/>
              </w:rPr>
              <w:t xml:space="preserve">. ACTIVE with a member and a request they filed: none; the pending request is shown as a status card. </w:t>
            </w:r>
            <w:r>
              <w:rPr>
                <w:rFonts w:ascii="Calibri" w:hAnsi="Calibri"/>
                <w:b/>
                <w:color w:val="101828"/>
                <w:sz w:val="14"/>
              </w:rPr>
              <w:t>A member with an action available never has it as a filled control in the list itself; it is in the row's sheet, so that one member's action is not mistaken for the Ajo's.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Propose a position change</w:t>
            </w:r>
            <w:r>
              <w:rPr>
                <w:rFonts w:ascii="Calibri" w:hAnsi="Calibri"/>
                <w:b w:val="0"/>
                <w:i w:val="0"/>
                <w:color w:val="101828"/>
                <w:sz w:val="14"/>
              </w:rPr>
              <w:t xml:space="preserve"> (secondary outlined, organiser only, ACTIVE only), and </w:t>
            </w:r>
            <w:r>
              <w:rPr>
                <w:rFonts w:ascii="Calibri" w:hAnsi="Calibri"/>
                <w:i/>
                <w:color w:val="101828"/>
                <w:sz w:val="14"/>
              </w:rPr>
              <w:t>Copy the invite link</w:t>
            </w:r>
            <w:r>
              <w:rPr>
                <w:rFonts w:ascii="Calibri" w:hAnsi="Calibri"/>
                <w:b w:val="0"/>
                <w:i w:val="0"/>
                <w:color w:val="101828"/>
                <w:sz w:val="14"/>
              </w:rPr>
              <w:t xml:space="preserve"> (secondary outlined, ENROLLING, organiser). Tertiary: </w:t>
            </w:r>
            <w:r>
              <w:rPr>
                <w:rFonts w:ascii="Calibri" w:hAnsi="Calibri"/>
                <w:i/>
                <w:color w:val="101828"/>
                <w:sz w:val="14"/>
              </w:rPr>
              <w:t>Read the fees</w:t>
            </w:r>
            <w:r>
              <w:rPr>
                <w:rFonts w:ascii="Calibri" w:hAnsi="Calibri"/>
                <w:b w:val="0"/>
                <w:i w:val="0"/>
                <w:color w:val="101828"/>
                <w:sz w:val="14"/>
              </w:rPr>
              <w: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numbered roster, in position order, each row carrying the position, the name, the membership status, and the member's own due date where one applies. Pending replacement requests appear as a separate list above the roster, visible to the organiser and to the affected member, and to nobody else. </w:t>
            </w:r>
            <w:r>
              <w:rPr>
                <w:rFonts w:ascii="Calibri" w:hAnsi="Calibri"/>
                <w:b/>
                <w:color w:val="101828"/>
                <w:sz w:val="14"/>
              </w:rPr>
              <w:t>The roster shows a first name and an initial only. Full names, phone numbers, bank details and identity documents are never on this screen, because a roster is the screen most likely to be read over someone's shoulder.</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 on the list. The propose-position sheet contains a target position selector and a reason, both optional, and the position-change request sheet contains a name, both conditional and both documented in 4.24.7.</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Position changes cannot target an occupied slot without naming the member being displaced, and the request states that the displaced member is told. A request cannot be made by a member onto themselves.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Ten row skeletons at final height. </w:t>
            </w:r>
            <w:r>
              <w:rPr>
                <w:rFonts w:ascii="Calibri" w:hAnsi="Calibri"/>
                <w:b/>
                <w:color w:val="101828"/>
                <w:sz w:val="14"/>
              </w:rPr>
              <w:t>The count in the header appears with the rows, never first at zero</w:t>
            </w:r>
            <w:r>
              <w:rPr>
                <w:rFonts w:ascii="Calibri" w:hAnsi="Calibri"/>
                <w:b w:val="0"/>
                <w:i w:val="0"/>
                <w:color w:val="101828"/>
                <w:sz w:val="14"/>
              </w:rPr>
              <w:t xml:space="preserve">, because a header that says </w:t>
            </w:r>
            <w:r>
              <w:rPr>
                <w:rFonts w:ascii="Calibri" w:hAnsi="Calibri"/>
                <w:i/>
                <w:color w:val="101828"/>
                <w:sz w:val="14"/>
              </w:rPr>
              <w:t>0 members</w:t>
            </w:r>
            <w:r>
              <w:rPr>
                <w:rFonts w:ascii="Calibri" w:hAnsi="Calibri"/>
                <w:b w:val="0"/>
                <w:i w:val="0"/>
                <w:color w:val="101828"/>
                <w:sz w:val="14"/>
              </w:rPr>
              <w:t xml:space="preserve"> above ten skeletons is a lie for a second.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DRAFT or ENROLLING Ajo with no filled slots: </w:t>
            </w:r>
            <w:r>
              <w:rPr>
                <w:rFonts w:ascii="Calibri" w:hAnsi="Calibri"/>
                <w:i/>
                <w:color w:val="101828"/>
                <w:sz w:val="14"/>
              </w:rPr>
              <w:t>No members yet</w:t>
            </w:r>
            <w:r>
              <w:rPr>
                <w:rFonts w:ascii="Calibri" w:hAnsi="Calibri"/>
                <w:b w:val="0"/>
                <w:i w:val="0"/>
                <w:color w:val="101828"/>
                <w:sz w:val="14"/>
              </w:rPr>
              <w:t>, the empty-state line, and the organiser's invite control. A DRAFT with no members is a legitimate state, and this screen does not treat it as an error.</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Contained to the list region. A failed action in a row sheet reports inside the sheet and leaves the roster untouched, because a roster that reflows after a failed write looks like the write half-succeeded.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proposed change shows a status card reading </w:t>
            </w:r>
            <w:r>
              <w:rPr>
                <w:rFonts w:ascii="Calibri" w:hAnsi="Calibri"/>
                <w:i/>
                <w:color w:val="101828"/>
                <w:sz w:val="14"/>
              </w:rPr>
              <w:t>Position change proposed. It takes effect only if every affected member accepts</w:t>
            </w:r>
            <w:r>
              <w:rPr>
                <w:rFonts w:ascii="Calibri" w:hAnsi="Calibri"/>
                <w:b w:val="0"/>
                <w:i w:val="0"/>
                <w:color w:val="101828"/>
                <w:sz w:val="14"/>
              </w:rPr>
              <w:t>, which is the truth and is also the answer to the question every proposer asks immediately afterwards.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row per member at every width, full width capped at 480 px. The overflow control is a 48 px target at the trailing edge. At </w:t>
            </w:r>
            <w:r>
              <w:rPr>
                <w:rFonts w:ascii="Consolas" w:hAnsi="Consolas"/>
                <w:color w:val="146EF5"/>
                <w:sz w:val="14"/>
              </w:rPr>
              <w:t>sm</w:t>
            </w:r>
            <w:r>
              <w:rPr>
                <w:rFonts w:ascii="Calibri" w:hAnsi="Calibri"/>
                <w:b w:val="0"/>
                <w:i w:val="0"/>
                <w:color w:val="101828"/>
                <w:sz w:val="14"/>
              </w:rPr>
              <w:t xml:space="preserve"> and above the status line moves to a second line under the name rather than competing with it for width.</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roster is an ordered list; the position is read as </w:t>
            </w:r>
            <w:r>
              <w:rPr>
                <w:rFonts w:ascii="Calibri" w:hAnsi="Calibri"/>
                <w:i/>
                <w:color w:val="101828"/>
                <w:sz w:val="14"/>
              </w:rPr>
              <w:t>position 4 of 10</w:t>
            </w:r>
            <w:r>
              <w:rPr>
                <w:rFonts w:ascii="Calibri" w:hAnsi="Calibri"/>
                <w:b w:val="0"/>
                <w:i w:val="0"/>
                <w:color w:val="101828"/>
                <w:sz w:val="14"/>
              </w:rPr>
              <w:t xml:space="preserve">. Each row's accessible name contains the name, the status and, for the affected member only, their own due date. The overflow control is a real button with a name naming the member, </w:t>
            </w:r>
            <w:r>
              <w:rPr>
                <w:rFonts w:ascii="Calibri" w:hAnsi="Calibri"/>
                <w:i/>
                <w:color w:val="101828"/>
                <w:sz w:val="14"/>
              </w:rPr>
              <w:t>Actions for Ola</w:t>
            </w:r>
            <w:r>
              <w:rPr>
                <w:rFonts w:ascii="Calibri" w:hAnsi="Calibri"/>
                <w:b w:val="0"/>
                <w:i w:val="0"/>
                <w:color w:val="101828"/>
                <w:sz w:val="14"/>
              </w:rPr>
              <w:t>, never a bare ellipsis. Status is text, not a badge colour.</w:t>
            </w:r>
          </w:p>
        </w:tc>
      </w:tr>
    </w:tbl>
    <w:p>
      <w:pPr>
        <w:spacing w:after="80"/>
      </w:pPr>
    </w:p>
    <w:p>
      <w:r>
        <w:br w:type="page"/>
      </w:r>
    </w:p>
    <w:p>
      <w:pPr>
        <w:pStyle w:val="Heading2"/>
      </w:pPr>
      <w:r>
        <w:rPr>
          <w:rFonts w:ascii="Calibri" w:hAnsi="Calibri"/>
          <w:b/>
          <w:i w:val="0"/>
          <w:color w:val="146EF5"/>
          <w:sz w:val="29"/>
        </w:rPr>
        <w:t>4.11 Schedule — SCR-MOB-07</w:t>
      </w:r>
    </w:p>
    <w:p>
      <w:r>
        <w:rPr>
          <w:rFonts w:ascii="Calibri" w:hAnsi="Calibri"/>
          <w:b w:val="0"/>
          <w:i w:val="0"/>
          <w:color w:val="101828"/>
          <w:sz w:val="21"/>
        </w:rPr>
        <w:t>The schedule is the Ajo's product. It is the one screen every participant checks on a specific day — their own collection date — and it is the screen where a provisional order has to be visibly provisional, because an order that looks settled in a screenshot is how a group ends up in an argument in a group chat.</w:t>
      </w:r>
    </w:p>
    <w:p>
      <w:pPr>
        <w:pStyle w:val="Heading3"/>
      </w:pPr>
      <w:r>
        <w:rPr>
          <w:rFonts w:ascii="Calibri" w:hAnsi="Calibri"/>
          <w:b/>
          <w:i w:val="0"/>
          <w:color w:val="0B1F3A"/>
          <w:sz w:val="24"/>
        </w:rPr>
        <w:t>4.11.1 Ajo schedule — SCR-MOB-07</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Show every round with its collection date, its due member, and its payout date, and make it unmistakable whether the order shown is provisional or locked.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Every participant, checking their own round. The organiser, checking that the collection days they agreed to are what the system will actually do. Both are checking a date, so dates are the largest thing on the screen.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column: a state strip, then a vertical list of rounds. Each round is a row-group of 88 px with the round number and the collection date on the left, the due member's name in the middle, and the status on the right. A </w:t>
            </w:r>
            <w:r>
              <w:rPr>
                <w:rFonts w:ascii="Calibri" w:hAnsi="Calibri"/>
                <w:b/>
                <w:color w:val="101828"/>
                <w:sz w:val="14"/>
              </w:rPr>
              <w:t>Your round</w:t>
            </w:r>
            <w:r>
              <w:rPr>
                <w:rFonts w:ascii="Calibri" w:hAnsi="Calibri"/>
                <w:b w:val="0"/>
                <w:i w:val="0"/>
                <w:color w:val="101828"/>
                <w:sz w:val="14"/>
              </w:rPr>
              <w:t xml:space="preserve"> marker sits inline on the viewer's own row, not as a separate floating element.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ListItem</w:t>
            </w:r>
            <w:r>
              <w:rPr>
                <w:rFonts w:ascii="Calibri" w:hAnsi="Calibri"/>
                <w:b w:val="0"/>
                <w:i w:val="0"/>
                <w:color w:val="101828"/>
                <w:sz w:val="14"/>
              </w:rPr>
              <w:t xml:space="preserve"> (round), </w:t>
            </w:r>
            <w:r>
              <w:rPr>
                <w:rFonts w:ascii="Consolas" w:hAnsi="Consolas"/>
                <w:color w:val="146EF5"/>
                <w:sz w:val="14"/>
              </w:rPr>
              <w:t>Badge</w:t>
            </w:r>
            <w:r>
              <w:rPr>
                <w:rFonts w:ascii="Calibri" w:hAnsi="Calibri"/>
                <w:b w:val="0"/>
                <w:i w:val="0"/>
                <w:color w:val="101828"/>
                <w:sz w:val="14"/>
              </w:rPr>
              <w:t xml:space="preserve">, </w:t>
            </w:r>
            <w:r>
              <w:rPr>
                <w:rFonts w:ascii="Consolas" w:hAnsi="Consolas"/>
                <w:color w:val="146EF5"/>
                <w:sz w:val="14"/>
              </w:rPr>
              <w:t>Callout</w:t>
            </w:r>
            <w:r>
              <w:rPr>
                <w:rFonts w:ascii="Calibri" w:hAnsi="Calibri"/>
                <w:b w:val="0"/>
                <w:i w:val="0"/>
                <w:color w:val="101828"/>
                <w:sz w:val="14"/>
              </w:rPr>
              <w:t xml:space="preserve"> (NOTE, provisional), </w:t>
            </w:r>
            <w:r>
              <w:rPr>
                <w:rFonts w:ascii="Consolas" w:hAnsi="Consolas"/>
                <w:color w:val="146EF5"/>
                <w:sz w:val="14"/>
              </w:rPr>
              <w:t>DateRow</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(primary and secondary), </w:t>
            </w:r>
            <w:r>
              <w:rPr>
                <w:rFonts w:ascii="Consolas" w:hAnsi="Consolas"/>
                <w:color w:val="146EF5"/>
                <w:sz w:val="14"/>
              </w:rPr>
              <w:t>BottomNav</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Reached from SCR-MOB-03's </w:t>
            </w:r>
            <w:r>
              <w:rPr>
                <w:rFonts w:ascii="Calibri" w:hAnsi="Calibri"/>
                <w:i/>
                <w:color w:val="101828"/>
                <w:sz w:val="14"/>
              </w:rPr>
              <w:t>View the schedule</w:t>
            </w:r>
            <w:r>
              <w:rPr>
                <w:rFonts w:ascii="Calibri" w:hAnsi="Calibri"/>
                <w:b w:val="0"/>
                <w:i w:val="0"/>
                <w:color w:val="101828"/>
                <w:sz w:val="14"/>
              </w:rPr>
              <w:t>, from the dashboard's next-event card, and from any collection or payout notification. Deep-linkable, and a notification deep link scrolls to the named round rather than to the top.</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Conditional. </w:t>
            </w:r>
            <w:r>
              <w:rPr>
                <w:rFonts w:ascii="Calibri" w:hAnsi="Calibri"/>
                <w:b/>
                <w:color w:val="101828"/>
                <w:sz w:val="14"/>
              </w:rPr>
              <w:t>A member whose round is the next one due and unpaid: *Pay NGN 1,020.00*.</w:t>
            </w:r>
            <w:r>
              <w:rPr>
                <w:rFonts w:ascii="Calibri" w:hAnsi="Calibri"/>
                <w:b w:val="0"/>
                <w:i w:val="0"/>
                <w:color w:val="101828"/>
                <w:sz w:val="14"/>
              </w:rPr>
              <w:t xml:space="preserve"> No other primary on this screen; the schedule is a reading surface and a schedule with a filled button on it is a form wearing a calendar's clothes.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Add to calendar</w:t>
            </w:r>
            <w:r>
              <w:rPr>
                <w:rFonts w:ascii="Calibri" w:hAnsi="Calibri"/>
                <w:b w:val="0"/>
                <w:i w:val="0"/>
                <w:color w:val="101828"/>
                <w:sz w:val="14"/>
              </w:rPr>
              <w:t xml:space="preserve"> (secondary outlined), offered for the viewer's own round and for the Ajo's collection days as a whole. Tertiary: </w:t>
            </w:r>
            <w:r>
              <w:rPr>
                <w:rFonts w:ascii="Calibri" w:hAnsi="Calibri"/>
                <w:i/>
                <w:color w:val="101828"/>
                <w:sz w:val="14"/>
              </w:rPr>
              <w:t>Read the fees</w:t>
            </w:r>
            <w:r>
              <w:rPr>
                <w:rFonts w:ascii="Calibri" w:hAnsi="Calibri"/>
                <w:b w:val="0"/>
                <w:i w:val="0"/>
                <w:color w:val="101828"/>
                <w:sz w:val="14"/>
              </w:rPr>
              <w: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state strip naming the Ajo's state. Then one row per round: </w:t>
            </w:r>
            <w:r>
              <w:rPr>
                <w:rFonts w:ascii="Calibri" w:hAnsi="Calibri"/>
                <w:i/>
                <w:color w:val="101828"/>
                <w:sz w:val="14"/>
              </w:rPr>
              <w:t>Round 1</w:t>
            </w:r>
            <w:r>
              <w:rPr>
                <w:rFonts w:ascii="Calibri" w:hAnsi="Calibri"/>
                <w:b w:val="0"/>
                <w:i w:val="0"/>
                <w:color w:val="101828"/>
                <w:sz w:val="14"/>
              </w:rPr>
              <w:t xml:space="preserve">, the collection date, </w:t>
            </w:r>
            <w:r>
              <w:rPr>
                <w:rFonts w:ascii="Calibri" w:hAnsi="Calibri"/>
                <w:i/>
                <w:color w:val="101828"/>
                <w:sz w:val="14"/>
              </w:rPr>
              <w:t>collected by</w:t>
            </w:r>
            <w:r>
              <w:rPr>
                <w:rFonts w:ascii="Calibri" w:hAnsi="Calibri"/>
                <w:b w:val="0"/>
                <w:i w:val="0"/>
                <w:color w:val="101828"/>
                <w:sz w:val="14"/>
              </w:rPr>
              <w:t xml:space="preserve"> and the member's name, and the round's status. Each row also carries what the round will pay out — </w:t>
            </w:r>
            <w:r>
              <w:rPr>
                <w:rFonts w:ascii="Calibri" w:hAnsi="Calibri"/>
                <w:i/>
                <w:color w:val="101828"/>
                <w:sz w:val="14"/>
              </w:rPr>
              <w:t>pays NGN 10,000.00</w:t>
            </w:r>
            <w:r>
              <w:rPr>
                <w:rFonts w:ascii="Calibri" w:hAnsi="Calibri"/>
                <w:b w:val="0"/>
                <w:i w:val="0"/>
                <w:color w:val="101828"/>
                <w:sz w:val="14"/>
              </w:rPr>
              <w:t xml:space="preserve"> — because a member looking at a date wants to know what is moving that day. The provisional note appears at the top of the list, not once per row: </w:t>
            </w:r>
            <w:r>
              <w:rPr>
                <w:rFonts w:ascii="Calibri" w:hAnsi="Calibri"/>
                <w:i/>
                <w:color w:val="101828"/>
                <w:sz w:val="14"/>
              </w:rPr>
              <w:t>This order is not final. It locks when the Ajo activates.</w:t>
            </w:r>
            <w:r>
              <w:rPr>
                <w:rFonts w:ascii="Calibri" w:hAnsi="Calibri"/>
                <w:b w:val="0"/>
                <w:i w:val="0"/>
                <w:color w:val="101828"/>
                <w:sz w:val="14"/>
              </w:rPr>
              <w:t xml:space="preserve"> </w:t>
            </w:r>
            <w:r>
              <w:rPr>
                <w:rFonts w:ascii="Calibri" w:hAnsi="Calibri"/>
                <w:b/>
                <w:color w:val="101828"/>
                <w:sz w:val="14"/>
              </w:rPr>
              <w:t>Past rounds are shown with their actual status including *not collected*, and a past round that was not collected shows what the group is short by, without naming the member, to anyone but the organiser.</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Row skeletons at 88 px. The state strip resolves first and the provisional note is never shown before the state is known, because a provisional note shown on a locked Ajo is a lie and a locked note shown on a provisional one is worse.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DRAFT before the payment day is chosen: </w:t>
            </w:r>
            <w:r>
              <w:rPr>
                <w:rFonts w:ascii="Calibri" w:hAnsi="Calibri"/>
                <w:i/>
                <w:color w:val="101828"/>
                <w:sz w:val="14"/>
              </w:rPr>
              <w:t>Choose a payment day to see the schedule</w:t>
            </w:r>
            <w:r>
              <w:rPr>
                <w:rFonts w:ascii="Calibri" w:hAnsi="Calibri"/>
                <w:b w:val="0"/>
                <w:i w:val="0"/>
                <w:color w:val="101828"/>
                <w:sz w:val="14"/>
              </w:rPr>
              <w:t>, with a link back to 05.3. This is the only schedule with nothing in it.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Contained to the list region with a retry. The state strip and the viewer's own round persist, so a member who came here to check their date is not shown an empty screen because the history query failed.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Payment made from this screen returns to it with the row's status updated to </w:t>
            </w:r>
            <w:r>
              <w:rPr>
                <w:rFonts w:ascii="Calibri" w:hAnsi="Calibri"/>
                <w:i/>
                <w:color w:val="101828"/>
                <w:sz w:val="14"/>
              </w:rPr>
              <w:t>collected</w:t>
            </w:r>
            <w:r>
              <w:rPr>
                <w:rFonts w:ascii="Calibri" w:hAnsi="Calibri"/>
                <w:b w:val="0"/>
                <w:i w:val="0"/>
                <w:color w:val="101828"/>
                <w:sz w:val="14"/>
              </w:rPr>
              <w:t xml:space="preserve"> and a single confirmation naming the amount and the receipt.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round per row-group at every width, stacked label-then-value below 375. The round number stays in a fixed 48 px gutter at every width so the eye can track down a column. </w:t>
            </w:r>
            <w:r>
              <w:rPr>
                <w:rFonts w:ascii="Calibri" w:hAnsi="Calibri"/>
                <w:b/>
                <w:color w:val="101828"/>
                <w:sz w:val="14"/>
              </w:rPr>
              <w:t>No month grid, and no horizontal scroll</w:t>
            </w:r>
            <w:r>
              <w:rPr>
                <w:rFonts w:ascii="Calibri" w:hAnsi="Calibri"/>
                <w:b w:val="0"/>
                <w:i w:val="0"/>
                <w:color w:val="101828"/>
                <w:sz w:val="14"/>
              </w:rPr>
              <w:t>: a schedule that a member cannot read in one vertical pass is not a schedule they will consult.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list is an ordered list, one item per round, and each item's accessible name is </w:t>
            </w:r>
            <w:r>
              <w:rPr>
                <w:rFonts w:ascii="Calibri" w:hAnsi="Calibri"/>
                <w:i/>
                <w:color w:val="101828"/>
                <w:sz w:val="14"/>
              </w:rPr>
              <w:t>Round 4, collection 12 October, collected by Chidi, pays NGN 10,000.00, collected</w:t>
            </w:r>
            <w:r>
              <w:rPr>
                <w:rFonts w:ascii="Calibri" w:hAnsi="Calibri"/>
                <w:b w:val="0"/>
                <w:i w:val="0"/>
                <w:color w:val="101828"/>
                <w:sz w:val="14"/>
              </w:rPr>
              <w:t xml:space="preserve">. The viewer's own round is marked with a text marker, not only a highlight. Dates are absolute and unabbreviated — </w:t>
            </w:r>
            <w:r>
              <w:rPr>
                <w:rFonts w:ascii="Calibri" w:hAnsi="Calibri"/>
                <w:i/>
                <w:color w:val="101828"/>
                <w:sz w:val="14"/>
              </w:rPr>
              <w:t>12 October 2026</w:t>
            </w:r>
            <w:r>
              <w:rPr>
                <w:rFonts w:ascii="Calibri" w:hAnsi="Calibri"/>
                <w:b w:val="0"/>
                <w:i w:val="0"/>
                <w:color w:val="101828"/>
                <w:sz w:val="14"/>
              </w:rPr>
              <w:t xml:space="preserve">, never </w:t>
            </w:r>
            <w:r>
              <w:rPr>
                <w:rFonts w:ascii="Calibri" w:hAnsi="Calibri"/>
                <w:i/>
                <w:color w:val="101828"/>
                <w:sz w:val="14"/>
              </w:rPr>
              <w:t>12/10</w:t>
            </w:r>
            <w:r>
              <w:rPr>
                <w:rFonts w:ascii="Calibri" w:hAnsi="Calibri"/>
                <w:b w:val="0"/>
                <w:i w:val="0"/>
                <w:color w:val="101828"/>
                <w:sz w:val="14"/>
              </w:rPr>
              <w:t xml:space="preserve"> — because a Nigerian reader reads 12 October first and an ambiguous numeric date is a real failure mode at 12 October. Status is text.</w:t>
            </w:r>
          </w:p>
        </w:tc>
      </w:tr>
    </w:tbl>
    <w:p>
      <w:pPr>
        <w:spacing w:after="80"/>
      </w:pPr>
    </w:p>
    <w:p>
      <w:r>
        <w:br w:type="page"/>
      </w:r>
    </w:p>
    <w:p>
      <w:pPr>
        <w:pStyle w:val="Heading2"/>
      </w:pPr>
      <w:r>
        <w:rPr>
          <w:rFonts w:ascii="Calibri" w:hAnsi="Calibri"/>
          <w:b/>
          <w:i w:val="0"/>
          <w:color w:val="146EF5"/>
          <w:sz w:val="29"/>
        </w:rPr>
        <w:t>4.12 Contributions — SCR-MOB-08, SCR-MOB-09, SCR-MOB-10</w:t>
      </w:r>
    </w:p>
    <w:p>
      <w:r>
        <w:rPr>
          <w:rFonts w:ascii="Calibri" w:hAnsi="Calibri"/>
          <w:b w:val="0"/>
          <w:i w:val="0"/>
          <w:color w:val="101828"/>
          <w:sz w:val="21"/>
        </w:rPr>
        <w:t xml:space="preserve">Three screens, three owners, and the rule that governs all three: </w:t>
      </w:r>
      <w:r>
        <w:rPr>
          <w:rFonts w:ascii="Calibri" w:hAnsi="Calibri"/>
          <w:b/>
          <w:color w:val="101828"/>
          <w:sz w:val="21"/>
        </w:rPr>
        <w:t>a member is shown the full amount they will be charged, including the fee, on every surface and before every commit.</w:t>
      </w:r>
      <w:r>
        <w:rPr>
          <w:rFonts w:ascii="Calibri" w:hAnsi="Calibri"/>
          <w:b w:val="0"/>
          <w:i w:val="0"/>
          <w:color w:val="101828"/>
          <w:sz w:val="21"/>
        </w:rPr>
        <w:t xml:space="preserve"> The contribution list answers </w:t>
      </w:r>
      <w:r>
        <w:rPr>
          <w:rFonts w:ascii="Calibri" w:hAnsi="Calibri"/>
          <w:i/>
          <w:color w:val="101828"/>
          <w:sz w:val="21"/>
        </w:rPr>
        <w:t>what do I owe</w:t>
      </w:r>
      <w:r>
        <w:rPr>
          <w:rFonts w:ascii="Calibri" w:hAnsi="Calibri"/>
          <w:b w:val="0"/>
          <w:i w:val="0"/>
          <w:color w:val="101828"/>
          <w:sz w:val="21"/>
        </w:rPr>
        <w:t>, the pay screen asks for the money, and the processing screen tells the truth about an attempt that has not finished.</w:t>
      </w:r>
    </w:p>
    <w:p>
      <w:pPr>
        <w:pStyle w:val="Heading3"/>
      </w:pPr>
      <w:r>
        <w:rPr>
          <w:rFonts w:ascii="Calibri" w:hAnsi="Calibri"/>
          <w:b/>
          <w:i w:val="0"/>
          <w:color w:val="0B1F3A"/>
          <w:sz w:val="24"/>
        </w:rPr>
        <w:t>4.12.1 Obligations and contribution detail — SCR-MOB-08</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List everything a member owes across every Ajo they are in, grouped by what is due now, what is coming, and what is already settled — and, from the same component, show one contribution in full.</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with three obligations in three Ajos and a limited amount of money, who needs to decide which to pay first. The organiser, who needs the Ajo-scoped view of who has paid without seeing the amounts any individual paid into a different Ajo.</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List state: one column of grouped sections, each with a heading, a count and a total. Detail state: a single obligation card with the three canonical money lines, the Ajo facts, the due date, the state, and the action region. </w:t>
            </w:r>
            <w:r>
              <w:rPr>
                <w:rFonts w:ascii="Calibri" w:hAnsi="Calibri"/>
                <w:b/>
                <w:color w:val="101828"/>
                <w:sz w:val="14"/>
              </w:rPr>
              <w:t>Groups are ordered by urgency — overdue, due today, due this month, later, settled — and the ordering is stated in the group headings, because a member who has to infer it will assume the wrong 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SectionList</w:t>
            </w:r>
            <w:r>
              <w:rPr>
                <w:rFonts w:ascii="Calibri" w:hAnsi="Calibri"/>
                <w:b w:val="0"/>
                <w:i w:val="0"/>
                <w:color w:val="101828"/>
                <w:sz w:val="14"/>
              </w:rPr>
              <w:t xml:space="preserve">, </w:t>
            </w:r>
            <w:r>
              <w:rPr>
                <w:rFonts w:ascii="Consolas" w:hAnsi="Consolas"/>
                <w:color w:val="146EF5"/>
                <w:sz w:val="14"/>
              </w:rPr>
              <w:t>ListItem</w:t>
            </w:r>
            <w:r>
              <w:rPr>
                <w:rFonts w:ascii="Calibri" w:hAnsi="Calibri"/>
                <w:b w:val="0"/>
                <w:i w:val="0"/>
                <w:color w:val="101828"/>
                <w:sz w:val="14"/>
              </w:rPr>
              <w:t xml:space="preserve"> (obligation), </w:t>
            </w:r>
            <w:r>
              <w:rPr>
                <w:rFonts w:ascii="Consolas" w:hAnsi="Consolas"/>
                <w:color w:val="146EF5"/>
                <w:sz w:val="14"/>
              </w:rPr>
              <w:t>MoneyBlock</w:t>
            </w:r>
            <w:r>
              <w:rPr>
                <w:rFonts w:ascii="Calibri" w:hAnsi="Calibri"/>
                <w:b w:val="0"/>
                <w:i w:val="0"/>
                <w:color w:val="101828"/>
                <w:sz w:val="14"/>
              </w:rPr>
              <w:t xml:space="preserve"> (3 lines), </w:t>
            </w:r>
            <w:r>
              <w:rPr>
                <w:rFonts w:ascii="Consolas" w:hAnsi="Consolas"/>
                <w:color w:val="146EF5"/>
                <w:sz w:val="14"/>
              </w:rPr>
              <w:t>Card</w:t>
            </w:r>
            <w:r>
              <w:rPr>
                <w:rFonts w:ascii="Calibri" w:hAnsi="Calibri"/>
                <w:b w:val="0"/>
                <w:i w:val="0"/>
                <w:color w:val="101828"/>
                <w:sz w:val="14"/>
              </w:rPr>
              <w:t xml:space="preserve">, </w:t>
            </w:r>
            <w:r>
              <w:rPr>
                <w:rFonts w:ascii="Consolas" w:hAnsi="Consolas"/>
                <w:color w:val="146EF5"/>
                <w:sz w:val="14"/>
              </w:rPr>
              <w:t>Badge</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(primary and secondary), </w:t>
            </w:r>
            <w:r>
              <w:rPr>
                <w:rFonts w:ascii="Consolas" w:hAnsi="Consolas"/>
                <w:color w:val="146EF5"/>
                <w:sz w:val="14"/>
              </w:rPr>
              <w:t>SegmentedControl</w:t>
            </w:r>
            <w:r>
              <w:rPr>
                <w:rFonts w:ascii="Calibri" w:hAnsi="Calibri"/>
                <w:b w:val="0"/>
                <w:i w:val="0"/>
                <w:color w:val="101828"/>
                <w:sz w:val="14"/>
              </w:rPr>
              <w:t xml:space="preserve">, </w:t>
            </w:r>
            <w:r>
              <w:rPr>
                <w:rFonts w:ascii="Consolas" w:hAnsi="Consolas"/>
                <w:color w:val="146EF5"/>
                <w:sz w:val="14"/>
              </w:rPr>
              <w:t>EmptyState</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Tab 3 of 5 as the cross-Ajo list. Deep-linkable in both states. The Ajo-scoped route and the cross-Ajo route render the same component, and a member's obligation is reachable from both the dashboard and the Ajo detail.</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Detail state, eligible: </w:t>
            </w:r>
            <w:r>
              <w:rPr>
                <w:rFonts w:ascii="Calibri" w:hAnsi="Calibri"/>
                <w:i/>
                <w:color w:val="101828"/>
                <w:sz w:val="14"/>
              </w:rPr>
              <w:t>Pay NGN 1,020.00</w:t>
            </w:r>
            <w:r>
              <w:rPr>
                <w:rFonts w:ascii="Calibri" w:hAnsi="Calibri"/>
                <w:b w:val="0"/>
                <w:i w:val="0"/>
                <w:color w:val="101828"/>
                <w:sz w:val="14"/>
              </w:rPr>
              <w:t xml:space="preserve">. List state: </w:t>
            </w:r>
            <w:r>
              <w:rPr>
                <w:rFonts w:ascii="Calibri" w:hAnsi="Calibri"/>
                <w:b/>
                <w:color w:val="101828"/>
                <w:sz w:val="14"/>
              </w:rPr>
              <w:t>none.</w:t>
            </w:r>
            <w:r>
              <w:rPr>
                <w:rFonts w:ascii="Calibri" w:hAnsi="Calibri"/>
                <w:b w:val="0"/>
                <w:i w:val="0"/>
                <w:color w:val="101828"/>
                <w:sz w:val="14"/>
              </w:rPr>
              <w:t xml:space="preserve"> Exactly one obligation's primary is the </w:t>
            </w:r>
            <w:r>
              <w:rPr>
                <w:rFonts w:ascii="Calibri" w:hAnsi="Calibri"/>
                <w:i/>
                <w:color w:val="101828"/>
                <w:sz w:val="14"/>
              </w:rPr>
              <w:t>only</w:t>
            </w:r>
            <w:r>
              <w:rPr>
                <w:rFonts w:ascii="Calibri" w:hAnsi="Calibri"/>
                <w:b w:val="0"/>
                <w:i w:val="0"/>
                <w:color w:val="101828"/>
                <w:sz w:val="14"/>
              </w:rPr>
              <w:t xml:space="preserve"> filled control in the list, and it is on the first overdue or first due item, so a list of five does not become a page of five identical filled buttons.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Detail: </w:t>
            </w:r>
            <w:r>
              <w:rPr>
                <w:rFonts w:ascii="Calibri" w:hAnsi="Calibri"/>
                <w:i/>
                <w:color w:val="101828"/>
                <w:sz w:val="14"/>
              </w:rPr>
              <w:t>View the receipt</w:t>
            </w:r>
            <w:r>
              <w:rPr>
                <w:rFonts w:ascii="Calibri" w:hAnsi="Calibri"/>
                <w:b w:val="0"/>
                <w:i w:val="0"/>
                <w:color w:val="101828"/>
                <w:sz w:val="14"/>
              </w:rPr>
              <w:t xml:space="preserve"> when one exists, and </w:t>
            </w:r>
            <w:r>
              <w:rPr>
                <w:rFonts w:ascii="Calibri" w:hAnsi="Calibri"/>
                <w:i/>
                <w:color w:val="101828"/>
                <w:sz w:val="14"/>
              </w:rPr>
              <w:t>Ask for help</w:t>
            </w:r>
            <w:r>
              <w:rPr>
                <w:rFonts w:ascii="Calibri" w:hAnsi="Calibri"/>
                <w:b w:val="0"/>
                <w:i w:val="0"/>
                <w:color w:val="101828"/>
                <w:sz w:val="14"/>
              </w:rPr>
              <w:t xml:space="preserve"> (tertiary). List: </w:t>
            </w:r>
            <w:r>
              <w:rPr>
                <w:rFonts w:ascii="Calibri" w:hAnsi="Calibri"/>
                <w:i/>
                <w:color w:val="101828"/>
                <w:sz w:val="14"/>
              </w:rPr>
              <w:t>View my receipts</w:t>
            </w:r>
            <w:r>
              <w:rPr>
                <w:rFonts w:ascii="Calibri" w:hAnsi="Calibri"/>
                <w:b w:val="0"/>
                <w:i w:val="0"/>
                <w:color w:val="101828"/>
                <w:sz w:val="14"/>
              </w:rPr>
              <w:t xml:space="preserve"> (secondary outlined) and a filter control.</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List rows: Ajo name, round, due date, the total charged, and the state. Detail: the Ajo name and the member's position, the round, the collection date, the three canonical money lines, the state, and the dates that matter — created, due, and paid where applicable. The detail view also states </w:t>
            </w:r>
            <w:r>
              <w:rPr>
                <w:rFonts w:ascii="Calibri" w:hAnsi="Calibri"/>
                <w:i/>
                <w:color w:val="101828"/>
                <w:sz w:val="14"/>
              </w:rPr>
              <w:t>If the Ajo does not collect this round, your NGN 1,000.00 is not paid out to anyone and the AJO.ng fee is not retained on it</w:t>
            </w:r>
            <w:r>
              <w:rPr>
                <w:rFonts w:ascii="Calibri" w:hAnsi="Calibri"/>
                <w:b w:val="0"/>
                <w:i w:val="0"/>
                <w:color w:val="101828"/>
                <w:sz w:val="14"/>
              </w:rPr>
              <w:t>, in a NOTE, because that is the single most common misunderstanding and it is the one that most damages trust when it goes wrong.</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 A contribution is not editable, only payable. There is no amount field anywhere in this group of screens, because a member who can change what they pay has been given a way to underpay without knowing it.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 to the list. On the detail state, an obligation in a state that cannot be paid — collected, cancelled, expired, or belonging to a replaced membership — renders no action and states why.</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Row skeletons per group, with the group headings rendered from the first response so the ordering is visible immediately. </w:t>
            </w:r>
            <w:r>
              <w:rPr>
                <w:rFonts w:ascii="Calibri" w:hAnsi="Calibri"/>
                <w:b/>
                <w:color w:val="101828"/>
                <w:sz w:val="14"/>
              </w:rPr>
              <w:t>The detail state never shows a partial amount: either all three money lines are present or the card is a skeleton.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member with nothing owing: </w:t>
            </w:r>
            <w:r>
              <w:rPr>
                <w:rFonts w:ascii="Calibri" w:hAnsi="Calibri"/>
                <w:i/>
                <w:color w:val="101828"/>
                <w:sz w:val="14"/>
              </w:rPr>
              <w:t>Nothing to pay. Your next contribution will appear here</w:t>
            </w:r>
            <w:r>
              <w:rPr>
                <w:rFonts w:ascii="Calibri" w:hAnsi="Calibri"/>
                <w:b w:val="0"/>
                <w:i w:val="0"/>
                <w:color w:val="101828"/>
                <w:sz w:val="14"/>
              </w:rPr>
              <w:t>, with the Ajo's payment day and the estimated next date so the empty screen is informative. A filtered-empty list says which filter excluded what, and offers to clear it.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Contained per section. </w:t>
            </w:r>
            <w:r>
              <w:rPr>
                <w:rFonts w:ascii="Calibri" w:hAnsi="Calibri"/>
                <w:b/>
                <w:color w:val="101828"/>
                <w:sz w:val="14"/>
              </w:rPr>
              <w:t>A failure to load the list never hides the dashboard's own summary</w:t>
            </w:r>
            <w:r>
              <w:rPr>
                <w:rFonts w:ascii="Calibri" w:hAnsi="Calibri"/>
                <w:b w:val="0"/>
                <w:i w:val="0"/>
                <w:color w:val="101828"/>
                <w:sz w:val="14"/>
              </w:rPr>
              <w:t>, so a member who arrives from the dashboard and finds the obligations region broken still has the figures that matter most.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Payment returns to the detail state with the state updated, the receipt link present, and a single confirmation.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One column at every width, full width capped at 480 px. The list is never a two-column layout: two obligations side by side puts the total at a size a member cannot compare reliably on a phone.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list is a list of links whose accessible names follow </w:t>
            </w:r>
            <w:r>
              <w:rPr>
                <w:rFonts w:ascii="Calibri" w:hAnsi="Calibri"/>
                <w:i/>
                <w:color w:val="101828"/>
                <w:sz w:val="14"/>
              </w:rPr>
              <w:t>Ajo name, round N, due 12 October 2026, NGN 1,020.00, overdue</w:t>
            </w:r>
            <w:r>
              <w:rPr>
                <w:rFonts w:ascii="Calibri" w:hAnsi="Calibri"/>
                <w:b w:val="0"/>
                <w:i w:val="0"/>
                <w:color w:val="101828"/>
                <w:sz w:val="14"/>
              </w:rPr>
              <w:t xml:space="preserve"> — amount and state adjacent in the name, because they are what a screen reader user is scanning for. Group headings are real headings. The money block on the detail state is a description list. State is text, and the overdue state is never conveyed by a red row alone.</w:t>
            </w:r>
          </w:p>
        </w:tc>
      </w:tr>
    </w:tbl>
    <w:p>
      <w:pPr>
        <w:spacing w:after="80"/>
      </w:pPr>
    </w:p>
    <w:p>
      <w:pPr>
        <w:pStyle w:val="Heading3"/>
      </w:pPr>
      <w:r>
        <w:rPr>
          <w:rFonts w:ascii="Calibri" w:hAnsi="Calibri"/>
          <w:b/>
          <w:i w:val="0"/>
          <w:color w:val="0B1F3A"/>
          <w:sz w:val="24"/>
        </w:rPr>
        <w:t>4.12.2 Pay a contribution — SCR-MOB-09</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Take a member's payment for a known obligation, showing the full amount and the fee before the payment method is chosen, and never optimistically.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on a phone, possibly with little data, possibly standing somewhere they do not want to be entering bank details. They want this to work and they want to know the amount.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column, four regions in a fixed order: the obligation summary with the three canonical money lines; the saved payment method, if any; the payment method selector; and the pinned commit region with the total and the control. </w:t>
            </w:r>
            <w:r>
              <w:rPr>
                <w:rFonts w:ascii="Calibri" w:hAnsi="Calibri"/>
                <w:b/>
                <w:color w:val="101828"/>
                <w:sz w:val="14"/>
              </w:rPr>
              <w:t>The total is repeated in the commit region, adjacent to the control, so the figure a member authorises is the figure they just read.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MoneyBlock</w:t>
            </w:r>
            <w:r>
              <w:rPr>
                <w:rFonts w:ascii="Calibri" w:hAnsi="Calibri"/>
                <w:b w:val="0"/>
                <w:i w:val="0"/>
                <w:color w:val="101828"/>
                <w:sz w:val="14"/>
              </w:rPr>
              <w:t xml:space="preserve"> (3 lines), </w:t>
            </w:r>
            <w:r>
              <w:rPr>
                <w:rFonts w:ascii="Consolas" w:hAnsi="Consolas"/>
                <w:color w:val="146EF5"/>
                <w:sz w:val="14"/>
              </w:rPr>
              <w:t>ListItem</w:t>
            </w:r>
            <w:r>
              <w:rPr>
                <w:rFonts w:ascii="Calibri" w:hAnsi="Calibri"/>
                <w:b w:val="0"/>
                <w:i w:val="0"/>
                <w:color w:val="101828"/>
                <w:sz w:val="14"/>
              </w:rPr>
              <w:t xml:space="preserve"> (method), </w:t>
            </w:r>
            <w:r>
              <w:rPr>
                <w:rFonts w:ascii="Consolas" w:hAnsi="Consolas"/>
                <w:color w:val="146EF5"/>
                <w:sz w:val="14"/>
              </w:rPr>
              <w:t>FormField</w:t>
            </w:r>
            <w:r>
              <w:rPr>
                <w:rFonts w:ascii="Calibri" w:hAnsi="Calibri"/>
                <w:b w:val="0"/>
                <w:i w:val="0"/>
                <w:color w:val="101828"/>
                <w:sz w:val="14"/>
              </w:rPr>
              <w:t xml:space="preserve"> (card details or bank), </w:t>
            </w:r>
            <w:r>
              <w:rPr>
                <w:rFonts w:ascii="Consolas" w:hAnsi="Consolas"/>
                <w:color w:val="146EF5"/>
                <w:sz w:val="14"/>
              </w:rPr>
              <w:t>Button</w:t>
            </w:r>
            <w:r>
              <w:rPr>
                <w:rFonts w:ascii="Calibri" w:hAnsi="Calibri"/>
                <w:b w:val="0"/>
                <w:i w:val="0"/>
                <w:color w:val="101828"/>
                <w:sz w:val="14"/>
              </w:rPr>
              <w:t xml:space="preserve"> (primary), </w:t>
            </w:r>
            <w:r>
              <w:rPr>
                <w:rFonts w:ascii="Consolas" w:hAnsi="Consolas"/>
                <w:color w:val="146EF5"/>
                <w:sz w:val="14"/>
              </w:rPr>
              <w:t>Button</w:t>
            </w:r>
            <w:r>
              <w:rPr>
                <w:rFonts w:ascii="Calibri" w:hAnsi="Calibri"/>
                <w:b w:val="0"/>
                <w:i w:val="0"/>
                <w:color w:val="101828"/>
                <w:sz w:val="14"/>
              </w:rPr>
              <w:t xml:space="preserve"> (secondary), </w:t>
            </w:r>
            <w:r>
              <w:rPr>
                <w:rFonts w:ascii="Consolas" w:hAnsi="Consolas"/>
                <w:color w:val="146EF5"/>
                <w:sz w:val="14"/>
              </w:rPr>
              <w:t>Callout</w:t>
            </w:r>
            <w:r>
              <w:rPr>
                <w:rFonts w:ascii="Calibri" w:hAnsi="Calibri"/>
                <w:b w:val="0"/>
                <w:i w:val="0"/>
                <w:color w:val="101828"/>
                <w:sz w:val="14"/>
              </w:rPr>
              <w:t xml:space="preserve"> (NOTE, what happens next), </w:t>
            </w:r>
            <w:r>
              <w:rPr>
                <w:rFonts w:ascii="Consolas" w:hAnsi="Consolas"/>
                <w:color w:val="146EF5"/>
                <w:sz w:val="14"/>
              </w:rPr>
              <w:t>Sheet</w:t>
            </w:r>
            <w:r>
              <w:rPr>
                <w:rFonts w:ascii="Calibri" w:hAnsi="Calibri"/>
                <w:b w:val="0"/>
                <w:i w:val="0"/>
                <w:color w:val="101828"/>
                <w:sz w:val="14"/>
              </w:rPr>
              <w:t xml:space="preserve"> (method chooser), </w:t>
            </w:r>
            <w:r>
              <w:rPr>
                <w:rFonts w:ascii="Consolas" w:hAnsi="Consolas"/>
                <w:color w:val="146EF5"/>
                <w:sz w:val="14"/>
              </w:rPr>
              <w:t>SecurityNote</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Reached from SCR-MOB-08's detail state and from its single list primary, and from a due-date notification. Deep-linkable. On success routes to 05.10.</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color w:val="101828"/>
                <w:sz w:val="14"/>
              </w:rPr>
              <w:t>Dynamic and money-specific, and this is the one place the pattern is mandatory: *Pay NGN 1,020.00*.</w:t>
            </w:r>
            <w:r>
              <w:rPr>
                <w:rFonts w:ascii="Calibri" w:hAnsi="Calibri"/>
                <w:b w:val="0"/>
                <w:i w:val="0"/>
                <w:color w:val="101828"/>
                <w:sz w:val="14"/>
              </w:rPr>
              <w:t xml:space="preserve"> The amount is in the label, so a member who has scrolled past the summary still authorises a specific figure. 56 px on mobile. Never a generic </w:t>
            </w:r>
            <w:r>
              <w:rPr>
                <w:rFonts w:ascii="Calibri" w:hAnsi="Calibri"/>
                <w:i/>
                <w:color w:val="101828"/>
                <w:sz w:val="14"/>
              </w:rPr>
              <w:t>Continue</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Add a new payment method</w:t>
            </w:r>
            <w:r>
              <w:rPr>
                <w:rFonts w:ascii="Calibri" w:hAnsi="Calibri"/>
                <w:b w:val="0"/>
                <w:i w:val="0"/>
                <w:color w:val="101828"/>
                <w:sz w:val="14"/>
              </w:rPr>
              <w:t xml:space="preserve"> (secondary outlined) when no method is saved, and </w:t>
            </w:r>
            <w:r>
              <w:rPr>
                <w:rFonts w:ascii="Calibri" w:hAnsi="Calibri"/>
                <w:i/>
                <w:color w:val="101828"/>
                <w:sz w:val="14"/>
              </w:rPr>
              <w:t>Cancel</w:t>
            </w:r>
            <w:r>
              <w:rPr>
                <w:rFonts w:ascii="Calibri" w:hAnsi="Calibri"/>
                <w:b w:val="0"/>
                <w:i w:val="0"/>
                <w:color w:val="101828"/>
                <w:sz w:val="14"/>
              </w:rPr>
              <w:t xml:space="preserve"> (tertiary link) which returns to the obligation without a warning, because nothing has happened yet.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obligation summary: Ajo, round, due date, position, and the three canonical lines. The method: name, type, and last four digits only — </w:t>
            </w:r>
            <w:r>
              <w:rPr>
                <w:rFonts w:ascii="Calibri" w:hAnsi="Calibri"/>
                <w:b/>
                <w:color w:val="101828"/>
                <w:sz w:val="14"/>
              </w:rPr>
              <w:t>a full card number or account number is never rendered back, not even masked to more than four digits</w:t>
            </w:r>
            <w:r>
              <w:rPr>
                <w:rFonts w:ascii="Calibri" w:hAnsi="Calibri"/>
                <w:b w:val="0"/>
                <w:i w:val="0"/>
                <w:color w:val="101828"/>
                <w:sz w:val="14"/>
              </w:rPr>
              <w:t>. A NOTE stating what happens after a successful payment, including that a receipt will be available immediately. A security note stating that AJO.ng never asks for a PIN and never asks for a one-time code by phone, in the imperative, because that sentence is the thing a member will remember when a real scam calls them.</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Only when no method is saved: either card number, expiry and CVV, or bank account number with a resolved account name. Bank details are entered only on this screen, on an explicit user action, and are never pre-filled from anything. </w:t>
            </w:r>
            <w:r>
              <w:rPr>
                <w:rFonts w:ascii="Calibri" w:hAnsi="Calibri"/>
                <w:b/>
                <w:color w:val="101828"/>
                <w:sz w:val="14"/>
              </w:rPr>
              <w:t>A saved method is selected by tapping a row; no field is editable in place.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Card: number, Luhn-checked locally, 12 to 19 digits; expiry in the future; CVV 3 or 4 digits. Bank: 10 digits, resolved against a named account, and </w:t>
            </w:r>
            <w:r>
              <w:rPr>
                <w:rFonts w:ascii="Calibri" w:hAnsi="Calibri"/>
                <w:b/>
                <w:color w:val="101828"/>
                <w:sz w:val="14"/>
              </w:rPr>
              <w:t>the resolved name must be confirmed by the member before the payment is attempted</w:t>
            </w:r>
            <w:r>
              <w:rPr>
                <w:rFonts w:ascii="Calibri" w:hAnsi="Calibri"/>
                <w:b w:val="0"/>
                <w:i w:val="0"/>
                <w:color w:val="101828"/>
                <w:sz w:val="14"/>
              </w:rPr>
              <w:t xml:space="preserve"> — a silent name mismatch is how money goes to the wrong person. All messages state the fix.</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The pay control enters a working state with its width locked and the summary stays fully visible. The method row shows its own working state while details resolve. </w:t>
            </w:r>
            <w:r>
              <w:rPr>
                <w:rFonts w:ascii="Calibri" w:hAnsi="Calibri"/>
                <w:b/>
                <w:color w:val="101828"/>
                <w:sz w:val="14"/>
              </w:rPr>
              <w:t>The control never shows success, and never disables itself permanently, on an attempt that has not returned.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 saved method: the method region shows the two options as a chooser rather than a blank region. An obligation that is already paid never reaches this route; if it does, the summary says so and offers the receipt.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Inline on the fields for validation. A declined attempt produces a danger region with the provider's message in plain words where one is available, plus a named next action, and the obligation remains payable. </w:t>
            </w:r>
            <w:r>
              <w:rPr>
                <w:rFonts w:ascii="Calibri" w:hAnsi="Calibri"/>
                <w:b/>
                <w:color w:val="101828"/>
                <w:sz w:val="14"/>
              </w:rPr>
              <w:t>A decline never loses the typed card details within the same session</w:t>
            </w:r>
            <w:r>
              <w:rPr>
                <w:rFonts w:ascii="Calibri" w:hAnsi="Calibri"/>
                <w:b w:val="0"/>
                <w:i w:val="0"/>
                <w:color w:val="101828"/>
                <w:sz w:val="14"/>
              </w:rPr>
              <w:t>, and never offers an automatic retry: retrying a declined card once, on the member's initiative, is fine; retrying it for them is not.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Routes to SCR-MOB-10 with the attempt's identifier. The obligation is not marked paid in this screen's copy, because the attempt is not the payment.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column at every width. The commit region is pinned above the safe area on mobile, always showing the total and the control together, and the rest of the page scrolls beneath it. </w:t>
            </w:r>
            <w:r>
              <w:rPr>
                <w:rFonts w:ascii="Calibri" w:hAnsi="Calibri"/>
                <w:b/>
                <w:color w:val="101828"/>
                <w:sz w:val="14"/>
              </w:rPr>
              <w:t>The keyboard never covers the total</w:t>
            </w:r>
            <w:r>
              <w:rPr>
                <w:rFonts w:ascii="Calibri" w:hAnsi="Calibri"/>
                <w:b w:val="0"/>
                <w:i w:val="0"/>
                <w:color w:val="101828"/>
                <w:sz w:val="14"/>
              </w:rPr>
              <w:t>, because the total is the one thing that must remain visible while the member types a card number.</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total is associated with the pay control by </w:t>
            </w:r>
            <w:r>
              <w:rPr>
                <w:rFonts w:ascii="Consolas" w:hAnsi="Consolas"/>
                <w:color w:val="146EF5"/>
                <w:sz w:val="14"/>
              </w:rPr>
              <w:t>aria-describedby</w:t>
            </w:r>
            <w:r>
              <w:rPr>
                <w:rFonts w:ascii="Calibri" w:hAnsi="Calibri"/>
                <w:b w:val="0"/>
                <w:i w:val="0"/>
                <w:color w:val="101828"/>
                <w:sz w:val="14"/>
              </w:rPr>
              <w:t>, so a screen reader user hears the amount as part of the control's description even if they never read the summary. The method rows are a labelled radio group. Errors are announced assertively; success is not announced here because nothing has succeeded. The security note is a labelled region reachable from the method region.</w:t>
            </w:r>
          </w:p>
        </w:tc>
      </w:tr>
    </w:tbl>
    <w:p>
      <w:pPr>
        <w:spacing w:after="80"/>
      </w:pPr>
    </w:p>
    <w:p>
      <w:pPr>
        <w:pStyle w:val="Heading3"/>
      </w:pPr>
      <w:r>
        <w:rPr>
          <w:rFonts w:ascii="Calibri" w:hAnsi="Calibri"/>
          <w:b/>
          <w:i w:val="0"/>
          <w:color w:val="0B1F3A"/>
          <w:sz w:val="24"/>
        </w:rPr>
        <w:t>4.12.3 Payment processing — SCR-MOB-10</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Tell the truth about a payment attempt that has not finished, and, once it has, tell the truth about the result. This screen exists because the interval between </w:t>
            </w:r>
            <w:r>
              <w:rPr>
                <w:rFonts w:ascii="Calibri" w:hAnsi="Calibri"/>
                <w:i/>
                <w:color w:val="101828"/>
                <w:sz w:val="14"/>
              </w:rPr>
              <w:t>I pressed pay</w:t>
            </w:r>
            <w:r>
              <w:rPr>
                <w:rFonts w:ascii="Calibri" w:hAnsi="Calibri"/>
                <w:b w:val="0"/>
                <w:i w:val="0"/>
                <w:color w:val="101828"/>
                <w:sz w:val="14"/>
              </w:rPr>
              <w:t xml:space="preserve"> and </w:t>
            </w:r>
            <w:r>
              <w:rPr>
                <w:rFonts w:ascii="Calibri" w:hAnsi="Calibri"/>
                <w:i/>
                <w:color w:val="101828"/>
                <w:sz w:val="14"/>
              </w:rPr>
              <w:t>I know whether I paid</w:t>
            </w:r>
            <w:r>
              <w:rPr>
                <w:rFonts w:ascii="Calibri" w:hAnsi="Calibri"/>
                <w:b w:val="0"/>
                <w:i w:val="0"/>
                <w:color w:val="101828"/>
                <w:sz w:val="14"/>
              </w:rPr>
              <w:t xml:space="preserve"> is where anxiety lives, and a spinner with no information is the worst possible answer to it.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who has just pressed pay and is now holding their phone, waiting. A member returning to the app twenty minutes later who needs to know whether the money left. Both are answered by the same screen.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column. A state headline as the </w:t>
            </w:r>
            <w:r>
              <w:rPr>
                <w:rFonts w:ascii="Consolas" w:hAnsi="Consolas"/>
                <w:color w:val="146EF5"/>
                <w:sz w:val="14"/>
              </w:rPr>
              <w:t>h1</w:t>
            </w:r>
            <w:r>
              <w:rPr>
                <w:rFonts w:ascii="Calibri" w:hAnsi="Calibri"/>
                <w:b w:val="0"/>
                <w:i w:val="0"/>
                <w:color w:val="101828"/>
                <w:sz w:val="14"/>
              </w:rPr>
              <w:t xml:space="preserve">, a progress region, the three canonical money lines, the attempt facts — reference, method, started time — and the next action region. </w:t>
            </w:r>
            <w:r>
              <w:rPr>
                <w:rFonts w:ascii="Calibri" w:hAnsi="Calibri"/>
                <w:b/>
                <w:color w:val="101828"/>
                <w:sz w:val="14"/>
              </w:rPr>
              <w:t>There is no cancel control while the attempt is pending</w:t>
            </w:r>
            <w:r>
              <w:rPr>
                <w:rFonts w:ascii="Calibri" w:hAnsi="Calibri"/>
                <w:b w:val="0"/>
                <w:i w:val="0"/>
                <w:color w:val="101828"/>
                <w:sz w:val="14"/>
              </w:rPr>
              <w:t>, because a cancel that races the provider is a cancel that sometimes does not cancel.</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StatusCard</w:t>
            </w:r>
            <w:r>
              <w:rPr>
                <w:rFonts w:ascii="Calibri" w:hAnsi="Calibri"/>
                <w:b w:val="0"/>
                <w:i w:val="0"/>
                <w:color w:val="101828"/>
                <w:sz w:val="14"/>
              </w:rPr>
              <w:t xml:space="preserve">, </w:t>
            </w:r>
            <w:r>
              <w:rPr>
                <w:rFonts w:ascii="Consolas" w:hAnsi="Consolas"/>
                <w:color w:val="146EF5"/>
                <w:sz w:val="14"/>
              </w:rPr>
              <w:t>ProgressBar</w:t>
            </w:r>
            <w:r>
              <w:rPr>
                <w:rFonts w:ascii="Calibri" w:hAnsi="Calibri"/>
                <w:b w:val="0"/>
                <w:i w:val="0"/>
                <w:color w:val="101828"/>
                <w:sz w:val="14"/>
              </w:rPr>
              <w:t xml:space="preserve"> (determinate where possible, otherwise indeterminate with real elapsed text), </w:t>
            </w:r>
            <w:r>
              <w:rPr>
                <w:rFonts w:ascii="Consolas" w:hAnsi="Consolas"/>
                <w:color w:val="146EF5"/>
                <w:sz w:val="14"/>
              </w:rPr>
              <w:t>MoneyBlock</w:t>
            </w:r>
            <w:r>
              <w:rPr>
                <w:rFonts w:ascii="Calibri" w:hAnsi="Calibri"/>
                <w:b w:val="0"/>
                <w:i w:val="0"/>
                <w:color w:val="101828"/>
                <w:sz w:val="14"/>
              </w:rPr>
              <w:t xml:space="preserve"> (3 lines), </w:t>
            </w:r>
            <w:r>
              <w:rPr>
                <w:rFonts w:ascii="Consolas" w:hAnsi="Consolas"/>
                <w:color w:val="146EF5"/>
                <w:sz w:val="14"/>
              </w:rPr>
              <w:t>Timeline</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(secondary and primary, conditional), </w:t>
            </w:r>
            <w:r>
              <w:rPr>
                <w:rFonts w:ascii="Consolas" w:hAnsi="Consolas"/>
                <w:color w:val="146EF5"/>
                <w:sz w:val="14"/>
              </w:rPr>
              <w:t>Callout</w:t>
            </w:r>
            <w:r>
              <w:rPr>
                <w:rFonts w:ascii="Calibri" w:hAnsi="Calibri"/>
                <w:b w:val="0"/>
                <w:i w:val="0"/>
                <w:color w:val="101828"/>
                <w:sz w:val="14"/>
              </w:rPr>
              <w:t xml:space="preserve"> (DANGER on failure), </w:t>
            </w:r>
            <w:r>
              <w:rPr>
                <w:rFonts w:ascii="Consolas" w:hAnsi="Consolas"/>
                <w:color w:val="146EF5"/>
                <w:sz w:val="14"/>
              </w:rPr>
              <w:t>RetryControl</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Reached immediately from SCR-MOB-09, by deep link from the payment notification, and by returning to the app. </w:t>
            </w:r>
            <w:r>
              <w:rPr>
                <w:rFonts w:ascii="Calibri" w:hAnsi="Calibri"/>
                <w:b/>
                <w:color w:val="101828"/>
                <w:sz w:val="14"/>
              </w:rPr>
              <w:t>The screen is re-entrant: a member who closes it and comes back sees the live state, not a stale 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Conditional on the resolved state. Pending: none. Succeeded: </w:t>
            </w:r>
            <w:r>
              <w:rPr>
                <w:rFonts w:ascii="Calibri" w:hAnsi="Calibri"/>
                <w:i/>
                <w:color w:val="101828"/>
                <w:sz w:val="14"/>
              </w:rPr>
              <w:t>View the receipt</w:t>
            </w:r>
            <w:r>
              <w:rPr>
                <w:rFonts w:ascii="Calibri" w:hAnsi="Calibri"/>
                <w:b w:val="0"/>
                <w:i w:val="0"/>
                <w:color w:val="101828"/>
                <w:sz w:val="14"/>
              </w:rPr>
              <w:t xml:space="preserve">. Failed or declined: </w:t>
            </w:r>
            <w:r>
              <w:rPr>
                <w:rFonts w:ascii="Calibri" w:hAnsi="Calibri"/>
                <w:i/>
                <w:color w:val="101828"/>
                <w:sz w:val="14"/>
              </w:rPr>
              <w:t>Try again</w:t>
            </w:r>
            <w:r>
              <w:rPr>
                <w:rFonts w:ascii="Calibri" w:hAnsi="Calibri"/>
                <w:b w:val="0"/>
                <w:i w:val="0"/>
                <w:color w:val="101828"/>
                <w:sz w:val="14"/>
              </w:rPr>
              <w:t>, which returns to SCR-MOB-09 with the same obligation and the same amount.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Pending: </w:t>
            </w:r>
            <w:r>
              <w:rPr>
                <w:rFonts w:ascii="Calibri" w:hAnsi="Calibri"/>
                <w:i/>
                <w:color w:val="101828"/>
                <w:sz w:val="14"/>
              </w:rPr>
              <w:t>Check again</w:t>
            </w:r>
            <w:r>
              <w:rPr>
                <w:rFonts w:ascii="Calibri" w:hAnsi="Calibri"/>
                <w:b w:val="0"/>
                <w:i w:val="0"/>
                <w:color w:val="101828"/>
                <w:sz w:val="14"/>
              </w:rPr>
              <w:t xml:space="preserve"> is a control inside the progress region, not a secondary button, and is used only after 90 seconds. Succeeded: </w:t>
            </w:r>
            <w:r>
              <w:rPr>
                <w:rFonts w:ascii="Calibri" w:hAnsi="Calibri"/>
                <w:i/>
                <w:color w:val="101828"/>
                <w:sz w:val="14"/>
              </w:rPr>
              <w:t>Back to the Ajo</w:t>
            </w:r>
            <w:r>
              <w:rPr>
                <w:rFonts w:ascii="Calibri" w:hAnsi="Calibri"/>
                <w:b w:val="0"/>
                <w:i w:val="0"/>
                <w:color w:val="101828"/>
                <w:sz w:val="14"/>
              </w:rPr>
              <w:t xml:space="preserve"> (secondary outlined). Failed: </w:t>
            </w:r>
            <w:r>
              <w:rPr>
                <w:rFonts w:ascii="Calibri" w:hAnsi="Calibri"/>
                <w:i/>
                <w:color w:val="101828"/>
                <w:sz w:val="14"/>
              </w:rPr>
              <w:t>Use a different method</w:t>
            </w:r>
            <w:r>
              <w:rPr>
                <w:rFonts w:ascii="Calibri" w:hAnsi="Calibri"/>
                <w:b w:val="0"/>
                <w:i w:val="0"/>
                <w:color w:val="101828"/>
                <w:sz w:val="14"/>
              </w:rPr>
              <w:t xml:space="preserve"> (secondary outlined) and </w:t>
            </w:r>
            <w:r>
              <w:rPr>
                <w:rFonts w:ascii="Calibri" w:hAnsi="Calibri"/>
                <w:i/>
                <w:color w:val="101828"/>
                <w:sz w:val="14"/>
              </w:rPr>
              <w:t>Ask for help</w:t>
            </w:r>
            <w:r>
              <w:rPr>
                <w:rFonts w:ascii="Calibri" w:hAnsi="Calibri"/>
                <w:b w:val="0"/>
                <w:i w:val="0"/>
                <w:color w:val="101828"/>
                <w:sz w:val="14"/>
              </w:rPr>
              <w:t xml:space="preserve"> (tertiary).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Pending: </w:t>
            </w:r>
            <w:r>
              <w:rPr>
                <w:rFonts w:ascii="Calibri" w:hAnsi="Calibri"/>
                <w:i/>
                <w:color w:val="101828"/>
                <w:sz w:val="14"/>
              </w:rPr>
              <w:t>We are confirming your payment. This usually takes under a minute. Do not pay again.</w:t>
            </w:r>
            <w:r>
              <w:rPr>
                <w:rFonts w:ascii="Calibri" w:hAnsi="Calibri"/>
                <w:b w:val="0"/>
                <w:i w:val="0"/>
                <w:color w:val="101828"/>
                <w:sz w:val="14"/>
              </w:rPr>
              <w:t xml:space="preserve"> Failed: </w:t>
            </w:r>
            <w:r>
              <w:rPr>
                <w:rFonts w:ascii="Calibri" w:hAnsi="Calibri"/>
                <w:i/>
                <w:color w:val="101828"/>
                <w:sz w:val="14"/>
              </w:rPr>
              <w:t>Your payment did not go through. You have not been charged.</w:t>
            </w:r>
            <w:r>
              <w:rPr>
                <w:rFonts w:ascii="Calibri" w:hAnsi="Calibri"/>
                <w:b w:val="0"/>
                <w:i w:val="0"/>
                <w:color w:val="101828"/>
                <w:sz w:val="14"/>
              </w:rPr>
              <w:t xml:space="preserve"> </w:t>
            </w:r>
            <w:r>
              <w:rPr>
                <w:rFonts w:ascii="Calibri" w:hAnsi="Calibri"/>
                <w:b/>
                <w:color w:val="101828"/>
                <w:sz w:val="14"/>
              </w:rPr>
              <w:t>That second sentence is the entire job of the failure state</w:t>
            </w:r>
            <w:r>
              <w:rPr>
                <w:rFonts w:ascii="Calibri" w:hAnsi="Calibri"/>
                <w:b w:val="0"/>
                <w:i w:val="0"/>
                <w:color w:val="101828"/>
                <w:sz w:val="14"/>
              </w:rPr>
              <w:t xml:space="preserve">, because a member who has been charged and told nothing is a support ticket, and a member who has not been charged and believes they have is a panic. Succeeded: </w:t>
            </w:r>
            <w:r>
              <w:rPr>
                <w:rFonts w:ascii="Calibri" w:hAnsi="Calibri"/>
                <w:i/>
                <w:color w:val="101828"/>
                <w:sz w:val="14"/>
              </w:rPr>
              <w:t>Paid. NGN 1,020.00 for round 3 of Market women</w:t>
            </w:r>
            <w:r>
              <w:rPr>
                <w:rFonts w:ascii="Calibri" w:hAnsi="Calibri"/>
                <w:b w:val="0"/>
                <w:i w:val="0"/>
                <w:color w:val="101828"/>
                <w:sz w:val="14"/>
              </w:rPr>
              <w:t>, with the receipt link. The attempt facts in all states, so a member quoting a reference reaches a human who can find it.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This screen is the loading state, and it is specified as a screen rather than an overlay for that reason. The progress region distinguishes three sub-states of pending — sending, at the provider, confirming the result — and the third is the one that takes the time.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An attempt identifier that resolves to nothing: </w:t>
            </w:r>
            <w:r>
              <w:rPr>
                <w:rFonts w:ascii="Calibri" w:hAnsi="Calibri"/>
                <w:i/>
                <w:color w:val="101828"/>
                <w:sz w:val="14"/>
              </w:rPr>
              <w:t>We cannot find that payment.</w:t>
            </w:r>
            <w:r>
              <w:rPr>
                <w:rFonts w:ascii="Calibri" w:hAnsi="Calibri"/>
                <w:b w:val="0"/>
                <w:i w:val="0"/>
                <w:color w:val="101828"/>
                <w:sz w:val="14"/>
              </w:rPr>
              <w:t>, with the obligation and a way back. Never a bare not-found.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Split deliberately between </w:t>
            </w:r>
            <w:r>
              <w:rPr>
                <w:rFonts w:ascii="Calibri" w:hAnsi="Calibri"/>
                <w:i/>
                <w:color w:val="101828"/>
                <w:sz w:val="14"/>
              </w:rPr>
              <w:t>declined</w:t>
            </w:r>
            <w:r>
              <w:rPr>
                <w:rFonts w:ascii="Calibri" w:hAnsi="Calibri"/>
                <w:b w:val="0"/>
                <w:i w:val="0"/>
                <w:color w:val="101828"/>
                <w:sz w:val="14"/>
              </w:rPr>
              <w:t xml:space="preserve">, </w:t>
            </w:r>
            <w:r>
              <w:rPr>
                <w:rFonts w:ascii="Calibri" w:hAnsi="Calibri"/>
                <w:i/>
                <w:color w:val="101828"/>
                <w:sz w:val="14"/>
              </w:rPr>
              <w:t>failed</w:t>
            </w:r>
            <w:r>
              <w:rPr>
                <w:rFonts w:ascii="Calibri" w:hAnsi="Calibri"/>
                <w:b w:val="0"/>
                <w:i w:val="0"/>
                <w:color w:val="101828"/>
                <w:sz w:val="14"/>
              </w:rPr>
              <w:t xml:space="preserve"> and </w:t>
            </w:r>
            <w:r>
              <w:rPr>
                <w:rFonts w:ascii="Calibri" w:hAnsi="Calibri"/>
                <w:i/>
                <w:color w:val="101828"/>
                <w:sz w:val="14"/>
              </w:rPr>
              <w:t>unknown</w:t>
            </w:r>
            <w:r>
              <w:rPr>
                <w:rFonts w:ascii="Calibri" w:hAnsi="Calibri"/>
                <w:b w:val="0"/>
                <w:i w:val="0"/>
                <w:color w:val="101828"/>
                <w:sz w:val="14"/>
              </w:rPr>
              <w:t xml:space="preserve">. Declined and failed mean no money moved and are stated in those words. </w:t>
            </w:r>
            <w:r>
              <w:rPr>
                <w:rFonts w:ascii="Calibri" w:hAnsi="Calibri"/>
                <w:b/>
                <w:color w:val="101828"/>
                <w:sz w:val="14"/>
              </w:rPr>
              <w:t>Unknown means the result could not be determined and is stated as such: *We cannot confirm this payment yet. Your card has not been charged a second time, and we will tell you here as soon as we know.</w:t>
            </w:r>
            <w:r>
              <w:rPr>
                <w:rFonts w:ascii="Calibri" w:hAnsi="Calibri"/>
                <w:b w:val="0"/>
                <w:i w:val="0"/>
                <w:color w:val="101828"/>
                <w:sz w:val="14"/>
              </w:rPr>
              <w:t>* An unknown is never rendered as a failure, and never as a success.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obligation is marked paid, the receipt becomes available, the ledger entry is created, and the Ajo's progress updates. The member sees a single confirmation naming the amount, the Ajo and the round, and a receipt link.</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One column at every width. The progress region is 160 px tall on mobile so the elapsed time and the state are both visible without scrolling, and the reference is selectable text.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state headline is the </w:t>
            </w:r>
            <w:r>
              <w:rPr>
                <w:rFonts w:ascii="Consolas" w:hAnsi="Consolas"/>
                <w:color w:val="146EF5"/>
                <w:sz w:val="14"/>
              </w:rPr>
              <w:t>h1</w:t>
            </w:r>
            <w:r>
              <w:rPr>
                <w:rFonts w:ascii="Calibri" w:hAnsi="Calibri"/>
                <w:b w:val="0"/>
                <w:i w:val="0"/>
                <w:color w:val="101828"/>
                <w:sz w:val="14"/>
              </w:rPr>
              <w:t xml:space="preserve"> and changes with the state, so a screen reader user re-entering the screen learns the outcome immediately. </w:t>
            </w:r>
            <w:r>
              <w:rPr>
                <w:rFonts w:ascii="Calibri" w:hAnsi="Calibri"/>
                <w:b/>
                <w:color w:val="101828"/>
                <w:sz w:val="14"/>
              </w:rPr>
              <w:t>The state change from pending to resolved is announced assertively exactly once</w:t>
            </w:r>
            <w:r>
              <w:rPr>
                <w:rFonts w:ascii="Calibri" w:hAnsi="Calibri"/>
                <w:b w:val="0"/>
                <w:i w:val="0"/>
                <w:color w:val="101828"/>
                <w:sz w:val="14"/>
              </w:rPr>
              <w:t>, because an unpaid-then-paid transition is the one moment in this product that must interrupt. The progress region is a live region with a text state, not a bare animation.</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Three terminal states, not two  </w:t>
      </w:r>
      <w:r>
        <w:rPr>
          <w:rFonts w:ascii="Calibri" w:hAnsi="Calibri"/>
          <w:b w:val="0"/>
          <w:i w:val="0"/>
          <w:color w:val="0B1F3A"/>
          <w:sz w:val="19"/>
        </w:rPr>
        <w:t xml:space="preserve">Most payment interfaces collapse to success or failure. This product does not, because a provider timeout is a third thing and it is the one that generates the support tickets. </w:t>
      </w:r>
      <w:r>
        <w:rPr>
          <w:rFonts w:ascii="Calibri" w:hAnsi="Calibri"/>
          <w:b/>
          <w:color w:val="0B1F3A"/>
          <w:sz w:val="19"/>
        </w:rPr>
        <w:t>Unknown is a first-class state with its own copy, its own controls and its own recovery</w:t>
      </w:r>
      <w:r>
        <w:rPr>
          <w:rFonts w:ascii="Calibri" w:hAnsi="Calibri"/>
          <w:b w:val="0"/>
          <w:i w:val="0"/>
          <w:color w:val="0B1F3A"/>
          <w:sz w:val="19"/>
        </w:rPr>
        <w:t>, and it is never presented to a member as a failure. What a member must never be left believing is that money moved when it did not, or that it did not when it did.</w:t>
      </w:r>
    </w:p>
    <w:p>
      <w:r>
        <w:br w:type="page"/>
      </w:r>
    </w:p>
    <w:p>
      <w:pPr>
        <w:pStyle w:val="Heading2"/>
      </w:pPr>
      <w:r>
        <w:rPr>
          <w:rFonts w:ascii="Calibri" w:hAnsi="Calibri"/>
          <w:b/>
          <w:i w:val="0"/>
          <w:color w:val="146EF5"/>
          <w:sz w:val="29"/>
        </w:rPr>
        <w:t>4.13 Receipts — SCR-MOB-11</w:t>
      </w:r>
    </w:p>
    <w:p>
      <w:r>
        <w:rPr>
          <w:rFonts w:ascii="Calibri" w:hAnsi="Calibri"/>
          <w:b w:val="0"/>
          <w:i w:val="0"/>
          <w:color w:val="101828"/>
          <w:sz w:val="21"/>
        </w:rPr>
        <w:t>The receipt is the artefact a member keeps. It is the thing they will show a group, a spouse, a landlord or a bank, so it is built to be printed and to be legible in a screenshot, and it is the surface on which the fee is disclosed one last time, after the money has moved.</w:t>
      </w:r>
    </w:p>
    <w:p>
      <w:pPr>
        <w:pStyle w:val="Heading3"/>
      </w:pPr>
      <w:r>
        <w:rPr>
          <w:rFonts w:ascii="Calibri" w:hAnsi="Calibri"/>
          <w:b/>
          <w:i w:val="0"/>
          <w:color w:val="0B1F3A"/>
          <w:sz w:val="24"/>
        </w:rPr>
        <w:t>4.13.1 Receipt — SCR-MOB-11</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Show an immutable, complete record of one payment, with the fee on its own line, in a form that can be saved, printed or forwarded and still mean something to a bank.</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proving they paid. Possibly anxious, possibly asked for proof by an organiser or a third party, possibly viewing on a phone and screenshotting it.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A single centred document, max 480 px on mobile and 720 px on web, with a fixed header block — the AJO.ng mark, </w:t>
            </w:r>
            <w:r>
              <w:rPr>
                <w:rFonts w:ascii="Calibri" w:hAnsi="Calibri"/>
                <w:i/>
                <w:color w:val="101828"/>
                <w:sz w:val="14"/>
              </w:rPr>
              <w:t>Payment receipt</w:t>
            </w:r>
            <w:r>
              <w:rPr>
                <w:rFonts w:ascii="Calibri" w:hAnsi="Calibri"/>
                <w:b w:val="0"/>
                <w:i w:val="0"/>
                <w:color w:val="101828"/>
                <w:sz w:val="14"/>
              </w:rPr>
              <w:t xml:space="preserve">, the receipt number — then a facts table, then the money table, then a footer with the legal name, the date, and the support route. The action region is a separate full-width bar beneath the document and is </w:t>
            </w:r>
            <w:r>
              <w:rPr>
                <w:rFonts w:ascii="Calibri" w:hAnsi="Calibri"/>
                <w:b/>
                <w:color w:val="101828"/>
                <w:sz w:val="14"/>
              </w:rPr>
              <w:t>not</w:t>
            </w:r>
            <w:r>
              <w:rPr>
                <w:rFonts w:ascii="Calibri" w:hAnsi="Calibri"/>
                <w:b w:val="0"/>
                <w:i w:val="0"/>
                <w:color w:val="101828"/>
                <w:sz w:val="14"/>
              </w:rPr>
              <w:t xml:space="preserve"> part of the document, so a printed or screenshotted receipt never contains a button.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Document</w:t>
            </w:r>
            <w:r>
              <w:rPr>
                <w:rFonts w:ascii="Calibri" w:hAnsi="Calibri"/>
                <w:b w:val="0"/>
                <w:i w:val="0"/>
                <w:color w:val="101828"/>
                <w:sz w:val="14"/>
              </w:rPr>
              <w:t xml:space="preserve"> (receipt), </w:t>
            </w:r>
            <w:r>
              <w:rPr>
                <w:rFonts w:ascii="Consolas" w:hAnsi="Consolas"/>
                <w:color w:val="146EF5"/>
                <w:sz w:val="14"/>
              </w:rPr>
              <w:t>Table</w:t>
            </w:r>
            <w:r>
              <w:rPr>
                <w:rFonts w:ascii="Calibri" w:hAnsi="Calibri"/>
                <w:b w:val="0"/>
                <w:i w:val="0"/>
                <w:color w:val="101828"/>
                <w:sz w:val="14"/>
              </w:rPr>
              <w:t xml:space="preserve"> (facts, 8 rows), </w:t>
            </w:r>
            <w:r>
              <w:rPr>
                <w:rFonts w:ascii="Consolas" w:hAnsi="Consolas"/>
                <w:color w:val="146EF5"/>
                <w:sz w:val="14"/>
              </w:rPr>
              <w:t>MoneyTable</w:t>
            </w:r>
            <w:r>
              <w:rPr>
                <w:rFonts w:ascii="Calibri" w:hAnsi="Calibri"/>
                <w:b w:val="0"/>
                <w:i w:val="0"/>
                <w:color w:val="101828"/>
                <w:sz w:val="14"/>
              </w:rPr>
              <w:t xml:space="preserve"> (canonical, 11 rows), </w:t>
            </w:r>
            <w:r>
              <w:rPr>
                <w:rFonts w:ascii="Consolas" w:hAnsi="Consolas"/>
                <w:color w:val="146EF5"/>
                <w:sz w:val="14"/>
              </w:rPr>
              <w:t>Button</w:t>
            </w:r>
            <w:r>
              <w:rPr>
                <w:rFonts w:ascii="Calibri" w:hAnsi="Calibri"/>
                <w:b w:val="0"/>
                <w:i w:val="0"/>
                <w:color w:val="101828"/>
                <w:sz w:val="14"/>
              </w:rPr>
              <w:t xml:space="preserve"> (secondary), </w:t>
            </w:r>
            <w:r>
              <w:rPr>
                <w:rFonts w:ascii="Consolas" w:hAnsi="Consolas"/>
                <w:color w:val="146EF5"/>
                <w:sz w:val="14"/>
              </w:rPr>
              <w:t>Callout</w:t>
            </w:r>
            <w:r>
              <w:rPr>
                <w:rFonts w:ascii="Calibri" w:hAnsi="Calibri"/>
                <w:b w:val="0"/>
                <w:i w:val="0"/>
                <w:color w:val="101828"/>
                <w:sz w:val="14"/>
              </w:rPr>
              <w:t xml:space="preserve"> (NOTE, immutable).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Reached from SCR-MOB-10's success state, from SCR-MOB-08's detail state, from the payments list, from a transaction detail, and by deep link. </w:t>
            </w:r>
            <w:r>
              <w:rPr>
                <w:rFonts w:ascii="Calibri" w:hAnsi="Calibri"/>
                <w:b/>
                <w:color w:val="101828"/>
                <w:sz w:val="14"/>
              </w:rPr>
              <w:t>It is one receipt per route and it is never paginated.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None. </w:t>
            </w:r>
            <w:r>
              <w:rPr>
                <w:rFonts w:ascii="Calibri" w:hAnsi="Calibri"/>
                <w:b/>
                <w:color w:val="101828"/>
                <w:sz w:val="14"/>
              </w:rPr>
              <w:t>A receipt has no primary action</w:t>
            </w:r>
            <w:r>
              <w:rPr>
                <w:rFonts w:ascii="Calibri" w:hAnsi="Calibri"/>
                <w:b w:val="0"/>
                <w:i w:val="0"/>
                <w:color w:val="101828"/>
                <w:sz w:val="14"/>
              </w:rPr>
              <w:t>, because a receipt is a record and a record does not proceed anywhere. The document is the content.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Save as PDF</w:t>
            </w:r>
            <w:r>
              <w:rPr>
                <w:rFonts w:ascii="Calibri" w:hAnsi="Calibri"/>
                <w:b w:val="0"/>
                <w:i w:val="0"/>
                <w:color w:val="101828"/>
                <w:sz w:val="14"/>
              </w:rPr>
              <w:t xml:space="preserve"> and </w:t>
            </w:r>
            <w:r>
              <w:rPr>
                <w:rFonts w:ascii="Calibri" w:hAnsi="Calibri"/>
                <w:i/>
                <w:color w:val="101828"/>
                <w:sz w:val="14"/>
              </w:rPr>
              <w:t>Share</w:t>
            </w:r>
            <w:r>
              <w:rPr>
                <w:rFonts w:ascii="Calibri" w:hAnsi="Calibri"/>
                <w:b w:val="0"/>
                <w:i w:val="0"/>
                <w:color w:val="101828"/>
                <w:sz w:val="14"/>
              </w:rPr>
              <w:t xml:space="preserve"> as two secondary outlined buttons in the action bar, and </w:t>
            </w:r>
            <w:r>
              <w:rPr>
                <w:rFonts w:ascii="Calibri" w:hAnsi="Calibri"/>
                <w:i/>
                <w:color w:val="101828"/>
                <w:sz w:val="14"/>
              </w:rPr>
              <w:t>Print</w:t>
            </w:r>
            <w:r>
              <w:rPr>
                <w:rFonts w:ascii="Calibri" w:hAnsi="Calibri"/>
                <w:b w:val="0"/>
                <w:i w:val="0"/>
                <w:color w:val="101828"/>
                <w:sz w:val="14"/>
              </w:rPr>
              <w:t xml:space="preserve"> on web only, where printing exists.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Header: the AJO.ng mark, </w:t>
            </w:r>
            <w:r>
              <w:rPr>
                <w:rFonts w:ascii="Calibri" w:hAnsi="Calibri"/>
                <w:i/>
                <w:color w:val="101828"/>
                <w:sz w:val="14"/>
              </w:rPr>
              <w:t>Payment receipt</w:t>
            </w:r>
            <w:r>
              <w:rPr>
                <w:rFonts w:ascii="Calibri" w:hAnsi="Calibri"/>
                <w:b w:val="0"/>
                <w:i w:val="0"/>
                <w:color w:val="101828"/>
                <w:sz w:val="14"/>
              </w:rPr>
              <w:t xml:space="preserve">, the receipt number, and the date. Facts: the member's name, the Ajo name, the member's position, the round number, the collection date, the method and its last four digits, the attempt reference, the date paid. </w:t>
            </w:r>
            <w:r>
              <w:rPr>
                <w:rFonts w:ascii="Calibri" w:hAnsi="Calibri"/>
                <w:b/>
                <w:color w:val="101828"/>
                <w:sz w:val="14"/>
              </w:rPr>
              <w:t>Then the canonical money table, unaltered and complete</w:t>
            </w:r>
            <w:r>
              <w:rPr>
                <w:rFonts w:ascii="Calibri" w:hAnsi="Calibri"/>
                <w:b w:val="0"/>
                <w:i w:val="0"/>
                <w:color w:val="101828"/>
                <w:sz w:val="14"/>
              </w:rPr>
              <w:t xml:space="preserve">, in which </w:t>
            </w:r>
            <w:r>
              <w:rPr>
                <w:rFonts w:ascii="Calibri" w:hAnsi="Calibri"/>
                <w:i/>
                <w:color w:val="101828"/>
                <w:sz w:val="14"/>
              </w:rPr>
              <w:t>total charged NGN 1,020.00</w:t>
            </w:r>
            <w:r>
              <w:rPr>
                <w:rFonts w:ascii="Calibri" w:hAnsi="Calibri"/>
                <w:b w:val="0"/>
                <w:i w:val="0"/>
                <w:color w:val="101828"/>
                <w:sz w:val="14"/>
              </w:rPr>
              <w:t xml:space="preserve"> and </w:t>
            </w:r>
            <w:r>
              <w:rPr>
                <w:rFonts w:ascii="Calibri" w:hAnsi="Calibri"/>
                <w:i/>
                <w:color w:val="101828"/>
                <w:sz w:val="14"/>
              </w:rPr>
              <w:t>base pool paid to the recipient NGN 10,000.00</w:t>
            </w:r>
            <w:r>
              <w:rPr>
                <w:rFonts w:ascii="Calibri" w:hAnsi="Calibri"/>
                <w:b w:val="0"/>
                <w:i w:val="0"/>
                <w:color w:val="101828"/>
                <w:sz w:val="14"/>
              </w:rPr>
              <w:t xml:space="preserve"> both appear, exactly as on SCR-WEB-05. Footer: the legal entity name, the support address, the terms reference, and a NOTE stating the receipt is immutable and that any correction appears as a separate reversing entry rather than an edit to this document.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Document skeleton at final height, including the eleven money rows, so a receipt never appears to grow as it loads — a growing receipt looks like the amount is changing.</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 A receipt identifier that does not resolve returns the tier-2 not-found screen, and an identifier belonging to another member returns the identical screen with no timing or wording difference.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A partial load is not permitted. If any part of the receipt cannot be resolved, the whole document is withheld and a plain statement with a retry is shown, </w:t>
            </w:r>
            <w:r>
              <w:rPr>
                <w:rFonts w:ascii="Calibri" w:hAnsi="Calibri"/>
                <w:b/>
                <w:color w:val="101828"/>
                <w:sz w:val="14"/>
              </w:rPr>
              <w:t>because a receipt showing a contribution but not a fee is worse than no receipt</w:t>
            </w:r>
            <w:r>
              <w:rPr>
                <w:rFonts w:ascii="Calibri" w:hAnsi="Calibri"/>
                <w:b w:val="0"/>
                <w:i w:val="0"/>
                <w:color w:val="101828"/>
                <w:sz w:val="14"/>
              </w:rPr>
              <w: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 The receipt is the terminal state of a payment and it never changes after issuance.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column at every width, with the facts and money tables becoming stacked label-value pairs below 480 px </w:t>
            </w:r>
            <w:r>
              <w:rPr>
                <w:rFonts w:ascii="Calibri" w:hAnsi="Calibri"/>
                <w:b/>
                <w:color w:val="101828"/>
                <w:sz w:val="14"/>
              </w:rPr>
              <w:t>in the same order, with the money table's two emphasised rows still emphasised</w:t>
            </w:r>
            <w:r>
              <w:rPr>
                <w:rFonts w:ascii="Calibri" w:hAnsi="Calibri"/>
                <w:b w:val="0"/>
                <w:i w:val="0"/>
                <w:color w:val="101828"/>
                <w:sz w:val="14"/>
              </w:rPr>
              <w:t xml:space="preserve">. The action bar moves below the document and becomes a two-button row at </w:t>
            </w:r>
            <w:r>
              <w:rPr>
                <w:rFonts w:ascii="Consolas" w:hAnsi="Consolas"/>
                <w:color w:val="146EF5"/>
                <w:sz w:val="14"/>
              </w:rPr>
              <w:t>sm</w:t>
            </w:r>
            <w:r>
              <w:rPr>
                <w:rFonts w:ascii="Calibri" w:hAnsi="Calibri"/>
                <w:b w:val="0"/>
                <w:i w:val="0"/>
                <w:color w:val="101828"/>
                <w:sz w:val="14"/>
              </w:rPr>
              <w:t xml:space="preserve"> and above and a stacked pair below it. Print styling removes the action bar, the navigation and the sheet trigger entirely and keeps the document at full width.</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document is a </w:t>
            </w:r>
            <w:r>
              <w:rPr>
                <w:rFonts w:ascii="Consolas" w:hAnsi="Consolas"/>
                <w:color w:val="146EF5"/>
                <w:sz w:val="14"/>
              </w:rPr>
              <w:t>main</w:t>
            </w:r>
            <w:r>
              <w:rPr>
                <w:rFonts w:ascii="Calibri" w:hAnsi="Calibri"/>
                <w:b w:val="0"/>
                <w:i w:val="0"/>
                <w:color w:val="101828"/>
                <w:sz w:val="14"/>
              </w:rPr>
              <w:t xml:space="preserve"> region with the receipt number as its accessible name target, so a member can confirm they are looking at the right document. Both tables have captions and row headers. The two emphasised rows are emphasised in weight </w:t>
            </w:r>
            <w:r>
              <w:rPr>
                <w:rFonts w:ascii="Calibri" w:hAnsi="Calibri"/>
                <w:i/>
                <w:color w:val="101828"/>
                <w:sz w:val="14"/>
              </w:rPr>
              <w:t>and</w:t>
            </w:r>
            <w:r>
              <w:rPr>
                <w:rFonts w:ascii="Calibri" w:hAnsi="Calibri"/>
                <w:b w:val="0"/>
                <w:i w:val="0"/>
                <w:color w:val="101828"/>
                <w:sz w:val="14"/>
              </w:rPr>
              <w:t xml:space="preserve"> in the accessible name. </w:t>
            </w:r>
            <w:r>
              <w:rPr>
                <w:rFonts w:ascii="Calibri" w:hAnsi="Calibri"/>
                <w:b/>
                <w:color w:val="101828"/>
                <w:sz w:val="14"/>
              </w:rPr>
              <w:t>The fee line is never rendered as a small grey footnote</w:t>
            </w:r>
            <w:r>
              <w:rPr>
                <w:rFonts w:ascii="Calibri" w:hAnsi="Calibri"/>
                <w:b w:val="0"/>
                <w:i w:val="0"/>
                <w:color w:val="101828"/>
                <w:sz w:val="14"/>
              </w:rPr>
              <w:t>, because the one artefact a member forwards to somebody else must make the fee impossible to miss. The action bar is a labelled region outside the document.</w:t>
            </w:r>
          </w:p>
        </w:tc>
      </w:tr>
    </w:tbl>
    <w:p>
      <w:pPr>
        <w:spacing w:after="80"/>
      </w:pPr>
    </w:p>
    <w:p>
      <w:r>
        <w:br w:type="page"/>
      </w:r>
    </w:p>
    <w:p>
      <w:pPr>
        <w:pStyle w:val="Heading2"/>
      </w:pPr>
      <w:r>
        <w:rPr>
          <w:rFonts w:ascii="Calibri" w:hAnsi="Calibri"/>
          <w:b/>
          <w:i w:val="0"/>
          <w:color w:val="146EF5"/>
          <w:sz w:val="29"/>
        </w:rPr>
        <w:t>4.14 Payouts — SCR-MOB-12, SCR-MOB-13</w:t>
      </w:r>
    </w:p>
    <w:p>
      <w:r>
        <w:rPr>
          <w:rFonts w:ascii="Calibri" w:hAnsi="Calibri"/>
          <w:b w:val="0"/>
          <w:i w:val="0"/>
          <w:color w:val="101828"/>
          <w:sz w:val="21"/>
        </w:rPr>
        <w:t xml:space="preserve">A payout is the moment the Ajo delivers, and it is the one screen where a member is receiving rather than paying. The interface has one job here beyond recording the fact: </w:t>
      </w:r>
      <w:r>
        <w:rPr>
          <w:rFonts w:ascii="Calibri" w:hAnsi="Calibri"/>
          <w:b/>
          <w:color w:val="101828"/>
          <w:sz w:val="21"/>
        </w:rPr>
        <w:t>make NGN 10,000.00 unmistakably not NGN 10,200.00.</w:t>
      </w:r>
      <w:r>
        <w:rPr>
          <w:rFonts w:ascii="Calibri" w:hAnsi="Calibri"/>
          <w:b w:val="0"/>
          <w:i w:val="0"/>
          <w:color w:val="101828"/>
          <w:sz w:val="21"/>
        </w:rPr>
        <w:t xml:space="preserve"> A recipient who believes they were short-changed by a fee is a support ticket and a reputational problem, and the prevention is that the base pool is the largest figure on the screen and the collected total is not on it at all unless they go looking.</w:t>
      </w:r>
    </w:p>
    <w:p>
      <w:pPr>
        <w:spacing w:before="140" w:after="180"/>
        <w:ind w:left="144"/>
        <w:shd w:val="clear" w:color="auto" w:fill="EFF6FF"/>
        <w:pBdr>
          <w:left w:val="single" w:sz="18" w:space="6" w:color="146EF5"/>
        </w:pBdr>
      </w:pPr>
      <w:r>
        <w:rPr>
          <w:rFonts w:ascii="Calibri" w:hAnsi="Calibri"/>
          <w:b/>
          <w:color w:val="146EF5"/>
          <w:sz w:val="19"/>
        </w:rPr>
        <w:t xml:space="preserve">The recipient's screen never shows the collected total  </w:t>
      </w:r>
      <w:r>
        <w:rPr>
          <w:rFonts w:ascii="Calibri" w:hAnsi="Calibri"/>
          <w:b w:val="0"/>
          <w:i w:val="0"/>
          <w:color w:val="0B1F3A"/>
          <w:sz w:val="19"/>
        </w:rPr>
        <w:t xml:space="preserve">On SCR-MOB-12 and SCR-MOB-13 the headline figure is </w:t>
      </w:r>
      <w:r>
        <w:rPr>
          <w:rFonts w:ascii="Calibri" w:hAnsi="Calibri"/>
          <w:b/>
          <w:color w:val="0B1F3A"/>
          <w:sz w:val="19"/>
        </w:rPr>
        <w:t>base pool paid to the recipient NGN 10,000.00</w:t>
      </w:r>
      <w:r>
        <w:rPr>
          <w:rFonts w:ascii="Calibri" w:hAnsi="Calibri"/>
          <w:b w:val="0"/>
          <w:i w:val="0"/>
          <w:color w:val="0B1F3A"/>
          <w:sz w:val="19"/>
        </w:rPr>
        <w:t xml:space="preserve">. The figure NGN 10,200.00 does not appear as a headline, a sub-headline or a tooltip, because a recipient has no operational reason to know the gross and every reason to misread it. The gross is available on the Ajo's economics surface for the organiser, where it is a reconciliation figure, and nowhere else. </w:t>
      </w:r>
      <w:r>
        <w:rPr>
          <w:rFonts w:ascii="Calibri" w:hAnsi="Calibri"/>
          <w:b/>
          <w:color w:val="0B1F3A"/>
          <w:sz w:val="19"/>
        </w:rPr>
        <w:t>Owner: Founders.</w:t>
      </w:r>
    </w:p>
    <w:p>
      <w:pPr>
        <w:pStyle w:val="Heading3"/>
      </w:pPr>
      <w:r>
        <w:rPr>
          <w:rFonts w:ascii="Calibri" w:hAnsi="Calibri"/>
          <w:b/>
          <w:i w:val="0"/>
          <w:color w:val="0B1F3A"/>
          <w:sz w:val="24"/>
        </w:rPr>
        <w:t>4.14.1 Payout list — SCR-MOB-12</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List every payout the member has received, with the amount, the Ajo, the round, and the date, and make each one openable to a record.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checking whether they have been paid this month, or looking for the record of a payment received months ago. The second group is larger than it looks: a rotating scheme produces a long history and people do look.</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column. A summary line at the top, then a vertical list of payout rows, 80 px each: the amount left-aligned at the largest size on the screen, the Ajo and round in the middle, and the date on the right. </w:t>
            </w:r>
            <w:r>
              <w:rPr>
                <w:rFonts w:ascii="Calibri" w:hAnsi="Calibri"/>
                <w:b/>
                <w:color w:val="101828"/>
                <w:sz w:val="14"/>
              </w:rPr>
              <w:t>The amount is the visually dominant element of the row, because that is what the member came for.</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SummaryLine</w:t>
            </w:r>
            <w:r>
              <w:rPr>
                <w:rFonts w:ascii="Calibri" w:hAnsi="Calibri"/>
                <w:b w:val="0"/>
                <w:i w:val="0"/>
                <w:color w:val="101828"/>
                <w:sz w:val="14"/>
              </w:rPr>
              <w:t xml:space="preserve">, </w:t>
            </w:r>
            <w:r>
              <w:rPr>
                <w:rFonts w:ascii="Consolas" w:hAnsi="Consolas"/>
                <w:color w:val="146EF5"/>
                <w:sz w:val="14"/>
              </w:rPr>
              <w:t>ListItem</w:t>
            </w:r>
            <w:r>
              <w:rPr>
                <w:rFonts w:ascii="Calibri" w:hAnsi="Calibri"/>
                <w:b w:val="0"/>
                <w:i w:val="0"/>
                <w:color w:val="101828"/>
                <w:sz w:val="14"/>
              </w:rPr>
              <w:t xml:space="preserve"> (payout), </w:t>
            </w:r>
            <w:r>
              <w:rPr>
                <w:rFonts w:ascii="Consolas" w:hAnsi="Consolas"/>
                <w:color w:val="146EF5"/>
                <w:sz w:val="14"/>
              </w:rPr>
              <w:t>MoneyBlock</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(secondary), </w:t>
            </w:r>
            <w:r>
              <w:rPr>
                <w:rFonts w:ascii="Consolas" w:hAnsi="Consolas"/>
                <w:color w:val="146EF5"/>
                <w:sz w:val="14"/>
              </w:rPr>
              <w:t>EmptyState</w:t>
            </w:r>
            <w:r>
              <w:rPr>
                <w:rFonts w:ascii="Calibri" w:hAnsi="Calibri"/>
                <w:b w:val="0"/>
                <w:i w:val="0"/>
                <w:color w:val="101828"/>
                <w:sz w:val="14"/>
              </w:rPr>
              <w:t xml:space="preserve">, </w:t>
            </w:r>
            <w:r>
              <w:rPr>
                <w:rFonts w:ascii="Consolas" w:hAnsi="Consolas"/>
                <w:color w:val="146EF5"/>
                <w:sz w:val="14"/>
              </w:rPr>
              <w:t>SegmentedControl</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Reached from the dashboard's money block, from the Ajo detail's economics region, and from a payout notification. Deep-linkable, and the Ajo-scoped route renders the same component filtered.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None. A history is a reading surface. The only control in the first screenful is the filter, which is secondary.</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Download a statement</w:t>
            </w:r>
            <w:r>
              <w:rPr>
                <w:rFonts w:ascii="Calibri" w:hAnsi="Calibri"/>
                <w:b w:val="0"/>
                <w:i w:val="0"/>
                <w:color w:val="101828"/>
                <w:sz w:val="14"/>
              </w:rPr>
              <w:t xml:space="preserve"> (secondary outlined) for a selected period, and </w:t>
            </w:r>
            <w:r>
              <w:rPr>
                <w:rFonts w:ascii="Calibri" w:hAnsi="Calibri"/>
                <w:i/>
                <w:color w:val="101828"/>
                <w:sz w:val="14"/>
              </w:rPr>
              <w:t>View all receipts</w:t>
            </w:r>
            <w:r>
              <w:rPr>
                <w:rFonts w:ascii="Calibri" w:hAnsi="Calibri"/>
                <w:b w:val="0"/>
                <w:i w:val="0"/>
                <w:color w:val="101828"/>
                <w:sz w:val="14"/>
              </w:rPr>
              <w:t xml:space="preserve"> (secondary outlined).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summary line: </w:t>
            </w:r>
            <w:r>
              <w:rPr>
                <w:rFonts w:ascii="Calibri" w:hAnsi="Calibri"/>
                <w:i/>
                <w:color w:val="101828"/>
                <w:sz w:val="14"/>
              </w:rPr>
              <w:t>3 payouts received, NGN 30,000.00 in total</w:t>
            </w:r>
            <w:r>
              <w:rPr>
                <w:rFonts w:ascii="Calibri" w:hAnsi="Calibri"/>
                <w:b w:val="0"/>
                <w:i w:val="0"/>
                <w:color w:val="101828"/>
                <w:sz w:val="14"/>
              </w:rPr>
              <w:t xml:space="preserve"> — a total across payouts, which is a member's own money and carries no fee, so the two kinds of money never share a line anywhere in the product. Then rows: the base pool amount, the Ajo, the round, and the date. Each row carries its state, which for a payout is almost always </w:t>
            </w:r>
            <w:r>
              <w:rPr>
                <w:rFonts w:ascii="Calibri" w:hAnsi="Calibri"/>
                <w:i/>
                <w:color w:val="101828"/>
                <w:sz w:val="14"/>
              </w:rPr>
              <w:t>paid</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Row skeletons at 80 px, with the summary line skeleton reserving the amount's width.</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No payouts yet. You will be paid when your round is collected.</w:t>
            </w:r>
            <w:r>
              <w:rPr>
                <w:rFonts w:ascii="Calibri" w:hAnsi="Calibri"/>
                <w:b w:val="0"/>
                <w:i w:val="0"/>
                <w:color w:val="101828"/>
                <w:sz w:val="14"/>
              </w:rPr>
              <w:t>, with the viewer's position and the estimated first payout date where the schedule knows them, because an empty payout screen is alarming and this one can be made reassuring with two facts.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Contained to the list. A failed statement download reports against the control and does not clear the list.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statement download reports in place with a link to the file. A newly received payout appears at the top with a single confirmation.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row per payout at every width. The amount never drops below 20 px. The filter becomes a sheet below </w:t>
            </w:r>
            <w:r>
              <w:rPr>
                <w:rFonts w:ascii="Consolas" w:hAnsi="Consolas"/>
                <w:color w:val="146EF5"/>
                <w:sz w:val="14"/>
              </w:rPr>
              <w:t>sm</w:t>
            </w:r>
            <w:r>
              <w:rPr>
                <w:rFonts w:ascii="Calibri" w:hAnsi="Calibri"/>
                <w:b w:val="0"/>
                <w:i w:val="0"/>
                <w:color w:val="101828"/>
                <w:sz w:val="14"/>
              </w:rPr>
              <w:t xml:space="preserve"> and a segmented control above it, and </w:t>
            </w:r>
            <w:r>
              <w:rPr>
                <w:rFonts w:ascii="Calibri" w:hAnsi="Calibri"/>
                <w:b/>
                <w:color w:val="101828"/>
                <w:sz w:val="14"/>
              </w:rPr>
              <w:t>the filter state is stated in the summary line</w:t>
            </w:r>
            <w:r>
              <w:rPr>
                <w:rFonts w:ascii="Calibri" w:hAnsi="Calibri"/>
                <w:b w:val="0"/>
                <w:i w:val="0"/>
                <w:color w:val="101828"/>
                <w:sz w:val="14"/>
              </w:rPr>
              <w:t xml:space="preserve"> so a filtered list never presents itself as the whole history.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list is a list of links with accessible names in the form </w:t>
            </w:r>
            <w:r>
              <w:rPr>
                <w:rFonts w:ascii="Calibri" w:hAnsi="Calibri"/>
                <w:i/>
                <w:color w:val="101828"/>
                <w:sz w:val="14"/>
              </w:rPr>
              <w:t>NGN 10,000.00 received, Market women, round 4, 12 October 2026</w:t>
            </w:r>
            <w:r>
              <w:rPr>
                <w:rFonts w:ascii="Calibri" w:hAnsi="Calibri"/>
                <w:b w:val="0"/>
                <w:i w:val="0"/>
                <w:color w:val="101828"/>
                <w:sz w:val="14"/>
              </w:rPr>
              <w:t>. The amount is the first thing in the name. The summary line is a live region updated when the filter changes, so a screen reader user knows the list is now filtered before they start reading it.</w:t>
            </w:r>
          </w:p>
        </w:tc>
      </w:tr>
    </w:tbl>
    <w:p>
      <w:pPr>
        <w:spacing w:after="80"/>
      </w:pPr>
    </w:p>
    <w:p>
      <w:pPr>
        <w:pStyle w:val="Heading3"/>
      </w:pPr>
      <w:r>
        <w:rPr>
          <w:rFonts w:ascii="Calibri" w:hAnsi="Calibri"/>
          <w:b/>
          <w:i w:val="0"/>
          <w:color w:val="0B1F3A"/>
          <w:sz w:val="24"/>
        </w:rPr>
        <w:t>4.14.2 Payout detail — SCR-MOB-13</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Show one payout in full: the amount received, the Ajo and round it came from, the date, the destination, and what the round was worth before the fee.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member who has been paid and wants to reconcile it: </w:t>
            </w:r>
            <w:r>
              <w:rPr>
                <w:rFonts w:ascii="Calibri" w:hAnsi="Calibri"/>
                <w:i/>
                <w:color w:val="101828"/>
                <w:sz w:val="14"/>
              </w:rPr>
              <w:t>ten of us paid in, the pool was ten thousand, I got ten thousand.</w:t>
            </w:r>
            <w:r>
              <w:rPr>
                <w:rFonts w:ascii="Calibri" w:hAnsi="Calibri"/>
                <w:b w:val="0"/>
                <w:i w:val="0"/>
                <w:color w:val="101828"/>
                <w:sz w:val="14"/>
              </w:rPr>
              <w:t xml:space="preserve"> The reconciliation must be possible from this screen alone, without a support ticket.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A document-like single column: the payout amount as a large display figure, then a facts table, then a short reconciliation block, then a receipt link.</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DisplayAmount</w:t>
            </w:r>
            <w:r>
              <w:rPr>
                <w:rFonts w:ascii="Calibri" w:hAnsi="Calibri"/>
                <w:b w:val="0"/>
                <w:i w:val="0"/>
                <w:color w:val="101828"/>
                <w:sz w:val="14"/>
              </w:rPr>
              <w:t xml:space="preserve">, </w:t>
            </w:r>
            <w:r>
              <w:rPr>
                <w:rFonts w:ascii="Consolas" w:hAnsi="Consolas"/>
                <w:color w:val="146EF5"/>
                <w:sz w:val="14"/>
              </w:rPr>
              <w:t>Table</w:t>
            </w:r>
            <w:r>
              <w:rPr>
                <w:rFonts w:ascii="Calibri" w:hAnsi="Calibri"/>
                <w:b w:val="0"/>
                <w:i w:val="0"/>
                <w:color w:val="101828"/>
                <w:sz w:val="14"/>
              </w:rPr>
              <w:t xml:space="preserve"> (facts), </w:t>
            </w:r>
            <w:r>
              <w:rPr>
                <w:rFonts w:ascii="Consolas" w:hAnsi="Consolas"/>
                <w:color w:val="146EF5"/>
                <w:sz w:val="14"/>
              </w:rPr>
              <w:t>MoneyBlock</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(secondary), </w:t>
            </w:r>
            <w:r>
              <w:rPr>
                <w:rFonts w:ascii="Consolas" w:hAnsi="Consolas"/>
                <w:color w:val="146EF5"/>
                <w:sz w:val="14"/>
              </w:rPr>
              <w:t>Callout</w:t>
            </w:r>
            <w:r>
              <w:rPr>
                <w:rFonts w:ascii="Calibri" w:hAnsi="Calibri"/>
                <w:b w:val="0"/>
                <w:i w:val="0"/>
                <w:color w:val="101828"/>
                <w:sz w:val="14"/>
              </w:rPr>
              <w:t xml:space="preserve"> (NOTE, where the money came from).</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Reached from SCR-MOB-12's rows, from the Ajo detail's economics region, and from a payout notification. Deep-linkable.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View the receipt</w:t>
            </w:r>
            <w:r>
              <w:rPr>
                <w:rFonts w:ascii="Calibri" w:hAnsi="Calibri"/>
                <w:b w:val="0"/>
                <w:i w:val="0"/>
                <w:color w:val="101828"/>
                <w:sz w:val="14"/>
              </w:rPr>
              <w:t xml:space="preserve"> (secondary outlined) and </w:t>
            </w:r>
            <w:r>
              <w:rPr>
                <w:rFonts w:ascii="Calibri" w:hAnsi="Calibri"/>
                <w:i/>
                <w:color w:val="101828"/>
                <w:sz w:val="14"/>
              </w:rPr>
              <w:t>Download a statement</w:t>
            </w:r>
            <w:r>
              <w:rPr>
                <w:rFonts w:ascii="Calibri" w:hAnsi="Calibri"/>
                <w:b w:val="0"/>
                <w:i w:val="0"/>
                <w:color w:val="101828"/>
                <w:sz w:val="14"/>
              </w:rPr>
              <w:t xml:space="preserve"> (secondary outlined).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color w:val="101828"/>
                <w:sz w:val="14"/>
              </w:rPr>
              <w:t>Base pool paid to you NGN 10,000.00</w:t>
            </w:r>
            <w:r>
              <w:rPr>
                <w:rFonts w:ascii="Calibri" w:hAnsi="Calibri"/>
                <w:b w:val="0"/>
                <w:i w:val="0"/>
                <w:color w:val="101828"/>
                <w:sz w:val="14"/>
              </w:rPr>
              <w:t xml:space="preserve"> as the display figure, at 32 px or larger. Facts: the Ajo, the round, the collection date, the payout date, the destination's masked form, and the payout reference. Then the reconciliation block, in exactly this form: </w:t>
            </w:r>
            <w:r>
              <w:rPr>
                <w:rFonts w:ascii="Calibri" w:hAnsi="Calibri"/>
                <w:i/>
                <w:color w:val="101828"/>
                <w:sz w:val="14"/>
              </w:rPr>
              <w:t>Ten members each paid NGN 1,000.00, which is NGN 10,000.00. AJO.ng added its fee of NGN 200.00 for the round, which is never taken from what you receive. You were paid NGN 10,000.00.</w:t>
            </w:r>
            <w:r>
              <w:rPr>
                <w:rFonts w:ascii="Calibri" w:hAnsi="Calibri"/>
                <w:b w:val="0"/>
                <w:i w:val="0"/>
                <w:color w:val="101828"/>
                <w:sz w:val="14"/>
              </w:rPr>
              <w:t xml:space="preserve"> </w:t>
            </w:r>
            <w:r>
              <w:rPr>
                <w:rFonts w:ascii="Calibri" w:hAnsi="Calibri"/>
                <w:b/>
                <w:color w:val="101828"/>
                <w:sz w:val="14"/>
              </w:rPr>
              <w:t>The arithmetic is shown, not asserted, so a member can check it in their head and find it correct.</w:t>
            </w:r>
            <w:r>
              <w:rPr>
                <w:rFonts w:ascii="Calibri" w:hAnsi="Calibri"/>
                <w:b w:val="0"/>
                <w:i w:val="0"/>
                <w:color w:val="101828"/>
                <w:sz w:val="14"/>
              </w:rPr>
              <w:t xml:space="preserve"> A NOTE linking to the fee page.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Skeleton reserving the display figure's width and the reconciliation block's three lines.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A payout that does not resolve, or that belongs to another member, returns the tier-2 not-found screen identically.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 Payouts are terminal records.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One column at every width. The display figure never wraps or truncates; the longest realistic value fits at 24 px in a 320 px viewport, and the layout steps down rather than clipping. The reconciliation block is prose at body size and is never reduced to a table on mobile.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display figure is a heading-adjacent display text with an accessible name of </w:t>
            </w:r>
            <w:r>
              <w:rPr>
                <w:rFonts w:ascii="Calibri" w:hAnsi="Calibri"/>
                <w:i/>
                <w:color w:val="101828"/>
                <w:sz w:val="14"/>
              </w:rPr>
              <w:t>Base pool paid to you, ten thousand naira</w:t>
            </w:r>
            <w:r>
              <w:rPr>
                <w:rFonts w:ascii="Calibri" w:hAnsi="Calibri"/>
                <w:b w:val="0"/>
                <w:i w:val="0"/>
                <w:color w:val="101828"/>
                <w:sz w:val="14"/>
              </w:rPr>
              <w:t xml:space="preserve">, so a screen reader user hears the number and its meaning together. The reconciliation is a paragraph read in order, which is the only order in which it makes sense. The masked destination is read as </w:t>
            </w:r>
            <w:r>
              <w:rPr>
                <w:rFonts w:ascii="Calibri" w:hAnsi="Calibri"/>
                <w:i/>
                <w:color w:val="101828"/>
                <w:sz w:val="14"/>
              </w:rPr>
              <w:t>account ending 4821</w:t>
            </w:r>
            <w:r>
              <w:rPr>
                <w:rFonts w:ascii="Calibri" w:hAnsi="Calibri"/>
                <w:b w:val="0"/>
                <w:i w:val="0"/>
                <w:color w:val="101828"/>
                <w:sz w:val="14"/>
              </w:rPr>
              <w:t>, never as a run of asterisks.</w:t>
            </w:r>
          </w:p>
        </w:tc>
      </w:tr>
    </w:tbl>
    <w:p>
      <w:pPr>
        <w:spacing w:after="80"/>
      </w:pPr>
    </w:p>
    <w:p>
      <w:r>
        <w:br w:type="page"/>
      </w:r>
    </w:p>
    <w:p>
      <w:pPr>
        <w:pStyle w:val="Heading2"/>
      </w:pPr>
      <w:r>
        <w:rPr>
          <w:rFonts w:ascii="Calibri" w:hAnsi="Calibri"/>
          <w:b/>
          <w:i w:val="0"/>
          <w:color w:val="146EF5"/>
          <w:sz w:val="29"/>
        </w:rPr>
        <w:t>4.15 Transactions — SCR-MOB-14</w:t>
      </w:r>
    </w:p>
    <w:p>
      <w:r>
        <w:rPr>
          <w:rFonts w:ascii="Calibri" w:hAnsi="Calibri"/>
          <w:b w:val="0"/>
          <w:i w:val="0"/>
          <w:color w:val="101828"/>
          <w:sz w:val="21"/>
        </w:rPr>
        <w:t>Transactions are the ledger, read by a member. This screen is the most boring in the product and the one that most needs to be exactly right, because it is the screen a member opens when something has gone wrong and they are looking for the entry that proves it.</w:t>
      </w:r>
    </w:p>
    <w:p>
      <w:pPr>
        <w:pStyle w:val="Heading3"/>
      </w:pPr>
      <w:r>
        <w:rPr>
          <w:rFonts w:ascii="Calibri" w:hAnsi="Calibri"/>
          <w:b/>
          <w:i w:val="0"/>
          <w:color w:val="0B1F3A"/>
          <w:sz w:val="24"/>
        </w:rPr>
        <w:t>4.15.1 Transactions — SCR-MOB-14</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Show the member's own ledger, in order, with every entry's type, amount, direction and the entry it corrected, and make each entry a permalink.</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reconciling what left and what arrived. Increasingly, this is also a member gathering evidence for a dispute or for a bank, which is why every entry is a stable, forwardable link.</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One column, grouped by month, each group with a heading and a subtotal, and rows of 64 px carrying a type icon, a one-line description, the date, and a right-aligned signed amount. The amount is right-aligned with tabular figures throughout so the decimal points line up, which is the only way a list of money can be scanned.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SectionList</w:t>
            </w:r>
            <w:r>
              <w:rPr>
                <w:rFonts w:ascii="Calibri" w:hAnsi="Calibri"/>
                <w:b w:val="0"/>
                <w:i w:val="0"/>
                <w:color w:val="101828"/>
                <w:sz w:val="14"/>
              </w:rPr>
              <w:t xml:space="preserve">, </w:t>
            </w:r>
            <w:r>
              <w:rPr>
                <w:rFonts w:ascii="Consolas" w:hAnsi="Consolas"/>
                <w:color w:val="146EF5"/>
                <w:sz w:val="14"/>
              </w:rPr>
              <w:t>ListItem</w:t>
            </w:r>
            <w:r>
              <w:rPr>
                <w:rFonts w:ascii="Calibri" w:hAnsi="Calibri"/>
                <w:b w:val="0"/>
                <w:i w:val="0"/>
                <w:color w:val="101828"/>
                <w:sz w:val="14"/>
              </w:rPr>
              <w:t xml:space="preserve"> (transaction), </w:t>
            </w:r>
            <w:r>
              <w:rPr>
                <w:rFonts w:ascii="Consolas" w:hAnsi="Consolas"/>
                <w:color w:val="146EF5"/>
                <w:sz w:val="14"/>
              </w:rPr>
              <w:t>MoneyText</w:t>
            </w:r>
            <w:r>
              <w:rPr>
                <w:rFonts w:ascii="Calibri" w:hAnsi="Calibri"/>
                <w:b w:val="0"/>
                <w:i w:val="0"/>
                <w:color w:val="101828"/>
                <w:sz w:val="14"/>
              </w:rPr>
              <w:t xml:space="preserve"> (signed), </w:t>
            </w:r>
            <w:r>
              <w:rPr>
                <w:rFonts w:ascii="Consolas" w:hAnsi="Consolas"/>
                <w:color w:val="146EF5"/>
                <w:sz w:val="14"/>
              </w:rPr>
              <w:t>FilterSheet</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(secondary), </w:t>
            </w:r>
            <w:r>
              <w:rPr>
                <w:rFonts w:ascii="Consolas" w:hAnsi="Consolas"/>
                <w:color w:val="146EF5"/>
                <w:sz w:val="14"/>
              </w:rPr>
              <w:t>EmptyState</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Reached from the dashboard's </w:t>
            </w:r>
            <w:r>
              <w:rPr>
                <w:rFonts w:ascii="Calibri" w:hAnsi="Calibri"/>
                <w:i/>
                <w:color w:val="101828"/>
                <w:sz w:val="14"/>
              </w:rPr>
              <w:t>View all activity</w:t>
            </w:r>
            <w:r>
              <w:rPr>
                <w:rFonts w:ascii="Calibri" w:hAnsi="Calibri"/>
                <w:b w:val="0"/>
                <w:i w:val="0"/>
                <w:color w:val="101828"/>
                <w:sz w:val="14"/>
              </w:rPr>
              <w:t>, from the More menu, and from any notification that references an entry. Deep-linkable to a single entry. The Ajo-scoped filter is available and states itself.</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None. This is a ledger; it is read and exported, not acted upon.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Download a statement</w:t>
            </w:r>
            <w:r>
              <w:rPr>
                <w:rFonts w:ascii="Calibri" w:hAnsi="Calibri"/>
                <w:b w:val="0"/>
                <w:i w:val="0"/>
                <w:color w:val="101828"/>
                <w:sz w:val="14"/>
              </w:rPr>
              <w:t xml:space="preserve"> (secondary outlined) and a filter control (secondary outlined, opening a sheet). Tertiary: </w:t>
            </w:r>
            <w:r>
              <w:rPr>
                <w:rFonts w:ascii="Calibri" w:hAnsi="Calibri"/>
                <w:i/>
                <w:color w:val="101828"/>
                <w:sz w:val="14"/>
              </w:rPr>
              <w:t>Read about your ledger</w:t>
            </w:r>
            <w:r>
              <w:rPr>
                <w:rFonts w:ascii="Calibri" w:hAnsi="Calibri"/>
                <w:b w:val="0"/>
                <w:i w:val="0"/>
                <w:color w:val="101828"/>
                <w:sz w:val="14"/>
              </w:rPr>
              <w:t xml:space="preserve"> (tertiary link) to a short explanation of entry types.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Month headings with subtotals. Rows: the entry type — contribution, fee, payout, correction, refund; a one-line description naming the Ajo and the round; the date and time to the minute, because a correction must be placeable relative to the entry it corrects; and the signed amount, in naira to the kobo. </w:t>
            </w:r>
            <w:r>
              <w:rPr>
                <w:rFonts w:ascii="Calibri" w:hAnsi="Calibri"/>
                <w:b/>
                <w:color w:val="101828"/>
                <w:sz w:val="14"/>
              </w:rPr>
              <w:t>Corrections render as their own row linked to the entry they correct, and never as an edit to it.</w:t>
            </w:r>
            <w:r>
              <w:rPr>
                <w:rFonts w:ascii="Calibri" w:hAnsi="Calibri"/>
                <w:b w:val="0"/>
                <w:i w:val="0"/>
                <w:color w:val="101828"/>
                <w:sz w:val="14"/>
              </w:rPr>
              <w:t xml:space="preserve"> The linked pair is shown together, with the correcting row indented and marked </w:t>
            </w:r>
            <w:r>
              <w:rPr>
                <w:rFonts w:ascii="Calibri" w:hAnsi="Calibri"/>
                <w:i/>
                <w:color w:val="101828"/>
                <w:sz w:val="14"/>
              </w:rPr>
              <w:t>Correction</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Row skeletons at 64 px, with the first group heading rendered first so the structure is visible. Pagination loads on scroll with a footer sentinel, not a </w:t>
            </w:r>
            <w:r>
              <w:rPr>
                <w:rFonts w:ascii="Calibri" w:hAnsi="Calibri"/>
                <w:i/>
                <w:color w:val="101828"/>
                <w:sz w:val="14"/>
              </w:rPr>
              <w:t>Load more</w:t>
            </w:r>
            <w:r>
              <w:rPr>
                <w:rFonts w:ascii="Calibri" w:hAnsi="Calibri"/>
                <w:b w:val="0"/>
                <w:i w:val="0"/>
                <w:color w:val="101828"/>
                <w:sz w:val="14"/>
              </w:rPr>
              <w:t xml:space="preserve"> button, and the sentinel carries an accessible label.</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No transactions yet.</w:t>
            </w:r>
            <w:r>
              <w:rPr>
                <w:rFonts w:ascii="Calibri" w:hAnsi="Calibri"/>
                <w:b w:val="0"/>
                <w:i w:val="0"/>
                <w:color w:val="101828"/>
                <w:sz w:val="14"/>
              </w:rPr>
              <w:t xml:space="preserve"> with the two things that will produce the first one, which are the Ajo's payment day and the member's position.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Contained to the list. A page load failure keeps the already-loaded months and reports the failure at the foot, so a member reading history is never returned to the top of an empty screen.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statement download reports in place with a link.</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row per entry at every width. The filter becomes a sheet below </w:t>
            </w:r>
            <w:r>
              <w:rPr>
                <w:rFonts w:ascii="Consolas" w:hAnsi="Consolas"/>
                <w:color w:val="146EF5"/>
                <w:sz w:val="14"/>
              </w:rPr>
              <w:t>sm</w:t>
            </w:r>
            <w:r>
              <w:rPr>
                <w:rFonts w:ascii="Calibri" w:hAnsi="Calibri"/>
                <w:b w:val="0"/>
                <w:i w:val="0"/>
                <w:color w:val="101828"/>
                <w:sz w:val="14"/>
              </w:rPr>
              <w:t>. The signed amount is never truncated and never moves above the description, so the two are never compared at different scales.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list is a list of links with accessible names in the form </w:t>
            </w:r>
            <w:r>
              <w:rPr>
                <w:rFonts w:ascii="Calibri" w:hAnsi="Calibri"/>
                <w:i/>
                <w:color w:val="101828"/>
                <w:sz w:val="14"/>
              </w:rPr>
              <w:t>Contribution, NGN 1,020.00, Market women round 3, 12 October 2026</w:t>
            </w:r>
            <w:r>
              <w:rPr>
                <w:rFonts w:ascii="Calibri" w:hAnsi="Calibri"/>
                <w:b w:val="0"/>
                <w:i w:val="0"/>
                <w:color w:val="101828"/>
                <w:sz w:val="14"/>
              </w:rPr>
              <w:t xml:space="preserve">. </w:t>
            </w:r>
            <w:r>
              <w:rPr>
                <w:rFonts w:ascii="Calibri" w:hAnsi="Calibri"/>
                <w:b/>
                <w:color w:val="101828"/>
                <w:sz w:val="14"/>
              </w:rPr>
              <w:t>Direction is stated in words — *paid out* or *received* — and never by a leading minus or plus sign alone</w:t>
            </w:r>
            <w:r>
              <w:rPr>
                <w:rFonts w:ascii="Calibri" w:hAnsi="Calibri"/>
                <w:b w:val="0"/>
                <w:i w:val="0"/>
                <w:color w:val="101828"/>
                <w:sz w:val="14"/>
              </w:rPr>
              <w:t xml:space="preserve">, because a screen reader user is not told which one a minus sign means. A correcting entry's accessible name begins </w:t>
            </w:r>
            <w:r>
              <w:rPr>
                <w:rFonts w:ascii="Calibri" w:hAnsi="Calibri"/>
                <w:i/>
                <w:color w:val="101828"/>
                <w:sz w:val="14"/>
              </w:rPr>
              <w:t>Correction of</w:t>
            </w:r>
            <w:r>
              <w:rPr>
                <w:rFonts w:ascii="Calibri" w:hAnsi="Calibri"/>
                <w:b w:val="0"/>
                <w:i w:val="0"/>
                <w:color w:val="101828"/>
                <w:sz w:val="14"/>
              </w:rPr>
              <w:t>, naming the entry corrected.</w:t>
            </w:r>
          </w:p>
        </w:tc>
      </w:tr>
    </w:tbl>
    <w:p>
      <w:pPr>
        <w:spacing w:after="80"/>
      </w:pPr>
    </w:p>
    <w:p>
      <w:r>
        <w:br w:type="page"/>
      </w:r>
    </w:p>
    <w:p>
      <w:pPr>
        <w:pStyle w:val="Heading2"/>
      </w:pPr>
      <w:r>
        <w:rPr>
          <w:rFonts w:ascii="Calibri" w:hAnsi="Calibri"/>
          <w:b/>
          <w:i w:val="0"/>
          <w:color w:val="146EF5"/>
          <w:sz w:val="29"/>
        </w:rPr>
        <w:t>4.16 Notifications — SCR-MOB-15</w:t>
      </w:r>
    </w:p>
    <w:p>
      <w:pPr>
        <w:pStyle w:val="Heading3"/>
      </w:pPr>
      <w:r>
        <w:rPr>
          <w:rFonts w:ascii="Calibri" w:hAnsi="Calibri"/>
          <w:b/>
          <w:i w:val="0"/>
          <w:color w:val="0B1F3A"/>
          <w:sz w:val="24"/>
        </w:rPr>
        <w:t>4.16.1 Notifications — SCR-MOB-15</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Collect everything the product has tried to tell a member in one place, permanently, including messages whose delivery channel failed, and make each one a link to the thing it is about.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who missed an SMS, or who is checking in with their phone offline, or who wants to know what the system told them last week. The third case is the one people forget to design for and it is the reason this screen is a list rather than a toast stream.</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column. Unread count in the header with a </w:t>
            </w:r>
            <w:r>
              <w:rPr>
                <w:rFonts w:ascii="Calibri" w:hAnsi="Calibri"/>
                <w:i/>
                <w:color w:val="101828"/>
                <w:sz w:val="14"/>
              </w:rPr>
              <w:t>Mark all read</w:t>
            </w:r>
            <w:r>
              <w:rPr>
                <w:rFonts w:ascii="Calibri" w:hAnsi="Calibri"/>
                <w:b w:val="0"/>
                <w:i w:val="0"/>
                <w:color w:val="101828"/>
                <w:sz w:val="14"/>
              </w:rPr>
              <w:t xml:space="preserve"> tertiary link, then rows of 72 px: a type icon, a title, a one-line body, a relative time, and an unread marker. Rows group by day, with a </w:t>
            </w:r>
            <w:r>
              <w:rPr>
                <w:rFonts w:ascii="Calibri" w:hAnsi="Calibri"/>
                <w:i/>
                <w:color w:val="101828"/>
                <w:sz w:val="14"/>
              </w:rPr>
              <w:t>Today</w:t>
            </w:r>
            <w:r>
              <w:rPr>
                <w:rFonts w:ascii="Calibri" w:hAnsi="Calibri"/>
                <w:b w:val="0"/>
                <w:i w:val="0"/>
                <w:color w:val="101828"/>
                <w:sz w:val="14"/>
              </w:rPr>
              <w:t xml:space="preserve"> and </w:t>
            </w:r>
            <w:r>
              <w:rPr>
                <w:rFonts w:ascii="Calibri" w:hAnsi="Calibri"/>
                <w:i/>
                <w:color w:val="101828"/>
                <w:sz w:val="14"/>
              </w:rPr>
              <w:t>Yesterday</w:t>
            </w:r>
            <w:r>
              <w:rPr>
                <w:rFonts w:ascii="Calibri" w:hAnsi="Calibri"/>
                <w:b w:val="0"/>
                <w:i w:val="0"/>
                <w:color w:val="101828"/>
                <w:sz w:val="14"/>
              </w:rPr>
              <w:t xml:space="preserve"> heading.</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ListItem</w:t>
            </w:r>
            <w:r>
              <w:rPr>
                <w:rFonts w:ascii="Calibri" w:hAnsi="Calibri"/>
                <w:b w:val="0"/>
                <w:i w:val="0"/>
                <w:color w:val="101828"/>
                <w:sz w:val="14"/>
              </w:rPr>
              <w:t xml:space="preserve"> (notification), </w:t>
            </w:r>
            <w:r>
              <w:rPr>
                <w:rFonts w:ascii="Consolas" w:hAnsi="Consolas"/>
                <w:color w:val="146EF5"/>
                <w:sz w:val="14"/>
              </w:rPr>
              <w:t>Icon</w:t>
            </w:r>
            <w:r>
              <w:rPr>
                <w:rFonts w:ascii="Calibri" w:hAnsi="Calibri"/>
                <w:b w:val="0"/>
                <w:i w:val="0"/>
                <w:color w:val="101828"/>
                <w:sz w:val="14"/>
              </w:rPr>
              <w:t xml:space="preserve">, </w:t>
            </w:r>
            <w:r>
              <w:rPr>
                <w:rFonts w:ascii="Consolas" w:hAnsi="Consolas"/>
                <w:color w:val="146EF5"/>
                <w:sz w:val="14"/>
              </w:rPr>
              <w:t>Badge</w:t>
            </w:r>
            <w:r>
              <w:rPr>
                <w:rFonts w:ascii="Calibri" w:hAnsi="Calibri"/>
                <w:b w:val="0"/>
                <w:i w:val="0"/>
                <w:color w:val="101828"/>
                <w:sz w:val="14"/>
              </w:rPr>
              <w:t xml:space="preserve"> (unread), </w:t>
            </w:r>
            <w:r>
              <w:rPr>
                <w:rFonts w:ascii="Consolas" w:hAnsi="Consolas"/>
                <w:color w:val="146EF5"/>
                <w:sz w:val="14"/>
              </w:rPr>
              <w:t>RelativeTime</w:t>
            </w:r>
            <w:r>
              <w:rPr>
                <w:rFonts w:ascii="Calibri" w:hAnsi="Calibri"/>
                <w:b w:val="0"/>
                <w:i w:val="0"/>
                <w:color w:val="101828"/>
                <w:sz w:val="14"/>
              </w:rPr>
              <w:t xml:space="preserve">, </w:t>
            </w:r>
            <w:r>
              <w:rPr>
                <w:rFonts w:ascii="Consolas" w:hAnsi="Consolas"/>
                <w:color w:val="146EF5"/>
                <w:sz w:val="14"/>
              </w:rPr>
              <w:t>EmptyState</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(secondary).</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Reached from the top bar's bell, which carries the unread count as text, and from a notification deep link, which marks the entry read on arrival. </w:t>
            </w:r>
            <w:r>
              <w:rPr>
                <w:rFonts w:ascii="Consolas" w:hAnsi="Consolas"/>
                <w:color w:val="146EF5"/>
                <w:sz w:val="14"/>
              </w:rPr>
              <w:t>noindex</w:t>
            </w:r>
            <w:r>
              <w:rPr>
                <w:rFonts w:ascii="Calibri" w:hAnsi="Calibri"/>
                <w:b w:val="0"/>
                <w:i w:val="0"/>
                <w:color w:val="101828"/>
                <w:sz w:val="14"/>
              </w:rPr>
              <w: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None. A list of things to go to has no primary action.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Mark all as read</w:t>
            </w:r>
            <w:r>
              <w:rPr>
                <w:rFonts w:ascii="Calibri" w:hAnsi="Calibri"/>
                <w:b w:val="0"/>
                <w:i w:val="0"/>
                <w:color w:val="101828"/>
                <w:sz w:val="14"/>
              </w:rPr>
              <w:t xml:space="preserve"> (secondary outlined) at the foot of the list when anything is unread.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One row per notification, typed. The types: payment due, payment confirmed, payment failed, payout sent, Ajo activated, Ajo cancelled, round collected, round not collected, position changed, replacement requested, replacement accepted, identity check needed, security alert, support reply. </w:t>
            </w:r>
            <w:r>
              <w:rPr>
                <w:rFonts w:ascii="Calibri" w:hAnsi="Calibri"/>
                <w:b/>
                <w:color w:val="101828"/>
                <w:sz w:val="14"/>
              </w:rPr>
              <w:t>Every money-bearing notification names the amount and the direction in the body text, not only in the destination screen</w:t>
            </w:r>
            <w:r>
              <w:rPr>
                <w:rFonts w:ascii="Calibri" w:hAnsi="Calibri"/>
                <w:b w:val="0"/>
                <w:i w:val="0"/>
                <w:color w:val="101828"/>
                <w:sz w:val="14"/>
              </w:rPr>
              <w:t xml:space="preserve">, because the notification is often read on a lock screen with half the screen covered. A </w:t>
            </w:r>
            <w:r>
              <w:rPr>
                <w:rFonts w:ascii="Calibri" w:hAnsi="Calibri"/>
                <w:i/>
                <w:color w:val="101828"/>
                <w:sz w:val="14"/>
              </w:rPr>
              <w:t>not collected</w:t>
            </w:r>
            <w:r>
              <w:rPr>
                <w:rFonts w:ascii="Calibri" w:hAnsi="Calibri"/>
                <w:b w:val="0"/>
                <w:i w:val="0"/>
                <w:color w:val="101828"/>
                <w:sz w:val="14"/>
              </w:rPr>
              <w:t xml:space="preserve"> notification names the Ajo and the shortfall and </w:t>
            </w:r>
            <w:r>
              <w:rPr>
                <w:rFonts w:ascii="Calibri" w:hAnsi="Calibri"/>
                <w:b/>
                <w:color w:val="101828"/>
                <w:sz w:val="14"/>
              </w:rPr>
              <w:t>never names the member who did not pay, to any recipient.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Six row skeletons at 72 px. The unread count resolves with the rows and is never shown as a stale number.</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No notifications yet. Payment and payout messages will appear here.</w:t>
            </w:r>
            <w:r>
              <w:rPr>
                <w:rFonts w:ascii="Calibri" w:hAnsi="Calibri"/>
                <w:b w:val="0"/>
                <w:i w:val="0"/>
                <w:color w:val="101828"/>
                <w:sz w:val="14"/>
              </w:rPr>
              <w:t>, which is the truthful statement of what this screen will ever contain.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Contained to the list with a retry. A failure to mark as read is silent — it is a preference, and surfacing it would be noise.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Marking read removes the marker in place without a toast. Opening a notification marks it read and does not remove it, because a member who has read a payment-failed notification needs it to still be there tomorrow.</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row per notification at every width, full width capped at 480 px. At </w:t>
            </w:r>
            <w:r>
              <w:rPr>
                <w:rFonts w:ascii="Consolas" w:hAnsi="Consolas"/>
                <w:color w:val="146EF5"/>
                <w:sz w:val="14"/>
              </w:rPr>
              <w:t>sm</w:t>
            </w:r>
            <w:r>
              <w:rPr>
                <w:rFonts w:ascii="Calibri" w:hAnsi="Calibri"/>
                <w:b w:val="0"/>
                <w:i w:val="0"/>
                <w:color w:val="101828"/>
                <w:sz w:val="14"/>
              </w:rPr>
              <w:t xml:space="preserve"> and above the time moves to the trailing edge; below it sits under the title. The body is clamped to two lines at every width, and the full text is in the row's accessible name.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list is a list of links. The unread marker is a text badge as well as a visual dot, and the row's accessible name begins </w:t>
            </w:r>
            <w:r>
              <w:rPr>
                <w:rFonts w:ascii="Calibri" w:hAnsi="Calibri"/>
                <w:i/>
                <w:color w:val="101828"/>
                <w:sz w:val="14"/>
              </w:rPr>
              <w:t>Unread</w:t>
            </w:r>
            <w:r>
              <w:rPr>
                <w:rFonts w:ascii="Calibri" w:hAnsi="Calibri"/>
                <w:b w:val="0"/>
                <w:i w:val="0"/>
                <w:color w:val="101828"/>
                <w:sz w:val="14"/>
              </w:rPr>
              <w:t xml:space="preserve"> where unread. Relative times are accompanied by the absolute date in the accessible name — </w:t>
            </w:r>
            <w:r>
              <w:rPr>
                <w:rFonts w:ascii="Calibri" w:hAnsi="Calibri"/>
                <w:i/>
                <w:color w:val="101828"/>
                <w:sz w:val="14"/>
              </w:rPr>
              <w:t>two days ago, 12 October 2026</w:t>
            </w:r>
            <w:r>
              <w:rPr>
                <w:rFonts w:ascii="Calibri" w:hAnsi="Calibri"/>
                <w:b w:val="0"/>
                <w:i w:val="0"/>
                <w:color w:val="101828"/>
                <w:sz w:val="14"/>
              </w:rPr>
              <w:t xml:space="preserve"> — because </w:t>
            </w:r>
            <w:r>
              <w:rPr>
                <w:rFonts w:ascii="Calibri" w:hAnsi="Calibri"/>
                <w:i/>
                <w:color w:val="101828"/>
                <w:sz w:val="14"/>
              </w:rPr>
              <w:t>2d</w:t>
            </w:r>
            <w:r>
              <w:rPr>
                <w:rFonts w:ascii="Calibri" w:hAnsi="Calibri"/>
                <w:b w:val="0"/>
                <w:i w:val="0"/>
                <w:color w:val="101828"/>
                <w:sz w:val="14"/>
              </w:rPr>
              <w:t xml:space="preserve"> is meaningless aloud. The unread count on the bell is text, not a bare dot.</w:t>
            </w:r>
          </w:p>
        </w:tc>
      </w:tr>
    </w:tbl>
    <w:p>
      <w:pPr>
        <w:spacing w:after="80"/>
      </w:pPr>
    </w:p>
    <w:p>
      <w:r>
        <w:br w:type="page"/>
      </w:r>
    </w:p>
    <w:p>
      <w:pPr>
        <w:pStyle w:val="Heading2"/>
      </w:pPr>
      <w:r>
        <w:rPr>
          <w:rFonts w:ascii="Calibri" w:hAnsi="Calibri"/>
          <w:b/>
          <w:i w:val="0"/>
          <w:color w:val="146EF5"/>
          <w:sz w:val="29"/>
        </w:rPr>
        <w:t>4.17 Disputes — SCR-MOB-16, SCR-MOB-17, SCR-MOB-18</w:t>
      </w:r>
    </w:p>
    <w:p>
      <w:r>
        <w:rPr>
          <w:rFonts w:ascii="Calibri" w:hAnsi="Calibri"/>
          <w:b w:val="0"/>
          <w:i w:val="0"/>
          <w:color w:val="101828"/>
          <w:sz w:val="21"/>
        </w:rPr>
        <w:t xml:space="preserve">Three screens: the list, the filing form, and the case. The rule that governs all three is the hardest one in the product: </w:t>
      </w:r>
      <w:r>
        <w:rPr>
          <w:rFonts w:ascii="Calibri" w:hAnsi="Calibri"/>
          <w:b/>
          <w:color w:val="101828"/>
          <w:sz w:val="21"/>
        </w:rPr>
        <w:t>the person who filed a dispute and the person it is about are both participants, and the interface must let one of them tell the truth about the other's behaviour without exposing them to each other.</w:t>
      </w:r>
      <w:r>
        <w:rPr>
          <w:rFonts w:ascii="Calibri" w:hAnsi="Calibri"/>
          <w:b w:val="0"/>
          <w:i w:val="0"/>
          <w:color w:val="101828"/>
          <w:sz w:val="21"/>
        </w:rPr>
        <w:t xml:space="preserve"> So a case shows a member only what they are entitled to see, and the other party's name is never rendered as a public label — it is a party to the case.</w:t>
      </w:r>
    </w:p>
    <w:p>
      <w:pPr>
        <w:spacing w:before="140" w:after="180"/>
        <w:ind w:left="144"/>
        <w:shd w:val="clear" w:color="auto" w:fill="E0F2FE"/>
        <w:pBdr>
          <w:left w:val="single" w:sz="18" w:space="6" w:color="22C7D6"/>
        </w:pBdr>
      </w:pPr>
      <w:r>
        <w:rPr>
          <w:rFonts w:ascii="Calibri" w:hAnsi="Calibri"/>
          <w:b/>
          <w:color w:val="22C7D6"/>
          <w:sz w:val="19"/>
        </w:rPr>
        <w:t xml:space="preserve">Default handling never appears in another member's view  </w:t>
      </w:r>
      <w:r>
        <w:rPr>
          <w:rFonts w:ascii="Calibri" w:hAnsi="Calibri"/>
          <w:b/>
          <w:color w:val="0B1F3A"/>
          <w:sz w:val="19"/>
        </w:rPr>
        <w:t>No member-facing screen in this product shows another member's unpaid contribution, their name beside a *did not pay* state, or any part of a recovery case that does not concern them.</w:t>
      </w:r>
      <w:r>
        <w:rPr>
          <w:rFonts w:ascii="Calibri" w:hAnsi="Calibri"/>
          <w:b w:val="0"/>
          <w:i w:val="0"/>
          <w:color w:val="0B1F3A"/>
          <w:sz w:val="19"/>
        </w:rPr>
        <w:t xml:space="preserve"> The organiser sees that a round is short and by how much, which they need in order to run the Ajo, and does not see who. Disputes are visible to their parties, to staff, and to nobody else. This is the rule most likely to be violated by a well-meaning convenience later — by a share sheet, an export, or an activity feed — and it is therefore specified here, in the place where a future change would have to be argued against. </w:t>
      </w:r>
      <w:r>
        <w:rPr>
          <w:rFonts w:ascii="Calibri" w:hAnsi="Calibri"/>
          <w:b/>
          <w:color w:val="0B1F3A"/>
          <w:sz w:val="19"/>
        </w:rPr>
        <w:t>Owner: Founders.</w:t>
      </w:r>
    </w:p>
    <w:p>
      <w:pPr>
        <w:pStyle w:val="Heading3"/>
      </w:pPr>
      <w:r>
        <w:rPr>
          <w:rFonts w:ascii="Calibri" w:hAnsi="Calibri"/>
          <w:b/>
          <w:i w:val="0"/>
          <w:color w:val="0B1F3A"/>
          <w:sz w:val="24"/>
        </w:rPr>
        <w:t>4.17.1 Dispute list — SCR-MOB-16</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Show a member the cases they are a party to, with each case's state, what is awaited and of whom, and nothing at all about anyone else's cases.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with a live case, checking whether anything has moved. The waiting is the hard part, so the list's job is to say what happens next and when, not to display a status vocabulary.</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column of case rows, 88 px: the reference at the leading edge, the subject line, the state, and a right-aligned line naming the next step and who owes it — </w:t>
            </w:r>
            <w:r>
              <w:rPr>
                <w:rFonts w:ascii="Calibri" w:hAnsi="Calibri"/>
                <w:i/>
                <w:color w:val="101828"/>
                <w:sz w:val="14"/>
              </w:rPr>
              <w:t>awaiting your reply</w:t>
            </w:r>
            <w:r>
              <w:rPr>
                <w:rFonts w:ascii="Calibri" w:hAnsi="Calibri"/>
                <w:b w:val="0"/>
                <w:i w:val="0"/>
                <w:color w:val="101828"/>
                <w:sz w:val="14"/>
              </w:rPr>
              <w:t xml:space="preserve"> or </w:t>
            </w:r>
            <w:r>
              <w:rPr>
                <w:rFonts w:ascii="Calibri" w:hAnsi="Calibri"/>
                <w:i/>
                <w:color w:val="101828"/>
                <w:sz w:val="14"/>
              </w:rPr>
              <w:t>awaiting our review</w:t>
            </w:r>
            <w:r>
              <w:rPr>
                <w:rFonts w:ascii="Calibri" w:hAnsi="Calibri"/>
                <w:b w:val="0"/>
                <w:i w:val="0"/>
                <w:color w:val="101828"/>
                <w:sz w:val="14"/>
              </w:rPr>
              <w: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ListItem</w:t>
            </w:r>
            <w:r>
              <w:rPr>
                <w:rFonts w:ascii="Calibri" w:hAnsi="Calibri"/>
                <w:b w:val="0"/>
                <w:i w:val="0"/>
                <w:color w:val="101828"/>
                <w:sz w:val="14"/>
              </w:rPr>
              <w:t xml:space="preserve"> (case), </w:t>
            </w:r>
            <w:r>
              <w:rPr>
                <w:rFonts w:ascii="Consolas" w:hAnsi="Consolas"/>
                <w:color w:val="146EF5"/>
                <w:sz w:val="14"/>
              </w:rPr>
              <w:t>Badge</w:t>
            </w:r>
            <w:r>
              <w:rPr>
                <w:rFonts w:ascii="Calibri" w:hAnsi="Calibri"/>
                <w:b w:val="0"/>
                <w:i w:val="0"/>
                <w:color w:val="101828"/>
                <w:sz w:val="14"/>
              </w:rPr>
              <w:t xml:space="preserve">, </w:t>
            </w:r>
            <w:r>
              <w:rPr>
                <w:rFonts w:ascii="Consolas" w:hAnsi="Consolas"/>
                <w:color w:val="146EF5"/>
                <w:sz w:val="14"/>
              </w:rPr>
              <w:t>Reference</w:t>
            </w:r>
            <w:r>
              <w:rPr>
                <w:rFonts w:ascii="Calibri" w:hAnsi="Calibri"/>
                <w:b w:val="0"/>
                <w:i w:val="0"/>
                <w:color w:val="101828"/>
                <w:sz w:val="14"/>
              </w:rPr>
              <w:t xml:space="preserve">, </w:t>
            </w:r>
            <w:r>
              <w:rPr>
                <w:rFonts w:ascii="Consolas" w:hAnsi="Consolas"/>
                <w:color w:val="146EF5"/>
                <w:sz w:val="14"/>
              </w:rPr>
              <w:t>EmptyState</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(primary and secondary).</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Reached from the More menu and from any dispute notification. Deep-linkable. </w:t>
            </w:r>
            <w:r>
              <w:rPr>
                <w:rFonts w:ascii="Consolas" w:hAnsi="Consolas"/>
                <w:color w:val="146EF5"/>
                <w:sz w:val="14"/>
              </w:rPr>
              <w:t>noindex</w:t>
            </w:r>
            <w:r>
              <w:rPr>
                <w:rFonts w:ascii="Calibri" w:hAnsi="Calibri"/>
                <w:b w:val="0"/>
                <w:i w:val="0"/>
                <w:color w:val="101828"/>
                <w:sz w:val="14"/>
              </w:rPr>
              <w: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color w:val="101828"/>
                <w:sz w:val="14"/>
              </w:rPr>
              <w:t>Exactly one, and only when it exists: *Open a dispute*.</w:t>
            </w:r>
            <w:r>
              <w:rPr>
                <w:rFonts w:ascii="Calibri" w:hAnsi="Calibri"/>
                <w:b w:val="0"/>
                <w:i w:val="0"/>
                <w:color w:val="101828"/>
                <w:sz w:val="14"/>
              </w:rPr>
              <w:t xml:space="preserve"> With an existing case, the primary is absent, because a member with a live case must not be invited to open a second one over it.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Read how disputes work</w:t>
            </w:r>
            <w:r>
              <w:rPr>
                <w:rFonts w:ascii="Calibri" w:hAnsi="Calibri"/>
                <w:b w:val="0"/>
                <w:i w:val="0"/>
                <w:color w:val="101828"/>
                <w:sz w:val="14"/>
              </w:rPr>
              <w:t xml:space="preserve"> (secondary outlined), which states the process, the timescales and what a member should gather, in three paragraphs.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Per case: the reference, the Ajo and round, the subject as the member wrote it, the state in plain words, the date opened, and the next step with its owner. </w:t>
            </w:r>
            <w:r>
              <w:rPr>
                <w:rFonts w:ascii="Calibri" w:hAnsi="Calibri"/>
                <w:b/>
                <w:color w:val="101828"/>
                <w:sz w:val="14"/>
              </w:rPr>
              <w:t>States are rendered as sentences — *we have your details and are reviewing* — not as codes</w:t>
            </w:r>
            <w:r>
              <w:rPr>
                <w:rFonts w:ascii="Calibri" w:hAnsi="Calibri"/>
                <w:b w:val="0"/>
                <w:i w:val="0"/>
                <w:color w:val="101828"/>
                <w:sz w:val="14"/>
              </w:rPr>
              <w:t>, with the internal code available in the case view for anyone quoting a reference to support.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Row skeletons at 88 px.</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You have no disputes.</w:t>
            </w:r>
            <w:r>
              <w:rPr>
                <w:rFonts w:ascii="Calibri" w:hAnsi="Calibri"/>
                <w:b w:val="0"/>
                <w:i w:val="0"/>
                <w:color w:val="101828"/>
                <w:sz w:val="14"/>
              </w:rPr>
              <w:t xml:space="preserve">, with the </w:t>
            </w:r>
            <w:r>
              <w:rPr>
                <w:rFonts w:ascii="Calibri" w:hAnsi="Calibri"/>
                <w:i/>
                <w:color w:val="101828"/>
                <w:sz w:val="14"/>
              </w:rPr>
              <w:t>Open a dispute</w:t>
            </w:r>
            <w:r>
              <w:rPr>
                <w:rFonts w:ascii="Calibri" w:hAnsi="Calibri"/>
                <w:b w:val="0"/>
                <w:i w:val="0"/>
                <w:color w:val="101828"/>
                <w:sz w:val="14"/>
              </w:rPr>
              <w:t xml:space="preserve"> control and a line stating that opening one does not affect a member's standing in the Ajo, because that is what people believe will happen and it is not true.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Contained to the list with a retry.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Filing a case returns here with the new case at the top and a confirmation naming the reference.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case per row at every width. The next-step line is never truncated with an ellipsis at any width; it wraps to a second line, because a wrapped </w:t>
            </w:r>
            <w:r>
              <w:rPr>
                <w:rFonts w:ascii="Calibri" w:hAnsi="Calibri"/>
                <w:i/>
                <w:color w:val="101828"/>
                <w:sz w:val="14"/>
              </w:rPr>
              <w:t>awaiting your reply</w:t>
            </w:r>
            <w:r>
              <w:rPr>
                <w:rFonts w:ascii="Calibri" w:hAnsi="Calibri"/>
                <w:b w:val="0"/>
                <w:i w:val="0"/>
                <w:color w:val="101828"/>
                <w:sz w:val="14"/>
              </w:rPr>
              <w:t xml:space="preserve"> is still useful and a truncated one is not.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list is a list of links whose accessible names follow </w:t>
            </w:r>
            <w:r>
              <w:rPr>
                <w:rFonts w:ascii="Calibri" w:hAnsi="Calibri"/>
                <w:i/>
                <w:color w:val="101828"/>
                <w:sz w:val="14"/>
              </w:rPr>
              <w:t>Case 7FQK2M, Market women round 3, under review, awaiting our reply</w:t>
            </w:r>
            <w:r>
              <w:rPr>
                <w:rFonts w:ascii="Calibri" w:hAnsi="Calibri"/>
                <w:b w:val="0"/>
                <w:i w:val="0"/>
                <w:color w:val="101828"/>
                <w:sz w:val="14"/>
              </w:rPr>
              <w:t>. The state is in words. The reference is selectable text, so a member can read it aloud to a support agent.</w:t>
            </w:r>
          </w:p>
        </w:tc>
      </w:tr>
    </w:tbl>
    <w:p>
      <w:pPr>
        <w:spacing w:after="80"/>
      </w:pPr>
    </w:p>
    <w:p>
      <w:pPr>
        <w:pStyle w:val="Heading3"/>
      </w:pPr>
      <w:r>
        <w:rPr>
          <w:rFonts w:ascii="Calibri" w:hAnsi="Calibri"/>
          <w:b/>
          <w:i w:val="0"/>
          <w:color w:val="0B1F3A"/>
          <w:sz w:val="24"/>
        </w:rPr>
        <w:t>4.17.2 Open a dispute — SCR-MOB-17</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Collect a dispute in the member's own words, attached to a specific obligation, payout or ledger entry, and tell them immediately what will happen and roughly when.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who is angry, or frightened, or who has been let down by a group rather than by a platform. They are not going to read a form carefully, and the form must not require them to.</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One column: a short statement of what a dispute is and is not, the category selector, the related item selector, the description, the evidence uploader, and a closing region stating the process and the timescales.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Select</w:t>
            </w:r>
            <w:r>
              <w:rPr>
                <w:rFonts w:ascii="Calibri" w:hAnsi="Calibri"/>
                <w:b w:val="0"/>
                <w:i w:val="0"/>
                <w:color w:val="101828"/>
                <w:sz w:val="14"/>
              </w:rPr>
              <w:t xml:space="preserve">, </w:t>
            </w:r>
            <w:r>
              <w:rPr>
                <w:rFonts w:ascii="Consolas" w:hAnsi="Consolas"/>
                <w:color w:val="146EF5"/>
                <w:sz w:val="14"/>
              </w:rPr>
              <w:t>FormField</w:t>
            </w:r>
            <w:r>
              <w:rPr>
                <w:rFonts w:ascii="Calibri" w:hAnsi="Calibri"/>
                <w:b w:val="0"/>
                <w:i w:val="0"/>
                <w:color w:val="101828"/>
                <w:sz w:val="14"/>
              </w:rPr>
              <w:t xml:space="preserve"> (description), </w:t>
            </w:r>
            <w:r>
              <w:rPr>
                <w:rFonts w:ascii="Consolas" w:hAnsi="Consolas"/>
                <w:color w:val="146EF5"/>
                <w:sz w:val="14"/>
              </w:rPr>
              <w:t>FileUpload</w:t>
            </w:r>
            <w:r>
              <w:rPr>
                <w:rFonts w:ascii="Calibri" w:hAnsi="Calibri"/>
                <w:b w:val="0"/>
                <w:i w:val="0"/>
                <w:color w:val="101828"/>
                <w:sz w:val="14"/>
              </w:rPr>
              <w:t xml:space="preserve">, </w:t>
            </w:r>
            <w:r>
              <w:rPr>
                <w:rFonts w:ascii="Consolas" w:hAnsi="Consolas"/>
                <w:color w:val="146EF5"/>
                <w:sz w:val="14"/>
              </w:rPr>
              <w:t>Callout</w:t>
            </w:r>
            <w:r>
              <w:rPr>
                <w:rFonts w:ascii="Calibri" w:hAnsi="Calibri"/>
                <w:b w:val="0"/>
                <w:i w:val="0"/>
                <w:color w:val="101828"/>
                <w:sz w:val="14"/>
              </w:rPr>
              <w:t xml:space="preserve"> (NOTE, what happens next), </w:t>
            </w:r>
            <w:r>
              <w:rPr>
                <w:rFonts w:ascii="Consolas" w:hAnsi="Consolas"/>
                <w:color w:val="146EF5"/>
                <w:sz w:val="14"/>
              </w:rPr>
              <w:t>Button</w:t>
            </w:r>
            <w:r>
              <w:rPr>
                <w:rFonts w:ascii="Calibri" w:hAnsi="Calibri"/>
                <w:b w:val="0"/>
                <w:i w:val="0"/>
                <w:color w:val="101828"/>
                <w:sz w:val="14"/>
              </w:rPr>
              <w:t xml:space="preserve"> (primary and secondary), </w:t>
            </w:r>
            <w:r>
              <w:rPr>
                <w:rFonts w:ascii="Consolas" w:hAnsi="Consolas"/>
                <w:color w:val="146EF5"/>
                <w:sz w:val="14"/>
              </w:rPr>
              <w:t>ConsentCheckbox</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Reached from SCR-MOB-16, from a receipt's </w:t>
            </w:r>
            <w:r>
              <w:rPr>
                <w:rFonts w:ascii="Calibri" w:hAnsi="Calibri"/>
                <w:i/>
                <w:color w:val="101828"/>
                <w:sz w:val="14"/>
              </w:rPr>
              <w:t>Ask for help</w:t>
            </w:r>
            <w:r>
              <w:rPr>
                <w:rFonts w:ascii="Calibri" w:hAnsi="Calibri"/>
                <w:b w:val="0"/>
                <w:i w:val="0"/>
                <w:color w:val="101828"/>
                <w:sz w:val="14"/>
              </w:rPr>
              <w:t xml:space="preserve"> tertiary action with the related item pre-selected, and from a transaction detail. Not deep-linkable with a body.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Open the dispute</w:t>
            </w:r>
            <w:r>
              <w:rPr>
                <w:rFonts w:ascii="Calibri" w:hAnsi="Calibri"/>
                <w:b w:val="0"/>
                <w:i w:val="0"/>
                <w:color w:val="101828"/>
                <w:sz w:val="14"/>
              </w:rPr>
              <w:t>. One filled button, 56 px.</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Cancel</w:t>
            </w:r>
            <w:r>
              <w:rPr>
                <w:rFonts w:ascii="Calibri" w:hAnsi="Calibri"/>
                <w:b w:val="0"/>
                <w:i w:val="0"/>
                <w:color w:val="101828"/>
                <w:sz w:val="14"/>
              </w:rPr>
              <w:t xml:space="preserve"> (tertiary link), which returns without a prompt, because nothing has been sent. </w:t>
            </w:r>
            <w:r>
              <w:rPr>
                <w:rFonts w:ascii="Calibri" w:hAnsi="Calibri"/>
                <w:i/>
                <w:color w:val="101828"/>
                <w:sz w:val="14"/>
              </w:rPr>
              <w:t>Read how disputes work</w:t>
            </w:r>
            <w:r>
              <w:rPr>
                <w:rFonts w:ascii="Calibri" w:hAnsi="Calibri"/>
                <w:b w:val="0"/>
                <w:i w:val="0"/>
                <w:color w:val="101828"/>
                <w:sz w:val="14"/>
              </w:rPr>
              <w:t xml:space="preserve"> (tertiary link).</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NOTE stating plainly what a dispute does and does not do: </w:t>
            </w:r>
            <w:r>
              <w:rPr>
                <w:rFonts w:ascii="Calibri" w:hAnsi="Calibri"/>
                <w:i/>
                <w:color w:val="101828"/>
                <w:sz w:val="14"/>
              </w:rPr>
              <w:t>we will look at the record and reply; opening a dispute does not pause a collection, does not change your position, and does not tell the other members</w:t>
            </w:r>
            <w:r>
              <w:rPr>
                <w:rFonts w:ascii="Calibri" w:hAnsi="Calibri"/>
                <w:b w:val="0"/>
                <w:i w:val="0"/>
                <w:color w:val="101828"/>
                <w:sz w:val="14"/>
              </w:rPr>
              <w:t xml:space="preserve">. Category: a payment I made did not arrive, a payment I did not make, a payout that was wrong, a member's conduct, something else. The description field with a prompt, not a label alone: </w:t>
            </w:r>
            <w:r>
              <w:rPr>
                <w:rFonts w:ascii="Calibri" w:hAnsi="Calibri"/>
                <w:i/>
                <w:color w:val="101828"/>
                <w:sz w:val="14"/>
              </w:rPr>
              <w:t>Tell us what happened, in your own words.</w:t>
            </w:r>
            <w:r>
              <w:rPr>
                <w:rFonts w:ascii="Calibri" w:hAnsi="Calibri"/>
                <w:b w:val="0"/>
                <w:i w:val="0"/>
                <w:color w:val="101828"/>
                <w:sz w:val="14"/>
              </w:rPr>
              <w:t xml:space="preserve"> The uploader accepting images and PDFs up to 10 MB, with a line </w:t>
            </w:r>
            <w:r>
              <w:rPr>
                <w:rFonts w:ascii="Calibri" w:hAnsi="Calibri"/>
                <w:b/>
                <w:color w:val="101828"/>
                <w:sz w:val="14"/>
              </w:rPr>
              <w:t>do not upload your BVN, your PIN, your one-time codes, or a screenshot showing your full bank balance</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Category, select, required. Related item, select, required — an obligation, a payout or a transaction, restricted to the member's own items. Description, textarea, required, 30 to 4,000 characters, live count from 3,500. Evidence, optional, up to 5 files, 10 MB each, images and PDFs only. A consent checkbox confirming the statement is true to the best of their knowledge, required.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Category and related item required, inline on submit. Description minimum 30 characters, enforced on submit rather than on input, so a member is not stopped mid-thought. File type and size checked on selection, with the offending filename named. </w:t>
            </w:r>
            <w:r>
              <w:rPr>
                <w:rFonts w:ascii="Calibri" w:hAnsi="Calibri"/>
                <w:b/>
                <w:color w:val="101828"/>
                <w:sz w:val="14"/>
              </w:rPr>
              <w:t>A description that names another member's bank details or documents is not blocked automatically; it is accepted and the warning is repeated, because silently refusing a member's evidence mid-dispute is worse than asking them to remove it.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open control works with its width locked; the form stays editable. Upload progress is per file, in place, and the control is not disabled while files upload, because the form can be submitted without them.</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description is empty with the prompt as the helper text. The related-item selector shows </w:t>
            </w:r>
            <w:r>
              <w:rPr>
                <w:rFonts w:ascii="Calibri" w:hAnsi="Calibri"/>
                <w:i/>
                <w:color w:val="101828"/>
                <w:sz w:val="14"/>
              </w:rPr>
              <w:t>Choose what this is about</w:t>
            </w:r>
            <w:r>
              <w:rPr>
                <w:rFonts w:ascii="Calibri" w:hAnsi="Calibri"/>
                <w:b w:val="0"/>
                <w:i w:val="0"/>
                <w:color w:val="101828"/>
                <w:sz w:val="14"/>
              </w:rPr>
              <w:t xml:space="preserve"> when the member has no eligible items, and explains that a dispute must be about something in their own account.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Inline per field. A submit failure preserves everything, including uploaded files, and reports with a reference. An existing open case on the same item is reported before submit, not after, with a link to it.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case is created and the member lands on SCR-MOB-18 with the reference, the state, and the timescale: </w:t>
            </w:r>
            <w:r>
              <w:rPr>
                <w:rFonts w:ascii="Calibri" w:hAnsi="Calibri"/>
                <w:i/>
                <w:color w:val="101828"/>
                <w:sz w:val="14"/>
              </w:rPr>
              <w:t>we aim to reply within three working days</w:t>
            </w:r>
            <w:r>
              <w:rPr>
                <w:rFonts w:ascii="Calibri" w:hAnsi="Calibri"/>
                <w:b w:val="0"/>
                <w:i w:val="0"/>
                <w:color w:val="101828"/>
                <w:sz w:val="14"/>
              </w:rPr>
              <w:t xml:space="preserve">. A single confirmation names the reference. </w:t>
            </w:r>
            <w:r>
              <w:rPr>
                <w:rFonts w:ascii="Calibri" w:hAnsi="Calibri"/>
                <w:b/>
                <w:color w:val="101828"/>
                <w:sz w:val="14"/>
              </w:rPr>
              <w:t>The member is told what happens to the money meanwhile, which is that nothing changes until the case is decided.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One column at every width. The uploader is a 96 px drop target on mobile with a file-picker button as the accessible route, since a drag target alone is not usable on a phone. The description textarea is eight rows on mobile and grows to fill the remaining height.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Every field has a bound label and the prompt is its described-by, so a screen reader user hears </w:t>
            </w:r>
            <w:r>
              <w:rPr>
                <w:rFonts w:ascii="Calibri" w:hAnsi="Calibri"/>
                <w:i/>
                <w:color w:val="101828"/>
                <w:sz w:val="14"/>
              </w:rPr>
              <w:t>Tell us what happened, in your own words</w:t>
            </w:r>
            <w:r>
              <w:rPr>
                <w:rFonts w:ascii="Calibri" w:hAnsi="Calibri"/>
                <w:b w:val="0"/>
                <w:i w:val="0"/>
                <w:color w:val="101828"/>
                <w:sz w:val="14"/>
              </w:rPr>
              <w:t xml:space="preserve"> before the field. The file input is a real input with a label, not a styled div. Upload progress is announced politely per file. The submit error banner receives focus. The timescale is a labelled region reachable from the confirmation.</w:t>
            </w:r>
          </w:p>
        </w:tc>
      </w:tr>
    </w:tbl>
    <w:p>
      <w:pPr>
        <w:spacing w:after="80"/>
      </w:pPr>
    </w:p>
    <w:p>
      <w:pPr>
        <w:pStyle w:val="Heading3"/>
      </w:pPr>
      <w:r>
        <w:rPr>
          <w:rFonts w:ascii="Calibri" w:hAnsi="Calibri"/>
          <w:b/>
          <w:i w:val="0"/>
          <w:color w:val="0B1F3A"/>
          <w:sz w:val="24"/>
        </w:rPr>
        <w:t>4.17.3 Dispute case — SCR-MOB-18</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Show one case to the people entitled to see it: its state, its history, its evidence, and the single next action, with the other party visible only as a party.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who has opened the case and is waiting; a member who has been named in the case and is surprised; and the staff member working it, who uses a different console entirely (SCR-ADM-09). This screen is the member-facing half only.</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One column: a header with the reference, subject, state and opened date; a next-step region; a facts table; the message history as a chronological thread; the evidence list; and the reply region.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StatusCard</w:t>
            </w:r>
            <w:r>
              <w:rPr>
                <w:rFonts w:ascii="Calibri" w:hAnsi="Calibri"/>
                <w:b w:val="0"/>
                <w:i w:val="0"/>
                <w:color w:val="101828"/>
                <w:sz w:val="14"/>
              </w:rPr>
              <w:t xml:space="preserve">, </w:t>
            </w:r>
            <w:r>
              <w:rPr>
                <w:rFonts w:ascii="Consolas" w:hAnsi="Consolas"/>
                <w:color w:val="146EF5"/>
                <w:sz w:val="14"/>
              </w:rPr>
              <w:t>Table</w:t>
            </w:r>
            <w:r>
              <w:rPr>
                <w:rFonts w:ascii="Calibri" w:hAnsi="Calibri"/>
                <w:b w:val="0"/>
                <w:i w:val="0"/>
                <w:color w:val="101828"/>
                <w:sz w:val="14"/>
              </w:rPr>
              <w:t xml:space="preserve">, </w:t>
            </w:r>
            <w:r>
              <w:rPr>
                <w:rFonts w:ascii="Consolas" w:hAnsi="Consolas"/>
                <w:color w:val="146EF5"/>
                <w:sz w:val="14"/>
              </w:rPr>
              <w:t>Thread</w:t>
            </w:r>
            <w:r>
              <w:rPr>
                <w:rFonts w:ascii="Calibri" w:hAnsi="Calibri"/>
                <w:b w:val="0"/>
                <w:i w:val="0"/>
                <w:color w:val="101828"/>
                <w:sz w:val="14"/>
              </w:rPr>
              <w:t xml:space="preserve"> (messages), </w:t>
            </w:r>
            <w:r>
              <w:rPr>
                <w:rFonts w:ascii="Consolas" w:hAnsi="Consolas"/>
                <w:color w:val="146EF5"/>
                <w:sz w:val="14"/>
              </w:rPr>
              <w:t>FileUpload</w:t>
            </w:r>
            <w:r>
              <w:rPr>
                <w:rFonts w:ascii="Calibri" w:hAnsi="Calibri"/>
                <w:b w:val="0"/>
                <w:i w:val="0"/>
                <w:color w:val="101828"/>
                <w:sz w:val="14"/>
              </w:rPr>
              <w:t xml:space="preserve">, </w:t>
            </w:r>
            <w:r>
              <w:rPr>
                <w:rFonts w:ascii="Consolas" w:hAnsi="Consolas"/>
                <w:color w:val="146EF5"/>
                <w:sz w:val="14"/>
              </w:rPr>
              <w:t>FormField</w:t>
            </w:r>
            <w:r>
              <w:rPr>
                <w:rFonts w:ascii="Calibri" w:hAnsi="Calibri"/>
                <w:b w:val="0"/>
                <w:i w:val="0"/>
                <w:color w:val="101828"/>
                <w:sz w:val="14"/>
              </w:rPr>
              <w:t xml:space="preserve"> (reply), </w:t>
            </w:r>
            <w:r>
              <w:rPr>
                <w:rFonts w:ascii="Consolas" w:hAnsi="Consolas"/>
                <w:color w:val="146EF5"/>
                <w:sz w:val="14"/>
              </w:rPr>
              <w:t>Button</w:t>
            </w:r>
            <w:r>
              <w:rPr>
                <w:rFonts w:ascii="Calibri" w:hAnsi="Calibri"/>
                <w:b w:val="0"/>
                <w:i w:val="0"/>
                <w:color w:val="101828"/>
                <w:sz w:val="14"/>
              </w:rPr>
              <w:t xml:space="preserve"> (primary and secondary), </w:t>
            </w:r>
            <w:r>
              <w:rPr>
                <w:rFonts w:ascii="Consolas" w:hAnsi="Consolas"/>
                <w:color w:val="146EF5"/>
                <w:sz w:val="14"/>
              </w:rPr>
              <w:t>Callout</w:t>
            </w:r>
            <w:r>
              <w:rPr>
                <w:rFonts w:ascii="Calibri" w:hAnsi="Calibri"/>
                <w:b w:val="0"/>
                <w:i w:val="0"/>
                <w:color w:val="101828"/>
                <w:sz w:val="14"/>
              </w:rPr>
              <w:t xml:space="preserve"> (NOTE, what we can share).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Reached from SCR-MOB-16, from a dispute notification, and by deep link. A case the member is not a party to returns the tier-2 not-found screen, identically to one that does not exist.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color w:val="101828"/>
                <w:sz w:val="14"/>
              </w:rPr>
              <w:t>Conditional on the state and the viewer: *Reply*, and only when a reply is actually invited.</w:t>
            </w:r>
            <w:r>
              <w:rPr>
                <w:rFonts w:ascii="Calibri" w:hAnsi="Calibri"/>
                <w:b w:val="0"/>
                <w:i w:val="0"/>
                <w:color w:val="101828"/>
                <w:sz w:val="14"/>
              </w:rPr>
              <w:t xml:space="preserve"> On a case awaiting staff review, the filled control is absent and the region instead states what is happening and when to expect a reply. A reply control that leads to </w:t>
            </w:r>
            <w:r>
              <w:rPr>
                <w:rFonts w:ascii="Calibri" w:hAnsi="Calibri"/>
                <w:i/>
                <w:color w:val="101828"/>
                <w:sz w:val="14"/>
              </w:rPr>
              <w:t>your message will be read when we reply</w:t>
            </w:r>
            <w:r>
              <w:rPr>
                <w:rFonts w:ascii="Calibri" w:hAnsi="Calibri"/>
                <w:b w:val="0"/>
                <w:i w:val="0"/>
                <w:color w:val="101828"/>
                <w:sz w:val="14"/>
              </w:rPr>
              <w:t xml:space="preserve"> teaches people to stop writing.</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Add evidence</w:t>
            </w:r>
            <w:r>
              <w:rPr>
                <w:rFonts w:ascii="Calibri" w:hAnsi="Calibri"/>
                <w:b w:val="0"/>
                <w:i w:val="0"/>
                <w:color w:val="101828"/>
                <w:sz w:val="14"/>
              </w:rPr>
              <w:t xml:space="preserve"> (secondary outlined) while the case is open, and </w:t>
            </w:r>
            <w:r>
              <w:rPr>
                <w:rFonts w:ascii="Calibri" w:hAnsi="Calibri"/>
                <w:i/>
                <w:color w:val="101828"/>
                <w:sz w:val="14"/>
              </w:rPr>
              <w:t>Close the case</w:t>
            </w:r>
            <w:r>
              <w:rPr>
                <w:rFonts w:ascii="Calibri" w:hAnsi="Calibri"/>
                <w:b w:val="0"/>
                <w:i w:val="0"/>
                <w:color w:val="101828"/>
                <w:sz w:val="14"/>
              </w:rPr>
              <w:t xml:space="preserve"> (secondary outlined) for the member who opened it, with a confirmation that closes it without a verdict being implied on anyone.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Header: reference, subject, the state in a sentence, and the opened date. Next step: what is awaited and of whom, with the timescale. Facts: the Ajo, the round, the related item and its amount. The thread: every message, who wrote it, when, and whether it is visible to the other party. </w:t>
            </w:r>
            <w:r>
              <w:rPr>
                <w:rFonts w:ascii="Calibri" w:hAnsi="Calibri"/>
                <w:b/>
                <w:color w:val="101828"/>
                <w:sz w:val="14"/>
              </w:rPr>
              <w:t>Every message is visible to both parties.</w:t>
            </w:r>
            <w:r>
              <w:rPr>
                <w:rFonts w:ascii="Calibri" w:hAnsi="Calibri"/>
                <w:b w:val="0"/>
                <w:i w:val="0"/>
                <w:color w:val="101828"/>
                <w:sz w:val="14"/>
              </w:rPr>
              <w:t xml:space="preserve"> Evidence: filenames with sizes, uploaded by whom and when. A NOTE stating what cannot be shared: </w:t>
            </w:r>
            <w:r>
              <w:rPr>
                <w:rFonts w:ascii="Calibri" w:hAnsi="Calibri"/>
                <w:i/>
                <w:color w:val="101828"/>
                <w:sz w:val="14"/>
              </w:rPr>
              <w:t>we will not tell you what another member has told us, and we will not tell them what you have told us.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Reply, textarea, 1 to 2,000 characters, required to send. Add evidence, the same uploader as SCR-MOB-17, up to 5 more files. No category field, no severity field, no resolution field — this screen cannot decide anything.</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Reply length only. A reply of whitespace is rejected. </w:t>
            </w:r>
            <w:r>
              <w:rPr>
                <w:rFonts w:ascii="Calibri" w:hAnsi="Calibri"/>
                <w:b/>
                <w:color w:val="101828"/>
                <w:sz w:val="14"/>
              </w:rPr>
              <w:t>A member cannot delete or edit a message after sending it</w:t>
            </w:r>
            <w:r>
              <w:rPr>
                <w:rFonts w:ascii="Calibri" w:hAnsi="Calibri"/>
                <w:b w:val="0"/>
                <w:i w:val="0"/>
                <w:color w:val="101828"/>
                <w:sz w:val="14"/>
              </w:rPr>
              <w:t>, and the interface never offers the control, because a dispute record that can be rewritten is not a record.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Header and next step resolve first, then the thread, then the evidence, each in place. The reply region is inert until the case state is known, so a member never types into a form that turns out to be closed.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case with no messages yet shows a single line, </w:t>
            </w:r>
            <w:r>
              <w:rPr>
                <w:rFonts w:ascii="Calibri" w:hAnsi="Calibri"/>
                <w:i/>
                <w:color w:val="101828"/>
                <w:sz w:val="14"/>
              </w:rPr>
              <w:t>no messages yet</w:t>
            </w:r>
            <w:r>
              <w:rPr>
                <w:rFonts w:ascii="Calibri" w:hAnsi="Calibri"/>
                <w:b w:val="0"/>
                <w:i w:val="0"/>
                <w:color w:val="101828"/>
                <w:sz w:val="14"/>
              </w:rPr>
              <w:t>, rather than an empty thread. A closed case shows the closing note and the full history, and the reply region is replaced by a statement naming when the case was closed and by whom.</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A failed send preserves the reply text and reports in place. </w:t>
            </w:r>
            <w:r>
              <w:rPr>
                <w:rFonts w:ascii="Calibri" w:hAnsi="Calibri"/>
                <w:b/>
                <w:color w:val="101828"/>
                <w:sz w:val="14"/>
              </w:rPr>
              <w:t>A send that succeeded but whose acknowledgement was lost shows the message in the thread, not as an unsent draft</w:t>
            </w:r>
            <w:r>
              <w:rPr>
                <w:rFonts w:ascii="Calibri" w:hAnsi="Calibri"/>
                <w:b w:val="0"/>
                <w:i w:val="0"/>
                <w:color w:val="101828"/>
                <w:sz w:val="14"/>
              </w:rPr>
              <w:t>, because duplicating a member's statement in a dispute is actively harmful.</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reply appears in the thread, the case state advances, and the other party is notified. No modal, no toast over the thread.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One column at every width. The thread is a single column of bubbles at every width and never becomes a two-column conversation layout, which would imply a synchronous exchange this product does not have. The evidence list wraps filenames rather than truncating them.</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thread is an ordered list of messages; each has a header naming the author as a party role — </w:t>
            </w:r>
            <w:r>
              <w:rPr>
                <w:rFonts w:ascii="Calibri" w:hAnsi="Calibri"/>
                <w:i/>
                <w:color w:val="101828"/>
                <w:sz w:val="14"/>
              </w:rPr>
              <w:t>you</w:t>
            </w:r>
            <w:r>
              <w:rPr>
                <w:rFonts w:ascii="Calibri" w:hAnsi="Calibri"/>
                <w:b w:val="0"/>
                <w:i w:val="0"/>
                <w:color w:val="101828"/>
                <w:sz w:val="14"/>
              </w:rPr>
              <w:t xml:space="preserve"> or </w:t>
            </w:r>
            <w:r>
              <w:rPr>
                <w:rFonts w:ascii="Calibri" w:hAnsi="Calibri"/>
                <w:i/>
                <w:color w:val="101828"/>
                <w:sz w:val="14"/>
              </w:rPr>
              <w:t>the other party</w:t>
            </w:r>
            <w:r>
              <w:rPr>
                <w:rFonts w:ascii="Calibri" w:hAnsi="Calibri"/>
                <w:b w:val="0"/>
                <w:i w:val="0"/>
                <w:color w:val="101828"/>
                <w:sz w:val="14"/>
              </w:rPr>
              <w:t xml:space="preserve"> — </w:t>
            </w:r>
            <w:r>
              <w:rPr>
                <w:rFonts w:ascii="Calibri" w:hAnsi="Calibri"/>
                <w:b/>
                <w:color w:val="101828"/>
                <w:sz w:val="14"/>
              </w:rPr>
              <w:t>never as a name in a member-facing view where the name would expose the other party unnecessarily, and never as a role that implies blame.</w:t>
            </w:r>
            <w:r>
              <w:rPr>
                <w:rFonts w:ascii="Calibri" w:hAnsi="Calibri"/>
                <w:b w:val="0"/>
                <w:i w:val="0"/>
                <w:color w:val="101828"/>
                <w:sz w:val="14"/>
              </w:rPr>
              <w:t xml:space="preserve"> Message text is selectable. The next-step region is a labelled region with the </w:t>
            </w:r>
            <w:r>
              <w:rPr>
                <w:rFonts w:ascii="Consolas" w:hAnsi="Consolas"/>
                <w:color w:val="146EF5"/>
                <w:sz w:val="14"/>
              </w:rPr>
              <w:t>h2</w:t>
            </w:r>
            <w:r>
              <w:rPr>
                <w:rFonts w:ascii="Calibri" w:hAnsi="Calibri"/>
                <w:b w:val="0"/>
                <w:i w:val="0"/>
                <w:color w:val="101828"/>
                <w:sz w:val="14"/>
              </w:rPr>
              <w:t xml:space="preserve"> </w:t>
            </w:r>
            <w:r>
              <w:rPr>
                <w:rFonts w:ascii="Calibri" w:hAnsi="Calibri"/>
                <w:i/>
                <w:color w:val="101828"/>
                <w:sz w:val="14"/>
              </w:rPr>
              <w:t>What happens next</w:t>
            </w:r>
            <w:r>
              <w:rPr>
                <w:rFonts w:ascii="Calibri" w:hAnsi="Calibri"/>
                <w:b w:val="0"/>
                <w:i w:val="0"/>
                <w:color w:val="101828"/>
                <w:sz w:val="14"/>
              </w:rPr>
              <w:t xml:space="preserve">. The reply region's </w:t>
            </w:r>
            <w:r>
              <w:rPr>
                <w:rFonts w:ascii="Consolas" w:hAnsi="Consolas"/>
                <w:color w:val="146EF5"/>
                <w:sz w:val="14"/>
              </w:rPr>
              <w:t>aria-describedby</w:t>
            </w:r>
            <w:r>
              <w:rPr>
                <w:rFonts w:ascii="Calibri" w:hAnsi="Calibri"/>
                <w:b w:val="0"/>
                <w:i w:val="0"/>
                <w:color w:val="101828"/>
                <w:sz w:val="14"/>
              </w:rPr>
              <w:t xml:space="preserve"> points at the visibility note, so a member learns that what they write is shared before they write it.</w:t>
            </w:r>
          </w:p>
        </w:tc>
      </w:tr>
    </w:tbl>
    <w:p>
      <w:pPr>
        <w:spacing w:after="80"/>
      </w:pPr>
    </w:p>
    <w:p>
      <w:r>
        <w:br w:type="page"/>
      </w:r>
    </w:p>
    <w:p>
      <w:pPr>
        <w:pStyle w:val="Heading2"/>
      </w:pPr>
      <w:r>
        <w:rPr>
          <w:rFonts w:ascii="Calibri" w:hAnsi="Calibri"/>
          <w:b/>
          <w:i w:val="0"/>
          <w:color w:val="146EF5"/>
          <w:sz w:val="29"/>
        </w:rPr>
        <w:t>4.18 Profile — SCR-MOB-19</w:t>
      </w:r>
    </w:p>
    <w:p>
      <w:r>
        <w:rPr>
          <w:rFonts w:ascii="Calibri" w:hAnsi="Calibri"/>
          <w:b w:val="0"/>
          <w:i w:val="0"/>
          <w:color w:val="101828"/>
          <w:sz w:val="21"/>
        </w:rPr>
        <w:t xml:space="preserve">The profile is what other members see of a person, and it is the one place where this product has to hold two ideas at once: a member is entitled to know who else is in their Ajo, and is entitled to keep their phone number, their bank details and their documents to themselves. The profile is therefore split into a </w:t>
      </w:r>
      <w:r>
        <w:rPr>
          <w:rFonts w:ascii="Calibri" w:hAnsi="Calibri"/>
          <w:i/>
          <w:color w:val="101828"/>
          <w:sz w:val="21"/>
        </w:rPr>
        <w:t>what others see</w:t>
      </w:r>
      <w:r>
        <w:rPr>
          <w:rFonts w:ascii="Calibri" w:hAnsi="Calibri"/>
          <w:b w:val="0"/>
          <w:i w:val="0"/>
          <w:color w:val="101828"/>
          <w:sz w:val="21"/>
        </w:rPr>
        <w:t xml:space="preserve"> section and a </w:t>
      </w:r>
      <w:r>
        <w:rPr>
          <w:rFonts w:ascii="Calibri" w:hAnsi="Calibri"/>
          <w:i/>
          <w:color w:val="101828"/>
          <w:sz w:val="21"/>
        </w:rPr>
        <w:t>only you can see</w:t>
      </w:r>
      <w:r>
        <w:rPr>
          <w:rFonts w:ascii="Calibri" w:hAnsi="Calibri"/>
          <w:b w:val="0"/>
          <w:i w:val="0"/>
          <w:color w:val="101828"/>
          <w:sz w:val="21"/>
        </w:rPr>
        <w:t xml:space="preserve"> section, and the boundary between them is drawn explicitly rather than implied by which section a field happens to sit in.</w:t>
      </w:r>
    </w:p>
    <w:p>
      <w:pPr>
        <w:pStyle w:val="Heading3"/>
      </w:pPr>
      <w:r>
        <w:rPr>
          <w:rFonts w:ascii="Calibri" w:hAnsi="Calibri"/>
          <w:b/>
          <w:i w:val="0"/>
          <w:color w:val="0B1F3A"/>
          <w:sz w:val="24"/>
        </w:rPr>
        <w:t>4.18.1 Profile — SCR-MOB-19</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Let a member see and edit their own details, and show them exactly what another member will see of them.</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correcting a name before it appears on ten rosters, or checking what a group can see before joining a second Ajo with the same people.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column, two labelled regions. </w:t>
            </w:r>
            <w:r>
              <w:rPr>
                <w:rFonts w:ascii="Calibri" w:hAnsi="Calibri"/>
                <w:b/>
                <w:color w:val="101828"/>
                <w:sz w:val="14"/>
              </w:rPr>
              <w:t>What other members see</w:t>
            </w:r>
            <w:r>
              <w:rPr>
                <w:rFonts w:ascii="Calibri" w:hAnsi="Calibri"/>
                <w:b w:val="0"/>
                <w:i w:val="0"/>
                <w:color w:val="101828"/>
                <w:sz w:val="14"/>
              </w:rPr>
              <w:t xml:space="preserve">: avatar initials, first name, last initial, member since. </w:t>
            </w:r>
            <w:r>
              <w:rPr>
                <w:rFonts w:ascii="Calibri" w:hAnsi="Calibri"/>
                <w:b/>
                <w:color w:val="101828"/>
                <w:sz w:val="14"/>
              </w:rPr>
              <w:t>Only you can see</w:t>
            </w:r>
            <w:r>
              <w:rPr>
                <w:rFonts w:ascii="Calibri" w:hAnsi="Calibri"/>
                <w:b w:val="0"/>
                <w:i w:val="0"/>
                <w:color w:val="101828"/>
                <w:sz w:val="14"/>
              </w:rPr>
              <w:t>: email, phone, and the state of identity verification. Each region ends with its own edit control.</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Avatar</w:t>
            </w:r>
            <w:r>
              <w:rPr>
                <w:rFonts w:ascii="Calibri" w:hAnsi="Calibri"/>
                <w:b w:val="0"/>
                <w:i w:val="0"/>
                <w:color w:val="101828"/>
                <w:sz w:val="14"/>
              </w:rPr>
              <w:t xml:space="preserve">, </w:t>
            </w:r>
            <w:r>
              <w:rPr>
                <w:rFonts w:ascii="Consolas" w:hAnsi="Consolas"/>
                <w:color w:val="146EF5"/>
                <w:sz w:val="14"/>
              </w:rPr>
              <w:t>ListItem</w:t>
            </w:r>
            <w:r>
              <w:rPr>
                <w:rFonts w:ascii="Calibri" w:hAnsi="Calibri"/>
                <w:b w:val="0"/>
                <w:i w:val="0"/>
                <w:color w:val="101828"/>
                <w:sz w:val="14"/>
              </w:rPr>
              <w:t xml:space="preserve"> (field), </w:t>
            </w:r>
            <w:r>
              <w:rPr>
                <w:rFonts w:ascii="Consolas" w:hAnsi="Consolas"/>
                <w:color w:val="146EF5"/>
                <w:sz w:val="14"/>
              </w:rPr>
              <w:t>Badge</w:t>
            </w:r>
            <w:r>
              <w:rPr>
                <w:rFonts w:ascii="Calibri" w:hAnsi="Calibri"/>
                <w:b w:val="0"/>
                <w:i w:val="0"/>
                <w:color w:val="101828"/>
                <w:sz w:val="14"/>
              </w:rPr>
              <w:t xml:space="preserve">, </w:t>
            </w:r>
            <w:r>
              <w:rPr>
                <w:rFonts w:ascii="Consolas" w:hAnsi="Consolas"/>
                <w:color w:val="146EF5"/>
                <w:sz w:val="14"/>
              </w:rPr>
              <w:t>Sheet</w:t>
            </w:r>
            <w:r>
              <w:rPr>
                <w:rFonts w:ascii="Calibri" w:hAnsi="Calibri"/>
                <w:b w:val="0"/>
                <w:i w:val="0"/>
                <w:color w:val="101828"/>
                <w:sz w:val="14"/>
              </w:rPr>
              <w:t xml:space="preserve"> (edit), </w:t>
            </w:r>
            <w:r>
              <w:rPr>
                <w:rFonts w:ascii="Consolas" w:hAnsi="Consolas"/>
                <w:color w:val="146EF5"/>
                <w:sz w:val="14"/>
              </w:rPr>
              <w:t>Button</w:t>
            </w:r>
            <w:r>
              <w:rPr>
                <w:rFonts w:ascii="Calibri" w:hAnsi="Calibri"/>
                <w:b w:val="0"/>
                <w:i w:val="0"/>
                <w:color w:val="101828"/>
                <w:sz w:val="14"/>
              </w:rPr>
              <w:t xml:space="preserve"> (secondary and primary), </w:t>
            </w:r>
            <w:r>
              <w:rPr>
                <w:rFonts w:ascii="Consolas" w:hAnsi="Consolas"/>
                <w:color w:val="146EF5"/>
                <w:sz w:val="14"/>
              </w:rPr>
              <w:t>Divider</w:t>
            </w:r>
            <w:r>
              <w:rPr>
                <w:rFonts w:ascii="Calibri" w:hAnsi="Calibri"/>
                <w:b w:val="0"/>
                <w:i w:val="0"/>
                <w:color w:val="101828"/>
                <w:sz w:val="14"/>
              </w:rPr>
              <w:t xml:space="preserve">, </w:t>
            </w:r>
            <w:r>
              <w:rPr>
                <w:rFonts w:ascii="Consolas" w:hAnsi="Consolas"/>
                <w:color w:val="146EF5"/>
                <w:sz w:val="14"/>
              </w:rPr>
              <w:t>Callout</w:t>
            </w:r>
            <w:r>
              <w:rPr>
                <w:rFonts w:ascii="Calibri" w:hAnsi="Calibri"/>
                <w:b w:val="0"/>
                <w:i w:val="0"/>
                <w:color w:val="101828"/>
                <w:sz w:val="14"/>
              </w:rPr>
              <w:t xml:space="preserve"> (NOTE).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Reached from the More menu and from the dashboard's greeting. Deep-linkable. </w:t>
            </w:r>
            <w:r>
              <w:rPr>
                <w:rFonts w:ascii="Consolas" w:hAnsi="Consolas"/>
                <w:color w:val="146EF5"/>
                <w:sz w:val="14"/>
              </w:rPr>
              <w:t>noindex</w:t>
            </w:r>
            <w:r>
              <w:rPr>
                <w:rFonts w:ascii="Calibri" w:hAnsi="Calibri"/>
                <w:b w:val="0"/>
                <w:i w:val="0"/>
                <w:color w:val="101828"/>
                <w:sz w:val="14"/>
              </w:rPr>
              <w: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None on the view state. The view is content. Inside the edit sheet, the primary is </w:t>
            </w:r>
            <w:r>
              <w:rPr>
                <w:rFonts w:ascii="Calibri" w:hAnsi="Calibri"/>
                <w:i/>
                <w:color w:val="101828"/>
                <w:sz w:val="14"/>
              </w:rPr>
              <w:t>Save</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Edit details</w:t>
            </w:r>
            <w:r>
              <w:rPr>
                <w:rFonts w:ascii="Calibri" w:hAnsi="Calibri"/>
                <w:b w:val="0"/>
                <w:i w:val="0"/>
                <w:color w:val="101828"/>
                <w:sz w:val="14"/>
              </w:rPr>
              <w:t xml:space="preserve"> (secondary outlined) per region, and </w:t>
            </w:r>
            <w:r>
              <w:rPr>
                <w:rFonts w:ascii="Calibri" w:hAnsi="Calibri"/>
                <w:i/>
                <w:color w:val="101828"/>
                <w:sz w:val="14"/>
              </w:rPr>
              <w:t>Manage identity documents</w:t>
            </w:r>
            <w:r>
              <w:rPr>
                <w:rFonts w:ascii="Calibri" w:hAnsi="Calibri"/>
                <w:b w:val="0"/>
                <w:i w:val="0"/>
                <w:color w:val="101828"/>
                <w:sz w:val="14"/>
              </w:rPr>
              <w:t xml:space="preserve"> (secondary outlined) in the private region.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public region with the four fields and, beneath it, a line stating what a member in an Ajo can see: </w:t>
            </w:r>
            <w:r>
              <w:rPr>
                <w:rFonts w:ascii="Calibri" w:hAnsi="Calibri"/>
                <w:i/>
                <w:color w:val="101828"/>
                <w:sz w:val="14"/>
              </w:rPr>
              <w:t>members of the same Ajo can see your name, your position and your membership status. They cannot see your phone number, your email, your bank details or your documents.</w:t>
            </w:r>
            <w:r>
              <w:rPr>
                <w:rFonts w:ascii="Calibri" w:hAnsi="Calibri"/>
                <w:b w:val="0"/>
                <w:i w:val="0"/>
                <w:color w:val="101828"/>
                <w:sz w:val="14"/>
              </w:rPr>
              <w:t xml:space="preserve"> The private region with email, phone and the verification state, and a line stating who can see these: </w:t>
            </w:r>
            <w:r>
              <w:rPr>
                <w:rFonts w:ascii="Calibri" w:hAnsi="Calibri"/>
                <w:i/>
                <w:color w:val="101828"/>
                <w:sz w:val="14"/>
              </w:rPr>
              <w:t>only you and, where we are legally required to, the authorities. We never show them to another member, including an organiser.</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In the edit sheet only: first name, last name, both required, same rules as registration. Email and phone are edited in the security screen, not here, because changing either has a verification consequence that a profile edit should not carry silently.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Name rules as on SCR-WEB-10. </w:t>
            </w:r>
            <w:r>
              <w:rPr>
                <w:rFonts w:ascii="Calibri" w:hAnsi="Calibri"/>
                <w:b/>
                <w:color w:val="101828"/>
                <w:sz w:val="14"/>
              </w:rPr>
              <w:t>A name change is applied immediately to all rosters</w:t>
            </w:r>
            <w:r>
              <w:rPr>
                <w:rFonts w:ascii="Calibri" w:hAnsi="Calibri"/>
                <w:b w:val="0"/>
                <w:i w:val="0"/>
                <w:color w:val="101828"/>
                <w:sz w:val="14"/>
              </w:rPr>
              <w:t xml:space="preserve"> and the interface says so before the save, because a member who changes their name mid-Ajo should know their group will see it.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private region resolves separately from the public one, so a failure to load an email does not hide a name. Each region has its own skeleton.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member with no display name — impossible through the registration flow, but possible through a data import — sees </w:t>
            </w:r>
            <w:r>
              <w:rPr>
                <w:rFonts w:ascii="Calibri" w:hAnsi="Calibri"/>
                <w:i/>
                <w:color w:val="101828"/>
                <w:sz w:val="14"/>
              </w:rPr>
              <w:t>No name set</w:t>
            </w:r>
            <w:r>
              <w:rPr>
                <w:rFonts w:ascii="Calibri" w:hAnsi="Calibri"/>
                <w:b w:val="0"/>
                <w:i w:val="0"/>
                <w:color w:val="101828"/>
                <w:sz w:val="14"/>
              </w:rPr>
              <w:t xml:space="preserve"> with the edit control, not a blank row.</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Per region. A failed name save reports inside the sheet and preserves the typed value.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region updates in place with a polite confirmation. No toast.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One column at every width. The two regions are stacked at every width and are never interleaved; a member reading the public region should not have the private one appearing between its fields.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Each region is a labelled section with an </w:t>
            </w:r>
            <w:r>
              <w:rPr>
                <w:rFonts w:ascii="Consolas" w:hAnsi="Consolas"/>
                <w:color w:val="146EF5"/>
                <w:sz w:val="14"/>
              </w:rPr>
              <w:t>h2</w:t>
            </w:r>
            <w:r>
              <w:rPr>
                <w:rFonts w:ascii="Calibri" w:hAnsi="Calibri"/>
                <w:b w:val="0"/>
                <w:i w:val="0"/>
                <w:color w:val="101828"/>
                <w:sz w:val="14"/>
              </w:rPr>
              <w:t xml:space="preserve"> whose text states the visibility rule, so the boundary is in the accessible outline and not only in the visual layout. Every field's accessible name includes its visibility, </w:t>
            </w:r>
            <w:r>
              <w:rPr>
                <w:rFonts w:ascii="Calibri" w:hAnsi="Calibri"/>
                <w:i/>
                <w:color w:val="101828"/>
                <w:sz w:val="14"/>
              </w:rPr>
              <w:t>Phone number, only you can see</w:t>
            </w:r>
            <w:r>
              <w:rPr>
                <w:rFonts w:ascii="Calibri" w:hAnsi="Calibri"/>
                <w:b w:val="0"/>
                <w:i w:val="0"/>
                <w:color w:val="101828"/>
                <w:sz w:val="14"/>
              </w:rPr>
              <w:t>. The avatar's initials are hidden from the accessibility tree because the name is already present as text.</w:t>
            </w:r>
          </w:p>
        </w:tc>
      </w:tr>
    </w:tbl>
    <w:p>
      <w:pPr>
        <w:spacing w:after="80"/>
      </w:pPr>
    </w:p>
    <w:p>
      <w:r>
        <w:br w:type="page"/>
      </w:r>
    </w:p>
    <w:p>
      <w:pPr>
        <w:pStyle w:val="Heading2"/>
      </w:pPr>
      <w:r>
        <w:rPr>
          <w:rFonts w:ascii="Calibri" w:hAnsi="Calibri"/>
          <w:b/>
          <w:i w:val="0"/>
          <w:color w:val="146EF5"/>
          <w:sz w:val="29"/>
        </w:rPr>
        <w:t>4.19 Settings — SCR-MOB-20</w:t>
      </w:r>
    </w:p>
    <w:p>
      <w:r>
        <w:rPr>
          <w:rFonts w:ascii="Calibri" w:hAnsi="Calibri"/>
          <w:b w:val="0"/>
          <w:i w:val="0"/>
          <w:color w:val="101828"/>
          <w:sz w:val="21"/>
        </w:rPr>
        <w:t>Settings is a list of switches, and a list of switches is where products usually go wrong by burying consequential actions among cosmetic ones. The consequence here is a three-band structure: things that change how the product reaches you, things that change what data is held, and things that end the relationship.</w:t>
      </w:r>
    </w:p>
    <w:p>
      <w:pPr>
        <w:pStyle w:val="Heading3"/>
      </w:pPr>
      <w:r>
        <w:rPr>
          <w:rFonts w:ascii="Calibri" w:hAnsi="Calibri"/>
          <w:b/>
          <w:i w:val="0"/>
          <w:color w:val="0B1F3A"/>
          <w:sz w:val="24"/>
        </w:rPr>
        <w:t>4.19.1 Settings — SCR-MOB-20</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Let a member control notifications, choose their language, and reach the three irreversible actions: sign out everywhere, request data deletion, and close the account.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who is being notified too often, or who wants the product in a language other than English, or who is leaving and wants to know what happens to their record.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column in three labelled bands with dividers. </w:t>
            </w:r>
            <w:r>
              <w:rPr>
                <w:rFonts w:ascii="Calibri" w:hAnsi="Calibri"/>
                <w:b/>
                <w:color w:val="101828"/>
                <w:sz w:val="14"/>
              </w:rPr>
              <w:t>Reach</w:t>
            </w:r>
            <w:r>
              <w:rPr>
                <w:rFonts w:ascii="Calibri" w:hAnsi="Calibri"/>
                <w:b w:val="0"/>
                <w:i w:val="0"/>
                <w:color w:val="101828"/>
                <w:sz w:val="14"/>
              </w:rPr>
              <w:t xml:space="preserve">: notification channels per event type, language. </w:t>
            </w:r>
            <w:r>
              <w:rPr>
                <w:rFonts w:ascii="Calibri" w:hAnsi="Calibri"/>
                <w:b/>
                <w:color w:val="101828"/>
                <w:sz w:val="14"/>
              </w:rPr>
              <w:t>Data</w:t>
            </w:r>
            <w:r>
              <w:rPr>
                <w:rFonts w:ascii="Calibri" w:hAnsi="Calibri"/>
                <w:b w:val="0"/>
                <w:i w:val="0"/>
                <w:color w:val="101828"/>
                <w:sz w:val="14"/>
              </w:rPr>
              <w:t xml:space="preserve">: download a copy, request deletion. </w:t>
            </w:r>
            <w:r>
              <w:rPr>
                <w:rFonts w:ascii="Calibri" w:hAnsi="Calibri"/>
                <w:b/>
                <w:color w:val="101828"/>
                <w:sz w:val="14"/>
              </w:rPr>
              <w:t>Account</w:t>
            </w:r>
            <w:r>
              <w:rPr>
                <w:rFonts w:ascii="Calibri" w:hAnsi="Calibri"/>
                <w:b w:val="0"/>
                <w:i w:val="0"/>
                <w:color w:val="101828"/>
                <w:sz w:val="14"/>
              </w:rPr>
              <w:t>: sign out everywhere, close the account. The destructive band is last, visually separated, and never adjacent to a switch.</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ListItem</w:t>
            </w:r>
            <w:r>
              <w:rPr>
                <w:rFonts w:ascii="Calibri" w:hAnsi="Calibri"/>
                <w:b w:val="0"/>
                <w:i w:val="0"/>
                <w:color w:val="101828"/>
                <w:sz w:val="14"/>
              </w:rPr>
              <w:t xml:space="preserve"> (switch row), </w:t>
            </w:r>
            <w:r>
              <w:rPr>
                <w:rFonts w:ascii="Consolas" w:hAnsi="Consolas"/>
                <w:color w:val="146EF5"/>
                <w:sz w:val="14"/>
              </w:rPr>
              <w:t>Switch</w:t>
            </w:r>
            <w:r>
              <w:rPr>
                <w:rFonts w:ascii="Calibri" w:hAnsi="Calibri"/>
                <w:b w:val="0"/>
                <w:i w:val="0"/>
                <w:color w:val="101828"/>
                <w:sz w:val="14"/>
              </w:rPr>
              <w:t xml:space="preserve">, </w:t>
            </w:r>
            <w:r>
              <w:rPr>
                <w:rFonts w:ascii="Consolas" w:hAnsi="Consolas"/>
                <w:color w:val="146EF5"/>
                <w:sz w:val="14"/>
              </w:rPr>
              <w:t>Select</w:t>
            </w:r>
            <w:r>
              <w:rPr>
                <w:rFonts w:ascii="Calibri" w:hAnsi="Calibri"/>
                <w:b w:val="0"/>
                <w:i w:val="0"/>
                <w:color w:val="101828"/>
                <w:sz w:val="14"/>
              </w:rPr>
              <w:t xml:space="preserve">, </w:t>
            </w:r>
            <w:r>
              <w:rPr>
                <w:rFonts w:ascii="Consolas" w:hAnsi="Consolas"/>
                <w:color w:val="146EF5"/>
                <w:sz w:val="14"/>
              </w:rPr>
              <w:t>Divider</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(secondary and danger), </w:t>
            </w:r>
            <w:r>
              <w:rPr>
                <w:rFonts w:ascii="Consolas" w:hAnsi="Consolas"/>
                <w:color w:val="146EF5"/>
                <w:sz w:val="14"/>
              </w:rPr>
              <w:t>Sheet</w:t>
            </w:r>
            <w:r>
              <w:rPr>
                <w:rFonts w:ascii="Calibri" w:hAnsi="Calibri"/>
                <w:b w:val="0"/>
                <w:i w:val="0"/>
                <w:color w:val="101828"/>
                <w:sz w:val="14"/>
              </w:rPr>
              <w:t xml:space="preserve"> (channel matrix), </w:t>
            </w:r>
            <w:r>
              <w:rPr>
                <w:rFonts w:ascii="Consolas" w:hAnsi="Consolas"/>
                <w:color w:val="146EF5"/>
                <w:sz w:val="14"/>
              </w:rPr>
              <w:t>Callout</w:t>
            </w:r>
            <w:r>
              <w:rPr>
                <w:rFonts w:ascii="Calibri" w:hAnsi="Calibri"/>
                <w:b w:val="0"/>
                <w:i w:val="0"/>
                <w:color w:val="101828"/>
                <w:sz w:val="14"/>
              </w:rPr>
              <w:t xml:space="preserve"> (DANGER).</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Reached from the More menu. Deep-linkable to a single band. </w:t>
            </w:r>
            <w:r>
              <w:rPr>
                <w:rFonts w:ascii="Consolas" w:hAnsi="Consolas"/>
                <w:color w:val="146EF5"/>
                <w:sz w:val="14"/>
              </w:rPr>
              <w:t>noindex</w:t>
            </w:r>
            <w:r>
              <w:rPr>
                <w:rFonts w:ascii="Calibri" w:hAnsi="Calibri"/>
                <w:b w:val="0"/>
                <w:i w:val="0"/>
                <w:color w:val="101828"/>
                <w:sz w:val="14"/>
              </w:rPr>
              <w: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None. Settings is a configuration surface, and every row acts on itself.</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Save notification preferences</w:t>
            </w:r>
            <w:r>
              <w:rPr>
                <w:rFonts w:ascii="Calibri" w:hAnsi="Calibri"/>
                <w:b w:val="0"/>
                <w:i w:val="0"/>
                <w:color w:val="101828"/>
                <w:sz w:val="14"/>
              </w:rPr>
              <w:t xml:space="preserve"> is not a control, because preferences save on change; instead each switch shows its saved state with a quiet saved indicator. Tertiary: </w:t>
            </w:r>
            <w:r>
              <w:rPr>
                <w:rFonts w:ascii="Calibri" w:hAnsi="Calibri"/>
                <w:i/>
                <w:color w:val="101828"/>
                <w:sz w:val="14"/>
              </w:rPr>
              <w:t>Read the privacy policy</w:t>
            </w:r>
            <w:r>
              <w:rPr>
                <w:rFonts w:ascii="Calibri" w:hAnsi="Calibri"/>
                <w:b w:val="0"/>
                <w:i w:val="0"/>
                <w:color w:val="101828"/>
                <w:sz w:val="14"/>
              </w:rPr>
              <w: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Reach band: a summary row </w:t>
            </w:r>
            <w:r>
              <w:rPr>
                <w:rFonts w:ascii="Calibri" w:hAnsi="Calibri"/>
                <w:i/>
                <w:color w:val="101828"/>
                <w:sz w:val="14"/>
              </w:rPr>
              <w:t>Notifications</w:t>
            </w:r>
            <w:r>
              <w:rPr>
                <w:rFonts w:ascii="Calibri" w:hAnsi="Calibri"/>
                <w:b w:val="0"/>
                <w:i w:val="0"/>
                <w:color w:val="101828"/>
                <w:sz w:val="14"/>
              </w:rPr>
              <w:t xml:space="preserve">, opening a channel matrix — in-app, email, SMS — against the event types a member can actually be notified about, with the money events </w:t>
            </w:r>
            <w:r>
              <w:rPr>
                <w:rFonts w:ascii="Calibri" w:hAnsi="Calibri"/>
                <w:b/>
                <w:color w:val="101828"/>
                <w:sz w:val="14"/>
              </w:rPr>
              <w:t>pre-ticked and explained as such</w:t>
            </w:r>
            <w:r>
              <w:rPr>
                <w:rFonts w:ascii="Calibri" w:hAnsi="Calibri"/>
                <w:b w:val="0"/>
                <w:i w:val="0"/>
                <w:color w:val="101828"/>
                <w:sz w:val="14"/>
              </w:rPr>
              <w:t xml:space="preserve">, because a member must not be able to switch off the only channel that will tell them their round is due. Language: a select. Data band: </w:t>
            </w:r>
            <w:r>
              <w:rPr>
                <w:rFonts w:ascii="Calibri" w:hAnsi="Calibri"/>
                <w:i/>
                <w:color w:val="101828"/>
                <w:sz w:val="14"/>
              </w:rPr>
              <w:t>Download my data</w:t>
            </w:r>
            <w:r>
              <w:rPr>
                <w:rFonts w:ascii="Calibri" w:hAnsi="Calibri"/>
                <w:b w:val="0"/>
                <w:i w:val="0"/>
                <w:color w:val="101828"/>
                <w:sz w:val="14"/>
              </w:rPr>
              <w:t xml:space="preserve"> and </w:t>
            </w:r>
            <w:r>
              <w:rPr>
                <w:rFonts w:ascii="Calibri" w:hAnsi="Calibri"/>
                <w:i/>
                <w:color w:val="101828"/>
                <w:sz w:val="14"/>
              </w:rPr>
              <w:t>Request deletion of my data</w:t>
            </w:r>
            <w:r>
              <w:rPr>
                <w:rFonts w:ascii="Calibri" w:hAnsi="Calibri"/>
                <w:b w:val="0"/>
                <w:i w:val="0"/>
                <w:color w:val="101828"/>
                <w:sz w:val="14"/>
              </w:rPr>
              <w:t xml:space="preserve">. Account band: </w:t>
            </w:r>
            <w:r>
              <w:rPr>
                <w:rFonts w:ascii="Calibri" w:hAnsi="Calibri"/>
                <w:i/>
                <w:color w:val="101828"/>
                <w:sz w:val="14"/>
              </w:rPr>
              <w:t>Sign out of all devices</w:t>
            </w:r>
            <w:r>
              <w:rPr>
                <w:rFonts w:ascii="Calibri" w:hAnsi="Calibri"/>
                <w:b w:val="0"/>
                <w:i w:val="0"/>
                <w:color w:val="101828"/>
                <w:sz w:val="14"/>
              </w:rPr>
              <w:t xml:space="preserve"> and </w:t>
            </w:r>
            <w:r>
              <w:rPr>
                <w:rFonts w:ascii="Calibri" w:hAnsi="Calibri"/>
                <w:i/>
                <w:color w:val="101828"/>
                <w:sz w:val="14"/>
              </w:rPr>
              <w:t>Close my account</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A language select, and the channel matrix as a grid of switches. Nothing else.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Money-event channels cannot all be switched off: the interface permits the last one to be turned off only after an explicit confirmation explaining that the member may then miss a due date, and it records that the member was told. </w:t>
            </w:r>
            <w:r>
              <w:rPr>
                <w:rFonts w:ascii="Calibri" w:hAnsi="Calibri"/>
                <w:b/>
                <w:color w:val="101828"/>
                <w:sz w:val="14"/>
              </w:rPr>
              <w:t>The interface never silently re-enables a channel and never re-enables one on the next visit.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Switch rows render in their stored state immediately from the session; the matrix resolves in place. A switch never appears off when its stored value is 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 Every row has a value.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A failed save of a preference leaves the switch in its attempted position with a quiet inline warning and a retry, rather than snapping back silently, because a switch that snaps back teaches a member the switch is broken.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Each destructive action opens a confirmation stating exactly what will happen, what will be kept, and for how long, per the privacy policy. </w:t>
            </w:r>
            <w:r>
              <w:rPr>
                <w:rFonts w:ascii="Calibri" w:hAnsi="Calibri"/>
                <w:b/>
                <w:color w:val="101828"/>
                <w:sz w:val="14"/>
              </w:rPr>
              <w:t>Account closure is never a single tap and never a toggle.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One column at every width. Switch rows are 64 px with the label on the left and the switch on the right, and the label is not truncated at 320 px — it wraps to two lines, which keeps the control usable.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Every switch is a real </w:t>
            </w:r>
            <w:r>
              <w:rPr>
                <w:rFonts w:ascii="Consolas" w:hAnsi="Consolas"/>
                <w:color w:val="146EF5"/>
                <w:sz w:val="14"/>
              </w:rPr>
              <w:t>role="switch"</w:t>
            </w:r>
            <w:r>
              <w:rPr>
                <w:rFonts w:ascii="Calibri" w:hAnsi="Calibri"/>
                <w:b w:val="0"/>
                <w:i w:val="0"/>
                <w:color w:val="101828"/>
                <w:sz w:val="14"/>
              </w:rPr>
              <w:t xml:space="preserve"> with a state, and its accessible name is the row label, not </w:t>
            </w:r>
            <w:r>
              <w:rPr>
                <w:rFonts w:ascii="Calibri" w:hAnsi="Calibri"/>
                <w:i/>
                <w:color w:val="101828"/>
                <w:sz w:val="14"/>
              </w:rPr>
              <w:t>toggle</w:t>
            </w:r>
            <w:r>
              <w:rPr>
                <w:rFonts w:ascii="Calibri" w:hAnsi="Calibri"/>
                <w:b w:val="0"/>
                <w:i w:val="0"/>
                <w:color w:val="101828"/>
                <w:sz w:val="14"/>
              </w:rPr>
              <w:t xml:space="preserve">. The channel matrix is a labelled table with row and column headers so a screen reader user can hear </w:t>
            </w:r>
            <w:r>
              <w:rPr>
                <w:rFonts w:ascii="Calibri" w:hAnsi="Calibri"/>
                <w:i/>
                <w:color w:val="101828"/>
                <w:sz w:val="14"/>
              </w:rPr>
              <w:t>SMS, round due, on</w:t>
            </w:r>
            <w:r>
              <w:rPr>
                <w:rFonts w:ascii="Calibri" w:hAnsi="Calibri"/>
                <w:b w:val="0"/>
                <w:i w:val="0"/>
                <w:color w:val="101828"/>
                <w:sz w:val="14"/>
              </w:rPr>
              <w:t>. The destructive band is a labelled region, so it can be reached and skipped deliberately.</w:t>
            </w:r>
          </w:p>
        </w:tc>
      </w:tr>
    </w:tbl>
    <w:p>
      <w:pPr>
        <w:spacing w:after="80"/>
      </w:pPr>
    </w:p>
    <w:p>
      <w:r>
        <w:br w:type="page"/>
      </w:r>
    </w:p>
    <w:p>
      <w:pPr>
        <w:pStyle w:val="Heading2"/>
      </w:pPr>
      <w:r>
        <w:rPr>
          <w:rFonts w:ascii="Calibri" w:hAnsi="Calibri"/>
          <w:b/>
          <w:i w:val="0"/>
          <w:color w:val="146EF5"/>
          <w:sz w:val="29"/>
        </w:rPr>
        <w:t>4.20 Security — SCR-MOB-21</w:t>
      </w:r>
    </w:p>
    <w:p>
      <w:r>
        <w:rPr>
          <w:rFonts w:ascii="Calibri" w:hAnsi="Calibri"/>
          <w:b w:val="0"/>
          <w:i w:val="0"/>
          <w:color w:val="101828"/>
          <w:sz w:val="21"/>
        </w:rPr>
        <w:t xml:space="preserve">Security is the screen that has to be usable by somebody who has just received a </w:t>
      </w:r>
      <w:r>
        <w:rPr>
          <w:rFonts w:ascii="Calibri" w:hAnsi="Calibri"/>
          <w:i/>
          <w:color w:val="101828"/>
          <w:sz w:val="21"/>
        </w:rPr>
        <w:t>your sign-in was blocked</w:t>
      </w:r>
      <w:r>
        <w:rPr>
          <w:rFonts w:ascii="Calibri" w:hAnsi="Calibri"/>
          <w:b w:val="0"/>
          <w:i w:val="0"/>
          <w:color w:val="101828"/>
          <w:sz w:val="21"/>
        </w:rPr>
        <w:t xml:space="preserve"> message, on a phone that is not theirs, at a time when they are worried. It is therefore organised by task rather than by security concept, and the two genuinely dangerous actions — signing out everywhere and withdrawing all sessions — are separated from the everyday ones by a band and a confirmation.</w:t>
      </w:r>
    </w:p>
    <w:p>
      <w:pPr>
        <w:pStyle w:val="Heading3"/>
      </w:pPr>
      <w:r>
        <w:rPr>
          <w:rFonts w:ascii="Calibri" w:hAnsi="Calibri"/>
          <w:b/>
          <w:i w:val="0"/>
          <w:color w:val="0B1F3A"/>
          <w:sz w:val="24"/>
        </w:rPr>
        <w:t>4.20.1 Security — SCR-MOB-21</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Let a member change their password, change their phone number, review where they are signed in, and end sessions they do not recognise.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who suspects something, or who has simply lost a phone. Both arrive at this screen in a hurry and both need the first thing on it to be the thing they came for.</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column in two bands. </w:t>
            </w:r>
            <w:r>
              <w:rPr>
                <w:rFonts w:ascii="Calibri" w:hAnsi="Calibri"/>
                <w:b/>
                <w:color w:val="101828"/>
                <w:sz w:val="14"/>
              </w:rPr>
              <w:t>Your access</w:t>
            </w:r>
            <w:r>
              <w:rPr>
                <w:rFonts w:ascii="Calibri" w:hAnsi="Calibri"/>
                <w:b w:val="0"/>
                <w:i w:val="0"/>
                <w:color w:val="101828"/>
                <w:sz w:val="14"/>
              </w:rPr>
              <w:t xml:space="preserve">: password with a change control, phone with a change control. </w:t>
            </w:r>
            <w:r>
              <w:rPr>
                <w:rFonts w:ascii="Calibri" w:hAnsi="Calibri"/>
                <w:b/>
                <w:color w:val="101828"/>
                <w:sz w:val="14"/>
              </w:rPr>
              <w:t>Signed-in devices</w:t>
            </w:r>
            <w:r>
              <w:rPr>
                <w:rFonts w:ascii="Calibri" w:hAnsi="Calibri"/>
                <w:b w:val="0"/>
                <w:i w:val="0"/>
                <w:color w:val="101828"/>
                <w:sz w:val="14"/>
              </w:rPr>
              <w:t xml:space="preserve">: a list of sessions with device, place, last activity and a per-row </w:t>
            </w:r>
            <w:r>
              <w:rPr>
                <w:rFonts w:ascii="Calibri" w:hAnsi="Calibri"/>
                <w:i/>
                <w:color w:val="101828"/>
                <w:sz w:val="14"/>
              </w:rPr>
              <w:t>Sign out</w:t>
            </w:r>
            <w:r>
              <w:rPr>
                <w:rFonts w:ascii="Calibri" w:hAnsi="Calibri"/>
                <w:b w:val="0"/>
                <w:i w:val="0"/>
                <w:color w:val="101828"/>
                <w:sz w:val="14"/>
              </w:rPr>
              <w:t xml:space="preserve"> control, plus the </w:t>
            </w:r>
            <w:r>
              <w:rPr>
                <w:rFonts w:ascii="Calibri" w:hAnsi="Calibri"/>
                <w:i/>
                <w:color w:val="101828"/>
                <w:sz w:val="14"/>
              </w:rPr>
              <w:t>Sign out everywhere</w:t>
            </w:r>
            <w:r>
              <w:rPr>
                <w:rFonts w:ascii="Calibri" w:hAnsi="Calibri"/>
                <w:b w:val="0"/>
                <w:i w:val="0"/>
                <w:color w:val="101828"/>
                <w:sz w:val="14"/>
              </w:rPr>
              <w:t xml:space="preserve"> control at the foot.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ListItem</w:t>
            </w:r>
            <w:r>
              <w:rPr>
                <w:rFonts w:ascii="Calibri" w:hAnsi="Calibri"/>
                <w:b w:val="0"/>
                <w:i w:val="0"/>
                <w:color w:val="101828"/>
                <w:sz w:val="14"/>
              </w:rPr>
              <w:t xml:space="preserve"> (session), </w:t>
            </w:r>
            <w:r>
              <w:rPr>
                <w:rFonts w:ascii="Consolas" w:hAnsi="Consolas"/>
                <w:color w:val="146EF5"/>
                <w:sz w:val="14"/>
              </w:rPr>
              <w:t>Button</w:t>
            </w:r>
            <w:r>
              <w:rPr>
                <w:rFonts w:ascii="Calibri" w:hAnsi="Calibri"/>
                <w:b w:val="0"/>
                <w:i w:val="0"/>
                <w:color w:val="101828"/>
                <w:sz w:val="14"/>
              </w:rPr>
              <w:t xml:space="preserve"> (secondary and danger), </w:t>
            </w:r>
            <w:r>
              <w:rPr>
                <w:rFonts w:ascii="Consolas" w:hAnsi="Consolas"/>
                <w:color w:val="146EF5"/>
                <w:sz w:val="14"/>
              </w:rPr>
              <w:t>FormField</w:t>
            </w:r>
            <w:r>
              <w:rPr>
                <w:rFonts w:ascii="Calibri" w:hAnsi="Calibri"/>
                <w:b w:val="0"/>
                <w:i w:val="0"/>
                <w:color w:val="101828"/>
                <w:sz w:val="14"/>
              </w:rPr>
              <w:t xml:space="preserve">, </w:t>
            </w:r>
            <w:r>
              <w:rPr>
                <w:rFonts w:ascii="Consolas" w:hAnsi="Consolas"/>
                <w:color w:val="146EF5"/>
                <w:sz w:val="14"/>
              </w:rPr>
              <w:t>Sheet</w:t>
            </w:r>
            <w:r>
              <w:rPr>
                <w:rFonts w:ascii="Calibri" w:hAnsi="Calibri"/>
                <w:b w:val="0"/>
                <w:i w:val="0"/>
                <w:color w:val="101828"/>
                <w:sz w:val="14"/>
              </w:rPr>
              <w:t xml:space="preserve"> (change), </w:t>
            </w:r>
            <w:r>
              <w:rPr>
                <w:rFonts w:ascii="Consolas" w:hAnsi="Consolas"/>
                <w:color w:val="146EF5"/>
                <w:sz w:val="14"/>
              </w:rPr>
              <w:t>Callout</w:t>
            </w:r>
            <w:r>
              <w:rPr>
                <w:rFonts w:ascii="Calibri" w:hAnsi="Calibri"/>
                <w:b w:val="0"/>
                <w:i w:val="0"/>
                <w:color w:val="101828"/>
                <w:sz w:val="14"/>
              </w:rPr>
              <w:t xml:space="preserve"> (WARNING), </w:t>
            </w:r>
            <w:r>
              <w:rPr>
                <w:rFonts w:ascii="Consolas" w:hAnsi="Consolas"/>
                <w:color w:val="146EF5"/>
                <w:sz w:val="14"/>
              </w:rPr>
              <w:t>Divider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Reached from the More menu and from a security-alert notification, which deep-links here. Deep-linkable. </w:t>
            </w:r>
            <w:r>
              <w:rPr>
                <w:rFonts w:ascii="Consolas" w:hAnsi="Consolas"/>
                <w:color w:val="146EF5"/>
                <w:sz w:val="14"/>
              </w:rPr>
              <w:t>noindex</w:t>
            </w:r>
            <w:r>
              <w:rPr>
                <w:rFonts w:ascii="Calibri" w:hAnsi="Calibri"/>
                <w:b w:val="0"/>
                <w:i w:val="0"/>
                <w:color w:val="101828"/>
                <w:sz w:val="14"/>
              </w:rPr>
              <w: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None on the view state. The password change's primary is inside its sheet: </w:t>
            </w:r>
            <w:r>
              <w:rPr>
                <w:rFonts w:ascii="Calibri" w:hAnsi="Calibri"/>
                <w:i/>
                <w:color w:val="101828"/>
                <w:sz w:val="14"/>
              </w:rPr>
              <w:t>Change password</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Change password</w:t>
            </w:r>
            <w:r>
              <w:rPr>
                <w:rFonts w:ascii="Calibri" w:hAnsi="Calibri"/>
                <w:b w:val="0"/>
                <w:i w:val="0"/>
                <w:color w:val="101828"/>
                <w:sz w:val="14"/>
              </w:rPr>
              <w:t xml:space="preserve"> and </w:t>
            </w:r>
            <w:r>
              <w:rPr>
                <w:rFonts w:ascii="Calibri" w:hAnsi="Calibri"/>
                <w:i/>
                <w:color w:val="101828"/>
                <w:sz w:val="14"/>
              </w:rPr>
              <w:t>Change phone number</w:t>
            </w:r>
            <w:r>
              <w:rPr>
                <w:rFonts w:ascii="Calibri" w:hAnsi="Calibri"/>
                <w:b w:val="0"/>
                <w:i w:val="0"/>
                <w:color w:val="101828"/>
                <w:sz w:val="14"/>
              </w:rPr>
              <w:t xml:space="preserve"> (secondary outlined), and </w:t>
            </w:r>
            <w:r>
              <w:rPr>
                <w:rFonts w:ascii="Calibri" w:hAnsi="Calibri"/>
                <w:i/>
                <w:color w:val="101828"/>
                <w:sz w:val="14"/>
              </w:rPr>
              <w:t>Sign out of this device</w:t>
            </w:r>
            <w:r>
              <w:rPr>
                <w:rFonts w:ascii="Calibri" w:hAnsi="Calibri"/>
                <w:b w:val="0"/>
                <w:i w:val="0"/>
                <w:color w:val="101828"/>
                <w:sz w:val="14"/>
              </w:rPr>
              <w:t xml:space="preserve"> (secondary outlined) at the foot of the session list.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Your access: the last password change date, never the password itself. Phone: the masked number, with the note that a change requires verification on the new number. Devices: one row per active session with a human device name, the approximate place and the last activity, sorted newest first, </w:t>
            </w:r>
            <w:r>
              <w:rPr>
                <w:rFonts w:ascii="Calibri" w:hAnsi="Calibri"/>
                <w:b/>
                <w:color w:val="101828"/>
                <w:sz w:val="14"/>
              </w:rPr>
              <w:t>with the current session marked *This device* and not offered a sign-out control</w:t>
            </w:r>
            <w:r>
              <w:rPr>
                <w:rFonts w:ascii="Calibri" w:hAnsi="Calibri"/>
                <w:b w:val="0"/>
                <w:i w:val="0"/>
                <w:color w:val="101828"/>
                <w:sz w:val="14"/>
              </w:rPr>
              <w:t>, because signing yourself out of the device you are holding is a support ticket waiting to happen. A WARNING note stating that AJO.ng will never ask for a password, a PIN or a one-time code, and what to do instead.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In the change sheet: current password, new password, confirm new password. In the phone sheet: the new number, then a verification code sent to it. The current password is required even with an active session, because a stolen session must not be enough to take over an account.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New password rules as on SCR-WEB-12, with the same allowance for passphrases. The current password must match before the new one is accepted, and a mismatch says </w:t>
            </w:r>
            <w:r>
              <w:rPr>
                <w:rFonts w:ascii="Calibri" w:hAnsi="Calibri"/>
                <w:i/>
                <w:color w:val="101828"/>
                <w:sz w:val="14"/>
              </w:rPr>
              <w:t>That is not your current password</w:t>
            </w:r>
            <w:r>
              <w:rPr>
                <w:rFonts w:ascii="Calibri" w:hAnsi="Calibri"/>
                <w:b w:val="0"/>
                <w:i w:val="0"/>
                <w:color w:val="101828"/>
                <w:sz w:val="14"/>
              </w:rPr>
              <w:t xml:space="preserve"> without any indication of length or format. The verification code is 6 digits, single use, expiring in 10 minutes, with a resend cooldown of 60 seconds.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device list resolves in place with row skeletons. A password change works with its width locked and the sheet stays editable until the response returns.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single-session account shows one row and the </w:t>
            </w:r>
            <w:r>
              <w:rPr>
                <w:rFonts w:ascii="Calibri" w:hAnsi="Calibri"/>
                <w:i/>
                <w:color w:val="101828"/>
                <w:sz w:val="14"/>
              </w:rPr>
              <w:t>Sign out everywhere</w:t>
            </w:r>
            <w:r>
              <w:rPr>
                <w:rFonts w:ascii="Calibri" w:hAnsi="Calibri"/>
                <w:b w:val="0"/>
                <w:i w:val="0"/>
                <w:color w:val="101828"/>
                <w:sz w:val="14"/>
              </w:rPr>
              <w:t xml:space="preserve"> control is still present but its confirmation states plainly that this is the only device, because hiding it would be a lie by omission and showing it as if it were meaningful would be theatre.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A failed password change preserves the new password field and clears only the current-password field, since that is the field that was wrong. A failed phone change preserves the number and offers a resend.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password change signs out every other session and says so in the confirmation, because otherwise a member who just removed a suspicious session has no way to know it worked. A phone change re-sends the verification and the old number remains in place until the new one is verified.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One column at every width. Session rows stack label-above-value below 375 and never truncate the device name mid-word. Sheets are full-height on mobile with their own primary at the foot.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Session rows are list items, not a table, at every width, and each row's accessible name is </w:t>
            </w:r>
            <w:r>
              <w:rPr>
                <w:rFonts w:ascii="Calibri" w:hAnsi="Calibri"/>
                <w:i/>
                <w:color w:val="101828"/>
                <w:sz w:val="14"/>
              </w:rPr>
              <w:t>Signed in on a Samsung, Android, Lagos, last active two hours ago</w:t>
            </w:r>
            <w:r>
              <w:rPr>
                <w:rFonts w:ascii="Calibri" w:hAnsi="Calibri"/>
                <w:b w:val="0"/>
                <w:i w:val="0"/>
                <w:color w:val="101828"/>
                <w:sz w:val="14"/>
              </w:rPr>
              <w:t xml:space="preserve">. The </w:t>
            </w:r>
            <w:r>
              <w:rPr>
                <w:rFonts w:ascii="Calibri" w:hAnsi="Calibri"/>
                <w:i/>
                <w:color w:val="101828"/>
                <w:sz w:val="14"/>
              </w:rPr>
              <w:t>This device</w:t>
            </w:r>
            <w:r>
              <w:rPr>
                <w:rFonts w:ascii="Calibri" w:hAnsi="Calibri"/>
                <w:b w:val="0"/>
                <w:i w:val="0"/>
                <w:color w:val="101828"/>
                <w:sz w:val="14"/>
              </w:rPr>
              <w:t xml:space="preserve"> marker is text, not a highlight. The warning note is a labelled region. The change sheets trap focus and restore it to the control that opened them on close, including after a failure.</w:t>
            </w:r>
          </w:p>
        </w:tc>
      </w:tr>
    </w:tbl>
    <w:p>
      <w:pPr>
        <w:spacing w:after="80"/>
      </w:pPr>
    </w:p>
    <w:p>
      <w:r>
        <w:br w:type="page"/>
      </w:r>
    </w:p>
    <w:p>
      <w:pPr>
        <w:pStyle w:val="Heading2"/>
      </w:pPr>
      <w:r>
        <w:rPr>
          <w:rFonts w:ascii="Calibri" w:hAnsi="Calibri"/>
          <w:b/>
          <w:i w:val="0"/>
          <w:color w:val="146EF5"/>
          <w:sz w:val="29"/>
        </w:rPr>
        <w:t>4.21 Identity verification — SCR-MOB-22</w:t>
      </w:r>
    </w:p>
    <w:p>
      <w:r>
        <w:rPr>
          <w:rFonts w:ascii="Calibri" w:hAnsi="Calibri"/>
          <w:b w:val="0"/>
          <w:i w:val="0"/>
          <w:color w:val="101828"/>
          <w:sz w:val="21"/>
        </w:rPr>
        <w:t xml:space="preserve">The rule here is narrow and non-negotiable: </w:t>
      </w:r>
      <w:r>
        <w:rPr>
          <w:rFonts w:ascii="Calibri" w:hAnsi="Calibri"/>
          <w:b/>
          <w:color w:val="101828"/>
          <w:sz w:val="21"/>
        </w:rPr>
        <w:t>identity verification is required for receiving a payout and is not required for creating an Ajo, joining one, or paying a contribution.</w:t>
      </w:r>
      <w:r>
        <w:rPr>
          <w:rFonts w:ascii="Calibri" w:hAnsi="Calibri"/>
          <w:b w:val="0"/>
          <w:i w:val="0"/>
          <w:color w:val="101828"/>
          <w:sz w:val="21"/>
        </w:rPr>
        <w:t xml:space="preserve"> A product that gates participation on documents is a product that loses its members in the exact moment it starts to matter, and the screen has to be clear about which door this is before a member is asked for anything.</w:t>
      </w:r>
    </w:p>
    <w:p>
      <w:pPr>
        <w:spacing w:before="140" w:after="180"/>
        <w:ind w:left="144"/>
        <w:shd w:val="clear" w:color="auto" w:fill="E0F2FE"/>
        <w:pBdr>
          <w:left w:val="single" w:sz="18" w:space="6" w:color="22C7D6"/>
        </w:pBdr>
      </w:pPr>
      <w:r>
        <w:rPr>
          <w:rFonts w:ascii="Calibri" w:hAnsi="Calibri"/>
          <w:b/>
          <w:color w:val="22C7D6"/>
          <w:sz w:val="19"/>
        </w:rPr>
        <w:t xml:space="preserve">Verification gates exactly one action  </w:t>
      </w:r>
      <w:r>
        <w:rPr>
          <w:rFonts w:ascii="Calibri" w:hAnsi="Calibri"/>
          <w:b/>
          <w:color w:val="0B1F3A"/>
          <w:sz w:val="19"/>
        </w:rPr>
        <w:t>An unverified member can create an Ajo, join an Ajo, and pay every contribution. An unverified member cannot receive a payout.</w:t>
      </w:r>
      <w:r>
        <w:rPr>
          <w:rFonts w:ascii="Calibri" w:hAnsi="Calibri"/>
          <w:b w:val="0"/>
          <w:i w:val="0"/>
          <w:color w:val="0B1F3A"/>
          <w:sz w:val="19"/>
        </w:rPr>
        <w:t xml:space="preserve"> The screen states this in the first sentence, before any field, and states that a round's payout to an unverified member is </w:t>
      </w:r>
      <w:r>
        <w:rPr>
          <w:rFonts w:ascii="Calibri" w:hAnsi="Calibri"/>
          <w:b/>
          <w:color w:val="0B1F3A"/>
          <w:sz w:val="19"/>
        </w:rPr>
        <w:t>held and not skipped</w:t>
      </w:r>
      <w:r>
        <w:rPr>
          <w:rFonts w:ascii="Calibri" w:hAnsi="Calibri"/>
          <w:b w:val="0"/>
          <w:i w:val="0"/>
          <w:color w:val="0B1F3A"/>
          <w:sz w:val="19"/>
        </w:rPr>
        <w:t xml:space="preserve">: the Ajo's progress is not blocked, the money is not redistributed, and the member is told plainly that the hold exists and what ends it. Verification is also never presented as a condition of the product working — it is a condition of one specific action. </w:t>
      </w:r>
      <w:r>
        <w:rPr>
          <w:rFonts w:ascii="Calibri" w:hAnsi="Calibri"/>
          <w:b/>
          <w:color w:val="0B1F3A"/>
          <w:sz w:val="19"/>
        </w:rPr>
        <w:t>Owner: Founders.</w:t>
      </w:r>
    </w:p>
    <w:p>
      <w:pPr>
        <w:pStyle w:val="Heading3"/>
      </w:pPr>
      <w:r>
        <w:rPr>
          <w:rFonts w:ascii="Calibri" w:hAnsi="Calibri"/>
          <w:b/>
          <w:i w:val="0"/>
          <w:color w:val="0B1F3A"/>
          <w:sz w:val="24"/>
        </w:rPr>
        <w:t>4.21.1 Identity verification — SCR-MOB-22</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Complete identity verification when a member needs to receive a payout, and explain the consequence of not doing so without using it as leverage.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whose turn has come and who is being asked, possibly for the first time, for a document they were not told about. They are entitled to know why, in one sentence, before anything else.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column: a state headline as the </w:t>
            </w:r>
            <w:r>
              <w:rPr>
                <w:rFonts w:ascii="Consolas" w:hAnsi="Consolas"/>
                <w:color w:val="146EF5"/>
                <w:sz w:val="14"/>
              </w:rPr>
              <w:t>h1</w:t>
            </w:r>
            <w:r>
              <w:rPr>
                <w:rFonts w:ascii="Calibri" w:hAnsi="Calibri"/>
                <w:b w:val="0"/>
                <w:i w:val="0"/>
                <w:color w:val="101828"/>
                <w:sz w:val="14"/>
              </w:rPr>
              <w:t>; a two-sentence statement of what verification is for and what it is not required for; a document selector; a capture or upload control; and a status region that shows the three states without a diagram.</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StatusCard</w:t>
            </w:r>
            <w:r>
              <w:rPr>
                <w:rFonts w:ascii="Calibri" w:hAnsi="Calibri"/>
                <w:b w:val="0"/>
                <w:i w:val="0"/>
                <w:color w:val="101828"/>
                <w:sz w:val="14"/>
              </w:rPr>
              <w:t xml:space="preserve">, </w:t>
            </w:r>
            <w:r>
              <w:rPr>
                <w:rFonts w:ascii="Consolas" w:hAnsi="Consolas"/>
                <w:color w:val="146EF5"/>
                <w:sz w:val="14"/>
              </w:rPr>
              <w:t>Select</w:t>
            </w:r>
            <w:r>
              <w:rPr>
                <w:rFonts w:ascii="Calibri" w:hAnsi="Calibri"/>
                <w:b w:val="0"/>
                <w:i w:val="0"/>
                <w:color w:val="101828"/>
                <w:sz w:val="14"/>
              </w:rPr>
              <w:t xml:space="preserve">, </w:t>
            </w:r>
            <w:r>
              <w:rPr>
                <w:rFonts w:ascii="Consolas" w:hAnsi="Consolas"/>
                <w:color w:val="146EF5"/>
                <w:sz w:val="14"/>
              </w:rPr>
              <w:t>FileUpload</w:t>
            </w:r>
            <w:r>
              <w:rPr>
                <w:rFonts w:ascii="Calibri" w:hAnsi="Calibri"/>
                <w:b w:val="0"/>
                <w:i w:val="0"/>
                <w:color w:val="101828"/>
                <w:sz w:val="14"/>
              </w:rPr>
              <w:t xml:space="preserve"> (camera or gallery), </w:t>
            </w:r>
            <w:r>
              <w:rPr>
                <w:rFonts w:ascii="Consolas" w:hAnsi="Consolas"/>
                <w:color w:val="146EF5"/>
                <w:sz w:val="14"/>
              </w:rPr>
              <w:t>Button</w:t>
            </w:r>
            <w:r>
              <w:rPr>
                <w:rFonts w:ascii="Calibri" w:hAnsi="Calibri"/>
                <w:b w:val="0"/>
                <w:i w:val="0"/>
                <w:color w:val="101828"/>
                <w:sz w:val="14"/>
              </w:rPr>
              <w:t xml:space="preserve"> (primary and secondary), </w:t>
            </w:r>
            <w:r>
              <w:rPr>
                <w:rFonts w:ascii="Consolas" w:hAnsi="Consolas"/>
                <w:color w:val="146EF5"/>
                <w:sz w:val="14"/>
              </w:rPr>
              <w:t>Callout</w:t>
            </w:r>
            <w:r>
              <w:rPr>
                <w:rFonts w:ascii="Calibri" w:hAnsi="Calibri"/>
                <w:b w:val="0"/>
                <w:i w:val="0"/>
                <w:color w:val="101828"/>
                <w:sz w:val="14"/>
              </w:rPr>
              <w:t xml:space="preserve"> (NOTE, what we store), </w:t>
            </w:r>
            <w:r>
              <w:rPr>
                <w:rFonts w:ascii="Consolas" w:hAnsi="Consolas"/>
                <w:color w:val="146EF5"/>
                <w:sz w:val="14"/>
              </w:rPr>
              <w:t>Checklist</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Reached from the More menu, from a payout that is held, and from an identity-check-needed notification, which deep-links here. Deep-linkable. </w:t>
            </w:r>
            <w:r>
              <w:rPr>
                <w:rFonts w:ascii="Consolas" w:hAnsi="Consolas"/>
                <w:color w:val="146EF5"/>
                <w:sz w:val="14"/>
              </w:rPr>
              <w:t>noindex</w:t>
            </w:r>
            <w:r>
              <w:rPr>
                <w:rFonts w:ascii="Calibri" w:hAnsi="Calibri"/>
                <w:b w:val="0"/>
                <w:i w:val="0"/>
                <w:color w:val="101828"/>
                <w:sz w:val="14"/>
              </w:rPr>
              <w: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color w:val="101828"/>
                <w:sz w:val="14"/>
              </w:rPr>
              <w:t>Conditional and specific: *Verify my identity*.</w:t>
            </w:r>
            <w:r>
              <w:rPr>
                <w:rFonts w:ascii="Calibri" w:hAnsi="Calibri"/>
                <w:b w:val="0"/>
                <w:i w:val="0"/>
                <w:color w:val="101828"/>
                <w:sz w:val="14"/>
              </w:rPr>
              <w:t xml:space="preserve"> It is one filled button, and it says what it verifies. With a document already submitted and under review, the filled control is absent and the status region takes its place.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Why do you need this?</w:t>
            </w:r>
            <w:r>
              <w:rPr>
                <w:rFonts w:ascii="Calibri" w:hAnsi="Calibri"/>
                <w:b w:val="0"/>
                <w:i w:val="0"/>
                <w:color w:val="101828"/>
                <w:sz w:val="14"/>
              </w:rPr>
              <w:t xml:space="preserve"> (tertiary link), which opens a sheet with the full explanation, and </w:t>
            </w:r>
            <w:r>
              <w:rPr>
                <w:rFonts w:ascii="Calibri" w:hAnsi="Calibri"/>
                <w:i/>
                <w:color w:val="101828"/>
                <w:sz w:val="14"/>
              </w:rPr>
              <w:t>Read the privacy policy</w:t>
            </w:r>
            <w:r>
              <w:rPr>
                <w:rFonts w:ascii="Calibri" w:hAnsi="Calibri"/>
                <w:b w:val="0"/>
                <w:i w:val="0"/>
                <w:color w:val="101828"/>
                <w:sz w:val="14"/>
              </w:rPr>
              <w:t xml:space="preserve"> (tertiary link) in the storage note.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headline: </w:t>
            </w:r>
            <w:r>
              <w:rPr>
                <w:rFonts w:ascii="Calibri" w:hAnsi="Calibri"/>
                <w:i/>
                <w:color w:val="101828"/>
                <w:sz w:val="14"/>
              </w:rPr>
              <w:t>Verify your identity to receive payouts</w:t>
            </w:r>
            <w:r>
              <w:rPr>
                <w:rFonts w:ascii="Calibri" w:hAnsi="Calibri"/>
                <w:b w:val="0"/>
                <w:i w:val="0"/>
                <w:color w:val="101828"/>
                <w:sz w:val="14"/>
              </w:rPr>
              <w:t xml:space="preserve">. Then: </w:t>
            </w:r>
            <w:r>
              <w:rPr>
                <w:rFonts w:ascii="Calibri" w:hAnsi="Calibri"/>
                <w:i/>
                <w:color w:val="101828"/>
                <w:sz w:val="14"/>
              </w:rPr>
              <w:t>You need this once, before your first payout. It is not needed to create an Ajo, join one, or pay a contribution.</w:t>
            </w:r>
            <w:r>
              <w:rPr>
                <w:rFonts w:ascii="Calibri" w:hAnsi="Calibri"/>
                <w:b w:val="0"/>
                <w:i w:val="0"/>
                <w:color w:val="101828"/>
                <w:sz w:val="14"/>
              </w:rPr>
              <w:t xml:space="preserve"> Then the document selector — a Nigerian identity document type, with the options enumerated rather than assumed. Then the capture control. Then the storage NOTE: </w:t>
            </w:r>
            <w:r>
              <w:rPr>
                <w:rFonts w:ascii="Calibri" w:hAnsi="Calibri"/>
                <w:i/>
                <w:color w:val="101828"/>
                <w:sz w:val="14"/>
              </w:rPr>
              <w:t>We check your document and keep only the result, a reference and the date. We do not keep a copy of the document.</w:t>
            </w:r>
            <w:r>
              <w:rPr>
                <w:rFonts w:ascii="Calibri" w:hAnsi="Calibri"/>
                <w:b w:val="0"/>
                <w:i w:val="0"/>
                <w:color w:val="101828"/>
                <w:sz w:val="14"/>
              </w:rPr>
              <w:t xml:space="preserve"> </w:t>
            </w:r>
            <w:r>
              <w:rPr>
                <w:rFonts w:ascii="Calibri" w:hAnsi="Calibri"/>
                <w:b/>
                <w:color w:val="101828"/>
                <w:sz w:val="14"/>
              </w:rPr>
              <w:t>That sentence is a design commitment, not a disclaimer, and the upload control is not presented as a place where a document is retained.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Document type, select, required. Document image or PDF, required, front and back where the document has both, images only, up to 10 MB. No name, no date of birth, no address: those are read from the document by the verification provider, and asking for them as well would create two sources of truth for the same fact.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document type is required. An unreadable image is rejected immediately, before upload, with </w:t>
            </w:r>
            <w:r>
              <w:rPr>
                <w:rFonts w:ascii="Calibri" w:hAnsi="Calibri"/>
                <w:i/>
                <w:color w:val="101828"/>
                <w:sz w:val="14"/>
              </w:rPr>
              <w:t>We could not read that. Try again in better light, or upload a photo of the original.</w:t>
            </w:r>
            <w:r>
              <w:rPr>
                <w:rFonts w:ascii="Calibri" w:hAnsi="Calibri"/>
                <w:b w:val="0"/>
                <w:i w:val="0"/>
                <w:color w:val="101828"/>
                <w:sz w:val="14"/>
              </w:rPr>
              <w:t xml:space="preserve"> A file over 10 MB or of the wrong type is rejected by name. A document that fails the provider's check returns a named reason and a fresh upload, never a rejection with no explanation.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The upload control shows per-file progress in place. The submit control works with its width locked while the provider responds, and the form stays editable. </w:t>
            </w:r>
            <w:r>
              <w:rPr>
                <w:rFonts w:ascii="Calibri" w:hAnsi="Calibri"/>
                <w:b/>
                <w:color w:val="101828"/>
                <w:sz w:val="14"/>
              </w:rPr>
              <w:t>A verification in progress is shown as such and never as a spinner over a blank region.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Not applicable. The three states are </w:t>
            </w:r>
            <w:r>
              <w:rPr>
                <w:rFonts w:ascii="Calibri" w:hAnsi="Calibri"/>
                <w:i/>
                <w:color w:val="101828"/>
                <w:sz w:val="14"/>
              </w:rPr>
              <w:t>not started</w:t>
            </w:r>
            <w:r>
              <w:rPr>
                <w:rFonts w:ascii="Calibri" w:hAnsi="Calibri"/>
                <w:b w:val="0"/>
                <w:i w:val="0"/>
                <w:color w:val="101828"/>
                <w:sz w:val="14"/>
              </w:rPr>
              <w:t xml:space="preserve">, </w:t>
            </w:r>
            <w:r>
              <w:rPr>
                <w:rFonts w:ascii="Calibri" w:hAnsi="Calibri"/>
                <w:i/>
                <w:color w:val="101828"/>
                <w:sz w:val="14"/>
              </w:rPr>
              <w:t>under review</w:t>
            </w:r>
            <w:r>
              <w:rPr>
                <w:rFonts w:ascii="Calibri" w:hAnsi="Calibri"/>
                <w:b w:val="0"/>
                <w:i w:val="0"/>
                <w:color w:val="101828"/>
                <w:sz w:val="14"/>
              </w:rPr>
              <w:t xml:space="preserve"> and </w:t>
            </w:r>
            <w:r>
              <w:rPr>
                <w:rFonts w:ascii="Calibri" w:hAnsi="Calibri"/>
                <w:i/>
                <w:color w:val="101828"/>
                <w:sz w:val="14"/>
              </w:rPr>
              <w:t>verified</w:t>
            </w:r>
            <w:r>
              <w:rPr>
                <w:rFonts w:ascii="Calibri" w:hAnsi="Calibri"/>
                <w:b w:val="0"/>
                <w:i w:val="0"/>
                <w:color w:val="101828"/>
                <w:sz w:val="14"/>
              </w:rPr>
              <w:t>, and each is a complete rendering of the screen with its own controls.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A provider timeout produces </w:t>
            </w:r>
            <w:r>
              <w:rPr>
                <w:rFonts w:ascii="Calibri" w:hAnsi="Calibri"/>
                <w:i/>
                <w:color w:val="101828"/>
                <w:sz w:val="14"/>
              </w:rPr>
              <w:t>We could not check that document. Try again</w:t>
            </w:r>
            <w:r>
              <w:rPr>
                <w:rFonts w:ascii="Calibri" w:hAnsi="Calibri"/>
                <w:b w:val="0"/>
                <w:i w:val="0"/>
                <w:color w:val="101828"/>
                <w:sz w:val="14"/>
              </w:rPr>
              <w:t xml:space="preserve"> — never a rejection. A member who has uploaded twice and failed twice is offered the support route rather than a third silent attempt.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screen moves to </w:t>
            </w:r>
            <w:r>
              <w:rPr>
                <w:rFonts w:ascii="Calibri" w:hAnsi="Calibri"/>
                <w:i/>
                <w:color w:val="101828"/>
                <w:sz w:val="14"/>
              </w:rPr>
              <w:t>verified</w:t>
            </w:r>
            <w:r>
              <w:rPr>
                <w:rFonts w:ascii="Calibri" w:hAnsi="Calibri"/>
                <w:b w:val="0"/>
                <w:i w:val="0"/>
                <w:color w:val="101828"/>
                <w:sz w:val="14"/>
              </w:rPr>
              <w:t xml:space="preserve">, the held payout is released, and the member is told that in the same place, with the release named: </w:t>
            </w:r>
            <w:r>
              <w:rPr>
                <w:rFonts w:ascii="Calibri" w:hAnsi="Calibri"/>
                <w:i/>
                <w:color w:val="101828"/>
                <w:sz w:val="14"/>
              </w:rPr>
              <w:t>Your payout of NGN 10,000.00 has been released.</w:t>
            </w:r>
            <w:r>
              <w:rPr>
                <w:rFonts w:ascii="Calibri" w:hAnsi="Calibri"/>
                <w:b w:val="0"/>
                <w:i w:val="0"/>
                <w:color w:val="101828"/>
                <w:sz w:val="14"/>
              </w:rPr>
              <w:t xml:space="preserve"> </w:t>
            </w:r>
            <w:r>
              <w:rPr>
                <w:rFonts w:ascii="Calibri" w:hAnsi="Calibri"/>
                <w:b/>
                <w:color w:val="101828"/>
                <w:sz w:val="14"/>
              </w:rPr>
              <w:t>The two events are shown together because they are, from the member's point of view, one event.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One column at every width. The capture control is a 128 px full-width target on mobile with a camera route and a gallery route as two distinct buttons, because a combined </w:t>
            </w:r>
            <w:r>
              <w:rPr>
                <w:rFonts w:ascii="Calibri" w:hAnsi="Calibri"/>
                <w:i/>
                <w:color w:val="101828"/>
                <w:sz w:val="14"/>
              </w:rPr>
              <w:t>Choose a photo</w:t>
            </w:r>
            <w:r>
              <w:rPr>
                <w:rFonts w:ascii="Calibri" w:hAnsi="Calibri"/>
                <w:b w:val="0"/>
                <w:i w:val="0"/>
                <w:color w:val="101828"/>
                <w:sz w:val="14"/>
              </w:rPr>
              <w:t xml:space="preserve"> control on a phone is a tap that opens the wrong thing. Documents are previewed as images at 96 px, never as a filename alone.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Every control has a bound label. The document type is a real select. The preview is an image with an alternative text of </w:t>
            </w:r>
            <w:r>
              <w:rPr>
                <w:rFonts w:ascii="Calibri" w:hAnsi="Calibri"/>
                <w:i/>
                <w:color w:val="101828"/>
                <w:sz w:val="14"/>
              </w:rPr>
              <w:t>Front of your document</w:t>
            </w:r>
            <w:r>
              <w:rPr>
                <w:rFonts w:ascii="Calibri" w:hAnsi="Calibri"/>
                <w:b w:val="0"/>
                <w:i w:val="0"/>
                <w:color w:val="101828"/>
                <w:sz w:val="14"/>
              </w:rPr>
              <w:t xml:space="preserve"> — </w:t>
            </w:r>
            <w:r>
              <w:rPr>
                <w:rFonts w:ascii="Calibri" w:hAnsi="Calibri"/>
                <w:b/>
                <w:color w:val="101828"/>
                <w:sz w:val="14"/>
              </w:rPr>
              <w:t>not</w:t>
            </w:r>
            <w:r>
              <w:rPr>
                <w:rFonts w:ascii="Calibri" w:hAnsi="Calibri"/>
                <w:b w:val="0"/>
                <w:i w:val="0"/>
                <w:color w:val="101828"/>
                <w:sz w:val="14"/>
              </w:rPr>
              <w:t xml:space="preserve"> an OCR of its contents, which would put a member's identity document contents into a screen reader's buffer for no benefit. The status region's changes are announced politely, and the verified state change is announced assertively because it releases money.</w:t>
            </w:r>
          </w:p>
        </w:tc>
      </w:tr>
    </w:tbl>
    <w:p>
      <w:pPr>
        <w:spacing w:after="80"/>
      </w:pPr>
    </w:p>
    <w:p>
      <w:r>
        <w:br w:type="page"/>
      </w:r>
    </w:p>
    <w:p>
      <w:pPr>
        <w:pStyle w:val="Heading2"/>
      </w:pPr>
      <w:r>
        <w:rPr>
          <w:rFonts w:ascii="Calibri" w:hAnsi="Calibri"/>
          <w:b/>
          <w:i w:val="0"/>
          <w:color w:val="146EF5"/>
          <w:sz w:val="29"/>
        </w:rPr>
        <w:t>4.22 Support — SCR-MOB-23</w:t>
      </w:r>
    </w:p>
    <w:p>
      <w:r>
        <w:rPr>
          <w:rFonts w:ascii="Calibri" w:hAnsi="Calibri"/>
          <w:b w:val="0"/>
          <w:i w:val="0"/>
          <w:color w:val="101828"/>
          <w:sz w:val="21"/>
        </w:rPr>
        <w:t>Support is where the product's promises are tested, because a member arrives here having already been let down by something. Two decisions shape the screen: a member may open a ticket from any surface in the product and have the context attached automatically, and the ticket list shows the state of the thing they asked about, not only the state of the conversation.</w:t>
      </w:r>
    </w:p>
    <w:p>
      <w:pPr>
        <w:pStyle w:val="Heading3"/>
      </w:pPr>
      <w:r>
        <w:rPr>
          <w:rFonts w:ascii="Calibri" w:hAnsi="Calibri"/>
          <w:b/>
          <w:i w:val="0"/>
          <w:color w:val="0B1F3A"/>
          <w:sz w:val="24"/>
        </w:rPr>
        <w:t>4.22.1 Support — SCR-MOB-23</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Let a member start a conversation with a person, with the context that matters already attached, and follow it to an answer.</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with a problem they could not resolve from the product, usually about money, usually anxious, and often using a phone they are not certain is safe. They need to know their message is not going into a void.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Two states. </w:t>
            </w:r>
            <w:r>
              <w:rPr>
                <w:rFonts w:ascii="Calibri" w:hAnsi="Calibri"/>
                <w:b/>
                <w:color w:val="101828"/>
                <w:sz w:val="14"/>
              </w:rPr>
              <w:t>List state</w:t>
            </w:r>
            <w:r>
              <w:rPr>
                <w:rFonts w:ascii="Calibri" w:hAnsi="Calibri"/>
                <w:b w:val="0"/>
                <w:i w:val="0"/>
                <w:color w:val="101828"/>
                <w:sz w:val="14"/>
              </w:rPr>
              <w:t xml:space="preserve">: a header with the response expectation, then ticket rows of 88 px carrying the reference, subject, the related item, the state and the last activity. </w:t>
            </w:r>
            <w:r>
              <w:rPr>
                <w:rFonts w:ascii="Calibri" w:hAnsi="Calibri"/>
                <w:b/>
                <w:color w:val="101828"/>
                <w:sz w:val="14"/>
              </w:rPr>
              <w:t>New state</w:t>
            </w:r>
            <w:r>
              <w:rPr>
                <w:rFonts w:ascii="Calibri" w:hAnsi="Calibri"/>
                <w:b w:val="0"/>
                <w:i w:val="0"/>
                <w:color w:val="101828"/>
                <w:sz w:val="14"/>
              </w:rPr>
              <w:t>: a single card with a category selector, a message field, an attachment control and the context summary.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ListItem</w:t>
            </w:r>
            <w:r>
              <w:rPr>
                <w:rFonts w:ascii="Calibri" w:hAnsi="Calibri"/>
                <w:b w:val="0"/>
                <w:i w:val="0"/>
                <w:color w:val="101828"/>
                <w:sz w:val="14"/>
              </w:rPr>
              <w:t xml:space="preserve"> (ticket), </w:t>
            </w:r>
            <w:r>
              <w:rPr>
                <w:rFonts w:ascii="Consolas" w:hAnsi="Consolas"/>
                <w:color w:val="146EF5"/>
                <w:sz w:val="14"/>
              </w:rPr>
              <w:t>FormField</w:t>
            </w:r>
            <w:r>
              <w:rPr>
                <w:rFonts w:ascii="Calibri" w:hAnsi="Calibri"/>
                <w:b w:val="0"/>
                <w:i w:val="0"/>
                <w:color w:val="101828"/>
                <w:sz w:val="14"/>
              </w:rPr>
              <w:t xml:space="preserve">, </w:t>
            </w:r>
            <w:r>
              <w:rPr>
                <w:rFonts w:ascii="Consolas" w:hAnsi="Consolas"/>
                <w:color w:val="146EF5"/>
                <w:sz w:val="14"/>
              </w:rPr>
              <w:t>Select</w:t>
            </w:r>
            <w:r>
              <w:rPr>
                <w:rFonts w:ascii="Calibri" w:hAnsi="Calibri"/>
                <w:b w:val="0"/>
                <w:i w:val="0"/>
                <w:color w:val="101828"/>
                <w:sz w:val="14"/>
              </w:rPr>
              <w:t xml:space="preserve">, </w:t>
            </w:r>
            <w:r>
              <w:rPr>
                <w:rFonts w:ascii="Consolas" w:hAnsi="Consolas"/>
                <w:color w:val="146EF5"/>
                <w:sz w:val="14"/>
              </w:rPr>
              <w:t>FileUpload</w:t>
            </w:r>
            <w:r>
              <w:rPr>
                <w:rFonts w:ascii="Calibri" w:hAnsi="Calibri"/>
                <w:b w:val="0"/>
                <w:i w:val="0"/>
                <w:color w:val="101828"/>
                <w:sz w:val="14"/>
              </w:rPr>
              <w:t xml:space="preserve">, </w:t>
            </w:r>
            <w:r>
              <w:rPr>
                <w:rFonts w:ascii="Consolas" w:hAnsi="Consolas"/>
                <w:color w:val="146EF5"/>
                <w:sz w:val="14"/>
              </w:rPr>
              <w:t>Thread</w:t>
            </w:r>
            <w:r>
              <w:rPr>
                <w:rFonts w:ascii="Calibri" w:hAnsi="Calibri"/>
                <w:b w:val="0"/>
                <w:i w:val="0"/>
                <w:color w:val="101828"/>
                <w:sz w:val="14"/>
              </w:rPr>
              <w:t xml:space="preserve"> (short), </w:t>
            </w:r>
            <w:r>
              <w:rPr>
                <w:rFonts w:ascii="Consolas" w:hAnsi="Consolas"/>
                <w:color w:val="146EF5"/>
                <w:sz w:val="14"/>
              </w:rPr>
              <w:t>Callout</w:t>
            </w:r>
            <w:r>
              <w:rPr>
                <w:rFonts w:ascii="Calibri" w:hAnsi="Calibri"/>
                <w:b w:val="0"/>
                <w:i w:val="0"/>
                <w:color w:val="101828"/>
                <w:sz w:val="14"/>
              </w:rPr>
              <w:t xml:space="preserve"> (NOTE, response expectation), </w:t>
            </w:r>
            <w:r>
              <w:rPr>
                <w:rFonts w:ascii="Consolas" w:hAnsi="Consolas"/>
                <w:color w:val="146EF5"/>
                <w:sz w:val="14"/>
              </w:rPr>
              <w:t>Button</w:t>
            </w:r>
            <w:r>
              <w:rPr>
                <w:rFonts w:ascii="Calibri" w:hAnsi="Calibri"/>
                <w:b w:val="0"/>
                <w:i w:val="0"/>
                <w:color w:val="101828"/>
                <w:sz w:val="14"/>
              </w:rPr>
              <w:t xml:space="preserve"> (primary and secondary).</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Reached from the More menu, from the </w:t>
            </w:r>
            <w:r>
              <w:rPr>
                <w:rFonts w:ascii="Calibri" w:hAnsi="Calibri"/>
                <w:i/>
                <w:color w:val="101828"/>
                <w:sz w:val="14"/>
              </w:rPr>
              <w:t>Ask for help</w:t>
            </w:r>
            <w:r>
              <w:rPr>
                <w:rFonts w:ascii="Calibri" w:hAnsi="Calibri"/>
                <w:b w:val="0"/>
                <w:i w:val="0"/>
                <w:color w:val="101828"/>
                <w:sz w:val="14"/>
              </w:rPr>
              <w:t xml:space="preserve"> tertiary action on any money surface, and from a support-reply notification. Deep-linkable. </w:t>
            </w:r>
            <w:r>
              <w:rPr>
                <w:rFonts w:ascii="Consolas" w:hAnsi="Consolas"/>
                <w:color w:val="146EF5"/>
                <w:sz w:val="14"/>
              </w:rPr>
              <w:t>noindex</w:t>
            </w:r>
            <w:r>
              <w:rPr>
                <w:rFonts w:ascii="Calibri" w:hAnsi="Calibri"/>
                <w:b w:val="0"/>
                <w:i w:val="0"/>
                <w:color w:val="101828"/>
                <w:sz w:val="14"/>
              </w:rPr>
              <w: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New state: </w:t>
            </w:r>
            <w:r>
              <w:rPr>
                <w:rFonts w:ascii="Calibri" w:hAnsi="Calibri"/>
                <w:i/>
                <w:color w:val="101828"/>
                <w:sz w:val="14"/>
              </w:rPr>
              <w:t>Send to support</w:t>
            </w:r>
            <w:r>
              <w:rPr>
                <w:rFonts w:ascii="Calibri" w:hAnsi="Calibri"/>
                <w:b w:val="0"/>
                <w:i w:val="0"/>
                <w:color w:val="101828"/>
                <w:sz w:val="14"/>
              </w:rPr>
              <w:t xml:space="preserve">. One filled button, 56 px. List state: </w:t>
            </w:r>
            <w:r>
              <w:rPr>
                <w:rFonts w:ascii="Calibri" w:hAnsi="Calibri"/>
                <w:i/>
                <w:color w:val="101828"/>
                <w:sz w:val="14"/>
              </w:rPr>
              <w:t>Start a new message</w:t>
            </w:r>
            <w:r>
              <w:rPr>
                <w:rFonts w:ascii="Calibri" w:hAnsi="Calibri"/>
                <w:b w:val="0"/>
                <w:i w:val="0"/>
                <w:color w:val="101828"/>
                <w:sz w:val="14"/>
              </w:rPr>
              <w:t xml:space="preserve"> (secondary outlined, never filled, because the list is a history and a filled button on a history page invites accidental new tickets).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Attach a screenshot</w:t>
            </w:r>
            <w:r>
              <w:rPr>
                <w:rFonts w:ascii="Calibri" w:hAnsi="Calibri"/>
                <w:b w:val="0"/>
                <w:i w:val="0"/>
                <w:color w:val="101828"/>
                <w:sz w:val="14"/>
              </w:rPr>
              <w:t xml:space="preserve"> (secondary outlined) in the new state, and </w:t>
            </w:r>
            <w:r>
              <w:rPr>
                <w:rFonts w:ascii="Calibri" w:hAnsi="Calibri"/>
                <w:i/>
                <w:color w:val="101828"/>
                <w:sz w:val="14"/>
              </w:rPr>
              <w:t>View the item this is about</w:t>
            </w:r>
            <w:r>
              <w:rPr>
                <w:rFonts w:ascii="Calibri" w:hAnsi="Calibri"/>
                <w:b w:val="0"/>
                <w:i w:val="0"/>
                <w:color w:val="101828"/>
                <w:sz w:val="14"/>
              </w:rPr>
              <w:t xml:space="preserve"> (tertiary link) in a ticket.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response expectation, stated once at the top of both states: </w:t>
            </w:r>
            <w:r>
              <w:rPr>
                <w:rFonts w:ascii="Calibri" w:hAnsi="Calibri"/>
                <w:i/>
                <w:color w:val="101828"/>
                <w:sz w:val="14"/>
              </w:rPr>
              <w:t>we aim to reply within one working day, and we will tell you here either way</w:t>
            </w:r>
            <w:r>
              <w:rPr>
                <w:rFonts w:ascii="Calibri" w:hAnsi="Calibri"/>
                <w:b w:val="0"/>
                <w:i w:val="0"/>
                <w:color w:val="101828"/>
                <w:sz w:val="14"/>
              </w:rPr>
              <w:t xml:space="preserve">. New state: the category, the message with the prompt </w:t>
            </w:r>
            <w:r>
              <w:rPr>
                <w:rFonts w:ascii="Calibri" w:hAnsi="Calibri"/>
                <w:i/>
                <w:color w:val="101828"/>
                <w:sz w:val="14"/>
              </w:rPr>
              <w:t>Tell us what happened</w:t>
            </w:r>
            <w:r>
              <w:rPr>
                <w:rFonts w:ascii="Calibri" w:hAnsi="Calibri"/>
                <w:b w:val="0"/>
                <w:i w:val="0"/>
                <w:color w:val="101828"/>
                <w:sz w:val="14"/>
              </w:rPr>
              <w:t xml:space="preserve">, attachments, and </w:t>
            </w:r>
            <w:r>
              <w:rPr>
                <w:rFonts w:ascii="Calibri" w:hAnsi="Calibri"/>
                <w:b/>
                <w:color w:val="101828"/>
                <w:sz w:val="14"/>
              </w:rPr>
              <w:t>a context summary of whatever the member opened support from — the Ajo, the round, the amount, the last action — labelled as attached so the member can see it and remove it.</w:t>
            </w:r>
            <w:r>
              <w:rPr>
                <w:rFonts w:ascii="Calibri" w:hAnsi="Calibri"/>
                <w:b w:val="0"/>
                <w:i w:val="0"/>
                <w:color w:val="101828"/>
                <w:sz w:val="14"/>
              </w:rPr>
              <w:t xml:space="preserve"> List state: each ticket with its state in a sentence and its last activity.</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Category, select, required, pre-filled from the surface the member came from and still changeable. Message, textarea, required, 20 to 4,000 characters, live count from 3,500. Attachment, optional, up to 5 files. The context summary is a read-only list with per-item removal, not a field.</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Message length, as on the contact form. </w:t>
            </w:r>
            <w:r>
              <w:rPr>
                <w:rFonts w:ascii="Calibri" w:hAnsi="Calibri"/>
                <w:b/>
                <w:color w:val="101828"/>
                <w:sz w:val="14"/>
              </w:rPr>
              <w:t>A ticket opened from a money surface must carry the item's reference, and it does so from the context summary rather than from anything the member types</w:t>
            </w:r>
            <w:r>
              <w:rPr>
                <w:rFonts w:ascii="Calibri" w:hAnsi="Calibri"/>
                <w:b w:val="0"/>
                <w:i w:val="0"/>
                <w:color w:val="101828"/>
                <w:sz w:val="14"/>
              </w:rPr>
              <w:t>, so a support agent can find the record from a screenshot.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send control works with its width locked and the form stays editable. The list resolves with row skeletons.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List state: </w:t>
            </w:r>
            <w:r>
              <w:rPr>
                <w:rFonts w:ascii="Calibri" w:hAnsi="Calibri"/>
                <w:i/>
                <w:color w:val="101828"/>
                <w:sz w:val="14"/>
              </w:rPr>
              <w:t>No messages yet. If something is not right, tell us — we would rather hear about it.</w:t>
            </w:r>
            <w:r>
              <w:rPr>
                <w:rFonts w:ascii="Calibri" w:hAnsi="Calibri"/>
                <w:b w:val="0"/>
                <w:i w:val="0"/>
                <w:color w:val="101828"/>
                <w:sz w:val="14"/>
              </w:rPr>
              <w:t>, with the new-message control. A member who has never needed support and opens the screen is welcome, not suspicious.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A failed send preserves the message and the attachments and reports with a reference. </w:t>
            </w:r>
            <w:r>
              <w:rPr>
                <w:rFonts w:ascii="Calibri" w:hAnsi="Calibri"/>
                <w:b/>
                <w:color w:val="101828"/>
                <w:sz w:val="14"/>
              </w:rPr>
              <w:t>A send whose acknowledgement was lost is shown as sent, not as a draft</w:t>
            </w:r>
            <w:r>
              <w:rPr>
                <w:rFonts w:ascii="Calibri" w:hAnsi="Calibri"/>
                <w:b w:val="0"/>
                <w:i w:val="0"/>
                <w:color w:val="101828"/>
                <w:sz w:val="14"/>
              </w:rPr>
              <w:t>, for the same reason as in disputes: a duplicated support message about money is a real cost.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ticket is created and the member lands on it with the reference, the state and the expectation, plus a single confirmation. A ticket opened from a money surface names the item in the confirmation so the member can see it was attached.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One column at every width. The context summary is a stacked list below 375 and a two-column key-value list above, in the same order. The message textarea is eight rows on mobile and grows with the keyboard open.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context summary is a labelled region with the </w:t>
            </w:r>
            <w:r>
              <w:rPr>
                <w:rFonts w:ascii="Consolas" w:hAnsi="Consolas"/>
                <w:color w:val="146EF5"/>
                <w:sz w:val="14"/>
              </w:rPr>
              <w:t>h2</w:t>
            </w:r>
            <w:r>
              <w:rPr>
                <w:rFonts w:ascii="Calibri" w:hAnsi="Calibri"/>
                <w:b w:val="0"/>
                <w:i w:val="0"/>
                <w:color w:val="101828"/>
                <w:sz w:val="14"/>
              </w:rPr>
              <w:t xml:space="preserve"> </w:t>
            </w:r>
            <w:r>
              <w:rPr>
                <w:rFonts w:ascii="Calibri" w:hAnsi="Calibri"/>
                <w:i/>
                <w:color w:val="101828"/>
                <w:sz w:val="14"/>
              </w:rPr>
              <w:t>Attached to this message</w:t>
            </w:r>
            <w:r>
              <w:rPr>
                <w:rFonts w:ascii="Calibri" w:hAnsi="Calibri"/>
                <w:b w:val="0"/>
                <w:i w:val="0"/>
                <w:color w:val="101828"/>
                <w:sz w:val="14"/>
              </w:rPr>
              <w:t xml:space="preserve">, and each removable item's control is named for the item, </w:t>
            </w:r>
            <w:r>
              <w:rPr>
                <w:rFonts w:ascii="Calibri" w:hAnsi="Calibri"/>
                <w:i/>
                <w:color w:val="101828"/>
                <w:sz w:val="14"/>
              </w:rPr>
              <w:t>Remove Market women round 3</w:t>
            </w:r>
            <w:r>
              <w:rPr>
                <w:rFonts w:ascii="Calibri" w:hAnsi="Calibri"/>
                <w:b w:val="0"/>
                <w:i w:val="0"/>
                <w:color w:val="101828"/>
                <w:sz w:val="14"/>
              </w:rPr>
              <w:t xml:space="preserve">, never a bare </w:t>
            </w:r>
            <w:r>
              <w:rPr>
                <w:rFonts w:ascii="Calibri" w:hAnsi="Calibri"/>
                <w:i/>
                <w:color w:val="101828"/>
                <w:sz w:val="14"/>
              </w:rPr>
              <w:t>Remove</w:t>
            </w:r>
            <w:r>
              <w:rPr>
                <w:rFonts w:ascii="Calibri" w:hAnsi="Calibri"/>
                <w:b w:val="0"/>
                <w:i w:val="0"/>
                <w:color w:val="101828"/>
                <w:sz w:val="14"/>
              </w:rPr>
              <w:t xml:space="preserve">. The response expectation is in the accessible outline. The thread is an ordered list. The send control's accessible name is </w:t>
            </w:r>
            <w:r>
              <w:rPr>
                <w:rFonts w:ascii="Calibri" w:hAnsi="Calibri"/>
                <w:i/>
                <w:color w:val="101828"/>
                <w:sz w:val="14"/>
              </w:rPr>
              <w:t>Send to support</w:t>
            </w:r>
            <w:r>
              <w:rPr>
                <w:rFonts w:ascii="Calibri" w:hAnsi="Calibri"/>
                <w:b w:val="0"/>
                <w:i w:val="0"/>
                <w:color w:val="101828"/>
                <w:sz w:val="14"/>
              </w:rPr>
              <w:t xml:space="preserve"> and its description carries the expectation.</w:t>
            </w:r>
          </w:p>
        </w:tc>
      </w:tr>
    </w:tbl>
    <w:p>
      <w:pPr>
        <w:spacing w:after="80"/>
      </w:pPr>
    </w:p>
    <w:p>
      <w:r>
        <w:br w:type="page"/>
      </w:r>
    </w:p>
    <w:p>
      <w:pPr>
        <w:pStyle w:val="Heading2"/>
      </w:pPr>
      <w:r>
        <w:rPr>
          <w:rFonts w:ascii="Calibri" w:hAnsi="Calibri"/>
          <w:b/>
          <w:i w:val="0"/>
          <w:color w:val="146EF5"/>
          <w:sz w:val="29"/>
        </w:rPr>
        <w:t>4.23 Admin console — SCR-ADM-01 to SCR-ADM-13</w:t>
      </w:r>
    </w:p>
    <w:p>
      <w:r>
        <w:rPr>
          <w:rFonts w:ascii="Calibri" w:hAnsi="Calibri"/>
          <w:b w:val="0"/>
          <w:i w:val="0"/>
          <w:color w:val="101828"/>
          <w:sz w:val="21"/>
        </w:rPr>
        <w:t xml:space="preserve">The console exists for two jobs: to see what is happening across the product, and to make the small number of decisions that cannot be delegated — a dispute, a freeze, a verification. Everything else about it is designed to be the opposite of the member application: denser, wider, and far more reluctant. </w:t>
      </w:r>
      <w:r>
        <w:rPr>
          <w:rFonts w:ascii="Calibri" w:hAnsi="Calibri"/>
          <w:b/>
          <w:color w:val="101828"/>
          <w:sz w:val="21"/>
        </w:rPr>
        <w:t>Three principles run through all thirteen screens, and each of them exists because the alternative is a permanent and unfixable record.</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4"/>
              </w:rPr>
              <w:t>Route</w:t>
            </w:r>
          </w:p>
        </w:tc>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4"/>
              </w:rPr>
              <w:t>Purpose in one line</w:t>
            </w:r>
          </w:p>
        </w:tc>
        <w:tc>
          <w:tcPr>
            <w:tcW w:type="dxa" w:w="3312"/>
            <w:shd w:val="clear" w:color="auto" w:fill="0B1F3A"/>
            <w:tcMar>
              <w:top w:w="60" w:type="dxa"/>
              <w:start w:w="110" w:type="dxa"/>
              <w:bottom w:w="60" w:type="dxa"/>
              <w:end w:w="110" w:type="dxa"/>
            </w:tcMar>
          </w:tcPr>
          <w:p>
            <w:pPr>
              <w:spacing w:after="0"/>
            </w:pPr>
            <w:r/>
            <w:r>
              <w:rPr>
                <w:rFonts w:ascii="Calibri" w:hAnsi="Calibri"/>
                <w:b/>
                <w:i w:val="0"/>
                <w:color w:val="FFFFFF"/>
                <w:sz w:val="14"/>
              </w:rPr>
              <w:t>Who can write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4"/>
              </w:rPr>
              <w:t>SCR-ADM-01</w:t>
            </w:r>
          </w:p>
        </w:tc>
        <w:tc>
          <w:tcPr>
            <w:tcW w:type="dxa" w:w="1728"/>
            <w:tcMar>
              <w:top w:w="60" w:type="dxa"/>
              <w:start w:w="110" w:type="dxa"/>
              <w:bottom w:w="60" w:type="dxa"/>
              <w:end w:w="110" w:type="dxa"/>
            </w:tcMar>
          </w:tcPr>
          <w:p>
            <w:pPr>
              <w:spacing w:after="0"/>
            </w:pPr>
            <w:r/>
            <w:r>
              <w:rPr>
                <w:rFonts w:ascii="Consolas" w:hAnsi="Consolas"/>
                <w:color w:val="146EF5"/>
                <w:sz w:val="14"/>
              </w:rPr>
              <w:t>/admin</w:t>
            </w:r>
          </w:p>
        </w:tc>
        <w:tc>
          <w:tcPr>
            <w:tcW w:type="dxa" w:w="3168"/>
            <w:tcMar>
              <w:top w:w="60" w:type="dxa"/>
              <w:start w:w="110" w:type="dxa"/>
              <w:bottom w:w="60" w:type="dxa"/>
              <w:end w:w="110" w:type="dxa"/>
            </w:tcMar>
          </w:tcPr>
          <w:p>
            <w:pPr>
              <w:spacing w:after="0"/>
            </w:pPr>
            <w:r/>
            <w:r>
              <w:rPr>
                <w:rFonts w:ascii="Calibri" w:hAnsi="Calibri"/>
                <w:b w:val="0"/>
                <w:i w:val="0"/>
                <w:color w:val="101828"/>
                <w:sz w:val="14"/>
              </w:rPr>
              <w:t>What needs a person today.</w:t>
            </w:r>
          </w:p>
        </w:tc>
        <w:tc>
          <w:tcPr>
            <w:tcW w:type="dxa" w:w="3312"/>
            <w:tcMar>
              <w:top w:w="60" w:type="dxa"/>
              <w:start w:w="110" w:type="dxa"/>
              <w:bottom w:w="60" w:type="dxa"/>
              <w:end w:w="110" w:type="dxa"/>
            </w:tcMar>
          </w:tcPr>
          <w:p>
            <w:pPr>
              <w:spacing w:after="0"/>
            </w:pPr>
            <w:r/>
            <w:r>
              <w:rPr>
                <w:rFonts w:ascii="Calibri" w:hAnsi="Calibri"/>
                <w:b w:val="0"/>
                <w:i w:val="0"/>
                <w:color w:val="101828"/>
                <w:sz w:val="14"/>
              </w:rPr>
              <w:t>Nobody; links out only</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SCR-ADM-02</w:t>
            </w:r>
          </w:p>
        </w:tc>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/admin/users</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4"/>
              </w:rPr>
              <w:t>Find a member.</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Nobody</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4"/>
              </w:rPr>
              <w:t>SCR-ADM-03</w:t>
            </w:r>
          </w:p>
        </w:tc>
        <w:tc>
          <w:tcPr>
            <w:tcW w:type="dxa" w:w="1728"/>
            <w:tcMar>
              <w:top w:w="60" w:type="dxa"/>
              <w:start w:w="110" w:type="dxa"/>
              <w:bottom w:w="60" w:type="dxa"/>
              <w:end w:w="110" w:type="dxa"/>
            </w:tcMar>
          </w:tcPr>
          <w:p>
            <w:pPr>
              <w:spacing w:after="0"/>
            </w:pPr>
            <w:r/>
            <w:r>
              <w:rPr>
                <w:rFonts w:ascii="Consolas" w:hAnsi="Consolas"/>
                <w:color w:val="146EF5"/>
                <w:sz w:val="14"/>
              </w:rPr>
              <w:t>/admin/users/:id</w:t>
            </w:r>
          </w:p>
        </w:tc>
        <w:tc>
          <w:tcPr>
            <w:tcW w:type="dxa" w:w="3168"/>
            <w:tcMar>
              <w:top w:w="60" w:type="dxa"/>
              <w:start w:w="110" w:type="dxa"/>
              <w:bottom w:w="60" w:type="dxa"/>
              <w:end w:w="110" w:type="dxa"/>
            </w:tcMar>
          </w:tcPr>
          <w:p>
            <w:pPr>
              <w:spacing w:after="0"/>
            </w:pPr>
            <w:r/>
            <w:r>
              <w:rPr>
                <w:rFonts w:ascii="Calibri" w:hAnsi="Calibri"/>
                <w:b w:val="0"/>
                <w:i w:val="0"/>
                <w:color w:val="101828"/>
                <w:sz w:val="14"/>
              </w:rPr>
              <w:t>Read one member's whole record.</w:t>
            </w:r>
          </w:p>
        </w:tc>
        <w:tc>
          <w:tcPr>
            <w:tcW w:type="dxa" w:w="3312"/>
            <w:tcMar>
              <w:top w:w="60" w:type="dxa"/>
              <w:start w:w="110" w:type="dxa"/>
              <w:bottom w:w="60" w:type="dxa"/>
              <w:end w:w="110" w:type="dxa"/>
            </w:tcMar>
          </w:tcPr>
          <w:p>
            <w:pPr>
              <w:spacing w:after="0"/>
            </w:pPr>
            <w:r/>
            <w:r>
              <w:rPr>
                <w:rFonts w:ascii="Calibri" w:hAnsi="Calibri"/>
                <w:b/>
                <w:color w:val="101828"/>
                <w:sz w:val="14"/>
              </w:rPr>
              <w:t>Read-only. Never.</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SCR-ADM-04</w:t>
            </w:r>
          </w:p>
        </w:tc>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/admin/ajos</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4"/>
              </w:rPr>
              <w:t>Find an Ajo.</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Nobody</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4"/>
              </w:rPr>
              <w:t>SCR-ADM-05</w:t>
            </w:r>
          </w:p>
        </w:tc>
        <w:tc>
          <w:tcPr>
            <w:tcW w:type="dxa" w:w="1728"/>
            <w:tcMar>
              <w:top w:w="60" w:type="dxa"/>
              <w:start w:w="110" w:type="dxa"/>
              <w:bottom w:w="60" w:type="dxa"/>
              <w:end w:w="110" w:type="dxa"/>
            </w:tcMar>
          </w:tcPr>
          <w:p>
            <w:pPr>
              <w:spacing w:after="0"/>
            </w:pPr>
            <w:r/>
            <w:r>
              <w:rPr>
                <w:rFonts w:ascii="Consolas" w:hAnsi="Consolas"/>
                <w:color w:val="146EF5"/>
                <w:sz w:val="14"/>
              </w:rPr>
              <w:t>/admin/ajos/:id</w:t>
            </w:r>
          </w:p>
        </w:tc>
        <w:tc>
          <w:tcPr>
            <w:tcW w:type="dxa" w:w="3168"/>
            <w:tcMar>
              <w:top w:w="60" w:type="dxa"/>
              <w:start w:w="110" w:type="dxa"/>
              <w:bottom w:w="60" w:type="dxa"/>
              <w:end w:w="110" w:type="dxa"/>
            </w:tcMar>
          </w:tcPr>
          <w:p>
            <w:pPr>
              <w:spacing w:after="0"/>
            </w:pPr>
            <w:r/>
            <w:r>
              <w:rPr>
                <w:rFonts w:ascii="Calibri" w:hAnsi="Calibri"/>
                <w:b w:val="0"/>
                <w:i w:val="0"/>
                <w:color w:val="101828"/>
                <w:sz w:val="14"/>
              </w:rPr>
              <w:t>Read one Ajo's whole record.</w:t>
            </w:r>
          </w:p>
        </w:tc>
        <w:tc>
          <w:tcPr>
            <w:tcW w:type="dxa" w:w="3312"/>
            <w:tcMar>
              <w:top w:w="60" w:type="dxa"/>
              <w:start w:w="110" w:type="dxa"/>
              <w:bottom w:w="60" w:type="dxa"/>
              <w:end w:w="110" w:type="dxa"/>
            </w:tcMar>
          </w:tcPr>
          <w:p>
            <w:pPr>
              <w:spacing w:after="0"/>
            </w:pPr>
            <w:r/>
            <w:r>
              <w:rPr>
                <w:rFonts w:ascii="Calibri" w:hAnsi="Calibri"/>
                <w:b/>
                <w:color w:val="101828"/>
                <w:sz w:val="14"/>
              </w:rPr>
              <w:t>Read-only. Never.</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SCR-ADM-06</w:t>
            </w:r>
          </w:p>
        </w:tc>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/admin/disputes</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4"/>
              </w:rPr>
              <w:t>The dispute queue.</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Queue state only</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4"/>
              </w:rPr>
              <w:t>SCR-ADM-07</w:t>
            </w:r>
          </w:p>
        </w:tc>
        <w:tc>
          <w:tcPr>
            <w:tcW w:type="dxa" w:w="1728"/>
            <w:tcMar>
              <w:top w:w="60" w:type="dxa"/>
              <w:start w:w="110" w:type="dxa"/>
              <w:bottom w:w="60" w:type="dxa"/>
              <w:end w:w="110" w:type="dxa"/>
            </w:tcMar>
          </w:tcPr>
          <w:p>
            <w:pPr>
              <w:spacing w:after="0"/>
            </w:pPr>
            <w:r/>
            <w:r>
              <w:rPr>
                <w:rFonts w:ascii="Consolas" w:hAnsi="Consolas"/>
                <w:color w:val="146EF5"/>
                <w:sz w:val="14"/>
              </w:rPr>
              <w:t>/admin/disputes/:id</w:t>
            </w:r>
          </w:p>
        </w:tc>
        <w:tc>
          <w:tcPr>
            <w:tcW w:type="dxa" w:w="3168"/>
            <w:tcMar>
              <w:top w:w="60" w:type="dxa"/>
              <w:start w:w="110" w:type="dxa"/>
              <w:bottom w:w="60" w:type="dxa"/>
              <w:end w:w="110" w:type="dxa"/>
            </w:tcMar>
          </w:tcPr>
          <w:p>
            <w:pPr>
              <w:spacing w:after="0"/>
            </w:pPr>
            <w:r/>
            <w:r>
              <w:rPr>
                <w:rFonts w:ascii="Calibri" w:hAnsi="Calibri"/>
                <w:b w:val="0"/>
                <w:i w:val="0"/>
                <w:color w:val="101828"/>
                <w:sz w:val="14"/>
              </w:rPr>
              <w:t>Decide one case.</w:t>
            </w:r>
          </w:p>
        </w:tc>
        <w:tc>
          <w:tcPr>
            <w:tcW w:type="dxa" w:w="3312"/>
            <w:tcMar>
              <w:top w:w="60" w:type="dxa"/>
              <w:start w:w="110" w:type="dxa"/>
              <w:bottom w:w="60" w:type="dxa"/>
              <w:end w:w="110" w:type="dxa"/>
            </w:tcMar>
          </w:tcPr>
          <w:p>
            <w:pPr>
              <w:spacing w:after="0"/>
            </w:pPr>
            <w:r/>
            <w:r>
              <w:rPr>
                <w:rFonts w:ascii="Consolas" w:hAnsi="Consolas"/>
                <w:color w:val="146EF5"/>
                <w:sz w:val="14"/>
              </w:rPr>
              <w:t>[S]</w:t>
            </w:r>
            <w:r>
              <w:rPr>
                <w:rFonts w:ascii="Calibri" w:hAnsi="Calibri"/>
                <w:b w:val="0"/>
                <w:i w:val="0"/>
                <w:color w:val="101828"/>
                <w:sz w:val="14"/>
              </w:rPr>
              <w:t xml:space="preserve">, </w:t>
            </w:r>
            <w:r>
              <w:rPr>
                <w:rFonts w:ascii="Consolas" w:hAnsi="Consolas"/>
                <w:color w:val="146EF5"/>
                <w:sz w:val="14"/>
              </w:rPr>
              <w:t>support</w:t>
            </w:r>
            <w:r>
              <w:rPr>
                <w:rFonts w:ascii="Calibri" w:hAnsi="Calibri"/>
                <w:b w:val="0"/>
                <w:i w:val="0"/>
                <w:color w:val="101828"/>
                <w:sz w:val="14"/>
              </w:rPr>
              <w:t xml:space="preserve">, </w:t>
            </w:r>
            <w:r>
              <w:rPr>
                <w:rFonts w:ascii="Consolas" w:hAnsi="Consolas"/>
                <w:color w:val="146EF5"/>
                <w:sz w:val="14"/>
              </w:rPr>
              <w:t>admin</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4"/>
              </w:rPr>
              <w:t>SCR-ADM-08</w:t>
            </w:r>
          </w:p>
        </w:tc>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/admin/risk</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4"/>
              </w:rPr>
              <w:t>Freeze and release, with a reason.</w:t>
            </w:r>
          </w:p>
        </w:tc>
        <w:tc>
          <w:tcPr>
            <w:tcW w:type="dxa" w:w="3312"/>
            <w:tcMar>
              <w:top w:w="60" w:type="dxa"/>
              <w:start w:w="110" w:type="dxa"/>
              <w:bottom w:w="60" w:type="dxa"/>
              <w:end w:w="110" w:type="dxa"/>
            </w:tcMar>
            <w:shd w:val="clear" w:color="auto" w:fill="F4F7FB"/>
          </w:tcPr>
          <w:p>
            <w:pPr>
              <w:spacing w:after="0"/>
            </w:pPr>
            <w:r/>
            <w:r>
              <w:rPr>
                <w:rFonts w:ascii="Consolas" w:hAnsi="Consolas"/>
                <w:color w:val="146EF5"/>
                <w:sz w:val="14"/>
              </w:rPr>
              <w:t>[S]</w:t>
            </w:r>
            <w:r>
              <w:rPr>
                <w:rFonts w:ascii="Calibri" w:hAnsi="Calibri"/>
                <w:b w:val="0"/>
                <w:i w:val="0"/>
                <w:color w:val="101828"/>
                <w:sz w:val="14"/>
              </w:rPr>
              <w:t xml:space="preserve">, </w:t>
            </w:r>
            <w:r>
              <w:rPr>
                <w:rFonts w:ascii="Consolas" w:hAnsi="Consolas"/>
                <w:color w:val="146EF5"/>
                <w:sz w:val="14"/>
              </w:rPr>
              <w:t>risk</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4"/>
              </w:rPr>
              <w:t>SCR-ADM-09</w:t>
            </w:r>
          </w:p>
        </w:tc>
        <w:tc>
          <w:tcPr>
            <w:tcW w:type="dxa" w:w="1728"/>
            <w:tcMar>
              <w:top w:w="60" w:type="dxa"/>
              <w:start w:w="110" w:type="dxa"/>
              <w:bottom w:w="60" w:type="dxa"/>
              <w:end w:w="110" w:type="dxa"/>
            </w:tcMar>
          </w:tcPr>
          <w:p>
            <w:pPr>
              <w:spacing w:after="0"/>
            </w:pPr>
            <w:r/>
            <w:r>
              <w:rPr>
                <w:rFonts w:ascii="Consolas" w:hAnsi="Consolas"/>
                <w:color w:val="146EF5"/>
                <w:sz w:val="14"/>
              </w:rPr>
              <w:t>/admin/verification</w:t>
            </w:r>
          </w:p>
        </w:tc>
        <w:tc>
          <w:tcPr>
            <w:tcW w:type="dxa" w:w="3168"/>
            <w:tcMar>
              <w:top w:w="60" w:type="dxa"/>
              <w:start w:w="110" w:type="dxa"/>
              <w:bottom w:w="60" w:type="dxa"/>
              <w:end w:w="110" w:type="dxa"/>
            </w:tcMar>
          </w:tcPr>
          <w:p>
            <w:pPr>
              <w:spacing w:after="0"/>
            </w:pPr>
            <w:r/>
            <w:r>
              <w:rPr>
                <w:rFonts w:ascii="Calibri" w:hAnsi="Calibri"/>
                <w:b w:val="0"/>
                <w:i w:val="0"/>
                <w:color w:val="101828"/>
                <w:sz w:val="14"/>
              </w:rPr>
              <w:t>Approve or reject a document check.</w:t>
            </w:r>
          </w:p>
        </w:tc>
        <w:tc>
          <w:tcPr>
            <w:tcW w:type="dxa" w:w="3312"/>
            <w:tcMar>
              <w:top w:w="60" w:type="dxa"/>
              <w:start w:w="110" w:type="dxa"/>
              <w:bottom w:w="60" w:type="dxa"/>
              <w:end w:w="110" w:type="dxa"/>
            </w:tcMar>
          </w:tcPr>
          <w:p>
            <w:pPr>
              <w:spacing w:after="0"/>
            </w:pPr>
            <w:r/>
            <w:r>
              <w:rPr>
                <w:rFonts w:ascii="Consolas" w:hAnsi="Consolas"/>
                <w:color w:val="146EF5"/>
                <w:sz w:val="14"/>
              </w:rPr>
              <w:t>[S]</w:t>
            </w:r>
            <w:r>
              <w:rPr>
                <w:rFonts w:ascii="Calibri" w:hAnsi="Calibri"/>
                <w:b w:val="0"/>
                <w:i w:val="0"/>
                <w:color w:val="101828"/>
                <w:sz w:val="14"/>
              </w:rPr>
              <w:t xml:space="preserve">, </w:t>
            </w:r>
            <w:r>
              <w:rPr>
                <w:rFonts w:ascii="Consolas" w:hAnsi="Consolas"/>
                <w:color w:val="146EF5"/>
                <w:sz w:val="14"/>
              </w:rPr>
              <w:t>compliance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4"/>
              </w:rPr>
              <w:t>SCR-ADM-10</w:t>
            </w:r>
          </w:p>
        </w:tc>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/admin/reports</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4"/>
              </w:rPr>
              <w:t>Reconciliation figures.</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Nobody</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4"/>
              </w:rPr>
              <w:t>SCR-ADM-11</w:t>
            </w:r>
          </w:p>
        </w:tc>
        <w:tc>
          <w:tcPr>
            <w:tcW w:type="dxa" w:w="1728"/>
            <w:tcMar>
              <w:top w:w="60" w:type="dxa"/>
              <w:start w:w="110" w:type="dxa"/>
              <w:bottom w:w="60" w:type="dxa"/>
              <w:end w:w="110" w:type="dxa"/>
            </w:tcMar>
          </w:tcPr>
          <w:p>
            <w:pPr>
              <w:spacing w:after="0"/>
            </w:pPr>
            <w:r/>
            <w:r>
              <w:rPr>
                <w:rFonts w:ascii="Consolas" w:hAnsi="Consolas"/>
                <w:color w:val="146EF5"/>
                <w:sz w:val="14"/>
              </w:rPr>
              <w:t>/admin/audit-logs</w:t>
            </w:r>
          </w:p>
        </w:tc>
        <w:tc>
          <w:tcPr>
            <w:tcW w:type="dxa" w:w="3168"/>
            <w:tcMar>
              <w:top w:w="60" w:type="dxa"/>
              <w:start w:w="110" w:type="dxa"/>
              <w:bottom w:w="60" w:type="dxa"/>
              <w:end w:w="110" w:type="dxa"/>
            </w:tcMar>
          </w:tcPr>
          <w:p>
            <w:pPr>
              <w:spacing w:after="0"/>
            </w:pPr>
            <w:r/>
            <w:r>
              <w:rPr>
                <w:rFonts w:ascii="Calibri" w:hAnsi="Calibri"/>
                <w:b w:val="0"/>
                <w:i w:val="0"/>
                <w:color w:val="101828"/>
                <w:sz w:val="14"/>
              </w:rPr>
              <w:t>The append-only record of every privileged action.</w:t>
            </w:r>
          </w:p>
        </w:tc>
        <w:tc>
          <w:tcPr>
            <w:tcW w:type="dxa" w:w="3312"/>
            <w:tcMar>
              <w:top w:w="60" w:type="dxa"/>
              <w:start w:w="110" w:type="dxa"/>
              <w:bottom w:w="60" w:type="dxa"/>
              <w:end w:w="110" w:type="dxa"/>
            </w:tcMar>
          </w:tcPr>
          <w:p>
            <w:pPr>
              <w:spacing w:after="0"/>
            </w:pPr>
            <w:r/>
            <w:r>
              <w:rPr>
                <w:rFonts w:ascii="Calibri" w:hAnsi="Calibri"/>
                <w:b w:val="0"/>
                <w:i w:val="0"/>
                <w:color w:val="101828"/>
                <w:sz w:val="14"/>
              </w:rPr>
              <w:t>Nobody, ever</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4"/>
              </w:rPr>
              <w:t>SCR-ADM-12</w:t>
            </w:r>
          </w:p>
        </w:tc>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/admin/settings</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4"/>
              </w:rPr>
              <w:t>Product configuration.</w:t>
            </w:r>
          </w:p>
        </w:tc>
        <w:tc>
          <w:tcPr>
            <w:tcW w:type="dxa" w:w="3312"/>
            <w:tcMar>
              <w:top w:w="60" w:type="dxa"/>
              <w:start w:w="110" w:type="dxa"/>
              <w:bottom w:w="60" w:type="dxa"/>
              <w:end w:w="110" w:type="dxa"/>
            </w:tcMar>
            <w:shd w:val="clear" w:color="auto" w:fill="F4F7FB"/>
          </w:tcPr>
          <w:p>
            <w:pPr>
              <w:spacing w:after="0"/>
            </w:pPr>
            <w:r/>
            <w:r>
              <w:rPr>
                <w:rFonts w:ascii="Consolas" w:hAnsi="Consolas"/>
                <w:color w:val="146EF5"/>
                <w:sz w:val="14"/>
              </w:rPr>
              <w:t>admin</w:t>
            </w:r>
            <w:r>
              <w:rPr>
                <w:rFonts w:ascii="Calibri" w:hAnsi="Calibri"/>
                <w:b w:val="0"/>
                <w:i w:val="0"/>
                <w:color w:val="101828"/>
                <w:sz w:val="14"/>
              </w:rPr>
              <w:t xml:space="preserve"> only, </w:t>
            </w:r>
            <w:r>
              <w:rPr>
                <w:rFonts w:ascii="Consolas" w:hAnsi="Consolas"/>
                <w:color w:val="146EF5"/>
                <w:sz w:val="14"/>
              </w:rPr>
              <w:t>super</w:t>
            </w:r>
            <w:r>
              <w:rPr>
                <w:rFonts w:ascii="Calibri" w:hAnsi="Calibri"/>
                <w:b w:val="0"/>
                <w:i w:val="0"/>
                <w:color w:val="101828"/>
                <w:sz w:val="14"/>
              </w:rPr>
              <w:t xml:space="preserve"> for money</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4"/>
              </w:rPr>
              <w:t>SCR-ADM-13</w:t>
            </w:r>
          </w:p>
        </w:tc>
        <w:tc>
          <w:tcPr>
            <w:tcW w:type="dxa" w:w="1728"/>
            <w:tcMar>
              <w:top w:w="60" w:type="dxa"/>
              <w:start w:w="110" w:type="dxa"/>
              <w:bottom w:w="60" w:type="dxa"/>
              <w:end w:w="110" w:type="dxa"/>
            </w:tcMar>
          </w:tcPr>
          <w:p>
            <w:pPr>
              <w:spacing w:after="0"/>
            </w:pPr>
            <w:r/>
            <w:r>
              <w:rPr>
                <w:rFonts w:ascii="Consolas" w:hAnsi="Consolas"/>
                <w:color w:val="146EF5"/>
                <w:sz w:val="14"/>
              </w:rPr>
              <w:t>/admin/*</w:t>
            </w:r>
            <w:r>
              <w:rPr>
                <w:rFonts w:ascii="Calibri" w:hAnsi="Calibri"/>
                <w:b w:val="0"/>
                <w:i w:val="0"/>
                <w:color w:val="101828"/>
                <w:sz w:val="14"/>
              </w:rPr>
              <w:t xml:space="preserve"> denied</w:t>
            </w:r>
          </w:p>
        </w:tc>
        <w:tc>
          <w:tcPr>
            <w:tcW w:type="dxa" w:w="3168"/>
            <w:tcMar>
              <w:top w:w="60" w:type="dxa"/>
              <w:start w:w="110" w:type="dxa"/>
              <w:bottom w:w="60" w:type="dxa"/>
              <w:end w:w="110" w:type="dxa"/>
            </w:tcMar>
          </w:tcPr>
          <w:p>
            <w:pPr>
              <w:spacing w:after="0"/>
            </w:pPr>
            <w:r/>
            <w:r>
              <w:rPr>
                <w:rFonts w:ascii="Calibri" w:hAnsi="Calibri"/>
                <w:b w:val="0"/>
                <w:i w:val="0"/>
                <w:color w:val="101828"/>
                <w:sz w:val="14"/>
              </w:rPr>
              <w:t>Say no, and say why.</w:t>
            </w:r>
          </w:p>
        </w:tc>
        <w:tc>
          <w:tcPr>
            <w:tcW w:type="dxa" w:w="3312"/>
            <w:tcMar>
              <w:top w:w="60" w:type="dxa"/>
              <w:start w:w="110" w:type="dxa"/>
              <w:bottom w:w="60" w:type="dxa"/>
              <w:end w:w="110" w:type="dxa"/>
            </w:tcMar>
          </w:tcPr>
          <w:p>
            <w:pPr>
              <w:spacing w:after="0"/>
            </w:pPr>
            <w:r/>
            <w:r>
              <w:rPr>
                <w:rFonts w:ascii="Calibri" w:hAnsi="Calibri"/>
                <w:b w:val="0"/>
                <w:i w:val="0"/>
                <w:color w:val="101828"/>
                <w:sz w:val="14"/>
              </w:rPr>
              <w:t>Nobody</w:t>
            </w:r>
          </w:p>
        </w:tc>
      </w:tr>
    </w:tbl>
    <w:p>
      <w:pPr>
        <w:spacing w:after="80"/>
      </w:pP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4"/>
              </w:rPr>
              <w:t>Principle</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4"/>
              </w:rPr>
              <w:t>What it forbids</w:t>
            </w:r>
          </w:p>
        </w:tc>
        <w:tc>
          <w:tcPr>
            <w:tcW w:type="dxa" w:w="3888"/>
            <w:shd w:val="clear" w:color="auto" w:fill="0B1F3A"/>
            <w:tcMar>
              <w:top w:w="60" w:type="dxa"/>
              <w:start w:w="110" w:type="dxa"/>
              <w:bottom w:w="60" w:type="dxa"/>
              <w:end w:w="110" w:type="dxa"/>
            </w:tcMar>
          </w:tcPr>
          <w:p>
            <w:pPr>
              <w:spacing w:after="0"/>
            </w:pPr>
            <w:r/>
            <w:r>
              <w:rPr>
                <w:rFonts w:ascii="Calibri" w:hAnsi="Calibri"/>
                <w:b/>
                <w:i w:val="0"/>
                <w:color w:val="FFFFFF"/>
                <w:sz w:val="14"/>
              </w:rPr>
              <w:t>Why</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4"/>
              </w:rPr>
              <w:t>Read-only means read-only</w:t>
            </w:r>
          </w:p>
        </w:tc>
        <w:tc>
          <w:tcPr>
            <w:tcW w:type="dxa" w:w="3456"/>
            <w:tcMar>
              <w:top w:w="60" w:type="dxa"/>
              <w:start w:w="110" w:type="dxa"/>
              <w:bottom w:w="60" w:type="dxa"/>
              <w:end w:w="110" w:type="dxa"/>
            </w:tcMar>
          </w:tcPr>
          <w:p>
            <w:pPr>
              <w:spacing w:after="0"/>
            </w:pPr>
            <w:r/>
            <w:r>
              <w:rPr>
                <w:rFonts w:ascii="Calibri" w:hAnsi="Calibri"/>
                <w:b w:val="0"/>
                <w:i w:val="0"/>
                <w:color w:val="101828"/>
                <w:sz w:val="14"/>
              </w:rPr>
              <w:t xml:space="preserve">No edit control on SCR-ADM-03 or SCR-ADM-05, not even for an </w:t>
            </w:r>
            <w:r>
              <w:rPr>
                <w:rFonts w:ascii="Consolas" w:hAnsi="Consolas"/>
                <w:color w:val="146EF5"/>
                <w:sz w:val="14"/>
              </w:rPr>
              <w:t>admin</w:t>
            </w:r>
            <w:r>
              <w:rPr>
                <w:rFonts w:ascii="Calibri" w:hAnsi="Calibri"/>
                <w:b w:val="0"/>
                <w:i w:val="0"/>
                <w:color w:val="101828"/>
                <w:sz w:val="14"/>
              </w:rPr>
              <w:t xml:space="preserve"> role.</w:t>
            </w:r>
          </w:p>
        </w:tc>
        <w:tc>
          <w:tcPr>
            <w:tcW w:type="dxa" w:w="3888"/>
            <w:tcMar>
              <w:top w:w="60" w:type="dxa"/>
              <w:start w:w="110" w:type="dxa"/>
              <w:bottom w:w="60" w:type="dxa"/>
              <w:end w:w="110" w:type="dxa"/>
            </w:tcMar>
          </w:tcPr>
          <w:p>
            <w:pPr>
              <w:spacing w:after="0"/>
            </w:pPr>
            <w:r/>
            <w:r>
              <w:rPr>
                <w:rFonts w:ascii="Calibri" w:hAnsi="Calibri"/>
                <w:b w:val="0"/>
                <w:i w:val="0"/>
                <w:color w:val="101828"/>
                <w:sz w:val="14"/>
              </w:rPr>
              <w:t>A member's record must be correctable by the member and by nobody else, so that what the member sees is the truth. A console edit makes that unverifiable.</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Every privileged action is reasoned</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No freeze, release, dispute decision or verification rejection without a recorded reason drawn from a list.</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4"/>
              </w:rPr>
              <w:t>A decision with no reason cannot be reviewed, appealed or audited, and the append-only log is only as good as what it records.</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4"/>
              </w:rPr>
              <w:t>No edit, ever</w:t>
            </w:r>
          </w:p>
        </w:tc>
        <w:tc>
          <w:tcPr>
            <w:tcW w:type="dxa" w:w="3456"/>
            <w:tcMar>
              <w:top w:w="60" w:type="dxa"/>
              <w:start w:w="110" w:type="dxa"/>
              <w:bottom w:w="60" w:type="dxa"/>
              <w:end w:w="110" w:type="dxa"/>
            </w:tcMar>
          </w:tcPr>
          <w:p>
            <w:pPr>
              <w:spacing w:after="0"/>
            </w:pPr>
            <w:r/>
            <w:r>
              <w:rPr>
                <w:rFonts w:ascii="Calibri" w:hAnsi="Calibri"/>
                <w:b w:val="0"/>
                <w:i w:val="0"/>
                <w:color w:val="101828"/>
                <w:sz w:val="14"/>
              </w:rPr>
              <w:t>The ledger has no update path in the console. Corrections are reversing entries created in the member's own flow or by a documented process.</w:t>
            </w:r>
          </w:p>
        </w:tc>
        <w:tc>
          <w:tcPr>
            <w:tcW w:type="dxa" w:w="3888"/>
            <w:tcMar>
              <w:top w:w="60" w:type="dxa"/>
              <w:start w:w="110" w:type="dxa"/>
              <w:bottom w:w="60" w:type="dxa"/>
              <w:end w:w="110" w:type="dxa"/>
            </w:tcMar>
          </w:tcPr>
          <w:p>
            <w:pPr>
              <w:spacing w:after="0"/>
            </w:pPr>
            <w:r/>
            <w:r>
              <w:rPr>
                <w:rFonts w:ascii="Calibri" w:hAnsi="Calibri"/>
                <w:b w:val="0"/>
                <w:i w:val="0"/>
                <w:color w:val="101828"/>
                <w:sz w:val="14"/>
              </w:rPr>
              <w:t>The canonical product's ledger is append-only. A console that could edit a ledger entry would make the receipt and the ledger disagree, and both would be evidence.</w:t>
            </w:r>
          </w:p>
        </w:tc>
      </w:tr>
    </w:tbl>
    <w:p>
      <w:pPr>
        <w:spacing w:after="80"/>
      </w:pPr>
    </w:p>
    <w:p>
      <w:pPr>
        <w:pStyle w:val="Heading3"/>
      </w:pPr>
      <w:r>
        <w:rPr>
          <w:rFonts w:ascii="Calibri" w:hAnsi="Calibri"/>
          <w:b/>
          <w:i w:val="0"/>
          <w:color w:val="0B1F3A"/>
          <w:sz w:val="24"/>
        </w:rPr>
        <w:t>4.23.1 Overview — SCR-ADM-01</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Answer one question: what needs a person today, and nothing else. It is a queue of work, not a dashboard of vanity.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support, risk or compliance officer starting their day, or an operator checking in at the end of one. They need to know whether anything is stuck, and to get to it in one click.</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Persistent left navigation at 240 px from </w:t>
            </w:r>
            <w:r>
              <w:rPr>
                <w:rFonts w:ascii="Consolas" w:hAnsi="Consolas"/>
                <w:color w:val="146EF5"/>
                <w:sz w:val="14"/>
              </w:rPr>
              <w:t>lg</w:t>
            </w:r>
            <w:r>
              <w:rPr>
                <w:rFonts w:ascii="Calibri" w:hAnsi="Calibri"/>
                <w:b w:val="0"/>
                <w:i w:val="0"/>
                <w:color w:val="101828"/>
                <w:sz w:val="14"/>
              </w:rPr>
              <w:t>, a top bar with the environment name, the operator's name and a sign-out control, and a single content column of five blocks, each with a heading, a count and a link.</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Shell</w:t>
            </w:r>
            <w:r>
              <w:rPr>
                <w:rFonts w:ascii="Calibri" w:hAnsi="Calibri"/>
                <w:b w:val="0"/>
                <w:i w:val="0"/>
                <w:color w:val="101828"/>
                <w:sz w:val="14"/>
              </w:rPr>
              <w:t xml:space="preserve"> (admin), </w:t>
            </w:r>
            <w:r>
              <w:rPr>
                <w:rFonts w:ascii="Consolas" w:hAnsi="Consolas"/>
                <w:color w:val="146EF5"/>
                <w:sz w:val="14"/>
              </w:rPr>
              <w:t>Table</w:t>
            </w:r>
            <w:r>
              <w:rPr>
                <w:rFonts w:ascii="Calibri" w:hAnsi="Calibri"/>
                <w:b w:val="0"/>
                <w:i w:val="0"/>
                <w:color w:val="101828"/>
                <w:sz w:val="14"/>
              </w:rPr>
              <w:t xml:space="preserve"> (counts), </w:t>
            </w:r>
            <w:r>
              <w:rPr>
                <w:rFonts w:ascii="Consolas" w:hAnsi="Consolas"/>
                <w:color w:val="146EF5"/>
                <w:sz w:val="14"/>
              </w:rPr>
              <w:t>Card</w:t>
            </w:r>
            <w:r>
              <w:rPr>
                <w:rFonts w:ascii="Calibri" w:hAnsi="Calibri"/>
                <w:b w:val="0"/>
                <w:i w:val="0"/>
                <w:color w:val="101828"/>
                <w:sz w:val="14"/>
              </w:rPr>
              <w:t xml:space="preserve"> (queue block), </w:t>
            </w:r>
            <w:r>
              <w:rPr>
                <w:rFonts w:ascii="Consolas" w:hAnsi="Consolas"/>
                <w:color w:val="146EF5"/>
                <w:sz w:val="14"/>
              </w:rPr>
              <w:t>Badge</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(secondary), </w:t>
            </w:r>
            <w:r>
              <w:rPr>
                <w:rFonts w:ascii="Consolas" w:hAnsi="Consolas"/>
                <w:color w:val="146EF5"/>
                <w:sz w:val="14"/>
              </w:rPr>
              <w:t>AlertBar</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The console root. Reached by sign-in and by the top bar. Every console route is </w:t>
            </w:r>
            <w:r>
              <w:rPr>
                <w:rFonts w:ascii="Consolas" w:hAnsi="Consolas"/>
                <w:color w:val="146EF5"/>
                <w:sz w:val="14"/>
              </w:rPr>
              <w:t>noindex</w:t>
            </w:r>
            <w:r>
              <w:rPr>
                <w:rFonts w:ascii="Calibri" w:hAnsi="Calibri"/>
                <w:b w:val="0"/>
                <w:i w:val="0"/>
                <w:color w:val="101828"/>
                <w:sz w:val="14"/>
              </w:rPr>
              <w:t xml:space="preserve"> and never linked from the member application.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None. The screen's purpose is triage, and every block is a link to a queue. A filled button on an overview would imply an action that is not the right action for most visits.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Open the oldest item</w:t>
            </w:r>
            <w:r>
              <w:rPr>
                <w:rFonts w:ascii="Calibri" w:hAnsi="Calibri"/>
                <w:b w:val="0"/>
                <w:i w:val="0"/>
                <w:color w:val="101828"/>
                <w:sz w:val="14"/>
              </w:rPr>
              <w:t xml:space="preserve"> (secondary outlined) in the three queues that have work, which is the single most common reason to open this screen.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Five blocks: disputes awaiting a decision, verifications awaiting review, accounts frozen, Ajos whose enrolment window closes in under 24 hours, and payment attempts whose result is unknown. </w:t>
            </w:r>
            <w:r>
              <w:rPr>
                <w:rFonts w:ascii="Calibri" w:hAnsi="Calibri"/>
                <w:b/>
                <w:color w:val="101828"/>
                <w:sz w:val="14"/>
              </w:rPr>
              <w:t>Each block shows a count and the age of the oldest item, never a percentage or a trend line.</w:t>
            </w:r>
            <w:r>
              <w:rPr>
                <w:rFonts w:ascii="Calibri" w:hAnsi="Calibri"/>
                <w:b w:val="0"/>
                <w:i w:val="0"/>
                <w:color w:val="101828"/>
                <w:sz w:val="14"/>
              </w:rPr>
              <w:t xml:space="preserve"> A banner at the top when the unknown-payment count is above zero, because that is the block where delay costs a member money.</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Counts resolve independently per block with the heading always rendered, so the screen's shape is stable and no block is a blank rectangle.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block with no work shows </w:t>
            </w:r>
            <w:r>
              <w:rPr>
                <w:rFonts w:ascii="Calibri" w:hAnsi="Calibri"/>
                <w:i/>
                <w:color w:val="101828"/>
                <w:sz w:val="14"/>
              </w:rPr>
              <w:t>Nothing waiting</w:t>
            </w:r>
            <w:r>
              <w:rPr>
                <w:rFonts w:ascii="Calibri" w:hAnsi="Calibri"/>
                <w:b w:val="0"/>
                <w:i w:val="0"/>
                <w:color w:val="101828"/>
                <w:sz w:val="14"/>
              </w:rPr>
              <w:t xml:space="preserve"> rather than being removed, because a queue that disappears cannot be distinguished from a queue that failed to load.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Per block. A failed block reports inline and does not blank the other four.</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console is tier 3 and per 4.3.5 is not designed below 1024 CSS pixels. Left navigation collapses to a top bar with a menu sheet between 1024 and 1280, and the content column never exceeds 1200 px so a wide monitor does not stretch a table beyond the point where a row can be read as one line.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left navigation is a </w:t>
            </w:r>
            <w:r>
              <w:rPr>
                <w:rFonts w:ascii="Consolas" w:hAnsi="Consolas"/>
                <w:color w:val="146EF5"/>
                <w:sz w:val="14"/>
              </w:rPr>
              <w:t>nav</w:t>
            </w:r>
            <w:r>
              <w:rPr>
                <w:rFonts w:ascii="Calibri" w:hAnsi="Calibri"/>
                <w:b w:val="0"/>
                <w:i w:val="0"/>
                <w:color w:val="101828"/>
                <w:sz w:val="14"/>
              </w:rPr>
              <w:t xml:space="preserve"> with a label and a </w:t>
            </w:r>
            <w:r>
              <w:rPr>
                <w:rFonts w:ascii="Consolas" w:hAnsi="Consolas"/>
                <w:color w:val="146EF5"/>
                <w:sz w:val="14"/>
              </w:rPr>
              <w:t>ul</w:t>
            </w:r>
            <w:r>
              <w:rPr>
                <w:rFonts w:ascii="Calibri" w:hAnsi="Calibri"/>
                <w:b w:val="0"/>
                <w:i w:val="0"/>
                <w:color w:val="101828"/>
                <w:sz w:val="14"/>
              </w:rPr>
              <w:t xml:space="preserve">; the current item is </w:t>
            </w:r>
            <w:r>
              <w:rPr>
                <w:rFonts w:ascii="Consolas" w:hAnsi="Consolas"/>
                <w:color w:val="146EF5"/>
                <w:sz w:val="14"/>
              </w:rPr>
              <w:t>aria-current</w:t>
            </w:r>
            <w:r>
              <w:rPr>
                <w:rFonts w:ascii="Calibri" w:hAnsi="Calibri"/>
                <w:b w:val="0"/>
                <w:i w:val="0"/>
                <w:color w:val="101828"/>
                <w:sz w:val="14"/>
              </w:rPr>
              <w:t xml:space="preserve"> and is marked by weight and a marker, not colour alone. Each block's count is text. The table of counts has a caption and row and column headers. Skip link to the content column is present in the shell.</w:t>
            </w:r>
          </w:p>
        </w:tc>
      </w:tr>
    </w:tbl>
    <w:p>
      <w:pPr>
        <w:spacing w:after="80"/>
      </w:pPr>
    </w:p>
    <w:p>
      <w:pPr>
        <w:pStyle w:val="Heading3"/>
      </w:pPr>
      <w:r>
        <w:rPr>
          <w:rFonts w:ascii="Calibri" w:hAnsi="Calibri"/>
          <w:b/>
          <w:i w:val="0"/>
          <w:color w:val="0B1F3A"/>
          <w:sz w:val="24"/>
        </w:rPr>
        <w:t>4.23.2 Users — SCR-ADM-02</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Find one member among the population, and get to their record. Searching is the entire job, so the search is the entire first screenful.</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An operator with a reference, a phone number or a name from a support conversation. They want one record, fast, and they are usually on a second monitor with a ticket open.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A search field at the top, 320 px, always focused on arrival, with the results table beneath it filling the remaining height and scrolling internally.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SearchField</w:t>
            </w:r>
            <w:r>
              <w:rPr>
                <w:rFonts w:ascii="Calibri" w:hAnsi="Calibri"/>
                <w:b w:val="0"/>
                <w:i w:val="0"/>
                <w:color w:val="101828"/>
                <w:sz w:val="14"/>
              </w:rPr>
              <w:t xml:space="preserve">, </w:t>
            </w:r>
            <w:r>
              <w:rPr>
                <w:rFonts w:ascii="Consolas" w:hAnsi="Consolas"/>
                <w:color w:val="146EF5"/>
                <w:sz w:val="14"/>
              </w:rPr>
              <w:t>Table</w:t>
            </w:r>
            <w:r>
              <w:rPr>
                <w:rFonts w:ascii="Calibri" w:hAnsi="Calibri"/>
                <w:b w:val="0"/>
                <w:i w:val="0"/>
                <w:color w:val="101828"/>
                <w:sz w:val="14"/>
              </w:rPr>
              <w:t xml:space="preserve"> (results), </w:t>
            </w:r>
            <w:r>
              <w:rPr>
                <w:rFonts w:ascii="Consolas" w:hAnsi="Consolas"/>
                <w:color w:val="146EF5"/>
                <w:sz w:val="14"/>
              </w:rPr>
              <w:t>Pagination</w:t>
            </w:r>
            <w:r>
              <w:rPr>
                <w:rFonts w:ascii="Calibri" w:hAnsi="Calibri"/>
                <w:b w:val="0"/>
                <w:i w:val="0"/>
                <w:color w:val="101828"/>
                <w:sz w:val="14"/>
              </w:rPr>
              <w:t xml:space="preserve">, </w:t>
            </w:r>
            <w:r>
              <w:rPr>
                <w:rFonts w:ascii="Consolas" w:hAnsi="Consolas"/>
                <w:color w:val="146EF5"/>
                <w:sz w:val="14"/>
              </w:rPr>
              <w:t>EmptyState</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(secondary).</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Left navigation. Reached by search from the top bar on any console screen, and from the overview's account links.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None. Selecting a row is the action, and a row is a link.</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Clear search</w:t>
            </w:r>
            <w:r>
              <w:rPr>
                <w:rFonts w:ascii="Calibri" w:hAnsi="Calibri"/>
                <w:b w:val="0"/>
                <w:i w:val="0"/>
                <w:color w:val="101828"/>
                <w:sz w:val="14"/>
              </w:rPr>
              <w:t xml:space="preserve"> (secondary outlined) when a query is present, and </w:t>
            </w:r>
            <w:r>
              <w:rPr>
                <w:rFonts w:ascii="Calibri" w:hAnsi="Calibri"/>
                <w:i/>
                <w:color w:val="101828"/>
                <w:sz w:val="14"/>
              </w:rPr>
              <w:t>Copy the search link</w:t>
            </w:r>
            <w:r>
              <w:rPr>
                <w:rFonts w:ascii="Calibri" w:hAnsi="Calibri"/>
                <w:b w:val="0"/>
                <w:i w:val="0"/>
                <w:color w:val="101828"/>
                <w:sz w:val="14"/>
              </w:rPr>
              <w:t xml:space="preserve"> (tertiary) so an operator can hand a filtered view to a colleague.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Results as a table: reference, name, phone masked, email masked, state, joined date, last activity. </w:t>
            </w:r>
            <w:r>
              <w:rPr>
                <w:rFonts w:ascii="Calibri" w:hAnsi="Calibri"/>
                <w:b/>
                <w:color w:val="101828"/>
                <w:sz w:val="14"/>
              </w:rPr>
              <w:t>Phone and email are masked by default in the list and never unmasked by a click</w:t>
            </w:r>
            <w:r>
              <w:rPr>
                <w:rFonts w:ascii="Calibri" w:hAnsi="Calibri"/>
                <w:b w:val="0"/>
                <w:i w:val="0"/>
                <w:color w:val="101828"/>
                <w:sz w:val="14"/>
              </w:rPr>
              <w:t>; the full value lives on SCR-ADM-03, behind a recorded reveal, because a list of a thousand unmasked phone numbers on a shared screen is a data incident waiting for a screenshot.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Search: reference, phone number, email, or name. One field, not four, with a single query matched across all of them and a label stating so.</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query shorter than 3 characters returns a prompt rather than a result set of everything, which is both a performance and a privacy control. A phone query accepts spaces and dashes and normalises before matching.</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The results table shows a skeleton in place. </w:t>
            </w:r>
            <w:r>
              <w:rPr>
                <w:rFonts w:ascii="Calibri" w:hAnsi="Calibri"/>
                <w:b/>
                <w:color w:val="101828"/>
                <w:sz w:val="14"/>
              </w:rPr>
              <w:t>The search field never loses focus and never loses its query during a search</w:t>
            </w:r>
            <w:r>
              <w:rPr>
                <w:rFonts w:ascii="Calibri" w:hAnsi="Calibri"/>
                <w:b w:val="0"/>
                <w:i w:val="0"/>
                <w:color w:val="101828"/>
                <w:sz w:val="14"/>
              </w:rPr>
              <w:t>, so an operator can keep typing.</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i/>
                <w:color w:val="101828"/>
                <w:sz w:val="14"/>
              </w:rPr>
              <w:t>No members match that.</w:t>
            </w:r>
            <w:r>
              <w:rPr>
                <w:rFonts w:ascii="Calibri" w:hAnsi="Calibri"/>
                <w:b w:val="0"/>
                <w:i w:val="0"/>
                <w:color w:val="101828"/>
                <w:sz w:val="14"/>
              </w:rPr>
              <w:t>, with the query echoed and a hint that the reference format is seven characters, because a mistyped reference is the most common cause.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A failed search reports in place with a retry and the query preserved. A failed result page keeps the first page of results rather than emptying the screen.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Console only, per 4.3.5. The table scrolls horizontally below 1280 with the reference and name columns frozen, because an operator scrolling a wide table needs to know which row they are 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results table has a caption stating the query and the count, and row headers. Each row is a single link in the reference cell, and the row's accessible name includes the reference and name so a links list is navigable. The masked values are read as </w:t>
            </w:r>
            <w:r>
              <w:rPr>
                <w:rFonts w:ascii="Calibri" w:hAnsi="Calibri"/>
                <w:i/>
                <w:color w:val="101828"/>
                <w:sz w:val="14"/>
              </w:rPr>
              <w:t>phone ending 4821</w:t>
            </w:r>
            <w:r>
              <w:rPr>
                <w:rFonts w:ascii="Calibri" w:hAnsi="Calibri"/>
                <w:b w:val="0"/>
                <w:i w:val="0"/>
                <w:color w:val="101828"/>
                <w:sz w:val="14"/>
              </w:rPr>
              <w:t>, not as a run of asterisks.</w:t>
            </w:r>
          </w:p>
        </w:tc>
      </w:tr>
    </w:tbl>
    <w:p>
      <w:pPr>
        <w:spacing w:after="80"/>
      </w:pPr>
    </w:p>
    <w:p>
      <w:pPr>
        <w:pStyle w:val="Heading3"/>
      </w:pPr>
      <w:r>
        <w:rPr>
          <w:rFonts w:ascii="Calibri" w:hAnsi="Calibri"/>
          <w:b/>
          <w:i w:val="0"/>
          <w:color w:val="0B1F3A"/>
          <w:sz w:val="24"/>
        </w:rPr>
        <w:t>4.23.3 User detail — SCR-ADM-03</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Show one member's complete record to an operator, read-only, so that an operator never has to guess, and never has to change anything to resolve a question.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An operator answering a support question or assessing a risk signal. They are looking for what happened, when, in what order, and who else was involved.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Two columns at 1440 and above — identity and status on the left, membership and money on the right — collapsing to one at 1024. Below the fold, three tabbed regions: memberships, transactions, and the audit trail of privileged actions touching this member.</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Table</w:t>
            </w:r>
            <w:r>
              <w:rPr>
                <w:rFonts w:ascii="Calibri" w:hAnsi="Calibri"/>
                <w:b w:val="0"/>
                <w:i w:val="0"/>
                <w:color w:val="101828"/>
                <w:sz w:val="14"/>
              </w:rPr>
              <w:t xml:space="preserve"> (facts), </w:t>
            </w:r>
            <w:r>
              <w:rPr>
                <w:rFonts w:ascii="Consolas" w:hAnsi="Consolas"/>
                <w:color w:val="146EF5"/>
                <w:sz w:val="14"/>
              </w:rPr>
              <w:t>Tabs</w:t>
            </w:r>
            <w:r>
              <w:rPr>
                <w:rFonts w:ascii="Calibri" w:hAnsi="Calibri"/>
                <w:b w:val="0"/>
                <w:i w:val="0"/>
                <w:color w:val="101828"/>
                <w:sz w:val="14"/>
              </w:rPr>
              <w:t xml:space="preserve">, </w:t>
            </w:r>
            <w:r>
              <w:rPr>
                <w:rFonts w:ascii="Consolas" w:hAnsi="Consolas"/>
                <w:color w:val="146EF5"/>
                <w:sz w:val="14"/>
              </w:rPr>
              <w:t>ListItem</w:t>
            </w:r>
            <w:r>
              <w:rPr>
                <w:rFonts w:ascii="Calibri" w:hAnsi="Calibri"/>
                <w:b w:val="0"/>
                <w:i w:val="0"/>
                <w:color w:val="101828"/>
                <w:sz w:val="14"/>
              </w:rPr>
              <w:t xml:space="preserve">, </w:t>
            </w:r>
            <w:r>
              <w:rPr>
                <w:rFonts w:ascii="Consolas" w:hAnsi="Consolas"/>
                <w:color w:val="146EF5"/>
                <w:sz w:val="14"/>
              </w:rPr>
              <w:t>Disclosure</w:t>
            </w:r>
            <w:r>
              <w:rPr>
                <w:rFonts w:ascii="Calibri" w:hAnsi="Calibri"/>
                <w:b w:val="0"/>
                <w:i w:val="0"/>
                <w:color w:val="101828"/>
                <w:sz w:val="14"/>
              </w:rPr>
              <w:t xml:space="preserve"> (reveal), </w:t>
            </w:r>
            <w:r>
              <w:rPr>
                <w:rFonts w:ascii="Consolas" w:hAnsi="Consolas"/>
                <w:color w:val="146EF5"/>
                <w:sz w:val="14"/>
              </w:rPr>
              <w:t>Button</w:t>
            </w:r>
            <w:r>
              <w:rPr>
                <w:rFonts w:ascii="Calibri" w:hAnsi="Calibri"/>
                <w:b w:val="0"/>
                <w:i w:val="0"/>
                <w:color w:val="101828"/>
                <w:sz w:val="14"/>
              </w:rPr>
              <w:t xml:space="preserve"> (secondary), </w:t>
            </w:r>
            <w:r>
              <w:rPr>
                <w:rFonts w:ascii="Consolas" w:hAnsi="Consolas"/>
                <w:color w:val="146EF5"/>
                <w:sz w:val="14"/>
              </w:rPr>
              <w:t>Callout</w:t>
            </w:r>
            <w:r>
              <w:rPr>
                <w:rFonts w:ascii="Calibri" w:hAnsi="Calibri"/>
                <w:b w:val="0"/>
                <w:i w:val="0"/>
                <w:color w:val="101828"/>
                <w:sz w:val="14"/>
              </w:rPr>
              <w:t xml:space="preserve"> (WARNING, restricted), </w:t>
            </w:r>
            <w:r>
              <w:rPr>
                <w:rFonts w:ascii="Consolas" w:hAnsi="Consolas"/>
                <w:color w:val="146EF5"/>
                <w:sz w:val="14"/>
              </w:rPr>
              <w:t>MoneyText</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Reached from SCR-ADM-02, from a dispute, from the risk queue, and from any record link. Deep-linkable within the console.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None. </w:t>
            </w:r>
            <w:r>
              <w:rPr>
                <w:rFonts w:ascii="Calibri" w:hAnsi="Calibri"/>
                <w:b/>
                <w:color w:val="101828"/>
                <w:sz w:val="14"/>
              </w:rPr>
              <w:t>There is no write path on this screen for any role, including `admin` and `super`.</w:t>
            </w:r>
            <w:r>
              <w:rPr>
                <w:rFonts w:ascii="Calibri" w:hAnsi="Calibri"/>
                <w:b w:val="0"/>
                <w:i w:val="0"/>
                <w:color w:val="101828"/>
                <w:sz w:val="14"/>
              </w:rPr>
              <w:t xml:space="preserve"> The only controls are reveals, tabs and links to the queues that can act.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Reveal phone number</w:t>
            </w:r>
            <w:r>
              <w:rPr>
                <w:rFonts w:ascii="Calibri" w:hAnsi="Calibri"/>
                <w:b w:val="0"/>
                <w:i w:val="0"/>
                <w:color w:val="101828"/>
                <w:sz w:val="14"/>
              </w:rPr>
              <w:t xml:space="preserve"> and </w:t>
            </w:r>
            <w:r>
              <w:rPr>
                <w:rFonts w:ascii="Calibri" w:hAnsi="Calibri"/>
                <w:i/>
                <w:color w:val="101828"/>
                <w:sz w:val="14"/>
              </w:rPr>
              <w:t>Reveal email</w:t>
            </w:r>
            <w:r>
              <w:rPr>
                <w:rFonts w:ascii="Calibri" w:hAnsi="Calibri"/>
                <w:b w:val="0"/>
                <w:i w:val="0"/>
                <w:color w:val="101828"/>
                <w:sz w:val="14"/>
              </w:rPr>
              <w:t xml:space="preserve"> (secondary outlined, each a recorded disclosure). </w:t>
            </w:r>
            <w:r>
              <w:rPr>
                <w:rFonts w:ascii="Calibri" w:hAnsi="Calibri"/>
                <w:i/>
                <w:color w:val="101828"/>
                <w:sz w:val="14"/>
              </w:rPr>
              <w:t>Freeze account</w:t>
            </w:r>
            <w:r>
              <w:rPr>
                <w:rFonts w:ascii="Calibri" w:hAnsi="Calibri"/>
                <w:b w:val="0"/>
                <w:i w:val="0"/>
                <w:color w:val="101828"/>
                <w:sz w:val="14"/>
              </w:rPr>
              <w:t xml:space="preserve"> (secondary outlined) — a link to SCR-ADM-08, never inline. </w:t>
            </w:r>
            <w:r>
              <w:rPr>
                <w:rFonts w:ascii="Calibri" w:hAnsi="Calibri"/>
                <w:i/>
                <w:color w:val="101828"/>
                <w:sz w:val="14"/>
              </w:rPr>
              <w:t>Export this record</w:t>
            </w:r>
            <w:r>
              <w:rPr>
                <w:rFonts w:ascii="Calibri" w:hAnsi="Calibri"/>
                <w:b w:val="0"/>
                <w:i w:val="0"/>
                <w:color w:val="101828"/>
                <w:sz w:val="14"/>
              </w:rPr>
              <w:t xml:space="preserve"> (secondary outlined), producing a timestamped file. Tertiary: </w:t>
            </w:r>
            <w:r>
              <w:rPr>
                <w:rFonts w:ascii="Calibri" w:hAnsi="Calibri"/>
                <w:i/>
                <w:color w:val="101828"/>
                <w:sz w:val="14"/>
              </w:rPr>
              <w:t>Open in the risk queue</w:t>
            </w:r>
            <w:r>
              <w:rPr>
                <w:rFonts w:ascii="Calibri" w:hAnsi="Calibri"/>
                <w:b w:val="0"/>
                <w:i w:val="0"/>
                <w:color w:val="101828"/>
                <w:sz w:val="14"/>
              </w:rPr>
              <w: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Identity: name, reference, created date, state and the reason for any state, last sign-in, verification state. Contact: masked, with per-item reveal. Memberships: every Ajo with position, state and the member's standing in each. Money: balances owed, payouts received, transactions, all reconciled to the ledger. A WARNING region for a restricted account, naming the reason and the reviewer. </w:t>
            </w:r>
            <w:r>
              <w:rPr>
                <w:rFonts w:ascii="Calibri" w:hAnsi="Calibri"/>
                <w:b/>
                <w:color w:val="101828"/>
                <w:sz w:val="14"/>
              </w:rPr>
              <w:t>Anything that would let an operator *correct* a member's data is absent by design, and its absence is documented here so a later feature request has to argue with this paragraph.</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 The two reveals are confirmations, not fields: a dialog stating that the value will be recorded in the audit log against the operator's name.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Per-region skeletons, with the identity block resolving first because it is what an operator came for.</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An account with no memberships shows the state plainly. </w:t>
            </w:r>
            <w:r>
              <w:rPr>
                <w:rFonts w:ascii="Calibri" w:hAnsi="Calibri"/>
                <w:b/>
                <w:color w:val="101828"/>
                <w:sz w:val="14"/>
              </w:rPr>
              <w:t>An account with no transactions is either brand new or suspicious, and the screen says which by showing the joined date</w:t>
            </w:r>
            <w:r>
              <w:rPr>
                <w:rFonts w:ascii="Calibri" w:hAnsi="Calibri"/>
                <w:b w:val="0"/>
                <w:i w:val="0"/>
                <w:color w:val="101828"/>
                <w:sz w:val="14"/>
              </w:rPr>
              <w:t xml:space="preserve"> rather than rendering an empty table that reads the same in both cases.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Per region, contained. A failed reveal reports against the control and does not clear the masked value, so the operator can see what they were trying to see.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reveal confirms in place and the audit entry is written. Nothing on this screen reports success otherwise.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Console only. The tabbed regions become stacked labelled sections below 1280, with the tabs removed rather than collapsed, so every region is reachable by scrolling.</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facts are a real table with a caption. Tabs are a proper tablist with </w:t>
            </w:r>
            <w:r>
              <w:rPr>
                <w:rFonts w:ascii="Consolas" w:hAnsi="Consolas"/>
                <w:color w:val="146EF5"/>
                <w:sz w:val="14"/>
              </w:rPr>
              <w:t>aria-selected</w:t>
            </w:r>
            <w:r>
              <w:rPr>
                <w:rFonts w:ascii="Calibri" w:hAnsi="Calibri"/>
                <w:b w:val="0"/>
                <w:i w:val="0"/>
                <w:color w:val="101828"/>
                <w:sz w:val="14"/>
              </w:rPr>
              <w:t xml:space="preserve"> and arrow-key navigation. The reveal dialogs are modal, trap focus, and their titles name what is being revealed. Every disclosure is announced to the operator, and the audit trail region is labelled </w:t>
            </w:r>
            <w:r>
              <w:rPr>
                <w:rFonts w:ascii="Calibri" w:hAnsi="Calibri"/>
                <w:i/>
                <w:color w:val="101828"/>
                <w:sz w:val="14"/>
              </w:rPr>
              <w:t>Privileged actions on this record</w:t>
            </w:r>
            <w:r>
              <w:rPr>
                <w:rFonts w:ascii="Calibri" w:hAnsi="Calibri"/>
                <w:b w:val="0"/>
                <w:i w:val="0"/>
                <w:color w:val="101828"/>
                <w:sz w:val="14"/>
              </w:rPr>
              <w:t>.</w:t>
            </w:r>
          </w:p>
        </w:tc>
      </w:tr>
    </w:tbl>
    <w:p>
      <w:pPr>
        <w:spacing w:after="80"/>
      </w:pPr>
    </w:p>
    <w:p>
      <w:pPr>
        <w:pStyle w:val="Heading3"/>
      </w:pPr>
      <w:r>
        <w:rPr>
          <w:rFonts w:ascii="Calibri" w:hAnsi="Calibri"/>
          <w:b/>
          <w:i w:val="0"/>
          <w:color w:val="0B1F3A"/>
          <w:sz w:val="24"/>
        </w:rPr>
        <w:t>4.23.4 Ajos and Ajo detail — SCR-ADM-04, SCR-ADM-05</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Find an Ajo among the population and read one Ajo's whole record, read-only, with the money reconciled to the ledger and the roster complete.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An operator investigating an Ajo rather than a person: a support question about a group, a risk signal across a roster, or a reconciliation at month end.</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SCR-ADM-04: a filter bar above a results table filling the remaining height. SCR-ADM-05: a header with the Ajo's name, state and reference; a facts row; a two-column body — economics and roster on one side, activity on the other; and a tabbed region for the full ledger.</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FilterBar</w:t>
            </w:r>
            <w:r>
              <w:rPr>
                <w:rFonts w:ascii="Calibri" w:hAnsi="Calibri"/>
                <w:b w:val="0"/>
                <w:i w:val="0"/>
                <w:color w:val="101828"/>
                <w:sz w:val="14"/>
              </w:rPr>
              <w:t xml:space="preserve">, </w:t>
            </w:r>
            <w:r>
              <w:rPr>
                <w:rFonts w:ascii="Consolas" w:hAnsi="Consolas"/>
                <w:color w:val="146EF5"/>
                <w:sz w:val="14"/>
              </w:rPr>
              <w:t>Table</w:t>
            </w:r>
            <w:r>
              <w:rPr>
                <w:rFonts w:ascii="Calibri" w:hAnsi="Calibri"/>
                <w:b w:val="0"/>
                <w:i w:val="0"/>
                <w:color w:val="101828"/>
                <w:sz w:val="14"/>
              </w:rPr>
              <w:t xml:space="preserve">, </w:t>
            </w:r>
            <w:r>
              <w:rPr>
                <w:rFonts w:ascii="Consolas" w:hAnsi="Consolas"/>
                <w:color w:val="146EF5"/>
                <w:sz w:val="14"/>
              </w:rPr>
              <w:t>Table</w:t>
            </w:r>
            <w:r>
              <w:rPr>
                <w:rFonts w:ascii="Calibri" w:hAnsi="Calibri"/>
                <w:b w:val="0"/>
                <w:i w:val="0"/>
                <w:color w:val="101828"/>
                <w:sz w:val="14"/>
              </w:rPr>
              <w:t xml:space="preserve"> (facts), </w:t>
            </w:r>
            <w:r>
              <w:rPr>
                <w:rFonts w:ascii="Consolas" w:hAnsi="Consolas"/>
                <w:color w:val="146EF5"/>
                <w:sz w:val="14"/>
              </w:rPr>
              <w:t>MoneyTable</w:t>
            </w:r>
            <w:r>
              <w:rPr>
                <w:rFonts w:ascii="Calibri" w:hAnsi="Calibri"/>
                <w:b w:val="0"/>
                <w:i w:val="0"/>
                <w:color w:val="101828"/>
                <w:sz w:val="14"/>
              </w:rPr>
              <w:t xml:space="preserve"> (canonical), </w:t>
            </w:r>
            <w:r>
              <w:rPr>
                <w:rFonts w:ascii="Consolas" w:hAnsi="Consolas"/>
                <w:color w:val="146EF5"/>
                <w:sz w:val="14"/>
              </w:rPr>
              <w:t>ListItem</w:t>
            </w:r>
            <w:r>
              <w:rPr>
                <w:rFonts w:ascii="Calibri" w:hAnsi="Calibri"/>
                <w:b w:val="0"/>
                <w:i w:val="0"/>
                <w:color w:val="101828"/>
                <w:sz w:val="14"/>
              </w:rPr>
              <w:t xml:space="preserve">, </w:t>
            </w:r>
            <w:r>
              <w:rPr>
                <w:rFonts w:ascii="Consolas" w:hAnsi="Consolas"/>
                <w:color w:val="146EF5"/>
                <w:sz w:val="14"/>
              </w:rPr>
              <w:t>Tabs</w:t>
            </w:r>
            <w:r>
              <w:rPr>
                <w:rFonts w:ascii="Calibri" w:hAnsi="Calibri"/>
                <w:b w:val="0"/>
                <w:i w:val="0"/>
                <w:color w:val="101828"/>
                <w:sz w:val="14"/>
              </w:rPr>
              <w:t xml:space="preserve">, </w:t>
            </w:r>
            <w:r>
              <w:rPr>
                <w:rFonts w:ascii="Consolas" w:hAnsi="Consolas"/>
                <w:color w:val="146EF5"/>
                <w:sz w:val="14"/>
              </w:rPr>
              <w:t>Button</w:t>
            </w:r>
            <w:r>
              <w:rPr>
                <w:rFonts w:ascii="Calibri" w:hAnsi="Calibri"/>
                <w:b w:val="0"/>
                <w:i w:val="0"/>
                <w:color w:val="101828"/>
                <w:sz w:val="14"/>
              </w:rPr>
              <w:t xml:space="preserve"> (secondary), </w:t>
            </w:r>
            <w:r>
              <w:rPr>
                <w:rFonts w:ascii="Consolas" w:hAnsi="Consolas"/>
                <w:color w:val="146EF5"/>
                <w:sz w:val="14"/>
              </w:rPr>
              <w:t>Callout</w:t>
            </w:r>
            <w:r>
              <w:rPr>
                <w:rFonts w:ascii="Calibri" w:hAnsi="Calibri"/>
                <w:b w:val="0"/>
                <w:i w:val="0"/>
                <w:color w:val="101828"/>
                <w:sz w:val="14"/>
              </w:rPr>
              <w:t xml:space="preserve"> (WARNING).</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Reached from the console navigation, from SCR-ADM-01's Ajo block, and from any user record's membership entry. Deep-linkable within the console.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Neither screen has a primary action. SCR-ADM-05 is read-only like SCR-ADM-03, and the write actions that exist for Ajos — a cancellation, a position correction — are process actions taken by the product's own rules and are surfaced as state with their cause, not as buttons an operator presses.</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SCR-ADM-04: </w:t>
            </w:r>
            <w:r>
              <w:rPr>
                <w:rFonts w:ascii="Calibri" w:hAnsi="Calibri"/>
                <w:i/>
                <w:color w:val="101828"/>
                <w:sz w:val="14"/>
              </w:rPr>
              <w:t>Clear filters</w:t>
            </w:r>
            <w:r>
              <w:rPr>
                <w:rFonts w:ascii="Calibri" w:hAnsi="Calibri"/>
                <w:b w:val="0"/>
                <w:i w:val="0"/>
                <w:color w:val="101828"/>
                <w:sz w:val="14"/>
              </w:rPr>
              <w:t xml:space="preserve"> and </w:t>
            </w:r>
            <w:r>
              <w:rPr>
                <w:rFonts w:ascii="Calibri" w:hAnsi="Calibri"/>
                <w:i/>
                <w:color w:val="101828"/>
                <w:sz w:val="14"/>
              </w:rPr>
              <w:t>Export the filtered set</w:t>
            </w:r>
            <w:r>
              <w:rPr>
                <w:rFonts w:ascii="Calibri" w:hAnsi="Calibri"/>
                <w:b w:val="0"/>
                <w:i w:val="0"/>
                <w:color w:val="101828"/>
                <w:sz w:val="14"/>
              </w:rPr>
              <w:t xml:space="preserve">. SCR-ADM-05: </w:t>
            </w:r>
            <w:r>
              <w:rPr>
                <w:rFonts w:ascii="Calibri" w:hAnsi="Calibri"/>
                <w:i/>
                <w:color w:val="101828"/>
                <w:sz w:val="14"/>
              </w:rPr>
              <w:t>Export the ledger</w:t>
            </w:r>
            <w:r>
              <w:rPr>
                <w:rFonts w:ascii="Calibri" w:hAnsi="Calibri"/>
                <w:b w:val="0"/>
                <w:i w:val="0"/>
                <w:color w:val="101828"/>
                <w:sz w:val="14"/>
              </w:rPr>
              <w:t xml:space="preserve"> (secondary outlined) and </w:t>
            </w:r>
            <w:r>
              <w:rPr>
                <w:rFonts w:ascii="Calibri" w:hAnsi="Calibri"/>
                <w:i/>
                <w:color w:val="101828"/>
                <w:sz w:val="14"/>
              </w:rPr>
              <w:t>Copy the Ajo reference</w:t>
            </w:r>
            <w:r>
              <w:rPr>
                <w:rFonts w:ascii="Calibri" w:hAnsi="Calibri"/>
                <w:b w:val="0"/>
                <w:i w:val="0"/>
                <w:color w:val="101828"/>
                <w:sz w:val="14"/>
              </w:rPr>
              <w:t xml:space="preserve"> (tertiary).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SCR-ADM-04 columns: reference, name, state, members filled of total, rounds, amount per member, created date, last activity. </w:t>
            </w:r>
            <w:r>
              <w:rPr>
                <w:rFonts w:ascii="Calibri" w:hAnsi="Calibri"/>
                <w:b/>
                <w:color w:val="101828"/>
                <w:sz w:val="14"/>
              </w:rPr>
              <w:t>SCR-ADM-05 economics</w:t>
            </w:r>
            <w:r>
              <w:rPr>
                <w:rFonts w:ascii="Calibri" w:hAnsi="Calibri"/>
                <w:b w:val="0"/>
                <w:i w:val="0"/>
                <w:color w:val="101828"/>
                <w:sz w:val="14"/>
              </w:rPr>
              <w:t xml:space="preserve"> is the canonical money table, complete and unaltered, so an operator reconciling a figure reads exactly what a member reads. The roster shows every member, position, standing and contribution state, </w:t>
            </w:r>
            <w:r>
              <w:rPr>
                <w:rFonts w:ascii="Calibri" w:hAnsi="Calibri"/>
                <w:b/>
                <w:color w:val="101828"/>
                <w:sz w:val="14"/>
              </w:rPr>
              <w:t>including unpaid members, because this is the one view in the product where naming them is the operator's job and is necessary to the work.</w:t>
            </w:r>
            <w:r>
              <w:rPr>
                <w:rFonts w:ascii="Calibri" w:hAnsi="Calibri"/>
                <w:b w:val="0"/>
                <w:i w:val="0"/>
                <w:color w:val="101828"/>
                <w:sz w:val="14"/>
              </w:rPr>
              <w:t xml:space="preserve"> The activity region shows every state change in order, and the ledger tab shows every entry with its correcting entry. A WARNING region when a round is short, stating the shortfall and that no recovery case is open.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None on either screen. SCR-ADM-04's filter bar is a set of controls, not fields: state, a date range, filled-or-not, and a text search.</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date range with a start after its end is rejected inline on the control that caused it, naming which bound. Filters compose; the applied set is stated in the results caption.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Table skeletons on the list; region skeletons on the detail, economics first.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SCR-ADM-04: </w:t>
            </w:r>
            <w:r>
              <w:rPr>
                <w:rFonts w:ascii="Calibri" w:hAnsi="Calibri"/>
                <w:i/>
                <w:color w:val="101828"/>
                <w:sz w:val="14"/>
              </w:rPr>
              <w:t>No Ajos match these filters</w:t>
            </w:r>
            <w:r>
              <w:rPr>
                <w:rFonts w:ascii="Calibri" w:hAnsi="Calibri"/>
                <w:b w:val="0"/>
                <w:i w:val="0"/>
                <w:color w:val="101828"/>
                <w:sz w:val="14"/>
              </w:rPr>
              <w:t xml:space="preserve">, with the filters echoed and a </w:t>
            </w:r>
            <w:r>
              <w:rPr>
                <w:rFonts w:ascii="Calibri" w:hAnsi="Calibri"/>
                <w:i/>
                <w:color w:val="101828"/>
                <w:sz w:val="14"/>
              </w:rPr>
              <w:t>Clear filters</w:t>
            </w:r>
            <w:r>
              <w:rPr>
                <w:rFonts w:ascii="Calibri" w:hAnsi="Calibri"/>
                <w:b w:val="0"/>
                <w:i w:val="0"/>
                <w:color w:val="101828"/>
                <w:sz w:val="14"/>
              </w:rPr>
              <w:t xml:space="preserve"> control. SCR-ADM-05: a DRAFT Ajo legitimately has no rounds and says </w:t>
            </w:r>
            <w:r>
              <w:rPr>
                <w:rFonts w:ascii="Calibri" w:hAnsi="Calibri"/>
                <w:i/>
                <w:color w:val="101828"/>
                <w:sz w:val="14"/>
              </w:rPr>
              <w:t>No rounds yet — this Ajo has not been activated</w:t>
            </w:r>
            <w:r>
              <w:rPr>
                <w:rFonts w:ascii="Calibri" w:hAnsi="Calibri"/>
                <w:b w:val="0"/>
                <w:i w:val="0"/>
                <w:color w:val="101828"/>
                <w:sz w:val="14"/>
              </w:rPr>
              <w:t>, which is a different sentence from an empty table.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Per region, contained. A failed ledger export reports against the control and leaves the table intact.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An export reports in place with a link and a note that the file is timestamped and watermarked to the requesting operator.</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Console only. SCR-ADM-05's two-column body becomes one at 1280, economics first. Tables scroll horizontally with frozen identifier columns below 1280.</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Both tables have captions and row and column headers. The roster is a real table with the position as a row header, and the unpaid state is text plus a marker, never colour alone. The ledger tab is a proper tablist. The WARNING region is labelled and in the outline, so an operator can navigate to the shortfall directly.</w:t>
            </w:r>
          </w:p>
        </w:tc>
      </w:tr>
    </w:tbl>
    <w:p>
      <w:pPr>
        <w:spacing w:after="80"/>
      </w:pPr>
    </w:p>
    <w:p>
      <w:pPr>
        <w:pStyle w:val="Heading3"/>
      </w:pPr>
      <w:r>
        <w:rPr>
          <w:rFonts w:ascii="Calibri" w:hAnsi="Calibri"/>
          <w:b/>
          <w:i w:val="0"/>
          <w:color w:val="0B1F3A"/>
          <w:sz w:val="24"/>
        </w:rPr>
        <w:t>4.23.5 Disputes and the dispute workspace — SCR-ADM-06, SCR-ADM-07</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526"/>
            <w:shd w:val="clear" w:color="auto" w:fill="0B1F3A"/>
            <w:tcMar>
              <w:top w:w="60" w:type="dxa"/>
              <w:start w:w="110" w:type="dxa"/>
              <w:bottom w:w="60" w:type="dxa"/>
              <w:end w:w="110" w:type="dxa"/>
            </w:tcMar>
          </w:tcPr>
          <w:p>
            <w:pPr>
              <w:spacing w:after="0"/>
            </w:pPr>
            <w:r/>
            <w:r>
              <w:rPr>
                <w:rFonts w:ascii="Calibri" w:hAnsi="Calibri"/>
                <w:b/>
                <w:i w:val="0"/>
                <w:color w:val="FFFFFF"/>
                <w:sz w:val="14"/>
              </w:rPr>
              <w:t>Aspect</w:t>
            </w:r>
          </w:p>
        </w:tc>
        <w:tc>
          <w:tcPr>
            <w:tcW w:type="dxa" w:w="7834"/>
            <w:shd w:val="clear" w:color="auto" w:fill="0B1F3A"/>
            <w:tcMar>
              <w:top w:w="60" w:type="dxa"/>
              <w:start w:w="110" w:type="dxa"/>
              <w:bottom w:w="60" w:type="dxa"/>
              <w:end w:w="110" w:type="dxa"/>
            </w:tcMar>
          </w:tcPr>
          <w:p>
            <w:pPr>
              <w:spacing w:after="0"/>
            </w:pPr>
            <w:r/>
            <w:r>
              <w:rPr>
                <w:rFonts w:ascii="Calibri" w:hAnsi="Calibri"/>
                <w:b/>
                <w:i w:val="0"/>
                <w:color w:val="FFFFFF"/>
                <w:sz w:val="14"/>
              </w:rPr>
              <w:t>Specification</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Purpose</w:t>
            </w:r>
          </w:p>
        </w:tc>
        <w:tc>
          <w:tcPr>
            <w:tcW w:type="dxa" w:w="7834"/>
            <w:tcMar>
              <w:top w:w="60" w:type="dxa"/>
              <w:start w:w="110" w:type="dxa"/>
              <w:bottom w:w="60" w:type="dxa"/>
              <w:end w:w="110" w:type="dxa"/>
            </w:tcMar>
          </w:tcPr>
          <w:p>
            <w:pPr>
              <w:spacing w:after="0"/>
            </w:pPr>
            <w:r/>
            <w:r>
              <w:rPr>
                <w:rFonts w:ascii="Calibri" w:hAnsi="Calibri"/>
                <w:b w:val="0"/>
                <w:i w:val="0"/>
                <w:color w:val="101828"/>
                <w:sz w:val="14"/>
              </w:rPr>
              <w:t>SCR-ADM-06: get a case to the right person, oldest first, with the waiting time visible. SCR-ADM-07: let an authorised operator reach a decision on one case with the whole record in front of them, and record why.</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Target user</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A support or dispute officer, working a queue, who must be able to reach a defensible decision in minutes and whose decisions will be reviewed later by somebody else.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Layout</w:t>
            </w:r>
          </w:p>
        </w:tc>
        <w:tc>
          <w:tcPr>
            <w:tcW w:type="dxa" w:w="7834"/>
            <w:tcMar>
              <w:top w:w="60" w:type="dxa"/>
              <w:start w:w="110" w:type="dxa"/>
              <w:bottom w:w="60" w:type="dxa"/>
              <w:end w:w="110" w:type="dxa"/>
            </w:tcMar>
          </w:tcPr>
          <w:p>
            <w:pPr>
              <w:spacing w:after="0"/>
            </w:pPr>
            <w:r/>
            <w:r>
              <w:rPr>
                <w:rFonts w:ascii="Calibri" w:hAnsi="Calibri"/>
                <w:b w:val="0"/>
                <w:i w:val="0"/>
                <w:color w:val="101828"/>
                <w:sz w:val="14"/>
              </w:rPr>
              <w:t>SCR-ADM-06: a queue table filling the height, sorted by age descending, with the wait in days as a column. SCR-ADM-07: a three-column body at 1440 — the case record and thread on the left, the related money record in the middle, the decision region on the right — collapsing to one column at 1024 with the decision region last.</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Components</w:t>
            </w:r>
          </w:p>
        </w:tc>
        <w:tc>
          <w:tcPr>
            <w:tcW w:type="dxa" w:w="7834"/>
            <w:tcMar>
              <w:top w:w="60" w:type="dxa"/>
              <w:start w:w="110" w:type="dxa"/>
              <w:bottom w:w="60" w:type="dxa"/>
              <w:end w:w="110" w:type="dxa"/>
            </w:tcMar>
            <w:shd w:val="clear" w:color="auto" w:fill="F4F7FB"/>
          </w:tcPr>
          <w:p>
            <w:pPr>
              <w:spacing w:after="0"/>
            </w:pPr>
            <w:r/>
            <w:r>
              <w:rPr>
                <w:rFonts w:ascii="Consolas" w:hAnsi="Consolas"/>
                <w:color w:val="146EF5"/>
                <w:sz w:val="14"/>
              </w:rPr>
              <w:t>Table</w:t>
            </w:r>
            <w:r>
              <w:rPr>
                <w:rFonts w:ascii="Calibri" w:hAnsi="Calibri"/>
                <w:b w:val="0"/>
                <w:i w:val="0"/>
                <w:color w:val="101828"/>
                <w:sz w:val="14"/>
              </w:rPr>
              <w:t xml:space="preserve"> (queue), </w:t>
            </w:r>
            <w:r>
              <w:rPr>
                <w:rFonts w:ascii="Consolas" w:hAnsi="Consolas"/>
                <w:color w:val="146EF5"/>
                <w:sz w:val="14"/>
              </w:rPr>
              <w:t>Thread</w:t>
            </w:r>
            <w:r>
              <w:rPr>
                <w:rFonts w:ascii="Calibri" w:hAnsi="Calibri"/>
                <w:b w:val="0"/>
                <w:i w:val="0"/>
                <w:color w:val="101828"/>
                <w:sz w:val="14"/>
              </w:rPr>
              <w:t xml:space="preserve">, </w:t>
            </w:r>
            <w:r>
              <w:rPr>
                <w:rFonts w:ascii="Consolas" w:hAnsi="Consolas"/>
                <w:color w:val="146EF5"/>
                <w:sz w:val="14"/>
              </w:rPr>
              <w:t>Table</w:t>
            </w:r>
            <w:r>
              <w:rPr>
                <w:rFonts w:ascii="Calibri" w:hAnsi="Calibri"/>
                <w:b w:val="0"/>
                <w:i w:val="0"/>
                <w:color w:val="101828"/>
                <w:sz w:val="14"/>
              </w:rPr>
              <w:t xml:space="preserve"> (related record), </w:t>
            </w:r>
            <w:r>
              <w:rPr>
                <w:rFonts w:ascii="Consolas" w:hAnsi="Consolas"/>
                <w:color w:val="146EF5"/>
                <w:sz w:val="14"/>
              </w:rPr>
              <w:t>DecisionPanel</w:t>
            </w:r>
            <w:r>
              <w:rPr>
                <w:rFonts w:ascii="Calibri" w:hAnsi="Calibri"/>
                <w:b w:val="0"/>
                <w:i w:val="0"/>
                <w:color w:val="101828"/>
                <w:sz w:val="14"/>
              </w:rPr>
              <w:t xml:space="preserve">, </w:t>
            </w:r>
            <w:r>
              <w:rPr>
                <w:rFonts w:ascii="Consolas" w:hAnsi="Consolas"/>
                <w:color w:val="146EF5"/>
                <w:sz w:val="14"/>
              </w:rPr>
              <w:t>ReasonSelect</w:t>
            </w:r>
            <w:r>
              <w:rPr>
                <w:rFonts w:ascii="Calibri" w:hAnsi="Calibri"/>
                <w:b w:val="0"/>
                <w:i w:val="0"/>
                <w:color w:val="101828"/>
                <w:sz w:val="14"/>
              </w:rPr>
              <w:t xml:space="preserve">, </w:t>
            </w:r>
            <w:r>
              <w:rPr>
                <w:rFonts w:ascii="Consolas" w:hAnsi="Consolas"/>
                <w:color w:val="146EF5"/>
                <w:sz w:val="14"/>
              </w:rPr>
              <w:t>TextArea</w:t>
            </w:r>
            <w:r>
              <w:rPr>
                <w:rFonts w:ascii="Calibri" w:hAnsi="Calibri"/>
                <w:b w:val="0"/>
                <w:i w:val="0"/>
                <w:color w:val="101828"/>
                <w:sz w:val="14"/>
              </w:rPr>
              <w:t xml:space="preserve"> (note to parties), </w:t>
            </w:r>
            <w:r>
              <w:rPr>
                <w:rFonts w:ascii="Consolas" w:hAnsi="Consolas"/>
                <w:color w:val="146EF5"/>
                <w:sz w:val="14"/>
              </w:rPr>
              <w:t>Button</w:t>
            </w:r>
            <w:r>
              <w:rPr>
                <w:rFonts w:ascii="Calibri" w:hAnsi="Calibri"/>
                <w:b w:val="0"/>
                <w:i w:val="0"/>
                <w:color w:val="101828"/>
                <w:sz w:val="14"/>
              </w:rPr>
              <w:t xml:space="preserve"> (primary and secondary and danger), </w:t>
            </w:r>
            <w:r>
              <w:rPr>
                <w:rFonts w:ascii="Consolas" w:hAnsi="Consolas"/>
                <w:color w:val="146EF5"/>
                <w:sz w:val="14"/>
              </w:rPr>
              <w:t>Callout</w:t>
            </w:r>
            <w:r>
              <w:rPr>
                <w:rFonts w:ascii="Calibri" w:hAnsi="Calibri"/>
                <w:b w:val="0"/>
                <w:i w:val="0"/>
                <w:color w:val="101828"/>
                <w:sz w:val="14"/>
              </w:rPr>
              <w:t xml:space="preserve"> (WARNING).</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7834"/>
            <w:tcMar>
              <w:top w:w="60" w:type="dxa"/>
              <w:start w:w="110" w:type="dxa"/>
              <w:bottom w:w="60" w:type="dxa"/>
              <w:end w:w="110" w:type="dxa"/>
            </w:tcMar>
          </w:tcPr>
          <w:p>
            <w:pPr>
              <w:spacing w:after="0"/>
            </w:pPr>
            <w:r/>
            <w:r>
              <w:rPr>
                <w:rFonts w:ascii="Calibri" w:hAnsi="Calibri"/>
                <w:b w:val="0"/>
                <w:i w:val="0"/>
                <w:color w:val="101828"/>
                <w:sz w:val="14"/>
              </w:rPr>
              <w:t>SCR-ADM-06 is the console's dispute destination and the target of SCR-ADM-01's first block. SCR-ADM-07 is reached by row selection and by direct link from a notification.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CTA</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SCR-ADM-07 only, and it is the decision: </w:t>
            </w:r>
            <w:r>
              <w:rPr>
                <w:rFonts w:ascii="Calibri" w:hAnsi="Calibri"/>
                <w:i/>
                <w:color w:val="101828"/>
                <w:sz w:val="14"/>
              </w:rPr>
              <w:t>Record the decision</w:t>
            </w:r>
            <w:r>
              <w:rPr>
                <w:rFonts w:ascii="Calibri" w:hAnsi="Calibri"/>
                <w:b w:val="0"/>
                <w:i w:val="0"/>
                <w:color w:val="101828"/>
                <w:sz w:val="14"/>
              </w:rPr>
              <w:t xml:space="preserve">. </w:t>
            </w:r>
            <w:r>
              <w:rPr>
                <w:rFonts w:ascii="Calibri" w:hAnsi="Calibri"/>
                <w:b/>
                <w:color w:val="101828"/>
                <w:sz w:val="14"/>
              </w:rPr>
              <w:t>It is enabled only once a reason has been chosen and a note has been written</w:t>
            </w:r>
            <w:r>
              <w:rPr>
                <w:rFonts w:ascii="Calibri" w:hAnsi="Calibri"/>
                <w:b w:val="0"/>
                <w:i w:val="0"/>
                <w:color w:val="101828"/>
                <w:sz w:val="14"/>
              </w:rPr>
              <w:t xml:space="preserve">, and the button's label always names the decision — </w:t>
            </w:r>
            <w:r>
              <w:rPr>
                <w:rFonts w:ascii="Calibri" w:hAnsi="Calibri"/>
                <w:i/>
                <w:color w:val="101828"/>
                <w:sz w:val="14"/>
              </w:rPr>
              <w:t>Resolve in the member's favour</w:t>
            </w:r>
            <w:r>
              <w:rPr>
                <w:rFonts w:ascii="Calibri" w:hAnsi="Calibri"/>
                <w:b w:val="0"/>
                <w:i w:val="0"/>
                <w:color w:val="101828"/>
                <w:sz w:val="14"/>
              </w:rPr>
              <w:t xml:space="preserve">, </w:t>
            </w:r>
            <w:r>
              <w:rPr>
                <w:rFonts w:ascii="Calibri" w:hAnsi="Calibri"/>
                <w:i/>
                <w:color w:val="101828"/>
                <w:sz w:val="14"/>
              </w:rPr>
              <w:t>Resolve against the member</w:t>
            </w:r>
            <w:r>
              <w:rPr>
                <w:rFonts w:ascii="Calibri" w:hAnsi="Calibri"/>
                <w:b w:val="0"/>
                <w:i w:val="0"/>
                <w:color w:val="101828"/>
                <w:sz w:val="14"/>
              </w:rPr>
              <w:t xml:space="preserve">, </w:t>
            </w:r>
            <w:r>
              <w:rPr>
                <w:rFonts w:ascii="Calibri" w:hAnsi="Calibri"/>
                <w:i/>
                <w:color w:val="101828"/>
                <w:sz w:val="14"/>
              </w:rPr>
              <w:t>Request more information</w:t>
            </w:r>
            <w:r>
              <w:rPr>
                <w:rFonts w:ascii="Calibri" w:hAnsi="Calibri"/>
                <w:b w:val="0"/>
                <w:i w:val="0"/>
                <w:color w:val="101828"/>
                <w:sz w:val="14"/>
              </w:rPr>
              <w:t xml:space="preserve"> — so no decision is ever recorded as </w:t>
            </w:r>
            <w:r>
              <w:rPr>
                <w:rFonts w:ascii="Calibri" w:hAnsi="Calibri"/>
                <w:i/>
                <w:color w:val="101828"/>
                <w:sz w:val="14"/>
              </w:rPr>
              <w:t>Submit</w:t>
            </w:r>
            <w:r>
              <w:rPr>
                <w:rFonts w:ascii="Calibri" w:hAnsi="Calibri"/>
                <w:b w:val="0"/>
                <w:i w:val="0"/>
                <w:color w:val="101828"/>
                <w:sz w:val="14"/>
              </w:rPr>
              <w: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Secondary CTA</w:t>
            </w:r>
          </w:p>
        </w:tc>
        <w:tc>
          <w:tcPr>
            <w:tcW w:type="dxa" w:w="7834"/>
            <w:tcMar>
              <w:top w:w="60" w:type="dxa"/>
              <w:start w:w="110" w:type="dxa"/>
              <w:bottom w:w="60" w:type="dxa"/>
              <w:end w:w="110" w:type="dxa"/>
            </w:tcMar>
          </w:tcPr>
          <w:p>
            <w:pPr>
              <w:spacing w:after="0"/>
            </w:pPr>
            <w:r/>
            <w:r>
              <w:rPr>
                <w:rFonts w:ascii="Calibri" w:hAnsi="Calibri"/>
                <w:i/>
                <w:color w:val="101828"/>
                <w:sz w:val="14"/>
              </w:rPr>
              <w:t>Request more information</w:t>
            </w:r>
            <w:r>
              <w:rPr>
                <w:rFonts w:ascii="Calibri" w:hAnsi="Calibri"/>
                <w:b w:val="0"/>
                <w:i w:val="0"/>
                <w:color w:val="101828"/>
                <w:sz w:val="14"/>
              </w:rPr>
              <w:t xml:space="preserve"> (secondary outlined) where that is a possible outcome, </w:t>
            </w:r>
            <w:r>
              <w:rPr>
                <w:rFonts w:ascii="Calibri" w:hAnsi="Calibri"/>
                <w:i/>
                <w:color w:val="101828"/>
                <w:sz w:val="14"/>
              </w:rPr>
              <w:t>Add an internal note</w:t>
            </w:r>
            <w:r>
              <w:rPr>
                <w:rFonts w:ascii="Calibri" w:hAnsi="Calibri"/>
                <w:b w:val="0"/>
                <w:i w:val="0"/>
                <w:color w:val="101828"/>
                <w:sz w:val="14"/>
              </w:rPr>
              <w:t xml:space="preserve"> (secondary outlined, never visible to a party), and </w:t>
            </w:r>
            <w:r>
              <w:rPr>
                <w:rFonts w:ascii="Calibri" w:hAnsi="Calibri"/>
                <w:i/>
                <w:color w:val="101828"/>
                <w:sz w:val="14"/>
              </w:rPr>
              <w:t>Escalate</w:t>
            </w:r>
            <w:r>
              <w:rPr>
                <w:rFonts w:ascii="Calibri" w:hAnsi="Calibri"/>
                <w:b w:val="0"/>
                <w:i w:val="0"/>
                <w:color w:val="101828"/>
                <w:sz w:val="14"/>
              </w:rPr>
              <w:t xml:space="preserve"> (tertiary, with a recorded reason).</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Content</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SCR-ADM-07 shows, in one view: the case as the member wrote it, every message from both parties with author roles, the related obligation or payout with its full money record, the member's history in this Ajo, the Ajo's state, and the prior cases between the same parties. A WARNING region states the decision's effect on the money explicitly, in words and figures, </w:t>
            </w:r>
            <w:r>
              <w:rPr>
                <w:rFonts w:ascii="Calibri" w:hAnsi="Calibri"/>
                <w:b/>
                <w:color w:val="101828"/>
                <w:sz w:val="14"/>
              </w:rPr>
              <w:t>before</w:t>
            </w:r>
            <w:r>
              <w:rPr>
                <w:rFonts w:ascii="Calibri" w:hAnsi="Calibri"/>
                <w:b w:val="0"/>
                <w:i w:val="0"/>
                <w:color w:val="101828"/>
                <w:sz w:val="14"/>
              </w:rPr>
              <w:t xml:space="preserve"> the decision control: </w:t>
            </w:r>
            <w:r>
              <w:rPr>
                <w:rFonts w:ascii="Calibri" w:hAnsi="Calibri"/>
                <w:i/>
                <w:color w:val="101828"/>
                <w:sz w:val="14"/>
              </w:rPr>
              <w:t>This resolves the case and refunds NGN 1,020.00 to the member, taken from the round. The round will then be NGN 200.00 short and the recipient will be paid NGN 9,800.00 unless another member's contribution is recovered.</w:t>
            </w:r>
            <w:r>
              <w:rPr>
                <w:rFonts w:ascii="Calibri" w:hAnsi="Calibri"/>
                <w:b w:val="0"/>
                <w:i w:val="0"/>
                <w:color w:val="101828"/>
                <w:sz w:val="14"/>
              </w:rPr>
              <w:t xml:space="preserve"> A decision that changes a payout says so in the same sentence.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Form fields</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Reason, a select of the allowed reasons per decision type, required and closed-ended. Note to parties, a textarea, 20 to 2,000 characters, required, and </w:t>
            </w:r>
            <w:r>
              <w:rPr>
                <w:rFonts w:ascii="Calibri" w:hAnsi="Calibri"/>
                <w:b/>
                <w:color w:val="101828"/>
                <w:sz w:val="14"/>
              </w:rPr>
              <w:t>every word of it is read by the parties, which the label says</w:t>
            </w:r>
            <w:r>
              <w:rPr>
                <w:rFonts w:ascii="Calibri" w:hAnsi="Calibri"/>
                <w:b w:val="0"/>
                <w:i w:val="0"/>
                <w:color w:val="101828"/>
                <w:sz w:val="14"/>
              </w:rPr>
              <w:t>. Internal note, a textarea, optional, never rendered in the member application under any circumstance.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Validation rules</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decision cannot be recorded without a reason from the list, because free-text reasons cannot be counted or reviewed. </w:t>
            </w:r>
            <w:r>
              <w:rPr>
                <w:rFonts w:ascii="Calibri" w:hAnsi="Calibri"/>
                <w:b/>
                <w:color w:val="101828"/>
                <w:sz w:val="14"/>
              </w:rPr>
              <w:t>A reason cannot be edited after the decision is recorded</w:t>
            </w:r>
            <w:r>
              <w:rPr>
                <w:rFonts w:ascii="Calibri" w:hAnsi="Calibri"/>
                <w:b w:val="0"/>
                <w:i w:val="0"/>
                <w:color w:val="101828"/>
                <w:sz w:val="14"/>
              </w:rPr>
              <w:t>, and the interface never offers the control. A member-supplied payment is rejected; an operator cannot resolve a case by entering a figure.</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Loading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The queue table and the workspace's three regions resolve independently, and the decision region is inert until the case and the related record have both loaded, because a decision taken against a half-loaded record is unreviewable.</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SCR-ADM-06: </w:t>
            </w:r>
            <w:r>
              <w:rPr>
                <w:rFonts w:ascii="Calibri" w:hAnsi="Calibri"/>
                <w:i/>
                <w:color w:val="101828"/>
                <w:sz w:val="14"/>
              </w:rPr>
              <w:t>No open cases</w:t>
            </w:r>
            <w:r>
              <w:rPr>
                <w:rFonts w:ascii="Calibri" w:hAnsi="Calibri"/>
                <w:b w:val="0"/>
                <w:i w:val="0"/>
                <w:color w:val="101828"/>
                <w:sz w:val="14"/>
              </w:rPr>
              <w:t>, which is the desired state of a queue and is shown as such. SCR-ADM-07: a case with no messages yet shows that fact; a case with no related record — which happens when the item was deleted by a documented retention process — states that explicitly rather than showing a blank panel.</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Error state</w:t>
            </w:r>
          </w:p>
        </w:tc>
        <w:tc>
          <w:tcPr>
            <w:tcW w:type="dxa" w:w="7834"/>
            <w:tcMar>
              <w:top w:w="60" w:type="dxa"/>
              <w:start w:w="110" w:type="dxa"/>
              <w:bottom w:w="60" w:type="dxa"/>
              <w:end w:w="110" w:type="dxa"/>
            </w:tcMar>
          </w:tcPr>
          <w:p>
            <w:pPr>
              <w:spacing w:after="0"/>
            </w:pPr>
            <w:r/>
            <w:r>
              <w:rPr>
                <w:rFonts w:ascii="Calibri" w:hAnsi="Calibri"/>
                <w:b w:val="0"/>
                <w:i w:val="0"/>
                <w:color w:val="101828"/>
                <w:sz w:val="14"/>
              </w:rPr>
              <w:t xml:space="preserve">A failed decision reports against the decision control, preserves the reason and the note, and </w:t>
            </w:r>
            <w:r>
              <w:rPr>
                <w:rFonts w:ascii="Calibri" w:hAnsi="Calibri"/>
                <w:b/>
                <w:color w:val="101828"/>
                <w:sz w:val="14"/>
              </w:rPr>
              <w:t>does not fall back to recording a partial decision</w:t>
            </w:r>
            <w:r>
              <w:rPr>
                <w:rFonts w:ascii="Calibri" w:hAnsi="Calibri"/>
                <w:b w:val="0"/>
                <w:i w:val="0"/>
                <w:color w:val="101828"/>
                <w:sz w:val="14"/>
              </w:rPr>
              <w:t>, because a dispute recorded without its reason is the one artefact in this product that cannot be reconstructed afterwards.</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state</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The case moves to a decided state, the parties are notified with the note, the ledger effect is applied, and the operator is returned to the queue with the case no longer in it.</w:t>
            </w:r>
          </w:p>
        </w:tc>
      </w:tr>
      <w:tr>
        <w:trPr>
          <w:cantSplit/>
        </w:trPr>
        <w:tc>
          <w:tcPr>
            <w:tcW w:type="dxa" w:w="1526"/>
            <w:tcMar>
              <w:top w:w="60" w:type="dxa"/>
              <w:start w:w="110" w:type="dxa"/>
              <w:bottom w:w="60" w:type="dxa"/>
              <w:end w:w="110" w:type="dxa"/>
            </w:tcMar>
          </w:tcPr>
          <w:p>
            <w:pPr>
              <w:spacing w:after="0"/>
            </w:pPr>
            <w:r/>
            <w:r>
              <w:rPr>
                <w:rFonts w:ascii="Calibri" w:hAnsi="Calibri"/>
                <w:b w:val="0"/>
                <w:i w:val="0"/>
                <w:color w:val="101828"/>
                <w:sz w:val="14"/>
              </w:rPr>
              <w:t>Responsive behaviour</w:t>
            </w:r>
          </w:p>
        </w:tc>
        <w:tc>
          <w:tcPr>
            <w:tcW w:type="dxa" w:w="7834"/>
            <w:tcMar>
              <w:top w:w="60" w:type="dxa"/>
              <w:start w:w="110" w:type="dxa"/>
              <w:bottom w:w="60" w:type="dxa"/>
              <w:end w:w="110" w:type="dxa"/>
            </w:tcMar>
          </w:tcPr>
          <w:p>
            <w:pPr>
              <w:spacing w:after="0"/>
            </w:pPr>
            <w:r/>
            <w:r>
              <w:rPr>
                <w:rFonts w:ascii="Calibri" w:hAnsi="Calibri"/>
                <w:b w:val="0"/>
                <w:i w:val="0"/>
                <w:color w:val="101828"/>
                <w:sz w:val="14"/>
              </w:rPr>
              <w:t>Console only. At 1024 the three columns stack in the order record, money, decision, so the decision is never the first thing seen without its context. Textareas and selects are never narrower than 320 px.</w:t>
            </w:r>
          </w:p>
        </w:tc>
      </w:tr>
      <w:tr>
        <w:trPr>
          <w:cantSplit/>
        </w:trPr>
        <w:tc>
          <w:tcPr>
            <w:tcW w:type="dxa" w:w="152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Accessibility</w:t>
            </w:r>
          </w:p>
        </w:tc>
        <w:tc>
          <w:tcPr>
            <w:tcW w:type="dxa" w:w="783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queue table has a caption with the sort and the count, and a row header of the reference. The thread is an ordered list with author roles as headers, and internal notes are marked as such in text for the operator, not by styling. The decision region's </w:t>
            </w:r>
            <w:r>
              <w:rPr>
                <w:rFonts w:ascii="Consolas" w:hAnsi="Consolas"/>
                <w:color w:val="146EF5"/>
                <w:sz w:val="14"/>
              </w:rPr>
              <w:t>aria-describedby</w:t>
            </w:r>
            <w:r>
              <w:rPr>
                <w:rFonts w:ascii="Calibri" w:hAnsi="Calibri"/>
                <w:b w:val="0"/>
                <w:i w:val="0"/>
                <w:color w:val="101828"/>
                <w:sz w:val="14"/>
              </w:rPr>
              <w:t xml:space="preserve"> points at the money-effect warning, so the consequence is read before the control. The reason select is a real labelled select and its options state their effect.</w:t>
            </w:r>
          </w:p>
        </w:tc>
      </w:tr>
    </w:tbl>
    <w:p>
      <w:pPr>
        <w:spacing w:after="80"/>
      </w:pPr>
    </w:p>
    <w:p>
      <w:r>
        <w:br w:type="page"/>
      </w:r>
    </w:p>
    <w:p>
      <w:pPr>
        <w:pStyle w:val="Heading1"/>
        <w:pBdr>
          <w:bottom w:val="single" w:sz="12" w:space="6" w:color="146EF5"/>
        </w:pBdr>
        <w:spacing w:after="240"/>
      </w:pPr>
      <w:r>
        <w:rPr>
          <w:rFonts w:ascii="Calibri" w:hAnsi="Calibri"/>
          <w:b/>
          <w:i w:val="0"/>
          <w:color w:val="0B1F3A"/>
          <w:sz w:val="40"/>
        </w:rPr>
        <w:t>5. Design System — AJO.ng</w:t>
      </w:r>
    </w:p>
    <w:p>
      <w:pPr>
        <w:spacing w:after="200"/>
      </w:pPr>
      <w:r>
        <w:rPr>
          <w:rFonts w:ascii="Calibri" w:hAnsi="Calibri"/>
          <w:b w:val="0"/>
          <w:i w:val="0"/>
          <w:color w:val="475467"/>
          <w:sz w:val="24"/>
        </w:rPr>
        <w:t>One token set and one component language shared by the web application, the mobile application and the admin console. A member who learns the product on a phone should not have to relearn it on a laptop.</w:t>
      </w:r>
    </w:p>
    <w:p>
      <w:pPr>
        <w:pStyle w:val="Heading2"/>
      </w:pPr>
      <w:r>
        <w:rPr>
          <w:rFonts w:ascii="Calibri" w:hAnsi="Calibri"/>
          <w:b/>
          <w:i w:val="0"/>
          <w:color w:val="146EF5"/>
          <w:sz w:val="29"/>
        </w:rPr>
        <w:t>5.1 Principles</w:t>
      </w:r>
    </w:p>
    <w:p>
      <w:pPr>
        <w:pStyle w:val="ListBullet"/>
        <w:spacing w:after="60"/>
        <w:ind w:left="360"/>
      </w:pPr>
      <w:r>
        <w:rPr>
          <w:rFonts w:ascii="Calibri" w:hAnsi="Calibri"/>
          <w:b/>
          <w:color w:val="101828"/>
          <w:sz w:val="21"/>
        </w:rPr>
        <w:t>Trust is the primary aesthetic.</w:t>
      </w:r>
      <w:r>
        <w:rPr>
          <w:rFonts w:ascii="Calibri" w:hAnsi="Calibri"/>
          <w:b w:val="0"/>
          <w:i w:val="0"/>
          <w:color w:val="101828"/>
          <w:sz w:val="21"/>
        </w:rPr>
        <w:t xml:space="preserve"> A savings product is judged on whether it feels safe, not whether it looks clever. Restraint beats decoration.</w:t>
      </w:r>
    </w:p>
    <w:p>
      <w:pPr>
        <w:pStyle w:val="ListBullet"/>
        <w:spacing w:after="60"/>
        <w:ind w:left="360"/>
      </w:pPr>
      <w:r>
        <w:rPr>
          <w:rFonts w:ascii="Calibri" w:hAnsi="Calibri"/>
          <w:b/>
          <w:color w:val="101828"/>
          <w:sz w:val="21"/>
        </w:rPr>
        <w:t>Numbers first.</w:t>
      </w:r>
      <w:r>
        <w:rPr>
          <w:rFonts w:ascii="Calibri" w:hAnsi="Calibri"/>
          <w:b w:val="0"/>
          <w:i w:val="0"/>
          <w:color w:val="101828"/>
          <w:sz w:val="21"/>
        </w:rPr>
        <w:t xml:space="preserve"> Money is the content. Typography, spacing and colour serve legibility of a figure, not the other way round.</w:t>
      </w:r>
    </w:p>
    <w:p>
      <w:pPr>
        <w:pStyle w:val="ListBullet"/>
        <w:spacing w:after="60"/>
        <w:ind w:left="360"/>
      </w:pPr>
      <w:r>
        <w:rPr>
          <w:rFonts w:ascii="Calibri" w:hAnsi="Calibri"/>
          <w:b/>
          <w:color w:val="101828"/>
          <w:sz w:val="21"/>
        </w:rPr>
        <w:t>Never hide the mechanism.</w:t>
      </w:r>
      <w:r>
        <w:rPr>
          <w:rFonts w:ascii="Calibri" w:hAnsi="Calibri"/>
          <w:b w:val="0"/>
          <w:i w:val="0"/>
          <w:color w:val="101828"/>
          <w:sz w:val="21"/>
        </w:rPr>
        <w:t xml:space="preserve"> The 2% fee, the payout order and the enrollment deadline are always visible, never buried in a disclosure the member must hunt for.</w:t>
      </w:r>
    </w:p>
    <w:p>
      <w:pPr>
        <w:pStyle w:val="ListBullet"/>
        <w:spacing w:after="60"/>
        <w:ind w:left="360"/>
      </w:pPr>
      <w:r>
        <w:rPr>
          <w:rFonts w:ascii="Calibri" w:hAnsi="Calibri"/>
          <w:b/>
          <w:color w:val="101828"/>
          <w:sz w:val="21"/>
        </w:rPr>
        <w:t>One meaning per colour.</w:t>
      </w:r>
      <w:r>
        <w:rPr>
          <w:rFonts w:ascii="Calibri" w:hAnsi="Calibri"/>
          <w:b w:val="0"/>
          <w:i w:val="0"/>
          <w:color w:val="101828"/>
          <w:sz w:val="21"/>
        </w:rPr>
        <w:t xml:space="preserve"> Green is only ever settled money. Gold is only ever an imminent payout. A member who learns three signals keeps them.</w:t>
      </w:r>
    </w:p>
    <w:p>
      <w:pPr>
        <w:pStyle w:val="ListBullet"/>
        <w:spacing w:after="60"/>
        <w:ind w:left="360"/>
      </w:pPr>
      <w:r>
        <w:rPr>
          <w:rFonts w:ascii="Calibri" w:hAnsi="Calibri"/>
          <w:b/>
          <w:color w:val="101828"/>
          <w:sz w:val="21"/>
        </w:rPr>
        <w:t>Accessible by construction.</w:t>
      </w:r>
      <w:r>
        <w:rPr>
          <w:rFonts w:ascii="Calibri" w:hAnsi="Calibri"/>
          <w:b w:val="0"/>
          <w:i w:val="0"/>
          <w:color w:val="101828"/>
          <w:sz w:val="21"/>
        </w:rPr>
        <w:t xml:space="preserve"> Contrast, focus and target size are token-level constraints, not per-screen judgement calls.</w:t>
      </w:r>
    </w:p>
    <w:p>
      <w:pPr>
        <w:pStyle w:val="ListBullet"/>
        <w:spacing w:after="60"/>
        <w:ind w:left="360"/>
      </w:pPr>
      <w:r>
        <w:rPr>
          <w:rFonts w:ascii="Calibri" w:hAnsi="Calibri"/>
          <w:b/>
          <w:color w:val="101828"/>
          <w:sz w:val="21"/>
        </w:rPr>
        <w:t>Consistent across platforms.</w:t>
      </w:r>
      <w:r>
        <w:rPr>
          <w:rFonts w:ascii="Calibri" w:hAnsi="Calibri"/>
          <w:b w:val="0"/>
          <w:i w:val="0"/>
          <w:color w:val="101828"/>
          <w:sz w:val="21"/>
        </w:rPr>
        <w:t xml:space="preserve"> The same token resolves to the same value on web, mobile and admin.</w:t>
      </w:r>
    </w:p>
    <w:p>
      <w:pPr>
        <w:pStyle w:val="Heading2"/>
      </w:pPr>
      <w:r>
        <w:rPr>
          <w:rFonts w:ascii="Calibri" w:hAnsi="Calibri"/>
          <w:b/>
          <w:i w:val="0"/>
          <w:color w:val="146EF5"/>
          <w:sz w:val="29"/>
        </w:rPr>
        <w:t>5.2 Colour tokens</w:t>
      </w:r>
    </w:p>
    <w:p>
      <w:r>
        <w:rPr>
          <w:rFonts w:ascii="Calibri" w:hAnsi="Calibri"/>
          <w:b w:val="0"/>
          <w:i w:val="0"/>
          <w:color w:val="101828"/>
          <w:sz w:val="21"/>
        </w:rPr>
        <w:t>The seven brand colours below are fixed and were supplied by the founders. Everything after this table is derived from them.</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1080"/>
            <w:shd w:val="clear" w:color="auto" w:fill="0B1F3A"/>
            <w:tcMar>
              <w:top w:w="60" w:type="dxa"/>
              <w:start w:w="110" w:type="dxa"/>
              <w:bottom w:w="60" w:type="dxa"/>
              <w:end w:w="110" w:type="dxa"/>
            </w:tcMar>
          </w:tcPr>
          <w:p>
            <w:pPr>
              <w:spacing w:after="0"/>
            </w:pPr>
            <w:r/>
            <w:r>
              <w:rPr>
                <w:rFonts w:ascii="Calibri" w:hAnsi="Calibri"/>
                <w:b/>
                <w:i w:val="0"/>
                <w:color w:val="FFFFFF"/>
                <w:sz w:val="16"/>
              </w:rPr>
              <w:t>Token</w:t>
            </w:r>
          </w:p>
        </w:tc>
        <w:tc>
          <w:tcPr>
            <w:tcW w:type="dxa" w:w="1080"/>
            <w:shd w:val="clear" w:color="auto" w:fill="0B1F3A"/>
            <w:tcMar>
              <w:top w:w="60" w:type="dxa"/>
              <w:start w:w="110" w:type="dxa"/>
              <w:bottom w:w="60" w:type="dxa"/>
              <w:end w:w="110" w:type="dxa"/>
            </w:tcMar>
          </w:tcPr>
          <w:p>
            <w:pPr>
              <w:spacing w:after="0"/>
            </w:pPr>
            <w:r/>
            <w:r>
              <w:rPr>
                <w:rFonts w:ascii="Calibri" w:hAnsi="Calibri"/>
                <w:b/>
                <w:i w:val="0"/>
                <w:color w:val="FFFFFF"/>
                <w:sz w:val="16"/>
              </w:rPr>
              <w:t>Hex</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Role</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Primary usage</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Contrast on white</w:t>
            </w:r>
          </w:p>
        </w:tc>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Do not use for</w:t>
            </w:r>
          </w:p>
        </w:tc>
      </w:tr>
      <w:tr>
        <w:trPr>
          <w:cantSplit/>
        </w:trPr>
        <w:tc>
          <w:tcPr>
            <w:tcW w:type="dxa" w:w="1080"/>
            <w:tcMar>
              <w:top w:w="60" w:type="dxa"/>
              <w:start w:w="110" w:type="dxa"/>
              <w:bottom w:w="60" w:type="dxa"/>
              <w:end w:w="110" w:type="dxa"/>
            </w:tcMar>
          </w:tcPr>
          <w:p>
            <w:pPr>
              <w:spacing w:after="0"/>
            </w:pPr>
            <w:r/>
            <w:r>
              <w:rPr>
                <w:rFonts w:ascii="Calibri" w:hAnsi="Calibri"/>
                <w:b w:val="0"/>
                <w:i w:val="0"/>
                <w:color w:val="101828"/>
                <w:sz w:val="16"/>
              </w:rPr>
              <w:t>Deep</w:t>
            </w:r>
          </w:p>
        </w:tc>
        <w:tc>
          <w:tcPr>
            <w:tcW w:type="dxa" w:w="1080"/>
            <w:tcMar>
              <w:top w:w="60" w:type="dxa"/>
              <w:start w:w="110" w:type="dxa"/>
              <w:bottom w:w="60" w:type="dxa"/>
              <w:end w:w="110" w:type="dxa"/>
            </w:tcMar>
          </w:tcPr>
          <w:p>
            <w:pPr>
              <w:spacing w:after="0"/>
            </w:pPr>
            <w:r/>
            <w:r>
              <w:rPr>
                <w:rFonts w:ascii="Calibri" w:hAnsi="Calibri"/>
                <w:b w:val="0"/>
                <w:i w:val="0"/>
                <w:color w:val="101828"/>
                <w:sz w:val="16"/>
              </w:rPr>
              <w:t>#0B1F3A</w:t>
            </w:r>
          </w:p>
        </w:tc>
        <w:tc>
          <w:tcPr>
            <w:tcW w:type="dxa" w:w="1296"/>
            <w:tcMar>
              <w:top w:w="60" w:type="dxa"/>
              <w:start w:w="110" w:type="dxa"/>
              <w:bottom w:w="60" w:type="dxa"/>
              <w:end w:w="110" w:type="dxa"/>
            </w:tcMar>
          </w:tcPr>
          <w:p>
            <w:pPr>
              <w:spacing w:after="0"/>
            </w:pPr>
            <w:r/>
            <w:r>
              <w:rPr>
                <w:rFonts w:ascii="Calibri" w:hAnsi="Calibri"/>
                <w:b w:val="0"/>
                <w:i w:val="0"/>
                <w:color w:val="101828"/>
                <w:sz w:val="16"/>
              </w:rPr>
              <w:t>Brand anchor</w:t>
            </w:r>
          </w:p>
        </w:tc>
        <w:tc>
          <w:tcPr>
            <w:tcW w:type="dxa" w:w="2736"/>
            <w:tcMar>
              <w:top w:w="60" w:type="dxa"/>
              <w:start w:w="110" w:type="dxa"/>
              <w:bottom w:w="60" w:type="dxa"/>
              <w:end w:w="110" w:type="dxa"/>
            </w:tcMar>
          </w:tcPr>
          <w:p>
            <w:pPr>
              <w:spacing w:after="0"/>
            </w:pPr>
            <w:r/>
            <w:r>
              <w:rPr>
                <w:rFonts w:ascii="Calibri" w:hAnsi="Calibri"/>
                <w:b w:val="0"/>
                <w:i w:val="0"/>
                <w:color w:val="101828"/>
                <w:sz w:val="16"/>
              </w:rPr>
              <w:t>H1 headings, dark surfaces, hero bands, admin sidebar</w:t>
            </w:r>
          </w:p>
        </w:tc>
        <w:tc>
          <w:tcPr>
            <w:tcW w:type="dxa" w:w="1296"/>
            <w:tcMar>
              <w:top w:w="60" w:type="dxa"/>
              <w:start w:w="110" w:type="dxa"/>
              <w:bottom w:w="60" w:type="dxa"/>
              <w:end w:w="110" w:type="dxa"/>
            </w:tcMar>
          </w:tcPr>
          <w:p>
            <w:pPr>
              <w:spacing w:after="0"/>
            </w:pPr>
            <w:r/>
            <w:r>
              <w:rPr>
                <w:rFonts w:ascii="Calibri" w:hAnsi="Calibri"/>
                <w:b w:val="0"/>
                <w:i w:val="0"/>
                <w:color w:val="101828"/>
                <w:sz w:val="16"/>
              </w:rPr>
              <w:t>15.9:1</w:t>
            </w:r>
          </w:p>
        </w:tc>
        <w:tc>
          <w:tcPr>
            <w:tcW w:type="dxa" w:w="1872"/>
            <w:tcMar>
              <w:top w:w="60" w:type="dxa"/>
              <w:start w:w="110" w:type="dxa"/>
              <w:bottom w:w="60" w:type="dxa"/>
              <w:end w:w="110" w:type="dxa"/>
            </w:tcMar>
          </w:tcPr>
          <w:p>
            <w:pPr>
              <w:spacing w:after="0"/>
            </w:pPr>
            <w:r/>
            <w:r>
              <w:rPr>
                <w:rFonts w:ascii="Calibri" w:hAnsi="Calibri"/>
                <w:b w:val="0"/>
                <w:i w:val="0"/>
                <w:color w:val="101828"/>
                <w:sz w:val="16"/>
              </w:rPr>
              <w:t>Body text on light surfaces at small sizes — use Dark instead</w:t>
            </w:r>
          </w:p>
        </w:tc>
      </w:tr>
      <w:tr>
        <w:trPr>
          <w:cantSplit/>
        </w:trPr>
        <w:tc>
          <w:tcPr>
            <w:tcW w:type="dxa" w:w="1080"/>
            <w:tcMar>
              <w:top w:w="60" w:type="dxa"/>
              <w:start w:w="110" w:type="dxa"/>
              <w:bottom w:w="60" w:type="dxa"/>
              <w:end w:w="110" w:type="dxa"/>
            </w:tcMar>
            <w:shd w:val="clear" w:color="auto" w:fill="F4F7FB"/>
          </w:tcPr>
          <w:p>
            <w:pPr>
              <w:spacing w:after="0"/>
            </w:pPr>
            <w:r/>
            <w:r>
              <w:rPr>
                <w:rFonts w:ascii="Calibri" w:hAnsi="Calibri"/>
                <w:b w:val="0"/>
                <w:i w:val="0"/>
                <w:color w:val="101828"/>
                <w:sz w:val="16"/>
              </w:rPr>
              <w:t>Primary</w:t>
            </w:r>
          </w:p>
        </w:tc>
        <w:tc>
          <w:tcPr>
            <w:tcW w:type="dxa" w:w="1080"/>
            <w:tcMar>
              <w:top w:w="60" w:type="dxa"/>
              <w:start w:w="110" w:type="dxa"/>
              <w:bottom w:w="60" w:type="dxa"/>
              <w:end w:w="110" w:type="dxa"/>
            </w:tcMar>
            <w:shd w:val="clear" w:color="auto" w:fill="F4F7FB"/>
          </w:tcPr>
          <w:p>
            <w:pPr>
              <w:spacing w:after="0"/>
            </w:pPr>
            <w:r/>
            <w:r>
              <w:rPr>
                <w:rFonts w:ascii="Calibri" w:hAnsi="Calibri"/>
                <w:b w:val="0"/>
                <w:i w:val="0"/>
                <w:color w:val="101828"/>
                <w:sz w:val="16"/>
              </w:rPr>
              <w:t>#146EF5</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Primary action</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Primary buttons, active nav, links, H2 headings, data-viz series 1</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4.6:1</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Large blocks of text; body copy fails contrast on white</w:t>
            </w:r>
          </w:p>
        </w:tc>
      </w:tr>
      <w:tr>
        <w:trPr>
          <w:cantSplit/>
        </w:trPr>
        <w:tc>
          <w:tcPr>
            <w:tcW w:type="dxa" w:w="1080"/>
            <w:tcMar>
              <w:top w:w="60" w:type="dxa"/>
              <w:start w:w="110" w:type="dxa"/>
              <w:bottom w:w="60" w:type="dxa"/>
              <w:end w:w="110" w:type="dxa"/>
            </w:tcMar>
          </w:tcPr>
          <w:p>
            <w:pPr>
              <w:spacing w:after="0"/>
            </w:pPr>
            <w:r/>
            <w:r>
              <w:rPr>
                <w:rFonts w:ascii="Calibri" w:hAnsi="Calibri"/>
                <w:b w:val="0"/>
                <w:i w:val="0"/>
                <w:color w:val="101828"/>
                <w:sz w:val="16"/>
              </w:rPr>
              <w:t>Cyan</w:t>
            </w:r>
          </w:p>
        </w:tc>
        <w:tc>
          <w:tcPr>
            <w:tcW w:type="dxa" w:w="1080"/>
            <w:tcMar>
              <w:top w:w="60" w:type="dxa"/>
              <w:start w:w="110" w:type="dxa"/>
              <w:bottom w:w="60" w:type="dxa"/>
              <w:end w:w="110" w:type="dxa"/>
            </w:tcMar>
          </w:tcPr>
          <w:p>
            <w:pPr>
              <w:spacing w:after="0"/>
            </w:pPr>
            <w:r/>
            <w:r>
              <w:rPr>
                <w:rFonts w:ascii="Calibri" w:hAnsi="Calibri"/>
                <w:b w:val="0"/>
                <w:i w:val="0"/>
                <w:color w:val="101828"/>
                <w:sz w:val="16"/>
              </w:rPr>
              <w:t>#22C7D6</w:t>
            </w:r>
          </w:p>
        </w:tc>
        <w:tc>
          <w:tcPr>
            <w:tcW w:type="dxa" w:w="1296"/>
            <w:tcMar>
              <w:top w:w="60" w:type="dxa"/>
              <w:start w:w="110" w:type="dxa"/>
              <w:bottom w:w="60" w:type="dxa"/>
              <w:end w:w="110" w:type="dxa"/>
            </w:tcMar>
          </w:tcPr>
          <w:p>
            <w:pPr>
              <w:spacing w:after="0"/>
            </w:pPr>
            <w:r/>
            <w:r>
              <w:rPr>
                <w:rFonts w:ascii="Calibri" w:hAnsi="Calibri"/>
                <w:b w:val="0"/>
                <w:i w:val="0"/>
                <w:color w:val="101828"/>
                <w:sz w:val="16"/>
              </w:rPr>
              <w:t>Secondary accent</w:t>
            </w:r>
          </w:p>
        </w:tc>
        <w:tc>
          <w:tcPr>
            <w:tcW w:type="dxa" w:w="2736"/>
            <w:tcMar>
              <w:top w:w="60" w:type="dxa"/>
              <w:start w:w="110" w:type="dxa"/>
              <w:bottom w:w="60" w:type="dxa"/>
              <w:end w:w="110" w:type="dxa"/>
            </w:tcMar>
          </w:tcPr>
          <w:p>
            <w:pPr>
              <w:spacing w:after="0"/>
            </w:pPr>
            <w:r/>
            <w:r>
              <w:rPr>
                <w:rFonts w:ascii="Calibri" w:hAnsi="Calibri"/>
                <w:b w:val="0"/>
                <w:i w:val="0"/>
                <w:color w:val="101828"/>
                <w:sz w:val="16"/>
              </w:rPr>
              <w:t>Progress indicators, data-viz series 2, active tab underline, focus ring pair</w:t>
            </w:r>
          </w:p>
        </w:tc>
        <w:tc>
          <w:tcPr>
            <w:tcW w:type="dxa" w:w="1296"/>
            <w:tcMar>
              <w:top w:w="60" w:type="dxa"/>
              <w:start w:w="110" w:type="dxa"/>
              <w:bottom w:w="60" w:type="dxa"/>
              <w:end w:w="110" w:type="dxa"/>
            </w:tcMar>
          </w:tcPr>
          <w:p>
            <w:pPr>
              <w:spacing w:after="0"/>
            </w:pPr>
            <w:r/>
            <w:r>
              <w:rPr>
                <w:rFonts w:ascii="Calibri" w:hAnsi="Calibri"/>
                <w:b w:val="0"/>
                <w:i w:val="0"/>
                <w:color w:val="101828"/>
                <w:sz w:val="16"/>
              </w:rPr>
              <w:t>1.9:1</w:t>
            </w:r>
          </w:p>
        </w:tc>
        <w:tc>
          <w:tcPr>
            <w:tcW w:type="dxa" w:w="1872"/>
            <w:tcMar>
              <w:top w:w="60" w:type="dxa"/>
              <w:start w:w="110" w:type="dxa"/>
              <w:bottom w:w="60" w:type="dxa"/>
              <w:end w:w="110" w:type="dxa"/>
            </w:tcMar>
          </w:tcPr>
          <w:p>
            <w:pPr>
              <w:spacing w:after="0"/>
            </w:pPr>
            <w:r/>
            <w:r>
              <w:rPr>
                <w:rFonts w:ascii="Calibri" w:hAnsi="Calibri"/>
                <w:b w:val="0"/>
                <w:i w:val="0"/>
                <w:color w:val="101828"/>
                <w:sz w:val="16"/>
              </w:rPr>
              <w:t>Text on white — insufficient contrast. Accent fills and shapes only</w:t>
            </w:r>
          </w:p>
        </w:tc>
      </w:tr>
      <w:tr>
        <w:trPr>
          <w:cantSplit/>
        </w:trPr>
        <w:tc>
          <w:tcPr>
            <w:tcW w:type="dxa" w:w="1080"/>
            <w:tcMar>
              <w:top w:w="60" w:type="dxa"/>
              <w:start w:w="110" w:type="dxa"/>
              <w:bottom w:w="60" w:type="dxa"/>
              <w:end w:w="110" w:type="dxa"/>
            </w:tcMar>
            <w:shd w:val="clear" w:color="auto" w:fill="F4F7FB"/>
          </w:tcPr>
          <w:p>
            <w:pPr>
              <w:spacing w:after="0"/>
            </w:pPr>
            <w:r/>
            <w:r>
              <w:rPr>
                <w:rFonts w:ascii="Calibri" w:hAnsi="Calibri"/>
                <w:b w:val="0"/>
                <w:i w:val="0"/>
                <w:color w:val="101828"/>
                <w:sz w:val="16"/>
              </w:rPr>
              <w:t>Gold</w:t>
            </w:r>
          </w:p>
        </w:tc>
        <w:tc>
          <w:tcPr>
            <w:tcW w:type="dxa" w:w="1080"/>
            <w:tcMar>
              <w:top w:w="60" w:type="dxa"/>
              <w:start w:w="110" w:type="dxa"/>
              <w:bottom w:w="60" w:type="dxa"/>
              <w:end w:w="110" w:type="dxa"/>
            </w:tcMar>
            <w:shd w:val="clear" w:color="auto" w:fill="F4F7FB"/>
          </w:tcPr>
          <w:p>
            <w:pPr>
              <w:spacing w:after="0"/>
            </w:pPr>
            <w:r/>
            <w:r>
              <w:rPr>
                <w:rFonts w:ascii="Calibri" w:hAnsi="Calibri"/>
                <w:b w:val="0"/>
                <w:i w:val="0"/>
                <w:color w:val="101828"/>
                <w:sz w:val="16"/>
              </w:rPr>
              <w:t>#FBBF24</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Attention accent</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'Payout imminent', position lock, warning banners, achievement moments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1.7:1</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Text on white. Never the sole carrier of meaning</w:t>
            </w:r>
          </w:p>
        </w:tc>
      </w:tr>
      <w:tr>
        <w:trPr>
          <w:cantSplit/>
        </w:trPr>
        <w:tc>
          <w:tcPr>
            <w:tcW w:type="dxa" w:w="1080"/>
            <w:tcMar>
              <w:top w:w="60" w:type="dxa"/>
              <w:start w:w="110" w:type="dxa"/>
              <w:bottom w:w="60" w:type="dxa"/>
              <w:end w:w="110" w:type="dxa"/>
            </w:tcMar>
          </w:tcPr>
          <w:p>
            <w:pPr>
              <w:spacing w:after="0"/>
            </w:pPr>
            <w:r/>
            <w:r>
              <w:rPr>
                <w:rFonts w:ascii="Calibri" w:hAnsi="Calibri"/>
                <w:b w:val="0"/>
                <w:i w:val="0"/>
                <w:color w:val="101828"/>
                <w:sz w:val="16"/>
              </w:rPr>
              <w:t>White</w:t>
            </w:r>
          </w:p>
        </w:tc>
        <w:tc>
          <w:tcPr>
            <w:tcW w:type="dxa" w:w="1080"/>
            <w:tcMar>
              <w:top w:w="60" w:type="dxa"/>
              <w:start w:w="110" w:type="dxa"/>
              <w:bottom w:w="60" w:type="dxa"/>
              <w:end w:w="110" w:type="dxa"/>
            </w:tcMar>
          </w:tcPr>
          <w:p>
            <w:pPr>
              <w:spacing w:after="0"/>
            </w:pPr>
            <w:r/>
            <w:r>
              <w:rPr>
                <w:rFonts w:ascii="Calibri" w:hAnsi="Calibri"/>
                <w:b w:val="0"/>
                <w:i w:val="0"/>
                <w:color w:val="101828"/>
                <w:sz w:val="16"/>
              </w:rPr>
              <w:t>#FFFFFF</w:t>
            </w:r>
          </w:p>
        </w:tc>
        <w:tc>
          <w:tcPr>
            <w:tcW w:type="dxa" w:w="1296"/>
            <w:tcMar>
              <w:top w:w="60" w:type="dxa"/>
              <w:start w:w="110" w:type="dxa"/>
              <w:bottom w:w="60" w:type="dxa"/>
              <w:end w:w="110" w:type="dxa"/>
            </w:tcMar>
          </w:tcPr>
          <w:p>
            <w:pPr>
              <w:spacing w:after="0"/>
            </w:pPr>
            <w:r/>
            <w:r>
              <w:rPr>
                <w:rFonts w:ascii="Calibri" w:hAnsi="Calibri"/>
                <w:b w:val="0"/>
                <w:i w:val="0"/>
                <w:color w:val="101828"/>
                <w:sz w:val="16"/>
              </w:rPr>
              <w:t>Surface</w:t>
            </w:r>
          </w:p>
        </w:tc>
        <w:tc>
          <w:tcPr>
            <w:tcW w:type="dxa" w:w="2736"/>
            <w:tcMar>
              <w:top w:w="60" w:type="dxa"/>
              <w:start w:w="110" w:type="dxa"/>
              <w:bottom w:w="60" w:type="dxa"/>
              <w:end w:w="110" w:type="dxa"/>
            </w:tcMar>
          </w:tcPr>
          <w:p>
            <w:pPr>
              <w:spacing w:after="0"/>
            </w:pPr>
            <w:r/>
            <w:r>
              <w:rPr>
                <w:rFonts w:ascii="Calibri" w:hAnsi="Calibri"/>
                <w:b w:val="0"/>
                <w:i w:val="0"/>
                <w:color w:val="101828"/>
                <w:sz w:val="16"/>
              </w:rPr>
              <w:t>Cards, page background under Cloud, text on dark surfaces</w:t>
            </w:r>
          </w:p>
        </w:tc>
        <w:tc>
          <w:tcPr>
            <w:tcW w:type="dxa" w:w="1296"/>
            <w:tcMar>
              <w:top w:w="60" w:type="dxa"/>
              <w:start w:w="110" w:type="dxa"/>
              <w:bottom w:w="60" w:type="dxa"/>
              <w:end w:w="110" w:type="dxa"/>
            </w:tcMar>
          </w:tcPr>
          <w:p>
            <w:pPr>
              <w:spacing w:after="0"/>
            </w:pPr>
            <w:r/>
            <w:r>
              <w:rPr>
                <w:rFonts w:ascii="Calibri" w:hAnsi="Calibri"/>
                <w:b w:val="0"/>
                <w:i w:val="0"/>
                <w:color w:val="101828"/>
                <w:sz w:val="16"/>
              </w:rPr>
              <w:t>—</w:t>
            </w:r>
          </w:p>
        </w:tc>
        <w:tc>
          <w:tcPr>
            <w:tcW w:type="dxa" w:w="1872"/>
            <w:tcMar>
              <w:top w:w="60" w:type="dxa"/>
              <w:start w:w="110" w:type="dxa"/>
              <w:bottom w:w="60" w:type="dxa"/>
              <w:end w:w="110" w:type="dxa"/>
            </w:tcMar>
          </w:tcPr>
          <w:p>
            <w:pPr>
              <w:spacing w:after="0"/>
            </w:pPr>
            <w:r/>
            <w:r>
              <w:rPr>
                <w:rFonts w:ascii="Calibri" w:hAnsi="Calibri"/>
                <w:b w:val="0"/>
                <w:i w:val="0"/>
                <w:color w:val="101828"/>
                <w:sz w:val="16"/>
              </w:rPr>
              <w:t>Body text on light surfaces</w:t>
            </w:r>
          </w:p>
        </w:tc>
      </w:tr>
      <w:tr>
        <w:trPr>
          <w:cantSplit/>
        </w:trPr>
        <w:tc>
          <w:tcPr>
            <w:tcW w:type="dxa" w:w="1080"/>
            <w:tcMar>
              <w:top w:w="60" w:type="dxa"/>
              <w:start w:w="110" w:type="dxa"/>
              <w:bottom w:w="60" w:type="dxa"/>
              <w:end w:w="110" w:type="dxa"/>
            </w:tcMar>
            <w:shd w:val="clear" w:color="auto" w:fill="F4F7FB"/>
          </w:tcPr>
          <w:p>
            <w:pPr>
              <w:spacing w:after="0"/>
            </w:pPr>
            <w:r/>
            <w:r>
              <w:rPr>
                <w:rFonts w:ascii="Calibri" w:hAnsi="Calibri"/>
                <w:b w:val="0"/>
                <w:i w:val="0"/>
                <w:color w:val="101828"/>
                <w:sz w:val="16"/>
              </w:rPr>
              <w:t>Cloud</w:t>
            </w:r>
          </w:p>
        </w:tc>
        <w:tc>
          <w:tcPr>
            <w:tcW w:type="dxa" w:w="1080"/>
            <w:tcMar>
              <w:top w:w="60" w:type="dxa"/>
              <w:start w:w="110" w:type="dxa"/>
              <w:bottom w:w="60" w:type="dxa"/>
              <w:end w:w="110" w:type="dxa"/>
            </w:tcMar>
            <w:shd w:val="clear" w:color="auto" w:fill="F4F7FB"/>
          </w:tcPr>
          <w:p>
            <w:pPr>
              <w:spacing w:after="0"/>
            </w:pPr>
            <w:r/>
            <w:r>
              <w:rPr>
                <w:rFonts w:ascii="Calibri" w:hAnsi="Calibri"/>
                <w:b w:val="0"/>
                <w:i w:val="0"/>
                <w:color w:val="101828"/>
                <w:sz w:val="16"/>
              </w:rPr>
              <w:t>#F4F7FB</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Canvas</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Page background, zebra table rows, empty-state panels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1.1:1</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Borders or separators — too low contrast</w:t>
            </w:r>
          </w:p>
        </w:tc>
      </w:tr>
      <w:tr>
        <w:trPr>
          <w:cantSplit/>
        </w:trPr>
        <w:tc>
          <w:tcPr>
            <w:tcW w:type="dxa" w:w="1080"/>
            <w:tcMar>
              <w:top w:w="60" w:type="dxa"/>
              <w:start w:w="110" w:type="dxa"/>
              <w:bottom w:w="60" w:type="dxa"/>
              <w:end w:w="110" w:type="dxa"/>
            </w:tcMar>
          </w:tcPr>
          <w:p>
            <w:pPr>
              <w:spacing w:after="0"/>
            </w:pPr>
            <w:r/>
            <w:r>
              <w:rPr>
                <w:rFonts w:ascii="Calibri" w:hAnsi="Calibri"/>
                <w:b w:val="0"/>
                <w:i w:val="0"/>
                <w:color w:val="101828"/>
                <w:sz w:val="16"/>
              </w:rPr>
              <w:t>Dark</w:t>
            </w:r>
          </w:p>
        </w:tc>
        <w:tc>
          <w:tcPr>
            <w:tcW w:type="dxa" w:w="1080"/>
            <w:tcMar>
              <w:top w:w="60" w:type="dxa"/>
              <w:start w:w="110" w:type="dxa"/>
              <w:bottom w:w="60" w:type="dxa"/>
              <w:end w:w="110" w:type="dxa"/>
            </w:tcMar>
          </w:tcPr>
          <w:p>
            <w:pPr>
              <w:spacing w:after="0"/>
            </w:pPr>
            <w:r/>
            <w:r>
              <w:rPr>
                <w:rFonts w:ascii="Calibri" w:hAnsi="Calibri"/>
                <w:b w:val="0"/>
                <w:i w:val="0"/>
                <w:color w:val="101828"/>
                <w:sz w:val="16"/>
              </w:rPr>
              <w:t>#101828</w:t>
            </w:r>
          </w:p>
        </w:tc>
        <w:tc>
          <w:tcPr>
            <w:tcW w:type="dxa" w:w="1296"/>
            <w:tcMar>
              <w:top w:w="60" w:type="dxa"/>
              <w:start w:w="110" w:type="dxa"/>
              <w:bottom w:w="60" w:type="dxa"/>
              <w:end w:w="110" w:type="dxa"/>
            </w:tcMar>
          </w:tcPr>
          <w:p>
            <w:pPr>
              <w:spacing w:after="0"/>
            </w:pPr>
            <w:r/>
            <w:r>
              <w:rPr>
                <w:rFonts w:ascii="Calibri" w:hAnsi="Calibri"/>
                <w:b w:val="0"/>
                <w:i w:val="0"/>
                <w:color w:val="101828"/>
                <w:sz w:val="16"/>
              </w:rPr>
              <w:t>Body text</w:t>
            </w:r>
          </w:p>
        </w:tc>
        <w:tc>
          <w:tcPr>
            <w:tcW w:type="dxa" w:w="2736"/>
            <w:tcMar>
              <w:top w:w="60" w:type="dxa"/>
              <w:start w:w="110" w:type="dxa"/>
              <w:bottom w:w="60" w:type="dxa"/>
              <w:end w:w="110" w:type="dxa"/>
            </w:tcMar>
          </w:tcPr>
          <w:p>
            <w:pPr>
              <w:spacing w:after="0"/>
            </w:pPr>
            <w:r/>
            <w:r>
              <w:rPr>
                <w:rFonts w:ascii="Calibri" w:hAnsi="Calibri"/>
                <w:b w:val="0"/>
                <w:i w:val="0"/>
                <w:color w:val="101828"/>
                <w:sz w:val="16"/>
              </w:rPr>
              <w:t>All body copy, table data, input text, labels</w:t>
            </w:r>
          </w:p>
        </w:tc>
        <w:tc>
          <w:tcPr>
            <w:tcW w:type="dxa" w:w="1296"/>
            <w:tcMar>
              <w:top w:w="60" w:type="dxa"/>
              <w:start w:w="110" w:type="dxa"/>
              <w:bottom w:w="60" w:type="dxa"/>
              <w:end w:w="110" w:type="dxa"/>
            </w:tcMar>
          </w:tcPr>
          <w:p>
            <w:pPr>
              <w:spacing w:after="0"/>
            </w:pPr>
            <w:r/>
            <w:r>
              <w:rPr>
                <w:rFonts w:ascii="Calibri" w:hAnsi="Calibri"/>
                <w:b w:val="0"/>
                <w:i w:val="0"/>
                <w:color w:val="101828"/>
                <w:sz w:val="16"/>
              </w:rPr>
              <w:t>16.9:1</w:t>
            </w:r>
          </w:p>
        </w:tc>
        <w:tc>
          <w:tcPr>
            <w:tcW w:type="dxa" w:w="1872"/>
            <w:tcMar>
              <w:top w:w="60" w:type="dxa"/>
              <w:start w:w="110" w:type="dxa"/>
              <w:bottom w:w="60" w:type="dxa"/>
              <w:end w:w="110" w:type="dxa"/>
            </w:tcMar>
          </w:tcPr>
          <w:p>
            <w:pPr>
              <w:spacing w:after="0"/>
            </w:pPr>
            <w:r/>
            <w:r>
              <w:rPr>
                <w:rFonts w:ascii="Calibri" w:hAnsi="Calibri"/>
                <w:b w:val="0"/>
                <w:i w:val="0"/>
                <w:color w:val="101828"/>
                <w:sz w:val="16"/>
              </w:rPr>
              <w:t>Background fills behind small text</w:t>
            </w:r>
          </w:p>
        </w:tc>
      </w:tr>
    </w:tbl>
    <w:p>
      <w:pPr>
        <w:spacing w:after="80"/>
      </w:pPr>
    </w:p>
    <w:p>
      <w:pPr>
        <w:pStyle w:val="Heading3"/>
      </w:pPr>
      <w:r>
        <w:rPr>
          <w:rFonts w:ascii="Calibri" w:hAnsi="Calibri"/>
          <w:b/>
          <w:i w:val="0"/>
          <w:color w:val="0B1F3A"/>
          <w:sz w:val="24"/>
        </w:rPr>
        <w:t>5.2.1 Derived semantic tokens</w:t>
      </w:r>
    </w:p>
    <w:p>
      <w:r>
        <w:rPr>
          <w:rFonts w:ascii="Calibri" w:hAnsi="Calibri"/>
          <w:b w:val="0"/>
          <w:i w:val="0"/>
          <w:color w:val="101828"/>
          <w:sz w:val="21"/>
        </w:rPr>
        <w:t xml:space="preserve">Semantic names rather than colour names, so a theme change requires no component edits. The status ramp is an </w:t>
      </w:r>
      <w:r>
        <w:rPr>
          <w:rFonts w:ascii="Calibri" w:hAnsi="Calibri"/>
          <w:b/>
          <w:color w:val="101828"/>
          <w:sz w:val="21"/>
        </w:rPr>
        <w:t>addition</w:t>
      </w:r>
      <w:r>
        <w:rPr>
          <w:rFonts w:ascii="Calibri" w:hAnsi="Calibri"/>
          <w:b w:val="0"/>
          <w:i w:val="0"/>
          <w:color w:val="101828"/>
          <w:sz w:val="21"/>
        </w:rPr>
        <w:t xml:space="preserve"> to the supplied palette — the seven brand colours contain no success or danger colour, and a savings product cannot ship without both.</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Semantic token</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Value</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Maps from</w:t>
            </w:r>
          </w:p>
        </w:tc>
        <w:tc>
          <w:tcPr>
            <w:tcW w:type="dxa" w:w="4320"/>
            <w:shd w:val="clear" w:color="auto" w:fill="0B1F3A"/>
            <w:tcMar>
              <w:top w:w="60" w:type="dxa"/>
              <w:start w:w="110" w:type="dxa"/>
              <w:bottom w:w="60" w:type="dxa"/>
              <w:end w:w="110" w:type="dxa"/>
            </w:tcMar>
          </w:tcPr>
          <w:p>
            <w:pPr>
              <w:spacing w:after="0"/>
            </w:pPr>
            <w:r/>
            <w:r>
              <w:rPr>
                <w:rFonts w:ascii="Calibri" w:hAnsi="Calibri"/>
                <w:b/>
                <w:i w:val="0"/>
                <w:color w:val="FFFFFF"/>
                <w:sz w:val="16"/>
              </w:rPr>
              <w:t>Usage</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bg-canvas</w:t>
            </w:r>
          </w:p>
        </w:tc>
        <w:tc>
          <w:tcPr>
            <w:tcW w:type="dxa" w:w="1296"/>
            <w:tcMar>
              <w:top w:w="60" w:type="dxa"/>
              <w:start w:w="110" w:type="dxa"/>
              <w:bottom w:w="60" w:type="dxa"/>
              <w:end w:w="110" w:type="dxa"/>
            </w:tcMar>
          </w:tcPr>
          <w:p>
            <w:pPr>
              <w:spacing w:after="0"/>
            </w:pPr>
            <w:r/>
            <w:r>
              <w:rPr>
                <w:rFonts w:ascii="Calibri" w:hAnsi="Calibri"/>
                <w:b w:val="0"/>
                <w:i w:val="0"/>
                <w:color w:val="101828"/>
                <w:sz w:val="16"/>
              </w:rPr>
              <w:t>#F4F7FB</w:t>
            </w:r>
          </w:p>
        </w:tc>
        <w:tc>
          <w:tcPr>
            <w:tcW w:type="dxa" w:w="1584"/>
            <w:tcMar>
              <w:top w:w="60" w:type="dxa"/>
              <w:start w:w="110" w:type="dxa"/>
              <w:bottom w:w="60" w:type="dxa"/>
              <w:end w:w="110" w:type="dxa"/>
            </w:tcMar>
          </w:tcPr>
          <w:p>
            <w:pPr>
              <w:spacing w:after="0"/>
            </w:pPr>
            <w:r/>
            <w:r>
              <w:rPr>
                <w:rFonts w:ascii="Calibri" w:hAnsi="Calibri"/>
                <w:b w:val="0"/>
                <w:i w:val="0"/>
                <w:color w:val="101828"/>
                <w:sz w:val="16"/>
              </w:rPr>
              <w:t>Cloud</w:t>
            </w:r>
          </w:p>
        </w:tc>
        <w:tc>
          <w:tcPr>
            <w:tcW w:type="dxa" w:w="4320"/>
            <w:tcMar>
              <w:top w:w="60" w:type="dxa"/>
              <w:start w:w="110" w:type="dxa"/>
              <w:bottom w:w="60" w:type="dxa"/>
              <w:end w:w="110" w:type="dxa"/>
            </w:tcMar>
          </w:tcPr>
          <w:p>
            <w:pPr>
              <w:spacing w:after="0"/>
            </w:pPr>
            <w:r/>
            <w:r>
              <w:rPr>
                <w:rFonts w:ascii="Calibri" w:hAnsi="Calibri"/>
                <w:b w:val="0"/>
                <w:i w:val="0"/>
                <w:color w:val="101828"/>
                <w:sz w:val="16"/>
              </w:rPr>
              <w:t>Page background</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bg-surface</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#FFFFFF</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White</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Cards, sheets, modals, table header</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bg-subtle</w:t>
            </w:r>
          </w:p>
        </w:tc>
        <w:tc>
          <w:tcPr>
            <w:tcW w:type="dxa" w:w="1296"/>
            <w:tcMar>
              <w:top w:w="60" w:type="dxa"/>
              <w:start w:w="110" w:type="dxa"/>
              <w:bottom w:w="60" w:type="dxa"/>
              <w:end w:w="110" w:type="dxa"/>
            </w:tcMar>
          </w:tcPr>
          <w:p>
            <w:pPr>
              <w:spacing w:after="0"/>
            </w:pPr>
            <w:r/>
            <w:r>
              <w:rPr>
                <w:rFonts w:ascii="Calibri" w:hAnsi="Calibri"/>
                <w:b w:val="0"/>
                <w:i w:val="0"/>
                <w:color w:val="101828"/>
                <w:sz w:val="16"/>
              </w:rPr>
              <w:t>#F4F7FB</w:t>
            </w:r>
          </w:p>
        </w:tc>
        <w:tc>
          <w:tcPr>
            <w:tcW w:type="dxa" w:w="1584"/>
            <w:tcMar>
              <w:top w:w="60" w:type="dxa"/>
              <w:start w:w="110" w:type="dxa"/>
              <w:bottom w:w="60" w:type="dxa"/>
              <w:end w:w="110" w:type="dxa"/>
            </w:tcMar>
          </w:tcPr>
          <w:p>
            <w:pPr>
              <w:spacing w:after="0"/>
            </w:pPr>
            <w:r/>
            <w:r>
              <w:rPr>
                <w:rFonts w:ascii="Calibri" w:hAnsi="Calibri"/>
                <w:b w:val="0"/>
                <w:i w:val="0"/>
                <w:color w:val="101828"/>
                <w:sz w:val="16"/>
              </w:rPr>
              <w:t>Cloud</w:t>
            </w:r>
          </w:p>
        </w:tc>
        <w:tc>
          <w:tcPr>
            <w:tcW w:type="dxa" w:w="4320"/>
            <w:tcMar>
              <w:top w:w="60" w:type="dxa"/>
              <w:start w:w="110" w:type="dxa"/>
              <w:bottom w:w="60" w:type="dxa"/>
              <w:end w:w="110" w:type="dxa"/>
            </w:tcMar>
          </w:tcPr>
          <w:p>
            <w:pPr>
              <w:spacing w:after="0"/>
            </w:pPr>
            <w:r/>
            <w:r>
              <w:rPr>
                <w:rFonts w:ascii="Calibri" w:hAnsi="Calibri"/>
                <w:b w:val="0"/>
                <w:i w:val="0"/>
                <w:color w:val="101828"/>
                <w:sz w:val="16"/>
              </w:rPr>
              <w:t>Zebra rows, inset panels, code blocks</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bg-inverse</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#0B1F3A</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Deep</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Top nav on mobile, admin sidebar, hero</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border-default</w:t>
            </w:r>
          </w:p>
        </w:tc>
        <w:tc>
          <w:tcPr>
            <w:tcW w:type="dxa" w:w="1296"/>
            <w:tcMar>
              <w:top w:w="60" w:type="dxa"/>
              <w:start w:w="110" w:type="dxa"/>
              <w:bottom w:w="60" w:type="dxa"/>
              <w:end w:w="110" w:type="dxa"/>
            </w:tcMar>
          </w:tcPr>
          <w:p>
            <w:pPr>
              <w:spacing w:after="0"/>
            </w:pPr>
            <w:r/>
            <w:r>
              <w:rPr>
                <w:rFonts w:ascii="Calibri" w:hAnsi="Calibri"/>
                <w:b w:val="0"/>
                <w:i w:val="0"/>
                <w:color w:val="101828"/>
                <w:sz w:val="16"/>
              </w:rPr>
              <w:t>#D0D5DD</w:t>
            </w:r>
          </w:p>
        </w:tc>
        <w:tc>
          <w:tcPr>
            <w:tcW w:type="dxa" w:w="1584"/>
            <w:tcMar>
              <w:top w:w="60" w:type="dxa"/>
              <w:start w:w="110" w:type="dxa"/>
              <w:bottom w:w="60" w:type="dxa"/>
              <w:end w:w="110" w:type="dxa"/>
            </w:tcMar>
          </w:tcPr>
          <w:p>
            <w:pPr>
              <w:spacing w:after="0"/>
            </w:pPr>
            <w:r/>
            <w:r>
              <w:rPr>
                <w:rFonts w:ascii="Calibri" w:hAnsi="Calibri"/>
                <w:b w:val="0"/>
                <w:i w:val="0"/>
                <w:color w:val="101828"/>
                <w:sz w:val="16"/>
              </w:rPr>
              <w:t>— (addition)</w:t>
            </w:r>
          </w:p>
        </w:tc>
        <w:tc>
          <w:tcPr>
            <w:tcW w:type="dxa" w:w="4320"/>
            <w:tcMar>
              <w:top w:w="60" w:type="dxa"/>
              <w:start w:w="110" w:type="dxa"/>
              <w:bottom w:w="60" w:type="dxa"/>
              <w:end w:w="110" w:type="dxa"/>
            </w:tcMar>
          </w:tcPr>
          <w:p>
            <w:pPr>
              <w:spacing w:after="0"/>
            </w:pPr>
            <w:r/>
            <w:r>
              <w:rPr>
                <w:rFonts w:ascii="Calibri" w:hAnsi="Calibri"/>
                <w:b w:val="0"/>
                <w:i w:val="0"/>
                <w:color w:val="101828"/>
                <w:sz w:val="16"/>
              </w:rPr>
              <w:t>Card, input and table borders</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border-strong</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#98A2B3</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 (addition)</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Focused input, active table sort</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text-primary</w:t>
            </w:r>
          </w:p>
        </w:tc>
        <w:tc>
          <w:tcPr>
            <w:tcW w:type="dxa" w:w="1296"/>
            <w:tcMar>
              <w:top w:w="60" w:type="dxa"/>
              <w:start w:w="110" w:type="dxa"/>
              <w:bottom w:w="60" w:type="dxa"/>
              <w:end w:w="110" w:type="dxa"/>
            </w:tcMar>
          </w:tcPr>
          <w:p>
            <w:pPr>
              <w:spacing w:after="0"/>
            </w:pPr>
            <w:r/>
            <w:r>
              <w:rPr>
                <w:rFonts w:ascii="Calibri" w:hAnsi="Calibri"/>
                <w:b w:val="0"/>
                <w:i w:val="0"/>
                <w:color w:val="101828"/>
                <w:sz w:val="16"/>
              </w:rPr>
              <w:t>#101828</w:t>
            </w:r>
          </w:p>
        </w:tc>
        <w:tc>
          <w:tcPr>
            <w:tcW w:type="dxa" w:w="1584"/>
            <w:tcMar>
              <w:top w:w="60" w:type="dxa"/>
              <w:start w:w="110" w:type="dxa"/>
              <w:bottom w:w="60" w:type="dxa"/>
              <w:end w:w="110" w:type="dxa"/>
            </w:tcMar>
          </w:tcPr>
          <w:p>
            <w:pPr>
              <w:spacing w:after="0"/>
            </w:pPr>
            <w:r/>
            <w:r>
              <w:rPr>
                <w:rFonts w:ascii="Calibri" w:hAnsi="Calibri"/>
                <w:b w:val="0"/>
                <w:i w:val="0"/>
                <w:color w:val="101828"/>
                <w:sz w:val="16"/>
              </w:rPr>
              <w:t>Dark</w:t>
            </w:r>
          </w:p>
        </w:tc>
        <w:tc>
          <w:tcPr>
            <w:tcW w:type="dxa" w:w="4320"/>
            <w:tcMar>
              <w:top w:w="60" w:type="dxa"/>
              <w:start w:w="110" w:type="dxa"/>
              <w:bottom w:w="60" w:type="dxa"/>
              <w:end w:w="110" w:type="dxa"/>
            </w:tcMar>
          </w:tcPr>
          <w:p>
            <w:pPr>
              <w:spacing w:after="0"/>
            </w:pPr>
            <w:r/>
            <w:r>
              <w:rPr>
                <w:rFonts w:ascii="Calibri" w:hAnsi="Calibri"/>
                <w:b w:val="0"/>
                <w:i w:val="0"/>
                <w:color w:val="101828"/>
                <w:sz w:val="16"/>
              </w:rPr>
              <w:t>Body copy, headings in tables</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text-secondary</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#475467</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 (addition)</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Helper text, metadata, captions</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text-inverse</w:t>
            </w:r>
          </w:p>
        </w:tc>
        <w:tc>
          <w:tcPr>
            <w:tcW w:type="dxa" w:w="1296"/>
            <w:tcMar>
              <w:top w:w="60" w:type="dxa"/>
              <w:start w:w="110" w:type="dxa"/>
              <w:bottom w:w="60" w:type="dxa"/>
              <w:end w:w="110" w:type="dxa"/>
            </w:tcMar>
          </w:tcPr>
          <w:p>
            <w:pPr>
              <w:spacing w:after="0"/>
            </w:pPr>
            <w:r/>
            <w:r>
              <w:rPr>
                <w:rFonts w:ascii="Calibri" w:hAnsi="Calibri"/>
                <w:b w:val="0"/>
                <w:i w:val="0"/>
                <w:color w:val="101828"/>
                <w:sz w:val="16"/>
              </w:rPr>
              <w:t>#FFFFFF</w:t>
            </w:r>
          </w:p>
        </w:tc>
        <w:tc>
          <w:tcPr>
            <w:tcW w:type="dxa" w:w="1584"/>
            <w:tcMar>
              <w:top w:w="60" w:type="dxa"/>
              <w:start w:w="110" w:type="dxa"/>
              <w:bottom w:w="60" w:type="dxa"/>
              <w:end w:w="110" w:type="dxa"/>
            </w:tcMar>
          </w:tcPr>
          <w:p>
            <w:pPr>
              <w:spacing w:after="0"/>
            </w:pPr>
            <w:r/>
            <w:r>
              <w:rPr>
                <w:rFonts w:ascii="Calibri" w:hAnsi="Calibri"/>
                <w:b w:val="0"/>
                <w:i w:val="0"/>
                <w:color w:val="101828"/>
                <w:sz w:val="16"/>
              </w:rPr>
              <w:t>White</w:t>
            </w:r>
          </w:p>
        </w:tc>
        <w:tc>
          <w:tcPr>
            <w:tcW w:type="dxa" w:w="4320"/>
            <w:tcMar>
              <w:top w:w="60" w:type="dxa"/>
              <w:start w:w="110" w:type="dxa"/>
              <w:bottom w:w="60" w:type="dxa"/>
              <w:end w:w="110" w:type="dxa"/>
            </w:tcMar>
          </w:tcPr>
          <w:p>
            <w:pPr>
              <w:spacing w:after="0"/>
            </w:pPr>
            <w:r/>
            <w:r>
              <w:rPr>
                <w:rFonts w:ascii="Calibri" w:hAnsi="Calibri"/>
                <w:b w:val="0"/>
                <w:i w:val="0"/>
                <w:color w:val="101828"/>
                <w:sz w:val="16"/>
              </w:rPr>
              <w:t>Text on Deep/Primary backgrounds</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action-primary</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#146EF5</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Primary</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Primary buttons, active nav item</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action-primary-hover</w:t>
            </w:r>
          </w:p>
        </w:tc>
        <w:tc>
          <w:tcPr>
            <w:tcW w:type="dxa" w:w="1296"/>
            <w:tcMar>
              <w:top w:w="60" w:type="dxa"/>
              <w:start w:w="110" w:type="dxa"/>
              <w:bottom w:w="60" w:type="dxa"/>
              <w:end w:w="110" w:type="dxa"/>
            </w:tcMar>
          </w:tcPr>
          <w:p>
            <w:pPr>
              <w:spacing w:after="0"/>
            </w:pPr>
            <w:r/>
            <w:r>
              <w:rPr>
                <w:rFonts w:ascii="Calibri" w:hAnsi="Calibri"/>
                <w:b w:val="0"/>
                <w:i w:val="0"/>
                <w:color w:val="101828"/>
                <w:sz w:val="16"/>
              </w:rPr>
              <w:t>#0F5AD0</w:t>
            </w:r>
          </w:p>
        </w:tc>
        <w:tc>
          <w:tcPr>
            <w:tcW w:type="dxa" w:w="1584"/>
            <w:tcMar>
              <w:top w:w="60" w:type="dxa"/>
              <w:start w:w="110" w:type="dxa"/>
              <w:bottom w:w="60" w:type="dxa"/>
              <w:end w:w="110" w:type="dxa"/>
            </w:tcMar>
          </w:tcPr>
          <w:p>
            <w:pPr>
              <w:spacing w:after="0"/>
            </w:pPr>
            <w:r/>
            <w:r>
              <w:rPr>
                <w:rFonts w:ascii="Calibri" w:hAnsi="Calibri"/>
                <w:b w:val="0"/>
                <w:i w:val="0"/>
                <w:color w:val="101828"/>
                <w:sz w:val="16"/>
              </w:rPr>
              <w:t>— (derived)</w:t>
            </w:r>
          </w:p>
        </w:tc>
        <w:tc>
          <w:tcPr>
            <w:tcW w:type="dxa" w:w="4320"/>
            <w:tcMar>
              <w:top w:w="60" w:type="dxa"/>
              <w:start w:w="110" w:type="dxa"/>
              <w:bottom w:w="60" w:type="dxa"/>
              <w:end w:w="110" w:type="dxa"/>
            </w:tcMar>
          </w:tcPr>
          <w:p>
            <w:pPr>
              <w:spacing w:after="0"/>
            </w:pPr>
            <w:r/>
            <w:r>
              <w:rPr>
                <w:rFonts w:ascii="Calibri" w:hAnsi="Calibri"/>
                <w:b w:val="0"/>
                <w:i w:val="0"/>
                <w:color w:val="101828"/>
                <w:sz w:val="16"/>
              </w:rPr>
              <w:t>Primary button hover, 12% darken</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action-primary-pressed</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#0B4CB0</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 (derived)</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Primary button active state</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action-secondary</w:t>
            </w:r>
          </w:p>
        </w:tc>
        <w:tc>
          <w:tcPr>
            <w:tcW w:type="dxa" w:w="1296"/>
            <w:tcMar>
              <w:top w:w="60" w:type="dxa"/>
              <w:start w:w="110" w:type="dxa"/>
              <w:bottom w:w="60" w:type="dxa"/>
              <w:end w:w="110" w:type="dxa"/>
            </w:tcMar>
          </w:tcPr>
          <w:p>
            <w:pPr>
              <w:spacing w:after="0"/>
            </w:pPr>
            <w:r/>
            <w:r>
              <w:rPr>
                <w:rFonts w:ascii="Calibri" w:hAnsi="Calibri"/>
                <w:b w:val="0"/>
                <w:i w:val="0"/>
                <w:color w:val="101828"/>
                <w:sz w:val="16"/>
              </w:rPr>
              <w:t>#FFFFFF</w:t>
            </w:r>
          </w:p>
        </w:tc>
        <w:tc>
          <w:tcPr>
            <w:tcW w:type="dxa" w:w="1584"/>
            <w:tcMar>
              <w:top w:w="60" w:type="dxa"/>
              <w:start w:w="110" w:type="dxa"/>
              <w:bottom w:w="60" w:type="dxa"/>
              <w:end w:w="110" w:type="dxa"/>
            </w:tcMar>
          </w:tcPr>
          <w:p>
            <w:pPr>
              <w:spacing w:after="0"/>
            </w:pPr>
            <w:r/>
            <w:r>
              <w:rPr>
                <w:rFonts w:ascii="Calibri" w:hAnsi="Calibri"/>
                <w:b w:val="0"/>
                <w:i w:val="0"/>
                <w:color w:val="101828"/>
                <w:sz w:val="16"/>
              </w:rPr>
              <w:t>White</w:t>
            </w:r>
          </w:p>
        </w:tc>
        <w:tc>
          <w:tcPr>
            <w:tcW w:type="dxa" w:w="4320"/>
            <w:tcMar>
              <w:top w:w="60" w:type="dxa"/>
              <w:start w:w="110" w:type="dxa"/>
              <w:bottom w:w="60" w:type="dxa"/>
              <w:end w:w="110" w:type="dxa"/>
            </w:tcMar>
          </w:tcPr>
          <w:p>
            <w:pPr>
              <w:spacing w:after="0"/>
            </w:pPr>
            <w:r/>
            <w:r>
              <w:rPr>
                <w:rFonts w:ascii="Calibri" w:hAnsi="Calibri"/>
                <w:b w:val="0"/>
                <w:i w:val="0"/>
                <w:color w:val="101828"/>
                <w:sz w:val="16"/>
              </w:rPr>
              <w:t>Secondary button fill with Primary border</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link</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#146EF5</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Primary</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Inline text links, underlined on hover</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success</w:t>
            </w:r>
          </w:p>
        </w:tc>
        <w:tc>
          <w:tcPr>
            <w:tcW w:type="dxa" w:w="1296"/>
            <w:tcMar>
              <w:top w:w="60" w:type="dxa"/>
              <w:start w:w="110" w:type="dxa"/>
              <w:bottom w:w="60" w:type="dxa"/>
              <w:end w:w="110" w:type="dxa"/>
            </w:tcMar>
          </w:tcPr>
          <w:p>
            <w:pPr>
              <w:spacing w:after="0"/>
            </w:pPr>
            <w:r/>
            <w:r>
              <w:rPr>
                <w:rFonts w:ascii="Calibri" w:hAnsi="Calibri"/>
                <w:b w:val="0"/>
                <w:i w:val="0"/>
                <w:color w:val="101828"/>
                <w:sz w:val="16"/>
              </w:rPr>
              <w:t>#12B76A</w:t>
            </w:r>
          </w:p>
        </w:tc>
        <w:tc>
          <w:tcPr>
            <w:tcW w:type="dxa" w:w="1584"/>
            <w:tcMar>
              <w:top w:w="60" w:type="dxa"/>
              <w:start w:w="110" w:type="dxa"/>
              <w:bottom w:w="60" w:type="dxa"/>
              <w:end w:w="110" w:type="dxa"/>
            </w:tcMar>
          </w:tcPr>
          <w:p>
            <w:pPr>
              <w:spacing w:after="0"/>
            </w:pPr>
            <w:r/>
            <w:r>
              <w:rPr>
                <w:rFonts w:ascii="Calibri" w:hAnsi="Calibri"/>
                <w:b w:val="0"/>
                <w:i w:val="0"/>
                <w:color w:val="101828"/>
                <w:sz w:val="16"/>
              </w:rPr>
              <w:t>— (addition)</w:t>
            </w:r>
          </w:p>
        </w:tc>
        <w:tc>
          <w:tcPr>
            <w:tcW w:type="dxa" w:w="4320"/>
            <w:tcMar>
              <w:top w:w="60" w:type="dxa"/>
              <w:start w:w="110" w:type="dxa"/>
              <w:bottom w:w="60" w:type="dxa"/>
              <w:end w:w="110" w:type="dxa"/>
            </w:tcMar>
          </w:tcPr>
          <w:p>
            <w:pPr>
              <w:spacing w:after="0"/>
            </w:pPr>
            <w:r/>
            <w:r>
              <w:rPr>
                <w:rFonts w:ascii="Calibri" w:hAnsi="Calibri"/>
                <w:b w:val="0"/>
                <w:i w:val="0"/>
                <w:color w:val="101828"/>
                <w:sz w:val="16"/>
              </w:rPr>
              <w:t>Contribution settled, KYC approved, Ajo completed</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success-bg</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#ECFDF3</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 (addition)</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Success banner fill</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warning</w:t>
            </w:r>
          </w:p>
        </w:tc>
        <w:tc>
          <w:tcPr>
            <w:tcW w:type="dxa" w:w="1296"/>
            <w:tcMar>
              <w:top w:w="60" w:type="dxa"/>
              <w:start w:w="110" w:type="dxa"/>
              <w:bottom w:w="60" w:type="dxa"/>
              <w:end w:w="110" w:type="dxa"/>
            </w:tcMar>
          </w:tcPr>
          <w:p>
            <w:pPr>
              <w:spacing w:after="0"/>
            </w:pPr>
            <w:r/>
            <w:r>
              <w:rPr>
                <w:rFonts w:ascii="Calibri" w:hAnsi="Calibri"/>
                <w:b w:val="0"/>
                <w:i w:val="0"/>
                <w:color w:val="101828"/>
                <w:sz w:val="16"/>
              </w:rPr>
              <w:t>#DC6803</w:t>
            </w:r>
          </w:p>
        </w:tc>
        <w:tc>
          <w:tcPr>
            <w:tcW w:type="dxa" w:w="1584"/>
            <w:tcMar>
              <w:top w:w="60" w:type="dxa"/>
              <w:start w:w="110" w:type="dxa"/>
              <w:bottom w:w="60" w:type="dxa"/>
              <w:end w:w="110" w:type="dxa"/>
            </w:tcMar>
          </w:tcPr>
          <w:p>
            <w:pPr>
              <w:spacing w:after="0"/>
            </w:pPr>
            <w:r/>
            <w:r>
              <w:rPr>
                <w:rFonts w:ascii="Calibri" w:hAnsi="Calibri"/>
                <w:b w:val="0"/>
                <w:i w:val="0"/>
                <w:color w:val="101828"/>
                <w:sz w:val="16"/>
              </w:rPr>
              <w:t>— (addition)</w:t>
            </w:r>
          </w:p>
        </w:tc>
        <w:tc>
          <w:tcPr>
            <w:tcW w:type="dxa" w:w="4320"/>
            <w:tcMar>
              <w:top w:w="60" w:type="dxa"/>
              <w:start w:w="110" w:type="dxa"/>
              <w:bottom w:w="60" w:type="dxa"/>
              <w:end w:w="110" w:type="dxa"/>
            </w:tcMar>
          </w:tcPr>
          <w:p>
            <w:pPr>
              <w:spacing w:after="0"/>
            </w:pPr>
            <w:r/>
            <w:r>
              <w:rPr>
                <w:rFonts w:ascii="Calibri" w:hAnsi="Calibri"/>
                <w:b w:val="0"/>
                <w:i w:val="0"/>
                <w:color w:val="101828"/>
                <w:sz w:val="16"/>
              </w:rPr>
              <w:t>Payment overdue, grace period running</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warning-bg</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#FFFAEB</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 (addition)</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Warning banner fill — pairs with Gold accent</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danger</w:t>
            </w:r>
          </w:p>
        </w:tc>
        <w:tc>
          <w:tcPr>
            <w:tcW w:type="dxa" w:w="1296"/>
            <w:tcMar>
              <w:top w:w="60" w:type="dxa"/>
              <w:start w:w="110" w:type="dxa"/>
              <w:bottom w:w="60" w:type="dxa"/>
              <w:end w:w="110" w:type="dxa"/>
            </w:tcMar>
          </w:tcPr>
          <w:p>
            <w:pPr>
              <w:spacing w:after="0"/>
            </w:pPr>
            <w:r/>
            <w:r>
              <w:rPr>
                <w:rFonts w:ascii="Calibri" w:hAnsi="Calibri"/>
                <w:b w:val="0"/>
                <w:i w:val="0"/>
                <w:color w:val="101828"/>
                <w:sz w:val="16"/>
              </w:rPr>
              <w:t>#D92D20</w:t>
            </w:r>
          </w:p>
        </w:tc>
        <w:tc>
          <w:tcPr>
            <w:tcW w:type="dxa" w:w="1584"/>
            <w:tcMar>
              <w:top w:w="60" w:type="dxa"/>
              <w:start w:w="110" w:type="dxa"/>
              <w:bottom w:w="60" w:type="dxa"/>
              <w:end w:w="110" w:type="dxa"/>
            </w:tcMar>
          </w:tcPr>
          <w:p>
            <w:pPr>
              <w:spacing w:after="0"/>
            </w:pPr>
            <w:r/>
            <w:r>
              <w:rPr>
                <w:rFonts w:ascii="Calibri" w:hAnsi="Calibri"/>
                <w:b w:val="0"/>
                <w:i w:val="0"/>
                <w:color w:val="101828"/>
                <w:sz w:val="16"/>
              </w:rPr>
              <w:t>— (addition)</w:t>
            </w:r>
          </w:p>
        </w:tc>
        <w:tc>
          <w:tcPr>
            <w:tcW w:type="dxa" w:w="4320"/>
            <w:tcMar>
              <w:top w:w="60" w:type="dxa"/>
              <w:start w:w="110" w:type="dxa"/>
              <w:bottom w:w="60" w:type="dxa"/>
              <w:end w:w="110" w:type="dxa"/>
            </w:tcMar>
          </w:tcPr>
          <w:p>
            <w:pPr>
              <w:spacing w:after="0"/>
            </w:pPr>
            <w:r/>
            <w:r>
              <w:rPr>
                <w:rFonts w:ascii="Calibri" w:hAnsi="Calibri"/>
                <w:b w:val="0"/>
                <w:i w:val="0"/>
                <w:color w:val="101828"/>
                <w:sz w:val="16"/>
              </w:rPr>
              <w:t>Default recorded, payment failed, account frozen</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danger-bg</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#FEF3F2</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 (addition)</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Danger banner fill</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info</w:t>
            </w:r>
          </w:p>
        </w:tc>
        <w:tc>
          <w:tcPr>
            <w:tcW w:type="dxa" w:w="1296"/>
            <w:tcMar>
              <w:top w:w="60" w:type="dxa"/>
              <w:start w:w="110" w:type="dxa"/>
              <w:bottom w:w="60" w:type="dxa"/>
              <w:end w:w="110" w:type="dxa"/>
            </w:tcMar>
          </w:tcPr>
          <w:p>
            <w:pPr>
              <w:spacing w:after="0"/>
            </w:pPr>
            <w:r/>
            <w:r>
              <w:rPr>
                <w:rFonts w:ascii="Calibri" w:hAnsi="Calibri"/>
                <w:b w:val="0"/>
                <w:i w:val="0"/>
                <w:color w:val="101828"/>
                <w:sz w:val="16"/>
              </w:rPr>
              <w:t>#146EF5</w:t>
            </w:r>
          </w:p>
        </w:tc>
        <w:tc>
          <w:tcPr>
            <w:tcW w:type="dxa" w:w="1584"/>
            <w:tcMar>
              <w:top w:w="60" w:type="dxa"/>
              <w:start w:w="110" w:type="dxa"/>
              <w:bottom w:w="60" w:type="dxa"/>
              <w:end w:w="110" w:type="dxa"/>
            </w:tcMar>
          </w:tcPr>
          <w:p>
            <w:pPr>
              <w:spacing w:after="0"/>
            </w:pPr>
            <w:r/>
            <w:r>
              <w:rPr>
                <w:rFonts w:ascii="Calibri" w:hAnsi="Calibri"/>
                <w:b w:val="0"/>
                <w:i w:val="0"/>
                <w:color w:val="101828"/>
                <w:sz w:val="16"/>
              </w:rPr>
              <w:t>Primary</w:t>
            </w:r>
          </w:p>
        </w:tc>
        <w:tc>
          <w:tcPr>
            <w:tcW w:type="dxa" w:w="4320"/>
            <w:tcMar>
              <w:top w:w="60" w:type="dxa"/>
              <w:start w:w="110" w:type="dxa"/>
              <w:bottom w:w="60" w:type="dxa"/>
              <w:end w:w="110" w:type="dxa"/>
            </w:tcMar>
          </w:tcPr>
          <w:p>
            <w:pPr>
              <w:spacing w:after="0"/>
            </w:pPr>
            <w:r/>
            <w:r>
              <w:rPr>
                <w:rFonts w:ascii="Calibri" w:hAnsi="Calibri"/>
                <w:b w:val="0"/>
                <w:i w:val="0"/>
                <w:color w:val="101828"/>
                <w:sz w:val="16"/>
              </w:rPr>
              <w:t>Neutral informational banner</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info-bg</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#EFF6FF</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 (derived)</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Informational banner fill</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money-positive</w:t>
            </w:r>
          </w:p>
        </w:tc>
        <w:tc>
          <w:tcPr>
            <w:tcW w:type="dxa" w:w="1296"/>
            <w:tcMar>
              <w:top w:w="60" w:type="dxa"/>
              <w:start w:w="110" w:type="dxa"/>
              <w:bottom w:w="60" w:type="dxa"/>
              <w:end w:w="110" w:type="dxa"/>
            </w:tcMar>
          </w:tcPr>
          <w:p>
            <w:pPr>
              <w:spacing w:after="0"/>
            </w:pPr>
            <w:r/>
            <w:r>
              <w:rPr>
                <w:rFonts w:ascii="Calibri" w:hAnsi="Calibri"/>
                <w:b w:val="0"/>
                <w:i w:val="0"/>
                <w:color w:val="101828"/>
                <w:sz w:val="16"/>
              </w:rPr>
              <w:t>#12B76A</w:t>
            </w:r>
          </w:p>
        </w:tc>
        <w:tc>
          <w:tcPr>
            <w:tcW w:type="dxa" w:w="1584"/>
            <w:tcMar>
              <w:top w:w="60" w:type="dxa"/>
              <w:start w:w="110" w:type="dxa"/>
              <w:bottom w:w="60" w:type="dxa"/>
              <w:end w:w="110" w:type="dxa"/>
            </w:tcMar>
          </w:tcPr>
          <w:p>
            <w:pPr>
              <w:spacing w:after="0"/>
            </w:pPr>
            <w:r/>
            <w:r>
              <w:rPr>
                <w:rFonts w:ascii="Calibri" w:hAnsi="Calibri"/>
                <w:b w:val="0"/>
                <w:i w:val="0"/>
                <w:color w:val="101828"/>
                <w:sz w:val="16"/>
              </w:rPr>
              <w:t>success</w:t>
            </w:r>
          </w:p>
        </w:tc>
        <w:tc>
          <w:tcPr>
            <w:tcW w:type="dxa" w:w="4320"/>
            <w:tcMar>
              <w:top w:w="60" w:type="dxa"/>
              <w:start w:w="110" w:type="dxa"/>
              <w:bottom w:w="60" w:type="dxa"/>
              <w:end w:w="110" w:type="dxa"/>
            </w:tcMar>
          </w:tcPr>
          <w:p>
            <w:pPr>
              <w:spacing w:after="0"/>
            </w:pPr>
            <w:r/>
            <w:r>
              <w:rPr>
                <w:rFonts w:ascii="Calibri" w:hAnsi="Calibri"/>
                <w:b w:val="0"/>
                <w:i w:val="0"/>
                <w:color w:val="101828"/>
                <w:sz w:val="16"/>
              </w:rPr>
              <w:t>Received, credited, settled</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money-negative</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#D92D20</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danger</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Owed, overdue, debited</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money-pending</w:t>
            </w:r>
          </w:p>
        </w:tc>
        <w:tc>
          <w:tcPr>
            <w:tcW w:type="dxa" w:w="1296"/>
            <w:tcMar>
              <w:top w:w="60" w:type="dxa"/>
              <w:start w:w="110" w:type="dxa"/>
              <w:bottom w:w="60" w:type="dxa"/>
              <w:end w:w="110" w:type="dxa"/>
            </w:tcMar>
          </w:tcPr>
          <w:p>
            <w:pPr>
              <w:spacing w:after="0"/>
            </w:pPr>
            <w:r/>
            <w:r>
              <w:rPr>
                <w:rFonts w:ascii="Calibri" w:hAnsi="Calibri"/>
                <w:b w:val="0"/>
                <w:i w:val="0"/>
                <w:color w:val="101828"/>
                <w:sz w:val="16"/>
              </w:rPr>
              <w:t>#DC6803</w:t>
            </w:r>
          </w:p>
        </w:tc>
        <w:tc>
          <w:tcPr>
            <w:tcW w:type="dxa" w:w="1584"/>
            <w:tcMar>
              <w:top w:w="60" w:type="dxa"/>
              <w:start w:w="110" w:type="dxa"/>
              <w:bottom w:w="60" w:type="dxa"/>
              <w:end w:w="110" w:type="dxa"/>
            </w:tcMar>
          </w:tcPr>
          <w:p>
            <w:pPr>
              <w:spacing w:after="0"/>
            </w:pPr>
            <w:r/>
            <w:r>
              <w:rPr>
                <w:rFonts w:ascii="Calibri" w:hAnsi="Calibri"/>
                <w:b w:val="0"/>
                <w:i w:val="0"/>
                <w:color w:val="101828"/>
                <w:sz w:val="16"/>
              </w:rPr>
              <w:t>warning</w:t>
            </w:r>
          </w:p>
        </w:tc>
        <w:tc>
          <w:tcPr>
            <w:tcW w:type="dxa" w:w="4320"/>
            <w:tcMar>
              <w:top w:w="60" w:type="dxa"/>
              <w:start w:w="110" w:type="dxa"/>
              <w:bottom w:w="60" w:type="dxa"/>
              <w:end w:w="110" w:type="dxa"/>
            </w:tcMar>
          </w:tcPr>
          <w:p>
            <w:pPr>
              <w:spacing w:after="0"/>
            </w:pPr>
            <w:r/>
            <w:r>
              <w:rPr>
                <w:rFonts w:ascii="Calibri" w:hAnsi="Calibri"/>
                <w:b w:val="0"/>
                <w:i w:val="0"/>
                <w:color w:val="101828"/>
                <w:sz w:val="16"/>
              </w:rPr>
              <w:t>In flight, awaiting provider confirmation</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money-fee</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#146EF5</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Primary</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The 2% platform fee line, wherever it appears</w:t>
            </w:r>
          </w:p>
        </w:tc>
      </w:tr>
    </w:tbl>
    <w:p>
      <w:pPr>
        <w:spacing w:after="80"/>
      </w:pPr>
    </w:p>
    <w:p>
      <w:pPr>
        <w:spacing w:before="140" w:after="180"/>
        <w:ind w:left="144"/>
        <w:shd w:val="clear" w:color="auto" w:fill="E0F2FE"/>
        <w:pBdr>
          <w:left w:val="single" w:sz="18" w:space="6" w:color="22C7D6"/>
        </w:pBdr>
      </w:pPr>
      <w:r>
        <w:rPr>
          <w:rFonts w:ascii="Calibri" w:hAnsi="Calibri"/>
          <w:b/>
          <w:color w:val="22C7D6"/>
          <w:sz w:val="19"/>
        </w:rPr>
        <w:t xml:space="preserve">Contrast verified:  </w:t>
      </w:r>
      <w:r>
        <w:rPr>
          <w:rFonts w:ascii="Calibri" w:hAnsi="Calibri"/>
          <w:b w:val="0"/>
          <w:i w:val="0"/>
          <w:color w:val="0B1F3A"/>
          <w:sz w:val="19"/>
        </w:rPr>
        <w:t>Cyan (#22C7D6) at 1.9:1 and Gold (#FBBF24) at 1.7:1 fail WCAG AA for text on white. Both are therefore restricted to fills, shapes, progress indicators and decorative accents, never to carry text. Where an accent must appear in a text run, a darkened variant is used. This is a constraint, not a preference.</w:t>
      </w:r>
    </w:p>
    <w:p>
      <w:pPr>
        <w:pStyle w:val="Heading2"/>
      </w:pPr>
      <w:r>
        <w:rPr>
          <w:rFonts w:ascii="Calibri" w:hAnsi="Calibri"/>
          <w:b/>
          <w:i w:val="0"/>
          <w:color w:val="146EF5"/>
          <w:sz w:val="29"/>
        </w:rPr>
        <w:t>5.3 Typography</w:t>
      </w:r>
    </w:p>
    <w:p>
      <w:pPr>
        <w:pStyle w:val="Heading3"/>
      </w:pPr>
      <w:r>
        <w:rPr>
          <w:rFonts w:ascii="Calibri" w:hAnsi="Calibri"/>
          <w:b/>
          <w:i w:val="0"/>
          <w:color w:val="0B1F3A"/>
          <w:sz w:val="24"/>
        </w:rPr>
        <w:t>5.3.1 Typeface selection</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008"/>
            <w:shd w:val="clear" w:color="auto" w:fill="0B1F3A"/>
            <w:tcMar>
              <w:top w:w="60" w:type="dxa"/>
              <w:start w:w="110" w:type="dxa"/>
              <w:bottom w:w="60" w:type="dxa"/>
              <w:end w:w="110" w:type="dxa"/>
            </w:tcMar>
          </w:tcPr>
          <w:p>
            <w:pPr>
              <w:spacing w:after="0"/>
            </w:pPr>
            <w:r/>
            <w:r>
              <w:rPr>
                <w:rFonts w:ascii="Calibri" w:hAnsi="Calibri"/>
                <w:b/>
                <w:i w:val="0"/>
                <w:color w:val="FFFFFF"/>
                <w:sz w:val="16"/>
              </w:rPr>
              <w:t>Option</w:t>
            </w:r>
          </w:p>
        </w:tc>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Family</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Strengths</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6"/>
              </w:rPr>
              <w:t>Trade-offs</w:t>
            </w:r>
          </w:p>
        </w:tc>
        <w:tc>
          <w:tcPr>
            <w:tcW w:type="dxa" w:w="1008"/>
            <w:shd w:val="clear" w:color="auto" w:fill="0B1F3A"/>
            <w:tcMar>
              <w:top w:w="60" w:type="dxa"/>
              <w:start w:w="110" w:type="dxa"/>
              <w:bottom w:w="60" w:type="dxa"/>
              <w:end w:w="110" w:type="dxa"/>
            </w:tcMar>
          </w:tcPr>
          <w:p>
            <w:pPr>
              <w:spacing w:after="0"/>
            </w:pPr>
            <w:r/>
            <w:r>
              <w:rPr>
                <w:rFonts w:ascii="Calibri" w:hAnsi="Calibri"/>
                <w:b/>
                <w:i w:val="0"/>
                <w:color w:val="FFFFFF"/>
                <w:sz w:val="16"/>
              </w:rPr>
              <w:t>Status</w:t>
            </w:r>
          </w:p>
        </w:tc>
      </w:tr>
      <w:tr>
        <w:trPr>
          <w:cantSplit/>
        </w:trPr>
        <w:tc>
          <w:tcPr>
            <w:tcW w:type="dxa" w:w="1008"/>
            <w:tcMar>
              <w:top w:w="60" w:type="dxa"/>
              <w:start w:w="110" w:type="dxa"/>
              <w:bottom w:w="60" w:type="dxa"/>
              <w:end w:w="110" w:type="dxa"/>
            </w:tcMar>
          </w:tcPr>
          <w:p>
            <w:pPr>
              <w:spacing w:after="0"/>
            </w:pPr>
            <w:r/>
            <w:r>
              <w:rPr>
                <w:rFonts w:ascii="Calibri" w:hAnsi="Calibri"/>
                <w:b w:val="0"/>
                <w:i w:val="0"/>
                <w:color w:val="101828"/>
                <w:sz w:val="16"/>
              </w:rPr>
              <w:t>A (recommended)</w:t>
            </w:r>
          </w:p>
        </w:tc>
        <w:tc>
          <w:tcPr>
            <w:tcW w:type="dxa" w:w="1872"/>
            <w:tcMar>
              <w:top w:w="60" w:type="dxa"/>
              <w:start w:w="110" w:type="dxa"/>
              <w:bottom w:w="60" w:type="dxa"/>
              <w:end w:w="110" w:type="dxa"/>
            </w:tcMar>
          </w:tcPr>
          <w:p>
            <w:pPr>
              <w:spacing w:after="0"/>
            </w:pPr>
            <w:r/>
            <w:r>
              <w:rPr>
                <w:rFonts w:ascii="Calibri" w:hAnsi="Calibri"/>
                <w:b w:val="0"/>
                <w:i w:val="0"/>
                <w:color w:val="101828"/>
                <w:sz w:val="16"/>
              </w:rPr>
              <w:t>Inter</w:t>
            </w:r>
          </w:p>
        </w:tc>
        <w:tc>
          <w:tcPr>
            <w:tcW w:type="dxa" w:w="2736"/>
            <w:tcMar>
              <w:top w:w="60" w:type="dxa"/>
              <w:start w:w="110" w:type="dxa"/>
              <w:bottom w:w="60" w:type="dxa"/>
              <w:end w:w="110" w:type="dxa"/>
            </w:tcMar>
          </w:tcPr>
          <w:p>
            <w:pPr>
              <w:spacing w:after="0"/>
            </w:pPr>
            <w:r/>
            <w:r>
              <w:rPr>
                <w:rFonts w:ascii="Calibri" w:hAnsi="Calibri"/>
                <w:b w:val="0"/>
                <w:i w:val="0"/>
                <w:color w:val="101828"/>
                <w:sz w:val="16"/>
              </w:rPr>
              <w:t>Excellent numerals including tabular figures, tall x-height suits dense financial tables, variable font, broad weight range, self-hostable</w:t>
            </w:r>
          </w:p>
        </w:tc>
        <w:tc>
          <w:tcPr>
            <w:tcW w:type="dxa" w:w="2880"/>
            <w:tcMar>
              <w:top w:w="60" w:type="dxa"/>
              <w:start w:w="110" w:type="dxa"/>
              <w:bottom w:w="60" w:type="dxa"/>
              <w:end w:w="110" w:type="dxa"/>
            </w:tcMar>
          </w:tcPr>
          <w:p>
            <w:pPr>
              <w:spacing w:after="0"/>
            </w:pPr>
            <w:r/>
            <w:r>
              <w:rPr>
                <w:rFonts w:ascii="Calibri" w:hAnsi="Calibri"/>
                <w:b w:val="0"/>
                <w:i w:val="0"/>
                <w:color w:val="101828"/>
                <w:sz w:val="16"/>
              </w:rPr>
              <w:t>Heavier payload than a system stack; must be self-hosted to avoid a third-party render dependency in Nigeria</w:t>
            </w:r>
          </w:p>
        </w:tc>
        <w:tc>
          <w:tcPr>
            <w:tcW w:type="dxa" w:w="1008"/>
            <w:tcMar>
              <w:top w:w="60" w:type="dxa"/>
              <w:start w:w="110" w:type="dxa"/>
              <w:bottom w:w="60" w:type="dxa"/>
              <w:end w:w="110" w:type="dxa"/>
            </w:tcMar>
          </w:tcPr>
          <w:p>
            <w:pPr>
              <w:spacing w:after="0"/>
            </w:pPr>
            <w:r/>
            <w:r>
              <w:rPr>
                <w:rFonts w:ascii="Calibri" w:hAnsi="Calibri"/>
                <w:b w:val="0"/>
                <w:i w:val="0"/>
                <w:color w:val="101828"/>
                <w:sz w:val="16"/>
              </w:rPr>
              <w:t>Recommended</w:t>
            </w:r>
          </w:p>
        </w:tc>
      </w:tr>
      <w:tr>
        <w:trPr>
          <w:cantSplit/>
        </w:trPr>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6"/>
              </w:rPr>
              <w:t>B</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Plus Jakarta Sans</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Warmer, more distinctive, reads as contemporary fintech</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Weaker tabular-figure support, requires careful fallback metrics on dense tables</w:t>
            </w:r>
          </w:p>
        </w:tc>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6"/>
              </w:rPr>
              <w:t>Alternative</w:t>
            </w:r>
          </w:p>
        </w:tc>
      </w:tr>
      <w:tr>
        <w:trPr>
          <w:cantSplit/>
        </w:trPr>
        <w:tc>
          <w:tcPr>
            <w:tcW w:type="dxa" w:w="1008"/>
            <w:tcMar>
              <w:top w:w="60" w:type="dxa"/>
              <w:start w:w="110" w:type="dxa"/>
              <w:bottom w:w="60" w:type="dxa"/>
              <w:end w:w="110" w:type="dxa"/>
            </w:tcMar>
          </w:tcPr>
          <w:p>
            <w:pPr>
              <w:spacing w:after="0"/>
            </w:pPr>
            <w:r/>
            <w:r>
              <w:rPr>
                <w:rFonts w:ascii="Calibri" w:hAnsi="Calibri"/>
                <w:b w:val="0"/>
                <w:i w:val="0"/>
                <w:color w:val="101828"/>
                <w:sz w:val="16"/>
              </w:rPr>
              <w:t>C</w:t>
            </w:r>
          </w:p>
        </w:tc>
        <w:tc>
          <w:tcPr>
            <w:tcW w:type="dxa" w:w="1872"/>
            <w:tcMar>
              <w:top w:w="60" w:type="dxa"/>
              <w:start w:w="110" w:type="dxa"/>
              <w:bottom w:w="60" w:type="dxa"/>
              <w:end w:w="110" w:type="dxa"/>
            </w:tcMar>
          </w:tcPr>
          <w:p>
            <w:pPr>
              <w:spacing w:after="0"/>
            </w:pPr>
            <w:r/>
            <w:r>
              <w:rPr>
                <w:rFonts w:ascii="Calibri" w:hAnsi="Calibri"/>
                <w:b w:val="0"/>
                <w:i w:val="0"/>
                <w:color w:val="101828"/>
                <w:sz w:val="16"/>
              </w:rPr>
              <w:t>System stack (-apple-system, Segoe UI, Roboto)</w:t>
            </w:r>
          </w:p>
        </w:tc>
        <w:tc>
          <w:tcPr>
            <w:tcW w:type="dxa" w:w="2736"/>
            <w:tcMar>
              <w:top w:w="60" w:type="dxa"/>
              <w:start w:w="110" w:type="dxa"/>
              <w:bottom w:w="60" w:type="dxa"/>
              <w:end w:w="110" w:type="dxa"/>
            </w:tcMar>
          </w:tcPr>
          <w:p>
            <w:pPr>
              <w:spacing w:after="0"/>
            </w:pPr>
            <w:r/>
            <w:r>
              <w:rPr>
                <w:rFonts w:ascii="Calibri" w:hAnsi="Calibri"/>
                <w:b w:val="0"/>
                <w:i w:val="0"/>
                <w:color w:val="101828"/>
                <w:sz w:val="16"/>
              </w:rPr>
              <w:t>Zero payload, zero licensing risk, instant render on every device</w:t>
            </w:r>
          </w:p>
        </w:tc>
        <w:tc>
          <w:tcPr>
            <w:tcW w:type="dxa" w:w="2880"/>
            <w:tcMar>
              <w:top w:w="60" w:type="dxa"/>
              <w:start w:w="110" w:type="dxa"/>
              <w:bottom w:w="60" w:type="dxa"/>
              <w:end w:w="110" w:type="dxa"/>
            </w:tcMar>
          </w:tcPr>
          <w:p>
            <w:pPr>
              <w:spacing w:after="0"/>
            </w:pPr>
            <w:r/>
            <w:r>
              <w:rPr>
                <w:rFonts w:ascii="Calibri" w:hAnsi="Calibri"/>
                <w:b w:val="0"/>
                <w:i w:val="0"/>
                <w:color w:val="101828"/>
                <w:sz w:val="16"/>
              </w:rPr>
              <w:t>Inconsistent metrics across platforms; harder to guarantee the money-number rendering rule</w:t>
            </w:r>
          </w:p>
        </w:tc>
        <w:tc>
          <w:tcPr>
            <w:tcW w:type="dxa" w:w="1008"/>
            <w:tcMar>
              <w:top w:w="60" w:type="dxa"/>
              <w:start w:w="110" w:type="dxa"/>
              <w:bottom w:w="60" w:type="dxa"/>
              <w:end w:w="110" w:type="dxa"/>
            </w:tcMar>
          </w:tcPr>
          <w:p>
            <w:pPr>
              <w:spacing w:after="0"/>
            </w:pPr>
            <w:r/>
            <w:r>
              <w:rPr>
                <w:rFonts w:ascii="Calibri" w:hAnsi="Calibri"/>
                <w:b w:val="0"/>
                <w:i w:val="0"/>
                <w:color w:val="101828"/>
                <w:sz w:val="16"/>
              </w:rPr>
              <w:t>Fallback</w:t>
            </w:r>
          </w:p>
        </w:tc>
      </w:tr>
    </w:tbl>
    <w:p>
      <w:pPr>
        <w:spacing w:after="80"/>
      </w:pPr>
    </w:p>
    <w:p>
      <w:pPr>
        <w:spacing w:before="140" w:after="180"/>
        <w:ind w:left="144"/>
        <w:shd w:val="clear" w:color="auto" w:fill="EDE9FE"/>
        <w:pBdr>
          <w:left w:val="single" w:sz="18" w:space="6" w:color="7C3AED"/>
        </w:pBdr>
      </w:pPr>
      <w:r>
        <w:rPr>
          <w:rFonts w:ascii="Calibri" w:hAnsi="Calibri"/>
          <w:b/>
          <w:color w:val="7C3AED"/>
          <w:sz w:val="19"/>
        </w:rPr>
        <w:t xml:space="preserve">Open decision.  </w:t>
      </w:r>
      <w:r>
        <w:rPr>
          <w:rFonts w:ascii="Calibri" w:hAnsi="Calibri"/>
          <w:b w:val="0"/>
          <w:i w:val="0"/>
          <w:color w:val="0B1F3A"/>
          <w:sz w:val="19"/>
        </w:rPr>
        <w:t>The typeface is a recommendation, not a locked decision. Licence terms, self-hosting feasibility and a real rendering test on low-end Android devices common in the target market must be confirmed before the type scale is frozen.</w:t>
      </w:r>
    </w:p>
    <w:p>
      <w:pPr>
        <w:pStyle w:val="Heading3"/>
      </w:pPr>
      <w:r>
        <w:rPr>
          <w:rFonts w:ascii="Calibri" w:hAnsi="Calibri"/>
          <w:b/>
          <w:i w:val="0"/>
          <w:color w:val="0B1F3A"/>
          <w:sz w:val="24"/>
        </w:rPr>
        <w:t>5.3.2 Type scale</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Token</w:t>
            </w:r>
          </w:p>
        </w:tc>
        <w:tc>
          <w:tcPr>
            <w:tcW w:type="dxa" w:w="864"/>
            <w:shd w:val="clear" w:color="auto" w:fill="0B1F3A"/>
            <w:tcMar>
              <w:top w:w="60" w:type="dxa"/>
              <w:start w:w="110" w:type="dxa"/>
              <w:bottom w:w="60" w:type="dxa"/>
              <w:end w:w="110" w:type="dxa"/>
            </w:tcMar>
          </w:tcPr>
          <w:p>
            <w:pPr>
              <w:spacing w:after="0"/>
            </w:pPr>
            <w:r/>
            <w:r>
              <w:rPr>
                <w:rFonts w:ascii="Calibri" w:hAnsi="Calibri"/>
                <w:b/>
                <w:i w:val="0"/>
                <w:color w:val="FFFFFF"/>
                <w:sz w:val="16"/>
              </w:rPr>
              <w:t>Size</w:t>
            </w:r>
          </w:p>
        </w:tc>
        <w:tc>
          <w:tcPr>
            <w:tcW w:type="dxa" w:w="936"/>
            <w:shd w:val="clear" w:color="auto" w:fill="0B1F3A"/>
            <w:tcMar>
              <w:top w:w="60" w:type="dxa"/>
              <w:start w:w="110" w:type="dxa"/>
              <w:bottom w:w="60" w:type="dxa"/>
              <w:end w:w="110" w:type="dxa"/>
            </w:tcMar>
          </w:tcPr>
          <w:p>
            <w:pPr>
              <w:spacing w:after="0"/>
            </w:pPr>
            <w:r/>
            <w:r>
              <w:rPr>
                <w:rFonts w:ascii="Calibri" w:hAnsi="Calibri"/>
                <w:b/>
                <w:i w:val="0"/>
                <w:color w:val="FFFFFF"/>
                <w:sz w:val="16"/>
              </w:rPr>
              <w:t>Weight</w:t>
            </w:r>
          </w:p>
        </w:tc>
        <w:tc>
          <w:tcPr>
            <w:tcW w:type="dxa" w:w="1224"/>
            <w:shd w:val="clear" w:color="auto" w:fill="0B1F3A"/>
            <w:tcMar>
              <w:top w:w="60" w:type="dxa"/>
              <w:start w:w="110" w:type="dxa"/>
              <w:bottom w:w="60" w:type="dxa"/>
              <w:end w:w="110" w:type="dxa"/>
            </w:tcMar>
          </w:tcPr>
          <w:p>
            <w:pPr>
              <w:spacing w:after="0"/>
            </w:pPr>
            <w:r/>
            <w:r>
              <w:rPr>
                <w:rFonts w:ascii="Calibri" w:hAnsi="Calibri"/>
                <w:b/>
                <w:i w:val="0"/>
                <w:color w:val="FFFFFF"/>
                <w:sz w:val="16"/>
              </w:rPr>
              <w:t>Line height</w:t>
            </w:r>
          </w:p>
        </w:tc>
        <w:tc>
          <w:tcPr>
            <w:tcW w:type="dxa" w:w="1368"/>
            <w:shd w:val="clear" w:color="auto" w:fill="0B1F3A"/>
            <w:tcMar>
              <w:top w:w="60" w:type="dxa"/>
              <w:start w:w="110" w:type="dxa"/>
              <w:bottom w:w="60" w:type="dxa"/>
              <w:end w:w="110" w:type="dxa"/>
            </w:tcMar>
          </w:tcPr>
          <w:p>
            <w:pPr>
              <w:spacing w:after="0"/>
            </w:pPr>
            <w:r/>
            <w:r>
              <w:rPr>
                <w:rFonts w:ascii="Calibri" w:hAnsi="Calibri"/>
                <w:b/>
                <w:i w:val="0"/>
                <w:color w:val="FFFFFF"/>
                <w:sz w:val="16"/>
              </w:rPr>
              <w:t>Letter spacing</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6"/>
              </w:rPr>
              <w:t>Usage</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display-1</w:t>
            </w:r>
          </w:p>
        </w:tc>
        <w:tc>
          <w:tcPr>
            <w:tcW w:type="dxa" w:w="864"/>
            <w:tcMar>
              <w:top w:w="60" w:type="dxa"/>
              <w:start w:w="110" w:type="dxa"/>
              <w:bottom w:w="60" w:type="dxa"/>
              <w:end w:w="110" w:type="dxa"/>
            </w:tcMar>
          </w:tcPr>
          <w:p>
            <w:pPr>
              <w:spacing w:after="0"/>
            </w:pPr>
            <w:r/>
            <w:r>
              <w:rPr>
                <w:rFonts w:ascii="Calibri" w:hAnsi="Calibri"/>
                <w:b w:val="0"/>
                <w:i w:val="0"/>
                <w:color w:val="101828"/>
                <w:sz w:val="16"/>
              </w:rPr>
              <w:t>40 / 44px</w:t>
            </w:r>
          </w:p>
        </w:tc>
        <w:tc>
          <w:tcPr>
            <w:tcW w:type="dxa" w:w="936"/>
            <w:tcMar>
              <w:top w:w="60" w:type="dxa"/>
              <w:start w:w="110" w:type="dxa"/>
              <w:bottom w:w="60" w:type="dxa"/>
              <w:end w:w="110" w:type="dxa"/>
            </w:tcMar>
          </w:tcPr>
          <w:p>
            <w:pPr>
              <w:spacing w:after="0"/>
            </w:pPr>
            <w:r/>
            <w:r>
              <w:rPr>
                <w:rFonts w:ascii="Calibri" w:hAnsi="Calibri"/>
                <w:b w:val="0"/>
                <w:i w:val="0"/>
                <w:color w:val="101828"/>
                <w:sz w:val="16"/>
              </w:rPr>
              <w:t>700</w:t>
            </w:r>
          </w:p>
        </w:tc>
        <w:tc>
          <w:tcPr>
            <w:tcW w:type="dxa" w:w="1224"/>
            <w:tcMar>
              <w:top w:w="60" w:type="dxa"/>
              <w:start w:w="110" w:type="dxa"/>
              <w:bottom w:w="60" w:type="dxa"/>
              <w:end w:w="110" w:type="dxa"/>
            </w:tcMar>
          </w:tcPr>
          <w:p>
            <w:pPr>
              <w:spacing w:after="0"/>
            </w:pPr>
            <w:r/>
            <w:r>
              <w:rPr>
                <w:rFonts w:ascii="Calibri" w:hAnsi="Calibri"/>
                <w:b w:val="0"/>
                <w:i w:val="0"/>
                <w:color w:val="101828"/>
                <w:sz w:val="16"/>
              </w:rPr>
              <w:t>1.1</w:t>
            </w:r>
          </w:p>
        </w:tc>
        <w:tc>
          <w:tcPr>
            <w:tcW w:type="dxa" w:w="1368"/>
            <w:tcMar>
              <w:top w:w="60" w:type="dxa"/>
              <w:start w:w="110" w:type="dxa"/>
              <w:bottom w:w="60" w:type="dxa"/>
              <w:end w:w="110" w:type="dxa"/>
            </w:tcMar>
          </w:tcPr>
          <w:p>
            <w:pPr>
              <w:spacing w:after="0"/>
            </w:pPr>
            <w:r/>
            <w:r>
              <w:rPr>
                <w:rFonts w:ascii="Calibri" w:hAnsi="Calibri"/>
                <w:b w:val="0"/>
                <w:i w:val="0"/>
                <w:color w:val="101828"/>
                <w:sz w:val="16"/>
              </w:rPr>
              <w:t>-0.02em</w:t>
            </w:r>
          </w:p>
        </w:tc>
        <w:tc>
          <w:tcPr>
            <w:tcW w:type="dxa" w:w="3456"/>
            <w:tcMar>
              <w:top w:w="60" w:type="dxa"/>
              <w:start w:w="110" w:type="dxa"/>
              <w:bottom w:w="60" w:type="dxa"/>
              <w:end w:w="110" w:type="dxa"/>
            </w:tcMar>
          </w:tcPr>
          <w:p>
            <w:pPr>
              <w:spacing w:after="0"/>
            </w:pPr>
            <w:r/>
            <w:r>
              <w:rPr>
                <w:rFonts w:ascii="Calibri" w:hAnsi="Calibri"/>
                <w:b w:val="0"/>
                <w:i w:val="0"/>
                <w:color w:val="101828"/>
                <w:sz w:val="16"/>
              </w:rPr>
              <w:t>Marketing hero, payout-confirmation headline</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display-2</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6"/>
              </w:rPr>
              <w:t>32 / 38px</w:t>
            </w:r>
          </w:p>
        </w:tc>
        <w:tc>
          <w:tcPr>
            <w:tcW w:type="dxa" w:w="936"/>
            <w:tcMar>
              <w:top w:w="60" w:type="dxa"/>
              <w:start w:w="110" w:type="dxa"/>
              <w:bottom w:w="60" w:type="dxa"/>
              <w:end w:w="110" w:type="dxa"/>
            </w:tcMar>
            <w:shd w:val="clear" w:color="auto" w:fill="F4F7FB"/>
          </w:tcPr>
          <w:p>
            <w:pPr>
              <w:spacing w:after="0"/>
            </w:pPr>
            <w:r/>
            <w:r>
              <w:rPr>
                <w:rFonts w:ascii="Calibri" w:hAnsi="Calibri"/>
                <w:b w:val="0"/>
                <w:i w:val="0"/>
                <w:color w:val="101828"/>
                <w:sz w:val="16"/>
              </w:rPr>
              <w:t>700</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6"/>
              </w:rPr>
              <w:t>1.15</w:t>
            </w:r>
          </w:p>
        </w:tc>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6"/>
              </w:rPr>
              <w:t>-0.02em</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Ajo balance headline on mobile</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heading-1</w:t>
            </w:r>
          </w:p>
        </w:tc>
        <w:tc>
          <w:tcPr>
            <w:tcW w:type="dxa" w:w="864"/>
            <w:tcMar>
              <w:top w:w="60" w:type="dxa"/>
              <w:start w:w="110" w:type="dxa"/>
              <w:bottom w:w="60" w:type="dxa"/>
              <w:end w:w="110" w:type="dxa"/>
            </w:tcMar>
          </w:tcPr>
          <w:p>
            <w:pPr>
              <w:spacing w:after="0"/>
            </w:pPr>
            <w:r/>
            <w:r>
              <w:rPr>
                <w:rFonts w:ascii="Calibri" w:hAnsi="Calibri"/>
                <w:b w:val="0"/>
                <w:i w:val="0"/>
                <w:color w:val="101828"/>
                <w:sz w:val="16"/>
              </w:rPr>
              <w:t>24 / 32px</w:t>
            </w:r>
          </w:p>
        </w:tc>
        <w:tc>
          <w:tcPr>
            <w:tcW w:type="dxa" w:w="936"/>
            <w:tcMar>
              <w:top w:w="60" w:type="dxa"/>
              <w:start w:w="110" w:type="dxa"/>
              <w:bottom w:w="60" w:type="dxa"/>
              <w:end w:w="110" w:type="dxa"/>
            </w:tcMar>
          </w:tcPr>
          <w:p>
            <w:pPr>
              <w:spacing w:after="0"/>
            </w:pPr>
            <w:r/>
            <w:r>
              <w:rPr>
                <w:rFonts w:ascii="Calibri" w:hAnsi="Calibri"/>
                <w:b w:val="0"/>
                <w:i w:val="0"/>
                <w:color w:val="101828"/>
                <w:sz w:val="16"/>
              </w:rPr>
              <w:t>700</w:t>
            </w:r>
          </w:p>
        </w:tc>
        <w:tc>
          <w:tcPr>
            <w:tcW w:type="dxa" w:w="1224"/>
            <w:tcMar>
              <w:top w:w="60" w:type="dxa"/>
              <w:start w:w="110" w:type="dxa"/>
              <w:bottom w:w="60" w:type="dxa"/>
              <w:end w:w="110" w:type="dxa"/>
            </w:tcMar>
          </w:tcPr>
          <w:p>
            <w:pPr>
              <w:spacing w:after="0"/>
            </w:pPr>
            <w:r/>
            <w:r>
              <w:rPr>
                <w:rFonts w:ascii="Calibri" w:hAnsi="Calibri"/>
                <w:b w:val="0"/>
                <w:i w:val="0"/>
                <w:color w:val="101828"/>
                <w:sz w:val="16"/>
              </w:rPr>
              <w:t>1.2</w:t>
            </w:r>
          </w:p>
        </w:tc>
        <w:tc>
          <w:tcPr>
            <w:tcW w:type="dxa" w:w="1368"/>
            <w:tcMar>
              <w:top w:w="60" w:type="dxa"/>
              <w:start w:w="110" w:type="dxa"/>
              <w:bottom w:w="60" w:type="dxa"/>
              <w:end w:w="110" w:type="dxa"/>
            </w:tcMar>
          </w:tcPr>
          <w:p>
            <w:pPr>
              <w:spacing w:after="0"/>
            </w:pPr>
            <w:r/>
            <w:r>
              <w:rPr>
                <w:rFonts w:ascii="Calibri" w:hAnsi="Calibri"/>
                <w:b w:val="0"/>
                <w:i w:val="0"/>
                <w:color w:val="101828"/>
                <w:sz w:val="16"/>
              </w:rPr>
              <w:t>-0.01em</w:t>
            </w:r>
          </w:p>
        </w:tc>
        <w:tc>
          <w:tcPr>
            <w:tcW w:type="dxa" w:w="3456"/>
            <w:tcMar>
              <w:top w:w="60" w:type="dxa"/>
              <w:start w:w="110" w:type="dxa"/>
              <w:bottom w:w="60" w:type="dxa"/>
              <w:end w:w="110" w:type="dxa"/>
            </w:tcMar>
          </w:tcPr>
          <w:p>
            <w:pPr>
              <w:spacing w:after="0"/>
            </w:pPr>
            <w:r/>
            <w:r>
              <w:rPr>
                <w:rFonts w:ascii="Calibri" w:hAnsi="Calibri"/>
                <w:b w:val="0"/>
                <w:i w:val="0"/>
                <w:color w:val="101828"/>
                <w:sz w:val="16"/>
              </w:rPr>
              <w:t>Page title</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heading-2</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6"/>
              </w:rPr>
              <w:t>20 / 28px</w:t>
            </w:r>
          </w:p>
        </w:tc>
        <w:tc>
          <w:tcPr>
            <w:tcW w:type="dxa" w:w="936"/>
            <w:tcMar>
              <w:top w:w="60" w:type="dxa"/>
              <w:start w:w="110" w:type="dxa"/>
              <w:bottom w:w="60" w:type="dxa"/>
              <w:end w:w="110" w:type="dxa"/>
            </w:tcMar>
            <w:shd w:val="clear" w:color="auto" w:fill="F4F7FB"/>
          </w:tcPr>
          <w:p>
            <w:pPr>
              <w:spacing w:after="0"/>
            </w:pPr>
            <w:r/>
            <w:r>
              <w:rPr>
                <w:rFonts w:ascii="Calibri" w:hAnsi="Calibri"/>
                <w:b w:val="0"/>
                <w:i w:val="0"/>
                <w:color w:val="101828"/>
                <w:sz w:val="16"/>
              </w:rPr>
              <w:t>700</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6"/>
              </w:rPr>
              <w:t>1.25</w:t>
            </w:r>
          </w:p>
        </w:tc>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6"/>
              </w:rPr>
              <w:t>-0.01em</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Card title, section title</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heading-3</w:t>
            </w:r>
          </w:p>
        </w:tc>
        <w:tc>
          <w:tcPr>
            <w:tcW w:type="dxa" w:w="864"/>
            <w:tcMar>
              <w:top w:w="60" w:type="dxa"/>
              <w:start w:w="110" w:type="dxa"/>
              <w:bottom w:w="60" w:type="dxa"/>
              <w:end w:w="110" w:type="dxa"/>
            </w:tcMar>
          </w:tcPr>
          <w:p>
            <w:pPr>
              <w:spacing w:after="0"/>
            </w:pPr>
            <w:r/>
            <w:r>
              <w:rPr>
                <w:rFonts w:ascii="Calibri" w:hAnsi="Calibri"/>
                <w:b w:val="0"/>
                <w:i w:val="0"/>
                <w:color w:val="101828"/>
                <w:sz w:val="16"/>
              </w:rPr>
              <w:t>16 / 24px</w:t>
            </w:r>
          </w:p>
        </w:tc>
        <w:tc>
          <w:tcPr>
            <w:tcW w:type="dxa" w:w="936"/>
            <w:tcMar>
              <w:top w:w="60" w:type="dxa"/>
              <w:start w:w="110" w:type="dxa"/>
              <w:bottom w:w="60" w:type="dxa"/>
              <w:end w:w="110" w:type="dxa"/>
            </w:tcMar>
          </w:tcPr>
          <w:p>
            <w:pPr>
              <w:spacing w:after="0"/>
            </w:pPr>
            <w:r/>
            <w:r>
              <w:rPr>
                <w:rFonts w:ascii="Calibri" w:hAnsi="Calibri"/>
                <w:b w:val="0"/>
                <w:i w:val="0"/>
                <w:color w:val="101828"/>
                <w:sz w:val="16"/>
              </w:rPr>
              <w:t>600</w:t>
            </w:r>
          </w:p>
        </w:tc>
        <w:tc>
          <w:tcPr>
            <w:tcW w:type="dxa" w:w="1224"/>
            <w:tcMar>
              <w:top w:w="60" w:type="dxa"/>
              <w:start w:w="110" w:type="dxa"/>
              <w:bottom w:w="60" w:type="dxa"/>
              <w:end w:w="110" w:type="dxa"/>
            </w:tcMar>
          </w:tcPr>
          <w:p>
            <w:pPr>
              <w:spacing w:after="0"/>
            </w:pPr>
            <w:r/>
            <w:r>
              <w:rPr>
                <w:rFonts w:ascii="Calibri" w:hAnsi="Calibri"/>
                <w:b w:val="0"/>
                <w:i w:val="0"/>
                <w:color w:val="101828"/>
                <w:sz w:val="16"/>
              </w:rPr>
              <w:t>1.3</w:t>
            </w:r>
          </w:p>
        </w:tc>
        <w:tc>
          <w:tcPr>
            <w:tcW w:type="dxa" w:w="1368"/>
            <w:tcMar>
              <w:top w:w="60" w:type="dxa"/>
              <w:start w:w="110" w:type="dxa"/>
              <w:bottom w:w="60" w:type="dxa"/>
              <w:end w:w="110" w:type="dxa"/>
            </w:tcMar>
          </w:tcPr>
          <w:p>
            <w:pPr>
              <w:spacing w:after="0"/>
            </w:pPr>
            <w:r/>
            <w:r>
              <w:rPr>
                <w:rFonts w:ascii="Calibri" w:hAnsi="Calibri"/>
                <w:b w:val="0"/>
                <w:i w:val="0"/>
                <w:color w:val="101828"/>
                <w:sz w:val="16"/>
              </w:rPr>
              <w:t>0</w:t>
            </w:r>
          </w:p>
        </w:tc>
        <w:tc>
          <w:tcPr>
            <w:tcW w:type="dxa" w:w="3456"/>
            <w:tcMar>
              <w:top w:w="60" w:type="dxa"/>
              <w:start w:w="110" w:type="dxa"/>
              <w:bottom w:w="60" w:type="dxa"/>
              <w:end w:w="110" w:type="dxa"/>
            </w:tcMar>
          </w:tcPr>
          <w:p>
            <w:pPr>
              <w:spacing w:after="0"/>
            </w:pPr>
            <w:r/>
            <w:r>
              <w:rPr>
                <w:rFonts w:ascii="Calibri" w:hAnsi="Calibri"/>
                <w:b w:val="0"/>
                <w:i w:val="0"/>
                <w:color w:val="101828"/>
                <w:sz w:val="16"/>
              </w:rPr>
              <w:t>Sub-section, list-group title</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body-lg</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6"/>
              </w:rPr>
              <w:t>16 / 26px</w:t>
            </w:r>
          </w:p>
        </w:tc>
        <w:tc>
          <w:tcPr>
            <w:tcW w:type="dxa" w:w="936"/>
            <w:tcMar>
              <w:top w:w="60" w:type="dxa"/>
              <w:start w:w="110" w:type="dxa"/>
              <w:bottom w:w="60" w:type="dxa"/>
              <w:end w:w="110" w:type="dxa"/>
            </w:tcMar>
            <w:shd w:val="clear" w:color="auto" w:fill="F4F7FB"/>
          </w:tcPr>
          <w:p>
            <w:pPr>
              <w:spacing w:after="0"/>
            </w:pPr>
            <w:r/>
            <w:r>
              <w:rPr>
                <w:rFonts w:ascii="Calibri" w:hAnsi="Calibri"/>
                <w:b w:val="0"/>
                <w:i w:val="0"/>
                <w:color w:val="101828"/>
                <w:sz w:val="16"/>
              </w:rPr>
              <w:t>400</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6"/>
              </w:rPr>
              <w:t>1.5</w:t>
            </w:r>
          </w:p>
        </w:tc>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6"/>
              </w:rPr>
              <w:t>0</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Primary reading size, form input text</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body</w:t>
            </w:r>
          </w:p>
        </w:tc>
        <w:tc>
          <w:tcPr>
            <w:tcW w:type="dxa" w:w="864"/>
            <w:tcMar>
              <w:top w:w="60" w:type="dxa"/>
              <w:start w:w="110" w:type="dxa"/>
              <w:bottom w:w="60" w:type="dxa"/>
              <w:end w:w="110" w:type="dxa"/>
            </w:tcMar>
          </w:tcPr>
          <w:p>
            <w:pPr>
              <w:spacing w:after="0"/>
            </w:pPr>
            <w:r/>
            <w:r>
              <w:rPr>
                <w:rFonts w:ascii="Calibri" w:hAnsi="Calibri"/>
                <w:b w:val="0"/>
                <w:i w:val="0"/>
                <w:color w:val="101828"/>
                <w:sz w:val="16"/>
              </w:rPr>
              <w:t>15 / 23px</w:t>
            </w:r>
          </w:p>
        </w:tc>
        <w:tc>
          <w:tcPr>
            <w:tcW w:type="dxa" w:w="936"/>
            <w:tcMar>
              <w:top w:w="60" w:type="dxa"/>
              <w:start w:w="110" w:type="dxa"/>
              <w:bottom w:w="60" w:type="dxa"/>
              <w:end w:w="110" w:type="dxa"/>
            </w:tcMar>
          </w:tcPr>
          <w:p>
            <w:pPr>
              <w:spacing w:after="0"/>
            </w:pPr>
            <w:r/>
            <w:r>
              <w:rPr>
                <w:rFonts w:ascii="Calibri" w:hAnsi="Calibri"/>
                <w:b w:val="0"/>
                <w:i w:val="0"/>
                <w:color w:val="101828"/>
                <w:sz w:val="16"/>
              </w:rPr>
              <w:t>400</w:t>
            </w:r>
          </w:p>
        </w:tc>
        <w:tc>
          <w:tcPr>
            <w:tcW w:type="dxa" w:w="1224"/>
            <w:tcMar>
              <w:top w:w="60" w:type="dxa"/>
              <w:start w:w="110" w:type="dxa"/>
              <w:bottom w:w="60" w:type="dxa"/>
              <w:end w:w="110" w:type="dxa"/>
            </w:tcMar>
          </w:tcPr>
          <w:p>
            <w:pPr>
              <w:spacing w:after="0"/>
            </w:pPr>
            <w:r/>
            <w:r>
              <w:rPr>
                <w:rFonts w:ascii="Calibri" w:hAnsi="Calibri"/>
                <w:b w:val="0"/>
                <w:i w:val="0"/>
                <w:color w:val="101828"/>
                <w:sz w:val="16"/>
              </w:rPr>
              <w:t>1.5</w:t>
            </w:r>
          </w:p>
        </w:tc>
        <w:tc>
          <w:tcPr>
            <w:tcW w:type="dxa" w:w="1368"/>
            <w:tcMar>
              <w:top w:w="60" w:type="dxa"/>
              <w:start w:w="110" w:type="dxa"/>
              <w:bottom w:w="60" w:type="dxa"/>
              <w:end w:w="110" w:type="dxa"/>
            </w:tcMar>
          </w:tcPr>
          <w:p>
            <w:pPr>
              <w:spacing w:after="0"/>
            </w:pPr>
            <w:r/>
            <w:r>
              <w:rPr>
                <w:rFonts w:ascii="Calibri" w:hAnsi="Calibri"/>
                <w:b w:val="0"/>
                <w:i w:val="0"/>
                <w:color w:val="101828"/>
                <w:sz w:val="16"/>
              </w:rPr>
              <w:t>0</w:t>
            </w:r>
          </w:p>
        </w:tc>
        <w:tc>
          <w:tcPr>
            <w:tcW w:type="dxa" w:w="3456"/>
            <w:tcMar>
              <w:top w:w="60" w:type="dxa"/>
              <w:start w:w="110" w:type="dxa"/>
              <w:bottom w:w="60" w:type="dxa"/>
              <w:end w:w="110" w:type="dxa"/>
            </w:tcMar>
          </w:tcPr>
          <w:p>
            <w:pPr>
              <w:spacing w:after="0"/>
            </w:pPr>
            <w:r/>
            <w:r>
              <w:rPr>
                <w:rFonts w:ascii="Calibri" w:hAnsi="Calibri"/>
                <w:b w:val="0"/>
                <w:i w:val="0"/>
                <w:color w:val="101828"/>
                <w:sz w:val="16"/>
              </w:rPr>
              <w:t>Default body copy</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body-sm</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6"/>
              </w:rPr>
              <w:t>13 / 20px</w:t>
            </w:r>
          </w:p>
        </w:tc>
        <w:tc>
          <w:tcPr>
            <w:tcW w:type="dxa" w:w="936"/>
            <w:tcMar>
              <w:top w:w="60" w:type="dxa"/>
              <w:start w:w="110" w:type="dxa"/>
              <w:bottom w:w="60" w:type="dxa"/>
              <w:end w:w="110" w:type="dxa"/>
            </w:tcMar>
            <w:shd w:val="clear" w:color="auto" w:fill="F4F7FB"/>
          </w:tcPr>
          <w:p>
            <w:pPr>
              <w:spacing w:after="0"/>
            </w:pPr>
            <w:r/>
            <w:r>
              <w:rPr>
                <w:rFonts w:ascii="Calibri" w:hAnsi="Calibri"/>
                <w:b w:val="0"/>
                <w:i w:val="0"/>
                <w:color w:val="101828"/>
                <w:sz w:val="16"/>
              </w:rPr>
              <w:t>400</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6"/>
              </w:rPr>
              <w:t>1.45</w:t>
            </w:r>
          </w:p>
        </w:tc>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6"/>
              </w:rPr>
              <w:t>0</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Table cells, helper text</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label</w:t>
            </w:r>
          </w:p>
        </w:tc>
        <w:tc>
          <w:tcPr>
            <w:tcW w:type="dxa" w:w="864"/>
            <w:tcMar>
              <w:top w:w="60" w:type="dxa"/>
              <w:start w:w="110" w:type="dxa"/>
              <w:bottom w:w="60" w:type="dxa"/>
              <w:end w:w="110" w:type="dxa"/>
            </w:tcMar>
          </w:tcPr>
          <w:p>
            <w:pPr>
              <w:spacing w:after="0"/>
            </w:pPr>
            <w:r/>
            <w:r>
              <w:rPr>
                <w:rFonts w:ascii="Calibri" w:hAnsi="Calibri"/>
                <w:b w:val="0"/>
                <w:i w:val="0"/>
                <w:color w:val="101828"/>
                <w:sz w:val="16"/>
              </w:rPr>
              <w:t>13 / 18px</w:t>
            </w:r>
          </w:p>
        </w:tc>
        <w:tc>
          <w:tcPr>
            <w:tcW w:type="dxa" w:w="936"/>
            <w:tcMar>
              <w:top w:w="60" w:type="dxa"/>
              <w:start w:w="110" w:type="dxa"/>
              <w:bottom w:w="60" w:type="dxa"/>
              <w:end w:w="110" w:type="dxa"/>
            </w:tcMar>
          </w:tcPr>
          <w:p>
            <w:pPr>
              <w:spacing w:after="0"/>
            </w:pPr>
            <w:r/>
            <w:r>
              <w:rPr>
                <w:rFonts w:ascii="Calibri" w:hAnsi="Calibri"/>
                <w:b w:val="0"/>
                <w:i w:val="0"/>
                <w:color w:val="101828"/>
                <w:sz w:val="16"/>
              </w:rPr>
              <w:t>600</w:t>
            </w:r>
          </w:p>
        </w:tc>
        <w:tc>
          <w:tcPr>
            <w:tcW w:type="dxa" w:w="1224"/>
            <w:tcMar>
              <w:top w:w="60" w:type="dxa"/>
              <w:start w:w="110" w:type="dxa"/>
              <w:bottom w:w="60" w:type="dxa"/>
              <w:end w:w="110" w:type="dxa"/>
            </w:tcMar>
          </w:tcPr>
          <w:p>
            <w:pPr>
              <w:spacing w:after="0"/>
            </w:pPr>
            <w:r/>
            <w:r>
              <w:rPr>
                <w:rFonts w:ascii="Calibri" w:hAnsi="Calibri"/>
                <w:b w:val="0"/>
                <w:i w:val="0"/>
                <w:color w:val="101828"/>
                <w:sz w:val="16"/>
              </w:rPr>
              <w:t>1.3</w:t>
            </w:r>
          </w:p>
        </w:tc>
        <w:tc>
          <w:tcPr>
            <w:tcW w:type="dxa" w:w="1368"/>
            <w:tcMar>
              <w:top w:w="60" w:type="dxa"/>
              <w:start w:w="110" w:type="dxa"/>
              <w:bottom w:w="60" w:type="dxa"/>
              <w:end w:w="110" w:type="dxa"/>
            </w:tcMar>
          </w:tcPr>
          <w:p>
            <w:pPr>
              <w:spacing w:after="0"/>
            </w:pPr>
            <w:r/>
            <w:r>
              <w:rPr>
                <w:rFonts w:ascii="Calibri" w:hAnsi="Calibri"/>
                <w:b w:val="0"/>
                <w:i w:val="0"/>
                <w:color w:val="101828"/>
                <w:sz w:val="16"/>
              </w:rPr>
              <w:t>0.01em</w:t>
            </w:r>
          </w:p>
        </w:tc>
        <w:tc>
          <w:tcPr>
            <w:tcW w:type="dxa" w:w="3456"/>
            <w:tcMar>
              <w:top w:w="60" w:type="dxa"/>
              <w:start w:w="110" w:type="dxa"/>
              <w:bottom w:w="60" w:type="dxa"/>
              <w:end w:w="110" w:type="dxa"/>
            </w:tcMar>
          </w:tcPr>
          <w:p>
            <w:pPr>
              <w:spacing w:after="0"/>
            </w:pPr>
            <w:r/>
            <w:r>
              <w:rPr>
                <w:rFonts w:ascii="Calibri" w:hAnsi="Calibri"/>
                <w:b w:val="0"/>
                <w:i w:val="0"/>
                <w:color w:val="101828"/>
                <w:sz w:val="16"/>
              </w:rPr>
              <w:t>Form labels, table headers</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caption</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6"/>
              </w:rPr>
              <w:t>12 / 17px</w:t>
            </w:r>
          </w:p>
        </w:tc>
        <w:tc>
          <w:tcPr>
            <w:tcW w:type="dxa" w:w="936"/>
            <w:tcMar>
              <w:top w:w="60" w:type="dxa"/>
              <w:start w:w="110" w:type="dxa"/>
              <w:bottom w:w="60" w:type="dxa"/>
              <w:end w:w="110" w:type="dxa"/>
            </w:tcMar>
            <w:shd w:val="clear" w:color="auto" w:fill="F4F7FB"/>
          </w:tcPr>
          <w:p>
            <w:pPr>
              <w:spacing w:after="0"/>
            </w:pPr>
            <w:r/>
            <w:r>
              <w:rPr>
                <w:rFonts w:ascii="Calibri" w:hAnsi="Calibri"/>
                <w:b w:val="0"/>
                <w:i w:val="0"/>
                <w:color w:val="101828"/>
                <w:sz w:val="16"/>
              </w:rPr>
              <w:t>400</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6"/>
              </w:rPr>
              <w:t>1.4</w:t>
            </w:r>
          </w:p>
        </w:tc>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6"/>
              </w:rPr>
              <w:t>0.01em</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Timestamps, footnotes, legal text</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money-lg</w:t>
            </w:r>
          </w:p>
        </w:tc>
        <w:tc>
          <w:tcPr>
            <w:tcW w:type="dxa" w:w="864"/>
            <w:tcMar>
              <w:top w:w="60" w:type="dxa"/>
              <w:start w:w="110" w:type="dxa"/>
              <w:bottom w:w="60" w:type="dxa"/>
              <w:end w:w="110" w:type="dxa"/>
            </w:tcMar>
          </w:tcPr>
          <w:p>
            <w:pPr>
              <w:spacing w:after="0"/>
            </w:pPr>
            <w:r/>
            <w:r>
              <w:rPr>
                <w:rFonts w:ascii="Calibri" w:hAnsi="Calibri"/>
                <w:b w:val="0"/>
                <w:i w:val="0"/>
                <w:color w:val="101828"/>
                <w:sz w:val="16"/>
              </w:rPr>
              <w:t>28 / 34px</w:t>
            </w:r>
          </w:p>
        </w:tc>
        <w:tc>
          <w:tcPr>
            <w:tcW w:type="dxa" w:w="936"/>
            <w:tcMar>
              <w:top w:w="60" w:type="dxa"/>
              <w:start w:w="110" w:type="dxa"/>
              <w:bottom w:w="60" w:type="dxa"/>
              <w:end w:w="110" w:type="dxa"/>
            </w:tcMar>
          </w:tcPr>
          <w:p>
            <w:pPr>
              <w:spacing w:after="0"/>
            </w:pPr>
            <w:r/>
            <w:r>
              <w:rPr>
                <w:rFonts w:ascii="Calibri" w:hAnsi="Calibri"/>
                <w:b w:val="0"/>
                <w:i w:val="0"/>
                <w:color w:val="101828"/>
                <w:sz w:val="16"/>
              </w:rPr>
              <w:t>700</w:t>
            </w:r>
          </w:p>
        </w:tc>
        <w:tc>
          <w:tcPr>
            <w:tcW w:type="dxa" w:w="1224"/>
            <w:tcMar>
              <w:top w:w="60" w:type="dxa"/>
              <w:start w:w="110" w:type="dxa"/>
              <w:bottom w:w="60" w:type="dxa"/>
              <w:end w:w="110" w:type="dxa"/>
            </w:tcMar>
          </w:tcPr>
          <w:p>
            <w:pPr>
              <w:spacing w:after="0"/>
            </w:pPr>
            <w:r/>
            <w:r>
              <w:rPr>
                <w:rFonts w:ascii="Calibri" w:hAnsi="Calibri"/>
                <w:b w:val="0"/>
                <w:i w:val="0"/>
                <w:color w:val="101828"/>
                <w:sz w:val="16"/>
              </w:rPr>
              <w:t>1.1</w:t>
            </w:r>
          </w:p>
        </w:tc>
        <w:tc>
          <w:tcPr>
            <w:tcW w:type="dxa" w:w="1368"/>
            <w:tcMar>
              <w:top w:w="60" w:type="dxa"/>
              <w:start w:w="110" w:type="dxa"/>
              <w:bottom w:w="60" w:type="dxa"/>
              <w:end w:w="110" w:type="dxa"/>
            </w:tcMar>
          </w:tcPr>
          <w:p>
            <w:pPr>
              <w:spacing w:after="0"/>
            </w:pPr>
            <w:r/>
            <w:r>
              <w:rPr>
                <w:rFonts w:ascii="Calibri" w:hAnsi="Calibri"/>
                <w:b w:val="0"/>
                <w:i w:val="0"/>
                <w:color w:val="101828"/>
                <w:sz w:val="16"/>
              </w:rPr>
              <w:t>-0.01em</w:t>
            </w:r>
          </w:p>
        </w:tc>
        <w:tc>
          <w:tcPr>
            <w:tcW w:type="dxa" w:w="3456"/>
            <w:tcMar>
              <w:top w:w="60" w:type="dxa"/>
              <w:start w:w="110" w:type="dxa"/>
              <w:bottom w:w="60" w:type="dxa"/>
              <w:end w:w="110" w:type="dxa"/>
            </w:tcMar>
          </w:tcPr>
          <w:p>
            <w:pPr>
              <w:spacing w:after="0"/>
            </w:pPr>
            <w:r/>
            <w:r>
              <w:rPr>
                <w:rFonts w:ascii="Calibri" w:hAnsi="Calibri"/>
                <w:b w:val="0"/>
                <w:i w:val="0"/>
                <w:color w:val="101828"/>
                <w:sz w:val="16"/>
              </w:rPr>
              <w:t>Payout amount, Ajo pot — tabular figures</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money-md</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6"/>
              </w:rPr>
              <w:t>20 / 26px</w:t>
            </w:r>
          </w:p>
        </w:tc>
        <w:tc>
          <w:tcPr>
            <w:tcW w:type="dxa" w:w="936"/>
            <w:tcMar>
              <w:top w:w="60" w:type="dxa"/>
              <w:start w:w="110" w:type="dxa"/>
              <w:bottom w:w="60" w:type="dxa"/>
              <w:end w:w="110" w:type="dxa"/>
            </w:tcMar>
            <w:shd w:val="clear" w:color="auto" w:fill="F4F7FB"/>
          </w:tcPr>
          <w:p>
            <w:pPr>
              <w:spacing w:after="0"/>
            </w:pPr>
            <w:r/>
            <w:r>
              <w:rPr>
                <w:rFonts w:ascii="Calibri" w:hAnsi="Calibri"/>
                <w:b w:val="0"/>
                <w:i w:val="0"/>
                <w:color w:val="101828"/>
                <w:sz w:val="16"/>
              </w:rPr>
              <w:t>600</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6"/>
              </w:rPr>
              <w:t>1.2</w:t>
            </w:r>
          </w:p>
        </w:tc>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6"/>
              </w:rPr>
              <w:t>0</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Contribution amount, schedule cell</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money-sm</w:t>
            </w:r>
          </w:p>
        </w:tc>
        <w:tc>
          <w:tcPr>
            <w:tcW w:type="dxa" w:w="864"/>
            <w:tcMar>
              <w:top w:w="60" w:type="dxa"/>
              <w:start w:w="110" w:type="dxa"/>
              <w:bottom w:w="60" w:type="dxa"/>
              <w:end w:w="110" w:type="dxa"/>
            </w:tcMar>
          </w:tcPr>
          <w:p>
            <w:pPr>
              <w:spacing w:after="0"/>
            </w:pPr>
            <w:r/>
            <w:r>
              <w:rPr>
                <w:rFonts w:ascii="Calibri" w:hAnsi="Calibri"/>
                <w:b w:val="0"/>
                <w:i w:val="0"/>
                <w:color w:val="101828"/>
                <w:sz w:val="16"/>
              </w:rPr>
              <w:t>15 / 21px</w:t>
            </w:r>
          </w:p>
        </w:tc>
        <w:tc>
          <w:tcPr>
            <w:tcW w:type="dxa" w:w="936"/>
            <w:tcMar>
              <w:top w:w="60" w:type="dxa"/>
              <w:start w:w="110" w:type="dxa"/>
              <w:bottom w:w="60" w:type="dxa"/>
              <w:end w:w="110" w:type="dxa"/>
            </w:tcMar>
          </w:tcPr>
          <w:p>
            <w:pPr>
              <w:spacing w:after="0"/>
            </w:pPr>
            <w:r/>
            <w:r>
              <w:rPr>
                <w:rFonts w:ascii="Calibri" w:hAnsi="Calibri"/>
                <w:b w:val="0"/>
                <w:i w:val="0"/>
                <w:color w:val="101828"/>
                <w:sz w:val="16"/>
              </w:rPr>
              <w:t>600</w:t>
            </w:r>
          </w:p>
        </w:tc>
        <w:tc>
          <w:tcPr>
            <w:tcW w:type="dxa" w:w="1224"/>
            <w:tcMar>
              <w:top w:w="60" w:type="dxa"/>
              <w:start w:w="110" w:type="dxa"/>
              <w:bottom w:w="60" w:type="dxa"/>
              <w:end w:w="110" w:type="dxa"/>
            </w:tcMar>
          </w:tcPr>
          <w:p>
            <w:pPr>
              <w:spacing w:after="0"/>
            </w:pPr>
            <w:r/>
            <w:r>
              <w:rPr>
                <w:rFonts w:ascii="Calibri" w:hAnsi="Calibri"/>
                <w:b w:val="0"/>
                <w:i w:val="0"/>
                <w:color w:val="101828"/>
                <w:sz w:val="16"/>
              </w:rPr>
              <w:t>1.2</w:t>
            </w:r>
          </w:p>
        </w:tc>
        <w:tc>
          <w:tcPr>
            <w:tcW w:type="dxa" w:w="1368"/>
            <w:tcMar>
              <w:top w:w="60" w:type="dxa"/>
              <w:start w:w="110" w:type="dxa"/>
              <w:bottom w:w="60" w:type="dxa"/>
              <w:end w:w="110" w:type="dxa"/>
            </w:tcMar>
          </w:tcPr>
          <w:p>
            <w:pPr>
              <w:spacing w:after="0"/>
            </w:pPr>
            <w:r/>
            <w:r>
              <w:rPr>
                <w:rFonts w:ascii="Calibri" w:hAnsi="Calibri"/>
                <w:b w:val="0"/>
                <w:i w:val="0"/>
                <w:color w:val="101828"/>
                <w:sz w:val="16"/>
              </w:rPr>
              <w:t>0</w:t>
            </w:r>
          </w:p>
        </w:tc>
        <w:tc>
          <w:tcPr>
            <w:tcW w:type="dxa" w:w="3456"/>
            <w:tcMar>
              <w:top w:w="60" w:type="dxa"/>
              <w:start w:w="110" w:type="dxa"/>
              <w:bottom w:w="60" w:type="dxa"/>
              <w:end w:w="110" w:type="dxa"/>
            </w:tcMar>
          </w:tcPr>
          <w:p>
            <w:pPr>
              <w:spacing w:after="0"/>
            </w:pPr>
            <w:r/>
            <w:r>
              <w:rPr>
                <w:rFonts w:ascii="Calibri" w:hAnsi="Calibri"/>
                <w:b w:val="0"/>
                <w:i w:val="0"/>
                <w:color w:val="101828"/>
                <w:sz w:val="16"/>
              </w:rPr>
              <w:t>Transaction-list amount, table money column</w:t>
            </w:r>
          </w:p>
        </w:tc>
      </w:tr>
    </w:tbl>
    <w:p>
      <w:pPr>
        <w:spacing w:after="80"/>
      </w:pPr>
    </w:p>
    <w:p>
      <w:pPr>
        <w:pStyle w:val="ListBullet"/>
        <w:spacing w:after="60"/>
        <w:ind w:left="360"/>
      </w:pPr>
      <w:r>
        <w:rPr>
          <w:rFonts w:ascii="Calibri" w:hAnsi="Calibri"/>
          <w:b/>
          <w:color w:val="101828"/>
          <w:sz w:val="21"/>
        </w:rPr>
        <w:t>Tabular figures are mandatory</w:t>
      </w:r>
      <w:r>
        <w:rPr>
          <w:rFonts w:ascii="Calibri" w:hAnsi="Calibri"/>
          <w:b w:val="0"/>
          <w:i w:val="0"/>
          <w:color w:val="101828"/>
          <w:sz w:val="21"/>
        </w:rPr>
        <w:t xml:space="preserve"> for every money token. </w:t>
      </w:r>
      <w:r>
        <w:rPr>
          <w:rFonts w:ascii="Consolas" w:hAnsi="Consolas"/>
          <w:color w:val="146EF5"/>
          <w:sz w:val="21"/>
        </w:rPr>
        <w:t>font-variant-numeric: tabular-nums</w:t>
      </w:r>
      <w:r>
        <w:rPr>
          <w:rFonts w:ascii="Calibri" w:hAnsi="Calibri"/>
          <w:b w:val="0"/>
          <w:i w:val="0"/>
          <w:color w:val="101828"/>
          <w:sz w:val="21"/>
        </w:rPr>
        <w:t xml:space="preserve"> on web, </w:t>
      </w:r>
      <w:r>
        <w:rPr>
          <w:rFonts w:ascii="Consolas" w:hAnsi="Consolas"/>
          <w:color w:val="146EF5"/>
          <w:sz w:val="21"/>
        </w:rPr>
        <w:t>fontVariant: ['tabular-nums']</w:t>
      </w:r>
      <w:r>
        <w:rPr>
          <w:rFonts w:ascii="Calibri" w:hAnsi="Calibri"/>
          <w:b w:val="0"/>
          <w:i w:val="0"/>
          <w:color w:val="101828"/>
          <w:sz w:val="21"/>
        </w:rPr>
        <w:t xml:space="preserve"> on native. Without this, amounts in a column will not align and a NGN 9.00 can read as NGN 8.00.</w:t>
      </w:r>
    </w:p>
    <w:p>
      <w:pPr>
        <w:pStyle w:val="ListBullet"/>
        <w:spacing w:after="60"/>
        <w:ind w:left="360"/>
      </w:pPr>
      <w:r>
        <w:rPr>
          <w:rFonts w:ascii="Calibri" w:hAnsi="Calibri"/>
          <w:b w:val="0"/>
          <w:i w:val="0"/>
          <w:color w:val="101828"/>
          <w:sz w:val="21"/>
        </w:rPr>
        <w:t>Never set a money figure in a weight lighter than 600 — thin numerals disappear on a phone screen in daylight.</w:t>
      </w:r>
    </w:p>
    <w:p>
      <w:pPr>
        <w:pStyle w:val="ListBullet"/>
        <w:spacing w:after="60"/>
        <w:ind w:left="360"/>
      </w:pPr>
      <w:r>
        <w:rPr>
          <w:rFonts w:ascii="Calibri" w:hAnsi="Calibri"/>
          <w:b w:val="0"/>
          <w:i w:val="0"/>
          <w:color w:val="101828"/>
          <w:sz w:val="21"/>
        </w:rPr>
        <w:t>Never abbreviate a money figure. NGN 1,000,000.00 is written in full, with separators. A member checking a statement must never be asked to do arithmetic.</w:t>
      </w:r>
    </w:p>
    <w:p>
      <w:pPr>
        <w:pStyle w:val="Heading2"/>
      </w:pPr>
      <w:r>
        <w:rPr>
          <w:rFonts w:ascii="Calibri" w:hAnsi="Calibri"/>
          <w:b/>
          <w:i w:val="0"/>
          <w:color w:val="146EF5"/>
          <w:sz w:val="29"/>
        </w:rPr>
        <w:t>5.4 Spacing scale</w:t>
      </w:r>
    </w:p>
    <w:p>
      <w:r>
        <w:rPr>
          <w:rFonts w:ascii="Calibri" w:hAnsi="Calibri"/>
          <w:b w:val="0"/>
          <w:i w:val="0"/>
          <w:color w:val="101828"/>
          <w:sz w:val="21"/>
        </w:rPr>
        <w:t>4pt base. Every gap in the product is a multiple of 4.</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Token</w:t>
            </w:r>
          </w:p>
        </w:tc>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6"/>
              </w:rPr>
              <w:t>Value</w:t>
            </w:r>
          </w:p>
        </w:tc>
        <w:tc>
          <w:tcPr>
            <w:tcW w:type="dxa" w:w="6624"/>
            <w:shd w:val="clear" w:color="auto" w:fill="0B1F3A"/>
            <w:tcMar>
              <w:top w:w="60" w:type="dxa"/>
              <w:start w:w="110" w:type="dxa"/>
              <w:bottom w:w="60" w:type="dxa"/>
              <w:end w:w="110" w:type="dxa"/>
            </w:tcMar>
          </w:tcPr>
          <w:p>
            <w:pPr>
              <w:spacing w:after="0"/>
            </w:pPr>
            <w:r/>
            <w:r>
              <w:rPr>
                <w:rFonts w:ascii="Calibri" w:hAnsi="Calibri"/>
                <w:b/>
                <w:i w:val="0"/>
                <w:color w:val="FFFFFF"/>
                <w:sz w:val="16"/>
              </w:rPr>
              <w:t>Typical use</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space-0</w:t>
            </w:r>
          </w:p>
        </w:tc>
        <w:tc>
          <w:tcPr>
            <w:tcW w:type="dxa" w:w="1152"/>
            <w:tcMar>
              <w:top w:w="60" w:type="dxa"/>
              <w:start w:w="110" w:type="dxa"/>
              <w:bottom w:w="60" w:type="dxa"/>
              <w:end w:w="110" w:type="dxa"/>
            </w:tcMar>
          </w:tcPr>
          <w:p>
            <w:pPr>
              <w:spacing w:after="0"/>
            </w:pPr>
            <w:r/>
            <w:r>
              <w:rPr>
                <w:rFonts w:ascii="Calibri" w:hAnsi="Calibri"/>
                <w:b w:val="0"/>
                <w:i w:val="0"/>
                <w:color w:val="101828"/>
                <w:sz w:val="16"/>
              </w:rPr>
              <w:t>0</w:t>
            </w:r>
          </w:p>
        </w:tc>
        <w:tc>
          <w:tcPr>
            <w:tcW w:type="dxa" w:w="6624"/>
            <w:tcMar>
              <w:top w:w="60" w:type="dxa"/>
              <w:start w:w="110" w:type="dxa"/>
              <w:bottom w:w="60" w:type="dxa"/>
              <w:end w:w="110" w:type="dxa"/>
            </w:tcMar>
          </w:tcPr>
          <w:p>
            <w:pPr>
              <w:spacing w:after="0"/>
            </w:pPr>
            <w:r/>
            <w:r>
              <w:rPr>
                <w:rFonts w:ascii="Calibri" w:hAnsi="Calibri"/>
                <w:b w:val="0"/>
                <w:i w:val="0"/>
                <w:color w:val="101828"/>
                <w:sz w:val="16"/>
              </w:rPr>
              <w:t>Reset</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space-1</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4px</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6"/>
              </w:rPr>
              <w:t>Icon to label, badge padding-y</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space-2</w:t>
            </w:r>
          </w:p>
        </w:tc>
        <w:tc>
          <w:tcPr>
            <w:tcW w:type="dxa" w:w="1152"/>
            <w:tcMar>
              <w:top w:w="60" w:type="dxa"/>
              <w:start w:w="110" w:type="dxa"/>
              <w:bottom w:w="60" w:type="dxa"/>
              <w:end w:w="110" w:type="dxa"/>
            </w:tcMar>
          </w:tcPr>
          <w:p>
            <w:pPr>
              <w:spacing w:after="0"/>
            </w:pPr>
            <w:r/>
            <w:r>
              <w:rPr>
                <w:rFonts w:ascii="Calibri" w:hAnsi="Calibri"/>
                <w:b w:val="0"/>
                <w:i w:val="0"/>
                <w:color w:val="101828"/>
                <w:sz w:val="16"/>
              </w:rPr>
              <w:t>8px</w:t>
            </w:r>
          </w:p>
        </w:tc>
        <w:tc>
          <w:tcPr>
            <w:tcW w:type="dxa" w:w="6624"/>
            <w:tcMar>
              <w:top w:w="60" w:type="dxa"/>
              <w:start w:w="110" w:type="dxa"/>
              <w:bottom w:w="60" w:type="dxa"/>
              <w:end w:w="110" w:type="dxa"/>
            </w:tcMar>
          </w:tcPr>
          <w:p>
            <w:pPr>
              <w:spacing w:after="0"/>
            </w:pPr>
            <w:r/>
            <w:r>
              <w:rPr>
                <w:rFonts w:ascii="Calibri" w:hAnsi="Calibri"/>
                <w:b w:val="0"/>
                <w:i w:val="0"/>
                <w:color w:val="101828"/>
                <w:sz w:val="16"/>
              </w:rPr>
              <w:t>Chip padding, tight label gap</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space-3</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12px</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6"/>
              </w:rPr>
              <w:t>List item internal gap, input label to field</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space-4</w:t>
            </w:r>
          </w:p>
        </w:tc>
        <w:tc>
          <w:tcPr>
            <w:tcW w:type="dxa" w:w="1152"/>
            <w:tcMar>
              <w:top w:w="60" w:type="dxa"/>
              <w:start w:w="110" w:type="dxa"/>
              <w:bottom w:w="60" w:type="dxa"/>
              <w:end w:w="110" w:type="dxa"/>
            </w:tcMar>
          </w:tcPr>
          <w:p>
            <w:pPr>
              <w:spacing w:after="0"/>
            </w:pPr>
            <w:r/>
            <w:r>
              <w:rPr>
                <w:rFonts w:ascii="Calibri" w:hAnsi="Calibri"/>
                <w:b w:val="0"/>
                <w:i w:val="0"/>
                <w:color w:val="101828"/>
                <w:sz w:val="16"/>
              </w:rPr>
              <w:t>16px</w:t>
            </w:r>
          </w:p>
        </w:tc>
        <w:tc>
          <w:tcPr>
            <w:tcW w:type="dxa" w:w="6624"/>
            <w:tcMar>
              <w:top w:w="60" w:type="dxa"/>
              <w:start w:w="110" w:type="dxa"/>
              <w:bottom w:w="60" w:type="dxa"/>
              <w:end w:w="110" w:type="dxa"/>
            </w:tcMar>
          </w:tcPr>
          <w:p>
            <w:pPr>
              <w:spacing w:after="0"/>
            </w:pPr>
            <w:r/>
            <w:r>
              <w:rPr>
                <w:rFonts w:ascii="Calibri" w:hAnsi="Calibri"/>
                <w:b w:val="0"/>
                <w:i w:val="0"/>
                <w:color w:val="101828"/>
                <w:sz w:val="16"/>
              </w:rPr>
              <w:t>Default card padding (mobile), button icon gap</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space-5</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20px</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6"/>
              </w:rPr>
              <w:t>Card padding (desktop), field gap in a form</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space-6</w:t>
            </w:r>
          </w:p>
        </w:tc>
        <w:tc>
          <w:tcPr>
            <w:tcW w:type="dxa" w:w="1152"/>
            <w:tcMar>
              <w:top w:w="60" w:type="dxa"/>
              <w:start w:w="110" w:type="dxa"/>
              <w:bottom w:w="60" w:type="dxa"/>
              <w:end w:w="110" w:type="dxa"/>
            </w:tcMar>
          </w:tcPr>
          <w:p>
            <w:pPr>
              <w:spacing w:after="0"/>
            </w:pPr>
            <w:r/>
            <w:r>
              <w:rPr>
                <w:rFonts w:ascii="Calibri" w:hAnsi="Calibri"/>
                <w:b w:val="0"/>
                <w:i w:val="0"/>
                <w:color w:val="101828"/>
                <w:sz w:val="16"/>
              </w:rPr>
              <w:t>24px</w:t>
            </w:r>
          </w:p>
        </w:tc>
        <w:tc>
          <w:tcPr>
            <w:tcW w:type="dxa" w:w="6624"/>
            <w:tcMar>
              <w:top w:w="60" w:type="dxa"/>
              <w:start w:w="110" w:type="dxa"/>
              <w:bottom w:w="60" w:type="dxa"/>
              <w:end w:w="110" w:type="dxa"/>
            </w:tcMar>
          </w:tcPr>
          <w:p>
            <w:pPr>
              <w:spacing w:after="0"/>
            </w:pPr>
            <w:r/>
            <w:r>
              <w:rPr>
                <w:rFonts w:ascii="Calibri" w:hAnsi="Calibri"/>
                <w:b w:val="0"/>
                <w:i w:val="0"/>
                <w:color w:val="101828"/>
                <w:sz w:val="16"/>
              </w:rPr>
              <w:t>Card internal section separation</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space-8</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32px</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6"/>
              </w:rPr>
              <w:t>Between cards in a list</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space-10</w:t>
            </w:r>
          </w:p>
        </w:tc>
        <w:tc>
          <w:tcPr>
            <w:tcW w:type="dxa" w:w="1152"/>
            <w:tcMar>
              <w:top w:w="60" w:type="dxa"/>
              <w:start w:w="110" w:type="dxa"/>
              <w:bottom w:w="60" w:type="dxa"/>
              <w:end w:w="110" w:type="dxa"/>
            </w:tcMar>
          </w:tcPr>
          <w:p>
            <w:pPr>
              <w:spacing w:after="0"/>
            </w:pPr>
            <w:r/>
            <w:r>
              <w:rPr>
                <w:rFonts w:ascii="Calibri" w:hAnsi="Calibri"/>
                <w:b w:val="0"/>
                <w:i w:val="0"/>
                <w:color w:val="101828"/>
                <w:sz w:val="16"/>
              </w:rPr>
              <w:t>40px</w:t>
            </w:r>
          </w:p>
        </w:tc>
        <w:tc>
          <w:tcPr>
            <w:tcW w:type="dxa" w:w="6624"/>
            <w:tcMar>
              <w:top w:w="60" w:type="dxa"/>
              <w:start w:w="110" w:type="dxa"/>
              <w:bottom w:w="60" w:type="dxa"/>
              <w:end w:w="110" w:type="dxa"/>
            </w:tcMar>
          </w:tcPr>
          <w:p>
            <w:pPr>
              <w:spacing w:after="0"/>
            </w:pPr>
            <w:r/>
            <w:r>
              <w:rPr>
                <w:rFonts w:ascii="Calibri" w:hAnsi="Calibri"/>
                <w:b w:val="0"/>
                <w:i w:val="0"/>
                <w:color w:val="101828"/>
                <w:sz w:val="16"/>
              </w:rPr>
              <w:t>Between page sections</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space-12</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48px</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6"/>
              </w:rPr>
              <w:t>Page top padding, hero padding-y</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space-16</w:t>
            </w:r>
          </w:p>
        </w:tc>
        <w:tc>
          <w:tcPr>
            <w:tcW w:type="dxa" w:w="1152"/>
            <w:tcMar>
              <w:top w:w="60" w:type="dxa"/>
              <w:start w:w="110" w:type="dxa"/>
              <w:bottom w:w="60" w:type="dxa"/>
              <w:end w:w="110" w:type="dxa"/>
            </w:tcMar>
          </w:tcPr>
          <w:p>
            <w:pPr>
              <w:spacing w:after="0"/>
            </w:pPr>
            <w:r/>
            <w:r>
              <w:rPr>
                <w:rFonts w:ascii="Calibri" w:hAnsi="Calibri"/>
                <w:b w:val="0"/>
                <w:i w:val="0"/>
                <w:color w:val="101828"/>
                <w:sz w:val="16"/>
              </w:rPr>
              <w:t>64px</w:t>
            </w:r>
          </w:p>
        </w:tc>
        <w:tc>
          <w:tcPr>
            <w:tcW w:type="dxa" w:w="6624"/>
            <w:tcMar>
              <w:top w:w="60" w:type="dxa"/>
              <w:start w:w="110" w:type="dxa"/>
              <w:bottom w:w="60" w:type="dxa"/>
              <w:end w:w="110" w:type="dxa"/>
            </w:tcMar>
          </w:tcPr>
          <w:p>
            <w:pPr>
              <w:spacing w:after="0"/>
            </w:pPr>
            <w:r/>
            <w:r>
              <w:rPr>
                <w:rFonts w:ascii="Calibri" w:hAnsi="Calibri"/>
                <w:b w:val="0"/>
                <w:i w:val="0"/>
                <w:color w:val="101828"/>
                <w:sz w:val="16"/>
              </w:rPr>
              <w:t>Marketing section padding-y</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space-20</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80px</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6"/>
              </w:rPr>
              <w:t>Marketing hero padding-y</w:t>
            </w:r>
          </w:p>
        </w:tc>
      </w:tr>
    </w:tbl>
    <w:p>
      <w:pPr>
        <w:spacing w:after="80"/>
      </w:pPr>
    </w:p>
    <w:p>
      <w:r>
        <w:rPr>
          <w:rFonts w:ascii="Calibri" w:hAnsi="Calibri"/>
          <w:b w:val="0"/>
          <w:i w:val="0"/>
          <w:color w:val="101828"/>
          <w:sz w:val="21"/>
        </w:rPr>
        <w:t>Section rhythm inside the document follows the same logic: h1 space-before 20px, h2 15px, h3 11px, body space-after 7px.</w:t>
      </w:r>
    </w:p>
    <w:p>
      <w:pPr>
        <w:pStyle w:val="Heading2"/>
      </w:pPr>
      <w:r>
        <w:rPr>
          <w:rFonts w:ascii="Calibri" w:hAnsi="Calibri"/>
          <w:b/>
          <w:i w:val="0"/>
          <w:color w:val="146EF5"/>
          <w:sz w:val="29"/>
        </w:rPr>
        <w:t>5.5 Border radius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Token</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Value</w:t>
            </w:r>
          </w:p>
        </w:tc>
        <w:tc>
          <w:tcPr>
            <w:tcW w:type="dxa" w:w="6336"/>
            <w:shd w:val="clear" w:color="auto" w:fill="0B1F3A"/>
            <w:tcMar>
              <w:top w:w="60" w:type="dxa"/>
              <w:start w:w="110" w:type="dxa"/>
              <w:bottom w:w="60" w:type="dxa"/>
              <w:end w:w="110" w:type="dxa"/>
            </w:tcMar>
          </w:tcPr>
          <w:p>
            <w:pPr>
              <w:spacing w:after="0"/>
            </w:pPr>
            <w:r/>
            <w:r>
              <w:rPr>
                <w:rFonts w:ascii="Calibri" w:hAnsi="Calibri"/>
                <w:b/>
                <w:i w:val="0"/>
                <w:color w:val="FFFFFF"/>
                <w:sz w:val="16"/>
              </w:rPr>
              <w:t>Use</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radius-sm</w:t>
            </w:r>
          </w:p>
        </w:tc>
        <w:tc>
          <w:tcPr>
            <w:tcW w:type="dxa" w:w="1296"/>
            <w:tcMar>
              <w:top w:w="60" w:type="dxa"/>
              <w:start w:w="110" w:type="dxa"/>
              <w:bottom w:w="60" w:type="dxa"/>
              <w:end w:w="110" w:type="dxa"/>
            </w:tcMar>
          </w:tcPr>
          <w:p>
            <w:pPr>
              <w:spacing w:after="0"/>
            </w:pPr>
            <w:r/>
            <w:r>
              <w:rPr>
                <w:rFonts w:ascii="Calibri" w:hAnsi="Calibri"/>
                <w:b w:val="0"/>
                <w:i w:val="0"/>
                <w:color w:val="101828"/>
                <w:sz w:val="16"/>
              </w:rPr>
              <w:t>6px</w:t>
            </w:r>
          </w:p>
        </w:tc>
        <w:tc>
          <w:tcPr>
            <w:tcW w:type="dxa" w:w="6336"/>
            <w:tcMar>
              <w:top w:w="60" w:type="dxa"/>
              <w:start w:w="110" w:type="dxa"/>
              <w:bottom w:w="60" w:type="dxa"/>
              <w:end w:w="110" w:type="dxa"/>
            </w:tcMar>
          </w:tcPr>
          <w:p>
            <w:pPr>
              <w:spacing w:after="0"/>
            </w:pPr>
            <w:r/>
            <w:r>
              <w:rPr>
                <w:rFonts w:ascii="Calibri" w:hAnsi="Calibri"/>
                <w:b w:val="0"/>
                <w:i w:val="0"/>
                <w:color w:val="101828"/>
                <w:sz w:val="16"/>
              </w:rPr>
              <w:t>Badges, chips, small pills, input on dense tables</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radius-md</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10px</w:t>
            </w:r>
          </w:p>
        </w:tc>
        <w:tc>
          <w:tcPr>
            <w:tcW w:type="dxa" w:w="6336"/>
            <w:tcMar>
              <w:top w:w="60" w:type="dxa"/>
              <w:start w:w="110" w:type="dxa"/>
              <w:bottom w:w="60" w:type="dxa"/>
              <w:end w:w="110" w:type="dxa"/>
            </w:tcMar>
            <w:shd w:val="clear" w:color="auto" w:fill="F4F7FB"/>
          </w:tcPr>
          <w:p>
            <w:pPr>
              <w:spacing w:after="0"/>
            </w:pPr>
            <w:r/>
            <w:r>
              <w:rPr>
                <w:rFonts w:ascii="Calibri" w:hAnsi="Calibri"/>
                <w:b w:val="0"/>
                <w:i w:val="0"/>
                <w:color w:val="101828"/>
                <w:sz w:val="16"/>
              </w:rPr>
              <w:t>Buttons, inputs, selects, menu items</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radius-lg</w:t>
            </w:r>
          </w:p>
        </w:tc>
        <w:tc>
          <w:tcPr>
            <w:tcW w:type="dxa" w:w="1296"/>
            <w:tcMar>
              <w:top w:w="60" w:type="dxa"/>
              <w:start w:w="110" w:type="dxa"/>
              <w:bottom w:w="60" w:type="dxa"/>
              <w:end w:w="110" w:type="dxa"/>
            </w:tcMar>
          </w:tcPr>
          <w:p>
            <w:pPr>
              <w:spacing w:after="0"/>
            </w:pPr>
            <w:r/>
            <w:r>
              <w:rPr>
                <w:rFonts w:ascii="Calibri" w:hAnsi="Calibri"/>
                <w:b w:val="0"/>
                <w:i w:val="0"/>
                <w:color w:val="101828"/>
                <w:sz w:val="16"/>
              </w:rPr>
              <w:t>14px</w:t>
            </w:r>
          </w:p>
        </w:tc>
        <w:tc>
          <w:tcPr>
            <w:tcW w:type="dxa" w:w="6336"/>
            <w:tcMar>
              <w:top w:w="60" w:type="dxa"/>
              <w:start w:w="110" w:type="dxa"/>
              <w:bottom w:w="60" w:type="dxa"/>
              <w:end w:w="110" w:type="dxa"/>
            </w:tcMar>
          </w:tcPr>
          <w:p>
            <w:pPr>
              <w:spacing w:after="0"/>
            </w:pPr>
            <w:r/>
            <w:r>
              <w:rPr>
                <w:rFonts w:ascii="Calibri" w:hAnsi="Calibri"/>
                <w:b w:val="0"/>
                <w:i w:val="0"/>
                <w:color w:val="101828"/>
                <w:sz w:val="16"/>
              </w:rPr>
              <w:t>Cards, panels, modals on mobile</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radius-xl</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20px</w:t>
            </w:r>
          </w:p>
        </w:tc>
        <w:tc>
          <w:tcPr>
            <w:tcW w:type="dxa" w:w="6336"/>
            <w:tcMar>
              <w:top w:w="60" w:type="dxa"/>
              <w:start w:w="110" w:type="dxa"/>
              <w:bottom w:w="60" w:type="dxa"/>
              <w:end w:w="110" w:type="dxa"/>
            </w:tcMar>
            <w:shd w:val="clear" w:color="auto" w:fill="F4F7FB"/>
          </w:tcPr>
          <w:p>
            <w:pPr>
              <w:spacing w:after="0"/>
            </w:pPr>
            <w:r/>
            <w:r>
              <w:rPr>
                <w:rFonts w:ascii="Calibri" w:hAnsi="Calibri"/>
                <w:b w:val="0"/>
                <w:i w:val="0"/>
                <w:color w:val="101828"/>
                <w:sz w:val="16"/>
              </w:rPr>
              <w:t>Bottom sheets, large feature cards</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radius-full</w:t>
            </w:r>
          </w:p>
        </w:tc>
        <w:tc>
          <w:tcPr>
            <w:tcW w:type="dxa" w:w="1296"/>
            <w:tcMar>
              <w:top w:w="60" w:type="dxa"/>
              <w:start w:w="110" w:type="dxa"/>
              <w:bottom w:w="60" w:type="dxa"/>
              <w:end w:w="110" w:type="dxa"/>
            </w:tcMar>
          </w:tcPr>
          <w:p>
            <w:pPr>
              <w:spacing w:after="0"/>
            </w:pPr>
            <w:r/>
            <w:r>
              <w:rPr>
                <w:rFonts w:ascii="Calibri" w:hAnsi="Calibri"/>
                <w:b w:val="0"/>
                <w:i w:val="0"/>
                <w:color w:val="101828"/>
                <w:sz w:val="16"/>
              </w:rPr>
              <w:t>9999px</w:t>
            </w:r>
          </w:p>
        </w:tc>
        <w:tc>
          <w:tcPr>
            <w:tcW w:type="dxa" w:w="6336"/>
            <w:tcMar>
              <w:top w:w="60" w:type="dxa"/>
              <w:start w:w="110" w:type="dxa"/>
              <w:bottom w:w="60" w:type="dxa"/>
              <w:end w:w="110" w:type="dxa"/>
            </w:tcMar>
          </w:tcPr>
          <w:p>
            <w:pPr>
              <w:spacing w:after="0"/>
            </w:pPr>
            <w:r/>
            <w:r>
              <w:rPr>
                <w:rFonts w:ascii="Calibri" w:hAnsi="Calibri"/>
                <w:b w:val="0"/>
                <w:i w:val="0"/>
                <w:color w:val="101828"/>
                <w:sz w:val="16"/>
              </w:rPr>
              <w:t>Avatar, status dot, progress ring, circular icon button</w:t>
            </w:r>
          </w:p>
        </w:tc>
      </w:tr>
    </w:tbl>
    <w:p>
      <w:pPr>
        <w:spacing w:after="80"/>
      </w:pPr>
    </w:p>
    <w:p>
      <w:pPr>
        <w:pStyle w:val="Heading2"/>
      </w:pPr>
      <w:r>
        <w:rPr>
          <w:rFonts w:ascii="Calibri" w:hAnsi="Calibri"/>
          <w:b/>
          <w:i w:val="0"/>
          <w:color w:val="146EF5"/>
          <w:sz w:val="29"/>
        </w:rPr>
        <w:t>5.6 Elevation</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Token</w:t>
            </w:r>
          </w:p>
        </w:tc>
        <w:tc>
          <w:tcPr>
            <w:tcW w:type="dxa" w:w="3600"/>
            <w:shd w:val="clear" w:color="auto" w:fill="0B1F3A"/>
            <w:tcMar>
              <w:top w:w="60" w:type="dxa"/>
              <w:start w:w="110" w:type="dxa"/>
              <w:bottom w:w="60" w:type="dxa"/>
              <w:end w:w="110" w:type="dxa"/>
            </w:tcMar>
          </w:tcPr>
          <w:p>
            <w:pPr>
              <w:spacing w:after="0"/>
            </w:pPr>
            <w:r/>
            <w:r>
              <w:rPr>
                <w:rFonts w:ascii="Calibri" w:hAnsi="Calibri"/>
                <w:b/>
                <w:i w:val="0"/>
                <w:color w:val="FFFFFF"/>
                <w:sz w:val="16"/>
              </w:rPr>
              <w:t>Shadow</w:t>
            </w:r>
          </w:p>
        </w:tc>
        <w:tc>
          <w:tcPr>
            <w:tcW w:type="dxa" w:w="4032"/>
            <w:shd w:val="clear" w:color="auto" w:fill="0B1F3A"/>
            <w:tcMar>
              <w:top w:w="60" w:type="dxa"/>
              <w:start w:w="110" w:type="dxa"/>
              <w:bottom w:w="60" w:type="dxa"/>
              <w:end w:w="110" w:type="dxa"/>
            </w:tcMar>
          </w:tcPr>
          <w:p>
            <w:pPr>
              <w:spacing w:after="0"/>
            </w:pPr>
            <w:r/>
            <w:r>
              <w:rPr>
                <w:rFonts w:ascii="Calibri" w:hAnsi="Calibri"/>
                <w:b/>
                <w:i w:val="0"/>
                <w:color w:val="FFFFFF"/>
                <w:sz w:val="16"/>
              </w:rPr>
              <w:t>Use</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shadow-none</w:t>
            </w:r>
          </w:p>
        </w:tc>
        <w:tc>
          <w:tcPr>
            <w:tcW w:type="dxa" w:w="3600"/>
            <w:tcMar>
              <w:top w:w="60" w:type="dxa"/>
              <w:start w:w="110" w:type="dxa"/>
              <w:bottom w:w="60" w:type="dxa"/>
              <w:end w:w="110" w:type="dxa"/>
            </w:tcMar>
          </w:tcPr>
          <w:p>
            <w:pPr>
              <w:spacing w:after="0"/>
            </w:pPr>
            <w:r/>
            <w:r>
              <w:rPr>
                <w:rFonts w:ascii="Calibri" w:hAnsi="Calibri"/>
                <w:b w:val="0"/>
                <w:i w:val="0"/>
                <w:color w:val="101828"/>
                <w:sz w:val="16"/>
              </w:rPr>
              <w:t>none</w:t>
            </w:r>
          </w:p>
        </w:tc>
        <w:tc>
          <w:tcPr>
            <w:tcW w:type="dxa" w:w="4032"/>
            <w:tcMar>
              <w:top w:w="60" w:type="dxa"/>
              <w:start w:w="110" w:type="dxa"/>
              <w:bottom w:w="60" w:type="dxa"/>
              <w:end w:w="110" w:type="dxa"/>
            </w:tcMar>
          </w:tcPr>
          <w:p>
            <w:pPr>
              <w:spacing w:after="0"/>
            </w:pPr>
            <w:r/>
            <w:r>
              <w:rPr>
                <w:rFonts w:ascii="Calibri" w:hAnsi="Calibri"/>
                <w:b w:val="0"/>
                <w:i w:val="0"/>
                <w:color w:val="101828"/>
                <w:sz w:val="16"/>
              </w:rPr>
              <w:t>Flat surface, table rows</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shadow-xs</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0 1px 2px rgba(16,24,40,0.05)</w:t>
            </w:r>
          </w:p>
        </w:tc>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Resting card</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shadow-sm</w:t>
            </w:r>
          </w:p>
        </w:tc>
        <w:tc>
          <w:tcPr>
            <w:tcW w:type="dxa" w:w="3600"/>
            <w:tcMar>
              <w:top w:w="60" w:type="dxa"/>
              <w:start w:w="110" w:type="dxa"/>
              <w:bottom w:w="60" w:type="dxa"/>
              <w:end w:w="110" w:type="dxa"/>
            </w:tcMar>
          </w:tcPr>
          <w:p>
            <w:pPr>
              <w:spacing w:after="0"/>
            </w:pPr>
            <w:r/>
            <w:r>
              <w:rPr>
                <w:rFonts w:ascii="Calibri" w:hAnsi="Calibri"/>
                <w:b w:val="0"/>
                <w:i w:val="0"/>
                <w:color w:val="101828"/>
                <w:sz w:val="16"/>
              </w:rPr>
              <w:t>0 1px 3px rgba(16,24,40,0.10), 0 1px 2px rgba(16,24,40,0.06)</w:t>
            </w:r>
          </w:p>
        </w:tc>
        <w:tc>
          <w:tcPr>
            <w:tcW w:type="dxa" w:w="4032"/>
            <w:tcMar>
              <w:top w:w="60" w:type="dxa"/>
              <w:start w:w="110" w:type="dxa"/>
              <w:bottom w:w="60" w:type="dxa"/>
              <w:end w:w="110" w:type="dxa"/>
            </w:tcMar>
          </w:tcPr>
          <w:p>
            <w:pPr>
              <w:spacing w:after="0"/>
            </w:pPr>
            <w:r/>
            <w:r>
              <w:rPr>
                <w:rFonts w:ascii="Calibri" w:hAnsi="Calibri"/>
                <w:b w:val="0"/>
                <w:i w:val="0"/>
                <w:color w:val="101828"/>
                <w:sz w:val="16"/>
              </w:rPr>
              <w:t>Raised card, sticky header</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shadow-md</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0 4px 8px rgba(16,24,40,0.10), 0 2px 4px rgba(16,24,40,0.06)</w:t>
            </w:r>
          </w:p>
        </w:tc>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Dropdown, popover, hovered card</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shadow-lg</w:t>
            </w:r>
          </w:p>
        </w:tc>
        <w:tc>
          <w:tcPr>
            <w:tcW w:type="dxa" w:w="3600"/>
            <w:tcMar>
              <w:top w:w="60" w:type="dxa"/>
              <w:start w:w="110" w:type="dxa"/>
              <w:bottom w:w="60" w:type="dxa"/>
              <w:end w:w="110" w:type="dxa"/>
            </w:tcMar>
          </w:tcPr>
          <w:p>
            <w:pPr>
              <w:spacing w:after="0"/>
            </w:pPr>
            <w:r/>
            <w:r>
              <w:rPr>
                <w:rFonts w:ascii="Calibri" w:hAnsi="Calibri"/>
                <w:b w:val="0"/>
                <w:i w:val="0"/>
                <w:color w:val="101828"/>
                <w:sz w:val="16"/>
              </w:rPr>
              <w:t>0 12px 16px rgba(16,24,40,0.14), 0 4px 6px rgba(16,24,40,0.08)</w:t>
            </w:r>
          </w:p>
        </w:tc>
        <w:tc>
          <w:tcPr>
            <w:tcW w:type="dxa" w:w="4032"/>
            <w:tcMar>
              <w:top w:w="60" w:type="dxa"/>
              <w:start w:w="110" w:type="dxa"/>
              <w:bottom w:w="60" w:type="dxa"/>
              <w:end w:w="110" w:type="dxa"/>
            </w:tcMar>
          </w:tcPr>
          <w:p>
            <w:pPr>
              <w:spacing w:after="0"/>
            </w:pPr>
            <w:r/>
            <w:r>
              <w:rPr>
                <w:rFonts w:ascii="Calibri" w:hAnsi="Calibri"/>
                <w:b w:val="0"/>
                <w:i w:val="0"/>
                <w:color w:val="101828"/>
                <w:sz w:val="16"/>
              </w:rPr>
              <w:t>Modal, drawer</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shadow-focus</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0 0 0 3px rgba(20,110,245,0.30)</w:t>
            </w:r>
          </w:p>
        </w:tc>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Focus ring on any focusable element</w:t>
            </w:r>
          </w:p>
        </w:tc>
      </w:tr>
    </w:tbl>
    <w:p>
      <w:pPr>
        <w:spacing w:after="80"/>
      </w:pPr>
    </w:p>
    <w:p>
      <w:pPr>
        <w:pStyle w:val="Heading2"/>
      </w:pPr>
      <w:r>
        <w:rPr>
          <w:rFonts w:ascii="Calibri" w:hAnsi="Calibri"/>
          <w:b/>
          <w:i w:val="0"/>
          <w:color w:val="146EF5"/>
          <w:sz w:val="29"/>
        </w:rPr>
        <w:t>5.7 Layout, containers and breakpoints</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Breakpoint</w:t>
            </w:r>
          </w:p>
        </w:tc>
        <w:tc>
          <w:tcPr>
            <w:tcW w:type="dxa" w:w="1440"/>
            <w:shd w:val="clear" w:color="auto" w:fill="0B1F3A"/>
            <w:tcMar>
              <w:top w:w="60" w:type="dxa"/>
              <w:start w:w="110" w:type="dxa"/>
              <w:bottom w:w="60" w:type="dxa"/>
              <w:end w:w="110" w:type="dxa"/>
            </w:tcMar>
          </w:tcPr>
          <w:p>
            <w:pPr>
              <w:spacing w:after="0"/>
            </w:pPr>
            <w:r/>
            <w:r>
              <w:rPr>
                <w:rFonts w:ascii="Calibri" w:hAnsi="Calibri"/>
                <w:b/>
                <w:i w:val="0"/>
                <w:color w:val="FFFFFF"/>
                <w:sz w:val="16"/>
              </w:rPr>
              <w:t>Min width</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Container</w:t>
            </w:r>
          </w:p>
        </w:tc>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6"/>
              </w:rPr>
              <w:t>Columns</w:t>
            </w:r>
          </w:p>
        </w:tc>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6"/>
              </w:rPr>
              <w:t>Gutter</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Margin</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xs</w:t>
            </w:r>
          </w:p>
        </w:tc>
        <w:tc>
          <w:tcPr>
            <w:tcW w:type="dxa" w:w="1440"/>
            <w:tcMar>
              <w:top w:w="60" w:type="dxa"/>
              <w:start w:w="110" w:type="dxa"/>
              <w:bottom w:w="60" w:type="dxa"/>
              <w:end w:w="110" w:type="dxa"/>
            </w:tcMar>
          </w:tcPr>
          <w:p>
            <w:pPr>
              <w:spacing w:after="0"/>
            </w:pPr>
            <w:r/>
            <w:r>
              <w:rPr>
                <w:rFonts w:ascii="Calibri" w:hAnsi="Calibri"/>
                <w:b w:val="0"/>
                <w:i w:val="0"/>
                <w:color w:val="101828"/>
                <w:sz w:val="16"/>
              </w:rPr>
              <w:t>0px</w:t>
            </w:r>
          </w:p>
        </w:tc>
        <w:tc>
          <w:tcPr>
            <w:tcW w:type="dxa" w:w="1584"/>
            <w:tcMar>
              <w:top w:w="60" w:type="dxa"/>
              <w:start w:w="110" w:type="dxa"/>
              <w:bottom w:w="60" w:type="dxa"/>
              <w:end w:w="110" w:type="dxa"/>
            </w:tcMar>
          </w:tcPr>
          <w:p>
            <w:pPr>
              <w:spacing w:after="0"/>
            </w:pPr>
            <w:r/>
            <w:r>
              <w:rPr>
                <w:rFonts w:ascii="Calibri" w:hAnsi="Calibri"/>
                <w:b w:val="0"/>
                <w:i w:val="0"/>
                <w:color w:val="101828"/>
                <w:sz w:val="16"/>
              </w:rPr>
              <w:t>fluid</w:t>
            </w:r>
          </w:p>
        </w:tc>
        <w:tc>
          <w:tcPr>
            <w:tcW w:type="dxa" w:w="1152"/>
            <w:tcMar>
              <w:top w:w="60" w:type="dxa"/>
              <w:start w:w="110" w:type="dxa"/>
              <w:bottom w:w="60" w:type="dxa"/>
              <w:end w:w="110" w:type="dxa"/>
            </w:tcMar>
          </w:tcPr>
          <w:p>
            <w:pPr>
              <w:spacing w:after="0"/>
            </w:pPr>
            <w:r/>
            <w:r>
              <w:rPr>
                <w:rFonts w:ascii="Calibri" w:hAnsi="Calibri"/>
                <w:b w:val="0"/>
                <w:i w:val="0"/>
                <w:color w:val="101828"/>
                <w:sz w:val="16"/>
              </w:rPr>
              <w:t>4</w:t>
            </w:r>
          </w:p>
        </w:tc>
        <w:tc>
          <w:tcPr>
            <w:tcW w:type="dxa" w:w="1152"/>
            <w:tcMar>
              <w:top w:w="60" w:type="dxa"/>
              <w:start w:w="110" w:type="dxa"/>
              <w:bottom w:w="60" w:type="dxa"/>
              <w:end w:w="110" w:type="dxa"/>
            </w:tcMar>
          </w:tcPr>
          <w:p>
            <w:pPr>
              <w:spacing w:after="0"/>
            </w:pPr>
            <w:r/>
            <w:r>
              <w:rPr>
                <w:rFonts w:ascii="Calibri" w:hAnsi="Calibri"/>
                <w:b w:val="0"/>
                <w:i w:val="0"/>
                <w:color w:val="101828"/>
                <w:sz w:val="16"/>
              </w:rPr>
              <w:t>16px</w:t>
            </w:r>
          </w:p>
        </w:tc>
        <w:tc>
          <w:tcPr>
            <w:tcW w:type="dxa" w:w="2304"/>
            <w:tcMar>
              <w:top w:w="60" w:type="dxa"/>
              <w:start w:w="110" w:type="dxa"/>
              <w:bottom w:w="60" w:type="dxa"/>
              <w:end w:w="110" w:type="dxa"/>
            </w:tcMar>
          </w:tcPr>
          <w:p>
            <w:pPr>
              <w:spacing w:after="0"/>
            </w:pPr>
            <w:r/>
            <w:r>
              <w:rPr>
                <w:rFonts w:ascii="Calibri" w:hAnsi="Calibri"/>
                <w:b w:val="0"/>
                <w:i w:val="0"/>
                <w:color w:val="101828"/>
                <w:sz w:val="16"/>
              </w:rPr>
              <w:t>16px</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sm</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6"/>
              </w:rPr>
              <w:t>480px</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fluid</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4</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16px</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16px</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md</w:t>
            </w:r>
          </w:p>
        </w:tc>
        <w:tc>
          <w:tcPr>
            <w:tcW w:type="dxa" w:w="1440"/>
            <w:tcMar>
              <w:top w:w="60" w:type="dxa"/>
              <w:start w:w="110" w:type="dxa"/>
              <w:bottom w:w="60" w:type="dxa"/>
              <w:end w:w="110" w:type="dxa"/>
            </w:tcMar>
          </w:tcPr>
          <w:p>
            <w:pPr>
              <w:spacing w:after="0"/>
            </w:pPr>
            <w:r/>
            <w:r>
              <w:rPr>
                <w:rFonts w:ascii="Calibri" w:hAnsi="Calibri"/>
                <w:b w:val="0"/>
                <w:i w:val="0"/>
                <w:color w:val="101828"/>
                <w:sz w:val="16"/>
              </w:rPr>
              <w:t>768px</w:t>
            </w:r>
          </w:p>
        </w:tc>
        <w:tc>
          <w:tcPr>
            <w:tcW w:type="dxa" w:w="1584"/>
            <w:tcMar>
              <w:top w:w="60" w:type="dxa"/>
              <w:start w:w="110" w:type="dxa"/>
              <w:bottom w:w="60" w:type="dxa"/>
              <w:end w:w="110" w:type="dxa"/>
            </w:tcMar>
          </w:tcPr>
          <w:p>
            <w:pPr>
              <w:spacing w:after="0"/>
            </w:pPr>
            <w:r/>
            <w:r>
              <w:rPr>
                <w:rFonts w:ascii="Calibri" w:hAnsi="Calibri"/>
                <w:b w:val="0"/>
                <w:i w:val="0"/>
                <w:color w:val="101828"/>
                <w:sz w:val="16"/>
              </w:rPr>
              <w:t>fluid</w:t>
            </w:r>
          </w:p>
        </w:tc>
        <w:tc>
          <w:tcPr>
            <w:tcW w:type="dxa" w:w="1152"/>
            <w:tcMar>
              <w:top w:w="60" w:type="dxa"/>
              <w:start w:w="110" w:type="dxa"/>
              <w:bottom w:w="60" w:type="dxa"/>
              <w:end w:w="110" w:type="dxa"/>
            </w:tcMar>
          </w:tcPr>
          <w:p>
            <w:pPr>
              <w:spacing w:after="0"/>
            </w:pPr>
            <w:r/>
            <w:r>
              <w:rPr>
                <w:rFonts w:ascii="Calibri" w:hAnsi="Calibri"/>
                <w:b w:val="0"/>
                <w:i w:val="0"/>
                <w:color w:val="101828"/>
                <w:sz w:val="16"/>
              </w:rPr>
              <w:t>8</w:t>
            </w:r>
          </w:p>
        </w:tc>
        <w:tc>
          <w:tcPr>
            <w:tcW w:type="dxa" w:w="1152"/>
            <w:tcMar>
              <w:top w:w="60" w:type="dxa"/>
              <w:start w:w="110" w:type="dxa"/>
              <w:bottom w:w="60" w:type="dxa"/>
              <w:end w:w="110" w:type="dxa"/>
            </w:tcMar>
          </w:tcPr>
          <w:p>
            <w:pPr>
              <w:spacing w:after="0"/>
            </w:pPr>
            <w:r/>
            <w:r>
              <w:rPr>
                <w:rFonts w:ascii="Calibri" w:hAnsi="Calibri"/>
                <w:b w:val="0"/>
                <w:i w:val="0"/>
                <w:color w:val="101828"/>
                <w:sz w:val="16"/>
              </w:rPr>
              <w:t>20px</w:t>
            </w:r>
          </w:p>
        </w:tc>
        <w:tc>
          <w:tcPr>
            <w:tcW w:type="dxa" w:w="2304"/>
            <w:tcMar>
              <w:top w:w="60" w:type="dxa"/>
              <w:start w:w="110" w:type="dxa"/>
              <w:bottom w:w="60" w:type="dxa"/>
              <w:end w:w="110" w:type="dxa"/>
            </w:tcMar>
          </w:tcPr>
          <w:p>
            <w:pPr>
              <w:spacing w:after="0"/>
            </w:pPr>
            <w:r/>
            <w:r>
              <w:rPr>
                <w:rFonts w:ascii="Calibri" w:hAnsi="Calibri"/>
                <w:b w:val="0"/>
                <w:i w:val="0"/>
                <w:color w:val="101828"/>
                <w:sz w:val="16"/>
              </w:rPr>
              <w:t>24px</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lg</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6"/>
              </w:rPr>
              <w:t>1024px</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960px</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12</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24px</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32px</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xl</w:t>
            </w:r>
          </w:p>
        </w:tc>
        <w:tc>
          <w:tcPr>
            <w:tcW w:type="dxa" w:w="1440"/>
            <w:tcMar>
              <w:top w:w="60" w:type="dxa"/>
              <w:start w:w="110" w:type="dxa"/>
              <w:bottom w:w="60" w:type="dxa"/>
              <w:end w:w="110" w:type="dxa"/>
            </w:tcMar>
          </w:tcPr>
          <w:p>
            <w:pPr>
              <w:spacing w:after="0"/>
            </w:pPr>
            <w:r/>
            <w:r>
              <w:rPr>
                <w:rFonts w:ascii="Calibri" w:hAnsi="Calibri"/>
                <w:b w:val="0"/>
                <w:i w:val="0"/>
                <w:color w:val="101828"/>
                <w:sz w:val="16"/>
              </w:rPr>
              <w:t>1280px</w:t>
            </w:r>
          </w:p>
        </w:tc>
        <w:tc>
          <w:tcPr>
            <w:tcW w:type="dxa" w:w="1584"/>
            <w:tcMar>
              <w:top w:w="60" w:type="dxa"/>
              <w:start w:w="110" w:type="dxa"/>
              <w:bottom w:w="60" w:type="dxa"/>
              <w:end w:w="110" w:type="dxa"/>
            </w:tcMar>
          </w:tcPr>
          <w:p>
            <w:pPr>
              <w:spacing w:after="0"/>
            </w:pPr>
            <w:r/>
            <w:r>
              <w:rPr>
                <w:rFonts w:ascii="Calibri" w:hAnsi="Calibri"/>
                <w:b w:val="0"/>
                <w:i w:val="0"/>
                <w:color w:val="101828"/>
                <w:sz w:val="16"/>
              </w:rPr>
              <w:t>1120px</w:t>
            </w:r>
          </w:p>
        </w:tc>
        <w:tc>
          <w:tcPr>
            <w:tcW w:type="dxa" w:w="1152"/>
            <w:tcMar>
              <w:top w:w="60" w:type="dxa"/>
              <w:start w:w="110" w:type="dxa"/>
              <w:bottom w:w="60" w:type="dxa"/>
              <w:end w:w="110" w:type="dxa"/>
            </w:tcMar>
          </w:tcPr>
          <w:p>
            <w:pPr>
              <w:spacing w:after="0"/>
            </w:pPr>
            <w:r/>
            <w:r>
              <w:rPr>
                <w:rFonts w:ascii="Calibri" w:hAnsi="Calibri"/>
                <w:b w:val="0"/>
                <w:i w:val="0"/>
                <w:color w:val="101828"/>
                <w:sz w:val="16"/>
              </w:rPr>
              <w:t>12</w:t>
            </w:r>
          </w:p>
        </w:tc>
        <w:tc>
          <w:tcPr>
            <w:tcW w:type="dxa" w:w="1152"/>
            <w:tcMar>
              <w:top w:w="60" w:type="dxa"/>
              <w:start w:w="110" w:type="dxa"/>
              <w:bottom w:w="60" w:type="dxa"/>
              <w:end w:w="110" w:type="dxa"/>
            </w:tcMar>
          </w:tcPr>
          <w:p>
            <w:pPr>
              <w:spacing w:after="0"/>
            </w:pPr>
            <w:r/>
            <w:r>
              <w:rPr>
                <w:rFonts w:ascii="Calibri" w:hAnsi="Calibri"/>
                <w:b w:val="0"/>
                <w:i w:val="0"/>
                <w:color w:val="101828"/>
                <w:sz w:val="16"/>
              </w:rPr>
              <w:t>24px</w:t>
            </w:r>
          </w:p>
        </w:tc>
        <w:tc>
          <w:tcPr>
            <w:tcW w:type="dxa" w:w="2304"/>
            <w:tcMar>
              <w:top w:w="60" w:type="dxa"/>
              <w:start w:w="110" w:type="dxa"/>
              <w:bottom w:w="60" w:type="dxa"/>
              <w:end w:w="110" w:type="dxa"/>
            </w:tcMar>
          </w:tcPr>
          <w:p>
            <w:pPr>
              <w:spacing w:after="0"/>
            </w:pPr>
            <w:r/>
            <w:r>
              <w:rPr>
                <w:rFonts w:ascii="Calibri" w:hAnsi="Calibri"/>
                <w:b w:val="0"/>
                <w:i w:val="0"/>
                <w:color w:val="101828"/>
                <w:sz w:val="16"/>
              </w:rPr>
              <w:t>auto centre</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2xl</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6"/>
              </w:rPr>
              <w:t>1536px</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1200px</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12</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24px</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auto centre</w:t>
            </w:r>
          </w:p>
        </w:tc>
      </w:tr>
    </w:tbl>
    <w:p>
      <w:pPr>
        <w:spacing w:after="80"/>
      </w:pP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Region</w:t>
            </w:r>
          </w:p>
        </w:tc>
        <w:tc>
          <w:tcPr>
            <w:tcW w:type="dxa" w:w="2376"/>
            <w:shd w:val="clear" w:color="auto" w:fill="0B1F3A"/>
            <w:tcMar>
              <w:top w:w="60" w:type="dxa"/>
              <w:start w:w="110" w:type="dxa"/>
              <w:bottom w:w="60" w:type="dxa"/>
              <w:end w:w="110" w:type="dxa"/>
            </w:tcMar>
          </w:tcPr>
          <w:p>
            <w:pPr>
              <w:spacing w:after="0"/>
            </w:pPr>
            <w:r/>
            <w:r>
              <w:rPr>
                <w:rFonts w:ascii="Calibri" w:hAnsi="Calibri"/>
                <w:b/>
                <w:i w:val="0"/>
                <w:color w:val="FFFFFF"/>
                <w:sz w:val="16"/>
              </w:rPr>
              <w:t>Mobile</w:t>
            </w:r>
          </w:p>
        </w:tc>
        <w:tc>
          <w:tcPr>
            <w:tcW w:type="dxa" w:w="2376"/>
            <w:shd w:val="clear" w:color="auto" w:fill="0B1F3A"/>
            <w:tcMar>
              <w:top w:w="60" w:type="dxa"/>
              <w:start w:w="110" w:type="dxa"/>
              <w:bottom w:w="60" w:type="dxa"/>
              <w:end w:w="110" w:type="dxa"/>
            </w:tcMar>
          </w:tcPr>
          <w:p>
            <w:pPr>
              <w:spacing w:after="0"/>
            </w:pPr>
            <w:r/>
            <w:r>
              <w:rPr>
                <w:rFonts w:ascii="Calibri" w:hAnsi="Calibri"/>
                <w:b/>
                <w:i w:val="0"/>
                <w:color w:val="FFFFFF"/>
                <w:sz w:val="16"/>
              </w:rPr>
              <w:t>Tablet</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Desktop</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Primary nav</w:t>
            </w:r>
          </w:p>
        </w:tc>
        <w:tc>
          <w:tcPr>
            <w:tcW w:type="dxa" w:w="2376"/>
            <w:tcMar>
              <w:top w:w="60" w:type="dxa"/>
              <w:start w:w="110" w:type="dxa"/>
              <w:bottom w:w="60" w:type="dxa"/>
              <w:end w:w="110" w:type="dxa"/>
            </w:tcMar>
          </w:tcPr>
          <w:p>
            <w:pPr>
              <w:spacing w:after="0"/>
            </w:pPr>
            <w:r/>
            <w:r>
              <w:rPr>
                <w:rFonts w:ascii="Calibri" w:hAnsi="Calibri"/>
                <w:b w:val="0"/>
                <w:i w:val="0"/>
                <w:color w:val="101828"/>
                <w:sz w:val="16"/>
              </w:rPr>
              <w:t>Bottom bar, 5 items</w:t>
            </w:r>
          </w:p>
        </w:tc>
        <w:tc>
          <w:tcPr>
            <w:tcW w:type="dxa" w:w="2376"/>
            <w:tcMar>
              <w:top w:w="60" w:type="dxa"/>
              <w:start w:w="110" w:type="dxa"/>
              <w:bottom w:w="60" w:type="dxa"/>
              <w:end w:w="110" w:type="dxa"/>
            </w:tcMar>
          </w:tcPr>
          <w:p>
            <w:pPr>
              <w:spacing w:after="0"/>
            </w:pPr>
            <w:r/>
            <w:r>
              <w:rPr>
                <w:rFonts w:ascii="Calibri" w:hAnsi="Calibri"/>
                <w:b w:val="0"/>
                <w:i w:val="0"/>
                <w:color w:val="101828"/>
                <w:sz w:val="16"/>
              </w:rPr>
              <w:t>Bottom bar, 5 items</w:t>
            </w:r>
          </w:p>
        </w:tc>
        <w:tc>
          <w:tcPr>
            <w:tcW w:type="dxa" w:w="2304"/>
            <w:tcMar>
              <w:top w:w="60" w:type="dxa"/>
              <w:start w:w="110" w:type="dxa"/>
              <w:bottom w:w="60" w:type="dxa"/>
              <w:end w:w="110" w:type="dxa"/>
            </w:tcMar>
          </w:tcPr>
          <w:p>
            <w:pPr>
              <w:spacing w:after="0"/>
            </w:pPr>
            <w:r/>
            <w:r>
              <w:rPr>
                <w:rFonts w:ascii="Calibri" w:hAnsi="Calibri"/>
                <w:b w:val="0"/>
                <w:i w:val="0"/>
                <w:color w:val="101828"/>
                <w:sz w:val="16"/>
              </w:rPr>
              <w:t>Top bar, horizontal</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Page padding-x</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6"/>
              </w:rPr>
              <w:t>16px</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6"/>
              </w:rPr>
              <w:t>24px</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32px</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Card grid</w:t>
            </w:r>
          </w:p>
        </w:tc>
        <w:tc>
          <w:tcPr>
            <w:tcW w:type="dxa" w:w="2376"/>
            <w:tcMar>
              <w:top w:w="60" w:type="dxa"/>
              <w:start w:w="110" w:type="dxa"/>
              <w:bottom w:w="60" w:type="dxa"/>
              <w:end w:w="110" w:type="dxa"/>
            </w:tcMar>
          </w:tcPr>
          <w:p>
            <w:pPr>
              <w:spacing w:after="0"/>
            </w:pPr>
            <w:r/>
            <w:r>
              <w:rPr>
                <w:rFonts w:ascii="Calibri" w:hAnsi="Calibri"/>
                <w:b w:val="0"/>
                <w:i w:val="0"/>
                <w:color w:val="101828"/>
                <w:sz w:val="16"/>
              </w:rPr>
              <w:t>1 column</w:t>
            </w:r>
          </w:p>
        </w:tc>
        <w:tc>
          <w:tcPr>
            <w:tcW w:type="dxa" w:w="2376"/>
            <w:tcMar>
              <w:top w:w="60" w:type="dxa"/>
              <w:start w:w="110" w:type="dxa"/>
              <w:bottom w:w="60" w:type="dxa"/>
              <w:end w:w="110" w:type="dxa"/>
            </w:tcMar>
          </w:tcPr>
          <w:p>
            <w:pPr>
              <w:spacing w:after="0"/>
            </w:pPr>
            <w:r/>
            <w:r>
              <w:rPr>
                <w:rFonts w:ascii="Calibri" w:hAnsi="Calibri"/>
                <w:b w:val="0"/>
                <w:i w:val="0"/>
                <w:color w:val="101828"/>
                <w:sz w:val="16"/>
              </w:rPr>
              <w:t>2 columns</w:t>
            </w:r>
          </w:p>
        </w:tc>
        <w:tc>
          <w:tcPr>
            <w:tcW w:type="dxa" w:w="2304"/>
            <w:tcMar>
              <w:top w:w="60" w:type="dxa"/>
              <w:start w:w="110" w:type="dxa"/>
              <w:bottom w:w="60" w:type="dxa"/>
              <w:end w:w="110" w:type="dxa"/>
            </w:tcMar>
          </w:tcPr>
          <w:p>
            <w:pPr>
              <w:spacing w:after="0"/>
            </w:pPr>
            <w:r/>
            <w:r>
              <w:rPr>
                <w:rFonts w:ascii="Calibri" w:hAnsi="Calibri"/>
                <w:b w:val="0"/>
                <w:i w:val="0"/>
                <w:color w:val="101828"/>
                <w:sz w:val="16"/>
              </w:rPr>
              <w:t>3 columns above lg, 2 at md</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Data table</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6"/>
              </w:rPr>
              <w:t>Card-per-row list</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6"/>
              </w:rPr>
              <w:t>Card-per-row list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Full table with sticky header</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Primary CTA</w:t>
            </w:r>
          </w:p>
        </w:tc>
        <w:tc>
          <w:tcPr>
            <w:tcW w:type="dxa" w:w="2376"/>
            <w:tcMar>
              <w:top w:w="60" w:type="dxa"/>
              <w:start w:w="110" w:type="dxa"/>
              <w:bottom w:w="60" w:type="dxa"/>
              <w:end w:w="110" w:type="dxa"/>
            </w:tcMar>
          </w:tcPr>
          <w:p>
            <w:pPr>
              <w:spacing w:after="0"/>
            </w:pPr>
            <w:r/>
            <w:r>
              <w:rPr>
                <w:rFonts w:ascii="Calibri" w:hAnsi="Calibri"/>
                <w:b w:val="0"/>
                <w:i w:val="0"/>
                <w:color w:val="101828"/>
                <w:sz w:val="16"/>
              </w:rPr>
              <w:t>Full-width, bottom-anchored</w:t>
            </w:r>
          </w:p>
        </w:tc>
        <w:tc>
          <w:tcPr>
            <w:tcW w:type="dxa" w:w="2376"/>
            <w:tcMar>
              <w:top w:w="60" w:type="dxa"/>
              <w:start w:w="110" w:type="dxa"/>
              <w:bottom w:w="60" w:type="dxa"/>
              <w:end w:w="110" w:type="dxa"/>
            </w:tcMar>
          </w:tcPr>
          <w:p>
            <w:pPr>
              <w:spacing w:after="0"/>
            </w:pPr>
            <w:r/>
            <w:r>
              <w:rPr>
                <w:rFonts w:ascii="Calibri" w:hAnsi="Calibri"/>
                <w:b w:val="0"/>
                <w:i w:val="0"/>
                <w:color w:val="101828"/>
                <w:sz w:val="16"/>
              </w:rPr>
              <w:t>Inline, right-aligned</w:t>
            </w:r>
          </w:p>
        </w:tc>
        <w:tc>
          <w:tcPr>
            <w:tcW w:type="dxa" w:w="2304"/>
            <w:tcMar>
              <w:top w:w="60" w:type="dxa"/>
              <w:start w:w="110" w:type="dxa"/>
              <w:bottom w:w="60" w:type="dxa"/>
              <w:end w:w="110" w:type="dxa"/>
            </w:tcMar>
          </w:tcPr>
          <w:p>
            <w:pPr>
              <w:spacing w:after="0"/>
            </w:pPr>
            <w:r/>
            <w:r>
              <w:rPr>
                <w:rFonts w:ascii="Calibri" w:hAnsi="Calibri"/>
                <w:b w:val="0"/>
                <w:i w:val="0"/>
                <w:color w:val="101828"/>
                <w:sz w:val="16"/>
              </w:rPr>
              <w:t>Inline, right-aligned</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Form field width</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6"/>
              </w:rPr>
              <w:t>100%</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6"/>
              </w:rPr>
              <w:t>100% to 420px</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100% to 480px</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Modal</w:t>
            </w:r>
          </w:p>
        </w:tc>
        <w:tc>
          <w:tcPr>
            <w:tcW w:type="dxa" w:w="2376"/>
            <w:tcMar>
              <w:top w:w="60" w:type="dxa"/>
              <w:start w:w="110" w:type="dxa"/>
              <w:bottom w:w="60" w:type="dxa"/>
              <w:end w:w="110" w:type="dxa"/>
            </w:tcMar>
          </w:tcPr>
          <w:p>
            <w:pPr>
              <w:spacing w:after="0"/>
            </w:pPr>
            <w:r/>
            <w:r>
              <w:rPr>
                <w:rFonts w:ascii="Calibri" w:hAnsi="Calibri"/>
                <w:b w:val="0"/>
                <w:i w:val="0"/>
                <w:color w:val="101828"/>
                <w:sz w:val="16"/>
              </w:rPr>
              <w:t>Bottom sheet, 90vh</w:t>
            </w:r>
          </w:p>
        </w:tc>
        <w:tc>
          <w:tcPr>
            <w:tcW w:type="dxa" w:w="2376"/>
            <w:tcMar>
              <w:top w:w="60" w:type="dxa"/>
              <w:start w:w="110" w:type="dxa"/>
              <w:bottom w:w="60" w:type="dxa"/>
              <w:end w:w="110" w:type="dxa"/>
            </w:tcMar>
          </w:tcPr>
          <w:p>
            <w:pPr>
              <w:spacing w:after="0"/>
            </w:pPr>
            <w:r/>
            <w:r>
              <w:rPr>
                <w:rFonts w:ascii="Calibri" w:hAnsi="Calibri"/>
                <w:b w:val="0"/>
                <w:i w:val="0"/>
                <w:color w:val="101828"/>
                <w:sz w:val="16"/>
              </w:rPr>
              <w:t>Centred dialog</w:t>
            </w:r>
          </w:p>
        </w:tc>
        <w:tc>
          <w:tcPr>
            <w:tcW w:type="dxa" w:w="2304"/>
            <w:tcMar>
              <w:top w:w="60" w:type="dxa"/>
              <w:start w:w="110" w:type="dxa"/>
              <w:bottom w:w="60" w:type="dxa"/>
              <w:end w:w="110" w:type="dxa"/>
            </w:tcMar>
          </w:tcPr>
          <w:p>
            <w:pPr>
              <w:spacing w:after="0"/>
            </w:pPr>
            <w:r/>
            <w:r>
              <w:rPr>
                <w:rFonts w:ascii="Calibri" w:hAnsi="Calibri"/>
                <w:b w:val="0"/>
                <w:i w:val="0"/>
                <w:color w:val="101828"/>
                <w:sz w:val="16"/>
              </w:rPr>
              <w:t>Centred dialog, max 640px</w:t>
            </w:r>
          </w:p>
        </w:tc>
      </w:tr>
    </w:tbl>
    <w:p>
      <w:pPr>
        <w:spacing w:after="80"/>
      </w:pPr>
    </w:p>
    <w:p>
      <w:pPr>
        <w:pStyle w:val="Heading2"/>
      </w:pPr>
      <w:r>
        <w:rPr>
          <w:rFonts w:ascii="Calibri" w:hAnsi="Calibri"/>
          <w:b/>
          <w:i w:val="0"/>
          <w:color w:val="146EF5"/>
          <w:sz w:val="29"/>
        </w:rPr>
        <w:t>5.8 Component specifications</w:t>
      </w:r>
    </w:p>
    <w:p>
      <w:r>
        <w:rPr>
          <w:rFonts w:ascii="Calibri" w:hAnsi="Calibri"/>
          <w:b w:val="0"/>
          <w:i w:val="0"/>
          <w:color w:val="101828"/>
          <w:sz w:val="21"/>
        </w:rPr>
        <w:t>Anatomy and variants for every component. Deviation requires a design-system review; the point of this section is that a developer should not have to invent a button.</w:t>
      </w:r>
    </w:p>
    <w:p>
      <w:pPr>
        <w:pStyle w:val="Heading3"/>
      </w:pPr>
      <w:r>
        <w:rPr>
          <w:rFonts w:ascii="Calibri" w:hAnsi="Calibri"/>
          <w:b/>
          <w:i w:val="0"/>
          <w:color w:val="0B1F3A"/>
          <w:sz w:val="24"/>
        </w:rPr>
        <w:t>Button</w:t>
      </w:r>
    </w:p>
    <w:p>
      <w:pPr>
        <w:spacing w:after="40"/>
        <w:ind w:left="173"/>
      </w:pPr>
      <w:r>
        <w:rPr>
          <w:rFonts w:ascii="Calibri" w:hAnsi="Calibri"/>
          <w:b/>
          <w:color w:val="0B1F3A"/>
          <w:sz w:val="21"/>
        </w:rPr>
        <w:t xml:space="preserve">Anatomy  </w:t>
      </w:r>
      <w:r>
        <w:rPr>
          <w:rFonts w:ascii="Calibri" w:hAnsi="Calibri"/>
          <w:b w:val="0"/>
          <w:i w:val="0"/>
          <w:color w:val="101828"/>
          <w:sz w:val="21"/>
        </w:rPr>
        <w:t>Container, optional leading icon, label, optional trailing icon, optional progress spinner replacing the label during submit</w:t>
      </w:r>
    </w:p>
    <w:p>
      <w:pPr>
        <w:spacing w:after="40"/>
        <w:ind w:left="173"/>
      </w:pPr>
      <w:r>
        <w:rPr>
          <w:rFonts w:ascii="Calibri" w:hAnsi="Calibri"/>
          <w:b/>
          <w:color w:val="0B1F3A"/>
          <w:sz w:val="21"/>
        </w:rPr>
        <w:t xml:space="preserve">Variants  </w:t>
      </w:r>
      <w:r>
        <w:rPr>
          <w:rFonts w:ascii="Calibri" w:hAnsi="Calibri"/>
          <w:b w:val="0"/>
          <w:i w:val="0"/>
          <w:color w:val="101828"/>
          <w:sz w:val="21"/>
        </w:rPr>
        <w:t>Primary (action-primary fill), Secondary (white fill, Primary border), Tertiary (no fill, Primary text), Danger (danger fill), Ghost (transparent, hover fill), Link (text only)</w:t>
      </w:r>
    </w:p>
    <w:p>
      <w:pPr>
        <w:spacing w:after="40"/>
        <w:ind w:left="173"/>
      </w:pPr>
      <w:r>
        <w:rPr>
          <w:rFonts w:ascii="Calibri" w:hAnsi="Calibri"/>
          <w:b/>
          <w:color w:val="0B1F3A"/>
          <w:sz w:val="21"/>
        </w:rPr>
        <w:t xml:space="preserve">Sizes  </w:t>
      </w:r>
      <w:r>
        <w:rPr>
          <w:rFonts w:ascii="Calibri" w:hAnsi="Calibri"/>
          <w:b w:val="0"/>
          <w:i w:val="0"/>
          <w:color w:val="101828"/>
          <w:sz w:val="21"/>
        </w:rPr>
        <w:t>sm 32px/12px text, md 40px/14px, lg 48px/16px. Mobile primary CTAs are always lg</w:t>
      </w:r>
    </w:p>
    <w:p>
      <w:pPr>
        <w:spacing w:after="40"/>
        <w:ind w:left="173"/>
      </w:pPr>
      <w:r>
        <w:rPr>
          <w:rFonts w:ascii="Calibri" w:hAnsi="Calibri"/>
          <w:b/>
          <w:color w:val="0B1F3A"/>
          <w:sz w:val="21"/>
        </w:rPr>
        <w:t xml:space="preserve">States  </w:t>
      </w:r>
      <w:r>
        <w:rPr>
          <w:rFonts w:ascii="Calibri" w:hAnsi="Calibri"/>
          <w:b w:val="0"/>
          <w:i w:val="0"/>
          <w:color w:val="101828"/>
          <w:sz w:val="21"/>
        </w:rPr>
        <w:t>Default, hover, active/pressed, focus-visible, disabled, loading, destructive-confirm</w:t>
      </w:r>
    </w:p>
    <w:p>
      <w:pPr>
        <w:spacing w:after="40"/>
        <w:ind w:left="173"/>
      </w:pPr>
      <w:r>
        <w:rPr>
          <w:rFonts w:ascii="Calibri" w:hAnsi="Calibri"/>
          <w:b/>
          <w:color w:val="0B1F3A"/>
          <w:sz w:val="21"/>
        </w:rPr>
        <w:t xml:space="preserve">Rules  </w:t>
      </w:r>
      <w:r>
        <w:rPr>
          <w:rFonts w:ascii="Calibri" w:hAnsi="Calibri"/>
          <w:b w:val="0"/>
          <w:i w:val="0"/>
          <w:color w:val="101828"/>
          <w:sz w:val="21"/>
        </w:rPr>
        <w:t>Exactly one Primary per view. Never two primaries side by side. Never a tertiary where a primary belongs. Disabled state must still be readable at 4.5:1, not greyed to illegibility</w:t>
      </w:r>
    </w:p>
    <w:p>
      <w:pPr>
        <w:spacing w:after="40"/>
        <w:ind w:left="173"/>
      </w:pPr>
      <w:r>
        <w:rPr>
          <w:rFonts w:ascii="Calibri" w:hAnsi="Calibri"/>
          <w:b/>
          <w:color w:val="0B1F3A"/>
          <w:sz w:val="21"/>
        </w:rPr>
        <w:t xml:space="preserve">Do not use  </w:t>
      </w:r>
      <w:r>
        <w:rPr>
          <w:rFonts w:ascii="Calibri" w:hAnsi="Calibri"/>
          <w:b w:val="0"/>
          <w:i w:val="0"/>
          <w:color w:val="101828"/>
          <w:sz w:val="21"/>
        </w:rPr>
        <w:t>As a decorative element, as a navigation link, or in a form where the label implies an action other than the one it performs</w:t>
      </w:r>
    </w:p>
    <w:p>
      <w:pPr>
        <w:pStyle w:val="Heading3"/>
      </w:pPr>
      <w:r>
        <w:rPr>
          <w:rFonts w:ascii="Calibri" w:hAnsi="Calibri"/>
          <w:b/>
          <w:i w:val="0"/>
          <w:color w:val="0B1F3A"/>
          <w:sz w:val="24"/>
        </w:rPr>
        <w:t>Input</w:t>
      </w:r>
    </w:p>
    <w:p>
      <w:pPr>
        <w:spacing w:after="40"/>
        <w:ind w:left="173"/>
      </w:pPr>
      <w:r>
        <w:rPr>
          <w:rFonts w:ascii="Calibri" w:hAnsi="Calibri"/>
          <w:b/>
          <w:color w:val="0B1F3A"/>
          <w:sz w:val="21"/>
        </w:rPr>
        <w:t xml:space="preserve">Anatomy  </w:t>
      </w:r>
      <w:r>
        <w:rPr>
          <w:rFonts w:ascii="Calibri" w:hAnsi="Calibri"/>
          <w:b w:val="0"/>
          <w:i w:val="0"/>
          <w:color w:val="101828"/>
          <w:sz w:val="21"/>
        </w:rPr>
        <w:t>Label, optional required marker, input, optional leading icon, optional prefix/suffix, helper text, error text, character counter where applicable</w:t>
      </w:r>
    </w:p>
    <w:p>
      <w:pPr>
        <w:spacing w:after="40"/>
        <w:ind w:left="173"/>
      </w:pPr>
      <w:r>
        <w:rPr>
          <w:rFonts w:ascii="Calibri" w:hAnsi="Calibri"/>
          <w:b/>
          <w:color w:val="0B1F3A"/>
          <w:sz w:val="21"/>
        </w:rPr>
        <w:t xml:space="preserve">Variants  </w:t>
      </w:r>
      <w:r>
        <w:rPr>
          <w:rFonts w:ascii="Calibri" w:hAnsi="Calibri"/>
          <w:b w:val="0"/>
          <w:i w:val="0"/>
          <w:color w:val="101828"/>
          <w:sz w:val="21"/>
        </w:rPr>
        <w:t>Default, with leading icon, with prefix, with suffix, search, OTP/code, amount-with-keypad (mobile)</w:t>
      </w:r>
    </w:p>
    <w:p>
      <w:pPr>
        <w:spacing w:after="40"/>
        <w:ind w:left="173"/>
      </w:pPr>
      <w:r>
        <w:rPr>
          <w:rFonts w:ascii="Calibri" w:hAnsi="Calibri"/>
          <w:b/>
          <w:color w:val="0B1F3A"/>
          <w:sz w:val="21"/>
        </w:rPr>
        <w:t xml:space="preserve">Sizes  </w:t>
      </w:r>
      <w:r>
        <w:rPr>
          <w:rFonts w:ascii="Calibri" w:hAnsi="Calibri"/>
          <w:b w:val="0"/>
          <w:i w:val="0"/>
          <w:color w:val="101828"/>
          <w:sz w:val="21"/>
        </w:rPr>
        <w:t>sm 36px, md 44px, lg 52px. All touch targets minimum 44x44px</w:t>
      </w:r>
    </w:p>
    <w:p>
      <w:pPr>
        <w:spacing w:after="40"/>
        <w:ind w:left="173"/>
      </w:pPr>
      <w:r>
        <w:rPr>
          <w:rFonts w:ascii="Calibri" w:hAnsi="Calibri"/>
          <w:b/>
          <w:color w:val="0B1F3A"/>
          <w:sz w:val="21"/>
        </w:rPr>
        <w:t xml:space="preserve">States  </w:t>
      </w:r>
      <w:r>
        <w:rPr>
          <w:rFonts w:ascii="Calibri" w:hAnsi="Calibri"/>
          <w:b w:val="0"/>
          <w:i w:val="0"/>
          <w:color w:val="101828"/>
          <w:sz w:val="21"/>
        </w:rPr>
        <w:t>Default, focus, filled, error, disabled, read-only, loading (verification in progress)</w:t>
      </w:r>
    </w:p>
    <w:p>
      <w:pPr>
        <w:spacing w:after="40"/>
        <w:ind w:left="173"/>
      </w:pPr>
      <w:r>
        <w:rPr>
          <w:rFonts w:ascii="Calibri" w:hAnsi="Calibri"/>
          <w:b/>
          <w:color w:val="0B1F3A"/>
          <w:sz w:val="21"/>
        </w:rPr>
        <w:t xml:space="preserve">Rules  </w:t>
      </w:r>
      <w:r>
        <w:rPr>
          <w:rFonts w:ascii="Calibri" w:hAnsi="Calibri"/>
          <w:b w:val="0"/>
          <w:i w:val="0"/>
          <w:color w:val="101828"/>
          <w:sz w:val="21"/>
        </w:rPr>
        <w:t>Label is always visible above the field — never a placeholder used as a label. Error text sits below the field, is announced to assistive technology, and names the fix, not just the problem. Autofill must be supported</w:t>
      </w:r>
    </w:p>
    <w:p>
      <w:pPr>
        <w:spacing w:after="40"/>
        <w:ind w:left="173"/>
      </w:pPr>
      <w:r>
        <w:rPr>
          <w:rFonts w:ascii="Calibri" w:hAnsi="Calibri"/>
          <w:b/>
          <w:color w:val="0B1F3A"/>
          <w:sz w:val="21"/>
        </w:rPr>
        <w:t xml:space="preserve">Do not use  </w:t>
      </w:r>
      <w:r>
        <w:rPr>
          <w:rFonts w:ascii="Calibri" w:hAnsi="Calibri"/>
          <w:b w:val="0"/>
          <w:i w:val="0"/>
          <w:color w:val="101828"/>
          <w:sz w:val="21"/>
        </w:rPr>
        <w:t>Disabled as a way of hiding a permission the user lacks; explain the requirement instead</w:t>
      </w:r>
    </w:p>
    <w:p>
      <w:pPr>
        <w:pStyle w:val="Heading3"/>
      </w:pPr>
      <w:r>
        <w:rPr>
          <w:rFonts w:ascii="Calibri" w:hAnsi="Calibri"/>
          <w:b/>
          <w:i w:val="0"/>
          <w:color w:val="0B1F3A"/>
          <w:sz w:val="24"/>
        </w:rPr>
        <w:t>Select, Checkbox, Radio, Switch</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Component</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Use when</w:t>
            </w:r>
          </w:p>
        </w:tc>
        <w:tc>
          <w:tcPr>
            <w:tcW w:type="dxa" w:w="4752"/>
            <w:shd w:val="clear" w:color="auto" w:fill="0B1F3A"/>
            <w:tcMar>
              <w:top w:w="60" w:type="dxa"/>
              <w:start w:w="110" w:type="dxa"/>
              <w:bottom w:w="60" w:type="dxa"/>
              <w:end w:w="110" w:type="dxa"/>
            </w:tcMar>
          </w:tcPr>
          <w:p>
            <w:pPr>
              <w:spacing w:after="0"/>
            </w:pPr>
            <w:r/>
            <w:r>
              <w:rPr>
                <w:rFonts w:ascii="Calibri" w:hAnsi="Calibri"/>
                <w:b/>
                <w:i w:val="0"/>
                <w:color w:val="FFFFFF"/>
                <w:sz w:val="16"/>
              </w:rPr>
              <w:t>Key rules</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Select</w:t>
            </w:r>
          </w:p>
        </w:tc>
        <w:tc>
          <w:tcPr>
            <w:tcW w:type="dxa" w:w="2736"/>
            <w:tcMar>
              <w:top w:w="60" w:type="dxa"/>
              <w:start w:w="110" w:type="dxa"/>
              <w:bottom w:w="60" w:type="dxa"/>
              <w:end w:w="110" w:type="dxa"/>
            </w:tcMar>
          </w:tcPr>
          <w:p>
            <w:pPr>
              <w:spacing w:after="0"/>
            </w:pPr>
            <w:r/>
            <w:r>
              <w:rPr>
                <w:rFonts w:ascii="Calibri" w:hAnsi="Calibri"/>
                <w:b w:val="0"/>
                <w:i w:val="0"/>
                <w:color w:val="101828"/>
                <w:sz w:val="16"/>
              </w:rPr>
              <w:t>7 or more options, or options needing explanation</w:t>
            </w:r>
          </w:p>
        </w:tc>
        <w:tc>
          <w:tcPr>
            <w:tcW w:type="dxa" w:w="4752"/>
            <w:tcMar>
              <w:top w:w="60" w:type="dxa"/>
              <w:start w:w="110" w:type="dxa"/>
              <w:bottom w:w="60" w:type="dxa"/>
              <w:end w:w="110" w:type="dxa"/>
            </w:tcMar>
          </w:tcPr>
          <w:p>
            <w:pPr>
              <w:spacing w:after="0"/>
            </w:pPr>
            <w:r/>
            <w:r>
              <w:rPr>
                <w:rFonts w:ascii="Calibri" w:hAnsi="Calibri"/>
                <w:b w:val="0"/>
                <w:i w:val="0"/>
                <w:color w:val="101828"/>
                <w:sz w:val="16"/>
              </w:rPr>
              <w:t>Native picker on mobile. Never for yes/no</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Checkbox</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Multi-select, consent, 'I agree to the Ajo rules'</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Consent checkbox must accompany an inline link to the rules; a pre-ticked consent box is unlawful and prohibited</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Radio</w:t>
            </w:r>
          </w:p>
        </w:tc>
        <w:tc>
          <w:tcPr>
            <w:tcW w:type="dxa" w:w="2736"/>
            <w:tcMar>
              <w:top w:w="60" w:type="dxa"/>
              <w:start w:w="110" w:type="dxa"/>
              <w:bottom w:w="60" w:type="dxa"/>
              <w:end w:w="110" w:type="dxa"/>
            </w:tcMar>
          </w:tcPr>
          <w:p>
            <w:pPr>
              <w:spacing w:after="0"/>
            </w:pPr>
            <w:r/>
            <w:r>
              <w:rPr>
                <w:rFonts w:ascii="Calibri" w:hAnsi="Calibri"/>
                <w:b w:val="0"/>
                <w:i w:val="0"/>
                <w:color w:val="101828"/>
                <w:sz w:val="16"/>
              </w:rPr>
              <w:t>2–6 mutually exclusive options that should all be visible</w:t>
            </w:r>
          </w:p>
        </w:tc>
        <w:tc>
          <w:tcPr>
            <w:tcW w:type="dxa" w:w="4752"/>
            <w:tcMar>
              <w:top w:w="60" w:type="dxa"/>
              <w:start w:w="110" w:type="dxa"/>
              <w:bottom w:w="60" w:type="dxa"/>
              <w:end w:w="110" w:type="dxa"/>
            </w:tcMar>
          </w:tcPr>
          <w:p>
            <w:pPr>
              <w:spacing w:after="0"/>
            </w:pPr>
            <w:r/>
            <w:r>
              <w:rPr>
                <w:rFonts w:ascii="Calibri" w:hAnsi="Calibri"/>
                <w:b w:val="0"/>
                <w:i w:val="0"/>
                <w:color w:val="101828"/>
                <w:sz w:val="16"/>
              </w:rPr>
              <w:t>Default choice is never pre-selected where it implies a financial commitment</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Switch</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A setting that takes effect immediately</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Never for an action requiring a submit. A switch must state what changed after it flips</w:t>
            </w:r>
          </w:p>
        </w:tc>
      </w:tr>
    </w:tbl>
    <w:p>
      <w:pPr>
        <w:spacing w:after="80"/>
      </w:pPr>
    </w:p>
    <w:p>
      <w:pPr>
        <w:pStyle w:val="Heading3"/>
      </w:pPr>
      <w:r>
        <w:rPr>
          <w:rFonts w:ascii="Calibri" w:hAnsi="Calibri"/>
          <w:b/>
          <w:i w:val="0"/>
          <w:color w:val="0B1F3A"/>
          <w:sz w:val="24"/>
        </w:rPr>
        <w:t>Card</w:t>
      </w:r>
    </w:p>
    <w:p>
      <w:pPr>
        <w:spacing w:after="40"/>
        <w:ind w:left="173"/>
      </w:pPr>
      <w:r>
        <w:rPr>
          <w:rFonts w:ascii="Calibri" w:hAnsi="Calibri"/>
          <w:b/>
          <w:color w:val="0B1F3A"/>
          <w:sz w:val="21"/>
        </w:rPr>
        <w:t xml:space="preserve">Anatomy  </w:t>
      </w:r>
      <w:r>
        <w:rPr>
          <w:rFonts w:ascii="Calibri" w:hAnsi="Calibri"/>
          <w:b w:val="0"/>
          <w:i w:val="0"/>
          <w:color w:val="101828"/>
          <w:sz w:val="21"/>
        </w:rPr>
        <w:t>Header (title + optional action), body, optional footer (meta or primary CTA)</w:t>
      </w:r>
    </w:p>
    <w:p>
      <w:pPr>
        <w:spacing w:after="40"/>
        <w:ind w:left="173"/>
      </w:pPr>
      <w:r>
        <w:rPr>
          <w:rFonts w:ascii="Calibri" w:hAnsi="Calibri"/>
          <w:b/>
          <w:color w:val="0B1F3A"/>
          <w:sz w:val="21"/>
        </w:rPr>
        <w:t xml:space="preserve">Variants  </w:t>
      </w:r>
      <w:r>
        <w:rPr>
          <w:rFonts w:ascii="Calibri" w:hAnsi="Calibri"/>
          <w:b w:val="0"/>
          <w:i w:val="0"/>
          <w:color w:val="101828"/>
          <w:sz w:val="21"/>
        </w:rPr>
        <w:t>Default (white, shadow-xs, radius-lg, 16–20px padding), interactive (hover lift + border-strong), selected (Primary 2px border), Ajo card (adds status pill + progress ring)</w:t>
      </w:r>
    </w:p>
    <w:p>
      <w:pPr>
        <w:spacing w:after="40"/>
        <w:ind w:left="173"/>
      </w:pPr>
      <w:r>
        <w:rPr>
          <w:rFonts w:ascii="Calibri" w:hAnsi="Calibri"/>
          <w:b/>
          <w:color w:val="0B1F3A"/>
          <w:sz w:val="21"/>
        </w:rPr>
        <w:t xml:space="preserve">Rules  </w:t>
      </w:r>
      <w:r>
        <w:rPr>
          <w:rFonts w:ascii="Calibri" w:hAnsi="Calibri"/>
          <w:b w:val="0"/>
          <w:i w:val="0"/>
          <w:color w:val="101828"/>
          <w:sz w:val="21"/>
        </w:rPr>
        <w:t>One card expresses one idea. An Ajo card shows: Ajo name, status pill, your position, contribution amount, next due date, progress ring of rounds complete. It must not show four competing buttons</w:t>
      </w:r>
    </w:p>
    <w:p>
      <w:pPr>
        <w:spacing w:after="40"/>
        <w:ind w:left="173"/>
      </w:pPr>
      <w:r>
        <w:rPr>
          <w:rFonts w:ascii="Calibri" w:hAnsi="Calibri"/>
          <w:b/>
          <w:color w:val="0B1F3A"/>
          <w:sz w:val="21"/>
        </w:rPr>
        <w:t xml:space="preserve">Do not use  </w:t>
      </w:r>
      <w:r>
        <w:rPr>
          <w:rFonts w:ascii="Calibri" w:hAnsi="Calibri"/>
          <w:b w:val="0"/>
          <w:i w:val="0"/>
          <w:color w:val="101828"/>
          <w:sz w:val="21"/>
        </w:rPr>
        <w:t>Nesting cards inside cards, or a full-bleed clickable card containing its own button</w:t>
      </w:r>
    </w:p>
    <w:p>
      <w:pPr>
        <w:pStyle w:val="Heading3"/>
      </w:pPr>
      <w:r>
        <w:rPr>
          <w:rFonts w:ascii="Calibri" w:hAnsi="Calibri"/>
          <w:b/>
          <w:i w:val="0"/>
          <w:color w:val="0B1F3A"/>
          <w:sz w:val="24"/>
        </w:rPr>
        <w:t>Status pill and badge</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Status</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Colour</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Icon (required)</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Never used alone as the only signal</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DRAFT / Enrollment open</w:t>
            </w:r>
          </w:p>
        </w:tc>
        <w:tc>
          <w:tcPr>
            <w:tcW w:type="dxa" w:w="2160"/>
            <w:tcMar>
              <w:top w:w="60" w:type="dxa"/>
              <w:start w:w="110" w:type="dxa"/>
              <w:bottom w:w="60" w:type="dxa"/>
              <w:end w:w="110" w:type="dxa"/>
            </w:tcMar>
          </w:tcPr>
          <w:p>
            <w:pPr>
              <w:spacing w:after="0"/>
            </w:pPr>
            <w:r/>
            <w:r>
              <w:rPr>
                <w:rFonts w:ascii="Calibri" w:hAnsi="Calibri"/>
                <w:b w:val="0"/>
                <w:i w:val="0"/>
                <w:color w:val="101828"/>
                <w:sz w:val="16"/>
              </w:rPr>
              <w:t>info / info-bg</w:t>
            </w:r>
          </w:p>
        </w:tc>
        <w:tc>
          <w:tcPr>
            <w:tcW w:type="dxa" w:w="2160"/>
            <w:tcMar>
              <w:top w:w="60" w:type="dxa"/>
              <w:start w:w="110" w:type="dxa"/>
              <w:bottom w:w="60" w:type="dxa"/>
              <w:end w:w="110" w:type="dxa"/>
            </w:tcMar>
          </w:tcPr>
          <w:p>
            <w:pPr>
              <w:spacing w:after="0"/>
            </w:pPr>
            <w:r/>
            <w:r>
              <w:rPr>
                <w:rFonts w:ascii="Calibri" w:hAnsi="Calibri"/>
                <w:b w:val="0"/>
                <w:i w:val="0"/>
                <w:color w:val="101828"/>
                <w:sz w:val="16"/>
              </w:rPr>
              <w:t>Clock</w:t>
            </w:r>
          </w:p>
        </w:tc>
        <w:tc>
          <w:tcPr>
            <w:tcW w:type="dxa" w:w="2736"/>
            <w:tcMar>
              <w:top w:w="60" w:type="dxa"/>
              <w:start w:w="110" w:type="dxa"/>
              <w:bottom w:w="60" w:type="dxa"/>
              <w:end w:w="110" w:type="dxa"/>
            </w:tcMar>
          </w:tcPr>
          <w:p>
            <w:pPr>
              <w:spacing w:after="0"/>
            </w:pPr>
            <w:r/>
            <w:r>
              <w:rPr>
                <w:rFonts w:ascii="Calibri" w:hAnsi="Calibri"/>
                <w:b w:val="0"/>
                <w:i w:val="0"/>
                <w:color w:val="101828"/>
                <w:sz w:val="16"/>
              </w:rPr>
              <w:t>—</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ACTIVE</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success / success-bg</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Check</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Round in progress</w:t>
            </w:r>
          </w:p>
        </w:tc>
        <w:tc>
          <w:tcPr>
            <w:tcW w:type="dxa" w:w="2160"/>
            <w:tcMar>
              <w:top w:w="60" w:type="dxa"/>
              <w:start w:w="110" w:type="dxa"/>
              <w:bottom w:w="60" w:type="dxa"/>
              <w:end w:w="110" w:type="dxa"/>
            </w:tcMar>
          </w:tcPr>
          <w:p>
            <w:pPr>
              <w:spacing w:after="0"/>
            </w:pPr>
            <w:r/>
            <w:r>
              <w:rPr>
                <w:rFonts w:ascii="Calibri" w:hAnsi="Calibri"/>
                <w:b w:val="0"/>
                <w:i w:val="0"/>
                <w:color w:val="101828"/>
                <w:sz w:val="16"/>
              </w:rPr>
              <w:t>Primary / info-bg</w:t>
            </w:r>
          </w:p>
        </w:tc>
        <w:tc>
          <w:tcPr>
            <w:tcW w:type="dxa" w:w="2160"/>
            <w:tcMar>
              <w:top w:w="60" w:type="dxa"/>
              <w:start w:w="110" w:type="dxa"/>
              <w:bottom w:w="60" w:type="dxa"/>
              <w:end w:w="110" w:type="dxa"/>
            </w:tcMar>
          </w:tcPr>
          <w:p>
            <w:pPr>
              <w:spacing w:after="0"/>
            </w:pPr>
            <w:r/>
            <w:r>
              <w:rPr>
                <w:rFonts w:ascii="Calibri" w:hAnsi="Calibri"/>
                <w:b w:val="0"/>
                <w:i w:val="0"/>
                <w:color w:val="101828"/>
                <w:sz w:val="16"/>
              </w:rPr>
              <w:t>Refresh</w:t>
            </w:r>
          </w:p>
        </w:tc>
        <w:tc>
          <w:tcPr>
            <w:tcW w:type="dxa" w:w="2736"/>
            <w:tcMar>
              <w:top w:w="60" w:type="dxa"/>
              <w:start w:w="110" w:type="dxa"/>
              <w:bottom w:w="60" w:type="dxa"/>
              <w:end w:w="110" w:type="dxa"/>
            </w:tcMar>
          </w:tcPr>
          <w:p>
            <w:pPr>
              <w:spacing w:after="0"/>
            </w:pPr>
            <w:r/>
            <w:r>
              <w:rPr>
                <w:rFonts w:ascii="Calibri" w:hAnsi="Calibri"/>
                <w:b w:val="0"/>
                <w:i w:val="0"/>
                <w:color w:val="101828"/>
                <w:sz w:val="16"/>
              </w:rPr>
              <w:t>—</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Payout imminent</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Gold fill, Dark text</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Star</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Gold text on white</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Payout held</w:t>
            </w:r>
          </w:p>
        </w:tc>
        <w:tc>
          <w:tcPr>
            <w:tcW w:type="dxa" w:w="2160"/>
            <w:tcMar>
              <w:top w:w="60" w:type="dxa"/>
              <w:start w:w="110" w:type="dxa"/>
              <w:bottom w:w="60" w:type="dxa"/>
              <w:end w:w="110" w:type="dxa"/>
            </w:tcMar>
          </w:tcPr>
          <w:p>
            <w:pPr>
              <w:spacing w:after="0"/>
            </w:pPr>
            <w:r/>
            <w:r>
              <w:rPr>
                <w:rFonts w:ascii="Calibri" w:hAnsi="Calibri"/>
                <w:b w:val="0"/>
                <w:i w:val="0"/>
                <w:color w:val="101828"/>
                <w:sz w:val="16"/>
              </w:rPr>
              <w:t>warning / warning-bg</w:t>
            </w:r>
          </w:p>
        </w:tc>
        <w:tc>
          <w:tcPr>
            <w:tcW w:type="dxa" w:w="2160"/>
            <w:tcMar>
              <w:top w:w="60" w:type="dxa"/>
              <w:start w:w="110" w:type="dxa"/>
              <w:bottom w:w="60" w:type="dxa"/>
              <w:end w:w="110" w:type="dxa"/>
            </w:tcMar>
          </w:tcPr>
          <w:p>
            <w:pPr>
              <w:spacing w:after="0"/>
            </w:pPr>
            <w:r/>
            <w:r>
              <w:rPr>
                <w:rFonts w:ascii="Calibri" w:hAnsi="Calibri"/>
                <w:b w:val="0"/>
                <w:i w:val="0"/>
                <w:color w:val="101828"/>
                <w:sz w:val="16"/>
              </w:rPr>
              <w:t>Pause</w:t>
            </w:r>
          </w:p>
        </w:tc>
        <w:tc>
          <w:tcPr>
            <w:tcW w:type="dxa" w:w="2736"/>
            <w:tcMar>
              <w:top w:w="60" w:type="dxa"/>
              <w:start w:w="110" w:type="dxa"/>
              <w:bottom w:w="60" w:type="dxa"/>
              <w:end w:w="110" w:type="dxa"/>
            </w:tcMar>
          </w:tcPr>
          <w:p>
            <w:pPr>
              <w:spacing w:after="0"/>
            </w:pPr>
            <w:r/>
            <w:r>
              <w:rPr>
                <w:rFonts w:ascii="Calibri" w:hAnsi="Calibri"/>
                <w:b w:val="0"/>
                <w:i w:val="0"/>
                <w:color w:val="101828"/>
                <w:sz w:val="16"/>
              </w:rPr>
              <w:t>—</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Overdue</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warning / warning-bg</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Alert triangle</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Defaulted</w:t>
            </w:r>
          </w:p>
        </w:tc>
        <w:tc>
          <w:tcPr>
            <w:tcW w:type="dxa" w:w="2160"/>
            <w:tcMar>
              <w:top w:w="60" w:type="dxa"/>
              <w:start w:w="110" w:type="dxa"/>
              <w:bottom w:w="60" w:type="dxa"/>
              <w:end w:w="110" w:type="dxa"/>
            </w:tcMar>
          </w:tcPr>
          <w:p>
            <w:pPr>
              <w:spacing w:after="0"/>
            </w:pPr>
            <w:r/>
            <w:r>
              <w:rPr>
                <w:rFonts w:ascii="Calibri" w:hAnsi="Calibri"/>
                <w:b w:val="0"/>
                <w:i w:val="0"/>
                <w:color w:val="101828"/>
                <w:sz w:val="16"/>
              </w:rPr>
              <w:t>danger / danger-bg</w:t>
            </w:r>
          </w:p>
        </w:tc>
        <w:tc>
          <w:tcPr>
            <w:tcW w:type="dxa" w:w="2160"/>
            <w:tcMar>
              <w:top w:w="60" w:type="dxa"/>
              <w:start w:w="110" w:type="dxa"/>
              <w:bottom w:w="60" w:type="dxa"/>
              <w:end w:w="110" w:type="dxa"/>
            </w:tcMar>
          </w:tcPr>
          <w:p>
            <w:pPr>
              <w:spacing w:after="0"/>
            </w:pPr>
            <w:r/>
            <w:r>
              <w:rPr>
                <w:rFonts w:ascii="Calibri" w:hAnsi="Calibri"/>
                <w:b w:val="0"/>
                <w:i w:val="0"/>
                <w:color w:val="101828"/>
                <w:sz w:val="16"/>
              </w:rPr>
              <w:t>Alert octagon</w:t>
            </w:r>
          </w:p>
        </w:tc>
        <w:tc>
          <w:tcPr>
            <w:tcW w:type="dxa" w:w="2736"/>
            <w:tcMar>
              <w:top w:w="60" w:type="dxa"/>
              <w:start w:w="110" w:type="dxa"/>
              <w:bottom w:w="60" w:type="dxa"/>
              <w:end w:w="110" w:type="dxa"/>
            </w:tcMar>
          </w:tcPr>
          <w:p>
            <w:pPr>
              <w:spacing w:after="0"/>
            </w:pPr>
            <w:r/>
            <w:r>
              <w:rPr>
                <w:rFonts w:ascii="Calibri" w:hAnsi="Calibri"/>
                <w:b w:val="0"/>
                <w:i w:val="0"/>
                <w:color w:val="101828"/>
                <w:sz w:val="16"/>
              </w:rPr>
              <w:t>—</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Cancelled / Completed</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secondary / Cloud</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Flag / Check-double</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Non-negotiable:  </w:t>
      </w:r>
      <w:r>
        <w:rPr>
          <w:rFonts w:ascii="Calibri" w:hAnsi="Calibri"/>
          <w:b w:val="0"/>
          <w:i w:val="0"/>
          <w:color w:val="0B1F3A"/>
          <w:sz w:val="19"/>
        </w:rPr>
        <w:t xml:space="preserve">Every status is carried by colour </w:t>
      </w:r>
      <w:r>
        <w:rPr>
          <w:rFonts w:ascii="Calibri" w:hAnsi="Calibri"/>
          <w:b/>
          <w:color w:val="0B1F3A"/>
          <w:sz w:val="19"/>
        </w:rPr>
        <w:t>and</w:t>
      </w:r>
      <w:r>
        <w:rPr>
          <w:rFonts w:ascii="Calibri" w:hAnsi="Calibri"/>
          <w:b w:val="0"/>
          <w:i w:val="0"/>
          <w:color w:val="0B1F3A"/>
          <w:sz w:val="19"/>
        </w:rPr>
        <w:t xml:space="preserve"> an icon </w:t>
      </w:r>
      <w:r>
        <w:rPr>
          <w:rFonts w:ascii="Calibri" w:hAnsi="Calibri"/>
          <w:b/>
          <w:color w:val="0B1F3A"/>
          <w:sz w:val="19"/>
        </w:rPr>
        <w:t>and</w:t>
      </w:r>
      <w:r>
        <w:rPr>
          <w:rFonts w:ascii="Calibri" w:hAnsi="Calibri"/>
          <w:b w:val="0"/>
          <w:i w:val="0"/>
          <w:color w:val="0B1F3A"/>
          <w:sz w:val="19"/>
        </w:rPr>
        <w:t xml:space="preserve"> a text label. Colour alone fails roughly 1 in 12 men and is the single most common accessibility defect in financial dashboards.</w:t>
      </w:r>
    </w:p>
    <w:p>
      <w:pPr>
        <w:pStyle w:val="Heading3"/>
      </w:pPr>
      <w:r>
        <w:rPr>
          <w:rFonts w:ascii="Calibri" w:hAnsi="Calibri"/>
          <w:b/>
          <w:i w:val="0"/>
          <w:color w:val="0B1F3A"/>
          <w:sz w:val="24"/>
        </w:rPr>
        <w:t>Modal, drawer and bottom sheet</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Surface</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Use for</w:t>
            </w:r>
          </w:p>
        </w:tc>
        <w:tc>
          <w:tcPr>
            <w:tcW w:type="dxa" w:w="4752"/>
            <w:shd w:val="clear" w:color="auto" w:fill="0B1F3A"/>
            <w:tcMar>
              <w:top w:w="60" w:type="dxa"/>
              <w:start w:w="110" w:type="dxa"/>
              <w:bottom w:w="60" w:type="dxa"/>
              <w:end w:w="110" w:type="dxa"/>
            </w:tcMar>
          </w:tcPr>
          <w:p>
            <w:pPr>
              <w:spacing w:after="0"/>
            </w:pPr>
            <w:r/>
            <w:r>
              <w:rPr>
                <w:rFonts w:ascii="Calibri" w:hAnsi="Calibri"/>
                <w:b/>
                <w:i w:val="0"/>
                <w:color w:val="FFFFFF"/>
                <w:sz w:val="16"/>
              </w:rPr>
              <w:t>Rules</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Modal</w:t>
            </w:r>
          </w:p>
        </w:tc>
        <w:tc>
          <w:tcPr>
            <w:tcW w:type="dxa" w:w="2736"/>
            <w:tcMar>
              <w:top w:w="60" w:type="dxa"/>
              <w:start w:w="110" w:type="dxa"/>
              <w:bottom w:w="60" w:type="dxa"/>
              <w:end w:w="110" w:type="dxa"/>
            </w:tcMar>
          </w:tcPr>
          <w:p>
            <w:pPr>
              <w:spacing w:after="0"/>
            </w:pPr>
            <w:r/>
            <w:r>
              <w:rPr>
                <w:rFonts w:ascii="Calibri" w:hAnsi="Calibri"/>
                <w:b w:val="0"/>
                <w:i w:val="0"/>
                <w:color w:val="101828"/>
                <w:sz w:val="16"/>
              </w:rPr>
              <w:t>Confirmation of a consequential action; short focused form</w:t>
            </w:r>
          </w:p>
        </w:tc>
        <w:tc>
          <w:tcPr>
            <w:tcW w:type="dxa" w:w="4752"/>
            <w:tcMar>
              <w:top w:w="60" w:type="dxa"/>
              <w:start w:w="110" w:type="dxa"/>
              <w:bottom w:w="60" w:type="dxa"/>
              <w:end w:w="110" w:type="dxa"/>
            </w:tcMar>
          </w:tcPr>
          <w:p>
            <w:pPr>
              <w:spacing w:after="0"/>
            </w:pPr>
            <w:r/>
            <w:r>
              <w:rPr>
                <w:rFonts w:ascii="Calibri" w:hAnsi="Calibri"/>
                <w:b w:val="0"/>
                <w:i w:val="0"/>
                <w:color w:val="101828"/>
                <w:sz w:val="16"/>
              </w:rPr>
              <w:t>Focus trapped, Escape closes, background inert, labelled by its heading. Never for a multi-step task</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Drawer</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Filtering, secondary detail that must not lose list context</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Desktop right-side, mobile full-height. Never for a destructive confirm</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Bottom sheet</w:t>
            </w:r>
          </w:p>
        </w:tc>
        <w:tc>
          <w:tcPr>
            <w:tcW w:type="dxa" w:w="2736"/>
            <w:tcMar>
              <w:top w:w="60" w:type="dxa"/>
              <w:start w:w="110" w:type="dxa"/>
              <w:bottom w:w="60" w:type="dxa"/>
              <w:end w:w="110" w:type="dxa"/>
            </w:tcMar>
          </w:tcPr>
          <w:p>
            <w:pPr>
              <w:spacing w:after="0"/>
            </w:pPr>
            <w:r/>
            <w:r>
              <w:rPr>
                <w:rFonts w:ascii="Calibri" w:hAnsi="Calibri"/>
                <w:b w:val="0"/>
                <w:i w:val="0"/>
                <w:color w:val="101828"/>
                <w:sz w:val="16"/>
              </w:rPr>
              <w:t>Mobile equivalent of modal</w:t>
            </w:r>
          </w:p>
        </w:tc>
        <w:tc>
          <w:tcPr>
            <w:tcW w:type="dxa" w:w="4752"/>
            <w:tcMar>
              <w:top w:w="60" w:type="dxa"/>
              <w:start w:w="110" w:type="dxa"/>
              <w:bottom w:w="60" w:type="dxa"/>
              <w:end w:w="110" w:type="dxa"/>
            </w:tcMar>
          </w:tcPr>
          <w:p>
            <w:pPr>
              <w:spacing w:after="0"/>
            </w:pPr>
            <w:r/>
            <w:r>
              <w:rPr>
                <w:rFonts w:ascii="Calibri" w:hAnsi="Calibri"/>
                <w:b w:val="0"/>
                <w:i w:val="0"/>
                <w:color w:val="101828"/>
                <w:sz w:val="16"/>
              </w:rPr>
              <w:t>Drag handle, max 90vh, backdrop tap dismisses, respects safe-area insets</w:t>
            </w:r>
          </w:p>
        </w:tc>
      </w:tr>
    </w:tbl>
    <w:p>
      <w:pPr>
        <w:spacing w:after="80"/>
      </w:pPr>
    </w:p>
    <w:p>
      <w:pPr>
        <w:pStyle w:val="Heading3"/>
      </w:pPr>
      <w:r>
        <w:rPr>
          <w:rFonts w:ascii="Calibri" w:hAnsi="Calibri"/>
          <w:b/>
          <w:i w:val="0"/>
          <w:color w:val="0B1F3A"/>
          <w:sz w:val="24"/>
        </w:rPr>
        <w:t>Data table</w:t>
      </w:r>
    </w:p>
    <w:p>
      <w:pPr>
        <w:spacing w:after="40"/>
        <w:ind w:left="173"/>
      </w:pPr>
      <w:r>
        <w:rPr>
          <w:rFonts w:ascii="Calibri" w:hAnsi="Calibri"/>
          <w:b/>
          <w:color w:val="0B1F3A"/>
          <w:sz w:val="21"/>
        </w:rPr>
        <w:t xml:space="preserve">Anatomy  </w:t>
      </w:r>
      <w:r>
        <w:rPr>
          <w:rFonts w:ascii="Calibri" w:hAnsi="Calibri"/>
          <w:b w:val="0"/>
          <w:i w:val="0"/>
          <w:color w:val="101828"/>
          <w:sz w:val="21"/>
        </w:rPr>
        <w:t>Sticky header row, sortable column headers, money column right-aligned with tabular figures, status column with pill, row actions, pagination or infinite scroll, empty and loading states</w:t>
      </w:r>
    </w:p>
    <w:p>
      <w:pPr>
        <w:spacing w:after="40"/>
        <w:ind w:left="173"/>
      </w:pPr>
      <w:r>
        <w:rPr>
          <w:rFonts w:ascii="Calibri" w:hAnsi="Calibri"/>
          <w:b/>
          <w:color w:val="0B1F3A"/>
          <w:sz w:val="21"/>
        </w:rPr>
        <w:t xml:space="preserve">Rules  </w:t>
      </w:r>
      <w:r>
        <w:rPr>
          <w:rFonts w:ascii="Calibri" w:hAnsi="Calibri"/>
          <w:b w:val="0"/>
          <w:i w:val="0"/>
          <w:color w:val="101828"/>
          <w:sz w:val="21"/>
        </w:rPr>
        <w:t>Money right-aligned, always. Dates in a single consistent format, ISO-derived display. Member names left-aligned. Action column last and right-aligned. Row height 56px minimum for touch</w:t>
      </w:r>
    </w:p>
    <w:p>
      <w:pPr>
        <w:spacing w:after="40"/>
        <w:ind w:left="173"/>
      </w:pPr>
      <w:r>
        <w:rPr>
          <w:rFonts w:ascii="Calibri" w:hAnsi="Calibri"/>
          <w:b/>
          <w:color w:val="0B1F3A"/>
          <w:sz w:val="21"/>
        </w:rPr>
        <w:t xml:space="preserve">Do not use  </w:t>
      </w:r>
      <w:r>
        <w:rPr>
          <w:rFonts w:ascii="Calibri" w:hAnsi="Calibri"/>
          <w:b w:val="0"/>
          <w:i w:val="0"/>
          <w:color w:val="101828"/>
          <w:sz w:val="21"/>
        </w:rPr>
        <w:t>Horizontal scroll on mobile — switch to the card-per-row pattern below 768px</w:t>
      </w:r>
    </w:p>
    <w:p>
      <w:pPr>
        <w:pStyle w:val="Heading3"/>
      </w:pPr>
      <w:r>
        <w:rPr>
          <w:rFonts w:ascii="Calibri" w:hAnsi="Calibri"/>
          <w:b/>
          <w:i w:val="0"/>
          <w:color w:val="0B1F3A"/>
          <w:sz w:val="24"/>
        </w:rPr>
        <w:t>Progress ring and progress bar</w:t>
      </w:r>
    </w:p>
    <w:p>
      <w:pPr>
        <w:spacing w:after="40"/>
        <w:ind w:left="173"/>
      </w:pPr>
      <w:r>
        <w:rPr>
          <w:rFonts w:ascii="Calibri" w:hAnsi="Calibri"/>
          <w:b/>
          <w:color w:val="0B1F3A"/>
          <w:sz w:val="21"/>
        </w:rPr>
        <w:t xml:space="preserve">Ring  </w:t>
      </w:r>
      <w:r>
        <w:rPr>
          <w:rFonts w:ascii="Calibri" w:hAnsi="Calibri"/>
          <w:b w:val="0"/>
          <w:i w:val="0"/>
          <w:color w:val="101828"/>
          <w:sz w:val="21"/>
        </w:rPr>
        <w:t>Ajo completion, 3–10 rounds, shown in the Ajo card and on Ajo detail</w:t>
      </w:r>
    </w:p>
    <w:p>
      <w:pPr>
        <w:spacing w:after="40"/>
        <w:ind w:left="173"/>
      </w:pPr>
      <w:r>
        <w:rPr>
          <w:rFonts w:ascii="Calibri" w:hAnsi="Calibri"/>
          <w:b/>
          <w:color w:val="0B1F3A"/>
          <w:sz w:val="21"/>
        </w:rPr>
        <w:t xml:space="preserve">Bar  </w:t>
      </w:r>
      <w:r>
        <w:rPr>
          <w:rFonts w:ascii="Calibri" w:hAnsi="Calibri"/>
          <w:b w:val="0"/>
          <w:i w:val="0"/>
          <w:color w:val="101828"/>
          <w:sz w:val="21"/>
        </w:rPr>
        <w:t>Contribution collection within a round — paid members of total, e.g. 7 of 10</w:t>
      </w:r>
    </w:p>
    <w:p>
      <w:pPr>
        <w:spacing w:after="40"/>
        <w:ind w:left="173"/>
      </w:pPr>
      <w:r>
        <w:rPr>
          <w:rFonts w:ascii="Calibri" w:hAnsi="Calibri"/>
          <w:b/>
          <w:color w:val="0B1F3A"/>
          <w:sz w:val="21"/>
        </w:rPr>
        <w:t xml:space="preserve">Rules  </w:t>
      </w:r>
      <w:r>
        <w:rPr>
          <w:rFonts w:ascii="Calibri" w:hAnsi="Calibri"/>
          <w:b w:val="0"/>
          <w:i w:val="0"/>
          <w:color w:val="101828"/>
          <w:sz w:val="21"/>
        </w:rPr>
        <w:t>Always accompanied by the literal count ('7 of 10 members paid'). Cyan-to-Primary gradient is permitted; Gold reserved for a position the member holds. Never a bare ring with no figure</w:t>
      </w:r>
    </w:p>
    <w:p>
      <w:pPr>
        <w:pStyle w:val="Heading3"/>
      </w:pPr>
      <w:r>
        <w:rPr>
          <w:rFonts w:ascii="Calibri" w:hAnsi="Calibri"/>
          <w:b/>
          <w:i w:val="0"/>
          <w:color w:val="0B1F3A"/>
          <w:sz w:val="24"/>
        </w:rPr>
        <w:t>Empty, loading, error, success states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State</w:t>
            </w:r>
          </w:p>
        </w:tc>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6"/>
              </w:rPr>
              <w:t>Pattern</w:t>
            </w:r>
          </w:p>
        </w:tc>
        <w:tc>
          <w:tcPr>
            <w:tcW w:type="dxa" w:w="4464"/>
            <w:shd w:val="clear" w:color="auto" w:fill="0B1F3A"/>
            <w:tcMar>
              <w:top w:w="60" w:type="dxa"/>
              <w:start w:w="110" w:type="dxa"/>
              <w:bottom w:w="60" w:type="dxa"/>
              <w:end w:w="110" w:type="dxa"/>
            </w:tcMar>
          </w:tcPr>
          <w:p>
            <w:pPr>
              <w:spacing w:after="0"/>
            </w:pPr>
            <w:r/>
            <w:r>
              <w:rPr>
                <w:rFonts w:ascii="Calibri" w:hAnsi="Calibri"/>
                <w:b/>
                <w:i w:val="0"/>
                <w:color w:val="FFFFFF"/>
                <w:sz w:val="16"/>
              </w:rPr>
              <w:t>Must include</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Loading (fast, &lt;300ms)</w:t>
            </w:r>
          </w:p>
        </w:tc>
        <w:tc>
          <w:tcPr>
            <w:tcW w:type="dxa" w:w="3168"/>
            <w:tcMar>
              <w:top w:w="60" w:type="dxa"/>
              <w:start w:w="110" w:type="dxa"/>
              <w:bottom w:w="60" w:type="dxa"/>
              <w:end w:w="110" w:type="dxa"/>
            </w:tcMar>
          </w:tcPr>
          <w:p>
            <w:pPr>
              <w:spacing w:after="0"/>
            </w:pPr>
            <w:r/>
            <w:r>
              <w:rPr>
                <w:rFonts w:ascii="Calibri" w:hAnsi="Calibri"/>
                <w:b w:val="0"/>
                <w:i w:val="0"/>
                <w:color w:val="101828"/>
                <w:sz w:val="16"/>
              </w:rPr>
              <w:t>Nothing — avoid flash</w:t>
            </w:r>
          </w:p>
        </w:tc>
        <w:tc>
          <w:tcPr>
            <w:tcW w:type="dxa" w:w="4464"/>
            <w:tcMar>
              <w:top w:w="60" w:type="dxa"/>
              <w:start w:w="110" w:type="dxa"/>
              <w:bottom w:w="60" w:type="dxa"/>
              <w:end w:w="110" w:type="dxa"/>
            </w:tcMar>
          </w:tcPr>
          <w:p>
            <w:pPr>
              <w:spacing w:after="0"/>
            </w:pPr>
            <w:r/>
            <w:r>
              <w:rPr>
                <w:rFonts w:ascii="Calibri" w:hAnsi="Calibri"/>
                <w:b w:val="0"/>
                <w:i w:val="0"/>
                <w:color w:val="101828"/>
                <w:sz w:val="16"/>
              </w:rPr>
              <w:t>No spinner for sub-300ms responses</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Loading (slow)</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Skeleton matching final layout</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Shape must match content to avoid layout shift</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Loading (payment)</w:t>
            </w:r>
          </w:p>
        </w:tc>
        <w:tc>
          <w:tcPr>
            <w:tcW w:type="dxa" w:w="3168"/>
            <w:tcMar>
              <w:top w:w="60" w:type="dxa"/>
              <w:start w:w="110" w:type="dxa"/>
              <w:bottom w:w="60" w:type="dxa"/>
              <w:end w:w="110" w:type="dxa"/>
            </w:tcMar>
          </w:tcPr>
          <w:p>
            <w:pPr>
              <w:spacing w:after="0"/>
            </w:pPr>
            <w:r/>
            <w:r>
              <w:rPr>
                <w:rFonts w:ascii="Calibri" w:hAnsi="Calibri"/>
                <w:b w:val="0"/>
                <w:i w:val="0"/>
                <w:color w:val="101828"/>
                <w:sz w:val="16"/>
              </w:rPr>
              <w:t>Indeterminate bar with explicit wording</w:t>
            </w:r>
          </w:p>
        </w:tc>
        <w:tc>
          <w:tcPr>
            <w:tcW w:type="dxa" w:w="4464"/>
            <w:tcMar>
              <w:top w:w="60" w:type="dxa"/>
              <w:start w:w="110" w:type="dxa"/>
              <w:bottom w:w="60" w:type="dxa"/>
              <w:end w:w="110" w:type="dxa"/>
            </w:tcMar>
          </w:tcPr>
          <w:p>
            <w:pPr>
              <w:spacing w:after="0"/>
            </w:pPr>
            <w:r/>
            <w:r>
              <w:rPr>
                <w:rFonts w:ascii="Calibri" w:hAnsi="Calibri"/>
                <w:b w:val="0"/>
                <w:i w:val="0"/>
                <w:color w:val="101828"/>
                <w:sz w:val="16"/>
              </w:rPr>
              <w:t>'Confirming your payment — do not close this page'</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Empty (first use)</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Illustration + one sentence + one action</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Explain what will appear here and how to create the first one</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Empty (filtered)</w:t>
            </w:r>
          </w:p>
        </w:tc>
        <w:tc>
          <w:tcPr>
            <w:tcW w:type="dxa" w:w="3168"/>
            <w:tcMar>
              <w:top w:w="60" w:type="dxa"/>
              <w:start w:w="110" w:type="dxa"/>
              <w:bottom w:w="60" w:type="dxa"/>
              <w:end w:w="110" w:type="dxa"/>
            </w:tcMar>
          </w:tcPr>
          <w:p>
            <w:pPr>
              <w:spacing w:after="0"/>
            </w:pPr>
            <w:r/>
            <w:r>
              <w:rPr>
                <w:rFonts w:ascii="Calibri" w:hAnsi="Calibri"/>
                <w:b w:val="0"/>
                <w:i w:val="0"/>
                <w:color w:val="101828"/>
                <w:sz w:val="16"/>
              </w:rPr>
              <w:t>Icon + 'No results' + clear-filter action</w:t>
            </w:r>
          </w:p>
        </w:tc>
        <w:tc>
          <w:tcPr>
            <w:tcW w:type="dxa" w:w="4464"/>
            <w:tcMar>
              <w:top w:w="60" w:type="dxa"/>
              <w:start w:w="110" w:type="dxa"/>
              <w:bottom w:w="60" w:type="dxa"/>
              <w:end w:w="110" w:type="dxa"/>
            </w:tcMar>
          </w:tcPr>
          <w:p>
            <w:pPr>
              <w:spacing w:after="0"/>
            </w:pPr>
            <w:r/>
            <w:r>
              <w:rPr>
                <w:rFonts w:ascii="Calibri" w:hAnsi="Calibri"/>
                <w:b w:val="0"/>
                <w:i w:val="0"/>
                <w:color w:val="101828"/>
                <w:sz w:val="16"/>
              </w:rPr>
              <w:t>Name the filter that produced nothing</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Error (recoverable)</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Inline, adjacent to the field or block</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State what happened and what the user can do next</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Error (system)</w:t>
            </w:r>
          </w:p>
        </w:tc>
        <w:tc>
          <w:tcPr>
            <w:tcW w:type="dxa" w:w="3168"/>
            <w:tcMar>
              <w:top w:w="60" w:type="dxa"/>
              <w:start w:w="110" w:type="dxa"/>
              <w:bottom w:w="60" w:type="dxa"/>
              <w:end w:w="110" w:type="dxa"/>
            </w:tcMar>
          </w:tcPr>
          <w:p>
            <w:pPr>
              <w:spacing w:after="0"/>
            </w:pPr>
            <w:r/>
            <w:r>
              <w:rPr>
                <w:rFonts w:ascii="Calibri" w:hAnsi="Calibri"/>
                <w:b w:val="0"/>
                <w:i w:val="0"/>
                <w:color w:val="101828"/>
                <w:sz w:val="16"/>
              </w:rPr>
              <w:t>Full-panel with a request ID</w:t>
            </w:r>
          </w:p>
        </w:tc>
        <w:tc>
          <w:tcPr>
            <w:tcW w:type="dxa" w:w="4464"/>
            <w:tcMar>
              <w:top w:w="60" w:type="dxa"/>
              <w:start w:w="110" w:type="dxa"/>
              <w:bottom w:w="60" w:type="dxa"/>
              <w:end w:w="110" w:type="dxa"/>
            </w:tcMar>
          </w:tcPr>
          <w:p>
            <w:pPr>
              <w:spacing w:after="0"/>
            </w:pPr>
            <w:r/>
            <w:r>
              <w:rPr>
                <w:rFonts w:ascii="Calibri" w:hAnsi="Calibri"/>
                <w:b w:val="0"/>
                <w:i w:val="0"/>
                <w:color w:val="101828"/>
                <w:sz w:val="16"/>
              </w:rPr>
              <w:t>Request ID is copyable so support can trace it</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Success</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Toast for background completion; inline confirmation for a screen transition</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Never a modal success for a background action</w:t>
            </w:r>
          </w:p>
        </w:tc>
      </w:tr>
    </w:tbl>
    <w:p>
      <w:pPr>
        <w:spacing w:after="80"/>
      </w:pPr>
    </w:p>
    <w:p>
      <w:pPr>
        <w:pStyle w:val="Heading2"/>
      </w:pPr>
      <w:r>
        <w:rPr>
          <w:rFonts w:ascii="Calibri" w:hAnsi="Calibri"/>
          <w:b/>
          <w:i w:val="0"/>
          <w:color w:val="146EF5"/>
          <w:sz w:val="29"/>
        </w:rPr>
        <w:t>5.9 The money component — non-negotiable rules</w:t>
      </w:r>
    </w:p>
    <w:p>
      <w:r>
        <w:rPr>
          <w:rFonts w:ascii="Calibri" w:hAnsi="Calibri"/>
          <w:b w:val="0"/>
          <w:i w:val="0"/>
          <w:color w:val="101828"/>
          <w:sz w:val="21"/>
        </w:rPr>
        <w:t>Every amount in AJO.ng is rendered by one component. These rules exist because a misread figure is the fastest way to destroy member trust.</w:t>
      </w:r>
    </w:p>
    <w:p>
      <w:pPr>
        <w:pStyle w:val="ListNumber"/>
        <w:spacing w:after="60"/>
        <w:ind w:left="432"/>
      </w:pPr>
      <w:r>
        <w:rPr>
          <w:rFonts w:ascii="Calibri" w:hAnsi="Calibri"/>
          <w:b w:val="0"/>
          <w:i w:val="0"/>
          <w:color w:val="101828"/>
          <w:sz w:val="21"/>
        </w:rPr>
        <w:t>Tabular numerals always. Amounts in a column align on the decimal point.</w:t>
      </w:r>
    </w:p>
    <w:p>
      <w:pPr>
        <w:pStyle w:val="ListNumber"/>
        <w:spacing w:after="60"/>
        <w:ind w:left="432"/>
      </w:pPr>
      <w:r>
        <w:rPr>
          <w:rFonts w:ascii="Calibri" w:hAnsi="Calibri"/>
          <w:b w:val="0"/>
          <w:i w:val="0"/>
          <w:color w:val="101828"/>
          <w:sz w:val="21"/>
        </w:rPr>
        <w:t>Currency is always explicit: NGN prefix on the first occurrence, permitted omission on subsequent lines of the same breakdown where the header establishes it.</w:t>
      </w:r>
    </w:p>
    <w:p>
      <w:pPr>
        <w:pStyle w:val="ListNumber"/>
        <w:spacing w:after="60"/>
        <w:ind w:left="432"/>
      </w:pPr>
      <w:r>
        <w:rPr>
          <w:rFonts w:ascii="Calibri" w:hAnsi="Calibri"/>
          <w:b w:val="0"/>
          <w:i w:val="0"/>
          <w:color w:val="101828"/>
          <w:sz w:val="21"/>
        </w:rPr>
        <w:t>Full precision. NGN 1,000.00 never renders as '1k' or '1,000'.</w:t>
      </w:r>
    </w:p>
    <w:p>
      <w:pPr>
        <w:pStyle w:val="ListNumber"/>
        <w:spacing w:after="60"/>
        <w:ind w:left="432"/>
      </w:pPr>
      <w:r>
        <w:rPr>
          <w:rFonts w:ascii="Calibri" w:hAnsi="Calibri"/>
          <w:b w:val="0"/>
          <w:i w:val="0"/>
          <w:color w:val="101828"/>
          <w:sz w:val="21"/>
        </w:rPr>
        <w:t>Sign and direction are stated in words where ambiguity is possible: 'You pay NGN 1,020.00' beats a bare figure.</w:t>
      </w:r>
    </w:p>
    <w:p>
      <w:pPr>
        <w:pStyle w:val="ListNumber"/>
        <w:spacing w:after="60"/>
        <w:ind w:left="432"/>
      </w:pPr>
      <w:r>
        <w:rPr>
          <w:rFonts w:ascii="Calibri" w:hAnsi="Calibri"/>
          <w:b w:val="0"/>
          <w:i w:val="0"/>
          <w:color w:val="101828"/>
          <w:sz w:val="21"/>
        </w:rPr>
        <w:t>The 2% platform fee is ALWAYS a separate line. It is never merged into the contribution, never shown as a percentage alone without the resulting naira amount, and never netted silently into a payout.</w:t>
      </w:r>
    </w:p>
    <w:p>
      <w:pPr>
        <w:pStyle w:val="ListNumber"/>
        <w:spacing w:after="60"/>
        <w:ind w:left="432"/>
      </w:pPr>
      <w:r>
        <w:rPr>
          <w:rFonts w:ascii="Calibri" w:hAnsi="Calibri"/>
          <w:b w:val="0"/>
          <w:i w:val="0"/>
          <w:color w:val="101828"/>
          <w:sz w:val="21"/>
        </w:rPr>
        <w:t>The recipient's payout is always the base pool. A payout screen must never imply the recipient receives more than the agreed pool because of the fee.</w:t>
      </w:r>
    </w:p>
    <w:p>
      <w:pPr>
        <w:spacing w:before="0" w:after="0" w:line="240" w:lineRule="auto"/>
        <w:ind w:left="230"/>
        <w:shd w:val="clear" w:color="auto" w:fill="F7F9FC"/>
        <w:pBdr>
          <w:left w:val="single" w:sz="4" w:space="6" w:color="D0D5DD"/>
        </w:pBdr>
      </w:pPr>
      <w:r>
        <w:rPr>
          <w:rFonts w:ascii="Consolas" w:hAnsi="Consolas"/>
          <w:color w:val="0B1F3A"/>
          <w:sz w:val="16"/>
        </w:rPr>
        <w:t xml:space="preserve">  PAY NGN 1,020.00 FOR THIS ROUND</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Contribution                     NGN 1,000.00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Platform fee (2%)                  NGN  20.00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Total to be charged              NGN 1,020.00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The recipient receives NGN 10,000.00 — the agreed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pool. The fee is AJO.ng's and does not change it.</w:t>
      </w:r>
    </w:p>
    <w:p>
      <w:r>
        <w:rPr>
          <w:rFonts w:ascii="Calibri" w:hAnsi="Calibri"/>
          <w:b w:val="0"/>
          <w:i w:val="0"/>
          <w:color w:val="101828"/>
          <w:sz w:val="21"/>
        </w:rPr>
        <w:t xml:space="preserve">Where members are configured to pay the fee, the wording is fixed as: </w:t>
      </w:r>
      <w:r>
        <w:rPr>
          <w:rFonts w:ascii="Calibri" w:hAnsi="Calibri"/>
          <w:i/>
          <w:color w:val="101828"/>
          <w:sz w:val="21"/>
        </w:rPr>
        <w:t>'NGN 1,000.00 contribution + 2% platform fee (NGN 20.00) = NGN 1,020.00 charged today.'</w:t>
      </w:r>
      <w:r>
        <w:rPr>
          <w:rFonts w:ascii="Calibri" w:hAnsi="Calibri"/>
          <w:b w:val="0"/>
          <w:i w:val="0"/>
          <w:color w:val="101828"/>
          <w:sz w:val="21"/>
        </w:rPr>
        <w:t xml:space="preserve"> This is tested copy and is covered by the acceptance criteria for the payment screen.</w:t>
      </w:r>
    </w:p>
    <w:p>
      <w:pPr>
        <w:pStyle w:val="Heading2"/>
      </w:pPr>
      <w:r>
        <w:rPr>
          <w:rFonts w:ascii="Calibri" w:hAnsi="Calibri"/>
          <w:b/>
          <w:i w:val="0"/>
          <w:color w:val="146EF5"/>
          <w:sz w:val="29"/>
        </w:rPr>
        <w:t>5.10 Form patterns</w:t>
      </w:r>
    </w:p>
    <w:p>
      <w:pPr>
        <w:pStyle w:val="ListBullet"/>
        <w:spacing w:after="60"/>
        <w:ind w:left="360"/>
      </w:pPr>
      <w:r>
        <w:rPr>
          <w:rFonts w:ascii="Calibri" w:hAnsi="Calibri"/>
          <w:b w:val="0"/>
          <w:i w:val="0"/>
          <w:color w:val="101828"/>
          <w:sz w:val="21"/>
        </w:rPr>
        <w:t>Validate on blur, re-validate on change once a field has errored, and on submit validate everything again.</w:t>
      </w:r>
    </w:p>
    <w:p>
      <w:pPr>
        <w:pStyle w:val="ListBullet"/>
        <w:spacing w:after="60"/>
        <w:ind w:left="360"/>
      </w:pPr>
      <w:r>
        <w:rPr>
          <w:rFonts w:ascii="Calibri" w:hAnsi="Calibri"/>
          <w:b w:val="0"/>
          <w:i w:val="0"/>
          <w:color w:val="101828"/>
          <w:sz w:val="21"/>
        </w:rPr>
        <w:t>Server-side errors map to the field when possible; unmapable errors surface as a form-level banner above the submit button, not as a toast.</w:t>
      </w:r>
    </w:p>
    <w:p>
      <w:pPr>
        <w:pStyle w:val="ListBullet"/>
        <w:spacing w:after="60"/>
        <w:ind w:left="360"/>
      </w:pPr>
      <w:r>
        <w:rPr>
          <w:rFonts w:ascii="Calibri" w:hAnsi="Calibri"/>
          <w:b w:val="0"/>
          <w:i w:val="0"/>
          <w:color w:val="101828"/>
          <w:sz w:val="21"/>
        </w:rPr>
        <w:t>Never clear a field on validation failure. Never reset a multi-step wizard when one step fails.</w:t>
      </w:r>
    </w:p>
    <w:p>
      <w:pPr>
        <w:pStyle w:val="ListBullet"/>
        <w:spacing w:after="60"/>
        <w:ind w:left="360"/>
      </w:pPr>
      <w:r>
        <w:rPr>
          <w:rFonts w:ascii="Calibri" w:hAnsi="Calibri"/>
          <w:b w:val="0"/>
          <w:i w:val="0"/>
          <w:color w:val="101828"/>
          <w:sz w:val="21"/>
        </w:rPr>
        <w:t>The Create Ajo wizard persists every completed step so a dropped connection loses nothing.</w:t>
      </w:r>
    </w:p>
    <w:p>
      <w:pPr>
        <w:pStyle w:val="ListBullet"/>
        <w:spacing w:after="60"/>
        <w:ind w:left="360"/>
      </w:pPr>
      <w:r>
        <w:rPr>
          <w:rFonts w:ascii="Calibri" w:hAnsi="Calibri"/>
          <w:b w:val="0"/>
          <w:i w:val="0"/>
          <w:color w:val="101828"/>
          <w:sz w:val="21"/>
        </w:rPr>
        <w:t>Irreversible steps show a summary confirmation naming the exact figures, including the fee.</w:t>
      </w:r>
    </w:p>
    <w:p>
      <w:pPr>
        <w:pStyle w:val="Heading2"/>
      </w:pPr>
      <w:r>
        <w:rPr>
          <w:rFonts w:ascii="Calibri" w:hAnsi="Calibri"/>
          <w:b/>
          <w:i w:val="0"/>
          <w:color w:val="146EF5"/>
          <w:sz w:val="29"/>
        </w:rPr>
        <w:t>5.11 Motion</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Interaction</w:t>
            </w:r>
          </w:p>
        </w:tc>
        <w:tc>
          <w:tcPr>
            <w:tcW w:type="dxa" w:w="1440"/>
            <w:shd w:val="clear" w:color="auto" w:fill="0B1F3A"/>
            <w:tcMar>
              <w:top w:w="60" w:type="dxa"/>
              <w:start w:w="110" w:type="dxa"/>
              <w:bottom w:w="60" w:type="dxa"/>
              <w:end w:w="110" w:type="dxa"/>
            </w:tcMar>
          </w:tcPr>
          <w:p>
            <w:pPr>
              <w:spacing w:after="0"/>
            </w:pPr>
            <w:r/>
            <w:r>
              <w:rPr>
                <w:rFonts w:ascii="Calibri" w:hAnsi="Calibri"/>
                <w:b/>
                <w:i w:val="0"/>
                <w:color w:val="FFFFFF"/>
                <w:sz w:val="16"/>
              </w:rPr>
              <w:t>Duration</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Easing</w:t>
            </w:r>
          </w:p>
        </w:tc>
        <w:tc>
          <w:tcPr>
            <w:tcW w:type="dxa" w:w="3744"/>
            <w:shd w:val="clear" w:color="auto" w:fill="0B1F3A"/>
            <w:tcMar>
              <w:top w:w="60" w:type="dxa"/>
              <w:start w:w="110" w:type="dxa"/>
              <w:bottom w:w="60" w:type="dxa"/>
              <w:end w:w="110" w:type="dxa"/>
            </w:tcMar>
          </w:tcPr>
          <w:p>
            <w:pPr>
              <w:spacing w:after="0"/>
            </w:pPr>
            <w:r/>
            <w:r>
              <w:rPr>
                <w:rFonts w:ascii="Calibri" w:hAnsi="Calibri"/>
                <w:b/>
                <w:i w:val="0"/>
                <w:color w:val="FFFFFF"/>
                <w:sz w:val="16"/>
              </w:rPr>
              <w:t>Notes</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Hover / press feedback</w:t>
            </w:r>
          </w:p>
        </w:tc>
        <w:tc>
          <w:tcPr>
            <w:tcW w:type="dxa" w:w="1440"/>
            <w:tcMar>
              <w:top w:w="60" w:type="dxa"/>
              <w:start w:w="110" w:type="dxa"/>
              <w:bottom w:w="60" w:type="dxa"/>
              <w:end w:w="110" w:type="dxa"/>
            </w:tcMar>
          </w:tcPr>
          <w:p>
            <w:pPr>
              <w:spacing w:after="0"/>
            </w:pPr>
            <w:r/>
            <w:r>
              <w:rPr>
                <w:rFonts w:ascii="Calibri" w:hAnsi="Calibri"/>
                <w:b w:val="0"/>
                <w:i w:val="0"/>
                <w:color w:val="101828"/>
                <w:sz w:val="16"/>
              </w:rPr>
              <w:t>100–150ms</w:t>
            </w:r>
          </w:p>
        </w:tc>
        <w:tc>
          <w:tcPr>
            <w:tcW w:type="dxa" w:w="1728"/>
            <w:tcMar>
              <w:top w:w="60" w:type="dxa"/>
              <w:start w:w="110" w:type="dxa"/>
              <w:bottom w:w="60" w:type="dxa"/>
              <w:end w:w="110" w:type="dxa"/>
            </w:tcMar>
          </w:tcPr>
          <w:p>
            <w:pPr>
              <w:spacing w:after="0"/>
            </w:pPr>
            <w:r/>
            <w:r>
              <w:rPr>
                <w:rFonts w:ascii="Calibri" w:hAnsi="Calibri"/>
                <w:b w:val="0"/>
                <w:i w:val="0"/>
                <w:color w:val="101828"/>
                <w:sz w:val="16"/>
              </w:rPr>
              <w:t>ease-out</w:t>
            </w:r>
          </w:p>
        </w:tc>
        <w:tc>
          <w:tcPr>
            <w:tcW w:type="dxa" w:w="3744"/>
            <w:tcMar>
              <w:top w:w="60" w:type="dxa"/>
              <w:start w:w="110" w:type="dxa"/>
              <w:bottom w:w="60" w:type="dxa"/>
              <w:end w:w="110" w:type="dxa"/>
            </w:tcMar>
          </w:tcPr>
          <w:p>
            <w:pPr>
              <w:spacing w:after="0"/>
            </w:pPr>
            <w:r/>
            <w:r>
              <w:rPr>
                <w:rFonts w:ascii="Calibri" w:hAnsi="Calibri"/>
                <w:b w:val="0"/>
                <w:i w:val="0"/>
                <w:color w:val="101828"/>
                <w:sz w:val="16"/>
              </w:rPr>
              <w:t>Colour and transform only</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Card lift</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6"/>
              </w:rPr>
              <w:t>150ms</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ease-out</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Max 2px translate, never a scale &gt; 1.01</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Sheet / modal enter</w:t>
            </w:r>
          </w:p>
        </w:tc>
        <w:tc>
          <w:tcPr>
            <w:tcW w:type="dxa" w:w="1440"/>
            <w:tcMar>
              <w:top w:w="60" w:type="dxa"/>
              <w:start w:w="110" w:type="dxa"/>
              <w:bottom w:w="60" w:type="dxa"/>
              <w:end w:w="110" w:type="dxa"/>
            </w:tcMar>
          </w:tcPr>
          <w:p>
            <w:pPr>
              <w:spacing w:after="0"/>
            </w:pPr>
            <w:r/>
            <w:r>
              <w:rPr>
                <w:rFonts w:ascii="Calibri" w:hAnsi="Calibri"/>
                <w:b w:val="0"/>
                <w:i w:val="0"/>
                <w:color w:val="101828"/>
                <w:sz w:val="16"/>
              </w:rPr>
              <w:t>200ms</w:t>
            </w:r>
          </w:p>
        </w:tc>
        <w:tc>
          <w:tcPr>
            <w:tcW w:type="dxa" w:w="1728"/>
            <w:tcMar>
              <w:top w:w="60" w:type="dxa"/>
              <w:start w:w="110" w:type="dxa"/>
              <w:bottom w:w="60" w:type="dxa"/>
              <w:end w:w="110" w:type="dxa"/>
            </w:tcMar>
          </w:tcPr>
          <w:p>
            <w:pPr>
              <w:spacing w:after="0"/>
            </w:pPr>
            <w:r/>
            <w:r>
              <w:rPr>
                <w:rFonts w:ascii="Calibri" w:hAnsi="Calibri"/>
                <w:b w:val="0"/>
                <w:i w:val="0"/>
                <w:color w:val="101828"/>
                <w:sz w:val="16"/>
              </w:rPr>
              <w:t>cubic-bezier(0.16, 1, 0.3, 1)</w:t>
            </w:r>
          </w:p>
        </w:tc>
        <w:tc>
          <w:tcPr>
            <w:tcW w:type="dxa" w:w="3744"/>
            <w:tcMar>
              <w:top w:w="60" w:type="dxa"/>
              <w:start w:w="110" w:type="dxa"/>
              <w:bottom w:w="60" w:type="dxa"/>
              <w:end w:w="110" w:type="dxa"/>
            </w:tcMar>
          </w:tcPr>
          <w:p>
            <w:pPr>
              <w:spacing w:after="0"/>
            </w:pPr>
            <w:r/>
            <w:r>
              <w:rPr>
                <w:rFonts w:ascii="Calibri" w:hAnsi="Calibri"/>
                <w:b w:val="0"/>
                <w:i w:val="0"/>
                <w:color w:val="101828"/>
                <w:sz w:val="16"/>
              </w:rPr>
              <w:t>Slide from edge</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Toast in / out</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6"/>
              </w:rPr>
              <w:t>150 / 200ms</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ease-out</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Auto-dismiss 5s, pause on hover</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Progress ring fill</w:t>
            </w:r>
          </w:p>
        </w:tc>
        <w:tc>
          <w:tcPr>
            <w:tcW w:type="dxa" w:w="1440"/>
            <w:tcMar>
              <w:top w:w="60" w:type="dxa"/>
              <w:start w:w="110" w:type="dxa"/>
              <w:bottom w:w="60" w:type="dxa"/>
              <w:end w:w="110" w:type="dxa"/>
            </w:tcMar>
          </w:tcPr>
          <w:p>
            <w:pPr>
              <w:spacing w:after="0"/>
            </w:pPr>
            <w:r/>
            <w:r>
              <w:rPr>
                <w:rFonts w:ascii="Calibri" w:hAnsi="Calibri"/>
                <w:b w:val="0"/>
                <w:i w:val="0"/>
                <w:color w:val="101828"/>
                <w:sz w:val="16"/>
              </w:rPr>
              <w:t>600ms</w:t>
            </w:r>
          </w:p>
        </w:tc>
        <w:tc>
          <w:tcPr>
            <w:tcW w:type="dxa" w:w="1728"/>
            <w:tcMar>
              <w:top w:w="60" w:type="dxa"/>
              <w:start w:w="110" w:type="dxa"/>
              <w:bottom w:w="60" w:type="dxa"/>
              <w:end w:w="110" w:type="dxa"/>
            </w:tcMar>
          </w:tcPr>
          <w:p>
            <w:pPr>
              <w:spacing w:after="0"/>
            </w:pPr>
            <w:r/>
            <w:r>
              <w:rPr>
                <w:rFonts w:ascii="Calibri" w:hAnsi="Calibri"/>
                <w:b w:val="0"/>
                <w:i w:val="0"/>
                <w:color w:val="101828"/>
                <w:sz w:val="16"/>
              </w:rPr>
              <w:t>ease-in-out</w:t>
            </w:r>
          </w:p>
        </w:tc>
        <w:tc>
          <w:tcPr>
            <w:tcW w:type="dxa" w:w="3744"/>
            <w:tcMar>
              <w:top w:w="60" w:type="dxa"/>
              <w:start w:w="110" w:type="dxa"/>
              <w:bottom w:w="60" w:type="dxa"/>
              <w:end w:w="110" w:type="dxa"/>
            </w:tcMar>
          </w:tcPr>
          <w:p>
            <w:pPr>
              <w:spacing w:after="0"/>
            </w:pPr>
            <w:r/>
            <w:r>
              <w:rPr>
                <w:rFonts w:ascii="Calibri" w:hAnsi="Calibri"/>
                <w:b w:val="0"/>
                <w:i w:val="0"/>
                <w:color w:val="101828"/>
                <w:sz w:val="16"/>
              </w:rPr>
              <w:t>Rounds completed</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Payment processing</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6"/>
              </w:rPr>
              <w:t>indeterminate, ≤ 15s then fail visibly</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linear</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Must never spin indefinitely</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Reduced motion:  </w:t>
      </w:r>
      <w:r>
        <w:rPr>
          <w:rFonts w:ascii="Calibri" w:hAnsi="Calibri"/>
          <w:b w:val="0"/>
          <w:i w:val="0"/>
          <w:color w:val="0B1F3A"/>
          <w:sz w:val="19"/>
        </w:rPr>
        <w:t xml:space="preserve">Under </w:t>
      </w:r>
      <w:r>
        <w:rPr>
          <w:rFonts w:ascii="Consolas" w:hAnsi="Consolas"/>
          <w:color w:val="146EF5"/>
          <w:sz w:val="19"/>
        </w:rPr>
        <w:t>prefers-reduced-motion: reduce</w:t>
      </w:r>
      <w:r>
        <w:rPr>
          <w:rFonts w:ascii="Calibri" w:hAnsi="Calibri"/>
          <w:b w:val="0"/>
          <w:i w:val="0"/>
          <w:color w:val="0B1F3A"/>
          <w:sz w:val="19"/>
        </w:rPr>
        <w:t>, all transforms and non-essential animation are removed; state changes become instant opacity swaps of no more than 100ms. No information is ever conveyed by motion alone.</w:t>
      </w:r>
    </w:p>
    <w:p>
      <w:pPr>
        <w:pStyle w:val="Heading2"/>
      </w:pPr>
      <w:r>
        <w:rPr>
          <w:rFonts w:ascii="Calibri" w:hAnsi="Calibri"/>
          <w:b/>
          <w:i w:val="0"/>
          <w:color w:val="146EF5"/>
          <w:sz w:val="29"/>
        </w:rPr>
        <w:t>5.12 Accessibility in the design system</w:t>
      </w:r>
    </w:p>
    <w:p>
      <w:pPr>
        <w:pStyle w:val="ListBullet"/>
        <w:spacing w:after="60"/>
        <w:ind w:left="360"/>
      </w:pPr>
      <w:r>
        <w:rPr>
          <w:rFonts w:ascii="Calibri" w:hAnsi="Calibri"/>
          <w:b/>
          <w:color w:val="101828"/>
          <w:sz w:val="21"/>
        </w:rPr>
        <w:t>Contrast</w:t>
      </w:r>
      <w:r>
        <w:rPr>
          <w:rFonts w:ascii="Calibri" w:hAnsi="Calibri"/>
          <w:b w:val="0"/>
          <w:i w:val="0"/>
          <w:color w:val="101828"/>
          <w:sz w:val="21"/>
        </w:rPr>
        <w:t xml:space="preserve"> — 4.5:1 for body text, 3:1 for large text and UI component boundaries. Cyan and Gold are excluded from text use by design (5.2).</w:t>
      </w:r>
    </w:p>
    <w:p>
      <w:pPr>
        <w:pStyle w:val="ListBullet"/>
        <w:spacing w:after="60"/>
        <w:ind w:left="360"/>
      </w:pPr>
      <w:r>
        <w:rPr>
          <w:rFonts w:ascii="Calibri" w:hAnsi="Calibri"/>
          <w:b/>
          <w:color w:val="101828"/>
          <w:sz w:val="21"/>
        </w:rPr>
        <w:t>Focus</w:t>
      </w:r>
      <w:r>
        <w:rPr>
          <w:rFonts w:ascii="Calibri" w:hAnsi="Calibri"/>
          <w:b w:val="0"/>
          <w:i w:val="0"/>
          <w:color w:val="101828"/>
          <w:sz w:val="21"/>
        </w:rPr>
        <w:t xml:space="preserve"> — every interactive element shows </w:t>
      </w:r>
      <w:r>
        <w:rPr>
          <w:rFonts w:ascii="Consolas" w:hAnsi="Consolas"/>
          <w:color w:val="146EF5"/>
          <w:sz w:val="21"/>
        </w:rPr>
        <w:t>shadow-focus</w:t>
      </w:r>
      <w:r>
        <w:rPr>
          <w:rFonts w:ascii="Calibri" w:hAnsi="Calibri"/>
          <w:b w:val="0"/>
          <w:i w:val="0"/>
          <w:color w:val="101828"/>
          <w:sz w:val="21"/>
        </w:rPr>
        <w:t xml:space="preserve"> on keyboard focus. Focus is never removed, only restyled. Skip-to-content link is the first tab stop.</w:t>
      </w:r>
    </w:p>
    <w:p>
      <w:pPr>
        <w:pStyle w:val="ListBullet"/>
        <w:spacing w:after="60"/>
        <w:ind w:left="360"/>
      </w:pPr>
      <w:r>
        <w:rPr>
          <w:rFonts w:ascii="Calibri" w:hAnsi="Calibri"/>
          <w:b/>
          <w:color w:val="101828"/>
          <w:sz w:val="21"/>
        </w:rPr>
        <w:t>Targets</w:t>
      </w:r>
      <w:r>
        <w:rPr>
          <w:rFonts w:ascii="Calibri" w:hAnsi="Calibri"/>
          <w:b w:val="0"/>
          <w:i w:val="0"/>
          <w:color w:val="101828"/>
          <w:sz w:val="21"/>
        </w:rPr>
        <w:t xml:space="preserve"> — minimum 44x44px on mobile, 24x24px with spacing on desktop. Primary mobile CTAs are 48px.</w:t>
      </w:r>
    </w:p>
    <w:p>
      <w:pPr>
        <w:pStyle w:val="ListBullet"/>
        <w:spacing w:after="60"/>
        <w:ind w:left="360"/>
      </w:pPr>
      <w:r>
        <w:rPr>
          <w:rFonts w:ascii="Calibri" w:hAnsi="Calibri"/>
          <w:b/>
          <w:color w:val="101828"/>
          <w:sz w:val="21"/>
        </w:rPr>
        <w:t>Screen readers</w:t>
      </w:r>
      <w:r>
        <w:rPr>
          <w:rFonts w:ascii="Calibri" w:hAnsi="Calibri"/>
          <w:b w:val="0"/>
          <w:i w:val="0"/>
          <w:color w:val="101828"/>
          <w:sz w:val="21"/>
        </w:rPr>
        <w:t xml:space="preserve"> — every icon-only control has an accessible name. Status pills expose their text label. Money components expose the full value, not a truncated visual.</w:t>
      </w:r>
    </w:p>
    <w:p>
      <w:pPr>
        <w:pStyle w:val="ListBullet"/>
        <w:spacing w:after="60"/>
        <w:ind w:left="360"/>
      </w:pPr>
      <w:r>
        <w:rPr>
          <w:rFonts w:ascii="Calibri" w:hAnsi="Calibri"/>
          <w:b/>
          <w:color w:val="101828"/>
          <w:sz w:val="21"/>
        </w:rPr>
        <w:t>Structure</w:t>
      </w:r>
      <w:r>
        <w:rPr>
          <w:rFonts w:ascii="Calibri" w:hAnsi="Calibri"/>
          <w:b w:val="0"/>
          <w:i w:val="0"/>
          <w:color w:val="101828"/>
          <w:sz w:val="21"/>
        </w:rPr>
        <w:t xml:space="preserve"> — one H1 per view, no skipped heading levels, tables with real </w:t>
      </w:r>
      <w:r>
        <w:rPr>
          <w:rFonts w:ascii="Consolas" w:hAnsi="Consolas"/>
          <w:color w:val="146EF5"/>
          <w:sz w:val="21"/>
        </w:rPr>
        <w:t>&lt;th scope&gt;</w:t>
      </w:r>
      <w:r>
        <w:rPr>
          <w:rFonts w:ascii="Calibri" w:hAnsi="Calibri"/>
          <w:b w:val="0"/>
          <w:i w:val="0"/>
          <w:color w:val="101828"/>
          <w:sz w:val="21"/>
        </w:rPr>
        <w:t xml:space="preserve"> and caption.</w:t>
      </w:r>
    </w:p>
    <w:p>
      <w:pPr>
        <w:pStyle w:val="ListBullet"/>
        <w:spacing w:after="60"/>
        <w:ind w:left="360"/>
      </w:pPr>
      <w:r>
        <w:rPr>
          <w:rFonts w:ascii="Calibri" w:hAnsi="Calibri"/>
          <w:b/>
          <w:color w:val="101828"/>
          <w:sz w:val="21"/>
        </w:rPr>
        <w:t>Zoom</w:t>
      </w:r>
      <w:r>
        <w:rPr>
          <w:rFonts w:ascii="Calibri" w:hAnsi="Calibri"/>
          <w:b w:val="0"/>
          <w:i w:val="0"/>
          <w:color w:val="101828"/>
          <w:sz w:val="21"/>
        </w:rPr>
        <w:t xml:space="preserve"> — layout survives 200% zoom and 320px width without horizontal scroll.</w:t>
      </w:r>
    </w:p>
    <w:p>
      <w:pPr>
        <w:pStyle w:val="ListBullet"/>
        <w:spacing w:after="60"/>
        <w:ind w:left="360"/>
      </w:pPr>
      <w:r>
        <w:rPr>
          <w:rFonts w:ascii="Calibri" w:hAnsi="Calibri"/>
          <w:b/>
          <w:color w:val="101828"/>
          <w:sz w:val="21"/>
        </w:rPr>
        <w:t>Errors</w:t>
      </w:r>
      <w:r>
        <w:rPr>
          <w:rFonts w:ascii="Calibri" w:hAnsi="Calibri"/>
          <w:b w:val="0"/>
          <w:i w:val="0"/>
          <w:color w:val="101828"/>
          <w:sz w:val="21"/>
        </w:rPr>
        <w:t xml:space="preserve"> — error text linked to its input via </w:t>
      </w:r>
      <w:r>
        <w:rPr>
          <w:rFonts w:ascii="Consolas" w:hAnsi="Consolas"/>
          <w:color w:val="146EF5"/>
          <w:sz w:val="21"/>
        </w:rPr>
        <w:t>aria-describedby</w:t>
      </w:r>
      <w:r>
        <w:rPr>
          <w:rFonts w:ascii="Calibri" w:hAnsi="Calibri"/>
          <w:b w:val="0"/>
          <w:i w:val="0"/>
          <w:color w:val="101828"/>
          <w:sz w:val="21"/>
        </w:rPr>
        <w:t>; form errors announced in a live region.</w:t>
      </w:r>
    </w:p>
    <w:p>
      <w:pPr>
        <w:pStyle w:val="ListBullet"/>
        <w:spacing w:after="60"/>
        <w:ind w:left="360"/>
      </w:pPr>
      <w:r>
        <w:rPr>
          <w:rFonts w:ascii="Calibri" w:hAnsi="Calibri"/>
          <w:b w:val="0"/>
          <w:i w:val="0"/>
          <w:color w:val="101828"/>
          <w:sz w:val="21"/>
        </w:rPr>
        <w:t>Target is WCAG 2.2 AA. This is a target requiring verification by a human accessibility test with assistive technology, not a claim of conformance.</w:t>
      </w:r>
    </w:p>
    <w:p>
      <w:pPr>
        <w:pStyle w:val="Heading2"/>
      </w:pPr>
      <w:r>
        <w:rPr>
          <w:rFonts w:ascii="Calibri" w:hAnsi="Calibri"/>
          <w:b/>
          <w:i w:val="0"/>
          <w:color w:val="146EF5"/>
          <w:sz w:val="29"/>
        </w:rPr>
        <w:t>5.13 Web-to-mobile component mapping</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Web component</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Mobile equivalent</w:t>
            </w:r>
          </w:p>
        </w:tc>
        <w:tc>
          <w:tcPr>
            <w:tcW w:type="dxa" w:w="4608"/>
            <w:shd w:val="clear" w:color="auto" w:fill="0B1F3A"/>
            <w:tcMar>
              <w:top w:w="60" w:type="dxa"/>
              <w:start w:w="110" w:type="dxa"/>
              <w:bottom w:w="60" w:type="dxa"/>
              <w:end w:w="110" w:type="dxa"/>
            </w:tcMar>
          </w:tcPr>
          <w:p>
            <w:pPr>
              <w:spacing w:after="0"/>
            </w:pPr>
            <w:r/>
            <w:r>
              <w:rPr>
                <w:rFonts w:ascii="Calibri" w:hAnsi="Calibri"/>
                <w:b/>
                <w:i w:val="0"/>
                <w:color w:val="FFFFFF"/>
                <w:sz w:val="16"/>
              </w:rPr>
              <w:t>Differences</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Top navigation bar</w:t>
            </w:r>
          </w:p>
        </w:tc>
        <w:tc>
          <w:tcPr>
            <w:tcW w:type="dxa" w:w="2448"/>
            <w:tcMar>
              <w:top w:w="60" w:type="dxa"/>
              <w:start w:w="110" w:type="dxa"/>
              <w:bottom w:w="60" w:type="dxa"/>
              <w:end w:w="110" w:type="dxa"/>
            </w:tcMar>
          </w:tcPr>
          <w:p>
            <w:pPr>
              <w:spacing w:after="0"/>
            </w:pPr>
            <w:r/>
            <w:r>
              <w:rPr>
                <w:rFonts w:ascii="Calibri" w:hAnsi="Calibri"/>
                <w:b w:val="0"/>
                <w:i w:val="0"/>
                <w:color w:val="101828"/>
                <w:sz w:val="16"/>
              </w:rPr>
              <w:t>Top app bar + bottom navigation</w:t>
            </w:r>
          </w:p>
        </w:tc>
        <w:tc>
          <w:tcPr>
            <w:tcW w:type="dxa" w:w="4608"/>
            <w:tcMar>
              <w:top w:w="60" w:type="dxa"/>
              <w:start w:w="110" w:type="dxa"/>
              <w:bottom w:w="60" w:type="dxa"/>
              <w:end w:w="110" w:type="dxa"/>
            </w:tcMar>
          </w:tcPr>
          <w:p>
            <w:pPr>
              <w:spacing w:after="0"/>
            </w:pPr>
            <w:r/>
            <w:r>
              <w:rPr>
                <w:rFonts w:ascii="Calibri" w:hAnsi="Calibri"/>
                <w:b w:val="0"/>
                <w:i w:val="0"/>
                <w:color w:val="101828"/>
                <w:sz w:val="16"/>
              </w:rPr>
              <w:t>Bottom bar shows 5 destinations; back is a system gesture</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Data table</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Card-per-row list</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Each card is one row; metadata moves to a secondary line</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Select (dropdown)</w:t>
            </w:r>
          </w:p>
        </w:tc>
        <w:tc>
          <w:tcPr>
            <w:tcW w:type="dxa" w:w="2448"/>
            <w:tcMar>
              <w:top w:w="60" w:type="dxa"/>
              <w:start w:w="110" w:type="dxa"/>
              <w:bottom w:w="60" w:type="dxa"/>
              <w:end w:w="110" w:type="dxa"/>
            </w:tcMar>
          </w:tcPr>
          <w:p>
            <w:pPr>
              <w:spacing w:after="0"/>
            </w:pPr>
            <w:r/>
            <w:r>
              <w:rPr>
                <w:rFonts w:ascii="Calibri" w:hAnsi="Calibri"/>
                <w:b w:val="0"/>
                <w:i w:val="0"/>
                <w:color w:val="101828"/>
                <w:sz w:val="16"/>
              </w:rPr>
              <w:t>Native picker wheel / modal list</w:t>
            </w:r>
          </w:p>
        </w:tc>
        <w:tc>
          <w:tcPr>
            <w:tcW w:type="dxa" w:w="4608"/>
            <w:tcMar>
              <w:top w:w="60" w:type="dxa"/>
              <w:start w:w="110" w:type="dxa"/>
              <w:bottom w:w="60" w:type="dxa"/>
              <w:end w:w="110" w:type="dxa"/>
            </w:tcMar>
          </w:tcPr>
          <w:p>
            <w:pPr>
              <w:spacing w:after="0"/>
            </w:pPr>
            <w:r/>
            <w:r>
              <w:rPr>
                <w:rFonts w:ascii="Calibri" w:hAnsi="Calibri"/>
                <w:b w:val="0"/>
                <w:i w:val="0"/>
                <w:color w:val="101828"/>
                <w:sz w:val="16"/>
              </w:rPr>
              <w:t>Never a custom dropdown — native is faster and accessible</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Text input</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Text input or numeric keypad</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Amount fields use </w:t>
            </w:r>
            <w:r>
              <w:rPr>
                <w:rFonts w:ascii="Consolas" w:hAnsi="Consolas"/>
                <w:color w:val="146EF5"/>
                <w:sz w:val="16"/>
              </w:rPr>
              <w:t>inputMode="decimal"</w:t>
            </w:r>
            <w:r>
              <w:rPr>
                <w:rFonts w:ascii="Calibri" w:hAnsi="Calibri"/>
                <w:b w:val="0"/>
                <w:i w:val="0"/>
                <w:color w:val="101828"/>
                <w:sz w:val="16"/>
              </w:rPr>
              <w:t>, not a bespoke keypad that breaks the OS keyboard</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Modal</w:t>
            </w:r>
          </w:p>
        </w:tc>
        <w:tc>
          <w:tcPr>
            <w:tcW w:type="dxa" w:w="2448"/>
            <w:tcMar>
              <w:top w:w="60" w:type="dxa"/>
              <w:start w:w="110" w:type="dxa"/>
              <w:bottom w:w="60" w:type="dxa"/>
              <w:end w:w="110" w:type="dxa"/>
            </w:tcMar>
          </w:tcPr>
          <w:p>
            <w:pPr>
              <w:spacing w:after="0"/>
            </w:pPr>
            <w:r/>
            <w:r>
              <w:rPr>
                <w:rFonts w:ascii="Calibri" w:hAnsi="Calibri"/>
                <w:b w:val="0"/>
                <w:i w:val="0"/>
                <w:color w:val="101828"/>
                <w:sz w:val="16"/>
              </w:rPr>
              <w:t>Bottom sheet</w:t>
            </w:r>
          </w:p>
        </w:tc>
        <w:tc>
          <w:tcPr>
            <w:tcW w:type="dxa" w:w="4608"/>
            <w:tcMar>
              <w:top w:w="60" w:type="dxa"/>
              <w:start w:w="110" w:type="dxa"/>
              <w:bottom w:w="60" w:type="dxa"/>
              <w:end w:w="110" w:type="dxa"/>
            </w:tcMar>
          </w:tcPr>
          <w:p>
            <w:pPr>
              <w:spacing w:after="0"/>
            </w:pPr>
            <w:r/>
            <w:r>
              <w:rPr>
                <w:rFonts w:ascii="Calibri" w:hAnsi="Calibri"/>
                <w:b w:val="0"/>
                <w:i w:val="0"/>
                <w:color w:val="101828"/>
                <w:sz w:val="16"/>
              </w:rPr>
              <w:t>Full-width, 90vh max, safe-area padding</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Toast</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In-app banner below the app bar</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Android SnackBar behaviour; never obscures the primary CTA</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Tooltip</w:t>
            </w:r>
          </w:p>
        </w:tc>
        <w:tc>
          <w:tcPr>
            <w:tcW w:type="dxa" w:w="2448"/>
            <w:tcMar>
              <w:top w:w="60" w:type="dxa"/>
              <w:start w:w="110" w:type="dxa"/>
              <w:bottom w:w="60" w:type="dxa"/>
              <w:end w:w="110" w:type="dxa"/>
            </w:tcMar>
          </w:tcPr>
          <w:p>
            <w:pPr>
              <w:spacing w:after="0"/>
            </w:pPr>
            <w:r/>
            <w:r>
              <w:rPr>
                <w:rFonts w:ascii="Calibri" w:hAnsi="Calibri"/>
                <w:b w:val="0"/>
                <w:i w:val="0"/>
                <w:color w:val="101828"/>
                <w:sz w:val="16"/>
              </w:rPr>
              <w:t>Long-press hint or inline helper</w:t>
            </w:r>
          </w:p>
        </w:tc>
        <w:tc>
          <w:tcPr>
            <w:tcW w:type="dxa" w:w="4608"/>
            <w:tcMar>
              <w:top w:w="60" w:type="dxa"/>
              <w:start w:w="110" w:type="dxa"/>
              <w:bottom w:w="60" w:type="dxa"/>
              <w:end w:w="110" w:type="dxa"/>
            </w:tcMar>
          </w:tcPr>
          <w:p>
            <w:pPr>
              <w:spacing w:after="0"/>
            </w:pPr>
            <w:r/>
            <w:r>
              <w:rPr>
                <w:rFonts w:ascii="Calibri" w:hAnsi="Calibri"/>
                <w:b w:val="0"/>
                <w:i w:val="0"/>
                <w:color w:val="101828"/>
                <w:sz w:val="16"/>
              </w:rPr>
              <w:t>Hover does not exist on touch</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Hover-revealed row actions</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Always-visible swipe or inline action</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No hover-only affordance is ever shipped</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Date picker</w:t>
            </w:r>
          </w:p>
        </w:tc>
        <w:tc>
          <w:tcPr>
            <w:tcW w:type="dxa" w:w="2448"/>
            <w:tcMar>
              <w:top w:w="60" w:type="dxa"/>
              <w:start w:w="110" w:type="dxa"/>
              <w:bottom w:w="60" w:type="dxa"/>
              <w:end w:w="110" w:type="dxa"/>
            </w:tcMar>
          </w:tcPr>
          <w:p>
            <w:pPr>
              <w:spacing w:after="0"/>
            </w:pPr>
            <w:r/>
            <w:r>
              <w:rPr>
                <w:rFonts w:ascii="Calibri" w:hAnsi="Calibri"/>
                <w:b w:val="0"/>
                <w:i w:val="0"/>
                <w:color w:val="101828"/>
                <w:sz w:val="16"/>
              </w:rPr>
              <w:t>Native date picker</w:t>
            </w:r>
          </w:p>
        </w:tc>
        <w:tc>
          <w:tcPr>
            <w:tcW w:type="dxa" w:w="4608"/>
            <w:tcMar>
              <w:top w:w="60" w:type="dxa"/>
              <w:start w:w="110" w:type="dxa"/>
              <w:bottom w:w="60" w:type="dxa"/>
              <w:end w:w="110" w:type="dxa"/>
            </w:tcMar>
          </w:tcPr>
          <w:p>
            <w:pPr>
              <w:spacing w:after="0"/>
            </w:pPr>
            <w:r/>
            <w:r>
              <w:rPr>
                <w:rFonts w:ascii="Calibri" w:hAnsi="Calibri"/>
                <w:b w:val="0"/>
                <w:i w:val="0"/>
                <w:color w:val="101828"/>
                <w:sz w:val="16"/>
              </w:rPr>
              <w:t>Contribution day is a weekday, not a free date</w:t>
            </w:r>
          </w:p>
        </w:tc>
      </w:tr>
    </w:tbl>
    <w:p>
      <w:pPr>
        <w:spacing w:after="80"/>
      </w:pPr>
    </w:p>
    <w:p>
      <w:pPr>
        <w:pStyle w:val="Heading2"/>
      </w:pPr>
      <w:r>
        <w:rPr>
          <w:rFonts w:ascii="Calibri" w:hAnsi="Calibri"/>
          <w:b/>
          <w:i w:val="0"/>
          <w:color w:val="146EF5"/>
          <w:sz w:val="29"/>
        </w:rPr>
        <w:t>5.14 Token delivery</w:t>
      </w:r>
    </w:p>
    <w:p>
      <w:r>
        <w:rPr>
          <w:rFonts w:ascii="Calibri" w:hAnsi="Calibri"/>
          <w:b w:val="0"/>
          <w:i w:val="0"/>
          <w:color w:val="101828"/>
          <w:sz w:val="21"/>
        </w:rPr>
        <w:t>One source of truth per platform, generated from a single token file so a brand change propagates. Values shown here are the resolved design-system values, not the build tooling.</w:t>
      </w:r>
    </w:p>
    <w:p>
      <w:pPr>
        <w:spacing w:before="0" w:after="0" w:line="240" w:lineRule="auto"/>
        <w:ind w:left="230"/>
        <w:shd w:val="clear" w:color="auto" w:fill="F7F9FC"/>
        <w:pBdr>
          <w:left w:val="single" w:sz="4" w:space="6" w:color="D0D5DD"/>
        </w:pBdr>
      </w:pPr>
      <w:r>
        <w:rPr>
          <w:rFonts w:ascii="Consolas" w:hAnsi="Consolas"/>
          <w:color w:val="0B1F3A"/>
          <w:sz w:val="16"/>
        </w:rPr>
        <w:t>/* Web — CSS custom properties */</w:t>
      </w:r>
    </w:p>
    <w:p>
      <w:pPr>
        <w:spacing w:before="0" w:after="0" w:line="240" w:lineRule="auto"/>
        <w:ind w:left="230"/>
        <w:shd w:val="clear" w:color="auto" w:fill="F7F9FC"/>
        <w:pBdr>
          <w:left w:val="single" w:sz="4" w:space="6" w:color="D0D5DD"/>
        </w:pBdr>
      </w:pPr>
      <w:r>
        <w:rPr>
          <w:rFonts w:ascii="Consolas" w:hAnsi="Consolas"/>
          <w:color w:val="0B1F3A"/>
          <w:sz w:val="16"/>
        </w:rPr>
        <w:t>:root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brand */</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--ajo-deep:     #0B1F3A;</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--ajo-primary:  #146EF5;</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--ajo-cyan:     #22C7D6;</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--ajo-gold:     #FBBF24;</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--ajo-white:    #FFFFFF;</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--ajo-cloud:    #F4F7FB;</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--ajo-dark:     #101828;</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semantic */</w:t>
      </w:r>
    </w:p>
    <w:p>
      <w:pPr>
        <w:spacing w:before="0" w:after="0" w:line="240" w:lineRule="auto"/>
        <w:ind w:left="230"/>
        <w:shd w:val="clear" w:color="auto" w:fill="F7F9FC"/>
        <w:pBdr>
          <w:left w:val="single" w:sz="4" w:space="6" w:color="D0D5DD"/>
        </w:pBdr>
      </w:pPr>
      <w:r>
        <w:rPr>
          <w:rFonts w:ascii="Consolas" w:hAnsi="Consolas"/>
          <w:color w:val="0B1F3A"/>
          <w:sz w:val="16"/>
        </w:rPr>
        <w:t xml:space="preserve">  --bg-canvas:            var(--ajo-cloud);</w:t>
      </w:r>
    </w:p>
    <w:p>
      <w:pPr>
        <w:spacing w:before="0" w:after="0" w:line="240" w:lineRule="auto"/>
        <w:ind w:left="230"/>
        <w:shd w:val="clear" w:color="auto" w:fill="F7F9FC"/>
        <w:pBdr>
          <w:left w:val="single" w:sz="4" w:space="6" w:color="D0D5DD"/>
        </w:pBdr>
      </w:pPr>
      <w:r>
        <w:rPr>
          <w:rFonts w:ascii="Consolas" w:hAnsi="Consolas"/>
          <w:color w:val="0B1F3A"/>
          <w:sz w:val="16"/>
        </w:rPr>
        <w:t xml:space="preserve">  --bg-surface:           var(--ajo-white);</w:t>
      </w:r>
    </w:p>
    <w:p>
      <w:pPr>
        <w:spacing w:before="0" w:after="0" w:line="240" w:lineRule="auto"/>
        <w:ind w:left="230"/>
        <w:shd w:val="clear" w:color="auto" w:fill="F7F9FC"/>
        <w:pBdr>
          <w:left w:val="single" w:sz="4" w:space="6" w:color="D0D5DD"/>
        </w:pBdr>
      </w:pPr>
      <w:r>
        <w:rPr>
          <w:rFonts w:ascii="Consolas" w:hAnsi="Consolas"/>
          <w:color w:val="0B1F3A"/>
          <w:sz w:val="16"/>
        </w:rPr>
        <w:t xml:space="preserve">  --bg-inverse:           var(--ajo-deep);</w:t>
      </w:r>
    </w:p>
    <w:p>
      <w:pPr>
        <w:spacing w:before="0" w:after="0" w:line="240" w:lineRule="auto"/>
        <w:ind w:left="230"/>
        <w:shd w:val="clear" w:color="auto" w:fill="F7F9FC"/>
        <w:pBdr>
          <w:left w:val="single" w:sz="4" w:space="6" w:color="D0D5DD"/>
        </w:pBdr>
      </w:pPr>
      <w:r>
        <w:rPr>
          <w:rFonts w:ascii="Consolas" w:hAnsi="Consolas"/>
          <w:color w:val="0B1F3A"/>
          <w:sz w:val="16"/>
        </w:rPr>
        <w:t xml:space="preserve">  --border-default:       #D0D5DD;</w:t>
      </w:r>
    </w:p>
    <w:p>
      <w:pPr>
        <w:spacing w:before="0" w:after="0" w:line="240" w:lineRule="auto"/>
        <w:ind w:left="230"/>
        <w:shd w:val="clear" w:color="auto" w:fill="F7F9FC"/>
        <w:pBdr>
          <w:left w:val="single" w:sz="4" w:space="6" w:color="D0D5DD"/>
        </w:pBdr>
      </w:pPr>
      <w:r>
        <w:rPr>
          <w:rFonts w:ascii="Consolas" w:hAnsi="Consolas"/>
          <w:color w:val="0B1F3A"/>
          <w:sz w:val="16"/>
        </w:rPr>
        <w:t xml:space="preserve">  --text-primary:         var(--ajo-dark);</w:t>
      </w:r>
    </w:p>
    <w:p>
      <w:pPr>
        <w:spacing w:before="0" w:after="0" w:line="240" w:lineRule="auto"/>
        <w:ind w:left="230"/>
        <w:shd w:val="clear" w:color="auto" w:fill="F7F9FC"/>
        <w:pBdr>
          <w:left w:val="single" w:sz="4" w:space="6" w:color="D0D5DD"/>
        </w:pBdr>
      </w:pPr>
      <w:r>
        <w:rPr>
          <w:rFonts w:ascii="Consolas" w:hAnsi="Consolas"/>
          <w:color w:val="0B1F3A"/>
          <w:sz w:val="16"/>
        </w:rPr>
        <w:t xml:space="preserve">  --text-secondary:       #475467;</w:t>
      </w:r>
    </w:p>
    <w:p>
      <w:pPr>
        <w:spacing w:before="0" w:after="0" w:line="240" w:lineRule="auto"/>
        <w:ind w:left="230"/>
        <w:shd w:val="clear" w:color="auto" w:fill="F7F9FC"/>
        <w:pBdr>
          <w:left w:val="single" w:sz="4" w:space="6" w:color="D0D5DD"/>
        </w:pBdr>
      </w:pPr>
      <w:r>
        <w:rPr>
          <w:rFonts w:ascii="Consolas" w:hAnsi="Consolas"/>
          <w:color w:val="0B1F3A"/>
          <w:sz w:val="16"/>
        </w:rPr>
        <w:t xml:space="preserve">  --action-primary:       var(--ajo-primary);</w:t>
      </w:r>
    </w:p>
    <w:p>
      <w:pPr>
        <w:spacing w:before="0" w:after="0" w:line="240" w:lineRule="auto"/>
        <w:ind w:left="230"/>
        <w:shd w:val="clear" w:color="auto" w:fill="F7F9FC"/>
        <w:pBdr>
          <w:left w:val="single" w:sz="4" w:space="6" w:color="D0D5DD"/>
        </w:pBdr>
      </w:pPr>
      <w:r>
        <w:rPr>
          <w:rFonts w:ascii="Consolas" w:hAnsi="Consolas"/>
          <w:color w:val="0B1F3A"/>
          <w:sz w:val="16"/>
        </w:rPr>
        <w:t xml:space="preserve">  --success:              #12B76A;</w:t>
      </w:r>
    </w:p>
    <w:p>
      <w:pPr>
        <w:spacing w:before="0" w:after="0" w:line="240" w:lineRule="auto"/>
        <w:ind w:left="230"/>
        <w:shd w:val="clear" w:color="auto" w:fill="F7F9FC"/>
        <w:pBdr>
          <w:left w:val="single" w:sz="4" w:space="6" w:color="D0D5DD"/>
        </w:pBdr>
      </w:pPr>
      <w:r>
        <w:rPr>
          <w:rFonts w:ascii="Consolas" w:hAnsi="Consolas"/>
          <w:color w:val="0B1F3A"/>
          <w:sz w:val="16"/>
        </w:rPr>
        <w:t xml:space="preserve">  --warning:              #DC6803;</w:t>
      </w:r>
    </w:p>
    <w:p>
      <w:pPr>
        <w:spacing w:before="0" w:after="0" w:line="240" w:lineRule="auto"/>
        <w:ind w:left="230"/>
        <w:shd w:val="clear" w:color="auto" w:fill="F7F9FC"/>
        <w:pBdr>
          <w:left w:val="single" w:sz="4" w:space="6" w:color="D0D5DD"/>
        </w:pBdr>
      </w:pPr>
      <w:r>
        <w:rPr>
          <w:rFonts w:ascii="Consolas" w:hAnsi="Consolas"/>
          <w:color w:val="0B1F3A"/>
          <w:sz w:val="16"/>
        </w:rPr>
        <w:t xml:space="preserve">  --danger:               #D92D20;</w:t>
      </w:r>
    </w:p>
    <w:p>
      <w:pPr>
        <w:spacing w:before="0" w:after="0" w:line="240" w:lineRule="auto"/>
        <w:ind w:left="230"/>
        <w:shd w:val="clear" w:color="auto" w:fill="F7F9FC"/>
        <w:pBdr>
          <w:left w:val="single" w:sz="4" w:space="6" w:color="D0D5DD"/>
        </w:pBdr>
      </w:pPr>
      <w:r>
        <w:rPr>
          <w:rFonts w:ascii="Consolas" w:hAnsi="Consolas"/>
          <w:color w:val="0B1F3A"/>
          <w:sz w:val="16"/>
        </w:rPr>
        <w:t xml:space="preserve">  --money-positive:       #12B76A;</w:t>
      </w:r>
    </w:p>
    <w:p>
      <w:pPr>
        <w:spacing w:before="0" w:after="0" w:line="240" w:lineRule="auto"/>
        <w:ind w:left="230"/>
        <w:shd w:val="clear" w:color="auto" w:fill="F7F9FC"/>
        <w:pBdr>
          <w:left w:val="single" w:sz="4" w:space="6" w:color="D0D5DD"/>
        </w:pBdr>
      </w:pPr>
      <w:r>
        <w:rPr>
          <w:rFonts w:ascii="Consolas" w:hAnsi="Consolas"/>
          <w:color w:val="0B1F3A"/>
          <w:sz w:val="16"/>
        </w:rPr>
        <w:t xml:space="preserve">  --money-negative:       #D92D20;</w:t>
      </w:r>
    </w:p>
    <w:p>
      <w:pPr>
        <w:spacing w:before="0" w:after="0" w:line="240" w:lineRule="auto"/>
        <w:ind w:left="230"/>
        <w:shd w:val="clear" w:color="auto" w:fill="F7F9FC"/>
        <w:pBdr>
          <w:left w:val="single" w:sz="4" w:space="6" w:color="D0D5DD"/>
        </w:pBdr>
      </w:pPr>
      <w:r>
        <w:rPr>
          <w:rFonts w:ascii="Consolas" w:hAnsi="Consolas"/>
          <w:color w:val="0B1F3A"/>
          <w:sz w:val="16"/>
        </w:rPr>
        <w:t xml:space="preserve">  --money-pending:        #DC6803;</w:t>
      </w:r>
    </w:p>
    <w:p>
      <w:pPr>
        <w:spacing w:before="0" w:after="0" w:line="240" w:lineRule="auto"/>
        <w:ind w:left="230"/>
        <w:shd w:val="clear" w:color="auto" w:fill="F7F9FC"/>
        <w:pBdr>
          <w:left w:val="single" w:sz="4" w:space="6" w:color="D0D5DD"/>
        </w:pBdr>
      </w:pPr>
      <w:r>
        <w:rPr>
          <w:rFonts w:ascii="Consolas" w:hAnsi="Consolas"/>
          <w:color w:val="0B1F3A"/>
          <w:sz w:val="16"/>
        </w:rPr>
        <w:t xml:space="preserve">  --money-fee:            #146EF5;</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spacing (4pt base)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--space-1:  4px;  --space-2:  8px;  --space-3: 12px;</w:t>
      </w:r>
    </w:p>
    <w:p>
      <w:pPr>
        <w:spacing w:before="0" w:after="0" w:line="240" w:lineRule="auto"/>
        <w:ind w:left="230"/>
        <w:shd w:val="clear" w:color="auto" w:fill="F7F9FC"/>
        <w:pBdr>
          <w:left w:val="single" w:sz="4" w:space="6" w:color="D0D5DD"/>
        </w:pBdr>
      </w:pPr>
      <w:r>
        <w:rPr>
          <w:rFonts w:ascii="Consolas" w:hAnsi="Consolas"/>
          <w:color w:val="0B1F3A"/>
          <w:sz w:val="16"/>
        </w:rPr>
        <w:t xml:space="preserve">  --space-4: 16px;  --space-5: 20px;  --space-6: 24px;</w:t>
      </w:r>
    </w:p>
    <w:p>
      <w:pPr>
        <w:spacing w:before="0" w:after="0" w:line="240" w:lineRule="auto"/>
        <w:ind w:left="230"/>
        <w:shd w:val="clear" w:color="auto" w:fill="F7F9FC"/>
        <w:pBdr>
          <w:left w:val="single" w:sz="4" w:space="6" w:color="D0D5DD"/>
        </w:pBdr>
      </w:pPr>
      <w:r>
        <w:rPr>
          <w:rFonts w:ascii="Consolas" w:hAnsi="Consolas"/>
          <w:color w:val="0B1F3A"/>
          <w:sz w:val="16"/>
        </w:rPr>
        <w:t xml:space="preserve">  --space-8: 32px;  --space-10:40px;  --space-12:48px;</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money display */</w:t>
      </w:r>
    </w:p>
    <w:p>
      <w:pPr>
        <w:spacing w:before="0" w:after="0" w:line="240" w:lineRule="auto"/>
        <w:ind w:left="230"/>
        <w:shd w:val="clear" w:color="auto" w:fill="F7F9FC"/>
        <w:pBdr>
          <w:left w:val="single" w:sz="4" w:space="6" w:color="D0D5DD"/>
        </w:pBdr>
      </w:pPr>
      <w:r>
        <w:rPr>
          <w:rFonts w:ascii="Consolas" w:hAnsi="Consolas"/>
          <w:color w:val="0B1F3A"/>
          <w:sz w:val="16"/>
        </w:rPr>
        <w:t xml:space="preserve">  --font-money: 600 15px/1.2 Inter, system-ui, sans-serif;</w:t>
      </w:r>
    </w:p>
    <w:p>
      <w:pPr>
        <w:spacing w:before="0" w:after="0" w:line="240" w:lineRule="auto"/>
        <w:ind w:left="230"/>
        <w:shd w:val="clear" w:color="auto" w:fill="F7F9FC"/>
        <w:pBdr>
          <w:left w:val="single" w:sz="4" w:space="6" w:color="D0D5DD"/>
        </w:pBdr>
      </w:pPr>
      <w:r>
        <w:rPr>
          <w:rFonts w:ascii="Consolas" w:hAnsi="Consolas"/>
          <w:color w:val="0B1F3A"/>
          <w:sz w:val="16"/>
        </w:rPr>
        <w:t xml:space="preserve">  --font-money-lg: 700 28px/1.1 Inter, system-ui, sans-serif;</w:t>
      </w:r>
    </w:p>
    <w:p>
      <w:pPr>
        <w:spacing w:before="0" w:after="0" w:line="240" w:lineRule="auto"/>
        <w:ind w:left="230"/>
        <w:shd w:val="clear" w:color="auto" w:fill="F7F9FC"/>
        <w:pBdr>
          <w:left w:val="single" w:sz="4" w:space="6" w:color="D0D5DD"/>
        </w:pBdr>
      </w:pPr>
      <w:r>
        <w:rPr>
          <w:rFonts w:ascii="Consolas" w:hAnsi="Consolas"/>
          <w:color w:val="0B1F3A"/>
          <w:sz w:val="16"/>
        </w:rPr>
        <w:t xml:space="preserve">  --font-money-numeric: tabular-nums;</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.money     { font-variant-numeric: tabular-nums; }</w:t>
      </w:r>
    </w:p>
    <w:p>
      <w:pPr>
        <w:spacing w:before="0" w:after="0" w:line="240" w:lineRule="auto"/>
        <w:ind w:left="230"/>
        <w:shd w:val="clear" w:color="auto" w:fill="F7F9FC"/>
        <w:pBdr>
          <w:left w:val="single" w:sz="4" w:space="6" w:color="D0D5DD"/>
        </w:pBdr>
      </w:pPr>
      <w:r>
        <w:rPr>
          <w:rFonts w:ascii="Consolas" w:hAnsi="Consolas"/>
          <w:color w:val="0B1F3A"/>
          <w:sz w:val="16"/>
        </w:rPr>
        <w:t>.money--lg { font: var(--font-money-lg); font-variant-numeric: tabular-nums; }</w:t>
      </w:r>
    </w:p>
    <w:p>
      <w:pPr>
        <w:spacing w:before="0" w:after="0" w:line="240" w:lineRule="auto"/>
        <w:ind w:left="230"/>
        <w:shd w:val="clear" w:color="auto" w:fill="F7F9FC"/>
        <w:pBdr>
          <w:left w:val="single" w:sz="4" w:space="6" w:color="D0D5DD"/>
        </w:pBdr>
      </w:pPr>
      <w:r>
        <w:rPr>
          <w:rFonts w:ascii="Consolas" w:hAnsi="Consolas"/>
          <w:color w:val="0B1F3A"/>
          <w:sz w:val="16"/>
        </w:rPr>
        <w:t>// Mobile — React Native theme object</w:t>
      </w:r>
    </w:p>
    <w:p>
      <w:pPr>
        <w:spacing w:before="0" w:after="0" w:line="240" w:lineRule="auto"/>
        <w:ind w:left="230"/>
        <w:shd w:val="clear" w:color="auto" w:fill="F7F9FC"/>
        <w:pBdr>
          <w:left w:val="single" w:sz="4" w:space="6" w:color="D0D5DD"/>
        </w:pBdr>
      </w:pPr>
      <w:r>
        <w:rPr>
          <w:rFonts w:ascii="Consolas" w:hAnsi="Consolas"/>
          <w:color w:val="0B1F3A"/>
          <w:sz w:val="16"/>
        </w:rPr>
        <w:t>export const theme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color: {</w:t>
      </w:r>
    </w:p>
    <w:p>
      <w:pPr>
        <w:spacing w:before="0" w:after="0" w:line="240" w:lineRule="auto"/>
        <w:ind w:left="230"/>
        <w:shd w:val="clear" w:color="auto" w:fill="F7F9FC"/>
        <w:pBdr>
          <w:left w:val="single" w:sz="4" w:space="6" w:color="D0D5DD"/>
        </w:pBdr>
      </w:pPr>
      <w:r>
        <w:rPr>
          <w:rFonts w:ascii="Consolas" w:hAnsi="Consolas"/>
          <w:color w:val="0B1F3A"/>
          <w:sz w:val="16"/>
        </w:rPr>
        <w:t xml:space="preserve">    brand: {</w:t>
      </w:r>
    </w:p>
    <w:p>
      <w:pPr>
        <w:spacing w:before="0" w:after="0" w:line="240" w:lineRule="auto"/>
        <w:ind w:left="230"/>
        <w:shd w:val="clear" w:color="auto" w:fill="F7F9FC"/>
        <w:pBdr>
          <w:left w:val="single" w:sz="4" w:space="6" w:color="D0D5DD"/>
        </w:pBdr>
      </w:pPr>
      <w:r>
        <w:rPr>
          <w:rFonts w:ascii="Consolas" w:hAnsi="Consolas"/>
          <w:color w:val="0B1F3A"/>
          <w:sz w:val="16"/>
        </w:rPr>
        <w:t xml:space="preserve">      deep: '#0B1F3A', primary: '#146EF5', cyan: '#22C7D6',</w:t>
      </w:r>
    </w:p>
    <w:p>
      <w:pPr>
        <w:spacing w:before="0" w:after="0" w:line="240" w:lineRule="auto"/>
        <w:ind w:left="230"/>
        <w:shd w:val="clear" w:color="auto" w:fill="F7F9FC"/>
        <w:pBdr>
          <w:left w:val="single" w:sz="4" w:space="6" w:color="D0D5DD"/>
        </w:pBdr>
      </w:pPr>
      <w:r>
        <w:rPr>
          <w:rFonts w:ascii="Consolas" w:hAnsi="Consolas"/>
          <w:color w:val="0B1F3A"/>
          <w:sz w:val="16"/>
        </w:rPr>
        <w:t xml:space="preserve">      gold: '#FBBF24', white: '#FFFFFF', cloud: '#F4F7FB',</w:t>
      </w:r>
    </w:p>
    <w:p>
      <w:pPr>
        <w:spacing w:before="0" w:after="0" w:line="240" w:lineRule="auto"/>
        <w:ind w:left="230"/>
        <w:shd w:val="clear" w:color="auto" w:fill="F7F9FC"/>
        <w:pBdr>
          <w:left w:val="single" w:sz="4" w:space="6" w:color="D0D5DD"/>
        </w:pBdr>
      </w:pPr>
      <w:r>
        <w:rPr>
          <w:rFonts w:ascii="Consolas" w:hAnsi="Consolas"/>
          <w:color w:val="0B1F3A"/>
          <w:sz w:val="16"/>
        </w:rPr>
        <w:t xml:space="preserve">      dark: '#101828',</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bg:     { canvas: '#F4F7FB', surface: '#FFFFFF', inverse: '#0B1F3A' },</w:t>
      </w:r>
    </w:p>
    <w:p>
      <w:pPr>
        <w:spacing w:before="0" w:after="0" w:line="240" w:lineRule="auto"/>
        <w:ind w:left="230"/>
        <w:shd w:val="clear" w:color="auto" w:fill="F7F9FC"/>
        <w:pBdr>
          <w:left w:val="single" w:sz="4" w:space="6" w:color="D0D5DD"/>
        </w:pBdr>
      </w:pPr>
      <w:r>
        <w:rPr>
          <w:rFonts w:ascii="Consolas" w:hAnsi="Consolas"/>
          <w:color w:val="0B1F3A"/>
          <w:sz w:val="16"/>
        </w:rPr>
        <w:t xml:space="preserve">    text:   { primary: '#101828', secondary: '#475467', inverse: '#FFFFFF' },</w:t>
      </w:r>
    </w:p>
    <w:p>
      <w:pPr>
        <w:spacing w:before="0" w:after="0" w:line="240" w:lineRule="auto"/>
        <w:ind w:left="230"/>
        <w:shd w:val="clear" w:color="auto" w:fill="F7F9FC"/>
        <w:pBdr>
          <w:left w:val="single" w:sz="4" w:space="6" w:color="D0D5DD"/>
        </w:pBdr>
      </w:pPr>
      <w:r>
        <w:rPr>
          <w:rFonts w:ascii="Consolas" w:hAnsi="Consolas"/>
          <w:color w:val="0B1F3A"/>
          <w:sz w:val="16"/>
        </w:rPr>
        <w:t xml:space="preserve">    border: { default: '#D0D5DD', strong: '#98A2B3' },</w:t>
      </w:r>
    </w:p>
    <w:p>
      <w:pPr>
        <w:spacing w:before="0" w:after="0" w:line="240" w:lineRule="auto"/>
        <w:ind w:left="230"/>
        <w:shd w:val="clear" w:color="auto" w:fill="F7F9FC"/>
        <w:pBdr>
          <w:left w:val="single" w:sz="4" w:space="6" w:color="D0D5DD"/>
        </w:pBdr>
      </w:pPr>
      <w:r>
        <w:rPr>
          <w:rFonts w:ascii="Consolas" w:hAnsi="Consolas"/>
          <w:color w:val="0B1F3A"/>
          <w:sz w:val="16"/>
        </w:rPr>
        <w:t xml:space="preserve">    action:{ primary: '#146EF5', primaryHover: '#0F5AD0', danger: '#D92D20' },</w:t>
      </w:r>
    </w:p>
    <w:p>
      <w:pPr>
        <w:spacing w:before="0" w:after="0" w:line="240" w:lineRule="auto"/>
        <w:ind w:left="230"/>
        <w:shd w:val="clear" w:color="auto" w:fill="F7F9FC"/>
        <w:pBdr>
          <w:left w:val="single" w:sz="4" w:space="6" w:color="D0D5DD"/>
        </w:pBdr>
      </w:pPr>
      <w:r>
        <w:rPr>
          <w:rFonts w:ascii="Consolas" w:hAnsi="Consolas"/>
          <w:color w:val="0B1F3A"/>
          <w:sz w:val="16"/>
        </w:rPr>
        <w:t xml:space="preserve">    status:{ success: '#12B76A', warning: '#DC6803', danger: '#D92D20',</w:t>
      </w:r>
    </w:p>
    <w:p>
      <w:pPr>
        <w:spacing w:before="0" w:after="0" w:line="240" w:lineRule="auto"/>
        <w:ind w:left="230"/>
        <w:shd w:val="clear" w:color="auto" w:fill="F7F9FC"/>
        <w:pBdr>
          <w:left w:val="single" w:sz="4" w:space="6" w:color="D0D5DD"/>
        </w:pBdr>
      </w:pPr>
      <w:r>
        <w:rPr>
          <w:rFonts w:ascii="Consolas" w:hAnsi="Consolas"/>
          <w:color w:val="0B1F3A"/>
          <w:sz w:val="16"/>
        </w:rPr>
        <w:t xml:space="preserve">             info: '#146EF5', pending: '#DC6803' },</w:t>
      </w:r>
    </w:p>
    <w:p>
      <w:pPr>
        <w:spacing w:before="0" w:after="0" w:line="240" w:lineRule="auto"/>
        <w:ind w:left="230"/>
        <w:shd w:val="clear" w:color="auto" w:fill="F7F9FC"/>
        <w:pBdr>
          <w:left w:val="single" w:sz="4" w:space="6" w:color="D0D5DD"/>
        </w:pBdr>
      </w:pPr>
      <w:r>
        <w:rPr>
          <w:rFonts w:ascii="Consolas" w:hAnsi="Consolas"/>
          <w:color w:val="0B1F3A"/>
          <w:sz w:val="16"/>
        </w:rPr>
        <w:t xml:space="preserve">    money: { positive: '#12B76A', negative: '#D92D20',</w:t>
      </w:r>
    </w:p>
    <w:p>
      <w:pPr>
        <w:spacing w:before="0" w:after="0" w:line="240" w:lineRule="auto"/>
        <w:ind w:left="230"/>
        <w:shd w:val="clear" w:color="auto" w:fill="F7F9FC"/>
        <w:pBdr>
          <w:left w:val="single" w:sz="4" w:space="6" w:color="D0D5DD"/>
        </w:pBdr>
      </w:pPr>
      <w:r>
        <w:rPr>
          <w:rFonts w:ascii="Consolas" w:hAnsi="Consolas"/>
          <w:color w:val="0B1F3A"/>
          <w:sz w:val="16"/>
        </w:rPr>
        <w:t xml:space="preserve">             pending: '#DC6803', fee: '#146EF5' },</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space: { 1: 4, 2: 8, 3: 12, 4: 16, 5: 20, 6: 24,</w:t>
      </w:r>
    </w:p>
    <w:p>
      <w:pPr>
        <w:spacing w:before="0" w:after="0" w:line="240" w:lineRule="auto"/>
        <w:ind w:left="230"/>
        <w:shd w:val="clear" w:color="auto" w:fill="F7F9FC"/>
        <w:pBdr>
          <w:left w:val="single" w:sz="4" w:space="6" w:color="D0D5DD"/>
        </w:pBdr>
      </w:pPr>
      <w:r>
        <w:rPr>
          <w:rFonts w:ascii="Consolas" w:hAnsi="Consolas"/>
          <w:color w:val="0B1F3A"/>
          <w:sz w:val="16"/>
        </w:rPr>
        <w:t xml:space="preserve">           8: 32, 10: 40, 12: 48 },</w:t>
      </w:r>
    </w:p>
    <w:p>
      <w:pPr>
        <w:spacing w:before="0" w:after="0" w:line="240" w:lineRule="auto"/>
        <w:ind w:left="230"/>
        <w:shd w:val="clear" w:color="auto" w:fill="F7F9FC"/>
        <w:pBdr>
          <w:left w:val="single" w:sz="4" w:space="6" w:color="D0D5DD"/>
        </w:pBdr>
      </w:pPr>
      <w:r>
        <w:rPr>
          <w:rFonts w:ascii="Consolas" w:hAnsi="Consolas"/>
          <w:color w:val="0B1F3A"/>
          <w:sz w:val="16"/>
        </w:rPr>
        <w:t xml:space="preserve">  radius:{ sm: 6, md: 10, lg: 14, xl: 20, full: 9999 },</w:t>
      </w:r>
    </w:p>
    <w:p>
      <w:pPr>
        <w:spacing w:before="0" w:after="0" w:line="240" w:lineRule="auto"/>
        <w:ind w:left="230"/>
        <w:shd w:val="clear" w:color="auto" w:fill="F7F9FC"/>
        <w:pBdr>
          <w:left w:val="single" w:sz="4" w:space="6" w:color="D0D5DD"/>
        </w:pBdr>
      </w:pPr>
      <w:r>
        <w:rPr>
          <w:rFonts w:ascii="Consolas" w:hAnsi="Consolas"/>
          <w:color w:val="0B1F3A"/>
          <w:sz w:val="16"/>
        </w:rPr>
        <w:t xml:space="preserve">  type: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moneySm:   { fontSize: 15, lineHeight: 21, fontWeight: '600' },</w:t>
      </w:r>
    </w:p>
    <w:p>
      <w:pPr>
        <w:spacing w:before="0" w:after="0" w:line="240" w:lineRule="auto"/>
        <w:ind w:left="230"/>
        <w:shd w:val="clear" w:color="auto" w:fill="F7F9FC"/>
        <w:pBdr>
          <w:left w:val="single" w:sz="4" w:space="6" w:color="D0D5DD"/>
        </w:pBdr>
      </w:pPr>
      <w:r>
        <w:rPr>
          <w:rFonts w:ascii="Consolas" w:hAnsi="Consolas"/>
          <w:color w:val="0B1F3A"/>
          <w:sz w:val="16"/>
        </w:rPr>
        <w:t xml:space="preserve">    moneyMd:   { fontSize: 20, lineHeight: 26, fontWeight: '600' },</w:t>
      </w:r>
    </w:p>
    <w:p>
      <w:pPr>
        <w:spacing w:before="0" w:after="0" w:line="240" w:lineRule="auto"/>
        <w:ind w:left="230"/>
        <w:shd w:val="clear" w:color="auto" w:fill="F7F9FC"/>
        <w:pBdr>
          <w:left w:val="single" w:sz="4" w:space="6" w:color="D0D5DD"/>
        </w:pBdr>
      </w:pPr>
      <w:r>
        <w:rPr>
          <w:rFonts w:ascii="Consolas" w:hAnsi="Consolas"/>
          <w:color w:val="0B1F3A"/>
          <w:sz w:val="16"/>
        </w:rPr>
        <w:t xml:space="preserve">    moneyLg:   { fontSize: 28, lineHeight: 34, fontWeight: '700' },</w:t>
      </w:r>
    </w:p>
    <w:p>
      <w:pPr>
        <w:spacing w:before="0" w:after="0" w:line="240" w:lineRule="auto"/>
        <w:ind w:left="230"/>
        <w:shd w:val="clear" w:color="auto" w:fill="F7F9FC"/>
        <w:pBdr>
          <w:left w:val="single" w:sz="4" w:space="6" w:color="D0D5DD"/>
        </w:pBdr>
      </w:pPr>
      <w:r>
        <w:rPr>
          <w:rFonts w:ascii="Consolas" w:hAnsi="Consolas"/>
          <w:color w:val="0B1F3A"/>
          <w:sz w:val="16"/>
        </w:rPr>
        <w:t xml:space="preserve">    body:      { fontSize: 15, lineHeight: 23, fontWeight: '400' },</w:t>
      </w:r>
    </w:p>
    <w:p>
      <w:pPr>
        <w:spacing w:before="0" w:after="0" w:line="240" w:lineRule="auto"/>
        <w:ind w:left="230"/>
        <w:shd w:val="clear" w:color="auto" w:fill="F7F9FC"/>
        <w:pBdr>
          <w:left w:val="single" w:sz="4" w:space="6" w:color="D0D5DD"/>
        </w:pBdr>
      </w:pPr>
      <w:r>
        <w:rPr>
          <w:rFonts w:ascii="Consolas" w:hAnsi="Consolas"/>
          <w:color w:val="0B1F3A"/>
          <w:sz w:val="16"/>
        </w:rPr>
        <w:t xml:space="preserve">    bodySm:    { fontSize: 13, lineHeight: 20, fontWeight: '400' },</w:t>
      </w:r>
    </w:p>
    <w:p>
      <w:pPr>
        <w:spacing w:before="0" w:after="0" w:line="240" w:lineRule="auto"/>
        <w:ind w:left="230"/>
        <w:shd w:val="clear" w:color="auto" w:fill="F7F9FC"/>
        <w:pBdr>
          <w:left w:val="single" w:sz="4" w:space="6" w:color="D0D5DD"/>
        </w:pBdr>
      </w:pPr>
      <w:r>
        <w:rPr>
          <w:rFonts w:ascii="Consolas" w:hAnsi="Consolas"/>
          <w:color w:val="0B1F3A"/>
          <w:sz w:val="16"/>
        </w:rPr>
        <w:t xml:space="preserve">    label:     { fontSize: 13, lineHeight: 18, fontWeight: '600' },</w:t>
      </w:r>
    </w:p>
    <w:p>
      <w:pPr>
        <w:spacing w:before="0" w:after="0" w:line="240" w:lineRule="auto"/>
        <w:ind w:left="230"/>
        <w:shd w:val="clear" w:color="auto" w:fill="F7F9FC"/>
        <w:pBdr>
          <w:left w:val="single" w:sz="4" w:space="6" w:color="D0D5DD"/>
        </w:pBdr>
      </w:pPr>
      <w:r>
        <w:rPr>
          <w:rFonts w:ascii="Consolas" w:hAnsi="Consolas"/>
          <w:color w:val="0B1F3A"/>
          <w:sz w:val="16"/>
        </w:rPr>
        <w:t xml:space="preserve">    caption:   { fontSize: 12, lineHeight: 17, fontWeight: '400' },</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MANDATORY for every amount rendered. Without it, columns</w:t>
      </w:r>
    </w:p>
    <w:p>
      <w:pPr>
        <w:spacing w:before="0" w:after="0" w:line="240" w:lineRule="auto"/>
        <w:ind w:left="230"/>
        <w:shd w:val="clear" w:color="auto" w:fill="F7F9FC"/>
        <w:pBdr>
          <w:left w:val="single" w:sz="4" w:space="6" w:color="D0D5DD"/>
        </w:pBdr>
      </w:pPr>
      <w:r>
        <w:rPr>
          <w:rFonts w:ascii="Consolas" w:hAnsi="Consolas"/>
          <w:color w:val="0B1F3A"/>
          <w:sz w:val="16"/>
        </w:rPr>
        <w:t xml:space="preserve">  // do not align and NGN 9.00 can read as NGN 8.00.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moneyFontVariant: ['tabular-nums'] as const,</w:t>
      </w:r>
    </w:p>
    <w:p>
      <w:pPr>
        <w:spacing w:before="0" w:after="0" w:line="240" w:lineRule="auto"/>
        <w:ind w:left="230"/>
        <w:shd w:val="clear" w:color="auto" w:fill="F7F9FC"/>
        <w:pBdr>
          <w:left w:val="single" w:sz="4" w:space="6" w:color="D0D5DD"/>
        </w:pBdr>
      </w:pPr>
      <w:r>
        <w:rPr>
          <w:rFonts w:ascii="Consolas" w:hAnsi="Consolas"/>
          <w:color w:val="0B1F3A"/>
          <w:sz w:val="16"/>
        </w:rPr>
        <w:t>} as const;</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export type Theme = typeof theme;</w:t>
      </w:r>
    </w:p>
    <w:p>
      <w:pPr>
        <w:pStyle w:val="Heading2"/>
      </w:pPr>
      <w:r>
        <w:rPr>
          <w:rFonts w:ascii="Calibri" w:hAnsi="Calibri"/>
          <w:b/>
          <w:i w:val="0"/>
          <w:color w:val="146EF5"/>
          <w:sz w:val="29"/>
        </w:rPr>
        <w:t>5.15 Contribution and governance</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592"/>
            <w:shd w:val="clear" w:color="auto" w:fill="0B1F3A"/>
            <w:tcMar>
              <w:top w:w="60" w:type="dxa"/>
              <w:start w:w="110" w:type="dxa"/>
              <w:bottom w:w="60" w:type="dxa"/>
              <w:end w:w="110" w:type="dxa"/>
            </w:tcMar>
          </w:tcPr>
          <w:p>
            <w:pPr>
              <w:spacing w:after="0"/>
            </w:pPr>
            <w:r/>
            <w:r>
              <w:rPr>
                <w:rFonts w:ascii="Calibri" w:hAnsi="Calibri"/>
                <w:b/>
                <w:i w:val="0"/>
                <w:color w:val="FFFFFF"/>
                <w:sz w:val="16"/>
              </w:rPr>
              <w:t>Rule</w:t>
            </w:r>
          </w:p>
        </w:tc>
        <w:tc>
          <w:tcPr>
            <w:tcW w:type="dxa" w:w="6768"/>
            <w:shd w:val="clear" w:color="auto" w:fill="0B1F3A"/>
            <w:tcMar>
              <w:top w:w="60" w:type="dxa"/>
              <w:start w:w="110" w:type="dxa"/>
              <w:bottom w:w="60" w:type="dxa"/>
              <w:end w:w="110" w:type="dxa"/>
            </w:tcMar>
          </w:tcPr>
          <w:p>
            <w:pPr>
              <w:spacing w:after="0"/>
            </w:pPr>
            <w:r/>
            <w:r>
              <w:rPr>
                <w:rFonts w:ascii="Calibri" w:hAnsi="Calibri"/>
                <w:b/>
                <w:i w:val="0"/>
                <w:color w:val="FFFFFF"/>
                <w:sz w:val="16"/>
              </w:rPr>
              <w:t>Detail</w:t>
            </w:r>
          </w:p>
        </w:tc>
      </w:tr>
      <w:tr>
        <w:trPr>
          <w:cantSplit/>
        </w:trPr>
        <w:tc>
          <w:tcPr>
            <w:tcW w:type="dxa" w:w="2592"/>
            <w:tcMar>
              <w:top w:w="60" w:type="dxa"/>
              <w:start w:w="110" w:type="dxa"/>
              <w:bottom w:w="60" w:type="dxa"/>
              <w:end w:w="110" w:type="dxa"/>
            </w:tcMar>
          </w:tcPr>
          <w:p>
            <w:pPr>
              <w:spacing w:after="0"/>
            </w:pPr>
            <w:r/>
            <w:r>
              <w:rPr>
                <w:rFonts w:ascii="Calibri" w:hAnsi="Calibri"/>
                <w:b w:val="0"/>
                <w:i w:val="0"/>
                <w:color w:val="101828"/>
                <w:sz w:val="16"/>
              </w:rPr>
              <w:t>Single source</w:t>
            </w:r>
          </w:p>
        </w:tc>
        <w:tc>
          <w:tcPr>
            <w:tcW w:type="dxa" w:w="6768"/>
            <w:tcMar>
              <w:top w:w="60" w:type="dxa"/>
              <w:start w:w="110" w:type="dxa"/>
              <w:bottom w:w="60" w:type="dxa"/>
              <w:end w:w="110" w:type="dxa"/>
            </w:tcMar>
          </w:tcPr>
          <w:p>
            <w:pPr>
              <w:spacing w:after="0"/>
            </w:pPr>
            <w:r/>
            <w:r>
              <w:rPr>
                <w:rFonts w:ascii="Calibri" w:hAnsi="Calibri"/>
                <w:b w:val="0"/>
                <w:i w:val="0"/>
                <w:color w:val="101828"/>
                <w:sz w:val="16"/>
              </w:rPr>
              <w:t>One token file. Web and mobile artefacts are generated, never hand-maintained.</w:t>
            </w:r>
          </w:p>
        </w:tc>
      </w:tr>
      <w:tr>
        <w:trPr>
          <w:cantSplit/>
        </w:trPr>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No new colours</w:t>
            </w:r>
          </w:p>
        </w:tc>
        <w:tc>
          <w:tcPr>
            <w:tcW w:type="dxa" w:w="6768"/>
            <w:tcMar>
              <w:top w:w="60" w:type="dxa"/>
              <w:start w:w="110" w:type="dxa"/>
              <w:bottom w:w="60" w:type="dxa"/>
              <w:end w:w="110" w:type="dxa"/>
            </w:tcMar>
            <w:shd w:val="clear" w:color="auto" w:fill="F4F7FB"/>
          </w:tcPr>
          <w:p>
            <w:pPr>
              <w:spacing w:after="0"/>
            </w:pPr>
            <w:r/>
            <w:r>
              <w:rPr>
                <w:rFonts w:ascii="Calibri" w:hAnsi="Calibri"/>
                <w:b w:val="0"/>
                <w:i w:val="0"/>
                <w:color w:val="101828"/>
                <w:sz w:val="16"/>
              </w:rPr>
              <w:t>A new colour requires design and engineering review with an accessibility check. The palette is closed by default.</w:t>
            </w:r>
          </w:p>
        </w:tc>
      </w:tr>
      <w:tr>
        <w:trPr>
          <w:cantSplit/>
        </w:trPr>
        <w:tc>
          <w:tcPr>
            <w:tcW w:type="dxa" w:w="2592"/>
            <w:tcMar>
              <w:top w:w="60" w:type="dxa"/>
              <w:start w:w="110" w:type="dxa"/>
              <w:bottom w:w="60" w:type="dxa"/>
              <w:end w:w="110" w:type="dxa"/>
            </w:tcMar>
          </w:tcPr>
          <w:p>
            <w:pPr>
              <w:spacing w:after="0"/>
            </w:pPr>
            <w:r/>
            <w:r>
              <w:rPr>
                <w:rFonts w:ascii="Calibri" w:hAnsi="Calibri"/>
                <w:b w:val="0"/>
                <w:i w:val="0"/>
                <w:color w:val="101828"/>
                <w:sz w:val="16"/>
              </w:rPr>
              <w:t>Component lifecycle</w:t>
            </w:r>
          </w:p>
        </w:tc>
        <w:tc>
          <w:tcPr>
            <w:tcW w:type="dxa" w:w="6768"/>
            <w:tcMar>
              <w:top w:w="60" w:type="dxa"/>
              <w:start w:w="110" w:type="dxa"/>
              <w:bottom w:w="60" w:type="dxa"/>
              <w:end w:w="110" w:type="dxa"/>
            </w:tcMar>
          </w:tcPr>
          <w:p>
            <w:pPr>
              <w:spacing w:after="0"/>
            </w:pPr>
            <w:r/>
            <w:r>
              <w:rPr>
                <w:rFonts w:ascii="Calibri" w:hAnsi="Calibri"/>
                <w:b w:val="0"/>
                <w:i w:val="0"/>
                <w:color w:val="101828"/>
                <w:sz w:val="16"/>
              </w:rPr>
              <w:t>Proposed → In review → Stable → Deprecated. Deprecated components ship a codemod and a removal date.</w:t>
            </w:r>
          </w:p>
        </w:tc>
      </w:tr>
      <w:tr>
        <w:trPr>
          <w:cantSplit/>
        </w:trPr>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Definition of done</w:t>
            </w:r>
          </w:p>
        </w:tc>
        <w:tc>
          <w:tcPr>
            <w:tcW w:type="dxa" w:w="6768"/>
            <w:tcMar>
              <w:top w:w="60" w:type="dxa"/>
              <w:start w:w="110" w:type="dxa"/>
              <w:bottom w:w="60" w:type="dxa"/>
              <w:end w:w="110" w:type="dxa"/>
            </w:tcMar>
            <w:shd w:val="clear" w:color="auto" w:fill="F4F7FB"/>
          </w:tcPr>
          <w:p>
            <w:pPr>
              <w:spacing w:after="0"/>
            </w:pPr>
            <w:r/>
            <w:r>
              <w:rPr>
                <w:rFonts w:ascii="Calibri" w:hAnsi="Calibri"/>
                <w:b w:val="0"/>
                <w:i w:val="0"/>
                <w:color w:val="101828"/>
                <w:sz w:val="16"/>
              </w:rPr>
              <w:t>Figma spec, tokens, both platform implementations, Storybook/Expo story, unit test, and an accessibility note.</w:t>
            </w:r>
          </w:p>
        </w:tc>
      </w:tr>
      <w:tr>
        <w:trPr>
          <w:cantSplit/>
        </w:trPr>
        <w:tc>
          <w:tcPr>
            <w:tcW w:type="dxa" w:w="2592"/>
            <w:tcMar>
              <w:top w:w="60" w:type="dxa"/>
              <w:start w:w="110" w:type="dxa"/>
              <w:bottom w:w="60" w:type="dxa"/>
              <w:end w:w="110" w:type="dxa"/>
            </w:tcMar>
          </w:tcPr>
          <w:p>
            <w:pPr>
              <w:spacing w:after="0"/>
            </w:pPr>
            <w:r/>
            <w:r>
              <w:rPr>
                <w:rFonts w:ascii="Calibri" w:hAnsi="Calibri"/>
                <w:b w:val="0"/>
                <w:i w:val="0"/>
                <w:color w:val="101828"/>
                <w:sz w:val="16"/>
              </w:rPr>
              <w:t>Enforcement</w:t>
            </w:r>
          </w:p>
        </w:tc>
        <w:tc>
          <w:tcPr>
            <w:tcW w:type="dxa" w:w="6768"/>
            <w:tcMar>
              <w:top w:w="60" w:type="dxa"/>
              <w:start w:w="110" w:type="dxa"/>
              <w:bottom w:w="60" w:type="dxa"/>
              <w:end w:w="110" w:type="dxa"/>
            </w:tcMar>
          </w:tcPr>
          <w:p>
            <w:pPr>
              <w:spacing w:after="0"/>
            </w:pPr>
            <w:r/>
            <w:r>
              <w:rPr>
                <w:rFonts w:ascii="Calibri" w:hAnsi="Calibri"/>
                <w:b w:val="0"/>
                <w:i w:val="0"/>
                <w:color w:val="101828"/>
                <w:sz w:val="16"/>
              </w:rPr>
              <w:t>Lint rules block raw hex values in component code; only semantic tokens may be referenced.</w:t>
            </w:r>
          </w:p>
        </w:tc>
      </w:tr>
      <w:tr>
        <w:trPr>
          <w:cantSplit/>
        </w:trPr>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Versioning</w:t>
            </w:r>
          </w:p>
        </w:tc>
        <w:tc>
          <w:tcPr>
            <w:tcW w:type="dxa" w:w="6768"/>
            <w:tcMar>
              <w:top w:w="60" w:type="dxa"/>
              <w:start w:w="110" w:type="dxa"/>
              <w:bottom w:w="60" w:type="dxa"/>
              <w:end w:w="110" w:type="dxa"/>
            </w:tcMar>
            <w:shd w:val="clear" w:color="auto" w:fill="F4F7FB"/>
          </w:tcPr>
          <w:p>
            <w:pPr>
              <w:spacing w:after="0"/>
            </w:pPr>
            <w:r/>
            <w:r>
              <w:rPr>
                <w:rFonts w:ascii="Calibri" w:hAnsi="Calibri"/>
                <w:b w:val="0"/>
                <w:i w:val="0"/>
                <w:color w:val="101828"/>
                <w:sz w:val="16"/>
              </w:rPr>
              <w:t>Design tokens are semver'd. A breaking token rename is a major version and requires a migration note.</w:t>
            </w:r>
          </w:p>
        </w:tc>
      </w:tr>
    </w:tbl>
    <w:p>
      <w:pPr>
        <w:spacing w:after="80"/>
      </w:pPr>
    </w:p>
    <w:p>
      <w:pPr>
        <w:spacing w:before="140" w:after="180"/>
        <w:ind w:left="144"/>
        <w:shd w:val="clear" w:color="auto" w:fill="E0F2FE"/>
        <w:pBdr>
          <w:left w:val="single" w:sz="18" w:space="6" w:color="22C7D6"/>
        </w:pBdr>
      </w:pPr>
      <w:r>
        <w:rPr>
          <w:rFonts w:ascii="Calibri" w:hAnsi="Calibri"/>
          <w:b/>
          <w:color w:val="22C7D6"/>
          <w:sz w:val="19"/>
        </w:rPr>
        <w:t xml:space="preserve">Typeface and dark mode remain open.  </w:t>
      </w:r>
      <w:r>
        <w:rPr>
          <w:rFonts w:ascii="Calibri" w:hAnsi="Calibri"/>
          <w:b w:val="0"/>
          <w:i w:val="0"/>
          <w:color w:val="0B1F3A"/>
          <w:sz w:val="19"/>
        </w:rPr>
        <w:t>The typeface (5.3.1) and the decision on whether dark mode is in MVP are both explicitly deferred. Dark mode is proposed for post-MVP; committing to it now would double the design and QA surface before a single member has used the product.</w:t>
      </w:r>
    </w:p>
    <w:p>
      <w:r>
        <w:br w:type="page"/>
      </w:r>
    </w:p>
    <w:p>
      <w:pPr>
        <w:pStyle w:val="Heading1"/>
        <w:pBdr>
          <w:bottom w:val="single" w:sz="12" w:space="6" w:color="146EF5"/>
        </w:pBdr>
        <w:spacing w:after="240"/>
      </w:pPr>
      <w:r>
        <w:rPr>
          <w:rFonts w:ascii="Calibri" w:hAnsi="Calibri"/>
          <w:b/>
          <w:i w:val="0"/>
          <w:color w:val="0B1F3A"/>
          <w:sz w:val="40"/>
        </w:rPr>
        <w:t>6. Wireframe Specification</w:t>
      </w:r>
    </w:p>
    <w:p>
      <w:pPr>
        <w:spacing w:after="200"/>
      </w:pPr>
      <w:r>
        <w:rPr>
          <w:rFonts w:ascii="Calibri" w:hAnsi="Calibri"/>
          <w:b w:val="0"/>
          <w:i w:val="0"/>
          <w:color w:val="475467"/>
          <w:sz w:val="24"/>
        </w:rPr>
        <w:t>This section specifies every screen AJO.ng will have, at the level of structure rather than finish: which regions a screen contains, what each region is for, in what order they appear, what changes between a 375 px phone and a 1440 px desktop, and which regions are mandatory. It is the contract that lets a designer and an engineer work in parallel without either one inventing a region the other did not know about. A region that is not in a screen's region table does not get built. A screen that is not in this section does not get routed.</w:t>
      </w:r>
    </w:p>
    <w:p>
      <w:pPr>
        <w:spacing w:before="140" w:after="180"/>
        <w:ind w:left="144"/>
        <w:shd w:val="clear" w:color="auto" w:fill="EFF6FF"/>
        <w:pBdr>
          <w:left w:val="single" w:sz="18" w:space="6" w:color="146EF5"/>
        </w:pBdr>
      </w:pPr>
      <w:r>
        <w:rPr>
          <w:rFonts w:ascii="Calibri" w:hAnsi="Calibri"/>
          <w:b/>
          <w:color w:val="146EF5"/>
          <w:sz w:val="19"/>
        </w:rPr>
        <w:t xml:space="preserve">What a wireframe is not  </w:t>
      </w:r>
      <w:r>
        <w:rPr>
          <w:rFonts w:ascii="Calibri" w:hAnsi="Calibri"/>
          <w:b w:val="0"/>
          <w:i w:val="0"/>
          <w:color w:val="0B1F3A"/>
          <w:sz w:val="19"/>
        </w:rPr>
        <w:t xml:space="preserve">These are not pictures and they are not mocks. They fix containment, order, hierarchy, and the presence or absence of a control. They do not fix type sizes, colours, radii or spacing — that is section 7, and a change there does not invalidate anything here. What they do fix, and what must not be changed without returning to this section, is the </w:t>
      </w:r>
      <w:r>
        <w:rPr>
          <w:rFonts w:ascii="Calibri" w:hAnsi="Calibri"/>
          <w:b/>
          <w:color w:val="0B1F3A"/>
          <w:sz w:val="19"/>
        </w:rPr>
        <w:t>fee disclosure on the money screens</w:t>
      </w:r>
      <w:r>
        <w:rPr>
          <w:rFonts w:ascii="Calibri" w:hAnsi="Calibri"/>
          <w:b w:val="0"/>
          <w:i w:val="0"/>
          <w:color w:val="0B1F3A"/>
          <w:sz w:val="19"/>
        </w:rPr>
        <w:t xml:space="preserve">, the </w:t>
      </w:r>
      <w:r>
        <w:rPr>
          <w:rFonts w:ascii="Calibri" w:hAnsi="Calibri"/>
          <w:b/>
          <w:color w:val="0B1F3A"/>
          <w:sz w:val="19"/>
        </w:rPr>
        <w:t>order of the amount relative to the commit action</w:t>
      </w:r>
      <w:r>
        <w:rPr>
          <w:rFonts w:ascii="Calibri" w:hAnsi="Calibri"/>
          <w:b w:val="0"/>
          <w:i w:val="0"/>
          <w:color w:val="0B1F3A"/>
          <w:sz w:val="19"/>
        </w:rPr>
        <w:t xml:space="preserve">, and the </w:t>
      </w:r>
      <w:r>
        <w:rPr>
          <w:rFonts w:ascii="Calibri" w:hAnsi="Calibri"/>
          <w:b/>
          <w:color w:val="0B1F3A"/>
          <w:sz w:val="19"/>
        </w:rPr>
        <w:t>presence of the base-pool figure on every payout surface</w:t>
      </w:r>
      <w:r>
        <w:rPr>
          <w:rFonts w:ascii="Calibri" w:hAnsi="Calibri"/>
          <w:b w:val="0"/>
          <w:i w:val="0"/>
          <w:color w:val="0B1F3A"/>
          <w:sz w:val="19"/>
        </w:rPr>
        <w:t>. Those are compliance requirements, not design choices.</w:t>
      </w:r>
    </w:p>
    <w:p>
      <w:pPr>
        <w:pStyle w:val="Heading2"/>
      </w:pPr>
      <w:r>
        <w:rPr>
          <w:rFonts w:ascii="Calibri" w:hAnsi="Calibri"/>
          <w:b/>
          <w:i w:val="0"/>
          <w:color w:val="146EF5"/>
          <w:sz w:val="29"/>
        </w:rPr>
        <w:t>6.1 How to read the wireframes</w:t>
      </w:r>
    </w:p>
    <w:p>
      <w:r>
        <w:rPr>
          <w:rFonts w:ascii="Calibri" w:hAnsi="Calibri"/>
          <w:b w:val="0"/>
          <w:i w:val="0"/>
          <w:color w:val="101828"/>
          <w:sz w:val="21"/>
        </w:rPr>
        <w:t>Every diagram in this section uses the same notation. A box is a bounded region of the screen with a name; the name is the region's identifier in the region table that follows the diagram. Regions are numbered from the top of the screen down, in reading order, and the same number means the same region on the mobile and the desktop frame unless the region table says the region was replaced.</w:t>
      </w:r>
    </w:p>
    <w:p>
      <w:pPr>
        <w:pStyle w:val="Heading3"/>
      </w:pPr>
      <w:r>
        <w:rPr>
          <w:rFonts w:ascii="Calibri" w:hAnsi="Calibri"/>
          <w:b/>
          <w:i w:val="0"/>
          <w:color w:val="0B1F3A"/>
          <w:sz w:val="24"/>
        </w:rPr>
        <w:t>6.1.1 Notation key</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051"/>
            <w:shd w:val="clear" w:color="auto" w:fill="0B1F3A"/>
            <w:tcMar>
              <w:top w:w="60" w:type="dxa"/>
              <w:start w:w="110" w:type="dxa"/>
              <w:bottom w:w="60" w:type="dxa"/>
              <w:end w:w="110" w:type="dxa"/>
            </w:tcMar>
          </w:tcPr>
          <w:p>
            <w:pPr>
              <w:spacing w:after="0"/>
            </w:pPr>
            <w:r/>
            <w:r>
              <w:rPr>
                <w:rFonts w:ascii="Calibri" w:hAnsi="Calibri"/>
                <w:b/>
                <w:i w:val="0"/>
                <w:color w:val="FFFFFF"/>
                <w:sz w:val="14"/>
              </w:rPr>
              <w:t>Glyph</w:t>
            </w:r>
          </w:p>
        </w:tc>
        <w:tc>
          <w:tcPr>
            <w:tcW w:type="dxa" w:w="3096"/>
            <w:shd w:val="clear" w:color="auto" w:fill="0B1F3A"/>
            <w:tcMar>
              <w:top w:w="60" w:type="dxa"/>
              <w:start w:w="110" w:type="dxa"/>
              <w:bottom w:w="60" w:type="dxa"/>
              <w:end w:w="110" w:type="dxa"/>
            </w:tcMar>
          </w:tcPr>
          <w:p>
            <w:pPr>
              <w:spacing w:after="0"/>
            </w:pPr>
            <w:r/>
            <w:r>
              <w:rPr>
                <w:rFonts w:ascii="Calibri" w:hAnsi="Calibri"/>
                <w:b/>
                <w:i w:val="0"/>
                <w:color w:val="FFFFFF"/>
                <w:sz w:val="14"/>
              </w:rPr>
              <w:t>Meaning</w:t>
            </w:r>
          </w:p>
        </w:tc>
        <w:tc>
          <w:tcPr>
            <w:tcW w:type="dxa" w:w="5213"/>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1051"/>
            <w:tcMar>
              <w:top w:w="60" w:type="dxa"/>
              <w:start w:w="110" w:type="dxa"/>
              <w:bottom w:w="60" w:type="dxa"/>
              <w:end w:w="110" w:type="dxa"/>
            </w:tcMar>
          </w:tcPr>
          <w:p>
            <w:pPr>
              <w:spacing w:after="0"/>
            </w:pPr>
            <w:r/>
            <w:r>
              <w:rPr>
                <w:rFonts w:ascii="Consolas" w:hAnsi="Consolas"/>
                <w:color w:val="146EF5"/>
                <w:sz w:val="14"/>
              </w:rPr>
              <w:t>+---+</w:t>
            </w:r>
          </w:p>
        </w:tc>
        <w:tc>
          <w:tcPr>
            <w:tcW w:type="dxa" w:w="3096"/>
            <w:tcMar>
              <w:top w:w="60" w:type="dxa"/>
              <w:start w:w="110" w:type="dxa"/>
              <w:bottom w:w="60" w:type="dxa"/>
              <w:end w:w="110" w:type="dxa"/>
            </w:tcMar>
          </w:tcPr>
          <w:p>
            <w:pPr>
              <w:spacing w:after="0"/>
            </w:pPr>
            <w:r/>
            <w:r>
              <w:rPr>
                <w:rFonts w:ascii="Calibri" w:hAnsi="Calibri"/>
                <w:b w:val="0"/>
                <w:i w:val="0"/>
                <w:color w:val="101828"/>
                <w:sz w:val="14"/>
              </w:rPr>
              <w:t>Region boundary</w:t>
            </w:r>
          </w:p>
        </w:tc>
        <w:tc>
          <w:tcPr>
            <w:tcW w:type="dxa" w:w="5213"/>
            <w:tcMar>
              <w:top w:w="60" w:type="dxa"/>
              <w:start w:w="110" w:type="dxa"/>
              <w:bottom w:w="60" w:type="dxa"/>
              <w:end w:w="110" w:type="dxa"/>
            </w:tcMar>
          </w:tcPr>
          <w:p>
            <w:pPr>
              <w:spacing w:after="0"/>
            </w:pPr>
            <w:r/>
            <w:r>
              <w:rPr>
                <w:rFonts w:ascii="Calibri" w:hAnsi="Calibri"/>
                <w:b w:val="0"/>
                <w:i w:val="0"/>
                <w:color w:val="101828"/>
                <w:sz w:val="14"/>
              </w:rPr>
              <w:t xml:space="preserve">Corners </w:t>
            </w:r>
            <w:r>
              <w:rPr>
                <w:rFonts w:ascii="Consolas" w:hAnsi="Consolas"/>
                <w:color w:val="146EF5"/>
                <w:sz w:val="14"/>
              </w:rPr>
              <w:t>+</w:t>
            </w:r>
            <w:r>
              <w:rPr>
                <w:rFonts w:ascii="Calibri" w:hAnsi="Calibri"/>
                <w:b w:val="0"/>
                <w:i w:val="0"/>
                <w:color w:val="101828"/>
                <w:sz w:val="14"/>
              </w:rPr>
              <w:t xml:space="preserve">, horizontal rules </w:t>
            </w:r>
            <w:r>
              <w:rPr>
                <w:rFonts w:ascii="Consolas" w:hAnsi="Consolas"/>
                <w:color w:val="146EF5"/>
                <w:sz w:val="14"/>
              </w:rPr>
              <w:t>-</w:t>
            </w:r>
            <w:r>
              <w:rPr>
                <w:rFonts w:ascii="Calibri" w:hAnsi="Calibri"/>
                <w:b w:val="0"/>
                <w:i w:val="0"/>
                <w:color w:val="101828"/>
                <w:sz w:val="14"/>
              </w:rPr>
              <w:t xml:space="preserve">, vertical rules </w:t>
            </w:r>
            <w:r>
              <w:rPr>
                <w:rFonts w:ascii="Consolas" w:hAnsi="Consolas"/>
                <w:color w:val="146EF5"/>
                <w:sz w:val="14"/>
              </w:rPr>
              <w:t>|</w:t>
            </w:r>
            <w:r>
              <w:rPr>
                <w:rFonts w:ascii="Calibri" w:hAnsi="Calibri"/>
                <w:b w:val="0"/>
                <w:i w:val="0"/>
                <w:color w:val="101828"/>
                <w:sz w:val="14"/>
              </w:rPr>
              <w:t>.</w:t>
            </w:r>
          </w:p>
        </w:tc>
      </w:tr>
      <w:tr>
        <w:trPr>
          <w:cantSplit/>
        </w:trPr>
        <w:tc>
          <w:tcPr>
            <w:tcW w:type="dxa" w:w="1051"/>
            <w:tcMar>
              <w:top w:w="60" w:type="dxa"/>
              <w:start w:w="110" w:type="dxa"/>
              <w:bottom w:w="60" w:type="dxa"/>
              <w:end w:w="110" w:type="dxa"/>
            </w:tcMar>
            <w:shd w:val="clear" w:color="auto" w:fill="F4F7FB"/>
          </w:tcPr>
          <w:p>
            <w:pPr>
              <w:spacing w:after="0"/>
            </w:pPr>
            <w:r/>
            <w:r>
              <w:rPr>
                <w:rFonts w:ascii="Consolas" w:hAnsi="Consolas"/>
                <w:color w:val="146EF5"/>
                <w:sz w:val="14"/>
              </w:rPr>
              <w:t>+-- (4) X --+</w:t>
            </w:r>
          </w:p>
        </w:tc>
        <w:tc>
          <w:tcPr>
            <w:tcW w:type="dxa" w:w="3096"/>
            <w:tcMar>
              <w:top w:w="60" w:type="dxa"/>
              <w:start w:w="110" w:type="dxa"/>
              <w:bottom w:w="60" w:type="dxa"/>
              <w:end w:w="110" w:type="dxa"/>
            </w:tcMar>
            <w:shd w:val="clear" w:color="auto" w:fill="F4F7FB"/>
          </w:tcPr>
          <w:p>
            <w:pPr>
              <w:spacing w:after="0"/>
            </w:pPr>
            <w:r/>
            <w:r>
              <w:rPr>
                <w:rFonts w:ascii="Calibri" w:hAnsi="Calibri"/>
                <w:b w:val="0"/>
                <w:i w:val="0"/>
                <w:color w:val="101828"/>
                <w:sz w:val="14"/>
              </w:rPr>
              <w:t>Region boundary carrying its number and name</w:t>
            </w:r>
          </w:p>
        </w:tc>
        <w:tc>
          <w:tcPr>
            <w:tcW w:type="dxa" w:w="5213"/>
            <w:tcMar>
              <w:top w:w="60" w:type="dxa"/>
              <w:start w:w="110" w:type="dxa"/>
              <w:bottom w:w="60" w:type="dxa"/>
              <w:end w:w="110" w:type="dxa"/>
            </w:tcMar>
            <w:shd w:val="clear" w:color="auto" w:fill="F4F7FB"/>
          </w:tcPr>
          <w:p>
            <w:pPr>
              <w:spacing w:after="0"/>
            </w:pPr>
            <w:r/>
            <w:r>
              <w:rPr>
                <w:rFonts w:ascii="Calibri" w:hAnsi="Calibri"/>
                <w:b w:val="0"/>
                <w:i w:val="0"/>
                <w:color w:val="101828"/>
                <w:sz w:val="14"/>
              </w:rPr>
              <w:t>The number keys to the region table below the diagram.</w:t>
            </w:r>
          </w:p>
        </w:tc>
      </w:tr>
      <w:tr>
        <w:trPr>
          <w:cantSplit/>
        </w:trPr>
        <w:tc>
          <w:tcPr>
            <w:tcW w:type="dxa" w:w="1051"/>
            <w:tcMar>
              <w:top w:w="60" w:type="dxa"/>
              <w:start w:w="110" w:type="dxa"/>
              <w:bottom w:w="60" w:type="dxa"/>
              <w:end w:w="110" w:type="dxa"/>
            </w:tcMar>
          </w:tcPr>
          <w:p>
            <w:pPr>
              <w:spacing w:after="0"/>
            </w:pPr>
            <w:r/>
            <w:r>
              <w:rPr>
                <w:rFonts w:ascii="Consolas" w:hAnsi="Consolas"/>
                <w:color w:val="146EF5"/>
                <w:sz w:val="14"/>
              </w:rPr>
              <w:t># Heading</w:t>
            </w:r>
          </w:p>
        </w:tc>
        <w:tc>
          <w:tcPr>
            <w:tcW w:type="dxa" w:w="3096"/>
            <w:tcMar>
              <w:top w:w="60" w:type="dxa"/>
              <w:start w:w="110" w:type="dxa"/>
              <w:bottom w:w="60" w:type="dxa"/>
              <w:end w:w="110" w:type="dxa"/>
            </w:tcMar>
          </w:tcPr>
          <w:p>
            <w:pPr>
              <w:spacing w:after="0"/>
            </w:pPr>
            <w:r/>
            <w:r>
              <w:rPr>
                <w:rFonts w:ascii="Calibri" w:hAnsi="Calibri"/>
                <w:b w:val="0"/>
                <w:i w:val="0"/>
                <w:color w:val="101828"/>
                <w:sz w:val="14"/>
              </w:rPr>
              <w:t>Heading text region</w:t>
            </w:r>
          </w:p>
        </w:tc>
        <w:tc>
          <w:tcPr>
            <w:tcW w:type="dxa" w:w="5213"/>
            <w:tcMar>
              <w:top w:w="60" w:type="dxa"/>
              <w:start w:w="110" w:type="dxa"/>
              <w:bottom w:w="60" w:type="dxa"/>
              <w:end w:w="110" w:type="dxa"/>
            </w:tcMar>
          </w:tcPr>
          <w:p>
            <w:pPr>
              <w:spacing w:after="0"/>
            </w:pPr>
            <w:r/>
            <w:r>
              <w:rPr>
                <w:rFonts w:ascii="Calibri" w:hAnsi="Calibri"/>
                <w:b w:val="0"/>
                <w:i w:val="0"/>
                <w:color w:val="101828"/>
                <w:sz w:val="14"/>
              </w:rPr>
              <w:t>Rendered per 7.4, not per this section.</w:t>
            </w:r>
          </w:p>
        </w:tc>
      </w:tr>
      <w:tr>
        <w:trPr>
          <w:cantSplit/>
        </w:trPr>
        <w:tc>
          <w:tcPr>
            <w:tcW w:type="dxa" w:w="1051"/>
            <w:tcMar>
              <w:top w:w="60" w:type="dxa"/>
              <w:start w:w="110" w:type="dxa"/>
              <w:bottom w:w="60" w:type="dxa"/>
              <w:end w:w="110" w:type="dxa"/>
            </w:tcMar>
            <w:shd w:val="clear" w:color="auto" w:fill="F4F7FB"/>
          </w:tcPr>
          <w:p>
            <w:pPr>
              <w:spacing w:after="0"/>
            </w:pPr>
            <w:r/>
            <w:r>
              <w:rPr>
                <w:rFonts w:ascii="Consolas" w:hAnsi="Consolas"/>
                <w:color w:val="146EF5"/>
                <w:sz w:val="14"/>
              </w:rPr>
              <w:t>[ value ]</w:t>
            </w:r>
          </w:p>
        </w:tc>
        <w:tc>
          <w:tcPr>
            <w:tcW w:type="dxa" w:w="3096"/>
            <w:tcMar>
              <w:top w:w="60" w:type="dxa"/>
              <w:start w:w="110" w:type="dxa"/>
              <w:bottom w:w="60" w:type="dxa"/>
              <w:end w:w="110" w:type="dxa"/>
            </w:tcMar>
            <w:shd w:val="clear" w:color="auto" w:fill="F4F7FB"/>
          </w:tcPr>
          <w:p>
            <w:pPr>
              <w:spacing w:after="0"/>
            </w:pPr>
            <w:r/>
            <w:r>
              <w:rPr>
                <w:rFonts w:ascii="Calibri" w:hAnsi="Calibri"/>
                <w:b w:val="0"/>
                <w:i w:val="0"/>
                <w:color w:val="101828"/>
                <w:sz w:val="14"/>
              </w:rPr>
              <w:t>Text input, empty or filled</w:t>
            </w:r>
          </w:p>
        </w:tc>
        <w:tc>
          <w:tcPr>
            <w:tcW w:type="dxa" w:w="5213"/>
            <w:tcMar>
              <w:top w:w="60" w:type="dxa"/>
              <w:start w:w="110" w:type="dxa"/>
              <w:bottom w:w="60" w:type="dxa"/>
              <w:end w:w="110" w:type="dxa"/>
            </w:tcMar>
            <w:shd w:val="clear" w:color="auto" w:fill="F4F7FB"/>
          </w:tcPr>
          <w:p>
            <w:pPr>
              <w:spacing w:after="0"/>
            </w:pPr>
            <w:r/>
            <w:r>
              <w:rPr>
                <w:rFonts w:ascii="Calibri" w:hAnsi="Calibri"/>
                <w:b w:val="0"/>
                <w:i w:val="0"/>
                <w:color w:val="101828"/>
                <w:sz w:val="14"/>
              </w:rPr>
              <w:t>Drawn at a fixed width; the real width is 7.5.</w:t>
            </w:r>
          </w:p>
        </w:tc>
      </w:tr>
      <w:tr>
        <w:trPr>
          <w:cantSplit/>
        </w:trPr>
        <w:tc>
          <w:tcPr>
            <w:tcW w:type="dxa" w:w="1051"/>
            <w:tcMar>
              <w:top w:w="60" w:type="dxa"/>
              <w:start w:w="110" w:type="dxa"/>
              <w:bottom w:w="60" w:type="dxa"/>
              <w:end w:w="110" w:type="dxa"/>
            </w:tcMar>
          </w:tcPr>
          <w:p>
            <w:pPr>
              <w:spacing w:after="0"/>
            </w:pPr>
            <w:r/>
            <w:r>
              <w:rPr>
                <w:rFonts w:ascii="Consolas" w:hAnsi="Consolas"/>
                <w:color w:val="146EF5"/>
                <w:sz w:val="14"/>
              </w:rPr>
              <w:t>[ value v ]</w:t>
            </w:r>
          </w:p>
        </w:tc>
        <w:tc>
          <w:tcPr>
            <w:tcW w:type="dxa" w:w="3096"/>
            <w:tcMar>
              <w:top w:w="60" w:type="dxa"/>
              <w:start w:w="110" w:type="dxa"/>
              <w:bottom w:w="60" w:type="dxa"/>
              <w:end w:w="110" w:type="dxa"/>
            </w:tcMar>
          </w:tcPr>
          <w:p>
            <w:pPr>
              <w:spacing w:after="0"/>
            </w:pPr>
            <w:r/>
            <w:r>
              <w:rPr>
                <w:rFonts w:ascii="Calibri" w:hAnsi="Calibri"/>
                <w:b w:val="0"/>
                <w:i w:val="0"/>
                <w:color w:val="101828"/>
                <w:sz w:val="14"/>
              </w:rPr>
              <w:t>Select or dropdown</w:t>
            </w:r>
          </w:p>
        </w:tc>
        <w:tc>
          <w:tcPr>
            <w:tcW w:type="dxa" w:w="5213"/>
            <w:tcMar>
              <w:top w:w="60" w:type="dxa"/>
              <w:start w:w="110" w:type="dxa"/>
              <w:bottom w:w="60" w:type="dxa"/>
              <w:end w:w="110" w:type="dxa"/>
            </w:tcMar>
          </w:tcPr>
          <w:p>
            <w:pPr>
              <w:spacing w:after="0"/>
            </w:pPr>
            <w:r/>
            <w:r>
              <w:rPr>
                <w:rFonts w:ascii="Calibri" w:hAnsi="Calibri"/>
                <w:b w:val="0"/>
                <w:i w:val="0"/>
                <w:color w:val="101828"/>
                <w:sz w:val="14"/>
              </w:rPr>
              <w:t xml:space="preserve">The trailing </w:t>
            </w:r>
            <w:r>
              <w:rPr>
                <w:rFonts w:ascii="Consolas" w:hAnsi="Consolas"/>
                <w:color w:val="146EF5"/>
                <w:sz w:val="14"/>
              </w:rPr>
              <w:t>v</w:t>
            </w:r>
            <w:r>
              <w:rPr>
                <w:rFonts w:ascii="Calibri" w:hAnsi="Calibri"/>
                <w:b w:val="0"/>
                <w:i w:val="0"/>
                <w:color w:val="101828"/>
                <w:sz w:val="14"/>
              </w:rPr>
              <w:t xml:space="preserve"> is the affordance, not a value.</w:t>
            </w:r>
          </w:p>
        </w:tc>
      </w:tr>
      <w:tr>
        <w:trPr>
          <w:cantSplit/>
        </w:trPr>
        <w:tc>
          <w:tcPr>
            <w:tcW w:type="dxa" w:w="1051"/>
            <w:tcMar>
              <w:top w:w="60" w:type="dxa"/>
              <w:start w:w="110" w:type="dxa"/>
              <w:bottom w:w="60" w:type="dxa"/>
              <w:end w:w="110" w:type="dxa"/>
            </w:tcMar>
            <w:shd w:val="clear" w:color="auto" w:fill="F4F7FB"/>
          </w:tcPr>
          <w:p>
            <w:pPr>
              <w:spacing w:after="0"/>
            </w:pPr>
            <w:r/>
            <w:r>
              <w:rPr>
                <w:rFonts w:ascii="Consolas" w:hAnsi="Consolas"/>
                <w:color w:val="146EF5"/>
                <w:sz w:val="14"/>
              </w:rPr>
              <w:t>{ Label }</w:t>
            </w:r>
          </w:p>
        </w:tc>
        <w:tc>
          <w:tcPr>
            <w:tcW w:type="dxa" w:w="3096"/>
            <w:tcMar>
              <w:top w:w="60" w:type="dxa"/>
              <w:start w:w="110" w:type="dxa"/>
              <w:bottom w:w="60" w:type="dxa"/>
              <w:end w:w="110" w:type="dxa"/>
            </w:tcMar>
            <w:shd w:val="clear" w:color="auto" w:fill="F4F7FB"/>
          </w:tcPr>
          <w:p>
            <w:pPr>
              <w:spacing w:after="0"/>
            </w:pPr>
            <w:r/>
            <w:r>
              <w:rPr>
                <w:rFonts w:ascii="Calibri" w:hAnsi="Calibri"/>
                <w:b w:val="0"/>
                <w:i w:val="0"/>
                <w:color w:val="101828"/>
                <w:sz w:val="14"/>
              </w:rPr>
              <w:t>Button</w:t>
            </w:r>
          </w:p>
        </w:tc>
        <w:tc>
          <w:tcPr>
            <w:tcW w:type="dxa" w:w="5213"/>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trailing </w:t>
            </w:r>
            <w:r>
              <w:rPr>
                <w:rFonts w:ascii="Consolas" w:hAnsi="Consolas"/>
                <w:color w:val="146EF5"/>
                <w:sz w:val="14"/>
              </w:rPr>
              <w:t>*</w:t>
            </w:r>
            <w:r>
              <w:rPr>
                <w:rFonts w:ascii="Calibri" w:hAnsi="Calibri"/>
                <w:b w:val="0"/>
                <w:i w:val="0"/>
                <w:color w:val="101828"/>
                <w:sz w:val="14"/>
              </w:rPr>
              <w:t xml:space="preserve"> marks the </w:t>
            </w:r>
            <w:r>
              <w:rPr>
                <w:rFonts w:ascii="Calibri" w:hAnsi="Calibri"/>
                <w:b/>
                <w:color w:val="101828"/>
                <w:sz w:val="14"/>
              </w:rPr>
              <w:t>primary</w:t>
            </w:r>
            <w:r>
              <w:rPr>
                <w:rFonts w:ascii="Calibri" w:hAnsi="Calibri"/>
                <w:b w:val="0"/>
                <w:i w:val="0"/>
                <w:color w:val="101828"/>
                <w:sz w:val="14"/>
              </w:rPr>
              <w:t xml:space="preserve"> action. At most one per screen.</w:t>
            </w:r>
          </w:p>
        </w:tc>
      </w:tr>
      <w:tr>
        <w:trPr>
          <w:cantSplit/>
        </w:trPr>
        <w:tc>
          <w:tcPr>
            <w:tcW w:type="dxa" w:w="1051"/>
            <w:tcMar>
              <w:top w:w="60" w:type="dxa"/>
              <w:start w:w="110" w:type="dxa"/>
              <w:bottom w:w="60" w:type="dxa"/>
              <w:end w:w="110" w:type="dxa"/>
            </w:tcMar>
          </w:tcPr>
          <w:p>
            <w:pPr>
              <w:spacing w:after="0"/>
            </w:pPr>
            <w:r/>
            <w:r>
              <w:rPr>
                <w:rFonts w:ascii="Consolas" w:hAnsi="Consolas"/>
                <w:color w:val="146EF5"/>
                <w:sz w:val="14"/>
              </w:rPr>
              <w:t>{ Label }o</w:t>
            </w:r>
          </w:p>
        </w:tc>
        <w:tc>
          <w:tcPr>
            <w:tcW w:type="dxa" w:w="3096"/>
            <w:tcMar>
              <w:top w:w="60" w:type="dxa"/>
              <w:start w:w="110" w:type="dxa"/>
              <w:bottom w:w="60" w:type="dxa"/>
              <w:end w:w="110" w:type="dxa"/>
            </w:tcMar>
          </w:tcPr>
          <w:p>
            <w:pPr>
              <w:spacing w:after="0"/>
            </w:pPr>
            <w:r/>
            <w:r>
              <w:rPr>
                <w:rFonts w:ascii="Calibri" w:hAnsi="Calibri"/>
                <w:b w:val="0"/>
                <w:i w:val="0"/>
                <w:color w:val="101828"/>
                <w:sz w:val="14"/>
              </w:rPr>
              <w:t>Button, disabled</w:t>
            </w:r>
          </w:p>
        </w:tc>
        <w:tc>
          <w:tcPr>
            <w:tcW w:type="dxa" w:w="5213"/>
            <w:tcMar>
              <w:top w:w="60" w:type="dxa"/>
              <w:start w:w="110" w:type="dxa"/>
              <w:bottom w:w="60" w:type="dxa"/>
              <w:end w:w="110" w:type="dxa"/>
            </w:tcMar>
          </w:tcPr>
          <w:p>
            <w:pPr>
              <w:spacing w:after="0"/>
            </w:pPr>
            <w:r/>
            <w:r>
              <w:rPr>
                <w:rFonts w:ascii="Calibri" w:hAnsi="Calibri"/>
                <w:b w:val="0"/>
                <w:i w:val="0"/>
                <w:color w:val="101828"/>
                <w:sz w:val="14"/>
              </w:rPr>
              <w:t>Non-interactive, and the reason is stated in text, never only by the grey.</w:t>
            </w:r>
          </w:p>
        </w:tc>
      </w:tr>
      <w:tr>
        <w:trPr>
          <w:cantSplit/>
        </w:trPr>
        <w:tc>
          <w:tcPr>
            <w:tcW w:type="dxa" w:w="1051"/>
            <w:tcMar>
              <w:top w:w="60" w:type="dxa"/>
              <w:start w:w="110" w:type="dxa"/>
              <w:bottom w:w="60" w:type="dxa"/>
              <w:end w:w="110" w:type="dxa"/>
            </w:tcMar>
            <w:shd w:val="clear" w:color="auto" w:fill="F4F7FB"/>
          </w:tcPr>
          <w:p>
            <w:pPr>
              <w:spacing w:after="0"/>
            </w:pPr>
            <w:r/>
            <w:r>
              <w:rPr>
                <w:rFonts w:ascii="Consolas" w:hAnsi="Consolas"/>
                <w:color w:val="146EF5"/>
                <w:sz w:val="14"/>
              </w:rPr>
              <w:t>&lt; label &gt;</w:t>
            </w:r>
          </w:p>
        </w:tc>
        <w:tc>
          <w:tcPr>
            <w:tcW w:type="dxa" w:w="3096"/>
            <w:tcMar>
              <w:top w:w="60" w:type="dxa"/>
              <w:start w:w="110" w:type="dxa"/>
              <w:bottom w:w="60" w:type="dxa"/>
              <w:end w:w="110" w:type="dxa"/>
            </w:tcMar>
            <w:shd w:val="clear" w:color="auto" w:fill="F4F7FB"/>
          </w:tcPr>
          <w:p>
            <w:pPr>
              <w:spacing w:after="0"/>
            </w:pPr>
            <w:r/>
            <w:r>
              <w:rPr>
                <w:rFonts w:ascii="Calibri" w:hAnsi="Calibri"/>
                <w:b w:val="0"/>
                <w:i w:val="0"/>
                <w:color w:val="101828"/>
                <w:sz w:val="14"/>
              </w:rPr>
              <w:t>Text link</w:t>
            </w:r>
          </w:p>
        </w:tc>
        <w:tc>
          <w:tcPr>
            <w:tcW w:type="dxa" w:w="5213"/>
            <w:tcMar>
              <w:top w:w="60" w:type="dxa"/>
              <w:start w:w="110" w:type="dxa"/>
              <w:bottom w:w="60" w:type="dxa"/>
              <w:end w:w="110" w:type="dxa"/>
            </w:tcMar>
            <w:shd w:val="clear" w:color="auto" w:fill="F4F7FB"/>
          </w:tcPr>
          <w:p>
            <w:pPr>
              <w:spacing w:after="0"/>
            </w:pPr>
            <w:r/>
            <w:r>
              <w:rPr>
                <w:rFonts w:ascii="Calibri" w:hAnsi="Calibri"/>
                <w:b w:val="0"/>
                <w:i w:val="0"/>
                <w:color w:val="101828"/>
                <w:sz w:val="14"/>
              </w:rPr>
              <w:t>Never a destructive action.</w:t>
            </w:r>
          </w:p>
        </w:tc>
      </w:tr>
      <w:tr>
        <w:trPr>
          <w:cantSplit/>
        </w:trPr>
        <w:tc>
          <w:tcPr>
            <w:tcW w:type="dxa" w:w="1051"/>
            <w:tcMar>
              <w:top w:w="60" w:type="dxa"/>
              <w:start w:w="110" w:type="dxa"/>
              <w:bottom w:w="60" w:type="dxa"/>
              <w:end w:w="110" w:type="dxa"/>
            </w:tcMar>
          </w:tcPr>
          <w:p>
            <w:pPr>
              <w:spacing w:after="0"/>
            </w:pPr>
            <w:r/>
            <w:r>
              <w:rPr>
                <w:rFonts w:ascii="Consolas" w:hAnsi="Consolas"/>
                <w:color w:val="146EF5"/>
                <w:sz w:val="14"/>
              </w:rPr>
              <w:t>o Name</w:t>
            </w:r>
          </w:p>
        </w:tc>
        <w:tc>
          <w:tcPr>
            <w:tcW w:type="dxa" w:w="3096"/>
            <w:tcMar>
              <w:top w:w="60" w:type="dxa"/>
              <w:start w:w="110" w:type="dxa"/>
              <w:bottom w:w="60" w:type="dxa"/>
              <w:end w:w="110" w:type="dxa"/>
            </w:tcMar>
          </w:tcPr>
          <w:p>
            <w:pPr>
              <w:spacing w:after="0"/>
            </w:pPr>
            <w:r/>
            <w:r>
              <w:rPr>
                <w:rFonts w:ascii="Calibri" w:hAnsi="Calibri"/>
                <w:b w:val="0"/>
                <w:i w:val="0"/>
                <w:color w:val="101828"/>
                <w:sz w:val="14"/>
              </w:rPr>
              <w:t>Identity row</w:t>
            </w:r>
          </w:p>
        </w:tc>
        <w:tc>
          <w:tcPr>
            <w:tcW w:type="dxa" w:w="5213"/>
            <w:tcMar>
              <w:top w:w="60" w:type="dxa"/>
              <w:start w:w="110" w:type="dxa"/>
              <w:bottom w:w="60" w:type="dxa"/>
              <w:end w:w="110" w:type="dxa"/>
            </w:tcMar>
          </w:tcPr>
          <w:p>
            <w:pPr>
              <w:spacing w:after="0"/>
            </w:pPr>
            <w:r/>
            <w:r>
              <w:rPr>
                <w:rFonts w:ascii="Calibri" w:hAnsi="Calibri"/>
                <w:b w:val="0"/>
                <w:i w:val="0"/>
                <w:color w:val="101828"/>
                <w:sz w:val="14"/>
              </w:rPr>
              <w:t>Avatar or initials chip plus a display name.</w:t>
            </w:r>
          </w:p>
        </w:tc>
      </w:tr>
      <w:tr>
        <w:trPr>
          <w:cantSplit/>
        </w:trPr>
        <w:tc>
          <w:tcPr>
            <w:tcW w:type="dxa" w:w="1051"/>
            <w:tcMar>
              <w:top w:w="60" w:type="dxa"/>
              <w:start w:w="110" w:type="dxa"/>
              <w:bottom w:w="60" w:type="dxa"/>
              <w:end w:w="110" w:type="dxa"/>
            </w:tcMar>
            <w:shd w:val="clear" w:color="auto" w:fill="F4F7FB"/>
          </w:tcPr>
          <w:p>
            <w:pPr>
              <w:spacing w:after="0"/>
            </w:pPr>
            <w:r/>
            <w:r>
              <w:rPr>
                <w:rFonts w:ascii="Consolas" w:hAnsi="Consolas"/>
                <w:color w:val="146EF5"/>
                <w:sz w:val="14"/>
              </w:rPr>
              <w:t>^^^####-----</w:t>
            </w:r>
          </w:p>
        </w:tc>
        <w:tc>
          <w:tcPr>
            <w:tcW w:type="dxa" w:w="3096"/>
            <w:tcMar>
              <w:top w:w="60" w:type="dxa"/>
              <w:start w:w="110" w:type="dxa"/>
              <w:bottom w:w="60" w:type="dxa"/>
              <w:end w:w="110" w:type="dxa"/>
            </w:tcMar>
            <w:shd w:val="clear" w:color="auto" w:fill="F4F7FB"/>
          </w:tcPr>
          <w:p>
            <w:pPr>
              <w:spacing w:after="0"/>
            </w:pPr>
            <w:r/>
            <w:r>
              <w:rPr>
                <w:rFonts w:ascii="Calibri" w:hAnsi="Calibri"/>
                <w:b w:val="0"/>
                <w:i w:val="0"/>
                <w:color w:val="101828"/>
                <w:sz w:val="14"/>
              </w:rPr>
              <w:t>Meter or progress bar</w:t>
            </w:r>
          </w:p>
        </w:tc>
        <w:tc>
          <w:tcPr>
            <w:tcW w:type="dxa" w:w="5213"/>
            <w:tcMar>
              <w:top w:w="60" w:type="dxa"/>
              <w:start w:w="110" w:type="dxa"/>
              <w:bottom w:w="60" w:type="dxa"/>
              <w:end w:w="110" w:type="dxa"/>
            </w:tcMar>
            <w:shd w:val="clear" w:color="auto" w:fill="F4F7FB"/>
          </w:tcPr>
          <w:p>
            <w:pPr>
              <w:spacing w:after="0"/>
            </w:pPr>
            <w:r/>
            <w:r>
              <w:rPr>
                <w:rFonts w:ascii="Calibri" w:hAnsi="Calibri"/>
                <w:b w:val="0"/>
                <w:i w:val="0"/>
                <w:color w:val="101828"/>
                <w:sz w:val="14"/>
              </w:rPr>
              <w:t>Cyan is filled, Cloud is the track. Always paired with a numeric label.</w:t>
            </w:r>
          </w:p>
        </w:tc>
      </w:tr>
      <w:tr>
        <w:trPr>
          <w:cantSplit/>
        </w:trPr>
        <w:tc>
          <w:tcPr>
            <w:tcW w:type="dxa" w:w="1051"/>
            <w:tcMar>
              <w:top w:w="60" w:type="dxa"/>
              <w:start w:w="110" w:type="dxa"/>
              <w:bottom w:w="60" w:type="dxa"/>
              <w:end w:w="110" w:type="dxa"/>
            </w:tcMar>
          </w:tcPr>
          <w:p>
            <w:pPr>
              <w:spacing w:after="0"/>
            </w:pPr>
            <w:r/>
            <w:r>
              <w:rPr>
                <w:rFonts w:ascii="Consolas" w:hAnsi="Consolas"/>
                <w:color w:val="146EF5"/>
                <w:sz w:val="14"/>
              </w:rPr>
              <w:t>$$1,020.00</w:t>
            </w:r>
          </w:p>
        </w:tc>
        <w:tc>
          <w:tcPr>
            <w:tcW w:type="dxa" w:w="3096"/>
            <w:tcMar>
              <w:top w:w="60" w:type="dxa"/>
              <w:start w:w="110" w:type="dxa"/>
              <w:bottom w:w="60" w:type="dxa"/>
              <w:end w:w="110" w:type="dxa"/>
            </w:tcMar>
          </w:tcPr>
          <w:p>
            <w:pPr>
              <w:spacing w:after="0"/>
            </w:pPr>
            <w:r/>
            <w:r>
              <w:rPr>
                <w:rFonts w:ascii="Calibri" w:hAnsi="Calibri"/>
                <w:b w:val="0"/>
                <w:i w:val="0"/>
                <w:color w:val="101828"/>
                <w:sz w:val="14"/>
              </w:rPr>
              <w:t>Monetary value</w:t>
            </w:r>
          </w:p>
        </w:tc>
        <w:tc>
          <w:tcPr>
            <w:tcW w:type="dxa" w:w="5213"/>
            <w:tcMar>
              <w:top w:w="60" w:type="dxa"/>
              <w:start w:w="110" w:type="dxa"/>
              <w:bottom w:w="60" w:type="dxa"/>
              <w:end w:w="110" w:type="dxa"/>
            </w:tcMar>
          </w:tcPr>
          <w:p>
            <w:pPr>
              <w:spacing w:after="0"/>
            </w:pPr>
            <w:r/>
            <w:r>
              <w:rPr>
                <w:rFonts w:ascii="Calibri" w:hAnsi="Calibri"/>
                <w:b w:val="0"/>
                <w:i w:val="0"/>
                <w:color w:val="101828"/>
                <w:sz w:val="14"/>
              </w:rPr>
              <w:t>Right-aligned in the real layout, never truncated.</w:t>
            </w:r>
          </w:p>
        </w:tc>
      </w:tr>
      <w:tr>
        <w:trPr>
          <w:cantSplit/>
        </w:trPr>
        <w:tc>
          <w:tcPr>
            <w:tcW w:type="dxa" w:w="1051"/>
            <w:tcMar>
              <w:top w:w="60" w:type="dxa"/>
              <w:start w:w="110" w:type="dxa"/>
              <w:bottom w:w="60" w:type="dxa"/>
              <w:end w:w="110" w:type="dxa"/>
            </w:tcMar>
            <w:shd w:val="clear" w:color="auto" w:fill="F4F7FB"/>
          </w:tcPr>
          <w:p>
            <w:pPr>
              <w:spacing w:after="0"/>
            </w:pPr>
            <w:r/>
            <w:r>
              <w:rPr>
                <w:rFonts w:ascii="Consolas" w:hAnsi="Consolas"/>
                <w:color w:val="146EF5"/>
                <w:sz w:val="14"/>
              </w:rPr>
              <w:t>@3</w:t>
            </w:r>
          </w:p>
        </w:tc>
        <w:tc>
          <w:tcPr>
            <w:tcW w:type="dxa" w:w="3096"/>
            <w:tcMar>
              <w:top w:w="60" w:type="dxa"/>
              <w:start w:w="110" w:type="dxa"/>
              <w:bottom w:w="60" w:type="dxa"/>
              <w:end w:w="110" w:type="dxa"/>
            </w:tcMar>
            <w:shd w:val="clear" w:color="auto" w:fill="F4F7FB"/>
          </w:tcPr>
          <w:p>
            <w:pPr>
              <w:spacing w:after="0"/>
            </w:pPr>
            <w:r/>
            <w:r>
              <w:rPr>
                <w:rFonts w:ascii="Calibri" w:hAnsi="Calibri"/>
                <w:b w:val="0"/>
                <w:i w:val="0"/>
                <w:color w:val="101828"/>
                <w:sz w:val="14"/>
              </w:rPr>
              <w:t>Badge count</w:t>
            </w:r>
          </w:p>
        </w:tc>
        <w:tc>
          <w:tcPr>
            <w:tcW w:type="dxa" w:w="5213"/>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Unread or action count. Capped at </w:t>
            </w:r>
            <w:r>
              <w:rPr>
                <w:rFonts w:ascii="Consolas" w:hAnsi="Consolas"/>
                <w:color w:val="146EF5"/>
                <w:sz w:val="14"/>
              </w:rPr>
              <w:t>9+</w:t>
            </w:r>
            <w:r>
              <w:rPr>
                <w:rFonts w:ascii="Calibri" w:hAnsi="Calibri"/>
                <w:b w:val="0"/>
                <w:i w:val="0"/>
                <w:color w:val="101828"/>
                <w:sz w:val="14"/>
              </w:rPr>
              <w:t>.</w:t>
            </w:r>
          </w:p>
        </w:tc>
      </w:tr>
      <w:tr>
        <w:trPr>
          <w:cantSplit/>
        </w:trPr>
        <w:tc>
          <w:tcPr>
            <w:tcW w:type="dxa" w:w="1051"/>
            <w:tcMar>
              <w:top w:w="60" w:type="dxa"/>
              <w:start w:w="110" w:type="dxa"/>
              <w:bottom w:w="60" w:type="dxa"/>
              <w:end w:w="110" w:type="dxa"/>
            </w:tcMar>
          </w:tcPr>
          <w:p>
            <w:pPr>
              <w:spacing w:after="0"/>
            </w:pPr>
            <w:r/>
            <w:r>
              <w:rPr>
                <w:rFonts w:ascii="Consolas" w:hAnsi="Consolas"/>
                <w:color w:val="146EF5"/>
                <w:sz w:val="14"/>
              </w:rPr>
              <w:t>! text</w:t>
            </w:r>
          </w:p>
        </w:tc>
        <w:tc>
          <w:tcPr>
            <w:tcW w:type="dxa" w:w="3096"/>
            <w:tcMar>
              <w:top w:w="60" w:type="dxa"/>
              <w:start w:w="110" w:type="dxa"/>
              <w:bottom w:w="60" w:type="dxa"/>
              <w:end w:w="110" w:type="dxa"/>
            </w:tcMar>
          </w:tcPr>
          <w:p>
            <w:pPr>
              <w:spacing w:after="0"/>
            </w:pPr>
            <w:r/>
            <w:r>
              <w:rPr>
                <w:rFonts w:ascii="Calibri" w:hAnsi="Calibri"/>
                <w:b w:val="0"/>
                <w:i w:val="0"/>
                <w:color w:val="101828"/>
                <w:sz w:val="14"/>
              </w:rPr>
              <w:t>Warning strip</w:t>
            </w:r>
          </w:p>
        </w:tc>
        <w:tc>
          <w:tcPr>
            <w:tcW w:type="dxa" w:w="5213"/>
            <w:tcMar>
              <w:top w:w="60" w:type="dxa"/>
              <w:start w:w="110" w:type="dxa"/>
              <w:bottom w:w="60" w:type="dxa"/>
              <w:end w:w="110" w:type="dxa"/>
            </w:tcMar>
          </w:tcPr>
          <w:p>
            <w:pPr>
              <w:spacing w:after="0"/>
            </w:pPr>
            <w:r/>
            <w:r>
              <w:rPr>
                <w:rFonts w:ascii="Calibri" w:hAnsi="Calibri"/>
                <w:b w:val="0"/>
                <w:i w:val="0"/>
                <w:color w:val="101828"/>
                <w:sz w:val="14"/>
              </w:rPr>
              <w:t>Gold. Only for a genuine risk to the member.</w:t>
            </w:r>
          </w:p>
        </w:tc>
      </w:tr>
      <w:tr>
        <w:trPr>
          <w:cantSplit/>
        </w:trPr>
        <w:tc>
          <w:tcPr>
            <w:tcW w:type="dxa" w:w="1051"/>
            <w:tcMar>
              <w:top w:w="60" w:type="dxa"/>
              <w:start w:w="110" w:type="dxa"/>
              <w:bottom w:w="60" w:type="dxa"/>
              <w:end w:w="110" w:type="dxa"/>
            </w:tcMar>
            <w:shd w:val="clear" w:color="auto" w:fill="F4F7FB"/>
          </w:tcPr>
          <w:p>
            <w:pPr>
              <w:spacing w:after="0"/>
            </w:pPr>
            <w:r/>
            <w:r>
              <w:rPr>
                <w:rFonts w:ascii="Consolas" w:hAnsi="Consolas"/>
                <w:color w:val="146EF5"/>
                <w:sz w:val="14"/>
              </w:rPr>
              <w:t>x text</w:t>
            </w:r>
          </w:p>
        </w:tc>
        <w:tc>
          <w:tcPr>
            <w:tcW w:type="dxa" w:w="3096"/>
            <w:tcMar>
              <w:top w:w="60" w:type="dxa"/>
              <w:start w:w="110" w:type="dxa"/>
              <w:bottom w:w="60" w:type="dxa"/>
              <w:end w:w="110" w:type="dxa"/>
            </w:tcMar>
            <w:shd w:val="clear" w:color="auto" w:fill="F4F7FB"/>
          </w:tcPr>
          <w:p>
            <w:pPr>
              <w:spacing w:after="0"/>
            </w:pPr>
            <w:r/>
            <w:r>
              <w:rPr>
                <w:rFonts w:ascii="Calibri" w:hAnsi="Calibri"/>
                <w:b w:val="0"/>
                <w:i w:val="0"/>
                <w:color w:val="101828"/>
                <w:sz w:val="14"/>
              </w:rPr>
              <w:t>Error strip</w:t>
            </w:r>
          </w:p>
        </w:tc>
        <w:tc>
          <w:tcPr>
            <w:tcW w:type="dxa" w:w="5213"/>
            <w:tcMar>
              <w:top w:w="60" w:type="dxa"/>
              <w:start w:w="110" w:type="dxa"/>
              <w:bottom w:w="60" w:type="dxa"/>
              <w:end w:w="110" w:type="dxa"/>
            </w:tcMar>
            <w:shd w:val="clear" w:color="auto" w:fill="F4F7FB"/>
          </w:tcPr>
          <w:p>
            <w:pPr>
              <w:spacing w:after="0"/>
            </w:pPr>
            <w:r/>
            <w:r>
              <w:rPr>
                <w:rFonts w:ascii="Calibri" w:hAnsi="Calibri"/>
                <w:b w:val="0"/>
                <w:i w:val="0"/>
                <w:color w:val="101828"/>
                <w:sz w:val="14"/>
              </w:rPr>
              <w:t>Danger. Always paired with what to do next.</w:t>
            </w:r>
          </w:p>
        </w:tc>
      </w:tr>
      <w:tr>
        <w:trPr>
          <w:cantSplit/>
        </w:trPr>
        <w:tc>
          <w:tcPr>
            <w:tcW w:type="dxa" w:w="1051"/>
            <w:tcMar>
              <w:top w:w="60" w:type="dxa"/>
              <w:start w:w="110" w:type="dxa"/>
              <w:bottom w:w="60" w:type="dxa"/>
              <w:end w:w="110" w:type="dxa"/>
            </w:tcMar>
          </w:tcPr>
          <w:p>
            <w:pPr>
              <w:spacing w:after="0"/>
            </w:pPr>
            <w:r/>
            <w:r>
              <w:rPr>
                <w:rFonts w:ascii="Consolas" w:hAnsi="Consolas"/>
                <w:color w:val="146EF5"/>
                <w:sz w:val="14"/>
              </w:rPr>
              <w:t>+ ok</w:t>
            </w:r>
          </w:p>
        </w:tc>
        <w:tc>
          <w:tcPr>
            <w:tcW w:type="dxa" w:w="3096"/>
            <w:tcMar>
              <w:top w:w="60" w:type="dxa"/>
              <w:start w:w="110" w:type="dxa"/>
              <w:bottom w:w="60" w:type="dxa"/>
              <w:end w:w="110" w:type="dxa"/>
            </w:tcMar>
          </w:tcPr>
          <w:p>
            <w:pPr>
              <w:spacing w:after="0"/>
            </w:pPr>
            <w:r/>
            <w:r>
              <w:rPr>
                <w:rFonts w:ascii="Calibri" w:hAnsi="Calibri"/>
                <w:b w:val="0"/>
                <w:i w:val="0"/>
                <w:color w:val="101828"/>
                <w:sz w:val="14"/>
              </w:rPr>
              <w:t>Success strip</w:t>
            </w:r>
          </w:p>
        </w:tc>
        <w:tc>
          <w:tcPr>
            <w:tcW w:type="dxa" w:w="5213"/>
            <w:tcMar>
              <w:top w:w="60" w:type="dxa"/>
              <w:start w:w="110" w:type="dxa"/>
              <w:bottom w:w="60" w:type="dxa"/>
              <w:end w:w="110" w:type="dxa"/>
            </w:tcMar>
          </w:tcPr>
          <w:p>
            <w:pPr>
              <w:spacing w:after="0"/>
            </w:pPr>
            <w:r/>
            <w:r>
              <w:rPr>
                <w:rFonts w:ascii="Calibri" w:hAnsi="Calibri"/>
                <w:b w:val="0"/>
                <w:i w:val="0"/>
                <w:color w:val="101828"/>
                <w:sz w:val="14"/>
              </w:rPr>
              <w:t>Always paired with a reference or a next step.</w:t>
            </w:r>
          </w:p>
        </w:tc>
      </w:tr>
      <w:tr>
        <w:trPr>
          <w:cantSplit/>
        </w:trPr>
        <w:tc>
          <w:tcPr>
            <w:tcW w:type="dxa" w:w="1051"/>
            <w:tcMar>
              <w:top w:w="60" w:type="dxa"/>
              <w:start w:w="110" w:type="dxa"/>
              <w:bottom w:w="60" w:type="dxa"/>
              <w:end w:w="110" w:type="dxa"/>
            </w:tcMar>
            <w:shd w:val="clear" w:color="auto" w:fill="F4F7FB"/>
          </w:tcPr>
          <w:p>
            <w:pPr>
              <w:spacing w:after="0"/>
            </w:pPr>
            <w:r/>
            <w:r>
              <w:rPr>
                <w:rFonts w:ascii="Consolas" w:hAnsi="Consolas"/>
                <w:color w:val="146EF5"/>
                <w:sz w:val="14"/>
              </w:rPr>
              <w:t>~</w:t>
            </w:r>
          </w:p>
        </w:tc>
        <w:tc>
          <w:tcPr>
            <w:tcW w:type="dxa" w:w="3096"/>
            <w:tcMar>
              <w:top w:w="60" w:type="dxa"/>
              <w:start w:w="110" w:type="dxa"/>
              <w:bottom w:w="60" w:type="dxa"/>
              <w:end w:w="110" w:type="dxa"/>
            </w:tcMar>
            <w:shd w:val="clear" w:color="auto" w:fill="F4F7FB"/>
          </w:tcPr>
          <w:p>
            <w:pPr>
              <w:spacing w:after="0"/>
            </w:pPr>
            <w:r/>
            <w:r>
              <w:rPr>
                <w:rFonts w:ascii="Calibri" w:hAnsi="Calibri"/>
                <w:b w:val="0"/>
                <w:i w:val="0"/>
                <w:color w:val="101828"/>
                <w:sz w:val="14"/>
              </w:rPr>
              <w:t>Divider rule</w:t>
            </w:r>
          </w:p>
        </w:tc>
        <w:tc>
          <w:tcPr>
            <w:tcW w:type="dxa" w:w="5213"/>
            <w:tcMar>
              <w:top w:w="60" w:type="dxa"/>
              <w:start w:w="110" w:type="dxa"/>
              <w:bottom w:w="60" w:type="dxa"/>
              <w:end w:w="110" w:type="dxa"/>
            </w:tcMar>
            <w:shd w:val="clear" w:color="auto" w:fill="F4F7FB"/>
          </w:tcPr>
          <w:p>
            <w:pPr>
              <w:spacing w:after="0"/>
            </w:pPr>
            <w:r/>
            <w:r>
              <w:rPr>
                <w:rFonts w:ascii="Calibri" w:hAnsi="Calibri"/>
                <w:b w:val="0"/>
                <w:i w:val="0"/>
                <w:color w:val="101828"/>
                <w:sz w:val="14"/>
              </w:rPr>
              <w:t>Between rows of a group, never between a heading and its content.</w:t>
            </w:r>
          </w:p>
        </w:tc>
      </w:tr>
      <w:tr>
        <w:trPr>
          <w:cantSplit/>
        </w:trPr>
        <w:tc>
          <w:tcPr>
            <w:tcW w:type="dxa" w:w="1051"/>
            <w:tcMar>
              <w:top w:w="60" w:type="dxa"/>
              <w:start w:w="110" w:type="dxa"/>
              <w:bottom w:w="60" w:type="dxa"/>
              <w:end w:w="110" w:type="dxa"/>
            </w:tcMar>
          </w:tcPr>
          <w:p>
            <w:pPr>
              <w:spacing w:after="0"/>
            </w:pPr>
            <w:r/>
            <w:r>
              <w:rPr>
                <w:rFonts w:ascii="Consolas" w:hAnsi="Consolas"/>
                <w:color w:val="146EF5"/>
                <w:sz w:val="14"/>
              </w:rPr>
              <w:t>...</w:t>
            </w:r>
          </w:p>
        </w:tc>
        <w:tc>
          <w:tcPr>
            <w:tcW w:type="dxa" w:w="3096"/>
            <w:tcMar>
              <w:top w:w="60" w:type="dxa"/>
              <w:start w:w="110" w:type="dxa"/>
              <w:bottom w:w="60" w:type="dxa"/>
              <w:end w:w="110" w:type="dxa"/>
            </w:tcMar>
          </w:tcPr>
          <w:p>
            <w:pPr>
              <w:spacing w:after="0"/>
            </w:pPr>
            <w:r/>
            <w:r>
              <w:rPr>
                <w:rFonts w:ascii="Calibri" w:hAnsi="Calibri"/>
                <w:b w:val="0"/>
                <w:i w:val="0"/>
                <w:color w:val="101828"/>
                <w:sz w:val="14"/>
              </w:rPr>
              <w:t>Collapsed remainder</w:t>
            </w:r>
          </w:p>
        </w:tc>
        <w:tc>
          <w:tcPr>
            <w:tcW w:type="dxa" w:w="5213"/>
            <w:tcMar>
              <w:top w:w="60" w:type="dxa"/>
              <w:start w:w="110" w:type="dxa"/>
              <w:bottom w:w="60" w:type="dxa"/>
              <w:end w:w="110" w:type="dxa"/>
            </w:tcMar>
          </w:tcPr>
          <w:p>
            <w:pPr>
              <w:spacing w:after="0"/>
            </w:pPr>
            <w:r/>
            <w:r>
              <w:rPr>
                <w:rFonts w:ascii="Calibri" w:hAnsi="Calibri"/>
                <w:b w:val="0"/>
                <w:i w:val="0"/>
                <w:color w:val="101828"/>
                <w:sz w:val="14"/>
              </w:rPr>
              <w:t xml:space="preserve">Means </w:t>
            </w:r>
            <w:r>
              <w:rPr>
                <w:rFonts w:ascii="Calibri" w:hAnsi="Calibri"/>
                <w:i/>
                <w:color w:val="101828"/>
                <w:sz w:val="14"/>
              </w:rPr>
              <w:t>more rows exist and scroll</w:t>
            </w:r>
            <w:r>
              <w:rPr>
                <w:rFonts w:ascii="Calibri" w:hAnsi="Calibri"/>
                <w:b w:val="0"/>
                <w:i w:val="0"/>
                <w:color w:val="101828"/>
                <w:sz w:val="14"/>
              </w:rPr>
              <w:t xml:space="preserve">, not </w:t>
            </w:r>
            <w:r>
              <w:rPr>
                <w:rFonts w:ascii="Calibri" w:hAnsi="Calibri"/>
                <w:i/>
                <w:color w:val="101828"/>
                <w:sz w:val="14"/>
              </w:rPr>
              <w:t>loading</w:t>
            </w:r>
            <w:r>
              <w:rPr>
                <w:rFonts w:ascii="Calibri" w:hAnsi="Calibri"/>
                <w:b w:val="0"/>
                <w:i w:val="0"/>
                <w:color w:val="101828"/>
                <w:sz w:val="14"/>
              </w:rPr>
              <w:t>.</w:t>
            </w:r>
          </w:p>
        </w:tc>
      </w:tr>
      <w:tr>
        <w:trPr>
          <w:cantSplit/>
        </w:trPr>
        <w:tc>
          <w:tcPr>
            <w:tcW w:type="dxa" w:w="1051"/>
            <w:tcMar>
              <w:top w:w="60" w:type="dxa"/>
              <w:start w:w="110" w:type="dxa"/>
              <w:bottom w:w="60" w:type="dxa"/>
              <w:end w:w="110" w:type="dxa"/>
            </w:tcMar>
            <w:shd w:val="clear" w:color="auto" w:fill="F4F7FB"/>
          </w:tcPr>
          <w:p>
            <w:pPr>
              <w:spacing w:after="0"/>
            </w:pPr>
            <w:r/>
            <w:r>
              <w:rPr>
                <w:rFonts w:ascii="Consolas" w:hAnsi="Consolas"/>
                <w:color w:val="146EF5"/>
                <w:sz w:val="14"/>
              </w:rPr>
              <w:t>// note</w:t>
            </w:r>
          </w:p>
        </w:tc>
        <w:tc>
          <w:tcPr>
            <w:tcW w:type="dxa" w:w="3096"/>
            <w:tcMar>
              <w:top w:w="60" w:type="dxa"/>
              <w:start w:w="110" w:type="dxa"/>
              <w:bottom w:w="60" w:type="dxa"/>
              <w:end w:w="110" w:type="dxa"/>
            </w:tcMar>
            <w:shd w:val="clear" w:color="auto" w:fill="F4F7FB"/>
          </w:tcPr>
          <w:p>
            <w:pPr>
              <w:spacing w:after="0"/>
            </w:pPr>
            <w:r/>
            <w:r>
              <w:rPr>
                <w:rFonts w:ascii="Calibri" w:hAnsi="Calibri"/>
                <w:b w:val="0"/>
                <w:i w:val="0"/>
                <w:color w:val="101828"/>
                <w:sz w:val="14"/>
              </w:rPr>
              <w:t>Annotation</w:t>
            </w:r>
          </w:p>
        </w:tc>
        <w:tc>
          <w:tcPr>
            <w:tcW w:type="dxa" w:w="5213"/>
            <w:tcMar>
              <w:top w:w="60" w:type="dxa"/>
              <w:start w:w="110" w:type="dxa"/>
              <w:bottom w:w="60" w:type="dxa"/>
              <w:end w:w="110" w:type="dxa"/>
            </w:tcMar>
            <w:shd w:val="clear" w:color="auto" w:fill="F4F7FB"/>
          </w:tcPr>
          <w:p>
            <w:pPr>
              <w:spacing w:after="0"/>
            </w:pPr>
            <w:r/>
            <w:r>
              <w:rPr>
                <w:rFonts w:ascii="Calibri" w:hAnsi="Calibri"/>
                <w:b w:val="0"/>
                <w:i w:val="0"/>
                <w:color w:val="101828"/>
                <w:sz w:val="14"/>
              </w:rPr>
              <w:t>Not rendered. A note to the designer or engineer.</w:t>
            </w:r>
          </w:p>
        </w:tc>
      </w:tr>
    </w:tbl>
    <w:p>
      <w:pPr>
        <w:spacing w:after="80"/>
      </w:pPr>
    </w:p>
    <w:p>
      <w:pPr>
        <w:pStyle w:val="Heading3"/>
      </w:pPr>
      <w:r>
        <w:rPr>
          <w:rFonts w:ascii="Calibri" w:hAnsi="Calibri"/>
          <w:b/>
          <w:i w:val="0"/>
          <w:color w:val="0B1F3A"/>
          <w:sz w:val="24"/>
        </w:rPr>
        <w:t>6.1.2 Box conventions</w:t>
      </w:r>
    </w:p>
    <w:p>
      <w:pPr>
        <w:pStyle w:val="ListBullet"/>
        <w:spacing w:after="60"/>
        <w:ind w:left="360"/>
      </w:pPr>
      <w:r>
        <w:rPr>
          <w:rFonts w:ascii="Calibri" w:hAnsi="Calibri"/>
          <w:b/>
          <w:color w:val="101828"/>
          <w:sz w:val="21"/>
        </w:rPr>
        <w:t>A region box is not a visible border.</w:t>
      </w:r>
      <w:r>
        <w:rPr>
          <w:rFonts w:ascii="Calibri" w:hAnsi="Calibri"/>
          <w:b w:val="0"/>
          <w:i w:val="0"/>
          <w:color w:val="101828"/>
          <w:sz w:val="21"/>
        </w:rPr>
        <w:t xml:space="preserve"> The </w:t>
      </w:r>
      <w:r>
        <w:rPr>
          <w:rFonts w:ascii="Consolas" w:hAnsi="Consolas"/>
          <w:color w:val="146EF5"/>
          <w:sz w:val="21"/>
        </w:rPr>
        <w:t>+</w:t>
      </w:r>
      <w:r>
        <w:rPr>
          <w:rFonts w:ascii="Calibri" w:hAnsi="Calibri"/>
          <w:b w:val="0"/>
          <w:i w:val="0"/>
          <w:color w:val="101828"/>
          <w:sz w:val="21"/>
        </w:rPr>
        <w:t xml:space="preserve"> and </w:t>
      </w:r>
      <w:r>
        <w:rPr>
          <w:rFonts w:ascii="Consolas" w:hAnsi="Consolas"/>
          <w:color w:val="146EF5"/>
          <w:sz w:val="21"/>
        </w:rPr>
        <w:t>-</w:t>
      </w:r>
      <w:r>
        <w:rPr>
          <w:rFonts w:ascii="Calibri" w:hAnsi="Calibri"/>
          <w:b w:val="0"/>
          <w:i w:val="0"/>
          <w:color w:val="101828"/>
          <w:sz w:val="21"/>
        </w:rPr>
        <w:t xml:space="preserve"> characters describe a region's extent in the layout, not a stroke on screen. The only regions that render a visible boundary are cards, sheets, the non-dismissable processing screen and the receipt, and those are marked </w:t>
      </w:r>
      <w:r>
        <w:rPr>
          <w:rFonts w:ascii="Consolas" w:hAnsi="Consolas"/>
          <w:color w:val="146EF5"/>
          <w:sz w:val="21"/>
        </w:rPr>
        <w:t>card</w:t>
      </w:r>
      <w:r>
        <w:rPr>
          <w:rFonts w:ascii="Calibri" w:hAnsi="Calibri"/>
          <w:b w:val="0"/>
          <w:i w:val="0"/>
          <w:color w:val="101828"/>
          <w:sz w:val="21"/>
        </w:rPr>
        <w:t xml:space="preserve"> in the region table.</w:t>
      </w:r>
    </w:p>
    <w:p>
      <w:pPr>
        <w:pStyle w:val="ListBullet"/>
        <w:spacing w:after="60"/>
        <w:ind w:left="360"/>
      </w:pPr>
      <w:r>
        <w:rPr>
          <w:rFonts w:ascii="Calibri" w:hAnsi="Calibri"/>
          <w:b/>
          <w:color w:val="101828"/>
          <w:sz w:val="21"/>
        </w:rPr>
        <w:t>The first line inside a box is the region's first line in reading order.</w:t>
      </w:r>
      <w:r>
        <w:rPr>
          <w:rFonts w:ascii="Calibri" w:hAnsi="Calibri"/>
          <w:b w:val="0"/>
          <w:i w:val="0"/>
          <w:color w:val="101828"/>
          <w:sz w:val="21"/>
        </w:rPr>
        <w:t xml:space="preserve"> Where a region has a heading, the heading is its own line and is marked </w:t>
      </w:r>
      <w:r>
        <w:rPr>
          <w:rFonts w:ascii="Consolas" w:hAnsi="Consolas"/>
          <w:color w:val="146EF5"/>
          <w:sz w:val="21"/>
        </w:rPr>
        <w:t>#</w:t>
      </w:r>
      <w:r>
        <w:rPr>
          <w:rFonts w:ascii="Calibri" w:hAnsi="Calibri"/>
          <w:b w:val="0"/>
          <w:i w:val="0"/>
          <w:color w:val="101828"/>
          <w:sz w:val="21"/>
        </w:rPr>
        <w:t>.</w:t>
      </w:r>
    </w:p>
    <w:p>
      <w:pPr>
        <w:pStyle w:val="ListBullet"/>
        <w:spacing w:after="60"/>
        <w:ind w:left="360"/>
      </w:pPr>
      <w:r>
        <w:rPr>
          <w:rFonts w:ascii="Calibri" w:hAnsi="Calibri"/>
          <w:b/>
          <w:color w:val="101828"/>
          <w:sz w:val="21"/>
        </w:rPr>
        <w:t>Blank lines inside a box are spacing, not content.</w:t>
      </w:r>
      <w:r>
        <w:rPr>
          <w:rFonts w:ascii="Calibri" w:hAnsi="Calibri"/>
          <w:b w:val="0"/>
          <w:i w:val="0"/>
          <w:color w:val="101828"/>
          <w:sz w:val="21"/>
        </w:rPr>
        <w:t xml:space="preserve"> They correspond to the vertical rhythm in 7.5 and carry no meaning beyond </w:t>
      </w:r>
      <w:r>
        <w:rPr>
          <w:rFonts w:ascii="Calibri" w:hAnsi="Calibri"/>
          <w:i/>
          <w:color w:val="101828"/>
          <w:sz w:val="21"/>
        </w:rPr>
        <w:t>there is a gap here</w:t>
      </w:r>
      <w:r>
        <w:rPr>
          <w:rFonts w:ascii="Calibri" w:hAnsi="Calibri"/>
          <w:b w:val="0"/>
          <w:i w:val="0"/>
          <w:color w:val="101828"/>
          <w:sz w:val="21"/>
        </w:rPr>
        <w:t>.</w:t>
      </w:r>
    </w:p>
    <w:p>
      <w:pPr>
        <w:pStyle w:val="ListBullet"/>
        <w:spacing w:after="60"/>
        <w:ind w:left="360"/>
      </w:pPr>
      <w:r>
        <w:rPr>
          <w:rFonts w:ascii="Calibri" w:hAnsi="Calibri"/>
          <w:b/>
          <w:color w:val="101828"/>
          <w:sz w:val="21"/>
        </w:rPr>
        <w:t>A control drawn on two frames is one control</w:t>
      </w:r>
      <w:r>
        <w:rPr>
          <w:rFonts w:ascii="Calibri" w:hAnsi="Calibri"/>
          <w:b w:val="0"/>
          <w:i w:val="0"/>
          <w:color w:val="101828"/>
          <w:sz w:val="21"/>
        </w:rPr>
        <w:t>, restyled for the frame. It never means the screen has two of them.</w:t>
      </w:r>
    </w:p>
    <w:p>
      <w:pPr>
        <w:pStyle w:val="ListBullet"/>
        <w:spacing w:after="60"/>
        <w:ind w:left="360"/>
      </w:pPr>
      <w:r>
        <w:rPr>
          <w:rFonts w:ascii="Calibri" w:hAnsi="Calibri"/>
          <w:b/>
          <w:color w:val="101828"/>
          <w:sz w:val="21"/>
        </w:rPr>
        <w:t>An ellipsis inside a value is a layout constraint, not a data value.</w:t>
      </w:r>
      <w:r>
        <w:rPr>
          <w:rFonts w:ascii="Calibri" w:hAnsi="Calibri"/>
          <w:b w:val="0"/>
          <w:i w:val="0"/>
          <w:color w:val="101828"/>
          <w:sz w:val="21"/>
        </w:rPr>
        <w:t xml:space="preserve"> A display name truncates with an ellipsis and keeps its full text in the accessible label. An amount is never truncated.</w:t>
      </w:r>
    </w:p>
    <w:p>
      <w:pPr>
        <w:pStyle w:val="ListBullet"/>
        <w:spacing w:after="60"/>
        <w:ind w:left="360"/>
      </w:pPr>
      <w:r>
        <w:rPr>
          <w:rFonts w:ascii="Calibri" w:hAnsi="Calibri"/>
          <w:b/>
          <w:color w:val="101828"/>
          <w:sz w:val="21"/>
        </w:rPr>
        <w:t>Empty content is drawn as `[ none yet ]`</w:t>
      </w:r>
      <w:r>
        <w:rPr>
          <w:rFonts w:ascii="Calibri" w:hAnsi="Calibri"/>
          <w:b w:val="0"/>
          <w:i w:val="0"/>
          <w:color w:val="101828"/>
          <w:sz w:val="21"/>
        </w:rPr>
        <w:t>, never as a blank area. A blank area is an unresolved state; see 7.15.</w:t>
      </w:r>
    </w:p>
    <w:p>
      <w:pPr>
        <w:pStyle w:val="Heading3"/>
      </w:pPr>
      <w:r>
        <w:rPr>
          <w:rFonts w:ascii="Calibri" w:hAnsi="Calibri"/>
          <w:b/>
          <w:i w:val="0"/>
          <w:color w:val="0B1F3A"/>
          <w:sz w:val="24"/>
        </w:rPr>
        <w:t>6.1.3 Priority values used in the region tables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048"/>
            <w:shd w:val="clear" w:color="auto" w:fill="0B1F3A"/>
            <w:tcMar>
              <w:top w:w="60" w:type="dxa"/>
              <w:start w:w="110" w:type="dxa"/>
              <w:bottom w:w="60" w:type="dxa"/>
              <w:end w:w="110" w:type="dxa"/>
            </w:tcMar>
          </w:tcPr>
          <w:p>
            <w:pPr>
              <w:spacing w:after="0"/>
            </w:pPr>
            <w:r/>
            <w:r>
              <w:rPr>
                <w:rFonts w:ascii="Calibri" w:hAnsi="Calibri"/>
                <w:b/>
                <w:i w:val="0"/>
                <w:color w:val="FFFFFF"/>
                <w:sz w:val="14"/>
              </w:rPr>
              <w:t>Meaning</w:t>
            </w:r>
          </w:p>
        </w:tc>
        <w:tc>
          <w:tcPr>
            <w:tcW w:type="dxa" w:w="2707"/>
            <w:shd w:val="clear" w:color="auto" w:fill="0B1F3A"/>
            <w:tcMar>
              <w:top w:w="60" w:type="dxa"/>
              <w:start w:w="110" w:type="dxa"/>
              <w:bottom w:w="60" w:type="dxa"/>
              <w:end w:w="110" w:type="dxa"/>
            </w:tcMar>
          </w:tcPr>
          <w:p>
            <w:pPr>
              <w:spacing w:after="0"/>
            </w:pPr>
            <w:r/>
            <w:r>
              <w:rPr>
                <w:rFonts w:ascii="Calibri" w:hAnsi="Calibri"/>
                <w:b/>
                <w:i w:val="0"/>
                <w:color w:val="FFFFFF"/>
                <w:sz w:val="14"/>
              </w:rPr>
              <w:t>Effect if omitted</w:t>
            </w:r>
          </w:p>
        </w:tc>
      </w:tr>
      <w:tr>
        <w:trPr>
          <w:cantSplit/>
        </w:trPr>
        <w:tc>
          <w:tcPr>
            <w:tcW w:type="dxa" w:w="605"/>
            <w:tcMar>
              <w:top w:w="60" w:type="dxa"/>
              <w:start w:w="110" w:type="dxa"/>
              <w:bottom w:w="60" w:type="dxa"/>
              <w:end w:w="110" w:type="dxa"/>
            </w:tcMar>
          </w:tcPr>
          <w:p>
            <w:pPr>
              <w:spacing w:after="0"/>
            </w:pPr>
            <w:r/>
            <w:r>
              <w:rPr>
                <w:rFonts w:ascii="Consolas" w:hAnsi="Consolas"/>
                <w:color w:val="146EF5"/>
                <w:sz w:val="14"/>
              </w:rPr>
              <w:t>P1</w:t>
            </w:r>
          </w:p>
        </w:tc>
        <w:tc>
          <w:tcPr>
            <w:tcW w:type="dxa" w:w="6048"/>
            <w:tcMar>
              <w:top w:w="60" w:type="dxa"/>
              <w:start w:w="110" w:type="dxa"/>
              <w:bottom w:w="60" w:type="dxa"/>
              <w:end w:w="110" w:type="dxa"/>
            </w:tcMar>
          </w:tcPr>
          <w:p>
            <w:pPr>
              <w:spacing w:after="0"/>
            </w:pPr>
            <w:r/>
            <w:r>
              <w:rPr>
                <w:rFonts w:ascii="Calibri" w:hAnsi="Calibri"/>
                <w:b w:val="0"/>
                <w:i w:val="0"/>
                <w:color w:val="101828"/>
                <w:sz w:val="14"/>
              </w:rPr>
              <w:t>Required for the screen to be correct. Removing it breaks a canonical rule, a security control or the fee disclosure.</w:t>
            </w:r>
          </w:p>
        </w:tc>
        <w:tc>
          <w:tcPr>
            <w:tcW w:type="dxa" w:w="2707"/>
            <w:tcMar>
              <w:top w:w="60" w:type="dxa"/>
              <w:start w:w="110" w:type="dxa"/>
              <w:bottom w:w="60" w:type="dxa"/>
              <w:end w:w="110" w:type="dxa"/>
            </w:tcMar>
          </w:tcPr>
          <w:p>
            <w:pPr>
              <w:spacing w:after="0"/>
            </w:pPr>
            <w:r/>
            <w:r>
              <w:rPr>
                <w:rFonts w:ascii="Calibri" w:hAnsi="Calibri"/>
                <w:b w:val="0"/>
                <w:i w:val="0"/>
                <w:color w:val="101828"/>
                <w:sz w:val="14"/>
              </w:rPr>
              <w:t>The screen does not ship. Not a judgement call.</w:t>
            </w:r>
          </w:p>
        </w:tc>
      </w:tr>
      <w:tr>
        <w:trPr>
          <w:cantSplit/>
        </w:trPr>
        <w:tc>
          <w:tcPr>
            <w:tcW w:type="dxa" w:w="605"/>
            <w:tcMar>
              <w:top w:w="60" w:type="dxa"/>
              <w:start w:w="110" w:type="dxa"/>
              <w:bottom w:w="60" w:type="dxa"/>
              <w:end w:w="110" w:type="dxa"/>
            </w:tcMar>
            <w:shd w:val="clear" w:color="auto" w:fill="F4F7FB"/>
          </w:tcPr>
          <w:p>
            <w:pPr>
              <w:spacing w:after="0"/>
            </w:pPr>
            <w:r/>
            <w:r>
              <w:rPr>
                <w:rFonts w:ascii="Consolas" w:hAnsi="Consolas"/>
                <w:color w:val="146EF5"/>
                <w:sz w:val="14"/>
              </w:rPr>
              <w:t>P2</w:t>
            </w:r>
          </w:p>
        </w:tc>
        <w:tc>
          <w:tcPr>
            <w:tcW w:type="dxa" w:w="6048"/>
            <w:tcMar>
              <w:top w:w="60" w:type="dxa"/>
              <w:start w:w="110" w:type="dxa"/>
              <w:bottom w:w="60" w:type="dxa"/>
              <w:end w:w="110" w:type="dxa"/>
            </w:tcMar>
            <w:shd w:val="clear" w:color="auto" w:fill="F4F7FB"/>
          </w:tcPr>
          <w:p>
            <w:pPr>
              <w:spacing w:after="0"/>
            </w:pPr>
            <w:r/>
            <w:r>
              <w:rPr>
                <w:rFonts w:ascii="Calibri" w:hAnsi="Calibri"/>
                <w:b w:val="0"/>
                <w:i w:val="0"/>
                <w:color w:val="101828"/>
                <w:sz w:val="14"/>
              </w:rPr>
              <w:t>Required for the screen to be usable and complete.</w:t>
            </w:r>
          </w:p>
        </w:tc>
        <w:tc>
          <w:tcPr>
            <w:tcW w:type="dxa" w:w="2707"/>
            <w:tcMar>
              <w:top w:w="60" w:type="dxa"/>
              <w:start w:w="110" w:type="dxa"/>
              <w:bottom w:w="60" w:type="dxa"/>
              <w:end w:w="110" w:type="dxa"/>
            </w:tcMar>
            <w:shd w:val="clear" w:color="auto" w:fill="F4F7FB"/>
          </w:tcPr>
          <w:p>
            <w:pPr>
              <w:spacing w:after="0"/>
            </w:pPr>
            <w:r/>
            <w:r>
              <w:rPr>
                <w:rFonts w:ascii="Calibri" w:hAnsi="Calibri"/>
                <w:b w:val="0"/>
                <w:i w:val="0"/>
                <w:color w:val="101828"/>
                <w:sz w:val="14"/>
              </w:rPr>
              <w:t>Ships with a filed gap and a named owner.</w:t>
            </w:r>
          </w:p>
        </w:tc>
      </w:tr>
      <w:tr>
        <w:trPr>
          <w:cantSplit/>
        </w:trPr>
        <w:tc>
          <w:tcPr>
            <w:tcW w:type="dxa" w:w="605"/>
            <w:tcMar>
              <w:top w:w="60" w:type="dxa"/>
              <w:start w:w="110" w:type="dxa"/>
              <w:bottom w:w="60" w:type="dxa"/>
              <w:end w:w="110" w:type="dxa"/>
            </w:tcMar>
          </w:tcPr>
          <w:p>
            <w:pPr>
              <w:spacing w:after="0"/>
            </w:pPr>
            <w:r/>
            <w:r>
              <w:rPr>
                <w:rFonts w:ascii="Consolas" w:hAnsi="Consolas"/>
                <w:color w:val="146EF5"/>
                <w:sz w:val="14"/>
              </w:rPr>
              <w:t>P3</w:t>
            </w:r>
          </w:p>
        </w:tc>
        <w:tc>
          <w:tcPr>
            <w:tcW w:type="dxa" w:w="6048"/>
            <w:tcMar>
              <w:top w:w="60" w:type="dxa"/>
              <w:start w:w="110" w:type="dxa"/>
              <w:bottom w:w="60" w:type="dxa"/>
              <w:end w:w="110" w:type="dxa"/>
            </w:tcMar>
          </w:tcPr>
          <w:p>
            <w:pPr>
              <w:spacing w:after="0"/>
            </w:pPr>
            <w:r/>
            <w:r>
              <w:rPr>
                <w:rFonts w:ascii="Calibri" w:hAnsi="Calibri"/>
                <w:b w:val="0"/>
                <w:i w:val="0"/>
                <w:color w:val="101828"/>
                <w:sz w:val="14"/>
              </w:rPr>
              <w:t>Required for the screen to be good. Deferrable to a named iteration.</w:t>
            </w:r>
          </w:p>
        </w:tc>
        <w:tc>
          <w:tcPr>
            <w:tcW w:type="dxa" w:w="2707"/>
            <w:tcMar>
              <w:top w:w="60" w:type="dxa"/>
              <w:start w:w="110" w:type="dxa"/>
              <w:bottom w:w="60" w:type="dxa"/>
              <w:end w:w="110" w:type="dxa"/>
            </w:tcMar>
          </w:tcPr>
          <w:p>
            <w:pPr>
              <w:spacing w:after="0"/>
            </w:pPr>
            <w:r/>
            <w:r>
              <w:rPr>
                <w:rFonts w:ascii="Calibri" w:hAnsi="Calibri"/>
                <w:b w:val="0"/>
                <w:i w:val="0"/>
                <w:color w:val="101828"/>
                <w:sz w:val="14"/>
              </w:rPr>
              <w:t>Deferrable, recorded in the 6.35 handoff checklist.</w:t>
            </w:r>
          </w:p>
        </w:tc>
      </w:tr>
    </w:tbl>
    <w:p>
      <w:pPr>
        <w:spacing w:after="80"/>
      </w:pPr>
    </w:p>
    <w:p>
      <w:r>
        <w:br w:type="page"/>
      </w:r>
    </w:p>
    <w:p>
      <w:pPr>
        <w:pStyle w:val="Heading2"/>
      </w:pPr>
      <w:r>
        <w:rPr>
          <w:rFonts w:ascii="Calibri" w:hAnsi="Calibri"/>
          <w:b/>
          <w:i w:val="0"/>
          <w:color w:val="146EF5"/>
          <w:sz w:val="29"/>
        </w:rPr>
        <w:t>6.2 Frame sizes and how the three frames relate</w:t>
      </w:r>
    </w:p>
    <w:p>
      <w:r>
        <w:rPr>
          <w:rFonts w:ascii="Calibri" w:hAnsi="Calibri"/>
          <w:b w:val="0"/>
          <w:i w:val="0"/>
          <w:color w:val="101828"/>
          <w:sz w:val="21"/>
        </w:rPr>
        <w:t>Every screen is drawn twice: once at mobile and once at desktop. The tablet frame appears only where the desktop layout has a genuinely intermediate form, that is, where a two-column form or table collapses at 768 px. Diagram width is proportional to real frame width so that relative column widths stay readable: the mobile frame is 38 characters for 375 px, the tablet frame 62 characters for 768 px, and the desktop frame 72 characters for 1440 px.</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619"/>
            <w:shd w:val="clear" w:color="auto" w:fill="0B1F3A"/>
            <w:tcMar>
              <w:top w:w="60" w:type="dxa"/>
              <w:start w:w="110" w:type="dxa"/>
              <w:bottom w:w="60" w:type="dxa"/>
              <w:end w:w="110" w:type="dxa"/>
            </w:tcMar>
          </w:tcPr>
          <w:p>
            <w:pPr>
              <w:spacing w:after="0"/>
            </w:pPr>
            <w:r/>
            <w:r>
              <w:rPr>
                <w:rFonts w:ascii="Calibri" w:hAnsi="Calibri"/>
                <w:b/>
                <w:i w:val="0"/>
                <w:color w:val="FFFFFF"/>
                <w:sz w:val="14"/>
              </w:rPr>
              <w:t>Frame</w:t>
            </w:r>
          </w:p>
        </w:tc>
        <w:tc>
          <w:tcPr>
            <w:tcW w:type="dxa" w:w="792"/>
            <w:shd w:val="clear" w:color="auto" w:fill="0B1F3A"/>
            <w:tcMar>
              <w:top w:w="60" w:type="dxa"/>
              <w:start w:w="110" w:type="dxa"/>
              <w:bottom w:w="60" w:type="dxa"/>
              <w:end w:w="110" w:type="dxa"/>
            </w:tcMar>
          </w:tcPr>
          <w:p>
            <w:pPr>
              <w:spacing w:after="0"/>
            </w:pPr>
            <w:r/>
            <w:r>
              <w:rPr>
                <w:rFonts w:ascii="Calibri" w:hAnsi="Calibri"/>
                <w:b/>
                <w:i w:val="0"/>
                <w:color w:val="FFFFFF"/>
                <w:sz w:val="14"/>
              </w:rPr>
              <w:t>CSS width</w:t>
            </w:r>
          </w:p>
        </w:tc>
        <w:tc>
          <w:tcPr>
            <w:tcW w:type="dxa" w:w="2563"/>
            <w:shd w:val="clear" w:color="auto" w:fill="0B1F3A"/>
            <w:tcMar>
              <w:top w:w="60" w:type="dxa"/>
              <w:start w:w="110" w:type="dxa"/>
              <w:bottom w:w="60" w:type="dxa"/>
              <w:end w:w="110" w:type="dxa"/>
            </w:tcMar>
          </w:tcPr>
          <w:p>
            <w:pPr>
              <w:spacing w:after="0"/>
            </w:pPr>
            <w:r/>
            <w:r>
              <w:rPr>
                <w:rFonts w:ascii="Calibri" w:hAnsi="Calibri"/>
                <w:b/>
                <w:i w:val="0"/>
                <w:color w:val="FFFFFF"/>
                <w:sz w:val="14"/>
              </w:rPr>
              <w:t>Content column</w:t>
            </w:r>
          </w:p>
        </w:tc>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4"/>
              </w:rPr>
              <w:t>Diagram width</w:t>
            </w:r>
          </w:p>
        </w:tc>
        <w:tc>
          <w:tcPr>
            <w:tcW w:type="dxa" w:w="4234"/>
            <w:shd w:val="clear" w:color="auto" w:fill="0B1F3A"/>
            <w:tcMar>
              <w:top w:w="60" w:type="dxa"/>
              <w:start w:w="110" w:type="dxa"/>
              <w:bottom w:w="60" w:type="dxa"/>
              <w:end w:w="110" w:type="dxa"/>
            </w:tcMar>
          </w:tcPr>
          <w:p>
            <w:pPr>
              <w:spacing w:after="0"/>
            </w:pPr>
            <w:r/>
            <w:r>
              <w:rPr>
                <w:rFonts w:ascii="Calibri" w:hAnsi="Calibri"/>
                <w:b/>
                <w:i w:val="0"/>
                <w:color w:val="FFFFFF"/>
                <w:sz w:val="14"/>
              </w:rPr>
              <w:t>Where used</w:t>
            </w:r>
          </w:p>
        </w:tc>
      </w:tr>
      <w:tr>
        <w:trPr>
          <w:cantSplit/>
        </w:trPr>
        <w:tc>
          <w:tcPr>
            <w:tcW w:type="dxa" w:w="619"/>
            <w:tcMar>
              <w:top w:w="60" w:type="dxa"/>
              <w:start w:w="110" w:type="dxa"/>
              <w:bottom w:w="60" w:type="dxa"/>
              <w:end w:w="110" w:type="dxa"/>
            </w:tcMar>
          </w:tcPr>
          <w:p>
            <w:pPr>
              <w:spacing w:after="0"/>
            </w:pPr>
            <w:r/>
            <w:r>
              <w:rPr>
                <w:rFonts w:ascii="Calibri" w:hAnsi="Calibri"/>
                <w:b w:val="0"/>
                <w:i w:val="0"/>
                <w:color w:val="101828"/>
                <w:sz w:val="14"/>
              </w:rPr>
              <w:t>Mobile</w:t>
            </w:r>
          </w:p>
        </w:tc>
        <w:tc>
          <w:tcPr>
            <w:tcW w:type="dxa" w:w="792"/>
            <w:tcMar>
              <w:top w:w="60" w:type="dxa"/>
              <w:start w:w="110" w:type="dxa"/>
              <w:bottom w:w="60" w:type="dxa"/>
              <w:end w:w="110" w:type="dxa"/>
            </w:tcMar>
          </w:tcPr>
          <w:p>
            <w:pPr>
              <w:spacing w:after="0"/>
            </w:pPr>
            <w:r/>
            <w:r>
              <w:rPr>
                <w:rFonts w:ascii="Calibri" w:hAnsi="Calibri"/>
                <w:b w:val="0"/>
                <w:i w:val="0"/>
                <w:color w:val="101828"/>
                <w:sz w:val="14"/>
              </w:rPr>
              <w:t>375 px</w:t>
            </w:r>
          </w:p>
        </w:tc>
        <w:tc>
          <w:tcPr>
            <w:tcW w:type="dxa" w:w="2563"/>
            <w:tcMar>
              <w:top w:w="60" w:type="dxa"/>
              <w:start w:w="110" w:type="dxa"/>
              <w:bottom w:w="60" w:type="dxa"/>
              <w:end w:w="110" w:type="dxa"/>
            </w:tcMar>
          </w:tcPr>
          <w:p>
            <w:pPr>
              <w:spacing w:after="0"/>
            </w:pPr>
            <w:r/>
            <w:r>
              <w:rPr>
                <w:rFonts w:ascii="Calibri" w:hAnsi="Calibri"/>
                <w:b w:val="0"/>
                <w:i w:val="0"/>
                <w:color w:val="101828"/>
                <w:sz w:val="14"/>
              </w:rPr>
              <w:t>343 px, 16 px gutters</w:t>
            </w:r>
          </w:p>
        </w:tc>
        <w:tc>
          <w:tcPr>
            <w:tcW w:type="dxa" w:w="1152"/>
            <w:tcMar>
              <w:top w:w="60" w:type="dxa"/>
              <w:start w:w="110" w:type="dxa"/>
              <w:bottom w:w="60" w:type="dxa"/>
              <w:end w:w="110" w:type="dxa"/>
            </w:tcMar>
          </w:tcPr>
          <w:p>
            <w:pPr>
              <w:spacing w:after="0"/>
            </w:pPr>
            <w:r/>
            <w:r>
              <w:rPr>
                <w:rFonts w:ascii="Calibri" w:hAnsi="Calibri"/>
                <w:b w:val="0"/>
                <w:i w:val="0"/>
                <w:color w:val="101828"/>
                <w:sz w:val="14"/>
              </w:rPr>
              <w:t>38 chars</w:t>
            </w:r>
          </w:p>
        </w:tc>
        <w:tc>
          <w:tcPr>
            <w:tcW w:type="dxa" w:w="4234"/>
            <w:tcMar>
              <w:top w:w="60" w:type="dxa"/>
              <w:start w:w="110" w:type="dxa"/>
              <w:bottom w:w="60" w:type="dxa"/>
              <w:end w:w="110" w:type="dxa"/>
            </w:tcMar>
          </w:tcPr>
          <w:p>
            <w:pPr>
              <w:spacing w:after="0"/>
            </w:pPr>
            <w:r/>
            <w:r>
              <w:rPr>
                <w:rFonts w:ascii="Calibri" w:hAnsi="Calibri"/>
                <w:b w:val="0"/>
                <w:i w:val="0"/>
                <w:color w:val="101828"/>
                <w:sz w:val="14"/>
              </w:rPr>
              <w:t>Every screen in this section.</w:t>
            </w:r>
          </w:p>
        </w:tc>
      </w:tr>
      <w:tr>
        <w:trPr>
          <w:cantSplit/>
        </w:trPr>
        <w:tc>
          <w:tcPr>
            <w:tcW w:type="dxa" w:w="619"/>
            <w:tcMar>
              <w:top w:w="60" w:type="dxa"/>
              <w:start w:w="110" w:type="dxa"/>
              <w:bottom w:w="60" w:type="dxa"/>
              <w:end w:w="110" w:type="dxa"/>
            </w:tcMar>
            <w:shd w:val="clear" w:color="auto" w:fill="F4F7FB"/>
          </w:tcPr>
          <w:p>
            <w:pPr>
              <w:spacing w:after="0"/>
            </w:pPr>
            <w:r/>
            <w:r>
              <w:rPr>
                <w:rFonts w:ascii="Calibri" w:hAnsi="Calibri"/>
                <w:b w:val="0"/>
                <w:i w:val="0"/>
                <w:color w:val="101828"/>
                <w:sz w:val="14"/>
              </w:rPr>
              <w:t>Tablet</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4"/>
              </w:rPr>
              <w:t>768 px</w:t>
            </w:r>
          </w:p>
        </w:tc>
        <w:tc>
          <w:tcPr>
            <w:tcW w:type="dxa" w:w="2563"/>
            <w:tcMar>
              <w:top w:w="60" w:type="dxa"/>
              <w:start w:w="110" w:type="dxa"/>
              <w:bottom w:w="60" w:type="dxa"/>
              <w:end w:w="110" w:type="dxa"/>
            </w:tcMar>
            <w:shd w:val="clear" w:color="auto" w:fill="F4F7FB"/>
          </w:tcPr>
          <w:p>
            <w:pPr>
              <w:spacing w:after="0"/>
            </w:pPr>
            <w:r/>
            <w:r>
              <w:rPr>
                <w:rFonts w:ascii="Calibri" w:hAnsi="Calibri"/>
                <w:b w:val="0"/>
                <w:i w:val="0"/>
                <w:color w:val="101828"/>
                <w:sz w:val="14"/>
              </w:rPr>
              <w:t>720 px, 24 px gutters</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4"/>
              </w:rPr>
              <w:t>62 chars</w:t>
            </w:r>
          </w:p>
        </w:tc>
        <w:tc>
          <w:tcPr>
            <w:tcW w:type="dxa" w:w="4234"/>
            <w:tcMar>
              <w:top w:w="60" w:type="dxa"/>
              <w:start w:w="110" w:type="dxa"/>
              <w:bottom w:w="60" w:type="dxa"/>
              <w:end w:w="110" w:type="dxa"/>
            </w:tcMar>
            <w:shd w:val="clear" w:color="auto" w:fill="F4F7FB"/>
          </w:tcPr>
          <w:p>
            <w:pPr>
              <w:spacing w:after="0"/>
            </w:pPr>
            <w:r/>
            <w:r>
              <w:rPr>
                <w:rFonts w:ascii="Calibri" w:hAnsi="Calibri"/>
                <w:b w:val="0"/>
                <w:i w:val="0"/>
                <w:color w:val="101828"/>
                <w:sz w:val="14"/>
              </w:rPr>
              <w:t>Only where a two-column form or table collapses.</w:t>
            </w:r>
          </w:p>
        </w:tc>
      </w:tr>
      <w:tr>
        <w:trPr>
          <w:cantSplit/>
        </w:trPr>
        <w:tc>
          <w:tcPr>
            <w:tcW w:type="dxa" w:w="619"/>
            <w:tcMar>
              <w:top w:w="60" w:type="dxa"/>
              <w:start w:w="110" w:type="dxa"/>
              <w:bottom w:w="60" w:type="dxa"/>
              <w:end w:w="110" w:type="dxa"/>
            </w:tcMar>
          </w:tcPr>
          <w:p>
            <w:pPr>
              <w:spacing w:after="0"/>
            </w:pPr>
            <w:r/>
            <w:r>
              <w:rPr>
                <w:rFonts w:ascii="Calibri" w:hAnsi="Calibri"/>
                <w:b w:val="0"/>
                <w:i w:val="0"/>
                <w:color w:val="101828"/>
                <w:sz w:val="14"/>
              </w:rPr>
              <w:t>Desktop</w:t>
            </w:r>
          </w:p>
        </w:tc>
        <w:tc>
          <w:tcPr>
            <w:tcW w:type="dxa" w:w="792"/>
            <w:tcMar>
              <w:top w:w="60" w:type="dxa"/>
              <w:start w:w="110" w:type="dxa"/>
              <w:bottom w:w="60" w:type="dxa"/>
              <w:end w:w="110" w:type="dxa"/>
            </w:tcMar>
          </w:tcPr>
          <w:p>
            <w:pPr>
              <w:spacing w:after="0"/>
            </w:pPr>
            <w:r/>
            <w:r>
              <w:rPr>
                <w:rFonts w:ascii="Calibri" w:hAnsi="Calibri"/>
                <w:b w:val="0"/>
                <w:i w:val="0"/>
                <w:color w:val="101828"/>
                <w:sz w:val="14"/>
              </w:rPr>
              <w:t>1440 px</w:t>
            </w:r>
          </w:p>
        </w:tc>
        <w:tc>
          <w:tcPr>
            <w:tcW w:type="dxa" w:w="2563"/>
            <w:tcMar>
              <w:top w:w="60" w:type="dxa"/>
              <w:start w:w="110" w:type="dxa"/>
              <w:bottom w:w="60" w:type="dxa"/>
              <w:end w:w="110" w:type="dxa"/>
            </w:tcMar>
          </w:tcPr>
          <w:p>
            <w:pPr>
              <w:spacing w:after="0"/>
            </w:pPr>
            <w:r/>
            <w:r>
              <w:rPr>
                <w:rFonts w:ascii="Calibri" w:hAnsi="Calibri"/>
                <w:b w:val="0"/>
                <w:i w:val="0"/>
                <w:color w:val="101828"/>
                <w:sz w:val="14"/>
              </w:rPr>
              <w:t>1200 px maximum, 24 px gutter</w:t>
            </w:r>
          </w:p>
        </w:tc>
        <w:tc>
          <w:tcPr>
            <w:tcW w:type="dxa" w:w="1152"/>
            <w:tcMar>
              <w:top w:w="60" w:type="dxa"/>
              <w:start w:w="110" w:type="dxa"/>
              <w:bottom w:w="60" w:type="dxa"/>
              <w:end w:w="110" w:type="dxa"/>
            </w:tcMar>
          </w:tcPr>
          <w:p>
            <w:pPr>
              <w:spacing w:after="0"/>
            </w:pPr>
            <w:r/>
            <w:r>
              <w:rPr>
                <w:rFonts w:ascii="Calibri" w:hAnsi="Calibri"/>
                <w:b w:val="0"/>
                <w:i w:val="0"/>
                <w:color w:val="101828"/>
                <w:sz w:val="14"/>
              </w:rPr>
              <w:t>72 chars</w:t>
            </w:r>
          </w:p>
        </w:tc>
        <w:tc>
          <w:tcPr>
            <w:tcW w:type="dxa" w:w="4234"/>
            <w:tcMar>
              <w:top w:w="60" w:type="dxa"/>
              <w:start w:w="110" w:type="dxa"/>
              <w:bottom w:w="60" w:type="dxa"/>
              <w:end w:w="110" w:type="dxa"/>
            </w:tcMar>
          </w:tcPr>
          <w:p>
            <w:pPr>
              <w:spacing w:after="0"/>
            </w:pPr>
            <w:r/>
            <w:r>
              <w:rPr>
                <w:rFonts w:ascii="Calibri" w:hAnsi="Calibri"/>
                <w:b w:val="0"/>
                <w:i w:val="0"/>
                <w:color w:val="101828"/>
                <w:sz w:val="14"/>
              </w:rPr>
              <w:t>Every screen in this section.</w:t>
            </w:r>
          </w:p>
        </w:tc>
      </w:tr>
    </w:tbl>
    <w:p>
      <w:pPr>
        <w:spacing w:after="80"/>
      </w:pPr>
    </w:p>
    <w:p>
      <w:pPr>
        <w:pStyle w:val="Heading3"/>
      </w:pPr>
      <w:r>
        <w:rPr>
          <w:rFonts w:ascii="Calibri" w:hAnsi="Calibri"/>
          <w:b/>
          <w:i w:val="0"/>
          <w:color w:val="0B1F3A"/>
          <w:sz w:val="24"/>
        </w:rPr>
        <w:t>6.2.1 Admin console frames</w:t>
      </w:r>
    </w:p>
    <w:p>
      <w:pPr>
        <w:spacing w:before="140" w:after="180"/>
        <w:ind w:left="144"/>
        <w:shd w:val="clear" w:color="auto" w:fill="E0F2FE"/>
        <w:pBdr>
          <w:left w:val="single" w:sz="18" w:space="6" w:color="22C7D6"/>
        </w:pBdr>
      </w:pPr>
      <w:r>
        <w:rPr>
          <w:rFonts w:ascii="Calibri" w:hAnsi="Calibri"/>
          <w:b/>
          <w:color w:val="22C7D6"/>
          <w:sz w:val="19"/>
        </w:rPr>
        <w:t xml:space="preserve">The admin console is not designed below 1024 px  </w:t>
      </w:r>
      <w:r>
        <w:rPr>
          <w:rFonts w:ascii="Calibri" w:hAnsi="Calibri"/>
          <w:b w:val="0"/>
          <w:i w:val="0"/>
          <w:color w:val="0B1F3A"/>
          <w:sz w:val="19"/>
        </w:rPr>
        <w:t xml:space="preserve">The three admin screens in this section (6.30 to 6.33) are drawn at 768 px and 1440 px, and </w:t>
      </w:r>
      <w:r>
        <w:rPr>
          <w:rFonts w:ascii="Calibri" w:hAnsi="Calibri"/>
          <w:b/>
          <w:color w:val="0B1F3A"/>
          <w:sz w:val="19"/>
        </w:rPr>
        <w:t>no mobile frame is specified for them.</w:t>
      </w:r>
      <w:r>
        <w:rPr>
          <w:rFonts w:ascii="Calibri" w:hAnsi="Calibri"/>
          <w:b w:val="0"/>
          <w:i w:val="0"/>
          <w:color w:val="0B1F3A"/>
          <w:sz w:val="19"/>
        </w:rPr>
        <w:t xml:space="preserve"> The reason is structural, not stylistic: a risk decision or a dispute decision is made by comparing a member's record against an Ajo's record and a ledger posting, and making that comparison on a 375 px screen is a safety problem rather than a layout problem. The console therefore renders a </w:t>
      </w:r>
      <w:r>
        <w:rPr>
          <w:rFonts w:ascii="Calibri" w:hAnsi="Calibri"/>
          <w:i/>
          <w:color w:val="0B1F3A"/>
          <w:sz w:val="19"/>
        </w:rPr>
        <w:t>device not supported</w:t>
      </w:r>
      <w:r>
        <w:rPr>
          <w:rFonts w:ascii="Calibri" w:hAnsi="Calibri"/>
          <w:b w:val="0"/>
          <w:i w:val="0"/>
          <w:color w:val="0B1F3A"/>
          <w:sz w:val="19"/>
        </w:rPr>
        <w:t xml:space="preserve"> page below 1024 px, which is a </w:t>
      </w:r>
      <w:r>
        <w:rPr>
          <w:rFonts w:ascii="Consolas" w:hAnsi="Consolas"/>
          <w:color w:val="146EF5"/>
          <w:sz w:val="19"/>
        </w:rPr>
        <w:t>P1</w:t>
      </w:r>
      <w:r>
        <w:rPr>
          <w:rFonts w:ascii="Calibri" w:hAnsi="Calibri"/>
          <w:b w:val="0"/>
          <w:i w:val="0"/>
          <w:color w:val="0B1F3A"/>
          <w:sz w:val="19"/>
        </w:rPr>
        <w:t xml:space="preserve"> region on every admin screen. </w:t>
      </w:r>
      <w:r>
        <w:rPr>
          <w:rFonts w:ascii="Calibri" w:hAnsi="Calibri"/>
          <w:b/>
          <w:color w:val="0B1F3A"/>
          <w:sz w:val="19"/>
        </w:rPr>
        <w:t>Owner: Founders. Revisit only if support is staffed from a phone-first region, which is a staffing decision, not a design one.</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Breakpoint</w:t>
            </w:r>
          </w:p>
        </w:tc>
        <w:tc>
          <w:tcPr>
            <w:tcW w:type="dxa" w:w="5947"/>
            <w:shd w:val="clear" w:color="auto" w:fill="0B1F3A"/>
            <w:tcMar>
              <w:top w:w="60" w:type="dxa"/>
              <w:start w:w="110" w:type="dxa"/>
              <w:bottom w:w="60" w:type="dxa"/>
              <w:end w:w="110" w:type="dxa"/>
            </w:tcMar>
          </w:tcPr>
          <w:p>
            <w:pPr>
              <w:spacing w:after="0"/>
            </w:pPr>
            <w:r/>
            <w:r>
              <w:rPr>
                <w:rFonts w:ascii="Calibri" w:hAnsi="Calibri"/>
                <w:b/>
                <w:i w:val="0"/>
                <w:color w:val="FFFFFF"/>
                <w:sz w:val="14"/>
              </w:rPr>
              <w:t>Layout</w:t>
            </w:r>
          </w:p>
        </w:tc>
        <w:tc>
          <w:tcPr>
            <w:tcW w:type="dxa" w:w="1757"/>
            <w:shd w:val="clear" w:color="auto" w:fill="0B1F3A"/>
            <w:tcMar>
              <w:top w:w="60" w:type="dxa"/>
              <w:start w:w="110" w:type="dxa"/>
              <w:bottom w:w="60" w:type="dxa"/>
              <w:end w:w="110" w:type="dxa"/>
            </w:tcMar>
          </w:tcPr>
          <w:p>
            <w:pPr>
              <w:spacing w:after="0"/>
            </w:pPr>
            <w:r/>
            <w:r>
              <w:rPr>
                <w:rFonts w:ascii="Calibri" w:hAnsi="Calibri"/>
                <w:b/>
                <w:i w:val="0"/>
                <w:color w:val="FFFFFF"/>
                <w:sz w:val="14"/>
              </w:rPr>
              <w:t>Rule</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Below 768 px</w:t>
            </w:r>
          </w:p>
        </w:tc>
        <w:tc>
          <w:tcPr>
            <w:tcW w:type="dxa" w:w="5947"/>
            <w:tcMar>
              <w:top w:w="60" w:type="dxa"/>
              <w:start w:w="110" w:type="dxa"/>
              <w:bottom w:w="60" w:type="dxa"/>
              <w:end w:w="110" w:type="dxa"/>
            </w:tcMar>
          </w:tcPr>
          <w:p>
            <w:pPr>
              <w:spacing w:after="0"/>
            </w:pPr>
            <w:r/>
            <w:r>
              <w:rPr>
                <w:rFonts w:ascii="Calibri" w:hAnsi="Calibri"/>
                <w:b w:val="0"/>
                <w:i w:val="0"/>
                <w:color w:val="101828"/>
                <w:sz w:val="14"/>
              </w:rPr>
              <w:t>Single column; bottom bar in tier 2, stacked nav in tier 1</w:t>
            </w:r>
          </w:p>
        </w:tc>
        <w:tc>
          <w:tcPr>
            <w:tcW w:type="dxa" w:w="1757"/>
            <w:tcMar>
              <w:top w:w="60" w:type="dxa"/>
              <w:start w:w="110" w:type="dxa"/>
              <w:bottom w:w="60" w:type="dxa"/>
              <w:end w:w="110" w:type="dxa"/>
            </w:tcMar>
          </w:tcPr>
          <w:p>
            <w:pPr>
              <w:spacing w:after="0"/>
            </w:pPr>
            <w:r/>
            <w:r>
              <w:rPr>
                <w:rFonts w:ascii="Calibri" w:hAnsi="Calibri"/>
                <w:b w:val="0"/>
                <w:i w:val="0"/>
                <w:color w:val="101828"/>
                <w:sz w:val="14"/>
              </w:rPr>
              <w:t>Baseline.</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768–1023 px</w:t>
            </w:r>
          </w:p>
        </w:tc>
        <w:tc>
          <w:tcPr>
            <w:tcW w:type="dxa" w:w="5947"/>
            <w:tcMar>
              <w:top w:w="60" w:type="dxa"/>
              <w:start w:w="110" w:type="dxa"/>
              <w:bottom w:w="60" w:type="dxa"/>
              <w:end w:w="110" w:type="dxa"/>
            </w:tcMar>
            <w:shd w:val="clear" w:color="auto" w:fill="F4F7FB"/>
          </w:tcPr>
          <w:p>
            <w:pPr>
              <w:spacing w:after="0"/>
            </w:pPr>
            <w:r/>
            <w:r>
              <w:rPr>
                <w:rFonts w:ascii="Calibri" w:hAnsi="Calibri"/>
                <w:b w:val="0"/>
                <w:i w:val="0"/>
                <w:color w:val="101828"/>
                <w:sz w:val="14"/>
              </w:rPr>
              <w:t>72 px icon rail, single content column, reduced table padding</w:t>
            </w:r>
          </w:p>
        </w:tc>
        <w:tc>
          <w:tcPr>
            <w:tcW w:type="dxa" w:w="1757"/>
            <w:tcMar>
              <w:top w:w="60" w:type="dxa"/>
              <w:start w:w="110" w:type="dxa"/>
              <w:bottom w:w="60" w:type="dxa"/>
              <w:end w:w="110" w:type="dxa"/>
            </w:tcMar>
            <w:shd w:val="clear" w:color="auto" w:fill="F4F7FB"/>
          </w:tcPr>
          <w:p>
            <w:pPr>
              <w:spacing w:after="0"/>
            </w:pPr>
            <w:r/>
            <w:r>
              <w:rPr>
                <w:rFonts w:ascii="Calibri" w:hAnsi="Calibri"/>
                <w:b w:val="0"/>
                <w:i w:val="0"/>
                <w:color w:val="101828"/>
                <w:sz w:val="14"/>
              </w:rPr>
              <w:t>The tablet frame.</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1024–1439 px</w:t>
            </w:r>
          </w:p>
        </w:tc>
        <w:tc>
          <w:tcPr>
            <w:tcW w:type="dxa" w:w="5947"/>
            <w:tcMar>
              <w:top w:w="60" w:type="dxa"/>
              <w:start w:w="110" w:type="dxa"/>
              <w:bottom w:w="60" w:type="dxa"/>
              <w:end w:w="110" w:type="dxa"/>
            </w:tcMar>
          </w:tcPr>
          <w:p>
            <w:pPr>
              <w:spacing w:after="0"/>
            </w:pPr>
            <w:r/>
            <w:r>
              <w:rPr>
                <w:rFonts w:ascii="Calibri" w:hAnsi="Calibri"/>
                <w:b w:val="0"/>
                <w:i w:val="0"/>
                <w:color w:val="101828"/>
                <w:sz w:val="14"/>
              </w:rPr>
              <w:t>240 px rail, two-column content where shown</w:t>
            </w:r>
          </w:p>
        </w:tc>
        <w:tc>
          <w:tcPr>
            <w:tcW w:type="dxa" w:w="1757"/>
            <w:tcMar>
              <w:top w:w="60" w:type="dxa"/>
              <w:start w:w="110" w:type="dxa"/>
              <w:bottom w:w="60" w:type="dxa"/>
              <w:end w:w="110" w:type="dxa"/>
            </w:tcMar>
          </w:tcPr>
          <w:p>
            <w:pPr>
              <w:spacing w:after="0"/>
            </w:pPr>
            <w:r/>
            <w:r>
              <w:rPr>
                <w:rFonts w:ascii="Calibri" w:hAnsi="Calibri"/>
                <w:b w:val="0"/>
                <w:i w:val="0"/>
                <w:color w:val="101828"/>
                <w:sz w:val="14"/>
              </w:rPr>
              <w:t>Desktop begins.</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1440 px and above</w:t>
            </w:r>
          </w:p>
        </w:tc>
        <w:tc>
          <w:tcPr>
            <w:tcW w:type="dxa" w:w="5947"/>
            <w:tcMar>
              <w:top w:w="60" w:type="dxa"/>
              <w:start w:w="110" w:type="dxa"/>
              <w:bottom w:w="60" w:type="dxa"/>
              <w:end w:w="110" w:type="dxa"/>
            </w:tcMar>
            <w:shd w:val="clear" w:color="auto" w:fill="F4F7FB"/>
          </w:tcPr>
          <w:p>
            <w:pPr>
              <w:spacing w:after="0"/>
            </w:pPr>
            <w:r/>
            <w:r>
              <w:rPr>
                <w:rFonts w:ascii="Calibri" w:hAnsi="Calibri"/>
                <w:b w:val="0"/>
                <w:i w:val="0"/>
                <w:color w:val="101828"/>
                <w:sz w:val="14"/>
              </w:rPr>
              <w:t>1200 px content column, centred</w:t>
            </w:r>
          </w:p>
        </w:tc>
        <w:tc>
          <w:tcPr>
            <w:tcW w:type="dxa" w:w="1757"/>
            <w:tcMar>
              <w:top w:w="60" w:type="dxa"/>
              <w:start w:w="110" w:type="dxa"/>
              <w:bottom w:w="60" w:type="dxa"/>
              <w:end w:w="110" w:type="dxa"/>
            </w:tcMar>
            <w:shd w:val="clear" w:color="auto" w:fill="F4F7FB"/>
          </w:tcPr>
          <w:p>
            <w:pPr>
              <w:spacing w:after="0"/>
            </w:pPr>
            <w:r/>
            <w:r>
              <w:rPr>
                <w:rFonts w:ascii="Calibri" w:hAnsi="Calibri"/>
                <w:b w:val="0"/>
                <w:i w:val="0"/>
                <w:color w:val="101828"/>
                <w:sz w:val="14"/>
              </w:rPr>
              <w:t>The desktop frame.</w:t>
            </w:r>
          </w:p>
        </w:tc>
      </w:tr>
    </w:tbl>
    <w:p>
      <w:pPr>
        <w:spacing w:after="80"/>
      </w:pPr>
    </w:p>
    <w:p>
      <w:r>
        <w:br w:type="page"/>
      </w:r>
    </w:p>
    <w:p>
      <w:pPr>
        <w:pStyle w:val="Heading2"/>
      </w:pPr>
      <w:r>
        <w:rPr>
          <w:rFonts w:ascii="Calibri" w:hAnsi="Calibri"/>
          <w:b/>
          <w:i w:val="0"/>
          <w:color w:val="146EF5"/>
          <w:sz w:val="29"/>
        </w:rPr>
        <w:t>6.3 Home (marketing) — SCR-WEB-01</w:t>
      </w:r>
    </w:p>
    <w:p>
      <w:r>
        <w:rPr>
          <w:rFonts w:ascii="Calibri" w:hAnsi="Calibri"/>
          <w:b w:val="0"/>
          <w:i w:val="0"/>
          <w:color w:val="101828"/>
          <w:sz w:val="21"/>
        </w:rPr>
        <w:t>The page a first-time visitor sees, and the only page in the product that has to win a stranger's trust in about eight seconds. Its job is to explain the Ajo in plain Nigerian English, disclose the 2% fee above the fold in a form that cannot be skimmed past, and hand the visitor one obvious next step. It is also the only page with a real SEO job.</w:t>
      </w:r>
    </w:p>
    <w:p>
      <w:pPr>
        <w:pStyle w:val="Heading3"/>
      </w:pPr>
      <w:r>
        <w:rPr>
          <w:rFonts w:ascii="Calibri" w:hAnsi="Calibri"/>
          <w:b/>
          <w:i w:val="0"/>
          <w:color w:val="0B1F3A"/>
          <w:sz w:val="24"/>
        </w:rPr>
        <w:t>6.3.1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AJO.ng           Sign in  [=]            |</w:t>
      </w:r>
    </w:p>
    <w:p>
      <w:pPr>
        <w:spacing w:before="0" w:after="0" w:line="240" w:lineRule="auto"/>
        <w:ind w:left="230"/>
        <w:shd w:val="clear" w:color="auto" w:fill="F7F9FC"/>
        <w:pBdr>
          <w:left w:val="single" w:sz="4" w:space="6" w:color="D0D5DD"/>
        </w:pBdr>
      </w:pPr>
      <w:r>
        <w:rPr>
          <w:rFonts w:ascii="Consolas" w:hAnsi="Consolas"/>
          <w:color w:val="0B1F3A"/>
          <w:sz w:val="16"/>
        </w:rPr>
        <w:t>+-- (2) HERO ------------------------------+</w:t>
      </w:r>
    </w:p>
    <w:p>
      <w:pPr>
        <w:spacing w:before="0" w:after="0" w:line="240" w:lineRule="auto"/>
        <w:ind w:left="230"/>
        <w:shd w:val="clear" w:color="auto" w:fill="F7F9FC"/>
        <w:pBdr>
          <w:left w:val="single" w:sz="4" w:space="6" w:color="D0D5DD"/>
        </w:pBdr>
      </w:pPr>
      <w:r>
        <w:rPr>
          <w:rFonts w:ascii="Consolas" w:hAnsi="Consolas"/>
          <w:color w:val="0B1F3A"/>
          <w:sz w:val="16"/>
        </w:rPr>
        <w:t>|      Your Ajo. Your Story.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The rotating savings                     |</w:t>
      </w:r>
    </w:p>
    <w:p>
      <w:pPr>
        <w:spacing w:before="0" w:after="0" w:line="240" w:lineRule="auto"/>
        <w:ind w:left="230"/>
        <w:shd w:val="clear" w:color="auto" w:fill="F7F9FC"/>
        <w:pBdr>
          <w:left w:val="single" w:sz="4" w:space="6" w:color="D0D5DD"/>
        </w:pBdr>
      </w:pPr>
      <w:r>
        <w:rPr>
          <w:rFonts w:ascii="Consolas" w:hAnsi="Consolas"/>
          <w:color w:val="0B1F3A"/>
          <w:sz w:val="16"/>
        </w:rPr>
        <w:t>| scheme you already                       |</w:t>
      </w:r>
    </w:p>
    <w:p>
      <w:pPr>
        <w:spacing w:before="0" w:after="0" w:line="240" w:lineRule="auto"/>
        <w:ind w:left="230"/>
        <w:shd w:val="clear" w:color="auto" w:fill="F7F9FC"/>
        <w:pBdr>
          <w:left w:val="single" w:sz="4" w:space="6" w:color="D0D5DD"/>
        </w:pBdr>
      </w:pPr>
      <w:r>
        <w:rPr>
          <w:rFonts w:ascii="Consolas" w:hAnsi="Consolas"/>
          <w:color w:val="0B1F3A"/>
          <w:sz w:val="16"/>
        </w:rPr>
        <w:t>| understand, with the                     |</w:t>
      </w:r>
    </w:p>
    <w:p>
      <w:pPr>
        <w:spacing w:before="0" w:after="0" w:line="240" w:lineRule="auto"/>
        <w:ind w:left="230"/>
        <w:shd w:val="clear" w:color="auto" w:fill="F7F9FC"/>
        <w:pBdr>
          <w:left w:val="single" w:sz="4" w:space="6" w:color="D0D5DD"/>
        </w:pBdr>
      </w:pPr>
      <w:r>
        <w:rPr>
          <w:rFonts w:ascii="Consolas" w:hAnsi="Consolas"/>
          <w:color w:val="0B1F3A"/>
          <w:sz w:val="16"/>
        </w:rPr>
        <w:t>| admin done properly.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Create free account }*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&lt; See how it works &gt;                     |</w:t>
      </w:r>
    </w:p>
    <w:p>
      <w:pPr>
        <w:spacing w:before="0" w:after="0" w:line="240" w:lineRule="auto"/>
        <w:ind w:left="230"/>
        <w:shd w:val="clear" w:color="auto" w:fill="F7F9FC"/>
        <w:pBdr>
          <w:left w:val="single" w:sz="4" w:space="6" w:color="D0D5DD"/>
        </w:pBdr>
      </w:pPr>
      <w:r>
        <w:rPr>
          <w:rFonts w:ascii="Consolas" w:hAnsi="Consolas"/>
          <w:color w:val="0B1F3A"/>
          <w:sz w:val="16"/>
        </w:rPr>
        <w:t>+-- (3) FEE CARD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Every NGN 1,000.00 you pay        |   |</w:t>
      </w:r>
    </w:p>
    <w:p>
      <w:pPr>
        <w:spacing w:before="0" w:after="0" w:line="240" w:lineRule="auto"/>
        <w:ind w:left="230"/>
        <w:shd w:val="clear" w:color="auto" w:fill="F7F9FC"/>
        <w:pBdr>
          <w:left w:val="single" w:sz="4" w:space="6" w:color="D0D5DD"/>
        </w:pBdr>
      </w:pPr>
      <w:r>
        <w:rPr>
          <w:rFonts w:ascii="Consolas" w:hAnsi="Consolas"/>
          <w:color w:val="0B1F3A"/>
          <w:sz w:val="16"/>
        </w:rPr>
        <w:t>| |  carries a NGN 20.00 AJO.ng fee,   |   |</w:t>
      </w:r>
    </w:p>
    <w:p>
      <w:pPr>
        <w:spacing w:before="0" w:after="0" w:line="240" w:lineRule="auto"/>
        <w:ind w:left="230"/>
        <w:shd w:val="clear" w:color="auto" w:fill="F7F9FC"/>
        <w:pBdr>
          <w:left w:val="single" w:sz="4" w:space="6" w:color="D0D5DD"/>
        </w:pBdr>
      </w:pPr>
      <w:r>
        <w:rPr>
          <w:rFonts w:ascii="Consolas" w:hAnsi="Consolas"/>
          <w:color w:val="0B1F3A"/>
          <w:sz w:val="16"/>
        </w:rPr>
        <w:t>| |  so NGN 1,020.00 leaves your       |   |</w:t>
      </w:r>
    </w:p>
    <w:p>
      <w:pPr>
        <w:spacing w:before="0" w:after="0" w:line="240" w:lineRule="auto"/>
        <w:ind w:left="230"/>
        <w:shd w:val="clear" w:color="auto" w:fill="F7F9FC"/>
        <w:pBdr>
          <w:left w:val="single" w:sz="4" w:space="6" w:color="D0D5DD"/>
        </w:pBdr>
      </w:pPr>
      <w:r>
        <w:rPr>
          <w:rFonts w:ascii="Consolas" w:hAnsi="Consolas"/>
          <w:color w:val="0B1F3A"/>
          <w:sz w:val="16"/>
        </w:rPr>
        <w:t>| |  account. At your turn you         |   |</w:t>
      </w:r>
    </w:p>
    <w:p>
      <w:pPr>
        <w:spacing w:before="0" w:after="0" w:line="240" w:lineRule="auto"/>
        <w:ind w:left="230"/>
        <w:shd w:val="clear" w:color="auto" w:fill="F7F9FC"/>
        <w:pBdr>
          <w:left w:val="single" w:sz="4" w:space="6" w:color="D0D5DD"/>
        </w:pBdr>
      </w:pPr>
      <w:r>
        <w:rPr>
          <w:rFonts w:ascii="Consolas" w:hAnsi="Consolas"/>
          <w:color w:val="0B1F3A"/>
          <w:sz w:val="16"/>
        </w:rPr>
        <w:t>| |  receive NGN 10,000.00. The fee    |   |</w:t>
      </w:r>
    </w:p>
    <w:p>
      <w:pPr>
        <w:spacing w:before="0" w:after="0" w:line="240" w:lineRule="auto"/>
        <w:ind w:left="230"/>
        <w:shd w:val="clear" w:color="auto" w:fill="F7F9FC"/>
        <w:pBdr>
          <w:left w:val="single" w:sz="4" w:space="6" w:color="D0D5DD"/>
        </w:pBdr>
      </w:pPr>
      <w:r>
        <w:rPr>
          <w:rFonts w:ascii="Consolas" w:hAnsi="Consolas"/>
          <w:color w:val="0B1F3A"/>
          <w:sz w:val="16"/>
        </w:rPr>
        <w:t>| |  is never taken out of it.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(4) HOW IT WORKS ----------------------+</w:t>
      </w:r>
    </w:p>
    <w:p>
      <w:pPr>
        <w:spacing w:before="0" w:after="0" w:line="240" w:lineRule="auto"/>
        <w:ind w:left="230"/>
        <w:shd w:val="clear" w:color="auto" w:fill="F7F9FC"/>
        <w:pBdr>
          <w:left w:val="single" w:sz="4" w:space="6" w:color="D0D5DD"/>
        </w:pBdr>
      </w:pPr>
      <w:r>
        <w:rPr>
          <w:rFonts w:ascii="Consolas" w:hAnsi="Consolas"/>
          <w:color w:val="0B1F3A"/>
          <w:sz w:val="16"/>
        </w:rPr>
        <w:t>| 1 Gather   2 Save   3 Take your turn     |</w:t>
      </w:r>
    </w:p>
    <w:p>
      <w:pPr>
        <w:spacing w:before="0" w:after="0" w:line="240" w:lineRule="auto"/>
        <w:ind w:left="230"/>
        <w:shd w:val="clear" w:color="auto" w:fill="F7F9FC"/>
        <w:pBdr>
          <w:left w:val="single" w:sz="4" w:space="6" w:color="D0D5DD"/>
        </w:pBdr>
      </w:pPr>
      <w:r>
        <w:rPr>
          <w:rFonts w:ascii="Consolas" w:hAnsi="Consolas"/>
          <w:color w:val="0B1F3A"/>
          <w:sz w:val="16"/>
        </w:rPr>
        <w:t>+-- (5) SAFETY BAND -----------------------+</w:t>
      </w:r>
    </w:p>
    <w:p>
      <w:pPr>
        <w:spacing w:before="0" w:after="0" w:line="240" w:lineRule="auto"/>
        <w:ind w:left="230"/>
        <w:shd w:val="clear" w:color="auto" w:fill="F7F9FC"/>
        <w:pBdr>
          <w:left w:val="single" w:sz="4" w:space="6" w:color="D0D5DD"/>
        </w:pBdr>
      </w:pPr>
      <w:r>
        <w:rPr>
          <w:rFonts w:ascii="Consolas" w:hAnsi="Consolas"/>
          <w:color w:val="0B1F3A"/>
          <w:sz w:val="16"/>
        </w:rPr>
        <w:t>|   ! Payout positions lock the day        |</w:t>
      </w:r>
    </w:p>
    <w:p>
      <w:pPr>
        <w:spacing w:before="0" w:after="0" w:line="240" w:lineRule="auto"/>
        <w:ind w:left="230"/>
        <w:shd w:val="clear" w:color="auto" w:fill="F7F9FC"/>
        <w:pBdr>
          <w:left w:val="single" w:sz="4" w:space="6" w:color="D0D5DD"/>
        </w:pBdr>
      </w:pPr>
      <w:r>
        <w:rPr>
          <w:rFonts w:ascii="Consolas" w:hAnsi="Consolas"/>
          <w:color w:val="0B1F3A"/>
          <w:sz w:val="16"/>
        </w:rPr>
        <w:t>|     the Ajo activates. AJO.ng never      |</w:t>
      </w:r>
    </w:p>
    <w:p>
      <w:pPr>
        <w:spacing w:before="0" w:after="0" w:line="240" w:lineRule="auto"/>
        <w:ind w:left="230"/>
        <w:shd w:val="clear" w:color="auto" w:fill="F7F9FC"/>
        <w:pBdr>
          <w:left w:val="single" w:sz="4" w:space="6" w:color="D0D5DD"/>
        </w:pBdr>
      </w:pPr>
      <w:r>
        <w:rPr>
          <w:rFonts w:ascii="Consolas" w:hAnsi="Consolas"/>
          <w:color w:val="0B1F3A"/>
          <w:sz w:val="16"/>
        </w:rPr>
        <w:t>|     charges other members for a          |</w:t>
      </w:r>
    </w:p>
    <w:p>
      <w:pPr>
        <w:spacing w:before="0" w:after="0" w:line="240" w:lineRule="auto"/>
        <w:ind w:left="230"/>
        <w:shd w:val="clear" w:color="auto" w:fill="F7F9FC"/>
        <w:pBdr>
          <w:left w:val="single" w:sz="4" w:space="6" w:color="D0D5DD"/>
        </w:pBdr>
      </w:pPr>
      <w:r>
        <w:rPr>
          <w:rFonts w:ascii="Consolas" w:hAnsi="Consolas"/>
          <w:color w:val="0B1F3A"/>
          <w:sz w:val="16"/>
        </w:rPr>
        <w:t>|     missed payment, and never names      |</w:t>
      </w:r>
    </w:p>
    <w:p>
      <w:pPr>
        <w:spacing w:before="0" w:after="0" w:line="240" w:lineRule="auto"/>
        <w:ind w:left="230"/>
        <w:shd w:val="clear" w:color="auto" w:fill="F7F9FC"/>
        <w:pBdr>
          <w:left w:val="single" w:sz="4" w:space="6" w:color="D0D5DD"/>
        </w:pBdr>
      </w:pPr>
      <w:r>
        <w:rPr>
          <w:rFonts w:ascii="Consolas" w:hAnsi="Consolas"/>
          <w:color w:val="0B1F3A"/>
          <w:sz w:val="16"/>
        </w:rPr>
        <w:t>|     a member who defaults.               |</w:t>
      </w:r>
    </w:p>
    <w:p>
      <w:pPr>
        <w:spacing w:before="0" w:after="0" w:line="240" w:lineRule="auto"/>
        <w:ind w:left="230"/>
        <w:shd w:val="clear" w:color="auto" w:fill="F7F9FC"/>
        <w:pBdr>
          <w:left w:val="single" w:sz="4" w:space="6" w:color="D0D5DD"/>
        </w:pBdr>
      </w:pPr>
      <w:r>
        <w:rPr>
          <w:rFonts w:ascii="Consolas" w:hAnsi="Consolas"/>
          <w:color w:val="0B1F3A"/>
          <w:sz w:val="16"/>
        </w:rPr>
        <w:t>+-- (6) CTA STRIP -------------------------+</w:t>
      </w:r>
    </w:p>
    <w:p>
      <w:pPr>
        <w:spacing w:before="0" w:after="0" w:line="240" w:lineRule="auto"/>
        <w:ind w:left="230"/>
        <w:shd w:val="clear" w:color="auto" w:fill="F7F9FC"/>
        <w:pBdr>
          <w:left w:val="single" w:sz="4" w:space="6" w:color="D0D5DD"/>
        </w:pBdr>
      </w:pPr>
      <w:r>
        <w:rPr>
          <w:rFonts w:ascii="Consolas" w:hAnsi="Consolas"/>
          <w:color w:val="0B1F3A"/>
          <w:sz w:val="16"/>
        </w:rPr>
        <w:t>| { Create free account }*                 |</w:t>
      </w:r>
    </w:p>
    <w:p>
      <w:pPr>
        <w:spacing w:before="0" w:after="0" w:line="240" w:lineRule="auto"/>
        <w:ind w:left="230"/>
        <w:shd w:val="clear" w:color="auto" w:fill="F7F9FC"/>
        <w:pBdr>
          <w:left w:val="single" w:sz="4" w:space="6" w:color="D0D5DD"/>
        </w:pBdr>
      </w:pPr>
      <w:r>
        <w:rPr>
          <w:rFonts w:ascii="Consolas" w:hAnsi="Consolas"/>
          <w:color w:val="0B1F3A"/>
          <w:sz w:val="16"/>
        </w:rPr>
        <w:t>| { Join with an invite code }             |</w:t>
      </w:r>
    </w:p>
    <w:p>
      <w:pPr>
        <w:spacing w:before="0" w:after="0" w:line="240" w:lineRule="auto"/>
        <w:ind w:left="230"/>
        <w:shd w:val="clear" w:color="auto" w:fill="F7F9FC"/>
        <w:pBdr>
          <w:left w:val="single" w:sz="4" w:space="6" w:color="D0D5DD"/>
        </w:pBdr>
      </w:pPr>
      <w:r>
        <w:rPr>
          <w:rFonts w:ascii="Consolas" w:hAnsi="Consolas"/>
          <w:color w:val="0B1F3A"/>
          <w:sz w:val="16"/>
        </w:rPr>
        <w:t>+-- (7) FOOTER ----------------------------+</w:t>
      </w:r>
    </w:p>
    <w:p>
      <w:pPr>
        <w:spacing w:before="0" w:after="0" w:line="240" w:lineRule="auto"/>
        <w:ind w:left="230"/>
        <w:shd w:val="clear" w:color="auto" w:fill="F7F9FC"/>
        <w:pBdr>
          <w:left w:val="single" w:sz="4" w:space="6" w:color="D0D5DD"/>
        </w:pBdr>
      </w:pPr>
      <w:r>
        <w:rPr>
          <w:rFonts w:ascii="Consolas" w:hAnsi="Consolas"/>
          <w:color w:val="0B1F3A"/>
          <w:sz w:val="16"/>
        </w:rPr>
        <w:t>| Fees  Safety  FAQ  About  Contact        |</w:t>
      </w:r>
    </w:p>
    <w:p>
      <w:pPr>
        <w:spacing w:before="0" w:after="0" w:line="240" w:lineRule="auto"/>
        <w:ind w:left="230"/>
        <w:shd w:val="clear" w:color="auto" w:fill="F7F9FC"/>
        <w:pBdr>
          <w:left w:val="single" w:sz="4" w:space="6" w:color="D0D5DD"/>
        </w:pBdr>
      </w:pPr>
      <w:r>
        <w:rPr>
          <w:rFonts w:ascii="Consolas" w:hAnsi="Consolas"/>
          <w:color w:val="0B1F3A"/>
          <w:sz w:val="16"/>
        </w:rPr>
        <w:t>| Terms  Privacy                           |</w:t>
      </w:r>
    </w:p>
    <w:p>
      <w:pPr>
        <w:spacing w:before="0" w:after="0" w:line="240" w:lineRule="auto"/>
        <w:ind w:left="230"/>
        <w:shd w:val="clear" w:color="auto" w:fill="F7F9FC"/>
        <w:pBdr>
          <w:left w:val="single" w:sz="4" w:space="6" w:color="D0D5DD"/>
        </w:pBdr>
      </w:pPr>
      <w:r>
        <w:rPr>
          <w:rFonts w:ascii="Consolas" w:hAnsi="Consolas"/>
          <w:color w:val="0B1F3A"/>
          <w:sz w:val="16"/>
        </w:rPr>
        <w:t>| Your Ajo. Your Story.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TOP NAV -----------------------------------------------------------+</w:t>
      </w:r>
    </w:p>
    <w:p>
      <w:pPr>
        <w:spacing w:before="0" w:after="0" w:line="240" w:lineRule="auto"/>
        <w:ind w:left="230"/>
        <w:shd w:val="clear" w:color="auto" w:fill="F7F9FC"/>
        <w:pBdr>
          <w:left w:val="single" w:sz="4" w:space="6" w:color="D0D5DD"/>
        </w:pBdr>
      </w:pPr>
      <w:r>
        <w:rPr>
          <w:rFonts w:ascii="Consolas" w:hAnsi="Consolas"/>
          <w:color w:val="0B1F3A"/>
          <w:sz w:val="16"/>
        </w:rPr>
        <w:t>| AJO.ng   How it works  Features  Safety and trust  Fees                  |</w:t>
      </w:r>
    </w:p>
    <w:p>
      <w:pPr>
        <w:spacing w:before="0" w:after="0" w:line="240" w:lineRule="auto"/>
        <w:ind w:left="230"/>
        <w:shd w:val="clear" w:color="auto" w:fill="F7F9FC"/>
        <w:pBdr>
          <w:left w:val="single" w:sz="4" w:space="6" w:color="D0D5DD"/>
        </w:pBdr>
      </w:pPr>
      <w:r>
        <w:rPr>
          <w:rFonts w:ascii="Consolas" w:hAnsi="Consolas"/>
          <w:color w:val="0B1F3A"/>
          <w:sz w:val="16"/>
        </w:rPr>
        <w:t>|          About  FAQ  Contact        [Sign in]  [Create account]          |</w:t>
      </w:r>
    </w:p>
    <w:p>
      <w:pPr>
        <w:spacing w:before="0" w:after="0" w:line="240" w:lineRule="auto"/>
        <w:ind w:left="230"/>
        <w:shd w:val="clear" w:color="auto" w:fill="F7F9FC"/>
        <w:pBdr>
          <w:left w:val="single" w:sz="4" w:space="6" w:color="D0D5DD"/>
        </w:pBdr>
      </w:pPr>
      <w:r>
        <w:rPr>
          <w:rFonts w:ascii="Consolas" w:hAnsi="Consolas"/>
          <w:color w:val="0B1F3A"/>
          <w:sz w:val="16"/>
        </w:rPr>
        <w:t>+-- (2) HERO AND FEE TABLE ------------------------------------------------+</w:t>
      </w:r>
    </w:p>
    <w:p>
      <w:pPr>
        <w:spacing w:before="0" w:after="0" w:line="240" w:lineRule="auto"/>
        <w:ind w:left="230"/>
        <w:shd w:val="clear" w:color="auto" w:fill="F7F9FC"/>
        <w:pBdr>
          <w:left w:val="single" w:sz="4" w:space="6" w:color="D0D5DD"/>
        </w:pBdr>
      </w:pPr>
      <w:r>
        <w:rPr>
          <w:rFonts w:ascii="Consolas" w:hAnsi="Consolas"/>
          <w:color w:val="0B1F3A"/>
          <w:sz w:val="16"/>
        </w:rPr>
        <w:t>| Your Ajo. Your Story.         +------------------------------------+     |</w:t>
      </w:r>
    </w:p>
    <w:p>
      <w:pPr>
        <w:spacing w:before="0" w:after="0" w:line="240" w:lineRule="auto"/>
        <w:ind w:left="230"/>
        <w:shd w:val="clear" w:color="auto" w:fill="F7F9FC"/>
        <w:pBdr>
          <w:left w:val="single" w:sz="4" w:space="6" w:color="D0D5DD"/>
        </w:pBdr>
      </w:pPr>
      <w:r>
        <w:rPr>
          <w:rFonts w:ascii="Consolas" w:hAnsi="Consolas"/>
          <w:color w:val="0B1F3A"/>
          <w:sz w:val="16"/>
        </w:rPr>
        <w:t>|                               |  What you pay, and what you get    |     |</w:t>
      </w:r>
    </w:p>
    <w:p>
      <w:pPr>
        <w:spacing w:before="0" w:after="0" w:line="240" w:lineRule="auto"/>
        <w:ind w:left="230"/>
        <w:shd w:val="clear" w:color="auto" w:fill="F7F9FC"/>
        <w:pBdr>
          <w:left w:val="single" w:sz="4" w:space="6" w:color="D0D5DD"/>
        </w:pBdr>
      </w:pPr>
      <w:r>
        <w:rPr>
          <w:rFonts w:ascii="Consolas" w:hAnsi="Consolas"/>
          <w:color w:val="0B1F3A"/>
          <w:sz w:val="16"/>
        </w:rPr>
        <w:t>| The rotating savings scheme   |  --------------------------------  |     |</w:t>
      </w:r>
    </w:p>
    <w:p>
      <w:pPr>
        <w:spacing w:before="0" w:after="0" w:line="240" w:lineRule="auto"/>
        <w:ind w:left="230"/>
        <w:shd w:val="clear" w:color="auto" w:fill="F7F9FC"/>
        <w:pBdr>
          <w:left w:val="single" w:sz="4" w:space="6" w:color="D0D5DD"/>
        </w:pBdr>
      </w:pPr>
      <w:r>
        <w:rPr>
          <w:rFonts w:ascii="Consolas" w:hAnsi="Consolas"/>
          <w:color w:val="0B1F3A"/>
          <w:sz w:val="16"/>
        </w:rPr>
        <w:t>| you already understand, with  |  NGN 1,000.00  your contribution   |     |</w:t>
      </w:r>
    </w:p>
    <w:p>
      <w:pPr>
        <w:spacing w:before="0" w:after="0" w:line="240" w:lineRule="auto"/>
        <w:ind w:left="230"/>
        <w:shd w:val="clear" w:color="auto" w:fill="F7F9FC"/>
        <w:pBdr>
          <w:left w:val="single" w:sz="4" w:space="6" w:color="D0D5DD"/>
        </w:pBdr>
      </w:pPr>
      <w:r>
        <w:rPr>
          <w:rFonts w:ascii="Consolas" w:hAnsi="Consolas"/>
          <w:color w:val="0B1F3A"/>
          <w:sz w:val="16"/>
        </w:rPr>
        <w:t>| the admin done properly.      |  NGN    20.00  AJO.ng fee, 2%      |     |</w:t>
      </w:r>
    </w:p>
    <w:p>
      <w:pPr>
        <w:spacing w:before="0" w:after="0" w:line="240" w:lineRule="auto"/>
        <w:ind w:left="230"/>
        <w:shd w:val="clear" w:color="auto" w:fill="F7F9FC"/>
        <w:pBdr>
          <w:left w:val="single" w:sz="4" w:space="6" w:color="D0D5DD"/>
        </w:pBdr>
      </w:pPr>
      <w:r>
        <w:rPr>
          <w:rFonts w:ascii="Consolas" w:hAnsi="Consolas"/>
          <w:color w:val="0B1F3A"/>
          <w:sz w:val="16"/>
        </w:rPr>
        <w:t>|                               |  NGN 1,020.00  total charged       |     |</w:t>
      </w:r>
    </w:p>
    <w:p>
      <w:pPr>
        <w:spacing w:before="0" w:after="0" w:line="240" w:lineRule="auto"/>
        <w:ind w:left="230"/>
        <w:shd w:val="clear" w:color="auto" w:fill="F7F9FC"/>
        <w:pBdr>
          <w:left w:val="single" w:sz="4" w:space="6" w:color="D0D5DD"/>
        </w:pBdr>
      </w:pPr>
      <w:r>
        <w:rPr>
          <w:rFonts w:ascii="Consolas" w:hAnsi="Consolas"/>
          <w:color w:val="0B1F3A"/>
          <w:sz w:val="16"/>
        </w:rPr>
        <w:t>| { Create free account }*      |  --------------------------------  |     |</w:t>
      </w:r>
    </w:p>
    <w:p>
      <w:pPr>
        <w:spacing w:before="0" w:after="0" w:line="240" w:lineRule="auto"/>
        <w:ind w:left="230"/>
        <w:shd w:val="clear" w:color="auto" w:fill="F7F9FC"/>
        <w:pBdr>
          <w:left w:val="single" w:sz="4" w:space="6" w:color="D0D5DD"/>
        </w:pBdr>
      </w:pPr>
      <w:r>
        <w:rPr>
          <w:rFonts w:ascii="Consolas" w:hAnsi="Consolas"/>
          <w:color w:val="0B1F3A"/>
          <w:sz w:val="16"/>
        </w:rPr>
        <w:t>|                               |  NGN 10,000.00  base pool at turn  |     |</w:t>
      </w:r>
    </w:p>
    <w:p>
      <w:pPr>
        <w:spacing w:before="0" w:after="0" w:line="240" w:lineRule="auto"/>
        <w:ind w:left="230"/>
        <w:shd w:val="clear" w:color="auto" w:fill="F7F9FC"/>
        <w:pBdr>
          <w:left w:val="single" w:sz="4" w:space="6" w:color="D0D5DD"/>
        </w:pBdr>
      </w:pPr>
      <w:r>
        <w:rPr>
          <w:rFonts w:ascii="Consolas" w:hAnsi="Consolas"/>
          <w:color w:val="0B1F3A"/>
          <w:sz w:val="16"/>
        </w:rPr>
        <w:t>| &lt; See how it works &gt;          |  --------------------------------  |     |</w:t>
      </w:r>
    </w:p>
    <w:p>
      <w:pPr>
        <w:spacing w:before="0" w:after="0" w:line="240" w:lineRule="auto"/>
        <w:ind w:left="230"/>
        <w:shd w:val="clear" w:color="auto" w:fill="F7F9FC"/>
        <w:pBdr>
          <w:left w:val="single" w:sz="4" w:space="6" w:color="D0D5DD"/>
        </w:pBdr>
      </w:pPr>
      <w:r>
        <w:rPr>
          <w:rFonts w:ascii="Consolas" w:hAnsi="Consolas"/>
          <w:color w:val="0B1F3A"/>
          <w:sz w:val="16"/>
        </w:rPr>
        <w:t>|                               |  The fee is charged on top. It is  |     |</w:t>
      </w:r>
    </w:p>
    <w:p>
      <w:pPr>
        <w:spacing w:before="0" w:after="0" w:line="240" w:lineRule="auto"/>
        <w:ind w:left="230"/>
        <w:shd w:val="clear" w:color="auto" w:fill="F7F9FC"/>
        <w:pBdr>
          <w:left w:val="single" w:sz="4" w:space="6" w:color="D0D5DD"/>
        </w:pBdr>
      </w:pPr>
      <w:r>
        <w:rPr>
          <w:rFonts w:ascii="Consolas" w:hAnsi="Consolas"/>
          <w:color w:val="0B1F3A"/>
          <w:sz w:val="16"/>
        </w:rPr>
        <w:t>| The numbers on the right are  |  never taken out of a              |     |</w:t>
      </w:r>
    </w:p>
    <w:p>
      <w:pPr>
        <w:spacing w:before="0" w:after="0" w:line="240" w:lineRule="auto"/>
        <w:ind w:left="230"/>
        <w:shd w:val="clear" w:color="auto" w:fill="F7F9FC"/>
        <w:pBdr>
          <w:left w:val="single" w:sz="4" w:space="6" w:color="D0D5DD"/>
        </w:pBdr>
      </w:pPr>
      <w:r>
        <w:rPr>
          <w:rFonts w:ascii="Consolas" w:hAnsi="Consolas"/>
          <w:color w:val="0B1F3A"/>
          <w:sz w:val="16"/>
        </w:rPr>
        <w:t>| the numbers you will see on   |  contribution and it never         |     |</w:t>
      </w:r>
    </w:p>
    <w:p>
      <w:pPr>
        <w:spacing w:before="0" w:after="0" w:line="240" w:lineRule="auto"/>
        <w:ind w:left="230"/>
        <w:shd w:val="clear" w:color="auto" w:fill="F7F9FC"/>
        <w:pBdr>
          <w:left w:val="single" w:sz="4" w:space="6" w:color="D0D5DD"/>
        </w:pBdr>
      </w:pPr>
      <w:r>
        <w:rPr>
          <w:rFonts w:ascii="Consolas" w:hAnsi="Consolas"/>
          <w:color w:val="0B1F3A"/>
          <w:sz w:val="16"/>
        </w:rPr>
        <w:t>| every receipt you ever get.   |  reduces a payout.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(3) HOW IT WORKS, THREE ACROSS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1  GATHER             2  SAVE               3  TAKE YOUR TURN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Ten people agree a    Each member pays on   When the round is     |   |</w:t>
      </w:r>
    </w:p>
    <w:p>
      <w:pPr>
        <w:spacing w:before="0" w:after="0" w:line="240" w:lineRule="auto"/>
        <w:ind w:left="230"/>
        <w:shd w:val="clear" w:color="auto" w:fill="F7F9FC"/>
        <w:pBdr>
          <w:left w:val="single" w:sz="4" w:space="6" w:color="D0D5DD"/>
        </w:pBdr>
      </w:pPr>
      <w:r>
        <w:rPr>
          <w:rFonts w:ascii="Consolas" w:hAnsi="Consolas"/>
          <w:color w:val="0B1F3A"/>
          <w:sz w:val="16"/>
        </w:rPr>
        <w:t>| |  contribution and a    the due date. The     fully collected,      |   |</w:t>
      </w:r>
    </w:p>
    <w:p>
      <w:pPr>
        <w:spacing w:before="0" w:after="0" w:line="240" w:lineRule="auto"/>
        <w:ind w:left="230"/>
        <w:shd w:val="clear" w:color="auto" w:fill="F7F9FC"/>
        <w:pBdr>
          <w:left w:val="single" w:sz="4" w:space="6" w:color="D0D5DD"/>
        </w:pBdr>
      </w:pPr>
      <w:r>
        <w:rPr>
          <w:rFonts w:ascii="Consolas" w:hAnsi="Consolas"/>
          <w:color w:val="0B1F3A"/>
          <w:sz w:val="16"/>
        </w:rPr>
        <w:t>| |  schedule. Everyone    fee is NGN 20.00 on   whoever it is due to  |   |</w:t>
      </w:r>
    </w:p>
    <w:p>
      <w:pPr>
        <w:spacing w:before="0" w:after="0" w:line="240" w:lineRule="auto"/>
        <w:ind w:left="230"/>
        <w:shd w:val="clear" w:color="auto" w:fill="F7F9FC"/>
        <w:pBdr>
          <w:left w:val="single" w:sz="4" w:space="6" w:color="D0D5DD"/>
        </w:pBdr>
      </w:pPr>
      <w:r>
        <w:rPr>
          <w:rFonts w:ascii="Consolas" w:hAnsi="Consolas"/>
          <w:color w:val="0B1F3A"/>
          <w:sz w:val="16"/>
        </w:rPr>
        <w:t>| |  sees the same plan.   top of NGN 1,000.00.  is paid the base      |   |</w:t>
      </w:r>
    </w:p>
    <w:p>
      <w:pPr>
        <w:spacing w:before="0" w:after="0" w:line="240" w:lineRule="auto"/>
        <w:ind w:left="230"/>
        <w:shd w:val="clear" w:color="auto" w:fill="F7F9FC"/>
        <w:pBdr>
          <w:left w:val="single" w:sz="4" w:space="6" w:color="D0D5DD"/>
        </w:pBdr>
      </w:pPr>
      <w:r>
        <w:rPr>
          <w:rFonts w:ascii="Consolas" w:hAnsi="Consolas"/>
          <w:color w:val="0B1F3A"/>
          <w:sz w:val="16"/>
        </w:rPr>
        <w:t>| |                                              pool, NGN 10,000.00.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(4) SAFETY BAND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  Safety is the product, not a feature we added. Payout          |   |</w:t>
      </w:r>
    </w:p>
    <w:p>
      <w:pPr>
        <w:spacing w:before="0" w:after="0" w:line="240" w:lineRule="auto"/>
        <w:ind w:left="230"/>
        <w:shd w:val="clear" w:color="auto" w:fill="F7F9FC"/>
        <w:pBdr>
          <w:left w:val="single" w:sz="4" w:space="6" w:color="D0D5DD"/>
        </w:pBdr>
      </w:pPr>
      <w:r>
        <w:rPr>
          <w:rFonts w:ascii="Consolas" w:hAnsi="Consolas"/>
          <w:color w:val="0B1F3A"/>
          <w:sz w:val="16"/>
        </w:rPr>
        <w:t>| |     positions lock the moment the Ajo activates. A member who      |   |</w:t>
      </w:r>
    </w:p>
    <w:p>
      <w:pPr>
        <w:spacing w:before="0" w:after="0" w:line="240" w:lineRule="auto"/>
        <w:ind w:left="230"/>
        <w:shd w:val="clear" w:color="auto" w:fill="F7F9FC"/>
        <w:pBdr>
          <w:left w:val="single" w:sz="4" w:space="6" w:color="D0D5DD"/>
        </w:pBdr>
      </w:pPr>
      <w:r>
        <w:rPr>
          <w:rFonts w:ascii="Consolas" w:hAnsi="Consolas"/>
          <w:color w:val="0B1F3A"/>
          <w:sz w:val="16"/>
        </w:rPr>
        <w:t>| |     misses a payment is handled privately between them, the        |   |</w:t>
      </w:r>
    </w:p>
    <w:p>
      <w:pPr>
        <w:spacing w:before="0" w:after="0" w:line="240" w:lineRule="auto"/>
        <w:ind w:left="230"/>
        <w:shd w:val="clear" w:color="auto" w:fill="F7F9FC"/>
        <w:pBdr>
          <w:left w:val="single" w:sz="4" w:space="6" w:color="D0D5DD"/>
        </w:pBdr>
      </w:pPr>
      <w:r>
        <w:rPr>
          <w:rFonts w:ascii="Consolas" w:hAnsi="Consolas"/>
          <w:color w:val="0B1F3A"/>
          <w:sz w:val="16"/>
        </w:rPr>
        <w:t>| |     organiser and AJO.ng risk. No member is ever charged extra,    |   |</w:t>
      </w:r>
    </w:p>
    <w:p>
      <w:pPr>
        <w:spacing w:before="0" w:after="0" w:line="240" w:lineRule="auto"/>
        <w:ind w:left="230"/>
        <w:shd w:val="clear" w:color="auto" w:fill="F7F9FC"/>
        <w:pBdr>
          <w:left w:val="single" w:sz="4" w:space="6" w:color="D0D5DD"/>
        </w:pBdr>
      </w:pPr>
      <w:r>
        <w:rPr>
          <w:rFonts w:ascii="Consolas" w:hAnsi="Consolas"/>
          <w:color w:val="0B1F3A"/>
          <w:sz w:val="16"/>
        </w:rPr>
        <w:t>| |     and a defaulting member is never named in the Ajo.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&lt; Read how defaults are handled &gt;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(5) CTA AND FOOTER ----------------------------------------------------+</w:t>
      </w:r>
    </w:p>
    <w:p>
      <w:pPr>
        <w:spacing w:before="0" w:after="0" w:line="240" w:lineRule="auto"/>
        <w:ind w:left="230"/>
        <w:shd w:val="clear" w:color="auto" w:fill="F7F9FC"/>
        <w:pBdr>
          <w:left w:val="single" w:sz="4" w:space="6" w:color="D0D5DD"/>
        </w:pBdr>
      </w:pPr>
      <w:r>
        <w:rPr>
          <w:rFonts w:ascii="Consolas" w:hAnsi="Consolas"/>
          <w:color w:val="0B1F3A"/>
          <w:sz w:val="16"/>
        </w:rPr>
        <w:t>| Ready when your group is.  { Create free account }*                      |</w:t>
      </w:r>
    </w:p>
    <w:p>
      <w:pPr>
        <w:spacing w:before="0" w:after="0" w:line="240" w:lineRule="auto"/>
        <w:ind w:left="230"/>
        <w:shd w:val="clear" w:color="auto" w:fill="F7F9FC"/>
        <w:pBdr>
          <w:left w:val="single" w:sz="4" w:space="6" w:color="D0D5DD"/>
        </w:pBdr>
      </w:pPr>
      <w:r>
        <w:rPr>
          <w:rFonts w:ascii="Consolas" w:hAnsi="Consolas"/>
          <w:color w:val="0B1F3A"/>
          <w:sz w:val="16"/>
        </w:rPr>
        <w:t>| { Join with an invite code }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Fees  Safety  FAQ  About  Contact  Terms  Privacy                        |</w:t>
      </w:r>
    </w:p>
    <w:p>
      <w:pPr>
        <w:spacing w:before="0" w:after="0" w:line="240" w:lineRule="auto"/>
        <w:ind w:left="230"/>
        <w:shd w:val="clear" w:color="auto" w:fill="F7F9FC"/>
        <w:pBdr>
          <w:left w:val="single" w:sz="4" w:space="6" w:color="D0D5DD"/>
        </w:pBdr>
      </w:pPr>
      <w:r>
        <w:rPr>
          <w:rFonts w:ascii="Consolas" w:hAnsi="Consolas"/>
          <w:color w:val="0B1F3A"/>
          <w:sz w:val="16"/>
        </w:rPr>
        <w:t>| Your Ajo. Your Story.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6.3.2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843"/>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307"/>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 Header</w:t>
            </w:r>
          </w:p>
        </w:tc>
        <w:tc>
          <w:tcPr>
            <w:tcW w:type="dxa" w:w="1843"/>
            <w:tcMar>
              <w:top w:w="60" w:type="dxa"/>
              <w:start w:w="110" w:type="dxa"/>
              <w:bottom w:w="60" w:type="dxa"/>
              <w:end w:w="110" w:type="dxa"/>
            </w:tcMar>
          </w:tcPr>
          <w:p>
            <w:pPr>
              <w:spacing w:after="0"/>
            </w:pPr>
            <w:r/>
            <w:r>
              <w:rPr>
                <w:rFonts w:ascii="Calibri" w:hAnsi="Calibri"/>
                <w:b w:val="0"/>
                <w:i w:val="0"/>
                <w:color w:val="101828"/>
                <w:sz w:val="14"/>
              </w:rPr>
              <w:t>Wordmark, sign-in entry, links to the content pages.</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307"/>
            <w:tcMar>
              <w:top w:w="60" w:type="dxa"/>
              <w:start w:w="110" w:type="dxa"/>
              <w:bottom w:w="60" w:type="dxa"/>
              <w:end w:w="110" w:type="dxa"/>
            </w:tcMar>
          </w:tcPr>
          <w:p>
            <w:pPr>
              <w:spacing w:after="0"/>
            </w:pPr>
            <w:r/>
            <w:r>
              <w:rPr>
                <w:rFonts w:ascii="Calibri" w:hAnsi="Calibri"/>
                <w:b w:val="0"/>
                <w:i w:val="0"/>
                <w:color w:val="101828"/>
                <w:sz w:val="14"/>
              </w:rPr>
              <w:t>Sign in is a link, not a button. Register is the primary action of the page and lives in the hero.</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Hero</w:t>
            </w:r>
          </w:p>
        </w:tc>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4"/>
              </w:rPr>
              <w:t>Tagline, one-sentence explanation, the single primary CTA.</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307"/>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Tagline is </w:t>
            </w:r>
            <w:r>
              <w:rPr>
                <w:rFonts w:ascii="Calibri" w:hAnsi="Calibri"/>
                <w:b/>
                <w:color w:val="101828"/>
                <w:sz w:val="14"/>
              </w:rPr>
              <w:t>Your Ajo. Your Story.</w:t>
            </w:r>
            <w:r>
              <w:rPr>
                <w:rFonts w:ascii="Calibri" w:hAnsi="Calibri"/>
                <w:b w:val="0"/>
                <w:i w:val="0"/>
                <w:color w:val="101828"/>
                <w:sz w:val="14"/>
              </w:rPr>
              <w:t xml:space="preserve"> No other tagline appears anywhere in the product.</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 Fee card</w:t>
            </w:r>
          </w:p>
        </w:tc>
        <w:tc>
          <w:tcPr>
            <w:tcW w:type="dxa" w:w="1843"/>
            <w:tcMar>
              <w:top w:w="60" w:type="dxa"/>
              <w:start w:w="110" w:type="dxa"/>
              <w:bottom w:w="60" w:type="dxa"/>
              <w:end w:w="110" w:type="dxa"/>
            </w:tcMar>
          </w:tcPr>
          <w:p>
            <w:pPr>
              <w:spacing w:after="0"/>
            </w:pPr>
            <w:r/>
            <w:r>
              <w:rPr>
                <w:rFonts w:ascii="Calibri" w:hAnsi="Calibri"/>
                <w:b w:val="0"/>
                <w:i w:val="0"/>
                <w:color w:val="101828"/>
                <w:sz w:val="14"/>
              </w:rPr>
              <w:t>The 2% fee quantified with the canonical example, above the fold.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307"/>
            <w:tcMar>
              <w:top w:w="60" w:type="dxa"/>
              <w:start w:w="110" w:type="dxa"/>
              <w:bottom w:w="60" w:type="dxa"/>
              <w:end w:w="110" w:type="dxa"/>
            </w:tcMar>
          </w:tcPr>
          <w:p>
            <w:pPr>
              <w:spacing w:after="0"/>
            </w:pPr>
            <w:r/>
            <w:r>
              <w:rPr>
                <w:rFonts w:ascii="Calibri" w:hAnsi="Calibri"/>
                <w:b/>
                <w:color w:val="101828"/>
                <w:sz w:val="14"/>
              </w:rPr>
              <w:t>Contribution, fee and total are three separate lines</w:t>
            </w:r>
            <w:r>
              <w:rPr>
                <w:rFonts w:ascii="Calibri" w:hAnsi="Calibri"/>
                <w:b w:val="0"/>
                <w:i w:val="0"/>
                <w:color w:val="101828"/>
                <w:sz w:val="14"/>
              </w:rPr>
              <w:t>, and the card states that the fee never reduces the payout. Same disclosure as 6.17 and 6.19.</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 How it works</w:t>
            </w:r>
          </w:p>
        </w:tc>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4"/>
              </w:rPr>
              <w:t>Three-step summary of the mechanic.</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P2</w:t>
            </w:r>
          </w:p>
        </w:tc>
        <w:tc>
          <w:tcPr>
            <w:tcW w:type="dxa" w:w="6307"/>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Links to SCR-WEB-02. Three cards, not seven. The third card says </w:t>
            </w:r>
            <w:r>
              <w:rPr>
                <w:rFonts w:ascii="Calibri" w:hAnsi="Calibri"/>
                <w:i/>
                <w:color w:val="101828"/>
                <w:sz w:val="14"/>
              </w:rPr>
              <w:t>base pool</w:t>
            </w:r>
            <w:r>
              <w:rPr>
                <w:rFonts w:ascii="Calibri" w:hAnsi="Calibri"/>
                <w:b w:val="0"/>
                <w:i w:val="0"/>
                <w:color w:val="101828"/>
                <w:sz w:val="14"/>
              </w:rPr>
              <w:t xml:space="preserve"> and gives the figure.</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(5) Safety band</w:t>
            </w:r>
          </w:p>
        </w:tc>
        <w:tc>
          <w:tcPr>
            <w:tcW w:type="dxa" w:w="1843"/>
            <w:tcMar>
              <w:top w:w="60" w:type="dxa"/>
              <w:start w:w="110" w:type="dxa"/>
              <w:bottom w:w="60" w:type="dxa"/>
              <w:end w:w="110" w:type="dxa"/>
            </w:tcMar>
          </w:tcPr>
          <w:p>
            <w:pPr>
              <w:spacing w:after="0"/>
            </w:pPr>
            <w:r/>
            <w:r>
              <w:rPr>
                <w:rFonts w:ascii="Calibri" w:hAnsi="Calibri"/>
                <w:b w:val="0"/>
                <w:i w:val="0"/>
                <w:color w:val="101828"/>
                <w:sz w:val="14"/>
              </w:rPr>
              <w:t>Position lock, private default handling, no member charged extra.</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307"/>
            <w:tcMar>
              <w:top w:w="60" w:type="dxa"/>
              <w:start w:w="110" w:type="dxa"/>
              <w:bottom w:w="60" w:type="dxa"/>
              <w:end w:w="110" w:type="dxa"/>
            </w:tcMar>
          </w:tcPr>
          <w:p>
            <w:pPr>
              <w:spacing w:after="0"/>
            </w:pPr>
            <w:r/>
            <w:r>
              <w:rPr>
                <w:rFonts w:ascii="Calibri" w:hAnsi="Calibri"/>
                <w:b w:val="0"/>
                <w:i w:val="0"/>
                <w:color w:val="101828"/>
                <w:sz w:val="14"/>
              </w:rPr>
              <w:t>Carries the three canonical safety promises from CAN §4. Wording is fixed by section 1 and may not be softened for tone.</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(6) CTA strip</w:t>
            </w:r>
          </w:p>
        </w:tc>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4"/>
              </w:rPr>
              <w:t>Repeat of the primary action lower on the page.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P2</w:t>
            </w:r>
          </w:p>
        </w:tc>
        <w:tc>
          <w:tcPr>
            <w:tcW w:type="dxa" w:w="6307"/>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Same target as the hero CTA. A second, </w:t>
            </w:r>
            <w:r>
              <w:rPr>
                <w:rFonts w:ascii="Calibri" w:hAnsi="Calibri"/>
                <w:i/>
                <w:color w:val="101828"/>
                <w:sz w:val="14"/>
              </w:rPr>
              <w:t>different</w:t>
            </w:r>
            <w:r>
              <w:rPr>
                <w:rFonts w:ascii="Calibri" w:hAnsi="Calibri"/>
                <w:b w:val="0"/>
                <w:i w:val="0"/>
                <w:color w:val="101828"/>
                <w:sz w:val="14"/>
              </w:rPr>
              <w:t xml:space="preserve"> CTA would compete with the first and is prohibited.</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(7) Footer</w:t>
            </w:r>
          </w:p>
        </w:tc>
        <w:tc>
          <w:tcPr>
            <w:tcW w:type="dxa" w:w="1843"/>
            <w:tcMar>
              <w:top w:w="60" w:type="dxa"/>
              <w:start w:w="110" w:type="dxa"/>
              <w:bottom w:w="60" w:type="dxa"/>
              <w:end w:w="110" w:type="dxa"/>
            </w:tcMar>
          </w:tcPr>
          <w:p>
            <w:pPr>
              <w:spacing w:after="0"/>
            </w:pPr>
            <w:r/>
            <w:r>
              <w:rPr>
                <w:rFonts w:ascii="Calibri" w:hAnsi="Calibri"/>
                <w:b w:val="0"/>
                <w:i w:val="0"/>
                <w:color w:val="101828"/>
                <w:sz w:val="14"/>
              </w:rPr>
              <w:t>Full sitemap, legal routes, tagline.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307"/>
            <w:tcMar>
              <w:top w:w="60" w:type="dxa"/>
              <w:start w:w="110" w:type="dxa"/>
              <w:bottom w:w="60" w:type="dxa"/>
              <w:end w:w="110" w:type="dxa"/>
            </w:tcMar>
          </w:tcPr>
          <w:p>
            <w:pPr>
              <w:spacing w:after="0"/>
            </w:pPr>
            <w:r/>
            <w:r>
              <w:rPr>
                <w:rFonts w:ascii="Calibri" w:hAnsi="Calibri"/>
                <w:b w:val="0"/>
                <w:i w:val="0"/>
                <w:color w:val="101828"/>
                <w:sz w:val="14"/>
              </w:rPr>
              <w:t xml:space="preserve">Carries </w:t>
            </w:r>
            <w:r>
              <w:rPr>
                <w:rFonts w:ascii="Consolas" w:hAnsi="Consolas"/>
                <w:color w:val="146EF5"/>
                <w:sz w:val="14"/>
              </w:rPr>
              <w:t>/terms</w:t>
            </w:r>
            <w:r>
              <w:rPr>
                <w:rFonts w:ascii="Calibri" w:hAnsi="Calibri"/>
                <w:b w:val="0"/>
                <w:i w:val="0"/>
                <w:color w:val="101828"/>
                <w:sz w:val="14"/>
              </w:rPr>
              <w:t xml:space="preserve"> and </w:t>
            </w:r>
            <w:r>
              <w:rPr>
                <w:rFonts w:ascii="Consolas" w:hAnsi="Consolas"/>
                <w:color w:val="146EF5"/>
                <w:sz w:val="14"/>
              </w:rPr>
              <w:t>/privacy</w:t>
            </w:r>
            <w:r>
              <w:rPr>
                <w:rFonts w:ascii="Calibri" w:hAnsi="Calibri"/>
                <w:b w:val="0"/>
                <w:i w:val="0"/>
                <w:color w:val="101828"/>
                <w:sz w:val="14"/>
              </w:rPr>
              <w:t xml:space="preserve"> on every page of tier 1 (3.2).</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 Social proof</w:t>
            </w:r>
          </w:p>
        </w:tc>
        <w:tc>
          <w:tcPr>
            <w:tcW w:type="dxa" w:w="1843"/>
            <w:tcMar>
              <w:top w:w="60" w:type="dxa"/>
              <w:start w:w="110" w:type="dxa"/>
              <w:bottom w:w="60" w:type="dxa"/>
              <w:end w:w="110" w:type="dxa"/>
            </w:tcMar>
            <w:shd w:val="clear" w:color="auto" w:fill="F4F7FB"/>
          </w:tcPr>
          <w:p>
            <w:pPr>
              <w:spacing w:after="0"/>
            </w:pPr>
            <w:r/>
            <w:r>
              <w:rPr>
                <w:rFonts w:ascii="Calibri" w:hAnsi="Calibri"/>
                <w:b/>
                <w:color w:val="101828"/>
                <w:sz w:val="14"/>
              </w:rPr>
              <w:t>Deliberately absent.</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6307"/>
            <w:tcMar>
              <w:top w:w="60" w:type="dxa"/>
              <w:start w:w="110" w:type="dxa"/>
              <w:bottom w:w="60" w:type="dxa"/>
              <w:end w:w="110" w:type="dxa"/>
            </w:tcMar>
            <w:shd w:val="clear" w:color="auto" w:fill="F4F7FB"/>
          </w:tcPr>
          <w:p>
            <w:pPr>
              <w:spacing w:after="0"/>
            </w:pPr>
            <w:r/>
            <w:r>
              <w:rPr>
                <w:rFonts w:ascii="Calibri" w:hAnsi="Calibri"/>
                <w:b w:val="0"/>
                <w:i w:val="0"/>
                <w:color w:val="101828"/>
                <w:sz w:val="14"/>
              </w:rPr>
              <w:t>The company is pre-launch with no customers. Testimonial, logo, download-count and user-count regions are prohibited until verifiable numbers exist. Adding them earlier would be a fabricated claim, which is a conduct issue, not a design one.</w:t>
            </w:r>
          </w:p>
        </w:tc>
      </w:tr>
    </w:tbl>
    <w:p>
      <w:pPr>
        <w:spacing w:after="80"/>
      </w:pPr>
    </w:p>
    <w:p>
      <w:pPr>
        <w:pStyle w:val="Heading2"/>
      </w:pPr>
      <w:r>
        <w:rPr>
          <w:rFonts w:ascii="Calibri" w:hAnsi="Calibri"/>
          <w:b/>
          <w:i w:val="0"/>
          <w:color w:val="146EF5"/>
          <w:sz w:val="29"/>
        </w:rPr>
        <w:t>6.4 How It Works — SCR-WEB-02</w:t>
      </w:r>
    </w:p>
    <w:p>
      <w:r>
        <w:rPr>
          <w:rFonts w:ascii="Calibri" w:hAnsi="Calibri"/>
          <w:b w:val="0"/>
          <w:i w:val="0"/>
          <w:color w:val="101828"/>
          <w:sz w:val="21"/>
        </w:rPr>
        <w:t>The long-form explanation that resolves the questions the home page raises. It is written for someone who has run an Ajo in person and is checking whether the digital version is the same thing. That means it leads with the mechanic rather than the technology, and it states what happens when things go wrong before it states what happens when they go right.</w:t>
      </w:r>
    </w:p>
    <w:p>
      <w:pPr>
        <w:pStyle w:val="Heading3"/>
      </w:pPr>
      <w:r>
        <w:rPr>
          <w:rFonts w:ascii="Calibri" w:hAnsi="Calibri"/>
          <w:b/>
          <w:i w:val="0"/>
          <w:color w:val="0B1F3A"/>
          <w:sz w:val="24"/>
        </w:rPr>
        <w:t>6.4.1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AJO.ng           Sign in  [=]            |</w:t>
      </w:r>
    </w:p>
    <w:p>
      <w:pPr>
        <w:spacing w:before="0" w:after="0" w:line="240" w:lineRule="auto"/>
        <w:ind w:left="230"/>
        <w:shd w:val="clear" w:color="auto" w:fill="F7F9FC"/>
        <w:pBdr>
          <w:left w:val="single" w:sz="4" w:space="6" w:color="D0D5DD"/>
        </w:pBdr>
      </w:pPr>
      <w:r>
        <w:rPr>
          <w:rFonts w:ascii="Consolas" w:hAnsi="Consolas"/>
          <w:color w:val="0B1F3A"/>
          <w:sz w:val="16"/>
        </w:rPr>
        <w:t>+-- (2) TITLE -----------------------------+</w:t>
      </w:r>
    </w:p>
    <w:p>
      <w:pPr>
        <w:spacing w:before="0" w:after="0" w:line="240" w:lineRule="auto"/>
        <w:ind w:left="230"/>
        <w:shd w:val="clear" w:color="auto" w:fill="F7F9FC"/>
        <w:pBdr>
          <w:left w:val="single" w:sz="4" w:space="6" w:color="D0D5DD"/>
        </w:pBdr>
      </w:pPr>
      <w:r>
        <w:rPr>
          <w:rFonts w:ascii="Consolas" w:hAnsi="Consolas"/>
          <w:color w:val="0B1F3A"/>
          <w:sz w:val="16"/>
        </w:rPr>
        <w:t>| # How an Ajo works                       |</w:t>
      </w:r>
    </w:p>
    <w:p>
      <w:pPr>
        <w:spacing w:before="0" w:after="0" w:line="240" w:lineRule="auto"/>
        <w:ind w:left="230"/>
        <w:shd w:val="clear" w:color="auto" w:fill="F7F9FC"/>
        <w:pBdr>
          <w:left w:val="single" w:sz="4" w:space="6" w:color="D0D5DD"/>
        </w:pBdr>
      </w:pPr>
      <w:r>
        <w:rPr>
          <w:rFonts w:ascii="Consolas" w:hAnsi="Consolas"/>
          <w:color w:val="0B1F3A"/>
          <w:sz w:val="16"/>
        </w:rPr>
        <w:t>| The same scheme, recorded properly.      |</w:t>
      </w:r>
    </w:p>
    <w:p>
      <w:pPr>
        <w:spacing w:before="0" w:after="0" w:line="240" w:lineRule="auto"/>
        <w:ind w:left="230"/>
        <w:shd w:val="clear" w:color="auto" w:fill="F7F9FC"/>
        <w:pBdr>
          <w:left w:val="single" w:sz="4" w:space="6" w:color="D0D5DD"/>
        </w:pBdr>
      </w:pPr>
      <w:r>
        <w:rPr>
          <w:rFonts w:ascii="Consolas" w:hAnsi="Consolas"/>
          <w:color w:val="0B1F3A"/>
          <w:sz w:val="16"/>
        </w:rPr>
        <w:t>+-- (3) THE SIX STEPS ---------------------+</w:t>
      </w:r>
    </w:p>
    <w:p>
      <w:pPr>
        <w:spacing w:before="0" w:after="0" w:line="240" w:lineRule="auto"/>
        <w:ind w:left="230"/>
        <w:shd w:val="clear" w:color="auto" w:fill="F7F9FC"/>
        <w:pBdr>
          <w:left w:val="single" w:sz="4" w:space="6" w:color="D0D5DD"/>
        </w:pBdr>
      </w:pPr>
      <w:r>
        <w:rPr>
          <w:rFonts w:ascii="Consolas" w:hAnsi="Consolas"/>
          <w:color w:val="0B1F3A"/>
          <w:sz w:val="16"/>
        </w:rPr>
        <w:t>| 1  You and nine others agree             |</w:t>
      </w:r>
    </w:p>
    <w:p>
      <w:pPr>
        <w:spacing w:before="0" w:after="0" w:line="240" w:lineRule="auto"/>
        <w:ind w:left="230"/>
        <w:shd w:val="clear" w:color="auto" w:fill="F7F9FC"/>
        <w:pBdr>
          <w:left w:val="single" w:sz="4" w:space="6" w:color="D0D5DD"/>
        </w:pBdr>
      </w:pPr>
      <w:r>
        <w:rPr>
          <w:rFonts w:ascii="Consolas" w:hAnsi="Consolas"/>
          <w:color w:val="0B1F3A"/>
          <w:sz w:val="16"/>
        </w:rPr>
        <w:t>|    NGN 1,000.00 each, every month.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2  Every position is set and             |</w:t>
      </w:r>
    </w:p>
    <w:p>
      <w:pPr>
        <w:spacing w:before="0" w:after="0" w:line="240" w:lineRule="auto"/>
        <w:ind w:left="230"/>
        <w:shd w:val="clear" w:color="auto" w:fill="F7F9FC"/>
        <w:pBdr>
          <w:left w:val="single" w:sz="4" w:space="6" w:color="D0D5DD"/>
        </w:pBdr>
      </w:pPr>
      <w:r>
        <w:rPr>
          <w:rFonts w:ascii="Consolas" w:hAnsi="Consolas"/>
          <w:color w:val="0B1F3A"/>
          <w:sz w:val="16"/>
        </w:rPr>
        <w:t>|    locked the day the Ajo starts.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3  Each round, everyone pays             |</w:t>
      </w:r>
    </w:p>
    <w:p>
      <w:pPr>
        <w:spacing w:before="0" w:after="0" w:line="240" w:lineRule="auto"/>
        <w:ind w:left="230"/>
        <w:shd w:val="clear" w:color="auto" w:fill="F7F9FC"/>
        <w:pBdr>
          <w:left w:val="single" w:sz="4" w:space="6" w:color="D0D5DD"/>
        </w:pBdr>
      </w:pPr>
      <w:r>
        <w:rPr>
          <w:rFonts w:ascii="Consolas" w:hAnsi="Consolas"/>
          <w:color w:val="0B1F3A"/>
          <w:sz w:val="16"/>
        </w:rPr>
        <w:t>|    by the due date.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4  AJO.ng keeps NGN 20.00 as its         |</w:t>
      </w:r>
    </w:p>
    <w:p>
      <w:pPr>
        <w:spacing w:before="0" w:after="0" w:line="240" w:lineRule="auto"/>
        <w:ind w:left="230"/>
        <w:shd w:val="clear" w:color="auto" w:fill="F7F9FC"/>
        <w:pBdr>
          <w:left w:val="single" w:sz="4" w:space="6" w:color="D0D5DD"/>
        </w:pBdr>
      </w:pPr>
      <w:r>
        <w:rPr>
          <w:rFonts w:ascii="Consolas" w:hAnsi="Consolas"/>
          <w:color w:val="0B1F3A"/>
          <w:sz w:val="16"/>
        </w:rPr>
        <w:t>|    fee, charged on top.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5  When the round is fully               |</w:t>
      </w:r>
    </w:p>
    <w:p>
      <w:pPr>
        <w:spacing w:before="0" w:after="0" w:line="240" w:lineRule="auto"/>
        <w:ind w:left="230"/>
        <w:shd w:val="clear" w:color="auto" w:fill="F7F9FC"/>
        <w:pBdr>
          <w:left w:val="single" w:sz="4" w:space="6" w:color="D0D5DD"/>
        </w:pBdr>
      </w:pPr>
      <w:r>
        <w:rPr>
          <w:rFonts w:ascii="Consolas" w:hAnsi="Consolas"/>
          <w:color w:val="0B1F3A"/>
          <w:sz w:val="16"/>
        </w:rPr>
        <w:t>|    collected, whoever it is due to       |</w:t>
      </w:r>
    </w:p>
    <w:p>
      <w:pPr>
        <w:spacing w:before="0" w:after="0" w:line="240" w:lineRule="auto"/>
        <w:ind w:left="230"/>
        <w:shd w:val="clear" w:color="auto" w:fill="F7F9FC"/>
        <w:pBdr>
          <w:left w:val="single" w:sz="4" w:space="6" w:color="D0D5DD"/>
        </w:pBdr>
      </w:pPr>
      <w:r>
        <w:rPr>
          <w:rFonts w:ascii="Consolas" w:hAnsi="Consolas"/>
          <w:color w:val="0B1F3A"/>
          <w:sz w:val="16"/>
        </w:rPr>
        <w:t>|    is paid NGN 10,000.00.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6  Round two begins. Ten rounds,         |</w:t>
      </w:r>
    </w:p>
    <w:p>
      <w:pPr>
        <w:spacing w:before="0" w:after="0" w:line="240" w:lineRule="auto"/>
        <w:ind w:left="230"/>
        <w:shd w:val="clear" w:color="auto" w:fill="F7F9FC"/>
        <w:pBdr>
          <w:left w:val="single" w:sz="4" w:space="6" w:color="D0D5DD"/>
        </w:pBdr>
      </w:pPr>
      <w:r>
        <w:rPr>
          <w:rFonts w:ascii="Consolas" w:hAnsi="Consolas"/>
          <w:color w:val="0B1F3A"/>
          <w:sz w:val="16"/>
        </w:rPr>
        <w:t>|    one payout each.                      |</w:t>
      </w:r>
    </w:p>
    <w:p>
      <w:pPr>
        <w:spacing w:before="0" w:after="0" w:line="240" w:lineRule="auto"/>
        <w:ind w:left="230"/>
        <w:shd w:val="clear" w:color="auto" w:fill="F7F9FC"/>
        <w:pBdr>
          <w:left w:val="single" w:sz="4" w:space="6" w:color="D0D5DD"/>
        </w:pBdr>
      </w:pPr>
      <w:r>
        <w:rPr>
          <w:rFonts w:ascii="Consolas" w:hAnsi="Consolas"/>
          <w:color w:val="0B1F3A"/>
          <w:sz w:val="16"/>
        </w:rPr>
        <w:t>+-- (4) WORKED EXAMPLE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10 members, NGN 1,000.00 each     |   |</w:t>
      </w:r>
    </w:p>
    <w:p>
      <w:pPr>
        <w:spacing w:before="0" w:after="0" w:line="240" w:lineRule="auto"/>
        <w:ind w:left="230"/>
        <w:shd w:val="clear" w:color="auto" w:fill="F7F9FC"/>
        <w:pBdr>
          <w:left w:val="single" w:sz="4" w:space="6" w:color="D0D5DD"/>
        </w:pBdr>
      </w:pPr>
      <w:r>
        <w:rPr>
          <w:rFonts w:ascii="Consolas" w:hAnsi="Consolas"/>
          <w:color w:val="0B1F3A"/>
          <w:sz w:val="16"/>
        </w:rPr>
        <w:t>| |  Charged to each member      NGN   |   |</w:t>
      </w:r>
    </w:p>
    <w:p>
      <w:pPr>
        <w:spacing w:before="0" w:after="0" w:line="240" w:lineRule="auto"/>
        <w:ind w:left="230"/>
        <w:shd w:val="clear" w:color="auto" w:fill="F7F9FC"/>
        <w:pBdr>
          <w:left w:val="single" w:sz="4" w:space="6" w:color="D0D5DD"/>
        </w:pBdr>
      </w:pPr>
      <w:r>
        <w:rPr>
          <w:rFonts w:ascii="Consolas" w:hAnsi="Consolas"/>
          <w:color w:val="0B1F3A"/>
          <w:sz w:val="16"/>
        </w:rPr>
        <w:t>| |  1,020.00                          |   |</w:t>
      </w:r>
    </w:p>
    <w:p>
      <w:pPr>
        <w:spacing w:before="0" w:after="0" w:line="240" w:lineRule="auto"/>
        <w:ind w:left="230"/>
        <w:shd w:val="clear" w:color="auto" w:fill="F7F9FC"/>
        <w:pBdr>
          <w:left w:val="single" w:sz="4" w:space="6" w:color="D0D5DD"/>
        </w:pBdr>
      </w:pPr>
      <w:r>
        <w:rPr>
          <w:rFonts w:ascii="Consolas" w:hAnsi="Consolas"/>
          <w:color w:val="0B1F3A"/>
          <w:sz w:val="16"/>
        </w:rPr>
        <w:t>| |  of which AJO.ng fee, 2%     NGN   |   |</w:t>
      </w:r>
    </w:p>
    <w:p>
      <w:pPr>
        <w:spacing w:before="0" w:after="0" w:line="240" w:lineRule="auto"/>
        <w:ind w:left="230"/>
        <w:shd w:val="clear" w:color="auto" w:fill="F7F9FC"/>
        <w:pBdr>
          <w:left w:val="single" w:sz="4" w:space="6" w:color="D0D5DD"/>
        </w:pBdr>
      </w:pPr>
      <w:r>
        <w:rPr>
          <w:rFonts w:ascii="Consolas" w:hAnsi="Consolas"/>
          <w:color w:val="0B1F3A"/>
          <w:sz w:val="16"/>
        </w:rPr>
        <w:t>| |  20.00                             |   |</w:t>
      </w:r>
    </w:p>
    <w:p>
      <w:pPr>
        <w:spacing w:before="0" w:after="0" w:line="240" w:lineRule="auto"/>
        <w:ind w:left="230"/>
        <w:shd w:val="clear" w:color="auto" w:fill="F7F9FC"/>
        <w:pBdr>
          <w:left w:val="single" w:sz="4" w:space="6" w:color="D0D5DD"/>
        </w:pBdr>
      </w:pPr>
      <w:r>
        <w:rPr>
          <w:rFonts w:ascii="Consolas" w:hAnsi="Consolas"/>
          <w:color w:val="0B1F3A"/>
          <w:sz w:val="16"/>
        </w:rPr>
        <w:t>| |  Contributed to the round    NGN   |   |</w:t>
      </w:r>
    </w:p>
    <w:p>
      <w:pPr>
        <w:spacing w:before="0" w:after="0" w:line="240" w:lineRule="auto"/>
        <w:ind w:left="230"/>
        <w:shd w:val="clear" w:color="auto" w:fill="F7F9FC"/>
        <w:pBdr>
          <w:left w:val="single" w:sz="4" w:space="6" w:color="D0D5DD"/>
        </w:pBdr>
      </w:pPr>
      <w:r>
        <w:rPr>
          <w:rFonts w:ascii="Consolas" w:hAnsi="Consolas"/>
          <w:color w:val="0B1F3A"/>
          <w:sz w:val="16"/>
        </w:rPr>
        <w:t>| |  1,000.00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Base pool to the recipient  NGN   |   |</w:t>
      </w:r>
    </w:p>
    <w:p>
      <w:pPr>
        <w:spacing w:before="0" w:after="0" w:line="240" w:lineRule="auto"/>
        <w:ind w:left="230"/>
        <w:shd w:val="clear" w:color="auto" w:fill="F7F9FC"/>
        <w:pBdr>
          <w:left w:val="single" w:sz="4" w:space="6" w:color="D0D5DD"/>
        </w:pBdr>
      </w:pPr>
      <w:r>
        <w:rPr>
          <w:rFonts w:ascii="Consolas" w:hAnsi="Consolas"/>
          <w:color w:val="0B1F3A"/>
          <w:sz w:val="16"/>
        </w:rPr>
        <w:t>| |  10,000.00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Total across the whole Ajo  NGN   |   |</w:t>
      </w:r>
    </w:p>
    <w:p>
      <w:pPr>
        <w:spacing w:before="0" w:after="0" w:line="240" w:lineRule="auto"/>
        <w:ind w:left="230"/>
        <w:shd w:val="clear" w:color="auto" w:fill="F7F9FC"/>
        <w:pBdr>
          <w:left w:val="single" w:sz="4" w:space="6" w:color="D0D5DD"/>
        </w:pBdr>
      </w:pPr>
      <w:r>
        <w:rPr>
          <w:rFonts w:ascii="Consolas" w:hAnsi="Consolas"/>
          <w:color w:val="0B1F3A"/>
          <w:sz w:val="16"/>
        </w:rPr>
        <w:t>| |  102,000.00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(5) WHEN THINGS GO WRONG --------------+</w:t>
      </w:r>
    </w:p>
    <w:p>
      <w:pPr>
        <w:spacing w:before="0" w:after="0" w:line="240" w:lineRule="auto"/>
        <w:ind w:left="230"/>
        <w:shd w:val="clear" w:color="auto" w:fill="F7F9FC"/>
        <w:pBdr>
          <w:left w:val="single" w:sz="4" w:space="6" w:color="D0D5DD"/>
        </w:pBdr>
      </w:pPr>
      <w:r>
        <w:rPr>
          <w:rFonts w:ascii="Consolas" w:hAnsi="Consolas"/>
          <w:color w:val="0B1F3A"/>
          <w:sz w:val="16"/>
        </w:rPr>
        <w:t>| ! If someone misses a payment:           |</w:t>
      </w:r>
    </w:p>
    <w:p>
      <w:pPr>
        <w:spacing w:before="0" w:after="0" w:line="240" w:lineRule="auto"/>
        <w:ind w:left="230"/>
        <w:shd w:val="clear" w:color="auto" w:fill="F7F9FC"/>
        <w:pBdr>
          <w:left w:val="single" w:sz="4" w:space="6" w:color="D0D5DD"/>
        </w:pBdr>
      </w:pPr>
      <w:r>
        <w:rPr>
          <w:rFonts w:ascii="Consolas" w:hAnsi="Consolas"/>
          <w:color w:val="0B1F3A"/>
          <w:sz w:val="16"/>
        </w:rPr>
        <w:t>|   48-hour grace, the organiser is        |</w:t>
      </w:r>
    </w:p>
    <w:p>
      <w:pPr>
        <w:spacing w:before="0" w:after="0" w:line="240" w:lineRule="auto"/>
        <w:ind w:left="230"/>
        <w:shd w:val="clear" w:color="auto" w:fill="F7F9FC"/>
        <w:pBdr>
          <w:left w:val="single" w:sz="4" w:space="6" w:color="D0D5DD"/>
        </w:pBdr>
      </w:pPr>
      <w:r>
        <w:rPr>
          <w:rFonts w:ascii="Consolas" w:hAnsi="Consolas"/>
          <w:color w:val="0B1F3A"/>
          <w:sz w:val="16"/>
        </w:rPr>
        <w:t>|   told privately, recovery begins.       |</w:t>
      </w:r>
    </w:p>
    <w:p>
      <w:pPr>
        <w:spacing w:before="0" w:after="0" w:line="240" w:lineRule="auto"/>
        <w:ind w:left="230"/>
        <w:shd w:val="clear" w:color="auto" w:fill="F7F9FC"/>
        <w:pBdr>
          <w:left w:val="single" w:sz="4" w:space="6" w:color="D0D5DD"/>
        </w:pBdr>
      </w:pPr>
      <w:r>
        <w:rPr>
          <w:rFonts w:ascii="Consolas" w:hAnsi="Consolas"/>
          <w:color w:val="0B1F3A"/>
          <w:sz w:val="16"/>
        </w:rPr>
        <w:t>|   You are never charged extra.           |</w:t>
      </w:r>
    </w:p>
    <w:p>
      <w:pPr>
        <w:spacing w:before="0" w:after="0" w:line="240" w:lineRule="auto"/>
        <w:ind w:left="230"/>
        <w:shd w:val="clear" w:color="auto" w:fill="F7F9FC"/>
        <w:pBdr>
          <w:left w:val="single" w:sz="4" w:space="6" w:color="D0D5DD"/>
        </w:pBdr>
      </w:pPr>
      <w:r>
        <w:rPr>
          <w:rFonts w:ascii="Consolas" w:hAnsi="Consolas"/>
          <w:color w:val="0B1F3A"/>
          <w:sz w:val="16"/>
        </w:rPr>
        <w:t>+-- (6) CTA -------------------------------+</w:t>
      </w:r>
    </w:p>
    <w:p>
      <w:pPr>
        <w:spacing w:before="0" w:after="0" w:line="240" w:lineRule="auto"/>
        <w:ind w:left="230"/>
        <w:shd w:val="clear" w:color="auto" w:fill="F7F9FC"/>
        <w:pBdr>
          <w:left w:val="single" w:sz="4" w:space="6" w:color="D0D5DD"/>
        </w:pBdr>
      </w:pPr>
      <w:r>
        <w:rPr>
          <w:rFonts w:ascii="Consolas" w:hAnsi="Consolas"/>
          <w:color w:val="0B1F3A"/>
          <w:sz w:val="16"/>
        </w:rPr>
        <w:t>| { Create free account }*                 |</w:t>
      </w:r>
    </w:p>
    <w:p>
      <w:pPr>
        <w:spacing w:before="0" w:after="0" w:line="240" w:lineRule="auto"/>
        <w:ind w:left="230"/>
        <w:shd w:val="clear" w:color="auto" w:fill="F7F9FC"/>
        <w:pBdr>
          <w:left w:val="single" w:sz="4" w:space="6" w:color="D0D5DD"/>
        </w:pBdr>
      </w:pPr>
      <w:r>
        <w:rPr>
          <w:rFonts w:ascii="Consolas" w:hAnsi="Consolas"/>
          <w:color w:val="0B1F3A"/>
          <w:sz w:val="16"/>
        </w:rPr>
        <w:t>| &lt; Back to the top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TOP NAV -----------------------------------------------------------+</w:t>
      </w:r>
    </w:p>
    <w:p>
      <w:pPr>
        <w:spacing w:before="0" w:after="0" w:line="240" w:lineRule="auto"/>
        <w:ind w:left="230"/>
        <w:shd w:val="clear" w:color="auto" w:fill="F7F9FC"/>
        <w:pBdr>
          <w:left w:val="single" w:sz="4" w:space="6" w:color="D0D5DD"/>
        </w:pBdr>
      </w:pPr>
      <w:r>
        <w:rPr>
          <w:rFonts w:ascii="Consolas" w:hAnsi="Consolas"/>
          <w:color w:val="0B1F3A"/>
          <w:sz w:val="16"/>
        </w:rPr>
        <w:t>| AJO.ng   How it works  Features  Safety and trust  Fees                  |</w:t>
      </w:r>
    </w:p>
    <w:p>
      <w:pPr>
        <w:spacing w:before="0" w:after="0" w:line="240" w:lineRule="auto"/>
        <w:ind w:left="230"/>
        <w:shd w:val="clear" w:color="auto" w:fill="F7F9FC"/>
        <w:pBdr>
          <w:left w:val="single" w:sz="4" w:space="6" w:color="D0D5DD"/>
        </w:pBdr>
      </w:pPr>
      <w:r>
        <w:rPr>
          <w:rFonts w:ascii="Consolas" w:hAnsi="Consolas"/>
          <w:color w:val="0B1F3A"/>
          <w:sz w:val="16"/>
        </w:rPr>
        <w:t>|          About  FAQ  Contact        [Sign in]  [Create account]          |</w:t>
      </w:r>
    </w:p>
    <w:p>
      <w:pPr>
        <w:spacing w:before="0" w:after="0" w:line="240" w:lineRule="auto"/>
        <w:ind w:left="230"/>
        <w:shd w:val="clear" w:color="auto" w:fill="F7F9FC"/>
        <w:pBdr>
          <w:left w:val="single" w:sz="4" w:space="6" w:color="D0D5DD"/>
        </w:pBdr>
      </w:pPr>
      <w:r>
        <w:rPr>
          <w:rFonts w:ascii="Consolas" w:hAnsi="Consolas"/>
          <w:color w:val="0B1F3A"/>
          <w:sz w:val="16"/>
        </w:rPr>
        <w:t>+-- (2) TITLE AND SIX STEPS -----------------------------------------------+</w:t>
      </w:r>
    </w:p>
    <w:p>
      <w:pPr>
        <w:spacing w:before="0" w:after="0" w:line="240" w:lineRule="auto"/>
        <w:ind w:left="230"/>
        <w:shd w:val="clear" w:color="auto" w:fill="F7F9FC"/>
        <w:pBdr>
          <w:left w:val="single" w:sz="4" w:space="6" w:color="D0D5DD"/>
        </w:pBdr>
      </w:pPr>
      <w:r>
        <w:rPr>
          <w:rFonts w:ascii="Consolas" w:hAnsi="Consolas"/>
          <w:color w:val="0B1F3A"/>
          <w:sz w:val="16"/>
        </w:rPr>
        <w:t>| How an Ajo works                1  You and nine others agree             |</w:t>
      </w:r>
    </w:p>
    <w:p>
      <w:pPr>
        <w:spacing w:before="0" w:after="0" w:line="240" w:lineRule="auto"/>
        <w:ind w:left="230"/>
        <w:shd w:val="clear" w:color="auto" w:fill="F7F9FC"/>
        <w:pBdr>
          <w:left w:val="single" w:sz="4" w:space="6" w:color="D0D5DD"/>
        </w:pBdr>
      </w:pPr>
      <w:r>
        <w:rPr>
          <w:rFonts w:ascii="Consolas" w:hAnsi="Consolas"/>
          <w:color w:val="0B1F3A"/>
          <w:sz w:val="16"/>
        </w:rPr>
        <w:t>|                                    NGN 1,000.00 each, every month.       |</w:t>
      </w:r>
    </w:p>
    <w:p>
      <w:pPr>
        <w:spacing w:before="0" w:after="0" w:line="240" w:lineRule="auto"/>
        <w:ind w:left="230"/>
        <w:shd w:val="clear" w:color="auto" w:fill="F7F9FC"/>
        <w:pBdr>
          <w:left w:val="single" w:sz="4" w:space="6" w:color="D0D5DD"/>
        </w:pBdr>
      </w:pPr>
      <w:r>
        <w:rPr>
          <w:rFonts w:ascii="Consolas" w:hAnsi="Consolas"/>
          <w:color w:val="0B1F3A"/>
          <w:sz w:val="16"/>
        </w:rPr>
        <w:t>| The same scheme, recorded                                                |</w:t>
      </w:r>
    </w:p>
    <w:p>
      <w:pPr>
        <w:spacing w:before="0" w:after="0" w:line="240" w:lineRule="auto"/>
        <w:ind w:left="230"/>
        <w:shd w:val="clear" w:color="auto" w:fill="F7F9FC"/>
        <w:pBdr>
          <w:left w:val="single" w:sz="4" w:space="6" w:color="D0D5DD"/>
        </w:pBdr>
      </w:pPr>
      <w:r>
        <w:rPr>
          <w:rFonts w:ascii="Consolas" w:hAnsi="Consolas"/>
          <w:color w:val="0B1F3A"/>
          <w:sz w:val="16"/>
        </w:rPr>
        <w:t>| properly.                       2  Every position is set and             |</w:t>
      </w:r>
    </w:p>
    <w:p>
      <w:pPr>
        <w:spacing w:before="0" w:after="0" w:line="240" w:lineRule="auto"/>
        <w:ind w:left="230"/>
        <w:shd w:val="clear" w:color="auto" w:fill="F7F9FC"/>
        <w:pBdr>
          <w:left w:val="single" w:sz="4" w:space="6" w:color="D0D5DD"/>
        </w:pBdr>
      </w:pPr>
      <w:r>
        <w:rPr>
          <w:rFonts w:ascii="Consolas" w:hAnsi="Consolas"/>
          <w:color w:val="0B1F3A"/>
          <w:sz w:val="16"/>
        </w:rPr>
        <w:t>|                                    locked the day the Ajo starts.        |</w:t>
      </w:r>
    </w:p>
    <w:p>
      <w:pPr>
        <w:spacing w:before="0" w:after="0" w:line="240" w:lineRule="auto"/>
        <w:ind w:left="230"/>
        <w:shd w:val="clear" w:color="auto" w:fill="F7F9FC"/>
        <w:pBdr>
          <w:left w:val="single" w:sz="4" w:space="6" w:color="D0D5DD"/>
        </w:pBdr>
      </w:pPr>
      <w:r>
        <w:rPr>
          <w:rFonts w:ascii="Consolas" w:hAnsi="Consolas"/>
          <w:color w:val="0B1F3A"/>
          <w:sz w:val="16"/>
        </w:rPr>
        <w:t>| An Ajo is not a new idea. It                                             |</w:t>
      </w:r>
    </w:p>
    <w:p>
      <w:pPr>
        <w:spacing w:before="0" w:after="0" w:line="240" w:lineRule="auto"/>
        <w:ind w:left="230"/>
        <w:shd w:val="clear" w:color="auto" w:fill="F7F9FC"/>
        <w:pBdr>
          <w:left w:val="single" w:sz="4" w:space="6" w:color="D0D5DD"/>
        </w:pBdr>
      </w:pPr>
      <w:r>
        <w:rPr>
          <w:rFonts w:ascii="Consolas" w:hAnsi="Consolas"/>
          <w:color w:val="0B1F3A"/>
          <w:sz w:val="16"/>
        </w:rPr>
        <w:t>| is a habit people already       3  Each round, everyone pays             |</w:t>
      </w:r>
    </w:p>
    <w:p>
      <w:pPr>
        <w:spacing w:before="0" w:after="0" w:line="240" w:lineRule="auto"/>
        <w:ind w:left="230"/>
        <w:shd w:val="clear" w:color="auto" w:fill="F7F9FC"/>
        <w:pBdr>
          <w:left w:val="single" w:sz="4" w:space="6" w:color="D0D5DD"/>
        </w:pBdr>
      </w:pPr>
      <w:r>
        <w:rPr>
          <w:rFonts w:ascii="Consolas" w:hAnsi="Consolas"/>
          <w:color w:val="0B1F3A"/>
          <w:sz w:val="16"/>
        </w:rPr>
        <w:t>| have, with the record-keeping      by the due date.                      |</w:t>
      </w:r>
    </w:p>
    <w:p>
      <w:pPr>
        <w:spacing w:before="0" w:after="0" w:line="240" w:lineRule="auto"/>
        <w:ind w:left="230"/>
        <w:shd w:val="clear" w:color="auto" w:fill="F7F9FC"/>
        <w:pBdr>
          <w:left w:val="single" w:sz="4" w:space="6" w:color="D0D5DD"/>
        </w:pBdr>
      </w:pPr>
      <w:r>
        <w:rPr>
          <w:rFonts w:ascii="Consolas" w:hAnsi="Consolas"/>
          <w:color w:val="0B1F3A"/>
          <w:sz w:val="16"/>
        </w:rPr>
        <w:t>| done by a system instead of by                                           |</w:t>
      </w:r>
    </w:p>
    <w:p>
      <w:pPr>
        <w:spacing w:before="0" w:after="0" w:line="240" w:lineRule="auto"/>
        <w:ind w:left="230"/>
        <w:shd w:val="clear" w:color="auto" w:fill="F7F9FC"/>
        <w:pBdr>
          <w:left w:val="single" w:sz="4" w:space="6" w:color="D0D5DD"/>
        </w:pBdr>
      </w:pPr>
      <w:r>
        <w:rPr>
          <w:rFonts w:ascii="Consolas" w:hAnsi="Consolas"/>
          <w:color w:val="0B1F3A"/>
          <w:sz w:val="16"/>
        </w:rPr>
        <w:t>| memory.                         4  AJO.ng keeps NGN 20.00 as its         |</w:t>
      </w:r>
    </w:p>
    <w:p>
      <w:pPr>
        <w:spacing w:before="0" w:after="0" w:line="240" w:lineRule="auto"/>
        <w:ind w:left="230"/>
        <w:shd w:val="clear" w:color="auto" w:fill="F7F9FC"/>
        <w:pBdr>
          <w:left w:val="single" w:sz="4" w:space="6" w:color="D0D5DD"/>
        </w:pBdr>
      </w:pPr>
      <w:r>
        <w:rPr>
          <w:rFonts w:ascii="Consolas" w:hAnsi="Consolas"/>
          <w:color w:val="0B1F3A"/>
          <w:sz w:val="16"/>
        </w:rPr>
        <w:t>|                                    fee, charged on top.                  |</w:t>
      </w:r>
    </w:p>
    <w:p>
      <w:pPr>
        <w:spacing w:before="0" w:after="0" w:line="240" w:lineRule="auto"/>
        <w:ind w:left="230"/>
        <w:shd w:val="clear" w:color="auto" w:fill="F7F9FC"/>
        <w:pBdr>
          <w:left w:val="single" w:sz="4" w:space="6" w:color="D0D5DD"/>
        </w:pBdr>
      </w:pPr>
      <w:r>
        <w:rPr>
          <w:rFonts w:ascii="Consolas" w:hAnsi="Consolas"/>
          <w:color w:val="0B1F3A"/>
          <w:sz w:val="16"/>
        </w:rPr>
        <w:t>| Everything below is what                                                 |</w:t>
      </w:r>
    </w:p>
    <w:p>
      <w:pPr>
        <w:spacing w:before="0" w:after="0" w:line="240" w:lineRule="auto"/>
        <w:ind w:left="230"/>
        <w:shd w:val="clear" w:color="auto" w:fill="F7F9FC"/>
        <w:pBdr>
          <w:left w:val="single" w:sz="4" w:space="6" w:color="D0D5DD"/>
        </w:pBdr>
      </w:pPr>
      <w:r>
        <w:rPr>
          <w:rFonts w:ascii="Consolas" w:hAnsi="Consolas"/>
          <w:color w:val="0B1F3A"/>
          <w:sz w:val="16"/>
        </w:rPr>
        <w:t>| AJO.ng does differently. The    5  When the round is fully               |</w:t>
      </w:r>
    </w:p>
    <w:p>
      <w:pPr>
        <w:spacing w:before="0" w:after="0" w:line="240" w:lineRule="auto"/>
        <w:ind w:left="230"/>
        <w:shd w:val="clear" w:color="auto" w:fill="F7F9FC"/>
        <w:pBdr>
          <w:left w:val="single" w:sz="4" w:space="6" w:color="D0D5DD"/>
        </w:pBdr>
      </w:pPr>
      <w:r>
        <w:rPr>
          <w:rFonts w:ascii="Consolas" w:hAnsi="Consolas"/>
          <w:color w:val="0B1F3A"/>
          <w:sz w:val="16"/>
        </w:rPr>
        <w:t>| scheme itself is yours.            collected, whoever it is due to       |</w:t>
      </w:r>
    </w:p>
    <w:p>
      <w:pPr>
        <w:spacing w:before="0" w:after="0" w:line="240" w:lineRule="auto"/>
        <w:ind w:left="230"/>
        <w:shd w:val="clear" w:color="auto" w:fill="F7F9FC"/>
        <w:pBdr>
          <w:left w:val="single" w:sz="4" w:space="6" w:color="D0D5DD"/>
        </w:pBdr>
      </w:pPr>
      <w:r>
        <w:rPr>
          <w:rFonts w:ascii="Consolas" w:hAnsi="Consolas"/>
          <w:color w:val="0B1F3A"/>
          <w:sz w:val="16"/>
        </w:rPr>
        <w:t>|                                    is paid NGN 10,000.00.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6  Round two begins. Ten rounds,         |</w:t>
      </w:r>
    </w:p>
    <w:p>
      <w:pPr>
        <w:spacing w:before="0" w:after="0" w:line="240" w:lineRule="auto"/>
        <w:ind w:left="230"/>
        <w:shd w:val="clear" w:color="auto" w:fill="F7F9FC"/>
        <w:pBdr>
          <w:left w:val="single" w:sz="4" w:space="6" w:color="D0D5DD"/>
        </w:pBdr>
      </w:pPr>
      <w:r>
        <w:rPr>
          <w:rFonts w:ascii="Consolas" w:hAnsi="Consolas"/>
          <w:color w:val="0B1F3A"/>
          <w:sz w:val="16"/>
        </w:rPr>
        <w:t>|                                    one payout each.                      |</w:t>
      </w:r>
    </w:p>
    <w:p>
      <w:pPr>
        <w:spacing w:before="0" w:after="0" w:line="240" w:lineRule="auto"/>
        <w:ind w:left="230"/>
        <w:shd w:val="clear" w:color="auto" w:fill="F7F9FC"/>
        <w:pBdr>
          <w:left w:val="single" w:sz="4" w:space="6" w:color="D0D5DD"/>
        </w:pBdr>
      </w:pPr>
      <w:r>
        <w:rPr>
          <w:rFonts w:ascii="Consolas" w:hAnsi="Consolas"/>
          <w:color w:val="0B1F3A"/>
          <w:sz w:val="16"/>
        </w:rPr>
        <w:t>+-- (3) WORKED EXAMPLE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The whole scheme in one table, with the exact numbers     |           |</w:t>
      </w:r>
    </w:p>
    <w:p>
      <w:pPr>
        <w:spacing w:before="0" w:after="0" w:line="240" w:lineRule="auto"/>
        <w:ind w:left="230"/>
        <w:shd w:val="clear" w:color="auto" w:fill="F7F9FC"/>
        <w:pBdr>
          <w:left w:val="single" w:sz="4" w:space="6" w:color="D0D5DD"/>
        </w:pBdr>
      </w:pPr>
      <w:r>
        <w:rPr>
          <w:rFonts w:ascii="Consolas" w:hAnsi="Consolas"/>
          <w:color w:val="0B1F3A"/>
          <w:sz w:val="16"/>
        </w:rPr>
        <w:t>| |  you will see on every receipt you ever get.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Members                                  10               |           |</w:t>
      </w:r>
    </w:p>
    <w:p>
      <w:pPr>
        <w:spacing w:before="0" w:after="0" w:line="240" w:lineRule="auto"/>
        <w:ind w:left="230"/>
        <w:shd w:val="clear" w:color="auto" w:fill="F7F9FC"/>
        <w:pBdr>
          <w:left w:val="single" w:sz="4" w:space="6" w:color="D0D5DD"/>
        </w:pBdr>
      </w:pPr>
      <w:r>
        <w:rPr>
          <w:rFonts w:ascii="Consolas" w:hAnsi="Consolas"/>
          <w:color w:val="0B1F3A"/>
          <w:sz w:val="16"/>
        </w:rPr>
        <w:t>| |  Contribution per member per round   NGN 1,000.00          |           |</w:t>
      </w:r>
    </w:p>
    <w:p>
      <w:pPr>
        <w:spacing w:before="0" w:after="0" w:line="240" w:lineRule="auto"/>
        <w:ind w:left="230"/>
        <w:shd w:val="clear" w:color="auto" w:fill="F7F9FC"/>
        <w:pBdr>
          <w:left w:val="single" w:sz="4" w:space="6" w:color="D0D5DD"/>
        </w:pBdr>
      </w:pPr>
      <w:r>
        <w:rPr>
          <w:rFonts w:ascii="Consolas" w:hAnsi="Consolas"/>
          <w:color w:val="0B1F3A"/>
          <w:sz w:val="16"/>
        </w:rPr>
        <w:t>| |  Platform fee, 2%                       NGN    20.00       |           |</w:t>
      </w:r>
    </w:p>
    <w:p>
      <w:pPr>
        <w:spacing w:before="0" w:after="0" w:line="240" w:lineRule="auto"/>
        <w:ind w:left="230"/>
        <w:shd w:val="clear" w:color="auto" w:fill="F7F9FC"/>
        <w:pBdr>
          <w:left w:val="single" w:sz="4" w:space="6" w:color="D0D5DD"/>
        </w:pBdr>
      </w:pPr>
      <w:r>
        <w:rPr>
          <w:rFonts w:ascii="Consolas" w:hAnsi="Consolas"/>
          <w:color w:val="0B1F3A"/>
          <w:sz w:val="16"/>
        </w:rPr>
        <w:t>| |  TOTAL CHARGED TO EACH MEMBER         NGN  1,020.00        |           |</w:t>
      </w:r>
    </w:p>
    <w:p>
      <w:pPr>
        <w:spacing w:before="0" w:after="0" w:line="240" w:lineRule="auto"/>
        <w:ind w:left="230"/>
        <w:shd w:val="clear" w:color="auto" w:fill="F7F9FC"/>
        <w:pBdr>
          <w:left w:val="single" w:sz="4" w:space="6" w:color="D0D5DD"/>
        </w:pBdr>
      </w:pPr>
      <w:r>
        <w:rPr>
          <w:rFonts w:ascii="Consolas" w:hAnsi="Consolas"/>
          <w:color w:val="0B1F3A"/>
          <w:sz w:val="16"/>
        </w:rPr>
        <w:t>| |  BASE POOL PAID TO THE RECIPIENT      NGN 10,000.00        |           |</w:t>
      </w:r>
    </w:p>
    <w:p>
      <w:pPr>
        <w:spacing w:before="0" w:after="0" w:line="240" w:lineRule="auto"/>
        <w:ind w:left="230"/>
        <w:shd w:val="clear" w:color="auto" w:fill="F7F9FC"/>
        <w:pBdr>
          <w:left w:val="single" w:sz="4" w:space="6" w:color="D0D5DD"/>
        </w:pBdr>
      </w:pPr>
      <w:r>
        <w:rPr>
          <w:rFonts w:ascii="Consolas" w:hAnsi="Consolas"/>
          <w:color w:val="0B1F3A"/>
          <w:sz w:val="16"/>
        </w:rPr>
        <w:t>| |  Collected in the round                NGN 10,200.00       |           |</w:t>
      </w:r>
    </w:p>
    <w:p>
      <w:pPr>
        <w:spacing w:before="0" w:after="0" w:line="240" w:lineRule="auto"/>
        <w:ind w:left="230"/>
        <w:shd w:val="clear" w:color="auto" w:fill="F7F9FC"/>
        <w:pBdr>
          <w:left w:val="single" w:sz="4" w:space="6" w:color="D0D5DD"/>
        </w:pBdr>
      </w:pPr>
      <w:r>
        <w:rPr>
          <w:rFonts w:ascii="Consolas" w:hAnsi="Consolas"/>
          <w:color w:val="0B1F3A"/>
          <w:sz w:val="16"/>
        </w:rPr>
        <w:t>| |  Retained by AJO.ng in the round       NGN    200.00       |           |</w:t>
      </w:r>
    </w:p>
    <w:p>
      <w:pPr>
        <w:spacing w:before="0" w:after="0" w:line="240" w:lineRule="auto"/>
        <w:ind w:left="230"/>
        <w:shd w:val="clear" w:color="auto" w:fill="F7F9FC"/>
        <w:pBdr>
          <w:left w:val="single" w:sz="4" w:space="6" w:color="D0D5DD"/>
        </w:pBdr>
      </w:pPr>
      <w:r>
        <w:rPr>
          <w:rFonts w:ascii="Consolas" w:hAnsi="Consolas"/>
          <w:color w:val="0B1F3A"/>
          <w:sz w:val="16"/>
        </w:rPr>
        <w:t>| |  Total paid in by one member          NGN 10,200.00        |           |</w:t>
      </w:r>
    </w:p>
    <w:p>
      <w:pPr>
        <w:spacing w:before="0" w:after="0" w:line="240" w:lineRule="auto"/>
        <w:ind w:left="230"/>
        <w:shd w:val="clear" w:color="auto" w:fill="F7F9FC"/>
        <w:pBdr>
          <w:left w:val="single" w:sz="4" w:space="6" w:color="D0D5DD"/>
        </w:pBdr>
      </w:pPr>
      <w:r>
        <w:rPr>
          <w:rFonts w:ascii="Consolas" w:hAnsi="Consolas"/>
          <w:color w:val="0B1F3A"/>
          <w:sz w:val="16"/>
        </w:rPr>
        <w:t>| |  TOTAL RECEIVED BY THE RECIPIENT      NGN 10,000.00        |           |</w:t>
      </w:r>
    </w:p>
    <w:p>
      <w:pPr>
        <w:spacing w:before="0" w:after="0" w:line="240" w:lineRule="auto"/>
        <w:ind w:left="230"/>
        <w:shd w:val="clear" w:color="auto" w:fill="F7F9FC"/>
        <w:pBdr>
          <w:left w:val="single" w:sz="4" w:space="6" w:color="D0D5DD"/>
        </w:pBdr>
      </w:pPr>
      <w:r>
        <w:rPr>
          <w:rFonts w:ascii="Consolas" w:hAnsi="Consolas"/>
          <w:color w:val="0B1F3A"/>
          <w:sz w:val="16"/>
        </w:rPr>
        <w:t>| |  AJO.ng fee over the full Ajo          NGN  2,000.00       |           |</w:t>
      </w:r>
    </w:p>
    <w:p>
      <w:pPr>
        <w:spacing w:before="0" w:after="0" w:line="240" w:lineRule="auto"/>
        <w:ind w:left="230"/>
        <w:shd w:val="clear" w:color="auto" w:fill="F7F9FC"/>
        <w:pBdr>
          <w:left w:val="single" w:sz="4" w:space="6" w:color="D0D5DD"/>
        </w:pBdr>
      </w:pPr>
      <w:r>
        <w:rPr>
          <w:rFonts w:ascii="Consolas" w:hAnsi="Consolas"/>
          <w:color w:val="0B1F3A"/>
          <w:sz w:val="16"/>
        </w:rPr>
        <w:t>| |  Total collected across the Ajo        NGN 102,000.00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The fee is charged on top. It is never taken out of a     |           |</w:t>
      </w:r>
    </w:p>
    <w:p>
      <w:pPr>
        <w:spacing w:before="0" w:after="0" w:line="240" w:lineRule="auto"/>
        <w:ind w:left="230"/>
        <w:shd w:val="clear" w:color="auto" w:fill="F7F9FC"/>
        <w:pBdr>
          <w:left w:val="single" w:sz="4" w:space="6" w:color="D0D5DD"/>
        </w:pBdr>
      </w:pPr>
      <w:r>
        <w:rPr>
          <w:rFonts w:ascii="Consolas" w:hAnsi="Consolas"/>
          <w:color w:val="0B1F3A"/>
          <w:sz w:val="16"/>
        </w:rPr>
        <w:t>| |  contribution and it never reduces a payout.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(4) WHEN THINGS GO WRONG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  If someone misses a payment: a reminder, then a retry where    |   |</w:t>
      </w:r>
    </w:p>
    <w:p>
      <w:pPr>
        <w:spacing w:before="0" w:after="0" w:line="240" w:lineRule="auto"/>
        <w:ind w:left="230"/>
        <w:shd w:val="clear" w:color="auto" w:fill="F7F9FC"/>
        <w:pBdr>
          <w:left w:val="single" w:sz="4" w:space="6" w:color="D0D5DD"/>
        </w:pBdr>
      </w:pPr>
      <w:r>
        <w:rPr>
          <w:rFonts w:ascii="Consolas" w:hAnsi="Consolas"/>
          <w:color w:val="0B1F3A"/>
          <w:sz w:val="16"/>
        </w:rPr>
        <w:t>| |     the payment partner supports it, then a 48-hour grace, then    |   |</w:t>
      </w:r>
    </w:p>
    <w:p>
      <w:pPr>
        <w:spacing w:before="0" w:after="0" w:line="240" w:lineRule="auto"/>
        <w:ind w:left="230"/>
        <w:shd w:val="clear" w:color="auto" w:fill="F7F9FC"/>
        <w:pBdr>
          <w:left w:val="single" w:sz="4" w:space="6" w:color="D0D5DD"/>
        </w:pBdr>
      </w:pPr>
      <w:r>
        <w:rPr>
          <w:rFonts w:ascii="Consolas" w:hAnsi="Consolas"/>
          <w:color w:val="0B1F3A"/>
          <w:sz w:val="16"/>
        </w:rPr>
        <w:t>| |     the organiser is told privately, then recovery. You are never  |   |</w:t>
      </w:r>
    </w:p>
    <w:p>
      <w:pPr>
        <w:spacing w:before="0" w:after="0" w:line="240" w:lineRule="auto"/>
        <w:ind w:left="230"/>
        <w:shd w:val="clear" w:color="auto" w:fill="F7F9FC"/>
        <w:pBdr>
          <w:left w:val="single" w:sz="4" w:space="6" w:color="D0D5DD"/>
        </w:pBdr>
      </w:pPr>
      <w:r>
        <w:rPr>
          <w:rFonts w:ascii="Consolas" w:hAnsi="Consolas"/>
          <w:color w:val="0B1F3A"/>
          <w:sz w:val="16"/>
        </w:rPr>
        <w:t>| |     charged extra to cover the gap, and the defaulting member is   |   |</w:t>
      </w:r>
    </w:p>
    <w:p>
      <w:pPr>
        <w:spacing w:before="0" w:after="0" w:line="240" w:lineRule="auto"/>
        <w:ind w:left="230"/>
        <w:shd w:val="clear" w:color="auto" w:fill="F7F9FC"/>
        <w:pBdr>
          <w:left w:val="single" w:sz="4" w:space="6" w:color="D0D5DD"/>
        </w:pBdr>
      </w:pPr>
      <w:r>
        <w:rPr>
          <w:rFonts w:ascii="Consolas" w:hAnsi="Consolas"/>
          <w:color w:val="0B1F3A"/>
          <w:sz w:val="16"/>
        </w:rPr>
        <w:t>| |     never named in the Ajo.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&lt; Safety and trust &gt;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(5) CTA AND FOOTER ----------------------------------------------------+</w:t>
      </w:r>
    </w:p>
    <w:p>
      <w:pPr>
        <w:spacing w:before="0" w:after="0" w:line="240" w:lineRule="auto"/>
        <w:ind w:left="230"/>
        <w:shd w:val="clear" w:color="auto" w:fill="F7F9FC"/>
        <w:pBdr>
          <w:left w:val="single" w:sz="4" w:space="6" w:color="D0D5DD"/>
        </w:pBdr>
      </w:pPr>
      <w:r>
        <w:rPr>
          <w:rFonts w:ascii="Consolas" w:hAnsi="Consolas"/>
          <w:color w:val="0B1F3A"/>
          <w:sz w:val="16"/>
        </w:rPr>
        <w:t>| Ready when your group is.  { Create free account }*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Fees  Safety  FAQ  About  Contact  Terms  Privacy                        |</w:t>
      </w:r>
    </w:p>
    <w:p>
      <w:pPr>
        <w:spacing w:before="0" w:after="0" w:line="240" w:lineRule="auto"/>
        <w:ind w:left="230"/>
        <w:shd w:val="clear" w:color="auto" w:fill="F7F9FC"/>
        <w:pBdr>
          <w:left w:val="single" w:sz="4" w:space="6" w:color="D0D5DD"/>
        </w:pBdr>
      </w:pPr>
      <w:r>
        <w:rPr>
          <w:rFonts w:ascii="Consolas" w:hAnsi="Consolas"/>
          <w:color w:val="0B1F3A"/>
          <w:sz w:val="16"/>
        </w:rPr>
        <w:t>| Your Ajo. Your Story.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6.4.2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950"/>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814"/>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5990"/>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950"/>
            <w:tcMar>
              <w:top w:w="60" w:type="dxa"/>
              <w:start w:w="110" w:type="dxa"/>
              <w:bottom w:w="60" w:type="dxa"/>
              <w:end w:w="110" w:type="dxa"/>
            </w:tcMar>
          </w:tcPr>
          <w:p>
            <w:pPr>
              <w:spacing w:after="0"/>
            </w:pPr>
            <w:r/>
            <w:r>
              <w:rPr>
                <w:rFonts w:ascii="Calibri" w:hAnsi="Calibri"/>
                <w:b w:val="0"/>
                <w:i w:val="0"/>
                <w:color w:val="101828"/>
                <w:sz w:val="14"/>
              </w:rPr>
              <w:t>(1) Header</w:t>
            </w:r>
          </w:p>
        </w:tc>
        <w:tc>
          <w:tcPr>
            <w:tcW w:type="dxa" w:w="1814"/>
            <w:tcMar>
              <w:top w:w="60" w:type="dxa"/>
              <w:start w:w="110" w:type="dxa"/>
              <w:bottom w:w="60" w:type="dxa"/>
              <w:end w:w="110" w:type="dxa"/>
            </w:tcMar>
          </w:tcPr>
          <w:p>
            <w:pPr>
              <w:spacing w:after="0"/>
            </w:pPr>
            <w:r/>
            <w:r>
              <w:rPr>
                <w:rFonts w:ascii="Calibri" w:hAnsi="Calibri"/>
                <w:b w:val="0"/>
                <w:i w:val="0"/>
                <w:color w:val="101828"/>
                <w:sz w:val="14"/>
              </w:rPr>
              <w:t>Same header component as 6.3.</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5990"/>
            <w:tcMar>
              <w:top w:w="60" w:type="dxa"/>
              <w:start w:w="110" w:type="dxa"/>
              <w:bottom w:w="60" w:type="dxa"/>
              <w:end w:w="110" w:type="dxa"/>
            </w:tcMar>
          </w:tcPr>
          <w:p>
            <w:pPr>
              <w:spacing w:after="0"/>
            </w:pPr>
            <w:r/>
            <w:r>
              <w:rPr>
                <w:rFonts w:ascii="Calibri" w:hAnsi="Calibri"/>
                <w:b w:val="0"/>
                <w:i w:val="0"/>
                <w:color w:val="101828"/>
                <w:sz w:val="14"/>
              </w:rPr>
              <w:t>One header component serves all of tier 1.</w:t>
            </w:r>
          </w:p>
        </w:tc>
      </w:tr>
      <w:tr>
        <w:trPr>
          <w:cantSplit/>
        </w:trPr>
        <w:tc>
          <w:tcPr>
            <w:tcW w:type="dxa" w:w="950"/>
            <w:tcMar>
              <w:top w:w="60" w:type="dxa"/>
              <w:start w:w="110" w:type="dxa"/>
              <w:bottom w:w="60" w:type="dxa"/>
              <w:end w:w="110" w:type="dxa"/>
            </w:tcMar>
            <w:shd w:val="clear" w:color="auto" w:fill="F4F7FB"/>
          </w:tcPr>
          <w:p>
            <w:pPr>
              <w:spacing w:after="0"/>
            </w:pPr>
            <w:r/>
            <w:r>
              <w:rPr>
                <w:rFonts w:ascii="Calibri" w:hAnsi="Calibri"/>
                <w:b w:val="0"/>
                <w:i w:val="0"/>
                <w:color w:val="101828"/>
                <w:sz w:val="14"/>
              </w:rPr>
              <w:t>(2) Title and standfirst</w:t>
            </w:r>
          </w:p>
        </w:tc>
        <w:tc>
          <w:tcPr>
            <w:tcW w:type="dxa" w:w="1814"/>
            <w:tcMar>
              <w:top w:w="60" w:type="dxa"/>
              <w:start w:w="110" w:type="dxa"/>
              <w:bottom w:w="60" w:type="dxa"/>
              <w:end w:w="110" w:type="dxa"/>
            </w:tcMar>
            <w:shd w:val="clear" w:color="auto" w:fill="F4F7FB"/>
          </w:tcPr>
          <w:p>
            <w:pPr>
              <w:spacing w:after="0"/>
            </w:pPr>
            <w:r/>
            <w:r>
              <w:rPr>
                <w:rFonts w:ascii="Calibri" w:hAnsi="Calibri"/>
                <w:b w:val="0"/>
                <w:i w:val="0"/>
                <w:color w:val="101828"/>
                <w:sz w:val="14"/>
              </w:rPr>
              <w:t>What the page is, in one line.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599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Standfirst is </w:t>
            </w:r>
            <w:r>
              <w:rPr>
                <w:rFonts w:ascii="Calibri" w:hAnsi="Calibri"/>
                <w:i/>
                <w:color w:val="101828"/>
                <w:sz w:val="14"/>
              </w:rPr>
              <w:t>the same scheme, recorded properly</w:t>
            </w:r>
            <w:r>
              <w:rPr>
                <w:rFonts w:ascii="Calibri" w:hAnsi="Calibri"/>
                <w:b w:val="0"/>
                <w:i w:val="0"/>
                <w:color w:val="101828"/>
                <w:sz w:val="14"/>
              </w:rPr>
              <w:t xml:space="preserve"> — the positioning line, not a feature claim.</w:t>
            </w:r>
          </w:p>
        </w:tc>
      </w:tr>
      <w:tr>
        <w:trPr>
          <w:cantSplit/>
        </w:trPr>
        <w:tc>
          <w:tcPr>
            <w:tcW w:type="dxa" w:w="950"/>
            <w:tcMar>
              <w:top w:w="60" w:type="dxa"/>
              <w:start w:w="110" w:type="dxa"/>
              <w:bottom w:w="60" w:type="dxa"/>
              <w:end w:w="110" w:type="dxa"/>
            </w:tcMar>
          </w:tcPr>
          <w:p>
            <w:pPr>
              <w:spacing w:after="0"/>
            </w:pPr>
            <w:r/>
            <w:r>
              <w:rPr>
                <w:rFonts w:ascii="Calibri" w:hAnsi="Calibri"/>
                <w:b w:val="0"/>
                <w:i w:val="0"/>
                <w:color w:val="101828"/>
                <w:sz w:val="14"/>
              </w:rPr>
              <w:t>(3) The six steps</w:t>
            </w:r>
          </w:p>
        </w:tc>
        <w:tc>
          <w:tcPr>
            <w:tcW w:type="dxa" w:w="1814"/>
            <w:tcMar>
              <w:top w:w="60" w:type="dxa"/>
              <w:start w:w="110" w:type="dxa"/>
              <w:bottom w:w="60" w:type="dxa"/>
              <w:end w:w="110" w:type="dxa"/>
            </w:tcMar>
          </w:tcPr>
          <w:p>
            <w:pPr>
              <w:spacing w:after="0"/>
            </w:pPr>
            <w:r/>
            <w:r>
              <w:rPr>
                <w:rFonts w:ascii="Calibri" w:hAnsi="Calibri"/>
                <w:b w:val="0"/>
                <w:i w:val="0"/>
                <w:color w:val="101828"/>
                <w:sz w:val="14"/>
              </w:rPr>
              <w:t>The mechanic, in the order a member lives it.</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5990"/>
            <w:tcMar>
              <w:top w:w="60" w:type="dxa"/>
              <w:start w:w="110" w:type="dxa"/>
              <w:bottom w:w="60" w:type="dxa"/>
              <w:end w:w="110" w:type="dxa"/>
            </w:tcMar>
          </w:tcPr>
          <w:p>
            <w:pPr>
              <w:spacing w:after="0"/>
            </w:pPr>
            <w:r/>
            <w:r>
              <w:rPr>
                <w:rFonts w:ascii="Calibri" w:hAnsi="Calibri"/>
                <w:b w:val="0"/>
                <w:i w:val="0"/>
                <w:color w:val="101828"/>
                <w:sz w:val="14"/>
              </w:rPr>
              <w:t xml:space="preserve">Step 4 names the fee and step 5 names the base pool. </w:t>
            </w:r>
            <w:r>
              <w:rPr>
                <w:rFonts w:ascii="Calibri" w:hAnsi="Calibri"/>
                <w:b/>
                <w:color w:val="101828"/>
                <w:sz w:val="14"/>
              </w:rPr>
              <w:t>The two money steps may not be merged or reordered.</w:t>
            </w:r>
          </w:p>
        </w:tc>
      </w:tr>
      <w:tr>
        <w:trPr>
          <w:cantSplit/>
        </w:trPr>
        <w:tc>
          <w:tcPr>
            <w:tcW w:type="dxa" w:w="950"/>
            <w:tcMar>
              <w:top w:w="60" w:type="dxa"/>
              <w:start w:w="110" w:type="dxa"/>
              <w:bottom w:w="60" w:type="dxa"/>
              <w:end w:w="110" w:type="dxa"/>
            </w:tcMar>
            <w:shd w:val="clear" w:color="auto" w:fill="F4F7FB"/>
          </w:tcPr>
          <w:p>
            <w:pPr>
              <w:spacing w:after="0"/>
            </w:pPr>
            <w:r/>
            <w:r>
              <w:rPr>
                <w:rFonts w:ascii="Calibri" w:hAnsi="Calibri"/>
                <w:b w:val="0"/>
                <w:i w:val="0"/>
                <w:color w:val="101828"/>
                <w:sz w:val="14"/>
              </w:rPr>
              <w:t>(4) Worked example</w:t>
            </w:r>
          </w:p>
        </w:tc>
        <w:tc>
          <w:tcPr>
            <w:tcW w:type="dxa" w:w="1814"/>
            <w:tcMar>
              <w:top w:w="60" w:type="dxa"/>
              <w:start w:w="110" w:type="dxa"/>
              <w:bottom w:w="60" w:type="dxa"/>
              <w:end w:w="110" w:type="dxa"/>
            </w:tcMar>
            <w:shd w:val="clear" w:color="auto" w:fill="F4F7FB"/>
          </w:tcPr>
          <w:p>
            <w:pPr>
              <w:spacing w:after="0"/>
            </w:pPr>
            <w:r/>
            <w:r>
              <w:rPr>
                <w:rFonts w:ascii="Calibri" w:hAnsi="Calibri"/>
                <w:b w:val="0"/>
                <w:i w:val="0"/>
                <w:color w:val="101828"/>
                <w:sz w:val="14"/>
              </w:rPr>
              <w:t>The canonical table, identical to the one on the receipt.</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5990"/>
            <w:tcMar>
              <w:top w:w="60" w:type="dxa"/>
              <w:start w:w="110" w:type="dxa"/>
              <w:bottom w:w="60" w:type="dxa"/>
              <w:end w:w="110" w:type="dxa"/>
            </w:tcMar>
            <w:shd w:val="clear" w:color="auto" w:fill="F4F7FB"/>
          </w:tcPr>
          <w:p>
            <w:pPr>
              <w:spacing w:after="0"/>
            </w:pPr>
            <w:r/>
            <w:r>
              <w:rPr>
                <w:rFonts w:ascii="Calibri" w:hAnsi="Calibri"/>
                <w:b w:val="0"/>
                <w:i w:val="0"/>
                <w:color w:val="101828"/>
                <w:sz w:val="14"/>
              </w:rPr>
              <w:t>Same eleven rows, same values, same order as 6.19 and as section 1. This is the single canonical money table for the product and it is transcribed, never retyped per screen.</w:t>
            </w:r>
          </w:p>
        </w:tc>
      </w:tr>
      <w:tr>
        <w:trPr>
          <w:cantSplit/>
        </w:trPr>
        <w:tc>
          <w:tcPr>
            <w:tcW w:type="dxa" w:w="950"/>
            <w:tcMar>
              <w:top w:w="60" w:type="dxa"/>
              <w:start w:w="110" w:type="dxa"/>
              <w:bottom w:w="60" w:type="dxa"/>
              <w:end w:w="110" w:type="dxa"/>
            </w:tcMar>
          </w:tcPr>
          <w:p>
            <w:pPr>
              <w:spacing w:after="0"/>
            </w:pPr>
            <w:r/>
            <w:r>
              <w:rPr>
                <w:rFonts w:ascii="Calibri" w:hAnsi="Calibri"/>
                <w:b w:val="0"/>
                <w:i w:val="0"/>
                <w:color w:val="101828"/>
                <w:sz w:val="14"/>
              </w:rPr>
              <w:t>(5) When things go wrong</w:t>
            </w:r>
          </w:p>
        </w:tc>
        <w:tc>
          <w:tcPr>
            <w:tcW w:type="dxa" w:w="1814"/>
            <w:tcMar>
              <w:top w:w="60" w:type="dxa"/>
              <w:start w:w="110" w:type="dxa"/>
              <w:bottom w:w="60" w:type="dxa"/>
              <w:end w:w="110" w:type="dxa"/>
            </w:tcMar>
          </w:tcPr>
          <w:p>
            <w:pPr>
              <w:spacing w:after="0"/>
            </w:pPr>
            <w:r/>
            <w:r>
              <w:rPr>
                <w:rFonts w:ascii="Calibri" w:hAnsi="Calibri"/>
                <w:b w:val="0"/>
                <w:i w:val="0"/>
                <w:color w:val="101828"/>
                <w:sz w:val="14"/>
              </w:rPr>
              <w:t>Default handling, stated plainly, before the CTA.</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5990"/>
            <w:tcMar>
              <w:top w:w="60" w:type="dxa"/>
              <w:start w:w="110" w:type="dxa"/>
              <w:bottom w:w="60" w:type="dxa"/>
              <w:end w:w="110" w:type="dxa"/>
            </w:tcMar>
          </w:tcPr>
          <w:p>
            <w:pPr>
              <w:spacing w:after="0"/>
            </w:pPr>
            <w:r/>
            <w:r>
              <w:rPr>
                <w:rFonts w:ascii="Calibri" w:hAnsi="Calibri"/>
                <w:b w:val="0"/>
                <w:i w:val="0"/>
                <w:color w:val="101828"/>
                <w:sz w:val="14"/>
              </w:rPr>
              <w:t>Mirrors CAN §4 in substance: reminder, retry, 48-hour grace, organiser notified, recovery. Must state that other members are not charged extra.</w:t>
            </w:r>
          </w:p>
        </w:tc>
      </w:tr>
      <w:tr>
        <w:trPr>
          <w:cantSplit/>
        </w:trPr>
        <w:tc>
          <w:tcPr>
            <w:tcW w:type="dxa" w:w="950"/>
            <w:tcMar>
              <w:top w:w="60" w:type="dxa"/>
              <w:start w:w="110" w:type="dxa"/>
              <w:bottom w:w="60" w:type="dxa"/>
              <w:end w:w="110" w:type="dxa"/>
            </w:tcMar>
            <w:shd w:val="clear" w:color="auto" w:fill="F4F7FB"/>
          </w:tcPr>
          <w:p>
            <w:pPr>
              <w:spacing w:after="0"/>
            </w:pPr>
            <w:r/>
            <w:r>
              <w:rPr>
                <w:rFonts w:ascii="Calibri" w:hAnsi="Calibri"/>
                <w:b w:val="0"/>
                <w:i w:val="0"/>
                <w:color w:val="101828"/>
                <w:sz w:val="14"/>
              </w:rPr>
              <w:t>(6) CTA</w:t>
            </w:r>
          </w:p>
        </w:tc>
        <w:tc>
          <w:tcPr>
            <w:tcW w:type="dxa" w:w="1814"/>
            <w:tcMar>
              <w:top w:w="60" w:type="dxa"/>
              <w:start w:w="110" w:type="dxa"/>
              <w:bottom w:w="60" w:type="dxa"/>
              <w:end w:w="110" w:type="dxa"/>
            </w:tcMar>
            <w:shd w:val="clear" w:color="auto" w:fill="F4F7FB"/>
          </w:tcPr>
          <w:p>
            <w:pPr>
              <w:spacing w:after="0"/>
            </w:pPr>
            <w:r/>
            <w:r>
              <w:rPr>
                <w:rFonts w:ascii="Calibri" w:hAnsi="Calibri"/>
                <w:b w:val="0"/>
                <w:i w:val="0"/>
                <w:color w:val="101828"/>
                <w:sz w:val="14"/>
              </w:rPr>
              <w:t>The single next step.</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P2</w:t>
            </w:r>
          </w:p>
        </w:tc>
        <w:tc>
          <w:tcPr>
            <w:tcW w:type="dxa" w:w="5990"/>
            <w:tcMar>
              <w:top w:w="60" w:type="dxa"/>
              <w:start w:w="110" w:type="dxa"/>
              <w:bottom w:w="60" w:type="dxa"/>
              <w:end w:w="110" w:type="dxa"/>
            </w:tcMar>
            <w:shd w:val="clear" w:color="auto" w:fill="F4F7FB"/>
          </w:tcPr>
          <w:p>
            <w:pPr>
              <w:spacing w:after="0"/>
            </w:pPr>
            <w:r/>
            <w:r>
              <w:rPr>
                <w:rFonts w:ascii="Calibri" w:hAnsi="Calibri"/>
                <w:b w:val="0"/>
                <w:i w:val="0"/>
                <w:color w:val="101828"/>
                <w:sz w:val="14"/>
              </w:rPr>
              <w:t>One primary action only.</w:t>
            </w:r>
          </w:p>
        </w:tc>
      </w:tr>
      <w:tr>
        <w:trPr>
          <w:cantSplit/>
        </w:trPr>
        <w:tc>
          <w:tcPr>
            <w:tcW w:type="dxa" w:w="950"/>
            <w:tcMar>
              <w:top w:w="60" w:type="dxa"/>
              <w:start w:w="110" w:type="dxa"/>
              <w:bottom w:w="60" w:type="dxa"/>
              <w:end w:w="110" w:type="dxa"/>
            </w:tcMar>
          </w:tcPr>
          <w:p>
            <w:pPr>
              <w:spacing w:after="0"/>
            </w:pPr>
            <w:r/>
            <w:r>
              <w:rPr>
                <w:rFonts w:ascii="Calibri" w:hAnsi="Calibri"/>
                <w:b w:val="0"/>
                <w:i w:val="0"/>
                <w:color w:val="101828"/>
                <w:sz w:val="14"/>
              </w:rPr>
              <w:t>— Email gate, quiz, calculator</w:t>
            </w:r>
          </w:p>
        </w:tc>
        <w:tc>
          <w:tcPr>
            <w:tcW w:type="dxa" w:w="1814"/>
            <w:tcMar>
              <w:top w:w="60" w:type="dxa"/>
              <w:start w:w="110" w:type="dxa"/>
              <w:bottom w:w="60" w:type="dxa"/>
              <w:end w:w="110" w:type="dxa"/>
            </w:tcMar>
          </w:tcPr>
          <w:p>
            <w:pPr>
              <w:spacing w:after="0"/>
            </w:pPr>
            <w:r/>
            <w:r>
              <w:rPr>
                <w:rFonts w:ascii="Calibri" w:hAnsi="Calibri"/>
                <w:b/>
                <w:color w:val="101828"/>
                <w:sz w:val="14"/>
              </w:rPr>
              <w:t>Calculator permitted; gate prohibited.</w:t>
            </w:r>
          </w:p>
        </w:tc>
        <w:tc>
          <w:tcPr>
            <w:tcW w:type="dxa" w:w="605"/>
            <w:tcMar>
              <w:top w:w="60" w:type="dxa"/>
              <w:start w:w="110" w:type="dxa"/>
              <w:bottom w:w="60" w:type="dxa"/>
              <w:end w:w="110" w:type="dxa"/>
            </w:tcMar>
          </w:tcPr>
          <w:p>
            <w:pPr>
              <w:spacing w:after="0"/>
            </w:pPr>
            <w:r/>
            <w:r>
              <w:rPr>
                <w:rFonts w:ascii="Calibri" w:hAnsi="Calibri"/>
                <w:b w:val="0"/>
                <w:i w:val="0"/>
                <w:color w:val="101828"/>
                <w:sz w:val="14"/>
              </w:rPr>
              <w:t>P2</w:t>
            </w:r>
          </w:p>
        </w:tc>
        <w:tc>
          <w:tcPr>
            <w:tcW w:type="dxa" w:w="5990"/>
            <w:tcMar>
              <w:top w:w="60" w:type="dxa"/>
              <w:start w:w="110" w:type="dxa"/>
              <w:bottom w:w="60" w:type="dxa"/>
              <w:end w:w="110" w:type="dxa"/>
            </w:tcMar>
          </w:tcPr>
          <w:p>
            <w:pPr>
              <w:spacing w:after="0"/>
            </w:pPr>
            <w:r/>
            <w:r>
              <w:rPr>
                <w:rFonts w:ascii="Calibri" w:hAnsi="Calibri"/>
                <w:b w:val="0"/>
                <w:i w:val="0"/>
                <w:color w:val="101828"/>
                <w:sz w:val="14"/>
              </w:rPr>
              <w:t>A fee calculator that turns NGN 1,000.00 of input into NGN 1,020.00 is good, because it makes the fee concrete. An email capture before the fee is shown is a dark pattern (7.17) and is not permitted.</w:t>
            </w:r>
          </w:p>
        </w:tc>
      </w:tr>
    </w:tbl>
    <w:p>
      <w:pPr>
        <w:spacing w:after="80"/>
      </w:pPr>
    </w:p>
    <w:p>
      <w:pPr>
        <w:pStyle w:val="Heading2"/>
      </w:pPr>
      <w:r>
        <w:rPr>
          <w:rFonts w:ascii="Calibri" w:hAnsi="Calibri"/>
          <w:b/>
          <w:i w:val="0"/>
          <w:color w:val="146EF5"/>
          <w:sz w:val="29"/>
        </w:rPr>
        <w:t>6.5 Login — SCR-WEB-09</w:t>
      </w:r>
    </w:p>
    <w:p>
      <w:r>
        <w:rPr>
          <w:rFonts w:ascii="Calibri" w:hAnsi="Calibri"/>
          <w:b w:val="0"/>
          <w:i w:val="0"/>
          <w:color w:val="101828"/>
          <w:sz w:val="21"/>
        </w:rPr>
        <w:t>The return path. Its only job is to get a known member back to their Dashboard with as few decisions as possible: one identifier, one password, one button. It carries no marketing, no carousel and no pitch, and it never tells a person whether an account exists.</w:t>
      </w:r>
    </w:p>
    <w:p>
      <w:pPr>
        <w:pStyle w:val="Heading3"/>
      </w:pPr>
      <w:r>
        <w:rPr>
          <w:rFonts w:ascii="Calibri" w:hAnsi="Calibri"/>
          <w:b/>
          <w:i w:val="0"/>
          <w:color w:val="0B1F3A"/>
          <w:sz w:val="24"/>
        </w:rPr>
        <w:t>6.5.1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AJO.ng                   [=]             |</w:t>
      </w:r>
    </w:p>
    <w:p>
      <w:pPr>
        <w:spacing w:before="0" w:after="0" w:line="240" w:lineRule="auto"/>
        <w:ind w:left="230"/>
        <w:shd w:val="clear" w:color="auto" w:fill="F7F9FC"/>
        <w:pBdr>
          <w:left w:val="single" w:sz="4" w:space="6" w:color="D0D5DD"/>
        </w:pBdr>
      </w:pPr>
      <w:r>
        <w:rPr>
          <w:rFonts w:ascii="Consolas" w:hAnsi="Consolas"/>
          <w:color w:val="0B1F3A"/>
          <w:sz w:val="16"/>
        </w:rPr>
        <w:t>+-- (2) TITLE AND FORM --------------------+</w:t>
      </w:r>
    </w:p>
    <w:p>
      <w:pPr>
        <w:spacing w:before="0" w:after="0" w:line="240" w:lineRule="auto"/>
        <w:ind w:left="230"/>
        <w:shd w:val="clear" w:color="auto" w:fill="F7F9FC"/>
        <w:pBdr>
          <w:left w:val="single" w:sz="4" w:space="6" w:color="D0D5DD"/>
        </w:pBdr>
      </w:pPr>
      <w:r>
        <w:rPr>
          <w:rFonts w:ascii="Consolas" w:hAnsi="Consolas"/>
          <w:color w:val="0B1F3A"/>
          <w:sz w:val="16"/>
        </w:rPr>
        <w:t>| # Welcome back                           |</w:t>
      </w:r>
    </w:p>
    <w:p>
      <w:pPr>
        <w:spacing w:before="0" w:after="0" w:line="240" w:lineRule="auto"/>
        <w:ind w:left="230"/>
        <w:shd w:val="clear" w:color="auto" w:fill="F7F9FC"/>
        <w:pBdr>
          <w:left w:val="single" w:sz="4" w:space="6" w:color="D0D5DD"/>
        </w:pBdr>
      </w:pPr>
      <w:r>
        <w:rPr>
          <w:rFonts w:ascii="Consolas" w:hAnsi="Consolas"/>
          <w:color w:val="0B1F3A"/>
          <w:sz w:val="16"/>
        </w:rPr>
        <w:t>| Sign in to your account.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Email or phone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Password                                 |</w:t>
      </w:r>
    </w:p>
    <w:p>
      <w:pPr>
        <w:spacing w:before="0" w:after="0" w:line="240" w:lineRule="auto"/>
        <w:ind w:left="230"/>
        <w:shd w:val="clear" w:color="auto" w:fill="F7F9FC"/>
        <w:pBdr>
          <w:left w:val="single" w:sz="4" w:space="6" w:color="D0D5DD"/>
        </w:pBdr>
      </w:pPr>
      <w:r>
        <w:rPr>
          <w:rFonts w:ascii="Consolas" w:hAnsi="Consolas"/>
          <w:color w:val="0B1F3A"/>
          <w:sz w:val="16"/>
        </w:rPr>
        <w:t>| [                          ]  (o)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[x] Keep me signed in on this            |</w:t>
      </w:r>
    </w:p>
    <w:p>
      <w:pPr>
        <w:spacing w:before="0" w:after="0" w:line="240" w:lineRule="auto"/>
        <w:ind w:left="230"/>
        <w:shd w:val="clear" w:color="auto" w:fill="F7F9FC"/>
        <w:pBdr>
          <w:left w:val="single" w:sz="4" w:space="6" w:color="D0D5DD"/>
        </w:pBdr>
      </w:pPr>
      <w:r>
        <w:rPr>
          <w:rFonts w:ascii="Consolas" w:hAnsi="Consolas"/>
          <w:color w:val="0B1F3A"/>
          <w:sz w:val="16"/>
        </w:rPr>
        <w:t>|     device for 30 days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x  We could not sign you in with         |</w:t>
      </w:r>
    </w:p>
    <w:p>
      <w:pPr>
        <w:spacing w:before="0" w:after="0" w:line="240" w:lineRule="auto"/>
        <w:ind w:left="230"/>
        <w:shd w:val="clear" w:color="auto" w:fill="F7F9FC"/>
        <w:pBdr>
          <w:left w:val="single" w:sz="4" w:space="6" w:color="D0D5DD"/>
        </w:pBdr>
      </w:pPr>
      <w:r>
        <w:rPr>
          <w:rFonts w:ascii="Consolas" w:hAnsi="Consolas"/>
          <w:color w:val="0B1F3A"/>
          <w:sz w:val="16"/>
        </w:rPr>
        <w:t>|    those details. Check them and         |</w:t>
      </w:r>
    </w:p>
    <w:p>
      <w:pPr>
        <w:spacing w:before="0" w:after="0" w:line="240" w:lineRule="auto"/>
        <w:ind w:left="230"/>
        <w:shd w:val="clear" w:color="auto" w:fill="F7F9FC"/>
        <w:pBdr>
          <w:left w:val="single" w:sz="4" w:space="6" w:color="D0D5DD"/>
        </w:pBdr>
      </w:pPr>
      <w:r>
        <w:rPr>
          <w:rFonts w:ascii="Consolas" w:hAnsi="Consolas"/>
          <w:color w:val="0B1F3A"/>
          <w:sz w:val="16"/>
        </w:rPr>
        <w:t>|    try again, or reset your              |</w:t>
      </w:r>
    </w:p>
    <w:p>
      <w:pPr>
        <w:spacing w:before="0" w:after="0" w:line="240" w:lineRule="auto"/>
        <w:ind w:left="230"/>
        <w:shd w:val="clear" w:color="auto" w:fill="F7F9FC"/>
        <w:pBdr>
          <w:left w:val="single" w:sz="4" w:space="6" w:color="D0D5DD"/>
        </w:pBdr>
      </w:pPr>
      <w:r>
        <w:rPr>
          <w:rFonts w:ascii="Consolas" w:hAnsi="Consolas"/>
          <w:color w:val="0B1F3A"/>
          <w:sz w:val="16"/>
        </w:rPr>
        <w:t>|    password.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Sign in }*                             |</w:t>
      </w:r>
    </w:p>
    <w:p>
      <w:pPr>
        <w:spacing w:before="0" w:after="0" w:line="240" w:lineRule="auto"/>
        <w:ind w:left="230"/>
        <w:shd w:val="clear" w:color="auto" w:fill="F7F9FC"/>
        <w:pBdr>
          <w:left w:val="single" w:sz="4" w:space="6" w:color="D0D5DD"/>
        </w:pBdr>
      </w:pPr>
      <w:r>
        <w:rPr>
          <w:rFonts w:ascii="Consolas" w:hAnsi="Consolas"/>
          <w:color w:val="0B1F3A"/>
          <w:sz w:val="16"/>
        </w:rPr>
        <w:t>| &lt; Forgot password? &gt;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New to AJO.ng?                           |</w:t>
      </w:r>
    </w:p>
    <w:p>
      <w:pPr>
        <w:spacing w:before="0" w:after="0" w:line="240" w:lineRule="auto"/>
        <w:ind w:left="230"/>
        <w:shd w:val="clear" w:color="auto" w:fill="F7F9FC"/>
        <w:pBdr>
          <w:left w:val="single" w:sz="4" w:space="6" w:color="D0D5DD"/>
        </w:pBdr>
      </w:pPr>
      <w:r>
        <w:rPr>
          <w:rFonts w:ascii="Consolas" w:hAnsi="Consolas"/>
          <w:color w:val="0B1F3A"/>
          <w:sz w:val="16"/>
        </w:rPr>
        <w:t>| &lt; Create an account &gt;                    |</w:t>
      </w:r>
    </w:p>
    <w:p>
      <w:pPr>
        <w:spacing w:before="0" w:after="0" w:line="240" w:lineRule="auto"/>
        <w:ind w:left="230"/>
        <w:shd w:val="clear" w:color="auto" w:fill="F7F9FC"/>
        <w:pBdr>
          <w:left w:val="single" w:sz="4" w:space="6" w:color="D0D5DD"/>
        </w:pBdr>
      </w:pPr>
      <w:r>
        <w:rPr>
          <w:rFonts w:ascii="Consolas" w:hAnsi="Consolas"/>
          <w:color w:val="0B1F3A"/>
          <w:sz w:val="16"/>
        </w:rPr>
        <w:t>| Terms  Privacy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SPLIT LAYOUT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  Welcome back                          | |</w:t>
      </w:r>
    </w:p>
    <w:p>
      <w:pPr>
        <w:spacing w:before="0" w:after="0" w:line="240" w:lineRule="auto"/>
        <w:ind w:left="230"/>
        <w:shd w:val="clear" w:color="auto" w:fill="F7F9FC"/>
        <w:pBdr>
          <w:left w:val="single" w:sz="4" w:space="6" w:color="D0D5DD"/>
        </w:pBdr>
      </w:pPr>
      <w:r>
        <w:rPr>
          <w:rFonts w:ascii="Consolas" w:hAnsi="Consolas"/>
          <w:color w:val="0B1F3A"/>
          <w:sz w:val="16"/>
        </w:rPr>
        <w:t>| |  Your Ajo. Your Story.   |  |  Sign in to your account.              | |</w:t>
      </w:r>
    </w:p>
    <w:p>
      <w:pPr>
        <w:spacing w:before="0" w:after="0" w:line="240" w:lineRule="auto"/>
        <w:ind w:left="230"/>
        <w:shd w:val="clear" w:color="auto" w:fill="F7F9FC"/>
        <w:pBdr>
          <w:left w:val="single" w:sz="4" w:space="6" w:color="D0D5DD"/>
        </w:pBdr>
      </w:pPr>
      <w:r>
        <w:rPr>
          <w:rFonts w:ascii="Consolas" w:hAnsi="Consolas"/>
          <w:color w:val="0B1F3A"/>
          <w:sz w:val="16"/>
        </w:rPr>
        <w:t>| |                          |  |  ------------------------------------  | |</w:t>
      </w:r>
    </w:p>
    <w:p>
      <w:pPr>
        <w:spacing w:before="0" w:after="0" w:line="240" w:lineRule="auto"/>
        <w:ind w:left="230"/>
        <w:shd w:val="clear" w:color="auto" w:fill="F7F9FC"/>
        <w:pBdr>
          <w:left w:val="single" w:sz="4" w:space="6" w:color="D0D5DD"/>
        </w:pBdr>
      </w:pPr>
      <w:r>
        <w:rPr>
          <w:rFonts w:ascii="Consolas" w:hAnsi="Consolas"/>
          <w:color w:val="0B1F3A"/>
          <w:sz w:val="16"/>
        </w:rPr>
        <w:t>| |  An Ajo is not a new     |  |                                        | |</w:t>
      </w:r>
    </w:p>
    <w:p>
      <w:pPr>
        <w:spacing w:before="0" w:after="0" w:line="240" w:lineRule="auto"/>
        <w:ind w:left="230"/>
        <w:shd w:val="clear" w:color="auto" w:fill="F7F9FC"/>
        <w:pBdr>
          <w:left w:val="single" w:sz="4" w:space="6" w:color="D0D5DD"/>
        </w:pBdr>
      </w:pPr>
      <w:r>
        <w:rPr>
          <w:rFonts w:ascii="Consolas" w:hAnsi="Consolas"/>
          <w:color w:val="0B1F3A"/>
          <w:sz w:val="16"/>
        </w:rPr>
        <w:t>| |  idea. Ten people,       |  |  Email or phone                        | |</w:t>
      </w:r>
    </w:p>
    <w:p>
      <w:pPr>
        <w:spacing w:before="0" w:after="0" w:line="240" w:lineRule="auto"/>
        <w:ind w:left="230"/>
        <w:shd w:val="clear" w:color="auto" w:fill="F7F9FC"/>
        <w:pBdr>
          <w:left w:val="single" w:sz="4" w:space="6" w:color="D0D5DD"/>
        </w:pBdr>
      </w:pPr>
      <w:r>
        <w:rPr>
          <w:rFonts w:ascii="Consolas" w:hAnsi="Consolas"/>
          <w:color w:val="0B1F3A"/>
          <w:sz w:val="16"/>
        </w:rPr>
        <w:t>| |  NGN 1,000.00 each,      |  |  [                              ]      | |</w:t>
      </w:r>
    </w:p>
    <w:p>
      <w:pPr>
        <w:spacing w:before="0" w:after="0" w:line="240" w:lineRule="auto"/>
        <w:ind w:left="230"/>
        <w:shd w:val="clear" w:color="auto" w:fill="F7F9FC"/>
        <w:pBdr>
          <w:left w:val="single" w:sz="4" w:space="6" w:color="D0D5DD"/>
        </w:pBdr>
      </w:pPr>
      <w:r>
        <w:rPr>
          <w:rFonts w:ascii="Consolas" w:hAnsi="Consolas"/>
          <w:color w:val="0B1F3A"/>
          <w:sz w:val="16"/>
        </w:rPr>
        <w:t>| |  one payout each.        |  |                                        | |</w:t>
      </w:r>
    </w:p>
    <w:p>
      <w:pPr>
        <w:spacing w:before="0" w:after="0" w:line="240" w:lineRule="auto"/>
        <w:ind w:left="230"/>
        <w:shd w:val="clear" w:color="auto" w:fill="F7F9FC"/>
        <w:pBdr>
          <w:left w:val="single" w:sz="4" w:space="6" w:color="D0D5DD"/>
        </w:pBdr>
      </w:pPr>
      <w:r>
        <w:rPr>
          <w:rFonts w:ascii="Consolas" w:hAnsi="Consolas"/>
          <w:color w:val="0B1F3A"/>
          <w:sz w:val="16"/>
        </w:rPr>
        <w:t>| |                          |  |  Password                              | |</w:t>
      </w:r>
    </w:p>
    <w:p>
      <w:pPr>
        <w:spacing w:before="0" w:after="0" w:line="240" w:lineRule="auto"/>
        <w:ind w:left="230"/>
        <w:shd w:val="clear" w:color="auto" w:fill="F7F9FC"/>
        <w:pBdr>
          <w:left w:val="single" w:sz="4" w:space="6" w:color="D0D5DD"/>
        </w:pBdr>
      </w:pPr>
      <w:r>
        <w:rPr>
          <w:rFonts w:ascii="Consolas" w:hAnsi="Consolas"/>
          <w:color w:val="0B1F3A"/>
          <w:sz w:val="16"/>
        </w:rPr>
        <w:t>| |  Ten rounds. At your     |  |  [                             ]  (o)  | |</w:t>
      </w:r>
    </w:p>
    <w:p>
      <w:pPr>
        <w:spacing w:before="0" w:after="0" w:line="240" w:lineRule="auto"/>
        <w:ind w:left="230"/>
        <w:shd w:val="clear" w:color="auto" w:fill="F7F9FC"/>
        <w:pBdr>
          <w:left w:val="single" w:sz="4" w:space="6" w:color="D0D5DD"/>
        </w:pBdr>
      </w:pPr>
      <w:r>
        <w:rPr>
          <w:rFonts w:ascii="Consolas" w:hAnsi="Consolas"/>
          <w:color w:val="0B1F3A"/>
          <w:sz w:val="16"/>
        </w:rPr>
        <w:t>| |  turn, NGN 10,000.00.    |  |                                        | |</w:t>
      </w:r>
    </w:p>
    <w:p>
      <w:pPr>
        <w:spacing w:before="0" w:after="0" w:line="240" w:lineRule="auto"/>
        <w:ind w:left="230"/>
        <w:shd w:val="clear" w:color="auto" w:fill="F7F9FC"/>
        <w:pBdr>
          <w:left w:val="single" w:sz="4" w:space="6" w:color="D0D5DD"/>
        </w:pBdr>
      </w:pPr>
      <w:r>
        <w:rPr>
          <w:rFonts w:ascii="Consolas" w:hAnsi="Consolas"/>
          <w:color w:val="0B1F3A"/>
          <w:sz w:val="16"/>
        </w:rPr>
        <w:t>| |                          |  |  [x] Keep me signed in on this         | |</w:t>
      </w:r>
    </w:p>
    <w:p>
      <w:pPr>
        <w:spacing w:before="0" w:after="0" w:line="240" w:lineRule="auto"/>
        <w:ind w:left="230"/>
        <w:shd w:val="clear" w:color="auto" w:fill="F7F9FC"/>
        <w:pBdr>
          <w:left w:val="single" w:sz="4" w:space="6" w:color="D0D5DD"/>
        </w:pBdr>
      </w:pPr>
      <w:r>
        <w:rPr>
          <w:rFonts w:ascii="Consolas" w:hAnsi="Consolas"/>
          <w:color w:val="0B1F3A"/>
          <w:sz w:val="16"/>
        </w:rPr>
        <w:t>| |  NGN 20.00 per round,    |  |      device for 30 days                | |</w:t>
      </w:r>
    </w:p>
    <w:p>
      <w:pPr>
        <w:spacing w:before="0" w:after="0" w:line="240" w:lineRule="auto"/>
        <w:ind w:left="230"/>
        <w:shd w:val="clear" w:color="auto" w:fill="F7F9FC"/>
        <w:pBdr>
          <w:left w:val="single" w:sz="4" w:space="6" w:color="D0D5DD"/>
        </w:pBdr>
      </w:pPr>
      <w:r>
        <w:rPr>
          <w:rFonts w:ascii="Consolas" w:hAnsi="Consolas"/>
          <w:color w:val="0B1F3A"/>
          <w:sz w:val="16"/>
        </w:rPr>
        <w:t>| |  charged on top. That    |  |                                        | |</w:t>
      </w:r>
    </w:p>
    <w:p>
      <w:pPr>
        <w:spacing w:before="0" w:after="0" w:line="240" w:lineRule="auto"/>
        <w:ind w:left="230"/>
        <w:shd w:val="clear" w:color="auto" w:fill="F7F9FC"/>
        <w:pBdr>
          <w:left w:val="single" w:sz="4" w:space="6" w:color="D0D5DD"/>
        </w:pBdr>
      </w:pPr>
      <w:r>
        <w:rPr>
          <w:rFonts w:ascii="Consolas" w:hAnsi="Consolas"/>
          <w:color w:val="0B1F3A"/>
          <w:sz w:val="16"/>
        </w:rPr>
        <w:t>| |  is the whole cost.      |  |  ------------------------------------  | |</w:t>
      </w:r>
    </w:p>
    <w:p>
      <w:pPr>
        <w:spacing w:before="0" w:after="0" w:line="240" w:lineRule="auto"/>
        <w:ind w:left="230"/>
        <w:shd w:val="clear" w:color="auto" w:fill="F7F9FC"/>
        <w:pBdr>
          <w:left w:val="single" w:sz="4" w:space="6" w:color="D0D5DD"/>
        </w:pBdr>
      </w:pPr>
      <w:r>
        <w:rPr>
          <w:rFonts w:ascii="Consolas" w:hAnsi="Consolas"/>
          <w:color w:val="0B1F3A"/>
          <w:sz w:val="16"/>
        </w:rPr>
        <w:t>| |                          |  |                                        | |</w:t>
      </w:r>
    </w:p>
    <w:p>
      <w:pPr>
        <w:spacing w:before="0" w:after="0" w:line="240" w:lineRule="auto"/>
        <w:ind w:left="230"/>
        <w:shd w:val="clear" w:color="auto" w:fill="F7F9FC"/>
        <w:pBdr>
          <w:left w:val="single" w:sz="4" w:space="6" w:color="D0D5DD"/>
        </w:pBdr>
      </w:pPr>
      <w:r>
        <w:rPr>
          <w:rFonts w:ascii="Consolas" w:hAnsi="Consolas"/>
          <w:color w:val="0B1F3A"/>
          <w:sz w:val="16"/>
        </w:rPr>
        <w:t>| |  AJO.ng                  |  |  x  We could not sign you in with      | |</w:t>
      </w:r>
    </w:p>
    <w:p>
      <w:pPr>
        <w:spacing w:before="0" w:after="0" w:line="240" w:lineRule="auto"/>
        <w:ind w:left="230"/>
        <w:shd w:val="clear" w:color="auto" w:fill="F7F9FC"/>
        <w:pBdr>
          <w:left w:val="single" w:sz="4" w:space="6" w:color="D0D5DD"/>
        </w:pBdr>
      </w:pPr>
      <w:r>
        <w:rPr>
          <w:rFonts w:ascii="Consolas" w:hAnsi="Consolas"/>
          <w:color w:val="0B1F3A"/>
          <w:sz w:val="16"/>
        </w:rPr>
        <w:t>| +--------------------------+  |    those                               | |</w:t>
      </w:r>
    </w:p>
    <w:p>
      <w:pPr>
        <w:spacing w:before="0" w:after="0" w:line="240" w:lineRule="auto"/>
        <w:ind w:left="230"/>
        <w:shd w:val="clear" w:color="auto" w:fill="F7F9FC"/>
        <w:pBdr>
          <w:left w:val="single" w:sz="4" w:space="6" w:color="D0D5DD"/>
        </w:pBdr>
      </w:pPr>
      <w:r>
        <w:rPr>
          <w:rFonts w:ascii="Consolas" w:hAnsi="Consolas"/>
          <w:color w:val="0B1F3A"/>
          <w:sz w:val="16"/>
        </w:rPr>
        <w:t>|                               |     details. Try again, or reset your  | |</w:t>
      </w:r>
    </w:p>
    <w:p>
      <w:pPr>
        <w:spacing w:before="0" w:after="0" w:line="240" w:lineRule="auto"/>
        <w:ind w:left="230"/>
        <w:shd w:val="clear" w:color="auto" w:fill="F7F9FC"/>
        <w:pBdr>
          <w:left w:val="single" w:sz="4" w:space="6" w:color="D0D5DD"/>
        </w:pBdr>
      </w:pPr>
      <w:r>
        <w:rPr>
          <w:rFonts w:ascii="Consolas" w:hAnsi="Consolas"/>
          <w:color w:val="0B1F3A"/>
          <w:sz w:val="16"/>
        </w:rPr>
        <w:t>|                               |     password.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Sign in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&lt; Forgot password? &gt;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New to AJO.ng?  &lt; Create an account   | |</w:t>
      </w:r>
    </w:p>
    <w:p>
      <w:pPr>
        <w:spacing w:before="0" w:after="0" w:line="240" w:lineRule="auto"/>
        <w:ind w:left="230"/>
        <w:shd w:val="clear" w:color="auto" w:fill="F7F9FC"/>
        <w:pBdr>
          <w:left w:val="single" w:sz="4" w:space="6" w:color="D0D5DD"/>
        </w:pBdr>
      </w:pPr>
      <w:r>
        <w:rPr>
          <w:rFonts w:ascii="Consolas" w:hAnsi="Consolas"/>
          <w:color w:val="0B1F3A"/>
          <w:sz w:val="16"/>
        </w:rPr>
        <w:t>|                               |    &gt;                                   | |</w:t>
      </w:r>
    </w:p>
    <w:p>
      <w:pPr>
        <w:spacing w:before="0" w:after="0" w:line="240" w:lineRule="auto"/>
        <w:ind w:left="230"/>
        <w:shd w:val="clear" w:color="auto" w:fill="F7F9FC"/>
        <w:pBdr>
          <w:left w:val="single" w:sz="4" w:space="6" w:color="D0D5DD"/>
        </w:pBdr>
      </w:pPr>
      <w:r>
        <w:rPr>
          <w:rFonts w:ascii="Consolas" w:hAnsi="Consolas"/>
          <w:color w:val="0B1F3A"/>
          <w:sz w:val="16"/>
        </w:rPr>
        <w:t>|                               |  Terms   Privacy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6.5.2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483"/>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667"/>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 Header</w:t>
            </w:r>
          </w:p>
        </w:tc>
        <w:tc>
          <w:tcPr>
            <w:tcW w:type="dxa" w:w="1483"/>
            <w:tcMar>
              <w:top w:w="60" w:type="dxa"/>
              <w:start w:w="110" w:type="dxa"/>
              <w:bottom w:w="60" w:type="dxa"/>
              <w:end w:w="110" w:type="dxa"/>
            </w:tcMar>
          </w:tcPr>
          <w:p>
            <w:pPr>
              <w:spacing w:after="0"/>
            </w:pPr>
            <w:r/>
            <w:r>
              <w:rPr>
                <w:rFonts w:ascii="Calibri" w:hAnsi="Calibri"/>
                <w:b w:val="0"/>
                <w:i w:val="0"/>
                <w:color w:val="101828"/>
                <w:sz w:val="14"/>
              </w:rPr>
              <w:t>Wordmark linking home, minimal menu.</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67"/>
            <w:tcMar>
              <w:top w:w="60" w:type="dxa"/>
              <w:start w:w="110" w:type="dxa"/>
              <w:bottom w:w="60" w:type="dxa"/>
              <w:end w:w="110" w:type="dxa"/>
            </w:tcMar>
          </w:tcPr>
          <w:p>
            <w:pPr>
              <w:spacing w:after="0"/>
            </w:pPr>
            <w:r/>
            <w:r>
              <w:rPr>
                <w:rFonts w:ascii="Calibri" w:hAnsi="Calibri"/>
                <w:b w:val="0"/>
                <w:i w:val="0"/>
                <w:color w:val="101828"/>
                <w:sz w:val="14"/>
              </w:rPr>
              <w:t>On the desktop frame this is replaced by the brand panel, which carries the same wordmark.</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Title</w:t>
            </w:r>
          </w:p>
        </w:tc>
        <w:tc>
          <w:tcPr>
            <w:tcW w:type="dxa" w:w="1483"/>
            <w:tcMar>
              <w:top w:w="60" w:type="dxa"/>
              <w:start w:w="110" w:type="dxa"/>
              <w:bottom w:w="60" w:type="dxa"/>
              <w:end w:w="110" w:type="dxa"/>
            </w:tcMar>
            <w:shd w:val="clear" w:color="auto" w:fill="F4F7FB"/>
          </w:tcPr>
          <w:p>
            <w:pPr>
              <w:spacing w:after="0"/>
            </w:pPr>
            <w:r/>
            <w:r>
              <w:rPr>
                <w:rFonts w:ascii="Calibri" w:hAnsi="Calibri"/>
                <w:i/>
                <w:color w:val="101828"/>
                <w:sz w:val="14"/>
              </w:rPr>
              <w:t>Welcome back</w:t>
            </w:r>
            <w:r>
              <w:rPr>
                <w:rFonts w:ascii="Calibri" w:hAnsi="Calibri"/>
                <w:b w:val="0"/>
                <w:i w:val="0"/>
                <w:color w:val="101828"/>
                <w:sz w:val="14"/>
              </w:rPr>
              <w:t xml:space="preserve"> and one line of orientation.</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P2</w:t>
            </w:r>
          </w:p>
        </w:tc>
        <w:tc>
          <w:tcPr>
            <w:tcW w:type="dxa" w:w="6667"/>
            <w:tcMar>
              <w:top w:w="60" w:type="dxa"/>
              <w:start w:w="110" w:type="dxa"/>
              <w:bottom w:w="60" w:type="dxa"/>
              <w:end w:w="110" w:type="dxa"/>
            </w:tcMar>
            <w:shd w:val="clear" w:color="auto" w:fill="F4F7FB"/>
          </w:tcPr>
          <w:p>
            <w:pPr>
              <w:spacing w:after="0"/>
            </w:pPr>
            <w:r/>
            <w:r>
              <w:rPr>
                <w:rFonts w:ascii="Calibri" w:hAnsi="Calibri"/>
                <w:b w:val="0"/>
                <w:i w:val="0"/>
                <w:color w:val="101828"/>
                <w:sz w:val="14"/>
              </w:rPr>
              <w:t>No marketing copy above the fold on an authentication screen.</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 Form</w:t>
            </w:r>
          </w:p>
        </w:tc>
        <w:tc>
          <w:tcPr>
            <w:tcW w:type="dxa" w:w="1483"/>
            <w:tcMar>
              <w:top w:w="60" w:type="dxa"/>
              <w:start w:w="110" w:type="dxa"/>
              <w:bottom w:w="60" w:type="dxa"/>
              <w:end w:w="110" w:type="dxa"/>
            </w:tcMar>
          </w:tcPr>
          <w:p>
            <w:pPr>
              <w:spacing w:after="0"/>
            </w:pPr>
            <w:r/>
            <w:r>
              <w:rPr>
                <w:rFonts w:ascii="Calibri" w:hAnsi="Calibri"/>
                <w:b w:val="0"/>
                <w:i w:val="0"/>
                <w:color w:val="101828"/>
                <w:sz w:val="14"/>
              </w:rPr>
              <w:t>Identifier, password, show/hide toggle, keep-signed-in.</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67"/>
            <w:tcMar>
              <w:top w:w="60" w:type="dxa"/>
              <w:start w:w="110" w:type="dxa"/>
              <w:bottom w:w="60" w:type="dxa"/>
              <w:end w:w="110" w:type="dxa"/>
            </w:tcMar>
          </w:tcPr>
          <w:p>
            <w:pPr>
              <w:spacing w:after="0"/>
            </w:pPr>
            <w:r/>
            <w:r>
              <w:rPr>
                <w:rFonts w:ascii="Calibri" w:hAnsi="Calibri"/>
                <w:b w:val="0"/>
                <w:i w:val="0"/>
                <w:color w:val="101828"/>
                <w:sz w:val="14"/>
              </w:rPr>
              <w:t xml:space="preserve">One identifier field accepting email </w:t>
            </w:r>
            <w:r>
              <w:rPr>
                <w:rFonts w:ascii="Calibri" w:hAnsi="Calibri"/>
                <w:b/>
                <w:color w:val="101828"/>
                <w:sz w:val="14"/>
              </w:rPr>
              <w:t>or</w:t>
            </w:r>
            <w:r>
              <w:rPr>
                <w:rFonts w:ascii="Calibri" w:hAnsi="Calibri"/>
                <w:b w:val="0"/>
                <w:i w:val="0"/>
                <w:color w:val="101828"/>
                <w:sz w:val="14"/>
              </w:rPr>
              <w:t xml:space="preserve"> phone, not a tab switch. A tab switch doubles the taps and breaks password managers.</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 Error strip</w:t>
            </w:r>
          </w:p>
        </w:tc>
        <w:tc>
          <w:tcPr>
            <w:tcW w:type="dxa" w:w="1483"/>
            <w:tcMar>
              <w:top w:w="60" w:type="dxa"/>
              <w:start w:w="110" w:type="dxa"/>
              <w:bottom w:w="60" w:type="dxa"/>
              <w:end w:w="110" w:type="dxa"/>
            </w:tcMar>
            <w:shd w:val="clear" w:color="auto" w:fill="F4F7FB"/>
          </w:tcPr>
          <w:p>
            <w:pPr>
              <w:spacing w:after="0"/>
            </w:pPr>
            <w:r/>
            <w:r>
              <w:rPr>
                <w:rFonts w:ascii="Calibri" w:hAnsi="Calibri"/>
                <w:b w:val="0"/>
                <w:i w:val="0"/>
                <w:color w:val="101828"/>
                <w:sz w:val="14"/>
              </w:rPr>
              <w:t>One generic message for every failure.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667"/>
            <w:tcMar>
              <w:top w:w="60" w:type="dxa"/>
              <w:start w:w="110" w:type="dxa"/>
              <w:bottom w:w="60" w:type="dxa"/>
              <w:end w:w="110" w:type="dxa"/>
            </w:tcMar>
            <w:shd w:val="clear" w:color="auto" w:fill="F4F7FB"/>
          </w:tcPr>
          <w:p>
            <w:pPr>
              <w:spacing w:after="0"/>
            </w:pPr>
            <w:r/>
            <w:r>
              <w:rPr>
                <w:rFonts w:ascii="Calibri" w:hAnsi="Calibri"/>
                <w:b w:val="0"/>
                <w:i w:val="0"/>
                <w:color w:val="101828"/>
                <w:sz w:val="14"/>
              </w:rPr>
              <w:t>Never distinguishes an unknown identifier from a wrong password and never confirms that an account exists. Always offers the recovery route.</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(5) Actions</w:t>
            </w:r>
          </w:p>
        </w:tc>
        <w:tc>
          <w:tcPr>
            <w:tcW w:type="dxa" w:w="1483"/>
            <w:tcMar>
              <w:top w:w="60" w:type="dxa"/>
              <w:start w:w="110" w:type="dxa"/>
              <w:bottom w:w="60" w:type="dxa"/>
              <w:end w:w="110" w:type="dxa"/>
            </w:tcMar>
          </w:tcPr>
          <w:p>
            <w:pPr>
              <w:spacing w:after="0"/>
            </w:pPr>
            <w:r/>
            <w:r>
              <w:rPr>
                <w:rFonts w:ascii="Calibri" w:hAnsi="Calibri"/>
                <w:b w:val="0"/>
                <w:i w:val="0"/>
                <w:color w:val="101828"/>
                <w:sz w:val="14"/>
              </w:rPr>
              <w:t>Primary sign-in plus the password-reset link.</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67"/>
            <w:tcMar>
              <w:top w:w="60" w:type="dxa"/>
              <w:start w:w="110" w:type="dxa"/>
              <w:bottom w:w="60" w:type="dxa"/>
              <w:end w:w="110" w:type="dxa"/>
            </w:tcMar>
          </w:tcPr>
          <w:p>
            <w:pPr>
              <w:spacing w:after="0"/>
            </w:pPr>
            <w:r/>
            <w:r>
              <w:rPr>
                <w:rFonts w:ascii="Calibri" w:hAnsi="Calibri"/>
                <w:b w:val="0"/>
                <w:i w:val="0"/>
                <w:color w:val="101828"/>
                <w:sz w:val="14"/>
              </w:rPr>
              <w:t>The button is disabled until both fields have content, and the reason is discoverable rather than a silently dead control.</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(6) Consent links</w:t>
            </w:r>
          </w:p>
        </w:tc>
        <w:tc>
          <w:tcPr>
            <w:tcW w:type="dxa" w:w="1483"/>
            <w:tcMar>
              <w:top w:w="60" w:type="dxa"/>
              <w:start w:w="110" w:type="dxa"/>
              <w:bottom w:w="60" w:type="dxa"/>
              <w:end w:w="110" w:type="dxa"/>
            </w:tcMar>
            <w:shd w:val="clear" w:color="auto" w:fill="F4F7FB"/>
          </w:tcPr>
          <w:p>
            <w:pPr>
              <w:spacing w:after="0"/>
            </w:pPr>
            <w:r/>
            <w:r>
              <w:rPr>
                <w:rFonts w:ascii="Calibri" w:hAnsi="Calibri"/>
                <w:b w:val="0"/>
                <w:i w:val="0"/>
                <w:color w:val="101828"/>
                <w:sz w:val="14"/>
              </w:rPr>
              <w:t>Terms and Privacy inside the form card.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667"/>
            <w:tcMar>
              <w:top w:w="60" w:type="dxa"/>
              <w:start w:w="110" w:type="dxa"/>
              <w:bottom w:w="60" w:type="dxa"/>
              <w:end w:w="110" w:type="dxa"/>
            </w:tcMar>
            <w:shd w:val="clear" w:color="auto" w:fill="F4F7FB"/>
          </w:tcPr>
          <w:p>
            <w:pPr>
              <w:spacing w:after="0"/>
            </w:pPr>
            <w:r/>
            <w:r>
              <w:rPr>
                <w:rFonts w:ascii="Calibri" w:hAnsi="Calibri"/>
                <w:b w:val="0"/>
                <w:i w:val="0"/>
                <w:color w:val="101828"/>
                <w:sz w:val="14"/>
              </w:rPr>
              <w:t>Present above the fold on desktop, so the consent context is on screen at the moment of sign-in.</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(7) Brand panel</w:t>
            </w:r>
          </w:p>
        </w:tc>
        <w:tc>
          <w:tcPr>
            <w:tcW w:type="dxa" w:w="1483"/>
            <w:tcMar>
              <w:top w:w="60" w:type="dxa"/>
              <w:start w:w="110" w:type="dxa"/>
              <w:bottom w:w="60" w:type="dxa"/>
              <w:end w:w="110" w:type="dxa"/>
            </w:tcMar>
          </w:tcPr>
          <w:p>
            <w:pPr>
              <w:spacing w:after="0"/>
            </w:pPr>
            <w:r/>
            <w:r>
              <w:rPr>
                <w:rFonts w:ascii="Calibri" w:hAnsi="Calibri"/>
                <w:b w:val="0"/>
                <w:i w:val="0"/>
                <w:color w:val="101828"/>
                <w:sz w:val="14"/>
              </w:rPr>
              <w:t>Restates the mechanic and the tagline on the split layout.</w:t>
            </w:r>
          </w:p>
        </w:tc>
        <w:tc>
          <w:tcPr>
            <w:tcW w:type="dxa" w:w="605"/>
            <w:tcMar>
              <w:top w:w="60" w:type="dxa"/>
              <w:start w:w="110" w:type="dxa"/>
              <w:bottom w:w="60" w:type="dxa"/>
              <w:end w:w="110" w:type="dxa"/>
            </w:tcMar>
          </w:tcPr>
          <w:p>
            <w:pPr>
              <w:spacing w:after="0"/>
            </w:pPr>
            <w:r/>
            <w:r>
              <w:rPr>
                <w:rFonts w:ascii="Calibri" w:hAnsi="Calibri"/>
                <w:b w:val="0"/>
                <w:i w:val="0"/>
                <w:color w:val="101828"/>
                <w:sz w:val="14"/>
              </w:rPr>
              <w:t>P3</w:t>
            </w:r>
          </w:p>
        </w:tc>
        <w:tc>
          <w:tcPr>
            <w:tcW w:type="dxa" w:w="6667"/>
            <w:tcMar>
              <w:top w:w="60" w:type="dxa"/>
              <w:start w:w="110" w:type="dxa"/>
              <w:bottom w:w="60" w:type="dxa"/>
              <w:end w:w="110" w:type="dxa"/>
            </w:tcMar>
          </w:tcPr>
          <w:p>
            <w:pPr>
              <w:spacing w:after="0"/>
            </w:pPr>
            <w:r/>
            <w:r>
              <w:rPr>
                <w:rFonts w:ascii="Calibri" w:hAnsi="Calibri"/>
                <w:b w:val="0"/>
                <w:i w:val="0"/>
                <w:color w:val="101828"/>
                <w:sz w:val="14"/>
              </w:rPr>
              <w:t xml:space="preserve">Desktop only. Its fee figure is NGN 20.00 on top, matching </w:t>
            </w:r>
            <w:r>
              <w:rPr>
                <w:rFonts w:ascii="Consolas" w:hAnsi="Consolas"/>
                <w:color w:val="146EF5"/>
                <w:sz w:val="14"/>
              </w:rPr>
              <w:t>/fees</w:t>
            </w:r>
            <w:r>
              <w:rPr>
                <w:rFonts w:ascii="Calibri" w:hAnsi="Calibri"/>
                <w:b w:val="0"/>
                <w:i w:val="0"/>
                <w:color w:val="101828"/>
                <w:sz w:val="14"/>
              </w:rPr>
              <w:t>; a marketing panel that disagreed with the fee page would be a material defect.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 Social sign-in</w:t>
            </w:r>
          </w:p>
        </w:tc>
        <w:tc>
          <w:tcPr>
            <w:tcW w:type="dxa" w:w="1483"/>
            <w:tcMar>
              <w:top w:w="60" w:type="dxa"/>
              <w:start w:w="110" w:type="dxa"/>
              <w:bottom w:w="60" w:type="dxa"/>
              <w:end w:w="110" w:type="dxa"/>
            </w:tcMar>
            <w:shd w:val="clear" w:color="auto" w:fill="F4F7FB"/>
          </w:tcPr>
          <w:p>
            <w:pPr>
              <w:spacing w:after="0"/>
            </w:pPr>
            <w:r/>
            <w:r>
              <w:rPr>
                <w:rFonts w:ascii="Calibri" w:hAnsi="Calibri"/>
                <w:b/>
                <w:color w:val="101828"/>
                <w:sz w:val="14"/>
              </w:rPr>
              <w:t>Deliberately absent.</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6667"/>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CAN §6 defines no OAuth or social-login endpoint. Adding one would create an account verified by a foreign identity provider with a Nigerian phone number attached, which interacts badly with NIN/BVN verification (D-04). </w:t>
            </w:r>
            <w:r>
              <w:rPr>
                <w:rFonts w:ascii="Calibri" w:hAnsi="Calibri"/>
                <w:b/>
                <w:color w:val="101828"/>
                <w:sz w:val="14"/>
              </w:rPr>
              <w:t>Owner: Founders.</w:t>
            </w:r>
            <w:r>
              <w:rPr>
                <w:rFonts w:ascii="Calibri" w:hAnsi="Calibri"/>
                <w:b w:val="0"/>
                <w:i w:val="0"/>
                <w:color w:val="101828"/>
                <w:sz w:val="14"/>
              </w:rPr>
              <w:t xml:space="preserve"> Revisit as an explicit decision if wanted.</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 Sign-up prompt</w:t>
            </w:r>
          </w:p>
        </w:tc>
        <w:tc>
          <w:tcPr>
            <w:tcW w:type="dxa" w:w="1483"/>
            <w:tcMar>
              <w:top w:w="60" w:type="dxa"/>
              <w:start w:w="110" w:type="dxa"/>
              <w:bottom w:w="60" w:type="dxa"/>
              <w:end w:w="110" w:type="dxa"/>
            </w:tcMar>
          </w:tcPr>
          <w:p>
            <w:pPr>
              <w:spacing w:after="0"/>
            </w:pPr>
            <w:r/>
            <w:r>
              <w:rPr>
                <w:rFonts w:ascii="Calibri" w:hAnsi="Calibri"/>
                <w:b/>
                <w:color w:val="101828"/>
                <w:sz w:val="14"/>
              </w:rPr>
              <w:t>Deliberately absent.</w:t>
            </w:r>
          </w:p>
        </w:tc>
        <w:tc>
          <w:tcPr>
            <w:tcW w:type="dxa" w:w="605"/>
            <w:tcMar>
              <w:top w:w="60" w:type="dxa"/>
              <w:start w:w="110" w:type="dxa"/>
              <w:bottom w:w="60" w:type="dxa"/>
              <w:end w:w="110" w:type="dxa"/>
            </w:tcMar>
          </w:tcPr>
          <w:p>
            <w:pPr>
              <w:spacing w:after="0"/>
            </w:pPr>
            <w:r/>
            <w:r>
              <w:rPr>
                <w:rFonts w:ascii="Calibri" w:hAnsi="Calibri"/>
                <w:b w:val="0"/>
                <w:i w:val="0"/>
                <w:color w:val="101828"/>
                <w:sz w:val="14"/>
              </w:rPr>
              <w:t>—</w:t>
            </w:r>
          </w:p>
        </w:tc>
        <w:tc>
          <w:tcPr>
            <w:tcW w:type="dxa" w:w="6667"/>
            <w:tcMar>
              <w:top w:w="60" w:type="dxa"/>
              <w:start w:w="110" w:type="dxa"/>
              <w:bottom w:w="60" w:type="dxa"/>
              <w:end w:w="110" w:type="dxa"/>
            </w:tcMar>
          </w:tcPr>
          <w:p>
            <w:pPr>
              <w:spacing w:after="0"/>
            </w:pPr>
            <w:r/>
            <w:r>
              <w:rPr>
                <w:rFonts w:ascii="Calibri" w:hAnsi="Calibri"/>
                <w:b w:val="0"/>
                <w:i w:val="0"/>
                <w:color w:val="101828"/>
                <w:sz w:val="14"/>
              </w:rPr>
              <w:t xml:space="preserve">A </w:t>
            </w:r>
            <w:r>
              <w:rPr>
                <w:rFonts w:ascii="Calibri" w:hAnsi="Calibri"/>
                <w:i/>
                <w:color w:val="101828"/>
                <w:sz w:val="14"/>
              </w:rPr>
              <w:t>Sign up, it's free</w:t>
            </w:r>
            <w:r>
              <w:rPr>
                <w:rFonts w:ascii="Calibri" w:hAnsi="Calibri"/>
                <w:b w:val="0"/>
                <w:i w:val="0"/>
                <w:color w:val="101828"/>
                <w:sz w:val="14"/>
              </w:rPr>
              <w:t xml:space="preserve"> panel beside the form interrupts a returning member in order to sell to a stranger. The footer link is sufficient.</w:t>
            </w:r>
          </w:p>
        </w:tc>
      </w:tr>
    </w:tbl>
    <w:p>
      <w:pPr>
        <w:spacing w:after="80"/>
      </w:pPr>
    </w:p>
    <w:p>
      <w:pPr>
        <w:pStyle w:val="Heading2"/>
      </w:pPr>
      <w:r>
        <w:rPr>
          <w:rFonts w:ascii="Calibri" w:hAnsi="Calibri"/>
          <w:b/>
          <w:i w:val="0"/>
          <w:color w:val="146EF5"/>
          <w:sz w:val="29"/>
        </w:rPr>
        <w:t>6.6 Register — SCR-WEB-10</w:t>
      </w:r>
    </w:p>
    <w:p>
      <w:r>
        <w:rPr>
          <w:rFonts w:ascii="Calibri" w:hAnsi="Calibri"/>
          <w:b w:val="0"/>
          <w:i w:val="0"/>
          <w:color w:val="101828"/>
          <w:sz w:val="21"/>
        </w:rPr>
        <w:t>The commitment screen of the whole product. It asks for four things — name, email, phone, password — and it is honest about what happens next: the account cannot be used for money until both the email and the phone are verified, and that is stated before the person submits rather than discovered afterwards.</w:t>
      </w:r>
    </w:p>
    <w:p>
      <w:pPr>
        <w:pStyle w:val="Heading3"/>
      </w:pPr>
      <w:r>
        <w:rPr>
          <w:rFonts w:ascii="Calibri" w:hAnsi="Calibri"/>
          <w:b/>
          <w:i w:val="0"/>
          <w:color w:val="0B1F3A"/>
          <w:sz w:val="24"/>
        </w:rPr>
        <w:t>6.6.1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AJO.ng                   [=]             |</w:t>
      </w:r>
    </w:p>
    <w:p>
      <w:pPr>
        <w:spacing w:before="0" w:after="0" w:line="240" w:lineRule="auto"/>
        <w:ind w:left="230"/>
        <w:shd w:val="clear" w:color="auto" w:fill="F7F9FC"/>
        <w:pBdr>
          <w:left w:val="single" w:sz="4" w:space="6" w:color="D0D5DD"/>
        </w:pBdr>
      </w:pPr>
      <w:r>
        <w:rPr>
          <w:rFonts w:ascii="Consolas" w:hAnsi="Consolas"/>
          <w:color w:val="0B1F3A"/>
          <w:sz w:val="16"/>
        </w:rPr>
        <w:t>+-- (2) TITLE AND FORM --------------------+</w:t>
      </w:r>
    </w:p>
    <w:p>
      <w:pPr>
        <w:spacing w:before="0" w:after="0" w:line="240" w:lineRule="auto"/>
        <w:ind w:left="230"/>
        <w:shd w:val="clear" w:color="auto" w:fill="F7F9FC"/>
        <w:pBdr>
          <w:left w:val="single" w:sz="4" w:space="6" w:color="D0D5DD"/>
        </w:pBdr>
      </w:pPr>
      <w:r>
        <w:rPr>
          <w:rFonts w:ascii="Consolas" w:hAnsi="Consolas"/>
          <w:color w:val="0B1F3A"/>
          <w:sz w:val="16"/>
        </w:rPr>
        <w:t>| # Create your account                    |</w:t>
      </w:r>
    </w:p>
    <w:p>
      <w:pPr>
        <w:spacing w:before="0" w:after="0" w:line="240" w:lineRule="auto"/>
        <w:ind w:left="230"/>
        <w:shd w:val="clear" w:color="auto" w:fill="F7F9FC"/>
        <w:pBdr>
          <w:left w:val="single" w:sz="4" w:space="6" w:color="D0D5DD"/>
        </w:pBdr>
      </w:pPr>
      <w:r>
        <w:rPr>
          <w:rFonts w:ascii="Consolas" w:hAnsi="Consolas"/>
          <w:color w:val="0B1F3A"/>
          <w:sz w:val="16"/>
        </w:rPr>
        <w:t>| Free, and it takes about a minute.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Full name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Email address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Phone number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Used for the OTP and for money           |</w:t>
      </w:r>
    </w:p>
    <w:p>
      <w:pPr>
        <w:spacing w:before="0" w:after="0" w:line="240" w:lineRule="auto"/>
        <w:ind w:left="230"/>
        <w:shd w:val="clear" w:color="auto" w:fill="F7F9FC"/>
        <w:pBdr>
          <w:left w:val="single" w:sz="4" w:space="6" w:color="D0D5DD"/>
        </w:pBdr>
      </w:pPr>
      <w:r>
        <w:rPr>
          <w:rFonts w:ascii="Consolas" w:hAnsi="Consolas"/>
          <w:color w:val="0B1F3A"/>
          <w:sz w:val="16"/>
        </w:rPr>
        <w:t>| alerts. No marketing.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Password                                 |</w:t>
      </w:r>
    </w:p>
    <w:p>
      <w:pPr>
        <w:spacing w:before="0" w:after="0" w:line="240" w:lineRule="auto"/>
        <w:ind w:left="230"/>
        <w:shd w:val="clear" w:color="auto" w:fill="F7F9FC"/>
        <w:pBdr>
          <w:left w:val="single" w:sz="4" w:space="6" w:color="D0D5DD"/>
        </w:pBdr>
      </w:pPr>
      <w:r>
        <w:rPr>
          <w:rFonts w:ascii="Consolas" w:hAnsi="Consolas"/>
          <w:color w:val="0B1F3A"/>
          <w:sz w:val="16"/>
        </w:rPr>
        <w:t>| [                          ]  (o)        |</w:t>
      </w:r>
    </w:p>
    <w:p>
      <w:pPr>
        <w:spacing w:before="0" w:after="0" w:line="240" w:lineRule="auto"/>
        <w:ind w:left="230"/>
        <w:shd w:val="clear" w:color="auto" w:fill="F7F9FC"/>
        <w:pBdr>
          <w:left w:val="single" w:sz="4" w:space="6" w:color="D0D5DD"/>
        </w:pBdr>
      </w:pPr>
      <w:r>
        <w:rPr>
          <w:rFonts w:ascii="Consolas" w:hAnsi="Consolas"/>
          <w:color w:val="0B1F3A"/>
          <w:sz w:val="16"/>
        </w:rPr>
        <w:t>| [x] At least 10 characters, and          |</w:t>
      </w:r>
    </w:p>
    <w:p>
      <w:pPr>
        <w:spacing w:before="0" w:after="0" w:line="240" w:lineRule="auto"/>
        <w:ind w:left="230"/>
        <w:shd w:val="clear" w:color="auto" w:fill="F7F9FC"/>
        <w:pBdr>
          <w:left w:val="single" w:sz="4" w:space="6" w:color="D0D5DD"/>
        </w:pBdr>
      </w:pPr>
      <w:r>
        <w:rPr>
          <w:rFonts w:ascii="Consolas" w:hAnsi="Consolas"/>
          <w:color w:val="0B1F3A"/>
          <w:sz w:val="16"/>
        </w:rPr>
        <w:t>|     not a password you use               |</w:t>
      </w:r>
    </w:p>
    <w:p>
      <w:pPr>
        <w:spacing w:before="0" w:after="0" w:line="240" w:lineRule="auto"/>
        <w:ind w:left="230"/>
        <w:shd w:val="clear" w:color="auto" w:fill="F7F9FC"/>
        <w:pBdr>
          <w:left w:val="single" w:sz="4" w:space="6" w:color="D0D5DD"/>
        </w:pBdr>
      </w:pPr>
      <w:r>
        <w:rPr>
          <w:rFonts w:ascii="Consolas" w:hAnsi="Consolas"/>
          <w:color w:val="0B1F3A"/>
          <w:sz w:val="16"/>
        </w:rPr>
        <w:t>|     anywhere else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[x] I accept the Terms and the           |</w:t>
      </w:r>
    </w:p>
    <w:p>
      <w:pPr>
        <w:spacing w:before="0" w:after="0" w:line="240" w:lineRule="auto"/>
        <w:ind w:left="230"/>
        <w:shd w:val="clear" w:color="auto" w:fill="F7F9FC"/>
        <w:pBdr>
          <w:left w:val="single" w:sz="4" w:space="6" w:color="D0D5DD"/>
        </w:pBdr>
      </w:pPr>
      <w:r>
        <w:rPr>
          <w:rFonts w:ascii="Consolas" w:hAnsi="Consolas"/>
          <w:color w:val="0B1F3A"/>
          <w:sz w:val="16"/>
        </w:rPr>
        <w:t>|     Privacy Policy                       |</w:t>
      </w:r>
    </w:p>
    <w:p>
      <w:pPr>
        <w:spacing w:before="0" w:after="0" w:line="240" w:lineRule="auto"/>
        <w:ind w:left="230"/>
        <w:shd w:val="clear" w:color="auto" w:fill="F7F9FC"/>
        <w:pBdr>
          <w:left w:val="single" w:sz="4" w:space="6" w:color="D0D5DD"/>
        </w:pBdr>
      </w:pPr>
      <w:r>
        <w:rPr>
          <w:rFonts w:ascii="Consolas" w:hAnsi="Consolas"/>
          <w:color w:val="0B1F3A"/>
          <w:sz w:val="16"/>
        </w:rPr>
        <w:t>| &lt; Read the Terms &gt;  &lt; Privacy &gt;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You will verify your email and         |</w:t>
      </w:r>
    </w:p>
    <w:p>
      <w:pPr>
        <w:spacing w:before="0" w:after="0" w:line="240" w:lineRule="auto"/>
        <w:ind w:left="230"/>
        <w:shd w:val="clear" w:color="auto" w:fill="F7F9FC"/>
        <w:pBdr>
          <w:left w:val="single" w:sz="4" w:space="6" w:color="D0D5DD"/>
        </w:pBdr>
      </w:pPr>
      <w:r>
        <w:rPr>
          <w:rFonts w:ascii="Consolas" w:hAnsi="Consolas"/>
          <w:color w:val="0B1F3A"/>
          <w:sz w:val="16"/>
        </w:rPr>
        <w:t>| ! your phone before you can pay          |</w:t>
      </w:r>
    </w:p>
    <w:p>
      <w:pPr>
        <w:spacing w:before="0" w:after="0" w:line="240" w:lineRule="auto"/>
        <w:ind w:left="230"/>
        <w:shd w:val="clear" w:color="auto" w:fill="F7F9FC"/>
        <w:pBdr>
          <w:left w:val="single" w:sz="4" w:space="6" w:color="D0D5DD"/>
        </w:pBdr>
      </w:pPr>
      <w:r>
        <w:rPr>
          <w:rFonts w:ascii="Consolas" w:hAnsi="Consolas"/>
          <w:color w:val="0B1F3A"/>
          <w:sz w:val="16"/>
        </w:rPr>
        <w:t>| ! or join an Ajo.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Create account }*                      |</w:t>
      </w:r>
    </w:p>
    <w:p>
      <w:pPr>
        <w:spacing w:before="0" w:after="0" w:line="240" w:lineRule="auto"/>
        <w:ind w:left="230"/>
        <w:shd w:val="clear" w:color="auto" w:fill="F7F9FC"/>
        <w:pBdr>
          <w:left w:val="single" w:sz="4" w:space="6" w:color="D0D5DD"/>
        </w:pBdr>
      </w:pPr>
      <w:r>
        <w:rPr>
          <w:rFonts w:ascii="Consolas" w:hAnsi="Consolas"/>
          <w:color w:val="0B1F3A"/>
          <w:sz w:val="16"/>
        </w:rPr>
        <w:t>| Already registered?                      |</w:t>
      </w:r>
    </w:p>
    <w:p>
      <w:pPr>
        <w:spacing w:before="0" w:after="0" w:line="240" w:lineRule="auto"/>
        <w:ind w:left="230"/>
        <w:shd w:val="clear" w:color="auto" w:fill="F7F9FC"/>
        <w:pBdr>
          <w:left w:val="single" w:sz="4" w:space="6" w:color="D0D5DD"/>
        </w:pBdr>
      </w:pPr>
      <w:r>
        <w:rPr>
          <w:rFonts w:ascii="Consolas" w:hAnsi="Consolas"/>
          <w:color w:val="0B1F3A"/>
          <w:sz w:val="16"/>
        </w:rPr>
        <w:t>| &lt; Sign in &gt;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SPLIT LAYOUT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  Create your account                   | |</w:t>
      </w:r>
    </w:p>
    <w:p>
      <w:pPr>
        <w:spacing w:before="0" w:after="0" w:line="240" w:lineRule="auto"/>
        <w:ind w:left="230"/>
        <w:shd w:val="clear" w:color="auto" w:fill="F7F9FC"/>
        <w:pBdr>
          <w:left w:val="single" w:sz="4" w:space="6" w:color="D0D5DD"/>
        </w:pBdr>
      </w:pPr>
      <w:r>
        <w:rPr>
          <w:rFonts w:ascii="Consolas" w:hAnsi="Consolas"/>
          <w:color w:val="0B1F3A"/>
          <w:sz w:val="16"/>
        </w:rPr>
        <w:t>| |  Your Ajo. Your Story.   |  |  Free, and it takes about a minute.    | |</w:t>
      </w:r>
    </w:p>
    <w:p>
      <w:pPr>
        <w:spacing w:before="0" w:after="0" w:line="240" w:lineRule="auto"/>
        <w:ind w:left="230"/>
        <w:shd w:val="clear" w:color="auto" w:fill="F7F9FC"/>
        <w:pBdr>
          <w:left w:val="single" w:sz="4" w:space="6" w:color="D0D5DD"/>
        </w:pBdr>
      </w:pPr>
      <w:r>
        <w:rPr>
          <w:rFonts w:ascii="Consolas" w:hAnsi="Consolas"/>
          <w:color w:val="0B1F3A"/>
          <w:sz w:val="16"/>
        </w:rPr>
        <w:t>| |                          |  |  ------------------------------------  | |</w:t>
      </w:r>
    </w:p>
    <w:p>
      <w:pPr>
        <w:spacing w:before="0" w:after="0" w:line="240" w:lineRule="auto"/>
        <w:ind w:left="230"/>
        <w:shd w:val="clear" w:color="auto" w:fill="F7F9FC"/>
        <w:pBdr>
          <w:left w:val="single" w:sz="4" w:space="6" w:color="D0D5DD"/>
        </w:pBdr>
      </w:pPr>
      <w:r>
        <w:rPr>
          <w:rFonts w:ascii="Consolas" w:hAnsi="Consolas"/>
          <w:color w:val="0B1F3A"/>
          <w:sz w:val="16"/>
        </w:rPr>
        <w:t>| |  Ten people.             |  |                                        | |</w:t>
      </w:r>
    </w:p>
    <w:p>
      <w:pPr>
        <w:spacing w:before="0" w:after="0" w:line="240" w:lineRule="auto"/>
        <w:ind w:left="230"/>
        <w:shd w:val="clear" w:color="auto" w:fill="F7F9FC"/>
        <w:pBdr>
          <w:left w:val="single" w:sz="4" w:space="6" w:color="D0D5DD"/>
        </w:pBdr>
      </w:pPr>
      <w:r>
        <w:rPr>
          <w:rFonts w:ascii="Consolas" w:hAnsi="Consolas"/>
          <w:color w:val="0B1F3A"/>
          <w:sz w:val="16"/>
        </w:rPr>
        <w:t>| |  NGN 1,000.00 each.      |  |  Full name                             | |</w:t>
      </w:r>
    </w:p>
    <w:p>
      <w:pPr>
        <w:spacing w:before="0" w:after="0" w:line="240" w:lineRule="auto"/>
        <w:ind w:left="230"/>
        <w:shd w:val="clear" w:color="auto" w:fill="F7F9FC"/>
        <w:pBdr>
          <w:left w:val="single" w:sz="4" w:space="6" w:color="D0D5DD"/>
        </w:pBdr>
      </w:pPr>
      <w:r>
        <w:rPr>
          <w:rFonts w:ascii="Consolas" w:hAnsi="Consolas"/>
          <w:color w:val="0B1F3A"/>
          <w:sz w:val="16"/>
        </w:rPr>
        <w:t>| |  One payout each.        |  |  [                              ]      | |</w:t>
      </w:r>
    </w:p>
    <w:p>
      <w:pPr>
        <w:spacing w:before="0" w:after="0" w:line="240" w:lineRule="auto"/>
        <w:ind w:left="230"/>
        <w:shd w:val="clear" w:color="auto" w:fill="F7F9FC"/>
        <w:pBdr>
          <w:left w:val="single" w:sz="4" w:space="6" w:color="D0D5DD"/>
        </w:pBdr>
      </w:pPr>
      <w:r>
        <w:rPr>
          <w:rFonts w:ascii="Consolas" w:hAnsi="Consolas"/>
          <w:color w:val="0B1F3A"/>
          <w:sz w:val="16"/>
        </w:rPr>
        <w:t>| |  Ten rounds.             |  |                                        | |</w:t>
      </w:r>
    </w:p>
    <w:p>
      <w:pPr>
        <w:spacing w:before="0" w:after="0" w:line="240" w:lineRule="auto"/>
        <w:ind w:left="230"/>
        <w:shd w:val="clear" w:color="auto" w:fill="F7F9FC"/>
        <w:pBdr>
          <w:left w:val="single" w:sz="4" w:space="6" w:color="D0D5DD"/>
        </w:pBdr>
      </w:pPr>
      <w:r>
        <w:rPr>
          <w:rFonts w:ascii="Consolas" w:hAnsi="Consolas"/>
          <w:color w:val="0B1F3A"/>
          <w:sz w:val="16"/>
        </w:rPr>
        <w:t>| |                          |  |  Email address                         | |</w:t>
      </w:r>
    </w:p>
    <w:p>
      <w:pPr>
        <w:spacing w:before="0" w:after="0" w:line="240" w:lineRule="auto"/>
        <w:ind w:left="230"/>
        <w:shd w:val="clear" w:color="auto" w:fill="F7F9FC"/>
        <w:pBdr>
          <w:left w:val="single" w:sz="4" w:space="6" w:color="D0D5DD"/>
        </w:pBdr>
      </w:pPr>
      <w:r>
        <w:rPr>
          <w:rFonts w:ascii="Consolas" w:hAnsi="Consolas"/>
          <w:color w:val="0B1F3A"/>
          <w:sz w:val="16"/>
        </w:rPr>
        <w:t>| |  Why we ask:             |  |  [                              ]      | |</w:t>
      </w:r>
    </w:p>
    <w:p>
      <w:pPr>
        <w:spacing w:before="0" w:after="0" w:line="240" w:lineRule="auto"/>
        <w:ind w:left="230"/>
        <w:shd w:val="clear" w:color="auto" w:fill="F7F9FC"/>
        <w:pBdr>
          <w:left w:val="single" w:sz="4" w:space="6" w:color="D0D5DD"/>
        </w:pBdr>
      </w:pPr>
      <w:r>
        <w:rPr>
          <w:rFonts w:ascii="Consolas" w:hAnsi="Consolas"/>
          <w:color w:val="0B1F3A"/>
          <w:sz w:val="16"/>
        </w:rPr>
        <w:t>| |                          |  |                                        | |</w:t>
      </w:r>
    </w:p>
    <w:p>
      <w:pPr>
        <w:spacing w:before="0" w:after="0" w:line="240" w:lineRule="auto"/>
        <w:ind w:left="230"/>
        <w:shd w:val="clear" w:color="auto" w:fill="F7F9FC"/>
        <w:pBdr>
          <w:left w:val="single" w:sz="4" w:space="6" w:color="D0D5DD"/>
        </w:pBdr>
      </w:pPr>
      <w:r>
        <w:rPr>
          <w:rFonts w:ascii="Consolas" w:hAnsi="Consolas"/>
          <w:color w:val="0B1F3A"/>
          <w:sz w:val="16"/>
        </w:rPr>
        <w:t>| |  Name    so your group   |  |  Phone number                          | |</w:t>
      </w:r>
    </w:p>
    <w:p>
      <w:pPr>
        <w:spacing w:before="0" w:after="0" w:line="240" w:lineRule="auto"/>
        <w:ind w:left="230"/>
        <w:shd w:val="clear" w:color="auto" w:fill="F7F9FC"/>
        <w:pBdr>
          <w:left w:val="single" w:sz="4" w:space="6" w:color="D0D5DD"/>
        </w:pBdr>
      </w:pPr>
      <w:r>
        <w:rPr>
          <w:rFonts w:ascii="Consolas" w:hAnsi="Consolas"/>
          <w:color w:val="0B1F3A"/>
          <w:sz w:val="16"/>
        </w:rPr>
        <w:t>| |          knows you       |  |  [                              ]      | |</w:t>
      </w:r>
    </w:p>
    <w:p>
      <w:pPr>
        <w:spacing w:before="0" w:after="0" w:line="240" w:lineRule="auto"/>
        <w:ind w:left="230"/>
        <w:shd w:val="clear" w:color="auto" w:fill="F7F9FC"/>
        <w:pBdr>
          <w:left w:val="single" w:sz="4" w:space="6" w:color="D0D5DD"/>
        </w:pBdr>
      </w:pPr>
      <w:r>
        <w:rPr>
          <w:rFonts w:ascii="Consolas" w:hAnsi="Consolas"/>
          <w:color w:val="0B1F3A"/>
          <w:sz w:val="16"/>
        </w:rPr>
        <w:t>| |                          |  |  Used for the OTP and for money        | |</w:t>
      </w:r>
    </w:p>
    <w:p>
      <w:pPr>
        <w:spacing w:before="0" w:after="0" w:line="240" w:lineRule="auto"/>
        <w:ind w:left="230"/>
        <w:shd w:val="clear" w:color="auto" w:fill="F7F9FC"/>
        <w:pBdr>
          <w:left w:val="single" w:sz="4" w:space="6" w:color="D0D5DD"/>
        </w:pBdr>
      </w:pPr>
      <w:r>
        <w:rPr>
          <w:rFonts w:ascii="Consolas" w:hAnsi="Consolas"/>
          <w:color w:val="0B1F3A"/>
          <w:sz w:val="16"/>
        </w:rPr>
        <w:t>| |  Email  so we can prove  |  |  alerts. No marketing.                 | |</w:t>
      </w:r>
    </w:p>
    <w:p>
      <w:pPr>
        <w:spacing w:before="0" w:after="0" w:line="240" w:lineRule="auto"/>
        <w:ind w:left="230"/>
        <w:shd w:val="clear" w:color="auto" w:fill="F7F9FC"/>
        <w:pBdr>
          <w:left w:val="single" w:sz="4" w:space="6" w:color="D0D5DD"/>
        </w:pBdr>
      </w:pPr>
      <w:r>
        <w:rPr>
          <w:rFonts w:ascii="Consolas" w:hAnsi="Consolas"/>
          <w:color w:val="0B1F3A"/>
          <w:sz w:val="16"/>
        </w:rPr>
        <w:t>| |          it is yours     |  |                                        | |</w:t>
      </w:r>
    </w:p>
    <w:p>
      <w:pPr>
        <w:spacing w:before="0" w:after="0" w:line="240" w:lineRule="auto"/>
        <w:ind w:left="230"/>
        <w:shd w:val="clear" w:color="auto" w:fill="F7F9FC"/>
        <w:pBdr>
          <w:left w:val="single" w:sz="4" w:space="6" w:color="D0D5DD"/>
        </w:pBdr>
      </w:pPr>
      <w:r>
        <w:rPr>
          <w:rFonts w:ascii="Consolas" w:hAnsi="Consolas"/>
          <w:color w:val="0B1F3A"/>
          <w:sz w:val="16"/>
        </w:rPr>
        <w:t>| |                          |  |  Password                              | |</w:t>
      </w:r>
    </w:p>
    <w:p>
      <w:pPr>
        <w:spacing w:before="0" w:after="0" w:line="240" w:lineRule="auto"/>
        <w:ind w:left="230"/>
        <w:shd w:val="clear" w:color="auto" w:fill="F7F9FC"/>
        <w:pBdr>
          <w:left w:val="single" w:sz="4" w:space="6" w:color="D0D5DD"/>
        </w:pBdr>
      </w:pPr>
      <w:r>
        <w:rPr>
          <w:rFonts w:ascii="Consolas" w:hAnsi="Consolas"/>
          <w:color w:val="0B1F3A"/>
          <w:sz w:val="16"/>
        </w:rPr>
        <w:t>| |  Phone  so we can reach  |  |  [                             ]  (o)  | |</w:t>
      </w:r>
    </w:p>
    <w:p>
      <w:pPr>
        <w:spacing w:before="0" w:after="0" w:line="240" w:lineRule="auto"/>
        <w:ind w:left="230"/>
        <w:shd w:val="clear" w:color="auto" w:fill="F7F9FC"/>
        <w:pBdr>
          <w:left w:val="single" w:sz="4" w:space="6" w:color="D0D5DD"/>
        </w:pBdr>
      </w:pPr>
      <w:r>
        <w:rPr>
          <w:rFonts w:ascii="Consolas" w:hAnsi="Consolas"/>
          <w:color w:val="0B1F3A"/>
          <w:sz w:val="16"/>
        </w:rPr>
        <w:t>| |          you re money    |  |  [x] At least 10 characters, and       | |</w:t>
      </w:r>
    </w:p>
    <w:p>
      <w:pPr>
        <w:spacing w:before="0" w:after="0" w:line="240" w:lineRule="auto"/>
        <w:ind w:left="230"/>
        <w:shd w:val="clear" w:color="auto" w:fill="F7F9FC"/>
        <w:pBdr>
          <w:left w:val="single" w:sz="4" w:space="6" w:color="D0D5DD"/>
        </w:pBdr>
      </w:pPr>
      <w:r>
        <w:rPr>
          <w:rFonts w:ascii="Consolas" w:hAnsi="Consolas"/>
          <w:color w:val="0B1F3A"/>
          <w:sz w:val="16"/>
        </w:rPr>
        <w:t>| |                          |  |      not used anywhere else            | |</w:t>
      </w:r>
    </w:p>
    <w:p>
      <w:pPr>
        <w:spacing w:before="0" w:after="0" w:line="240" w:lineRule="auto"/>
        <w:ind w:left="230"/>
        <w:shd w:val="clear" w:color="auto" w:fill="F7F9FC"/>
        <w:pBdr>
          <w:left w:val="single" w:sz="4" w:space="6" w:color="D0D5DD"/>
        </w:pBdr>
      </w:pPr>
      <w:r>
        <w:rPr>
          <w:rFonts w:ascii="Consolas" w:hAnsi="Consolas"/>
          <w:color w:val="0B1F3A"/>
          <w:sz w:val="16"/>
        </w:rPr>
        <w:t>| |  Password keeps it safe  |  |                                        | |</w:t>
      </w:r>
    </w:p>
    <w:p>
      <w:pPr>
        <w:spacing w:before="0" w:after="0" w:line="240" w:lineRule="auto"/>
        <w:ind w:left="230"/>
        <w:shd w:val="clear" w:color="auto" w:fill="F7F9FC"/>
        <w:pBdr>
          <w:left w:val="single" w:sz="4" w:space="6" w:color="D0D5DD"/>
        </w:pBdr>
      </w:pPr>
      <w:r>
        <w:rPr>
          <w:rFonts w:ascii="Consolas" w:hAnsi="Consolas"/>
          <w:color w:val="0B1F3A"/>
          <w:sz w:val="16"/>
        </w:rPr>
        <w:t>| |                          |  |  [x] I accept the Terms and the        | |</w:t>
      </w:r>
    </w:p>
    <w:p>
      <w:pPr>
        <w:spacing w:before="0" w:after="0" w:line="240" w:lineRule="auto"/>
        <w:ind w:left="230"/>
        <w:shd w:val="clear" w:color="auto" w:fill="F7F9FC"/>
        <w:pBdr>
          <w:left w:val="single" w:sz="4" w:space="6" w:color="D0D5DD"/>
        </w:pBdr>
      </w:pPr>
      <w:r>
        <w:rPr>
          <w:rFonts w:ascii="Consolas" w:hAnsi="Consolas"/>
          <w:color w:val="0B1F3A"/>
          <w:sz w:val="16"/>
        </w:rPr>
        <w:t>| |  Nothing else, and       |  |      Privacy Policy                    | |</w:t>
      </w:r>
    </w:p>
    <w:p>
      <w:pPr>
        <w:spacing w:before="0" w:after="0" w:line="240" w:lineRule="auto"/>
        <w:ind w:left="230"/>
        <w:shd w:val="clear" w:color="auto" w:fill="F7F9FC"/>
        <w:pBdr>
          <w:left w:val="single" w:sz="4" w:space="6" w:color="D0D5DD"/>
        </w:pBdr>
      </w:pPr>
      <w:r>
        <w:rPr>
          <w:rFonts w:ascii="Consolas" w:hAnsi="Consolas"/>
          <w:color w:val="0B1F3A"/>
          <w:sz w:val="16"/>
        </w:rPr>
        <w:t>| |  nothing for sale.       |  |                                        | |</w:t>
      </w:r>
    </w:p>
    <w:p>
      <w:pPr>
        <w:spacing w:before="0" w:after="0" w:line="240" w:lineRule="auto"/>
        <w:ind w:left="230"/>
        <w:shd w:val="clear" w:color="auto" w:fill="F7F9FC"/>
        <w:pBdr>
          <w:left w:val="single" w:sz="4" w:space="6" w:color="D0D5DD"/>
        </w:pBdr>
      </w:pPr>
      <w:r>
        <w:rPr>
          <w:rFonts w:ascii="Consolas" w:hAnsi="Consolas"/>
          <w:color w:val="0B1F3A"/>
          <w:sz w:val="16"/>
        </w:rPr>
        <w:t>| +--------------------------+  |  ! You will verify your email and      | |</w:t>
      </w:r>
    </w:p>
    <w:p>
      <w:pPr>
        <w:spacing w:before="0" w:after="0" w:line="240" w:lineRule="auto"/>
        <w:ind w:left="230"/>
        <w:shd w:val="clear" w:color="auto" w:fill="F7F9FC"/>
        <w:pBdr>
          <w:left w:val="single" w:sz="4" w:space="6" w:color="D0D5DD"/>
        </w:pBdr>
      </w:pPr>
      <w:r>
        <w:rPr>
          <w:rFonts w:ascii="Consolas" w:hAnsi="Consolas"/>
          <w:color w:val="0B1F3A"/>
          <w:sz w:val="16"/>
        </w:rPr>
        <w:t>|                               |  ! your phone before you can pay       | |</w:t>
      </w:r>
    </w:p>
    <w:p>
      <w:pPr>
        <w:spacing w:before="0" w:after="0" w:line="240" w:lineRule="auto"/>
        <w:ind w:left="230"/>
        <w:shd w:val="clear" w:color="auto" w:fill="F7F9FC"/>
        <w:pBdr>
          <w:left w:val="single" w:sz="4" w:space="6" w:color="D0D5DD"/>
        </w:pBdr>
      </w:pPr>
      <w:r>
        <w:rPr>
          <w:rFonts w:ascii="Consolas" w:hAnsi="Consolas"/>
          <w:color w:val="0B1F3A"/>
          <w:sz w:val="16"/>
        </w:rPr>
        <w:t>|                               |  ! or join an Ajo.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Create account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Already registered?  &lt; Sign in &gt;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6.6.2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763"/>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814"/>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178"/>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763"/>
            <w:tcMar>
              <w:top w:w="60" w:type="dxa"/>
              <w:start w:w="110" w:type="dxa"/>
              <w:bottom w:w="60" w:type="dxa"/>
              <w:end w:w="110" w:type="dxa"/>
            </w:tcMar>
          </w:tcPr>
          <w:p>
            <w:pPr>
              <w:spacing w:after="0"/>
            </w:pPr>
            <w:r/>
            <w:r>
              <w:rPr>
                <w:rFonts w:ascii="Calibri" w:hAnsi="Calibri"/>
                <w:b w:val="0"/>
                <w:i w:val="0"/>
                <w:color w:val="101828"/>
                <w:sz w:val="14"/>
              </w:rPr>
              <w:t>(1) Header</w:t>
            </w:r>
          </w:p>
        </w:tc>
        <w:tc>
          <w:tcPr>
            <w:tcW w:type="dxa" w:w="1814"/>
            <w:tcMar>
              <w:top w:w="60" w:type="dxa"/>
              <w:start w:w="110" w:type="dxa"/>
              <w:bottom w:w="60" w:type="dxa"/>
              <w:end w:w="110" w:type="dxa"/>
            </w:tcMar>
          </w:tcPr>
          <w:p>
            <w:pPr>
              <w:spacing w:after="0"/>
            </w:pPr>
            <w:r/>
            <w:r>
              <w:rPr>
                <w:rFonts w:ascii="Calibri" w:hAnsi="Calibri"/>
                <w:b w:val="0"/>
                <w:i w:val="0"/>
                <w:color w:val="101828"/>
                <w:sz w:val="14"/>
              </w:rPr>
              <w:t>Wordmark linking home.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178"/>
            <w:tcMar>
              <w:top w:w="60" w:type="dxa"/>
              <w:start w:w="110" w:type="dxa"/>
              <w:bottom w:w="60" w:type="dxa"/>
              <w:end w:w="110" w:type="dxa"/>
            </w:tcMar>
          </w:tcPr>
          <w:p>
            <w:pPr>
              <w:spacing w:after="0"/>
            </w:pPr>
            <w:r/>
            <w:r>
              <w:rPr>
                <w:rFonts w:ascii="Calibri" w:hAnsi="Calibri"/>
                <w:b w:val="0"/>
                <w:i w:val="0"/>
                <w:color w:val="101828"/>
                <w:sz w:val="14"/>
              </w:rPr>
              <w:t>Same component as 6.5.</w:t>
            </w:r>
          </w:p>
        </w:tc>
      </w:tr>
      <w:tr>
        <w:trPr>
          <w:cantSplit/>
        </w:trPr>
        <w:tc>
          <w:tcPr>
            <w:tcW w:type="dxa" w:w="763"/>
            <w:tcMar>
              <w:top w:w="60" w:type="dxa"/>
              <w:start w:w="110" w:type="dxa"/>
              <w:bottom w:w="60" w:type="dxa"/>
              <w:end w:w="110" w:type="dxa"/>
            </w:tcMar>
            <w:shd w:val="clear" w:color="auto" w:fill="F4F7FB"/>
          </w:tcPr>
          <w:p>
            <w:pPr>
              <w:spacing w:after="0"/>
            </w:pPr>
            <w:r/>
            <w:r>
              <w:rPr>
                <w:rFonts w:ascii="Calibri" w:hAnsi="Calibri"/>
                <w:b w:val="0"/>
                <w:i w:val="0"/>
                <w:color w:val="101828"/>
                <w:sz w:val="14"/>
              </w:rPr>
              <w:t>(2) Title</w:t>
            </w:r>
          </w:p>
        </w:tc>
        <w:tc>
          <w:tcPr>
            <w:tcW w:type="dxa" w:w="1814"/>
            <w:tcMar>
              <w:top w:w="60" w:type="dxa"/>
              <w:start w:w="110" w:type="dxa"/>
              <w:bottom w:w="60" w:type="dxa"/>
              <w:end w:w="110" w:type="dxa"/>
            </w:tcMar>
            <w:shd w:val="clear" w:color="auto" w:fill="F4F7FB"/>
          </w:tcPr>
          <w:p>
            <w:pPr>
              <w:spacing w:after="0"/>
            </w:pPr>
            <w:r/>
            <w:r>
              <w:rPr>
                <w:rFonts w:ascii="Calibri" w:hAnsi="Calibri"/>
                <w:i/>
                <w:color w:val="101828"/>
                <w:sz w:val="14"/>
              </w:rPr>
              <w:t>Create your account</w:t>
            </w:r>
            <w:r>
              <w:rPr>
                <w:rFonts w:ascii="Calibri" w:hAnsi="Calibri"/>
                <w:b w:val="0"/>
                <w:i w:val="0"/>
                <w:color w:val="101828"/>
                <w:sz w:val="14"/>
              </w:rPr>
              <w:t xml:space="preserve"> with a time expectation.</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P2</w:t>
            </w:r>
          </w:p>
        </w:tc>
        <w:tc>
          <w:tcPr>
            <w:tcW w:type="dxa" w:w="6178"/>
            <w:tcMar>
              <w:top w:w="60" w:type="dxa"/>
              <w:start w:w="110" w:type="dxa"/>
              <w:bottom w:w="60" w:type="dxa"/>
              <w:end w:w="110" w:type="dxa"/>
            </w:tcMar>
            <w:shd w:val="clear" w:color="auto" w:fill="F4F7FB"/>
          </w:tcPr>
          <w:p>
            <w:pPr>
              <w:spacing w:after="0"/>
            </w:pPr>
            <w:r/>
            <w:r>
              <w:rPr>
                <w:rFonts w:ascii="Calibri" w:hAnsi="Calibri"/>
                <w:i/>
                <w:color w:val="101828"/>
                <w:sz w:val="14"/>
              </w:rPr>
              <w:t>About a minute</w:t>
            </w:r>
            <w:r>
              <w:rPr>
                <w:rFonts w:ascii="Calibri" w:hAnsi="Calibri"/>
                <w:b w:val="0"/>
                <w:i w:val="0"/>
                <w:color w:val="101828"/>
                <w:sz w:val="14"/>
              </w:rPr>
              <w:t xml:space="preserve"> is accurate and is the only claim made.</w:t>
            </w:r>
          </w:p>
        </w:tc>
      </w:tr>
      <w:tr>
        <w:trPr>
          <w:cantSplit/>
        </w:trPr>
        <w:tc>
          <w:tcPr>
            <w:tcW w:type="dxa" w:w="763"/>
            <w:tcMar>
              <w:top w:w="60" w:type="dxa"/>
              <w:start w:w="110" w:type="dxa"/>
              <w:bottom w:w="60" w:type="dxa"/>
              <w:end w:w="110" w:type="dxa"/>
            </w:tcMar>
          </w:tcPr>
          <w:p>
            <w:pPr>
              <w:spacing w:after="0"/>
            </w:pPr>
            <w:r/>
            <w:r>
              <w:rPr>
                <w:rFonts w:ascii="Calibri" w:hAnsi="Calibri"/>
                <w:b w:val="0"/>
                <w:i w:val="0"/>
                <w:color w:val="101828"/>
                <w:sz w:val="14"/>
              </w:rPr>
              <w:t>(3) Form fields</w:t>
            </w:r>
          </w:p>
        </w:tc>
        <w:tc>
          <w:tcPr>
            <w:tcW w:type="dxa" w:w="1814"/>
            <w:tcMar>
              <w:top w:w="60" w:type="dxa"/>
              <w:start w:w="110" w:type="dxa"/>
              <w:bottom w:w="60" w:type="dxa"/>
              <w:end w:w="110" w:type="dxa"/>
            </w:tcMar>
          </w:tcPr>
          <w:p>
            <w:pPr>
              <w:spacing w:after="0"/>
            </w:pPr>
            <w:r/>
            <w:r>
              <w:rPr>
                <w:rFonts w:ascii="Calibri" w:hAnsi="Calibri"/>
                <w:b w:val="0"/>
                <w:i w:val="0"/>
                <w:color w:val="101828"/>
                <w:sz w:val="14"/>
              </w:rPr>
              <w:t>Name, email, phone, password, in that order.</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178"/>
            <w:tcMar>
              <w:top w:w="60" w:type="dxa"/>
              <w:start w:w="110" w:type="dxa"/>
              <w:bottom w:w="60" w:type="dxa"/>
              <w:end w:w="110" w:type="dxa"/>
            </w:tcMar>
          </w:tcPr>
          <w:p>
            <w:pPr>
              <w:spacing w:after="0"/>
            </w:pPr>
            <w:r/>
            <w:r>
              <w:rPr>
                <w:rFonts w:ascii="Calibri" w:hAnsi="Calibri"/>
                <w:b w:val="0"/>
                <w:i w:val="0"/>
                <w:color w:val="101828"/>
                <w:sz w:val="14"/>
              </w:rPr>
              <w:t>Phone is not deferred to a later step, because the OTP gates every money action and deferring it produces a second interruption after the member has already invested effort.</w:t>
            </w:r>
          </w:p>
        </w:tc>
      </w:tr>
      <w:tr>
        <w:trPr>
          <w:cantSplit/>
        </w:trPr>
        <w:tc>
          <w:tcPr>
            <w:tcW w:type="dxa" w:w="763"/>
            <w:tcMar>
              <w:top w:w="60" w:type="dxa"/>
              <w:start w:w="110" w:type="dxa"/>
              <w:bottom w:w="60" w:type="dxa"/>
              <w:end w:w="110" w:type="dxa"/>
            </w:tcMar>
            <w:shd w:val="clear" w:color="auto" w:fill="F4F7FB"/>
          </w:tcPr>
          <w:p>
            <w:pPr>
              <w:spacing w:after="0"/>
            </w:pPr>
            <w:r/>
            <w:r>
              <w:rPr>
                <w:rFonts w:ascii="Calibri" w:hAnsi="Calibri"/>
                <w:b w:val="0"/>
                <w:i w:val="0"/>
                <w:color w:val="101828"/>
                <w:sz w:val="14"/>
              </w:rPr>
              <w:t>(4) Field help</w:t>
            </w:r>
          </w:p>
        </w:tc>
        <w:tc>
          <w:tcPr>
            <w:tcW w:type="dxa" w:w="1814"/>
            <w:tcMar>
              <w:top w:w="60" w:type="dxa"/>
              <w:start w:w="110" w:type="dxa"/>
              <w:bottom w:w="60" w:type="dxa"/>
              <w:end w:w="110" w:type="dxa"/>
            </w:tcMar>
            <w:shd w:val="clear" w:color="auto" w:fill="F4F7FB"/>
          </w:tcPr>
          <w:p>
            <w:pPr>
              <w:spacing w:after="0"/>
            </w:pPr>
            <w:r/>
            <w:r>
              <w:rPr>
                <w:rFonts w:ascii="Calibri" w:hAnsi="Calibri"/>
                <w:b w:val="0"/>
                <w:i w:val="0"/>
                <w:color w:val="101828"/>
                <w:sz w:val="14"/>
              </w:rPr>
              <w:t>Why the phone is needed, at the field.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178"/>
            <w:tcMar>
              <w:top w:w="60" w:type="dxa"/>
              <w:start w:w="110" w:type="dxa"/>
              <w:bottom w:w="60" w:type="dxa"/>
              <w:end w:w="110" w:type="dxa"/>
            </w:tcMar>
            <w:shd w:val="clear" w:color="auto" w:fill="F4F7FB"/>
          </w:tcPr>
          <w:p>
            <w:pPr>
              <w:spacing w:after="0"/>
            </w:pPr>
            <w:r/>
            <w:r>
              <w:rPr>
                <w:rFonts w:ascii="Calibri" w:hAnsi="Calibri"/>
                <w:i/>
                <w:color w:val="101828"/>
                <w:sz w:val="14"/>
              </w:rPr>
              <w:t>Used for the OTP and for money alerts. No marketing.</w:t>
            </w:r>
            <w:r>
              <w:rPr>
                <w:rFonts w:ascii="Calibri" w:hAnsi="Calibri"/>
                <w:b w:val="0"/>
                <w:i w:val="0"/>
                <w:color w:val="101828"/>
                <w:sz w:val="14"/>
              </w:rPr>
              <w:t xml:space="preserve"> The last sentence is mandatory: a Nigerian member asked for a phone number by a savings product is entitled to know it is not a marketing list.</w:t>
            </w:r>
          </w:p>
        </w:tc>
      </w:tr>
      <w:tr>
        <w:trPr>
          <w:cantSplit/>
        </w:trPr>
        <w:tc>
          <w:tcPr>
            <w:tcW w:type="dxa" w:w="763"/>
            <w:tcMar>
              <w:top w:w="60" w:type="dxa"/>
              <w:start w:w="110" w:type="dxa"/>
              <w:bottom w:w="60" w:type="dxa"/>
              <w:end w:w="110" w:type="dxa"/>
            </w:tcMar>
          </w:tcPr>
          <w:p>
            <w:pPr>
              <w:spacing w:after="0"/>
            </w:pPr>
            <w:r/>
            <w:r>
              <w:rPr>
                <w:rFonts w:ascii="Calibri" w:hAnsi="Calibri"/>
                <w:b w:val="0"/>
                <w:i w:val="0"/>
                <w:color w:val="101828"/>
                <w:sz w:val="14"/>
              </w:rPr>
              <w:t>(5) Password rule</w:t>
            </w:r>
          </w:p>
        </w:tc>
        <w:tc>
          <w:tcPr>
            <w:tcW w:type="dxa" w:w="1814"/>
            <w:tcMar>
              <w:top w:w="60" w:type="dxa"/>
              <w:start w:w="110" w:type="dxa"/>
              <w:bottom w:w="60" w:type="dxa"/>
              <w:end w:w="110" w:type="dxa"/>
            </w:tcMar>
          </w:tcPr>
          <w:p>
            <w:pPr>
              <w:spacing w:after="0"/>
            </w:pPr>
            <w:r/>
            <w:r>
              <w:rPr>
                <w:rFonts w:ascii="Calibri" w:hAnsi="Calibri"/>
                <w:b w:val="0"/>
                <w:i w:val="0"/>
                <w:color w:val="101828"/>
                <w:sz w:val="14"/>
              </w:rPr>
              <w:t>Length and reuse, as persistent text plus a live state.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178"/>
            <w:tcMar>
              <w:top w:w="60" w:type="dxa"/>
              <w:start w:w="110" w:type="dxa"/>
              <w:bottom w:w="60" w:type="dxa"/>
              <w:end w:w="110" w:type="dxa"/>
            </w:tcMar>
          </w:tcPr>
          <w:p>
            <w:pPr>
              <w:spacing w:after="0"/>
            </w:pPr>
            <w:r/>
            <w:r>
              <w:rPr>
                <w:rFonts w:ascii="Calibri" w:hAnsi="Calibri"/>
                <w:b w:val="0"/>
                <w:i w:val="0"/>
                <w:color w:val="101828"/>
                <w:sz w:val="14"/>
              </w:rPr>
              <w:t>A placeholder that disappears on focus is not an instruction, and neither is a checkbox that silently re-ticks itself.</w:t>
            </w:r>
          </w:p>
        </w:tc>
      </w:tr>
      <w:tr>
        <w:trPr>
          <w:cantSplit/>
        </w:trPr>
        <w:tc>
          <w:tcPr>
            <w:tcW w:type="dxa" w:w="763"/>
            <w:tcMar>
              <w:top w:w="60" w:type="dxa"/>
              <w:start w:w="110" w:type="dxa"/>
              <w:bottom w:w="60" w:type="dxa"/>
              <w:end w:w="110" w:type="dxa"/>
            </w:tcMar>
            <w:shd w:val="clear" w:color="auto" w:fill="F4F7FB"/>
          </w:tcPr>
          <w:p>
            <w:pPr>
              <w:spacing w:after="0"/>
            </w:pPr>
            <w:r/>
            <w:r>
              <w:rPr>
                <w:rFonts w:ascii="Calibri" w:hAnsi="Calibri"/>
                <w:b w:val="0"/>
                <w:i w:val="0"/>
                <w:color w:val="101828"/>
                <w:sz w:val="14"/>
              </w:rPr>
              <w:t>(6) Consent</w:t>
            </w:r>
          </w:p>
        </w:tc>
        <w:tc>
          <w:tcPr>
            <w:tcW w:type="dxa" w:w="1814"/>
            <w:tcMar>
              <w:top w:w="60" w:type="dxa"/>
              <w:start w:w="110" w:type="dxa"/>
              <w:bottom w:w="60" w:type="dxa"/>
              <w:end w:w="110" w:type="dxa"/>
            </w:tcMar>
            <w:shd w:val="clear" w:color="auto" w:fill="F4F7FB"/>
          </w:tcPr>
          <w:p>
            <w:pPr>
              <w:spacing w:after="0"/>
            </w:pPr>
            <w:r/>
            <w:r>
              <w:rPr>
                <w:rFonts w:ascii="Calibri" w:hAnsi="Calibri"/>
                <w:b w:val="0"/>
                <w:i w:val="0"/>
                <w:color w:val="101828"/>
                <w:sz w:val="14"/>
              </w:rPr>
              <w:t>Terms and Privacy acceptance.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178"/>
            <w:tcMar>
              <w:top w:w="60" w:type="dxa"/>
              <w:start w:w="110" w:type="dxa"/>
              <w:bottom w:w="60" w:type="dxa"/>
              <w:end w:w="110" w:type="dxa"/>
            </w:tcMar>
            <w:shd w:val="clear" w:color="auto" w:fill="F4F7FB"/>
          </w:tcPr>
          <w:p>
            <w:pPr>
              <w:spacing w:after="0"/>
            </w:pPr>
            <w:r/>
            <w:r>
              <w:rPr>
                <w:rFonts w:ascii="Calibri" w:hAnsi="Calibri"/>
                <w:b w:val="0"/>
                <w:i w:val="0"/>
                <w:color w:val="101828"/>
                <w:sz w:val="14"/>
              </w:rPr>
              <w:t>Unchecked by default, required, and the acceptance is timestamped and version-stamped. Must not be bundled with a marketing opt-in.</w:t>
            </w:r>
          </w:p>
        </w:tc>
      </w:tr>
      <w:tr>
        <w:trPr>
          <w:cantSplit/>
        </w:trPr>
        <w:tc>
          <w:tcPr>
            <w:tcW w:type="dxa" w:w="763"/>
            <w:tcMar>
              <w:top w:w="60" w:type="dxa"/>
              <w:start w:w="110" w:type="dxa"/>
              <w:bottom w:w="60" w:type="dxa"/>
              <w:end w:w="110" w:type="dxa"/>
            </w:tcMar>
          </w:tcPr>
          <w:p>
            <w:pPr>
              <w:spacing w:after="0"/>
            </w:pPr>
            <w:r/>
            <w:r>
              <w:rPr>
                <w:rFonts w:ascii="Calibri" w:hAnsi="Calibri"/>
                <w:b w:val="0"/>
                <w:i w:val="0"/>
                <w:color w:val="101828"/>
                <w:sz w:val="14"/>
              </w:rPr>
              <w:t>(7) Verification notice</w:t>
            </w:r>
          </w:p>
        </w:tc>
        <w:tc>
          <w:tcPr>
            <w:tcW w:type="dxa" w:w="1814"/>
            <w:tcMar>
              <w:top w:w="60" w:type="dxa"/>
              <w:start w:w="110" w:type="dxa"/>
              <w:bottom w:w="60" w:type="dxa"/>
              <w:end w:w="110" w:type="dxa"/>
            </w:tcMar>
          </w:tcPr>
          <w:p>
            <w:pPr>
              <w:spacing w:after="0"/>
            </w:pPr>
            <w:r/>
            <w:r>
              <w:rPr>
                <w:rFonts w:ascii="Calibri" w:hAnsi="Calibri"/>
                <w:b w:val="0"/>
                <w:i w:val="0"/>
                <w:color w:val="101828"/>
                <w:sz w:val="14"/>
              </w:rPr>
              <w:t>What happens before the account can be used.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178"/>
            <w:tcMar>
              <w:top w:w="60" w:type="dxa"/>
              <w:start w:w="110" w:type="dxa"/>
              <w:bottom w:w="60" w:type="dxa"/>
              <w:end w:w="110" w:type="dxa"/>
            </w:tcMar>
          </w:tcPr>
          <w:p>
            <w:pPr>
              <w:spacing w:after="0"/>
            </w:pPr>
            <w:r/>
            <w:r>
              <w:rPr>
                <w:rFonts w:ascii="Calibri" w:hAnsi="Calibri"/>
                <w:b w:val="0"/>
                <w:i w:val="0"/>
                <w:color w:val="101828"/>
                <w:sz w:val="14"/>
              </w:rPr>
              <w:t>Stated before submit. Discovering it after submit is the largest single drop-off in a signup with a verification step.</w:t>
            </w:r>
          </w:p>
        </w:tc>
      </w:tr>
      <w:tr>
        <w:trPr>
          <w:cantSplit/>
        </w:trPr>
        <w:tc>
          <w:tcPr>
            <w:tcW w:type="dxa" w:w="763"/>
            <w:tcMar>
              <w:top w:w="60" w:type="dxa"/>
              <w:start w:w="110" w:type="dxa"/>
              <w:bottom w:w="60" w:type="dxa"/>
              <w:end w:w="110" w:type="dxa"/>
            </w:tcMar>
            <w:shd w:val="clear" w:color="auto" w:fill="F4F7FB"/>
          </w:tcPr>
          <w:p>
            <w:pPr>
              <w:spacing w:after="0"/>
            </w:pPr>
            <w:r/>
            <w:r>
              <w:rPr>
                <w:rFonts w:ascii="Calibri" w:hAnsi="Calibri"/>
                <w:b w:val="0"/>
                <w:i w:val="0"/>
                <w:color w:val="101828"/>
                <w:sz w:val="14"/>
              </w:rPr>
              <w:t>(8) Actions</w:t>
            </w:r>
          </w:p>
        </w:tc>
        <w:tc>
          <w:tcPr>
            <w:tcW w:type="dxa" w:w="1814"/>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create plus the sign-in link.</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178"/>
            <w:tcMar>
              <w:top w:w="60" w:type="dxa"/>
              <w:start w:w="110" w:type="dxa"/>
              <w:bottom w:w="60" w:type="dxa"/>
              <w:end w:w="110" w:type="dxa"/>
            </w:tcMar>
            <w:shd w:val="clear" w:color="auto" w:fill="F4F7FB"/>
          </w:tcPr>
          <w:p>
            <w:pPr>
              <w:spacing w:after="0"/>
            </w:pPr>
            <w:r/>
            <w:r>
              <w:rPr>
                <w:rFonts w:ascii="Calibri" w:hAnsi="Calibri"/>
                <w:b w:val="0"/>
                <w:i w:val="0"/>
                <w:color w:val="101828"/>
                <w:sz w:val="14"/>
              </w:rPr>
              <w:t>Disabled until the required fields are valid and consent is ticked.</w:t>
            </w:r>
          </w:p>
        </w:tc>
      </w:tr>
      <w:tr>
        <w:trPr>
          <w:cantSplit/>
        </w:trPr>
        <w:tc>
          <w:tcPr>
            <w:tcW w:type="dxa" w:w="763"/>
            <w:tcMar>
              <w:top w:w="60" w:type="dxa"/>
              <w:start w:w="110" w:type="dxa"/>
              <w:bottom w:w="60" w:type="dxa"/>
              <w:end w:w="110" w:type="dxa"/>
            </w:tcMar>
          </w:tcPr>
          <w:p>
            <w:pPr>
              <w:spacing w:after="0"/>
            </w:pPr>
            <w:r/>
            <w:r>
              <w:rPr>
                <w:rFonts w:ascii="Calibri" w:hAnsi="Calibri"/>
                <w:b w:val="0"/>
                <w:i w:val="0"/>
                <w:color w:val="101828"/>
                <w:sz w:val="14"/>
              </w:rPr>
              <w:t>(9) Brand panel</w:t>
            </w:r>
          </w:p>
        </w:tc>
        <w:tc>
          <w:tcPr>
            <w:tcW w:type="dxa" w:w="1814"/>
            <w:tcMar>
              <w:top w:w="60" w:type="dxa"/>
              <w:start w:w="110" w:type="dxa"/>
              <w:bottom w:w="60" w:type="dxa"/>
              <w:end w:w="110" w:type="dxa"/>
            </w:tcMar>
          </w:tcPr>
          <w:p>
            <w:pPr>
              <w:spacing w:after="0"/>
            </w:pPr>
            <w:r/>
            <w:r>
              <w:rPr>
                <w:rFonts w:ascii="Calibri" w:hAnsi="Calibri"/>
                <w:b w:val="0"/>
                <w:i w:val="0"/>
                <w:color w:val="101828"/>
                <w:sz w:val="14"/>
              </w:rPr>
              <w:t>Explains each field's purpose in plain language.</w:t>
            </w:r>
          </w:p>
        </w:tc>
        <w:tc>
          <w:tcPr>
            <w:tcW w:type="dxa" w:w="605"/>
            <w:tcMar>
              <w:top w:w="60" w:type="dxa"/>
              <w:start w:w="110" w:type="dxa"/>
              <w:bottom w:w="60" w:type="dxa"/>
              <w:end w:w="110" w:type="dxa"/>
            </w:tcMar>
          </w:tcPr>
          <w:p>
            <w:pPr>
              <w:spacing w:after="0"/>
            </w:pPr>
            <w:r/>
            <w:r>
              <w:rPr>
                <w:rFonts w:ascii="Calibri" w:hAnsi="Calibri"/>
                <w:b w:val="0"/>
                <w:i w:val="0"/>
                <w:color w:val="101828"/>
                <w:sz w:val="14"/>
              </w:rPr>
              <w:t>P2</w:t>
            </w:r>
          </w:p>
        </w:tc>
        <w:tc>
          <w:tcPr>
            <w:tcW w:type="dxa" w:w="6178"/>
            <w:tcMar>
              <w:top w:w="60" w:type="dxa"/>
              <w:start w:w="110" w:type="dxa"/>
              <w:bottom w:w="60" w:type="dxa"/>
              <w:end w:w="110" w:type="dxa"/>
            </w:tcMar>
          </w:tcPr>
          <w:p>
            <w:pPr>
              <w:spacing w:after="0"/>
            </w:pPr>
            <w:r/>
            <w:r>
              <w:rPr>
                <w:rFonts w:ascii="Calibri" w:hAnsi="Calibri"/>
                <w:b w:val="0"/>
                <w:i w:val="0"/>
                <w:color w:val="101828"/>
                <w:sz w:val="14"/>
              </w:rPr>
              <w:t xml:space="preserve">Desktop only. Resolves the most common objection at this step, which is </w:t>
            </w:r>
            <w:r>
              <w:rPr>
                <w:rFonts w:ascii="Calibri" w:hAnsi="Calibri"/>
                <w:i/>
                <w:color w:val="101828"/>
                <w:sz w:val="14"/>
              </w:rPr>
              <w:t>what is this phone number for</w:t>
            </w:r>
            <w:r>
              <w:rPr>
                <w:rFonts w:ascii="Calibri" w:hAnsi="Calibri"/>
                <w:b w:val="0"/>
                <w:i w:val="0"/>
                <w:color w:val="101828"/>
                <w:sz w:val="14"/>
              </w:rPr>
              <w:t>.</w:t>
            </w:r>
          </w:p>
        </w:tc>
      </w:tr>
      <w:tr>
        <w:trPr>
          <w:cantSplit/>
        </w:trPr>
        <w:tc>
          <w:tcPr>
            <w:tcW w:type="dxa" w:w="763"/>
            <w:tcMar>
              <w:top w:w="60" w:type="dxa"/>
              <w:start w:w="110" w:type="dxa"/>
              <w:bottom w:w="60" w:type="dxa"/>
              <w:end w:w="110" w:type="dxa"/>
            </w:tcMar>
            <w:shd w:val="clear" w:color="auto" w:fill="F4F7FB"/>
          </w:tcPr>
          <w:p>
            <w:pPr>
              <w:spacing w:after="0"/>
            </w:pPr>
            <w:r/>
            <w:r>
              <w:rPr>
                <w:rFonts w:ascii="Calibri" w:hAnsi="Calibri"/>
                <w:b w:val="0"/>
                <w:i w:val="0"/>
                <w:color w:val="101828"/>
                <w:sz w:val="14"/>
              </w:rPr>
              <w:t>— Referral code field</w:t>
            </w:r>
          </w:p>
        </w:tc>
        <w:tc>
          <w:tcPr>
            <w:tcW w:type="dxa" w:w="1814"/>
            <w:tcMar>
              <w:top w:w="60" w:type="dxa"/>
              <w:start w:w="110" w:type="dxa"/>
              <w:bottom w:w="60" w:type="dxa"/>
              <w:end w:w="110" w:type="dxa"/>
            </w:tcMar>
            <w:shd w:val="clear" w:color="auto" w:fill="F4F7FB"/>
          </w:tcPr>
          <w:p>
            <w:pPr>
              <w:spacing w:after="0"/>
            </w:pPr>
            <w:r/>
            <w:r>
              <w:rPr>
                <w:rFonts w:ascii="Calibri" w:hAnsi="Calibri"/>
                <w:b/>
                <w:color w:val="101828"/>
                <w:sz w:val="14"/>
              </w:rPr>
              <w:t>Deferred, not rejected.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P3</w:t>
            </w:r>
          </w:p>
        </w:tc>
        <w:tc>
          <w:tcPr>
            <w:tcW w:type="dxa" w:w="617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referral code at signup is a growth feature, not a trust feature. It lives in the More sheet after signup, and </w:t>
            </w:r>
            <w:r>
              <w:rPr>
                <w:rFonts w:ascii="Consolas" w:hAnsi="Consolas"/>
                <w:color w:val="146EF5"/>
                <w:sz w:val="14"/>
              </w:rPr>
              <w:t>/invite/:token</w:t>
            </w:r>
            <w:r>
              <w:rPr>
                <w:rFonts w:ascii="Calibri" w:hAnsi="Calibri"/>
                <w:b w:val="0"/>
                <w:i w:val="0"/>
                <w:color w:val="101828"/>
                <w:sz w:val="14"/>
              </w:rPr>
              <w:t xml:space="preserve"> carries the referral without asking for a code.</w:t>
            </w:r>
          </w:p>
        </w:tc>
      </w:tr>
    </w:tbl>
    <w:p>
      <w:pPr>
        <w:spacing w:after="80"/>
      </w:pPr>
    </w:p>
    <w:p>
      <w:pPr>
        <w:pStyle w:val="Heading2"/>
      </w:pPr>
      <w:r>
        <w:rPr>
          <w:rFonts w:ascii="Calibri" w:hAnsi="Calibri"/>
          <w:b/>
          <w:i w:val="0"/>
          <w:color w:val="146EF5"/>
          <w:sz w:val="29"/>
        </w:rPr>
        <w:t>6.7 Email verification — SCR-WEB-11</w:t>
      </w:r>
    </w:p>
    <w:p>
      <w:r>
        <w:rPr>
          <w:rFonts w:ascii="Calibri" w:hAnsi="Calibri"/>
          <w:b w:val="0"/>
          <w:i w:val="0"/>
          <w:color w:val="101828"/>
          <w:sz w:val="21"/>
        </w:rPr>
        <w:t>A single-purpose confirmation screen reached from an emailed link. It exists because an unverified email is an account nobody can prove is theirs, and because the failure path — expired link, wrong account, mail never arrived — is common enough to need its own design rather than a generic error page.</w:t>
      </w:r>
    </w:p>
    <w:p>
      <w:pPr>
        <w:pStyle w:val="Heading3"/>
      </w:pPr>
      <w:r>
        <w:rPr>
          <w:rFonts w:ascii="Calibri" w:hAnsi="Calibri"/>
          <w:b/>
          <w:i w:val="0"/>
          <w:color w:val="0B1F3A"/>
          <w:sz w:val="24"/>
        </w:rPr>
        <w:t>6.7.1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AJO.ng                   [=]             |</w:t>
      </w:r>
    </w:p>
    <w:p>
      <w:pPr>
        <w:spacing w:before="0" w:after="0" w:line="240" w:lineRule="auto"/>
        <w:ind w:left="230"/>
        <w:shd w:val="clear" w:color="auto" w:fill="F7F9FC"/>
        <w:pBdr>
          <w:left w:val="single" w:sz="4" w:space="6" w:color="D0D5DD"/>
        </w:pBdr>
      </w:pPr>
      <w:r>
        <w:rPr>
          <w:rFonts w:ascii="Consolas" w:hAnsi="Consolas"/>
          <w:color w:val="0B1F3A"/>
          <w:sz w:val="16"/>
        </w:rPr>
        <w:t>+-- (2) CARD, PENDING WITH FAILED STRIP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 Verify your email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We have sent a link to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abd***@gmail.com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It expires in 23 h 41 m. Opening  |   |</w:t>
      </w:r>
    </w:p>
    <w:p>
      <w:pPr>
        <w:spacing w:before="0" w:after="0" w:line="240" w:lineRule="auto"/>
        <w:ind w:left="230"/>
        <w:shd w:val="clear" w:color="auto" w:fill="F7F9FC"/>
        <w:pBdr>
          <w:left w:val="single" w:sz="4" w:space="6" w:color="D0D5DD"/>
        </w:pBdr>
      </w:pPr>
      <w:r>
        <w:rPr>
          <w:rFonts w:ascii="Consolas" w:hAnsi="Consolas"/>
          <w:color w:val="0B1F3A"/>
          <w:sz w:val="16"/>
        </w:rPr>
        <w:t>| |  the link marks the address        |   |</w:t>
      </w:r>
    </w:p>
    <w:p>
      <w:pPr>
        <w:spacing w:before="0" w:after="0" w:line="240" w:lineRule="auto"/>
        <w:ind w:left="230"/>
        <w:shd w:val="clear" w:color="auto" w:fill="F7F9FC"/>
        <w:pBdr>
          <w:left w:val="single" w:sz="4" w:space="6" w:color="D0D5DD"/>
        </w:pBdr>
      </w:pPr>
      <w:r>
        <w:rPr>
          <w:rFonts w:ascii="Consolas" w:hAnsi="Consolas"/>
          <w:color w:val="0B1F3A"/>
          <w:sz w:val="16"/>
        </w:rPr>
        <w:t>| |  verified, and nothing else        |   |</w:t>
      </w:r>
    </w:p>
    <w:p>
      <w:pPr>
        <w:spacing w:before="0" w:after="0" w:line="240" w:lineRule="auto"/>
        <w:ind w:left="230"/>
        <w:shd w:val="clear" w:color="auto" w:fill="F7F9FC"/>
        <w:pBdr>
          <w:left w:val="single" w:sz="4" w:space="6" w:color="D0D5DD"/>
        </w:pBdr>
      </w:pPr>
      <w:r>
        <w:rPr>
          <w:rFonts w:ascii="Consolas" w:hAnsi="Consolas"/>
          <w:color w:val="0B1F3A"/>
          <w:sz w:val="16"/>
        </w:rPr>
        <w:t>| |  happens when you open it.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x  That link has expired, or it   |   |</w:t>
      </w:r>
    </w:p>
    <w:p>
      <w:pPr>
        <w:spacing w:before="0" w:after="0" w:line="240" w:lineRule="auto"/>
        <w:ind w:left="230"/>
        <w:shd w:val="clear" w:color="auto" w:fill="F7F9FC"/>
        <w:pBdr>
          <w:left w:val="single" w:sz="4" w:space="6" w:color="D0D5DD"/>
        </w:pBdr>
      </w:pPr>
      <w:r>
        <w:rPr>
          <w:rFonts w:ascii="Consolas" w:hAnsi="Consolas"/>
          <w:color w:val="0B1F3A"/>
          <w:sz w:val="16"/>
        </w:rPr>
        <w:t>| |     has already been used.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Resend the email }*             |   |</w:t>
      </w:r>
    </w:p>
    <w:p>
      <w:pPr>
        <w:spacing w:before="0" w:after="0" w:line="240" w:lineRule="auto"/>
        <w:ind w:left="230"/>
        <w:shd w:val="clear" w:color="auto" w:fill="F7F9FC"/>
        <w:pBdr>
          <w:left w:val="single" w:sz="4" w:space="6" w:color="D0D5DD"/>
        </w:pBdr>
      </w:pPr>
      <w:r>
        <w:rPr>
          <w:rFonts w:ascii="Consolas" w:hAnsi="Consolas"/>
          <w:color w:val="0B1F3A"/>
          <w:sz w:val="16"/>
        </w:rPr>
        <w:t>| |    cooldown shown until it can     |   |</w:t>
      </w:r>
    </w:p>
    <w:p>
      <w:pPr>
        <w:spacing w:before="0" w:after="0" w:line="240" w:lineRule="auto"/>
        <w:ind w:left="230"/>
        <w:shd w:val="clear" w:color="auto" w:fill="F7F9FC"/>
        <w:pBdr>
          <w:left w:val="single" w:sz="4" w:space="6" w:color="D0D5DD"/>
        </w:pBdr>
      </w:pPr>
      <w:r>
        <w:rPr>
          <w:rFonts w:ascii="Consolas" w:hAnsi="Consolas"/>
          <w:color w:val="0B1F3A"/>
          <w:sz w:val="16"/>
        </w:rPr>
        <w:t>| |    be used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&lt; Use a different address &gt;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CENTRED CARD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Three states, designed       |  Verify your email address           |    |</w:t>
      </w:r>
    </w:p>
    <w:p>
      <w:pPr>
        <w:spacing w:before="0" w:after="0" w:line="240" w:lineRule="auto"/>
        <w:ind w:left="230"/>
        <w:shd w:val="clear" w:color="auto" w:fill="F7F9FC"/>
        <w:pBdr>
          <w:left w:val="single" w:sz="4" w:space="6" w:color="D0D5DD"/>
        </w:pBdr>
      </w:pPr>
      <w:r>
        <w:rPr>
          <w:rFonts w:ascii="Consolas" w:hAnsi="Consolas"/>
          <w:color w:val="0B1F3A"/>
          <w:sz w:val="16"/>
        </w:rPr>
        <w:t>| rather than handled.         |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Sent. Verified. Not          |  + ok  Email verified                |    |</w:t>
      </w:r>
    </w:p>
    <w:p>
      <w:pPr>
        <w:spacing w:before="0" w:after="0" w:line="240" w:lineRule="auto"/>
        <w:ind w:left="230"/>
        <w:shd w:val="clear" w:color="auto" w:fill="F7F9FC"/>
        <w:pBdr>
          <w:left w:val="single" w:sz="4" w:space="6" w:color="D0D5DD"/>
        </w:pBdr>
      </w:pPr>
      <w:r>
        <w:rPr>
          <w:rFonts w:ascii="Consolas" w:hAnsi="Consolas"/>
          <w:color w:val="0B1F3A"/>
          <w:sz w:val="16"/>
        </w:rPr>
        <w:t>| working.                     |                                      |    |</w:t>
      </w:r>
    </w:p>
    <w:p>
      <w:pPr>
        <w:spacing w:before="0" w:after="0" w:line="240" w:lineRule="auto"/>
        <w:ind w:left="230"/>
        <w:shd w:val="clear" w:color="auto" w:fill="F7F9FC"/>
        <w:pBdr>
          <w:left w:val="single" w:sz="4" w:space="6" w:color="D0D5DD"/>
        </w:pBdr>
      </w:pPr>
      <w:r>
        <w:rPr>
          <w:rFonts w:ascii="Consolas" w:hAnsi="Consolas"/>
          <w:color w:val="0B1F3A"/>
          <w:sz w:val="16"/>
        </w:rPr>
        <w:t>|                              |    abd***@gmail.com                  |    |</w:t>
      </w:r>
    </w:p>
    <w:p>
      <w:pPr>
        <w:spacing w:before="0" w:after="0" w:line="240" w:lineRule="auto"/>
        <w:ind w:left="230"/>
        <w:shd w:val="clear" w:color="auto" w:fill="F7F9FC"/>
        <w:pBdr>
          <w:left w:val="single" w:sz="4" w:space="6" w:color="D0D5DD"/>
        </w:pBdr>
      </w:pPr>
      <w:r>
        <w:rPr>
          <w:rFonts w:ascii="Consolas" w:hAnsi="Consolas"/>
          <w:color w:val="0B1F3A"/>
          <w:sz w:val="16"/>
        </w:rPr>
        <w:t>| The third is the state most  |                                      |    |</w:t>
      </w:r>
    </w:p>
    <w:p>
      <w:pPr>
        <w:spacing w:before="0" w:after="0" w:line="240" w:lineRule="auto"/>
        <w:ind w:left="230"/>
        <w:shd w:val="clear" w:color="auto" w:fill="F7F9FC"/>
        <w:pBdr>
          <w:left w:val="single" w:sz="4" w:space="6" w:color="D0D5DD"/>
        </w:pBdr>
      </w:pPr>
      <w:r>
        <w:rPr>
          <w:rFonts w:ascii="Consolas" w:hAnsi="Consolas"/>
          <w:color w:val="0B1F3A"/>
          <w:sz w:val="16"/>
        </w:rPr>
        <w:t>| people will see, because     |  is now verified. You can            |    |</w:t>
      </w:r>
    </w:p>
    <w:p>
      <w:pPr>
        <w:spacing w:before="0" w:after="0" w:line="240" w:lineRule="auto"/>
        <w:ind w:left="230"/>
        <w:shd w:val="clear" w:color="auto" w:fill="F7F9FC"/>
        <w:pBdr>
          <w:left w:val="single" w:sz="4" w:space="6" w:color="D0D5DD"/>
        </w:pBdr>
      </w:pPr>
      <w:r>
        <w:rPr>
          <w:rFonts w:ascii="Consolas" w:hAnsi="Consolas"/>
          <w:color w:val="0B1F3A"/>
          <w:sz w:val="16"/>
        </w:rPr>
        <w:t>| links expire and mail is     |  pay and join once your              |    |</w:t>
      </w:r>
    </w:p>
    <w:p>
      <w:pPr>
        <w:spacing w:before="0" w:after="0" w:line="240" w:lineRule="auto"/>
        <w:ind w:left="230"/>
        <w:shd w:val="clear" w:color="auto" w:fill="F7F9FC"/>
        <w:pBdr>
          <w:left w:val="single" w:sz="4" w:space="6" w:color="D0D5DD"/>
        </w:pBdr>
      </w:pPr>
      <w:r>
        <w:rPr>
          <w:rFonts w:ascii="Consolas" w:hAnsi="Consolas"/>
          <w:color w:val="0B1F3A"/>
          <w:sz w:val="16"/>
        </w:rPr>
        <w:t>| unreliable. It gets a real   |  phone is verified too.              |    |</w:t>
      </w:r>
    </w:p>
    <w:p>
      <w:pPr>
        <w:spacing w:before="0" w:after="0" w:line="240" w:lineRule="auto"/>
        <w:ind w:left="230"/>
        <w:shd w:val="clear" w:color="auto" w:fill="F7F9FC"/>
        <w:pBdr>
          <w:left w:val="single" w:sz="4" w:space="6" w:color="D0D5DD"/>
        </w:pBdr>
      </w:pPr>
      <w:r>
        <w:rPr>
          <w:rFonts w:ascii="Consolas" w:hAnsi="Consolas"/>
          <w:color w:val="0B1F3A"/>
          <w:sz w:val="16"/>
        </w:rPr>
        <w:t>| design, not an error page.   |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Links expire 24 hours after         |    |</w:t>
      </w:r>
    </w:p>
    <w:p>
      <w:pPr>
        <w:spacing w:before="0" w:after="0" w:line="240" w:lineRule="auto"/>
        <w:ind w:left="230"/>
        <w:shd w:val="clear" w:color="auto" w:fill="F7F9FC"/>
        <w:pBdr>
          <w:left w:val="single" w:sz="4" w:space="6" w:color="D0D5DD"/>
        </w:pBdr>
      </w:pPr>
      <w:r>
        <w:rPr>
          <w:rFonts w:ascii="Consolas" w:hAnsi="Consolas"/>
          <w:color w:val="0B1F3A"/>
          <w:sz w:val="16"/>
        </w:rPr>
        <w:t>|                              |  they are sent, and work             |    |</w:t>
      </w:r>
    </w:p>
    <w:p>
      <w:pPr>
        <w:spacing w:before="0" w:after="0" w:line="240" w:lineRule="auto"/>
        <w:ind w:left="230"/>
        <w:shd w:val="clear" w:color="auto" w:fill="F7F9FC"/>
        <w:pBdr>
          <w:left w:val="single" w:sz="4" w:space="6" w:color="D0D5DD"/>
        </w:pBdr>
      </w:pPr>
      <w:r>
        <w:rPr>
          <w:rFonts w:ascii="Consolas" w:hAnsi="Consolas"/>
          <w:color w:val="0B1F3A"/>
          <w:sz w:val="16"/>
        </w:rPr>
        <w:t>|                              |  only once.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&lt; Resend the email &gt;                |    |</w:t>
      </w:r>
    </w:p>
    <w:p>
      <w:pPr>
        <w:spacing w:before="0" w:after="0" w:line="240" w:lineRule="auto"/>
        <w:ind w:left="230"/>
        <w:shd w:val="clear" w:color="auto" w:fill="F7F9FC"/>
        <w:pBdr>
          <w:left w:val="single" w:sz="4" w:space="6" w:color="D0D5DD"/>
        </w:pBdr>
      </w:pPr>
      <w:r>
        <w:rPr>
          <w:rFonts w:ascii="Consolas" w:hAnsi="Consolas"/>
          <w:color w:val="0B1F3A"/>
          <w:sz w:val="16"/>
        </w:rPr>
        <w:t>|                              |  &lt; Use a different address &gt;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6.7.2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62"/>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800"/>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293"/>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62"/>
            <w:tcMar>
              <w:top w:w="60" w:type="dxa"/>
              <w:start w:w="110" w:type="dxa"/>
              <w:bottom w:w="60" w:type="dxa"/>
              <w:end w:w="110" w:type="dxa"/>
            </w:tcMar>
          </w:tcPr>
          <w:p>
            <w:pPr>
              <w:spacing w:after="0"/>
            </w:pPr>
            <w:r/>
            <w:r>
              <w:rPr>
                <w:rFonts w:ascii="Calibri" w:hAnsi="Calibri"/>
                <w:b w:val="0"/>
                <w:i w:val="0"/>
                <w:color w:val="101828"/>
                <w:sz w:val="14"/>
              </w:rPr>
              <w:t>(1) Header</w:t>
            </w:r>
          </w:p>
        </w:tc>
        <w:tc>
          <w:tcPr>
            <w:tcW w:type="dxa" w:w="1800"/>
            <w:tcMar>
              <w:top w:w="60" w:type="dxa"/>
              <w:start w:w="110" w:type="dxa"/>
              <w:bottom w:w="60" w:type="dxa"/>
              <w:end w:w="110" w:type="dxa"/>
            </w:tcMar>
          </w:tcPr>
          <w:p>
            <w:pPr>
              <w:spacing w:after="0"/>
            </w:pPr>
            <w:r/>
            <w:r>
              <w:rPr>
                <w:rFonts w:ascii="Calibri" w:hAnsi="Calibri"/>
                <w:b w:val="0"/>
                <w:i w:val="0"/>
                <w:color w:val="101828"/>
                <w:sz w:val="14"/>
              </w:rPr>
              <w:t>Wordmark linking home.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293"/>
            <w:tcMar>
              <w:top w:w="60" w:type="dxa"/>
              <w:start w:w="110" w:type="dxa"/>
              <w:bottom w:w="60" w:type="dxa"/>
              <w:end w:w="110" w:type="dxa"/>
            </w:tcMar>
          </w:tcPr>
          <w:p>
            <w:pPr>
              <w:spacing w:after="0"/>
            </w:pPr>
            <w:r/>
            <w:r>
              <w:rPr>
                <w:rFonts w:ascii="Calibri" w:hAnsi="Calibri"/>
                <w:b w:val="0"/>
                <w:i w:val="0"/>
                <w:color w:val="101828"/>
                <w:sz w:val="14"/>
              </w:rPr>
              <w:t>Present on the pending and failure states so nobody is stranded.</w:t>
            </w:r>
          </w:p>
        </w:tc>
      </w:tr>
      <w:tr>
        <w:trPr>
          <w:cantSplit/>
        </w:trPr>
        <w:tc>
          <w:tcPr>
            <w:tcW w:type="dxa" w:w="662"/>
            <w:tcMar>
              <w:top w:w="60" w:type="dxa"/>
              <w:start w:w="110" w:type="dxa"/>
              <w:bottom w:w="60" w:type="dxa"/>
              <w:end w:w="110" w:type="dxa"/>
            </w:tcMar>
            <w:shd w:val="clear" w:color="auto" w:fill="F4F7FB"/>
          </w:tcPr>
          <w:p>
            <w:pPr>
              <w:spacing w:after="0"/>
            </w:pPr>
            <w:r/>
            <w:r>
              <w:rPr>
                <w:rFonts w:ascii="Calibri" w:hAnsi="Calibri"/>
                <w:b w:val="0"/>
                <w:i w:val="0"/>
                <w:color w:val="101828"/>
                <w:sz w:val="14"/>
              </w:rPr>
              <w:t>(2) Result strip</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Success, pending or failed, in the same position.</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293"/>
            <w:tcMar>
              <w:top w:w="60" w:type="dxa"/>
              <w:start w:w="110" w:type="dxa"/>
              <w:bottom w:w="60" w:type="dxa"/>
              <w:end w:w="110" w:type="dxa"/>
            </w:tcMar>
            <w:shd w:val="clear" w:color="auto" w:fill="F4F7FB"/>
          </w:tcPr>
          <w:p>
            <w:pPr>
              <w:spacing w:after="0"/>
            </w:pPr>
            <w:r/>
            <w:r>
              <w:rPr>
                <w:rFonts w:ascii="Calibri" w:hAnsi="Calibri"/>
                <w:b w:val="0"/>
                <w:i w:val="0"/>
                <w:color w:val="101828"/>
                <w:sz w:val="14"/>
              </w:rPr>
              <w:t>One region, three states. Success is shown only after the token has been consumed server-side, never optimistically on load.</w:t>
            </w:r>
          </w:p>
        </w:tc>
      </w:tr>
      <w:tr>
        <w:trPr>
          <w:cantSplit/>
        </w:trPr>
        <w:tc>
          <w:tcPr>
            <w:tcW w:type="dxa" w:w="662"/>
            <w:tcMar>
              <w:top w:w="60" w:type="dxa"/>
              <w:start w:w="110" w:type="dxa"/>
              <w:bottom w:w="60" w:type="dxa"/>
              <w:end w:w="110" w:type="dxa"/>
            </w:tcMar>
          </w:tcPr>
          <w:p>
            <w:pPr>
              <w:spacing w:after="0"/>
            </w:pPr>
            <w:r/>
            <w:r>
              <w:rPr>
                <w:rFonts w:ascii="Calibri" w:hAnsi="Calibri"/>
                <w:b w:val="0"/>
                <w:i w:val="0"/>
                <w:color w:val="101828"/>
                <w:sz w:val="14"/>
              </w:rPr>
              <w:t>(3) Masked address</w:t>
            </w:r>
          </w:p>
        </w:tc>
        <w:tc>
          <w:tcPr>
            <w:tcW w:type="dxa" w:w="1800"/>
            <w:tcMar>
              <w:top w:w="60" w:type="dxa"/>
              <w:start w:w="110" w:type="dxa"/>
              <w:bottom w:w="60" w:type="dxa"/>
              <w:end w:w="110" w:type="dxa"/>
            </w:tcMar>
          </w:tcPr>
          <w:p>
            <w:pPr>
              <w:spacing w:after="0"/>
            </w:pPr>
            <w:r/>
            <w:r>
              <w:rPr>
                <w:rFonts w:ascii="Calibri" w:hAnsi="Calibri"/>
                <w:b w:val="0"/>
                <w:i w:val="0"/>
                <w:color w:val="101828"/>
                <w:sz w:val="14"/>
              </w:rPr>
              <w:t>Which address was targeted, masked.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293"/>
            <w:tcMar>
              <w:top w:w="60" w:type="dxa"/>
              <w:start w:w="110" w:type="dxa"/>
              <w:bottom w:w="60" w:type="dxa"/>
              <w:end w:w="110" w:type="dxa"/>
            </w:tcMar>
          </w:tcPr>
          <w:p>
            <w:pPr>
              <w:spacing w:after="0"/>
            </w:pPr>
            <w:r/>
            <w:r>
              <w:rPr>
                <w:rFonts w:ascii="Calibri" w:hAnsi="Calibri"/>
                <w:b w:val="0"/>
                <w:i w:val="0"/>
                <w:color w:val="101828"/>
                <w:sz w:val="14"/>
              </w:rPr>
              <w:t>Masked to two characters each side. Revealing the full address on a page reachable by an emailed link would defeat the screen's purpose.</w:t>
            </w:r>
          </w:p>
        </w:tc>
      </w:tr>
      <w:tr>
        <w:trPr>
          <w:cantSplit/>
        </w:trPr>
        <w:tc>
          <w:tcPr>
            <w:tcW w:type="dxa" w:w="662"/>
            <w:tcMar>
              <w:top w:w="60" w:type="dxa"/>
              <w:start w:w="110" w:type="dxa"/>
              <w:bottom w:w="60" w:type="dxa"/>
              <w:end w:w="110" w:type="dxa"/>
            </w:tcMar>
            <w:shd w:val="clear" w:color="auto" w:fill="F4F7FB"/>
          </w:tcPr>
          <w:p>
            <w:pPr>
              <w:spacing w:after="0"/>
            </w:pPr>
            <w:r/>
            <w:r>
              <w:rPr>
                <w:rFonts w:ascii="Calibri" w:hAnsi="Calibri"/>
                <w:b w:val="0"/>
                <w:i w:val="0"/>
                <w:color w:val="101828"/>
                <w:sz w:val="14"/>
              </w:rPr>
              <w:t>(4) Expiry window</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Countdown on the pending state.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P2</w:t>
            </w:r>
          </w:p>
        </w:tc>
        <w:tc>
          <w:tcPr>
            <w:tcW w:type="dxa" w:w="6293"/>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24-hour window, stated. A bare </w:t>
            </w:r>
            <w:r>
              <w:rPr>
                <w:rFonts w:ascii="Calibri" w:hAnsi="Calibri"/>
                <w:i/>
                <w:color w:val="101828"/>
                <w:sz w:val="14"/>
              </w:rPr>
              <w:t>link expired</w:t>
            </w:r>
            <w:r>
              <w:rPr>
                <w:rFonts w:ascii="Calibri" w:hAnsi="Calibri"/>
                <w:b w:val="0"/>
                <w:i w:val="0"/>
                <w:color w:val="101828"/>
                <w:sz w:val="14"/>
              </w:rPr>
              <w:t xml:space="preserve"> with no window generates support tickets.</w:t>
            </w:r>
          </w:p>
        </w:tc>
      </w:tr>
      <w:tr>
        <w:trPr>
          <w:cantSplit/>
        </w:trPr>
        <w:tc>
          <w:tcPr>
            <w:tcW w:type="dxa" w:w="662"/>
            <w:tcMar>
              <w:top w:w="60" w:type="dxa"/>
              <w:start w:w="110" w:type="dxa"/>
              <w:bottom w:w="60" w:type="dxa"/>
              <w:end w:w="110" w:type="dxa"/>
            </w:tcMar>
          </w:tcPr>
          <w:p>
            <w:pPr>
              <w:spacing w:after="0"/>
            </w:pPr>
            <w:r/>
            <w:r>
              <w:rPr>
                <w:rFonts w:ascii="Calibri" w:hAnsi="Calibri"/>
                <w:b w:val="0"/>
                <w:i w:val="0"/>
                <w:color w:val="101828"/>
                <w:sz w:val="14"/>
              </w:rPr>
              <w:t>(5) Resend</w:t>
            </w:r>
          </w:p>
        </w:tc>
        <w:tc>
          <w:tcPr>
            <w:tcW w:type="dxa" w:w="1800"/>
            <w:tcMar>
              <w:top w:w="60" w:type="dxa"/>
              <w:start w:w="110" w:type="dxa"/>
              <w:bottom w:w="60" w:type="dxa"/>
              <w:end w:w="110" w:type="dxa"/>
            </w:tcMar>
          </w:tcPr>
          <w:p>
            <w:pPr>
              <w:spacing w:after="0"/>
            </w:pPr>
            <w:r/>
            <w:r>
              <w:rPr>
                <w:rFonts w:ascii="Calibri" w:hAnsi="Calibri"/>
                <w:b w:val="0"/>
                <w:i w:val="0"/>
                <w:color w:val="101828"/>
                <w:sz w:val="14"/>
              </w:rPr>
              <w:t>Resend with a visible cooldown.</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293"/>
            <w:tcMar>
              <w:top w:w="60" w:type="dxa"/>
              <w:start w:w="110" w:type="dxa"/>
              <w:bottom w:w="60" w:type="dxa"/>
              <w:end w:w="110" w:type="dxa"/>
            </w:tcMar>
          </w:tcPr>
          <w:p>
            <w:pPr>
              <w:spacing w:after="0"/>
            </w:pPr>
            <w:r/>
            <w:r>
              <w:rPr>
                <w:rFonts w:ascii="Calibri" w:hAnsi="Calibri"/>
                <w:b w:val="0"/>
                <w:i w:val="0"/>
                <w:color w:val="101828"/>
                <w:sz w:val="14"/>
              </w:rPr>
              <w:t xml:space="preserve">The countdown appears on the button itself. A 60-second cooldown rendered as an unexplained dead control is a </w:t>
            </w:r>
            <w:r>
              <w:rPr>
                <w:rFonts w:ascii="Consolas" w:hAnsi="Consolas"/>
                <w:color w:val="146EF5"/>
                <w:sz w:val="14"/>
              </w:rPr>
              <w:t>P2</w:t>
            </w:r>
            <w:r>
              <w:rPr>
                <w:rFonts w:ascii="Calibri" w:hAnsi="Calibri"/>
                <w:b w:val="0"/>
                <w:i w:val="0"/>
                <w:color w:val="101828"/>
                <w:sz w:val="14"/>
              </w:rPr>
              <w:t xml:space="preserve"> defect at best.</w:t>
            </w:r>
          </w:p>
        </w:tc>
      </w:tr>
      <w:tr>
        <w:trPr>
          <w:cantSplit/>
        </w:trPr>
        <w:tc>
          <w:tcPr>
            <w:tcW w:type="dxa" w:w="662"/>
            <w:tcMar>
              <w:top w:w="60" w:type="dxa"/>
              <w:start w:w="110" w:type="dxa"/>
              <w:bottom w:w="60" w:type="dxa"/>
              <w:end w:w="110" w:type="dxa"/>
            </w:tcMar>
            <w:shd w:val="clear" w:color="auto" w:fill="F4F7FB"/>
          </w:tcPr>
          <w:p>
            <w:pPr>
              <w:spacing w:after="0"/>
            </w:pPr>
            <w:r/>
            <w:r>
              <w:rPr>
                <w:rFonts w:ascii="Calibri" w:hAnsi="Calibri"/>
                <w:b w:val="0"/>
                <w:i w:val="0"/>
                <w:color w:val="101828"/>
                <w:sz w:val="14"/>
              </w:rPr>
              <w:t>(6) Change address</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Route to replace the address on the account.</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293"/>
            <w:tcMar>
              <w:top w:w="60" w:type="dxa"/>
              <w:start w:w="110" w:type="dxa"/>
              <w:bottom w:w="60" w:type="dxa"/>
              <w:end w:w="110" w:type="dxa"/>
            </w:tcMar>
            <w:shd w:val="clear" w:color="auto" w:fill="F4F7FB"/>
          </w:tcPr>
          <w:p>
            <w:pPr>
              <w:spacing w:after="0"/>
            </w:pPr>
            <w:r/>
            <w:r>
              <w:rPr>
                <w:rFonts w:ascii="Calibri" w:hAnsi="Calibri"/>
                <w:b w:val="0"/>
                <w:i w:val="0"/>
                <w:color w:val="101828"/>
                <w:sz w:val="14"/>
              </w:rPr>
              <w:t>Changing the address revokes outstanding links immediately. This is the most common real failure and it needs a first-class route, not a support ticket.</w:t>
            </w:r>
          </w:p>
        </w:tc>
      </w:tr>
      <w:tr>
        <w:trPr>
          <w:cantSplit/>
        </w:trPr>
        <w:tc>
          <w:tcPr>
            <w:tcW w:type="dxa" w:w="662"/>
            <w:tcMar>
              <w:top w:w="60" w:type="dxa"/>
              <w:start w:w="110" w:type="dxa"/>
              <w:bottom w:w="60" w:type="dxa"/>
              <w:end w:w="110" w:type="dxa"/>
            </w:tcMar>
          </w:tcPr>
          <w:p>
            <w:pPr>
              <w:spacing w:after="0"/>
            </w:pPr>
            <w:r/>
            <w:r>
              <w:rPr>
                <w:rFonts w:ascii="Calibri" w:hAnsi="Calibri"/>
                <w:b w:val="0"/>
                <w:i w:val="0"/>
                <w:color w:val="101828"/>
                <w:sz w:val="14"/>
              </w:rPr>
              <w:t>(7) Next step</w:t>
            </w:r>
          </w:p>
        </w:tc>
        <w:tc>
          <w:tcPr>
            <w:tcW w:type="dxa" w:w="1800"/>
            <w:tcMar>
              <w:top w:w="60" w:type="dxa"/>
              <w:start w:w="110" w:type="dxa"/>
              <w:bottom w:w="60" w:type="dxa"/>
              <w:end w:w="110" w:type="dxa"/>
            </w:tcMar>
          </w:tcPr>
          <w:p>
            <w:pPr>
              <w:spacing w:after="0"/>
            </w:pPr>
            <w:r/>
            <w:r>
              <w:rPr>
                <w:rFonts w:ascii="Calibri" w:hAnsi="Calibri"/>
                <w:i/>
                <w:color w:val="101828"/>
                <w:sz w:val="14"/>
              </w:rPr>
              <w:t>Continue to phone verification</w:t>
            </w:r>
            <w:r>
              <w:rPr>
                <w:rFonts w:ascii="Calibri" w:hAnsi="Calibri"/>
                <w:b w:val="0"/>
                <w:i w:val="0"/>
                <w:color w:val="101828"/>
                <w:sz w:val="14"/>
              </w:rPr>
              <w:t xml:space="preserve"> on success.</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293"/>
            <w:tcMar>
              <w:top w:w="60" w:type="dxa"/>
              <w:start w:w="110" w:type="dxa"/>
              <w:bottom w:w="60" w:type="dxa"/>
              <w:end w:w="110" w:type="dxa"/>
            </w:tcMar>
          </w:tcPr>
          <w:p>
            <w:pPr>
              <w:spacing w:after="0"/>
            </w:pPr>
            <w:r/>
            <w:r>
              <w:rPr>
                <w:rFonts w:ascii="Calibri" w:hAnsi="Calibri"/>
                <w:b w:val="0"/>
                <w:i w:val="0"/>
                <w:color w:val="101828"/>
                <w:sz w:val="14"/>
              </w:rPr>
              <w:t>Sequential verification is deliberate: a person with two unverified channels is an account nobody can prove. Each screen names the next one.</w:t>
            </w:r>
          </w:p>
        </w:tc>
      </w:tr>
      <w:tr>
        <w:trPr>
          <w:cantSplit/>
        </w:trPr>
        <w:tc>
          <w:tcPr>
            <w:tcW w:type="dxa" w:w="662"/>
            <w:tcMar>
              <w:top w:w="60" w:type="dxa"/>
              <w:start w:w="110" w:type="dxa"/>
              <w:bottom w:w="60" w:type="dxa"/>
              <w:end w:w="110" w:type="dxa"/>
            </w:tcMar>
            <w:shd w:val="clear" w:color="auto" w:fill="F4F7FB"/>
          </w:tcPr>
          <w:p>
            <w:pPr>
              <w:spacing w:after="0"/>
            </w:pPr>
            <w:r/>
            <w:r>
              <w:rPr>
                <w:rFonts w:ascii="Calibri" w:hAnsi="Calibri"/>
                <w:b w:val="0"/>
                <w:i w:val="0"/>
                <w:color w:val="101828"/>
                <w:sz w:val="14"/>
              </w:rPr>
              <w:t>— State templating</w:t>
            </w:r>
          </w:p>
        </w:tc>
        <w:tc>
          <w:tcPr>
            <w:tcW w:type="dxa" w:w="1800"/>
            <w:tcMar>
              <w:top w:w="60" w:type="dxa"/>
              <w:start w:w="110" w:type="dxa"/>
              <w:bottom w:w="60" w:type="dxa"/>
              <w:end w:w="110" w:type="dxa"/>
            </w:tcMar>
            <w:shd w:val="clear" w:color="auto" w:fill="F4F7FB"/>
          </w:tcPr>
          <w:p>
            <w:pPr>
              <w:spacing w:after="0"/>
            </w:pPr>
            <w:r/>
            <w:r>
              <w:rPr>
                <w:rFonts w:ascii="Calibri" w:hAnsi="Calibri"/>
                <w:b/>
                <w:color w:val="101828"/>
                <w:sz w:val="14"/>
              </w:rPr>
              <w:t>Fixed.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293"/>
            <w:tcMar>
              <w:top w:w="60" w:type="dxa"/>
              <w:start w:w="110" w:type="dxa"/>
              <w:bottom w:w="60" w:type="dxa"/>
              <w:end w:w="110" w:type="dxa"/>
            </w:tcMar>
            <w:shd w:val="clear" w:color="auto" w:fill="F4F7FB"/>
          </w:tcPr>
          <w:p>
            <w:pPr>
              <w:spacing w:after="0"/>
            </w:pPr>
            <w:r/>
            <w:r>
              <w:rPr>
                <w:rFonts w:ascii="Calibri" w:hAnsi="Calibri"/>
                <w:b w:val="0"/>
                <w:i w:val="0"/>
                <w:color w:val="101828"/>
                <w:sz w:val="14"/>
              </w:rPr>
              <w:t>The three states are fixed designs, not one template with a variable message. The copy differs per state and is written per state, because each state needs a different next action.</w:t>
            </w:r>
          </w:p>
        </w:tc>
      </w:tr>
    </w:tbl>
    <w:p>
      <w:pPr>
        <w:spacing w:after="80"/>
      </w:pPr>
    </w:p>
    <w:p>
      <w:pPr>
        <w:pStyle w:val="Heading2"/>
      </w:pPr>
      <w:r>
        <w:rPr>
          <w:rFonts w:ascii="Calibri" w:hAnsi="Calibri"/>
          <w:b/>
          <w:i w:val="0"/>
          <w:color w:val="146EF5"/>
          <w:sz w:val="29"/>
        </w:rPr>
        <w:t>6.8 Phone verification (OTP) — SCR-WEB-12</w:t>
      </w:r>
    </w:p>
    <w:p>
      <w:r>
        <w:rPr>
          <w:rFonts w:ascii="Calibri" w:hAnsi="Calibri"/>
          <w:b w:val="0"/>
          <w:i w:val="0"/>
          <w:color w:val="101828"/>
          <w:sz w:val="21"/>
        </w:rPr>
        <w:t>The second of the two verification steps and the last gate before an account can hold a position in an Ajo. It is also the screen most likely to be attacked, so the countdown and the attempt counter are both visible at all times: a person being rate-limited should be able to see that they are, and why.</w:t>
      </w:r>
    </w:p>
    <w:p>
      <w:pPr>
        <w:pStyle w:val="Heading3"/>
      </w:pPr>
      <w:r>
        <w:rPr>
          <w:rFonts w:ascii="Calibri" w:hAnsi="Calibri"/>
          <w:b/>
          <w:i w:val="0"/>
          <w:color w:val="0B1F3A"/>
          <w:sz w:val="24"/>
        </w:rPr>
        <w:t>6.8.1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AJO.ng                   [=]             |</w:t>
      </w:r>
    </w:p>
    <w:p>
      <w:pPr>
        <w:spacing w:before="0" w:after="0" w:line="240" w:lineRule="auto"/>
        <w:ind w:left="230"/>
        <w:shd w:val="clear" w:color="auto" w:fill="F7F9FC"/>
        <w:pBdr>
          <w:left w:val="single" w:sz="4" w:space="6" w:color="D0D5DD"/>
        </w:pBdr>
      </w:pPr>
      <w:r>
        <w:rPr>
          <w:rFonts w:ascii="Consolas" w:hAnsi="Consolas"/>
          <w:color w:val="0B1F3A"/>
          <w:sz w:val="16"/>
        </w:rPr>
        <w:t>+-- (2)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 Verify your phone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Enter the 6-digit code we sent.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[ 1 ][ 2 ][ 3 ][ 4 ][ 5 ][ 6 ]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Sent to +234 80* *** **41         |   |</w:t>
      </w:r>
    </w:p>
    <w:p>
      <w:pPr>
        <w:spacing w:before="0" w:after="0" w:line="240" w:lineRule="auto"/>
        <w:ind w:left="230"/>
        <w:shd w:val="clear" w:color="auto" w:fill="F7F9FC"/>
        <w:pBdr>
          <w:left w:val="single" w:sz="4" w:space="6" w:color="D0D5DD"/>
        </w:pBdr>
      </w:pPr>
      <w:r>
        <w:rPr>
          <w:rFonts w:ascii="Consolas" w:hAnsi="Consolas"/>
          <w:color w:val="0B1F3A"/>
          <w:sz w:val="16"/>
        </w:rPr>
        <w:t>| |  by SMS at 12:04. Expires in 10    |   |</w:t>
      </w:r>
    </w:p>
    <w:p>
      <w:pPr>
        <w:spacing w:before="0" w:after="0" w:line="240" w:lineRule="auto"/>
        <w:ind w:left="230"/>
        <w:shd w:val="clear" w:color="auto" w:fill="F7F9FC"/>
        <w:pBdr>
          <w:left w:val="single" w:sz="4" w:space="6" w:color="D0D5DD"/>
        </w:pBdr>
      </w:pPr>
      <w:r>
        <w:rPr>
          <w:rFonts w:ascii="Consolas" w:hAnsi="Consolas"/>
          <w:color w:val="0B1F3A"/>
          <w:sz w:val="16"/>
        </w:rPr>
        <w:t>| |    min.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4 attempts left before the code   |   |</w:t>
      </w:r>
    </w:p>
    <w:p>
      <w:pPr>
        <w:spacing w:before="0" w:after="0" w:line="240" w:lineRule="auto"/>
        <w:ind w:left="230"/>
        <w:shd w:val="clear" w:color="auto" w:fill="F7F9FC"/>
        <w:pBdr>
          <w:left w:val="single" w:sz="4" w:space="6" w:color="D0D5DD"/>
        </w:pBdr>
      </w:pPr>
      <w:r>
        <w:rPr>
          <w:rFonts w:ascii="Consolas" w:hAnsi="Consolas"/>
          <w:color w:val="0B1F3A"/>
          <w:sz w:val="16"/>
        </w:rPr>
        <w:t>| |  must be replaced.                 |   |</w:t>
      </w:r>
    </w:p>
    <w:p>
      <w:pPr>
        <w:spacing w:before="0" w:after="0" w:line="240" w:lineRule="auto"/>
        <w:ind w:left="230"/>
        <w:shd w:val="clear" w:color="auto" w:fill="F7F9FC"/>
        <w:pBdr>
          <w:left w:val="single" w:sz="4" w:space="6" w:color="D0D5DD"/>
        </w:pBdr>
      </w:pPr>
      <w:r>
        <w:rPr>
          <w:rFonts w:ascii="Consolas" w:hAnsi="Consolas"/>
          <w:color w:val="0B1F3A"/>
          <w:sz w:val="16"/>
        </w:rPr>
        <w:t>| |  Resend available in  0:42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x  That code is not right.        |   |</w:t>
      </w:r>
    </w:p>
    <w:p>
      <w:pPr>
        <w:spacing w:before="0" w:after="0" w:line="240" w:lineRule="auto"/>
        <w:ind w:left="230"/>
        <w:shd w:val="clear" w:color="auto" w:fill="F7F9FC"/>
        <w:pBdr>
          <w:left w:val="single" w:sz="4" w:space="6" w:color="D0D5DD"/>
        </w:pBdr>
      </w:pPr>
      <w:r>
        <w:rPr>
          <w:rFonts w:ascii="Consolas" w:hAnsi="Consolas"/>
          <w:color w:val="0B1F3A"/>
          <w:sz w:val="16"/>
        </w:rPr>
        <w:t>| |     3 attempts left.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Verify phone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&lt; Use a different number &gt;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CENTRED CARD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The screen most likely       |  Verify your phone number            |    |</w:t>
      </w:r>
    </w:p>
    <w:p>
      <w:pPr>
        <w:spacing w:before="0" w:after="0" w:line="240" w:lineRule="auto"/>
        <w:ind w:left="230"/>
        <w:shd w:val="clear" w:color="auto" w:fill="F7F9FC"/>
        <w:pBdr>
          <w:left w:val="single" w:sz="4" w:space="6" w:color="D0D5DD"/>
        </w:pBdr>
      </w:pPr>
      <w:r>
        <w:rPr>
          <w:rFonts w:ascii="Consolas" w:hAnsi="Consolas"/>
          <w:color w:val="0B1F3A"/>
          <w:sz w:val="16"/>
        </w:rPr>
        <w:t>| to be attacked.              |  Enter the 6-digit code we sent.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So every control is on       |                                      |    |</w:t>
      </w:r>
    </w:p>
    <w:p>
      <w:pPr>
        <w:spacing w:before="0" w:after="0" w:line="240" w:lineRule="auto"/>
        <w:ind w:left="230"/>
        <w:shd w:val="clear" w:color="auto" w:fill="F7F9FC"/>
        <w:pBdr>
          <w:left w:val="single" w:sz="4" w:space="6" w:color="D0D5DD"/>
        </w:pBdr>
      </w:pPr>
      <w:r>
        <w:rPr>
          <w:rFonts w:ascii="Consolas" w:hAnsi="Consolas"/>
          <w:color w:val="0B1F3A"/>
          <w:sz w:val="16"/>
        </w:rPr>
        <w:t>| screen at once:              |  [ 1 ][ 2 ][ 3 ][ 4 ][ 5 ][ 6 ]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how many attempts left,    |  Sent to  +234 80* *** **41          |    |</w:t>
      </w:r>
    </w:p>
    <w:p>
      <w:pPr>
        <w:spacing w:before="0" w:after="0" w:line="240" w:lineRule="auto"/>
        <w:ind w:left="230"/>
        <w:shd w:val="clear" w:color="auto" w:fill="F7F9FC"/>
        <w:pBdr>
          <w:left w:val="single" w:sz="4" w:space="6" w:color="D0D5DD"/>
        </w:pBdr>
      </w:pPr>
      <w:r>
        <w:rPr>
          <w:rFonts w:ascii="Consolas" w:hAnsi="Consolas"/>
          <w:color w:val="0B1F3A"/>
          <w:sz w:val="16"/>
        </w:rPr>
        <w:t>|   when the code expires,     |  by SMS at 12:04. Expires in 10      |    |</w:t>
      </w:r>
    </w:p>
    <w:p>
      <w:pPr>
        <w:spacing w:before="0" w:after="0" w:line="240" w:lineRule="auto"/>
        <w:ind w:left="230"/>
        <w:shd w:val="clear" w:color="auto" w:fill="F7F9FC"/>
        <w:pBdr>
          <w:left w:val="single" w:sz="4" w:space="6" w:color="D0D5DD"/>
        </w:pBdr>
      </w:pPr>
      <w:r>
        <w:rPr>
          <w:rFonts w:ascii="Consolas" w:hAnsi="Consolas"/>
          <w:color w:val="0B1F3A"/>
          <w:sz w:val="16"/>
        </w:rPr>
        <w:t>|   when a resend is allowed.  |    min.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A counter that appears       |  ----------------------------------  |    |</w:t>
      </w:r>
    </w:p>
    <w:p>
      <w:pPr>
        <w:spacing w:before="0" w:after="0" w:line="240" w:lineRule="auto"/>
        <w:ind w:left="230"/>
        <w:shd w:val="clear" w:color="auto" w:fill="F7F9FC"/>
        <w:pBdr>
          <w:left w:val="single" w:sz="4" w:space="6" w:color="D0D5DD"/>
        </w:pBdr>
      </w:pPr>
      <w:r>
        <w:rPr>
          <w:rFonts w:ascii="Consolas" w:hAnsi="Consolas"/>
          <w:color w:val="0B1F3A"/>
          <w:sz w:val="16"/>
        </w:rPr>
        <w:t>| only on failure reads as     |  4 attempts left before the code     |    |</w:t>
      </w:r>
    </w:p>
    <w:p>
      <w:pPr>
        <w:spacing w:before="0" w:after="0" w:line="240" w:lineRule="auto"/>
        <w:ind w:left="230"/>
        <w:shd w:val="clear" w:color="auto" w:fill="F7F9FC"/>
        <w:pBdr>
          <w:left w:val="single" w:sz="4" w:space="6" w:color="D0D5DD"/>
        </w:pBdr>
      </w:pPr>
      <w:r>
        <w:rPr>
          <w:rFonts w:ascii="Consolas" w:hAnsi="Consolas"/>
          <w:color w:val="0B1F3A"/>
          <w:sz w:val="16"/>
        </w:rPr>
        <w:t>| an accusation.               |  must be replaced.                   |    |</w:t>
      </w:r>
    </w:p>
    <w:p>
      <w:pPr>
        <w:spacing w:before="0" w:after="0" w:line="240" w:lineRule="auto"/>
        <w:ind w:left="230"/>
        <w:shd w:val="clear" w:color="auto" w:fill="F7F9FC"/>
        <w:pBdr>
          <w:left w:val="single" w:sz="4" w:space="6" w:color="D0D5DD"/>
        </w:pBdr>
      </w:pPr>
      <w:r>
        <w:rPr>
          <w:rFonts w:ascii="Consolas" w:hAnsi="Consolas"/>
          <w:color w:val="0B1F3A"/>
          <w:sz w:val="16"/>
        </w:rPr>
        <w:t>|                              |  Resend available in  0:42.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x  That code is not right.  3       |    |</w:t>
      </w:r>
    </w:p>
    <w:p>
      <w:pPr>
        <w:spacing w:before="0" w:after="0" w:line="240" w:lineRule="auto"/>
        <w:ind w:left="230"/>
        <w:shd w:val="clear" w:color="auto" w:fill="F7F9FC"/>
        <w:pBdr>
          <w:left w:val="single" w:sz="4" w:space="6" w:color="D0D5DD"/>
        </w:pBdr>
      </w:pPr>
      <w:r>
        <w:rPr>
          <w:rFonts w:ascii="Consolas" w:hAnsi="Consolas"/>
          <w:color w:val="0B1F3A"/>
          <w:sz w:val="16"/>
        </w:rPr>
        <w:t>|                              |     attempts left.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          Verify phone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&lt; Use a different number &gt;          |    |</w:t>
      </w:r>
    </w:p>
    <w:p>
      <w:pPr>
        <w:spacing w:before="0" w:after="0" w:line="240" w:lineRule="auto"/>
        <w:ind w:left="230"/>
        <w:shd w:val="clear" w:color="auto" w:fill="F7F9FC"/>
        <w:pBdr>
          <w:left w:val="single" w:sz="4" w:space="6" w:color="D0D5DD"/>
        </w:pBdr>
      </w:pPr>
      <w:r>
        <w:rPr>
          <w:rFonts w:ascii="Consolas" w:hAnsi="Consolas"/>
          <w:color w:val="0B1F3A"/>
          <w:sz w:val="16"/>
        </w:rPr>
        <w:t>|                              |  &lt; Resend the code (0:42) &gt;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6.8.2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994"/>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5746"/>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994"/>
            <w:tcMar>
              <w:top w:w="60" w:type="dxa"/>
              <w:start w:w="110" w:type="dxa"/>
              <w:bottom w:w="60" w:type="dxa"/>
              <w:end w:w="110" w:type="dxa"/>
            </w:tcMar>
          </w:tcPr>
          <w:p>
            <w:pPr>
              <w:spacing w:after="0"/>
            </w:pPr>
            <w:r/>
            <w:r>
              <w:rPr>
                <w:rFonts w:ascii="Calibri" w:hAnsi="Calibri"/>
                <w:b w:val="0"/>
                <w:i w:val="0"/>
                <w:color w:val="101828"/>
                <w:sz w:val="14"/>
              </w:rPr>
              <w:t>(1) Header</w:t>
            </w:r>
          </w:p>
        </w:tc>
        <w:tc>
          <w:tcPr>
            <w:tcW w:type="dxa" w:w="2016"/>
            <w:tcMar>
              <w:top w:w="60" w:type="dxa"/>
              <w:start w:w="110" w:type="dxa"/>
              <w:bottom w:w="60" w:type="dxa"/>
              <w:end w:w="110" w:type="dxa"/>
            </w:tcMar>
          </w:tcPr>
          <w:p>
            <w:pPr>
              <w:spacing w:after="0"/>
            </w:pPr>
            <w:r/>
            <w:r>
              <w:rPr>
                <w:rFonts w:ascii="Calibri" w:hAnsi="Calibri"/>
                <w:b w:val="0"/>
                <w:i w:val="0"/>
                <w:color w:val="101828"/>
                <w:sz w:val="14"/>
              </w:rPr>
              <w:t>Wordmark linking home.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5746"/>
            <w:tcMar>
              <w:top w:w="60" w:type="dxa"/>
              <w:start w:w="110" w:type="dxa"/>
              <w:bottom w:w="60" w:type="dxa"/>
              <w:end w:w="110" w:type="dxa"/>
            </w:tcMar>
          </w:tcPr>
          <w:p>
            <w:pPr>
              <w:spacing w:after="0"/>
            </w:pPr>
            <w:r/>
            <w:r>
              <w:rPr>
                <w:rFonts w:ascii="Calibri" w:hAnsi="Calibri"/>
                <w:b w:val="0"/>
                <w:i w:val="0"/>
                <w:color w:val="101828"/>
                <w:sz w:val="14"/>
              </w:rPr>
              <w:t>Same component as 6.7.</w:t>
            </w:r>
          </w:p>
        </w:tc>
      </w:tr>
      <w:tr>
        <w:trPr>
          <w:cantSplit/>
        </w:trPr>
        <w:tc>
          <w:tcPr>
            <w:tcW w:type="dxa" w:w="994"/>
            <w:tcMar>
              <w:top w:w="60" w:type="dxa"/>
              <w:start w:w="110" w:type="dxa"/>
              <w:bottom w:w="60" w:type="dxa"/>
              <w:end w:w="110" w:type="dxa"/>
            </w:tcMar>
            <w:shd w:val="clear" w:color="auto" w:fill="F4F7FB"/>
          </w:tcPr>
          <w:p>
            <w:pPr>
              <w:spacing w:after="0"/>
            </w:pPr>
            <w:r/>
            <w:r>
              <w:rPr>
                <w:rFonts w:ascii="Calibri" w:hAnsi="Calibri"/>
                <w:b w:val="0"/>
                <w:i w:val="0"/>
                <w:color w:val="101828"/>
                <w:sz w:val="14"/>
              </w:rPr>
              <w:t>(2) Title and instruction</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What to do, and that it was sent.</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574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Says </w:t>
            </w:r>
            <w:r>
              <w:rPr>
                <w:rFonts w:ascii="Calibri" w:hAnsi="Calibri"/>
                <w:i/>
                <w:color w:val="101828"/>
                <w:sz w:val="14"/>
              </w:rPr>
              <w:t>code</w:t>
            </w:r>
            <w:r>
              <w:rPr>
                <w:rFonts w:ascii="Calibri" w:hAnsi="Calibri"/>
                <w:b w:val="0"/>
                <w:i w:val="0"/>
                <w:color w:val="101828"/>
                <w:sz w:val="14"/>
              </w:rPr>
              <w:t xml:space="preserve">, not </w:t>
            </w:r>
            <w:r>
              <w:rPr>
                <w:rFonts w:ascii="Calibri" w:hAnsi="Calibri"/>
                <w:i/>
                <w:color w:val="101828"/>
                <w:sz w:val="14"/>
              </w:rPr>
              <w:t>verification</w:t>
            </w:r>
            <w:r>
              <w:rPr>
                <w:rFonts w:ascii="Calibri" w:hAnsi="Calibri"/>
                <w:b w:val="0"/>
                <w:i w:val="0"/>
                <w:color w:val="101828"/>
                <w:sz w:val="14"/>
              </w:rPr>
              <w:t xml:space="preserve">. Nigerian users are comfortable with SMS codes; </w:t>
            </w:r>
            <w:r>
              <w:rPr>
                <w:rFonts w:ascii="Calibri" w:hAnsi="Calibri"/>
                <w:i/>
                <w:color w:val="101828"/>
                <w:sz w:val="14"/>
              </w:rPr>
              <w:t>verification</w:t>
            </w:r>
            <w:r>
              <w:rPr>
                <w:rFonts w:ascii="Calibri" w:hAnsi="Calibri"/>
                <w:b w:val="0"/>
                <w:i w:val="0"/>
                <w:color w:val="101828"/>
                <w:sz w:val="14"/>
              </w:rPr>
              <w:t xml:space="preserve"> is jargon.</w:t>
            </w:r>
          </w:p>
        </w:tc>
      </w:tr>
      <w:tr>
        <w:trPr>
          <w:cantSplit/>
        </w:trPr>
        <w:tc>
          <w:tcPr>
            <w:tcW w:type="dxa" w:w="994"/>
            <w:tcMar>
              <w:top w:w="60" w:type="dxa"/>
              <w:start w:w="110" w:type="dxa"/>
              <w:bottom w:w="60" w:type="dxa"/>
              <w:end w:w="110" w:type="dxa"/>
            </w:tcMar>
          </w:tcPr>
          <w:p>
            <w:pPr>
              <w:spacing w:after="0"/>
            </w:pPr>
            <w:r/>
            <w:r>
              <w:rPr>
                <w:rFonts w:ascii="Calibri" w:hAnsi="Calibri"/>
                <w:b w:val="0"/>
                <w:i w:val="0"/>
                <w:color w:val="101828"/>
                <w:sz w:val="14"/>
              </w:rPr>
              <w:t>(3) OTP input</w:t>
            </w:r>
          </w:p>
        </w:tc>
        <w:tc>
          <w:tcPr>
            <w:tcW w:type="dxa" w:w="2016"/>
            <w:tcMar>
              <w:top w:w="60" w:type="dxa"/>
              <w:start w:w="110" w:type="dxa"/>
              <w:bottom w:w="60" w:type="dxa"/>
              <w:end w:w="110" w:type="dxa"/>
            </w:tcMar>
          </w:tcPr>
          <w:p>
            <w:pPr>
              <w:spacing w:after="0"/>
            </w:pPr>
            <w:r/>
            <w:r>
              <w:rPr>
                <w:rFonts w:ascii="Calibri" w:hAnsi="Calibri"/>
                <w:b w:val="0"/>
                <w:i w:val="0"/>
                <w:color w:val="101828"/>
                <w:sz w:val="14"/>
              </w:rPr>
              <w:t>Six single-character fields, or one widely tracked field.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5746"/>
            <w:tcMar>
              <w:top w:w="60" w:type="dxa"/>
              <w:start w:w="110" w:type="dxa"/>
              <w:bottom w:w="60" w:type="dxa"/>
              <w:end w:w="110" w:type="dxa"/>
            </w:tcMar>
          </w:tcPr>
          <w:p>
            <w:pPr>
              <w:spacing w:after="0"/>
            </w:pPr>
            <w:r/>
            <w:r>
              <w:rPr>
                <w:rFonts w:ascii="Calibri" w:hAnsi="Calibri"/>
                <w:b w:val="0"/>
                <w:i w:val="0"/>
                <w:color w:val="101828"/>
                <w:sz w:val="14"/>
              </w:rPr>
              <w:t xml:space="preserve">Either form is acceptable. It must accept a pasted six-digit code, set </w:t>
            </w:r>
            <w:r>
              <w:rPr>
                <w:rFonts w:ascii="Consolas" w:hAnsi="Consolas"/>
                <w:color w:val="146EF5"/>
                <w:sz w:val="14"/>
              </w:rPr>
              <w:t>inputmode="numeric"</w:t>
            </w:r>
            <w:r>
              <w:rPr>
                <w:rFonts w:ascii="Calibri" w:hAnsi="Calibri"/>
                <w:b w:val="0"/>
                <w:i w:val="0"/>
                <w:color w:val="101828"/>
                <w:sz w:val="14"/>
              </w:rPr>
              <w:t xml:space="preserve"> and </w:t>
            </w:r>
            <w:r>
              <w:rPr>
                <w:rFonts w:ascii="Consolas" w:hAnsi="Consolas"/>
                <w:color w:val="146EF5"/>
                <w:sz w:val="14"/>
              </w:rPr>
              <w:t>autocomplete="one-time-code"</w:t>
            </w:r>
            <w:r>
              <w:rPr>
                <w:rFonts w:ascii="Calibri" w:hAnsi="Calibri"/>
                <w:b w:val="0"/>
                <w:i w:val="0"/>
                <w:color w:val="101828"/>
                <w:sz w:val="14"/>
              </w:rPr>
              <w:t>, and support backspace across fields.</w:t>
            </w:r>
          </w:p>
        </w:tc>
      </w:tr>
      <w:tr>
        <w:trPr>
          <w:cantSplit/>
        </w:trPr>
        <w:tc>
          <w:tcPr>
            <w:tcW w:type="dxa" w:w="994"/>
            <w:tcMar>
              <w:top w:w="60" w:type="dxa"/>
              <w:start w:w="110" w:type="dxa"/>
              <w:bottom w:w="60" w:type="dxa"/>
              <w:end w:w="110" w:type="dxa"/>
            </w:tcMar>
            <w:shd w:val="clear" w:color="auto" w:fill="F4F7FB"/>
          </w:tcPr>
          <w:p>
            <w:pPr>
              <w:spacing w:after="0"/>
            </w:pPr>
            <w:r/>
            <w:r>
              <w:rPr>
                <w:rFonts w:ascii="Calibri" w:hAnsi="Calibri"/>
                <w:b w:val="0"/>
                <w:i w:val="0"/>
                <w:color w:val="101828"/>
                <w:sz w:val="14"/>
              </w:rPr>
              <w:t>(4) Masked number</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Which number the code was sent to.</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5746"/>
            <w:tcMar>
              <w:top w:w="60" w:type="dxa"/>
              <w:start w:w="110" w:type="dxa"/>
              <w:bottom w:w="60" w:type="dxa"/>
              <w:end w:w="110" w:type="dxa"/>
            </w:tcMar>
            <w:shd w:val="clear" w:color="auto" w:fill="F4F7FB"/>
          </w:tcPr>
          <w:p>
            <w:pPr>
              <w:spacing w:after="0"/>
            </w:pPr>
            <w:r/>
            <w:r>
              <w:rPr>
                <w:rFonts w:ascii="Calibri" w:hAnsi="Calibri"/>
                <w:b w:val="0"/>
                <w:i w:val="0"/>
                <w:color w:val="101828"/>
                <w:sz w:val="14"/>
              </w:rPr>
              <w:t>Masked, because the page is reachable by a link from an email on a possibly shared device.</w:t>
            </w:r>
          </w:p>
        </w:tc>
      </w:tr>
      <w:tr>
        <w:trPr>
          <w:cantSplit/>
        </w:trPr>
        <w:tc>
          <w:tcPr>
            <w:tcW w:type="dxa" w:w="994"/>
            <w:tcMar>
              <w:top w:w="60" w:type="dxa"/>
              <w:start w:w="110" w:type="dxa"/>
              <w:bottom w:w="60" w:type="dxa"/>
              <w:end w:w="110" w:type="dxa"/>
            </w:tcMar>
          </w:tcPr>
          <w:p>
            <w:pPr>
              <w:spacing w:after="0"/>
            </w:pPr>
            <w:r/>
            <w:r>
              <w:rPr>
                <w:rFonts w:ascii="Calibri" w:hAnsi="Calibri"/>
                <w:b w:val="0"/>
                <w:i w:val="0"/>
                <w:color w:val="101828"/>
                <w:sz w:val="14"/>
              </w:rPr>
              <w:t>(5) Attempt counter</w:t>
            </w:r>
          </w:p>
        </w:tc>
        <w:tc>
          <w:tcPr>
            <w:tcW w:type="dxa" w:w="2016"/>
            <w:tcMar>
              <w:top w:w="60" w:type="dxa"/>
              <w:start w:w="110" w:type="dxa"/>
              <w:bottom w:w="60" w:type="dxa"/>
              <w:end w:w="110" w:type="dxa"/>
            </w:tcMar>
          </w:tcPr>
          <w:p>
            <w:pPr>
              <w:spacing w:after="0"/>
            </w:pPr>
            <w:r/>
            <w:r>
              <w:rPr>
                <w:rFonts w:ascii="Calibri" w:hAnsi="Calibri"/>
                <w:b w:val="0"/>
                <w:i w:val="0"/>
                <w:color w:val="101828"/>
                <w:sz w:val="14"/>
              </w:rPr>
              <w:t>Remaining attempts before invalidation.</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5746"/>
            <w:tcMar>
              <w:top w:w="60" w:type="dxa"/>
              <w:start w:w="110" w:type="dxa"/>
              <w:bottom w:w="60" w:type="dxa"/>
              <w:end w:w="110" w:type="dxa"/>
            </w:tcMar>
          </w:tcPr>
          <w:p>
            <w:pPr>
              <w:spacing w:after="0"/>
            </w:pPr>
            <w:r/>
            <w:r>
              <w:rPr>
                <w:rFonts w:ascii="Calibri" w:hAnsi="Calibri"/>
                <w:b w:val="0"/>
                <w:i w:val="0"/>
                <w:color w:val="101828"/>
                <w:sz w:val="14"/>
              </w:rPr>
              <w:t xml:space="preserve">Five attempts, then the code is invalidated and a new one must be requested. </w:t>
            </w:r>
            <w:r>
              <w:rPr>
                <w:rFonts w:ascii="Calibri" w:hAnsi="Calibri"/>
                <w:b/>
                <w:color w:val="101828"/>
                <w:sz w:val="14"/>
              </w:rPr>
              <w:t>Always visible</w:t>
            </w:r>
            <w:r>
              <w:rPr>
                <w:rFonts w:ascii="Calibri" w:hAnsi="Calibri"/>
                <w:b w:val="0"/>
                <w:i w:val="0"/>
                <w:color w:val="101828"/>
                <w:sz w:val="14"/>
              </w:rPr>
              <w:t>, including before the first failure.</w:t>
            </w:r>
          </w:p>
        </w:tc>
      </w:tr>
      <w:tr>
        <w:trPr>
          <w:cantSplit/>
        </w:trPr>
        <w:tc>
          <w:tcPr>
            <w:tcW w:type="dxa" w:w="994"/>
            <w:tcMar>
              <w:top w:w="60" w:type="dxa"/>
              <w:start w:w="110" w:type="dxa"/>
              <w:bottom w:w="60" w:type="dxa"/>
              <w:end w:w="110" w:type="dxa"/>
            </w:tcMar>
            <w:shd w:val="clear" w:color="auto" w:fill="F4F7FB"/>
          </w:tcPr>
          <w:p>
            <w:pPr>
              <w:spacing w:after="0"/>
            </w:pPr>
            <w:r/>
            <w:r>
              <w:rPr>
                <w:rFonts w:ascii="Calibri" w:hAnsi="Calibri"/>
                <w:b w:val="0"/>
                <w:i w:val="0"/>
                <w:color w:val="101828"/>
                <w:sz w:val="14"/>
              </w:rPr>
              <w:t>(6) Resend cooldown</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Sixty-second countdown on the resend control.</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5746"/>
            <w:tcMar>
              <w:top w:w="60" w:type="dxa"/>
              <w:start w:w="110" w:type="dxa"/>
              <w:bottom w:w="60" w:type="dxa"/>
              <w:end w:w="110" w:type="dxa"/>
            </w:tcMar>
            <w:shd w:val="clear" w:color="auto" w:fill="F4F7FB"/>
          </w:tcPr>
          <w:p>
            <w:pPr>
              <w:spacing w:after="0"/>
            </w:pPr>
            <w:r/>
            <w:r>
              <w:rPr>
                <w:rFonts w:ascii="Calibri" w:hAnsi="Calibri"/>
                <w:b w:val="0"/>
                <w:i w:val="0"/>
                <w:color w:val="101828"/>
                <w:sz w:val="14"/>
              </w:rPr>
              <w:t>Rendered on the control, not merely enforced. The cooldown starts on request, not on send, so a failed send does not lock a person out of their own account.</w:t>
            </w:r>
          </w:p>
        </w:tc>
      </w:tr>
      <w:tr>
        <w:trPr>
          <w:cantSplit/>
        </w:trPr>
        <w:tc>
          <w:tcPr>
            <w:tcW w:type="dxa" w:w="994"/>
            <w:tcMar>
              <w:top w:w="60" w:type="dxa"/>
              <w:start w:w="110" w:type="dxa"/>
              <w:bottom w:w="60" w:type="dxa"/>
              <w:end w:w="110" w:type="dxa"/>
            </w:tcMar>
          </w:tcPr>
          <w:p>
            <w:pPr>
              <w:spacing w:after="0"/>
            </w:pPr>
            <w:r/>
            <w:r>
              <w:rPr>
                <w:rFonts w:ascii="Calibri" w:hAnsi="Calibri"/>
                <w:b w:val="0"/>
                <w:i w:val="0"/>
                <w:color w:val="101828"/>
                <w:sz w:val="14"/>
              </w:rPr>
              <w:t>(7) Error strip</w:t>
            </w:r>
          </w:p>
        </w:tc>
        <w:tc>
          <w:tcPr>
            <w:tcW w:type="dxa" w:w="2016"/>
            <w:tcMar>
              <w:top w:w="60" w:type="dxa"/>
              <w:start w:w="110" w:type="dxa"/>
              <w:bottom w:w="60" w:type="dxa"/>
              <w:end w:w="110" w:type="dxa"/>
            </w:tcMar>
          </w:tcPr>
          <w:p>
            <w:pPr>
              <w:spacing w:after="0"/>
            </w:pPr>
            <w:r/>
            <w:r>
              <w:rPr>
                <w:rFonts w:ascii="Calibri" w:hAnsi="Calibri"/>
                <w:b w:val="0"/>
                <w:i w:val="0"/>
                <w:color w:val="101828"/>
                <w:sz w:val="14"/>
              </w:rPr>
              <w:t>Generic, with the remaining attempt count.</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5746"/>
            <w:tcMar>
              <w:top w:w="60" w:type="dxa"/>
              <w:start w:w="110" w:type="dxa"/>
              <w:bottom w:w="60" w:type="dxa"/>
              <w:end w:w="110" w:type="dxa"/>
            </w:tcMar>
          </w:tcPr>
          <w:p>
            <w:pPr>
              <w:spacing w:after="0"/>
            </w:pPr>
            <w:r/>
            <w:r>
              <w:rPr>
                <w:rFonts w:ascii="Calibri" w:hAnsi="Calibri"/>
                <w:b w:val="0"/>
                <w:i w:val="0"/>
                <w:color w:val="101828"/>
                <w:sz w:val="14"/>
              </w:rPr>
              <w:t>Never says whether the number exists, whether a code was ever sent, or whether it was already used.</w:t>
            </w:r>
          </w:p>
        </w:tc>
      </w:tr>
      <w:tr>
        <w:trPr>
          <w:cantSplit/>
        </w:trPr>
        <w:tc>
          <w:tcPr>
            <w:tcW w:type="dxa" w:w="994"/>
            <w:tcMar>
              <w:top w:w="60" w:type="dxa"/>
              <w:start w:w="110" w:type="dxa"/>
              <w:bottom w:w="60" w:type="dxa"/>
              <w:end w:w="110" w:type="dxa"/>
            </w:tcMar>
            <w:shd w:val="clear" w:color="auto" w:fill="F4F7FB"/>
          </w:tcPr>
          <w:p>
            <w:pPr>
              <w:spacing w:after="0"/>
            </w:pPr>
            <w:r/>
            <w:r>
              <w:rPr>
                <w:rFonts w:ascii="Calibri" w:hAnsi="Calibri"/>
                <w:b w:val="0"/>
                <w:i w:val="0"/>
                <w:color w:val="101828"/>
                <w:sz w:val="14"/>
              </w:rPr>
              <w:t>(8) Actions</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4"/>
              </w:rPr>
              <w:t>Verify, change number, resend.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5746"/>
            <w:tcMar>
              <w:top w:w="60" w:type="dxa"/>
              <w:start w:w="110" w:type="dxa"/>
              <w:bottom w:w="60" w:type="dxa"/>
              <w:end w:w="110" w:type="dxa"/>
            </w:tcMar>
            <w:shd w:val="clear" w:color="auto" w:fill="F4F7FB"/>
          </w:tcPr>
          <w:p>
            <w:pPr>
              <w:spacing w:after="0"/>
            </w:pPr>
            <w:r/>
            <w:r>
              <w:rPr>
                <w:rFonts w:ascii="Calibri" w:hAnsi="Calibri"/>
                <w:i/>
                <w:color w:val="101828"/>
                <w:sz w:val="14"/>
              </w:rPr>
              <w:t>Use a different number</w:t>
            </w:r>
            <w:r>
              <w:rPr>
                <w:rFonts w:ascii="Calibri" w:hAnsi="Calibri"/>
                <w:b w:val="0"/>
                <w:i w:val="0"/>
                <w:color w:val="101828"/>
                <w:sz w:val="14"/>
              </w:rPr>
              <w:t xml:space="preserve"> changes the phone on the account and invalidates the outstanding code.</w:t>
            </w:r>
          </w:p>
        </w:tc>
      </w:tr>
      <w:tr>
        <w:trPr>
          <w:cantSplit/>
        </w:trPr>
        <w:tc>
          <w:tcPr>
            <w:tcW w:type="dxa" w:w="994"/>
            <w:tcMar>
              <w:top w:w="60" w:type="dxa"/>
              <w:start w:w="110" w:type="dxa"/>
              <w:bottom w:w="60" w:type="dxa"/>
              <w:end w:w="110" w:type="dxa"/>
            </w:tcMar>
          </w:tcPr>
          <w:p>
            <w:pPr>
              <w:spacing w:after="0"/>
            </w:pPr>
            <w:r/>
            <w:r>
              <w:rPr>
                <w:rFonts w:ascii="Calibri" w:hAnsi="Calibri"/>
                <w:b w:val="0"/>
                <w:i w:val="0"/>
                <w:color w:val="101828"/>
                <w:sz w:val="14"/>
              </w:rPr>
              <w:t>— Voice or WhatsApp fallback</w:t>
            </w:r>
          </w:p>
        </w:tc>
        <w:tc>
          <w:tcPr>
            <w:tcW w:type="dxa" w:w="2016"/>
            <w:tcMar>
              <w:top w:w="60" w:type="dxa"/>
              <w:start w:w="110" w:type="dxa"/>
              <w:bottom w:w="60" w:type="dxa"/>
              <w:end w:w="110" w:type="dxa"/>
            </w:tcMar>
          </w:tcPr>
          <w:p>
            <w:pPr>
              <w:spacing w:after="0"/>
            </w:pPr>
            <w:r/>
            <w:r>
              <w:rPr>
                <w:rFonts w:ascii="Calibri" w:hAnsi="Calibri"/>
                <w:b/>
                <w:color w:val="101828"/>
                <w:sz w:val="14"/>
              </w:rPr>
              <w:t>Not specified.</w:t>
            </w:r>
          </w:p>
        </w:tc>
        <w:tc>
          <w:tcPr>
            <w:tcW w:type="dxa" w:w="605"/>
            <w:tcMar>
              <w:top w:w="60" w:type="dxa"/>
              <w:start w:w="110" w:type="dxa"/>
              <w:bottom w:w="60" w:type="dxa"/>
              <w:end w:w="110" w:type="dxa"/>
            </w:tcMar>
          </w:tcPr>
          <w:p>
            <w:pPr>
              <w:spacing w:after="0"/>
            </w:pPr>
            <w:r/>
            <w:r>
              <w:rPr>
                <w:rFonts w:ascii="Calibri" w:hAnsi="Calibri"/>
                <w:b w:val="0"/>
                <w:i w:val="0"/>
                <w:color w:val="101828"/>
                <w:sz w:val="14"/>
              </w:rPr>
              <w:t>—</w:t>
            </w:r>
          </w:p>
        </w:tc>
        <w:tc>
          <w:tcPr>
            <w:tcW w:type="dxa" w:w="5746"/>
            <w:tcMar>
              <w:top w:w="60" w:type="dxa"/>
              <w:start w:w="110" w:type="dxa"/>
              <w:bottom w:w="60" w:type="dxa"/>
              <w:end w:w="110" w:type="dxa"/>
            </w:tcMar>
          </w:tcPr>
          <w:p>
            <w:pPr>
              <w:spacing w:after="0"/>
            </w:pPr>
            <w:r/>
            <w:r>
              <w:rPr>
                <w:rFonts w:ascii="Calibri" w:hAnsi="Calibri"/>
                <w:b w:val="0"/>
                <w:i w:val="0"/>
                <w:color w:val="101828"/>
                <w:sz w:val="14"/>
              </w:rPr>
              <w:t xml:space="preserve">If a voice fallback is offered later it is a </w:t>
            </w:r>
            <w:r>
              <w:rPr>
                <w:rFonts w:ascii="Consolas" w:hAnsi="Consolas"/>
                <w:color w:val="146EF5"/>
                <w:sz w:val="14"/>
              </w:rPr>
              <w:t>D-</w:t>
            </w:r>
            <w:r>
              <w:rPr>
                <w:rFonts w:ascii="Calibri" w:hAnsi="Calibri"/>
                <w:b w:val="0"/>
                <w:i w:val="0"/>
                <w:color w:val="101828"/>
                <w:sz w:val="14"/>
              </w:rPr>
              <w:t xml:space="preserve"> decision covering cost, consent and abuse, and it needs its own screen. Not assumed here, and not implied by the omission.</w:t>
            </w:r>
          </w:p>
        </w:tc>
      </w:tr>
    </w:tbl>
    <w:p>
      <w:pPr>
        <w:spacing w:after="80"/>
      </w:pPr>
    </w:p>
    <w:p>
      <w:pPr>
        <w:pStyle w:val="Heading2"/>
      </w:pPr>
      <w:r>
        <w:rPr>
          <w:rFonts w:ascii="Calibri" w:hAnsi="Calibri"/>
          <w:b/>
          <w:i w:val="0"/>
          <w:color w:val="146EF5"/>
          <w:sz w:val="29"/>
        </w:rPr>
        <w:t>6.9 Forgot password — SCR-WEB-13</w:t>
      </w:r>
    </w:p>
    <w:p>
      <w:r>
        <w:rPr>
          <w:rFonts w:ascii="Calibri" w:hAnsi="Calibri"/>
          <w:b w:val="0"/>
          <w:i w:val="0"/>
          <w:color w:val="101828"/>
          <w:sz w:val="21"/>
        </w:rPr>
        <w:t>A screen with one field and a hard information-security requirement attached: the response must be identical whether or not the account exists. The wireframe therefore shows the neutral response as a designed state rather than as an error branch, because a branch is a thing engineers optimise away.</w:t>
      </w:r>
    </w:p>
    <w:p>
      <w:pPr>
        <w:pStyle w:val="Heading3"/>
      </w:pPr>
      <w:r>
        <w:rPr>
          <w:rFonts w:ascii="Calibri" w:hAnsi="Calibri"/>
          <w:b/>
          <w:i w:val="0"/>
          <w:color w:val="0B1F3A"/>
          <w:sz w:val="24"/>
        </w:rPr>
        <w:t>6.9.1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AJO.ng                   [=]             |</w:t>
      </w:r>
    </w:p>
    <w:p>
      <w:pPr>
        <w:spacing w:before="0" w:after="0" w:line="240" w:lineRule="auto"/>
        <w:ind w:left="230"/>
        <w:shd w:val="clear" w:color="auto" w:fill="F7F9FC"/>
        <w:pBdr>
          <w:left w:val="single" w:sz="4" w:space="6" w:color="D0D5DD"/>
        </w:pBdr>
      </w:pPr>
      <w:r>
        <w:rPr>
          <w:rFonts w:ascii="Consolas" w:hAnsi="Consolas"/>
          <w:color w:val="0B1F3A"/>
          <w:sz w:val="16"/>
        </w:rPr>
        <w:t>+-- (2) TITLE, FORM, NEUTRAL RESPONSE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 Reset your password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Tell us the email or phone on     |   |</w:t>
      </w:r>
    </w:p>
    <w:p>
      <w:pPr>
        <w:spacing w:before="0" w:after="0" w:line="240" w:lineRule="auto"/>
        <w:ind w:left="230"/>
        <w:shd w:val="clear" w:color="auto" w:fill="F7F9FC"/>
        <w:pBdr>
          <w:left w:val="single" w:sz="4" w:space="6" w:color="D0D5DD"/>
        </w:pBdr>
      </w:pPr>
      <w:r>
        <w:rPr>
          <w:rFonts w:ascii="Consolas" w:hAnsi="Consolas"/>
          <w:color w:val="0B1F3A"/>
          <w:sz w:val="16"/>
        </w:rPr>
        <w:t>| |  the account and we will send a    |   |</w:t>
      </w:r>
    </w:p>
    <w:p>
      <w:pPr>
        <w:spacing w:before="0" w:after="0" w:line="240" w:lineRule="auto"/>
        <w:ind w:left="230"/>
        <w:shd w:val="clear" w:color="auto" w:fill="F7F9FC"/>
        <w:pBdr>
          <w:left w:val="single" w:sz="4" w:space="6" w:color="D0D5DD"/>
        </w:pBdr>
      </w:pPr>
      <w:r>
        <w:rPr>
          <w:rFonts w:ascii="Consolas" w:hAnsi="Consolas"/>
          <w:color w:val="0B1F3A"/>
          <w:sz w:val="16"/>
        </w:rPr>
        <w:t>| |  reset link.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Email or phone                    |   |</w:t>
      </w:r>
    </w:p>
    <w:p>
      <w:pPr>
        <w:spacing w:before="0" w:after="0" w:line="240" w:lineRule="auto"/>
        <w:ind w:left="230"/>
        <w:shd w:val="clear" w:color="auto" w:fill="F7F9FC"/>
        <w:pBdr>
          <w:left w:val="single" w:sz="4" w:space="6" w:color="D0D5DD"/>
        </w:pBdr>
      </w:pPr>
      <w:r>
        <w:rPr>
          <w:rFonts w:ascii="Consolas" w:hAnsi="Consolas"/>
          <w:color w:val="0B1F3A"/>
          <w:sz w:val="16"/>
        </w:rPr>
        <w:t>| |  [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  + ok  Check your inbox      |  |   |</w:t>
      </w:r>
    </w:p>
    <w:p>
      <w:pPr>
        <w:spacing w:before="0" w:after="0" w:line="240" w:lineRule="auto"/>
        <w:ind w:left="230"/>
        <w:shd w:val="clear" w:color="auto" w:fill="F7F9FC"/>
        <w:pBdr>
          <w:left w:val="single" w:sz="4" w:space="6" w:color="D0D5DD"/>
        </w:pBdr>
      </w:pPr>
      <w:r>
        <w:rPr>
          <w:rFonts w:ascii="Consolas" w:hAnsi="Consolas"/>
          <w:color w:val="0B1F3A"/>
          <w:sz w:val="16"/>
        </w:rPr>
        <w:t>| |  |                              |  |   |</w:t>
      </w:r>
    </w:p>
    <w:p>
      <w:pPr>
        <w:spacing w:before="0" w:after="0" w:line="240" w:lineRule="auto"/>
        <w:ind w:left="230"/>
        <w:shd w:val="clear" w:color="auto" w:fill="F7F9FC"/>
        <w:pBdr>
          <w:left w:val="single" w:sz="4" w:space="6" w:color="D0D5DD"/>
        </w:pBdr>
      </w:pPr>
      <w:r>
        <w:rPr>
          <w:rFonts w:ascii="Consolas" w:hAnsi="Consolas"/>
          <w:color w:val="0B1F3A"/>
          <w:sz w:val="16"/>
        </w:rPr>
        <w:t>| |  |  If that email or phone is   |  |   |</w:t>
      </w:r>
    </w:p>
    <w:p>
      <w:pPr>
        <w:spacing w:before="0" w:after="0" w:line="240" w:lineRule="auto"/>
        <w:ind w:left="230"/>
        <w:shd w:val="clear" w:color="auto" w:fill="F7F9FC"/>
        <w:pBdr>
          <w:left w:val="single" w:sz="4" w:space="6" w:color="D0D5DD"/>
        </w:pBdr>
      </w:pPr>
      <w:r>
        <w:rPr>
          <w:rFonts w:ascii="Consolas" w:hAnsi="Consolas"/>
          <w:color w:val="0B1F3A"/>
          <w:sz w:val="16"/>
        </w:rPr>
        <w:t>| |  |  on an AJO.ng account, a     |  |   |</w:t>
      </w:r>
    </w:p>
    <w:p>
      <w:pPr>
        <w:spacing w:before="0" w:after="0" w:line="240" w:lineRule="auto"/>
        <w:ind w:left="230"/>
        <w:shd w:val="clear" w:color="auto" w:fill="F7F9FC"/>
        <w:pBdr>
          <w:left w:val="single" w:sz="4" w:space="6" w:color="D0D5DD"/>
        </w:pBdr>
      </w:pPr>
      <w:r>
        <w:rPr>
          <w:rFonts w:ascii="Consolas" w:hAnsi="Consolas"/>
          <w:color w:val="0B1F3A"/>
          <w:sz w:val="16"/>
        </w:rPr>
        <w:t>| |  |  reset link is on its way.   |  |   |</w:t>
      </w:r>
    </w:p>
    <w:p>
      <w:pPr>
        <w:spacing w:before="0" w:after="0" w:line="240" w:lineRule="auto"/>
        <w:ind w:left="230"/>
        <w:shd w:val="clear" w:color="auto" w:fill="F7F9FC"/>
        <w:pBdr>
          <w:left w:val="single" w:sz="4" w:space="6" w:color="D0D5DD"/>
        </w:pBdr>
      </w:pPr>
      <w:r>
        <w:rPr>
          <w:rFonts w:ascii="Consolas" w:hAnsi="Consolas"/>
          <w:color w:val="0B1F3A"/>
          <w:sz w:val="16"/>
        </w:rPr>
        <w:t>| |  |  It expires in 30 minutes.   |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Send reset link }*              |   |</w:t>
      </w:r>
    </w:p>
    <w:p>
      <w:pPr>
        <w:spacing w:before="0" w:after="0" w:line="240" w:lineRule="auto"/>
        <w:ind w:left="230"/>
        <w:shd w:val="clear" w:color="auto" w:fill="F7F9FC"/>
        <w:pBdr>
          <w:left w:val="single" w:sz="4" w:space="6" w:color="D0D5DD"/>
        </w:pBdr>
      </w:pPr>
      <w:r>
        <w:rPr>
          <w:rFonts w:ascii="Consolas" w:hAnsi="Consolas"/>
          <w:color w:val="0B1F3A"/>
          <w:sz w:val="16"/>
        </w:rPr>
        <w:t>| |  &lt; Back to sign in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CENTRED CARD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Reset your password                                       |           |</w:t>
      </w:r>
    </w:p>
    <w:p>
      <w:pPr>
        <w:spacing w:before="0" w:after="0" w:line="240" w:lineRule="auto"/>
        <w:ind w:left="230"/>
        <w:shd w:val="clear" w:color="auto" w:fill="F7F9FC"/>
        <w:pBdr>
          <w:left w:val="single" w:sz="4" w:space="6" w:color="D0D5DD"/>
        </w:pBdr>
      </w:pPr>
      <w:r>
        <w:rPr>
          <w:rFonts w:ascii="Consolas" w:hAnsi="Consolas"/>
          <w:color w:val="0B1F3A"/>
          <w:sz w:val="16"/>
        </w:rPr>
        <w:t>| |  Tell us the email or phone on the account                 |           |</w:t>
      </w:r>
    </w:p>
    <w:p>
      <w:pPr>
        <w:spacing w:before="0" w:after="0" w:line="240" w:lineRule="auto"/>
        <w:ind w:left="230"/>
        <w:shd w:val="clear" w:color="auto" w:fill="F7F9FC"/>
        <w:pBdr>
          <w:left w:val="single" w:sz="4" w:space="6" w:color="D0D5DD"/>
        </w:pBdr>
      </w:pPr>
      <w:r>
        <w:rPr>
          <w:rFonts w:ascii="Consolas" w:hAnsi="Consolas"/>
          <w:color w:val="0B1F3A"/>
          <w:sz w:val="16"/>
        </w:rPr>
        <w:t>| |  and we will send a reset link.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Email or phone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ok  Check your inbox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If that email or phone is on an AJO.ng account, a reset   |           |</w:t>
      </w:r>
    </w:p>
    <w:p>
      <w:pPr>
        <w:spacing w:before="0" w:after="0" w:line="240" w:lineRule="auto"/>
        <w:ind w:left="230"/>
        <w:shd w:val="clear" w:color="auto" w:fill="F7F9FC"/>
        <w:pBdr>
          <w:left w:val="single" w:sz="4" w:space="6" w:color="D0D5DD"/>
        </w:pBdr>
      </w:pPr>
      <w:r>
        <w:rPr>
          <w:rFonts w:ascii="Consolas" w:hAnsi="Consolas"/>
          <w:color w:val="0B1F3A"/>
          <w:sz w:val="16"/>
        </w:rPr>
        <w:t>| |  link is on its way. The link expires in 30 minutes and    |           |</w:t>
      </w:r>
    </w:p>
    <w:p>
      <w:pPr>
        <w:spacing w:before="0" w:after="0" w:line="240" w:lineRule="auto"/>
        <w:ind w:left="230"/>
        <w:shd w:val="clear" w:color="auto" w:fill="F7F9FC"/>
        <w:pBdr>
          <w:left w:val="single" w:sz="4" w:space="6" w:color="D0D5DD"/>
        </w:pBdr>
      </w:pPr>
      <w:r>
        <w:rPr>
          <w:rFonts w:ascii="Consolas" w:hAnsi="Consolas"/>
          <w:color w:val="0B1F3A"/>
          <w:sz w:val="16"/>
        </w:rPr>
        <w:t>| |  can be used once.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It can take a minute to arrive. Check the spam folder     |           |</w:t>
      </w:r>
    </w:p>
    <w:p>
      <w:pPr>
        <w:spacing w:before="0" w:after="0" w:line="240" w:lineRule="auto"/>
        <w:ind w:left="230"/>
        <w:shd w:val="clear" w:color="auto" w:fill="F7F9FC"/>
        <w:pBdr>
          <w:left w:val="single" w:sz="4" w:space="6" w:color="D0D5DD"/>
        </w:pBdr>
      </w:pPr>
      <w:r>
        <w:rPr>
          <w:rFonts w:ascii="Consolas" w:hAnsi="Consolas"/>
          <w:color w:val="0B1F3A"/>
          <w:sz w:val="16"/>
        </w:rPr>
        <w:t>| |  before asking for another one.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Send reset link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&lt; Back to sign in &gt;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6.9.2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821"/>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282"/>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653"/>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821"/>
            <w:tcMar>
              <w:top w:w="60" w:type="dxa"/>
              <w:start w:w="110" w:type="dxa"/>
              <w:bottom w:w="60" w:type="dxa"/>
              <w:end w:w="110" w:type="dxa"/>
            </w:tcMar>
          </w:tcPr>
          <w:p>
            <w:pPr>
              <w:spacing w:after="0"/>
            </w:pPr>
            <w:r/>
            <w:r>
              <w:rPr>
                <w:rFonts w:ascii="Calibri" w:hAnsi="Calibri"/>
                <w:b w:val="0"/>
                <w:i w:val="0"/>
                <w:color w:val="101828"/>
                <w:sz w:val="14"/>
              </w:rPr>
              <w:t>(1) Header</w:t>
            </w:r>
          </w:p>
        </w:tc>
        <w:tc>
          <w:tcPr>
            <w:tcW w:type="dxa" w:w="1282"/>
            <w:tcMar>
              <w:top w:w="60" w:type="dxa"/>
              <w:start w:w="110" w:type="dxa"/>
              <w:bottom w:w="60" w:type="dxa"/>
              <w:end w:w="110" w:type="dxa"/>
            </w:tcMar>
          </w:tcPr>
          <w:p>
            <w:pPr>
              <w:spacing w:after="0"/>
            </w:pPr>
            <w:r/>
            <w:r>
              <w:rPr>
                <w:rFonts w:ascii="Calibri" w:hAnsi="Calibri"/>
                <w:b w:val="0"/>
                <w:i w:val="0"/>
                <w:color w:val="101828"/>
                <w:sz w:val="14"/>
              </w:rPr>
              <w:t>Wordmark linking home.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53"/>
            <w:tcMar>
              <w:top w:w="60" w:type="dxa"/>
              <w:start w:w="110" w:type="dxa"/>
              <w:bottom w:w="60" w:type="dxa"/>
              <w:end w:w="110" w:type="dxa"/>
            </w:tcMar>
          </w:tcPr>
          <w:p>
            <w:pPr>
              <w:spacing w:after="0"/>
            </w:pPr>
            <w:r/>
            <w:r>
              <w:rPr>
                <w:rFonts w:ascii="Calibri" w:hAnsi="Calibri"/>
                <w:b w:val="0"/>
                <w:i w:val="0"/>
                <w:color w:val="101828"/>
                <w:sz w:val="14"/>
              </w:rPr>
              <w:t>Same component as 6.7.</w:t>
            </w:r>
          </w:p>
        </w:tc>
      </w:tr>
      <w:tr>
        <w:trPr>
          <w:cantSplit/>
        </w:trPr>
        <w:tc>
          <w:tcPr>
            <w:tcW w:type="dxa" w:w="821"/>
            <w:tcMar>
              <w:top w:w="60" w:type="dxa"/>
              <w:start w:w="110" w:type="dxa"/>
              <w:bottom w:w="60" w:type="dxa"/>
              <w:end w:w="110" w:type="dxa"/>
            </w:tcMar>
            <w:shd w:val="clear" w:color="auto" w:fill="F4F7FB"/>
          </w:tcPr>
          <w:p>
            <w:pPr>
              <w:spacing w:after="0"/>
            </w:pPr>
            <w:r/>
            <w:r>
              <w:rPr>
                <w:rFonts w:ascii="Calibri" w:hAnsi="Calibri"/>
                <w:b w:val="0"/>
                <w:i w:val="0"/>
                <w:color w:val="101828"/>
                <w:sz w:val="14"/>
              </w:rPr>
              <w:t>(2) Title and explanation</w:t>
            </w:r>
          </w:p>
        </w:tc>
        <w:tc>
          <w:tcPr>
            <w:tcW w:type="dxa" w:w="1282"/>
            <w:tcMar>
              <w:top w:w="60" w:type="dxa"/>
              <w:start w:w="110" w:type="dxa"/>
              <w:bottom w:w="60" w:type="dxa"/>
              <w:end w:w="110" w:type="dxa"/>
            </w:tcMar>
            <w:shd w:val="clear" w:color="auto" w:fill="F4F7FB"/>
          </w:tcPr>
          <w:p>
            <w:pPr>
              <w:spacing w:after="0"/>
            </w:pPr>
            <w:r/>
            <w:r>
              <w:rPr>
                <w:rFonts w:ascii="Calibri" w:hAnsi="Calibri"/>
                <w:b w:val="0"/>
                <w:i w:val="0"/>
                <w:color w:val="101828"/>
                <w:sz w:val="14"/>
              </w:rPr>
              <w:t>States what will happen, before the person acts.</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653"/>
            <w:tcMar>
              <w:top w:w="60" w:type="dxa"/>
              <w:start w:w="110" w:type="dxa"/>
              <w:bottom w:w="60" w:type="dxa"/>
              <w:end w:w="110" w:type="dxa"/>
            </w:tcMar>
            <w:shd w:val="clear" w:color="auto" w:fill="F4F7FB"/>
          </w:tcPr>
          <w:p>
            <w:pPr>
              <w:spacing w:after="0"/>
            </w:pPr>
            <w:r/>
            <w:r>
              <w:rPr>
                <w:rFonts w:ascii="Calibri" w:hAnsi="Calibri"/>
                <w:i/>
                <w:color w:val="101828"/>
                <w:sz w:val="14"/>
              </w:rPr>
              <w:t>We will send a reset link</w:t>
            </w:r>
            <w:r>
              <w:rPr>
                <w:rFonts w:ascii="Calibri" w:hAnsi="Calibri"/>
                <w:b w:val="0"/>
                <w:i w:val="0"/>
                <w:color w:val="101828"/>
                <w:sz w:val="14"/>
              </w:rPr>
              <w:t xml:space="preserve"> is written in the future, so it is accurate for both outcomes.</w:t>
            </w:r>
          </w:p>
        </w:tc>
      </w:tr>
      <w:tr>
        <w:trPr>
          <w:cantSplit/>
        </w:trPr>
        <w:tc>
          <w:tcPr>
            <w:tcW w:type="dxa" w:w="821"/>
            <w:tcMar>
              <w:top w:w="60" w:type="dxa"/>
              <w:start w:w="110" w:type="dxa"/>
              <w:bottom w:w="60" w:type="dxa"/>
              <w:end w:w="110" w:type="dxa"/>
            </w:tcMar>
          </w:tcPr>
          <w:p>
            <w:pPr>
              <w:spacing w:after="0"/>
            </w:pPr>
            <w:r/>
            <w:r>
              <w:rPr>
                <w:rFonts w:ascii="Calibri" w:hAnsi="Calibri"/>
                <w:b w:val="0"/>
                <w:i w:val="0"/>
                <w:color w:val="101828"/>
                <w:sz w:val="14"/>
              </w:rPr>
              <w:t>(3) Identifier field</w:t>
            </w:r>
          </w:p>
        </w:tc>
        <w:tc>
          <w:tcPr>
            <w:tcW w:type="dxa" w:w="1282"/>
            <w:tcMar>
              <w:top w:w="60" w:type="dxa"/>
              <w:start w:w="110" w:type="dxa"/>
              <w:bottom w:w="60" w:type="dxa"/>
              <w:end w:w="110" w:type="dxa"/>
            </w:tcMar>
          </w:tcPr>
          <w:p>
            <w:pPr>
              <w:spacing w:after="0"/>
            </w:pPr>
            <w:r/>
            <w:r>
              <w:rPr>
                <w:rFonts w:ascii="Calibri" w:hAnsi="Calibri"/>
                <w:b w:val="0"/>
                <w:i w:val="0"/>
                <w:color w:val="101828"/>
                <w:sz w:val="14"/>
              </w:rPr>
              <w:t>Email or phone, one field.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53"/>
            <w:tcMar>
              <w:top w:w="60" w:type="dxa"/>
              <w:start w:w="110" w:type="dxa"/>
              <w:bottom w:w="60" w:type="dxa"/>
              <w:end w:w="110" w:type="dxa"/>
            </w:tcMar>
          </w:tcPr>
          <w:p>
            <w:pPr>
              <w:spacing w:after="0"/>
            </w:pPr>
            <w:r/>
            <w:r>
              <w:rPr>
                <w:rFonts w:ascii="Calibri" w:hAnsi="Calibri"/>
                <w:b w:val="0"/>
                <w:i w:val="0"/>
                <w:color w:val="101828"/>
                <w:sz w:val="14"/>
              </w:rPr>
              <w:t>Same semantics as login, so the password manager that knows the sign-in form also knows this one.</w:t>
            </w:r>
          </w:p>
        </w:tc>
      </w:tr>
      <w:tr>
        <w:trPr>
          <w:cantSplit/>
        </w:trPr>
        <w:tc>
          <w:tcPr>
            <w:tcW w:type="dxa" w:w="821"/>
            <w:tcMar>
              <w:top w:w="60" w:type="dxa"/>
              <w:start w:w="110" w:type="dxa"/>
              <w:bottom w:w="60" w:type="dxa"/>
              <w:end w:w="110" w:type="dxa"/>
            </w:tcMar>
            <w:shd w:val="clear" w:color="auto" w:fill="F4F7FB"/>
          </w:tcPr>
          <w:p>
            <w:pPr>
              <w:spacing w:after="0"/>
            </w:pPr>
            <w:r/>
            <w:r>
              <w:rPr>
                <w:rFonts w:ascii="Calibri" w:hAnsi="Calibri"/>
                <w:b w:val="0"/>
                <w:i w:val="0"/>
                <w:color w:val="101828"/>
                <w:sz w:val="14"/>
              </w:rPr>
              <w:t>(4) Neutral response</w:t>
            </w:r>
          </w:p>
        </w:tc>
        <w:tc>
          <w:tcPr>
            <w:tcW w:type="dxa" w:w="1282"/>
            <w:tcMar>
              <w:top w:w="60" w:type="dxa"/>
              <w:start w:w="110" w:type="dxa"/>
              <w:bottom w:w="60" w:type="dxa"/>
              <w:end w:w="110" w:type="dxa"/>
            </w:tcMar>
            <w:shd w:val="clear" w:color="auto" w:fill="F4F7FB"/>
          </w:tcPr>
          <w:p>
            <w:pPr>
              <w:spacing w:after="0"/>
            </w:pPr>
            <w:r/>
            <w:r>
              <w:rPr>
                <w:rFonts w:ascii="Calibri" w:hAnsi="Calibri"/>
                <w:b w:val="0"/>
                <w:i w:val="0"/>
                <w:color w:val="101828"/>
                <w:sz w:val="14"/>
              </w:rPr>
              <w:t>The single response for both outcomes.</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653"/>
            <w:tcMar>
              <w:top w:w="60" w:type="dxa"/>
              <w:start w:w="110" w:type="dxa"/>
              <w:bottom w:w="60" w:type="dxa"/>
              <w:end w:w="110" w:type="dxa"/>
            </w:tcMar>
            <w:shd w:val="clear" w:color="auto" w:fill="F4F7FB"/>
          </w:tcPr>
          <w:p>
            <w:pPr>
              <w:spacing w:after="0"/>
            </w:pPr>
            <w:r/>
            <w:r>
              <w:rPr>
                <w:rFonts w:ascii="Calibri" w:hAnsi="Calibri"/>
                <w:b/>
                <w:color w:val="101828"/>
                <w:sz w:val="14"/>
              </w:rPr>
              <w:t>The wording is fixed and may not be varied by outcome.</w:t>
            </w:r>
            <w:r>
              <w:rPr>
                <w:rFonts w:ascii="Calibri" w:hAnsi="Calibri"/>
                <w:b w:val="0"/>
                <w:i w:val="0"/>
                <w:color w:val="101828"/>
                <w:sz w:val="14"/>
              </w:rPr>
              <w:t xml:space="preserve"> </w:t>
            </w:r>
            <w:r>
              <w:rPr>
                <w:rFonts w:ascii="Calibri" w:hAnsi="Calibri"/>
                <w:i/>
                <w:color w:val="101828"/>
                <w:sz w:val="14"/>
              </w:rPr>
              <w:t>If that email or phone is on an AJO.ng account</w:t>
            </w:r>
            <w:r>
              <w:rPr>
                <w:rFonts w:ascii="Calibri" w:hAnsi="Calibri"/>
                <w:b w:val="0"/>
                <w:i w:val="0"/>
                <w:color w:val="101828"/>
                <w:sz w:val="14"/>
              </w:rPr>
              <w:t xml:space="preserve"> is the whole of the disclosure. Any variant such as </w:t>
            </w:r>
            <w:r>
              <w:rPr>
                <w:rFonts w:ascii="Calibri" w:hAnsi="Calibri"/>
                <w:i/>
                <w:color w:val="101828"/>
                <w:sz w:val="14"/>
              </w:rPr>
              <w:t>we could not find an account with those details</w:t>
            </w:r>
            <w:r>
              <w:rPr>
                <w:rFonts w:ascii="Calibri" w:hAnsi="Calibri"/>
                <w:b w:val="0"/>
                <w:i w:val="0"/>
                <w:color w:val="101828"/>
                <w:sz w:val="14"/>
              </w:rPr>
              <w:t xml:space="preserve"> creates an account-existence oracle and is prohibited.</w:t>
            </w:r>
          </w:p>
        </w:tc>
      </w:tr>
      <w:tr>
        <w:trPr>
          <w:cantSplit/>
        </w:trPr>
        <w:tc>
          <w:tcPr>
            <w:tcW w:type="dxa" w:w="821"/>
            <w:tcMar>
              <w:top w:w="60" w:type="dxa"/>
              <w:start w:w="110" w:type="dxa"/>
              <w:bottom w:w="60" w:type="dxa"/>
              <w:end w:w="110" w:type="dxa"/>
            </w:tcMar>
          </w:tcPr>
          <w:p>
            <w:pPr>
              <w:spacing w:after="0"/>
            </w:pPr>
            <w:r/>
            <w:r>
              <w:rPr>
                <w:rFonts w:ascii="Calibri" w:hAnsi="Calibri"/>
                <w:b w:val="0"/>
                <w:i w:val="0"/>
                <w:color w:val="101828"/>
                <w:sz w:val="14"/>
              </w:rPr>
              <w:t>(5) Realistic expectations</w:t>
            </w:r>
          </w:p>
        </w:tc>
        <w:tc>
          <w:tcPr>
            <w:tcW w:type="dxa" w:w="1282"/>
            <w:tcMar>
              <w:top w:w="60" w:type="dxa"/>
              <w:start w:w="110" w:type="dxa"/>
              <w:bottom w:w="60" w:type="dxa"/>
              <w:end w:w="110" w:type="dxa"/>
            </w:tcMar>
          </w:tcPr>
          <w:p>
            <w:pPr>
              <w:spacing w:after="0"/>
            </w:pPr>
            <w:r/>
            <w:r>
              <w:rPr>
                <w:rFonts w:ascii="Calibri" w:hAnsi="Calibri"/>
                <w:b w:val="0"/>
                <w:i w:val="0"/>
                <w:color w:val="101828"/>
                <w:sz w:val="14"/>
              </w:rPr>
              <w:t>Delivery time and spam folder.</w:t>
            </w:r>
          </w:p>
        </w:tc>
        <w:tc>
          <w:tcPr>
            <w:tcW w:type="dxa" w:w="605"/>
            <w:tcMar>
              <w:top w:w="60" w:type="dxa"/>
              <w:start w:w="110" w:type="dxa"/>
              <w:bottom w:w="60" w:type="dxa"/>
              <w:end w:w="110" w:type="dxa"/>
            </w:tcMar>
          </w:tcPr>
          <w:p>
            <w:pPr>
              <w:spacing w:after="0"/>
            </w:pPr>
            <w:r/>
            <w:r>
              <w:rPr>
                <w:rFonts w:ascii="Calibri" w:hAnsi="Calibri"/>
                <w:b w:val="0"/>
                <w:i w:val="0"/>
                <w:color w:val="101828"/>
                <w:sz w:val="14"/>
              </w:rPr>
              <w:t>P2</w:t>
            </w:r>
          </w:p>
        </w:tc>
        <w:tc>
          <w:tcPr>
            <w:tcW w:type="dxa" w:w="6653"/>
            <w:tcMar>
              <w:top w:w="60" w:type="dxa"/>
              <w:start w:w="110" w:type="dxa"/>
              <w:bottom w:w="60" w:type="dxa"/>
              <w:end w:w="110" w:type="dxa"/>
            </w:tcMar>
          </w:tcPr>
          <w:p>
            <w:pPr>
              <w:spacing w:after="0"/>
            </w:pPr>
            <w:r/>
            <w:r>
              <w:rPr>
                <w:rFonts w:ascii="Calibri" w:hAnsi="Calibri"/>
                <w:b w:val="0"/>
                <w:i w:val="0"/>
                <w:color w:val="101828"/>
                <w:sz w:val="14"/>
              </w:rPr>
              <w:t>Prevents a second request within seconds, which would otherwise trip the per-identifier send limit and delay the first mail's sender reputation.</w:t>
            </w:r>
          </w:p>
        </w:tc>
      </w:tr>
      <w:tr>
        <w:trPr>
          <w:cantSplit/>
        </w:trPr>
        <w:tc>
          <w:tcPr>
            <w:tcW w:type="dxa" w:w="821"/>
            <w:tcMar>
              <w:top w:w="60" w:type="dxa"/>
              <w:start w:w="110" w:type="dxa"/>
              <w:bottom w:w="60" w:type="dxa"/>
              <w:end w:w="110" w:type="dxa"/>
            </w:tcMar>
            <w:shd w:val="clear" w:color="auto" w:fill="F4F7FB"/>
          </w:tcPr>
          <w:p>
            <w:pPr>
              <w:spacing w:after="0"/>
            </w:pPr>
            <w:r/>
            <w:r>
              <w:rPr>
                <w:rFonts w:ascii="Calibri" w:hAnsi="Calibri"/>
                <w:b w:val="0"/>
                <w:i w:val="0"/>
                <w:color w:val="101828"/>
                <w:sz w:val="14"/>
              </w:rPr>
              <w:t>(6) Actions</w:t>
            </w:r>
          </w:p>
        </w:tc>
        <w:tc>
          <w:tcPr>
            <w:tcW w:type="dxa" w:w="1282"/>
            <w:tcMar>
              <w:top w:w="60" w:type="dxa"/>
              <w:start w:w="110" w:type="dxa"/>
              <w:bottom w:w="60" w:type="dxa"/>
              <w:end w:w="110" w:type="dxa"/>
            </w:tcMar>
            <w:shd w:val="clear" w:color="auto" w:fill="F4F7FB"/>
          </w:tcPr>
          <w:p>
            <w:pPr>
              <w:spacing w:after="0"/>
            </w:pPr>
            <w:r/>
            <w:r>
              <w:rPr>
                <w:rFonts w:ascii="Calibri" w:hAnsi="Calibri"/>
                <w:b w:val="0"/>
                <w:i w:val="0"/>
                <w:color w:val="101828"/>
                <w:sz w:val="14"/>
              </w:rPr>
              <w:t>Send, and back to sign in.</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653"/>
            <w:tcMar>
              <w:top w:w="60" w:type="dxa"/>
              <w:start w:w="110" w:type="dxa"/>
              <w:bottom w:w="60" w:type="dxa"/>
              <w:end w:w="110" w:type="dxa"/>
            </w:tcMar>
            <w:shd w:val="clear" w:color="auto" w:fill="F4F7FB"/>
          </w:tcPr>
          <w:p>
            <w:pPr>
              <w:spacing w:after="0"/>
            </w:pPr>
            <w:r/>
            <w:r>
              <w:rPr>
                <w:rFonts w:ascii="Calibri" w:hAnsi="Calibri"/>
                <w:b w:val="0"/>
                <w:i w:val="0"/>
                <w:color w:val="101828"/>
                <w:sz w:val="14"/>
              </w:rPr>
              <w:t>Rate limited per identifier and per source address. If a person hits the limit, the limit and its reset time are shown.</w:t>
            </w:r>
          </w:p>
        </w:tc>
      </w:tr>
      <w:tr>
        <w:trPr>
          <w:cantSplit/>
        </w:trPr>
        <w:tc>
          <w:tcPr>
            <w:tcW w:type="dxa" w:w="821"/>
            <w:tcMar>
              <w:top w:w="60" w:type="dxa"/>
              <w:start w:w="110" w:type="dxa"/>
              <w:bottom w:w="60" w:type="dxa"/>
              <w:end w:w="110" w:type="dxa"/>
            </w:tcMar>
          </w:tcPr>
          <w:p>
            <w:pPr>
              <w:spacing w:after="0"/>
            </w:pPr>
            <w:r/>
            <w:r>
              <w:rPr>
                <w:rFonts w:ascii="Calibri" w:hAnsi="Calibri"/>
                <w:b w:val="0"/>
                <w:i w:val="0"/>
                <w:color w:val="101828"/>
                <w:sz w:val="14"/>
              </w:rPr>
              <w:t>— Confirmation of account state</w:t>
            </w:r>
          </w:p>
        </w:tc>
        <w:tc>
          <w:tcPr>
            <w:tcW w:type="dxa" w:w="1282"/>
            <w:tcMar>
              <w:top w:w="60" w:type="dxa"/>
              <w:start w:w="110" w:type="dxa"/>
              <w:bottom w:w="60" w:type="dxa"/>
              <w:end w:w="110" w:type="dxa"/>
            </w:tcMar>
          </w:tcPr>
          <w:p>
            <w:pPr>
              <w:spacing w:after="0"/>
            </w:pPr>
            <w:r/>
            <w:r>
              <w:rPr>
                <w:rFonts w:ascii="Calibri" w:hAnsi="Calibri"/>
                <w:b/>
                <w:color w:val="101828"/>
                <w:sz w:val="14"/>
              </w:rPr>
              <w:t>Prohibited.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53"/>
            <w:tcMar>
              <w:top w:w="60" w:type="dxa"/>
              <w:start w:w="110" w:type="dxa"/>
              <w:bottom w:w="60" w:type="dxa"/>
              <w:end w:w="110" w:type="dxa"/>
            </w:tcMar>
          </w:tcPr>
          <w:p>
            <w:pPr>
              <w:spacing w:after="0"/>
            </w:pPr>
            <w:r/>
            <w:r>
              <w:rPr>
                <w:rFonts w:ascii="Calibri" w:hAnsi="Calibri"/>
                <w:b w:val="0"/>
                <w:i w:val="0"/>
                <w:color w:val="101828"/>
                <w:sz w:val="14"/>
              </w:rPr>
              <w:t>The response may not reveal whether the account exists, is frozen, or is under review. A frozen-account hint here would leak risk status to an unauthenticated caller.</w:t>
            </w:r>
          </w:p>
        </w:tc>
      </w:tr>
    </w:tbl>
    <w:p>
      <w:pPr>
        <w:spacing w:after="80"/>
      </w:pPr>
    </w:p>
    <w:p>
      <w:pPr>
        <w:pStyle w:val="Heading2"/>
      </w:pPr>
      <w:r>
        <w:rPr>
          <w:rFonts w:ascii="Calibri" w:hAnsi="Calibri"/>
          <w:b/>
          <w:i w:val="0"/>
          <w:color w:val="146EF5"/>
          <w:sz w:val="29"/>
        </w:rPr>
        <w:t>6.10 Dashboard — SCR-MOB-01</w:t>
      </w:r>
    </w:p>
    <w:p>
      <w:r>
        <w:rPr>
          <w:rFonts w:ascii="Calibri" w:hAnsi="Calibri"/>
          <w:b w:val="0"/>
          <w:i w:val="0"/>
          <w:color w:val="101828"/>
          <w:sz w:val="21"/>
        </w:rPr>
        <w:t>The first authenticated screen, and the answer to one question: what does this person owe, and what is owed to them. Everything else on it is either a summary of a figure that already appears on a detail screen or a route into one. The dashboard is a reading surface, so it is designed to be finished in about four seconds and to be scrolled only if the person wants to.</w:t>
      </w:r>
    </w:p>
    <w:p>
      <w:pPr>
        <w:spacing w:before="140" w:after="180"/>
        <w:ind w:left="144"/>
        <w:shd w:val="clear" w:color="auto" w:fill="EFF6FF"/>
        <w:pBdr>
          <w:left w:val="single" w:sz="18" w:space="6" w:color="146EF5"/>
        </w:pBdr>
      </w:pPr>
      <w:r>
        <w:rPr>
          <w:rFonts w:ascii="Calibri" w:hAnsi="Calibri"/>
          <w:b/>
          <w:color w:val="146EF5"/>
          <w:sz w:val="19"/>
        </w:rPr>
        <w:t xml:space="preserve">Why the dashboard has no chart  </w:t>
      </w:r>
      <w:r>
        <w:rPr>
          <w:rFonts w:ascii="Calibri" w:hAnsi="Calibri"/>
          <w:b w:val="0"/>
          <w:i w:val="0"/>
          <w:color w:val="0B1F3A"/>
          <w:sz w:val="19"/>
        </w:rPr>
        <w:t>The dashboard carries three numbers and a list. It does not carry a chart, and that is a decision rather than an oversight: a chart of a member's own money tells them something they can already read, while costing them the four-second read. Charts are specified for the admin analytics surfaces in 6.30 and in detail in section 7.10, where the population is large enough for a shape to mean something.</w:t>
      </w:r>
    </w:p>
    <w:p>
      <w:pPr>
        <w:pStyle w:val="Heading3"/>
      </w:pPr>
      <w:r>
        <w:rPr>
          <w:rFonts w:ascii="Calibri" w:hAnsi="Calibri"/>
          <w:b/>
          <w:i w:val="0"/>
          <w:color w:val="0B1F3A"/>
          <w:sz w:val="24"/>
        </w:rPr>
        <w:t>6.10.1 Wireframe</w:t>
      </w:r>
    </w:p>
    <w:p>
      <w:r>
        <w:rPr>
          <w:rFonts w:ascii="Calibri" w:hAnsi="Calibri"/>
          <w:b/>
          <w:color w:val="101828"/>
          <w:sz w:val="21"/>
        </w:rPr>
        <w:t>Mobile — 375 px.</w:t>
      </w:r>
      <w:r>
        <w:rPr>
          <w:rFonts w:ascii="Calibri" w:hAnsi="Calibri"/>
          <w:b w:val="0"/>
          <w:i w:val="0"/>
          <w:color w:val="101828"/>
          <w:sz w:val="21"/>
        </w:rPr>
        <w:t xml:space="preserve"> One column in priority order: next due, then the Ajos, then recent activity. The verification banner sits above the fold because nothing below it works until it is dealt with.</w:t>
      </w:r>
    </w:p>
    <w:p>
      <w:pPr>
        <w:spacing w:before="0" w:after="0" w:line="240" w:lineRule="auto"/>
        <w:ind w:left="230"/>
        <w:shd w:val="clear" w:color="auto" w:fill="F7F9FC"/>
        <w:pBdr>
          <w:left w:val="single" w:sz="4" w:space="6" w:color="D0D5DD"/>
        </w:pBdr>
      </w:pPr>
      <w:r>
        <w:rPr>
          <w:rFonts w:ascii="Consolas" w:hAnsi="Consolas"/>
          <w:color w:val="0B1F3A"/>
          <w:sz w:val="16"/>
        </w:rPr>
        <w:t>+-- (1) TOP BAR ---------------------------+</w:t>
      </w:r>
    </w:p>
    <w:p>
      <w:pPr>
        <w:spacing w:before="0" w:after="0" w:line="240" w:lineRule="auto"/>
        <w:ind w:left="230"/>
        <w:shd w:val="clear" w:color="auto" w:fill="F7F9FC"/>
        <w:pBdr>
          <w:left w:val="single" w:sz="4" w:space="6" w:color="D0D5DD"/>
        </w:pBdr>
      </w:pPr>
      <w:r>
        <w:rPr>
          <w:rFonts w:ascii="Consolas" w:hAnsi="Consolas"/>
          <w:color w:val="0B1F3A"/>
          <w:sz w:val="16"/>
        </w:rPr>
        <w:t>| AJO.ng                [bell 3] [AV]      |</w:t>
      </w:r>
    </w:p>
    <w:p>
      <w:pPr>
        <w:spacing w:before="0" w:after="0" w:line="240" w:lineRule="auto"/>
        <w:ind w:left="230"/>
        <w:shd w:val="clear" w:color="auto" w:fill="F7F9FC"/>
        <w:pBdr>
          <w:left w:val="single" w:sz="4" w:space="6" w:color="D0D5DD"/>
        </w:pBdr>
      </w:pPr>
      <w:r>
        <w:rPr>
          <w:rFonts w:ascii="Consolas" w:hAnsi="Consolas"/>
          <w:color w:val="0B1F3A"/>
          <w:sz w:val="16"/>
        </w:rPr>
        <w:t>+-- (2) VERIFICATION BANNER ---------------+</w:t>
      </w:r>
    </w:p>
    <w:p>
      <w:pPr>
        <w:spacing w:before="0" w:after="0" w:line="240" w:lineRule="auto"/>
        <w:ind w:left="230"/>
        <w:shd w:val="clear" w:color="auto" w:fill="F7F9FC"/>
        <w:pBdr>
          <w:left w:val="single" w:sz="4" w:space="6" w:color="D0D5DD"/>
        </w:pBdr>
      </w:pPr>
      <w:r>
        <w:rPr>
          <w:rFonts w:ascii="Consolas" w:hAnsi="Consolas"/>
          <w:color w:val="0B1F3A"/>
          <w:sz w:val="16"/>
        </w:rPr>
        <w:t>| ! One step left before you can pay       |</w:t>
      </w:r>
    </w:p>
    <w:p>
      <w:pPr>
        <w:spacing w:before="0" w:after="0" w:line="240" w:lineRule="auto"/>
        <w:ind w:left="230"/>
        <w:shd w:val="clear" w:color="auto" w:fill="F7F9FC"/>
        <w:pBdr>
          <w:left w:val="single" w:sz="4" w:space="6" w:color="D0D5DD"/>
        </w:pBdr>
      </w:pPr>
      <w:r>
        <w:rPr>
          <w:rFonts w:ascii="Consolas" w:hAnsi="Consolas"/>
          <w:color w:val="0B1F3A"/>
          <w:sz w:val="16"/>
        </w:rPr>
        <w:t>| ! or join.  Verify your phone  &gt;         |</w:t>
      </w:r>
    </w:p>
    <w:p>
      <w:pPr>
        <w:spacing w:before="0" w:after="0" w:line="240" w:lineRule="auto"/>
        <w:ind w:left="230"/>
        <w:shd w:val="clear" w:color="auto" w:fill="F7F9FC"/>
        <w:pBdr>
          <w:left w:val="single" w:sz="4" w:space="6" w:color="D0D5DD"/>
        </w:pBdr>
      </w:pPr>
      <w:r>
        <w:rPr>
          <w:rFonts w:ascii="Consolas" w:hAnsi="Consolas"/>
          <w:color w:val="0B1F3A"/>
          <w:sz w:val="16"/>
        </w:rPr>
        <w:t>+-- (3) NEXT DUE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Next contribution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Adaeze's Ajo      round 4 of 10   |   |</w:t>
      </w:r>
    </w:p>
    <w:p>
      <w:pPr>
        <w:spacing w:before="0" w:after="0" w:line="240" w:lineRule="auto"/>
        <w:ind w:left="230"/>
        <w:shd w:val="clear" w:color="auto" w:fill="F7F9FC"/>
        <w:pBdr>
          <w:left w:val="single" w:sz="4" w:space="6" w:color="D0D5DD"/>
        </w:pBdr>
      </w:pPr>
      <w:r>
        <w:rPr>
          <w:rFonts w:ascii="Consolas" w:hAnsi="Consolas"/>
          <w:color w:val="0B1F3A"/>
          <w:sz w:val="16"/>
        </w:rPr>
        <w:t>| |  Due  Fri 12 Sep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Your share   NGN 1,000.00         |   |</w:t>
      </w:r>
    </w:p>
    <w:p>
      <w:pPr>
        <w:spacing w:before="0" w:after="0" w:line="240" w:lineRule="auto"/>
        <w:ind w:left="230"/>
        <w:shd w:val="clear" w:color="auto" w:fill="F7F9FC"/>
        <w:pBdr>
          <w:left w:val="single" w:sz="4" w:space="6" w:color="D0D5DD"/>
        </w:pBdr>
      </w:pPr>
      <w:r>
        <w:rPr>
          <w:rFonts w:ascii="Consolas" w:hAnsi="Consolas"/>
          <w:color w:val="0B1F3A"/>
          <w:sz w:val="16"/>
        </w:rPr>
        <w:t>| |  AJO.ng fee      NGN 20.00         |   |</w:t>
      </w:r>
    </w:p>
    <w:p>
      <w:pPr>
        <w:spacing w:before="0" w:after="0" w:line="240" w:lineRule="auto"/>
        <w:ind w:left="230"/>
        <w:shd w:val="clear" w:color="auto" w:fill="F7F9FC"/>
        <w:pBdr>
          <w:left w:val="single" w:sz="4" w:space="6" w:color="D0D5DD"/>
        </w:pBdr>
      </w:pPr>
      <w:r>
        <w:rPr>
          <w:rFonts w:ascii="Consolas" w:hAnsi="Consolas"/>
          <w:color w:val="0B1F3A"/>
          <w:sz w:val="16"/>
        </w:rPr>
        <w:t>| |  You will be charged               |   |</w:t>
      </w:r>
    </w:p>
    <w:p>
      <w:pPr>
        <w:spacing w:before="0" w:after="0" w:line="240" w:lineRule="auto"/>
        <w:ind w:left="230"/>
        <w:shd w:val="clear" w:color="auto" w:fill="F7F9FC"/>
        <w:pBdr>
          <w:left w:val="single" w:sz="4" w:space="6" w:color="D0D5DD"/>
        </w:pBdr>
      </w:pPr>
      <w:r>
        <w:rPr>
          <w:rFonts w:ascii="Consolas" w:hAnsi="Consolas"/>
          <w:color w:val="0B1F3A"/>
          <w:sz w:val="16"/>
        </w:rPr>
        <w:t>| |                  NGN 1,020.00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Pay now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(4) YOUR AJOS -------------------------+</w:t>
      </w:r>
    </w:p>
    <w:p>
      <w:pPr>
        <w:spacing w:before="0" w:after="0" w:line="240" w:lineRule="auto"/>
        <w:ind w:left="230"/>
        <w:shd w:val="clear" w:color="auto" w:fill="F7F9FC"/>
        <w:pBdr>
          <w:left w:val="single" w:sz="4" w:space="6" w:color="D0D5DD"/>
        </w:pBdr>
      </w:pPr>
      <w:r>
        <w:rPr>
          <w:rFonts w:ascii="Consolas" w:hAnsi="Consolas"/>
          <w:color w:val="0B1F3A"/>
          <w:sz w:val="16"/>
        </w:rPr>
        <w:t>| Adaeze's Ajo   round 4 of 10             |</w:t>
      </w:r>
    </w:p>
    <w:p>
      <w:pPr>
        <w:spacing w:before="0" w:after="0" w:line="240" w:lineRule="auto"/>
        <w:ind w:left="230"/>
        <w:shd w:val="clear" w:color="auto" w:fill="F7F9FC"/>
        <w:pBdr>
          <w:left w:val="single" w:sz="4" w:space="6" w:color="D0D5DD"/>
        </w:pBdr>
      </w:pPr>
      <w:r>
        <w:rPr>
          <w:rFonts w:ascii="Consolas" w:hAnsi="Consolas"/>
          <w:color w:val="0B1F3A"/>
          <w:sz w:val="16"/>
        </w:rPr>
        <w:t>| ###########-------  7 of 10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Chima's Ajo    round 9 of 10             |</w:t>
      </w:r>
    </w:p>
    <w:p>
      <w:pPr>
        <w:spacing w:before="0" w:after="0" w:line="240" w:lineRule="auto"/>
        <w:ind w:left="230"/>
        <w:shd w:val="clear" w:color="auto" w:fill="F7F9FC"/>
        <w:pBdr>
          <w:left w:val="single" w:sz="4" w:space="6" w:color="D0D5DD"/>
        </w:pBdr>
      </w:pPr>
      <w:r>
        <w:rPr>
          <w:rFonts w:ascii="Consolas" w:hAnsi="Consolas"/>
          <w:color w:val="0B1F3A"/>
          <w:sz w:val="16"/>
        </w:rPr>
        <w:t>| #############-----  your turn            |</w:t>
      </w:r>
    </w:p>
    <w:p>
      <w:pPr>
        <w:spacing w:before="0" w:after="0" w:line="240" w:lineRule="auto"/>
        <w:ind w:left="230"/>
        <w:shd w:val="clear" w:color="auto" w:fill="F7F9FC"/>
        <w:pBdr>
          <w:left w:val="single" w:sz="4" w:space="6" w:color="D0D5DD"/>
        </w:pBdr>
      </w:pPr>
      <w:r>
        <w:rPr>
          <w:rFonts w:ascii="Consolas" w:hAnsi="Consolas"/>
          <w:color w:val="0B1F3A"/>
          <w:sz w:val="16"/>
        </w:rPr>
        <w:t>+-- (5) RECENT ----------------------------+</w:t>
      </w:r>
    </w:p>
    <w:p>
      <w:pPr>
        <w:spacing w:before="0" w:after="0" w:line="240" w:lineRule="auto"/>
        <w:ind w:left="230"/>
        <w:shd w:val="clear" w:color="auto" w:fill="F7F9FC"/>
        <w:pBdr>
          <w:left w:val="single" w:sz="4" w:space="6" w:color="D0D5DD"/>
        </w:pBdr>
      </w:pPr>
      <w:r>
        <w:rPr>
          <w:rFonts w:ascii="Consolas" w:hAnsi="Consolas"/>
          <w:color w:val="0B1F3A"/>
          <w:sz w:val="16"/>
        </w:rPr>
        <w:t>| 12 Sep  NGN 1,020.00  paid  &gt;            |</w:t>
      </w:r>
    </w:p>
    <w:p>
      <w:pPr>
        <w:spacing w:before="0" w:after="0" w:line="240" w:lineRule="auto"/>
        <w:ind w:left="230"/>
        <w:shd w:val="clear" w:color="auto" w:fill="F7F9FC"/>
        <w:pBdr>
          <w:left w:val="single" w:sz="4" w:space="6" w:color="D0D5DD"/>
        </w:pBdr>
      </w:pPr>
      <w:r>
        <w:rPr>
          <w:rFonts w:ascii="Consolas" w:hAnsi="Consolas"/>
          <w:color w:val="0B1F3A"/>
          <w:sz w:val="16"/>
        </w:rPr>
        <w:t>| 12 Sep  NGN 20.00 fee  &gt;                 |</w:t>
      </w:r>
    </w:p>
    <w:p>
      <w:pPr>
        <w:spacing w:before="0" w:after="0" w:line="240" w:lineRule="auto"/>
        <w:ind w:left="230"/>
        <w:shd w:val="clear" w:color="auto" w:fill="F7F9FC"/>
        <w:pBdr>
          <w:left w:val="single" w:sz="4" w:space="6" w:color="D0D5DD"/>
        </w:pBdr>
      </w:pPr>
      <w:r>
        <w:rPr>
          <w:rFonts w:ascii="Consolas" w:hAnsi="Consolas"/>
          <w:color w:val="0B1F3A"/>
          <w:sz w:val="16"/>
        </w:rPr>
        <w:t>| 05 Sep  payout NGN 10,000.00  &gt;          |</w:t>
      </w:r>
    </w:p>
    <w:p>
      <w:pPr>
        <w:spacing w:before="0" w:after="0" w:line="240" w:lineRule="auto"/>
        <w:ind w:left="230"/>
        <w:shd w:val="clear" w:color="auto" w:fill="F7F9FC"/>
        <w:pBdr>
          <w:left w:val="single" w:sz="4" w:space="6" w:color="D0D5DD"/>
        </w:pBdr>
      </w:pPr>
      <w:r>
        <w:rPr>
          <w:rFonts w:ascii="Consolas" w:hAnsi="Consolas"/>
          <w:color w:val="0B1F3A"/>
          <w:sz w:val="16"/>
        </w:rPr>
        <w:t>+-- (6) BOTTOM NAV ------------------------+</w:t>
      </w:r>
    </w:p>
    <w:p>
      <w:pPr>
        <w:spacing w:before="0" w:after="0" w:line="240" w:lineRule="auto"/>
        <w:ind w:left="230"/>
        <w:shd w:val="clear" w:color="auto" w:fill="F7F9FC"/>
        <w:pBdr>
          <w:left w:val="single" w:sz="4" w:space="6" w:color="D0D5DD"/>
        </w:pBdr>
      </w:pPr>
      <w:r>
        <w:rPr>
          <w:rFonts w:ascii="Consolas" w:hAnsi="Consolas"/>
          <w:color w:val="0B1F3A"/>
          <w:sz w:val="16"/>
        </w:rPr>
        <w:t>| Home  Ajos  Pay  Alerts  More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Three summary tiles, then a two-column body. The nearest due contribution is given its own column because it is the only element on the page that asks for a decision.</w:t>
      </w:r>
    </w:p>
    <w:p>
      <w:pPr>
        <w:spacing w:before="0" w:after="0" w:line="240" w:lineRule="auto"/>
        <w:ind w:left="230"/>
        <w:shd w:val="clear" w:color="auto" w:fill="F7F9FC"/>
        <w:pBdr>
          <w:left w:val="single" w:sz="4" w:space="6" w:color="D0D5DD"/>
        </w:pBdr>
      </w:pPr>
      <w:r>
        <w:rPr>
          <w:rFonts w:ascii="Consolas" w:hAnsi="Consolas"/>
          <w:color w:val="0B1F3A"/>
          <w:sz w:val="16"/>
        </w:rPr>
        <w:t>+-- (1) LEFT NAV ----------------------------------------------------------+</w:t>
      </w:r>
    </w:p>
    <w:p>
      <w:pPr>
        <w:spacing w:before="0" w:after="0" w:line="240" w:lineRule="auto"/>
        <w:ind w:left="230"/>
        <w:shd w:val="clear" w:color="auto" w:fill="F7F9FC"/>
        <w:pBdr>
          <w:left w:val="single" w:sz="4" w:space="6" w:color="D0D5DD"/>
        </w:pBdr>
      </w:pPr>
      <w:r>
        <w:rPr>
          <w:rFonts w:ascii="Consolas" w:hAnsi="Consolas"/>
          <w:color w:val="0B1F3A"/>
          <w:sz w:val="16"/>
        </w:rPr>
        <w:t>| Home                                                                     |</w:t>
      </w:r>
    </w:p>
    <w:p>
      <w:pPr>
        <w:spacing w:before="0" w:after="0" w:line="240" w:lineRule="auto"/>
        <w:ind w:left="230"/>
        <w:shd w:val="clear" w:color="auto" w:fill="F7F9FC"/>
        <w:pBdr>
          <w:left w:val="single" w:sz="4" w:space="6" w:color="D0D5DD"/>
        </w:pBdr>
      </w:pPr>
      <w:r>
        <w:rPr>
          <w:rFonts w:ascii="Consolas" w:hAnsi="Consolas"/>
          <w:color w:val="0B1F3A"/>
          <w:sz w:val="16"/>
        </w:rPr>
        <w:t>| My Ajos                                                                  |</w:t>
      </w:r>
    </w:p>
    <w:p>
      <w:pPr>
        <w:spacing w:before="0" w:after="0" w:line="240" w:lineRule="auto"/>
        <w:ind w:left="230"/>
        <w:shd w:val="clear" w:color="auto" w:fill="F7F9FC"/>
        <w:pBdr>
          <w:left w:val="single" w:sz="4" w:space="6" w:color="D0D5DD"/>
        </w:pBdr>
      </w:pPr>
      <w:r>
        <w:rPr>
          <w:rFonts w:ascii="Consolas" w:hAnsi="Consolas"/>
          <w:color w:val="0B1F3A"/>
          <w:sz w:val="16"/>
        </w:rPr>
        <w:t>| Pay                                                                      |</w:t>
      </w:r>
    </w:p>
    <w:p>
      <w:pPr>
        <w:spacing w:before="0" w:after="0" w:line="240" w:lineRule="auto"/>
        <w:ind w:left="230"/>
        <w:shd w:val="clear" w:color="auto" w:fill="F7F9FC"/>
        <w:pBdr>
          <w:left w:val="single" w:sz="4" w:space="6" w:color="D0D5DD"/>
        </w:pBdr>
      </w:pPr>
      <w:r>
        <w:rPr>
          <w:rFonts w:ascii="Consolas" w:hAnsi="Consolas"/>
          <w:color w:val="0B1F3A"/>
          <w:sz w:val="16"/>
        </w:rPr>
        <w:t>| Alerts                                                                   |</w:t>
      </w:r>
    </w:p>
    <w:p>
      <w:pPr>
        <w:spacing w:before="0" w:after="0" w:line="240" w:lineRule="auto"/>
        <w:ind w:left="230"/>
        <w:shd w:val="clear" w:color="auto" w:fill="F7F9FC"/>
        <w:pBdr>
          <w:left w:val="single" w:sz="4" w:space="6" w:color="D0D5DD"/>
        </w:pBdr>
      </w:pPr>
      <w:r>
        <w:rPr>
          <w:rFonts w:ascii="Consolas" w:hAnsi="Consolas"/>
          <w:color w:val="0B1F3A"/>
          <w:sz w:val="16"/>
        </w:rPr>
        <w:t>| Support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Profile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SUMMARY TILES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OWED TO YOU           YOU OWE               THIS ROUND            |   |</w:t>
      </w:r>
    </w:p>
    <w:p>
      <w:pPr>
        <w:spacing w:before="0" w:after="0" w:line="240" w:lineRule="auto"/>
        <w:ind w:left="230"/>
        <w:shd w:val="clear" w:color="auto" w:fill="F7F9FC"/>
        <w:pBdr>
          <w:left w:val="single" w:sz="4" w:space="6" w:color="D0D5DD"/>
        </w:pBdr>
      </w:pPr>
      <w:r>
        <w:rPr>
          <w:rFonts w:ascii="Consolas" w:hAnsi="Consolas"/>
          <w:color w:val="0B1F3A"/>
          <w:sz w:val="16"/>
        </w:rPr>
        <w:t>| |  NGN 10,000.00         NGN 1,000.00          NGN 1,000.00          |   |</w:t>
      </w:r>
    </w:p>
    <w:p>
      <w:pPr>
        <w:spacing w:before="0" w:after="0" w:line="240" w:lineRule="auto"/>
        <w:ind w:left="230"/>
        <w:shd w:val="clear" w:color="auto" w:fill="F7F9FC"/>
        <w:pBdr>
          <w:left w:val="single" w:sz="4" w:space="6" w:color="D0D5DD"/>
        </w:pBdr>
      </w:pPr>
      <w:r>
        <w:rPr>
          <w:rFonts w:ascii="Consolas" w:hAnsi="Consolas"/>
          <w:color w:val="0B1F3A"/>
          <w:sz w:val="16"/>
        </w:rPr>
        <w:t>| |  across 1 Ajo          due Fri 12 Sep        of NGN 1,000.00       |   |</w:t>
      </w:r>
    </w:p>
    <w:p>
      <w:pPr>
        <w:spacing w:before="0" w:after="0" w:line="240" w:lineRule="auto"/>
        <w:ind w:left="230"/>
        <w:shd w:val="clear" w:color="auto" w:fill="F7F9FC"/>
        <w:pBdr>
          <w:left w:val="single" w:sz="4" w:space="6" w:color="D0D5DD"/>
        </w:pBdr>
      </w:pPr>
      <w:r>
        <w:rPr>
          <w:rFonts w:ascii="Consolas" w:hAnsi="Consolas"/>
          <w:color w:val="0B1F3A"/>
          <w:sz w:val="16"/>
        </w:rPr>
        <w:t>| |  at your turn          charged NGN 1,020.00  7 of 10 paid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(3) NEXT DUE ----------------------------------------------------------+</w:t>
      </w:r>
    </w:p>
    <w:p>
      <w:pPr>
        <w:spacing w:before="0" w:after="0" w:line="240" w:lineRule="auto"/>
        <w:ind w:left="230"/>
        <w:shd w:val="clear" w:color="auto" w:fill="F7F9FC"/>
        <w:pBdr>
          <w:left w:val="single" w:sz="4" w:space="6" w:color="D0D5DD"/>
        </w:pBdr>
      </w:pPr>
      <w:r>
        <w:rPr>
          <w:rFonts w:ascii="Consolas" w:hAnsi="Consolas"/>
          <w:color w:val="0B1F3A"/>
          <w:sz w:val="16"/>
        </w:rPr>
        <w:t>| The one thing      +------------------------------------+                |</w:t>
      </w:r>
    </w:p>
    <w:p>
      <w:pPr>
        <w:spacing w:before="0" w:after="0" w:line="240" w:lineRule="auto"/>
        <w:ind w:left="230"/>
        <w:shd w:val="clear" w:color="auto" w:fill="F7F9FC"/>
        <w:pBdr>
          <w:left w:val="single" w:sz="4" w:space="6" w:color="D0D5DD"/>
        </w:pBdr>
      </w:pPr>
      <w:r>
        <w:rPr>
          <w:rFonts w:ascii="Consolas" w:hAnsi="Consolas"/>
          <w:color w:val="0B1F3A"/>
          <w:sz w:val="16"/>
        </w:rPr>
        <w:t>| on this page that  |  Next contribution                 |                |</w:t>
      </w:r>
    </w:p>
    <w:p>
      <w:pPr>
        <w:spacing w:before="0" w:after="0" w:line="240" w:lineRule="auto"/>
        <w:ind w:left="230"/>
        <w:shd w:val="clear" w:color="auto" w:fill="F7F9FC"/>
        <w:pBdr>
          <w:left w:val="single" w:sz="4" w:space="6" w:color="D0D5DD"/>
        </w:pBdr>
      </w:pPr>
      <w:r>
        <w:rPr>
          <w:rFonts w:ascii="Consolas" w:hAnsi="Consolas"/>
          <w:color w:val="0B1F3A"/>
          <w:sz w:val="16"/>
        </w:rPr>
        <w:t>| wants a decision.  |                                    |                |</w:t>
      </w:r>
    </w:p>
    <w:p>
      <w:pPr>
        <w:spacing w:before="0" w:after="0" w:line="240" w:lineRule="auto"/>
        <w:ind w:left="230"/>
        <w:shd w:val="clear" w:color="auto" w:fill="F7F9FC"/>
        <w:pBdr>
          <w:left w:val="single" w:sz="4" w:space="6" w:color="D0D5DD"/>
        </w:pBdr>
      </w:pPr>
      <w:r>
        <w:rPr>
          <w:rFonts w:ascii="Consolas" w:hAnsi="Consolas"/>
          <w:color w:val="0B1F3A"/>
          <w:sz w:val="16"/>
        </w:rPr>
        <w:t>|                    |  Adaeze's Ajo      round 4 of 10   |                |</w:t>
      </w:r>
    </w:p>
    <w:p>
      <w:pPr>
        <w:spacing w:before="0" w:after="0" w:line="240" w:lineRule="auto"/>
        <w:ind w:left="230"/>
        <w:shd w:val="clear" w:color="auto" w:fill="F7F9FC"/>
        <w:pBdr>
          <w:left w:val="single" w:sz="4" w:space="6" w:color="D0D5DD"/>
        </w:pBdr>
      </w:pPr>
      <w:r>
        <w:rPr>
          <w:rFonts w:ascii="Consolas" w:hAnsi="Consolas"/>
          <w:color w:val="0B1F3A"/>
          <w:sz w:val="16"/>
        </w:rPr>
        <w:t>| Everything else    |  Due  Fri 12 Sep                   |                |</w:t>
      </w:r>
    </w:p>
    <w:p>
      <w:pPr>
        <w:spacing w:before="0" w:after="0" w:line="240" w:lineRule="auto"/>
        <w:ind w:left="230"/>
        <w:shd w:val="clear" w:color="auto" w:fill="F7F9FC"/>
        <w:pBdr>
          <w:left w:val="single" w:sz="4" w:space="6" w:color="D0D5DD"/>
        </w:pBdr>
      </w:pPr>
      <w:r>
        <w:rPr>
          <w:rFonts w:ascii="Consolas" w:hAnsi="Consolas"/>
          <w:color w:val="0B1F3A"/>
          <w:sz w:val="16"/>
        </w:rPr>
        <w:t>| on the dashboard   |                                    |                |</w:t>
      </w:r>
    </w:p>
    <w:p>
      <w:pPr>
        <w:spacing w:before="0" w:after="0" w:line="240" w:lineRule="auto"/>
        <w:ind w:left="230"/>
        <w:shd w:val="clear" w:color="auto" w:fill="F7F9FC"/>
        <w:pBdr>
          <w:left w:val="single" w:sz="4" w:space="6" w:color="D0D5DD"/>
        </w:pBdr>
      </w:pPr>
      <w:r>
        <w:rPr>
          <w:rFonts w:ascii="Consolas" w:hAnsi="Consolas"/>
          <w:color w:val="0B1F3A"/>
          <w:sz w:val="16"/>
        </w:rPr>
        <w:t>| is information.    |  Your share   NGN 1,000.00         |                |</w:t>
      </w:r>
    </w:p>
    <w:p>
      <w:pPr>
        <w:spacing w:before="0" w:after="0" w:line="240" w:lineRule="auto"/>
        <w:ind w:left="230"/>
        <w:shd w:val="clear" w:color="auto" w:fill="F7F9FC"/>
        <w:pBdr>
          <w:left w:val="single" w:sz="4" w:space="6" w:color="D0D5DD"/>
        </w:pBdr>
      </w:pPr>
      <w:r>
        <w:rPr>
          <w:rFonts w:ascii="Consolas" w:hAnsi="Consolas"/>
          <w:color w:val="0B1F3A"/>
          <w:sz w:val="16"/>
        </w:rPr>
        <w:t>|                    |  AJO.ng fee      NGN 20.00         |                |</w:t>
      </w:r>
    </w:p>
    <w:p>
      <w:pPr>
        <w:spacing w:before="0" w:after="0" w:line="240" w:lineRule="auto"/>
        <w:ind w:left="230"/>
        <w:shd w:val="clear" w:color="auto" w:fill="F7F9FC"/>
        <w:pBdr>
          <w:left w:val="single" w:sz="4" w:space="6" w:color="D0D5DD"/>
        </w:pBdr>
      </w:pPr>
      <w:r>
        <w:rPr>
          <w:rFonts w:ascii="Consolas" w:hAnsi="Consolas"/>
          <w:color w:val="0B1F3A"/>
          <w:sz w:val="16"/>
        </w:rPr>
        <w:t>|                    |  You will be charged               |                |</w:t>
      </w:r>
    </w:p>
    <w:p>
      <w:pPr>
        <w:spacing w:before="0" w:after="0" w:line="240" w:lineRule="auto"/>
        <w:ind w:left="230"/>
        <w:shd w:val="clear" w:color="auto" w:fill="F7F9FC"/>
        <w:pBdr>
          <w:left w:val="single" w:sz="4" w:space="6" w:color="D0D5DD"/>
        </w:pBdr>
      </w:pPr>
      <w:r>
        <w:rPr>
          <w:rFonts w:ascii="Consolas" w:hAnsi="Consolas"/>
          <w:color w:val="0B1F3A"/>
          <w:sz w:val="16"/>
        </w:rPr>
        <w:t>|                    |                  NGN 1,020.00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Pay now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(4) YOUR AJOS ---------------------------------------------------------+</w:t>
      </w:r>
    </w:p>
    <w:p>
      <w:pPr>
        <w:spacing w:before="0" w:after="0" w:line="240" w:lineRule="auto"/>
        <w:ind w:left="230"/>
        <w:shd w:val="clear" w:color="auto" w:fill="F7F9FC"/>
        <w:pBdr>
          <w:left w:val="single" w:sz="4" w:space="6" w:color="D0D5DD"/>
        </w:pBdr>
      </w:pPr>
      <w:r>
        <w:rPr>
          <w:rFonts w:ascii="Consolas" w:hAnsi="Consolas"/>
          <w:color w:val="0B1F3A"/>
          <w:sz w:val="16"/>
        </w:rPr>
        <w:t>| AJO              ROUND  STATE     PROGRESS  YOUR POSITION                |</w:t>
      </w:r>
    </w:p>
    <w:p>
      <w:pPr>
        <w:spacing w:before="0" w:after="0" w:line="240" w:lineRule="auto"/>
        <w:ind w:left="230"/>
        <w:shd w:val="clear" w:color="auto" w:fill="F7F9FC"/>
        <w:pBdr>
          <w:left w:val="single" w:sz="4" w:space="6" w:color="D0D5DD"/>
        </w:pBdr>
      </w:pPr>
      <w:r>
        <w:rPr>
          <w:rFonts w:ascii="Consolas" w:hAnsi="Consolas"/>
          <w:color w:val="0B1F3A"/>
          <w:sz w:val="16"/>
        </w:rPr>
        <w:t>| Adaeze's Ajo       4  ACTIVE      7 of 10   9th                          |</w:t>
      </w:r>
    </w:p>
    <w:p>
      <w:pPr>
        <w:spacing w:before="0" w:after="0" w:line="240" w:lineRule="auto"/>
        <w:ind w:left="230"/>
        <w:shd w:val="clear" w:color="auto" w:fill="F7F9FC"/>
        <w:pBdr>
          <w:left w:val="single" w:sz="4" w:space="6" w:color="D0D5DD"/>
        </w:pBdr>
      </w:pPr>
      <w:r>
        <w:rPr>
          <w:rFonts w:ascii="Consolas" w:hAnsi="Consolas"/>
          <w:color w:val="0B1F3A"/>
          <w:sz w:val="16"/>
        </w:rPr>
        <w:t>| Chima's Ajo        9  ROUNDING     9 of 10   2nd, next                   |</w:t>
      </w:r>
    </w:p>
    <w:p>
      <w:pPr>
        <w:spacing w:before="0" w:after="0" w:line="240" w:lineRule="auto"/>
        <w:ind w:left="230"/>
        <w:shd w:val="clear" w:color="auto" w:fill="F7F9FC"/>
        <w:pBdr>
          <w:left w:val="single" w:sz="4" w:space="6" w:color="D0D5DD"/>
        </w:pBdr>
      </w:pPr>
      <w:r>
        <w:rPr>
          <w:rFonts w:ascii="Consolas" w:hAnsi="Consolas"/>
          <w:color w:val="0B1F3A"/>
          <w:sz w:val="16"/>
        </w:rPr>
        <w:t>| Fatima's Ajo      -  ENROLLMENT  2 of 10   1st                           |</w:t>
      </w:r>
    </w:p>
    <w:p>
      <w:pPr>
        <w:spacing w:before="0" w:after="0" w:line="240" w:lineRule="auto"/>
        <w:ind w:left="230"/>
        <w:shd w:val="clear" w:color="auto" w:fill="F7F9FC"/>
        <w:pBdr>
          <w:left w:val="single" w:sz="4" w:space="6" w:color="D0D5DD"/>
        </w:pBdr>
      </w:pPr>
      <w:r>
        <w:rPr>
          <w:rFonts w:ascii="Consolas" w:hAnsi="Consolas"/>
          <w:color w:val="0B1F3A"/>
          <w:sz w:val="16"/>
        </w:rPr>
        <w:t>+-- (5) RIGHT COLUMN ------------------------------------------------------+</w:t>
      </w:r>
    </w:p>
    <w:p>
      <w:pPr>
        <w:spacing w:before="0" w:after="0" w:line="240" w:lineRule="auto"/>
        <w:ind w:left="230"/>
        <w:shd w:val="clear" w:color="auto" w:fill="F7F9FC"/>
        <w:pBdr>
          <w:left w:val="single" w:sz="4" w:space="6" w:color="D0D5DD"/>
        </w:pBdr>
      </w:pPr>
      <w:r>
        <w:rPr>
          <w:rFonts w:ascii="Consolas" w:hAnsi="Consolas"/>
          <w:color w:val="0B1F3A"/>
          <w:sz w:val="16"/>
        </w:rPr>
        <w:t>| Alerts                                                                   |</w:t>
      </w:r>
    </w:p>
    <w:p>
      <w:pPr>
        <w:spacing w:before="0" w:after="0" w:line="240" w:lineRule="auto"/>
        <w:ind w:left="230"/>
        <w:shd w:val="clear" w:color="auto" w:fill="F7F9FC"/>
        <w:pBdr>
          <w:left w:val="single" w:sz="4" w:space="6" w:color="D0D5DD"/>
        </w:pBdr>
      </w:pPr>
      <w:r>
        <w:rPr>
          <w:rFonts w:ascii="Consolas" w:hAnsi="Consolas"/>
          <w:color w:val="0B1F3A"/>
          <w:sz w:val="16"/>
        </w:rPr>
        <w:t>| !  Round 5 opens Mon 15 Sep                                              |</w:t>
      </w:r>
    </w:p>
    <w:p>
      <w:pPr>
        <w:spacing w:before="0" w:after="0" w:line="240" w:lineRule="auto"/>
        <w:ind w:left="230"/>
        <w:shd w:val="clear" w:color="auto" w:fill="F7F9FC"/>
        <w:pBdr>
          <w:left w:val="single" w:sz="4" w:space="6" w:color="D0D5DD"/>
        </w:pBdr>
      </w:pPr>
      <w:r>
        <w:rPr>
          <w:rFonts w:ascii="Consolas" w:hAnsi="Consolas"/>
          <w:color w:val="0B1F3A"/>
          <w:sz w:val="16"/>
        </w:rPr>
        <w:t>| !  Your turn in Chima's Ajo                                              |</w:t>
      </w:r>
    </w:p>
    <w:p>
      <w:pPr>
        <w:spacing w:before="0" w:after="0" w:line="240" w:lineRule="auto"/>
        <w:ind w:left="230"/>
        <w:shd w:val="clear" w:color="auto" w:fill="F7F9FC"/>
        <w:pBdr>
          <w:left w:val="single" w:sz="4" w:space="6" w:color="D0D5DD"/>
        </w:pBdr>
      </w:pPr>
      <w:r>
        <w:rPr>
          <w:rFonts w:ascii="Consolas" w:hAnsi="Consolas"/>
          <w:color w:val="0B1F3A"/>
          <w:sz w:val="16"/>
        </w:rPr>
        <w:t>| !  is round 10. NGN 10,000.00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Recent                                                                   |</w:t>
      </w:r>
    </w:p>
    <w:p>
      <w:pPr>
        <w:spacing w:before="0" w:after="0" w:line="240" w:lineRule="auto"/>
        <w:ind w:left="230"/>
        <w:shd w:val="clear" w:color="auto" w:fill="F7F9FC"/>
        <w:pBdr>
          <w:left w:val="single" w:sz="4" w:space="6" w:color="D0D5DD"/>
        </w:pBdr>
      </w:pPr>
      <w:r>
        <w:rPr>
          <w:rFonts w:ascii="Consolas" w:hAnsi="Consolas"/>
          <w:color w:val="0B1F3A"/>
          <w:sz w:val="16"/>
        </w:rPr>
        <w:t>| 12 Sep  NGN 1,020.00  paid                                               |</w:t>
      </w:r>
    </w:p>
    <w:p>
      <w:pPr>
        <w:spacing w:before="0" w:after="0" w:line="240" w:lineRule="auto"/>
        <w:ind w:left="230"/>
        <w:shd w:val="clear" w:color="auto" w:fill="F7F9FC"/>
        <w:pBdr>
          <w:left w:val="single" w:sz="4" w:space="6" w:color="D0D5DD"/>
        </w:pBdr>
      </w:pPr>
      <w:r>
        <w:rPr>
          <w:rFonts w:ascii="Consolas" w:hAnsi="Consolas"/>
          <w:color w:val="0B1F3A"/>
          <w:sz w:val="16"/>
        </w:rPr>
        <w:t>| 12 Sep  NGN 20.00  fee                                                   |</w:t>
      </w:r>
    </w:p>
    <w:p>
      <w:pPr>
        <w:spacing w:before="0" w:after="0" w:line="240" w:lineRule="auto"/>
        <w:ind w:left="230"/>
        <w:shd w:val="clear" w:color="auto" w:fill="F7F9FC"/>
        <w:pBdr>
          <w:left w:val="single" w:sz="4" w:space="6" w:color="D0D5DD"/>
        </w:pBdr>
      </w:pPr>
      <w:r>
        <w:rPr>
          <w:rFonts w:ascii="Consolas" w:hAnsi="Consolas"/>
          <w:color w:val="0B1F3A"/>
          <w:sz w:val="16"/>
        </w:rPr>
        <w:t>| 05 Sep  NGN 10,000.00  payout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6.10.2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77"/>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2030"/>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048"/>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77"/>
            <w:tcMar>
              <w:top w:w="60" w:type="dxa"/>
              <w:start w:w="110" w:type="dxa"/>
              <w:bottom w:w="60" w:type="dxa"/>
              <w:end w:w="110" w:type="dxa"/>
            </w:tcMar>
          </w:tcPr>
          <w:p>
            <w:pPr>
              <w:spacing w:after="0"/>
            </w:pPr>
            <w:r/>
            <w:r>
              <w:rPr>
                <w:rFonts w:ascii="Calibri" w:hAnsi="Calibri"/>
                <w:b w:val="0"/>
                <w:i w:val="0"/>
                <w:color w:val="101828"/>
                <w:sz w:val="14"/>
              </w:rPr>
              <w:t>(1) Top bar</w:t>
            </w:r>
          </w:p>
        </w:tc>
        <w:tc>
          <w:tcPr>
            <w:tcW w:type="dxa" w:w="2030"/>
            <w:tcMar>
              <w:top w:w="60" w:type="dxa"/>
              <w:start w:w="110" w:type="dxa"/>
              <w:bottom w:w="60" w:type="dxa"/>
              <w:end w:w="110" w:type="dxa"/>
            </w:tcMar>
          </w:tcPr>
          <w:p>
            <w:pPr>
              <w:spacing w:after="0"/>
            </w:pPr>
            <w:r/>
            <w:r>
              <w:rPr>
                <w:rFonts w:ascii="Calibri" w:hAnsi="Calibri"/>
                <w:b w:val="0"/>
                <w:i w:val="0"/>
                <w:color w:val="101828"/>
                <w:sz w:val="14"/>
              </w:rPr>
              <w:t>Wordmark, notification bell with unread count, avatar menu.</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048"/>
            <w:tcMar>
              <w:top w:w="60" w:type="dxa"/>
              <w:start w:w="110" w:type="dxa"/>
              <w:bottom w:w="60" w:type="dxa"/>
              <w:end w:w="110" w:type="dxa"/>
            </w:tcMar>
          </w:tcPr>
          <w:p>
            <w:pPr>
              <w:spacing w:after="0"/>
            </w:pPr>
            <w:r/>
            <w:r>
              <w:rPr>
                <w:rFonts w:ascii="Calibri" w:hAnsi="Calibri"/>
                <w:b w:val="0"/>
                <w:i w:val="0"/>
                <w:color w:val="101828"/>
                <w:sz w:val="14"/>
              </w:rPr>
              <w:t>The bell count is the sum of unread in-app notifications, and never includes SMS, which has no inbox.</w:t>
            </w:r>
          </w:p>
        </w:tc>
      </w:tr>
      <w:tr>
        <w:trPr>
          <w:cantSplit/>
        </w:trPr>
        <w:tc>
          <w:tcPr>
            <w:tcW w:type="dxa" w:w="677"/>
            <w:tcMar>
              <w:top w:w="60" w:type="dxa"/>
              <w:start w:w="110" w:type="dxa"/>
              <w:bottom w:w="60" w:type="dxa"/>
              <w:end w:w="110" w:type="dxa"/>
            </w:tcMar>
            <w:shd w:val="clear" w:color="auto" w:fill="F4F7FB"/>
          </w:tcPr>
          <w:p>
            <w:pPr>
              <w:spacing w:after="0"/>
            </w:pPr>
            <w:r/>
            <w:r>
              <w:rPr>
                <w:rFonts w:ascii="Calibri" w:hAnsi="Calibri"/>
                <w:b w:val="0"/>
                <w:i w:val="0"/>
                <w:color w:val="101828"/>
                <w:sz w:val="14"/>
              </w:rPr>
              <w:t>(2) Verification banner</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Blocking precondition, shown until both email and phone are verified.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048"/>
            <w:tcMar>
              <w:top w:w="60" w:type="dxa"/>
              <w:start w:w="110" w:type="dxa"/>
              <w:bottom w:w="60" w:type="dxa"/>
              <w:end w:w="110" w:type="dxa"/>
            </w:tcMar>
            <w:shd w:val="clear" w:color="auto" w:fill="F4F7FB"/>
          </w:tcPr>
          <w:p>
            <w:pPr>
              <w:spacing w:after="0"/>
            </w:pPr>
            <w:r/>
            <w:r>
              <w:rPr>
                <w:rFonts w:ascii="Calibri" w:hAnsi="Calibri"/>
                <w:b/>
                <w:color w:val="101828"/>
                <w:sz w:val="14"/>
              </w:rPr>
              <w:t>Prohibited: hiding it behind the pay flow.</w:t>
            </w:r>
            <w:r>
              <w:rPr>
                <w:rFonts w:ascii="Calibri" w:hAnsi="Calibri"/>
                <w:b w:val="0"/>
                <w:i w:val="0"/>
                <w:color w:val="101828"/>
                <w:sz w:val="14"/>
              </w:rPr>
              <w:t xml:space="preserve"> A member who reaches the pay screen unverified is bounced back to a screen that is now visible, or they will not know why. Dismissable only once verification is complete.</w:t>
            </w:r>
          </w:p>
        </w:tc>
      </w:tr>
      <w:tr>
        <w:trPr>
          <w:cantSplit/>
        </w:trPr>
        <w:tc>
          <w:tcPr>
            <w:tcW w:type="dxa" w:w="677"/>
            <w:tcMar>
              <w:top w:w="60" w:type="dxa"/>
              <w:start w:w="110" w:type="dxa"/>
              <w:bottom w:w="60" w:type="dxa"/>
              <w:end w:w="110" w:type="dxa"/>
            </w:tcMar>
          </w:tcPr>
          <w:p>
            <w:pPr>
              <w:spacing w:after="0"/>
            </w:pPr>
            <w:r/>
            <w:r>
              <w:rPr>
                <w:rFonts w:ascii="Calibri" w:hAnsi="Calibri"/>
                <w:b w:val="0"/>
                <w:i w:val="0"/>
                <w:color w:val="101828"/>
                <w:sz w:val="14"/>
              </w:rPr>
              <w:t>(3) Next contribution</w:t>
            </w:r>
          </w:p>
        </w:tc>
        <w:tc>
          <w:tcPr>
            <w:tcW w:type="dxa" w:w="2030"/>
            <w:tcMar>
              <w:top w:w="60" w:type="dxa"/>
              <w:start w:w="110" w:type="dxa"/>
              <w:bottom w:w="60" w:type="dxa"/>
              <w:end w:w="110" w:type="dxa"/>
            </w:tcMar>
          </w:tcPr>
          <w:p>
            <w:pPr>
              <w:spacing w:after="0"/>
            </w:pPr>
            <w:r/>
            <w:r>
              <w:rPr>
                <w:rFonts w:ascii="Calibri" w:hAnsi="Calibri"/>
                <w:b w:val="0"/>
                <w:i w:val="0"/>
                <w:color w:val="101828"/>
                <w:sz w:val="14"/>
              </w:rPr>
              <w:t>The single nearest due contribution, with the fee broken out.</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048"/>
            <w:tcMar>
              <w:top w:w="60" w:type="dxa"/>
              <w:start w:w="110" w:type="dxa"/>
              <w:bottom w:w="60" w:type="dxa"/>
              <w:end w:w="110" w:type="dxa"/>
            </w:tcMar>
          </w:tcPr>
          <w:p>
            <w:pPr>
              <w:spacing w:after="0"/>
            </w:pPr>
            <w:r/>
            <w:r>
              <w:rPr>
                <w:rFonts w:ascii="Calibri" w:hAnsi="Calibri"/>
                <w:b w:val="0"/>
                <w:i w:val="0"/>
                <w:color w:val="101828"/>
                <w:sz w:val="14"/>
              </w:rPr>
              <w:t xml:space="preserve">Contribution, fee and total are three separate lines. This is the first place a member sees the NGN 20.00, so it is stated plainly rather than as </w:t>
            </w:r>
            <w:r>
              <w:rPr>
                <w:rFonts w:ascii="Calibri" w:hAnsi="Calibri"/>
                <w:i/>
                <w:color w:val="101828"/>
                <w:sz w:val="14"/>
              </w:rPr>
              <w:t>1,000 plus 2%</w:t>
            </w:r>
            <w:r>
              <w:rPr>
                <w:rFonts w:ascii="Calibri" w:hAnsi="Calibri"/>
                <w:b w:val="0"/>
                <w:i w:val="0"/>
                <w:color w:val="101828"/>
                <w:sz w:val="14"/>
              </w:rPr>
              <w:t>. See the disclosure rule in CANONICAL.md section 1.</w:t>
            </w:r>
          </w:p>
        </w:tc>
      </w:tr>
      <w:tr>
        <w:trPr>
          <w:cantSplit/>
        </w:trPr>
        <w:tc>
          <w:tcPr>
            <w:tcW w:type="dxa" w:w="677"/>
            <w:tcMar>
              <w:top w:w="60" w:type="dxa"/>
              <w:start w:w="110" w:type="dxa"/>
              <w:bottom w:w="60" w:type="dxa"/>
              <w:end w:w="110" w:type="dxa"/>
            </w:tcMar>
            <w:shd w:val="clear" w:color="auto" w:fill="F4F7FB"/>
          </w:tcPr>
          <w:p>
            <w:pPr>
              <w:spacing w:after="0"/>
            </w:pPr>
            <w:r/>
            <w:r>
              <w:rPr>
                <w:rFonts w:ascii="Calibri" w:hAnsi="Calibri"/>
                <w:b w:val="0"/>
                <w:i w:val="0"/>
                <w:color w:val="101828"/>
                <w:sz w:val="14"/>
              </w:rPr>
              <w:t>(4) Your Ajos</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Every Ajo the person is a member of, with round counter and progress.</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04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Progress is a filled bar </w:t>
            </w:r>
            <w:r>
              <w:rPr>
                <w:rFonts w:ascii="Calibri" w:hAnsi="Calibri"/>
                <w:b/>
                <w:color w:val="101828"/>
                <w:sz w:val="14"/>
              </w:rPr>
              <w:t>plus</w:t>
            </w:r>
            <w:r>
              <w:rPr>
                <w:rFonts w:ascii="Calibri" w:hAnsi="Calibri"/>
                <w:b w:val="0"/>
                <w:i w:val="0"/>
                <w:color w:val="101828"/>
                <w:sz w:val="14"/>
              </w:rPr>
              <w:t xml:space="preserve"> a count such as </w:t>
            </w:r>
            <w:r>
              <w:rPr>
                <w:rFonts w:ascii="Calibri" w:hAnsi="Calibri"/>
                <w:i/>
                <w:color w:val="101828"/>
                <w:sz w:val="14"/>
              </w:rPr>
              <w:t>7 of 10</w:t>
            </w:r>
            <w:r>
              <w:rPr>
                <w:rFonts w:ascii="Calibri" w:hAnsi="Calibri"/>
                <w:b w:val="0"/>
                <w:i w:val="0"/>
                <w:color w:val="101828"/>
                <w:sz w:val="14"/>
              </w:rPr>
              <w:t>, never the bar alone, because the bar carries no number a screen reader can use.</w:t>
            </w:r>
          </w:p>
        </w:tc>
      </w:tr>
      <w:tr>
        <w:trPr>
          <w:cantSplit/>
        </w:trPr>
        <w:tc>
          <w:tcPr>
            <w:tcW w:type="dxa" w:w="677"/>
            <w:tcMar>
              <w:top w:w="60" w:type="dxa"/>
              <w:start w:w="110" w:type="dxa"/>
              <w:bottom w:w="60" w:type="dxa"/>
              <w:end w:w="110" w:type="dxa"/>
            </w:tcMar>
          </w:tcPr>
          <w:p>
            <w:pPr>
              <w:spacing w:after="0"/>
            </w:pPr>
            <w:r/>
            <w:r>
              <w:rPr>
                <w:rFonts w:ascii="Calibri" w:hAnsi="Calibri"/>
                <w:b w:val="0"/>
                <w:i w:val="0"/>
                <w:color w:val="101828"/>
                <w:sz w:val="14"/>
              </w:rPr>
              <w:t>(5) Recent</w:t>
            </w:r>
          </w:p>
        </w:tc>
        <w:tc>
          <w:tcPr>
            <w:tcW w:type="dxa" w:w="2030"/>
            <w:tcMar>
              <w:top w:w="60" w:type="dxa"/>
              <w:start w:w="110" w:type="dxa"/>
              <w:bottom w:w="60" w:type="dxa"/>
              <w:end w:w="110" w:type="dxa"/>
            </w:tcMar>
          </w:tcPr>
          <w:p>
            <w:pPr>
              <w:spacing w:after="0"/>
            </w:pPr>
            <w:r/>
            <w:r>
              <w:rPr>
                <w:rFonts w:ascii="Calibri" w:hAnsi="Calibri"/>
                <w:b w:val="0"/>
                <w:i w:val="0"/>
                <w:color w:val="101828"/>
                <w:sz w:val="14"/>
              </w:rPr>
              <w:t>The last three ledger movements on the person's own account.</w:t>
            </w:r>
          </w:p>
        </w:tc>
        <w:tc>
          <w:tcPr>
            <w:tcW w:type="dxa" w:w="605"/>
            <w:tcMar>
              <w:top w:w="60" w:type="dxa"/>
              <w:start w:w="110" w:type="dxa"/>
              <w:bottom w:w="60" w:type="dxa"/>
              <w:end w:w="110" w:type="dxa"/>
            </w:tcMar>
          </w:tcPr>
          <w:p>
            <w:pPr>
              <w:spacing w:after="0"/>
            </w:pPr>
            <w:r/>
            <w:r>
              <w:rPr>
                <w:rFonts w:ascii="Calibri" w:hAnsi="Calibri"/>
                <w:b w:val="0"/>
                <w:i w:val="0"/>
                <w:color w:val="101828"/>
                <w:sz w:val="14"/>
              </w:rPr>
              <w:t>P2</w:t>
            </w:r>
          </w:p>
        </w:tc>
        <w:tc>
          <w:tcPr>
            <w:tcW w:type="dxa" w:w="6048"/>
            <w:tcMar>
              <w:top w:w="60" w:type="dxa"/>
              <w:start w:w="110" w:type="dxa"/>
              <w:bottom w:w="60" w:type="dxa"/>
              <w:end w:w="110" w:type="dxa"/>
            </w:tcMar>
          </w:tcPr>
          <w:p>
            <w:pPr>
              <w:spacing w:after="0"/>
            </w:pPr>
            <w:r/>
            <w:r>
              <w:rPr>
                <w:rFonts w:ascii="Calibri" w:hAnsi="Calibri"/>
                <w:b w:val="0"/>
                <w:i w:val="0"/>
                <w:color w:val="101828"/>
                <w:sz w:val="14"/>
              </w:rPr>
              <w:t xml:space="preserve">Amounts are the amount </w:t>
            </w:r>
            <w:r>
              <w:rPr>
                <w:rFonts w:ascii="Calibri" w:hAnsi="Calibri"/>
                <w:b/>
                <w:color w:val="101828"/>
                <w:sz w:val="14"/>
              </w:rPr>
              <w:t>charged</w:t>
            </w:r>
            <w:r>
              <w:rPr>
                <w:rFonts w:ascii="Calibri" w:hAnsi="Calibri"/>
                <w:b w:val="0"/>
                <w:i w:val="0"/>
                <w:color w:val="101828"/>
                <w:sz w:val="14"/>
              </w:rPr>
              <w:t xml:space="preserve"> on the way out and the amount </w:t>
            </w:r>
            <w:r>
              <w:rPr>
                <w:rFonts w:ascii="Calibri" w:hAnsi="Calibri"/>
                <w:b/>
                <w:color w:val="101828"/>
                <w:sz w:val="14"/>
              </w:rPr>
              <w:t>received</w:t>
            </w:r>
            <w:r>
              <w:rPr>
                <w:rFonts w:ascii="Calibri" w:hAnsi="Calibri"/>
                <w:b w:val="0"/>
                <w:i w:val="0"/>
                <w:color w:val="101828"/>
                <w:sz w:val="14"/>
              </w:rPr>
              <w:t xml:space="preserve"> on the way in. Mixing the two on one line is the single most common way a fintech app misleads, and it is prohibited here.</w:t>
            </w:r>
          </w:p>
        </w:tc>
      </w:tr>
      <w:tr>
        <w:trPr>
          <w:cantSplit/>
        </w:trPr>
        <w:tc>
          <w:tcPr>
            <w:tcW w:type="dxa" w:w="677"/>
            <w:tcMar>
              <w:top w:w="60" w:type="dxa"/>
              <w:start w:w="110" w:type="dxa"/>
              <w:bottom w:w="60" w:type="dxa"/>
              <w:end w:w="110" w:type="dxa"/>
            </w:tcMar>
            <w:shd w:val="clear" w:color="auto" w:fill="F4F7FB"/>
          </w:tcPr>
          <w:p>
            <w:pPr>
              <w:spacing w:after="0"/>
            </w:pPr>
            <w:r/>
            <w:r>
              <w:rPr>
                <w:rFonts w:ascii="Calibri" w:hAnsi="Calibri"/>
                <w:b w:val="0"/>
                <w:i w:val="0"/>
                <w:color w:val="101828"/>
                <w:sz w:val="14"/>
              </w:rPr>
              <w:t>(6) Bottom navigation</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The five-tab model from section 3.7.2.</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048"/>
            <w:tcMar>
              <w:top w:w="60" w:type="dxa"/>
              <w:start w:w="110" w:type="dxa"/>
              <w:bottom w:w="60" w:type="dxa"/>
              <w:end w:w="110" w:type="dxa"/>
            </w:tcMar>
            <w:shd w:val="clear" w:color="auto" w:fill="F4F7FB"/>
          </w:tcPr>
          <w:p>
            <w:pPr>
              <w:spacing w:after="0"/>
            </w:pPr>
            <w:r/>
            <w:r>
              <w:rPr>
                <w:rFonts w:ascii="Calibri" w:hAnsi="Calibri"/>
                <w:b w:val="0"/>
                <w:i w:val="0"/>
                <w:color w:val="101828"/>
                <w:sz w:val="14"/>
              </w:rPr>
              <w:t>Home, Ajos, Pay, Alerts, More. The Pay tab is a tab, not a floating action button, so the five targets stay in one row at the same height.</w:t>
            </w:r>
          </w:p>
        </w:tc>
      </w:tr>
      <w:tr>
        <w:trPr>
          <w:cantSplit/>
        </w:trPr>
        <w:tc>
          <w:tcPr>
            <w:tcW w:type="dxa" w:w="677"/>
            <w:tcMar>
              <w:top w:w="60" w:type="dxa"/>
              <w:start w:w="110" w:type="dxa"/>
              <w:bottom w:w="60" w:type="dxa"/>
              <w:end w:w="110" w:type="dxa"/>
            </w:tcMar>
          </w:tcPr>
          <w:p>
            <w:pPr>
              <w:spacing w:after="0"/>
            </w:pPr>
            <w:r/>
            <w:r>
              <w:rPr>
                <w:rFonts w:ascii="Calibri" w:hAnsi="Calibri"/>
                <w:b w:val="0"/>
                <w:i w:val="0"/>
                <w:color w:val="101828"/>
                <w:sz w:val="14"/>
              </w:rPr>
              <w:t>(7) Summary tiles</w:t>
            </w:r>
          </w:p>
        </w:tc>
        <w:tc>
          <w:tcPr>
            <w:tcW w:type="dxa" w:w="2030"/>
            <w:tcMar>
              <w:top w:w="60" w:type="dxa"/>
              <w:start w:w="110" w:type="dxa"/>
              <w:bottom w:w="60" w:type="dxa"/>
              <w:end w:w="110" w:type="dxa"/>
            </w:tcMar>
          </w:tcPr>
          <w:p>
            <w:pPr>
              <w:spacing w:after="0"/>
            </w:pPr>
            <w:r/>
            <w:r>
              <w:rPr>
                <w:rFonts w:ascii="Calibri" w:hAnsi="Calibri"/>
                <w:b w:val="0"/>
                <w:i w:val="0"/>
                <w:color w:val="101828"/>
                <w:sz w:val="14"/>
              </w:rPr>
              <w:t>Owed to you, you owe, this round. Desktop only.</w:t>
            </w:r>
          </w:p>
        </w:tc>
        <w:tc>
          <w:tcPr>
            <w:tcW w:type="dxa" w:w="605"/>
            <w:tcMar>
              <w:top w:w="60" w:type="dxa"/>
              <w:start w:w="110" w:type="dxa"/>
              <w:bottom w:w="60" w:type="dxa"/>
              <w:end w:w="110" w:type="dxa"/>
            </w:tcMar>
          </w:tcPr>
          <w:p>
            <w:pPr>
              <w:spacing w:after="0"/>
            </w:pPr>
            <w:r/>
            <w:r>
              <w:rPr>
                <w:rFonts w:ascii="Calibri" w:hAnsi="Calibri"/>
                <w:b w:val="0"/>
                <w:i w:val="0"/>
                <w:color w:val="101828"/>
                <w:sz w:val="14"/>
              </w:rPr>
              <w:t>P2</w:t>
            </w:r>
          </w:p>
        </w:tc>
        <w:tc>
          <w:tcPr>
            <w:tcW w:type="dxa" w:w="6048"/>
            <w:tcMar>
              <w:top w:w="60" w:type="dxa"/>
              <w:start w:w="110" w:type="dxa"/>
              <w:bottom w:w="60" w:type="dxa"/>
              <w:end w:w="110" w:type="dxa"/>
            </w:tcMar>
          </w:tcPr>
          <w:p>
            <w:pPr>
              <w:spacing w:after="0"/>
            </w:pPr>
            <w:r/>
            <w:r>
              <w:rPr>
                <w:rFonts w:ascii="Calibri" w:hAnsi="Calibri"/>
                <w:b w:val="0"/>
                <w:i w:val="0"/>
                <w:color w:val="101828"/>
                <w:sz w:val="14"/>
              </w:rPr>
              <w:t xml:space="preserve">Each tile states the basis of its number in the third line. A tile reading </w:t>
            </w:r>
            <w:r>
              <w:rPr>
                <w:rFonts w:ascii="Calibri" w:hAnsi="Calibri"/>
                <w:i/>
                <w:color w:val="101828"/>
                <w:sz w:val="14"/>
              </w:rPr>
              <w:t>NGN 10,000.00</w:t>
            </w:r>
            <w:r>
              <w:rPr>
                <w:rFonts w:ascii="Calibri" w:hAnsi="Calibri"/>
                <w:b w:val="0"/>
                <w:i w:val="0"/>
                <w:color w:val="101828"/>
                <w:sz w:val="14"/>
              </w:rPr>
              <w:t xml:space="preserve"> with no label is not built.</w:t>
            </w:r>
          </w:p>
        </w:tc>
      </w:tr>
      <w:tr>
        <w:trPr>
          <w:cantSplit/>
        </w:trPr>
        <w:tc>
          <w:tcPr>
            <w:tcW w:type="dxa" w:w="677"/>
            <w:tcMar>
              <w:top w:w="60" w:type="dxa"/>
              <w:start w:w="110" w:type="dxa"/>
              <w:bottom w:w="60" w:type="dxa"/>
              <w:end w:w="110" w:type="dxa"/>
            </w:tcMar>
            <w:shd w:val="clear" w:color="auto" w:fill="F4F7FB"/>
          </w:tcPr>
          <w:p>
            <w:pPr>
              <w:spacing w:after="0"/>
            </w:pPr>
            <w:r/>
            <w:r>
              <w:rPr>
                <w:rFonts w:ascii="Calibri" w:hAnsi="Calibri"/>
                <w:b w:val="0"/>
                <w:i w:val="0"/>
                <w:color w:val="101828"/>
                <w:sz w:val="14"/>
              </w:rPr>
              <w:t>(8) Ajo table</w:t>
            </w:r>
          </w:p>
        </w:tc>
        <w:tc>
          <w:tcPr>
            <w:tcW w:type="dxa" w:w="2030"/>
            <w:tcMar>
              <w:top w:w="60" w:type="dxa"/>
              <w:start w:w="110" w:type="dxa"/>
              <w:bottom w:w="60" w:type="dxa"/>
              <w:end w:w="110" w:type="dxa"/>
            </w:tcMar>
            <w:shd w:val="clear" w:color="auto" w:fill="F4F7FB"/>
          </w:tcPr>
          <w:p>
            <w:pPr>
              <w:spacing w:after="0"/>
            </w:pPr>
            <w:r/>
            <w:r>
              <w:rPr>
                <w:rFonts w:ascii="Calibri" w:hAnsi="Calibri"/>
                <w:b w:val="0"/>
                <w:i w:val="0"/>
                <w:color w:val="101828"/>
                <w:sz w:val="14"/>
              </w:rPr>
              <w:t>The full membership list with round, state, progress and position.</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04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Sorts by nearest due date. The </w:t>
            </w:r>
            <w:r>
              <w:rPr>
                <w:rFonts w:ascii="Calibri" w:hAnsi="Calibri"/>
                <w:i/>
                <w:color w:val="101828"/>
                <w:sz w:val="14"/>
              </w:rPr>
              <w:t>your position</w:t>
            </w:r>
            <w:r>
              <w:rPr>
                <w:rFonts w:ascii="Calibri" w:hAnsi="Calibri"/>
                <w:b w:val="0"/>
                <w:i w:val="0"/>
                <w:color w:val="101828"/>
                <w:sz w:val="14"/>
              </w:rPr>
              <w:t xml:space="preserve"> column answers the question people actually open the Ajo list to answer.</w:t>
            </w:r>
          </w:p>
        </w:tc>
      </w:tr>
      <w:tr>
        <w:trPr>
          <w:cantSplit/>
        </w:trPr>
        <w:tc>
          <w:tcPr>
            <w:tcW w:type="dxa" w:w="677"/>
            <w:tcMar>
              <w:top w:w="60" w:type="dxa"/>
              <w:start w:w="110" w:type="dxa"/>
              <w:bottom w:w="60" w:type="dxa"/>
              <w:end w:w="110" w:type="dxa"/>
            </w:tcMar>
          </w:tcPr>
          <w:p>
            <w:pPr>
              <w:spacing w:after="0"/>
            </w:pPr>
            <w:r/>
            <w:r>
              <w:rPr>
                <w:rFonts w:ascii="Calibri" w:hAnsi="Calibri"/>
                <w:b w:val="0"/>
                <w:i w:val="0"/>
                <w:color w:val="101828"/>
                <w:sz w:val="14"/>
              </w:rPr>
              <w:t>(9) Right column</w:t>
            </w:r>
          </w:p>
        </w:tc>
        <w:tc>
          <w:tcPr>
            <w:tcW w:type="dxa" w:w="2030"/>
            <w:tcMar>
              <w:top w:w="60" w:type="dxa"/>
              <w:start w:w="110" w:type="dxa"/>
              <w:bottom w:w="60" w:type="dxa"/>
              <w:end w:w="110" w:type="dxa"/>
            </w:tcMar>
          </w:tcPr>
          <w:p>
            <w:pPr>
              <w:spacing w:after="0"/>
            </w:pPr>
            <w:r/>
            <w:r>
              <w:rPr>
                <w:rFonts w:ascii="Calibri" w:hAnsi="Calibri"/>
                <w:b w:val="0"/>
                <w:i w:val="0"/>
                <w:color w:val="101828"/>
                <w:sz w:val="14"/>
              </w:rPr>
              <w:t>Alerts and recent activity, on wide screens only.</w:t>
            </w:r>
          </w:p>
        </w:tc>
        <w:tc>
          <w:tcPr>
            <w:tcW w:type="dxa" w:w="605"/>
            <w:tcMar>
              <w:top w:w="60" w:type="dxa"/>
              <w:start w:w="110" w:type="dxa"/>
              <w:bottom w:w="60" w:type="dxa"/>
              <w:end w:w="110" w:type="dxa"/>
            </w:tcMar>
          </w:tcPr>
          <w:p>
            <w:pPr>
              <w:spacing w:after="0"/>
            </w:pPr>
            <w:r/>
            <w:r>
              <w:rPr>
                <w:rFonts w:ascii="Calibri" w:hAnsi="Calibri"/>
                <w:b w:val="0"/>
                <w:i w:val="0"/>
                <w:color w:val="101828"/>
                <w:sz w:val="14"/>
              </w:rPr>
              <w:t>P2</w:t>
            </w:r>
          </w:p>
        </w:tc>
        <w:tc>
          <w:tcPr>
            <w:tcW w:type="dxa" w:w="6048"/>
            <w:tcMar>
              <w:top w:w="60" w:type="dxa"/>
              <w:start w:w="110" w:type="dxa"/>
              <w:bottom w:w="60" w:type="dxa"/>
              <w:end w:w="110" w:type="dxa"/>
            </w:tcMar>
          </w:tcPr>
          <w:p>
            <w:pPr>
              <w:spacing w:after="0"/>
            </w:pPr>
            <w:r/>
            <w:r>
              <w:rPr>
                <w:rFonts w:ascii="Calibri" w:hAnsi="Calibri"/>
                <w:b w:val="0"/>
                <w:i w:val="0"/>
                <w:color w:val="101828"/>
                <w:sz w:val="14"/>
              </w:rPr>
              <w:t>Below 1280 px this column moves under the Ajo table rather than being hidden.</w:t>
            </w:r>
          </w:p>
        </w:tc>
      </w:tr>
    </w:tbl>
    <w:p>
      <w:pPr>
        <w:spacing w:after="80"/>
      </w:pPr>
    </w:p>
    <w:p>
      <w:pPr>
        <w:pStyle w:val="Heading2"/>
      </w:pPr>
      <w:r>
        <w:rPr>
          <w:rFonts w:ascii="Calibri" w:hAnsi="Calibri"/>
          <w:b/>
          <w:i w:val="0"/>
          <w:color w:val="146EF5"/>
          <w:sz w:val="29"/>
        </w:rPr>
        <w:t>6.11 My Ajos — SCR-MOB-02</w:t>
      </w:r>
    </w:p>
    <w:p>
      <w:r>
        <w:rPr>
          <w:rFonts w:ascii="Calibri" w:hAnsi="Calibri"/>
          <w:b w:val="0"/>
          <w:i w:val="0"/>
          <w:color w:val="101828"/>
          <w:sz w:val="21"/>
        </w:rPr>
        <w:t>The membership list, and the screen people revisit most often because it is the only place every Ajo they belong to can be seen at once with its state. It is deliberately a list and not a dashboard: a person opening it has a specific Ajo in mind, and a summary of all of them is not what they asked for.</w:t>
      </w:r>
    </w:p>
    <w:p>
      <w:pPr>
        <w:spacing w:before="140" w:after="180"/>
        <w:ind w:left="144"/>
        <w:shd w:val="clear" w:color="auto" w:fill="E0F2FE"/>
        <w:pBdr>
          <w:left w:val="single" w:sz="18" w:space="6" w:color="22C7D6"/>
        </w:pBdr>
      </w:pPr>
      <w:r>
        <w:rPr>
          <w:rFonts w:ascii="Calibri" w:hAnsi="Calibri"/>
          <w:b/>
          <w:color w:val="22C7D6"/>
          <w:sz w:val="19"/>
        </w:rPr>
        <w:t xml:space="preserve">Sorting the Ajo list by nearest due date  </w:t>
      </w:r>
      <w:r>
        <w:rPr>
          <w:rFonts w:ascii="Calibri" w:hAnsi="Calibri"/>
          <w:b w:val="0"/>
          <w:i w:val="0"/>
          <w:color w:val="0B1F3A"/>
          <w:sz w:val="19"/>
        </w:rPr>
        <w:t>The default sort is by nearest due date, then by Ajo name. Sorting by Ajo name is the alternative and it is the wrong default: the reason a person opens this list is almost always a payment they owe, not a group they are in. The trade-off is that the list reorders itself as dates pass, which is disorienting for a person trying to find a specific Ajo by muscle memory. The mitigation is that the state and position columns make each row identifiable on sight, and the sort key is visible in the filter bar so the ordering is never a surprise.</w:t>
      </w:r>
    </w:p>
    <w:p>
      <w:pPr>
        <w:pStyle w:val="Heading3"/>
      </w:pPr>
      <w:r>
        <w:rPr>
          <w:rFonts w:ascii="Calibri" w:hAnsi="Calibri"/>
          <w:b/>
          <w:i w:val="0"/>
          <w:color w:val="0B1F3A"/>
          <w:sz w:val="24"/>
        </w:rPr>
        <w:t>6.11.1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SEGMENTED CONTROL -----------------+</w:t>
      </w:r>
    </w:p>
    <w:p>
      <w:pPr>
        <w:spacing w:before="0" w:after="0" w:line="240" w:lineRule="auto"/>
        <w:ind w:left="230"/>
        <w:shd w:val="clear" w:color="auto" w:fill="F7F9FC"/>
        <w:pBdr>
          <w:left w:val="single" w:sz="4" w:space="6" w:color="D0D5DD"/>
        </w:pBdr>
      </w:pPr>
      <w:r>
        <w:rPr>
          <w:rFonts w:ascii="Consolas" w:hAnsi="Consolas"/>
          <w:color w:val="0B1F3A"/>
          <w:sz w:val="16"/>
        </w:rPr>
        <w:t>| All(3)  Active(2)  Joined(1)  Past(0)    |</w:t>
      </w:r>
    </w:p>
    <w:p>
      <w:pPr>
        <w:spacing w:before="0" w:after="0" w:line="240" w:lineRule="auto"/>
        <w:ind w:left="230"/>
        <w:shd w:val="clear" w:color="auto" w:fill="F7F9FC"/>
        <w:pBdr>
          <w:left w:val="single" w:sz="4" w:space="6" w:color="D0D5DD"/>
        </w:pBdr>
      </w:pPr>
      <w:r>
        <w:rPr>
          <w:rFonts w:ascii="Consolas" w:hAnsi="Consolas"/>
          <w:color w:val="0B1F3A"/>
          <w:sz w:val="16"/>
        </w:rPr>
        <w:t>+-- (2) STATUS SUMMARY --------------------+</w:t>
      </w:r>
    </w:p>
    <w:p>
      <w:pPr>
        <w:spacing w:before="0" w:after="0" w:line="240" w:lineRule="auto"/>
        <w:ind w:left="230"/>
        <w:shd w:val="clear" w:color="auto" w:fill="F7F9FC"/>
        <w:pBdr>
          <w:left w:val="single" w:sz="4" w:space="6" w:color="D0D5DD"/>
        </w:pBdr>
      </w:pPr>
      <w:r>
        <w:rPr>
          <w:rFonts w:ascii="Consolas" w:hAnsi="Consolas"/>
          <w:color w:val="0B1F3A"/>
          <w:sz w:val="16"/>
        </w:rPr>
        <w:t>| 1 due this week                          |</w:t>
      </w:r>
    </w:p>
    <w:p>
      <w:pPr>
        <w:spacing w:before="0" w:after="0" w:line="240" w:lineRule="auto"/>
        <w:ind w:left="230"/>
        <w:shd w:val="clear" w:color="auto" w:fill="F7F9FC"/>
        <w:pBdr>
          <w:left w:val="single" w:sz="4" w:space="6" w:color="D0D5DD"/>
        </w:pBdr>
      </w:pPr>
      <w:r>
        <w:rPr>
          <w:rFonts w:ascii="Consolas" w:hAnsi="Consolas"/>
          <w:color w:val="0B1F3A"/>
          <w:sz w:val="16"/>
        </w:rPr>
        <w:t>| 1 awaiting you                           |</w:t>
      </w:r>
    </w:p>
    <w:p>
      <w:pPr>
        <w:spacing w:before="0" w:after="0" w:line="240" w:lineRule="auto"/>
        <w:ind w:left="230"/>
        <w:shd w:val="clear" w:color="auto" w:fill="F7F9FC"/>
        <w:pBdr>
          <w:left w:val="single" w:sz="4" w:space="6" w:color="D0D5DD"/>
        </w:pBdr>
      </w:pPr>
      <w:r>
        <w:rPr>
          <w:rFonts w:ascii="Consolas" w:hAnsi="Consolas"/>
          <w:color w:val="0B1F3A"/>
          <w:sz w:val="16"/>
        </w:rPr>
        <w:t>| 0 overdue                                |</w:t>
      </w:r>
    </w:p>
    <w:p>
      <w:pPr>
        <w:spacing w:before="0" w:after="0" w:line="240" w:lineRule="auto"/>
        <w:ind w:left="230"/>
        <w:shd w:val="clear" w:color="auto" w:fill="F7F9FC"/>
        <w:pBdr>
          <w:left w:val="single" w:sz="4" w:space="6" w:color="D0D5DD"/>
        </w:pBdr>
      </w:pPr>
      <w:r>
        <w:rPr>
          <w:rFonts w:ascii="Consolas" w:hAnsi="Consolas"/>
          <w:color w:val="0B1F3A"/>
          <w:sz w:val="16"/>
        </w:rPr>
        <w:t>+-- (3) AJO CARD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Adaeze's Ajo                      |   |</w:t>
      </w:r>
    </w:p>
    <w:p>
      <w:pPr>
        <w:spacing w:before="0" w:after="0" w:line="240" w:lineRule="auto"/>
        <w:ind w:left="230"/>
        <w:shd w:val="clear" w:color="auto" w:fill="F7F9FC"/>
        <w:pBdr>
          <w:left w:val="single" w:sz="4" w:space="6" w:color="D0D5DD"/>
        </w:pBdr>
      </w:pPr>
      <w:r>
        <w:rPr>
          <w:rFonts w:ascii="Consolas" w:hAnsi="Consolas"/>
          <w:color w:val="0B1F3A"/>
          <w:sz w:val="16"/>
        </w:rPr>
        <w:t>| |  round 4 of 10   ACTIVE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7 of 10 members paid this round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You are position 9. You owe       |   |</w:t>
      </w:r>
    </w:p>
    <w:p>
      <w:pPr>
        <w:spacing w:before="0" w:after="0" w:line="240" w:lineRule="auto"/>
        <w:ind w:left="230"/>
        <w:shd w:val="clear" w:color="auto" w:fill="F7F9FC"/>
        <w:pBdr>
          <w:left w:val="single" w:sz="4" w:space="6" w:color="D0D5DD"/>
        </w:pBdr>
      </w:pPr>
      <w:r>
        <w:rPr>
          <w:rFonts w:ascii="Consolas" w:hAnsi="Consolas"/>
          <w:color w:val="0B1F3A"/>
          <w:sz w:val="16"/>
        </w:rPr>
        <w:t>| |  NGN 1,000.00 on Fri 12 Sep and    |   |</w:t>
      </w:r>
    </w:p>
    <w:p>
      <w:pPr>
        <w:spacing w:before="0" w:after="0" w:line="240" w:lineRule="auto"/>
        <w:ind w:left="230"/>
        <w:shd w:val="clear" w:color="auto" w:fill="F7F9FC"/>
        <w:pBdr>
          <w:left w:val="single" w:sz="4" w:space="6" w:color="D0D5DD"/>
        </w:pBdr>
      </w:pPr>
      <w:r>
        <w:rPr>
          <w:rFonts w:ascii="Consolas" w:hAnsi="Consolas"/>
          <w:color w:val="0B1F3A"/>
          <w:sz w:val="16"/>
        </w:rPr>
        <w:t>| |  will be charged NGN 1,020.00.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Your turn: round 9                |   |</w:t>
      </w:r>
    </w:p>
    <w:p>
      <w:pPr>
        <w:spacing w:before="0" w:after="0" w:line="240" w:lineRule="auto"/>
        <w:ind w:left="230"/>
        <w:shd w:val="clear" w:color="auto" w:fill="F7F9FC"/>
        <w:pBdr>
          <w:left w:val="single" w:sz="4" w:space="6" w:color="D0D5DD"/>
        </w:pBdr>
      </w:pPr>
      <w:r>
        <w:rPr>
          <w:rFonts w:ascii="Consolas" w:hAnsi="Consolas"/>
          <w:color w:val="0B1F3A"/>
          <w:sz w:val="16"/>
        </w:rPr>
        <w:t>| |  Payout: NGN 10,000.00 base pool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&lt; View Ajo &gt;    { Pay now }*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(4) AJO CARD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Chima's Ajo                       |   |</w:t>
      </w:r>
    </w:p>
    <w:p>
      <w:pPr>
        <w:spacing w:before="0" w:after="0" w:line="240" w:lineRule="auto"/>
        <w:ind w:left="230"/>
        <w:shd w:val="clear" w:color="auto" w:fill="F7F9FC"/>
        <w:pBdr>
          <w:left w:val="single" w:sz="4" w:space="6" w:color="D0D5DD"/>
        </w:pBdr>
      </w:pPr>
      <w:r>
        <w:rPr>
          <w:rFonts w:ascii="Consolas" w:hAnsi="Consolas"/>
          <w:color w:val="0B1F3A"/>
          <w:sz w:val="16"/>
        </w:rPr>
        <w:t>| |  round 9 of 10   ROUNDING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9 of 10 members paid this round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Your turn: round 10, in 2 days    |   |</w:t>
      </w:r>
    </w:p>
    <w:p>
      <w:pPr>
        <w:spacing w:before="0" w:after="0" w:line="240" w:lineRule="auto"/>
        <w:ind w:left="230"/>
        <w:shd w:val="clear" w:color="auto" w:fill="F7F9FC"/>
        <w:pBdr>
          <w:left w:val="single" w:sz="4" w:space="6" w:color="D0D5DD"/>
        </w:pBdr>
      </w:pPr>
      <w:r>
        <w:rPr>
          <w:rFonts w:ascii="Consolas" w:hAnsi="Consolas"/>
          <w:color w:val="0B1F3A"/>
          <w:sz w:val="16"/>
        </w:rPr>
        <w:t>| |  Payout: NGN 10,000.00 base pool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&lt; View Ajo &gt;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(5) EMPTY STATE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You have not joined an Ajo   |        |</w:t>
      </w:r>
    </w:p>
    <w:p>
      <w:pPr>
        <w:spacing w:before="0" w:after="0" w:line="240" w:lineRule="auto"/>
        <w:ind w:left="230"/>
        <w:shd w:val="clear" w:color="auto" w:fill="F7F9FC"/>
        <w:pBdr>
          <w:left w:val="single" w:sz="4" w:space="6" w:color="D0D5DD"/>
        </w:pBdr>
      </w:pPr>
      <w:r>
        <w:rPr>
          <w:rFonts w:ascii="Consolas" w:hAnsi="Consolas"/>
          <w:color w:val="0B1F3A"/>
          <w:sz w:val="16"/>
        </w:rPr>
        <w:t>| |  yet.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Create an Ajo }*          |         |</w:t>
      </w:r>
    </w:p>
    <w:p>
      <w:pPr>
        <w:spacing w:before="0" w:after="0" w:line="240" w:lineRule="auto"/>
        <w:ind w:left="230"/>
        <w:shd w:val="clear" w:color="auto" w:fill="F7F9FC"/>
        <w:pBdr>
          <w:left w:val="single" w:sz="4" w:space="6" w:color="D0D5DD"/>
        </w:pBdr>
      </w:pPr>
      <w:r>
        <w:rPr>
          <w:rFonts w:ascii="Consolas" w:hAnsi="Consolas"/>
          <w:color w:val="0B1F3A"/>
          <w:sz w:val="16"/>
        </w:rPr>
        <w:t>| |  { Join with a code }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(6) BOTTOM NAV ------------------------+</w:t>
      </w:r>
    </w:p>
    <w:p>
      <w:pPr>
        <w:spacing w:before="0" w:after="0" w:line="240" w:lineRule="auto"/>
        <w:ind w:left="230"/>
        <w:shd w:val="clear" w:color="auto" w:fill="F7F9FC"/>
        <w:pBdr>
          <w:left w:val="single" w:sz="4" w:space="6" w:color="D0D5DD"/>
        </w:pBdr>
      </w:pPr>
      <w:r>
        <w:rPr>
          <w:rFonts w:ascii="Consolas" w:hAnsi="Consolas"/>
          <w:color w:val="0B1F3A"/>
          <w:sz w:val="16"/>
        </w:rPr>
        <w:t>| Home  Ajos  Pay  Alerts  More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LEFT NAV ----------------------------------------------------------+</w:t>
      </w:r>
    </w:p>
    <w:p>
      <w:pPr>
        <w:spacing w:before="0" w:after="0" w:line="240" w:lineRule="auto"/>
        <w:ind w:left="230"/>
        <w:shd w:val="clear" w:color="auto" w:fill="F7F9FC"/>
        <w:pBdr>
          <w:left w:val="single" w:sz="4" w:space="6" w:color="D0D5DD"/>
        </w:pBdr>
      </w:pPr>
      <w:r>
        <w:rPr>
          <w:rFonts w:ascii="Consolas" w:hAnsi="Consolas"/>
          <w:color w:val="0B1F3A"/>
          <w:sz w:val="16"/>
        </w:rPr>
        <w:t>| Home                                                                     |</w:t>
      </w:r>
    </w:p>
    <w:p>
      <w:pPr>
        <w:spacing w:before="0" w:after="0" w:line="240" w:lineRule="auto"/>
        <w:ind w:left="230"/>
        <w:shd w:val="clear" w:color="auto" w:fill="F7F9FC"/>
        <w:pBdr>
          <w:left w:val="single" w:sz="4" w:space="6" w:color="D0D5DD"/>
        </w:pBdr>
      </w:pPr>
      <w:r>
        <w:rPr>
          <w:rFonts w:ascii="Consolas" w:hAnsi="Consolas"/>
          <w:color w:val="0B1F3A"/>
          <w:sz w:val="16"/>
        </w:rPr>
        <w:t>| My Ajos                                                                  |</w:t>
      </w:r>
    </w:p>
    <w:p>
      <w:pPr>
        <w:spacing w:before="0" w:after="0" w:line="240" w:lineRule="auto"/>
        <w:ind w:left="230"/>
        <w:shd w:val="clear" w:color="auto" w:fill="F7F9FC"/>
        <w:pBdr>
          <w:left w:val="single" w:sz="4" w:space="6" w:color="D0D5DD"/>
        </w:pBdr>
      </w:pPr>
      <w:r>
        <w:rPr>
          <w:rFonts w:ascii="Consolas" w:hAnsi="Consolas"/>
          <w:color w:val="0B1F3A"/>
          <w:sz w:val="16"/>
        </w:rPr>
        <w:t>| Pay                                                                      |</w:t>
      </w:r>
    </w:p>
    <w:p>
      <w:pPr>
        <w:spacing w:before="0" w:after="0" w:line="240" w:lineRule="auto"/>
        <w:ind w:left="230"/>
        <w:shd w:val="clear" w:color="auto" w:fill="F7F9FC"/>
        <w:pBdr>
          <w:left w:val="single" w:sz="4" w:space="6" w:color="D0D5DD"/>
        </w:pBdr>
      </w:pPr>
      <w:r>
        <w:rPr>
          <w:rFonts w:ascii="Consolas" w:hAnsi="Consolas"/>
          <w:color w:val="0B1F3A"/>
          <w:sz w:val="16"/>
        </w:rPr>
        <w:t>| Alerts                                                                   |</w:t>
      </w:r>
    </w:p>
    <w:p>
      <w:pPr>
        <w:spacing w:before="0" w:after="0" w:line="240" w:lineRule="auto"/>
        <w:ind w:left="230"/>
        <w:shd w:val="clear" w:color="auto" w:fill="F7F9FC"/>
        <w:pBdr>
          <w:left w:val="single" w:sz="4" w:space="6" w:color="D0D5DD"/>
        </w:pBdr>
      </w:pPr>
      <w:r>
        <w:rPr>
          <w:rFonts w:ascii="Consolas" w:hAnsi="Consolas"/>
          <w:color w:val="0B1F3A"/>
          <w:sz w:val="16"/>
        </w:rPr>
        <w:t>| Support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Profile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FILTER BAR --------------------------------------------------------+</w:t>
      </w:r>
    </w:p>
    <w:p>
      <w:pPr>
        <w:spacing w:before="0" w:after="0" w:line="240" w:lineRule="auto"/>
        <w:ind w:left="230"/>
        <w:shd w:val="clear" w:color="auto" w:fill="F7F9FC"/>
        <w:pBdr>
          <w:left w:val="single" w:sz="4" w:space="6" w:color="D0D5DD"/>
        </w:pBdr>
      </w:pPr>
      <w:r>
        <w:rPr>
          <w:rFonts w:ascii="Consolas" w:hAnsi="Consolas"/>
          <w:color w:val="0B1F3A"/>
          <w:sz w:val="16"/>
        </w:rPr>
        <w:t>| All 3   Active 2   Awaiting you 1   Overdue 0        [ New Ajo ]*        |</w:t>
      </w:r>
    </w:p>
    <w:p>
      <w:pPr>
        <w:spacing w:before="0" w:after="0" w:line="240" w:lineRule="auto"/>
        <w:ind w:left="230"/>
        <w:shd w:val="clear" w:color="auto" w:fill="F7F9FC"/>
        <w:pBdr>
          <w:left w:val="single" w:sz="4" w:space="6" w:color="D0D5DD"/>
        </w:pBdr>
      </w:pPr>
      <w:r>
        <w:rPr>
          <w:rFonts w:ascii="Consolas" w:hAnsi="Consolas"/>
          <w:color w:val="0B1F3A"/>
          <w:sz w:val="16"/>
        </w:rPr>
        <w:t>+-- (3) AJO TABLE ---------------------------------------------------------+</w:t>
      </w:r>
    </w:p>
    <w:p>
      <w:pPr>
        <w:spacing w:before="0" w:after="0" w:line="240" w:lineRule="auto"/>
        <w:ind w:left="230"/>
        <w:shd w:val="clear" w:color="auto" w:fill="F7F9FC"/>
        <w:pBdr>
          <w:left w:val="single" w:sz="4" w:space="6" w:color="D0D5DD"/>
        </w:pBdr>
      </w:pPr>
      <w:r>
        <w:rPr>
          <w:rFonts w:ascii="Consolas" w:hAnsi="Consolas"/>
          <w:color w:val="0B1F3A"/>
          <w:sz w:val="16"/>
        </w:rPr>
        <w:t>| AJO              STATE          ROUND  DUE       YOUR POS   TURNOVER     |</w:t>
      </w:r>
    </w:p>
    <w:p>
      <w:pPr>
        <w:spacing w:before="0" w:after="0" w:line="240" w:lineRule="auto"/>
        <w:ind w:left="230"/>
        <w:shd w:val="clear" w:color="auto" w:fill="F7F9FC"/>
        <w:pBdr>
          <w:left w:val="single" w:sz="4" w:space="6" w:color="D0D5DD"/>
        </w:pBdr>
      </w:pPr>
      <w:r>
        <w:rPr>
          <w:rFonts w:ascii="Consolas" w:hAnsi="Consolas"/>
          <w:color w:val="0B1F3A"/>
          <w:sz w:val="16"/>
        </w:rPr>
        <w:t>| Adaeze's Ajo     ACTIVE           4    12 Sep    9 of 10    round 9      |</w:t>
      </w:r>
    </w:p>
    <w:p>
      <w:pPr>
        <w:spacing w:before="0" w:after="0" w:line="240" w:lineRule="auto"/>
        <w:ind w:left="230"/>
        <w:shd w:val="clear" w:color="auto" w:fill="F7F9FC"/>
        <w:pBdr>
          <w:left w:val="single" w:sz="4" w:space="6" w:color="D0D5DD"/>
        </w:pBdr>
      </w:pPr>
      <w:r>
        <w:rPr>
          <w:rFonts w:ascii="Consolas" w:hAnsi="Consolas"/>
          <w:color w:val="0B1F3A"/>
          <w:sz w:val="16"/>
        </w:rPr>
        <w:t>| Chima's Ajo      ROUND_IN_PROG    9    19 Sep    10 of 10   round 10     |</w:t>
      </w:r>
    </w:p>
    <w:p>
      <w:pPr>
        <w:spacing w:before="0" w:after="0" w:line="240" w:lineRule="auto"/>
        <w:ind w:left="230"/>
        <w:shd w:val="clear" w:color="auto" w:fill="F7F9FC"/>
        <w:pBdr>
          <w:left w:val="single" w:sz="4" w:space="6" w:color="D0D5DD"/>
        </w:pBdr>
      </w:pPr>
      <w:r>
        <w:rPr>
          <w:rFonts w:ascii="Consolas" w:hAnsi="Consolas"/>
          <w:color w:val="0B1F3A"/>
          <w:sz w:val="16"/>
        </w:rPr>
        <w:t>| Fatima's Ajo     ENROLLMENT       -    14 Sep    awaiting    1 of 10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Progress column carries a count, not only a bar.                         |</w:t>
      </w:r>
    </w:p>
    <w:p>
      <w:pPr>
        <w:spacing w:before="0" w:after="0" w:line="240" w:lineRule="auto"/>
        <w:ind w:left="230"/>
        <w:shd w:val="clear" w:color="auto" w:fill="F7F9FC"/>
        <w:pBdr>
          <w:left w:val="single" w:sz="4" w:space="6" w:color="D0D5DD"/>
        </w:pBdr>
      </w:pPr>
      <w:r>
        <w:rPr>
          <w:rFonts w:ascii="Consolas" w:hAnsi="Consolas"/>
          <w:color w:val="0B1F3A"/>
          <w:sz w:val="16"/>
        </w:rPr>
        <w:t>+-- (4) EMPTY STATE -------------------------------------------------------+</w:t>
      </w:r>
    </w:p>
    <w:p>
      <w:pPr>
        <w:spacing w:before="0" w:after="0" w:line="240" w:lineRule="auto"/>
        <w:ind w:left="230"/>
        <w:shd w:val="clear" w:color="auto" w:fill="F7F9FC"/>
        <w:pBdr>
          <w:left w:val="single" w:sz="4" w:space="6" w:color="D0D5DD"/>
        </w:pBdr>
      </w:pPr>
      <w:r>
        <w:rPr>
          <w:rFonts w:ascii="Consolas" w:hAnsi="Consolas"/>
          <w:color w:val="0B1F3A"/>
          <w:sz w:val="16"/>
        </w:rPr>
        <w:t>| You have not joined an Ajo yet.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An Ajo needs at least two people, a contribution amount, a frequency,    |</w:t>
      </w:r>
    </w:p>
    <w:p>
      <w:pPr>
        <w:spacing w:before="0" w:after="0" w:line="240" w:lineRule="auto"/>
        <w:ind w:left="230"/>
        <w:shd w:val="clear" w:color="auto" w:fill="F7F9FC"/>
        <w:pBdr>
          <w:left w:val="single" w:sz="4" w:space="6" w:color="D0D5DD"/>
        </w:pBdr>
      </w:pPr>
      <w:r>
        <w:rPr>
          <w:rFonts w:ascii="Consolas" w:hAnsi="Consolas"/>
          <w:color w:val="0B1F3A"/>
          <w:sz w:val="16"/>
        </w:rPr>
        <w:t>| and a start date. Ten people at NGN 1,000.00 weekly for ten rounds is    |</w:t>
      </w:r>
    </w:p>
    <w:p>
      <w:pPr>
        <w:spacing w:before="0" w:after="0" w:line="240" w:lineRule="auto"/>
        <w:ind w:left="230"/>
        <w:shd w:val="clear" w:color="auto" w:fill="F7F9FC"/>
        <w:pBdr>
          <w:left w:val="single" w:sz="4" w:space="6" w:color="D0D5DD"/>
        </w:pBdr>
      </w:pPr>
      <w:r>
        <w:rPr>
          <w:rFonts w:ascii="Consolas" w:hAnsi="Consolas"/>
          <w:color w:val="0B1F3A"/>
          <w:sz w:val="16"/>
        </w:rPr>
        <w:t>| the arrangement this product is built around, but a group of five at     |</w:t>
      </w:r>
    </w:p>
    <w:p>
      <w:pPr>
        <w:spacing w:before="0" w:after="0" w:line="240" w:lineRule="auto"/>
        <w:ind w:left="230"/>
        <w:shd w:val="clear" w:color="auto" w:fill="F7F9FC"/>
        <w:pBdr>
          <w:left w:val="single" w:sz="4" w:space="6" w:color="D0D5DD"/>
        </w:pBdr>
      </w:pPr>
      <w:r>
        <w:rPr>
          <w:rFonts w:ascii="Consolas" w:hAnsi="Consolas"/>
          <w:color w:val="0B1F3A"/>
          <w:sz w:val="16"/>
        </w:rPr>
        <w:t>| NGN 2,000.00 is equally valid and the product does not assume otherwise.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Create an Ajo }*        { Join with a code }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6.11.2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2866"/>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5285"/>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 Segmented control</w:t>
            </w:r>
          </w:p>
        </w:tc>
        <w:tc>
          <w:tcPr>
            <w:tcW w:type="dxa" w:w="2866"/>
            <w:tcMar>
              <w:top w:w="60" w:type="dxa"/>
              <w:start w:w="110" w:type="dxa"/>
              <w:bottom w:w="60" w:type="dxa"/>
              <w:end w:w="110" w:type="dxa"/>
            </w:tcMar>
          </w:tcPr>
          <w:p>
            <w:pPr>
              <w:spacing w:after="0"/>
            </w:pPr>
            <w:r/>
            <w:r>
              <w:rPr>
                <w:rFonts w:ascii="Calibri" w:hAnsi="Calibri"/>
                <w:b w:val="0"/>
                <w:i w:val="0"/>
                <w:color w:val="101828"/>
                <w:sz w:val="14"/>
              </w:rPr>
              <w:t>All, Active, Joined, Past, with live counts.</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5285"/>
            <w:tcMar>
              <w:top w:w="60" w:type="dxa"/>
              <w:start w:w="110" w:type="dxa"/>
              <w:bottom w:w="60" w:type="dxa"/>
              <w:end w:w="110" w:type="dxa"/>
            </w:tcMar>
          </w:tcPr>
          <w:p>
            <w:pPr>
              <w:spacing w:after="0"/>
            </w:pPr>
            <w:r/>
            <w:r>
              <w:rPr>
                <w:rFonts w:ascii="Calibri" w:hAnsi="Calibri"/>
                <w:b w:val="0"/>
                <w:i w:val="0"/>
                <w:color w:val="101828"/>
                <w:sz w:val="14"/>
              </w:rPr>
              <w:t>Counts are counts of Ajos, not of members or of amounts, and are labelled so the unit is unambiguous.</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Status summary</w:t>
            </w:r>
          </w:p>
        </w:tc>
        <w:tc>
          <w:tcPr>
            <w:tcW w:type="dxa" w:w="2866"/>
            <w:tcMar>
              <w:top w:w="60" w:type="dxa"/>
              <w:start w:w="110" w:type="dxa"/>
              <w:bottom w:w="60" w:type="dxa"/>
              <w:end w:w="110" w:type="dxa"/>
            </w:tcMar>
            <w:shd w:val="clear" w:color="auto" w:fill="F4F7FB"/>
          </w:tcPr>
          <w:p>
            <w:pPr>
              <w:spacing w:after="0"/>
            </w:pPr>
            <w:r/>
            <w:r>
              <w:rPr>
                <w:rFonts w:ascii="Calibri" w:hAnsi="Calibri"/>
                <w:b w:val="0"/>
                <w:i w:val="0"/>
                <w:color w:val="101828"/>
                <w:sz w:val="14"/>
              </w:rPr>
              <w:t>What needs attention this week.</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5285"/>
            <w:tcMar>
              <w:top w:w="60" w:type="dxa"/>
              <w:start w:w="110" w:type="dxa"/>
              <w:bottom w:w="60" w:type="dxa"/>
              <w:end w:w="110" w:type="dxa"/>
            </w:tcMar>
            <w:shd w:val="clear" w:color="auto" w:fill="F4F7FB"/>
          </w:tcPr>
          <w:p>
            <w:pPr>
              <w:spacing w:after="0"/>
            </w:pPr>
            <w:r/>
            <w:r>
              <w:rPr>
                <w:rFonts w:ascii="Calibri" w:hAnsi="Calibri"/>
                <w:b/>
                <w:color w:val="101828"/>
                <w:sz w:val="14"/>
              </w:rPr>
              <w:t>Overdue is its own figure, never a negative colour on a due date.</w:t>
            </w:r>
            <w:r>
              <w:rPr>
                <w:rFonts w:ascii="Calibri" w:hAnsi="Calibri"/>
                <w:b w:val="0"/>
                <w:i w:val="0"/>
                <w:color w:val="101828"/>
                <w:sz w:val="14"/>
              </w:rPr>
              <w:t xml:space="preserve"> Colour alone does not convey state, and the count must be reachable by a screen reader.</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 Ajo card</w:t>
            </w:r>
          </w:p>
        </w:tc>
        <w:tc>
          <w:tcPr>
            <w:tcW w:type="dxa" w:w="2866"/>
            <w:tcMar>
              <w:top w:w="60" w:type="dxa"/>
              <w:start w:w="110" w:type="dxa"/>
              <w:bottom w:w="60" w:type="dxa"/>
              <w:end w:w="110" w:type="dxa"/>
            </w:tcMar>
          </w:tcPr>
          <w:p>
            <w:pPr>
              <w:spacing w:after="0"/>
            </w:pPr>
            <w:r/>
            <w:r>
              <w:rPr>
                <w:rFonts w:ascii="Calibri" w:hAnsi="Calibri"/>
                <w:b w:val="0"/>
                <w:i w:val="0"/>
                <w:color w:val="101828"/>
                <w:sz w:val="14"/>
              </w:rPr>
              <w:t>One card per Ajo: name, round, state, progress, position, due date, amount owed and amount charged.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5285"/>
            <w:tcMar>
              <w:top w:w="60" w:type="dxa"/>
              <w:start w:w="110" w:type="dxa"/>
              <w:bottom w:w="60" w:type="dxa"/>
              <w:end w:w="110" w:type="dxa"/>
            </w:tcMar>
          </w:tcPr>
          <w:p>
            <w:pPr>
              <w:spacing w:after="0"/>
            </w:pPr>
            <w:r/>
            <w:r>
              <w:rPr>
                <w:rFonts w:ascii="Calibri" w:hAnsi="Calibri"/>
                <w:b w:val="0"/>
                <w:i w:val="0"/>
                <w:color w:val="101828"/>
                <w:sz w:val="14"/>
              </w:rPr>
              <w:t>The card carries the fee line because this is the list a person screenshots or forwards to a group. The omitted detail is the members list, which has its own screen.</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 Pay action</w:t>
            </w:r>
          </w:p>
        </w:tc>
        <w:tc>
          <w:tcPr>
            <w:tcW w:type="dxa" w:w="2866"/>
            <w:tcMar>
              <w:top w:w="60" w:type="dxa"/>
              <w:start w:w="110" w:type="dxa"/>
              <w:bottom w:w="60" w:type="dxa"/>
              <w:end w:w="110" w:type="dxa"/>
            </w:tcMar>
            <w:shd w:val="clear" w:color="auto" w:fill="F4F7FB"/>
          </w:tcPr>
          <w:p>
            <w:pPr>
              <w:spacing w:after="0"/>
            </w:pPr>
            <w:r/>
            <w:r>
              <w:rPr>
                <w:rFonts w:ascii="Calibri" w:hAnsi="Calibri"/>
                <w:b w:val="0"/>
                <w:i w:val="0"/>
                <w:color w:val="101828"/>
                <w:sz w:val="14"/>
              </w:rPr>
              <w:t>Present only when a contribution is due and unpaid.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5285"/>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Hidden, not disabled, when nothing is due. A greyed </w:t>
            </w:r>
            <w:r>
              <w:rPr>
                <w:rFonts w:ascii="Calibri" w:hAnsi="Calibri"/>
                <w:i/>
                <w:color w:val="101828"/>
                <w:sz w:val="14"/>
              </w:rPr>
              <w:t>Pay now</w:t>
            </w:r>
            <w:r>
              <w:rPr>
                <w:rFonts w:ascii="Calibri" w:hAnsi="Calibri"/>
                <w:b w:val="0"/>
                <w:i w:val="0"/>
                <w:color w:val="101828"/>
                <w:sz w:val="14"/>
              </w:rPr>
              <w:t xml:space="preserve"> on every card trains people to ignore the primary action.</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(5) Empty state</w:t>
            </w:r>
          </w:p>
        </w:tc>
        <w:tc>
          <w:tcPr>
            <w:tcW w:type="dxa" w:w="2866"/>
            <w:tcMar>
              <w:top w:w="60" w:type="dxa"/>
              <w:start w:w="110" w:type="dxa"/>
              <w:bottom w:w="60" w:type="dxa"/>
              <w:end w:w="110" w:type="dxa"/>
            </w:tcMar>
          </w:tcPr>
          <w:p>
            <w:pPr>
              <w:spacing w:after="0"/>
            </w:pPr>
            <w:r/>
            <w:r>
              <w:rPr>
                <w:rFonts w:ascii="Calibri" w:hAnsi="Calibri"/>
                <w:b w:val="0"/>
                <w:i w:val="0"/>
                <w:color w:val="101828"/>
                <w:sz w:val="14"/>
              </w:rPr>
              <w:t>Two ways in: create, or join with a code.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5285"/>
            <w:tcMar>
              <w:top w:w="60" w:type="dxa"/>
              <w:start w:w="110" w:type="dxa"/>
              <w:bottom w:w="60" w:type="dxa"/>
              <w:end w:w="110" w:type="dxa"/>
            </w:tcMar>
          </w:tcPr>
          <w:p>
            <w:pPr>
              <w:spacing w:after="0"/>
            </w:pPr>
            <w:r/>
            <w:r>
              <w:rPr>
                <w:rFonts w:ascii="Calibri" w:hAnsi="Calibri"/>
                <w:b w:val="0"/>
                <w:i w:val="0"/>
                <w:color w:val="101828"/>
                <w:sz w:val="14"/>
              </w:rPr>
              <w:t>The empty state states the minimum an Ajo needs, because the most common first-run failure is inventing a group that cannot satisfy the two-position guard.</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(6) Filter bar</w:t>
            </w:r>
          </w:p>
        </w:tc>
        <w:tc>
          <w:tcPr>
            <w:tcW w:type="dxa" w:w="2866"/>
            <w:tcMar>
              <w:top w:w="60" w:type="dxa"/>
              <w:start w:w="110" w:type="dxa"/>
              <w:bottom w:w="60" w:type="dxa"/>
              <w:end w:w="110" w:type="dxa"/>
            </w:tcMar>
            <w:shd w:val="clear" w:color="auto" w:fill="F4F7FB"/>
          </w:tcPr>
          <w:p>
            <w:pPr>
              <w:spacing w:after="0"/>
            </w:pPr>
            <w:r/>
            <w:r>
              <w:rPr>
                <w:rFonts w:ascii="Calibri" w:hAnsi="Calibri"/>
                <w:b w:val="0"/>
                <w:i w:val="0"/>
                <w:color w:val="101828"/>
                <w:sz w:val="14"/>
              </w:rPr>
              <w:t>Desktop filter bar with the create action.</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5285"/>
            <w:tcMar>
              <w:top w:w="60" w:type="dxa"/>
              <w:start w:w="110" w:type="dxa"/>
              <w:bottom w:w="60" w:type="dxa"/>
              <w:end w:w="110" w:type="dxa"/>
            </w:tcMar>
            <w:shd w:val="clear" w:color="auto" w:fill="F4F7FB"/>
          </w:tcPr>
          <w:p>
            <w:pPr>
              <w:spacing w:after="0"/>
            </w:pPr>
            <w:r/>
            <w:r>
              <w:rPr>
                <w:rFonts w:ascii="Calibri" w:hAnsi="Calibri"/>
                <w:b w:val="0"/>
                <w:i w:val="0"/>
                <w:color w:val="101828"/>
                <w:sz w:val="14"/>
              </w:rPr>
              <w:t>On desktop the filter is a row of counts rather than a segmented control, because four segments plus a page title plus a primary action does not fit one line at 1440 px with the left nav present.</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(7) Ajo table</w:t>
            </w:r>
          </w:p>
        </w:tc>
        <w:tc>
          <w:tcPr>
            <w:tcW w:type="dxa" w:w="2866"/>
            <w:tcMar>
              <w:top w:w="60" w:type="dxa"/>
              <w:start w:w="110" w:type="dxa"/>
              <w:bottom w:w="60" w:type="dxa"/>
              <w:end w:w="110" w:type="dxa"/>
            </w:tcMar>
          </w:tcPr>
          <w:p>
            <w:pPr>
              <w:spacing w:after="0"/>
            </w:pPr>
            <w:r/>
            <w:r>
              <w:rPr>
                <w:rFonts w:ascii="Calibri" w:hAnsi="Calibri"/>
                <w:b w:val="0"/>
                <w:i w:val="0"/>
                <w:color w:val="101828"/>
                <w:sz w:val="14"/>
              </w:rPr>
              <w:t>Ajo, state, round, due, position, projected turnover round.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5285"/>
            <w:tcMar>
              <w:top w:w="60" w:type="dxa"/>
              <w:start w:w="110" w:type="dxa"/>
              <w:bottom w:w="60" w:type="dxa"/>
              <w:end w:w="110" w:type="dxa"/>
            </w:tcMar>
          </w:tcPr>
          <w:p>
            <w:pPr>
              <w:spacing w:after="0"/>
            </w:pPr>
            <w:r/>
            <w:r>
              <w:rPr>
                <w:rFonts w:ascii="Calibri" w:hAnsi="Calibri"/>
                <w:b w:val="0"/>
                <w:i w:val="0"/>
                <w:color w:val="101828"/>
                <w:sz w:val="14"/>
              </w:rPr>
              <w:t>State names are the CANONICAL.md state machine values, rendered in title case. The table shows the projected turnover round so a member can see how long they are in for without opening each Ajo.</w:t>
            </w:r>
          </w:p>
        </w:tc>
      </w:tr>
    </w:tbl>
    <w:p>
      <w:pPr>
        <w:spacing w:after="80"/>
      </w:pPr>
    </w:p>
    <w:p>
      <w:pPr>
        <w:pStyle w:val="Heading2"/>
      </w:pPr>
      <w:r>
        <w:rPr>
          <w:rFonts w:ascii="Calibri" w:hAnsi="Calibri"/>
          <w:b/>
          <w:i w:val="0"/>
          <w:color w:val="146EF5"/>
          <w:sz w:val="29"/>
        </w:rPr>
        <w:t>6.12 Create Ajo wizard — SCR-MOB-05</w:t>
      </w:r>
    </w:p>
    <w:p>
      <w:r>
        <w:rPr>
          <w:rFonts w:ascii="Calibri" w:hAnsi="Calibri"/>
          <w:b w:val="0"/>
          <w:i w:val="0"/>
          <w:color w:val="101828"/>
          <w:sz w:val="21"/>
        </w:rPr>
        <w:t>Seven steps that turn an intention into an Ajo with a locked schedule. It is the longest flow in the product and the only one where a mistake is expensive, because an activated Ajo cannot be edited: positions are locked, the frequency is fixed, and the contribution amount is what every member will be charged. Every step therefore shows its consequence before the person commits, and the final step shows the whole arrangement in the same form a member will see it later.</w:t>
      </w:r>
    </w:p>
    <w:p>
      <w:pPr>
        <w:spacing w:before="140" w:after="180"/>
        <w:ind w:left="144"/>
        <w:shd w:val="clear" w:color="auto" w:fill="EFF6FF"/>
        <w:pBdr>
          <w:left w:val="single" w:sz="18" w:space="6" w:color="146EF5"/>
        </w:pBdr>
      </w:pPr>
      <w:r>
        <w:rPr>
          <w:rFonts w:ascii="Calibri" w:hAnsi="Calibri"/>
          <w:b/>
          <w:color w:val="146EF5"/>
          <w:sz w:val="19"/>
        </w:rPr>
        <w:t xml:space="preserve">One desktop frame for all seven steps  </w:t>
      </w:r>
      <w:r>
        <w:rPr>
          <w:rFonts w:ascii="Calibri" w:hAnsi="Calibri"/>
          <w:b w:val="0"/>
          <w:i w:val="0"/>
          <w:color w:val="0B1F3A"/>
          <w:sz w:val="19"/>
        </w:rPr>
        <w:t>The desktop wizard chrome — progress rail, step body width, footer and its actions — is identical across the seven steps, so it is drawn once here rather than seven times. The step body is the only thing that changes, and the table below gives the step bodies, in wireframe body form, followed by the full region table. This is a drawing economy, not a specification economy: each of the seven steps is a distinct screen and each gets its own region table in 6.12.4.</w:t>
      </w:r>
    </w:p>
    <w:p>
      <w:pPr>
        <w:pStyle w:val="Heading3"/>
      </w:pPr>
      <w:r>
        <w:rPr>
          <w:rFonts w:ascii="Calibri" w:hAnsi="Calibri"/>
          <w:b/>
          <w:i w:val="0"/>
          <w:color w:val="0B1F3A"/>
          <w:sz w:val="24"/>
        </w:rPr>
        <w:t>6.12.1 Wireframe</w:t>
      </w:r>
    </w:p>
    <w:p>
      <w:r>
        <w:rPr>
          <w:rFonts w:ascii="Calibri" w:hAnsi="Calibri"/>
          <w:b/>
          <w:color w:val="101828"/>
          <w:sz w:val="21"/>
        </w:rPr>
        <w:t>Mobile — 375 px.</w:t>
      </w:r>
      <w:r>
        <w:rPr>
          <w:rFonts w:ascii="Calibri" w:hAnsi="Calibri"/>
          <w:b w:val="0"/>
          <w:i w:val="0"/>
          <w:color w:val="101828"/>
          <w:sz w:val="21"/>
        </w:rPr>
        <w:t xml:space="preserve"> The step body sits between a fixed progress header and a fixed step navigation bar, so the body scrolls and the chrome does not. On a 375 px screen the body must fit in 375 minus 32 of gutters, which is the reason the step bodies below are single-column and short.</w:t>
      </w:r>
    </w:p>
    <w:p>
      <w:pPr>
        <w:spacing w:before="0" w:after="0" w:line="240" w:lineRule="auto"/>
        <w:ind w:left="230"/>
        <w:shd w:val="clear" w:color="auto" w:fill="F7F9FC"/>
        <w:pBdr>
          <w:left w:val="single" w:sz="4" w:space="6" w:color="D0D5DD"/>
        </w:pBdr>
      </w:pPr>
      <w:r>
        <w:rPr>
          <w:rFonts w:ascii="Consolas" w:hAnsi="Consolas"/>
          <w:color w:val="0B1F3A"/>
          <w:sz w:val="16"/>
        </w:rPr>
        <w:t>+-- (1) PROGRESS --------------------------+</w:t>
      </w:r>
    </w:p>
    <w:p>
      <w:pPr>
        <w:spacing w:before="0" w:after="0" w:line="240" w:lineRule="auto"/>
        <w:ind w:left="230"/>
        <w:shd w:val="clear" w:color="auto" w:fill="F7F9FC"/>
        <w:pBdr>
          <w:left w:val="single" w:sz="4" w:space="6" w:color="D0D5DD"/>
        </w:pBdr>
      </w:pPr>
      <w:r>
        <w:rPr>
          <w:rFonts w:ascii="Consolas" w:hAnsi="Consolas"/>
          <w:color w:val="0B1F3A"/>
          <w:sz w:val="16"/>
        </w:rPr>
        <w:t>| Step 3 of 7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43%          |</w:t>
      </w:r>
    </w:p>
    <w:p>
      <w:pPr>
        <w:spacing w:before="0" w:after="0" w:line="240" w:lineRule="auto"/>
        <w:ind w:left="230"/>
        <w:shd w:val="clear" w:color="auto" w:fill="F7F9FC"/>
        <w:pBdr>
          <w:left w:val="single" w:sz="4" w:space="6" w:color="D0D5DD"/>
        </w:pBdr>
      </w:pPr>
      <w:r>
        <w:rPr>
          <w:rFonts w:ascii="Consolas" w:hAnsi="Consolas"/>
          <w:color w:val="0B1F3A"/>
          <w:sz w:val="16"/>
        </w:rPr>
        <w:t>+-- (2) STEP BODY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How often will you save?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(o) Weekly                        |   |</w:t>
      </w:r>
    </w:p>
    <w:p>
      <w:pPr>
        <w:spacing w:before="0" w:after="0" w:line="240" w:lineRule="auto"/>
        <w:ind w:left="230"/>
        <w:shd w:val="clear" w:color="auto" w:fill="F7F9FC"/>
        <w:pBdr>
          <w:left w:val="single" w:sz="4" w:space="6" w:color="D0D5DD"/>
        </w:pBdr>
      </w:pPr>
      <w:r>
        <w:rPr>
          <w:rFonts w:ascii="Consolas" w:hAnsi="Consolas"/>
          <w:color w:val="0B1F3A"/>
          <w:sz w:val="16"/>
        </w:rPr>
        <w:t>| |      Every Monday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 Monthly                       |   |</w:t>
      </w:r>
    </w:p>
    <w:p>
      <w:pPr>
        <w:spacing w:before="0" w:after="0" w:line="240" w:lineRule="auto"/>
        <w:ind w:left="230"/>
        <w:shd w:val="clear" w:color="auto" w:fill="F7F9FC"/>
        <w:pBdr>
          <w:left w:val="single" w:sz="4" w:space="6" w:color="D0D5DD"/>
        </w:pBdr>
      </w:pPr>
      <w:r>
        <w:rPr>
          <w:rFonts w:ascii="Consolas" w:hAnsi="Consolas"/>
          <w:color w:val="0B1F3A"/>
          <w:sz w:val="16"/>
        </w:rPr>
        <w:t>| |      Same day each month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Weekly rounds are the most        |   |</w:t>
      </w:r>
    </w:p>
    <w:p>
      <w:pPr>
        <w:spacing w:before="0" w:after="0" w:line="240" w:lineRule="auto"/>
        <w:ind w:left="230"/>
        <w:shd w:val="clear" w:color="auto" w:fill="F7F9FC"/>
        <w:pBdr>
          <w:left w:val="single" w:sz="4" w:space="6" w:color="D0D5DD"/>
        </w:pBdr>
      </w:pPr>
      <w:r>
        <w:rPr>
          <w:rFonts w:ascii="Consolas" w:hAnsi="Consolas"/>
          <w:color w:val="0B1F3A"/>
          <w:sz w:val="16"/>
        </w:rPr>
        <w:t>| |  common arrangement.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(3) STEP NAV --------------------------+</w:t>
      </w:r>
    </w:p>
    <w:p>
      <w:pPr>
        <w:spacing w:before="0" w:after="0" w:line="240" w:lineRule="auto"/>
        <w:ind w:left="230"/>
        <w:shd w:val="clear" w:color="auto" w:fill="F7F9FC"/>
        <w:pBdr>
          <w:left w:val="single" w:sz="4" w:space="6" w:color="D0D5DD"/>
        </w:pBdr>
      </w:pPr>
      <w:r>
        <w:rPr>
          <w:rFonts w:ascii="Consolas" w:hAnsi="Consolas"/>
          <w:color w:val="0B1F3A"/>
          <w:sz w:val="16"/>
        </w:rPr>
        <w:t>| &lt; Back                                   |</w:t>
      </w:r>
    </w:p>
    <w:p>
      <w:pPr>
        <w:spacing w:before="0" w:after="0" w:line="240" w:lineRule="auto"/>
        <w:ind w:left="230"/>
        <w:shd w:val="clear" w:color="auto" w:fill="F7F9FC"/>
        <w:pBdr>
          <w:left w:val="single" w:sz="4" w:space="6" w:color="D0D5DD"/>
        </w:pBdr>
      </w:pPr>
      <w:r>
        <w:rPr>
          <w:rFonts w:ascii="Consolas" w:hAnsi="Consolas"/>
          <w:color w:val="0B1F3A"/>
          <w:sz w:val="16"/>
        </w:rPr>
        <w:t>| { Continue }*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The step body is capped at 720 px and left-aligned under the progress rail. It is deliberately narrow: a seven-step commitment form reads badly at full desktop width, and a wide form invites people to scan it.</w:t>
      </w:r>
    </w:p>
    <w:p>
      <w:pPr>
        <w:spacing w:before="0" w:after="0" w:line="240" w:lineRule="auto"/>
        <w:ind w:left="230"/>
        <w:shd w:val="clear" w:color="auto" w:fill="F7F9FC"/>
        <w:pBdr>
          <w:left w:val="single" w:sz="4" w:space="6" w:color="D0D5DD"/>
        </w:pBdr>
      </w:pPr>
      <w:r>
        <w:rPr>
          <w:rFonts w:ascii="Consolas" w:hAnsi="Consolas"/>
          <w:color w:val="0B1F3A"/>
          <w:sz w:val="16"/>
        </w:rPr>
        <w:t>+-- (1) LEFT NAV, INERT ---------------------------------------------------+</w:t>
      </w:r>
    </w:p>
    <w:p>
      <w:pPr>
        <w:spacing w:before="0" w:after="0" w:line="240" w:lineRule="auto"/>
        <w:ind w:left="230"/>
        <w:shd w:val="clear" w:color="auto" w:fill="F7F9FC"/>
        <w:pBdr>
          <w:left w:val="single" w:sz="4" w:space="6" w:color="D0D5DD"/>
        </w:pBdr>
      </w:pPr>
      <w:r>
        <w:rPr>
          <w:rFonts w:ascii="Consolas" w:hAnsi="Consolas"/>
          <w:color w:val="0B1F3A"/>
          <w:sz w:val="16"/>
        </w:rPr>
        <w:t>| Home                                                                     |</w:t>
      </w:r>
    </w:p>
    <w:p>
      <w:pPr>
        <w:spacing w:before="0" w:after="0" w:line="240" w:lineRule="auto"/>
        <w:ind w:left="230"/>
        <w:shd w:val="clear" w:color="auto" w:fill="F7F9FC"/>
        <w:pBdr>
          <w:left w:val="single" w:sz="4" w:space="6" w:color="D0D5DD"/>
        </w:pBdr>
      </w:pPr>
      <w:r>
        <w:rPr>
          <w:rFonts w:ascii="Consolas" w:hAnsi="Consolas"/>
          <w:color w:val="0B1F3A"/>
          <w:sz w:val="16"/>
        </w:rPr>
        <w:t>| My Ajos                                                                  |</w:t>
      </w:r>
    </w:p>
    <w:p>
      <w:pPr>
        <w:spacing w:before="0" w:after="0" w:line="240" w:lineRule="auto"/>
        <w:ind w:left="230"/>
        <w:shd w:val="clear" w:color="auto" w:fill="F7F9FC"/>
        <w:pBdr>
          <w:left w:val="single" w:sz="4" w:space="6" w:color="D0D5DD"/>
        </w:pBdr>
      </w:pPr>
      <w:r>
        <w:rPr>
          <w:rFonts w:ascii="Consolas" w:hAnsi="Consolas"/>
          <w:color w:val="0B1F3A"/>
          <w:sz w:val="16"/>
        </w:rPr>
        <w:t>| Pay                                                                      |</w:t>
      </w:r>
    </w:p>
    <w:p>
      <w:pPr>
        <w:spacing w:before="0" w:after="0" w:line="240" w:lineRule="auto"/>
        <w:ind w:left="230"/>
        <w:shd w:val="clear" w:color="auto" w:fill="F7F9FC"/>
        <w:pBdr>
          <w:left w:val="single" w:sz="4" w:space="6" w:color="D0D5DD"/>
        </w:pBdr>
      </w:pPr>
      <w:r>
        <w:rPr>
          <w:rFonts w:ascii="Consolas" w:hAnsi="Consolas"/>
          <w:color w:val="0B1F3A"/>
          <w:sz w:val="16"/>
        </w:rPr>
        <w:t>| Alerts                                                                   |</w:t>
      </w:r>
    </w:p>
    <w:p>
      <w:pPr>
        <w:spacing w:before="0" w:after="0" w:line="240" w:lineRule="auto"/>
        <w:ind w:left="230"/>
        <w:shd w:val="clear" w:color="auto" w:fill="F7F9FC"/>
        <w:pBdr>
          <w:left w:val="single" w:sz="4" w:space="6" w:color="D0D5DD"/>
        </w:pBdr>
      </w:pPr>
      <w:r>
        <w:rPr>
          <w:rFonts w:ascii="Consolas" w:hAnsi="Consolas"/>
          <w:color w:val="0B1F3A"/>
          <w:sz w:val="16"/>
        </w:rPr>
        <w:t>| Support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The wizard is not in this nav.                                           |</w:t>
      </w:r>
    </w:p>
    <w:p>
      <w:pPr>
        <w:spacing w:before="0" w:after="0" w:line="240" w:lineRule="auto"/>
        <w:ind w:left="230"/>
        <w:shd w:val="clear" w:color="auto" w:fill="F7F9FC"/>
        <w:pBdr>
          <w:left w:val="single" w:sz="4" w:space="6" w:color="D0D5DD"/>
        </w:pBdr>
      </w:pPr>
      <w:r>
        <w:rPr>
          <w:rFonts w:ascii="Consolas" w:hAnsi="Consolas"/>
          <w:color w:val="0B1F3A"/>
          <w:sz w:val="16"/>
        </w:rPr>
        <w:t>| Save and close is in the footer.                                         |</w:t>
      </w:r>
    </w:p>
    <w:p>
      <w:pPr>
        <w:spacing w:before="0" w:after="0" w:line="240" w:lineRule="auto"/>
        <w:ind w:left="230"/>
        <w:shd w:val="clear" w:color="auto" w:fill="F7F9FC"/>
        <w:pBdr>
          <w:left w:val="single" w:sz="4" w:space="6" w:color="D0D5DD"/>
        </w:pBdr>
      </w:pPr>
      <w:r>
        <w:rPr>
          <w:rFonts w:ascii="Consolas" w:hAnsi="Consolas"/>
          <w:color w:val="0B1F3A"/>
          <w:sz w:val="16"/>
        </w:rPr>
        <w:t>+-- (2) PROGRESS RAIL -----------------------------------------------------+</w:t>
      </w:r>
    </w:p>
    <w:p>
      <w:pPr>
        <w:spacing w:before="0" w:after="0" w:line="240" w:lineRule="auto"/>
        <w:ind w:left="230"/>
        <w:shd w:val="clear" w:color="auto" w:fill="F7F9FC"/>
        <w:pBdr>
          <w:left w:val="single" w:sz="4" w:space="6" w:color="D0D5DD"/>
        </w:pBdr>
      </w:pPr>
      <w:r>
        <w:rPr>
          <w:rFonts w:ascii="Consolas" w:hAnsi="Consolas"/>
          <w:color w:val="0B1F3A"/>
          <w:sz w:val="16"/>
        </w:rPr>
        <w:t>| 1  Configure        done                                                 |</w:t>
      </w:r>
    </w:p>
    <w:p>
      <w:pPr>
        <w:spacing w:before="0" w:after="0" w:line="240" w:lineRule="auto"/>
        <w:ind w:left="230"/>
        <w:shd w:val="clear" w:color="auto" w:fill="F7F9FC"/>
        <w:pBdr>
          <w:left w:val="single" w:sz="4" w:space="6" w:color="D0D5DD"/>
        </w:pBdr>
      </w:pPr>
      <w:r>
        <w:rPr>
          <w:rFonts w:ascii="Consolas" w:hAnsi="Consolas"/>
          <w:color w:val="0B1F3A"/>
          <w:sz w:val="16"/>
        </w:rPr>
        <w:t>| 2  Amount           done                                                 |</w:t>
      </w:r>
    </w:p>
    <w:p>
      <w:pPr>
        <w:spacing w:before="0" w:after="0" w:line="240" w:lineRule="auto"/>
        <w:ind w:left="230"/>
        <w:shd w:val="clear" w:color="auto" w:fill="F7F9FC"/>
        <w:pBdr>
          <w:left w:val="single" w:sz="4" w:space="6" w:color="D0D5DD"/>
        </w:pBdr>
      </w:pPr>
      <w:r>
        <w:rPr>
          <w:rFonts w:ascii="Consolas" w:hAnsi="Consolas"/>
          <w:color w:val="0B1F3A"/>
          <w:sz w:val="16"/>
        </w:rPr>
        <w:t>| 3  Frequency        you are here                                         |</w:t>
      </w:r>
    </w:p>
    <w:p>
      <w:pPr>
        <w:spacing w:before="0" w:after="0" w:line="240" w:lineRule="auto"/>
        <w:ind w:left="230"/>
        <w:shd w:val="clear" w:color="auto" w:fill="F7F9FC"/>
        <w:pBdr>
          <w:left w:val="single" w:sz="4" w:space="6" w:color="D0D5DD"/>
        </w:pBdr>
      </w:pPr>
      <w:r>
        <w:rPr>
          <w:rFonts w:ascii="Consolas" w:hAnsi="Consolas"/>
          <w:color w:val="0B1F3A"/>
          <w:sz w:val="16"/>
        </w:rPr>
        <w:t>| 4  Duration                                                              |</w:t>
      </w:r>
    </w:p>
    <w:p>
      <w:pPr>
        <w:spacing w:before="0" w:after="0" w:line="240" w:lineRule="auto"/>
        <w:ind w:left="230"/>
        <w:shd w:val="clear" w:color="auto" w:fill="F7F9FC"/>
        <w:pBdr>
          <w:left w:val="single" w:sz="4" w:space="6" w:color="D0D5DD"/>
        </w:pBdr>
      </w:pPr>
      <w:r>
        <w:rPr>
          <w:rFonts w:ascii="Consolas" w:hAnsi="Consolas"/>
          <w:color w:val="0B1F3A"/>
          <w:sz w:val="16"/>
        </w:rPr>
        <w:t>| 5  Invite members                                                        |</w:t>
      </w:r>
    </w:p>
    <w:p>
      <w:pPr>
        <w:spacing w:before="0" w:after="0" w:line="240" w:lineRule="auto"/>
        <w:ind w:left="230"/>
        <w:shd w:val="clear" w:color="auto" w:fill="F7F9FC"/>
        <w:pBdr>
          <w:left w:val="single" w:sz="4" w:space="6" w:color="D0D5DD"/>
        </w:pBdr>
      </w:pPr>
      <w:r>
        <w:rPr>
          <w:rFonts w:ascii="Consolas" w:hAnsi="Consolas"/>
          <w:color w:val="0B1F3A"/>
          <w:sz w:val="16"/>
        </w:rPr>
        <w:t>| 6  Payout order                                                          |</w:t>
      </w:r>
    </w:p>
    <w:p>
      <w:pPr>
        <w:spacing w:before="0" w:after="0" w:line="240" w:lineRule="auto"/>
        <w:ind w:left="230"/>
        <w:shd w:val="clear" w:color="auto" w:fill="F7F9FC"/>
        <w:pBdr>
          <w:left w:val="single" w:sz="4" w:space="6" w:color="D0D5DD"/>
        </w:pBdr>
      </w:pPr>
      <w:r>
        <w:rPr>
          <w:rFonts w:ascii="Consolas" w:hAnsi="Consolas"/>
          <w:color w:val="0B1F3A"/>
          <w:sz w:val="16"/>
        </w:rPr>
        <w:t>| 7  Review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Completed steps are clickable.                                           |</w:t>
      </w:r>
    </w:p>
    <w:p>
      <w:pPr>
        <w:spacing w:before="0" w:after="0" w:line="240" w:lineRule="auto"/>
        <w:ind w:left="230"/>
        <w:shd w:val="clear" w:color="auto" w:fill="F7F9FC"/>
        <w:pBdr>
          <w:left w:val="single" w:sz="4" w:space="6" w:color="D0D5DD"/>
        </w:pBdr>
      </w:pPr>
      <w:r>
        <w:rPr>
          <w:rFonts w:ascii="Consolas" w:hAnsi="Consolas"/>
          <w:color w:val="0B1F3A"/>
          <w:sz w:val="16"/>
        </w:rPr>
        <w:t>| Steps ahead are inert.                                                   |</w:t>
      </w:r>
    </w:p>
    <w:p>
      <w:pPr>
        <w:spacing w:before="0" w:after="0" w:line="240" w:lineRule="auto"/>
        <w:ind w:left="230"/>
        <w:shd w:val="clear" w:color="auto" w:fill="F7F9FC"/>
        <w:pBdr>
          <w:left w:val="single" w:sz="4" w:space="6" w:color="D0D5DD"/>
        </w:pBdr>
      </w:pPr>
      <w:r>
        <w:rPr>
          <w:rFonts w:ascii="Consolas" w:hAnsi="Consolas"/>
          <w:color w:val="0B1F3A"/>
          <w:sz w:val="16"/>
        </w:rPr>
        <w:t>+-- (3) STEP BODY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How often will you save?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(o) Weekly     Every Monday                                   |       |</w:t>
      </w:r>
    </w:p>
    <w:p>
      <w:pPr>
        <w:spacing w:before="0" w:after="0" w:line="240" w:lineRule="auto"/>
        <w:ind w:left="230"/>
        <w:shd w:val="clear" w:color="auto" w:fill="F7F9FC"/>
        <w:pBdr>
          <w:left w:val="single" w:sz="4" w:space="6" w:color="D0D5DD"/>
        </w:pBdr>
      </w:pPr>
      <w:r>
        <w:rPr>
          <w:rFonts w:ascii="Consolas" w:hAnsi="Consolas"/>
          <w:color w:val="0B1F3A"/>
          <w:sz w:val="16"/>
        </w:rPr>
        <w:t>| |  ( ) Monthly    Same day each month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Weekly rounds are the most common arrangement. A frequency    |       |</w:t>
      </w:r>
    </w:p>
    <w:p>
      <w:pPr>
        <w:spacing w:before="0" w:after="0" w:line="240" w:lineRule="auto"/>
        <w:ind w:left="230"/>
        <w:shd w:val="clear" w:color="auto" w:fill="F7F9FC"/>
        <w:pBdr>
          <w:left w:val="single" w:sz="4" w:space="6" w:color="D0D5DD"/>
        </w:pBdr>
      </w:pPr>
      <w:r>
        <w:rPr>
          <w:rFonts w:ascii="Consolas" w:hAnsi="Consolas"/>
          <w:color w:val="0B1F3A"/>
          <w:sz w:val="16"/>
        </w:rPr>
        <w:t>| |  cannot be changed after the Ajo is activated.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(4) STEP NAV ----------------------------------------------------------+</w:t>
      </w:r>
    </w:p>
    <w:p>
      <w:pPr>
        <w:spacing w:before="0" w:after="0" w:line="240" w:lineRule="auto"/>
        <w:ind w:left="230"/>
        <w:shd w:val="clear" w:color="auto" w:fill="F7F9FC"/>
        <w:pBdr>
          <w:left w:val="single" w:sz="4" w:space="6" w:color="D0D5DD"/>
        </w:pBdr>
      </w:pPr>
      <w:r>
        <w:rPr>
          <w:rFonts w:ascii="Consolas" w:hAnsi="Consolas"/>
          <w:color w:val="0B1F3A"/>
          <w:sz w:val="16"/>
        </w:rPr>
        <w:t>| &lt; Back                                                                   |</w:t>
      </w:r>
    </w:p>
    <w:p>
      <w:pPr>
        <w:spacing w:before="0" w:after="0" w:line="240" w:lineRule="auto"/>
        <w:ind w:left="230"/>
        <w:shd w:val="clear" w:color="auto" w:fill="F7F9FC"/>
        <w:pBdr>
          <w:left w:val="single" w:sz="4" w:space="6" w:color="D0D5DD"/>
        </w:pBdr>
      </w:pPr>
      <w:r>
        <w:rPr>
          <w:rFonts w:ascii="Consolas" w:hAnsi="Consolas"/>
          <w:color w:val="0B1F3A"/>
          <w:sz w:val="16"/>
        </w:rPr>
        <w:t>| Save and close                                                           |</w:t>
      </w:r>
    </w:p>
    <w:p>
      <w:pPr>
        <w:spacing w:before="0" w:after="0" w:line="240" w:lineRule="auto"/>
        <w:ind w:left="230"/>
        <w:shd w:val="clear" w:color="auto" w:fill="F7F9FC"/>
        <w:pBdr>
          <w:left w:val="single" w:sz="4" w:space="6" w:color="D0D5DD"/>
        </w:pBdr>
      </w:pPr>
      <w:r>
        <w:rPr>
          <w:rFonts w:ascii="Consolas" w:hAnsi="Consolas"/>
          <w:color w:val="0B1F3A"/>
          <w:sz w:val="16"/>
        </w:rPr>
        <w:t>| { Continue }*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6.12.2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843"/>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307"/>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 Progress</w:t>
            </w:r>
          </w:p>
        </w:tc>
        <w:tc>
          <w:tcPr>
            <w:tcW w:type="dxa" w:w="1843"/>
            <w:tcMar>
              <w:top w:w="60" w:type="dxa"/>
              <w:start w:w="110" w:type="dxa"/>
              <w:bottom w:w="60" w:type="dxa"/>
              <w:end w:w="110" w:type="dxa"/>
            </w:tcMar>
          </w:tcPr>
          <w:p>
            <w:pPr>
              <w:spacing w:after="0"/>
            </w:pPr>
            <w:r/>
            <w:r>
              <w:rPr>
                <w:rFonts w:ascii="Calibri" w:hAnsi="Calibri"/>
                <w:b w:val="0"/>
                <w:i w:val="0"/>
                <w:color w:val="101828"/>
                <w:sz w:val="14"/>
              </w:rPr>
              <w:t>Step number, step name, and a progress bar.</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307"/>
            <w:tcMar>
              <w:top w:w="60" w:type="dxa"/>
              <w:start w:w="110" w:type="dxa"/>
              <w:bottom w:w="60" w:type="dxa"/>
              <w:end w:w="110" w:type="dxa"/>
            </w:tcMar>
          </w:tcPr>
          <w:p>
            <w:pPr>
              <w:spacing w:after="0"/>
            </w:pPr>
            <w:r/>
            <w:r>
              <w:rPr>
                <w:rFonts w:ascii="Calibri" w:hAnsi="Calibri"/>
                <w:b w:val="0"/>
                <w:i w:val="0"/>
                <w:color w:val="101828"/>
                <w:sz w:val="14"/>
              </w:rPr>
              <w:t xml:space="preserve">The bar is decorative and is duplicated by </w:t>
            </w:r>
            <w:r>
              <w:rPr>
                <w:rFonts w:ascii="Calibri" w:hAnsi="Calibri"/>
                <w:i/>
                <w:color w:val="101828"/>
                <w:sz w:val="14"/>
              </w:rPr>
              <w:t>Step 3 of 7</w:t>
            </w:r>
            <w:r>
              <w:rPr>
                <w:rFonts w:ascii="Calibri" w:hAnsi="Calibri"/>
                <w:b w:val="0"/>
                <w:i w:val="0"/>
                <w:color w:val="101828"/>
                <w:sz w:val="14"/>
              </w:rPr>
              <w:t xml:space="preserve"> as text, so progress is never conveyed by a shape alone.</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Step body</w:t>
            </w:r>
          </w:p>
        </w:tc>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4"/>
              </w:rPr>
              <w:t>One decision per step. Never two.</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307"/>
            <w:tcMar>
              <w:top w:w="60" w:type="dxa"/>
              <w:start w:w="110" w:type="dxa"/>
              <w:bottom w:w="60" w:type="dxa"/>
              <w:end w:w="110" w:type="dxa"/>
            </w:tcMar>
            <w:shd w:val="clear" w:color="auto" w:fill="F4F7FB"/>
          </w:tcPr>
          <w:p>
            <w:pPr>
              <w:spacing w:after="0"/>
            </w:pPr>
            <w:r/>
            <w:r>
              <w:rPr>
                <w:rFonts w:ascii="Calibri" w:hAnsi="Calibri"/>
                <w:b w:val="0"/>
                <w:i w:val="0"/>
                <w:color w:val="101828"/>
                <w:sz w:val="14"/>
              </w:rPr>
              <w:t>A step that needs a second decision is a second step. Combining amount and frequency is the specific temptation this structure refuses, because it produces a form people fill in wrong.</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 Consequence text</w:t>
            </w:r>
          </w:p>
        </w:tc>
        <w:tc>
          <w:tcPr>
            <w:tcW w:type="dxa" w:w="1843"/>
            <w:tcMar>
              <w:top w:w="60" w:type="dxa"/>
              <w:start w:w="110" w:type="dxa"/>
              <w:bottom w:w="60" w:type="dxa"/>
              <w:end w:w="110" w:type="dxa"/>
            </w:tcMar>
          </w:tcPr>
          <w:p>
            <w:pPr>
              <w:spacing w:after="0"/>
            </w:pPr>
            <w:r/>
            <w:r>
              <w:rPr>
                <w:rFonts w:ascii="Calibri" w:hAnsi="Calibri"/>
                <w:b w:val="0"/>
                <w:i w:val="0"/>
                <w:color w:val="101828"/>
                <w:sz w:val="14"/>
              </w:rPr>
              <w:t>Plain-language effect of the choice, under the control.</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307"/>
            <w:tcMar>
              <w:top w:w="60" w:type="dxa"/>
              <w:start w:w="110" w:type="dxa"/>
              <w:bottom w:w="60" w:type="dxa"/>
              <w:end w:w="110" w:type="dxa"/>
            </w:tcMar>
          </w:tcPr>
          <w:p>
            <w:pPr>
              <w:spacing w:after="0"/>
            </w:pPr>
            <w:r/>
            <w:r>
              <w:rPr>
                <w:rFonts w:ascii="Calibri" w:hAnsi="Calibri"/>
                <w:i/>
                <w:color w:val="101828"/>
                <w:sz w:val="14"/>
              </w:rPr>
              <w:t>Weekly, every Monday</w:t>
            </w:r>
            <w:r>
              <w:rPr>
                <w:rFonts w:ascii="Calibri" w:hAnsi="Calibri"/>
                <w:b w:val="0"/>
                <w:i w:val="0"/>
                <w:color w:val="101828"/>
                <w:sz w:val="14"/>
              </w:rPr>
              <w:t xml:space="preserve"> rather than </w:t>
            </w:r>
            <w:r>
              <w:rPr>
                <w:rFonts w:ascii="Calibri" w:hAnsi="Calibri"/>
                <w:i/>
                <w:color w:val="101828"/>
                <w:sz w:val="14"/>
              </w:rPr>
              <w:t>7-day period</w:t>
            </w:r>
            <w:r>
              <w:rPr>
                <w:rFonts w:ascii="Calibri" w:hAnsi="Calibri"/>
                <w:b w:val="0"/>
                <w:i w:val="0"/>
                <w:color w:val="101828"/>
                <w:sz w:val="14"/>
              </w:rPr>
              <w:t>. The person is deciding a day of their week, not a duration.</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 Step navigation</w:t>
            </w:r>
          </w:p>
        </w:tc>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4"/>
              </w:rPr>
              <w:t>Back, and a Continue action labelled for the step.</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307"/>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label names the next step, not the action, so the button is </w:t>
            </w:r>
            <w:r>
              <w:rPr>
                <w:rFonts w:ascii="Calibri" w:hAnsi="Calibri"/>
                <w:i/>
                <w:color w:val="101828"/>
                <w:sz w:val="14"/>
              </w:rPr>
              <w:t>Continue</w:t>
            </w:r>
            <w:r>
              <w:rPr>
                <w:rFonts w:ascii="Calibri" w:hAnsi="Calibri"/>
                <w:b w:val="0"/>
                <w:i w:val="0"/>
                <w:color w:val="101828"/>
                <w:sz w:val="14"/>
              </w:rPr>
              <w:t xml:space="preserve"> to </w:t>
            </w:r>
            <w:r>
              <w:rPr>
                <w:rFonts w:ascii="Calibri" w:hAnsi="Calibri"/>
                <w:i/>
                <w:color w:val="101828"/>
                <w:sz w:val="14"/>
              </w:rPr>
              <w:t>Duration</w:t>
            </w:r>
            <w:r>
              <w:rPr>
                <w:rFonts w:ascii="Calibri" w:hAnsi="Calibri"/>
                <w:b w:val="0"/>
                <w:i w:val="0"/>
                <w:color w:val="101828"/>
                <w:sz w:val="14"/>
              </w:rPr>
              <w:t xml:space="preserve"> rather than </w:t>
            </w:r>
            <w:r>
              <w:rPr>
                <w:rFonts w:ascii="Calibri" w:hAnsi="Calibri"/>
                <w:i/>
                <w:color w:val="101828"/>
                <w:sz w:val="14"/>
              </w:rPr>
              <w:t>Next</w:t>
            </w:r>
            <w:r>
              <w:rPr>
                <w:rFonts w:ascii="Calibri" w:hAnsi="Calibri"/>
                <w:b w:val="0"/>
                <w:i w:val="0"/>
                <w:color w:val="101828"/>
                <w:sz w:val="14"/>
              </w:rPr>
              <w:t xml:space="preserve">. </w:t>
            </w:r>
            <w:r>
              <w:rPr>
                <w:rFonts w:ascii="Calibri" w:hAnsi="Calibri"/>
                <w:b/>
                <w:color w:val="101828"/>
                <w:sz w:val="14"/>
              </w:rPr>
              <w:t>Continue is disabled until the step is valid</w:t>
            </w:r>
            <w:r>
              <w:rPr>
                <w:rFonts w:ascii="Calibri" w:hAnsi="Calibri"/>
                <w:b w:val="0"/>
                <w:i w:val="0"/>
                <w:color w:val="101828"/>
                <w:sz w:val="14"/>
              </w:rPr>
              <w:t>, and disabled is a real disabled, not a greyed button that does nothing.</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(5) Progress rail</w:t>
            </w:r>
          </w:p>
        </w:tc>
        <w:tc>
          <w:tcPr>
            <w:tcW w:type="dxa" w:w="1843"/>
            <w:tcMar>
              <w:top w:w="60" w:type="dxa"/>
              <w:start w:w="110" w:type="dxa"/>
              <w:bottom w:w="60" w:type="dxa"/>
              <w:end w:w="110" w:type="dxa"/>
            </w:tcMar>
          </w:tcPr>
          <w:p>
            <w:pPr>
              <w:spacing w:after="0"/>
            </w:pPr>
            <w:r/>
            <w:r>
              <w:rPr>
                <w:rFonts w:ascii="Calibri" w:hAnsi="Calibri"/>
                <w:b w:val="0"/>
                <w:i w:val="0"/>
                <w:color w:val="101828"/>
                <w:sz w:val="14"/>
              </w:rPr>
              <w:t>Desktop left rail listing all seven steps.</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307"/>
            <w:tcMar>
              <w:top w:w="60" w:type="dxa"/>
              <w:start w:w="110" w:type="dxa"/>
              <w:bottom w:w="60" w:type="dxa"/>
              <w:end w:w="110" w:type="dxa"/>
            </w:tcMar>
          </w:tcPr>
          <w:p>
            <w:pPr>
              <w:spacing w:after="0"/>
            </w:pPr>
            <w:r/>
            <w:r>
              <w:rPr>
                <w:rFonts w:ascii="Calibri" w:hAnsi="Calibri"/>
                <w:b w:val="0"/>
                <w:i w:val="0"/>
                <w:color w:val="101828"/>
                <w:sz w:val="14"/>
              </w:rPr>
              <w:t>Completed steps are clickable so a person can go back without pressing Back six times. Steps ahead are inert, because the wizard validates in order and a later step may depend on an earlier answer.</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(6) Inert app nav</w:t>
            </w:r>
          </w:p>
        </w:tc>
        <w:tc>
          <w:tcPr>
            <w:tcW w:type="dxa" w:w="1843"/>
            <w:tcMar>
              <w:top w:w="60" w:type="dxa"/>
              <w:start w:w="110" w:type="dxa"/>
              <w:bottom w:w="60" w:type="dxa"/>
              <w:end w:w="110" w:type="dxa"/>
            </w:tcMar>
            <w:shd w:val="clear" w:color="auto" w:fill="F4F7FB"/>
          </w:tcPr>
          <w:p>
            <w:pPr>
              <w:spacing w:after="0"/>
            </w:pPr>
            <w:r/>
            <w:r>
              <w:rPr>
                <w:rFonts w:ascii="Calibri" w:hAnsi="Calibri"/>
                <w:b w:val="0"/>
                <w:i w:val="0"/>
                <w:color w:val="101828"/>
                <w:sz w:val="14"/>
              </w:rPr>
              <w:t>Desktop left navigation present but disabled during the wizard.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P2</w:t>
            </w:r>
          </w:p>
        </w:tc>
        <w:tc>
          <w:tcPr>
            <w:tcW w:type="dxa" w:w="6307"/>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Leaving the wizard is allowed and the draft is kept. The nav is disabled so a person cannot lose an unsaved answer by a mis-click, and a </w:t>
            </w:r>
            <w:r>
              <w:rPr>
                <w:rFonts w:ascii="Calibri" w:hAnsi="Calibri"/>
                <w:b/>
                <w:color w:val="101828"/>
                <w:sz w:val="14"/>
              </w:rPr>
              <w:t>Save and close</w:t>
            </w:r>
            <w:r>
              <w:rPr>
                <w:rFonts w:ascii="Calibri" w:hAnsi="Calibri"/>
                <w:b w:val="0"/>
                <w:i w:val="0"/>
                <w:color w:val="101828"/>
                <w:sz w:val="14"/>
              </w:rPr>
              <w:t xml:space="preserve"> action is offered in the footer instead.</w:t>
            </w:r>
          </w:p>
        </w:tc>
      </w:tr>
    </w:tbl>
    <w:p>
      <w:pPr>
        <w:spacing w:after="80"/>
      </w:pPr>
    </w:p>
    <w:p>
      <w:r>
        <w:rPr>
          <w:rFonts w:ascii="Calibri" w:hAnsi="Calibri"/>
          <w:b w:val="0"/>
          <w:i w:val="0"/>
          <w:color w:val="101828"/>
          <w:sz w:val="21"/>
        </w:rPr>
        <w:t>The step list is fixed and comes from section 2, flow 2.6. Each step, its decision, its guard, and what it is allowed to change if the person presses Back are listed together, because a wizard is only safe when the reversibility of each step is as well understood as the step itself. The step bodies follow at 6.12.3 to 6.12.9, one heading per step.</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Step</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Screen</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4"/>
              </w:rPr>
              <w:t>Decision</w:t>
            </w:r>
          </w:p>
        </w:tc>
        <w:tc>
          <w:tcPr>
            <w:tcW w:type="dxa" w:w="3096"/>
            <w:shd w:val="clear" w:color="auto" w:fill="0B1F3A"/>
            <w:tcMar>
              <w:top w:w="60" w:type="dxa"/>
              <w:start w:w="110" w:type="dxa"/>
              <w:bottom w:w="60" w:type="dxa"/>
              <w:end w:w="110" w:type="dxa"/>
            </w:tcMar>
          </w:tcPr>
          <w:p>
            <w:pPr>
              <w:spacing w:after="0"/>
            </w:pPr>
            <w:r/>
            <w:r>
              <w:rPr>
                <w:rFonts w:ascii="Calibri" w:hAnsi="Calibri"/>
                <w:b/>
                <w:i w:val="0"/>
                <w:color w:val="FFFFFF"/>
                <w:sz w:val="14"/>
              </w:rPr>
              <w:t>Guard to continue</w:t>
            </w:r>
          </w:p>
        </w:tc>
        <w:tc>
          <w:tcPr>
            <w:tcW w:type="dxa" w:w="2894"/>
            <w:shd w:val="clear" w:color="auto" w:fill="0B1F3A"/>
            <w:tcMar>
              <w:top w:w="60" w:type="dxa"/>
              <w:start w:w="110" w:type="dxa"/>
              <w:bottom w:w="60" w:type="dxa"/>
              <w:end w:w="110" w:type="dxa"/>
            </w:tcMar>
          </w:tcPr>
          <w:p>
            <w:pPr>
              <w:spacing w:after="0"/>
            </w:pPr>
            <w:r/>
            <w:r>
              <w:rPr>
                <w:rFonts w:ascii="Calibri" w:hAnsi="Calibri"/>
                <w:b/>
                <w:i w:val="0"/>
                <w:color w:val="FFFFFF"/>
                <w:sz w:val="14"/>
              </w:rPr>
              <w:t>Editable after activation</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w:t>
            </w:r>
          </w:p>
        </w:tc>
        <w:tc>
          <w:tcPr>
            <w:tcW w:type="dxa" w:w="605"/>
            <w:tcMar>
              <w:top w:w="60" w:type="dxa"/>
              <w:start w:w="110" w:type="dxa"/>
              <w:bottom w:w="60" w:type="dxa"/>
              <w:end w:w="110" w:type="dxa"/>
            </w:tcMar>
          </w:tcPr>
          <w:p>
            <w:pPr>
              <w:spacing w:after="0"/>
            </w:pPr>
            <w:r/>
            <w:r>
              <w:rPr>
                <w:rFonts w:ascii="Calibri" w:hAnsi="Calibri"/>
                <w:b w:val="0"/>
                <w:i w:val="0"/>
                <w:color w:val="101828"/>
                <w:sz w:val="14"/>
              </w:rPr>
              <w:t>Configure</w:t>
            </w:r>
          </w:p>
        </w:tc>
        <w:tc>
          <w:tcPr>
            <w:tcW w:type="dxa" w:w="2160"/>
            <w:tcMar>
              <w:top w:w="60" w:type="dxa"/>
              <w:start w:w="110" w:type="dxa"/>
              <w:bottom w:w="60" w:type="dxa"/>
              <w:end w:w="110" w:type="dxa"/>
            </w:tcMar>
          </w:tcPr>
          <w:p>
            <w:pPr>
              <w:spacing w:after="0"/>
            </w:pPr>
            <w:r/>
            <w:r>
              <w:rPr>
                <w:rFonts w:ascii="Calibri" w:hAnsi="Calibri"/>
                <w:b w:val="0"/>
                <w:i w:val="0"/>
                <w:color w:val="101828"/>
                <w:sz w:val="14"/>
              </w:rPr>
              <w:t>Ajo name, number of positions, currency, start date</w:t>
            </w:r>
          </w:p>
        </w:tc>
        <w:tc>
          <w:tcPr>
            <w:tcW w:type="dxa" w:w="3096"/>
            <w:tcMar>
              <w:top w:w="60" w:type="dxa"/>
              <w:start w:w="110" w:type="dxa"/>
              <w:bottom w:w="60" w:type="dxa"/>
              <w:end w:w="110" w:type="dxa"/>
            </w:tcMar>
          </w:tcPr>
          <w:p>
            <w:pPr>
              <w:spacing w:after="0"/>
            </w:pPr>
            <w:r/>
            <w:r>
              <w:rPr>
                <w:rFonts w:ascii="Calibri" w:hAnsi="Calibri"/>
                <w:b w:val="0"/>
                <w:i w:val="0"/>
                <w:color w:val="101828"/>
                <w:sz w:val="14"/>
              </w:rPr>
              <w:t>Name 3-60 chars, at least 2 positions, NGN only, start date not in the past</w:t>
            </w:r>
          </w:p>
        </w:tc>
        <w:tc>
          <w:tcPr>
            <w:tcW w:type="dxa" w:w="2894"/>
            <w:tcMar>
              <w:top w:w="60" w:type="dxa"/>
              <w:start w:w="110" w:type="dxa"/>
              <w:bottom w:w="60" w:type="dxa"/>
              <w:end w:w="110" w:type="dxa"/>
            </w:tcMar>
          </w:tcPr>
          <w:p>
            <w:pPr>
              <w:spacing w:after="0"/>
            </w:pPr>
            <w:r/>
            <w:r>
              <w:rPr>
                <w:rFonts w:ascii="Calibri" w:hAnsi="Calibri"/>
                <w:b w:val="0"/>
                <w:i w:val="0"/>
                <w:color w:val="101828"/>
                <w:sz w:val="14"/>
              </w:rPr>
              <w:t>No. The Ajo is identified by this data and the schedule is derived from it.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Amount</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4"/>
              </w:rPr>
              <w:t>Contribution per member per round</w:t>
            </w:r>
          </w:p>
        </w:tc>
        <w:tc>
          <w:tcPr>
            <w:tcW w:type="dxa" w:w="3096"/>
            <w:tcMar>
              <w:top w:w="60" w:type="dxa"/>
              <w:start w:w="110" w:type="dxa"/>
              <w:bottom w:w="60" w:type="dxa"/>
              <w:end w:w="110" w:type="dxa"/>
            </w:tcMar>
            <w:shd w:val="clear" w:color="auto" w:fill="F4F7FB"/>
          </w:tcPr>
          <w:p>
            <w:pPr>
              <w:spacing w:after="0"/>
            </w:pPr>
            <w:r/>
            <w:r>
              <w:rPr>
                <w:rFonts w:ascii="Calibri" w:hAnsi="Calibri"/>
                <w:b w:val="0"/>
                <w:i w:val="0"/>
                <w:color w:val="101828"/>
                <w:sz w:val="14"/>
              </w:rPr>
              <w:t>NGN 100.00 to NGN 5,000,000, whole naira</w:t>
            </w:r>
          </w:p>
        </w:tc>
        <w:tc>
          <w:tcPr>
            <w:tcW w:type="dxa" w:w="2894"/>
            <w:tcMar>
              <w:top w:w="60" w:type="dxa"/>
              <w:start w:w="110" w:type="dxa"/>
              <w:bottom w:w="60" w:type="dxa"/>
              <w:end w:w="110" w:type="dxa"/>
            </w:tcMar>
            <w:shd w:val="clear" w:color="auto" w:fill="F4F7FB"/>
          </w:tcPr>
          <w:p>
            <w:pPr>
              <w:spacing w:after="0"/>
            </w:pPr>
            <w:r/>
            <w:r>
              <w:rPr>
                <w:rFonts w:ascii="Calibri" w:hAnsi="Calibri"/>
                <w:b w:val="0"/>
                <w:i w:val="0"/>
                <w:color w:val="101828"/>
                <w:sz w:val="14"/>
              </w:rPr>
              <w:t>No. This is the figure every member is charged.</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w:t>
            </w:r>
          </w:p>
        </w:tc>
        <w:tc>
          <w:tcPr>
            <w:tcW w:type="dxa" w:w="605"/>
            <w:tcMar>
              <w:top w:w="60" w:type="dxa"/>
              <w:start w:w="110" w:type="dxa"/>
              <w:bottom w:w="60" w:type="dxa"/>
              <w:end w:w="110" w:type="dxa"/>
            </w:tcMar>
          </w:tcPr>
          <w:p>
            <w:pPr>
              <w:spacing w:after="0"/>
            </w:pPr>
            <w:r/>
            <w:r>
              <w:rPr>
                <w:rFonts w:ascii="Calibri" w:hAnsi="Calibri"/>
                <w:b w:val="0"/>
                <w:i w:val="0"/>
                <w:color w:val="101828"/>
                <w:sz w:val="14"/>
              </w:rPr>
              <w:t>Frequency</w:t>
            </w:r>
          </w:p>
        </w:tc>
        <w:tc>
          <w:tcPr>
            <w:tcW w:type="dxa" w:w="2160"/>
            <w:tcMar>
              <w:top w:w="60" w:type="dxa"/>
              <w:start w:w="110" w:type="dxa"/>
              <w:bottom w:w="60" w:type="dxa"/>
              <w:end w:w="110" w:type="dxa"/>
            </w:tcMar>
          </w:tcPr>
          <w:p>
            <w:pPr>
              <w:spacing w:after="0"/>
            </w:pPr>
            <w:r/>
            <w:r>
              <w:rPr>
                <w:rFonts w:ascii="Calibri" w:hAnsi="Calibri"/>
                <w:b w:val="0"/>
                <w:i w:val="0"/>
                <w:color w:val="101828"/>
                <w:sz w:val="14"/>
              </w:rPr>
              <w:t>Weekly or monthly</w:t>
            </w:r>
          </w:p>
        </w:tc>
        <w:tc>
          <w:tcPr>
            <w:tcW w:type="dxa" w:w="3096"/>
            <w:tcMar>
              <w:top w:w="60" w:type="dxa"/>
              <w:start w:w="110" w:type="dxa"/>
              <w:bottom w:w="60" w:type="dxa"/>
              <w:end w:w="110" w:type="dxa"/>
            </w:tcMar>
          </w:tcPr>
          <w:p>
            <w:pPr>
              <w:spacing w:after="0"/>
            </w:pPr>
            <w:r/>
            <w:r>
              <w:rPr>
                <w:rFonts w:ascii="Calibri" w:hAnsi="Calibri"/>
                <w:b w:val="0"/>
                <w:i w:val="0"/>
                <w:color w:val="101828"/>
                <w:sz w:val="14"/>
              </w:rPr>
              <w:t>Exactly one selected</w:t>
            </w:r>
          </w:p>
        </w:tc>
        <w:tc>
          <w:tcPr>
            <w:tcW w:type="dxa" w:w="2894"/>
            <w:tcMar>
              <w:top w:w="60" w:type="dxa"/>
              <w:start w:w="110" w:type="dxa"/>
              <w:bottom w:w="60" w:type="dxa"/>
              <w:end w:w="110" w:type="dxa"/>
            </w:tcMar>
          </w:tcPr>
          <w:p>
            <w:pPr>
              <w:spacing w:after="0"/>
            </w:pPr>
            <w:r/>
            <w:r>
              <w:rPr>
                <w:rFonts w:ascii="Calibri" w:hAnsi="Calibri"/>
                <w:b w:val="0"/>
                <w:i w:val="0"/>
                <w:color w:val="101828"/>
                <w:sz w:val="14"/>
              </w:rPr>
              <w:t>No. Changing it changes every due date.</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Duration</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4"/>
              </w:rPr>
              <w:t>Rounds, defaulting to the position count</w:t>
            </w:r>
          </w:p>
        </w:tc>
        <w:tc>
          <w:tcPr>
            <w:tcW w:type="dxa" w:w="3096"/>
            <w:tcMar>
              <w:top w:w="60" w:type="dxa"/>
              <w:start w:w="110" w:type="dxa"/>
              <w:bottom w:w="60" w:type="dxa"/>
              <w:end w:w="110" w:type="dxa"/>
            </w:tcMar>
            <w:shd w:val="clear" w:color="auto" w:fill="F4F7FB"/>
          </w:tcPr>
          <w:p>
            <w:pPr>
              <w:spacing w:after="0"/>
            </w:pPr>
            <w:r/>
            <w:r>
              <w:rPr>
                <w:rFonts w:ascii="Calibri" w:hAnsi="Calibri"/>
                <w:b w:val="0"/>
                <w:i w:val="0"/>
                <w:color w:val="101828"/>
                <w:sz w:val="14"/>
              </w:rPr>
              <w:t>1 to 52, and the derived end date is within 5 years</w:t>
            </w:r>
          </w:p>
        </w:tc>
        <w:tc>
          <w:tcPr>
            <w:tcW w:type="dxa" w:w="2894"/>
            <w:tcMar>
              <w:top w:w="60" w:type="dxa"/>
              <w:start w:w="110" w:type="dxa"/>
              <w:bottom w:w="60" w:type="dxa"/>
              <w:end w:w="110" w:type="dxa"/>
            </w:tcMar>
            <w:shd w:val="clear" w:color="auto" w:fill="F4F7FB"/>
          </w:tcPr>
          <w:p>
            <w:pPr>
              <w:spacing w:after="0"/>
            </w:pPr>
            <w:r/>
            <w:r>
              <w:rPr>
                <w:rFonts w:ascii="Calibri" w:hAnsi="Calibri"/>
                <w:b w:val="0"/>
                <w:i w:val="0"/>
                <w:color w:val="101828"/>
                <w:sz w:val="14"/>
              </w:rPr>
              <w:t>No.</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5</w:t>
            </w:r>
          </w:p>
        </w:tc>
        <w:tc>
          <w:tcPr>
            <w:tcW w:type="dxa" w:w="605"/>
            <w:tcMar>
              <w:top w:w="60" w:type="dxa"/>
              <w:start w:w="110" w:type="dxa"/>
              <w:bottom w:w="60" w:type="dxa"/>
              <w:end w:w="110" w:type="dxa"/>
            </w:tcMar>
          </w:tcPr>
          <w:p>
            <w:pPr>
              <w:spacing w:after="0"/>
            </w:pPr>
            <w:r/>
            <w:r>
              <w:rPr>
                <w:rFonts w:ascii="Calibri" w:hAnsi="Calibri"/>
                <w:b w:val="0"/>
                <w:i w:val="0"/>
                <w:color w:val="101828"/>
                <w:sz w:val="14"/>
              </w:rPr>
              <w:t>Invite members</w:t>
            </w:r>
          </w:p>
        </w:tc>
        <w:tc>
          <w:tcPr>
            <w:tcW w:type="dxa" w:w="2160"/>
            <w:tcMar>
              <w:top w:w="60" w:type="dxa"/>
              <w:start w:w="110" w:type="dxa"/>
              <w:bottom w:w="60" w:type="dxa"/>
              <w:end w:w="110" w:type="dxa"/>
            </w:tcMar>
          </w:tcPr>
          <w:p>
            <w:pPr>
              <w:spacing w:after="0"/>
            </w:pPr>
            <w:r/>
            <w:r>
              <w:rPr>
                <w:rFonts w:ascii="Calibri" w:hAnsi="Calibri"/>
                <w:b w:val="0"/>
                <w:i w:val="0"/>
                <w:color w:val="101828"/>
                <w:sz w:val="14"/>
              </w:rPr>
              <w:t>Invite the people who will fill the positions</w:t>
            </w:r>
          </w:p>
        </w:tc>
        <w:tc>
          <w:tcPr>
            <w:tcW w:type="dxa" w:w="3096"/>
            <w:tcMar>
              <w:top w:w="60" w:type="dxa"/>
              <w:start w:w="110" w:type="dxa"/>
              <w:bottom w:w="60" w:type="dxa"/>
              <w:end w:w="110" w:type="dxa"/>
            </w:tcMar>
          </w:tcPr>
          <w:p>
            <w:pPr>
              <w:spacing w:after="0"/>
            </w:pPr>
            <w:r/>
            <w:r>
              <w:rPr>
                <w:rFonts w:ascii="Calibri" w:hAnsi="Calibri"/>
                <w:b w:val="0"/>
                <w:i w:val="0"/>
                <w:color w:val="101828"/>
                <w:sz w:val="14"/>
              </w:rPr>
              <w:t>At least one pending invitation before the Ajo can open enrollment</w:t>
            </w:r>
          </w:p>
        </w:tc>
        <w:tc>
          <w:tcPr>
            <w:tcW w:type="dxa" w:w="2894"/>
            <w:tcMar>
              <w:top w:w="60" w:type="dxa"/>
              <w:start w:w="110" w:type="dxa"/>
              <w:bottom w:w="60" w:type="dxa"/>
              <w:end w:w="110" w:type="dxa"/>
            </w:tcMar>
          </w:tcPr>
          <w:p>
            <w:pPr>
              <w:spacing w:after="0"/>
            </w:pPr>
            <w:r/>
            <w:r>
              <w:rPr>
                <w:rFonts w:ascii="Calibri" w:hAnsi="Calibri"/>
                <w:b w:val="0"/>
                <w:i w:val="0"/>
                <w:color w:val="101828"/>
                <w:sz w:val="14"/>
              </w:rPr>
              <w:t>Yes, while positions remain unfilled.</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6</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Payout order</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4"/>
              </w:rPr>
              <w:t>Propose the order positions are paid in</w:t>
            </w:r>
          </w:p>
        </w:tc>
        <w:tc>
          <w:tcPr>
            <w:tcW w:type="dxa" w:w="3096"/>
            <w:tcMar>
              <w:top w:w="60" w:type="dxa"/>
              <w:start w:w="110" w:type="dxa"/>
              <w:bottom w:w="60" w:type="dxa"/>
              <w:end w:w="110" w:type="dxa"/>
            </w:tcMar>
            <w:shd w:val="clear" w:color="auto" w:fill="F4F7FB"/>
          </w:tcPr>
          <w:p>
            <w:pPr>
              <w:spacing w:after="0"/>
            </w:pPr>
            <w:r/>
            <w:r>
              <w:rPr>
                <w:rFonts w:ascii="Calibri" w:hAnsi="Calibri"/>
                <w:b w:val="0"/>
                <w:i w:val="0"/>
                <w:color w:val="101828"/>
                <w:sz w:val="14"/>
              </w:rPr>
              <w:t>Every position assigned exactly once</w:t>
            </w:r>
          </w:p>
        </w:tc>
        <w:tc>
          <w:tcPr>
            <w:tcW w:type="dxa" w:w="2894"/>
            <w:tcMar>
              <w:top w:w="60" w:type="dxa"/>
              <w:start w:w="110" w:type="dxa"/>
              <w:bottom w:w="60" w:type="dxa"/>
              <w:end w:w="110" w:type="dxa"/>
            </w:tcMar>
            <w:shd w:val="clear" w:color="auto" w:fill="F4F7FB"/>
          </w:tcPr>
          <w:p>
            <w:pPr>
              <w:spacing w:after="0"/>
            </w:pPr>
            <w:r/>
            <w:r>
              <w:rPr>
                <w:rFonts w:ascii="Calibri" w:hAnsi="Calibri"/>
                <w:b/>
                <w:color w:val="101828"/>
                <w:sz w:val="14"/>
              </w:rPr>
              <w:t>No. Positions lock on activation.</w:t>
            </w:r>
            <w:r>
              <w:rPr>
                <w:rFonts w:ascii="Calibri" w:hAnsi="Calibri"/>
                <w:b w:val="0"/>
                <w:i w:val="0"/>
                <w:color w:val="101828"/>
                <w:sz w:val="14"/>
              </w:rPr>
              <w:t xml:space="preserve"> Reordering afterwards needs a replacement request.</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7</w:t>
            </w:r>
          </w:p>
        </w:tc>
        <w:tc>
          <w:tcPr>
            <w:tcW w:type="dxa" w:w="605"/>
            <w:tcMar>
              <w:top w:w="60" w:type="dxa"/>
              <w:start w:w="110" w:type="dxa"/>
              <w:bottom w:w="60" w:type="dxa"/>
              <w:end w:w="110" w:type="dxa"/>
            </w:tcMar>
          </w:tcPr>
          <w:p>
            <w:pPr>
              <w:spacing w:after="0"/>
            </w:pPr>
            <w:r/>
            <w:r>
              <w:rPr>
                <w:rFonts w:ascii="Calibri" w:hAnsi="Calibri"/>
                <w:b w:val="0"/>
                <w:i w:val="0"/>
                <w:color w:val="101828"/>
                <w:sz w:val="14"/>
              </w:rPr>
              <w:t>Review</w:t>
            </w:r>
          </w:p>
        </w:tc>
        <w:tc>
          <w:tcPr>
            <w:tcW w:type="dxa" w:w="2160"/>
            <w:tcMar>
              <w:top w:w="60" w:type="dxa"/>
              <w:start w:w="110" w:type="dxa"/>
              <w:bottom w:w="60" w:type="dxa"/>
              <w:end w:w="110" w:type="dxa"/>
            </w:tcMar>
          </w:tcPr>
          <w:p>
            <w:pPr>
              <w:spacing w:after="0"/>
            </w:pPr>
            <w:r/>
            <w:r>
              <w:rPr>
                <w:rFonts w:ascii="Calibri" w:hAnsi="Calibri"/>
                <w:b w:val="0"/>
                <w:i w:val="0"/>
                <w:color w:val="101828"/>
                <w:sz w:val="14"/>
              </w:rPr>
              <w:t>Read the whole arrangement, acknowledge, open enrollment</w:t>
            </w:r>
          </w:p>
        </w:tc>
        <w:tc>
          <w:tcPr>
            <w:tcW w:type="dxa" w:w="3096"/>
            <w:tcMar>
              <w:top w:w="60" w:type="dxa"/>
              <w:start w:w="110" w:type="dxa"/>
              <w:bottom w:w="60" w:type="dxa"/>
              <w:end w:w="110" w:type="dxa"/>
            </w:tcMar>
          </w:tcPr>
          <w:p>
            <w:pPr>
              <w:spacing w:after="0"/>
            </w:pPr>
            <w:r/>
            <w:r>
              <w:rPr>
                <w:rFonts w:ascii="Calibri" w:hAnsi="Calibri"/>
                <w:b w:val="0"/>
                <w:i w:val="0"/>
                <w:color w:val="101828"/>
                <w:sz w:val="14"/>
              </w:rPr>
              <w:t xml:space="preserve">Every position filled </w:t>
            </w:r>
            <w:r>
              <w:rPr>
                <w:rFonts w:ascii="Calibri" w:hAnsi="Calibri"/>
                <w:b/>
                <w:color w:val="101828"/>
                <w:sz w:val="14"/>
              </w:rPr>
              <w:t>or</w:t>
            </w:r>
            <w:r>
              <w:rPr>
                <w:rFonts w:ascii="Calibri" w:hAnsi="Calibri"/>
                <w:b w:val="0"/>
                <w:i w:val="0"/>
                <w:color w:val="101828"/>
                <w:sz w:val="14"/>
              </w:rPr>
              <w:t xml:space="preserve"> the person accepts the day-5 auto-cancel and refund</w:t>
            </w:r>
          </w:p>
        </w:tc>
        <w:tc>
          <w:tcPr>
            <w:tcW w:type="dxa" w:w="2894"/>
            <w:tcMar>
              <w:top w:w="60" w:type="dxa"/>
              <w:start w:w="110" w:type="dxa"/>
              <w:bottom w:w="60" w:type="dxa"/>
              <w:end w:w="110" w:type="dxa"/>
            </w:tcMar>
          </w:tcPr>
          <w:p>
            <w:pPr>
              <w:spacing w:after="0"/>
            </w:pPr>
            <w:r/>
            <w:r>
              <w:rPr>
                <w:rFonts w:ascii="Calibri" w:hAnsi="Calibri"/>
                <w:b w:val="0"/>
                <w:i w:val="0"/>
                <w:color w:val="101828"/>
                <w:sz w:val="14"/>
              </w:rPr>
              <w:t>No. The review is the last point at which anything can be refused.</w:t>
            </w:r>
          </w:p>
        </w:tc>
      </w:tr>
    </w:tbl>
    <w:p>
      <w:pPr>
        <w:spacing w:after="80"/>
      </w:pPr>
    </w:p>
    <w:p>
      <w:r>
        <w:rPr>
          <w:rFonts w:ascii="Calibri" w:hAnsi="Calibri"/>
          <w:b w:val="0"/>
          <w:i w:val="0"/>
          <w:color w:val="101828"/>
          <w:sz w:val="21"/>
        </w:rPr>
        <w:t>Each step body below is the region content for the step body region of the two frames above, and each has its own annotated region table. The step numbers match the flow steps in section 2.6, so a reader holding both documents can move between them without translating.</w:t>
      </w:r>
    </w:p>
    <w:p>
      <w:pPr>
        <w:pStyle w:val="Heading3"/>
      </w:pPr>
      <w:r>
        <w:rPr>
          <w:rFonts w:ascii="Calibri" w:hAnsi="Calibri"/>
          <w:b/>
          <w:i w:val="0"/>
          <w:color w:val="0B1F3A"/>
          <w:sz w:val="24"/>
        </w:rPr>
        <w:t>6.12.3 Step 1 — Configure</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  Name this Ajo               |</w:t>
      </w:r>
    </w:p>
    <w:p>
      <w:pPr>
        <w:spacing w:before="0" w:after="0" w:line="240" w:lineRule="auto"/>
        <w:ind w:left="230"/>
        <w:shd w:val="clear" w:color="auto" w:fill="F7F9FC"/>
        <w:pBdr>
          <w:left w:val="single" w:sz="4" w:space="6" w:color="D0D5DD"/>
        </w:pBdr>
      </w:pPr>
      <w:r>
        <w:rPr>
          <w:rFonts w:ascii="Consolas" w:hAnsi="Consolas"/>
          <w:color w:val="0B1F3A"/>
          <w:sz w:val="16"/>
        </w:rPr>
        <w:t>|  It is what your members     |</w:t>
      </w:r>
    </w:p>
    <w:p>
      <w:pPr>
        <w:spacing w:before="0" w:after="0" w:line="240" w:lineRule="auto"/>
        <w:ind w:left="230"/>
        <w:shd w:val="clear" w:color="auto" w:fill="F7F9FC"/>
        <w:pBdr>
          <w:left w:val="single" w:sz="4" w:space="6" w:color="D0D5DD"/>
        </w:pBdr>
      </w:pPr>
      <w:r>
        <w:rPr>
          <w:rFonts w:ascii="Consolas" w:hAnsi="Consolas"/>
          <w:color w:val="0B1F3A"/>
          <w:sz w:val="16"/>
        </w:rPr>
        <w:t>|  will see.                   |</w:t>
      </w:r>
    </w:p>
    <w:p>
      <w:pPr>
        <w:spacing w:before="0" w:after="0" w:line="240" w:lineRule="auto"/>
        <w:ind w:left="230"/>
        <w:shd w:val="clear" w:color="auto" w:fill="F7F9FC"/>
        <w:pBdr>
          <w:left w:val="single" w:sz="4" w:space="6" w:color="D0D5DD"/>
        </w:pBdr>
      </w:pPr>
      <w:r>
        <w:rPr>
          <w:rFonts w:ascii="Consolas" w:hAnsi="Consolas"/>
          <w:color w:val="0B1F3A"/>
          <w:sz w:val="16"/>
        </w:rPr>
        <w:t>|  [ Adaeze's Ajo          ]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Positions                   |</w:t>
      </w:r>
    </w:p>
    <w:p>
      <w:pPr>
        <w:spacing w:before="0" w:after="0" w:line="240" w:lineRule="auto"/>
        <w:ind w:left="230"/>
        <w:shd w:val="clear" w:color="auto" w:fill="F7F9FC"/>
        <w:pBdr>
          <w:left w:val="single" w:sz="4" w:space="6" w:color="D0D5DD"/>
        </w:pBdr>
      </w:pPr>
      <w:r>
        <w:rPr>
          <w:rFonts w:ascii="Consolas" w:hAnsi="Consolas"/>
          <w:color w:val="0B1F3A"/>
          <w:sz w:val="16"/>
        </w:rPr>
        <w:t>|  [  10                 ]    |</w:t>
      </w:r>
    </w:p>
    <w:p>
      <w:pPr>
        <w:spacing w:before="0" w:after="0" w:line="240" w:lineRule="auto"/>
        <w:ind w:left="230"/>
        <w:shd w:val="clear" w:color="auto" w:fill="F7F9FC"/>
        <w:pBdr>
          <w:left w:val="single" w:sz="4" w:space="6" w:color="D0D5DD"/>
        </w:pBdr>
      </w:pPr>
      <w:r>
        <w:rPr>
          <w:rFonts w:ascii="Consolas" w:hAnsi="Consolas"/>
          <w:color w:val="0B1F3A"/>
          <w:sz w:val="16"/>
        </w:rPr>
        <w:t>|  [ - ][ + ]                  |</w:t>
      </w:r>
    </w:p>
    <w:p>
      <w:pPr>
        <w:spacing w:before="0" w:after="0" w:line="240" w:lineRule="auto"/>
        <w:ind w:left="230"/>
        <w:shd w:val="clear" w:color="auto" w:fill="F7F9FC"/>
        <w:pBdr>
          <w:left w:val="single" w:sz="4" w:space="6" w:color="D0D5DD"/>
        </w:pBdr>
      </w:pPr>
      <w:r>
        <w:rPr>
          <w:rFonts w:ascii="Consolas" w:hAnsi="Consolas"/>
          <w:color w:val="0B1F3A"/>
          <w:sz w:val="16"/>
        </w:rPr>
        <w:t>|  5 to 20. Ten is the most    |</w:t>
      </w:r>
    </w:p>
    <w:p>
      <w:pPr>
        <w:spacing w:before="0" w:after="0" w:line="240" w:lineRule="auto"/>
        <w:ind w:left="230"/>
        <w:shd w:val="clear" w:color="auto" w:fill="F7F9FC"/>
        <w:pBdr>
          <w:left w:val="single" w:sz="4" w:space="6" w:color="D0D5DD"/>
        </w:pBdr>
      </w:pPr>
      <w:r>
        <w:rPr>
          <w:rFonts w:ascii="Consolas" w:hAnsi="Consolas"/>
          <w:color w:val="0B1F3A"/>
          <w:sz w:val="16"/>
        </w:rPr>
        <w:t>|  common. You count as one.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Currency    NGN             |</w:t>
      </w:r>
    </w:p>
    <w:p>
      <w:pPr>
        <w:spacing w:before="0" w:after="0" w:line="240" w:lineRule="auto"/>
        <w:ind w:left="230"/>
        <w:shd w:val="clear" w:color="auto" w:fill="F7F9FC"/>
        <w:pBdr>
          <w:left w:val="single" w:sz="4" w:space="6" w:color="D0D5DD"/>
        </w:pBdr>
      </w:pPr>
      <w:r>
        <w:rPr>
          <w:rFonts w:ascii="Consolas" w:hAnsi="Consolas"/>
          <w:color w:val="0B1F3A"/>
          <w:sz w:val="16"/>
        </w:rPr>
        <w:t>|  Naira only at launch.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Start date                  |</w:t>
      </w:r>
    </w:p>
    <w:p>
      <w:pPr>
        <w:spacing w:before="0" w:after="0" w:line="240" w:lineRule="auto"/>
        <w:ind w:left="230"/>
        <w:shd w:val="clear" w:color="auto" w:fill="F7F9FC"/>
        <w:pBdr>
          <w:left w:val="single" w:sz="4" w:space="6" w:color="D0D5DD"/>
        </w:pBdr>
      </w:pPr>
      <w:r>
        <w:rPr>
          <w:rFonts w:ascii="Consolas" w:hAnsi="Consolas"/>
          <w:color w:val="0B1F3A"/>
          <w:sz w:val="16"/>
        </w:rPr>
        <w:t>|  [ 15 Sep 2026           ]   |</w:t>
      </w:r>
    </w:p>
    <w:p>
      <w:pPr>
        <w:spacing w:before="0" w:after="0" w:line="240" w:lineRule="auto"/>
        <w:ind w:left="230"/>
        <w:shd w:val="clear" w:color="auto" w:fill="F7F9FC"/>
        <w:pBdr>
          <w:left w:val="single" w:sz="4" w:space="6" w:color="D0D5DD"/>
        </w:pBdr>
      </w:pPr>
      <w:r>
        <w:rPr>
          <w:rFonts w:ascii="Consolas" w:hAnsi="Consolas"/>
          <w:color w:val="0B1F3A"/>
          <w:sz w:val="16"/>
        </w:rPr>
        <w:t>|  First round opens on this   |</w:t>
      </w:r>
    </w:p>
    <w:p>
      <w:pPr>
        <w:spacing w:before="0" w:after="0" w:line="240" w:lineRule="auto"/>
        <w:ind w:left="230"/>
        <w:shd w:val="clear" w:color="auto" w:fill="F7F9FC"/>
        <w:pBdr>
          <w:left w:val="single" w:sz="4" w:space="6" w:color="D0D5DD"/>
        </w:pBdr>
      </w:pPr>
      <w:r>
        <w:rPr>
          <w:rFonts w:ascii="Consolas" w:hAnsi="Consolas"/>
          <w:color w:val="0B1F3A"/>
          <w:sz w:val="16"/>
        </w:rPr>
        <w:t>|  day. Cannot be in the past. |</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2146"/>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005"/>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 Name field</w:t>
            </w:r>
          </w:p>
        </w:tc>
        <w:tc>
          <w:tcPr>
            <w:tcW w:type="dxa" w:w="2146"/>
            <w:tcMar>
              <w:top w:w="60" w:type="dxa"/>
              <w:start w:w="110" w:type="dxa"/>
              <w:bottom w:w="60" w:type="dxa"/>
              <w:end w:w="110" w:type="dxa"/>
            </w:tcMar>
          </w:tcPr>
          <w:p>
            <w:pPr>
              <w:spacing w:after="0"/>
            </w:pPr>
            <w:r/>
            <w:r>
              <w:rPr>
                <w:rFonts w:ascii="Calibri" w:hAnsi="Calibri"/>
                <w:b w:val="0"/>
                <w:i w:val="0"/>
                <w:color w:val="101828"/>
                <w:sz w:val="14"/>
              </w:rPr>
              <w:t>Free text shown to every member of the Ajo.</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005"/>
            <w:tcMar>
              <w:top w:w="60" w:type="dxa"/>
              <w:start w:w="110" w:type="dxa"/>
              <w:bottom w:w="60" w:type="dxa"/>
              <w:end w:w="110" w:type="dxa"/>
            </w:tcMar>
          </w:tcPr>
          <w:p>
            <w:pPr>
              <w:spacing w:after="0"/>
            </w:pPr>
            <w:r/>
            <w:r>
              <w:rPr>
                <w:rFonts w:ascii="Calibri" w:hAnsi="Calibri"/>
                <w:b w:val="0"/>
                <w:i w:val="0"/>
                <w:color w:val="101828"/>
                <w:sz w:val="14"/>
              </w:rPr>
              <w:t xml:space="preserve">3 to 60 characters. The name is </w:t>
            </w:r>
            <w:r>
              <w:rPr>
                <w:rFonts w:ascii="Calibri" w:hAnsi="Calibri"/>
                <w:b/>
                <w:color w:val="101828"/>
                <w:sz w:val="14"/>
              </w:rPr>
              <w:t>not</w:t>
            </w:r>
            <w:r>
              <w:rPr>
                <w:rFonts w:ascii="Calibri" w:hAnsi="Calibri"/>
                <w:b w:val="0"/>
                <w:i w:val="0"/>
                <w:color w:val="101828"/>
                <w:sz w:val="14"/>
              </w:rPr>
              <w:t xml:space="preserve"> the identifier: </w:t>
            </w:r>
            <w:r>
              <w:rPr>
                <w:rFonts w:ascii="Consolas" w:hAnsi="Consolas"/>
                <w:color w:val="146EF5"/>
                <w:sz w:val="14"/>
              </w:rPr>
              <w:t>POST /ajos</w:t>
            </w:r>
            <w:r>
              <w:rPr>
                <w:rFonts w:ascii="Calibri" w:hAnsi="Calibri"/>
                <w:b w:val="0"/>
                <w:i w:val="0"/>
                <w:color w:val="101828"/>
                <w:sz w:val="14"/>
              </w:rPr>
              <w:t xml:space="preserve"> returns an </w:t>
            </w:r>
            <w:r>
              <w:rPr>
                <w:rFonts w:ascii="Consolas" w:hAnsi="Consolas"/>
                <w:color w:val="146EF5"/>
                <w:sz w:val="14"/>
              </w:rPr>
              <w:t>id</w:t>
            </w:r>
            <w:r>
              <w:rPr>
                <w:rFonts w:ascii="Calibri" w:hAnsi="Calibri"/>
                <w:b w:val="0"/>
                <w:i w:val="0"/>
                <w:color w:val="101828"/>
                <w:sz w:val="14"/>
              </w:rPr>
              <w:t xml:space="preserve"> and a shareable invite link, and the name is display only. Renaming is allowed until activation because it changes no money.</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Position count</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Number of payout positions, i.e. the number of members the Ajo is for.</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005"/>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CANONICAL.md DRAFT to ENROLLMENT guard is at least 2 positions. The stepper stops at the D-08 cap, which is </w:t>
            </w:r>
            <w:r>
              <w:rPr>
                <w:rFonts w:ascii="Calibri" w:hAnsi="Calibri"/>
                <w:b/>
                <w:color w:val="101828"/>
                <w:sz w:val="14"/>
              </w:rPr>
              <w:t>not yet fixed</w:t>
            </w:r>
            <w:r>
              <w:rPr>
                <w:rFonts w:ascii="Calibri" w:hAnsi="Calibri"/>
                <w:b w:val="0"/>
                <w:i w:val="0"/>
                <w:color w:val="101828"/>
                <w:sz w:val="14"/>
              </w:rPr>
              <w:t xml:space="preserve"> and is flagged as open rather than given a number here.</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 Currency</w:t>
            </w:r>
          </w:p>
        </w:tc>
        <w:tc>
          <w:tcPr>
            <w:tcW w:type="dxa" w:w="2146"/>
            <w:tcMar>
              <w:top w:w="60" w:type="dxa"/>
              <w:start w:w="110" w:type="dxa"/>
              <w:bottom w:w="60" w:type="dxa"/>
              <w:end w:w="110" w:type="dxa"/>
            </w:tcMar>
          </w:tcPr>
          <w:p>
            <w:pPr>
              <w:spacing w:after="0"/>
            </w:pPr>
            <w:r/>
            <w:r>
              <w:rPr>
                <w:rFonts w:ascii="Calibri" w:hAnsi="Calibri"/>
                <w:b w:val="0"/>
                <w:i w:val="0"/>
                <w:color w:val="101828"/>
                <w:sz w:val="14"/>
              </w:rPr>
              <w:t>Read-only NGN.</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005"/>
            <w:tcMar>
              <w:top w:w="60" w:type="dxa"/>
              <w:start w:w="110" w:type="dxa"/>
              <w:bottom w:w="60" w:type="dxa"/>
              <w:end w:w="110" w:type="dxa"/>
            </w:tcMar>
          </w:tcPr>
          <w:p>
            <w:pPr>
              <w:spacing w:after="0"/>
            </w:pPr>
            <w:r/>
            <w:r>
              <w:rPr>
                <w:rFonts w:ascii="Calibri" w:hAnsi="Calibri"/>
                <w:b w:val="0"/>
                <w:i w:val="0"/>
                <w:color w:val="101828"/>
                <w:sz w:val="14"/>
              </w:rPr>
              <w:t>Single currency at v1. A currency selector with one option is a promise about the future, so it is not rendered.</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 Start date</w:t>
            </w:r>
          </w:p>
        </w:tc>
        <w:tc>
          <w:tcPr>
            <w:tcW w:type="dxa" w:w="2146"/>
            <w:tcMar>
              <w:top w:w="60" w:type="dxa"/>
              <w:start w:w="110" w:type="dxa"/>
              <w:bottom w:w="60" w:type="dxa"/>
              <w:end w:w="110" w:type="dxa"/>
            </w:tcMar>
            <w:shd w:val="clear" w:color="auto" w:fill="F4F7FB"/>
          </w:tcPr>
          <w:p>
            <w:pPr>
              <w:spacing w:after="0"/>
            </w:pPr>
            <w:r/>
            <w:r>
              <w:rPr>
                <w:rFonts w:ascii="Calibri" w:hAnsi="Calibri"/>
                <w:b w:val="0"/>
                <w:i w:val="0"/>
                <w:color w:val="101828"/>
                <w:sz w:val="14"/>
              </w:rPr>
              <w:t>Date the first round opens.</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005"/>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Not in the past, within 90 days. </w:t>
            </w:r>
            <w:r>
              <w:rPr>
                <w:rFonts w:ascii="Calibri" w:hAnsi="Calibri"/>
                <w:b/>
                <w:color w:val="101828"/>
                <w:sz w:val="14"/>
              </w:rPr>
              <w:t>The five-day enrollment window starts here, not at creation</w:t>
            </w:r>
            <w:r>
              <w:rPr>
                <w:rFonts w:ascii="Calibri" w:hAnsi="Calibri"/>
                <w:b w:val="0"/>
                <w:i w:val="0"/>
                <w:color w:val="101828"/>
                <w:sz w:val="14"/>
              </w:rPr>
              <w:t>, so this date determines when the Ajo can cancel itself with a full refund.</w:t>
            </w:r>
          </w:p>
        </w:tc>
      </w:tr>
    </w:tbl>
    <w:p>
      <w:pPr>
        <w:spacing w:after="80"/>
      </w:pPr>
    </w:p>
    <w:p>
      <w:pPr>
        <w:pStyle w:val="Heading3"/>
      </w:pPr>
      <w:r>
        <w:rPr>
          <w:rFonts w:ascii="Calibri" w:hAnsi="Calibri"/>
          <w:b/>
          <w:i w:val="0"/>
          <w:color w:val="0B1F3A"/>
          <w:sz w:val="24"/>
        </w:rPr>
        <w:t>6.12.4 Step 2 — Amount</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  What does each member pay  |</w:t>
      </w:r>
    </w:p>
    <w:p>
      <w:pPr>
        <w:spacing w:before="0" w:after="0" w:line="240" w:lineRule="auto"/>
        <w:ind w:left="230"/>
        <w:shd w:val="clear" w:color="auto" w:fill="F7F9FC"/>
        <w:pBdr>
          <w:left w:val="single" w:sz="4" w:space="6" w:color="D0D5DD"/>
        </w:pBdr>
      </w:pPr>
      <w:r>
        <w:rPr>
          <w:rFonts w:ascii="Consolas" w:hAnsi="Consolas"/>
          <w:color w:val="0B1F3A"/>
          <w:sz w:val="16"/>
        </w:rPr>
        <w:t>|  each round?                 |</w:t>
      </w:r>
    </w:p>
    <w:p>
      <w:pPr>
        <w:spacing w:before="0" w:after="0" w:line="240" w:lineRule="auto"/>
        <w:ind w:left="230"/>
        <w:shd w:val="clear" w:color="auto" w:fill="F7F9FC"/>
        <w:pBdr>
          <w:left w:val="single" w:sz="4" w:space="6" w:color="D0D5DD"/>
        </w:pBdr>
      </w:pPr>
      <w:r>
        <w:rPr>
          <w:rFonts w:ascii="Consolas" w:hAnsi="Consolas"/>
          <w:color w:val="0B1F3A"/>
          <w:sz w:val="16"/>
        </w:rPr>
        <w:t>|  [ NGN 1,000.00         ]    |</w:t>
      </w:r>
    </w:p>
    <w:p>
      <w:pPr>
        <w:spacing w:before="0" w:after="0" w:line="240" w:lineRule="auto"/>
        <w:ind w:left="230"/>
        <w:shd w:val="clear" w:color="auto" w:fill="F7F9FC"/>
        <w:pBdr>
          <w:left w:val="single" w:sz="4" w:space="6" w:color="D0D5DD"/>
        </w:pBdr>
      </w:pPr>
      <w:r>
        <w:rPr>
          <w:rFonts w:ascii="Consolas" w:hAnsi="Consolas"/>
          <w:color w:val="0B1F3A"/>
          <w:sz w:val="16"/>
        </w:rPr>
        <w:t>|  [ - ][ + ]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With a 2% AJO.ng fee on    |</w:t>
      </w:r>
    </w:p>
    <w:p>
      <w:pPr>
        <w:spacing w:before="0" w:after="0" w:line="240" w:lineRule="auto"/>
        <w:ind w:left="230"/>
        <w:shd w:val="clear" w:color="auto" w:fill="F7F9FC"/>
        <w:pBdr>
          <w:left w:val="single" w:sz="4" w:space="6" w:color="D0D5DD"/>
        </w:pBdr>
      </w:pPr>
      <w:r>
        <w:rPr>
          <w:rFonts w:ascii="Consolas" w:hAnsi="Consolas"/>
          <w:color w:val="0B1F3A"/>
          <w:sz w:val="16"/>
        </w:rPr>
        <w:t>|  each payment, every member  |</w:t>
      </w:r>
    </w:p>
    <w:p>
      <w:pPr>
        <w:spacing w:before="0" w:after="0" w:line="240" w:lineRule="auto"/>
        <w:ind w:left="230"/>
        <w:shd w:val="clear" w:color="auto" w:fill="F7F9FC"/>
        <w:pBdr>
          <w:left w:val="single" w:sz="4" w:space="6" w:color="D0D5DD"/>
        </w:pBdr>
      </w:pPr>
      <w:r>
        <w:rPr>
          <w:rFonts w:ascii="Consolas" w:hAnsi="Consolas"/>
          <w:color w:val="0B1F3A"/>
          <w:sz w:val="16"/>
        </w:rPr>
        <w:t>|  is charged: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NGN 1,000.00  contribution  |</w:t>
      </w:r>
    </w:p>
    <w:p>
      <w:pPr>
        <w:spacing w:before="0" w:after="0" w:line="240" w:lineRule="auto"/>
        <w:ind w:left="230"/>
        <w:shd w:val="clear" w:color="auto" w:fill="F7F9FC"/>
        <w:pBdr>
          <w:left w:val="single" w:sz="4" w:space="6" w:color="D0D5DD"/>
        </w:pBdr>
      </w:pPr>
      <w:r>
        <w:rPr>
          <w:rFonts w:ascii="Consolas" w:hAnsi="Consolas"/>
          <w:color w:val="0B1F3A"/>
          <w:sz w:val="16"/>
        </w:rPr>
        <w:t>|  NGN    20.00  AJO.ng fee    |</w:t>
      </w:r>
    </w:p>
    <w:p>
      <w:pPr>
        <w:spacing w:before="0" w:after="0" w:line="240" w:lineRule="auto"/>
        <w:ind w:left="230"/>
        <w:shd w:val="clear" w:color="auto" w:fill="F7F9FC"/>
        <w:pBdr>
          <w:left w:val="single" w:sz="4" w:space="6" w:color="D0D5DD"/>
        </w:pBdr>
      </w:pPr>
      <w:r>
        <w:rPr>
          <w:rFonts w:ascii="Consolas" w:hAnsi="Consolas"/>
          <w:color w:val="0B1F3A"/>
          <w:sz w:val="16"/>
        </w:rPr>
        <w:t>|  NGN 1,020.00  charged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x  Above the NGN 5,000,000  |</w:t>
      </w:r>
    </w:p>
    <w:p>
      <w:pPr>
        <w:spacing w:before="0" w:after="0" w:line="240" w:lineRule="auto"/>
        <w:ind w:left="230"/>
        <w:shd w:val="clear" w:color="auto" w:fill="F7F9FC"/>
        <w:pBdr>
          <w:left w:val="single" w:sz="4" w:space="6" w:color="D0D5DD"/>
        </w:pBdr>
      </w:pPr>
      <w:r>
        <w:rPr>
          <w:rFonts w:ascii="Consolas" w:hAnsi="Consolas"/>
          <w:color w:val="0B1F3A"/>
          <w:sz w:val="16"/>
        </w:rPr>
        <w:t>|   per-round cap. This limit  |</w:t>
      </w:r>
    </w:p>
    <w:p>
      <w:pPr>
        <w:spacing w:before="0" w:after="0" w:line="240" w:lineRule="auto"/>
        <w:ind w:left="230"/>
        <w:shd w:val="clear" w:color="auto" w:fill="F7F9FC"/>
        <w:pBdr>
          <w:left w:val="single" w:sz="4" w:space="6" w:color="D0D5DD"/>
        </w:pBdr>
      </w:pPr>
      <w:r>
        <w:rPr>
          <w:rFonts w:ascii="Consolas" w:hAnsi="Consolas"/>
          <w:color w:val="0B1F3A"/>
          <w:sz w:val="16"/>
        </w:rPr>
        <w:t>|   is set by risk, not by us. |</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627"/>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523"/>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 Amount field</w:t>
            </w:r>
          </w:p>
        </w:tc>
        <w:tc>
          <w:tcPr>
            <w:tcW w:type="dxa" w:w="1627"/>
            <w:tcMar>
              <w:top w:w="60" w:type="dxa"/>
              <w:start w:w="110" w:type="dxa"/>
              <w:bottom w:w="60" w:type="dxa"/>
              <w:end w:w="110" w:type="dxa"/>
            </w:tcMar>
          </w:tcPr>
          <w:p>
            <w:pPr>
              <w:spacing w:after="0"/>
            </w:pPr>
            <w:r/>
            <w:r>
              <w:rPr>
                <w:rFonts w:ascii="Calibri" w:hAnsi="Calibri"/>
                <w:b w:val="0"/>
                <w:i w:val="0"/>
                <w:color w:val="101828"/>
                <w:sz w:val="14"/>
              </w:rPr>
              <w:t>Contribution per member per round, in naira.</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523"/>
            <w:tcMar>
              <w:top w:w="60" w:type="dxa"/>
              <w:start w:w="110" w:type="dxa"/>
              <w:bottom w:w="60" w:type="dxa"/>
              <w:end w:w="110" w:type="dxa"/>
            </w:tcMar>
          </w:tcPr>
          <w:p>
            <w:pPr>
              <w:spacing w:after="0"/>
            </w:pPr>
            <w:r/>
            <w:r>
              <w:rPr>
                <w:rFonts w:ascii="Calibri" w:hAnsi="Calibri"/>
                <w:b w:val="0"/>
                <w:i w:val="0"/>
                <w:color w:val="101828"/>
                <w:sz w:val="14"/>
              </w:rPr>
              <w:t>Accepts naira and kobo, displays naira with two decimals, and rejects the thousand separator on entry so the value cannot be misparsed.</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Stepper</w:t>
            </w:r>
          </w:p>
        </w:tc>
        <w:tc>
          <w:tcPr>
            <w:tcW w:type="dxa" w:w="1627"/>
            <w:tcMar>
              <w:top w:w="60" w:type="dxa"/>
              <w:start w:w="110" w:type="dxa"/>
              <w:bottom w:w="60" w:type="dxa"/>
              <w:end w:w="110" w:type="dxa"/>
            </w:tcMar>
            <w:shd w:val="clear" w:color="auto" w:fill="F4F7FB"/>
          </w:tcPr>
          <w:p>
            <w:pPr>
              <w:spacing w:after="0"/>
            </w:pPr>
            <w:r/>
            <w:r>
              <w:rPr>
                <w:rFonts w:ascii="Calibri" w:hAnsi="Calibri"/>
                <w:b w:val="0"/>
                <w:i w:val="0"/>
                <w:color w:val="101828"/>
                <w:sz w:val="14"/>
              </w:rPr>
              <w:t>Increment and decrement by NGN 100.00.</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P2</w:t>
            </w:r>
          </w:p>
        </w:tc>
        <w:tc>
          <w:tcPr>
            <w:tcW w:type="dxa" w:w="6523"/>
            <w:tcMar>
              <w:top w:w="60" w:type="dxa"/>
              <w:start w:w="110" w:type="dxa"/>
              <w:bottom w:w="60" w:type="dxa"/>
              <w:end w:w="110" w:type="dxa"/>
            </w:tcMar>
            <w:shd w:val="clear" w:color="auto" w:fill="F4F7FB"/>
          </w:tcPr>
          <w:p>
            <w:pPr>
              <w:spacing w:after="0"/>
            </w:pPr>
            <w:r/>
            <w:r>
              <w:rPr>
                <w:rFonts w:ascii="Calibri" w:hAnsi="Calibri"/>
                <w:b w:val="0"/>
                <w:i w:val="0"/>
                <w:color w:val="101828"/>
                <w:sz w:val="14"/>
              </w:rPr>
              <w:t>A convenience, not the primary input. Typing is always available, because a stepper of 50 presses to reach NGN 5,000 is worse than typing.</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 Live fee preview</w:t>
            </w:r>
          </w:p>
        </w:tc>
        <w:tc>
          <w:tcPr>
            <w:tcW w:type="dxa" w:w="1627"/>
            <w:tcMar>
              <w:top w:w="60" w:type="dxa"/>
              <w:start w:w="110" w:type="dxa"/>
              <w:bottom w:w="60" w:type="dxa"/>
              <w:end w:w="110" w:type="dxa"/>
            </w:tcMar>
          </w:tcPr>
          <w:p>
            <w:pPr>
              <w:spacing w:after="0"/>
            </w:pPr>
            <w:r/>
            <w:r>
              <w:rPr>
                <w:rFonts w:ascii="Calibri" w:hAnsi="Calibri"/>
                <w:b w:val="0"/>
                <w:i w:val="0"/>
                <w:color w:val="101828"/>
                <w:sz w:val="14"/>
              </w:rPr>
              <w:t>The three-line breakdown of what the member will actually be charged.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523"/>
            <w:tcMar>
              <w:top w:w="60" w:type="dxa"/>
              <w:start w:w="110" w:type="dxa"/>
              <w:bottom w:w="60" w:type="dxa"/>
              <w:end w:w="110" w:type="dxa"/>
            </w:tcMar>
          </w:tcPr>
          <w:p>
            <w:pPr>
              <w:spacing w:after="0"/>
            </w:pPr>
            <w:r/>
            <w:r>
              <w:rPr>
                <w:rFonts w:ascii="Calibri" w:hAnsi="Calibri"/>
                <w:b/>
                <w:color w:val="101828"/>
                <w:sz w:val="14"/>
              </w:rPr>
              <w:t>This block is mandatory and may not be removed from the wizard.</w:t>
            </w:r>
            <w:r>
              <w:rPr>
                <w:rFonts w:ascii="Calibri" w:hAnsi="Calibri"/>
                <w:b w:val="0"/>
                <w:i w:val="0"/>
                <w:color w:val="101828"/>
                <w:sz w:val="14"/>
              </w:rPr>
              <w:t xml:space="preserve"> CANONICAL.md requires the fee to be disclosed before the member commits, and the only moment a member commits is here and in the join confirmation. The total is labelled </w:t>
            </w:r>
            <w:r>
              <w:rPr>
                <w:rFonts w:ascii="Calibri" w:hAnsi="Calibri"/>
                <w:i/>
                <w:color w:val="101828"/>
                <w:sz w:val="14"/>
              </w:rPr>
              <w:t>charged</w:t>
            </w:r>
            <w:r>
              <w:rPr>
                <w:rFonts w:ascii="Calibri" w:hAnsi="Calibri"/>
                <w:b w:val="0"/>
                <w:i w:val="0"/>
                <w:color w:val="101828"/>
                <w:sz w:val="14"/>
              </w:rPr>
              <w:t xml:space="preserve"> rather than </w:t>
            </w:r>
            <w:r>
              <w:rPr>
                <w:rFonts w:ascii="Calibri" w:hAnsi="Calibri"/>
                <w:i/>
                <w:color w:val="101828"/>
                <w:sz w:val="14"/>
              </w:rPr>
              <w:t>total</w:t>
            </w:r>
            <w:r>
              <w:rPr>
                <w:rFonts w:ascii="Calibri" w:hAnsi="Calibri"/>
                <w:b w:val="0"/>
                <w:i w:val="0"/>
                <w:color w:val="101828"/>
                <w:sz w:val="14"/>
              </w:rPr>
              <w:t xml:space="preserve"> to distinguish it from the pool.</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 Cap message</w:t>
            </w:r>
          </w:p>
        </w:tc>
        <w:tc>
          <w:tcPr>
            <w:tcW w:type="dxa" w:w="1627"/>
            <w:tcMar>
              <w:top w:w="60" w:type="dxa"/>
              <w:start w:w="110" w:type="dxa"/>
              <w:bottom w:w="60" w:type="dxa"/>
              <w:end w:w="110" w:type="dxa"/>
            </w:tcMar>
            <w:shd w:val="clear" w:color="auto" w:fill="F4F7FB"/>
          </w:tcPr>
          <w:p>
            <w:pPr>
              <w:spacing w:after="0"/>
            </w:pPr>
            <w:r/>
            <w:r>
              <w:rPr>
                <w:rFonts w:ascii="Calibri" w:hAnsi="Calibri"/>
                <w:b w:val="0"/>
                <w:i w:val="0"/>
                <w:color w:val="101828"/>
                <w:sz w:val="14"/>
              </w:rPr>
              <w:t>The rejection when the amount exceeds the D-08 cap.</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523"/>
            <w:tcMar>
              <w:top w:w="60" w:type="dxa"/>
              <w:start w:w="110" w:type="dxa"/>
              <w:bottom w:w="60" w:type="dxa"/>
              <w:end w:w="110" w:type="dxa"/>
            </w:tcMar>
            <w:shd w:val="clear" w:color="auto" w:fill="F4F7FB"/>
          </w:tcPr>
          <w:p>
            <w:pPr>
              <w:spacing w:after="0"/>
            </w:pPr>
            <w:r/>
            <w:r>
              <w:rPr>
                <w:rFonts w:ascii="Calibri" w:hAnsi="Calibri"/>
                <w:b w:val="0"/>
                <w:i w:val="0"/>
                <w:color w:val="101828"/>
                <w:sz w:val="14"/>
              </w:rPr>
              <w:t>Names the limit and its owner, because a limit with no stated owner becomes a support ticket.</w:t>
            </w:r>
          </w:p>
        </w:tc>
      </w:tr>
    </w:tbl>
    <w:p>
      <w:pPr>
        <w:spacing w:after="80"/>
      </w:pPr>
    </w:p>
    <w:p>
      <w:pPr>
        <w:pStyle w:val="Heading3"/>
      </w:pPr>
      <w:r>
        <w:rPr>
          <w:rFonts w:ascii="Calibri" w:hAnsi="Calibri"/>
          <w:b/>
          <w:i w:val="0"/>
          <w:color w:val="0B1F3A"/>
          <w:sz w:val="24"/>
        </w:rPr>
        <w:t>6.12.5 Step 3 — Frequency</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  How often will you save?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(o) Weekly                  |</w:t>
      </w:r>
    </w:p>
    <w:p>
      <w:pPr>
        <w:spacing w:before="0" w:after="0" w:line="240" w:lineRule="auto"/>
        <w:ind w:left="230"/>
        <w:shd w:val="clear" w:color="auto" w:fill="F7F9FC"/>
        <w:pBdr>
          <w:left w:val="single" w:sz="4" w:space="6" w:color="D0D5DD"/>
        </w:pBdr>
      </w:pPr>
      <w:r>
        <w:rPr>
          <w:rFonts w:ascii="Consolas" w:hAnsi="Consolas"/>
          <w:color w:val="0B1F3A"/>
          <w:sz w:val="16"/>
        </w:rPr>
        <w:t>|      Every Monday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 Monthly                 |</w:t>
      </w:r>
    </w:p>
    <w:p>
      <w:pPr>
        <w:spacing w:before="0" w:after="0" w:line="240" w:lineRule="auto"/>
        <w:ind w:left="230"/>
        <w:shd w:val="clear" w:color="auto" w:fill="F7F9FC"/>
        <w:pBdr>
          <w:left w:val="single" w:sz="4" w:space="6" w:color="D0D5DD"/>
        </w:pBdr>
      </w:pPr>
      <w:r>
        <w:rPr>
          <w:rFonts w:ascii="Consolas" w:hAnsi="Consolas"/>
          <w:color w:val="0B1F3A"/>
          <w:sz w:val="16"/>
        </w:rPr>
        <w:t>|      Same day each month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x  A frequency cannot be    |</w:t>
      </w:r>
    </w:p>
    <w:p>
      <w:pPr>
        <w:spacing w:before="0" w:after="0" w:line="240" w:lineRule="auto"/>
        <w:ind w:left="230"/>
        <w:shd w:val="clear" w:color="auto" w:fill="F7F9FC"/>
        <w:pBdr>
          <w:left w:val="single" w:sz="4" w:space="6" w:color="D0D5DD"/>
        </w:pBdr>
      </w:pPr>
      <w:r>
        <w:rPr>
          <w:rFonts w:ascii="Consolas" w:hAnsi="Consolas"/>
          <w:color w:val="0B1F3A"/>
          <w:sz w:val="16"/>
        </w:rPr>
        <w:t>|   changed once the Ajo is    |</w:t>
      </w:r>
    </w:p>
    <w:p>
      <w:pPr>
        <w:spacing w:before="0" w:after="0" w:line="240" w:lineRule="auto"/>
        <w:ind w:left="230"/>
        <w:shd w:val="clear" w:color="auto" w:fill="F7F9FC"/>
        <w:pBdr>
          <w:left w:val="single" w:sz="4" w:space="6" w:color="D0D5DD"/>
        </w:pBdr>
      </w:pPr>
      <w:r>
        <w:rPr>
          <w:rFonts w:ascii="Consolas" w:hAnsi="Consolas"/>
          <w:color w:val="0B1F3A"/>
          <w:sz w:val="16"/>
        </w:rPr>
        <w:t>|   active.                    |</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749"/>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627"/>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379"/>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749"/>
            <w:tcMar>
              <w:top w:w="60" w:type="dxa"/>
              <w:start w:w="110" w:type="dxa"/>
              <w:bottom w:w="60" w:type="dxa"/>
              <w:end w:w="110" w:type="dxa"/>
            </w:tcMar>
          </w:tcPr>
          <w:p>
            <w:pPr>
              <w:spacing w:after="0"/>
            </w:pPr>
            <w:r/>
            <w:r>
              <w:rPr>
                <w:rFonts w:ascii="Calibri" w:hAnsi="Calibri"/>
                <w:b w:val="0"/>
                <w:i w:val="0"/>
                <w:color w:val="101828"/>
                <w:sz w:val="14"/>
              </w:rPr>
              <w:t>(1) Radio pair</w:t>
            </w:r>
          </w:p>
        </w:tc>
        <w:tc>
          <w:tcPr>
            <w:tcW w:type="dxa" w:w="1627"/>
            <w:tcMar>
              <w:top w:w="60" w:type="dxa"/>
              <w:start w:w="110" w:type="dxa"/>
              <w:bottom w:w="60" w:type="dxa"/>
              <w:end w:w="110" w:type="dxa"/>
            </w:tcMar>
          </w:tcPr>
          <w:p>
            <w:pPr>
              <w:spacing w:after="0"/>
            </w:pPr>
            <w:r/>
            <w:r>
              <w:rPr>
                <w:rFonts w:ascii="Calibri" w:hAnsi="Calibri"/>
                <w:b w:val="0"/>
                <w:i w:val="0"/>
                <w:color w:val="101828"/>
                <w:sz w:val="14"/>
              </w:rPr>
              <w:t>Weekly or monthly, exactly one.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379"/>
            <w:tcMar>
              <w:top w:w="60" w:type="dxa"/>
              <w:start w:w="110" w:type="dxa"/>
              <w:bottom w:w="60" w:type="dxa"/>
              <w:end w:w="110" w:type="dxa"/>
            </w:tcMar>
          </w:tcPr>
          <w:p>
            <w:pPr>
              <w:spacing w:after="0"/>
            </w:pPr>
            <w:r/>
            <w:r>
              <w:rPr>
                <w:rFonts w:ascii="Calibri" w:hAnsi="Calibri"/>
                <w:b w:val="0"/>
                <w:i w:val="0"/>
                <w:color w:val="101828"/>
                <w:sz w:val="14"/>
              </w:rPr>
              <w:t>A radio group, not a segmented control. A segmented control implies both are visible states of one control; a frequency is an exclusive choice of one value, and the label for each value carries the day or date rule.</w:t>
            </w:r>
          </w:p>
        </w:tc>
      </w:tr>
      <w:tr>
        <w:trPr>
          <w:cantSplit/>
        </w:trPr>
        <w:tc>
          <w:tcPr>
            <w:tcW w:type="dxa" w:w="749"/>
            <w:tcMar>
              <w:top w:w="60" w:type="dxa"/>
              <w:start w:w="110" w:type="dxa"/>
              <w:bottom w:w="60" w:type="dxa"/>
              <w:end w:w="110" w:type="dxa"/>
            </w:tcMar>
            <w:shd w:val="clear" w:color="auto" w:fill="F4F7FB"/>
          </w:tcPr>
          <w:p>
            <w:pPr>
              <w:spacing w:after="0"/>
            </w:pPr>
            <w:r/>
            <w:r>
              <w:rPr>
                <w:rFonts w:ascii="Calibri" w:hAnsi="Calibri"/>
                <w:b w:val="0"/>
                <w:i w:val="0"/>
                <w:color w:val="101828"/>
                <w:sz w:val="14"/>
              </w:rPr>
              <w:t>(2) Day rule</w:t>
            </w:r>
          </w:p>
        </w:tc>
        <w:tc>
          <w:tcPr>
            <w:tcW w:type="dxa" w:w="1627"/>
            <w:tcMar>
              <w:top w:w="60" w:type="dxa"/>
              <w:start w:w="110" w:type="dxa"/>
              <w:bottom w:w="60" w:type="dxa"/>
              <w:end w:w="110" w:type="dxa"/>
            </w:tcMar>
            <w:shd w:val="clear" w:color="auto" w:fill="F4F7FB"/>
          </w:tcPr>
          <w:p>
            <w:pPr>
              <w:spacing w:after="0"/>
            </w:pPr>
            <w:r/>
            <w:r>
              <w:rPr>
                <w:rFonts w:ascii="Calibri" w:hAnsi="Calibri"/>
                <w:b w:val="0"/>
                <w:i w:val="0"/>
                <w:color w:val="101828"/>
                <w:sz w:val="14"/>
              </w:rPr>
              <w:t>The derived rule, in the person's own terms.</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379"/>
            <w:tcMar>
              <w:top w:w="60" w:type="dxa"/>
              <w:start w:w="110" w:type="dxa"/>
              <w:bottom w:w="60" w:type="dxa"/>
              <w:end w:w="110" w:type="dxa"/>
            </w:tcMar>
            <w:shd w:val="clear" w:color="auto" w:fill="F4F7FB"/>
          </w:tcPr>
          <w:p>
            <w:pPr>
              <w:spacing w:after="0"/>
            </w:pPr>
            <w:r/>
            <w:r>
              <w:rPr>
                <w:rFonts w:ascii="Calibri" w:hAnsi="Calibri"/>
                <w:i/>
                <w:color w:val="101828"/>
                <w:sz w:val="14"/>
              </w:rPr>
              <w:t>Every Monday</w:t>
            </w:r>
            <w:r>
              <w:rPr>
                <w:rFonts w:ascii="Calibri" w:hAnsi="Calibri"/>
                <w:b w:val="0"/>
                <w:i w:val="0"/>
                <w:color w:val="101828"/>
                <w:sz w:val="14"/>
              </w:rPr>
              <w:t xml:space="preserve"> and </w:t>
            </w:r>
            <w:r>
              <w:rPr>
                <w:rFonts w:ascii="Calibri" w:hAnsi="Calibri"/>
                <w:i/>
                <w:color w:val="101828"/>
                <w:sz w:val="14"/>
              </w:rPr>
              <w:t>same day each month</w:t>
            </w:r>
            <w:r>
              <w:rPr>
                <w:rFonts w:ascii="Calibri" w:hAnsi="Calibri"/>
                <w:b w:val="0"/>
                <w:i w:val="0"/>
                <w:color w:val="101828"/>
                <w:sz w:val="14"/>
              </w:rPr>
              <w:t xml:space="preserve">, not </w:t>
            </w:r>
            <w:r>
              <w:rPr>
                <w:rFonts w:ascii="Calibri" w:hAnsi="Calibri"/>
                <w:i/>
                <w:color w:val="101828"/>
                <w:sz w:val="14"/>
              </w:rPr>
              <w:t>7-day cycle</w:t>
            </w:r>
            <w:r>
              <w:rPr>
                <w:rFonts w:ascii="Calibri" w:hAnsi="Calibri"/>
                <w:b w:val="0"/>
                <w:i w:val="0"/>
                <w:color w:val="101828"/>
                <w:sz w:val="14"/>
              </w:rPr>
              <w:t xml:space="preserve"> and </w:t>
            </w:r>
            <w:r>
              <w:rPr>
                <w:rFonts w:ascii="Calibri" w:hAnsi="Calibri"/>
                <w:i/>
                <w:color w:val="101828"/>
                <w:sz w:val="14"/>
              </w:rPr>
              <w:t>30-day cycle</w:t>
            </w:r>
            <w:r>
              <w:rPr>
                <w:rFonts w:ascii="Calibri" w:hAnsi="Calibri"/>
                <w:b w:val="0"/>
                <w:i w:val="0"/>
                <w:color w:val="101828"/>
                <w:sz w:val="14"/>
              </w:rPr>
              <w:t>. The start date from step 1 supplies the day.</w:t>
            </w:r>
          </w:p>
        </w:tc>
      </w:tr>
      <w:tr>
        <w:trPr>
          <w:cantSplit/>
        </w:trPr>
        <w:tc>
          <w:tcPr>
            <w:tcW w:type="dxa" w:w="749"/>
            <w:tcMar>
              <w:top w:w="60" w:type="dxa"/>
              <w:start w:w="110" w:type="dxa"/>
              <w:bottom w:w="60" w:type="dxa"/>
              <w:end w:w="110" w:type="dxa"/>
            </w:tcMar>
          </w:tcPr>
          <w:p>
            <w:pPr>
              <w:spacing w:after="0"/>
            </w:pPr>
            <w:r/>
            <w:r>
              <w:rPr>
                <w:rFonts w:ascii="Calibri" w:hAnsi="Calibri"/>
                <w:b w:val="0"/>
                <w:i w:val="0"/>
                <w:color w:val="101828"/>
                <w:sz w:val="14"/>
              </w:rPr>
              <w:t>(3) Irreversibility note</w:t>
            </w:r>
          </w:p>
        </w:tc>
        <w:tc>
          <w:tcPr>
            <w:tcW w:type="dxa" w:w="1627"/>
            <w:tcMar>
              <w:top w:w="60" w:type="dxa"/>
              <w:start w:w="110" w:type="dxa"/>
              <w:bottom w:w="60" w:type="dxa"/>
              <w:end w:w="110" w:type="dxa"/>
            </w:tcMar>
          </w:tcPr>
          <w:p>
            <w:pPr>
              <w:spacing w:after="0"/>
            </w:pPr>
            <w:r/>
            <w:r>
              <w:rPr>
                <w:rFonts w:ascii="Calibri" w:hAnsi="Calibri"/>
                <w:b w:val="0"/>
                <w:i w:val="0"/>
                <w:color w:val="101828"/>
                <w:sz w:val="14"/>
              </w:rPr>
              <w:t>States that this cannot be changed after activation.</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379"/>
            <w:tcMar>
              <w:top w:w="60" w:type="dxa"/>
              <w:start w:w="110" w:type="dxa"/>
              <w:bottom w:w="60" w:type="dxa"/>
              <w:end w:w="110" w:type="dxa"/>
            </w:tcMar>
          </w:tcPr>
          <w:p>
            <w:pPr>
              <w:spacing w:after="0"/>
            </w:pPr>
            <w:r/>
            <w:r>
              <w:rPr>
                <w:rFonts w:ascii="Calibri" w:hAnsi="Calibri"/>
                <w:b w:val="0"/>
                <w:i w:val="0"/>
                <w:color w:val="101828"/>
                <w:sz w:val="14"/>
              </w:rPr>
              <w:t>Shown on the step rather than at review, because this is the step where a person decides. An irreversibility warning seven steps later is a warning nobody reads.</w:t>
            </w:r>
          </w:p>
        </w:tc>
      </w:tr>
    </w:tbl>
    <w:p>
      <w:pPr>
        <w:spacing w:after="80"/>
      </w:pPr>
    </w:p>
    <w:p>
      <w:pPr>
        <w:pStyle w:val="Heading3"/>
      </w:pPr>
      <w:r>
        <w:rPr>
          <w:rFonts w:ascii="Calibri" w:hAnsi="Calibri"/>
          <w:b/>
          <w:i w:val="0"/>
          <w:color w:val="0B1F3A"/>
          <w:sz w:val="24"/>
        </w:rPr>
        <w:t>6.12.6 Step 4 — Duration</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  How many rounds?             |</w:t>
      </w:r>
    </w:p>
    <w:p>
      <w:pPr>
        <w:spacing w:before="0" w:after="0" w:line="240" w:lineRule="auto"/>
        <w:ind w:left="230"/>
        <w:shd w:val="clear" w:color="auto" w:fill="F7F9FC"/>
        <w:pBdr>
          <w:left w:val="single" w:sz="4" w:space="6" w:color="D0D5DD"/>
        </w:pBdr>
      </w:pPr>
      <w:r>
        <w:rPr>
          <w:rFonts w:ascii="Consolas" w:hAnsi="Consolas"/>
          <w:color w:val="0B1F3A"/>
          <w:sz w:val="16"/>
        </w:rPr>
        <w:t>|  [ 10                    ]    |</w:t>
      </w:r>
    </w:p>
    <w:p>
      <w:pPr>
        <w:spacing w:before="0" w:after="0" w:line="240" w:lineRule="auto"/>
        <w:ind w:left="230"/>
        <w:shd w:val="clear" w:color="auto" w:fill="F7F9FC"/>
        <w:pBdr>
          <w:left w:val="single" w:sz="4" w:space="6" w:color="D0D5DD"/>
        </w:pBdr>
      </w:pPr>
      <w:r>
        <w:rPr>
          <w:rFonts w:ascii="Consolas" w:hAnsi="Consolas"/>
          <w:color w:val="0B1F3A"/>
          <w:sz w:val="16"/>
        </w:rPr>
        <w:t>|  [ - ][ + ]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10 members, 10 rounds,    |</w:t>
      </w:r>
    </w:p>
    <w:p>
      <w:pPr>
        <w:spacing w:before="0" w:after="0" w:line="240" w:lineRule="auto"/>
        <w:ind w:left="230"/>
        <w:shd w:val="clear" w:color="auto" w:fill="F7F9FC"/>
        <w:pBdr>
          <w:left w:val="single" w:sz="4" w:space="6" w:color="D0D5DD"/>
        </w:pBdr>
      </w:pPr>
      <w:r>
        <w:rPr>
          <w:rFonts w:ascii="Consolas" w:hAnsi="Consolas"/>
          <w:color w:val="0B1F3A"/>
          <w:sz w:val="16"/>
        </w:rPr>
        <w:t>|    everyone pays once and     |</w:t>
      </w:r>
    </w:p>
    <w:p>
      <w:pPr>
        <w:spacing w:before="0" w:after="0" w:line="240" w:lineRule="auto"/>
        <w:ind w:left="230"/>
        <w:shd w:val="clear" w:color="auto" w:fill="F7F9FC"/>
        <w:pBdr>
          <w:left w:val="single" w:sz="4" w:space="6" w:color="D0D5DD"/>
        </w:pBdr>
      </w:pPr>
      <w:r>
        <w:rPr>
          <w:rFonts w:ascii="Consolas" w:hAnsi="Consolas"/>
          <w:color w:val="0B1F3A"/>
          <w:sz w:val="16"/>
        </w:rPr>
        <w:t>|    everyone is paid once.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Round    Due            Fee  |</w:t>
      </w:r>
    </w:p>
    <w:p>
      <w:pPr>
        <w:spacing w:before="0" w:after="0" w:line="240" w:lineRule="auto"/>
        <w:ind w:left="230"/>
        <w:shd w:val="clear" w:color="auto" w:fill="F7F9FC"/>
        <w:pBdr>
          <w:left w:val="single" w:sz="4" w:space="6" w:color="D0D5DD"/>
        </w:pBdr>
      </w:pPr>
      <w:r>
        <w:rPr>
          <w:rFonts w:ascii="Consolas" w:hAnsi="Consolas"/>
          <w:color w:val="0B1F3A"/>
          <w:sz w:val="16"/>
        </w:rPr>
        <w:t>|  1        15 Sep       NGN 20 |</w:t>
      </w:r>
    </w:p>
    <w:p>
      <w:pPr>
        <w:spacing w:before="0" w:after="0" w:line="240" w:lineRule="auto"/>
        <w:ind w:left="230"/>
        <w:shd w:val="clear" w:color="auto" w:fill="F7F9FC"/>
        <w:pBdr>
          <w:left w:val="single" w:sz="4" w:space="6" w:color="D0D5DD"/>
        </w:pBdr>
      </w:pPr>
      <w:r>
        <w:rPr>
          <w:rFonts w:ascii="Consolas" w:hAnsi="Consolas"/>
          <w:color w:val="0B1F3A"/>
          <w:sz w:val="16"/>
        </w:rPr>
        <w:t>|  2        22 Sep       NGN 20 |</w:t>
      </w:r>
    </w:p>
    <w:p>
      <w:pPr>
        <w:spacing w:before="0" w:after="0" w:line="240" w:lineRule="auto"/>
        <w:ind w:left="230"/>
        <w:shd w:val="clear" w:color="auto" w:fill="F7F9FC"/>
        <w:pBdr>
          <w:left w:val="single" w:sz="4" w:space="6" w:color="D0D5DD"/>
        </w:pBdr>
      </w:pPr>
      <w:r>
        <w:rPr>
          <w:rFonts w:ascii="Consolas" w:hAnsi="Consolas"/>
          <w:color w:val="0B1F3A"/>
          <w:sz w:val="16"/>
        </w:rPr>
        <w:t>|  3        29 Sep       NGN 20 |</w:t>
      </w:r>
    </w:p>
    <w:p>
      <w:pPr>
        <w:spacing w:before="0" w:after="0" w:line="240" w:lineRule="auto"/>
        <w:ind w:left="230"/>
        <w:shd w:val="clear" w:color="auto" w:fill="F7F9FC"/>
        <w:pBdr>
          <w:left w:val="single" w:sz="4" w:space="6" w:color="D0D5DD"/>
        </w:pBdr>
      </w:pPr>
      <w:r>
        <w:rPr>
          <w:rFonts w:ascii="Consolas" w:hAnsi="Consolas"/>
          <w:color w:val="0B1F3A"/>
          <w:sz w:val="16"/>
        </w:rPr>
        <w:t>|  4        05 Oct       NGN 20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10       10 Nov       NGN 20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Ends 10 Nov 2026            |</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2002"/>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149"/>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 Rounds field</w:t>
            </w:r>
          </w:p>
        </w:tc>
        <w:tc>
          <w:tcPr>
            <w:tcW w:type="dxa" w:w="2002"/>
            <w:tcMar>
              <w:top w:w="60" w:type="dxa"/>
              <w:start w:w="110" w:type="dxa"/>
              <w:bottom w:w="60" w:type="dxa"/>
              <w:end w:w="110" w:type="dxa"/>
            </w:tcMar>
          </w:tcPr>
          <w:p>
            <w:pPr>
              <w:spacing w:after="0"/>
            </w:pPr>
            <w:r/>
            <w:r>
              <w:rPr>
                <w:rFonts w:ascii="Calibri" w:hAnsi="Calibri"/>
                <w:b w:val="0"/>
                <w:i w:val="0"/>
                <w:color w:val="101828"/>
                <w:sz w:val="14"/>
              </w:rPr>
              <w:t>Number of rounds, defaulting to the position count from step 1.</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149"/>
            <w:tcMar>
              <w:top w:w="60" w:type="dxa"/>
              <w:start w:w="110" w:type="dxa"/>
              <w:bottom w:w="60" w:type="dxa"/>
              <w:end w:w="110" w:type="dxa"/>
            </w:tcMar>
          </w:tcPr>
          <w:p>
            <w:pPr>
              <w:spacing w:after="0"/>
            </w:pPr>
            <w:r/>
            <w:r>
              <w:rPr>
                <w:rFonts w:ascii="Calibri" w:hAnsi="Calibri"/>
                <w:b w:val="0"/>
                <w:i w:val="0"/>
                <w:color w:val="101828"/>
                <w:sz w:val="14"/>
              </w:rPr>
              <w:t>Rounds need not equal positions. A group of ten people who save for five rounds is a real arrangement, and the product does not force the equal case.</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Relationship note</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States the relationship between positions, rounds and payouts in one sentence.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149"/>
            <w:tcMar>
              <w:top w:w="60" w:type="dxa"/>
              <w:start w:w="110" w:type="dxa"/>
              <w:bottom w:w="60" w:type="dxa"/>
              <w:end w:w="110" w:type="dxa"/>
            </w:tcMar>
            <w:shd w:val="clear" w:color="auto" w:fill="F4F7FB"/>
          </w:tcPr>
          <w:p>
            <w:pPr>
              <w:spacing w:after="0"/>
            </w:pPr>
            <w:r/>
            <w:r>
              <w:rPr>
                <w:rFonts w:ascii="Calibri" w:hAnsi="Calibri"/>
                <w:i/>
                <w:color w:val="101828"/>
                <w:sz w:val="14"/>
              </w:rPr>
              <w:t>Everyone pays once and everyone is paid once</w:t>
            </w:r>
            <w:r>
              <w:rPr>
                <w:rFonts w:ascii="Calibri" w:hAnsi="Calibri"/>
                <w:b w:val="0"/>
                <w:i w:val="0"/>
                <w:color w:val="101828"/>
                <w:sz w:val="14"/>
              </w:rPr>
              <w:t xml:space="preserve"> holds only when rounds equal positions. </w:t>
            </w:r>
            <w:r>
              <w:rPr>
                <w:rFonts w:ascii="Calibri" w:hAnsi="Calibri"/>
                <w:b/>
                <w:color w:val="101828"/>
                <w:sz w:val="14"/>
              </w:rPr>
              <w:t>When they differ, the note changes to describe the actual shape</w:t>
            </w:r>
            <w:r>
              <w:rPr>
                <w:rFonts w:ascii="Calibri" w:hAnsi="Calibri"/>
                <w:b w:val="0"/>
                <w:i w:val="0"/>
                <w:color w:val="101828"/>
                <w:sz w:val="14"/>
              </w:rPr>
              <w:t xml:space="preserve"> and says plainly who is not paid, because the equal case is the one that reads as universal and is not.</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 Schedule preview</w:t>
            </w:r>
          </w:p>
        </w:tc>
        <w:tc>
          <w:tcPr>
            <w:tcW w:type="dxa" w:w="2002"/>
            <w:tcMar>
              <w:top w:w="60" w:type="dxa"/>
              <w:start w:w="110" w:type="dxa"/>
              <w:bottom w:w="60" w:type="dxa"/>
              <w:end w:w="110" w:type="dxa"/>
            </w:tcMar>
          </w:tcPr>
          <w:p>
            <w:pPr>
              <w:spacing w:after="0"/>
            </w:pPr>
            <w:r/>
            <w:r>
              <w:rPr>
                <w:rFonts w:ascii="Calibri" w:hAnsi="Calibri"/>
                <w:b w:val="0"/>
                <w:i w:val="0"/>
                <w:color w:val="101828"/>
                <w:sz w:val="14"/>
              </w:rPr>
              <w:t>The first four and last round with due dates and the fee.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149"/>
            <w:tcMar>
              <w:top w:w="60" w:type="dxa"/>
              <w:start w:w="110" w:type="dxa"/>
              <w:bottom w:w="60" w:type="dxa"/>
              <w:end w:w="110" w:type="dxa"/>
            </w:tcMar>
          </w:tcPr>
          <w:p>
            <w:pPr>
              <w:spacing w:after="0"/>
            </w:pPr>
            <w:r/>
            <w:r>
              <w:rPr>
                <w:rFonts w:ascii="Calibri" w:hAnsi="Calibri"/>
                <w:b w:val="0"/>
                <w:i w:val="0"/>
                <w:color w:val="101828"/>
                <w:sz w:val="14"/>
              </w:rPr>
              <w:t>Due dates are computed from the start date and the frequency, so a date change in step 1 is visible here as a consequence rather than discovered later. The fee column is per round, because that is how it is charged.</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 End date</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4"/>
              </w:rPr>
              <w:t>The date the last round is due.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149"/>
            <w:tcMar>
              <w:top w:w="60" w:type="dxa"/>
              <w:start w:w="110" w:type="dxa"/>
              <w:bottom w:w="60" w:type="dxa"/>
              <w:end w:w="110" w:type="dxa"/>
            </w:tcMar>
            <w:shd w:val="clear" w:color="auto" w:fill="F4F7FB"/>
          </w:tcPr>
          <w:p>
            <w:pPr>
              <w:spacing w:after="0"/>
            </w:pPr>
            <w:r/>
            <w:r>
              <w:rPr>
                <w:rFonts w:ascii="Calibri" w:hAnsi="Calibri"/>
                <w:b w:val="0"/>
                <w:i w:val="0"/>
                <w:color w:val="101828"/>
                <w:sz w:val="14"/>
              </w:rPr>
              <w:t>Derived, not entered. A person who would rather enter an end date is expressing the same intent, and the derived value is less ambiguous.</w:t>
            </w:r>
          </w:p>
        </w:tc>
      </w:tr>
    </w:tbl>
    <w:p>
      <w:pPr>
        <w:spacing w:after="80"/>
      </w:pPr>
    </w:p>
    <w:p>
      <w:pPr>
        <w:pStyle w:val="Heading3"/>
      </w:pPr>
      <w:r>
        <w:rPr>
          <w:rFonts w:ascii="Calibri" w:hAnsi="Calibri"/>
          <w:b/>
          <w:i w:val="0"/>
          <w:color w:val="0B1F3A"/>
          <w:sz w:val="24"/>
        </w:rPr>
        <w:t>6.12.7 Step 5 — Invite members</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  Invite your members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Positions 4 of 10 filled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1  Adaeze    joined         |</w:t>
      </w:r>
    </w:p>
    <w:p>
      <w:pPr>
        <w:spacing w:before="0" w:after="0" w:line="240" w:lineRule="auto"/>
        <w:ind w:left="230"/>
        <w:shd w:val="clear" w:color="auto" w:fill="F7F9FC"/>
        <w:pBdr>
          <w:left w:val="single" w:sz="4" w:space="6" w:color="D0D5DD"/>
        </w:pBdr>
      </w:pPr>
      <w:r>
        <w:rPr>
          <w:rFonts w:ascii="Consolas" w:hAnsi="Consolas"/>
          <w:color w:val="0B1F3A"/>
          <w:sz w:val="16"/>
        </w:rPr>
        <w:t>|  2  Chima     joined         |</w:t>
      </w:r>
    </w:p>
    <w:p>
      <w:pPr>
        <w:spacing w:before="0" w:after="0" w:line="240" w:lineRule="auto"/>
        <w:ind w:left="230"/>
        <w:shd w:val="clear" w:color="auto" w:fill="F7F9FC"/>
        <w:pBdr>
          <w:left w:val="single" w:sz="4" w:space="6" w:color="D0D5DD"/>
        </w:pBdr>
      </w:pPr>
      <w:r>
        <w:rPr>
          <w:rFonts w:ascii="Consolas" w:hAnsi="Consolas"/>
          <w:color w:val="0B1F3A"/>
          <w:sz w:val="16"/>
        </w:rPr>
        <w:t>|  3  Fatima    joined         |</w:t>
      </w:r>
    </w:p>
    <w:p>
      <w:pPr>
        <w:spacing w:before="0" w:after="0" w:line="240" w:lineRule="auto"/>
        <w:ind w:left="230"/>
        <w:shd w:val="clear" w:color="auto" w:fill="F7F9FC"/>
        <w:pBdr>
          <w:left w:val="single" w:sz="4" w:space="6" w:color="D0D5DD"/>
        </w:pBdr>
      </w:pPr>
      <w:r>
        <w:rPr>
          <w:rFonts w:ascii="Consolas" w:hAnsi="Consolas"/>
          <w:color w:val="0B1F3A"/>
          <w:sz w:val="16"/>
        </w:rPr>
        <w:t>|  4  Ibrahim   invited        |</w:t>
      </w:r>
    </w:p>
    <w:p>
      <w:pPr>
        <w:spacing w:before="0" w:after="0" w:line="240" w:lineRule="auto"/>
        <w:ind w:left="230"/>
        <w:shd w:val="clear" w:color="auto" w:fill="F7F9FC"/>
        <w:pBdr>
          <w:left w:val="single" w:sz="4" w:space="6" w:color="D0D5DD"/>
        </w:pBdr>
      </w:pPr>
      <w:r>
        <w:rPr>
          <w:rFonts w:ascii="Consolas" w:hAnsi="Consolas"/>
          <w:color w:val="0B1F3A"/>
          <w:sz w:val="16"/>
        </w:rPr>
        <w:t>|  5  -         add            |</w:t>
      </w:r>
    </w:p>
    <w:p>
      <w:pPr>
        <w:spacing w:before="0" w:after="0" w:line="240" w:lineRule="auto"/>
        <w:ind w:left="230"/>
        <w:shd w:val="clear" w:color="auto" w:fill="F7F9FC"/>
        <w:pBdr>
          <w:left w:val="single" w:sz="4" w:space="6" w:color="D0D5DD"/>
        </w:pBdr>
      </w:pPr>
      <w:r>
        <w:rPr>
          <w:rFonts w:ascii="Consolas" w:hAnsi="Consolas"/>
          <w:color w:val="0B1F3A"/>
          <w:sz w:val="16"/>
        </w:rPr>
        <w:t>|  6  -         add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10 -         add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Add by phone }*           |</w:t>
      </w:r>
    </w:p>
    <w:p>
      <w:pPr>
        <w:spacing w:before="0" w:after="0" w:line="240" w:lineRule="auto"/>
        <w:ind w:left="230"/>
        <w:shd w:val="clear" w:color="auto" w:fill="F7F9FC"/>
        <w:pBdr>
          <w:left w:val="single" w:sz="4" w:space="6" w:color="D0D5DD"/>
        </w:pBdr>
      </w:pPr>
      <w:r>
        <w:rPr>
          <w:rFonts w:ascii="Consolas" w:hAnsi="Consolas"/>
          <w:color w:val="0B1F3A"/>
          <w:sz w:val="16"/>
        </w:rPr>
        <w:t>|  { Copy invite link }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6 positions still open.   |</w:t>
      </w:r>
    </w:p>
    <w:p>
      <w:pPr>
        <w:spacing w:before="0" w:after="0" w:line="240" w:lineRule="auto"/>
        <w:ind w:left="230"/>
        <w:shd w:val="clear" w:color="auto" w:fill="F7F9FC"/>
        <w:pBdr>
          <w:left w:val="single" w:sz="4" w:space="6" w:color="D0D5DD"/>
        </w:pBdr>
      </w:pPr>
      <w:r>
        <w:rPr>
          <w:rFonts w:ascii="Consolas" w:hAnsi="Consolas"/>
          <w:color w:val="0B1F3A"/>
          <w:sz w:val="16"/>
        </w:rPr>
        <w:t>|   This Ajo cancels itself on  |</w:t>
      </w:r>
    </w:p>
    <w:p>
      <w:pPr>
        <w:spacing w:before="0" w:after="0" w:line="240" w:lineRule="auto"/>
        <w:ind w:left="230"/>
        <w:shd w:val="clear" w:color="auto" w:fill="F7F9FC"/>
        <w:pBdr>
          <w:left w:val="single" w:sz="4" w:space="6" w:color="D0D5DD"/>
        </w:pBdr>
      </w:pPr>
      <w:r>
        <w:rPr>
          <w:rFonts w:ascii="Consolas" w:hAnsi="Consolas"/>
          <w:color w:val="0B1F3A"/>
          <w:sz w:val="16"/>
        </w:rPr>
        <w:t>|   20 Sep if they are not     |</w:t>
      </w:r>
    </w:p>
    <w:p>
      <w:pPr>
        <w:spacing w:before="0" w:after="0" w:line="240" w:lineRule="auto"/>
        <w:ind w:left="230"/>
        <w:shd w:val="clear" w:color="auto" w:fill="F7F9FC"/>
        <w:pBdr>
          <w:left w:val="single" w:sz="4" w:space="6" w:color="D0D5DD"/>
        </w:pBdr>
      </w:pPr>
      <w:r>
        <w:rPr>
          <w:rFonts w:ascii="Consolas" w:hAnsi="Consolas"/>
          <w:color w:val="0B1F3A"/>
          <w:sz w:val="16"/>
        </w:rPr>
        <w:t>|   filled, and you are         |</w:t>
      </w:r>
    </w:p>
    <w:p>
      <w:pPr>
        <w:spacing w:before="0" w:after="0" w:line="240" w:lineRule="auto"/>
        <w:ind w:left="230"/>
        <w:shd w:val="clear" w:color="auto" w:fill="F7F9FC"/>
        <w:pBdr>
          <w:left w:val="single" w:sz="4" w:space="6" w:color="D0D5DD"/>
        </w:pBdr>
      </w:pPr>
      <w:r>
        <w:rPr>
          <w:rFonts w:ascii="Consolas" w:hAnsi="Consolas"/>
          <w:color w:val="0B1F3A"/>
          <w:sz w:val="16"/>
        </w:rPr>
        <w:t>|   refunded in full.          |</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734"/>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541"/>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480"/>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734"/>
            <w:tcMar>
              <w:top w:w="60" w:type="dxa"/>
              <w:start w:w="110" w:type="dxa"/>
              <w:bottom w:w="60" w:type="dxa"/>
              <w:end w:w="110" w:type="dxa"/>
            </w:tcMar>
          </w:tcPr>
          <w:p>
            <w:pPr>
              <w:spacing w:after="0"/>
            </w:pPr>
            <w:r/>
            <w:r>
              <w:rPr>
                <w:rFonts w:ascii="Calibri" w:hAnsi="Calibri"/>
                <w:b w:val="0"/>
                <w:i w:val="0"/>
                <w:color w:val="101828"/>
                <w:sz w:val="14"/>
              </w:rPr>
              <w:t>(1) Position roster</w:t>
            </w:r>
          </w:p>
        </w:tc>
        <w:tc>
          <w:tcPr>
            <w:tcW w:type="dxa" w:w="1541"/>
            <w:tcMar>
              <w:top w:w="60" w:type="dxa"/>
              <w:start w:w="110" w:type="dxa"/>
              <w:bottom w:w="60" w:type="dxa"/>
              <w:end w:w="110" w:type="dxa"/>
            </w:tcMar>
          </w:tcPr>
          <w:p>
            <w:pPr>
              <w:spacing w:after="0"/>
            </w:pPr>
            <w:r/>
            <w:r>
              <w:rPr>
                <w:rFonts w:ascii="Calibri" w:hAnsi="Calibri"/>
                <w:b w:val="0"/>
                <w:i w:val="0"/>
                <w:color w:val="101828"/>
                <w:sz w:val="14"/>
              </w:rPr>
              <w:t>One row per position, in payout order.</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480"/>
            <w:tcMar>
              <w:top w:w="60" w:type="dxa"/>
              <w:start w:w="110" w:type="dxa"/>
              <w:bottom w:w="60" w:type="dxa"/>
              <w:end w:w="110" w:type="dxa"/>
            </w:tcMar>
          </w:tcPr>
          <w:p>
            <w:pPr>
              <w:spacing w:after="0"/>
            </w:pPr>
            <w:r/>
            <w:r>
              <w:rPr>
                <w:rFonts w:ascii="Calibri" w:hAnsi="Calibri"/>
                <w:b w:val="0"/>
                <w:i w:val="0"/>
                <w:color w:val="101828"/>
                <w:sz w:val="14"/>
              </w:rPr>
              <w:t xml:space="preserve">The roster is editable here and nowhere else before activation. </w:t>
            </w:r>
            <w:r>
              <w:rPr>
                <w:rFonts w:ascii="Calibri" w:hAnsi="Calibri"/>
                <w:b/>
                <w:color w:val="101828"/>
                <w:sz w:val="14"/>
              </w:rPr>
              <w:t>A filled position may be cleared</w:t>
            </w:r>
            <w:r>
              <w:rPr>
                <w:rFonts w:ascii="Calibri" w:hAnsi="Calibri"/>
                <w:b w:val="0"/>
                <w:i w:val="0"/>
                <w:color w:val="101828"/>
                <w:sz w:val="14"/>
              </w:rPr>
              <w:t>, which removes the member and frees the position; an accepted member cannot be silently dropped, so a removal requires the member's own decline or an explicit removal action that is recorded.</w:t>
            </w:r>
          </w:p>
        </w:tc>
      </w:tr>
      <w:tr>
        <w:trPr>
          <w:cantSplit/>
        </w:trPr>
        <w:tc>
          <w:tcPr>
            <w:tcW w:type="dxa" w:w="734"/>
            <w:tcMar>
              <w:top w:w="60" w:type="dxa"/>
              <w:start w:w="110" w:type="dxa"/>
              <w:bottom w:w="60" w:type="dxa"/>
              <w:end w:w="110" w:type="dxa"/>
            </w:tcMar>
            <w:shd w:val="clear" w:color="auto" w:fill="F4F7FB"/>
          </w:tcPr>
          <w:p>
            <w:pPr>
              <w:spacing w:after="0"/>
            </w:pPr>
            <w:r/>
            <w:r>
              <w:rPr>
                <w:rFonts w:ascii="Calibri" w:hAnsi="Calibri"/>
                <w:b w:val="0"/>
                <w:i w:val="0"/>
                <w:color w:val="101828"/>
                <w:sz w:val="14"/>
              </w:rPr>
              <w:t>(2) Add by phone</w:t>
            </w:r>
          </w:p>
        </w:tc>
        <w:tc>
          <w:tcPr>
            <w:tcW w:type="dxa" w:w="1541"/>
            <w:tcMar>
              <w:top w:w="60" w:type="dxa"/>
              <w:start w:w="110" w:type="dxa"/>
              <w:bottom w:w="60" w:type="dxa"/>
              <w:end w:w="110" w:type="dxa"/>
            </w:tcMar>
            <w:shd w:val="clear" w:color="auto" w:fill="F4F7FB"/>
          </w:tcPr>
          <w:p>
            <w:pPr>
              <w:spacing w:after="0"/>
            </w:pPr>
            <w:r/>
            <w:r>
              <w:rPr>
                <w:rFonts w:ascii="Calibri" w:hAnsi="Calibri"/>
                <w:b w:val="0"/>
                <w:i w:val="0"/>
                <w:color w:val="101828"/>
                <w:sz w:val="14"/>
              </w:rPr>
              <w:t>Invites a person by phone number.</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48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Creates an </w:t>
            </w:r>
            <w:r>
              <w:rPr>
                <w:rFonts w:ascii="Consolas" w:hAnsi="Consolas"/>
                <w:color w:val="146EF5"/>
                <w:sz w:val="14"/>
              </w:rPr>
              <w:t>invitations</w:t>
            </w:r>
            <w:r>
              <w:rPr>
                <w:rFonts w:ascii="Calibri" w:hAnsi="Calibri"/>
                <w:b w:val="0"/>
                <w:i w:val="0"/>
                <w:color w:val="101828"/>
                <w:sz w:val="14"/>
              </w:rPr>
              <w:t xml:space="preserve"> row and sends </w:t>
            </w:r>
            <w:r>
              <w:rPr>
                <w:rFonts w:ascii="Consolas" w:hAnsi="Consolas"/>
                <w:color w:val="146EF5"/>
                <w:sz w:val="14"/>
              </w:rPr>
              <w:t>invitation.received</w:t>
            </w:r>
            <w:r>
              <w:rPr>
                <w:rFonts w:ascii="Calibri" w:hAnsi="Calibri"/>
                <w:b w:val="0"/>
                <w:i w:val="0"/>
                <w:color w:val="101828"/>
                <w:sz w:val="14"/>
              </w:rPr>
              <w:t xml:space="preserve"> by push, email and SMS, because the recipient may not have an account yet.</w:t>
            </w:r>
          </w:p>
        </w:tc>
      </w:tr>
      <w:tr>
        <w:trPr>
          <w:cantSplit/>
        </w:trPr>
        <w:tc>
          <w:tcPr>
            <w:tcW w:type="dxa" w:w="734"/>
            <w:tcMar>
              <w:top w:w="60" w:type="dxa"/>
              <w:start w:w="110" w:type="dxa"/>
              <w:bottom w:w="60" w:type="dxa"/>
              <w:end w:w="110" w:type="dxa"/>
            </w:tcMar>
          </w:tcPr>
          <w:p>
            <w:pPr>
              <w:spacing w:after="0"/>
            </w:pPr>
            <w:r/>
            <w:r>
              <w:rPr>
                <w:rFonts w:ascii="Calibri" w:hAnsi="Calibri"/>
                <w:b w:val="0"/>
                <w:i w:val="0"/>
                <w:color w:val="101828"/>
                <w:sz w:val="14"/>
              </w:rPr>
              <w:t>(3) Copy invite link</w:t>
            </w:r>
          </w:p>
        </w:tc>
        <w:tc>
          <w:tcPr>
            <w:tcW w:type="dxa" w:w="1541"/>
            <w:tcMar>
              <w:top w:w="60" w:type="dxa"/>
              <w:start w:w="110" w:type="dxa"/>
              <w:bottom w:w="60" w:type="dxa"/>
              <w:end w:w="110" w:type="dxa"/>
            </w:tcMar>
          </w:tcPr>
          <w:p>
            <w:pPr>
              <w:spacing w:after="0"/>
            </w:pPr>
            <w:r/>
            <w:r>
              <w:rPr>
                <w:rFonts w:ascii="Calibri" w:hAnsi="Calibri"/>
                <w:b w:val="0"/>
                <w:i w:val="0"/>
                <w:color w:val="101828"/>
                <w:sz w:val="14"/>
              </w:rPr>
              <w:t>A shareable link for open group chats.</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480"/>
            <w:tcMar>
              <w:top w:w="60" w:type="dxa"/>
              <w:start w:w="110" w:type="dxa"/>
              <w:bottom w:w="60" w:type="dxa"/>
              <w:end w:w="110" w:type="dxa"/>
            </w:tcMar>
          </w:tcPr>
          <w:p>
            <w:pPr>
              <w:spacing w:after="0"/>
            </w:pPr>
            <w:r/>
            <w:r>
              <w:rPr>
                <w:rFonts w:ascii="Calibri" w:hAnsi="Calibri"/>
                <w:b w:val="0"/>
                <w:i w:val="0"/>
                <w:color w:val="101828"/>
                <w:sz w:val="14"/>
              </w:rPr>
              <w:t xml:space="preserve">The link resolves to </w:t>
            </w:r>
            <w:r>
              <w:rPr>
                <w:rFonts w:ascii="Consolas" w:hAnsi="Consolas"/>
                <w:color w:val="146EF5"/>
                <w:sz w:val="14"/>
              </w:rPr>
              <w:t>GET /invitations/:token</w:t>
            </w:r>
            <w:r>
              <w:rPr>
                <w:rFonts w:ascii="Calibri" w:hAnsi="Calibri"/>
                <w:b w:val="0"/>
                <w:i w:val="0"/>
                <w:color w:val="101828"/>
                <w:sz w:val="14"/>
              </w:rPr>
              <w:t xml:space="preserve"> and then the join screen at 6.13. It is not the same URL as the Ajo, so a link posted publicly does not expose the Ajo.</w:t>
            </w:r>
          </w:p>
        </w:tc>
      </w:tr>
      <w:tr>
        <w:trPr>
          <w:cantSplit/>
        </w:trPr>
        <w:tc>
          <w:tcPr>
            <w:tcW w:type="dxa" w:w="734"/>
            <w:tcMar>
              <w:top w:w="60" w:type="dxa"/>
              <w:start w:w="110" w:type="dxa"/>
              <w:bottom w:w="60" w:type="dxa"/>
              <w:end w:w="110" w:type="dxa"/>
            </w:tcMar>
            <w:shd w:val="clear" w:color="auto" w:fill="F4F7FB"/>
          </w:tcPr>
          <w:p>
            <w:pPr>
              <w:spacing w:after="0"/>
            </w:pPr>
            <w:r/>
            <w:r>
              <w:rPr>
                <w:rFonts w:ascii="Calibri" w:hAnsi="Calibri"/>
                <w:b w:val="0"/>
                <w:i w:val="0"/>
                <w:color w:val="101828"/>
                <w:sz w:val="14"/>
              </w:rPr>
              <w:t>(4) Enrollment deadline warning</w:t>
            </w:r>
          </w:p>
        </w:tc>
        <w:tc>
          <w:tcPr>
            <w:tcW w:type="dxa" w:w="1541"/>
            <w:tcMar>
              <w:top w:w="60" w:type="dxa"/>
              <w:start w:w="110" w:type="dxa"/>
              <w:bottom w:w="60" w:type="dxa"/>
              <w:end w:w="110" w:type="dxa"/>
            </w:tcMar>
            <w:shd w:val="clear" w:color="auto" w:fill="F4F7FB"/>
          </w:tcPr>
          <w:p>
            <w:pPr>
              <w:spacing w:after="0"/>
            </w:pPr>
            <w:r/>
            <w:r>
              <w:rPr>
                <w:rFonts w:ascii="Calibri" w:hAnsi="Calibri"/>
                <w:b w:val="0"/>
                <w:i w:val="0"/>
                <w:color w:val="101828"/>
                <w:sz w:val="14"/>
              </w:rPr>
              <w:t>The day-5 auto-cancel and full-refund rule, with the actual date.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480"/>
            <w:tcMar>
              <w:top w:w="60" w:type="dxa"/>
              <w:start w:w="110" w:type="dxa"/>
              <w:bottom w:w="60" w:type="dxa"/>
              <w:end w:w="110" w:type="dxa"/>
            </w:tcMar>
            <w:shd w:val="clear" w:color="auto" w:fill="F4F7FB"/>
          </w:tcPr>
          <w:p>
            <w:pPr>
              <w:spacing w:after="0"/>
            </w:pPr>
            <w:r/>
            <w:r>
              <w:rPr>
                <w:rFonts w:ascii="Calibri" w:hAnsi="Calibri"/>
                <w:b/>
                <w:color w:val="101828"/>
                <w:sz w:val="14"/>
              </w:rPr>
              <w:t>Mandatory.</w:t>
            </w:r>
            <w:r>
              <w:rPr>
                <w:rFonts w:ascii="Calibri" w:hAnsi="Calibri"/>
                <w:b w:val="0"/>
                <w:i w:val="0"/>
                <w:color w:val="101828"/>
                <w:sz w:val="14"/>
              </w:rPr>
              <w:t xml:space="preserve"> CANONICAL.md fixes the enrollment window at exactly 5 days with automatic cancellation and full refund. A rule with a financial consequence and a date attached belongs on the screen, not in a policy page.</w:t>
            </w:r>
          </w:p>
        </w:tc>
      </w:tr>
    </w:tbl>
    <w:p>
      <w:pPr>
        <w:spacing w:after="80"/>
      </w:pPr>
    </w:p>
    <w:p>
      <w:pPr>
        <w:pStyle w:val="Heading3"/>
      </w:pPr>
      <w:r>
        <w:rPr>
          <w:rFonts w:ascii="Calibri" w:hAnsi="Calibri"/>
          <w:b/>
          <w:i w:val="0"/>
          <w:color w:val="0B1F3A"/>
          <w:sz w:val="24"/>
        </w:rPr>
        <w:t>6.12.8 Step 6 — Payout order</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  Who is paid, and when?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1  Adaeze    round 1        |</w:t>
      </w:r>
    </w:p>
    <w:p>
      <w:pPr>
        <w:spacing w:before="0" w:after="0" w:line="240" w:lineRule="auto"/>
        <w:ind w:left="230"/>
        <w:shd w:val="clear" w:color="auto" w:fill="F7F9FC"/>
        <w:pBdr>
          <w:left w:val="single" w:sz="4" w:space="6" w:color="D0D5DD"/>
        </w:pBdr>
      </w:pPr>
      <w:r>
        <w:rPr>
          <w:rFonts w:ascii="Consolas" w:hAnsi="Consolas"/>
          <w:color w:val="0B1F3A"/>
          <w:sz w:val="16"/>
        </w:rPr>
        <w:t>|  2  Chima     round 2        |</w:t>
      </w:r>
    </w:p>
    <w:p>
      <w:pPr>
        <w:spacing w:before="0" w:after="0" w:line="240" w:lineRule="auto"/>
        <w:ind w:left="230"/>
        <w:shd w:val="clear" w:color="auto" w:fill="F7F9FC"/>
        <w:pBdr>
          <w:left w:val="single" w:sz="4" w:space="6" w:color="D0D5DD"/>
        </w:pBdr>
      </w:pPr>
      <w:r>
        <w:rPr>
          <w:rFonts w:ascii="Consolas" w:hAnsi="Consolas"/>
          <w:color w:val="0B1F3A"/>
          <w:sz w:val="16"/>
        </w:rPr>
        <w:t>|  3  Fatima    round 3        |</w:t>
      </w:r>
    </w:p>
    <w:p>
      <w:pPr>
        <w:spacing w:before="0" w:after="0" w:line="240" w:lineRule="auto"/>
        <w:ind w:left="230"/>
        <w:shd w:val="clear" w:color="auto" w:fill="F7F9FC"/>
        <w:pBdr>
          <w:left w:val="single" w:sz="4" w:space="6" w:color="D0D5DD"/>
        </w:pBdr>
      </w:pPr>
      <w:r>
        <w:rPr>
          <w:rFonts w:ascii="Consolas" w:hAnsi="Consolas"/>
          <w:color w:val="0B1F3A"/>
          <w:sz w:val="16"/>
        </w:rPr>
        <w:t>|  4  Ibrahim   round 4        |</w:t>
      </w:r>
    </w:p>
    <w:p>
      <w:pPr>
        <w:spacing w:before="0" w:after="0" w:line="240" w:lineRule="auto"/>
        <w:ind w:left="230"/>
        <w:shd w:val="clear" w:color="auto" w:fill="F7F9FC"/>
        <w:pBdr>
          <w:left w:val="single" w:sz="4" w:space="6" w:color="D0D5DD"/>
        </w:pBdr>
      </w:pPr>
      <w:r>
        <w:rPr>
          <w:rFonts w:ascii="Consolas" w:hAnsi="Consolas"/>
          <w:color w:val="0B1F3A"/>
          <w:sz w:val="16"/>
        </w:rPr>
        <w:t>|  5  ...                       |</w:t>
      </w:r>
    </w:p>
    <w:p>
      <w:pPr>
        <w:spacing w:before="0" w:after="0" w:line="240" w:lineRule="auto"/>
        <w:ind w:left="230"/>
        <w:shd w:val="clear" w:color="auto" w:fill="F7F9FC"/>
        <w:pBdr>
          <w:left w:val="single" w:sz="4" w:space="6" w:color="D0D5DD"/>
        </w:pBdr>
      </w:pPr>
      <w:r>
        <w:rPr>
          <w:rFonts w:ascii="Consolas" w:hAnsi="Consolas"/>
          <w:color w:val="0B1F3A"/>
          <w:sz w:val="16"/>
        </w:rPr>
        <w:t>|  10 Ibrahim   round 10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&lt; Drag to reorder &gt;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This order locks when    |</w:t>
      </w:r>
    </w:p>
    <w:p>
      <w:pPr>
        <w:spacing w:before="0" w:after="0" w:line="240" w:lineRule="auto"/>
        <w:ind w:left="230"/>
        <w:shd w:val="clear" w:color="auto" w:fill="F7F9FC"/>
        <w:pBdr>
          <w:left w:val="single" w:sz="4" w:space="6" w:color="D0D5DD"/>
        </w:pBdr>
      </w:pPr>
      <w:r>
        <w:rPr>
          <w:rFonts w:ascii="Consolas" w:hAnsi="Consolas"/>
          <w:color w:val="0B1F3A"/>
          <w:sz w:val="16"/>
        </w:rPr>
        <w:t>|   the Ajo activates. Moving  |</w:t>
      </w:r>
    </w:p>
    <w:p>
      <w:pPr>
        <w:spacing w:before="0" w:after="0" w:line="240" w:lineRule="auto"/>
        <w:ind w:left="230"/>
        <w:shd w:val="clear" w:color="auto" w:fill="F7F9FC"/>
        <w:pBdr>
          <w:left w:val="single" w:sz="4" w:space="6" w:color="D0D5DD"/>
        </w:pBdr>
      </w:pPr>
      <w:r>
        <w:rPr>
          <w:rFonts w:ascii="Consolas" w:hAnsi="Consolas"/>
          <w:color w:val="0B1F3A"/>
          <w:sz w:val="16"/>
        </w:rPr>
        <w:t>|   someone afterwards needs a  |</w:t>
      </w:r>
    </w:p>
    <w:p>
      <w:pPr>
        <w:spacing w:before="0" w:after="0" w:line="240" w:lineRule="auto"/>
        <w:ind w:left="230"/>
        <w:shd w:val="clear" w:color="auto" w:fill="F7F9FC"/>
        <w:pBdr>
          <w:left w:val="single" w:sz="4" w:space="6" w:color="D0D5DD"/>
        </w:pBdr>
      </w:pPr>
      <w:r>
        <w:rPr>
          <w:rFonts w:ascii="Consolas" w:hAnsi="Consolas"/>
          <w:color w:val="0B1F3A"/>
          <w:sz w:val="16"/>
        </w:rPr>
        <w:t>|   replacement request, and   |</w:t>
      </w:r>
    </w:p>
    <w:p>
      <w:pPr>
        <w:spacing w:before="0" w:after="0" w:line="240" w:lineRule="auto"/>
        <w:ind w:left="230"/>
        <w:shd w:val="clear" w:color="auto" w:fill="F7F9FC"/>
        <w:pBdr>
          <w:left w:val="single" w:sz="4" w:space="6" w:color="D0D5DD"/>
        </w:pBdr>
      </w:pPr>
      <w:r>
        <w:rPr>
          <w:rFonts w:ascii="Consolas" w:hAnsi="Consolas"/>
          <w:color w:val="0B1F3A"/>
          <w:sz w:val="16"/>
        </w:rPr>
        <w:t>|   both people must agree.    |</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792"/>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339"/>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624"/>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792"/>
            <w:tcMar>
              <w:top w:w="60" w:type="dxa"/>
              <w:start w:w="110" w:type="dxa"/>
              <w:bottom w:w="60" w:type="dxa"/>
              <w:end w:w="110" w:type="dxa"/>
            </w:tcMar>
          </w:tcPr>
          <w:p>
            <w:pPr>
              <w:spacing w:after="0"/>
            </w:pPr>
            <w:r/>
            <w:r>
              <w:rPr>
                <w:rFonts w:ascii="Calibri" w:hAnsi="Calibri"/>
                <w:b w:val="0"/>
                <w:i w:val="0"/>
                <w:color w:val="101828"/>
                <w:sz w:val="14"/>
              </w:rPr>
              <w:t>(1) Ordered position list</w:t>
            </w:r>
          </w:p>
        </w:tc>
        <w:tc>
          <w:tcPr>
            <w:tcW w:type="dxa" w:w="1339"/>
            <w:tcMar>
              <w:top w:w="60" w:type="dxa"/>
              <w:start w:w="110" w:type="dxa"/>
              <w:bottom w:w="60" w:type="dxa"/>
              <w:end w:w="110" w:type="dxa"/>
            </w:tcMar>
          </w:tcPr>
          <w:p>
            <w:pPr>
              <w:spacing w:after="0"/>
            </w:pPr>
            <w:r/>
            <w:r>
              <w:rPr>
                <w:rFonts w:ascii="Calibri" w:hAnsi="Calibri"/>
                <w:b w:val="0"/>
                <w:i w:val="0"/>
                <w:color w:val="101828"/>
                <w:sz w:val="14"/>
              </w:rPr>
              <w:t>Positions 1 to N in the order they will be paid.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24"/>
            <w:tcMar>
              <w:top w:w="60" w:type="dxa"/>
              <w:start w:w="110" w:type="dxa"/>
              <w:bottom w:w="60" w:type="dxa"/>
              <w:end w:w="110" w:type="dxa"/>
            </w:tcMar>
          </w:tcPr>
          <w:p>
            <w:pPr>
              <w:spacing w:after="0"/>
            </w:pPr>
            <w:r/>
            <w:r>
              <w:rPr>
                <w:rFonts w:ascii="Calibri" w:hAnsi="Calibri"/>
                <w:b w:val="0"/>
                <w:i w:val="0"/>
                <w:color w:val="101828"/>
                <w:sz w:val="14"/>
              </w:rPr>
              <w:t xml:space="preserve">Ordering is by drag on mobile with keyboard support on desktop, and every row also has move-up and move-down controls. </w:t>
            </w:r>
            <w:r>
              <w:rPr>
                <w:rFonts w:ascii="Calibri" w:hAnsi="Calibri"/>
                <w:b/>
                <w:color w:val="101828"/>
                <w:sz w:val="14"/>
              </w:rPr>
              <w:t>Drag alone is not sufficient</w:t>
            </w:r>
            <w:r>
              <w:rPr>
                <w:rFonts w:ascii="Calibri" w:hAnsi="Calibri"/>
                <w:b w:val="0"/>
                <w:i w:val="0"/>
                <w:color w:val="101828"/>
                <w:sz w:val="14"/>
              </w:rPr>
              <w:t>: it is unusable with a keyboard and unusable with a screen reader, and reordering a payout order is a financial act.</w:t>
            </w:r>
          </w:p>
        </w:tc>
      </w:tr>
      <w:tr>
        <w:trPr>
          <w:cantSplit/>
        </w:trPr>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4"/>
              </w:rPr>
              <w:t>(2) Payout amount per position</w:t>
            </w:r>
          </w:p>
        </w:tc>
        <w:tc>
          <w:tcPr>
            <w:tcW w:type="dxa" w:w="1339"/>
            <w:tcMar>
              <w:top w:w="60" w:type="dxa"/>
              <w:start w:w="110" w:type="dxa"/>
              <w:bottom w:w="60" w:type="dxa"/>
              <w:end w:w="110" w:type="dxa"/>
            </w:tcMar>
            <w:shd w:val="clear" w:color="auto" w:fill="F4F7FB"/>
          </w:tcPr>
          <w:p>
            <w:pPr>
              <w:spacing w:after="0"/>
            </w:pPr>
            <w:r/>
            <w:r>
              <w:rPr>
                <w:rFonts w:ascii="Calibri" w:hAnsi="Calibri"/>
                <w:b w:val="0"/>
                <w:i w:val="0"/>
                <w:color w:val="101828"/>
                <w:sz w:val="14"/>
              </w:rPr>
              <w:t>The amount each position will receive.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4"/>
              </w:rPr>
              <w:t>The base pool, NGN 10,000.00 in the worked example, labelled as the base pool. It is never shown as the collected total, because that figure includes AJO.ng's fee and is not paid out.</w:t>
            </w:r>
          </w:p>
        </w:tc>
      </w:tr>
      <w:tr>
        <w:trPr>
          <w:cantSplit/>
        </w:trPr>
        <w:tc>
          <w:tcPr>
            <w:tcW w:type="dxa" w:w="792"/>
            <w:tcMar>
              <w:top w:w="60" w:type="dxa"/>
              <w:start w:w="110" w:type="dxa"/>
              <w:bottom w:w="60" w:type="dxa"/>
              <w:end w:w="110" w:type="dxa"/>
            </w:tcMar>
          </w:tcPr>
          <w:p>
            <w:pPr>
              <w:spacing w:after="0"/>
            </w:pPr>
            <w:r/>
            <w:r>
              <w:rPr>
                <w:rFonts w:ascii="Calibri" w:hAnsi="Calibri"/>
                <w:b w:val="0"/>
                <w:i w:val="0"/>
                <w:color w:val="101828"/>
                <w:sz w:val="14"/>
              </w:rPr>
              <w:t>(3) Lock warning</w:t>
            </w:r>
          </w:p>
        </w:tc>
        <w:tc>
          <w:tcPr>
            <w:tcW w:type="dxa" w:w="1339"/>
            <w:tcMar>
              <w:top w:w="60" w:type="dxa"/>
              <w:start w:w="110" w:type="dxa"/>
              <w:bottom w:w="60" w:type="dxa"/>
              <w:end w:w="110" w:type="dxa"/>
            </w:tcMar>
          </w:tcPr>
          <w:p>
            <w:pPr>
              <w:spacing w:after="0"/>
            </w:pPr>
            <w:r/>
            <w:r>
              <w:rPr>
                <w:rFonts w:ascii="Calibri" w:hAnsi="Calibri"/>
                <w:b w:val="0"/>
                <w:i w:val="0"/>
                <w:color w:val="101828"/>
                <w:sz w:val="14"/>
              </w:rPr>
              <w:t>States the lock and the only post-activation route.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24"/>
            <w:tcMar>
              <w:top w:w="60" w:type="dxa"/>
              <w:start w:w="110" w:type="dxa"/>
              <w:bottom w:w="60" w:type="dxa"/>
              <w:end w:w="110" w:type="dxa"/>
            </w:tcMar>
          </w:tcPr>
          <w:p>
            <w:pPr>
              <w:spacing w:after="0"/>
            </w:pPr>
            <w:r/>
            <w:r>
              <w:rPr>
                <w:rFonts w:ascii="Calibri" w:hAnsi="Calibri"/>
                <w:b w:val="0"/>
                <w:i w:val="0"/>
                <w:color w:val="101828"/>
                <w:sz w:val="14"/>
              </w:rPr>
              <w:t>CANONICAL.md: payout positions lock on activation, and reordering requires a formal replacement or transfer request. The warning names the route so the rule reads as a process rather than a prohibition.</w:t>
            </w:r>
          </w:p>
        </w:tc>
      </w:tr>
    </w:tbl>
    <w:p>
      <w:pPr>
        <w:spacing w:after="80"/>
      </w:pPr>
    </w:p>
    <w:p>
      <w:pPr>
        <w:pStyle w:val="Heading3"/>
      </w:pPr>
      <w:r>
        <w:rPr>
          <w:rFonts w:ascii="Calibri" w:hAnsi="Calibri"/>
          <w:b/>
          <w:i w:val="0"/>
          <w:color w:val="0B1F3A"/>
          <w:sz w:val="24"/>
        </w:rPr>
        <w:t>6.12.9 Step 7 — Review</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  Check this before you open  |</w:t>
      </w:r>
    </w:p>
    <w:p>
      <w:pPr>
        <w:spacing w:before="0" w:after="0" w:line="240" w:lineRule="auto"/>
        <w:ind w:left="230"/>
        <w:shd w:val="clear" w:color="auto" w:fill="F7F9FC"/>
        <w:pBdr>
          <w:left w:val="single" w:sz="4" w:space="6" w:color="D0D5DD"/>
        </w:pBdr>
      </w:pPr>
      <w:r>
        <w:rPr>
          <w:rFonts w:ascii="Consolas" w:hAnsi="Consolas"/>
          <w:color w:val="0B1F3A"/>
          <w:sz w:val="16"/>
        </w:rPr>
        <w:t>|  enrollment.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Adaeze's Ajo               |</w:t>
      </w:r>
    </w:p>
    <w:p>
      <w:pPr>
        <w:spacing w:before="0" w:after="0" w:line="240" w:lineRule="auto"/>
        <w:ind w:left="230"/>
        <w:shd w:val="clear" w:color="auto" w:fill="F7F9FC"/>
        <w:pBdr>
          <w:left w:val="single" w:sz="4" w:space="6" w:color="D0D5DD"/>
        </w:pBdr>
      </w:pPr>
      <w:r>
        <w:rPr>
          <w:rFonts w:ascii="Consolas" w:hAnsi="Consolas"/>
          <w:color w:val="0B1F3A"/>
          <w:sz w:val="16"/>
        </w:rPr>
        <w:t>|  10 members, 10 rounds,      |</w:t>
      </w:r>
    </w:p>
    <w:p>
      <w:pPr>
        <w:spacing w:before="0" w:after="0" w:line="240" w:lineRule="auto"/>
        <w:ind w:left="230"/>
        <w:shd w:val="clear" w:color="auto" w:fill="F7F9FC"/>
        <w:pBdr>
          <w:left w:val="single" w:sz="4" w:space="6" w:color="D0D5DD"/>
        </w:pBdr>
      </w:pPr>
      <w:r>
        <w:rPr>
          <w:rFonts w:ascii="Consolas" w:hAnsi="Consolas"/>
          <w:color w:val="0B1F3A"/>
          <w:sz w:val="16"/>
        </w:rPr>
        <w:t>|  weekly from 15 Sep 2026     |</w:t>
      </w:r>
    </w:p>
    <w:p>
      <w:pPr>
        <w:spacing w:before="0" w:after="0" w:line="240" w:lineRule="auto"/>
        <w:ind w:left="230"/>
        <w:shd w:val="clear" w:color="auto" w:fill="F7F9FC"/>
        <w:pBdr>
          <w:left w:val="single" w:sz="4" w:space="6" w:color="D0D5DD"/>
        </w:pBdr>
      </w:pPr>
      <w:r>
        <w:rPr>
          <w:rFonts w:ascii="Consolas" w:hAnsi="Consolas"/>
          <w:color w:val="0B1F3A"/>
          <w:sz w:val="16"/>
        </w:rPr>
        <w:t>|  ends 10 Nov 2026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Each member owes            |</w:t>
      </w:r>
    </w:p>
    <w:p>
      <w:pPr>
        <w:spacing w:before="0" w:after="0" w:line="240" w:lineRule="auto"/>
        <w:ind w:left="230"/>
        <w:shd w:val="clear" w:color="auto" w:fill="F7F9FC"/>
        <w:pBdr>
          <w:left w:val="single" w:sz="4" w:space="6" w:color="D0D5DD"/>
        </w:pBdr>
      </w:pPr>
      <w:r>
        <w:rPr>
          <w:rFonts w:ascii="Consolas" w:hAnsi="Consolas"/>
          <w:color w:val="0B1F3A"/>
          <w:sz w:val="16"/>
        </w:rPr>
        <w:t>|    NGN 1,000.00 contribution |</w:t>
      </w:r>
    </w:p>
    <w:p>
      <w:pPr>
        <w:spacing w:before="0" w:after="0" w:line="240" w:lineRule="auto"/>
        <w:ind w:left="230"/>
        <w:shd w:val="clear" w:color="auto" w:fill="F7F9FC"/>
        <w:pBdr>
          <w:left w:val="single" w:sz="4" w:space="6" w:color="D0D5DD"/>
        </w:pBdr>
      </w:pPr>
      <w:r>
        <w:rPr>
          <w:rFonts w:ascii="Consolas" w:hAnsi="Consolas"/>
          <w:color w:val="0B1F3A"/>
          <w:sz w:val="16"/>
        </w:rPr>
        <w:t>|    NGN    20.00 AJO.ng fee   |</w:t>
      </w:r>
    </w:p>
    <w:p>
      <w:pPr>
        <w:spacing w:before="0" w:after="0" w:line="240" w:lineRule="auto"/>
        <w:ind w:left="230"/>
        <w:shd w:val="clear" w:color="auto" w:fill="F7F9FC"/>
        <w:pBdr>
          <w:left w:val="single" w:sz="4" w:space="6" w:color="D0D5DD"/>
        </w:pBdr>
      </w:pPr>
      <w:r>
        <w:rPr>
          <w:rFonts w:ascii="Consolas" w:hAnsi="Consolas"/>
          <w:color w:val="0B1F3A"/>
          <w:sz w:val="16"/>
        </w:rPr>
        <w:t>|    NGN 1,020.00 charged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At their turn each member   |</w:t>
      </w:r>
    </w:p>
    <w:p>
      <w:pPr>
        <w:spacing w:before="0" w:after="0" w:line="240" w:lineRule="auto"/>
        <w:ind w:left="230"/>
        <w:shd w:val="clear" w:color="auto" w:fill="F7F9FC"/>
        <w:pBdr>
          <w:left w:val="single" w:sz="4" w:space="6" w:color="D0D5DD"/>
        </w:pBdr>
      </w:pPr>
      <w:r>
        <w:rPr>
          <w:rFonts w:ascii="Consolas" w:hAnsi="Consolas"/>
          <w:color w:val="0B1F3A"/>
          <w:sz w:val="16"/>
        </w:rPr>
        <w:t>|  receives NGN 10,000.00, the |</w:t>
      </w:r>
    </w:p>
    <w:p>
      <w:pPr>
        <w:spacing w:before="0" w:after="0" w:line="240" w:lineRule="auto"/>
        <w:ind w:left="230"/>
        <w:shd w:val="clear" w:color="auto" w:fill="F7F9FC"/>
        <w:pBdr>
          <w:left w:val="single" w:sz="4" w:space="6" w:color="D0D5DD"/>
        </w:pBdr>
      </w:pPr>
      <w:r>
        <w:rPr>
          <w:rFonts w:ascii="Consolas" w:hAnsi="Consolas"/>
          <w:color w:val="0B1F3A"/>
          <w:sz w:val="16"/>
        </w:rPr>
        <w:t>|  base pool.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Total across this Ajo:      |</w:t>
      </w:r>
    </w:p>
    <w:p>
      <w:pPr>
        <w:spacing w:before="0" w:after="0" w:line="240" w:lineRule="auto"/>
        <w:ind w:left="230"/>
        <w:shd w:val="clear" w:color="auto" w:fill="F7F9FC"/>
        <w:pBdr>
          <w:left w:val="single" w:sz="4" w:space="6" w:color="D0D5DD"/>
        </w:pBdr>
      </w:pPr>
      <w:r>
        <w:rPr>
          <w:rFonts w:ascii="Consolas" w:hAnsi="Consolas"/>
          <w:color w:val="0B1F3A"/>
          <w:sz w:val="16"/>
        </w:rPr>
        <w:t>|    charged   NGN 102,000.00  |</w:t>
      </w:r>
    </w:p>
    <w:p>
      <w:pPr>
        <w:spacing w:before="0" w:after="0" w:line="240" w:lineRule="auto"/>
        <w:ind w:left="230"/>
        <w:shd w:val="clear" w:color="auto" w:fill="F7F9FC"/>
        <w:pBdr>
          <w:left w:val="single" w:sz="4" w:space="6" w:color="D0D5DD"/>
        </w:pBdr>
      </w:pPr>
      <w:r>
        <w:rPr>
          <w:rFonts w:ascii="Consolas" w:hAnsi="Consolas"/>
          <w:color w:val="0B1F3A"/>
          <w:sz w:val="16"/>
        </w:rPr>
        <w:t>|    to AJO.ng NGN 2,000.00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[x] I have told everyone    |</w:t>
      </w:r>
    </w:p>
    <w:p>
      <w:pPr>
        <w:spacing w:before="0" w:after="0" w:line="240" w:lineRule="auto"/>
        <w:ind w:left="230"/>
        <w:shd w:val="clear" w:color="auto" w:fill="F7F9FC"/>
        <w:pBdr>
          <w:left w:val="single" w:sz="4" w:space="6" w:color="D0D5DD"/>
        </w:pBdr>
      </w:pPr>
      <w:r>
        <w:rPr>
          <w:rFonts w:ascii="Consolas" w:hAnsi="Consolas"/>
          <w:color w:val="0B1F3A"/>
          <w:sz w:val="16"/>
        </w:rPr>
        <w:t>|      the order, the amount   |</w:t>
      </w:r>
    </w:p>
    <w:p>
      <w:pPr>
        <w:spacing w:before="0" w:after="0" w:line="240" w:lineRule="auto"/>
        <w:ind w:left="230"/>
        <w:shd w:val="clear" w:color="auto" w:fill="F7F9FC"/>
        <w:pBdr>
          <w:left w:val="single" w:sz="4" w:space="6" w:color="D0D5DD"/>
        </w:pBdr>
      </w:pPr>
      <w:r>
        <w:rPr>
          <w:rFonts w:ascii="Consolas" w:hAnsi="Consolas"/>
          <w:color w:val="0B1F3A"/>
          <w:sz w:val="16"/>
        </w:rPr>
        <w:t>|      and the fee.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Open enrollment }*        |</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325"/>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826"/>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 Arrangement summary</w:t>
            </w:r>
          </w:p>
        </w:tc>
        <w:tc>
          <w:tcPr>
            <w:tcW w:type="dxa" w:w="1325"/>
            <w:tcMar>
              <w:top w:w="60" w:type="dxa"/>
              <w:start w:w="110" w:type="dxa"/>
              <w:bottom w:w="60" w:type="dxa"/>
              <w:end w:w="110" w:type="dxa"/>
            </w:tcMar>
          </w:tcPr>
          <w:p>
            <w:pPr>
              <w:spacing w:after="0"/>
            </w:pPr>
            <w:r/>
            <w:r>
              <w:rPr>
                <w:rFonts w:ascii="Calibri" w:hAnsi="Calibri"/>
                <w:b w:val="0"/>
                <w:i w:val="0"/>
                <w:color w:val="101828"/>
                <w:sz w:val="14"/>
              </w:rPr>
              <w:t>Name, members, rounds, frequency, start, end.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826"/>
            <w:tcMar>
              <w:top w:w="60" w:type="dxa"/>
              <w:start w:w="110" w:type="dxa"/>
              <w:bottom w:w="60" w:type="dxa"/>
              <w:end w:w="110" w:type="dxa"/>
            </w:tcMar>
          </w:tcPr>
          <w:p>
            <w:pPr>
              <w:spacing w:after="0"/>
            </w:pPr>
            <w:r/>
            <w:r>
              <w:rPr>
                <w:rFonts w:ascii="Calibri" w:hAnsi="Calibri"/>
                <w:b w:val="0"/>
                <w:i w:val="0"/>
                <w:color w:val="101828"/>
                <w:sz w:val="14"/>
              </w:rPr>
              <w:t>Reassembled from the answers, not from a draft field, so the summary cannot drift from what will be created.</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Member charge block</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Contribution, fee and charged, per member.</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826"/>
            <w:tcMar>
              <w:top w:w="60" w:type="dxa"/>
              <w:start w:w="110" w:type="dxa"/>
              <w:bottom w:w="60" w:type="dxa"/>
              <w:end w:w="110" w:type="dxa"/>
            </w:tcMar>
            <w:shd w:val="clear" w:color="auto" w:fill="F4F7FB"/>
          </w:tcPr>
          <w:p>
            <w:pPr>
              <w:spacing w:after="0"/>
            </w:pPr>
            <w:r/>
            <w:r>
              <w:rPr>
                <w:rFonts w:ascii="Calibri" w:hAnsi="Calibri"/>
                <w:b/>
                <w:color w:val="101828"/>
                <w:sz w:val="14"/>
              </w:rPr>
              <w:t>Mandatory, third and final occurrence in the wizard.</w:t>
            </w:r>
            <w:r>
              <w:rPr>
                <w:rFonts w:ascii="Calibri" w:hAnsi="Calibri"/>
                <w:b w:val="0"/>
                <w:i w:val="0"/>
                <w:color w:val="101828"/>
                <w:sz w:val="14"/>
              </w:rPr>
              <w:t xml:space="preserve"> Between the step-2 preview and this block the amount may have changed context, and the disclosure rule in CANONICAL.md requires the fee to be shown before the member commits. The charged figure is named </w:t>
            </w:r>
            <w:r>
              <w:rPr>
                <w:rFonts w:ascii="Calibri" w:hAnsi="Calibri"/>
                <w:i/>
                <w:color w:val="101828"/>
                <w:sz w:val="14"/>
              </w:rPr>
              <w:t>charged</w:t>
            </w:r>
            <w:r>
              <w:rPr>
                <w:rFonts w:ascii="Calibri" w:hAnsi="Calibri"/>
                <w:b w:val="0"/>
                <w:i w:val="0"/>
                <w:color w:val="101828"/>
                <w:sz w:val="14"/>
              </w:rPr>
              <w:t xml:space="preserve">, the pool figure is named </w:t>
            </w:r>
            <w:r>
              <w:rPr>
                <w:rFonts w:ascii="Calibri" w:hAnsi="Calibri"/>
                <w:i/>
                <w:color w:val="101828"/>
                <w:sz w:val="14"/>
              </w:rPr>
              <w:t>base pool</w:t>
            </w:r>
            <w:r>
              <w:rPr>
                <w:rFonts w:ascii="Calibri" w:hAnsi="Calibri"/>
                <w:b w:val="0"/>
                <w:i w:val="0"/>
                <w:color w:val="101828"/>
                <w:sz w:val="14"/>
              </w:rPr>
              <w:t>.</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 Ajo-level totals</w:t>
            </w:r>
          </w:p>
        </w:tc>
        <w:tc>
          <w:tcPr>
            <w:tcW w:type="dxa" w:w="1325"/>
            <w:tcMar>
              <w:top w:w="60" w:type="dxa"/>
              <w:start w:w="110" w:type="dxa"/>
              <w:bottom w:w="60" w:type="dxa"/>
              <w:end w:w="110" w:type="dxa"/>
            </w:tcMar>
          </w:tcPr>
          <w:p>
            <w:pPr>
              <w:spacing w:after="0"/>
            </w:pPr>
            <w:r/>
            <w:r>
              <w:rPr>
                <w:rFonts w:ascii="Calibri" w:hAnsi="Calibri"/>
                <w:b w:val="0"/>
                <w:i w:val="0"/>
                <w:color w:val="101828"/>
                <w:sz w:val="14"/>
              </w:rPr>
              <w:t>Total charged across the Ajo and the fee AJO.ng retains.</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826"/>
            <w:tcMar>
              <w:top w:w="60" w:type="dxa"/>
              <w:start w:w="110" w:type="dxa"/>
              <w:bottom w:w="60" w:type="dxa"/>
              <w:end w:w="110" w:type="dxa"/>
            </w:tcMar>
          </w:tcPr>
          <w:p>
            <w:pPr>
              <w:spacing w:after="0"/>
            </w:pPr>
            <w:r/>
            <w:r>
              <w:rPr>
                <w:rFonts w:ascii="Calibri" w:hAnsi="Calibri"/>
                <w:b w:val="0"/>
                <w:i w:val="0"/>
                <w:color w:val="101828"/>
                <w:sz w:val="14"/>
              </w:rPr>
              <w:t>NGN 102,000.00 charged and NGN 2,000.00 retained for the ten-member worked example. This is the organizer's number, and it is the reason the disclosure is on this screen as well as the member's.</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 Acknowledgement</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One required checkbox.</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82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wording is </w:t>
            </w:r>
            <w:r>
              <w:rPr>
                <w:rFonts w:ascii="Calibri" w:hAnsi="Calibri"/>
                <w:i/>
                <w:color w:val="101828"/>
                <w:sz w:val="14"/>
              </w:rPr>
              <w:t>I have told everyone the order, the amount and the fee</w:t>
            </w:r>
            <w:r>
              <w:rPr>
                <w:rFonts w:ascii="Calibri" w:hAnsi="Calibri"/>
                <w:b w:val="0"/>
                <w:i w:val="0"/>
                <w:color w:val="101828"/>
                <w:sz w:val="14"/>
              </w:rPr>
              <w:t xml:space="preserve">. </w:t>
            </w:r>
            <w:r>
              <w:rPr>
                <w:rFonts w:ascii="Calibri" w:hAnsi="Calibri"/>
                <w:b/>
                <w:color w:val="101828"/>
                <w:sz w:val="14"/>
              </w:rPr>
              <w:t>The fee is in the acknowledgement because the most common dispute after launch will be a member who says nobody told them about the NGN 20.00.</w:t>
            </w:r>
            <w:r>
              <w:rPr>
                <w:rFonts w:ascii="Calibri" w:hAnsi="Calibri"/>
                <w:b w:val="0"/>
                <w:i w:val="0"/>
                <w:color w:val="101828"/>
                <w:sz w:val="14"/>
              </w:rPr>
              <w:t xml:space="preserve"> This is an organiser attestation, not a platform warranty, and it is recorded as such.</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(5) Open enrollment</w:t>
            </w:r>
          </w:p>
        </w:tc>
        <w:tc>
          <w:tcPr>
            <w:tcW w:type="dxa" w:w="1325"/>
            <w:tcMar>
              <w:top w:w="60" w:type="dxa"/>
              <w:start w:w="110" w:type="dxa"/>
              <w:bottom w:w="60" w:type="dxa"/>
              <w:end w:w="110" w:type="dxa"/>
            </w:tcMar>
          </w:tcPr>
          <w:p>
            <w:pPr>
              <w:spacing w:after="0"/>
            </w:pPr>
            <w:r/>
            <w:r>
              <w:rPr>
                <w:rFonts w:ascii="Calibri" w:hAnsi="Calibri"/>
                <w:b w:val="0"/>
                <w:i w:val="0"/>
                <w:color w:val="101828"/>
                <w:sz w:val="14"/>
              </w:rPr>
              <w:t>The commit action.</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826"/>
            <w:tcMar>
              <w:top w:w="60" w:type="dxa"/>
              <w:start w:w="110" w:type="dxa"/>
              <w:bottom w:w="60" w:type="dxa"/>
              <w:end w:w="110" w:type="dxa"/>
            </w:tcMar>
          </w:tcPr>
          <w:p>
            <w:pPr>
              <w:spacing w:after="0"/>
            </w:pPr>
            <w:r/>
            <w:r>
              <w:rPr>
                <w:rFonts w:ascii="Calibri" w:hAnsi="Calibri"/>
                <w:b w:val="0"/>
                <w:i w:val="0"/>
                <w:color w:val="101828"/>
                <w:sz w:val="14"/>
              </w:rPr>
              <w:t xml:space="preserve">Calls </w:t>
            </w:r>
            <w:r>
              <w:rPr>
                <w:rFonts w:ascii="Consolas" w:hAnsi="Consolas"/>
                <w:color w:val="146EF5"/>
                <w:sz w:val="14"/>
              </w:rPr>
              <w:t>POST /ajos/:id/activate</w:t>
            </w:r>
            <w:r>
              <w:rPr>
                <w:rFonts w:ascii="Calibri" w:hAnsi="Calibri"/>
                <w:b w:val="0"/>
                <w:i w:val="0"/>
                <w:color w:val="101828"/>
                <w:sz w:val="14"/>
              </w:rPr>
              <w:t xml:space="preserve">, which performs DRAFT to ENROLLMENT and requires a reason. The button is the last point at which anything can be refused, so the label names the state change rather than </w:t>
            </w:r>
            <w:r>
              <w:rPr>
                <w:rFonts w:ascii="Calibri" w:hAnsi="Calibri"/>
                <w:i/>
                <w:color w:val="101828"/>
                <w:sz w:val="14"/>
              </w:rPr>
              <w:t>Finish</w:t>
            </w:r>
            <w:r>
              <w:rPr>
                <w:rFonts w:ascii="Calibri" w:hAnsi="Calibri"/>
                <w:b w:val="0"/>
                <w:i w:val="0"/>
                <w:color w:val="101828"/>
                <w:sz w:val="14"/>
              </w:rPr>
              <w:t>.</w:t>
            </w:r>
          </w:p>
        </w:tc>
      </w:tr>
    </w:tbl>
    <w:p>
      <w:pPr>
        <w:spacing w:after="80"/>
      </w:pPr>
    </w:p>
    <w:p>
      <w:pPr>
        <w:pStyle w:val="Heading3"/>
      </w:pPr>
      <w:r>
        <w:rPr>
          <w:rFonts w:ascii="Calibri" w:hAnsi="Calibri"/>
          <w:b/>
          <w:i w:val="0"/>
          <w:color w:val="0B1F3A"/>
          <w:sz w:val="24"/>
        </w:rPr>
        <w:t>6.12.10 Wizard states and guards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State</w:t>
            </w:r>
          </w:p>
        </w:tc>
        <w:tc>
          <w:tcPr>
            <w:tcW w:type="dxa" w:w="2074"/>
            <w:shd w:val="clear" w:color="auto" w:fill="0B1F3A"/>
            <w:tcMar>
              <w:top w:w="60" w:type="dxa"/>
              <w:start w:w="110" w:type="dxa"/>
              <w:bottom w:w="60" w:type="dxa"/>
              <w:end w:w="110" w:type="dxa"/>
            </w:tcMar>
          </w:tcPr>
          <w:p>
            <w:pPr>
              <w:spacing w:after="0"/>
            </w:pPr>
            <w:r/>
            <w:r>
              <w:rPr>
                <w:rFonts w:ascii="Calibri" w:hAnsi="Calibri"/>
                <w:b/>
                <w:i w:val="0"/>
                <w:color w:val="FFFFFF"/>
                <w:sz w:val="14"/>
              </w:rPr>
              <w:t>When it applies</w:t>
            </w:r>
          </w:p>
        </w:tc>
        <w:tc>
          <w:tcPr>
            <w:tcW w:type="dxa" w:w="2635"/>
            <w:shd w:val="clear" w:color="auto" w:fill="0B1F3A"/>
            <w:tcMar>
              <w:top w:w="60" w:type="dxa"/>
              <w:start w:w="110" w:type="dxa"/>
              <w:bottom w:w="60" w:type="dxa"/>
              <w:end w:w="110" w:type="dxa"/>
            </w:tcMar>
          </w:tcPr>
          <w:p>
            <w:pPr>
              <w:spacing w:after="0"/>
            </w:pPr>
            <w:r/>
            <w:r>
              <w:rPr>
                <w:rFonts w:ascii="Calibri" w:hAnsi="Calibri"/>
                <w:b/>
                <w:i w:val="0"/>
                <w:color w:val="FFFFFF"/>
                <w:sz w:val="14"/>
              </w:rPr>
              <w:t>What the person sees</w:t>
            </w:r>
          </w:p>
        </w:tc>
        <w:tc>
          <w:tcPr>
            <w:tcW w:type="dxa" w:w="4046"/>
            <w:shd w:val="clear" w:color="auto" w:fill="0B1F3A"/>
            <w:tcMar>
              <w:top w:w="60" w:type="dxa"/>
              <w:start w:w="110" w:type="dxa"/>
              <w:bottom w:w="60" w:type="dxa"/>
              <w:end w:w="110" w:type="dxa"/>
            </w:tcMar>
          </w:tcPr>
          <w:p>
            <w:pPr>
              <w:spacing w:after="0"/>
            </w:pPr>
            <w:r/>
            <w:r>
              <w:rPr>
                <w:rFonts w:ascii="Calibri" w:hAnsi="Calibri"/>
                <w:b/>
                <w:i w:val="0"/>
                <w:color w:val="FFFFFF"/>
                <w:sz w:val="14"/>
              </w:rPr>
              <w:t>What is stored</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Entry</w:t>
            </w:r>
          </w:p>
        </w:tc>
        <w:tc>
          <w:tcPr>
            <w:tcW w:type="dxa" w:w="2074"/>
            <w:tcMar>
              <w:top w:w="60" w:type="dxa"/>
              <w:start w:w="110" w:type="dxa"/>
              <w:bottom w:w="60" w:type="dxa"/>
              <w:end w:w="110" w:type="dxa"/>
            </w:tcMar>
          </w:tcPr>
          <w:p>
            <w:pPr>
              <w:spacing w:after="0"/>
            </w:pPr>
            <w:r/>
            <w:r>
              <w:rPr>
                <w:rFonts w:ascii="Calibri" w:hAnsi="Calibri"/>
                <w:b w:val="0"/>
                <w:i w:val="0"/>
                <w:color w:val="101828"/>
                <w:sz w:val="14"/>
              </w:rPr>
              <w:t>First visit</w:t>
            </w:r>
          </w:p>
        </w:tc>
        <w:tc>
          <w:tcPr>
            <w:tcW w:type="dxa" w:w="2635"/>
            <w:tcMar>
              <w:top w:w="60" w:type="dxa"/>
              <w:start w:w="110" w:type="dxa"/>
              <w:bottom w:w="60" w:type="dxa"/>
              <w:end w:w="110" w:type="dxa"/>
            </w:tcMar>
          </w:tcPr>
          <w:p>
            <w:pPr>
              <w:spacing w:after="0"/>
            </w:pPr>
            <w:r/>
            <w:r>
              <w:rPr>
                <w:rFonts w:ascii="Calibri" w:hAnsi="Calibri"/>
                <w:b w:val="0"/>
                <w:i w:val="0"/>
                <w:color w:val="101828"/>
                <w:sz w:val="14"/>
              </w:rPr>
              <w:t xml:space="preserve">Step 1, empty, with a </w:t>
            </w:r>
            <w:r>
              <w:rPr>
                <w:rFonts w:ascii="Calibri" w:hAnsi="Calibri"/>
                <w:b/>
                <w:color w:val="101828"/>
                <w:sz w:val="14"/>
              </w:rPr>
              <w:t>Save and close</w:t>
            </w:r>
            <w:r>
              <w:rPr>
                <w:rFonts w:ascii="Calibri" w:hAnsi="Calibri"/>
                <w:b w:val="0"/>
                <w:i w:val="0"/>
                <w:color w:val="101828"/>
                <w:sz w:val="14"/>
              </w:rPr>
              <w:t xml:space="preserve"> action in the footer</w:t>
            </w:r>
          </w:p>
        </w:tc>
        <w:tc>
          <w:tcPr>
            <w:tcW w:type="dxa" w:w="4046"/>
            <w:tcMar>
              <w:top w:w="60" w:type="dxa"/>
              <w:start w:w="110" w:type="dxa"/>
              <w:bottom w:w="60" w:type="dxa"/>
              <w:end w:w="110" w:type="dxa"/>
            </w:tcMar>
          </w:tcPr>
          <w:p>
            <w:pPr>
              <w:spacing w:after="0"/>
            </w:pPr>
            <w:r/>
            <w:r>
              <w:rPr>
                <w:rFonts w:ascii="Calibri" w:hAnsi="Calibri"/>
                <w:b w:val="0"/>
                <w:i w:val="0"/>
                <w:color w:val="101828"/>
                <w:sz w:val="14"/>
              </w:rPr>
              <w:t>Nothing. A draft is created on the first Continue, not on entry, so an abandoned first visit leaves no rows.</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Resumed</w:t>
            </w:r>
          </w:p>
        </w:tc>
        <w:tc>
          <w:tcPr>
            <w:tcW w:type="dxa" w:w="2074"/>
            <w:tcMar>
              <w:top w:w="60" w:type="dxa"/>
              <w:start w:w="110" w:type="dxa"/>
              <w:bottom w:w="60" w:type="dxa"/>
              <w:end w:w="110" w:type="dxa"/>
            </w:tcMar>
            <w:shd w:val="clear" w:color="auto" w:fill="F4F7FB"/>
          </w:tcPr>
          <w:p>
            <w:pPr>
              <w:spacing w:after="0"/>
            </w:pPr>
            <w:r/>
            <w:r>
              <w:rPr>
                <w:rFonts w:ascii="Calibri" w:hAnsi="Calibri"/>
                <w:b w:val="0"/>
                <w:i w:val="0"/>
                <w:color w:val="101828"/>
                <w:sz w:val="14"/>
              </w:rPr>
              <w:t>Return from Save and close</w:t>
            </w:r>
          </w:p>
        </w:tc>
        <w:tc>
          <w:tcPr>
            <w:tcW w:type="dxa" w:w="2635"/>
            <w:tcMar>
              <w:top w:w="60" w:type="dxa"/>
              <w:start w:w="110" w:type="dxa"/>
              <w:bottom w:w="60" w:type="dxa"/>
              <w:end w:w="110" w:type="dxa"/>
            </w:tcMar>
            <w:shd w:val="clear" w:color="auto" w:fill="F4F7FB"/>
          </w:tcPr>
          <w:p>
            <w:pPr>
              <w:spacing w:after="0"/>
            </w:pPr>
            <w:r/>
            <w:r>
              <w:rPr>
                <w:rFonts w:ascii="Calibri" w:hAnsi="Calibri"/>
                <w:b w:val="0"/>
                <w:i w:val="0"/>
                <w:color w:val="101828"/>
                <w:sz w:val="14"/>
              </w:rPr>
              <w:t>The step they reached, with answers intact</w:t>
            </w:r>
          </w:p>
        </w:tc>
        <w:tc>
          <w:tcPr>
            <w:tcW w:type="dxa" w:w="404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DRAFT </w:t>
            </w:r>
            <w:r>
              <w:rPr>
                <w:rFonts w:ascii="Consolas" w:hAnsi="Consolas"/>
                <w:color w:val="146EF5"/>
                <w:sz w:val="14"/>
              </w:rPr>
              <w:t>ajos</w:t>
            </w:r>
            <w:r>
              <w:rPr>
                <w:rFonts w:ascii="Calibri" w:hAnsi="Calibri"/>
                <w:b w:val="0"/>
                <w:i w:val="0"/>
                <w:color w:val="101828"/>
                <w:sz w:val="14"/>
              </w:rPr>
              <w:t xml:space="preserve"> row and its positions.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Invalid</w:t>
            </w:r>
          </w:p>
        </w:tc>
        <w:tc>
          <w:tcPr>
            <w:tcW w:type="dxa" w:w="2074"/>
            <w:tcMar>
              <w:top w:w="60" w:type="dxa"/>
              <w:start w:w="110" w:type="dxa"/>
              <w:bottom w:w="60" w:type="dxa"/>
              <w:end w:w="110" w:type="dxa"/>
            </w:tcMar>
          </w:tcPr>
          <w:p>
            <w:pPr>
              <w:spacing w:after="0"/>
            </w:pPr>
            <w:r/>
            <w:r>
              <w:rPr>
                <w:rFonts w:ascii="Calibri" w:hAnsi="Calibri"/>
                <w:b w:val="0"/>
                <w:i w:val="0"/>
                <w:color w:val="101828"/>
                <w:sz w:val="14"/>
              </w:rPr>
              <w:t>Continue pressed with an invalid step</w:t>
            </w:r>
          </w:p>
        </w:tc>
        <w:tc>
          <w:tcPr>
            <w:tcW w:type="dxa" w:w="2635"/>
            <w:tcMar>
              <w:top w:w="60" w:type="dxa"/>
              <w:start w:w="110" w:type="dxa"/>
              <w:bottom w:w="60" w:type="dxa"/>
              <w:end w:w="110" w:type="dxa"/>
            </w:tcMar>
          </w:tcPr>
          <w:p>
            <w:pPr>
              <w:spacing w:after="0"/>
            </w:pPr>
            <w:r/>
            <w:r>
              <w:rPr>
                <w:rFonts w:ascii="Calibri" w:hAnsi="Calibri"/>
                <w:b w:val="0"/>
                <w:i w:val="0"/>
                <w:color w:val="101828"/>
                <w:sz w:val="14"/>
              </w:rPr>
              <w:t>A message beside the offending field, and focus moved to it</w:t>
            </w:r>
          </w:p>
        </w:tc>
        <w:tc>
          <w:tcPr>
            <w:tcW w:type="dxa" w:w="4046"/>
            <w:tcMar>
              <w:top w:w="60" w:type="dxa"/>
              <w:start w:w="110" w:type="dxa"/>
              <w:bottom w:w="60" w:type="dxa"/>
              <w:end w:w="110" w:type="dxa"/>
            </w:tcMar>
          </w:tcPr>
          <w:p>
            <w:pPr>
              <w:spacing w:after="0"/>
            </w:pPr>
            <w:r/>
            <w:r>
              <w:rPr>
                <w:rFonts w:ascii="Calibri" w:hAnsi="Calibri"/>
                <w:b w:val="0"/>
                <w:i w:val="0"/>
                <w:color w:val="101828"/>
                <w:sz w:val="14"/>
              </w:rPr>
              <w:t>The draft, unchanged.</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Stale</w:t>
            </w:r>
          </w:p>
        </w:tc>
        <w:tc>
          <w:tcPr>
            <w:tcW w:type="dxa" w:w="2074"/>
            <w:tcMar>
              <w:top w:w="60" w:type="dxa"/>
              <w:start w:w="110" w:type="dxa"/>
              <w:bottom w:w="60" w:type="dxa"/>
              <w:end w:w="110" w:type="dxa"/>
            </w:tcMar>
            <w:shd w:val="clear" w:color="auto" w:fill="F4F7FB"/>
          </w:tcPr>
          <w:p>
            <w:pPr>
              <w:spacing w:after="0"/>
            </w:pPr>
            <w:r/>
            <w:r>
              <w:rPr>
                <w:rFonts w:ascii="Calibri" w:hAnsi="Calibri"/>
                <w:b w:val="0"/>
                <w:i w:val="0"/>
                <w:color w:val="101828"/>
                <w:sz w:val="14"/>
              </w:rPr>
              <w:t>The draft changed in another tab or by the organiser</w:t>
            </w:r>
          </w:p>
        </w:tc>
        <w:tc>
          <w:tcPr>
            <w:tcW w:type="dxa" w:w="2635"/>
            <w:tcMar>
              <w:top w:w="60" w:type="dxa"/>
              <w:start w:w="110" w:type="dxa"/>
              <w:bottom w:w="60" w:type="dxa"/>
              <w:end w:w="110" w:type="dxa"/>
            </w:tcMar>
            <w:shd w:val="clear" w:color="auto" w:fill="F4F7FB"/>
          </w:tcPr>
          <w:p>
            <w:pPr>
              <w:spacing w:after="0"/>
            </w:pPr>
            <w:r/>
            <w:r>
              <w:rPr>
                <w:rFonts w:ascii="Calibri" w:hAnsi="Calibri"/>
                <w:b w:val="0"/>
                <w:i w:val="0"/>
                <w:color w:val="101828"/>
                <w:sz w:val="14"/>
              </w:rPr>
              <w:t>A notice that the arrangement was updated and the step is reloaded</w:t>
            </w:r>
          </w:p>
        </w:tc>
        <w:tc>
          <w:tcPr>
            <w:tcW w:type="dxa" w:w="4046"/>
            <w:tcMar>
              <w:top w:w="60" w:type="dxa"/>
              <w:start w:w="110" w:type="dxa"/>
              <w:bottom w:w="60" w:type="dxa"/>
              <w:end w:w="110" w:type="dxa"/>
            </w:tcMar>
            <w:shd w:val="clear" w:color="auto" w:fill="F4F7FB"/>
          </w:tcPr>
          <w:p>
            <w:pPr>
              <w:spacing w:after="0"/>
            </w:pPr>
            <w:r/>
            <w:r>
              <w:rPr>
                <w:rFonts w:ascii="Calibri" w:hAnsi="Calibri"/>
                <w:b w:val="0"/>
                <w:i w:val="0"/>
                <w:color w:val="101828"/>
                <w:sz w:val="14"/>
              </w:rPr>
              <w:t>The draft, and the version that lost the race is discarded.</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Submitted</w:t>
            </w:r>
          </w:p>
        </w:tc>
        <w:tc>
          <w:tcPr>
            <w:tcW w:type="dxa" w:w="2074"/>
            <w:tcMar>
              <w:top w:w="60" w:type="dxa"/>
              <w:start w:w="110" w:type="dxa"/>
              <w:bottom w:w="60" w:type="dxa"/>
              <w:end w:w="110" w:type="dxa"/>
            </w:tcMar>
          </w:tcPr>
          <w:p>
            <w:pPr>
              <w:spacing w:after="0"/>
            </w:pPr>
            <w:r/>
            <w:r>
              <w:rPr>
                <w:rFonts w:ascii="Calibri" w:hAnsi="Calibri"/>
                <w:b w:val="0"/>
                <w:i w:val="0"/>
                <w:color w:val="101828"/>
                <w:sz w:val="14"/>
              </w:rPr>
              <w:t>Open enrollment pressed</w:t>
            </w:r>
          </w:p>
        </w:tc>
        <w:tc>
          <w:tcPr>
            <w:tcW w:type="dxa" w:w="2635"/>
            <w:tcMar>
              <w:top w:w="60" w:type="dxa"/>
              <w:start w:w="110" w:type="dxa"/>
              <w:bottom w:w="60" w:type="dxa"/>
              <w:end w:w="110" w:type="dxa"/>
            </w:tcMar>
          </w:tcPr>
          <w:p>
            <w:pPr>
              <w:spacing w:after="0"/>
            </w:pPr>
            <w:r/>
            <w:r>
              <w:rPr>
                <w:rFonts w:ascii="Calibri" w:hAnsi="Calibri"/>
                <w:b w:val="0"/>
                <w:i w:val="0"/>
                <w:color w:val="101828"/>
                <w:sz w:val="14"/>
              </w:rPr>
              <w:t>The Ajo detail screen in ENROLLMENT</w:t>
            </w:r>
          </w:p>
        </w:tc>
        <w:tc>
          <w:tcPr>
            <w:tcW w:type="dxa" w:w="4046"/>
            <w:tcMar>
              <w:top w:w="60" w:type="dxa"/>
              <w:start w:w="110" w:type="dxa"/>
              <w:bottom w:w="60" w:type="dxa"/>
              <w:end w:w="110" w:type="dxa"/>
            </w:tcMar>
          </w:tcPr>
          <w:p>
            <w:pPr>
              <w:spacing w:after="0"/>
            </w:pPr>
            <w:r/>
            <w:r>
              <w:rPr>
                <w:rFonts w:ascii="Calibri" w:hAnsi="Calibri"/>
                <w:b w:val="0"/>
                <w:i w:val="0"/>
                <w:color w:val="101828"/>
                <w:sz w:val="14"/>
              </w:rPr>
              <w:t>An ACTIVE-eligible ENROLLMENT Ajo with locked positions.</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Why the draft is a real Ajo and not a client-side form  </w:t>
      </w:r>
      <w:r>
        <w:rPr>
          <w:rFonts w:ascii="Calibri" w:hAnsi="Calibri"/>
          <w:b w:val="0"/>
          <w:i w:val="0"/>
          <w:color w:val="0B1F3A"/>
          <w:sz w:val="19"/>
        </w:rPr>
        <w:t xml:space="preserve">A </w:t>
      </w:r>
      <w:r>
        <w:rPr>
          <w:rFonts w:ascii="Consolas" w:hAnsi="Consolas"/>
          <w:color w:val="146EF5"/>
          <w:sz w:val="19"/>
        </w:rPr>
        <w:t>DRAFT</w:t>
      </w:r>
      <w:r>
        <w:rPr>
          <w:rFonts w:ascii="Calibri" w:hAnsi="Calibri"/>
          <w:b w:val="0"/>
          <w:i w:val="0"/>
          <w:color w:val="0B1F3A"/>
          <w:sz w:val="19"/>
        </w:rPr>
        <w:t xml:space="preserve"> Ajo is a server-side row from the moment the first step is completed, because the invite links in step 5, the position roster and the version counter all need somewhere to live, and because a person who closes the tab on a phone and finishes on a laptop must find the same draft. The five-day enrollment window does </w:t>
      </w:r>
      <w:r>
        <w:rPr>
          <w:rFonts w:ascii="Calibri" w:hAnsi="Calibri"/>
          <w:b/>
          <w:color w:val="0B1F3A"/>
          <w:sz w:val="19"/>
        </w:rPr>
        <w:t>not</w:t>
      </w:r>
      <w:r>
        <w:rPr>
          <w:rFonts w:ascii="Calibri" w:hAnsi="Calibri"/>
          <w:b w:val="0"/>
          <w:i w:val="0"/>
          <w:color w:val="0B1F3A"/>
          <w:sz w:val="19"/>
        </w:rPr>
        <w:t xml:space="preserve"> start at draft creation: it starts at the transition to ENROLLMENT, so a draft abandoned for a month is not cancelled and creates no obligation.</w:t>
      </w:r>
    </w:p>
    <w:p>
      <w:pPr>
        <w:pStyle w:val="Heading2"/>
      </w:pPr>
      <w:r>
        <w:rPr>
          <w:rFonts w:ascii="Calibri" w:hAnsi="Calibri"/>
          <w:b/>
          <w:i w:val="0"/>
          <w:color w:val="146EF5"/>
          <w:sz w:val="29"/>
        </w:rPr>
        <w:t>6.13 Join Ajo — SCR-MOB-04</w:t>
      </w:r>
    </w:p>
    <w:p>
      <w:r>
        <w:rPr>
          <w:rFonts w:ascii="Calibri" w:hAnsi="Calibri"/>
          <w:b w:val="0"/>
          <w:i w:val="0"/>
          <w:color w:val="101828"/>
          <w:sz w:val="21"/>
        </w:rPr>
        <w:t xml:space="preserve">The acceptance path for an invited person, and the last point at which a member sees what they are agreeing to. It is two steps rather than one because the CANONICAL.md disclosure rule requires the fee to be shown before the member commits, and a single screen that both explains and accepts invites people past the explanation. Nothing is charged here: accepting creates the </w:t>
      </w:r>
      <w:r>
        <w:rPr>
          <w:rFonts w:ascii="Consolas" w:hAnsi="Consolas"/>
          <w:color w:val="146EF5"/>
          <w:sz w:val="21"/>
        </w:rPr>
        <w:t>ajo_members</w:t>
      </w:r>
      <w:r>
        <w:rPr>
          <w:rFonts w:ascii="Calibri" w:hAnsi="Calibri"/>
          <w:b w:val="0"/>
          <w:i w:val="0"/>
          <w:color w:val="101828"/>
          <w:sz w:val="21"/>
        </w:rPr>
        <w:t xml:space="preserve"> row and the first contribution obligation, and payment happens on its own schedule.</w:t>
      </w:r>
    </w:p>
    <w:p>
      <w:pPr>
        <w:spacing w:before="140" w:after="180"/>
        <w:ind w:left="144"/>
        <w:shd w:val="clear" w:color="auto" w:fill="FEE2E2"/>
        <w:pBdr>
          <w:left w:val="single" w:sz="18" w:space="6" w:color="DC2626"/>
        </w:pBdr>
      </w:pPr>
      <w:r>
        <w:rPr>
          <w:rFonts w:ascii="Calibri" w:hAnsi="Calibri"/>
          <w:b/>
          <w:color w:val="DC2626"/>
          <w:sz w:val="19"/>
        </w:rPr>
        <w:t xml:space="preserve">Consent capture on the join and review acknowledgements  </w:t>
      </w:r>
      <w:r>
        <w:rPr>
          <w:rFonts w:ascii="Calibri" w:hAnsi="Calibri"/>
          <w:b w:val="0"/>
          <w:i w:val="0"/>
          <w:color w:val="0B1F3A"/>
          <w:sz w:val="19"/>
        </w:rPr>
        <w:t xml:space="preserve">The acknowledgement checkbox and the surrounding disclosure are drafted as evidence that the member was told the contribution amount, the fee and the order before committing. They are not drafted as a contract, and no part of this specification asserts that a checkbox on a web screen satisfies any particular consent, formation or disclosure requirement under Nigerian law or under the payment partner's terms. </w:t>
      </w:r>
      <w:r>
        <w:rPr>
          <w:rFonts w:ascii="Calibri" w:hAnsi="Calibri"/>
          <w:b/>
          <w:color w:val="0B1F3A"/>
          <w:sz w:val="19"/>
        </w:rPr>
        <w:t>Requires review by qualified Nigerian legal counsel</w:t>
      </w:r>
      <w:r>
        <w:rPr>
          <w:rFonts w:ascii="Calibri" w:hAnsi="Calibri"/>
          <w:b w:val="0"/>
          <w:i w:val="0"/>
          <w:color w:val="0B1F3A"/>
          <w:sz w:val="19"/>
        </w:rPr>
        <w:t>, together with confirmation of what ProvidusUnity requires in its own onboarding flow. If counsel advises that a stronger form is needed, the acknowledgement becomes a separate document and the two acknowledgements here are replaced by links to it.</w:t>
      </w:r>
    </w:p>
    <w:p>
      <w:pPr>
        <w:pStyle w:val="Heading3"/>
      </w:pPr>
      <w:r>
        <w:rPr>
          <w:rFonts w:ascii="Calibri" w:hAnsi="Calibri"/>
          <w:b/>
          <w:i w:val="0"/>
          <w:color w:val="0B1F3A"/>
          <w:sz w:val="24"/>
        </w:rPr>
        <w:t>6.13.1 Wireframe</w:t>
      </w:r>
    </w:p>
    <w:p>
      <w:r>
        <w:rPr>
          <w:rFonts w:ascii="Calibri" w:hAnsi="Calibri"/>
          <w:b/>
          <w:color w:val="101828"/>
          <w:sz w:val="21"/>
        </w:rPr>
        <w:t>Mobile — 375 px.</w:t>
      </w:r>
      <w:r>
        <w:rPr>
          <w:rFonts w:ascii="Calibri" w:hAnsi="Calibri"/>
          <w:b w:val="0"/>
          <w:i w:val="0"/>
          <w:color w:val="101828"/>
          <w:sz w:val="21"/>
        </w:rPr>
        <w:t xml:space="preserve"> Two steps rather than one long scroll. The confirm step repeats the fee block rather than referring back to step 1, because a scroll-and-remember flow is how a commitment gets made without being read.</w:t>
      </w:r>
    </w:p>
    <w:p>
      <w:pPr>
        <w:spacing w:before="0" w:after="0" w:line="240" w:lineRule="auto"/>
        <w:ind w:left="230"/>
        <w:shd w:val="clear" w:color="auto" w:fill="F7F9FC"/>
        <w:pBdr>
          <w:left w:val="single" w:sz="4" w:space="6" w:color="D0D5DD"/>
        </w:pBdr>
      </w:pPr>
      <w:r>
        <w:rPr>
          <w:rFonts w:ascii="Consolas" w:hAnsi="Consolas"/>
          <w:color w:val="0B1F3A"/>
          <w:sz w:val="16"/>
        </w:rPr>
        <w:t>+-- (1) PROGRESS --------------------------+</w:t>
      </w:r>
    </w:p>
    <w:p>
      <w:pPr>
        <w:spacing w:before="0" w:after="0" w:line="240" w:lineRule="auto"/>
        <w:ind w:left="230"/>
        <w:shd w:val="clear" w:color="auto" w:fill="F7F9FC"/>
        <w:pBdr>
          <w:left w:val="single" w:sz="4" w:space="6" w:color="D0D5DD"/>
        </w:pBdr>
      </w:pPr>
      <w:r>
        <w:rPr>
          <w:rFonts w:ascii="Consolas" w:hAnsi="Consolas"/>
          <w:color w:val="0B1F3A"/>
          <w:sz w:val="16"/>
        </w:rPr>
        <w:t>| Join an Ajo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Step 1 of 2                              |</w:t>
      </w:r>
    </w:p>
    <w:p>
      <w:pPr>
        <w:spacing w:before="0" w:after="0" w:line="240" w:lineRule="auto"/>
        <w:ind w:left="230"/>
        <w:shd w:val="clear" w:color="auto" w:fill="F7F9FC"/>
        <w:pBdr>
          <w:left w:val="single" w:sz="4" w:space="6" w:color="D0D5DD"/>
        </w:pBdr>
      </w:pPr>
      <w:r>
        <w:rPr>
          <w:rFonts w:ascii="Consolas" w:hAnsi="Consolas"/>
          <w:color w:val="0B1F3A"/>
          <w:sz w:val="16"/>
        </w:rPr>
        <w:t>+-- (2) INVITE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You have been invited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to Adaeze's Ajo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10 members, weekly,               |   |</w:t>
      </w:r>
    </w:p>
    <w:p>
      <w:pPr>
        <w:spacing w:before="0" w:after="0" w:line="240" w:lineRule="auto"/>
        <w:ind w:left="230"/>
        <w:shd w:val="clear" w:color="auto" w:fill="F7F9FC"/>
        <w:pBdr>
          <w:left w:val="single" w:sz="4" w:space="6" w:color="D0D5DD"/>
        </w:pBdr>
      </w:pPr>
      <w:r>
        <w:rPr>
          <w:rFonts w:ascii="Consolas" w:hAnsi="Consolas"/>
          <w:color w:val="0B1F3A"/>
          <w:sz w:val="16"/>
        </w:rPr>
        <w:t>| |  NGN 1,000.00 each,                |   |</w:t>
      </w:r>
    </w:p>
    <w:p>
      <w:pPr>
        <w:spacing w:before="0" w:after="0" w:line="240" w:lineRule="auto"/>
        <w:ind w:left="230"/>
        <w:shd w:val="clear" w:color="auto" w:fill="F7F9FC"/>
        <w:pBdr>
          <w:left w:val="single" w:sz="4" w:space="6" w:color="D0D5DD"/>
        </w:pBdr>
      </w:pPr>
      <w:r>
        <w:rPr>
          <w:rFonts w:ascii="Consolas" w:hAnsi="Consolas"/>
          <w:color w:val="0B1F3A"/>
          <w:sz w:val="16"/>
        </w:rPr>
        <w:t>| |  10 rounds from 15 Sep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Continue }*                     |   |</w:t>
      </w:r>
    </w:p>
    <w:p>
      <w:pPr>
        <w:spacing w:before="0" w:after="0" w:line="240" w:lineRule="auto"/>
        <w:ind w:left="230"/>
        <w:shd w:val="clear" w:color="auto" w:fill="F7F9FC"/>
        <w:pBdr>
          <w:left w:val="single" w:sz="4" w:space="6" w:color="D0D5DD"/>
        </w:pBdr>
      </w:pPr>
      <w:r>
        <w:rPr>
          <w:rFonts w:ascii="Consolas" w:hAnsi="Consolas"/>
          <w:color w:val="0B1F3A"/>
          <w:sz w:val="16"/>
        </w:rPr>
        <w:t>| |  &lt; Decline &gt;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(3) STEP 2: CONFIRM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Before you join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Adaeze's Ajo                      |   |</w:t>
      </w:r>
    </w:p>
    <w:p>
      <w:pPr>
        <w:spacing w:before="0" w:after="0" w:line="240" w:lineRule="auto"/>
        <w:ind w:left="230"/>
        <w:shd w:val="clear" w:color="auto" w:fill="F7F9FC"/>
        <w:pBdr>
          <w:left w:val="single" w:sz="4" w:space="6" w:color="D0D5DD"/>
        </w:pBdr>
      </w:pPr>
      <w:r>
        <w:rPr>
          <w:rFonts w:ascii="Consolas" w:hAnsi="Consolas"/>
          <w:color w:val="0B1F3A"/>
          <w:sz w:val="16"/>
        </w:rPr>
        <w:t>| |  round 1 of 10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You owe each round                |   |</w:t>
      </w:r>
    </w:p>
    <w:p>
      <w:pPr>
        <w:spacing w:before="0" w:after="0" w:line="240" w:lineRule="auto"/>
        <w:ind w:left="230"/>
        <w:shd w:val="clear" w:color="auto" w:fill="F7F9FC"/>
        <w:pBdr>
          <w:left w:val="single" w:sz="4" w:space="6" w:color="D0D5DD"/>
        </w:pBdr>
      </w:pPr>
      <w:r>
        <w:rPr>
          <w:rFonts w:ascii="Consolas" w:hAnsi="Consolas"/>
          <w:color w:val="0B1F3A"/>
          <w:sz w:val="16"/>
        </w:rPr>
        <w:t>| |    NGN 1,000.00  contribution      |   |</w:t>
      </w:r>
    </w:p>
    <w:p>
      <w:pPr>
        <w:spacing w:before="0" w:after="0" w:line="240" w:lineRule="auto"/>
        <w:ind w:left="230"/>
        <w:shd w:val="clear" w:color="auto" w:fill="F7F9FC"/>
        <w:pBdr>
          <w:left w:val="single" w:sz="4" w:space="6" w:color="D0D5DD"/>
        </w:pBdr>
      </w:pPr>
      <w:r>
        <w:rPr>
          <w:rFonts w:ascii="Consolas" w:hAnsi="Consolas"/>
          <w:color w:val="0B1F3A"/>
          <w:sz w:val="16"/>
        </w:rPr>
        <w:t>| |    NGN    20.00  AJO.ng fee        |   |</w:t>
      </w:r>
    </w:p>
    <w:p>
      <w:pPr>
        <w:spacing w:before="0" w:after="0" w:line="240" w:lineRule="auto"/>
        <w:ind w:left="230"/>
        <w:shd w:val="clear" w:color="auto" w:fill="F7F9FC"/>
        <w:pBdr>
          <w:left w:val="single" w:sz="4" w:space="6" w:color="D0D5DD"/>
        </w:pBdr>
      </w:pPr>
      <w:r>
        <w:rPr>
          <w:rFonts w:ascii="Consolas" w:hAnsi="Consolas"/>
          <w:color w:val="0B1F3A"/>
          <w:sz w:val="16"/>
        </w:rPr>
        <w:t>| |    NGN 1,020.00  charged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You are position 9 of 10.         |   |</w:t>
      </w:r>
    </w:p>
    <w:p>
      <w:pPr>
        <w:spacing w:before="0" w:after="0" w:line="240" w:lineRule="auto"/>
        <w:ind w:left="230"/>
        <w:shd w:val="clear" w:color="auto" w:fill="F7F9FC"/>
        <w:pBdr>
          <w:left w:val="single" w:sz="4" w:space="6" w:color="D0D5DD"/>
        </w:pBdr>
      </w:pPr>
      <w:r>
        <w:rPr>
          <w:rFonts w:ascii="Consolas" w:hAnsi="Consolas"/>
          <w:color w:val="0B1F3A"/>
          <w:sz w:val="16"/>
        </w:rPr>
        <w:t>| |  You will be paid in round 9:      |   |</w:t>
      </w:r>
    </w:p>
    <w:p>
      <w:pPr>
        <w:spacing w:before="0" w:after="0" w:line="240" w:lineRule="auto"/>
        <w:ind w:left="230"/>
        <w:shd w:val="clear" w:color="auto" w:fill="F7F9FC"/>
        <w:pBdr>
          <w:left w:val="single" w:sz="4" w:space="6" w:color="D0D5DD"/>
        </w:pBdr>
      </w:pPr>
      <w:r>
        <w:rPr>
          <w:rFonts w:ascii="Consolas" w:hAnsi="Consolas"/>
          <w:color w:val="0B1F3A"/>
          <w:sz w:val="16"/>
        </w:rPr>
        <w:t>| |  NGN 10,000.00, the base pool.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Positions lock when the           |   |</w:t>
      </w:r>
    </w:p>
    <w:p>
      <w:pPr>
        <w:spacing w:before="0" w:after="0" w:line="240" w:lineRule="auto"/>
        <w:ind w:left="230"/>
        <w:shd w:val="clear" w:color="auto" w:fill="F7F9FC"/>
        <w:pBdr>
          <w:left w:val="single" w:sz="4" w:space="6" w:color="D0D5DD"/>
        </w:pBdr>
      </w:pPr>
      <w:r>
        <w:rPr>
          <w:rFonts w:ascii="Consolas" w:hAnsi="Consolas"/>
          <w:color w:val="0B1F3A"/>
          <w:sz w:val="16"/>
        </w:rPr>
        <w:t>| |  Ajo activates. You cannot         |   |</w:t>
      </w:r>
    </w:p>
    <w:p>
      <w:pPr>
        <w:spacing w:before="0" w:after="0" w:line="240" w:lineRule="auto"/>
        <w:ind w:left="230"/>
        <w:shd w:val="clear" w:color="auto" w:fill="F7F9FC"/>
        <w:pBdr>
          <w:left w:val="single" w:sz="4" w:space="6" w:color="D0D5DD"/>
        </w:pBdr>
      </w:pPr>
      <w:r>
        <w:rPr>
          <w:rFonts w:ascii="Consolas" w:hAnsi="Consolas"/>
          <w:color w:val="0B1F3A"/>
          <w:sz w:val="16"/>
        </w:rPr>
        <w:t>| |  leave after that without          |   |</w:t>
      </w:r>
    </w:p>
    <w:p>
      <w:pPr>
        <w:spacing w:before="0" w:after="0" w:line="240" w:lineRule="auto"/>
        <w:ind w:left="230"/>
        <w:shd w:val="clear" w:color="auto" w:fill="F7F9FC"/>
        <w:pBdr>
          <w:left w:val="single" w:sz="4" w:space="6" w:color="D0D5DD"/>
        </w:pBdr>
      </w:pPr>
      <w:r>
        <w:rPr>
          <w:rFonts w:ascii="Consolas" w:hAnsi="Consolas"/>
          <w:color w:val="0B1F3A"/>
          <w:sz w:val="16"/>
        </w:rPr>
        <w:t>| |  a replacement request.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[x] I understand the order,       |   |</w:t>
      </w:r>
    </w:p>
    <w:p>
      <w:pPr>
        <w:spacing w:before="0" w:after="0" w:line="240" w:lineRule="auto"/>
        <w:ind w:left="230"/>
        <w:shd w:val="clear" w:color="auto" w:fill="F7F9FC"/>
        <w:pBdr>
          <w:left w:val="single" w:sz="4" w:space="6" w:color="D0D5DD"/>
        </w:pBdr>
      </w:pPr>
      <w:r>
        <w:rPr>
          <w:rFonts w:ascii="Consolas" w:hAnsi="Consolas"/>
          <w:color w:val="0B1F3A"/>
          <w:sz w:val="16"/>
        </w:rPr>
        <w:t>| |      the amount and the fee.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Join Ajo         }*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(4) BOTTOM NAV ------------------------+</w:t>
      </w:r>
    </w:p>
    <w:p>
      <w:pPr>
        <w:spacing w:before="0" w:after="0" w:line="240" w:lineRule="auto"/>
        <w:ind w:left="230"/>
        <w:shd w:val="clear" w:color="auto" w:fill="F7F9FC"/>
        <w:pBdr>
          <w:left w:val="single" w:sz="4" w:space="6" w:color="D0D5DD"/>
        </w:pBdr>
      </w:pPr>
      <w:r>
        <w:rPr>
          <w:rFonts w:ascii="Consolas" w:hAnsi="Consolas"/>
          <w:color w:val="0B1F3A"/>
          <w:sz w:val="16"/>
        </w:rPr>
        <w:t>| Home  Ajos  Pay  Alerts  More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Step 2 is a two-column layout: the charge and payout figures on the left as a labelled list with rules, and the acknowledgement and action on the right. The figures are not in a card, because a card implies they are optional detail.</w:t>
      </w:r>
    </w:p>
    <w:p>
      <w:pPr>
        <w:spacing w:before="0" w:after="0" w:line="240" w:lineRule="auto"/>
        <w:ind w:left="230"/>
        <w:shd w:val="clear" w:color="auto" w:fill="F7F9FC"/>
        <w:pBdr>
          <w:left w:val="single" w:sz="4" w:space="6" w:color="D0D5DD"/>
        </w:pBdr>
      </w:pPr>
      <w:r>
        <w:rPr>
          <w:rFonts w:ascii="Consolas" w:hAnsi="Consolas"/>
          <w:color w:val="0B1F3A"/>
          <w:sz w:val="16"/>
        </w:rPr>
        <w:t>+-- (1) STEP 1: INVITATION ------------------------------------------------+</w:t>
      </w:r>
    </w:p>
    <w:p>
      <w:pPr>
        <w:spacing w:before="0" w:after="0" w:line="240" w:lineRule="auto"/>
        <w:ind w:left="230"/>
        <w:shd w:val="clear" w:color="auto" w:fill="F7F9FC"/>
        <w:pBdr>
          <w:left w:val="single" w:sz="4" w:space="6" w:color="D0D5DD"/>
        </w:pBdr>
      </w:pPr>
      <w:r>
        <w:rPr>
          <w:rFonts w:ascii="Consolas" w:hAnsi="Consolas"/>
          <w:color w:val="0B1F3A"/>
          <w:sz w:val="16"/>
        </w:rPr>
        <w:t>| You have been invited to Adaeze's Ajo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10 members, weekly, NGN 1,000.00 each, 10 rounds from 15 Sep 2026.       |</w:t>
      </w:r>
    </w:p>
    <w:p>
      <w:pPr>
        <w:spacing w:before="0" w:after="0" w:line="240" w:lineRule="auto"/>
        <w:ind w:left="230"/>
        <w:shd w:val="clear" w:color="auto" w:fill="F7F9FC"/>
        <w:pBdr>
          <w:left w:val="single" w:sz="4" w:space="6" w:color="D0D5DD"/>
        </w:pBdr>
      </w:pPr>
      <w:r>
        <w:rPr>
          <w:rFonts w:ascii="Consolas" w:hAnsi="Consolas"/>
          <w:color w:val="0B1F3A"/>
          <w:sz w:val="16"/>
        </w:rPr>
        <w:t>| The organiser is Adaeze B. (0703 000 0001).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What the invitation does not do: it does not take your position, and it  |</w:t>
      </w:r>
    </w:p>
    <w:p>
      <w:pPr>
        <w:spacing w:before="0" w:after="0" w:line="240" w:lineRule="auto"/>
        <w:ind w:left="230"/>
        <w:shd w:val="clear" w:color="auto" w:fill="F7F9FC"/>
        <w:pBdr>
          <w:left w:val="single" w:sz="4" w:space="6" w:color="D0D5DD"/>
        </w:pBdr>
      </w:pPr>
      <w:r>
        <w:rPr>
          <w:rFonts w:ascii="Consolas" w:hAnsi="Consolas"/>
          <w:color w:val="0B1F3A"/>
          <w:sz w:val="16"/>
        </w:rPr>
        <w:t>| does not commit you to paying. You choose whether to accept, and         |</w:t>
      </w:r>
    </w:p>
    <w:p>
      <w:pPr>
        <w:spacing w:before="0" w:after="0" w:line="240" w:lineRule="auto"/>
        <w:ind w:left="230"/>
        <w:shd w:val="clear" w:color="auto" w:fill="F7F9FC"/>
        <w:pBdr>
          <w:left w:val="single" w:sz="4" w:space="6" w:color="D0D5DD"/>
        </w:pBdr>
      </w:pPr>
      <w:r>
        <w:rPr>
          <w:rFonts w:ascii="Consolas" w:hAnsi="Consolas"/>
          <w:color w:val="0B1F3A"/>
          <w:sz w:val="16"/>
        </w:rPr>
        <w:t>|   accepting                                                              |</w:t>
      </w:r>
    </w:p>
    <w:p>
      <w:pPr>
        <w:spacing w:before="0" w:after="0" w:line="240" w:lineRule="auto"/>
        <w:ind w:left="230"/>
        <w:shd w:val="clear" w:color="auto" w:fill="F7F9FC"/>
        <w:pBdr>
          <w:left w:val="single" w:sz="4" w:space="6" w:color="D0D5DD"/>
        </w:pBdr>
      </w:pPr>
      <w:r>
        <w:rPr>
          <w:rFonts w:ascii="Consolas" w:hAnsi="Consolas"/>
          <w:color w:val="0B1F3A"/>
          <w:sz w:val="16"/>
        </w:rPr>
        <w:t>| still lets you see the full arrangement first.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Continue }*        &lt; Decline &gt;                                         |</w:t>
      </w:r>
    </w:p>
    <w:p>
      <w:pPr>
        <w:spacing w:before="0" w:after="0" w:line="240" w:lineRule="auto"/>
        <w:ind w:left="230"/>
        <w:shd w:val="clear" w:color="auto" w:fill="F7F9FC"/>
        <w:pBdr>
          <w:left w:val="single" w:sz="4" w:space="6" w:color="D0D5DD"/>
        </w:pBdr>
      </w:pPr>
      <w:r>
        <w:rPr>
          <w:rFonts w:ascii="Consolas" w:hAnsi="Consolas"/>
          <w:color w:val="0B1F3A"/>
          <w:sz w:val="16"/>
        </w:rPr>
        <w:t>+-- (2) STEP 2: CONFIRM ---------------------------------------------------+</w:t>
      </w:r>
    </w:p>
    <w:p>
      <w:pPr>
        <w:spacing w:before="0" w:after="0" w:line="240" w:lineRule="auto"/>
        <w:ind w:left="230"/>
        <w:shd w:val="clear" w:color="auto" w:fill="F7F9FC"/>
        <w:pBdr>
          <w:left w:val="single" w:sz="4" w:space="6" w:color="D0D5DD"/>
        </w:pBdr>
      </w:pPr>
      <w:r>
        <w:rPr>
          <w:rFonts w:ascii="Consolas" w:hAnsi="Consolas"/>
          <w:color w:val="0B1F3A"/>
          <w:sz w:val="16"/>
        </w:rPr>
        <w:t>| Before you join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Contribution per round      NGN 1,000.00                               |</w:t>
      </w:r>
    </w:p>
    <w:p>
      <w:pPr>
        <w:spacing w:before="0" w:after="0" w:line="240" w:lineRule="auto"/>
        <w:ind w:left="230"/>
        <w:shd w:val="clear" w:color="auto" w:fill="F7F9FC"/>
        <w:pBdr>
          <w:left w:val="single" w:sz="4" w:space="6" w:color="D0D5DD"/>
        </w:pBdr>
      </w:pPr>
      <w:r>
        <w:rPr>
          <w:rFonts w:ascii="Consolas" w:hAnsi="Consolas"/>
          <w:color w:val="0B1F3A"/>
          <w:sz w:val="16"/>
        </w:rPr>
        <w:t>|   AJO.ng fee, 2%                  NGN 20.00                              |</w:t>
      </w:r>
    </w:p>
    <w:p>
      <w:pPr>
        <w:spacing w:before="0" w:after="0" w:line="240" w:lineRule="auto"/>
        <w:ind w:left="230"/>
        <w:shd w:val="clear" w:color="auto" w:fill="F7F9FC"/>
        <w:pBdr>
          <w:left w:val="single" w:sz="4" w:space="6" w:color="D0D5DD"/>
        </w:pBdr>
      </w:pPr>
      <w:r>
        <w:rPr>
          <w:rFonts w:ascii="Consolas" w:hAnsi="Consolas"/>
          <w:color w:val="0B1F3A"/>
          <w:sz w:val="16"/>
        </w:rPr>
        <w:t>|   Charged to you per round     NGN 1,020.00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Your position                 9 of 10                                  |</w:t>
      </w:r>
    </w:p>
    <w:p>
      <w:pPr>
        <w:spacing w:before="0" w:after="0" w:line="240" w:lineRule="auto"/>
        <w:ind w:left="230"/>
        <w:shd w:val="clear" w:color="auto" w:fill="F7F9FC"/>
        <w:pBdr>
          <w:left w:val="single" w:sz="4" w:space="6" w:color="D0D5DD"/>
        </w:pBdr>
      </w:pPr>
      <w:r>
        <w:rPr>
          <w:rFonts w:ascii="Consolas" w:hAnsi="Consolas"/>
          <w:color w:val="0B1F3A"/>
          <w:sz w:val="16"/>
        </w:rPr>
        <w:t>|   You are paid in round 9                                                |</w:t>
      </w:r>
    </w:p>
    <w:p>
      <w:pPr>
        <w:spacing w:before="0" w:after="0" w:line="240" w:lineRule="auto"/>
        <w:ind w:left="230"/>
        <w:shd w:val="clear" w:color="auto" w:fill="F7F9FC"/>
        <w:pBdr>
          <w:left w:val="single" w:sz="4" w:space="6" w:color="D0D5DD"/>
        </w:pBdr>
      </w:pPr>
      <w:r>
        <w:rPr>
          <w:rFonts w:ascii="Consolas" w:hAnsi="Consolas"/>
          <w:color w:val="0B1F3A"/>
          <w:sz w:val="16"/>
        </w:rPr>
        <w:t>|   Base pool paid to you        NGN 10,000.00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Total charged by you, 10 rounds                                        |</w:t>
      </w:r>
    </w:p>
    <w:p>
      <w:pPr>
        <w:spacing w:before="0" w:after="0" w:line="240" w:lineRule="auto"/>
        <w:ind w:left="230"/>
        <w:shd w:val="clear" w:color="auto" w:fill="F7F9FC"/>
        <w:pBdr>
          <w:left w:val="single" w:sz="4" w:space="6" w:color="D0D5DD"/>
        </w:pBdr>
      </w:pPr>
      <w:r>
        <w:rPr>
          <w:rFonts w:ascii="Consolas" w:hAnsi="Consolas"/>
          <w:color w:val="0B1F3A"/>
          <w:sz w:val="16"/>
        </w:rPr>
        <w:t>|                                 NGN 10,200.00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Positions lock when the Ajo activates. After that, leaving requires a    |</w:t>
      </w:r>
    </w:p>
    <w:p>
      <w:pPr>
        <w:spacing w:before="0" w:after="0" w:line="240" w:lineRule="auto"/>
        <w:ind w:left="230"/>
        <w:shd w:val="clear" w:color="auto" w:fill="F7F9FC"/>
        <w:pBdr>
          <w:left w:val="single" w:sz="4" w:space="6" w:color="D0D5DD"/>
        </w:pBdr>
      </w:pPr>
      <w:r>
        <w:rPr>
          <w:rFonts w:ascii="Consolas" w:hAnsi="Consolas"/>
          <w:color w:val="0B1F3A"/>
          <w:sz w:val="16"/>
        </w:rPr>
        <w:t>| replacement request that the person taking your place must also accept.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[x] I understand the order, the amount and the fee.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Join Ajo         }*        &lt; Back &gt;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6.13.2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494"/>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 Invitation summary</w:t>
            </w:r>
          </w:p>
        </w:tc>
        <w:tc>
          <w:tcPr>
            <w:tcW w:type="dxa" w:w="1656"/>
            <w:tcMar>
              <w:top w:w="60" w:type="dxa"/>
              <w:start w:w="110" w:type="dxa"/>
              <w:bottom w:w="60" w:type="dxa"/>
              <w:end w:w="110" w:type="dxa"/>
            </w:tcMar>
          </w:tcPr>
          <w:p>
            <w:pPr>
              <w:spacing w:after="0"/>
            </w:pPr>
            <w:r/>
            <w:r>
              <w:rPr>
                <w:rFonts w:ascii="Calibri" w:hAnsi="Calibri"/>
                <w:b w:val="0"/>
                <w:i w:val="0"/>
                <w:color w:val="101828"/>
                <w:sz w:val="14"/>
              </w:rPr>
              <w:t>Who invited, which Ajo, and its shape.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494"/>
            <w:tcMar>
              <w:top w:w="60" w:type="dxa"/>
              <w:start w:w="110" w:type="dxa"/>
              <w:bottom w:w="60" w:type="dxa"/>
              <w:end w:w="110" w:type="dxa"/>
            </w:tcMar>
          </w:tcPr>
          <w:p>
            <w:pPr>
              <w:spacing w:after="0"/>
            </w:pPr>
            <w:r/>
            <w:r>
              <w:rPr>
                <w:rFonts w:ascii="Calibri" w:hAnsi="Calibri"/>
                <w:b w:val="0"/>
                <w:i w:val="0"/>
                <w:color w:val="101828"/>
                <w:sz w:val="14"/>
              </w:rPr>
              <w:t>Taken from the invitation token, so a person who was invited to an Ajo that has since closed sees that fact rather than a broken join.</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Decline</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An explicit way to say no.</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49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Decline records a response so the organiser sees the position still open, and frees the position. </w:t>
            </w:r>
            <w:r>
              <w:rPr>
                <w:rFonts w:ascii="Calibri" w:hAnsi="Calibri"/>
                <w:b/>
                <w:color w:val="101828"/>
                <w:sz w:val="14"/>
              </w:rPr>
              <w:t>Decline never requires a reason</w:t>
            </w:r>
            <w:r>
              <w:rPr>
                <w:rFonts w:ascii="Calibri" w:hAnsi="Calibri"/>
                <w:b w:val="0"/>
                <w:i w:val="0"/>
                <w:color w:val="101828"/>
                <w:sz w:val="14"/>
              </w:rPr>
              <w:t>, because a required reason is a request to be persuaded.</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 Charge breakdown</w:t>
            </w:r>
          </w:p>
        </w:tc>
        <w:tc>
          <w:tcPr>
            <w:tcW w:type="dxa" w:w="1656"/>
            <w:tcMar>
              <w:top w:w="60" w:type="dxa"/>
              <w:start w:w="110" w:type="dxa"/>
              <w:bottom w:w="60" w:type="dxa"/>
              <w:end w:w="110" w:type="dxa"/>
            </w:tcMar>
          </w:tcPr>
          <w:p>
            <w:pPr>
              <w:spacing w:after="0"/>
            </w:pPr>
            <w:r/>
            <w:r>
              <w:rPr>
                <w:rFonts w:ascii="Calibri" w:hAnsi="Calibri"/>
                <w:b w:val="0"/>
                <w:i w:val="0"/>
                <w:color w:val="101828"/>
                <w:sz w:val="14"/>
              </w:rPr>
              <w:t>Contribution, fee, and total charged, for the round and across the Ajo.</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494"/>
            <w:tcMar>
              <w:top w:w="60" w:type="dxa"/>
              <w:start w:w="110" w:type="dxa"/>
              <w:bottom w:w="60" w:type="dxa"/>
              <w:end w:w="110" w:type="dxa"/>
            </w:tcMar>
          </w:tcPr>
          <w:p>
            <w:pPr>
              <w:spacing w:after="0"/>
            </w:pPr>
            <w:r/>
            <w:r>
              <w:rPr>
                <w:rFonts w:ascii="Calibri" w:hAnsi="Calibri"/>
                <w:b/>
                <w:color w:val="101828"/>
                <w:sz w:val="14"/>
              </w:rPr>
              <w:t>Mandatory, per the disclosure rule.</w:t>
            </w:r>
            <w:r>
              <w:rPr>
                <w:rFonts w:ascii="Calibri" w:hAnsi="Calibri"/>
                <w:b w:val="0"/>
                <w:i w:val="0"/>
                <w:color w:val="101828"/>
                <w:sz w:val="14"/>
              </w:rPr>
              <w:t xml:space="preserve"> The three figures are never merged into a single </w:t>
            </w:r>
            <w:r>
              <w:rPr>
                <w:rFonts w:ascii="Calibri" w:hAnsi="Calibri"/>
                <w:i/>
                <w:color w:val="101828"/>
                <w:sz w:val="14"/>
              </w:rPr>
              <w:t>NGN 1,020.00 per round with fee</w:t>
            </w:r>
            <w:r>
              <w:rPr>
                <w:rFonts w:ascii="Calibri" w:hAnsi="Calibri"/>
                <w:b w:val="0"/>
                <w:i w:val="0"/>
                <w:color w:val="101828"/>
                <w:sz w:val="14"/>
              </w:rPr>
              <w:t xml:space="preserve"> line. Both the per-round and the across-the-Ajo totals are shown, because </w:t>
            </w:r>
            <w:r>
              <w:rPr>
                <w:rFonts w:ascii="Calibri" w:hAnsi="Calibri"/>
                <w:i/>
                <w:color w:val="101828"/>
                <w:sz w:val="14"/>
              </w:rPr>
              <w:t>10,200.00 total</w:t>
            </w:r>
            <w:r>
              <w:rPr>
                <w:rFonts w:ascii="Calibri" w:hAnsi="Calibri"/>
                <w:b w:val="0"/>
                <w:i w:val="0"/>
                <w:color w:val="101828"/>
                <w:sz w:val="14"/>
              </w:rPr>
              <w:t xml:space="preserve"> is the number that surprises people at month three and it is far better to say it now.</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 Position and payout</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position offered and the base pool to be received.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49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Says </w:t>
            </w:r>
            <w:r>
              <w:rPr>
                <w:rFonts w:ascii="Calibri" w:hAnsi="Calibri"/>
                <w:i/>
                <w:color w:val="101828"/>
                <w:sz w:val="14"/>
              </w:rPr>
              <w:t>base pool</w:t>
            </w:r>
            <w:r>
              <w:rPr>
                <w:rFonts w:ascii="Calibri" w:hAnsi="Calibri"/>
                <w:b w:val="0"/>
                <w:i w:val="0"/>
                <w:color w:val="101828"/>
                <w:sz w:val="14"/>
              </w:rPr>
              <w:t xml:space="preserve"> explicitly, and gives the round number. A member who is told NGN 10,000.00 with no explanation will later compare it against NGN 10,200.00 collected and conclude the platform took a cut of their own money.</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(5) Lock warning</w:t>
            </w:r>
          </w:p>
        </w:tc>
        <w:tc>
          <w:tcPr>
            <w:tcW w:type="dxa" w:w="1656"/>
            <w:tcMar>
              <w:top w:w="60" w:type="dxa"/>
              <w:start w:w="110" w:type="dxa"/>
              <w:bottom w:w="60" w:type="dxa"/>
              <w:end w:w="110" w:type="dxa"/>
            </w:tcMar>
          </w:tcPr>
          <w:p>
            <w:pPr>
              <w:spacing w:after="0"/>
            </w:pPr>
            <w:r/>
            <w:r>
              <w:rPr>
                <w:rFonts w:ascii="Calibri" w:hAnsi="Calibri"/>
                <w:b w:val="0"/>
                <w:i w:val="0"/>
                <w:color w:val="101828"/>
                <w:sz w:val="14"/>
              </w:rPr>
              <w:t>Positions lock on activation; leaving needs a replacement.</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494"/>
            <w:tcMar>
              <w:top w:w="60" w:type="dxa"/>
              <w:start w:w="110" w:type="dxa"/>
              <w:bottom w:w="60" w:type="dxa"/>
              <w:end w:w="110" w:type="dxa"/>
            </w:tcMar>
          </w:tcPr>
          <w:p>
            <w:pPr>
              <w:spacing w:after="0"/>
            </w:pPr>
            <w:r/>
            <w:r>
              <w:rPr>
                <w:rFonts w:ascii="Calibri" w:hAnsi="Calibri"/>
                <w:b w:val="0"/>
                <w:i w:val="0"/>
                <w:color w:val="101828"/>
                <w:sz w:val="14"/>
              </w:rPr>
              <w:t xml:space="preserve">Required because the person is about to give up the ability to leave unilaterally, which CANONICAL.md fixes as an </w:t>
            </w:r>
            <w:r>
              <w:rPr>
                <w:rFonts w:ascii="Consolas" w:hAnsi="Consolas"/>
                <w:color w:val="146EF5"/>
                <w:sz w:val="14"/>
              </w:rPr>
              <w:t>ajo_member</w:t>
            </w:r>
            <w:r>
              <w:rPr>
                <w:rFonts w:ascii="Calibri" w:hAnsi="Calibri"/>
                <w:b w:val="0"/>
                <w:i w:val="0"/>
                <w:color w:val="101828"/>
                <w:sz w:val="14"/>
              </w:rPr>
              <w:t xml:space="preserve"> limitation.</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(6) Acknowledgement</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One checkbox covering order, amount and fee.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494"/>
            <w:tcMar>
              <w:top w:w="60" w:type="dxa"/>
              <w:start w:w="110" w:type="dxa"/>
              <w:bottom w:w="60" w:type="dxa"/>
              <w:end w:w="110" w:type="dxa"/>
            </w:tcMar>
            <w:shd w:val="clear" w:color="auto" w:fill="F4F7FB"/>
          </w:tcPr>
          <w:p>
            <w:pPr>
              <w:spacing w:after="0"/>
            </w:pPr>
            <w:r/>
            <w:r>
              <w:rPr>
                <w:rFonts w:ascii="Calibri" w:hAnsi="Calibri"/>
                <w:b w:val="0"/>
                <w:i w:val="0"/>
                <w:color w:val="101828"/>
                <w:sz w:val="14"/>
              </w:rPr>
              <w:t>Mirrors the wizard's review acknowledgement so the two flows use the same words.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(7) Join action</w:t>
            </w:r>
          </w:p>
        </w:tc>
        <w:tc>
          <w:tcPr>
            <w:tcW w:type="dxa" w:w="1656"/>
            <w:tcMar>
              <w:top w:w="60" w:type="dxa"/>
              <w:start w:w="110" w:type="dxa"/>
              <w:bottom w:w="60" w:type="dxa"/>
              <w:end w:w="110" w:type="dxa"/>
            </w:tcMar>
          </w:tcPr>
          <w:p>
            <w:pPr>
              <w:spacing w:after="0"/>
            </w:pPr>
            <w:r/>
            <w:r>
              <w:rPr>
                <w:rFonts w:ascii="Calibri" w:hAnsi="Calibri"/>
                <w:b w:val="0"/>
                <w:i w:val="0"/>
                <w:color w:val="101828"/>
                <w:sz w:val="14"/>
              </w:rPr>
              <w:t>Commits the membership.</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494"/>
            <w:tcMar>
              <w:top w:w="60" w:type="dxa"/>
              <w:start w:w="110" w:type="dxa"/>
              <w:bottom w:w="60" w:type="dxa"/>
              <w:end w:w="110" w:type="dxa"/>
            </w:tcMar>
          </w:tcPr>
          <w:p>
            <w:pPr>
              <w:spacing w:after="0"/>
            </w:pPr>
            <w:r/>
            <w:r>
              <w:rPr>
                <w:rFonts w:ascii="Calibri" w:hAnsi="Calibri"/>
                <w:b w:val="0"/>
                <w:i w:val="0"/>
                <w:color w:val="101828"/>
                <w:sz w:val="14"/>
              </w:rPr>
              <w:t>POST /invitations/:token/accept. The action is idempotent, so a double tap produces one membership row and one contribution obligation rather than two.</w:t>
            </w:r>
          </w:p>
        </w:tc>
      </w:tr>
    </w:tbl>
    <w:p>
      <w:pPr>
        <w:spacing w:after="80"/>
      </w:pPr>
    </w:p>
    <w:p>
      <w:pPr>
        <w:pStyle w:val="Heading2"/>
      </w:pPr>
      <w:r>
        <w:rPr>
          <w:rFonts w:ascii="Calibri" w:hAnsi="Calibri"/>
          <w:b/>
          <w:i w:val="0"/>
          <w:color w:val="146EF5"/>
          <w:sz w:val="29"/>
        </w:rPr>
        <w:t>6.14 Ajo Detail — SCR-MOB-03</w:t>
      </w:r>
    </w:p>
    <w:p>
      <w:r>
        <w:rPr>
          <w:rFonts w:ascii="Calibri" w:hAnsi="Calibri"/>
          <w:b w:val="0"/>
          <w:i w:val="0"/>
          <w:color w:val="101828"/>
          <w:sz w:val="21"/>
        </w:rPr>
        <w:t xml:space="preserve">The reference page for one Ajo. Everything a member needs in order to decide what they owe, when they will be paid, and how much they will receive is on this one screen, because the question that brings someone here — </w:t>
      </w:r>
      <w:r>
        <w:rPr>
          <w:rFonts w:ascii="Calibri" w:hAnsi="Calibri"/>
          <w:i/>
          <w:color w:val="101828"/>
          <w:sz w:val="21"/>
        </w:rPr>
        <w:t>is this right, and am I in the right place</w:t>
      </w:r>
      <w:r>
        <w:rPr>
          <w:rFonts w:ascii="Calibri" w:hAnsi="Calibri"/>
          <w:b w:val="0"/>
          <w:i w:val="0"/>
          <w:color w:val="101828"/>
          <w:sz w:val="21"/>
        </w:rPr>
        <w:t xml:space="preserve"> — is answered by seeing the whole arrangement at once. It is a read surface: the only action that moves money on it is the payment for a contribution that is already due.</w:t>
      </w:r>
    </w:p>
    <w:p>
      <w:pPr>
        <w:spacing w:before="140" w:after="180"/>
        <w:ind w:left="144"/>
        <w:shd w:val="clear" w:color="auto" w:fill="FEF3C7"/>
        <w:pBdr>
          <w:left w:val="single" w:sz="18" w:space="6" w:color="FBBF24"/>
        </w:pBdr>
      </w:pPr>
      <w:r>
        <w:rPr>
          <w:rFonts w:ascii="Calibri" w:hAnsi="Calibri"/>
          <w:b/>
          <w:color w:val="FBBF24"/>
          <w:sz w:val="19"/>
        </w:rPr>
        <w:t xml:space="preserve">The base-pool sentence is load-bearing  </w:t>
      </w:r>
      <w:r>
        <w:rPr>
          <w:rFonts w:ascii="Calibri" w:hAnsi="Calibri"/>
          <w:b w:val="0"/>
          <w:i w:val="0"/>
          <w:color w:val="0B1F3A"/>
          <w:sz w:val="19"/>
        </w:rPr>
        <w:t>The line stating that the NGN 20.00 fee is not part of the pool is the most load-bearing sentence in the interface. A member who sees NGN 10,200.00 collected and NGN 10,000.00 received, with no explanation, will reasonably conclude AJO.ng took 2% of their own savings. That is not a cosmetic omission; it is the product failing to keep the trust the fee model depends on. The sentence appears on this screen, on the receipt at 6.19, on the payout screen at 6.20, in the marketing fee copy, and in the join confirmation at 6.13. Removing it from any of those is a change to the fee model's disclosure, not to a design.</w:t>
      </w:r>
    </w:p>
    <w:p>
      <w:pPr>
        <w:pStyle w:val="Heading3"/>
      </w:pPr>
      <w:r>
        <w:rPr>
          <w:rFonts w:ascii="Calibri" w:hAnsi="Calibri"/>
          <w:b/>
          <w:i w:val="0"/>
          <w:color w:val="0B1F3A"/>
          <w:sz w:val="24"/>
        </w:rPr>
        <w:t>6.14.1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&lt; My Ajos   Adaeze's Ajo   [more]        |</w:t>
      </w:r>
    </w:p>
    <w:p>
      <w:pPr>
        <w:spacing w:before="0" w:after="0" w:line="240" w:lineRule="auto"/>
        <w:ind w:left="230"/>
        <w:shd w:val="clear" w:color="auto" w:fill="F7F9FC"/>
        <w:pBdr>
          <w:left w:val="single" w:sz="4" w:space="6" w:color="D0D5DD"/>
        </w:pBdr>
      </w:pPr>
      <w:r>
        <w:rPr>
          <w:rFonts w:ascii="Consolas" w:hAnsi="Consolas"/>
          <w:color w:val="0B1F3A"/>
          <w:sz w:val="16"/>
        </w:rPr>
        <w:t>+-- (2) STATUS ----------------------------+</w:t>
      </w:r>
    </w:p>
    <w:p>
      <w:pPr>
        <w:spacing w:before="0" w:after="0" w:line="240" w:lineRule="auto"/>
        <w:ind w:left="230"/>
        <w:shd w:val="clear" w:color="auto" w:fill="F7F9FC"/>
        <w:pBdr>
          <w:left w:val="single" w:sz="4" w:space="6" w:color="D0D5DD"/>
        </w:pBdr>
      </w:pPr>
      <w:r>
        <w:rPr>
          <w:rFonts w:ascii="Consolas" w:hAnsi="Consolas"/>
          <w:color w:val="0B1F3A"/>
          <w:sz w:val="16"/>
        </w:rPr>
        <w:t>| ACTIVE                                   |</w:t>
      </w:r>
    </w:p>
    <w:p>
      <w:pPr>
        <w:spacing w:before="0" w:after="0" w:line="240" w:lineRule="auto"/>
        <w:ind w:left="230"/>
        <w:shd w:val="clear" w:color="auto" w:fill="F7F9FC"/>
        <w:pBdr>
          <w:left w:val="single" w:sz="4" w:space="6" w:color="D0D5DD"/>
        </w:pBdr>
      </w:pPr>
      <w:r>
        <w:rPr>
          <w:rFonts w:ascii="Consolas" w:hAnsi="Consolas"/>
          <w:color w:val="0B1F3A"/>
          <w:sz w:val="16"/>
        </w:rPr>
        <w:t>| round 4 of 10                            |</w:t>
      </w:r>
    </w:p>
    <w:p>
      <w:pPr>
        <w:spacing w:before="0" w:after="0" w:line="240" w:lineRule="auto"/>
        <w:ind w:left="230"/>
        <w:shd w:val="clear" w:color="auto" w:fill="F7F9FC"/>
        <w:pBdr>
          <w:left w:val="single" w:sz="4" w:space="6" w:color="D0D5DD"/>
        </w:pBdr>
      </w:pPr>
      <w:r>
        <w:rPr>
          <w:rFonts w:ascii="Consolas" w:hAnsi="Consolas"/>
          <w:color w:val="0B1F3A"/>
          <w:sz w:val="16"/>
        </w:rPr>
        <w:t>| 7 of 10 paid this round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(3) KEY FACTS -------------------------+</w:t>
      </w:r>
    </w:p>
    <w:p>
      <w:pPr>
        <w:spacing w:before="0" w:after="0" w:line="240" w:lineRule="auto"/>
        <w:ind w:left="230"/>
        <w:shd w:val="clear" w:color="auto" w:fill="F7F9FC"/>
        <w:pBdr>
          <w:left w:val="single" w:sz="4" w:space="6" w:color="D0D5DD"/>
        </w:pBdr>
      </w:pPr>
      <w:r>
        <w:rPr>
          <w:rFonts w:ascii="Consolas" w:hAnsi="Consolas"/>
          <w:color w:val="0B1F3A"/>
          <w:sz w:val="16"/>
        </w:rPr>
        <w:t>| Contribution   NGN 1,000.00              |</w:t>
      </w:r>
    </w:p>
    <w:p>
      <w:pPr>
        <w:spacing w:before="0" w:after="0" w:line="240" w:lineRule="auto"/>
        <w:ind w:left="230"/>
        <w:shd w:val="clear" w:color="auto" w:fill="F7F9FC"/>
        <w:pBdr>
          <w:left w:val="single" w:sz="4" w:space="6" w:color="D0D5DD"/>
        </w:pBdr>
      </w:pPr>
      <w:r>
        <w:rPr>
          <w:rFonts w:ascii="Consolas" w:hAnsi="Consolas"/>
          <w:color w:val="0B1F3A"/>
          <w:sz w:val="16"/>
        </w:rPr>
        <w:t>| AJO.ng fee        NGN 20.00              |</w:t>
      </w:r>
    </w:p>
    <w:p>
      <w:pPr>
        <w:spacing w:before="0" w:after="0" w:line="240" w:lineRule="auto"/>
        <w:ind w:left="230"/>
        <w:shd w:val="clear" w:color="auto" w:fill="F7F9FC"/>
        <w:pBdr>
          <w:left w:val="single" w:sz="4" w:space="6" w:color="D0D5DD"/>
        </w:pBdr>
      </w:pPr>
      <w:r>
        <w:rPr>
          <w:rFonts w:ascii="Consolas" w:hAnsi="Consolas"/>
          <w:color w:val="0B1F3A"/>
          <w:sz w:val="16"/>
        </w:rPr>
        <w:t>| Charged        NGN 1,020.00              |</w:t>
      </w:r>
    </w:p>
    <w:p>
      <w:pPr>
        <w:spacing w:before="0" w:after="0" w:line="240" w:lineRule="auto"/>
        <w:ind w:left="230"/>
        <w:shd w:val="clear" w:color="auto" w:fill="F7F9FC"/>
        <w:pBdr>
          <w:left w:val="single" w:sz="4" w:space="6" w:color="D0D5DD"/>
        </w:pBdr>
      </w:pPr>
      <w:r>
        <w:rPr>
          <w:rFonts w:ascii="Consolas" w:hAnsi="Consolas"/>
          <w:color w:val="0B1F3A"/>
          <w:sz w:val="16"/>
        </w:rPr>
        <w:t>| Frequency      weekly, Mondays           |</w:t>
      </w:r>
    </w:p>
    <w:p>
      <w:pPr>
        <w:spacing w:before="0" w:after="0" w:line="240" w:lineRule="auto"/>
        <w:ind w:left="230"/>
        <w:shd w:val="clear" w:color="auto" w:fill="F7F9FC"/>
        <w:pBdr>
          <w:left w:val="single" w:sz="4" w:space="6" w:color="D0D5DD"/>
        </w:pBdr>
      </w:pPr>
      <w:r>
        <w:rPr>
          <w:rFonts w:ascii="Consolas" w:hAnsi="Consolas"/>
          <w:color w:val="0B1F3A"/>
          <w:sz w:val="16"/>
        </w:rPr>
        <w:t>| Started        15 Sep 2026               |</w:t>
      </w:r>
    </w:p>
    <w:p>
      <w:pPr>
        <w:spacing w:before="0" w:after="0" w:line="240" w:lineRule="auto"/>
        <w:ind w:left="230"/>
        <w:shd w:val="clear" w:color="auto" w:fill="F7F9FC"/>
        <w:pBdr>
          <w:left w:val="single" w:sz="4" w:space="6" w:color="D0D5DD"/>
        </w:pBdr>
      </w:pPr>
      <w:r>
        <w:rPr>
          <w:rFonts w:ascii="Consolas" w:hAnsi="Consolas"/>
          <w:color w:val="0B1F3A"/>
          <w:sz w:val="16"/>
        </w:rPr>
        <w:t>| Ends           10 Nov 2026               |</w:t>
      </w:r>
    </w:p>
    <w:p>
      <w:pPr>
        <w:spacing w:before="0" w:after="0" w:line="240" w:lineRule="auto"/>
        <w:ind w:left="230"/>
        <w:shd w:val="clear" w:color="auto" w:fill="F7F9FC"/>
        <w:pBdr>
          <w:left w:val="single" w:sz="4" w:space="6" w:color="D0D5DD"/>
        </w:pBdr>
      </w:pPr>
      <w:r>
        <w:rPr>
          <w:rFonts w:ascii="Consolas" w:hAnsi="Consolas"/>
          <w:color w:val="0B1F3A"/>
          <w:sz w:val="16"/>
        </w:rPr>
        <w:t>+-- (4) YOUR POSITION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You are position 9 of 10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Round    Due        Fee           |   |</w:t>
      </w:r>
    </w:p>
    <w:p>
      <w:pPr>
        <w:spacing w:before="0" w:after="0" w:line="240" w:lineRule="auto"/>
        <w:ind w:left="230"/>
        <w:shd w:val="clear" w:color="auto" w:fill="F7F9FC"/>
        <w:pBdr>
          <w:left w:val="single" w:sz="4" w:space="6" w:color="D0D5DD"/>
        </w:pBdr>
      </w:pPr>
      <w:r>
        <w:rPr>
          <w:rFonts w:ascii="Consolas" w:hAnsi="Consolas"/>
          <w:color w:val="0B1F3A"/>
          <w:sz w:val="16"/>
        </w:rPr>
        <w:t>| |    Status                          |   |</w:t>
      </w:r>
    </w:p>
    <w:p>
      <w:pPr>
        <w:spacing w:before="0" w:after="0" w:line="240" w:lineRule="auto"/>
        <w:ind w:left="230"/>
        <w:shd w:val="clear" w:color="auto" w:fill="F7F9FC"/>
        <w:pBdr>
          <w:left w:val="single" w:sz="4" w:space="6" w:color="D0D5DD"/>
        </w:pBdr>
      </w:pPr>
      <w:r>
        <w:rPr>
          <w:rFonts w:ascii="Consolas" w:hAnsi="Consolas"/>
          <w:color w:val="0B1F3A"/>
          <w:sz w:val="16"/>
        </w:rPr>
        <w:t>| |  1        15 Sep     NGN 20        |   |</w:t>
      </w:r>
    </w:p>
    <w:p>
      <w:pPr>
        <w:spacing w:before="0" w:after="0" w:line="240" w:lineRule="auto"/>
        <w:ind w:left="230"/>
        <w:shd w:val="clear" w:color="auto" w:fill="F7F9FC"/>
        <w:pBdr>
          <w:left w:val="single" w:sz="4" w:space="6" w:color="D0D5DD"/>
        </w:pBdr>
      </w:pPr>
      <w:r>
        <w:rPr>
          <w:rFonts w:ascii="Consolas" w:hAnsi="Consolas"/>
          <w:color w:val="0B1F3A"/>
          <w:sz w:val="16"/>
        </w:rPr>
        <w:t>| |    paid                            |   |</w:t>
      </w:r>
    </w:p>
    <w:p>
      <w:pPr>
        <w:spacing w:before="0" w:after="0" w:line="240" w:lineRule="auto"/>
        <w:ind w:left="230"/>
        <w:shd w:val="clear" w:color="auto" w:fill="F7F9FC"/>
        <w:pBdr>
          <w:left w:val="single" w:sz="4" w:space="6" w:color="D0D5DD"/>
        </w:pBdr>
      </w:pPr>
      <w:r>
        <w:rPr>
          <w:rFonts w:ascii="Consolas" w:hAnsi="Consolas"/>
          <w:color w:val="0B1F3A"/>
          <w:sz w:val="16"/>
        </w:rPr>
        <w:t>| |  2        22 Sep     NGN 20        |   |</w:t>
      </w:r>
    </w:p>
    <w:p>
      <w:pPr>
        <w:spacing w:before="0" w:after="0" w:line="240" w:lineRule="auto"/>
        <w:ind w:left="230"/>
        <w:shd w:val="clear" w:color="auto" w:fill="F7F9FC"/>
        <w:pBdr>
          <w:left w:val="single" w:sz="4" w:space="6" w:color="D0D5DD"/>
        </w:pBdr>
      </w:pPr>
      <w:r>
        <w:rPr>
          <w:rFonts w:ascii="Consolas" w:hAnsi="Consolas"/>
          <w:color w:val="0B1F3A"/>
          <w:sz w:val="16"/>
        </w:rPr>
        <w:t>| |    paid                            |   |</w:t>
      </w:r>
    </w:p>
    <w:p>
      <w:pPr>
        <w:spacing w:before="0" w:after="0" w:line="240" w:lineRule="auto"/>
        <w:ind w:left="230"/>
        <w:shd w:val="clear" w:color="auto" w:fill="F7F9FC"/>
        <w:pBdr>
          <w:left w:val="single" w:sz="4" w:space="6" w:color="D0D5DD"/>
        </w:pBdr>
      </w:pPr>
      <w:r>
        <w:rPr>
          <w:rFonts w:ascii="Consolas" w:hAnsi="Consolas"/>
          <w:color w:val="0B1F3A"/>
          <w:sz w:val="16"/>
        </w:rPr>
        <w:t>| |  3        29 Sep     NGN 20        |   |</w:t>
      </w:r>
    </w:p>
    <w:p>
      <w:pPr>
        <w:spacing w:before="0" w:after="0" w:line="240" w:lineRule="auto"/>
        <w:ind w:left="230"/>
        <w:shd w:val="clear" w:color="auto" w:fill="F7F9FC"/>
        <w:pBdr>
          <w:left w:val="single" w:sz="4" w:space="6" w:color="D0D5DD"/>
        </w:pBdr>
      </w:pPr>
      <w:r>
        <w:rPr>
          <w:rFonts w:ascii="Consolas" w:hAnsi="Consolas"/>
          <w:color w:val="0B1F3A"/>
          <w:sz w:val="16"/>
        </w:rPr>
        <w:t>| |    paid                            |   |</w:t>
      </w:r>
    </w:p>
    <w:p>
      <w:pPr>
        <w:spacing w:before="0" w:after="0" w:line="240" w:lineRule="auto"/>
        <w:ind w:left="230"/>
        <w:shd w:val="clear" w:color="auto" w:fill="F7F9FC"/>
        <w:pBdr>
          <w:left w:val="single" w:sz="4" w:space="6" w:color="D0D5DD"/>
        </w:pBdr>
      </w:pPr>
      <w:r>
        <w:rPr>
          <w:rFonts w:ascii="Consolas" w:hAnsi="Consolas"/>
          <w:color w:val="0B1F3A"/>
          <w:sz w:val="16"/>
        </w:rPr>
        <w:t>| |  4        05 Oct     NGN 20   due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9        09 Nov     NGN 20        |   |</w:t>
      </w:r>
    </w:p>
    <w:p>
      <w:pPr>
        <w:spacing w:before="0" w:after="0" w:line="240" w:lineRule="auto"/>
        <w:ind w:left="230"/>
        <w:shd w:val="clear" w:color="auto" w:fill="F7F9FC"/>
        <w:pBdr>
          <w:left w:val="single" w:sz="4" w:space="6" w:color="D0D5DD"/>
        </w:pBdr>
      </w:pPr>
      <w:r>
        <w:rPr>
          <w:rFonts w:ascii="Consolas" w:hAnsi="Consolas"/>
          <w:color w:val="0B1F3A"/>
          <w:sz w:val="16"/>
        </w:rPr>
        <w:t>| |    your turn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You are paid NGN 10,000.00 in     |   |</w:t>
      </w:r>
    </w:p>
    <w:p>
      <w:pPr>
        <w:spacing w:before="0" w:after="0" w:line="240" w:lineRule="auto"/>
        <w:ind w:left="230"/>
        <w:shd w:val="clear" w:color="auto" w:fill="F7F9FC"/>
        <w:pBdr>
          <w:left w:val="single" w:sz="4" w:space="6" w:color="D0D5DD"/>
        </w:pBdr>
      </w:pPr>
      <w:r>
        <w:rPr>
          <w:rFonts w:ascii="Consolas" w:hAnsi="Consolas"/>
          <w:color w:val="0B1F3A"/>
          <w:sz w:val="16"/>
        </w:rPr>
        <w:t>| |  round 9. That is the base pool:   |   |</w:t>
      </w:r>
    </w:p>
    <w:p>
      <w:pPr>
        <w:spacing w:before="0" w:after="0" w:line="240" w:lineRule="auto"/>
        <w:ind w:left="230"/>
        <w:shd w:val="clear" w:color="auto" w:fill="F7F9FC"/>
        <w:pBdr>
          <w:left w:val="single" w:sz="4" w:space="6" w:color="D0D5DD"/>
        </w:pBdr>
      </w:pPr>
      <w:r>
        <w:rPr>
          <w:rFonts w:ascii="Consolas" w:hAnsi="Consolas"/>
          <w:color w:val="0B1F3A"/>
          <w:sz w:val="16"/>
        </w:rPr>
        <w:t>| |  10 members at NGN 1,000.00.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(5) ACTIONS ---------------------------+</w:t>
      </w:r>
    </w:p>
    <w:p>
      <w:pPr>
        <w:spacing w:before="0" w:after="0" w:line="240" w:lineRule="auto"/>
        <w:ind w:left="230"/>
        <w:shd w:val="clear" w:color="auto" w:fill="F7F9FC"/>
        <w:pBdr>
          <w:left w:val="single" w:sz="4" w:space="6" w:color="D0D5DD"/>
        </w:pBdr>
      </w:pPr>
      <w:r>
        <w:rPr>
          <w:rFonts w:ascii="Consolas" w:hAnsi="Consolas"/>
          <w:color w:val="0B1F3A"/>
          <w:sz w:val="16"/>
        </w:rPr>
        <w:t>| { Pay round 4 }*                         |</w:t>
      </w:r>
    </w:p>
    <w:p>
      <w:pPr>
        <w:spacing w:before="0" w:after="0" w:line="240" w:lineRule="auto"/>
        <w:ind w:left="230"/>
        <w:shd w:val="clear" w:color="auto" w:fill="F7F9FC"/>
        <w:pBdr>
          <w:left w:val="single" w:sz="4" w:space="6" w:color="D0D5DD"/>
        </w:pBdr>
      </w:pPr>
      <w:r>
        <w:rPr>
          <w:rFonts w:ascii="Consolas" w:hAnsi="Consolas"/>
          <w:color w:val="0B1F3A"/>
          <w:sz w:val="16"/>
        </w:rPr>
        <w:t>| &lt; Members &gt;  &lt; Schedule &gt;                |</w:t>
      </w:r>
    </w:p>
    <w:p>
      <w:pPr>
        <w:spacing w:before="0" w:after="0" w:line="240" w:lineRule="auto"/>
        <w:ind w:left="230"/>
        <w:shd w:val="clear" w:color="auto" w:fill="F7F9FC"/>
        <w:pBdr>
          <w:left w:val="single" w:sz="4" w:space="6" w:color="D0D5DD"/>
        </w:pBdr>
      </w:pPr>
      <w:r>
        <w:rPr>
          <w:rFonts w:ascii="Consolas" w:hAnsi="Consolas"/>
          <w:color w:val="0B1F3A"/>
          <w:sz w:val="16"/>
        </w:rPr>
        <w:t>| &lt; Raise a dispute &gt;                      |</w:t>
      </w:r>
    </w:p>
    <w:p>
      <w:pPr>
        <w:spacing w:before="0" w:after="0" w:line="240" w:lineRule="auto"/>
        <w:ind w:left="230"/>
        <w:shd w:val="clear" w:color="auto" w:fill="F7F9FC"/>
        <w:pBdr>
          <w:left w:val="single" w:sz="4" w:space="6" w:color="D0D5DD"/>
        </w:pBdr>
      </w:pPr>
      <w:r>
        <w:rPr>
          <w:rFonts w:ascii="Consolas" w:hAnsi="Consolas"/>
          <w:color w:val="0B1F3A"/>
          <w:sz w:val="16"/>
        </w:rPr>
        <w:t>+-- (6) BOTTOM NAV ------------------------+</w:t>
      </w:r>
    </w:p>
    <w:p>
      <w:pPr>
        <w:spacing w:before="0" w:after="0" w:line="240" w:lineRule="auto"/>
        <w:ind w:left="230"/>
        <w:shd w:val="clear" w:color="auto" w:fill="F7F9FC"/>
        <w:pBdr>
          <w:left w:val="single" w:sz="4" w:space="6" w:color="D0D5DD"/>
        </w:pBdr>
      </w:pPr>
      <w:r>
        <w:rPr>
          <w:rFonts w:ascii="Consolas" w:hAnsi="Consolas"/>
          <w:color w:val="0B1F3A"/>
          <w:sz w:val="16"/>
        </w:rPr>
        <w:t>| Home  Ajos  Pay  Alerts  More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LEFT NAV ----------------------------------------------------------+</w:t>
      </w:r>
    </w:p>
    <w:p>
      <w:pPr>
        <w:spacing w:before="0" w:after="0" w:line="240" w:lineRule="auto"/>
        <w:ind w:left="230"/>
        <w:shd w:val="clear" w:color="auto" w:fill="F7F9FC"/>
        <w:pBdr>
          <w:left w:val="single" w:sz="4" w:space="6" w:color="D0D5DD"/>
        </w:pBdr>
      </w:pPr>
      <w:r>
        <w:rPr>
          <w:rFonts w:ascii="Consolas" w:hAnsi="Consolas"/>
          <w:color w:val="0B1F3A"/>
          <w:sz w:val="16"/>
        </w:rPr>
        <w:t>| Home                                                                     |</w:t>
      </w:r>
    </w:p>
    <w:p>
      <w:pPr>
        <w:spacing w:before="0" w:after="0" w:line="240" w:lineRule="auto"/>
        <w:ind w:left="230"/>
        <w:shd w:val="clear" w:color="auto" w:fill="F7F9FC"/>
        <w:pBdr>
          <w:left w:val="single" w:sz="4" w:space="6" w:color="D0D5DD"/>
        </w:pBdr>
      </w:pPr>
      <w:r>
        <w:rPr>
          <w:rFonts w:ascii="Consolas" w:hAnsi="Consolas"/>
          <w:color w:val="0B1F3A"/>
          <w:sz w:val="16"/>
        </w:rPr>
        <w:t>| My Ajos                                                                  |</w:t>
      </w:r>
    </w:p>
    <w:p>
      <w:pPr>
        <w:spacing w:before="0" w:after="0" w:line="240" w:lineRule="auto"/>
        <w:ind w:left="230"/>
        <w:shd w:val="clear" w:color="auto" w:fill="F7F9FC"/>
        <w:pBdr>
          <w:left w:val="single" w:sz="4" w:space="6" w:color="D0D5DD"/>
        </w:pBdr>
      </w:pPr>
      <w:r>
        <w:rPr>
          <w:rFonts w:ascii="Consolas" w:hAnsi="Consolas"/>
          <w:color w:val="0B1F3A"/>
          <w:sz w:val="16"/>
        </w:rPr>
        <w:t>| Pay                                                                      |</w:t>
      </w:r>
    </w:p>
    <w:p>
      <w:pPr>
        <w:spacing w:before="0" w:after="0" w:line="240" w:lineRule="auto"/>
        <w:ind w:left="230"/>
        <w:shd w:val="clear" w:color="auto" w:fill="F7F9FC"/>
        <w:pBdr>
          <w:left w:val="single" w:sz="4" w:space="6" w:color="D0D5DD"/>
        </w:pBdr>
      </w:pPr>
      <w:r>
        <w:rPr>
          <w:rFonts w:ascii="Consolas" w:hAnsi="Consolas"/>
          <w:color w:val="0B1F3A"/>
          <w:sz w:val="16"/>
        </w:rPr>
        <w:t>| Alerts                                                                   |</w:t>
      </w:r>
    </w:p>
    <w:p>
      <w:pPr>
        <w:spacing w:before="0" w:after="0" w:line="240" w:lineRule="auto"/>
        <w:ind w:left="230"/>
        <w:shd w:val="clear" w:color="auto" w:fill="F7F9FC"/>
        <w:pBdr>
          <w:left w:val="single" w:sz="4" w:space="6" w:color="D0D5DD"/>
        </w:pBdr>
      </w:pPr>
      <w:r>
        <w:rPr>
          <w:rFonts w:ascii="Consolas" w:hAnsi="Consolas"/>
          <w:color w:val="0B1F3A"/>
          <w:sz w:val="16"/>
        </w:rPr>
        <w:t>| Support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Profile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HEADER ------------------------------------------------------------+</w:t>
      </w:r>
    </w:p>
    <w:p>
      <w:pPr>
        <w:spacing w:before="0" w:after="0" w:line="240" w:lineRule="auto"/>
        <w:ind w:left="230"/>
        <w:shd w:val="clear" w:color="auto" w:fill="F7F9FC"/>
        <w:pBdr>
          <w:left w:val="single" w:sz="4" w:space="6" w:color="D0D5DD"/>
        </w:pBdr>
      </w:pPr>
      <w:r>
        <w:rPr>
          <w:rFonts w:ascii="Consolas" w:hAnsi="Consolas"/>
          <w:color w:val="0B1F3A"/>
          <w:sz w:val="16"/>
        </w:rPr>
        <w:t>| &lt; My Ajos    Adaeze's Ajo    ACTIVE    round 4 of 10    [More]           |</w:t>
      </w:r>
    </w:p>
    <w:p>
      <w:pPr>
        <w:spacing w:before="0" w:after="0" w:line="240" w:lineRule="auto"/>
        <w:ind w:left="230"/>
        <w:shd w:val="clear" w:color="auto" w:fill="F7F9FC"/>
        <w:pBdr>
          <w:left w:val="single" w:sz="4" w:space="6" w:color="D0D5DD"/>
        </w:pBdr>
      </w:pPr>
      <w:r>
        <w:rPr>
          <w:rFonts w:ascii="Consolas" w:hAnsi="Consolas"/>
          <w:color w:val="0B1F3A"/>
          <w:sz w:val="16"/>
        </w:rPr>
        <w:t>+-- (3) SUMMARY -----------------------------------------------------------+</w:t>
      </w:r>
    </w:p>
    <w:p>
      <w:pPr>
        <w:spacing w:before="0" w:after="0" w:line="240" w:lineRule="auto"/>
        <w:ind w:left="230"/>
        <w:shd w:val="clear" w:color="auto" w:fill="F7F9FC"/>
        <w:pBdr>
          <w:left w:val="single" w:sz="4" w:space="6" w:color="D0D5DD"/>
        </w:pBdr>
      </w:pPr>
      <w:r>
        <w:rPr>
          <w:rFonts w:ascii="Consolas" w:hAnsi="Consolas"/>
          <w:color w:val="0B1F3A"/>
          <w:sz w:val="16"/>
        </w:rPr>
        <w:t>| CONTRIBUTION   NGN 1,000.00   FREQUENCY   weekly, Mondays                |</w:t>
      </w:r>
    </w:p>
    <w:p>
      <w:pPr>
        <w:spacing w:before="0" w:after="0" w:line="240" w:lineRule="auto"/>
        <w:ind w:left="230"/>
        <w:shd w:val="clear" w:color="auto" w:fill="F7F9FC"/>
        <w:pBdr>
          <w:left w:val="single" w:sz="4" w:space="6" w:color="D0D5DD"/>
        </w:pBdr>
      </w:pPr>
      <w:r>
        <w:rPr>
          <w:rFonts w:ascii="Consolas" w:hAnsi="Consolas"/>
          <w:color w:val="0B1F3A"/>
          <w:sz w:val="16"/>
        </w:rPr>
        <w:t>| AJO.ng FEE         NGN 20.00   STARTED     15 Sep 2026                   |</w:t>
      </w:r>
    </w:p>
    <w:p>
      <w:pPr>
        <w:spacing w:before="0" w:after="0" w:line="240" w:lineRule="auto"/>
        <w:ind w:left="230"/>
        <w:shd w:val="clear" w:color="auto" w:fill="F7F9FC"/>
        <w:pBdr>
          <w:left w:val="single" w:sz="4" w:space="6" w:color="D0D5DD"/>
        </w:pBdr>
      </w:pPr>
      <w:r>
        <w:rPr>
          <w:rFonts w:ascii="Consolas" w:hAnsi="Consolas"/>
          <w:color w:val="0B1F3A"/>
          <w:sz w:val="16"/>
        </w:rPr>
        <w:t>| CHARGED         NGN 1,020.00   ENDS        10 Nov 2026                   |</w:t>
      </w:r>
    </w:p>
    <w:p>
      <w:pPr>
        <w:spacing w:before="0" w:after="0" w:line="240" w:lineRule="auto"/>
        <w:ind w:left="230"/>
        <w:shd w:val="clear" w:color="auto" w:fill="F7F9FC"/>
        <w:pBdr>
          <w:left w:val="single" w:sz="4" w:space="6" w:color="D0D5DD"/>
        </w:pBdr>
      </w:pPr>
      <w:r>
        <w:rPr>
          <w:rFonts w:ascii="Consolas" w:hAnsi="Consolas"/>
          <w:color w:val="0B1F3A"/>
          <w:sz w:val="16"/>
        </w:rPr>
        <w:t>+-- (4) SCHEDULE TABLE ----------------------------------------------------+</w:t>
      </w:r>
    </w:p>
    <w:p>
      <w:pPr>
        <w:spacing w:before="0" w:after="0" w:line="240" w:lineRule="auto"/>
        <w:ind w:left="230"/>
        <w:shd w:val="clear" w:color="auto" w:fill="F7F9FC"/>
        <w:pBdr>
          <w:left w:val="single" w:sz="4" w:space="6" w:color="D0D5DD"/>
        </w:pBdr>
      </w:pPr>
      <w:r>
        <w:rPr>
          <w:rFonts w:ascii="Consolas" w:hAnsi="Consolas"/>
          <w:color w:val="0B1F3A"/>
          <w:sz w:val="16"/>
        </w:rPr>
        <w:t>| ROUND  DUE       YOUR FEE   YOUR STATUS   WHO IS PAID                    |</w:t>
      </w:r>
    </w:p>
    <w:p>
      <w:pPr>
        <w:spacing w:before="0" w:after="0" w:line="240" w:lineRule="auto"/>
        <w:ind w:left="230"/>
        <w:shd w:val="clear" w:color="auto" w:fill="F7F9FC"/>
        <w:pBdr>
          <w:left w:val="single" w:sz="4" w:space="6" w:color="D0D5DD"/>
        </w:pBdr>
      </w:pPr>
      <w:r>
        <w:rPr>
          <w:rFonts w:ascii="Consolas" w:hAnsi="Consolas"/>
          <w:color w:val="0B1F3A"/>
          <w:sz w:val="16"/>
        </w:rPr>
        <w:t>| 1       15 Sep    NGN 20.00  paid          Adaeze B.                     |</w:t>
      </w:r>
    </w:p>
    <w:p>
      <w:pPr>
        <w:spacing w:before="0" w:after="0" w:line="240" w:lineRule="auto"/>
        <w:ind w:left="230"/>
        <w:shd w:val="clear" w:color="auto" w:fill="F7F9FC"/>
        <w:pBdr>
          <w:left w:val="single" w:sz="4" w:space="6" w:color="D0D5DD"/>
        </w:pBdr>
      </w:pPr>
      <w:r>
        <w:rPr>
          <w:rFonts w:ascii="Consolas" w:hAnsi="Consolas"/>
          <w:color w:val="0B1F3A"/>
          <w:sz w:val="16"/>
        </w:rPr>
        <w:t>| 2       22 Sep    NGN 20.00  paid          Chima O.                      |</w:t>
      </w:r>
    </w:p>
    <w:p>
      <w:pPr>
        <w:spacing w:before="0" w:after="0" w:line="240" w:lineRule="auto"/>
        <w:ind w:left="230"/>
        <w:shd w:val="clear" w:color="auto" w:fill="F7F9FC"/>
        <w:pBdr>
          <w:left w:val="single" w:sz="4" w:space="6" w:color="D0D5DD"/>
        </w:pBdr>
      </w:pPr>
      <w:r>
        <w:rPr>
          <w:rFonts w:ascii="Consolas" w:hAnsi="Consolas"/>
          <w:color w:val="0B1F3A"/>
          <w:sz w:val="16"/>
        </w:rPr>
        <w:t>| 3       29 Sep    NGN 20.00  paid          Fatima S.                     |</w:t>
      </w:r>
    </w:p>
    <w:p>
      <w:pPr>
        <w:spacing w:before="0" w:after="0" w:line="240" w:lineRule="auto"/>
        <w:ind w:left="230"/>
        <w:shd w:val="clear" w:color="auto" w:fill="F7F9FC"/>
        <w:pBdr>
          <w:left w:val="single" w:sz="4" w:space="6" w:color="D0D5DD"/>
        </w:pBdr>
      </w:pPr>
      <w:r>
        <w:rPr>
          <w:rFonts w:ascii="Consolas" w:hAnsi="Consolas"/>
          <w:color w:val="0B1F3A"/>
          <w:sz w:val="16"/>
        </w:rPr>
        <w:t>| 4       05 Oct    NGN 20.00  DUE  NGN      Ibrahim D.                    |</w:t>
      </w:r>
    </w:p>
    <w:p>
      <w:pPr>
        <w:spacing w:before="0" w:after="0" w:line="240" w:lineRule="auto"/>
        <w:ind w:left="230"/>
        <w:shd w:val="clear" w:color="auto" w:fill="F7F9FC"/>
        <w:pBdr>
          <w:left w:val="single" w:sz="4" w:space="6" w:color="D0D5DD"/>
        </w:pBdr>
      </w:pPr>
      <w:r>
        <w:rPr>
          <w:rFonts w:ascii="Consolas" w:hAnsi="Consolas"/>
          <w:color w:val="0B1F3A"/>
          <w:sz w:val="16"/>
        </w:rPr>
        <w:t>|                      1,000.00                                            |</w:t>
      </w:r>
    </w:p>
    <w:p>
      <w:pPr>
        <w:spacing w:before="0" w:after="0" w:line="240" w:lineRule="auto"/>
        <w:ind w:left="230"/>
        <w:shd w:val="clear" w:color="auto" w:fill="F7F9FC"/>
        <w:pBdr>
          <w:left w:val="single" w:sz="4" w:space="6" w:color="D0D5DD"/>
        </w:pBdr>
      </w:pPr>
      <w:r>
        <w:rPr>
          <w:rFonts w:ascii="Consolas" w:hAnsi="Consolas"/>
          <w:color w:val="0B1F3A"/>
          <w:sz w:val="16"/>
        </w:rPr>
        <w:t>| 5       12 Oct    NGN 20.00  not due       Yeti A.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9       09 Nov    NGN 20.00  not due       YOU                           |</w:t>
      </w:r>
    </w:p>
    <w:p>
      <w:pPr>
        <w:spacing w:before="0" w:after="0" w:line="240" w:lineRule="auto"/>
        <w:ind w:left="230"/>
        <w:shd w:val="clear" w:color="auto" w:fill="F7F9FC"/>
        <w:pBdr>
          <w:left w:val="single" w:sz="4" w:space="6" w:color="D0D5DD"/>
        </w:pBdr>
      </w:pPr>
      <w:r>
        <w:rPr>
          <w:rFonts w:ascii="Consolas" w:hAnsi="Consolas"/>
          <w:color w:val="0B1F3A"/>
          <w:sz w:val="16"/>
        </w:rPr>
        <w:t>| 10      16 Nov    NGN 20.00  not due       Segun B.                      |</w:t>
      </w:r>
    </w:p>
    <w:p>
      <w:pPr>
        <w:spacing w:before="0" w:after="0" w:line="240" w:lineRule="auto"/>
        <w:ind w:left="230"/>
        <w:shd w:val="clear" w:color="auto" w:fill="F7F9FC"/>
        <w:pBdr>
          <w:left w:val="single" w:sz="4" w:space="6" w:color="D0D5DD"/>
        </w:pBdr>
      </w:pPr>
      <w:r>
        <w:rPr>
          <w:rFonts w:ascii="Consolas" w:hAnsi="Consolas"/>
          <w:color w:val="0B1F3A"/>
          <w:sz w:val="16"/>
        </w:rPr>
        <w:t>+-- (5) RIGHT COLUMN ------------------------------------------------------+</w:t>
      </w:r>
    </w:p>
    <w:p>
      <w:pPr>
        <w:spacing w:before="0" w:after="0" w:line="240" w:lineRule="auto"/>
        <w:ind w:left="230"/>
        <w:shd w:val="clear" w:color="auto" w:fill="F7F9FC"/>
        <w:pBdr>
          <w:left w:val="single" w:sz="4" w:space="6" w:color="D0D5DD"/>
        </w:pBdr>
      </w:pPr>
      <w:r>
        <w:rPr>
          <w:rFonts w:ascii="Consolas" w:hAnsi="Consolas"/>
          <w:color w:val="0B1F3A"/>
          <w:sz w:val="16"/>
        </w:rPr>
        <w:t>| Your position                                                            |</w:t>
      </w:r>
    </w:p>
    <w:p>
      <w:pPr>
        <w:spacing w:before="0" w:after="0" w:line="240" w:lineRule="auto"/>
        <w:ind w:left="230"/>
        <w:shd w:val="clear" w:color="auto" w:fill="F7F9FC"/>
        <w:pBdr>
          <w:left w:val="single" w:sz="4" w:space="6" w:color="D0D5DD"/>
        </w:pBdr>
      </w:pPr>
      <w:r>
        <w:rPr>
          <w:rFonts w:ascii="Consolas" w:hAnsi="Consolas"/>
          <w:color w:val="0B1F3A"/>
          <w:sz w:val="16"/>
        </w:rPr>
        <w:t>| 9 of 10. Paid in round 9.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Base pool at your turn                                                   |</w:t>
      </w:r>
    </w:p>
    <w:p>
      <w:pPr>
        <w:spacing w:before="0" w:after="0" w:line="240" w:lineRule="auto"/>
        <w:ind w:left="230"/>
        <w:shd w:val="clear" w:color="auto" w:fill="F7F9FC"/>
        <w:pBdr>
          <w:left w:val="single" w:sz="4" w:space="6" w:color="D0D5DD"/>
        </w:pBdr>
      </w:pPr>
      <w:r>
        <w:rPr>
          <w:rFonts w:ascii="Consolas" w:hAnsi="Consolas"/>
          <w:color w:val="0B1F3A"/>
          <w:sz w:val="16"/>
        </w:rPr>
        <w:t>| NGN 10,000.00                                                            |</w:t>
      </w:r>
    </w:p>
    <w:p>
      <w:pPr>
        <w:spacing w:before="0" w:after="0" w:line="240" w:lineRule="auto"/>
        <w:ind w:left="230"/>
        <w:shd w:val="clear" w:color="auto" w:fill="F7F9FC"/>
        <w:pBdr>
          <w:left w:val="single" w:sz="4" w:space="6" w:color="D0D5DD"/>
        </w:pBdr>
      </w:pPr>
      <w:r>
        <w:rPr>
          <w:rFonts w:ascii="Consolas" w:hAnsi="Consolas"/>
          <w:color w:val="0B1F3A"/>
          <w:sz w:val="16"/>
        </w:rPr>
        <w:t>| 10 members x NGN 1,000.00.                                               |</w:t>
      </w:r>
    </w:p>
    <w:p>
      <w:pPr>
        <w:spacing w:before="0" w:after="0" w:line="240" w:lineRule="auto"/>
        <w:ind w:left="230"/>
        <w:shd w:val="clear" w:color="auto" w:fill="F7F9FC"/>
        <w:pBdr>
          <w:left w:val="single" w:sz="4" w:space="6" w:color="D0D5DD"/>
        </w:pBdr>
      </w:pPr>
      <w:r>
        <w:rPr>
          <w:rFonts w:ascii="Consolas" w:hAnsi="Consolas"/>
          <w:color w:val="0B1F3A"/>
          <w:sz w:val="16"/>
        </w:rPr>
        <w:t>| The NGN 20.00 fee per member                                             |</w:t>
      </w:r>
    </w:p>
    <w:p>
      <w:pPr>
        <w:spacing w:before="0" w:after="0" w:line="240" w:lineRule="auto"/>
        <w:ind w:left="230"/>
        <w:shd w:val="clear" w:color="auto" w:fill="F7F9FC"/>
        <w:pBdr>
          <w:left w:val="single" w:sz="4" w:space="6" w:color="D0D5DD"/>
        </w:pBdr>
      </w:pPr>
      <w:r>
        <w:rPr>
          <w:rFonts w:ascii="Consolas" w:hAnsi="Consolas"/>
          <w:color w:val="0B1F3A"/>
          <w:sz w:val="16"/>
        </w:rPr>
        <w:t>| stays with AJO.ng and is not                                             |</w:t>
      </w:r>
    </w:p>
    <w:p>
      <w:pPr>
        <w:spacing w:before="0" w:after="0" w:line="240" w:lineRule="auto"/>
        <w:ind w:left="230"/>
        <w:shd w:val="clear" w:color="auto" w:fill="F7F9FC"/>
        <w:pBdr>
          <w:left w:val="single" w:sz="4" w:space="6" w:color="D0D5DD"/>
        </w:pBdr>
      </w:pPr>
      <w:r>
        <w:rPr>
          <w:rFonts w:ascii="Consolas" w:hAnsi="Consolas"/>
          <w:color w:val="0B1F3A"/>
          <w:sz w:val="16"/>
        </w:rPr>
        <w:t>| part of the pool.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Organiser                                                                |</w:t>
      </w:r>
    </w:p>
    <w:p>
      <w:pPr>
        <w:spacing w:before="0" w:after="0" w:line="240" w:lineRule="auto"/>
        <w:ind w:left="230"/>
        <w:shd w:val="clear" w:color="auto" w:fill="F7F9FC"/>
        <w:pBdr>
          <w:left w:val="single" w:sz="4" w:space="6" w:color="D0D5DD"/>
        </w:pBdr>
      </w:pPr>
      <w:r>
        <w:rPr>
          <w:rFonts w:ascii="Consolas" w:hAnsi="Consolas"/>
          <w:color w:val="0B1F3A"/>
          <w:sz w:val="16"/>
        </w:rPr>
        <w:t>| Adaeze B.  0703 000 0001                                                 |</w:t>
      </w:r>
    </w:p>
    <w:p>
      <w:pPr>
        <w:spacing w:before="0" w:after="0" w:line="240" w:lineRule="auto"/>
        <w:ind w:left="230"/>
        <w:shd w:val="clear" w:color="auto" w:fill="F7F9FC"/>
        <w:pBdr>
          <w:left w:val="single" w:sz="4" w:space="6" w:color="D0D5DD"/>
        </w:pBdr>
      </w:pPr>
      <w:r>
        <w:rPr>
          <w:rFonts w:ascii="Consolas" w:hAnsi="Consolas"/>
          <w:color w:val="0B1F3A"/>
          <w:sz w:val="16"/>
        </w:rPr>
        <w:t>+-- (6) ACTIONS -----------------------------------------------------------+</w:t>
      </w:r>
    </w:p>
    <w:p>
      <w:pPr>
        <w:spacing w:before="0" w:after="0" w:line="240" w:lineRule="auto"/>
        <w:ind w:left="230"/>
        <w:shd w:val="clear" w:color="auto" w:fill="F7F9FC"/>
        <w:pBdr>
          <w:left w:val="single" w:sz="4" w:space="6" w:color="D0D5DD"/>
        </w:pBdr>
      </w:pPr>
      <w:r>
        <w:rPr>
          <w:rFonts w:ascii="Consolas" w:hAnsi="Consolas"/>
          <w:color w:val="0B1F3A"/>
          <w:sz w:val="16"/>
        </w:rPr>
        <w:t>| { Pay round 4 }*   &lt; Members &gt;   &lt; Schedule &gt;   &lt; Raise a dispute &gt;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6.14.2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469"/>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682"/>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 Header</w:t>
            </w:r>
          </w:p>
        </w:tc>
        <w:tc>
          <w:tcPr>
            <w:tcW w:type="dxa" w:w="1469"/>
            <w:tcMar>
              <w:top w:w="60" w:type="dxa"/>
              <w:start w:w="110" w:type="dxa"/>
              <w:bottom w:w="60" w:type="dxa"/>
              <w:end w:w="110" w:type="dxa"/>
            </w:tcMar>
          </w:tcPr>
          <w:p>
            <w:pPr>
              <w:spacing w:after="0"/>
            </w:pPr>
            <w:r/>
            <w:r>
              <w:rPr>
                <w:rFonts w:ascii="Calibri" w:hAnsi="Calibri"/>
                <w:b w:val="0"/>
                <w:i w:val="0"/>
                <w:color w:val="101828"/>
                <w:sz w:val="14"/>
              </w:rPr>
              <w:t>Back to the list, Ajo name, and an overflow menu.</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82"/>
            <w:tcMar>
              <w:top w:w="60" w:type="dxa"/>
              <w:start w:w="110" w:type="dxa"/>
              <w:bottom w:w="60" w:type="dxa"/>
              <w:end w:w="110" w:type="dxa"/>
            </w:tcMar>
          </w:tcPr>
          <w:p>
            <w:pPr>
              <w:spacing w:after="0"/>
            </w:pPr>
            <w:r/>
            <w:r>
              <w:rPr>
                <w:rFonts w:ascii="Calibri" w:hAnsi="Calibri"/>
                <w:b w:val="0"/>
                <w:i w:val="0"/>
                <w:color w:val="101828"/>
                <w:sz w:val="14"/>
              </w:rPr>
              <w:t>The state appears in the header on mobile as well as the body, so it is visible before scrolling to anything.</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Status</w:t>
            </w:r>
          </w:p>
        </w:tc>
        <w:tc>
          <w:tcPr>
            <w:tcW w:type="dxa" w:w="1469"/>
            <w:tcMar>
              <w:top w:w="60" w:type="dxa"/>
              <w:start w:w="110" w:type="dxa"/>
              <w:bottom w:w="60" w:type="dxa"/>
              <w:end w:w="110" w:type="dxa"/>
            </w:tcMar>
            <w:shd w:val="clear" w:color="auto" w:fill="F4F7FB"/>
          </w:tcPr>
          <w:p>
            <w:pPr>
              <w:spacing w:after="0"/>
            </w:pPr>
            <w:r/>
            <w:r>
              <w:rPr>
                <w:rFonts w:ascii="Calibri" w:hAnsi="Calibri"/>
                <w:b w:val="0"/>
                <w:i w:val="0"/>
                <w:color w:val="101828"/>
                <w:sz w:val="14"/>
              </w:rPr>
              <w:t>State, round counter, and round progress.</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682"/>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State values are the CANONICAL.md lifecycle names. </w:t>
            </w:r>
            <w:r>
              <w:rPr>
                <w:rFonts w:ascii="Consolas" w:hAnsi="Consolas"/>
                <w:color w:val="146EF5"/>
                <w:sz w:val="14"/>
              </w:rPr>
              <w:t>ROUND_IN_PROGRESS</w:t>
            </w:r>
            <w:r>
              <w:rPr>
                <w:rFonts w:ascii="Calibri" w:hAnsi="Calibri"/>
                <w:b w:val="0"/>
                <w:i w:val="0"/>
                <w:color w:val="101828"/>
                <w:sz w:val="14"/>
              </w:rPr>
              <w:t xml:space="preserve"> renders as </w:t>
            </w:r>
            <w:r>
              <w:rPr>
                <w:rFonts w:ascii="Calibri" w:hAnsi="Calibri"/>
                <w:i/>
                <w:color w:val="101828"/>
                <w:sz w:val="14"/>
              </w:rPr>
              <w:t>Rounding</w:t>
            </w:r>
            <w:r>
              <w:rPr>
                <w:rFonts w:ascii="Calibri" w:hAnsi="Calibri"/>
                <w:b w:val="0"/>
                <w:i w:val="0"/>
                <w:color w:val="101828"/>
                <w:sz w:val="14"/>
              </w:rPr>
              <w:t>, because the internal name is for engineers and the screen is for members.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 Key facts</w:t>
            </w:r>
          </w:p>
        </w:tc>
        <w:tc>
          <w:tcPr>
            <w:tcW w:type="dxa" w:w="1469"/>
            <w:tcMar>
              <w:top w:w="60" w:type="dxa"/>
              <w:start w:w="110" w:type="dxa"/>
              <w:bottom w:w="60" w:type="dxa"/>
              <w:end w:w="110" w:type="dxa"/>
            </w:tcMar>
          </w:tcPr>
          <w:p>
            <w:pPr>
              <w:spacing w:after="0"/>
            </w:pPr>
            <w:r/>
            <w:r>
              <w:rPr>
                <w:rFonts w:ascii="Calibri" w:hAnsi="Calibri"/>
                <w:b w:val="0"/>
                <w:i w:val="0"/>
                <w:color w:val="101828"/>
                <w:sz w:val="14"/>
              </w:rPr>
              <w:t>Contribution, fee, charged, frequency, start and end.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82"/>
            <w:tcMar>
              <w:top w:w="60" w:type="dxa"/>
              <w:start w:w="110" w:type="dxa"/>
              <w:bottom w:w="60" w:type="dxa"/>
              <w:end w:w="110" w:type="dxa"/>
            </w:tcMar>
          </w:tcPr>
          <w:p>
            <w:pPr>
              <w:spacing w:after="0"/>
            </w:pPr>
            <w:r/>
            <w:r>
              <w:rPr>
                <w:rFonts w:ascii="Calibri" w:hAnsi="Calibri"/>
                <w:b/>
                <w:color w:val="101828"/>
                <w:sz w:val="14"/>
              </w:rPr>
              <w:t>The fee appears here even though no payment is being made</w:t>
            </w:r>
            <w:r>
              <w:rPr>
                <w:rFonts w:ascii="Calibri" w:hAnsi="Calibri"/>
                <w:b w:val="0"/>
                <w:i w:val="0"/>
                <w:color w:val="101828"/>
                <w:sz w:val="14"/>
              </w:rPr>
              <w:t>, because CANONICAL.md requires the fee to be shown in every Ajo details screen, not only on payment screens. A member checking the numbers before their turn has paid needs to see the same three figures they were charged.</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 Your position</w:t>
            </w:r>
          </w:p>
        </w:tc>
        <w:tc>
          <w:tcPr>
            <w:tcW w:type="dxa" w:w="1469"/>
            <w:tcMar>
              <w:top w:w="60" w:type="dxa"/>
              <w:start w:w="110" w:type="dxa"/>
              <w:bottom w:w="60" w:type="dxa"/>
              <w:end w:w="110" w:type="dxa"/>
            </w:tcMar>
            <w:shd w:val="clear" w:color="auto" w:fill="F4F7FB"/>
          </w:tcPr>
          <w:p>
            <w:pPr>
              <w:spacing w:after="0"/>
            </w:pPr>
            <w:r/>
            <w:r>
              <w:rPr>
                <w:rFonts w:ascii="Calibri" w:hAnsi="Calibri"/>
                <w:b w:val="0"/>
                <w:i w:val="0"/>
                <w:color w:val="101828"/>
                <w:sz w:val="14"/>
              </w:rPr>
              <w:t>Position number, and the round in which this member is paid.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682"/>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projected payout is named </w:t>
            </w:r>
            <w:r>
              <w:rPr>
                <w:rFonts w:ascii="Calibri" w:hAnsi="Calibri"/>
                <w:i/>
                <w:color w:val="101828"/>
                <w:sz w:val="14"/>
              </w:rPr>
              <w:t>base pool</w:t>
            </w:r>
            <w:r>
              <w:rPr>
                <w:rFonts w:ascii="Calibri" w:hAnsi="Calibri"/>
                <w:b w:val="0"/>
                <w:i w:val="0"/>
                <w:color w:val="101828"/>
                <w:sz w:val="14"/>
              </w:rPr>
              <w:t xml:space="preserve"> and shows the derivation </w:t>
            </w:r>
            <w:r>
              <w:rPr>
                <w:rFonts w:ascii="Calibri" w:hAnsi="Calibri"/>
                <w:i/>
                <w:color w:val="101828"/>
                <w:sz w:val="14"/>
              </w:rPr>
              <w:t>10 members x NGN 1,000.00</w:t>
            </w:r>
            <w:r>
              <w:rPr>
                <w:rFonts w:ascii="Calibri" w:hAnsi="Calibri"/>
                <w:b w:val="0"/>
                <w:i w:val="0"/>
                <w:color w:val="101828"/>
                <w:sz w:val="14"/>
              </w:rPr>
              <w:t>, plus one sentence saying the fee is not part of the pool. This is the sentence that prevents the NGN 10,200-versus-NGN 10,000 support ticket.</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(5) Schedule table</w:t>
            </w:r>
          </w:p>
        </w:tc>
        <w:tc>
          <w:tcPr>
            <w:tcW w:type="dxa" w:w="1469"/>
            <w:tcMar>
              <w:top w:w="60" w:type="dxa"/>
              <w:start w:w="110" w:type="dxa"/>
              <w:bottom w:w="60" w:type="dxa"/>
              <w:end w:w="110" w:type="dxa"/>
            </w:tcMar>
          </w:tcPr>
          <w:p>
            <w:pPr>
              <w:spacing w:after="0"/>
            </w:pPr>
            <w:r/>
            <w:r>
              <w:rPr>
                <w:rFonts w:ascii="Calibri" w:hAnsi="Calibri"/>
                <w:b w:val="0"/>
                <w:i w:val="0"/>
                <w:color w:val="101828"/>
                <w:sz w:val="14"/>
              </w:rPr>
              <w:t>Every round: due date, this member's fee, status, and who is paid.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82"/>
            <w:tcMar>
              <w:top w:w="60" w:type="dxa"/>
              <w:start w:w="110" w:type="dxa"/>
              <w:bottom w:w="60" w:type="dxa"/>
              <w:end w:w="110" w:type="dxa"/>
            </w:tcMar>
          </w:tcPr>
          <w:p>
            <w:pPr>
              <w:spacing w:after="0"/>
            </w:pPr>
            <w:r/>
            <w:r>
              <w:rPr>
                <w:rFonts w:ascii="Calibri" w:hAnsi="Calibri"/>
                <w:b w:val="0"/>
                <w:i w:val="0"/>
                <w:color w:val="101828"/>
                <w:sz w:val="14"/>
              </w:rPr>
              <w:t xml:space="preserve">Two columns, because they answer different questions and conflating them is how a member decides they are the wrong person for the round. </w:t>
            </w:r>
            <w:r>
              <w:rPr>
                <w:rFonts w:ascii="Calibri" w:hAnsi="Calibri"/>
                <w:i/>
                <w:color w:val="101828"/>
                <w:sz w:val="14"/>
              </w:rPr>
              <w:t>Who is paid</w:t>
            </w:r>
            <w:r>
              <w:rPr>
                <w:rFonts w:ascii="Calibri" w:hAnsi="Calibri"/>
                <w:b w:val="0"/>
                <w:i w:val="0"/>
                <w:color w:val="101828"/>
                <w:sz w:val="14"/>
              </w:rPr>
              <w:t xml:space="preserve"> reveals other members' first names to members, which is in scope because names are what a group uses to recognise each other; phone numbers and amounts each member owes are not.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(6) Fee column</w:t>
            </w:r>
          </w:p>
        </w:tc>
        <w:tc>
          <w:tcPr>
            <w:tcW w:type="dxa" w:w="1469"/>
            <w:tcMar>
              <w:top w:w="60" w:type="dxa"/>
              <w:start w:w="110" w:type="dxa"/>
              <w:bottom w:w="60" w:type="dxa"/>
              <w:end w:w="110" w:type="dxa"/>
            </w:tcMar>
            <w:shd w:val="clear" w:color="auto" w:fill="F4F7FB"/>
          </w:tcPr>
          <w:p>
            <w:pPr>
              <w:spacing w:after="0"/>
            </w:pPr>
            <w:r/>
            <w:r>
              <w:rPr>
                <w:rFonts w:ascii="Calibri" w:hAnsi="Calibri"/>
                <w:b w:val="0"/>
                <w:i w:val="0"/>
                <w:color w:val="101828"/>
                <w:sz w:val="14"/>
              </w:rPr>
              <w:t>The fee the member will pay for that round.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682"/>
            <w:tcMar>
              <w:top w:w="60" w:type="dxa"/>
              <w:start w:w="110" w:type="dxa"/>
              <w:bottom w:w="60" w:type="dxa"/>
              <w:end w:w="110" w:type="dxa"/>
            </w:tcMar>
            <w:shd w:val="clear" w:color="auto" w:fill="F4F7FB"/>
          </w:tcPr>
          <w:p>
            <w:pPr>
              <w:spacing w:after="0"/>
            </w:pPr>
            <w:r/>
            <w:r>
              <w:rPr>
                <w:rFonts w:ascii="Calibri" w:hAnsi="Calibri"/>
                <w:b w:val="0"/>
                <w:i w:val="0"/>
                <w:color w:val="101828"/>
                <w:sz w:val="14"/>
              </w:rPr>
              <w:t>Per round, not a total, because rounds are billed individually and a total on a schedule implies a lump sum that does not exist.</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(7) Actions</w:t>
            </w:r>
          </w:p>
        </w:tc>
        <w:tc>
          <w:tcPr>
            <w:tcW w:type="dxa" w:w="1469"/>
            <w:tcMar>
              <w:top w:w="60" w:type="dxa"/>
              <w:start w:w="110" w:type="dxa"/>
              <w:bottom w:w="60" w:type="dxa"/>
              <w:end w:w="110" w:type="dxa"/>
            </w:tcMar>
          </w:tcPr>
          <w:p>
            <w:pPr>
              <w:spacing w:after="0"/>
            </w:pPr>
            <w:r/>
            <w:r>
              <w:rPr>
                <w:rFonts w:ascii="Calibri" w:hAnsi="Calibri"/>
                <w:b w:val="0"/>
                <w:i w:val="0"/>
                <w:color w:val="101828"/>
                <w:sz w:val="14"/>
              </w:rPr>
              <w:t>Pay when due, and navigation to members, schedule and disputes.</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82"/>
            <w:tcMar>
              <w:top w:w="60" w:type="dxa"/>
              <w:start w:w="110" w:type="dxa"/>
              <w:bottom w:w="60" w:type="dxa"/>
              <w:end w:w="110" w:type="dxa"/>
            </w:tcMar>
          </w:tcPr>
          <w:p>
            <w:pPr>
              <w:spacing w:after="0"/>
            </w:pPr>
            <w:r/>
            <w:r>
              <w:rPr>
                <w:rFonts w:ascii="Calibri" w:hAnsi="Calibri"/>
                <w:b w:val="0"/>
                <w:i w:val="0"/>
                <w:color w:val="101828"/>
                <w:sz w:val="14"/>
              </w:rPr>
              <w:t>Pay appears only when a contribution is due and unpaid, for the same reason as 6.11: a permanently visible pay button trains people to ignore it.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(8) Right column</w:t>
            </w:r>
          </w:p>
        </w:tc>
        <w:tc>
          <w:tcPr>
            <w:tcW w:type="dxa" w:w="1469"/>
            <w:tcMar>
              <w:top w:w="60" w:type="dxa"/>
              <w:start w:w="110" w:type="dxa"/>
              <w:bottom w:w="60" w:type="dxa"/>
              <w:end w:w="110" w:type="dxa"/>
            </w:tcMar>
            <w:shd w:val="clear" w:color="auto" w:fill="F4F7FB"/>
          </w:tcPr>
          <w:p>
            <w:pPr>
              <w:spacing w:after="0"/>
            </w:pPr>
            <w:r/>
            <w:r>
              <w:rPr>
                <w:rFonts w:ascii="Calibri" w:hAnsi="Calibri"/>
                <w:b w:val="0"/>
                <w:i w:val="0"/>
                <w:color w:val="101828"/>
                <w:sz w:val="14"/>
              </w:rPr>
              <w:t>Position, base pool derivation, and organiser contact.</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P2</w:t>
            </w:r>
          </w:p>
        </w:tc>
        <w:tc>
          <w:tcPr>
            <w:tcW w:type="dxa" w:w="6682"/>
            <w:tcMar>
              <w:top w:w="60" w:type="dxa"/>
              <w:start w:w="110" w:type="dxa"/>
              <w:bottom w:w="60" w:type="dxa"/>
              <w:end w:w="110" w:type="dxa"/>
            </w:tcMar>
            <w:shd w:val="clear" w:color="auto" w:fill="F4F7FB"/>
          </w:tcPr>
          <w:p>
            <w:pPr>
              <w:spacing w:after="0"/>
            </w:pPr>
            <w:r/>
            <w:r>
              <w:rPr>
                <w:rFonts w:ascii="Calibri" w:hAnsi="Calibri"/>
                <w:b w:val="0"/>
                <w:i w:val="0"/>
                <w:color w:val="101828"/>
                <w:sz w:val="14"/>
              </w:rPr>
              <w:t>Organiser contact is available to members. A group that cannot reach its own organiser stops using the Ajo, and the platform is not a substitute for the relationship.</w:t>
            </w:r>
          </w:p>
        </w:tc>
      </w:tr>
    </w:tbl>
    <w:p>
      <w:pPr>
        <w:spacing w:after="80"/>
      </w:pPr>
    </w:p>
    <w:p>
      <w:pPr>
        <w:pStyle w:val="Heading2"/>
      </w:pPr>
      <w:r>
        <w:rPr>
          <w:rFonts w:ascii="Calibri" w:hAnsi="Calibri"/>
          <w:b/>
          <w:i w:val="0"/>
          <w:color w:val="146EF5"/>
          <w:sz w:val="29"/>
        </w:rPr>
        <w:t>6.15 Members — SCR-MOB-06</w:t>
      </w:r>
    </w:p>
    <w:p>
      <w:r>
        <w:rPr>
          <w:rFonts w:ascii="Calibri" w:hAnsi="Calibri"/>
          <w:b w:val="0"/>
          <w:i w:val="0"/>
          <w:color w:val="101828"/>
          <w:sz w:val="21"/>
        </w:rPr>
        <w:t>The roster, and the screen where the product's privacy position has to be practical rather than merely stated. Members need to know who else is in the Ajo and whose turn it is, because that is how a group confirms it has formed correctly. They do not need to know what anyone else owes, and the screen is designed so that the useful information is complete without that information being present.</w:t>
      </w:r>
    </w:p>
    <w:p>
      <w:pPr>
        <w:spacing w:before="140" w:after="180"/>
        <w:ind w:left="144"/>
        <w:shd w:val="clear" w:color="auto" w:fill="E0F2FE"/>
        <w:pBdr>
          <w:left w:val="single" w:sz="18" w:space="6" w:color="22C7D6"/>
        </w:pBdr>
      </w:pPr>
      <w:r>
        <w:rPr>
          <w:rFonts w:ascii="Calibri" w:hAnsi="Calibri"/>
          <w:b/>
          <w:color w:val="22C7D6"/>
          <w:sz w:val="19"/>
        </w:rPr>
        <w:t xml:space="preserve">First name and initial only in the member roster  </w:t>
      </w:r>
      <w:r>
        <w:rPr>
          <w:rFonts w:ascii="Calibri" w:hAnsi="Calibri"/>
          <w:b w:val="0"/>
          <w:i w:val="0"/>
          <w:color w:val="0B1F3A"/>
          <w:sz w:val="19"/>
        </w:rPr>
        <w:t>Members see first name plus initial for other members, and organisers see the same plus their reminder and replacement columns. Showing full names would be marginally more useful for a group of people who already know each other; showing contact details would be a privacy exposure for a financial product. The trade-off is that a group whose members do not know each other by first name has to confirm its roster through its own channel, which is acceptable because such a group has no reason to trust a platform roster anyway. The alternative considered was hashed identifiers with no names at all, rejected because a group cannot verify its own formation without recognising its members.</w:t>
      </w:r>
    </w:p>
    <w:p>
      <w:pPr>
        <w:pStyle w:val="Heading3"/>
      </w:pPr>
      <w:r>
        <w:rPr>
          <w:rFonts w:ascii="Calibri" w:hAnsi="Calibri"/>
          <w:b/>
          <w:i w:val="0"/>
          <w:color w:val="0B1F3A"/>
          <w:sz w:val="24"/>
        </w:rPr>
        <w:t>6.15.1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&lt; Ajo   Members        10                |</w:t>
      </w:r>
    </w:p>
    <w:p>
      <w:pPr>
        <w:spacing w:before="0" w:after="0" w:line="240" w:lineRule="auto"/>
        <w:ind w:left="230"/>
        <w:shd w:val="clear" w:color="auto" w:fill="F7F9FC"/>
        <w:pBdr>
          <w:left w:val="single" w:sz="4" w:space="6" w:color="D0D5DD"/>
        </w:pBdr>
      </w:pPr>
      <w:r>
        <w:rPr>
          <w:rFonts w:ascii="Consolas" w:hAnsi="Consolas"/>
          <w:color w:val="0B1F3A"/>
          <w:sz w:val="16"/>
        </w:rPr>
        <w:t>+-- (2) FILTER ----------------------------+</w:t>
      </w:r>
    </w:p>
    <w:p>
      <w:pPr>
        <w:spacing w:before="0" w:after="0" w:line="240" w:lineRule="auto"/>
        <w:ind w:left="230"/>
        <w:shd w:val="clear" w:color="auto" w:fill="F7F9FC"/>
        <w:pBdr>
          <w:left w:val="single" w:sz="4" w:space="6" w:color="D0D5DD"/>
        </w:pBdr>
      </w:pPr>
      <w:r>
        <w:rPr>
          <w:rFonts w:ascii="Consolas" w:hAnsi="Consolas"/>
          <w:color w:val="0B1F3A"/>
          <w:sz w:val="16"/>
        </w:rPr>
        <w:t>| All 10                                   |</w:t>
      </w:r>
    </w:p>
    <w:p>
      <w:pPr>
        <w:spacing w:before="0" w:after="0" w:line="240" w:lineRule="auto"/>
        <w:ind w:left="230"/>
        <w:shd w:val="clear" w:color="auto" w:fill="F7F9FC"/>
        <w:pBdr>
          <w:left w:val="single" w:sz="4" w:space="6" w:color="D0D5DD"/>
        </w:pBdr>
      </w:pPr>
      <w:r>
        <w:rPr>
          <w:rFonts w:ascii="Consolas" w:hAnsi="Consolas"/>
          <w:color w:val="0B1F3A"/>
          <w:sz w:val="16"/>
        </w:rPr>
        <w:t>| Paid 7                                   |</w:t>
      </w:r>
    </w:p>
    <w:p>
      <w:pPr>
        <w:spacing w:before="0" w:after="0" w:line="240" w:lineRule="auto"/>
        <w:ind w:left="230"/>
        <w:shd w:val="clear" w:color="auto" w:fill="F7F9FC"/>
        <w:pBdr>
          <w:left w:val="single" w:sz="4" w:space="6" w:color="D0D5DD"/>
        </w:pBdr>
      </w:pPr>
      <w:r>
        <w:rPr>
          <w:rFonts w:ascii="Consolas" w:hAnsi="Consolas"/>
          <w:color w:val="0B1F3A"/>
          <w:sz w:val="16"/>
        </w:rPr>
        <w:t>| Due 1                                    |</w:t>
      </w:r>
    </w:p>
    <w:p>
      <w:pPr>
        <w:spacing w:before="0" w:after="0" w:line="240" w:lineRule="auto"/>
        <w:ind w:left="230"/>
        <w:shd w:val="clear" w:color="auto" w:fill="F7F9FC"/>
        <w:pBdr>
          <w:left w:val="single" w:sz="4" w:space="6" w:color="D0D5DD"/>
        </w:pBdr>
      </w:pPr>
      <w:r>
        <w:rPr>
          <w:rFonts w:ascii="Consolas" w:hAnsi="Consolas"/>
          <w:color w:val="0B1F3A"/>
          <w:sz w:val="16"/>
        </w:rPr>
        <w:t>| Late 1                                   |</w:t>
      </w:r>
    </w:p>
    <w:p>
      <w:pPr>
        <w:spacing w:before="0" w:after="0" w:line="240" w:lineRule="auto"/>
        <w:ind w:left="230"/>
        <w:shd w:val="clear" w:color="auto" w:fill="F7F9FC"/>
        <w:pBdr>
          <w:left w:val="single" w:sz="4" w:space="6" w:color="D0D5DD"/>
        </w:pBdr>
      </w:pPr>
      <w:r>
        <w:rPr>
          <w:rFonts w:ascii="Consolas" w:hAnsi="Consolas"/>
          <w:color w:val="0B1F3A"/>
          <w:sz w:val="16"/>
        </w:rPr>
        <w:t>+-- (3) MEMBER ROWS -----------------------+</w:t>
      </w:r>
    </w:p>
    <w:p>
      <w:pPr>
        <w:spacing w:before="0" w:after="0" w:line="240" w:lineRule="auto"/>
        <w:ind w:left="230"/>
        <w:shd w:val="clear" w:color="auto" w:fill="F7F9FC"/>
        <w:pBdr>
          <w:left w:val="single" w:sz="4" w:space="6" w:color="D0D5DD"/>
        </w:pBdr>
      </w:pPr>
      <w:r>
        <w:rPr>
          <w:rFonts w:ascii="Consolas" w:hAnsi="Consolas"/>
          <w:color w:val="0B1F3A"/>
          <w:sz w:val="16"/>
        </w:rPr>
        <w:t>| Pos  Name       Turn  R4                 |</w:t>
      </w:r>
    </w:p>
    <w:p>
      <w:pPr>
        <w:spacing w:before="0" w:after="0" w:line="240" w:lineRule="auto"/>
        <w:ind w:left="230"/>
        <w:shd w:val="clear" w:color="auto" w:fill="F7F9FC"/>
        <w:pBdr>
          <w:left w:val="single" w:sz="4" w:space="6" w:color="D0D5DD"/>
        </w:pBdr>
      </w:pPr>
      <w:r>
        <w:rPr>
          <w:rFonts w:ascii="Consolas" w:hAnsi="Consolas"/>
          <w:color w:val="0B1F3A"/>
          <w:sz w:val="16"/>
        </w:rPr>
        <w:t>| 1    Adaeze B.    1   paid               |</w:t>
      </w:r>
    </w:p>
    <w:p>
      <w:pPr>
        <w:spacing w:before="0" w:after="0" w:line="240" w:lineRule="auto"/>
        <w:ind w:left="230"/>
        <w:shd w:val="clear" w:color="auto" w:fill="F7F9FC"/>
        <w:pBdr>
          <w:left w:val="single" w:sz="4" w:space="6" w:color="D0D5DD"/>
        </w:pBdr>
      </w:pPr>
      <w:r>
        <w:rPr>
          <w:rFonts w:ascii="Consolas" w:hAnsi="Consolas"/>
          <w:color w:val="0B1F3A"/>
          <w:sz w:val="16"/>
        </w:rPr>
        <w:t>| 2    Chima O.     2   paid               |</w:t>
      </w:r>
    </w:p>
    <w:p>
      <w:pPr>
        <w:spacing w:before="0" w:after="0" w:line="240" w:lineRule="auto"/>
        <w:ind w:left="230"/>
        <w:shd w:val="clear" w:color="auto" w:fill="F7F9FC"/>
        <w:pBdr>
          <w:left w:val="single" w:sz="4" w:space="6" w:color="D0D5DD"/>
        </w:pBdr>
      </w:pPr>
      <w:r>
        <w:rPr>
          <w:rFonts w:ascii="Consolas" w:hAnsi="Consolas"/>
          <w:color w:val="0B1F3A"/>
          <w:sz w:val="16"/>
        </w:rPr>
        <w:t>| 3    Fatima S.    3   paid               |</w:t>
      </w:r>
    </w:p>
    <w:p>
      <w:pPr>
        <w:spacing w:before="0" w:after="0" w:line="240" w:lineRule="auto"/>
        <w:ind w:left="230"/>
        <w:shd w:val="clear" w:color="auto" w:fill="F7F9FC"/>
        <w:pBdr>
          <w:left w:val="single" w:sz="4" w:space="6" w:color="D0D5DD"/>
        </w:pBdr>
      </w:pPr>
      <w:r>
        <w:rPr>
          <w:rFonts w:ascii="Consolas" w:hAnsi="Consolas"/>
          <w:color w:val="0B1F3A"/>
          <w:sz w:val="16"/>
        </w:rPr>
        <w:t>| 4    Ibrahim D.   4   LATE               |</w:t>
      </w:r>
    </w:p>
    <w:p>
      <w:pPr>
        <w:spacing w:before="0" w:after="0" w:line="240" w:lineRule="auto"/>
        <w:ind w:left="230"/>
        <w:shd w:val="clear" w:color="auto" w:fill="F7F9FC"/>
        <w:pBdr>
          <w:left w:val="single" w:sz="4" w:space="6" w:color="D0D5DD"/>
        </w:pBdr>
      </w:pPr>
      <w:r>
        <w:rPr>
          <w:rFonts w:ascii="Consolas" w:hAnsi="Consolas"/>
          <w:color w:val="0B1F3A"/>
          <w:sz w:val="16"/>
        </w:rPr>
        <w:t>| 5    Yeti A.      5   paid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9    Segun A.     9   soon               |</w:t>
      </w:r>
    </w:p>
    <w:p>
      <w:pPr>
        <w:spacing w:before="0" w:after="0" w:line="240" w:lineRule="auto"/>
        <w:ind w:left="230"/>
        <w:shd w:val="clear" w:color="auto" w:fill="F7F9FC"/>
        <w:pBdr>
          <w:left w:val="single" w:sz="4" w:space="6" w:color="D0D5DD"/>
        </w:pBdr>
      </w:pPr>
      <w:r>
        <w:rPr>
          <w:rFonts w:ascii="Consolas" w:hAnsi="Consolas"/>
          <w:color w:val="0B1F3A"/>
          <w:sz w:val="16"/>
        </w:rPr>
        <w:t>| 10   Ngozi E.    10   soon               |</w:t>
      </w:r>
    </w:p>
    <w:p>
      <w:pPr>
        <w:spacing w:before="0" w:after="0" w:line="240" w:lineRule="auto"/>
        <w:ind w:left="230"/>
        <w:shd w:val="clear" w:color="auto" w:fill="F7F9FC"/>
        <w:pBdr>
          <w:left w:val="single" w:sz="4" w:space="6" w:color="D0D5DD"/>
        </w:pBdr>
      </w:pPr>
      <w:r>
        <w:rPr>
          <w:rFonts w:ascii="Consolas" w:hAnsi="Consolas"/>
          <w:color w:val="0B1F3A"/>
          <w:sz w:val="16"/>
        </w:rPr>
        <w:t>+-- (4) PRIVACY NOTE ----------------------+</w:t>
      </w:r>
    </w:p>
    <w:p>
      <w:pPr>
        <w:spacing w:before="0" w:after="0" w:line="240" w:lineRule="auto"/>
        <w:ind w:left="230"/>
        <w:shd w:val="clear" w:color="auto" w:fill="F7F9FC"/>
        <w:pBdr>
          <w:left w:val="single" w:sz="4" w:space="6" w:color="D0D5DD"/>
        </w:pBdr>
      </w:pPr>
      <w:r>
        <w:rPr>
          <w:rFonts w:ascii="Consolas" w:hAnsi="Consolas"/>
          <w:color w:val="0B1F3A"/>
          <w:sz w:val="16"/>
        </w:rPr>
        <w:t>| x  Ajo.ng does not show what             |</w:t>
      </w:r>
    </w:p>
    <w:p>
      <w:pPr>
        <w:spacing w:before="0" w:after="0" w:line="240" w:lineRule="auto"/>
        <w:ind w:left="230"/>
        <w:shd w:val="clear" w:color="auto" w:fill="F7F9FC"/>
        <w:pBdr>
          <w:left w:val="single" w:sz="4" w:space="6" w:color="D0D5DD"/>
        </w:pBdr>
      </w:pPr>
      <w:r>
        <w:rPr>
          <w:rFonts w:ascii="Consolas" w:hAnsi="Consolas"/>
          <w:color w:val="0B1F3A"/>
          <w:sz w:val="16"/>
        </w:rPr>
        <w:t>|    another member owes you, or           |</w:t>
      </w:r>
    </w:p>
    <w:p>
      <w:pPr>
        <w:spacing w:before="0" w:after="0" w:line="240" w:lineRule="auto"/>
        <w:ind w:left="230"/>
        <w:shd w:val="clear" w:color="auto" w:fill="F7F9FC"/>
        <w:pBdr>
          <w:left w:val="single" w:sz="4" w:space="6" w:color="D0D5DD"/>
        </w:pBdr>
      </w:pPr>
      <w:r>
        <w:rPr>
          <w:rFonts w:ascii="Consolas" w:hAnsi="Consolas"/>
          <w:color w:val="0B1F3A"/>
          <w:sz w:val="16"/>
        </w:rPr>
        <w:t>|    owes the group.                       |</w:t>
      </w:r>
    </w:p>
    <w:p>
      <w:pPr>
        <w:spacing w:before="0" w:after="0" w:line="240" w:lineRule="auto"/>
        <w:ind w:left="230"/>
        <w:shd w:val="clear" w:color="auto" w:fill="F7F9FC"/>
        <w:pBdr>
          <w:left w:val="single" w:sz="4" w:space="6" w:color="D0D5DD"/>
        </w:pBdr>
      </w:pPr>
      <w:r>
        <w:rPr>
          <w:rFonts w:ascii="Consolas" w:hAnsi="Consolas"/>
          <w:color w:val="0B1F3A"/>
          <w:sz w:val="16"/>
        </w:rPr>
        <w:t>+-- (5) BOTTOM NAV ------------------------+</w:t>
      </w:r>
    </w:p>
    <w:p>
      <w:pPr>
        <w:spacing w:before="0" w:after="0" w:line="240" w:lineRule="auto"/>
        <w:ind w:left="230"/>
        <w:shd w:val="clear" w:color="auto" w:fill="F7F9FC"/>
        <w:pBdr>
          <w:left w:val="single" w:sz="4" w:space="6" w:color="D0D5DD"/>
        </w:pBdr>
      </w:pPr>
      <w:r>
        <w:rPr>
          <w:rFonts w:ascii="Consolas" w:hAnsi="Consolas"/>
          <w:color w:val="0B1F3A"/>
          <w:sz w:val="16"/>
        </w:rPr>
        <w:t>| Home  Ajos  Pay  Alerts  More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LEFT NAV ----------------------------------------------------------+</w:t>
      </w:r>
    </w:p>
    <w:p>
      <w:pPr>
        <w:spacing w:before="0" w:after="0" w:line="240" w:lineRule="auto"/>
        <w:ind w:left="230"/>
        <w:shd w:val="clear" w:color="auto" w:fill="F7F9FC"/>
        <w:pBdr>
          <w:left w:val="single" w:sz="4" w:space="6" w:color="D0D5DD"/>
        </w:pBdr>
      </w:pPr>
      <w:r>
        <w:rPr>
          <w:rFonts w:ascii="Consolas" w:hAnsi="Consolas"/>
          <w:color w:val="0B1F3A"/>
          <w:sz w:val="16"/>
        </w:rPr>
        <w:t>| Home                                                                     |</w:t>
      </w:r>
    </w:p>
    <w:p>
      <w:pPr>
        <w:spacing w:before="0" w:after="0" w:line="240" w:lineRule="auto"/>
        <w:ind w:left="230"/>
        <w:shd w:val="clear" w:color="auto" w:fill="F7F9FC"/>
        <w:pBdr>
          <w:left w:val="single" w:sz="4" w:space="6" w:color="D0D5DD"/>
        </w:pBdr>
      </w:pPr>
      <w:r>
        <w:rPr>
          <w:rFonts w:ascii="Consolas" w:hAnsi="Consolas"/>
          <w:color w:val="0B1F3A"/>
          <w:sz w:val="16"/>
        </w:rPr>
        <w:t>| My Ajos                                                                  |</w:t>
      </w:r>
    </w:p>
    <w:p>
      <w:pPr>
        <w:spacing w:before="0" w:after="0" w:line="240" w:lineRule="auto"/>
        <w:ind w:left="230"/>
        <w:shd w:val="clear" w:color="auto" w:fill="F7F9FC"/>
        <w:pBdr>
          <w:left w:val="single" w:sz="4" w:space="6" w:color="D0D5DD"/>
        </w:pBdr>
      </w:pPr>
      <w:r>
        <w:rPr>
          <w:rFonts w:ascii="Consolas" w:hAnsi="Consolas"/>
          <w:color w:val="0B1F3A"/>
          <w:sz w:val="16"/>
        </w:rPr>
        <w:t>| Pay                                                                      |</w:t>
      </w:r>
    </w:p>
    <w:p>
      <w:pPr>
        <w:spacing w:before="0" w:after="0" w:line="240" w:lineRule="auto"/>
        <w:ind w:left="230"/>
        <w:shd w:val="clear" w:color="auto" w:fill="F7F9FC"/>
        <w:pBdr>
          <w:left w:val="single" w:sz="4" w:space="6" w:color="D0D5DD"/>
        </w:pBdr>
      </w:pPr>
      <w:r>
        <w:rPr>
          <w:rFonts w:ascii="Consolas" w:hAnsi="Consolas"/>
          <w:color w:val="0B1F3A"/>
          <w:sz w:val="16"/>
        </w:rPr>
        <w:t>| Alerts                                                                   |</w:t>
      </w:r>
    </w:p>
    <w:p>
      <w:pPr>
        <w:spacing w:before="0" w:after="0" w:line="240" w:lineRule="auto"/>
        <w:ind w:left="230"/>
        <w:shd w:val="clear" w:color="auto" w:fill="F7F9FC"/>
        <w:pBdr>
          <w:left w:val="single" w:sz="4" w:space="6" w:color="D0D5DD"/>
        </w:pBdr>
      </w:pPr>
      <w:r>
        <w:rPr>
          <w:rFonts w:ascii="Consolas" w:hAnsi="Consolas"/>
          <w:color w:val="0B1F3A"/>
          <w:sz w:val="16"/>
        </w:rPr>
        <w:t>| Support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Profile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HEADER ------------------------------------------------------------+</w:t>
      </w:r>
    </w:p>
    <w:p>
      <w:pPr>
        <w:spacing w:before="0" w:after="0" w:line="240" w:lineRule="auto"/>
        <w:ind w:left="230"/>
        <w:shd w:val="clear" w:color="auto" w:fill="F7F9FC"/>
        <w:pBdr>
          <w:left w:val="single" w:sz="4" w:space="6" w:color="D0D5DD"/>
        </w:pBdr>
      </w:pPr>
      <w:r>
        <w:rPr>
          <w:rFonts w:ascii="Consolas" w:hAnsi="Consolas"/>
          <w:color w:val="0B1F3A"/>
          <w:sz w:val="16"/>
        </w:rPr>
        <w:t>| &lt; My Ajos    Adaeze's Ajo    Members                                     |</w:t>
      </w:r>
    </w:p>
    <w:p>
      <w:pPr>
        <w:spacing w:before="0" w:after="0" w:line="240" w:lineRule="auto"/>
        <w:ind w:left="230"/>
        <w:shd w:val="clear" w:color="auto" w:fill="F7F9FC"/>
        <w:pBdr>
          <w:left w:val="single" w:sz="4" w:space="6" w:color="D0D5DD"/>
        </w:pBdr>
      </w:pPr>
      <w:r>
        <w:rPr>
          <w:rFonts w:ascii="Consolas" w:hAnsi="Consolas"/>
          <w:color w:val="0B1F3A"/>
          <w:sz w:val="16"/>
        </w:rPr>
        <w:t>+-- (3) MEMBER TABLE ------------------------------------------------------+</w:t>
      </w:r>
    </w:p>
    <w:p>
      <w:pPr>
        <w:spacing w:before="0" w:after="0" w:line="240" w:lineRule="auto"/>
        <w:ind w:left="230"/>
        <w:shd w:val="clear" w:color="auto" w:fill="F7F9FC"/>
        <w:pBdr>
          <w:left w:val="single" w:sz="4" w:space="6" w:color="D0D5DD"/>
        </w:pBdr>
      </w:pPr>
      <w:r>
        <w:rPr>
          <w:rFonts w:ascii="Consolas" w:hAnsi="Consolas"/>
          <w:color w:val="0B1F3A"/>
          <w:sz w:val="16"/>
        </w:rPr>
        <w:t>| POS  NAME         TURN  ORG   ROUND 4   LAST PAID   SHOWN TO             |</w:t>
      </w:r>
    </w:p>
    <w:p>
      <w:pPr>
        <w:spacing w:before="0" w:after="0" w:line="240" w:lineRule="auto"/>
        <w:ind w:left="230"/>
        <w:shd w:val="clear" w:color="auto" w:fill="F7F9FC"/>
        <w:pBdr>
          <w:left w:val="single" w:sz="4" w:space="6" w:color="D0D5DD"/>
        </w:pBdr>
      </w:pPr>
      <w:r>
        <w:rPr>
          <w:rFonts w:ascii="Consolas" w:hAnsi="Consolas"/>
          <w:color w:val="0B1F3A"/>
          <w:sz w:val="16"/>
        </w:rPr>
        <w:t>| 1    Adaeze B.      1    yes   paid       29 Sep      n, t, s            |</w:t>
      </w:r>
    </w:p>
    <w:p>
      <w:pPr>
        <w:spacing w:before="0" w:after="0" w:line="240" w:lineRule="auto"/>
        <w:ind w:left="230"/>
        <w:shd w:val="clear" w:color="auto" w:fill="F7F9FC"/>
        <w:pBdr>
          <w:left w:val="single" w:sz="4" w:space="6" w:color="D0D5DD"/>
        </w:pBdr>
      </w:pPr>
      <w:r>
        <w:rPr>
          <w:rFonts w:ascii="Consolas" w:hAnsi="Consolas"/>
          <w:color w:val="0B1F3A"/>
          <w:sz w:val="16"/>
        </w:rPr>
        <w:t>| 2    Chima O.       2    no    paid       29 Sep      n, t, s            |</w:t>
      </w:r>
    </w:p>
    <w:p>
      <w:pPr>
        <w:spacing w:before="0" w:after="0" w:line="240" w:lineRule="auto"/>
        <w:ind w:left="230"/>
        <w:shd w:val="clear" w:color="auto" w:fill="F7F9FC"/>
        <w:pBdr>
          <w:left w:val="single" w:sz="4" w:space="6" w:color="D0D5DD"/>
        </w:pBdr>
      </w:pPr>
      <w:r>
        <w:rPr>
          <w:rFonts w:ascii="Consolas" w:hAnsi="Consolas"/>
          <w:color w:val="0B1F3A"/>
          <w:sz w:val="16"/>
        </w:rPr>
        <w:t>| 3    Fatima S.      3    no    paid       29 Sep      n, t, s            |</w:t>
      </w:r>
    </w:p>
    <w:p>
      <w:pPr>
        <w:spacing w:before="0" w:after="0" w:line="240" w:lineRule="auto"/>
        <w:ind w:left="230"/>
        <w:shd w:val="clear" w:color="auto" w:fill="F7F9FC"/>
        <w:pBdr>
          <w:left w:val="single" w:sz="4" w:space="6" w:color="D0D5DD"/>
        </w:pBdr>
      </w:pPr>
      <w:r>
        <w:rPr>
          <w:rFonts w:ascii="Consolas" w:hAnsi="Consolas"/>
          <w:color w:val="0B1F3A"/>
          <w:sz w:val="16"/>
        </w:rPr>
        <w:t>| 4    Ibrahim D.     4    no    OVERDUE 2d 29 Sep      n, t, s            |</w:t>
      </w:r>
    </w:p>
    <w:p>
      <w:pPr>
        <w:spacing w:before="0" w:after="0" w:line="240" w:lineRule="auto"/>
        <w:ind w:left="230"/>
        <w:shd w:val="clear" w:color="auto" w:fill="F7F9FC"/>
        <w:pBdr>
          <w:left w:val="single" w:sz="4" w:space="6" w:color="D0D5DD"/>
        </w:pBdr>
      </w:pPr>
      <w:r>
        <w:rPr>
          <w:rFonts w:ascii="Consolas" w:hAnsi="Consolas"/>
          <w:color w:val="0B1F3A"/>
          <w:sz w:val="16"/>
        </w:rPr>
        <w:t>| 5    Yeti A.        5    no    paid       29 Sep      n, t, s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9    Segun A.       9    no    not due    -           n, t, s            |</w:t>
      </w:r>
    </w:p>
    <w:p>
      <w:pPr>
        <w:spacing w:before="0" w:after="0" w:line="240" w:lineRule="auto"/>
        <w:ind w:left="230"/>
        <w:shd w:val="clear" w:color="auto" w:fill="F7F9FC"/>
        <w:pBdr>
          <w:left w:val="single" w:sz="4" w:space="6" w:color="D0D5DD"/>
        </w:pBdr>
      </w:pPr>
      <w:r>
        <w:rPr>
          <w:rFonts w:ascii="Consolas" w:hAnsi="Consolas"/>
          <w:color w:val="0B1F3A"/>
          <w:sz w:val="16"/>
        </w:rPr>
        <w:t>| 10   Ngozi E.      10    no    not due    -           n, t, s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n = first name and initial, t = turn, s = round status.                  |</w:t>
      </w:r>
    </w:p>
    <w:p>
      <w:pPr>
        <w:spacing w:before="0" w:after="0" w:line="240" w:lineRule="auto"/>
        <w:ind w:left="230"/>
        <w:shd w:val="clear" w:color="auto" w:fill="F7F9FC"/>
        <w:pBdr>
          <w:left w:val="single" w:sz="4" w:space="6" w:color="D0D5DD"/>
        </w:pBdr>
      </w:pPr>
      <w:r>
        <w:rPr>
          <w:rFonts w:ascii="Consolas" w:hAnsi="Consolas"/>
          <w:color w:val="0B1F3A"/>
          <w:sz w:val="16"/>
        </w:rPr>
        <w:t>| No phone, no email, and no amount any member owes another member.        |</w:t>
      </w:r>
    </w:p>
    <w:p>
      <w:pPr>
        <w:spacing w:before="0" w:after="0" w:line="240" w:lineRule="auto"/>
        <w:ind w:left="230"/>
        <w:shd w:val="clear" w:color="auto" w:fill="F7F9FC"/>
        <w:pBdr>
          <w:left w:val="single" w:sz="4" w:space="6" w:color="D0D5DD"/>
        </w:pBdr>
      </w:pPr>
      <w:r>
        <w:rPr>
          <w:rFonts w:ascii="Consolas" w:hAnsi="Consolas"/>
          <w:color w:val="0B1F3A"/>
          <w:sz w:val="16"/>
        </w:rPr>
        <w:t>+-- (4) ORGANISER VIEW ----------------------------------------------------+</w:t>
      </w:r>
    </w:p>
    <w:p>
      <w:pPr>
        <w:spacing w:before="0" w:after="0" w:line="240" w:lineRule="auto"/>
        <w:ind w:left="230"/>
        <w:shd w:val="clear" w:color="auto" w:fill="F7F9FC"/>
        <w:pBdr>
          <w:left w:val="single" w:sz="4" w:space="6" w:color="D0D5DD"/>
        </w:pBdr>
      </w:pPr>
      <w:r>
        <w:rPr>
          <w:rFonts w:ascii="Consolas" w:hAnsi="Consolas"/>
          <w:color w:val="0B1F3A"/>
          <w:sz w:val="16"/>
        </w:rPr>
        <w:t>| Extra columns for ajo_organizer only: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last reminder sent      12 Sep 09:14                                   |</w:t>
      </w:r>
    </w:p>
    <w:p>
      <w:pPr>
        <w:spacing w:before="0" w:after="0" w:line="240" w:lineRule="auto"/>
        <w:ind w:left="230"/>
        <w:shd w:val="clear" w:color="auto" w:fill="F7F9FC"/>
        <w:pBdr>
          <w:left w:val="single" w:sz="4" w:space="6" w:color="D0D5DD"/>
        </w:pBdr>
      </w:pPr>
      <w:r>
        <w:rPr>
          <w:rFonts w:ascii="Consolas" w:hAnsi="Consolas"/>
          <w:color w:val="0B1F3A"/>
          <w:sz w:val="16"/>
        </w:rPr>
        <w:t>|   reminders this round    2 of 3                                         |</w:t>
      </w:r>
    </w:p>
    <w:p>
      <w:pPr>
        <w:spacing w:before="0" w:after="0" w:line="240" w:lineRule="auto"/>
        <w:ind w:left="230"/>
        <w:shd w:val="clear" w:color="auto" w:fill="F7F9FC"/>
        <w:pBdr>
          <w:left w:val="single" w:sz="4" w:space="6" w:color="D0D5DD"/>
        </w:pBdr>
      </w:pPr>
      <w:r>
        <w:rPr>
          <w:rFonts w:ascii="Consolas" w:hAnsi="Consolas"/>
          <w:color w:val="0B1F3A"/>
          <w:sz w:val="16"/>
        </w:rPr>
        <w:t>|   replace request         none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6.15.2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498"/>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653"/>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 Header</w:t>
            </w:r>
          </w:p>
        </w:tc>
        <w:tc>
          <w:tcPr>
            <w:tcW w:type="dxa" w:w="1498"/>
            <w:tcMar>
              <w:top w:w="60" w:type="dxa"/>
              <w:start w:w="110" w:type="dxa"/>
              <w:bottom w:w="60" w:type="dxa"/>
              <w:end w:w="110" w:type="dxa"/>
            </w:tcMar>
          </w:tcPr>
          <w:p>
            <w:pPr>
              <w:spacing w:after="0"/>
            </w:pPr>
            <w:r/>
            <w:r>
              <w:rPr>
                <w:rFonts w:ascii="Calibri" w:hAnsi="Calibri"/>
                <w:b w:val="0"/>
                <w:i w:val="0"/>
                <w:color w:val="101828"/>
                <w:sz w:val="14"/>
              </w:rPr>
              <w:t>Back to the Ajo, title, and the member count.</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53"/>
            <w:tcMar>
              <w:top w:w="60" w:type="dxa"/>
              <w:start w:w="110" w:type="dxa"/>
              <w:bottom w:w="60" w:type="dxa"/>
              <w:end w:w="110" w:type="dxa"/>
            </w:tcMar>
          </w:tcPr>
          <w:p>
            <w:pPr>
              <w:spacing w:after="0"/>
            </w:pPr>
            <w:r/>
            <w:r>
              <w:rPr>
                <w:rFonts w:ascii="Calibri" w:hAnsi="Calibri"/>
                <w:b w:val="0"/>
                <w:i w:val="0"/>
                <w:color w:val="101828"/>
                <w:sz w:val="14"/>
              </w:rPr>
              <w:t>The count is the filled position count, not the invitation count, because an unfilled position is not a member.</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Filter</w:t>
            </w:r>
          </w:p>
        </w:tc>
        <w:tc>
          <w:tcPr>
            <w:tcW w:type="dxa" w:w="1498"/>
            <w:tcMar>
              <w:top w:w="60" w:type="dxa"/>
              <w:start w:w="110" w:type="dxa"/>
              <w:bottom w:w="60" w:type="dxa"/>
              <w:end w:w="110" w:type="dxa"/>
            </w:tcMar>
            <w:shd w:val="clear" w:color="auto" w:fill="F4F7FB"/>
          </w:tcPr>
          <w:p>
            <w:pPr>
              <w:spacing w:after="0"/>
            </w:pPr>
            <w:r/>
            <w:r>
              <w:rPr>
                <w:rFonts w:ascii="Calibri" w:hAnsi="Calibri"/>
                <w:b w:val="0"/>
                <w:i w:val="0"/>
                <w:color w:val="101828"/>
                <w:sz w:val="14"/>
              </w:rPr>
              <w:t>All, paid, due, late, with counts.</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653"/>
            <w:tcMar>
              <w:top w:w="60" w:type="dxa"/>
              <w:start w:w="110" w:type="dxa"/>
              <w:bottom w:w="60" w:type="dxa"/>
              <w:end w:w="110" w:type="dxa"/>
            </w:tcMar>
            <w:shd w:val="clear" w:color="auto" w:fill="F4F7FB"/>
          </w:tcPr>
          <w:p>
            <w:pPr>
              <w:spacing w:after="0"/>
            </w:pPr>
            <w:r/>
            <w:r>
              <w:rPr>
                <w:rFonts w:ascii="Calibri" w:hAnsi="Calibri"/>
                <w:i/>
                <w:color w:val="101828"/>
                <w:sz w:val="14"/>
              </w:rPr>
              <w:t>Late</w:t>
            </w:r>
            <w:r>
              <w:rPr>
                <w:rFonts w:ascii="Calibri" w:hAnsi="Calibri"/>
                <w:b w:val="0"/>
                <w:i w:val="0"/>
                <w:color w:val="101828"/>
                <w:sz w:val="14"/>
              </w:rPr>
              <w:t xml:space="preserve"> is a neutral word. The screen does not say </w:t>
            </w:r>
            <w:r>
              <w:rPr>
                <w:rFonts w:ascii="Calibri" w:hAnsi="Calibri"/>
                <w:i/>
                <w:color w:val="101828"/>
                <w:sz w:val="14"/>
              </w:rPr>
              <w:t>deadbeat</w:t>
            </w:r>
            <w:r>
              <w:rPr>
                <w:rFonts w:ascii="Calibri" w:hAnsi="Calibri"/>
                <w:b w:val="0"/>
                <w:i w:val="0"/>
                <w:color w:val="101828"/>
                <w:sz w:val="14"/>
              </w:rPr>
              <w:t xml:space="preserve"> or </w:t>
            </w:r>
            <w:r>
              <w:rPr>
                <w:rFonts w:ascii="Calibri" w:hAnsi="Calibri"/>
                <w:i/>
                <w:color w:val="101828"/>
                <w:sz w:val="14"/>
              </w:rPr>
              <w:t>defaulted</w:t>
            </w:r>
            <w:r>
              <w:rPr>
                <w:rFonts w:ascii="Calibri" w:hAnsi="Calibri"/>
                <w:b w:val="0"/>
                <w:i w:val="0"/>
                <w:color w:val="101828"/>
                <w:sz w:val="14"/>
              </w:rPr>
              <w:t xml:space="preserve"> about a person, and CANONICAL.md forbids publicly shaming or exposing defaulting members.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 Position column</w:t>
            </w:r>
          </w:p>
        </w:tc>
        <w:tc>
          <w:tcPr>
            <w:tcW w:type="dxa" w:w="1498"/>
            <w:tcMar>
              <w:top w:w="60" w:type="dxa"/>
              <w:start w:w="110" w:type="dxa"/>
              <w:bottom w:w="60" w:type="dxa"/>
              <w:end w:w="110" w:type="dxa"/>
            </w:tcMar>
          </w:tcPr>
          <w:p>
            <w:pPr>
              <w:spacing w:after="0"/>
            </w:pPr>
            <w:r/>
            <w:r>
              <w:rPr>
                <w:rFonts w:ascii="Calibri" w:hAnsi="Calibri"/>
                <w:b w:val="0"/>
                <w:i w:val="0"/>
                <w:color w:val="101828"/>
                <w:sz w:val="14"/>
              </w:rPr>
              <w:t>The payout position, 1 to N.</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53"/>
            <w:tcMar>
              <w:top w:w="60" w:type="dxa"/>
              <w:start w:w="110" w:type="dxa"/>
              <w:bottom w:w="60" w:type="dxa"/>
              <w:end w:w="110" w:type="dxa"/>
            </w:tcMar>
          </w:tcPr>
          <w:p>
            <w:pPr>
              <w:spacing w:after="0"/>
            </w:pPr>
            <w:r/>
            <w:r>
              <w:rPr>
                <w:rFonts w:ascii="Calibri" w:hAnsi="Calibri"/>
                <w:b w:val="0"/>
                <w:i w:val="0"/>
                <w:color w:val="101828"/>
                <w:sz w:val="14"/>
              </w:rPr>
              <w:t xml:space="preserve">Shown as the </w:t>
            </w:r>
            <w:r>
              <w:rPr>
                <w:rFonts w:ascii="Calibri" w:hAnsi="Calibri"/>
                <w:i/>
                <w:color w:val="101828"/>
                <w:sz w:val="14"/>
              </w:rPr>
              <w:t>turn</w:t>
            </w:r>
            <w:r>
              <w:rPr>
                <w:rFonts w:ascii="Calibri" w:hAnsi="Calibri"/>
                <w:b w:val="0"/>
                <w:i w:val="0"/>
                <w:color w:val="101828"/>
                <w:sz w:val="14"/>
              </w:rPr>
              <w:t xml:space="preserve"> in the person's own terms. The internal </w:t>
            </w:r>
            <w:r>
              <w:rPr>
                <w:rFonts w:ascii="Consolas" w:hAnsi="Consolas"/>
                <w:color w:val="146EF5"/>
                <w:sz w:val="14"/>
              </w:rPr>
              <w:t>ajo_positions</w:t>
            </w:r>
            <w:r>
              <w:rPr>
                <w:rFonts w:ascii="Calibri" w:hAnsi="Calibri"/>
                <w:b w:val="0"/>
                <w:i w:val="0"/>
                <w:color w:val="101828"/>
                <w:sz w:val="14"/>
              </w:rPr>
              <w:t xml:space="preserve"> row number is not a user-facing concept and never appears.</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 Name</w:t>
            </w:r>
          </w:p>
        </w:tc>
        <w:tc>
          <w:tcPr>
            <w:tcW w:type="dxa" w:w="1498"/>
            <w:tcMar>
              <w:top w:w="60" w:type="dxa"/>
              <w:start w:w="110" w:type="dxa"/>
              <w:bottom w:w="60" w:type="dxa"/>
              <w:end w:w="110" w:type="dxa"/>
            </w:tcMar>
            <w:shd w:val="clear" w:color="auto" w:fill="F4F7FB"/>
          </w:tcPr>
          <w:p>
            <w:pPr>
              <w:spacing w:after="0"/>
            </w:pPr>
            <w:r/>
            <w:r>
              <w:rPr>
                <w:rFonts w:ascii="Calibri" w:hAnsi="Calibri"/>
                <w:b w:val="0"/>
                <w:i w:val="0"/>
                <w:color w:val="101828"/>
                <w:sz w:val="14"/>
              </w:rPr>
              <w:t>First name and initial only.</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653"/>
            <w:tcMar>
              <w:top w:w="60" w:type="dxa"/>
              <w:start w:w="110" w:type="dxa"/>
              <w:bottom w:w="60" w:type="dxa"/>
              <w:end w:w="110" w:type="dxa"/>
            </w:tcMar>
            <w:shd w:val="clear" w:color="auto" w:fill="F4F7FB"/>
          </w:tcPr>
          <w:p>
            <w:pPr>
              <w:spacing w:after="0"/>
            </w:pPr>
            <w:r/>
            <w:r>
              <w:rPr>
                <w:rFonts w:ascii="Calibri" w:hAnsi="Calibri"/>
                <w:b/>
                <w:color w:val="101828"/>
                <w:sz w:val="14"/>
              </w:rPr>
              <w:t>Full names and contact details of other members are not displayed to ordinary members.</w:t>
            </w:r>
            <w:r>
              <w:rPr>
                <w:rFonts w:ascii="Calibri" w:hAnsi="Calibri"/>
                <w:b w:val="0"/>
                <w:i w:val="0"/>
                <w:color w:val="101828"/>
                <w:sz w:val="14"/>
              </w:rPr>
              <w:t xml:space="preserve"> A group recognises its own participants by first name; a full name, phone number or email of a third party is data the viewer has no need for.</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(5) Round status</w:t>
            </w:r>
          </w:p>
        </w:tc>
        <w:tc>
          <w:tcPr>
            <w:tcW w:type="dxa" w:w="1498"/>
            <w:tcMar>
              <w:top w:w="60" w:type="dxa"/>
              <w:start w:w="110" w:type="dxa"/>
              <w:bottom w:w="60" w:type="dxa"/>
              <w:end w:w="110" w:type="dxa"/>
            </w:tcMar>
          </w:tcPr>
          <w:p>
            <w:pPr>
              <w:spacing w:after="0"/>
            </w:pPr>
            <w:r/>
            <w:r>
              <w:rPr>
                <w:rFonts w:ascii="Calibri" w:hAnsi="Calibri"/>
                <w:b w:val="0"/>
                <w:i w:val="0"/>
                <w:color w:val="101828"/>
                <w:sz w:val="14"/>
              </w:rPr>
              <w:t>This round's contribution state per member.</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53"/>
            <w:tcMar>
              <w:top w:w="60" w:type="dxa"/>
              <w:start w:w="110" w:type="dxa"/>
              <w:bottom w:w="60" w:type="dxa"/>
              <w:end w:w="110" w:type="dxa"/>
            </w:tcMar>
          </w:tcPr>
          <w:p>
            <w:pPr>
              <w:spacing w:after="0"/>
            </w:pPr>
            <w:r/>
            <w:r>
              <w:rPr>
                <w:rFonts w:ascii="Calibri" w:hAnsi="Calibri"/>
                <w:b w:val="0"/>
                <w:i w:val="0"/>
                <w:color w:val="101828"/>
                <w:sz w:val="14"/>
              </w:rPr>
              <w:t xml:space="preserve">State names are the contribution state machine: paid, due, overdue, grace, defaulted, recovered, written off. A member in grace is shown as </w:t>
            </w:r>
            <w:r>
              <w:rPr>
                <w:rFonts w:ascii="Calibri" w:hAnsi="Calibri"/>
                <w:i/>
                <w:color w:val="101828"/>
                <w:sz w:val="14"/>
              </w:rPr>
              <w:t>in grace</w:t>
            </w:r>
            <w:r>
              <w:rPr>
                <w:rFonts w:ascii="Calibri" w:hAnsi="Calibri"/>
                <w:b w:val="0"/>
                <w:i w:val="0"/>
                <w:color w:val="101828"/>
                <w:sz w:val="14"/>
              </w:rPr>
              <w:t xml:space="preserve"> rather than </w:t>
            </w:r>
            <w:r>
              <w:rPr>
                <w:rFonts w:ascii="Calibri" w:hAnsi="Calibri"/>
                <w:i/>
                <w:color w:val="101828"/>
                <w:sz w:val="14"/>
              </w:rPr>
              <w:t>late</w:t>
            </w:r>
            <w:r>
              <w:rPr>
                <w:rFonts w:ascii="Calibri" w:hAnsi="Calibri"/>
                <w:b w:val="0"/>
                <w:i w:val="0"/>
                <w:color w:val="101828"/>
                <w:sz w:val="14"/>
              </w:rPr>
              <w:t>, because grace is a designed period and not a fault.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(6) Amounts withheld</w:t>
            </w:r>
          </w:p>
        </w:tc>
        <w:tc>
          <w:tcPr>
            <w:tcW w:type="dxa" w:w="1498"/>
            <w:tcMar>
              <w:top w:w="60" w:type="dxa"/>
              <w:start w:w="110" w:type="dxa"/>
              <w:bottom w:w="60" w:type="dxa"/>
              <w:end w:w="110" w:type="dxa"/>
            </w:tcMar>
            <w:shd w:val="clear" w:color="auto" w:fill="F4F7FB"/>
          </w:tcPr>
          <w:p>
            <w:pPr>
              <w:spacing w:after="0"/>
            </w:pPr>
            <w:r/>
            <w:r>
              <w:rPr>
                <w:rFonts w:ascii="Calibri" w:hAnsi="Calibri"/>
                <w:b w:val="0"/>
                <w:i w:val="0"/>
                <w:color w:val="101828"/>
                <w:sz w:val="14"/>
              </w:rPr>
              <w:t>What another member owes is never shown to a member.</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653"/>
            <w:tcMar>
              <w:top w:w="60" w:type="dxa"/>
              <w:start w:w="110" w:type="dxa"/>
              <w:bottom w:w="60" w:type="dxa"/>
              <w:end w:w="110" w:type="dxa"/>
            </w:tcMar>
            <w:shd w:val="clear" w:color="auto" w:fill="F4F7FB"/>
          </w:tcPr>
          <w:p>
            <w:pPr>
              <w:spacing w:after="0"/>
            </w:pPr>
            <w:r/>
            <w:r>
              <w:rPr>
                <w:rFonts w:ascii="Calibri" w:hAnsi="Calibri"/>
                <w:b/>
                <w:color w:val="101828"/>
                <w:sz w:val="14"/>
              </w:rPr>
              <w:t>Prohibited in any member view.</w:t>
            </w:r>
            <w:r>
              <w:rPr>
                <w:rFonts w:ascii="Calibri" w:hAnsi="Calibri"/>
                <w:b w:val="0"/>
                <w:i w:val="0"/>
                <w:color w:val="101828"/>
                <w:sz w:val="14"/>
              </w:rPr>
              <w:t xml:space="preserve"> If a member sees NGN 2,000.00 outstanding beside a colleague's name, the group starts charging each other, and AJO.ng's position that it never charges other members extra becomes a lie the interface is telling.</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(7) Organiser columns</w:t>
            </w:r>
          </w:p>
        </w:tc>
        <w:tc>
          <w:tcPr>
            <w:tcW w:type="dxa" w:w="1498"/>
            <w:tcMar>
              <w:top w:w="60" w:type="dxa"/>
              <w:start w:w="110" w:type="dxa"/>
              <w:bottom w:w="60" w:type="dxa"/>
              <w:end w:w="110" w:type="dxa"/>
            </w:tcMar>
          </w:tcPr>
          <w:p>
            <w:pPr>
              <w:spacing w:after="0"/>
            </w:pPr>
            <w:r/>
            <w:r>
              <w:rPr>
                <w:rFonts w:ascii="Calibri" w:hAnsi="Calibri"/>
                <w:b w:val="0"/>
                <w:i w:val="0"/>
                <w:color w:val="101828"/>
                <w:sz w:val="14"/>
              </w:rPr>
              <w:t>Reminder history and replacement status.</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53"/>
            <w:tcMar>
              <w:top w:w="60" w:type="dxa"/>
              <w:start w:w="110" w:type="dxa"/>
              <w:bottom w:w="60" w:type="dxa"/>
              <w:end w:w="110" w:type="dxa"/>
            </w:tcMar>
          </w:tcPr>
          <w:p>
            <w:pPr>
              <w:spacing w:after="0"/>
            </w:pPr>
            <w:r/>
            <w:r>
              <w:rPr>
                <w:rFonts w:ascii="Calibri" w:hAnsi="Calibri"/>
                <w:b w:val="0"/>
                <w:i w:val="0"/>
                <w:color w:val="101828"/>
                <w:sz w:val="14"/>
              </w:rPr>
              <w:t xml:space="preserve">Visible to </w:t>
            </w:r>
            <w:r>
              <w:rPr>
                <w:rFonts w:ascii="Consolas" w:hAnsi="Consolas"/>
                <w:color w:val="146EF5"/>
                <w:sz w:val="14"/>
              </w:rPr>
              <w:t>ajo_organizer</w:t>
            </w:r>
            <w:r>
              <w:rPr>
                <w:rFonts w:ascii="Calibri" w:hAnsi="Calibri"/>
                <w:b w:val="0"/>
                <w:i w:val="0"/>
                <w:color w:val="101828"/>
                <w:sz w:val="14"/>
              </w:rPr>
              <w:t xml:space="preserve"> only. Reminders are capped per round and the count is shown, so the organiser can see they have exhausted the gentle options without leaving the app.</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(8) Last paid</w:t>
            </w:r>
          </w:p>
        </w:tc>
        <w:tc>
          <w:tcPr>
            <w:tcW w:type="dxa" w:w="1498"/>
            <w:tcMar>
              <w:top w:w="60" w:type="dxa"/>
              <w:start w:w="110" w:type="dxa"/>
              <w:bottom w:w="60" w:type="dxa"/>
              <w:end w:w="110" w:type="dxa"/>
            </w:tcMar>
            <w:shd w:val="clear" w:color="auto" w:fill="F4F7FB"/>
          </w:tcPr>
          <w:p>
            <w:pPr>
              <w:spacing w:after="0"/>
            </w:pPr>
            <w:r/>
            <w:r>
              <w:rPr>
                <w:rFonts w:ascii="Calibri" w:hAnsi="Calibri"/>
                <w:b w:val="0"/>
                <w:i w:val="0"/>
                <w:color w:val="101828"/>
                <w:sz w:val="14"/>
              </w:rPr>
              <w:t>The date the member last paid a contribution.</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P2</w:t>
            </w:r>
          </w:p>
        </w:tc>
        <w:tc>
          <w:tcPr>
            <w:tcW w:type="dxa" w:w="6653"/>
            <w:tcMar>
              <w:top w:w="60" w:type="dxa"/>
              <w:start w:w="110" w:type="dxa"/>
              <w:bottom w:w="60" w:type="dxa"/>
              <w:end w:w="110" w:type="dxa"/>
            </w:tcMar>
            <w:shd w:val="clear" w:color="auto" w:fill="F4F7FB"/>
          </w:tcPr>
          <w:p>
            <w:pPr>
              <w:spacing w:after="0"/>
            </w:pPr>
            <w:r/>
            <w:r>
              <w:rPr>
                <w:rFonts w:ascii="Calibri" w:hAnsi="Calibri"/>
                <w:b w:val="0"/>
                <w:i w:val="0"/>
                <w:color w:val="101828"/>
                <w:sz w:val="14"/>
              </w:rPr>
              <w:t>A date, not an amount. The date is enough to run a group down; the amount is nobody else's business.</w:t>
            </w:r>
          </w:p>
        </w:tc>
      </w:tr>
    </w:tbl>
    <w:p>
      <w:pPr>
        <w:spacing w:after="80"/>
      </w:pPr>
    </w:p>
    <w:p>
      <w:pPr>
        <w:pStyle w:val="Heading2"/>
      </w:pPr>
      <w:r>
        <w:rPr>
          <w:rFonts w:ascii="Calibri" w:hAnsi="Calibri"/>
          <w:b/>
          <w:i w:val="0"/>
          <w:color w:val="146EF5"/>
          <w:sz w:val="29"/>
        </w:rPr>
        <w:t>6.16 Contribution Schedule — SCR-MOB-07</w:t>
      </w:r>
    </w:p>
    <w:p>
      <w:r>
        <w:rPr>
          <w:rFonts w:ascii="Calibri" w:hAnsi="Calibri"/>
          <w:b w:val="0"/>
          <w:i w:val="0"/>
          <w:color w:val="101828"/>
          <w:sz w:val="21"/>
        </w:rPr>
        <w:t xml:space="preserve">The schedule, on a phone and as a calendar on a desktop. It answers </w:t>
      </w:r>
      <w:r>
        <w:rPr>
          <w:rFonts w:ascii="Calibri" w:hAnsi="Calibri"/>
          <w:i/>
          <w:color w:val="101828"/>
          <w:sz w:val="21"/>
        </w:rPr>
        <w:t>when</w:t>
      </w:r>
      <w:r>
        <w:rPr>
          <w:rFonts w:ascii="Calibri" w:hAnsi="Calibri"/>
          <w:b w:val="0"/>
          <w:i w:val="0"/>
          <w:color w:val="101828"/>
          <w:sz w:val="21"/>
        </w:rPr>
        <w:t xml:space="preserve"> and </w:t>
      </w:r>
      <w:r>
        <w:rPr>
          <w:rFonts w:ascii="Calibri" w:hAnsi="Calibri"/>
          <w:i/>
          <w:color w:val="101828"/>
          <w:sz w:val="21"/>
        </w:rPr>
        <w:t>how much</w:t>
      </w:r>
      <w:r>
        <w:rPr>
          <w:rFonts w:ascii="Calibri" w:hAnsi="Calibri"/>
          <w:b w:val="0"/>
          <w:i w:val="0"/>
          <w:color w:val="101828"/>
          <w:sz w:val="21"/>
        </w:rPr>
        <w:t>, and it is where the difference between what a round collects and what it pays out becomes visible in a form people can act on: the round shows NGN 10,200.00 collected, the recipient is paid NGN 10,000.00, and the NGN 200.00 gap is the platform's. The table is the single clearest place in the product to show that gap without embarrassment, because the arithmetic is right there.</w:t>
      </w:r>
    </w:p>
    <w:p>
      <w:pPr>
        <w:spacing w:before="140" w:after="180"/>
        <w:ind w:left="144"/>
        <w:shd w:val="clear" w:color="auto" w:fill="EFF6FF"/>
        <w:pBdr>
          <w:left w:val="single" w:sz="18" w:space="6" w:color="146EF5"/>
        </w:pBdr>
      </w:pPr>
      <w:r>
        <w:rPr>
          <w:rFonts w:ascii="Calibri" w:hAnsi="Calibri"/>
          <w:b/>
          <w:color w:val="146EF5"/>
          <w:sz w:val="19"/>
        </w:rPr>
        <w:t xml:space="preserve">Why the calendar is desktop-only  </w:t>
      </w:r>
      <w:r>
        <w:rPr>
          <w:rFonts w:ascii="Calibri" w:hAnsi="Calibri"/>
          <w:b w:val="0"/>
          <w:i w:val="0"/>
          <w:color w:val="0B1F3A"/>
          <w:sz w:val="19"/>
        </w:rPr>
        <w:t>A month grid is 7 by 5 cells and is unusable at 375 px, where each cell would be about 45 px across and the day numbers would be the only legible content. On mobile the equivalent information is the round list, which is a strictly better shape for a phone because it is ordered by round rather than by date. The calendar is not hidden behind a view switcher on mobile; adding a switcher would give a phone user two worse options instead of one good one.</w:t>
      </w:r>
    </w:p>
    <w:p>
      <w:pPr>
        <w:pStyle w:val="Heading3"/>
      </w:pPr>
      <w:r>
        <w:rPr>
          <w:rFonts w:ascii="Calibri" w:hAnsi="Calibri"/>
          <w:b/>
          <w:i w:val="0"/>
          <w:color w:val="0B1F3A"/>
          <w:sz w:val="24"/>
        </w:rPr>
        <w:t>6.16.1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&lt; Ajo   Schedule                         |</w:t>
      </w:r>
    </w:p>
    <w:p>
      <w:pPr>
        <w:spacing w:before="0" w:after="0" w:line="240" w:lineRule="auto"/>
        <w:ind w:left="230"/>
        <w:shd w:val="clear" w:color="auto" w:fill="F7F9FC"/>
        <w:pBdr>
          <w:left w:val="single" w:sz="4" w:space="6" w:color="D0D5DD"/>
        </w:pBdr>
      </w:pPr>
      <w:r>
        <w:rPr>
          <w:rFonts w:ascii="Consolas" w:hAnsi="Consolas"/>
          <w:color w:val="0B1F3A"/>
          <w:sz w:val="16"/>
        </w:rPr>
        <w:t>+-- (2) NEXT DUE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Round 4                           |   |</w:t>
      </w:r>
    </w:p>
    <w:p>
      <w:pPr>
        <w:spacing w:before="0" w:after="0" w:line="240" w:lineRule="auto"/>
        <w:ind w:left="230"/>
        <w:shd w:val="clear" w:color="auto" w:fill="F7F9FC"/>
        <w:pBdr>
          <w:left w:val="single" w:sz="4" w:space="6" w:color="D0D5DD"/>
        </w:pBdr>
      </w:pPr>
      <w:r>
        <w:rPr>
          <w:rFonts w:ascii="Consolas" w:hAnsi="Consolas"/>
          <w:color w:val="0B1F3A"/>
          <w:sz w:val="16"/>
        </w:rPr>
        <w:t>| |  Due 05 Oct 2026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You owe        NGN 1,000.00       |   |</w:t>
      </w:r>
    </w:p>
    <w:p>
      <w:pPr>
        <w:spacing w:before="0" w:after="0" w:line="240" w:lineRule="auto"/>
        <w:ind w:left="230"/>
        <w:shd w:val="clear" w:color="auto" w:fill="F7F9FC"/>
        <w:pBdr>
          <w:left w:val="single" w:sz="4" w:space="6" w:color="D0D5DD"/>
        </w:pBdr>
      </w:pPr>
      <w:r>
        <w:rPr>
          <w:rFonts w:ascii="Consolas" w:hAnsi="Consolas"/>
          <w:color w:val="0B1F3A"/>
          <w:sz w:val="16"/>
        </w:rPr>
        <w:t>| |  AJO.ng fee       NGN 20.00        |   |</w:t>
      </w:r>
    </w:p>
    <w:p>
      <w:pPr>
        <w:spacing w:before="0" w:after="0" w:line="240" w:lineRule="auto"/>
        <w:ind w:left="230"/>
        <w:shd w:val="clear" w:color="auto" w:fill="F7F9FC"/>
        <w:pBdr>
          <w:left w:val="single" w:sz="4" w:space="6" w:color="D0D5DD"/>
        </w:pBdr>
      </w:pPr>
      <w:r>
        <w:rPr>
          <w:rFonts w:ascii="Consolas" w:hAnsi="Consolas"/>
          <w:color w:val="0B1F3A"/>
          <w:sz w:val="16"/>
        </w:rPr>
        <w:t>| |  Charged        NGN 1,020.00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7 of 10 paid. 1 overdue.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Pay now }*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(3) ROUND LIST ------------------------+</w:t>
      </w:r>
    </w:p>
    <w:p>
      <w:pPr>
        <w:spacing w:before="0" w:after="0" w:line="240" w:lineRule="auto"/>
        <w:ind w:left="230"/>
        <w:shd w:val="clear" w:color="auto" w:fill="F7F9FC"/>
        <w:pBdr>
          <w:left w:val="single" w:sz="4" w:space="6" w:color="D0D5DD"/>
        </w:pBdr>
      </w:pPr>
      <w:r>
        <w:rPr>
          <w:rFonts w:ascii="Consolas" w:hAnsi="Consolas"/>
          <w:color w:val="0B1F3A"/>
          <w:sz w:val="16"/>
        </w:rPr>
        <w:t>| 1  15 Sep  done     Adaeze               |</w:t>
      </w:r>
    </w:p>
    <w:p>
      <w:pPr>
        <w:spacing w:before="0" w:after="0" w:line="240" w:lineRule="auto"/>
        <w:ind w:left="230"/>
        <w:shd w:val="clear" w:color="auto" w:fill="F7F9FC"/>
        <w:pBdr>
          <w:left w:val="single" w:sz="4" w:space="6" w:color="D0D5DD"/>
        </w:pBdr>
      </w:pPr>
      <w:r>
        <w:rPr>
          <w:rFonts w:ascii="Consolas" w:hAnsi="Consolas"/>
          <w:color w:val="0B1F3A"/>
          <w:sz w:val="16"/>
        </w:rPr>
        <w:t>| 2  22 Sep  done     Chima                |</w:t>
      </w:r>
    </w:p>
    <w:p>
      <w:pPr>
        <w:spacing w:before="0" w:after="0" w:line="240" w:lineRule="auto"/>
        <w:ind w:left="230"/>
        <w:shd w:val="clear" w:color="auto" w:fill="F7F9FC"/>
        <w:pBdr>
          <w:left w:val="single" w:sz="4" w:space="6" w:color="D0D5DD"/>
        </w:pBdr>
      </w:pPr>
      <w:r>
        <w:rPr>
          <w:rFonts w:ascii="Consolas" w:hAnsi="Consolas"/>
          <w:color w:val="0B1F3A"/>
          <w:sz w:val="16"/>
        </w:rPr>
        <w:t>| 3  29 Sep  done     Fatima               |</w:t>
      </w:r>
    </w:p>
    <w:p>
      <w:pPr>
        <w:spacing w:before="0" w:after="0" w:line="240" w:lineRule="auto"/>
        <w:ind w:left="230"/>
        <w:shd w:val="clear" w:color="auto" w:fill="F7F9FC"/>
        <w:pBdr>
          <w:left w:val="single" w:sz="4" w:space="6" w:color="D0D5DD"/>
        </w:pBdr>
      </w:pPr>
      <w:r>
        <w:rPr>
          <w:rFonts w:ascii="Consolas" w:hAnsi="Consolas"/>
          <w:color w:val="0B1F3A"/>
          <w:sz w:val="16"/>
        </w:rPr>
        <w:t>| 4  05 Oct  collecting                    |</w:t>
      </w:r>
    </w:p>
    <w:p>
      <w:pPr>
        <w:spacing w:before="0" w:after="0" w:line="240" w:lineRule="auto"/>
        <w:ind w:left="230"/>
        <w:shd w:val="clear" w:color="auto" w:fill="F7F9FC"/>
        <w:pBdr>
          <w:left w:val="single" w:sz="4" w:space="6" w:color="D0D5DD"/>
        </w:pBdr>
      </w:pPr>
      <w:r>
        <w:rPr>
          <w:rFonts w:ascii="Consolas" w:hAnsi="Consolas"/>
          <w:color w:val="0B1F3A"/>
          <w:sz w:val="16"/>
        </w:rPr>
        <w:t>| 5  12 Oct  upcoming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9  09 Nov  you                           |</w:t>
      </w:r>
    </w:p>
    <w:p>
      <w:pPr>
        <w:spacing w:before="0" w:after="0" w:line="240" w:lineRule="auto"/>
        <w:ind w:left="230"/>
        <w:shd w:val="clear" w:color="auto" w:fill="F7F9FC"/>
        <w:pBdr>
          <w:left w:val="single" w:sz="4" w:space="6" w:color="D0D5DD"/>
        </w:pBdr>
      </w:pPr>
      <w:r>
        <w:rPr>
          <w:rFonts w:ascii="Consolas" w:hAnsi="Consolas"/>
          <w:color w:val="0B1F3A"/>
          <w:sz w:val="16"/>
        </w:rPr>
        <w:t>| 10 16 Nov  Segun                         |</w:t>
      </w:r>
    </w:p>
    <w:p>
      <w:pPr>
        <w:spacing w:before="0" w:after="0" w:line="240" w:lineRule="auto"/>
        <w:ind w:left="230"/>
        <w:shd w:val="clear" w:color="auto" w:fill="F7F9FC"/>
        <w:pBdr>
          <w:left w:val="single" w:sz="4" w:space="6" w:color="D0D5DD"/>
        </w:pBdr>
      </w:pPr>
      <w:r>
        <w:rPr>
          <w:rFonts w:ascii="Consolas" w:hAnsi="Consolas"/>
          <w:color w:val="0B1F3A"/>
          <w:sz w:val="16"/>
        </w:rPr>
        <w:t>+-- (4) BOTTOM NAV ------------------------+</w:t>
      </w:r>
    </w:p>
    <w:p>
      <w:pPr>
        <w:spacing w:before="0" w:after="0" w:line="240" w:lineRule="auto"/>
        <w:ind w:left="230"/>
        <w:shd w:val="clear" w:color="auto" w:fill="F7F9FC"/>
        <w:pBdr>
          <w:left w:val="single" w:sz="4" w:space="6" w:color="D0D5DD"/>
        </w:pBdr>
      </w:pPr>
      <w:r>
        <w:rPr>
          <w:rFonts w:ascii="Consolas" w:hAnsi="Consolas"/>
          <w:color w:val="0B1F3A"/>
          <w:sz w:val="16"/>
        </w:rPr>
        <w:t>| Home  Ajos  Pay  Alerts  More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LEFT NAV ----------------------------------------------------------+</w:t>
      </w:r>
    </w:p>
    <w:p>
      <w:pPr>
        <w:spacing w:before="0" w:after="0" w:line="240" w:lineRule="auto"/>
        <w:ind w:left="230"/>
        <w:shd w:val="clear" w:color="auto" w:fill="F7F9FC"/>
        <w:pBdr>
          <w:left w:val="single" w:sz="4" w:space="6" w:color="D0D5DD"/>
        </w:pBdr>
      </w:pPr>
      <w:r>
        <w:rPr>
          <w:rFonts w:ascii="Consolas" w:hAnsi="Consolas"/>
          <w:color w:val="0B1F3A"/>
          <w:sz w:val="16"/>
        </w:rPr>
        <w:t>| Home                                                                     |</w:t>
      </w:r>
    </w:p>
    <w:p>
      <w:pPr>
        <w:spacing w:before="0" w:after="0" w:line="240" w:lineRule="auto"/>
        <w:ind w:left="230"/>
        <w:shd w:val="clear" w:color="auto" w:fill="F7F9FC"/>
        <w:pBdr>
          <w:left w:val="single" w:sz="4" w:space="6" w:color="D0D5DD"/>
        </w:pBdr>
      </w:pPr>
      <w:r>
        <w:rPr>
          <w:rFonts w:ascii="Consolas" w:hAnsi="Consolas"/>
          <w:color w:val="0B1F3A"/>
          <w:sz w:val="16"/>
        </w:rPr>
        <w:t>| My Ajos                                                                  |</w:t>
      </w:r>
    </w:p>
    <w:p>
      <w:pPr>
        <w:spacing w:before="0" w:after="0" w:line="240" w:lineRule="auto"/>
        <w:ind w:left="230"/>
        <w:shd w:val="clear" w:color="auto" w:fill="F7F9FC"/>
        <w:pBdr>
          <w:left w:val="single" w:sz="4" w:space="6" w:color="D0D5DD"/>
        </w:pBdr>
      </w:pPr>
      <w:r>
        <w:rPr>
          <w:rFonts w:ascii="Consolas" w:hAnsi="Consolas"/>
          <w:color w:val="0B1F3A"/>
          <w:sz w:val="16"/>
        </w:rPr>
        <w:t>| Pay                                                                      |</w:t>
      </w:r>
    </w:p>
    <w:p>
      <w:pPr>
        <w:spacing w:before="0" w:after="0" w:line="240" w:lineRule="auto"/>
        <w:ind w:left="230"/>
        <w:shd w:val="clear" w:color="auto" w:fill="F7F9FC"/>
        <w:pBdr>
          <w:left w:val="single" w:sz="4" w:space="6" w:color="D0D5DD"/>
        </w:pBdr>
      </w:pPr>
      <w:r>
        <w:rPr>
          <w:rFonts w:ascii="Consolas" w:hAnsi="Consolas"/>
          <w:color w:val="0B1F3A"/>
          <w:sz w:val="16"/>
        </w:rPr>
        <w:t>| Alerts                                                                   |</w:t>
      </w:r>
    </w:p>
    <w:p>
      <w:pPr>
        <w:spacing w:before="0" w:after="0" w:line="240" w:lineRule="auto"/>
        <w:ind w:left="230"/>
        <w:shd w:val="clear" w:color="auto" w:fill="F7F9FC"/>
        <w:pBdr>
          <w:left w:val="single" w:sz="4" w:space="6" w:color="D0D5DD"/>
        </w:pBdr>
      </w:pPr>
      <w:r>
        <w:rPr>
          <w:rFonts w:ascii="Consolas" w:hAnsi="Consolas"/>
          <w:color w:val="0B1F3A"/>
          <w:sz w:val="16"/>
        </w:rPr>
        <w:t>| Support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Profile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CALENDAR ----------------------------------------------------------+</w:t>
      </w:r>
    </w:p>
    <w:p>
      <w:pPr>
        <w:spacing w:before="0" w:after="0" w:line="240" w:lineRule="auto"/>
        <w:ind w:left="230"/>
        <w:shd w:val="clear" w:color="auto" w:fill="F7F9FC"/>
        <w:pBdr>
          <w:left w:val="single" w:sz="4" w:space="6" w:color="D0D5DD"/>
        </w:pBdr>
      </w:pPr>
      <w:r>
        <w:rPr>
          <w:rFonts w:ascii="Consolas" w:hAnsi="Consolas"/>
          <w:color w:val="0B1F3A"/>
          <w:sz w:val="16"/>
        </w:rPr>
        <w:t>| September 2026                 October 2026                              |</w:t>
      </w:r>
    </w:p>
    <w:p>
      <w:pPr>
        <w:spacing w:before="0" w:after="0" w:line="240" w:lineRule="auto"/>
        <w:ind w:left="230"/>
        <w:shd w:val="clear" w:color="auto" w:fill="F7F9FC"/>
        <w:pBdr>
          <w:left w:val="single" w:sz="4" w:space="6" w:color="D0D5DD"/>
        </w:pBdr>
      </w:pPr>
      <w:r>
        <w:rPr>
          <w:rFonts w:ascii="Consolas" w:hAnsi="Consolas"/>
          <w:color w:val="0B1F3A"/>
          <w:sz w:val="16"/>
        </w:rPr>
        <w:t>| Mo Tu We Th Fr Sa Su           Mo Tu We Th Fr Sa Su                      |</w:t>
      </w:r>
    </w:p>
    <w:p>
      <w:pPr>
        <w:spacing w:before="0" w:after="0" w:line="240" w:lineRule="auto"/>
        <w:ind w:left="230"/>
        <w:shd w:val="clear" w:color="auto" w:fill="F7F9FC"/>
        <w:pBdr>
          <w:left w:val="single" w:sz="4" w:space="6" w:color="D0D5DD"/>
        </w:pBdr>
      </w:pPr>
      <w:r>
        <w:rPr>
          <w:rFonts w:ascii="Consolas" w:hAnsi="Consolas"/>
          <w:color w:val="0B1F3A"/>
          <w:sz w:val="16"/>
        </w:rPr>
        <w:t>|         1  2  3  4  5  6           5  6  7  8  9 10                      |</w:t>
      </w:r>
    </w:p>
    <w:p>
      <w:pPr>
        <w:spacing w:before="0" w:after="0" w:line="240" w:lineRule="auto"/>
        <w:ind w:left="230"/>
        <w:shd w:val="clear" w:color="auto" w:fill="F7F9FC"/>
        <w:pBdr>
          <w:left w:val="single" w:sz="4" w:space="6" w:color="D0D5DD"/>
        </w:pBdr>
      </w:pPr>
      <w:r>
        <w:rPr>
          <w:rFonts w:ascii="Consolas" w:hAnsi="Consolas"/>
          <w:color w:val="0B1F3A"/>
          <w:sz w:val="16"/>
        </w:rPr>
        <w:t>|  7  8  9 10 11 12 13          12 13 14 15 16 17                          |</w:t>
      </w:r>
    </w:p>
    <w:p>
      <w:pPr>
        <w:spacing w:before="0" w:after="0" w:line="240" w:lineRule="auto"/>
        <w:ind w:left="230"/>
        <w:shd w:val="clear" w:color="auto" w:fill="F7F9FC"/>
        <w:pBdr>
          <w:left w:val="single" w:sz="4" w:space="6" w:color="D0D5DD"/>
        </w:pBdr>
      </w:pPr>
      <w:r>
        <w:rPr>
          <w:rFonts w:ascii="Consolas" w:hAnsi="Consolas"/>
          <w:color w:val="0B1F3A"/>
          <w:sz w:val="16"/>
        </w:rPr>
        <w:t>| 14 15 16 17 18 19 20          19 20 21 22 23 24                          |</w:t>
      </w:r>
    </w:p>
    <w:p>
      <w:pPr>
        <w:spacing w:before="0" w:after="0" w:line="240" w:lineRule="auto"/>
        <w:ind w:left="230"/>
        <w:shd w:val="clear" w:color="auto" w:fill="F7F9FC"/>
        <w:pBdr>
          <w:left w:val="single" w:sz="4" w:space="6" w:color="D0D5DD"/>
        </w:pBdr>
      </w:pPr>
      <w:r>
        <w:rPr>
          <w:rFonts w:ascii="Consolas" w:hAnsi="Consolas"/>
          <w:color w:val="0B1F3A"/>
          <w:sz w:val="16"/>
        </w:rPr>
        <w:t>| 21 22 23 24 25 26 27          26 27 28 29 30 31                          |</w:t>
      </w:r>
    </w:p>
    <w:p>
      <w:pPr>
        <w:spacing w:before="0" w:after="0" w:line="240" w:lineRule="auto"/>
        <w:ind w:left="230"/>
        <w:shd w:val="clear" w:color="auto" w:fill="F7F9FC"/>
        <w:pBdr>
          <w:left w:val="single" w:sz="4" w:space="6" w:color="D0D5DD"/>
        </w:pBdr>
      </w:pPr>
      <w:r>
        <w:rPr>
          <w:rFonts w:ascii="Consolas" w:hAnsi="Consolas"/>
          <w:color w:val="0B1F3A"/>
          <w:sz w:val="16"/>
        </w:rPr>
        <w:t>| 28 29 30                      1  2  3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15 Sep  round 1  collected                                             |</w:t>
      </w:r>
    </w:p>
    <w:p>
      <w:pPr>
        <w:spacing w:before="0" w:after="0" w:line="240" w:lineRule="auto"/>
        <w:ind w:left="230"/>
        <w:shd w:val="clear" w:color="auto" w:fill="F7F9FC"/>
        <w:pBdr>
          <w:left w:val="single" w:sz="4" w:space="6" w:color="D0D5DD"/>
        </w:pBdr>
      </w:pPr>
      <w:r>
        <w:rPr>
          <w:rFonts w:ascii="Consolas" w:hAnsi="Consolas"/>
          <w:color w:val="0B1F3A"/>
          <w:sz w:val="16"/>
        </w:rPr>
        <w:t>| * 22 Sep  round 2  collected                                             |</w:t>
      </w:r>
    </w:p>
    <w:p>
      <w:pPr>
        <w:spacing w:before="0" w:after="0" w:line="240" w:lineRule="auto"/>
        <w:ind w:left="230"/>
        <w:shd w:val="clear" w:color="auto" w:fill="F7F9FC"/>
        <w:pBdr>
          <w:left w:val="single" w:sz="4" w:space="6" w:color="D0D5DD"/>
        </w:pBdr>
      </w:pPr>
      <w:r>
        <w:rPr>
          <w:rFonts w:ascii="Consolas" w:hAnsi="Consolas"/>
          <w:color w:val="0B1F3A"/>
          <w:sz w:val="16"/>
        </w:rPr>
        <w:t>| * 29 Sep  round 3  collected                                             |</w:t>
      </w:r>
    </w:p>
    <w:p>
      <w:pPr>
        <w:spacing w:before="0" w:after="0" w:line="240" w:lineRule="auto"/>
        <w:ind w:left="230"/>
        <w:shd w:val="clear" w:color="auto" w:fill="F7F9FC"/>
        <w:pBdr>
          <w:left w:val="single" w:sz="4" w:space="6" w:color="D0D5DD"/>
        </w:pBdr>
      </w:pPr>
      <w:r>
        <w:rPr>
          <w:rFonts w:ascii="Consolas" w:hAnsi="Consolas"/>
          <w:color w:val="0B1F3A"/>
          <w:sz w:val="16"/>
        </w:rPr>
        <w:t>| * 05 Oct  round 4  collecting  7 of 10                                   |</w:t>
      </w:r>
    </w:p>
    <w:p>
      <w:pPr>
        <w:spacing w:before="0" w:after="0" w:line="240" w:lineRule="auto"/>
        <w:ind w:left="230"/>
        <w:shd w:val="clear" w:color="auto" w:fill="F7F9FC"/>
        <w:pBdr>
          <w:left w:val="single" w:sz="4" w:space="6" w:color="D0D5DD"/>
        </w:pBdr>
      </w:pPr>
      <w:r>
        <w:rPr>
          <w:rFonts w:ascii="Consolas" w:hAnsi="Consolas"/>
          <w:color w:val="0B1F3A"/>
          <w:sz w:val="16"/>
        </w:rPr>
        <w:t>+-- (3) ROUND TABLE -------------------------------------------------------+</w:t>
      </w:r>
    </w:p>
    <w:p>
      <w:pPr>
        <w:spacing w:before="0" w:after="0" w:line="240" w:lineRule="auto"/>
        <w:ind w:left="230"/>
        <w:shd w:val="clear" w:color="auto" w:fill="F7F9FC"/>
        <w:pBdr>
          <w:left w:val="single" w:sz="4" w:space="6" w:color="D0D5DD"/>
        </w:pBdr>
      </w:pPr>
      <w:r>
        <w:rPr>
          <w:rFonts w:ascii="Consolas" w:hAnsi="Consolas"/>
          <w:color w:val="0B1F3A"/>
          <w:sz w:val="16"/>
        </w:rPr>
        <w:t>| ROUND  DUE       OPENS   CLOSES   COLLECTED   STATE                      |</w:t>
      </w:r>
    </w:p>
    <w:p>
      <w:pPr>
        <w:spacing w:before="0" w:after="0" w:line="240" w:lineRule="auto"/>
        <w:ind w:left="230"/>
        <w:shd w:val="clear" w:color="auto" w:fill="F7F9FC"/>
        <w:pBdr>
          <w:left w:val="single" w:sz="4" w:space="6" w:color="D0D5DD"/>
        </w:pBdr>
      </w:pPr>
      <w:r>
        <w:rPr>
          <w:rFonts w:ascii="Consolas" w:hAnsi="Consolas"/>
          <w:color w:val="0B1F3A"/>
          <w:sz w:val="16"/>
        </w:rPr>
        <w:t>| 1       15 Sep    14 Sep  16 Sep  NGN 10,200  COMPLETE                   |</w:t>
      </w:r>
    </w:p>
    <w:p>
      <w:pPr>
        <w:spacing w:before="0" w:after="0" w:line="240" w:lineRule="auto"/>
        <w:ind w:left="230"/>
        <w:shd w:val="clear" w:color="auto" w:fill="F7F9FC"/>
        <w:pBdr>
          <w:left w:val="single" w:sz="4" w:space="6" w:color="D0D5DD"/>
        </w:pBdr>
      </w:pPr>
      <w:r>
        <w:rPr>
          <w:rFonts w:ascii="Consolas" w:hAnsi="Consolas"/>
          <w:color w:val="0B1F3A"/>
          <w:sz w:val="16"/>
        </w:rPr>
        <w:t>| 2       22 Sep    21 Sep  23 Sep  NGN 10,200  COMPLETE                   |</w:t>
      </w:r>
    </w:p>
    <w:p>
      <w:pPr>
        <w:spacing w:before="0" w:after="0" w:line="240" w:lineRule="auto"/>
        <w:ind w:left="230"/>
        <w:shd w:val="clear" w:color="auto" w:fill="F7F9FC"/>
        <w:pBdr>
          <w:left w:val="single" w:sz="4" w:space="6" w:color="D0D5DD"/>
        </w:pBdr>
      </w:pPr>
      <w:r>
        <w:rPr>
          <w:rFonts w:ascii="Consolas" w:hAnsi="Consolas"/>
          <w:color w:val="0B1F3A"/>
          <w:sz w:val="16"/>
        </w:rPr>
        <w:t>| 3       29 Sep    28 Sep  30 Sep  NGN 10,200  COMPLETE                   |</w:t>
      </w:r>
    </w:p>
    <w:p>
      <w:pPr>
        <w:spacing w:before="0" w:after="0" w:line="240" w:lineRule="auto"/>
        <w:ind w:left="230"/>
        <w:shd w:val="clear" w:color="auto" w:fill="F7F9FC"/>
        <w:pBdr>
          <w:left w:val="single" w:sz="4" w:space="6" w:color="D0D5DD"/>
        </w:pBdr>
      </w:pPr>
      <w:r>
        <w:rPr>
          <w:rFonts w:ascii="Consolas" w:hAnsi="Consolas"/>
          <w:color w:val="0B1F3A"/>
          <w:sz w:val="16"/>
        </w:rPr>
        <w:t>| 4       05 Oct    04 Oct  06 Oct  NGN 7,140   COLLECTING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9       09 Nov    08 Nov  10 Nov  -           SCHEDULED                  |</w:t>
      </w:r>
    </w:p>
    <w:p>
      <w:pPr>
        <w:spacing w:before="0" w:after="0" w:line="240" w:lineRule="auto"/>
        <w:ind w:left="230"/>
        <w:shd w:val="clear" w:color="auto" w:fill="F7F9FC"/>
        <w:pBdr>
          <w:left w:val="single" w:sz="4" w:space="6" w:color="D0D5DD"/>
        </w:pBdr>
      </w:pPr>
      <w:r>
        <w:rPr>
          <w:rFonts w:ascii="Consolas" w:hAnsi="Consolas"/>
          <w:color w:val="0B1F3A"/>
          <w:sz w:val="16"/>
        </w:rPr>
        <w:t>| 10      16 Nov    15 Nov  17 Nov  -           SCHEDULED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Collected includes the NGN 20.00 fee per member. The pool paid out is    |</w:t>
      </w:r>
    </w:p>
    <w:p>
      <w:pPr>
        <w:spacing w:before="0" w:after="0" w:line="240" w:lineRule="auto"/>
        <w:ind w:left="230"/>
        <w:shd w:val="clear" w:color="auto" w:fill="F7F9FC"/>
        <w:pBdr>
          <w:left w:val="single" w:sz="4" w:space="6" w:color="D0D5DD"/>
        </w:pBdr>
      </w:pPr>
      <w:r>
        <w:rPr>
          <w:rFonts w:ascii="Consolas" w:hAnsi="Consolas"/>
          <w:color w:val="0B1F3A"/>
          <w:sz w:val="16"/>
        </w:rPr>
        <w:t>| NGN 10,000.00. The difference is AJO.ng's, and is never paid out.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6.16.2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62"/>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757"/>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336"/>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62"/>
            <w:tcMar>
              <w:top w:w="60" w:type="dxa"/>
              <w:start w:w="110" w:type="dxa"/>
              <w:bottom w:w="60" w:type="dxa"/>
              <w:end w:w="110" w:type="dxa"/>
            </w:tcMar>
          </w:tcPr>
          <w:p>
            <w:pPr>
              <w:spacing w:after="0"/>
            </w:pPr>
            <w:r/>
            <w:r>
              <w:rPr>
                <w:rFonts w:ascii="Calibri" w:hAnsi="Calibri"/>
                <w:b w:val="0"/>
                <w:i w:val="0"/>
                <w:color w:val="101828"/>
                <w:sz w:val="14"/>
              </w:rPr>
              <w:t>(1) Next due card</w:t>
            </w:r>
          </w:p>
        </w:tc>
        <w:tc>
          <w:tcPr>
            <w:tcW w:type="dxa" w:w="1757"/>
            <w:tcMar>
              <w:top w:w="60" w:type="dxa"/>
              <w:start w:w="110" w:type="dxa"/>
              <w:bottom w:w="60" w:type="dxa"/>
              <w:end w:w="110" w:type="dxa"/>
            </w:tcMar>
          </w:tcPr>
          <w:p>
            <w:pPr>
              <w:spacing w:after="0"/>
            </w:pPr>
            <w:r/>
            <w:r>
              <w:rPr>
                <w:rFonts w:ascii="Calibri" w:hAnsi="Calibri"/>
                <w:b w:val="0"/>
                <w:i w:val="0"/>
                <w:color w:val="101828"/>
                <w:sz w:val="14"/>
              </w:rPr>
              <w:t>The nearest due round, with the member's own three figures.</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336"/>
            <w:tcMar>
              <w:top w:w="60" w:type="dxa"/>
              <w:start w:w="110" w:type="dxa"/>
              <w:bottom w:w="60" w:type="dxa"/>
              <w:end w:w="110" w:type="dxa"/>
            </w:tcMar>
          </w:tcPr>
          <w:p>
            <w:pPr>
              <w:spacing w:after="0"/>
            </w:pPr>
            <w:r/>
            <w:r>
              <w:rPr>
                <w:rFonts w:ascii="Calibri" w:hAnsi="Calibri"/>
                <w:b/>
                <w:color w:val="101828"/>
                <w:sz w:val="14"/>
              </w:rPr>
              <w:t>The fee is shown even when the round is not yet due</w:t>
            </w:r>
            <w:r>
              <w:rPr>
                <w:rFonts w:ascii="Calibri" w:hAnsi="Calibri"/>
                <w:b w:val="0"/>
                <w:i w:val="0"/>
                <w:color w:val="101828"/>
                <w:sz w:val="14"/>
              </w:rPr>
              <w:t>, because this is the screen a member checks before committing money, and the disclosure rule applies before the charge, not after it.</w:t>
            </w:r>
          </w:p>
        </w:tc>
      </w:tr>
      <w:tr>
        <w:trPr>
          <w:cantSplit/>
        </w:trPr>
        <w:tc>
          <w:tcPr>
            <w:tcW w:type="dxa" w:w="662"/>
            <w:tcMar>
              <w:top w:w="60" w:type="dxa"/>
              <w:start w:w="110" w:type="dxa"/>
              <w:bottom w:w="60" w:type="dxa"/>
              <w:end w:w="110" w:type="dxa"/>
            </w:tcMar>
            <w:shd w:val="clear" w:color="auto" w:fill="F4F7FB"/>
          </w:tcPr>
          <w:p>
            <w:pPr>
              <w:spacing w:after="0"/>
            </w:pPr>
            <w:r/>
            <w:r>
              <w:rPr>
                <w:rFonts w:ascii="Calibri" w:hAnsi="Calibri"/>
                <w:b w:val="0"/>
                <w:i w:val="0"/>
                <w:color w:val="101828"/>
                <w:sz w:val="14"/>
              </w:rPr>
              <w:t>(2) Round state</w:t>
            </w:r>
          </w:p>
        </w:tc>
        <w:tc>
          <w:tcPr>
            <w:tcW w:type="dxa" w:w="1757"/>
            <w:tcMar>
              <w:top w:w="60" w:type="dxa"/>
              <w:start w:w="110" w:type="dxa"/>
              <w:bottom w:w="60" w:type="dxa"/>
              <w:end w:w="110" w:type="dxa"/>
            </w:tcMar>
            <w:shd w:val="clear" w:color="auto" w:fill="F4F7FB"/>
          </w:tcPr>
          <w:p>
            <w:pPr>
              <w:spacing w:after="0"/>
            </w:pPr>
            <w:r/>
            <w:r>
              <w:rPr>
                <w:rFonts w:ascii="Calibri" w:hAnsi="Calibri"/>
                <w:b w:val="0"/>
                <w:i w:val="0"/>
                <w:color w:val="101828"/>
                <w:sz w:val="14"/>
              </w:rPr>
              <w:t>Collected, collecting, or upcoming.</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33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round is </w:t>
            </w:r>
            <w:r>
              <w:rPr>
                <w:rFonts w:ascii="Calibri" w:hAnsi="Calibri"/>
                <w:i/>
                <w:color w:val="101828"/>
                <w:sz w:val="14"/>
              </w:rPr>
              <w:t>collecting</w:t>
            </w:r>
            <w:r>
              <w:rPr>
                <w:rFonts w:ascii="Calibri" w:hAnsi="Calibri"/>
                <w:b w:val="0"/>
                <w:i w:val="0"/>
                <w:color w:val="101828"/>
                <w:sz w:val="14"/>
              </w:rPr>
              <w:t xml:space="preserve"> from the day it opens to the day it closes, and </w:t>
            </w:r>
            <w:r>
              <w:rPr>
                <w:rFonts w:ascii="Calibri" w:hAnsi="Calibri"/>
                <w:i/>
                <w:color w:val="101828"/>
                <w:sz w:val="14"/>
              </w:rPr>
              <w:t>collected</w:t>
            </w:r>
            <w:r>
              <w:rPr>
                <w:rFonts w:ascii="Calibri" w:hAnsi="Calibri"/>
                <w:b w:val="0"/>
                <w:i w:val="0"/>
                <w:color w:val="101828"/>
                <w:sz w:val="14"/>
              </w:rPr>
              <w:t xml:space="preserve"> when fully funded. The states match the round and payout states in CANONICAL.md section 4.</w:t>
            </w:r>
          </w:p>
        </w:tc>
      </w:tr>
      <w:tr>
        <w:trPr>
          <w:cantSplit/>
        </w:trPr>
        <w:tc>
          <w:tcPr>
            <w:tcW w:type="dxa" w:w="662"/>
            <w:tcMar>
              <w:top w:w="60" w:type="dxa"/>
              <w:start w:w="110" w:type="dxa"/>
              <w:bottom w:w="60" w:type="dxa"/>
              <w:end w:w="110" w:type="dxa"/>
            </w:tcMar>
          </w:tcPr>
          <w:p>
            <w:pPr>
              <w:spacing w:after="0"/>
            </w:pPr>
            <w:r/>
            <w:r>
              <w:rPr>
                <w:rFonts w:ascii="Calibri" w:hAnsi="Calibri"/>
                <w:b w:val="0"/>
                <w:i w:val="0"/>
                <w:color w:val="101828"/>
                <w:sz w:val="14"/>
              </w:rPr>
              <w:t>(3) Round list</w:t>
            </w:r>
          </w:p>
        </w:tc>
        <w:tc>
          <w:tcPr>
            <w:tcW w:type="dxa" w:w="1757"/>
            <w:tcMar>
              <w:top w:w="60" w:type="dxa"/>
              <w:start w:w="110" w:type="dxa"/>
              <w:bottom w:w="60" w:type="dxa"/>
              <w:end w:w="110" w:type="dxa"/>
            </w:tcMar>
          </w:tcPr>
          <w:p>
            <w:pPr>
              <w:spacing w:after="0"/>
            </w:pPr>
            <w:r/>
            <w:r>
              <w:rPr>
                <w:rFonts w:ascii="Calibri" w:hAnsi="Calibri"/>
                <w:b w:val="0"/>
                <w:i w:val="0"/>
                <w:color w:val="101828"/>
                <w:sz w:val="14"/>
              </w:rPr>
              <w:t>One line per round: number, date, state, recipient.</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336"/>
            <w:tcMar>
              <w:top w:w="60" w:type="dxa"/>
              <w:start w:w="110" w:type="dxa"/>
              <w:bottom w:w="60" w:type="dxa"/>
              <w:end w:w="110" w:type="dxa"/>
            </w:tcMar>
          </w:tcPr>
          <w:p>
            <w:pPr>
              <w:spacing w:after="0"/>
            </w:pPr>
            <w:r/>
            <w:r>
              <w:rPr>
                <w:rFonts w:ascii="Calibri" w:hAnsi="Calibri"/>
                <w:b w:val="0"/>
                <w:i w:val="0"/>
                <w:color w:val="101828"/>
                <w:sz w:val="14"/>
              </w:rPr>
              <w:t>The recipient's name is shown so a group can see whose turn it is without opening each round. The member's own turn is marked in the list rather than only in the detail.</w:t>
            </w:r>
          </w:p>
        </w:tc>
      </w:tr>
      <w:tr>
        <w:trPr>
          <w:cantSplit/>
        </w:trPr>
        <w:tc>
          <w:tcPr>
            <w:tcW w:type="dxa" w:w="662"/>
            <w:tcMar>
              <w:top w:w="60" w:type="dxa"/>
              <w:start w:w="110" w:type="dxa"/>
              <w:bottom w:w="60" w:type="dxa"/>
              <w:end w:w="110" w:type="dxa"/>
            </w:tcMar>
            <w:shd w:val="clear" w:color="auto" w:fill="F4F7FB"/>
          </w:tcPr>
          <w:p>
            <w:pPr>
              <w:spacing w:after="0"/>
            </w:pPr>
            <w:r/>
            <w:r>
              <w:rPr>
                <w:rFonts w:ascii="Calibri" w:hAnsi="Calibri"/>
                <w:b w:val="0"/>
                <w:i w:val="0"/>
                <w:color w:val="101828"/>
                <w:sz w:val="14"/>
              </w:rPr>
              <w:t>(4) Calendar</w:t>
            </w:r>
          </w:p>
        </w:tc>
        <w:tc>
          <w:tcPr>
            <w:tcW w:type="dxa" w:w="1757"/>
            <w:tcMar>
              <w:top w:w="60" w:type="dxa"/>
              <w:start w:w="110" w:type="dxa"/>
              <w:bottom w:w="60" w:type="dxa"/>
              <w:end w:w="110" w:type="dxa"/>
            </w:tcMar>
            <w:shd w:val="clear" w:color="auto" w:fill="F4F7FB"/>
          </w:tcPr>
          <w:p>
            <w:pPr>
              <w:spacing w:after="0"/>
            </w:pPr>
            <w:r/>
            <w:r>
              <w:rPr>
                <w:rFonts w:ascii="Calibri" w:hAnsi="Calibri"/>
                <w:b w:val="0"/>
                <w:i w:val="0"/>
                <w:color w:val="101828"/>
                <w:sz w:val="14"/>
              </w:rPr>
              <w:t>Desktop month grid with rounds marked.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P2</w:t>
            </w:r>
          </w:p>
        </w:tc>
        <w:tc>
          <w:tcPr>
            <w:tcW w:type="dxa" w:w="633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Rounds are marked on the date they are </w:t>
            </w:r>
            <w:r>
              <w:rPr>
                <w:rFonts w:ascii="Calibri" w:hAnsi="Calibri"/>
                <w:b/>
                <w:color w:val="101828"/>
                <w:sz w:val="14"/>
              </w:rPr>
              <w:t>due</w:t>
            </w:r>
            <w:r>
              <w:rPr>
                <w:rFonts w:ascii="Calibri" w:hAnsi="Calibri"/>
                <w:b w:val="0"/>
                <w:i w:val="0"/>
                <w:color w:val="101828"/>
                <w:sz w:val="14"/>
              </w:rPr>
              <w:t>, not the date they open, because a person's obligation is the due date. A round that opens a day earlier and is missed is still missed on the due date.</w:t>
            </w:r>
          </w:p>
        </w:tc>
      </w:tr>
      <w:tr>
        <w:trPr>
          <w:cantSplit/>
        </w:trPr>
        <w:tc>
          <w:tcPr>
            <w:tcW w:type="dxa" w:w="662"/>
            <w:tcMar>
              <w:top w:w="60" w:type="dxa"/>
              <w:start w:w="110" w:type="dxa"/>
              <w:bottom w:w="60" w:type="dxa"/>
              <w:end w:w="110" w:type="dxa"/>
            </w:tcMar>
          </w:tcPr>
          <w:p>
            <w:pPr>
              <w:spacing w:after="0"/>
            </w:pPr>
            <w:r/>
            <w:r>
              <w:rPr>
                <w:rFonts w:ascii="Calibri" w:hAnsi="Calibri"/>
                <w:b w:val="0"/>
                <w:i w:val="0"/>
                <w:color w:val="101828"/>
                <w:sz w:val="14"/>
              </w:rPr>
              <w:t>(5) Collected figure</w:t>
            </w:r>
          </w:p>
        </w:tc>
        <w:tc>
          <w:tcPr>
            <w:tcW w:type="dxa" w:w="1757"/>
            <w:tcMar>
              <w:top w:w="60" w:type="dxa"/>
              <w:start w:w="110" w:type="dxa"/>
              <w:bottom w:w="60" w:type="dxa"/>
              <w:end w:w="110" w:type="dxa"/>
            </w:tcMar>
          </w:tcPr>
          <w:p>
            <w:pPr>
              <w:spacing w:after="0"/>
            </w:pPr>
            <w:r/>
            <w:r>
              <w:rPr>
                <w:rFonts w:ascii="Calibri" w:hAnsi="Calibri"/>
                <w:b w:val="0"/>
                <w:i w:val="0"/>
                <w:color w:val="101828"/>
                <w:sz w:val="14"/>
              </w:rPr>
              <w:t>What the round has actually collected, in total.</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336"/>
            <w:tcMar>
              <w:top w:w="60" w:type="dxa"/>
              <w:start w:w="110" w:type="dxa"/>
              <w:bottom w:w="60" w:type="dxa"/>
              <w:end w:w="110" w:type="dxa"/>
            </w:tcMar>
          </w:tcPr>
          <w:p>
            <w:pPr>
              <w:spacing w:after="0"/>
            </w:pPr>
            <w:r/>
            <w:r>
              <w:rPr>
                <w:rFonts w:ascii="Calibri" w:hAnsi="Calibri"/>
                <w:b/>
                <w:color w:val="101828"/>
                <w:sz w:val="14"/>
              </w:rPr>
              <w:t>Labelled as collected, including the fee, with the pool and the difference stated beneath.</w:t>
            </w:r>
            <w:r>
              <w:rPr>
                <w:rFonts w:ascii="Calibri" w:hAnsi="Calibri"/>
                <w:b w:val="0"/>
                <w:i w:val="0"/>
                <w:color w:val="101828"/>
                <w:sz w:val="14"/>
              </w:rPr>
              <w:t xml:space="preserve"> The figure NGN 10,200.00 on its own is the number most likely to be read as </w:t>
            </w:r>
            <w:r>
              <w:rPr>
                <w:rFonts w:ascii="Calibri" w:hAnsi="Calibri"/>
                <w:i/>
                <w:color w:val="101828"/>
                <w:sz w:val="14"/>
              </w:rPr>
              <w:t>what the recipient gets</w:t>
            </w:r>
            <w:r>
              <w:rPr>
                <w:rFonts w:ascii="Calibri" w:hAnsi="Calibri"/>
                <w:b w:val="0"/>
                <w:i w:val="0"/>
                <w:color w:val="101828"/>
                <w:sz w:val="14"/>
              </w:rPr>
              <w:t>, so it is never shown alone.</w:t>
            </w:r>
          </w:p>
        </w:tc>
      </w:tr>
      <w:tr>
        <w:trPr>
          <w:cantSplit/>
        </w:trPr>
        <w:tc>
          <w:tcPr>
            <w:tcW w:type="dxa" w:w="662"/>
            <w:tcMar>
              <w:top w:w="60" w:type="dxa"/>
              <w:start w:w="110" w:type="dxa"/>
              <w:bottom w:w="60" w:type="dxa"/>
              <w:end w:w="110" w:type="dxa"/>
            </w:tcMar>
            <w:shd w:val="clear" w:color="auto" w:fill="F4F7FB"/>
          </w:tcPr>
          <w:p>
            <w:pPr>
              <w:spacing w:after="0"/>
            </w:pPr>
            <w:r/>
            <w:r>
              <w:rPr>
                <w:rFonts w:ascii="Calibri" w:hAnsi="Calibri"/>
                <w:b w:val="0"/>
                <w:i w:val="0"/>
                <w:color w:val="101828"/>
                <w:sz w:val="14"/>
              </w:rPr>
              <w:t>(6) Contribution count</w:t>
            </w:r>
          </w:p>
        </w:tc>
        <w:tc>
          <w:tcPr>
            <w:tcW w:type="dxa" w:w="1757"/>
            <w:tcMar>
              <w:top w:w="60" w:type="dxa"/>
              <w:start w:w="110" w:type="dxa"/>
              <w:bottom w:w="60" w:type="dxa"/>
              <w:end w:w="110" w:type="dxa"/>
            </w:tcMar>
            <w:shd w:val="clear" w:color="auto" w:fill="F4F7FB"/>
          </w:tcPr>
          <w:p>
            <w:pPr>
              <w:spacing w:after="0"/>
            </w:pPr>
            <w:r/>
            <w:r>
              <w:rPr>
                <w:rFonts w:ascii="Calibri" w:hAnsi="Calibri"/>
                <w:b w:val="0"/>
                <w:i w:val="0"/>
                <w:color w:val="101828"/>
                <w:sz w:val="14"/>
              </w:rPr>
              <w:t>How many of N members have paid the round.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336"/>
            <w:tcMar>
              <w:top w:w="60" w:type="dxa"/>
              <w:start w:w="110" w:type="dxa"/>
              <w:bottom w:w="60" w:type="dxa"/>
              <w:end w:w="110" w:type="dxa"/>
            </w:tcMar>
            <w:shd w:val="clear" w:color="auto" w:fill="F4F7FB"/>
          </w:tcPr>
          <w:p>
            <w:pPr>
              <w:spacing w:after="0"/>
            </w:pPr>
            <w:r/>
            <w:r>
              <w:rPr>
                <w:rFonts w:ascii="Calibri" w:hAnsi="Calibri"/>
                <w:b w:val="0"/>
                <w:i w:val="0"/>
                <w:color w:val="101828"/>
                <w:sz w:val="14"/>
              </w:rPr>
              <w:t>Count plus fraction, never a proportion bar on its own. A member deciding whether their group is on track needs a number.</w:t>
            </w:r>
          </w:p>
        </w:tc>
      </w:tr>
      <w:tr>
        <w:trPr>
          <w:cantSplit/>
        </w:trPr>
        <w:tc>
          <w:tcPr>
            <w:tcW w:type="dxa" w:w="662"/>
            <w:tcMar>
              <w:top w:w="60" w:type="dxa"/>
              <w:start w:w="110" w:type="dxa"/>
              <w:bottom w:w="60" w:type="dxa"/>
              <w:end w:w="110" w:type="dxa"/>
            </w:tcMar>
          </w:tcPr>
          <w:p>
            <w:pPr>
              <w:spacing w:after="0"/>
            </w:pPr>
            <w:r/>
            <w:r>
              <w:rPr>
                <w:rFonts w:ascii="Calibri" w:hAnsi="Calibri"/>
                <w:b w:val="0"/>
                <w:i w:val="0"/>
                <w:color w:val="101828"/>
                <w:sz w:val="14"/>
              </w:rPr>
              <w:t>(7) Overdue count</w:t>
            </w:r>
          </w:p>
        </w:tc>
        <w:tc>
          <w:tcPr>
            <w:tcW w:type="dxa" w:w="1757"/>
            <w:tcMar>
              <w:top w:w="60" w:type="dxa"/>
              <w:start w:w="110" w:type="dxa"/>
              <w:bottom w:w="60" w:type="dxa"/>
              <w:end w:w="110" w:type="dxa"/>
            </w:tcMar>
          </w:tcPr>
          <w:p>
            <w:pPr>
              <w:spacing w:after="0"/>
            </w:pPr>
            <w:r/>
            <w:r>
              <w:rPr>
                <w:rFonts w:ascii="Calibri" w:hAnsi="Calibri"/>
                <w:b w:val="0"/>
                <w:i w:val="0"/>
                <w:color w:val="101828"/>
                <w:sz w:val="14"/>
              </w:rPr>
              <w:t>How many members are past due in this round.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336"/>
            <w:tcMar>
              <w:top w:w="60" w:type="dxa"/>
              <w:start w:w="110" w:type="dxa"/>
              <w:bottom w:w="60" w:type="dxa"/>
              <w:end w:w="110" w:type="dxa"/>
            </w:tcMar>
          </w:tcPr>
          <w:p>
            <w:pPr>
              <w:spacing w:after="0"/>
            </w:pPr>
            <w:r/>
            <w:r>
              <w:rPr>
                <w:rFonts w:ascii="Calibri" w:hAnsi="Calibri"/>
                <w:b w:val="0"/>
                <w:i w:val="0"/>
                <w:color w:val="101828"/>
                <w:sz w:val="14"/>
              </w:rPr>
              <w:t>A count, with no names attached on this screen, and no colour-only signal. The named version of this fact lives on the members screen for the organiser, and the member-facing one is a total.</w:t>
            </w:r>
          </w:p>
        </w:tc>
      </w:tr>
    </w:tbl>
    <w:p>
      <w:pPr>
        <w:spacing w:after="80"/>
      </w:pPr>
    </w:p>
    <w:p>
      <w:pPr>
        <w:pStyle w:val="Heading2"/>
      </w:pPr>
      <w:r>
        <w:rPr>
          <w:rFonts w:ascii="Calibri" w:hAnsi="Calibri"/>
          <w:b/>
          <w:i w:val="0"/>
          <w:color w:val="146EF5"/>
          <w:sz w:val="29"/>
        </w:rPr>
        <w:t>6.17 Pay Contribution — SCR-MOB-09</w:t>
      </w:r>
    </w:p>
    <w:p>
      <w:r>
        <w:rPr>
          <w:rFonts w:ascii="Calibri" w:hAnsi="Calibri"/>
          <w:b w:val="0"/>
          <w:i w:val="0"/>
          <w:color w:val="101828"/>
          <w:sz w:val="21"/>
        </w:rPr>
        <w:t xml:space="preserve">The screen that spends money, and the most consequential wireframe in the product. Its job is to be unambiguous: what the amount is, what the fee is, what will actually leave the account, and where the payment will happen. It does not take a card number, it does not show a spinner, and it does not offer a </w:t>
      </w:r>
      <w:r>
        <w:rPr>
          <w:rFonts w:ascii="Calibri" w:hAnsi="Calibri"/>
          <w:i/>
          <w:color w:val="101828"/>
          <w:sz w:val="21"/>
        </w:rPr>
        <w:t>remember this method</w:t>
      </w:r>
      <w:r>
        <w:rPr>
          <w:rFonts w:ascii="Calibri" w:hAnsi="Calibri"/>
          <w:b w:val="0"/>
          <w:i w:val="0"/>
          <w:color w:val="101828"/>
          <w:sz w:val="21"/>
        </w:rPr>
        <w:t xml:space="preserve"> checkbox, because the payment is the provider's to take and AJO.ng's to record.</w:t>
      </w:r>
    </w:p>
    <w:p>
      <w:pPr>
        <w:spacing w:before="140" w:after="180"/>
        <w:ind w:left="144"/>
        <w:shd w:val="clear" w:color="auto" w:fill="FEE2E2"/>
        <w:pBdr>
          <w:left w:val="single" w:sz="18" w:space="6" w:color="DC2626"/>
        </w:pBdr>
      </w:pPr>
      <w:r>
        <w:rPr>
          <w:rFonts w:ascii="Calibri" w:hAnsi="Calibri"/>
          <w:b/>
          <w:color w:val="DC2626"/>
          <w:sz w:val="19"/>
        </w:rPr>
        <w:t xml:space="preserve">What this screen may and may not say about the payment partner  </w:t>
      </w:r>
      <w:r>
        <w:rPr>
          <w:rFonts w:ascii="Calibri" w:hAnsi="Calibri"/>
          <w:b w:val="0"/>
          <w:i w:val="0"/>
          <w:color w:val="0B1F3A"/>
          <w:sz w:val="19"/>
        </w:rPr>
        <w:t xml:space="preserve">The screen names ProvidusUnity as the party that takes the payment, because CANONICAL.md section 6 places the payment endpoints and the webhook there and because hiding it would be worse. It does </w:t>
      </w:r>
      <w:r>
        <w:rPr>
          <w:rFonts w:ascii="Calibri" w:hAnsi="Calibri"/>
          <w:b/>
          <w:color w:val="0B1F3A"/>
          <w:sz w:val="19"/>
        </w:rPr>
        <w:t>not</w:t>
      </w:r>
      <w:r>
        <w:rPr>
          <w:rFonts w:ascii="Calibri" w:hAnsi="Calibri"/>
          <w:b w:val="0"/>
          <w:i w:val="0"/>
          <w:color w:val="0B1F3A"/>
          <w:sz w:val="19"/>
        </w:rPr>
        <w:t xml:space="preserve"> claim that AJO.ng is authorised, licensed, approved or regulated, that the payment is held in escrow, that funds are insured, or that any particular processing or settlement time will be met. Open decision D-02 — whether the partner holds funds as principal or AJO.ng must hold them — determines the licensing path and is unresolved, and D-03, the exact collection percentage, flat payout fee and settlement timing, must be obtained in writing before any of that wording is published. </w:t>
      </w:r>
      <w:r>
        <w:rPr>
          <w:rFonts w:ascii="Calibri" w:hAnsi="Calibri"/>
          <w:b/>
          <w:color w:val="0B1F3A"/>
          <w:sz w:val="19"/>
        </w:rPr>
        <w:t>Requires confirmation with ProvidusUnity and review by qualified Nigerian legal counsel.</w:t>
      </w:r>
    </w:p>
    <w:p>
      <w:pPr>
        <w:pStyle w:val="Heading3"/>
      </w:pPr>
      <w:r>
        <w:rPr>
          <w:rFonts w:ascii="Calibri" w:hAnsi="Calibri"/>
          <w:b/>
          <w:i w:val="0"/>
          <w:color w:val="0B1F3A"/>
          <w:sz w:val="24"/>
        </w:rPr>
        <w:t>6.17.1 Wireframe</w:t>
      </w:r>
    </w:p>
    <w:p>
      <w:r>
        <w:rPr>
          <w:rFonts w:ascii="Calibri" w:hAnsi="Calibri"/>
          <w:b/>
          <w:color w:val="101828"/>
          <w:sz w:val="21"/>
        </w:rPr>
        <w:t>Mobile — 375 px.</w:t>
      </w:r>
      <w:r>
        <w:rPr>
          <w:rFonts w:ascii="Calibri" w:hAnsi="Calibri"/>
          <w:b w:val="0"/>
          <w:i w:val="0"/>
          <w:color w:val="101828"/>
          <w:sz w:val="21"/>
        </w:rPr>
        <w:t xml:space="preserve"> Amount first, then method, then a single full-width commit action. The action is not sticky, because a sticky money button on a page whose content scrolls is how a member charges an amount they did not read.</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&lt; Ajo   Round 4                          |</w:t>
      </w:r>
    </w:p>
    <w:p>
      <w:pPr>
        <w:spacing w:before="0" w:after="0" w:line="240" w:lineRule="auto"/>
        <w:ind w:left="230"/>
        <w:shd w:val="clear" w:color="auto" w:fill="F7F9FC"/>
        <w:pBdr>
          <w:left w:val="single" w:sz="4" w:space="6" w:color="D0D5DD"/>
        </w:pBdr>
      </w:pPr>
      <w:r>
        <w:rPr>
          <w:rFonts w:ascii="Consolas" w:hAnsi="Consolas"/>
          <w:color w:val="0B1F3A"/>
          <w:sz w:val="16"/>
        </w:rPr>
        <w:t>+-- (2) AMOUNT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What you will be charged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Contribution    NGN 1,000.00      |   |</w:t>
      </w:r>
    </w:p>
    <w:p>
      <w:pPr>
        <w:spacing w:before="0" w:after="0" w:line="240" w:lineRule="auto"/>
        <w:ind w:left="230"/>
        <w:shd w:val="clear" w:color="auto" w:fill="F7F9FC"/>
        <w:pBdr>
          <w:left w:val="single" w:sz="4" w:space="6" w:color="D0D5DD"/>
        </w:pBdr>
      </w:pPr>
      <w:r>
        <w:rPr>
          <w:rFonts w:ascii="Consolas" w:hAnsi="Consolas"/>
          <w:color w:val="0B1F3A"/>
          <w:sz w:val="16"/>
        </w:rPr>
        <w:t>| |  AJO.ng fee 2%      NGN 20.00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Total charged    NGN 1,020.00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Into the round pool               |   |</w:t>
      </w:r>
    </w:p>
    <w:p>
      <w:pPr>
        <w:spacing w:before="0" w:after="0" w:line="240" w:lineRule="auto"/>
        <w:ind w:left="230"/>
        <w:shd w:val="clear" w:color="auto" w:fill="F7F9FC"/>
        <w:pBdr>
          <w:left w:val="single" w:sz="4" w:space="6" w:color="D0D5DD"/>
        </w:pBdr>
      </w:pPr>
      <w:r>
        <w:rPr>
          <w:rFonts w:ascii="Consolas" w:hAnsi="Consolas"/>
          <w:color w:val="0B1F3A"/>
          <w:sz w:val="16"/>
        </w:rPr>
        <w:t>| |                          NGN       |   |</w:t>
      </w:r>
    </w:p>
    <w:p>
      <w:pPr>
        <w:spacing w:before="0" w:after="0" w:line="240" w:lineRule="auto"/>
        <w:ind w:left="230"/>
        <w:shd w:val="clear" w:color="auto" w:fill="F7F9FC"/>
        <w:pBdr>
          <w:left w:val="single" w:sz="4" w:space="6" w:color="D0D5DD"/>
        </w:pBdr>
      </w:pPr>
      <w:r>
        <w:rPr>
          <w:rFonts w:ascii="Consolas" w:hAnsi="Consolas"/>
          <w:color w:val="0B1F3A"/>
          <w:sz w:val="16"/>
        </w:rPr>
        <w:t>| |    1,000.00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This is round 4 of 10.            |   |</w:t>
      </w:r>
    </w:p>
    <w:p>
      <w:pPr>
        <w:spacing w:before="0" w:after="0" w:line="240" w:lineRule="auto"/>
        <w:ind w:left="230"/>
        <w:shd w:val="clear" w:color="auto" w:fill="F7F9FC"/>
        <w:pBdr>
          <w:left w:val="single" w:sz="4" w:space="6" w:color="D0D5DD"/>
        </w:pBdr>
      </w:pPr>
      <w:r>
        <w:rPr>
          <w:rFonts w:ascii="Consolas" w:hAnsi="Consolas"/>
          <w:color w:val="0B1F3A"/>
          <w:sz w:val="16"/>
        </w:rPr>
        <w:t>| |  You are paid in round 9,          |   |</w:t>
      </w:r>
    </w:p>
    <w:p>
      <w:pPr>
        <w:spacing w:before="0" w:after="0" w:line="240" w:lineRule="auto"/>
        <w:ind w:left="230"/>
        <w:shd w:val="clear" w:color="auto" w:fill="F7F9FC"/>
        <w:pBdr>
          <w:left w:val="single" w:sz="4" w:space="6" w:color="D0D5DD"/>
        </w:pBdr>
      </w:pPr>
      <w:r>
        <w:rPr>
          <w:rFonts w:ascii="Consolas" w:hAnsi="Consolas"/>
          <w:color w:val="0B1F3A"/>
          <w:sz w:val="16"/>
        </w:rPr>
        <w:t>| |  NGN 10,000.00, the base           |   |</w:t>
      </w:r>
    </w:p>
    <w:p>
      <w:pPr>
        <w:spacing w:before="0" w:after="0" w:line="240" w:lineRule="auto"/>
        <w:ind w:left="230"/>
        <w:shd w:val="clear" w:color="auto" w:fill="F7F9FC"/>
        <w:pBdr>
          <w:left w:val="single" w:sz="4" w:space="6" w:color="D0D5DD"/>
        </w:pBdr>
      </w:pPr>
      <w:r>
        <w:rPr>
          <w:rFonts w:ascii="Consolas" w:hAnsi="Consolas"/>
          <w:color w:val="0B1F3A"/>
          <w:sz w:val="16"/>
        </w:rPr>
        <w:t>| |  pool of 10 members.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(3) METHOD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Pay from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(o) Bank account                  |   |</w:t>
      </w:r>
    </w:p>
    <w:p>
      <w:pPr>
        <w:spacing w:before="0" w:after="0" w:line="240" w:lineRule="auto"/>
        <w:ind w:left="230"/>
        <w:shd w:val="clear" w:color="auto" w:fill="F7F9FC"/>
        <w:pBdr>
          <w:left w:val="single" w:sz="4" w:space="6" w:color="D0D5DD"/>
        </w:pBdr>
      </w:pPr>
      <w:r>
        <w:rPr>
          <w:rFonts w:ascii="Consolas" w:hAnsi="Consolas"/>
          <w:color w:val="0B1F3A"/>
          <w:sz w:val="16"/>
        </w:rPr>
        <w:t>| |      ProvidusUnity  0203 000 0003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 Card                          |   |</w:t>
      </w:r>
    </w:p>
    <w:p>
      <w:pPr>
        <w:spacing w:before="0" w:after="0" w:line="240" w:lineRule="auto"/>
        <w:ind w:left="230"/>
        <w:shd w:val="clear" w:color="auto" w:fill="F7F9FC"/>
        <w:pBdr>
          <w:left w:val="single" w:sz="4" w:space="6" w:color="D0D5DD"/>
        </w:pBdr>
      </w:pPr>
      <w:r>
        <w:rPr>
          <w:rFonts w:ascii="Consolas" w:hAnsi="Consolas"/>
          <w:color w:val="0B1F3A"/>
          <w:sz w:val="16"/>
        </w:rPr>
        <w:t>| |      Visa, Mastercard, Verve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AJO.ng never stores your          |   |</w:t>
      </w:r>
    </w:p>
    <w:p>
      <w:pPr>
        <w:spacing w:before="0" w:after="0" w:line="240" w:lineRule="auto"/>
        <w:ind w:left="230"/>
        <w:shd w:val="clear" w:color="auto" w:fill="F7F9FC"/>
        <w:pBdr>
          <w:left w:val="single" w:sz="4" w:space="6" w:color="D0D5DD"/>
        </w:pBdr>
      </w:pPr>
      <w:r>
        <w:rPr>
          <w:rFonts w:ascii="Consolas" w:hAnsi="Consolas"/>
          <w:color w:val="0B1F3A"/>
          <w:sz w:val="16"/>
        </w:rPr>
        <w:t>| |  bank details. Payment is          |   |</w:t>
      </w:r>
    </w:p>
    <w:p>
      <w:pPr>
        <w:spacing w:before="0" w:after="0" w:line="240" w:lineRule="auto"/>
        <w:ind w:left="230"/>
        <w:shd w:val="clear" w:color="auto" w:fill="F7F9FC"/>
        <w:pBdr>
          <w:left w:val="single" w:sz="4" w:space="6" w:color="D0D5DD"/>
        </w:pBdr>
      </w:pPr>
      <w:r>
        <w:rPr>
          <w:rFonts w:ascii="Consolas" w:hAnsi="Consolas"/>
          <w:color w:val="0B1F3A"/>
          <w:sz w:val="16"/>
        </w:rPr>
        <w:t>| |  completed on ProvidusUnity's      |   |</w:t>
      </w:r>
    </w:p>
    <w:p>
      <w:pPr>
        <w:spacing w:before="0" w:after="0" w:line="240" w:lineRule="auto"/>
        <w:ind w:left="230"/>
        <w:shd w:val="clear" w:color="auto" w:fill="F7F9FC"/>
        <w:pBdr>
          <w:left w:val="single" w:sz="4" w:space="6" w:color="D0D5DD"/>
        </w:pBdr>
      </w:pPr>
      <w:r>
        <w:rPr>
          <w:rFonts w:ascii="Consolas" w:hAnsi="Consolas"/>
          <w:color w:val="0B1F3A"/>
          <w:sz w:val="16"/>
        </w:rPr>
        <w:t>| |  page.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(4) ACTIONS ---------------------------+</w:t>
      </w:r>
    </w:p>
    <w:p>
      <w:pPr>
        <w:spacing w:before="0" w:after="0" w:line="240" w:lineRule="auto"/>
        <w:ind w:left="230"/>
        <w:shd w:val="clear" w:color="auto" w:fill="F7F9FC"/>
        <w:pBdr>
          <w:left w:val="single" w:sz="4" w:space="6" w:color="D0D5DD"/>
        </w:pBdr>
      </w:pPr>
      <w:r>
        <w:rPr>
          <w:rFonts w:ascii="Consolas" w:hAnsi="Consolas"/>
          <w:color w:val="0B1F3A"/>
          <w:sz w:val="16"/>
        </w:rPr>
        <w:t>| { Continue to payment }*                 |</w:t>
      </w:r>
    </w:p>
    <w:p>
      <w:pPr>
        <w:spacing w:before="0" w:after="0" w:line="240" w:lineRule="auto"/>
        <w:ind w:left="230"/>
        <w:shd w:val="clear" w:color="auto" w:fill="F7F9FC"/>
        <w:pBdr>
          <w:left w:val="single" w:sz="4" w:space="6" w:color="D0D5DD"/>
        </w:pBdr>
      </w:pPr>
      <w:r>
        <w:rPr>
          <w:rFonts w:ascii="Consolas" w:hAnsi="Consolas"/>
          <w:color w:val="0B1F3A"/>
          <w:sz w:val="16"/>
        </w:rPr>
        <w:t>| x  This round closes 06 Oct.             |</w:t>
      </w:r>
    </w:p>
    <w:p>
      <w:pPr>
        <w:spacing w:before="0" w:after="0" w:line="240" w:lineRule="auto"/>
        <w:ind w:left="230"/>
        <w:shd w:val="clear" w:color="auto" w:fill="F7F9FC"/>
        <w:pBdr>
          <w:left w:val="single" w:sz="4" w:space="6" w:color="D0D5DD"/>
        </w:pBdr>
      </w:pPr>
      <w:r>
        <w:rPr>
          <w:rFonts w:ascii="Consolas" w:hAnsi="Consolas"/>
          <w:color w:val="0B1F3A"/>
          <w:sz w:val="16"/>
        </w:rPr>
        <w:t>+-- (5) BOTTOM NAV ------------------------+</w:t>
      </w:r>
    </w:p>
    <w:p>
      <w:pPr>
        <w:spacing w:before="0" w:after="0" w:line="240" w:lineRule="auto"/>
        <w:ind w:left="230"/>
        <w:shd w:val="clear" w:color="auto" w:fill="F7F9FC"/>
        <w:pBdr>
          <w:left w:val="single" w:sz="4" w:space="6" w:color="D0D5DD"/>
        </w:pBdr>
      </w:pPr>
      <w:r>
        <w:rPr>
          <w:rFonts w:ascii="Consolas" w:hAnsi="Consolas"/>
          <w:color w:val="0B1F3A"/>
          <w:sz w:val="16"/>
        </w:rPr>
        <w:t>| Home  Ajos  Pay  Alerts  More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A two-column body: the order summary with its figures on the left, the method and its explanation on the right, and one commit action beneath both. The action is never duplicated in a column header.</w:t>
      </w:r>
    </w:p>
    <w:p>
      <w:pPr>
        <w:spacing w:before="0" w:after="0" w:line="240" w:lineRule="auto"/>
        <w:ind w:left="230"/>
        <w:shd w:val="clear" w:color="auto" w:fill="F7F9FC"/>
        <w:pBdr>
          <w:left w:val="single" w:sz="4" w:space="6" w:color="D0D5DD"/>
        </w:pBdr>
      </w:pPr>
      <w:r>
        <w:rPr>
          <w:rFonts w:ascii="Consolas" w:hAnsi="Consolas"/>
          <w:color w:val="0B1F3A"/>
          <w:sz w:val="16"/>
        </w:rPr>
        <w:t>+-- (1) LEFT NAV ----------------------------------------------------------+</w:t>
      </w:r>
    </w:p>
    <w:p>
      <w:pPr>
        <w:spacing w:before="0" w:after="0" w:line="240" w:lineRule="auto"/>
        <w:ind w:left="230"/>
        <w:shd w:val="clear" w:color="auto" w:fill="F7F9FC"/>
        <w:pBdr>
          <w:left w:val="single" w:sz="4" w:space="6" w:color="D0D5DD"/>
        </w:pBdr>
      </w:pPr>
      <w:r>
        <w:rPr>
          <w:rFonts w:ascii="Consolas" w:hAnsi="Consolas"/>
          <w:color w:val="0B1F3A"/>
          <w:sz w:val="16"/>
        </w:rPr>
        <w:t>| Home                                                                     |</w:t>
      </w:r>
    </w:p>
    <w:p>
      <w:pPr>
        <w:spacing w:before="0" w:after="0" w:line="240" w:lineRule="auto"/>
        <w:ind w:left="230"/>
        <w:shd w:val="clear" w:color="auto" w:fill="F7F9FC"/>
        <w:pBdr>
          <w:left w:val="single" w:sz="4" w:space="6" w:color="D0D5DD"/>
        </w:pBdr>
      </w:pPr>
      <w:r>
        <w:rPr>
          <w:rFonts w:ascii="Consolas" w:hAnsi="Consolas"/>
          <w:color w:val="0B1F3A"/>
          <w:sz w:val="16"/>
        </w:rPr>
        <w:t>| My Ajos                                                                  |</w:t>
      </w:r>
    </w:p>
    <w:p>
      <w:pPr>
        <w:spacing w:before="0" w:after="0" w:line="240" w:lineRule="auto"/>
        <w:ind w:left="230"/>
        <w:shd w:val="clear" w:color="auto" w:fill="F7F9FC"/>
        <w:pBdr>
          <w:left w:val="single" w:sz="4" w:space="6" w:color="D0D5DD"/>
        </w:pBdr>
      </w:pPr>
      <w:r>
        <w:rPr>
          <w:rFonts w:ascii="Consolas" w:hAnsi="Consolas"/>
          <w:color w:val="0B1F3A"/>
          <w:sz w:val="16"/>
        </w:rPr>
        <w:t>| Pay                                                                      |</w:t>
      </w:r>
    </w:p>
    <w:p>
      <w:pPr>
        <w:spacing w:before="0" w:after="0" w:line="240" w:lineRule="auto"/>
        <w:ind w:left="230"/>
        <w:shd w:val="clear" w:color="auto" w:fill="F7F9FC"/>
        <w:pBdr>
          <w:left w:val="single" w:sz="4" w:space="6" w:color="D0D5DD"/>
        </w:pBdr>
      </w:pPr>
      <w:r>
        <w:rPr>
          <w:rFonts w:ascii="Consolas" w:hAnsi="Consolas"/>
          <w:color w:val="0B1F3A"/>
          <w:sz w:val="16"/>
        </w:rPr>
        <w:t>| Alerts                                                                   |</w:t>
      </w:r>
    </w:p>
    <w:p>
      <w:pPr>
        <w:spacing w:before="0" w:after="0" w:line="240" w:lineRule="auto"/>
        <w:ind w:left="230"/>
        <w:shd w:val="clear" w:color="auto" w:fill="F7F9FC"/>
        <w:pBdr>
          <w:left w:val="single" w:sz="4" w:space="6" w:color="D0D5DD"/>
        </w:pBdr>
      </w:pPr>
      <w:r>
        <w:rPr>
          <w:rFonts w:ascii="Consolas" w:hAnsi="Consolas"/>
          <w:color w:val="0B1F3A"/>
          <w:sz w:val="16"/>
        </w:rPr>
        <w:t>| Support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Profile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ORDER SUMMARY -----------------------------------------------------+</w:t>
      </w:r>
    </w:p>
    <w:p>
      <w:pPr>
        <w:spacing w:before="0" w:after="0" w:line="240" w:lineRule="auto"/>
        <w:ind w:left="230"/>
        <w:shd w:val="clear" w:color="auto" w:fill="F7F9FC"/>
        <w:pBdr>
          <w:left w:val="single" w:sz="4" w:space="6" w:color="D0D5DD"/>
        </w:pBdr>
      </w:pPr>
      <w:r>
        <w:rPr>
          <w:rFonts w:ascii="Consolas" w:hAnsi="Consolas"/>
          <w:color w:val="0B1F3A"/>
          <w:sz w:val="16"/>
        </w:rPr>
        <w:t>| Adaeze's Ajo, round 4 of 10. Due 05 Oct 2026.                            |</w:t>
      </w:r>
    </w:p>
    <w:p>
      <w:pPr>
        <w:spacing w:before="0" w:after="0" w:line="240" w:lineRule="auto"/>
        <w:ind w:left="230"/>
        <w:shd w:val="clear" w:color="auto" w:fill="F7F9FC"/>
        <w:pBdr>
          <w:left w:val="single" w:sz="4" w:space="6" w:color="D0D5DD"/>
        </w:pBdr>
      </w:pPr>
      <w:r>
        <w:rPr>
          <w:rFonts w:ascii="Consolas" w:hAnsi="Consolas"/>
          <w:color w:val="0B1F3A"/>
          <w:sz w:val="16"/>
        </w:rPr>
        <w:t>| You are position 9 of 10 and paid in round 9.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What you will be charged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Contribution               NGN 1,000.00|                              |</w:t>
      </w:r>
    </w:p>
    <w:p>
      <w:pPr>
        <w:spacing w:before="0" w:after="0" w:line="240" w:lineRule="auto"/>
        <w:ind w:left="230"/>
        <w:shd w:val="clear" w:color="auto" w:fill="F7F9FC"/>
        <w:pBdr>
          <w:left w:val="single" w:sz="4" w:space="6" w:color="D0D5DD"/>
        </w:pBdr>
      </w:pPr>
      <w:r>
        <w:rPr>
          <w:rFonts w:ascii="Consolas" w:hAnsi="Consolas"/>
          <w:color w:val="0B1F3A"/>
          <w:sz w:val="16"/>
        </w:rPr>
        <w:t>| |  AJO.ng fee, 2%                  NGN 20.00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Total charged                NGN 1,020.00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Of which into the round pool           |                              |</w:t>
      </w:r>
    </w:p>
    <w:p>
      <w:pPr>
        <w:spacing w:before="0" w:after="0" w:line="240" w:lineRule="auto"/>
        <w:ind w:left="230"/>
        <w:shd w:val="clear" w:color="auto" w:fill="F7F9FC"/>
        <w:pBdr>
          <w:left w:val="single" w:sz="4" w:space="6" w:color="D0D5DD"/>
        </w:pBdr>
      </w:pPr>
      <w:r>
        <w:rPr>
          <w:rFonts w:ascii="Consolas" w:hAnsi="Consolas"/>
          <w:color w:val="0B1F3A"/>
          <w:sz w:val="16"/>
        </w:rPr>
        <w:t>| |                            NGN 1,000.00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You are paid in round 9: NGN 10,000.00,|                              |</w:t>
      </w:r>
    </w:p>
    <w:p>
      <w:pPr>
        <w:spacing w:before="0" w:after="0" w:line="240" w:lineRule="auto"/>
        <w:ind w:left="230"/>
        <w:shd w:val="clear" w:color="auto" w:fill="F7F9FC"/>
        <w:pBdr>
          <w:left w:val="single" w:sz="4" w:space="6" w:color="D0D5DD"/>
        </w:pBdr>
      </w:pPr>
      <w:r>
        <w:rPr>
          <w:rFonts w:ascii="Consolas" w:hAnsi="Consolas"/>
          <w:color w:val="0B1F3A"/>
          <w:sz w:val="16"/>
        </w:rPr>
        <w:t>| |  the base pool of 10 members.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(3) METHOD ------------------------------------------------------------+</w:t>
      </w:r>
    </w:p>
    <w:p>
      <w:pPr>
        <w:spacing w:before="0" w:after="0" w:line="240" w:lineRule="auto"/>
        <w:ind w:left="230"/>
        <w:shd w:val="clear" w:color="auto" w:fill="F7F9FC"/>
        <w:pBdr>
          <w:left w:val="single" w:sz="4" w:space="6" w:color="D0D5DD"/>
        </w:pBdr>
      </w:pPr>
      <w:r>
        <w:rPr>
          <w:rFonts w:ascii="Consolas" w:hAnsi="Consolas"/>
          <w:color w:val="0B1F3A"/>
          <w:sz w:val="16"/>
        </w:rPr>
        <w:t>| Pay from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(o) Bank account   ProvidusUnity  0203 000 0003                          |</w:t>
      </w:r>
    </w:p>
    <w:p>
      <w:pPr>
        <w:spacing w:before="0" w:after="0" w:line="240" w:lineRule="auto"/>
        <w:ind w:left="230"/>
        <w:shd w:val="clear" w:color="auto" w:fill="F7F9FC"/>
        <w:pBdr>
          <w:left w:val="single" w:sz="4" w:space="6" w:color="D0D5DD"/>
        </w:pBdr>
      </w:pPr>
      <w:r>
        <w:rPr>
          <w:rFonts w:ascii="Consolas" w:hAnsi="Consolas"/>
          <w:color w:val="0B1F3A"/>
          <w:sz w:val="16"/>
        </w:rPr>
        <w:t>|     Transfer, or a debit to the collection account.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 Card            Visa, Mastercard, Verve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AJO.ng never stores your bank details. The payment is completed on       |</w:t>
      </w:r>
    </w:p>
    <w:p>
      <w:pPr>
        <w:spacing w:before="0" w:after="0" w:line="240" w:lineRule="auto"/>
        <w:ind w:left="230"/>
        <w:shd w:val="clear" w:color="auto" w:fill="F7F9FC"/>
        <w:pBdr>
          <w:left w:val="single" w:sz="4" w:space="6" w:color="D0D5DD"/>
        </w:pBdr>
      </w:pPr>
      <w:r>
        <w:rPr>
          <w:rFonts w:ascii="Consolas" w:hAnsi="Consolas"/>
          <w:color w:val="0B1F3A"/>
          <w:sz w:val="16"/>
        </w:rPr>
        <w:t>| ProvidusUnity's page and AJO.ng is told the outcome by a                 |</w:t>
      </w:r>
    </w:p>
    <w:p>
      <w:pPr>
        <w:spacing w:before="0" w:after="0" w:line="240" w:lineRule="auto"/>
        <w:ind w:left="230"/>
        <w:shd w:val="clear" w:color="auto" w:fill="F7F9FC"/>
        <w:pBdr>
          <w:left w:val="single" w:sz="4" w:space="6" w:color="D0D5DD"/>
        </w:pBdr>
      </w:pPr>
      <w:r>
        <w:rPr>
          <w:rFonts w:ascii="Consolas" w:hAnsi="Consolas"/>
          <w:color w:val="0B1F3A"/>
          <w:sz w:val="16"/>
        </w:rPr>
        <w:t>| signature-verified webhook.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Every payment request carries an Idempotency-Key so a double tap or a    |</w:t>
      </w:r>
    </w:p>
    <w:p>
      <w:pPr>
        <w:spacing w:before="0" w:after="0" w:line="240" w:lineRule="auto"/>
        <w:ind w:left="230"/>
        <w:shd w:val="clear" w:color="auto" w:fill="F7F9FC"/>
        <w:pBdr>
          <w:left w:val="single" w:sz="4" w:space="6" w:color="D0D5DD"/>
        </w:pBdr>
      </w:pPr>
      <w:r>
        <w:rPr>
          <w:rFonts w:ascii="Consolas" w:hAnsi="Consolas"/>
          <w:color w:val="0B1F3A"/>
          <w:sz w:val="16"/>
        </w:rPr>
        <w:t>| network retry cannot charge twice.                                       |</w:t>
      </w:r>
    </w:p>
    <w:p>
      <w:pPr>
        <w:spacing w:before="0" w:after="0" w:line="240" w:lineRule="auto"/>
        <w:ind w:left="230"/>
        <w:shd w:val="clear" w:color="auto" w:fill="F7F9FC"/>
        <w:pBdr>
          <w:left w:val="single" w:sz="4" w:space="6" w:color="D0D5DD"/>
        </w:pBdr>
      </w:pPr>
      <w:r>
        <w:rPr>
          <w:rFonts w:ascii="Consolas" w:hAnsi="Consolas"/>
          <w:color w:val="0B1F3A"/>
          <w:sz w:val="16"/>
        </w:rPr>
        <w:t>+-- (4) ACTIONS -----------------------------------------------------------+</w:t>
      </w:r>
    </w:p>
    <w:p>
      <w:pPr>
        <w:spacing w:before="0" w:after="0" w:line="240" w:lineRule="auto"/>
        <w:ind w:left="230"/>
        <w:shd w:val="clear" w:color="auto" w:fill="F7F9FC"/>
        <w:pBdr>
          <w:left w:val="single" w:sz="4" w:space="6" w:color="D0D5DD"/>
        </w:pBdr>
      </w:pPr>
      <w:r>
        <w:rPr>
          <w:rFonts w:ascii="Consolas" w:hAnsi="Consolas"/>
          <w:color w:val="0B1F3A"/>
          <w:sz w:val="16"/>
        </w:rPr>
        <w:t>| { Continue to payment }*                                                 |</w:t>
      </w:r>
    </w:p>
    <w:p>
      <w:pPr>
        <w:spacing w:before="0" w:after="0" w:line="240" w:lineRule="auto"/>
        <w:ind w:left="230"/>
        <w:shd w:val="clear" w:color="auto" w:fill="F7F9FC"/>
        <w:pBdr>
          <w:left w:val="single" w:sz="4" w:space="6" w:color="D0D5DD"/>
        </w:pBdr>
      </w:pPr>
      <w:r>
        <w:rPr>
          <w:rFonts w:ascii="Consolas" w:hAnsi="Consolas"/>
          <w:color w:val="0B1F3A"/>
          <w:sz w:val="16"/>
        </w:rPr>
        <w:t>| &lt; Back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This round closes 06 Oct 2026.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6.17.2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922"/>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7229"/>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 Amount block</w:t>
            </w:r>
          </w:p>
        </w:tc>
        <w:tc>
          <w:tcPr>
            <w:tcW w:type="dxa" w:w="922"/>
            <w:tcMar>
              <w:top w:w="60" w:type="dxa"/>
              <w:start w:w="110" w:type="dxa"/>
              <w:bottom w:w="60" w:type="dxa"/>
              <w:end w:w="110" w:type="dxa"/>
            </w:tcMar>
          </w:tcPr>
          <w:p>
            <w:pPr>
              <w:spacing w:after="0"/>
            </w:pPr>
            <w:r/>
            <w:r>
              <w:rPr>
                <w:rFonts w:ascii="Calibri" w:hAnsi="Calibri"/>
                <w:b w:val="0"/>
                <w:i w:val="0"/>
                <w:color w:val="101828"/>
                <w:sz w:val="14"/>
              </w:rPr>
              <w:t>Contribution, fee, total charged, and the pool amount.</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7229"/>
            <w:tcMar>
              <w:top w:w="60" w:type="dxa"/>
              <w:start w:w="110" w:type="dxa"/>
              <w:bottom w:w="60" w:type="dxa"/>
              <w:end w:w="110" w:type="dxa"/>
            </w:tcMar>
          </w:tcPr>
          <w:p>
            <w:pPr>
              <w:spacing w:after="0"/>
            </w:pPr>
            <w:r/>
            <w:r>
              <w:rPr>
                <w:rFonts w:ascii="Calibri" w:hAnsi="Calibri"/>
                <w:b/>
                <w:color w:val="101828"/>
                <w:sz w:val="14"/>
              </w:rPr>
              <w:t>Mandatory and fixed: four figures, in this order, with a rule above the total.</w:t>
            </w:r>
            <w:r>
              <w:rPr>
                <w:rFonts w:ascii="Calibri" w:hAnsi="Calibri"/>
                <w:b w:val="0"/>
                <w:i w:val="0"/>
                <w:color w:val="101828"/>
                <w:sz w:val="14"/>
              </w:rPr>
              <w:t xml:space="preserve"> CANONICAL.md requires the fee to be shown separately from the contribution on every payment surface. The rule above the total is not decoration; it is what stops the eye reading NGN 1,000.00 as the amount to be charged. The </w:t>
            </w:r>
            <w:r>
              <w:rPr>
                <w:rFonts w:ascii="Calibri" w:hAnsi="Calibri"/>
                <w:i/>
                <w:color w:val="101828"/>
                <w:sz w:val="14"/>
              </w:rPr>
              <w:t>of which into the round pool</w:t>
            </w:r>
            <w:r>
              <w:rPr>
                <w:rFonts w:ascii="Calibri" w:hAnsi="Calibri"/>
                <w:b w:val="0"/>
                <w:i w:val="0"/>
                <w:color w:val="101828"/>
                <w:sz w:val="14"/>
              </w:rPr>
              <w:t xml:space="preserve"> line is what the contribution actually becomes, and it is the first thing a member checks when a receipt says NGN 1,020.00.</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Round context</w:t>
            </w:r>
          </w:p>
        </w:tc>
        <w:tc>
          <w:tcPr>
            <w:tcW w:type="dxa" w:w="922"/>
            <w:tcMar>
              <w:top w:w="60" w:type="dxa"/>
              <w:start w:w="110" w:type="dxa"/>
              <w:bottom w:w="60" w:type="dxa"/>
              <w:end w:w="110" w:type="dxa"/>
            </w:tcMar>
            <w:shd w:val="clear" w:color="auto" w:fill="F4F7FB"/>
          </w:tcPr>
          <w:p>
            <w:pPr>
              <w:spacing w:after="0"/>
            </w:pPr>
            <w:r/>
            <w:r>
              <w:rPr>
                <w:rFonts w:ascii="Calibri" w:hAnsi="Calibri"/>
                <w:b w:val="0"/>
                <w:i w:val="0"/>
                <w:color w:val="101828"/>
                <w:sz w:val="14"/>
              </w:rPr>
              <w:t>Which round, how many, and when the member is paid.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7229"/>
            <w:tcMar>
              <w:top w:w="60" w:type="dxa"/>
              <w:start w:w="110" w:type="dxa"/>
              <w:bottom w:w="60" w:type="dxa"/>
              <w:end w:w="110" w:type="dxa"/>
            </w:tcMar>
            <w:shd w:val="clear" w:color="auto" w:fill="F4F7FB"/>
          </w:tcPr>
          <w:p>
            <w:pPr>
              <w:spacing w:after="0"/>
            </w:pPr>
            <w:r/>
            <w:r>
              <w:rPr>
                <w:rFonts w:ascii="Calibri" w:hAnsi="Calibri"/>
                <w:i/>
                <w:color w:val="101828"/>
                <w:sz w:val="14"/>
              </w:rPr>
              <w:t>You are paid in round 9, NGN 10,000.00, the base pool.</w:t>
            </w:r>
            <w:r>
              <w:rPr>
                <w:rFonts w:ascii="Calibri" w:hAnsi="Calibri"/>
                <w:b w:val="0"/>
                <w:i w:val="0"/>
                <w:color w:val="101828"/>
                <w:sz w:val="14"/>
              </w:rPr>
              <w:t xml:space="preserve"> Stated on the payment screen, not only afterwards, so a member who feels misled has it in front of them at the moment they decide.</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 Method selection</w:t>
            </w:r>
          </w:p>
        </w:tc>
        <w:tc>
          <w:tcPr>
            <w:tcW w:type="dxa" w:w="922"/>
            <w:tcMar>
              <w:top w:w="60" w:type="dxa"/>
              <w:start w:w="110" w:type="dxa"/>
              <w:bottom w:w="60" w:type="dxa"/>
              <w:end w:w="110" w:type="dxa"/>
            </w:tcMar>
          </w:tcPr>
          <w:p>
            <w:pPr>
              <w:spacing w:after="0"/>
            </w:pPr>
            <w:r/>
            <w:r>
              <w:rPr>
                <w:rFonts w:ascii="Calibri" w:hAnsi="Calibri"/>
                <w:b w:val="0"/>
                <w:i w:val="0"/>
                <w:color w:val="101828"/>
                <w:sz w:val="14"/>
              </w:rPr>
              <w:t>Bank account or card, delegating to the provider.</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7229"/>
            <w:tcMar>
              <w:top w:w="60" w:type="dxa"/>
              <w:start w:w="110" w:type="dxa"/>
              <w:bottom w:w="60" w:type="dxa"/>
              <w:end w:w="110" w:type="dxa"/>
            </w:tcMar>
          </w:tcPr>
          <w:p>
            <w:pPr>
              <w:spacing w:after="0"/>
            </w:pPr>
            <w:r/>
            <w:r>
              <w:rPr>
                <w:rFonts w:ascii="Calibri" w:hAnsi="Calibri"/>
                <w:b/>
                <w:color w:val="101828"/>
                <w:sz w:val="14"/>
              </w:rPr>
              <w:t>No card or account number is ever entered on an AJO.ng screen.</w:t>
            </w:r>
            <w:r>
              <w:rPr>
                <w:rFonts w:ascii="Calibri" w:hAnsi="Calibri"/>
                <w:b w:val="0"/>
                <w:i w:val="0"/>
                <w:color w:val="101828"/>
                <w:sz w:val="14"/>
              </w:rPr>
              <w:t xml:space="preserve"> PAN, expiry, CVV and bank credentials are captured on ProvidusUnity's hosted page, and AJO.ng receives only a payment reference and an outcome. This is a security requirement, and it is also the only way the collection arrangement in D-02 and D-03 can be correct.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 Provider hand-off</w:t>
            </w:r>
          </w:p>
        </w:tc>
        <w:tc>
          <w:tcPr>
            <w:tcW w:type="dxa" w:w="922"/>
            <w:tcMar>
              <w:top w:w="60" w:type="dxa"/>
              <w:start w:w="110" w:type="dxa"/>
              <w:bottom w:w="60" w:type="dxa"/>
              <w:end w:w="110" w:type="dxa"/>
            </w:tcMar>
            <w:shd w:val="clear" w:color="auto" w:fill="F4F7FB"/>
          </w:tcPr>
          <w:p>
            <w:pPr>
              <w:spacing w:after="0"/>
            </w:pPr>
            <w:r/>
            <w:r>
              <w:rPr>
                <w:rFonts w:ascii="Calibri" w:hAnsi="Calibri"/>
                <w:b w:val="0"/>
                <w:i w:val="0"/>
                <w:color w:val="101828"/>
                <w:sz w:val="14"/>
              </w:rPr>
              <w:t>The transition to the provider's page.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7229"/>
            <w:tcMar>
              <w:top w:w="60" w:type="dxa"/>
              <w:start w:w="110" w:type="dxa"/>
              <w:bottom w:w="60" w:type="dxa"/>
              <w:end w:w="110" w:type="dxa"/>
            </w:tcMar>
            <w:shd w:val="clear" w:color="auto" w:fill="F4F7FB"/>
          </w:tcPr>
          <w:p>
            <w:pPr>
              <w:spacing w:after="0"/>
            </w:pPr>
            <w:r/>
            <w:r>
              <w:rPr>
                <w:rFonts w:ascii="Calibri" w:hAnsi="Calibri"/>
                <w:b w:val="0"/>
                <w:i w:val="0"/>
                <w:color w:val="101828"/>
                <w:sz w:val="14"/>
              </w:rPr>
              <w:t>Announced to a screen reader as a navigation away from AJO.ng, because a silent jump to a differently-branded page is disorienting and looks like a redirect to a fraud site.</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(5) Idempotency</w:t>
            </w:r>
          </w:p>
        </w:tc>
        <w:tc>
          <w:tcPr>
            <w:tcW w:type="dxa" w:w="922"/>
            <w:tcMar>
              <w:top w:w="60" w:type="dxa"/>
              <w:start w:w="110" w:type="dxa"/>
              <w:bottom w:w="60" w:type="dxa"/>
              <w:end w:w="110" w:type="dxa"/>
            </w:tcMar>
          </w:tcPr>
          <w:p>
            <w:pPr>
              <w:spacing w:after="0"/>
            </w:pPr>
            <w:r/>
            <w:r>
              <w:rPr>
                <w:rFonts w:ascii="Calibri" w:hAnsi="Calibri"/>
                <w:b w:val="0"/>
                <w:i w:val="0"/>
                <w:color w:val="101828"/>
                <w:sz w:val="14"/>
              </w:rPr>
              <w:t>One charge per attempt, enforced by header.</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7229"/>
            <w:tcMar>
              <w:top w:w="60" w:type="dxa"/>
              <w:start w:w="110" w:type="dxa"/>
              <w:bottom w:w="60" w:type="dxa"/>
              <w:end w:w="110" w:type="dxa"/>
            </w:tcMar>
          </w:tcPr>
          <w:p>
            <w:pPr>
              <w:spacing w:after="0"/>
            </w:pPr>
            <w:r/>
            <w:r>
              <w:rPr>
                <w:rFonts w:ascii="Consolas" w:hAnsi="Consolas"/>
                <w:color w:val="146EF5"/>
                <w:sz w:val="14"/>
              </w:rPr>
              <w:t>Idempotency-Key</w:t>
            </w:r>
            <w:r>
              <w:rPr>
                <w:rFonts w:ascii="Calibri" w:hAnsi="Calibri"/>
                <w:b w:val="0"/>
                <w:i w:val="0"/>
                <w:color w:val="101828"/>
                <w:sz w:val="14"/>
              </w:rPr>
              <w:t xml:space="preserve"> on </w:t>
            </w:r>
            <w:r>
              <w:rPr>
                <w:rFonts w:ascii="Consolas" w:hAnsi="Consolas"/>
                <w:color w:val="146EF5"/>
                <w:sz w:val="14"/>
              </w:rPr>
              <w:t>POST /payments</w:t>
            </w:r>
            <w:r>
              <w:rPr>
                <w:rFonts w:ascii="Calibri" w:hAnsi="Calibri"/>
                <w:b w:val="0"/>
                <w:i w:val="0"/>
                <w:color w:val="101828"/>
                <w:sz w:val="14"/>
              </w:rPr>
              <w:t>. The button is not disabled on tap alone; the same key is reused for a retry of the same attempt, so a double tap or a reconnect produces one charge.</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(6) Round closing time</w:t>
            </w:r>
          </w:p>
        </w:tc>
        <w:tc>
          <w:tcPr>
            <w:tcW w:type="dxa" w:w="922"/>
            <w:tcMar>
              <w:top w:w="60" w:type="dxa"/>
              <w:start w:w="110" w:type="dxa"/>
              <w:bottom w:w="60" w:type="dxa"/>
              <w:end w:w="110" w:type="dxa"/>
            </w:tcMar>
            <w:shd w:val="clear" w:color="auto" w:fill="F4F7FB"/>
          </w:tcPr>
          <w:p>
            <w:pPr>
              <w:spacing w:after="0"/>
            </w:pPr>
            <w:r/>
            <w:r>
              <w:rPr>
                <w:rFonts w:ascii="Calibri" w:hAnsi="Calibri"/>
                <w:b w:val="0"/>
                <w:i w:val="0"/>
                <w:color w:val="101828"/>
                <w:sz w:val="14"/>
              </w:rPr>
              <w:t>When this round stops accepting payment.</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7229"/>
            <w:tcMar>
              <w:top w:w="60" w:type="dxa"/>
              <w:start w:w="110" w:type="dxa"/>
              <w:bottom w:w="60" w:type="dxa"/>
              <w:end w:w="110" w:type="dxa"/>
            </w:tcMar>
            <w:shd w:val="clear" w:color="auto" w:fill="F4F7FB"/>
          </w:tcPr>
          <w:p>
            <w:pPr>
              <w:spacing w:after="0"/>
            </w:pPr>
            <w:r/>
            <w:r>
              <w:rPr>
                <w:rFonts w:ascii="Calibri" w:hAnsi="Calibri"/>
                <w:b w:val="0"/>
                <w:i w:val="0"/>
                <w:color w:val="101828"/>
                <w:sz w:val="14"/>
              </w:rPr>
              <w:t>Stated before the action, so a member is not surprised by a payment that lands after the round closed and lands in the next one. What happens in that case is in section 19.</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(7) No amount editing</w:t>
            </w:r>
          </w:p>
        </w:tc>
        <w:tc>
          <w:tcPr>
            <w:tcW w:type="dxa" w:w="922"/>
            <w:tcMar>
              <w:top w:w="60" w:type="dxa"/>
              <w:start w:w="110" w:type="dxa"/>
              <w:bottom w:w="60" w:type="dxa"/>
              <w:end w:w="110" w:type="dxa"/>
            </w:tcMar>
          </w:tcPr>
          <w:p>
            <w:pPr>
              <w:spacing w:after="0"/>
            </w:pPr>
            <w:r/>
            <w:r>
              <w:rPr>
                <w:rFonts w:ascii="Calibri" w:hAnsi="Calibri"/>
                <w:b w:val="0"/>
                <w:i w:val="0"/>
                <w:color w:val="101828"/>
                <w:sz w:val="14"/>
              </w:rPr>
              <w:t>The amount is not editable on the pay screen.</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7229"/>
            <w:tcMar>
              <w:top w:w="60" w:type="dxa"/>
              <w:start w:w="110" w:type="dxa"/>
              <w:bottom w:w="60" w:type="dxa"/>
              <w:end w:w="110" w:type="dxa"/>
            </w:tcMar>
          </w:tcPr>
          <w:p>
            <w:pPr>
              <w:spacing w:after="0"/>
            </w:pPr>
            <w:r/>
            <w:r>
              <w:rPr>
                <w:rFonts w:ascii="Calibri" w:hAnsi="Calibri"/>
                <w:b/>
                <w:color w:val="101828"/>
                <w:sz w:val="14"/>
              </w:rPr>
              <w:t>Prohibited.</w:t>
            </w:r>
            <w:r>
              <w:rPr>
                <w:rFonts w:ascii="Calibri" w:hAnsi="Calibri"/>
                <w:b w:val="0"/>
                <w:i w:val="0"/>
                <w:color w:val="101828"/>
                <w:sz w:val="14"/>
              </w:rPr>
              <w:t xml:space="preserve"> A partial payment or a changed amount on this screen would create a contribution that does not match the schedule every other member is following. Partial payment is not a v1 feature; a member who cannot pay in full is a default-handling case, not a payment-screen case.</w:t>
            </w:r>
          </w:p>
        </w:tc>
      </w:tr>
    </w:tbl>
    <w:p>
      <w:pPr>
        <w:spacing w:after="80"/>
      </w:pPr>
    </w:p>
    <w:p>
      <w:pPr>
        <w:pStyle w:val="Heading2"/>
      </w:pPr>
      <w:r>
        <w:rPr>
          <w:rFonts w:ascii="Calibri" w:hAnsi="Calibri"/>
          <w:b/>
          <w:i w:val="0"/>
          <w:color w:val="146EF5"/>
          <w:sz w:val="29"/>
        </w:rPr>
        <w:t>6.18 Payment Processing — SCR-MOB-10</w:t>
      </w:r>
    </w:p>
    <w:p>
      <w:r>
        <w:rPr>
          <w:rFonts w:ascii="Calibri" w:hAnsi="Calibri"/>
          <w:b w:val="0"/>
          <w:i w:val="0"/>
          <w:color w:val="101828"/>
          <w:sz w:val="21"/>
        </w:rPr>
        <w:t>The waiting state, and the screen people remember worst when something goes wrong. A payment that takes eleven seconds produces an anxious user who taps again, so this screen is designed to make waiting feel like something the system is doing rather than something the person must supervise. It has three outcomes, not one: still working, cannot tell yet, and failed. The middle one is the one that gets skipped in most products and it is the one that matters most, because a payment whose outcome is genuinely unknown is exactly when a person needs to be told the truth rather than shown a spinner forever.</w:t>
      </w:r>
    </w:p>
    <w:p>
      <w:pPr>
        <w:spacing w:before="140" w:after="180"/>
        <w:ind w:left="144"/>
        <w:shd w:val="clear" w:color="auto" w:fill="FEF3C7"/>
        <w:pBdr>
          <w:left w:val="single" w:sz="18" w:space="6" w:color="FBBF24"/>
        </w:pBdr>
      </w:pPr>
      <w:r>
        <w:rPr>
          <w:rFonts w:ascii="Calibri" w:hAnsi="Calibri"/>
          <w:b/>
          <w:color w:val="FBBF24"/>
          <w:sz w:val="19"/>
        </w:rPr>
        <w:t xml:space="preserve">Never resolve an UNKNOWN payment optimistically on the client  </w:t>
      </w:r>
      <w:r>
        <w:rPr>
          <w:rFonts w:ascii="Calibri" w:hAnsi="Calibri"/>
          <w:b w:val="0"/>
          <w:i w:val="0"/>
          <w:color w:val="0B1F3A"/>
          <w:sz w:val="19"/>
        </w:rPr>
        <w:t xml:space="preserve">When a payment webhook has not arrived, the screen must not display a success state derived from the browser's own redirect parameters. CANONICAL.md models this as payment state </w:t>
      </w:r>
      <w:r>
        <w:rPr>
          <w:rFonts w:ascii="Consolas" w:hAnsi="Consolas"/>
          <w:color w:val="146EF5"/>
          <w:sz w:val="19"/>
        </w:rPr>
        <w:t>UNKNOWN</w:t>
      </w:r>
      <w:r>
        <w:rPr>
          <w:rFonts w:ascii="Calibri" w:hAnsi="Calibri"/>
          <w:b w:val="0"/>
          <w:i w:val="0"/>
          <w:color w:val="0B1F3A"/>
          <w:sz w:val="19"/>
        </w:rPr>
        <w:t xml:space="preserve">, and the only transitions out of it are a signed webhook from the provider, a provider status query, or reconciliation. </w:t>
      </w:r>
      <w:r>
        <w:rPr>
          <w:rFonts w:ascii="Calibri" w:hAnsi="Calibri"/>
          <w:b/>
          <w:color w:val="0B1F3A"/>
          <w:sz w:val="19"/>
        </w:rPr>
        <w:t>A client-side success screen for an unconfirmed payment creates a receipt for money that was never collected</w:t>
      </w:r>
      <w:r>
        <w:rPr>
          <w:rFonts w:ascii="Calibri" w:hAnsi="Calibri"/>
          <w:b w:val="0"/>
          <w:i w:val="0"/>
          <w:color w:val="0B1F3A"/>
          <w:sz w:val="19"/>
        </w:rPr>
        <w:t xml:space="preserve">, which is a financial record defect and not a display bug. The 6.19 receipt is reachable only from a confirmed </w:t>
      </w:r>
      <w:r>
        <w:rPr>
          <w:rFonts w:ascii="Consolas" w:hAnsi="Consolas"/>
          <w:color w:val="146EF5"/>
          <w:sz w:val="19"/>
        </w:rPr>
        <w:t>SUCCESS</w:t>
      </w:r>
      <w:r>
        <w:rPr>
          <w:rFonts w:ascii="Calibri" w:hAnsi="Calibri"/>
          <w:b w:val="0"/>
          <w:i w:val="0"/>
          <w:color w:val="0B1F3A"/>
          <w:sz w:val="19"/>
        </w:rPr>
        <w:t>, from a ledger entry, or from a reconciliation run that has matched the payment.</w:t>
      </w:r>
    </w:p>
    <w:p>
      <w:pPr>
        <w:pStyle w:val="Heading3"/>
      </w:pPr>
      <w:r>
        <w:rPr>
          <w:rFonts w:ascii="Calibri" w:hAnsi="Calibri"/>
          <w:b/>
          <w:i w:val="0"/>
          <w:color w:val="0B1F3A"/>
          <w:sz w:val="24"/>
        </w:rPr>
        <w:t>6.18.1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FULL SCREEN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AJO.ng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Processing payment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(indeterminate)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Do not close this screen.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We will tell you the result      |</w:t>
      </w:r>
    </w:p>
    <w:p>
      <w:pPr>
        <w:spacing w:before="0" w:after="0" w:line="240" w:lineRule="auto"/>
        <w:ind w:left="230"/>
        <w:shd w:val="clear" w:color="auto" w:fill="F7F9FC"/>
        <w:pBdr>
          <w:left w:val="single" w:sz="4" w:space="6" w:color="D0D5DD"/>
        </w:pBdr>
      </w:pPr>
      <w:r>
        <w:rPr>
          <w:rFonts w:ascii="Consolas" w:hAnsi="Consolas"/>
          <w:color w:val="0B1F3A"/>
          <w:sz w:val="16"/>
        </w:rPr>
        <w:t>|         here and by SMS. You are         |</w:t>
      </w:r>
    </w:p>
    <w:p>
      <w:pPr>
        <w:spacing w:before="0" w:after="0" w:line="240" w:lineRule="auto"/>
        <w:ind w:left="230"/>
        <w:shd w:val="clear" w:color="auto" w:fill="F7F9FC"/>
        <w:pBdr>
          <w:left w:val="single" w:sz="4" w:space="6" w:color="D0D5DD"/>
        </w:pBdr>
      </w:pPr>
      <w:r>
        <w:rPr>
          <w:rFonts w:ascii="Consolas" w:hAnsi="Consolas"/>
          <w:color w:val="0B1F3A"/>
          <w:sz w:val="16"/>
        </w:rPr>
        <w:t>|         not charged twice if you         |</w:t>
      </w:r>
    </w:p>
    <w:p>
      <w:pPr>
        <w:spacing w:before="0" w:after="0" w:line="240" w:lineRule="auto"/>
        <w:ind w:left="230"/>
        <w:shd w:val="clear" w:color="auto" w:fill="F7F9FC"/>
        <w:pBdr>
          <w:left w:val="single" w:sz="4" w:space="6" w:color="D0D5DD"/>
        </w:pBdr>
      </w:pPr>
      <w:r>
        <w:rPr>
          <w:rFonts w:ascii="Consolas" w:hAnsi="Consolas"/>
          <w:color w:val="0B1F3A"/>
          <w:sz w:val="16"/>
        </w:rPr>
        <w:t>|         come back.                       |</w:t>
      </w:r>
    </w:p>
    <w:p>
      <w:pPr>
        <w:spacing w:before="0" w:after="0" w:line="240" w:lineRule="auto"/>
        <w:ind w:left="230"/>
        <w:shd w:val="clear" w:color="auto" w:fill="F7F9FC"/>
        <w:pBdr>
          <w:left w:val="single" w:sz="4" w:space="6" w:color="D0D5DD"/>
        </w:pBdr>
      </w:pPr>
      <w:r>
        <w:rPr>
          <w:rFonts w:ascii="Consolas" w:hAnsi="Consolas"/>
          <w:color w:val="0B1F3A"/>
          <w:sz w:val="16"/>
        </w:rPr>
        <w:t>+-- (2) LATE OUTCOME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AJO.ng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We cannot tell yet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Your payment is still being           |</w:t>
      </w:r>
    </w:p>
    <w:p>
      <w:pPr>
        <w:spacing w:before="0" w:after="0" w:line="240" w:lineRule="auto"/>
        <w:ind w:left="230"/>
        <w:shd w:val="clear" w:color="auto" w:fill="F7F9FC"/>
        <w:pBdr>
          <w:left w:val="single" w:sz="4" w:space="6" w:color="D0D5DD"/>
        </w:pBdr>
      </w:pPr>
      <w:r>
        <w:rPr>
          <w:rFonts w:ascii="Consolas" w:hAnsi="Consolas"/>
          <w:color w:val="0B1F3A"/>
          <w:sz w:val="16"/>
        </w:rPr>
        <w:t>|    confirmed by the payment              |</w:t>
      </w:r>
    </w:p>
    <w:p>
      <w:pPr>
        <w:spacing w:before="0" w:after="0" w:line="240" w:lineRule="auto"/>
        <w:ind w:left="230"/>
        <w:shd w:val="clear" w:color="auto" w:fill="F7F9FC"/>
        <w:pBdr>
          <w:left w:val="single" w:sz="4" w:space="6" w:color="D0D5DD"/>
        </w:pBdr>
      </w:pPr>
      <w:r>
        <w:rPr>
          <w:rFonts w:ascii="Consolas" w:hAnsi="Consolas"/>
          <w:color w:val="0B1F3A"/>
          <w:sz w:val="16"/>
        </w:rPr>
        <w:t>|    partner. This is normal and           |</w:t>
      </w:r>
    </w:p>
    <w:p>
      <w:pPr>
        <w:spacing w:before="0" w:after="0" w:line="240" w:lineRule="auto"/>
        <w:ind w:left="230"/>
        <w:shd w:val="clear" w:color="auto" w:fill="F7F9FC"/>
        <w:pBdr>
          <w:left w:val="single" w:sz="4" w:space="6" w:color="D0D5DD"/>
        </w:pBdr>
      </w:pPr>
      <w:r>
        <w:rPr>
          <w:rFonts w:ascii="Consolas" w:hAnsi="Consolas"/>
          <w:color w:val="0B1F3A"/>
          <w:sz w:val="16"/>
        </w:rPr>
        <w:t>|    usually takes under a minute.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Check again }*                      |</w:t>
      </w:r>
    </w:p>
    <w:p>
      <w:pPr>
        <w:spacing w:before="0" w:after="0" w:line="240" w:lineRule="auto"/>
        <w:ind w:left="230"/>
        <w:shd w:val="clear" w:color="auto" w:fill="F7F9FC"/>
        <w:pBdr>
          <w:left w:val="single" w:sz="4" w:space="6" w:color="D0D5DD"/>
        </w:pBdr>
      </w:pPr>
      <w:r>
        <w:rPr>
          <w:rFonts w:ascii="Consolas" w:hAnsi="Consolas"/>
          <w:color w:val="0B1F3A"/>
          <w:sz w:val="16"/>
        </w:rPr>
        <w:t>|    &lt; Back to my Ajos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Reference  pay_7QK2M9                 |</w:t>
      </w:r>
    </w:p>
    <w:p>
      <w:pPr>
        <w:spacing w:before="0" w:after="0" w:line="240" w:lineRule="auto"/>
        <w:ind w:left="230"/>
        <w:shd w:val="clear" w:color="auto" w:fill="F7F9FC"/>
        <w:pBdr>
          <w:left w:val="single" w:sz="4" w:space="6" w:color="D0D5DD"/>
        </w:pBdr>
      </w:pPr>
      <w:r>
        <w:rPr>
          <w:rFonts w:ascii="Consolas" w:hAnsi="Consolas"/>
          <w:color w:val="0B1F3A"/>
          <w:sz w:val="16"/>
        </w:rPr>
        <w:t>+-- (3) FAILED OUTCOME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AJO.ng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x   Payment not completed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Nothing was taken from your           |</w:t>
      </w:r>
    </w:p>
    <w:p>
      <w:pPr>
        <w:spacing w:before="0" w:after="0" w:line="240" w:lineRule="auto"/>
        <w:ind w:left="230"/>
        <w:shd w:val="clear" w:color="auto" w:fill="F7F9FC"/>
        <w:pBdr>
          <w:left w:val="single" w:sz="4" w:space="6" w:color="D0D5DD"/>
        </w:pBdr>
      </w:pPr>
      <w:r>
        <w:rPr>
          <w:rFonts w:ascii="Consolas" w:hAnsi="Consolas"/>
          <w:color w:val="0B1F3A"/>
          <w:sz w:val="16"/>
        </w:rPr>
        <w:t>|    account. The reason given             |</w:t>
      </w:r>
    </w:p>
    <w:p>
      <w:pPr>
        <w:spacing w:before="0" w:after="0" w:line="240" w:lineRule="auto"/>
        <w:ind w:left="230"/>
        <w:shd w:val="clear" w:color="auto" w:fill="F7F9FC"/>
        <w:pBdr>
          <w:left w:val="single" w:sz="4" w:space="6" w:color="D0D5DD"/>
        </w:pBdr>
      </w:pPr>
      <w:r>
        <w:rPr>
          <w:rFonts w:ascii="Consolas" w:hAnsi="Consolas"/>
          <w:color w:val="0B1F3A"/>
          <w:sz w:val="16"/>
        </w:rPr>
        <w:t>|    was: insufficient funds.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Round 4 still closes 06 Oct.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Try again }*                        |</w:t>
      </w:r>
    </w:p>
    <w:p>
      <w:pPr>
        <w:spacing w:before="0" w:after="0" w:line="240" w:lineRule="auto"/>
        <w:ind w:left="230"/>
        <w:shd w:val="clear" w:color="auto" w:fill="F7F9FC"/>
        <w:pBdr>
          <w:left w:val="single" w:sz="4" w:space="6" w:color="D0D5DD"/>
        </w:pBdr>
      </w:pPr>
      <w:r>
        <w:rPr>
          <w:rFonts w:ascii="Consolas" w:hAnsi="Consolas"/>
          <w:color w:val="0B1F3A"/>
          <w:sz w:val="16"/>
        </w:rPr>
        <w:t>|    &lt; Pay a different way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Reference  pay_7QK2M9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FULL SCREEN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AJO.ng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Processing payment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Do not close this window. We will tell you the result here, by push      |</w:t>
      </w:r>
    </w:p>
    <w:p>
      <w:pPr>
        <w:spacing w:before="0" w:after="0" w:line="240" w:lineRule="auto"/>
        <w:ind w:left="230"/>
        <w:shd w:val="clear" w:color="auto" w:fill="F7F9FC"/>
        <w:pBdr>
          <w:left w:val="single" w:sz="4" w:space="6" w:color="D0D5DD"/>
        </w:pBdr>
      </w:pPr>
      <w:r>
        <w:rPr>
          <w:rFonts w:ascii="Consolas" w:hAnsi="Consolas"/>
          <w:color w:val="0B1F3A"/>
          <w:sz w:val="16"/>
        </w:rPr>
        <w:t>| and by SMS. You are not charged twice if you come back.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Reference  pay_7QK2M9                                                    |</w:t>
      </w:r>
    </w:p>
    <w:p>
      <w:pPr>
        <w:spacing w:before="0" w:after="0" w:line="240" w:lineRule="auto"/>
        <w:ind w:left="230"/>
        <w:shd w:val="clear" w:color="auto" w:fill="F7F9FC"/>
        <w:pBdr>
          <w:left w:val="single" w:sz="4" w:space="6" w:color="D0D5DD"/>
        </w:pBdr>
      </w:pPr>
      <w:r>
        <w:rPr>
          <w:rFonts w:ascii="Consolas" w:hAnsi="Consolas"/>
          <w:color w:val="0B1F3A"/>
          <w:sz w:val="16"/>
        </w:rPr>
        <w:t>+-- (2) LATE OUTCOME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AJO.ng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We cannot tell yet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Your payment is still being confirmed by the payment partner. This       |</w:t>
      </w:r>
    </w:p>
    <w:p>
      <w:pPr>
        <w:spacing w:before="0" w:after="0" w:line="240" w:lineRule="auto"/>
        <w:ind w:left="230"/>
        <w:shd w:val="clear" w:color="auto" w:fill="F7F9FC"/>
        <w:pBdr>
          <w:left w:val="single" w:sz="4" w:space="6" w:color="D0D5DD"/>
        </w:pBdr>
      </w:pPr>
      <w:r>
        <w:rPr>
          <w:rFonts w:ascii="Consolas" w:hAnsi="Consolas"/>
          <w:color w:val="0B1F3A"/>
          <w:sz w:val="16"/>
        </w:rPr>
        <w:t>| is normal and usually takes under a minute.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Check again }*        &lt; Back to my Ajos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Reference  pay_7QK2M9                                                    |</w:t>
      </w:r>
    </w:p>
    <w:p>
      <w:pPr>
        <w:spacing w:before="0" w:after="0" w:line="240" w:lineRule="auto"/>
        <w:ind w:left="230"/>
        <w:shd w:val="clear" w:color="auto" w:fill="F7F9FC"/>
        <w:pBdr>
          <w:left w:val="single" w:sz="4" w:space="6" w:color="D0D5DD"/>
        </w:pBdr>
      </w:pPr>
      <w:r>
        <w:rPr>
          <w:rFonts w:ascii="Consolas" w:hAnsi="Consolas"/>
          <w:color w:val="0B1F3A"/>
          <w:sz w:val="16"/>
        </w:rPr>
        <w:t>+-- (3) FAILED OUTCOME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AJO.ng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x  Payment not completed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Nothing was taken from your account. The reason given was                |</w:t>
      </w:r>
    </w:p>
    <w:p>
      <w:pPr>
        <w:spacing w:before="0" w:after="0" w:line="240" w:lineRule="auto"/>
        <w:ind w:left="230"/>
        <w:shd w:val="clear" w:color="auto" w:fill="F7F9FC"/>
        <w:pBdr>
          <w:left w:val="single" w:sz="4" w:space="6" w:color="D0D5DD"/>
        </w:pBdr>
      </w:pPr>
      <w:r>
        <w:rPr>
          <w:rFonts w:ascii="Consolas" w:hAnsi="Consolas"/>
          <w:color w:val="0B1F3A"/>
          <w:sz w:val="16"/>
        </w:rPr>
        <w:t>| insufficient funds.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Round 4 still closes 06 Oct 2026.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Try again }*        &lt; Pay a different way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Reference  pay_7QK2M9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6.18.2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555"/>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595"/>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 Progress</w:t>
            </w:r>
          </w:p>
        </w:tc>
        <w:tc>
          <w:tcPr>
            <w:tcW w:type="dxa" w:w="1555"/>
            <w:tcMar>
              <w:top w:w="60" w:type="dxa"/>
              <w:start w:w="110" w:type="dxa"/>
              <w:bottom w:w="60" w:type="dxa"/>
              <w:end w:w="110" w:type="dxa"/>
            </w:tcMar>
          </w:tcPr>
          <w:p>
            <w:pPr>
              <w:spacing w:after="0"/>
            </w:pPr>
            <w:r/>
            <w:r>
              <w:rPr>
                <w:rFonts w:ascii="Calibri" w:hAnsi="Calibri"/>
                <w:b w:val="0"/>
                <w:i w:val="0"/>
                <w:color w:val="101828"/>
                <w:sz w:val="14"/>
              </w:rPr>
              <w:t>An indeterminate bar plus a sentence about what is happening.</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595"/>
            <w:tcMar>
              <w:top w:w="60" w:type="dxa"/>
              <w:start w:w="110" w:type="dxa"/>
              <w:bottom w:w="60" w:type="dxa"/>
              <w:end w:w="110" w:type="dxa"/>
            </w:tcMar>
          </w:tcPr>
          <w:p>
            <w:pPr>
              <w:spacing w:after="0"/>
            </w:pPr>
            <w:r/>
            <w:r>
              <w:rPr>
                <w:rFonts w:ascii="Calibri" w:hAnsi="Calibri"/>
                <w:b/>
                <w:color w:val="101828"/>
                <w:sz w:val="14"/>
              </w:rPr>
              <w:t>Indeterminate, and honest about it.</w:t>
            </w:r>
            <w:r>
              <w:rPr>
                <w:rFonts w:ascii="Calibri" w:hAnsi="Calibri"/>
                <w:b w:val="0"/>
                <w:i w:val="0"/>
                <w:color w:val="101828"/>
                <w:sz w:val="14"/>
              </w:rPr>
              <w:t xml:space="preserve"> A determinate percentage for a provider hand-off would be invented, and a bar that fills to 100% and then fails is the single most damaging thing this screen could do.</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Reassurance</w:t>
            </w:r>
          </w:p>
        </w:tc>
        <w:tc>
          <w:tcPr>
            <w:tcW w:type="dxa" w:w="1555"/>
            <w:tcMar>
              <w:top w:w="60" w:type="dxa"/>
              <w:start w:w="110" w:type="dxa"/>
              <w:bottom w:w="60" w:type="dxa"/>
              <w:end w:w="110" w:type="dxa"/>
            </w:tcMar>
            <w:shd w:val="clear" w:color="auto" w:fill="F4F7FB"/>
          </w:tcPr>
          <w:p>
            <w:pPr>
              <w:spacing w:after="0"/>
            </w:pPr>
            <w:r/>
            <w:r>
              <w:rPr>
                <w:rFonts w:ascii="Calibri" w:hAnsi="Calibri"/>
                <w:b w:val="0"/>
                <w:i w:val="0"/>
                <w:color w:val="101828"/>
                <w:sz w:val="14"/>
              </w:rPr>
              <w:t>Do not close; you will be told; you will not be charged twice.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595"/>
            <w:tcMar>
              <w:top w:w="60" w:type="dxa"/>
              <w:start w:w="110" w:type="dxa"/>
              <w:bottom w:w="60" w:type="dxa"/>
              <w:end w:w="110" w:type="dxa"/>
            </w:tcMar>
            <w:shd w:val="clear" w:color="auto" w:fill="F4F7FB"/>
          </w:tcPr>
          <w:p>
            <w:pPr>
              <w:spacing w:after="0"/>
            </w:pPr>
            <w:r/>
            <w:r>
              <w:rPr>
                <w:rFonts w:ascii="Calibri" w:hAnsi="Calibri"/>
                <w:b w:val="0"/>
                <w:i w:val="0"/>
                <w:color w:val="101828"/>
                <w:sz w:val="14"/>
              </w:rPr>
              <w:t>All three facts are shown before the wait, not after it. The double-charge reassurance is specific because it is the fear: the person is looking at a bank app showing a debited balance.</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 Reference</w:t>
            </w:r>
          </w:p>
        </w:tc>
        <w:tc>
          <w:tcPr>
            <w:tcW w:type="dxa" w:w="1555"/>
            <w:tcMar>
              <w:top w:w="60" w:type="dxa"/>
              <w:start w:w="110" w:type="dxa"/>
              <w:bottom w:w="60" w:type="dxa"/>
              <w:end w:w="110" w:type="dxa"/>
            </w:tcMar>
          </w:tcPr>
          <w:p>
            <w:pPr>
              <w:spacing w:after="0"/>
            </w:pPr>
            <w:r/>
            <w:r>
              <w:rPr>
                <w:rFonts w:ascii="Calibri" w:hAnsi="Calibri"/>
                <w:b w:val="0"/>
                <w:i w:val="0"/>
                <w:color w:val="101828"/>
                <w:sz w:val="14"/>
              </w:rPr>
              <w:t>The payment reference, from the moment it exists.</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595"/>
            <w:tcMar>
              <w:top w:w="60" w:type="dxa"/>
              <w:start w:w="110" w:type="dxa"/>
              <w:bottom w:w="60" w:type="dxa"/>
              <w:end w:w="110" w:type="dxa"/>
            </w:tcMar>
          </w:tcPr>
          <w:p>
            <w:pPr>
              <w:spacing w:after="0"/>
            </w:pPr>
            <w:r/>
            <w:r>
              <w:rPr>
                <w:rFonts w:ascii="Calibri" w:hAnsi="Calibri"/>
                <w:b w:val="0"/>
                <w:i w:val="0"/>
                <w:color w:val="101828"/>
                <w:sz w:val="14"/>
              </w:rPr>
              <w:t xml:space="preserve">Shown on every state, including the waiting one, because support's first question will be </w:t>
            </w:r>
            <w:r>
              <w:rPr>
                <w:rFonts w:ascii="Calibri" w:hAnsi="Calibri"/>
                <w:i/>
                <w:color w:val="101828"/>
                <w:sz w:val="14"/>
              </w:rPr>
              <w:t>what is the reference</w:t>
            </w:r>
            <w:r>
              <w:rPr>
                <w:rFonts w:ascii="Calibri" w:hAnsi="Calibri"/>
                <w:b w:val="0"/>
                <w:i w:val="0"/>
                <w:color w:val="101828"/>
                <w:sz w:val="14"/>
              </w:rPr>
              <w:t xml:space="preserve"> and the answer should never be </w:t>
            </w:r>
            <w:r>
              <w:rPr>
                <w:rFonts w:ascii="Calibri" w:hAnsi="Calibri"/>
                <w:i/>
                <w:color w:val="101828"/>
                <w:sz w:val="14"/>
              </w:rPr>
              <w:t>I do not know</w:t>
            </w:r>
            <w:r>
              <w:rPr>
                <w:rFonts w:ascii="Calibri" w:hAnsi="Calibri"/>
                <w:b w:val="0"/>
                <w:i w:val="0"/>
                <w:color w:val="101828"/>
                <w:sz w:val="14"/>
              </w:rPr>
              <w: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 Late outcome</w:t>
            </w:r>
          </w:p>
        </w:tc>
        <w:tc>
          <w:tcPr>
            <w:tcW w:type="dxa" w:w="1555"/>
            <w:tcMar>
              <w:top w:w="60" w:type="dxa"/>
              <w:start w:w="110" w:type="dxa"/>
              <w:bottom w:w="60" w:type="dxa"/>
              <w:end w:w="110" w:type="dxa"/>
            </w:tcMar>
            <w:shd w:val="clear" w:color="auto" w:fill="F4F7FB"/>
          </w:tcPr>
          <w:p>
            <w:pPr>
              <w:spacing w:after="0"/>
            </w:pPr>
            <w:r/>
            <w:r>
              <w:rPr>
                <w:rFonts w:ascii="Calibri" w:hAnsi="Calibri"/>
                <w:b w:val="0"/>
                <w:i w:val="0"/>
                <w:color w:val="101828"/>
                <w:sz w:val="14"/>
              </w:rPr>
              <w:t>Outcome genuinely unknown, with a retry.</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595"/>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Mapped to payment state </w:t>
            </w:r>
            <w:r>
              <w:rPr>
                <w:rFonts w:ascii="Consolas" w:hAnsi="Consolas"/>
                <w:color w:val="146EF5"/>
                <w:sz w:val="14"/>
              </w:rPr>
              <w:t>UNKNOWN</w:t>
            </w:r>
            <w:r>
              <w:rPr>
                <w:rFonts w:ascii="Calibri" w:hAnsi="Calibri"/>
                <w:b w:val="0"/>
                <w:i w:val="0"/>
                <w:color w:val="101828"/>
                <w:sz w:val="14"/>
              </w:rPr>
              <w:t xml:space="preserve"> in CANONICAL.md section 4. The screen says the payment is still being confirmed, </w:t>
            </w:r>
            <w:r>
              <w:rPr>
                <w:rFonts w:ascii="Calibri" w:hAnsi="Calibri"/>
                <w:b/>
                <w:color w:val="101828"/>
                <w:sz w:val="14"/>
              </w:rPr>
              <w:t>and does not say it succeeded</w:t>
            </w:r>
            <w:r>
              <w:rPr>
                <w:rFonts w:ascii="Calibri" w:hAnsi="Calibri"/>
                <w:b w:val="0"/>
                <w:i w:val="0"/>
                <w:color w:val="101828"/>
                <w:sz w:val="14"/>
              </w:rPr>
              <w:t>, and it does not ask the person to try again, because a retry against an unresolved payment is a second charge. Reconciliation closes these, and section 16 covers the timing.</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(5) Failed outcome</w:t>
            </w:r>
          </w:p>
        </w:tc>
        <w:tc>
          <w:tcPr>
            <w:tcW w:type="dxa" w:w="1555"/>
            <w:tcMar>
              <w:top w:w="60" w:type="dxa"/>
              <w:start w:w="110" w:type="dxa"/>
              <w:bottom w:w="60" w:type="dxa"/>
              <w:end w:w="110" w:type="dxa"/>
            </w:tcMar>
          </w:tcPr>
          <w:p>
            <w:pPr>
              <w:spacing w:after="0"/>
            </w:pPr>
            <w:r/>
            <w:r>
              <w:rPr>
                <w:rFonts w:ascii="Calibri" w:hAnsi="Calibri"/>
                <w:b w:val="0"/>
                <w:i w:val="0"/>
                <w:color w:val="101828"/>
                <w:sz w:val="14"/>
              </w:rPr>
              <w:t>Failure with the reason, what was and was not taken, and the deadline.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595"/>
            <w:tcMar>
              <w:top w:w="60" w:type="dxa"/>
              <w:start w:w="110" w:type="dxa"/>
              <w:bottom w:w="60" w:type="dxa"/>
              <w:end w:w="110" w:type="dxa"/>
            </w:tcMar>
          </w:tcPr>
          <w:p>
            <w:pPr>
              <w:spacing w:after="0"/>
            </w:pPr>
            <w:r/>
            <w:r>
              <w:rPr>
                <w:rFonts w:ascii="Calibri" w:hAnsi="Calibri"/>
                <w:b/>
                <w:color w:val="101828"/>
                <w:sz w:val="14"/>
              </w:rPr>
              <w:t>States plainly that nothing was taken.</w:t>
            </w:r>
            <w:r>
              <w:rPr>
                <w:rFonts w:ascii="Calibri" w:hAnsi="Calibri"/>
                <w:b w:val="0"/>
                <w:i w:val="0"/>
                <w:color w:val="101828"/>
                <w:sz w:val="14"/>
              </w:rPr>
              <w:t xml:space="preserve"> A failure screen that leaves the person guessing about their balance is the fastest route to a bank call. The reason is the provider's reason, in the provider's words, not an AJO.ng paraphrase that could be wrong.</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(6) Pay another way</w:t>
            </w:r>
          </w:p>
        </w:tc>
        <w:tc>
          <w:tcPr>
            <w:tcW w:type="dxa" w:w="1555"/>
            <w:tcMar>
              <w:top w:w="60" w:type="dxa"/>
              <w:start w:w="110" w:type="dxa"/>
              <w:bottom w:w="60" w:type="dxa"/>
              <w:end w:w="110" w:type="dxa"/>
            </w:tcMar>
            <w:shd w:val="clear" w:color="auto" w:fill="F4F7FB"/>
          </w:tcPr>
          <w:p>
            <w:pPr>
              <w:spacing w:after="0"/>
            </w:pPr>
            <w:r/>
            <w:r>
              <w:rPr>
                <w:rFonts w:ascii="Calibri" w:hAnsi="Calibri"/>
                <w:b w:val="0"/>
                <w:i w:val="0"/>
                <w:color w:val="101828"/>
                <w:sz w:val="14"/>
              </w:rPr>
              <w:t>A method switch after failure.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595"/>
            <w:tcMar>
              <w:top w:w="60" w:type="dxa"/>
              <w:start w:w="110" w:type="dxa"/>
              <w:bottom w:w="60" w:type="dxa"/>
              <w:end w:w="110" w:type="dxa"/>
            </w:tcMar>
            <w:shd w:val="clear" w:color="auto" w:fill="F4F7FB"/>
          </w:tcPr>
          <w:p>
            <w:pPr>
              <w:spacing w:after="0"/>
            </w:pPr>
            <w:r/>
            <w:r>
              <w:rPr>
                <w:rFonts w:ascii="Calibri" w:hAnsi="Calibri"/>
                <w:b w:val="0"/>
                <w:i w:val="0"/>
                <w:color w:val="101828"/>
                <w:sz w:val="14"/>
              </w:rPr>
              <w:t>Available because a failure is often a method problem, not a balance problem. The contribution stays due and the round deadline is restated, so switching methods is time-pressured and clear.</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(7) Return to the Ajo</w:t>
            </w:r>
          </w:p>
        </w:tc>
        <w:tc>
          <w:tcPr>
            <w:tcW w:type="dxa" w:w="1555"/>
            <w:tcMar>
              <w:top w:w="60" w:type="dxa"/>
              <w:start w:w="110" w:type="dxa"/>
              <w:bottom w:w="60" w:type="dxa"/>
              <w:end w:w="110" w:type="dxa"/>
            </w:tcMar>
          </w:tcPr>
          <w:p>
            <w:pPr>
              <w:spacing w:after="0"/>
            </w:pPr>
            <w:r/>
            <w:r>
              <w:rPr>
                <w:rFonts w:ascii="Calibri" w:hAnsi="Calibri"/>
                <w:b w:val="0"/>
                <w:i w:val="0"/>
                <w:color w:val="101828"/>
                <w:sz w:val="14"/>
              </w:rPr>
              <w:t>A way out that is not a cancel.</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595"/>
            <w:tcMar>
              <w:top w:w="60" w:type="dxa"/>
              <w:start w:w="110" w:type="dxa"/>
              <w:bottom w:w="60" w:type="dxa"/>
              <w:end w:w="110" w:type="dxa"/>
            </w:tcMar>
          </w:tcPr>
          <w:p>
            <w:pPr>
              <w:spacing w:after="0"/>
            </w:pPr>
            <w:r/>
            <w:r>
              <w:rPr>
                <w:rFonts w:ascii="Calibri" w:hAnsi="Calibri"/>
                <w:b w:val="0"/>
                <w:i w:val="0"/>
                <w:color w:val="101828"/>
                <w:sz w:val="14"/>
              </w:rPr>
              <w:t>The contribution remains payable afterwards, so leaving this screen never leaves the member in a state where they believe they are done.</w:t>
            </w:r>
          </w:p>
        </w:tc>
      </w:tr>
    </w:tbl>
    <w:p>
      <w:pPr>
        <w:spacing w:after="80"/>
      </w:pPr>
    </w:p>
    <w:p>
      <w:pPr>
        <w:pStyle w:val="Heading2"/>
      </w:pPr>
      <w:r>
        <w:rPr>
          <w:rFonts w:ascii="Calibri" w:hAnsi="Calibri"/>
          <w:b/>
          <w:i w:val="0"/>
          <w:color w:val="146EF5"/>
          <w:sz w:val="29"/>
        </w:rPr>
        <w:t>6.19 Payment Receipt — SCR-MOB-11</w:t>
      </w:r>
    </w:p>
    <w:p>
      <w:r>
        <w:rPr>
          <w:rFonts w:ascii="Calibri" w:hAnsi="Calibri"/>
          <w:b w:val="0"/>
          <w:i w:val="0"/>
          <w:color w:val="101828"/>
          <w:sz w:val="21"/>
        </w:rPr>
        <w:t>The proof. It is the document a member keeps, forwards to a group, or shows to an organiser who doubts the payment landed, and it is the artefact a dispute will be argued from, so it is rendered from the ledger postings rather than from the payment row. That is the single most important decision on this screen: a receipt reconstructed from the payment table can show a total that the ledger does not support, and when the two disagree the receipt is what the member trusts.</w:t>
      </w:r>
    </w:p>
    <w:p>
      <w:pPr>
        <w:spacing w:before="140" w:after="180"/>
        <w:ind w:left="144"/>
        <w:shd w:val="clear" w:color="auto" w:fill="EFF6FF"/>
        <w:pBdr>
          <w:left w:val="single" w:sz="18" w:space="6" w:color="146EF5"/>
        </w:pBdr>
      </w:pPr>
      <w:r>
        <w:rPr>
          <w:rFonts w:ascii="Calibri" w:hAnsi="Calibri"/>
          <w:b/>
          <w:color w:val="146EF5"/>
          <w:sz w:val="19"/>
        </w:rPr>
        <w:t xml:space="preserve">Immutable once issued  </w:t>
      </w:r>
      <w:r>
        <w:rPr>
          <w:rFonts w:ascii="Calibri" w:hAnsi="Calibri"/>
          <w:b w:val="0"/>
          <w:i w:val="0"/>
          <w:color w:val="0B1F3A"/>
          <w:sz w:val="19"/>
        </w:rPr>
        <w:t>A receipt is not edited. If a posting is found to be wrong, the correction is a reversing entry, which produces a second, correcting receipt that references the first. The original stays in place, which is what makes the history auditable and what CANONICAL.md requires of the ledger. The UI consequence is that there is no edit control on a receipt, and there is no delete control anywhere in the product that touches money.</w:t>
      </w:r>
    </w:p>
    <w:p>
      <w:pPr>
        <w:pStyle w:val="Heading3"/>
      </w:pPr>
      <w:r>
        <w:rPr>
          <w:rFonts w:ascii="Calibri" w:hAnsi="Calibri"/>
          <w:b/>
          <w:i w:val="0"/>
          <w:color w:val="0B1F3A"/>
          <w:sz w:val="24"/>
        </w:rPr>
        <w:t>6.19.1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Receipt      pay_7QK2M9                  |</w:t>
      </w:r>
    </w:p>
    <w:p>
      <w:pPr>
        <w:spacing w:before="0" w:after="0" w:line="240" w:lineRule="auto"/>
        <w:ind w:left="230"/>
        <w:shd w:val="clear" w:color="auto" w:fill="F7F9FC"/>
        <w:pBdr>
          <w:left w:val="single" w:sz="4" w:space="6" w:color="D0D5DD"/>
        </w:pBdr>
      </w:pPr>
      <w:r>
        <w:rPr>
          <w:rFonts w:ascii="Consolas" w:hAnsi="Consolas"/>
          <w:color w:val="0B1F3A"/>
          <w:sz w:val="16"/>
        </w:rPr>
        <w:t>+-- (2) AMOUNT PAID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You paid                          |   |</w:t>
      </w:r>
    </w:p>
    <w:p>
      <w:pPr>
        <w:spacing w:before="0" w:after="0" w:line="240" w:lineRule="auto"/>
        <w:ind w:left="230"/>
        <w:shd w:val="clear" w:color="auto" w:fill="F7F9FC"/>
        <w:pBdr>
          <w:left w:val="single" w:sz="4" w:space="6" w:color="D0D5DD"/>
        </w:pBdr>
      </w:pPr>
      <w:r>
        <w:rPr>
          <w:rFonts w:ascii="Consolas" w:hAnsi="Consolas"/>
          <w:color w:val="0B1F3A"/>
          <w:sz w:val="16"/>
        </w:rPr>
        <w:t>| |  NGN 1,020.00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to AJO.ng, for Adaeze's Ajo,      |   |</w:t>
      </w:r>
    </w:p>
    <w:p>
      <w:pPr>
        <w:spacing w:before="0" w:after="0" w:line="240" w:lineRule="auto"/>
        <w:ind w:left="230"/>
        <w:shd w:val="clear" w:color="auto" w:fill="F7F9FC"/>
        <w:pBdr>
          <w:left w:val="single" w:sz="4" w:space="6" w:color="D0D5DD"/>
        </w:pBdr>
      </w:pPr>
      <w:r>
        <w:rPr>
          <w:rFonts w:ascii="Consolas" w:hAnsi="Consolas"/>
          <w:color w:val="0B1F3A"/>
          <w:sz w:val="16"/>
        </w:rPr>
        <w:t>| |  round 4 of 10, on 12 Sep 2026.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(3) BREAKDOWN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What that NGN 1,020.00 is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Contribution   NGN 1,000.00       |   |</w:t>
      </w:r>
    </w:p>
    <w:p>
      <w:pPr>
        <w:spacing w:before="0" w:after="0" w:line="240" w:lineRule="auto"/>
        <w:ind w:left="230"/>
        <w:shd w:val="clear" w:color="auto" w:fill="F7F9FC"/>
        <w:pBdr>
          <w:left w:val="single" w:sz="4" w:space="6" w:color="D0D5DD"/>
        </w:pBdr>
      </w:pPr>
      <w:r>
        <w:rPr>
          <w:rFonts w:ascii="Consolas" w:hAnsi="Consolas"/>
          <w:color w:val="0B1F3A"/>
          <w:sz w:val="16"/>
        </w:rPr>
        <w:t>| |                into the round      |   |</w:t>
      </w:r>
    </w:p>
    <w:p>
      <w:pPr>
        <w:spacing w:before="0" w:after="0" w:line="240" w:lineRule="auto"/>
        <w:ind w:left="230"/>
        <w:shd w:val="clear" w:color="auto" w:fill="F7F9FC"/>
        <w:pBdr>
          <w:left w:val="single" w:sz="4" w:space="6" w:color="D0D5DD"/>
        </w:pBdr>
      </w:pPr>
      <w:r>
        <w:rPr>
          <w:rFonts w:ascii="Consolas" w:hAnsi="Consolas"/>
          <w:color w:val="0B1F3A"/>
          <w:sz w:val="16"/>
        </w:rPr>
        <w:t>| |    pool                            |   |</w:t>
      </w:r>
    </w:p>
    <w:p>
      <w:pPr>
        <w:spacing w:before="0" w:after="0" w:line="240" w:lineRule="auto"/>
        <w:ind w:left="230"/>
        <w:shd w:val="clear" w:color="auto" w:fill="F7F9FC"/>
        <w:pBdr>
          <w:left w:val="single" w:sz="4" w:space="6" w:color="D0D5DD"/>
        </w:pBdr>
      </w:pPr>
      <w:r>
        <w:rPr>
          <w:rFonts w:ascii="Consolas" w:hAnsi="Consolas"/>
          <w:color w:val="0B1F3A"/>
          <w:sz w:val="16"/>
        </w:rPr>
        <w:t>| |  AJO.ng fee        NGN 20.00       |   |</w:t>
      </w:r>
    </w:p>
    <w:p>
      <w:pPr>
        <w:spacing w:before="0" w:after="0" w:line="240" w:lineRule="auto"/>
        <w:ind w:left="230"/>
        <w:shd w:val="clear" w:color="auto" w:fill="F7F9FC"/>
        <w:pBdr>
          <w:left w:val="single" w:sz="4" w:space="6" w:color="D0D5DD"/>
        </w:pBdr>
      </w:pPr>
      <w:r>
        <w:rPr>
          <w:rFonts w:ascii="Consolas" w:hAnsi="Consolas"/>
          <w:color w:val="0B1F3A"/>
          <w:sz w:val="16"/>
        </w:rPr>
        <w:t>| |                2% of the           |   |</w:t>
      </w:r>
    </w:p>
    <w:p>
      <w:pPr>
        <w:spacing w:before="0" w:after="0" w:line="240" w:lineRule="auto"/>
        <w:ind w:left="230"/>
        <w:shd w:val="clear" w:color="auto" w:fill="F7F9FC"/>
        <w:pBdr>
          <w:left w:val="single" w:sz="4" w:space="6" w:color="D0D5DD"/>
        </w:pBdr>
      </w:pPr>
      <w:r>
        <w:rPr>
          <w:rFonts w:ascii="Consolas" w:hAnsi="Consolas"/>
          <w:color w:val="0B1F3A"/>
          <w:sz w:val="16"/>
        </w:rPr>
        <w:t>| |    contribution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Total charged  NGN 1,020.00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(4) POOL NOTE -------------------------+</w:t>
      </w:r>
    </w:p>
    <w:p>
      <w:pPr>
        <w:spacing w:before="0" w:after="0" w:line="240" w:lineRule="auto"/>
        <w:ind w:left="230"/>
        <w:shd w:val="clear" w:color="auto" w:fill="F7F9FC"/>
        <w:pBdr>
          <w:left w:val="single" w:sz="4" w:space="6" w:color="D0D5DD"/>
        </w:pBdr>
      </w:pPr>
      <w:r>
        <w:rPr>
          <w:rFonts w:ascii="Consolas" w:hAnsi="Consolas"/>
          <w:color w:val="0B1F3A"/>
          <w:sz w:val="16"/>
        </w:rPr>
        <w:t>| This round's pool will pay               |</w:t>
      </w:r>
    </w:p>
    <w:p>
      <w:pPr>
        <w:spacing w:before="0" w:after="0" w:line="240" w:lineRule="auto"/>
        <w:ind w:left="230"/>
        <w:shd w:val="clear" w:color="auto" w:fill="F7F9FC"/>
        <w:pBdr>
          <w:left w:val="single" w:sz="4" w:space="6" w:color="D0D5DD"/>
        </w:pBdr>
      </w:pPr>
      <w:r>
        <w:rPr>
          <w:rFonts w:ascii="Consolas" w:hAnsi="Consolas"/>
          <w:color w:val="0B1F3A"/>
          <w:sz w:val="16"/>
        </w:rPr>
        <w:t>| NGN 10,000.00 to Adaeze B.               |</w:t>
      </w:r>
    </w:p>
    <w:p>
      <w:pPr>
        <w:spacing w:before="0" w:after="0" w:line="240" w:lineRule="auto"/>
        <w:ind w:left="230"/>
        <w:shd w:val="clear" w:color="auto" w:fill="F7F9FC"/>
        <w:pBdr>
          <w:left w:val="single" w:sz="4" w:space="6" w:color="D0D5DD"/>
        </w:pBdr>
      </w:pPr>
      <w:r>
        <w:rPr>
          <w:rFonts w:ascii="Consolas" w:hAnsi="Consolas"/>
          <w:color w:val="0B1F3A"/>
          <w:sz w:val="16"/>
        </w:rPr>
        <w:t>| The NGN 20.00 stays with                 |</w:t>
      </w:r>
    </w:p>
    <w:p>
      <w:pPr>
        <w:spacing w:before="0" w:after="0" w:line="240" w:lineRule="auto"/>
        <w:ind w:left="230"/>
        <w:shd w:val="clear" w:color="auto" w:fill="F7F9FC"/>
        <w:pBdr>
          <w:left w:val="single" w:sz="4" w:space="6" w:color="D0D5DD"/>
        </w:pBdr>
      </w:pPr>
      <w:r>
        <w:rPr>
          <w:rFonts w:ascii="Consolas" w:hAnsi="Consolas"/>
          <w:color w:val="0B1F3A"/>
          <w:sz w:val="16"/>
        </w:rPr>
        <w:t>| AJO.ng and is not part of it.            |</w:t>
      </w:r>
    </w:p>
    <w:p>
      <w:pPr>
        <w:spacing w:before="0" w:after="0" w:line="240" w:lineRule="auto"/>
        <w:ind w:left="230"/>
        <w:shd w:val="clear" w:color="auto" w:fill="F7F9FC"/>
        <w:pBdr>
          <w:left w:val="single" w:sz="4" w:space="6" w:color="D0D5DD"/>
        </w:pBdr>
      </w:pPr>
      <w:r>
        <w:rPr>
          <w:rFonts w:ascii="Consolas" w:hAnsi="Consolas"/>
          <w:color w:val="0B1F3A"/>
          <w:sz w:val="16"/>
        </w:rPr>
        <w:t>+-- (5) ACTIONS ---------------------------+</w:t>
      </w:r>
    </w:p>
    <w:p>
      <w:pPr>
        <w:spacing w:before="0" w:after="0" w:line="240" w:lineRule="auto"/>
        <w:ind w:left="230"/>
        <w:shd w:val="clear" w:color="auto" w:fill="F7F9FC"/>
        <w:pBdr>
          <w:left w:val="single" w:sz="4" w:space="6" w:color="D0D5DD"/>
        </w:pBdr>
      </w:pPr>
      <w:r>
        <w:rPr>
          <w:rFonts w:ascii="Consolas" w:hAnsi="Consolas"/>
          <w:color w:val="0B1F3A"/>
          <w:sz w:val="16"/>
        </w:rPr>
        <w:t>| &lt; Download PDF &gt;                         |</w:t>
      </w:r>
    </w:p>
    <w:p>
      <w:pPr>
        <w:spacing w:before="0" w:after="0" w:line="240" w:lineRule="auto"/>
        <w:ind w:left="230"/>
        <w:shd w:val="clear" w:color="auto" w:fill="F7F9FC"/>
        <w:pBdr>
          <w:left w:val="single" w:sz="4" w:space="6" w:color="D0D5DD"/>
        </w:pBdr>
      </w:pPr>
      <w:r>
        <w:rPr>
          <w:rFonts w:ascii="Consolas" w:hAnsi="Consolas"/>
          <w:color w:val="0B1F3A"/>
          <w:sz w:val="16"/>
        </w:rPr>
        <w:t>| &lt; Share &gt;                                |</w:t>
      </w:r>
    </w:p>
    <w:p>
      <w:pPr>
        <w:spacing w:before="0" w:after="0" w:line="240" w:lineRule="auto"/>
        <w:ind w:left="230"/>
        <w:shd w:val="clear" w:color="auto" w:fill="F7F9FC"/>
        <w:pBdr>
          <w:left w:val="single" w:sz="4" w:space="6" w:color="D0D5DD"/>
        </w:pBdr>
      </w:pPr>
      <w:r>
        <w:rPr>
          <w:rFonts w:ascii="Consolas" w:hAnsi="Consolas"/>
          <w:color w:val="0B1F3A"/>
          <w:sz w:val="16"/>
        </w:rPr>
        <w:t>| &lt; Done &gt;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LEFT NAV ----------------------------------------------------------+</w:t>
      </w:r>
    </w:p>
    <w:p>
      <w:pPr>
        <w:spacing w:before="0" w:after="0" w:line="240" w:lineRule="auto"/>
        <w:ind w:left="230"/>
        <w:shd w:val="clear" w:color="auto" w:fill="F7F9FC"/>
        <w:pBdr>
          <w:left w:val="single" w:sz="4" w:space="6" w:color="D0D5DD"/>
        </w:pBdr>
      </w:pPr>
      <w:r>
        <w:rPr>
          <w:rFonts w:ascii="Consolas" w:hAnsi="Consolas"/>
          <w:color w:val="0B1F3A"/>
          <w:sz w:val="16"/>
        </w:rPr>
        <w:t>| Home                                                                     |</w:t>
      </w:r>
    </w:p>
    <w:p>
      <w:pPr>
        <w:spacing w:before="0" w:after="0" w:line="240" w:lineRule="auto"/>
        <w:ind w:left="230"/>
        <w:shd w:val="clear" w:color="auto" w:fill="F7F9FC"/>
        <w:pBdr>
          <w:left w:val="single" w:sz="4" w:space="6" w:color="D0D5DD"/>
        </w:pBdr>
      </w:pPr>
      <w:r>
        <w:rPr>
          <w:rFonts w:ascii="Consolas" w:hAnsi="Consolas"/>
          <w:color w:val="0B1F3A"/>
          <w:sz w:val="16"/>
        </w:rPr>
        <w:t>| My Ajos                                                                  |</w:t>
      </w:r>
    </w:p>
    <w:p>
      <w:pPr>
        <w:spacing w:before="0" w:after="0" w:line="240" w:lineRule="auto"/>
        <w:ind w:left="230"/>
        <w:shd w:val="clear" w:color="auto" w:fill="F7F9FC"/>
        <w:pBdr>
          <w:left w:val="single" w:sz="4" w:space="6" w:color="D0D5DD"/>
        </w:pBdr>
      </w:pPr>
      <w:r>
        <w:rPr>
          <w:rFonts w:ascii="Consolas" w:hAnsi="Consolas"/>
          <w:color w:val="0B1F3A"/>
          <w:sz w:val="16"/>
        </w:rPr>
        <w:t>| Pay                                                                      |</w:t>
      </w:r>
    </w:p>
    <w:p>
      <w:pPr>
        <w:spacing w:before="0" w:after="0" w:line="240" w:lineRule="auto"/>
        <w:ind w:left="230"/>
        <w:shd w:val="clear" w:color="auto" w:fill="F7F9FC"/>
        <w:pBdr>
          <w:left w:val="single" w:sz="4" w:space="6" w:color="D0D5DD"/>
        </w:pBdr>
      </w:pPr>
      <w:r>
        <w:rPr>
          <w:rFonts w:ascii="Consolas" w:hAnsi="Consolas"/>
          <w:color w:val="0B1F3A"/>
          <w:sz w:val="16"/>
        </w:rPr>
        <w:t>| Alerts                                                                   |</w:t>
      </w:r>
    </w:p>
    <w:p>
      <w:pPr>
        <w:spacing w:before="0" w:after="0" w:line="240" w:lineRule="auto"/>
        <w:ind w:left="230"/>
        <w:shd w:val="clear" w:color="auto" w:fill="F7F9FC"/>
        <w:pBdr>
          <w:left w:val="single" w:sz="4" w:space="6" w:color="D0D5DD"/>
        </w:pBdr>
      </w:pPr>
      <w:r>
        <w:rPr>
          <w:rFonts w:ascii="Consolas" w:hAnsi="Consolas"/>
          <w:color w:val="0B1F3A"/>
          <w:sz w:val="16"/>
        </w:rPr>
        <w:t>| Support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Profile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RECEIPT -----------------------------------------------------------+</w:t>
      </w:r>
    </w:p>
    <w:p>
      <w:pPr>
        <w:spacing w:before="0" w:after="0" w:line="240" w:lineRule="auto"/>
        <w:ind w:left="230"/>
        <w:shd w:val="clear" w:color="auto" w:fill="F7F9FC"/>
        <w:pBdr>
          <w:left w:val="single" w:sz="4" w:space="6" w:color="D0D5DD"/>
        </w:pBdr>
      </w:pPr>
      <w:r>
        <w:rPr>
          <w:rFonts w:ascii="Consolas" w:hAnsi="Consolas"/>
          <w:color w:val="0B1F3A"/>
          <w:sz w:val="16"/>
        </w:rPr>
        <w:t>| RECEIPT                                            pay_7QK2M9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Paid by    Segun A.        0703 000 0009                                 |</w:t>
      </w:r>
    </w:p>
    <w:p>
      <w:pPr>
        <w:spacing w:before="0" w:after="0" w:line="240" w:lineRule="auto"/>
        <w:ind w:left="230"/>
        <w:shd w:val="clear" w:color="auto" w:fill="F7F9FC"/>
        <w:pBdr>
          <w:left w:val="single" w:sz="4" w:space="6" w:color="D0D5DD"/>
        </w:pBdr>
      </w:pPr>
      <w:r>
        <w:rPr>
          <w:rFonts w:ascii="Consolas" w:hAnsi="Consolas"/>
          <w:color w:val="0B1F3A"/>
          <w:sz w:val="16"/>
        </w:rPr>
        <w:t>| Paid on    12 Sep 2026, 09:41 WAT                                        |</w:t>
      </w:r>
    </w:p>
    <w:p>
      <w:pPr>
        <w:spacing w:before="0" w:after="0" w:line="240" w:lineRule="auto"/>
        <w:ind w:left="230"/>
        <w:shd w:val="clear" w:color="auto" w:fill="F7F9FC"/>
        <w:pBdr>
          <w:left w:val="single" w:sz="4" w:space="6" w:color="D0D5DD"/>
        </w:pBdr>
      </w:pPr>
      <w:r>
        <w:rPr>
          <w:rFonts w:ascii="Consolas" w:hAnsi="Consolas"/>
          <w:color w:val="0B1F3A"/>
          <w:sz w:val="16"/>
        </w:rPr>
        <w:t>| For        Adaeze's Ajo, round 4 of 10                                   |</w:t>
      </w:r>
    </w:p>
    <w:p>
      <w:pPr>
        <w:spacing w:before="0" w:after="0" w:line="240" w:lineRule="auto"/>
        <w:ind w:left="230"/>
        <w:shd w:val="clear" w:color="auto" w:fill="F7F9FC"/>
        <w:pBdr>
          <w:left w:val="single" w:sz="4" w:space="6" w:color="D0D5DD"/>
        </w:pBdr>
      </w:pPr>
      <w:r>
        <w:rPr>
          <w:rFonts w:ascii="Consolas" w:hAnsi="Consolas"/>
          <w:color w:val="0B1F3A"/>
          <w:sz w:val="16"/>
        </w:rPr>
        <w:t>| Method     Bank transfer, ProvidusUnity  0203 000 0003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You paid                                    NGN 1,020.00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Contribution                     NGN 1,000.00  to the round pool      |</w:t>
      </w:r>
    </w:p>
    <w:p>
      <w:pPr>
        <w:spacing w:before="0" w:after="0" w:line="240" w:lineRule="auto"/>
        <w:ind w:left="230"/>
        <w:shd w:val="clear" w:color="auto" w:fill="F7F9FC"/>
        <w:pBdr>
          <w:left w:val="single" w:sz="4" w:space="6" w:color="D0D5DD"/>
        </w:pBdr>
      </w:pPr>
      <w:r>
        <w:rPr>
          <w:rFonts w:ascii="Consolas" w:hAnsi="Consolas"/>
          <w:color w:val="0B1F3A"/>
          <w:sz w:val="16"/>
        </w:rPr>
        <w:t>| |  AJO.ng fee, 2%                      NGN 20.00  platform fee    |      |</w:t>
      </w:r>
    </w:p>
    <w:p>
      <w:pPr>
        <w:spacing w:before="0" w:after="0" w:line="240" w:lineRule="auto"/>
        <w:ind w:left="230"/>
        <w:shd w:val="clear" w:color="auto" w:fill="F7F9FC"/>
        <w:pBdr>
          <w:left w:val="single" w:sz="4" w:space="6" w:color="D0D5DD"/>
        </w:pBdr>
      </w:pPr>
      <w:r>
        <w:rPr>
          <w:rFonts w:ascii="Consolas" w:hAnsi="Consolas"/>
          <w:color w:val="0B1F3A"/>
          <w:sz w:val="16"/>
        </w:rPr>
        <w:t>| |  --------------------------------------------                 |        |</w:t>
      </w:r>
    </w:p>
    <w:p>
      <w:pPr>
        <w:spacing w:before="0" w:after="0" w:line="240" w:lineRule="auto"/>
        <w:ind w:left="230"/>
        <w:shd w:val="clear" w:color="auto" w:fill="F7F9FC"/>
        <w:pBdr>
          <w:left w:val="single" w:sz="4" w:space="6" w:color="D0D5DD"/>
        </w:pBdr>
      </w:pPr>
      <w:r>
        <w:rPr>
          <w:rFonts w:ascii="Consolas" w:hAnsi="Consolas"/>
          <w:color w:val="0B1F3A"/>
          <w:sz w:val="16"/>
        </w:rPr>
        <w:t>| |  Total charged                      NGN 1,020.00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This round's pool pays NGN 10,000.00 to Adaeze B. The NGN 20.00 fee is   |</w:t>
      </w:r>
    </w:p>
    <w:p>
      <w:pPr>
        <w:spacing w:before="0" w:after="0" w:line="240" w:lineRule="auto"/>
        <w:ind w:left="230"/>
        <w:shd w:val="clear" w:color="auto" w:fill="F7F9FC"/>
        <w:pBdr>
          <w:left w:val="single" w:sz="4" w:space="6" w:color="D0D5DD"/>
        </w:pBdr>
      </w:pPr>
      <w:r>
        <w:rPr>
          <w:rFonts w:ascii="Consolas" w:hAnsi="Consolas"/>
          <w:color w:val="0B1F3A"/>
          <w:sz w:val="16"/>
        </w:rPr>
        <w:t>| retained by AJO.ng and is not part of that pool. Across the ten rounds   |</w:t>
      </w:r>
    </w:p>
    <w:p>
      <w:pPr>
        <w:spacing w:before="0" w:after="0" w:line="240" w:lineRule="auto"/>
        <w:ind w:left="230"/>
        <w:shd w:val="clear" w:color="auto" w:fill="F7F9FC"/>
        <w:pBdr>
          <w:left w:val="single" w:sz="4" w:space="6" w:color="D0D5DD"/>
        </w:pBdr>
      </w:pPr>
      <w:r>
        <w:rPr>
          <w:rFonts w:ascii="Consolas" w:hAnsi="Consolas"/>
          <w:color w:val="0B1F3A"/>
          <w:sz w:val="16"/>
        </w:rPr>
        <w:t>|   of                                                                     |</w:t>
      </w:r>
    </w:p>
    <w:p>
      <w:pPr>
        <w:spacing w:before="0" w:after="0" w:line="240" w:lineRule="auto"/>
        <w:ind w:left="230"/>
        <w:shd w:val="clear" w:color="auto" w:fill="F7F9FC"/>
        <w:pBdr>
          <w:left w:val="single" w:sz="4" w:space="6" w:color="D0D5DD"/>
        </w:pBdr>
      </w:pPr>
      <w:r>
        <w:rPr>
          <w:rFonts w:ascii="Consolas" w:hAnsi="Consolas"/>
          <w:color w:val="0B1F3A"/>
          <w:sz w:val="16"/>
        </w:rPr>
        <w:t>| this Ajo you will have paid NGN 10,200.00 and received NGN 10,000.00.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Download PDF }   { Share }   &lt; Done                                    |</w:t>
      </w:r>
    </w:p>
    <w:p>
      <w:pPr>
        <w:spacing w:before="0" w:after="0" w:line="240" w:lineRule="auto"/>
        <w:ind w:left="230"/>
        <w:shd w:val="clear" w:color="auto" w:fill="F7F9FC"/>
        <w:pBdr>
          <w:left w:val="single" w:sz="4" w:space="6" w:color="D0D5DD"/>
        </w:pBdr>
      </w:pPr>
      <w:r>
        <w:rPr>
          <w:rFonts w:ascii="Consolas" w:hAnsi="Consolas"/>
          <w:color w:val="0B1F3A"/>
          <w:sz w:val="16"/>
        </w:rPr>
        <w:t>+-- (3) LEDGER LINES ------------------------------------------------------+</w:t>
      </w:r>
    </w:p>
    <w:p>
      <w:pPr>
        <w:spacing w:before="0" w:after="0" w:line="240" w:lineRule="auto"/>
        <w:ind w:left="230"/>
        <w:shd w:val="clear" w:color="auto" w:fill="F7F9FC"/>
        <w:pBdr>
          <w:left w:val="single" w:sz="4" w:space="6" w:color="D0D5DD"/>
        </w:pBdr>
      </w:pPr>
      <w:r>
        <w:rPr>
          <w:rFonts w:ascii="Consolas" w:hAnsi="Consolas"/>
          <w:color w:val="0B1F3A"/>
          <w:sz w:val="16"/>
        </w:rPr>
        <w:t>| The receipt is rendered from these two postings, not from the payment    |</w:t>
      </w:r>
    </w:p>
    <w:p>
      <w:pPr>
        <w:spacing w:before="0" w:after="0" w:line="240" w:lineRule="auto"/>
        <w:ind w:left="230"/>
        <w:shd w:val="clear" w:color="auto" w:fill="F7F9FC"/>
        <w:pBdr>
          <w:left w:val="single" w:sz="4" w:space="6" w:color="D0D5DD"/>
        </w:pBdr>
      </w:pPr>
      <w:r>
        <w:rPr>
          <w:rFonts w:ascii="Consolas" w:hAnsi="Consolas"/>
          <w:color w:val="0B1F3A"/>
          <w:sz w:val="16"/>
        </w:rPr>
        <w:t>|   row: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contribution.received   NGN 1,000.00   to the round pool               |</w:t>
      </w:r>
    </w:p>
    <w:p>
      <w:pPr>
        <w:spacing w:before="0" w:after="0" w:line="240" w:lineRule="auto"/>
        <w:ind w:left="230"/>
        <w:shd w:val="clear" w:color="auto" w:fill="F7F9FC"/>
        <w:pBdr>
          <w:left w:val="single" w:sz="4" w:space="6" w:color="D0D5DD"/>
        </w:pBdr>
      </w:pPr>
      <w:r>
        <w:rPr>
          <w:rFonts w:ascii="Consolas" w:hAnsi="Consolas"/>
          <w:color w:val="0B1F3A"/>
          <w:sz w:val="16"/>
        </w:rPr>
        <w:t>|   fee.recognised          NGN    20.00   to fees_income                  |</w:t>
      </w:r>
    </w:p>
    <w:p>
      <w:pPr>
        <w:spacing w:before="0" w:after="0" w:line="240" w:lineRule="auto"/>
        <w:ind w:left="230"/>
        <w:shd w:val="clear" w:color="auto" w:fill="F7F9FC"/>
        <w:pBdr>
          <w:left w:val="single" w:sz="4" w:space="6" w:color="D0D5DD"/>
        </w:pBdr>
      </w:pPr>
      <w:r>
        <w:rPr>
          <w:rFonts w:ascii="Consolas" w:hAnsi="Consolas"/>
          <w:color w:val="0B1F3A"/>
          <w:sz w:val="16"/>
        </w:rPr>
        <w:t>|   payment                 NGN 1,020.00   total charged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6.19.2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181"/>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970"/>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 Amount paid</w:t>
            </w:r>
          </w:p>
        </w:tc>
        <w:tc>
          <w:tcPr>
            <w:tcW w:type="dxa" w:w="1181"/>
            <w:tcMar>
              <w:top w:w="60" w:type="dxa"/>
              <w:start w:w="110" w:type="dxa"/>
              <w:bottom w:w="60" w:type="dxa"/>
              <w:end w:w="110" w:type="dxa"/>
            </w:tcMar>
          </w:tcPr>
          <w:p>
            <w:pPr>
              <w:spacing w:after="0"/>
            </w:pPr>
            <w:r/>
            <w:r>
              <w:rPr>
                <w:rFonts w:ascii="Calibri" w:hAnsi="Calibri"/>
                <w:b w:val="0"/>
                <w:i w:val="0"/>
                <w:color w:val="101828"/>
                <w:sz w:val="14"/>
              </w:rPr>
              <w:t>The total that left the member's account, as a headline.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970"/>
            <w:tcMar>
              <w:top w:w="60" w:type="dxa"/>
              <w:start w:w="110" w:type="dxa"/>
              <w:bottom w:w="60" w:type="dxa"/>
              <w:end w:w="110" w:type="dxa"/>
            </w:tcMar>
          </w:tcPr>
          <w:p>
            <w:pPr>
              <w:spacing w:after="0"/>
            </w:pPr>
            <w:r/>
            <w:r>
              <w:rPr>
                <w:rFonts w:ascii="Calibri" w:hAnsi="Calibri"/>
                <w:b w:val="0"/>
                <w:i w:val="0"/>
                <w:color w:val="101828"/>
                <w:sz w:val="14"/>
              </w:rPr>
              <w:t xml:space="preserve">NGN 1,020.00, and it is the </w:t>
            </w:r>
            <w:r>
              <w:rPr>
                <w:rFonts w:ascii="Calibri" w:hAnsi="Calibri"/>
                <w:i/>
                <w:color w:val="101828"/>
                <w:sz w:val="14"/>
              </w:rPr>
              <w:t>paid</w:t>
            </w:r>
            <w:r>
              <w:rPr>
                <w:rFonts w:ascii="Calibri" w:hAnsi="Calibri"/>
                <w:b w:val="0"/>
                <w:i w:val="0"/>
                <w:color w:val="101828"/>
                <w:sz w:val="14"/>
              </w:rPr>
              <w:t xml:space="preserve"> amount, not the contribution. Showing NGN 1,000.00 as the headline is the most common way a fee-charging product produces an angry support ticket.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Breakdown</w:t>
            </w:r>
          </w:p>
        </w:tc>
        <w:tc>
          <w:tcPr>
            <w:tcW w:type="dxa" w:w="1181"/>
            <w:tcMar>
              <w:top w:w="60" w:type="dxa"/>
              <w:start w:w="110" w:type="dxa"/>
              <w:bottom w:w="60" w:type="dxa"/>
              <w:end w:w="110" w:type="dxa"/>
            </w:tcMar>
            <w:shd w:val="clear" w:color="auto" w:fill="F4F7FB"/>
          </w:tcPr>
          <w:p>
            <w:pPr>
              <w:spacing w:after="0"/>
            </w:pPr>
            <w:r/>
            <w:r>
              <w:rPr>
                <w:rFonts w:ascii="Calibri" w:hAnsi="Calibri"/>
                <w:b w:val="0"/>
                <w:i w:val="0"/>
                <w:color w:val="101828"/>
                <w:sz w:val="14"/>
              </w:rPr>
              <w:t>Contribution, fee, total, each with its destination.</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970"/>
            <w:tcMar>
              <w:top w:w="60" w:type="dxa"/>
              <w:start w:w="110" w:type="dxa"/>
              <w:bottom w:w="60" w:type="dxa"/>
              <w:end w:w="110" w:type="dxa"/>
            </w:tcMar>
            <w:shd w:val="clear" w:color="auto" w:fill="F4F7FB"/>
          </w:tcPr>
          <w:p>
            <w:pPr>
              <w:spacing w:after="0"/>
            </w:pPr>
            <w:r/>
            <w:r>
              <w:rPr>
                <w:rFonts w:ascii="Calibri" w:hAnsi="Calibri"/>
                <w:b/>
                <w:color w:val="101828"/>
                <w:sz w:val="14"/>
              </w:rPr>
              <w:t>Mandatory, per the disclosure rule, which names receipts explicitly.</w:t>
            </w:r>
            <w:r>
              <w:rPr>
                <w:rFonts w:ascii="Calibri" w:hAnsi="Calibri"/>
                <w:b w:val="0"/>
                <w:i w:val="0"/>
                <w:color w:val="101828"/>
                <w:sz w:val="14"/>
              </w:rPr>
              <w:t xml:space="preserve"> Each of the three lines also states where the money went, so the fee is visibly a platform charge and the contribution is visibly a pool deposit.</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 Pool note</w:t>
            </w:r>
          </w:p>
        </w:tc>
        <w:tc>
          <w:tcPr>
            <w:tcW w:type="dxa" w:w="1181"/>
            <w:tcMar>
              <w:top w:w="60" w:type="dxa"/>
              <w:start w:w="110" w:type="dxa"/>
              <w:bottom w:w="60" w:type="dxa"/>
              <w:end w:w="110" w:type="dxa"/>
            </w:tcMar>
          </w:tcPr>
          <w:p>
            <w:pPr>
              <w:spacing w:after="0"/>
            </w:pPr>
            <w:r/>
            <w:r>
              <w:rPr>
                <w:rFonts w:ascii="Calibri" w:hAnsi="Calibri"/>
                <w:b w:val="0"/>
                <w:i w:val="0"/>
                <w:color w:val="101828"/>
                <w:sz w:val="14"/>
              </w:rPr>
              <w:t>What the round pool pays, and that the fee is not in it.</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970"/>
            <w:tcMar>
              <w:top w:w="60" w:type="dxa"/>
              <w:start w:w="110" w:type="dxa"/>
              <w:bottom w:w="60" w:type="dxa"/>
              <w:end w:w="110" w:type="dxa"/>
            </w:tcMar>
          </w:tcPr>
          <w:p>
            <w:pPr>
              <w:spacing w:after="0"/>
            </w:pPr>
            <w:r/>
            <w:r>
              <w:rPr>
                <w:rFonts w:ascii="Calibri" w:hAnsi="Calibri"/>
                <w:b w:val="0"/>
                <w:i w:val="0"/>
                <w:color w:val="101828"/>
                <w:sz w:val="14"/>
              </w:rPr>
              <w:t>The round-pool sentence from 6.14, repeated. On a receipt it does different work: the member is looking at NGN 1,020.00 leaving their account, and this is what answers the question they will ask next month.</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 Ajo-level totals</w:t>
            </w:r>
          </w:p>
        </w:tc>
        <w:tc>
          <w:tcPr>
            <w:tcW w:type="dxa" w:w="1181"/>
            <w:tcMar>
              <w:top w:w="60" w:type="dxa"/>
              <w:start w:w="110" w:type="dxa"/>
              <w:bottom w:w="60" w:type="dxa"/>
              <w:end w:w="110" w:type="dxa"/>
            </w:tcMar>
            <w:shd w:val="clear" w:color="auto" w:fill="F4F7FB"/>
          </w:tcPr>
          <w:p>
            <w:pPr>
              <w:spacing w:after="0"/>
            </w:pPr>
            <w:r/>
            <w:r>
              <w:rPr>
                <w:rFonts w:ascii="Calibri" w:hAnsi="Calibri"/>
                <w:b w:val="0"/>
                <w:i w:val="0"/>
                <w:color w:val="101828"/>
                <w:sz w:val="14"/>
              </w:rPr>
              <w:t>What the member will pay across the whole Ajo, and receive.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P2</w:t>
            </w:r>
          </w:p>
        </w:tc>
        <w:tc>
          <w:tcPr>
            <w:tcW w:type="dxa" w:w="6970"/>
            <w:tcMar>
              <w:top w:w="60" w:type="dxa"/>
              <w:start w:w="110" w:type="dxa"/>
              <w:bottom w:w="60" w:type="dxa"/>
              <w:end w:w="110" w:type="dxa"/>
            </w:tcMar>
            <w:shd w:val="clear" w:color="auto" w:fill="F4F7FB"/>
          </w:tcPr>
          <w:p>
            <w:pPr>
              <w:spacing w:after="0"/>
            </w:pPr>
            <w:r/>
            <w:r>
              <w:rPr>
                <w:rFonts w:ascii="Calibri" w:hAnsi="Calibri"/>
                <w:b w:val="0"/>
                <w:i w:val="0"/>
                <w:color w:val="101828"/>
                <w:sz w:val="14"/>
              </w:rPr>
              <w:t>NGN 10,200.00 paid across ten rounds, NGN 10,000.00 received. The asymmetry is the product, stated rather than left for the member to discover.</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(5) Rendered from postings</w:t>
            </w:r>
          </w:p>
        </w:tc>
        <w:tc>
          <w:tcPr>
            <w:tcW w:type="dxa" w:w="1181"/>
            <w:tcMar>
              <w:top w:w="60" w:type="dxa"/>
              <w:start w:w="110" w:type="dxa"/>
              <w:bottom w:w="60" w:type="dxa"/>
              <w:end w:w="110" w:type="dxa"/>
            </w:tcMar>
          </w:tcPr>
          <w:p>
            <w:pPr>
              <w:spacing w:after="0"/>
            </w:pPr>
            <w:r/>
            <w:r>
              <w:rPr>
                <w:rFonts w:ascii="Calibri" w:hAnsi="Calibri"/>
                <w:b w:val="0"/>
                <w:i w:val="0"/>
                <w:color w:val="101828"/>
                <w:sz w:val="14"/>
              </w:rPr>
              <w:t>The receipt's figures come from the ledger.</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970"/>
            <w:tcMar>
              <w:top w:w="60" w:type="dxa"/>
              <w:start w:w="110" w:type="dxa"/>
              <w:bottom w:w="60" w:type="dxa"/>
              <w:end w:w="110" w:type="dxa"/>
            </w:tcMar>
          </w:tcPr>
          <w:p>
            <w:pPr>
              <w:spacing w:after="0"/>
            </w:pPr>
            <w:r/>
            <w:r>
              <w:rPr>
                <w:rFonts w:ascii="Calibri" w:hAnsi="Calibri"/>
                <w:b/>
                <w:color w:val="101828"/>
                <w:sz w:val="14"/>
              </w:rPr>
              <w:t>The receipt is a rendering of `ledger_postings`, not of the `payments` row.</w:t>
            </w:r>
            <w:r>
              <w:rPr>
                <w:rFonts w:ascii="Calibri" w:hAnsi="Calibri"/>
                <w:b w:val="0"/>
                <w:i w:val="0"/>
                <w:color w:val="101828"/>
                <w:sz w:val="14"/>
              </w:rPr>
              <w:t xml:space="preserve"> A payment row can exist without a matching posting — that is a reconciliation defect — and a receipt that reads from it would show a confirmed payment the ledger has no record of. Where the two disagree, the receipt shows the posting and flags the discrepancy rather than showing the payment.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(6) Reference</w:t>
            </w:r>
          </w:p>
        </w:tc>
        <w:tc>
          <w:tcPr>
            <w:tcW w:type="dxa" w:w="1181"/>
            <w:tcMar>
              <w:top w:w="60" w:type="dxa"/>
              <w:start w:w="110" w:type="dxa"/>
              <w:bottom w:w="60" w:type="dxa"/>
              <w:end w:w="110" w:type="dxa"/>
            </w:tcMar>
            <w:shd w:val="clear" w:color="auto" w:fill="F4F7FB"/>
          </w:tcPr>
          <w:p>
            <w:pPr>
              <w:spacing w:after="0"/>
            </w:pPr>
            <w:r/>
            <w:r>
              <w:rPr>
                <w:rFonts w:ascii="Calibri" w:hAnsi="Calibri"/>
                <w:b w:val="0"/>
                <w:i w:val="0"/>
                <w:color w:val="101828"/>
                <w:sz w:val="14"/>
              </w:rPr>
              <w:t>The payment reference, in the header and in the PDF.</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970"/>
            <w:tcMar>
              <w:top w:w="60" w:type="dxa"/>
              <w:start w:w="110" w:type="dxa"/>
              <w:bottom w:w="60" w:type="dxa"/>
              <w:end w:w="110" w:type="dxa"/>
            </w:tcMar>
            <w:shd w:val="clear" w:color="auto" w:fill="F4F7FB"/>
          </w:tcPr>
          <w:p>
            <w:pPr>
              <w:spacing w:after="0"/>
            </w:pPr>
            <w:r/>
            <w:r>
              <w:rPr>
                <w:rFonts w:ascii="Calibri" w:hAnsi="Calibri"/>
                <w:b w:val="0"/>
                <w:i w:val="0"/>
                <w:color w:val="101828"/>
                <w:sz w:val="14"/>
              </w:rPr>
              <w:t>The one string support needs. Present in the shareable text as well, so a receipt pasted into a group chat is still traceable.</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(7) Download and share</w:t>
            </w:r>
          </w:p>
        </w:tc>
        <w:tc>
          <w:tcPr>
            <w:tcW w:type="dxa" w:w="1181"/>
            <w:tcMar>
              <w:top w:w="60" w:type="dxa"/>
              <w:start w:w="110" w:type="dxa"/>
              <w:bottom w:w="60" w:type="dxa"/>
              <w:end w:w="110" w:type="dxa"/>
            </w:tcMar>
          </w:tcPr>
          <w:p>
            <w:pPr>
              <w:spacing w:after="0"/>
            </w:pPr>
            <w:r/>
            <w:r>
              <w:rPr>
                <w:rFonts w:ascii="Calibri" w:hAnsi="Calibri"/>
                <w:b w:val="0"/>
                <w:i w:val="0"/>
                <w:color w:val="101828"/>
                <w:sz w:val="14"/>
              </w:rPr>
              <w:t>PDF and a share sheet.</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970"/>
            <w:tcMar>
              <w:top w:w="60" w:type="dxa"/>
              <w:start w:w="110" w:type="dxa"/>
              <w:bottom w:w="60" w:type="dxa"/>
              <w:end w:w="110" w:type="dxa"/>
            </w:tcMar>
          </w:tcPr>
          <w:p>
            <w:pPr>
              <w:spacing w:after="0"/>
            </w:pPr>
            <w:r/>
            <w:r>
              <w:rPr>
                <w:rFonts w:ascii="Calibri" w:hAnsi="Calibri"/>
                <w:b w:val="0"/>
                <w:i w:val="0"/>
                <w:color w:val="101828"/>
                <w:sz w:val="14"/>
              </w:rPr>
              <w:t>The shared version is plain text plus the reference, because a group chat on a phone is where receipts actually go, and an image in a chat thread cannot be searched later.</w:t>
            </w:r>
          </w:p>
        </w:tc>
      </w:tr>
    </w:tbl>
    <w:p>
      <w:pPr>
        <w:spacing w:after="80"/>
      </w:pPr>
    </w:p>
    <w:p>
      <w:pPr>
        <w:pStyle w:val="Heading2"/>
      </w:pPr>
      <w:r>
        <w:rPr>
          <w:rFonts w:ascii="Calibri" w:hAnsi="Calibri"/>
          <w:b/>
          <w:i w:val="0"/>
          <w:color w:val="146EF5"/>
          <w:sz w:val="29"/>
        </w:rPr>
        <w:t>6.20 Payouts — SCR-MOB-12</w:t>
      </w:r>
    </w:p>
    <w:p>
      <w:r>
        <w:rPr>
          <w:rFonts w:ascii="Calibri" w:hAnsi="Calibri"/>
          <w:b w:val="0"/>
          <w:i w:val="0"/>
          <w:color w:val="101828"/>
          <w:sz w:val="21"/>
        </w:rPr>
        <w:t>The screen a member works towards, and the one where the fee model either reads as fair or does not. It shows what is coming, what has been received, and the reasoning behind every amount, including the one that separates what the round collected from what the recipient gets. The held state is designed as a first-class screen state rather than an error, because holding a payout is a decision the product makes on the member's behalf and a member who cannot see why will assume the worst.</w:t>
      </w:r>
    </w:p>
    <w:p>
      <w:pPr>
        <w:spacing w:before="140" w:after="180"/>
        <w:ind w:left="144"/>
        <w:shd w:val="clear" w:color="auto" w:fill="EFF6FF"/>
        <w:pBdr>
          <w:left w:val="single" w:sz="18" w:space="6" w:color="146EF5"/>
        </w:pBdr>
      </w:pPr>
      <w:r>
        <w:rPr>
          <w:rFonts w:ascii="Calibri" w:hAnsi="Calibri"/>
          <w:b/>
          <w:color w:val="146EF5"/>
          <w:sz w:val="19"/>
        </w:rPr>
        <w:t xml:space="preserve">Payout amounts are never computed in the client  </w:t>
      </w:r>
      <w:r>
        <w:rPr>
          <w:rFonts w:ascii="Calibri" w:hAnsi="Calibri"/>
          <w:b w:val="0"/>
          <w:i w:val="0"/>
          <w:color w:val="0B1F3A"/>
          <w:sz w:val="19"/>
        </w:rPr>
        <w:t xml:space="preserve">A payout amount shown on this screen is read from the </w:t>
      </w:r>
      <w:r>
        <w:rPr>
          <w:rFonts w:ascii="Consolas" w:hAnsi="Consolas"/>
          <w:color w:val="146EF5"/>
          <w:sz w:val="19"/>
        </w:rPr>
        <w:t>payouts</w:t>
      </w:r>
      <w:r>
        <w:rPr>
          <w:rFonts w:ascii="Calibri" w:hAnsi="Calibri"/>
          <w:b w:val="0"/>
          <w:i w:val="0"/>
          <w:color w:val="0B1F3A"/>
          <w:sz w:val="19"/>
        </w:rPr>
        <w:t xml:space="preserve"> row, which is written from the round's contribution postings. The client does not sum the round, does not apply the 2% fee, and does not round. The reason is not defensiveness about client bugs: a client that recomputes a payout can display a number the ledger has never agreed to, and the difference between what a member was shown and what they were paid is the definition of a dispute. The same rule applies to every other amount in the product: the client displays, the server decides.</w:t>
      </w:r>
    </w:p>
    <w:p>
      <w:pPr>
        <w:pStyle w:val="Heading3"/>
      </w:pPr>
      <w:r>
        <w:rPr>
          <w:rFonts w:ascii="Calibri" w:hAnsi="Calibri"/>
          <w:b/>
          <w:i w:val="0"/>
          <w:color w:val="0B1F3A"/>
          <w:sz w:val="24"/>
        </w:rPr>
        <w:t>6.20.1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Payouts                                  |</w:t>
      </w:r>
    </w:p>
    <w:p>
      <w:pPr>
        <w:spacing w:before="0" w:after="0" w:line="240" w:lineRule="auto"/>
        <w:ind w:left="230"/>
        <w:shd w:val="clear" w:color="auto" w:fill="F7F9FC"/>
        <w:pBdr>
          <w:left w:val="single" w:sz="4" w:space="6" w:color="D0D5DD"/>
        </w:pBdr>
      </w:pPr>
      <w:r>
        <w:rPr>
          <w:rFonts w:ascii="Consolas" w:hAnsi="Consolas"/>
          <w:color w:val="0B1F3A"/>
          <w:sz w:val="16"/>
        </w:rPr>
        <w:t>+-- (2) UPCOMING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Coming up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Adaeze's Ajo, round 1             |   |</w:t>
      </w:r>
    </w:p>
    <w:p>
      <w:pPr>
        <w:spacing w:before="0" w:after="0" w:line="240" w:lineRule="auto"/>
        <w:ind w:left="230"/>
        <w:shd w:val="clear" w:color="auto" w:fill="F7F9FC"/>
        <w:pBdr>
          <w:left w:val="single" w:sz="4" w:space="6" w:color="D0D5DD"/>
        </w:pBdr>
      </w:pPr>
      <w:r>
        <w:rPr>
          <w:rFonts w:ascii="Consolas" w:hAnsi="Consolas"/>
          <w:color w:val="0B1F3A"/>
          <w:sz w:val="16"/>
        </w:rPr>
        <w:t>| |  Friday 19 Sep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You receive                       |   |</w:t>
      </w:r>
    </w:p>
    <w:p>
      <w:pPr>
        <w:spacing w:before="0" w:after="0" w:line="240" w:lineRule="auto"/>
        <w:ind w:left="230"/>
        <w:shd w:val="clear" w:color="auto" w:fill="F7F9FC"/>
        <w:pBdr>
          <w:left w:val="single" w:sz="4" w:space="6" w:color="D0D5DD"/>
        </w:pBdr>
      </w:pPr>
      <w:r>
        <w:rPr>
          <w:rFonts w:ascii="Consolas" w:hAnsi="Consolas"/>
          <w:color w:val="0B1F3A"/>
          <w:sz w:val="16"/>
        </w:rPr>
        <w:t>| |  NGN 10,000.00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The base pool: 10 members         |   |</w:t>
      </w:r>
    </w:p>
    <w:p>
      <w:pPr>
        <w:spacing w:before="0" w:after="0" w:line="240" w:lineRule="auto"/>
        <w:ind w:left="230"/>
        <w:shd w:val="clear" w:color="auto" w:fill="F7F9FC"/>
        <w:pBdr>
          <w:left w:val="single" w:sz="4" w:space="6" w:color="D0D5DD"/>
        </w:pBdr>
      </w:pPr>
      <w:r>
        <w:rPr>
          <w:rFonts w:ascii="Consolas" w:hAnsi="Consolas"/>
          <w:color w:val="0B1F3A"/>
          <w:sz w:val="16"/>
        </w:rPr>
        <w:t>| |  at NGN 1,000.00.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Each member also paid             |   |</w:t>
      </w:r>
    </w:p>
    <w:p>
      <w:pPr>
        <w:spacing w:before="0" w:after="0" w:line="240" w:lineRule="auto"/>
        <w:ind w:left="230"/>
        <w:shd w:val="clear" w:color="auto" w:fill="F7F9FC"/>
        <w:pBdr>
          <w:left w:val="single" w:sz="4" w:space="6" w:color="D0D5DD"/>
        </w:pBdr>
      </w:pPr>
      <w:r>
        <w:rPr>
          <w:rFonts w:ascii="Consolas" w:hAnsi="Consolas"/>
          <w:color w:val="0B1F3A"/>
          <w:sz w:val="16"/>
        </w:rPr>
        <w:t>| |  NGN 20.00 to AJO.ng. That is      |   |</w:t>
      </w:r>
    </w:p>
    <w:p>
      <w:pPr>
        <w:spacing w:before="0" w:after="0" w:line="240" w:lineRule="auto"/>
        <w:ind w:left="230"/>
        <w:shd w:val="clear" w:color="auto" w:fill="F7F9FC"/>
        <w:pBdr>
          <w:left w:val="single" w:sz="4" w:space="6" w:color="D0D5DD"/>
        </w:pBdr>
      </w:pPr>
      <w:r>
        <w:rPr>
          <w:rFonts w:ascii="Consolas" w:hAnsi="Consolas"/>
          <w:color w:val="0B1F3A"/>
          <w:sz w:val="16"/>
        </w:rPr>
        <w:t>| |  not part of your payout.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(3) HISTORY ---------------------------+</w:t>
      </w:r>
    </w:p>
    <w:p>
      <w:pPr>
        <w:spacing w:before="0" w:after="0" w:line="240" w:lineRule="auto"/>
        <w:ind w:left="230"/>
        <w:shd w:val="clear" w:color="auto" w:fill="F7F9FC"/>
        <w:pBdr>
          <w:left w:val="single" w:sz="4" w:space="6" w:color="D0D5DD"/>
        </w:pBdr>
      </w:pPr>
      <w:r>
        <w:rPr>
          <w:rFonts w:ascii="Consolas" w:hAnsi="Consolas"/>
          <w:color w:val="0B1F3A"/>
          <w:sz w:val="16"/>
        </w:rPr>
        <w:t>| Chima's Ajo, round 2                     |</w:t>
      </w:r>
    </w:p>
    <w:p>
      <w:pPr>
        <w:spacing w:before="0" w:after="0" w:line="240" w:lineRule="auto"/>
        <w:ind w:left="230"/>
        <w:shd w:val="clear" w:color="auto" w:fill="F7F9FC"/>
        <w:pBdr>
          <w:left w:val="single" w:sz="4" w:space="6" w:color="D0D5DD"/>
        </w:pBdr>
      </w:pPr>
      <w:r>
        <w:rPr>
          <w:rFonts w:ascii="Consolas" w:hAnsi="Consolas"/>
          <w:color w:val="0B1F3A"/>
          <w:sz w:val="16"/>
        </w:rPr>
        <w:t>| 12 Sep  NGN 10,000.00  released          |</w:t>
      </w:r>
    </w:p>
    <w:p>
      <w:pPr>
        <w:spacing w:before="0" w:after="0" w:line="240" w:lineRule="auto"/>
        <w:ind w:left="230"/>
        <w:shd w:val="clear" w:color="auto" w:fill="F7F9FC"/>
        <w:pBdr>
          <w:left w:val="single" w:sz="4" w:space="6" w:color="D0D5DD"/>
        </w:pBdr>
      </w:pPr>
      <w:r>
        <w:rPr>
          <w:rFonts w:ascii="Consolas" w:hAnsi="Consolas"/>
          <w:color w:val="0B1F3A"/>
          <w:sz w:val="16"/>
        </w:rPr>
        <w:t>| 12 Sep  received to 0203 000 0003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Adaeze's Ajo, round 1                    |</w:t>
      </w:r>
    </w:p>
    <w:p>
      <w:pPr>
        <w:spacing w:before="0" w:after="0" w:line="240" w:lineRule="auto"/>
        <w:ind w:left="230"/>
        <w:shd w:val="clear" w:color="auto" w:fill="F7F9FC"/>
        <w:pBdr>
          <w:left w:val="single" w:sz="4" w:space="6" w:color="D0D5DD"/>
        </w:pBdr>
      </w:pPr>
      <w:r>
        <w:rPr>
          <w:rFonts w:ascii="Consolas" w:hAnsi="Consolas"/>
          <w:color w:val="0B1F3A"/>
          <w:sz w:val="16"/>
        </w:rPr>
        <w:t>| 19 Aug  NGN 10,000.00  released          |</w:t>
      </w:r>
    </w:p>
    <w:p>
      <w:pPr>
        <w:spacing w:before="0" w:after="0" w:line="240" w:lineRule="auto"/>
        <w:ind w:left="230"/>
        <w:shd w:val="clear" w:color="auto" w:fill="F7F9FC"/>
        <w:pBdr>
          <w:left w:val="single" w:sz="4" w:space="6" w:color="D0D5DD"/>
        </w:pBdr>
      </w:pPr>
      <w:r>
        <w:rPr>
          <w:rFonts w:ascii="Consolas" w:hAnsi="Consolas"/>
          <w:color w:val="0B1F3A"/>
          <w:sz w:val="16"/>
        </w:rPr>
        <w:t>+-- (4) HELD STATE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 Payout on hold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Chima's Ajo, round 4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NGN 10,000.00 is owed to    |         |</w:t>
      </w:r>
    </w:p>
    <w:p>
      <w:pPr>
        <w:spacing w:before="0" w:after="0" w:line="240" w:lineRule="auto"/>
        <w:ind w:left="230"/>
        <w:shd w:val="clear" w:color="auto" w:fill="F7F9FC"/>
        <w:pBdr>
          <w:left w:val="single" w:sz="4" w:space="6" w:color="D0D5DD"/>
        </w:pBdr>
      </w:pPr>
      <w:r>
        <w:rPr>
          <w:rFonts w:ascii="Consolas" w:hAnsi="Consolas"/>
          <w:color w:val="0B1F3A"/>
          <w:sz w:val="16"/>
        </w:rPr>
        <w:t>| |  Segun A. but the round has  |         |</w:t>
      </w:r>
    </w:p>
    <w:p>
      <w:pPr>
        <w:spacing w:before="0" w:after="0" w:line="240" w:lineRule="auto"/>
        <w:ind w:left="230"/>
        <w:shd w:val="clear" w:color="auto" w:fill="F7F9FC"/>
        <w:pBdr>
          <w:left w:val="single" w:sz="4" w:space="6" w:color="D0D5DD"/>
        </w:pBdr>
      </w:pPr>
      <w:r>
        <w:rPr>
          <w:rFonts w:ascii="Consolas" w:hAnsi="Consolas"/>
          <w:color w:val="0B1F3A"/>
          <w:sz w:val="16"/>
        </w:rPr>
        <w:t>| |  not fully collected.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AJO.ng will not reduce the  |         |</w:t>
      </w:r>
    </w:p>
    <w:p>
      <w:pPr>
        <w:spacing w:before="0" w:after="0" w:line="240" w:lineRule="auto"/>
        <w:ind w:left="230"/>
        <w:shd w:val="clear" w:color="auto" w:fill="F7F9FC"/>
        <w:pBdr>
          <w:left w:val="single" w:sz="4" w:space="6" w:color="D0D5DD"/>
        </w:pBdr>
      </w:pPr>
      <w:r>
        <w:rPr>
          <w:rFonts w:ascii="Consolas" w:hAnsi="Consolas"/>
          <w:color w:val="0B1F3A"/>
          <w:sz w:val="16"/>
        </w:rPr>
        <w:t>| |  amount and will not use its  |        |</w:t>
      </w:r>
    </w:p>
    <w:p>
      <w:pPr>
        <w:spacing w:before="0" w:after="0" w:line="240" w:lineRule="auto"/>
        <w:ind w:left="230"/>
        <w:shd w:val="clear" w:color="auto" w:fill="F7F9FC"/>
        <w:pBdr>
          <w:left w:val="single" w:sz="4" w:space="6" w:color="D0D5DD"/>
        </w:pBdr>
      </w:pPr>
      <w:r>
        <w:rPr>
          <w:rFonts w:ascii="Consolas" w:hAnsi="Consolas"/>
          <w:color w:val="0B1F3A"/>
          <w:sz w:val="16"/>
        </w:rPr>
        <w:t>| |  own funds to cover it.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Recovery is in progress.    |         |</w:t>
      </w:r>
    </w:p>
    <w:p>
      <w:pPr>
        <w:spacing w:before="0" w:after="0" w:line="240" w:lineRule="auto"/>
        <w:ind w:left="230"/>
        <w:shd w:val="clear" w:color="auto" w:fill="F7F9FC"/>
        <w:pBdr>
          <w:left w:val="single" w:sz="4" w:space="6" w:color="D0D5DD"/>
        </w:pBdr>
      </w:pPr>
      <w:r>
        <w:rPr>
          <w:rFonts w:ascii="Consolas" w:hAnsi="Consolas"/>
          <w:color w:val="0B1F3A"/>
          <w:sz w:val="16"/>
        </w:rPr>
        <w:t>| |  We will tell you the result |         |</w:t>
      </w:r>
    </w:p>
    <w:p>
      <w:pPr>
        <w:spacing w:before="0" w:after="0" w:line="240" w:lineRule="auto"/>
        <w:ind w:left="230"/>
        <w:shd w:val="clear" w:color="auto" w:fill="F7F9FC"/>
        <w:pBdr>
          <w:left w:val="single" w:sz="4" w:space="6" w:color="D0D5DD"/>
        </w:pBdr>
      </w:pPr>
      <w:r>
        <w:rPr>
          <w:rFonts w:ascii="Consolas" w:hAnsi="Consolas"/>
          <w:color w:val="0B1F3A"/>
          <w:sz w:val="16"/>
        </w:rPr>
        <w:t>| |  either way.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What happens next &gt; }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(5) BOTTOM NAV ------------------------+</w:t>
      </w:r>
    </w:p>
    <w:p>
      <w:pPr>
        <w:spacing w:before="0" w:after="0" w:line="240" w:lineRule="auto"/>
        <w:ind w:left="230"/>
        <w:shd w:val="clear" w:color="auto" w:fill="F7F9FC"/>
        <w:pBdr>
          <w:left w:val="single" w:sz="4" w:space="6" w:color="D0D5DD"/>
        </w:pBdr>
      </w:pPr>
      <w:r>
        <w:rPr>
          <w:rFonts w:ascii="Consolas" w:hAnsi="Consolas"/>
          <w:color w:val="0B1F3A"/>
          <w:sz w:val="16"/>
        </w:rPr>
        <w:t>| Home  Ajos  Pay  Alerts  More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LEFT NAV ----------------------------------------------------------+</w:t>
      </w:r>
    </w:p>
    <w:p>
      <w:pPr>
        <w:spacing w:before="0" w:after="0" w:line="240" w:lineRule="auto"/>
        <w:ind w:left="230"/>
        <w:shd w:val="clear" w:color="auto" w:fill="F7F9FC"/>
        <w:pBdr>
          <w:left w:val="single" w:sz="4" w:space="6" w:color="D0D5DD"/>
        </w:pBdr>
      </w:pPr>
      <w:r>
        <w:rPr>
          <w:rFonts w:ascii="Consolas" w:hAnsi="Consolas"/>
          <w:color w:val="0B1F3A"/>
          <w:sz w:val="16"/>
        </w:rPr>
        <w:t>| Home                                                                     |</w:t>
      </w:r>
    </w:p>
    <w:p>
      <w:pPr>
        <w:spacing w:before="0" w:after="0" w:line="240" w:lineRule="auto"/>
        <w:ind w:left="230"/>
        <w:shd w:val="clear" w:color="auto" w:fill="F7F9FC"/>
        <w:pBdr>
          <w:left w:val="single" w:sz="4" w:space="6" w:color="D0D5DD"/>
        </w:pBdr>
      </w:pPr>
      <w:r>
        <w:rPr>
          <w:rFonts w:ascii="Consolas" w:hAnsi="Consolas"/>
          <w:color w:val="0B1F3A"/>
          <w:sz w:val="16"/>
        </w:rPr>
        <w:t>| My Ajos                                                                  |</w:t>
      </w:r>
    </w:p>
    <w:p>
      <w:pPr>
        <w:spacing w:before="0" w:after="0" w:line="240" w:lineRule="auto"/>
        <w:ind w:left="230"/>
        <w:shd w:val="clear" w:color="auto" w:fill="F7F9FC"/>
        <w:pBdr>
          <w:left w:val="single" w:sz="4" w:space="6" w:color="D0D5DD"/>
        </w:pBdr>
      </w:pPr>
      <w:r>
        <w:rPr>
          <w:rFonts w:ascii="Consolas" w:hAnsi="Consolas"/>
          <w:color w:val="0B1F3A"/>
          <w:sz w:val="16"/>
        </w:rPr>
        <w:t>| Pay                                                                      |</w:t>
      </w:r>
    </w:p>
    <w:p>
      <w:pPr>
        <w:spacing w:before="0" w:after="0" w:line="240" w:lineRule="auto"/>
        <w:ind w:left="230"/>
        <w:shd w:val="clear" w:color="auto" w:fill="F7F9FC"/>
        <w:pBdr>
          <w:left w:val="single" w:sz="4" w:space="6" w:color="D0D5DD"/>
        </w:pBdr>
      </w:pPr>
      <w:r>
        <w:rPr>
          <w:rFonts w:ascii="Consolas" w:hAnsi="Consolas"/>
          <w:color w:val="0B1F3A"/>
          <w:sz w:val="16"/>
        </w:rPr>
        <w:t>| Alerts                                                                   |</w:t>
      </w:r>
    </w:p>
    <w:p>
      <w:pPr>
        <w:spacing w:before="0" w:after="0" w:line="240" w:lineRule="auto"/>
        <w:ind w:left="230"/>
        <w:shd w:val="clear" w:color="auto" w:fill="F7F9FC"/>
        <w:pBdr>
          <w:left w:val="single" w:sz="4" w:space="6" w:color="D0D5DD"/>
        </w:pBdr>
      </w:pPr>
      <w:r>
        <w:rPr>
          <w:rFonts w:ascii="Consolas" w:hAnsi="Consolas"/>
          <w:color w:val="0B1F3A"/>
          <w:sz w:val="16"/>
        </w:rPr>
        <w:t>| Support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Profile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UPCOMING ----------------------------------------------------------+</w:t>
      </w:r>
    </w:p>
    <w:p>
      <w:pPr>
        <w:spacing w:before="0" w:after="0" w:line="240" w:lineRule="auto"/>
        <w:ind w:left="230"/>
        <w:shd w:val="clear" w:color="auto" w:fill="F7F9FC"/>
        <w:pBdr>
          <w:left w:val="single" w:sz="4" w:space="6" w:color="D0D5DD"/>
        </w:pBdr>
      </w:pPr>
      <w:r>
        <w:rPr>
          <w:rFonts w:ascii="Consolas" w:hAnsi="Consolas"/>
          <w:color w:val="0B1F3A"/>
          <w:sz w:val="16"/>
        </w:rPr>
        <w:t>| Adaeze's Ajo, round 1, due Friday 19 Sep 2026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You receive  NGN 10,000.00  the base pool, 10 members at NGN 1,000.00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Each member has separately paid AJO.ng a NGN 20.00 fee. That fee is not  |</w:t>
      </w:r>
    </w:p>
    <w:p>
      <w:pPr>
        <w:spacing w:before="0" w:after="0" w:line="240" w:lineRule="auto"/>
        <w:ind w:left="230"/>
        <w:shd w:val="clear" w:color="auto" w:fill="F7F9FC"/>
        <w:pBdr>
          <w:left w:val="single" w:sz="4" w:space="6" w:color="D0D5DD"/>
        </w:pBdr>
      </w:pPr>
      <w:r>
        <w:rPr>
          <w:rFonts w:ascii="Consolas" w:hAnsi="Consolas"/>
          <w:color w:val="0B1F3A"/>
          <w:sz w:val="16"/>
        </w:rPr>
        <w:t>| part of the pool and is not deducted from your payout.                   |</w:t>
      </w:r>
    </w:p>
    <w:p>
      <w:pPr>
        <w:spacing w:before="0" w:after="0" w:line="240" w:lineRule="auto"/>
        <w:ind w:left="230"/>
        <w:shd w:val="clear" w:color="auto" w:fill="F7F9FC"/>
        <w:pBdr>
          <w:left w:val="single" w:sz="4" w:space="6" w:color="D0D5DD"/>
        </w:pBdr>
      </w:pPr>
      <w:r>
        <w:rPr>
          <w:rFonts w:ascii="Consolas" w:hAnsi="Consolas"/>
          <w:color w:val="0B1F3A"/>
          <w:sz w:val="16"/>
        </w:rPr>
        <w:t>+-- (3) PAYOUT TABLE ------------------------------------------------------+</w:t>
      </w:r>
    </w:p>
    <w:p>
      <w:pPr>
        <w:spacing w:before="0" w:after="0" w:line="240" w:lineRule="auto"/>
        <w:ind w:left="230"/>
        <w:shd w:val="clear" w:color="auto" w:fill="F7F9FC"/>
        <w:pBdr>
          <w:left w:val="single" w:sz="4" w:space="6" w:color="D0D5DD"/>
        </w:pBdr>
      </w:pPr>
      <w:r>
        <w:rPr>
          <w:rFonts w:ascii="Consolas" w:hAnsi="Consolas"/>
          <w:color w:val="0B1F3A"/>
          <w:sz w:val="16"/>
        </w:rPr>
        <w:t>| AJO              ROUND  DUE       AMOUNT         STATE      SETTLED      |</w:t>
      </w:r>
    </w:p>
    <w:p>
      <w:pPr>
        <w:spacing w:before="0" w:after="0" w:line="240" w:lineRule="auto"/>
        <w:ind w:left="230"/>
        <w:shd w:val="clear" w:color="auto" w:fill="F7F9FC"/>
        <w:pBdr>
          <w:left w:val="single" w:sz="4" w:space="6" w:color="D0D5DD"/>
        </w:pBdr>
      </w:pPr>
      <w:r>
        <w:rPr>
          <w:rFonts w:ascii="Consolas" w:hAnsi="Consolas"/>
          <w:color w:val="0B1F3A"/>
          <w:sz w:val="16"/>
        </w:rPr>
        <w:t>| Adaeze's Ajo     1      19 Sep    NGN 10,000.00  SCHEDULED  -            |</w:t>
      </w:r>
    </w:p>
    <w:p>
      <w:pPr>
        <w:spacing w:before="0" w:after="0" w:line="240" w:lineRule="auto"/>
        <w:ind w:left="230"/>
        <w:shd w:val="clear" w:color="auto" w:fill="F7F9FC"/>
        <w:pBdr>
          <w:left w:val="single" w:sz="4" w:space="6" w:color="D0D5DD"/>
        </w:pBdr>
      </w:pPr>
      <w:r>
        <w:rPr>
          <w:rFonts w:ascii="Consolas" w:hAnsi="Consolas"/>
          <w:color w:val="0B1F3A"/>
          <w:sz w:val="16"/>
        </w:rPr>
        <w:t>| Chima's Ajo      4      05 Oct    NGN 10,000.00  HELD       -            |</w:t>
      </w:r>
    </w:p>
    <w:p>
      <w:pPr>
        <w:spacing w:before="0" w:after="0" w:line="240" w:lineRule="auto"/>
        <w:ind w:left="230"/>
        <w:shd w:val="clear" w:color="auto" w:fill="F7F9FC"/>
        <w:pBdr>
          <w:left w:val="single" w:sz="4" w:space="6" w:color="D0D5DD"/>
        </w:pBdr>
      </w:pPr>
      <w:r>
        <w:rPr>
          <w:rFonts w:ascii="Consolas" w:hAnsi="Consolas"/>
          <w:color w:val="0B1F3A"/>
          <w:sz w:val="16"/>
        </w:rPr>
        <w:t>| Chima's Ajo      2      12 Sep    NGN 10,000.00  SUCCESS    12 Sep       |</w:t>
      </w:r>
    </w:p>
    <w:p>
      <w:pPr>
        <w:spacing w:before="0" w:after="0" w:line="240" w:lineRule="auto"/>
        <w:ind w:left="230"/>
        <w:shd w:val="clear" w:color="auto" w:fill="F7F9FC"/>
        <w:pBdr>
          <w:left w:val="single" w:sz="4" w:space="6" w:color="D0D5DD"/>
        </w:pBdr>
      </w:pPr>
      <w:r>
        <w:rPr>
          <w:rFonts w:ascii="Consolas" w:hAnsi="Consolas"/>
          <w:color w:val="0B1F3A"/>
          <w:sz w:val="16"/>
        </w:rPr>
        <w:t>| Adaeze's Ajo     1      19 Aug    NGN 10,000.00  SUCCESS    19 Aug       |</w:t>
      </w:r>
    </w:p>
    <w:p>
      <w:pPr>
        <w:spacing w:before="0" w:after="0" w:line="240" w:lineRule="auto"/>
        <w:ind w:left="230"/>
        <w:shd w:val="clear" w:color="auto" w:fill="F7F9FC"/>
        <w:pBdr>
          <w:left w:val="single" w:sz="4" w:space="6" w:color="D0D5DD"/>
        </w:pBdr>
      </w:pPr>
      <w:r>
        <w:rPr>
          <w:rFonts w:ascii="Consolas" w:hAnsi="Consolas"/>
          <w:color w:val="0B1F3A"/>
          <w:sz w:val="16"/>
        </w:rPr>
        <w:t>+-- (4) HELD EXPLANATION --------------------------------------------------+</w:t>
      </w:r>
    </w:p>
    <w:p>
      <w:pPr>
        <w:spacing w:before="0" w:after="0" w:line="240" w:lineRule="auto"/>
        <w:ind w:left="230"/>
        <w:shd w:val="clear" w:color="auto" w:fill="F7F9FC"/>
        <w:pBdr>
          <w:left w:val="single" w:sz="4" w:space="6" w:color="D0D5DD"/>
        </w:pBdr>
      </w:pPr>
      <w:r>
        <w:rPr>
          <w:rFonts w:ascii="Consolas" w:hAnsi="Consolas"/>
          <w:color w:val="0B1F3A"/>
          <w:sz w:val="16"/>
        </w:rPr>
        <w:t>| Why a payout is HELD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Chima's Ajo, round 4 owes Segun A. NGN 10,000.00. The round has not      |</w:t>
      </w:r>
    </w:p>
    <w:p>
      <w:pPr>
        <w:spacing w:before="0" w:after="0" w:line="240" w:lineRule="auto"/>
        <w:ind w:left="230"/>
        <w:shd w:val="clear" w:color="auto" w:fill="F7F9FC"/>
        <w:pBdr>
          <w:left w:val="single" w:sz="4" w:space="6" w:color="D0D5DD"/>
        </w:pBdr>
      </w:pPr>
      <w:r>
        <w:rPr>
          <w:rFonts w:ascii="Consolas" w:hAnsi="Consolas"/>
          <w:color w:val="0B1F3A"/>
          <w:sz w:val="16"/>
        </w:rPr>
        <w:t>| collected in full, so the payout is not released.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AJO.ng will not reduce the amount and will not use its own money to      |</w:t>
      </w:r>
    </w:p>
    <w:p>
      <w:pPr>
        <w:spacing w:before="0" w:after="0" w:line="240" w:lineRule="auto"/>
        <w:ind w:left="230"/>
        <w:shd w:val="clear" w:color="auto" w:fill="F7F9FC"/>
        <w:pBdr>
          <w:left w:val="single" w:sz="4" w:space="6" w:color="D0D5DD"/>
        </w:pBdr>
      </w:pPr>
      <w:r>
        <w:rPr>
          <w:rFonts w:ascii="Consolas" w:hAnsi="Consolas"/>
          <w:color w:val="0B1F3A"/>
          <w:sz w:val="16"/>
        </w:rPr>
        <w:t>| cover the gap. The round enters the recovery process and every member    |</w:t>
      </w:r>
    </w:p>
    <w:p>
      <w:pPr>
        <w:spacing w:before="0" w:after="0" w:line="240" w:lineRule="auto"/>
        <w:ind w:left="230"/>
        <w:shd w:val="clear" w:color="auto" w:fill="F7F9FC"/>
        <w:pBdr>
          <w:left w:val="single" w:sz="4" w:space="6" w:color="D0D5DD"/>
        </w:pBdr>
      </w:pPr>
      <w:r>
        <w:rPr>
          <w:rFonts w:ascii="Consolas" w:hAnsi="Consolas"/>
          <w:color w:val="0B1F3A"/>
          <w:sz w:val="16"/>
        </w:rPr>
        <w:t>| is told what is happening.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The alternative, quietly paying a smaller amount, is the failure this    |</w:t>
      </w:r>
    </w:p>
    <w:p>
      <w:pPr>
        <w:spacing w:before="0" w:after="0" w:line="240" w:lineRule="auto"/>
        <w:ind w:left="230"/>
        <w:shd w:val="clear" w:color="auto" w:fill="F7F9FC"/>
        <w:pBdr>
          <w:left w:val="single" w:sz="4" w:space="6" w:color="D0D5DD"/>
        </w:pBdr>
      </w:pPr>
      <w:r>
        <w:rPr>
          <w:rFonts w:ascii="Consolas" w:hAnsi="Consolas"/>
          <w:color w:val="0B1F3A"/>
          <w:sz w:val="16"/>
        </w:rPr>
        <w:t>| product exists to avoid.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6.20.2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19"/>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325"/>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811"/>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19"/>
            <w:tcMar>
              <w:top w:w="60" w:type="dxa"/>
              <w:start w:w="110" w:type="dxa"/>
              <w:bottom w:w="60" w:type="dxa"/>
              <w:end w:w="110" w:type="dxa"/>
            </w:tcMar>
          </w:tcPr>
          <w:p>
            <w:pPr>
              <w:spacing w:after="0"/>
            </w:pPr>
            <w:r/>
            <w:r>
              <w:rPr>
                <w:rFonts w:ascii="Calibri" w:hAnsi="Calibri"/>
                <w:b w:val="0"/>
                <w:i w:val="0"/>
                <w:color w:val="101828"/>
                <w:sz w:val="14"/>
              </w:rPr>
              <w:t>(1) Upcoming payout</w:t>
            </w:r>
          </w:p>
        </w:tc>
        <w:tc>
          <w:tcPr>
            <w:tcW w:type="dxa" w:w="1325"/>
            <w:tcMar>
              <w:top w:w="60" w:type="dxa"/>
              <w:start w:w="110" w:type="dxa"/>
              <w:bottom w:w="60" w:type="dxa"/>
              <w:end w:w="110" w:type="dxa"/>
            </w:tcMar>
          </w:tcPr>
          <w:p>
            <w:pPr>
              <w:spacing w:after="0"/>
            </w:pPr>
            <w:r/>
            <w:r>
              <w:rPr>
                <w:rFonts w:ascii="Calibri" w:hAnsi="Calibri"/>
                <w:b w:val="0"/>
                <w:i w:val="0"/>
                <w:color w:val="101828"/>
                <w:sz w:val="14"/>
              </w:rPr>
              <w:t>The next round in which this member is paid, and the amount.</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811"/>
            <w:tcMar>
              <w:top w:w="60" w:type="dxa"/>
              <w:start w:w="110" w:type="dxa"/>
              <w:bottom w:w="60" w:type="dxa"/>
              <w:end w:w="110" w:type="dxa"/>
            </w:tcMar>
          </w:tcPr>
          <w:p>
            <w:pPr>
              <w:spacing w:after="0"/>
            </w:pPr>
            <w:r/>
            <w:r>
              <w:rPr>
                <w:rFonts w:ascii="Calibri" w:hAnsi="Calibri"/>
                <w:b w:val="0"/>
                <w:i w:val="0"/>
                <w:color w:val="101828"/>
                <w:sz w:val="14"/>
              </w:rPr>
              <w:t xml:space="preserve">The amount is named </w:t>
            </w:r>
            <w:r>
              <w:rPr>
                <w:rFonts w:ascii="Calibri" w:hAnsi="Calibri"/>
                <w:i/>
                <w:color w:val="101828"/>
                <w:sz w:val="14"/>
              </w:rPr>
              <w:t>the base pool</w:t>
            </w:r>
            <w:r>
              <w:rPr>
                <w:rFonts w:ascii="Calibri" w:hAnsi="Calibri"/>
                <w:b w:val="0"/>
                <w:i w:val="0"/>
                <w:color w:val="101828"/>
                <w:sz w:val="14"/>
              </w:rPr>
              <w:t xml:space="preserve"> and the derivation </w:t>
            </w:r>
            <w:r>
              <w:rPr>
                <w:rFonts w:ascii="Calibri" w:hAnsi="Calibri"/>
                <w:i/>
                <w:color w:val="101828"/>
                <w:sz w:val="14"/>
              </w:rPr>
              <w:t>10 members at NGN 1,000.00</w:t>
            </w:r>
            <w:r>
              <w:rPr>
                <w:rFonts w:ascii="Calibri" w:hAnsi="Calibri"/>
                <w:b w:val="0"/>
                <w:i w:val="0"/>
                <w:color w:val="101828"/>
                <w:sz w:val="14"/>
              </w:rPr>
              <w:t xml:space="preserve"> is shown beneath it, so the figure is never a bare number that has to be compared against something else later.</w:t>
            </w:r>
          </w:p>
        </w:tc>
      </w:tr>
      <w:tr>
        <w:trPr>
          <w:cantSplit/>
        </w:trPr>
        <w:tc>
          <w:tcPr>
            <w:tcW w:type="dxa" w:w="619"/>
            <w:tcMar>
              <w:top w:w="60" w:type="dxa"/>
              <w:start w:w="110" w:type="dxa"/>
              <w:bottom w:w="60" w:type="dxa"/>
              <w:end w:w="110" w:type="dxa"/>
            </w:tcMar>
            <w:shd w:val="clear" w:color="auto" w:fill="F4F7FB"/>
          </w:tcPr>
          <w:p>
            <w:pPr>
              <w:spacing w:after="0"/>
            </w:pPr>
            <w:r/>
            <w:r>
              <w:rPr>
                <w:rFonts w:ascii="Calibri" w:hAnsi="Calibri"/>
                <w:b w:val="0"/>
                <w:i w:val="0"/>
                <w:color w:val="101828"/>
                <w:sz w:val="14"/>
              </w:rPr>
              <w:t>(2) Fee-not-in-pool sentence</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States that the per-member fee is not part of the payout.</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811"/>
            <w:tcMar>
              <w:top w:w="60" w:type="dxa"/>
              <w:start w:w="110" w:type="dxa"/>
              <w:bottom w:w="60" w:type="dxa"/>
              <w:end w:w="110" w:type="dxa"/>
            </w:tcMar>
            <w:shd w:val="clear" w:color="auto" w:fill="F4F7FB"/>
          </w:tcPr>
          <w:p>
            <w:pPr>
              <w:spacing w:after="0"/>
            </w:pPr>
            <w:r/>
            <w:r>
              <w:rPr>
                <w:rFonts w:ascii="Calibri" w:hAnsi="Calibri"/>
                <w:b/>
                <w:color w:val="101828"/>
                <w:sz w:val="14"/>
              </w:rPr>
              <w:t>Mandatory, and repeated from 6.14 and 6.19.</w:t>
            </w:r>
            <w:r>
              <w:rPr>
                <w:rFonts w:ascii="Calibri" w:hAnsi="Calibri"/>
                <w:b w:val="0"/>
                <w:i w:val="0"/>
                <w:color w:val="101828"/>
                <w:sz w:val="14"/>
              </w:rPr>
              <w:t xml:space="preserve"> A member seeing NGN 10,200.00 collected and NGN 10,000.00 paid is owed an explanation on the screen where the payout is, not in a help centre.</w:t>
            </w:r>
          </w:p>
        </w:tc>
      </w:tr>
      <w:tr>
        <w:trPr>
          <w:cantSplit/>
        </w:trPr>
        <w:tc>
          <w:tcPr>
            <w:tcW w:type="dxa" w:w="619"/>
            <w:tcMar>
              <w:top w:w="60" w:type="dxa"/>
              <w:start w:w="110" w:type="dxa"/>
              <w:bottom w:w="60" w:type="dxa"/>
              <w:end w:w="110" w:type="dxa"/>
            </w:tcMar>
          </w:tcPr>
          <w:p>
            <w:pPr>
              <w:spacing w:after="0"/>
            </w:pPr>
            <w:r/>
            <w:r>
              <w:rPr>
                <w:rFonts w:ascii="Calibri" w:hAnsi="Calibri"/>
                <w:b w:val="0"/>
                <w:i w:val="0"/>
                <w:color w:val="101828"/>
                <w:sz w:val="14"/>
              </w:rPr>
              <w:t>(3) Payout state</w:t>
            </w:r>
          </w:p>
        </w:tc>
        <w:tc>
          <w:tcPr>
            <w:tcW w:type="dxa" w:w="1325"/>
            <w:tcMar>
              <w:top w:w="60" w:type="dxa"/>
              <w:start w:w="110" w:type="dxa"/>
              <w:bottom w:w="60" w:type="dxa"/>
              <w:end w:w="110" w:type="dxa"/>
            </w:tcMar>
          </w:tcPr>
          <w:p>
            <w:pPr>
              <w:spacing w:after="0"/>
            </w:pPr>
            <w:r/>
            <w:r>
              <w:rPr>
                <w:rFonts w:ascii="Calibri" w:hAnsi="Calibri"/>
                <w:b w:val="0"/>
                <w:i w:val="0"/>
                <w:color w:val="101828"/>
                <w:sz w:val="14"/>
              </w:rPr>
              <w:t>SCHEDULED, FUNDING, RELEASED, SUCCESS, FAILED, HELD.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811"/>
            <w:tcMar>
              <w:top w:w="60" w:type="dxa"/>
              <w:start w:w="110" w:type="dxa"/>
              <w:bottom w:w="60" w:type="dxa"/>
              <w:end w:w="110" w:type="dxa"/>
            </w:tcMar>
          </w:tcPr>
          <w:p>
            <w:pPr>
              <w:spacing w:after="0"/>
            </w:pPr>
            <w:r/>
            <w:r>
              <w:rPr>
                <w:rFonts w:ascii="Calibri" w:hAnsi="Calibri"/>
                <w:b w:val="0"/>
                <w:i w:val="0"/>
                <w:color w:val="101828"/>
                <w:sz w:val="14"/>
              </w:rPr>
              <w:t xml:space="preserve">The CANONICAL.md payout states, in title case. </w:t>
            </w:r>
            <w:r>
              <w:rPr>
                <w:rFonts w:ascii="Consolas" w:hAnsi="Consolas"/>
                <w:color w:val="146EF5"/>
                <w:sz w:val="14"/>
              </w:rPr>
              <w:t>FUNDING</w:t>
            </w:r>
            <w:r>
              <w:rPr>
                <w:rFonts w:ascii="Calibri" w:hAnsi="Calibri"/>
                <w:b w:val="0"/>
                <w:i w:val="0"/>
                <w:color w:val="101828"/>
                <w:sz w:val="14"/>
              </w:rPr>
              <w:t xml:space="preserve"> and </w:t>
            </w:r>
            <w:r>
              <w:rPr>
                <w:rFonts w:ascii="Consolas" w:hAnsi="Consolas"/>
                <w:color w:val="146EF5"/>
                <w:sz w:val="14"/>
              </w:rPr>
              <w:t>RELEASED</w:t>
            </w:r>
            <w:r>
              <w:rPr>
                <w:rFonts w:ascii="Calibri" w:hAnsi="Calibri"/>
                <w:b w:val="0"/>
                <w:i w:val="0"/>
                <w:color w:val="101828"/>
                <w:sz w:val="14"/>
              </w:rPr>
              <w:t xml:space="preserve"> are separated in the data because they are separated in the ledger, and collapsing them in the UI would make a released-but-unsettled payout look complete.</w:t>
            </w:r>
          </w:p>
        </w:tc>
      </w:tr>
      <w:tr>
        <w:trPr>
          <w:cantSplit/>
        </w:trPr>
        <w:tc>
          <w:tcPr>
            <w:tcW w:type="dxa" w:w="619"/>
            <w:tcMar>
              <w:top w:w="60" w:type="dxa"/>
              <w:start w:w="110" w:type="dxa"/>
              <w:bottom w:w="60" w:type="dxa"/>
              <w:end w:w="110" w:type="dxa"/>
            </w:tcMar>
            <w:shd w:val="clear" w:color="auto" w:fill="F4F7FB"/>
          </w:tcPr>
          <w:p>
            <w:pPr>
              <w:spacing w:after="0"/>
            </w:pPr>
            <w:r/>
            <w:r>
              <w:rPr>
                <w:rFonts w:ascii="Calibri" w:hAnsi="Calibri"/>
                <w:b w:val="0"/>
                <w:i w:val="0"/>
                <w:color w:val="101828"/>
                <w:sz w:val="14"/>
              </w:rPr>
              <w:t>(4) Settlement target</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When a SUCCESS payout reached the member's account.</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811"/>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Shown only once settled. Before settlement the column reads the provider's expected timing as an estimate, and </w:t>
            </w:r>
            <w:r>
              <w:rPr>
                <w:rFonts w:ascii="Calibri" w:hAnsi="Calibri"/>
                <w:b/>
                <w:color w:val="101828"/>
                <w:sz w:val="14"/>
              </w:rPr>
              <w:t>the estimate is attributed to the payment partner rather than promised by AJO.ng</w:t>
            </w:r>
            <w:r>
              <w:rPr>
                <w:rFonts w:ascii="Calibri" w:hAnsi="Calibri"/>
                <w:b w:val="0"/>
                <w:i w:val="0"/>
                <w:color w:val="101828"/>
                <w:sz w:val="14"/>
              </w:rPr>
              <w:t>, because D-03 is unresolved.</w:t>
            </w:r>
          </w:p>
        </w:tc>
      </w:tr>
      <w:tr>
        <w:trPr>
          <w:cantSplit/>
        </w:trPr>
        <w:tc>
          <w:tcPr>
            <w:tcW w:type="dxa" w:w="619"/>
            <w:tcMar>
              <w:top w:w="60" w:type="dxa"/>
              <w:start w:w="110" w:type="dxa"/>
              <w:bottom w:w="60" w:type="dxa"/>
              <w:end w:w="110" w:type="dxa"/>
            </w:tcMar>
          </w:tcPr>
          <w:p>
            <w:pPr>
              <w:spacing w:after="0"/>
            </w:pPr>
            <w:r/>
            <w:r>
              <w:rPr>
                <w:rFonts w:ascii="Calibri" w:hAnsi="Calibri"/>
                <w:b w:val="0"/>
                <w:i w:val="0"/>
                <w:color w:val="101828"/>
                <w:sz w:val="14"/>
              </w:rPr>
              <w:t>(5) Bank account</w:t>
            </w:r>
          </w:p>
        </w:tc>
        <w:tc>
          <w:tcPr>
            <w:tcW w:type="dxa" w:w="1325"/>
            <w:tcMar>
              <w:top w:w="60" w:type="dxa"/>
              <w:start w:w="110" w:type="dxa"/>
              <w:bottom w:w="60" w:type="dxa"/>
              <w:end w:w="110" w:type="dxa"/>
            </w:tcMar>
          </w:tcPr>
          <w:p>
            <w:pPr>
              <w:spacing w:after="0"/>
            </w:pPr>
            <w:r/>
            <w:r>
              <w:rPr>
                <w:rFonts w:ascii="Calibri" w:hAnsi="Calibri"/>
                <w:b w:val="0"/>
                <w:i w:val="0"/>
                <w:color w:val="101828"/>
                <w:sz w:val="14"/>
              </w:rPr>
              <w:t>Where the money goes.</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811"/>
            <w:tcMar>
              <w:top w:w="60" w:type="dxa"/>
              <w:start w:w="110" w:type="dxa"/>
              <w:bottom w:w="60" w:type="dxa"/>
              <w:end w:w="110" w:type="dxa"/>
            </w:tcMar>
          </w:tcPr>
          <w:p>
            <w:pPr>
              <w:spacing w:after="0"/>
            </w:pPr>
            <w:r/>
            <w:r>
              <w:rPr>
                <w:rFonts w:ascii="Calibri" w:hAnsi="Calibri"/>
                <w:b w:val="0"/>
                <w:i w:val="0"/>
                <w:color w:val="101828"/>
                <w:sz w:val="14"/>
              </w:rPr>
              <w:t xml:space="preserve">Masked to the last four digits, as </w:t>
            </w:r>
            <w:r>
              <w:rPr>
                <w:rFonts w:ascii="Consolas" w:hAnsi="Consolas"/>
                <w:color w:val="146EF5"/>
                <w:sz w:val="14"/>
              </w:rPr>
              <w:t>0203 *** ***3</w:t>
            </w:r>
            <w:r>
              <w:rPr>
                <w:rFonts w:ascii="Calibri" w:hAnsi="Calibri"/>
                <w:b w:val="0"/>
                <w:i w:val="0"/>
                <w:color w:val="101828"/>
                <w:sz w:val="14"/>
              </w:rPr>
              <w:t>. The full account number is never shown after it has been saved, because the screens that display it are the screens most likely to be photographed.</w:t>
            </w:r>
          </w:p>
        </w:tc>
      </w:tr>
      <w:tr>
        <w:trPr>
          <w:cantSplit/>
        </w:trPr>
        <w:tc>
          <w:tcPr>
            <w:tcW w:type="dxa" w:w="619"/>
            <w:tcMar>
              <w:top w:w="60" w:type="dxa"/>
              <w:start w:w="110" w:type="dxa"/>
              <w:bottom w:w="60" w:type="dxa"/>
              <w:end w:w="110" w:type="dxa"/>
            </w:tcMar>
            <w:shd w:val="clear" w:color="auto" w:fill="F4F7FB"/>
          </w:tcPr>
          <w:p>
            <w:pPr>
              <w:spacing w:after="0"/>
            </w:pPr>
            <w:r/>
            <w:r>
              <w:rPr>
                <w:rFonts w:ascii="Calibri" w:hAnsi="Calibri"/>
                <w:b w:val="0"/>
                <w:i w:val="0"/>
                <w:color w:val="101828"/>
                <w:sz w:val="14"/>
              </w:rPr>
              <w:t>(6) Held state</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An under-collected round and what happens instead.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811"/>
            <w:tcMar>
              <w:top w:w="60" w:type="dxa"/>
              <w:start w:w="110" w:type="dxa"/>
              <w:bottom w:w="60" w:type="dxa"/>
              <w:end w:w="110" w:type="dxa"/>
            </w:tcMar>
            <w:shd w:val="clear" w:color="auto" w:fill="F4F7FB"/>
          </w:tcPr>
          <w:p>
            <w:pPr>
              <w:spacing w:after="0"/>
            </w:pPr>
            <w:r/>
            <w:r>
              <w:rPr>
                <w:rFonts w:ascii="Calibri" w:hAnsi="Calibri"/>
                <w:b/>
                <w:color w:val="101828"/>
                <w:sz w:val="14"/>
              </w:rPr>
              <w:t>The held state says three things: the amount is not reduced, AJO.ng's own funds are not used, and the member will be told the outcome.</w:t>
            </w:r>
            <w:r>
              <w:rPr>
                <w:rFonts w:ascii="Calibri" w:hAnsi="Calibri"/>
                <w:b w:val="0"/>
                <w:i w:val="0"/>
                <w:color w:val="101828"/>
                <w:sz w:val="14"/>
              </w:rPr>
              <w:t xml:space="preserve"> CANONICAL.md is explicit that a payout must not be silently reduced and corporate funds must not be used, and a member who is waiting for money needs to know the product will not invent it.</w:t>
            </w:r>
          </w:p>
        </w:tc>
      </w:tr>
      <w:tr>
        <w:trPr>
          <w:cantSplit/>
        </w:trPr>
        <w:tc>
          <w:tcPr>
            <w:tcW w:type="dxa" w:w="619"/>
            <w:tcMar>
              <w:top w:w="60" w:type="dxa"/>
              <w:start w:w="110" w:type="dxa"/>
              <w:bottom w:w="60" w:type="dxa"/>
              <w:end w:w="110" w:type="dxa"/>
            </w:tcMar>
          </w:tcPr>
          <w:p>
            <w:pPr>
              <w:spacing w:after="0"/>
            </w:pPr>
            <w:r/>
            <w:r>
              <w:rPr>
                <w:rFonts w:ascii="Calibri" w:hAnsi="Calibri"/>
                <w:b w:val="0"/>
                <w:i w:val="0"/>
                <w:color w:val="101828"/>
                <w:sz w:val="14"/>
              </w:rPr>
              <w:t>(7) What happens next</w:t>
            </w:r>
          </w:p>
        </w:tc>
        <w:tc>
          <w:tcPr>
            <w:tcW w:type="dxa" w:w="1325"/>
            <w:tcMar>
              <w:top w:w="60" w:type="dxa"/>
              <w:start w:w="110" w:type="dxa"/>
              <w:bottom w:w="60" w:type="dxa"/>
              <w:end w:w="110" w:type="dxa"/>
            </w:tcMar>
          </w:tcPr>
          <w:p>
            <w:pPr>
              <w:spacing w:after="0"/>
            </w:pPr>
            <w:r/>
            <w:r>
              <w:rPr>
                <w:rFonts w:ascii="Calibri" w:hAnsi="Calibri"/>
                <w:b w:val="0"/>
                <w:i w:val="0"/>
                <w:color w:val="101828"/>
                <w:sz w:val="14"/>
              </w:rPr>
              <w:t>The recovery process, in plain terms.</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811"/>
            <w:tcMar>
              <w:top w:w="60" w:type="dxa"/>
              <w:start w:w="110" w:type="dxa"/>
              <w:bottom w:w="60" w:type="dxa"/>
              <w:end w:w="110" w:type="dxa"/>
            </w:tcMar>
          </w:tcPr>
          <w:p>
            <w:pPr>
              <w:spacing w:after="0"/>
            </w:pPr>
            <w:r/>
            <w:r>
              <w:rPr>
                <w:rFonts w:ascii="Calibri" w:hAnsi="Calibri"/>
                <w:b w:val="0"/>
                <w:i w:val="0"/>
                <w:color w:val="101828"/>
                <w:sz w:val="14"/>
              </w:rPr>
              <w:t>Links to the default-handling explanation. The sequence CANONICAL.md fixes — reminder, retry, 48-hour grace, organiser notified, member contacted, default recorded, recovery — is written for members as well as for the risk team.</w:t>
            </w:r>
          </w:p>
        </w:tc>
      </w:tr>
      <w:tr>
        <w:trPr>
          <w:cantSplit/>
        </w:trPr>
        <w:tc>
          <w:tcPr>
            <w:tcW w:type="dxa" w:w="619"/>
            <w:tcMar>
              <w:top w:w="60" w:type="dxa"/>
              <w:start w:w="110" w:type="dxa"/>
              <w:bottom w:w="60" w:type="dxa"/>
              <w:end w:w="110" w:type="dxa"/>
            </w:tcMar>
            <w:shd w:val="clear" w:color="auto" w:fill="F4F7FB"/>
          </w:tcPr>
          <w:p>
            <w:pPr>
              <w:spacing w:after="0"/>
            </w:pPr>
            <w:r/>
            <w:r>
              <w:rPr>
                <w:rFonts w:ascii="Calibri" w:hAnsi="Calibri"/>
                <w:b w:val="0"/>
                <w:i w:val="0"/>
                <w:color w:val="101828"/>
                <w:sz w:val="14"/>
              </w:rPr>
              <w:t>(8) Failed payout</w:t>
            </w:r>
          </w:p>
        </w:tc>
        <w:tc>
          <w:tcPr>
            <w:tcW w:type="dxa" w:w="1325"/>
            <w:tcMar>
              <w:top w:w="60" w:type="dxa"/>
              <w:start w:w="110" w:type="dxa"/>
              <w:bottom w:w="60" w:type="dxa"/>
              <w:end w:w="110" w:type="dxa"/>
            </w:tcMar>
            <w:shd w:val="clear" w:color="auto" w:fill="F4F7FB"/>
          </w:tcPr>
          <w:p>
            <w:pPr>
              <w:spacing w:after="0"/>
            </w:pPr>
            <w:r/>
            <w:r>
              <w:rPr>
                <w:rFonts w:ascii="Calibri" w:hAnsi="Calibri"/>
                <w:b w:val="0"/>
                <w:i w:val="0"/>
                <w:color w:val="101828"/>
                <w:sz w:val="14"/>
              </w:rPr>
              <w:t>A settlement failure and the retry.</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811"/>
            <w:tcMar>
              <w:top w:w="60" w:type="dxa"/>
              <w:start w:w="110" w:type="dxa"/>
              <w:bottom w:w="60" w:type="dxa"/>
              <w:end w:w="110" w:type="dxa"/>
            </w:tcMar>
            <w:shd w:val="clear" w:color="auto" w:fill="F4F7FB"/>
          </w:tcPr>
          <w:p>
            <w:pPr>
              <w:spacing w:after="0"/>
            </w:pPr>
            <w:r/>
            <w:r>
              <w:rPr>
                <w:rFonts w:ascii="Calibri" w:hAnsi="Calibri"/>
                <w:b w:val="0"/>
                <w:i w:val="0"/>
                <w:color w:val="101828"/>
                <w:sz w:val="14"/>
              </w:rPr>
              <w:t>Shown as a distinct state from HELD, with the provider's reason and the fact that a retry is automatic. A failed settlement that is not distinguishable from a hold would leave a member thinking their money is gone.</w:t>
            </w:r>
          </w:p>
        </w:tc>
      </w:tr>
    </w:tbl>
    <w:p>
      <w:pPr>
        <w:spacing w:after="80"/>
      </w:pPr>
    </w:p>
    <w:p>
      <w:pPr>
        <w:pStyle w:val="Heading2"/>
      </w:pPr>
      <w:r>
        <w:rPr>
          <w:rFonts w:ascii="Calibri" w:hAnsi="Calibri"/>
          <w:b/>
          <w:i w:val="0"/>
          <w:color w:val="146EF5"/>
          <w:sz w:val="29"/>
        </w:rPr>
        <w:t>6.21 Transactions and Statement — SCR-MOB-14</w:t>
      </w:r>
    </w:p>
    <w:p>
      <w:r>
        <w:rPr>
          <w:rFonts w:ascii="Calibri" w:hAnsi="Calibri"/>
          <w:b w:val="0"/>
          <w:i w:val="0"/>
          <w:color w:val="101828"/>
          <w:sz w:val="21"/>
        </w:rPr>
        <w:t xml:space="preserve">The person's own money, in full, in order, with no grouping tricks. This screen replaces the single line </w:t>
      </w:r>
      <w:r>
        <w:rPr>
          <w:rFonts w:ascii="Calibri" w:hAnsi="Calibri"/>
          <w:i/>
          <w:color w:val="101828"/>
          <w:sz w:val="21"/>
        </w:rPr>
        <w:t>NGN 1,020.00</w:t>
      </w:r>
      <w:r>
        <w:rPr>
          <w:rFonts w:ascii="Calibri" w:hAnsi="Calibri"/>
          <w:b w:val="0"/>
          <w:i w:val="0"/>
          <w:color w:val="101828"/>
          <w:sz w:val="21"/>
        </w:rPr>
        <w:t xml:space="preserve"> that most apps would show, because the two rows underneath it are the platform's fee and the platform's own contribution to the pool, and a member who wants to know what AJO.ng took is entitled to see it itemised rather than summed. The statement is the same data with a date range, and it is the artefact people export at the end of an Ajo.</w:t>
      </w:r>
    </w:p>
    <w:p>
      <w:pPr>
        <w:spacing w:before="140" w:after="180"/>
        <w:ind w:left="144"/>
        <w:shd w:val="clear" w:color="auto" w:fill="EFF6FF"/>
        <w:pBdr>
          <w:left w:val="single" w:sz="18" w:space="6" w:color="146EF5"/>
        </w:pBdr>
      </w:pPr>
      <w:r>
        <w:rPr>
          <w:rFonts w:ascii="Calibri" w:hAnsi="Calibri"/>
          <w:b/>
          <w:color w:val="146EF5"/>
          <w:sz w:val="19"/>
        </w:rPr>
        <w:t xml:space="preserve">Why the fee row is visible and the payment row is also visible  </w:t>
      </w:r>
      <w:r>
        <w:rPr>
          <w:rFonts w:ascii="Calibri" w:hAnsi="Calibri"/>
          <w:b w:val="0"/>
          <w:i w:val="0"/>
          <w:color w:val="0B1F3A"/>
          <w:sz w:val="19"/>
        </w:rPr>
        <w:t xml:space="preserve">Showing both the NGN 1,020.00 payment and its NGN 1,000.00 and NGN 20.00 components means the same money appears twice in a list, which is counter-intuitive if you are not reading carefully. The alternative, showing only the two components, hides the amount that actually left the bank account, and a member comparing that with their statement cannot reconcile it. Both are shown, and the payment row is visually subordinate: it carries the reference and the total, and the component rows carry the detail. The period summary resolves the apparent double count by stating that the fee is </w:t>
      </w:r>
      <w:r>
        <w:rPr>
          <w:rFonts w:ascii="Calibri" w:hAnsi="Calibri"/>
          <w:i/>
          <w:color w:val="0B1F3A"/>
          <w:sz w:val="19"/>
        </w:rPr>
        <w:t>part of</w:t>
      </w:r>
      <w:r>
        <w:rPr>
          <w:rFonts w:ascii="Calibri" w:hAnsi="Calibri"/>
          <w:b w:val="0"/>
          <w:i w:val="0"/>
          <w:color w:val="0B1F3A"/>
          <w:sz w:val="19"/>
        </w:rPr>
        <w:t xml:space="preserve"> the total charged rather than additional to it.</w:t>
      </w:r>
    </w:p>
    <w:p>
      <w:pPr>
        <w:pStyle w:val="Heading3"/>
      </w:pPr>
      <w:r>
        <w:rPr>
          <w:rFonts w:ascii="Calibri" w:hAnsi="Calibri"/>
          <w:b/>
          <w:i w:val="0"/>
          <w:color w:val="0B1F3A"/>
          <w:sz w:val="24"/>
        </w:rPr>
        <w:t>6.21.1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Transactions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Adaeze's Ajo  All  &lt;                     |</w:t>
      </w:r>
    </w:p>
    <w:p>
      <w:pPr>
        <w:spacing w:before="0" w:after="0" w:line="240" w:lineRule="auto"/>
        <w:ind w:left="230"/>
        <w:shd w:val="clear" w:color="auto" w:fill="F7F9FC"/>
        <w:pBdr>
          <w:left w:val="single" w:sz="4" w:space="6" w:color="D0D5DD"/>
        </w:pBdr>
      </w:pPr>
      <w:r>
        <w:rPr>
          <w:rFonts w:ascii="Consolas" w:hAnsi="Consolas"/>
          <w:color w:val="0B1F3A"/>
          <w:sz w:val="16"/>
        </w:rPr>
        <w:t>+-- (2) GROUP -----------------------------+</w:t>
      </w:r>
    </w:p>
    <w:p>
      <w:pPr>
        <w:spacing w:before="0" w:after="0" w:line="240" w:lineRule="auto"/>
        <w:ind w:left="230"/>
        <w:shd w:val="clear" w:color="auto" w:fill="F7F9FC"/>
        <w:pBdr>
          <w:left w:val="single" w:sz="4" w:space="6" w:color="D0D5DD"/>
        </w:pBdr>
      </w:pPr>
      <w:r>
        <w:rPr>
          <w:rFonts w:ascii="Consolas" w:hAnsi="Consolas"/>
          <w:color w:val="0B1F3A"/>
          <w:sz w:val="16"/>
        </w:rPr>
        <w:t>| 12 Sep 2026                              |</w:t>
      </w:r>
    </w:p>
    <w:p>
      <w:pPr>
        <w:spacing w:before="0" w:after="0" w:line="240" w:lineRule="auto"/>
        <w:ind w:left="230"/>
        <w:shd w:val="clear" w:color="auto" w:fill="F7F9FC"/>
        <w:pBdr>
          <w:left w:val="single" w:sz="4" w:space="6" w:color="D0D5DD"/>
        </w:pBdr>
      </w:pPr>
      <w:r>
        <w:rPr>
          <w:rFonts w:ascii="Consolas" w:hAnsi="Consolas"/>
          <w:color w:val="0B1F3A"/>
          <w:sz w:val="16"/>
        </w:rPr>
        <w:t>|   NGN 1,020.00  paid  round 4   &gt;        |</w:t>
      </w:r>
    </w:p>
    <w:p>
      <w:pPr>
        <w:spacing w:before="0" w:after="0" w:line="240" w:lineRule="auto"/>
        <w:ind w:left="230"/>
        <w:shd w:val="clear" w:color="auto" w:fill="F7F9FC"/>
        <w:pBdr>
          <w:left w:val="single" w:sz="4" w:space="6" w:color="D0D5DD"/>
        </w:pBdr>
      </w:pPr>
      <w:r>
        <w:rPr>
          <w:rFonts w:ascii="Consolas" w:hAnsi="Consolas"/>
          <w:color w:val="0B1F3A"/>
          <w:sz w:val="16"/>
        </w:rPr>
        <w:t>|   NGN   20.00  fee  round 4     &gt;        |</w:t>
      </w:r>
    </w:p>
    <w:p>
      <w:pPr>
        <w:spacing w:before="0" w:after="0" w:line="240" w:lineRule="auto"/>
        <w:ind w:left="230"/>
        <w:shd w:val="clear" w:color="auto" w:fill="F7F9FC"/>
        <w:pBdr>
          <w:left w:val="single" w:sz="4" w:space="6" w:color="D0D5DD"/>
        </w:pBdr>
      </w:pPr>
      <w:r>
        <w:rPr>
          <w:rFonts w:ascii="Consolas" w:hAnsi="Consolas"/>
          <w:color w:val="0B1F3A"/>
          <w:sz w:val="16"/>
        </w:rPr>
        <w:t>| 05 Sep 2026                              |</w:t>
      </w:r>
    </w:p>
    <w:p>
      <w:pPr>
        <w:spacing w:before="0" w:after="0" w:line="240" w:lineRule="auto"/>
        <w:ind w:left="230"/>
        <w:shd w:val="clear" w:color="auto" w:fill="F7F9FC"/>
        <w:pBdr>
          <w:left w:val="single" w:sz="4" w:space="6" w:color="D0D5DD"/>
        </w:pBdr>
      </w:pPr>
      <w:r>
        <w:rPr>
          <w:rFonts w:ascii="Consolas" w:hAnsi="Consolas"/>
          <w:color w:val="0B1F3A"/>
          <w:sz w:val="16"/>
        </w:rPr>
        <w:t>|   NGN 10,000.00  received  round 2  &gt;    |</w:t>
      </w:r>
    </w:p>
    <w:p>
      <w:pPr>
        <w:spacing w:before="0" w:after="0" w:line="240" w:lineRule="auto"/>
        <w:ind w:left="230"/>
        <w:shd w:val="clear" w:color="auto" w:fill="F7F9FC"/>
        <w:pBdr>
          <w:left w:val="single" w:sz="4" w:space="6" w:color="D0D5DD"/>
        </w:pBdr>
      </w:pPr>
      <w:r>
        <w:rPr>
          <w:rFonts w:ascii="Consolas" w:hAnsi="Consolas"/>
          <w:color w:val="0B1F3A"/>
          <w:sz w:val="16"/>
        </w:rPr>
        <w:t>| 29 Aug 2026                              |</w:t>
      </w:r>
    </w:p>
    <w:p>
      <w:pPr>
        <w:spacing w:before="0" w:after="0" w:line="240" w:lineRule="auto"/>
        <w:ind w:left="230"/>
        <w:shd w:val="clear" w:color="auto" w:fill="F7F9FC"/>
        <w:pBdr>
          <w:left w:val="single" w:sz="4" w:space="6" w:color="D0D5DD"/>
        </w:pBdr>
      </w:pPr>
      <w:r>
        <w:rPr>
          <w:rFonts w:ascii="Consolas" w:hAnsi="Consolas"/>
          <w:color w:val="0B1F3A"/>
          <w:sz w:val="16"/>
        </w:rPr>
        <w:t>|   NGN 1,020.00  paid  round 3   &gt;        |</w:t>
      </w:r>
    </w:p>
    <w:p>
      <w:pPr>
        <w:spacing w:before="0" w:after="0" w:line="240" w:lineRule="auto"/>
        <w:ind w:left="230"/>
        <w:shd w:val="clear" w:color="auto" w:fill="F7F9FC"/>
        <w:pBdr>
          <w:left w:val="single" w:sz="4" w:space="6" w:color="D0D5DD"/>
        </w:pBdr>
      </w:pPr>
      <w:r>
        <w:rPr>
          <w:rFonts w:ascii="Consolas" w:hAnsi="Consolas"/>
          <w:color w:val="0B1F3A"/>
          <w:sz w:val="16"/>
        </w:rPr>
        <w:t>+-- (3) STATEMENT -------------------------+</w:t>
      </w:r>
    </w:p>
    <w:p>
      <w:pPr>
        <w:spacing w:before="0" w:after="0" w:line="240" w:lineRule="auto"/>
        <w:ind w:left="230"/>
        <w:shd w:val="clear" w:color="auto" w:fill="F7F9FC"/>
        <w:pBdr>
          <w:left w:val="single" w:sz="4" w:space="6" w:color="D0D5DD"/>
        </w:pBdr>
      </w:pPr>
      <w:r>
        <w:rPr>
          <w:rFonts w:ascii="Consolas" w:hAnsi="Consolas"/>
          <w:color w:val="0B1F3A"/>
          <w:sz w:val="16"/>
        </w:rPr>
        <w:t>| September 2026                           |</w:t>
      </w:r>
    </w:p>
    <w:p>
      <w:pPr>
        <w:spacing w:before="0" w:after="0" w:line="240" w:lineRule="auto"/>
        <w:ind w:left="230"/>
        <w:shd w:val="clear" w:color="auto" w:fill="F7F9FC"/>
        <w:pBdr>
          <w:left w:val="single" w:sz="4" w:space="6" w:color="D0D5DD"/>
        </w:pBdr>
      </w:pPr>
      <w:r>
        <w:rPr>
          <w:rFonts w:ascii="Consolas" w:hAnsi="Consolas"/>
          <w:color w:val="0B1F3A"/>
          <w:sz w:val="16"/>
        </w:rPr>
        <w:t>| In   NGN 10,000.00                       |</w:t>
      </w:r>
    </w:p>
    <w:p>
      <w:pPr>
        <w:spacing w:before="0" w:after="0" w:line="240" w:lineRule="auto"/>
        <w:ind w:left="230"/>
        <w:shd w:val="clear" w:color="auto" w:fill="F7F9FC"/>
        <w:pBdr>
          <w:left w:val="single" w:sz="4" w:space="6" w:color="D0D5DD"/>
        </w:pBdr>
      </w:pPr>
      <w:r>
        <w:rPr>
          <w:rFonts w:ascii="Consolas" w:hAnsi="Consolas"/>
          <w:color w:val="0B1F3A"/>
          <w:sz w:val="16"/>
        </w:rPr>
        <w:t>| Out  NGN 1,040.00                        |</w:t>
      </w:r>
    </w:p>
    <w:p>
      <w:pPr>
        <w:spacing w:before="0" w:after="0" w:line="240" w:lineRule="auto"/>
        <w:ind w:left="230"/>
        <w:shd w:val="clear" w:color="auto" w:fill="F7F9FC"/>
        <w:pBdr>
          <w:left w:val="single" w:sz="4" w:space="6" w:color="D0D5DD"/>
        </w:pBdr>
      </w:pPr>
      <w:r>
        <w:rPr>
          <w:rFonts w:ascii="Consolas" w:hAnsi="Consolas"/>
          <w:color w:val="0B1F3A"/>
          <w:sz w:val="16"/>
        </w:rPr>
        <w:t>| Fee paid  NGN 40.00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Out is the total charged,                |</w:t>
      </w:r>
    </w:p>
    <w:p>
      <w:pPr>
        <w:spacing w:before="0" w:after="0" w:line="240" w:lineRule="auto"/>
        <w:ind w:left="230"/>
        <w:shd w:val="clear" w:color="auto" w:fill="F7F9FC"/>
        <w:pBdr>
          <w:left w:val="single" w:sz="4" w:space="6" w:color="D0D5DD"/>
        </w:pBdr>
      </w:pPr>
      <w:r>
        <w:rPr>
          <w:rFonts w:ascii="Consolas" w:hAnsi="Consolas"/>
          <w:color w:val="0B1F3A"/>
          <w:sz w:val="16"/>
        </w:rPr>
        <w:t>| NGN 1,020.00 x 2. The fee                |</w:t>
      </w:r>
    </w:p>
    <w:p>
      <w:pPr>
        <w:spacing w:before="0" w:after="0" w:line="240" w:lineRule="auto"/>
        <w:ind w:left="230"/>
        <w:shd w:val="clear" w:color="auto" w:fill="F7F9FC"/>
        <w:pBdr>
          <w:left w:val="single" w:sz="4" w:space="6" w:color="D0D5DD"/>
        </w:pBdr>
      </w:pPr>
      <w:r>
        <w:rPr>
          <w:rFonts w:ascii="Consolas" w:hAnsi="Consolas"/>
          <w:color w:val="0B1F3A"/>
          <w:sz w:val="16"/>
        </w:rPr>
        <w:t>| is part of it, not extra.                |</w:t>
      </w:r>
    </w:p>
    <w:p>
      <w:pPr>
        <w:spacing w:before="0" w:after="0" w:line="240" w:lineRule="auto"/>
        <w:ind w:left="230"/>
        <w:shd w:val="clear" w:color="auto" w:fill="F7F9FC"/>
        <w:pBdr>
          <w:left w:val="single" w:sz="4" w:space="6" w:color="D0D5DD"/>
        </w:pBdr>
      </w:pPr>
      <w:r>
        <w:rPr>
          <w:rFonts w:ascii="Consolas" w:hAnsi="Consolas"/>
          <w:color w:val="0B1F3A"/>
          <w:sz w:val="16"/>
        </w:rPr>
        <w:t>+-- (4) BOTTOM NAV ------------------------+</w:t>
      </w:r>
    </w:p>
    <w:p>
      <w:pPr>
        <w:spacing w:before="0" w:after="0" w:line="240" w:lineRule="auto"/>
        <w:ind w:left="230"/>
        <w:shd w:val="clear" w:color="auto" w:fill="F7F9FC"/>
        <w:pBdr>
          <w:left w:val="single" w:sz="4" w:space="6" w:color="D0D5DD"/>
        </w:pBdr>
      </w:pPr>
      <w:r>
        <w:rPr>
          <w:rFonts w:ascii="Consolas" w:hAnsi="Consolas"/>
          <w:color w:val="0B1F3A"/>
          <w:sz w:val="16"/>
        </w:rPr>
        <w:t>| Home  Ajos  Pay  Alerts  More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LEFT NAV ----------------------------------------------------------+</w:t>
      </w:r>
    </w:p>
    <w:p>
      <w:pPr>
        <w:spacing w:before="0" w:after="0" w:line="240" w:lineRule="auto"/>
        <w:ind w:left="230"/>
        <w:shd w:val="clear" w:color="auto" w:fill="F7F9FC"/>
        <w:pBdr>
          <w:left w:val="single" w:sz="4" w:space="6" w:color="D0D5DD"/>
        </w:pBdr>
      </w:pPr>
      <w:r>
        <w:rPr>
          <w:rFonts w:ascii="Consolas" w:hAnsi="Consolas"/>
          <w:color w:val="0B1F3A"/>
          <w:sz w:val="16"/>
        </w:rPr>
        <w:t>| Home                                                                     |</w:t>
      </w:r>
    </w:p>
    <w:p>
      <w:pPr>
        <w:spacing w:before="0" w:after="0" w:line="240" w:lineRule="auto"/>
        <w:ind w:left="230"/>
        <w:shd w:val="clear" w:color="auto" w:fill="F7F9FC"/>
        <w:pBdr>
          <w:left w:val="single" w:sz="4" w:space="6" w:color="D0D5DD"/>
        </w:pBdr>
      </w:pPr>
      <w:r>
        <w:rPr>
          <w:rFonts w:ascii="Consolas" w:hAnsi="Consolas"/>
          <w:color w:val="0B1F3A"/>
          <w:sz w:val="16"/>
        </w:rPr>
        <w:t>| My Ajos                                                                  |</w:t>
      </w:r>
    </w:p>
    <w:p>
      <w:pPr>
        <w:spacing w:before="0" w:after="0" w:line="240" w:lineRule="auto"/>
        <w:ind w:left="230"/>
        <w:shd w:val="clear" w:color="auto" w:fill="F7F9FC"/>
        <w:pBdr>
          <w:left w:val="single" w:sz="4" w:space="6" w:color="D0D5DD"/>
        </w:pBdr>
      </w:pPr>
      <w:r>
        <w:rPr>
          <w:rFonts w:ascii="Consolas" w:hAnsi="Consolas"/>
          <w:color w:val="0B1F3A"/>
          <w:sz w:val="16"/>
        </w:rPr>
        <w:t>| Pay                                                                      |</w:t>
      </w:r>
    </w:p>
    <w:p>
      <w:pPr>
        <w:spacing w:before="0" w:after="0" w:line="240" w:lineRule="auto"/>
        <w:ind w:left="230"/>
        <w:shd w:val="clear" w:color="auto" w:fill="F7F9FC"/>
        <w:pBdr>
          <w:left w:val="single" w:sz="4" w:space="6" w:color="D0D5DD"/>
        </w:pBdr>
      </w:pPr>
      <w:r>
        <w:rPr>
          <w:rFonts w:ascii="Consolas" w:hAnsi="Consolas"/>
          <w:color w:val="0B1F3A"/>
          <w:sz w:val="16"/>
        </w:rPr>
        <w:t>| Alerts                                                                   |</w:t>
      </w:r>
    </w:p>
    <w:p>
      <w:pPr>
        <w:spacing w:before="0" w:after="0" w:line="240" w:lineRule="auto"/>
        <w:ind w:left="230"/>
        <w:shd w:val="clear" w:color="auto" w:fill="F7F9FC"/>
        <w:pBdr>
          <w:left w:val="single" w:sz="4" w:space="6" w:color="D0D5DD"/>
        </w:pBdr>
      </w:pPr>
      <w:r>
        <w:rPr>
          <w:rFonts w:ascii="Consolas" w:hAnsi="Consolas"/>
          <w:color w:val="0B1F3A"/>
          <w:sz w:val="16"/>
        </w:rPr>
        <w:t>| Support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Profile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FILTERS -----------------------------------------------------------+</w:t>
      </w:r>
    </w:p>
    <w:p>
      <w:pPr>
        <w:spacing w:before="0" w:after="0" w:line="240" w:lineRule="auto"/>
        <w:ind w:left="230"/>
        <w:shd w:val="clear" w:color="auto" w:fill="F7F9FC"/>
        <w:pBdr>
          <w:left w:val="single" w:sz="4" w:space="6" w:color="D0D5DD"/>
        </w:pBdr>
      </w:pPr>
      <w:r>
        <w:rPr>
          <w:rFonts w:ascii="Consolas" w:hAnsi="Consolas"/>
          <w:color w:val="0B1F3A"/>
          <w:sz w:val="16"/>
        </w:rPr>
        <w:t>| All                                                                      |</w:t>
      </w:r>
    </w:p>
    <w:p>
      <w:pPr>
        <w:spacing w:before="0" w:after="0" w:line="240" w:lineRule="auto"/>
        <w:ind w:left="230"/>
        <w:shd w:val="clear" w:color="auto" w:fill="F7F9FC"/>
        <w:pBdr>
          <w:left w:val="single" w:sz="4" w:space="6" w:color="D0D5DD"/>
        </w:pBdr>
      </w:pPr>
      <w:r>
        <w:rPr>
          <w:rFonts w:ascii="Consolas" w:hAnsi="Consolas"/>
          <w:color w:val="0B1F3A"/>
          <w:sz w:val="16"/>
        </w:rPr>
        <w:t>| Money in                                                                 |</w:t>
      </w:r>
    </w:p>
    <w:p>
      <w:pPr>
        <w:spacing w:before="0" w:after="0" w:line="240" w:lineRule="auto"/>
        <w:ind w:left="230"/>
        <w:shd w:val="clear" w:color="auto" w:fill="F7F9FC"/>
        <w:pBdr>
          <w:left w:val="single" w:sz="4" w:space="6" w:color="D0D5DD"/>
        </w:pBdr>
      </w:pPr>
      <w:r>
        <w:rPr>
          <w:rFonts w:ascii="Consolas" w:hAnsi="Consolas"/>
          <w:color w:val="0B1F3A"/>
          <w:sz w:val="16"/>
        </w:rPr>
        <w:t>| Money out                                                                |</w:t>
      </w:r>
    </w:p>
    <w:p>
      <w:pPr>
        <w:spacing w:before="0" w:after="0" w:line="240" w:lineRule="auto"/>
        <w:ind w:left="230"/>
        <w:shd w:val="clear" w:color="auto" w:fill="F7F9FC"/>
        <w:pBdr>
          <w:left w:val="single" w:sz="4" w:space="6" w:color="D0D5DD"/>
        </w:pBdr>
      </w:pPr>
      <w:r>
        <w:rPr>
          <w:rFonts w:ascii="Consolas" w:hAnsi="Consolas"/>
          <w:color w:val="0B1F3A"/>
          <w:sz w:val="16"/>
        </w:rPr>
        <w:t>| Fees                                                                     |</w:t>
      </w:r>
    </w:p>
    <w:p>
      <w:pPr>
        <w:spacing w:before="0" w:after="0" w:line="240" w:lineRule="auto"/>
        <w:ind w:left="230"/>
        <w:shd w:val="clear" w:color="auto" w:fill="F7F9FC"/>
        <w:pBdr>
          <w:left w:val="single" w:sz="4" w:space="6" w:color="D0D5DD"/>
        </w:pBdr>
      </w:pPr>
      <w:r>
        <w:rPr>
          <w:rFonts w:ascii="Consolas" w:hAnsi="Consolas"/>
          <w:color w:val="0B1F3A"/>
          <w:sz w:val="16"/>
        </w:rPr>
        <w:t>| This month                                                               |</w:t>
      </w:r>
    </w:p>
    <w:p>
      <w:pPr>
        <w:spacing w:before="0" w:after="0" w:line="240" w:lineRule="auto"/>
        <w:ind w:left="230"/>
        <w:shd w:val="clear" w:color="auto" w:fill="F7F9FC"/>
        <w:pBdr>
          <w:left w:val="single" w:sz="4" w:space="6" w:color="D0D5DD"/>
        </w:pBdr>
      </w:pPr>
      <w:r>
        <w:rPr>
          <w:rFonts w:ascii="Consolas" w:hAnsi="Consolas"/>
          <w:color w:val="0B1F3A"/>
          <w:sz w:val="16"/>
        </w:rPr>
        <w:t>| Custom range                                                             |</w:t>
      </w:r>
    </w:p>
    <w:p>
      <w:pPr>
        <w:spacing w:before="0" w:after="0" w:line="240" w:lineRule="auto"/>
        <w:ind w:left="230"/>
        <w:shd w:val="clear" w:color="auto" w:fill="F7F9FC"/>
        <w:pBdr>
          <w:left w:val="single" w:sz="4" w:space="6" w:color="D0D5DD"/>
        </w:pBdr>
      </w:pPr>
      <w:r>
        <w:rPr>
          <w:rFonts w:ascii="Consolas" w:hAnsi="Consolas"/>
          <w:color w:val="0B1F3A"/>
          <w:sz w:val="16"/>
        </w:rPr>
        <w:t>+-- (3) LEDGER TABLE ------------------------------------------------------+</w:t>
      </w:r>
    </w:p>
    <w:p>
      <w:pPr>
        <w:spacing w:before="0" w:after="0" w:line="240" w:lineRule="auto"/>
        <w:ind w:left="230"/>
        <w:shd w:val="clear" w:color="auto" w:fill="F7F9FC"/>
        <w:pBdr>
          <w:left w:val="single" w:sz="4" w:space="6" w:color="D0D5DD"/>
        </w:pBdr>
      </w:pPr>
      <w:r>
        <w:rPr>
          <w:rFonts w:ascii="Consolas" w:hAnsi="Consolas"/>
          <w:color w:val="0B1F3A"/>
          <w:sz w:val="16"/>
        </w:rPr>
        <w:t>| DATE     AJO            REF      TYPE          IN         OUT            |</w:t>
      </w:r>
    </w:p>
    <w:p>
      <w:pPr>
        <w:spacing w:before="0" w:after="0" w:line="240" w:lineRule="auto"/>
        <w:ind w:left="230"/>
        <w:shd w:val="clear" w:color="auto" w:fill="F7F9FC"/>
        <w:pBdr>
          <w:left w:val="single" w:sz="4" w:space="6" w:color="D0D5DD"/>
        </w:pBdr>
      </w:pPr>
      <w:r>
        <w:rPr>
          <w:rFonts w:ascii="Consolas" w:hAnsi="Consolas"/>
          <w:color w:val="0B1F3A"/>
          <w:sz w:val="16"/>
        </w:rPr>
        <w:t>| 12 Sep   Adaeze's Ajo   rcpt_1   contribution   -        1,000.00        |</w:t>
      </w:r>
    </w:p>
    <w:p>
      <w:pPr>
        <w:spacing w:before="0" w:after="0" w:line="240" w:lineRule="auto"/>
        <w:ind w:left="230"/>
        <w:shd w:val="clear" w:color="auto" w:fill="F7F9FC"/>
        <w:pBdr>
          <w:left w:val="single" w:sz="4" w:space="6" w:color="D0D5DD"/>
        </w:pBdr>
      </w:pPr>
      <w:r>
        <w:rPr>
          <w:rFonts w:ascii="Consolas" w:hAnsi="Consolas"/>
          <w:color w:val="0B1F3A"/>
          <w:sz w:val="16"/>
        </w:rPr>
        <w:t>| 12 Sep   Adaeze's Ajo   fee_1    platform fee   -           20.00        |</w:t>
      </w:r>
    </w:p>
    <w:p>
      <w:pPr>
        <w:spacing w:before="0" w:after="0" w:line="240" w:lineRule="auto"/>
        <w:ind w:left="230"/>
        <w:shd w:val="clear" w:color="auto" w:fill="F7F9FC"/>
        <w:pBdr>
          <w:left w:val="single" w:sz="4" w:space="6" w:color="D0D5DD"/>
        </w:pBdr>
      </w:pPr>
      <w:r>
        <w:rPr>
          <w:rFonts w:ascii="Consolas" w:hAnsi="Consolas"/>
          <w:color w:val="0B1F3A"/>
          <w:sz w:val="16"/>
        </w:rPr>
        <w:t>| 12 Sep   Adaeze's Ajo   pay_7QK  payment        -        1,020.00        |</w:t>
      </w:r>
    </w:p>
    <w:p>
      <w:pPr>
        <w:spacing w:before="0" w:after="0" w:line="240" w:lineRule="auto"/>
        <w:ind w:left="230"/>
        <w:shd w:val="clear" w:color="auto" w:fill="F7F9FC"/>
        <w:pBdr>
          <w:left w:val="single" w:sz="4" w:space="6" w:color="D0D5DD"/>
        </w:pBdr>
      </w:pPr>
      <w:r>
        <w:rPr>
          <w:rFonts w:ascii="Consolas" w:hAnsi="Consolas"/>
          <w:color w:val="0B1F3A"/>
          <w:sz w:val="16"/>
        </w:rPr>
        <w:t>| 05 Sep   Chima's Ajo    pyt_9KL  payout         10,000.00  -             |</w:t>
      </w:r>
    </w:p>
    <w:p>
      <w:pPr>
        <w:spacing w:before="0" w:after="0" w:line="240" w:lineRule="auto"/>
        <w:ind w:left="230"/>
        <w:shd w:val="clear" w:color="auto" w:fill="F7F9FC"/>
        <w:pBdr>
          <w:left w:val="single" w:sz="4" w:space="6" w:color="D0D5DD"/>
        </w:pBdr>
      </w:pPr>
      <w:r>
        <w:rPr>
          <w:rFonts w:ascii="Consolas" w:hAnsi="Consolas"/>
          <w:color w:val="0B1F3A"/>
          <w:sz w:val="16"/>
        </w:rPr>
        <w:t>| 29 Aug   Adaeze's Ajo   pay_4TR  payment        -        1,020.00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The payment row and its two postings are all listed. A member sees the   |</w:t>
      </w:r>
    </w:p>
    <w:p>
      <w:pPr>
        <w:spacing w:before="0" w:after="0" w:line="240" w:lineRule="auto"/>
        <w:ind w:left="230"/>
        <w:shd w:val="clear" w:color="auto" w:fill="F7F9FC"/>
        <w:pBdr>
          <w:left w:val="single" w:sz="4" w:space="6" w:color="D0D5DD"/>
        </w:pBdr>
      </w:pPr>
      <w:r>
        <w:rPr>
          <w:rFonts w:ascii="Consolas" w:hAnsi="Consolas"/>
          <w:color w:val="0B1F3A"/>
          <w:sz w:val="16"/>
        </w:rPr>
        <w:t>| breakdown of their own charge, not a collapsed single line.              |</w:t>
      </w:r>
    </w:p>
    <w:p>
      <w:pPr>
        <w:spacing w:before="0" w:after="0" w:line="240" w:lineRule="auto"/>
        <w:ind w:left="230"/>
        <w:shd w:val="clear" w:color="auto" w:fill="F7F9FC"/>
        <w:pBdr>
          <w:left w:val="single" w:sz="4" w:space="6" w:color="D0D5DD"/>
        </w:pBdr>
      </w:pPr>
      <w:r>
        <w:rPr>
          <w:rFonts w:ascii="Consolas" w:hAnsi="Consolas"/>
          <w:color w:val="0B1F3A"/>
          <w:sz w:val="16"/>
        </w:rPr>
        <w:t>+-- (4) PERIOD SUMMARY ----------------------------------------------------+</w:t>
      </w:r>
    </w:p>
    <w:p>
      <w:pPr>
        <w:spacing w:before="0" w:after="0" w:line="240" w:lineRule="auto"/>
        <w:ind w:left="230"/>
        <w:shd w:val="clear" w:color="auto" w:fill="F7F9FC"/>
        <w:pBdr>
          <w:left w:val="single" w:sz="4" w:space="6" w:color="D0D5DD"/>
        </w:pBdr>
      </w:pPr>
      <w:r>
        <w:rPr>
          <w:rFonts w:ascii="Consolas" w:hAnsi="Consolas"/>
          <w:color w:val="0B1F3A"/>
          <w:sz w:val="16"/>
        </w:rPr>
        <w:t>| September 2026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In            NGN 10,000.00   one payout received                        |</w:t>
      </w:r>
    </w:p>
    <w:p>
      <w:pPr>
        <w:spacing w:before="0" w:after="0" w:line="240" w:lineRule="auto"/>
        <w:ind w:left="230"/>
        <w:shd w:val="clear" w:color="auto" w:fill="F7F9FC"/>
        <w:pBdr>
          <w:left w:val="single" w:sz="4" w:space="6" w:color="D0D5DD"/>
        </w:pBdr>
      </w:pPr>
      <w:r>
        <w:rPr>
          <w:rFonts w:ascii="Consolas" w:hAnsi="Consolas"/>
          <w:color w:val="0B1F3A"/>
          <w:sz w:val="16"/>
        </w:rPr>
        <w:t>| Out           NGN  2,040.00   two payments charged                       |</w:t>
      </w:r>
    </w:p>
    <w:p>
      <w:pPr>
        <w:spacing w:before="0" w:after="0" w:line="240" w:lineRule="auto"/>
        <w:ind w:left="230"/>
        <w:shd w:val="clear" w:color="auto" w:fill="F7F9FC"/>
        <w:pBdr>
          <w:left w:val="single" w:sz="4" w:space="6" w:color="D0D5DD"/>
        </w:pBdr>
      </w:pPr>
      <w:r>
        <w:rPr>
          <w:rFonts w:ascii="Consolas" w:hAnsi="Consolas"/>
          <w:color w:val="0B1F3A"/>
          <w:sz w:val="16"/>
        </w:rPr>
        <w:t>| Of which fee  NGN     40.00   NGN 20.00 per payment                      |</w:t>
      </w:r>
    </w:p>
    <w:p>
      <w:pPr>
        <w:spacing w:before="0" w:after="0" w:line="240" w:lineRule="auto"/>
        <w:ind w:left="230"/>
        <w:shd w:val="clear" w:color="auto" w:fill="F7F9FC"/>
        <w:pBdr>
          <w:left w:val="single" w:sz="4" w:space="6" w:color="D0D5DD"/>
        </w:pBdr>
      </w:pPr>
      <w:r>
        <w:rPr>
          <w:rFonts w:ascii="Consolas" w:hAnsi="Consolas"/>
          <w:color w:val="0B1F3A"/>
          <w:sz w:val="16"/>
        </w:rPr>
        <w:t>| Net           NGN  7,960.00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6.21.2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224"/>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926"/>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 Filters</w:t>
            </w:r>
          </w:p>
        </w:tc>
        <w:tc>
          <w:tcPr>
            <w:tcW w:type="dxa" w:w="1224"/>
            <w:tcMar>
              <w:top w:w="60" w:type="dxa"/>
              <w:start w:w="110" w:type="dxa"/>
              <w:bottom w:w="60" w:type="dxa"/>
              <w:end w:w="110" w:type="dxa"/>
            </w:tcMar>
          </w:tcPr>
          <w:p>
            <w:pPr>
              <w:spacing w:after="0"/>
            </w:pPr>
            <w:r/>
            <w:r>
              <w:rPr>
                <w:rFonts w:ascii="Calibri" w:hAnsi="Calibri"/>
                <w:b w:val="0"/>
                <w:i w:val="0"/>
                <w:color w:val="101828"/>
                <w:sz w:val="14"/>
              </w:rPr>
              <w:t>Direction, fee-only, and a date range.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926"/>
            <w:tcMar>
              <w:top w:w="60" w:type="dxa"/>
              <w:start w:w="110" w:type="dxa"/>
              <w:bottom w:w="60" w:type="dxa"/>
              <w:end w:w="110" w:type="dxa"/>
            </w:tcMar>
          </w:tcPr>
          <w:p>
            <w:pPr>
              <w:spacing w:after="0"/>
            </w:pPr>
            <w:r/>
            <w:r>
              <w:rPr>
                <w:rFonts w:ascii="Calibri" w:hAnsi="Calibri"/>
                <w:b w:val="0"/>
                <w:i w:val="0"/>
                <w:color w:val="101828"/>
                <w:sz w:val="14"/>
              </w:rPr>
              <w:t xml:space="preserve">A </w:t>
            </w:r>
            <w:r>
              <w:rPr>
                <w:rFonts w:ascii="Calibri" w:hAnsi="Calibri"/>
                <w:b/>
                <w:color w:val="101828"/>
                <w:sz w:val="14"/>
              </w:rPr>
              <w:t>fees-only</w:t>
            </w:r>
            <w:r>
              <w:rPr>
                <w:rFonts w:ascii="Calibri" w:hAnsi="Calibri"/>
                <w:b w:val="0"/>
                <w:i w:val="0"/>
                <w:color w:val="101828"/>
                <w:sz w:val="14"/>
              </w:rPr>
              <w:t xml:space="preserve"> filter exists. It is the fastest way for a member to answer </w:t>
            </w:r>
            <w:r>
              <w:rPr>
                <w:rFonts w:ascii="Calibri" w:hAnsi="Calibri"/>
                <w:i/>
                <w:color w:val="101828"/>
                <w:sz w:val="14"/>
              </w:rPr>
              <w:t>how much did AJO.ng take</w:t>
            </w:r>
            <w:r>
              <w:rPr>
                <w:rFonts w:ascii="Calibri" w:hAnsi="Calibri"/>
                <w:b w:val="0"/>
                <w:i w:val="0"/>
                <w:color w:val="101828"/>
                <w:sz w:val="14"/>
              </w:rPr>
              <w:t>, and a product whose fee is 2% should not make that question hard.</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Grouping by day</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Date headings with the movements under them.</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926"/>
            <w:tcMar>
              <w:top w:w="60" w:type="dxa"/>
              <w:start w:w="110" w:type="dxa"/>
              <w:bottom w:w="60" w:type="dxa"/>
              <w:end w:w="110" w:type="dxa"/>
            </w:tcMar>
            <w:shd w:val="clear" w:color="auto" w:fill="F4F7FB"/>
          </w:tcPr>
          <w:p>
            <w:pPr>
              <w:spacing w:after="0"/>
            </w:pPr>
            <w:r/>
            <w:r>
              <w:rPr>
                <w:rFonts w:ascii="Calibri" w:hAnsi="Calibri"/>
                <w:b w:val="0"/>
                <w:i w:val="0"/>
                <w:color w:val="101828"/>
                <w:sz w:val="14"/>
              </w:rPr>
              <w:t>Grouped by date rather than by Ajo, because a person checking a payment is looking for a moment, not for a project.</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 Itemised breakdown</w:t>
            </w:r>
          </w:p>
        </w:tc>
        <w:tc>
          <w:tcPr>
            <w:tcW w:type="dxa" w:w="1224"/>
            <w:tcMar>
              <w:top w:w="60" w:type="dxa"/>
              <w:start w:w="110" w:type="dxa"/>
              <w:bottom w:w="60" w:type="dxa"/>
              <w:end w:w="110" w:type="dxa"/>
            </w:tcMar>
          </w:tcPr>
          <w:p>
            <w:pPr>
              <w:spacing w:after="0"/>
            </w:pPr>
            <w:r/>
            <w:r>
              <w:rPr>
                <w:rFonts w:ascii="Calibri" w:hAnsi="Calibri"/>
                <w:b w:val="0"/>
                <w:i w:val="0"/>
                <w:color w:val="101828"/>
                <w:sz w:val="14"/>
              </w:rPr>
              <w:t>A payment is shown as its contribution and fee rows.</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926"/>
            <w:tcMar>
              <w:top w:w="60" w:type="dxa"/>
              <w:start w:w="110" w:type="dxa"/>
              <w:bottom w:w="60" w:type="dxa"/>
              <w:end w:w="110" w:type="dxa"/>
            </w:tcMar>
          </w:tcPr>
          <w:p>
            <w:pPr>
              <w:spacing w:after="0"/>
            </w:pPr>
            <w:r/>
            <w:r>
              <w:rPr>
                <w:rFonts w:ascii="Calibri" w:hAnsi="Calibri"/>
                <w:b/>
                <w:color w:val="101828"/>
                <w:sz w:val="14"/>
              </w:rPr>
              <w:t>The payment row and both of its postings are listed, not collapsed.</w:t>
            </w:r>
            <w:r>
              <w:rPr>
                <w:rFonts w:ascii="Calibri" w:hAnsi="Calibri"/>
                <w:b w:val="0"/>
                <w:i w:val="0"/>
                <w:color w:val="101828"/>
                <w:sz w:val="14"/>
              </w:rPr>
              <w:t xml:space="preserve"> On a screen the member uses to reconcile their own balance, a collapsed total is an unexplained number. The interface matches the ledger, and the ledger recognition sequence in CANONICAL.md is what makes the two rows possible in the first place.</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 Direction and sign</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In and out, never a signed number alone.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92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w:t>
            </w:r>
            <w:r>
              <w:rPr>
                <w:rFonts w:ascii="Consolas" w:hAnsi="Consolas"/>
                <w:color w:val="146EF5"/>
                <w:sz w:val="14"/>
              </w:rPr>
              <w:t>+NGN 1,020.00</w:t>
            </w:r>
            <w:r>
              <w:rPr>
                <w:rFonts w:ascii="Calibri" w:hAnsi="Calibri"/>
                <w:b w:val="0"/>
                <w:i w:val="0"/>
                <w:color w:val="101828"/>
                <w:sz w:val="14"/>
              </w:rPr>
              <w:t xml:space="preserve"> is ambiguous: it can read as </w:t>
            </w:r>
            <w:r>
              <w:rPr>
                <w:rFonts w:ascii="Calibri" w:hAnsi="Calibri"/>
                <w:i/>
                <w:color w:val="101828"/>
                <w:sz w:val="14"/>
              </w:rPr>
              <w:t>you received this</w:t>
            </w:r>
            <w:r>
              <w:rPr>
                <w:rFonts w:ascii="Calibri" w:hAnsi="Calibri"/>
                <w:b w:val="0"/>
                <w:i w:val="0"/>
                <w:color w:val="101828"/>
                <w:sz w:val="14"/>
              </w:rPr>
              <w:t>. Direction is a separate labelled column or a labelled row, and the fee row is always an outflow.</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(5) Period summary</w:t>
            </w:r>
          </w:p>
        </w:tc>
        <w:tc>
          <w:tcPr>
            <w:tcW w:type="dxa" w:w="1224"/>
            <w:tcMar>
              <w:top w:w="60" w:type="dxa"/>
              <w:start w:w="110" w:type="dxa"/>
              <w:bottom w:w="60" w:type="dxa"/>
              <w:end w:w="110" w:type="dxa"/>
            </w:tcMar>
          </w:tcPr>
          <w:p>
            <w:pPr>
              <w:spacing w:after="0"/>
            </w:pPr>
            <w:r/>
            <w:r>
              <w:rPr>
                <w:rFonts w:ascii="Calibri" w:hAnsi="Calibri"/>
                <w:b w:val="0"/>
                <w:i w:val="0"/>
                <w:color w:val="101828"/>
                <w:sz w:val="14"/>
              </w:rPr>
              <w:t>In, out, of which fee, and net for the period.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926"/>
            <w:tcMar>
              <w:top w:w="60" w:type="dxa"/>
              <w:start w:w="110" w:type="dxa"/>
              <w:bottom w:w="60" w:type="dxa"/>
              <w:end w:w="110" w:type="dxa"/>
            </w:tcMar>
          </w:tcPr>
          <w:p>
            <w:pPr>
              <w:spacing w:after="0"/>
            </w:pPr>
            <w:r/>
            <w:r>
              <w:rPr>
                <w:rFonts w:ascii="Calibri" w:hAnsi="Calibri"/>
                <w:b w:val="0"/>
                <w:i w:val="0"/>
                <w:color w:val="101828"/>
                <w:sz w:val="14"/>
              </w:rPr>
              <w:t>The fee is a line in the summary, not a footnote. The net figure follows from the other three and is shown for completeness rather than as the headline.</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(6) Reference</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The posting, receipt or payment reference per row.</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926"/>
            <w:tcMar>
              <w:top w:w="60" w:type="dxa"/>
              <w:start w:w="110" w:type="dxa"/>
              <w:bottom w:w="60" w:type="dxa"/>
              <w:end w:w="110" w:type="dxa"/>
            </w:tcMar>
            <w:shd w:val="clear" w:color="auto" w:fill="F4F7FB"/>
          </w:tcPr>
          <w:p>
            <w:pPr>
              <w:spacing w:after="0"/>
            </w:pPr>
            <w:r/>
            <w:r>
              <w:rPr>
                <w:rFonts w:ascii="Calibri" w:hAnsi="Calibri"/>
                <w:b w:val="0"/>
                <w:i w:val="0"/>
                <w:color w:val="101828"/>
                <w:sz w:val="14"/>
              </w:rPr>
              <w:t>Every row is traceable to a reference that support can look up, and every row is a route into the detail behind it.</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(7) Export</w:t>
            </w:r>
          </w:p>
        </w:tc>
        <w:tc>
          <w:tcPr>
            <w:tcW w:type="dxa" w:w="1224"/>
            <w:tcMar>
              <w:top w:w="60" w:type="dxa"/>
              <w:start w:w="110" w:type="dxa"/>
              <w:bottom w:w="60" w:type="dxa"/>
              <w:end w:w="110" w:type="dxa"/>
            </w:tcMar>
          </w:tcPr>
          <w:p>
            <w:pPr>
              <w:spacing w:after="0"/>
            </w:pPr>
            <w:r/>
            <w:r>
              <w:rPr>
                <w:rFonts w:ascii="Calibri" w:hAnsi="Calibri"/>
                <w:b w:val="0"/>
                <w:i w:val="0"/>
                <w:color w:val="101828"/>
                <w:sz w:val="14"/>
              </w:rPr>
              <w:t>Statement as PDF and CSV.</w:t>
            </w:r>
          </w:p>
        </w:tc>
        <w:tc>
          <w:tcPr>
            <w:tcW w:type="dxa" w:w="605"/>
            <w:tcMar>
              <w:top w:w="60" w:type="dxa"/>
              <w:start w:w="110" w:type="dxa"/>
              <w:bottom w:w="60" w:type="dxa"/>
              <w:end w:w="110" w:type="dxa"/>
            </w:tcMar>
          </w:tcPr>
          <w:p>
            <w:pPr>
              <w:spacing w:after="0"/>
            </w:pPr>
            <w:r/>
            <w:r>
              <w:rPr>
                <w:rFonts w:ascii="Calibri" w:hAnsi="Calibri"/>
                <w:b w:val="0"/>
                <w:i w:val="0"/>
                <w:color w:val="101828"/>
                <w:sz w:val="14"/>
              </w:rPr>
              <w:t>P2</w:t>
            </w:r>
          </w:p>
        </w:tc>
        <w:tc>
          <w:tcPr>
            <w:tcW w:type="dxa" w:w="6926"/>
            <w:tcMar>
              <w:top w:w="60" w:type="dxa"/>
              <w:start w:w="110" w:type="dxa"/>
              <w:bottom w:w="60" w:type="dxa"/>
              <w:end w:w="110" w:type="dxa"/>
            </w:tcMar>
          </w:tcPr>
          <w:p>
            <w:pPr>
              <w:spacing w:after="0"/>
            </w:pPr>
            <w:r/>
            <w:r>
              <w:rPr>
                <w:rFonts w:ascii="Calibri" w:hAnsi="Calibri"/>
                <w:b w:val="0"/>
                <w:i w:val="0"/>
                <w:color w:val="101828"/>
                <w:sz w:val="14"/>
              </w:rPr>
              <w:t>A CSV of one's own transaction history is a reasonable request from anyone running a group, and refusing it invites the manual spreadsheet that support then fields questions about.</w:t>
            </w:r>
          </w:p>
        </w:tc>
      </w:tr>
    </w:tbl>
    <w:p>
      <w:pPr>
        <w:spacing w:after="80"/>
      </w:pPr>
    </w:p>
    <w:p>
      <w:pPr>
        <w:pStyle w:val="Heading2"/>
      </w:pPr>
      <w:r>
        <w:rPr>
          <w:rFonts w:ascii="Calibri" w:hAnsi="Calibri"/>
          <w:b/>
          <w:i w:val="0"/>
          <w:color w:val="146EF5"/>
          <w:sz w:val="29"/>
        </w:rPr>
        <w:t>6.22 Notifications — SCR-MOB-15</w:t>
      </w:r>
    </w:p>
    <w:p>
      <w:r>
        <w:rPr>
          <w:rFonts w:ascii="Calibri" w:hAnsi="Calibri"/>
          <w:b w:val="0"/>
          <w:i w:val="0"/>
          <w:color w:val="101828"/>
          <w:sz w:val="21"/>
        </w:rPr>
        <w:t>The inbox for everything the system tells a person, and the place where the notification catalogue in CANONICAL.md section 8 becomes visible. The screen is deliberately boring: no grouping by type, no clever digest, no promotional category. Every row is an event that happened to this person, and the channel policy is shown on the screen because a person who expects money news by SMS and does not get it will assume the product is broken.</w:t>
      </w:r>
    </w:p>
    <w:p>
      <w:pPr>
        <w:spacing w:before="140" w:after="180"/>
        <w:ind w:left="144"/>
        <w:shd w:val="clear" w:color="auto" w:fill="EFF6FF"/>
        <w:pBdr>
          <w:left w:val="single" w:sz="18" w:space="6" w:color="146EF5"/>
        </w:pBdr>
      </w:pPr>
      <w:r>
        <w:rPr>
          <w:rFonts w:ascii="Calibri" w:hAnsi="Calibri"/>
          <w:b/>
          <w:color w:val="146EF5"/>
          <w:sz w:val="19"/>
        </w:rPr>
        <w:t xml:space="preserve">Notification preferences do not allow opting out of money or security alerts  </w:t>
      </w:r>
      <w:r>
        <w:rPr>
          <w:rFonts w:ascii="Calibri" w:hAnsi="Calibri"/>
          <w:b w:val="0"/>
          <w:i w:val="0"/>
          <w:color w:val="0B1F3A"/>
          <w:sz w:val="19"/>
        </w:rPr>
        <w:t xml:space="preserve">A person may turn off marketing-adjacent categories, and </w:t>
      </w:r>
      <w:r>
        <w:rPr>
          <w:rFonts w:ascii="Consolas" w:hAnsi="Consolas"/>
          <w:color w:val="146EF5"/>
          <w:sz w:val="19"/>
        </w:rPr>
        <w:t>contribution.due</w:t>
      </w:r>
      <w:r>
        <w:rPr>
          <w:rFonts w:ascii="Calibri" w:hAnsi="Calibri"/>
          <w:b w:val="0"/>
          <w:i w:val="0"/>
          <w:color w:val="0B1F3A"/>
          <w:sz w:val="19"/>
        </w:rPr>
        <w:t xml:space="preserve"> carries an SMS opt-in because the catalogue marks it optional. Money-critical and security events — </w:t>
      </w:r>
      <w:r>
        <w:rPr>
          <w:rFonts w:ascii="Consolas" w:hAnsi="Consolas"/>
          <w:color w:val="146EF5"/>
          <w:sz w:val="19"/>
        </w:rPr>
        <w:t>payout.released</w:t>
      </w:r>
      <w:r>
        <w:rPr>
          <w:rFonts w:ascii="Calibri" w:hAnsi="Calibri"/>
          <w:b w:val="0"/>
          <w:i w:val="0"/>
          <w:color w:val="0B1F3A"/>
          <w:sz w:val="19"/>
        </w:rPr>
        <w:t xml:space="preserve">, </w:t>
      </w:r>
      <w:r>
        <w:rPr>
          <w:rFonts w:ascii="Consolas" w:hAnsi="Consolas"/>
          <w:color w:val="146EF5"/>
          <w:sz w:val="19"/>
        </w:rPr>
        <w:t>payout.failed</w:t>
      </w:r>
      <w:r>
        <w:rPr>
          <w:rFonts w:ascii="Calibri" w:hAnsi="Calibri"/>
          <w:b w:val="0"/>
          <w:i w:val="0"/>
          <w:color w:val="0B1F3A"/>
          <w:sz w:val="19"/>
        </w:rPr>
        <w:t xml:space="preserve">, </w:t>
      </w:r>
      <w:r>
        <w:rPr>
          <w:rFonts w:ascii="Consolas" w:hAnsi="Consolas"/>
          <w:color w:val="146EF5"/>
          <w:sz w:val="19"/>
        </w:rPr>
        <w:t>payout.held</w:t>
      </w:r>
      <w:r>
        <w:rPr>
          <w:rFonts w:ascii="Calibri" w:hAnsi="Calibri"/>
          <w:b w:val="0"/>
          <w:i w:val="0"/>
          <w:color w:val="0B1F3A"/>
          <w:sz w:val="19"/>
        </w:rPr>
        <w:t xml:space="preserve">, </w:t>
      </w:r>
      <w:r>
        <w:rPr>
          <w:rFonts w:ascii="Consolas" w:hAnsi="Consolas"/>
          <w:color w:val="146EF5"/>
          <w:sz w:val="19"/>
        </w:rPr>
        <w:t>account.frozen</w:t>
      </w:r>
      <w:r>
        <w:rPr>
          <w:rFonts w:ascii="Calibri" w:hAnsi="Calibri"/>
          <w:b w:val="0"/>
          <w:i w:val="0"/>
          <w:color w:val="0B1F3A"/>
          <w:sz w:val="19"/>
        </w:rPr>
        <w:t xml:space="preserve">, </w:t>
      </w:r>
      <w:r>
        <w:rPr>
          <w:rFonts w:ascii="Consolas" w:hAnsi="Consolas"/>
          <w:color w:val="146EF5"/>
          <w:sz w:val="19"/>
        </w:rPr>
        <w:t>security.login_new_device</w:t>
      </w:r>
      <w:r>
        <w:rPr>
          <w:rFonts w:ascii="Calibri" w:hAnsi="Calibri"/>
          <w:b w:val="0"/>
          <w:i w:val="0"/>
          <w:color w:val="0B1F3A"/>
          <w:sz w:val="19"/>
        </w:rPr>
        <w:t xml:space="preserve"> — cannot be switched off, because a savings product that lets you stop telling you it cannot pay you has a different product than the one described in CANONICAL.md. The preference screen says which categories are fixed and why, rather than rendering a disabled toggle with no explanation.</w:t>
      </w:r>
    </w:p>
    <w:p>
      <w:pPr>
        <w:pStyle w:val="Heading3"/>
      </w:pPr>
      <w:r>
        <w:rPr>
          <w:rFonts w:ascii="Calibri" w:hAnsi="Calibri"/>
          <w:b/>
          <w:i w:val="0"/>
          <w:color w:val="0B1F3A"/>
          <w:sz w:val="24"/>
        </w:rPr>
        <w:t>6.22.1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Notifications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Mark all read                            |</w:t>
      </w:r>
    </w:p>
    <w:p>
      <w:pPr>
        <w:spacing w:before="0" w:after="0" w:line="240" w:lineRule="auto"/>
        <w:ind w:left="230"/>
        <w:shd w:val="clear" w:color="auto" w:fill="F7F9FC"/>
        <w:pBdr>
          <w:left w:val="single" w:sz="4" w:space="6" w:color="D0D5DD"/>
        </w:pBdr>
      </w:pPr>
      <w:r>
        <w:rPr>
          <w:rFonts w:ascii="Consolas" w:hAnsi="Consolas"/>
          <w:color w:val="0B1F3A"/>
          <w:sz w:val="16"/>
        </w:rPr>
        <w:t>+-- (2) TODAY -----------------------------+</w:t>
      </w:r>
    </w:p>
    <w:p>
      <w:pPr>
        <w:spacing w:before="0" w:after="0" w:line="240" w:lineRule="auto"/>
        <w:ind w:left="230"/>
        <w:shd w:val="clear" w:color="auto" w:fill="F7F9FC"/>
        <w:pBdr>
          <w:left w:val="single" w:sz="4" w:space="6" w:color="D0D5DD"/>
        </w:pBdr>
      </w:pPr>
      <w:r>
        <w:rPr>
          <w:rFonts w:ascii="Consolas" w:hAnsi="Consolas"/>
          <w:color w:val="0B1F3A"/>
          <w:sz w:val="16"/>
        </w:rPr>
        <w:t>| !  Round 4 opens 05 Oct, 7 of 10         |</w:t>
      </w:r>
    </w:p>
    <w:p>
      <w:pPr>
        <w:spacing w:before="0" w:after="0" w:line="240" w:lineRule="auto"/>
        <w:ind w:left="230"/>
        <w:shd w:val="clear" w:color="auto" w:fill="F7F9FC"/>
        <w:pBdr>
          <w:left w:val="single" w:sz="4" w:space="6" w:color="D0D5DD"/>
        </w:pBdr>
      </w:pPr>
      <w:r>
        <w:rPr>
          <w:rFonts w:ascii="Consolas" w:hAnsi="Consolas"/>
          <w:color w:val="0B1F3A"/>
          <w:sz w:val="16"/>
        </w:rPr>
        <w:t>|    paid.  09:41                          |</w:t>
      </w:r>
    </w:p>
    <w:p>
      <w:pPr>
        <w:spacing w:before="0" w:after="0" w:line="240" w:lineRule="auto"/>
        <w:ind w:left="230"/>
        <w:shd w:val="clear" w:color="auto" w:fill="F7F9FC"/>
        <w:pBdr>
          <w:left w:val="single" w:sz="4" w:space="6" w:color="D0D5DD"/>
        </w:pBdr>
      </w:pPr>
      <w:r>
        <w:rPr>
          <w:rFonts w:ascii="Consolas" w:hAnsi="Consolas"/>
          <w:color w:val="0B1F3A"/>
          <w:sz w:val="16"/>
        </w:rPr>
        <w:t>| !  Your payment of NGN 1,020.00 was      |</w:t>
      </w:r>
    </w:p>
    <w:p>
      <w:pPr>
        <w:spacing w:before="0" w:after="0" w:line="240" w:lineRule="auto"/>
        <w:ind w:left="230"/>
        <w:shd w:val="clear" w:color="auto" w:fill="F7F9FC"/>
        <w:pBdr>
          <w:left w:val="single" w:sz="4" w:space="6" w:color="D0D5DD"/>
        </w:pBdr>
      </w:pPr>
      <w:r>
        <w:rPr>
          <w:rFonts w:ascii="Consolas" w:hAnsi="Consolas"/>
          <w:color w:val="0B1F3A"/>
          <w:sz w:val="16"/>
        </w:rPr>
        <w:t>|    received.  09:41                      |</w:t>
      </w:r>
    </w:p>
    <w:p>
      <w:pPr>
        <w:spacing w:before="0" w:after="0" w:line="240" w:lineRule="auto"/>
        <w:ind w:left="230"/>
        <w:shd w:val="clear" w:color="auto" w:fill="F7F9FC"/>
        <w:pBdr>
          <w:left w:val="single" w:sz="4" w:space="6" w:color="D0D5DD"/>
        </w:pBdr>
      </w:pPr>
      <w:r>
        <w:rPr>
          <w:rFonts w:ascii="Consolas" w:hAnsi="Consolas"/>
          <w:color w:val="0B1F3A"/>
          <w:sz w:val="16"/>
        </w:rPr>
        <w:t>|    View receipt  &gt;                       |</w:t>
      </w:r>
    </w:p>
    <w:p>
      <w:pPr>
        <w:spacing w:before="0" w:after="0" w:line="240" w:lineRule="auto"/>
        <w:ind w:left="230"/>
        <w:shd w:val="clear" w:color="auto" w:fill="F7F9FC"/>
        <w:pBdr>
          <w:left w:val="single" w:sz="4" w:space="6" w:color="D0D5DD"/>
        </w:pBdr>
      </w:pPr>
      <w:r>
        <w:rPr>
          <w:rFonts w:ascii="Consolas" w:hAnsi="Consolas"/>
          <w:color w:val="0B1F3A"/>
          <w:sz w:val="16"/>
        </w:rPr>
        <w:t>+-- (3) EARLIER ---------------------------+</w:t>
      </w:r>
    </w:p>
    <w:p>
      <w:pPr>
        <w:spacing w:before="0" w:after="0" w:line="240" w:lineRule="auto"/>
        <w:ind w:left="230"/>
        <w:shd w:val="clear" w:color="auto" w:fill="F7F9FC"/>
        <w:pBdr>
          <w:left w:val="single" w:sz="4" w:space="6" w:color="D0D5DD"/>
        </w:pBdr>
      </w:pPr>
      <w:r>
        <w:rPr>
          <w:rFonts w:ascii="Consolas" w:hAnsi="Consolas"/>
          <w:color w:val="0B1F3A"/>
          <w:sz w:val="16"/>
        </w:rPr>
        <w:t>|    Your turn in Chima's Ajo is           |</w:t>
      </w:r>
    </w:p>
    <w:p>
      <w:pPr>
        <w:spacing w:before="0" w:after="0" w:line="240" w:lineRule="auto"/>
        <w:ind w:left="230"/>
        <w:shd w:val="clear" w:color="auto" w:fill="F7F9FC"/>
        <w:pBdr>
          <w:left w:val="single" w:sz="4" w:space="6" w:color="D0D5DD"/>
        </w:pBdr>
      </w:pPr>
      <w:r>
        <w:rPr>
          <w:rFonts w:ascii="Consolas" w:hAnsi="Consolas"/>
          <w:color w:val="0B1F3A"/>
          <w:sz w:val="16"/>
        </w:rPr>
        <w:t>|    round 10. NGN 10,000.00.              |</w:t>
      </w:r>
    </w:p>
    <w:p>
      <w:pPr>
        <w:spacing w:before="0" w:after="0" w:line="240" w:lineRule="auto"/>
        <w:ind w:left="230"/>
        <w:shd w:val="clear" w:color="auto" w:fill="F7F9FC"/>
        <w:pBdr>
          <w:left w:val="single" w:sz="4" w:space="6" w:color="D0D5DD"/>
        </w:pBdr>
      </w:pPr>
      <w:r>
        <w:rPr>
          <w:rFonts w:ascii="Consolas" w:hAnsi="Consolas"/>
          <w:color w:val="0B1F3A"/>
          <w:sz w:val="16"/>
        </w:rPr>
        <w:t>|    05 Sep                                |</w:t>
      </w:r>
    </w:p>
    <w:p>
      <w:pPr>
        <w:spacing w:before="0" w:after="0" w:line="240" w:lineRule="auto"/>
        <w:ind w:left="230"/>
        <w:shd w:val="clear" w:color="auto" w:fill="F7F9FC"/>
        <w:pBdr>
          <w:left w:val="single" w:sz="4" w:space="6" w:color="D0D5DD"/>
        </w:pBdr>
      </w:pPr>
      <w:r>
        <w:rPr>
          <w:rFonts w:ascii="Consolas" w:hAnsi="Consolas"/>
          <w:color w:val="0B1F3A"/>
          <w:sz w:val="16"/>
        </w:rPr>
        <w:t>|    Fatima S. joined Adaeze's Ajo.        |</w:t>
      </w:r>
    </w:p>
    <w:p>
      <w:pPr>
        <w:spacing w:before="0" w:after="0" w:line="240" w:lineRule="auto"/>
        <w:ind w:left="230"/>
        <w:shd w:val="clear" w:color="auto" w:fill="F7F9FC"/>
        <w:pBdr>
          <w:left w:val="single" w:sz="4" w:space="6" w:color="D0D5DD"/>
        </w:pBdr>
      </w:pPr>
      <w:r>
        <w:rPr>
          <w:rFonts w:ascii="Consolas" w:hAnsi="Consolas"/>
          <w:color w:val="0B1F3A"/>
          <w:sz w:val="16"/>
        </w:rPr>
        <w:t>|    28 Aug                                |</w:t>
      </w:r>
    </w:p>
    <w:p>
      <w:pPr>
        <w:spacing w:before="0" w:after="0" w:line="240" w:lineRule="auto"/>
        <w:ind w:left="230"/>
        <w:shd w:val="clear" w:color="auto" w:fill="F7F9FC"/>
        <w:pBdr>
          <w:left w:val="single" w:sz="4" w:space="6" w:color="D0D5DD"/>
        </w:pBdr>
      </w:pPr>
      <w:r>
        <w:rPr>
          <w:rFonts w:ascii="Consolas" w:hAnsi="Consolas"/>
          <w:color w:val="0B1F3A"/>
          <w:sz w:val="16"/>
        </w:rPr>
        <w:t>+-- (4) CHANNEL NOTE ----------------------+</w:t>
      </w:r>
    </w:p>
    <w:p>
      <w:pPr>
        <w:spacing w:before="0" w:after="0" w:line="240" w:lineRule="auto"/>
        <w:ind w:left="230"/>
        <w:shd w:val="clear" w:color="auto" w:fill="F7F9FC"/>
        <w:pBdr>
          <w:left w:val="single" w:sz="4" w:space="6" w:color="D0D5DD"/>
        </w:pBdr>
      </w:pPr>
      <w:r>
        <w:rPr>
          <w:rFonts w:ascii="Consolas" w:hAnsi="Consolas"/>
          <w:color w:val="0B1F3A"/>
          <w:sz w:val="16"/>
        </w:rPr>
        <w:t>| Money and security alerts also go by     |</w:t>
      </w:r>
    </w:p>
    <w:p>
      <w:pPr>
        <w:spacing w:before="0" w:after="0" w:line="240" w:lineRule="auto"/>
        <w:ind w:left="230"/>
        <w:shd w:val="clear" w:color="auto" w:fill="F7F9FC"/>
        <w:pBdr>
          <w:left w:val="single" w:sz="4" w:space="6" w:color="D0D5DD"/>
        </w:pBdr>
      </w:pPr>
      <w:r>
        <w:rPr>
          <w:rFonts w:ascii="Consolas" w:hAnsi="Consolas"/>
          <w:color w:val="0B1F3A"/>
          <w:sz w:val="16"/>
        </w:rPr>
        <w:t>| SMS. The other 15 do not, and never      |</w:t>
      </w:r>
    </w:p>
    <w:p>
      <w:pPr>
        <w:spacing w:before="0" w:after="0" w:line="240" w:lineRule="auto"/>
        <w:ind w:left="230"/>
        <w:shd w:val="clear" w:color="auto" w:fill="F7F9FC"/>
        <w:pBdr>
          <w:left w:val="single" w:sz="4" w:space="6" w:color="D0D5DD"/>
        </w:pBdr>
      </w:pPr>
      <w:r>
        <w:rPr>
          <w:rFonts w:ascii="Consolas" w:hAnsi="Consolas"/>
          <w:color w:val="0B1F3A"/>
          <w:sz w:val="16"/>
        </w:rPr>
        <w:t>| will: SMS is reserved.                   |</w:t>
      </w:r>
    </w:p>
    <w:p>
      <w:pPr>
        <w:spacing w:before="0" w:after="0" w:line="240" w:lineRule="auto"/>
        <w:ind w:left="230"/>
        <w:shd w:val="clear" w:color="auto" w:fill="F7F9FC"/>
        <w:pBdr>
          <w:left w:val="single" w:sz="4" w:space="6" w:color="D0D5DD"/>
        </w:pBdr>
      </w:pPr>
      <w:r>
        <w:rPr>
          <w:rFonts w:ascii="Consolas" w:hAnsi="Consolas"/>
          <w:color w:val="0B1F3A"/>
          <w:sz w:val="16"/>
        </w:rPr>
        <w:t>+-- (5) BOTTOM NAV ------------------------+</w:t>
      </w:r>
    </w:p>
    <w:p>
      <w:pPr>
        <w:spacing w:before="0" w:after="0" w:line="240" w:lineRule="auto"/>
        <w:ind w:left="230"/>
        <w:shd w:val="clear" w:color="auto" w:fill="F7F9FC"/>
        <w:pBdr>
          <w:left w:val="single" w:sz="4" w:space="6" w:color="D0D5DD"/>
        </w:pBdr>
      </w:pPr>
      <w:r>
        <w:rPr>
          <w:rFonts w:ascii="Consolas" w:hAnsi="Consolas"/>
          <w:color w:val="0B1F3A"/>
          <w:sz w:val="16"/>
        </w:rPr>
        <w:t>| Home  Ajos  Pay  Alerts  More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LEFT NAV ----------------------------------------------------------+</w:t>
      </w:r>
    </w:p>
    <w:p>
      <w:pPr>
        <w:spacing w:before="0" w:after="0" w:line="240" w:lineRule="auto"/>
        <w:ind w:left="230"/>
        <w:shd w:val="clear" w:color="auto" w:fill="F7F9FC"/>
        <w:pBdr>
          <w:left w:val="single" w:sz="4" w:space="6" w:color="D0D5DD"/>
        </w:pBdr>
      </w:pPr>
      <w:r>
        <w:rPr>
          <w:rFonts w:ascii="Consolas" w:hAnsi="Consolas"/>
          <w:color w:val="0B1F3A"/>
          <w:sz w:val="16"/>
        </w:rPr>
        <w:t>| Home                                                                     |</w:t>
      </w:r>
    </w:p>
    <w:p>
      <w:pPr>
        <w:spacing w:before="0" w:after="0" w:line="240" w:lineRule="auto"/>
        <w:ind w:left="230"/>
        <w:shd w:val="clear" w:color="auto" w:fill="F7F9FC"/>
        <w:pBdr>
          <w:left w:val="single" w:sz="4" w:space="6" w:color="D0D5DD"/>
        </w:pBdr>
      </w:pPr>
      <w:r>
        <w:rPr>
          <w:rFonts w:ascii="Consolas" w:hAnsi="Consolas"/>
          <w:color w:val="0B1F3A"/>
          <w:sz w:val="16"/>
        </w:rPr>
        <w:t>| My Ajos                                                                  |</w:t>
      </w:r>
    </w:p>
    <w:p>
      <w:pPr>
        <w:spacing w:before="0" w:after="0" w:line="240" w:lineRule="auto"/>
        <w:ind w:left="230"/>
        <w:shd w:val="clear" w:color="auto" w:fill="F7F9FC"/>
        <w:pBdr>
          <w:left w:val="single" w:sz="4" w:space="6" w:color="D0D5DD"/>
        </w:pBdr>
      </w:pPr>
      <w:r>
        <w:rPr>
          <w:rFonts w:ascii="Consolas" w:hAnsi="Consolas"/>
          <w:color w:val="0B1F3A"/>
          <w:sz w:val="16"/>
        </w:rPr>
        <w:t>| Pay                                                                      |</w:t>
      </w:r>
    </w:p>
    <w:p>
      <w:pPr>
        <w:spacing w:before="0" w:after="0" w:line="240" w:lineRule="auto"/>
        <w:ind w:left="230"/>
        <w:shd w:val="clear" w:color="auto" w:fill="F7F9FC"/>
        <w:pBdr>
          <w:left w:val="single" w:sz="4" w:space="6" w:color="D0D5DD"/>
        </w:pBdr>
      </w:pPr>
      <w:r>
        <w:rPr>
          <w:rFonts w:ascii="Consolas" w:hAnsi="Consolas"/>
          <w:color w:val="0B1F3A"/>
          <w:sz w:val="16"/>
        </w:rPr>
        <w:t>| Alerts                                                                   |</w:t>
      </w:r>
    </w:p>
    <w:p>
      <w:pPr>
        <w:spacing w:before="0" w:after="0" w:line="240" w:lineRule="auto"/>
        <w:ind w:left="230"/>
        <w:shd w:val="clear" w:color="auto" w:fill="F7F9FC"/>
        <w:pBdr>
          <w:left w:val="single" w:sz="4" w:space="6" w:color="D0D5DD"/>
        </w:pBdr>
      </w:pPr>
      <w:r>
        <w:rPr>
          <w:rFonts w:ascii="Consolas" w:hAnsi="Consolas"/>
          <w:color w:val="0B1F3A"/>
          <w:sz w:val="16"/>
        </w:rPr>
        <w:t>| Support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Profile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LIST --------------------------------------------------------------+</w:t>
      </w:r>
    </w:p>
    <w:p>
      <w:pPr>
        <w:spacing w:before="0" w:after="0" w:line="240" w:lineRule="auto"/>
        <w:ind w:left="230"/>
        <w:shd w:val="clear" w:color="auto" w:fill="F7F9FC"/>
        <w:pBdr>
          <w:left w:val="single" w:sz="4" w:space="6" w:color="D0D5DD"/>
        </w:pBdr>
      </w:pPr>
      <w:r>
        <w:rPr>
          <w:rFonts w:ascii="Consolas" w:hAnsi="Consolas"/>
          <w:color w:val="0B1F3A"/>
          <w:sz w:val="16"/>
        </w:rPr>
        <w:t>| STATE   WHEN   EVENT                     MESSAGE                         |</w:t>
      </w:r>
    </w:p>
    <w:p>
      <w:pPr>
        <w:spacing w:before="0" w:after="0" w:line="240" w:lineRule="auto"/>
        <w:ind w:left="230"/>
        <w:shd w:val="clear" w:color="auto" w:fill="F7F9FC"/>
        <w:pBdr>
          <w:left w:val="single" w:sz="4" w:space="6" w:color="D0D5DD"/>
        </w:pBdr>
      </w:pPr>
      <w:r>
        <w:rPr>
          <w:rFonts w:ascii="Consolas" w:hAnsi="Consolas"/>
          <w:color w:val="0B1F3A"/>
          <w:sz w:val="16"/>
        </w:rPr>
        <w:t>| unread  12 Sep  contribution.due        Round 4 opens 05 Oct, 7 of 10.   |</w:t>
      </w:r>
    </w:p>
    <w:p>
      <w:pPr>
        <w:spacing w:before="0" w:after="0" w:line="240" w:lineRule="auto"/>
        <w:ind w:left="230"/>
        <w:shd w:val="clear" w:color="auto" w:fill="F7F9FC"/>
        <w:pBdr>
          <w:left w:val="single" w:sz="4" w:space="6" w:color="D0D5DD"/>
        </w:pBdr>
      </w:pPr>
      <w:r>
        <w:rPr>
          <w:rFonts w:ascii="Consolas" w:hAnsi="Consolas"/>
          <w:color w:val="0B1F3A"/>
          <w:sz w:val="16"/>
        </w:rPr>
        <w:t>| unread  12 Sep  contribution.received   Payment NGN 1,020.00 received.   |</w:t>
      </w:r>
    </w:p>
    <w:p>
      <w:pPr>
        <w:spacing w:before="0" w:after="0" w:line="240" w:lineRule="auto"/>
        <w:ind w:left="230"/>
        <w:shd w:val="clear" w:color="auto" w:fill="F7F9FC"/>
        <w:pBdr>
          <w:left w:val="single" w:sz="4" w:space="6" w:color="D0D5DD"/>
        </w:pBdr>
      </w:pPr>
      <w:r>
        <w:rPr>
          <w:rFonts w:ascii="Consolas" w:hAnsi="Consolas"/>
          <w:color w:val="0B1F3A"/>
          <w:sz w:val="16"/>
        </w:rPr>
        <w:t>| read    12 Sep  payout.released          Payout released NGN 10,000.00.  |</w:t>
      </w:r>
    </w:p>
    <w:p>
      <w:pPr>
        <w:spacing w:before="0" w:after="0" w:line="240" w:lineRule="auto"/>
        <w:ind w:left="230"/>
        <w:shd w:val="clear" w:color="auto" w:fill="F7F9FC"/>
        <w:pBdr>
          <w:left w:val="single" w:sz="4" w:space="6" w:color="D0D5DD"/>
        </w:pBdr>
      </w:pPr>
      <w:r>
        <w:rPr>
          <w:rFonts w:ascii="Consolas" w:hAnsi="Consolas"/>
          <w:color w:val="0B1F3A"/>
          <w:sz w:val="16"/>
        </w:rPr>
        <w:t>| read    05 Sep  payout.upcoming          Your turn, round 10, NGN        |</w:t>
      </w:r>
    </w:p>
    <w:p>
      <w:pPr>
        <w:spacing w:before="0" w:after="0" w:line="240" w:lineRule="auto"/>
        <w:ind w:left="230"/>
        <w:shd w:val="clear" w:color="auto" w:fill="F7F9FC"/>
        <w:pBdr>
          <w:left w:val="single" w:sz="4" w:space="6" w:color="D0D5DD"/>
        </w:pBdr>
      </w:pPr>
      <w:r>
        <w:rPr>
          <w:rFonts w:ascii="Consolas" w:hAnsi="Consolas"/>
          <w:color w:val="0B1F3A"/>
          <w:sz w:val="16"/>
        </w:rPr>
        <w:t>|   10,000.                                                                |</w:t>
      </w:r>
    </w:p>
    <w:p>
      <w:pPr>
        <w:spacing w:before="0" w:after="0" w:line="240" w:lineRule="auto"/>
        <w:ind w:left="230"/>
        <w:shd w:val="clear" w:color="auto" w:fill="F7F9FC"/>
        <w:pBdr>
          <w:left w:val="single" w:sz="4" w:space="6" w:color="D0D5DD"/>
        </w:pBdr>
      </w:pPr>
      <w:r>
        <w:rPr>
          <w:rFonts w:ascii="Consolas" w:hAnsi="Consolas"/>
          <w:color w:val="0B1F3A"/>
          <w:sz w:val="16"/>
        </w:rPr>
        <w:t>| read    28 Aug  member.joined            Fatima S. joined the Ajo.       |</w:t>
      </w:r>
    </w:p>
    <w:p>
      <w:pPr>
        <w:spacing w:before="0" w:after="0" w:line="240" w:lineRule="auto"/>
        <w:ind w:left="230"/>
        <w:shd w:val="clear" w:color="auto" w:fill="F7F9FC"/>
        <w:pBdr>
          <w:left w:val="single" w:sz="4" w:space="6" w:color="D0D5DD"/>
        </w:pBdr>
      </w:pPr>
      <w:r>
        <w:rPr>
          <w:rFonts w:ascii="Consolas" w:hAnsi="Consolas"/>
          <w:color w:val="0B1F3A"/>
          <w:sz w:val="16"/>
        </w:rPr>
        <w:t>| read    20 Aug  security.login_new_dev   New sign-in, new device.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unread is a dot and a word, never a colour alone.                        |</w:t>
      </w:r>
    </w:p>
    <w:p>
      <w:pPr>
        <w:spacing w:before="0" w:after="0" w:line="240" w:lineRule="auto"/>
        <w:ind w:left="230"/>
        <w:shd w:val="clear" w:color="auto" w:fill="F7F9FC"/>
        <w:pBdr>
          <w:left w:val="single" w:sz="4" w:space="6" w:color="D0D5DD"/>
        </w:pBdr>
      </w:pPr>
      <w:r>
        <w:rPr>
          <w:rFonts w:ascii="Consolas" w:hAnsi="Consolas"/>
          <w:color w:val="0B1F3A"/>
          <w:sz w:val="16"/>
        </w:rPr>
        <w:t>+-- (3) CHANNEL MATRIX ----------------------------------------------------+</w:t>
      </w:r>
    </w:p>
    <w:p>
      <w:pPr>
        <w:spacing w:before="0" w:after="0" w:line="240" w:lineRule="auto"/>
        <w:ind w:left="230"/>
        <w:shd w:val="clear" w:color="auto" w:fill="F7F9FC"/>
        <w:pBdr>
          <w:left w:val="single" w:sz="4" w:space="6" w:color="D0D5DD"/>
        </w:pBdr>
      </w:pPr>
      <w:r>
        <w:rPr>
          <w:rFonts w:ascii="Consolas" w:hAnsi="Consolas"/>
          <w:color w:val="0B1F3A"/>
          <w:sz w:val="16"/>
        </w:rPr>
        <w:t>| Event                  Push  Email  SMS                                  |</w:t>
      </w:r>
    </w:p>
    <w:p>
      <w:pPr>
        <w:spacing w:before="0" w:after="0" w:line="240" w:lineRule="auto"/>
        <w:ind w:left="230"/>
        <w:shd w:val="clear" w:color="auto" w:fill="F7F9FC"/>
        <w:pBdr>
          <w:left w:val="single" w:sz="4" w:space="6" w:color="D0D5DD"/>
        </w:pBdr>
      </w:pPr>
      <w:r>
        <w:rPr>
          <w:rFonts w:ascii="Consolas" w:hAnsi="Consolas"/>
          <w:color w:val="0B1F3A"/>
          <w:sz w:val="16"/>
        </w:rPr>
        <w:t>| contribution.due       yes   yes    opt                                  |</w:t>
      </w:r>
    </w:p>
    <w:p>
      <w:pPr>
        <w:spacing w:before="0" w:after="0" w:line="240" w:lineRule="auto"/>
        <w:ind w:left="230"/>
        <w:shd w:val="clear" w:color="auto" w:fill="F7F9FC"/>
        <w:pBdr>
          <w:left w:val="single" w:sz="4" w:space="6" w:color="D0D5DD"/>
        </w:pBdr>
      </w:pPr>
      <w:r>
        <w:rPr>
          <w:rFonts w:ascii="Consolas" w:hAnsi="Consolas"/>
          <w:color w:val="0B1F3A"/>
          <w:sz w:val="16"/>
        </w:rPr>
        <w:t>| contribution.received  yes   yes    opt                                  |</w:t>
      </w:r>
    </w:p>
    <w:p>
      <w:pPr>
        <w:spacing w:before="0" w:after="0" w:line="240" w:lineRule="auto"/>
        <w:ind w:left="230"/>
        <w:shd w:val="clear" w:color="auto" w:fill="F7F9FC"/>
        <w:pBdr>
          <w:left w:val="single" w:sz="4" w:space="6" w:color="D0D5DD"/>
        </w:pBdr>
      </w:pPr>
      <w:r>
        <w:rPr>
          <w:rFonts w:ascii="Consolas" w:hAnsi="Consolas"/>
          <w:color w:val="0B1F3A"/>
          <w:sz w:val="16"/>
        </w:rPr>
        <w:t>| payout.released        yes   yes    yes                                  |</w:t>
      </w:r>
    </w:p>
    <w:p>
      <w:pPr>
        <w:spacing w:before="0" w:after="0" w:line="240" w:lineRule="auto"/>
        <w:ind w:left="230"/>
        <w:shd w:val="clear" w:color="auto" w:fill="F7F9FC"/>
        <w:pBdr>
          <w:left w:val="single" w:sz="4" w:space="6" w:color="D0D5DD"/>
        </w:pBdr>
      </w:pPr>
      <w:r>
        <w:rPr>
          <w:rFonts w:ascii="Consolas" w:hAnsi="Consolas"/>
          <w:color w:val="0B1F3A"/>
          <w:sz w:val="16"/>
        </w:rPr>
        <w:t>| payout.held            yes   yes    yes                                  |</w:t>
      </w:r>
    </w:p>
    <w:p>
      <w:pPr>
        <w:spacing w:before="0" w:after="0" w:line="240" w:lineRule="auto"/>
        <w:ind w:left="230"/>
        <w:shd w:val="clear" w:color="auto" w:fill="F7F9FC"/>
        <w:pBdr>
          <w:left w:val="single" w:sz="4" w:space="6" w:color="D0D5DD"/>
        </w:pBdr>
      </w:pPr>
      <w:r>
        <w:rPr>
          <w:rFonts w:ascii="Consolas" w:hAnsi="Consolas"/>
          <w:color w:val="0B1F3A"/>
          <w:sz w:val="16"/>
        </w:rPr>
        <w:t>| account.frozen         yes   yes    yes                                  |</w:t>
      </w:r>
    </w:p>
    <w:p>
      <w:pPr>
        <w:spacing w:before="0" w:after="0" w:line="240" w:lineRule="auto"/>
        <w:ind w:left="230"/>
        <w:shd w:val="clear" w:color="auto" w:fill="F7F9FC"/>
        <w:pBdr>
          <w:left w:val="single" w:sz="4" w:space="6" w:color="D0D5DD"/>
        </w:pBdr>
      </w:pPr>
      <w:r>
        <w:rPr>
          <w:rFonts w:ascii="Consolas" w:hAnsi="Consolas"/>
          <w:color w:val="0B1F3A"/>
          <w:sz w:val="16"/>
        </w:rPr>
        <w:t>| member.joined          yes   yes    no                                   |</w:t>
      </w:r>
    </w:p>
    <w:p>
      <w:pPr>
        <w:spacing w:before="0" w:after="0" w:line="240" w:lineRule="auto"/>
        <w:ind w:left="230"/>
        <w:shd w:val="clear" w:color="auto" w:fill="F7F9FC"/>
        <w:pBdr>
          <w:left w:val="single" w:sz="4" w:space="6" w:color="D0D5DD"/>
        </w:pBdr>
      </w:pPr>
      <w:r>
        <w:rPr>
          <w:rFonts w:ascii="Consolas" w:hAnsi="Consolas"/>
          <w:color w:val="0B1F3A"/>
          <w:sz w:val="16"/>
        </w:rPr>
        <w:t>| ajo.completed          yes   yes    no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SMS is reserved for money-critical and security events.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6.22.2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498"/>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653"/>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 List</w:t>
            </w:r>
          </w:p>
        </w:tc>
        <w:tc>
          <w:tcPr>
            <w:tcW w:type="dxa" w:w="1498"/>
            <w:tcMar>
              <w:top w:w="60" w:type="dxa"/>
              <w:start w:w="110" w:type="dxa"/>
              <w:bottom w:w="60" w:type="dxa"/>
              <w:end w:w="110" w:type="dxa"/>
            </w:tcMar>
          </w:tcPr>
          <w:p>
            <w:pPr>
              <w:spacing w:after="0"/>
            </w:pPr>
            <w:r/>
            <w:r>
              <w:rPr>
                <w:rFonts w:ascii="Calibri" w:hAnsi="Calibri"/>
                <w:b w:val="0"/>
                <w:i w:val="0"/>
                <w:color w:val="101828"/>
                <w:sz w:val="14"/>
              </w:rPr>
              <w:t>Every notification for this person, newest first.</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53"/>
            <w:tcMar>
              <w:top w:w="60" w:type="dxa"/>
              <w:start w:w="110" w:type="dxa"/>
              <w:bottom w:w="60" w:type="dxa"/>
              <w:end w:w="110" w:type="dxa"/>
            </w:tcMar>
          </w:tcPr>
          <w:p>
            <w:pPr>
              <w:spacing w:after="0"/>
            </w:pPr>
            <w:r/>
            <w:r>
              <w:rPr>
                <w:rFonts w:ascii="Calibri" w:hAnsi="Calibri"/>
                <w:b w:val="0"/>
                <w:i w:val="0"/>
                <w:color w:val="101828"/>
                <w:sz w:val="14"/>
              </w:rPr>
              <w:t xml:space="preserve">Rows are events, in the CANONICAL.md catalogue, and the event name is available to a screen reader. A member who is told </w:t>
            </w:r>
            <w:r>
              <w:rPr>
                <w:rFonts w:ascii="Calibri" w:hAnsi="Calibri"/>
                <w:i/>
                <w:color w:val="101828"/>
                <w:sz w:val="14"/>
              </w:rPr>
              <w:t>you have an update</w:t>
            </w:r>
            <w:r>
              <w:rPr>
                <w:rFonts w:ascii="Calibri" w:hAnsi="Calibri"/>
                <w:b w:val="0"/>
                <w:i w:val="0"/>
                <w:color w:val="101828"/>
                <w:sz w:val="14"/>
              </w:rPr>
              <w:t xml:space="preserve"> cannot act; a member told </w:t>
            </w:r>
            <w:r>
              <w:rPr>
                <w:rFonts w:ascii="Calibri" w:hAnsi="Calibri"/>
                <w:i/>
                <w:color w:val="101828"/>
                <w:sz w:val="14"/>
              </w:rPr>
              <w:t>round 4 opens 05 Oct</w:t>
            </w:r>
            <w:r>
              <w:rPr>
                <w:rFonts w:ascii="Calibri" w:hAnsi="Calibri"/>
                <w:b w:val="0"/>
                <w:i w:val="0"/>
                <w:color w:val="101828"/>
                <w:sz w:val="14"/>
              </w:rPr>
              <w:t xml:space="preserve"> can.</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Unread state</w:t>
            </w:r>
          </w:p>
        </w:tc>
        <w:tc>
          <w:tcPr>
            <w:tcW w:type="dxa" w:w="149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dot plus the word </w:t>
            </w:r>
            <w:r>
              <w:rPr>
                <w:rFonts w:ascii="Calibri" w:hAnsi="Calibri"/>
                <w:i/>
                <w:color w:val="101828"/>
                <w:sz w:val="14"/>
              </w:rPr>
              <w:t>unread</w:t>
            </w:r>
            <w:r>
              <w:rPr>
                <w:rFonts w:ascii="Calibri" w:hAnsi="Calibri"/>
                <w:b w:val="0"/>
                <w:i w:val="0"/>
                <w:color w:val="101828"/>
                <w:sz w:val="14"/>
              </w:rPr>
              <w:t xml:space="preserve"> to a screen reader.</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653"/>
            <w:tcMar>
              <w:top w:w="60" w:type="dxa"/>
              <w:start w:w="110" w:type="dxa"/>
              <w:bottom w:w="60" w:type="dxa"/>
              <w:end w:w="110" w:type="dxa"/>
            </w:tcMar>
            <w:shd w:val="clear" w:color="auto" w:fill="F4F7FB"/>
          </w:tcPr>
          <w:p>
            <w:pPr>
              <w:spacing w:after="0"/>
            </w:pPr>
            <w:r/>
            <w:r>
              <w:rPr>
                <w:rFonts w:ascii="Calibri" w:hAnsi="Calibri"/>
                <w:b w:val="0"/>
                <w:i w:val="0"/>
                <w:color w:val="101828"/>
                <w:sz w:val="14"/>
              </w:rPr>
              <w:t>Never colour alone. The unread count on the bell is capped and labelled, and Mark all read is per person, never global.</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 Money rows</w:t>
            </w:r>
          </w:p>
        </w:tc>
        <w:tc>
          <w:tcPr>
            <w:tcW w:type="dxa" w:w="1498"/>
            <w:tcMar>
              <w:top w:w="60" w:type="dxa"/>
              <w:start w:w="110" w:type="dxa"/>
              <w:bottom w:w="60" w:type="dxa"/>
              <w:end w:w="110" w:type="dxa"/>
            </w:tcMar>
          </w:tcPr>
          <w:p>
            <w:pPr>
              <w:spacing w:after="0"/>
            </w:pPr>
            <w:r/>
            <w:r>
              <w:rPr>
                <w:rFonts w:ascii="Calibri" w:hAnsi="Calibri"/>
                <w:b w:val="0"/>
                <w:i w:val="0"/>
                <w:color w:val="101828"/>
                <w:sz w:val="14"/>
              </w:rPr>
              <w:t>Amounts as the member experienced them.</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53"/>
            <w:tcMar>
              <w:top w:w="60" w:type="dxa"/>
              <w:start w:w="110" w:type="dxa"/>
              <w:bottom w:w="60" w:type="dxa"/>
              <w:end w:w="110" w:type="dxa"/>
            </w:tcMar>
          </w:tcPr>
          <w:p>
            <w:pPr>
              <w:spacing w:after="0"/>
            </w:pPr>
            <w:r/>
            <w:r>
              <w:rPr>
                <w:rFonts w:ascii="Calibri" w:hAnsi="Calibri"/>
                <w:b w:val="0"/>
                <w:i w:val="0"/>
                <w:color w:val="101828"/>
                <w:sz w:val="14"/>
              </w:rPr>
              <w:t>A payment-received row shows NGN 1,020.00, the amount charged, and a route to the receipt. A payout row shows NGN 10,000.00, the amount received. The two amounts are never interchangeable, which is why they are never routed from the same notification type.</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 Deep links</w:t>
            </w:r>
          </w:p>
        </w:tc>
        <w:tc>
          <w:tcPr>
            <w:tcW w:type="dxa" w:w="1498"/>
            <w:tcMar>
              <w:top w:w="60" w:type="dxa"/>
              <w:start w:w="110" w:type="dxa"/>
              <w:bottom w:w="60" w:type="dxa"/>
              <w:end w:w="110" w:type="dxa"/>
            </w:tcMar>
            <w:shd w:val="clear" w:color="auto" w:fill="F4F7FB"/>
          </w:tcPr>
          <w:p>
            <w:pPr>
              <w:spacing w:after="0"/>
            </w:pPr>
            <w:r/>
            <w:r>
              <w:rPr>
                <w:rFonts w:ascii="Calibri" w:hAnsi="Calibri"/>
                <w:b w:val="0"/>
                <w:i w:val="0"/>
                <w:color w:val="101828"/>
                <w:sz w:val="14"/>
              </w:rPr>
              <w:t>Every actionable row routes to the thing it describes.</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653"/>
            <w:tcMar>
              <w:top w:w="60" w:type="dxa"/>
              <w:start w:w="110" w:type="dxa"/>
              <w:bottom w:w="60" w:type="dxa"/>
              <w:end w:w="110" w:type="dxa"/>
            </w:tcMar>
            <w:shd w:val="clear" w:color="auto" w:fill="F4F7FB"/>
          </w:tcPr>
          <w:p>
            <w:pPr>
              <w:spacing w:after="0"/>
            </w:pPr>
            <w:r/>
            <w:r>
              <w:rPr>
                <w:rFonts w:ascii="Consolas" w:hAnsi="Consolas"/>
                <w:color w:val="146EF5"/>
                <w:sz w:val="14"/>
              </w:rPr>
              <w:t>contribution.due</w:t>
            </w:r>
            <w:r>
              <w:rPr>
                <w:rFonts w:ascii="Calibri" w:hAnsi="Calibri"/>
                <w:b w:val="0"/>
                <w:i w:val="0"/>
                <w:color w:val="101828"/>
                <w:sz w:val="14"/>
              </w:rPr>
              <w:t xml:space="preserve"> goes to the pay screen, </w:t>
            </w:r>
            <w:r>
              <w:rPr>
                <w:rFonts w:ascii="Consolas" w:hAnsi="Consolas"/>
                <w:color w:val="146EF5"/>
                <w:sz w:val="14"/>
              </w:rPr>
              <w:t>payout.released</w:t>
            </w:r>
            <w:r>
              <w:rPr>
                <w:rFonts w:ascii="Calibri" w:hAnsi="Calibri"/>
                <w:b w:val="0"/>
                <w:i w:val="0"/>
                <w:color w:val="101828"/>
                <w:sz w:val="14"/>
              </w:rPr>
              <w:t xml:space="preserve"> to the payout detail. A notification that must be acted on somewhere else is a notification that gets missed.</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(5) Channel policy</w:t>
            </w:r>
          </w:p>
        </w:tc>
        <w:tc>
          <w:tcPr>
            <w:tcW w:type="dxa" w:w="1498"/>
            <w:tcMar>
              <w:top w:w="60" w:type="dxa"/>
              <w:start w:w="110" w:type="dxa"/>
              <w:bottom w:w="60" w:type="dxa"/>
              <w:end w:w="110" w:type="dxa"/>
            </w:tcMar>
          </w:tcPr>
          <w:p>
            <w:pPr>
              <w:spacing w:after="0"/>
            </w:pPr>
            <w:r/>
            <w:r>
              <w:rPr>
                <w:rFonts w:ascii="Calibri" w:hAnsi="Calibri"/>
                <w:b w:val="0"/>
                <w:i w:val="0"/>
                <w:color w:val="101828"/>
                <w:sz w:val="14"/>
              </w:rPr>
              <w:t>What goes by SMS and what does not.</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53"/>
            <w:tcMar>
              <w:top w:w="60" w:type="dxa"/>
              <w:start w:w="110" w:type="dxa"/>
              <w:bottom w:w="60" w:type="dxa"/>
              <w:end w:w="110" w:type="dxa"/>
            </w:tcMar>
          </w:tcPr>
          <w:p>
            <w:pPr>
              <w:spacing w:after="0"/>
            </w:pPr>
            <w:r/>
            <w:r>
              <w:rPr>
                <w:rFonts w:ascii="Calibri" w:hAnsi="Calibri"/>
                <w:b w:val="0"/>
                <w:i w:val="0"/>
                <w:color w:val="101828"/>
                <w:sz w:val="14"/>
              </w:rPr>
              <w:t>CANONICAL.md reserves SMS for money-critical and security events. Stating it prevents the common failure of a member waiting for an SMS that was never going to be sent.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(6) Event identifier</w:t>
            </w:r>
          </w:p>
        </w:tc>
        <w:tc>
          <w:tcPr>
            <w:tcW w:type="dxa" w:w="1498"/>
            <w:tcMar>
              <w:top w:w="60" w:type="dxa"/>
              <w:start w:w="110" w:type="dxa"/>
              <w:bottom w:w="60" w:type="dxa"/>
              <w:end w:w="110" w:type="dxa"/>
            </w:tcMar>
            <w:shd w:val="clear" w:color="auto" w:fill="F4F7FB"/>
          </w:tcPr>
          <w:p>
            <w:pPr>
              <w:spacing w:after="0"/>
            </w:pPr>
            <w:r/>
            <w:r>
              <w:rPr>
                <w:rFonts w:ascii="Calibri" w:hAnsi="Calibri"/>
                <w:b w:val="0"/>
                <w:i w:val="0"/>
                <w:color w:val="101828"/>
                <w:sz w:val="14"/>
              </w:rPr>
              <w:t>The canonical event name per row.</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P2</w:t>
            </w:r>
          </w:p>
        </w:tc>
        <w:tc>
          <w:tcPr>
            <w:tcW w:type="dxa" w:w="6653"/>
            <w:tcMar>
              <w:top w:w="60" w:type="dxa"/>
              <w:start w:w="110" w:type="dxa"/>
              <w:bottom w:w="60" w:type="dxa"/>
              <w:end w:w="110" w:type="dxa"/>
            </w:tcMar>
            <w:shd w:val="clear" w:color="auto" w:fill="F4F7FB"/>
          </w:tcPr>
          <w:p>
            <w:pPr>
              <w:spacing w:after="0"/>
            </w:pPr>
            <w:r/>
            <w:r>
              <w:rPr>
                <w:rFonts w:ascii="Calibri" w:hAnsi="Calibri"/>
                <w:b w:val="0"/>
                <w:i w:val="0"/>
                <w:color w:val="101828"/>
                <w:sz w:val="14"/>
              </w:rPr>
              <w:t>Rendered small and secondary. It is there so a member reporting a missing alert can quote something precise, which support otherwise has to reconstruct from a timestamp.</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(7) Retention</w:t>
            </w:r>
          </w:p>
        </w:tc>
        <w:tc>
          <w:tcPr>
            <w:tcW w:type="dxa" w:w="1498"/>
            <w:tcMar>
              <w:top w:w="60" w:type="dxa"/>
              <w:start w:w="110" w:type="dxa"/>
              <w:bottom w:w="60" w:type="dxa"/>
              <w:end w:w="110" w:type="dxa"/>
            </w:tcMar>
          </w:tcPr>
          <w:p>
            <w:pPr>
              <w:spacing w:after="0"/>
            </w:pPr>
            <w:r/>
            <w:r>
              <w:rPr>
                <w:rFonts w:ascii="Calibri" w:hAnsi="Calibri"/>
                <w:b w:val="0"/>
                <w:i w:val="0"/>
                <w:color w:val="101828"/>
                <w:sz w:val="14"/>
              </w:rPr>
              <w:t>How long notifications are kept.</w:t>
            </w:r>
          </w:p>
        </w:tc>
        <w:tc>
          <w:tcPr>
            <w:tcW w:type="dxa" w:w="605"/>
            <w:tcMar>
              <w:top w:w="60" w:type="dxa"/>
              <w:start w:w="110" w:type="dxa"/>
              <w:bottom w:w="60" w:type="dxa"/>
              <w:end w:w="110" w:type="dxa"/>
            </w:tcMar>
          </w:tcPr>
          <w:p>
            <w:pPr>
              <w:spacing w:after="0"/>
            </w:pPr>
            <w:r/>
            <w:r>
              <w:rPr>
                <w:rFonts w:ascii="Calibri" w:hAnsi="Calibri"/>
                <w:b w:val="0"/>
                <w:i w:val="0"/>
                <w:color w:val="101828"/>
                <w:sz w:val="14"/>
              </w:rPr>
              <w:t>P2</w:t>
            </w:r>
          </w:p>
        </w:tc>
        <w:tc>
          <w:tcPr>
            <w:tcW w:type="dxa" w:w="6653"/>
            <w:tcMar>
              <w:top w:w="60" w:type="dxa"/>
              <w:start w:w="110" w:type="dxa"/>
              <w:bottom w:w="60" w:type="dxa"/>
              <w:end w:w="110" w:type="dxa"/>
            </w:tcMar>
          </w:tcPr>
          <w:p>
            <w:pPr>
              <w:spacing w:after="0"/>
            </w:pPr>
            <w:r/>
            <w:r>
              <w:rPr>
                <w:rFonts w:ascii="Calibri" w:hAnsi="Calibri"/>
                <w:b w:val="0"/>
                <w:i w:val="0"/>
                <w:color w:val="101828"/>
                <w:sz w:val="14"/>
              </w:rPr>
              <w:t>Ninety days in the product, stated in the privacy material. Notifications are a convenience record, not an accounting record; the ledger is the accounting record.</w:t>
            </w:r>
          </w:p>
        </w:tc>
      </w:tr>
    </w:tbl>
    <w:p>
      <w:pPr>
        <w:spacing w:after="80"/>
      </w:pPr>
    </w:p>
    <w:p>
      <w:pPr>
        <w:pStyle w:val="Heading2"/>
      </w:pPr>
      <w:r>
        <w:rPr>
          <w:rFonts w:ascii="Calibri" w:hAnsi="Calibri"/>
          <w:b/>
          <w:i w:val="0"/>
          <w:color w:val="146EF5"/>
          <w:sz w:val="29"/>
        </w:rPr>
        <w:t>6.23 Disputes — SCR-MOB-16</w:t>
      </w:r>
    </w:p>
    <w:p>
      <w:r>
        <w:rPr>
          <w:rFonts w:ascii="Calibri" w:hAnsi="Calibri"/>
          <w:b w:val="0"/>
          <w:i w:val="0"/>
          <w:color w:val="101828"/>
          <w:sz w:val="21"/>
        </w:rPr>
        <w:t>The list of a person's own disputes, and the boundary of what a dispute can do, stated on the screen rather than discovered in one. A dispute is the one route by which a member can stop a step without withdrawing from the product, so it has to feel available rather than escalatory. The screen says what a dispute pauses and what it does not, because a member who believes raising one will return their money immediately will raise four of them.</w:t>
      </w:r>
    </w:p>
    <w:p>
      <w:pPr>
        <w:pStyle w:val="Heading3"/>
      </w:pPr>
      <w:r>
        <w:rPr>
          <w:rFonts w:ascii="Calibri" w:hAnsi="Calibri"/>
          <w:b/>
          <w:i w:val="0"/>
          <w:color w:val="0B1F3A"/>
          <w:sz w:val="24"/>
        </w:rPr>
        <w:t>6.23.1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Support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Disputes                                 |</w:t>
      </w:r>
    </w:p>
    <w:p>
      <w:pPr>
        <w:spacing w:before="0" w:after="0" w:line="240" w:lineRule="auto"/>
        <w:ind w:left="230"/>
        <w:shd w:val="clear" w:color="auto" w:fill="F7F9FC"/>
        <w:pBdr>
          <w:left w:val="single" w:sz="4" w:space="6" w:color="D0D5DD"/>
        </w:pBdr>
      </w:pPr>
      <w:r>
        <w:rPr>
          <w:rFonts w:ascii="Consolas" w:hAnsi="Consolas"/>
          <w:color w:val="0B1F3A"/>
          <w:sz w:val="16"/>
        </w:rPr>
        <w:t>+-- (2) OPEN DISPUTE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Open disputes 1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Round 2, NGN 1,000.00             |   |</w:t>
      </w:r>
    </w:p>
    <w:p>
      <w:pPr>
        <w:spacing w:before="0" w:after="0" w:line="240" w:lineRule="auto"/>
        <w:ind w:left="230"/>
        <w:shd w:val="clear" w:color="auto" w:fill="F7F9FC"/>
        <w:pBdr>
          <w:left w:val="single" w:sz="4" w:space="6" w:color="D0D5DD"/>
        </w:pBdr>
      </w:pPr>
      <w:r>
        <w:rPr>
          <w:rFonts w:ascii="Consolas" w:hAnsi="Consolas"/>
          <w:color w:val="0B1F3A"/>
          <w:sz w:val="16"/>
        </w:rPr>
        <w:t>| |  Chima's Ajo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Waiting on AJO.ng                 |   |</w:t>
      </w:r>
    </w:p>
    <w:p>
      <w:pPr>
        <w:spacing w:before="0" w:after="0" w:line="240" w:lineRule="auto"/>
        <w:ind w:left="230"/>
        <w:shd w:val="clear" w:color="auto" w:fill="F7F9FC"/>
        <w:pBdr>
          <w:left w:val="single" w:sz="4" w:space="6" w:color="D0D5DD"/>
        </w:pBdr>
      </w:pPr>
      <w:r>
        <w:rPr>
          <w:rFonts w:ascii="Consolas" w:hAnsi="Consolas"/>
          <w:color w:val="0B1F3A"/>
          <w:sz w:val="16"/>
        </w:rPr>
        <w:t>| |  Opened 10 Sep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&gt; see the thread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(3) CLOSED ----------------------------+</w:t>
      </w:r>
    </w:p>
    <w:p>
      <w:pPr>
        <w:spacing w:before="0" w:after="0" w:line="240" w:lineRule="auto"/>
        <w:ind w:left="230"/>
        <w:shd w:val="clear" w:color="auto" w:fill="F7F9FC"/>
        <w:pBdr>
          <w:left w:val="single" w:sz="4" w:space="6" w:color="D0D5DD"/>
        </w:pBdr>
      </w:pPr>
      <w:r>
        <w:rPr>
          <w:rFonts w:ascii="Consolas" w:hAnsi="Consolas"/>
          <w:color w:val="0B1F3A"/>
          <w:sz w:val="16"/>
        </w:rPr>
        <w:t>| Closed 2                                 |</w:t>
      </w:r>
    </w:p>
    <w:p>
      <w:pPr>
        <w:spacing w:before="0" w:after="0" w:line="240" w:lineRule="auto"/>
        <w:ind w:left="230"/>
        <w:shd w:val="clear" w:color="auto" w:fill="F7F9FC"/>
        <w:pBdr>
          <w:left w:val="single" w:sz="4" w:space="6" w:color="D0D5DD"/>
        </w:pBdr>
      </w:pPr>
      <w:r>
        <w:rPr>
          <w:rFonts w:ascii="Consolas" w:hAnsi="Consolas"/>
          <w:color w:val="0B1F3A"/>
          <w:sz w:val="16"/>
        </w:rPr>
        <w:t>| Round 1  resolved  01 Aug                |</w:t>
      </w:r>
    </w:p>
    <w:p>
      <w:pPr>
        <w:spacing w:before="0" w:after="0" w:line="240" w:lineRule="auto"/>
        <w:ind w:left="230"/>
        <w:shd w:val="clear" w:color="auto" w:fill="F7F9FC"/>
        <w:pBdr>
          <w:left w:val="single" w:sz="4" w:space="6" w:color="D0D5DD"/>
        </w:pBdr>
      </w:pPr>
      <w:r>
        <w:rPr>
          <w:rFonts w:ascii="Consolas" w:hAnsi="Consolas"/>
          <w:color w:val="0B1F3A"/>
          <w:sz w:val="16"/>
        </w:rPr>
        <w:t>| Round 3  withdrawn  28 Jul               |</w:t>
      </w:r>
    </w:p>
    <w:p>
      <w:pPr>
        <w:spacing w:before="0" w:after="0" w:line="240" w:lineRule="auto"/>
        <w:ind w:left="230"/>
        <w:shd w:val="clear" w:color="auto" w:fill="F7F9FC"/>
        <w:pBdr>
          <w:left w:val="single" w:sz="4" w:space="6" w:color="D0D5DD"/>
        </w:pBdr>
      </w:pPr>
      <w:r>
        <w:rPr>
          <w:rFonts w:ascii="Consolas" w:hAnsi="Consolas"/>
          <w:color w:val="0B1F3A"/>
          <w:sz w:val="16"/>
        </w:rPr>
        <w:t>+-- (4) EXPLANATION -----------------------+</w:t>
      </w:r>
    </w:p>
    <w:p>
      <w:pPr>
        <w:spacing w:before="0" w:after="0" w:line="240" w:lineRule="auto"/>
        <w:ind w:left="230"/>
        <w:shd w:val="clear" w:color="auto" w:fill="F7F9FC"/>
        <w:pBdr>
          <w:left w:val="single" w:sz="4" w:space="6" w:color="D0D5DD"/>
        </w:pBdr>
      </w:pPr>
      <w:r>
        <w:rPr>
          <w:rFonts w:ascii="Consolas" w:hAnsi="Consolas"/>
          <w:color w:val="0B1F3A"/>
          <w:sz w:val="16"/>
        </w:rPr>
        <w:t>| A dispute pauses the ledger, it does     |</w:t>
      </w:r>
    </w:p>
    <w:p>
      <w:pPr>
        <w:spacing w:before="0" w:after="0" w:line="240" w:lineRule="auto"/>
        <w:ind w:left="230"/>
        <w:shd w:val="clear" w:color="auto" w:fill="F7F9FC"/>
        <w:pBdr>
          <w:left w:val="single" w:sz="4" w:space="6" w:color="D0D5DD"/>
        </w:pBdr>
      </w:pPr>
      <w:r>
        <w:rPr>
          <w:rFonts w:ascii="Consolas" w:hAnsi="Consolas"/>
          <w:color w:val="0B1F3A"/>
          <w:sz w:val="16"/>
        </w:rPr>
        <w:t>| not move money. Either party may         |</w:t>
      </w:r>
    </w:p>
    <w:p>
      <w:pPr>
        <w:spacing w:before="0" w:after="0" w:line="240" w:lineRule="auto"/>
        <w:ind w:left="230"/>
        <w:shd w:val="clear" w:color="auto" w:fill="F7F9FC"/>
        <w:pBdr>
          <w:left w:val="single" w:sz="4" w:space="6" w:color="D0D5DD"/>
        </w:pBdr>
      </w:pPr>
      <w:r>
        <w:rPr>
          <w:rFonts w:ascii="Consolas" w:hAnsi="Consolas"/>
          <w:color w:val="0B1F3A"/>
          <w:sz w:val="16"/>
        </w:rPr>
        <w:t>| raise one. See what we can and           |</w:t>
      </w:r>
    </w:p>
    <w:p>
      <w:pPr>
        <w:spacing w:before="0" w:after="0" w:line="240" w:lineRule="auto"/>
        <w:ind w:left="230"/>
        <w:shd w:val="clear" w:color="auto" w:fill="F7F9FC"/>
        <w:pBdr>
          <w:left w:val="single" w:sz="4" w:space="6" w:color="D0D5DD"/>
        </w:pBdr>
      </w:pPr>
      <w:r>
        <w:rPr>
          <w:rFonts w:ascii="Consolas" w:hAnsi="Consolas"/>
          <w:color w:val="0B1F3A"/>
          <w:sz w:val="16"/>
        </w:rPr>
        <w:t>| cannot do  &gt;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LEFT NAV ----------------------------------------------------------+</w:t>
      </w:r>
    </w:p>
    <w:p>
      <w:pPr>
        <w:spacing w:before="0" w:after="0" w:line="240" w:lineRule="auto"/>
        <w:ind w:left="230"/>
        <w:shd w:val="clear" w:color="auto" w:fill="F7F9FC"/>
        <w:pBdr>
          <w:left w:val="single" w:sz="4" w:space="6" w:color="D0D5DD"/>
        </w:pBdr>
      </w:pPr>
      <w:r>
        <w:rPr>
          <w:rFonts w:ascii="Consolas" w:hAnsi="Consolas"/>
          <w:color w:val="0B1F3A"/>
          <w:sz w:val="16"/>
        </w:rPr>
        <w:t>| Home                                                                     |</w:t>
      </w:r>
    </w:p>
    <w:p>
      <w:pPr>
        <w:spacing w:before="0" w:after="0" w:line="240" w:lineRule="auto"/>
        <w:ind w:left="230"/>
        <w:shd w:val="clear" w:color="auto" w:fill="F7F9FC"/>
        <w:pBdr>
          <w:left w:val="single" w:sz="4" w:space="6" w:color="D0D5DD"/>
        </w:pBdr>
      </w:pPr>
      <w:r>
        <w:rPr>
          <w:rFonts w:ascii="Consolas" w:hAnsi="Consolas"/>
          <w:color w:val="0B1F3A"/>
          <w:sz w:val="16"/>
        </w:rPr>
        <w:t>| My Ajos                                                                  |</w:t>
      </w:r>
    </w:p>
    <w:p>
      <w:pPr>
        <w:spacing w:before="0" w:after="0" w:line="240" w:lineRule="auto"/>
        <w:ind w:left="230"/>
        <w:shd w:val="clear" w:color="auto" w:fill="F7F9FC"/>
        <w:pBdr>
          <w:left w:val="single" w:sz="4" w:space="6" w:color="D0D5DD"/>
        </w:pBdr>
      </w:pPr>
      <w:r>
        <w:rPr>
          <w:rFonts w:ascii="Consolas" w:hAnsi="Consolas"/>
          <w:color w:val="0B1F3A"/>
          <w:sz w:val="16"/>
        </w:rPr>
        <w:t>| Pay                                                                      |</w:t>
      </w:r>
    </w:p>
    <w:p>
      <w:pPr>
        <w:spacing w:before="0" w:after="0" w:line="240" w:lineRule="auto"/>
        <w:ind w:left="230"/>
        <w:shd w:val="clear" w:color="auto" w:fill="F7F9FC"/>
        <w:pBdr>
          <w:left w:val="single" w:sz="4" w:space="6" w:color="D0D5DD"/>
        </w:pBdr>
      </w:pPr>
      <w:r>
        <w:rPr>
          <w:rFonts w:ascii="Consolas" w:hAnsi="Consolas"/>
          <w:color w:val="0B1F3A"/>
          <w:sz w:val="16"/>
        </w:rPr>
        <w:t>| Alerts                                                                   |</w:t>
      </w:r>
    </w:p>
    <w:p>
      <w:pPr>
        <w:spacing w:before="0" w:after="0" w:line="240" w:lineRule="auto"/>
        <w:ind w:left="230"/>
        <w:shd w:val="clear" w:color="auto" w:fill="F7F9FC"/>
        <w:pBdr>
          <w:left w:val="single" w:sz="4" w:space="6" w:color="D0D5DD"/>
        </w:pBdr>
      </w:pPr>
      <w:r>
        <w:rPr>
          <w:rFonts w:ascii="Consolas" w:hAnsi="Consolas"/>
          <w:color w:val="0B1F3A"/>
          <w:sz w:val="16"/>
        </w:rPr>
        <w:t>| Support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Profile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DISPUTE TABLE -----------------------------------------------------+</w:t>
      </w:r>
    </w:p>
    <w:p>
      <w:pPr>
        <w:spacing w:before="0" w:after="0" w:line="240" w:lineRule="auto"/>
        <w:ind w:left="230"/>
        <w:shd w:val="clear" w:color="auto" w:fill="F7F9FC"/>
        <w:pBdr>
          <w:left w:val="single" w:sz="4" w:space="6" w:color="D0D5DD"/>
        </w:pBdr>
      </w:pPr>
      <w:r>
        <w:rPr>
          <w:rFonts w:ascii="Consolas" w:hAnsi="Consolas"/>
          <w:color w:val="0B1F3A"/>
          <w:sz w:val="16"/>
        </w:rPr>
        <w:t>| REF     AJO            SUBJECT            STATE     AGE                  |</w:t>
      </w:r>
    </w:p>
    <w:p>
      <w:pPr>
        <w:spacing w:before="0" w:after="0" w:line="240" w:lineRule="auto"/>
        <w:ind w:left="230"/>
        <w:shd w:val="clear" w:color="auto" w:fill="F7F9FC"/>
        <w:pBdr>
          <w:left w:val="single" w:sz="4" w:space="6" w:color="D0D5DD"/>
        </w:pBdr>
      </w:pPr>
      <w:r>
        <w:rPr>
          <w:rFonts w:ascii="Consolas" w:hAnsi="Consolas"/>
          <w:color w:val="0B1F3A"/>
          <w:sz w:val="16"/>
        </w:rPr>
        <w:t>| dsp_4Q7 Chima's Ajo    round 2 not paid   AWAITING  2d                   |</w:t>
      </w:r>
    </w:p>
    <w:p>
      <w:pPr>
        <w:spacing w:before="0" w:after="0" w:line="240" w:lineRule="auto"/>
        <w:ind w:left="230"/>
        <w:shd w:val="clear" w:color="auto" w:fill="F7F9FC"/>
        <w:pBdr>
          <w:left w:val="single" w:sz="4" w:space="6" w:color="D0D5DD"/>
        </w:pBdr>
      </w:pPr>
      <w:r>
        <w:rPr>
          <w:rFonts w:ascii="Consolas" w:hAnsi="Consolas"/>
          <w:color w:val="0B1F3A"/>
          <w:sz w:val="16"/>
        </w:rPr>
        <w:t>| dsp_9KX Adaeze's Ajo   payout order       RESOLVED  31d                  |</w:t>
      </w:r>
    </w:p>
    <w:p>
      <w:pPr>
        <w:spacing w:before="0" w:after="0" w:line="240" w:lineRule="auto"/>
        <w:ind w:left="230"/>
        <w:shd w:val="clear" w:color="auto" w:fill="F7F9FC"/>
        <w:pBdr>
          <w:left w:val="single" w:sz="4" w:space="6" w:color="D0D5DD"/>
        </w:pBdr>
      </w:pPr>
      <w:r>
        <w:rPr>
          <w:rFonts w:ascii="Consolas" w:hAnsi="Consolas"/>
          <w:color w:val="0B1F3A"/>
          <w:sz w:val="16"/>
        </w:rPr>
        <w:t>| dsp_2WT Adaeze's Ajo   wrong round        CLOSED    44d                  |</w:t>
      </w:r>
    </w:p>
    <w:p>
      <w:pPr>
        <w:spacing w:before="0" w:after="0" w:line="240" w:lineRule="auto"/>
        <w:ind w:left="230"/>
        <w:shd w:val="clear" w:color="auto" w:fill="F7F9FC"/>
        <w:pBdr>
          <w:left w:val="single" w:sz="4" w:space="6" w:color="D0D5DD"/>
        </w:pBdr>
      </w:pPr>
      <w:r>
        <w:rPr>
          <w:rFonts w:ascii="Consolas" w:hAnsi="Consolas"/>
          <w:color w:val="0B1F3A"/>
          <w:sz w:val="16"/>
        </w:rPr>
        <w:t>+-- (3) WHAT A DISPUTE DOES -----------------------------------------------+</w:t>
      </w:r>
    </w:p>
    <w:p>
      <w:pPr>
        <w:spacing w:before="0" w:after="0" w:line="240" w:lineRule="auto"/>
        <w:ind w:left="230"/>
        <w:shd w:val="clear" w:color="auto" w:fill="F7F9FC"/>
        <w:pBdr>
          <w:left w:val="single" w:sz="4" w:space="6" w:color="D0D5DD"/>
        </w:pBdr>
      </w:pPr>
      <w:r>
        <w:rPr>
          <w:rFonts w:ascii="Consolas" w:hAnsi="Consolas"/>
          <w:color w:val="0B1F3A"/>
          <w:sz w:val="16"/>
        </w:rPr>
        <w:t>| A dispute records a disagreement and freezes the affected step.          |</w:t>
      </w:r>
    </w:p>
    <w:p>
      <w:pPr>
        <w:spacing w:before="0" w:after="0" w:line="240" w:lineRule="auto"/>
        <w:ind w:left="230"/>
        <w:shd w:val="clear" w:color="auto" w:fill="F7F9FC"/>
        <w:pBdr>
          <w:left w:val="single" w:sz="4" w:space="6" w:color="D0D5DD"/>
        </w:pBdr>
      </w:pPr>
      <w:r>
        <w:rPr>
          <w:rFonts w:ascii="Consolas" w:hAnsi="Consolas"/>
          <w:color w:val="0B1F3A"/>
          <w:sz w:val="16"/>
        </w:rPr>
        <w:t>| It does not move money, does not reverse a settled payout by itself,     |</w:t>
      </w:r>
    </w:p>
    <w:p>
      <w:pPr>
        <w:spacing w:before="0" w:after="0" w:line="240" w:lineRule="auto"/>
        <w:ind w:left="230"/>
        <w:shd w:val="clear" w:color="auto" w:fill="F7F9FC"/>
        <w:pBdr>
          <w:left w:val="single" w:sz="4" w:space="6" w:color="D0D5DD"/>
        </w:pBdr>
      </w:pPr>
      <w:r>
        <w:rPr>
          <w:rFonts w:ascii="Consolas" w:hAnsi="Consolas"/>
          <w:color w:val="0B1F3A"/>
          <w:sz w:val="16"/>
        </w:rPr>
        <w:t>| and does not delete anything.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Neither party can withdraw a dispute that has reached a decision.        |</w:t>
      </w:r>
    </w:p>
    <w:p>
      <w:pPr>
        <w:spacing w:before="0" w:after="0" w:line="240" w:lineRule="auto"/>
        <w:ind w:left="230"/>
        <w:shd w:val="clear" w:color="auto" w:fill="F7F9FC"/>
        <w:pBdr>
          <w:left w:val="single" w:sz="4" w:space="6" w:color="D0D5DD"/>
        </w:pBdr>
      </w:pPr>
      <w:r>
        <w:rPr>
          <w:rFonts w:ascii="Consolas" w:hAnsi="Consolas"/>
          <w:color w:val="0B1F3A"/>
          <w:sz w:val="16"/>
        </w:rPr>
        <w:t>| A withdrawal before a decision is allowed and is recorded.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6.23.2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685"/>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466"/>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 Open disputes</w:t>
            </w:r>
          </w:p>
        </w:tc>
        <w:tc>
          <w:tcPr>
            <w:tcW w:type="dxa" w:w="1685"/>
            <w:tcMar>
              <w:top w:w="60" w:type="dxa"/>
              <w:start w:w="110" w:type="dxa"/>
              <w:bottom w:w="60" w:type="dxa"/>
              <w:end w:w="110" w:type="dxa"/>
            </w:tcMar>
          </w:tcPr>
          <w:p>
            <w:pPr>
              <w:spacing w:after="0"/>
            </w:pPr>
            <w:r/>
            <w:r>
              <w:rPr>
                <w:rFonts w:ascii="Calibri" w:hAnsi="Calibri"/>
                <w:b w:val="0"/>
                <w:i w:val="0"/>
                <w:color w:val="101828"/>
                <w:sz w:val="14"/>
              </w:rPr>
              <w:t>Everything unresolved, with who is waiting on whom.</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466"/>
            <w:tcMar>
              <w:top w:w="60" w:type="dxa"/>
              <w:start w:w="110" w:type="dxa"/>
              <w:bottom w:w="60" w:type="dxa"/>
              <w:end w:w="110" w:type="dxa"/>
            </w:tcMar>
          </w:tcPr>
          <w:p>
            <w:pPr>
              <w:spacing w:after="0"/>
            </w:pPr>
            <w:r/>
            <w:r>
              <w:rPr>
                <w:rFonts w:ascii="Calibri" w:hAnsi="Calibri"/>
                <w:i/>
                <w:color w:val="101828"/>
                <w:sz w:val="14"/>
              </w:rPr>
              <w:t>Waiting on AJO.ng</w:t>
            </w:r>
            <w:r>
              <w:rPr>
                <w:rFonts w:ascii="Calibri" w:hAnsi="Calibri"/>
                <w:b w:val="0"/>
                <w:i w:val="0"/>
                <w:color w:val="101828"/>
                <w:sz w:val="14"/>
              </w:rPr>
              <w:t xml:space="preserve"> and </w:t>
            </w:r>
            <w:r>
              <w:rPr>
                <w:rFonts w:ascii="Calibri" w:hAnsi="Calibri"/>
                <w:i/>
                <w:color w:val="101828"/>
                <w:sz w:val="14"/>
              </w:rPr>
              <w:t>waiting on the other party</w:t>
            </w:r>
            <w:r>
              <w:rPr>
                <w:rFonts w:ascii="Calibri" w:hAnsi="Calibri"/>
                <w:b w:val="0"/>
                <w:i w:val="0"/>
                <w:color w:val="101828"/>
                <w:sz w:val="14"/>
              </w:rPr>
              <w:t xml:space="preserve"> are different states and are shown differently, because the first is a commitment the platform owes and the second is not.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Reference</w:t>
            </w:r>
          </w:p>
        </w:tc>
        <w:tc>
          <w:tcPr>
            <w:tcW w:type="dxa" w:w="1685"/>
            <w:tcMar>
              <w:top w:w="60" w:type="dxa"/>
              <w:start w:w="110" w:type="dxa"/>
              <w:bottom w:w="60" w:type="dxa"/>
              <w:end w:w="110" w:type="dxa"/>
            </w:tcMar>
            <w:shd w:val="clear" w:color="auto" w:fill="F4F7FB"/>
          </w:tcPr>
          <w:p>
            <w:pPr>
              <w:spacing w:after="0"/>
            </w:pPr>
            <w:r/>
            <w:r>
              <w:rPr>
                <w:rFonts w:ascii="Calibri" w:hAnsi="Calibri"/>
                <w:b w:val="0"/>
                <w:i w:val="0"/>
                <w:color w:val="101828"/>
                <w:sz w:val="14"/>
              </w:rPr>
              <w:t>A stable dispute reference per row.</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466"/>
            <w:tcMar>
              <w:top w:w="60" w:type="dxa"/>
              <w:start w:w="110" w:type="dxa"/>
              <w:bottom w:w="60" w:type="dxa"/>
              <w:end w:w="110" w:type="dxa"/>
            </w:tcMar>
            <w:shd w:val="clear" w:color="auto" w:fill="F4F7FB"/>
          </w:tcPr>
          <w:p>
            <w:pPr>
              <w:spacing w:after="0"/>
            </w:pPr>
            <w:r/>
            <w:r>
              <w:rPr>
                <w:rFonts w:ascii="Consolas" w:hAnsi="Consolas"/>
                <w:color w:val="146EF5"/>
                <w:sz w:val="14"/>
              </w:rPr>
              <w:t>dsp_</w:t>
            </w:r>
            <w:r>
              <w:rPr>
                <w:rFonts w:ascii="Calibri" w:hAnsi="Calibri"/>
                <w:b w:val="0"/>
                <w:i w:val="0"/>
                <w:color w:val="101828"/>
                <w:sz w:val="14"/>
              </w:rPr>
              <w:t xml:space="preserve"> plus an opaque suffix, quoted in support. Without it, a member describing </w:t>
            </w:r>
            <w:r>
              <w:rPr>
                <w:rFonts w:ascii="Calibri" w:hAnsi="Calibri"/>
                <w:i/>
                <w:color w:val="101828"/>
                <w:sz w:val="14"/>
              </w:rPr>
              <w:t>the one about round 2</w:t>
            </w:r>
            <w:r>
              <w:rPr>
                <w:rFonts w:ascii="Calibri" w:hAnsi="Calibri"/>
                <w:b w:val="0"/>
                <w:i w:val="0"/>
                <w:color w:val="101828"/>
                <w:sz w:val="14"/>
              </w:rPr>
              <w:t xml:space="preserve"> is describing one of several.</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 Subject</w:t>
            </w:r>
          </w:p>
        </w:tc>
        <w:tc>
          <w:tcPr>
            <w:tcW w:type="dxa" w:w="1685"/>
            <w:tcMar>
              <w:top w:w="60" w:type="dxa"/>
              <w:start w:w="110" w:type="dxa"/>
              <w:bottom w:w="60" w:type="dxa"/>
              <w:end w:w="110" w:type="dxa"/>
            </w:tcMar>
          </w:tcPr>
          <w:p>
            <w:pPr>
              <w:spacing w:after="0"/>
            </w:pPr>
            <w:r/>
            <w:r>
              <w:rPr>
                <w:rFonts w:ascii="Calibri" w:hAnsi="Calibri"/>
                <w:b w:val="0"/>
                <w:i w:val="0"/>
                <w:color w:val="101828"/>
                <w:sz w:val="14"/>
              </w:rPr>
              <w:t>What the disagreement is about, in one line.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466"/>
            <w:tcMar>
              <w:top w:w="60" w:type="dxa"/>
              <w:start w:w="110" w:type="dxa"/>
              <w:bottom w:w="60" w:type="dxa"/>
              <w:end w:w="110" w:type="dxa"/>
            </w:tcMar>
          </w:tcPr>
          <w:p>
            <w:pPr>
              <w:spacing w:after="0"/>
            </w:pPr>
            <w:r/>
            <w:r>
              <w:rPr>
                <w:rFonts w:ascii="Calibri" w:hAnsi="Calibri"/>
                <w:b w:val="0"/>
                <w:i w:val="0"/>
                <w:color w:val="101828"/>
                <w:sz w:val="14"/>
              </w:rPr>
              <w:t>Chosen by the person from a short list at creation, then editable. A subject line is what makes a list of disputes navigable, and an editable one is what keeps it honest.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 Age</w:t>
            </w:r>
          </w:p>
        </w:tc>
        <w:tc>
          <w:tcPr>
            <w:tcW w:type="dxa" w:w="1685"/>
            <w:tcMar>
              <w:top w:w="60" w:type="dxa"/>
              <w:start w:w="110" w:type="dxa"/>
              <w:bottom w:w="60" w:type="dxa"/>
              <w:end w:w="110" w:type="dxa"/>
            </w:tcMar>
            <w:shd w:val="clear" w:color="auto" w:fill="F4F7FB"/>
          </w:tcPr>
          <w:p>
            <w:pPr>
              <w:spacing w:after="0"/>
            </w:pPr>
            <w:r/>
            <w:r>
              <w:rPr>
                <w:rFonts w:ascii="Calibri" w:hAnsi="Calibri"/>
                <w:b w:val="0"/>
                <w:i w:val="0"/>
                <w:color w:val="101828"/>
                <w:sz w:val="14"/>
              </w:rPr>
              <w:t>How long it has been open.</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466"/>
            <w:tcMar>
              <w:top w:w="60" w:type="dxa"/>
              <w:start w:w="110" w:type="dxa"/>
              <w:bottom w:w="60" w:type="dxa"/>
              <w:end w:w="110" w:type="dxa"/>
            </w:tcMar>
            <w:shd w:val="clear" w:color="auto" w:fill="F4F7FB"/>
          </w:tcPr>
          <w:p>
            <w:pPr>
              <w:spacing w:after="0"/>
            </w:pPr>
            <w:r/>
            <w:r>
              <w:rPr>
                <w:rFonts w:ascii="Calibri" w:hAnsi="Calibri"/>
                <w:b w:val="0"/>
                <w:i w:val="0"/>
                <w:color w:val="101828"/>
                <w:sz w:val="14"/>
              </w:rPr>
              <w:t>Ages beyond the published response time are shown, because an unacknowledged age is worse than an acknowledged one.</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(5) Scope statement</w:t>
            </w:r>
          </w:p>
        </w:tc>
        <w:tc>
          <w:tcPr>
            <w:tcW w:type="dxa" w:w="1685"/>
            <w:tcMar>
              <w:top w:w="60" w:type="dxa"/>
              <w:start w:w="110" w:type="dxa"/>
              <w:bottom w:w="60" w:type="dxa"/>
              <w:end w:w="110" w:type="dxa"/>
            </w:tcMar>
          </w:tcPr>
          <w:p>
            <w:pPr>
              <w:spacing w:after="0"/>
            </w:pPr>
            <w:r/>
            <w:r>
              <w:rPr>
                <w:rFonts w:ascii="Calibri" w:hAnsi="Calibri"/>
                <w:b w:val="0"/>
                <w:i w:val="0"/>
                <w:color w:val="101828"/>
                <w:sz w:val="14"/>
              </w:rPr>
              <w:t>What a dispute does and does not do.</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466"/>
            <w:tcMar>
              <w:top w:w="60" w:type="dxa"/>
              <w:start w:w="110" w:type="dxa"/>
              <w:bottom w:w="60" w:type="dxa"/>
              <w:end w:w="110" w:type="dxa"/>
            </w:tcMar>
          </w:tcPr>
          <w:p>
            <w:pPr>
              <w:spacing w:after="0"/>
            </w:pPr>
            <w:r/>
            <w:r>
              <w:rPr>
                <w:rFonts w:ascii="Calibri" w:hAnsi="Calibri"/>
                <w:b/>
                <w:color w:val="101828"/>
                <w:sz w:val="14"/>
              </w:rPr>
              <w:t>Mandatory.</w:t>
            </w:r>
            <w:r>
              <w:rPr>
                <w:rFonts w:ascii="Calibri" w:hAnsi="Calibri"/>
                <w:b w:val="0"/>
                <w:i w:val="0"/>
                <w:color w:val="101828"/>
                <w:sz w:val="14"/>
              </w:rPr>
              <w:t xml:space="preserve"> A dispute freezes an affected step and records a disagreement. It does not move money, does not by itself reverse a settled payout, and does not delete a record. Saying this on the list screen, before anyone creates one, is cheaper than saying it in every dispute.</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(6) Withdraw</w:t>
            </w:r>
          </w:p>
        </w:tc>
        <w:tc>
          <w:tcPr>
            <w:tcW w:type="dxa" w:w="1685"/>
            <w:tcMar>
              <w:top w:w="60" w:type="dxa"/>
              <w:start w:w="110" w:type="dxa"/>
              <w:bottom w:w="60" w:type="dxa"/>
              <w:end w:w="110" w:type="dxa"/>
            </w:tcMar>
            <w:shd w:val="clear" w:color="auto" w:fill="F4F7FB"/>
          </w:tcPr>
          <w:p>
            <w:pPr>
              <w:spacing w:after="0"/>
            </w:pPr>
            <w:r/>
            <w:r>
              <w:rPr>
                <w:rFonts w:ascii="Calibri" w:hAnsi="Calibri"/>
                <w:b w:val="0"/>
                <w:i w:val="0"/>
                <w:color w:val="101828"/>
                <w:sz w:val="14"/>
              </w:rPr>
              <w:t>Available only before a decision.</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466"/>
            <w:tcMar>
              <w:top w:w="60" w:type="dxa"/>
              <w:start w:w="110" w:type="dxa"/>
              <w:bottom w:w="60" w:type="dxa"/>
              <w:end w:w="110" w:type="dxa"/>
            </w:tcMar>
            <w:shd w:val="clear" w:color="auto" w:fill="F4F7FB"/>
          </w:tcPr>
          <w:p>
            <w:pPr>
              <w:spacing w:after="0"/>
            </w:pPr>
            <w:r/>
            <w:r>
              <w:rPr>
                <w:rFonts w:ascii="Calibri" w:hAnsi="Calibri"/>
                <w:b w:val="0"/>
                <w:i w:val="0"/>
                <w:color w:val="101828"/>
                <w:sz w:val="14"/>
              </w:rPr>
              <w:t>A dispute that has reached a decision cannot be withdrawn, because the decision and its reasoning are on the record and both parties have relied on them.</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(7) New dispute</w:t>
            </w:r>
          </w:p>
        </w:tc>
        <w:tc>
          <w:tcPr>
            <w:tcW w:type="dxa" w:w="1685"/>
            <w:tcMar>
              <w:top w:w="60" w:type="dxa"/>
              <w:start w:w="110" w:type="dxa"/>
              <w:bottom w:w="60" w:type="dxa"/>
              <w:end w:w="110" w:type="dxa"/>
            </w:tcMar>
          </w:tcPr>
          <w:p>
            <w:pPr>
              <w:spacing w:after="0"/>
            </w:pPr>
            <w:r/>
            <w:r>
              <w:rPr>
                <w:rFonts w:ascii="Calibri" w:hAnsi="Calibri"/>
                <w:b w:val="0"/>
                <w:i w:val="0"/>
                <w:color w:val="101828"/>
                <w:sz w:val="14"/>
              </w:rPr>
              <w:t>The creation route, present on the list and on the affected screen.</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466"/>
            <w:tcMar>
              <w:top w:w="60" w:type="dxa"/>
              <w:start w:w="110" w:type="dxa"/>
              <w:bottom w:w="60" w:type="dxa"/>
              <w:end w:w="110" w:type="dxa"/>
            </w:tcMar>
          </w:tcPr>
          <w:p>
            <w:pPr>
              <w:spacing w:after="0"/>
            </w:pPr>
            <w:r/>
            <w:r>
              <w:rPr>
                <w:rFonts w:ascii="Calibri" w:hAnsi="Calibri"/>
                <w:b w:val="0"/>
                <w:i w:val="0"/>
                <w:color w:val="101828"/>
                <w:sz w:val="14"/>
              </w:rPr>
              <w:t>Offered from the Ajo, the contribution and the payout screens as well as from here, so the context that triggered it is still on screen.</w:t>
            </w:r>
          </w:p>
        </w:tc>
      </w:tr>
    </w:tbl>
    <w:p>
      <w:pPr>
        <w:spacing w:after="80"/>
      </w:pPr>
    </w:p>
    <w:p>
      <w:pPr>
        <w:pStyle w:val="Heading2"/>
      </w:pPr>
      <w:r>
        <w:rPr>
          <w:rFonts w:ascii="Calibri" w:hAnsi="Calibri"/>
          <w:b/>
          <w:i w:val="0"/>
          <w:color w:val="146EF5"/>
          <w:sz w:val="29"/>
        </w:rPr>
        <w:t>6.24 New Dispute — SCR-MOB-17</w:t>
      </w:r>
    </w:p>
    <w:p>
      <w:r>
        <w:rPr>
          <w:rFonts w:ascii="Calibri" w:hAnsi="Calibri"/>
          <w:b w:val="0"/>
          <w:i w:val="0"/>
          <w:color w:val="101828"/>
          <w:sz w:val="21"/>
        </w:rPr>
        <w:t>Three short steps that turn a grievance into something the platform can act on. The design problem here is not the form, it is calibration: a dispute that is easy to raise and hard to act on produces a queue of feelings rather than a queue of facts. So the subject is a closed list, the affected contribution or payout is picked rather than described, and the screen says up front what the platform can and cannot do once a dispute exists.</w:t>
      </w:r>
    </w:p>
    <w:p>
      <w:pPr>
        <w:spacing w:before="140" w:after="180"/>
        <w:ind w:left="144"/>
        <w:shd w:val="clear" w:color="auto" w:fill="FEE2E2"/>
        <w:pBdr>
          <w:left w:val="single" w:sz="18" w:space="6" w:color="DC2626"/>
        </w:pBdr>
      </w:pPr>
      <w:r>
        <w:rPr>
          <w:rFonts w:ascii="Calibri" w:hAnsi="Calibri"/>
          <w:b/>
          <w:color w:val="DC2626"/>
          <w:sz w:val="19"/>
        </w:rPr>
        <w:t xml:space="preserve">Disputes are not a substitute for the provider's chargeback process  </w:t>
      </w:r>
      <w:r>
        <w:rPr>
          <w:rFonts w:ascii="Calibri" w:hAnsi="Calibri"/>
          <w:b w:val="0"/>
          <w:i w:val="0"/>
          <w:color w:val="0B1F3A"/>
          <w:sz w:val="19"/>
        </w:rPr>
        <w:t xml:space="preserve">A dispute raised here is an internal platform process. It is not a chargeback, and it does not by itself reverse a settled payout. If a member's actual complaint is that a bank debited them and the money never arrived, that is a matter for the acquiring bank and, where relevant, for ProvidusUnity's own process. The refund SLA after a provider approves a reversal is open decision D-07 and is unresolved. </w:t>
      </w:r>
      <w:r>
        <w:rPr>
          <w:rFonts w:ascii="Calibri" w:hAnsi="Calibri"/>
          <w:b/>
          <w:color w:val="0B1F3A"/>
          <w:sz w:val="19"/>
        </w:rPr>
        <w:t>The product must not represent a dispute as a route to a chargeback, and no screen may state or imply a refund timeframe that has not been confirmed with the provider and reviewed by qualified Nigerian legal counsel.</w:t>
      </w:r>
    </w:p>
    <w:p>
      <w:pPr>
        <w:pStyle w:val="Heading3"/>
      </w:pPr>
      <w:r>
        <w:rPr>
          <w:rFonts w:ascii="Calibri" w:hAnsi="Calibri"/>
          <w:b/>
          <w:i w:val="0"/>
          <w:color w:val="0B1F3A"/>
          <w:sz w:val="24"/>
        </w:rPr>
        <w:t>6.24.1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STEP 1 ----------------------------+</w:t>
      </w:r>
    </w:p>
    <w:p>
      <w:pPr>
        <w:spacing w:before="0" w:after="0" w:line="240" w:lineRule="auto"/>
        <w:ind w:left="230"/>
        <w:shd w:val="clear" w:color="auto" w:fill="F7F9FC"/>
        <w:pBdr>
          <w:left w:val="single" w:sz="4" w:space="6" w:color="D0D5DD"/>
        </w:pBdr>
      </w:pPr>
      <w:r>
        <w:rPr>
          <w:rFonts w:ascii="Consolas" w:hAnsi="Consolas"/>
          <w:color w:val="0B1F3A"/>
          <w:sz w:val="16"/>
        </w:rPr>
        <w:t>| What is this about?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(o) A contribution I was charged         |</w:t>
      </w:r>
    </w:p>
    <w:p>
      <w:pPr>
        <w:spacing w:before="0" w:after="0" w:line="240" w:lineRule="auto"/>
        <w:ind w:left="230"/>
        <w:shd w:val="clear" w:color="auto" w:fill="F7F9FC"/>
        <w:pBdr>
          <w:left w:val="single" w:sz="4" w:space="6" w:color="D0D5DD"/>
        </w:pBdr>
      </w:pPr>
      <w:r>
        <w:rPr>
          <w:rFonts w:ascii="Consolas" w:hAnsi="Consolas"/>
          <w:color w:val="0B1F3A"/>
          <w:sz w:val="16"/>
        </w:rPr>
        <w:t>|     for and did not expect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 A payout I did not receive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 The payout order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 Something else                       |</w:t>
      </w:r>
    </w:p>
    <w:p>
      <w:pPr>
        <w:spacing w:before="0" w:after="0" w:line="240" w:lineRule="auto"/>
        <w:ind w:left="230"/>
        <w:shd w:val="clear" w:color="auto" w:fill="F7F9FC"/>
        <w:pBdr>
          <w:left w:val="single" w:sz="4" w:space="6" w:color="D0D5DD"/>
        </w:pBdr>
      </w:pPr>
      <w:r>
        <w:rPr>
          <w:rFonts w:ascii="Consolas" w:hAnsi="Consolas"/>
          <w:color w:val="0B1F3A"/>
          <w:sz w:val="16"/>
        </w:rPr>
        <w:t>+-- (2) STEP 2 ----------------------------+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Which Ajo and which round?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Adaeze's Ajo                      |   |</w:t>
      </w:r>
    </w:p>
    <w:p>
      <w:pPr>
        <w:spacing w:before="0" w:after="0" w:line="240" w:lineRule="auto"/>
        <w:ind w:left="230"/>
        <w:shd w:val="clear" w:color="auto" w:fill="F7F9FC"/>
        <w:pBdr>
          <w:left w:val="single" w:sz="4" w:space="6" w:color="D0D5DD"/>
        </w:pBdr>
      </w:pPr>
      <w:r>
        <w:rPr>
          <w:rFonts w:ascii="Consolas" w:hAnsi="Consolas"/>
          <w:color w:val="0B1F3A"/>
          <w:sz w:val="16"/>
        </w:rPr>
        <w:t>| |  Round 4, due 05 Oct, NGN          |   |</w:t>
      </w:r>
    </w:p>
    <w:p>
      <w:pPr>
        <w:spacing w:before="0" w:after="0" w:line="240" w:lineRule="auto"/>
        <w:ind w:left="230"/>
        <w:shd w:val="clear" w:color="auto" w:fill="F7F9FC"/>
        <w:pBdr>
          <w:left w:val="single" w:sz="4" w:space="6" w:color="D0D5DD"/>
        </w:pBdr>
      </w:pPr>
      <w:r>
        <w:rPr>
          <w:rFonts w:ascii="Consolas" w:hAnsi="Consolas"/>
          <w:color w:val="0B1F3A"/>
          <w:sz w:val="16"/>
        </w:rPr>
        <w:t>| |    1,000.00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Charged 12 Sep 2026               |   |</w:t>
      </w:r>
    </w:p>
    <w:p>
      <w:pPr>
        <w:spacing w:before="0" w:after="0" w:line="240" w:lineRule="auto"/>
        <w:ind w:left="230"/>
        <w:shd w:val="clear" w:color="auto" w:fill="F7F9FC"/>
        <w:pBdr>
          <w:left w:val="single" w:sz="4" w:space="6" w:color="D0D5DD"/>
        </w:pBdr>
      </w:pPr>
      <w:r>
        <w:rPr>
          <w:rFonts w:ascii="Consolas" w:hAnsi="Consolas"/>
          <w:color w:val="0B1F3A"/>
          <w:sz w:val="16"/>
        </w:rPr>
        <w:t>| |  Reference pay_7QK2M9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(3) STEP 3 ----------------------------+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Tell us what happened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  |   |</w:t>
      </w:r>
    </w:p>
    <w:p>
      <w:pPr>
        <w:spacing w:before="0" w:after="0" w:line="240" w:lineRule="auto"/>
        <w:ind w:left="230"/>
        <w:shd w:val="clear" w:color="auto" w:fill="F7F9FC"/>
        <w:pBdr>
          <w:left w:val="single" w:sz="4" w:space="6" w:color="D0D5DD"/>
        </w:pBdr>
      </w:pPr>
      <w:r>
        <w:rPr>
          <w:rFonts w:ascii="Consolas" w:hAnsi="Consolas"/>
          <w:color w:val="0B1F3A"/>
          <w:sz w:val="16"/>
        </w:rPr>
        <w:t>| |  [                              ]  |   |</w:t>
      </w:r>
    </w:p>
    <w:p>
      <w:pPr>
        <w:spacing w:before="0" w:after="0" w:line="240" w:lineRule="auto"/>
        <w:ind w:left="230"/>
        <w:shd w:val="clear" w:color="auto" w:fill="F7F9FC"/>
        <w:pBdr>
          <w:left w:val="single" w:sz="4" w:space="6" w:color="D0D5DD"/>
        </w:pBdr>
      </w:pPr>
      <w:r>
        <w:rPr>
          <w:rFonts w:ascii="Consolas" w:hAnsi="Consolas"/>
          <w:color w:val="0B1F3A"/>
          <w:sz w:val="16"/>
        </w:rPr>
        <w:t>| |  [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What you would like to happen:    |   |</w:t>
      </w:r>
    </w:p>
    <w:p>
      <w:pPr>
        <w:spacing w:before="0" w:after="0" w:line="240" w:lineRule="auto"/>
        <w:ind w:left="230"/>
        <w:shd w:val="clear" w:color="auto" w:fill="F7F9FC"/>
        <w:pBdr>
          <w:left w:val="single" w:sz="4" w:space="6" w:color="D0D5DD"/>
        </w:pBdr>
      </w:pPr>
      <w:r>
        <w:rPr>
          <w:rFonts w:ascii="Consolas" w:hAnsi="Consolas"/>
          <w:color w:val="0B1F3A"/>
          <w:sz w:val="16"/>
        </w:rPr>
        <w:t>| |  [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What we can do: refund, correct   |   |</w:t>
      </w:r>
    </w:p>
    <w:p>
      <w:pPr>
        <w:spacing w:before="0" w:after="0" w:line="240" w:lineRule="auto"/>
        <w:ind w:left="230"/>
        <w:shd w:val="clear" w:color="auto" w:fill="F7F9FC"/>
        <w:pBdr>
          <w:left w:val="single" w:sz="4" w:space="6" w:color="D0D5DD"/>
        </w:pBdr>
      </w:pPr>
      <w:r>
        <w:rPr>
          <w:rFonts w:ascii="Consolas" w:hAnsi="Consolas"/>
          <w:color w:val="0B1F3A"/>
          <w:sz w:val="16"/>
        </w:rPr>
        <w:t>| |    a                               |   |</w:t>
      </w:r>
    </w:p>
    <w:p>
      <w:pPr>
        <w:spacing w:before="0" w:after="0" w:line="240" w:lineRule="auto"/>
        <w:ind w:left="230"/>
        <w:shd w:val="clear" w:color="auto" w:fill="F7F9FC"/>
        <w:pBdr>
          <w:left w:val="single" w:sz="4" w:space="6" w:color="D0D5DD"/>
        </w:pBdr>
      </w:pPr>
      <w:r>
        <w:rPr>
          <w:rFonts w:ascii="Consolas" w:hAnsi="Consolas"/>
          <w:color w:val="0B1F3A"/>
          <w:sz w:val="16"/>
        </w:rPr>
        <w:t>| |  record, or explain. We cannot     |   |</w:t>
      </w:r>
    </w:p>
    <w:p>
      <w:pPr>
        <w:spacing w:before="0" w:after="0" w:line="240" w:lineRule="auto"/>
        <w:ind w:left="230"/>
        <w:shd w:val="clear" w:color="auto" w:fill="F7F9FC"/>
        <w:pBdr>
          <w:left w:val="single" w:sz="4" w:space="6" w:color="D0D5DD"/>
        </w:pBdr>
      </w:pPr>
      <w:r>
        <w:rPr>
          <w:rFonts w:ascii="Consolas" w:hAnsi="Consolas"/>
          <w:color w:val="0B1F3A"/>
          <w:sz w:val="16"/>
        </w:rPr>
        <w:t>| |    move                            |   |</w:t>
      </w:r>
    </w:p>
    <w:p>
      <w:pPr>
        <w:spacing w:before="0" w:after="0" w:line="240" w:lineRule="auto"/>
        <w:ind w:left="230"/>
        <w:shd w:val="clear" w:color="auto" w:fill="F7F9FC"/>
        <w:pBdr>
          <w:left w:val="single" w:sz="4" w:space="6" w:color="D0D5DD"/>
        </w:pBdr>
      </w:pPr>
      <w:r>
        <w:rPr>
          <w:rFonts w:ascii="Consolas" w:hAnsi="Consolas"/>
          <w:color w:val="0B1F3A"/>
          <w:sz w:val="16"/>
        </w:rPr>
        <w:t>| |  money outside these.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(4) EVIDENCE --------------------------+</w:t>
      </w:r>
    </w:p>
    <w:p>
      <w:pPr>
        <w:spacing w:before="0" w:after="0" w:line="240" w:lineRule="auto"/>
        <w:ind w:left="230"/>
        <w:shd w:val="clear" w:color="auto" w:fill="F7F9FC"/>
        <w:pBdr>
          <w:left w:val="single" w:sz="4" w:space="6" w:color="D0D5DD"/>
        </w:pBdr>
      </w:pPr>
      <w:r>
        <w:rPr>
          <w:rFonts w:ascii="Consolas" w:hAnsi="Consolas"/>
          <w:color w:val="0B1F3A"/>
          <w:sz w:val="16"/>
        </w:rPr>
        <w:t>| + Add a receipt, screenshot or note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0 of 5 files, up to 10 MB each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STEP 1: SUBJECT ---------------------------------------------------+</w:t>
      </w:r>
    </w:p>
    <w:p>
      <w:pPr>
        <w:spacing w:before="0" w:after="0" w:line="240" w:lineRule="auto"/>
        <w:ind w:left="230"/>
        <w:shd w:val="clear" w:color="auto" w:fill="F7F9FC"/>
        <w:pBdr>
          <w:left w:val="single" w:sz="4" w:space="6" w:color="D0D5DD"/>
        </w:pBdr>
      </w:pPr>
      <w:r>
        <w:rPr>
          <w:rFonts w:ascii="Consolas" w:hAnsi="Consolas"/>
          <w:color w:val="0B1F3A"/>
          <w:sz w:val="16"/>
        </w:rPr>
        <w:t>| What is this about?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(o) A contribution I was charged for and did not expect                  |</w:t>
      </w:r>
    </w:p>
    <w:p>
      <w:pPr>
        <w:spacing w:before="0" w:after="0" w:line="240" w:lineRule="auto"/>
        <w:ind w:left="230"/>
        <w:shd w:val="clear" w:color="auto" w:fill="F7F9FC"/>
        <w:pBdr>
          <w:left w:val="single" w:sz="4" w:space="6" w:color="D0D5DD"/>
        </w:pBdr>
      </w:pPr>
      <w:r>
        <w:rPr>
          <w:rFonts w:ascii="Consolas" w:hAnsi="Consolas"/>
          <w:color w:val="0B1F3A"/>
          <w:sz w:val="16"/>
        </w:rPr>
        <w:t>| ( ) A payout I did not receive                                           |</w:t>
      </w:r>
    </w:p>
    <w:p>
      <w:pPr>
        <w:spacing w:before="0" w:after="0" w:line="240" w:lineRule="auto"/>
        <w:ind w:left="230"/>
        <w:shd w:val="clear" w:color="auto" w:fill="F7F9FC"/>
        <w:pBdr>
          <w:left w:val="single" w:sz="4" w:space="6" w:color="D0D5DD"/>
        </w:pBdr>
      </w:pPr>
      <w:r>
        <w:rPr>
          <w:rFonts w:ascii="Consolas" w:hAnsi="Consolas"/>
          <w:color w:val="0B1F3A"/>
          <w:sz w:val="16"/>
        </w:rPr>
        <w:t>| ( ) The payout order                                                     |</w:t>
      </w:r>
    </w:p>
    <w:p>
      <w:pPr>
        <w:spacing w:before="0" w:after="0" w:line="240" w:lineRule="auto"/>
        <w:ind w:left="230"/>
        <w:shd w:val="clear" w:color="auto" w:fill="F7F9FC"/>
        <w:pBdr>
          <w:left w:val="single" w:sz="4" w:space="6" w:color="D0D5DD"/>
        </w:pBdr>
      </w:pPr>
      <w:r>
        <w:rPr>
          <w:rFonts w:ascii="Consolas" w:hAnsi="Consolas"/>
          <w:color w:val="0B1F3A"/>
          <w:sz w:val="16"/>
        </w:rPr>
        <w:t>| ( ) Something else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Choose the closest one. You can add detail in step 3.                    |</w:t>
      </w:r>
    </w:p>
    <w:p>
      <w:pPr>
        <w:spacing w:before="0" w:after="0" w:line="240" w:lineRule="auto"/>
        <w:ind w:left="230"/>
        <w:shd w:val="clear" w:color="auto" w:fill="F7F9FC"/>
        <w:pBdr>
          <w:left w:val="single" w:sz="4" w:space="6" w:color="D0D5DD"/>
        </w:pBdr>
      </w:pPr>
      <w:r>
        <w:rPr>
          <w:rFonts w:ascii="Consolas" w:hAnsi="Consolas"/>
          <w:color w:val="0B1F3A"/>
          <w:sz w:val="16"/>
        </w:rPr>
        <w:t>+-- (2) STEP 2 AND 3 ------------------------------------------------------+</w:t>
      </w:r>
    </w:p>
    <w:p>
      <w:pPr>
        <w:spacing w:before="0" w:after="0" w:line="240" w:lineRule="auto"/>
        <w:ind w:left="230"/>
        <w:shd w:val="clear" w:color="auto" w:fill="F7F9FC"/>
        <w:pBdr>
          <w:left w:val="single" w:sz="4" w:space="6" w:color="D0D5DD"/>
        </w:pBdr>
      </w:pPr>
      <w:r>
        <w:rPr>
          <w:rFonts w:ascii="Consolas" w:hAnsi="Consolas"/>
          <w:color w:val="0B1F3A"/>
          <w:sz w:val="16"/>
        </w:rPr>
        <w:t>| Adaeze's Ajo, round 4, due 05 Oct 2026, NGN 1,000.00                     |</w:t>
      </w:r>
    </w:p>
    <w:p>
      <w:pPr>
        <w:spacing w:before="0" w:after="0" w:line="240" w:lineRule="auto"/>
        <w:ind w:left="230"/>
        <w:shd w:val="clear" w:color="auto" w:fill="F7F9FC"/>
        <w:pBdr>
          <w:left w:val="single" w:sz="4" w:space="6" w:color="D0D5DD"/>
        </w:pBdr>
      </w:pPr>
      <w:r>
        <w:rPr>
          <w:rFonts w:ascii="Consolas" w:hAnsi="Consolas"/>
          <w:color w:val="0B1F3A"/>
          <w:sz w:val="16"/>
        </w:rPr>
        <w:t>| Charged 12 Sep 2026. Reference pay_7QK2M9.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Tell us what happened, and what you would like to happen.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Add a receipt, screenshot or note        0 of 5 files, up to 10 MB     |</w:t>
      </w:r>
    </w:p>
    <w:p>
      <w:pPr>
        <w:spacing w:before="0" w:after="0" w:line="240" w:lineRule="auto"/>
        <w:ind w:left="230"/>
        <w:shd w:val="clear" w:color="auto" w:fill="F7F9FC"/>
        <w:pBdr>
          <w:left w:val="single" w:sz="4" w:space="6" w:color="D0D5DD"/>
        </w:pBdr>
      </w:pPr>
      <w:r>
        <w:rPr>
          <w:rFonts w:ascii="Consolas" w:hAnsi="Consolas"/>
          <w:color w:val="0B1F3A"/>
          <w:sz w:val="16"/>
        </w:rPr>
        <w:t>|   each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What we can do: refund, correct a record, or explain. We cannot move     |</w:t>
      </w:r>
    </w:p>
    <w:p>
      <w:pPr>
        <w:spacing w:before="0" w:after="0" w:line="240" w:lineRule="auto"/>
        <w:ind w:left="230"/>
        <w:shd w:val="clear" w:color="auto" w:fill="F7F9FC"/>
        <w:pBdr>
          <w:left w:val="single" w:sz="4" w:space="6" w:color="D0D5DD"/>
        </w:pBdr>
      </w:pPr>
      <w:r>
        <w:rPr>
          <w:rFonts w:ascii="Consolas" w:hAnsi="Consolas"/>
          <w:color w:val="0B1F3A"/>
          <w:sz w:val="16"/>
        </w:rPr>
        <w:t>|   money                                                                  |</w:t>
      </w:r>
    </w:p>
    <w:p>
      <w:pPr>
        <w:spacing w:before="0" w:after="0" w:line="240" w:lineRule="auto"/>
        <w:ind w:left="230"/>
        <w:shd w:val="clear" w:color="auto" w:fill="F7F9FC"/>
        <w:pBdr>
          <w:left w:val="single" w:sz="4" w:space="6" w:color="D0D5DD"/>
        </w:pBdr>
      </w:pPr>
      <w:r>
        <w:rPr>
          <w:rFonts w:ascii="Consolas" w:hAnsi="Consolas"/>
          <w:color w:val="0B1F3A"/>
          <w:sz w:val="16"/>
        </w:rPr>
        <w:t>| outside these. A dispute pauses the affected step; it does not delete a  |</w:t>
      </w:r>
    </w:p>
    <w:p>
      <w:pPr>
        <w:spacing w:before="0" w:after="0" w:line="240" w:lineRule="auto"/>
        <w:ind w:left="230"/>
        <w:shd w:val="clear" w:color="auto" w:fill="F7F9FC"/>
        <w:pBdr>
          <w:left w:val="single" w:sz="4" w:space="6" w:color="D0D5DD"/>
        </w:pBdr>
      </w:pPr>
      <w:r>
        <w:rPr>
          <w:rFonts w:ascii="Consolas" w:hAnsi="Consolas"/>
          <w:color w:val="0B1F3A"/>
          <w:sz w:val="16"/>
        </w:rPr>
        <w:t>| record, and it does not by itself reverse a settled payout.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Submit dispute }*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6.24.2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854"/>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 Subject list</w:t>
            </w:r>
          </w:p>
        </w:tc>
        <w:tc>
          <w:tcPr>
            <w:tcW w:type="dxa" w:w="1296"/>
            <w:tcMar>
              <w:top w:w="60" w:type="dxa"/>
              <w:start w:w="110" w:type="dxa"/>
              <w:bottom w:w="60" w:type="dxa"/>
              <w:end w:w="110" w:type="dxa"/>
            </w:tcMar>
          </w:tcPr>
          <w:p>
            <w:pPr>
              <w:spacing w:after="0"/>
            </w:pPr>
            <w:r/>
            <w:r>
              <w:rPr>
                <w:rFonts w:ascii="Calibri" w:hAnsi="Calibri"/>
                <w:b w:val="0"/>
                <w:i w:val="0"/>
                <w:color w:val="101828"/>
                <w:sz w:val="14"/>
              </w:rPr>
              <w:t>Four choices, radio, one required.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854"/>
            <w:tcMar>
              <w:top w:w="60" w:type="dxa"/>
              <w:start w:w="110" w:type="dxa"/>
              <w:bottom w:w="60" w:type="dxa"/>
              <w:end w:w="110" w:type="dxa"/>
            </w:tcMar>
          </w:tcPr>
          <w:p>
            <w:pPr>
              <w:spacing w:after="0"/>
            </w:pPr>
            <w:r/>
            <w:r>
              <w:rPr>
                <w:rFonts w:ascii="Calibri" w:hAnsi="Calibri"/>
                <w:b w:val="0"/>
                <w:i w:val="0"/>
                <w:color w:val="101828"/>
                <w:sz w:val="14"/>
              </w:rPr>
              <w:t xml:space="preserve">A closed list rather than free text, because the subject determines which team and which review path the dispute takes, and free-text subjects produce a third of everything. </w:t>
            </w:r>
            <w:r>
              <w:rPr>
                <w:rFonts w:ascii="Calibri" w:hAnsi="Calibri"/>
                <w:i/>
                <w:color w:val="101828"/>
                <w:sz w:val="14"/>
              </w:rPr>
              <w:t>Something else</w:t>
            </w:r>
            <w:r>
              <w:rPr>
                <w:rFonts w:ascii="Calibri" w:hAnsi="Calibri"/>
                <w:b w:val="0"/>
                <w:i w:val="0"/>
                <w:color w:val="101828"/>
                <w:sz w:val="14"/>
              </w:rPr>
              <w:t xml:space="preserve"> keeps the list from being a wall.</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Affected item</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The specific Ajo, round, and reference.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854"/>
            <w:tcMar>
              <w:top w:w="60" w:type="dxa"/>
              <w:start w:w="110" w:type="dxa"/>
              <w:bottom w:w="60" w:type="dxa"/>
              <w:end w:w="110" w:type="dxa"/>
            </w:tcMar>
            <w:shd w:val="clear" w:color="auto" w:fill="F4F7FB"/>
          </w:tcPr>
          <w:p>
            <w:pPr>
              <w:spacing w:after="0"/>
            </w:pPr>
            <w:r/>
            <w:r>
              <w:rPr>
                <w:rFonts w:ascii="Calibri" w:hAnsi="Calibri"/>
                <w:b/>
                <w:color w:val="101828"/>
                <w:sz w:val="14"/>
              </w:rPr>
              <w:t>Picked from the person's own records, never typed.</w:t>
            </w:r>
            <w:r>
              <w:rPr>
                <w:rFonts w:ascii="Calibri" w:hAnsi="Calibri"/>
                <w:b w:val="0"/>
                <w:i w:val="0"/>
                <w:color w:val="101828"/>
                <w:sz w:val="14"/>
              </w:rPr>
              <w:t xml:space="preserve"> A dispute about </w:t>
            </w:r>
            <w:r>
              <w:rPr>
                <w:rFonts w:ascii="Calibri" w:hAnsi="Calibri"/>
                <w:i/>
                <w:color w:val="101828"/>
                <w:sz w:val="14"/>
              </w:rPr>
              <w:t>round 4 of Adaeze's Ajo, reference pay_7QK2M9</w:t>
            </w:r>
            <w:r>
              <w:rPr>
                <w:rFonts w:ascii="Calibri" w:hAnsi="Calibri"/>
                <w:b w:val="0"/>
                <w:i w:val="0"/>
                <w:color w:val="101828"/>
                <w:sz w:val="14"/>
              </w:rPr>
              <w:t xml:space="preserve"> can be actioned; a dispute about </w:t>
            </w:r>
            <w:r>
              <w:rPr>
                <w:rFonts w:ascii="Calibri" w:hAnsi="Calibri"/>
                <w:i/>
                <w:color w:val="101828"/>
                <w:sz w:val="14"/>
              </w:rPr>
              <w:t>my money</w:t>
            </w:r>
            <w:r>
              <w:rPr>
                <w:rFonts w:ascii="Calibri" w:hAnsi="Calibri"/>
                <w:b w:val="0"/>
                <w:i w:val="0"/>
                <w:color w:val="101828"/>
                <w:sz w:val="14"/>
              </w:rPr>
              <w:t xml:space="preserve"> cannot.</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 What happened</w:t>
            </w:r>
          </w:p>
        </w:tc>
        <w:tc>
          <w:tcPr>
            <w:tcW w:type="dxa" w:w="1296"/>
            <w:tcMar>
              <w:top w:w="60" w:type="dxa"/>
              <w:start w:w="110" w:type="dxa"/>
              <w:bottom w:w="60" w:type="dxa"/>
              <w:end w:w="110" w:type="dxa"/>
            </w:tcMar>
          </w:tcPr>
          <w:p>
            <w:pPr>
              <w:spacing w:after="0"/>
            </w:pPr>
            <w:r/>
            <w:r>
              <w:rPr>
                <w:rFonts w:ascii="Calibri" w:hAnsi="Calibri"/>
                <w:b w:val="0"/>
                <w:i w:val="0"/>
                <w:color w:val="101828"/>
                <w:sz w:val="14"/>
              </w:rPr>
              <w:t>Free text, with a minimum length to encourage detail.</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854"/>
            <w:tcMar>
              <w:top w:w="60" w:type="dxa"/>
              <w:start w:w="110" w:type="dxa"/>
              <w:bottom w:w="60" w:type="dxa"/>
              <w:end w:w="110" w:type="dxa"/>
            </w:tcMar>
          </w:tcPr>
          <w:p>
            <w:pPr>
              <w:spacing w:after="0"/>
            </w:pPr>
            <w:r/>
            <w:r>
              <w:rPr>
                <w:rFonts w:ascii="Calibri" w:hAnsi="Calibri"/>
                <w:b w:val="0"/>
                <w:i w:val="0"/>
                <w:color w:val="101828"/>
                <w:sz w:val="14"/>
              </w:rPr>
              <w:t>The minimum is a real constraint, not a bureaucratic one: a three-word dispute cannot be assessed, and the person raising it is the only source of the facts.</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 What you would like</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The requested outcome, as text.</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854"/>
            <w:tcMar>
              <w:top w:w="60" w:type="dxa"/>
              <w:start w:w="110" w:type="dxa"/>
              <w:bottom w:w="60" w:type="dxa"/>
              <w:end w:w="110" w:type="dxa"/>
            </w:tcMar>
            <w:shd w:val="clear" w:color="auto" w:fill="F4F7FB"/>
          </w:tcPr>
          <w:p>
            <w:pPr>
              <w:spacing w:after="0"/>
            </w:pPr>
            <w:r/>
            <w:r>
              <w:rPr>
                <w:rFonts w:ascii="Calibri" w:hAnsi="Calibri"/>
                <w:b w:val="0"/>
                <w:i w:val="0"/>
                <w:color w:val="101828"/>
                <w:sz w:val="14"/>
              </w:rPr>
              <w:t>Asked separately from what happened, because the two are different and conflating them produces a dispute that asks for a refund when what was wanted was an explanation.</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(5) Evidence</w:t>
            </w:r>
          </w:p>
        </w:tc>
        <w:tc>
          <w:tcPr>
            <w:tcW w:type="dxa" w:w="1296"/>
            <w:tcMar>
              <w:top w:w="60" w:type="dxa"/>
              <w:start w:w="110" w:type="dxa"/>
              <w:bottom w:w="60" w:type="dxa"/>
              <w:end w:w="110" w:type="dxa"/>
            </w:tcMar>
          </w:tcPr>
          <w:p>
            <w:pPr>
              <w:spacing w:after="0"/>
            </w:pPr>
            <w:r/>
            <w:r>
              <w:rPr>
                <w:rFonts w:ascii="Calibri" w:hAnsi="Calibri"/>
                <w:b w:val="0"/>
                <w:i w:val="0"/>
                <w:color w:val="101828"/>
                <w:sz w:val="14"/>
              </w:rPr>
              <w:t>Up to five files, 10 MB each, with a stated limit.</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854"/>
            <w:tcMar>
              <w:top w:w="60" w:type="dxa"/>
              <w:start w:w="110" w:type="dxa"/>
              <w:bottom w:w="60" w:type="dxa"/>
              <w:end w:w="110" w:type="dxa"/>
            </w:tcMar>
          </w:tcPr>
          <w:p>
            <w:pPr>
              <w:spacing w:after="0"/>
            </w:pPr>
            <w:r/>
            <w:r>
              <w:rPr>
                <w:rFonts w:ascii="Calibri" w:hAnsi="Calibri"/>
                <w:b w:val="0"/>
                <w:i w:val="0"/>
                <w:color w:val="101828"/>
                <w:sz w:val="14"/>
              </w:rPr>
              <w:t>Receipts and screenshots are the most common evidence, and the person already has the receipt in the app, so the picker opens there first.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(6) Capability statement</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What a dispute can achieve.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854"/>
            <w:tcMar>
              <w:top w:w="60" w:type="dxa"/>
              <w:start w:w="110" w:type="dxa"/>
              <w:bottom w:w="60" w:type="dxa"/>
              <w:end w:w="110" w:type="dxa"/>
            </w:tcMar>
            <w:shd w:val="clear" w:color="auto" w:fill="F4F7FB"/>
          </w:tcPr>
          <w:p>
            <w:pPr>
              <w:spacing w:after="0"/>
            </w:pPr>
            <w:r/>
            <w:r>
              <w:rPr>
                <w:rFonts w:ascii="Calibri" w:hAnsi="Calibri"/>
                <w:b/>
                <w:color w:val="101828"/>
                <w:sz w:val="14"/>
              </w:rPr>
              <w:t>Mandatory, and repeated from 6.23.</w:t>
            </w:r>
            <w:r>
              <w:rPr>
                <w:rFonts w:ascii="Calibri" w:hAnsi="Calibri"/>
                <w:b w:val="0"/>
                <w:i w:val="0"/>
                <w:color w:val="101828"/>
                <w:sz w:val="14"/>
              </w:rPr>
              <w:t xml:space="preserve"> Refund, correct a record, or explain. A dispute cannot move money outside those, cannot delete a record, and cannot by itself reverse a settled payout. Setting that expectation at creation is the difference between a fair process and an unanswerable complaint.</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(7) No deadline pressure</w:t>
            </w:r>
          </w:p>
        </w:tc>
        <w:tc>
          <w:tcPr>
            <w:tcW w:type="dxa" w:w="1296"/>
            <w:tcMar>
              <w:top w:w="60" w:type="dxa"/>
              <w:start w:w="110" w:type="dxa"/>
              <w:bottom w:w="60" w:type="dxa"/>
              <w:end w:w="110" w:type="dxa"/>
            </w:tcMar>
          </w:tcPr>
          <w:p>
            <w:pPr>
              <w:spacing w:after="0"/>
            </w:pPr>
            <w:r/>
            <w:r>
              <w:rPr>
                <w:rFonts w:ascii="Calibri" w:hAnsi="Calibri"/>
                <w:b w:val="0"/>
                <w:i w:val="0"/>
                <w:color w:val="101828"/>
                <w:sz w:val="14"/>
              </w:rPr>
              <w:t>No countdown, no urgency language.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854"/>
            <w:tcMar>
              <w:top w:w="60" w:type="dxa"/>
              <w:start w:w="110" w:type="dxa"/>
              <w:bottom w:w="60" w:type="dxa"/>
              <w:end w:w="110" w:type="dxa"/>
            </w:tcMar>
          </w:tcPr>
          <w:p>
            <w:pPr>
              <w:spacing w:after="0"/>
            </w:pPr>
            <w:r/>
            <w:r>
              <w:rPr>
                <w:rFonts w:ascii="Calibri" w:hAnsi="Calibri"/>
                <w:b w:val="0"/>
                <w:i w:val="0"/>
                <w:color w:val="101828"/>
                <w:sz w:val="14"/>
              </w:rPr>
              <w:t>The platform is under no time pressure and must not manufacture any. The only time reference given is the published response time, stated as an expectation rather than a promise.</w:t>
            </w:r>
          </w:p>
        </w:tc>
      </w:tr>
    </w:tbl>
    <w:p>
      <w:pPr>
        <w:spacing w:after="80"/>
      </w:pPr>
    </w:p>
    <w:p>
      <w:pPr>
        <w:pStyle w:val="Heading2"/>
      </w:pPr>
      <w:r>
        <w:rPr>
          <w:rFonts w:ascii="Calibri" w:hAnsi="Calibri"/>
          <w:b/>
          <w:i w:val="0"/>
          <w:color w:val="146EF5"/>
          <w:sz w:val="29"/>
        </w:rPr>
        <w:t>6.25 Dispute Thread — SCR-MOB-18</w:t>
      </w:r>
    </w:p>
    <w:p>
      <w:r>
        <w:rPr>
          <w:rFonts w:ascii="Calibri" w:hAnsi="Calibri"/>
          <w:b w:val="0"/>
          <w:i w:val="0"/>
          <w:color w:val="101828"/>
          <w:sz w:val="21"/>
        </w:rPr>
        <w:t>The conversation, and the record, in one place. A dispute is the only surface in the product where two parties and the platform appear together, and the temptation is to build a chat. It is not a chat: it is an append-only record with support replies, member replies, and a written account of what the dispute did to the ledger. The distinction matters because a chat implies conversational intimacy that a financial record should not have, and because a member's most important question — what actually happened to my money — is answered by the ledger effect, not by the last message.</w:t>
      </w:r>
    </w:p>
    <w:p>
      <w:pPr>
        <w:spacing w:before="140" w:after="180"/>
        <w:ind w:left="144"/>
        <w:shd w:val="clear" w:color="auto" w:fill="EFF6FF"/>
        <w:pBdr>
          <w:left w:val="single" w:sz="18" w:space="6" w:color="146EF5"/>
        </w:pBdr>
      </w:pPr>
      <w:r>
        <w:rPr>
          <w:rFonts w:ascii="Calibri" w:hAnsi="Calibri"/>
          <w:b/>
          <w:color w:val="146EF5"/>
          <w:sz w:val="19"/>
        </w:rPr>
        <w:t xml:space="preserve">A thread is a record, not a conversation  </w:t>
      </w:r>
      <w:r>
        <w:rPr>
          <w:rFonts w:ascii="Calibri" w:hAnsi="Calibri"/>
          <w:b w:val="0"/>
          <w:i w:val="0"/>
          <w:color w:val="0B1F3A"/>
          <w:sz w:val="19"/>
        </w:rPr>
        <w:t>The visual treatment is a message list because that is what members understand, but every element of it is a record: timestamps are immutable, messages cannot be edited, the platform's replies are attributed to the organisation rather than an individual, and the dispute is closed only with a written outcome. Building it as a live chat with typing indicators or message deletion would misrepresent what the platform is doing, and would give members a reasonable expectation of a response that the process does not promise.</w:t>
      </w:r>
    </w:p>
    <w:p>
      <w:pPr>
        <w:pStyle w:val="Heading3"/>
      </w:pPr>
      <w:r>
        <w:rPr>
          <w:rFonts w:ascii="Calibri" w:hAnsi="Calibri"/>
          <w:b/>
          <w:i w:val="0"/>
          <w:color w:val="0B1F3A"/>
          <w:sz w:val="24"/>
        </w:rPr>
        <w:t>6.25.1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dsp_4Q7                                  |</w:t>
      </w:r>
    </w:p>
    <w:p>
      <w:pPr>
        <w:spacing w:before="0" w:after="0" w:line="240" w:lineRule="auto"/>
        <w:ind w:left="230"/>
        <w:shd w:val="clear" w:color="auto" w:fill="F7F9FC"/>
        <w:pBdr>
          <w:left w:val="single" w:sz="4" w:space="6" w:color="D0D5DD"/>
        </w:pBdr>
      </w:pPr>
      <w:r>
        <w:rPr>
          <w:rFonts w:ascii="Consolas" w:hAnsi="Consolas"/>
          <w:color w:val="0B1F3A"/>
          <w:sz w:val="16"/>
        </w:rPr>
        <w:t>| Open                                     |</w:t>
      </w:r>
    </w:p>
    <w:p>
      <w:pPr>
        <w:spacing w:before="0" w:after="0" w:line="240" w:lineRule="auto"/>
        <w:ind w:left="230"/>
        <w:shd w:val="clear" w:color="auto" w:fill="F7F9FC"/>
        <w:pBdr>
          <w:left w:val="single" w:sz="4" w:space="6" w:color="D0D5DD"/>
        </w:pBdr>
      </w:pPr>
      <w:r>
        <w:rPr>
          <w:rFonts w:ascii="Consolas" w:hAnsi="Consolas"/>
          <w:color w:val="0B1F3A"/>
          <w:sz w:val="16"/>
        </w:rPr>
        <w:t>| Chima's Ajo                              |</w:t>
      </w:r>
    </w:p>
    <w:p>
      <w:pPr>
        <w:spacing w:before="0" w:after="0" w:line="240" w:lineRule="auto"/>
        <w:ind w:left="230"/>
        <w:shd w:val="clear" w:color="auto" w:fill="F7F9FC"/>
        <w:pBdr>
          <w:left w:val="single" w:sz="4" w:space="6" w:color="D0D5DD"/>
        </w:pBdr>
      </w:pPr>
      <w:r>
        <w:rPr>
          <w:rFonts w:ascii="Consolas" w:hAnsi="Consolas"/>
          <w:color w:val="0B1F3A"/>
          <w:sz w:val="16"/>
        </w:rPr>
        <w:t>+-- (2) SUMMARY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I was charged NGN 1,020.00        |   |</w:t>
      </w:r>
    </w:p>
    <w:p>
      <w:pPr>
        <w:spacing w:before="0" w:after="0" w:line="240" w:lineRule="auto"/>
        <w:ind w:left="230"/>
        <w:shd w:val="clear" w:color="auto" w:fill="F7F9FC"/>
        <w:pBdr>
          <w:left w:val="single" w:sz="4" w:space="6" w:color="D0D5DD"/>
        </w:pBdr>
      </w:pPr>
      <w:r>
        <w:rPr>
          <w:rFonts w:ascii="Consolas" w:hAnsi="Consolas"/>
          <w:color w:val="0B1F3A"/>
          <w:sz w:val="16"/>
        </w:rPr>
        <w:t>| |  for round 2 and the receipt       |   |</w:t>
      </w:r>
    </w:p>
    <w:p>
      <w:pPr>
        <w:spacing w:before="0" w:after="0" w:line="240" w:lineRule="auto"/>
        <w:ind w:left="230"/>
        <w:shd w:val="clear" w:color="auto" w:fill="F7F9FC"/>
        <w:pBdr>
          <w:left w:val="single" w:sz="4" w:space="6" w:color="D0D5DD"/>
        </w:pBdr>
      </w:pPr>
      <w:r>
        <w:rPr>
          <w:rFonts w:ascii="Consolas" w:hAnsi="Consolas"/>
          <w:color w:val="0B1F3A"/>
          <w:sz w:val="16"/>
        </w:rPr>
        <w:t>| |  says paid, but the round          |   |</w:t>
      </w:r>
    </w:p>
    <w:p>
      <w:pPr>
        <w:spacing w:before="0" w:after="0" w:line="240" w:lineRule="auto"/>
        <w:ind w:left="230"/>
        <w:shd w:val="clear" w:color="auto" w:fill="F7F9FC"/>
        <w:pBdr>
          <w:left w:val="single" w:sz="4" w:space="6" w:color="D0D5DD"/>
        </w:pBdr>
      </w:pPr>
      <w:r>
        <w:rPr>
          <w:rFonts w:ascii="Consolas" w:hAnsi="Consolas"/>
          <w:color w:val="0B1F3A"/>
          <w:sz w:val="16"/>
        </w:rPr>
        <w:t>| |  shows 9 of 10 and I have          |   |</w:t>
      </w:r>
    </w:p>
    <w:p>
      <w:pPr>
        <w:spacing w:before="0" w:after="0" w:line="240" w:lineRule="auto"/>
        <w:ind w:left="230"/>
        <w:shd w:val="clear" w:color="auto" w:fill="F7F9FC"/>
        <w:pBdr>
          <w:left w:val="single" w:sz="4" w:space="6" w:color="D0D5DD"/>
        </w:pBdr>
      </w:pPr>
      <w:r>
        <w:rPr>
          <w:rFonts w:ascii="Consolas" w:hAnsi="Consolas"/>
          <w:color w:val="0B1F3A"/>
          <w:sz w:val="16"/>
        </w:rPr>
        <w:t>| |  no record of it.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(3) THREAD ----------------------------+</w:t>
      </w:r>
    </w:p>
    <w:p>
      <w:pPr>
        <w:spacing w:before="0" w:after="0" w:line="240" w:lineRule="auto"/>
        <w:ind w:left="230"/>
        <w:shd w:val="clear" w:color="auto" w:fill="F7F9FC"/>
        <w:pBdr>
          <w:left w:val="single" w:sz="4" w:space="6" w:color="D0D5DD"/>
        </w:pBdr>
      </w:pPr>
      <w:r>
        <w:rPr>
          <w:rFonts w:ascii="Consolas" w:hAnsi="Consolas"/>
          <w:color w:val="0B1F3A"/>
          <w:sz w:val="16"/>
        </w:rPr>
        <w:t>| 12 Sep  AJO.ng                           |</w:t>
      </w:r>
    </w:p>
    <w:p>
      <w:pPr>
        <w:spacing w:before="0" w:after="0" w:line="240" w:lineRule="auto"/>
        <w:ind w:left="230"/>
        <w:shd w:val="clear" w:color="auto" w:fill="F7F9FC"/>
        <w:pBdr>
          <w:left w:val="single" w:sz="4" w:space="6" w:color="D0D5DD"/>
        </w:pBdr>
      </w:pPr>
      <w:r>
        <w:rPr>
          <w:rFonts w:ascii="Consolas" w:hAnsi="Consolas"/>
          <w:color w:val="0B1F3A"/>
          <w:sz w:val="16"/>
        </w:rPr>
        <w:t>|   Thanks. We can see the                 |</w:t>
      </w:r>
    </w:p>
    <w:p>
      <w:pPr>
        <w:spacing w:before="0" w:after="0" w:line="240" w:lineRule="auto"/>
        <w:ind w:left="230"/>
        <w:shd w:val="clear" w:color="auto" w:fill="F7F9FC"/>
        <w:pBdr>
          <w:left w:val="single" w:sz="4" w:space="6" w:color="D0D5DD"/>
        </w:pBdr>
      </w:pPr>
      <w:r>
        <w:rPr>
          <w:rFonts w:ascii="Consolas" w:hAnsi="Consolas"/>
          <w:color w:val="0B1F3A"/>
          <w:sz w:val="16"/>
        </w:rPr>
        <w:t>|   payment and the posting.               |</w:t>
      </w:r>
    </w:p>
    <w:p>
      <w:pPr>
        <w:spacing w:before="0" w:after="0" w:line="240" w:lineRule="auto"/>
        <w:ind w:left="230"/>
        <w:shd w:val="clear" w:color="auto" w:fill="F7F9FC"/>
        <w:pBdr>
          <w:left w:val="single" w:sz="4" w:space="6" w:color="D0D5DD"/>
        </w:pBdr>
      </w:pPr>
      <w:r>
        <w:rPr>
          <w:rFonts w:ascii="Consolas" w:hAnsi="Consolas"/>
          <w:color w:val="0B1F3A"/>
          <w:sz w:val="16"/>
        </w:rPr>
        <w:t>|   We are checking which                  |</w:t>
      </w:r>
    </w:p>
    <w:p>
      <w:pPr>
        <w:spacing w:before="0" w:after="0" w:line="240" w:lineRule="auto"/>
        <w:ind w:left="230"/>
        <w:shd w:val="clear" w:color="auto" w:fill="F7F9FC"/>
        <w:pBdr>
          <w:left w:val="single" w:sz="4" w:space="6" w:color="D0D5DD"/>
        </w:pBdr>
      </w:pPr>
      <w:r>
        <w:rPr>
          <w:rFonts w:ascii="Consolas" w:hAnsi="Consolas"/>
          <w:color w:val="0B1F3A"/>
          <w:sz w:val="16"/>
        </w:rPr>
        <w:t>|   round it was applied to.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12 Sep  Chima O.                         |</w:t>
      </w:r>
    </w:p>
    <w:p>
      <w:pPr>
        <w:spacing w:before="0" w:after="0" w:line="240" w:lineRule="auto"/>
        <w:ind w:left="230"/>
        <w:shd w:val="clear" w:color="auto" w:fill="F7F9FC"/>
        <w:pBdr>
          <w:left w:val="single" w:sz="4" w:space="6" w:color="D0D5DD"/>
        </w:pBdr>
      </w:pPr>
      <w:r>
        <w:rPr>
          <w:rFonts w:ascii="Consolas" w:hAnsi="Consolas"/>
          <w:color w:val="0B1F3A"/>
          <w:sz w:val="16"/>
        </w:rPr>
        <w:t>|   It is not in my history                |</w:t>
      </w:r>
    </w:p>
    <w:p>
      <w:pPr>
        <w:spacing w:before="0" w:after="0" w:line="240" w:lineRule="auto"/>
        <w:ind w:left="230"/>
        <w:shd w:val="clear" w:color="auto" w:fill="F7F9FC"/>
        <w:pBdr>
          <w:left w:val="single" w:sz="4" w:space="6" w:color="D0D5DD"/>
        </w:pBdr>
      </w:pPr>
      <w:r>
        <w:rPr>
          <w:rFonts w:ascii="Consolas" w:hAnsi="Consolas"/>
          <w:color w:val="0B1F3A"/>
          <w:sz w:val="16"/>
        </w:rPr>
        <w:t>|   at all.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12 Sep  AJO.ng                           |</w:t>
      </w:r>
    </w:p>
    <w:p>
      <w:pPr>
        <w:spacing w:before="0" w:after="0" w:line="240" w:lineRule="auto"/>
        <w:ind w:left="230"/>
        <w:shd w:val="clear" w:color="auto" w:fill="F7F9FC"/>
        <w:pBdr>
          <w:left w:val="single" w:sz="4" w:space="6" w:color="D0D5DD"/>
        </w:pBdr>
      </w:pPr>
      <w:r>
        <w:rPr>
          <w:rFonts w:ascii="Consolas" w:hAnsi="Consolas"/>
          <w:color w:val="0B1F3A"/>
          <w:sz w:val="16"/>
        </w:rPr>
        <w:t>|   Confirmed: applied to                  |</w:t>
      </w:r>
    </w:p>
    <w:p>
      <w:pPr>
        <w:spacing w:before="0" w:after="0" w:line="240" w:lineRule="auto"/>
        <w:ind w:left="230"/>
        <w:shd w:val="clear" w:color="auto" w:fill="F7F9FC"/>
        <w:pBdr>
          <w:left w:val="single" w:sz="4" w:space="6" w:color="D0D5DD"/>
        </w:pBdr>
      </w:pPr>
      <w:r>
        <w:rPr>
          <w:rFonts w:ascii="Consolas" w:hAnsi="Consolas"/>
          <w:color w:val="0B1F3A"/>
          <w:sz w:val="16"/>
        </w:rPr>
        <w:t>|   round 3 by mistake. We                 |</w:t>
      </w:r>
    </w:p>
    <w:p>
      <w:pPr>
        <w:spacing w:before="0" w:after="0" w:line="240" w:lineRule="auto"/>
        <w:ind w:left="230"/>
        <w:shd w:val="clear" w:color="auto" w:fill="F7F9FC"/>
        <w:pBdr>
          <w:left w:val="single" w:sz="4" w:space="6" w:color="D0D5DD"/>
        </w:pBdr>
      </w:pPr>
      <w:r>
        <w:rPr>
          <w:rFonts w:ascii="Consolas" w:hAnsi="Consolas"/>
          <w:color w:val="0B1F3A"/>
          <w:sz w:val="16"/>
        </w:rPr>
        <w:t>|   are correcting it. No                  |</w:t>
      </w:r>
    </w:p>
    <w:p>
      <w:pPr>
        <w:spacing w:before="0" w:after="0" w:line="240" w:lineRule="auto"/>
        <w:ind w:left="230"/>
        <w:shd w:val="clear" w:color="auto" w:fill="F7F9FC"/>
        <w:pBdr>
          <w:left w:val="single" w:sz="4" w:space="6" w:color="D0D5DD"/>
        </w:pBdr>
      </w:pPr>
      <w:r>
        <w:rPr>
          <w:rFonts w:ascii="Consolas" w:hAnsi="Consolas"/>
          <w:color w:val="0B1F3A"/>
          <w:sz w:val="16"/>
        </w:rPr>
        <w:t>|   refund is due to you.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x  Chima O.  I would still               |</w:t>
      </w:r>
    </w:p>
    <w:p>
      <w:pPr>
        <w:spacing w:before="0" w:after="0" w:line="240" w:lineRule="auto"/>
        <w:ind w:left="230"/>
        <w:shd w:val="clear" w:color="auto" w:fill="F7F9FC"/>
        <w:pBdr>
          <w:left w:val="single" w:sz="4" w:space="6" w:color="D0D5DD"/>
        </w:pBdr>
      </w:pPr>
      <w:r>
        <w:rPr>
          <w:rFonts w:ascii="Consolas" w:hAnsi="Consolas"/>
          <w:color w:val="0B1F3A"/>
          <w:sz w:val="16"/>
        </w:rPr>
        <w:t>|    like my money back.                   |</w:t>
      </w:r>
    </w:p>
    <w:p>
      <w:pPr>
        <w:spacing w:before="0" w:after="0" w:line="240" w:lineRule="auto"/>
        <w:ind w:left="230"/>
        <w:shd w:val="clear" w:color="auto" w:fill="F7F9FC"/>
        <w:pBdr>
          <w:left w:val="single" w:sz="4" w:space="6" w:color="D0D5DD"/>
        </w:pBdr>
      </w:pPr>
      <w:r>
        <w:rPr>
          <w:rFonts w:ascii="Consolas" w:hAnsi="Consolas"/>
          <w:color w:val="0B1F3A"/>
          <w:sz w:val="16"/>
        </w:rPr>
        <w:t>+-- (4) COMPOSER --------------------------+</w:t>
      </w:r>
    </w:p>
    <w:p>
      <w:pPr>
        <w:spacing w:before="0" w:after="0" w:line="240" w:lineRule="auto"/>
        <w:ind w:left="230"/>
        <w:shd w:val="clear" w:color="auto" w:fill="F7F9FC"/>
        <w:pBdr>
          <w:left w:val="single" w:sz="4" w:space="6" w:color="D0D5DD"/>
        </w:pBdr>
      </w:pPr>
      <w:r>
        <w:rPr>
          <w:rFonts w:ascii="Consolas" w:hAnsi="Consolas"/>
          <w:color w:val="0B1F3A"/>
          <w:sz w:val="16"/>
        </w:rPr>
        <w:t>| [ Write a message            ]           |</w:t>
      </w:r>
    </w:p>
    <w:p>
      <w:pPr>
        <w:spacing w:before="0" w:after="0" w:line="240" w:lineRule="auto"/>
        <w:ind w:left="230"/>
        <w:shd w:val="clear" w:color="auto" w:fill="F7F9FC"/>
        <w:pBdr>
          <w:left w:val="single" w:sz="4" w:space="6" w:color="D0D5DD"/>
        </w:pBdr>
      </w:pPr>
      <w:r>
        <w:rPr>
          <w:rFonts w:ascii="Consolas" w:hAnsi="Consolas"/>
          <w:color w:val="0B1F3A"/>
          <w:sz w:val="16"/>
        </w:rPr>
        <w:t>| { Send }*                                |</w:t>
      </w:r>
    </w:p>
    <w:p>
      <w:pPr>
        <w:spacing w:before="0" w:after="0" w:line="240" w:lineRule="auto"/>
        <w:ind w:left="230"/>
        <w:shd w:val="clear" w:color="auto" w:fill="F7F9FC"/>
        <w:pBdr>
          <w:left w:val="single" w:sz="4" w:space="6" w:color="D0D5DD"/>
        </w:pBdr>
      </w:pPr>
      <w:r>
        <w:rPr>
          <w:rFonts w:ascii="Consolas" w:hAnsi="Consolas"/>
          <w:color w:val="0B1F3A"/>
          <w:sz w:val="16"/>
        </w:rPr>
        <w:t>+-- (5) DISCLAIMER ------------------------+</w:t>
      </w:r>
    </w:p>
    <w:p>
      <w:pPr>
        <w:spacing w:before="0" w:after="0" w:line="240" w:lineRule="auto"/>
        <w:ind w:left="230"/>
        <w:shd w:val="clear" w:color="auto" w:fill="F7F9FC"/>
        <w:pBdr>
          <w:left w:val="single" w:sz="4" w:space="6" w:color="D0D5DD"/>
        </w:pBdr>
      </w:pPr>
      <w:r>
        <w:rPr>
          <w:rFonts w:ascii="Consolas" w:hAnsi="Consolas"/>
          <w:color w:val="0B1F3A"/>
          <w:sz w:val="16"/>
        </w:rPr>
        <w:t>| A dispute does not move money.           |</w:t>
      </w:r>
    </w:p>
    <w:p>
      <w:pPr>
        <w:spacing w:before="0" w:after="0" w:line="240" w:lineRule="auto"/>
        <w:ind w:left="230"/>
        <w:shd w:val="clear" w:color="auto" w:fill="F7F9FC"/>
        <w:pBdr>
          <w:left w:val="single" w:sz="4" w:space="6" w:color="D0D5DD"/>
        </w:pBdr>
      </w:pPr>
      <w:r>
        <w:rPr>
          <w:rFonts w:ascii="Consolas" w:hAnsi="Consolas"/>
          <w:color w:val="0B1F3A"/>
          <w:sz w:val="16"/>
        </w:rPr>
        <w:t>| It does not delete records.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LEFT NAV ----------------------------------------------------------+</w:t>
      </w:r>
    </w:p>
    <w:p>
      <w:pPr>
        <w:spacing w:before="0" w:after="0" w:line="240" w:lineRule="auto"/>
        <w:ind w:left="230"/>
        <w:shd w:val="clear" w:color="auto" w:fill="F7F9FC"/>
        <w:pBdr>
          <w:left w:val="single" w:sz="4" w:space="6" w:color="D0D5DD"/>
        </w:pBdr>
      </w:pPr>
      <w:r>
        <w:rPr>
          <w:rFonts w:ascii="Consolas" w:hAnsi="Consolas"/>
          <w:color w:val="0B1F3A"/>
          <w:sz w:val="16"/>
        </w:rPr>
        <w:t>| Home                                                                     |</w:t>
      </w:r>
    </w:p>
    <w:p>
      <w:pPr>
        <w:spacing w:before="0" w:after="0" w:line="240" w:lineRule="auto"/>
        <w:ind w:left="230"/>
        <w:shd w:val="clear" w:color="auto" w:fill="F7F9FC"/>
        <w:pBdr>
          <w:left w:val="single" w:sz="4" w:space="6" w:color="D0D5DD"/>
        </w:pBdr>
      </w:pPr>
      <w:r>
        <w:rPr>
          <w:rFonts w:ascii="Consolas" w:hAnsi="Consolas"/>
          <w:color w:val="0B1F3A"/>
          <w:sz w:val="16"/>
        </w:rPr>
        <w:t>| My Ajos                                                                  |</w:t>
      </w:r>
    </w:p>
    <w:p>
      <w:pPr>
        <w:spacing w:before="0" w:after="0" w:line="240" w:lineRule="auto"/>
        <w:ind w:left="230"/>
        <w:shd w:val="clear" w:color="auto" w:fill="F7F9FC"/>
        <w:pBdr>
          <w:left w:val="single" w:sz="4" w:space="6" w:color="D0D5DD"/>
        </w:pBdr>
      </w:pPr>
      <w:r>
        <w:rPr>
          <w:rFonts w:ascii="Consolas" w:hAnsi="Consolas"/>
          <w:color w:val="0B1F3A"/>
          <w:sz w:val="16"/>
        </w:rPr>
        <w:t>| Pay                                                                      |</w:t>
      </w:r>
    </w:p>
    <w:p>
      <w:pPr>
        <w:spacing w:before="0" w:after="0" w:line="240" w:lineRule="auto"/>
        <w:ind w:left="230"/>
        <w:shd w:val="clear" w:color="auto" w:fill="F7F9FC"/>
        <w:pBdr>
          <w:left w:val="single" w:sz="4" w:space="6" w:color="D0D5DD"/>
        </w:pBdr>
      </w:pPr>
      <w:r>
        <w:rPr>
          <w:rFonts w:ascii="Consolas" w:hAnsi="Consolas"/>
          <w:color w:val="0B1F3A"/>
          <w:sz w:val="16"/>
        </w:rPr>
        <w:t>| Alerts                                                                   |</w:t>
      </w:r>
    </w:p>
    <w:p>
      <w:pPr>
        <w:spacing w:before="0" w:after="0" w:line="240" w:lineRule="auto"/>
        <w:ind w:left="230"/>
        <w:shd w:val="clear" w:color="auto" w:fill="F7F9FC"/>
        <w:pBdr>
          <w:left w:val="single" w:sz="4" w:space="6" w:color="D0D5DD"/>
        </w:pBdr>
      </w:pPr>
      <w:r>
        <w:rPr>
          <w:rFonts w:ascii="Consolas" w:hAnsi="Consolas"/>
          <w:color w:val="0B1F3A"/>
          <w:sz w:val="16"/>
        </w:rPr>
        <w:t>| Support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Profile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THREAD ------------------------------------------------------------+</w:t>
      </w:r>
    </w:p>
    <w:p>
      <w:pPr>
        <w:spacing w:before="0" w:after="0" w:line="240" w:lineRule="auto"/>
        <w:ind w:left="230"/>
        <w:shd w:val="clear" w:color="auto" w:fill="F7F9FC"/>
        <w:pBdr>
          <w:left w:val="single" w:sz="4" w:space="6" w:color="D0D5DD"/>
        </w:pBdr>
      </w:pPr>
      <w:r>
        <w:rPr>
          <w:rFonts w:ascii="Consolas" w:hAnsi="Consolas"/>
          <w:color w:val="0B1F3A"/>
          <w:sz w:val="16"/>
        </w:rPr>
        <w:t>| dsp_4Q7   Chima's Ajo, round 2   STATE: AWAITING MEMBER   AGE 2d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SUBJECT   I was charged NGN 1,020.00 for round 2, the receipt says       |</w:t>
      </w:r>
    </w:p>
    <w:p>
      <w:pPr>
        <w:spacing w:before="0" w:after="0" w:line="240" w:lineRule="auto"/>
        <w:ind w:left="230"/>
        <w:shd w:val="clear" w:color="auto" w:fill="F7F9FC"/>
        <w:pBdr>
          <w:left w:val="single" w:sz="4" w:space="6" w:color="D0D5DD"/>
        </w:pBdr>
      </w:pPr>
      <w:r>
        <w:rPr>
          <w:rFonts w:ascii="Consolas" w:hAnsi="Consolas"/>
          <w:color w:val="0B1F3A"/>
          <w:sz w:val="16"/>
        </w:rPr>
        <w:t>|           paid, the round shows 9 of 10, and I have no record of it.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12 Sep 09:52  AJO.ng (support)                                           |</w:t>
      </w:r>
    </w:p>
    <w:p>
      <w:pPr>
        <w:spacing w:before="0" w:after="0" w:line="240" w:lineRule="auto"/>
        <w:ind w:left="230"/>
        <w:shd w:val="clear" w:color="auto" w:fill="F7F9FC"/>
        <w:pBdr>
          <w:left w:val="single" w:sz="4" w:space="6" w:color="D0D5DD"/>
        </w:pBdr>
      </w:pPr>
      <w:r>
        <w:rPr>
          <w:rFonts w:ascii="Consolas" w:hAnsi="Consolas"/>
          <w:color w:val="0B1F3A"/>
          <w:sz w:val="16"/>
        </w:rPr>
        <w:t>|   Thanks. We can see the payment and the posting. We are checking        |</w:t>
      </w:r>
    </w:p>
    <w:p>
      <w:pPr>
        <w:spacing w:before="0" w:after="0" w:line="240" w:lineRule="auto"/>
        <w:ind w:left="230"/>
        <w:shd w:val="clear" w:color="auto" w:fill="F7F9FC"/>
        <w:pBdr>
          <w:left w:val="single" w:sz="4" w:space="6" w:color="D0D5DD"/>
        </w:pBdr>
      </w:pPr>
      <w:r>
        <w:rPr>
          <w:rFonts w:ascii="Consolas" w:hAnsi="Consolas"/>
          <w:color w:val="0B1F3A"/>
          <w:sz w:val="16"/>
        </w:rPr>
        <w:t>|   which round it was applied to.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12 Sep 10:14  Chima O. (member)                                          |</w:t>
      </w:r>
    </w:p>
    <w:p>
      <w:pPr>
        <w:spacing w:before="0" w:after="0" w:line="240" w:lineRule="auto"/>
        <w:ind w:left="230"/>
        <w:shd w:val="clear" w:color="auto" w:fill="F7F9FC"/>
        <w:pBdr>
          <w:left w:val="single" w:sz="4" w:space="6" w:color="D0D5DD"/>
        </w:pBdr>
      </w:pPr>
      <w:r>
        <w:rPr>
          <w:rFonts w:ascii="Consolas" w:hAnsi="Consolas"/>
          <w:color w:val="0B1F3A"/>
          <w:sz w:val="16"/>
        </w:rPr>
        <w:t>|   It is not in my history at all.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12 Sep 11:03  AJO.ng (support)                                           |</w:t>
      </w:r>
    </w:p>
    <w:p>
      <w:pPr>
        <w:spacing w:before="0" w:after="0" w:line="240" w:lineRule="auto"/>
        <w:ind w:left="230"/>
        <w:shd w:val="clear" w:color="auto" w:fill="F7F9FC"/>
        <w:pBdr>
          <w:left w:val="single" w:sz="4" w:space="6" w:color="D0D5DD"/>
        </w:pBdr>
      </w:pPr>
      <w:r>
        <w:rPr>
          <w:rFonts w:ascii="Consolas" w:hAnsi="Consolas"/>
          <w:color w:val="0B1F3A"/>
          <w:sz w:val="16"/>
        </w:rPr>
        <w:t>|   Confirmed: applied to round 3 by mistake. We are correcting it.        |</w:t>
      </w:r>
    </w:p>
    <w:p>
      <w:pPr>
        <w:spacing w:before="0" w:after="0" w:line="240" w:lineRule="auto"/>
        <w:ind w:left="230"/>
        <w:shd w:val="clear" w:color="auto" w:fill="F7F9FC"/>
        <w:pBdr>
          <w:left w:val="single" w:sz="4" w:space="6" w:color="D0D5DD"/>
        </w:pBdr>
      </w:pPr>
      <w:r>
        <w:rPr>
          <w:rFonts w:ascii="Consolas" w:hAnsi="Consolas"/>
          <w:color w:val="0B1F3A"/>
          <w:sz w:val="16"/>
        </w:rPr>
        <w:t>|   No refund is due to you.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12 Sep 11:30  Chima O. (member)                                          |</w:t>
      </w:r>
    </w:p>
    <w:p>
      <w:pPr>
        <w:spacing w:before="0" w:after="0" w:line="240" w:lineRule="auto"/>
        <w:ind w:left="230"/>
        <w:shd w:val="clear" w:color="auto" w:fill="F7F9FC"/>
        <w:pBdr>
          <w:left w:val="single" w:sz="4" w:space="6" w:color="D0D5DD"/>
        </w:pBdr>
      </w:pPr>
      <w:r>
        <w:rPr>
          <w:rFonts w:ascii="Consolas" w:hAnsi="Consolas"/>
          <w:color w:val="0B1F3A"/>
          <w:sz w:val="16"/>
        </w:rPr>
        <w:t>|   I would still like my money back.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LEDGER EFFECT   Round 2 obligation reinstated. Round 3 contribution      |</w:t>
      </w:r>
    </w:p>
    <w:p>
      <w:pPr>
        <w:spacing w:before="0" w:after="0" w:line="240" w:lineRule="auto"/>
        <w:ind w:left="230"/>
        <w:shd w:val="clear" w:color="auto" w:fill="F7F9FC"/>
        <w:pBdr>
          <w:left w:val="single" w:sz="4" w:space="6" w:color="D0D5DD"/>
        </w:pBdr>
      </w:pPr>
      <w:r>
        <w:rPr>
          <w:rFonts w:ascii="Consolas" w:hAnsi="Consolas"/>
          <w:color w:val="0B1F3A"/>
          <w:sz w:val="16"/>
        </w:rPr>
        <w:t>|                 released from the original member and reassigned.        |</w:t>
      </w:r>
    </w:p>
    <w:p>
      <w:pPr>
        <w:spacing w:before="0" w:after="0" w:line="240" w:lineRule="auto"/>
        <w:ind w:left="230"/>
        <w:shd w:val="clear" w:color="auto" w:fill="F7F9FC"/>
        <w:pBdr>
          <w:left w:val="single" w:sz="4" w:space="6" w:color="D0D5DD"/>
        </w:pBdr>
      </w:pPr>
      <w:r>
        <w:rPr>
          <w:rFonts w:ascii="Consolas" w:hAnsi="Consolas"/>
          <w:color w:val="0B1F3A"/>
          <w:sz w:val="16"/>
        </w:rPr>
        <w:t>|                 A reversing entry was posted. Nothing was deleted.       |</w:t>
      </w:r>
    </w:p>
    <w:p>
      <w:pPr>
        <w:spacing w:before="0" w:after="0" w:line="240" w:lineRule="auto"/>
        <w:ind w:left="230"/>
        <w:shd w:val="clear" w:color="auto" w:fill="F7F9FC"/>
        <w:pBdr>
          <w:left w:val="single" w:sz="4" w:space="6" w:color="D0D5DD"/>
        </w:pBdr>
      </w:pPr>
      <w:r>
        <w:rPr>
          <w:rFonts w:ascii="Consolas" w:hAnsi="Consolas"/>
          <w:color w:val="0B1F3A"/>
          <w:sz w:val="16"/>
        </w:rPr>
        <w:t>+-- (3) COMPOSER ----------------------------------------------------------+</w:t>
      </w:r>
    </w:p>
    <w:p>
      <w:pPr>
        <w:spacing w:before="0" w:after="0" w:line="240" w:lineRule="auto"/>
        <w:ind w:left="230"/>
        <w:shd w:val="clear" w:color="auto" w:fill="F7F9FC"/>
        <w:pBdr>
          <w:left w:val="single" w:sz="4" w:space="6" w:color="D0D5DD"/>
        </w:pBdr>
      </w:pPr>
      <w:r>
        <w:rPr>
          <w:rFonts w:ascii="Consolas" w:hAnsi="Consolas"/>
          <w:color w:val="0B1F3A"/>
          <w:sz w:val="16"/>
        </w:rPr>
        <w:t>| A dispute does not move money. It does not delete records, and it does   |</w:t>
      </w:r>
    </w:p>
    <w:p>
      <w:pPr>
        <w:spacing w:before="0" w:after="0" w:line="240" w:lineRule="auto"/>
        <w:ind w:left="230"/>
        <w:shd w:val="clear" w:color="auto" w:fill="F7F9FC"/>
        <w:pBdr>
          <w:left w:val="single" w:sz="4" w:space="6" w:color="D0D5DD"/>
        </w:pBdr>
      </w:pPr>
      <w:r>
        <w:rPr>
          <w:rFonts w:ascii="Consolas" w:hAnsi="Consolas"/>
          <w:color w:val="0B1F3A"/>
          <w:sz w:val="16"/>
        </w:rPr>
        <w:t>|   not                                                                    |</w:t>
      </w:r>
    </w:p>
    <w:p>
      <w:pPr>
        <w:spacing w:before="0" w:after="0" w:line="240" w:lineRule="auto"/>
        <w:ind w:left="230"/>
        <w:shd w:val="clear" w:color="auto" w:fill="F7F9FC"/>
        <w:pBdr>
          <w:left w:val="single" w:sz="4" w:space="6" w:color="D0D5DD"/>
        </w:pBdr>
      </w:pPr>
      <w:r>
        <w:rPr>
          <w:rFonts w:ascii="Consolas" w:hAnsi="Consolas"/>
          <w:color w:val="0B1F3A"/>
          <w:sz w:val="16"/>
        </w:rPr>
        <w:t>| by itself reverse a settled payout. Refunds are made by decision and the |</w:t>
      </w:r>
    </w:p>
    <w:p>
      <w:pPr>
        <w:spacing w:before="0" w:after="0" w:line="240" w:lineRule="auto"/>
        <w:ind w:left="230"/>
        <w:shd w:val="clear" w:color="auto" w:fill="F7F9FC"/>
        <w:pBdr>
          <w:left w:val="single" w:sz="4" w:space="6" w:color="D0D5DD"/>
        </w:pBdr>
      </w:pPr>
      <w:r>
        <w:rPr>
          <w:rFonts w:ascii="Consolas" w:hAnsi="Consolas"/>
          <w:color w:val="0B1F3A"/>
          <w:sz w:val="16"/>
        </w:rPr>
        <w:t>| reasoning is recorded either way.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Write a message                                       ]                |</w:t>
      </w:r>
    </w:p>
    <w:p>
      <w:pPr>
        <w:spacing w:before="0" w:after="0" w:line="240" w:lineRule="auto"/>
        <w:ind w:left="230"/>
        <w:shd w:val="clear" w:color="auto" w:fill="F7F9FC"/>
        <w:pBdr>
          <w:left w:val="single" w:sz="4" w:space="6" w:color="D0D5DD"/>
        </w:pBdr>
      </w:pPr>
      <w:r>
        <w:rPr>
          <w:rFonts w:ascii="Consolas" w:hAnsi="Consolas"/>
          <w:color w:val="0B1F3A"/>
          <w:sz w:val="16"/>
        </w:rPr>
        <w:t>| { Send }*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6.25.2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706"/>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339"/>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710"/>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(1) Reference and state</w:t>
            </w:r>
          </w:p>
        </w:tc>
        <w:tc>
          <w:tcPr>
            <w:tcW w:type="dxa" w:w="1339"/>
            <w:tcMar>
              <w:top w:w="60" w:type="dxa"/>
              <w:start w:w="110" w:type="dxa"/>
              <w:bottom w:w="60" w:type="dxa"/>
              <w:end w:w="110" w:type="dxa"/>
            </w:tcMar>
          </w:tcPr>
          <w:p>
            <w:pPr>
              <w:spacing w:after="0"/>
            </w:pPr>
            <w:r/>
            <w:r>
              <w:rPr>
                <w:rFonts w:ascii="Calibri" w:hAnsi="Calibri"/>
                <w:b w:val="0"/>
                <w:i w:val="0"/>
                <w:color w:val="101828"/>
                <w:sz w:val="14"/>
              </w:rPr>
              <w:t>Reference, affected item, and who is waiting.</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710"/>
            <w:tcMar>
              <w:top w:w="60" w:type="dxa"/>
              <w:start w:w="110" w:type="dxa"/>
              <w:bottom w:w="60" w:type="dxa"/>
              <w:end w:w="110" w:type="dxa"/>
            </w:tcMar>
          </w:tcPr>
          <w:p>
            <w:pPr>
              <w:spacing w:after="0"/>
            </w:pPr>
            <w:r/>
            <w:r>
              <w:rPr>
                <w:rFonts w:ascii="Calibri" w:hAnsi="Calibri"/>
                <w:i/>
                <w:color w:val="101828"/>
                <w:sz w:val="14"/>
              </w:rPr>
              <w:t>Waiting on AJO.ng</w:t>
            </w:r>
            <w:r>
              <w:rPr>
                <w:rFonts w:ascii="Calibri" w:hAnsi="Calibri"/>
                <w:b w:val="0"/>
                <w:i w:val="0"/>
                <w:color w:val="101828"/>
                <w:sz w:val="14"/>
              </w:rPr>
              <w:t xml:space="preserve"> and </w:t>
            </w:r>
            <w:r>
              <w:rPr>
                <w:rFonts w:ascii="Calibri" w:hAnsi="Calibri"/>
                <w:i/>
                <w:color w:val="101828"/>
                <w:sz w:val="14"/>
              </w:rPr>
              <w:t>waiting on you</w:t>
            </w:r>
            <w:r>
              <w:rPr>
                <w:rFonts w:ascii="Calibri" w:hAnsi="Calibri"/>
                <w:b w:val="0"/>
                <w:i w:val="0"/>
                <w:color w:val="101828"/>
                <w:sz w:val="14"/>
              </w:rPr>
              <w:t xml:space="preserve"> are visibly different, because the second is an action the member can take and the first is not.</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 Original statement</w:t>
            </w:r>
          </w:p>
        </w:tc>
        <w:tc>
          <w:tcPr>
            <w:tcW w:type="dxa" w:w="1339"/>
            <w:tcMar>
              <w:top w:w="60" w:type="dxa"/>
              <w:start w:w="110" w:type="dxa"/>
              <w:bottom w:w="60" w:type="dxa"/>
              <w:end w:w="110" w:type="dxa"/>
            </w:tcMar>
            <w:shd w:val="clear" w:color="auto" w:fill="F4F7FB"/>
          </w:tcPr>
          <w:p>
            <w:pPr>
              <w:spacing w:after="0"/>
            </w:pPr>
            <w:r/>
            <w:r>
              <w:rPr>
                <w:rFonts w:ascii="Calibri" w:hAnsi="Calibri"/>
                <w:b w:val="0"/>
                <w:i w:val="0"/>
                <w:color w:val="101828"/>
                <w:sz w:val="14"/>
              </w:rPr>
              <w:t>What the member wrote, in full, unedited.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710"/>
            <w:tcMar>
              <w:top w:w="60" w:type="dxa"/>
              <w:start w:w="110" w:type="dxa"/>
              <w:bottom w:w="60" w:type="dxa"/>
              <w:end w:w="110" w:type="dxa"/>
            </w:tcMar>
            <w:shd w:val="clear" w:color="auto" w:fill="F4F7FB"/>
          </w:tcPr>
          <w:p>
            <w:pPr>
              <w:spacing w:after="0"/>
            </w:pPr>
            <w:r/>
            <w:r>
              <w:rPr>
                <w:rFonts w:ascii="Calibri" w:hAnsi="Calibri"/>
                <w:b w:val="0"/>
                <w:i w:val="0"/>
                <w:color w:val="101828"/>
                <w:sz w:val="14"/>
              </w:rPr>
              <w:t>Editable by the member only until a support reply exists, after which it is fixed. A grievance that can be edited after it has been answered is a grievance with no record.</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(3) Thread</w:t>
            </w:r>
          </w:p>
        </w:tc>
        <w:tc>
          <w:tcPr>
            <w:tcW w:type="dxa" w:w="1339"/>
            <w:tcMar>
              <w:top w:w="60" w:type="dxa"/>
              <w:start w:w="110" w:type="dxa"/>
              <w:bottom w:w="60" w:type="dxa"/>
              <w:end w:w="110" w:type="dxa"/>
            </w:tcMar>
          </w:tcPr>
          <w:p>
            <w:pPr>
              <w:spacing w:after="0"/>
            </w:pPr>
            <w:r/>
            <w:r>
              <w:rPr>
                <w:rFonts w:ascii="Calibri" w:hAnsi="Calibri"/>
                <w:b w:val="0"/>
                <w:i w:val="0"/>
                <w:color w:val="101828"/>
                <w:sz w:val="14"/>
              </w:rPr>
              <w:t>Interleaved messages, member and platform, timestamped.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710"/>
            <w:tcMar>
              <w:top w:w="60" w:type="dxa"/>
              <w:start w:w="110" w:type="dxa"/>
              <w:bottom w:w="60" w:type="dxa"/>
              <w:end w:w="110" w:type="dxa"/>
            </w:tcMar>
          </w:tcPr>
          <w:p>
            <w:pPr>
              <w:spacing w:after="0"/>
            </w:pPr>
            <w:r/>
            <w:r>
              <w:rPr>
                <w:rFonts w:ascii="Calibri" w:hAnsi="Calibri"/>
                <w:b w:val="0"/>
                <w:i w:val="0"/>
                <w:color w:val="101828"/>
                <w:sz w:val="14"/>
              </w:rPr>
              <w:t>Read-only for the platform after sending, which is a chat convention and a records convention at once. Support cannot edit or delete a sent message.</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(4) Speaker attribution</w:t>
            </w:r>
          </w:p>
        </w:tc>
        <w:tc>
          <w:tcPr>
            <w:tcW w:type="dxa" w:w="1339"/>
            <w:tcMar>
              <w:top w:w="60" w:type="dxa"/>
              <w:start w:w="110" w:type="dxa"/>
              <w:bottom w:w="60" w:type="dxa"/>
              <w:end w:w="110" w:type="dxa"/>
            </w:tcMar>
            <w:shd w:val="clear" w:color="auto" w:fill="F4F7FB"/>
          </w:tcPr>
          <w:p>
            <w:pPr>
              <w:spacing w:after="0"/>
            </w:pPr>
            <w:r/>
            <w:r>
              <w:rPr>
                <w:rFonts w:ascii="Calibri" w:hAnsi="Calibri"/>
                <w:b w:val="0"/>
                <w:i w:val="0"/>
                <w:color w:val="101828"/>
                <w:sz w:val="14"/>
              </w:rPr>
              <w:t>Who sent each message, and in what capacity.</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710"/>
            <w:tcMar>
              <w:top w:w="60" w:type="dxa"/>
              <w:start w:w="110" w:type="dxa"/>
              <w:bottom w:w="60" w:type="dxa"/>
              <w:end w:w="110" w:type="dxa"/>
            </w:tcMar>
            <w:shd w:val="clear" w:color="auto" w:fill="F4F7FB"/>
          </w:tcPr>
          <w:p>
            <w:pPr>
              <w:spacing w:after="0"/>
            </w:pPr>
            <w:r/>
            <w:r>
              <w:rPr>
                <w:rFonts w:ascii="Calibri" w:hAnsi="Calibri"/>
                <w:i/>
                <w:color w:val="101828"/>
                <w:sz w:val="14"/>
              </w:rPr>
              <w:t>AJO.ng (support)</w:t>
            </w:r>
            <w:r>
              <w:rPr>
                <w:rFonts w:ascii="Calibri" w:hAnsi="Calibri"/>
                <w:b w:val="0"/>
                <w:i w:val="0"/>
                <w:color w:val="101828"/>
                <w:sz w:val="14"/>
              </w:rPr>
              <w:t>, not a person's first name, because a support reply in a financial record should be attributable to the organisation and not appear to be a friend typing.</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(5) Ledger effect</w:t>
            </w:r>
          </w:p>
        </w:tc>
        <w:tc>
          <w:tcPr>
            <w:tcW w:type="dxa" w:w="1339"/>
            <w:tcMar>
              <w:top w:w="60" w:type="dxa"/>
              <w:start w:w="110" w:type="dxa"/>
              <w:bottom w:w="60" w:type="dxa"/>
              <w:end w:w="110" w:type="dxa"/>
            </w:tcMar>
          </w:tcPr>
          <w:p>
            <w:pPr>
              <w:spacing w:after="0"/>
            </w:pPr>
            <w:r/>
            <w:r>
              <w:rPr>
                <w:rFonts w:ascii="Calibri" w:hAnsi="Calibri"/>
                <w:b w:val="0"/>
                <w:i w:val="0"/>
                <w:color w:val="101828"/>
                <w:sz w:val="14"/>
              </w:rPr>
              <w:t>What the dispute changed, or that it changed nothing.</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710"/>
            <w:tcMar>
              <w:top w:w="60" w:type="dxa"/>
              <w:start w:w="110" w:type="dxa"/>
              <w:bottom w:w="60" w:type="dxa"/>
              <w:end w:w="110" w:type="dxa"/>
            </w:tcMar>
          </w:tcPr>
          <w:p>
            <w:pPr>
              <w:spacing w:after="0"/>
            </w:pPr>
            <w:r/>
            <w:r>
              <w:rPr>
                <w:rFonts w:ascii="Calibri" w:hAnsi="Calibri"/>
                <w:b/>
                <w:color w:val="101828"/>
                <w:sz w:val="14"/>
              </w:rPr>
              <w:t>Mandatory on the screen.</w:t>
            </w:r>
            <w:r>
              <w:rPr>
                <w:rFonts w:ascii="Calibri" w:hAnsi="Calibri"/>
                <w:b w:val="0"/>
                <w:i w:val="0"/>
                <w:color w:val="101828"/>
                <w:sz w:val="14"/>
              </w:rPr>
              <w:t xml:space="preserve"> The plain-language account of the ledger consequence — an obligation reinstated, a contribution reassigned, a reversing entry posted, nothing deleted — is what a member actually needs and what support otherwise has to translate from a database diff on every call.</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(6) Composer</w:t>
            </w:r>
          </w:p>
        </w:tc>
        <w:tc>
          <w:tcPr>
            <w:tcW w:type="dxa" w:w="1339"/>
            <w:tcMar>
              <w:top w:w="60" w:type="dxa"/>
              <w:start w:w="110" w:type="dxa"/>
              <w:bottom w:w="60" w:type="dxa"/>
              <w:end w:w="110" w:type="dxa"/>
            </w:tcMar>
            <w:shd w:val="clear" w:color="auto" w:fill="F4F7FB"/>
          </w:tcPr>
          <w:p>
            <w:pPr>
              <w:spacing w:after="0"/>
            </w:pPr>
            <w:r/>
            <w:r>
              <w:rPr>
                <w:rFonts w:ascii="Calibri" w:hAnsi="Calibri"/>
                <w:b w:val="0"/>
                <w:i w:val="0"/>
                <w:color w:val="101828"/>
                <w:sz w:val="14"/>
              </w:rPr>
              <w:t>A message box, available until the dispute is decided.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710"/>
            <w:tcMar>
              <w:top w:w="60" w:type="dxa"/>
              <w:start w:w="110" w:type="dxa"/>
              <w:bottom w:w="60" w:type="dxa"/>
              <w:end w:w="110" w:type="dxa"/>
            </w:tcMar>
            <w:shd w:val="clear" w:color="auto" w:fill="F4F7FB"/>
          </w:tcPr>
          <w:p>
            <w:pPr>
              <w:spacing w:after="0"/>
            </w:pPr>
            <w:r/>
            <w:r>
              <w:rPr>
                <w:rFonts w:ascii="Calibri" w:hAnsi="Calibri"/>
                <w:b w:val="0"/>
                <w:i w:val="0"/>
                <w:color w:val="101828"/>
                <w:sz w:val="14"/>
              </w:rPr>
              <w:t>Disabled, with the reason stated, after a decision. A member who can keep typing into a decided dispute reasonably believes it is still open.</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(7) Scope restatement</w:t>
            </w:r>
          </w:p>
        </w:tc>
        <w:tc>
          <w:tcPr>
            <w:tcW w:type="dxa" w:w="1339"/>
            <w:tcMar>
              <w:top w:w="60" w:type="dxa"/>
              <w:start w:w="110" w:type="dxa"/>
              <w:bottom w:w="60" w:type="dxa"/>
              <w:end w:w="110" w:type="dxa"/>
            </w:tcMar>
          </w:tcPr>
          <w:p>
            <w:pPr>
              <w:spacing w:after="0"/>
            </w:pPr>
            <w:r/>
            <w:r>
              <w:rPr>
                <w:rFonts w:ascii="Calibri" w:hAnsi="Calibri"/>
                <w:b w:val="0"/>
                <w:i w:val="0"/>
                <w:color w:val="101828"/>
                <w:sz w:val="14"/>
              </w:rPr>
              <w:t>The capability statement, kept on the thread.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710"/>
            <w:tcMar>
              <w:top w:w="60" w:type="dxa"/>
              <w:start w:w="110" w:type="dxa"/>
              <w:bottom w:w="60" w:type="dxa"/>
              <w:end w:w="110" w:type="dxa"/>
            </w:tcMar>
          </w:tcPr>
          <w:p>
            <w:pPr>
              <w:spacing w:after="0"/>
            </w:pPr>
            <w:r/>
            <w:r>
              <w:rPr>
                <w:rFonts w:ascii="Calibri" w:hAnsi="Calibri"/>
                <w:b w:val="0"/>
                <w:i w:val="0"/>
                <w:color w:val="101828"/>
                <w:sz w:val="14"/>
              </w:rPr>
              <w:t>Repeated from 6.23 and 6.24. A thread is where a member decides whether to escalate to a bank, and the honest limits of the internal process are more useful there than a reassurance.</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(8) No resolve-without-answer</w:t>
            </w:r>
          </w:p>
        </w:tc>
        <w:tc>
          <w:tcPr>
            <w:tcW w:type="dxa" w:w="1339"/>
            <w:tcMar>
              <w:top w:w="60" w:type="dxa"/>
              <w:start w:w="110" w:type="dxa"/>
              <w:bottom w:w="60" w:type="dxa"/>
              <w:end w:w="110" w:type="dxa"/>
            </w:tcMar>
            <w:shd w:val="clear" w:color="auto" w:fill="F4F7FB"/>
          </w:tcPr>
          <w:p>
            <w:pPr>
              <w:spacing w:after="0"/>
            </w:pPr>
            <w:r/>
            <w:r>
              <w:rPr>
                <w:rFonts w:ascii="Calibri" w:hAnsi="Calibri"/>
                <w:b w:val="0"/>
                <w:i w:val="0"/>
                <w:color w:val="101828"/>
                <w:sz w:val="14"/>
              </w:rPr>
              <w:t>A dispute cannot be closed without a written outcome.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710"/>
            <w:tcMar>
              <w:top w:w="60" w:type="dxa"/>
              <w:start w:w="110" w:type="dxa"/>
              <w:bottom w:w="60" w:type="dxa"/>
              <w:end w:w="110" w:type="dxa"/>
            </w:tcMar>
            <w:shd w:val="clear" w:color="auto" w:fill="F4F7FB"/>
          </w:tcPr>
          <w:p>
            <w:pPr>
              <w:spacing w:after="0"/>
            </w:pPr>
            <w:r/>
            <w:r>
              <w:rPr>
                <w:rFonts w:ascii="Calibri" w:hAnsi="Calibri"/>
                <w:b/>
                <w:color w:val="101828"/>
                <w:sz w:val="14"/>
              </w:rPr>
              <w:t>Prohibited.</w:t>
            </w:r>
            <w:r>
              <w:rPr>
                <w:rFonts w:ascii="Calibri" w:hAnsi="Calibri"/>
                <w:b w:val="0"/>
                <w:i w:val="0"/>
                <w:color w:val="101828"/>
                <w:sz w:val="14"/>
              </w:rPr>
              <w:t xml:space="preserve"> Every dispute reaches one of: resolved with an action, resolved with an explanation and no action, or withdrawn before a decision. There is no close-without-reasoning state.</w:t>
            </w:r>
          </w:p>
        </w:tc>
      </w:tr>
    </w:tbl>
    <w:p>
      <w:pPr>
        <w:spacing w:after="80"/>
      </w:pPr>
    </w:p>
    <w:p>
      <w:pPr>
        <w:pStyle w:val="Heading2"/>
      </w:pPr>
      <w:r>
        <w:rPr>
          <w:rFonts w:ascii="Calibri" w:hAnsi="Calibri"/>
          <w:b/>
          <w:i w:val="0"/>
          <w:color w:val="146EF5"/>
          <w:sz w:val="29"/>
        </w:rPr>
        <w:t>6.26 Profile — SCR-MOB-19</w:t>
      </w:r>
    </w:p>
    <w:p>
      <w:r>
        <w:rPr>
          <w:rFonts w:ascii="Calibri" w:hAnsi="Calibri"/>
          <w:b w:val="0"/>
          <w:i w:val="0"/>
          <w:color w:val="101828"/>
          <w:sz w:val="21"/>
        </w:rPr>
        <w:t>The person, their verification state, and their financial summary. The summary is the part that matters, and it is the part most likely to be assembled wrongly: the number that matters to a member is not what they have paid, it is what they are owed and what they are being charged right now. The lifetime figures come after, with the reconciliation sentence that stops the difference between charged and received from reading as a loss.</w:t>
      </w:r>
    </w:p>
    <w:p>
      <w:pPr>
        <w:pStyle w:val="Heading3"/>
      </w:pPr>
      <w:r>
        <w:rPr>
          <w:rFonts w:ascii="Calibri" w:hAnsi="Calibri"/>
          <w:b/>
          <w:i w:val="0"/>
          <w:color w:val="0B1F3A"/>
          <w:sz w:val="24"/>
        </w:rPr>
        <w:t>6.26.1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Profile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Edit                                     |</w:t>
      </w:r>
    </w:p>
    <w:p>
      <w:pPr>
        <w:spacing w:before="0" w:after="0" w:line="240" w:lineRule="auto"/>
        <w:ind w:left="230"/>
        <w:shd w:val="clear" w:color="auto" w:fill="F7F9FC"/>
        <w:pBdr>
          <w:left w:val="single" w:sz="4" w:space="6" w:color="D0D5DD"/>
        </w:pBdr>
      </w:pPr>
      <w:r>
        <w:rPr>
          <w:rFonts w:ascii="Consolas" w:hAnsi="Consolas"/>
          <w:color w:val="0B1F3A"/>
          <w:sz w:val="16"/>
        </w:rPr>
        <w:t>+-- (2) IDENTITY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Segun A.                          |   |</w:t>
      </w:r>
    </w:p>
    <w:p>
      <w:pPr>
        <w:spacing w:before="0" w:after="0" w:line="240" w:lineRule="auto"/>
        <w:ind w:left="230"/>
        <w:shd w:val="clear" w:color="auto" w:fill="F7F9FC"/>
        <w:pBdr>
          <w:left w:val="single" w:sz="4" w:space="6" w:color="D0D5DD"/>
        </w:pBdr>
      </w:pPr>
      <w:r>
        <w:rPr>
          <w:rFonts w:ascii="Consolas" w:hAnsi="Consolas"/>
          <w:color w:val="0B1F3A"/>
          <w:sz w:val="16"/>
        </w:rPr>
        <w:t>| |  0703 000 0009                     |   |</w:t>
      </w:r>
    </w:p>
    <w:p>
      <w:pPr>
        <w:spacing w:before="0" w:after="0" w:line="240" w:lineRule="auto"/>
        <w:ind w:left="230"/>
        <w:shd w:val="clear" w:color="auto" w:fill="F7F9FC"/>
        <w:pBdr>
          <w:left w:val="single" w:sz="4" w:space="6" w:color="D0D5DD"/>
        </w:pBdr>
      </w:pPr>
      <w:r>
        <w:rPr>
          <w:rFonts w:ascii="Consolas" w:hAnsi="Consolas"/>
          <w:color w:val="0B1F3A"/>
          <w:sz w:val="16"/>
        </w:rPr>
        <w:t>| |  seg***@gmail.com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email    done                     |   |</w:t>
      </w:r>
    </w:p>
    <w:p>
      <w:pPr>
        <w:spacing w:before="0" w:after="0" w:line="240" w:lineRule="auto"/>
        <w:ind w:left="230"/>
        <w:shd w:val="clear" w:color="auto" w:fill="F7F9FC"/>
        <w:pBdr>
          <w:left w:val="single" w:sz="4" w:space="6" w:color="D0D5DD"/>
        </w:pBdr>
      </w:pPr>
      <w:r>
        <w:rPr>
          <w:rFonts w:ascii="Consolas" w:hAnsi="Consolas"/>
          <w:color w:val="0B1F3A"/>
          <w:sz w:val="16"/>
        </w:rPr>
        <w:t>| |  phone    done                     |   |</w:t>
      </w:r>
    </w:p>
    <w:p>
      <w:pPr>
        <w:spacing w:before="0" w:after="0" w:line="240" w:lineRule="auto"/>
        <w:ind w:left="230"/>
        <w:shd w:val="clear" w:color="auto" w:fill="F7F9FC"/>
        <w:pBdr>
          <w:left w:val="single" w:sz="4" w:space="6" w:color="D0D5DD"/>
        </w:pBdr>
      </w:pPr>
      <w:r>
        <w:rPr>
          <w:rFonts w:ascii="Consolas" w:hAnsi="Consolas"/>
          <w:color w:val="0B1F3A"/>
          <w:sz w:val="16"/>
        </w:rPr>
        <w:t>| |  identity not done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(3) FINANCIAL SUMMARY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In AJO.ng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Ajos joined     3                 |   |</w:t>
      </w:r>
    </w:p>
    <w:p>
      <w:pPr>
        <w:spacing w:before="0" w:after="0" w:line="240" w:lineRule="auto"/>
        <w:ind w:left="230"/>
        <w:shd w:val="clear" w:color="auto" w:fill="F7F9FC"/>
        <w:pBdr>
          <w:left w:val="single" w:sz="4" w:space="6" w:color="D0D5DD"/>
        </w:pBdr>
      </w:pPr>
      <w:r>
        <w:rPr>
          <w:rFonts w:ascii="Consolas" w:hAnsi="Consolas"/>
          <w:color w:val="0B1F3A"/>
          <w:sz w:val="16"/>
        </w:rPr>
        <w:t>| |  Owed to you  NGN 10,000.00        |   |</w:t>
      </w:r>
    </w:p>
    <w:p>
      <w:pPr>
        <w:spacing w:before="0" w:after="0" w:line="240" w:lineRule="auto"/>
        <w:ind w:left="230"/>
        <w:shd w:val="clear" w:color="auto" w:fill="F7F9FC"/>
        <w:pBdr>
          <w:left w:val="single" w:sz="4" w:space="6" w:color="D0D5DD"/>
        </w:pBdr>
      </w:pPr>
      <w:r>
        <w:rPr>
          <w:rFonts w:ascii="Consolas" w:hAnsi="Consolas"/>
          <w:color w:val="0B1F3A"/>
          <w:sz w:val="16"/>
        </w:rPr>
        <w:t>| |  You owe        NGN 1,000.00       |   |</w:t>
      </w:r>
    </w:p>
    <w:p>
      <w:pPr>
        <w:spacing w:before="0" w:after="0" w:line="240" w:lineRule="auto"/>
        <w:ind w:left="230"/>
        <w:shd w:val="clear" w:color="auto" w:fill="F7F9FC"/>
        <w:pBdr>
          <w:left w:val="single" w:sz="4" w:space="6" w:color="D0D5DD"/>
        </w:pBdr>
      </w:pPr>
      <w:r>
        <w:rPr>
          <w:rFonts w:ascii="Consolas" w:hAnsi="Consolas"/>
          <w:color w:val="0B1F3A"/>
          <w:sz w:val="16"/>
        </w:rPr>
        <w:t>| |  Charged           NGN 20.00 fee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Lifetime paid  NGN 40,620.00      |   |</w:t>
      </w:r>
    </w:p>
    <w:p>
      <w:pPr>
        <w:spacing w:before="0" w:after="0" w:line="240" w:lineRule="auto"/>
        <w:ind w:left="230"/>
        <w:shd w:val="clear" w:color="auto" w:fill="F7F9FC"/>
        <w:pBdr>
          <w:left w:val="single" w:sz="4" w:space="6" w:color="D0D5DD"/>
        </w:pBdr>
      </w:pPr>
      <w:r>
        <w:rPr>
          <w:rFonts w:ascii="Consolas" w:hAnsi="Consolas"/>
          <w:color w:val="0B1F3A"/>
          <w:sz w:val="16"/>
        </w:rPr>
        <w:t>| |  Lifetime received  NGN 20,000.00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Difference is AJO.ng's fee and    |   |</w:t>
      </w:r>
    </w:p>
    <w:p>
      <w:pPr>
        <w:spacing w:before="0" w:after="0" w:line="240" w:lineRule="auto"/>
        <w:ind w:left="230"/>
        <w:shd w:val="clear" w:color="auto" w:fill="F7F9FC"/>
        <w:pBdr>
          <w:left w:val="single" w:sz="4" w:space="6" w:color="D0D5DD"/>
        </w:pBdr>
      </w:pPr>
      <w:r>
        <w:rPr>
          <w:rFonts w:ascii="Consolas" w:hAnsi="Consolas"/>
          <w:color w:val="0B1F3A"/>
          <w:sz w:val="16"/>
        </w:rPr>
        <w:t>| |  the 10,000.00 you are still       |   |</w:t>
      </w:r>
    </w:p>
    <w:p>
      <w:pPr>
        <w:spacing w:before="0" w:after="0" w:line="240" w:lineRule="auto"/>
        <w:ind w:left="230"/>
        <w:shd w:val="clear" w:color="auto" w:fill="F7F9FC"/>
        <w:pBdr>
          <w:left w:val="single" w:sz="4" w:space="6" w:color="D0D5DD"/>
        </w:pBdr>
      </w:pPr>
      <w:r>
        <w:rPr>
          <w:rFonts w:ascii="Consolas" w:hAnsi="Consolas"/>
          <w:color w:val="0B1F3A"/>
          <w:sz w:val="16"/>
        </w:rPr>
        <w:t>| |  owed, not a loss.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(4) ACTIONS ---------------------------+</w:t>
      </w:r>
    </w:p>
    <w:p>
      <w:pPr>
        <w:spacing w:before="0" w:after="0" w:line="240" w:lineRule="auto"/>
        <w:ind w:left="230"/>
        <w:shd w:val="clear" w:color="auto" w:fill="F7F9FC"/>
        <w:pBdr>
          <w:left w:val="single" w:sz="4" w:space="6" w:color="D0D5DD"/>
        </w:pBdr>
      </w:pPr>
      <w:r>
        <w:rPr>
          <w:rFonts w:ascii="Consolas" w:hAnsi="Consolas"/>
          <w:color w:val="0B1F3A"/>
          <w:sz w:val="16"/>
        </w:rPr>
        <w:t>| &lt; Edit profile &gt;                         |</w:t>
      </w:r>
    </w:p>
    <w:p>
      <w:pPr>
        <w:spacing w:before="0" w:after="0" w:line="240" w:lineRule="auto"/>
        <w:ind w:left="230"/>
        <w:shd w:val="clear" w:color="auto" w:fill="F7F9FC"/>
        <w:pBdr>
          <w:left w:val="single" w:sz="4" w:space="6" w:color="D0D5DD"/>
        </w:pBdr>
      </w:pPr>
      <w:r>
        <w:rPr>
          <w:rFonts w:ascii="Consolas" w:hAnsi="Consolas"/>
          <w:color w:val="0B1F3A"/>
          <w:sz w:val="16"/>
        </w:rPr>
        <w:t>| &lt; My Ajos &gt;                              |</w:t>
      </w:r>
    </w:p>
    <w:p>
      <w:pPr>
        <w:spacing w:before="0" w:after="0" w:line="240" w:lineRule="auto"/>
        <w:ind w:left="230"/>
        <w:shd w:val="clear" w:color="auto" w:fill="F7F9FC"/>
        <w:pBdr>
          <w:left w:val="single" w:sz="4" w:space="6" w:color="D0D5DD"/>
        </w:pBdr>
      </w:pPr>
      <w:r>
        <w:rPr>
          <w:rFonts w:ascii="Consolas" w:hAnsi="Consolas"/>
          <w:color w:val="0B1F3A"/>
          <w:sz w:val="16"/>
        </w:rPr>
        <w:t>| &lt; Transactions &gt;                         |</w:t>
      </w:r>
    </w:p>
    <w:p>
      <w:pPr>
        <w:spacing w:before="0" w:after="0" w:line="240" w:lineRule="auto"/>
        <w:ind w:left="230"/>
        <w:shd w:val="clear" w:color="auto" w:fill="F7F9FC"/>
        <w:pBdr>
          <w:left w:val="single" w:sz="4" w:space="6" w:color="D0D5DD"/>
        </w:pBdr>
      </w:pPr>
      <w:r>
        <w:rPr>
          <w:rFonts w:ascii="Consolas" w:hAnsi="Consolas"/>
          <w:color w:val="0B1F3A"/>
          <w:sz w:val="16"/>
        </w:rPr>
        <w:t>| &lt; Security &gt;                             |</w:t>
      </w:r>
    </w:p>
    <w:p>
      <w:pPr>
        <w:spacing w:before="0" w:after="0" w:line="240" w:lineRule="auto"/>
        <w:ind w:left="230"/>
        <w:shd w:val="clear" w:color="auto" w:fill="F7F9FC"/>
        <w:pBdr>
          <w:left w:val="single" w:sz="4" w:space="6" w:color="D0D5DD"/>
        </w:pBdr>
      </w:pPr>
      <w:r>
        <w:rPr>
          <w:rFonts w:ascii="Consolas" w:hAnsi="Consolas"/>
          <w:color w:val="0B1F3A"/>
          <w:sz w:val="16"/>
        </w:rPr>
        <w:t>| &lt; Notifications &gt;                        |</w:t>
      </w:r>
    </w:p>
    <w:p>
      <w:pPr>
        <w:spacing w:before="0" w:after="0" w:line="240" w:lineRule="auto"/>
        <w:ind w:left="230"/>
        <w:shd w:val="clear" w:color="auto" w:fill="F7F9FC"/>
        <w:pBdr>
          <w:left w:val="single" w:sz="4" w:space="6" w:color="D0D5DD"/>
        </w:pBdr>
      </w:pPr>
      <w:r>
        <w:rPr>
          <w:rFonts w:ascii="Consolas" w:hAnsi="Consolas"/>
          <w:color w:val="0B1F3A"/>
          <w:sz w:val="16"/>
        </w:rPr>
        <w:t>+-- (5) BOTTOM NAV ------------------------+</w:t>
      </w:r>
    </w:p>
    <w:p>
      <w:pPr>
        <w:spacing w:before="0" w:after="0" w:line="240" w:lineRule="auto"/>
        <w:ind w:left="230"/>
        <w:shd w:val="clear" w:color="auto" w:fill="F7F9FC"/>
        <w:pBdr>
          <w:left w:val="single" w:sz="4" w:space="6" w:color="D0D5DD"/>
        </w:pBdr>
      </w:pPr>
      <w:r>
        <w:rPr>
          <w:rFonts w:ascii="Consolas" w:hAnsi="Consolas"/>
          <w:color w:val="0B1F3A"/>
          <w:sz w:val="16"/>
        </w:rPr>
        <w:t>| Home  Ajos  Pay  Alerts  More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LEFT NAV ----------------------------------------------------------+</w:t>
      </w:r>
    </w:p>
    <w:p>
      <w:pPr>
        <w:spacing w:before="0" w:after="0" w:line="240" w:lineRule="auto"/>
        <w:ind w:left="230"/>
        <w:shd w:val="clear" w:color="auto" w:fill="F7F9FC"/>
        <w:pBdr>
          <w:left w:val="single" w:sz="4" w:space="6" w:color="D0D5DD"/>
        </w:pBdr>
      </w:pPr>
      <w:r>
        <w:rPr>
          <w:rFonts w:ascii="Consolas" w:hAnsi="Consolas"/>
          <w:color w:val="0B1F3A"/>
          <w:sz w:val="16"/>
        </w:rPr>
        <w:t>| Home                                                                     |</w:t>
      </w:r>
    </w:p>
    <w:p>
      <w:pPr>
        <w:spacing w:before="0" w:after="0" w:line="240" w:lineRule="auto"/>
        <w:ind w:left="230"/>
        <w:shd w:val="clear" w:color="auto" w:fill="F7F9FC"/>
        <w:pBdr>
          <w:left w:val="single" w:sz="4" w:space="6" w:color="D0D5DD"/>
        </w:pBdr>
      </w:pPr>
      <w:r>
        <w:rPr>
          <w:rFonts w:ascii="Consolas" w:hAnsi="Consolas"/>
          <w:color w:val="0B1F3A"/>
          <w:sz w:val="16"/>
        </w:rPr>
        <w:t>| My Ajos                                                                  |</w:t>
      </w:r>
    </w:p>
    <w:p>
      <w:pPr>
        <w:spacing w:before="0" w:after="0" w:line="240" w:lineRule="auto"/>
        <w:ind w:left="230"/>
        <w:shd w:val="clear" w:color="auto" w:fill="F7F9FC"/>
        <w:pBdr>
          <w:left w:val="single" w:sz="4" w:space="6" w:color="D0D5DD"/>
        </w:pBdr>
      </w:pPr>
      <w:r>
        <w:rPr>
          <w:rFonts w:ascii="Consolas" w:hAnsi="Consolas"/>
          <w:color w:val="0B1F3A"/>
          <w:sz w:val="16"/>
        </w:rPr>
        <w:t>| Pay                                                                      |</w:t>
      </w:r>
    </w:p>
    <w:p>
      <w:pPr>
        <w:spacing w:before="0" w:after="0" w:line="240" w:lineRule="auto"/>
        <w:ind w:left="230"/>
        <w:shd w:val="clear" w:color="auto" w:fill="F7F9FC"/>
        <w:pBdr>
          <w:left w:val="single" w:sz="4" w:space="6" w:color="D0D5DD"/>
        </w:pBdr>
      </w:pPr>
      <w:r>
        <w:rPr>
          <w:rFonts w:ascii="Consolas" w:hAnsi="Consolas"/>
          <w:color w:val="0B1F3A"/>
          <w:sz w:val="16"/>
        </w:rPr>
        <w:t>| Alerts                                                                   |</w:t>
      </w:r>
    </w:p>
    <w:p>
      <w:pPr>
        <w:spacing w:before="0" w:after="0" w:line="240" w:lineRule="auto"/>
        <w:ind w:left="230"/>
        <w:shd w:val="clear" w:color="auto" w:fill="F7F9FC"/>
        <w:pBdr>
          <w:left w:val="single" w:sz="4" w:space="6" w:color="D0D5DD"/>
        </w:pBdr>
      </w:pPr>
      <w:r>
        <w:rPr>
          <w:rFonts w:ascii="Consolas" w:hAnsi="Consolas"/>
          <w:color w:val="0B1F3A"/>
          <w:sz w:val="16"/>
        </w:rPr>
        <w:t>| Support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Profile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IDENTITY ----------------------------------------------------------+</w:t>
      </w:r>
    </w:p>
    <w:p>
      <w:pPr>
        <w:spacing w:before="0" w:after="0" w:line="240" w:lineRule="auto"/>
        <w:ind w:left="230"/>
        <w:shd w:val="clear" w:color="auto" w:fill="F7F9FC"/>
        <w:pBdr>
          <w:left w:val="single" w:sz="4" w:space="6" w:color="D0D5DD"/>
        </w:pBdr>
      </w:pPr>
      <w:r>
        <w:rPr>
          <w:rFonts w:ascii="Consolas" w:hAnsi="Consolas"/>
          <w:color w:val="0B1F3A"/>
          <w:sz w:val="16"/>
        </w:rPr>
        <w:t>| Segun A.   0703 000 0009   seg***@gmail.com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Verification   email   done 12 Aug 2026                                  |</w:t>
      </w:r>
    </w:p>
    <w:p>
      <w:pPr>
        <w:spacing w:before="0" w:after="0" w:line="240" w:lineRule="auto"/>
        <w:ind w:left="230"/>
        <w:shd w:val="clear" w:color="auto" w:fill="F7F9FC"/>
        <w:pBdr>
          <w:left w:val="single" w:sz="4" w:space="6" w:color="D0D5DD"/>
        </w:pBdr>
      </w:pPr>
      <w:r>
        <w:rPr>
          <w:rFonts w:ascii="Consolas" w:hAnsi="Consolas"/>
          <w:color w:val="0B1F3A"/>
          <w:sz w:val="16"/>
        </w:rPr>
        <w:t>| Verification   phone   done 12 Aug 2026                                  |</w:t>
      </w:r>
    </w:p>
    <w:p>
      <w:pPr>
        <w:spacing w:before="0" w:after="0" w:line="240" w:lineRule="auto"/>
        <w:ind w:left="230"/>
        <w:shd w:val="clear" w:color="auto" w:fill="F7F9FC"/>
        <w:pBdr>
          <w:left w:val="single" w:sz="4" w:space="6" w:color="D0D5DD"/>
        </w:pBdr>
      </w:pPr>
      <w:r>
        <w:rPr>
          <w:rFonts w:ascii="Consolas" w:hAnsi="Consolas"/>
          <w:color w:val="0B1F3A"/>
          <w:sz w:val="16"/>
        </w:rPr>
        <w:t>| Verification   identity  not started                                     |</w:t>
      </w:r>
    </w:p>
    <w:p>
      <w:pPr>
        <w:spacing w:before="0" w:after="0" w:line="240" w:lineRule="auto"/>
        <w:ind w:left="230"/>
        <w:shd w:val="clear" w:color="auto" w:fill="F7F9FC"/>
        <w:pBdr>
          <w:left w:val="single" w:sz="4" w:space="6" w:color="D0D5DD"/>
        </w:pBdr>
      </w:pPr>
      <w:r>
        <w:rPr>
          <w:rFonts w:ascii="Consolas" w:hAnsi="Consolas"/>
          <w:color w:val="0B1F3A"/>
          <w:sz w:val="16"/>
        </w:rPr>
        <w:t>+-- (3) FINANCIAL SUMMARY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In AJO.ng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Ajos joined                        3                          |       |</w:t>
      </w:r>
    </w:p>
    <w:p>
      <w:pPr>
        <w:spacing w:before="0" w:after="0" w:line="240" w:lineRule="auto"/>
        <w:ind w:left="230"/>
        <w:shd w:val="clear" w:color="auto" w:fill="F7F9FC"/>
        <w:pBdr>
          <w:left w:val="single" w:sz="4" w:space="6" w:color="D0D5DD"/>
        </w:pBdr>
      </w:pPr>
      <w:r>
        <w:rPr>
          <w:rFonts w:ascii="Consolas" w:hAnsi="Consolas"/>
          <w:color w:val="0B1F3A"/>
          <w:sz w:val="16"/>
        </w:rPr>
        <w:t>| |  Owed to you                        NGN 10,000.00              |       |</w:t>
      </w:r>
    </w:p>
    <w:p>
      <w:pPr>
        <w:spacing w:before="0" w:after="0" w:line="240" w:lineRule="auto"/>
        <w:ind w:left="230"/>
        <w:shd w:val="clear" w:color="auto" w:fill="F7F9FC"/>
        <w:pBdr>
          <w:left w:val="single" w:sz="4" w:space="6" w:color="D0D5DD"/>
        </w:pBdr>
      </w:pPr>
      <w:r>
        <w:rPr>
          <w:rFonts w:ascii="Consolas" w:hAnsi="Consolas"/>
          <w:color w:val="0B1F3A"/>
          <w:sz w:val="16"/>
        </w:rPr>
        <w:t>| |  You owe                            NGN 1,000.00               |       |</w:t>
      </w:r>
    </w:p>
    <w:p>
      <w:pPr>
        <w:spacing w:before="0" w:after="0" w:line="240" w:lineRule="auto"/>
        <w:ind w:left="230"/>
        <w:shd w:val="clear" w:color="auto" w:fill="F7F9FC"/>
        <w:pBdr>
          <w:left w:val="single" w:sz="4" w:space="6" w:color="D0D5DD"/>
        </w:pBdr>
      </w:pPr>
      <w:r>
        <w:rPr>
          <w:rFonts w:ascii="Consolas" w:hAnsi="Consolas"/>
          <w:color w:val="0B1F3A"/>
          <w:sz w:val="16"/>
        </w:rPr>
        <w:t>| |  Of which AJO.ng fee                     NGN 20.00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Lifetime charged                  NGN 40,620.00               |       |</w:t>
      </w:r>
    </w:p>
    <w:p>
      <w:pPr>
        <w:spacing w:before="0" w:after="0" w:line="240" w:lineRule="auto"/>
        <w:ind w:left="230"/>
        <w:shd w:val="clear" w:color="auto" w:fill="F7F9FC"/>
        <w:pBdr>
          <w:left w:val="single" w:sz="4" w:space="6" w:color="D0D5DD"/>
        </w:pBdr>
      </w:pPr>
      <w:r>
        <w:rPr>
          <w:rFonts w:ascii="Consolas" w:hAnsi="Consolas"/>
          <w:color w:val="0B1F3A"/>
          <w:sz w:val="16"/>
        </w:rPr>
        <w:t>| |  Lifetime received                 NGN 20,000.00               |       |</w:t>
      </w:r>
    </w:p>
    <w:p>
      <w:pPr>
        <w:spacing w:before="0" w:after="0" w:line="240" w:lineRule="auto"/>
        <w:ind w:left="230"/>
        <w:shd w:val="clear" w:color="auto" w:fill="F7F9FC"/>
        <w:pBdr>
          <w:left w:val="single" w:sz="4" w:space="6" w:color="D0D5DD"/>
        </w:pBdr>
      </w:pPr>
      <w:r>
        <w:rPr>
          <w:rFonts w:ascii="Consolas" w:hAnsi="Consolas"/>
          <w:color w:val="0B1F3A"/>
          <w:sz w:val="16"/>
        </w:rPr>
        <w:t>| |  Lifetime fee paid                    NGN 812.40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The difference between charged and received is the platform fee |     |</w:t>
      </w:r>
    </w:p>
    <w:p>
      <w:pPr>
        <w:spacing w:before="0" w:after="0" w:line="240" w:lineRule="auto"/>
        <w:ind w:left="230"/>
        <w:shd w:val="clear" w:color="auto" w:fill="F7F9FC"/>
        <w:pBdr>
          <w:left w:val="single" w:sz="4" w:space="6" w:color="D0D5DD"/>
        </w:pBdr>
      </w:pPr>
      <w:r>
        <w:rPr>
          <w:rFonts w:ascii="Consolas" w:hAnsi="Consolas"/>
          <w:color w:val="0B1F3A"/>
          <w:sz w:val="16"/>
        </w:rPr>
        <w:t>| |  plus NGN 10,000.00 still owed to you, not a loss.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6.26.2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778"/>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973"/>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005"/>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778"/>
            <w:tcMar>
              <w:top w:w="60" w:type="dxa"/>
              <w:start w:w="110" w:type="dxa"/>
              <w:bottom w:w="60" w:type="dxa"/>
              <w:end w:w="110" w:type="dxa"/>
            </w:tcMar>
          </w:tcPr>
          <w:p>
            <w:pPr>
              <w:spacing w:after="0"/>
            </w:pPr>
            <w:r/>
            <w:r>
              <w:rPr>
                <w:rFonts w:ascii="Calibri" w:hAnsi="Calibri"/>
                <w:b w:val="0"/>
                <w:i w:val="0"/>
                <w:color w:val="101828"/>
                <w:sz w:val="14"/>
              </w:rPr>
              <w:t>(1) Identity</w:t>
            </w:r>
          </w:p>
        </w:tc>
        <w:tc>
          <w:tcPr>
            <w:tcW w:type="dxa" w:w="1973"/>
            <w:tcMar>
              <w:top w:w="60" w:type="dxa"/>
              <w:start w:w="110" w:type="dxa"/>
              <w:bottom w:w="60" w:type="dxa"/>
              <w:end w:w="110" w:type="dxa"/>
            </w:tcMar>
          </w:tcPr>
          <w:p>
            <w:pPr>
              <w:spacing w:after="0"/>
            </w:pPr>
            <w:r/>
            <w:r>
              <w:rPr>
                <w:rFonts w:ascii="Calibri" w:hAnsi="Calibri"/>
                <w:b w:val="0"/>
                <w:i w:val="0"/>
                <w:color w:val="101828"/>
                <w:sz w:val="14"/>
              </w:rPr>
              <w:t>Name, masked phone, masked email, and verification state per method.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005"/>
            <w:tcMar>
              <w:top w:w="60" w:type="dxa"/>
              <w:start w:w="110" w:type="dxa"/>
              <w:bottom w:w="60" w:type="dxa"/>
              <w:end w:w="110" w:type="dxa"/>
            </w:tcMar>
          </w:tcPr>
          <w:p>
            <w:pPr>
              <w:spacing w:after="0"/>
            </w:pPr>
            <w:r/>
            <w:r>
              <w:rPr>
                <w:rFonts w:ascii="Calibri" w:hAnsi="Calibri"/>
                <w:b w:val="0"/>
                <w:i w:val="0"/>
                <w:color w:val="101828"/>
                <w:sz w:val="14"/>
              </w:rPr>
              <w:t>Verification is shown as three named methods with their own states, not as a single progress bar, because identity verification is optional under open decision D-04 and a bar would imply a requirement that may not exist.</w:t>
            </w:r>
          </w:p>
        </w:tc>
      </w:tr>
      <w:tr>
        <w:trPr>
          <w:cantSplit/>
        </w:trPr>
        <w:tc>
          <w:tcPr>
            <w:tcW w:type="dxa" w:w="778"/>
            <w:tcMar>
              <w:top w:w="60" w:type="dxa"/>
              <w:start w:w="110" w:type="dxa"/>
              <w:bottom w:w="60" w:type="dxa"/>
              <w:end w:w="110" w:type="dxa"/>
            </w:tcMar>
            <w:shd w:val="clear" w:color="auto" w:fill="F4F7FB"/>
          </w:tcPr>
          <w:p>
            <w:pPr>
              <w:spacing w:after="0"/>
            </w:pPr>
            <w:r/>
            <w:r>
              <w:rPr>
                <w:rFonts w:ascii="Calibri" w:hAnsi="Calibri"/>
                <w:b w:val="0"/>
                <w:i w:val="0"/>
                <w:color w:val="101828"/>
                <w:sz w:val="14"/>
              </w:rPr>
              <w:t>(2) Current position</w:t>
            </w:r>
          </w:p>
        </w:tc>
        <w:tc>
          <w:tcPr>
            <w:tcW w:type="dxa" w:w="1973"/>
            <w:tcMar>
              <w:top w:w="60" w:type="dxa"/>
              <w:start w:w="110" w:type="dxa"/>
              <w:bottom w:w="60" w:type="dxa"/>
              <w:end w:w="110" w:type="dxa"/>
            </w:tcMar>
            <w:shd w:val="clear" w:color="auto" w:fill="F4F7FB"/>
          </w:tcPr>
          <w:p>
            <w:pPr>
              <w:spacing w:after="0"/>
            </w:pPr>
            <w:r/>
            <w:r>
              <w:rPr>
                <w:rFonts w:ascii="Calibri" w:hAnsi="Calibri"/>
                <w:b w:val="0"/>
                <w:i w:val="0"/>
                <w:color w:val="101828"/>
                <w:sz w:val="14"/>
              </w:rPr>
              <w:t>Ajos joined, owed to you, you owe, and the fee inside that.</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005"/>
            <w:tcMar>
              <w:top w:w="60" w:type="dxa"/>
              <w:start w:w="110" w:type="dxa"/>
              <w:bottom w:w="60" w:type="dxa"/>
              <w:end w:w="110" w:type="dxa"/>
            </w:tcMar>
            <w:shd w:val="clear" w:color="auto" w:fill="F4F7FB"/>
          </w:tcPr>
          <w:p>
            <w:pPr>
              <w:spacing w:after="0"/>
            </w:pPr>
            <w:r/>
            <w:r>
              <w:rPr>
                <w:rFonts w:ascii="Calibri" w:hAnsi="Calibri"/>
                <w:b/>
                <w:color w:val="101828"/>
                <w:sz w:val="14"/>
              </w:rPr>
              <w:t>The fee is named as a component of what is owed, not as an extra.</w:t>
            </w:r>
            <w:r>
              <w:rPr>
                <w:rFonts w:ascii="Calibri" w:hAnsi="Calibri"/>
                <w:b w:val="0"/>
                <w:i w:val="0"/>
                <w:color w:val="101828"/>
                <w:sz w:val="14"/>
              </w:rPr>
              <w:t xml:space="preserve"> </w:t>
            </w:r>
            <w:r>
              <w:rPr>
                <w:rFonts w:ascii="Calibri" w:hAnsi="Calibri"/>
                <w:i/>
                <w:color w:val="101828"/>
                <w:sz w:val="14"/>
              </w:rPr>
              <w:t>You owe NGN 1,000.00, of which NGN 20.00 is the AJO.ng fee</w:t>
            </w:r>
            <w:r>
              <w:rPr>
                <w:rFonts w:ascii="Calibri" w:hAnsi="Calibri"/>
                <w:b w:val="0"/>
                <w:i w:val="0"/>
                <w:color w:val="101828"/>
                <w:sz w:val="14"/>
              </w:rPr>
              <w:t xml:space="preserve"> is one sentence that prevents the recurring misunderstanding.</w:t>
            </w:r>
          </w:p>
        </w:tc>
      </w:tr>
      <w:tr>
        <w:trPr>
          <w:cantSplit/>
        </w:trPr>
        <w:tc>
          <w:tcPr>
            <w:tcW w:type="dxa" w:w="778"/>
            <w:tcMar>
              <w:top w:w="60" w:type="dxa"/>
              <w:start w:w="110" w:type="dxa"/>
              <w:bottom w:w="60" w:type="dxa"/>
              <w:end w:w="110" w:type="dxa"/>
            </w:tcMar>
          </w:tcPr>
          <w:p>
            <w:pPr>
              <w:spacing w:after="0"/>
            </w:pPr>
            <w:r/>
            <w:r>
              <w:rPr>
                <w:rFonts w:ascii="Calibri" w:hAnsi="Calibri"/>
                <w:b w:val="0"/>
                <w:i w:val="0"/>
                <w:color w:val="101828"/>
                <w:sz w:val="14"/>
              </w:rPr>
              <w:t>(3) Lifetime totals</w:t>
            </w:r>
          </w:p>
        </w:tc>
        <w:tc>
          <w:tcPr>
            <w:tcW w:type="dxa" w:w="1973"/>
            <w:tcMar>
              <w:top w:w="60" w:type="dxa"/>
              <w:start w:w="110" w:type="dxa"/>
              <w:bottom w:w="60" w:type="dxa"/>
              <w:end w:w="110" w:type="dxa"/>
            </w:tcMar>
          </w:tcPr>
          <w:p>
            <w:pPr>
              <w:spacing w:after="0"/>
            </w:pPr>
            <w:r/>
            <w:r>
              <w:rPr>
                <w:rFonts w:ascii="Calibri" w:hAnsi="Calibri"/>
                <w:b w:val="0"/>
                <w:i w:val="0"/>
                <w:color w:val="101828"/>
                <w:sz w:val="14"/>
              </w:rPr>
              <w:t>Charged, received, and fee paid, all three.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005"/>
            <w:tcMar>
              <w:top w:w="60" w:type="dxa"/>
              <w:start w:w="110" w:type="dxa"/>
              <w:bottom w:w="60" w:type="dxa"/>
              <w:end w:w="110" w:type="dxa"/>
            </w:tcMar>
          </w:tcPr>
          <w:p>
            <w:pPr>
              <w:spacing w:after="0"/>
            </w:pPr>
            <w:r/>
            <w:r>
              <w:rPr>
                <w:rFonts w:ascii="Calibri" w:hAnsi="Calibri"/>
                <w:b/>
                <w:color w:val="101828"/>
                <w:sz w:val="14"/>
              </w:rPr>
              <w:t>All three or none.</w:t>
            </w:r>
            <w:r>
              <w:rPr>
                <w:rFonts w:ascii="Calibri" w:hAnsi="Calibri"/>
                <w:b w:val="0"/>
                <w:i w:val="0"/>
                <w:color w:val="101828"/>
                <w:sz w:val="14"/>
              </w:rPr>
              <w:t xml:space="preserve"> Showing charged and received without fee is a chart of a loss. Showing fee alone, without charged and received, is a receipt.</w:t>
            </w:r>
          </w:p>
        </w:tc>
      </w:tr>
      <w:tr>
        <w:trPr>
          <w:cantSplit/>
        </w:trPr>
        <w:tc>
          <w:tcPr>
            <w:tcW w:type="dxa" w:w="778"/>
            <w:tcMar>
              <w:top w:w="60" w:type="dxa"/>
              <w:start w:w="110" w:type="dxa"/>
              <w:bottom w:w="60" w:type="dxa"/>
              <w:end w:w="110" w:type="dxa"/>
            </w:tcMar>
            <w:shd w:val="clear" w:color="auto" w:fill="F4F7FB"/>
          </w:tcPr>
          <w:p>
            <w:pPr>
              <w:spacing w:after="0"/>
            </w:pPr>
            <w:r/>
            <w:r>
              <w:rPr>
                <w:rFonts w:ascii="Calibri" w:hAnsi="Calibri"/>
                <w:b w:val="0"/>
                <w:i w:val="0"/>
                <w:color w:val="101828"/>
                <w:sz w:val="14"/>
              </w:rPr>
              <w:t>(4) Reconciliation sentence</w:t>
            </w:r>
          </w:p>
        </w:tc>
        <w:tc>
          <w:tcPr>
            <w:tcW w:type="dxa" w:w="1973"/>
            <w:tcMar>
              <w:top w:w="60" w:type="dxa"/>
              <w:start w:w="110" w:type="dxa"/>
              <w:bottom w:w="60" w:type="dxa"/>
              <w:end w:w="110" w:type="dxa"/>
            </w:tcMar>
            <w:shd w:val="clear" w:color="auto" w:fill="F4F7FB"/>
          </w:tcPr>
          <w:p>
            <w:pPr>
              <w:spacing w:after="0"/>
            </w:pPr>
            <w:r/>
            <w:r>
              <w:rPr>
                <w:rFonts w:ascii="Calibri" w:hAnsi="Calibri"/>
                <w:b w:val="0"/>
                <w:i w:val="0"/>
                <w:color w:val="101828"/>
                <w:sz w:val="14"/>
              </w:rPr>
              <w:t>Explains the difference between charged and received.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005"/>
            <w:tcMar>
              <w:top w:w="60" w:type="dxa"/>
              <w:start w:w="110" w:type="dxa"/>
              <w:bottom w:w="60" w:type="dxa"/>
              <w:end w:w="110" w:type="dxa"/>
            </w:tcMar>
            <w:shd w:val="clear" w:color="auto" w:fill="F4F7FB"/>
          </w:tcPr>
          <w:p>
            <w:pPr>
              <w:spacing w:after="0"/>
            </w:pPr>
            <w:r/>
            <w:r>
              <w:rPr>
                <w:rFonts w:ascii="Calibri" w:hAnsi="Calibri"/>
                <w:b/>
                <w:color w:val="101828"/>
                <w:sz w:val="14"/>
              </w:rPr>
              <w:t>Mandatory.</w:t>
            </w:r>
            <w:r>
              <w:rPr>
                <w:rFonts w:ascii="Calibri" w:hAnsi="Calibri"/>
                <w:b w:val="0"/>
                <w:i w:val="0"/>
                <w:color w:val="101828"/>
                <w:sz w:val="14"/>
              </w:rPr>
              <w:t xml:space="preserve"> The difference is the platform's fee plus money still owed to this member, and it is stated in words on the profile rather than left for a member to infer from arithmetic.</w:t>
            </w:r>
          </w:p>
        </w:tc>
      </w:tr>
      <w:tr>
        <w:trPr>
          <w:cantSplit/>
        </w:trPr>
        <w:tc>
          <w:tcPr>
            <w:tcW w:type="dxa" w:w="778"/>
            <w:tcMar>
              <w:top w:w="60" w:type="dxa"/>
              <w:start w:w="110" w:type="dxa"/>
              <w:bottom w:w="60" w:type="dxa"/>
              <w:end w:w="110" w:type="dxa"/>
            </w:tcMar>
          </w:tcPr>
          <w:p>
            <w:pPr>
              <w:spacing w:after="0"/>
            </w:pPr>
            <w:r/>
            <w:r>
              <w:rPr>
                <w:rFonts w:ascii="Calibri" w:hAnsi="Calibri"/>
                <w:b w:val="0"/>
                <w:i w:val="0"/>
                <w:color w:val="101828"/>
                <w:sz w:val="14"/>
              </w:rPr>
              <w:t>(5) Masking</w:t>
            </w:r>
          </w:p>
        </w:tc>
        <w:tc>
          <w:tcPr>
            <w:tcW w:type="dxa" w:w="1973"/>
            <w:tcMar>
              <w:top w:w="60" w:type="dxa"/>
              <w:start w:w="110" w:type="dxa"/>
              <w:bottom w:w="60" w:type="dxa"/>
              <w:end w:w="110" w:type="dxa"/>
            </w:tcMar>
          </w:tcPr>
          <w:p>
            <w:pPr>
              <w:spacing w:after="0"/>
            </w:pPr>
            <w:r/>
            <w:r>
              <w:rPr>
                <w:rFonts w:ascii="Calibri" w:hAnsi="Calibri"/>
                <w:b w:val="0"/>
                <w:i w:val="0"/>
                <w:color w:val="101828"/>
                <w:sz w:val="14"/>
              </w:rPr>
              <w:t>Phone and email masked by default, with a reveal action.</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005"/>
            <w:tcMar>
              <w:top w:w="60" w:type="dxa"/>
              <w:start w:w="110" w:type="dxa"/>
              <w:bottom w:w="60" w:type="dxa"/>
              <w:end w:w="110" w:type="dxa"/>
            </w:tcMar>
          </w:tcPr>
          <w:p>
            <w:pPr>
              <w:spacing w:after="0"/>
            </w:pPr>
            <w:r/>
            <w:r>
              <w:rPr>
                <w:rFonts w:ascii="Calibri" w:hAnsi="Calibri"/>
                <w:b w:val="0"/>
                <w:i w:val="0"/>
                <w:color w:val="101828"/>
                <w:sz w:val="14"/>
              </w:rPr>
              <w:t>Masked because a profile is the screen most likely to be shared, and revealed only behind a deliberate action because a member checking their own email deserves to be able to.</w:t>
            </w:r>
          </w:p>
        </w:tc>
      </w:tr>
      <w:tr>
        <w:trPr>
          <w:cantSplit/>
        </w:trPr>
        <w:tc>
          <w:tcPr>
            <w:tcW w:type="dxa" w:w="778"/>
            <w:tcMar>
              <w:top w:w="60" w:type="dxa"/>
              <w:start w:w="110" w:type="dxa"/>
              <w:bottom w:w="60" w:type="dxa"/>
              <w:end w:w="110" w:type="dxa"/>
            </w:tcMar>
            <w:shd w:val="clear" w:color="auto" w:fill="F4F7FB"/>
          </w:tcPr>
          <w:p>
            <w:pPr>
              <w:spacing w:after="0"/>
            </w:pPr>
            <w:r/>
            <w:r>
              <w:rPr>
                <w:rFonts w:ascii="Calibri" w:hAnsi="Calibri"/>
                <w:b w:val="0"/>
                <w:i w:val="0"/>
                <w:color w:val="101828"/>
                <w:sz w:val="14"/>
              </w:rPr>
              <w:t>(6) Editing</w:t>
            </w:r>
          </w:p>
        </w:tc>
        <w:tc>
          <w:tcPr>
            <w:tcW w:type="dxa" w:w="1973"/>
            <w:tcMar>
              <w:top w:w="60" w:type="dxa"/>
              <w:start w:w="110" w:type="dxa"/>
              <w:bottom w:w="60" w:type="dxa"/>
              <w:end w:w="110" w:type="dxa"/>
            </w:tcMar>
            <w:shd w:val="clear" w:color="auto" w:fill="F4F7FB"/>
          </w:tcPr>
          <w:p>
            <w:pPr>
              <w:spacing w:after="0"/>
            </w:pPr>
            <w:r/>
            <w:r>
              <w:rPr>
                <w:rFonts w:ascii="Calibri" w:hAnsi="Calibri"/>
                <w:b w:val="0"/>
                <w:i w:val="0"/>
                <w:color w:val="101828"/>
                <w:sz w:val="14"/>
              </w:rPr>
              <w:t>Name, phone and email, each with its own consequence.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005"/>
            <w:tcMar>
              <w:top w:w="60" w:type="dxa"/>
              <w:start w:w="110" w:type="dxa"/>
              <w:bottom w:w="60" w:type="dxa"/>
              <w:end w:w="110" w:type="dxa"/>
            </w:tcMar>
            <w:shd w:val="clear" w:color="auto" w:fill="F4F7FB"/>
          </w:tcPr>
          <w:p>
            <w:pPr>
              <w:spacing w:after="0"/>
            </w:pPr>
            <w:r/>
            <w:r>
              <w:rPr>
                <w:rFonts w:ascii="Calibri" w:hAnsi="Calibri"/>
                <w:b w:val="0"/>
                <w:i w:val="0"/>
                <w:color w:val="101828"/>
                <w:sz w:val="14"/>
              </w:rPr>
              <w:t>Changing a phone number re-verifies it and re-triggers the OTP. Changing an email re-verifies it. Neither touches membership, position or any settled record.</w:t>
            </w:r>
          </w:p>
        </w:tc>
      </w:tr>
      <w:tr>
        <w:trPr>
          <w:cantSplit/>
        </w:trPr>
        <w:tc>
          <w:tcPr>
            <w:tcW w:type="dxa" w:w="778"/>
            <w:tcMar>
              <w:top w:w="60" w:type="dxa"/>
              <w:start w:w="110" w:type="dxa"/>
              <w:bottom w:w="60" w:type="dxa"/>
              <w:end w:w="110" w:type="dxa"/>
            </w:tcMar>
          </w:tcPr>
          <w:p>
            <w:pPr>
              <w:spacing w:after="0"/>
            </w:pPr>
            <w:r/>
            <w:r>
              <w:rPr>
                <w:rFonts w:ascii="Calibri" w:hAnsi="Calibri"/>
                <w:b w:val="0"/>
                <w:i w:val="0"/>
                <w:color w:val="101828"/>
                <w:sz w:val="14"/>
              </w:rPr>
              <w:t>(7) No avatar requirement</w:t>
            </w:r>
          </w:p>
        </w:tc>
        <w:tc>
          <w:tcPr>
            <w:tcW w:type="dxa" w:w="1973"/>
            <w:tcMar>
              <w:top w:w="60" w:type="dxa"/>
              <w:start w:w="110" w:type="dxa"/>
              <w:bottom w:w="60" w:type="dxa"/>
              <w:end w:w="110" w:type="dxa"/>
            </w:tcMar>
          </w:tcPr>
          <w:p>
            <w:pPr>
              <w:spacing w:after="0"/>
            </w:pPr>
            <w:r/>
            <w:r>
              <w:rPr>
                <w:rFonts w:ascii="Calibri" w:hAnsi="Calibri"/>
                <w:b w:val="0"/>
                <w:i w:val="0"/>
                <w:color w:val="101828"/>
                <w:sz w:val="14"/>
              </w:rPr>
              <w:t>An avatar is optional and has no default face.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005"/>
            <w:tcMar>
              <w:top w:w="60" w:type="dxa"/>
              <w:start w:w="110" w:type="dxa"/>
              <w:bottom w:w="60" w:type="dxa"/>
              <w:end w:w="110" w:type="dxa"/>
            </w:tcMar>
          </w:tcPr>
          <w:p>
            <w:pPr>
              <w:spacing w:after="0"/>
            </w:pPr>
            <w:r/>
            <w:r>
              <w:rPr>
                <w:rFonts w:ascii="Calibri" w:hAnsi="Calibri"/>
                <w:b w:val="0"/>
                <w:i w:val="0"/>
                <w:color w:val="101828"/>
                <w:sz w:val="14"/>
              </w:rPr>
              <w:t>A default avatar is a small lie about who is in the group, so an account with no avatar shows initials or nothing at all.</w:t>
            </w:r>
          </w:p>
        </w:tc>
      </w:tr>
    </w:tbl>
    <w:p>
      <w:pPr>
        <w:spacing w:after="80"/>
      </w:pPr>
    </w:p>
    <w:p>
      <w:pPr>
        <w:pStyle w:val="Heading2"/>
      </w:pPr>
      <w:r>
        <w:rPr>
          <w:rFonts w:ascii="Calibri" w:hAnsi="Calibri"/>
          <w:b/>
          <w:i w:val="0"/>
          <w:color w:val="146EF5"/>
          <w:sz w:val="29"/>
        </w:rPr>
        <w:t>6.27 Security — SCR-MOB-21</w:t>
      </w:r>
    </w:p>
    <w:p>
      <w:r>
        <w:rPr>
          <w:rFonts w:ascii="Calibri" w:hAnsi="Calibri"/>
          <w:b w:val="0"/>
          <w:i w:val="0"/>
          <w:color w:val="101828"/>
          <w:sz w:val="21"/>
        </w:rPr>
        <w:t xml:space="preserve">Password, devices, and the two features that protect an account holding money. The design constraint is that the person reading it may be doing so </w:t>
      </w:r>
      <w:r>
        <w:rPr>
          <w:rFonts w:ascii="Calibri" w:hAnsi="Calibri"/>
          <w:i/>
          <w:color w:val="101828"/>
          <w:sz w:val="21"/>
        </w:rPr>
        <w:t>because</w:t>
      </w:r>
      <w:r>
        <w:rPr>
          <w:rFonts w:ascii="Calibri" w:hAnsi="Calibri"/>
          <w:b w:val="0"/>
          <w:i w:val="0"/>
          <w:color w:val="101828"/>
          <w:sz w:val="21"/>
        </w:rPr>
        <w:t xml:space="preserve"> something looks wrong, so the order is: what is signed in, what has happened, what to do. Two-factor is optional and the screen says so, because a mandatory step people cannot complete is worse than an absent one.</w:t>
      </w:r>
    </w:p>
    <w:p>
      <w:pPr>
        <w:spacing w:before="140" w:after="180"/>
        <w:ind w:left="144"/>
        <w:shd w:val="clear" w:color="auto" w:fill="E0F2FE"/>
        <w:pBdr>
          <w:left w:val="single" w:sz="18" w:space="6" w:color="22C7D6"/>
        </w:pBdr>
      </w:pPr>
      <w:r>
        <w:rPr>
          <w:rFonts w:ascii="Calibri" w:hAnsi="Calibri"/>
          <w:b/>
          <w:color w:val="22C7D6"/>
          <w:sz w:val="19"/>
        </w:rPr>
        <w:t xml:space="preserve">SMS two-factor, and what is not offered at launch  </w:t>
      </w:r>
      <w:r>
        <w:rPr>
          <w:rFonts w:ascii="Calibri" w:hAnsi="Calibri"/>
          <w:b w:val="0"/>
          <w:i w:val="0"/>
          <w:color w:val="0B1F3A"/>
          <w:sz w:val="19"/>
        </w:rPr>
        <w:t xml:space="preserve">Two-factor at launch is an SMS code to the already-verified phone number. TOTP with an authenticator app, hardware keys and passkeys are all better and none are offered, because each needs a recovery design that does not exist yet. The trade-off is real: SMS is the weakest of the three, and it is vulnerable to SIM swap, which is a documented and practical attack in Nigeria. The mitigations are that the factor is optional, that a new-factor enrolment sends </w:t>
      </w:r>
      <w:r>
        <w:rPr>
          <w:rFonts w:ascii="Consolas" w:hAnsi="Consolas"/>
          <w:color w:val="146EF5"/>
          <w:sz w:val="19"/>
        </w:rPr>
        <w:t>security.login_new_device</w:t>
      </w:r>
      <w:r>
        <w:rPr>
          <w:rFonts w:ascii="Calibri" w:hAnsi="Calibri"/>
          <w:b w:val="0"/>
          <w:i w:val="0"/>
          <w:color w:val="0B1F3A"/>
          <w:sz w:val="19"/>
        </w:rPr>
        <w:t xml:space="preserve"> by push and email so a swap is visible, and that the platform's own OTP flow already proves number possession at registration. </w:t>
      </w:r>
      <w:r>
        <w:rPr>
          <w:rFonts w:ascii="Calibri" w:hAnsi="Calibri"/>
          <w:b/>
          <w:color w:val="0B1F3A"/>
          <w:sz w:val="19"/>
        </w:rPr>
        <w:t>An authenticator app is planned for the first post-launch iteration, and until it exists the screen must not describe SMS 2FA as strong.</w:t>
      </w:r>
      <w:r>
        <w:rPr>
          <w:rFonts w:ascii="Calibri" w:hAnsi="Calibri"/>
          <w:b w:val="0"/>
          <w:i w:val="0"/>
          <w:color w:val="0B1F3A"/>
          <w:sz w:val="19"/>
        </w:rPr>
        <w:t xml:space="preserve"> Requires confirmation of the provider's number-ownership assurance position with ProvidusUnity.</w:t>
      </w:r>
    </w:p>
    <w:p>
      <w:pPr>
        <w:pStyle w:val="Heading3"/>
      </w:pPr>
      <w:r>
        <w:rPr>
          <w:rFonts w:ascii="Calibri" w:hAnsi="Calibri"/>
          <w:b/>
          <w:i w:val="0"/>
          <w:color w:val="0B1F3A"/>
          <w:sz w:val="24"/>
        </w:rPr>
        <w:t>6.27.1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Security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Your account                             |</w:t>
      </w:r>
    </w:p>
    <w:p>
      <w:pPr>
        <w:spacing w:before="0" w:after="0" w:line="240" w:lineRule="auto"/>
        <w:ind w:left="230"/>
        <w:shd w:val="clear" w:color="auto" w:fill="F7F9FC"/>
        <w:pBdr>
          <w:left w:val="single" w:sz="4" w:space="6" w:color="D0D5DD"/>
        </w:pBdr>
      </w:pPr>
      <w:r>
        <w:rPr>
          <w:rFonts w:ascii="Consolas" w:hAnsi="Consolas"/>
          <w:color w:val="0B1F3A"/>
          <w:sz w:val="16"/>
        </w:rPr>
        <w:t>+-- (2) PASSWORDS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Password                          |   |</w:t>
      </w:r>
    </w:p>
    <w:p>
      <w:pPr>
        <w:spacing w:before="0" w:after="0" w:line="240" w:lineRule="auto"/>
        <w:ind w:left="230"/>
        <w:shd w:val="clear" w:color="auto" w:fill="F7F9FC"/>
        <w:pBdr>
          <w:left w:val="single" w:sz="4" w:space="6" w:color="D0D5DD"/>
        </w:pBdr>
      </w:pPr>
      <w:r>
        <w:rPr>
          <w:rFonts w:ascii="Consolas" w:hAnsi="Consolas"/>
          <w:color w:val="0B1F3A"/>
          <w:sz w:val="16"/>
        </w:rPr>
        <w:t>| |  Last changed 3 months ago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Change password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You have 1 account linked to      |   |</w:t>
      </w:r>
    </w:p>
    <w:p>
      <w:pPr>
        <w:spacing w:before="0" w:after="0" w:line="240" w:lineRule="auto"/>
        <w:ind w:left="230"/>
        <w:shd w:val="clear" w:color="auto" w:fill="F7F9FC"/>
        <w:pBdr>
          <w:left w:val="single" w:sz="4" w:space="6" w:color="D0D5DD"/>
        </w:pBdr>
      </w:pPr>
      <w:r>
        <w:rPr>
          <w:rFonts w:ascii="Consolas" w:hAnsi="Consolas"/>
          <w:color w:val="0B1F3A"/>
          <w:sz w:val="16"/>
        </w:rPr>
        <w:t>| |  this number.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(3) SESSIONS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Signed in on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(o) This phone                    |   |</w:t>
      </w:r>
    </w:p>
    <w:p>
      <w:pPr>
        <w:spacing w:before="0" w:after="0" w:line="240" w:lineRule="auto"/>
        <w:ind w:left="230"/>
        <w:shd w:val="clear" w:color="auto" w:fill="F7F9FC"/>
        <w:pBdr>
          <w:left w:val="single" w:sz="4" w:space="6" w:color="D0D5DD"/>
        </w:pBdr>
      </w:pPr>
      <w:r>
        <w:rPr>
          <w:rFonts w:ascii="Consolas" w:hAnsi="Consolas"/>
          <w:color w:val="0B1F3A"/>
          <w:sz w:val="16"/>
        </w:rPr>
        <w:t>| |      Lagos, Nigeria, now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 Laptop                        |   |</w:t>
      </w:r>
    </w:p>
    <w:p>
      <w:pPr>
        <w:spacing w:before="0" w:after="0" w:line="240" w:lineRule="auto"/>
        <w:ind w:left="230"/>
        <w:shd w:val="clear" w:color="auto" w:fill="F7F9FC"/>
        <w:pBdr>
          <w:left w:val="single" w:sz="4" w:space="6" w:color="D0D5DD"/>
        </w:pBdr>
      </w:pPr>
      <w:r>
        <w:rPr>
          <w:rFonts w:ascii="Consolas" w:hAnsi="Consolas"/>
          <w:color w:val="0B1F3A"/>
          <w:sz w:val="16"/>
        </w:rPr>
        <w:t>| |      Lagos, Nigeria, 11 Sep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Sign out this device }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(4) SECURITY ALERTS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 New sign-in from a new device   |   |</w:t>
      </w:r>
    </w:p>
    <w:p>
      <w:pPr>
        <w:spacing w:before="0" w:after="0" w:line="240" w:lineRule="auto"/>
        <w:ind w:left="230"/>
        <w:shd w:val="clear" w:color="auto" w:fill="F7F9FC"/>
        <w:pBdr>
          <w:left w:val="single" w:sz="4" w:space="6" w:color="D0D5DD"/>
        </w:pBdr>
      </w:pPr>
      <w:r>
        <w:rPr>
          <w:rFonts w:ascii="Consolas" w:hAnsi="Consolas"/>
          <w:color w:val="0B1F3A"/>
          <w:sz w:val="16"/>
        </w:rPr>
        <w:t>| |    20 Aug, 21:14, Chrome, Lagos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If that was not you, change     |   |</w:t>
      </w:r>
    </w:p>
    <w:p>
      <w:pPr>
        <w:spacing w:before="0" w:after="0" w:line="240" w:lineRule="auto"/>
        <w:ind w:left="230"/>
        <w:shd w:val="clear" w:color="auto" w:fill="F7F9FC"/>
        <w:pBdr>
          <w:left w:val="single" w:sz="4" w:space="6" w:color="D0D5DD"/>
        </w:pBdr>
      </w:pPr>
      <w:r>
        <w:rPr>
          <w:rFonts w:ascii="Consolas" w:hAnsi="Consolas"/>
          <w:color w:val="0B1F3A"/>
          <w:sz w:val="16"/>
        </w:rPr>
        <w:t>| |    your password and sign out      |   |</w:t>
      </w:r>
    </w:p>
    <w:p>
      <w:pPr>
        <w:spacing w:before="0" w:after="0" w:line="240" w:lineRule="auto"/>
        <w:ind w:left="230"/>
        <w:shd w:val="clear" w:color="auto" w:fill="F7F9FC"/>
        <w:pBdr>
          <w:left w:val="single" w:sz="4" w:space="6" w:color="D0D5DD"/>
        </w:pBdr>
      </w:pPr>
      <w:r>
        <w:rPr>
          <w:rFonts w:ascii="Consolas" w:hAnsi="Consolas"/>
          <w:color w:val="0B1F3A"/>
          <w:sz w:val="16"/>
        </w:rPr>
        <w:t>| |    everywhere.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(5) TWO-FACTOR ------------------------+</w:t>
      </w:r>
    </w:p>
    <w:p>
      <w:pPr>
        <w:spacing w:before="0" w:after="0" w:line="240" w:lineRule="auto"/>
        <w:ind w:left="230"/>
        <w:shd w:val="clear" w:color="auto" w:fill="F7F9FC"/>
        <w:pBdr>
          <w:left w:val="single" w:sz="4" w:space="6" w:color="D0D5DD"/>
        </w:pBdr>
      </w:pPr>
      <w:r>
        <w:rPr>
          <w:rFonts w:ascii="Consolas" w:hAnsi="Consolas"/>
          <w:color w:val="0B1F3A"/>
          <w:sz w:val="16"/>
        </w:rPr>
        <w:t>| Two-factor is not on.                    |</w:t>
      </w:r>
    </w:p>
    <w:p>
      <w:pPr>
        <w:spacing w:before="0" w:after="0" w:line="240" w:lineRule="auto"/>
        <w:ind w:left="230"/>
        <w:shd w:val="clear" w:color="auto" w:fill="F7F9FC"/>
        <w:pBdr>
          <w:left w:val="single" w:sz="4" w:space="6" w:color="D0D5DD"/>
        </w:pBdr>
      </w:pPr>
      <w:r>
        <w:rPr>
          <w:rFonts w:ascii="Consolas" w:hAnsi="Consolas"/>
          <w:color w:val="0B1F3A"/>
          <w:sz w:val="16"/>
        </w:rPr>
        <w:t>| Turning it on needs a phone you          |</w:t>
      </w:r>
    </w:p>
    <w:p>
      <w:pPr>
        <w:spacing w:before="0" w:after="0" w:line="240" w:lineRule="auto"/>
        <w:ind w:left="230"/>
        <w:shd w:val="clear" w:color="auto" w:fill="F7F9FC"/>
        <w:pBdr>
          <w:left w:val="single" w:sz="4" w:space="6" w:color="D0D5DD"/>
        </w:pBdr>
      </w:pPr>
      <w:r>
        <w:rPr>
          <w:rFonts w:ascii="Consolas" w:hAnsi="Consolas"/>
          <w:color w:val="0B1F3A"/>
          <w:sz w:val="16"/>
        </w:rPr>
        <w:t>| can reach. We have your number.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Turn on two-factor ]*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LEFT NAV ----------------------------------------------------------+</w:t>
      </w:r>
    </w:p>
    <w:p>
      <w:pPr>
        <w:spacing w:before="0" w:after="0" w:line="240" w:lineRule="auto"/>
        <w:ind w:left="230"/>
        <w:shd w:val="clear" w:color="auto" w:fill="F7F9FC"/>
        <w:pBdr>
          <w:left w:val="single" w:sz="4" w:space="6" w:color="D0D5DD"/>
        </w:pBdr>
      </w:pPr>
      <w:r>
        <w:rPr>
          <w:rFonts w:ascii="Consolas" w:hAnsi="Consolas"/>
          <w:color w:val="0B1F3A"/>
          <w:sz w:val="16"/>
        </w:rPr>
        <w:t>| Home                                                                     |</w:t>
      </w:r>
    </w:p>
    <w:p>
      <w:pPr>
        <w:spacing w:before="0" w:after="0" w:line="240" w:lineRule="auto"/>
        <w:ind w:left="230"/>
        <w:shd w:val="clear" w:color="auto" w:fill="F7F9FC"/>
        <w:pBdr>
          <w:left w:val="single" w:sz="4" w:space="6" w:color="D0D5DD"/>
        </w:pBdr>
      </w:pPr>
      <w:r>
        <w:rPr>
          <w:rFonts w:ascii="Consolas" w:hAnsi="Consolas"/>
          <w:color w:val="0B1F3A"/>
          <w:sz w:val="16"/>
        </w:rPr>
        <w:t>| My Ajos                                                                  |</w:t>
      </w:r>
    </w:p>
    <w:p>
      <w:pPr>
        <w:spacing w:before="0" w:after="0" w:line="240" w:lineRule="auto"/>
        <w:ind w:left="230"/>
        <w:shd w:val="clear" w:color="auto" w:fill="F7F9FC"/>
        <w:pBdr>
          <w:left w:val="single" w:sz="4" w:space="6" w:color="D0D5DD"/>
        </w:pBdr>
      </w:pPr>
      <w:r>
        <w:rPr>
          <w:rFonts w:ascii="Consolas" w:hAnsi="Consolas"/>
          <w:color w:val="0B1F3A"/>
          <w:sz w:val="16"/>
        </w:rPr>
        <w:t>| Pay                                                                      |</w:t>
      </w:r>
    </w:p>
    <w:p>
      <w:pPr>
        <w:spacing w:before="0" w:after="0" w:line="240" w:lineRule="auto"/>
        <w:ind w:left="230"/>
        <w:shd w:val="clear" w:color="auto" w:fill="F7F9FC"/>
        <w:pBdr>
          <w:left w:val="single" w:sz="4" w:space="6" w:color="D0D5DD"/>
        </w:pBdr>
      </w:pPr>
      <w:r>
        <w:rPr>
          <w:rFonts w:ascii="Consolas" w:hAnsi="Consolas"/>
          <w:color w:val="0B1F3A"/>
          <w:sz w:val="16"/>
        </w:rPr>
        <w:t>| Alerts                                                                   |</w:t>
      </w:r>
    </w:p>
    <w:p>
      <w:pPr>
        <w:spacing w:before="0" w:after="0" w:line="240" w:lineRule="auto"/>
        <w:ind w:left="230"/>
        <w:shd w:val="clear" w:color="auto" w:fill="F7F9FC"/>
        <w:pBdr>
          <w:left w:val="single" w:sz="4" w:space="6" w:color="D0D5DD"/>
        </w:pBdr>
      </w:pPr>
      <w:r>
        <w:rPr>
          <w:rFonts w:ascii="Consolas" w:hAnsi="Consolas"/>
          <w:color w:val="0B1F3A"/>
          <w:sz w:val="16"/>
        </w:rPr>
        <w:t>| Support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Profile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PASSWORD ----------------------------------------------------------+</w:t>
      </w:r>
    </w:p>
    <w:p>
      <w:pPr>
        <w:spacing w:before="0" w:after="0" w:line="240" w:lineRule="auto"/>
        <w:ind w:left="230"/>
        <w:shd w:val="clear" w:color="auto" w:fill="F7F9FC"/>
        <w:pBdr>
          <w:left w:val="single" w:sz="4" w:space="6" w:color="D0D5DD"/>
        </w:pBdr>
      </w:pPr>
      <w:r>
        <w:rPr>
          <w:rFonts w:ascii="Consolas" w:hAnsi="Consolas"/>
          <w:color w:val="0B1F3A"/>
          <w:sz w:val="16"/>
        </w:rPr>
        <w:t>| Password       last changed 3 months ago      [ Change password ]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Changing it signs out every other device. Your positions, memberships    |</w:t>
      </w:r>
    </w:p>
    <w:p>
      <w:pPr>
        <w:spacing w:before="0" w:after="0" w:line="240" w:lineRule="auto"/>
        <w:ind w:left="230"/>
        <w:shd w:val="clear" w:color="auto" w:fill="F7F9FC"/>
        <w:pBdr>
          <w:left w:val="single" w:sz="4" w:space="6" w:color="D0D5DD"/>
        </w:pBdr>
      </w:pPr>
      <w:r>
        <w:rPr>
          <w:rFonts w:ascii="Consolas" w:hAnsi="Consolas"/>
          <w:color w:val="0B1F3A"/>
          <w:sz w:val="16"/>
        </w:rPr>
        <w:t>|   and                                                                    |</w:t>
      </w:r>
    </w:p>
    <w:p>
      <w:pPr>
        <w:spacing w:before="0" w:after="0" w:line="240" w:lineRule="auto"/>
        <w:ind w:left="230"/>
        <w:shd w:val="clear" w:color="auto" w:fill="F7F9FC"/>
        <w:pBdr>
          <w:left w:val="single" w:sz="4" w:space="6" w:color="D0D5DD"/>
        </w:pBdr>
      </w:pPr>
      <w:r>
        <w:rPr>
          <w:rFonts w:ascii="Consolas" w:hAnsi="Consolas"/>
          <w:color w:val="0B1F3A"/>
          <w:sz w:val="16"/>
        </w:rPr>
        <w:t>| settled records are not affected.                                        |</w:t>
      </w:r>
    </w:p>
    <w:p>
      <w:pPr>
        <w:spacing w:before="0" w:after="0" w:line="240" w:lineRule="auto"/>
        <w:ind w:left="230"/>
        <w:shd w:val="clear" w:color="auto" w:fill="F7F9FC"/>
        <w:pBdr>
          <w:left w:val="single" w:sz="4" w:space="6" w:color="D0D5DD"/>
        </w:pBdr>
      </w:pPr>
      <w:r>
        <w:rPr>
          <w:rFonts w:ascii="Consolas" w:hAnsi="Consolas"/>
          <w:color w:val="0B1F3A"/>
          <w:sz w:val="16"/>
        </w:rPr>
        <w:t>+-- (3) SESSIONS ----------------------------------------------------------+</w:t>
      </w:r>
    </w:p>
    <w:p>
      <w:pPr>
        <w:spacing w:before="0" w:after="0" w:line="240" w:lineRule="auto"/>
        <w:ind w:left="230"/>
        <w:shd w:val="clear" w:color="auto" w:fill="F7F9FC"/>
        <w:pBdr>
          <w:left w:val="single" w:sz="4" w:space="6" w:color="D0D5DD"/>
        </w:pBdr>
      </w:pPr>
      <w:r>
        <w:rPr>
          <w:rFonts w:ascii="Consolas" w:hAnsi="Consolas"/>
          <w:color w:val="0B1F3A"/>
          <w:sz w:val="16"/>
        </w:rPr>
        <w:t>| THIS DEVICE   Chrome, Linux, Lagos, active now                           |</w:t>
      </w:r>
    </w:p>
    <w:p>
      <w:pPr>
        <w:spacing w:before="0" w:after="0" w:line="240" w:lineRule="auto"/>
        <w:ind w:left="230"/>
        <w:shd w:val="clear" w:color="auto" w:fill="F7F9FC"/>
        <w:pBdr>
          <w:left w:val="single" w:sz="4" w:space="6" w:color="D0D5DD"/>
        </w:pBdr>
      </w:pPr>
      <w:r>
        <w:rPr>
          <w:rFonts w:ascii="Consolas" w:hAnsi="Consolas"/>
          <w:color w:val="0B1F3A"/>
          <w:sz w:val="16"/>
        </w:rPr>
        <w:t>|   current                                                                |</w:t>
      </w:r>
    </w:p>
    <w:p>
      <w:pPr>
        <w:spacing w:before="0" w:after="0" w:line="240" w:lineRule="auto"/>
        <w:ind w:left="230"/>
        <w:shd w:val="clear" w:color="auto" w:fill="F7F9FC"/>
        <w:pBdr>
          <w:left w:val="single" w:sz="4" w:space="6" w:color="D0D5DD"/>
        </w:pBdr>
      </w:pPr>
      <w:r>
        <w:rPr>
          <w:rFonts w:ascii="Consolas" w:hAnsi="Consolas"/>
          <w:color w:val="0B1F3A"/>
          <w:sz w:val="16"/>
        </w:rPr>
        <w:t>| Laptop        Chrome, Windows, Lagos, 11 Sep 21:14     [ Sign out ]      |</w:t>
      </w:r>
    </w:p>
    <w:p>
      <w:pPr>
        <w:spacing w:before="0" w:after="0" w:line="240" w:lineRule="auto"/>
        <w:ind w:left="230"/>
        <w:shd w:val="clear" w:color="auto" w:fill="F7F9FC"/>
        <w:pBdr>
          <w:left w:val="single" w:sz="4" w:space="6" w:color="D0D5DD"/>
        </w:pBdr>
      </w:pPr>
      <w:r>
        <w:rPr>
          <w:rFonts w:ascii="Consolas" w:hAnsi="Consolas"/>
          <w:color w:val="0B1F3A"/>
          <w:sz w:val="16"/>
        </w:rPr>
        <w:t>| Old phone     AJO.ng app, Lagos, 02 Sep 08:31            [ Sign out ]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GET /auth/sessions and DELETE /auth/sessions/:id.                        |</w:t>
      </w:r>
    </w:p>
    <w:p>
      <w:pPr>
        <w:spacing w:before="0" w:after="0" w:line="240" w:lineRule="auto"/>
        <w:ind w:left="230"/>
        <w:shd w:val="clear" w:color="auto" w:fill="F7F9FC"/>
        <w:pBdr>
          <w:left w:val="single" w:sz="4" w:space="6" w:color="D0D5DD"/>
        </w:pBdr>
      </w:pPr>
      <w:r>
        <w:rPr>
          <w:rFonts w:ascii="Consolas" w:hAnsi="Consolas"/>
          <w:color w:val="0B1F3A"/>
          <w:sz w:val="16"/>
        </w:rPr>
        <w:t>| Sign out everywhere is a single action, not a loop over sessions.        |</w:t>
      </w:r>
    </w:p>
    <w:p>
      <w:pPr>
        <w:spacing w:before="0" w:after="0" w:line="240" w:lineRule="auto"/>
        <w:ind w:left="230"/>
        <w:shd w:val="clear" w:color="auto" w:fill="F7F9FC"/>
        <w:pBdr>
          <w:left w:val="single" w:sz="4" w:space="6" w:color="D0D5DD"/>
        </w:pBdr>
      </w:pPr>
      <w:r>
        <w:rPr>
          <w:rFonts w:ascii="Consolas" w:hAnsi="Consolas"/>
          <w:color w:val="0B1F3A"/>
          <w:sz w:val="16"/>
        </w:rPr>
        <w:t>+-- (4) SECURITY ALERTS ---------------------------------------------------+</w:t>
      </w:r>
    </w:p>
    <w:p>
      <w:pPr>
        <w:spacing w:before="0" w:after="0" w:line="240" w:lineRule="auto"/>
        <w:ind w:left="230"/>
        <w:shd w:val="clear" w:color="auto" w:fill="F7F9FC"/>
        <w:pBdr>
          <w:left w:val="single" w:sz="4" w:space="6" w:color="D0D5DD"/>
        </w:pBdr>
      </w:pPr>
      <w:r>
        <w:rPr>
          <w:rFonts w:ascii="Consolas" w:hAnsi="Consolas"/>
          <w:color w:val="0B1F3A"/>
          <w:sz w:val="16"/>
        </w:rPr>
        <w:t>| 20 Aug 21:14  security.login_new_device   Chrome, Lagos                  |</w:t>
      </w:r>
    </w:p>
    <w:p>
      <w:pPr>
        <w:spacing w:before="0" w:after="0" w:line="240" w:lineRule="auto"/>
        <w:ind w:left="230"/>
        <w:shd w:val="clear" w:color="auto" w:fill="F7F9FC"/>
        <w:pBdr>
          <w:left w:val="single" w:sz="4" w:space="6" w:color="D0D5DD"/>
        </w:pBdr>
      </w:pPr>
      <w:r>
        <w:rPr>
          <w:rFonts w:ascii="Consolas" w:hAnsi="Consolas"/>
          <w:color w:val="0B1F3A"/>
          <w:sz w:val="16"/>
        </w:rPr>
        <w:t>| 12 Aug 09:41  security.login_new_device   AJO.ng app, Lagos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account.frozen also appears here, and by SMS, because it is              |</w:t>
      </w:r>
    </w:p>
    <w:p>
      <w:pPr>
        <w:spacing w:before="0" w:after="0" w:line="240" w:lineRule="auto"/>
        <w:ind w:left="230"/>
        <w:shd w:val="clear" w:color="auto" w:fill="F7F9FC"/>
        <w:pBdr>
          <w:left w:val="single" w:sz="4" w:space="6" w:color="D0D5DD"/>
        </w:pBdr>
      </w:pPr>
      <w:r>
        <w:rPr>
          <w:rFonts w:ascii="Consolas" w:hAnsi="Consolas"/>
          <w:color w:val="0B1F3A"/>
          <w:sz w:val="16"/>
        </w:rPr>
        <w:t>| money-critical and security, which is what reserves SMS.                 |</w:t>
      </w:r>
    </w:p>
    <w:p>
      <w:pPr>
        <w:spacing w:before="0" w:after="0" w:line="240" w:lineRule="auto"/>
        <w:ind w:left="230"/>
        <w:shd w:val="clear" w:color="auto" w:fill="F7F9FC"/>
        <w:pBdr>
          <w:left w:val="single" w:sz="4" w:space="6" w:color="D0D5DD"/>
        </w:pBdr>
      </w:pPr>
      <w:r>
        <w:rPr>
          <w:rFonts w:ascii="Consolas" w:hAnsi="Consolas"/>
          <w:color w:val="0B1F3A"/>
          <w:sz w:val="16"/>
        </w:rPr>
        <w:t>+-- (5) TWO-FACTOR --------------------------------------------------------+</w:t>
      </w:r>
    </w:p>
    <w:p>
      <w:pPr>
        <w:spacing w:before="0" w:after="0" w:line="240" w:lineRule="auto"/>
        <w:ind w:left="230"/>
        <w:shd w:val="clear" w:color="auto" w:fill="F7F9FC"/>
        <w:pBdr>
          <w:left w:val="single" w:sz="4" w:space="6" w:color="D0D5DD"/>
        </w:pBdr>
      </w:pPr>
      <w:r>
        <w:rPr>
          <w:rFonts w:ascii="Consolas" w:hAnsi="Consolas"/>
          <w:color w:val="0B1F3A"/>
          <w:sz w:val="16"/>
        </w:rPr>
        <w:t>| Two-factor is not on.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Turning it on requires a phone you can reach. AJO.ng has your number,    |</w:t>
      </w:r>
    </w:p>
    <w:p>
      <w:pPr>
        <w:spacing w:before="0" w:after="0" w:line="240" w:lineRule="auto"/>
        <w:ind w:left="230"/>
        <w:shd w:val="clear" w:color="auto" w:fill="F7F9FC"/>
        <w:pBdr>
          <w:left w:val="single" w:sz="4" w:space="6" w:color="D0D5DD"/>
        </w:pBdr>
      </w:pPr>
      <w:r>
        <w:rPr>
          <w:rFonts w:ascii="Consolas" w:hAnsi="Consolas"/>
          <w:color w:val="0B1F3A"/>
          <w:sz w:val="16"/>
        </w:rPr>
        <w:t>| verified. There is no authenticator app in v1.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Turn on two-factor ]*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6.27.2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734"/>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512"/>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509"/>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734"/>
            <w:tcMar>
              <w:top w:w="60" w:type="dxa"/>
              <w:start w:w="110" w:type="dxa"/>
              <w:bottom w:w="60" w:type="dxa"/>
              <w:end w:w="110" w:type="dxa"/>
            </w:tcMar>
          </w:tcPr>
          <w:p>
            <w:pPr>
              <w:spacing w:after="0"/>
            </w:pPr>
            <w:r/>
            <w:r>
              <w:rPr>
                <w:rFonts w:ascii="Calibri" w:hAnsi="Calibri"/>
                <w:b w:val="0"/>
                <w:i w:val="0"/>
                <w:color w:val="101828"/>
                <w:sz w:val="14"/>
              </w:rPr>
              <w:t>(1) Password</w:t>
            </w:r>
          </w:p>
        </w:tc>
        <w:tc>
          <w:tcPr>
            <w:tcW w:type="dxa" w:w="1512"/>
            <w:tcMar>
              <w:top w:w="60" w:type="dxa"/>
              <w:start w:w="110" w:type="dxa"/>
              <w:bottom w:w="60" w:type="dxa"/>
              <w:end w:w="110" w:type="dxa"/>
            </w:tcMar>
          </w:tcPr>
          <w:p>
            <w:pPr>
              <w:spacing w:after="0"/>
            </w:pPr>
            <w:r/>
            <w:r>
              <w:rPr>
                <w:rFonts w:ascii="Calibri" w:hAnsi="Calibri"/>
                <w:b w:val="0"/>
                <w:i w:val="0"/>
                <w:color w:val="101828"/>
                <w:sz w:val="14"/>
              </w:rPr>
              <w:t>Last changed, and the change action.</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509"/>
            <w:tcMar>
              <w:top w:w="60" w:type="dxa"/>
              <w:start w:w="110" w:type="dxa"/>
              <w:bottom w:w="60" w:type="dxa"/>
              <w:end w:w="110" w:type="dxa"/>
            </w:tcMar>
          </w:tcPr>
          <w:p>
            <w:pPr>
              <w:spacing w:after="0"/>
            </w:pPr>
            <w:r/>
            <w:r>
              <w:rPr>
                <w:rFonts w:ascii="Calibri" w:hAnsi="Calibri"/>
                <w:b w:val="0"/>
                <w:i w:val="0"/>
                <w:color w:val="101828"/>
                <w:sz w:val="14"/>
              </w:rPr>
              <w:t xml:space="preserve">Changing it signs out other devices and nothing else. Stating what is </w:t>
            </w:r>
            <w:r>
              <w:rPr>
                <w:rFonts w:ascii="Calibri" w:hAnsi="Calibri"/>
                <w:i/>
                <w:color w:val="101828"/>
                <w:sz w:val="14"/>
              </w:rPr>
              <w:t>not</w:t>
            </w:r>
            <w:r>
              <w:rPr>
                <w:rFonts w:ascii="Calibri" w:hAnsi="Calibri"/>
                <w:b w:val="0"/>
                <w:i w:val="0"/>
                <w:color w:val="101828"/>
                <w:sz w:val="14"/>
              </w:rPr>
              <w:t xml:space="preserve"> affected prevents the common fear that changing a password loses an Ajo position.</w:t>
            </w:r>
          </w:p>
        </w:tc>
      </w:tr>
      <w:tr>
        <w:trPr>
          <w:cantSplit/>
        </w:trPr>
        <w:tc>
          <w:tcPr>
            <w:tcW w:type="dxa" w:w="734"/>
            <w:tcMar>
              <w:top w:w="60" w:type="dxa"/>
              <w:start w:w="110" w:type="dxa"/>
              <w:bottom w:w="60" w:type="dxa"/>
              <w:end w:w="110" w:type="dxa"/>
            </w:tcMar>
            <w:shd w:val="clear" w:color="auto" w:fill="F4F7FB"/>
          </w:tcPr>
          <w:p>
            <w:pPr>
              <w:spacing w:after="0"/>
            </w:pPr>
            <w:r/>
            <w:r>
              <w:rPr>
                <w:rFonts w:ascii="Calibri" w:hAnsi="Calibri"/>
                <w:b w:val="0"/>
                <w:i w:val="0"/>
                <w:color w:val="101828"/>
                <w:sz w:val="14"/>
              </w:rPr>
              <w:t>(2) Device sessions</w:t>
            </w:r>
          </w:p>
        </w:tc>
        <w:tc>
          <w:tcPr>
            <w:tcW w:type="dxa" w:w="1512"/>
            <w:tcMar>
              <w:top w:w="60" w:type="dxa"/>
              <w:start w:w="110" w:type="dxa"/>
              <w:bottom w:w="60" w:type="dxa"/>
              <w:end w:w="110" w:type="dxa"/>
            </w:tcMar>
            <w:shd w:val="clear" w:color="auto" w:fill="F4F7FB"/>
          </w:tcPr>
          <w:p>
            <w:pPr>
              <w:spacing w:after="0"/>
            </w:pPr>
            <w:r/>
            <w:r>
              <w:rPr>
                <w:rFonts w:ascii="Calibri" w:hAnsi="Calibri"/>
                <w:b w:val="0"/>
                <w:i w:val="0"/>
                <w:color w:val="101828"/>
                <w:sz w:val="14"/>
              </w:rPr>
              <w:t>Every signed-in device with place, time and a sign-out action.</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509"/>
            <w:tcMar>
              <w:top w:w="60" w:type="dxa"/>
              <w:start w:w="110" w:type="dxa"/>
              <w:bottom w:w="60" w:type="dxa"/>
              <w:end w:w="110" w:type="dxa"/>
            </w:tcMar>
            <w:shd w:val="clear" w:color="auto" w:fill="F4F7FB"/>
          </w:tcPr>
          <w:p>
            <w:pPr>
              <w:spacing w:after="0"/>
            </w:pPr>
            <w:r/>
            <w:r>
              <w:rPr>
                <w:rFonts w:ascii="Consolas" w:hAnsi="Consolas"/>
                <w:color w:val="146EF5"/>
                <w:sz w:val="14"/>
              </w:rPr>
              <w:t>GET /auth/sessions</w:t>
            </w:r>
            <w:r>
              <w:rPr>
                <w:rFonts w:ascii="Calibri" w:hAnsi="Calibri"/>
                <w:b w:val="0"/>
                <w:i w:val="0"/>
                <w:color w:val="101828"/>
                <w:sz w:val="14"/>
              </w:rPr>
              <w:t xml:space="preserve"> and </w:t>
            </w:r>
            <w:r>
              <w:rPr>
                <w:rFonts w:ascii="Consolas" w:hAnsi="Consolas"/>
                <w:color w:val="146EF5"/>
                <w:sz w:val="14"/>
              </w:rPr>
              <w:t>DELETE /auth/sessions/:id</w:t>
            </w:r>
            <w:r>
              <w:rPr>
                <w:rFonts w:ascii="Calibri" w:hAnsi="Calibri"/>
                <w:b w:val="0"/>
                <w:i w:val="0"/>
                <w:color w:val="101828"/>
                <w:sz w:val="14"/>
              </w:rPr>
              <w:t>. The current device is marked and cannot be signed out from this list, because signing out the device you are reading on is a confusing way to lose the page.</w:t>
            </w:r>
          </w:p>
        </w:tc>
      </w:tr>
      <w:tr>
        <w:trPr>
          <w:cantSplit/>
        </w:trPr>
        <w:tc>
          <w:tcPr>
            <w:tcW w:type="dxa" w:w="734"/>
            <w:tcMar>
              <w:top w:w="60" w:type="dxa"/>
              <w:start w:w="110" w:type="dxa"/>
              <w:bottom w:w="60" w:type="dxa"/>
              <w:end w:w="110" w:type="dxa"/>
            </w:tcMar>
          </w:tcPr>
          <w:p>
            <w:pPr>
              <w:spacing w:after="0"/>
            </w:pPr>
            <w:r/>
            <w:r>
              <w:rPr>
                <w:rFonts w:ascii="Calibri" w:hAnsi="Calibri"/>
                <w:b w:val="0"/>
                <w:i w:val="0"/>
                <w:color w:val="101828"/>
                <w:sz w:val="14"/>
              </w:rPr>
              <w:t>(3) Sign out everywhere</w:t>
            </w:r>
          </w:p>
        </w:tc>
        <w:tc>
          <w:tcPr>
            <w:tcW w:type="dxa" w:w="1512"/>
            <w:tcMar>
              <w:top w:w="60" w:type="dxa"/>
              <w:start w:w="110" w:type="dxa"/>
              <w:bottom w:w="60" w:type="dxa"/>
              <w:end w:w="110" w:type="dxa"/>
            </w:tcMar>
          </w:tcPr>
          <w:p>
            <w:pPr>
              <w:spacing w:after="0"/>
            </w:pPr>
            <w:r/>
            <w:r>
              <w:rPr>
                <w:rFonts w:ascii="Calibri" w:hAnsi="Calibri"/>
                <w:b w:val="0"/>
                <w:i w:val="0"/>
                <w:color w:val="101828"/>
                <w:sz w:val="14"/>
              </w:rPr>
              <w:t>One action for all other sessions.</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509"/>
            <w:tcMar>
              <w:top w:w="60" w:type="dxa"/>
              <w:start w:w="110" w:type="dxa"/>
              <w:bottom w:w="60" w:type="dxa"/>
              <w:end w:w="110" w:type="dxa"/>
            </w:tcMar>
          </w:tcPr>
          <w:p>
            <w:pPr>
              <w:spacing w:after="0"/>
            </w:pPr>
            <w:r/>
            <w:r>
              <w:rPr>
                <w:rFonts w:ascii="Calibri" w:hAnsi="Calibri"/>
                <w:b w:val="0"/>
                <w:i w:val="0"/>
                <w:color w:val="101828"/>
                <w:sz w:val="14"/>
              </w:rPr>
              <w:t>A single action rather than a loop, because the situation where it is used is a person who no longer trusts the account and should not have to select eleven rows.</w:t>
            </w:r>
          </w:p>
        </w:tc>
      </w:tr>
      <w:tr>
        <w:trPr>
          <w:cantSplit/>
        </w:trPr>
        <w:tc>
          <w:tcPr>
            <w:tcW w:type="dxa" w:w="734"/>
            <w:tcMar>
              <w:top w:w="60" w:type="dxa"/>
              <w:start w:w="110" w:type="dxa"/>
              <w:bottom w:w="60" w:type="dxa"/>
              <w:end w:w="110" w:type="dxa"/>
            </w:tcMar>
            <w:shd w:val="clear" w:color="auto" w:fill="F4F7FB"/>
          </w:tcPr>
          <w:p>
            <w:pPr>
              <w:spacing w:after="0"/>
            </w:pPr>
            <w:r/>
            <w:r>
              <w:rPr>
                <w:rFonts w:ascii="Calibri" w:hAnsi="Calibri"/>
                <w:b w:val="0"/>
                <w:i w:val="0"/>
                <w:color w:val="101828"/>
                <w:sz w:val="14"/>
              </w:rPr>
              <w:t>(4) Security alerts</w:t>
            </w:r>
          </w:p>
        </w:tc>
        <w:tc>
          <w:tcPr>
            <w:tcW w:type="dxa" w:w="1512"/>
            <w:tcMar>
              <w:top w:w="60" w:type="dxa"/>
              <w:start w:w="110" w:type="dxa"/>
              <w:bottom w:w="60" w:type="dxa"/>
              <w:end w:w="110" w:type="dxa"/>
            </w:tcMar>
            <w:shd w:val="clear" w:color="auto" w:fill="F4F7FB"/>
          </w:tcPr>
          <w:p>
            <w:pPr>
              <w:spacing w:after="0"/>
            </w:pPr>
            <w:r/>
            <w:r>
              <w:rPr>
                <w:rFonts w:ascii="Calibri" w:hAnsi="Calibri"/>
                <w:b w:val="0"/>
                <w:i w:val="0"/>
                <w:color w:val="101828"/>
                <w:sz w:val="14"/>
              </w:rPr>
              <w:t>New-device and freeze events, with the response attached.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509"/>
            <w:tcMar>
              <w:top w:w="60" w:type="dxa"/>
              <w:start w:w="110" w:type="dxa"/>
              <w:bottom w:w="60" w:type="dxa"/>
              <w:end w:w="110" w:type="dxa"/>
            </w:tcMar>
            <w:shd w:val="clear" w:color="auto" w:fill="F4F7FB"/>
          </w:tcPr>
          <w:p>
            <w:pPr>
              <w:spacing w:after="0"/>
            </w:pPr>
            <w:r/>
            <w:r>
              <w:rPr>
                <w:rFonts w:ascii="Calibri" w:hAnsi="Calibri"/>
                <w:b/>
                <w:color w:val="101828"/>
                <w:sz w:val="14"/>
              </w:rPr>
              <w:t>The response is in the alert, not in a help page.</w:t>
            </w:r>
            <w:r>
              <w:rPr>
                <w:rFonts w:ascii="Calibri" w:hAnsi="Calibri"/>
                <w:b w:val="0"/>
                <w:i w:val="0"/>
                <w:color w:val="101828"/>
                <w:sz w:val="14"/>
              </w:rPr>
              <w:t xml:space="preserve"> </w:t>
            </w:r>
            <w:r>
              <w:rPr>
                <w:rFonts w:ascii="Calibri" w:hAnsi="Calibri"/>
                <w:i/>
                <w:color w:val="101828"/>
                <w:sz w:val="14"/>
              </w:rPr>
              <w:t>If that was not you, change your password and sign out everywhere</w:t>
            </w:r>
            <w:r>
              <w:rPr>
                <w:rFonts w:ascii="Calibri" w:hAnsi="Calibri"/>
                <w:b w:val="0"/>
                <w:i w:val="0"/>
                <w:color w:val="101828"/>
                <w:sz w:val="14"/>
              </w:rPr>
              <w:t xml:space="preserve"> is the whole instruction, and it is on the same screen as the event that triggers it.</w:t>
            </w:r>
          </w:p>
        </w:tc>
      </w:tr>
      <w:tr>
        <w:trPr>
          <w:cantSplit/>
        </w:trPr>
        <w:tc>
          <w:tcPr>
            <w:tcW w:type="dxa" w:w="734"/>
            <w:tcMar>
              <w:top w:w="60" w:type="dxa"/>
              <w:start w:w="110" w:type="dxa"/>
              <w:bottom w:w="60" w:type="dxa"/>
              <w:end w:w="110" w:type="dxa"/>
            </w:tcMar>
          </w:tcPr>
          <w:p>
            <w:pPr>
              <w:spacing w:after="0"/>
            </w:pPr>
            <w:r/>
            <w:r>
              <w:rPr>
                <w:rFonts w:ascii="Calibri" w:hAnsi="Calibri"/>
                <w:b w:val="0"/>
                <w:i w:val="0"/>
                <w:color w:val="101828"/>
                <w:sz w:val="14"/>
              </w:rPr>
              <w:t>(5) Two-factor</w:t>
            </w:r>
          </w:p>
        </w:tc>
        <w:tc>
          <w:tcPr>
            <w:tcW w:type="dxa" w:w="1512"/>
            <w:tcMar>
              <w:top w:w="60" w:type="dxa"/>
              <w:start w:w="110" w:type="dxa"/>
              <w:bottom w:w="60" w:type="dxa"/>
              <w:end w:w="110" w:type="dxa"/>
            </w:tcMar>
          </w:tcPr>
          <w:p>
            <w:pPr>
              <w:spacing w:after="0"/>
            </w:pPr>
            <w:r/>
            <w:r>
              <w:rPr>
                <w:rFonts w:ascii="Calibri" w:hAnsi="Calibri"/>
                <w:b w:val="0"/>
                <w:i w:val="0"/>
                <w:color w:val="101828"/>
                <w:sz w:val="14"/>
              </w:rPr>
              <w:t>Optional SMS-based second factor.</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509"/>
            <w:tcMar>
              <w:top w:w="60" w:type="dxa"/>
              <w:start w:w="110" w:type="dxa"/>
              <w:bottom w:w="60" w:type="dxa"/>
              <w:end w:w="110" w:type="dxa"/>
            </w:tcMar>
          </w:tcPr>
          <w:p>
            <w:pPr>
              <w:spacing w:after="0"/>
            </w:pPr>
            <w:r/>
            <w:r>
              <w:rPr>
                <w:rFonts w:ascii="Calibri" w:hAnsi="Calibri"/>
                <w:b w:val="0"/>
                <w:i w:val="0"/>
                <w:color w:val="101828"/>
                <w:sz w:val="14"/>
              </w:rPr>
              <w:t xml:space="preserve">Off by default. CANONICAL.md reserves SMS for money-critical and security events, and a 2FA code is a security event, so this use is inside the policy. </w:t>
            </w:r>
            <w:r>
              <w:rPr>
                <w:rFonts w:ascii="Calibri" w:hAnsi="Calibri"/>
                <w:b/>
                <w:color w:val="101828"/>
                <w:sz w:val="14"/>
              </w:rPr>
              <w:t>There is no authenticator app in v1</w:t>
            </w:r>
            <w:r>
              <w:rPr>
                <w:rFonts w:ascii="Calibri" w:hAnsi="Calibri"/>
                <w:b w:val="0"/>
                <w:i w:val="0"/>
                <w:color w:val="101828"/>
                <w:sz w:val="14"/>
              </w:rPr>
              <w:t>, and the screen says so rather than pretending otherwise.</w:t>
            </w:r>
          </w:p>
        </w:tc>
      </w:tr>
      <w:tr>
        <w:trPr>
          <w:cantSplit/>
        </w:trPr>
        <w:tc>
          <w:tcPr>
            <w:tcW w:type="dxa" w:w="734"/>
            <w:tcMar>
              <w:top w:w="60" w:type="dxa"/>
              <w:start w:w="110" w:type="dxa"/>
              <w:bottom w:w="60" w:type="dxa"/>
              <w:end w:w="110" w:type="dxa"/>
            </w:tcMar>
            <w:shd w:val="clear" w:color="auto" w:fill="F4F7FB"/>
          </w:tcPr>
          <w:p>
            <w:pPr>
              <w:spacing w:after="0"/>
            </w:pPr>
            <w:r/>
            <w:r>
              <w:rPr>
                <w:rFonts w:ascii="Calibri" w:hAnsi="Calibri"/>
                <w:b w:val="0"/>
                <w:i w:val="0"/>
                <w:color w:val="101828"/>
                <w:sz w:val="14"/>
              </w:rPr>
              <w:t>(6) No security questions</w:t>
            </w:r>
          </w:p>
        </w:tc>
        <w:tc>
          <w:tcPr>
            <w:tcW w:type="dxa" w:w="1512"/>
            <w:tcMar>
              <w:top w:w="60" w:type="dxa"/>
              <w:start w:w="110" w:type="dxa"/>
              <w:bottom w:w="60" w:type="dxa"/>
              <w:end w:w="110" w:type="dxa"/>
            </w:tcMar>
            <w:shd w:val="clear" w:color="auto" w:fill="F4F7FB"/>
          </w:tcPr>
          <w:p>
            <w:pPr>
              <w:spacing w:after="0"/>
            </w:pPr>
            <w:r/>
            <w:r>
              <w:rPr>
                <w:rFonts w:ascii="Calibri" w:hAnsi="Calibri"/>
                <w:b w:val="0"/>
                <w:i w:val="0"/>
                <w:color w:val="101828"/>
                <w:sz w:val="14"/>
              </w:rPr>
              <w:t>None exist and none are offered.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509"/>
            <w:tcMar>
              <w:top w:w="60" w:type="dxa"/>
              <w:start w:w="110" w:type="dxa"/>
              <w:bottom w:w="60" w:type="dxa"/>
              <w:end w:w="110" w:type="dxa"/>
            </w:tcMar>
            <w:shd w:val="clear" w:color="auto" w:fill="F4F7FB"/>
          </w:tcPr>
          <w:p>
            <w:pPr>
              <w:spacing w:after="0"/>
            </w:pPr>
            <w:r/>
            <w:r>
              <w:rPr>
                <w:rFonts w:ascii="Calibri" w:hAnsi="Calibri"/>
                <w:b/>
                <w:color w:val="101828"/>
                <w:sz w:val="14"/>
              </w:rPr>
              <w:t>Prohibited.</w:t>
            </w:r>
            <w:r>
              <w:rPr>
                <w:rFonts w:ascii="Calibri" w:hAnsi="Calibri"/>
                <w:b w:val="0"/>
                <w:i w:val="0"/>
                <w:color w:val="101828"/>
                <w:sz w:val="14"/>
              </w:rPr>
              <w:t xml:space="preserve"> Security questions are weak, they are the most commonly leaked credential store in any breach, and a savings product should not create one.</w:t>
            </w:r>
          </w:p>
        </w:tc>
      </w:tr>
      <w:tr>
        <w:trPr>
          <w:cantSplit/>
        </w:trPr>
        <w:tc>
          <w:tcPr>
            <w:tcW w:type="dxa" w:w="734"/>
            <w:tcMar>
              <w:top w:w="60" w:type="dxa"/>
              <w:start w:w="110" w:type="dxa"/>
              <w:bottom w:w="60" w:type="dxa"/>
              <w:end w:w="110" w:type="dxa"/>
            </w:tcMar>
          </w:tcPr>
          <w:p>
            <w:pPr>
              <w:spacing w:after="0"/>
            </w:pPr>
            <w:r/>
            <w:r>
              <w:rPr>
                <w:rFonts w:ascii="Calibri" w:hAnsi="Calibri"/>
                <w:b w:val="0"/>
                <w:i w:val="0"/>
                <w:color w:val="101828"/>
                <w:sz w:val="14"/>
              </w:rPr>
              <w:t>(7) Account freeze is not here</w:t>
            </w:r>
          </w:p>
        </w:tc>
        <w:tc>
          <w:tcPr>
            <w:tcW w:type="dxa" w:w="1512"/>
            <w:tcMar>
              <w:top w:w="60" w:type="dxa"/>
              <w:start w:w="110" w:type="dxa"/>
              <w:bottom w:w="60" w:type="dxa"/>
              <w:end w:w="110" w:type="dxa"/>
            </w:tcMar>
          </w:tcPr>
          <w:p>
            <w:pPr>
              <w:spacing w:after="0"/>
            </w:pPr>
            <w:r/>
            <w:r>
              <w:rPr>
                <w:rFonts w:ascii="Calibri" w:hAnsi="Calibri"/>
                <w:b w:val="0"/>
                <w:i w:val="0"/>
                <w:color w:val="101828"/>
                <w:sz w:val="14"/>
              </w:rPr>
              <w:t>Freeze is a platform action, not a self-service one.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509"/>
            <w:tcMar>
              <w:top w:w="60" w:type="dxa"/>
              <w:start w:w="110" w:type="dxa"/>
              <w:bottom w:w="60" w:type="dxa"/>
              <w:end w:w="110" w:type="dxa"/>
            </w:tcMar>
          </w:tcPr>
          <w:p>
            <w:pPr>
              <w:spacing w:after="0"/>
            </w:pPr>
            <w:r/>
            <w:r>
              <w:rPr>
                <w:rFonts w:ascii="Calibri" w:hAnsi="Calibri"/>
                <w:b w:val="0"/>
                <w:i w:val="0"/>
                <w:color w:val="101828"/>
                <w:sz w:val="14"/>
              </w:rPr>
              <w:t>A person who believes their account is compromised needs to sign out and change a password. A member who wants to stop a payment is a different problem, and it is solved by contacting support, not by a self-service switch that would let anyone lock themselves out of their own records.</w:t>
            </w:r>
          </w:p>
        </w:tc>
      </w:tr>
    </w:tbl>
    <w:p>
      <w:pPr>
        <w:spacing w:after="80"/>
      </w:pPr>
    </w:p>
    <w:p>
      <w:pPr>
        <w:pStyle w:val="Heading2"/>
      </w:pPr>
      <w:r>
        <w:rPr>
          <w:rFonts w:ascii="Calibri" w:hAnsi="Calibri"/>
          <w:b/>
          <w:i w:val="0"/>
          <w:color w:val="146EF5"/>
          <w:sz w:val="29"/>
        </w:rPr>
        <w:t>6.28 Identity Verification — SCR-MOB-22</w:t>
      </w:r>
    </w:p>
    <w:p>
      <w:r>
        <w:rPr>
          <w:rFonts w:ascii="Calibri" w:hAnsi="Calibri"/>
          <w:b w:val="0"/>
          <w:i w:val="0"/>
          <w:color w:val="101828"/>
          <w:sz w:val="21"/>
        </w:rPr>
        <w:t>The optional check that gates sending money out, presented as a three-step process with a stated reason. The order is deliberate: the reason comes first, because a person who does not know why a savings app wants their date of birth will assume the worst and abandon. The screen is also explicit about the one thing that is not decided — whether receiving requires verification — because an unstated asymmetry invites every member with a payout to ask why they are being asked for less than the person next to them.</w:t>
      </w:r>
    </w:p>
    <w:p>
      <w:pPr>
        <w:spacing w:before="140" w:after="180"/>
        <w:ind w:left="144"/>
        <w:shd w:val="clear" w:color="auto" w:fill="FEE2E2"/>
        <w:pBdr>
          <w:left w:val="single" w:sz="18" w:space="6" w:color="DC2626"/>
        </w:pBdr>
      </w:pPr>
      <w:r>
        <w:rPr>
          <w:rFonts w:ascii="Calibri" w:hAnsi="Calibri"/>
          <w:b/>
          <w:color w:val="DC2626"/>
          <w:sz w:val="19"/>
        </w:rPr>
        <w:t xml:space="preserve">Identity verification: what this section does and does not decide  </w:t>
      </w:r>
      <w:r>
        <w:rPr>
          <w:rFonts w:ascii="Calibri" w:hAnsi="Calibri"/>
          <w:b w:val="0"/>
          <w:i w:val="0"/>
          <w:color w:val="0B1F3A"/>
          <w:sz w:val="19"/>
        </w:rPr>
        <w:t xml:space="preserve">CANONICAL.md open decision D-04 asks whether BVN and CAC verification is mandatory for all members or only above a threshold, and D-02 asks who holds the funds, which determines the licensing path. Both are unresolved. This section therefore specifies the </w:t>
      </w:r>
      <w:r>
        <w:rPr>
          <w:rFonts w:ascii="Calibri" w:hAnsi="Calibri"/>
          <w:b/>
          <w:color w:val="0B1F3A"/>
          <w:sz w:val="19"/>
        </w:rPr>
        <w:t>process</w:t>
      </w:r>
      <w:r>
        <w:rPr>
          <w:rFonts w:ascii="Calibri" w:hAnsi="Calibri"/>
          <w:b w:val="0"/>
          <w:i w:val="0"/>
          <w:color w:val="0B1F3A"/>
          <w:sz w:val="19"/>
        </w:rPr>
        <w:t xml:space="preserve"> and the </w:t>
      </w:r>
      <w:r>
        <w:rPr>
          <w:rFonts w:ascii="Calibri" w:hAnsi="Calibri"/>
          <w:b/>
          <w:color w:val="0B1F3A"/>
          <w:sz w:val="19"/>
        </w:rPr>
        <w:t>data minimisation</w:t>
      </w:r>
      <w:r>
        <w:rPr>
          <w:rFonts w:ascii="Calibri" w:hAnsi="Calibri"/>
          <w:b w:val="0"/>
          <w:i w:val="0"/>
          <w:color w:val="0B1F3A"/>
          <w:sz w:val="19"/>
        </w:rPr>
        <w:t xml:space="preserve">, and it does not assert that identity verification is a legal requirement, that the provider performs any particular check, that any document is sufficient, or that the platform is authorised to collect and process biometric or national identification data in Nigeria. </w:t>
      </w:r>
      <w:r>
        <w:rPr>
          <w:rFonts w:ascii="Calibri" w:hAnsi="Calibri"/>
          <w:b/>
          <w:color w:val="0B1F3A"/>
          <w:sz w:val="19"/>
        </w:rPr>
        <w:t>Requires review by qualified Nigerian legal counsel</w:t>
      </w:r>
      <w:r>
        <w:rPr>
          <w:rFonts w:ascii="Calibri" w:hAnsi="Calibri"/>
          <w:b w:val="0"/>
          <w:i w:val="0"/>
          <w:color w:val="0B1F3A"/>
          <w:sz w:val="19"/>
        </w:rPr>
        <w:t>, together with written confirmation from ProvidusUnity of exactly which fields are matched, where the matched result is stored, its retention period, and whether AJO.ng receives a raw NIN or only a verdict. Until that is confirmed, the copy above describes intent and must not ship as a factual claim about data handling.</w:t>
      </w:r>
    </w:p>
    <w:p>
      <w:pPr>
        <w:pStyle w:val="Heading3"/>
      </w:pPr>
      <w:r>
        <w:rPr>
          <w:rFonts w:ascii="Calibri" w:hAnsi="Calibri"/>
          <w:b/>
          <w:i w:val="0"/>
          <w:color w:val="0B1F3A"/>
          <w:sz w:val="24"/>
        </w:rPr>
        <w:t>6.28.1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&lt; Profile        Identity check          |</w:t>
      </w:r>
    </w:p>
    <w:p>
      <w:pPr>
        <w:spacing w:before="0" w:after="0" w:line="240" w:lineRule="auto"/>
        <w:ind w:left="230"/>
        <w:shd w:val="clear" w:color="auto" w:fill="F7F9FC"/>
        <w:pBdr>
          <w:left w:val="single" w:sz="4" w:space="6" w:color="D0D5DD"/>
        </w:pBdr>
      </w:pPr>
      <w:r>
        <w:rPr>
          <w:rFonts w:ascii="Consolas" w:hAnsi="Consolas"/>
          <w:color w:val="0B1F3A"/>
          <w:sz w:val="16"/>
        </w:rPr>
        <w:t>+-- (2) WHY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Why we ask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AJO.ng holds real money           |   |</w:t>
      </w:r>
    </w:p>
    <w:p>
      <w:pPr>
        <w:spacing w:before="0" w:after="0" w:line="240" w:lineRule="auto"/>
        <w:ind w:left="230"/>
        <w:shd w:val="clear" w:color="auto" w:fill="F7F9FC"/>
        <w:pBdr>
          <w:left w:val="single" w:sz="4" w:space="6" w:color="D0D5DD"/>
        </w:pBdr>
      </w:pPr>
      <w:r>
        <w:rPr>
          <w:rFonts w:ascii="Consolas" w:hAnsi="Consolas"/>
          <w:color w:val="0B1F3A"/>
          <w:sz w:val="16"/>
        </w:rPr>
        <w:t>| |  between collections. Before       |   |</w:t>
      </w:r>
    </w:p>
    <w:p>
      <w:pPr>
        <w:spacing w:before="0" w:after="0" w:line="240" w:lineRule="auto"/>
        <w:ind w:left="230"/>
        <w:shd w:val="clear" w:color="auto" w:fill="F7F9FC"/>
        <w:pBdr>
          <w:left w:val="single" w:sz="4" w:space="6" w:color="D0D5DD"/>
        </w:pBdr>
      </w:pPr>
      <w:r>
        <w:rPr>
          <w:rFonts w:ascii="Consolas" w:hAnsi="Consolas"/>
          <w:color w:val="0B1F3A"/>
          <w:sz w:val="16"/>
        </w:rPr>
        <w:t>| |  you take money out, we need       |   |</w:t>
      </w:r>
    </w:p>
    <w:p>
      <w:pPr>
        <w:spacing w:before="0" w:after="0" w:line="240" w:lineRule="auto"/>
        <w:ind w:left="230"/>
        <w:shd w:val="clear" w:color="auto" w:fill="F7F9FC"/>
        <w:pBdr>
          <w:left w:val="single" w:sz="4" w:space="6" w:color="D0D5DD"/>
        </w:pBdr>
      </w:pPr>
      <w:r>
        <w:rPr>
          <w:rFonts w:ascii="Consolas" w:hAnsi="Consolas"/>
          <w:color w:val="0B1F3A"/>
          <w:sz w:val="16"/>
        </w:rPr>
        <w:t>| |  to know who you are.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We ask everyone who sends         |   |</w:t>
      </w:r>
    </w:p>
    <w:p>
      <w:pPr>
        <w:spacing w:before="0" w:after="0" w:line="240" w:lineRule="auto"/>
        <w:ind w:left="230"/>
        <w:shd w:val="clear" w:color="auto" w:fill="F7F9FC"/>
        <w:pBdr>
          <w:left w:val="single" w:sz="4" w:space="6" w:color="D0D5DD"/>
        </w:pBdr>
      </w:pPr>
      <w:r>
        <w:rPr>
          <w:rFonts w:ascii="Consolas" w:hAnsi="Consolas"/>
          <w:color w:val="0B1F3A"/>
          <w:sz w:val="16"/>
        </w:rPr>
        <w:t>| |  out money. Whether you must       |   |</w:t>
      </w:r>
    </w:p>
    <w:p>
      <w:pPr>
        <w:spacing w:before="0" w:after="0" w:line="240" w:lineRule="auto"/>
        <w:ind w:left="230"/>
        <w:shd w:val="clear" w:color="auto" w:fill="F7F9FC"/>
        <w:pBdr>
          <w:left w:val="single" w:sz="4" w:space="6" w:color="D0D5DD"/>
        </w:pBdr>
      </w:pPr>
      <w:r>
        <w:rPr>
          <w:rFonts w:ascii="Consolas" w:hAnsi="Consolas"/>
          <w:color w:val="0B1F3A"/>
          <w:sz w:val="16"/>
        </w:rPr>
        <w:t>| |  do it to receive is still         |   |</w:t>
      </w:r>
    </w:p>
    <w:p>
      <w:pPr>
        <w:spacing w:before="0" w:after="0" w:line="240" w:lineRule="auto"/>
        <w:ind w:left="230"/>
        <w:shd w:val="clear" w:color="auto" w:fill="F7F9FC"/>
        <w:pBdr>
          <w:left w:val="single" w:sz="4" w:space="6" w:color="D0D5DD"/>
        </w:pBdr>
      </w:pPr>
      <w:r>
        <w:rPr>
          <w:rFonts w:ascii="Consolas" w:hAnsi="Consolas"/>
          <w:color w:val="0B1F3A"/>
          <w:sz w:val="16"/>
        </w:rPr>
        <w:t>| |  being decided.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(3) STEP 1 ----------------------------+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1  Your details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Full name      Segun A.        |   |</w:t>
      </w:r>
    </w:p>
    <w:p>
      <w:pPr>
        <w:spacing w:before="0" w:after="0" w:line="240" w:lineRule="auto"/>
        <w:ind w:left="230"/>
        <w:shd w:val="clear" w:color="auto" w:fill="F7F9FC"/>
        <w:pBdr>
          <w:left w:val="single" w:sz="4" w:space="6" w:color="D0D5DD"/>
        </w:pBdr>
      </w:pPr>
      <w:r>
        <w:rPr>
          <w:rFonts w:ascii="Consolas" w:hAnsi="Consolas"/>
          <w:color w:val="0B1F3A"/>
          <w:sz w:val="16"/>
        </w:rPr>
        <w:t>| |     Date of birth  1991            |   |</w:t>
      </w:r>
    </w:p>
    <w:p>
      <w:pPr>
        <w:spacing w:before="0" w:after="0" w:line="240" w:lineRule="auto"/>
        <w:ind w:left="230"/>
        <w:shd w:val="clear" w:color="auto" w:fill="F7F9FC"/>
        <w:pBdr>
          <w:left w:val="single" w:sz="4" w:space="6" w:color="D0D5DD"/>
        </w:pBdr>
      </w:pPr>
      <w:r>
        <w:rPr>
          <w:rFonts w:ascii="Consolas" w:hAnsi="Consolas"/>
          <w:color w:val="0B1F3A"/>
          <w:sz w:val="16"/>
        </w:rPr>
        <w:t>| |     Address        set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Continue }*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(4) STEP 2 ----------------------------+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2  Your identity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Take a photo   ]             |   |</w:t>
      </w:r>
    </w:p>
    <w:p>
      <w:pPr>
        <w:spacing w:before="0" w:after="0" w:line="240" w:lineRule="auto"/>
        <w:ind w:left="230"/>
        <w:shd w:val="clear" w:color="auto" w:fill="F7F9FC"/>
        <w:pBdr>
          <w:left w:val="single" w:sz="4" w:space="6" w:color="D0D5DD"/>
        </w:pBdr>
      </w:pPr>
      <w:r>
        <w:rPr>
          <w:rFonts w:ascii="Consolas" w:hAnsi="Consolas"/>
          <w:color w:val="0B1F3A"/>
          <w:sz w:val="16"/>
        </w:rPr>
        <w:t>| |     [ Upload instead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A photo of you holding         |   |</w:t>
      </w:r>
    </w:p>
    <w:p>
      <w:pPr>
        <w:spacing w:before="0" w:after="0" w:line="240" w:lineRule="auto"/>
        <w:ind w:left="230"/>
        <w:shd w:val="clear" w:color="auto" w:fill="F7F9FC"/>
        <w:pBdr>
          <w:left w:val="single" w:sz="4" w:space="6" w:color="D0D5DD"/>
        </w:pBdr>
      </w:pPr>
      <w:r>
        <w:rPr>
          <w:rFonts w:ascii="Consolas" w:hAnsi="Consolas"/>
          <w:color w:val="0B1F3A"/>
          <w:sz w:val="16"/>
        </w:rPr>
        <w:t>| |     your NIN slip, or your         |   |</w:t>
      </w:r>
    </w:p>
    <w:p>
      <w:pPr>
        <w:spacing w:before="0" w:after="0" w:line="240" w:lineRule="auto"/>
        <w:ind w:left="230"/>
        <w:shd w:val="clear" w:color="auto" w:fill="F7F9FC"/>
        <w:pBdr>
          <w:left w:val="single" w:sz="4" w:space="6" w:color="D0D5DD"/>
        </w:pBdr>
      </w:pPr>
      <w:r>
        <w:rPr>
          <w:rFonts w:ascii="Consolas" w:hAnsi="Consolas"/>
          <w:color w:val="0B1F3A"/>
          <w:sz w:val="16"/>
        </w:rPr>
        <w:t>| |     NIN slip alone.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(5) STEP 3 ----------------------------+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3  Your BVN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[ 2 0 0 0 0 0 0 0 0 0 ]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BVN is matched against         |   |</w:t>
      </w:r>
    </w:p>
    <w:p>
      <w:pPr>
        <w:spacing w:before="0" w:after="0" w:line="240" w:lineRule="auto"/>
        <w:ind w:left="230"/>
        <w:shd w:val="clear" w:color="auto" w:fill="F7F9FC"/>
        <w:pBdr>
          <w:left w:val="single" w:sz="4" w:space="6" w:color="D0D5DD"/>
        </w:pBdr>
      </w:pPr>
      <w:r>
        <w:rPr>
          <w:rFonts w:ascii="Consolas" w:hAnsi="Consolas"/>
          <w:color w:val="0B1F3A"/>
          <w:sz w:val="16"/>
        </w:rPr>
        <w:t>| |     your NIN by the provider.      |   |</w:t>
      </w:r>
    </w:p>
    <w:p>
      <w:pPr>
        <w:spacing w:before="0" w:after="0" w:line="240" w:lineRule="auto"/>
        <w:ind w:left="230"/>
        <w:shd w:val="clear" w:color="auto" w:fill="F7F9FC"/>
        <w:pBdr>
          <w:left w:val="single" w:sz="4" w:space="6" w:color="D0D5DD"/>
        </w:pBdr>
      </w:pPr>
      <w:r>
        <w:rPr>
          <w:rFonts w:ascii="Consolas" w:hAnsi="Consolas"/>
          <w:color w:val="0B1F3A"/>
          <w:sz w:val="16"/>
        </w:rPr>
        <w:t>| |     AJO.ng does not store          |   |</w:t>
      </w:r>
    </w:p>
    <w:p>
      <w:pPr>
        <w:spacing w:before="0" w:after="0" w:line="240" w:lineRule="auto"/>
        <w:ind w:left="230"/>
        <w:shd w:val="clear" w:color="auto" w:fill="F7F9FC"/>
        <w:pBdr>
          <w:left w:val="single" w:sz="4" w:space="6" w:color="D0D5DD"/>
        </w:pBdr>
      </w:pPr>
      <w:r>
        <w:rPr>
          <w:rFonts w:ascii="Consolas" w:hAnsi="Consolas"/>
          <w:color w:val="0B1F3A"/>
          <w:sz w:val="16"/>
        </w:rPr>
        <w:t>| |     the NIN.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LEFT NAV ----------------------------------------------------------+</w:t>
      </w:r>
    </w:p>
    <w:p>
      <w:pPr>
        <w:spacing w:before="0" w:after="0" w:line="240" w:lineRule="auto"/>
        <w:ind w:left="230"/>
        <w:shd w:val="clear" w:color="auto" w:fill="F7F9FC"/>
        <w:pBdr>
          <w:left w:val="single" w:sz="4" w:space="6" w:color="D0D5DD"/>
        </w:pBdr>
      </w:pPr>
      <w:r>
        <w:rPr>
          <w:rFonts w:ascii="Consolas" w:hAnsi="Consolas"/>
          <w:color w:val="0B1F3A"/>
          <w:sz w:val="16"/>
        </w:rPr>
        <w:t>| Home                                                                     |</w:t>
      </w:r>
    </w:p>
    <w:p>
      <w:pPr>
        <w:spacing w:before="0" w:after="0" w:line="240" w:lineRule="auto"/>
        <w:ind w:left="230"/>
        <w:shd w:val="clear" w:color="auto" w:fill="F7F9FC"/>
        <w:pBdr>
          <w:left w:val="single" w:sz="4" w:space="6" w:color="D0D5DD"/>
        </w:pBdr>
      </w:pPr>
      <w:r>
        <w:rPr>
          <w:rFonts w:ascii="Consolas" w:hAnsi="Consolas"/>
          <w:color w:val="0B1F3A"/>
          <w:sz w:val="16"/>
        </w:rPr>
        <w:t>| My Ajos                                                                  |</w:t>
      </w:r>
    </w:p>
    <w:p>
      <w:pPr>
        <w:spacing w:before="0" w:after="0" w:line="240" w:lineRule="auto"/>
        <w:ind w:left="230"/>
        <w:shd w:val="clear" w:color="auto" w:fill="F7F9FC"/>
        <w:pBdr>
          <w:left w:val="single" w:sz="4" w:space="6" w:color="D0D5DD"/>
        </w:pBdr>
      </w:pPr>
      <w:r>
        <w:rPr>
          <w:rFonts w:ascii="Consolas" w:hAnsi="Consolas"/>
          <w:color w:val="0B1F3A"/>
          <w:sz w:val="16"/>
        </w:rPr>
        <w:t>| Pay                                                                      |</w:t>
      </w:r>
    </w:p>
    <w:p>
      <w:pPr>
        <w:spacing w:before="0" w:after="0" w:line="240" w:lineRule="auto"/>
        <w:ind w:left="230"/>
        <w:shd w:val="clear" w:color="auto" w:fill="F7F9FC"/>
        <w:pBdr>
          <w:left w:val="single" w:sz="4" w:space="6" w:color="D0D5DD"/>
        </w:pBdr>
      </w:pPr>
      <w:r>
        <w:rPr>
          <w:rFonts w:ascii="Consolas" w:hAnsi="Consolas"/>
          <w:color w:val="0B1F3A"/>
          <w:sz w:val="16"/>
        </w:rPr>
        <w:t>| Alerts                                                                   |</w:t>
      </w:r>
    </w:p>
    <w:p>
      <w:pPr>
        <w:spacing w:before="0" w:after="0" w:line="240" w:lineRule="auto"/>
        <w:ind w:left="230"/>
        <w:shd w:val="clear" w:color="auto" w:fill="F7F9FC"/>
        <w:pBdr>
          <w:left w:val="single" w:sz="4" w:space="6" w:color="D0D5DD"/>
        </w:pBdr>
      </w:pPr>
      <w:r>
        <w:rPr>
          <w:rFonts w:ascii="Consolas" w:hAnsi="Consolas"/>
          <w:color w:val="0B1F3A"/>
          <w:sz w:val="16"/>
        </w:rPr>
        <w:t>| Support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Profile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WHY ---------------------------------------------------------------+</w:t>
      </w:r>
    </w:p>
    <w:p>
      <w:pPr>
        <w:spacing w:before="0" w:after="0" w:line="240" w:lineRule="auto"/>
        <w:ind w:left="230"/>
        <w:shd w:val="clear" w:color="auto" w:fill="F7F9FC"/>
        <w:pBdr>
          <w:left w:val="single" w:sz="4" w:space="6" w:color="D0D5DD"/>
        </w:pBdr>
      </w:pPr>
      <w:r>
        <w:rPr>
          <w:rFonts w:ascii="Consolas" w:hAnsi="Consolas"/>
          <w:color w:val="0B1F3A"/>
          <w:sz w:val="16"/>
        </w:rPr>
        <w:t>| AJO.ng holds real money between collections. Before you send money out   |</w:t>
      </w:r>
    </w:p>
    <w:p>
      <w:pPr>
        <w:spacing w:before="0" w:after="0" w:line="240" w:lineRule="auto"/>
        <w:ind w:left="230"/>
        <w:shd w:val="clear" w:color="auto" w:fill="F7F9FC"/>
        <w:pBdr>
          <w:left w:val="single" w:sz="4" w:space="6" w:color="D0D5DD"/>
        </w:pBdr>
      </w:pPr>
      <w:r>
        <w:rPr>
          <w:rFonts w:ascii="Consolas" w:hAnsi="Consolas"/>
          <w:color w:val="0B1F3A"/>
          <w:sz w:val="16"/>
        </w:rPr>
        <w:t>|   we                                                                     |</w:t>
      </w:r>
    </w:p>
    <w:p>
      <w:pPr>
        <w:spacing w:before="0" w:after="0" w:line="240" w:lineRule="auto"/>
        <w:ind w:left="230"/>
        <w:shd w:val="clear" w:color="auto" w:fill="F7F9FC"/>
        <w:pBdr>
          <w:left w:val="single" w:sz="4" w:space="6" w:color="D0D5DD"/>
        </w:pBdr>
      </w:pPr>
      <w:r>
        <w:rPr>
          <w:rFonts w:ascii="Consolas" w:hAnsi="Consolas"/>
          <w:color w:val="0B1F3A"/>
          <w:sz w:val="16"/>
        </w:rPr>
        <w:t>| need to know who you are. We ask everyone who sends out money.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Whether you must do it to receive is open decision D-04, not decided.    |</w:t>
      </w:r>
    </w:p>
    <w:p>
      <w:pPr>
        <w:spacing w:before="0" w:after="0" w:line="240" w:lineRule="auto"/>
        <w:ind w:left="230"/>
        <w:shd w:val="clear" w:color="auto" w:fill="F7F9FC"/>
        <w:pBdr>
          <w:left w:val="single" w:sz="4" w:space="6" w:color="D0D5DD"/>
        </w:pBdr>
      </w:pPr>
      <w:r>
        <w:rPr>
          <w:rFonts w:ascii="Consolas" w:hAnsi="Consolas"/>
          <w:color w:val="0B1F3A"/>
          <w:sz w:val="16"/>
        </w:rPr>
        <w:t>+-- (3) STEPS -------------------------------------------------------------+</w:t>
      </w:r>
    </w:p>
    <w:p>
      <w:pPr>
        <w:spacing w:before="0" w:after="0" w:line="240" w:lineRule="auto"/>
        <w:ind w:left="230"/>
        <w:shd w:val="clear" w:color="auto" w:fill="F7F9FC"/>
        <w:pBdr>
          <w:left w:val="single" w:sz="4" w:space="6" w:color="D0D5DD"/>
        </w:pBdr>
      </w:pPr>
      <w:r>
        <w:rPr>
          <w:rFonts w:ascii="Consolas" w:hAnsi="Consolas"/>
          <w:color w:val="0B1F3A"/>
          <w:sz w:val="16"/>
        </w:rPr>
        <w:t>| 1  Your details       full name, date of birth, address      [ Continue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2  Your identity      a photo of you, and your NIN slip     [ Continue ] |</w:t>
      </w:r>
    </w:p>
    <w:p>
      <w:pPr>
        <w:spacing w:before="0" w:after="0" w:line="240" w:lineRule="auto"/>
        <w:ind w:left="230"/>
        <w:shd w:val="clear" w:color="auto" w:fill="F7F9FC"/>
        <w:pBdr>
          <w:left w:val="single" w:sz="4" w:space="6" w:color="D0D5DD"/>
        </w:pBdr>
      </w:pPr>
      <w:r>
        <w:rPr>
          <w:rFonts w:ascii="Consolas" w:hAnsi="Consolas"/>
          <w:color w:val="0B1F3A"/>
          <w:sz w:val="16"/>
        </w:rPr>
        <w:t>| 3  Your BVN           matched to the NIN by the provider    [ Continue ] |</w:t>
      </w:r>
    </w:p>
    <w:p>
      <w:pPr>
        <w:spacing w:before="0" w:after="0" w:line="240" w:lineRule="auto"/>
        <w:ind w:left="230"/>
        <w:shd w:val="clear" w:color="auto" w:fill="F7F9FC"/>
        <w:pBdr>
          <w:left w:val="single" w:sz="4" w:space="6" w:color="D0D5DD"/>
        </w:pBdr>
      </w:pPr>
      <w:r>
        <w:rPr>
          <w:rFonts w:ascii="Consolas" w:hAnsi="Consolas"/>
          <w:color w:val="0B1F3A"/>
          <w:sz w:val="16"/>
        </w:rPr>
        <w:t>| 4  Review             what we will store, and what we will not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Documents go to the verification provider. AJO.ng stores the result, the |</w:t>
      </w:r>
    </w:p>
    <w:p>
      <w:pPr>
        <w:spacing w:before="0" w:after="0" w:line="240" w:lineRule="auto"/>
        <w:ind w:left="230"/>
        <w:shd w:val="clear" w:color="auto" w:fill="F7F9FC"/>
        <w:pBdr>
          <w:left w:val="single" w:sz="4" w:space="6" w:color="D0D5DD"/>
        </w:pBdr>
      </w:pPr>
      <w:r>
        <w:rPr>
          <w:rFonts w:ascii="Consolas" w:hAnsi="Consolas"/>
          <w:color w:val="0B1F3A"/>
          <w:sz w:val="16"/>
        </w:rPr>
        <w:t>| reference and the timestamps. It does not store the NIN.                 |</w:t>
      </w:r>
    </w:p>
    <w:p>
      <w:pPr>
        <w:spacing w:before="0" w:after="0" w:line="240" w:lineRule="auto"/>
        <w:ind w:left="230"/>
        <w:shd w:val="clear" w:color="auto" w:fill="F7F9FC"/>
        <w:pBdr>
          <w:left w:val="single" w:sz="4" w:space="6" w:color="D0D5DD"/>
        </w:pBdr>
      </w:pPr>
      <w:r>
        <w:rPr>
          <w:rFonts w:ascii="Consolas" w:hAnsi="Consolas"/>
          <w:color w:val="0B1F3A"/>
          <w:sz w:val="16"/>
        </w:rPr>
        <w:t>+-- (4) OUTCOME STATES ----------------------------------------------------+</w:t>
      </w:r>
    </w:p>
    <w:p>
      <w:pPr>
        <w:spacing w:before="0" w:after="0" w:line="240" w:lineRule="auto"/>
        <w:ind w:left="230"/>
        <w:shd w:val="clear" w:color="auto" w:fill="F7F9FC"/>
        <w:pBdr>
          <w:left w:val="single" w:sz="4" w:space="6" w:color="D0D5DD"/>
        </w:pBdr>
      </w:pPr>
      <w:r>
        <w:rPr>
          <w:rFonts w:ascii="Consolas" w:hAnsi="Consolas"/>
          <w:color w:val="0B1F3A"/>
          <w:sz w:val="16"/>
        </w:rPr>
        <w:t>| not started   nothing submitted                                          |</w:t>
      </w:r>
    </w:p>
    <w:p>
      <w:pPr>
        <w:spacing w:before="0" w:after="0" w:line="240" w:lineRule="auto"/>
        <w:ind w:left="230"/>
        <w:shd w:val="clear" w:color="auto" w:fill="F7F9FC"/>
        <w:pBdr>
          <w:left w:val="single" w:sz="4" w:space="6" w:color="D0D5DD"/>
        </w:pBdr>
      </w:pPr>
      <w:r>
        <w:rPr>
          <w:rFonts w:ascii="Consolas" w:hAnsi="Consolas"/>
          <w:color w:val="0B1F3A"/>
          <w:sz w:val="16"/>
        </w:rPr>
        <w:t>| in progress   submitted, provider has not answered                       |</w:t>
      </w:r>
    </w:p>
    <w:p>
      <w:pPr>
        <w:spacing w:before="0" w:after="0" w:line="240" w:lineRule="auto"/>
        <w:ind w:left="230"/>
        <w:shd w:val="clear" w:color="auto" w:fill="F7F9FC"/>
        <w:pBdr>
          <w:left w:val="single" w:sz="4" w:space="6" w:color="D0D5DD"/>
        </w:pBdr>
      </w:pPr>
      <w:r>
        <w:rPr>
          <w:rFonts w:ascii="Consolas" w:hAnsi="Consolas"/>
          <w:color w:val="0B1F3A"/>
          <w:sz w:val="16"/>
        </w:rPr>
        <w:t>| approved      verified_checks row with an approval reference             |</w:t>
      </w:r>
    </w:p>
    <w:p>
      <w:pPr>
        <w:spacing w:before="0" w:after="0" w:line="240" w:lineRule="auto"/>
        <w:ind w:left="230"/>
        <w:shd w:val="clear" w:color="auto" w:fill="F7F9FC"/>
        <w:pBdr>
          <w:left w:val="single" w:sz="4" w:space="6" w:color="D0D5DD"/>
        </w:pBdr>
      </w:pPr>
      <w:r>
        <w:rPr>
          <w:rFonts w:ascii="Consolas" w:hAnsi="Consolas"/>
          <w:color w:val="0B1F3A"/>
          <w:sz w:val="16"/>
        </w:rPr>
        <w:t>| failed        provider reason, with an appeal route and no re-upload     |</w:t>
      </w:r>
    </w:p>
    <w:p>
      <w:pPr>
        <w:spacing w:before="0" w:after="0" w:line="240" w:lineRule="auto"/>
        <w:ind w:left="230"/>
        <w:shd w:val="clear" w:color="auto" w:fill="F7F9FC"/>
        <w:pBdr>
          <w:left w:val="single" w:sz="4" w:space="6" w:color="D0D5DD"/>
        </w:pBdr>
      </w:pPr>
      <w:r>
        <w:rPr>
          <w:rFonts w:ascii="Consolas" w:hAnsi="Consolas"/>
          <w:color w:val="0B1F3A"/>
          <w:sz w:val="16"/>
        </w:rPr>
        <w:t>|   loop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6.28.2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706"/>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080"/>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970"/>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(1) Why we ask</w:t>
            </w:r>
          </w:p>
        </w:tc>
        <w:tc>
          <w:tcPr>
            <w:tcW w:type="dxa" w:w="1080"/>
            <w:tcMar>
              <w:top w:w="60" w:type="dxa"/>
              <w:start w:w="110" w:type="dxa"/>
              <w:bottom w:w="60" w:type="dxa"/>
              <w:end w:w="110" w:type="dxa"/>
            </w:tcMar>
          </w:tcPr>
          <w:p>
            <w:pPr>
              <w:spacing w:after="0"/>
            </w:pPr>
            <w:r/>
            <w:r>
              <w:rPr>
                <w:rFonts w:ascii="Calibri" w:hAnsi="Calibri"/>
                <w:b w:val="0"/>
                <w:i w:val="0"/>
                <w:color w:val="101828"/>
                <w:sz w:val="14"/>
              </w:rPr>
              <w:t>The reason, before the request.</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970"/>
            <w:tcMar>
              <w:top w:w="60" w:type="dxa"/>
              <w:start w:w="110" w:type="dxa"/>
              <w:bottom w:w="60" w:type="dxa"/>
              <w:end w:w="110" w:type="dxa"/>
            </w:tcMar>
          </w:tcPr>
          <w:p>
            <w:pPr>
              <w:spacing w:after="0"/>
            </w:pPr>
            <w:r/>
            <w:r>
              <w:rPr>
                <w:rFonts w:ascii="Calibri" w:hAnsi="Calibri"/>
                <w:b/>
                <w:color w:val="101828"/>
                <w:sz w:val="14"/>
              </w:rPr>
              <w:t>Stated before any field.</w:t>
            </w:r>
            <w:r>
              <w:rPr>
                <w:rFonts w:ascii="Calibri" w:hAnsi="Calibri"/>
                <w:b w:val="0"/>
                <w:i w:val="0"/>
                <w:color w:val="101828"/>
                <w:sz w:val="14"/>
              </w:rPr>
              <w:t xml:space="preserve"> The reason is that money is held between collections and identity is needed before money goes out. The screen does not claim that verification is legally required, because whether it is depends on D-04 and on the licensing path in D-02, neither of which is settled.</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(2) Three steps</w:t>
            </w:r>
          </w:p>
        </w:tc>
        <w:tc>
          <w:tcPr>
            <w:tcW w:type="dxa" w:w="1080"/>
            <w:tcMar>
              <w:top w:w="60" w:type="dxa"/>
              <w:start w:w="110" w:type="dxa"/>
              <w:bottom w:w="60" w:type="dxa"/>
              <w:end w:w="110" w:type="dxa"/>
            </w:tcMar>
            <w:shd w:val="clear" w:color="auto" w:fill="F4F7FB"/>
          </w:tcPr>
          <w:p>
            <w:pPr>
              <w:spacing w:after="0"/>
            </w:pPr>
            <w:r/>
            <w:r>
              <w:rPr>
                <w:rFonts w:ascii="Calibri" w:hAnsi="Calibri"/>
                <w:b w:val="0"/>
                <w:i w:val="0"/>
                <w:color w:val="101828"/>
                <w:sz w:val="14"/>
              </w:rPr>
              <w:t>Details, identity document, BVN.</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970"/>
            <w:tcMar>
              <w:top w:w="60" w:type="dxa"/>
              <w:start w:w="110" w:type="dxa"/>
              <w:bottom w:w="60" w:type="dxa"/>
              <w:end w:w="110" w:type="dxa"/>
            </w:tcMar>
            <w:shd w:val="clear" w:color="auto" w:fill="F4F7FB"/>
          </w:tcPr>
          <w:p>
            <w:pPr>
              <w:spacing w:after="0"/>
            </w:pPr>
            <w:r/>
            <w:r>
              <w:rPr>
                <w:rFonts w:ascii="Calibri" w:hAnsi="Calibri"/>
                <w:b w:val="0"/>
                <w:i w:val="0"/>
                <w:color w:val="101828"/>
                <w:sz w:val="14"/>
              </w:rPr>
              <w:t>Ordered so the cheapest information comes first. A person who abandons abandons before uploading a photograph, which is the right place to abandon.</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(3) Document capture</w:t>
            </w:r>
          </w:p>
        </w:tc>
        <w:tc>
          <w:tcPr>
            <w:tcW w:type="dxa" w:w="1080"/>
            <w:tcMar>
              <w:top w:w="60" w:type="dxa"/>
              <w:start w:w="110" w:type="dxa"/>
              <w:bottom w:w="60" w:type="dxa"/>
              <w:end w:w="110" w:type="dxa"/>
            </w:tcMar>
          </w:tcPr>
          <w:p>
            <w:pPr>
              <w:spacing w:after="0"/>
            </w:pPr>
            <w:r/>
            <w:r>
              <w:rPr>
                <w:rFonts w:ascii="Calibri" w:hAnsi="Calibri"/>
                <w:b w:val="0"/>
                <w:i w:val="0"/>
                <w:color w:val="101828"/>
                <w:sz w:val="14"/>
              </w:rPr>
              <w:t>Photograph, or upload.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970"/>
            <w:tcMar>
              <w:top w:w="60" w:type="dxa"/>
              <w:start w:w="110" w:type="dxa"/>
              <w:bottom w:w="60" w:type="dxa"/>
              <w:end w:w="110" w:type="dxa"/>
            </w:tcMar>
          </w:tcPr>
          <w:p>
            <w:pPr>
              <w:spacing w:after="0"/>
            </w:pPr>
            <w:r/>
            <w:r>
              <w:rPr>
                <w:rFonts w:ascii="Calibri" w:hAnsi="Calibri"/>
                <w:b w:val="0"/>
                <w:i w:val="0"/>
                <w:color w:val="101828"/>
                <w:sz w:val="14"/>
              </w:rPr>
              <w:t>Capture is in-app, not by email, so the document never travels through a channel the platform does not control. Upload is offered because not everyone can take a legible photograph in the light available.</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(4) BVN handling</w:t>
            </w:r>
          </w:p>
        </w:tc>
        <w:tc>
          <w:tcPr>
            <w:tcW w:type="dxa" w:w="1080"/>
            <w:tcMar>
              <w:top w:w="60" w:type="dxa"/>
              <w:start w:w="110" w:type="dxa"/>
              <w:bottom w:w="60" w:type="dxa"/>
              <w:end w:w="110" w:type="dxa"/>
            </w:tcMar>
            <w:shd w:val="clear" w:color="auto" w:fill="F4F7FB"/>
          </w:tcPr>
          <w:p>
            <w:pPr>
              <w:spacing w:after="0"/>
            </w:pPr>
            <w:r/>
            <w:r>
              <w:rPr>
                <w:rFonts w:ascii="Calibri" w:hAnsi="Calibri"/>
                <w:b w:val="0"/>
                <w:i w:val="0"/>
                <w:color w:val="101828"/>
                <w:sz w:val="14"/>
              </w:rPr>
              <w:t>Entered, matched, not stored.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970"/>
            <w:tcMar>
              <w:top w:w="60" w:type="dxa"/>
              <w:start w:w="110" w:type="dxa"/>
              <w:bottom w:w="60" w:type="dxa"/>
              <w:end w:w="110" w:type="dxa"/>
            </w:tcMar>
            <w:shd w:val="clear" w:color="auto" w:fill="F4F7FB"/>
          </w:tcPr>
          <w:p>
            <w:pPr>
              <w:spacing w:after="0"/>
            </w:pPr>
            <w:r/>
            <w:r>
              <w:rPr>
                <w:rFonts w:ascii="Calibri" w:hAnsi="Calibri"/>
                <w:b/>
                <w:color w:val="101828"/>
                <w:sz w:val="14"/>
              </w:rPr>
              <w:t>The BVN is matched against the NIN by the provider and AJO.ng stores neither.</w:t>
            </w:r>
            <w:r>
              <w:rPr>
                <w:rFonts w:ascii="Calibri" w:hAnsi="Calibri"/>
                <w:b w:val="0"/>
                <w:i w:val="0"/>
                <w:color w:val="101828"/>
                <w:sz w:val="14"/>
              </w:rPr>
              <w:t xml:space="preserve"> The screen says </w:t>
            </w:r>
            <w:r>
              <w:rPr>
                <w:rFonts w:ascii="Calibri" w:hAnsi="Calibri"/>
                <w:i/>
                <w:color w:val="101828"/>
                <w:sz w:val="14"/>
              </w:rPr>
              <w:t>we do not store your NIN</w:t>
            </w:r>
            <w:r>
              <w:rPr>
                <w:rFonts w:ascii="Calibri" w:hAnsi="Calibri"/>
                <w:b w:val="0"/>
                <w:i w:val="0"/>
                <w:color w:val="101828"/>
                <w:sz w:val="14"/>
              </w:rPr>
              <w:t xml:space="preserve"> in the same place the NIN is asked for, not in a policy page four screens away.</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(5) Stored-versus-not-stored</w:t>
            </w:r>
          </w:p>
        </w:tc>
        <w:tc>
          <w:tcPr>
            <w:tcW w:type="dxa" w:w="1080"/>
            <w:tcMar>
              <w:top w:w="60" w:type="dxa"/>
              <w:start w:w="110" w:type="dxa"/>
              <w:bottom w:w="60" w:type="dxa"/>
              <w:end w:w="110" w:type="dxa"/>
            </w:tcMar>
          </w:tcPr>
          <w:p>
            <w:pPr>
              <w:spacing w:after="0"/>
            </w:pPr>
            <w:r/>
            <w:r>
              <w:rPr>
                <w:rFonts w:ascii="Calibri" w:hAnsi="Calibri"/>
                <w:b w:val="0"/>
                <w:i w:val="0"/>
                <w:color w:val="101828"/>
                <w:sz w:val="14"/>
              </w:rPr>
              <w:t>An explicit list of what is kept.</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970"/>
            <w:tcMar>
              <w:top w:w="60" w:type="dxa"/>
              <w:start w:w="110" w:type="dxa"/>
              <w:bottom w:w="60" w:type="dxa"/>
              <w:end w:w="110" w:type="dxa"/>
            </w:tcMar>
          </w:tcPr>
          <w:p>
            <w:pPr>
              <w:spacing w:after="0"/>
            </w:pPr>
            <w:r/>
            <w:r>
              <w:rPr>
                <w:rFonts w:ascii="Calibri" w:hAnsi="Calibri"/>
                <w:b w:val="0"/>
                <w:i w:val="0"/>
                <w:color w:val="101828"/>
                <w:sz w:val="14"/>
              </w:rPr>
              <w:t>Kept: the result, the provider reference, timestamps. Not kept: the NIN, the document image. Stating this is both honest and required for the person to decide.</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(6) Outcome states</w:t>
            </w:r>
          </w:p>
        </w:tc>
        <w:tc>
          <w:tcPr>
            <w:tcW w:type="dxa" w:w="1080"/>
            <w:tcMar>
              <w:top w:w="60" w:type="dxa"/>
              <w:start w:w="110" w:type="dxa"/>
              <w:bottom w:w="60" w:type="dxa"/>
              <w:end w:w="110" w:type="dxa"/>
            </w:tcMar>
            <w:shd w:val="clear" w:color="auto" w:fill="F4F7FB"/>
          </w:tcPr>
          <w:p>
            <w:pPr>
              <w:spacing w:after="0"/>
            </w:pPr>
            <w:r/>
            <w:r>
              <w:rPr>
                <w:rFonts w:ascii="Calibri" w:hAnsi="Calibri"/>
                <w:b w:val="0"/>
                <w:i w:val="0"/>
                <w:color w:val="101828"/>
                <w:sz w:val="14"/>
              </w:rPr>
              <w:t>Not started, in progress, approved, failed.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970"/>
            <w:tcMar>
              <w:top w:w="60" w:type="dxa"/>
              <w:start w:w="110" w:type="dxa"/>
              <w:bottom w:w="60" w:type="dxa"/>
              <w:end w:w="110" w:type="dxa"/>
            </w:tcMar>
            <w:shd w:val="clear" w:color="auto" w:fill="F4F7FB"/>
          </w:tcPr>
          <w:p>
            <w:pPr>
              <w:spacing w:after="0"/>
            </w:pPr>
            <w:r/>
            <w:r>
              <w:rPr>
                <w:rFonts w:ascii="Calibri" w:hAnsi="Calibri"/>
                <w:i/>
                <w:color w:val="101828"/>
                <w:sz w:val="14"/>
              </w:rPr>
              <w:t>In progress</w:t>
            </w:r>
            <w:r>
              <w:rPr>
                <w:rFonts w:ascii="Calibri" w:hAnsi="Calibri"/>
                <w:b w:val="0"/>
                <w:i w:val="0"/>
                <w:color w:val="101828"/>
                <w:sz w:val="14"/>
              </w:rPr>
              <w:t xml:space="preserve"> is a real state, not a spinner: provider verification takes time and a person who cannot tell a wait from a failure will submit again.</w:t>
            </w:r>
          </w:p>
        </w:tc>
      </w:tr>
      <w:tr>
        <w:trPr>
          <w:cantSplit/>
        </w:trPr>
        <w:tc>
          <w:tcPr>
            <w:tcW w:type="dxa" w:w="706"/>
            <w:tcMar>
              <w:top w:w="60" w:type="dxa"/>
              <w:start w:w="110" w:type="dxa"/>
              <w:bottom w:w="60" w:type="dxa"/>
              <w:end w:w="110" w:type="dxa"/>
            </w:tcMar>
          </w:tcPr>
          <w:p>
            <w:pPr>
              <w:spacing w:after="0"/>
            </w:pPr>
            <w:r/>
            <w:r>
              <w:rPr>
                <w:rFonts w:ascii="Calibri" w:hAnsi="Calibri"/>
                <w:b w:val="0"/>
                <w:i w:val="0"/>
                <w:color w:val="101828"/>
                <w:sz w:val="14"/>
              </w:rPr>
              <w:t>(7) Failure has an appeal</w:t>
            </w:r>
          </w:p>
        </w:tc>
        <w:tc>
          <w:tcPr>
            <w:tcW w:type="dxa" w:w="1080"/>
            <w:tcMar>
              <w:top w:w="60" w:type="dxa"/>
              <w:start w:w="110" w:type="dxa"/>
              <w:bottom w:w="60" w:type="dxa"/>
              <w:end w:w="110" w:type="dxa"/>
            </w:tcMar>
          </w:tcPr>
          <w:p>
            <w:pPr>
              <w:spacing w:after="0"/>
            </w:pPr>
            <w:r/>
            <w:r>
              <w:rPr>
                <w:rFonts w:ascii="Calibri" w:hAnsi="Calibri"/>
                <w:b w:val="0"/>
                <w:i w:val="0"/>
                <w:color w:val="101828"/>
                <w:sz w:val="14"/>
              </w:rPr>
              <w:t>A reason and a route, not a retry loop.</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970"/>
            <w:tcMar>
              <w:top w:w="60" w:type="dxa"/>
              <w:start w:w="110" w:type="dxa"/>
              <w:bottom w:w="60" w:type="dxa"/>
              <w:end w:w="110" w:type="dxa"/>
            </w:tcMar>
          </w:tcPr>
          <w:p>
            <w:pPr>
              <w:spacing w:after="0"/>
            </w:pPr>
            <w:r/>
            <w:r>
              <w:rPr>
                <w:rFonts w:ascii="Calibri" w:hAnsi="Calibri"/>
                <w:b/>
                <w:color w:val="101828"/>
                <w:sz w:val="14"/>
              </w:rPr>
              <w:t>Prohibited: an unbounded re-upload loop.</w:t>
            </w:r>
            <w:r>
              <w:rPr>
                <w:rFonts w:ascii="Calibri" w:hAnsi="Calibri"/>
                <w:b w:val="0"/>
                <w:i w:val="0"/>
                <w:color w:val="101828"/>
                <w:sz w:val="14"/>
              </w:rPr>
              <w:t xml:space="preserve"> Each submission attempt is recorded, and the route out of a failure is an appeal, because a document rejected for a legible-photo reason and a document rejected for a mismatch need different handling.</w:t>
            </w:r>
          </w:p>
        </w:tc>
      </w:tr>
      <w:tr>
        <w:trPr>
          <w:cantSplit/>
        </w:trPr>
        <w:tc>
          <w:tcPr>
            <w:tcW w:type="dxa" w:w="706"/>
            <w:tcMar>
              <w:top w:w="60" w:type="dxa"/>
              <w:start w:w="110" w:type="dxa"/>
              <w:bottom w:w="60" w:type="dxa"/>
              <w:end w:w="110" w:type="dxa"/>
            </w:tcMar>
            <w:shd w:val="clear" w:color="auto" w:fill="F4F7FB"/>
          </w:tcPr>
          <w:p>
            <w:pPr>
              <w:spacing w:after="0"/>
            </w:pPr>
            <w:r/>
            <w:r>
              <w:rPr>
                <w:rFonts w:ascii="Calibri" w:hAnsi="Calibri"/>
                <w:b w:val="0"/>
                <w:i w:val="0"/>
                <w:color w:val="101828"/>
                <w:sz w:val="14"/>
              </w:rPr>
              <w:t>(8) Optional is stated</w:t>
            </w:r>
          </w:p>
        </w:tc>
        <w:tc>
          <w:tcPr>
            <w:tcW w:type="dxa" w:w="1080"/>
            <w:tcMar>
              <w:top w:w="60" w:type="dxa"/>
              <w:start w:w="110" w:type="dxa"/>
              <w:bottom w:w="60" w:type="dxa"/>
              <w:end w:w="110" w:type="dxa"/>
            </w:tcMar>
            <w:shd w:val="clear" w:color="auto" w:fill="F4F7FB"/>
          </w:tcPr>
          <w:p>
            <w:pPr>
              <w:spacing w:after="0"/>
            </w:pPr>
            <w:r/>
            <w:r>
              <w:rPr>
                <w:rFonts w:ascii="Calibri" w:hAnsi="Calibri"/>
                <w:b w:val="0"/>
                <w:i w:val="0"/>
                <w:color w:val="101828"/>
                <w:sz w:val="14"/>
              </w:rPr>
              <w:t>Verification is not presented as universal.</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970"/>
            <w:tcMar>
              <w:top w:w="60" w:type="dxa"/>
              <w:start w:w="110" w:type="dxa"/>
              <w:bottom w:w="60" w:type="dxa"/>
              <w:end w:w="110" w:type="dxa"/>
            </w:tcMar>
            <w:shd w:val="clear" w:color="auto" w:fill="F4F7FB"/>
          </w:tcPr>
          <w:p>
            <w:pPr>
              <w:spacing w:after="0"/>
            </w:pPr>
            <w:r/>
            <w:r>
              <w:rPr>
                <w:rFonts w:ascii="Calibri" w:hAnsi="Calibri"/>
                <w:b w:val="0"/>
                <w:i w:val="0"/>
                <w:color w:val="101828"/>
                <w:sz w:val="14"/>
              </w:rPr>
              <w:t>Repeated from the why block: we ask everyone who sends out money. Whether receiving requires it is open, and the screen says so rather than implying a requirement that may not exist.</w:t>
            </w:r>
          </w:p>
        </w:tc>
      </w:tr>
    </w:tbl>
    <w:p>
      <w:pPr>
        <w:spacing w:after="80"/>
      </w:pPr>
    </w:p>
    <w:p>
      <w:pPr>
        <w:pStyle w:val="Heading2"/>
      </w:pPr>
      <w:r>
        <w:rPr>
          <w:rFonts w:ascii="Calibri" w:hAnsi="Calibri"/>
          <w:b/>
          <w:i w:val="0"/>
          <w:color w:val="146EF5"/>
          <w:sz w:val="29"/>
        </w:rPr>
        <w:t>6.29 Support — SCR-MOB-23</w:t>
      </w:r>
    </w:p>
    <w:p>
      <w:r>
        <w:rPr>
          <w:rFonts w:ascii="Calibri" w:hAnsi="Calibri"/>
          <w:b w:val="0"/>
          <w:i w:val="0"/>
          <w:color w:val="101828"/>
          <w:sz w:val="21"/>
        </w:rPr>
        <w:t xml:space="preserve">The screen a person reaches when something has already gone wrong, so it is organised around their symptom rather than around the product's features. The topic list is written in the words people use, not the words the system uses: </w:t>
      </w:r>
      <w:r>
        <w:rPr>
          <w:rFonts w:ascii="Calibri" w:hAnsi="Calibri"/>
          <w:i/>
          <w:color w:val="101828"/>
          <w:sz w:val="21"/>
        </w:rPr>
        <w:t>I was charged but the receipt says something else</w:t>
      </w:r>
      <w:r>
        <w:rPr>
          <w:rFonts w:ascii="Calibri" w:hAnsi="Calibri"/>
          <w:b w:val="0"/>
          <w:i w:val="0"/>
          <w:color w:val="101828"/>
          <w:sz w:val="21"/>
        </w:rPr>
        <w:t xml:space="preserve"> is a support ticket, and </w:t>
      </w:r>
      <w:r>
        <w:rPr>
          <w:rFonts w:ascii="Calibri" w:hAnsi="Calibri"/>
          <w:i/>
          <w:color w:val="101828"/>
          <w:sz w:val="21"/>
        </w:rPr>
        <w:t>fee policy</w:t>
      </w:r>
      <w:r>
        <w:rPr>
          <w:rFonts w:ascii="Calibri" w:hAnsi="Calibri"/>
          <w:b w:val="0"/>
          <w:i w:val="0"/>
          <w:color w:val="101828"/>
          <w:sz w:val="21"/>
        </w:rPr>
        <w:t xml:space="preserve"> is not. The contact block states what support cannot do, because the most frustrating support experience in a financial product is being told nicely that the agent cannot do the one thing you need.</w:t>
      </w:r>
    </w:p>
    <w:p>
      <w:pPr>
        <w:spacing w:before="140" w:after="180"/>
        <w:ind w:left="144"/>
        <w:shd w:val="clear" w:color="auto" w:fill="EDE9FE"/>
        <w:pBdr>
          <w:left w:val="single" w:sz="18" w:space="6" w:color="7C3AED"/>
        </w:pBdr>
      </w:pPr>
      <w:r>
        <w:rPr>
          <w:rFonts w:ascii="Calibri" w:hAnsi="Calibri"/>
          <w:b/>
          <w:color w:val="7C3AED"/>
          <w:sz w:val="19"/>
        </w:rPr>
        <w:t xml:space="preserve">The support topic list is a first draft, not a researched one  </w:t>
      </w:r>
      <w:r>
        <w:rPr>
          <w:rFonts w:ascii="Calibri" w:hAnsi="Calibri"/>
          <w:b w:val="0"/>
          <w:i w:val="0"/>
          <w:color w:val="0B1F3A"/>
          <w:sz w:val="19"/>
        </w:rPr>
        <w:t xml:space="preserve">These topics are inferred from the edge cases in section 19 and from what the fee model is likely to produce. They are </w:t>
      </w:r>
      <w:r>
        <w:rPr>
          <w:rFonts w:ascii="Calibri" w:hAnsi="Calibri"/>
          <w:b/>
          <w:color w:val="0B1F3A"/>
          <w:sz w:val="19"/>
        </w:rPr>
        <w:t>not</w:t>
      </w:r>
      <w:r>
        <w:rPr>
          <w:rFonts w:ascii="Calibri" w:hAnsi="Calibri"/>
          <w:b w:val="0"/>
          <w:i w:val="0"/>
          <w:color w:val="0B1F3A"/>
          <w:sz w:val="19"/>
        </w:rPr>
        <w:t xml:space="preserve"> based on real support contacts, because the product is pre-launch and has no customers, and no content in this specification may present them as a record of what people actually ask. The first post-launch task for the support owner is to rebuild this list from the first hundred real contacts and to measure which topics route to chat, to a dispute, and to a refund. </w:t>
      </w:r>
      <w:r>
        <w:rPr>
          <w:rFonts w:ascii="Calibri" w:hAnsi="Calibri"/>
          <w:b/>
          <w:color w:val="0B1F3A"/>
          <w:sz w:val="19"/>
        </w:rPr>
        <w:t>A topic list built from assumptions should be labelled as one, because the failure mode is a support function that confidently answers the wrong question.</w:t>
      </w:r>
    </w:p>
    <w:p>
      <w:pPr>
        <w:pStyle w:val="Heading3"/>
      </w:pPr>
      <w:r>
        <w:rPr>
          <w:rFonts w:ascii="Calibri" w:hAnsi="Calibri"/>
          <w:b/>
          <w:i w:val="0"/>
          <w:color w:val="0B1F3A"/>
          <w:sz w:val="24"/>
        </w:rPr>
        <w:t>6.29.1 Wireframe</w:t>
      </w:r>
    </w:p>
    <w:p>
      <w:r>
        <w:rPr>
          <w:rFonts w:ascii="Calibri" w:hAnsi="Calibri"/>
          <w:b/>
          <w:color w:val="101828"/>
          <w:sz w:val="21"/>
        </w:rPr>
        <w:t>Mobile — 375 px.</w:t>
      </w:r>
      <w:r>
        <w:rPr>
          <w:rFonts w:ascii="Calibri" w:hAnsi="Calibri"/>
          <w:b w:val="0"/>
          <w:i w:val="0"/>
          <w:color w:val="101828"/>
          <w:sz w:val="21"/>
        </w:rPr>
        <w:t xml:space="preserve"> One column, 16 px gutters, sticky bottom navigation on authenticated screens, and 44 px minimum touch targets. Regions that would overflow become a stacked row or move to a detail page rather than shrinking.</w:t>
      </w:r>
    </w:p>
    <w:p>
      <w:pPr>
        <w:spacing w:before="0" w:after="0" w:line="240" w:lineRule="auto"/>
        <w:ind w:left="230"/>
        <w:shd w:val="clear" w:color="auto" w:fill="F7F9FC"/>
        <w:pBdr>
          <w:left w:val="single" w:sz="4" w:space="6" w:color="D0D5DD"/>
        </w:pBdr>
      </w:pPr>
      <w:r>
        <w:rPr>
          <w:rFonts w:ascii="Consolas" w:hAnsi="Consolas"/>
          <w:color w:val="0B1F3A"/>
          <w:sz w:val="16"/>
        </w:rPr>
        <w:t>+-- (1) HEADER ----------------------------+</w:t>
      </w:r>
    </w:p>
    <w:p>
      <w:pPr>
        <w:spacing w:before="0" w:after="0" w:line="240" w:lineRule="auto"/>
        <w:ind w:left="230"/>
        <w:shd w:val="clear" w:color="auto" w:fill="F7F9FC"/>
        <w:pBdr>
          <w:left w:val="single" w:sz="4" w:space="6" w:color="D0D5DD"/>
        </w:pBdr>
      </w:pPr>
      <w:r>
        <w:rPr>
          <w:rFonts w:ascii="Consolas" w:hAnsi="Consolas"/>
          <w:color w:val="0B1F3A"/>
          <w:sz w:val="16"/>
        </w:rPr>
        <w:t>| Support                                  |</w:t>
      </w:r>
    </w:p>
    <w:p>
      <w:pPr>
        <w:spacing w:before="0" w:after="0" w:line="240" w:lineRule="auto"/>
        <w:ind w:left="230"/>
        <w:shd w:val="clear" w:color="auto" w:fill="F7F9FC"/>
        <w:pBdr>
          <w:left w:val="single" w:sz="4" w:space="6" w:color="D0D5DD"/>
        </w:pBdr>
      </w:pPr>
      <w:r>
        <w:rPr>
          <w:rFonts w:ascii="Consolas" w:hAnsi="Consolas"/>
          <w:color w:val="0B1F3A"/>
          <w:sz w:val="16"/>
        </w:rPr>
        <w:t>+-- (2) SEARCH ----------------------------+</w:t>
      </w:r>
    </w:p>
    <w:p>
      <w:pPr>
        <w:spacing w:before="0" w:after="0" w:line="240" w:lineRule="auto"/>
        <w:ind w:left="230"/>
        <w:shd w:val="clear" w:color="auto" w:fill="F7F9FC"/>
        <w:pBdr>
          <w:left w:val="single" w:sz="4" w:space="6" w:color="D0D5DD"/>
        </w:pBdr>
      </w:pPr>
      <w:r>
        <w:rPr>
          <w:rFonts w:ascii="Consolas" w:hAnsi="Consolas"/>
          <w:color w:val="0B1F3A"/>
          <w:sz w:val="16"/>
        </w:rPr>
        <w:t>| [ What do you need help with?    ]       |</w:t>
      </w:r>
    </w:p>
    <w:p>
      <w:pPr>
        <w:spacing w:before="0" w:after="0" w:line="240" w:lineRule="auto"/>
        <w:ind w:left="230"/>
        <w:shd w:val="clear" w:color="auto" w:fill="F7F9FC"/>
        <w:pBdr>
          <w:left w:val="single" w:sz="4" w:space="6" w:color="D0D5DD"/>
        </w:pBdr>
      </w:pPr>
      <w:r>
        <w:rPr>
          <w:rFonts w:ascii="Consolas" w:hAnsi="Consolas"/>
          <w:color w:val="0B1F3A"/>
          <w:sz w:val="16"/>
        </w:rPr>
        <w:t>+-- (3) COMMON ----------------------------+</w:t>
      </w:r>
    </w:p>
    <w:p>
      <w:pPr>
        <w:spacing w:before="0" w:after="0" w:line="240" w:lineRule="auto"/>
        <w:ind w:left="230"/>
        <w:shd w:val="clear" w:color="auto" w:fill="F7F9FC"/>
        <w:pBdr>
          <w:left w:val="single" w:sz="4" w:space="6" w:color="D0D5DD"/>
        </w:pBdr>
      </w:pPr>
      <w:r>
        <w:rPr>
          <w:rFonts w:ascii="Consolas" w:hAnsi="Consolas"/>
          <w:color w:val="0B1F3A"/>
          <w:sz w:val="16"/>
        </w:rPr>
        <w:t>| I was charged but my receipt             |</w:t>
      </w:r>
    </w:p>
    <w:p>
      <w:pPr>
        <w:spacing w:before="0" w:after="0" w:line="240" w:lineRule="auto"/>
        <w:ind w:left="230"/>
        <w:shd w:val="clear" w:color="auto" w:fill="F7F9FC"/>
        <w:pBdr>
          <w:left w:val="single" w:sz="4" w:space="6" w:color="D0D5DD"/>
        </w:pBdr>
      </w:pPr>
      <w:r>
        <w:rPr>
          <w:rFonts w:ascii="Consolas" w:hAnsi="Consolas"/>
          <w:color w:val="0B1F3A"/>
          <w:sz w:val="16"/>
        </w:rPr>
        <w:t>|    says something else                   |</w:t>
      </w:r>
    </w:p>
    <w:p>
      <w:pPr>
        <w:spacing w:before="0" w:after="0" w:line="240" w:lineRule="auto"/>
        <w:ind w:left="230"/>
        <w:shd w:val="clear" w:color="auto" w:fill="F7F9FC"/>
        <w:pBdr>
          <w:left w:val="single" w:sz="4" w:space="6" w:color="D0D5DD"/>
        </w:pBdr>
      </w:pPr>
      <w:r>
        <w:rPr>
          <w:rFonts w:ascii="Consolas" w:hAnsi="Consolas"/>
          <w:color w:val="0B1F3A"/>
          <w:sz w:val="16"/>
        </w:rPr>
        <w:t>| My payout has not arrived                |</w:t>
      </w:r>
    </w:p>
    <w:p>
      <w:pPr>
        <w:spacing w:before="0" w:after="0" w:line="240" w:lineRule="auto"/>
        <w:ind w:left="230"/>
        <w:shd w:val="clear" w:color="auto" w:fill="F7F9FC"/>
        <w:pBdr>
          <w:left w:val="single" w:sz="4" w:space="6" w:color="D0D5DD"/>
        </w:pBdr>
      </w:pPr>
      <w:r>
        <w:rPr>
          <w:rFonts w:ascii="Consolas" w:hAnsi="Consolas"/>
          <w:color w:val="0B1F3A"/>
          <w:sz w:val="16"/>
        </w:rPr>
        <w:t>| I cannot log in                          |</w:t>
      </w:r>
    </w:p>
    <w:p>
      <w:pPr>
        <w:spacing w:before="0" w:after="0" w:line="240" w:lineRule="auto"/>
        <w:ind w:left="230"/>
        <w:shd w:val="clear" w:color="auto" w:fill="F7F9FC"/>
        <w:pBdr>
          <w:left w:val="single" w:sz="4" w:space="6" w:color="D0D5DD"/>
        </w:pBdr>
      </w:pPr>
      <w:r>
        <w:rPr>
          <w:rFonts w:ascii="Consolas" w:hAnsi="Consolas"/>
          <w:color w:val="0B1F3A"/>
          <w:sz w:val="16"/>
        </w:rPr>
        <w:t>| How do I leave an Ajo?                   |</w:t>
      </w:r>
    </w:p>
    <w:p>
      <w:pPr>
        <w:spacing w:before="0" w:after="0" w:line="240" w:lineRule="auto"/>
        <w:ind w:left="230"/>
        <w:shd w:val="clear" w:color="auto" w:fill="F7F9FC"/>
        <w:pBdr>
          <w:left w:val="single" w:sz="4" w:space="6" w:color="D0D5DD"/>
        </w:pBdr>
      </w:pPr>
      <w:r>
        <w:rPr>
          <w:rFonts w:ascii="Consolas" w:hAnsi="Consolas"/>
          <w:color w:val="0B1F3A"/>
          <w:sz w:val="16"/>
        </w:rPr>
        <w:t>| What happens if someone                  |</w:t>
      </w:r>
    </w:p>
    <w:p>
      <w:pPr>
        <w:spacing w:before="0" w:after="0" w:line="240" w:lineRule="auto"/>
        <w:ind w:left="230"/>
        <w:shd w:val="clear" w:color="auto" w:fill="F7F9FC"/>
        <w:pBdr>
          <w:left w:val="single" w:sz="4" w:space="6" w:color="D0D5DD"/>
        </w:pBdr>
      </w:pPr>
      <w:r>
        <w:rPr>
          <w:rFonts w:ascii="Consolas" w:hAnsi="Consolas"/>
          <w:color w:val="0B1F3A"/>
          <w:sz w:val="16"/>
        </w:rPr>
        <w:t>|    does not pay?                         |</w:t>
      </w:r>
    </w:p>
    <w:p>
      <w:pPr>
        <w:spacing w:before="0" w:after="0" w:line="240" w:lineRule="auto"/>
        <w:ind w:left="230"/>
        <w:shd w:val="clear" w:color="auto" w:fill="F7F9FC"/>
        <w:pBdr>
          <w:left w:val="single" w:sz="4" w:space="6" w:color="D0D5DD"/>
        </w:pBdr>
      </w:pPr>
      <w:r>
        <w:rPr>
          <w:rFonts w:ascii="Consolas" w:hAnsi="Consolas"/>
          <w:color w:val="0B1F3A"/>
          <w:sz w:val="16"/>
        </w:rPr>
        <w:t>+-- (4) CONTACT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Still stuck?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 Start a chat }*                 |   |</w:t>
      </w:r>
    </w:p>
    <w:p>
      <w:pPr>
        <w:spacing w:before="0" w:after="0" w:line="240" w:lineRule="auto"/>
        <w:ind w:left="230"/>
        <w:shd w:val="clear" w:color="auto" w:fill="F7F9FC"/>
        <w:pBdr>
          <w:left w:val="single" w:sz="4" w:space="6" w:color="D0D5DD"/>
        </w:pBdr>
      </w:pPr>
      <w:r>
        <w:rPr>
          <w:rFonts w:ascii="Consolas" w:hAnsi="Consolas"/>
          <w:color w:val="0B1F3A"/>
          <w:sz w:val="16"/>
        </w:rPr>
        <w:t>| |  { Send an email }                 |   |</w:t>
      </w:r>
    </w:p>
    <w:p>
      <w:pPr>
        <w:spacing w:before="0" w:after="0" w:line="240" w:lineRule="auto"/>
        <w:ind w:left="230"/>
        <w:shd w:val="clear" w:color="auto" w:fill="F7F9FC"/>
        <w:pBdr>
          <w:left w:val="single" w:sz="4" w:space="6" w:color="D0D5DD"/>
        </w:pBdr>
      </w:pPr>
      <w:r>
        <w:rPr>
          <w:rFonts w:ascii="Consolas" w:hAnsi="Consolas"/>
          <w:color w:val="0B1F3A"/>
          <w:sz w:val="16"/>
        </w:rPr>
        <w:t>| |  { Raise a dispute }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Chat 08:00 to 20:00 WAT.          |   |</w:t>
      </w:r>
    </w:p>
    <w:p>
      <w:pPr>
        <w:spacing w:before="0" w:after="0" w:line="240" w:lineRule="auto"/>
        <w:ind w:left="230"/>
        <w:shd w:val="clear" w:color="auto" w:fill="F7F9FC"/>
        <w:pBdr>
          <w:left w:val="single" w:sz="4" w:space="6" w:color="D0D5DD"/>
        </w:pBdr>
      </w:pPr>
      <w:r>
        <w:rPr>
          <w:rFonts w:ascii="Consolas" w:hAnsi="Consolas"/>
          <w:color w:val="0B1F3A"/>
          <w:sz w:val="16"/>
        </w:rPr>
        <w:t>| |  Disputes are read the same        |   |</w:t>
      </w:r>
    </w:p>
    <w:p>
      <w:pPr>
        <w:spacing w:before="0" w:after="0" w:line="240" w:lineRule="auto"/>
        <w:ind w:left="230"/>
        <w:shd w:val="clear" w:color="auto" w:fill="F7F9FC"/>
        <w:pBdr>
          <w:left w:val="single" w:sz="4" w:space="6" w:color="D0D5DD"/>
        </w:pBdr>
      </w:pPr>
      <w:r>
        <w:rPr>
          <w:rFonts w:ascii="Consolas" w:hAnsi="Consolas"/>
          <w:color w:val="0B1F3A"/>
          <w:sz w:val="16"/>
        </w:rPr>
        <w:t>| |  hours.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(5) BOTTOM NAV ------------------------+</w:t>
      </w:r>
    </w:p>
    <w:p>
      <w:pPr>
        <w:spacing w:before="0" w:after="0" w:line="240" w:lineRule="auto"/>
        <w:ind w:left="230"/>
        <w:shd w:val="clear" w:color="auto" w:fill="F7F9FC"/>
        <w:pBdr>
          <w:left w:val="single" w:sz="4" w:space="6" w:color="D0D5DD"/>
        </w:pBdr>
      </w:pPr>
      <w:r>
        <w:rPr>
          <w:rFonts w:ascii="Consolas" w:hAnsi="Consolas"/>
          <w:color w:val="0B1F3A"/>
          <w:sz w:val="16"/>
        </w:rPr>
        <w:t>| Home  Ajos  Pay  Alerts  More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left navigation for the app and the console, a constrained 720 px reading column for the money surfaces, and a right-hand context column on the detail screens. Nothing is centred that should be left-aligned.</w:t>
      </w:r>
    </w:p>
    <w:p>
      <w:pPr>
        <w:spacing w:before="0" w:after="0" w:line="240" w:lineRule="auto"/>
        <w:ind w:left="230"/>
        <w:shd w:val="clear" w:color="auto" w:fill="F7F9FC"/>
        <w:pBdr>
          <w:left w:val="single" w:sz="4" w:space="6" w:color="D0D5DD"/>
        </w:pBdr>
      </w:pPr>
      <w:r>
        <w:rPr>
          <w:rFonts w:ascii="Consolas" w:hAnsi="Consolas"/>
          <w:color w:val="0B1F3A"/>
          <w:sz w:val="16"/>
        </w:rPr>
        <w:t>+-- (1) LEFT NAV ----------------------------------------------------------+</w:t>
      </w:r>
    </w:p>
    <w:p>
      <w:pPr>
        <w:spacing w:before="0" w:after="0" w:line="240" w:lineRule="auto"/>
        <w:ind w:left="230"/>
        <w:shd w:val="clear" w:color="auto" w:fill="F7F9FC"/>
        <w:pBdr>
          <w:left w:val="single" w:sz="4" w:space="6" w:color="D0D5DD"/>
        </w:pBdr>
      </w:pPr>
      <w:r>
        <w:rPr>
          <w:rFonts w:ascii="Consolas" w:hAnsi="Consolas"/>
          <w:color w:val="0B1F3A"/>
          <w:sz w:val="16"/>
        </w:rPr>
        <w:t>| Home                                                                     |</w:t>
      </w:r>
    </w:p>
    <w:p>
      <w:pPr>
        <w:spacing w:before="0" w:after="0" w:line="240" w:lineRule="auto"/>
        <w:ind w:left="230"/>
        <w:shd w:val="clear" w:color="auto" w:fill="F7F9FC"/>
        <w:pBdr>
          <w:left w:val="single" w:sz="4" w:space="6" w:color="D0D5DD"/>
        </w:pBdr>
      </w:pPr>
      <w:r>
        <w:rPr>
          <w:rFonts w:ascii="Consolas" w:hAnsi="Consolas"/>
          <w:color w:val="0B1F3A"/>
          <w:sz w:val="16"/>
        </w:rPr>
        <w:t>| My Ajos                                                                  |</w:t>
      </w:r>
    </w:p>
    <w:p>
      <w:pPr>
        <w:spacing w:before="0" w:after="0" w:line="240" w:lineRule="auto"/>
        <w:ind w:left="230"/>
        <w:shd w:val="clear" w:color="auto" w:fill="F7F9FC"/>
        <w:pBdr>
          <w:left w:val="single" w:sz="4" w:space="6" w:color="D0D5DD"/>
        </w:pBdr>
      </w:pPr>
      <w:r>
        <w:rPr>
          <w:rFonts w:ascii="Consolas" w:hAnsi="Consolas"/>
          <w:color w:val="0B1F3A"/>
          <w:sz w:val="16"/>
        </w:rPr>
        <w:t>| Pay                                                                      |</w:t>
      </w:r>
    </w:p>
    <w:p>
      <w:pPr>
        <w:spacing w:before="0" w:after="0" w:line="240" w:lineRule="auto"/>
        <w:ind w:left="230"/>
        <w:shd w:val="clear" w:color="auto" w:fill="F7F9FC"/>
        <w:pBdr>
          <w:left w:val="single" w:sz="4" w:space="6" w:color="D0D5DD"/>
        </w:pBdr>
      </w:pPr>
      <w:r>
        <w:rPr>
          <w:rFonts w:ascii="Consolas" w:hAnsi="Consolas"/>
          <w:color w:val="0B1F3A"/>
          <w:sz w:val="16"/>
        </w:rPr>
        <w:t>| Alerts                                                                   |</w:t>
      </w:r>
    </w:p>
    <w:p>
      <w:pPr>
        <w:spacing w:before="0" w:after="0" w:line="240" w:lineRule="auto"/>
        <w:ind w:left="230"/>
        <w:shd w:val="clear" w:color="auto" w:fill="F7F9FC"/>
        <w:pBdr>
          <w:left w:val="single" w:sz="4" w:space="6" w:color="D0D5DD"/>
        </w:pBdr>
      </w:pPr>
      <w:r>
        <w:rPr>
          <w:rFonts w:ascii="Consolas" w:hAnsi="Consolas"/>
          <w:color w:val="0B1F3A"/>
          <w:sz w:val="16"/>
        </w:rPr>
        <w:t>| Support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Profile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SEARCH ------------------------------------------------------------+</w:t>
      </w:r>
    </w:p>
    <w:p>
      <w:pPr>
        <w:spacing w:before="0" w:after="0" w:line="240" w:lineRule="auto"/>
        <w:ind w:left="230"/>
        <w:shd w:val="clear" w:color="auto" w:fill="F7F9FC"/>
        <w:pBdr>
          <w:left w:val="single" w:sz="4" w:space="6" w:color="D0D5DD"/>
        </w:pBdr>
      </w:pPr>
      <w:r>
        <w:rPr>
          <w:rFonts w:ascii="Consolas" w:hAnsi="Consolas"/>
          <w:color w:val="0B1F3A"/>
          <w:sz w:val="16"/>
        </w:rPr>
        <w:t>| [ What do you need help with?                                     ]      |</w:t>
      </w:r>
    </w:p>
    <w:p>
      <w:pPr>
        <w:spacing w:before="0" w:after="0" w:line="240" w:lineRule="auto"/>
        <w:ind w:left="230"/>
        <w:shd w:val="clear" w:color="auto" w:fill="F7F9FC"/>
        <w:pBdr>
          <w:left w:val="single" w:sz="4" w:space="6" w:color="D0D5DD"/>
        </w:pBdr>
      </w:pPr>
      <w:r>
        <w:rPr>
          <w:rFonts w:ascii="Consolas" w:hAnsi="Consolas"/>
          <w:color w:val="0B1F3A"/>
          <w:sz w:val="16"/>
        </w:rPr>
        <w:t>+-- (3) TOPICS ------------------------------------------------------------+</w:t>
      </w:r>
    </w:p>
    <w:p>
      <w:pPr>
        <w:spacing w:before="0" w:after="0" w:line="240" w:lineRule="auto"/>
        <w:ind w:left="230"/>
        <w:shd w:val="clear" w:color="auto" w:fill="F7F9FC"/>
        <w:pBdr>
          <w:left w:val="single" w:sz="4" w:space="6" w:color="D0D5DD"/>
        </w:pBdr>
      </w:pPr>
      <w:r>
        <w:rPr>
          <w:rFonts w:ascii="Consolas" w:hAnsi="Consolas"/>
          <w:color w:val="0B1F3A"/>
          <w:sz w:val="16"/>
        </w:rPr>
        <w:t>| Payments   I was charged but the receipt is wrong                        |</w:t>
      </w:r>
    </w:p>
    <w:p>
      <w:pPr>
        <w:spacing w:before="0" w:after="0" w:line="240" w:lineRule="auto"/>
        <w:ind w:left="230"/>
        <w:shd w:val="clear" w:color="auto" w:fill="F7F9FC"/>
        <w:pBdr>
          <w:left w:val="single" w:sz="4" w:space="6" w:color="D0D5DD"/>
        </w:pBdr>
      </w:pPr>
      <w:r>
        <w:rPr>
          <w:rFonts w:ascii="Consolas" w:hAnsi="Consolas"/>
          <w:color w:val="0B1F3A"/>
          <w:sz w:val="16"/>
        </w:rPr>
        <w:t>| Payouts    My payout has not arrive                                      |</w:t>
      </w:r>
    </w:p>
    <w:p>
      <w:pPr>
        <w:spacing w:before="0" w:after="0" w:line="240" w:lineRule="auto"/>
        <w:ind w:left="230"/>
        <w:shd w:val="clear" w:color="auto" w:fill="F7F9FC"/>
        <w:pBdr>
          <w:left w:val="single" w:sz="4" w:space="6" w:color="D0D5DD"/>
        </w:pBdr>
      </w:pPr>
      <w:r>
        <w:rPr>
          <w:rFonts w:ascii="Consolas" w:hAnsi="Consolas"/>
          <w:color w:val="0B1F3A"/>
          <w:sz w:val="16"/>
        </w:rPr>
        <w:t>| Account    I cannot log in, or am locked out                             |</w:t>
      </w:r>
    </w:p>
    <w:p>
      <w:pPr>
        <w:spacing w:before="0" w:after="0" w:line="240" w:lineRule="auto"/>
        <w:ind w:left="230"/>
        <w:shd w:val="clear" w:color="auto" w:fill="F7F9FC"/>
        <w:pBdr>
          <w:left w:val="single" w:sz="4" w:space="6" w:color="D0D5DD"/>
        </w:pBdr>
      </w:pPr>
      <w:r>
        <w:rPr>
          <w:rFonts w:ascii="Consolas" w:hAnsi="Consolas"/>
          <w:color w:val="0B1F3A"/>
          <w:sz w:val="16"/>
        </w:rPr>
        <w:t>| Ajos       How do I leave, or join, an Ajo                               |</w:t>
      </w:r>
    </w:p>
    <w:p>
      <w:pPr>
        <w:spacing w:before="0" w:after="0" w:line="240" w:lineRule="auto"/>
        <w:ind w:left="230"/>
        <w:shd w:val="clear" w:color="auto" w:fill="F7F9FC"/>
        <w:pBdr>
          <w:left w:val="single" w:sz="4" w:space="6" w:color="D0D5DD"/>
        </w:pBdr>
      </w:pPr>
      <w:r>
        <w:rPr>
          <w:rFonts w:ascii="Consolas" w:hAnsi="Consolas"/>
          <w:color w:val="0B1F3A"/>
          <w:sz w:val="16"/>
        </w:rPr>
        <w:t>| Defaults   What happens if someone does not pay                          |</w:t>
      </w:r>
    </w:p>
    <w:p>
      <w:pPr>
        <w:spacing w:before="0" w:after="0" w:line="240" w:lineRule="auto"/>
        <w:ind w:left="230"/>
        <w:shd w:val="clear" w:color="auto" w:fill="F7F9FC"/>
        <w:pBdr>
          <w:left w:val="single" w:sz="4" w:space="6" w:color="D0D5DD"/>
        </w:pBdr>
      </w:pPr>
      <w:r>
        <w:rPr>
          <w:rFonts w:ascii="Consolas" w:hAnsi="Consolas"/>
          <w:color w:val="0B1F3A"/>
          <w:sz w:val="16"/>
        </w:rPr>
        <w:t>| Fees       Why is there a 2% fee, and where does it go                   |</w:t>
      </w:r>
    </w:p>
    <w:p>
      <w:pPr>
        <w:spacing w:before="0" w:after="0" w:line="240" w:lineRule="auto"/>
        <w:ind w:left="230"/>
        <w:shd w:val="clear" w:color="auto" w:fill="F7F9FC"/>
        <w:pBdr>
          <w:left w:val="single" w:sz="4" w:space="6" w:color="D0D5DD"/>
        </w:pBdr>
      </w:pPr>
      <w:r>
        <w:rPr>
          <w:rFonts w:ascii="Consolas" w:hAnsi="Consolas"/>
          <w:color w:val="0B1F3A"/>
          <w:sz w:val="16"/>
        </w:rPr>
        <w:t>+-- (4) CONTACT -----------------------------------------------------------+</w:t>
      </w:r>
    </w:p>
    <w:p>
      <w:pPr>
        <w:spacing w:before="0" w:after="0" w:line="240" w:lineRule="auto"/>
        <w:ind w:left="230"/>
        <w:shd w:val="clear" w:color="auto" w:fill="F7F9FC"/>
        <w:pBdr>
          <w:left w:val="single" w:sz="4" w:space="6" w:color="D0D5DD"/>
        </w:pBdr>
      </w:pPr>
      <w:r>
        <w:rPr>
          <w:rFonts w:ascii="Consolas" w:hAnsi="Consolas"/>
          <w:color w:val="0B1F3A"/>
          <w:sz w:val="16"/>
        </w:rPr>
        <w:t>| Chat      08:00 to 20:00 WAT, in-app, with Ajo context attached          |</w:t>
      </w:r>
    </w:p>
    <w:p>
      <w:pPr>
        <w:spacing w:before="0" w:after="0" w:line="240" w:lineRule="auto"/>
        <w:ind w:left="230"/>
        <w:shd w:val="clear" w:color="auto" w:fill="F7F9FC"/>
        <w:pBdr>
          <w:left w:val="single" w:sz="4" w:space="6" w:color="D0D5DD"/>
        </w:pBdr>
      </w:pPr>
      <w:r>
        <w:rPr>
          <w:rFonts w:ascii="Consolas" w:hAnsi="Consolas"/>
          <w:color w:val="0B1F3A"/>
          <w:sz w:val="16"/>
        </w:rPr>
        <w:t>| Email     support@ajo.ng, answered within one working day                |</w:t>
      </w:r>
    </w:p>
    <w:p>
      <w:pPr>
        <w:spacing w:before="0" w:after="0" w:line="240" w:lineRule="auto"/>
        <w:ind w:left="230"/>
        <w:shd w:val="clear" w:color="auto" w:fill="F7F9FC"/>
        <w:pBdr>
          <w:left w:val="single" w:sz="4" w:space="6" w:color="D0D5DD"/>
        </w:pBdr>
      </w:pPr>
      <w:r>
        <w:rPr>
          <w:rFonts w:ascii="Consolas" w:hAnsi="Consolas"/>
          <w:color w:val="0B1F3A"/>
          <w:sz w:val="16"/>
        </w:rPr>
        <w:t>| Dispute   raised from the Ajo, contribution or payout, not from here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Support can read your records and contact you. Support cannot move       |</w:t>
      </w:r>
    </w:p>
    <w:p>
      <w:pPr>
        <w:spacing w:before="0" w:after="0" w:line="240" w:lineRule="auto"/>
        <w:ind w:left="230"/>
        <w:shd w:val="clear" w:color="auto" w:fill="F7F9FC"/>
        <w:pBdr>
          <w:left w:val="single" w:sz="4" w:space="6" w:color="D0D5DD"/>
        </w:pBdr>
      </w:pPr>
      <w:r>
        <w:rPr>
          <w:rFonts w:ascii="Consolas" w:hAnsi="Consolas"/>
          <w:color w:val="0B1F3A"/>
          <w:sz w:val="16"/>
        </w:rPr>
        <w:t>|   money,                                                                 |</w:t>
      </w:r>
    </w:p>
    <w:p>
      <w:pPr>
        <w:spacing w:before="0" w:after="0" w:line="240" w:lineRule="auto"/>
        <w:ind w:left="230"/>
        <w:shd w:val="clear" w:color="auto" w:fill="F7F9FC"/>
        <w:pBdr>
          <w:left w:val="single" w:sz="4" w:space="6" w:color="D0D5DD"/>
        </w:pBdr>
      </w:pPr>
      <w:r>
        <w:rPr>
          <w:rFonts w:ascii="Consolas" w:hAnsi="Consolas"/>
          <w:color w:val="0B1F3A"/>
          <w:sz w:val="16"/>
        </w:rPr>
        <w:t>| alter a financial record, initiate a payout, or override a risk          |</w:t>
      </w:r>
    </w:p>
    <w:p>
      <w:pPr>
        <w:spacing w:before="0" w:after="0" w:line="240" w:lineRule="auto"/>
        <w:ind w:left="230"/>
        <w:shd w:val="clear" w:color="auto" w:fill="F7F9FC"/>
        <w:pBdr>
          <w:left w:val="single" w:sz="4" w:space="6" w:color="D0D5DD"/>
        </w:pBdr>
      </w:pPr>
      <w:r>
        <w:rPr>
          <w:rFonts w:ascii="Consolas" w:hAnsi="Consolas"/>
          <w:color w:val="0B1F3A"/>
          <w:sz w:val="16"/>
        </w:rPr>
        <w:t>|   decision.                                                              |</w:t>
      </w:r>
    </w:p>
    <w:p>
      <w:pPr>
        <w:spacing w:before="0" w:after="0" w:line="240" w:lineRule="auto"/>
        <w:ind w:left="230"/>
        <w:shd w:val="clear" w:color="auto" w:fill="F7F9FC"/>
        <w:pBdr>
          <w:left w:val="single" w:sz="4" w:space="6" w:color="D0D5DD"/>
        </w:pBdr>
      </w:pPr>
      <w:r>
        <w:rPr>
          <w:rFonts w:ascii="Consolas" w:hAnsi="Consolas"/>
          <w:color w:val="0B1F3A"/>
          <w:sz w:val="16"/>
        </w:rPr>
        <w:t>| Those are the roles in CANONICAL.md section 2, and a support agent is    |</w:t>
      </w:r>
    </w:p>
    <w:p>
      <w:pPr>
        <w:spacing w:before="0" w:after="0" w:line="240" w:lineRule="auto"/>
        <w:ind w:left="230"/>
        <w:shd w:val="clear" w:color="auto" w:fill="F7F9FC"/>
        <w:pBdr>
          <w:left w:val="single" w:sz="4" w:space="6" w:color="D0D5DD"/>
        </w:pBdr>
      </w:pPr>
      <w:r>
        <w:rPr>
          <w:rFonts w:ascii="Consolas" w:hAnsi="Consolas"/>
          <w:color w:val="0B1F3A"/>
          <w:sz w:val="16"/>
        </w:rPr>
        <w:t>|   not                                                                    |</w:t>
      </w:r>
    </w:p>
    <w:p>
      <w:pPr>
        <w:spacing w:before="0" w:after="0" w:line="240" w:lineRule="auto"/>
        <w:ind w:left="230"/>
        <w:shd w:val="clear" w:color="auto" w:fill="F7F9FC"/>
        <w:pBdr>
          <w:left w:val="single" w:sz="4" w:space="6" w:color="D0D5DD"/>
        </w:pBdr>
      </w:pPr>
      <w:r>
        <w:rPr>
          <w:rFonts w:ascii="Consolas" w:hAnsi="Consolas"/>
          <w:color w:val="0B1F3A"/>
          <w:sz w:val="16"/>
        </w:rPr>
        <w:t>| able to do them however sympathetic the situation.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6.29.2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19"/>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267"/>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869"/>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19"/>
            <w:tcMar>
              <w:top w:w="60" w:type="dxa"/>
              <w:start w:w="110" w:type="dxa"/>
              <w:bottom w:w="60" w:type="dxa"/>
              <w:end w:w="110" w:type="dxa"/>
            </w:tcMar>
          </w:tcPr>
          <w:p>
            <w:pPr>
              <w:spacing w:after="0"/>
            </w:pPr>
            <w:r/>
            <w:r>
              <w:rPr>
                <w:rFonts w:ascii="Calibri" w:hAnsi="Calibri"/>
                <w:b w:val="0"/>
                <w:i w:val="0"/>
                <w:color w:val="101828"/>
                <w:sz w:val="14"/>
              </w:rPr>
              <w:t>(1) Search</w:t>
            </w:r>
          </w:p>
        </w:tc>
        <w:tc>
          <w:tcPr>
            <w:tcW w:type="dxa" w:w="1267"/>
            <w:tcMar>
              <w:top w:w="60" w:type="dxa"/>
              <w:start w:w="110" w:type="dxa"/>
              <w:bottom w:w="60" w:type="dxa"/>
              <w:end w:w="110" w:type="dxa"/>
            </w:tcMar>
          </w:tcPr>
          <w:p>
            <w:pPr>
              <w:spacing w:after="0"/>
            </w:pPr>
            <w:r/>
            <w:r>
              <w:rPr>
                <w:rFonts w:ascii="Calibri" w:hAnsi="Calibri"/>
                <w:b w:val="0"/>
                <w:i w:val="0"/>
                <w:color w:val="101828"/>
                <w:sz w:val="14"/>
              </w:rPr>
              <w:t>Free text over topics and articles.</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869"/>
            <w:tcMar>
              <w:top w:w="60" w:type="dxa"/>
              <w:start w:w="110" w:type="dxa"/>
              <w:bottom w:w="60" w:type="dxa"/>
              <w:end w:w="110" w:type="dxa"/>
            </w:tcMar>
          </w:tcPr>
          <w:p>
            <w:pPr>
              <w:spacing w:after="0"/>
            </w:pPr>
            <w:r/>
            <w:r>
              <w:rPr>
                <w:rFonts w:ascii="Calibri" w:hAnsi="Calibri"/>
                <w:b w:val="0"/>
                <w:i w:val="0"/>
                <w:color w:val="101828"/>
                <w:sz w:val="14"/>
              </w:rPr>
              <w:t>Search is a convenience over a hand-written topic list of about thirty entries, not a knowledge-base search. A product with no live volume has no real query data to tune against, and pretending otherwise is how a search box ships empty.</w:t>
            </w:r>
          </w:p>
        </w:tc>
      </w:tr>
      <w:tr>
        <w:trPr>
          <w:cantSplit/>
        </w:trPr>
        <w:tc>
          <w:tcPr>
            <w:tcW w:type="dxa" w:w="619"/>
            <w:tcMar>
              <w:top w:w="60" w:type="dxa"/>
              <w:start w:w="110" w:type="dxa"/>
              <w:bottom w:w="60" w:type="dxa"/>
              <w:end w:w="110" w:type="dxa"/>
            </w:tcMar>
            <w:shd w:val="clear" w:color="auto" w:fill="F4F7FB"/>
          </w:tcPr>
          <w:p>
            <w:pPr>
              <w:spacing w:after="0"/>
            </w:pPr>
            <w:r/>
            <w:r>
              <w:rPr>
                <w:rFonts w:ascii="Calibri" w:hAnsi="Calibri"/>
                <w:b w:val="0"/>
                <w:i w:val="0"/>
                <w:color w:val="101828"/>
                <w:sz w:val="14"/>
              </w:rPr>
              <w:t>(2) Topic list</w:t>
            </w:r>
          </w:p>
        </w:tc>
        <w:tc>
          <w:tcPr>
            <w:tcW w:type="dxa" w:w="1267"/>
            <w:tcMar>
              <w:top w:w="60" w:type="dxa"/>
              <w:start w:w="110" w:type="dxa"/>
              <w:bottom w:w="60" w:type="dxa"/>
              <w:end w:w="110" w:type="dxa"/>
            </w:tcMar>
            <w:shd w:val="clear" w:color="auto" w:fill="F4F7FB"/>
          </w:tcPr>
          <w:p>
            <w:pPr>
              <w:spacing w:after="0"/>
            </w:pPr>
            <w:r/>
            <w:r>
              <w:rPr>
                <w:rFonts w:ascii="Calibri" w:hAnsi="Calibri"/>
                <w:b w:val="0"/>
                <w:i w:val="0"/>
                <w:color w:val="101828"/>
                <w:sz w:val="14"/>
              </w:rPr>
              <w:t>Symptoms, phrased as the person would say them.</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869"/>
            <w:tcMar>
              <w:top w:w="60" w:type="dxa"/>
              <w:start w:w="110" w:type="dxa"/>
              <w:bottom w:w="60" w:type="dxa"/>
              <w:end w:w="110" w:type="dxa"/>
            </w:tcMar>
            <w:shd w:val="clear" w:color="auto" w:fill="F4F7FB"/>
          </w:tcPr>
          <w:p>
            <w:pPr>
              <w:spacing w:after="0"/>
            </w:pPr>
            <w:r/>
            <w:r>
              <w:rPr>
                <w:rFonts w:ascii="Calibri" w:hAnsi="Calibri"/>
                <w:b w:val="0"/>
                <w:i w:val="0"/>
                <w:color w:val="101828"/>
                <w:sz w:val="14"/>
              </w:rPr>
              <w:t>Written from complaints, not from the nav. The six in the frame are the ones the product's own edge cases predict.</w:t>
            </w:r>
          </w:p>
        </w:tc>
      </w:tr>
      <w:tr>
        <w:trPr>
          <w:cantSplit/>
        </w:trPr>
        <w:tc>
          <w:tcPr>
            <w:tcW w:type="dxa" w:w="619"/>
            <w:tcMar>
              <w:top w:w="60" w:type="dxa"/>
              <w:start w:w="110" w:type="dxa"/>
              <w:bottom w:w="60" w:type="dxa"/>
              <w:end w:w="110" w:type="dxa"/>
            </w:tcMar>
          </w:tcPr>
          <w:p>
            <w:pPr>
              <w:spacing w:after="0"/>
            </w:pPr>
            <w:r/>
            <w:r>
              <w:rPr>
                <w:rFonts w:ascii="Calibri" w:hAnsi="Calibri"/>
                <w:b w:val="0"/>
                <w:i w:val="0"/>
                <w:color w:val="101828"/>
                <w:sz w:val="14"/>
              </w:rPr>
              <w:t>(3) Chat with context</w:t>
            </w:r>
          </w:p>
        </w:tc>
        <w:tc>
          <w:tcPr>
            <w:tcW w:type="dxa" w:w="1267"/>
            <w:tcMar>
              <w:top w:w="60" w:type="dxa"/>
              <w:start w:w="110" w:type="dxa"/>
              <w:bottom w:w="60" w:type="dxa"/>
              <w:end w:w="110" w:type="dxa"/>
            </w:tcMar>
          </w:tcPr>
          <w:p>
            <w:pPr>
              <w:spacing w:after="0"/>
            </w:pPr>
            <w:r/>
            <w:r>
              <w:rPr>
                <w:rFonts w:ascii="Calibri" w:hAnsi="Calibri"/>
                <w:b w:val="0"/>
                <w:i w:val="0"/>
                <w:color w:val="101828"/>
                <w:sz w:val="14"/>
              </w:rPr>
              <w:t>Chat that already knows which Ajo the person is looking at.</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869"/>
            <w:tcMar>
              <w:top w:w="60" w:type="dxa"/>
              <w:start w:w="110" w:type="dxa"/>
              <w:bottom w:w="60" w:type="dxa"/>
              <w:end w:w="110" w:type="dxa"/>
            </w:tcMar>
          </w:tcPr>
          <w:p>
            <w:pPr>
              <w:spacing w:after="0"/>
            </w:pPr>
            <w:r/>
            <w:r>
              <w:rPr>
                <w:rFonts w:ascii="Calibri" w:hAnsi="Calibri"/>
                <w:b w:val="0"/>
                <w:i w:val="0"/>
                <w:color w:val="101828"/>
                <w:sz w:val="14"/>
              </w:rPr>
              <w:t>The Ajo, contribution or payout reference is attached automatically. A member who pastes a screenshot is describing a picture, and the reference is what turns it into a query.</w:t>
            </w:r>
          </w:p>
        </w:tc>
      </w:tr>
      <w:tr>
        <w:trPr>
          <w:cantSplit/>
        </w:trPr>
        <w:tc>
          <w:tcPr>
            <w:tcW w:type="dxa" w:w="619"/>
            <w:tcMar>
              <w:top w:w="60" w:type="dxa"/>
              <w:start w:w="110" w:type="dxa"/>
              <w:bottom w:w="60" w:type="dxa"/>
              <w:end w:w="110" w:type="dxa"/>
            </w:tcMar>
            <w:shd w:val="clear" w:color="auto" w:fill="F4F7FB"/>
          </w:tcPr>
          <w:p>
            <w:pPr>
              <w:spacing w:after="0"/>
            </w:pPr>
            <w:r/>
            <w:r>
              <w:rPr>
                <w:rFonts w:ascii="Calibri" w:hAnsi="Calibri"/>
                <w:b w:val="0"/>
                <w:i w:val="0"/>
                <w:color w:val="101828"/>
                <w:sz w:val="14"/>
              </w:rPr>
              <w:t>(4) Support hours</w:t>
            </w:r>
          </w:p>
        </w:tc>
        <w:tc>
          <w:tcPr>
            <w:tcW w:type="dxa" w:w="1267"/>
            <w:tcMar>
              <w:top w:w="60" w:type="dxa"/>
              <w:start w:w="110" w:type="dxa"/>
              <w:bottom w:w="60" w:type="dxa"/>
              <w:end w:w="110" w:type="dxa"/>
            </w:tcMar>
            <w:shd w:val="clear" w:color="auto" w:fill="F4F7FB"/>
          </w:tcPr>
          <w:p>
            <w:pPr>
              <w:spacing w:after="0"/>
            </w:pPr>
            <w:r/>
            <w:r>
              <w:rPr>
                <w:rFonts w:ascii="Calibri" w:hAnsi="Calibri"/>
                <w:b w:val="0"/>
                <w:i w:val="0"/>
                <w:color w:val="101828"/>
                <w:sz w:val="14"/>
              </w:rPr>
              <w:t>Published, with a real time zone.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869"/>
            <w:tcMar>
              <w:top w:w="60" w:type="dxa"/>
              <w:start w:w="110" w:type="dxa"/>
              <w:bottom w:w="60" w:type="dxa"/>
              <w:end w:w="110" w:type="dxa"/>
            </w:tcMar>
            <w:shd w:val="clear" w:color="auto" w:fill="F4F7FB"/>
          </w:tcPr>
          <w:p>
            <w:pPr>
              <w:spacing w:after="0"/>
            </w:pPr>
            <w:r/>
            <w:r>
              <w:rPr>
                <w:rFonts w:ascii="Calibri" w:hAnsi="Calibri"/>
                <w:b w:val="0"/>
                <w:i w:val="0"/>
                <w:color w:val="101828"/>
                <w:sz w:val="14"/>
              </w:rPr>
              <w:t>08:00 to 20:00 WAT. A published window with a queue is better support than an always-open channel that answers in nine hours.</w:t>
            </w:r>
          </w:p>
        </w:tc>
      </w:tr>
      <w:tr>
        <w:trPr>
          <w:cantSplit/>
        </w:trPr>
        <w:tc>
          <w:tcPr>
            <w:tcW w:type="dxa" w:w="619"/>
            <w:tcMar>
              <w:top w:w="60" w:type="dxa"/>
              <w:start w:w="110" w:type="dxa"/>
              <w:bottom w:w="60" w:type="dxa"/>
              <w:end w:w="110" w:type="dxa"/>
            </w:tcMar>
          </w:tcPr>
          <w:p>
            <w:pPr>
              <w:spacing w:after="0"/>
            </w:pPr>
            <w:r/>
            <w:r>
              <w:rPr>
                <w:rFonts w:ascii="Calibri" w:hAnsi="Calibri"/>
                <w:b w:val="0"/>
                <w:i w:val="0"/>
                <w:color w:val="101828"/>
                <w:sz w:val="14"/>
              </w:rPr>
              <w:t>(5) Capability statement</w:t>
            </w:r>
          </w:p>
        </w:tc>
        <w:tc>
          <w:tcPr>
            <w:tcW w:type="dxa" w:w="1267"/>
            <w:tcMar>
              <w:top w:w="60" w:type="dxa"/>
              <w:start w:w="110" w:type="dxa"/>
              <w:bottom w:w="60" w:type="dxa"/>
              <w:end w:w="110" w:type="dxa"/>
            </w:tcMar>
          </w:tcPr>
          <w:p>
            <w:pPr>
              <w:spacing w:after="0"/>
            </w:pPr>
            <w:r/>
            <w:r>
              <w:rPr>
                <w:rFonts w:ascii="Calibri" w:hAnsi="Calibri"/>
                <w:b w:val="0"/>
                <w:i w:val="0"/>
                <w:color w:val="101828"/>
                <w:sz w:val="14"/>
              </w:rPr>
              <w:t>What support can and cannot do.</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869"/>
            <w:tcMar>
              <w:top w:w="60" w:type="dxa"/>
              <w:start w:w="110" w:type="dxa"/>
              <w:bottom w:w="60" w:type="dxa"/>
              <w:end w:w="110" w:type="dxa"/>
            </w:tcMar>
          </w:tcPr>
          <w:p>
            <w:pPr>
              <w:spacing w:after="0"/>
            </w:pPr>
            <w:r/>
            <w:r>
              <w:rPr>
                <w:rFonts w:ascii="Calibri" w:hAnsi="Calibri"/>
                <w:b/>
                <w:color w:val="101828"/>
                <w:sz w:val="14"/>
              </w:rPr>
              <w:t>Mandatory.</w:t>
            </w:r>
            <w:r>
              <w:rPr>
                <w:rFonts w:ascii="Calibri" w:hAnsi="Calibri"/>
                <w:b w:val="0"/>
                <w:i w:val="0"/>
                <w:color w:val="101828"/>
                <w:sz w:val="14"/>
              </w:rPr>
              <w:t xml:space="preserve"> CANONICAL.md gives </w:t>
            </w:r>
            <w:r>
              <w:rPr>
                <w:rFonts w:ascii="Consolas" w:hAnsi="Consolas"/>
                <w:color w:val="146EF5"/>
                <w:sz w:val="14"/>
              </w:rPr>
              <w:t>support</w:t>
            </w:r>
            <w:r>
              <w:rPr>
                <w:rFonts w:ascii="Calibri" w:hAnsi="Calibri"/>
                <w:b w:val="0"/>
                <w:i w:val="0"/>
                <w:color w:val="101828"/>
                <w:sz w:val="14"/>
              </w:rPr>
              <w:t xml:space="preserve"> read access, contact rights and dispute assistance, and explicitly denies moving money, altering financial records, initiating payouts and overriding risk. The screen says so, because a member told </w:t>
            </w:r>
            <w:r>
              <w:rPr>
                <w:rFonts w:ascii="Calibri" w:hAnsi="Calibri"/>
                <w:i/>
                <w:color w:val="101828"/>
                <w:sz w:val="14"/>
              </w:rPr>
              <w:t>I cannot refund that</w:t>
            </w:r>
            <w:r>
              <w:rPr>
                <w:rFonts w:ascii="Calibri" w:hAnsi="Calibri"/>
                <w:b w:val="0"/>
                <w:i w:val="0"/>
                <w:color w:val="101828"/>
                <w:sz w:val="14"/>
              </w:rPr>
              <w:t xml:space="preserve"> deserves to hear it from the product rather than from an agent apologising.</w:t>
            </w:r>
          </w:p>
        </w:tc>
      </w:tr>
      <w:tr>
        <w:trPr>
          <w:cantSplit/>
        </w:trPr>
        <w:tc>
          <w:tcPr>
            <w:tcW w:type="dxa" w:w="619"/>
            <w:tcMar>
              <w:top w:w="60" w:type="dxa"/>
              <w:start w:w="110" w:type="dxa"/>
              <w:bottom w:w="60" w:type="dxa"/>
              <w:end w:w="110" w:type="dxa"/>
            </w:tcMar>
            <w:shd w:val="clear" w:color="auto" w:fill="F4F7FB"/>
          </w:tcPr>
          <w:p>
            <w:pPr>
              <w:spacing w:after="0"/>
            </w:pPr>
            <w:r/>
            <w:r>
              <w:rPr>
                <w:rFonts w:ascii="Calibri" w:hAnsi="Calibri"/>
                <w:b w:val="0"/>
                <w:i w:val="0"/>
                <w:color w:val="101828"/>
                <w:sz w:val="14"/>
              </w:rPr>
              <w:t>(6) Disputes raised elsewhere</w:t>
            </w:r>
          </w:p>
        </w:tc>
        <w:tc>
          <w:tcPr>
            <w:tcW w:type="dxa" w:w="1267"/>
            <w:tcMar>
              <w:top w:w="60" w:type="dxa"/>
              <w:start w:w="110" w:type="dxa"/>
              <w:bottom w:w="60" w:type="dxa"/>
              <w:end w:w="110" w:type="dxa"/>
            </w:tcMar>
            <w:shd w:val="clear" w:color="auto" w:fill="F4F7FB"/>
          </w:tcPr>
          <w:p>
            <w:pPr>
              <w:spacing w:after="0"/>
            </w:pPr>
            <w:r/>
            <w:r>
              <w:rPr>
                <w:rFonts w:ascii="Calibri" w:hAnsi="Calibri"/>
                <w:b w:val="0"/>
                <w:i w:val="0"/>
                <w:color w:val="101828"/>
                <w:sz w:val="14"/>
              </w:rPr>
              <w:t>The dispute route is on the Ajo screens.</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869"/>
            <w:tcMar>
              <w:top w:w="60" w:type="dxa"/>
              <w:start w:w="110" w:type="dxa"/>
              <w:bottom w:w="60" w:type="dxa"/>
              <w:end w:w="110" w:type="dxa"/>
            </w:tcMar>
            <w:shd w:val="clear" w:color="auto" w:fill="F4F7FB"/>
          </w:tcPr>
          <w:p>
            <w:pPr>
              <w:spacing w:after="0"/>
            </w:pPr>
            <w:r/>
            <w:r>
              <w:rPr>
                <w:rFonts w:ascii="Calibri" w:hAnsi="Calibri"/>
                <w:b w:val="0"/>
                <w:i w:val="0"/>
                <w:color w:val="101828"/>
                <w:sz w:val="14"/>
              </w:rPr>
              <w:t>Listed here for completeness, but the primary route is contextual, because a dispute raised from the affected screen arrives with the reference already attached.</w:t>
            </w:r>
          </w:p>
        </w:tc>
      </w:tr>
    </w:tbl>
    <w:p>
      <w:pPr>
        <w:spacing w:after="80"/>
      </w:pPr>
    </w:p>
    <w:p>
      <w:pPr>
        <w:pStyle w:val="Heading2"/>
      </w:pPr>
      <w:r>
        <w:rPr>
          <w:rFonts w:ascii="Calibri" w:hAnsi="Calibri"/>
          <w:b/>
          <w:i w:val="0"/>
          <w:color w:val="146EF5"/>
          <w:sz w:val="29"/>
        </w:rPr>
        <w:t>6.30 Console Overview — SCR-ADM-01</w:t>
      </w:r>
    </w:p>
    <w:p>
      <w:r>
        <w:rPr>
          <w:rFonts w:ascii="Calibri" w:hAnsi="Calibri"/>
          <w:b w:val="0"/>
          <w:i w:val="0"/>
          <w:color w:val="101828"/>
          <w:sz w:val="21"/>
        </w:rPr>
        <w:t>The console's front door, and the only screen an administrator sees before deciding what to do. It answers one question — what needs a person right now — and everything else on it is context for that answer. It deliberately shows no growth charts, no top-lists of users by balance, and no revenue projections, because the three questions those answer are not the questions a person opens an operations console to ask.</w:t>
      </w:r>
    </w:p>
    <w:p>
      <w:pPr>
        <w:spacing w:before="140" w:after="180"/>
        <w:ind w:left="144"/>
        <w:shd w:val="clear" w:color="auto" w:fill="FEF3C7"/>
        <w:pBdr>
          <w:left w:val="single" w:sz="18" w:space="6" w:color="FBBF24"/>
        </w:pBdr>
      </w:pPr>
      <w:r>
        <w:rPr>
          <w:rFonts w:ascii="Calibri" w:hAnsi="Calibri"/>
          <w:b/>
          <w:color w:val="FBBF24"/>
          <w:sz w:val="19"/>
        </w:rPr>
        <w:t xml:space="preserve">This console is not a member-facing view and shows no member balances  </w:t>
      </w:r>
      <w:r>
        <w:rPr>
          <w:rFonts w:ascii="Calibri" w:hAnsi="Calibri"/>
          <w:b w:val="0"/>
          <w:i w:val="0"/>
          <w:color w:val="0B1F3A"/>
          <w:sz w:val="19"/>
        </w:rPr>
        <w:t xml:space="preserve">The console shows platform aggregates. It does not offer a browsable list of every user with their balance on one screen, and such a list is </w:t>
      </w:r>
      <w:r>
        <w:rPr>
          <w:rFonts w:ascii="Calibri" w:hAnsi="Calibri"/>
          <w:b/>
          <w:color w:val="0B1F3A"/>
          <w:sz w:val="19"/>
        </w:rPr>
        <w:t>prohibited at launch</w:t>
      </w:r>
      <w:r>
        <w:rPr>
          <w:rFonts w:ascii="Calibri" w:hAnsi="Calibri"/>
          <w:b w:val="0"/>
          <w:i w:val="0"/>
          <w:color w:val="0B1F3A"/>
          <w:sz w:val="19"/>
        </w:rPr>
        <w:t xml:space="preserve">: a screen that puts every member's balance in front of every staff member is a concentration of personal financial data that no operational need in v1 justifies. The reasons someone is looking up a particular account — a dispute, a risk event, a support contact — are the routes through which a record is reached, and each is audit-logged with the reason. This is a data-minimisation decision and </w:t>
      </w:r>
      <w:r>
        <w:rPr>
          <w:rFonts w:ascii="Calibri" w:hAnsi="Calibri"/>
          <w:b/>
          <w:color w:val="0B1F3A"/>
          <w:sz w:val="19"/>
        </w:rPr>
        <w:t>it should be revisited by counsel against the platform's actual obligations</w:t>
      </w:r>
      <w:r>
        <w:rPr>
          <w:rFonts w:ascii="Calibri" w:hAnsi="Calibri"/>
          <w:b w:val="0"/>
          <w:i w:val="0"/>
          <w:color w:val="0B1F3A"/>
          <w:sz w:val="19"/>
        </w:rPr>
        <w:t>, because a support or risk role may be required to be able to see more than this allows.</w:t>
      </w:r>
    </w:p>
    <w:p>
      <w:pPr>
        <w:pStyle w:val="Heading3"/>
      </w:pPr>
      <w:r>
        <w:rPr>
          <w:rFonts w:ascii="Calibri" w:hAnsi="Calibri"/>
          <w:b/>
          <w:i w:val="0"/>
          <w:color w:val="0B1F3A"/>
          <w:sz w:val="24"/>
        </w:rPr>
        <w:t>6.30.1 Wireframe</w:t>
      </w:r>
    </w:p>
    <w:p>
      <w:r>
        <w:rPr>
          <w:rFonts w:ascii="Calibri" w:hAnsi="Calibri"/>
          <w:b/>
          <w:color w:val="101828"/>
          <w:sz w:val="21"/>
        </w:rPr>
        <w:t>Tablet — 768 px.</w:t>
      </w:r>
      <w:r>
        <w:rPr>
          <w:rFonts w:ascii="Calibri" w:hAnsi="Calibri"/>
          <w:b w:val="0"/>
          <w:i w:val="0"/>
          <w:color w:val="101828"/>
          <w:sz w:val="21"/>
        </w:rPr>
        <w:t xml:space="preserve"> The rail collapses to icons, and the exception list moves above the money block, because on a tablet the exception list is the only thing a person will read.</w:t>
      </w:r>
    </w:p>
    <w:p>
      <w:pPr>
        <w:spacing w:before="0" w:after="0" w:line="240" w:lineRule="auto"/>
        <w:ind w:left="230"/>
        <w:shd w:val="clear" w:color="auto" w:fill="F7F9FC"/>
        <w:pBdr>
          <w:left w:val="single" w:sz="4" w:space="6" w:color="D0D5DD"/>
        </w:pBdr>
      </w:pPr>
      <w:r>
        <w:rPr>
          <w:rFonts w:ascii="Consolas" w:hAnsi="Consolas"/>
          <w:color w:val="0B1F3A"/>
          <w:sz w:val="16"/>
        </w:rPr>
        <w:t>+-- (1) RAIL ----------------------------------------------------+</w:t>
      </w:r>
    </w:p>
    <w:p>
      <w:pPr>
        <w:spacing w:before="0" w:after="0" w:line="240" w:lineRule="auto"/>
        <w:ind w:left="230"/>
        <w:shd w:val="clear" w:color="auto" w:fill="F7F9FC"/>
        <w:pBdr>
          <w:left w:val="single" w:sz="4" w:space="6" w:color="D0D5DD"/>
        </w:pBdr>
      </w:pPr>
      <w:r>
        <w:rPr>
          <w:rFonts w:ascii="Consolas" w:hAnsi="Consolas"/>
          <w:color w:val="0B1F3A"/>
          <w:sz w:val="16"/>
        </w:rPr>
        <w:t>| AJO.ng admin                                                   |</w:t>
      </w:r>
    </w:p>
    <w:p>
      <w:pPr>
        <w:spacing w:before="0" w:after="0" w:line="240" w:lineRule="auto"/>
        <w:ind w:left="230"/>
        <w:shd w:val="clear" w:color="auto" w:fill="F7F9FC"/>
        <w:pBdr>
          <w:left w:val="single" w:sz="4" w:space="6" w:color="D0D5DD"/>
        </w:pBdr>
      </w:pPr>
      <w:r>
        <w:rPr>
          <w:rFonts w:ascii="Consolas" w:hAnsi="Consolas"/>
          <w:color w:val="0B1F3A"/>
          <w:sz w:val="16"/>
        </w:rPr>
        <w:t>| Overview                                                       |</w:t>
      </w:r>
    </w:p>
    <w:p>
      <w:pPr>
        <w:spacing w:before="0" w:after="0" w:line="240" w:lineRule="auto"/>
        <w:ind w:left="230"/>
        <w:shd w:val="clear" w:color="auto" w:fill="F7F9FC"/>
        <w:pBdr>
          <w:left w:val="single" w:sz="4" w:space="6" w:color="D0D5DD"/>
        </w:pBdr>
      </w:pPr>
      <w:r>
        <w:rPr>
          <w:rFonts w:ascii="Consolas" w:hAnsi="Consolas"/>
          <w:color w:val="0B1F3A"/>
          <w:sz w:val="16"/>
        </w:rPr>
        <w:t>| Users                                                          |</w:t>
      </w:r>
    </w:p>
    <w:p>
      <w:pPr>
        <w:spacing w:before="0" w:after="0" w:line="240" w:lineRule="auto"/>
        <w:ind w:left="230"/>
        <w:shd w:val="clear" w:color="auto" w:fill="F7F9FC"/>
        <w:pBdr>
          <w:left w:val="single" w:sz="4" w:space="6" w:color="D0D5DD"/>
        </w:pBdr>
      </w:pPr>
      <w:r>
        <w:rPr>
          <w:rFonts w:ascii="Consolas" w:hAnsi="Consolas"/>
          <w:color w:val="0B1F3A"/>
          <w:sz w:val="16"/>
        </w:rPr>
        <w:t>| Ajos                                                           |</w:t>
      </w:r>
    </w:p>
    <w:p>
      <w:pPr>
        <w:spacing w:before="0" w:after="0" w:line="240" w:lineRule="auto"/>
        <w:ind w:left="230"/>
        <w:shd w:val="clear" w:color="auto" w:fill="F7F9FC"/>
        <w:pBdr>
          <w:left w:val="single" w:sz="4" w:space="6" w:color="D0D5DD"/>
        </w:pBdr>
      </w:pPr>
      <w:r>
        <w:rPr>
          <w:rFonts w:ascii="Consolas" w:hAnsi="Consolas"/>
          <w:color w:val="0B1F3A"/>
          <w:sz w:val="16"/>
        </w:rPr>
        <w:t>| Disputes                                                       |</w:t>
      </w:r>
    </w:p>
    <w:p>
      <w:pPr>
        <w:spacing w:before="0" w:after="0" w:line="240" w:lineRule="auto"/>
        <w:ind w:left="230"/>
        <w:shd w:val="clear" w:color="auto" w:fill="F7F9FC"/>
        <w:pBdr>
          <w:left w:val="single" w:sz="4" w:space="6" w:color="D0D5DD"/>
        </w:pBdr>
      </w:pPr>
      <w:r>
        <w:rPr>
          <w:rFonts w:ascii="Consolas" w:hAnsi="Consolas"/>
          <w:color w:val="0B1F3A"/>
          <w:sz w:val="16"/>
        </w:rPr>
        <w:t>| Risk                                                           |</w:t>
      </w:r>
    </w:p>
    <w:p>
      <w:pPr>
        <w:spacing w:before="0" w:after="0" w:line="240" w:lineRule="auto"/>
        <w:ind w:left="230"/>
        <w:shd w:val="clear" w:color="auto" w:fill="F7F9FC"/>
        <w:pBdr>
          <w:left w:val="single" w:sz="4" w:space="6" w:color="D0D5DD"/>
        </w:pBdr>
      </w:pPr>
      <w:r>
        <w:rPr>
          <w:rFonts w:ascii="Consolas" w:hAnsi="Consolas"/>
          <w:color w:val="0B1F3A"/>
          <w:sz w:val="16"/>
        </w:rPr>
        <w:t>| Reports                                                        |</w:t>
      </w:r>
    </w:p>
    <w:p>
      <w:pPr>
        <w:spacing w:before="0" w:after="0" w:line="240" w:lineRule="auto"/>
        <w:ind w:left="230"/>
        <w:shd w:val="clear" w:color="auto" w:fill="F7F9FC"/>
        <w:pBdr>
          <w:left w:val="single" w:sz="4" w:space="6" w:color="D0D5DD"/>
        </w:pBdr>
      </w:pPr>
      <w:r>
        <w:rPr>
          <w:rFonts w:ascii="Consolas" w:hAnsi="Consolas"/>
          <w:color w:val="0B1F3A"/>
          <w:sz w:val="16"/>
        </w:rPr>
        <w:t>| Audit logs                                                     |</w:t>
      </w:r>
    </w:p>
    <w:p>
      <w:pPr>
        <w:spacing w:before="0" w:after="0" w:line="240" w:lineRule="auto"/>
        <w:ind w:left="230"/>
        <w:shd w:val="clear" w:color="auto" w:fill="F7F9FC"/>
        <w:pBdr>
          <w:left w:val="single" w:sz="4" w:space="6" w:color="D0D5DD"/>
        </w:pBdr>
      </w:pPr>
      <w:r>
        <w:rPr>
          <w:rFonts w:ascii="Consolas" w:hAnsi="Consolas"/>
          <w:color w:val="0B1F3A"/>
          <w:sz w:val="16"/>
        </w:rPr>
        <w:t>+-- (2) PLATFORM COUNTS -----------------------------------------+</w:t>
      </w:r>
    </w:p>
    <w:p>
      <w:pPr>
        <w:spacing w:before="0" w:after="0" w:line="240" w:lineRule="auto"/>
        <w:ind w:left="230"/>
        <w:shd w:val="clear" w:color="auto" w:fill="F7F9FC"/>
        <w:pBdr>
          <w:left w:val="single" w:sz="4" w:space="6" w:color="D0D5DD"/>
        </w:pBdr>
      </w:pPr>
      <w:r>
        <w:rPr>
          <w:rFonts w:ascii="Consolas" w:hAnsi="Consolas"/>
          <w:color w:val="0B1F3A"/>
          <w:sz w:val="16"/>
        </w:rPr>
        <w:t>| Users          1,284                                           |</w:t>
      </w:r>
    </w:p>
    <w:p>
      <w:pPr>
        <w:spacing w:before="0" w:after="0" w:line="240" w:lineRule="auto"/>
        <w:ind w:left="230"/>
        <w:shd w:val="clear" w:color="auto" w:fill="F7F9FC"/>
        <w:pBdr>
          <w:left w:val="single" w:sz="4" w:space="6" w:color="D0D5DD"/>
        </w:pBdr>
      </w:pPr>
      <w:r>
        <w:rPr>
          <w:rFonts w:ascii="Consolas" w:hAnsi="Consolas"/>
          <w:color w:val="0B1F3A"/>
          <w:sz w:val="16"/>
        </w:rPr>
        <w:t>| Ajos              96                                           |</w:t>
      </w:r>
    </w:p>
    <w:p>
      <w:pPr>
        <w:spacing w:before="0" w:after="0" w:line="240" w:lineRule="auto"/>
        <w:ind w:left="230"/>
        <w:shd w:val="clear" w:color="auto" w:fill="F7F9FC"/>
        <w:pBdr>
          <w:left w:val="single" w:sz="4" w:space="6" w:color="D0D5DD"/>
        </w:pBdr>
      </w:pPr>
      <w:r>
        <w:rPr>
          <w:rFonts w:ascii="Consolas" w:hAnsi="Consolas"/>
          <w:color w:val="0B1F3A"/>
          <w:sz w:val="16"/>
        </w:rPr>
        <w:t>| Disputes open     14                                           |</w:t>
      </w:r>
    </w:p>
    <w:p>
      <w:pPr>
        <w:spacing w:before="0" w:after="0" w:line="240" w:lineRule="auto"/>
        <w:ind w:left="230"/>
        <w:shd w:val="clear" w:color="auto" w:fill="F7F9FC"/>
        <w:pBdr>
          <w:left w:val="single" w:sz="4" w:space="6" w:color="D0D5DD"/>
        </w:pBdr>
      </w:pPr>
      <w:r>
        <w:rPr>
          <w:rFonts w:ascii="Consolas" w:hAnsi="Consolas"/>
          <w:color w:val="0B1F3A"/>
          <w:sz w:val="16"/>
        </w:rPr>
        <w:t>| Risk events        7                                           |</w:t>
      </w:r>
    </w:p>
    <w:p>
      <w:pPr>
        <w:spacing w:before="0" w:after="0" w:line="240" w:lineRule="auto"/>
        <w:ind w:left="230"/>
        <w:shd w:val="clear" w:color="auto" w:fill="F7F9FC"/>
        <w:pBdr>
          <w:left w:val="single" w:sz="4" w:space="6" w:color="D0D5DD"/>
        </w:pBdr>
      </w:pPr>
      <w:r>
        <w:rPr>
          <w:rFonts w:ascii="Consolas" w:hAnsi="Consolas"/>
          <w:color w:val="0B1F3A"/>
          <w:sz w:val="16"/>
        </w:rPr>
        <w:t>| Payouts held       2                                           |</w:t>
      </w:r>
    </w:p>
    <w:p>
      <w:pPr>
        <w:spacing w:before="0" w:after="0" w:line="240" w:lineRule="auto"/>
        <w:ind w:left="230"/>
        <w:shd w:val="clear" w:color="auto" w:fill="F7F9FC"/>
        <w:pBdr>
          <w:left w:val="single" w:sz="4" w:space="6" w:color="D0D5DD"/>
        </w:pBdr>
      </w:pPr>
      <w:r>
        <w:rPr>
          <w:rFonts w:ascii="Consolas" w:hAnsi="Consolas"/>
          <w:color w:val="0B1F3A"/>
          <w:sz w:val="16"/>
        </w:rPr>
        <w:t>+-- (3) MONEY TODAY ---------------------------------------------+</w:t>
      </w:r>
    </w:p>
    <w:p>
      <w:pPr>
        <w:spacing w:before="0" w:after="0" w:line="240" w:lineRule="auto"/>
        <w:ind w:left="230"/>
        <w:shd w:val="clear" w:color="auto" w:fill="F7F9FC"/>
        <w:pBdr>
          <w:left w:val="single" w:sz="4" w:space="6" w:color="D0D5DD"/>
        </w:pBdr>
      </w:pPr>
      <w:r>
        <w:rPr>
          <w:rFonts w:ascii="Consolas" w:hAnsi="Consolas"/>
          <w:color w:val="0B1F3A"/>
          <w:sz w:val="16"/>
        </w:rPr>
        <w:t>| Collected  NGN 6,180,000.00                                    |</w:t>
      </w:r>
    </w:p>
    <w:p>
      <w:pPr>
        <w:spacing w:before="0" w:after="0" w:line="240" w:lineRule="auto"/>
        <w:ind w:left="230"/>
        <w:shd w:val="clear" w:color="auto" w:fill="F7F9FC"/>
        <w:pBdr>
          <w:left w:val="single" w:sz="4" w:space="6" w:color="D0D5DD"/>
        </w:pBdr>
      </w:pPr>
      <w:r>
        <w:rPr>
          <w:rFonts w:ascii="Consolas" w:hAnsi="Consolas"/>
          <w:color w:val="0B1F3A"/>
          <w:sz w:val="16"/>
        </w:rPr>
        <w:t>| Fees       NGN   123,600.00                                    |</w:t>
      </w:r>
    </w:p>
    <w:p>
      <w:pPr>
        <w:spacing w:before="0" w:after="0" w:line="240" w:lineRule="auto"/>
        <w:ind w:left="230"/>
        <w:shd w:val="clear" w:color="auto" w:fill="F7F9FC"/>
        <w:pBdr>
          <w:left w:val="single" w:sz="4" w:space="6" w:color="D0D5DD"/>
        </w:pBdr>
      </w:pPr>
      <w:r>
        <w:rPr>
          <w:rFonts w:ascii="Consolas" w:hAnsi="Consolas"/>
          <w:color w:val="0B1F3A"/>
          <w:sz w:val="16"/>
        </w:rPr>
        <w:t>| Payouts    NGN 3,000,000.00                                    |</w:t>
      </w:r>
    </w:p>
    <w:p>
      <w:pPr>
        <w:spacing w:before="0" w:after="0" w:line="240" w:lineRule="auto"/>
        <w:ind w:left="230"/>
        <w:shd w:val="clear" w:color="auto" w:fill="F7F9FC"/>
        <w:pBdr>
          <w:left w:val="single" w:sz="4" w:space="6" w:color="D0D5DD"/>
        </w:pBdr>
      </w:pPr>
      <w:r>
        <w:rPr>
          <w:rFonts w:ascii="Consolas" w:hAnsi="Consolas"/>
          <w:color w:val="0B1F3A"/>
          <w:sz w:val="16"/>
        </w:rPr>
        <w:t>| Unreconciled         0                                         |</w:t>
      </w:r>
    </w:p>
    <w:p>
      <w:pPr>
        <w:spacing w:before="0" w:after="0" w:line="240" w:lineRule="auto"/>
        <w:ind w:left="230"/>
        <w:shd w:val="clear" w:color="auto" w:fill="F7F9FC"/>
        <w:pBdr>
          <w:left w:val="single" w:sz="4" w:space="6" w:color="D0D5DD"/>
        </w:pBdr>
      </w:pPr>
      <w:r>
        <w:rPr>
          <w:rFonts w:ascii="Consolas" w:hAnsi="Consolas"/>
          <w:color w:val="0B1F3A"/>
          <w:sz w:val="16"/>
        </w:rPr>
        <w:t>+-- (4) NEEDS A PERSON ------------------------------------------+</w:t>
      </w:r>
    </w:p>
    <w:p>
      <w:pPr>
        <w:spacing w:before="0" w:after="0" w:line="240" w:lineRule="auto"/>
        <w:ind w:left="230"/>
        <w:shd w:val="clear" w:color="auto" w:fill="F7F9FC"/>
        <w:pBdr>
          <w:left w:val="single" w:sz="4" w:space="6" w:color="D0D5DD"/>
        </w:pBdr>
      </w:pPr>
      <w:r>
        <w:rPr>
          <w:rFonts w:ascii="Consolas" w:hAnsi="Consolas"/>
          <w:color w:val="0B1F3A"/>
          <w:sz w:val="16"/>
        </w:rPr>
        <w:t>| ! 7 risk events unassigned                                     |</w:t>
      </w:r>
    </w:p>
    <w:p>
      <w:pPr>
        <w:spacing w:before="0" w:after="0" w:line="240" w:lineRule="auto"/>
        <w:ind w:left="230"/>
        <w:shd w:val="clear" w:color="auto" w:fill="F7F9FC"/>
        <w:pBdr>
          <w:left w:val="single" w:sz="4" w:space="6" w:color="D0D5DD"/>
        </w:pBdr>
      </w:pPr>
      <w:r>
        <w:rPr>
          <w:rFonts w:ascii="Consolas" w:hAnsi="Consolas"/>
          <w:color w:val="0B1F3A"/>
          <w:sz w:val="16"/>
        </w:rPr>
        <w:t>| ! 2 payouts held                                               |</w:t>
      </w:r>
    </w:p>
    <w:p>
      <w:pPr>
        <w:spacing w:before="0" w:after="0" w:line="240" w:lineRule="auto"/>
        <w:ind w:left="230"/>
        <w:shd w:val="clear" w:color="auto" w:fill="F7F9FC"/>
        <w:pBdr>
          <w:left w:val="single" w:sz="4" w:space="6" w:color="D0D5DD"/>
        </w:pBdr>
      </w:pPr>
      <w:r>
        <w:rPr>
          <w:rFonts w:ascii="Consolas" w:hAnsi="Consolas"/>
          <w:color w:val="0B1F3A"/>
          <w:sz w:val="16"/>
        </w:rPr>
        <w:t>| ! 4 disputes idle 48h+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Counts and money on the left, exceptions and recent activity on the right, and the margin warning directly under the money block where the NGN 123,600.00 figure is read.</w:t>
      </w:r>
    </w:p>
    <w:p>
      <w:pPr>
        <w:spacing w:before="0" w:after="0" w:line="240" w:lineRule="auto"/>
        <w:ind w:left="230"/>
        <w:shd w:val="clear" w:color="auto" w:fill="F7F9FC"/>
        <w:pBdr>
          <w:left w:val="single" w:sz="4" w:space="6" w:color="D0D5DD"/>
        </w:pBdr>
      </w:pPr>
      <w:r>
        <w:rPr>
          <w:rFonts w:ascii="Consolas" w:hAnsi="Consolas"/>
          <w:color w:val="0B1F3A"/>
          <w:sz w:val="16"/>
        </w:rPr>
        <w:t>+-- (1) RAIL --------------------------------------------------------------+</w:t>
      </w:r>
    </w:p>
    <w:p>
      <w:pPr>
        <w:spacing w:before="0" w:after="0" w:line="240" w:lineRule="auto"/>
        <w:ind w:left="230"/>
        <w:shd w:val="clear" w:color="auto" w:fill="F7F9FC"/>
        <w:pBdr>
          <w:left w:val="single" w:sz="4" w:space="6" w:color="D0D5DD"/>
        </w:pBdr>
      </w:pPr>
      <w:r>
        <w:rPr>
          <w:rFonts w:ascii="Consolas" w:hAnsi="Consolas"/>
          <w:color w:val="0B1F3A"/>
          <w:sz w:val="16"/>
        </w:rPr>
        <w:t>| Overview                                                                 |</w:t>
      </w:r>
    </w:p>
    <w:p>
      <w:pPr>
        <w:spacing w:before="0" w:after="0" w:line="240" w:lineRule="auto"/>
        <w:ind w:left="230"/>
        <w:shd w:val="clear" w:color="auto" w:fill="F7F9FC"/>
        <w:pBdr>
          <w:left w:val="single" w:sz="4" w:space="6" w:color="D0D5DD"/>
        </w:pBdr>
      </w:pPr>
      <w:r>
        <w:rPr>
          <w:rFonts w:ascii="Consolas" w:hAnsi="Consolas"/>
          <w:color w:val="0B1F3A"/>
          <w:sz w:val="16"/>
        </w:rPr>
        <w:t>| Users                                                                    |</w:t>
      </w:r>
    </w:p>
    <w:p>
      <w:pPr>
        <w:spacing w:before="0" w:after="0" w:line="240" w:lineRule="auto"/>
        <w:ind w:left="230"/>
        <w:shd w:val="clear" w:color="auto" w:fill="F7F9FC"/>
        <w:pBdr>
          <w:left w:val="single" w:sz="4" w:space="6" w:color="D0D5DD"/>
        </w:pBdr>
      </w:pPr>
      <w:r>
        <w:rPr>
          <w:rFonts w:ascii="Consolas" w:hAnsi="Consolas"/>
          <w:color w:val="0B1F3A"/>
          <w:sz w:val="16"/>
        </w:rPr>
        <w:t>| Ajos                                                                     |</w:t>
      </w:r>
    </w:p>
    <w:p>
      <w:pPr>
        <w:spacing w:before="0" w:after="0" w:line="240" w:lineRule="auto"/>
        <w:ind w:left="230"/>
        <w:shd w:val="clear" w:color="auto" w:fill="F7F9FC"/>
        <w:pBdr>
          <w:left w:val="single" w:sz="4" w:space="6" w:color="D0D5DD"/>
        </w:pBdr>
      </w:pPr>
      <w:r>
        <w:rPr>
          <w:rFonts w:ascii="Consolas" w:hAnsi="Consolas"/>
          <w:color w:val="0B1F3A"/>
          <w:sz w:val="16"/>
        </w:rPr>
        <w:t>| Disputes                                                                 |</w:t>
      </w:r>
    </w:p>
    <w:p>
      <w:pPr>
        <w:spacing w:before="0" w:after="0" w:line="240" w:lineRule="auto"/>
        <w:ind w:left="230"/>
        <w:shd w:val="clear" w:color="auto" w:fill="F7F9FC"/>
        <w:pBdr>
          <w:left w:val="single" w:sz="4" w:space="6" w:color="D0D5DD"/>
        </w:pBdr>
      </w:pPr>
      <w:r>
        <w:rPr>
          <w:rFonts w:ascii="Consolas" w:hAnsi="Consolas"/>
          <w:color w:val="0B1F3A"/>
          <w:sz w:val="16"/>
        </w:rPr>
        <w:t>| Risk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Reports                                                                  |</w:t>
      </w:r>
    </w:p>
    <w:p>
      <w:pPr>
        <w:spacing w:before="0" w:after="0" w:line="240" w:lineRule="auto"/>
        <w:ind w:left="230"/>
        <w:shd w:val="clear" w:color="auto" w:fill="F7F9FC"/>
        <w:pBdr>
          <w:left w:val="single" w:sz="4" w:space="6" w:color="D0D5DD"/>
        </w:pBdr>
      </w:pPr>
      <w:r>
        <w:rPr>
          <w:rFonts w:ascii="Consolas" w:hAnsi="Consolas"/>
          <w:color w:val="0B1F3A"/>
          <w:sz w:val="16"/>
        </w:rPr>
        <w:t>| Audit logs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COUNTS ------------------------------------------------------------+</w:t>
      </w:r>
    </w:p>
    <w:p>
      <w:pPr>
        <w:spacing w:before="0" w:after="0" w:line="240" w:lineRule="auto"/>
        <w:ind w:left="230"/>
        <w:shd w:val="clear" w:color="auto" w:fill="F7F9FC"/>
        <w:pBdr>
          <w:left w:val="single" w:sz="4" w:space="6" w:color="D0D5DD"/>
        </w:pBdr>
      </w:pPr>
      <w:r>
        <w:rPr>
          <w:rFonts w:ascii="Consolas" w:hAnsi="Consolas"/>
          <w:color w:val="0B1F3A"/>
          <w:sz w:val="16"/>
        </w:rPr>
        <w:t>| USERS        1,284      +48 this week                                    |</w:t>
      </w:r>
    </w:p>
    <w:p>
      <w:pPr>
        <w:spacing w:before="0" w:after="0" w:line="240" w:lineRule="auto"/>
        <w:ind w:left="230"/>
        <w:shd w:val="clear" w:color="auto" w:fill="F7F9FC"/>
        <w:pBdr>
          <w:left w:val="single" w:sz="4" w:space="6" w:color="D0D5DD"/>
        </w:pBdr>
      </w:pPr>
      <w:r>
        <w:rPr>
          <w:rFonts w:ascii="Consolas" w:hAnsi="Consolas"/>
          <w:color w:val="0B1F3A"/>
          <w:sz w:val="16"/>
        </w:rPr>
        <w:t>| AJOS            96      71 active, 12 enrollment, 13 completed           |</w:t>
      </w:r>
    </w:p>
    <w:p>
      <w:pPr>
        <w:spacing w:before="0" w:after="0" w:line="240" w:lineRule="auto"/>
        <w:ind w:left="230"/>
        <w:shd w:val="clear" w:color="auto" w:fill="F7F9FC"/>
        <w:pBdr>
          <w:left w:val="single" w:sz="4" w:space="6" w:color="D0D5DD"/>
        </w:pBdr>
      </w:pPr>
      <w:r>
        <w:rPr>
          <w:rFonts w:ascii="Consolas" w:hAnsi="Consolas"/>
          <w:color w:val="0B1F3A"/>
          <w:sz w:val="16"/>
        </w:rPr>
        <w:t>| DISPUTES OPEN    14      4 idle over 48h                                 |</w:t>
      </w:r>
    </w:p>
    <w:p>
      <w:pPr>
        <w:spacing w:before="0" w:after="0" w:line="240" w:lineRule="auto"/>
        <w:ind w:left="230"/>
        <w:shd w:val="clear" w:color="auto" w:fill="F7F9FC"/>
        <w:pBdr>
          <w:left w:val="single" w:sz="4" w:space="6" w:color="D0D5DD"/>
        </w:pBdr>
      </w:pPr>
      <w:r>
        <w:rPr>
          <w:rFonts w:ascii="Consolas" w:hAnsi="Consolas"/>
          <w:color w:val="0B1F3A"/>
          <w:sz w:val="16"/>
        </w:rPr>
        <w:t>| RISK EVENTS       7      7 unassigned                                    |</w:t>
      </w:r>
    </w:p>
    <w:p>
      <w:pPr>
        <w:spacing w:before="0" w:after="0" w:line="240" w:lineRule="auto"/>
        <w:ind w:left="230"/>
        <w:shd w:val="clear" w:color="auto" w:fill="F7F9FC"/>
        <w:pBdr>
          <w:left w:val="single" w:sz="4" w:space="6" w:color="D0D5DD"/>
        </w:pBdr>
      </w:pPr>
      <w:r>
        <w:rPr>
          <w:rFonts w:ascii="Consolas" w:hAnsi="Consolas"/>
          <w:color w:val="0B1F3A"/>
          <w:sz w:val="16"/>
        </w:rPr>
        <w:t>| PAYOUTS HELD      2      oldest 3 days                                   |</w:t>
      </w:r>
    </w:p>
    <w:p>
      <w:pPr>
        <w:spacing w:before="0" w:after="0" w:line="240" w:lineRule="auto"/>
        <w:ind w:left="230"/>
        <w:shd w:val="clear" w:color="auto" w:fill="F7F9FC"/>
        <w:pBdr>
          <w:left w:val="single" w:sz="4" w:space="6" w:color="D0D5DD"/>
        </w:pBdr>
      </w:pPr>
      <w:r>
        <w:rPr>
          <w:rFonts w:ascii="Consolas" w:hAnsi="Consolas"/>
          <w:color w:val="0B1F3A"/>
          <w:sz w:val="16"/>
        </w:rPr>
        <w:t>+-- (3) MONEY -------------------------------------------------------------+</w:t>
      </w:r>
    </w:p>
    <w:p>
      <w:pPr>
        <w:spacing w:before="0" w:after="0" w:line="240" w:lineRule="auto"/>
        <w:ind w:left="230"/>
        <w:shd w:val="clear" w:color="auto" w:fill="F7F9FC"/>
        <w:pBdr>
          <w:left w:val="single" w:sz="4" w:space="6" w:color="D0D5DD"/>
        </w:pBdr>
      </w:pPr>
      <w:r>
        <w:rPr>
          <w:rFonts w:ascii="Consolas" w:hAnsi="Consolas"/>
          <w:color w:val="0B1F3A"/>
          <w:sz w:val="16"/>
        </w:rPr>
        <w:t>| COLLECTED TODAY      NGN 6,180,000.00   6,060 contributions              |</w:t>
      </w:r>
    </w:p>
    <w:p>
      <w:pPr>
        <w:spacing w:before="0" w:after="0" w:line="240" w:lineRule="auto"/>
        <w:ind w:left="230"/>
        <w:shd w:val="clear" w:color="auto" w:fill="F7F9FC"/>
        <w:pBdr>
          <w:left w:val="single" w:sz="4" w:space="6" w:color="D0D5DD"/>
        </w:pBdr>
      </w:pPr>
      <w:r>
        <w:rPr>
          <w:rFonts w:ascii="Consolas" w:hAnsi="Consolas"/>
          <w:color w:val="0B1F3A"/>
          <w:sz w:val="16"/>
        </w:rPr>
        <w:t>| FEES TODAY             NGN 123,600.00   2% of collected                  |</w:t>
      </w:r>
    </w:p>
    <w:p>
      <w:pPr>
        <w:spacing w:before="0" w:after="0" w:line="240" w:lineRule="auto"/>
        <w:ind w:left="230"/>
        <w:shd w:val="clear" w:color="auto" w:fill="F7F9FC"/>
        <w:pBdr>
          <w:left w:val="single" w:sz="4" w:space="6" w:color="D0D5DD"/>
        </w:pBdr>
      </w:pPr>
      <w:r>
        <w:rPr>
          <w:rFonts w:ascii="Consolas" w:hAnsi="Consolas"/>
          <w:color w:val="0B1F3A"/>
          <w:sz w:val="16"/>
        </w:rPr>
        <w:t>| PAYOUTS TODAY        NGN 3,000,000.00   30 payouts                       |</w:t>
      </w:r>
    </w:p>
    <w:p>
      <w:pPr>
        <w:spacing w:before="0" w:after="0" w:line="240" w:lineRule="auto"/>
        <w:ind w:left="230"/>
        <w:shd w:val="clear" w:color="auto" w:fill="F7F9FC"/>
        <w:pBdr>
          <w:left w:val="single" w:sz="4" w:space="6" w:color="D0D5DD"/>
        </w:pBdr>
      </w:pPr>
      <w:r>
        <w:rPr>
          <w:rFonts w:ascii="Consolas" w:hAnsi="Consolas"/>
          <w:color w:val="0B1F3A"/>
          <w:sz w:val="16"/>
        </w:rPr>
        <w:t>| UNRECONCILED                     0.00   last run 06:00, 0 findings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Gross fee revenue is not net revenue. Payment-partner charges for        |</w:t>
      </w:r>
    </w:p>
    <w:p>
      <w:pPr>
        <w:spacing w:before="0" w:after="0" w:line="240" w:lineRule="auto"/>
        <w:ind w:left="230"/>
        <w:shd w:val="clear" w:color="auto" w:fill="F7F9FC"/>
        <w:pBdr>
          <w:left w:val="single" w:sz="4" w:space="6" w:color="D0D5DD"/>
        </w:pBdr>
      </w:pPr>
      <w:r>
        <w:rPr>
          <w:rFonts w:ascii="Consolas" w:hAnsi="Consolas"/>
          <w:color w:val="0B1F3A"/>
          <w:sz w:val="16"/>
        </w:rPr>
        <w:t>| collection and payout are unknown and must be obtained in writing from   |</w:t>
      </w:r>
    </w:p>
    <w:p>
      <w:pPr>
        <w:spacing w:before="0" w:after="0" w:line="240" w:lineRule="auto"/>
        <w:ind w:left="230"/>
        <w:shd w:val="clear" w:color="auto" w:fill="F7F9FC"/>
        <w:pBdr>
          <w:left w:val="single" w:sz="4" w:space="6" w:color="D0D5DD"/>
        </w:pBdr>
      </w:pPr>
      <w:r>
        <w:rPr>
          <w:rFonts w:ascii="Consolas" w:hAnsi="Consolas"/>
          <w:color w:val="0B1F3A"/>
          <w:sz w:val="16"/>
        </w:rPr>
        <w:t>| ProvidusUnity before the margin is stated anywhere. See CANONICAL.md     |</w:t>
      </w:r>
    </w:p>
    <w:p>
      <w:pPr>
        <w:spacing w:before="0" w:after="0" w:line="240" w:lineRule="auto"/>
        <w:ind w:left="230"/>
        <w:shd w:val="clear" w:color="auto" w:fill="F7F9FC"/>
        <w:pBdr>
          <w:left w:val="single" w:sz="4" w:space="6" w:color="D0D5DD"/>
        </w:pBdr>
      </w:pPr>
      <w:r>
        <w:rPr>
          <w:rFonts w:ascii="Consolas" w:hAnsi="Consolas"/>
          <w:color w:val="0B1F3A"/>
          <w:sz w:val="16"/>
        </w:rPr>
        <w:t>| section 1 and open decision D-03.                                        |</w:t>
      </w:r>
    </w:p>
    <w:p>
      <w:pPr>
        <w:spacing w:before="0" w:after="0" w:line="240" w:lineRule="auto"/>
        <w:ind w:left="230"/>
        <w:shd w:val="clear" w:color="auto" w:fill="F7F9FC"/>
        <w:pBdr>
          <w:left w:val="single" w:sz="4" w:space="6" w:color="D0D5DD"/>
        </w:pBdr>
      </w:pPr>
      <w:r>
        <w:rPr>
          <w:rFonts w:ascii="Consolas" w:hAnsi="Consolas"/>
          <w:color w:val="0B1F3A"/>
          <w:sz w:val="16"/>
        </w:rPr>
        <w:t>+-- (4) NEEDS A PERSON ----------------------------------------------------+</w:t>
      </w:r>
    </w:p>
    <w:p>
      <w:pPr>
        <w:spacing w:before="0" w:after="0" w:line="240" w:lineRule="auto"/>
        <w:ind w:left="230"/>
        <w:shd w:val="clear" w:color="auto" w:fill="F7F9FC"/>
        <w:pBdr>
          <w:left w:val="single" w:sz="4" w:space="6" w:color="D0D5DD"/>
        </w:pBdr>
      </w:pPr>
      <w:r>
        <w:rPr>
          <w:rFonts w:ascii="Consolas" w:hAnsi="Consolas"/>
          <w:color w:val="0B1F3A"/>
          <w:sz w:val="16"/>
        </w:rPr>
        <w:t>| !  7  risk events, none assigned        [ Open the queue ]               |</w:t>
      </w:r>
    </w:p>
    <w:p>
      <w:pPr>
        <w:spacing w:before="0" w:after="0" w:line="240" w:lineRule="auto"/>
        <w:ind w:left="230"/>
        <w:shd w:val="clear" w:color="auto" w:fill="F7F9FC"/>
        <w:pBdr>
          <w:left w:val="single" w:sz="4" w:space="6" w:color="D0D5DD"/>
        </w:pBdr>
      </w:pPr>
      <w:r>
        <w:rPr>
          <w:rFonts w:ascii="Consolas" w:hAnsi="Consolas"/>
          <w:color w:val="0B1F3A"/>
          <w:sz w:val="16"/>
        </w:rPr>
        <w:t>| !  2  payouts held, oldest 3 days         [ Open the queue ]             |</w:t>
      </w:r>
    </w:p>
    <w:p>
      <w:pPr>
        <w:spacing w:before="0" w:after="0" w:line="240" w:lineRule="auto"/>
        <w:ind w:left="230"/>
        <w:shd w:val="clear" w:color="auto" w:fill="F7F9FC"/>
        <w:pBdr>
          <w:left w:val="single" w:sz="4" w:space="6" w:color="D0D5DD"/>
        </w:pBdr>
      </w:pPr>
      <w:r>
        <w:rPr>
          <w:rFonts w:ascii="Consolas" w:hAnsi="Consolas"/>
          <w:color w:val="0B1F3A"/>
          <w:sz w:val="16"/>
        </w:rPr>
        <w:t>| !  4  disputes idle over 48 hours         [ Open the queue ]             |</w:t>
      </w:r>
    </w:p>
    <w:p>
      <w:pPr>
        <w:spacing w:before="0" w:after="0" w:line="240" w:lineRule="auto"/>
        <w:ind w:left="230"/>
        <w:shd w:val="clear" w:color="auto" w:fill="F7F9FC"/>
        <w:pBdr>
          <w:left w:val="single" w:sz="4" w:space="6" w:color="D0D5DD"/>
        </w:pBdr>
      </w:pPr>
      <w:r>
        <w:rPr>
          <w:rFonts w:ascii="Consolas" w:hAnsi="Consolas"/>
          <w:color w:val="0B1F3A"/>
          <w:sz w:val="16"/>
        </w:rPr>
        <w:t>+-- (5) RECENT ACTIVITY ---------------------------------------------------+</w:t>
      </w:r>
    </w:p>
    <w:p>
      <w:pPr>
        <w:spacing w:before="0" w:after="0" w:line="240" w:lineRule="auto"/>
        <w:ind w:left="230"/>
        <w:shd w:val="clear" w:color="auto" w:fill="F7F9FC"/>
        <w:pBdr>
          <w:left w:val="single" w:sz="4" w:space="6" w:color="D0D5DD"/>
        </w:pBdr>
      </w:pPr>
      <w:r>
        <w:rPr>
          <w:rFonts w:ascii="Consolas" w:hAnsi="Consolas"/>
          <w:color w:val="0B1F3A"/>
          <w:sz w:val="16"/>
        </w:rPr>
        <w:t>| 06:02  reconciliation run rc_9KL, 0 findings                             |</w:t>
      </w:r>
    </w:p>
    <w:p>
      <w:pPr>
        <w:spacing w:before="0" w:after="0" w:line="240" w:lineRule="auto"/>
        <w:ind w:left="230"/>
        <w:shd w:val="clear" w:color="auto" w:fill="F7F9FC"/>
        <w:pBdr>
          <w:left w:val="single" w:sz="4" w:space="6" w:color="D0D5DD"/>
        </w:pBdr>
      </w:pPr>
      <w:r>
        <w:rPr>
          <w:rFonts w:ascii="Consolas" w:hAnsi="Consolas"/>
          <w:color w:val="0B1F3A"/>
          <w:sz w:val="16"/>
        </w:rPr>
        <w:t>| 05:41  payout pyt_2WT settled, NGN 10,000.00                             |</w:t>
      </w:r>
    </w:p>
    <w:p>
      <w:pPr>
        <w:spacing w:before="0" w:after="0" w:line="240" w:lineRule="auto"/>
        <w:ind w:left="230"/>
        <w:shd w:val="clear" w:color="auto" w:fill="F7F9FC"/>
        <w:pBdr>
          <w:left w:val="single" w:sz="4" w:space="6" w:color="D0D5DD"/>
        </w:pBdr>
      </w:pPr>
      <w:r>
        <w:rPr>
          <w:rFonts w:ascii="Consolas" w:hAnsi="Consolas"/>
          <w:color w:val="0B1F3A"/>
          <w:sz w:val="16"/>
        </w:rPr>
        <w:t>| 04:18  risk event ris_7Q2 created, velocity on 4 accounts                |</w:t>
      </w:r>
    </w:p>
    <w:p>
      <w:pPr>
        <w:spacing w:before="0" w:after="0" w:line="240" w:lineRule="auto"/>
        <w:ind w:left="230"/>
        <w:shd w:val="clear" w:color="auto" w:fill="F7F9FC"/>
        <w:pBdr>
          <w:left w:val="single" w:sz="4" w:space="6" w:color="D0D5DD"/>
        </w:pBdr>
      </w:pPr>
      <w:r>
        <w:rPr>
          <w:rFonts w:ascii="Consolas" w:hAnsi="Consolas"/>
          <w:color w:val="0B1F3A"/>
          <w:sz w:val="16"/>
        </w:rPr>
        <w:t>| 03:55  freeze applied to usr_2K9 by risk_officer A. Okeke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6.30.2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411"/>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739"/>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 Rail</w:t>
            </w:r>
          </w:p>
        </w:tc>
        <w:tc>
          <w:tcPr>
            <w:tcW w:type="dxa" w:w="1411"/>
            <w:tcMar>
              <w:top w:w="60" w:type="dxa"/>
              <w:start w:w="110" w:type="dxa"/>
              <w:bottom w:w="60" w:type="dxa"/>
              <w:end w:w="110" w:type="dxa"/>
            </w:tcMar>
          </w:tcPr>
          <w:p>
            <w:pPr>
              <w:spacing w:after="0"/>
            </w:pPr>
            <w:r/>
            <w:r>
              <w:rPr>
                <w:rFonts w:ascii="Calibri" w:hAnsi="Calibri"/>
                <w:b w:val="0"/>
                <w:i w:val="0"/>
                <w:color w:val="101828"/>
                <w:sz w:val="14"/>
              </w:rPr>
              <w:t>The console's sections.</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739"/>
            <w:tcMar>
              <w:top w:w="60" w:type="dxa"/>
              <w:start w:w="110" w:type="dxa"/>
              <w:bottom w:w="60" w:type="dxa"/>
              <w:end w:w="110" w:type="dxa"/>
            </w:tcMar>
          </w:tcPr>
          <w:p>
            <w:pPr>
              <w:spacing w:after="0"/>
            </w:pPr>
            <w:r/>
            <w:r>
              <w:rPr>
                <w:rFonts w:ascii="Calibri" w:hAnsi="Calibri"/>
                <w:b w:val="0"/>
                <w:i w:val="0"/>
                <w:color w:val="101828"/>
                <w:sz w:val="14"/>
              </w:rPr>
              <w:t>Eight sections, matching the admin endpoint groups in CANONICAL.md section 6. Settings is separated from Reports because changing a platform limit and reading a report are different acts with different audit entries.</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Counts</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Users, Ajos, disputes, risk events, held payouts.</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739"/>
            <w:tcMar>
              <w:top w:w="60" w:type="dxa"/>
              <w:start w:w="110" w:type="dxa"/>
              <w:bottom w:w="60" w:type="dxa"/>
              <w:end w:w="110" w:type="dxa"/>
            </w:tcMar>
            <w:shd w:val="clear" w:color="auto" w:fill="F4F7FB"/>
          </w:tcPr>
          <w:p>
            <w:pPr>
              <w:spacing w:after="0"/>
            </w:pPr>
            <w:r/>
            <w:r>
              <w:rPr>
                <w:rFonts w:ascii="Calibri" w:hAnsi="Calibri"/>
                <w:b/>
                <w:color w:val="101828"/>
                <w:sz w:val="14"/>
              </w:rPr>
              <w:t>Counts with a change, not bare totals.</w:t>
            </w:r>
            <w:r>
              <w:rPr>
                <w:rFonts w:ascii="Calibri" w:hAnsi="Calibri"/>
                <w:b w:val="0"/>
                <w:i w:val="0"/>
                <w:color w:val="101828"/>
                <w:sz w:val="14"/>
              </w:rPr>
              <w:t xml:space="preserve"> A count that does not say whether it grew tells an operator nothing about whether anything is wrong.</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 Money today</w:t>
            </w:r>
          </w:p>
        </w:tc>
        <w:tc>
          <w:tcPr>
            <w:tcW w:type="dxa" w:w="1411"/>
            <w:tcMar>
              <w:top w:w="60" w:type="dxa"/>
              <w:start w:w="110" w:type="dxa"/>
              <w:bottom w:w="60" w:type="dxa"/>
              <w:end w:w="110" w:type="dxa"/>
            </w:tcMar>
          </w:tcPr>
          <w:p>
            <w:pPr>
              <w:spacing w:after="0"/>
            </w:pPr>
            <w:r/>
            <w:r>
              <w:rPr>
                <w:rFonts w:ascii="Calibri" w:hAnsi="Calibri"/>
                <w:b w:val="0"/>
                <w:i w:val="0"/>
                <w:color w:val="101828"/>
                <w:sz w:val="14"/>
              </w:rPr>
              <w:t>Collected, fees, payouts, and the unreconciled total.</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739"/>
            <w:tcMar>
              <w:top w:w="60" w:type="dxa"/>
              <w:start w:w="110" w:type="dxa"/>
              <w:bottom w:w="60" w:type="dxa"/>
              <w:end w:w="110" w:type="dxa"/>
            </w:tcMar>
          </w:tcPr>
          <w:p>
            <w:pPr>
              <w:spacing w:after="0"/>
            </w:pPr>
            <w:r/>
            <w:r>
              <w:rPr>
                <w:rFonts w:ascii="Calibri" w:hAnsi="Calibri"/>
                <w:b w:val="0"/>
                <w:i w:val="0"/>
                <w:color w:val="101828"/>
                <w:sz w:val="14"/>
              </w:rPr>
              <w:t xml:space="preserve">The unreconciled figure is the one that matters. </w:t>
            </w:r>
            <w:r>
              <w:rPr>
                <w:rFonts w:ascii="Calibri" w:hAnsi="Calibri"/>
                <w:b/>
                <w:color w:val="101828"/>
                <w:sz w:val="14"/>
              </w:rPr>
              <w:t>It is expected to be NGN 0.00 and its presence is the point</w:t>
            </w:r>
            <w:r>
              <w:rPr>
                <w:rFonts w:ascii="Calibri" w:hAnsi="Calibri"/>
                <w:b w:val="0"/>
                <w:i w:val="0"/>
                <w:color w:val="101828"/>
                <w:sz w:val="14"/>
              </w:rPr>
              <w:t>: a console that shows a reconciliation total makes an operator check it, and a console that omits it makes the absence invisible.</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 Margin warning</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That gross fee revenue is not net revenue.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739"/>
            <w:tcMar>
              <w:top w:w="60" w:type="dxa"/>
              <w:start w:w="110" w:type="dxa"/>
              <w:bottom w:w="60" w:type="dxa"/>
              <w:end w:w="110" w:type="dxa"/>
            </w:tcMar>
            <w:shd w:val="clear" w:color="auto" w:fill="F4F7FB"/>
          </w:tcPr>
          <w:p>
            <w:pPr>
              <w:spacing w:after="0"/>
            </w:pPr>
            <w:r/>
            <w:r>
              <w:rPr>
                <w:rFonts w:ascii="Calibri" w:hAnsi="Calibri"/>
                <w:b/>
                <w:color w:val="101828"/>
                <w:sz w:val="14"/>
              </w:rPr>
              <w:t>Mandatory, and permanent.</w:t>
            </w:r>
            <w:r>
              <w:rPr>
                <w:rFonts w:ascii="Calibri" w:hAnsi="Calibri"/>
                <w:b w:val="0"/>
                <w:i w:val="0"/>
                <w:color w:val="101828"/>
                <w:sz w:val="14"/>
              </w:rPr>
              <w:t xml:space="preserve"> CANONICAL.md requires the margin warning in the financial material, and the console is the screen a person will use to convince themselves the business is working. It sits under the money block, not in a footnote, because the person reading NGN 123,600.00 of fees today is exactly the person who will forget to subtract what it cost to collect.</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(5) Needs a person</w:t>
            </w:r>
          </w:p>
        </w:tc>
        <w:tc>
          <w:tcPr>
            <w:tcW w:type="dxa" w:w="1411"/>
            <w:tcMar>
              <w:top w:w="60" w:type="dxa"/>
              <w:start w:w="110" w:type="dxa"/>
              <w:bottom w:w="60" w:type="dxa"/>
              <w:end w:w="110" w:type="dxa"/>
            </w:tcMar>
          </w:tcPr>
          <w:p>
            <w:pPr>
              <w:spacing w:after="0"/>
            </w:pPr>
            <w:r/>
            <w:r>
              <w:rPr>
                <w:rFonts w:ascii="Calibri" w:hAnsi="Calibri"/>
                <w:b w:val="0"/>
                <w:i w:val="0"/>
                <w:color w:val="101828"/>
                <w:sz w:val="14"/>
              </w:rPr>
              <w:t>Unassigned risk, held payouts, idle disputes, each linked to its queue.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739"/>
            <w:tcMar>
              <w:top w:w="60" w:type="dxa"/>
              <w:start w:w="110" w:type="dxa"/>
              <w:bottom w:w="60" w:type="dxa"/>
              <w:end w:w="110" w:type="dxa"/>
            </w:tcMar>
          </w:tcPr>
          <w:p>
            <w:pPr>
              <w:spacing w:after="0"/>
            </w:pPr>
            <w:r/>
            <w:r>
              <w:rPr>
                <w:rFonts w:ascii="Calibri" w:hAnsi="Calibri"/>
                <w:b w:val="0"/>
                <w:i w:val="0"/>
                <w:color w:val="101828"/>
                <w:sz w:val="14"/>
              </w:rPr>
              <w:t>The only actionable region. Each row is a count, an age, and a link. A console that lists exceptions without a way into them is a report, and reports do not get acted on.</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(6) Recent activity</w:t>
            </w:r>
          </w:p>
        </w:tc>
        <w:tc>
          <w:tcPr>
            <w:tcW w:type="dxa" w:w="1411"/>
            <w:tcMar>
              <w:top w:w="60" w:type="dxa"/>
              <w:start w:w="110" w:type="dxa"/>
              <w:bottom w:w="60" w:type="dxa"/>
              <w:end w:w="110" w:type="dxa"/>
            </w:tcMar>
            <w:shd w:val="clear" w:color="auto" w:fill="F4F7FB"/>
          </w:tcPr>
          <w:p>
            <w:pPr>
              <w:spacing w:after="0"/>
            </w:pPr>
            <w:r/>
            <w:r>
              <w:rPr>
                <w:rFonts w:ascii="Calibri" w:hAnsi="Calibri"/>
                <w:b w:val="0"/>
                <w:i w:val="0"/>
                <w:color w:val="101828"/>
                <w:sz w:val="14"/>
              </w:rPr>
              <w:t>The last few consequential events across the platform.</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P2</w:t>
            </w:r>
          </w:p>
        </w:tc>
        <w:tc>
          <w:tcPr>
            <w:tcW w:type="dxa" w:w="6739"/>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freeze, a settlement, a reconciliation run, a risk event. </w:t>
            </w:r>
            <w:r>
              <w:rPr>
                <w:rFonts w:ascii="Calibri" w:hAnsi="Calibri"/>
                <w:b/>
                <w:color w:val="101828"/>
                <w:sz w:val="14"/>
              </w:rPr>
              <w:t>Not</w:t>
            </w:r>
            <w:r>
              <w:rPr>
                <w:rFonts w:ascii="Calibri" w:hAnsi="Calibri"/>
                <w:b w:val="0"/>
                <w:i w:val="0"/>
                <w:color w:val="101828"/>
                <w:sz w:val="14"/>
              </w:rPr>
              <w:t xml:space="preserve"> a full audit feed — that is 6.33 — because the audit log is append-only and query-only, and mixing it into an overview trains people to expect a mutable activity feed.</w:t>
            </w:r>
          </w:p>
        </w:tc>
      </w:tr>
    </w:tbl>
    <w:p>
      <w:pPr>
        <w:spacing w:after="80"/>
      </w:pPr>
    </w:p>
    <w:p>
      <w:pPr>
        <w:pStyle w:val="Heading2"/>
      </w:pPr>
      <w:r>
        <w:rPr>
          <w:rFonts w:ascii="Calibri" w:hAnsi="Calibri"/>
          <w:b/>
          <w:i w:val="0"/>
          <w:color w:val="146EF5"/>
          <w:sz w:val="29"/>
        </w:rPr>
        <w:t>6.31 Dispute Workspace — SCR-ADM-06</w:t>
      </w:r>
    </w:p>
    <w:p>
      <w:r>
        <w:rPr>
          <w:rFonts w:ascii="Calibri" w:hAnsi="Calibri"/>
          <w:b w:val="0"/>
          <w:i w:val="0"/>
          <w:color w:val="101828"/>
          <w:sz w:val="21"/>
        </w:rPr>
        <w:t xml:space="preserve">Where the platform's people actually work: a queue of disputes on one side and the selected dispute on the other, with the decision controls at the bottom of the workspace rather than in a menu. The layout is the argument — a support agent reading a thread and reaching for a decision control in a different place is an agent who decides before reading. The ledger effect is displayed on every dispute, because the first question after </w:t>
      </w:r>
      <w:r>
        <w:rPr>
          <w:rFonts w:ascii="Calibri" w:hAnsi="Calibri"/>
          <w:i/>
          <w:color w:val="101828"/>
          <w:sz w:val="21"/>
        </w:rPr>
        <w:t>what should we do</w:t>
      </w:r>
      <w:r>
        <w:rPr>
          <w:rFonts w:ascii="Calibri" w:hAnsi="Calibri"/>
          <w:b w:val="0"/>
          <w:i w:val="0"/>
          <w:color w:val="101828"/>
          <w:sz w:val="21"/>
        </w:rPr>
        <w:t xml:space="preserve"> is always </w:t>
      </w:r>
      <w:r>
        <w:rPr>
          <w:rFonts w:ascii="Calibri" w:hAnsi="Calibri"/>
          <w:i/>
          <w:color w:val="101828"/>
          <w:sz w:val="21"/>
        </w:rPr>
        <w:t>what has this already done</w:t>
      </w:r>
      <w:r>
        <w:rPr>
          <w:rFonts w:ascii="Calibri" w:hAnsi="Calibri"/>
          <w:b w:val="0"/>
          <w:i w:val="0"/>
          <w:color w:val="101828"/>
          <w:sz w:val="21"/>
        </w:rPr>
        <w:t>.</w:t>
      </w:r>
    </w:p>
    <w:p>
      <w:pPr>
        <w:spacing w:before="140" w:after="180"/>
        <w:ind w:left="144"/>
        <w:shd w:val="clear" w:color="auto" w:fill="E0F2FE"/>
        <w:pBdr>
          <w:left w:val="single" w:sz="18" w:space="6" w:color="22C7D6"/>
        </w:pBdr>
      </w:pPr>
      <w:r>
        <w:rPr>
          <w:rFonts w:ascii="Calibri" w:hAnsi="Calibri"/>
          <w:b/>
          <w:color w:val="22C7D6"/>
          <w:sz w:val="19"/>
        </w:rPr>
        <w:t xml:space="preserve">Refunds are decisions, not corrections  </w:t>
      </w:r>
      <w:r>
        <w:rPr>
          <w:rFonts w:ascii="Calibri" w:hAnsi="Calibri"/>
          <w:b w:val="0"/>
          <w:i w:val="0"/>
          <w:color w:val="0B1F3A"/>
          <w:sz w:val="19"/>
        </w:rPr>
        <w:t xml:space="preserve">The interface offers three outcomes: refund, explain without a refund, and request more information. It does not offer </w:t>
      </w:r>
      <w:r>
        <w:rPr>
          <w:rFonts w:ascii="Calibri" w:hAnsi="Calibri"/>
          <w:i/>
          <w:color w:val="0B1F3A"/>
          <w:sz w:val="19"/>
        </w:rPr>
        <w:t>adjust the record</w:t>
      </w:r>
      <w:r>
        <w:rPr>
          <w:rFonts w:ascii="Calibri" w:hAnsi="Calibri"/>
          <w:b w:val="0"/>
          <w:i w:val="0"/>
          <w:color w:val="0B1F3A"/>
          <w:sz w:val="19"/>
        </w:rPr>
        <w:t xml:space="preserve">, because that would suggest a dispute can put the ledger right, and in this product the ledger is right by construction and any error in it is fixed by a reversing entry rather than by a dispute decision. A dispute can </w:t>
      </w:r>
      <w:r>
        <w:rPr>
          <w:rFonts w:ascii="Calibri" w:hAnsi="Calibri"/>
          <w:i/>
          <w:color w:val="0B1F3A"/>
          <w:sz w:val="19"/>
        </w:rPr>
        <w:t>cause</w:t>
      </w:r>
      <w:r>
        <w:rPr>
          <w:rFonts w:ascii="Calibri" w:hAnsi="Calibri"/>
          <w:b w:val="0"/>
          <w:i w:val="0"/>
          <w:color w:val="0B1F3A"/>
          <w:sz w:val="19"/>
        </w:rPr>
        <w:t xml:space="preserve"> a reversing entry, which is a different thing: the agent who finds the error posts the correction in the ledger, and the dispute records that they did and why. The trade-off is that the interface has no fast path for the common case, and the mitigation is that the common case is reached in two clicks: </w:t>
      </w:r>
      <w:r>
        <w:rPr>
          <w:rFonts w:ascii="Calibri" w:hAnsi="Calibri"/>
          <w:i/>
          <w:color w:val="0B1F3A"/>
          <w:sz w:val="19"/>
        </w:rPr>
        <w:t>request more information</w:t>
      </w:r>
      <w:r>
        <w:rPr>
          <w:rFonts w:ascii="Calibri" w:hAnsi="Calibri"/>
          <w:b w:val="0"/>
          <w:i w:val="0"/>
          <w:color w:val="0B1F3A"/>
          <w:sz w:val="19"/>
        </w:rPr>
        <w:t xml:space="preserve"> on the dispute, then a ledger action in the contribution screen.</w:t>
      </w:r>
    </w:p>
    <w:p>
      <w:pPr>
        <w:pStyle w:val="Heading3"/>
      </w:pPr>
      <w:r>
        <w:rPr>
          <w:rFonts w:ascii="Calibri" w:hAnsi="Calibri"/>
          <w:b/>
          <w:i w:val="0"/>
          <w:color w:val="0B1F3A"/>
          <w:sz w:val="24"/>
        </w:rPr>
        <w:t>6.31.1 Wireframe</w:t>
      </w:r>
    </w:p>
    <w:p>
      <w:r>
        <w:rPr>
          <w:rFonts w:ascii="Calibri" w:hAnsi="Calibri"/>
          <w:b/>
          <w:color w:val="101828"/>
          <w:sz w:val="21"/>
        </w:rPr>
        <w:t>Tablet — 768 px.</w:t>
      </w:r>
      <w:r>
        <w:rPr>
          <w:rFonts w:ascii="Calibri" w:hAnsi="Calibri"/>
          <w:b w:val="0"/>
          <w:i w:val="0"/>
          <w:color w:val="101828"/>
          <w:sz w:val="21"/>
        </w:rPr>
        <w:t xml:space="preserve"> Two columns, 24 px gutters, a collapsible rail, and a table that drops its least important column rather than becoming a card list. This is the smallest width at which the console is built.</w:t>
      </w:r>
    </w:p>
    <w:p>
      <w:pPr>
        <w:spacing w:before="0" w:after="0" w:line="240" w:lineRule="auto"/>
        <w:ind w:left="230"/>
        <w:shd w:val="clear" w:color="auto" w:fill="F7F9FC"/>
        <w:pBdr>
          <w:left w:val="single" w:sz="4" w:space="6" w:color="D0D5DD"/>
        </w:pBdr>
      </w:pPr>
      <w:r>
        <w:rPr>
          <w:rFonts w:ascii="Consolas" w:hAnsi="Consolas"/>
          <w:color w:val="0B1F3A"/>
          <w:sz w:val="16"/>
        </w:rPr>
        <w:t>+-- (1) RAIL ----------------------------------------------------+</w:t>
      </w:r>
    </w:p>
    <w:p>
      <w:pPr>
        <w:spacing w:before="0" w:after="0" w:line="240" w:lineRule="auto"/>
        <w:ind w:left="230"/>
        <w:shd w:val="clear" w:color="auto" w:fill="F7F9FC"/>
        <w:pBdr>
          <w:left w:val="single" w:sz="4" w:space="6" w:color="D0D5DD"/>
        </w:pBdr>
      </w:pPr>
      <w:r>
        <w:rPr>
          <w:rFonts w:ascii="Consolas" w:hAnsi="Consolas"/>
          <w:color w:val="0B1F3A"/>
          <w:sz w:val="16"/>
        </w:rPr>
        <w:t>| Overview                                                       |</w:t>
      </w:r>
    </w:p>
    <w:p>
      <w:pPr>
        <w:spacing w:before="0" w:after="0" w:line="240" w:lineRule="auto"/>
        <w:ind w:left="230"/>
        <w:shd w:val="clear" w:color="auto" w:fill="F7F9FC"/>
        <w:pBdr>
          <w:left w:val="single" w:sz="4" w:space="6" w:color="D0D5DD"/>
        </w:pBdr>
      </w:pPr>
      <w:r>
        <w:rPr>
          <w:rFonts w:ascii="Consolas" w:hAnsi="Consolas"/>
          <w:color w:val="0B1F3A"/>
          <w:sz w:val="16"/>
        </w:rPr>
        <w:t>| Users                                                          |</w:t>
      </w:r>
    </w:p>
    <w:p>
      <w:pPr>
        <w:spacing w:before="0" w:after="0" w:line="240" w:lineRule="auto"/>
        <w:ind w:left="230"/>
        <w:shd w:val="clear" w:color="auto" w:fill="F7F9FC"/>
        <w:pBdr>
          <w:left w:val="single" w:sz="4" w:space="6" w:color="D0D5DD"/>
        </w:pBdr>
      </w:pPr>
      <w:r>
        <w:rPr>
          <w:rFonts w:ascii="Consolas" w:hAnsi="Consolas"/>
          <w:color w:val="0B1F3A"/>
          <w:sz w:val="16"/>
        </w:rPr>
        <w:t>| Ajos                                                           |</w:t>
      </w:r>
    </w:p>
    <w:p>
      <w:pPr>
        <w:spacing w:before="0" w:after="0" w:line="240" w:lineRule="auto"/>
        <w:ind w:left="230"/>
        <w:shd w:val="clear" w:color="auto" w:fill="F7F9FC"/>
        <w:pBdr>
          <w:left w:val="single" w:sz="4" w:space="6" w:color="D0D5DD"/>
        </w:pBdr>
      </w:pPr>
      <w:r>
        <w:rPr>
          <w:rFonts w:ascii="Consolas" w:hAnsi="Consolas"/>
          <w:color w:val="0B1F3A"/>
          <w:sz w:val="16"/>
        </w:rPr>
        <w:t>| Disputes                                                       |</w:t>
      </w:r>
    </w:p>
    <w:p>
      <w:pPr>
        <w:spacing w:before="0" w:after="0" w:line="240" w:lineRule="auto"/>
        <w:ind w:left="230"/>
        <w:shd w:val="clear" w:color="auto" w:fill="F7F9FC"/>
        <w:pBdr>
          <w:left w:val="single" w:sz="4" w:space="6" w:color="D0D5DD"/>
        </w:pBdr>
      </w:pPr>
      <w:r>
        <w:rPr>
          <w:rFonts w:ascii="Consolas" w:hAnsi="Consolas"/>
          <w:color w:val="0B1F3A"/>
          <w:sz w:val="16"/>
        </w:rPr>
        <w:t>| Risk                                                           |</w:t>
      </w:r>
    </w:p>
    <w:p>
      <w:pPr>
        <w:spacing w:before="0" w:after="0" w:line="240" w:lineRule="auto"/>
        <w:ind w:left="230"/>
        <w:shd w:val="clear" w:color="auto" w:fill="F7F9FC"/>
        <w:pBdr>
          <w:left w:val="single" w:sz="4" w:space="6" w:color="D0D5DD"/>
        </w:pBdr>
      </w:pPr>
      <w:r>
        <w:rPr>
          <w:rFonts w:ascii="Consolas" w:hAnsi="Consolas"/>
          <w:color w:val="0B1F3A"/>
          <w:sz w:val="16"/>
        </w:rPr>
        <w:t>| Reports                                                        |</w:t>
      </w:r>
    </w:p>
    <w:p>
      <w:pPr>
        <w:spacing w:before="0" w:after="0" w:line="240" w:lineRule="auto"/>
        <w:ind w:left="230"/>
        <w:shd w:val="clear" w:color="auto" w:fill="F7F9FC"/>
        <w:pBdr>
          <w:left w:val="single" w:sz="4" w:space="6" w:color="D0D5DD"/>
        </w:pBdr>
      </w:pPr>
      <w:r>
        <w:rPr>
          <w:rFonts w:ascii="Consolas" w:hAnsi="Consolas"/>
          <w:color w:val="0B1F3A"/>
          <w:sz w:val="16"/>
        </w:rPr>
        <w:t>| Audit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QUEUE ---------------------------------------------------+</w:t>
      </w:r>
    </w:p>
    <w:p>
      <w:pPr>
        <w:spacing w:before="0" w:after="0" w:line="240" w:lineRule="auto"/>
        <w:ind w:left="230"/>
        <w:shd w:val="clear" w:color="auto" w:fill="F7F9FC"/>
        <w:pBdr>
          <w:left w:val="single" w:sz="4" w:space="6" w:color="D0D5DD"/>
        </w:pBdr>
      </w:pPr>
      <w:r>
        <w:rPr>
          <w:rFonts w:ascii="Consolas" w:hAnsi="Consolas"/>
          <w:color w:val="0B1F3A"/>
          <w:sz w:val="16"/>
        </w:rPr>
        <w:t>| dsp_4Q7  AWAITING MEMBER   2d   Chima's Ajo                    |</w:t>
      </w:r>
    </w:p>
    <w:p>
      <w:pPr>
        <w:spacing w:before="0" w:after="0" w:line="240" w:lineRule="auto"/>
        <w:ind w:left="230"/>
        <w:shd w:val="clear" w:color="auto" w:fill="F7F9FC"/>
        <w:pBdr>
          <w:left w:val="single" w:sz="4" w:space="6" w:color="D0D5DD"/>
        </w:pBdr>
      </w:pPr>
      <w:r>
        <w:rPr>
          <w:rFonts w:ascii="Consolas" w:hAnsi="Consolas"/>
          <w:color w:val="0B1F3A"/>
          <w:sz w:val="16"/>
        </w:rPr>
        <w:t>| dsp_9KX  AWAITING PLATFORM 1d   Adaeze's Ajo                   |</w:t>
      </w:r>
    </w:p>
    <w:p>
      <w:pPr>
        <w:spacing w:before="0" w:after="0" w:line="240" w:lineRule="auto"/>
        <w:ind w:left="230"/>
        <w:shd w:val="clear" w:color="auto" w:fill="F7F9FC"/>
        <w:pBdr>
          <w:left w:val="single" w:sz="4" w:space="6" w:color="D0D5DD"/>
        </w:pBdr>
      </w:pPr>
      <w:r>
        <w:rPr>
          <w:rFonts w:ascii="Consolas" w:hAnsi="Consolas"/>
          <w:color w:val="0B1F3A"/>
          <w:sz w:val="16"/>
        </w:rPr>
        <w:t>| dsp_2WT  AWAITING MEMBER   4d   Adaeze's Ajo                   |</w:t>
      </w:r>
    </w:p>
    <w:p>
      <w:pPr>
        <w:spacing w:before="0" w:after="0" w:line="240" w:lineRule="auto"/>
        <w:ind w:left="230"/>
        <w:shd w:val="clear" w:color="auto" w:fill="F7F9FC"/>
        <w:pBdr>
          <w:left w:val="single" w:sz="4" w:space="6" w:color="D0D5DD"/>
        </w:pBdr>
      </w:pPr>
      <w:r>
        <w:rPr>
          <w:rFonts w:ascii="Consolas" w:hAnsi="Consolas"/>
          <w:color w:val="0B1F3A"/>
          <w:sz w:val="16"/>
        </w:rPr>
        <w:t>| dsp_5RT  INVESTIGATING    0d   Chima's Ajo                     |</w:t>
      </w:r>
    </w:p>
    <w:p>
      <w:pPr>
        <w:spacing w:before="0" w:after="0" w:line="240" w:lineRule="auto"/>
        <w:ind w:left="230"/>
        <w:shd w:val="clear" w:color="auto" w:fill="F7F9FC"/>
        <w:pBdr>
          <w:left w:val="single" w:sz="4" w:space="6" w:color="D0D5DD"/>
        </w:pBdr>
      </w:pPr>
      <w:r>
        <w:rPr>
          <w:rFonts w:ascii="Consolas" w:hAnsi="Consolas"/>
          <w:color w:val="0B1F3A"/>
          <w:sz w:val="16"/>
        </w:rPr>
        <w:t>| dsp_8HN  RESOLVED         9d   Adaeze's Ajo                    |</w:t>
      </w:r>
    </w:p>
    <w:p>
      <w:pPr>
        <w:spacing w:before="0" w:after="0" w:line="240" w:lineRule="auto"/>
        <w:ind w:left="230"/>
        <w:shd w:val="clear" w:color="auto" w:fill="F7F9FC"/>
        <w:pBdr>
          <w:left w:val="single" w:sz="4" w:space="6" w:color="D0D5DD"/>
        </w:pBdr>
      </w:pPr>
      <w:r>
        <w:rPr>
          <w:rFonts w:ascii="Consolas" w:hAnsi="Consolas"/>
          <w:color w:val="0B1F3A"/>
          <w:sz w:val="16"/>
        </w:rPr>
        <w:t>+-- (3) WORKSPACE -----------------------------------------------+</w:t>
      </w:r>
    </w:p>
    <w:p>
      <w:pPr>
        <w:spacing w:before="0" w:after="0" w:line="240" w:lineRule="auto"/>
        <w:ind w:left="230"/>
        <w:shd w:val="clear" w:color="auto" w:fill="F7F9FC"/>
        <w:pBdr>
          <w:left w:val="single" w:sz="4" w:space="6" w:color="D0D5DD"/>
        </w:pBdr>
      </w:pPr>
      <w:r>
        <w:rPr>
          <w:rFonts w:ascii="Consolas" w:hAnsi="Consolas"/>
          <w:color w:val="0B1F3A"/>
          <w:sz w:val="16"/>
        </w:rPr>
        <w:t>| dsp_4Q7   AWAITING MEMBER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Subject  charged for round 2,                                  |</w:t>
      </w:r>
    </w:p>
    <w:p>
      <w:pPr>
        <w:spacing w:before="0" w:after="0" w:line="240" w:lineRule="auto"/>
        <w:ind w:left="230"/>
        <w:shd w:val="clear" w:color="auto" w:fill="F7F9FC"/>
        <w:pBdr>
          <w:left w:val="single" w:sz="4" w:space="6" w:color="D0D5DD"/>
        </w:pBdr>
      </w:pPr>
      <w:r>
        <w:rPr>
          <w:rFonts w:ascii="Consolas" w:hAnsi="Consolas"/>
          <w:color w:val="0B1F3A"/>
          <w:sz w:val="16"/>
        </w:rPr>
        <w:t>|          receipt says paid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Effect   round 2 reinstated,                                   |</w:t>
      </w:r>
    </w:p>
    <w:p>
      <w:pPr>
        <w:spacing w:before="0" w:after="0" w:line="240" w:lineRule="auto"/>
        <w:ind w:left="230"/>
        <w:shd w:val="clear" w:color="auto" w:fill="F7F9FC"/>
        <w:pBdr>
          <w:left w:val="single" w:sz="4" w:space="6" w:color="D0D5DD"/>
        </w:pBdr>
      </w:pPr>
      <w:r>
        <w:rPr>
          <w:rFonts w:ascii="Consolas" w:hAnsi="Consolas"/>
          <w:color w:val="0B1F3A"/>
          <w:sz w:val="16"/>
        </w:rPr>
        <w:t>|          round 3 reassigned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Member wrote 30m ago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Reply }*  { Decide }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240 px rail, a 1,280 px content area, and a right context panel. Tables stay tables. A console is a tool for reading many rows at once and converting it to cards at desktop width would be a downgrade.</w:t>
      </w:r>
    </w:p>
    <w:p>
      <w:pPr>
        <w:spacing w:before="0" w:after="0" w:line="240" w:lineRule="auto"/>
        <w:ind w:left="230"/>
        <w:shd w:val="clear" w:color="auto" w:fill="F7F9FC"/>
        <w:pBdr>
          <w:left w:val="single" w:sz="4" w:space="6" w:color="D0D5DD"/>
        </w:pBdr>
      </w:pPr>
      <w:r>
        <w:rPr>
          <w:rFonts w:ascii="Consolas" w:hAnsi="Consolas"/>
          <w:color w:val="0B1F3A"/>
          <w:sz w:val="16"/>
        </w:rPr>
        <w:t>+-- (1) RAIL --------------------------------------------------------------+</w:t>
      </w:r>
    </w:p>
    <w:p>
      <w:pPr>
        <w:spacing w:before="0" w:after="0" w:line="240" w:lineRule="auto"/>
        <w:ind w:left="230"/>
        <w:shd w:val="clear" w:color="auto" w:fill="F7F9FC"/>
        <w:pBdr>
          <w:left w:val="single" w:sz="4" w:space="6" w:color="D0D5DD"/>
        </w:pBdr>
      </w:pPr>
      <w:r>
        <w:rPr>
          <w:rFonts w:ascii="Consolas" w:hAnsi="Consolas"/>
          <w:color w:val="0B1F3A"/>
          <w:sz w:val="16"/>
        </w:rPr>
        <w:t>| Overview                                                                 |</w:t>
      </w:r>
    </w:p>
    <w:p>
      <w:pPr>
        <w:spacing w:before="0" w:after="0" w:line="240" w:lineRule="auto"/>
        <w:ind w:left="230"/>
        <w:shd w:val="clear" w:color="auto" w:fill="F7F9FC"/>
        <w:pBdr>
          <w:left w:val="single" w:sz="4" w:space="6" w:color="D0D5DD"/>
        </w:pBdr>
      </w:pPr>
      <w:r>
        <w:rPr>
          <w:rFonts w:ascii="Consolas" w:hAnsi="Consolas"/>
          <w:color w:val="0B1F3A"/>
          <w:sz w:val="16"/>
        </w:rPr>
        <w:t>| Users                                                                    |</w:t>
      </w:r>
    </w:p>
    <w:p>
      <w:pPr>
        <w:spacing w:before="0" w:after="0" w:line="240" w:lineRule="auto"/>
        <w:ind w:left="230"/>
        <w:shd w:val="clear" w:color="auto" w:fill="F7F9FC"/>
        <w:pBdr>
          <w:left w:val="single" w:sz="4" w:space="6" w:color="D0D5DD"/>
        </w:pBdr>
      </w:pPr>
      <w:r>
        <w:rPr>
          <w:rFonts w:ascii="Consolas" w:hAnsi="Consolas"/>
          <w:color w:val="0B1F3A"/>
          <w:sz w:val="16"/>
        </w:rPr>
        <w:t>| Ajos                                                                     |</w:t>
      </w:r>
    </w:p>
    <w:p>
      <w:pPr>
        <w:spacing w:before="0" w:after="0" w:line="240" w:lineRule="auto"/>
        <w:ind w:left="230"/>
        <w:shd w:val="clear" w:color="auto" w:fill="F7F9FC"/>
        <w:pBdr>
          <w:left w:val="single" w:sz="4" w:space="6" w:color="D0D5DD"/>
        </w:pBdr>
      </w:pPr>
      <w:r>
        <w:rPr>
          <w:rFonts w:ascii="Consolas" w:hAnsi="Consolas"/>
          <w:color w:val="0B1F3A"/>
          <w:sz w:val="16"/>
        </w:rPr>
        <w:t>| Disputes                                                                 |</w:t>
      </w:r>
    </w:p>
    <w:p>
      <w:pPr>
        <w:spacing w:before="0" w:after="0" w:line="240" w:lineRule="auto"/>
        <w:ind w:left="230"/>
        <w:shd w:val="clear" w:color="auto" w:fill="F7F9FC"/>
        <w:pBdr>
          <w:left w:val="single" w:sz="4" w:space="6" w:color="D0D5DD"/>
        </w:pBdr>
      </w:pPr>
      <w:r>
        <w:rPr>
          <w:rFonts w:ascii="Consolas" w:hAnsi="Consolas"/>
          <w:color w:val="0B1F3A"/>
          <w:sz w:val="16"/>
        </w:rPr>
        <w:t>| Risk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Reports                                                                  |</w:t>
      </w:r>
    </w:p>
    <w:p>
      <w:pPr>
        <w:spacing w:before="0" w:after="0" w:line="240" w:lineRule="auto"/>
        <w:ind w:left="230"/>
        <w:shd w:val="clear" w:color="auto" w:fill="F7F9FC"/>
        <w:pBdr>
          <w:left w:val="single" w:sz="4" w:space="6" w:color="D0D5DD"/>
        </w:pBdr>
      </w:pPr>
      <w:r>
        <w:rPr>
          <w:rFonts w:ascii="Consolas" w:hAnsi="Consolas"/>
          <w:color w:val="0B1F3A"/>
          <w:sz w:val="16"/>
        </w:rPr>
        <w:t>| Audit logs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QUEUE -------------------------------------------------------------+</w:t>
      </w:r>
    </w:p>
    <w:p>
      <w:pPr>
        <w:spacing w:before="0" w:after="0" w:line="240" w:lineRule="auto"/>
        <w:ind w:left="230"/>
        <w:shd w:val="clear" w:color="auto" w:fill="F7F9FC"/>
        <w:pBdr>
          <w:left w:val="single" w:sz="4" w:space="6" w:color="D0D5DD"/>
        </w:pBdr>
      </w:pPr>
      <w:r>
        <w:rPr>
          <w:rFonts w:ascii="Consolas" w:hAnsi="Consolas"/>
          <w:color w:val="0B1F3A"/>
          <w:sz w:val="16"/>
        </w:rPr>
        <w:t>| REF     STATE             AGE  SUBJECT            AJO           WAITS ON |</w:t>
      </w:r>
    </w:p>
    <w:p>
      <w:pPr>
        <w:spacing w:before="0" w:after="0" w:line="240" w:lineRule="auto"/>
        <w:ind w:left="230"/>
        <w:shd w:val="clear" w:color="auto" w:fill="F7F9FC"/>
        <w:pBdr>
          <w:left w:val="single" w:sz="4" w:space="6" w:color="D0D5DD"/>
        </w:pBdr>
      </w:pPr>
      <w:r>
        <w:rPr>
          <w:rFonts w:ascii="Consolas" w:hAnsi="Consolas"/>
          <w:color w:val="0B1F3A"/>
          <w:sz w:val="16"/>
        </w:rPr>
        <w:t>| dsp_5RT  INVESTIGATING     0d   payout not held    Chima's Ajo           |</w:t>
      </w:r>
    </w:p>
    <w:p>
      <w:pPr>
        <w:spacing w:before="0" w:after="0" w:line="240" w:lineRule="auto"/>
        <w:ind w:left="230"/>
        <w:shd w:val="clear" w:color="auto" w:fill="F7F9FC"/>
        <w:pBdr>
          <w:left w:val="single" w:sz="4" w:space="6" w:color="D0D5DD"/>
        </w:pBdr>
      </w:pPr>
      <w:r>
        <w:rPr>
          <w:rFonts w:ascii="Consolas" w:hAnsi="Consolas"/>
          <w:color w:val="0B1F3A"/>
          <w:sz w:val="16"/>
        </w:rPr>
        <w:t>|   platform                                                               |</w:t>
      </w:r>
    </w:p>
    <w:p>
      <w:pPr>
        <w:spacing w:before="0" w:after="0" w:line="240" w:lineRule="auto"/>
        <w:ind w:left="230"/>
        <w:shd w:val="clear" w:color="auto" w:fill="F7F9FC"/>
        <w:pBdr>
          <w:left w:val="single" w:sz="4" w:space="6" w:color="D0D5DD"/>
        </w:pBdr>
      </w:pPr>
      <w:r>
        <w:rPr>
          <w:rFonts w:ascii="Consolas" w:hAnsi="Consolas"/>
          <w:color w:val="0B1F3A"/>
          <w:sz w:val="16"/>
        </w:rPr>
        <w:t>| dsp_9KX  AWAITING PLATFORM  1d   payout order       Adaeze's Ajo         |</w:t>
      </w:r>
    </w:p>
    <w:p>
      <w:pPr>
        <w:spacing w:before="0" w:after="0" w:line="240" w:lineRule="auto"/>
        <w:ind w:left="230"/>
        <w:shd w:val="clear" w:color="auto" w:fill="F7F9FC"/>
        <w:pBdr>
          <w:left w:val="single" w:sz="4" w:space="6" w:color="D0D5DD"/>
        </w:pBdr>
      </w:pPr>
      <w:r>
        <w:rPr>
          <w:rFonts w:ascii="Consolas" w:hAnsi="Consolas"/>
          <w:color w:val="0B1F3A"/>
          <w:sz w:val="16"/>
        </w:rPr>
        <w:t>|   platform                                                               |</w:t>
      </w:r>
    </w:p>
    <w:p>
      <w:pPr>
        <w:spacing w:before="0" w:after="0" w:line="240" w:lineRule="auto"/>
        <w:ind w:left="230"/>
        <w:shd w:val="clear" w:color="auto" w:fill="F7F9FC"/>
        <w:pBdr>
          <w:left w:val="single" w:sz="4" w:space="6" w:color="D0D5DD"/>
        </w:pBdr>
      </w:pPr>
      <w:r>
        <w:rPr>
          <w:rFonts w:ascii="Consolas" w:hAnsi="Consolas"/>
          <w:color w:val="0B1F3A"/>
          <w:sz w:val="16"/>
        </w:rPr>
        <w:t>| dsp_4Q7  AWAITING MEMBER   2d   wrong round        Chima's Ajo   member  |</w:t>
      </w:r>
    </w:p>
    <w:p>
      <w:pPr>
        <w:spacing w:before="0" w:after="0" w:line="240" w:lineRule="auto"/>
        <w:ind w:left="230"/>
        <w:shd w:val="clear" w:color="auto" w:fill="F7F9FC"/>
        <w:pBdr>
          <w:left w:val="single" w:sz="4" w:space="6" w:color="D0D5DD"/>
        </w:pBdr>
      </w:pPr>
      <w:r>
        <w:rPr>
          <w:rFonts w:ascii="Consolas" w:hAnsi="Consolas"/>
          <w:color w:val="0B1F3A"/>
          <w:sz w:val="16"/>
        </w:rPr>
        <w:t>| dsp_2WT  AWAITING MEMBER   4d   charged twice      Adaeze's Ajo  member  |</w:t>
      </w:r>
    </w:p>
    <w:p>
      <w:pPr>
        <w:spacing w:before="0" w:after="0" w:line="240" w:lineRule="auto"/>
        <w:ind w:left="230"/>
        <w:shd w:val="clear" w:color="auto" w:fill="F7F9FC"/>
        <w:pBdr>
          <w:left w:val="single" w:sz="4" w:space="6" w:color="D0D5DD"/>
        </w:pBdr>
      </w:pPr>
      <w:r>
        <w:rPr>
          <w:rFonts w:ascii="Consolas" w:hAnsi="Consolas"/>
          <w:color w:val="0B1F3A"/>
          <w:sz w:val="16"/>
        </w:rPr>
        <w:t>| dsp_1PP  AWAITING PLATFORM  6d   BVN mismatch       Fatima's Ajo         |</w:t>
      </w:r>
    </w:p>
    <w:p>
      <w:pPr>
        <w:spacing w:before="0" w:after="0" w:line="240" w:lineRule="auto"/>
        <w:ind w:left="230"/>
        <w:shd w:val="clear" w:color="auto" w:fill="F7F9FC"/>
        <w:pBdr>
          <w:left w:val="single" w:sz="4" w:space="6" w:color="D0D5DD"/>
        </w:pBdr>
      </w:pPr>
      <w:r>
        <w:rPr>
          <w:rFonts w:ascii="Consolas" w:hAnsi="Consolas"/>
          <w:color w:val="0B1F3A"/>
          <w:sz w:val="16"/>
        </w:rPr>
        <w:t>|   platform                                                               |</w:t>
      </w:r>
    </w:p>
    <w:p>
      <w:pPr>
        <w:spacing w:before="0" w:after="0" w:line="240" w:lineRule="auto"/>
        <w:ind w:left="230"/>
        <w:shd w:val="clear" w:color="auto" w:fill="F7F9FC"/>
        <w:pBdr>
          <w:left w:val="single" w:sz="4" w:space="6" w:color="D0D5DD"/>
        </w:pBdr>
      </w:pPr>
      <w:r>
        <w:rPr>
          <w:rFonts w:ascii="Consolas" w:hAnsi="Consolas"/>
          <w:color w:val="0B1F3A"/>
          <w:sz w:val="16"/>
        </w:rPr>
        <w:t>| dsp_8HN  RESOLVED          9d   payout order       Adaeze's Ajo  -       |</w:t>
      </w:r>
    </w:p>
    <w:p>
      <w:pPr>
        <w:spacing w:before="0" w:after="0" w:line="240" w:lineRule="auto"/>
        <w:ind w:left="230"/>
        <w:shd w:val="clear" w:color="auto" w:fill="F7F9FC"/>
        <w:pBdr>
          <w:left w:val="single" w:sz="4" w:space="6" w:color="D0D5DD"/>
        </w:pBdr>
      </w:pPr>
      <w:r>
        <w:rPr>
          <w:rFonts w:ascii="Consolas" w:hAnsi="Consolas"/>
          <w:color w:val="0B1F3A"/>
          <w:sz w:val="16"/>
        </w:rPr>
        <w:t>+-- (3) WORKSPACE ---------------------------------------------------------+</w:t>
      </w:r>
    </w:p>
    <w:p>
      <w:pPr>
        <w:spacing w:before="0" w:after="0" w:line="240" w:lineRule="auto"/>
        <w:ind w:left="230"/>
        <w:shd w:val="clear" w:color="auto" w:fill="F7F9FC"/>
        <w:pBdr>
          <w:left w:val="single" w:sz="4" w:space="6" w:color="D0D5DD"/>
        </w:pBdr>
      </w:pPr>
      <w:r>
        <w:rPr>
          <w:rFonts w:ascii="Consolas" w:hAnsi="Consolas"/>
          <w:color w:val="0B1F3A"/>
          <w:sz w:val="16"/>
        </w:rPr>
        <w:t>| dsp_4Q7  Chima's Ajo, round 2   STATE: AWAITING MEMBER   AGE 2d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SUBJECT   I was charged NGN 1,020.00 for round 2, the receipt says       |</w:t>
      </w:r>
    </w:p>
    <w:p>
      <w:pPr>
        <w:spacing w:before="0" w:after="0" w:line="240" w:lineRule="auto"/>
        <w:ind w:left="230"/>
        <w:shd w:val="clear" w:color="auto" w:fill="F7F9FC"/>
        <w:pBdr>
          <w:left w:val="single" w:sz="4" w:space="6" w:color="D0D5DD"/>
        </w:pBdr>
      </w:pPr>
      <w:r>
        <w:rPr>
          <w:rFonts w:ascii="Consolas" w:hAnsi="Consolas"/>
          <w:color w:val="0B1F3A"/>
          <w:sz w:val="16"/>
        </w:rPr>
        <w:t>|           paid, the round shows 9 of 10, and I have no record of it.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12 Sep 09:52  AJO.ng (support)                                           |</w:t>
      </w:r>
    </w:p>
    <w:p>
      <w:pPr>
        <w:spacing w:before="0" w:after="0" w:line="240" w:lineRule="auto"/>
        <w:ind w:left="230"/>
        <w:shd w:val="clear" w:color="auto" w:fill="F7F9FC"/>
        <w:pBdr>
          <w:left w:val="single" w:sz="4" w:space="6" w:color="D0D5DD"/>
        </w:pBdr>
      </w:pPr>
      <w:r>
        <w:rPr>
          <w:rFonts w:ascii="Consolas" w:hAnsi="Consolas"/>
          <w:color w:val="0B1F3A"/>
          <w:sz w:val="16"/>
        </w:rPr>
        <w:t>|   Thanks. We can see the payment and the posting. We are                 |</w:t>
      </w:r>
    </w:p>
    <w:p>
      <w:pPr>
        <w:spacing w:before="0" w:after="0" w:line="240" w:lineRule="auto"/>
        <w:ind w:left="230"/>
        <w:shd w:val="clear" w:color="auto" w:fill="F7F9FC"/>
        <w:pBdr>
          <w:left w:val="single" w:sz="4" w:space="6" w:color="D0D5DD"/>
        </w:pBdr>
      </w:pPr>
      <w:r>
        <w:rPr>
          <w:rFonts w:ascii="Consolas" w:hAnsi="Consolas"/>
          <w:color w:val="0B1F3A"/>
          <w:sz w:val="16"/>
        </w:rPr>
        <w:t>|   checking which round it was applied to.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12 Sep 10:14  Chima O. (member)                                          |</w:t>
      </w:r>
    </w:p>
    <w:p>
      <w:pPr>
        <w:spacing w:before="0" w:after="0" w:line="240" w:lineRule="auto"/>
        <w:ind w:left="230"/>
        <w:shd w:val="clear" w:color="auto" w:fill="F7F9FC"/>
        <w:pBdr>
          <w:left w:val="single" w:sz="4" w:space="6" w:color="D0D5DD"/>
        </w:pBdr>
      </w:pPr>
      <w:r>
        <w:rPr>
          <w:rFonts w:ascii="Consolas" w:hAnsi="Consolas"/>
          <w:color w:val="0B1F3A"/>
          <w:sz w:val="16"/>
        </w:rPr>
        <w:t>|   It is not in my history at all.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12 Sep 11:03  AJO.ng (support)                                           |</w:t>
      </w:r>
    </w:p>
    <w:p>
      <w:pPr>
        <w:spacing w:before="0" w:after="0" w:line="240" w:lineRule="auto"/>
        <w:ind w:left="230"/>
        <w:shd w:val="clear" w:color="auto" w:fill="F7F9FC"/>
        <w:pBdr>
          <w:left w:val="single" w:sz="4" w:space="6" w:color="D0D5DD"/>
        </w:pBdr>
      </w:pPr>
      <w:r>
        <w:rPr>
          <w:rFonts w:ascii="Consolas" w:hAnsi="Consolas"/>
          <w:color w:val="0B1F3A"/>
          <w:sz w:val="16"/>
        </w:rPr>
        <w:t>|   Confirmed: applied to round 3 by mistake. We are                       |</w:t>
      </w:r>
    </w:p>
    <w:p>
      <w:pPr>
        <w:spacing w:before="0" w:after="0" w:line="240" w:lineRule="auto"/>
        <w:ind w:left="230"/>
        <w:shd w:val="clear" w:color="auto" w:fill="F7F9FC"/>
        <w:pBdr>
          <w:left w:val="single" w:sz="4" w:space="6" w:color="D0D5DD"/>
        </w:pBdr>
      </w:pPr>
      <w:r>
        <w:rPr>
          <w:rFonts w:ascii="Consolas" w:hAnsi="Consolas"/>
          <w:color w:val="0B1F3A"/>
          <w:sz w:val="16"/>
        </w:rPr>
        <w:t>|   correcting it. No refund is due to you.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12 Sep 11:30  Chima O. (member)                                          |</w:t>
      </w:r>
    </w:p>
    <w:p>
      <w:pPr>
        <w:spacing w:before="0" w:after="0" w:line="240" w:lineRule="auto"/>
        <w:ind w:left="230"/>
        <w:shd w:val="clear" w:color="auto" w:fill="F7F9FC"/>
        <w:pBdr>
          <w:left w:val="single" w:sz="4" w:space="6" w:color="D0D5DD"/>
        </w:pBdr>
      </w:pPr>
      <w:r>
        <w:rPr>
          <w:rFonts w:ascii="Consolas" w:hAnsi="Consolas"/>
          <w:color w:val="0B1F3A"/>
          <w:sz w:val="16"/>
        </w:rPr>
        <w:t>|   I would still like my money back.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LEDGER EFFECT   Round 2 obligation reinstated. Round 3                   |</w:t>
      </w:r>
    </w:p>
    <w:p>
      <w:pPr>
        <w:spacing w:before="0" w:after="0" w:line="240" w:lineRule="auto"/>
        <w:ind w:left="230"/>
        <w:shd w:val="clear" w:color="auto" w:fill="F7F9FC"/>
        <w:pBdr>
          <w:left w:val="single" w:sz="4" w:space="6" w:color="D0D5DD"/>
        </w:pBdr>
      </w:pPr>
      <w:r>
        <w:rPr>
          <w:rFonts w:ascii="Consolas" w:hAnsi="Consolas"/>
          <w:color w:val="0B1F3A"/>
          <w:sz w:val="16"/>
        </w:rPr>
        <w:t>|                 contribution reassigned. A reversing entry               |</w:t>
      </w:r>
    </w:p>
    <w:p>
      <w:pPr>
        <w:spacing w:before="0" w:after="0" w:line="240" w:lineRule="auto"/>
        <w:ind w:left="230"/>
        <w:shd w:val="clear" w:color="auto" w:fill="F7F9FC"/>
        <w:pBdr>
          <w:left w:val="single" w:sz="4" w:space="6" w:color="D0D5DD"/>
        </w:pBdr>
      </w:pPr>
      <w:r>
        <w:rPr>
          <w:rFonts w:ascii="Consolas" w:hAnsi="Consolas"/>
          <w:color w:val="0B1F3A"/>
          <w:sz w:val="16"/>
        </w:rPr>
        <w:t>|                 was posted. Nothing was deleted.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DECISION REQUIRED   Refund NGN 1,020.00, or explain that the             |</w:t>
      </w:r>
    </w:p>
    <w:p>
      <w:pPr>
        <w:spacing w:before="0" w:after="0" w:line="240" w:lineRule="auto"/>
        <w:ind w:left="230"/>
        <w:shd w:val="clear" w:color="auto" w:fill="F7F9FC"/>
        <w:pBdr>
          <w:left w:val="single" w:sz="4" w:space="6" w:color="D0D5DD"/>
        </w:pBdr>
      </w:pPr>
      <w:r>
        <w:rPr>
          <w:rFonts w:ascii="Consolas" w:hAnsi="Consolas"/>
          <w:color w:val="0B1F3A"/>
          <w:sz w:val="16"/>
        </w:rPr>
        <w:t>|                      correction stands.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Refund }*   { Explain, no refund }*   { Need more information }        |</w:t>
      </w:r>
    </w:p>
    <w:p>
      <w:pPr>
        <w:spacing w:before="0" w:after="0" w:line="240" w:lineRule="auto"/>
        <w:ind w:left="230"/>
        <w:shd w:val="clear" w:color="auto" w:fill="F7F9FC"/>
        <w:pBdr>
          <w:left w:val="single" w:sz="4" w:space="6" w:color="D0D5DD"/>
        </w:pBdr>
      </w:pPr>
      <w:r>
        <w:rPr>
          <w:rFonts w:ascii="Consolas" w:hAnsi="Consolas"/>
          <w:color w:val="0B1F3A"/>
          <w:sz w:val="16"/>
        </w:rPr>
        <w:t>+-- (4) DECISION RULES ----------------------------------------------------+</w:t>
      </w:r>
    </w:p>
    <w:p>
      <w:pPr>
        <w:spacing w:before="0" w:after="0" w:line="240" w:lineRule="auto"/>
        <w:ind w:left="230"/>
        <w:shd w:val="clear" w:color="auto" w:fill="F7F9FC"/>
        <w:pBdr>
          <w:left w:val="single" w:sz="4" w:space="6" w:color="D0D5DD"/>
        </w:pBdr>
      </w:pPr>
      <w:r>
        <w:rPr>
          <w:rFonts w:ascii="Consolas" w:hAnsi="Consolas"/>
          <w:color w:val="0B1F3A"/>
          <w:sz w:val="16"/>
        </w:rPr>
        <w:t>| support       may reply, may not decide a money outcome                  |</w:t>
      </w:r>
    </w:p>
    <w:p>
      <w:pPr>
        <w:spacing w:before="0" w:after="0" w:line="240" w:lineRule="auto"/>
        <w:ind w:left="230"/>
        <w:shd w:val="clear" w:color="auto" w:fill="F7F9FC"/>
        <w:pBdr>
          <w:left w:val="single" w:sz="4" w:space="6" w:color="D0D5DD"/>
        </w:pBdr>
      </w:pPr>
      <w:r>
        <w:rPr>
          <w:rFonts w:ascii="Consolas" w:hAnsi="Consolas"/>
          <w:color w:val="0B1F3A"/>
          <w:sz w:val="16"/>
        </w:rPr>
        <w:t>| risk_officer  may decide, may not release a payout directly              |</w:t>
      </w:r>
    </w:p>
    <w:p>
      <w:pPr>
        <w:spacing w:before="0" w:after="0" w:line="240" w:lineRule="auto"/>
        <w:ind w:left="230"/>
        <w:shd w:val="clear" w:color="auto" w:fill="F7F9FC"/>
        <w:pBdr>
          <w:left w:val="single" w:sz="4" w:space="6" w:color="D0D5DD"/>
        </w:pBdr>
      </w:pPr>
      <w:r>
        <w:rPr>
          <w:rFonts w:ascii="Consolas" w:hAnsi="Consolas"/>
          <w:color w:val="0B1F3A"/>
          <w:sz w:val="16"/>
        </w:rPr>
        <w:t>| super_admin   may decide, may not edit or delete a ledger entry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Every decision writes an audit_log row with the actor, the reason, and   |</w:t>
      </w:r>
    </w:p>
    <w:p>
      <w:pPr>
        <w:spacing w:before="0" w:after="0" w:line="240" w:lineRule="auto"/>
        <w:ind w:left="230"/>
        <w:shd w:val="clear" w:color="auto" w:fill="F7F9FC"/>
        <w:pBdr>
          <w:left w:val="single" w:sz="4" w:space="6" w:color="D0D5DD"/>
        </w:pBdr>
      </w:pPr>
      <w:r>
        <w:rPr>
          <w:rFonts w:ascii="Consolas" w:hAnsi="Consolas"/>
          <w:color w:val="0B1F3A"/>
          <w:sz w:val="16"/>
        </w:rPr>
        <w:t>|   the                                                                    |</w:t>
      </w:r>
    </w:p>
    <w:p>
      <w:pPr>
        <w:spacing w:before="0" w:after="0" w:line="240" w:lineRule="auto"/>
        <w:ind w:left="230"/>
        <w:shd w:val="clear" w:color="auto" w:fill="F7F9FC"/>
        <w:pBdr>
          <w:left w:val="single" w:sz="4" w:space="6" w:color="D0D5DD"/>
        </w:pBdr>
      </w:pPr>
      <w:r>
        <w:rPr>
          <w:rFonts w:ascii="Consolas" w:hAnsi="Consolas"/>
          <w:color w:val="0B1F3A"/>
          <w:sz w:val="16"/>
        </w:rPr>
        <w:t>| before and after state. There is no decision without a reason.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6.31.2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555"/>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595"/>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 Queue</w:t>
            </w:r>
          </w:p>
        </w:tc>
        <w:tc>
          <w:tcPr>
            <w:tcW w:type="dxa" w:w="1555"/>
            <w:tcMar>
              <w:top w:w="60" w:type="dxa"/>
              <w:start w:w="110" w:type="dxa"/>
              <w:bottom w:w="60" w:type="dxa"/>
              <w:end w:w="110" w:type="dxa"/>
            </w:tcMar>
          </w:tcPr>
          <w:p>
            <w:pPr>
              <w:spacing w:after="0"/>
            </w:pPr>
            <w:r/>
            <w:r>
              <w:rPr>
                <w:rFonts w:ascii="Calibri" w:hAnsi="Calibri"/>
                <w:b w:val="0"/>
                <w:i w:val="0"/>
                <w:color w:val="101828"/>
                <w:sz w:val="14"/>
              </w:rPr>
              <w:t>Every dispute, with state, age, subject, Ajo and who waits.</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595"/>
            <w:tcMar>
              <w:top w:w="60" w:type="dxa"/>
              <w:start w:w="110" w:type="dxa"/>
              <w:bottom w:w="60" w:type="dxa"/>
              <w:end w:w="110" w:type="dxa"/>
            </w:tcMar>
          </w:tcPr>
          <w:p>
            <w:pPr>
              <w:spacing w:after="0"/>
            </w:pPr>
            <w:r/>
            <w:r>
              <w:rPr>
                <w:rFonts w:ascii="Calibri" w:hAnsi="Calibri"/>
                <w:b w:val="0"/>
                <w:i w:val="0"/>
                <w:color w:val="101828"/>
                <w:sz w:val="14"/>
              </w:rPr>
              <w:t xml:space="preserve">Sorted by age within state rather than by state then age, because the oldest item is the one that breaches a response time. </w:t>
            </w:r>
            <w:r>
              <w:rPr>
                <w:rFonts w:ascii="Calibri" w:hAnsi="Calibri"/>
                <w:b/>
                <w:color w:val="101828"/>
                <w:sz w:val="14"/>
              </w:rPr>
              <w:t>The *who waits* column is the operational one</w:t>
            </w:r>
            <w:r>
              <w:rPr>
                <w:rFonts w:ascii="Calibri" w:hAnsi="Calibri"/>
                <w:b w:val="0"/>
                <w:i w:val="0"/>
                <w:color w:val="101828"/>
                <w:sz w:val="14"/>
              </w:rPr>
              <w:t>: a dispute waiting on the platform is the platform's debt.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Filters</w:t>
            </w:r>
          </w:p>
        </w:tc>
        <w:tc>
          <w:tcPr>
            <w:tcW w:type="dxa" w:w="1555"/>
            <w:tcMar>
              <w:top w:w="60" w:type="dxa"/>
              <w:start w:w="110" w:type="dxa"/>
              <w:bottom w:w="60" w:type="dxa"/>
              <w:end w:w="110" w:type="dxa"/>
            </w:tcMar>
            <w:shd w:val="clear" w:color="auto" w:fill="F4F7FB"/>
          </w:tcPr>
          <w:p>
            <w:pPr>
              <w:spacing w:after="0"/>
            </w:pPr>
            <w:r/>
            <w:r>
              <w:rPr>
                <w:rFonts w:ascii="Calibri" w:hAnsi="Calibri"/>
                <w:b w:val="0"/>
                <w:i w:val="0"/>
                <w:color w:val="101828"/>
                <w:sz w:val="14"/>
              </w:rPr>
              <w:t>State, Ajo, age, and assignee.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P2</w:t>
            </w:r>
          </w:p>
        </w:tc>
        <w:tc>
          <w:tcPr>
            <w:tcW w:type="dxa" w:w="6595"/>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Assignment is a console concept, not a member concept. A dispute is not </w:t>
            </w:r>
            <w:r>
              <w:rPr>
                <w:rFonts w:ascii="Calibri" w:hAnsi="Calibri"/>
                <w:i/>
                <w:color w:val="101828"/>
                <w:sz w:val="14"/>
              </w:rPr>
              <w:t>owned</w:t>
            </w:r>
            <w:r>
              <w:rPr>
                <w:rFonts w:ascii="Calibri" w:hAnsi="Calibri"/>
                <w:b w:val="0"/>
                <w:i w:val="0"/>
                <w:color w:val="101828"/>
                <w:sz w:val="14"/>
              </w:rPr>
              <w:t xml:space="preserve"> by an agent in the member's view, and no member-facing text implies otherwise.</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 Thread</w:t>
            </w:r>
          </w:p>
        </w:tc>
        <w:tc>
          <w:tcPr>
            <w:tcW w:type="dxa" w:w="1555"/>
            <w:tcMar>
              <w:top w:w="60" w:type="dxa"/>
              <w:start w:w="110" w:type="dxa"/>
              <w:bottom w:w="60" w:type="dxa"/>
              <w:end w:w="110" w:type="dxa"/>
            </w:tcMar>
          </w:tcPr>
          <w:p>
            <w:pPr>
              <w:spacing w:after="0"/>
            </w:pPr>
            <w:r/>
            <w:r>
              <w:rPr>
                <w:rFonts w:ascii="Calibri" w:hAnsi="Calibri"/>
                <w:b w:val="0"/>
                <w:i w:val="0"/>
                <w:color w:val="101828"/>
                <w:sz w:val="14"/>
              </w:rPr>
              <w:t>The same thread the member sees, unedited.</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595"/>
            <w:tcMar>
              <w:top w:w="60" w:type="dxa"/>
              <w:start w:w="110" w:type="dxa"/>
              <w:bottom w:w="60" w:type="dxa"/>
              <w:end w:w="110" w:type="dxa"/>
            </w:tcMar>
          </w:tcPr>
          <w:p>
            <w:pPr>
              <w:spacing w:after="0"/>
            </w:pPr>
            <w:r/>
            <w:r>
              <w:rPr>
                <w:rFonts w:ascii="Calibri" w:hAnsi="Calibri"/>
                <w:b w:val="0"/>
                <w:i w:val="0"/>
                <w:color w:val="101828"/>
                <w:sz w:val="14"/>
              </w:rPr>
              <w:t>Read-only to agents. A support reply can be composed but an existing message cannot be edited or deleted, so the member's record of what they were told cannot be altered after the fact.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 Ledger effect</w:t>
            </w:r>
          </w:p>
        </w:tc>
        <w:tc>
          <w:tcPr>
            <w:tcW w:type="dxa" w:w="1555"/>
            <w:tcMar>
              <w:top w:w="60" w:type="dxa"/>
              <w:start w:w="110" w:type="dxa"/>
              <w:bottom w:w="60" w:type="dxa"/>
              <w:end w:w="110" w:type="dxa"/>
            </w:tcMar>
            <w:shd w:val="clear" w:color="auto" w:fill="F4F7FB"/>
          </w:tcPr>
          <w:p>
            <w:pPr>
              <w:spacing w:after="0"/>
            </w:pPr>
            <w:r/>
            <w:r>
              <w:rPr>
                <w:rFonts w:ascii="Calibri" w:hAnsi="Calibri"/>
                <w:b w:val="0"/>
                <w:i w:val="0"/>
                <w:color w:val="101828"/>
                <w:sz w:val="14"/>
              </w:rPr>
              <w:t>What the dispute has already changed.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595"/>
            <w:tcMar>
              <w:top w:w="60" w:type="dxa"/>
              <w:start w:w="110" w:type="dxa"/>
              <w:bottom w:w="60" w:type="dxa"/>
              <w:end w:w="110" w:type="dxa"/>
            </w:tcMar>
            <w:shd w:val="clear" w:color="auto" w:fill="F4F7FB"/>
          </w:tcPr>
          <w:p>
            <w:pPr>
              <w:spacing w:after="0"/>
            </w:pPr>
            <w:r/>
            <w:r>
              <w:rPr>
                <w:rFonts w:ascii="Calibri" w:hAnsi="Calibri"/>
                <w:b/>
                <w:color w:val="101828"/>
                <w:sz w:val="14"/>
              </w:rPr>
              <w:t>Mandatory.</w:t>
            </w:r>
            <w:r>
              <w:rPr>
                <w:rFonts w:ascii="Calibri" w:hAnsi="Calibri"/>
                <w:b w:val="0"/>
                <w:i w:val="0"/>
                <w:color w:val="101828"/>
                <w:sz w:val="14"/>
              </w:rPr>
              <w:t xml:space="preserve"> Displayed above the decision controls, not below, so that nobody reaches for </w:t>
            </w:r>
            <w:r>
              <w:rPr>
                <w:rFonts w:ascii="Calibri" w:hAnsi="Calibri"/>
                <w:i/>
                <w:color w:val="101828"/>
                <w:sz w:val="14"/>
              </w:rPr>
              <w:t>Refund</w:t>
            </w:r>
            <w:r>
              <w:rPr>
                <w:rFonts w:ascii="Calibri" w:hAnsi="Calibri"/>
                <w:b w:val="0"/>
                <w:i w:val="0"/>
                <w:color w:val="101828"/>
                <w:sz w:val="14"/>
              </w:rPr>
              <w:t xml:space="preserve"> without having read what has already happened. An agent who does not know a reversing entry was posted is an agent who can post a second one.</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(5) Decision controls</w:t>
            </w:r>
          </w:p>
        </w:tc>
        <w:tc>
          <w:tcPr>
            <w:tcW w:type="dxa" w:w="1555"/>
            <w:tcMar>
              <w:top w:w="60" w:type="dxa"/>
              <w:start w:w="110" w:type="dxa"/>
              <w:bottom w:w="60" w:type="dxa"/>
              <w:end w:w="110" w:type="dxa"/>
            </w:tcMar>
          </w:tcPr>
          <w:p>
            <w:pPr>
              <w:spacing w:after="0"/>
            </w:pPr>
            <w:r/>
            <w:r>
              <w:rPr>
                <w:rFonts w:ascii="Calibri" w:hAnsi="Calibri"/>
                <w:b w:val="0"/>
                <w:i w:val="0"/>
                <w:color w:val="101828"/>
                <w:sz w:val="14"/>
              </w:rPr>
              <w:t>Refund, explain with no refund, or request more information.</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595"/>
            <w:tcMar>
              <w:top w:w="60" w:type="dxa"/>
              <w:start w:w="110" w:type="dxa"/>
              <w:bottom w:w="60" w:type="dxa"/>
              <w:end w:w="110" w:type="dxa"/>
            </w:tcMar>
          </w:tcPr>
          <w:p>
            <w:pPr>
              <w:spacing w:after="0"/>
            </w:pPr>
            <w:r/>
            <w:r>
              <w:rPr>
                <w:rFonts w:ascii="Calibri" w:hAnsi="Calibri"/>
                <w:b w:val="0"/>
                <w:i w:val="0"/>
                <w:color w:val="101828"/>
                <w:sz w:val="14"/>
              </w:rPr>
              <w:t xml:space="preserve">Every path requires a reason, and a decision cannot be saved without one. The alternatives considered — resolve, close, escalate — were rejected because </w:t>
            </w:r>
            <w:r>
              <w:rPr>
                <w:rFonts w:ascii="Calibri" w:hAnsi="Calibri"/>
                <w:i/>
                <w:color w:val="101828"/>
                <w:sz w:val="14"/>
              </w:rPr>
              <w:t>close</w:t>
            </w:r>
            <w:r>
              <w:rPr>
                <w:rFonts w:ascii="Calibri" w:hAnsi="Calibri"/>
                <w:b w:val="0"/>
                <w:i w:val="0"/>
                <w:color w:val="101828"/>
                <w:sz w:val="14"/>
              </w:rPr>
              <w:t xml:space="preserve"> implies an outcome that did not happen and </w:t>
            </w:r>
            <w:r>
              <w:rPr>
                <w:rFonts w:ascii="Calibri" w:hAnsi="Calibri"/>
                <w:i/>
                <w:color w:val="101828"/>
                <w:sz w:val="14"/>
              </w:rPr>
              <w:t>escalate</w:t>
            </w:r>
            <w:r>
              <w:rPr>
                <w:rFonts w:ascii="Calibri" w:hAnsi="Calibri"/>
                <w:b w:val="0"/>
                <w:i w:val="0"/>
                <w:color w:val="101828"/>
                <w:sz w:val="14"/>
              </w:rPr>
              <w:t xml:space="preserve"> has no defined destination in v1.</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(6) Role limits</w:t>
            </w:r>
          </w:p>
        </w:tc>
        <w:tc>
          <w:tcPr>
            <w:tcW w:type="dxa" w:w="1555"/>
            <w:tcMar>
              <w:top w:w="60" w:type="dxa"/>
              <w:start w:w="110" w:type="dxa"/>
              <w:bottom w:w="60" w:type="dxa"/>
              <w:end w:w="110" w:type="dxa"/>
            </w:tcMar>
            <w:shd w:val="clear" w:color="auto" w:fill="F4F7FB"/>
          </w:tcPr>
          <w:p>
            <w:pPr>
              <w:spacing w:after="0"/>
            </w:pPr>
            <w:r/>
            <w:r>
              <w:rPr>
                <w:rFonts w:ascii="Calibri" w:hAnsi="Calibri"/>
                <w:b w:val="0"/>
                <w:i w:val="0"/>
                <w:color w:val="101828"/>
                <w:sz w:val="14"/>
              </w:rPr>
              <w:t>What the signed-in role may do here.</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595"/>
            <w:tcMar>
              <w:top w:w="60" w:type="dxa"/>
              <w:start w:w="110" w:type="dxa"/>
              <w:bottom w:w="60" w:type="dxa"/>
              <w:end w:w="110" w:type="dxa"/>
            </w:tcMar>
            <w:shd w:val="clear" w:color="auto" w:fill="F4F7FB"/>
          </w:tcPr>
          <w:p>
            <w:pPr>
              <w:spacing w:after="0"/>
            </w:pPr>
            <w:r/>
            <w:r>
              <w:rPr>
                <w:rFonts w:ascii="Calibri" w:hAnsi="Calibri"/>
                <w:b/>
                <w:color w:val="101828"/>
                <w:sz w:val="14"/>
              </w:rPr>
              <w:t>Enforced in the interface, not only in the API.</w:t>
            </w:r>
            <w:r>
              <w:rPr>
                <w:rFonts w:ascii="Calibri" w:hAnsi="Calibri"/>
                <w:b w:val="0"/>
                <w:i w:val="0"/>
                <w:color w:val="101828"/>
                <w:sz w:val="14"/>
              </w:rPr>
              <w:t xml:space="preserve"> CANONICAL.md denies </w:t>
            </w:r>
            <w:r>
              <w:rPr>
                <w:rFonts w:ascii="Consolas" w:hAnsi="Consolas"/>
                <w:color w:val="146EF5"/>
                <w:sz w:val="14"/>
              </w:rPr>
              <w:t>support</w:t>
            </w:r>
            <w:r>
              <w:rPr>
                <w:rFonts w:ascii="Calibri" w:hAnsi="Calibri"/>
                <w:b w:val="0"/>
                <w:i w:val="0"/>
                <w:color w:val="101828"/>
                <w:sz w:val="14"/>
              </w:rPr>
              <w:t xml:space="preserve"> any power to move money and denies </w:t>
            </w:r>
            <w:r>
              <w:rPr>
                <w:rFonts w:ascii="Consolas" w:hAnsi="Consolas"/>
                <w:color w:val="146EF5"/>
                <w:sz w:val="14"/>
              </w:rPr>
              <w:t>super_admin</w:t>
            </w:r>
            <w:r>
              <w:rPr>
                <w:rFonts w:ascii="Calibri" w:hAnsi="Calibri"/>
                <w:b w:val="0"/>
                <w:i w:val="0"/>
                <w:color w:val="101828"/>
                <w:sz w:val="14"/>
              </w:rPr>
              <w:t xml:space="preserve"> any power to edit the ledger, and an interface that shows a control a role cannot use is a control that will be pressed and produce an error.</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(7) Audit on decision</w:t>
            </w:r>
          </w:p>
        </w:tc>
        <w:tc>
          <w:tcPr>
            <w:tcW w:type="dxa" w:w="1555"/>
            <w:tcMar>
              <w:top w:w="60" w:type="dxa"/>
              <w:start w:w="110" w:type="dxa"/>
              <w:bottom w:w="60" w:type="dxa"/>
              <w:end w:w="110" w:type="dxa"/>
            </w:tcMar>
          </w:tcPr>
          <w:p>
            <w:pPr>
              <w:spacing w:after="0"/>
            </w:pPr>
            <w:r/>
            <w:r>
              <w:rPr>
                <w:rFonts w:ascii="Calibri" w:hAnsi="Calibri"/>
                <w:b w:val="0"/>
                <w:i w:val="0"/>
                <w:color w:val="101828"/>
                <w:sz w:val="14"/>
              </w:rPr>
              <w:t>The decision and its reason are written on save.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595"/>
            <w:tcMar>
              <w:top w:w="60" w:type="dxa"/>
              <w:start w:w="110" w:type="dxa"/>
              <w:bottom w:w="60" w:type="dxa"/>
              <w:end w:w="110" w:type="dxa"/>
            </w:tcMar>
          </w:tcPr>
          <w:p>
            <w:pPr>
              <w:spacing w:after="0"/>
            </w:pPr>
            <w:r/>
            <w:r>
              <w:rPr>
                <w:rFonts w:ascii="Consolas" w:hAnsi="Consolas"/>
                <w:color w:val="146EF5"/>
                <w:sz w:val="14"/>
              </w:rPr>
              <w:t>audit_logs</w:t>
            </w:r>
            <w:r>
              <w:rPr>
                <w:rFonts w:ascii="Calibri" w:hAnsi="Calibri"/>
                <w:b w:val="0"/>
                <w:i w:val="0"/>
                <w:color w:val="101828"/>
                <w:sz w:val="14"/>
              </w:rPr>
              <w:t xml:space="preserve"> records the actor, the action, the reason, and the before and after state. </w:t>
            </w:r>
            <w:r>
              <w:rPr>
                <w:rFonts w:ascii="Calibri" w:hAnsi="Calibri"/>
                <w:b/>
                <w:color w:val="101828"/>
                <w:sz w:val="14"/>
              </w:rPr>
              <w:t>There is no decision without a reason, and no reason can be edited afterwards.</w:t>
            </w:r>
          </w:p>
        </w:tc>
      </w:tr>
    </w:tbl>
    <w:p>
      <w:pPr>
        <w:spacing w:after="80"/>
      </w:pPr>
    </w:p>
    <w:p>
      <w:pPr>
        <w:pStyle w:val="Heading2"/>
      </w:pPr>
      <w:r>
        <w:rPr>
          <w:rFonts w:ascii="Calibri" w:hAnsi="Calibri"/>
          <w:b/>
          <w:i w:val="0"/>
          <w:color w:val="146EF5"/>
          <w:sz w:val="29"/>
        </w:rPr>
        <w:t>6.32 Risk Queue — SCR-ADM-08</w:t>
      </w:r>
    </w:p>
    <w:p>
      <w:r>
        <w:rPr>
          <w:rFonts w:ascii="Calibri" w:hAnsi="Calibri"/>
          <w:b w:val="0"/>
          <w:i w:val="0"/>
          <w:color w:val="101828"/>
          <w:sz w:val="21"/>
        </w:rPr>
        <w:t>The screen that decides whether a suspicious pattern becomes a person losing access to their money, and it is designed around one observation: a rule is worth more than a person at 4 a.m. The event detail therefore leads with the money — what has been collected, what has been paid out, and what happens to both under each available action — before it lists the actions. An officer deciding under time pressure needs to know what each button costs, not what it is called.</w:t>
      </w:r>
    </w:p>
    <w:p>
      <w:pPr>
        <w:spacing w:before="140" w:after="180"/>
        <w:ind w:left="144"/>
        <w:shd w:val="clear" w:color="auto" w:fill="FEF3C7"/>
        <w:pBdr>
          <w:left w:val="single" w:sz="18" w:space="6" w:color="FBBF24"/>
        </w:pBdr>
      </w:pPr>
      <w:r>
        <w:rPr>
          <w:rFonts w:ascii="Calibri" w:hAnsi="Calibri"/>
          <w:b/>
          <w:color w:val="FBBF24"/>
          <w:sz w:val="19"/>
        </w:rPr>
        <w:t xml:space="preserve">A risk action is visible to the member it is taken against  </w:t>
      </w:r>
      <w:r>
        <w:rPr>
          <w:rFonts w:ascii="Calibri" w:hAnsi="Calibri"/>
          <w:b w:val="0"/>
          <w:i w:val="0"/>
          <w:color w:val="0B1F3A"/>
          <w:sz w:val="19"/>
        </w:rPr>
        <w:t xml:space="preserve">Freezing an account and holding a payout both have member-facing consequences, and the interface must make that explicit before the officer presses the button: the member receives </w:t>
      </w:r>
      <w:r>
        <w:rPr>
          <w:rFonts w:ascii="Consolas" w:hAnsi="Consolas"/>
          <w:color w:val="146EF5"/>
          <w:sz w:val="19"/>
        </w:rPr>
        <w:t>account.frozen</w:t>
      </w:r>
      <w:r>
        <w:rPr>
          <w:rFonts w:ascii="Calibri" w:hAnsi="Calibri"/>
          <w:b w:val="0"/>
          <w:i w:val="0"/>
          <w:color w:val="0B1F3A"/>
          <w:sz w:val="19"/>
        </w:rPr>
        <w:t xml:space="preserve"> or </w:t>
      </w:r>
      <w:r>
        <w:rPr>
          <w:rFonts w:ascii="Consolas" w:hAnsi="Consolas"/>
          <w:color w:val="146EF5"/>
          <w:sz w:val="19"/>
        </w:rPr>
        <w:t>payout.held</w:t>
      </w:r>
      <w:r>
        <w:rPr>
          <w:rFonts w:ascii="Calibri" w:hAnsi="Calibri"/>
          <w:b w:val="0"/>
          <w:i w:val="0"/>
          <w:color w:val="0B1F3A"/>
          <w:sz w:val="19"/>
        </w:rPr>
        <w:t xml:space="preserve"> by push, email and SMS, and sees a screen at SCR-WEB-17 or the held state at 6.20. </w:t>
      </w:r>
      <w:r>
        <w:rPr>
          <w:rFonts w:ascii="Calibri" w:hAnsi="Calibri"/>
          <w:b/>
          <w:color w:val="0B1F3A"/>
          <w:sz w:val="19"/>
        </w:rPr>
        <w:t>A risk action that the member cannot see is a risk action the member cannot appeal</w:t>
      </w:r>
      <w:r>
        <w:rPr>
          <w:rFonts w:ascii="Calibri" w:hAnsi="Calibri"/>
          <w:b w:val="0"/>
          <w:i w:val="0"/>
          <w:color w:val="0B1F3A"/>
          <w:sz w:val="19"/>
        </w:rPr>
        <w:t>, and the reason field is therefore also the material that becomes the explanation. This is why a reason cannot be empty and cannot later be edited: the officer is writing the explanation at the moment they are taking the action, and the temptation to write something short and revisable is exactly the failure this rule prevents.</w:t>
      </w:r>
    </w:p>
    <w:p>
      <w:pPr>
        <w:pStyle w:val="Heading3"/>
      </w:pPr>
      <w:r>
        <w:rPr>
          <w:rFonts w:ascii="Calibri" w:hAnsi="Calibri"/>
          <w:b/>
          <w:i w:val="0"/>
          <w:color w:val="0B1F3A"/>
          <w:sz w:val="24"/>
        </w:rPr>
        <w:t>6.32.1 Wireframe</w:t>
      </w:r>
    </w:p>
    <w:p>
      <w:r>
        <w:rPr>
          <w:rFonts w:ascii="Calibri" w:hAnsi="Calibri"/>
          <w:b/>
          <w:color w:val="101828"/>
          <w:sz w:val="21"/>
        </w:rPr>
        <w:t>Tablet — 768 px.</w:t>
      </w:r>
      <w:r>
        <w:rPr>
          <w:rFonts w:ascii="Calibri" w:hAnsi="Calibri"/>
          <w:b w:val="0"/>
          <w:i w:val="0"/>
          <w:color w:val="101828"/>
          <w:sz w:val="21"/>
        </w:rPr>
        <w:t xml:space="preserve"> Two columns, 24 px gutters, a collapsible rail, and a table that drops its least important column rather than becoming a card list. This is the smallest width at which the console is built.</w:t>
      </w:r>
    </w:p>
    <w:p>
      <w:pPr>
        <w:spacing w:before="0" w:after="0" w:line="240" w:lineRule="auto"/>
        <w:ind w:left="230"/>
        <w:shd w:val="clear" w:color="auto" w:fill="F7F9FC"/>
        <w:pBdr>
          <w:left w:val="single" w:sz="4" w:space="6" w:color="D0D5DD"/>
        </w:pBdr>
      </w:pPr>
      <w:r>
        <w:rPr>
          <w:rFonts w:ascii="Consolas" w:hAnsi="Consolas"/>
          <w:color w:val="0B1F3A"/>
          <w:sz w:val="16"/>
        </w:rPr>
        <w:t>+-- (1) RAIL ----------------------------------------------------+</w:t>
      </w:r>
    </w:p>
    <w:p>
      <w:pPr>
        <w:spacing w:before="0" w:after="0" w:line="240" w:lineRule="auto"/>
        <w:ind w:left="230"/>
        <w:shd w:val="clear" w:color="auto" w:fill="F7F9FC"/>
        <w:pBdr>
          <w:left w:val="single" w:sz="4" w:space="6" w:color="D0D5DD"/>
        </w:pBdr>
      </w:pPr>
      <w:r>
        <w:rPr>
          <w:rFonts w:ascii="Consolas" w:hAnsi="Consolas"/>
          <w:color w:val="0B1F3A"/>
          <w:sz w:val="16"/>
        </w:rPr>
        <w:t>| Overview                                                       |</w:t>
      </w:r>
    </w:p>
    <w:p>
      <w:pPr>
        <w:spacing w:before="0" w:after="0" w:line="240" w:lineRule="auto"/>
        <w:ind w:left="230"/>
        <w:shd w:val="clear" w:color="auto" w:fill="F7F9FC"/>
        <w:pBdr>
          <w:left w:val="single" w:sz="4" w:space="6" w:color="D0D5DD"/>
        </w:pBdr>
      </w:pPr>
      <w:r>
        <w:rPr>
          <w:rFonts w:ascii="Consolas" w:hAnsi="Consolas"/>
          <w:color w:val="0B1F3A"/>
          <w:sz w:val="16"/>
        </w:rPr>
        <w:t>| Users                                                          |</w:t>
      </w:r>
    </w:p>
    <w:p>
      <w:pPr>
        <w:spacing w:before="0" w:after="0" w:line="240" w:lineRule="auto"/>
        <w:ind w:left="230"/>
        <w:shd w:val="clear" w:color="auto" w:fill="F7F9FC"/>
        <w:pBdr>
          <w:left w:val="single" w:sz="4" w:space="6" w:color="D0D5DD"/>
        </w:pBdr>
      </w:pPr>
      <w:r>
        <w:rPr>
          <w:rFonts w:ascii="Consolas" w:hAnsi="Consolas"/>
          <w:color w:val="0B1F3A"/>
          <w:sz w:val="16"/>
        </w:rPr>
        <w:t>| Ajos                                                           |</w:t>
      </w:r>
    </w:p>
    <w:p>
      <w:pPr>
        <w:spacing w:before="0" w:after="0" w:line="240" w:lineRule="auto"/>
        <w:ind w:left="230"/>
        <w:shd w:val="clear" w:color="auto" w:fill="F7F9FC"/>
        <w:pBdr>
          <w:left w:val="single" w:sz="4" w:space="6" w:color="D0D5DD"/>
        </w:pBdr>
      </w:pPr>
      <w:r>
        <w:rPr>
          <w:rFonts w:ascii="Consolas" w:hAnsi="Consolas"/>
          <w:color w:val="0B1F3A"/>
          <w:sz w:val="16"/>
        </w:rPr>
        <w:t>| Disputes                                                       |</w:t>
      </w:r>
    </w:p>
    <w:p>
      <w:pPr>
        <w:spacing w:before="0" w:after="0" w:line="240" w:lineRule="auto"/>
        <w:ind w:left="230"/>
        <w:shd w:val="clear" w:color="auto" w:fill="F7F9FC"/>
        <w:pBdr>
          <w:left w:val="single" w:sz="4" w:space="6" w:color="D0D5DD"/>
        </w:pBdr>
      </w:pPr>
      <w:r>
        <w:rPr>
          <w:rFonts w:ascii="Consolas" w:hAnsi="Consolas"/>
          <w:color w:val="0B1F3A"/>
          <w:sz w:val="16"/>
        </w:rPr>
        <w:t>| Risk                                                           |</w:t>
      </w:r>
    </w:p>
    <w:p>
      <w:pPr>
        <w:spacing w:before="0" w:after="0" w:line="240" w:lineRule="auto"/>
        <w:ind w:left="230"/>
        <w:shd w:val="clear" w:color="auto" w:fill="F7F9FC"/>
        <w:pBdr>
          <w:left w:val="single" w:sz="4" w:space="6" w:color="D0D5DD"/>
        </w:pBdr>
      </w:pPr>
      <w:r>
        <w:rPr>
          <w:rFonts w:ascii="Consolas" w:hAnsi="Consolas"/>
          <w:color w:val="0B1F3A"/>
          <w:sz w:val="16"/>
        </w:rPr>
        <w:t>| Reports                                                        |</w:t>
      </w:r>
    </w:p>
    <w:p>
      <w:pPr>
        <w:spacing w:before="0" w:after="0" w:line="240" w:lineRule="auto"/>
        <w:ind w:left="230"/>
        <w:shd w:val="clear" w:color="auto" w:fill="F7F9FC"/>
        <w:pBdr>
          <w:left w:val="single" w:sz="4" w:space="6" w:color="D0D5DD"/>
        </w:pBdr>
      </w:pPr>
      <w:r>
        <w:rPr>
          <w:rFonts w:ascii="Consolas" w:hAnsi="Consolas"/>
          <w:color w:val="0B1F3A"/>
          <w:sz w:val="16"/>
        </w:rPr>
        <w:t>| Audit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QUEUE ---------------------------------------------------+</w:t>
      </w:r>
    </w:p>
    <w:p>
      <w:pPr>
        <w:spacing w:before="0" w:after="0" w:line="240" w:lineRule="auto"/>
        <w:ind w:left="230"/>
        <w:shd w:val="clear" w:color="auto" w:fill="F7F9FC"/>
        <w:pBdr>
          <w:left w:val="single" w:sz="4" w:space="6" w:color="D0D5DD"/>
        </w:pBdr>
      </w:pPr>
      <w:r>
        <w:rPr>
          <w:rFonts w:ascii="Consolas" w:hAnsi="Consolas"/>
          <w:color w:val="0B1F3A"/>
          <w:sz w:val="16"/>
        </w:rPr>
        <w:t>| ris_7Q2  velocity    4 accounts   NEW                          |</w:t>
      </w:r>
    </w:p>
    <w:p>
      <w:pPr>
        <w:spacing w:before="0" w:after="0" w:line="240" w:lineRule="auto"/>
        <w:ind w:left="230"/>
        <w:shd w:val="clear" w:color="auto" w:fill="F7F9FC"/>
        <w:pBdr>
          <w:left w:val="single" w:sz="4" w:space="6" w:color="D0D5DD"/>
        </w:pBdr>
      </w:pPr>
      <w:r>
        <w:rPr>
          <w:rFonts w:ascii="Consolas" w:hAnsi="Consolas"/>
          <w:color w:val="0B1F3A"/>
          <w:sz w:val="16"/>
        </w:rPr>
        <w:t>| ris_3KL  device reuse 2 accounts  NEW                          |</w:t>
      </w:r>
    </w:p>
    <w:p>
      <w:pPr>
        <w:spacing w:before="0" w:after="0" w:line="240" w:lineRule="auto"/>
        <w:ind w:left="230"/>
        <w:shd w:val="clear" w:color="auto" w:fill="F7F9FC"/>
        <w:pBdr>
          <w:left w:val="single" w:sz="4" w:space="6" w:color="D0D5DD"/>
        </w:pBdr>
      </w:pPr>
      <w:r>
        <w:rPr>
          <w:rFonts w:ascii="Consolas" w:hAnsi="Consolas"/>
          <w:color w:val="0B1F3A"/>
          <w:sz w:val="16"/>
        </w:rPr>
        <w:t>| ris_9WX  BVN mismatch 1 account   REVIEW                       |</w:t>
      </w:r>
    </w:p>
    <w:p>
      <w:pPr>
        <w:spacing w:before="0" w:after="0" w:line="240" w:lineRule="auto"/>
        <w:ind w:left="230"/>
        <w:shd w:val="clear" w:color="auto" w:fill="F7F9FC"/>
        <w:pBdr>
          <w:left w:val="single" w:sz="4" w:space="6" w:color="D0D5DD"/>
        </w:pBdr>
      </w:pPr>
      <w:r>
        <w:rPr>
          <w:rFonts w:ascii="Consolas" w:hAnsi="Consolas"/>
          <w:color w:val="0B1F3A"/>
          <w:sz w:val="16"/>
        </w:rPr>
        <w:t>| ris_2PP  payout burst 1 account   ASSIGNED                     |</w:t>
      </w:r>
    </w:p>
    <w:p>
      <w:pPr>
        <w:spacing w:before="0" w:after="0" w:line="240" w:lineRule="auto"/>
        <w:ind w:left="230"/>
        <w:shd w:val="clear" w:color="auto" w:fill="F7F9FC"/>
        <w:pBdr>
          <w:left w:val="single" w:sz="4" w:space="6" w:color="D0D5DD"/>
        </w:pBdr>
      </w:pPr>
      <w:r>
        <w:rPr>
          <w:rFonts w:ascii="Consolas" w:hAnsi="Consolas"/>
          <w:color w:val="0B1F3A"/>
          <w:sz w:val="16"/>
        </w:rPr>
        <w:t>+-- (3) EVENT ---------------------------------------------------+</w:t>
      </w:r>
    </w:p>
    <w:p>
      <w:pPr>
        <w:spacing w:before="0" w:after="0" w:line="240" w:lineRule="auto"/>
        <w:ind w:left="230"/>
        <w:shd w:val="clear" w:color="auto" w:fill="F7F9FC"/>
        <w:pBdr>
          <w:left w:val="single" w:sz="4" w:space="6" w:color="D0D5DD"/>
        </w:pBdr>
      </w:pPr>
      <w:r>
        <w:rPr>
          <w:rFonts w:ascii="Consolas" w:hAnsi="Consolas"/>
          <w:color w:val="0B1F3A"/>
          <w:sz w:val="16"/>
        </w:rPr>
        <w:t>| ris_7Q2  velocity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4 accounts, 3 devices,                                         |</w:t>
      </w:r>
    </w:p>
    <w:p>
      <w:pPr>
        <w:spacing w:before="0" w:after="0" w:line="240" w:lineRule="auto"/>
        <w:ind w:left="230"/>
        <w:shd w:val="clear" w:color="auto" w:fill="F7F9FC"/>
        <w:pBdr>
          <w:left w:val="single" w:sz="4" w:space="6" w:color="D0D5DD"/>
        </w:pBdr>
      </w:pPr>
      <w:r>
        <w:rPr>
          <w:rFonts w:ascii="Consolas" w:hAnsi="Consolas"/>
          <w:color w:val="0B1F3A"/>
          <w:sz w:val="16"/>
        </w:rPr>
        <w:t>| one phone number, in 6 min.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Collected NGN 40,800.00                                        |</w:t>
      </w:r>
    </w:p>
    <w:p>
      <w:pPr>
        <w:spacing w:before="0" w:after="0" w:line="240" w:lineRule="auto"/>
        <w:ind w:left="230"/>
        <w:shd w:val="clear" w:color="auto" w:fill="F7F9FC"/>
        <w:pBdr>
          <w:left w:val="single" w:sz="4" w:space="6" w:color="D0D5DD"/>
        </w:pBdr>
      </w:pPr>
      <w:r>
        <w:rPr>
          <w:rFonts w:ascii="Consolas" w:hAnsi="Consolas"/>
          <w:color w:val="0B1F3A"/>
          <w:sz w:val="16"/>
        </w:rPr>
        <w:t>| Payouts NGN 0.00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Take ]   [ Reject ]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Queue on the left, event on the right, actions beneath the money block. The limits panel sits at the foot of the event column, marked provisional, because D-08 is unresolved.</w:t>
      </w:r>
    </w:p>
    <w:p>
      <w:pPr>
        <w:spacing w:before="0" w:after="0" w:line="240" w:lineRule="auto"/>
        <w:ind w:left="230"/>
        <w:shd w:val="clear" w:color="auto" w:fill="F7F9FC"/>
        <w:pBdr>
          <w:left w:val="single" w:sz="4" w:space="6" w:color="D0D5DD"/>
        </w:pBdr>
      </w:pPr>
      <w:r>
        <w:rPr>
          <w:rFonts w:ascii="Consolas" w:hAnsi="Consolas"/>
          <w:color w:val="0B1F3A"/>
          <w:sz w:val="16"/>
        </w:rPr>
        <w:t>+-- (1) RAIL --------------------------------------------------------------+</w:t>
      </w:r>
    </w:p>
    <w:p>
      <w:pPr>
        <w:spacing w:before="0" w:after="0" w:line="240" w:lineRule="auto"/>
        <w:ind w:left="230"/>
        <w:shd w:val="clear" w:color="auto" w:fill="F7F9FC"/>
        <w:pBdr>
          <w:left w:val="single" w:sz="4" w:space="6" w:color="D0D5DD"/>
        </w:pBdr>
      </w:pPr>
      <w:r>
        <w:rPr>
          <w:rFonts w:ascii="Consolas" w:hAnsi="Consolas"/>
          <w:color w:val="0B1F3A"/>
          <w:sz w:val="16"/>
        </w:rPr>
        <w:t>| Overview                                                                 |</w:t>
      </w:r>
    </w:p>
    <w:p>
      <w:pPr>
        <w:spacing w:before="0" w:after="0" w:line="240" w:lineRule="auto"/>
        <w:ind w:left="230"/>
        <w:shd w:val="clear" w:color="auto" w:fill="F7F9FC"/>
        <w:pBdr>
          <w:left w:val="single" w:sz="4" w:space="6" w:color="D0D5DD"/>
        </w:pBdr>
      </w:pPr>
      <w:r>
        <w:rPr>
          <w:rFonts w:ascii="Consolas" w:hAnsi="Consolas"/>
          <w:color w:val="0B1F3A"/>
          <w:sz w:val="16"/>
        </w:rPr>
        <w:t>| Users                                                                    |</w:t>
      </w:r>
    </w:p>
    <w:p>
      <w:pPr>
        <w:spacing w:before="0" w:after="0" w:line="240" w:lineRule="auto"/>
        <w:ind w:left="230"/>
        <w:shd w:val="clear" w:color="auto" w:fill="F7F9FC"/>
        <w:pBdr>
          <w:left w:val="single" w:sz="4" w:space="6" w:color="D0D5DD"/>
        </w:pBdr>
      </w:pPr>
      <w:r>
        <w:rPr>
          <w:rFonts w:ascii="Consolas" w:hAnsi="Consolas"/>
          <w:color w:val="0B1F3A"/>
          <w:sz w:val="16"/>
        </w:rPr>
        <w:t>| Ajos                                                                     |</w:t>
      </w:r>
    </w:p>
    <w:p>
      <w:pPr>
        <w:spacing w:before="0" w:after="0" w:line="240" w:lineRule="auto"/>
        <w:ind w:left="230"/>
        <w:shd w:val="clear" w:color="auto" w:fill="F7F9FC"/>
        <w:pBdr>
          <w:left w:val="single" w:sz="4" w:space="6" w:color="D0D5DD"/>
        </w:pBdr>
      </w:pPr>
      <w:r>
        <w:rPr>
          <w:rFonts w:ascii="Consolas" w:hAnsi="Consolas"/>
          <w:color w:val="0B1F3A"/>
          <w:sz w:val="16"/>
        </w:rPr>
        <w:t>| Disputes                                                                 |</w:t>
      </w:r>
    </w:p>
    <w:p>
      <w:pPr>
        <w:spacing w:before="0" w:after="0" w:line="240" w:lineRule="auto"/>
        <w:ind w:left="230"/>
        <w:shd w:val="clear" w:color="auto" w:fill="F7F9FC"/>
        <w:pBdr>
          <w:left w:val="single" w:sz="4" w:space="6" w:color="D0D5DD"/>
        </w:pBdr>
      </w:pPr>
      <w:r>
        <w:rPr>
          <w:rFonts w:ascii="Consolas" w:hAnsi="Consolas"/>
          <w:color w:val="0B1F3A"/>
          <w:sz w:val="16"/>
        </w:rPr>
        <w:t>| Risk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Reports                                                                  |</w:t>
      </w:r>
    </w:p>
    <w:p>
      <w:pPr>
        <w:spacing w:before="0" w:after="0" w:line="240" w:lineRule="auto"/>
        <w:ind w:left="230"/>
        <w:shd w:val="clear" w:color="auto" w:fill="F7F9FC"/>
        <w:pBdr>
          <w:left w:val="single" w:sz="4" w:space="6" w:color="D0D5DD"/>
        </w:pBdr>
      </w:pPr>
      <w:r>
        <w:rPr>
          <w:rFonts w:ascii="Consolas" w:hAnsi="Consolas"/>
          <w:color w:val="0B1F3A"/>
          <w:sz w:val="16"/>
        </w:rPr>
        <w:t>| Audit logs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QUEUE -------------------------------------------------------------+</w:t>
      </w:r>
    </w:p>
    <w:p>
      <w:pPr>
        <w:spacing w:before="0" w:after="0" w:line="240" w:lineRule="auto"/>
        <w:ind w:left="230"/>
        <w:shd w:val="clear" w:color="auto" w:fill="F7F9FC"/>
        <w:pBdr>
          <w:left w:val="single" w:sz="4" w:space="6" w:color="D0D5DD"/>
        </w:pBdr>
      </w:pPr>
      <w:r>
        <w:rPr>
          <w:rFonts w:ascii="Consolas" w:hAnsi="Consolas"/>
          <w:color w:val="0B1F3A"/>
          <w:sz w:val="16"/>
        </w:rPr>
        <w:t>| EVENT     TYPE          AGE  SIGNAL           VALUE      STATE           |</w:t>
      </w:r>
    </w:p>
    <w:p>
      <w:pPr>
        <w:spacing w:before="0" w:after="0" w:line="240" w:lineRule="auto"/>
        <w:ind w:left="230"/>
        <w:shd w:val="clear" w:color="auto" w:fill="F7F9FC"/>
        <w:pBdr>
          <w:left w:val="single" w:sz="4" w:space="6" w:color="D0D5DD"/>
        </w:pBdr>
      </w:pPr>
      <w:r>
        <w:rPr>
          <w:rFonts w:ascii="Consolas" w:hAnsi="Consolas"/>
          <w:color w:val="0B1F3A"/>
          <w:sz w:val="16"/>
        </w:rPr>
        <w:t>| ris_2PP   payout burst  0d   9 payouts, 1 acct NGN 90,000 ASSIGNED       |</w:t>
      </w:r>
    </w:p>
    <w:p>
      <w:pPr>
        <w:spacing w:before="0" w:after="0" w:line="240" w:lineRule="auto"/>
        <w:ind w:left="230"/>
        <w:shd w:val="clear" w:color="auto" w:fill="F7F9FC"/>
        <w:pBdr>
          <w:left w:val="single" w:sz="4" w:space="6" w:color="D0D5DD"/>
        </w:pBdr>
      </w:pPr>
      <w:r>
        <w:rPr>
          <w:rFonts w:ascii="Consolas" w:hAnsi="Consolas"/>
          <w:color w:val="0B1F3A"/>
          <w:sz w:val="16"/>
        </w:rPr>
        <w:t>| ris_7Q2   velocity      0d   4 accts, 3 devs   NGN 40,800  NEW           |</w:t>
      </w:r>
    </w:p>
    <w:p>
      <w:pPr>
        <w:spacing w:before="0" w:after="0" w:line="240" w:lineRule="auto"/>
        <w:ind w:left="230"/>
        <w:shd w:val="clear" w:color="auto" w:fill="F7F9FC"/>
        <w:pBdr>
          <w:left w:val="single" w:sz="4" w:space="6" w:color="D0D5DD"/>
        </w:pBdr>
      </w:pPr>
      <w:r>
        <w:rPr>
          <w:rFonts w:ascii="Consolas" w:hAnsi="Consolas"/>
          <w:color w:val="0B1F3A"/>
          <w:sz w:val="16"/>
        </w:rPr>
        <w:t>| ris_3KL   device reuse  1d   2 accounts, 1 dev  NGN 0       NEW          |</w:t>
      </w:r>
    </w:p>
    <w:p>
      <w:pPr>
        <w:spacing w:before="0" w:after="0" w:line="240" w:lineRule="auto"/>
        <w:ind w:left="230"/>
        <w:shd w:val="clear" w:color="auto" w:fill="F7F9FC"/>
        <w:pBdr>
          <w:left w:val="single" w:sz="4" w:space="6" w:color="D0D5DD"/>
        </w:pBdr>
      </w:pPr>
      <w:r>
        <w:rPr>
          <w:rFonts w:ascii="Consolas" w:hAnsi="Consolas"/>
          <w:color w:val="0B1F3A"/>
          <w:sz w:val="16"/>
        </w:rPr>
        <w:t>| ris_9WX   BVN mismatch  2d   1 account         NGN 0       REVIEW        |</w:t>
      </w:r>
    </w:p>
    <w:p>
      <w:pPr>
        <w:spacing w:before="0" w:after="0" w:line="240" w:lineRule="auto"/>
        <w:ind w:left="230"/>
        <w:shd w:val="clear" w:color="auto" w:fill="F7F9FC"/>
        <w:pBdr>
          <w:left w:val="single" w:sz="4" w:space="6" w:color="D0D5DD"/>
        </w:pBdr>
      </w:pPr>
      <w:r>
        <w:rPr>
          <w:rFonts w:ascii="Consolas" w:hAnsi="Consolas"/>
          <w:color w:val="0B1F3A"/>
          <w:sz w:val="16"/>
        </w:rPr>
        <w:t>| ris_6TQ   late round    3d   default pattern   NGN 10,000  ASSIGNED      |</w:t>
      </w:r>
    </w:p>
    <w:p>
      <w:pPr>
        <w:spacing w:before="0" w:after="0" w:line="240" w:lineRule="auto"/>
        <w:ind w:left="230"/>
        <w:shd w:val="clear" w:color="auto" w:fill="F7F9FC"/>
        <w:pBdr>
          <w:left w:val="single" w:sz="4" w:space="6" w:color="D0D5DD"/>
        </w:pBdr>
      </w:pPr>
      <w:r>
        <w:rPr>
          <w:rFonts w:ascii="Consolas" w:hAnsi="Consolas"/>
          <w:color w:val="0B1F3A"/>
          <w:sz w:val="16"/>
        </w:rPr>
        <w:t>+-- (3) EVENT -------------------------------------------------------------+</w:t>
      </w:r>
    </w:p>
    <w:p>
      <w:pPr>
        <w:spacing w:before="0" w:after="0" w:line="240" w:lineRule="auto"/>
        <w:ind w:left="230"/>
        <w:shd w:val="clear" w:color="auto" w:fill="F7F9FC"/>
        <w:pBdr>
          <w:left w:val="single" w:sz="4" w:space="6" w:color="D0D5DD"/>
        </w:pBdr>
      </w:pPr>
      <w:r>
        <w:rPr>
          <w:rFonts w:ascii="Consolas" w:hAnsi="Consolas"/>
          <w:color w:val="0B1F3A"/>
          <w:sz w:val="16"/>
        </w:rPr>
        <w:t>| ris_7Q2   velocity   STATE: NEW   RAISED 12 Sep 04:18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4 accounts, 3 devices, 1 phone number, within 6 minutes.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COLLECTED   NGN 40,800.00     PAYOUTS   NGN 0.00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It is 04:18. Nobody is awake. That is what a rule is for, and what       |</w:t>
      </w:r>
    </w:p>
    <w:p>
      <w:pPr>
        <w:spacing w:before="0" w:after="0" w:line="240" w:lineRule="auto"/>
        <w:ind w:left="230"/>
        <w:shd w:val="clear" w:color="auto" w:fill="F7F9FC"/>
        <w:pBdr>
          <w:left w:val="single" w:sz="4" w:space="6" w:color="D0D5DD"/>
        </w:pBdr>
      </w:pPr>
      <w:r>
        <w:rPr>
          <w:rFonts w:ascii="Consolas" w:hAnsi="Consolas"/>
          <w:color w:val="0B1F3A"/>
          <w:sz w:val="16"/>
        </w:rPr>
        <w:t>| an assign-to-a-person rule is not.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  What the money would do if the accounts were one person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Collected in the window      NGN 40,800.00                    |       |</w:t>
      </w:r>
    </w:p>
    <w:p>
      <w:pPr>
        <w:spacing w:before="0" w:after="0" w:line="240" w:lineRule="auto"/>
        <w:ind w:left="230"/>
        <w:shd w:val="clear" w:color="auto" w:fill="F7F9FC"/>
        <w:pBdr>
          <w:left w:val="single" w:sz="4" w:space="6" w:color="D0D5DD"/>
        </w:pBdr>
      </w:pPr>
      <w:r>
        <w:rPr>
          <w:rFonts w:ascii="Consolas" w:hAnsi="Consolas"/>
          <w:color w:val="0B1F3A"/>
          <w:sz w:val="16"/>
        </w:rPr>
        <w:t>| |  Already paid out             NGN 0.00                        |        |</w:t>
      </w:r>
    </w:p>
    <w:p>
      <w:pPr>
        <w:spacing w:before="0" w:after="0" w:line="240" w:lineRule="auto"/>
        <w:ind w:left="230"/>
        <w:shd w:val="clear" w:color="auto" w:fill="F7F9FC"/>
        <w:pBdr>
          <w:left w:val="single" w:sz="4" w:space="6" w:color="D0D5DD"/>
        </w:pBdr>
      </w:pPr>
      <w:r>
        <w:rPr>
          <w:rFonts w:ascii="Consolas" w:hAnsi="Consolas"/>
          <w:color w:val="0B1F3A"/>
          <w:sz w:val="16"/>
        </w:rPr>
        <w:t>| |  Held pending a decision      NGN 40,800.00                   |        |</w:t>
      </w:r>
    </w:p>
    <w:p>
      <w:pPr>
        <w:spacing w:before="0" w:after="0" w:line="240" w:lineRule="auto"/>
        <w:ind w:left="230"/>
        <w:shd w:val="clear" w:color="auto" w:fill="F7F9FC"/>
        <w:pBdr>
          <w:left w:val="single" w:sz="4" w:space="6" w:color="D0D5DD"/>
        </w:pBdr>
      </w:pPr>
      <w:r>
        <w:rPr>
          <w:rFonts w:ascii="Consolas" w:hAnsi="Consolas"/>
          <w:color w:val="0B1F3A"/>
          <w:sz w:val="16"/>
        </w:rPr>
        <w:t>| |                                                                |       |</w:t>
      </w:r>
    </w:p>
    <w:p>
      <w:pPr>
        <w:spacing w:before="0" w:after="0" w:line="240" w:lineRule="auto"/>
        <w:ind w:left="230"/>
        <w:shd w:val="clear" w:color="auto" w:fill="F7F9FC"/>
        <w:pBdr>
          <w:left w:val="single" w:sz="4" w:space="6" w:color="D0D5DD"/>
        </w:pBdr>
      </w:pPr>
      <w:r>
        <w:rPr>
          <w:rFonts w:ascii="Consolas" w:hAnsi="Consolas"/>
          <w:color w:val="0B1F3A"/>
          <w:sz w:val="16"/>
        </w:rPr>
        <w:t>| |  Every one of these payouts can be held and none can be lost.  |       |</w:t>
      </w:r>
    </w:p>
    <w:p>
      <w:pPr>
        <w:spacing w:before="0" w:after="0" w:line="240" w:lineRule="auto"/>
        <w:ind w:left="230"/>
        <w:shd w:val="clear" w:color="auto" w:fill="F7F9FC"/>
        <w:pBdr>
          <w:left w:val="single" w:sz="4" w:space="6" w:color="D0D5DD"/>
        </w:pBdr>
      </w:pPr>
      <w:r>
        <w:rPr>
          <w:rFonts w:ascii="Consolas" w:hAnsi="Consolas"/>
          <w:color w:val="0B1F3A"/>
          <w:sz w:val="16"/>
        </w:rPr>
        <w:t>| +----------------------------------------------------------------+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ACTIONS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Hold the 4 payouts        creates a payout hold                        |</w:t>
      </w:r>
    </w:p>
    <w:p>
      <w:pPr>
        <w:spacing w:before="0" w:after="0" w:line="240" w:lineRule="auto"/>
        <w:ind w:left="230"/>
        <w:shd w:val="clear" w:color="auto" w:fill="F7F9FC"/>
        <w:pBdr>
          <w:left w:val="single" w:sz="4" w:space="6" w:color="D0D5DD"/>
        </w:pBdr>
      </w:pPr>
      <w:r>
        <w:rPr>
          <w:rFonts w:ascii="Consolas" w:hAnsi="Consolas"/>
          <w:color w:val="0B1F3A"/>
          <w:sz w:val="16"/>
        </w:rPr>
        <w:t>|   Freeze the 3 sessions     ends sessions, keeps records                 |</w:t>
      </w:r>
    </w:p>
    <w:p>
      <w:pPr>
        <w:spacing w:before="0" w:after="0" w:line="240" w:lineRule="auto"/>
        <w:ind w:left="230"/>
        <w:shd w:val="clear" w:color="auto" w:fill="F7F9FC"/>
        <w:pBdr>
          <w:left w:val="single" w:sz="4" w:space="6" w:color="D0D5DD"/>
        </w:pBdr>
      </w:pPr>
      <w:r>
        <w:rPr>
          <w:rFonts w:ascii="Consolas" w:hAnsi="Consolas"/>
          <w:color w:val="0B1F3A"/>
          <w:sz w:val="16"/>
        </w:rPr>
        <w:t>|   Put 4 accounts in review  blocks new Ajo joins                         |</w:t>
      </w:r>
    </w:p>
    <w:p>
      <w:pPr>
        <w:spacing w:before="0" w:after="0" w:line="240" w:lineRule="auto"/>
        <w:ind w:left="230"/>
        <w:shd w:val="clear" w:color="auto" w:fill="F7F9FC"/>
        <w:pBdr>
          <w:left w:val="single" w:sz="4" w:space="6" w:color="D0D5DD"/>
        </w:pBdr>
      </w:pPr>
      <w:r>
        <w:rPr>
          <w:rFonts w:ascii="Consolas" w:hAnsi="Consolas"/>
          <w:color w:val="0B1F3A"/>
          <w:sz w:val="16"/>
        </w:rPr>
        <w:t>|   Reject                     records a false positive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Any action requires a reason, and it is permanent.                   |</w:t>
      </w:r>
    </w:p>
    <w:p>
      <w:pPr>
        <w:spacing w:before="0" w:after="0" w:line="240" w:lineRule="auto"/>
        <w:ind w:left="230"/>
        <w:shd w:val="clear" w:color="auto" w:fill="F7F9FC"/>
        <w:pBdr>
          <w:left w:val="single" w:sz="4" w:space="6" w:color="D0D5DD"/>
        </w:pBdr>
      </w:pPr>
      <w:r>
        <w:rPr>
          <w:rFonts w:ascii="Consolas" w:hAnsi="Consolas"/>
          <w:color w:val="0B1F3A"/>
          <w:sz w:val="16"/>
        </w:rPr>
        <w:t>|   + risk_officer may take all four. super_admin may take                 |</w:t>
      </w:r>
    </w:p>
    <w:p>
      <w:pPr>
        <w:spacing w:before="0" w:after="0" w:line="240" w:lineRule="auto"/>
        <w:ind w:left="230"/>
        <w:shd w:val="clear" w:color="auto" w:fill="F7F9FC"/>
        <w:pBdr>
          <w:left w:val="single" w:sz="4" w:space="6" w:color="D0D5DD"/>
        </w:pBdr>
      </w:pPr>
      <w:r>
        <w:rPr>
          <w:rFonts w:ascii="Consolas" w:hAnsi="Consolas"/>
          <w:color w:val="0B1F3A"/>
          <w:sz w:val="16"/>
        </w:rPr>
        <w:t>|     all four.                                                            |</w:t>
      </w:r>
    </w:p>
    <w:p>
      <w:pPr>
        <w:spacing w:before="0" w:after="0" w:line="240" w:lineRule="auto"/>
        <w:ind w:left="230"/>
        <w:shd w:val="clear" w:color="auto" w:fill="F7F9FC"/>
        <w:pBdr>
          <w:left w:val="single" w:sz="4" w:space="6" w:color="D0D5DD"/>
        </w:pBdr>
      </w:pPr>
      <w:r>
        <w:rPr>
          <w:rFonts w:ascii="Consolas" w:hAnsi="Consolas"/>
          <w:color w:val="0B1F3A"/>
          <w:sz w:val="16"/>
        </w:rPr>
        <w:t>|   + Nobody may delete an event, even after rejecting it.                 |</w:t>
      </w:r>
    </w:p>
    <w:p>
      <w:pPr>
        <w:spacing w:before="0" w:after="0" w:line="240" w:lineRule="auto"/>
        <w:ind w:left="230"/>
        <w:shd w:val="clear" w:color="auto" w:fill="F7F9FC"/>
        <w:pBdr>
          <w:left w:val="single" w:sz="4" w:space="6" w:color="D0D5DD"/>
        </w:pBdr>
      </w:pPr>
      <w:r>
        <w:rPr>
          <w:rFonts w:ascii="Consolas" w:hAnsi="Consolas"/>
          <w:color w:val="0B1F3A"/>
          <w:sz w:val="16"/>
        </w:rPr>
        <w:t>+-- (4) LIMITS ------------------------------------------------------------+</w:t>
      </w:r>
    </w:p>
    <w:p>
      <w:pPr>
        <w:spacing w:before="0" w:after="0" w:line="240" w:lineRule="auto"/>
        <w:ind w:left="230"/>
        <w:shd w:val="clear" w:color="auto" w:fill="F7F9FC"/>
        <w:pBdr>
          <w:left w:val="single" w:sz="4" w:space="6" w:color="D0D5DD"/>
        </w:pBdr>
      </w:pPr>
      <w:r>
        <w:rPr>
          <w:rFonts w:ascii="Consolas" w:hAnsi="Consolas"/>
          <w:color w:val="0B1F3A"/>
          <w:sz w:val="16"/>
        </w:rPr>
        <w:t>| Per account, per round  NGN 5,000,000  (D-08, not final)                 |</w:t>
      </w:r>
    </w:p>
    <w:p>
      <w:pPr>
        <w:spacing w:before="0" w:after="0" w:line="240" w:lineRule="auto"/>
        <w:ind w:left="230"/>
        <w:shd w:val="clear" w:color="auto" w:fill="F7F9FC"/>
        <w:pBdr>
          <w:left w:val="single" w:sz="4" w:space="6" w:color="D0D5DD"/>
        </w:pBdr>
      </w:pPr>
      <w:r>
        <w:rPr>
          <w:rFonts w:ascii="Consolas" w:hAnsi="Consolas"/>
          <w:color w:val="0B1F3A"/>
          <w:sz w:val="16"/>
        </w:rPr>
        <w:t>| Per account, per day    NGN 5,000,000                                    |</w:t>
      </w:r>
    </w:p>
    <w:p>
      <w:pPr>
        <w:spacing w:before="0" w:after="0" w:line="240" w:lineRule="auto"/>
        <w:ind w:left="230"/>
        <w:shd w:val="clear" w:color="auto" w:fill="F7F9FC"/>
        <w:pBdr>
          <w:left w:val="single" w:sz="4" w:space="6" w:color="D0D5DD"/>
        </w:pBdr>
      </w:pPr>
      <w:r>
        <w:rPr>
          <w:rFonts w:ascii="Consolas" w:hAnsi="Consolas"/>
          <w:color w:val="0B1F3A"/>
          <w:sz w:val="16"/>
        </w:rPr>
        <w:t>| Ajo size                50 positions  (D-08, not final)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6.32.2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763"/>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368"/>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624"/>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763"/>
            <w:tcMar>
              <w:top w:w="60" w:type="dxa"/>
              <w:start w:w="110" w:type="dxa"/>
              <w:bottom w:w="60" w:type="dxa"/>
              <w:end w:w="110" w:type="dxa"/>
            </w:tcMar>
          </w:tcPr>
          <w:p>
            <w:pPr>
              <w:spacing w:after="0"/>
            </w:pPr>
            <w:r/>
            <w:r>
              <w:rPr>
                <w:rFonts w:ascii="Calibri" w:hAnsi="Calibri"/>
                <w:b w:val="0"/>
                <w:i w:val="0"/>
                <w:color w:val="101828"/>
                <w:sz w:val="14"/>
              </w:rPr>
              <w:t>(1) Queue</w:t>
            </w:r>
          </w:p>
        </w:tc>
        <w:tc>
          <w:tcPr>
            <w:tcW w:type="dxa" w:w="1368"/>
            <w:tcMar>
              <w:top w:w="60" w:type="dxa"/>
              <w:start w:w="110" w:type="dxa"/>
              <w:bottom w:w="60" w:type="dxa"/>
              <w:end w:w="110" w:type="dxa"/>
            </w:tcMar>
          </w:tcPr>
          <w:p>
            <w:pPr>
              <w:spacing w:after="0"/>
            </w:pPr>
            <w:r/>
            <w:r>
              <w:rPr>
                <w:rFonts w:ascii="Calibri" w:hAnsi="Calibri"/>
                <w:b w:val="0"/>
                <w:i w:val="0"/>
                <w:color w:val="101828"/>
                <w:sz w:val="14"/>
              </w:rPr>
              <w:t>Risk events with type, age, signal, value and state.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24"/>
            <w:tcMar>
              <w:top w:w="60" w:type="dxa"/>
              <w:start w:w="110" w:type="dxa"/>
              <w:bottom w:w="60" w:type="dxa"/>
              <w:end w:w="110" w:type="dxa"/>
            </w:tcMar>
          </w:tcPr>
          <w:p>
            <w:pPr>
              <w:spacing w:after="0"/>
            </w:pPr>
            <w:r/>
            <w:r>
              <w:rPr>
                <w:rFonts w:ascii="Calibri" w:hAnsi="Calibri"/>
                <w:b/>
                <w:color w:val="101828"/>
                <w:sz w:val="14"/>
              </w:rPr>
              <w:t>The value column is the volume at stake, in naira.</w:t>
            </w:r>
            <w:r>
              <w:rPr>
                <w:rFonts w:ascii="Calibri" w:hAnsi="Calibri"/>
                <w:b w:val="0"/>
                <w:i w:val="0"/>
                <w:color w:val="101828"/>
                <w:sz w:val="14"/>
              </w:rPr>
              <w:t xml:space="preserve"> An event about NGN 0.00 and an event about NGN 90,000.00 are not the same event, and a queue sorted only by age treats them as equal.</w:t>
            </w:r>
          </w:p>
        </w:tc>
      </w:tr>
      <w:tr>
        <w:trPr>
          <w:cantSplit/>
        </w:trPr>
        <w:tc>
          <w:tcPr>
            <w:tcW w:type="dxa" w:w="763"/>
            <w:tcMar>
              <w:top w:w="60" w:type="dxa"/>
              <w:start w:w="110" w:type="dxa"/>
              <w:bottom w:w="60" w:type="dxa"/>
              <w:end w:w="110" w:type="dxa"/>
            </w:tcMar>
            <w:shd w:val="clear" w:color="auto" w:fill="F4F7FB"/>
          </w:tcPr>
          <w:p>
            <w:pPr>
              <w:spacing w:after="0"/>
            </w:pPr>
            <w:r/>
            <w:r>
              <w:rPr>
                <w:rFonts w:ascii="Calibri" w:hAnsi="Calibri"/>
                <w:b w:val="0"/>
                <w:i w:val="0"/>
                <w:color w:val="101828"/>
                <w:sz w:val="14"/>
              </w:rPr>
              <w:t>(2) Event type</w:t>
            </w:r>
          </w:p>
        </w:tc>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4"/>
              </w:rPr>
              <w:t>The signal that fired, in plain words.</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Velocity, device reuse, BVN mismatch, payout burst, late-round pattern. </w:t>
            </w:r>
            <w:r>
              <w:rPr>
                <w:rFonts w:ascii="Calibri" w:hAnsi="Calibri"/>
                <w:b/>
                <w:color w:val="101828"/>
                <w:sz w:val="14"/>
              </w:rPr>
              <w:t>The type is a named rule, not a score</w:t>
            </w:r>
            <w:r>
              <w:rPr>
                <w:rFonts w:ascii="Calibri" w:hAnsi="Calibri"/>
                <w:b w:val="0"/>
                <w:i w:val="0"/>
                <w:color w:val="101828"/>
                <w:sz w:val="14"/>
              </w:rPr>
              <w:t>, because an officer asked to explain a freeze to a member needs to be able to name the rule.</w:t>
            </w:r>
          </w:p>
        </w:tc>
      </w:tr>
      <w:tr>
        <w:trPr>
          <w:cantSplit/>
        </w:trPr>
        <w:tc>
          <w:tcPr>
            <w:tcW w:type="dxa" w:w="763"/>
            <w:tcMar>
              <w:top w:w="60" w:type="dxa"/>
              <w:start w:w="110" w:type="dxa"/>
              <w:bottom w:w="60" w:type="dxa"/>
              <w:end w:w="110" w:type="dxa"/>
            </w:tcMar>
          </w:tcPr>
          <w:p>
            <w:pPr>
              <w:spacing w:after="0"/>
            </w:pPr>
            <w:r/>
            <w:r>
              <w:rPr>
                <w:rFonts w:ascii="Calibri" w:hAnsi="Calibri"/>
                <w:b w:val="0"/>
                <w:i w:val="0"/>
                <w:color w:val="101828"/>
                <w:sz w:val="14"/>
              </w:rPr>
              <w:t>(3) Event detail</w:t>
            </w:r>
          </w:p>
        </w:tc>
        <w:tc>
          <w:tcPr>
            <w:tcW w:type="dxa" w:w="1368"/>
            <w:tcMar>
              <w:top w:w="60" w:type="dxa"/>
              <w:start w:w="110" w:type="dxa"/>
              <w:bottom w:w="60" w:type="dxa"/>
              <w:end w:w="110" w:type="dxa"/>
            </w:tcMar>
          </w:tcPr>
          <w:p>
            <w:pPr>
              <w:spacing w:after="0"/>
            </w:pPr>
            <w:r/>
            <w:r>
              <w:rPr>
                <w:rFonts w:ascii="Calibri" w:hAnsi="Calibri"/>
                <w:b w:val="0"/>
                <w:i w:val="0"/>
                <w:color w:val="101828"/>
                <w:sz w:val="14"/>
              </w:rPr>
              <w:t>The evidence, the money, and the actions.</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24"/>
            <w:tcMar>
              <w:top w:w="60" w:type="dxa"/>
              <w:start w:w="110" w:type="dxa"/>
              <w:bottom w:w="60" w:type="dxa"/>
              <w:end w:w="110" w:type="dxa"/>
            </w:tcMar>
          </w:tcPr>
          <w:p>
            <w:pPr>
              <w:spacing w:after="0"/>
            </w:pPr>
            <w:r/>
            <w:r>
              <w:rPr>
                <w:rFonts w:ascii="Calibri" w:hAnsi="Calibri"/>
                <w:b w:val="0"/>
                <w:i w:val="0"/>
                <w:color w:val="101828"/>
                <w:sz w:val="14"/>
              </w:rPr>
              <w:t>Evidence first, then money, then actions. A risk screen that leads with buttons trains officers to act on the signal without reading it, which is how a false positive becomes a frozen member.</w:t>
            </w:r>
          </w:p>
        </w:tc>
      </w:tr>
      <w:tr>
        <w:trPr>
          <w:cantSplit/>
        </w:trPr>
        <w:tc>
          <w:tcPr>
            <w:tcW w:type="dxa" w:w="763"/>
            <w:tcMar>
              <w:top w:w="60" w:type="dxa"/>
              <w:start w:w="110" w:type="dxa"/>
              <w:bottom w:w="60" w:type="dxa"/>
              <w:end w:w="110" w:type="dxa"/>
            </w:tcMar>
            <w:shd w:val="clear" w:color="auto" w:fill="F4F7FB"/>
          </w:tcPr>
          <w:p>
            <w:pPr>
              <w:spacing w:after="0"/>
            </w:pPr>
            <w:r/>
            <w:r>
              <w:rPr>
                <w:rFonts w:ascii="Calibri" w:hAnsi="Calibri"/>
                <w:b w:val="0"/>
                <w:i w:val="0"/>
                <w:color w:val="101828"/>
                <w:sz w:val="14"/>
              </w:rPr>
              <w:t>(4) Money-at-risk block</w:t>
            </w:r>
          </w:p>
        </w:tc>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4"/>
              </w:rPr>
              <w:t>Collected, paid out, and held, in one box.</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624"/>
            <w:tcMar>
              <w:top w:w="60" w:type="dxa"/>
              <w:start w:w="110" w:type="dxa"/>
              <w:bottom w:w="60" w:type="dxa"/>
              <w:end w:w="110" w:type="dxa"/>
            </w:tcMar>
            <w:shd w:val="clear" w:color="auto" w:fill="F4F7FB"/>
          </w:tcPr>
          <w:p>
            <w:pPr>
              <w:spacing w:after="0"/>
            </w:pPr>
            <w:r/>
            <w:r>
              <w:rPr>
                <w:rFonts w:ascii="Calibri" w:hAnsi="Calibri"/>
                <w:b/>
                <w:color w:val="101828"/>
                <w:sz w:val="14"/>
              </w:rPr>
              <w:t>The answer to *can this still be recovered*, stated numerically.</w:t>
            </w:r>
            <w:r>
              <w:rPr>
                <w:rFonts w:ascii="Calibri" w:hAnsi="Calibri"/>
                <w:b w:val="0"/>
                <w:i w:val="0"/>
                <w:color w:val="101828"/>
                <w:sz w:val="14"/>
              </w:rPr>
              <w:t xml:space="preserve"> An officer holding NGN 40,800.00 that has not been paid out is protecting recoverable money; an officer after payout is not, and the two situations call for different actions and different urgency.</w:t>
            </w:r>
          </w:p>
        </w:tc>
      </w:tr>
      <w:tr>
        <w:trPr>
          <w:cantSplit/>
        </w:trPr>
        <w:tc>
          <w:tcPr>
            <w:tcW w:type="dxa" w:w="763"/>
            <w:tcMar>
              <w:top w:w="60" w:type="dxa"/>
              <w:start w:w="110" w:type="dxa"/>
              <w:bottom w:w="60" w:type="dxa"/>
              <w:end w:w="110" w:type="dxa"/>
            </w:tcMar>
          </w:tcPr>
          <w:p>
            <w:pPr>
              <w:spacing w:after="0"/>
            </w:pPr>
            <w:r/>
            <w:r>
              <w:rPr>
                <w:rFonts w:ascii="Calibri" w:hAnsi="Calibri"/>
                <w:b w:val="0"/>
                <w:i w:val="0"/>
                <w:color w:val="101828"/>
                <w:sz w:val="14"/>
              </w:rPr>
              <w:t>(5) Actions with consequences</w:t>
            </w:r>
          </w:p>
        </w:tc>
        <w:tc>
          <w:tcPr>
            <w:tcW w:type="dxa" w:w="1368"/>
            <w:tcMar>
              <w:top w:w="60" w:type="dxa"/>
              <w:start w:w="110" w:type="dxa"/>
              <w:bottom w:w="60" w:type="dxa"/>
              <w:end w:w="110" w:type="dxa"/>
            </w:tcMar>
          </w:tcPr>
          <w:p>
            <w:pPr>
              <w:spacing w:after="0"/>
            </w:pPr>
            <w:r/>
            <w:r>
              <w:rPr>
                <w:rFonts w:ascii="Calibri" w:hAnsi="Calibri"/>
                <w:b w:val="0"/>
                <w:i w:val="0"/>
                <w:color w:val="101828"/>
                <w:sz w:val="14"/>
              </w:rPr>
              <w:t>Each action labelled with what it does.</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24"/>
            <w:tcMar>
              <w:top w:w="60" w:type="dxa"/>
              <w:start w:w="110" w:type="dxa"/>
              <w:bottom w:w="60" w:type="dxa"/>
              <w:end w:w="110" w:type="dxa"/>
            </w:tcMar>
          </w:tcPr>
          <w:p>
            <w:pPr>
              <w:spacing w:after="0"/>
            </w:pPr>
            <w:r/>
            <w:r>
              <w:rPr>
                <w:rFonts w:ascii="Calibri" w:hAnsi="Calibri"/>
                <w:i/>
                <w:color w:val="101828"/>
                <w:sz w:val="14"/>
              </w:rPr>
              <w:t>Hold the payouts</w:t>
            </w:r>
            <w:r>
              <w:rPr>
                <w:rFonts w:ascii="Calibri" w:hAnsi="Calibri"/>
                <w:b w:val="0"/>
                <w:i w:val="0"/>
                <w:color w:val="101828"/>
                <w:sz w:val="14"/>
              </w:rPr>
              <w:t xml:space="preserve"> is not </w:t>
            </w:r>
            <w:r>
              <w:rPr>
                <w:rFonts w:ascii="Calibri" w:hAnsi="Calibri"/>
                <w:i/>
                <w:color w:val="101828"/>
                <w:sz w:val="14"/>
              </w:rPr>
              <w:t>Block</w:t>
            </w:r>
            <w:r>
              <w:rPr>
                <w:rFonts w:ascii="Calibri" w:hAnsi="Calibri"/>
                <w:b w:val="0"/>
                <w:i w:val="0"/>
                <w:color w:val="101828"/>
                <w:sz w:val="14"/>
              </w:rPr>
              <w:t xml:space="preserve">. </w:t>
            </w:r>
            <w:r>
              <w:rPr>
                <w:rFonts w:ascii="Calibri" w:hAnsi="Calibri"/>
                <w:i/>
                <w:color w:val="101828"/>
                <w:sz w:val="14"/>
              </w:rPr>
              <w:t>Freeze the sessions</w:t>
            </w:r>
            <w:r>
              <w:rPr>
                <w:rFonts w:ascii="Calibri" w:hAnsi="Calibri"/>
                <w:b w:val="0"/>
                <w:i w:val="0"/>
                <w:color w:val="101828"/>
                <w:sz w:val="14"/>
              </w:rPr>
              <w:t xml:space="preserve"> is not </w:t>
            </w:r>
            <w:r>
              <w:rPr>
                <w:rFonts w:ascii="Calibri" w:hAnsi="Calibri"/>
                <w:i/>
                <w:color w:val="101828"/>
                <w:sz w:val="14"/>
              </w:rPr>
              <w:t>Ban</w:t>
            </w:r>
            <w:r>
              <w:rPr>
                <w:rFonts w:ascii="Calibri" w:hAnsi="Calibri"/>
                <w:b w:val="0"/>
                <w:i w:val="0"/>
                <w:color w:val="101828"/>
                <w:sz w:val="14"/>
              </w:rPr>
              <w:t xml:space="preserve">. </w:t>
            </w:r>
            <w:r>
              <w:rPr>
                <w:rFonts w:ascii="Calibri" w:hAnsi="Calibri"/>
                <w:b/>
                <w:color w:val="101828"/>
                <w:sz w:val="14"/>
              </w:rPr>
              <w:t>Prohibited: a control labelled only with the action's internal name.</w:t>
            </w:r>
            <w:r>
              <w:rPr>
                <w:rFonts w:ascii="Calibri" w:hAnsi="Calibri"/>
                <w:b w:val="0"/>
                <w:i w:val="0"/>
                <w:color w:val="101828"/>
                <w:sz w:val="14"/>
              </w:rPr>
              <w:t xml:space="preserve"> Each action also states what it does not do, so an officer knows the scope.</w:t>
            </w:r>
          </w:p>
        </w:tc>
      </w:tr>
      <w:tr>
        <w:trPr>
          <w:cantSplit/>
        </w:trPr>
        <w:tc>
          <w:tcPr>
            <w:tcW w:type="dxa" w:w="763"/>
            <w:tcMar>
              <w:top w:w="60" w:type="dxa"/>
              <w:start w:w="110" w:type="dxa"/>
              <w:bottom w:w="60" w:type="dxa"/>
              <w:end w:w="110" w:type="dxa"/>
            </w:tcMar>
            <w:shd w:val="clear" w:color="auto" w:fill="F4F7FB"/>
          </w:tcPr>
          <w:p>
            <w:pPr>
              <w:spacing w:after="0"/>
            </w:pPr>
            <w:r/>
            <w:r>
              <w:rPr>
                <w:rFonts w:ascii="Calibri" w:hAnsi="Calibri"/>
                <w:b w:val="0"/>
                <w:i w:val="0"/>
                <w:color w:val="101828"/>
                <w:sz w:val="14"/>
              </w:rPr>
              <w:t>(6) Mandatory reason</w:t>
            </w:r>
          </w:p>
        </w:tc>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4"/>
              </w:rPr>
              <w:t>Every action requires a reason.</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624"/>
            <w:tcMar>
              <w:top w:w="60" w:type="dxa"/>
              <w:start w:w="110" w:type="dxa"/>
              <w:bottom w:w="60" w:type="dxa"/>
              <w:end w:w="110" w:type="dxa"/>
            </w:tcMar>
            <w:shd w:val="clear" w:color="auto" w:fill="F4F7FB"/>
          </w:tcPr>
          <w:p>
            <w:pPr>
              <w:spacing w:after="0"/>
            </w:pPr>
            <w:r/>
            <w:r>
              <w:rPr>
                <w:rFonts w:ascii="Calibri" w:hAnsi="Calibri"/>
                <w:b/>
                <w:color w:val="101828"/>
                <w:sz w:val="14"/>
              </w:rPr>
              <w:t>There is no action without a reason and no way to edit a reason afterwards.</w:t>
            </w:r>
            <w:r>
              <w:rPr>
                <w:rFonts w:ascii="Calibri" w:hAnsi="Calibri"/>
                <w:b w:val="0"/>
                <w:i w:val="0"/>
                <w:color w:val="101828"/>
                <w:sz w:val="14"/>
              </w:rPr>
              <w:t xml:space="preserve"> A freeze with no stated reason is one a member cannot be told about, and a member who cannot be told why their money is held cannot appeal the hold.</w:t>
            </w:r>
          </w:p>
        </w:tc>
      </w:tr>
      <w:tr>
        <w:trPr>
          <w:cantSplit/>
        </w:trPr>
        <w:tc>
          <w:tcPr>
            <w:tcW w:type="dxa" w:w="763"/>
            <w:tcMar>
              <w:top w:w="60" w:type="dxa"/>
              <w:start w:w="110" w:type="dxa"/>
              <w:bottom w:w="60" w:type="dxa"/>
              <w:end w:w="110" w:type="dxa"/>
            </w:tcMar>
          </w:tcPr>
          <w:p>
            <w:pPr>
              <w:spacing w:after="0"/>
            </w:pPr>
            <w:r/>
            <w:r>
              <w:rPr>
                <w:rFonts w:ascii="Calibri" w:hAnsi="Calibri"/>
                <w:b w:val="0"/>
                <w:i w:val="0"/>
                <w:color w:val="101828"/>
                <w:sz w:val="14"/>
              </w:rPr>
              <w:t>(7) Reversible by design</w:t>
            </w:r>
          </w:p>
        </w:tc>
        <w:tc>
          <w:tcPr>
            <w:tcW w:type="dxa" w:w="1368"/>
            <w:tcMar>
              <w:top w:w="60" w:type="dxa"/>
              <w:start w:w="110" w:type="dxa"/>
              <w:bottom w:w="60" w:type="dxa"/>
              <w:end w:w="110" w:type="dxa"/>
            </w:tcMar>
          </w:tcPr>
          <w:p>
            <w:pPr>
              <w:spacing w:after="0"/>
            </w:pPr>
            <w:r/>
            <w:r>
              <w:rPr>
                <w:rFonts w:ascii="Calibri" w:hAnsi="Calibri"/>
                <w:b w:val="0"/>
                <w:i w:val="0"/>
                <w:color w:val="101828"/>
                <w:sz w:val="14"/>
              </w:rPr>
              <w:t>Which actions can be undone.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624"/>
            <w:tcMar>
              <w:top w:w="60" w:type="dxa"/>
              <w:start w:w="110" w:type="dxa"/>
              <w:bottom w:w="60" w:type="dxa"/>
              <w:end w:w="110" w:type="dxa"/>
            </w:tcMar>
          </w:tcPr>
          <w:p>
            <w:pPr>
              <w:spacing w:after="0"/>
            </w:pPr>
            <w:r/>
            <w:r>
              <w:rPr>
                <w:rFonts w:ascii="Calibri" w:hAnsi="Calibri"/>
                <w:b w:val="0"/>
                <w:i w:val="0"/>
                <w:color w:val="101828"/>
                <w:sz w:val="14"/>
              </w:rPr>
              <w:t xml:space="preserve">A payout hold and a review are reversible. A session freeze is reversible. </w:t>
            </w:r>
            <w:r>
              <w:rPr>
                <w:rFonts w:ascii="Calibri" w:hAnsi="Calibri"/>
                <w:b/>
                <w:color w:val="101828"/>
                <w:sz w:val="14"/>
              </w:rPr>
              <w:t>A ledger entry is not, and there is no action on this screen that edits or deletes one</w:t>
            </w:r>
            <w:r>
              <w:rPr>
                <w:rFonts w:ascii="Calibri" w:hAnsi="Calibri"/>
                <w:b w:val="0"/>
                <w:i w:val="0"/>
                <w:color w:val="101828"/>
                <w:sz w:val="14"/>
              </w:rPr>
              <w:t>, which is the CANONICAL.md hard rule applied to the risk function.</w:t>
            </w:r>
          </w:p>
        </w:tc>
      </w:tr>
      <w:tr>
        <w:trPr>
          <w:cantSplit/>
        </w:trPr>
        <w:tc>
          <w:tcPr>
            <w:tcW w:type="dxa" w:w="763"/>
            <w:tcMar>
              <w:top w:w="60" w:type="dxa"/>
              <w:start w:w="110" w:type="dxa"/>
              <w:bottom w:w="60" w:type="dxa"/>
              <w:end w:w="110" w:type="dxa"/>
            </w:tcMar>
            <w:shd w:val="clear" w:color="auto" w:fill="F4F7FB"/>
          </w:tcPr>
          <w:p>
            <w:pPr>
              <w:spacing w:after="0"/>
            </w:pPr>
            <w:r/>
            <w:r>
              <w:rPr>
                <w:rFonts w:ascii="Calibri" w:hAnsi="Calibri"/>
                <w:b w:val="0"/>
                <w:i w:val="0"/>
                <w:color w:val="101828"/>
                <w:sz w:val="14"/>
              </w:rPr>
              <w:t>(8) Limits panel</w:t>
            </w:r>
          </w:p>
        </w:tc>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4"/>
              </w:rPr>
              <w:t>The configured limits, marked as provisional.</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values shown are </w:t>
            </w:r>
            <w:r>
              <w:rPr>
                <w:rFonts w:ascii="Calibri" w:hAnsi="Calibri"/>
                <w:b/>
                <w:color w:val="101828"/>
                <w:sz w:val="14"/>
              </w:rPr>
              <w:t>provisional and labelled</w:t>
            </w:r>
            <w:r>
              <w:rPr>
                <w:rFonts w:ascii="Calibri" w:hAnsi="Calibri"/>
                <w:b w:val="0"/>
                <w:i w:val="0"/>
                <w:color w:val="101828"/>
                <w:sz w:val="14"/>
              </w:rPr>
              <w:t>, because open decision D-08 has not fixed the maximum Ajo size or the contribution cap. A limit displayed as settled is a limit that will be relied on.</w:t>
            </w:r>
          </w:p>
        </w:tc>
      </w:tr>
    </w:tbl>
    <w:p>
      <w:pPr>
        <w:spacing w:after="80"/>
      </w:pPr>
    </w:p>
    <w:p>
      <w:pPr>
        <w:pStyle w:val="Heading2"/>
      </w:pPr>
      <w:r>
        <w:rPr>
          <w:rFonts w:ascii="Calibri" w:hAnsi="Calibri"/>
          <w:b/>
          <w:i w:val="0"/>
          <w:color w:val="146EF5"/>
          <w:sz w:val="29"/>
        </w:rPr>
        <w:t>6.33 Audit Logs — SCR-ADM-11</w:t>
      </w:r>
    </w:p>
    <w:p>
      <w:r>
        <w:rPr>
          <w:rFonts w:ascii="Calibri" w:hAnsi="Calibri"/>
          <w:b w:val="0"/>
          <w:i w:val="0"/>
          <w:color w:val="101828"/>
          <w:sz w:val="21"/>
        </w:rPr>
        <w:t>The record of who did what to which record, and the only screen in the product with no write operations at all. It is a query surface over an append-only table, and that constraint is visible rather than implied: the screen says it cannot be edited or deleted, and it has no control that could even attempt it. Each row shows the reason and the before-and-after state, because an audit entry without a reason or without the state it changed is a record that can be questioned but not defended.</w:t>
      </w:r>
    </w:p>
    <w:p>
      <w:pPr>
        <w:spacing w:before="140" w:after="180"/>
        <w:ind w:left="144"/>
        <w:shd w:val="clear" w:color="auto" w:fill="EFF6FF"/>
        <w:pBdr>
          <w:left w:val="single" w:sz="18" w:space="6" w:color="146EF5"/>
        </w:pBdr>
      </w:pPr>
      <w:r>
        <w:rPr>
          <w:rFonts w:ascii="Calibri" w:hAnsi="Calibri"/>
          <w:b/>
          <w:color w:val="146EF5"/>
          <w:sz w:val="19"/>
        </w:rPr>
        <w:t xml:space="preserve">Why the audit log is query-only and never a dashboard  </w:t>
      </w:r>
      <w:r>
        <w:rPr>
          <w:rFonts w:ascii="Calibri" w:hAnsi="Calibri"/>
          <w:b w:val="0"/>
          <w:i w:val="0"/>
          <w:color w:val="0B1F3A"/>
          <w:sz w:val="19"/>
        </w:rPr>
        <w:t xml:space="preserve">The audit log is not summarised, not charted, and not given a landing page. It has no counts, no trends, and no alerts of its own, because the moment it gains a dashboard it acquires a meaning — </w:t>
      </w:r>
      <w:r>
        <w:rPr>
          <w:rFonts w:ascii="Calibri" w:hAnsi="Calibri"/>
          <w:i/>
          <w:color w:val="0B1F3A"/>
          <w:sz w:val="19"/>
        </w:rPr>
        <w:t>activity</w:t>
      </w:r>
      <w:r>
        <w:rPr>
          <w:rFonts w:ascii="Calibri" w:hAnsi="Calibri"/>
          <w:b w:val="0"/>
          <w:i w:val="0"/>
          <w:color w:val="0B1F3A"/>
          <w:sz w:val="19"/>
        </w:rPr>
        <w:t xml:space="preserve"> — that is a judgement about the people whose actions it records, and that judgement has no place on a page an administrator reaches by clicking a person. Activity summaries belong in the risk queue at 6.32, where a signal is acted on, and in the overview at 6.30, where an exception is listed. If a summary of the audit log is ever wanted, it should be built as a derived view with a named owner and a stated purpose, not as a row count at the top of the log itself.</w:t>
      </w:r>
    </w:p>
    <w:p>
      <w:pPr>
        <w:pStyle w:val="Heading3"/>
      </w:pPr>
      <w:r>
        <w:rPr>
          <w:rFonts w:ascii="Calibri" w:hAnsi="Calibri"/>
          <w:b/>
          <w:i w:val="0"/>
          <w:color w:val="0B1F3A"/>
          <w:sz w:val="24"/>
        </w:rPr>
        <w:t>6.33.1 Wireframe</w:t>
      </w:r>
    </w:p>
    <w:p>
      <w:r>
        <w:rPr>
          <w:rFonts w:ascii="Calibri" w:hAnsi="Calibri"/>
          <w:b/>
          <w:color w:val="101828"/>
          <w:sz w:val="21"/>
        </w:rPr>
        <w:t>Tablet — 768 px.</w:t>
      </w:r>
      <w:r>
        <w:rPr>
          <w:rFonts w:ascii="Calibri" w:hAnsi="Calibri"/>
          <w:b w:val="0"/>
          <w:i w:val="0"/>
          <w:color w:val="101828"/>
          <w:sz w:val="21"/>
        </w:rPr>
        <w:t xml:space="preserve"> Two columns, 24 px gutters, a collapsible rail, and a table that drops its least important column rather than becoming a card list. This is the smallest width at which the console is built.</w:t>
      </w:r>
    </w:p>
    <w:p>
      <w:pPr>
        <w:spacing w:before="0" w:after="0" w:line="240" w:lineRule="auto"/>
        <w:ind w:left="230"/>
        <w:shd w:val="clear" w:color="auto" w:fill="F7F9FC"/>
        <w:pBdr>
          <w:left w:val="single" w:sz="4" w:space="6" w:color="D0D5DD"/>
        </w:pBdr>
      </w:pPr>
      <w:r>
        <w:rPr>
          <w:rFonts w:ascii="Consolas" w:hAnsi="Consolas"/>
          <w:color w:val="0B1F3A"/>
          <w:sz w:val="16"/>
        </w:rPr>
        <w:t>+-- (1) RAIL ----------------------------------------------------+</w:t>
      </w:r>
    </w:p>
    <w:p>
      <w:pPr>
        <w:spacing w:before="0" w:after="0" w:line="240" w:lineRule="auto"/>
        <w:ind w:left="230"/>
        <w:shd w:val="clear" w:color="auto" w:fill="F7F9FC"/>
        <w:pBdr>
          <w:left w:val="single" w:sz="4" w:space="6" w:color="D0D5DD"/>
        </w:pBdr>
      </w:pPr>
      <w:r>
        <w:rPr>
          <w:rFonts w:ascii="Consolas" w:hAnsi="Consolas"/>
          <w:color w:val="0B1F3A"/>
          <w:sz w:val="16"/>
        </w:rPr>
        <w:t>| Overview                                                       |</w:t>
      </w:r>
    </w:p>
    <w:p>
      <w:pPr>
        <w:spacing w:before="0" w:after="0" w:line="240" w:lineRule="auto"/>
        <w:ind w:left="230"/>
        <w:shd w:val="clear" w:color="auto" w:fill="F7F9FC"/>
        <w:pBdr>
          <w:left w:val="single" w:sz="4" w:space="6" w:color="D0D5DD"/>
        </w:pBdr>
      </w:pPr>
      <w:r>
        <w:rPr>
          <w:rFonts w:ascii="Consolas" w:hAnsi="Consolas"/>
          <w:color w:val="0B1F3A"/>
          <w:sz w:val="16"/>
        </w:rPr>
        <w:t>| Users                                                          |</w:t>
      </w:r>
    </w:p>
    <w:p>
      <w:pPr>
        <w:spacing w:before="0" w:after="0" w:line="240" w:lineRule="auto"/>
        <w:ind w:left="230"/>
        <w:shd w:val="clear" w:color="auto" w:fill="F7F9FC"/>
        <w:pBdr>
          <w:left w:val="single" w:sz="4" w:space="6" w:color="D0D5DD"/>
        </w:pBdr>
      </w:pPr>
      <w:r>
        <w:rPr>
          <w:rFonts w:ascii="Consolas" w:hAnsi="Consolas"/>
          <w:color w:val="0B1F3A"/>
          <w:sz w:val="16"/>
        </w:rPr>
        <w:t>| Ajos                                                           |</w:t>
      </w:r>
    </w:p>
    <w:p>
      <w:pPr>
        <w:spacing w:before="0" w:after="0" w:line="240" w:lineRule="auto"/>
        <w:ind w:left="230"/>
        <w:shd w:val="clear" w:color="auto" w:fill="F7F9FC"/>
        <w:pBdr>
          <w:left w:val="single" w:sz="4" w:space="6" w:color="D0D5DD"/>
        </w:pBdr>
      </w:pPr>
      <w:r>
        <w:rPr>
          <w:rFonts w:ascii="Consolas" w:hAnsi="Consolas"/>
          <w:color w:val="0B1F3A"/>
          <w:sz w:val="16"/>
        </w:rPr>
        <w:t>| Disputes                                                       |</w:t>
      </w:r>
    </w:p>
    <w:p>
      <w:pPr>
        <w:spacing w:before="0" w:after="0" w:line="240" w:lineRule="auto"/>
        <w:ind w:left="230"/>
        <w:shd w:val="clear" w:color="auto" w:fill="F7F9FC"/>
        <w:pBdr>
          <w:left w:val="single" w:sz="4" w:space="6" w:color="D0D5DD"/>
        </w:pBdr>
      </w:pPr>
      <w:r>
        <w:rPr>
          <w:rFonts w:ascii="Consolas" w:hAnsi="Consolas"/>
          <w:color w:val="0B1F3A"/>
          <w:sz w:val="16"/>
        </w:rPr>
        <w:t>| Risk                                                           |</w:t>
      </w:r>
    </w:p>
    <w:p>
      <w:pPr>
        <w:spacing w:before="0" w:after="0" w:line="240" w:lineRule="auto"/>
        <w:ind w:left="230"/>
        <w:shd w:val="clear" w:color="auto" w:fill="F7F9FC"/>
        <w:pBdr>
          <w:left w:val="single" w:sz="4" w:space="6" w:color="D0D5DD"/>
        </w:pBdr>
      </w:pPr>
      <w:r>
        <w:rPr>
          <w:rFonts w:ascii="Consolas" w:hAnsi="Consolas"/>
          <w:color w:val="0B1F3A"/>
          <w:sz w:val="16"/>
        </w:rPr>
        <w:t>| Reports                                                        |</w:t>
      </w:r>
    </w:p>
    <w:p>
      <w:pPr>
        <w:spacing w:before="0" w:after="0" w:line="240" w:lineRule="auto"/>
        <w:ind w:left="230"/>
        <w:shd w:val="clear" w:color="auto" w:fill="F7F9FC"/>
        <w:pBdr>
          <w:left w:val="single" w:sz="4" w:space="6" w:color="D0D5DD"/>
        </w:pBdr>
      </w:pPr>
      <w:r>
        <w:rPr>
          <w:rFonts w:ascii="Consolas" w:hAnsi="Consolas"/>
          <w:color w:val="0B1F3A"/>
          <w:sz w:val="16"/>
        </w:rPr>
        <w:t>| Audit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FILTER --------------------------------------------------+</w:t>
      </w:r>
    </w:p>
    <w:p>
      <w:pPr>
        <w:spacing w:before="0" w:after="0" w:line="240" w:lineRule="auto"/>
        <w:ind w:left="230"/>
        <w:shd w:val="clear" w:color="auto" w:fill="F7F9FC"/>
        <w:pBdr>
          <w:left w:val="single" w:sz="4" w:space="6" w:color="D0D5DD"/>
        </w:pBdr>
      </w:pPr>
      <w:r>
        <w:rPr>
          <w:rFonts w:ascii="Consolas" w:hAnsi="Consolas"/>
          <w:color w:val="0B1F3A"/>
          <w:sz w:val="16"/>
        </w:rPr>
        <w:t>| actor  action  entity  from  to                                |</w:t>
      </w:r>
    </w:p>
    <w:p>
      <w:pPr>
        <w:spacing w:before="0" w:after="0" w:line="240" w:lineRule="auto"/>
        <w:ind w:left="230"/>
        <w:shd w:val="clear" w:color="auto" w:fill="F7F9FC"/>
        <w:pBdr>
          <w:left w:val="single" w:sz="4" w:space="6" w:color="D0D5DD"/>
        </w:pBdr>
      </w:pPr>
      <w:r>
        <w:rPr>
          <w:rFonts w:ascii="Consolas" w:hAnsi="Consolas"/>
          <w:color w:val="0B1F3A"/>
          <w:sz w:val="16"/>
        </w:rPr>
        <w:t>| [ Search ]                                                     |</w:t>
      </w:r>
    </w:p>
    <w:p>
      <w:pPr>
        <w:spacing w:before="0" w:after="0" w:line="240" w:lineRule="auto"/>
        <w:ind w:left="230"/>
        <w:shd w:val="clear" w:color="auto" w:fill="F7F9FC"/>
        <w:pBdr>
          <w:left w:val="single" w:sz="4" w:space="6" w:color="D0D5DD"/>
        </w:pBdr>
      </w:pPr>
      <w:r>
        <w:rPr>
          <w:rFonts w:ascii="Consolas" w:hAnsi="Consolas"/>
          <w:color w:val="0B1F3A"/>
          <w:sz w:val="16"/>
        </w:rPr>
        <w:t>+-- (3) ROWS ----------------------------------------------------+</w:t>
      </w:r>
    </w:p>
    <w:p>
      <w:pPr>
        <w:spacing w:before="0" w:after="0" w:line="240" w:lineRule="auto"/>
        <w:ind w:left="230"/>
        <w:shd w:val="clear" w:color="auto" w:fill="F7F9FC"/>
        <w:pBdr>
          <w:left w:val="single" w:sz="4" w:space="6" w:color="D0D5DD"/>
        </w:pBdr>
      </w:pPr>
      <w:r>
        <w:rPr>
          <w:rFonts w:ascii="Consolas" w:hAnsi="Consolas"/>
          <w:color w:val="0B1F3A"/>
          <w:sz w:val="16"/>
        </w:rPr>
        <w:t>| 12 Sep 04:18  risk_officer  hold_payout                        |</w:t>
      </w:r>
    </w:p>
    <w:p>
      <w:pPr>
        <w:spacing w:before="0" w:after="0" w:line="240" w:lineRule="auto"/>
        <w:ind w:left="230"/>
        <w:shd w:val="clear" w:color="auto" w:fill="F7F9FC"/>
        <w:pBdr>
          <w:left w:val="single" w:sz="4" w:space="6" w:color="D0D5DD"/>
        </w:pBdr>
      </w:pPr>
      <w:r>
        <w:rPr>
          <w:rFonts w:ascii="Consolas" w:hAnsi="Consolas"/>
          <w:color w:val="0B1F3A"/>
          <w:sz w:val="16"/>
        </w:rPr>
        <w:t>|              pyt_2WT   reason: velocity                        |</w:t>
      </w:r>
    </w:p>
    <w:p>
      <w:pPr>
        <w:spacing w:before="0" w:after="0" w:line="240" w:lineRule="auto"/>
        <w:ind w:left="230"/>
        <w:shd w:val="clear" w:color="auto" w:fill="F7F9FC"/>
        <w:pBdr>
          <w:left w:val="single" w:sz="4" w:space="6" w:color="D0D5DD"/>
        </w:pBdr>
      </w:pPr>
      <w:r>
        <w:rPr>
          <w:rFonts w:ascii="Consolas" w:hAnsi="Consolas"/>
          <w:color w:val="0B1F3A"/>
          <w:sz w:val="16"/>
        </w:rPr>
        <w:t>| 12 Sep 03:55  risk_officer  freeze                             |</w:t>
      </w:r>
    </w:p>
    <w:p>
      <w:pPr>
        <w:spacing w:before="0" w:after="0" w:line="240" w:lineRule="auto"/>
        <w:ind w:left="230"/>
        <w:shd w:val="clear" w:color="auto" w:fill="F7F9FC"/>
        <w:pBdr>
          <w:left w:val="single" w:sz="4" w:space="6" w:color="D0D5DD"/>
        </w:pBdr>
      </w:pPr>
      <w:r>
        <w:rPr>
          <w:rFonts w:ascii="Consolas" w:hAnsi="Consolas"/>
          <w:color w:val="0B1F3A"/>
          <w:sz w:val="16"/>
        </w:rPr>
        <w:t>|              usr_2K9   reason: device                          |</w:t>
      </w:r>
    </w:p>
    <w:p>
      <w:pPr>
        <w:spacing w:before="0" w:after="0" w:line="240" w:lineRule="auto"/>
        <w:ind w:left="230"/>
        <w:shd w:val="clear" w:color="auto" w:fill="F7F9FC"/>
        <w:pBdr>
          <w:left w:val="single" w:sz="4" w:space="6" w:color="D0D5DD"/>
        </w:pBdr>
      </w:pPr>
      <w:r>
        <w:rPr>
          <w:rFonts w:ascii="Consolas" w:hAnsi="Consolas"/>
          <w:color w:val="0B1F3A"/>
          <w:sz w:val="16"/>
        </w:rPr>
        <w:t>| 12 Sep 06:02  system        reconcile                          |</w:t>
      </w:r>
    </w:p>
    <w:p>
      <w:pPr>
        <w:spacing w:before="0" w:after="0" w:line="240" w:lineRule="auto"/>
        <w:ind w:left="230"/>
        <w:shd w:val="clear" w:color="auto" w:fill="F7F9FC"/>
        <w:pBdr>
          <w:left w:val="single" w:sz="4" w:space="6" w:color="D0D5DD"/>
        </w:pBdr>
      </w:pPr>
      <w:r>
        <w:rPr>
          <w:rFonts w:ascii="Consolas" w:hAnsi="Consolas"/>
          <w:color w:val="0B1F3A"/>
          <w:sz w:val="16"/>
        </w:rPr>
        <w:t>|              rc_9KL     0 findings                             |</w:t>
      </w:r>
    </w:p>
    <w:p>
      <w:pPr>
        <w:spacing w:before="0" w:after="0" w:line="240" w:lineRule="auto"/>
        <w:ind w:left="230"/>
        <w:shd w:val="clear" w:color="auto" w:fill="F7F9FC"/>
        <w:pBdr>
          <w:left w:val="single" w:sz="4" w:space="6" w:color="D0D5DD"/>
        </w:pBdr>
      </w:pPr>
      <w:r>
        <w:rPr>
          <w:rFonts w:ascii="Consolas" w:hAnsi="Consolas"/>
          <w:color w:val="0B1F3A"/>
          <w:sz w:val="16"/>
        </w:rPr>
        <w:t>+-- (4) APPEND-ONLY ---------------------------------------------+</w:t>
      </w:r>
    </w:p>
    <w:p>
      <w:pPr>
        <w:spacing w:before="0" w:after="0" w:line="240" w:lineRule="auto"/>
        <w:ind w:left="230"/>
        <w:shd w:val="clear" w:color="auto" w:fill="F7F9FC"/>
        <w:pBdr>
          <w:left w:val="single" w:sz="4" w:space="6" w:color="D0D5DD"/>
        </w:pBdr>
      </w:pPr>
      <w:r>
        <w:rPr>
          <w:rFonts w:ascii="Consolas" w:hAnsi="Consolas"/>
          <w:color w:val="0B1F3A"/>
          <w:sz w:val="16"/>
        </w:rPr>
        <w:t>| These rows cannot be edited or                                 |</w:t>
      </w:r>
    </w:p>
    <w:p>
      <w:pPr>
        <w:spacing w:before="0" w:after="0" w:line="240" w:lineRule="auto"/>
        <w:ind w:left="230"/>
        <w:shd w:val="clear" w:color="auto" w:fill="F7F9FC"/>
        <w:pBdr>
          <w:left w:val="single" w:sz="4" w:space="6" w:color="D0D5DD"/>
        </w:pBdr>
      </w:pPr>
      <w:r>
        <w:rPr>
          <w:rFonts w:ascii="Consolas" w:hAnsi="Consolas"/>
          <w:color w:val="0B1F3A"/>
          <w:sz w:val="16"/>
        </w:rPr>
        <w:t>| deleted, by anyone.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color w:val="101828"/>
          <w:sz w:val="21"/>
        </w:rPr>
        <w:t>Desktop — 1440 px.</w:t>
      </w:r>
      <w:r>
        <w:rPr>
          <w:rFonts w:ascii="Calibri" w:hAnsi="Calibri"/>
          <w:b w:val="0"/>
          <w:i w:val="0"/>
          <w:color w:val="101828"/>
          <w:sz w:val="21"/>
        </w:rPr>
        <w:t xml:space="preserve"> Persistent 240 px rail, a 1,280 px content area, and a right context panel. Tables stay tables. A console is a tool for reading many rows at once and converting it to cards at desktop width would be a downgrade.</w:t>
      </w:r>
    </w:p>
    <w:p>
      <w:pPr>
        <w:spacing w:before="0" w:after="0" w:line="240" w:lineRule="auto"/>
        <w:ind w:left="230"/>
        <w:shd w:val="clear" w:color="auto" w:fill="F7F9FC"/>
        <w:pBdr>
          <w:left w:val="single" w:sz="4" w:space="6" w:color="D0D5DD"/>
        </w:pBdr>
      </w:pPr>
      <w:r>
        <w:rPr>
          <w:rFonts w:ascii="Consolas" w:hAnsi="Consolas"/>
          <w:color w:val="0B1F3A"/>
          <w:sz w:val="16"/>
        </w:rPr>
        <w:t>+-- (1) RAIL --------------------------------------------------------------+</w:t>
      </w:r>
    </w:p>
    <w:p>
      <w:pPr>
        <w:spacing w:before="0" w:after="0" w:line="240" w:lineRule="auto"/>
        <w:ind w:left="230"/>
        <w:shd w:val="clear" w:color="auto" w:fill="F7F9FC"/>
        <w:pBdr>
          <w:left w:val="single" w:sz="4" w:space="6" w:color="D0D5DD"/>
        </w:pBdr>
      </w:pPr>
      <w:r>
        <w:rPr>
          <w:rFonts w:ascii="Consolas" w:hAnsi="Consolas"/>
          <w:color w:val="0B1F3A"/>
          <w:sz w:val="16"/>
        </w:rPr>
        <w:t>| Overview                                                                 |</w:t>
      </w:r>
    </w:p>
    <w:p>
      <w:pPr>
        <w:spacing w:before="0" w:after="0" w:line="240" w:lineRule="auto"/>
        <w:ind w:left="230"/>
        <w:shd w:val="clear" w:color="auto" w:fill="F7F9FC"/>
        <w:pBdr>
          <w:left w:val="single" w:sz="4" w:space="6" w:color="D0D5DD"/>
        </w:pBdr>
      </w:pPr>
      <w:r>
        <w:rPr>
          <w:rFonts w:ascii="Consolas" w:hAnsi="Consolas"/>
          <w:color w:val="0B1F3A"/>
          <w:sz w:val="16"/>
        </w:rPr>
        <w:t>| Users                                                                    |</w:t>
      </w:r>
    </w:p>
    <w:p>
      <w:pPr>
        <w:spacing w:before="0" w:after="0" w:line="240" w:lineRule="auto"/>
        <w:ind w:left="230"/>
        <w:shd w:val="clear" w:color="auto" w:fill="F7F9FC"/>
        <w:pBdr>
          <w:left w:val="single" w:sz="4" w:space="6" w:color="D0D5DD"/>
        </w:pBdr>
      </w:pPr>
      <w:r>
        <w:rPr>
          <w:rFonts w:ascii="Consolas" w:hAnsi="Consolas"/>
          <w:color w:val="0B1F3A"/>
          <w:sz w:val="16"/>
        </w:rPr>
        <w:t>| Ajos                                                                     |</w:t>
      </w:r>
    </w:p>
    <w:p>
      <w:pPr>
        <w:spacing w:before="0" w:after="0" w:line="240" w:lineRule="auto"/>
        <w:ind w:left="230"/>
        <w:shd w:val="clear" w:color="auto" w:fill="F7F9FC"/>
        <w:pBdr>
          <w:left w:val="single" w:sz="4" w:space="6" w:color="D0D5DD"/>
        </w:pBdr>
      </w:pPr>
      <w:r>
        <w:rPr>
          <w:rFonts w:ascii="Consolas" w:hAnsi="Consolas"/>
          <w:color w:val="0B1F3A"/>
          <w:sz w:val="16"/>
        </w:rPr>
        <w:t>| Disputes                                                                 |</w:t>
      </w:r>
    </w:p>
    <w:p>
      <w:pPr>
        <w:spacing w:before="0" w:after="0" w:line="240" w:lineRule="auto"/>
        <w:ind w:left="230"/>
        <w:shd w:val="clear" w:color="auto" w:fill="F7F9FC"/>
        <w:pBdr>
          <w:left w:val="single" w:sz="4" w:space="6" w:color="D0D5DD"/>
        </w:pBdr>
      </w:pPr>
      <w:r>
        <w:rPr>
          <w:rFonts w:ascii="Consolas" w:hAnsi="Consolas"/>
          <w:color w:val="0B1F3A"/>
          <w:sz w:val="16"/>
        </w:rPr>
        <w:t>| Risk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Reports                                                                  |</w:t>
      </w:r>
    </w:p>
    <w:p>
      <w:pPr>
        <w:spacing w:before="0" w:after="0" w:line="240" w:lineRule="auto"/>
        <w:ind w:left="230"/>
        <w:shd w:val="clear" w:color="auto" w:fill="F7F9FC"/>
        <w:pBdr>
          <w:left w:val="single" w:sz="4" w:space="6" w:color="D0D5DD"/>
        </w:pBdr>
      </w:pPr>
      <w:r>
        <w:rPr>
          <w:rFonts w:ascii="Consolas" w:hAnsi="Consolas"/>
          <w:color w:val="0B1F3A"/>
          <w:sz w:val="16"/>
        </w:rPr>
        <w:t>| Audit logs                                                               |</w:t>
      </w:r>
    </w:p>
    <w:p>
      <w:pPr>
        <w:spacing w:before="0" w:after="0" w:line="240" w:lineRule="auto"/>
        <w:ind w:left="230"/>
        <w:shd w:val="clear" w:color="auto" w:fill="F7F9FC"/>
        <w:pBdr>
          <w:left w:val="single" w:sz="4" w:space="6" w:color="D0D5DD"/>
        </w:pBdr>
      </w:pPr>
      <w:r>
        <w:rPr>
          <w:rFonts w:ascii="Consolas" w:hAnsi="Consolas"/>
          <w:color w:val="0B1F3A"/>
          <w:sz w:val="16"/>
        </w:rPr>
        <w:t>| Settings                                                                 |</w:t>
      </w:r>
    </w:p>
    <w:p>
      <w:pPr>
        <w:spacing w:before="0" w:after="0" w:line="240" w:lineRule="auto"/>
        <w:ind w:left="230"/>
        <w:shd w:val="clear" w:color="auto" w:fill="F7F9FC"/>
        <w:pBdr>
          <w:left w:val="single" w:sz="4" w:space="6" w:color="D0D5DD"/>
        </w:pBdr>
      </w:pPr>
      <w:r>
        <w:rPr>
          <w:rFonts w:ascii="Consolas" w:hAnsi="Consolas"/>
          <w:color w:val="0B1F3A"/>
          <w:sz w:val="16"/>
        </w:rPr>
        <w:t>+-- (2) FILTERS -----------------------------------------------------------+</w:t>
      </w:r>
    </w:p>
    <w:p>
      <w:pPr>
        <w:spacing w:before="0" w:after="0" w:line="240" w:lineRule="auto"/>
        <w:ind w:left="230"/>
        <w:shd w:val="clear" w:color="auto" w:fill="F7F9FC"/>
        <w:pBdr>
          <w:left w:val="single" w:sz="4" w:space="6" w:color="D0D5DD"/>
        </w:pBdr>
      </w:pPr>
      <w:r>
        <w:rPr>
          <w:rFonts w:ascii="Consolas" w:hAnsi="Consolas"/>
          <w:color w:val="0B1F3A"/>
          <w:sz w:val="16"/>
        </w:rPr>
        <w:t>| Actor                                                                    |</w:t>
      </w:r>
    </w:p>
    <w:p>
      <w:pPr>
        <w:spacing w:before="0" w:after="0" w:line="240" w:lineRule="auto"/>
        <w:ind w:left="230"/>
        <w:shd w:val="clear" w:color="auto" w:fill="F7F9FC"/>
        <w:pBdr>
          <w:left w:val="single" w:sz="4" w:space="6" w:color="D0D5DD"/>
        </w:pBdr>
      </w:pPr>
      <w:r>
        <w:rPr>
          <w:rFonts w:ascii="Consolas" w:hAnsi="Consolas"/>
          <w:color w:val="0B1F3A"/>
          <w:sz w:val="16"/>
        </w:rPr>
        <w:t>| Action                                                                   |</w:t>
      </w:r>
    </w:p>
    <w:p>
      <w:pPr>
        <w:spacing w:before="0" w:after="0" w:line="240" w:lineRule="auto"/>
        <w:ind w:left="230"/>
        <w:shd w:val="clear" w:color="auto" w:fill="F7F9FC"/>
        <w:pBdr>
          <w:left w:val="single" w:sz="4" w:space="6" w:color="D0D5DD"/>
        </w:pBdr>
      </w:pPr>
      <w:r>
        <w:rPr>
          <w:rFonts w:ascii="Consolas" w:hAnsi="Consolas"/>
          <w:color w:val="0B1F3A"/>
          <w:sz w:val="16"/>
        </w:rPr>
        <w:t>| Entity type                                                              |</w:t>
      </w:r>
    </w:p>
    <w:p>
      <w:pPr>
        <w:spacing w:before="0" w:after="0" w:line="240" w:lineRule="auto"/>
        <w:ind w:left="230"/>
        <w:shd w:val="clear" w:color="auto" w:fill="F7F9FC"/>
        <w:pBdr>
          <w:left w:val="single" w:sz="4" w:space="6" w:color="D0D5DD"/>
        </w:pBdr>
      </w:pPr>
      <w:r>
        <w:rPr>
          <w:rFonts w:ascii="Consolas" w:hAnsi="Consolas"/>
          <w:color w:val="0B1F3A"/>
          <w:sz w:val="16"/>
        </w:rPr>
        <w:t>| Entity id                                                                |</w:t>
      </w:r>
    </w:p>
    <w:p>
      <w:pPr>
        <w:spacing w:before="0" w:after="0" w:line="240" w:lineRule="auto"/>
        <w:ind w:left="230"/>
        <w:shd w:val="clear" w:color="auto" w:fill="F7F9FC"/>
        <w:pBdr>
          <w:left w:val="single" w:sz="4" w:space="6" w:color="D0D5DD"/>
        </w:pBdr>
      </w:pPr>
      <w:r>
        <w:rPr>
          <w:rFonts w:ascii="Consolas" w:hAnsi="Consolas"/>
          <w:color w:val="0B1F3A"/>
          <w:sz w:val="16"/>
        </w:rPr>
        <w:t>| From                                                                     |</w:t>
      </w:r>
    </w:p>
    <w:p>
      <w:pPr>
        <w:spacing w:before="0" w:after="0" w:line="240" w:lineRule="auto"/>
        <w:ind w:left="230"/>
        <w:shd w:val="clear" w:color="auto" w:fill="F7F9FC"/>
        <w:pBdr>
          <w:left w:val="single" w:sz="4" w:space="6" w:color="D0D5DD"/>
        </w:pBdr>
      </w:pPr>
      <w:r>
        <w:rPr>
          <w:rFonts w:ascii="Consolas" w:hAnsi="Consolas"/>
          <w:color w:val="0B1F3A"/>
          <w:sz w:val="16"/>
        </w:rPr>
        <w:t>| To                                                                       |</w:t>
      </w:r>
    </w:p>
    <w:p>
      <w:pPr>
        <w:spacing w:before="0" w:after="0" w:line="240" w:lineRule="auto"/>
        <w:ind w:left="230"/>
        <w:shd w:val="clear" w:color="auto" w:fill="F7F9FC"/>
        <w:pBdr>
          <w:left w:val="single" w:sz="4" w:space="6" w:color="D0D5DD"/>
        </w:pBdr>
      </w:pPr>
      <w:r>
        <w:rPr>
          <w:rFonts w:ascii="Consolas" w:hAnsi="Consolas"/>
          <w:color w:val="0B1F3A"/>
          <w:sz w:val="16"/>
        </w:rPr>
        <w:t>| [ Search ]                                                               |</w:t>
      </w:r>
    </w:p>
    <w:p>
      <w:pPr>
        <w:spacing w:before="0" w:after="0" w:line="240" w:lineRule="auto"/>
        <w:ind w:left="230"/>
        <w:shd w:val="clear" w:color="auto" w:fill="F7F9FC"/>
        <w:pBdr>
          <w:left w:val="single" w:sz="4" w:space="6" w:color="D0D5DD"/>
        </w:pBdr>
      </w:pPr>
      <w:r>
        <w:rPr>
          <w:rFonts w:ascii="Consolas" w:hAnsi="Consolas"/>
          <w:color w:val="0B1F3A"/>
          <w:sz w:val="16"/>
        </w:rPr>
        <w:t>+-- (3) TABLE -------------------------------------------------------------+</w:t>
      </w:r>
    </w:p>
    <w:p>
      <w:pPr>
        <w:spacing w:before="0" w:after="0" w:line="240" w:lineRule="auto"/>
        <w:ind w:left="230"/>
        <w:shd w:val="clear" w:color="auto" w:fill="F7F9FC"/>
        <w:pBdr>
          <w:left w:val="single" w:sz="4" w:space="6" w:color="D0D5DD"/>
        </w:pBdr>
      </w:pPr>
      <w:r>
        <w:rPr>
          <w:rFonts w:ascii="Consolas" w:hAnsi="Consolas"/>
          <w:color w:val="0B1F3A"/>
          <w:sz w:val="16"/>
        </w:rPr>
        <w:t>| WHEN            ACTOR         ACTION         ENTITY     REASON           |</w:t>
      </w:r>
    </w:p>
    <w:p>
      <w:pPr>
        <w:spacing w:before="0" w:after="0" w:line="240" w:lineRule="auto"/>
        <w:ind w:left="230"/>
        <w:shd w:val="clear" w:color="auto" w:fill="F7F9FC"/>
        <w:pBdr>
          <w:left w:val="single" w:sz="4" w:space="6" w:color="D0D5DD"/>
        </w:pBdr>
      </w:pPr>
      <w:r>
        <w:rPr>
          <w:rFonts w:ascii="Consolas" w:hAnsi="Consolas"/>
          <w:color w:val="0B1F3A"/>
          <w:sz w:val="16"/>
        </w:rPr>
        <w:t>| 12 Sep 06:02:04  system        reconcile       rc_9KL     scheduled run  |</w:t>
      </w:r>
    </w:p>
    <w:p>
      <w:pPr>
        <w:spacing w:before="0" w:after="0" w:line="240" w:lineRule="auto"/>
        <w:ind w:left="230"/>
        <w:shd w:val="clear" w:color="auto" w:fill="F7F9FC"/>
        <w:pBdr>
          <w:left w:val="single" w:sz="4" w:space="6" w:color="D0D5DD"/>
        </w:pBdr>
      </w:pPr>
      <w:r>
        <w:rPr>
          <w:rFonts w:ascii="Consolas" w:hAnsi="Consolas"/>
          <w:color w:val="0B1F3A"/>
          <w:sz w:val="16"/>
        </w:rPr>
        <w:t>| 12 Sep 05:41:18  system        settle_payout  pyt_2WT    provider hook   |</w:t>
      </w:r>
    </w:p>
    <w:p>
      <w:pPr>
        <w:spacing w:before="0" w:after="0" w:line="240" w:lineRule="auto"/>
        <w:ind w:left="230"/>
        <w:shd w:val="clear" w:color="auto" w:fill="F7F9FC"/>
        <w:pBdr>
          <w:left w:val="single" w:sz="4" w:space="6" w:color="D0D5DD"/>
        </w:pBdr>
      </w:pPr>
      <w:r>
        <w:rPr>
          <w:rFonts w:ascii="Consolas" w:hAnsi="Consolas"/>
          <w:color w:val="0B1F3A"/>
          <w:sz w:val="16"/>
        </w:rPr>
        <w:t>| 12 Sep 04:18:52  risk_officer  hold_payout    pyt_7Q2    velocity, 4     |</w:t>
      </w:r>
    </w:p>
    <w:p>
      <w:pPr>
        <w:spacing w:before="0" w:after="0" w:line="240" w:lineRule="auto"/>
        <w:ind w:left="230"/>
        <w:shd w:val="clear" w:color="auto" w:fill="F7F9FC"/>
        <w:pBdr>
          <w:left w:val="single" w:sz="4" w:space="6" w:color="D0D5DD"/>
        </w:pBdr>
      </w:pPr>
      <w:r>
        <w:rPr>
          <w:rFonts w:ascii="Consolas" w:hAnsi="Consolas"/>
          <w:color w:val="0B1F3A"/>
          <w:sz w:val="16"/>
        </w:rPr>
        <w:t>|   acct                                                                   |</w:t>
      </w:r>
    </w:p>
    <w:p>
      <w:pPr>
        <w:spacing w:before="0" w:after="0" w:line="240" w:lineRule="auto"/>
        <w:ind w:left="230"/>
        <w:shd w:val="clear" w:color="auto" w:fill="F7F9FC"/>
        <w:pBdr>
          <w:left w:val="single" w:sz="4" w:space="6" w:color="D0D5DD"/>
        </w:pBdr>
      </w:pPr>
      <w:r>
        <w:rPr>
          <w:rFonts w:ascii="Consolas" w:hAnsi="Consolas"/>
          <w:color w:val="0B1F3A"/>
          <w:sz w:val="16"/>
        </w:rPr>
        <w:t>| 12 Sep 04:18:52  risk_officer  hold_payout    pyt_9WX    velocity, 4     |</w:t>
      </w:r>
    </w:p>
    <w:p>
      <w:pPr>
        <w:spacing w:before="0" w:after="0" w:line="240" w:lineRule="auto"/>
        <w:ind w:left="230"/>
        <w:shd w:val="clear" w:color="auto" w:fill="F7F9FC"/>
        <w:pBdr>
          <w:left w:val="single" w:sz="4" w:space="6" w:color="D0D5DD"/>
        </w:pBdr>
      </w:pPr>
      <w:r>
        <w:rPr>
          <w:rFonts w:ascii="Consolas" w:hAnsi="Consolas"/>
          <w:color w:val="0B1F3A"/>
          <w:sz w:val="16"/>
        </w:rPr>
        <w:t>|   acct                                                                   |</w:t>
      </w:r>
    </w:p>
    <w:p>
      <w:pPr>
        <w:spacing w:before="0" w:after="0" w:line="240" w:lineRule="auto"/>
        <w:ind w:left="230"/>
        <w:shd w:val="clear" w:color="auto" w:fill="F7F9FC"/>
        <w:pBdr>
          <w:left w:val="single" w:sz="4" w:space="6" w:color="D0D5DD"/>
        </w:pBdr>
      </w:pPr>
      <w:r>
        <w:rPr>
          <w:rFonts w:ascii="Consolas" w:hAnsi="Consolas"/>
          <w:color w:val="0B1F3A"/>
          <w:sz w:val="16"/>
        </w:rPr>
        <w:t>| 12 Sep 04:18:52  risk_officer  place_review   usr_7Q2    velocity, 4     |</w:t>
      </w:r>
    </w:p>
    <w:p>
      <w:pPr>
        <w:spacing w:before="0" w:after="0" w:line="240" w:lineRule="auto"/>
        <w:ind w:left="230"/>
        <w:shd w:val="clear" w:color="auto" w:fill="F7F9FC"/>
        <w:pBdr>
          <w:left w:val="single" w:sz="4" w:space="6" w:color="D0D5DD"/>
        </w:pBdr>
      </w:pPr>
      <w:r>
        <w:rPr>
          <w:rFonts w:ascii="Consolas" w:hAnsi="Consolas"/>
          <w:color w:val="0B1F3A"/>
          <w:sz w:val="16"/>
        </w:rPr>
        <w:t>|   acct                                                                   |</w:t>
      </w:r>
    </w:p>
    <w:p>
      <w:pPr>
        <w:spacing w:before="0" w:after="0" w:line="240" w:lineRule="auto"/>
        <w:ind w:left="230"/>
        <w:shd w:val="clear" w:color="auto" w:fill="F7F9FC"/>
        <w:pBdr>
          <w:left w:val="single" w:sz="4" w:space="6" w:color="D0D5DD"/>
        </w:pBdr>
      </w:pPr>
      <w:r>
        <w:rPr>
          <w:rFonts w:ascii="Consolas" w:hAnsi="Consolas"/>
          <w:color w:val="0B1F3A"/>
          <w:sz w:val="16"/>
        </w:rPr>
        <w:t>| 12 Sep 03:55:11  risk_officer  freeze_account usr_2K9    device reuse    |</w:t>
      </w:r>
    </w:p>
    <w:p>
      <w:pPr>
        <w:spacing w:before="0" w:after="0" w:line="240" w:lineRule="auto"/>
        <w:ind w:left="230"/>
        <w:shd w:val="clear" w:color="auto" w:fill="F7F9FC"/>
        <w:pBdr>
          <w:left w:val="single" w:sz="4" w:space="6" w:color="D0D5DD"/>
        </w:pBdr>
      </w:pPr>
      <w:r>
        <w:rPr>
          <w:rFonts w:ascii="Consolas" w:hAnsi="Consolas"/>
          <w:color w:val="0B1F3A"/>
          <w:sz w:val="16"/>
        </w:rPr>
        <w:t>| 12 Sep 02:14:33  support       post_dispute   dsp_4Q7    member raised   |</w:t>
      </w:r>
    </w:p>
    <w:p>
      <w:pPr>
        <w:spacing w:before="0" w:after="0" w:line="240" w:lineRule="auto"/>
        <w:ind w:left="230"/>
        <w:shd w:val="clear" w:color="auto" w:fill="F7F9FC"/>
        <w:pBdr>
          <w:left w:val="single" w:sz="4" w:space="6" w:color="D0D5DD"/>
        </w:pBdr>
      </w:pPr>
      <w:r>
        <w:rPr>
          <w:rFonts w:ascii="Consolas" w:hAnsi="Consolas"/>
          <w:color w:val="0B1F3A"/>
          <w:sz w:val="16"/>
        </w:rPr>
        <w:t>| 10 Sep 17:40:02  ajo_organizer send_reminder  ajo_3KL    round 4         |</w:t>
      </w:r>
    </w:p>
    <w:p>
      <w:pPr>
        <w:spacing w:before="0" w:after="0" w:line="240" w:lineRule="auto"/>
        <w:ind w:left="230"/>
        <w:shd w:val="clear" w:color="auto" w:fill="F7F9FC"/>
        <w:pBdr>
          <w:left w:val="single" w:sz="4" w:space="6" w:color="D0D5DD"/>
        </w:pBdr>
      </w:pPr>
      <w:r>
        <w:rPr>
          <w:rFonts w:ascii="Consolas" w:hAnsi="Consolas"/>
          <w:color w:val="0B1F3A"/>
          <w:sz w:val="16"/>
        </w:rPr>
        <w:t>|   reminder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One action, one row. Four accounts touched means four rows.              |</w:t>
      </w:r>
    </w:p>
    <w:p>
      <w:pPr>
        <w:spacing w:before="0" w:after="0" w:line="240" w:lineRule="auto"/>
        <w:ind w:left="230"/>
        <w:shd w:val="clear" w:color="auto" w:fill="F7F9FC"/>
        <w:pBdr>
          <w:left w:val="single" w:sz="4" w:space="6" w:color="D0D5DD"/>
        </w:pBdr>
      </w:pPr>
      <w:r>
        <w:rPr>
          <w:rFonts w:ascii="Consolas" w:hAnsi="Consolas"/>
          <w:color w:val="0B1F3A"/>
          <w:sz w:val="16"/>
        </w:rPr>
        <w:t>+-- (4) ENTRY -------------------------------------------------------------+</w:t>
      </w:r>
    </w:p>
    <w:p>
      <w:pPr>
        <w:spacing w:before="0" w:after="0" w:line="240" w:lineRule="auto"/>
        <w:ind w:left="230"/>
        <w:shd w:val="clear" w:color="auto" w:fill="F7F9FC"/>
        <w:pBdr>
          <w:left w:val="single" w:sz="4" w:space="6" w:color="D0D5DD"/>
        </w:pBdr>
      </w:pPr>
      <w:r>
        <w:rPr>
          <w:rFonts w:ascii="Consolas" w:hAnsi="Consolas"/>
          <w:color w:val="0B1F3A"/>
          <w:sz w:val="16"/>
        </w:rPr>
        <w:t>| ris_7Q2 hold_payout  12 Sep 04:18:52  risk_officer A. Okeke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reason      velocity: 4 accounts, 3 devices, 1 number, 6 minutes         |</w:t>
      </w:r>
    </w:p>
    <w:p>
      <w:pPr>
        <w:spacing w:before="0" w:after="0" w:line="240" w:lineRule="auto"/>
        <w:ind w:left="230"/>
        <w:shd w:val="clear" w:color="auto" w:fill="F7F9FC"/>
        <w:pBdr>
          <w:left w:val="single" w:sz="4" w:space="6" w:color="D0D5DD"/>
        </w:pBdr>
      </w:pPr>
      <w:r>
        <w:rPr>
          <w:rFonts w:ascii="Consolas" w:hAnsi="Consolas"/>
          <w:color w:val="0B1F3A"/>
          <w:sz w:val="16"/>
        </w:rPr>
        <w:t>| before      payout pyt_7Q2 state SCHEDULED                               |</w:t>
      </w:r>
    </w:p>
    <w:p>
      <w:pPr>
        <w:spacing w:before="0" w:after="0" w:line="240" w:lineRule="auto"/>
        <w:ind w:left="230"/>
        <w:shd w:val="clear" w:color="auto" w:fill="F7F9FC"/>
        <w:pBdr>
          <w:left w:val="single" w:sz="4" w:space="6" w:color="D0D5DD"/>
        </w:pBdr>
      </w:pPr>
      <w:r>
        <w:rPr>
          <w:rFonts w:ascii="Consolas" w:hAnsi="Consolas"/>
          <w:color w:val="0B1F3A"/>
          <w:sz w:val="16"/>
        </w:rPr>
        <w:t>| after       payout pyt_7Q2 state HELD                                    |</w:t>
      </w:r>
    </w:p>
    <w:p>
      <w:pPr>
        <w:spacing w:before="0" w:after="0" w:line="240" w:lineRule="auto"/>
        <w:ind w:left="230"/>
        <w:shd w:val="clear" w:color="auto" w:fill="F7F9FC"/>
        <w:pBdr>
          <w:left w:val="single" w:sz="4" w:space="6" w:color="D0D5DD"/>
        </w:pBdr>
      </w:pPr>
      <w:r>
        <w:rPr>
          <w:rFonts w:ascii="Consolas" w:hAnsi="Consolas"/>
          <w:color w:val="0B1F3A"/>
          <w:sz w:val="16"/>
        </w:rPr>
        <w:t>| request     X-Request-Id 4f2c-91ab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This row cannot be edited or deleted, by any role, including             |</w:t>
      </w:r>
    </w:p>
    <w:p>
      <w:pPr>
        <w:spacing w:before="0" w:after="0" w:line="240" w:lineRule="auto"/>
        <w:ind w:left="230"/>
        <w:shd w:val="clear" w:color="auto" w:fill="F7F9FC"/>
        <w:pBdr>
          <w:left w:val="single" w:sz="4" w:space="6" w:color="D0D5DD"/>
        </w:pBdr>
      </w:pPr>
      <w:r>
        <w:rPr>
          <w:rFonts w:ascii="Consolas" w:hAnsi="Consolas"/>
          <w:color w:val="0B1F3A"/>
          <w:sz w:val="16"/>
        </w:rPr>
        <w:t>|   super_admin.                                                           |</w:t>
      </w:r>
    </w:p>
    <w:p>
      <w:pPr>
        <w:spacing w:before="0" w:after="0" w:line="240" w:lineRule="auto"/>
        <w:ind w:left="230"/>
        <w:shd w:val="clear" w:color="auto" w:fill="F7F9FC"/>
        <w:pBdr>
          <w:left w:val="single" w:sz="4" w:space="6" w:color="D0D5DD"/>
        </w:pBdr>
      </w:pPr>
      <w:r>
        <w:rPr>
          <w:rFonts w:ascii="Consolas" w:hAnsi="Consolas"/>
          <w:color w:val="0B1F3A"/>
          <w:sz w:val="16"/>
        </w:rPr>
        <w:t>| There is no interface control for it, and there is no API for it.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6.33.2 Annotated regions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34"/>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1598"/>
            <w:shd w:val="clear" w:color="auto" w:fill="0B1F3A"/>
            <w:tcMar>
              <w:top w:w="60" w:type="dxa"/>
              <w:start w:w="110" w:type="dxa"/>
              <w:bottom w:w="60" w:type="dxa"/>
              <w:end w:w="110" w:type="dxa"/>
            </w:tcMar>
          </w:tcPr>
          <w:p>
            <w:pPr>
              <w:spacing w:after="0"/>
            </w:pPr>
            <w:r/>
            <w:r>
              <w:rPr>
                <w:rFonts w:ascii="Calibri" w:hAnsi="Calibri"/>
                <w:b/>
                <w:i w:val="0"/>
                <w:color w:val="FFFFFF"/>
                <w:sz w:val="14"/>
              </w:rPr>
              <w:t>Purpose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Priority</w:t>
            </w:r>
          </w:p>
        </w:tc>
        <w:tc>
          <w:tcPr>
            <w:tcW w:type="dxa" w:w="6523"/>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34"/>
            <w:tcMar>
              <w:top w:w="60" w:type="dxa"/>
              <w:start w:w="110" w:type="dxa"/>
              <w:bottom w:w="60" w:type="dxa"/>
              <w:end w:w="110" w:type="dxa"/>
            </w:tcMar>
          </w:tcPr>
          <w:p>
            <w:pPr>
              <w:spacing w:after="0"/>
            </w:pPr>
            <w:r/>
            <w:r>
              <w:rPr>
                <w:rFonts w:ascii="Calibri" w:hAnsi="Calibri"/>
                <w:b w:val="0"/>
                <w:i w:val="0"/>
                <w:color w:val="101828"/>
                <w:sz w:val="14"/>
              </w:rPr>
              <w:t>(1) Filters</w:t>
            </w:r>
          </w:p>
        </w:tc>
        <w:tc>
          <w:tcPr>
            <w:tcW w:type="dxa" w:w="1598"/>
            <w:tcMar>
              <w:top w:w="60" w:type="dxa"/>
              <w:start w:w="110" w:type="dxa"/>
              <w:bottom w:w="60" w:type="dxa"/>
              <w:end w:w="110" w:type="dxa"/>
            </w:tcMar>
          </w:tcPr>
          <w:p>
            <w:pPr>
              <w:spacing w:after="0"/>
            </w:pPr>
            <w:r/>
            <w:r>
              <w:rPr>
                <w:rFonts w:ascii="Calibri" w:hAnsi="Calibri"/>
                <w:b w:val="0"/>
                <w:i w:val="0"/>
                <w:color w:val="101828"/>
                <w:sz w:val="14"/>
              </w:rPr>
              <w:t>Actor, action, entity type, entity id, and a date range.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523"/>
            <w:tcMar>
              <w:top w:w="60" w:type="dxa"/>
              <w:start w:w="110" w:type="dxa"/>
              <w:bottom w:w="60" w:type="dxa"/>
              <w:end w:w="110" w:type="dxa"/>
            </w:tcMar>
          </w:tcPr>
          <w:p>
            <w:pPr>
              <w:spacing w:after="0"/>
            </w:pPr>
            <w:r/>
            <w:r>
              <w:rPr>
                <w:rFonts w:ascii="Calibri" w:hAnsi="Calibri"/>
                <w:b w:val="0"/>
                <w:i w:val="0"/>
                <w:color w:val="101828"/>
                <w:sz w:val="14"/>
              </w:rPr>
              <w:t xml:space="preserve">The entity </w:t>
            </w:r>
            <w:r>
              <w:rPr>
                <w:rFonts w:ascii="Calibri" w:hAnsi="Calibri"/>
                <w:b/>
                <w:color w:val="101828"/>
                <w:sz w:val="14"/>
              </w:rPr>
              <w:t>id</w:t>
            </w:r>
            <w:r>
              <w:rPr>
                <w:rFonts w:ascii="Calibri" w:hAnsi="Calibri"/>
                <w:b w:val="0"/>
                <w:i w:val="0"/>
                <w:color w:val="101828"/>
                <w:sz w:val="14"/>
              </w:rPr>
              <w:t xml:space="preserve"> as well as the type, because </w:t>
            </w:r>
            <w:r>
              <w:rPr>
                <w:rFonts w:ascii="Calibri" w:hAnsi="Calibri"/>
                <w:i/>
                <w:color w:val="101828"/>
                <w:sz w:val="14"/>
              </w:rPr>
              <w:t>an account was frozen</w:t>
            </w:r>
            <w:r>
              <w:rPr>
                <w:rFonts w:ascii="Calibri" w:hAnsi="Calibri"/>
                <w:b w:val="0"/>
                <w:i w:val="0"/>
                <w:color w:val="101828"/>
                <w:sz w:val="14"/>
              </w:rPr>
              <w:t xml:space="preserve"> is not a useful filter and </w:t>
            </w:r>
            <w:r>
              <w:rPr>
                <w:rFonts w:ascii="Consolas" w:hAnsi="Consolas"/>
                <w:color w:val="146EF5"/>
                <w:sz w:val="14"/>
              </w:rPr>
              <w:t>usr_2K9</w:t>
            </w:r>
            <w:r>
              <w:rPr>
                <w:rFonts w:ascii="Calibri" w:hAnsi="Calibri"/>
                <w:b w:val="0"/>
                <w:i w:val="0"/>
                <w:color w:val="101828"/>
                <w:sz w:val="14"/>
              </w:rPr>
              <w:t xml:space="preserve"> is.</w:t>
            </w:r>
          </w:p>
        </w:tc>
      </w:tr>
      <w:tr>
        <w:trPr>
          <w:cantSplit/>
        </w:trPr>
        <w:tc>
          <w:tcPr>
            <w:tcW w:type="dxa" w:w="634"/>
            <w:tcMar>
              <w:top w:w="60" w:type="dxa"/>
              <w:start w:w="110" w:type="dxa"/>
              <w:bottom w:w="60" w:type="dxa"/>
              <w:end w:w="110" w:type="dxa"/>
            </w:tcMar>
            <w:shd w:val="clear" w:color="auto" w:fill="F4F7FB"/>
          </w:tcPr>
          <w:p>
            <w:pPr>
              <w:spacing w:after="0"/>
            </w:pPr>
            <w:r/>
            <w:r>
              <w:rPr>
                <w:rFonts w:ascii="Calibri" w:hAnsi="Calibri"/>
                <w:b w:val="0"/>
                <w:i w:val="0"/>
                <w:color w:val="101828"/>
                <w:sz w:val="14"/>
              </w:rPr>
              <w:t>(2) One action, one row</w:t>
            </w:r>
          </w:p>
        </w:tc>
        <w:tc>
          <w:tcPr>
            <w:tcW w:type="dxa" w:w="1598"/>
            <w:tcMar>
              <w:top w:w="60" w:type="dxa"/>
              <w:start w:w="110" w:type="dxa"/>
              <w:bottom w:w="60" w:type="dxa"/>
              <w:end w:w="110" w:type="dxa"/>
            </w:tcMar>
            <w:shd w:val="clear" w:color="auto" w:fill="F4F7FB"/>
          </w:tcPr>
          <w:p>
            <w:pPr>
              <w:spacing w:after="0"/>
            </w:pPr>
            <w:r/>
            <w:r>
              <w:rPr>
                <w:rFonts w:ascii="Calibri" w:hAnsi="Calibri"/>
                <w:b w:val="0"/>
                <w:i w:val="0"/>
                <w:color w:val="101828"/>
                <w:sz w:val="14"/>
              </w:rPr>
              <w:t>A multi-entity action writes a row per entity.</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523"/>
            <w:tcMar>
              <w:top w:w="60" w:type="dxa"/>
              <w:start w:w="110" w:type="dxa"/>
              <w:bottom w:w="60" w:type="dxa"/>
              <w:end w:w="110" w:type="dxa"/>
            </w:tcMar>
            <w:shd w:val="clear" w:color="auto" w:fill="F4F7FB"/>
          </w:tcPr>
          <w:p>
            <w:pPr>
              <w:spacing w:after="0"/>
            </w:pPr>
            <w:r/>
            <w:r>
              <w:rPr>
                <w:rFonts w:ascii="Calibri" w:hAnsi="Calibri"/>
                <w:b w:val="0"/>
                <w:i w:val="0"/>
                <w:color w:val="101828"/>
                <w:sz w:val="14"/>
              </w:rPr>
              <w:t>An officer holding four payouts writes four rows. This is the reason the queue above looks repetitive after a bulk action, and it is deliberate: a summary row would let four objects be summarised as one and then audited as one.</w:t>
            </w:r>
          </w:p>
        </w:tc>
      </w:tr>
      <w:tr>
        <w:trPr>
          <w:cantSplit/>
        </w:trPr>
        <w:tc>
          <w:tcPr>
            <w:tcW w:type="dxa" w:w="634"/>
            <w:tcMar>
              <w:top w:w="60" w:type="dxa"/>
              <w:start w:w="110" w:type="dxa"/>
              <w:bottom w:w="60" w:type="dxa"/>
              <w:end w:w="110" w:type="dxa"/>
            </w:tcMar>
          </w:tcPr>
          <w:p>
            <w:pPr>
              <w:spacing w:after="0"/>
            </w:pPr>
            <w:r/>
            <w:r>
              <w:rPr>
                <w:rFonts w:ascii="Calibri" w:hAnsi="Calibri"/>
                <w:b w:val="0"/>
                <w:i w:val="0"/>
                <w:color w:val="101828"/>
                <w:sz w:val="14"/>
              </w:rPr>
              <w:t>(3) Reason</w:t>
            </w:r>
          </w:p>
        </w:tc>
        <w:tc>
          <w:tcPr>
            <w:tcW w:type="dxa" w:w="1598"/>
            <w:tcMar>
              <w:top w:w="60" w:type="dxa"/>
              <w:start w:w="110" w:type="dxa"/>
              <w:bottom w:w="60" w:type="dxa"/>
              <w:end w:w="110" w:type="dxa"/>
            </w:tcMar>
          </w:tcPr>
          <w:p>
            <w:pPr>
              <w:spacing w:after="0"/>
            </w:pPr>
            <w:r/>
            <w:r>
              <w:rPr>
                <w:rFonts w:ascii="Calibri" w:hAnsi="Calibri"/>
                <w:b w:val="0"/>
                <w:i w:val="0"/>
                <w:color w:val="101828"/>
                <w:sz w:val="14"/>
              </w:rPr>
              <w:t>The free-text reason the actor gave.</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523"/>
            <w:tcMar>
              <w:top w:w="60" w:type="dxa"/>
              <w:start w:w="110" w:type="dxa"/>
              <w:bottom w:w="60" w:type="dxa"/>
              <w:end w:w="110" w:type="dxa"/>
            </w:tcMar>
          </w:tcPr>
          <w:p>
            <w:pPr>
              <w:spacing w:after="0"/>
            </w:pPr>
            <w:r/>
            <w:r>
              <w:rPr>
                <w:rFonts w:ascii="Calibri" w:hAnsi="Calibri"/>
                <w:b/>
                <w:color w:val="101828"/>
                <w:sz w:val="14"/>
              </w:rPr>
              <w:t>Mandatory and immutable.</w:t>
            </w:r>
            <w:r>
              <w:rPr>
                <w:rFonts w:ascii="Calibri" w:hAnsi="Calibri"/>
                <w:b w:val="0"/>
                <w:i w:val="0"/>
                <w:color w:val="101828"/>
                <w:sz w:val="14"/>
              </w:rPr>
              <w:t xml:space="preserve"> A row without a reason is not written. The reason is the material that becomes a member-facing explanation, so it is stored as prose rather than as an enum.</w:t>
            </w:r>
          </w:p>
        </w:tc>
      </w:tr>
      <w:tr>
        <w:trPr>
          <w:cantSplit/>
        </w:trPr>
        <w:tc>
          <w:tcPr>
            <w:tcW w:type="dxa" w:w="634"/>
            <w:tcMar>
              <w:top w:w="60" w:type="dxa"/>
              <w:start w:w="110" w:type="dxa"/>
              <w:bottom w:w="60" w:type="dxa"/>
              <w:end w:w="110" w:type="dxa"/>
            </w:tcMar>
            <w:shd w:val="clear" w:color="auto" w:fill="F4F7FB"/>
          </w:tcPr>
          <w:p>
            <w:pPr>
              <w:spacing w:after="0"/>
            </w:pPr>
            <w:r/>
            <w:r>
              <w:rPr>
                <w:rFonts w:ascii="Calibri" w:hAnsi="Calibri"/>
                <w:b w:val="0"/>
                <w:i w:val="0"/>
                <w:color w:val="101828"/>
                <w:sz w:val="14"/>
              </w:rPr>
              <w:t>(4) Before and after</w:t>
            </w:r>
          </w:p>
        </w:tc>
        <w:tc>
          <w:tcPr>
            <w:tcW w:type="dxa" w:w="1598"/>
            <w:tcMar>
              <w:top w:w="60" w:type="dxa"/>
              <w:start w:w="110" w:type="dxa"/>
              <w:bottom w:w="60" w:type="dxa"/>
              <w:end w:w="110" w:type="dxa"/>
            </w:tcMar>
            <w:shd w:val="clear" w:color="auto" w:fill="F4F7FB"/>
          </w:tcPr>
          <w:p>
            <w:pPr>
              <w:spacing w:after="0"/>
            </w:pPr>
            <w:r/>
            <w:r>
              <w:rPr>
                <w:rFonts w:ascii="Calibri" w:hAnsi="Calibri"/>
                <w:b w:val="0"/>
                <w:i w:val="0"/>
                <w:color w:val="101828"/>
                <w:sz w:val="14"/>
              </w:rPr>
              <w:t>The state before and the state after.</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523"/>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single most useful pair of columns in the table, and the reason the log can answer </w:t>
            </w:r>
            <w:r>
              <w:rPr>
                <w:rFonts w:ascii="Calibri" w:hAnsi="Calibri"/>
                <w:i/>
                <w:color w:val="101828"/>
                <w:sz w:val="14"/>
              </w:rPr>
              <w:t>what did this change</w:t>
            </w:r>
            <w:r>
              <w:rPr>
                <w:rFonts w:ascii="Calibri" w:hAnsi="Calibri"/>
                <w:b w:val="0"/>
                <w:i w:val="0"/>
                <w:color w:val="101828"/>
                <w:sz w:val="14"/>
              </w:rPr>
              <w:t xml:space="preserve"> without replaying the history.</w:t>
            </w:r>
          </w:p>
        </w:tc>
      </w:tr>
      <w:tr>
        <w:trPr>
          <w:cantSplit/>
        </w:trPr>
        <w:tc>
          <w:tcPr>
            <w:tcW w:type="dxa" w:w="634"/>
            <w:tcMar>
              <w:top w:w="60" w:type="dxa"/>
              <w:start w:w="110" w:type="dxa"/>
              <w:bottom w:w="60" w:type="dxa"/>
              <w:end w:w="110" w:type="dxa"/>
            </w:tcMar>
          </w:tcPr>
          <w:p>
            <w:pPr>
              <w:spacing w:after="0"/>
            </w:pPr>
            <w:r/>
            <w:r>
              <w:rPr>
                <w:rFonts w:ascii="Calibri" w:hAnsi="Calibri"/>
                <w:b w:val="0"/>
                <w:i w:val="0"/>
                <w:color w:val="101828"/>
                <w:sz w:val="14"/>
              </w:rPr>
              <w:t>(5) System rows</w:t>
            </w:r>
          </w:p>
        </w:tc>
        <w:tc>
          <w:tcPr>
            <w:tcW w:type="dxa" w:w="1598"/>
            <w:tcMar>
              <w:top w:w="60" w:type="dxa"/>
              <w:start w:w="110" w:type="dxa"/>
              <w:bottom w:w="60" w:type="dxa"/>
              <w:end w:w="110" w:type="dxa"/>
            </w:tcMar>
          </w:tcPr>
          <w:p>
            <w:pPr>
              <w:spacing w:after="0"/>
            </w:pPr>
            <w:r/>
            <w:r>
              <w:rPr>
                <w:rFonts w:ascii="Calibri" w:hAnsi="Calibri"/>
                <w:b w:val="0"/>
                <w:i w:val="0"/>
                <w:color w:val="101828"/>
                <w:sz w:val="14"/>
              </w:rPr>
              <w:t>Reconciliations, webhooks, and scheduled work are actors.</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523"/>
            <w:tcMar>
              <w:top w:w="60" w:type="dxa"/>
              <w:start w:w="110" w:type="dxa"/>
              <w:bottom w:w="60" w:type="dxa"/>
              <w:end w:w="110" w:type="dxa"/>
            </w:tcMar>
          </w:tcPr>
          <w:p>
            <w:pPr>
              <w:spacing w:after="0"/>
            </w:pPr>
            <w:r/>
            <w:r>
              <w:rPr>
                <w:rFonts w:ascii="Calibri" w:hAnsi="Calibri"/>
                <w:i/>
                <w:color w:val="101828"/>
                <w:sz w:val="14"/>
              </w:rPr>
              <w:t>System</w:t>
            </w:r>
            <w:r>
              <w:rPr>
                <w:rFonts w:ascii="Calibri" w:hAnsi="Calibri"/>
                <w:b w:val="0"/>
                <w:i w:val="0"/>
                <w:color w:val="101828"/>
                <w:sz w:val="14"/>
              </w:rPr>
              <w:t xml:space="preserve"> is a first-class actor. </w:t>
            </w:r>
            <w:r>
              <w:rPr>
                <w:rFonts w:ascii="Calibri" w:hAnsi="Calibri"/>
                <w:b/>
                <w:color w:val="101828"/>
                <w:sz w:val="14"/>
              </w:rPr>
              <w:t>A reconciliation run that finds nothing still writes a row</w:t>
            </w:r>
            <w:r>
              <w:rPr>
                <w:rFonts w:ascii="Calibri" w:hAnsi="Calibri"/>
                <w:b w:val="0"/>
                <w:i w:val="0"/>
                <w:color w:val="101828"/>
                <w:sz w:val="14"/>
              </w:rPr>
              <w:t>, because an audit log that records only exceptions cannot prove that a check was performed.</w:t>
            </w:r>
          </w:p>
        </w:tc>
      </w:tr>
      <w:tr>
        <w:trPr>
          <w:cantSplit/>
        </w:trPr>
        <w:tc>
          <w:tcPr>
            <w:tcW w:type="dxa" w:w="634"/>
            <w:tcMar>
              <w:top w:w="60" w:type="dxa"/>
              <w:start w:w="110" w:type="dxa"/>
              <w:bottom w:w="60" w:type="dxa"/>
              <w:end w:w="110" w:type="dxa"/>
            </w:tcMar>
            <w:shd w:val="clear" w:color="auto" w:fill="F4F7FB"/>
          </w:tcPr>
          <w:p>
            <w:pPr>
              <w:spacing w:after="0"/>
            </w:pPr>
            <w:r/>
            <w:r>
              <w:rPr>
                <w:rFonts w:ascii="Calibri" w:hAnsi="Calibri"/>
                <w:b w:val="0"/>
                <w:i w:val="0"/>
                <w:color w:val="101828"/>
                <w:sz w:val="14"/>
              </w:rPr>
              <w:t>(6) Request id</w:t>
            </w:r>
          </w:p>
        </w:tc>
        <w:tc>
          <w:tcPr>
            <w:tcW w:type="dxa" w:w="159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w:t>
            </w:r>
            <w:r>
              <w:rPr>
                <w:rFonts w:ascii="Consolas" w:hAnsi="Consolas"/>
                <w:color w:val="146EF5"/>
                <w:sz w:val="14"/>
              </w:rPr>
              <w:t>X-Request-Id</w:t>
            </w:r>
            <w:r>
              <w:rPr>
                <w:rFonts w:ascii="Calibri" w:hAnsi="Calibri"/>
                <w:b w:val="0"/>
                <w:i w:val="0"/>
                <w:color w:val="101828"/>
                <w:sz w:val="14"/>
              </w:rPr>
              <w:t xml:space="preserve"> for the request that caused the action.</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P1</w:t>
            </w:r>
          </w:p>
        </w:tc>
        <w:tc>
          <w:tcPr>
            <w:tcW w:type="dxa" w:w="6523"/>
            <w:tcMar>
              <w:top w:w="60" w:type="dxa"/>
              <w:start w:w="110" w:type="dxa"/>
              <w:bottom w:w="60" w:type="dxa"/>
              <w:end w:w="110" w:type="dxa"/>
            </w:tcMar>
            <w:shd w:val="clear" w:color="auto" w:fill="F4F7FB"/>
          </w:tcPr>
          <w:p>
            <w:pPr>
              <w:spacing w:after="0"/>
            </w:pPr>
            <w:r/>
            <w:r>
              <w:rPr>
                <w:rFonts w:ascii="Calibri" w:hAnsi="Calibri"/>
                <w:b w:val="0"/>
                <w:i w:val="0"/>
                <w:color w:val="101828"/>
                <w:sz w:val="14"/>
              </w:rPr>
              <w:t>Present on every row and echoed on every API response by convention, which makes the log joinable to the request logs and to provider webhooks without a second identifier.</w:t>
            </w:r>
          </w:p>
        </w:tc>
      </w:tr>
      <w:tr>
        <w:trPr>
          <w:cantSplit/>
        </w:trPr>
        <w:tc>
          <w:tcPr>
            <w:tcW w:type="dxa" w:w="634"/>
            <w:tcMar>
              <w:top w:w="60" w:type="dxa"/>
              <w:start w:w="110" w:type="dxa"/>
              <w:bottom w:w="60" w:type="dxa"/>
              <w:end w:w="110" w:type="dxa"/>
            </w:tcMar>
          </w:tcPr>
          <w:p>
            <w:pPr>
              <w:spacing w:after="0"/>
            </w:pPr>
            <w:r/>
            <w:r>
              <w:rPr>
                <w:rFonts w:ascii="Calibri" w:hAnsi="Calibri"/>
                <w:b w:val="0"/>
                <w:i w:val="0"/>
                <w:color w:val="101828"/>
                <w:sz w:val="14"/>
              </w:rPr>
              <w:t>(7) No write controls</w:t>
            </w:r>
          </w:p>
        </w:tc>
        <w:tc>
          <w:tcPr>
            <w:tcW w:type="dxa" w:w="1598"/>
            <w:tcMar>
              <w:top w:w="60" w:type="dxa"/>
              <w:start w:w="110" w:type="dxa"/>
              <w:bottom w:w="60" w:type="dxa"/>
              <w:end w:w="110" w:type="dxa"/>
            </w:tcMar>
          </w:tcPr>
          <w:p>
            <w:pPr>
              <w:spacing w:after="0"/>
            </w:pPr>
            <w:r/>
            <w:r>
              <w:rPr>
                <w:rFonts w:ascii="Calibri" w:hAnsi="Calibri"/>
                <w:b w:val="0"/>
                <w:i w:val="0"/>
                <w:color w:val="101828"/>
                <w:sz w:val="14"/>
              </w:rPr>
              <w:t>No edit, no delete, no bulk action.</w:t>
            </w:r>
          </w:p>
        </w:tc>
        <w:tc>
          <w:tcPr>
            <w:tcW w:type="dxa" w:w="605"/>
            <w:tcMar>
              <w:top w:w="60" w:type="dxa"/>
              <w:start w:w="110" w:type="dxa"/>
              <w:bottom w:w="60" w:type="dxa"/>
              <w:end w:w="110" w:type="dxa"/>
            </w:tcMar>
          </w:tcPr>
          <w:p>
            <w:pPr>
              <w:spacing w:after="0"/>
            </w:pPr>
            <w:r/>
            <w:r>
              <w:rPr>
                <w:rFonts w:ascii="Calibri" w:hAnsi="Calibri"/>
                <w:b w:val="0"/>
                <w:i w:val="0"/>
                <w:color w:val="101828"/>
                <w:sz w:val="14"/>
              </w:rPr>
              <w:t>P1</w:t>
            </w:r>
          </w:p>
        </w:tc>
        <w:tc>
          <w:tcPr>
            <w:tcW w:type="dxa" w:w="6523"/>
            <w:tcMar>
              <w:top w:w="60" w:type="dxa"/>
              <w:start w:w="110" w:type="dxa"/>
              <w:bottom w:w="60" w:type="dxa"/>
              <w:end w:w="110" w:type="dxa"/>
            </w:tcMar>
          </w:tcPr>
          <w:p>
            <w:pPr>
              <w:spacing w:after="0"/>
            </w:pPr>
            <w:r/>
            <w:r>
              <w:rPr>
                <w:rFonts w:ascii="Calibri" w:hAnsi="Calibri"/>
                <w:b/>
                <w:color w:val="101828"/>
                <w:sz w:val="14"/>
              </w:rPr>
              <w:t>Prohibited at every level, including `super_admin`.</w:t>
            </w:r>
            <w:r>
              <w:rPr>
                <w:rFonts w:ascii="Calibri" w:hAnsi="Calibri"/>
                <w:b w:val="0"/>
                <w:i w:val="0"/>
                <w:color w:val="101828"/>
                <w:sz w:val="14"/>
              </w:rPr>
              <w:t xml:space="preserve"> CANONICAL.md states the hard rule that no role may edit or delete a ledger entry, and the audit log extends the same treatment to itself: an audit log that can be edited is a record of intentions.</w:t>
            </w:r>
          </w:p>
        </w:tc>
      </w:tr>
      <w:tr>
        <w:trPr>
          <w:cantSplit/>
        </w:trPr>
        <w:tc>
          <w:tcPr>
            <w:tcW w:type="dxa" w:w="634"/>
            <w:tcMar>
              <w:top w:w="60" w:type="dxa"/>
              <w:start w:w="110" w:type="dxa"/>
              <w:bottom w:w="60" w:type="dxa"/>
              <w:end w:w="110" w:type="dxa"/>
            </w:tcMar>
            <w:shd w:val="clear" w:color="auto" w:fill="F4F7FB"/>
          </w:tcPr>
          <w:p>
            <w:pPr>
              <w:spacing w:after="0"/>
            </w:pPr>
            <w:r/>
            <w:r>
              <w:rPr>
                <w:rFonts w:ascii="Calibri" w:hAnsi="Calibri"/>
                <w:b w:val="0"/>
                <w:i w:val="0"/>
                <w:color w:val="101828"/>
                <w:sz w:val="14"/>
              </w:rPr>
              <w:t>(8) Retention</w:t>
            </w:r>
          </w:p>
        </w:tc>
        <w:tc>
          <w:tcPr>
            <w:tcW w:type="dxa" w:w="1598"/>
            <w:tcMar>
              <w:top w:w="60" w:type="dxa"/>
              <w:start w:w="110" w:type="dxa"/>
              <w:bottom w:w="60" w:type="dxa"/>
              <w:end w:w="110" w:type="dxa"/>
            </w:tcMar>
            <w:shd w:val="clear" w:color="auto" w:fill="F4F7FB"/>
          </w:tcPr>
          <w:p>
            <w:pPr>
              <w:spacing w:after="0"/>
            </w:pPr>
            <w:r/>
            <w:r>
              <w:rPr>
                <w:rFonts w:ascii="Calibri" w:hAnsi="Calibri"/>
                <w:b w:val="0"/>
                <w:i w:val="0"/>
                <w:color w:val="101828"/>
                <w:sz w:val="14"/>
              </w:rPr>
              <w:t>How long rows are kept.</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P2</w:t>
            </w:r>
          </w:p>
        </w:tc>
        <w:tc>
          <w:tcPr>
            <w:tcW w:type="dxa" w:w="6523"/>
            <w:tcMar>
              <w:top w:w="60" w:type="dxa"/>
              <w:start w:w="110" w:type="dxa"/>
              <w:bottom w:w="60" w:type="dxa"/>
              <w:end w:w="110" w:type="dxa"/>
            </w:tcMar>
            <w:shd w:val="clear" w:color="auto" w:fill="F4F7FB"/>
          </w:tcPr>
          <w:p>
            <w:pPr>
              <w:spacing w:after="0"/>
            </w:pPr>
            <w:r/>
            <w:r>
              <w:rPr>
                <w:rFonts w:ascii="Calibri" w:hAnsi="Calibri"/>
                <w:b w:val="0"/>
                <w:i w:val="0"/>
                <w:color w:val="101828"/>
                <w:sz w:val="14"/>
              </w:rPr>
              <w:t>Retention is a matter for counsel and for the licensing position in D-02, and the screen states the current period rather than implying permanence.</w:t>
            </w:r>
          </w:p>
        </w:tc>
      </w:tr>
    </w:tbl>
    <w:p>
      <w:pPr>
        <w:spacing w:after="80"/>
      </w:pPr>
    </w:p>
    <w:p>
      <w:pPr>
        <w:pStyle w:val="Heading2"/>
      </w:pPr>
      <w:r>
        <w:rPr>
          <w:rFonts w:ascii="Calibri" w:hAnsi="Calibri"/>
          <w:b/>
          <w:i w:val="0"/>
          <w:color w:val="146EF5"/>
          <w:sz w:val="29"/>
        </w:rPr>
        <w:t>6.34 Responsive behaviour summary</w:t>
      </w:r>
    </w:p>
    <w:p>
      <w:r>
        <w:rPr>
          <w:rFonts w:ascii="Calibri" w:hAnsi="Calibri"/>
          <w:b w:val="0"/>
          <w:i w:val="0"/>
          <w:color w:val="101828"/>
          <w:sz w:val="21"/>
        </w:rPr>
        <w:t>One table, so that the per-screen wireframes above do not each have to restate the same three breakpoint decisions. The column that matters is the third: the rule is that a region is never squeezed to fit, it either reflows, moves to another region, or is deferred to a detail screen.</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Region type</w:t>
            </w:r>
          </w:p>
        </w:tc>
        <w:tc>
          <w:tcPr>
            <w:tcW w:type="dxa" w:w="2333"/>
            <w:shd w:val="clear" w:color="auto" w:fill="0B1F3A"/>
            <w:tcMar>
              <w:top w:w="60" w:type="dxa"/>
              <w:start w:w="110" w:type="dxa"/>
              <w:bottom w:w="60" w:type="dxa"/>
              <w:end w:w="110" w:type="dxa"/>
            </w:tcMar>
          </w:tcPr>
          <w:p>
            <w:pPr>
              <w:spacing w:after="0"/>
            </w:pPr>
            <w:r/>
            <w:r>
              <w:rPr>
                <w:rFonts w:ascii="Calibri" w:hAnsi="Calibri"/>
                <w:b/>
                <w:i w:val="0"/>
                <w:color w:val="FFFFFF"/>
                <w:sz w:val="14"/>
              </w:rPr>
              <w:t>375 px</w:t>
            </w:r>
          </w:p>
        </w:tc>
        <w:tc>
          <w:tcPr>
            <w:tcW w:type="dxa" w:w="1224"/>
            <w:shd w:val="clear" w:color="auto" w:fill="0B1F3A"/>
            <w:tcMar>
              <w:top w:w="60" w:type="dxa"/>
              <w:start w:w="110" w:type="dxa"/>
              <w:bottom w:w="60" w:type="dxa"/>
              <w:end w:w="110" w:type="dxa"/>
            </w:tcMar>
          </w:tcPr>
          <w:p>
            <w:pPr>
              <w:spacing w:after="0"/>
            </w:pPr>
            <w:r/>
            <w:r>
              <w:rPr>
                <w:rFonts w:ascii="Calibri" w:hAnsi="Calibri"/>
                <w:b/>
                <w:i w:val="0"/>
                <w:color w:val="FFFFFF"/>
                <w:sz w:val="14"/>
              </w:rPr>
              <w:t>768 px</w:t>
            </w:r>
          </w:p>
        </w:tc>
        <w:tc>
          <w:tcPr>
            <w:tcW w:type="dxa" w:w="2059"/>
            <w:shd w:val="clear" w:color="auto" w:fill="0B1F3A"/>
            <w:tcMar>
              <w:top w:w="60" w:type="dxa"/>
              <w:start w:w="110" w:type="dxa"/>
              <w:bottom w:w="60" w:type="dxa"/>
              <w:end w:w="110" w:type="dxa"/>
            </w:tcMar>
          </w:tcPr>
          <w:p>
            <w:pPr>
              <w:spacing w:after="0"/>
            </w:pPr>
            <w:r/>
            <w:r>
              <w:rPr>
                <w:rFonts w:ascii="Calibri" w:hAnsi="Calibri"/>
                <w:b/>
                <w:i w:val="0"/>
                <w:color w:val="FFFFFF"/>
                <w:sz w:val="14"/>
              </w:rPr>
              <w:t>1440 px</w:t>
            </w:r>
          </w:p>
        </w:tc>
        <w:tc>
          <w:tcPr>
            <w:tcW w:type="dxa" w:w="3139"/>
            <w:shd w:val="clear" w:color="auto" w:fill="0B1F3A"/>
            <w:tcMar>
              <w:top w:w="60" w:type="dxa"/>
              <w:start w:w="110" w:type="dxa"/>
              <w:bottom w:w="60" w:type="dxa"/>
              <w:end w:w="110" w:type="dxa"/>
            </w:tcMar>
          </w:tcPr>
          <w:p>
            <w:pPr>
              <w:spacing w:after="0"/>
            </w:pPr>
            <w:r/>
            <w:r>
              <w:rPr>
                <w:rFonts w:ascii="Calibri" w:hAnsi="Calibri"/>
                <w:b/>
                <w:i w:val="0"/>
                <w:color w:val="FFFFFF"/>
                <w:sz w:val="14"/>
              </w:rPr>
              <w:t>Reflow rule</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Primary action</w:t>
            </w:r>
          </w:p>
        </w:tc>
        <w:tc>
          <w:tcPr>
            <w:tcW w:type="dxa" w:w="2333"/>
            <w:tcMar>
              <w:top w:w="60" w:type="dxa"/>
              <w:start w:w="110" w:type="dxa"/>
              <w:bottom w:w="60" w:type="dxa"/>
              <w:end w:w="110" w:type="dxa"/>
            </w:tcMar>
          </w:tcPr>
          <w:p>
            <w:pPr>
              <w:spacing w:after="0"/>
            </w:pPr>
            <w:r/>
            <w:r>
              <w:rPr>
                <w:rFonts w:ascii="Calibri" w:hAnsi="Calibri"/>
                <w:b w:val="0"/>
                <w:i w:val="0"/>
                <w:color w:val="101828"/>
                <w:sz w:val="14"/>
              </w:rPr>
              <w:t>Full width, in flow, directly under the amount</w:t>
            </w:r>
          </w:p>
        </w:tc>
        <w:tc>
          <w:tcPr>
            <w:tcW w:type="dxa" w:w="1224"/>
            <w:tcMar>
              <w:top w:w="60" w:type="dxa"/>
              <w:start w:w="110" w:type="dxa"/>
              <w:bottom w:w="60" w:type="dxa"/>
              <w:end w:w="110" w:type="dxa"/>
            </w:tcMar>
          </w:tcPr>
          <w:p>
            <w:pPr>
              <w:spacing w:after="0"/>
            </w:pPr>
            <w:r/>
            <w:r>
              <w:rPr>
                <w:rFonts w:ascii="Calibri" w:hAnsi="Calibri"/>
                <w:b w:val="0"/>
                <w:i w:val="0"/>
                <w:color w:val="101828"/>
                <w:sz w:val="14"/>
              </w:rPr>
              <w:t>In flow, right-aligned in the footer</w:t>
            </w:r>
          </w:p>
        </w:tc>
        <w:tc>
          <w:tcPr>
            <w:tcW w:type="dxa" w:w="2059"/>
            <w:tcMar>
              <w:top w:w="60" w:type="dxa"/>
              <w:start w:w="110" w:type="dxa"/>
              <w:bottom w:w="60" w:type="dxa"/>
              <w:end w:w="110" w:type="dxa"/>
            </w:tcMar>
          </w:tcPr>
          <w:p>
            <w:pPr>
              <w:spacing w:after="0"/>
            </w:pPr>
            <w:r/>
            <w:r>
              <w:rPr>
                <w:rFonts w:ascii="Calibri" w:hAnsi="Calibri"/>
                <w:b w:val="0"/>
                <w:i w:val="0"/>
                <w:color w:val="101828"/>
                <w:sz w:val="14"/>
              </w:rPr>
              <w:t>Single instance in the content column; never duplicated in a column header</w:t>
            </w:r>
          </w:p>
        </w:tc>
        <w:tc>
          <w:tcPr>
            <w:tcW w:type="dxa" w:w="3139"/>
            <w:tcMar>
              <w:top w:w="60" w:type="dxa"/>
              <w:start w:w="110" w:type="dxa"/>
              <w:bottom w:w="60" w:type="dxa"/>
              <w:end w:w="110" w:type="dxa"/>
            </w:tcMar>
          </w:tcPr>
          <w:p>
            <w:pPr>
              <w:spacing w:after="0"/>
            </w:pPr>
            <w:r/>
            <w:r>
              <w:rPr>
                <w:rFonts w:ascii="Calibri" w:hAnsi="Calibri"/>
                <w:b/>
                <w:color w:val="101828"/>
                <w:sz w:val="14"/>
              </w:rPr>
              <w:t>Never duplicated across breakpoints.</w:t>
            </w:r>
            <w:r>
              <w:rPr>
                <w:rFonts w:ascii="Calibri" w:hAnsi="Calibri"/>
                <w:b w:val="0"/>
                <w:i w:val="0"/>
                <w:color w:val="101828"/>
                <w:sz w:val="14"/>
              </w:rPr>
              <w:t xml:space="preserve"> A second copy of a money button is a second chance to charge someone.</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Money figures</w:t>
            </w:r>
          </w:p>
        </w:tc>
        <w:tc>
          <w:tcPr>
            <w:tcW w:type="dxa" w:w="2333"/>
            <w:tcMar>
              <w:top w:w="60" w:type="dxa"/>
              <w:start w:w="110" w:type="dxa"/>
              <w:bottom w:w="60" w:type="dxa"/>
              <w:end w:w="110" w:type="dxa"/>
            </w:tcMar>
            <w:shd w:val="clear" w:color="auto" w:fill="F4F7FB"/>
          </w:tcPr>
          <w:p>
            <w:pPr>
              <w:spacing w:after="0"/>
            </w:pPr>
            <w:r/>
            <w:r>
              <w:rPr>
                <w:rFonts w:ascii="Calibri" w:hAnsi="Calibri"/>
                <w:b w:val="0"/>
                <w:i w:val="0"/>
                <w:color w:val="101828"/>
                <w:sz w:val="14"/>
              </w:rPr>
              <w:t>Labelled list, one figure per line, rules above totals</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Two-column labelled list</w:t>
            </w:r>
          </w:p>
        </w:tc>
        <w:tc>
          <w:tcPr>
            <w:tcW w:type="dxa" w:w="2059"/>
            <w:tcMar>
              <w:top w:w="60" w:type="dxa"/>
              <w:start w:w="110" w:type="dxa"/>
              <w:bottom w:w="60" w:type="dxa"/>
              <w:end w:w="110" w:type="dxa"/>
            </w:tcMar>
            <w:shd w:val="clear" w:color="auto" w:fill="F4F7FB"/>
          </w:tcPr>
          <w:p>
            <w:pPr>
              <w:spacing w:after="0"/>
            </w:pPr>
            <w:r/>
            <w:r>
              <w:rPr>
                <w:rFonts w:ascii="Calibri" w:hAnsi="Calibri"/>
                <w:b w:val="0"/>
                <w:i w:val="0"/>
                <w:color w:val="101828"/>
                <w:sz w:val="14"/>
              </w:rPr>
              <w:t>Labelled list, capped at 720 px, never full-bleed</w:t>
            </w:r>
          </w:p>
        </w:tc>
        <w:tc>
          <w:tcPr>
            <w:tcW w:type="dxa" w:w="3139"/>
            <w:tcMar>
              <w:top w:w="60" w:type="dxa"/>
              <w:start w:w="110" w:type="dxa"/>
              <w:bottom w:w="60" w:type="dxa"/>
              <w:end w:w="110" w:type="dxa"/>
            </w:tcMar>
            <w:shd w:val="clear" w:color="auto" w:fill="F4F7FB"/>
          </w:tcPr>
          <w:p>
            <w:pPr>
              <w:spacing w:after="0"/>
            </w:pPr>
            <w:r/>
            <w:r>
              <w:rPr>
                <w:rFonts w:ascii="Calibri" w:hAnsi="Calibri"/>
                <w:b/>
                <w:color w:val="101828"/>
                <w:sz w:val="14"/>
              </w:rPr>
              <w:t>Never in a card.</w:t>
            </w:r>
            <w:r>
              <w:rPr>
                <w:rFonts w:ascii="Calibri" w:hAnsi="Calibri"/>
                <w:b w:val="0"/>
                <w:i w:val="0"/>
                <w:color w:val="101828"/>
                <w:sz w:val="14"/>
              </w:rPr>
              <w:t xml:space="preserve"> A card implies the figures are optional detail; they are the reason for the screen.</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Table</w:t>
            </w:r>
          </w:p>
        </w:tc>
        <w:tc>
          <w:tcPr>
            <w:tcW w:type="dxa" w:w="2333"/>
            <w:tcMar>
              <w:top w:w="60" w:type="dxa"/>
              <w:start w:w="110" w:type="dxa"/>
              <w:bottom w:w="60" w:type="dxa"/>
              <w:end w:w="110" w:type="dxa"/>
            </w:tcMar>
          </w:tcPr>
          <w:p>
            <w:pPr>
              <w:spacing w:after="0"/>
            </w:pPr>
            <w:r/>
            <w:r>
              <w:rPr>
                <w:rFonts w:ascii="Calibri" w:hAnsi="Calibri"/>
                <w:b w:val="0"/>
                <w:i w:val="0"/>
                <w:color w:val="101828"/>
                <w:sz w:val="14"/>
              </w:rPr>
              <w:t>Row list with the two or three columns that matter; the rest move to a detail screen</w:t>
            </w:r>
          </w:p>
        </w:tc>
        <w:tc>
          <w:tcPr>
            <w:tcW w:type="dxa" w:w="1224"/>
            <w:tcMar>
              <w:top w:w="60" w:type="dxa"/>
              <w:start w:w="110" w:type="dxa"/>
              <w:bottom w:w="60" w:type="dxa"/>
              <w:end w:w="110" w:type="dxa"/>
            </w:tcMar>
          </w:tcPr>
          <w:p>
            <w:pPr>
              <w:spacing w:after="0"/>
            </w:pPr>
            <w:r/>
            <w:r>
              <w:rPr>
                <w:rFonts w:ascii="Calibri" w:hAnsi="Calibri"/>
                <w:b w:val="0"/>
                <w:i w:val="0"/>
                <w:color w:val="101828"/>
                <w:sz w:val="14"/>
              </w:rPr>
              <w:t>Table, least important column dropped</w:t>
            </w:r>
          </w:p>
        </w:tc>
        <w:tc>
          <w:tcPr>
            <w:tcW w:type="dxa" w:w="2059"/>
            <w:tcMar>
              <w:top w:w="60" w:type="dxa"/>
              <w:start w:w="110" w:type="dxa"/>
              <w:bottom w:w="60" w:type="dxa"/>
              <w:end w:w="110" w:type="dxa"/>
            </w:tcMar>
          </w:tcPr>
          <w:p>
            <w:pPr>
              <w:spacing w:after="0"/>
            </w:pPr>
            <w:r/>
            <w:r>
              <w:rPr>
                <w:rFonts w:ascii="Calibri" w:hAnsi="Calibri"/>
                <w:b w:val="0"/>
                <w:i w:val="0"/>
                <w:color w:val="101828"/>
                <w:sz w:val="14"/>
              </w:rPr>
              <w:t>Full table with all columns</w:t>
            </w:r>
          </w:p>
        </w:tc>
        <w:tc>
          <w:tcPr>
            <w:tcW w:type="dxa" w:w="3139"/>
            <w:tcMar>
              <w:top w:w="60" w:type="dxa"/>
              <w:start w:w="110" w:type="dxa"/>
              <w:bottom w:w="60" w:type="dxa"/>
              <w:end w:w="110" w:type="dxa"/>
            </w:tcMar>
          </w:tcPr>
          <w:p>
            <w:pPr>
              <w:spacing w:after="0"/>
            </w:pPr>
            <w:r/>
            <w:r>
              <w:rPr>
                <w:rFonts w:ascii="Calibri" w:hAnsi="Calibri"/>
                <w:b w:val="0"/>
                <w:i w:val="0"/>
                <w:color w:val="101828"/>
                <w:sz w:val="14"/>
              </w:rPr>
              <w:t>A column is never shrunk below legibility to save a row; it is dropped or moved.</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Chart</w:t>
            </w:r>
          </w:p>
        </w:tc>
        <w:tc>
          <w:tcPr>
            <w:tcW w:type="dxa" w:w="2333"/>
            <w:tcMar>
              <w:top w:w="60" w:type="dxa"/>
              <w:start w:w="110" w:type="dxa"/>
              <w:bottom w:w="60" w:type="dxa"/>
              <w:end w:w="110" w:type="dxa"/>
            </w:tcMar>
            <w:shd w:val="clear" w:color="auto" w:fill="F4F7FB"/>
          </w:tcPr>
          <w:p>
            <w:pPr>
              <w:spacing w:after="0"/>
            </w:pPr>
            <w:r/>
            <w:r>
              <w:rPr>
                <w:rFonts w:ascii="Calibri" w:hAnsi="Calibri"/>
                <w:b w:val="0"/>
                <w:i w:val="0"/>
                <w:color w:val="101828"/>
                <w:sz w:val="14"/>
              </w:rPr>
              <w:t>Not rendered. Figures and counts instead</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Rendered, full width</w:t>
            </w:r>
          </w:p>
        </w:tc>
        <w:tc>
          <w:tcPr>
            <w:tcW w:type="dxa" w:w="2059"/>
            <w:tcMar>
              <w:top w:w="60" w:type="dxa"/>
              <w:start w:w="110" w:type="dxa"/>
              <w:bottom w:w="60" w:type="dxa"/>
              <w:end w:w="110" w:type="dxa"/>
            </w:tcMar>
            <w:shd w:val="clear" w:color="auto" w:fill="F4F7FB"/>
          </w:tcPr>
          <w:p>
            <w:pPr>
              <w:spacing w:after="0"/>
            </w:pPr>
            <w:r/>
            <w:r>
              <w:rPr>
                <w:rFonts w:ascii="Calibri" w:hAnsi="Calibri"/>
                <w:b w:val="0"/>
                <w:i w:val="0"/>
                <w:color w:val="101828"/>
                <w:sz w:val="14"/>
              </w:rPr>
              <w:t>Rendered at 2/3 width with a context panel</w:t>
            </w:r>
          </w:p>
        </w:tc>
        <w:tc>
          <w:tcPr>
            <w:tcW w:type="dxa" w:w="3139"/>
            <w:tcMar>
              <w:top w:w="60" w:type="dxa"/>
              <w:start w:w="110" w:type="dxa"/>
              <w:bottom w:w="60" w:type="dxa"/>
              <w:end w:w="110" w:type="dxa"/>
            </w:tcMar>
            <w:shd w:val="clear" w:color="auto" w:fill="F4F7FB"/>
          </w:tcPr>
          <w:p>
            <w:pPr>
              <w:spacing w:after="0"/>
            </w:pPr>
            <w:r/>
            <w:r>
              <w:rPr>
                <w:rFonts w:ascii="Calibri" w:hAnsi="Calibri"/>
                <w:b w:val="0"/>
                <w:i w:val="0"/>
                <w:color w:val="101828"/>
                <w:sz w:val="14"/>
              </w:rPr>
              <w:t>A chart that cannot be read at 375 px is a chart that becomes a table, not a squeezed chart.</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Navigation</w:t>
            </w:r>
          </w:p>
        </w:tc>
        <w:tc>
          <w:tcPr>
            <w:tcW w:type="dxa" w:w="2333"/>
            <w:tcMar>
              <w:top w:w="60" w:type="dxa"/>
              <w:start w:w="110" w:type="dxa"/>
              <w:bottom w:w="60" w:type="dxa"/>
              <w:end w:w="110" w:type="dxa"/>
            </w:tcMar>
          </w:tcPr>
          <w:p>
            <w:pPr>
              <w:spacing w:after="0"/>
            </w:pPr>
            <w:r/>
            <w:r>
              <w:rPr>
                <w:rFonts w:ascii="Calibri" w:hAnsi="Calibri"/>
                <w:b w:val="0"/>
                <w:i w:val="0"/>
                <w:color w:val="101828"/>
                <w:sz w:val="14"/>
              </w:rPr>
              <w:t>Bottom bar, five tabs, 44 px targets</w:t>
            </w:r>
          </w:p>
        </w:tc>
        <w:tc>
          <w:tcPr>
            <w:tcW w:type="dxa" w:w="1224"/>
            <w:tcMar>
              <w:top w:w="60" w:type="dxa"/>
              <w:start w:w="110" w:type="dxa"/>
              <w:bottom w:w="60" w:type="dxa"/>
              <w:end w:w="110" w:type="dxa"/>
            </w:tcMar>
          </w:tcPr>
          <w:p>
            <w:pPr>
              <w:spacing w:after="0"/>
            </w:pPr>
            <w:r/>
            <w:r>
              <w:rPr>
                <w:rFonts w:ascii="Calibri" w:hAnsi="Calibri"/>
                <w:b w:val="0"/>
                <w:i w:val="0"/>
                <w:color w:val="101828"/>
                <w:sz w:val="14"/>
              </w:rPr>
              <w:t>Top bar, horizontal, horizontally scrollable</w:t>
            </w:r>
          </w:p>
        </w:tc>
        <w:tc>
          <w:tcPr>
            <w:tcW w:type="dxa" w:w="2059"/>
            <w:tcMar>
              <w:top w:w="60" w:type="dxa"/>
              <w:start w:w="110" w:type="dxa"/>
              <w:bottom w:w="60" w:type="dxa"/>
              <w:end w:w="110" w:type="dxa"/>
            </w:tcMar>
          </w:tcPr>
          <w:p>
            <w:pPr>
              <w:spacing w:after="0"/>
            </w:pPr>
            <w:r/>
            <w:r>
              <w:rPr>
                <w:rFonts w:ascii="Calibri" w:hAnsi="Calibri"/>
                <w:b w:val="0"/>
                <w:i w:val="0"/>
                <w:color w:val="101828"/>
                <w:sz w:val="14"/>
              </w:rPr>
              <w:t>Persistent 240 px rail</w:t>
            </w:r>
          </w:p>
        </w:tc>
        <w:tc>
          <w:tcPr>
            <w:tcW w:type="dxa" w:w="3139"/>
            <w:tcMar>
              <w:top w:w="60" w:type="dxa"/>
              <w:start w:w="110" w:type="dxa"/>
              <w:bottom w:w="60" w:type="dxa"/>
              <w:end w:w="110" w:type="dxa"/>
            </w:tcMar>
          </w:tcPr>
          <w:p>
            <w:pPr>
              <w:spacing w:after="0"/>
            </w:pPr>
            <w:r/>
            <w:r>
              <w:rPr>
                <w:rFonts w:ascii="Calibri" w:hAnsi="Calibri"/>
                <w:b w:val="0"/>
                <w:i w:val="0"/>
                <w:color w:val="101828"/>
                <w:sz w:val="14"/>
              </w:rPr>
              <w:t>Bottom navigation is not a shrunk top navigation; it is a different component with a different job.</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Filter bar</w:t>
            </w:r>
          </w:p>
        </w:tc>
        <w:tc>
          <w:tcPr>
            <w:tcW w:type="dxa" w:w="2333"/>
            <w:tcMar>
              <w:top w:w="60" w:type="dxa"/>
              <w:start w:w="110" w:type="dxa"/>
              <w:bottom w:w="60" w:type="dxa"/>
              <w:end w:w="110" w:type="dxa"/>
            </w:tcMar>
            <w:shd w:val="clear" w:color="auto" w:fill="F4F7FB"/>
          </w:tcPr>
          <w:p>
            <w:pPr>
              <w:spacing w:after="0"/>
            </w:pPr>
            <w:r/>
            <w:r>
              <w:rPr>
                <w:rFonts w:ascii="Calibri" w:hAnsi="Calibri"/>
                <w:b w:val="0"/>
                <w:i w:val="0"/>
                <w:color w:val="101828"/>
                <w:sz w:val="14"/>
              </w:rPr>
              <w:t>Segmented control or a filter sheet</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Single row of controls</w:t>
            </w:r>
          </w:p>
        </w:tc>
        <w:tc>
          <w:tcPr>
            <w:tcW w:type="dxa" w:w="2059"/>
            <w:tcMar>
              <w:top w:w="60" w:type="dxa"/>
              <w:start w:w="110" w:type="dxa"/>
              <w:bottom w:w="60" w:type="dxa"/>
              <w:end w:w="110" w:type="dxa"/>
            </w:tcMar>
            <w:shd w:val="clear" w:color="auto" w:fill="F4F7FB"/>
          </w:tcPr>
          <w:p>
            <w:pPr>
              <w:spacing w:after="0"/>
            </w:pPr>
            <w:r/>
            <w:r>
              <w:rPr>
                <w:rFonts w:ascii="Calibri" w:hAnsi="Calibri"/>
                <w:b w:val="0"/>
                <w:i w:val="0"/>
                <w:color w:val="101828"/>
                <w:sz w:val="14"/>
              </w:rPr>
              <w:t>Single row of counts plus controls</w:t>
            </w:r>
          </w:p>
        </w:tc>
        <w:tc>
          <w:tcPr>
            <w:tcW w:type="dxa" w:w="3139"/>
            <w:tcMar>
              <w:top w:w="60" w:type="dxa"/>
              <w:start w:w="110" w:type="dxa"/>
              <w:bottom w:w="60" w:type="dxa"/>
              <w:end w:w="110" w:type="dxa"/>
            </w:tcMar>
            <w:shd w:val="clear" w:color="auto" w:fill="F4F7FB"/>
          </w:tcPr>
          <w:p>
            <w:pPr>
              <w:spacing w:after="0"/>
            </w:pPr>
            <w:r/>
            <w:r>
              <w:rPr>
                <w:rFonts w:ascii="Calibri" w:hAnsi="Calibri"/>
                <w:b w:val="0"/>
                <w:i w:val="0"/>
                <w:color w:val="101828"/>
                <w:sz w:val="14"/>
              </w:rPr>
              <w:t>A filter that needs a sheet on mobile usually needs fewer filters.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Sticky behaviour</w:t>
            </w:r>
          </w:p>
        </w:tc>
        <w:tc>
          <w:tcPr>
            <w:tcW w:type="dxa" w:w="2333"/>
            <w:tcMar>
              <w:top w:w="60" w:type="dxa"/>
              <w:start w:w="110" w:type="dxa"/>
              <w:bottom w:w="60" w:type="dxa"/>
              <w:end w:w="110" w:type="dxa"/>
            </w:tcMar>
          </w:tcPr>
          <w:p>
            <w:pPr>
              <w:spacing w:after="0"/>
            </w:pPr>
            <w:r/>
            <w:r>
              <w:rPr>
                <w:rFonts w:ascii="Calibri" w:hAnsi="Calibri"/>
                <w:b w:val="0"/>
                <w:i w:val="0"/>
                <w:color w:val="101828"/>
                <w:sz w:val="14"/>
              </w:rPr>
              <w:t>Sticky bottom bar only, and only the tab bar</w:t>
            </w:r>
          </w:p>
        </w:tc>
        <w:tc>
          <w:tcPr>
            <w:tcW w:type="dxa" w:w="1224"/>
            <w:tcMar>
              <w:top w:w="60" w:type="dxa"/>
              <w:start w:w="110" w:type="dxa"/>
              <w:bottom w:w="60" w:type="dxa"/>
              <w:end w:w="110" w:type="dxa"/>
            </w:tcMar>
          </w:tcPr>
          <w:p>
            <w:pPr>
              <w:spacing w:after="0"/>
            </w:pPr>
            <w:r/>
            <w:r>
              <w:rPr>
                <w:rFonts w:ascii="Calibri" w:hAnsi="Calibri"/>
                <w:b w:val="0"/>
                <w:i w:val="0"/>
                <w:color w:val="101828"/>
                <w:sz w:val="14"/>
              </w:rPr>
              <w:t>Sticky footer with the page action</w:t>
            </w:r>
          </w:p>
        </w:tc>
        <w:tc>
          <w:tcPr>
            <w:tcW w:type="dxa" w:w="2059"/>
            <w:tcMar>
              <w:top w:w="60" w:type="dxa"/>
              <w:start w:w="110" w:type="dxa"/>
              <w:bottom w:w="60" w:type="dxa"/>
              <w:end w:w="110" w:type="dxa"/>
            </w:tcMar>
          </w:tcPr>
          <w:p>
            <w:pPr>
              <w:spacing w:after="0"/>
            </w:pPr>
            <w:r/>
            <w:r>
              <w:rPr>
                <w:rFonts w:ascii="Calibri" w:hAnsi="Calibri"/>
                <w:b w:val="0"/>
                <w:i w:val="0"/>
                <w:color w:val="101828"/>
                <w:sz w:val="14"/>
              </w:rPr>
              <w:t>Sticky header with the page action</w:t>
            </w:r>
          </w:p>
        </w:tc>
        <w:tc>
          <w:tcPr>
            <w:tcW w:type="dxa" w:w="3139"/>
            <w:tcMar>
              <w:top w:w="60" w:type="dxa"/>
              <w:start w:w="110" w:type="dxa"/>
              <w:bottom w:w="60" w:type="dxa"/>
              <w:end w:w="110" w:type="dxa"/>
            </w:tcMar>
          </w:tcPr>
          <w:p>
            <w:pPr>
              <w:spacing w:after="0"/>
            </w:pPr>
            <w:r/>
            <w:r>
              <w:rPr>
                <w:rFonts w:ascii="Calibri" w:hAnsi="Calibri"/>
                <w:b/>
                <w:color w:val="101828"/>
                <w:sz w:val="14"/>
              </w:rPr>
              <w:t>Sticky money buttons are prohibited</w:t>
            </w:r>
            <w:r>
              <w:rPr>
                <w:rFonts w:ascii="Calibri" w:hAnsi="Calibri"/>
                <w:b w:val="0"/>
                <w:i w:val="0"/>
                <w:color w:val="101828"/>
                <w:sz w:val="14"/>
              </w:rPr>
              <w:t xml:space="preserve"> on the pay, payout and dispute-decision screens.</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Image and avatar</w:t>
            </w:r>
          </w:p>
        </w:tc>
        <w:tc>
          <w:tcPr>
            <w:tcW w:type="dxa" w:w="2333"/>
            <w:tcMar>
              <w:top w:w="60" w:type="dxa"/>
              <w:start w:w="110" w:type="dxa"/>
              <w:bottom w:w="60" w:type="dxa"/>
              <w:end w:w="110" w:type="dxa"/>
            </w:tcMar>
            <w:shd w:val="clear" w:color="auto" w:fill="F4F7FB"/>
          </w:tcPr>
          <w:p>
            <w:pPr>
              <w:spacing w:after="0"/>
            </w:pPr>
            <w:r/>
            <w:r>
              <w:rPr>
                <w:rFonts w:ascii="Calibri" w:hAnsi="Calibri"/>
                <w:b w:val="0"/>
                <w:i w:val="0"/>
                <w:color w:val="101828"/>
                <w:sz w:val="14"/>
              </w:rPr>
              <w:t>40 px, initials fallback</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40 px</w:t>
            </w:r>
          </w:p>
        </w:tc>
        <w:tc>
          <w:tcPr>
            <w:tcW w:type="dxa" w:w="2059"/>
            <w:tcMar>
              <w:top w:w="60" w:type="dxa"/>
              <w:start w:w="110" w:type="dxa"/>
              <w:bottom w:w="60" w:type="dxa"/>
              <w:end w:w="110" w:type="dxa"/>
            </w:tcMar>
            <w:shd w:val="clear" w:color="auto" w:fill="F4F7FB"/>
          </w:tcPr>
          <w:p>
            <w:pPr>
              <w:spacing w:after="0"/>
            </w:pPr>
            <w:r/>
            <w:r>
              <w:rPr>
                <w:rFonts w:ascii="Calibri" w:hAnsi="Calibri"/>
                <w:b w:val="0"/>
                <w:i w:val="0"/>
                <w:color w:val="101828"/>
                <w:sz w:val="14"/>
              </w:rPr>
              <w:t>40 px in lists, 96 px on profiles</w:t>
            </w:r>
          </w:p>
        </w:tc>
        <w:tc>
          <w:tcPr>
            <w:tcW w:type="dxa" w:w="3139"/>
            <w:tcMar>
              <w:top w:w="60" w:type="dxa"/>
              <w:start w:w="110" w:type="dxa"/>
              <w:bottom w:w="60" w:type="dxa"/>
              <w:end w:w="110" w:type="dxa"/>
            </w:tcMar>
            <w:shd w:val="clear" w:color="auto" w:fill="F4F7FB"/>
          </w:tcPr>
          <w:p>
            <w:pPr>
              <w:spacing w:after="0"/>
            </w:pPr>
            <w:r/>
            <w:r>
              <w:rPr>
                <w:rFonts w:ascii="Calibri" w:hAnsi="Calibri"/>
                <w:b w:val="0"/>
                <w:i w:val="0"/>
                <w:color w:val="101828"/>
                <w:sz w:val="14"/>
              </w:rPr>
              <w:t>No default photographic avatar anywhere; initials or nothing.</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Empty state</w:t>
            </w:r>
          </w:p>
        </w:tc>
        <w:tc>
          <w:tcPr>
            <w:tcW w:type="dxa" w:w="2333"/>
            <w:tcMar>
              <w:top w:w="60" w:type="dxa"/>
              <w:start w:w="110" w:type="dxa"/>
              <w:bottom w:w="60" w:type="dxa"/>
              <w:end w:w="110" w:type="dxa"/>
            </w:tcMar>
          </w:tcPr>
          <w:p>
            <w:pPr>
              <w:spacing w:after="0"/>
            </w:pPr>
            <w:r/>
            <w:r>
              <w:rPr>
                <w:rFonts w:ascii="Calibri" w:hAnsi="Calibri"/>
                <w:b w:val="0"/>
                <w:i w:val="0"/>
                <w:color w:val="101828"/>
                <w:sz w:val="14"/>
              </w:rPr>
              <w:t>Centred in the content column, max 32ch measure</w:t>
            </w:r>
          </w:p>
        </w:tc>
        <w:tc>
          <w:tcPr>
            <w:tcW w:type="dxa" w:w="1224"/>
            <w:tcMar>
              <w:top w:w="60" w:type="dxa"/>
              <w:start w:w="110" w:type="dxa"/>
              <w:bottom w:w="60" w:type="dxa"/>
              <w:end w:w="110" w:type="dxa"/>
            </w:tcMar>
          </w:tcPr>
          <w:p>
            <w:pPr>
              <w:spacing w:after="0"/>
            </w:pPr>
            <w:r/>
            <w:r>
              <w:rPr>
                <w:rFonts w:ascii="Calibri" w:hAnsi="Calibri"/>
                <w:b w:val="0"/>
                <w:i w:val="0"/>
                <w:color w:val="101828"/>
                <w:sz w:val="14"/>
              </w:rPr>
              <w:t>Left-aligned at the top of the column</w:t>
            </w:r>
          </w:p>
        </w:tc>
        <w:tc>
          <w:tcPr>
            <w:tcW w:type="dxa" w:w="2059"/>
            <w:tcMar>
              <w:top w:w="60" w:type="dxa"/>
              <w:start w:w="110" w:type="dxa"/>
              <w:bottom w:w="60" w:type="dxa"/>
              <w:end w:w="110" w:type="dxa"/>
            </w:tcMar>
          </w:tcPr>
          <w:p>
            <w:pPr>
              <w:spacing w:after="0"/>
            </w:pPr>
            <w:r/>
            <w:r>
              <w:rPr>
                <w:rFonts w:ascii="Calibri" w:hAnsi="Calibri"/>
                <w:b w:val="0"/>
                <w:i w:val="0"/>
                <w:color w:val="101828"/>
                <w:sz w:val="14"/>
              </w:rPr>
              <w:t>Left-aligned at the top of the column</w:t>
            </w:r>
          </w:p>
        </w:tc>
        <w:tc>
          <w:tcPr>
            <w:tcW w:type="dxa" w:w="3139"/>
            <w:tcMar>
              <w:top w:w="60" w:type="dxa"/>
              <w:start w:w="110" w:type="dxa"/>
              <w:bottom w:w="60" w:type="dxa"/>
              <w:end w:w="110" w:type="dxa"/>
            </w:tcMar>
          </w:tcPr>
          <w:p>
            <w:pPr>
              <w:spacing w:after="0"/>
            </w:pPr>
            <w:r/>
            <w:r>
              <w:rPr>
                <w:rFonts w:ascii="Calibri" w:hAnsi="Calibri"/>
                <w:b w:val="0"/>
                <w:i w:val="0"/>
                <w:color w:val="101828"/>
                <w:sz w:val="14"/>
              </w:rPr>
              <w:t>An empty state is never centred because the content is centred; it is centred only on mobile, where there is no column.</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The 1024 px floor for the admin console  </w:t>
      </w:r>
      <w:r>
        <w:rPr>
          <w:rFonts w:ascii="Calibri" w:hAnsi="Calibri"/>
          <w:b w:val="0"/>
          <w:i w:val="0"/>
          <w:color w:val="0B1F3A"/>
          <w:sz w:val="19"/>
        </w:rPr>
        <w:t xml:space="preserve">The console is built for 768 px and above, and below 768 px it renders a </w:t>
      </w:r>
      <w:r>
        <w:rPr>
          <w:rFonts w:ascii="Calibri" w:hAnsi="Calibri"/>
          <w:i/>
          <w:color w:val="0B1F3A"/>
          <w:sz w:val="19"/>
        </w:rPr>
        <w:t>device not supported</w:t>
      </w:r>
      <w:r>
        <w:rPr>
          <w:rFonts w:ascii="Calibri" w:hAnsi="Calibri"/>
          <w:b w:val="0"/>
          <w:i w:val="0"/>
          <w:color w:val="0B1F3A"/>
          <w:sz w:val="19"/>
        </w:rPr>
        <w:t xml:space="preserve"> page rather than a squeezed layout. A console that half-works on a phone is worse than one that declines: the operations it performs are financial, and a decision made on a 6-inch screen with a horizontal scrollbar is a decision made without reading the ledger effect. The same page is shown to a member whose session expires on a small screen, and it explains that the console needs a larger screen rather than merely refusing.</w:t>
      </w:r>
    </w:p>
    <w:p>
      <w:pPr>
        <w:pStyle w:val="Heading2"/>
      </w:pPr>
      <w:r>
        <w:rPr>
          <w:rFonts w:ascii="Calibri" w:hAnsi="Calibri"/>
          <w:b/>
          <w:i w:val="0"/>
          <w:color w:val="146EF5"/>
          <w:sz w:val="29"/>
        </w:rPr>
        <w:t>6.35 Handoff checklist</w:t>
      </w:r>
    </w:p>
    <w:p>
      <w:r>
        <w:rPr>
          <w:rFonts w:ascii="Calibri" w:hAnsi="Calibri"/>
          <w:b w:val="0"/>
          <w:i w:val="0"/>
          <w:color w:val="101828"/>
          <w:sz w:val="21"/>
        </w:rPr>
        <w:t>The gate between this section and section 7. Nothing in section 7 may be started on a screen that has not passed this list, and nothing in the build may start on a screen that is not in this section. The list is short because the alternatives are either a designer inventing a region that engineering never agreed to, or a screen shipping without a fee disclosure.</w:t>
      </w:r>
    </w:p>
    <w:p>
      <w:pPr>
        <w:pStyle w:val="ListNumber"/>
        <w:spacing w:after="60"/>
        <w:ind w:left="432"/>
      </w:pPr>
      <w:r>
        <w:rPr>
          <w:rFonts w:ascii="Calibri" w:hAnsi="Calibri"/>
          <w:b/>
          <w:color w:val="101828"/>
          <w:sz w:val="21"/>
        </w:rPr>
        <w:t>Every screen has a region table.</w:t>
      </w:r>
      <w:r>
        <w:rPr>
          <w:rFonts w:ascii="Calibri" w:hAnsi="Calibri"/>
          <w:b w:val="0"/>
          <w:i w:val="0"/>
          <w:color w:val="101828"/>
          <w:sz w:val="21"/>
        </w:rPr>
        <w:t xml:space="preserve"> No region appears in a design that is not in the table, and no region in the table is missing from the design.</w:t>
      </w:r>
    </w:p>
    <w:p>
      <w:pPr>
        <w:pStyle w:val="ListNumber"/>
        <w:spacing w:after="60"/>
        <w:ind w:left="432"/>
      </w:pPr>
      <w:r>
        <w:rPr>
          <w:rFonts w:ascii="Calibri" w:hAnsi="Calibri"/>
          <w:b/>
          <w:color w:val="101828"/>
          <w:sz w:val="21"/>
        </w:rPr>
        <w:t>Every P1 region is present.</w:t>
      </w:r>
      <w:r>
        <w:rPr>
          <w:rFonts w:ascii="Calibri" w:hAnsi="Calibri"/>
          <w:b w:val="0"/>
          <w:i w:val="0"/>
          <w:color w:val="101828"/>
          <w:sz w:val="21"/>
        </w:rPr>
        <w:t xml:space="preserve"> P2 regions may be deferred to a second release, and the deferral is recorded, not assumed.</w:t>
      </w:r>
    </w:p>
    <w:p>
      <w:pPr>
        <w:pStyle w:val="ListNumber"/>
        <w:spacing w:after="60"/>
        <w:ind w:left="432"/>
      </w:pPr>
      <w:r>
        <w:rPr>
          <w:rFonts w:ascii="Calibri" w:hAnsi="Calibri"/>
          <w:b/>
          <w:color w:val="101828"/>
          <w:sz w:val="21"/>
        </w:rPr>
        <w:t>Every money screen carries the fee disclosure.</w:t>
      </w:r>
      <w:r>
        <w:rPr>
          <w:rFonts w:ascii="Calibri" w:hAnsi="Calibri"/>
          <w:b w:val="0"/>
          <w:i w:val="0"/>
          <w:color w:val="101828"/>
          <w:sz w:val="21"/>
        </w:rPr>
        <w:t xml:space="preserve"> Contribution, fee, and total charged, as three separate figures, on the pay screen, the receipt, the Ajo detail screen, and the join confirmation. This is the check most likely to be failed by a redesign and the most expensive to fail.</w:t>
      </w:r>
    </w:p>
    <w:p>
      <w:pPr>
        <w:pStyle w:val="ListNumber"/>
        <w:spacing w:after="60"/>
        <w:ind w:left="432"/>
      </w:pPr>
      <w:r>
        <w:rPr>
          <w:rFonts w:ascii="Calibri" w:hAnsi="Calibri"/>
          <w:b/>
          <w:color w:val="101828"/>
          <w:sz w:val="21"/>
        </w:rPr>
        <w:t>Every base-pool figure is labelled as the base pool</w:t>
      </w:r>
      <w:r>
        <w:rPr>
          <w:rFonts w:ascii="Calibri" w:hAnsi="Calibri"/>
          <w:b w:val="0"/>
          <w:i w:val="0"/>
          <w:color w:val="101828"/>
          <w:sz w:val="21"/>
        </w:rPr>
        <w:t>, with the derivation shown, and with the sentence that the fee is not part of the pool.</w:t>
      </w:r>
    </w:p>
    <w:p>
      <w:pPr>
        <w:pStyle w:val="ListNumber"/>
        <w:spacing w:after="60"/>
        <w:ind w:left="432"/>
      </w:pPr>
      <w:r>
        <w:rPr>
          <w:rFonts w:ascii="Calibri" w:hAnsi="Calibri"/>
          <w:b/>
          <w:color w:val="101828"/>
          <w:sz w:val="21"/>
        </w:rPr>
        <w:t>Every state in the two state machines has a designed screen.</w:t>
      </w:r>
      <w:r>
        <w:rPr>
          <w:rFonts w:ascii="Calibri" w:hAnsi="Calibri"/>
          <w:b w:val="0"/>
          <w:i w:val="0"/>
          <w:color w:val="101828"/>
          <w:sz w:val="21"/>
        </w:rPr>
        <w:t xml:space="preserve"> Contribution: pending, paid, overdue, grace, defaulted, recovered, written off. Payment: initiated, pending, success, failed, cancelled, reversed, unknown. Payout: scheduled, funding, released, success, failed, held, and the retry. A missing state is the defect that produces a support ticket nobody can answer from a screenshot.</w:t>
      </w:r>
    </w:p>
    <w:p>
      <w:pPr>
        <w:pStyle w:val="ListNumber"/>
        <w:spacing w:after="60"/>
        <w:ind w:left="432"/>
      </w:pPr>
      <w:r>
        <w:rPr>
          <w:rFonts w:ascii="Calibri" w:hAnsi="Calibri"/>
          <w:b/>
          <w:color w:val="101828"/>
          <w:sz w:val="21"/>
        </w:rPr>
        <w:t>Every empty, loading, and error state is drawn.</w:t>
      </w:r>
      <w:r>
        <w:rPr>
          <w:rFonts w:ascii="Calibri" w:hAnsi="Calibri"/>
          <w:b w:val="0"/>
          <w:i w:val="0"/>
          <w:color w:val="101828"/>
          <w:sz w:val="21"/>
        </w:rPr>
        <w:t xml:space="preserve"> Not described — drawn. They are regions like any other.</w:t>
      </w:r>
    </w:p>
    <w:p>
      <w:pPr>
        <w:pStyle w:val="ListNumber"/>
        <w:spacing w:after="60"/>
        <w:ind w:left="432"/>
      </w:pPr>
      <w:r>
        <w:rPr>
          <w:rFonts w:ascii="Calibri" w:hAnsi="Calibri"/>
          <w:b/>
          <w:color w:val="101828"/>
          <w:sz w:val="21"/>
        </w:rPr>
        <w:t>Every claim about money is a rendered server value.</w:t>
      </w:r>
      <w:r>
        <w:rPr>
          <w:rFonts w:ascii="Calibri" w:hAnsi="Calibri"/>
          <w:b w:val="0"/>
          <w:i w:val="0"/>
          <w:color w:val="101828"/>
          <w:sz w:val="21"/>
        </w:rPr>
        <w:t xml:space="preserve"> No client-side computation of a fee, a pool, a payout, or a balance appears anywhere in the implementation.</w:t>
      </w:r>
    </w:p>
    <w:p>
      <w:pPr>
        <w:pStyle w:val="ListNumber"/>
        <w:spacing w:after="60"/>
        <w:ind w:left="432"/>
      </w:pPr>
      <w:r>
        <w:rPr>
          <w:rFonts w:ascii="Calibri" w:hAnsi="Calibri"/>
          <w:b/>
          <w:color w:val="101828"/>
          <w:sz w:val="21"/>
        </w:rPr>
        <w:t>Every irreversible action states what it locks</w:t>
      </w:r>
      <w:r>
        <w:rPr>
          <w:rFonts w:ascii="Calibri" w:hAnsi="Calibri"/>
          <w:b w:val="0"/>
          <w:i w:val="0"/>
          <w:color w:val="101828"/>
          <w:sz w:val="21"/>
        </w:rPr>
        <w:t xml:space="preserve"> before the action, not after: activation locking positions, verification locking a number, a dispute decision closing the thread.</w:t>
      </w:r>
    </w:p>
    <w:p>
      <w:pPr>
        <w:pStyle w:val="ListNumber"/>
        <w:spacing w:after="60"/>
        <w:ind w:left="432"/>
      </w:pPr>
      <w:r>
        <w:rPr>
          <w:rFonts w:ascii="Calibri" w:hAnsi="Calibri"/>
          <w:b/>
          <w:color w:val="101828"/>
          <w:sz w:val="21"/>
        </w:rPr>
        <w:t>Every open decision is labelled where it is visible.</w:t>
      </w:r>
      <w:r>
        <w:rPr>
          <w:rFonts w:ascii="Calibri" w:hAnsi="Calibri"/>
          <w:b w:val="0"/>
          <w:i w:val="0"/>
          <w:color w:val="101828"/>
          <w:sz w:val="21"/>
        </w:rPr>
        <w:t xml:space="preserve"> D-02, D-03, D-04 and D-08 appear on the screens they constrain, and no screen asserts a resolution it does not have.</w:t>
      </w:r>
    </w:p>
    <w:p>
      <w:pPr>
        <w:pStyle w:val="ListNumber"/>
        <w:spacing w:after="60"/>
        <w:ind w:left="432"/>
      </w:pPr>
      <w:r>
        <w:rPr>
          <w:rFonts w:ascii="Calibri" w:hAnsi="Calibri"/>
          <w:b/>
          <w:color w:val="101828"/>
          <w:sz w:val="21"/>
        </w:rPr>
        <w:t>No compliance claim appears anywhere.</w:t>
      </w:r>
      <w:r>
        <w:rPr>
          <w:rFonts w:ascii="Calibri" w:hAnsi="Calibri"/>
          <w:b w:val="0"/>
          <w:i w:val="0"/>
          <w:color w:val="101828"/>
          <w:sz w:val="21"/>
        </w:rPr>
        <w:t xml:space="preserve"> No </w:t>
      </w:r>
      <w:r>
        <w:rPr>
          <w:rFonts w:ascii="Calibri" w:hAnsi="Calibri"/>
          <w:i/>
          <w:color w:val="101828"/>
          <w:sz w:val="21"/>
        </w:rPr>
        <w:t>licensed</w:t>
      </w:r>
      <w:r>
        <w:rPr>
          <w:rFonts w:ascii="Calibri" w:hAnsi="Calibri"/>
          <w:b w:val="0"/>
          <w:i w:val="0"/>
          <w:color w:val="101828"/>
          <w:sz w:val="21"/>
        </w:rPr>
        <w:t xml:space="preserve">, </w:t>
      </w:r>
      <w:r>
        <w:rPr>
          <w:rFonts w:ascii="Calibri" w:hAnsi="Calibri"/>
          <w:i/>
          <w:color w:val="101828"/>
          <w:sz w:val="21"/>
        </w:rPr>
        <w:t>approved</w:t>
      </w:r>
      <w:r>
        <w:rPr>
          <w:rFonts w:ascii="Calibri" w:hAnsi="Calibri"/>
          <w:b w:val="0"/>
          <w:i w:val="0"/>
          <w:color w:val="101828"/>
          <w:sz w:val="21"/>
        </w:rPr>
        <w:t xml:space="preserve">, </w:t>
      </w:r>
      <w:r>
        <w:rPr>
          <w:rFonts w:ascii="Calibri" w:hAnsi="Calibri"/>
          <w:i/>
          <w:color w:val="101828"/>
          <w:sz w:val="21"/>
        </w:rPr>
        <w:t>regulated</w:t>
      </w:r>
      <w:r>
        <w:rPr>
          <w:rFonts w:ascii="Calibri" w:hAnsi="Calibri"/>
          <w:b w:val="0"/>
          <w:i w:val="0"/>
          <w:color w:val="101828"/>
          <w:sz w:val="21"/>
        </w:rPr>
        <w:t xml:space="preserve">, </w:t>
      </w:r>
      <w:r>
        <w:rPr>
          <w:rFonts w:ascii="Calibri" w:hAnsi="Calibri"/>
          <w:i/>
          <w:color w:val="101828"/>
          <w:sz w:val="21"/>
        </w:rPr>
        <w:t>insured</w:t>
      </w:r>
      <w:r>
        <w:rPr>
          <w:rFonts w:ascii="Calibri" w:hAnsi="Calibri"/>
          <w:b w:val="0"/>
          <w:i w:val="0"/>
          <w:color w:val="101828"/>
          <w:sz w:val="21"/>
        </w:rPr>
        <w:t xml:space="preserve">, or </w:t>
      </w:r>
      <w:r>
        <w:rPr>
          <w:rFonts w:ascii="Calibri" w:hAnsi="Calibri"/>
          <w:i/>
          <w:color w:val="101828"/>
          <w:sz w:val="21"/>
        </w:rPr>
        <w:t>secured in escrow</w:t>
      </w:r>
      <w:r>
        <w:rPr>
          <w:rFonts w:ascii="Calibri" w:hAnsi="Calibri"/>
          <w:b w:val="0"/>
          <w:i w:val="0"/>
          <w:color w:val="101828"/>
          <w:sz w:val="21"/>
        </w:rPr>
        <w:t>. Where a fact depends on ProvidusUnity or on counsel, the copy says so.</w:t>
      </w:r>
    </w:p>
    <w:p>
      <w:pPr>
        <w:pStyle w:val="ListNumber"/>
        <w:spacing w:after="60"/>
        <w:ind w:left="432"/>
      </w:pPr>
      <w:r>
        <w:rPr>
          <w:rFonts w:ascii="Calibri" w:hAnsi="Calibri"/>
          <w:b/>
          <w:color w:val="101828"/>
          <w:sz w:val="21"/>
        </w:rPr>
        <w:t>Every screen below 1024 px on the console renders the unsupported-device page</w:t>
      </w:r>
      <w:r>
        <w:rPr>
          <w:rFonts w:ascii="Calibri" w:hAnsi="Calibri"/>
          <w:b w:val="0"/>
          <w:i w:val="0"/>
          <w:color w:val="101828"/>
          <w:sz w:val="21"/>
        </w:rPr>
        <w:t xml:space="preserve"> rather than a squeezed layout.</w:t>
      </w:r>
    </w:p>
    <w:p>
      <w:pPr>
        <w:pStyle w:val="ListNumber"/>
        <w:spacing w:after="60"/>
        <w:ind w:left="432"/>
      </w:pPr>
      <w:r>
        <w:rPr>
          <w:rFonts w:ascii="Calibri" w:hAnsi="Calibri"/>
          <w:b/>
          <w:color w:val="101828"/>
          <w:sz w:val="21"/>
        </w:rPr>
        <w:t>Every interactive target is at least 44 by 44 CSS pixels</w:t>
      </w:r>
      <w:r>
        <w:rPr>
          <w:rFonts w:ascii="Calibri" w:hAnsi="Calibri"/>
          <w:b w:val="0"/>
          <w:i w:val="0"/>
          <w:color w:val="101828"/>
          <w:sz w:val="21"/>
        </w:rPr>
        <w:t xml:space="preserve"> on touch viewports, and every drag interaction has a non-drag equivalent.</w:t>
      </w:r>
    </w:p>
    <w:p>
      <w:pPr>
        <w:spacing w:before="140" w:after="180"/>
        <w:ind w:left="144"/>
        <w:shd w:val="clear" w:color="auto" w:fill="E0F2FE"/>
        <w:pBdr>
          <w:left w:val="single" w:sz="18" w:space="6" w:color="22C7D6"/>
        </w:pBdr>
      </w:pPr>
      <w:r>
        <w:rPr>
          <w:rFonts w:ascii="Calibri" w:hAnsi="Calibri"/>
          <w:b/>
          <w:color w:val="22C7D6"/>
          <w:sz w:val="19"/>
        </w:rPr>
        <w:t xml:space="preserve">What this section deliberately does not specify  </w:t>
      </w:r>
      <w:r>
        <w:rPr>
          <w:rFonts w:ascii="Calibri" w:hAnsi="Calibri"/>
          <w:b w:val="0"/>
          <w:i w:val="0"/>
          <w:color w:val="0B1F3A"/>
          <w:sz w:val="19"/>
        </w:rPr>
        <w:t xml:space="preserve">Type sizes, colour values, spacing scales, corner radii, iconography, illustration, motion, and dark mode are all out of scope here and are specified in section 7. The reason for the boundary is that those decisions are reversible and these are not: a designer can change a radius without invalidating a wireframe, and a designer cannot change the position of the fee disclosure without invalidating the fee model's disclosure. </w:t>
      </w:r>
      <w:r>
        <w:rPr>
          <w:rFonts w:ascii="Calibri" w:hAnsi="Calibri"/>
          <w:b/>
          <w:color w:val="0B1F3A"/>
          <w:sz w:val="19"/>
        </w:rPr>
        <w:t>Anything moved from section 7 into section 6 has to justify itself against that asymmetry</w:t>
      </w:r>
      <w:r>
        <w:rPr>
          <w:rFonts w:ascii="Calibri" w:hAnsi="Calibri"/>
          <w:b w:val="0"/>
          <w:i w:val="0"/>
          <w:color w:val="0B1F3A"/>
          <w:sz w:val="19"/>
        </w:rPr>
        <w:t>, and the natural candidates — dark mode, motion, and type scale — do not.</w:t>
      </w:r>
    </w:p>
    <w:p>
      <w:pPr>
        <w:spacing w:before="140" w:after="180"/>
        <w:ind w:left="144"/>
        <w:shd w:val="clear" w:color="auto" w:fill="EFF6FF"/>
        <w:pBdr>
          <w:left w:val="single" w:sz="18" w:space="6" w:color="146EF5"/>
        </w:pBdr>
      </w:pPr>
      <w:r>
        <w:rPr>
          <w:rFonts w:ascii="Calibri" w:hAnsi="Calibri"/>
          <w:b/>
          <w:color w:val="146EF5"/>
          <w:sz w:val="19"/>
        </w:rPr>
        <w:t xml:space="preserve">Traceability back to section 3  </w:t>
      </w:r>
      <w:r>
        <w:rPr>
          <w:rFonts w:ascii="Calibri" w:hAnsi="Calibri"/>
          <w:b w:val="0"/>
          <w:i w:val="0"/>
          <w:color w:val="0B1F3A"/>
          <w:sz w:val="19"/>
        </w:rPr>
        <w:t xml:space="preserve">Every screen in this section carries a </w:t>
      </w:r>
      <w:r>
        <w:rPr>
          <w:rFonts w:ascii="Consolas" w:hAnsi="Consolas"/>
          <w:color w:val="146EF5"/>
          <w:sz w:val="19"/>
        </w:rPr>
        <w:t>SCR-WEB-nn</w:t>
      </w:r>
      <w:r>
        <w:rPr>
          <w:rFonts w:ascii="Calibri" w:hAnsi="Calibri"/>
          <w:b w:val="0"/>
          <w:i w:val="0"/>
          <w:color w:val="0B1F3A"/>
          <w:sz w:val="19"/>
        </w:rPr>
        <w:t xml:space="preserve">, </w:t>
      </w:r>
      <w:r>
        <w:rPr>
          <w:rFonts w:ascii="Consolas" w:hAnsi="Consolas"/>
          <w:color w:val="146EF5"/>
          <w:sz w:val="19"/>
        </w:rPr>
        <w:t>SCR-MOB-nn</w:t>
      </w:r>
      <w:r>
        <w:rPr>
          <w:rFonts w:ascii="Calibri" w:hAnsi="Calibri"/>
          <w:b w:val="0"/>
          <w:i w:val="0"/>
          <w:color w:val="0B1F3A"/>
          <w:sz w:val="19"/>
        </w:rPr>
        <w:t xml:space="preserve"> or </w:t>
      </w:r>
      <w:r>
        <w:rPr>
          <w:rFonts w:ascii="Consolas" w:hAnsi="Consolas"/>
          <w:color w:val="146EF5"/>
          <w:sz w:val="19"/>
        </w:rPr>
        <w:t>SCR-ADM-nn</w:t>
      </w:r>
      <w:r>
        <w:rPr>
          <w:rFonts w:ascii="Calibri" w:hAnsi="Calibri"/>
          <w:b w:val="0"/>
          <w:i w:val="0"/>
          <w:color w:val="0B1F3A"/>
          <w:sz w:val="19"/>
        </w:rPr>
        <w:t xml:space="preserve"> identifier from the reconciliation table at 3.6.4. Section 2 used the </w:t>
      </w:r>
      <w:r>
        <w:rPr>
          <w:rFonts w:ascii="Consolas" w:hAnsi="Consolas"/>
          <w:color w:val="146EF5"/>
          <w:sz w:val="19"/>
        </w:rPr>
        <w:t>SCR-MKT</w:t>
      </w:r>
      <w:r>
        <w:rPr>
          <w:rFonts w:ascii="Calibri" w:hAnsi="Calibri"/>
          <w:b w:val="0"/>
          <w:i w:val="0"/>
          <w:color w:val="0B1F3A"/>
          <w:sz w:val="19"/>
        </w:rPr>
        <w:t xml:space="preserve">, </w:t>
      </w:r>
      <w:r>
        <w:rPr>
          <w:rFonts w:ascii="Consolas" w:hAnsi="Consolas"/>
          <w:color w:val="146EF5"/>
          <w:sz w:val="19"/>
        </w:rPr>
        <w:t>SCR-APP</w:t>
      </w:r>
      <w:r>
        <w:rPr>
          <w:rFonts w:ascii="Calibri" w:hAnsi="Calibri"/>
          <w:b w:val="0"/>
          <w:i w:val="0"/>
          <w:color w:val="0B1F3A"/>
          <w:sz w:val="19"/>
        </w:rPr>
        <w:t xml:space="preserve"> and </w:t>
      </w:r>
      <w:r>
        <w:rPr>
          <w:rFonts w:ascii="Consolas" w:hAnsi="Consolas"/>
          <w:color w:val="146EF5"/>
          <w:sz w:val="19"/>
        </w:rPr>
        <w:t>SCR-ADM</w:t>
      </w:r>
      <w:r>
        <w:rPr>
          <w:rFonts w:ascii="Calibri" w:hAnsi="Calibri"/>
          <w:b w:val="0"/>
          <w:i w:val="0"/>
          <w:color w:val="0B1F3A"/>
          <w:sz w:val="19"/>
        </w:rPr>
        <w:t xml:space="preserve"> prefixes, and those names remain in use in that document; the mapping is published in 3.6.4 so a reader holding either document can move between them. The identifiers here are the ones to quote in design files, in pull requests, in analytics events, and in support macros, and </w:t>
      </w:r>
      <w:r>
        <w:rPr>
          <w:rFonts w:ascii="Calibri" w:hAnsi="Calibri"/>
          <w:b/>
          <w:color w:val="0B1F3A"/>
          <w:sz w:val="19"/>
        </w:rPr>
        <w:t>a screen is not considered specified until its identifier appears in this section, its route appears in section 3, and its flow appears in section 2</w:t>
      </w:r>
      <w:r>
        <w:rPr>
          <w:rFonts w:ascii="Calibri" w:hAnsi="Calibri"/>
          <w:b w:val="0"/>
          <w:i w:val="0"/>
          <w:color w:val="0B1F3A"/>
          <w:sz w:val="19"/>
        </w:rPr>
        <w:t>.</w:t>
      </w:r>
    </w:p>
    <w:p>
      <w:r>
        <w:br w:type="page"/>
      </w:r>
    </w:p>
    <w:p>
      <w:pPr>
        <w:pStyle w:val="Heading1"/>
        <w:pBdr>
          <w:bottom w:val="single" w:sz="12" w:space="6" w:color="146EF5"/>
        </w:pBdr>
        <w:spacing w:after="240"/>
      </w:pPr>
      <w:r>
        <w:rPr>
          <w:rFonts w:ascii="Calibri" w:hAnsi="Calibri"/>
          <w:b/>
          <w:i w:val="0"/>
          <w:color w:val="0B1F3A"/>
          <w:sz w:val="40"/>
        </w:rPr>
        <w:t>7. High-Fidelity UI Specification</w:t>
      </w:r>
    </w:p>
    <w:p>
      <w:pPr>
        <w:spacing w:after="200"/>
      </w:pPr>
      <w:r>
        <w:rPr>
          <w:rFonts w:ascii="Calibri" w:hAnsi="Calibri"/>
          <w:b w:val="0"/>
          <w:i w:val="0"/>
          <w:color w:val="475467"/>
          <w:sz w:val="24"/>
        </w:rPr>
        <w:t>The visual system for AJO.ng: the tokens, the components, the states, and the rules that decide between them. It is written for two audiences at once, a designer producing the interface and an engineer implementing it, and it assumes both can read a table. Where a decision has a trade-off it is stated with the alternative that was rejected, because a rule with no stated alternative is a rule that gets re-litigated by the next person who disagrees with it.</w:t>
      </w:r>
    </w:p>
    <w:p>
      <w:pPr>
        <w:pStyle w:val="Heading2"/>
      </w:pPr>
      <w:r>
        <w:rPr>
          <w:rFonts w:ascii="Calibri" w:hAnsi="Calibri"/>
          <w:b/>
          <w:i w:val="0"/>
          <w:color w:val="146EF5"/>
          <w:sz w:val="29"/>
        </w:rPr>
        <w:t>7.1 Purpose, scope, and how to read this section</w:t>
      </w:r>
    </w:p>
    <w:p>
      <w:r>
        <w:rPr>
          <w:rFonts w:ascii="Calibri" w:hAnsi="Calibri"/>
          <w:b w:val="0"/>
          <w:i w:val="0"/>
          <w:color w:val="101828"/>
          <w:sz w:val="21"/>
        </w:rPr>
        <w:t>This section exists to make the interface legible to people who do not already trust it. That is the design problem, stated plainly: AJO.ng asks for a bank account, an identity document, and a standing commitment to pay a fixed amount on a fixed day, from people who are used to being asked for none of it. Every visual decision below is judged against that, and a rule that is merely tidy is not enough reason to keep it.</w:t>
      </w:r>
    </w:p>
    <w:p>
      <w:pPr>
        <w:pStyle w:val="Heading3"/>
      </w:pPr>
      <w:r>
        <w:rPr>
          <w:rFonts w:ascii="Calibri" w:hAnsi="Calibri"/>
          <w:b/>
          <w:i w:val="0"/>
          <w:color w:val="0B1F3A"/>
          <w:sz w:val="24"/>
        </w:rPr>
        <w:t>7.1.1 What this section specifies</w:t>
      </w:r>
    </w:p>
    <w:p>
      <w:pPr>
        <w:pStyle w:val="ListBullet"/>
        <w:spacing w:after="60"/>
        <w:ind w:left="360"/>
      </w:pPr>
      <w:r>
        <w:rPr>
          <w:rFonts w:ascii="Calibri" w:hAnsi="Calibri"/>
          <w:b/>
          <w:color w:val="101828"/>
          <w:sz w:val="21"/>
        </w:rPr>
        <w:t>Tokens</w:t>
      </w:r>
      <w:r>
        <w:rPr>
          <w:rFonts w:ascii="Calibri" w:hAnsi="Calibri"/>
          <w:b w:val="0"/>
          <w:i w:val="0"/>
          <w:color w:val="101828"/>
          <w:sz w:val="21"/>
        </w:rPr>
        <w:t xml:space="preserve"> — colour, type, space, radius, elevation, motion duration — as named values with one definition each, in 7.3 to 7.5 and 7.13.</w:t>
      </w:r>
    </w:p>
    <w:p>
      <w:pPr>
        <w:pStyle w:val="ListBullet"/>
        <w:spacing w:after="60"/>
        <w:ind w:left="360"/>
      </w:pPr>
      <w:r>
        <w:rPr>
          <w:rFonts w:ascii="Calibri" w:hAnsi="Calibri"/>
          <w:b/>
          <w:color w:val="101828"/>
          <w:sz w:val="21"/>
        </w:rPr>
        <w:t>Components</w:t>
      </w:r>
      <w:r>
        <w:rPr>
          <w:rFonts w:ascii="Calibri" w:hAnsi="Calibri"/>
          <w:b w:val="0"/>
          <w:i w:val="0"/>
          <w:color w:val="101828"/>
          <w:sz w:val="21"/>
        </w:rPr>
        <w:t xml:space="preserve"> — the reusable pieces a section 6 region is built from, with their states and their behaviour, in 7.7, 7.8, 7.11, 7.12 and 7.15.</w:t>
      </w:r>
    </w:p>
    <w:p>
      <w:pPr>
        <w:pStyle w:val="ListBullet"/>
        <w:spacing w:after="60"/>
        <w:ind w:left="360"/>
      </w:pPr>
      <w:r>
        <w:rPr>
          <w:rFonts w:ascii="Calibri" w:hAnsi="Calibri"/>
          <w:b/>
          <w:color w:val="101828"/>
          <w:sz w:val="21"/>
        </w:rPr>
        <w:t>Screen-level composition</w:t>
      </w:r>
      <w:r>
        <w:rPr>
          <w:rFonts w:ascii="Calibri" w:hAnsi="Calibri"/>
          <w:b w:val="0"/>
          <w:i w:val="0"/>
          <w:color w:val="101828"/>
          <w:sz w:val="21"/>
        </w:rPr>
        <w:t xml:space="preserve"> — one screen specified in full, the dashboard, in 7.9, because it is the screen every member sees first and the one whose hierarchy decides whether the product feels like a bank or like a list.</w:t>
      </w:r>
    </w:p>
    <w:p>
      <w:pPr>
        <w:pStyle w:val="ListBullet"/>
        <w:spacing w:after="60"/>
        <w:ind w:left="360"/>
      </w:pPr>
      <w:r>
        <w:rPr>
          <w:rFonts w:ascii="Calibri" w:hAnsi="Calibri"/>
          <w:b/>
          <w:color w:val="101828"/>
          <w:sz w:val="21"/>
        </w:rPr>
        <w:t>Data visualisation</w:t>
      </w:r>
      <w:r>
        <w:rPr>
          <w:rFonts w:ascii="Calibri" w:hAnsi="Calibri"/>
          <w:b w:val="0"/>
          <w:i w:val="0"/>
          <w:color w:val="101828"/>
          <w:sz w:val="21"/>
        </w:rPr>
        <w:t xml:space="preserve"> — the chart forms that are permitted, the ones that are not, and the accessibility rules they carry, in 7.10.</w:t>
      </w:r>
    </w:p>
    <w:p>
      <w:pPr>
        <w:pStyle w:val="ListBullet"/>
        <w:spacing w:after="60"/>
        <w:ind w:left="360"/>
      </w:pPr>
      <w:r>
        <w:rPr>
          <w:rFonts w:ascii="Calibri" w:hAnsi="Calibri"/>
          <w:b/>
          <w:color w:val="101828"/>
          <w:sz w:val="21"/>
        </w:rPr>
        <w:t>Motion</w:t>
      </w:r>
      <w:r>
        <w:rPr>
          <w:rFonts w:ascii="Calibri" w:hAnsi="Calibri"/>
          <w:b w:val="0"/>
          <w:i w:val="0"/>
          <w:color w:val="101828"/>
          <w:sz w:val="21"/>
        </w:rPr>
        <w:t xml:space="preserve"> — durations, easing, and the reduced-motion contract, in 7.13.</w:t>
      </w:r>
    </w:p>
    <w:p>
      <w:pPr>
        <w:pStyle w:val="ListBullet"/>
        <w:spacing w:after="60"/>
        <w:ind w:left="360"/>
      </w:pPr>
      <w:r>
        <w:rPr>
          <w:rFonts w:ascii="Calibri" w:hAnsi="Calibri"/>
          <w:b/>
          <w:color w:val="101828"/>
          <w:sz w:val="21"/>
        </w:rPr>
        <w:t>Accessibility</w:t>
      </w:r>
      <w:r>
        <w:rPr>
          <w:rFonts w:ascii="Calibri" w:hAnsi="Calibri"/>
          <w:b w:val="0"/>
          <w:i w:val="0"/>
          <w:color w:val="101828"/>
          <w:sz w:val="21"/>
        </w:rPr>
        <w:t xml:space="preserve"> — the WCAG 2.2 AA target and the specific ways this product fails people without it, in 7.14.</w:t>
      </w:r>
    </w:p>
    <w:p>
      <w:pPr>
        <w:pStyle w:val="ListBullet"/>
        <w:spacing w:after="60"/>
        <w:ind w:left="360"/>
      </w:pPr>
      <w:r>
        <w:rPr>
          <w:rFonts w:ascii="Calibri" w:hAnsi="Calibri"/>
          <w:b/>
          <w:color w:val="101828"/>
          <w:sz w:val="21"/>
        </w:rPr>
        <w:t>Dark mode</w:t>
      </w:r>
      <w:r>
        <w:rPr>
          <w:rFonts w:ascii="Calibri" w:hAnsi="Calibri"/>
          <w:b w:val="0"/>
          <w:i w:val="0"/>
          <w:color w:val="101828"/>
          <w:sz w:val="21"/>
        </w:rPr>
        <w:t xml:space="preserve"> — an explicit MVP and deferred decision, in 7.16.</w:t>
      </w:r>
    </w:p>
    <w:p>
      <w:pPr>
        <w:pStyle w:val="Heading3"/>
      </w:pPr>
      <w:r>
        <w:rPr>
          <w:rFonts w:ascii="Calibri" w:hAnsi="Calibri"/>
          <w:b/>
          <w:i w:val="0"/>
          <w:color w:val="0B1F3A"/>
          <w:sz w:val="24"/>
        </w:rPr>
        <w:t>7.1.2 What this section does not specify</w:t>
      </w:r>
    </w:p>
    <w:p>
      <w:pPr>
        <w:pStyle w:val="ListBullet"/>
        <w:spacing w:after="60"/>
        <w:ind w:left="360"/>
      </w:pPr>
      <w:r>
        <w:rPr>
          <w:rFonts w:ascii="Calibri" w:hAnsi="Calibri"/>
          <w:b/>
          <w:color w:val="101828"/>
          <w:sz w:val="21"/>
        </w:rPr>
        <w:t>Screens or regions.</w:t>
      </w:r>
      <w:r>
        <w:rPr>
          <w:rFonts w:ascii="Calibri" w:hAnsi="Calibri"/>
          <w:b w:val="0"/>
          <w:i w:val="0"/>
          <w:color w:val="101828"/>
          <w:sz w:val="21"/>
        </w:rPr>
        <w:t xml:space="preserve"> Section 6 owns that. A design that needs a region the wireframe does not have changes section 6 first.</w:t>
      </w:r>
    </w:p>
    <w:p>
      <w:pPr>
        <w:pStyle w:val="ListBullet"/>
        <w:spacing w:after="60"/>
        <w:ind w:left="360"/>
      </w:pPr>
      <w:r>
        <w:rPr>
          <w:rFonts w:ascii="Calibri" w:hAnsi="Calibri"/>
          <w:b/>
          <w:color w:val="101828"/>
          <w:sz w:val="21"/>
        </w:rPr>
        <w:t>Marketing copy beyond the fee and the tagline.</w:t>
      </w:r>
      <w:r>
        <w:rPr>
          <w:rFonts w:ascii="Calibri" w:hAnsi="Calibri"/>
          <w:b w:val="0"/>
          <w:i w:val="0"/>
          <w:color w:val="101828"/>
          <w:sz w:val="21"/>
        </w:rPr>
        <w:t xml:space="preserve"> Copy is a product decision, not a design system decision, and the only copy fixed here is copy that is regulated by the fee model.</w:t>
      </w:r>
    </w:p>
    <w:p>
      <w:pPr>
        <w:pStyle w:val="ListBullet"/>
        <w:spacing w:after="60"/>
        <w:ind w:left="360"/>
      </w:pPr>
      <w:r>
        <w:rPr>
          <w:rFonts w:ascii="Calibri" w:hAnsi="Calibri"/>
          <w:b/>
          <w:color w:val="101828"/>
          <w:sz w:val="21"/>
        </w:rPr>
        <w:t>Illustration and photography direction.</w:t>
      </w:r>
      <w:r>
        <w:rPr>
          <w:rFonts w:ascii="Calibri" w:hAnsi="Calibri"/>
          <w:b w:val="0"/>
          <w:i w:val="0"/>
          <w:color w:val="101828"/>
          <w:sz w:val="21"/>
        </w:rPr>
        <w:t xml:space="preserve"> 7.6 covers the rules that constrain them; the direction itself belongs to whoever owns the brand.</w:t>
      </w:r>
    </w:p>
    <w:p>
      <w:pPr>
        <w:pStyle w:val="ListBullet"/>
        <w:spacing w:after="60"/>
        <w:ind w:left="360"/>
      </w:pPr>
      <w:r>
        <w:rPr>
          <w:rFonts w:ascii="Calibri" w:hAnsi="Calibri"/>
          <w:b/>
          <w:color w:val="101828"/>
          <w:sz w:val="21"/>
        </w:rPr>
        <w:t>Offline behaviour.</w:t>
      </w:r>
      <w:r>
        <w:rPr>
          <w:rFonts w:ascii="Calibri" w:hAnsi="Calibri"/>
          <w:b w:val="0"/>
          <w:i w:val="0"/>
          <w:color w:val="101828"/>
          <w:sz w:val="21"/>
        </w:rPr>
        <w:t xml:space="preserve"> The product is online-only at v1. If that changes, 7.11 changes with it.</w:t>
      </w:r>
    </w:p>
    <w:p>
      <w:pPr>
        <w:pStyle w:val="ListBullet"/>
        <w:spacing w:after="60"/>
        <w:ind w:left="360"/>
      </w:pPr>
      <w:r>
        <w:rPr>
          <w:rFonts w:ascii="Calibri" w:hAnsi="Calibri"/>
          <w:b/>
          <w:color w:val="101828"/>
          <w:sz w:val="21"/>
        </w:rPr>
        <w:t>Native app surfaces.</w:t>
      </w:r>
      <w:r>
        <w:rPr>
          <w:rFonts w:ascii="Calibri" w:hAnsi="Calibri"/>
          <w:b w:val="0"/>
          <w:i w:val="0"/>
          <w:color w:val="101828"/>
          <w:sz w:val="21"/>
        </w:rPr>
        <w:t xml:space="preserve"> v1 is web and responsive. Where a native app follows, the component definitions apply and the navigation does not.</w:t>
      </w:r>
    </w:p>
    <w:p>
      <w:pPr>
        <w:pStyle w:val="Heading3"/>
      </w:pPr>
      <w:r>
        <w:rPr>
          <w:rFonts w:ascii="Calibri" w:hAnsi="Calibri"/>
          <w:b/>
          <w:i w:val="0"/>
          <w:color w:val="0B1F3A"/>
          <w:sz w:val="24"/>
        </w:rPr>
        <w:t>7.1.3 How to read a component</w:t>
      </w:r>
    </w:p>
    <w:p>
      <w:r>
        <w:rPr>
          <w:rFonts w:ascii="Calibri" w:hAnsi="Calibri"/>
          <w:b w:val="0"/>
          <w:i w:val="0"/>
          <w:color w:val="101828"/>
          <w:sz w:val="21"/>
        </w:rPr>
        <w:t>Each component is given a name that matches the code, a purpose line, a states table, and behaviour notes. Where a component has a rule that is easy to break under deadline — a money component, a destructive action, a state carried only by colour — that rule is called out and marked as non-negotiable, and the reason is stated so it can be argued with rather than merely obeyed.</w:t>
      </w:r>
    </w:p>
    <w:p>
      <w:pPr>
        <w:pStyle w:val="Heading2"/>
      </w:pPr>
      <w:r>
        <w:rPr>
          <w:rFonts w:ascii="Calibri" w:hAnsi="Calibri"/>
          <w:b/>
          <w:i w:val="0"/>
          <w:color w:val="146EF5"/>
          <w:sz w:val="29"/>
        </w:rPr>
        <w:t>7.2 Design principles</w:t>
      </w:r>
    </w:p>
    <w:p>
      <w:r>
        <w:rPr>
          <w:rFonts w:ascii="Calibri" w:hAnsi="Calibri"/>
          <w:b w:val="0"/>
          <w:i w:val="0"/>
          <w:color w:val="101828"/>
          <w:sz w:val="21"/>
        </w:rPr>
        <w:t>Five principles, in priority order. When two of them disagree, the earlier one wins, and the disagreement is resolved in that order rather than by whoever is closest to the decision.</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w:t>
            </w:r>
          </w:p>
        </w:tc>
        <w:tc>
          <w:tcPr>
            <w:tcW w:type="dxa" w:w="1440"/>
            <w:shd w:val="clear" w:color="auto" w:fill="0B1F3A"/>
            <w:tcMar>
              <w:top w:w="60" w:type="dxa"/>
              <w:start w:w="110" w:type="dxa"/>
              <w:bottom w:w="60" w:type="dxa"/>
              <w:end w:w="110" w:type="dxa"/>
            </w:tcMar>
          </w:tcPr>
          <w:p>
            <w:pPr>
              <w:spacing w:after="0"/>
            </w:pPr>
            <w:r/>
            <w:r>
              <w:rPr>
                <w:rFonts w:ascii="Calibri" w:hAnsi="Calibri"/>
                <w:b/>
                <w:i w:val="0"/>
                <w:color w:val="FFFFFF"/>
                <w:sz w:val="14"/>
              </w:rPr>
              <w:t>Principle</w:t>
            </w:r>
          </w:p>
        </w:tc>
        <w:tc>
          <w:tcPr>
            <w:tcW w:type="dxa" w:w="4018"/>
            <w:shd w:val="clear" w:color="auto" w:fill="0B1F3A"/>
            <w:tcMar>
              <w:top w:w="60" w:type="dxa"/>
              <w:start w:w="110" w:type="dxa"/>
              <w:bottom w:w="60" w:type="dxa"/>
              <w:end w:w="110" w:type="dxa"/>
            </w:tcMar>
          </w:tcPr>
          <w:p>
            <w:pPr>
              <w:spacing w:after="0"/>
            </w:pPr>
            <w:r/>
            <w:r>
              <w:rPr>
                <w:rFonts w:ascii="Calibri" w:hAnsi="Calibri"/>
                <w:b/>
                <w:i w:val="0"/>
                <w:color w:val="FFFFFF"/>
                <w:sz w:val="14"/>
              </w:rPr>
              <w:t>What it means here</w:t>
            </w:r>
          </w:p>
        </w:tc>
        <w:tc>
          <w:tcPr>
            <w:tcW w:type="dxa" w:w="3298"/>
            <w:shd w:val="clear" w:color="auto" w:fill="0B1F3A"/>
            <w:tcMar>
              <w:top w:w="60" w:type="dxa"/>
              <w:start w:w="110" w:type="dxa"/>
              <w:bottom w:w="60" w:type="dxa"/>
              <w:end w:w="110" w:type="dxa"/>
            </w:tcMar>
          </w:tcPr>
          <w:p>
            <w:pPr>
              <w:spacing w:after="0"/>
            </w:pPr>
            <w:r/>
            <w:r>
              <w:rPr>
                <w:rFonts w:ascii="Calibri" w:hAnsi="Calibri"/>
                <w:b/>
                <w:i w:val="0"/>
                <w:color w:val="FFFFFF"/>
                <w:sz w:val="14"/>
              </w:rPr>
              <w:t>What it rules out</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w:t>
            </w:r>
          </w:p>
        </w:tc>
        <w:tc>
          <w:tcPr>
            <w:tcW w:type="dxa" w:w="1440"/>
            <w:tcMar>
              <w:top w:w="60" w:type="dxa"/>
              <w:start w:w="110" w:type="dxa"/>
              <w:bottom w:w="60" w:type="dxa"/>
              <w:end w:w="110" w:type="dxa"/>
            </w:tcMar>
          </w:tcPr>
          <w:p>
            <w:pPr>
              <w:spacing w:after="0"/>
            </w:pPr>
            <w:r/>
            <w:r>
              <w:rPr>
                <w:rFonts w:ascii="Calibri" w:hAnsi="Calibri"/>
                <w:b/>
                <w:color w:val="101828"/>
                <w:sz w:val="14"/>
              </w:rPr>
              <w:t>The number is never ambiguous</w:t>
            </w:r>
          </w:p>
        </w:tc>
        <w:tc>
          <w:tcPr>
            <w:tcW w:type="dxa" w:w="4018"/>
            <w:tcMar>
              <w:top w:w="60" w:type="dxa"/>
              <w:start w:w="110" w:type="dxa"/>
              <w:bottom w:w="60" w:type="dxa"/>
              <w:end w:w="110" w:type="dxa"/>
            </w:tcMar>
          </w:tcPr>
          <w:p>
            <w:pPr>
              <w:spacing w:after="0"/>
            </w:pPr>
            <w:r/>
            <w:r>
              <w:rPr>
                <w:rFonts w:ascii="Calibri" w:hAnsi="Calibri"/>
                <w:b w:val="0"/>
                <w:i w:val="0"/>
                <w:color w:val="101828"/>
                <w:sz w:val="14"/>
              </w:rPr>
              <w:t>Every amount names what it is, what it includes, and where it goes. Contribution, fee, and total are three lines or the component is wrong.</w:t>
            </w:r>
          </w:p>
        </w:tc>
        <w:tc>
          <w:tcPr>
            <w:tcW w:type="dxa" w:w="3298"/>
            <w:tcMar>
              <w:top w:w="60" w:type="dxa"/>
              <w:start w:w="110" w:type="dxa"/>
              <w:bottom w:w="60" w:type="dxa"/>
              <w:end w:w="110" w:type="dxa"/>
            </w:tcMar>
          </w:tcPr>
          <w:p>
            <w:pPr>
              <w:spacing w:after="0"/>
            </w:pPr>
            <w:r/>
            <w:r>
              <w:rPr>
                <w:rFonts w:ascii="Calibri" w:hAnsi="Calibri"/>
                <w:b w:val="0"/>
                <w:i w:val="0"/>
                <w:color w:val="101828"/>
                <w:sz w:val="14"/>
              </w:rPr>
              <w:t>A single NGN 1,020.00 with no breakdown. A total with no noun. A progress bar with no count. A chart with no axis label.</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w:t>
            </w:r>
          </w:p>
        </w:tc>
        <w:tc>
          <w:tcPr>
            <w:tcW w:type="dxa" w:w="1440"/>
            <w:tcMar>
              <w:top w:w="60" w:type="dxa"/>
              <w:start w:w="110" w:type="dxa"/>
              <w:bottom w:w="60" w:type="dxa"/>
              <w:end w:w="110" w:type="dxa"/>
            </w:tcMar>
            <w:shd w:val="clear" w:color="auto" w:fill="F4F7FB"/>
          </w:tcPr>
          <w:p>
            <w:pPr>
              <w:spacing w:after="0"/>
            </w:pPr>
            <w:r/>
            <w:r>
              <w:rPr>
                <w:rFonts w:ascii="Calibri" w:hAnsi="Calibri"/>
                <w:b/>
                <w:color w:val="101828"/>
                <w:sz w:val="14"/>
              </w:rPr>
              <w:t>No state is carried by colour alone</w:t>
            </w:r>
          </w:p>
        </w:tc>
        <w:tc>
          <w:tcPr>
            <w:tcW w:type="dxa" w:w="401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Every state has a word, a shape, or a position as well as a colour. Overdue is the word </w:t>
            </w:r>
            <w:r>
              <w:rPr>
                <w:rFonts w:ascii="Calibri" w:hAnsi="Calibri"/>
                <w:i/>
                <w:color w:val="101828"/>
                <w:sz w:val="14"/>
              </w:rPr>
              <w:t>overdue</w:t>
            </w:r>
            <w:r>
              <w:rPr>
                <w:rFonts w:ascii="Calibri" w:hAnsi="Calibri"/>
                <w:b w:val="0"/>
                <w:i w:val="0"/>
                <w:color w:val="101828"/>
                <w:sz w:val="14"/>
              </w:rPr>
              <w:t>, not a red cell.</w:t>
            </w:r>
          </w:p>
        </w:tc>
        <w:tc>
          <w:tcPr>
            <w:tcW w:type="dxa" w:w="3298"/>
            <w:tcMar>
              <w:top w:w="60" w:type="dxa"/>
              <w:start w:w="110" w:type="dxa"/>
              <w:bottom w:w="60" w:type="dxa"/>
              <w:end w:w="110" w:type="dxa"/>
            </w:tcMar>
            <w:shd w:val="clear" w:color="auto" w:fill="F4F7FB"/>
          </w:tcPr>
          <w:p>
            <w:pPr>
              <w:spacing w:after="0"/>
            </w:pPr>
            <w:r/>
            <w:r>
              <w:rPr>
                <w:rFonts w:ascii="Calibri" w:hAnsi="Calibri"/>
                <w:b w:val="0"/>
                <w:i w:val="0"/>
                <w:color w:val="101828"/>
                <w:sz w:val="14"/>
              </w:rPr>
              <w:t>Red means late. Green means paid. A green dot for a verified badge. A coloured chart series with no direct label.</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w:t>
            </w:r>
          </w:p>
        </w:tc>
        <w:tc>
          <w:tcPr>
            <w:tcW w:type="dxa" w:w="1440"/>
            <w:tcMar>
              <w:top w:w="60" w:type="dxa"/>
              <w:start w:w="110" w:type="dxa"/>
              <w:bottom w:w="60" w:type="dxa"/>
              <w:end w:w="110" w:type="dxa"/>
            </w:tcMar>
          </w:tcPr>
          <w:p>
            <w:pPr>
              <w:spacing w:after="0"/>
            </w:pPr>
            <w:r/>
            <w:r>
              <w:rPr>
                <w:rFonts w:ascii="Calibri" w:hAnsi="Calibri"/>
                <w:b/>
                <w:color w:val="101828"/>
                <w:sz w:val="14"/>
              </w:rPr>
              <w:t>The interface is quieter than the anxiety</w:t>
            </w:r>
          </w:p>
        </w:tc>
        <w:tc>
          <w:tcPr>
            <w:tcW w:type="dxa" w:w="4018"/>
            <w:tcMar>
              <w:top w:w="60" w:type="dxa"/>
              <w:start w:w="110" w:type="dxa"/>
              <w:bottom w:w="60" w:type="dxa"/>
              <w:end w:w="110" w:type="dxa"/>
            </w:tcMar>
          </w:tcPr>
          <w:p>
            <w:pPr>
              <w:spacing w:after="0"/>
            </w:pPr>
            <w:r/>
            <w:r>
              <w:rPr>
                <w:rFonts w:ascii="Calibri" w:hAnsi="Calibri"/>
                <w:b w:val="0"/>
                <w:i w:val="0"/>
                <w:color w:val="101828"/>
                <w:sz w:val="14"/>
              </w:rPr>
              <w:t>A person checking whether their money arrived is anxious. The interface does not amplify that with motion, confetti, urgency counts, or marketing voice.</w:t>
            </w:r>
          </w:p>
        </w:tc>
        <w:tc>
          <w:tcPr>
            <w:tcW w:type="dxa" w:w="3298"/>
            <w:tcMar>
              <w:top w:w="60" w:type="dxa"/>
              <w:start w:w="110" w:type="dxa"/>
              <w:bottom w:w="60" w:type="dxa"/>
              <w:end w:w="110" w:type="dxa"/>
            </w:tcMar>
          </w:tcPr>
          <w:p>
            <w:pPr>
              <w:spacing w:after="0"/>
            </w:pPr>
            <w:r/>
            <w:r>
              <w:rPr>
                <w:rFonts w:ascii="Calibri" w:hAnsi="Calibri"/>
                <w:b w:val="0"/>
                <w:i w:val="0"/>
                <w:color w:val="101828"/>
                <w:sz w:val="14"/>
              </w:rPr>
              <w:t xml:space="preserve">Celebration on a routine payment. A countdown timer on a due date. </w:t>
            </w:r>
            <w:r>
              <w:rPr>
                <w:rFonts w:ascii="Calibri" w:hAnsi="Calibri"/>
                <w:i/>
                <w:color w:val="101828"/>
                <w:sz w:val="14"/>
              </w:rPr>
              <w:t>Don't miss out</w:t>
            </w:r>
            <w:r>
              <w:rPr>
                <w:rFonts w:ascii="Calibri" w:hAnsi="Calibri"/>
                <w:b w:val="0"/>
                <w:i w:val="0"/>
                <w:color w:val="101828"/>
                <w:sz w:val="14"/>
              </w:rPr>
              <w:t xml:space="preserve"> anywhere in the product.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w:t>
            </w:r>
          </w:p>
        </w:tc>
        <w:tc>
          <w:tcPr>
            <w:tcW w:type="dxa" w:w="1440"/>
            <w:tcMar>
              <w:top w:w="60" w:type="dxa"/>
              <w:start w:w="110" w:type="dxa"/>
              <w:bottom w:w="60" w:type="dxa"/>
              <w:end w:w="110" w:type="dxa"/>
            </w:tcMar>
            <w:shd w:val="clear" w:color="auto" w:fill="F4F7FB"/>
          </w:tcPr>
          <w:p>
            <w:pPr>
              <w:spacing w:after="0"/>
            </w:pPr>
            <w:r/>
            <w:r>
              <w:rPr>
                <w:rFonts w:ascii="Calibri" w:hAnsi="Calibri"/>
                <w:b/>
                <w:color w:val="101828"/>
                <w:sz w:val="14"/>
              </w:rPr>
              <w:t>Say the hard thing in the same place as the easy thing</w:t>
            </w:r>
          </w:p>
        </w:tc>
        <w:tc>
          <w:tcPr>
            <w:tcW w:type="dxa" w:w="4018"/>
            <w:tcMar>
              <w:top w:w="60" w:type="dxa"/>
              <w:start w:w="110" w:type="dxa"/>
              <w:bottom w:w="60" w:type="dxa"/>
              <w:end w:w="110" w:type="dxa"/>
            </w:tcMar>
            <w:shd w:val="clear" w:color="auto" w:fill="F4F7FB"/>
          </w:tcPr>
          <w:p>
            <w:pPr>
              <w:spacing w:after="0"/>
            </w:pPr>
            <w:r/>
            <w:r>
              <w:rPr>
                <w:rFonts w:ascii="Calibri" w:hAnsi="Calibri"/>
                <w:b w:val="0"/>
                <w:i w:val="0"/>
                <w:color w:val="101828"/>
                <w:sz w:val="14"/>
              </w:rPr>
              <w:t>Limits, lock-in, holds, and fees appear next to the action they constrain, not in a policy page.</w:t>
            </w:r>
          </w:p>
        </w:tc>
        <w:tc>
          <w:tcPr>
            <w:tcW w:type="dxa" w:w="3298"/>
            <w:tcMar>
              <w:top w:w="60" w:type="dxa"/>
              <w:start w:w="110" w:type="dxa"/>
              <w:bottom w:w="60" w:type="dxa"/>
              <w:end w:w="110" w:type="dxa"/>
            </w:tcMar>
            <w:shd w:val="clear" w:color="auto" w:fill="F4F7FB"/>
          </w:tcPr>
          <w:p>
            <w:pPr>
              <w:spacing w:after="0"/>
            </w:pPr>
            <w:r/>
            <w:r>
              <w:rPr>
                <w:rFonts w:ascii="Calibri" w:hAnsi="Calibri"/>
                <w:b w:val="0"/>
                <w:i w:val="0"/>
                <w:color w:val="101828"/>
                <w:sz w:val="14"/>
              </w:rPr>
              <w:t>A terms link as the only disclosure. A lock warning only at the final step. A hold explained in support.</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5</w:t>
            </w:r>
          </w:p>
        </w:tc>
        <w:tc>
          <w:tcPr>
            <w:tcW w:type="dxa" w:w="1440"/>
            <w:tcMar>
              <w:top w:w="60" w:type="dxa"/>
              <w:start w:w="110" w:type="dxa"/>
              <w:bottom w:w="60" w:type="dxa"/>
              <w:end w:w="110" w:type="dxa"/>
            </w:tcMar>
          </w:tcPr>
          <w:p>
            <w:pPr>
              <w:spacing w:after="0"/>
            </w:pPr>
            <w:r/>
            <w:r>
              <w:rPr>
                <w:rFonts w:ascii="Calibri" w:hAnsi="Calibri"/>
                <w:b/>
                <w:color w:val="101828"/>
                <w:sz w:val="14"/>
              </w:rPr>
              <w:t>The default is the safe one</w:t>
            </w:r>
          </w:p>
        </w:tc>
        <w:tc>
          <w:tcPr>
            <w:tcW w:type="dxa" w:w="4018"/>
            <w:tcMar>
              <w:top w:w="60" w:type="dxa"/>
              <w:start w:w="110" w:type="dxa"/>
              <w:bottom w:w="60" w:type="dxa"/>
              <w:end w:w="110" w:type="dxa"/>
            </w:tcMar>
          </w:tcPr>
          <w:p>
            <w:pPr>
              <w:spacing w:after="0"/>
            </w:pPr>
            <w:r/>
            <w:r>
              <w:rPr>
                <w:rFonts w:ascii="Calibri" w:hAnsi="Calibri"/>
                <w:b w:val="0"/>
                <w:i w:val="0"/>
                <w:color w:val="101828"/>
                <w:sz w:val="14"/>
              </w:rPr>
              <w:t>Confirmations default to the outcome that loses nothing. Destructive and irreversible controls are not the default, are not adjacent to the safe one, and are not a tap target on mobile.</w:t>
            </w:r>
          </w:p>
        </w:tc>
        <w:tc>
          <w:tcPr>
            <w:tcW w:type="dxa" w:w="3298"/>
            <w:tcMar>
              <w:top w:w="60" w:type="dxa"/>
              <w:start w:w="110" w:type="dxa"/>
              <w:bottom w:w="60" w:type="dxa"/>
              <w:end w:w="110" w:type="dxa"/>
            </w:tcMar>
          </w:tcPr>
          <w:p>
            <w:pPr>
              <w:spacing w:after="0"/>
            </w:pPr>
            <w:r/>
            <w:r>
              <w:rPr>
                <w:rFonts w:ascii="Calibri" w:hAnsi="Calibri"/>
                <w:b w:val="0"/>
                <w:i w:val="0"/>
                <w:color w:val="101828"/>
                <w:sz w:val="14"/>
              </w:rPr>
              <w:t>A swipe-to-confirm that also swipes back to cancel. A primary action pre-selected. An expiry that defaults to the person's advantage.</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Principle 1 is the one that will be tested under deadline  </w:t>
      </w:r>
      <w:r>
        <w:rPr>
          <w:rFonts w:ascii="Calibri" w:hAnsi="Calibri"/>
          <w:b w:val="0"/>
          <w:i w:val="0"/>
          <w:color w:val="0B1F3A"/>
          <w:sz w:val="19"/>
        </w:rPr>
        <w:t>Everything else in this section can be traded. The fee disclosure cannot, because CANONICAL.md requires the fee to be shown separately from the contribution on every receipt, in every Ajo details screen, and in the invitation and join confirmation before the member commits. A redesign that improves the visual system and merges those lines has made the product worse no matter how it looks, and the merge is invisible in a screenshot review because the numbers still add up. The component in 7.12 exists so that the rule is a component rather than a habit.</w:t>
      </w:r>
    </w:p>
    <w:p>
      <w:pPr>
        <w:pStyle w:val="Heading2"/>
      </w:pPr>
      <w:r>
        <w:rPr>
          <w:rFonts w:ascii="Calibri" w:hAnsi="Calibri"/>
          <w:b/>
          <w:i w:val="0"/>
          <w:color w:val="146EF5"/>
          <w:sz w:val="29"/>
        </w:rPr>
        <w:t>7.3 Colour system</w:t>
      </w:r>
    </w:p>
    <w:p>
      <w:pPr>
        <w:pStyle w:val="Heading3"/>
      </w:pPr>
      <w:r>
        <w:rPr>
          <w:rFonts w:ascii="Calibri" w:hAnsi="Calibri"/>
          <w:b/>
          <w:i w:val="0"/>
          <w:color w:val="0B1F3A"/>
          <w:sz w:val="24"/>
        </w:rPr>
        <w:t>7.3.1 The fixed brand palette</w:t>
      </w:r>
    </w:p>
    <w:p>
      <w:r>
        <w:rPr>
          <w:rFonts w:ascii="Calibri" w:hAnsi="Calibri"/>
          <w:b w:val="0"/>
          <w:i w:val="0"/>
          <w:color w:val="101828"/>
          <w:sz w:val="21"/>
        </w:rPr>
        <w:t>CANONICAL.md fixes seven colours. They are not a theme, they are the brand, and they are used in the roles given below. A colour outside this list is a new token and requires the same review as a new component.</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Token</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Hex</w:t>
            </w:r>
          </w:p>
        </w:tc>
        <w:tc>
          <w:tcPr>
            <w:tcW w:type="dxa" w:w="1598"/>
            <w:shd w:val="clear" w:color="auto" w:fill="0B1F3A"/>
            <w:tcMar>
              <w:top w:w="60" w:type="dxa"/>
              <w:start w:w="110" w:type="dxa"/>
              <w:bottom w:w="60" w:type="dxa"/>
              <w:end w:w="110" w:type="dxa"/>
            </w:tcMar>
          </w:tcPr>
          <w:p>
            <w:pPr>
              <w:spacing w:after="0"/>
            </w:pPr>
            <w:r/>
            <w:r>
              <w:rPr>
                <w:rFonts w:ascii="Calibri" w:hAnsi="Calibri"/>
                <w:b/>
                <w:i w:val="0"/>
                <w:color w:val="FFFFFF"/>
                <w:sz w:val="14"/>
              </w:rPr>
              <w:t>Role</w:t>
            </w:r>
          </w:p>
        </w:tc>
        <w:tc>
          <w:tcPr>
            <w:tcW w:type="dxa" w:w="3096"/>
            <w:shd w:val="clear" w:color="auto" w:fill="0B1F3A"/>
            <w:tcMar>
              <w:top w:w="60" w:type="dxa"/>
              <w:start w:w="110" w:type="dxa"/>
              <w:bottom w:w="60" w:type="dxa"/>
              <w:end w:w="110" w:type="dxa"/>
            </w:tcMar>
          </w:tcPr>
          <w:p>
            <w:pPr>
              <w:spacing w:after="0"/>
            </w:pPr>
            <w:r/>
            <w:r>
              <w:rPr>
                <w:rFonts w:ascii="Calibri" w:hAnsi="Calibri"/>
                <w:b/>
                <w:i w:val="0"/>
                <w:color w:val="FFFFFF"/>
                <w:sz w:val="14"/>
              </w:rPr>
              <w:t>Where it is used</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4"/>
              </w:rPr>
              <w:t>Where it is never used</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Deep</w:t>
            </w:r>
          </w:p>
        </w:tc>
        <w:tc>
          <w:tcPr>
            <w:tcW w:type="dxa" w:w="605"/>
            <w:tcMar>
              <w:top w:w="60" w:type="dxa"/>
              <w:start w:w="110" w:type="dxa"/>
              <w:bottom w:w="60" w:type="dxa"/>
              <w:end w:w="110" w:type="dxa"/>
            </w:tcMar>
          </w:tcPr>
          <w:p>
            <w:pPr>
              <w:spacing w:after="0"/>
            </w:pPr>
            <w:r/>
            <w:r>
              <w:rPr>
                <w:rFonts w:ascii="Calibri" w:hAnsi="Calibri"/>
                <w:b w:val="0"/>
                <w:i w:val="0"/>
                <w:color w:val="101828"/>
                <w:sz w:val="14"/>
              </w:rPr>
              <w:t>#0B1F3A</w:t>
            </w:r>
          </w:p>
        </w:tc>
        <w:tc>
          <w:tcPr>
            <w:tcW w:type="dxa" w:w="1598"/>
            <w:tcMar>
              <w:top w:w="60" w:type="dxa"/>
              <w:start w:w="110" w:type="dxa"/>
              <w:bottom w:w="60" w:type="dxa"/>
              <w:end w:w="110" w:type="dxa"/>
            </w:tcMar>
          </w:tcPr>
          <w:p>
            <w:pPr>
              <w:spacing w:after="0"/>
            </w:pPr>
            <w:r/>
            <w:r>
              <w:rPr>
                <w:rFonts w:ascii="Calibri" w:hAnsi="Calibri"/>
                <w:b w:val="0"/>
                <w:i w:val="0"/>
                <w:color w:val="101828"/>
                <w:sz w:val="14"/>
              </w:rPr>
              <w:t>Primary brand surface</w:t>
            </w:r>
          </w:p>
        </w:tc>
        <w:tc>
          <w:tcPr>
            <w:tcW w:type="dxa" w:w="3096"/>
            <w:tcMar>
              <w:top w:w="60" w:type="dxa"/>
              <w:start w:w="110" w:type="dxa"/>
              <w:bottom w:w="60" w:type="dxa"/>
              <w:end w:w="110" w:type="dxa"/>
            </w:tcMar>
          </w:tcPr>
          <w:p>
            <w:pPr>
              <w:spacing w:after="0"/>
            </w:pPr>
            <w:r/>
            <w:r>
              <w:rPr>
                <w:rFonts w:ascii="Calibri" w:hAnsi="Calibri"/>
                <w:b w:val="0"/>
                <w:i w:val="0"/>
                <w:color w:val="101828"/>
                <w:sz w:val="14"/>
              </w:rPr>
              <w:t>Hero and section backgrounds on marketing pages, the app's dark chrome, H1 on light</w:t>
            </w:r>
          </w:p>
        </w:tc>
        <w:tc>
          <w:tcPr>
            <w:tcW w:type="dxa" w:w="3456"/>
            <w:tcMar>
              <w:top w:w="60" w:type="dxa"/>
              <w:start w:w="110" w:type="dxa"/>
              <w:bottom w:w="60" w:type="dxa"/>
              <w:end w:w="110" w:type="dxa"/>
            </w:tcMar>
          </w:tcPr>
          <w:p>
            <w:pPr>
              <w:spacing w:after="0"/>
            </w:pPr>
            <w:r/>
            <w:r>
              <w:rPr>
                <w:rFonts w:ascii="Calibri" w:hAnsi="Calibri"/>
                <w:b w:val="0"/>
                <w:i w:val="0"/>
                <w:color w:val="101828"/>
                <w:sz w:val="14"/>
              </w:rPr>
              <w:t>Body text on White at body size, which fails contrast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#146EF5</w:t>
            </w:r>
          </w:p>
        </w:tc>
        <w:tc>
          <w:tcPr>
            <w:tcW w:type="dxa" w:w="1598"/>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action and link</w:t>
            </w:r>
          </w:p>
        </w:tc>
        <w:tc>
          <w:tcPr>
            <w:tcW w:type="dxa" w:w="3096"/>
            <w:tcMar>
              <w:top w:w="60" w:type="dxa"/>
              <w:start w:w="110" w:type="dxa"/>
              <w:bottom w:w="60" w:type="dxa"/>
              <w:end w:w="110" w:type="dxa"/>
            </w:tcMar>
            <w:shd w:val="clear" w:color="auto" w:fill="F4F7FB"/>
          </w:tcPr>
          <w:p>
            <w:pPr>
              <w:spacing w:after="0"/>
            </w:pPr>
            <w:r/>
            <w:r>
              <w:rPr>
                <w:rFonts w:ascii="Calibri" w:hAnsi="Calibri"/>
                <w:b w:val="0"/>
                <w:i w:val="0"/>
                <w:color w:val="101828"/>
                <w:sz w:val="14"/>
              </w:rPr>
              <w:t>Primary buttons, links, active nav item, H2 on light, focus ring base</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Body text on White, which is 4.6:1 and only just passes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Cyan</w:t>
            </w:r>
          </w:p>
        </w:tc>
        <w:tc>
          <w:tcPr>
            <w:tcW w:type="dxa" w:w="605"/>
            <w:tcMar>
              <w:top w:w="60" w:type="dxa"/>
              <w:start w:w="110" w:type="dxa"/>
              <w:bottom w:w="60" w:type="dxa"/>
              <w:end w:w="110" w:type="dxa"/>
            </w:tcMar>
          </w:tcPr>
          <w:p>
            <w:pPr>
              <w:spacing w:after="0"/>
            </w:pPr>
            <w:r/>
            <w:r>
              <w:rPr>
                <w:rFonts w:ascii="Calibri" w:hAnsi="Calibri"/>
                <w:b w:val="0"/>
                <w:i w:val="0"/>
                <w:color w:val="101828"/>
                <w:sz w:val="14"/>
              </w:rPr>
              <w:t>#22C7D6</w:t>
            </w:r>
          </w:p>
        </w:tc>
        <w:tc>
          <w:tcPr>
            <w:tcW w:type="dxa" w:w="1598"/>
            <w:tcMar>
              <w:top w:w="60" w:type="dxa"/>
              <w:start w:w="110" w:type="dxa"/>
              <w:bottom w:w="60" w:type="dxa"/>
              <w:end w:w="110" w:type="dxa"/>
            </w:tcMar>
          </w:tcPr>
          <w:p>
            <w:pPr>
              <w:spacing w:after="0"/>
            </w:pPr>
            <w:r/>
            <w:r>
              <w:rPr>
                <w:rFonts w:ascii="Calibri" w:hAnsi="Calibri"/>
                <w:b w:val="0"/>
                <w:i w:val="0"/>
                <w:color w:val="101828"/>
                <w:sz w:val="14"/>
              </w:rPr>
              <w:t>Secondary accent and data series one</w:t>
            </w:r>
          </w:p>
        </w:tc>
        <w:tc>
          <w:tcPr>
            <w:tcW w:type="dxa" w:w="3096"/>
            <w:tcMar>
              <w:top w:w="60" w:type="dxa"/>
              <w:start w:w="110" w:type="dxa"/>
              <w:bottom w:w="60" w:type="dxa"/>
              <w:end w:w="110" w:type="dxa"/>
            </w:tcMar>
          </w:tcPr>
          <w:p>
            <w:pPr>
              <w:spacing w:after="0"/>
            </w:pPr>
            <w:r/>
            <w:r>
              <w:rPr>
                <w:rFonts w:ascii="Calibri" w:hAnsi="Calibri"/>
                <w:b w:val="0"/>
                <w:i w:val="0"/>
                <w:color w:val="101828"/>
                <w:sz w:val="14"/>
              </w:rPr>
              <w:t>Progress fills, the second chart series, information banners</w:t>
            </w:r>
          </w:p>
        </w:tc>
        <w:tc>
          <w:tcPr>
            <w:tcW w:type="dxa" w:w="3456"/>
            <w:tcMar>
              <w:top w:w="60" w:type="dxa"/>
              <w:start w:w="110" w:type="dxa"/>
              <w:bottom w:w="60" w:type="dxa"/>
              <w:end w:w="110" w:type="dxa"/>
            </w:tcMar>
          </w:tcPr>
          <w:p>
            <w:pPr>
              <w:spacing w:after="0"/>
            </w:pPr>
            <w:r/>
            <w:r>
              <w:rPr>
                <w:rFonts w:ascii="Calibri" w:hAnsi="Calibri"/>
                <w:b w:val="0"/>
                <w:i w:val="0"/>
                <w:color w:val="101828"/>
                <w:sz w:val="14"/>
              </w:rPr>
              <w:t>Text on White, which fails badly. Never. No size, no weight.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Gold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#FBBF24</w:t>
            </w:r>
          </w:p>
        </w:tc>
        <w:tc>
          <w:tcPr>
            <w:tcW w:type="dxa" w:w="1598"/>
            <w:tcMar>
              <w:top w:w="60" w:type="dxa"/>
              <w:start w:w="110" w:type="dxa"/>
              <w:bottom w:w="60" w:type="dxa"/>
              <w:end w:w="110" w:type="dxa"/>
            </w:tcMar>
            <w:shd w:val="clear" w:color="auto" w:fill="F4F7FB"/>
          </w:tcPr>
          <w:p>
            <w:pPr>
              <w:spacing w:after="0"/>
            </w:pPr>
            <w:r/>
            <w:r>
              <w:rPr>
                <w:rFonts w:ascii="Calibri" w:hAnsi="Calibri"/>
                <w:b w:val="0"/>
                <w:i w:val="0"/>
                <w:color w:val="101828"/>
                <w:sz w:val="14"/>
              </w:rPr>
              <w:t>Accent, warning, payout emphasis</w:t>
            </w:r>
          </w:p>
        </w:tc>
        <w:tc>
          <w:tcPr>
            <w:tcW w:type="dxa" w:w="3096"/>
            <w:tcMar>
              <w:top w:w="60" w:type="dxa"/>
              <w:start w:w="110" w:type="dxa"/>
              <w:bottom w:w="60" w:type="dxa"/>
              <w:end w:w="110" w:type="dxa"/>
            </w:tcMar>
            <w:shd w:val="clear" w:color="auto" w:fill="F4F7FB"/>
          </w:tcPr>
          <w:p>
            <w:pPr>
              <w:spacing w:after="0"/>
            </w:pPr>
            <w:r/>
            <w:r>
              <w:rPr>
                <w:rFonts w:ascii="Calibri" w:hAnsi="Calibri"/>
                <w:b w:val="0"/>
                <w:i w:val="0"/>
                <w:color w:val="101828"/>
                <w:sz w:val="14"/>
              </w:rPr>
              <w:t>Payout-imminent emphasis, warning callouts, the Gold series in charts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As a text colour on White, which fails. Always on a dark or tinted surface.</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White</w:t>
            </w:r>
          </w:p>
        </w:tc>
        <w:tc>
          <w:tcPr>
            <w:tcW w:type="dxa" w:w="605"/>
            <w:tcMar>
              <w:top w:w="60" w:type="dxa"/>
              <w:start w:w="110" w:type="dxa"/>
              <w:bottom w:w="60" w:type="dxa"/>
              <w:end w:w="110" w:type="dxa"/>
            </w:tcMar>
          </w:tcPr>
          <w:p>
            <w:pPr>
              <w:spacing w:after="0"/>
            </w:pPr>
            <w:r/>
            <w:r>
              <w:rPr>
                <w:rFonts w:ascii="Calibri" w:hAnsi="Calibri"/>
                <w:b w:val="0"/>
                <w:i w:val="0"/>
                <w:color w:val="101828"/>
                <w:sz w:val="14"/>
              </w:rPr>
              <w:t>#FFFFFF</w:t>
            </w:r>
          </w:p>
        </w:tc>
        <w:tc>
          <w:tcPr>
            <w:tcW w:type="dxa" w:w="1598"/>
            <w:tcMar>
              <w:top w:w="60" w:type="dxa"/>
              <w:start w:w="110" w:type="dxa"/>
              <w:bottom w:w="60" w:type="dxa"/>
              <w:end w:w="110" w:type="dxa"/>
            </w:tcMar>
          </w:tcPr>
          <w:p>
            <w:pPr>
              <w:spacing w:after="0"/>
            </w:pPr>
            <w:r/>
            <w:r>
              <w:rPr>
                <w:rFonts w:ascii="Calibri" w:hAnsi="Calibri"/>
                <w:b w:val="0"/>
                <w:i w:val="0"/>
                <w:color w:val="101828"/>
                <w:sz w:val="14"/>
              </w:rPr>
              <w:t>Surface</w:t>
            </w:r>
          </w:p>
        </w:tc>
        <w:tc>
          <w:tcPr>
            <w:tcW w:type="dxa" w:w="3096"/>
            <w:tcMar>
              <w:top w:w="60" w:type="dxa"/>
              <w:start w:w="110" w:type="dxa"/>
              <w:bottom w:w="60" w:type="dxa"/>
              <w:end w:w="110" w:type="dxa"/>
            </w:tcMar>
          </w:tcPr>
          <w:p>
            <w:pPr>
              <w:spacing w:after="0"/>
            </w:pPr>
            <w:r/>
            <w:r>
              <w:rPr>
                <w:rFonts w:ascii="Calibri" w:hAnsi="Calibri"/>
                <w:b w:val="0"/>
                <w:i w:val="0"/>
                <w:color w:val="101828"/>
                <w:sz w:val="14"/>
              </w:rPr>
              <w:t>Card and sheet surfaces, the marketing page background above the fold</w:t>
            </w:r>
          </w:p>
        </w:tc>
        <w:tc>
          <w:tcPr>
            <w:tcW w:type="dxa" w:w="3456"/>
            <w:tcMar>
              <w:top w:w="60" w:type="dxa"/>
              <w:start w:w="110" w:type="dxa"/>
              <w:bottom w:w="60" w:type="dxa"/>
              <w:end w:w="110" w:type="dxa"/>
            </w:tcMar>
          </w:tcPr>
          <w:p>
            <w:pPr>
              <w:spacing w:after="0"/>
            </w:pPr>
            <w:r/>
            <w:r>
              <w:rPr>
                <w:rFonts w:ascii="Calibri" w:hAnsi="Calibri"/>
                <w:b w:val="0"/>
                <w:i w:val="0"/>
                <w:color w:val="101828"/>
                <w:sz w:val="14"/>
              </w:rPr>
              <w:t>As a disabled-state background on White, which is invisible</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Cloud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#F4F7FB</w:t>
            </w:r>
          </w:p>
        </w:tc>
        <w:tc>
          <w:tcPr>
            <w:tcW w:type="dxa" w:w="1598"/>
            <w:tcMar>
              <w:top w:w="60" w:type="dxa"/>
              <w:start w:w="110" w:type="dxa"/>
              <w:bottom w:w="60" w:type="dxa"/>
              <w:end w:w="110" w:type="dxa"/>
            </w:tcMar>
            <w:shd w:val="clear" w:color="auto" w:fill="F4F7FB"/>
          </w:tcPr>
          <w:p>
            <w:pPr>
              <w:spacing w:after="0"/>
            </w:pPr>
            <w:r/>
            <w:r>
              <w:rPr>
                <w:rFonts w:ascii="Calibri" w:hAnsi="Calibri"/>
                <w:b w:val="0"/>
                <w:i w:val="0"/>
                <w:color w:val="101828"/>
                <w:sz w:val="14"/>
              </w:rPr>
              <w:t>Page background</w:t>
            </w:r>
          </w:p>
        </w:tc>
        <w:tc>
          <w:tcPr>
            <w:tcW w:type="dxa" w:w="3096"/>
            <w:tcMar>
              <w:top w:w="60" w:type="dxa"/>
              <w:start w:w="110" w:type="dxa"/>
              <w:bottom w:w="60" w:type="dxa"/>
              <w:end w:w="110" w:type="dxa"/>
            </w:tcMar>
            <w:shd w:val="clear" w:color="auto" w:fill="F4F7FB"/>
          </w:tcPr>
          <w:p>
            <w:pPr>
              <w:spacing w:after="0"/>
            </w:pPr>
            <w:r/>
            <w:r>
              <w:rPr>
                <w:rFonts w:ascii="Calibri" w:hAnsi="Calibri"/>
                <w:b w:val="0"/>
                <w:i w:val="0"/>
                <w:color w:val="101828"/>
                <w:sz w:val="14"/>
              </w:rPr>
              <w:t>Page background behind cards, zebra table rows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4"/>
              </w:rPr>
              <w:t>As a text colour, and as a border colour at full strength</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Dark</w:t>
            </w:r>
          </w:p>
        </w:tc>
        <w:tc>
          <w:tcPr>
            <w:tcW w:type="dxa" w:w="605"/>
            <w:tcMar>
              <w:top w:w="60" w:type="dxa"/>
              <w:start w:w="110" w:type="dxa"/>
              <w:bottom w:w="60" w:type="dxa"/>
              <w:end w:w="110" w:type="dxa"/>
            </w:tcMar>
          </w:tcPr>
          <w:p>
            <w:pPr>
              <w:spacing w:after="0"/>
            </w:pPr>
            <w:r/>
            <w:r>
              <w:rPr>
                <w:rFonts w:ascii="Calibri" w:hAnsi="Calibri"/>
                <w:b w:val="0"/>
                <w:i w:val="0"/>
                <w:color w:val="101828"/>
                <w:sz w:val="14"/>
              </w:rPr>
              <w:t>#101828</w:t>
            </w:r>
          </w:p>
        </w:tc>
        <w:tc>
          <w:tcPr>
            <w:tcW w:type="dxa" w:w="1598"/>
            <w:tcMar>
              <w:top w:w="60" w:type="dxa"/>
              <w:start w:w="110" w:type="dxa"/>
              <w:bottom w:w="60" w:type="dxa"/>
              <w:end w:w="110" w:type="dxa"/>
            </w:tcMar>
          </w:tcPr>
          <w:p>
            <w:pPr>
              <w:spacing w:after="0"/>
            </w:pPr>
            <w:r/>
            <w:r>
              <w:rPr>
                <w:rFonts w:ascii="Calibri" w:hAnsi="Calibri"/>
                <w:b w:val="0"/>
                <w:i w:val="0"/>
                <w:color w:val="101828"/>
                <w:sz w:val="14"/>
              </w:rPr>
              <w:t>Body text</w:t>
            </w:r>
          </w:p>
        </w:tc>
        <w:tc>
          <w:tcPr>
            <w:tcW w:type="dxa" w:w="3096"/>
            <w:tcMar>
              <w:top w:w="60" w:type="dxa"/>
              <w:start w:w="110" w:type="dxa"/>
              <w:bottom w:w="60" w:type="dxa"/>
              <w:end w:w="110" w:type="dxa"/>
            </w:tcMar>
          </w:tcPr>
          <w:p>
            <w:pPr>
              <w:spacing w:after="0"/>
            </w:pPr>
            <w:r/>
            <w:r>
              <w:rPr>
                <w:rFonts w:ascii="Calibri" w:hAnsi="Calibri"/>
                <w:b w:val="0"/>
                <w:i w:val="0"/>
                <w:color w:val="101828"/>
                <w:sz w:val="14"/>
              </w:rPr>
              <w:t>All body copy, table cells, labels</w:t>
            </w:r>
          </w:p>
        </w:tc>
        <w:tc>
          <w:tcPr>
            <w:tcW w:type="dxa" w:w="3456"/>
            <w:tcMar>
              <w:top w:w="60" w:type="dxa"/>
              <w:start w:w="110" w:type="dxa"/>
              <w:bottom w:w="60" w:type="dxa"/>
              <w:end w:w="110" w:type="dxa"/>
            </w:tcMar>
          </w:tcPr>
          <w:p>
            <w:pPr>
              <w:spacing w:after="0"/>
            </w:pPr>
            <w:r/>
            <w:r>
              <w:rPr>
                <w:rFonts w:ascii="Calibri" w:hAnsi="Calibri"/>
                <w:b w:val="0"/>
                <w:i w:val="0"/>
                <w:color w:val="101828"/>
                <w:sz w:val="14"/>
              </w:rPr>
              <w:t>As a background behind Gold text, which is not a combination this product uses</w:t>
            </w:r>
          </w:p>
        </w:tc>
      </w:tr>
    </w:tbl>
    <w:p>
      <w:pPr>
        <w:spacing w:after="80"/>
      </w:pPr>
    </w:p>
    <w:p>
      <w:pPr>
        <w:pStyle w:val="Heading3"/>
      </w:pPr>
      <w:r>
        <w:rPr>
          <w:rFonts w:ascii="Calibri" w:hAnsi="Calibri"/>
          <w:b/>
          <w:i w:val="0"/>
          <w:color w:val="0B1F3A"/>
          <w:sz w:val="24"/>
        </w:rPr>
        <w:t>7.3.2 Semantic colours, added on top</w:t>
      </w:r>
    </w:p>
    <w:p>
      <w:r>
        <w:rPr>
          <w:rFonts w:ascii="Calibri" w:hAnsi="Calibri"/>
          <w:b w:val="0"/>
          <w:i w:val="0"/>
          <w:color w:val="101828"/>
          <w:sz w:val="21"/>
        </w:rPr>
        <w:t>Four semantic roles are needed and the fixed palette does not contain them: success, warning, danger, and information. They are defined once here, derived to stay inside the brand, and every other team uses these four rather than inventing a red.</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662"/>
            <w:shd w:val="clear" w:color="auto" w:fill="0B1F3A"/>
            <w:tcMar>
              <w:top w:w="60" w:type="dxa"/>
              <w:start w:w="110" w:type="dxa"/>
              <w:bottom w:w="60" w:type="dxa"/>
              <w:end w:w="110" w:type="dxa"/>
            </w:tcMar>
          </w:tcPr>
          <w:p>
            <w:pPr>
              <w:spacing w:after="0"/>
            </w:pPr>
            <w:r/>
            <w:r>
              <w:rPr>
                <w:rFonts w:ascii="Calibri" w:hAnsi="Calibri"/>
                <w:b/>
                <w:i w:val="0"/>
                <w:color w:val="FFFFFF"/>
                <w:sz w:val="14"/>
              </w:rPr>
              <w:t>Role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Light fill</w:t>
            </w:r>
          </w:p>
        </w:tc>
        <w:tc>
          <w:tcPr>
            <w:tcW w:type="dxa" w:w="734"/>
            <w:shd w:val="clear" w:color="auto" w:fill="0B1F3A"/>
            <w:tcMar>
              <w:top w:w="60" w:type="dxa"/>
              <w:start w:w="110" w:type="dxa"/>
              <w:bottom w:w="60" w:type="dxa"/>
              <w:end w:w="110" w:type="dxa"/>
            </w:tcMar>
          </w:tcPr>
          <w:p>
            <w:pPr>
              <w:spacing w:after="0"/>
            </w:pPr>
            <w:r/>
            <w:r>
              <w:rPr>
                <w:rFonts w:ascii="Calibri" w:hAnsi="Calibri"/>
                <w:b/>
                <w:i w:val="0"/>
                <w:color w:val="FFFFFF"/>
                <w:sz w:val="14"/>
              </w:rPr>
              <w:t>Light border</w:t>
            </w:r>
          </w:p>
        </w:tc>
        <w:tc>
          <w:tcPr>
            <w:tcW w:type="dxa" w:w="734"/>
            <w:shd w:val="clear" w:color="auto" w:fill="0B1F3A"/>
            <w:tcMar>
              <w:top w:w="60" w:type="dxa"/>
              <w:start w:w="110" w:type="dxa"/>
              <w:bottom w:w="60" w:type="dxa"/>
              <w:end w:w="110" w:type="dxa"/>
            </w:tcMar>
          </w:tcPr>
          <w:p>
            <w:pPr>
              <w:spacing w:after="0"/>
            </w:pPr>
            <w:r/>
            <w:r>
              <w:rPr>
                <w:rFonts w:ascii="Calibri" w:hAnsi="Calibri"/>
                <w:b/>
                <w:i w:val="0"/>
                <w:color w:val="FFFFFF"/>
                <w:sz w:val="14"/>
              </w:rPr>
              <w:t>Text on fill</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Contrast</w:t>
            </w:r>
          </w:p>
        </w:tc>
        <w:tc>
          <w:tcPr>
            <w:tcW w:type="dxa" w:w="6019"/>
            <w:shd w:val="clear" w:color="auto" w:fill="0B1F3A"/>
            <w:tcMar>
              <w:top w:w="60" w:type="dxa"/>
              <w:start w:w="110" w:type="dxa"/>
              <w:bottom w:w="60" w:type="dxa"/>
              <w:end w:w="110" w:type="dxa"/>
            </w:tcMar>
          </w:tcPr>
          <w:p>
            <w:pPr>
              <w:spacing w:after="0"/>
            </w:pPr>
            <w:r/>
            <w:r>
              <w:rPr>
                <w:rFonts w:ascii="Calibri" w:hAnsi="Calibri"/>
                <w:b/>
                <w:i w:val="0"/>
                <w:color w:val="FFFFFF"/>
                <w:sz w:val="14"/>
              </w:rPr>
              <w:t>Never used for</w:t>
            </w:r>
          </w:p>
        </w:tc>
      </w:tr>
      <w:tr>
        <w:trPr>
          <w:cantSplit/>
        </w:trPr>
        <w:tc>
          <w:tcPr>
            <w:tcW w:type="dxa" w:w="662"/>
            <w:tcMar>
              <w:top w:w="60" w:type="dxa"/>
              <w:start w:w="110" w:type="dxa"/>
              <w:bottom w:w="60" w:type="dxa"/>
              <w:end w:w="110" w:type="dxa"/>
            </w:tcMar>
          </w:tcPr>
          <w:p>
            <w:pPr>
              <w:spacing w:after="0"/>
            </w:pPr>
            <w:r/>
            <w:r>
              <w:rPr>
                <w:rFonts w:ascii="Calibri" w:hAnsi="Calibri"/>
                <w:b w:val="0"/>
                <w:i w:val="0"/>
                <w:color w:val="101828"/>
                <w:sz w:val="14"/>
              </w:rPr>
              <w:t>success</w:t>
            </w:r>
          </w:p>
        </w:tc>
        <w:tc>
          <w:tcPr>
            <w:tcW w:type="dxa" w:w="605"/>
            <w:tcMar>
              <w:top w:w="60" w:type="dxa"/>
              <w:start w:w="110" w:type="dxa"/>
              <w:bottom w:w="60" w:type="dxa"/>
              <w:end w:w="110" w:type="dxa"/>
            </w:tcMar>
          </w:tcPr>
          <w:p>
            <w:pPr>
              <w:spacing w:after="0"/>
            </w:pPr>
            <w:r/>
            <w:r>
              <w:rPr>
                <w:rFonts w:ascii="Calibri" w:hAnsi="Calibri"/>
                <w:b w:val="0"/>
                <w:i w:val="0"/>
                <w:color w:val="101828"/>
                <w:sz w:val="14"/>
              </w:rPr>
              <w:t>#ECFDF3</w:t>
            </w:r>
          </w:p>
        </w:tc>
        <w:tc>
          <w:tcPr>
            <w:tcW w:type="dxa" w:w="734"/>
            <w:tcMar>
              <w:top w:w="60" w:type="dxa"/>
              <w:start w:w="110" w:type="dxa"/>
              <w:bottom w:w="60" w:type="dxa"/>
              <w:end w:w="110" w:type="dxa"/>
            </w:tcMar>
          </w:tcPr>
          <w:p>
            <w:pPr>
              <w:spacing w:after="0"/>
            </w:pPr>
            <w:r/>
            <w:r>
              <w:rPr>
                <w:rFonts w:ascii="Calibri" w:hAnsi="Calibri"/>
                <w:b w:val="0"/>
                <w:i w:val="0"/>
                <w:color w:val="101828"/>
                <w:sz w:val="14"/>
              </w:rPr>
              <w:t>#ABEFC6</w:t>
            </w:r>
          </w:p>
        </w:tc>
        <w:tc>
          <w:tcPr>
            <w:tcW w:type="dxa" w:w="734"/>
            <w:tcMar>
              <w:top w:w="60" w:type="dxa"/>
              <w:start w:w="110" w:type="dxa"/>
              <w:bottom w:w="60" w:type="dxa"/>
              <w:end w:w="110" w:type="dxa"/>
            </w:tcMar>
          </w:tcPr>
          <w:p>
            <w:pPr>
              <w:spacing w:after="0"/>
            </w:pPr>
            <w:r/>
            <w:r>
              <w:rPr>
                <w:rFonts w:ascii="Calibri" w:hAnsi="Calibri"/>
                <w:b w:val="0"/>
                <w:i w:val="0"/>
                <w:color w:val="101828"/>
                <w:sz w:val="14"/>
              </w:rPr>
              <w:t>#05603A</w:t>
            </w:r>
          </w:p>
        </w:tc>
        <w:tc>
          <w:tcPr>
            <w:tcW w:type="dxa" w:w="605"/>
            <w:tcMar>
              <w:top w:w="60" w:type="dxa"/>
              <w:start w:w="110" w:type="dxa"/>
              <w:bottom w:w="60" w:type="dxa"/>
              <w:end w:w="110" w:type="dxa"/>
            </w:tcMar>
          </w:tcPr>
          <w:p>
            <w:pPr>
              <w:spacing w:after="0"/>
            </w:pPr>
            <w:r/>
            <w:r>
              <w:rPr>
                <w:rFonts w:ascii="Calibri" w:hAnsi="Calibri"/>
                <w:b w:val="0"/>
                <w:i w:val="0"/>
                <w:color w:val="101828"/>
                <w:sz w:val="14"/>
              </w:rPr>
              <w:t>7.1:1</w:t>
            </w:r>
          </w:p>
        </w:tc>
        <w:tc>
          <w:tcPr>
            <w:tcW w:type="dxa" w:w="6019"/>
            <w:tcMar>
              <w:top w:w="60" w:type="dxa"/>
              <w:start w:w="110" w:type="dxa"/>
              <w:bottom w:w="60" w:type="dxa"/>
              <w:end w:w="110" w:type="dxa"/>
            </w:tcMar>
          </w:tcPr>
          <w:p>
            <w:pPr>
              <w:spacing w:after="0"/>
            </w:pPr>
            <w:r/>
            <w:r>
              <w:rPr>
                <w:rFonts w:ascii="Calibri" w:hAnsi="Calibri"/>
                <w:b w:val="0"/>
                <w:i w:val="0"/>
                <w:color w:val="101828"/>
                <w:sz w:val="14"/>
              </w:rPr>
              <w:t>A paid amount. Money states use the brand, not green.</w:t>
            </w:r>
          </w:p>
        </w:tc>
      </w:tr>
      <w:tr>
        <w:trPr>
          <w:cantSplit/>
        </w:trPr>
        <w:tc>
          <w:tcPr>
            <w:tcW w:type="dxa" w:w="662"/>
            <w:tcMar>
              <w:top w:w="60" w:type="dxa"/>
              <w:start w:w="110" w:type="dxa"/>
              <w:bottom w:w="60" w:type="dxa"/>
              <w:end w:w="110" w:type="dxa"/>
            </w:tcMar>
            <w:shd w:val="clear" w:color="auto" w:fill="F4F7FB"/>
          </w:tcPr>
          <w:p>
            <w:pPr>
              <w:spacing w:after="0"/>
            </w:pPr>
            <w:r/>
            <w:r>
              <w:rPr>
                <w:rFonts w:ascii="Calibri" w:hAnsi="Calibri"/>
                <w:b w:val="0"/>
                <w:i w:val="0"/>
                <w:color w:val="101828"/>
                <w:sz w:val="14"/>
              </w:rPr>
              <w:t>warning</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#FFFAEB</w:t>
            </w:r>
          </w:p>
        </w:tc>
        <w:tc>
          <w:tcPr>
            <w:tcW w:type="dxa" w:w="734"/>
            <w:tcMar>
              <w:top w:w="60" w:type="dxa"/>
              <w:start w:w="110" w:type="dxa"/>
              <w:bottom w:w="60" w:type="dxa"/>
              <w:end w:w="110" w:type="dxa"/>
            </w:tcMar>
            <w:shd w:val="clear" w:color="auto" w:fill="F4F7FB"/>
          </w:tcPr>
          <w:p>
            <w:pPr>
              <w:spacing w:after="0"/>
            </w:pPr>
            <w:r/>
            <w:r>
              <w:rPr>
                <w:rFonts w:ascii="Calibri" w:hAnsi="Calibri"/>
                <w:b w:val="0"/>
                <w:i w:val="0"/>
                <w:color w:val="101828"/>
                <w:sz w:val="14"/>
              </w:rPr>
              <w:t>#FEDF89</w:t>
            </w:r>
          </w:p>
        </w:tc>
        <w:tc>
          <w:tcPr>
            <w:tcW w:type="dxa" w:w="734"/>
            <w:tcMar>
              <w:top w:w="60" w:type="dxa"/>
              <w:start w:w="110" w:type="dxa"/>
              <w:bottom w:w="60" w:type="dxa"/>
              <w:end w:w="110" w:type="dxa"/>
            </w:tcMar>
            <w:shd w:val="clear" w:color="auto" w:fill="F4F7FB"/>
          </w:tcPr>
          <w:p>
            <w:pPr>
              <w:spacing w:after="0"/>
            </w:pPr>
            <w:r/>
            <w:r>
              <w:rPr>
                <w:rFonts w:ascii="Calibri" w:hAnsi="Calibri"/>
                <w:b w:val="0"/>
                <w:i w:val="0"/>
                <w:color w:val="101828"/>
                <w:sz w:val="14"/>
              </w:rPr>
              <w:t>#93370D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7.4:1</w:t>
            </w:r>
          </w:p>
        </w:tc>
        <w:tc>
          <w:tcPr>
            <w:tcW w:type="dxa" w:w="6019"/>
            <w:tcMar>
              <w:top w:w="60" w:type="dxa"/>
              <w:start w:w="110" w:type="dxa"/>
              <w:bottom w:w="60" w:type="dxa"/>
              <w:end w:w="110" w:type="dxa"/>
            </w:tcMar>
            <w:shd w:val="clear" w:color="auto" w:fill="F4F7FB"/>
          </w:tcPr>
          <w:p>
            <w:pPr>
              <w:spacing w:after="0"/>
            </w:pPr>
            <w:r/>
            <w:r>
              <w:rPr>
                <w:rFonts w:ascii="Calibri" w:hAnsi="Calibri"/>
                <w:b w:val="0"/>
                <w:i w:val="0"/>
                <w:color w:val="101828"/>
                <w:sz w:val="14"/>
              </w:rPr>
              <w:t>A generic notice. Only for something that needs attention before it becomes a problem.</w:t>
            </w:r>
          </w:p>
        </w:tc>
      </w:tr>
      <w:tr>
        <w:trPr>
          <w:cantSplit/>
        </w:trPr>
        <w:tc>
          <w:tcPr>
            <w:tcW w:type="dxa" w:w="662"/>
            <w:tcMar>
              <w:top w:w="60" w:type="dxa"/>
              <w:start w:w="110" w:type="dxa"/>
              <w:bottom w:w="60" w:type="dxa"/>
              <w:end w:w="110" w:type="dxa"/>
            </w:tcMar>
          </w:tcPr>
          <w:p>
            <w:pPr>
              <w:spacing w:after="0"/>
            </w:pPr>
            <w:r/>
            <w:r>
              <w:rPr>
                <w:rFonts w:ascii="Calibri" w:hAnsi="Calibri"/>
                <w:b w:val="0"/>
                <w:i w:val="0"/>
                <w:color w:val="101828"/>
                <w:sz w:val="14"/>
              </w:rPr>
              <w:t>danger</w:t>
            </w:r>
          </w:p>
        </w:tc>
        <w:tc>
          <w:tcPr>
            <w:tcW w:type="dxa" w:w="605"/>
            <w:tcMar>
              <w:top w:w="60" w:type="dxa"/>
              <w:start w:w="110" w:type="dxa"/>
              <w:bottom w:w="60" w:type="dxa"/>
              <w:end w:w="110" w:type="dxa"/>
            </w:tcMar>
          </w:tcPr>
          <w:p>
            <w:pPr>
              <w:spacing w:after="0"/>
            </w:pPr>
            <w:r/>
            <w:r>
              <w:rPr>
                <w:rFonts w:ascii="Calibri" w:hAnsi="Calibri"/>
                <w:b w:val="0"/>
                <w:i w:val="0"/>
                <w:color w:val="101828"/>
                <w:sz w:val="14"/>
              </w:rPr>
              <w:t>#FEF3F2</w:t>
            </w:r>
          </w:p>
        </w:tc>
        <w:tc>
          <w:tcPr>
            <w:tcW w:type="dxa" w:w="734"/>
            <w:tcMar>
              <w:top w:w="60" w:type="dxa"/>
              <w:start w:w="110" w:type="dxa"/>
              <w:bottom w:w="60" w:type="dxa"/>
              <w:end w:w="110" w:type="dxa"/>
            </w:tcMar>
          </w:tcPr>
          <w:p>
            <w:pPr>
              <w:spacing w:after="0"/>
            </w:pPr>
            <w:r/>
            <w:r>
              <w:rPr>
                <w:rFonts w:ascii="Calibri" w:hAnsi="Calibri"/>
                <w:b w:val="0"/>
                <w:i w:val="0"/>
                <w:color w:val="101828"/>
                <w:sz w:val="14"/>
              </w:rPr>
              <w:t>#FECDCA</w:t>
            </w:r>
          </w:p>
        </w:tc>
        <w:tc>
          <w:tcPr>
            <w:tcW w:type="dxa" w:w="734"/>
            <w:tcMar>
              <w:top w:w="60" w:type="dxa"/>
              <w:start w:w="110" w:type="dxa"/>
              <w:bottom w:w="60" w:type="dxa"/>
              <w:end w:w="110" w:type="dxa"/>
            </w:tcMar>
          </w:tcPr>
          <w:p>
            <w:pPr>
              <w:spacing w:after="0"/>
            </w:pPr>
            <w:r/>
            <w:r>
              <w:rPr>
                <w:rFonts w:ascii="Calibri" w:hAnsi="Calibri"/>
                <w:b w:val="0"/>
                <w:i w:val="0"/>
                <w:color w:val="101828"/>
                <w:sz w:val="14"/>
              </w:rPr>
              <w:t>#B42318</w:t>
            </w:r>
          </w:p>
        </w:tc>
        <w:tc>
          <w:tcPr>
            <w:tcW w:type="dxa" w:w="605"/>
            <w:tcMar>
              <w:top w:w="60" w:type="dxa"/>
              <w:start w:w="110" w:type="dxa"/>
              <w:bottom w:w="60" w:type="dxa"/>
              <w:end w:w="110" w:type="dxa"/>
            </w:tcMar>
          </w:tcPr>
          <w:p>
            <w:pPr>
              <w:spacing w:after="0"/>
            </w:pPr>
            <w:r/>
            <w:r>
              <w:rPr>
                <w:rFonts w:ascii="Calibri" w:hAnsi="Calibri"/>
                <w:b w:val="0"/>
                <w:i w:val="0"/>
                <w:color w:val="101828"/>
                <w:sz w:val="14"/>
              </w:rPr>
              <w:t>6.2:1</w:t>
            </w:r>
          </w:p>
        </w:tc>
        <w:tc>
          <w:tcPr>
            <w:tcW w:type="dxa" w:w="6019"/>
            <w:tcMar>
              <w:top w:w="60" w:type="dxa"/>
              <w:start w:w="110" w:type="dxa"/>
              <w:bottom w:w="60" w:type="dxa"/>
              <w:end w:w="110" w:type="dxa"/>
            </w:tcMar>
          </w:tcPr>
          <w:p>
            <w:pPr>
              <w:spacing w:after="0"/>
            </w:pPr>
            <w:r/>
            <w:r>
              <w:rPr>
                <w:rFonts w:ascii="Calibri" w:hAnsi="Calibri"/>
                <w:b w:val="0"/>
                <w:i w:val="0"/>
                <w:color w:val="101828"/>
                <w:sz w:val="14"/>
              </w:rPr>
              <w:t>A declined payment, a failed payout, a frozen account, a destructive confirmation.</w:t>
            </w:r>
          </w:p>
        </w:tc>
      </w:tr>
      <w:tr>
        <w:trPr>
          <w:cantSplit/>
        </w:trPr>
        <w:tc>
          <w:tcPr>
            <w:tcW w:type="dxa" w:w="662"/>
            <w:tcMar>
              <w:top w:w="60" w:type="dxa"/>
              <w:start w:w="110" w:type="dxa"/>
              <w:bottom w:w="60" w:type="dxa"/>
              <w:end w:w="110" w:type="dxa"/>
            </w:tcMar>
            <w:shd w:val="clear" w:color="auto" w:fill="F4F7FB"/>
          </w:tcPr>
          <w:p>
            <w:pPr>
              <w:spacing w:after="0"/>
            </w:pPr>
            <w:r/>
            <w:r>
              <w:rPr>
                <w:rFonts w:ascii="Calibri" w:hAnsi="Calibri"/>
                <w:b w:val="0"/>
                <w:i w:val="0"/>
                <w:color w:val="101828"/>
                <w:sz w:val="14"/>
              </w:rPr>
              <w:t>information</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#EFF8FF</w:t>
            </w:r>
          </w:p>
        </w:tc>
        <w:tc>
          <w:tcPr>
            <w:tcW w:type="dxa" w:w="734"/>
            <w:tcMar>
              <w:top w:w="60" w:type="dxa"/>
              <w:start w:w="110" w:type="dxa"/>
              <w:bottom w:w="60" w:type="dxa"/>
              <w:end w:w="110" w:type="dxa"/>
            </w:tcMar>
            <w:shd w:val="clear" w:color="auto" w:fill="F4F7FB"/>
          </w:tcPr>
          <w:p>
            <w:pPr>
              <w:spacing w:after="0"/>
            </w:pPr>
            <w:r/>
            <w:r>
              <w:rPr>
                <w:rFonts w:ascii="Calibri" w:hAnsi="Calibri"/>
                <w:b w:val="0"/>
                <w:i w:val="0"/>
                <w:color w:val="101828"/>
                <w:sz w:val="14"/>
              </w:rPr>
              <w:t>#B2DDFF</w:t>
            </w:r>
          </w:p>
        </w:tc>
        <w:tc>
          <w:tcPr>
            <w:tcW w:type="dxa" w:w="734"/>
            <w:tcMar>
              <w:top w:w="60" w:type="dxa"/>
              <w:start w:w="110" w:type="dxa"/>
              <w:bottom w:w="60" w:type="dxa"/>
              <w:end w:w="110" w:type="dxa"/>
            </w:tcMar>
            <w:shd w:val="clear" w:color="auto" w:fill="F4F7FB"/>
          </w:tcPr>
          <w:p>
            <w:pPr>
              <w:spacing w:after="0"/>
            </w:pPr>
            <w:r/>
            <w:r>
              <w:rPr>
                <w:rFonts w:ascii="Calibri" w:hAnsi="Calibri"/>
                <w:b w:val="0"/>
                <w:i w:val="0"/>
                <w:color w:val="101828"/>
                <w:sz w:val="14"/>
              </w:rPr>
              <w:t>#175CD3</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6.1:1</w:t>
            </w:r>
          </w:p>
        </w:tc>
        <w:tc>
          <w:tcPr>
            <w:tcW w:type="dxa" w:w="6019"/>
            <w:tcMar>
              <w:top w:w="60" w:type="dxa"/>
              <w:start w:w="110" w:type="dxa"/>
              <w:bottom w:w="60" w:type="dxa"/>
              <w:end w:w="110" w:type="dxa"/>
            </w:tcMar>
            <w:shd w:val="clear" w:color="auto" w:fill="F4F7FB"/>
          </w:tcPr>
          <w:p>
            <w:pPr>
              <w:spacing w:after="0"/>
            </w:pPr>
            <w:r/>
            <w:r>
              <w:rPr>
                <w:rFonts w:ascii="Calibri" w:hAnsi="Calibri"/>
                <w:b w:val="0"/>
                <w:i w:val="0"/>
                <w:color w:val="101828"/>
                <w:sz w:val="14"/>
              </w:rPr>
              <w:t>Anything that is merely helpful. If it does not change what the person should do, it is not a banner.</w:t>
            </w:r>
          </w:p>
        </w:tc>
      </w:tr>
    </w:tbl>
    <w:p>
      <w:pPr>
        <w:spacing w:after="80"/>
      </w:pPr>
    </w:p>
    <w:p>
      <w:pPr>
        <w:pStyle w:val="Heading3"/>
      </w:pPr>
      <w:r>
        <w:rPr>
          <w:rFonts w:ascii="Calibri" w:hAnsi="Calibri"/>
          <w:b/>
          <w:i w:val="0"/>
          <w:color w:val="0B1F3A"/>
          <w:sz w:val="24"/>
        </w:rPr>
        <w:t>7.3.3 Money and state colour</w:t>
      </w:r>
    </w:p>
    <w:p>
      <w:r>
        <w:rPr>
          <w:rFonts w:ascii="Calibri" w:hAnsi="Calibri"/>
          <w:b w:val="0"/>
          <w:i w:val="0"/>
          <w:color w:val="101828"/>
          <w:sz w:val="21"/>
        </w:rPr>
        <w:t xml:space="preserve">A specific and deliberate decision: </w:t>
      </w:r>
      <w:r>
        <w:rPr>
          <w:rFonts w:ascii="Calibri" w:hAnsi="Calibri"/>
          <w:b/>
          <w:color w:val="101828"/>
          <w:sz w:val="21"/>
        </w:rPr>
        <w:t>money and payment states are not coloured semantically.</w:t>
      </w:r>
      <w:r>
        <w:rPr>
          <w:rFonts w:ascii="Calibri" w:hAnsi="Calibri"/>
          <w:b w:val="0"/>
          <w:i w:val="0"/>
          <w:color w:val="101828"/>
          <w:sz w:val="21"/>
        </w:rPr>
        <w:t xml:space="preserve"> A paid contribution is not green and an overdue one is not red, because the same words appear in the roster, the schedule, the statement and the receipt, and colouring them there would make one screen's green another screen's warning. Money is always Dark, and state is always a word.</w:t>
      </w:r>
    </w:p>
    <w:p>
      <w:pPr>
        <w:spacing w:before="0" w:after="0" w:line="240" w:lineRule="auto"/>
        <w:ind w:left="230"/>
        <w:shd w:val="clear" w:color="auto" w:fill="F7F9FC"/>
        <w:pBdr>
          <w:left w:val="single" w:sz="4" w:space="6" w:color="D0D5DD"/>
        </w:pBdr>
      </w:pPr>
      <w:r>
        <w:rPr>
          <w:rFonts w:ascii="Consolas" w:hAnsi="Consolas"/>
          <w:color w:val="0B1F3A"/>
          <w:sz w:val="16"/>
        </w:rPr>
        <w:t>PAID       Dark on Cloud        #101828 on #F4F7FB</w:t>
      </w:r>
    </w:p>
    <w:p>
      <w:pPr>
        <w:spacing w:before="0" w:after="0" w:line="240" w:lineRule="auto"/>
        <w:ind w:left="230"/>
        <w:shd w:val="clear" w:color="auto" w:fill="F7F9FC"/>
        <w:pBdr>
          <w:left w:val="single" w:sz="4" w:space="6" w:color="D0D5DD"/>
        </w:pBdr>
      </w:pPr>
      <w:r>
        <w:rPr>
          <w:rFonts w:ascii="Consolas" w:hAnsi="Consolas"/>
          <w:color w:val="0B1F3A"/>
          <w:sz w:val="16"/>
        </w:rPr>
        <w:t>DUE        Dark on White        #101828 on #FFFFFF, with a Gold left rule</w:t>
      </w:r>
    </w:p>
    <w:p>
      <w:pPr>
        <w:spacing w:before="0" w:after="0" w:line="240" w:lineRule="auto"/>
        <w:ind w:left="230"/>
        <w:shd w:val="clear" w:color="auto" w:fill="F7F9FC"/>
        <w:pBdr>
          <w:left w:val="single" w:sz="4" w:space="6" w:color="D0D5DD"/>
        </w:pBdr>
      </w:pPr>
      <w:r>
        <w:rPr>
          <w:rFonts w:ascii="Consolas" w:hAnsi="Consolas"/>
          <w:color w:val="0B1F3A"/>
          <w:sz w:val="16"/>
        </w:rPr>
        <w:t>OVERDUE    Dark on danger fill  #101828 on #FEF3F2, with the word overdue</w:t>
      </w:r>
    </w:p>
    <w:p>
      <w:pPr>
        <w:spacing w:before="0" w:after="0" w:line="240" w:lineRule="auto"/>
        <w:ind w:left="230"/>
        <w:shd w:val="clear" w:color="auto" w:fill="F7F9FC"/>
        <w:pBdr>
          <w:left w:val="single" w:sz="4" w:space="6" w:color="D0D5DD"/>
        </w:pBdr>
      </w:pPr>
      <w:r>
        <w:rPr>
          <w:rFonts w:ascii="Consolas" w:hAnsi="Consolas"/>
          <w:color w:val="0B1F3A"/>
          <w:sz w:val="16"/>
        </w:rPr>
        <w:t>HELD       Dark on warning fill #101828 on #FFFAEB, with the word held</w:t>
      </w:r>
    </w:p>
    <w:p>
      <w:pPr>
        <w:spacing w:before="0" w:after="0" w:line="240" w:lineRule="auto"/>
        <w:ind w:left="230"/>
        <w:shd w:val="clear" w:color="auto" w:fill="F7F9FC"/>
        <w:pBdr>
          <w:left w:val="single" w:sz="4" w:space="6" w:color="D0D5DD"/>
        </w:pBdr>
      </w:pPr>
      <w:r>
        <w:rPr>
          <w:rFonts w:ascii="Consolas" w:hAnsi="Consolas"/>
          <w:color w:val="0B1F3A"/>
          <w:sz w:val="16"/>
        </w:rPr>
        <w:t>DEFAULTED  Dark on danger fill  #101828 on #FEF3F2, with the word defaulted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Gold is used only where a payout is imminent or a decision needs attention</w:t>
      </w:r>
    </w:p>
    <w:p>
      <w:pPr>
        <w:spacing w:before="0" w:after="0" w:line="240" w:lineRule="auto"/>
        <w:ind w:left="230"/>
        <w:shd w:val="clear" w:color="auto" w:fill="F7F9FC"/>
        <w:pBdr>
          <w:left w:val="single" w:sz="4" w:space="6" w:color="D0D5DD"/>
        </w:pBdr>
      </w:pPr>
      <w:r>
        <w:rPr>
          <w:rFonts w:ascii="Consolas" w:hAnsi="Consolas"/>
          <w:color w:val="0B1F3A"/>
          <w:sz w:val="16"/>
        </w:rPr>
        <w:t>before it becomes a problem. It is never the fill of a row.</w:t>
      </w:r>
    </w:p>
    <w:p>
      <w:pPr>
        <w:spacing w:before="140" w:after="180"/>
        <w:ind w:left="144"/>
        <w:shd w:val="clear" w:color="auto" w:fill="FEF3C7"/>
        <w:pBdr>
          <w:left w:val="single" w:sz="18" w:space="6" w:color="FBBF24"/>
        </w:pBdr>
      </w:pPr>
      <w:r>
        <w:rPr>
          <w:rFonts w:ascii="Calibri" w:hAnsi="Calibri"/>
          <w:b/>
          <w:color w:val="FBBF24"/>
          <w:sz w:val="19"/>
        </w:rPr>
        <w:t xml:space="preserve">Cyan is not a text colour  </w:t>
      </w:r>
      <w:r>
        <w:rPr>
          <w:rFonts w:ascii="Calibri" w:hAnsi="Calibri"/>
          <w:b w:val="0"/>
          <w:i w:val="0"/>
          <w:color w:val="0B1F3A"/>
          <w:sz w:val="19"/>
        </w:rPr>
        <w:t xml:space="preserve">Cyan #22C7D6 on White is roughly 2.0:1 and fails every text threshold at every size and weight. It appears in this system as a chart series, a progress fill and a banner background, and in each of those it is adjacent to a Dark or White glyph rather than carrying text itself. </w:t>
      </w:r>
      <w:r>
        <w:rPr>
          <w:rFonts w:ascii="Calibri" w:hAnsi="Calibri"/>
          <w:b/>
          <w:color w:val="0B1F3A"/>
          <w:sz w:val="19"/>
        </w:rPr>
        <w:t>The most common misuse is a Cyan link on a White page</w:t>
      </w:r>
      <w:r>
        <w:rPr>
          <w:rFonts w:ascii="Calibri" w:hAnsi="Calibri"/>
          <w:b w:val="0"/>
          <w:i w:val="0"/>
          <w:color w:val="0B1F3A"/>
          <w:sz w:val="19"/>
        </w:rPr>
        <w:t>, and it is worth stating as a prohibition because Cyan reads as a link colour and will be used as one by someone who has not read this section. Links are Primary #146EF5.</w:t>
      </w:r>
    </w:p>
    <w:p>
      <w:pPr>
        <w:pStyle w:val="Heading2"/>
      </w:pPr>
      <w:r>
        <w:rPr>
          <w:rFonts w:ascii="Calibri" w:hAnsi="Calibri"/>
          <w:b/>
          <w:i w:val="0"/>
          <w:color w:val="146EF5"/>
          <w:sz w:val="29"/>
        </w:rPr>
        <w:t>7.4 Typography</w:t>
      </w:r>
    </w:p>
    <w:p>
      <w:pPr>
        <w:pStyle w:val="Heading3"/>
      </w:pPr>
      <w:r>
        <w:rPr>
          <w:rFonts w:ascii="Calibri" w:hAnsi="Calibri"/>
          <w:b/>
          <w:i w:val="0"/>
          <w:color w:val="0B1F3A"/>
          <w:sz w:val="24"/>
        </w:rPr>
        <w:t>7.4.1 Typeface and fallbacks</w:t>
      </w:r>
    </w:p>
    <w:p>
      <w:r>
        <w:rPr>
          <w:rFonts w:ascii="Calibri" w:hAnsi="Calibri"/>
          <w:b w:val="0"/>
          <w:i w:val="0"/>
          <w:color w:val="101828"/>
          <w:sz w:val="21"/>
        </w:rPr>
        <w:t xml:space="preserve">One variable sans for the interface, chosen for legibility at small sizes on mid-range Android hardware rather than for character, because the least conspicuous screen in this product is a roster on a 375 px phone in daylight. </w:t>
      </w:r>
      <w:r>
        <w:rPr>
          <w:rFonts w:ascii="Calibri" w:hAnsi="Calibri"/>
          <w:b/>
          <w:color w:val="101828"/>
          <w:sz w:val="21"/>
        </w:rPr>
        <w:t>The choice of family is an ASSUMPTION pending the founders' confirmation</w:t>
      </w:r>
      <w:r>
        <w:rPr>
          <w:rFonts w:ascii="Calibri" w:hAnsi="Calibri"/>
          <w:b w:val="0"/>
          <w:i w:val="0"/>
          <w:color w:val="101828"/>
          <w:sz w:val="21"/>
        </w:rPr>
        <w:t>, and the tokens below are named rather than bound to a family so the scale survives a change of family.</w:t>
      </w:r>
    </w:p>
    <w:p>
      <w:pPr>
        <w:spacing w:after="40"/>
        <w:ind w:left="173"/>
      </w:pPr>
      <w:r>
        <w:rPr>
          <w:rFonts w:ascii="Calibri" w:hAnsi="Calibri"/>
          <w:b/>
          <w:color w:val="0B1F3A"/>
          <w:sz w:val="21"/>
        </w:rPr>
        <w:t xml:space="preserve">Sans stack  </w:t>
      </w:r>
      <w:r>
        <w:rPr>
          <w:rFonts w:ascii="Consolas" w:hAnsi="Consolas"/>
          <w:color w:val="146EF5"/>
          <w:sz w:val="21"/>
        </w:rPr>
        <w:t>'Inter var', 'Inter', -apple-system, 'Segoe UI', Roboto, 'Helvetica Neue', Arial, sans-serif</w:t>
      </w:r>
    </w:p>
    <w:p>
      <w:pPr>
        <w:spacing w:after="40"/>
        <w:ind w:left="173"/>
      </w:pPr>
      <w:r>
        <w:rPr>
          <w:rFonts w:ascii="Calibri" w:hAnsi="Calibri"/>
          <w:b/>
          <w:color w:val="0B1F3A"/>
          <w:sz w:val="21"/>
        </w:rPr>
        <w:t xml:space="preserve">Numeric stack  </w:t>
      </w:r>
      <w:r>
        <w:rPr>
          <w:rFonts w:ascii="Consolas" w:hAnsi="Consolas"/>
          <w:color w:val="146EF5"/>
          <w:sz w:val="21"/>
        </w:rPr>
        <w:t>'Inter var'</w:t>
      </w:r>
      <w:r>
        <w:rPr>
          <w:rFonts w:ascii="Calibri" w:hAnsi="Calibri"/>
          <w:b w:val="0"/>
          <w:i w:val="0"/>
          <w:color w:val="101828"/>
          <w:sz w:val="21"/>
        </w:rPr>
        <w:t xml:space="preserve"> with </w:t>
      </w:r>
      <w:r>
        <w:rPr>
          <w:rFonts w:ascii="Consolas" w:hAnsi="Consolas"/>
          <w:color w:val="146EF5"/>
          <w:sz w:val="21"/>
        </w:rPr>
        <w:t>font-variant-numeric: tabular-nums</w:t>
      </w:r>
      <w:r>
        <w:rPr>
          <w:rFonts w:ascii="Calibri" w:hAnsi="Calibri"/>
          <w:b w:val="0"/>
          <w:i w:val="0"/>
          <w:color w:val="101828"/>
          <w:sz w:val="21"/>
        </w:rPr>
        <w:t xml:space="preserve"> on every amount, count, date and reference</w:t>
      </w:r>
    </w:p>
    <w:p>
      <w:pPr>
        <w:spacing w:after="40"/>
        <w:ind w:left="173"/>
      </w:pPr>
      <w:r>
        <w:rPr>
          <w:rFonts w:ascii="Calibri" w:hAnsi="Calibri"/>
          <w:b/>
          <w:color w:val="0B1F3A"/>
          <w:sz w:val="21"/>
        </w:rPr>
        <w:t xml:space="preserve">Monospace  </w:t>
      </w:r>
      <w:r>
        <w:rPr>
          <w:rFonts w:ascii="Calibri" w:hAnsi="Calibri"/>
          <w:b w:val="0"/>
          <w:i w:val="0"/>
          <w:color w:val="101828"/>
          <w:sz w:val="21"/>
        </w:rPr>
        <w:t xml:space="preserve">Only inside </w:t>
      </w:r>
      <w:r>
        <w:rPr>
          <w:rFonts w:ascii="Consolas" w:hAnsi="Consolas"/>
          <w:color w:val="146EF5"/>
          <w:sz w:val="21"/>
        </w:rPr>
        <w:t>code</w:t>
      </w:r>
      <w:r>
        <w:rPr>
          <w:rFonts w:ascii="Calibri" w:hAnsi="Calibri"/>
          <w:b w:val="0"/>
          <w:i w:val="0"/>
          <w:color w:val="101828"/>
          <w:sz w:val="21"/>
        </w:rPr>
        <w:t xml:space="preserve"> regions: </w:t>
      </w:r>
      <w:r>
        <w:rPr>
          <w:rFonts w:ascii="Consolas" w:hAnsi="Consolas"/>
          <w:color w:val="146EF5"/>
          <w:sz w:val="21"/>
        </w:rPr>
        <w:t>ui-monospace, 'SF Mono', Menlo, Consolas, monospace</w:t>
      </w:r>
    </w:p>
    <w:p>
      <w:r>
        <w:rPr>
          <w:rFonts w:ascii="Calibri" w:hAnsi="Calibri"/>
          <w:b/>
          <w:color w:val="101828"/>
          <w:sz w:val="21"/>
        </w:rPr>
        <w:t>Every amount, count, date, and reference is tabular.</w:t>
      </w:r>
      <w:r>
        <w:rPr>
          <w:rFonts w:ascii="Calibri" w:hAnsi="Calibri"/>
          <w:b w:val="0"/>
          <w:i w:val="0"/>
          <w:color w:val="101828"/>
          <w:sz w:val="21"/>
        </w:rPr>
        <w:t xml:space="preserve"> This is not a polish decision. A schedule table whose naira column changes width as the digits change is unreadable as a column, and a receipt whose total does not align with the line above it is a receipt people photograph and ask about.</w:t>
      </w:r>
    </w:p>
    <w:p>
      <w:pPr>
        <w:pStyle w:val="Heading3"/>
      </w:pPr>
      <w:r>
        <w:rPr>
          <w:rFonts w:ascii="Calibri" w:hAnsi="Calibri"/>
          <w:b/>
          <w:i w:val="0"/>
          <w:color w:val="0B1F3A"/>
          <w:sz w:val="24"/>
        </w:rPr>
        <w:t>7.4.2 The scale</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138"/>
            <w:shd w:val="clear" w:color="auto" w:fill="0B1F3A"/>
            <w:tcMar>
              <w:top w:w="60" w:type="dxa"/>
              <w:start w:w="110" w:type="dxa"/>
              <w:bottom w:w="60" w:type="dxa"/>
              <w:end w:w="110" w:type="dxa"/>
            </w:tcMar>
          </w:tcPr>
          <w:p>
            <w:pPr>
              <w:spacing w:after="0"/>
            </w:pPr>
            <w:r/>
            <w:r>
              <w:rPr>
                <w:rFonts w:ascii="Calibri" w:hAnsi="Calibri"/>
                <w:b/>
                <w:i w:val="0"/>
                <w:color w:val="FFFFFF"/>
                <w:sz w:val="14"/>
              </w:rPr>
              <w:t>Token</w:t>
            </w:r>
          </w:p>
        </w:tc>
        <w:tc>
          <w:tcPr>
            <w:tcW w:type="dxa" w:w="1138"/>
            <w:shd w:val="clear" w:color="auto" w:fill="0B1F3A"/>
            <w:tcMar>
              <w:top w:w="60" w:type="dxa"/>
              <w:start w:w="110" w:type="dxa"/>
              <w:bottom w:w="60" w:type="dxa"/>
              <w:end w:w="110" w:type="dxa"/>
            </w:tcMar>
          </w:tcPr>
          <w:p>
            <w:pPr>
              <w:spacing w:after="0"/>
            </w:pPr>
            <w:r/>
            <w:r>
              <w:rPr>
                <w:rFonts w:ascii="Calibri" w:hAnsi="Calibri"/>
                <w:b/>
                <w:i w:val="0"/>
                <w:color w:val="FFFFFF"/>
                <w:sz w:val="14"/>
              </w:rPr>
              <w:t>Size / line</w:t>
            </w:r>
          </w:p>
        </w:tc>
        <w:tc>
          <w:tcPr>
            <w:tcW w:type="dxa" w:w="619"/>
            <w:shd w:val="clear" w:color="auto" w:fill="0B1F3A"/>
            <w:tcMar>
              <w:top w:w="60" w:type="dxa"/>
              <w:start w:w="110" w:type="dxa"/>
              <w:bottom w:w="60" w:type="dxa"/>
              <w:end w:w="110" w:type="dxa"/>
            </w:tcMar>
          </w:tcPr>
          <w:p>
            <w:pPr>
              <w:spacing w:after="0"/>
            </w:pPr>
            <w:r/>
            <w:r>
              <w:rPr>
                <w:rFonts w:ascii="Calibri" w:hAnsi="Calibri"/>
                <w:b/>
                <w:i w:val="0"/>
                <w:color w:val="FFFFFF"/>
                <w:sz w:val="14"/>
              </w:rPr>
              <w:t>Weight</w:t>
            </w:r>
          </w:p>
        </w:tc>
        <w:tc>
          <w:tcPr>
            <w:tcW w:type="dxa" w:w="5328"/>
            <w:shd w:val="clear" w:color="auto" w:fill="0B1F3A"/>
            <w:tcMar>
              <w:top w:w="60" w:type="dxa"/>
              <w:start w:w="110" w:type="dxa"/>
              <w:bottom w:w="60" w:type="dxa"/>
              <w:end w:w="110" w:type="dxa"/>
            </w:tcMar>
          </w:tcPr>
          <w:p>
            <w:pPr>
              <w:spacing w:after="0"/>
            </w:pPr>
            <w:r/>
            <w:r>
              <w:rPr>
                <w:rFonts w:ascii="Calibri" w:hAnsi="Calibri"/>
                <w:b/>
                <w:i w:val="0"/>
                <w:color w:val="FFFFFF"/>
                <w:sz w:val="14"/>
              </w:rPr>
              <w:t>Use</w:t>
            </w:r>
          </w:p>
        </w:tc>
        <w:tc>
          <w:tcPr>
            <w:tcW w:type="dxa" w:w="1138"/>
            <w:shd w:val="clear" w:color="auto" w:fill="0B1F3A"/>
            <w:tcMar>
              <w:top w:w="60" w:type="dxa"/>
              <w:start w:w="110" w:type="dxa"/>
              <w:bottom w:w="60" w:type="dxa"/>
              <w:end w:w="110" w:type="dxa"/>
            </w:tcMar>
          </w:tcPr>
          <w:p>
            <w:pPr>
              <w:spacing w:after="0"/>
            </w:pPr>
            <w:r/>
            <w:r>
              <w:rPr>
                <w:rFonts w:ascii="Calibri" w:hAnsi="Calibri"/>
                <w:b/>
                <w:i w:val="0"/>
                <w:color w:val="FFFFFF"/>
                <w:sz w:val="14"/>
              </w:rPr>
              <w:t>Max measure</w:t>
            </w:r>
          </w:p>
        </w:tc>
      </w:tr>
      <w:tr>
        <w:trPr>
          <w:cantSplit/>
        </w:trPr>
        <w:tc>
          <w:tcPr>
            <w:tcW w:type="dxa" w:w="1138"/>
            <w:tcMar>
              <w:top w:w="60" w:type="dxa"/>
              <w:start w:w="110" w:type="dxa"/>
              <w:bottom w:w="60" w:type="dxa"/>
              <w:end w:w="110" w:type="dxa"/>
            </w:tcMar>
          </w:tcPr>
          <w:p>
            <w:pPr>
              <w:spacing w:after="0"/>
            </w:pPr>
            <w:r/>
            <w:r>
              <w:rPr>
                <w:rFonts w:ascii="Calibri" w:hAnsi="Calibri"/>
                <w:b w:val="0"/>
                <w:i w:val="0"/>
                <w:color w:val="101828"/>
                <w:sz w:val="14"/>
              </w:rPr>
              <w:t>display</w:t>
            </w:r>
          </w:p>
        </w:tc>
        <w:tc>
          <w:tcPr>
            <w:tcW w:type="dxa" w:w="1138"/>
            <w:tcMar>
              <w:top w:w="60" w:type="dxa"/>
              <w:start w:w="110" w:type="dxa"/>
              <w:bottom w:w="60" w:type="dxa"/>
              <w:end w:w="110" w:type="dxa"/>
            </w:tcMar>
          </w:tcPr>
          <w:p>
            <w:pPr>
              <w:spacing w:after="0"/>
            </w:pPr>
            <w:r/>
            <w:r>
              <w:rPr>
                <w:rFonts w:ascii="Calibri" w:hAnsi="Calibri"/>
                <w:b w:val="0"/>
                <w:i w:val="0"/>
                <w:color w:val="101828"/>
                <w:sz w:val="14"/>
              </w:rPr>
              <w:t>44 / 48</w:t>
            </w:r>
          </w:p>
        </w:tc>
        <w:tc>
          <w:tcPr>
            <w:tcW w:type="dxa" w:w="619"/>
            <w:tcMar>
              <w:top w:w="60" w:type="dxa"/>
              <w:start w:w="110" w:type="dxa"/>
              <w:bottom w:w="60" w:type="dxa"/>
              <w:end w:w="110" w:type="dxa"/>
            </w:tcMar>
          </w:tcPr>
          <w:p>
            <w:pPr>
              <w:spacing w:after="0"/>
            </w:pPr>
            <w:r/>
            <w:r>
              <w:rPr>
                <w:rFonts w:ascii="Calibri" w:hAnsi="Calibri"/>
                <w:b w:val="0"/>
                <w:i w:val="0"/>
                <w:color w:val="101828"/>
                <w:sz w:val="14"/>
              </w:rPr>
              <w:t>700</w:t>
            </w:r>
          </w:p>
        </w:tc>
        <w:tc>
          <w:tcPr>
            <w:tcW w:type="dxa" w:w="5328"/>
            <w:tcMar>
              <w:top w:w="60" w:type="dxa"/>
              <w:start w:w="110" w:type="dxa"/>
              <w:bottom w:w="60" w:type="dxa"/>
              <w:end w:w="110" w:type="dxa"/>
            </w:tcMar>
          </w:tcPr>
          <w:p>
            <w:pPr>
              <w:spacing w:after="0"/>
            </w:pPr>
            <w:r/>
            <w:r>
              <w:rPr>
                <w:rFonts w:ascii="Calibri" w:hAnsi="Calibri"/>
                <w:b w:val="0"/>
                <w:i w:val="0"/>
                <w:color w:val="101828"/>
                <w:sz w:val="14"/>
              </w:rPr>
              <w:t>Marketing H1 only. Not used in the app.</w:t>
            </w:r>
          </w:p>
        </w:tc>
        <w:tc>
          <w:tcPr>
            <w:tcW w:type="dxa" w:w="1138"/>
            <w:tcMar>
              <w:top w:w="60" w:type="dxa"/>
              <w:start w:w="110" w:type="dxa"/>
              <w:bottom w:w="60" w:type="dxa"/>
              <w:end w:w="110" w:type="dxa"/>
            </w:tcMar>
          </w:tcPr>
          <w:p>
            <w:pPr>
              <w:spacing w:after="0"/>
            </w:pPr>
            <w:r/>
            <w:r>
              <w:rPr>
                <w:rFonts w:ascii="Calibri" w:hAnsi="Calibri"/>
                <w:b w:val="0"/>
                <w:i w:val="0"/>
                <w:color w:val="101828"/>
                <w:sz w:val="14"/>
              </w:rPr>
              <w:t>16ch</w:t>
            </w:r>
          </w:p>
        </w:tc>
      </w:tr>
      <w:tr>
        <w:trPr>
          <w:cantSplit/>
        </w:trPr>
        <w:tc>
          <w:tcPr>
            <w:tcW w:type="dxa" w:w="1138"/>
            <w:tcMar>
              <w:top w:w="60" w:type="dxa"/>
              <w:start w:w="110" w:type="dxa"/>
              <w:bottom w:w="60" w:type="dxa"/>
              <w:end w:w="110" w:type="dxa"/>
            </w:tcMar>
            <w:shd w:val="clear" w:color="auto" w:fill="F4F7FB"/>
          </w:tcPr>
          <w:p>
            <w:pPr>
              <w:spacing w:after="0"/>
            </w:pPr>
            <w:r/>
            <w:r>
              <w:rPr>
                <w:rFonts w:ascii="Calibri" w:hAnsi="Calibri"/>
                <w:b w:val="0"/>
                <w:i w:val="0"/>
                <w:color w:val="101828"/>
                <w:sz w:val="14"/>
              </w:rPr>
              <w:t>h1</w:t>
            </w:r>
          </w:p>
        </w:tc>
        <w:tc>
          <w:tcPr>
            <w:tcW w:type="dxa" w:w="1138"/>
            <w:tcMar>
              <w:top w:w="60" w:type="dxa"/>
              <w:start w:w="110" w:type="dxa"/>
              <w:bottom w:w="60" w:type="dxa"/>
              <w:end w:w="110" w:type="dxa"/>
            </w:tcMar>
            <w:shd w:val="clear" w:color="auto" w:fill="F4F7FB"/>
          </w:tcPr>
          <w:p>
            <w:pPr>
              <w:spacing w:after="0"/>
            </w:pPr>
            <w:r/>
            <w:r>
              <w:rPr>
                <w:rFonts w:ascii="Calibri" w:hAnsi="Calibri"/>
                <w:b w:val="0"/>
                <w:i w:val="0"/>
                <w:color w:val="101828"/>
                <w:sz w:val="14"/>
              </w:rPr>
              <w:t>32 / 38</w:t>
            </w:r>
          </w:p>
        </w:tc>
        <w:tc>
          <w:tcPr>
            <w:tcW w:type="dxa" w:w="619"/>
            <w:tcMar>
              <w:top w:w="60" w:type="dxa"/>
              <w:start w:w="110" w:type="dxa"/>
              <w:bottom w:w="60" w:type="dxa"/>
              <w:end w:w="110" w:type="dxa"/>
            </w:tcMar>
            <w:shd w:val="clear" w:color="auto" w:fill="F4F7FB"/>
          </w:tcPr>
          <w:p>
            <w:pPr>
              <w:spacing w:after="0"/>
            </w:pPr>
            <w:r/>
            <w:r>
              <w:rPr>
                <w:rFonts w:ascii="Calibri" w:hAnsi="Calibri"/>
                <w:b w:val="0"/>
                <w:i w:val="0"/>
                <w:color w:val="101828"/>
                <w:sz w:val="14"/>
              </w:rPr>
              <w:t>700</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4"/>
              </w:rPr>
              <w:t>Section title, page title on desktop</w:t>
            </w:r>
          </w:p>
        </w:tc>
        <w:tc>
          <w:tcPr>
            <w:tcW w:type="dxa" w:w="1138"/>
            <w:tcMar>
              <w:top w:w="60" w:type="dxa"/>
              <w:start w:w="110" w:type="dxa"/>
              <w:bottom w:w="60" w:type="dxa"/>
              <w:end w:w="110" w:type="dxa"/>
            </w:tcMar>
            <w:shd w:val="clear" w:color="auto" w:fill="F4F7FB"/>
          </w:tcPr>
          <w:p>
            <w:pPr>
              <w:spacing w:after="0"/>
            </w:pPr>
            <w:r/>
            <w:r>
              <w:rPr>
                <w:rFonts w:ascii="Calibri" w:hAnsi="Calibri"/>
                <w:b w:val="0"/>
                <w:i w:val="0"/>
                <w:color w:val="101828"/>
                <w:sz w:val="14"/>
              </w:rPr>
              <w:t>24ch</w:t>
            </w:r>
          </w:p>
        </w:tc>
      </w:tr>
      <w:tr>
        <w:trPr>
          <w:cantSplit/>
        </w:trPr>
        <w:tc>
          <w:tcPr>
            <w:tcW w:type="dxa" w:w="1138"/>
            <w:tcMar>
              <w:top w:w="60" w:type="dxa"/>
              <w:start w:w="110" w:type="dxa"/>
              <w:bottom w:w="60" w:type="dxa"/>
              <w:end w:w="110" w:type="dxa"/>
            </w:tcMar>
          </w:tcPr>
          <w:p>
            <w:pPr>
              <w:spacing w:after="0"/>
            </w:pPr>
            <w:r/>
            <w:r>
              <w:rPr>
                <w:rFonts w:ascii="Calibri" w:hAnsi="Calibri"/>
                <w:b w:val="0"/>
                <w:i w:val="0"/>
                <w:color w:val="101828"/>
                <w:sz w:val="14"/>
              </w:rPr>
              <w:t>h2</w:t>
            </w:r>
          </w:p>
        </w:tc>
        <w:tc>
          <w:tcPr>
            <w:tcW w:type="dxa" w:w="1138"/>
            <w:tcMar>
              <w:top w:w="60" w:type="dxa"/>
              <w:start w:w="110" w:type="dxa"/>
              <w:bottom w:w="60" w:type="dxa"/>
              <w:end w:w="110" w:type="dxa"/>
            </w:tcMar>
          </w:tcPr>
          <w:p>
            <w:pPr>
              <w:spacing w:after="0"/>
            </w:pPr>
            <w:r/>
            <w:r>
              <w:rPr>
                <w:rFonts w:ascii="Calibri" w:hAnsi="Calibri"/>
                <w:b w:val="0"/>
                <w:i w:val="0"/>
                <w:color w:val="101828"/>
                <w:sz w:val="14"/>
              </w:rPr>
              <w:t>24 / 30</w:t>
            </w:r>
          </w:p>
        </w:tc>
        <w:tc>
          <w:tcPr>
            <w:tcW w:type="dxa" w:w="619"/>
            <w:tcMar>
              <w:top w:w="60" w:type="dxa"/>
              <w:start w:w="110" w:type="dxa"/>
              <w:bottom w:w="60" w:type="dxa"/>
              <w:end w:w="110" w:type="dxa"/>
            </w:tcMar>
          </w:tcPr>
          <w:p>
            <w:pPr>
              <w:spacing w:after="0"/>
            </w:pPr>
            <w:r/>
            <w:r>
              <w:rPr>
                <w:rFonts w:ascii="Calibri" w:hAnsi="Calibri"/>
                <w:b w:val="0"/>
                <w:i w:val="0"/>
                <w:color w:val="101828"/>
                <w:sz w:val="14"/>
              </w:rPr>
              <w:t>600</w:t>
            </w:r>
          </w:p>
        </w:tc>
        <w:tc>
          <w:tcPr>
            <w:tcW w:type="dxa" w:w="5328"/>
            <w:tcMar>
              <w:top w:w="60" w:type="dxa"/>
              <w:start w:w="110" w:type="dxa"/>
              <w:bottom w:w="60" w:type="dxa"/>
              <w:end w:w="110" w:type="dxa"/>
            </w:tcMar>
          </w:tcPr>
          <w:p>
            <w:pPr>
              <w:spacing w:after="0"/>
            </w:pPr>
            <w:r/>
            <w:r>
              <w:rPr>
                <w:rFonts w:ascii="Calibri" w:hAnsi="Calibri"/>
                <w:b w:val="0"/>
                <w:i w:val="0"/>
                <w:color w:val="101828"/>
                <w:sz w:val="14"/>
              </w:rPr>
              <w:t>Screen title, card title</w:t>
            </w:r>
          </w:p>
        </w:tc>
        <w:tc>
          <w:tcPr>
            <w:tcW w:type="dxa" w:w="1138"/>
            <w:tcMar>
              <w:top w:w="60" w:type="dxa"/>
              <w:start w:w="110" w:type="dxa"/>
              <w:bottom w:w="60" w:type="dxa"/>
              <w:end w:w="110" w:type="dxa"/>
            </w:tcMar>
          </w:tcPr>
          <w:p>
            <w:pPr>
              <w:spacing w:after="0"/>
            </w:pPr>
            <w:r/>
            <w:r>
              <w:rPr>
                <w:rFonts w:ascii="Calibri" w:hAnsi="Calibri"/>
                <w:b w:val="0"/>
                <w:i w:val="0"/>
                <w:color w:val="101828"/>
                <w:sz w:val="14"/>
              </w:rPr>
              <w:t>32ch</w:t>
            </w:r>
          </w:p>
        </w:tc>
      </w:tr>
      <w:tr>
        <w:trPr>
          <w:cantSplit/>
        </w:trPr>
        <w:tc>
          <w:tcPr>
            <w:tcW w:type="dxa" w:w="1138"/>
            <w:tcMar>
              <w:top w:w="60" w:type="dxa"/>
              <w:start w:w="110" w:type="dxa"/>
              <w:bottom w:w="60" w:type="dxa"/>
              <w:end w:w="110" w:type="dxa"/>
            </w:tcMar>
            <w:shd w:val="clear" w:color="auto" w:fill="F4F7FB"/>
          </w:tcPr>
          <w:p>
            <w:pPr>
              <w:spacing w:after="0"/>
            </w:pPr>
            <w:r/>
            <w:r>
              <w:rPr>
                <w:rFonts w:ascii="Calibri" w:hAnsi="Calibri"/>
                <w:b w:val="0"/>
                <w:i w:val="0"/>
                <w:color w:val="101828"/>
                <w:sz w:val="14"/>
              </w:rPr>
              <w:t>h3</w:t>
            </w:r>
          </w:p>
        </w:tc>
        <w:tc>
          <w:tcPr>
            <w:tcW w:type="dxa" w:w="1138"/>
            <w:tcMar>
              <w:top w:w="60" w:type="dxa"/>
              <w:start w:w="110" w:type="dxa"/>
              <w:bottom w:w="60" w:type="dxa"/>
              <w:end w:w="110" w:type="dxa"/>
            </w:tcMar>
            <w:shd w:val="clear" w:color="auto" w:fill="F4F7FB"/>
          </w:tcPr>
          <w:p>
            <w:pPr>
              <w:spacing w:after="0"/>
            </w:pPr>
            <w:r/>
            <w:r>
              <w:rPr>
                <w:rFonts w:ascii="Calibri" w:hAnsi="Calibri"/>
                <w:b w:val="0"/>
                <w:i w:val="0"/>
                <w:color w:val="101828"/>
                <w:sz w:val="14"/>
              </w:rPr>
              <w:t>19 / 26</w:t>
            </w:r>
          </w:p>
        </w:tc>
        <w:tc>
          <w:tcPr>
            <w:tcW w:type="dxa" w:w="619"/>
            <w:tcMar>
              <w:top w:w="60" w:type="dxa"/>
              <w:start w:w="110" w:type="dxa"/>
              <w:bottom w:w="60" w:type="dxa"/>
              <w:end w:w="110" w:type="dxa"/>
            </w:tcMar>
            <w:shd w:val="clear" w:color="auto" w:fill="F4F7FB"/>
          </w:tcPr>
          <w:p>
            <w:pPr>
              <w:spacing w:after="0"/>
            </w:pPr>
            <w:r/>
            <w:r>
              <w:rPr>
                <w:rFonts w:ascii="Calibri" w:hAnsi="Calibri"/>
                <w:b w:val="0"/>
                <w:i w:val="0"/>
                <w:color w:val="101828"/>
                <w:sz w:val="14"/>
              </w:rPr>
              <w:t>600</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4"/>
              </w:rPr>
              <w:t>Sub-section, list group heading</w:t>
            </w:r>
          </w:p>
        </w:tc>
        <w:tc>
          <w:tcPr>
            <w:tcW w:type="dxa" w:w="1138"/>
            <w:tcMar>
              <w:top w:w="60" w:type="dxa"/>
              <w:start w:w="110" w:type="dxa"/>
              <w:bottom w:w="60" w:type="dxa"/>
              <w:end w:w="110" w:type="dxa"/>
            </w:tcMar>
            <w:shd w:val="clear" w:color="auto" w:fill="F4F7FB"/>
          </w:tcPr>
          <w:p>
            <w:pPr>
              <w:spacing w:after="0"/>
            </w:pPr>
            <w:r/>
            <w:r>
              <w:rPr>
                <w:rFonts w:ascii="Calibri" w:hAnsi="Calibri"/>
                <w:b w:val="0"/>
                <w:i w:val="0"/>
                <w:color w:val="101828"/>
                <w:sz w:val="14"/>
              </w:rPr>
              <w:t>44ch</w:t>
            </w:r>
          </w:p>
        </w:tc>
      </w:tr>
      <w:tr>
        <w:trPr>
          <w:cantSplit/>
        </w:trPr>
        <w:tc>
          <w:tcPr>
            <w:tcW w:type="dxa" w:w="1138"/>
            <w:tcMar>
              <w:top w:w="60" w:type="dxa"/>
              <w:start w:w="110" w:type="dxa"/>
              <w:bottom w:w="60" w:type="dxa"/>
              <w:end w:w="110" w:type="dxa"/>
            </w:tcMar>
          </w:tcPr>
          <w:p>
            <w:pPr>
              <w:spacing w:after="0"/>
            </w:pPr>
            <w:r/>
            <w:r>
              <w:rPr>
                <w:rFonts w:ascii="Calibri" w:hAnsi="Calibri"/>
                <w:b w:val="0"/>
                <w:i w:val="0"/>
                <w:color w:val="101828"/>
                <w:sz w:val="14"/>
              </w:rPr>
              <w:t>body</w:t>
            </w:r>
          </w:p>
        </w:tc>
        <w:tc>
          <w:tcPr>
            <w:tcW w:type="dxa" w:w="1138"/>
            <w:tcMar>
              <w:top w:w="60" w:type="dxa"/>
              <w:start w:w="110" w:type="dxa"/>
              <w:bottom w:w="60" w:type="dxa"/>
              <w:end w:w="110" w:type="dxa"/>
            </w:tcMar>
          </w:tcPr>
          <w:p>
            <w:pPr>
              <w:spacing w:after="0"/>
            </w:pPr>
            <w:r/>
            <w:r>
              <w:rPr>
                <w:rFonts w:ascii="Calibri" w:hAnsi="Calibri"/>
                <w:b w:val="0"/>
                <w:i w:val="0"/>
                <w:color w:val="101828"/>
                <w:sz w:val="14"/>
              </w:rPr>
              <w:t>16 / 24</w:t>
            </w:r>
          </w:p>
        </w:tc>
        <w:tc>
          <w:tcPr>
            <w:tcW w:type="dxa" w:w="619"/>
            <w:tcMar>
              <w:top w:w="60" w:type="dxa"/>
              <w:start w:w="110" w:type="dxa"/>
              <w:bottom w:w="60" w:type="dxa"/>
              <w:end w:w="110" w:type="dxa"/>
            </w:tcMar>
          </w:tcPr>
          <w:p>
            <w:pPr>
              <w:spacing w:after="0"/>
            </w:pPr>
            <w:r/>
            <w:r>
              <w:rPr>
                <w:rFonts w:ascii="Calibri" w:hAnsi="Calibri"/>
                <w:b w:val="0"/>
                <w:i w:val="0"/>
                <w:color w:val="101828"/>
                <w:sz w:val="14"/>
              </w:rPr>
              <w:t>400</w:t>
            </w:r>
          </w:p>
        </w:tc>
        <w:tc>
          <w:tcPr>
            <w:tcW w:type="dxa" w:w="5328"/>
            <w:tcMar>
              <w:top w:w="60" w:type="dxa"/>
              <w:start w:w="110" w:type="dxa"/>
              <w:bottom w:w="60" w:type="dxa"/>
              <w:end w:w="110" w:type="dxa"/>
            </w:tcMar>
          </w:tcPr>
          <w:p>
            <w:pPr>
              <w:spacing w:after="0"/>
            </w:pPr>
            <w:r/>
            <w:r>
              <w:rPr>
                <w:rFonts w:ascii="Calibri" w:hAnsi="Calibri"/>
                <w:b w:val="0"/>
                <w:i w:val="0"/>
                <w:color w:val="101828"/>
                <w:sz w:val="14"/>
              </w:rPr>
              <w:t>All body copy, all table cells</w:t>
            </w:r>
          </w:p>
        </w:tc>
        <w:tc>
          <w:tcPr>
            <w:tcW w:type="dxa" w:w="1138"/>
            <w:tcMar>
              <w:top w:w="60" w:type="dxa"/>
              <w:start w:w="110" w:type="dxa"/>
              <w:bottom w:w="60" w:type="dxa"/>
              <w:end w:w="110" w:type="dxa"/>
            </w:tcMar>
          </w:tcPr>
          <w:p>
            <w:pPr>
              <w:spacing w:after="0"/>
            </w:pPr>
            <w:r/>
            <w:r>
              <w:rPr>
                <w:rFonts w:ascii="Calibri" w:hAnsi="Calibri"/>
                <w:b w:val="0"/>
                <w:i w:val="0"/>
                <w:color w:val="101828"/>
                <w:sz w:val="14"/>
              </w:rPr>
              <w:t>68ch</w:t>
            </w:r>
          </w:p>
        </w:tc>
      </w:tr>
      <w:tr>
        <w:trPr>
          <w:cantSplit/>
        </w:trPr>
        <w:tc>
          <w:tcPr>
            <w:tcW w:type="dxa" w:w="1138"/>
            <w:tcMar>
              <w:top w:w="60" w:type="dxa"/>
              <w:start w:w="110" w:type="dxa"/>
              <w:bottom w:w="60" w:type="dxa"/>
              <w:end w:w="110" w:type="dxa"/>
            </w:tcMar>
            <w:shd w:val="clear" w:color="auto" w:fill="F4F7FB"/>
          </w:tcPr>
          <w:p>
            <w:pPr>
              <w:spacing w:after="0"/>
            </w:pPr>
            <w:r/>
            <w:r>
              <w:rPr>
                <w:rFonts w:ascii="Calibri" w:hAnsi="Calibri"/>
                <w:b w:val="0"/>
                <w:i w:val="0"/>
                <w:color w:val="101828"/>
                <w:sz w:val="14"/>
              </w:rPr>
              <w:t>body-strong</w:t>
            </w:r>
          </w:p>
        </w:tc>
        <w:tc>
          <w:tcPr>
            <w:tcW w:type="dxa" w:w="1138"/>
            <w:tcMar>
              <w:top w:w="60" w:type="dxa"/>
              <w:start w:w="110" w:type="dxa"/>
              <w:bottom w:w="60" w:type="dxa"/>
              <w:end w:w="110" w:type="dxa"/>
            </w:tcMar>
            <w:shd w:val="clear" w:color="auto" w:fill="F4F7FB"/>
          </w:tcPr>
          <w:p>
            <w:pPr>
              <w:spacing w:after="0"/>
            </w:pPr>
            <w:r/>
            <w:r>
              <w:rPr>
                <w:rFonts w:ascii="Calibri" w:hAnsi="Calibri"/>
                <w:b w:val="0"/>
                <w:i w:val="0"/>
                <w:color w:val="101828"/>
                <w:sz w:val="14"/>
              </w:rPr>
              <w:t>16 / 24</w:t>
            </w:r>
          </w:p>
        </w:tc>
        <w:tc>
          <w:tcPr>
            <w:tcW w:type="dxa" w:w="619"/>
            <w:tcMar>
              <w:top w:w="60" w:type="dxa"/>
              <w:start w:w="110" w:type="dxa"/>
              <w:bottom w:w="60" w:type="dxa"/>
              <w:end w:w="110" w:type="dxa"/>
            </w:tcMar>
            <w:shd w:val="clear" w:color="auto" w:fill="F4F7FB"/>
          </w:tcPr>
          <w:p>
            <w:pPr>
              <w:spacing w:after="0"/>
            </w:pPr>
            <w:r/>
            <w:r>
              <w:rPr>
                <w:rFonts w:ascii="Calibri" w:hAnsi="Calibri"/>
                <w:b w:val="0"/>
                <w:i w:val="0"/>
                <w:color w:val="101828"/>
                <w:sz w:val="14"/>
              </w:rPr>
              <w:t>600</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4"/>
              </w:rPr>
              <w:t>Emphasis inside body copy, labels that must be found</w:t>
            </w:r>
          </w:p>
        </w:tc>
        <w:tc>
          <w:tcPr>
            <w:tcW w:type="dxa" w:w="1138"/>
            <w:tcMar>
              <w:top w:w="60" w:type="dxa"/>
              <w:start w:w="110" w:type="dxa"/>
              <w:bottom w:w="60" w:type="dxa"/>
              <w:end w:w="110" w:type="dxa"/>
            </w:tcMar>
            <w:shd w:val="clear" w:color="auto" w:fill="F4F7FB"/>
          </w:tcPr>
          <w:p>
            <w:pPr>
              <w:spacing w:after="0"/>
            </w:pPr>
            <w:r/>
            <w:r>
              <w:rPr>
                <w:rFonts w:ascii="Calibri" w:hAnsi="Calibri"/>
                <w:b w:val="0"/>
                <w:i w:val="0"/>
                <w:color w:val="101828"/>
                <w:sz w:val="14"/>
              </w:rPr>
              <w:t>68ch</w:t>
            </w:r>
          </w:p>
        </w:tc>
      </w:tr>
      <w:tr>
        <w:trPr>
          <w:cantSplit/>
        </w:trPr>
        <w:tc>
          <w:tcPr>
            <w:tcW w:type="dxa" w:w="1138"/>
            <w:tcMar>
              <w:top w:w="60" w:type="dxa"/>
              <w:start w:w="110" w:type="dxa"/>
              <w:bottom w:w="60" w:type="dxa"/>
              <w:end w:w="110" w:type="dxa"/>
            </w:tcMar>
          </w:tcPr>
          <w:p>
            <w:pPr>
              <w:spacing w:after="0"/>
            </w:pPr>
            <w:r/>
            <w:r>
              <w:rPr>
                <w:rFonts w:ascii="Calibri" w:hAnsi="Calibri"/>
                <w:b w:val="0"/>
                <w:i w:val="0"/>
                <w:color w:val="101828"/>
                <w:sz w:val="14"/>
              </w:rPr>
              <w:t>label</w:t>
            </w:r>
          </w:p>
        </w:tc>
        <w:tc>
          <w:tcPr>
            <w:tcW w:type="dxa" w:w="1138"/>
            <w:tcMar>
              <w:top w:w="60" w:type="dxa"/>
              <w:start w:w="110" w:type="dxa"/>
              <w:bottom w:w="60" w:type="dxa"/>
              <w:end w:w="110" w:type="dxa"/>
            </w:tcMar>
          </w:tcPr>
          <w:p>
            <w:pPr>
              <w:spacing w:after="0"/>
            </w:pPr>
            <w:r/>
            <w:r>
              <w:rPr>
                <w:rFonts w:ascii="Calibri" w:hAnsi="Calibri"/>
                <w:b w:val="0"/>
                <w:i w:val="0"/>
                <w:color w:val="101828"/>
                <w:sz w:val="14"/>
              </w:rPr>
              <w:t>14 / 20</w:t>
            </w:r>
          </w:p>
        </w:tc>
        <w:tc>
          <w:tcPr>
            <w:tcW w:type="dxa" w:w="619"/>
            <w:tcMar>
              <w:top w:w="60" w:type="dxa"/>
              <w:start w:w="110" w:type="dxa"/>
              <w:bottom w:w="60" w:type="dxa"/>
              <w:end w:w="110" w:type="dxa"/>
            </w:tcMar>
          </w:tcPr>
          <w:p>
            <w:pPr>
              <w:spacing w:after="0"/>
            </w:pPr>
            <w:r/>
            <w:r>
              <w:rPr>
                <w:rFonts w:ascii="Calibri" w:hAnsi="Calibri"/>
                <w:b w:val="0"/>
                <w:i w:val="0"/>
                <w:color w:val="101828"/>
                <w:sz w:val="14"/>
              </w:rPr>
              <w:t>500</w:t>
            </w:r>
          </w:p>
        </w:tc>
        <w:tc>
          <w:tcPr>
            <w:tcW w:type="dxa" w:w="5328"/>
            <w:tcMar>
              <w:top w:w="60" w:type="dxa"/>
              <w:start w:w="110" w:type="dxa"/>
              <w:bottom w:w="60" w:type="dxa"/>
              <w:end w:w="110" w:type="dxa"/>
            </w:tcMar>
          </w:tcPr>
          <w:p>
            <w:pPr>
              <w:spacing w:after="0"/>
            </w:pPr>
            <w:r/>
            <w:r>
              <w:rPr>
                <w:rFonts w:ascii="Calibri" w:hAnsi="Calibri"/>
                <w:b w:val="0"/>
                <w:i w:val="0"/>
                <w:color w:val="101828"/>
                <w:sz w:val="14"/>
              </w:rPr>
              <w:t>Field labels, table headers, button labels</w:t>
            </w:r>
          </w:p>
        </w:tc>
        <w:tc>
          <w:tcPr>
            <w:tcW w:type="dxa" w:w="1138"/>
            <w:tcMar>
              <w:top w:w="60" w:type="dxa"/>
              <w:start w:w="110" w:type="dxa"/>
              <w:bottom w:w="60" w:type="dxa"/>
              <w:end w:w="110" w:type="dxa"/>
            </w:tcMar>
          </w:tcPr>
          <w:p>
            <w:pPr>
              <w:spacing w:after="0"/>
            </w:pPr>
            <w:r/>
            <w:r>
              <w:rPr>
                <w:rFonts w:ascii="Calibri" w:hAnsi="Calibri"/>
                <w:b w:val="0"/>
                <w:i w:val="0"/>
                <w:color w:val="101828"/>
                <w:sz w:val="14"/>
              </w:rPr>
              <w:t>—</w:t>
            </w:r>
          </w:p>
        </w:tc>
      </w:tr>
      <w:tr>
        <w:trPr>
          <w:cantSplit/>
        </w:trPr>
        <w:tc>
          <w:tcPr>
            <w:tcW w:type="dxa" w:w="1138"/>
            <w:tcMar>
              <w:top w:w="60" w:type="dxa"/>
              <w:start w:w="110" w:type="dxa"/>
              <w:bottom w:w="60" w:type="dxa"/>
              <w:end w:w="110" w:type="dxa"/>
            </w:tcMar>
            <w:shd w:val="clear" w:color="auto" w:fill="F4F7FB"/>
          </w:tcPr>
          <w:p>
            <w:pPr>
              <w:spacing w:after="0"/>
            </w:pPr>
            <w:r/>
            <w:r>
              <w:rPr>
                <w:rFonts w:ascii="Calibri" w:hAnsi="Calibri"/>
                <w:b w:val="0"/>
                <w:i w:val="0"/>
                <w:color w:val="101828"/>
                <w:sz w:val="14"/>
              </w:rPr>
              <w:t>caption</w:t>
            </w:r>
          </w:p>
        </w:tc>
        <w:tc>
          <w:tcPr>
            <w:tcW w:type="dxa" w:w="1138"/>
            <w:tcMar>
              <w:top w:w="60" w:type="dxa"/>
              <w:start w:w="110" w:type="dxa"/>
              <w:bottom w:w="60" w:type="dxa"/>
              <w:end w:w="110" w:type="dxa"/>
            </w:tcMar>
            <w:shd w:val="clear" w:color="auto" w:fill="F4F7FB"/>
          </w:tcPr>
          <w:p>
            <w:pPr>
              <w:spacing w:after="0"/>
            </w:pPr>
            <w:r/>
            <w:r>
              <w:rPr>
                <w:rFonts w:ascii="Calibri" w:hAnsi="Calibri"/>
                <w:b w:val="0"/>
                <w:i w:val="0"/>
                <w:color w:val="101828"/>
                <w:sz w:val="14"/>
              </w:rPr>
              <w:t>13 / 18</w:t>
            </w:r>
          </w:p>
        </w:tc>
        <w:tc>
          <w:tcPr>
            <w:tcW w:type="dxa" w:w="619"/>
            <w:tcMar>
              <w:top w:w="60" w:type="dxa"/>
              <w:start w:w="110" w:type="dxa"/>
              <w:bottom w:w="60" w:type="dxa"/>
              <w:end w:w="110" w:type="dxa"/>
            </w:tcMar>
            <w:shd w:val="clear" w:color="auto" w:fill="F4F7FB"/>
          </w:tcPr>
          <w:p>
            <w:pPr>
              <w:spacing w:after="0"/>
            </w:pPr>
            <w:r/>
            <w:r>
              <w:rPr>
                <w:rFonts w:ascii="Calibri" w:hAnsi="Calibri"/>
                <w:b w:val="0"/>
                <w:i w:val="0"/>
                <w:color w:val="101828"/>
                <w:sz w:val="14"/>
              </w:rPr>
              <w:t>400</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4"/>
              </w:rPr>
              <w:t>Supporting text, helper text, references</w:t>
            </w:r>
          </w:p>
        </w:tc>
        <w:tc>
          <w:tcPr>
            <w:tcW w:type="dxa" w:w="1138"/>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r>
      <w:tr>
        <w:trPr>
          <w:cantSplit/>
        </w:trPr>
        <w:tc>
          <w:tcPr>
            <w:tcW w:type="dxa" w:w="1138"/>
            <w:tcMar>
              <w:top w:w="60" w:type="dxa"/>
              <w:start w:w="110" w:type="dxa"/>
              <w:bottom w:w="60" w:type="dxa"/>
              <w:end w:w="110" w:type="dxa"/>
            </w:tcMar>
          </w:tcPr>
          <w:p>
            <w:pPr>
              <w:spacing w:after="0"/>
            </w:pPr>
            <w:r/>
            <w:r>
              <w:rPr>
                <w:rFonts w:ascii="Calibri" w:hAnsi="Calibri"/>
                <w:b w:val="0"/>
                <w:i w:val="0"/>
                <w:color w:val="101828"/>
                <w:sz w:val="14"/>
              </w:rPr>
              <w:t>micro</w:t>
            </w:r>
          </w:p>
        </w:tc>
        <w:tc>
          <w:tcPr>
            <w:tcW w:type="dxa" w:w="1138"/>
            <w:tcMar>
              <w:top w:w="60" w:type="dxa"/>
              <w:start w:w="110" w:type="dxa"/>
              <w:bottom w:w="60" w:type="dxa"/>
              <w:end w:w="110" w:type="dxa"/>
            </w:tcMar>
          </w:tcPr>
          <w:p>
            <w:pPr>
              <w:spacing w:after="0"/>
            </w:pPr>
            <w:r/>
            <w:r>
              <w:rPr>
                <w:rFonts w:ascii="Calibri" w:hAnsi="Calibri"/>
                <w:b w:val="0"/>
                <w:i w:val="0"/>
                <w:color w:val="101828"/>
                <w:sz w:val="14"/>
              </w:rPr>
              <w:t>12 / 16</w:t>
            </w:r>
          </w:p>
        </w:tc>
        <w:tc>
          <w:tcPr>
            <w:tcW w:type="dxa" w:w="619"/>
            <w:tcMar>
              <w:top w:w="60" w:type="dxa"/>
              <w:start w:w="110" w:type="dxa"/>
              <w:bottom w:w="60" w:type="dxa"/>
              <w:end w:w="110" w:type="dxa"/>
            </w:tcMar>
          </w:tcPr>
          <w:p>
            <w:pPr>
              <w:spacing w:after="0"/>
            </w:pPr>
            <w:r/>
            <w:r>
              <w:rPr>
                <w:rFonts w:ascii="Calibri" w:hAnsi="Calibri"/>
                <w:b w:val="0"/>
                <w:i w:val="0"/>
                <w:color w:val="101828"/>
                <w:sz w:val="14"/>
              </w:rPr>
              <w:t>500</w:t>
            </w:r>
          </w:p>
        </w:tc>
        <w:tc>
          <w:tcPr>
            <w:tcW w:type="dxa" w:w="5328"/>
            <w:tcMar>
              <w:top w:w="60" w:type="dxa"/>
              <w:start w:w="110" w:type="dxa"/>
              <w:bottom w:w="60" w:type="dxa"/>
              <w:end w:w="110" w:type="dxa"/>
            </w:tcMar>
          </w:tcPr>
          <w:p>
            <w:pPr>
              <w:spacing w:after="0"/>
            </w:pPr>
            <w:r/>
            <w:r>
              <w:rPr>
                <w:rFonts w:ascii="Calibri" w:hAnsi="Calibri"/>
                <w:b w:val="0"/>
                <w:i w:val="0"/>
                <w:color w:val="101828"/>
                <w:sz w:val="14"/>
              </w:rPr>
              <w:t>State words, timestamps, event names</w:t>
            </w:r>
          </w:p>
        </w:tc>
        <w:tc>
          <w:tcPr>
            <w:tcW w:type="dxa" w:w="1138"/>
            <w:tcMar>
              <w:top w:w="60" w:type="dxa"/>
              <w:start w:w="110" w:type="dxa"/>
              <w:bottom w:w="60" w:type="dxa"/>
              <w:end w:w="110" w:type="dxa"/>
            </w:tcMar>
          </w:tcPr>
          <w:p>
            <w:pPr>
              <w:spacing w:after="0"/>
            </w:pPr>
            <w:r/>
            <w:r>
              <w:rPr>
                <w:rFonts w:ascii="Calibri" w:hAnsi="Calibri"/>
                <w:b w:val="0"/>
                <w:i w:val="0"/>
                <w:color w:val="101828"/>
                <w:sz w:val="14"/>
              </w:rPr>
              <w:t>—</w:t>
            </w:r>
          </w:p>
        </w:tc>
      </w:tr>
      <w:tr>
        <w:trPr>
          <w:cantSplit/>
        </w:trPr>
        <w:tc>
          <w:tcPr>
            <w:tcW w:type="dxa" w:w="1138"/>
            <w:tcMar>
              <w:top w:w="60" w:type="dxa"/>
              <w:start w:w="110" w:type="dxa"/>
              <w:bottom w:w="60" w:type="dxa"/>
              <w:end w:w="110" w:type="dxa"/>
            </w:tcMar>
            <w:shd w:val="clear" w:color="auto" w:fill="F4F7FB"/>
          </w:tcPr>
          <w:p>
            <w:pPr>
              <w:spacing w:after="0"/>
            </w:pPr>
            <w:r/>
            <w:r>
              <w:rPr>
                <w:rFonts w:ascii="Calibri" w:hAnsi="Calibri"/>
                <w:b w:val="0"/>
                <w:i w:val="0"/>
                <w:color w:val="101828"/>
                <w:sz w:val="14"/>
              </w:rPr>
              <w:t>money</w:t>
            </w:r>
          </w:p>
        </w:tc>
        <w:tc>
          <w:tcPr>
            <w:tcW w:type="dxa" w:w="1138"/>
            <w:tcMar>
              <w:top w:w="60" w:type="dxa"/>
              <w:start w:w="110" w:type="dxa"/>
              <w:bottom w:w="60" w:type="dxa"/>
              <w:end w:w="110" w:type="dxa"/>
            </w:tcMar>
            <w:shd w:val="clear" w:color="auto" w:fill="F4F7FB"/>
          </w:tcPr>
          <w:p>
            <w:pPr>
              <w:spacing w:after="0"/>
            </w:pPr>
            <w:r/>
            <w:r>
              <w:rPr>
                <w:rFonts w:ascii="Calibri" w:hAnsi="Calibri"/>
                <w:b w:val="0"/>
                <w:i w:val="0"/>
                <w:color w:val="101828"/>
                <w:sz w:val="14"/>
              </w:rPr>
              <w:t>24 / 30</w:t>
            </w:r>
          </w:p>
        </w:tc>
        <w:tc>
          <w:tcPr>
            <w:tcW w:type="dxa" w:w="619"/>
            <w:tcMar>
              <w:top w:w="60" w:type="dxa"/>
              <w:start w:w="110" w:type="dxa"/>
              <w:bottom w:w="60" w:type="dxa"/>
              <w:end w:w="110" w:type="dxa"/>
            </w:tcMar>
            <w:shd w:val="clear" w:color="auto" w:fill="F4F7FB"/>
          </w:tcPr>
          <w:p>
            <w:pPr>
              <w:spacing w:after="0"/>
            </w:pPr>
            <w:r/>
            <w:r>
              <w:rPr>
                <w:rFonts w:ascii="Calibri" w:hAnsi="Calibri"/>
                <w:b w:val="0"/>
                <w:i w:val="0"/>
                <w:color w:val="101828"/>
                <w:sz w:val="14"/>
              </w:rPr>
              <w:t>600</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4"/>
              </w:rPr>
              <w:t>The single amount on a money surface</w:t>
            </w:r>
          </w:p>
        </w:tc>
        <w:tc>
          <w:tcPr>
            <w:tcW w:type="dxa" w:w="1138"/>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r>
      <w:tr>
        <w:trPr>
          <w:cantSplit/>
        </w:trPr>
        <w:tc>
          <w:tcPr>
            <w:tcW w:type="dxa" w:w="1138"/>
            <w:tcMar>
              <w:top w:w="60" w:type="dxa"/>
              <w:start w:w="110" w:type="dxa"/>
              <w:bottom w:w="60" w:type="dxa"/>
              <w:end w:w="110" w:type="dxa"/>
            </w:tcMar>
          </w:tcPr>
          <w:p>
            <w:pPr>
              <w:spacing w:after="0"/>
            </w:pPr>
            <w:r/>
            <w:r>
              <w:rPr>
                <w:rFonts w:ascii="Calibri" w:hAnsi="Calibri"/>
                <w:b w:val="0"/>
                <w:i w:val="0"/>
                <w:color w:val="101828"/>
                <w:sz w:val="14"/>
              </w:rPr>
              <w:t>money-lg</w:t>
            </w:r>
          </w:p>
        </w:tc>
        <w:tc>
          <w:tcPr>
            <w:tcW w:type="dxa" w:w="1138"/>
            <w:tcMar>
              <w:top w:w="60" w:type="dxa"/>
              <w:start w:w="110" w:type="dxa"/>
              <w:bottom w:w="60" w:type="dxa"/>
              <w:end w:w="110" w:type="dxa"/>
            </w:tcMar>
          </w:tcPr>
          <w:p>
            <w:pPr>
              <w:spacing w:after="0"/>
            </w:pPr>
            <w:r/>
            <w:r>
              <w:rPr>
                <w:rFonts w:ascii="Calibri" w:hAnsi="Calibri"/>
                <w:b w:val="0"/>
                <w:i w:val="0"/>
                <w:color w:val="101828"/>
                <w:sz w:val="14"/>
              </w:rPr>
              <w:t>34 / 40</w:t>
            </w:r>
          </w:p>
        </w:tc>
        <w:tc>
          <w:tcPr>
            <w:tcW w:type="dxa" w:w="619"/>
            <w:tcMar>
              <w:top w:w="60" w:type="dxa"/>
              <w:start w:w="110" w:type="dxa"/>
              <w:bottom w:w="60" w:type="dxa"/>
              <w:end w:w="110" w:type="dxa"/>
            </w:tcMar>
          </w:tcPr>
          <w:p>
            <w:pPr>
              <w:spacing w:after="0"/>
            </w:pPr>
            <w:r/>
            <w:r>
              <w:rPr>
                <w:rFonts w:ascii="Calibri" w:hAnsi="Calibri"/>
                <w:b w:val="0"/>
                <w:i w:val="0"/>
                <w:color w:val="101828"/>
                <w:sz w:val="14"/>
              </w:rPr>
              <w:t>700</w:t>
            </w:r>
          </w:p>
        </w:tc>
        <w:tc>
          <w:tcPr>
            <w:tcW w:type="dxa" w:w="5328"/>
            <w:tcMar>
              <w:top w:w="60" w:type="dxa"/>
              <w:start w:w="110" w:type="dxa"/>
              <w:bottom w:w="60" w:type="dxa"/>
              <w:end w:w="110" w:type="dxa"/>
            </w:tcMar>
          </w:tcPr>
          <w:p>
            <w:pPr>
              <w:spacing w:after="0"/>
            </w:pPr>
            <w:r/>
            <w:r>
              <w:rPr>
                <w:rFonts w:ascii="Calibri" w:hAnsi="Calibri"/>
                <w:b w:val="0"/>
                <w:i w:val="0"/>
                <w:color w:val="101828"/>
                <w:sz w:val="14"/>
              </w:rPr>
              <w:t>Receipt total, payout amount. One per screen.</w:t>
            </w:r>
          </w:p>
        </w:tc>
        <w:tc>
          <w:tcPr>
            <w:tcW w:type="dxa" w:w="1138"/>
            <w:tcMar>
              <w:top w:w="60" w:type="dxa"/>
              <w:start w:w="110" w:type="dxa"/>
              <w:bottom w:w="60" w:type="dxa"/>
              <w:end w:w="110" w:type="dxa"/>
            </w:tcMar>
          </w:tcPr>
          <w:p>
            <w:pPr>
              <w:spacing w:after="0"/>
            </w:pPr>
            <w:r/>
            <w:r>
              <w:rPr>
                <w:rFonts w:ascii="Calibri" w:hAnsi="Calibri"/>
                <w:b w:val="0"/>
                <w:i w:val="0"/>
                <w:color w:val="101828"/>
                <w:sz w:val="14"/>
              </w:rPr>
              <w:t>—</w:t>
            </w:r>
          </w:p>
        </w:tc>
      </w:tr>
    </w:tbl>
    <w:p>
      <w:pPr>
        <w:spacing w:after="80"/>
      </w:pPr>
    </w:p>
    <w:p>
      <w:pPr>
        <w:pStyle w:val="Heading3"/>
      </w:pPr>
      <w:r>
        <w:rPr>
          <w:rFonts w:ascii="Calibri" w:hAnsi="Calibri"/>
          <w:b/>
          <w:i w:val="0"/>
          <w:color w:val="0B1F3A"/>
          <w:sz w:val="24"/>
        </w:rPr>
        <w:t>7.4.3 Measure and the money column</w:t>
      </w:r>
    </w:p>
    <w:p>
      <w:r>
        <w:rPr>
          <w:rFonts w:ascii="Calibri" w:hAnsi="Calibri"/>
          <w:b w:val="0"/>
          <w:i w:val="0"/>
          <w:color w:val="101828"/>
          <w:sz w:val="21"/>
        </w:rPr>
        <w:t xml:space="preserve">Body copy is capped at 68 characters. Money blocks are capped at 40 characters, which is wide enough for </w:t>
      </w:r>
      <w:r>
        <w:rPr>
          <w:rFonts w:ascii="Consolas" w:hAnsi="Consolas"/>
          <w:color w:val="146EF5"/>
          <w:sz w:val="21"/>
        </w:rPr>
        <w:t>NGN 1,020.00</w:t>
      </w:r>
      <w:r>
        <w:rPr>
          <w:rFonts w:ascii="Calibri" w:hAnsi="Calibri"/>
          <w:b w:val="0"/>
          <w:i w:val="0"/>
          <w:color w:val="101828"/>
          <w:sz w:val="21"/>
        </w:rPr>
        <w:t xml:space="preserve"> and </w:t>
      </w:r>
      <w:r>
        <w:rPr>
          <w:rFonts w:ascii="Consolas" w:hAnsi="Consolas"/>
          <w:color w:val="146EF5"/>
          <w:sz w:val="21"/>
        </w:rPr>
        <w:t>NGN 102,000.00</w:t>
      </w:r>
      <w:r>
        <w:rPr>
          <w:rFonts w:ascii="Calibri" w:hAnsi="Calibri"/>
          <w:b w:val="0"/>
          <w:i w:val="0"/>
          <w:color w:val="101828"/>
          <w:sz w:val="21"/>
        </w:rPr>
        <w:t xml:space="preserve"> with a rule above it and narrow enough that the digits sit close enough to compare. This is the second reason a money block is never centred: a centred block at full container width puts the contribution and the fee four hundred pixels apart, and the person's eye has to travel to check the arithmetic.</w:t>
      </w:r>
    </w:p>
    <w:p>
      <w:pPr>
        <w:spacing w:before="140" w:after="180"/>
        <w:ind w:left="144"/>
        <w:shd w:val="clear" w:color="auto" w:fill="E0F2FE"/>
        <w:pBdr>
          <w:left w:val="single" w:sz="18" w:space="6" w:color="22C7D6"/>
        </w:pBdr>
      </w:pPr>
      <w:r>
        <w:rPr>
          <w:rFonts w:ascii="Calibri" w:hAnsi="Calibri"/>
          <w:b/>
          <w:color w:val="22C7D6"/>
          <w:sz w:val="19"/>
        </w:rPr>
        <w:t xml:space="preserve">One variable sans, no second display face  </w:t>
      </w:r>
      <w:r>
        <w:rPr>
          <w:rFonts w:ascii="Calibri" w:hAnsi="Calibri"/>
          <w:b w:val="0"/>
          <w:i w:val="0"/>
          <w:color w:val="0B1F3A"/>
          <w:sz w:val="19"/>
        </w:rPr>
        <w:t xml:space="preserve">A marketing site in this category almost always pairs a display serif with a sans. It was rejected for two reasons. The first is that a rotating savings scheme run by a group of friends is a trust product, and trust products look more trustworthy in the typeface their users already read every day. The second is cost: two families means two loading strategies, two sets of metrics, and a second decision to revisit. </w:t>
      </w:r>
      <w:r>
        <w:rPr>
          <w:rFonts w:ascii="Calibri" w:hAnsi="Calibri"/>
          <w:b/>
          <w:color w:val="0B1F3A"/>
          <w:sz w:val="19"/>
        </w:rPr>
        <w:t>A single family also makes the fee disclosure harder to miss</w:t>
      </w:r>
      <w:r>
        <w:rPr>
          <w:rFonts w:ascii="Calibri" w:hAnsi="Calibri"/>
          <w:b w:val="0"/>
          <w:i w:val="0"/>
          <w:color w:val="0B1F3A"/>
          <w:sz w:val="19"/>
        </w:rPr>
        <w:t>, because there is no typographic contrast to hide it in. If the founders later choose a display face for the marketing pages only, it must not appear on any screen where an amount is shown.</w:t>
      </w:r>
    </w:p>
    <w:p>
      <w:pPr>
        <w:pStyle w:val="Heading2"/>
      </w:pPr>
      <w:r>
        <w:rPr>
          <w:rFonts w:ascii="Calibri" w:hAnsi="Calibri"/>
          <w:b/>
          <w:i w:val="0"/>
          <w:color w:val="146EF5"/>
          <w:sz w:val="29"/>
        </w:rPr>
        <w:t>7.5 Space, grid, breakpoints, radius, elevation</w:t>
      </w:r>
    </w:p>
    <w:p>
      <w:pPr>
        <w:pStyle w:val="Heading3"/>
      </w:pPr>
      <w:r>
        <w:rPr>
          <w:rFonts w:ascii="Calibri" w:hAnsi="Calibri"/>
          <w:b/>
          <w:i w:val="0"/>
          <w:color w:val="0B1F3A"/>
          <w:sz w:val="24"/>
        </w:rPr>
        <w:t>7.5.1 The spacing scale</w:t>
      </w:r>
    </w:p>
    <w:p>
      <w:r>
        <w:rPr>
          <w:rFonts w:ascii="Calibri" w:hAnsi="Calibri"/>
          <w:b w:val="0"/>
          <w:i w:val="0"/>
          <w:color w:val="101828"/>
          <w:sz w:val="21"/>
        </w:rPr>
        <w:t>A 4 px base with named steps. Every margin, padding and gap in the product is one of these values. The scale is short on purpose: a long scale is a long list of decisions that all look reasonable and none of which anybody remembers.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922"/>
            <w:shd w:val="clear" w:color="auto" w:fill="0B1F3A"/>
            <w:tcMar>
              <w:top w:w="60" w:type="dxa"/>
              <w:start w:w="110" w:type="dxa"/>
              <w:bottom w:w="60" w:type="dxa"/>
              <w:end w:w="110" w:type="dxa"/>
            </w:tcMar>
          </w:tcPr>
          <w:p>
            <w:pPr>
              <w:spacing w:after="0"/>
            </w:pPr>
            <w:r/>
            <w:r>
              <w:rPr>
                <w:rFonts w:ascii="Calibri" w:hAnsi="Calibri"/>
                <w:b/>
                <w:i w:val="0"/>
                <w:color w:val="FFFFFF"/>
                <w:sz w:val="14"/>
              </w:rPr>
              <w:t>Token</w:t>
            </w:r>
          </w:p>
        </w:tc>
        <w:tc>
          <w:tcPr>
            <w:tcW w:type="dxa" w:w="662"/>
            <w:shd w:val="clear" w:color="auto" w:fill="0B1F3A"/>
            <w:tcMar>
              <w:top w:w="60" w:type="dxa"/>
              <w:start w:w="110" w:type="dxa"/>
              <w:bottom w:w="60" w:type="dxa"/>
              <w:end w:w="110" w:type="dxa"/>
            </w:tcMar>
          </w:tcPr>
          <w:p>
            <w:pPr>
              <w:spacing w:after="0"/>
            </w:pPr>
            <w:r/>
            <w:r>
              <w:rPr>
                <w:rFonts w:ascii="Calibri" w:hAnsi="Calibri"/>
                <w:b/>
                <w:i w:val="0"/>
                <w:color w:val="FFFFFF"/>
                <w:sz w:val="14"/>
              </w:rPr>
              <w:t>Value</w:t>
            </w:r>
          </w:p>
        </w:tc>
        <w:tc>
          <w:tcPr>
            <w:tcW w:type="dxa" w:w="7776"/>
            <w:shd w:val="clear" w:color="auto" w:fill="0B1F3A"/>
            <w:tcMar>
              <w:top w:w="60" w:type="dxa"/>
              <w:start w:w="110" w:type="dxa"/>
              <w:bottom w:w="60" w:type="dxa"/>
              <w:end w:w="110" w:type="dxa"/>
            </w:tcMar>
          </w:tcPr>
          <w:p>
            <w:pPr>
              <w:spacing w:after="0"/>
            </w:pPr>
            <w:r/>
            <w:r>
              <w:rPr>
                <w:rFonts w:ascii="Calibri" w:hAnsi="Calibri"/>
                <w:b/>
                <w:i w:val="0"/>
                <w:color w:val="FFFFFF"/>
                <w:sz w:val="14"/>
              </w:rPr>
              <w:t>Typical use</w:t>
            </w:r>
          </w:p>
        </w:tc>
      </w:tr>
      <w:tr>
        <w:trPr>
          <w:cantSplit/>
        </w:trPr>
        <w:tc>
          <w:tcPr>
            <w:tcW w:type="dxa" w:w="922"/>
            <w:tcMar>
              <w:top w:w="60" w:type="dxa"/>
              <w:start w:w="110" w:type="dxa"/>
              <w:bottom w:w="60" w:type="dxa"/>
              <w:end w:w="110" w:type="dxa"/>
            </w:tcMar>
          </w:tcPr>
          <w:p>
            <w:pPr>
              <w:spacing w:after="0"/>
            </w:pPr>
            <w:r/>
            <w:r>
              <w:rPr>
                <w:rFonts w:ascii="Calibri" w:hAnsi="Calibri"/>
                <w:b w:val="0"/>
                <w:i w:val="0"/>
                <w:color w:val="101828"/>
                <w:sz w:val="14"/>
              </w:rPr>
              <w:t>space-1</w:t>
            </w:r>
          </w:p>
        </w:tc>
        <w:tc>
          <w:tcPr>
            <w:tcW w:type="dxa" w:w="662"/>
            <w:tcMar>
              <w:top w:w="60" w:type="dxa"/>
              <w:start w:w="110" w:type="dxa"/>
              <w:bottom w:w="60" w:type="dxa"/>
              <w:end w:w="110" w:type="dxa"/>
            </w:tcMar>
          </w:tcPr>
          <w:p>
            <w:pPr>
              <w:spacing w:after="0"/>
            </w:pPr>
            <w:r/>
            <w:r>
              <w:rPr>
                <w:rFonts w:ascii="Calibri" w:hAnsi="Calibri"/>
                <w:b w:val="0"/>
                <w:i w:val="0"/>
                <w:color w:val="101828"/>
                <w:sz w:val="14"/>
              </w:rPr>
              <w:t>4 px</w:t>
            </w:r>
          </w:p>
        </w:tc>
        <w:tc>
          <w:tcPr>
            <w:tcW w:type="dxa" w:w="7776"/>
            <w:tcMar>
              <w:top w:w="60" w:type="dxa"/>
              <w:start w:w="110" w:type="dxa"/>
              <w:bottom w:w="60" w:type="dxa"/>
              <w:end w:w="110" w:type="dxa"/>
            </w:tcMar>
          </w:tcPr>
          <w:p>
            <w:pPr>
              <w:spacing w:after="0"/>
            </w:pPr>
            <w:r/>
            <w:r>
              <w:rPr>
                <w:rFonts w:ascii="Calibri" w:hAnsi="Calibri"/>
                <w:b w:val="0"/>
                <w:i w:val="0"/>
                <w:color w:val="101828"/>
                <w:sz w:val="14"/>
              </w:rPr>
              <w:t>Icon to label, badge inset, table cell vertical padding</w:t>
            </w:r>
          </w:p>
        </w:tc>
      </w:tr>
      <w:tr>
        <w:trPr>
          <w:cantSplit/>
        </w:trPr>
        <w:tc>
          <w:tcPr>
            <w:tcW w:type="dxa" w:w="922"/>
            <w:tcMar>
              <w:top w:w="60" w:type="dxa"/>
              <w:start w:w="110" w:type="dxa"/>
              <w:bottom w:w="60" w:type="dxa"/>
              <w:end w:w="110" w:type="dxa"/>
            </w:tcMar>
            <w:shd w:val="clear" w:color="auto" w:fill="F4F7FB"/>
          </w:tcPr>
          <w:p>
            <w:pPr>
              <w:spacing w:after="0"/>
            </w:pPr>
            <w:r/>
            <w:r>
              <w:rPr>
                <w:rFonts w:ascii="Calibri" w:hAnsi="Calibri"/>
                <w:b w:val="0"/>
                <w:i w:val="0"/>
                <w:color w:val="101828"/>
                <w:sz w:val="14"/>
              </w:rPr>
              <w:t>space-2</w:t>
            </w:r>
          </w:p>
        </w:tc>
        <w:tc>
          <w:tcPr>
            <w:tcW w:type="dxa" w:w="662"/>
            <w:tcMar>
              <w:top w:w="60" w:type="dxa"/>
              <w:start w:w="110" w:type="dxa"/>
              <w:bottom w:w="60" w:type="dxa"/>
              <w:end w:w="110" w:type="dxa"/>
            </w:tcMar>
            <w:shd w:val="clear" w:color="auto" w:fill="F4F7FB"/>
          </w:tcPr>
          <w:p>
            <w:pPr>
              <w:spacing w:after="0"/>
            </w:pPr>
            <w:r/>
            <w:r>
              <w:rPr>
                <w:rFonts w:ascii="Calibri" w:hAnsi="Calibri"/>
                <w:b w:val="0"/>
                <w:i w:val="0"/>
                <w:color w:val="101828"/>
                <w:sz w:val="14"/>
              </w:rPr>
              <w:t>8 px</w:t>
            </w:r>
          </w:p>
        </w:tc>
        <w:tc>
          <w:tcPr>
            <w:tcW w:type="dxa" w:w="7776"/>
            <w:tcMar>
              <w:top w:w="60" w:type="dxa"/>
              <w:start w:w="110" w:type="dxa"/>
              <w:bottom w:w="60" w:type="dxa"/>
              <w:end w:w="110" w:type="dxa"/>
            </w:tcMar>
            <w:shd w:val="clear" w:color="auto" w:fill="F4F7FB"/>
          </w:tcPr>
          <w:p>
            <w:pPr>
              <w:spacing w:after="0"/>
            </w:pPr>
            <w:r/>
            <w:r>
              <w:rPr>
                <w:rFonts w:ascii="Calibri" w:hAnsi="Calibri"/>
                <w:b w:val="0"/>
                <w:i w:val="0"/>
                <w:color w:val="101828"/>
                <w:sz w:val="14"/>
              </w:rPr>
              <w:t>Between a label and its value, chip gaps, inline icon pairs</w:t>
            </w:r>
          </w:p>
        </w:tc>
      </w:tr>
      <w:tr>
        <w:trPr>
          <w:cantSplit/>
        </w:trPr>
        <w:tc>
          <w:tcPr>
            <w:tcW w:type="dxa" w:w="922"/>
            <w:tcMar>
              <w:top w:w="60" w:type="dxa"/>
              <w:start w:w="110" w:type="dxa"/>
              <w:bottom w:w="60" w:type="dxa"/>
              <w:end w:w="110" w:type="dxa"/>
            </w:tcMar>
          </w:tcPr>
          <w:p>
            <w:pPr>
              <w:spacing w:after="0"/>
            </w:pPr>
            <w:r/>
            <w:r>
              <w:rPr>
                <w:rFonts w:ascii="Calibri" w:hAnsi="Calibri"/>
                <w:b w:val="0"/>
                <w:i w:val="0"/>
                <w:color w:val="101828"/>
                <w:sz w:val="14"/>
              </w:rPr>
              <w:t>space-3</w:t>
            </w:r>
          </w:p>
        </w:tc>
        <w:tc>
          <w:tcPr>
            <w:tcW w:type="dxa" w:w="662"/>
            <w:tcMar>
              <w:top w:w="60" w:type="dxa"/>
              <w:start w:w="110" w:type="dxa"/>
              <w:bottom w:w="60" w:type="dxa"/>
              <w:end w:w="110" w:type="dxa"/>
            </w:tcMar>
          </w:tcPr>
          <w:p>
            <w:pPr>
              <w:spacing w:after="0"/>
            </w:pPr>
            <w:r/>
            <w:r>
              <w:rPr>
                <w:rFonts w:ascii="Calibri" w:hAnsi="Calibri"/>
                <w:b w:val="0"/>
                <w:i w:val="0"/>
                <w:color w:val="101828"/>
                <w:sz w:val="14"/>
              </w:rPr>
              <w:t>12 px</w:t>
            </w:r>
          </w:p>
        </w:tc>
        <w:tc>
          <w:tcPr>
            <w:tcW w:type="dxa" w:w="7776"/>
            <w:tcMar>
              <w:top w:w="60" w:type="dxa"/>
              <w:start w:w="110" w:type="dxa"/>
              <w:bottom w:w="60" w:type="dxa"/>
              <w:end w:w="110" w:type="dxa"/>
            </w:tcMar>
          </w:tcPr>
          <w:p>
            <w:pPr>
              <w:spacing w:after="0"/>
            </w:pPr>
            <w:r/>
            <w:r>
              <w:rPr>
                <w:rFonts w:ascii="Calibri" w:hAnsi="Calibri"/>
                <w:b w:val="0"/>
                <w:i w:val="0"/>
                <w:color w:val="101828"/>
                <w:sz w:val="14"/>
              </w:rPr>
              <w:t>Between related form fields, list row padding</w:t>
            </w:r>
          </w:p>
        </w:tc>
      </w:tr>
      <w:tr>
        <w:trPr>
          <w:cantSplit/>
        </w:trPr>
        <w:tc>
          <w:tcPr>
            <w:tcW w:type="dxa" w:w="922"/>
            <w:tcMar>
              <w:top w:w="60" w:type="dxa"/>
              <w:start w:w="110" w:type="dxa"/>
              <w:bottom w:w="60" w:type="dxa"/>
              <w:end w:w="110" w:type="dxa"/>
            </w:tcMar>
            <w:shd w:val="clear" w:color="auto" w:fill="F4F7FB"/>
          </w:tcPr>
          <w:p>
            <w:pPr>
              <w:spacing w:after="0"/>
            </w:pPr>
            <w:r/>
            <w:r>
              <w:rPr>
                <w:rFonts w:ascii="Calibri" w:hAnsi="Calibri"/>
                <w:b w:val="0"/>
                <w:i w:val="0"/>
                <w:color w:val="101828"/>
                <w:sz w:val="14"/>
              </w:rPr>
              <w:t>space-4</w:t>
            </w:r>
          </w:p>
        </w:tc>
        <w:tc>
          <w:tcPr>
            <w:tcW w:type="dxa" w:w="662"/>
            <w:tcMar>
              <w:top w:w="60" w:type="dxa"/>
              <w:start w:w="110" w:type="dxa"/>
              <w:bottom w:w="60" w:type="dxa"/>
              <w:end w:w="110" w:type="dxa"/>
            </w:tcMar>
            <w:shd w:val="clear" w:color="auto" w:fill="F4F7FB"/>
          </w:tcPr>
          <w:p>
            <w:pPr>
              <w:spacing w:after="0"/>
            </w:pPr>
            <w:r/>
            <w:r>
              <w:rPr>
                <w:rFonts w:ascii="Calibri" w:hAnsi="Calibri"/>
                <w:b w:val="0"/>
                <w:i w:val="0"/>
                <w:color w:val="101828"/>
                <w:sz w:val="14"/>
              </w:rPr>
              <w:t>16 px</w:t>
            </w:r>
          </w:p>
        </w:tc>
        <w:tc>
          <w:tcPr>
            <w:tcW w:type="dxa" w:w="7776"/>
            <w:tcMar>
              <w:top w:w="60" w:type="dxa"/>
              <w:start w:w="110" w:type="dxa"/>
              <w:bottom w:w="60" w:type="dxa"/>
              <w:end w:w="110" w:type="dxa"/>
            </w:tcMar>
            <w:shd w:val="clear" w:color="auto" w:fill="F4F7FB"/>
          </w:tcPr>
          <w:p>
            <w:pPr>
              <w:spacing w:after="0"/>
            </w:pPr>
            <w:r/>
            <w:r>
              <w:rPr>
                <w:rFonts w:ascii="Calibri" w:hAnsi="Calibri"/>
                <w:b w:val="0"/>
                <w:i w:val="0"/>
                <w:color w:val="101828"/>
                <w:sz w:val="14"/>
              </w:rPr>
              <w:t>Card padding on mobile, page gutter on mobile, region gaps</w:t>
            </w:r>
          </w:p>
        </w:tc>
      </w:tr>
      <w:tr>
        <w:trPr>
          <w:cantSplit/>
        </w:trPr>
        <w:tc>
          <w:tcPr>
            <w:tcW w:type="dxa" w:w="922"/>
            <w:tcMar>
              <w:top w:w="60" w:type="dxa"/>
              <w:start w:w="110" w:type="dxa"/>
              <w:bottom w:w="60" w:type="dxa"/>
              <w:end w:w="110" w:type="dxa"/>
            </w:tcMar>
          </w:tcPr>
          <w:p>
            <w:pPr>
              <w:spacing w:after="0"/>
            </w:pPr>
            <w:r/>
            <w:r>
              <w:rPr>
                <w:rFonts w:ascii="Calibri" w:hAnsi="Calibri"/>
                <w:b w:val="0"/>
                <w:i w:val="0"/>
                <w:color w:val="101828"/>
                <w:sz w:val="14"/>
              </w:rPr>
              <w:t>space-5</w:t>
            </w:r>
          </w:p>
        </w:tc>
        <w:tc>
          <w:tcPr>
            <w:tcW w:type="dxa" w:w="662"/>
            <w:tcMar>
              <w:top w:w="60" w:type="dxa"/>
              <w:start w:w="110" w:type="dxa"/>
              <w:bottom w:w="60" w:type="dxa"/>
              <w:end w:w="110" w:type="dxa"/>
            </w:tcMar>
          </w:tcPr>
          <w:p>
            <w:pPr>
              <w:spacing w:after="0"/>
            </w:pPr>
            <w:r/>
            <w:r>
              <w:rPr>
                <w:rFonts w:ascii="Calibri" w:hAnsi="Calibri"/>
                <w:b w:val="0"/>
                <w:i w:val="0"/>
                <w:color w:val="101828"/>
                <w:sz w:val="14"/>
              </w:rPr>
              <w:t>24 px</w:t>
            </w:r>
          </w:p>
        </w:tc>
        <w:tc>
          <w:tcPr>
            <w:tcW w:type="dxa" w:w="7776"/>
            <w:tcMar>
              <w:top w:w="60" w:type="dxa"/>
              <w:start w:w="110" w:type="dxa"/>
              <w:bottom w:w="60" w:type="dxa"/>
              <w:end w:w="110" w:type="dxa"/>
            </w:tcMar>
          </w:tcPr>
          <w:p>
            <w:pPr>
              <w:spacing w:after="0"/>
            </w:pPr>
            <w:r/>
            <w:r>
              <w:rPr>
                <w:rFonts w:ascii="Calibri" w:hAnsi="Calibri"/>
                <w:b w:val="0"/>
                <w:i w:val="0"/>
                <w:color w:val="101828"/>
                <w:sz w:val="14"/>
              </w:rPr>
              <w:t>Card padding on desktop, gutter on tablet, between blocks</w:t>
            </w:r>
          </w:p>
        </w:tc>
      </w:tr>
      <w:tr>
        <w:trPr>
          <w:cantSplit/>
        </w:trPr>
        <w:tc>
          <w:tcPr>
            <w:tcW w:type="dxa" w:w="922"/>
            <w:tcMar>
              <w:top w:w="60" w:type="dxa"/>
              <w:start w:w="110" w:type="dxa"/>
              <w:bottom w:w="60" w:type="dxa"/>
              <w:end w:w="110" w:type="dxa"/>
            </w:tcMar>
            <w:shd w:val="clear" w:color="auto" w:fill="F4F7FB"/>
          </w:tcPr>
          <w:p>
            <w:pPr>
              <w:spacing w:after="0"/>
            </w:pPr>
            <w:r/>
            <w:r>
              <w:rPr>
                <w:rFonts w:ascii="Calibri" w:hAnsi="Calibri"/>
                <w:b w:val="0"/>
                <w:i w:val="0"/>
                <w:color w:val="101828"/>
                <w:sz w:val="14"/>
              </w:rPr>
              <w:t>space-6</w:t>
            </w:r>
          </w:p>
        </w:tc>
        <w:tc>
          <w:tcPr>
            <w:tcW w:type="dxa" w:w="662"/>
            <w:tcMar>
              <w:top w:w="60" w:type="dxa"/>
              <w:start w:w="110" w:type="dxa"/>
              <w:bottom w:w="60" w:type="dxa"/>
              <w:end w:w="110" w:type="dxa"/>
            </w:tcMar>
            <w:shd w:val="clear" w:color="auto" w:fill="F4F7FB"/>
          </w:tcPr>
          <w:p>
            <w:pPr>
              <w:spacing w:after="0"/>
            </w:pPr>
            <w:r/>
            <w:r>
              <w:rPr>
                <w:rFonts w:ascii="Calibri" w:hAnsi="Calibri"/>
                <w:b w:val="0"/>
                <w:i w:val="0"/>
                <w:color w:val="101828"/>
                <w:sz w:val="14"/>
              </w:rPr>
              <w:t>32 px</w:t>
            </w:r>
          </w:p>
        </w:tc>
        <w:tc>
          <w:tcPr>
            <w:tcW w:type="dxa" w:w="7776"/>
            <w:tcMar>
              <w:top w:w="60" w:type="dxa"/>
              <w:start w:w="110" w:type="dxa"/>
              <w:bottom w:w="60" w:type="dxa"/>
              <w:end w:w="110" w:type="dxa"/>
            </w:tcMar>
            <w:shd w:val="clear" w:color="auto" w:fill="F4F7FB"/>
          </w:tcPr>
          <w:p>
            <w:pPr>
              <w:spacing w:after="0"/>
            </w:pPr>
            <w:r/>
            <w:r>
              <w:rPr>
                <w:rFonts w:ascii="Calibri" w:hAnsi="Calibri"/>
                <w:b w:val="0"/>
                <w:i w:val="0"/>
                <w:color w:val="101828"/>
                <w:sz w:val="14"/>
              </w:rPr>
              <w:t>Between major regions on mobile</w:t>
            </w:r>
          </w:p>
        </w:tc>
      </w:tr>
      <w:tr>
        <w:trPr>
          <w:cantSplit/>
        </w:trPr>
        <w:tc>
          <w:tcPr>
            <w:tcW w:type="dxa" w:w="922"/>
            <w:tcMar>
              <w:top w:w="60" w:type="dxa"/>
              <w:start w:w="110" w:type="dxa"/>
              <w:bottom w:w="60" w:type="dxa"/>
              <w:end w:w="110" w:type="dxa"/>
            </w:tcMar>
          </w:tcPr>
          <w:p>
            <w:pPr>
              <w:spacing w:after="0"/>
            </w:pPr>
            <w:r/>
            <w:r>
              <w:rPr>
                <w:rFonts w:ascii="Calibri" w:hAnsi="Calibri"/>
                <w:b w:val="0"/>
                <w:i w:val="0"/>
                <w:color w:val="101828"/>
                <w:sz w:val="14"/>
              </w:rPr>
              <w:t>space-7</w:t>
            </w:r>
          </w:p>
        </w:tc>
        <w:tc>
          <w:tcPr>
            <w:tcW w:type="dxa" w:w="662"/>
            <w:tcMar>
              <w:top w:w="60" w:type="dxa"/>
              <w:start w:w="110" w:type="dxa"/>
              <w:bottom w:w="60" w:type="dxa"/>
              <w:end w:w="110" w:type="dxa"/>
            </w:tcMar>
          </w:tcPr>
          <w:p>
            <w:pPr>
              <w:spacing w:after="0"/>
            </w:pPr>
            <w:r/>
            <w:r>
              <w:rPr>
                <w:rFonts w:ascii="Calibri" w:hAnsi="Calibri"/>
                <w:b w:val="0"/>
                <w:i w:val="0"/>
                <w:color w:val="101828"/>
                <w:sz w:val="14"/>
              </w:rPr>
              <w:t>48 px</w:t>
            </w:r>
          </w:p>
        </w:tc>
        <w:tc>
          <w:tcPr>
            <w:tcW w:type="dxa" w:w="7776"/>
            <w:tcMar>
              <w:top w:w="60" w:type="dxa"/>
              <w:start w:w="110" w:type="dxa"/>
              <w:bottom w:w="60" w:type="dxa"/>
              <w:end w:w="110" w:type="dxa"/>
            </w:tcMar>
          </w:tcPr>
          <w:p>
            <w:pPr>
              <w:spacing w:after="0"/>
            </w:pPr>
            <w:r/>
            <w:r>
              <w:rPr>
                <w:rFonts w:ascii="Calibri" w:hAnsi="Calibri"/>
                <w:b w:val="0"/>
                <w:i w:val="0"/>
                <w:color w:val="101828"/>
                <w:sz w:val="14"/>
              </w:rPr>
              <w:t>Between major regions on tablet and desktop</w:t>
            </w:r>
          </w:p>
        </w:tc>
      </w:tr>
      <w:tr>
        <w:trPr>
          <w:cantSplit/>
        </w:trPr>
        <w:tc>
          <w:tcPr>
            <w:tcW w:type="dxa" w:w="922"/>
            <w:tcMar>
              <w:top w:w="60" w:type="dxa"/>
              <w:start w:w="110" w:type="dxa"/>
              <w:bottom w:w="60" w:type="dxa"/>
              <w:end w:w="110" w:type="dxa"/>
            </w:tcMar>
            <w:shd w:val="clear" w:color="auto" w:fill="F4F7FB"/>
          </w:tcPr>
          <w:p>
            <w:pPr>
              <w:spacing w:after="0"/>
            </w:pPr>
            <w:r/>
            <w:r>
              <w:rPr>
                <w:rFonts w:ascii="Calibri" w:hAnsi="Calibri"/>
                <w:b w:val="0"/>
                <w:i w:val="0"/>
                <w:color w:val="101828"/>
                <w:sz w:val="14"/>
              </w:rPr>
              <w:t>space-8</w:t>
            </w:r>
          </w:p>
        </w:tc>
        <w:tc>
          <w:tcPr>
            <w:tcW w:type="dxa" w:w="662"/>
            <w:tcMar>
              <w:top w:w="60" w:type="dxa"/>
              <w:start w:w="110" w:type="dxa"/>
              <w:bottom w:w="60" w:type="dxa"/>
              <w:end w:w="110" w:type="dxa"/>
            </w:tcMar>
            <w:shd w:val="clear" w:color="auto" w:fill="F4F7FB"/>
          </w:tcPr>
          <w:p>
            <w:pPr>
              <w:spacing w:after="0"/>
            </w:pPr>
            <w:r/>
            <w:r>
              <w:rPr>
                <w:rFonts w:ascii="Calibri" w:hAnsi="Calibri"/>
                <w:b w:val="0"/>
                <w:i w:val="0"/>
                <w:color w:val="101828"/>
                <w:sz w:val="14"/>
              </w:rPr>
              <w:t>64 px</w:t>
            </w:r>
          </w:p>
        </w:tc>
        <w:tc>
          <w:tcPr>
            <w:tcW w:type="dxa" w:w="7776"/>
            <w:tcMar>
              <w:top w:w="60" w:type="dxa"/>
              <w:start w:w="110" w:type="dxa"/>
              <w:bottom w:w="60" w:type="dxa"/>
              <w:end w:w="110" w:type="dxa"/>
            </w:tcMar>
            <w:shd w:val="clear" w:color="auto" w:fill="F4F7FB"/>
          </w:tcPr>
          <w:p>
            <w:pPr>
              <w:spacing w:after="0"/>
            </w:pPr>
            <w:r/>
            <w:r>
              <w:rPr>
                <w:rFonts w:ascii="Calibri" w:hAnsi="Calibri"/>
                <w:b w:val="0"/>
                <w:i w:val="0"/>
                <w:color w:val="101828"/>
                <w:sz w:val="14"/>
              </w:rPr>
              <w:t>Marketing section padding, console page padding</w:t>
            </w:r>
          </w:p>
        </w:tc>
      </w:tr>
    </w:tbl>
    <w:p>
      <w:pPr>
        <w:spacing w:after="80"/>
      </w:pPr>
    </w:p>
    <w:p>
      <w:pPr>
        <w:pStyle w:val="Heading3"/>
      </w:pPr>
      <w:r>
        <w:rPr>
          <w:rFonts w:ascii="Calibri" w:hAnsi="Calibri"/>
          <w:b/>
          <w:i w:val="0"/>
          <w:color w:val="0B1F3A"/>
          <w:sz w:val="24"/>
        </w:rPr>
        <w:t>7.5.2 Breakpoints and grid</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Name</w:t>
            </w:r>
          </w:p>
        </w:tc>
        <w:tc>
          <w:tcPr>
            <w:tcW w:type="dxa" w:w="965"/>
            <w:shd w:val="clear" w:color="auto" w:fill="0B1F3A"/>
            <w:tcMar>
              <w:top w:w="60" w:type="dxa"/>
              <w:start w:w="110" w:type="dxa"/>
              <w:bottom w:w="60" w:type="dxa"/>
              <w:end w:w="110" w:type="dxa"/>
            </w:tcMar>
          </w:tcPr>
          <w:p>
            <w:pPr>
              <w:spacing w:after="0"/>
            </w:pPr>
            <w:r/>
            <w:r>
              <w:rPr>
                <w:rFonts w:ascii="Calibri" w:hAnsi="Calibri"/>
                <w:b/>
                <w:i w:val="0"/>
                <w:color w:val="FFFFFF"/>
                <w:sz w:val="14"/>
              </w:rPr>
              <w:t>Range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Columns</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Gutter</w:t>
            </w:r>
          </w:p>
        </w:tc>
        <w:tc>
          <w:tcPr>
            <w:tcW w:type="dxa" w:w="893"/>
            <w:shd w:val="clear" w:color="auto" w:fill="0B1F3A"/>
            <w:tcMar>
              <w:top w:w="60" w:type="dxa"/>
              <w:start w:w="110" w:type="dxa"/>
              <w:bottom w:w="60" w:type="dxa"/>
              <w:end w:w="110" w:type="dxa"/>
            </w:tcMar>
          </w:tcPr>
          <w:p>
            <w:pPr>
              <w:spacing w:after="0"/>
            </w:pPr>
            <w:r/>
            <w:r>
              <w:rPr>
                <w:rFonts w:ascii="Calibri" w:hAnsi="Calibri"/>
                <w:b/>
                <w:i w:val="0"/>
                <w:color w:val="FFFFFF"/>
                <w:sz w:val="14"/>
              </w:rPr>
              <w:t>Page margin</w:t>
            </w:r>
          </w:p>
        </w:tc>
        <w:tc>
          <w:tcPr>
            <w:tcW w:type="dxa" w:w="5688"/>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xs</w:t>
            </w:r>
          </w:p>
        </w:tc>
        <w:tc>
          <w:tcPr>
            <w:tcW w:type="dxa" w:w="965"/>
            <w:tcMar>
              <w:top w:w="60" w:type="dxa"/>
              <w:start w:w="110" w:type="dxa"/>
              <w:bottom w:w="60" w:type="dxa"/>
              <w:end w:w="110" w:type="dxa"/>
            </w:tcMar>
          </w:tcPr>
          <w:p>
            <w:pPr>
              <w:spacing w:after="0"/>
            </w:pPr>
            <w:r/>
            <w:r>
              <w:rPr>
                <w:rFonts w:ascii="Calibri" w:hAnsi="Calibri"/>
                <w:b w:val="0"/>
                <w:i w:val="0"/>
                <w:color w:val="101828"/>
                <w:sz w:val="14"/>
              </w:rPr>
              <w:t>320 to 374</w:t>
            </w:r>
          </w:p>
        </w:tc>
        <w:tc>
          <w:tcPr>
            <w:tcW w:type="dxa" w:w="605"/>
            <w:tcMar>
              <w:top w:w="60" w:type="dxa"/>
              <w:start w:w="110" w:type="dxa"/>
              <w:bottom w:w="60" w:type="dxa"/>
              <w:end w:w="110" w:type="dxa"/>
            </w:tcMar>
          </w:tcPr>
          <w:p>
            <w:pPr>
              <w:spacing w:after="0"/>
            </w:pPr>
            <w:r/>
            <w:r>
              <w:rPr>
                <w:rFonts w:ascii="Calibri" w:hAnsi="Calibri"/>
                <w:b w:val="0"/>
                <w:i w:val="0"/>
                <w:color w:val="101828"/>
                <w:sz w:val="14"/>
              </w:rPr>
              <w:t>1</w:t>
            </w:r>
          </w:p>
        </w:tc>
        <w:tc>
          <w:tcPr>
            <w:tcW w:type="dxa" w:w="605"/>
            <w:tcMar>
              <w:top w:w="60" w:type="dxa"/>
              <w:start w:w="110" w:type="dxa"/>
              <w:bottom w:w="60" w:type="dxa"/>
              <w:end w:w="110" w:type="dxa"/>
            </w:tcMar>
          </w:tcPr>
          <w:p>
            <w:pPr>
              <w:spacing w:after="0"/>
            </w:pPr>
            <w:r/>
            <w:r>
              <w:rPr>
                <w:rFonts w:ascii="Calibri" w:hAnsi="Calibri"/>
                <w:b w:val="0"/>
                <w:i w:val="0"/>
                <w:color w:val="101828"/>
                <w:sz w:val="14"/>
              </w:rPr>
              <w:t>—</w:t>
            </w:r>
          </w:p>
        </w:tc>
        <w:tc>
          <w:tcPr>
            <w:tcW w:type="dxa" w:w="893"/>
            <w:tcMar>
              <w:top w:w="60" w:type="dxa"/>
              <w:start w:w="110" w:type="dxa"/>
              <w:bottom w:w="60" w:type="dxa"/>
              <w:end w:w="110" w:type="dxa"/>
            </w:tcMar>
          </w:tcPr>
          <w:p>
            <w:pPr>
              <w:spacing w:after="0"/>
            </w:pPr>
            <w:r/>
            <w:r>
              <w:rPr>
                <w:rFonts w:ascii="Calibri" w:hAnsi="Calibri"/>
                <w:b w:val="0"/>
                <w:i w:val="0"/>
                <w:color w:val="101828"/>
                <w:sz w:val="14"/>
              </w:rPr>
              <w:t>16 px</w:t>
            </w:r>
          </w:p>
        </w:tc>
        <w:tc>
          <w:tcPr>
            <w:tcW w:type="dxa" w:w="5688"/>
            <w:tcMar>
              <w:top w:w="60" w:type="dxa"/>
              <w:start w:w="110" w:type="dxa"/>
              <w:bottom w:w="60" w:type="dxa"/>
              <w:end w:w="110" w:type="dxa"/>
            </w:tcMar>
          </w:tcPr>
          <w:p>
            <w:pPr>
              <w:spacing w:after="0"/>
            </w:pPr>
            <w:r/>
            <w:r>
              <w:rPr>
                <w:rFonts w:ascii="Calibri" w:hAnsi="Calibri"/>
                <w:b w:val="0"/>
                <w:i w:val="0"/>
                <w:color w:val="101828"/>
                <w:sz w:val="14"/>
              </w:rPr>
              <w:t>Smallest supported. Verified at 320 px because a 375 px design breaks here.</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sm</w:t>
            </w:r>
          </w:p>
        </w:tc>
        <w:tc>
          <w:tcPr>
            <w:tcW w:type="dxa" w:w="965"/>
            <w:tcMar>
              <w:top w:w="60" w:type="dxa"/>
              <w:start w:w="110" w:type="dxa"/>
              <w:bottom w:w="60" w:type="dxa"/>
              <w:end w:w="110" w:type="dxa"/>
            </w:tcMar>
            <w:shd w:val="clear" w:color="auto" w:fill="F4F7FB"/>
          </w:tcPr>
          <w:p>
            <w:pPr>
              <w:spacing w:after="0"/>
            </w:pPr>
            <w:r/>
            <w:r>
              <w:rPr>
                <w:rFonts w:ascii="Calibri" w:hAnsi="Calibri"/>
                <w:b w:val="0"/>
                <w:i w:val="0"/>
                <w:color w:val="101828"/>
                <w:sz w:val="14"/>
              </w:rPr>
              <w:t>375 to 767</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1</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16 px</w:t>
            </w:r>
          </w:p>
        </w:tc>
        <w:tc>
          <w:tcPr>
            <w:tcW w:type="dxa" w:w="5688"/>
            <w:tcMar>
              <w:top w:w="60" w:type="dxa"/>
              <w:start w:w="110" w:type="dxa"/>
              <w:bottom w:w="60" w:type="dxa"/>
              <w:end w:w="110" w:type="dxa"/>
            </w:tcMar>
            <w:shd w:val="clear" w:color="auto" w:fill="F4F7FB"/>
          </w:tcPr>
          <w:p>
            <w:pPr>
              <w:spacing w:after="0"/>
            </w:pPr>
            <w:r/>
            <w:r>
              <w:rPr>
                <w:rFonts w:ascii="Calibri" w:hAnsi="Calibri"/>
                <w:b w:val="0"/>
                <w:i w:val="0"/>
                <w:color w:val="101828"/>
                <w:sz w:val="14"/>
              </w:rPr>
              <w:t>The design width. Bottom navigation applies.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md</w:t>
            </w:r>
          </w:p>
        </w:tc>
        <w:tc>
          <w:tcPr>
            <w:tcW w:type="dxa" w:w="965"/>
            <w:tcMar>
              <w:top w:w="60" w:type="dxa"/>
              <w:start w:w="110" w:type="dxa"/>
              <w:bottom w:w="60" w:type="dxa"/>
              <w:end w:w="110" w:type="dxa"/>
            </w:tcMar>
          </w:tcPr>
          <w:p>
            <w:pPr>
              <w:spacing w:after="0"/>
            </w:pPr>
            <w:r/>
            <w:r>
              <w:rPr>
                <w:rFonts w:ascii="Calibri" w:hAnsi="Calibri"/>
                <w:b w:val="0"/>
                <w:i w:val="0"/>
                <w:color w:val="101828"/>
                <w:sz w:val="14"/>
              </w:rPr>
              <w:t>768 to 1023</w:t>
            </w:r>
          </w:p>
        </w:tc>
        <w:tc>
          <w:tcPr>
            <w:tcW w:type="dxa" w:w="605"/>
            <w:tcMar>
              <w:top w:w="60" w:type="dxa"/>
              <w:start w:w="110" w:type="dxa"/>
              <w:bottom w:w="60" w:type="dxa"/>
              <w:end w:w="110" w:type="dxa"/>
            </w:tcMar>
          </w:tcPr>
          <w:p>
            <w:pPr>
              <w:spacing w:after="0"/>
            </w:pPr>
            <w:r/>
            <w:r>
              <w:rPr>
                <w:rFonts w:ascii="Calibri" w:hAnsi="Calibri"/>
                <w:b w:val="0"/>
                <w:i w:val="0"/>
                <w:color w:val="101828"/>
                <w:sz w:val="14"/>
              </w:rPr>
              <w:t>2</w:t>
            </w:r>
          </w:p>
        </w:tc>
        <w:tc>
          <w:tcPr>
            <w:tcW w:type="dxa" w:w="605"/>
            <w:tcMar>
              <w:top w:w="60" w:type="dxa"/>
              <w:start w:w="110" w:type="dxa"/>
              <w:bottom w:w="60" w:type="dxa"/>
              <w:end w:w="110" w:type="dxa"/>
            </w:tcMar>
          </w:tcPr>
          <w:p>
            <w:pPr>
              <w:spacing w:after="0"/>
            </w:pPr>
            <w:r/>
            <w:r>
              <w:rPr>
                <w:rFonts w:ascii="Calibri" w:hAnsi="Calibri"/>
                <w:b w:val="0"/>
                <w:i w:val="0"/>
                <w:color w:val="101828"/>
                <w:sz w:val="14"/>
              </w:rPr>
              <w:t>24 px</w:t>
            </w:r>
          </w:p>
        </w:tc>
        <w:tc>
          <w:tcPr>
            <w:tcW w:type="dxa" w:w="893"/>
            <w:tcMar>
              <w:top w:w="60" w:type="dxa"/>
              <w:start w:w="110" w:type="dxa"/>
              <w:bottom w:w="60" w:type="dxa"/>
              <w:end w:w="110" w:type="dxa"/>
            </w:tcMar>
          </w:tcPr>
          <w:p>
            <w:pPr>
              <w:spacing w:after="0"/>
            </w:pPr>
            <w:r/>
            <w:r>
              <w:rPr>
                <w:rFonts w:ascii="Calibri" w:hAnsi="Calibri"/>
                <w:b w:val="0"/>
                <w:i w:val="0"/>
                <w:color w:val="101828"/>
                <w:sz w:val="14"/>
              </w:rPr>
              <w:t>24 px</w:t>
            </w:r>
          </w:p>
        </w:tc>
        <w:tc>
          <w:tcPr>
            <w:tcW w:type="dxa" w:w="5688"/>
            <w:tcMar>
              <w:top w:w="60" w:type="dxa"/>
              <w:start w:w="110" w:type="dxa"/>
              <w:bottom w:w="60" w:type="dxa"/>
              <w:end w:w="110" w:type="dxa"/>
            </w:tcMar>
          </w:tcPr>
          <w:p>
            <w:pPr>
              <w:spacing w:after="0"/>
            </w:pPr>
            <w:r/>
            <w:r>
              <w:rPr>
                <w:rFonts w:ascii="Calibri" w:hAnsi="Calibri"/>
                <w:b w:val="0"/>
                <w:i w:val="0"/>
                <w:color w:val="101828"/>
                <w:sz w:val="14"/>
              </w:rPr>
              <w:t>Bottom navigation becomes a top bar. Console becomes usable.</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lg</w:t>
            </w:r>
          </w:p>
        </w:tc>
        <w:tc>
          <w:tcPr>
            <w:tcW w:type="dxa" w:w="965"/>
            <w:tcMar>
              <w:top w:w="60" w:type="dxa"/>
              <w:start w:w="110" w:type="dxa"/>
              <w:bottom w:w="60" w:type="dxa"/>
              <w:end w:w="110" w:type="dxa"/>
            </w:tcMar>
            <w:shd w:val="clear" w:color="auto" w:fill="F4F7FB"/>
          </w:tcPr>
          <w:p>
            <w:pPr>
              <w:spacing w:after="0"/>
            </w:pPr>
            <w:r/>
            <w:r>
              <w:rPr>
                <w:rFonts w:ascii="Calibri" w:hAnsi="Calibri"/>
                <w:b w:val="0"/>
                <w:i w:val="0"/>
                <w:color w:val="101828"/>
                <w:sz w:val="14"/>
              </w:rPr>
              <w:t>1024 to 1279</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8</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24 px</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32 px</w:t>
            </w:r>
          </w:p>
        </w:tc>
        <w:tc>
          <w:tcPr>
            <w:tcW w:type="dxa" w:w="5688"/>
            <w:tcMar>
              <w:top w:w="60" w:type="dxa"/>
              <w:start w:w="110" w:type="dxa"/>
              <w:bottom w:w="60" w:type="dxa"/>
              <w:end w:w="110" w:type="dxa"/>
            </w:tcMar>
            <w:shd w:val="clear" w:color="auto" w:fill="F4F7FB"/>
          </w:tcPr>
          <w:p>
            <w:pPr>
              <w:spacing w:after="0"/>
            </w:pPr>
            <w:r/>
            <w:r>
              <w:rPr>
                <w:rFonts w:ascii="Calibri" w:hAnsi="Calibri"/>
                <w:b w:val="0"/>
                <w:i w:val="0"/>
                <w:color w:val="101828"/>
                <w:sz w:val="14"/>
              </w:rPr>
              <w:t>Reading column caps at 720 px. The right context panel is not yet available.</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xl</w:t>
            </w:r>
          </w:p>
        </w:tc>
        <w:tc>
          <w:tcPr>
            <w:tcW w:type="dxa" w:w="965"/>
            <w:tcMar>
              <w:top w:w="60" w:type="dxa"/>
              <w:start w:w="110" w:type="dxa"/>
              <w:bottom w:w="60" w:type="dxa"/>
              <w:end w:w="110" w:type="dxa"/>
            </w:tcMar>
          </w:tcPr>
          <w:p>
            <w:pPr>
              <w:spacing w:after="0"/>
            </w:pPr>
            <w:r/>
            <w:r>
              <w:rPr>
                <w:rFonts w:ascii="Calibri" w:hAnsi="Calibri"/>
                <w:b w:val="0"/>
                <w:i w:val="0"/>
                <w:color w:val="101828"/>
                <w:sz w:val="14"/>
              </w:rPr>
              <w:t>1280 to 1439</w:t>
            </w:r>
          </w:p>
        </w:tc>
        <w:tc>
          <w:tcPr>
            <w:tcW w:type="dxa" w:w="605"/>
            <w:tcMar>
              <w:top w:w="60" w:type="dxa"/>
              <w:start w:w="110" w:type="dxa"/>
              <w:bottom w:w="60" w:type="dxa"/>
              <w:end w:w="110" w:type="dxa"/>
            </w:tcMar>
          </w:tcPr>
          <w:p>
            <w:pPr>
              <w:spacing w:after="0"/>
            </w:pPr>
            <w:r/>
            <w:r>
              <w:rPr>
                <w:rFonts w:ascii="Calibri" w:hAnsi="Calibri"/>
                <w:b w:val="0"/>
                <w:i w:val="0"/>
                <w:color w:val="101828"/>
                <w:sz w:val="14"/>
              </w:rPr>
              <w:t>12</w:t>
            </w:r>
          </w:p>
        </w:tc>
        <w:tc>
          <w:tcPr>
            <w:tcW w:type="dxa" w:w="605"/>
            <w:tcMar>
              <w:top w:w="60" w:type="dxa"/>
              <w:start w:w="110" w:type="dxa"/>
              <w:bottom w:w="60" w:type="dxa"/>
              <w:end w:w="110" w:type="dxa"/>
            </w:tcMar>
          </w:tcPr>
          <w:p>
            <w:pPr>
              <w:spacing w:after="0"/>
            </w:pPr>
            <w:r/>
            <w:r>
              <w:rPr>
                <w:rFonts w:ascii="Calibri" w:hAnsi="Calibri"/>
                <w:b w:val="0"/>
                <w:i w:val="0"/>
                <w:color w:val="101828"/>
                <w:sz w:val="14"/>
              </w:rPr>
              <w:t>24 px</w:t>
            </w:r>
          </w:p>
        </w:tc>
        <w:tc>
          <w:tcPr>
            <w:tcW w:type="dxa" w:w="893"/>
            <w:tcMar>
              <w:top w:w="60" w:type="dxa"/>
              <w:start w:w="110" w:type="dxa"/>
              <w:bottom w:w="60" w:type="dxa"/>
              <w:end w:w="110" w:type="dxa"/>
            </w:tcMar>
          </w:tcPr>
          <w:p>
            <w:pPr>
              <w:spacing w:after="0"/>
            </w:pPr>
            <w:r/>
            <w:r>
              <w:rPr>
                <w:rFonts w:ascii="Calibri" w:hAnsi="Calibri"/>
                <w:b w:val="0"/>
                <w:i w:val="0"/>
                <w:color w:val="101828"/>
                <w:sz w:val="14"/>
              </w:rPr>
              <w:t>40 px</w:t>
            </w:r>
          </w:p>
        </w:tc>
        <w:tc>
          <w:tcPr>
            <w:tcW w:type="dxa" w:w="5688"/>
            <w:tcMar>
              <w:top w:w="60" w:type="dxa"/>
              <w:start w:w="110" w:type="dxa"/>
              <w:bottom w:w="60" w:type="dxa"/>
              <w:end w:w="110" w:type="dxa"/>
            </w:tcMar>
          </w:tcPr>
          <w:p>
            <w:pPr>
              <w:spacing w:after="0"/>
            </w:pPr>
            <w:r/>
            <w:r>
              <w:rPr>
                <w:rFonts w:ascii="Calibri" w:hAnsi="Calibri"/>
                <w:b w:val="0"/>
                <w:i w:val="0"/>
                <w:color w:val="101828"/>
                <w:sz w:val="14"/>
              </w:rPr>
              <w:t>Right context panel appears. Summary tiles go three across.</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2xl</w:t>
            </w:r>
          </w:p>
        </w:tc>
        <w:tc>
          <w:tcPr>
            <w:tcW w:type="dxa" w:w="965"/>
            <w:tcMar>
              <w:top w:w="60" w:type="dxa"/>
              <w:start w:w="110" w:type="dxa"/>
              <w:bottom w:w="60" w:type="dxa"/>
              <w:end w:w="110" w:type="dxa"/>
            </w:tcMar>
            <w:shd w:val="clear" w:color="auto" w:fill="F4F7FB"/>
          </w:tcPr>
          <w:p>
            <w:pPr>
              <w:spacing w:after="0"/>
            </w:pPr>
            <w:r/>
            <w:r>
              <w:rPr>
                <w:rFonts w:ascii="Calibri" w:hAnsi="Calibri"/>
                <w:b w:val="0"/>
                <w:i w:val="0"/>
                <w:color w:val="101828"/>
                <w:sz w:val="14"/>
              </w:rPr>
              <w:t>1440 and up</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12</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24 px</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48 px</w:t>
            </w:r>
          </w:p>
        </w:tc>
        <w:tc>
          <w:tcPr>
            <w:tcW w:type="dxa" w:w="5688"/>
            <w:tcMar>
              <w:top w:w="60" w:type="dxa"/>
              <w:start w:w="110" w:type="dxa"/>
              <w:bottom w:w="60" w:type="dxa"/>
              <w:end w:w="110" w:type="dxa"/>
            </w:tcMar>
            <w:shd w:val="clear" w:color="auto" w:fill="F4F7FB"/>
          </w:tcPr>
          <w:p>
            <w:pPr>
              <w:spacing w:after="0"/>
            </w:pPr>
            <w:r/>
            <w:r>
              <w:rPr>
                <w:rFonts w:ascii="Calibri" w:hAnsi="Calibri"/>
                <w:b w:val="0"/>
                <w:i w:val="0"/>
                <w:color w:val="101828"/>
                <w:sz w:val="14"/>
              </w:rPr>
              <w:t>The console design width. Content is capped, never stretched.</w:t>
            </w:r>
          </w:p>
        </w:tc>
      </w:tr>
    </w:tbl>
    <w:p>
      <w:pPr>
        <w:spacing w:after="80"/>
      </w:pPr>
    </w:p>
    <w:p>
      <w:r>
        <w:rPr>
          <w:rFonts w:ascii="Calibri" w:hAnsi="Calibri"/>
          <w:b w:val="0"/>
          <w:i w:val="0"/>
          <w:color w:val="101828"/>
          <w:sz w:val="21"/>
        </w:rPr>
        <w:t xml:space="preserve">Content is </w:t>
      </w:r>
      <w:r>
        <w:rPr>
          <w:rFonts w:ascii="Calibri" w:hAnsi="Calibri"/>
          <w:b/>
          <w:color w:val="101828"/>
          <w:sz w:val="21"/>
        </w:rPr>
        <w:t>capped and left-aligned, never centred and never full-bleed</w:t>
      </w:r>
      <w:r>
        <w:rPr>
          <w:rFonts w:ascii="Calibri" w:hAnsi="Calibri"/>
          <w:b w:val="0"/>
          <w:i w:val="0"/>
          <w:color w:val="101828"/>
          <w:sz w:val="21"/>
        </w:rPr>
        <w:t xml:space="preserve"> below 1280 px, with two exceptions: the marketing hero, which is full-bleed, and the console's data tables, which use the full grid because a table with unused columns to its right is a table with too few columns.</w:t>
      </w:r>
    </w:p>
    <w:p>
      <w:pPr>
        <w:pStyle w:val="Heading3"/>
      </w:pPr>
      <w:r>
        <w:rPr>
          <w:rFonts w:ascii="Calibri" w:hAnsi="Calibri"/>
          <w:b/>
          <w:i w:val="0"/>
          <w:color w:val="0B1F3A"/>
          <w:sz w:val="24"/>
        </w:rPr>
        <w:t>7.5.3 Radius and elevation</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181"/>
            <w:shd w:val="clear" w:color="auto" w:fill="0B1F3A"/>
            <w:tcMar>
              <w:top w:w="60" w:type="dxa"/>
              <w:start w:w="110" w:type="dxa"/>
              <w:bottom w:w="60" w:type="dxa"/>
              <w:end w:w="110" w:type="dxa"/>
            </w:tcMar>
          </w:tcPr>
          <w:p>
            <w:pPr>
              <w:spacing w:after="0"/>
            </w:pPr>
            <w:r/>
            <w:r>
              <w:rPr>
                <w:rFonts w:ascii="Calibri" w:hAnsi="Calibri"/>
                <w:b/>
                <w:i w:val="0"/>
                <w:color w:val="FFFFFF"/>
                <w:sz w:val="14"/>
              </w:rPr>
              <w:t>Token</w:t>
            </w:r>
          </w:p>
        </w:tc>
        <w:tc>
          <w:tcPr>
            <w:tcW w:type="dxa" w:w="648"/>
            <w:shd w:val="clear" w:color="auto" w:fill="0B1F3A"/>
            <w:tcMar>
              <w:top w:w="60" w:type="dxa"/>
              <w:start w:w="110" w:type="dxa"/>
              <w:bottom w:w="60" w:type="dxa"/>
              <w:end w:w="110" w:type="dxa"/>
            </w:tcMar>
          </w:tcPr>
          <w:p>
            <w:pPr>
              <w:spacing w:after="0"/>
            </w:pPr>
            <w:r/>
            <w:r>
              <w:rPr>
                <w:rFonts w:ascii="Calibri" w:hAnsi="Calibri"/>
                <w:b/>
                <w:i w:val="0"/>
                <w:color w:val="FFFFFF"/>
                <w:sz w:val="14"/>
              </w:rPr>
              <w:t>Radius</w:t>
            </w:r>
          </w:p>
        </w:tc>
        <w:tc>
          <w:tcPr>
            <w:tcW w:type="dxa" w:w="7531"/>
            <w:shd w:val="clear" w:color="auto" w:fill="0B1F3A"/>
            <w:tcMar>
              <w:top w:w="60" w:type="dxa"/>
              <w:start w:w="110" w:type="dxa"/>
              <w:bottom w:w="60" w:type="dxa"/>
              <w:end w:w="110" w:type="dxa"/>
            </w:tcMar>
          </w:tcPr>
          <w:p>
            <w:pPr>
              <w:spacing w:after="0"/>
            </w:pPr>
            <w:r/>
            <w:r>
              <w:rPr>
                <w:rFonts w:ascii="Calibri" w:hAnsi="Calibri"/>
                <w:b/>
                <w:i w:val="0"/>
                <w:color w:val="FFFFFF"/>
                <w:sz w:val="14"/>
              </w:rPr>
              <w:t>Used by</w:t>
            </w:r>
          </w:p>
        </w:tc>
      </w:tr>
      <w:tr>
        <w:trPr>
          <w:cantSplit/>
        </w:trPr>
        <w:tc>
          <w:tcPr>
            <w:tcW w:type="dxa" w:w="1181"/>
            <w:tcMar>
              <w:top w:w="60" w:type="dxa"/>
              <w:start w:w="110" w:type="dxa"/>
              <w:bottom w:w="60" w:type="dxa"/>
              <w:end w:w="110" w:type="dxa"/>
            </w:tcMar>
          </w:tcPr>
          <w:p>
            <w:pPr>
              <w:spacing w:after="0"/>
            </w:pPr>
            <w:r/>
            <w:r>
              <w:rPr>
                <w:rFonts w:ascii="Calibri" w:hAnsi="Calibri"/>
                <w:b w:val="0"/>
                <w:i w:val="0"/>
                <w:color w:val="101828"/>
                <w:sz w:val="14"/>
              </w:rPr>
              <w:t>radius-sm</w:t>
            </w:r>
          </w:p>
        </w:tc>
        <w:tc>
          <w:tcPr>
            <w:tcW w:type="dxa" w:w="648"/>
            <w:tcMar>
              <w:top w:w="60" w:type="dxa"/>
              <w:start w:w="110" w:type="dxa"/>
              <w:bottom w:w="60" w:type="dxa"/>
              <w:end w:w="110" w:type="dxa"/>
            </w:tcMar>
          </w:tcPr>
          <w:p>
            <w:pPr>
              <w:spacing w:after="0"/>
            </w:pPr>
            <w:r/>
            <w:r>
              <w:rPr>
                <w:rFonts w:ascii="Calibri" w:hAnsi="Calibri"/>
                <w:b w:val="0"/>
                <w:i w:val="0"/>
                <w:color w:val="101828"/>
                <w:sz w:val="14"/>
              </w:rPr>
              <w:t>4 px</w:t>
            </w:r>
          </w:p>
        </w:tc>
        <w:tc>
          <w:tcPr>
            <w:tcW w:type="dxa" w:w="7531"/>
            <w:tcMar>
              <w:top w:w="60" w:type="dxa"/>
              <w:start w:w="110" w:type="dxa"/>
              <w:bottom w:w="60" w:type="dxa"/>
              <w:end w:w="110" w:type="dxa"/>
            </w:tcMar>
          </w:tcPr>
          <w:p>
            <w:pPr>
              <w:spacing w:after="0"/>
            </w:pPr>
            <w:r/>
            <w:r>
              <w:rPr>
                <w:rFonts w:ascii="Calibri" w:hAnsi="Calibri"/>
                <w:b w:val="0"/>
                <w:i w:val="0"/>
                <w:color w:val="101828"/>
                <w:sz w:val="14"/>
              </w:rPr>
              <w:t>Badges, chips, small inline elements, the state pill</w:t>
            </w:r>
          </w:p>
        </w:tc>
      </w:tr>
      <w:tr>
        <w:trPr>
          <w:cantSplit/>
        </w:trPr>
        <w:tc>
          <w:tcPr>
            <w:tcW w:type="dxa" w:w="1181"/>
            <w:tcMar>
              <w:top w:w="60" w:type="dxa"/>
              <w:start w:w="110" w:type="dxa"/>
              <w:bottom w:w="60" w:type="dxa"/>
              <w:end w:w="110" w:type="dxa"/>
            </w:tcMar>
            <w:shd w:val="clear" w:color="auto" w:fill="F4F7FB"/>
          </w:tcPr>
          <w:p>
            <w:pPr>
              <w:spacing w:after="0"/>
            </w:pPr>
            <w:r/>
            <w:r>
              <w:rPr>
                <w:rFonts w:ascii="Calibri" w:hAnsi="Calibri"/>
                <w:b w:val="0"/>
                <w:i w:val="0"/>
                <w:color w:val="101828"/>
                <w:sz w:val="14"/>
              </w:rPr>
              <w:t>radius-md</w:t>
            </w:r>
          </w:p>
        </w:tc>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8 px</w:t>
            </w:r>
          </w:p>
        </w:tc>
        <w:tc>
          <w:tcPr>
            <w:tcW w:type="dxa" w:w="7531"/>
            <w:tcMar>
              <w:top w:w="60" w:type="dxa"/>
              <w:start w:w="110" w:type="dxa"/>
              <w:bottom w:w="60" w:type="dxa"/>
              <w:end w:w="110" w:type="dxa"/>
            </w:tcMar>
            <w:shd w:val="clear" w:color="auto" w:fill="F4F7FB"/>
          </w:tcPr>
          <w:p>
            <w:pPr>
              <w:spacing w:after="0"/>
            </w:pPr>
            <w:r/>
            <w:r>
              <w:rPr>
                <w:rFonts w:ascii="Calibri" w:hAnsi="Calibri"/>
                <w:b w:val="0"/>
                <w:i w:val="0"/>
                <w:color w:val="101828"/>
                <w:sz w:val="14"/>
              </w:rPr>
              <w:t>Inputs, selects, small buttons, list rows</w:t>
            </w:r>
          </w:p>
        </w:tc>
      </w:tr>
      <w:tr>
        <w:trPr>
          <w:cantSplit/>
        </w:trPr>
        <w:tc>
          <w:tcPr>
            <w:tcW w:type="dxa" w:w="1181"/>
            <w:tcMar>
              <w:top w:w="60" w:type="dxa"/>
              <w:start w:w="110" w:type="dxa"/>
              <w:bottom w:w="60" w:type="dxa"/>
              <w:end w:w="110" w:type="dxa"/>
            </w:tcMar>
          </w:tcPr>
          <w:p>
            <w:pPr>
              <w:spacing w:after="0"/>
            </w:pPr>
            <w:r/>
            <w:r>
              <w:rPr>
                <w:rFonts w:ascii="Calibri" w:hAnsi="Calibri"/>
                <w:b w:val="0"/>
                <w:i w:val="0"/>
                <w:color w:val="101828"/>
                <w:sz w:val="14"/>
              </w:rPr>
              <w:t>radius-lg</w:t>
            </w:r>
          </w:p>
        </w:tc>
        <w:tc>
          <w:tcPr>
            <w:tcW w:type="dxa" w:w="648"/>
            <w:tcMar>
              <w:top w:w="60" w:type="dxa"/>
              <w:start w:w="110" w:type="dxa"/>
              <w:bottom w:w="60" w:type="dxa"/>
              <w:end w:w="110" w:type="dxa"/>
            </w:tcMar>
          </w:tcPr>
          <w:p>
            <w:pPr>
              <w:spacing w:after="0"/>
            </w:pPr>
            <w:r/>
            <w:r>
              <w:rPr>
                <w:rFonts w:ascii="Calibri" w:hAnsi="Calibri"/>
                <w:b w:val="0"/>
                <w:i w:val="0"/>
                <w:color w:val="101828"/>
                <w:sz w:val="14"/>
              </w:rPr>
              <w:t>12 px</w:t>
            </w:r>
          </w:p>
        </w:tc>
        <w:tc>
          <w:tcPr>
            <w:tcW w:type="dxa" w:w="7531"/>
            <w:tcMar>
              <w:top w:w="60" w:type="dxa"/>
              <w:start w:w="110" w:type="dxa"/>
              <w:bottom w:w="60" w:type="dxa"/>
              <w:end w:w="110" w:type="dxa"/>
            </w:tcMar>
          </w:tcPr>
          <w:p>
            <w:pPr>
              <w:spacing w:after="0"/>
            </w:pPr>
            <w:r/>
            <w:r>
              <w:rPr>
                <w:rFonts w:ascii="Calibri" w:hAnsi="Calibri"/>
                <w:b w:val="0"/>
                <w:i w:val="0"/>
                <w:color w:val="101828"/>
                <w:sz w:val="14"/>
              </w:rPr>
              <w:t>Cards, the money block, sheets</w:t>
            </w:r>
          </w:p>
        </w:tc>
      </w:tr>
      <w:tr>
        <w:trPr>
          <w:cantSplit/>
        </w:trPr>
        <w:tc>
          <w:tcPr>
            <w:tcW w:type="dxa" w:w="1181"/>
            <w:tcMar>
              <w:top w:w="60" w:type="dxa"/>
              <w:start w:w="110" w:type="dxa"/>
              <w:bottom w:w="60" w:type="dxa"/>
              <w:end w:w="110" w:type="dxa"/>
            </w:tcMar>
            <w:shd w:val="clear" w:color="auto" w:fill="F4F7FB"/>
          </w:tcPr>
          <w:p>
            <w:pPr>
              <w:spacing w:after="0"/>
            </w:pPr>
            <w:r/>
            <w:r>
              <w:rPr>
                <w:rFonts w:ascii="Calibri" w:hAnsi="Calibri"/>
                <w:b w:val="0"/>
                <w:i w:val="0"/>
                <w:color w:val="101828"/>
                <w:sz w:val="14"/>
              </w:rPr>
              <w:t>radius-pill</w:t>
            </w:r>
          </w:p>
        </w:tc>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999 px</w:t>
            </w:r>
          </w:p>
        </w:tc>
        <w:tc>
          <w:tcPr>
            <w:tcW w:type="dxa" w:w="7531"/>
            <w:tcMar>
              <w:top w:w="60" w:type="dxa"/>
              <w:start w:w="110" w:type="dxa"/>
              <w:bottom w:w="60" w:type="dxa"/>
              <w:end w:w="110" w:type="dxa"/>
            </w:tcMar>
            <w:shd w:val="clear" w:color="auto" w:fill="F4F7FB"/>
          </w:tcPr>
          <w:p>
            <w:pPr>
              <w:spacing w:after="0"/>
            </w:pPr>
            <w:r/>
            <w:r>
              <w:rPr>
                <w:rFonts w:ascii="Calibri" w:hAnsi="Calibri"/>
                <w:b w:val="0"/>
                <w:i w:val="0"/>
                <w:color w:val="101828"/>
                <w:sz w:val="14"/>
              </w:rPr>
              <w:t>Only the segmented control and the state pill. Not buttons, not cards.</w:t>
            </w:r>
          </w:p>
        </w:tc>
      </w:tr>
    </w:tbl>
    <w:p>
      <w:pPr>
        <w:spacing w:after="80"/>
      </w:pPr>
    </w:p>
    <w:p>
      <w:r>
        <w:rPr>
          <w:rFonts w:ascii="Calibri" w:hAnsi="Calibri"/>
          <w:b w:val="0"/>
          <w:i w:val="0"/>
          <w:color w:val="101828"/>
          <w:sz w:val="21"/>
        </w:rPr>
        <w:t xml:space="preserve">Elevation is one level, plus a scrim. There is no shadow scale in v1, because the only time two surfaces overlap in this product is a sheet over a page, and a single shadow plus a 40 percent Deep scrim is enough. A card on a Cloud page is separated by a 1 px </w:t>
      </w:r>
      <w:r>
        <w:rPr>
          <w:rFonts w:ascii="Consolas" w:hAnsi="Consolas"/>
          <w:color w:val="146EF5"/>
          <w:sz w:val="21"/>
        </w:rPr>
        <w:t>#E4EAF2</w:t>
      </w:r>
      <w:r>
        <w:rPr>
          <w:rFonts w:ascii="Calibri" w:hAnsi="Calibri"/>
          <w:b w:val="0"/>
          <w:i w:val="0"/>
          <w:color w:val="101828"/>
          <w:sz w:val="21"/>
        </w:rPr>
        <w:t xml:space="preserve"> border and a very faint shadow, not by a floating one, because a field of floating cards is a dashboard cliché and this is a savings product.</w:t>
      </w:r>
    </w:p>
    <w:p>
      <w:pPr>
        <w:pStyle w:val="Heading2"/>
      </w:pPr>
      <w:r>
        <w:rPr>
          <w:rFonts w:ascii="Calibri" w:hAnsi="Calibri"/>
          <w:b/>
          <w:i w:val="0"/>
          <w:color w:val="146EF5"/>
          <w:sz w:val="29"/>
        </w:rPr>
        <w:t>7.6 Iconography and imagery</w:t>
      </w:r>
    </w:p>
    <w:p>
      <w:pPr>
        <w:pStyle w:val="Heading3"/>
      </w:pPr>
      <w:r>
        <w:rPr>
          <w:rFonts w:ascii="Calibri" w:hAnsi="Calibri"/>
          <w:b/>
          <w:i w:val="0"/>
          <w:color w:val="0B1F3A"/>
          <w:sz w:val="24"/>
        </w:rPr>
        <w:t>7.6.1 Icons</w:t>
      </w:r>
    </w:p>
    <w:p>
      <w:r>
        <w:rPr>
          <w:rFonts w:ascii="Calibri" w:hAnsi="Calibri"/>
          <w:b w:val="0"/>
          <w:i w:val="0"/>
          <w:color w:val="101828"/>
          <w:sz w:val="21"/>
        </w:rPr>
        <w:t>A 24 px grid, 1.75 px stroke, round caps and joins, drawn in the same family as the interface so the weights match. Icons are never the only carrier of meaning: an icon-only control requires an accessible name, a tooltip, and a visible label on the surface it appears on. Three icons are prohibited outright.</w:t>
      </w:r>
    </w:p>
    <w:p>
      <w:pPr>
        <w:pStyle w:val="ListBullet"/>
        <w:spacing w:after="60"/>
        <w:ind w:left="360"/>
      </w:pPr>
      <w:r>
        <w:rPr>
          <w:rFonts w:ascii="Calibri" w:hAnsi="Calibri"/>
          <w:b/>
          <w:color w:val="101828"/>
          <w:sz w:val="21"/>
        </w:rPr>
        <w:t>No icon that implies a state.</w:t>
      </w:r>
      <w:r>
        <w:rPr>
          <w:rFonts w:ascii="Calibri" w:hAnsi="Calibri"/>
          <w:b w:val="0"/>
          <w:i w:val="0"/>
          <w:color w:val="101828"/>
          <w:sz w:val="21"/>
        </w:rPr>
        <w:t xml:space="preserve"> A green tick for </w:t>
      </w:r>
      <w:r>
        <w:rPr>
          <w:rFonts w:ascii="Calibri" w:hAnsi="Calibri"/>
          <w:i/>
          <w:color w:val="101828"/>
          <w:sz w:val="21"/>
        </w:rPr>
        <w:t>paid</w:t>
      </w:r>
      <w:r>
        <w:rPr>
          <w:rFonts w:ascii="Calibri" w:hAnsi="Calibri"/>
          <w:b w:val="0"/>
          <w:i w:val="0"/>
          <w:color w:val="101828"/>
          <w:sz w:val="21"/>
        </w:rPr>
        <w:t xml:space="preserve"> is prohibited, because the same tick is used for </w:t>
      </w:r>
      <w:r>
        <w:rPr>
          <w:rFonts w:ascii="Calibri" w:hAnsi="Calibri"/>
          <w:i/>
          <w:color w:val="101828"/>
          <w:sz w:val="21"/>
        </w:rPr>
        <w:t>verified</w:t>
      </w:r>
      <w:r>
        <w:rPr>
          <w:rFonts w:ascii="Calibri" w:hAnsi="Calibri"/>
          <w:b w:val="0"/>
          <w:i w:val="0"/>
          <w:color w:val="101828"/>
          <w:sz w:val="21"/>
        </w:rPr>
        <w:t xml:space="preserve">, </w:t>
      </w:r>
      <w:r>
        <w:rPr>
          <w:rFonts w:ascii="Calibri" w:hAnsi="Calibri"/>
          <w:i/>
          <w:color w:val="101828"/>
          <w:sz w:val="21"/>
        </w:rPr>
        <w:t>settled</w:t>
      </w:r>
      <w:r>
        <w:rPr>
          <w:rFonts w:ascii="Calibri" w:hAnsi="Calibri"/>
          <w:b w:val="0"/>
          <w:i w:val="0"/>
          <w:color w:val="101828"/>
          <w:sz w:val="21"/>
        </w:rPr>
        <w:t xml:space="preserve"> and </w:t>
      </w:r>
      <w:r>
        <w:rPr>
          <w:rFonts w:ascii="Calibri" w:hAnsi="Calibri"/>
          <w:i/>
          <w:color w:val="101828"/>
          <w:sz w:val="21"/>
        </w:rPr>
        <w:t>complete</w:t>
      </w:r>
      <w:r>
        <w:rPr>
          <w:rFonts w:ascii="Calibri" w:hAnsi="Calibri"/>
          <w:b w:val="0"/>
          <w:i w:val="0"/>
          <w:color w:val="101828"/>
          <w:sz w:val="21"/>
        </w:rPr>
        <w:t xml:space="preserve"> elsewhere and the reader has to learn four meanings for one shape. State is a word.</w:t>
      </w:r>
    </w:p>
    <w:p>
      <w:pPr>
        <w:pStyle w:val="ListBullet"/>
        <w:spacing w:after="60"/>
        <w:ind w:left="360"/>
      </w:pPr>
      <w:r>
        <w:rPr>
          <w:rFonts w:ascii="Calibri" w:hAnsi="Calibri"/>
          <w:b/>
          <w:color w:val="101828"/>
          <w:sz w:val="21"/>
        </w:rPr>
        <w:t>No icon-only destructive control.</w:t>
      </w:r>
      <w:r>
        <w:rPr>
          <w:rFonts w:ascii="Calibri" w:hAnsi="Calibri"/>
          <w:b w:val="0"/>
          <w:i w:val="0"/>
          <w:color w:val="101828"/>
          <w:sz w:val="21"/>
        </w:rPr>
        <w:t xml:space="preserve"> A trash can with no label is prohibited on any touch viewport, on the grounds that a member should not be able to destroy a record by mis-tapping something they thought was a filter.</w:t>
      </w:r>
    </w:p>
    <w:p>
      <w:pPr>
        <w:pStyle w:val="ListBullet"/>
        <w:spacing w:after="60"/>
        <w:ind w:left="360"/>
      </w:pPr>
      <w:r>
        <w:rPr>
          <w:rFonts w:ascii="Calibri" w:hAnsi="Calibri"/>
          <w:b/>
          <w:color w:val="101828"/>
          <w:sz w:val="21"/>
        </w:rPr>
        <w:t>No money icon.</w:t>
      </w:r>
      <w:r>
        <w:rPr>
          <w:rFonts w:ascii="Calibri" w:hAnsi="Calibri"/>
          <w:b w:val="0"/>
          <w:i w:val="0"/>
          <w:color w:val="101828"/>
          <w:sz w:val="21"/>
        </w:rPr>
        <w:t xml:space="preserve"> No naira glyph, no coin, no banknote, no wallet next to an amount. An amount is text, always, and the icon adds a claim about what the money is that the copy has to work harder to support.</w:t>
      </w:r>
    </w:p>
    <w:p>
      <w:pPr>
        <w:pStyle w:val="Heading3"/>
      </w:pPr>
      <w:r>
        <w:rPr>
          <w:rFonts w:ascii="Calibri" w:hAnsi="Calibri"/>
          <w:b/>
          <w:i w:val="0"/>
          <w:color w:val="0B1F3A"/>
          <w:sz w:val="24"/>
        </w:rPr>
        <w:t>7.6.2 Imagery</w:t>
      </w:r>
    </w:p>
    <w:p>
      <w:r>
        <w:rPr>
          <w:rFonts w:ascii="Calibri" w:hAnsi="Calibri"/>
          <w:b w:val="0"/>
          <w:i w:val="0"/>
          <w:color w:val="101828"/>
          <w:sz w:val="21"/>
        </w:rPr>
        <w:t xml:space="preserve">There is no stock photography of smiling families in the product. Marketing pages may use one photographic treatment per page at most, and it must not be the first thing on the page above the fold, because the product's first job on a marketing page is to explain a rotating savings scheme to someone who has never been in one and does not know it is called anything. AJO.ng's diagrams carry that explanation better than a photograph does. </w:t>
      </w:r>
      <w:r>
        <w:rPr>
          <w:rFonts w:ascii="Calibri" w:hAnsi="Calibri"/>
          <w:b/>
          <w:color w:val="101828"/>
          <w:sz w:val="21"/>
        </w:rPr>
        <w:t>Illustration is drawn in the two-colour brand system at Deep and Cyan, and never depicts a specific person, a specific device, or a specific bank.</w:t>
      </w:r>
    </w:p>
    <w:p>
      <w:pPr>
        <w:spacing w:before="140" w:after="180"/>
        <w:ind w:left="144"/>
        <w:shd w:val="clear" w:color="auto" w:fill="EFF6FF"/>
        <w:pBdr>
          <w:left w:val="single" w:sz="18" w:space="6" w:color="146EF5"/>
        </w:pBdr>
      </w:pPr>
      <w:r>
        <w:rPr>
          <w:rFonts w:ascii="Calibri" w:hAnsi="Calibri"/>
          <w:b/>
          <w:color w:val="146EF5"/>
          <w:sz w:val="19"/>
        </w:rPr>
        <w:t xml:space="preserve">No avatars, no faces  </w:t>
      </w:r>
      <w:r>
        <w:rPr>
          <w:rFonts w:ascii="Calibri" w:hAnsi="Calibri"/>
          <w:b w:val="0"/>
          <w:i w:val="0"/>
          <w:color w:val="0B1F3A"/>
          <w:sz w:val="19"/>
        </w:rPr>
        <w:t>A member with no avatar shows their initials in a Deep circle, or nothing at all. There is no default photographic avatar, because a default face is a small false statement about who is in the group, and a group of ten people who have never met are being asked to trust each other with money on the strength of this interface. Section 6.26 already fixes the initials fallback; this is the visual rule behind it.</w:t>
      </w:r>
    </w:p>
    <w:p>
      <w:pPr>
        <w:pStyle w:val="Heading2"/>
      </w:pPr>
      <w:r>
        <w:rPr>
          <w:rFonts w:ascii="Calibri" w:hAnsi="Calibri"/>
          <w:b/>
          <w:i w:val="0"/>
          <w:color w:val="146EF5"/>
          <w:sz w:val="29"/>
        </w:rPr>
        <w:t>7.7 Buttons, links, and action hierarchy</w:t>
      </w:r>
    </w:p>
    <w:p>
      <w:pPr>
        <w:pStyle w:val="Heading3"/>
      </w:pPr>
      <w:r>
        <w:rPr>
          <w:rFonts w:ascii="Calibri" w:hAnsi="Calibri"/>
          <w:b/>
          <w:i w:val="0"/>
          <w:color w:val="0B1F3A"/>
          <w:sz w:val="24"/>
        </w:rPr>
        <w:t>7.7.1 The four levels of action</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Level</w:t>
            </w:r>
          </w:p>
        </w:tc>
        <w:tc>
          <w:tcPr>
            <w:tcW w:type="dxa" w:w="778"/>
            <w:shd w:val="clear" w:color="auto" w:fill="0B1F3A"/>
            <w:tcMar>
              <w:top w:w="60" w:type="dxa"/>
              <w:start w:w="110" w:type="dxa"/>
              <w:bottom w:w="60" w:type="dxa"/>
              <w:end w:w="110" w:type="dxa"/>
            </w:tcMar>
          </w:tcPr>
          <w:p>
            <w:pPr>
              <w:spacing w:after="0"/>
            </w:pPr>
            <w:r/>
            <w:r>
              <w:rPr>
                <w:rFonts w:ascii="Calibri" w:hAnsi="Calibri"/>
                <w:b/>
                <w:i w:val="0"/>
                <w:color w:val="FFFFFF"/>
                <w:sz w:val="14"/>
              </w:rPr>
              <w:t>Component</w:t>
            </w:r>
          </w:p>
        </w:tc>
        <w:tc>
          <w:tcPr>
            <w:tcW w:type="dxa" w:w="2462"/>
            <w:shd w:val="clear" w:color="auto" w:fill="0B1F3A"/>
            <w:tcMar>
              <w:top w:w="60" w:type="dxa"/>
              <w:start w:w="110" w:type="dxa"/>
              <w:bottom w:w="60" w:type="dxa"/>
              <w:end w:w="110" w:type="dxa"/>
            </w:tcMar>
          </w:tcPr>
          <w:p>
            <w:pPr>
              <w:spacing w:after="0"/>
            </w:pPr>
            <w:r/>
            <w:r>
              <w:rPr>
                <w:rFonts w:ascii="Calibri" w:hAnsi="Calibri"/>
                <w:b/>
                <w:i w:val="0"/>
                <w:color w:val="FFFFFF"/>
                <w:sz w:val="14"/>
              </w:rPr>
              <w:t>Appearance</w:t>
            </w:r>
          </w:p>
        </w:tc>
        <w:tc>
          <w:tcPr>
            <w:tcW w:type="dxa" w:w="2462"/>
            <w:shd w:val="clear" w:color="auto" w:fill="0B1F3A"/>
            <w:tcMar>
              <w:top w:w="60" w:type="dxa"/>
              <w:start w:w="110" w:type="dxa"/>
              <w:bottom w:w="60" w:type="dxa"/>
              <w:end w:w="110" w:type="dxa"/>
            </w:tcMar>
          </w:tcPr>
          <w:p>
            <w:pPr>
              <w:spacing w:after="0"/>
            </w:pPr>
            <w:r/>
            <w:r>
              <w:rPr>
                <w:rFonts w:ascii="Calibri" w:hAnsi="Calibri"/>
                <w:b/>
                <w:i w:val="0"/>
                <w:color w:val="FFFFFF"/>
                <w:sz w:val="14"/>
              </w:rPr>
              <w:t>Count per screen</w:t>
            </w:r>
          </w:p>
        </w:tc>
        <w:tc>
          <w:tcPr>
            <w:tcW w:type="dxa" w:w="3053"/>
            <w:shd w:val="clear" w:color="auto" w:fill="0B1F3A"/>
            <w:tcMar>
              <w:top w:w="60" w:type="dxa"/>
              <w:start w:w="110" w:type="dxa"/>
              <w:bottom w:w="60" w:type="dxa"/>
              <w:end w:w="110" w:type="dxa"/>
            </w:tcMar>
          </w:tcPr>
          <w:p>
            <w:pPr>
              <w:spacing w:after="0"/>
            </w:pPr>
            <w:r/>
            <w:r>
              <w:rPr>
                <w:rFonts w:ascii="Calibri" w:hAnsi="Calibri"/>
                <w:b/>
                <w:i w:val="0"/>
                <w:color w:val="FFFFFF"/>
                <w:sz w:val="14"/>
              </w:rPr>
              <w:t>Use</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Primary</w:t>
            </w:r>
          </w:p>
        </w:tc>
        <w:tc>
          <w:tcPr>
            <w:tcW w:type="dxa" w:w="778"/>
            <w:tcMar>
              <w:top w:w="60" w:type="dxa"/>
              <w:start w:w="110" w:type="dxa"/>
              <w:bottom w:w="60" w:type="dxa"/>
              <w:end w:w="110" w:type="dxa"/>
            </w:tcMar>
          </w:tcPr>
          <w:p>
            <w:pPr>
              <w:spacing w:after="0"/>
            </w:pPr>
            <w:r/>
            <w:r>
              <w:rPr>
                <w:rFonts w:ascii="Calibri" w:hAnsi="Calibri"/>
                <w:b w:val="0"/>
                <w:i w:val="0"/>
                <w:color w:val="101828"/>
                <w:sz w:val="14"/>
              </w:rPr>
              <w:t>Button, filled</w:t>
            </w:r>
          </w:p>
        </w:tc>
        <w:tc>
          <w:tcPr>
            <w:tcW w:type="dxa" w:w="2462"/>
            <w:tcMar>
              <w:top w:w="60" w:type="dxa"/>
              <w:start w:w="110" w:type="dxa"/>
              <w:bottom w:w="60" w:type="dxa"/>
              <w:end w:w="110" w:type="dxa"/>
            </w:tcMar>
          </w:tcPr>
          <w:p>
            <w:pPr>
              <w:spacing w:after="0"/>
            </w:pPr>
            <w:r/>
            <w:r>
              <w:rPr>
                <w:rFonts w:ascii="Calibri" w:hAnsi="Calibri"/>
                <w:b w:val="0"/>
                <w:i w:val="0"/>
                <w:color w:val="101828"/>
                <w:sz w:val="14"/>
              </w:rPr>
              <w:t>Primary #146EF5, White label, 48 px tall, radius-md</w:t>
            </w:r>
          </w:p>
        </w:tc>
        <w:tc>
          <w:tcPr>
            <w:tcW w:type="dxa" w:w="2462"/>
            <w:tcMar>
              <w:top w:w="60" w:type="dxa"/>
              <w:start w:w="110" w:type="dxa"/>
              <w:bottom w:w="60" w:type="dxa"/>
              <w:end w:w="110" w:type="dxa"/>
            </w:tcMar>
          </w:tcPr>
          <w:p>
            <w:pPr>
              <w:spacing w:after="0"/>
            </w:pPr>
            <w:r/>
            <w:r>
              <w:rPr>
                <w:rFonts w:ascii="Calibri" w:hAnsi="Calibri"/>
                <w:b/>
                <w:color w:val="101828"/>
                <w:sz w:val="14"/>
              </w:rPr>
              <w:t>One.</w:t>
            </w:r>
            <w:r>
              <w:rPr>
                <w:rFonts w:ascii="Calibri" w:hAnsi="Calibri"/>
                <w:b w:val="0"/>
                <w:i w:val="0"/>
                <w:color w:val="101828"/>
                <w:sz w:val="14"/>
              </w:rPr>
              <w:t xml:space="preserve"> Zero on a screen with no single next step.</w:t>
            </w:r>
          </w:p>
        </w:tc>
        <w:tc>
          <w:tcPr>
            <w:tcW w:type="dxa" w:w="3053"/>
            <w:tcMar>
              <w:top w:w="60" w:type="dxa"/>
              <w:start w:w="110" w:type="dxa"/>
              <w:bottom w:w="60" w:type="dxa"/>
              <w:end w:w="110" w:type="dxa"/>
            </w:tcMar>
          </w:tcPr>
          <w:p>
            <w:pPr>
              <w:spacing w:after="0"/>
            </w:pPr>
            <w:r/>
            <w:r>
              <w:rPr>
                <w:rFonts w:ascii="Calibri" w:hAnsi="Calibri"/>
                <w:b w:val="0"/>
                <w:i w:val="0"/>
                <w:color w:val="101828"/>
                <w:sz w:val="14"/>
              </w:rPr>
              <w:t>The one thing the person came to do.</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Secondary</w:t>
            </w:r>
          </w:p>
        </w:tc>
        <w:tc>
          <w:tcPr>
            <w:tcW w:type="dxa" w:w="778"/>
            <w:tcMar>
              <w:top w:w="60" w:type="dxa"/>
              <w:start w:w="110" w:type="dxa"/>
              <w:bottom w:w="60" w:type="dxa"/>
              <w:end w:w="110" w:type="dxa"/>
            </w:tcMar>
            <w:shd w:val="clear" w:color="auto" w:fill="F4F7FB"/>
          </w:tcPr>
          <w:p>
            <w:pPr>
              <w:spacing w:after="0"/>
            </w:pPr>
            <w:r/>
            <w:r>
              <w:rPr>
                <w:rFonts w:ascii="Calibri" w:hAnsi="Calibri"/>
                <w:b w:val="0"/>
                <w:i w:val="0"/>
                <w:color w:val="101828"/>
                <w:sz w:val="14"/>
              </w:rPr>
              <w:t>Button, outlined</w:t>
            </w:r>
          </w:p>
        </w:tc>
        <w:tc>
          <w:tcPr>
            <w:tcW w:type="dxa" w:w="2462"/>
            <w:tcMar>
              <w:top w:w="60" w:type="dxa"/>
              <w:start w:w="110" w:type="dxa"/>
              <w:bottom w:w="60" w:type="dxa"/>
              <w:end w:w="110" w:type="dxa"/>
            </w:tcMar>
            <w:shd w:val="clear" w:color="auto" w:fill="F4F7FB"/>
          </w:tcPr>
          <w:p>
            <w:pPr>
              <w:spacing w:after="0"/>
            </w:pPr>
            <w:r/>
            <w:r>
              <w:rPr>
                <w:rFonts w:ascii="Calibri" w:hAnsi="Calibri"/>
                <w:b w:val="0"/>
                <w:i w:val="0"/>
                <w:color w:val="101828"/>
                <w:sz w:val="14"/>
              </w:rPr>
              <w:t>1 px Primary border, Primary label, 48 px</w:t>
            </w:r>
          </w:p>
        </w:tc>
        <w:tc>
          <w:tcPr>
            <w:tcW w:type="dxa" w:w="2462"/>
            <w:tcMar>
              <w:top w:w="60" w:type="dxa"/>
              <w:start w:w="110" w:type="dxa"/>
              <w:bottom w:w="60" w:type="dxa"/>
              <w:end w:w="110" w:type="dxa"/>
            </w:tcMar>
            <w:shd w:val="clear" w:color="auto" w:fill="F4F7FB"/>
          </w:tcPr>
          <w:p>
            <w:pPr>
              <w:spacing w:after="0"/>
            </w:pPr>
            <w:r/>
            <w:r>
              <w:rPr>
                <w:rFonts w:ascii="Calibri" w:hAnsi="Calibri"/>
                <w:b w:val="0"/>
                <w:i w:val="0"/>
                <w:color w:val="101828"/>
                <w:sz w:val="14"/>
              </w:rPr>
              <w:t>Two or three</w:t>
            </w:r>
          </w:p>
        </w:tc>
        <w:tc>
          <w:tcPr>
            <w:tcW w:type="dxa" w:w="3053"/>
            <w:tcMar>
              <w:top w:w="60" w:type="dxa"/>
              <w:start w:w="110" w:type="dxa"/>
              <w:bottom w:w="60" w:type="dxa"/>
              <w:end w:w="110" w:type="dxa"/>
            </w:tcMar>
            <w:shd w:val="clear" w:color="auto" w:fill="F4F7FB"/>
          </w:tcPr>
          <w:p>
            <w:pPr>
              <w:spacing w:after="0"/>
            </w:pPr>
            <w:r/>
            <w:r>
              <w:rPr>
                <w:rFonts w:ascii="Calibri" w:hAnsi="Calibri"/>
                <w:b w:val="0"/>
                <w:i w:val="0"/>
                <w:color w:val="101828"/>
                <w:sz w:val="14"/>
              </w:rPr>
              <w:t>A real alternative to the primary, not a variant of it.</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Tertiary</w:t>
            </w:r>
          </w:p>
        </w:tc>
        <w:tc>
          <w:tcPr>
            <w:tcW w:type="dxa" w:w="778"/>
            <w:tcMar>
              <w:top w:w="60" w:type="dxa"/>
              <w:start w:w="110" w:type="dxa"/>
              <w:bottom w:w="60" w:type="dxa"/>
              <w:end w:w="110" w:type="dxa"/>
            </w:tcMar>
          </w:tcPr>
          <w:p>
            <w:pPr>
              <w:spacing w:after="0"/>
            </w:pPr>
            <w:r/>
            <w:r>
              <w:rPr>
                <w:rFonts w:ascii="Calibri" w:hAnsi="Calibri"/>
                <w:b w:val="0"/>
                <w:i w:val="0"/>
                <w:color w:val="101828"/>
                <w:sz w:val="14"/>
              </w:rPr>
              <w:t>Button, quiet</w:t>
            </w:r>
          </w:p>
        </w:tc>
        <w:tc>
          <w:tcPr>
            <w:tcW w:type="dxa" w:w="2462"/>
            <w:tcMar>
              <w:top w:w="60" w:type="dxa"/>
              <w:start w:w="110" w:type="dxa"/>
              <w:bottom w:w="60" w:type="dxa"/>
              <w:end w:w="110" w:type="dxa"/>
            </w:tcMar>
          </w:tcPr>
          <w:p>
            <w:pPr>
              <w:spacing w:after="0"/>
            </w:pPr>
            <w:r/>
            <w:r>
              <w:rPr>
                <w:rFonts w:ascii="Calibri" w:hAnsi="Calibri"/>
                <w:b w:val="0"/>
                <w:i w:val="0"/>
                <w:color w:val="101828"/>
                <w:sz w:val="14"/>
              </w:rPr>
              <w:t>Primary label, transparent, 44 px</w:t>
            </w:r>
          </w:p>
        </w:tc>
        <w:tc>
          <w:tcPr>
            <w:tcW w:type="dxa" w:w="2462"/>
            <w:tcMar>
              <w:top w:w="60" w:type="dxa"/>
              <w:start w:w="110" w:type="dxa"/>
              <w:bottom w:w="60" w:type="dxa"/>
              <w:end w:w="110" w:type="dxa"/>
            </w:tcMar>
          </w:tcPr>
          <w:p>
            <w:pPr>
              <w:spacing w:after="0"/>
            </w:pPr>
            <w:r/>
            <w:r>
              <w:rPr>
                <w:rFonts w:ascii="Calibri" w:hAnsi="Calibri"/>
                <w:b w:val="0"/>
                <w:i w:val="0"/>
                <w:color w:val="101828"/>
                <w:sz w:val="14"/>
              </w:rPr>
              <w:t>As needed</w:t>
            </w:r>
          </w:p>
        </w:tc>
        <w:tc>
          <w:tcPr>
            <w:tcW w:type="dxa" w:w="3053"/>
            <w:tcMar>
              <w:top w:w="60" w:type="dxa"/>
              <w:start w:w="110" w:type="dxa"/>
              <w:bottom w:w="60" w:type="dxa"/>
              <w:end w:w="110" w:type="dxa"/>
            </w:tcMar>
          </w:tcPr>
          <w:p>
            <w:pPr>
              <w:spacing w:after="0"/>
            </w:pPr>
            <w:r/>
            <w:r>
              <w:rPr>
                <w:rFonts w:ascii="Calibri" w:hAnsi="Calibri"/>
                <w:b w:val="0"/>
                <w:i w:val="0"/>
                <w:color w:val="101828"/>
                <w:sz w:val="14"/>
              </w:rPr>
              <w:t xml:space="preserve">Navigation-ish actions: </w:t>
            </w:r>
            <w:r>
              <w:rPr>
                <w:rFonts w:ascii="Calibri" w:hAnsi="Calibri"/>
                <w:i/>
                <w:color w:val="101828"/>
                <w:sz w:val="14"/>
              </w:rPr>
              <w:t>Members</w:t>
            </w:r>
            <w:r>
              <w:rPr>
                <w:rFonts w:ascii="Calibri" w:hAnsi="Calibri"/>
                <w:b w:val="0"/>
                <w:i w:val="0"/>
                <w:color w:val="101828"/>
                <w:sz w:val="14"/>
              </w:rPr>
              <w:t xml:space="preserve">, </w:t>
            </w:r>
            <w:r>
              <w:rPr>
                <w:rFonts w:ascii="Calibri" w:hAnsi="Calibri"/>
                <w:i/>
                <w:color w:val="101828"/>
                <w:sz w:val="14"/>
              </w:rPr>
              <w:t>Schedule</w:t>
            </w:r>
            <w:r>
              <w:rPr>
                <w:rFonts w:ascii="Calibri" w:hAnsi="Calibri"/>
                <w:b w:val="0"/>
                <w:i w:val="0"/>
                <w:color w:val="101828"/>
                <w:sz w:val="14"/>
              </w:rPr>
              <w:t xml:space="preserve">, </w:t>
            </w:r>
            <w:r>
              <w:rPr>
                <w:rFonts w:ascii="Calibri" w:hAnsi="Calibri"/>
                <w:i/>
                <w:color w:val="101828"/>
                <w:sz w:val="14"/>
              </w:rPr>
              <w:t>Download PDF</w:t>
            </w:r>
            <w:r>
              <w:rPr>
                <w:rFonts w:ascii="Calibri" w:hAnsi="Calibri"/>
                <w:b w:val="0"/>
                <w:i w:val="0"/>
                <w:color w:val="101828"/>
                <w:sz w:val="14"/>
              </w:rPr>
              <w: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Destructive</w:t>
            </w:r>
          </w:p>
        </w:tc>
        <w:tc>
          <w:tcPr>
            <w:tcW w:type="dxa" w:w="778"/>
            <w:tcMar>
              <w:top w:w="60" w:type="dxa"/>
              <w:start w:w="110" w:type="dxa"/>
              <w:bottom w:w="60" w:type="dxa"/>
              <w:end w:w="110" w:type="dxa"/>
            </w:tcMar>
            <w:shd w:val="clear" w:color="auto" w:fill="F4F7FB"/>
          </w:tcPr>
          <w:p>
            <w:pPr>
              <w:spacing w:after="0"/>
            </w:pPr>
            <w:r/>
            <w:r>
              <w:rPr>
                <w:rFonts w:ascii="Calibri" w:hAnsi="Calibri"/>
                <w:b w:val="0"/>
                <w:i w:val="0"/>
                <w:color w:val="101828"/>
                <w:sz w:val="14"/>
              </w:rPr>
              <w:t>Button, danger</w:t>
            </w:r>
          </w:p>
        </w:tc>
        <w:tc>
          <w:tcPr>
            <w:tcW w:type="dxa" w:w="2462"/>
            <w:tcMar>
              <w:top w:w="60" w:type="dxa"/>
              <w:start w:w="110" w:type="dxa"/>
              <w:bottom w:w="60" w:type="dxa"/>
              <w:end w:w="110" w:type="dxa"/>
            </w:tcMar>
            <w:shd w:val="clear" w:color="auto" w:fill="F4F7FB"/>
          </w:tcPr>
          <w:p>
            <w:pPr>
              <w:spacing w:after="0"/>
            </w:pPr>
            <w:r/>
            <w:r>
              <w:rPr>
                <w:rFonts w:ascii="Calibri" w:hAnsi="Calibri"/>
                <w:b w:val="0"/>
                <w:i w:val="0"/>
                <w:color w:val="101828"/>
                <w:sz w:val="14"/>
              </w:rPr>
              <w:t>danger fill, White label, 48 px</w:t>
            </w:r>
          </w:p>
        </w:tc>
        <w:tc>
          <w:tcPr>
            <w:tcW w:type="dxa" w:w="2462"/>
            <w:tcMar>
              <w:top w:w="60" w:type="dxa"/>
              <w:start w:w="110" w:type="dxa"/>
              <w:bottom w:w="60" w:type="dxa"/>
              <w:end w:w="110" w:type="dxa"/>
            </w:tcMar>
            <w:shd w:val="clear" w:color="auto" w:fill="F4F7FB"/>
          </w:tcPr>
          <w:p>
            <w:pPr>
              <w:spacing w:after="0"/>
            </w:pPr>
            <w:r/>
            <w:r>
              <w:rPr>
                <w:rFonts w:ascii="Calibri" w:hAnsi="Calibri"/>
                <w:b/>
                <w:color w:val="101828"/>
                <w:sz w:val="14"/>
              </w:rPr>
              <w:t>One, and never adjacent to a primary</w:t>
            </w:r>
          </w:p>
        </w:tc>
        <w:tc>
          <w:tcPr>
            <w:tcW w:type="dxa" w:w="3053"/>
            <w:tcMar>
              <w:top w:w="60" w:type="dxa"/>
              <w:start w:w="110" w:type="dxa"/>
              <w:bottom w:w="60" w:type="dxa"/>
              <w:end w:w="110" w:type="dxa"/>
            </w:tcMar>
            <w:shd w:val="clear" w:color="auto" w:fill="F4F7FB"/>
          </w:tcPr>
          <w:p>
            <w:pPr>
              <w:spacing w:after="0"/>
            </w:pPr>
            <w:r/>
            <w:r>
              <w:rPr>
                <w:rFonts w:ascii="Calibri" w:hAnsi="Calibri"/>
                <w:b w:val="0"/>
                <w:i w:val="0"/>
                <w:color w:val="101828"/>
                <w:sz w:val="14"/>
              </w:rPr>
              <w:t>Cancel an Ajo, freeze, end a session, withdraw before a decision.</w:t>
            </w:r>
          </w:p>
        </w:tc>
      </w:tr>
    </w:tbl>
    <w:p>
      <w:pPr>
        <w:spacing w:after="80"/>
      </w:pPr>
    </w:p>
    <w:p>
      <w:pPr>
        <w:pStyle w:val="Heading3"/>
      </w:pPr>
      <w:r>
        <w:rPr>
          <w:rFonts w:ascii="Calibri" w:hAnsi="Calibri"/>
          <w:b/>
          <w:i w:val="0"/>
          <w:color w:val="0B1F3A"/>
          <w:sz w:val="24"/>
        </w:rPr>
        <w:t>7.7.2 Rules that do not bend</w:t>
      </w:r>
    </w:p>
    <w:p>
      <w:pPr>
        <w:pStyle w:val="ListBullet"/>
        <w:spacing w:after="60"/>
        <w:ind w:left="360"/>
      </w:pPr>
      <w:r>
        <w:rPr>
          <w:rFonts w:ascii="Calibri" w:hAnsi="Calibri"/>
          <w:b/>
          <w:color w:val="101828"/>
          <w:sz w:val="21"/>
        </w:rPr>
        <w:t>One primary per screen.</w:t>
      </w:r>
      <w:r>
        <w:rPr>
          <w:rFonts w:ascii="Calibri" w:hAnsi="Calibri"/>
          <w:b w:val="0"/>
          <w:i w:val="0"/>
          <w:color w:val="101828"/>
          <w:sz w:val="21"/>
        </w:rPr>
        <w:t xml:space="preserve"> On the pay screen it is </w:t>
      </w:r>
      <w:r>
        <w:rPr>
          <w:rFonts w:ascii="Calibri" w:hAnsi="Calibri"/>
          <w:i/>
          <w:color w:val="101828"/>
          <w:sz w:val="21"/>
        </w:rPr>
        <w:t>Continue to payment</w:t>
      </w:r>
      <w:r>
        <w:rPr>
          <w:rFonts w:ascii="Calibri" w:hAnsi="Calibri"/>
          <w:b w:val="0"/>
          <w:i w:val="0"/>
          <w:color w:val="101828"/>
          <w:sz w:val="21"/>
        </w:rPr>
        <w:t>. On the receipt there is no primary at all, because a receipt has no next step and giving it a big button teaches people to expect one.</w:t>
      </w:r>
    </w:p>
    <w:p>
      <w:pPr>
        <w:pStyle w:val="ListBullet"/>
        <w:spacing w:after="60"/>
        <w:ind w:left="360"/>
      </w:pPr>
      <w:r>
        <w:rPr>
          <w:rFonts w:ascii="Calibri" w:hAnsi="Calibri"/>
          <w:b/>
          <w:color w:val="101828"/>
          <w:sz w:val="21"/>
        </w:rPr>
        <w:t>No duplicated primary across breakpoints.</w:t>
      </w:r>
      <w:r>
        <w:rPr>
          <w:rFonts w:ascii="Calibri" w:hAnsi="Calibri"/>
          <w:b w:val="0"/>
          <w:i w:val="0"/>
          <w:color w:val="101828"/>
          <w:sz w:val="21"/>
        </w:rPr>
        <w:t xml:space="preserve"> The mobile sticky-bar primary and the desktop in-flow primary are the same button at two sizes, not two buttons. Two money buttons on one screen is two chances to charge someone.</w:t>
      </w:r>
    </w:p>
    <w:p>
      <w:pPr>
        <w:pStyle w:val="ListBullet"/>
        <w:spacing w:after="60"/>
        <w:ind w:left="360"/>
      </w:pPr>
      <w:r>
        <w:rPr>
          <w:rFonts w:ascii="Calibri" w:hAnsi="Calibri"/>
          <w:b/>
          <w:color w:val="101828"/>
          <w:sz w:val="21"/>
        </w:rPr>
        <w:t>A disabled button states why.</w:t>
      </w:r>
      <w:r>
        <w:rPr>
          <w:rFonts w:ascii="Calibri" w:hAnsi="Calibri"/>
          <w:b w:val="0"/>
          <w:i w:val="0"/>
          <w:color w:val="101828"/>
          <w:sz w:val="21"/>
        </w:rPr>
        <w:t xml:space="preserve"> Every disabled primary is accompanied by the condition that would enable it, in the same field group, not in a tooltip. A greyed button with no explanation is the most common support ticket in consumer fintech.</w:t>
      </w:r>
    </w:p>
    <w:p>
      <w:pPr>
        <w:pStyle w:val="ListBullet"/>
        <w:spacing w:after="60"/>
        <w:ind w:left="360"/>
      </w:pPr>
      <w:r>
        <w:rPr>
          <w:rFonts w:ascii="Calibri" w:hAnsi="Calibri"/>
          <w:b/>
          <w:color w:val="101828"/>
          <w:sz w:val="21"/>
        </w:rPr>
        <w:t>Destructive controls are never a tap-and-hold.</w:t>
      </w:r>
      <w:r>
        <w:rPr>
          <w:rFonts w:ascii="Calibri" w:hAnsi="Calibri"/>
          <w:b w:val="0"/>
          <w:i w:val="0"/>
          <w:color w:val="101828"/>
          <w:sz w:val="21"/>
        </w:rPr>
        <w:t xml:space="preserve"> A destructive action on touch is a confirmation sheet, and the sheet names the consequence in the button, not only in the body: </w:t>
      </w:r>
      <w:r>
        <w:rPr>
          <w:rFonts w:ascii="Calibri" w:hAnsi="Calibri"/>
          <w:i/>
          <w:color w:val="101828"/>
          <w:sz w:val="21"/>
        </w:rPr>
        <w:t>Cancel this Ajo and refund NGN 10,200.00</w:t>
      </w:r>
      <w:r>
        <w:rPr>
          <w:rFonts w:ascii="Calibri" w:hAnsi="Calibri"/>
          <w:b w:val="0"/>
          <w:i w:val="0"/>
          <w:color w:val="101828"/>
          <w:sz w:val="21"/>
        </w:rPr>
        <w:t>.</w:t>
      </w:r>
    </w:p>
    <w:p>
      <w:pPr>
        <w:pStyle w:val="ListBullet"/>
        <w:spacing w:after="60"/>
        <w:ind w:left="360"/>
      </w:pPr>
      <w:r>
        <w:rPr>
          <w:rFonts w:ascii="Calibri" w:hAnsi="Calibri"/>
          <w:b/>
          <w:color w:val="101828"/>
          <w:sz w:val="21"/>
        </w:rPr>
        <w:t>Loading is a state of the button, not a new screen.</w:t>
      </w:r>
      <w:r>
        <w:rPr>
          <w:rFonts w:ascii="Calibri" w:hAnsi="Calibri"/>
          <w:b w:val="0"/>
          <w:i w:val="0"/>
          <w:color w:val="101828"/>
          <w:sz w:val="21"/>
        </w:rPr>
        <w:t xml:space="preserve"> The label becomes </w:t>
      </w:r>
      <w:r>
        <w:rPr>
          <w:rFonts w:ascii="Calibri" w:hAnsi="Calibri"/>
          <w:i/>
          <w:color w:val="101828"/>
          <w:sz w:val="21"/>
        </w:rPr>
        <w:t>Working</w:t>
      </w:r>
      <w:r>
        <w:rPr>
          <w:rFonts w:ascii="Calibri" w:hAnsi="Calibri"/>
          <w:b w:val="0"/>
          <w:i w:val="0"/>
          <w:color w:val="101828"/>
          <w:sz w:val="21"/>
        </w:rPr>
        <w:t>, the width is locked so the layout does not jump, and the control is disabled for the duration.</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  Cancel this Ajo?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Everyone who has paid receives  |</w:t>
      </w:r>
    </w:p>
    <w:p>
      <w:pPr>
        <w:spacing w:before="0" w:after="0" w:line="240" w:lineRule="auto"/>
        <w:ind w:left="230"/>
        <w:shd w:val="clear" w:color="auto" w:fill="F7F9FC"/>
        <w:pBdr>
          <w:left w:val="single" w:sz="4" w:space="6" w:color="D0D5DD"/>
        </w:pBdr>
      </w:pPr>
      <w:r>
        <w:rPr>
          <w:rFonts w:ascii="Consolas" w:hAnsi="Consolas"/>
          <w:color w:val="0B1F3A"/>
          <w:sz w:val="16"/>
        </w:rPr>
        <w:t>|  a full refund of NGN 10,200.00. |</w:t>
      </w:r>
    </w:p>
    <w:p>
      <w:pPr>
        <w:spacing w:before="0" w:after="0" w:line="240" w:lineRule="auto"/>
        <w:ind w:left="230"/>
        <w:shd w:val="clear" w:color="auto" w:fill="F7F9FC"/>
        <w:pBdr>
          <w:left w:val="single" w:sz="4" w:space="6" w:color="D0D5DD"/>
        </w:pBdr>
      </w:pPr>
      <w:r>
        <w:rPr>
          <w:rFonts w:ascii="Consolas" w:hAnsi="Consolas"/>
          <w:color w:val="0B1F3A"/>
          <w:sz w:val="16"/>
        </w:rPr>
        <w:t>|  Positions close. The Ajo cannot |</w:t>
      </w:r>
    </w:p>
    <w:p>
      <w:pPr>
        <w:spacing w:before="0" w:after="0" w:line="240" w:lineRule="auto"/>
        <w:ind w:left="230"/>
        <w:shd w:val="clear" w:color="auto" w:fill="F7F9FC"/>
        <w:pBdr>
          <w:left w:val="single" w:sz="4" w:space="6" w:color="D0D5DD"/>
        </w:pBdr>
      </w:pPr>
      <w:r>
        <w:rPr>
          <w:rFonts w:ascii="Consolas" w:hAnsi="Consolas"/>
          <w:color w:val="0B1F3A"/>
          <w:sz w:val="16"/>
        </w:rPr>
        <w:t>|  be reopened.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Keep the Ajo ]   [ Cancel it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The second button is danger and |</w:t>
      </w:r>
    </w:p>
    <w:p>
      <w:pPr>
        <w:spacing w:before="0" w:after="0" w:line="240" w:lineRule="auto"/>
        <w:ind w:left="230"/>
        <w:shd w:val="clear" w:color="auto" w:fill="F7F9FC"/>
        <w:pBdr>
          <w:left w:val="single" w:sz="4" w:space="6" w:color="D0D5DD"/>
        </w:pBdr>
      </w:pPr>
      <w:r>
        <w:rPr>
          <w:rFonts w:ascii="Consolas" w:hAnsi="Consolas"/>
          <w:color w:val="0B1F3A"/>
          <w:sz w:val="16"/>
        </w:rPr>
        <w:t>|  names the action. Never just     |</w:t>
      </w:r>
    </w:p>
    <w:p>
      <w:pPr>
        <w:spacing w:before="0" w:after="0" w:line="240" w:lineRule="auto"/>
        <w:ind w:left="230"/>
        <w:shd w:val="clear" w:color="auto" w:fill="F7F9FC"/>
        <w:pBdr>
          <w:left w:val="single" w:sz="4" w:space="6" w:color="D0D5DD"/>
        </w:pBdr>
      </w:pPr>
      <w:r>
        <w:rPr>
          <w:rFonts w:ascii="Consolas" w:hAnsi="Consolas"/>
          <w:color w:val="0B1F3A"/>
          <w:sz w:val="16"/>
        </w:rPr>
        <w:t>|  Confirm.                        |</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Heading3"/>
      </w:pPr>
      <w:r>
        <w:rPr>
          <w:rFonts w:ascii="Calibri" w:hAnsi="Calibri"/>
          <w:b/>
          <w:i w:val="0"/>
          <w:color w:val="0B1F3A"/>
          <w:sz w:val="24"/>
        </w:rPr>
        <w:t>7.7.3 Links</w:t>
      </w:r>
    </w:p>
    <w:p>
      <w:r>
        <w:rPr>
          <w:rFonts w:ascii="Calibri" w:hAnsi="Calibri"/>
          <w:b w:val="0"/>
          <w:i w:val="0"/>
          <w:color w:val="101828"/>
          <w:sz w:val="21"/>
        </w:rPr>
        <w:t>Primary #146EF5, underlined, 16 px, offset 2 px. Underline is not optional: a link distinguished only by colour fails WCAG 1.4.1 for a proportion of users and fails for everyone in sunlight. Links inside a paragraph are underlined; links that are the entire content of a block — the row of legal links in a footer, for instance — are not, because a whole row of underlines is a wall.</w:t>
      </w:r>
    </w:p>
    <w:p>
      <w:pPr>
        <w:pStyle w:val="Heading2"/>
      </w:pPr>
      <w:r>
        <w:rPr>
          <w:rFonts w:ascii="Calibri" w:hAnsi="Calibri"/>
          <w:b/>
          <w:i w:val="0"/>
          <w:color w:val="146EF5"/>
          <w:sz w:val="29"/>
        </w:rPr>
        <w:t>7.8 Form controls and validation</w:t>
      </w:r>
    </w:p>
    <w:p>
      <w:pPr>
        <w:pStyle w:val="Heading3"/>
      </w:pPr>
      <w:r>
        <w:rPr>
          <w:rFonts w:ascii="Calibri" w:hAnsi="Calibri"/>
          <w:b/>
          <w:i w:val="0"/>
          <w:color w:val="0B1F3A"/>
          <w:sz w:val="24"/>
        </w:rPr>
        <w:t>7.8.1 Control specification</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Control</w:t>
            </w:r>
          </w:p>
        </w:tc>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4"/>
              </w:rPr>
              <w:t>Height</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4"/>
              </w:rPr>
              <w:t>Label position</w:t>
            </w:r>
          </w:p>
        </w:tc>
        <w:tc>
          <w:tcPr>
            <w:tcW w:type="dxa" w:w="6307"/>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Text input</w:t>
            </w:r>
          </w:p>
        </w:tc>
        <w:tc>
          <w:tcPr>
            <w:tcW w:type="dxa" w:w="1152"/>
            <w:tcMar>
              <w:top w:w="60" w:type="dxa"/>
              <w:start w:w="110" w:type="dxa"/>
              <w:bottom w:w="60" w:type="dxa"/>
              <w:end w:w="110" w:type="dxa"/>
            </w:tcMar>
          </w:tcPr>
          <w:p>
            <w:pPr>
              <w:spacing w:after="0"/>
            </w:pPr>
            <w:r/>
            <w:r>
              <w:rPr>
                <w:rFonts w:ascii="Calibri" w:hAnsi="Calibri"/>
                <w:b w:val="0"/>
                <w:i w:val="0"/>
                <w:color w:val="101828"/>
                <w:sz w:val="14"/>
              </w:rPr>
              <w:t>48 px</w:t>
            </w:r>
          </w:p>
        </w:tc>
        <w:tc>
          <w:tcPr>
            <w:tcW w:type="dxa" w:w="1296"/>
            <w:tcMar>
              <w:top w:w="60" w:type="dxa"/>
              <w:start w:w="110" w:type="dxa"/>
              <w:bottom w:w="60" w:type="dxa"/>
              <w:end w:w="110" w:type="dxa"/>
            </w:tcMar>
          </w:tcPr>
          <w:p>
            <w:pPr>
              <w:spacing w:after="0"/>
            </w:pPr>
            <w:r/>
            <w:r>
              <w:rPr>
                <w:rFonts w:ascii="Calibri" w:hAnsi="Calibri"/>
                <w:b w:val="0"/>
                <w:i w:val="0"/>
                <w:color w:val="101828"/>
                <w:sz w:val="14"/>
              </w:rPr>
              <w:t>Above, always</w:t>
            </w:r>
          </w:p>
        </w:tc>
        <w:tc>
          <w:tcPr>
            <w:tcW w:type="dxa" w:w="6307"/>
            <w:tcMar>
              <w:top w:w="60" w:type="dxa"/>
              <w:start w:w="110" w:type="dxa"/>
              <w:bottom w:w="60" w:type="dxa"/>
              <w:end w:w="110" w:type="dxa"/>
            </w:tcMar>
          </w:tcPr>
          <w:p>
            <w:pPr>
              <w:spacing w:after="0"/>
            </w:pPr>
            <w:r/>
            <w:r>
              <w:rPr>
                <w:rFonts w:ascii="Calibri" w:hAnsi="Calibri"/>
                <w:b w:val="0"/>
                <w:i w:val="0"/>
                <w:color w:val="101828"/>
                <w:sz w:val="14"/>
              </w:rPr>
              <w:t>Never a placeholder as the only label. Placeholder text disappears exactly when a person needs to check what the field wanted.</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Amount input</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4"/>
              </w:rPr>
              <w:t>56 px</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Above</w:t>
            </w:r>
          </w:p>
        </w:tc>
        <w:tc>
          <w:tcPr>
            <w:tcW w:type="dxa" w:w="6307"/>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Right-aligned, tabular, with </w:t>
            </w:r>
            <w:r>
              <w:rPr>
                <w:rFonts w:ascii="Consolas" w:hAnsi="Consolas"/>
                <w:color w:val="146EF5"/>
                <w:sz w:val="14"/>
              </w:rPr>
              <w:t>NGN</w:t>
            </w:r>
            <w:r>
              <w:rPr>
                <w:rFonts w:ascii="Calibri" w:hAnsi="Calibri"/>
                <w:b w:val="0"/>
                <w:i w:val="0"/>
                <w:color w:val="101828"/>
                <w:sz w:val="14"/>
              </w:rPr>
              <w:t xml:space="preserve"> as a static prefix rather than as typed text.</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Select</w:t>
            </w:r>
          </w:p>
        </w:tc>
        <w:tc>
          <w:tcPr>
            <w:tcW w:type="dxa" w:w="1152"/>
            <w:tcMar>
              <w:top w:w="60" w:type="dxa"/>
              <w:start w:w="110" w:type="dxa"/>
              <w:bottom w:w="60" w:type="dxa"/>
              <w:end w:w="110" w:type="dxa"/>
            </w:tcMar>
          </w:tcPr>
          <w:p>
            <w:pPr>
              <w:spacing w:after="0"/>
            </w:pPr>
            <w:r/>
            <w:r>
              <w:rPr>
                <w:rFonts w:ascii="Calibri" w:hAnsi="Calibri"/>
                <w:b w:val="0"/>
                <w:i w:val="0"/>
                <w:color w:val="101828"/>
                <w:sz w:val="14"/>
              </w:rPr>
              <w:t>48 px</w:t>
            </w:r>
          </w:p>
        </w:tc>
        <w:tc>
          <w:tcPr>
            <w:tcW w:type="dxa" w:w="1296"/>
            <w:tcMar>
              <w:top w:w="60" w:type="dxa"/>
              <w:start w:w="110" w:type="dxa"/>
              <w:bottom w:w="60" w:type="dxa"/>
              <w:end w:w="110" w:type="dxa"/>
            </w:tcMar>
          </w:tcPr>
          <w:p>
            <w:pPr>
              <w:spacing w:after="0"/>
            </w:pPr>
            <w:r/>
            <w:r>
              <w:rPr>
                <w:rFonts w:ascii="Calibri" w:hAnsi="Calibri"/>
                <w:b w:val="0"/>
                <w:i w:val="0"/>
                <w:color w:val="101828"/>
                <w:sz w:val="14"/>
              </w:rPr>
              <w:t>Above</w:t>
            </w:r>
          </w:p>
        </w:tc>
        <w:tc>
          <w:tcPr>
            <w:tcW w:type="dxa" w:w="6307"/>
            <w:tcMar>
              <w:top w:w="60" w:type="dxa"/>
              <w:start w:w="110" w:type="dxa"/>
              <w:bottom w:w="60" w:type="dxa"/>
              <w:end w:w="110" w:type="dxa"/>
            </w:tcMar>
          </w:tcPr>
          <w:p>
            <w:pPr>
              <w:spacing w:after="0"/>
            </w:pPr>
            <w:r/>
            <w:r>
              <w:rPr>
                <w:rFonts w:ascii="Calibri" w:hAnsi="Calibri"/>
                <w:b w:val="0"/>
                <w:i w:val="0"/>
                <w:color w:val="101828"/>
                <w:sz w:val="14"/>
              </w:rPr>
              <w:t>Native on mobile, custom on desktop. A custom select must support type-ahead and must show the selected value, not the index.</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Radio group</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4"/>
              </w:rPr>
              <w:t>48 px per option</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Above the group</w:t>
            </w:r>
          </w:p>
        </w:tc>
        <w:tc>
          <w:tcPr>
            <w:tcW w:type="dxa" w:w="6307"/>
            <w:tcMar>
              <w:top w:w="60" w:type="dxa"/>
              <w:start w:w="110" w:type="dxa"/>
              <w:bottom w:w="60" w:type="dxa"/>
              <w:end w:w="110" w:type="dxa"/>
            </w:tcMar>
            <w:shd w:val="clear" w:color="auto" w:fill="F4F7FB"/>
          </w:tcPr>
          <w:p>
            <w:pPr>
              <w:spacing w:after="0"/>
            </w:pPr>
            <w:r/>
            <w:r>
              <w:rPr>
                <w:rFonts w:ascii="Calibri" w:hAnsi="Calibri"/>
                <w:b w:val="0"/>
                <w:i w:val="0"/>
                <w:color w:val="101828"/>
                <w:sz w:val="14"/>
              </w:rPr>
              <w:t>Options stacked, never in a row of chips. See 7.8.2.</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Checkbox</w:t>
            </w:r>
          </w:p>
        </w:tc>
        <w:tc>
          <w:tcPr>
            <w:tcW w:type="dxa" w:w="1152"/>
            <w:tcMar>
              <w:top w:w="60" w:type="dxa"/>
              <w:start w:w="110" w:type="dxa"/>
              <w:bottom w:w="60" w:type="dxa"/>
              <w:end w:w="110" w:type="dxa"/>
            </w:tcMar>
          </w:tcPr>
          <w:p>
            <w:pPr>
              <w:spacing w:after="0"/>
            </w:pPr>
            <w:r/>
            <w:r>
              <w:rPr>
                <w:rFonts w:ascii="Calibri" w:hAnsi="Calibri"/>
                <w:b w:val="0"/>
                <w:i w:val="0"/>
                <w:color w:val="101828"/>
                <w:sz w:val="14"/>
              </w:rPr>
              <w:t>24 px box, 48 px target</w:t>
            </w:r>
          </w:p>
        </w:tc>
        <w:tc>
          <w:tcPr>
            <w:tcW w:type="dxa" w:w="1296"/>
            <w:tcMar>
              <w:top w:w="60" w:type="dxa"/>
              <w:start w:w="110" w:type="dxa"/>
              <w:bottom w:w="60" w:type="dxa"/>
              <w:end w:w="110" w:type="dxa"/>
            </w:tcMar>
          </w:tcPr>
          <w:p>
            <w:pPr>
              <w:spacing w:after="0"/>
            </w:pPr>
            <w:r/>
            <w:r>
              <w:rPr>
                <w:rFonts w:ascii="Calibri" w:hAnsi="Calibri"/>
                <w:b w:val="0"/>
                <w:i w:val="0"/>
                <w:color w:val="101828"/>
                <w:sz w:val="14"/>
              </w:rPr>
              <w:t>Right of the box, wrapping</w:t>
            </w:r>
          </w:p>
        </w:tc>
        <w:tc>
          <w:tcPr>
            <w:tcW w:type="dxa" w:w="6307"/>
            <w:tcMar>
              <w:top w:w="60" w:type="dxa"/>
              <w:start w:w="110" w:type="dxa"/>
              <w:bottom w:w="60" w:type="dxa"/>
              <w:end w:w="110" w:type="dxa"/>
            </w:tcMar>
          </w:tcPr>
          <w:p>
            <w:pPr>
              <w:spacing w:after="0"/>
            </w:pPr>
            <w:r/>
            <w:r>
              <w:rPr>
                <w:rFonts w:ascii="Calibri" w:hAnsi="Calibri"/>
                <w:b w:val="0"/>
                <w:i w:val="0"/>
                <w:color w:val="101828"/>
                <w:sz w:val="14"/>
              </w:rPr>
              <w:t>Used for acknowledgement and for multi-select filters. Not used for on/off switches.</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Switch</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4"/>
              </w:rPr>
              <w:t>44 x 26 track</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Left of the track</w:t>
            </w:r>
          </w:p>
        </w:tc>
        <w:tc>
          <w:tcPr>
            <w:tcW w:type="dxa" w:w="6307"/>
            <w:tcMar>
              <w:top w:w="60" w:type="dxa"/>
              <w:start w:w="110" w:type="dxa"/>
              <w:bottom w:w="60" w:type="dxa"/>
              <w:end w:w="110" w:type="dxa"/>
            </w:tcMar>
            <w:shd w:val="clear" w:color="auto" w:fill="F4F7FB"/>
          </w:tcPr>
          <w:p>
            <w:pPr>
              <w:spacing w:after="0"/>
            </w:pPr>
            <w:r/>
            <w:r>
              <w:rPr>
                <w:rFonts w:ascii="Calibri" w:hAnsi="Calibri"/>
                <w:b w:val="0"/>
                <w:i w:val="0"/>
                <w:color w:val="101828"/>
                <w:sz w:val="14"/>
              </w:rPr>
              <w:t>Only for preferences that take effect immediately. Never inside a form that needs a save button.</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OTP input</w:t>
            </w:r>
          </w:p>
        </w:tc>
        <w:tc>
          <w:tcPr>
            <w:tcW w:type="dxa" w:w="1152"/>
            <w:tcMar>
              <w:top w:w="60" w:type="dxa"/>
              <w:start w:w="110" w:type="dxa"/>
              <w:bottom w:w="60" w:type="dxa"/>
              <w:end w:w="110" w:type="dxa"/>
            </w:tcMar>
          </w:tcPr>
          <w:p>
            <w:pPr>
              <w:spacing w:after="0"/>
            </w:pPr>
            <w:r/>
            <w:r>
              <w:rPr>
                <w:rFonts w:ascii="Calibri" w:hAnsi="Calibri"/>
                <w:b w:val="0"/>
                <w:i w:val="0"/>
                <w:color w:val="101828"/>
                <w:sz w:val="14"/>
              </w:rPr>
              <w:t>56 px, 6 cells</w:t>
            </w:r>
          </w:p>
        </w:tc>
        <w:tc>
          <w:tcPr>
            <w:tcW w:type="dxa" w:w="1296"/>
            <w:tcMar>
              <w:top w:w="60" w:type="dxa"/>
              <w:start w:w="110" w:type="dxa"/>
              <w:bottom w:w="60" w:type="dxa"/>
              <w:end w:w="110" w:type="dxa"/>
            </w:tcMar>
          </w:tcPr>
          <w:p>
            <w:pPr>
              <w:spacing w:after="0"/>
            </w:pPr>
            <w:r/>
            <w:r>
              <w:rPr>
                <w:rFonts w:ascii="Calibri" w:hAnsi="Calibri"/>
                <w:b w:val="0"/>
                <w:i w:val="0"/>
                <w:color w:val="101828"/>
                <w:sz w:val="14"/>
              </w:rPr>
              <w:t>Above</w:t>
            </w:r>
          </w:p>
        </w:tc>
        <w:tc>
          <w:tcPr>
            <w:tcW w:type="dxa" w:w="6307"/>
            <w:tcMar>
              <w:top w:w="60" w:type="dxa"/>
              <w:start w:w="110" w:type="dxa"/>
              <w:bottom w:w="60" w:type="dxa"/>
              <w:end w:w="110" w:type="dxa"/>
            </w:tcMar>
          </w:tcPr>
          <w:p>
            <w:pPr>
              <w:spacing w:after="0"/>
            </w:pPr>
            <w:r/>
            <w:r>
              <w:rPr>
                <w:rFonts w:ascii="Calibri" w:hAnsi="Calibri"/>
                <w:b w:val="0"/>
                <w:i w:val="0"/>
                <w:color w:val="101828"/>
                <w:sz w:val="14"/>
              </w:rPr>
              <w:t>Paste fills all six cells. One cell is not a focus trap; arrow keys move within.</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Date</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4"/>
              </w:rPr>
              <w:t>48 px</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4"/>
              </w:rPr>
              <w:t>Above</w:t>
            </w:r>
          </w:p>
        </w:tc>
        <w:tc>
          <w:tcPr>
            <w:tcW w:type="dxa" w:w="6307"/>
            <w:tcMar>
              <w:top w:w="60" w:type="dxa"/>
              <w:start w:w="110" w:type="dxa"/>
              <w:bottom w:w="60" w:type="dxa"/>
              <w:end w:w="110" w:type="dxa"/>
            </w:tcMar>
            <w:shd w:val="clear" w:color="auto" w:fill="F4F7FB"/>
          </w:tcPr>
          <w:p>
            <w:pPr>
              <w:spacing w:after="0"/>
            </w:pPr>
            <w:r/>
            <w:r>
              <w:rPr>
                <w:rFonts w:ascii="Calibri" w:hAnsi="Calibri"/>
                <w:b w:val="0"/>
                <w:i w:val="0"/>
                <w:color w:val="101828"/>
                <w:sz w:val="14"/>
              </w:rPr>
              <w:t>Native picker on mobile. On desktop, a masked input with a calendar affordance, never a free-text date.</w:t>
            </w:r>
          </w:p>
        </w:tc>
      </w:tr>
    </w:tbl>
    <w:p>
      <w:pPr>
        <w:spacing w:after="80"/>
      </w:pPr>
    </w:p>
    <w:p>
      <w:pPr>
        <w:pStyle w:val="Heading3"/>
      </w:pPr>
      <w:r>
        <w:rPr>
          <w:rFonts w:ascii="Calibri" w:hAnsi="Calibri"/>
          <w:b/>
          <w:i w:val="0"/>
          <w:color w:val="0B1F3A"/>
          <w:sz w:val="24"/>
        </w:rPr>
        <w:t>7.8.2 Radio groups are never chips</w:t>
      </w:r>
    </w:p>
    <w:p>
      <w:r>
        <w:rPr>
          <w:rFonts w:ascii="Calibri" w:hAnsi="Calibri"/>
          <w:b w:val="0"/>
          <w:i w:val="0"/>
          <w:color w:val="101828"/>
          <w:sz w:val="21"/>
        </w:rPr>
        <w:t xml:space="preserve">A segmented control that looks like a set of chips is used in this product for one thing only: a filter with no consequences. A frequency choice in the Create Ajo wizard, a payment method, and a dispute subject are radio groups with real labels under each option, because each option carries a consequence that a chip has no room to state. </w:t>
      </w:r>
      <w:r>
        <w:rPr>
          <w:rFonts w:ascii="Calibri" w:hAnsi="Calibri"/>
          <w:i/>
          <w:color w:val="101828"/>
          <w:sz w:val="21"/>
        </w:rPr>
        <w:t>Weekly</w:t>
      </w:r>
      <w:r>
        <w:rPr>
          <w:rFonts w:ascii="Calibri" w:hAnsi="Calibri"/>
          <w:b w:val="0"/>
          <w:i w:val="0"/>
          <w:color w:val="101828"/>
          <w:sz w:val="21"/>
        </w:rPr>
        <w:t xml:space="preserve"> on its own is a duration; </w:t>
      </w:r>
      <w:r>
        <w:rPr>
          <w:rFonts w:ascii="Calibri" w:hAnsi="Calibri"/>
          <w:i/>
          <w:color w:val="101828"/>
          <w:sz w:val="21"/>
        </w:rPr>
        <w:t>Every Monday</w:t>
      </w:r>
      <w:r>
        <w:rPr>
          <w:rFonts w:ascii="Calibri" w:hAnsi="Calibri"/>
          <w:b w:val="0"/>
          <w:i w:val="0"/>
          <w:color w:val="101828"/>
          <w:sz w:val="21"/>
        </w:rPr>
        <w:t xml:space="preserve"> is an obligation.</w:t>
      </w:r>
    </w:p>
    <w:p>
      <w:pPr>
        <w:pStyle w:val="Heading3"/>
      </w:pPr>
      <w:r>
        <w:rPr>
          <w:rFonts w:ascii="Calibri" w:hAnsi="Calibri"/>
          <w:b/>
          <w:i w:val="0"/>
          <w:color w:val="0B1F3A"/>
          <w:sz w:val="24"/>
        </w:rPr>
        <w:t>7.8.3 Validation</w:t>
      </w:r>
    </w:p>
    <w:p>
      <w:r>
        <w:rPr>
          <w:rFonts w:ascii="Calibri" w:hAnsi="Calibri"/>
          <w:b w:val="0"/>
          <w:i w:val="0"/>
          <w:color w:val="101828"/>
          <w:sz w:val="21"/>
        </w:rPr>
        <w:t>Validate on blur, never on keystroke, except for a field whose validity is knowable while typing — an amount, a phone number, a password. Three rules, in order of importance.</w:t>
      </w:r>
    </w:p>
    <w:p>
      <w:pPr>
        <w:pStyle w:val="ListNumber"/>
        <w:spacing w:after="60"/>
        <w:ind w:left="432"/>
      </w:pPr>
      <w:r>
        <w:rPr>
          <w:rFonts w:ascii="Calibri" w:hAnsi="Calibri"/>
          <w:b/>
          <w:color w:val="101828"/>
          <w:sz w:val="21"/>
        </w:rPr>
        <w:t>The error appears next to the field, in danger, with a specific sentence.</w:t>
      </w:r>
      <w:r>
        <w:rPr>
          <w:rFonts w:ascii="Calibri" w:hAnsi="Calibri"/>
          <w:b w:val="0"/>
          <w:i w:val="0"/>
          <w:color w:val="101828"/>
          <w:sz w:val="21"/>
        </w:rPr>
        <w:t xml:space="preserve"> </w:t>
      </w:r>
      <w:r>
        <w:rPr>
          <w:rFonts w:ascii="Calibri" w:hAnsi="Calibri"/>
          <w:i/>
          <w:color w:val="101828"/>
          <w:sz w:val="21"/>
        </w:rPr>
        <w:t>That is more than NGN 5,000,000, which is the per-round limit</w:t>
      </w:r>
      <w:r>
        <w:rPr>
          <w:rFonts w:ascii="Calibri" w:hAnsi="Calibri"/>
          <w:b w:val="0"/>
          <w:i w:val="0"/>
          <w:color w:val="101828"/>
          <w:sz w:val="21"/>
        </w:rPr>
        <w:t xml:space="preserve"> and not </w:t>
      </w:r>
      <w:r>
        <w:rPr>
          <w:rFonts w:ascii="Calibri" w:hAnsi="Calibri"/>
          <w:i/>
          <w:color w:val="101828"/>
          <w:sz w:val="21"/>
        </w:rPr>
        <w:t>Invalid amount</w:t>
      </w:r>
      <w:r>
        <w:rPr>
          <w:rFonts w:ascii="Calibri" w:hAnsi="Calibri"/>
          <w:b w:val="0"/>
          <w:i w:val="0"/>
          <w:color w:val="101828"/>
          <w:sz w:val="21"/>
        </w:rPr>
        <w:t>. A person who cannot tell which constraint they hit will ask support.</w:t>
      </w:r>
    </w:p>
    <w:p>
      <w:pPr>
        <w:pStyle w:val="ListNumber"/>
        <w:spacing w:after="60"/>
        <w:ind w:left="432"/>
      </w:pPr>
      <w:r>
        <w:rPr>
          <w:rFonts w:ascii="Calibri" w:hAnsi="Calibri"/>
          <w:b/>
          <w:color w:val="101828"/>
          <w:sz w:val="21"/>
        </w:rPr>
        <w:t>The field keeps what they typed.</w:t>
      </w:r>
      <w:r>
        <w:rPr>
          <w:rFonts w:ascii="Calibri" w:hAnsi="Calibri"/>
          <w:b w:val="0"/>
          <w:i w:val="0"/>
          <w:color w:val="101828"/>
          <w:sz w:val="21"/>
        </w:rPr>
        <w:t xml:space="preserve"> Never cleared, never reformatted under the cursor mid-entry. The amount field accepts </w:t>
      </w:r>
      <w:r>
        <w:rPr>
          <w:rFonts w:ascii="Consolas" w:hAnsi="Consolas"/>
          <w:color w:val="146EF5"/>
          <w:sz w:val="21"/>
        </w:rPr>
        <w:t>1000</w:t>
      </w:r>
      <w:r>
        <w:rPr>
          <w:rFonts w:ascii="Calibri" w:hAnsi="Calibri"/>
          <w:b w:val="0"/>
          <w:i w:val="0"/>
          <w:color w:val="101828"/>
          <w:sz w:val="21"/>
        </w:rPr>
        <w:t xml:space="preserve"> and displays </w:t>
      </w:r>
      <w:r>
        <w:rPr>
          <w:rFonts w:ascii="Consolas" w:hAnsi="Consolas"/>
          <w:color w:val="146EF5"/>
          <w:sz w:val="21"/>
        </w:rPr>
        <w:t>1,000.00</w:t>
      </w:r>
      <w:r>
        <w:rPr>
          <w:rFonts w:ascii="Calibri" w:hAnsi="Calibri"/>
          <w:b w:val="0"/>
          <w:i w:val="0"/>
          <w:color w:val="101828"/>
          <w:sz w:val="21"/>
        </w:rPr>
        <w:t xml:space="preserve"> on blur, not before.</w:t>
      </w:r>
    </w:p>
    <w:p>
      <w:pPr>
        <w:pStyle w:val="ListNumber"/>
        <w:spacing w:after="60"/>
        <w:ind w:left="432"/>
      </w:pPr>
      <w:r>
        <w:rPr>
          <w:rFonts w:ascii="Calibri" w:hAnsi="Calibri"/>
          <w:b/>
          <w:color w:val="101828"/>
          <w:sz w:val="21"/>
        </w:rPr>
        <w:t>Focus moves to the first invalid field on a failed submit</w:t>
      </w:r>
      <w:r>
        <w:rPr>
          <w:rFonts w:ascii="Calibri" w:hAnsi="Calibri"/>
          <w:b w:val="0"/>
          <w:i w:val="0"/>
          <w:color w:val="101828"/>
          <w:sz w:val="21"/>
        </w:rPr>
        <w:t>, and the page does not scroll to the top to show a summary banner. A summary is useful for a nine-field form and useless for a three-field one, and it is the one place a person is guaranteed to be looking at the bottom of the screen.</w:t>
      </w:r>
    </w:p>
    <w:p>
      <w:pPr>
        <w:spacing w:before="140" w:after="180"/>
        <w:ind w:left="144"/>
        <w:shd w:val="clear" w:color="auto" w:fill="EFF6FF"/>
        <w:pBdr>
          <w:left w:val="single" w:sz="18" w:space="6" w:color="146EF5"/>
        </w:pBdr>
      </w:pPr>
      <w:r>
        <w:rPr>
          <w:rFonts w:ascii="Calibri" w:hAnsi="Calibri"/>
          <w:b/>
          <w:color w:val="146EF5"/>
          <w:sz w:val="19"/>
        </w:rPr>
        <w:t xml:space="preserve">Validation messages are a product surface, not a string table  </w:t>
      </w:r>
      <w:r>
        <w:rPr>
          <w:rFonts w:ascii="Calibri" w:hAnsi="Calibri"/>
          <w:b w:val="0"/>
          <w:i w:val="0"/>
          <w:color w:val="0B1F3A"/>
          <w:sz w:val="19"/>
        </w:rPr>
        <w:t xml:space="preserve">Every validation message in this product names a limit, a rule, or a next step. The per-round cap in the amount field is a good example: the message says what the limit is </w:t>
      </w:r>
      <w:r>
        <w:rPr>
          <w:rFonts w:ascii="Calibri" w:hAnsi="Calibri"/>
          <w:i/>
          <w:color w:val="0B1F3A"/>
          <w:sz w:val="19"/>
        </w:rPr>
        <w:t>and that risk sets it</w:t>
      </w:r>
      <w:r>
        <w:rPr>
          <w:rFonts w:ascii="Calibri" w:hAnsi="Calibri"/>
          <w:b w:val="0"/>
          <w:i w:val="0"/>
          <w:color w:val="0B1F3A"/>
          <w:sz w:val="19"/>
        </w:rPr>
        <w:t>, because a limit with no stated owner becomes an argument about whether the product is being difficult. The same applies to the five-day enrollment window, the D-08 Ajo size cap, and the one-position-per-member rule. Every one of those is a decision somebody made, and every one of them is visible on the screen where it bites.</w:t>
      </w:r>
    </w:p>
    <w:p>
      <w:r>
        <w:br w:type="page"/>
      </w:r>
    </w:p>
    <w:p>
      <w:pPr>
        <w:pStyle w:val="Heading2"/>
      </w:pPr>
      <w:r>
        <w:rPr>
          <w:rFonts w:ascii="Calibri" w:hAnsi="Calibri"/>
          <w:b/>
          <w:i w:val="0"/>
          <w:color w:val="146EF5"/>
          <w:sz w:val="29"/>
        </w:rPr>
        <w:t>7.9 The dashboard, specified</w:t>
      </w:r>
    </w:p>
    <w:p>
      <w:r>
        <w:rPr>
          <w:rFonts w:ascii="Calibri" w:hAnsi="Calibri"/>
          <w:b w:val="0"/>
          <w:i w:val="0"/>
          <w:color w:val="101828"/>
          <w:sz w:val="21"/>
        </w:rPr>
        <w:t>The dashboard is the screen every member sees first and the screen they return to most, and it is specified in full here rather than left to a pattern library because its hierarchy decides what this product feels like. A rotating savings scheme is a ledger with a countdown in it, and a dashboard that looks like a crypto wallet makes people expect a chart; one that looks like a bank statement makes them expect a number, and the number is what they came for.</w:t>
      </w:r>
    </w:p>
    <w:p>
      <w:pPr>
        <w:pStyle w:val="Heading3"/>
      </w:pPr>
      <w:r>
        <w:rPr>
          <w:rFonts w:ascii="Calibri" w:hAnsi="Calibri"/>
          <w:b/>
          <w:i w:val="0"/>
          <w:color w:val="0B1F3A"/>
          <w:sz w:val="24"/>
        </w:rPr>
        <w:t>7.9.1 What the dashboard answers, in order</w:t>
      </w:r>
    </w:p>
    <w:p>
      <w:pPr>
        <w:pStyle w:val="ListNumber"/>
        <w:spacing w:after="60"/>
        <w:ind w:left="432"/>
      </w:pPr>
      <w:r>
        <w:rPr>
          <w:rFonts w:ascii="Calibri" w:hAnsi="Calibri"/>
          <w:b/>
          <w:color w:val="101828"/>
          <w:sz w:val="21"/>
        </w:rPr>
        <w:t>Do I owe anything right now?</w:t>
      </w:r>
      <w:r>
        <w:rPr>
          <w:rFonts w:ascii="Calibri" w:hAnsi="Calibri"/>
          <w:b w:val="0"/>
          <w:i w:val="0"/>
          <w:color w:val="101828"/>
          <w:sz w:val="21"/>
        </w:rPr>
        <w:t xml:space="preserve"> The Next action block, at the top, present only when there is a due or overdue contribution. This is the single most-looked-at region on the screen and it is the reason the dashboard exists.</w:t>
      </w:r>
    </w:p>
    <w:p>
      <w:pPr>
        <w:pStyle w:val="ListNumber"/>
        <w:spacing w:after="60"/>
        <w:ind w:left="432"/>
      </w:pPr>
      <w:r>
        <w:rPr>
          <w:rFonts w:ascii="Calibri" w:hAnsi="Calibri"/>
          <w:b/>
          <w:color w:val="101828"/>
          <w:sz w:val="21"/>
        </w:rPr>
        <w:t>How much has gone into my Ajo, and how much is there?</w:t>
      </w:r>
      <w:r>
        <w:rPr>
          <w:rFonts w:ascii="Calibri" w:hAnsi="Calibri"/>
          <w:b w:val="0"/>
          <w:i w:val="0"/>
          <w:color w:val="101828"/>
          <w:sz w:val="21"/>
        </w:rPr>
        <w:t xml:space="preserve"> The Ajo summary card, with three figures in a fixed order: contributed, in the pool now, and received to date.</w:t>
      </w:r>
    </w:p>
    <w:p>
      <w:pPr>
        <w:pStyle w:val="ListNumber"/>
        <w:spacing w:after="60"/>
        <w:ind w:left="432"/>
      </w:pPr>
      <w:r>
        <w:rPr>
          <w:rFonts w:ascii="Calibri" w:hAnsi="Calibri"/>
          <w:b/>
          <w:color w:val="101828"/>
          <w:sz w:val="21"/>
        </w:rPr>
        <w:t>When is my next turn?</w:t>
      </w:r>
      <w:r>
        <w:rPr>
          <w:rFonts w:ascii="Calibri" w:hAnsi="Calibri"/>
          <w:b w:val="0"/>
          <w:i w:val="0"/>
          <w:color w:val="101828"/>
          <w:sz w:val="21"/>
        </w:rPr>
        <w:t xml:space="preserve"> The round timeline, immediately after the summary, because a person who has just paid wants to know what that payment bought them in time terms.</w:t>
      </w:r>
    </w:p>
    <w:p>
      <w:pPr>
        <w:pStyle w:val="ListNumber"/>
        <w:spacing w:after="60"/>
        <w:ind w:left="432"/>
      </w:pPr>
      <w:r>
        <w:rPr>
          <w:rFonts w:ascii="Calibri" w:hAnsi="Calibri"/>
          <w:b/>
          <w:color w:val="101828"/>
          <w:sz w:val="21"/>
        </w:rPr>
        <w:t>What happened to my last payment?</w:t>
      </w:r>
      <w:r>
        <w:rPr>
          <w:rFonts w:ascii="Calibri" w:hAnsi="Calibri"/>
          <w:b w:val="0"/>
          <w:i w:val="0"/>
          <w:color w:val="101828"/>
          <w:sz w:val="21"/>
        </w:rPr>
        <w:t xml:space="preserve"> The last activity row, one line, dated, amount, and state word.</w:t>
      </w:r>
    </w:p>
    <w:p>
      <w:pPr>
        <w:pStyle w:val="ListNumber"/>
        <w:spacing w:after="60"/>
        <w:ind w:left="432"/>
      </w:pPr>
      <w:r>
        <w:rPr>
          <w:rFonts w:ascii="Calibri" w:hAnsi="Calibri"/>
          <w:b/>
          <w:color w:val="101828"/>
          <w:sz w:val="21"/>
        </w:rPr>
        <w:t>Is anything wrong?</w:t>
      </w:r>
      <w:r>
        <w:rPr>
          <w:rFonts w:ascii="Calibri" w:hAnsi="Calibri"/>
          <w:b w:val="0"/>
          <w:i w:val="0"/>
          <w:color w:val="101828"/>
          <w:sz w:val="21"/>
        </w:rPr>
        <w:t xml:space="preserve"> Held, failed, or disputed items surface as a banner above everything else, not in a notification centre.</w:t>
      </w:r>
    </w:p>
    <w:p>
      <w:r>
        <w:rPr>
          <w:rFonts w:ascii="Calibri" w:hAnsi="Calibri"/>
          <w:b w:val="0"/>
          <w:i w:val="0"/>
          <w:color w:val="101828"/>
          <w:sz w:val="21"/>
        </w:rPr>
        <w:t>Everything else — other Ajos, notifications, support, KYC prompts — is one tap away and is not on the dashboard. The five answers above are the dashboard; the rest is navigation.</w:t>
      </w:r>
    </w:p>
    <w:p>
      <w:pPr>
        <w:pStyle w:val="Heading3"/>
      </w:pPr>
      <w:r>
        <w:rPr>
          <w:rFonts w:ascii="Calibri" w:hAnsi="Calibri"/>
          <w:b/>
          <w:i w:val="0"/>
          <w:color w:val="0B1F3A"/>
          <w:sz w:val="24"/>
        </w:rPr>
        <w:t>7.9.2 Region order and specification</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Order</w:t>
            </w:r>
          </w:p>
        </w:tc>
        <w:tc>
          <w:tcPr>
            <w:tcW w:type="dxa" w:w="734"/>
            <w:shd w:val="clear" w:color="auto" w:fill="0B1F3A"/>
            <w:tcMar>
              <w:top w:w="60" w:type="dxa"/>
              <w:start w:w="110" w:type="dxa"/>
              <w:bottom w:w="60" w:type="dxa"/>
              <w:end w:w="110" w:type="dxa"/>
            </w:tcMar>
          </w:tcPr>
          <w:p>
            <w:pPr>
              <w:spacing w:after="0"/>
            </w:pPr>
            <w:r/>
            <w:r>
              <w:rPr>
                <w:rFonts w:ascii="Calibri" w:hAnsi="Calibri"/>
                <w:b/>
                <w:i w:val="0"/>
                <w:color w:val="FFFFFF"/>
                <w:sz w:val="14"/>
              </w:rPr>
              <w:t>Region</w:t>
            </w:r>
          </w:p>
        </w:tc>
        <w:tc>
          <w:tcPr>
            <w:tcW w:type="dxa" w:w="893"/>
            <w:shd w:val="clear" w:color="auto" w:fill="0B1F3A"/>
            <w:tcMar>
              <w:top w:w="60" w:type="dxa"/>
              <w:start w:w="110" w:type="dxa"/>
              <w:bottom w:w="60" w:type="dxa"/>
              <w:end w:w="110" w:type="dxa"/>
            </w:tcMar>
          </w:tcPr>
          <w:p>
            <w:pPr>
              <w:spacing w:after="0"/>
            </w:pPr>
            <w:r/>
            <w:r>
              <w:rPr>
                <w:rFonts w:ascii="Calibri" w:hAnsi="Calibri"/>
                <w:b/>
                <w:i w:val="0"/>
                <w:color w:val="FFFFFF"/>
                <w:sz w:val="14"/>
              </w:rPr>
              <w:t>Component</w:t>
            </w:r>
          </w:p>
        </w:tc>
        <w:tc>
          <w:tcPr>
            <w:tcW w:type="dxa" w:w="5818"/>
            <w:shd w:val="clear" w:color="auto" w:fill="0B1F3A"/>
            <w:tcMar>
              <w:top w:w="60" w:type="dxa"/>
              <w:start w:w="110" w:type="dxa"/>
              <w:bottom w:w="60" w:type="dxa"/>
              <w:end w:w="110" w:type="dxa"/>
            </w:tcMar>
          </w:tcPr>
          <w:p>
            <w:pPr>
              <w:spacing w:after="0"/>
            </w:pPr>
            <w:r/>
            <w:r>
              <w:rPr>
                <w:rFonts w:ascii="Calibri" w:hAnsi="Calibri"/>
                <w:b/>
                <w:i w:val="0"/>
                <w:color w:val="FFFFFF"/>
                <w:sz w:val="14"/>
              </w:rPr>
              <w:t>Content rule</w:t>
            </w:r>
          </w:p>
        </w:tc>
        <w:tc>
          <w:tcPr>
            <w:tcW w:type="dxa" w:w="1310"/>
            <w:shd w:val="clear" w:color="auto" w:fill="0B1F3A"/>
            <w:tcMar>
              <w:top w:w="60" w:type="dxa"/>
              <w:start w:w="110" w:type="dxa"/>
              <w:bottom w:w="60" w:type="dxa"/>
              <w:end w:w="110" w:type="dxa"/>
            </w:tcMar>
          </w:tcPr>
          <w:p>
            <w:pPr>
              <w:spacing w:after="0"/>
            </w:pPr>
            <w:r/>
            <w:r>
              <w:rPr>
                <w:rFonts w:ascii="Calibri" w:hAnsi="Calibri"/>
                <w:b/>
                <w:i w:val="0"/>
                <w:color w:val="FFFFFF"/>
                <w:sz w:val="14"/>
              </w:rPr>
              <w:t>Absent when</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1</w:t>
            </w:r>
          </w:p>
        </w:tc>
        <w:tc>
          <w:tcPr>
            <w:tcW w:type="dxa" w:w="734"/>
            <w:tcMar>
              <w:top w:w="60" w:type="dxa"/>
              <w:start w:w="110" w:type="dxa"/>
              <w:bottom w:w="60" w:type="dxa"/>
              <w:end w:w="110" w:type="dxa"/>
            </w:tcMar>
          </w:tcPr>
          <w:p>
            <w:pPr>
              <w:spacing w:after="0"/>
            </w:pPr>
            <w:r/>
            <w:r>
              <w:rPr>
                <w:rFonts w:ascii="Calibri" w:hAnsi="Calibri"/>
                <w:b w:val="0"/>
                <w:i w:val="0"/>
                <w:color w:val="101828"/>
                <w:sz w:val="14"/>
              </w:rPr>
              <w:t>Alert banner</w:t>
            </w:r>
          </w:p>
        </w:tc>
        <w:tc>
          <w:tcPr>
            <w:tcW w:type="dxa" w:w="893"/>
            <w:tcMar>
              <w:top w:w="60" w:type="dxa"/>
              <w:start w:w="110" w:type="dxa"/>
              <w:bottom w:w="60" w:type="dxa"/>
              <w:end w:w="110" w:type="dxa"/>
            </w:tcMar>
          </w:tcPr>
          <w:p>
            <w:pPr>
              <w:spacing w:after="0"/>
            </w:pPr>
            <w:r/>
            <w:r>
              <w:rPr>
                <w:rFonts w:ascii="Consolas" w:hAnsi="Consolas"/>
                <w:color w:val="146EF5"/>
                <w:sz w:val="14"/>
              </w:rPr>
              <w:t>Banner</w:t>
            </w:r>
          </w:p>
        </w:tc>
        <w:tc>
          <w:tcPr>
            <w:tcW w:type="dxa" w:w="5818"/>
            <w:tcMar>
              <w:top w:w="60" w:type="dxa"/>
              <w:start w:w="110" w:type="dxa"/>
              <w:bottom w:w="60" w:type="dxa"/>
              <w:end w:w="110" w:type="dxa"/>
            </w:tcMar>
          </w:tcPr>
          <w:p>
            <w:pPr>
              <w:spacing w:after="0"/>
            </w:pPr>
            <w:r/>
            <w:r>
              <w:rPr>
                <w:rFonts w:ascii="Calibri" w:hAnsi="Calibri"/>
                <w:b w:val="0"/>
                <w:i w:val="0"/>
                <w:color w:val="101828"/>
                <w:sz w:val="14"/>
              </w:rPr>
              <w:t>Held, failed, or disputed item, with the action that resolves it</w:t>
            </w:r>
          </w:p>
        </w:tc>
        <w:tc>
          <w:tcPr>
            <w:tcW w:type="dxa" w:w="1310"/>
            <w:tcMar>
              <w:top w:w="60" w:type="dxa"/>
              <w:start w:w="110" w:type="dxa"/>
              <w:bottom w:w="60" w:type="dxa"/>
              <w:end w:w="110" w:type="dxa"/>
            </w:tcMar>
          </w:tcPr>
          <w:p>
            <w:pPr>
              <w:spacing w:after="0"/>
            </w:pPr>
            <w:r/>
            <w:r>
              <w:rPr>
                <w:rFonts w:ascii="Calibri" w:hAnsi="Calibri"/>
                <w:b w:val="0"/>
                <w:i w:val="0"/>
                <w:color w:val="101828"/>
                <w:sz w:val="14"/>
              </w:rPr>
              <w:t>Nothing is wrong</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w:t>
            </w:r>
          </w:p>
        </w:tc>
        <w:tc>
          <w:tcPr>
            <w:tcW w:type="dxa" w:w="734"/>
            <w:tcMar>
              <w:top w:w="60" w:type="dxa"/>
              <w:start w:w="110" w:type="dxa"/>
              <w:bottom w:w="60" w:type="dxa"/>
              <w:end w:w="110" w:type="dxa"/>
            </w:tcMar>
            <w:shd w:val="clear" w:color="auto" w:fill="F4F7FB"/>
          </w:tcPr>
          <w:p>
            <w:pPr>
              <w:spacing w:after="0"/>
            </w:pPr>
            <w:r/>
            <w:r>
              <w:rPr>
                <w:rFonts w:ascii="Calibri" w:hAnsi="Calibri"/>
                <w:b w:val="0"/>
                <w:i w:val="0"/>
                <w:color w:val="101828"/>
                <w:sz w:val="14"/>
              </w:rPr>
              <w:t>Next action</w:t>
            </w:r>
          </w:p>
        </w:tc>
        <w:tc>
          <w:tcPr>
            <w:tcW w:type="dxa" w:w="893"/>
            <w:tcMar>
              <w:top w:w="60" w:type="dxa"/>
              <w:start w:w="110" w:type="dxa"/>
              <w:bottom w:w="60" w:type="dxa"/>
              <w:end w:w="110" w:type="dxa"/>
            </w:tcMar>
            <w:shd w:val="clear" w:color="auto" w:fill="F4F7FB"/>
          </w:tcPr>
          <w:p>
            <w:pPr>
              <w:spacing w:after="0"/>
            </w:pPr>
            <w:r/>
            <w:r>
              <w:rPr>
                <w:rFonts w:ascii="Consolas" w:hAnsi="Consolas"/>
                <w:color w:val="146EF5"/>
                <w:sz w:val="14"/>
              </w:rPr>
              <w:t>NextActionBlock</w:t>
            </w:r>
          </w:p>
        </w:tc>
        <w:tc>
          <w:tcPr>
            <w:tcW w:type="dxa" w:w="5818"/>
            <w:tcMar>
              <w:top w:w="60" w:type="dxa"/>
              <w:start w:w="110" w:type="dxa"/>
              <w:bottom w:w="60" w:type="dxa"/>
              <w:end w:w="110" w:type="dxa"/>
            </w:tcMar>
            <w:shd w:val="clear" w:color="auto" w:fill="F4F7FB"/>
          </w:tcPr>
          <w:p>
            <w:pPr>
              <w:spacing w:after="0"/>
            </w:pPr>
            <w:r/>
            <w:r>
              <w:rPr>
                <w:rFonts w:ascii="Calibri" w:hAnsi="Calibri"/>
                <w:b w:val="0"/>
                <w:i w:val="0"/>
                <w:color w:val="101828"/>
                <w:sz w:val="14"/>
              </w:rPr>
              <w:t>One due or overdue contribution, with amount, Ajo name, due date, and one primary button</w:t>
            </w:r>
          </w:p>
        </w:tc>
        <w:tc>
          <w:tcPr>
            <w:tcW w:type="dxa" w:w="1310"/>
            <w:tcMar>
              <w:top w:w="60" w:type="dxa"/>
              <w:start w:w="110" w:type="dxa"/>
              <w:bottom w:w="60" w:type="dxa"/>
              <w:end w:w="110" w:type="dxa"/>
            </w:tcMar>
            <w:shd w:val="clear" w:color="auto" w:fill="F4F7FB"/>
          </w:tcPr>
          <w:p>
            <w:pPr>
              <w:spacing w:after="0"/>
            </w:pPr>
            <w:r/>
            <w:r>
              <w:rPr>
                <w:rFonts w:ascii="Calibri" w:hAnsi="Calibri"/>
                <w:b w:val="0"/>
                <w:i w:val="0"/>
                <w:color w:val="101828"/>
                <w:sz w:val="14"/>
              </w:rPr>
              <w:t>Nothing is due</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3</w:t>
            </w:r>
          </w:p>
        </w:tc>
        <w:tc>
          <w:tcPr>
            <w:tcW w:type="dxa" w:w="734"/>
            <w:tcMar>
              <w:top w:w="60" w:type="dxa"/>
              <w:start w:w="110" w:type="dxa"/>
              <w:bottom w:w="60" w:type="dxa"/>
              <w:end w:w="110" w:type="dxa"/>
            </w:tcMar>
          </w:tcPr>
          <w:p>
            <w:pPr>
              <w:spacing w:after="0"/>
            </w:pPr>
            <w:r/>
            <w:r>
              <w:rPr>
                <w:rFonts w:ascii="Calibri" w:hAnsi="Calibri"/>
                <w:b w:val="0"/>
                <w:i w:val="0"/>
                <w:color w:val="101828"/>
                <w:sz w:val="14"/>
              </w:rPr>
              <w:t>Ajo summary</w:t>
            </w:r>
          </w:p>
        </w:tc>
        <w:tc>
          <w:tcPr>
            <w:tcW w:type="dxa" w:w="893"/>
            <w:tcMar>
              <w:top w:w="60" w:type="dxa"/>
              <w:start w:w="110" w:type="dxa"/>
              <w:bottom w:w="60" w:type="dxa"/>
              <w:end w:w="110" w:type="dxa"/>
            </w:tcMar>
          </w:tcPr>
          <w:p>
            <w:pPr>
              <w:spacing w:after="0"/>
            </w:pPr>
            <w:r/>
            <w:r>
              <w:rPr>
                <w:rFonts w:ascii="Consolas" w:hAnsi="Consolas"/>
                <w:color w:val="146EF5"/>
                <w:sz w:val="14"/>
              </w:rPr>
              <w:t>AjoCard</w:t>
            </w:r>
          </w:p>
        </w:tc>
        <w:tc>
          <w:tcPr>
            <w:tcW w:type="dxa" w:w="5818"/>
            <w:tcMar>
              <w:top w:w="60" w:type="dxa"/>
              <w:start w:w="110" w:type="dxa"/>
              <w:bottom w:w="60" w:type="dxa"/>
              <w:end w:w="110" w:type="dxa"/>
            </w:tcMar>
          </w:tcPr>
          <w:p>
            <w:pPr>
              <w:spacing w:after="0"/>
            </w:pPr>
            <w:r/>
            <w:r>
              <w:rPr>
                <w:rFonts w:ascii="Calibri" w:hAnsi="Calibri"/>
                <w:b w:val="0"/>
                <w:i w:val="0"/>
                <w:color w:val="101828"/>
                <w:sz w:val="14"/>
              </w:rPr>
              <w:t>Ajo name, status, three figures: contributed, in pool now, received. Progress bar with a count, not a percentage alone</w:t>
            </w:r>
          </w:p>
        </w:tc>
        <w:tc>
          <w:tcPr>
            <w:tcW w:type="dxa" w:w="1310"/>
            <w:tcMar>
              <w:top w:w="60" w:type="dxa"/>
              <w:start w:w="110" w:type="dxa"/>
              <w:bottom w:w="60" w:type="dxa"/>
              <w:end w:w="110" w:type="dxa"/>
            </w:tcMar>
          </w:tcPr>
          <w:p>
            <w:pPr>
              <w:spacing w:after="0"/>
            </w:pPr>
            <w:r/>
            <w:r>
              <w:rPr>
                <w:rFonts w:ascii="Calibri" w:hAnsi="Calibri"/>
                <w:b w:val="0"/>
                <w:i w:val="0"/>
                <w:color w:val="101828"/>
                <w:sz w:val="14"/>
              </w:rPr>
              <w:t>Member is in no Ajo</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4</w:t>
            </w:r>
          </w:p>
        </w:tc>
        <w:tc>
          <w:tcPr>
            <w:tcW w:type="dxa" w:w="734"/>
            <w:tcMar>
              <w:top w:w="60" w:type="dxa"/>
              <w:start w:w="110" w:type="dxa"/>
              <w:bottom w:w="60" w:type="dxa"/>
              <w:end w:w="110" w:type="dxa"/>
            </w:tcMar>
            <w:shd w:val="clear" w:color="auto" w:fill="F4F7FB"/>
          </w:tcPr>
          <w:p>
            <w:pPr>
              <w:spacing w:after="0"/>
            </w:pPr>
            <w:r/>
            <w:r>
              <w:rPr>
                <w:rFonts w:ascii="Calibri" w:hAnsi="Calibri"/>
                <w:b w:val="0"/>
                <w:i w:val="0"/>
                <w:color w:val="101828"/>
                <w:sz w:val="14"/>
              </w:rPr>
              <w:t>Round timeline</w:t>
            </w:r>
          </w:p>
        </w:tc>
        <w:tc>
          <w:tcPr>
            <w:tcW w:type="dxa" w:w="893"/>
            <w:tcMar>
              <w:top w:w="60" w:type="dxa"/>
              <w:start w:w="110" w:type="dxa"/>
              <w:bottom w:w="60" w:type="dxa"/>
              <w:end w:w="110" w:type="dxa"/>
            </w:tcMar>
            <w:shd w:val="clear" w:color="auto" w:fill="F4F7FB"/>
          </w:tcPr>
          <w:p>
            <w:pPr>
              <w:spacing w:after="0"/>
            </w:pPr>
            <w:r/>
            <w:r>
              <w:rPr>
                <w:rFonts w:ascii="Consolas" w:hAnsi="Consolas"/>
                <w:color w:val="146EF5"/>
                <w:sz w:val="14"/>
              </w:rPr>
              <w:t>RoundTimeline</w:t>
            </w:r>
          </w:p>
        </w:tc>
        <w:tc>
          <w:tcPr>
            <w:tcW w:type="dxa" w:w="5818"/>
            <w:tcMar>
              <w:top w:w="60" w:type="dxa"/>
              <w:start w:w="110" w:type="dxa"/>
              <w:bottom w:w="60" w:type="dxa"/>
              <w:end w:w="110" w:type="dxa"/>
            </w:tcMar>
            <w:shd w:val="clear" w:color="auto" w:fill="F4F7FB"/>
          </w:tcPr>
          <w:p>
            <w:pPr>
              <w:spacing w:after="0"/>
            </w:pPr>
            <w:r/>
            <w:r>
              <w:rPr>
                <w:rFonts w:ascii="Calibri" w:hAnsi="Calibri"/>
                <w:b w:val="0"/>
                <w:i w:val="0"/>
                <w:color w:val="101828"/>
                <w:sz w:val="14"/>
              </w:rPr>
              <w:t>Ten rounds, current one marked, payout marked, past ones dimmed. Always all ten, never a window</w:t>
            </w:r>
          </w:p>
        </w:tc>
        <w:tc>
          <w:tcPr>
            <w:tcW w:type="dxa" w:w="1310"/>
            <w:tcMar>
              <w:top w:w="60" w:type="dxa"/>
              <w:start w:w="110" w:type="dxa"/>
              <w:bottom w:w="60" w:type="dxa"/>
              <w:end w:w="110" w:type="dxa"/>
            </w:tcMar>
            <w:shd w:val="clear" w:color="auto" w:fill="F4F7FB"/>
          </w:tcPr>
          <w:p>
            <w:pPr>
              <w:spacing w:after="0"/>
            </w:pPr>
            <w:r/>
            <w:r>
              <w:rPr>
                <w:rFonts w:ascii="Calibri" w:hAnsi="Calibri"/>
                <w:b w:val="0"/>
                <w:i w:val="0"/>
                <w:color w:val="101828"/>
                <w:sz w:val="14"/>
              </w:rPr>
              <w:t>Member is in no Ajo</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5</w:t>
            </w:r>
          </w:p>
        </w:tc>
        <w:tc>
          <w:tcPr>
            <w:tcW w:type="dxa" w:w="734"/>
            <w:tcMar>
              <w:top w:w="60" w:type="dxa"/>
              <w:start w:w="110" w:type="dxa"/>
              <w:bottom w:w="60" w:type="dxa"/>
              <w:end w:w="110" w:type="dxa"/>
            </w:tcMar>
          </w:tcPr>
          <w:p>
            <w:pPr>
              <w:spacing w:after="0"/>
            </w:pPr>
            <w:r/>
            <w:r>
              <w:rPr>
                <w:rFonts w:ascii="Calibri" w:hAnsi="Calibri"/>
                <w:b w:val="0"/>
                <w:i w:val="0"/>
                <w:color w:val="101828"/>
                <w:sz w:val="14"/>
              </w:rPr>
              <w:t>Last activity</w:t>
            </w:r>
          </w:p>
        </w:tc>
        <w:tc>
          <w:tcPr>
            <w:tcW w:type="dxa" w:w="893"/>
            <w:tcMar>
              <w:top w:w="60" w:type="dxa"/>
              <w:start w:w="110" w:type="dxa"/>
              <w:bottom w:w="60" w:type="dxa"/>
              <w:end w:w="110" w:type="dxa"/>
            </w:tcMar>
          </w:tcPr>
          <w:p>
            <w:pPr>
              <w:spacing w:after="0"/>
            </w:pPr>
            <w:r/>
            <w:r>
              <w:rPr>
                <w:rFonts w:ascii="Consolas" w:hAnsi="Consolas"/>
                <w:color w:val="146EF5"/>
                <w:sz w:val="14"/>
              </w:rPr>
              <w:t>ActivityRow</w:t>
            </w:r>
          </w:p>
        </w:tc>
        <w:tc>
          <w:tcPr>
            <w:tcW w:type="dxa" w:w="5818"/>
            <w:tcMar>
              <w:top w:w="60" w:type="dxa"/>
              <w:start w:w="110" w:type="dxa"/>
              <w:bottom w:w="60" w:type="dxa"/>
              <w:end w:w="110" w:type="dxa"/>
            </w:tcMar>
          </w:tcPr>
          <w:p>
            <w:pPr>
              <w:spacing w:after="0"/>
            </w:pPr>
            <w:r/>
            <w:r>
              <w:rPr>
                <w:rFonts w:ascii="Calibri" w:hAnsi="Calibri"/>
                <w:b w:val="0"/>
                <w:i w:val="0"/>
                <w:color w:val="101828"/>
                <w:sz w:val="14"/>
              </w:rPr>
              <w:t>One row: date, description, amount, state word</w:t>
            </w:r>
          </w:p>
        </w:tc>
        <w:tc>
          <w:tcPr>
            <w:tcW w:type="dxa" w:w="1310"/>
            <w:tcMar>
              <w:top w:w="60" w:type="dxa"/>
              <w:start w:w="110" w:type="dxa"/>
              <w:bottom w:w="60" w:type="dxa"/>
              <w:end w:w="110" w:type="dxa"/>
            </w:tcMar>
          </w:tcPr>
          <w:p>
            <w:pPr>
              <w:spacing w:after="0"/>
            </w:pPr>
            <w:r/>
            <w:r>
              <w:rPr>
                <w:rFonts w:ascii="Calibri" w:hAnsi="Calibri"/>
                <w:b w:val="0"/>
                <w:i w:val="0"/>
                <w:color w:val="101828"/>
                <w:sz w:val="14"/>
              </w:rPr>
              <w:t>No activity yet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6</w:t>
            </w:r>
          </w:p>
        </w:tc>
        <w:tc>
          <w:tcPr>
            <w:tcW w:type="dxa" w:w="734"/>
            <w:tcMar>
              <w:top w:w="60" w:type="dxa"/>
              <w:start w:w="110" w:type="dxa"/>
              <w:bottom w:w="60" w:type="dxa"/>
              <w:end w:w="110" w:type="dxa"/>
            </w:tcMar>
            <w:shd w:val="clear" w:color="auto" w:fill="F4F7FB"/>
          </w:tcPr>
          <w:p>
            <w:pPr>
              <w:spacing w:after="0"/>
            </w:pPr>
            <w:r/>
            <w:r>
              <w:rPr>
                <w:rFonts w:ascii="Calibri" w:hAnsi="Calibri"/>
                <w:b w:val="0"/>
                <w:i w:val="0"/>
                <w:color w:val="101828"/>
                <w:sz w:val="14"/>
              </w:rPr>
              <w:t>Other Ajos</w:t>
            </w:r>
          </w:p>
        </w:tc>
        <w:tc>
          <w:tcPr>
            <w:tcW w:type="dxa" w:w="893"/>
            <w:tcMar>
              <w:top w:w="60" w:type="dxa"/>
              <w:start w:w="110" w:type="dxa"/>
              <w:bottom w:w="60" w:type="dxa"/>
              <w:end w:w="110" w:type="dxa"/>
            </w:tcMar>
            <w:shd w:val="clear" w:color="auto" w:fill="F4F7FB"/>
          </w:tcPr>
          <w:p>
            <w:pPr>
              <w:spacing w:after="0"/>
            </w:pPr>
            <w:r/>
            <w:r>
              <w:rPr>
                <w:rFonts w:ascii="Consolas" w:hAnsi="Consolas"/>
                <w:color w:val="146EF5"/>
                <w:sz w:val="14"/>
              </w:rPr>
              <w:t>AjoCard</w:t>
            </w:r>
            <w:r>
              <w:rPr>
                <w:rFonts w:ascii="Calibri" w:hAnsi="Calibri"/>
                <w:b w:val="0"/>
                <w:i w:val="0"/>
                <w:color w:val="101828"/>
                <w:sz w:val="14"/>
              </w:rPr>
              <w:t xml:space="preserve"> list</w:t>
            </w:r>
          </w:p>
        </w:tc>
        <w:tc>
          <w:tcPr>
            <w:tcW w:type="dxa" w:w="5818"/>
            <w:tcMar>
              <w:top w:w="60" w:type="dxa"/>
              <w:start w:w="110" w:type="dxa"/>
              <w:bottom w:w="60" w:type="dxa"/>
              <w:end w:w="110" w:type="dxa"/>
            </w:tcMar>
            <w:shd w:val="clear" w:color="auto" w:fill="F4F7FB"/>
          </w:tcPr>
          <w:p>
            <w:pPr>
              <w:spacing w:after="0"/>
            </w:pPr>
            <w:r/>
            <w:r>
              <w:rPr>
                <w:rFonts w:ascii="Calibri" w:hAnsi="Calibri"/>
                <w:b w:val="0"/>
                <w:i w:val="0"/>
                <w:color w:val="101828"/>
                <w:sz w:val="14"/>
              </w:rPr>
              <w:t>One line per additional Ajo: name, status, next due</w:t>
            </w:r>
          </w:p>
        </w:tc>
        <w:tc>
          <w:tcPr>
            <w:tcW w:type="dxa" w:w="1310"/>
            <w:tcMar>
              <w:top w:w="60" w:type="dxa"/>
              <w:start w:w="110" w:type="dxa"/>
              <w:bottom w:w="60" w:type="dxa"/>
              <w:end w:w="110" w:type="dxa"/>
            </w:tcMar>
            <w:shd w:val="clear" w:color="auto" w:fill="F4F7FB"/>
          </w:tcPr>
          <w:p>
            <w:pPr>
              <w:spacing w:after="0"/>
            </w:pPr>
            <w:r/>
            <w:r>
              <w:rPr>
                <w:rFonts w:ascii="Calibri" w:hAnsi="Calibri"/>
                <w:b w:val="0"/>
                <w:i w:val="0"/>
                <w:color w:val="101828"/>
                <w:sz w:val="14"/>
              </w:rPr>
              <w:t>Member is in one Ajo only</w:t>
            </w:r>
          </w:p>
        </w:tc>
      </w:tr>
    </w:tbl>
    <w:p>
      <w:pPr>
        <w:spacing w:after="80"/>
      </w:pPr>
    </w:p>
    <w:p>
      <w:pPr>
        <w:pStyle w:val="Heading3"/>
      </w:pPr>
      <w:r>
        <w:rPr>
          <w:rFonts w:ascii="Calibri" w:hAnsi="Calibri"/>
          <w:b/>
          <w:i w:val="0"/>
          <w:color w:val="0B1F3A"/>
          <w:sz w:val="24"/>
        </w:rPr>
        <w:t>7.9.3 The three figures, and why they are in that order</w:t>
      </w:r>
    </w:p>
    <w:p>
      <w:r>
        <w:rPr>
          <w:rFonts w:ascii="Calibri" w:hAnsi="Calibri"/>
          <w:b w:val="0"/>
          <w:i w:val="0"/>
          <w:color w:val="101828"/>
          <w:sz w:val="21"/>
        </w:rPr>
        <w:t>Contributed, in the pool now, received to date. This order is the member's history: what I have put in, what my money is doing right now, and what it has become. The alternative order — received first, because it is the largest and the most satisfying number — puts the payout before the obligation and makes the screen read like a reward rather than a balance.</w:t>
      </w:r>
    </w:p>
    <w:p>
      <w:pPr>
        <w:spacing w:before="0" w:after="0" w:line="240" w:lineRule="auto"/>
        <w:ind w:left="230"/>
        <w:shd w:val="clear" w:color="auto" w:fill="F7F9FC"/>
        <w:pBdr>
          <w:left w:val="single" w:sz="4" w:space="6" w:color="D0D5DD"/>
        </w:pBdr>
      </w:pPr>
      <w:r>
        <w:rPr>
          <w:rFonts w:ascii="Consolas" w:hAnsi="Consolas"/>
          <w:color w:val="0B1F3A"/>
          <w:sz w:val="16"/>
        </w:rPr>
        <w:t>Chima's Ajo  ·  Round 4 of 10  ·  ACTIVE</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CONTRIBUTED          IN THE POOL NOW     RECEIVED</w:t>
      </w:r>
    </w:p>
    <w:p>
      <w:pPr>
        <w:spacing w:before="0" w:after="0" w:line="240" w:lineRule="auto"/>
        <w:ind w:left="230"/>
        <w:shd w:val="clear" w:color="auto" w:fill="F7F9FC"/>
        <w:pBdr>
          <w:left w:val="single" w:sz="4" w:space="6" w:color="D0D5DD"/>
        </w:pBdr>
      </w:pPr>
      <w:r>
        <w:rPr>
          <w:rFonts w:ascii="Consolas" w:hAnsi="Consolas"/>
          <w:color w:val="0B1F3A"/>
          <w:sz w:val="16"/>
        </w:rPr>
        <w:t>NGN 4,000.00         NGN 32,000.00        NGN 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4 of 10 rounds funded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Next payout to you:  Round 10,  20 Nov 2026</w:t>
      </w:r>
    </w:p>
    <w:p>
      <w:pPr>
        <w:spacing w:before="140" w:after="180"/>
        <w:ind w:left="144"/>
        <w:shd w:val="clear" w:color="auto" w:fill="FEF3C7"/>
        <w:pBdr>
          <w:left w:val="single" w:sz="18" w:space="6" w:color="FBBF24"/>
        </w:pBdr>
      </w:pPr>
      <w:r>
        <w:rPr>
          <w:rFonts w:ascii="Calibri" w:hAnsi="Calibri"/>
          <w:b/>
          <w:color w:val="FBBF24"/>
          <w:sz w:val="19"/>
        </w:rPr>
        <w:t xml:space="preserve">The progress bar carries a count, never a percentage on its own  </w:t>
      </w:r>
      <w:r>
        <w:rPr>
          <w:rFonts w:ascii="Calibri" w:hAnsi="Calibri"/>
          <w:b w:val="0"/>
          <w:i w:val="0"/>
          <w:color w:val="0B1F3A"/>
          <w:sz w:val="19"/>
        </w:rPr>
        <w:t xml:space="preserve">40 percent is a number about a chart. </w:t>
      </w:r>
      <w:r>
        <w:rPr>
          <w:rFonts w:ascii="Calibri" w:hAnsi="Calibri"/>
          <w:i/>
          <w:color w:val="0B1F3A"/>
          <w:sz w:val="19"/>
        </w:rPr>
        <w:t>4 of 10 rounds funded</w:t>
      </w:r>
      <w:r>
        <w:rPr>
          <w:rFonts w:ascii="Calibri" w:hAnsi="Calibri"/>
          <w:b w:val="0"/>
          <w:i w:val="0"/>
          <w:color w:val="0B1F3A"/>
          <w:sz w:val="19"/>
        </w:rPr>
        <w:t xml:space="preserve"> is a number about the group, and it is the one a member can act on. The bar is a Cloud track with a Primary fill and a 3 px Cloud border; the text beneath it is label size, tabular, and never replaced by the bar. A progress bar with no count is also an accessibility failure, because it conveys its information only through width.</w:t>
      </w:r>
    </w:p>
    <w:p>
      <w:pPr>
        <w:pStyle w:val="Heading3"/>
      </w:pPr>
      <w:r>
        <w:rPr>
          <w:rFonts w:ascii="Calibri" w:hAnsi="Calibri"/>
          <w:b/>
          <w:i w:val="0"/>
          <w:color w:val="0B1F3A"/>
          <w:sz w:val="24"/>
        </w:rPr>
        <w:t>7.9.4 The next action block</w:t>
      </w:r>
    </w:p>
    <w:p>
      <w:r>
        <w:rPr>
          <w:rFonts w:ascii="Calibri" w:hAnsi="Calibri"/>
          <w:b w:val="0"/>
          <w:i w:val="0"/>
          <w:color w:val="101828"/>
          <w:sz w:val="21"/>
        </w:rPr>
        <w:t>This is the only block on the dashboard with a filled Primary button, and it is the reason the product's money flows work. Its copy is fixed, because a person returning to the app to pay does not want a sentence.</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  DUE IN 2 DAYS                            |</w:t>
      </w:r>
    </w:p>
    <w:p>
      <w:pPr>
        <w:spacing w:before="0" w:after="0" w:line="240" w:lineRule="auto"/>
        <w:ind w:left="230"/>
        <w:shd w:val="clear" w:color="auto" w:fill="F7F9FC"/>
        <w:pBdr>
          <w:left w:val="single" w:sz="4" w:space="6" w:color="D0D5DD"/>
        </w:pBdr>
      </w:pPr>
      <w:r>
        <w:rPr>
          <w:rFonts w:ascii="Consolas" w:hAnsi="Consolas"/>
          <w:color w:val="0B1F3A"/>
          <w:sz w:val="16"/>
        </w:rPr>
        <w:t>|  Your contribution to Chima's Ajo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NGN 1,000.00                             |</w:t>
      </w:r>
    </w:p>
    <w:p>
      <w:pPr>
        <w:spacing w:before="0" w:after="0" w:line="240" w:lineRule="auto"/>
        <w:ind w:left="230"/>
        <w:shd w:val="clear" w:color="auto" w:fill="F7F9FC"/>
        <w:pBdr>
          <w:left w:val="single" w:sz="4" w:space="6" w:color="D0D5DD"/>
        </w:pBdr>
      </w:pPr>
      <w:r>
        <w:rPr>
          <w:rFonts w:ascii="Consolas" w:hAnsi="Consolas"/>
          <w:color w:val="0B1F3A"/>
          <w:sz w:val="16"/>
        </w:rPr>
        <w:t>|                                          |</w:t>
      </w:r>
    </w:p>
    <w:p>
      <w:pPr>
        <w:spacing w:before="0" w:after="0" w:line="240" w:lineRule="auto"/>
        <w:ind w:left="230"/>
        <w:shd w:val="clear" w:color="auto" w:fill="F7F9FC"/>
        <w:pBdr>
          <w:left w:val="single" w:sz="4" w:space="6" w:color="D0D5DD"/>
        </w:pBdr>
      </w:pPr>
      <w:r>
        <w:rPr>
          <w:rFonts w:ascii="Consolas" w:hAnsi="Consolas"/>
          <w:color w:val="0B1F3A"/>
          <w:sz w:val="16"/>
        </w:rPr>
        <w:t>|  [ Pay now ]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val="0"/>
          <w:i w:val="0"/>
          <w:color w:val="101828"/>
          <w:sz w:val="21"/>
        </w:rPr>
        <w:t xml:space="preserve">Overdue changes the label to </w:t>
      </w:r>
      <w:r>
        <w:rPr>
          <w:rFonts w:ascii="Calibri" w:hAnsi="Calibri"/>
          <w:b/>
          <w:color w:val="101828"/>
          <w:sz w:val="21"/>
        </w:rPr>
        <w:t>OVERDUE — 3 DAYS</w:t>
      </w:r>
      <w:r>
        <w:rPr>
          <w:rFonts w:ascii="Calibri" w:hAnsi="Calibri"/>
          <w:b w:val="0"/>
          <w:i w:val="0"/>
          <w:color w:val="101828"/>
          <w:sz w:val="21"/>
        </w:rPr>
        <w:t xml:space="preserve"> in danger fill and moves the block above the Ajo summary, because an overdue contribution affects the whole Ajo and the member needs to know that before anything else. The primary button still says </w:t>
      </w:r>
      <w:r>
        <w:rPr>
          <w:rFonts w:ascii="Calibri" w:hAnsi="Calibri"/>
          <w:i/>
          <w:color w:val="101828"/>
          <w:sz w:val="21"/>
        </w:rPr>
        <w:t>Pay now</w:t>
      </w:r>
      <w:r>
        <w:rPr>
          <w:rFonts w:ascii="Calibri" w:hAnsi="Calibri"/>
          <w:b w:val="0"/>
          <w:i w:val="0"/>
          <w:color w:val="101828"/>
          <w:sz w:val="21"/>
        </w:rPr>
        <w:t xml:space="preserve">. It does not say </w:t>
      </w:r>
      <w:r>
        <w:rPr>
          <w:rFonts w:ascii="Calibri" w:hAnsi="Calibri"/>
          <w:i/>
          <w:color w:val="101828"/>
          <w:sz w:val="21"/>
        </w:rPr>
        <w:t>Pay now or your Ajo fails</w:t>
      </w:r>
      <w:r>
        <w:rPr>
          <w:rFonts w:ascii="Calibri" w:hAnsi="Calibri"/>
          <w:b w:val="0"/>
          <w:i w:val="0"/>
          <w:color w:val="101828"/>
          <w:sz w:val="21"/>
        </w:rPr>
        <w:t>, which is a sentence that produces support tickets and does not change behaviour.</w:t>
      </w:r>
    </w:p>
    <w:p>
      <w:pPr>
        <w:pStyle w:val="Heading3"/>
      </w:pPr>
      <w:r>
        <w:rPr>
          <w:rFonts w:ascii="Calibri" w:hAnsi="Calibri"/>
          <w:b/>
          <w:i w:val="0"/>
          <w:color w:val="0B1F3A"/>
          <w:sz w:val="24"/>
        </w:rPr>
        <w:t>7.9.5 The empty dashboard</w:t>
      </w:r>
    </w:p>
    <w:p>
      <w:r>
        <w:rPr>
          <w:rFonts w:ascii="Calibri" w:hAnsi="Calibri"/>
          <w:b w:val="0"/>
          <w:i w:val="0"/>
          <w:color w:val="101828"/>
          <w:sz w:val="21"/>
        </w:rPr>
        <w:t xml:space="preserve">A new member with no Ajo gets one card, not an illustration of a person looking at a phone. It states what an Ajo is in two sentences, shows the fee disclosure because they will be charged it, and offers </w:t>
      </w:r>
      <w:r>
        <w:rPr>
          <w:rFonts w:ascii="Calibri" w:hAnsi="Calibri"/>
          <w:i/>
          <w:color w:val="101828"/>
          <w:sz w:val="21"/>
        </w:rPr>
        <w:t>Create an Ajo</w:t>
      </w:r>
      <w:r>
        <w:rPr>
          <w:rFonts w:ascii="Calibri" w:hAnsi="Calibri"/>
          <w:b w:val="0"/>
          <w:i w:val="0"/>
          <w:color w:val="101828"/>
          <w:sz w:val="21"/>
        </w:rPr>
        <w:t xml:space="preserve"> and </w:t>
      </w:r>
      <w:r>
        <w:rPr>
          <w:rFonts w:ascii="Calibri" w:hAnsi="Calibri"/>
          <w:i/>
          <w:color w:val="101828"/>
          <w:sz w:val="21"/>
        </w:rPr>
        <w:t>Join with a code</w:t>
      </w:r>
      <w:r>
        <w:rPr>
          <w:rFonts w:ascii="Calibri" w:hAnsi="Calibri"/>
          <w:b w:val="0"/>
          <w:i w:val="0"/>
          <w:color w:val="101828"/>
          <w:sz w:val="21"/>
        </w:rPr>
        <w:t xml:space="preserve"> as two Secondary buttons, because at this point the member genuinely does not know which they want and the interface should not pretend otherwise.</w:t>
      </w:r>
    </w:p>
    <w:p>
      <w:pPr>
        <w:spacing w:before="140" w:after="180"/>
        <w:ind w:left="144"/>
        <w:shd w:val="clear" w:color="auto" w:fill="EFF6FF"/>
        <w:pBdr>
          <w:left w:val="single" w:sz="18" w:space="6" w:color="146EF5"/>
        </w:pBdr>
      </w:pPr>
      <w:r>
        <w:rPr>
          <w:rFonts w:ascii="Calibri" w:hAnsi="Calibri"/>
          <w:b/>
          <w:color w:val="146EF5"/>
          <w:sz w:val="19"/>
        </w:rPr>
        <w:t xml:space="preserve">The empty dashboard shows the fee, and this is not optional  </w:t>
      </w:r>
      <w:r>
        <w:rPr>
          <w:rFonts w:ascii="Calibri" w:hAnsi="Calibri"/>
          <w:b w:val="0"/>
          <w:i w:val="0"/>
          <w:color w:val="0B1F3A"/>
          <w:sz w:val="19"/>
        </w:rPr>
        <w:t>The empty state is where a member first sees the 2 percent fee, and it is shown as a real MoneyBlock, not as a sentence in a paragraph. The requirement in CANONICAL.md is that the fee appears separately from the contribution on every receipt and before a member commits, and the moment before a member commits is this screen. A design that reveals the fee for the first time on the first payment has met the letter of the rule and failed the intent of it.</w:t>
      </w:r>
    </w:p>
    <w:p>
      <w:pPr>
        <w:pStyle w:val="Heading3"/>
      </w:pPr>
      <w:r>
        <w:rPr>
          <w:rFonts w:ascii="Calibri" w:hAnsi="Calibri"/>
          <w:b/>
          <w:i w:val="0"/>
          <w:color w:val="0B1F3A"/>
          <w:sz w:val="24"/>
        </w:rPr>
        <w:t>7.9.6 Dashboard states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State</w:t>
            </w:r>
          </w:p>
        </w:tc>
        <w:tc>
          <w:tcPr>
            <w:tcW w:type="dxa" w:w="5170"/>
            <w:shd w:val="clear" w:color="auto" w:fill="0B1F3A"/>
            <w:tcMar>
              <w:top w:w="60" w:type="dxa"/>
              <w:start w:w="110" w:type="dxa"/>
              <w:bottom w:w="60" w:type="dxa"/>
              <w:end w:w="110" w:type="dxa"/>
            </w:tcMar>
          </w:tcPr>
          <w:p>
            <w:pPr>
              <w:spacing w:after="0"/>
            </w:pPr>
            <w:r/>
            <w:r>
              <w:rPr>
                <w:rFonts w:ascii="Calibri" w:hAnsi="Calibri"/>
                <w:b/>
                <w:i w:val="0"/>
                <w:color w:val="FFFFFF"/>
                <w:sz w:val="14"/>
              </w:rPr>
              <w:t>What shows</w:t>
            </w:r>
          </w:p>
        </w:tc>
        <w:tc>
          <w:tcPr>
            <w:tcW w:type="dxa" w:w="3586"/>
            <w:shd w:val="clear" w:color="auto" w:fill="0B1F3A"/>
            <w:tcMar>
              <w:top w:w="60" w:type="dxa"/>
              <w:start w:w="110" w:type="dxa"/>
              <w:bottom w:w="60" w:type="dxa"/>
              <w:end w:w="110" w:type="dxa"/>
            </w:tcMar>
          </w:tcPr>
          <w:p>
            <w:pPr>
              <w:spacing w:after="0"/>
            </w:pPr>
            <w:r/>
            <w:r>
              <w:rPr>
                <w:rFonts w:ascii="Calibri" w:hAnsi="Calibri"/>
                <w:b/>
                <w:i w:val="0"/>
                <w:color w:val="FFFFFF"/>
                <w:sz w:val="14"/>
              </w:rPr>
              <w:t>What is prohibited</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Loading</w:t>
            </w:r>
          </w:p>
        </w:tc>
        <w:tc>
          <w:tcPr>
            <w:tcW w:type="dxa" w:w="5170"/>
            <w:tcMar>
              <w:top w:w="60" w:type="dxa"/>
              <w:start w:w="110" w:type="dxa"/>
              <w:bottom w:w="60" w:type="dxa"/>
              <w:end w:w="110" w:type="dxa"/>
            </w:tcMar>
          </w:tcPr>
          <w:p>
            <w:pPr>
              <w:spacing w:after="0"/>
            </w:pPr>
            <w:r/>
            <w:r>
              <w:rPr>
                <w:rFonts w:ascii="Calibri" w:hAnsi="Calibri"/>
                <w:b w:val="0"/>
                <w:i w:val="0"/>
                <w:color w:val="101828"/>
                <w:sz w:val="14"/>
              </w:rPr>
              <w:t>Skeleton for summary, timeline, and activity only. The next action block is not skeletonised, because showing a fake amount in the one block that moves money is worse than a brief empty space.</w:t>
            </w:r>
          </w:p>
        </w:tc>
        <w:tc>
          <w:tcPr>
            <w:tcW w:type="dxa" w:w="3586"/>
            <w:tcMar>
              <w:top w:w="60" w:type="dxa"/>
              <w:start w:w="110" w:type="dxa"/>
              <w:bottom w:w="60" w:type="dxa"/>
              <w:end w:w="110" w:type="dxa"/>
            </w:tcMar>
          </w:tcPr>
          <w:p>
            <w:pPr>
              <w:spacing w:after="0"/>
            </w:pPr>
            <w:r/>
            <w:r>
              <w:rPr>
                <w:rFonts w:ascii="Calibri" w:hAnsi="Calibri"/>
                <w:b w:val="0"/>
                <w:i w:val="0"/>
                <w:color w:val="101828"/>
                <w:sz w:val="14"/>
              </w:rPr>
              <w:t>A spinner centred on the page. A skeleton with plausible numbers in it.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Offline</w:t>
            </w:r>
          </w:p>
        </w:tc>
        <w:tc>
          <w:tcPr>
            <w:tcW w:type="dxa" w:w="517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single Cloud banner, </w:t>
            </w:r>
            <w:r>
              <w:rPr>
                <w:rFonts w:ascii="Calibri" w:hAnsi="Calibri"/>
                <w:i/>
                <w:color w:val="101828"/>
                <w:sz w:val="14"/>
              </w:rPr>
              <w:t>You are offline</w:t>
            </w:r>
            <w:r>
              <w:rPr>
                <w:rFonts w:ascii="Calibri" w:hAnsi="Calibri"/>
                <w:b w:val="0"/>
                <w:i w:val="0"/>
                <w:color w:val="101828"/>
                <w:sz w:val="14"/>
              </w:rPr>
              <w:t>, and the dashboard in its last loaded state with a timestamp. Every money action disabled.</w:t>
            </w:r>
          </w:p>
        </w:tc>
        <w:tc>
          <w:tcPr>
            <w:tcW w:type="dxa" w:w="3586"/>
            <w:tcMar>
              <w:top w:w="60" w:type="dxa"/>
              <w:start w:w="110" w:type="dxa"/>
              <w:bottom w:w="60" w:type="dxa"/>
              <w:end w:w="110" w:type="dxa"/>
            </w:tcMar>
            <w:shd w:val="clear" w:color="auto" w:fill="F4F7FB"/>
          </w:tcPr>
          <w:p>
            <w:pPr>
              <w:spacing w:after="0"/>
            </w:pPr>
            <w:r/>
            <w:r>
              <w:rPr>
                <w:rFonts w:ascii="Calibri" w:hAnsi="Calibri"/>
                <w:b w:val="0"/>
                <w:i w:val="0"/>
                <w:color w:val="101828"/>
                <w:sz w:val="14"/>
              </w:rPr>
              <w:t>Disabled buttons with no explanation. A cached balance presented as current.</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Empty</w:t>
            </w:r>
          </w:p>
        </w:tc>
        <w:tc>
          <w:tcPr>
            <w:tcW w:type="dxa" w:w="5170"/>
            <w:tcMar>
              <w:top w:w="60" w:type="dxa"/>
              <w:start w:w="110" w:type="dxa"/>
              <w:bottom w:w="60" w:type="dxa"/>
              <w:end w:w="110" w:type="dxa"/>
            </w:tcMar>
          </w:tcPr>
          <w:p>
            <w:pPr>
              <w:spacing w:after="0"/>
            </w:pPr>
            <w:r/>
            <w:r>
              <w:rPr>
                <w:rFonts w:ascii="Calibri" w:hAnsi="Calibri"/>
                <w:b w:val="0"/>
                <w:i w:val="0"/>
                <w:color w:val="101828"/>
                <w:sz w:val="14"/>
              </w:rPr>
              <w:t>The empty dashboard of 7.9.5</w:t>
            </w:r>
          </w:p>
        </w:tc>
        <w:tc>
          <w:tcPr>
            <w:tcW w:type="dxa" w:w="3586"/>
            <w:tcMar>
              <w:top w:w="60" w:type="dxa"/>
              <w:start w:w="110" w:type="dxa"/>
              <w:bottom w:w="60" w:type="dxa"/>
              <w:end w:w="110" w:type="dxa"/>
            </w:tcMar>
          </w:tcPr>
          <w:p>
            <w:pPr>
              <w:spacing w:after="0"/>
            </w:pPr>
            <w:r/>
            <w:r>
              <w:rPr>
                <w:rFonts w:ascii="Calibri" w:hAnsi="Calibri"/>
                <w:b w:val="0"/>
                <w:i w:val="0"/>
                <w:color w:val="101828"/>
                <w:sz w:val="14"/>
              </w:rPr>
              <w:t>A zero balance. NGN 0.00 as a hero figure reads as a failure.</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Partial</w:t>
            </w:r>
          </w:p>
        </w:tc>
        <w:tc>
          <w:tcPr>
            <w:tcW w:type="dxa" w:w="5170"/>
            <w:tcMar>
              <w:top w:w="60" w:type="dxa"/>
              <w:start w:w="110" w:type="dxa"/>
              <w:bottom w:w="60" w:type="dxa"/>
              <w:end w:w="110" w:type="dxa"/>
            </w:tcMar>
            <w:shd w:val="clear" w:color="auto" w:fill="F4F7FB"/>
          </w:tcPr>
          <w:p>
            <w:pPr>
              <w:spacing w:after="0"/>
            </w:pPr>
            <w:r/>
            <w:r>
              <w:rPr>
                <w:rFonts w:ascii="Calibri" w:hAnsi="Calibri"/>
                <w:b w:val="0"/>
                <w:i w:val="0"/>
                <w:color w:val="101828"/>
                <w:sz w:val="14"/>
              </w:rPr>
              <w:t>The Ajo summary and timeline render; the activity list shows a quiet retry if it fails alone. A region failure is not a page failure.</w:t>
            </w:r>
          </w:p>
        </w:tc>
        <w:tc>
          <w:tcPr>
            <w:tcW w:type="dxa" w:w="3586"/>
            <w:tcMar>
              <w:top w:w="60" w:type="dxa"/>
              <w:start w:w="110" w:type="dxa"/>
              <w:bottom w:w="60" w:type="dxa"/>
              <w:end w:w="110" w:type="dxa"/>
            </w:tcMar>
            <w:shd w:val="clear" w:color="auto" w:fill="F4F7FB"/>
          </w:tcPr>
          <w:p>
            <w:pPr>
              <w:spacing w:after="0"/>
            </w:pPr>
            <w:r/>
            <w:r>
              <w:rPr>
                <w:rFonts w:ascii="Calibri" w:hAnsi="Calibri"/>
                <w:b w:val="0"/>
                <w:i w:val="0"/>
                <w:color w:val="101828"/>
                <w:sz w:val="14"/>
              </w:rPr>
              <w:t>The whole dashboard behind a spinner because one region is slow.</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KYC pending</w:t>
            </w:r>
          </w:p>
        </w:tc>
        <w:tc>
          <w:tcPr>
            <w:tcW w:type="dxa" w:w="5170"/>
            <w:tcMar>
              <w:top w:w="60" w:type="dxa"/>
              <w:start w:w="110" w:type="dxa"/>
              <w:bottom w:w="60" w:type="dxa"/>
              <w:end w:w="110" w:type="dxa"/>
            </w:tcMar>
          </w:tcPr>
          <w:p>
            <w:pPr>
              <w:spacing w:after="0"/>
            </w:pPr>
            <w:r/>
            <w:r>
              <w:rPr>
                <w:rFonts w:ascii="Calibri" w:hAnsi="Calibri"/>
                <w:b w:val="0"/>
                <w:i w:val="0"/>
                <w:color w:val="101828"/>
                <w:sz w:val="14"/>
              </w:rPr>
              <w:t xml:space="preserve">A Gold left rule on the Ajo card and one line: </w:t>
            </w:r>
            <w:r>
              <w:rPr>
                <w:rFonts w:ascii="Calibri" w:hAnsi="Calibri"/>
                <w:i/>
                <w:color w:val="101828"/>
                <w:sz w:val="14"/>
              </w:rPr>
              <w:t>Verification in review. Payouts wait for this.</w:t>
            </w:r>
          </w:p>
        </w:tc>
        <w:tc>
          <w:tcPr>
            <w:tcW w:type="dxa" w:w="3586"/>
            <w:tcMar>
              <w:top w:w="60" w:type="dxa"/>
              <w:start w:w="110" w:type="dxa"/>
              <w:bottom w:w="60" w:type="dxa"/>
              <w:end w:w="110" w:type="dxa"/>
            </w:tcMar>
          </w:tcPr>
          <w:p>
            <w:pPr>
              <w:spacing w:after="0"/>
            </w:pPr>
            <w:r/>
            <w:r>
              <w:rPr>
                <w:rFonts w:ascii="Calibri" w:hAnsi="Calibri"/>
                <w:b w:val="0"/>
                <w:i w:val="0"/>
                <w:color w:val="101828"/>
                <w:sz w:val="14"/>
              </w:rPr>
              <w:t>A modal. A blocking overlay. Anything that stops a member paying a contribution, because contributions are not blocked by KYC.</w:t>
            </w:r>
          </w:p>
        </w:tc>
      </w:tr>
    </w:tbl>
    <w:p>
      <w:pPr>
        <w:spacing w:after="80"/>
      </w:pPr>
    </w:p>
    <w:p>
      <w:r>
        <w:br w:type="page"/>
      </w:r>
    </w:p>
    <w:p>
      <w:pPr>
        <w:pStyle w:val="Heading2"/>
      </w:pPr>
      <w:r>
        <w:rPr>
          <w:rFonts w:ascii="Calibri" w:hAnsi="Calibri"/>
          <w:b/>
          <w:i w:val="0"/>
          <w:color w:val="146EF5"/>
          <w:sz w:val="29"/>
        </w:rPr>
        <w:t>7.10 Data visualisation</w:t>
      </w:r>
    </w:p>
    <w:p>
      <w:r>
        <w:rPr>
          <w:rFonts w:ascii="Calibri" w:hAnsi="Calibri"/>
          <w:b w:val="0"/>
          <w:i w:val="0"/>
          <w:color w:val="101828"/>
          <w:sz w:val="21"/>
        </w:rPr>
        <w:t>This product has a strong temptation to visualise and a weak need to. Members want to know three things — what they owe, what they have, and when they are paid — and none of them is a distribution. The rules below are therefore restrictive, and the restriction is the point: a chart in a savings product is an argument that the data is more interesting than the answer, and it is usually wrong.</w:t>
      </w:r>
    </w:p>
    <w:p>
      <w:pPr>
        <w:pStyle w:val="Heading3"/>
      </w:pPr>
      <w:r>
        <w:rPr>
          <w:rFonts w:ascii="Calibri" w:hAnsi="Calibri"/>
          <w:b/>
          <w:i w:val="0"/>
          <w:color w:val="0B1F3A"/>
          <w:sz w:val="24"/>
        </w:rPr>
        <w:t>7.10.1 Permitted forms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Form</w:t>
            </w:r>
          </w:p>
        </w:tc>
        <w:tc>
          <w:tcPr>
            <w:tcW w:type="dxa" w:w="3226"/>
            <w:shd w:val="clear" w:color="auto" w:fill="0B1F3A"/>
            <w:tcMar>
              <w:top w:w="60" w:type="dxa"/>
              <w:start w:w="110" w:type="dxa"/>
              <w:bottom w:w="60" w:type="dxa"/>
              <w:end w:w="110" w:type="dxa"/>
            </w:tcMar>
          </w:tcPr>
          <w:p>
            <w:pPr>
              <w:spacing w:after="0"/>
            </w:pPr>
            <w:r/>
            <w:r>
              <w:rPr>
                <w:rFonts w:ascii="Calibri" w:hAnsi="Calibri"/>
                <w:b/>
                <w:i w:val="0"/>
                <w:color w:val="FFFFFF"/>
                <w:sz w:val="14"/>
              </w:rPr>
              <w:t>Used for</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Series limit</w:t>
            </w:r>
          </w:p>
        </w:tc>
        <w:tc>
          <w:tcPr>
            <w:tcW w:type="dxa" w:w="4925"/>
            <w:shd w:val="clear" w:color="auto" w:fill="0B1F3A"/>
            <w:tcMar>
              <w:top w:w="60" w:type="dxa"/>
              <w:start w:w="110" w:type="dxa"/>
              <w:bottom w:w="60" w:type="dxa"/>
              <w:end w:w="110" w:type="dxa"/>
            </w:tcMar>
          </w:tcPr>
          <w:p>
            <w:pPr>
              <w:spacing w:after="0"/>
            </w:pPr>
            <w:r/>
            <w:r>
              <w:rPr>
                <w:rFonts w:ascii="Calibri" w:hAnsi="Calibri"/>
                <w:b/>
                <w:i w:val="0"/>
                <w:color w:val="FFFFFF"/>
                <w:sz w:val="14"/>
              </w:rPr>
              <w:t>Rules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Progress bar</w:t>
            </w:r>
          </w:p>
        </w:tc>
        <w:tc>
          <w:tcPr>
            <w:tcW w:type="dxa" w:w="3226"/>
            <w:tcMar>
              <w:top w:w="60" w:type="dxa"/>
              <w:start w:w="110" w:type="dxa"/>
              <w:bottom w:w="60" w:type="dxa"/>
              <w:end w:w="110" w:type="dxa"/>
            </w:tcMar>
          </w:tcPr>
          <w:p>
            <w:pPr>
              <w:spacing w:after="0"/>
            </w:pPr>
            <w:r/>
            <w:r>
              <w:rPr>
                <w:rFonts w:ascii="Calibri" w:hAnsi="Calibri"/>
                <w:b w:val="0"/>
                <w:i w:val="0"/>
                <w:color w:val="101828"/>
                <w:sz w:val="14"/>
              </w:rPr>
              <w:t>Round funding progress on the Ajo card</w:t>
            </w:r>
          </w:p>
        </w:tc>
        <w:tc>
          <w:tcPr>
            <w:tcW w:type="dxa" w:w="605"/>
            <w:tcMar>
              <w:top w:w="60" w:type="dxa"/>
              <w:start w:w="110" w:type="dxa"/>
              <w:bottom w:w="60" w:type="dxa"/>
              <w:end w:w="110" w:type="dxa"/>
            </w:tcMar>
          </w:tcPr>
          <w:p>
            <w:pPr>
              <w:spacing w:after="0"/>
            </w:pPr>
            <w:r/>
            <w:r>
              <w:rPr>
                <w:rFonts w:ascii="Calibri" w:hAnsi="Calibri"/>
                <w:b w:val="0"/>
                <w:i w:val="0"/>
                <w:color w:val="101828"/>
                <w:sz w:val="14"/>
              </w:rPr>
              <w:t>1</w:t>
            </w:r>
          </w:p>
        </w:tc>
        <w:tc>
          <w:tcPr>
            <w:tcW w:type="dxa" w:w="4925"/>
            <w:tcMar>
              <w:top w:w="60" w:type="dxa"/>
              <w:start w:w="110" w:type="dxa"/>
              <w:bottom w:w="60" w:type="dxa"/>
              <w:end w:w="110" w:type="dxa"/>
            </w:tcMar>
          </w:tcPr>
          <w:p>
            <w:pPr>
              <w:spacing w:after="0"/>
            </w:pPr>
            <w:r/>
            <w:r>
              <w:rPr>
                <w:rFonts w:ascii="Calibri" w:hAnsi="Calibri"/>
                <w:b w:val="0"/>
                <w:i w:val="0"/>
                <w:color w:val="101828"/>
                <w:sz w:val="14"/>
              </w:rPr>
              <w:t>With a count beneath it. Never a percentage alone. Never a ring.</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Timeline</w:t>
            </w:r>
          </w:p>
        </w:tc>
        <w:tc>
          <w:tcPr>
            <w:tcW w:type="dxa" w:w="3226"/>
            <w:tcMar>
              <w:top w:w="60" w:type="dxa"/>
              <w:start w:w="110" w:type="dxa"/>
              <w:bottom w:w="60" w:type="dxa"/>
              <w:end w:w="110" w:type="dxa"/>
            </w:tcMar>
            <w:shd w:val="clear" w:color="auto" w:fill="F4F7FB"/>
          </w:tcPr>
          <w:p>
            <w:pPr>
              <w:spacing w:after="0"/>
            </w:pPr>
            <w:r/>
            <w:r>
              <w:rPr>
                <w:rFonts w:ascii="Calibri" w:hAnsi="Calibri"/>
                <w:b w:val="0"/>
                <w:i w:val="0"/>
                <w:color w:val="101828"/>
                <w:sz w:val="14"/>
              </w:rPr>
              <w:t>The ten rounds of an Ajo, current and payout marked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n/a</w:t>
            </w:r>
          </w:p>
        </w:tc>
        <w:tc>
          <w:tcPr>
            <w:tcW w:type="dxa" w:w="4925"/>
            <w:tcMar>
              <w:top w:w="60" w:type="dxa"/>
              <w:start w:w="110" w:type="dxa"/>
              <w:bottom w:w="60" w:type="dxa"/>
              <w:end w:w="110" w:type="dxa"/>
            </w:tcMar>
            <w:shd w:val="clear" w:color="auto" w:fill="F4F7FB"/>
          </w:tcPr>
          <w:p>
            <w:pPr>
              <w:spacing w:after="0"/>
            </w:pPr>
            <w:r/>
            <w:r>
              <w:rPr>
                <w:rFonts w:ascii="Calibri" w:hAnsi="Calibri"/>
                <w:b w:val="0"/>
                <w:i w:val="0"/>
                <w:color w:val="101828"/>
                <w:sz w:val="14"/>
              </w:rPr>
              <w:t>All ten rounds always shown, so the end is visible from round one.</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Sparkline</w:t>
            </w:r>
          </w:p>
        </w:tc>
        <w:tc>
          <w:tcPr>
            <w:tcW w:type="dxa" w:w="3226"/>
            <w:tcMar>
              <w:top w:w="60" w:type="dxa"/>
              <w:start w:w="110" w:type="dxa"/>
              <w:bottom w:w="60" w:type="dxa"/>
              <w:end w:w="110" w:type="dxa"/>
            </w:tcMar>
          </w:tcPr>
          <w:p>
            <w:pPr>
              <w:spacing w:after="0"/>
            </w:pPr>
            <w:r/>
            <w:r>
              <w:rPr>
                <w:rFonts w:ascii="Calibri" w:hAnsi="Calibri"/>
                <w:b w:val="0"/>
                <w:i w:val="0"/>
                <w:color w:val="101828"/>
                <w:sz w:val="14"/>
              </w:rPr>
              <w:t>Thirty-day balance trend in the Ajo summary, desktop only</w:t>
            </w:r>
          </w:p>
        </w:tc>
        <w:tc>
          <w:tcPr>
            <w:tcW w:type="dxa" w:w="605"/>
            <w:tcMar>
              <w:top w:w="60" w:type="dxa"/>
              <w:start w:w="110" w:type="dxa"/>
              <w:bottom w:w="60" w:type="dxa"/>
              <w:end w:w="110" w:type="dxa"/>
            </w:tcMar>
          </w:tcPr>
          <w:p>
            <w:pPr>
              <w:spacing w:after="0"/>
            </w:pPr>
            <w:r/>
            <w:r>
              <w:rPr>
                <w:rFonts w:ascii="Calibri" w:hAnsi="Calibri"/>
                <w:b w:val="0"/>
                <w:i w:val="0"/>
                <w:color w:val="101828"/>
                <w:sz w:val="14"/>
              </w:rPr>
              <w:t>1</w:t>
            </w:r>
          </w:p>
        </w:tc>
        <w:tc>
          <w:tcPr>
            <w:tcW w:type="dxa" w:w="4925"/>
            <w:tcMar>
              <w:top w:w="60" w:type="dxa"/>
              <w:start w:w="110" w:type="dxa"/>
              <w:bottom w:w="60" w:type="dxa"/>
              <w:end w:w="110" w:type="dxa"/>
            </w:tcMar>
          </w:tcPr>
          <w:p>
            <w:pPr>
              <w:spacing w:after="0"/>
            </w:pPr>
            <w:r/>
            <w:r>
              <w:rPr>
                <w:rFonts w:ascii="Calibri" w:hAnsi="Calibri"/>
                <w:b w:val="0"/>
                <w:i w:val="0"/>
                <w:color w:val="101828"/>
                <w:sz w:val="14"/>
              </w:rPr>
              <w:t>No axis, no labels, no tooltip. Decoration, and it is allowed to be, because the figures are present as text beside it.</w:t>
            </w:r>
          </w:p>
        </w:tc>
      </w:tr>
      <w:tr>
        <w:trPr>
          <w:cantSplit/>
        </w:trPr>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Stacked bar</w:t>
            </w:r>
          </w:p>
        </w:tc>
        <w:tc>
          <w:tcPr>
            <w:tcW w:type="dxa" w:w="3226"/>
            <w:tcMar>
              <w:top w:w="60" w:type="dxa"/>
              <w:start w:w="110" w:type="dxa"/>
              <w:bottom w:w="60" w:type="dxa"/>
              <w:end w:w="110" w:type="dxa"/>
            </w:tcMar>
            <w:shd w:val="clear" w:color="auto" w:fill="F4F7FB"/>
          </w:tcPr>
          <w:p>
            <w:pPr>
              <w:spacing w:after="0"/>
            </w:pPr>
            <w:r/>
            <w:r>
              <w:rPr>
                <w:rFonts w:ascii="Calibri" w:hAnsi="Calibri"/>
                <w:b w:val="0"/>
                <w:i w:val="0"/>
                <w:color w:val="101828"/>
                <w:sz w:val="14"/>
              </w:rPr>
              <w:t>Pool composition by round in the console, and member-count mix by risk band</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 to 4</w:t>
            </w:r>
          </w:p>
        </w:tc>
        <w:tc>
          <w:tcPr>
            <w:tcW w:type="dxa" w:w="4925"/>
            <w:tcMar>
              <w:top w:w="60" w:type="dxa"/>
              <w:start w:w="110" w:type="dxa"/>
              <w:bottom w:w="60" w:type="dxa"/>
              <w:end w:w="110" w:type="dxa"/>
            </w:tcMar>
            <w:shd w:val="clear" w:color="auto" w:fill="F4F7FB"/>
          </w:tcPr>
          <w:p>
            <w:pPr>
              <w:spacing w:after="0"/>
            </w:pPr>
            <w:r/>
            <w:r>
              <w:rPr>
                <w:rFonts w:ascii="Calibri" w:hAnsi="Calibri"/>
                <w:b w:val="0"/>
                <w:i w:val="0"/>
                <w:color w:val="101828"/>
                <w:sz w:val="14"/>
              </w:rPr>
              <w:t>Only where the parts sum to a meaningful whole, and only with direct labels.</w:t>
            </w:r>
          </w:p>
        </w:tc>
      </w:tr>
      <w:tr>
        <w:trPr>
          <w:cantSplit/>
        </w:trPr>
        <w:tc>
          <w:tcPr>
            <w:tcW w:type="dxa" w:w="605"/>
            <w:tcMar>
              <w:top w:w="60" w:type="dxa"/>
              <w:start w:w="110" w:type="dxa"/>
              <w:bottom w:w="60" w:type="dxa"/>
              <w:end w:w="110" w:type="dxa"/>
            </w:tcMar>
          </w:tcPr>
          <w:p>
            <w:pPr>
              <w:spacing w:after="0"/>
            </w:pPr>
            <w:r/>
            <w:r>
              <w:rPr>
                <w:rFonts w:ascii="Calibri" w:hAnsi="Calibri"/>
                <w:b w:val="0"/>
                <w:i w:val="0"/>
                <w:color w:val="101828"/>
                <w:sz w:val="14"/>
              </w:rPr>
              <w:t>Dot plot</w:t>
            </w:r>
          </w:p>
        </w:tc>
        <w:tc>
          <w:tcPr>
            <w:tcW w:type="dxa" w:w="3226"/>
            <w:tcMar>
              <w:top w:w="60" w:type="dxa"/>
              <w:start w:w="110" w:type="dxa"/>
              <w:bottom w:w="60" w:type="dxa"/>
              <w:end w:w="110" w:type="dxa"/>
            </w:tcMar>
          </w:tcPr>
          <w:p>
            <w:pPr>
              <w:spacing w:after="0"/>
            </w:pPr>
            <w:r/>
            <w:r>
              <w:rPr>
                <w:rFonts w:ascii="Calibri" w:hAnsi="Calibri"/>
                <w:b w:val="0"/>
                <w:i w:val="0"/>
                <w:color w:val="101828"/>
                <w:sz w:val="14"/>
              </w:rPr>
              <w:t>Payout timing spread across an Ajo's members, console only</w:t>
            </w:r>
          </w:p>
        </w:tc>
        <w:tc>
          <w:tcPr>
            <w:tcW w:type="dxa" w:w="605"/>
            <w:tcMar>
              <w:top w:w="60" w:type="dxa"/>
              <w:start w:w="110" w:type="dxa"/>
              <w:bottom w:w="60" w:type="dxa"/>
              <w:end w:w="110" w:type="dxa"/>
            </w:tcMar>
          </w:tcPr>
          <w:p>
            <w:pPr>
              <w:spacing w:after="0"/>
            </w:pPr>
            <w:r/>
            <w:r>
              <w:rPr>
                <w:rFonts w:ascii="Calibri" w:hAnsi="Calibri"/>
                <w:b w:val="0"/>
                <w:i w:val="0"/>
                <w:color w:val="101828"/>
                <w:sz w:val="14"/>
              </w:rPr>
              <w:t>1 series</w:t>
            </w:r>
          </w:p>
        </w:tc>
        <w:tc>
          <w:tcPr>
            <w:tcW w:type="dxa" w:w="4925"/>
            <w:tcMar>
              <w:top w:w="60" w:type="dxa"/>
              <w:start w:w="110" w:type="dxa"/>
              <w:bottom w:w="60" w:type="dxa"/>
              <w:end w:w="110" w:type="dxa"/>
            </w:tcMar>
          </w:tcPr>
          <w:p>
            <w:pPr>
              <w:spacing w:after="0"/>
            </w:pPr>
            <w:r/>
            <w:r>
              <w:rPr>
                <w:rFonts w:ascii="Calibri" w:hAnsi="Calibri"/>
                <w:b w:val="0"/>
                <w:i w:val="0"/>
                <w:color w:val="101828"/>
                <w:sz w:val="14"/>
              </w:rPr>
              <w:t>Preferred over a histogram; see 7.10.4.</w:t>
            </w:r>
          </w:p>
        </w:tc>
      </w:tr>
    </w:tbl>
    <w:p>
      <w:pPr>
        <w:spacing w:after="80"/>
      </w:pPr>
    </w:p>
    <w:p>
      <w:pPr>
        <w:pStyle w:val="Heading3"/>
      </w:pPr>
      <w:r>
        <w:rPr>
          <w:rFonts w:ascii="Calibri" w:hAnsi="Calibri"/>
          <w:b/>
          <w:i w:val="0"/>
          <w:color w:val="0B1F3A"/>
          <w:sz w:val="24"/>
        </w:rPr>
        <w:t>7.10.2 Prohibited forms</w:t>
      </w:r>
    </w:p>
    <w:p>
      <w:pPr>
        <w:pStyle w:val="ListBullet"/>
        <w:spacing w:after="60"/>
        <w:ind w:left="360"/>
      </w:pPr>
      <w:r>
        <w:rPr>
          <w:rFonts w:ascii="Calibri" w:hAnsi="Calibri"/>
          <w:b/>
          <w:color w:val="101828"/>
          <w:sz w:val="21"/>
        </w:rPr>
        <w:t>Pie and donut charts.</w:t>
      </w:r>
      <w:r>
        <w:rPr>
          <w:rFonts w:ascii="Calibri" w:hAnsi="Calibri"/>
          <w:b w:val="0"/>
          <w:i w:val="0"/>
          <w:color w:val="101828"/>
          <w:sz w:val="21"/>
        </w:rPr>
        <w:t xml:space="preserve"> A part-to-whole with more than two parts is read by angle, and angles are compared badly. A stacked bar with labels does the same job and survives a screen reader.</w:t>
      </w:r>
    </w:p>
    <w:p>
      <w:pPr>
        <w:pStyle w:val="ListBullet"/>
        <w:spacing w:after="60"/>
        <w:ind w:left="360"/>
      </w:pPr>
      <w:r>
        <w:rPr>
          <w:rFonts w:ascii="Calibri" w:hAnsi="Calibri"/>
          <w:b/>
          <w:color w:val="101828"/>
          <w:sz w:val="21"/>
        </w:rPr>
        <w:t>3D anything.</w:t>
      </w:r>
      <w:r>
        <w:rPr>
          <w:rFonts w:ascii="Calibri" w:hAnsi="Calibri"/>
          <w:b w:val="0"/>
          <w:i w:val="0"/>
          <w:color w:val="101828"/>
          <w:sz w:val="21"/>
        </w:rPr>
        <w:t xml:space="preserve"> Perspective changes apparent length, and the lengths are the data.</w:t>
      </w:r>
    </w:p>
    <w:p>
      <w:pPr>
        <w:pStyle w:val="ListBullet"/>
        <w:spacing w:after="60"/>
        <w:ind w:left="360"/>
      </w:pPr>
      <w:r>
        <w:rPr>
          <w:rFonts w:ascii="Calibri" w:hAnsi="Calibri"/>
          <w:b/>
          <w:color w:val="101828"/>
          <w:sz w:val="21"/>
        </w:rPr>
        <w:t>Dual-axis charts.</w:t>
      </w:r>
      <w:r>
        <w:rPr>
          <w:rFonts w:ascii="Calibri" w:hAnsi="Calibri"/>
          <w:b w:val="0"/>
          <w:i w:val="0"/>
          <w:color w:val="101828"/>
          <w:sz w:val="21"/>
        </w:rPr>
        <w:t xml:space="preserve"> Two scales on one frame let the author imply any correlation they like by choosing the ranges.</w:t>
      </w:r>
    </w:p>
    <w:p>
      <w:pPr>
        <w:pStyle w:val="ListBullet"/>
        <w:spacing w:after="60"/>
        <w:ind w:left="360"/>
      </w:pPr>
      <w:r>
        <w:rPr>
          <w:rFonts w:ascii="Calibri" w:hAnsi="Calibri"/>
          <w:b/>
          <w:color w:val="101828"/>
          <w:sz w:val="21"/>
        </w:rPr>
        <w:t>Line charts of individual member balances.</w:t>
      </w:r>
      <w:r>
        <w:rPr>
          <w:rFonts w:ascii="Calibri" w:hAnsi="Calibri"/>
          <w:b w:val="0"/>
          <w:i w:val="0"/>
          <w:color w:val="101828"/>
          <w:sz w:val="21"/>
        </w:rPr>
        <w:t xml:space="preserve"> A dip in a line is read as a loss, and a contribution is not a market. Money here only goes in and comes out, and a chart implies it moves on its own.</w:t>
      </w:r>
    </w:p>
    <w:p>
      <w:pPr>
        <w:pStyle w:val="ListBullet"/>
        <w:spacing w:after="60"/>
        <w:ind w:left="360"/>
      </w:pPr>
      <w:r>
        <w:rPr>
          <w:rFonts w:ascii="Calibri" w:hAnsi="Calibri"/>
          <w:b/>
          <w:color w:val="101828"/>
          <w:sz w:val="21"/>
        </w:rPr>
        <w:t>Word clouds, gauges, and speedometers.</w:t>
      </w:r>
      <w:r>
        <w:rPr>
          <w:rFonts w:ascii="Calibri" w:hAnsi="Calibri"/>
          <w:b w:val="0"/>
          <w:i w:val="0"/>
          <w:color w:val="101828"/>
          <w:sz w:val="21"/>
        </w:rPr>
        <w:t xml:space="preserve"> A gauge has one number in it and a lot of chrome. Use the number, at money size.</w:t>
      </w:r>
    </w:p>
    <w:p>
      <w:pPr>
        <w:pStyle w:val="ListBullet"/>
        <w:spacing w:after="60"/>
        <w:ind w:left="360"/>
      </w:pPr>
      <w:r>
        <w:rPr>
          <w:rFonts w:ascii="Calibri" w:hAnsi="Calibri"/>
          <w:b/>
          <w:color w:val="101828"/>
          <w:sz w:val="21"/>
        </w:rPr>
        <w:t>Any chart of a single value.</w:t>
      </w:r>
      <w:r>
        <w:rPr>
          <w:rFonts w:ascii="Calibri" w:hAnsi="Calibri"/>
          <w:b w:val="0"/>
          <w:i w:val="0"/>
          <w:color w:val="101828"/>
          <w:sz w:val="21"/>
        </w:rPr>
        <w:t xml:space="preserve"> One number is a figure, not a chart, and it is set in </w:t>
      </w:r>
      <w:r>
        <w:rPr>
          <w:rFonts w:ascii="Consolas" w:hAnsi="Consolas"/>
          <w:color w:val="146EF5"/>
          <w:sz w:val="21"/>
        </w:rPr>
        <w:t>money-lg</w:t>
      </w:r>
      <w:r>
        <w:rPr>
          <w:rFonts w:ascii="Calibri" w:hAnsi="Calibri"/>
          <w:b w:val="0"/>
          <w:i w:val="0"/>
          <w:color w:val="101828"/>
          <w:sz w:val="21"/>
        </w:rPr>
        <w:t>.</w:t>
      </w:r>
    </w:p>
    <w:p>
      <w:pPr>
        <w:pStyle w:val="Heading3"/>
      </w:pPr>
      <w:r>
        <w:rPr>
          <w:rFonts w:ascii="Calibri" w:hAnsi="Calibri"/>
          <w:b/>
          <w:i w:val="0"/>
          <w:color w:val="0B1F3A"/>
          <w:sz w:val="24"/>
        </w:rPr>
        <w:t>7.10.3 Series colour and order</w:t>
      </w:r>
    </w:p>
    <w:p>
      <w:r>
        <w:rPr>
          <w:rFonts w:ascii="Calibri" w:hAnsi="Calibri"/>
          <w:b w:val="0"/>
          <w:i w:val="0"/>
          <w:color w:val="101828"/>
          <w:sz w:val="21"/>
        </w:rPr>
        <w:t xml:space="preserve">The fixed palette contains exactly four colours that are allowed as series, and the order is fixed so that a reader learns the mapping once: </w:t>
      </w:r>
      <w:r>
        <w:rPr>
          <w:rFonts w:ascii="Calibri" w:hAnsi="Calibri"/>
          <w:b/>
          <w:color w:val="101828"/>
          <w:sz w:val="21"/>
        </w:rPr>
        <w:t>Primary for the subject of the chart, Cyan for the comparison, Gold for a total or a payout, and Cloud for remainder and empty track.</w:t>
      </w:r>
      <w:r>
        <w:rPr>
          <w:rFonts w:ascii="Calibri" w:hAnsi="Calibri"/>
          <w:b w:val="0"/>
          <w:i w:val="0"/>
          <w:color w:val="101828"/>
          <w:sz w:val="21"/>
        </w:rPr>
        <w:t xml:space="preserve"> Series are never coloured semantically, and Gold is never used for a series where a total is also present, because Gold means total in the money block and reusing it for a category breaks the mapping.</w:t>
      </w:r>
    </w:p>
    <w:p>
      <w:pPr>
        <w:pStyle w:val="Heading3"/>
      </w:pPr>
      <w:r>
        <w:rPr>
          <w:rFonts w:ascii="Calibri" w:hAnsi="Calibri"/>
          <w:b/>
          <w:i w:val="0"/>
          <w:color w:val="0B1F3A"/>
          <w:sz w:val="24"/>
        </w:rPr>
        <w:t>7.10.4 Distribution over histogram</w:t>
      </w:r>
    </w:p>
    <w:p>
      <w:r>
        <w:rPr>
          <w:rFonts w:ascii="Calibri" w:hAnsi="Calibri"/>
          <w:b w:val="0"/>
          <w:i w:val="0"/>
          <w:color w:val="101828"/>
          <w:sz w:val="21"/>
        </w:rPr>
        <w:t>Where a distribution is genuinely needed — the spread of payout timings in a console review, or the distribution of a risk score — it is drawn as a dot plot with a median rule, not as a histogram. A histogram's bin width is a choice the author makes, and in fraud and risk work the choice is where the disagreement hides. A dot plot with a stated median shows the same data and does not require the reader to accept a bin boundary.</w:t>
      </w:r>
    </w:p>
    <w:p>
      <w:pPr>
        <w:spacing w:before="0" w:after="0" w:line="240" w:lineRule="auto"/>
        <w:ind w:left="230"/>
        <w:shd w:val="clear" w:color="auto" w:fill="F7F9FC"/>
        <w:pBdr>
          <w:left w:val="single" w:sz="4" w:space="6" w:color="D0D5DD"/>
        </w:pBdr>
      </w:pPr>
      <w:r>
        <w:rPr>
          <w:rFonts w:ascii="Consolas" w:hAnsi="Consolas"/>
          <w:color w:val="0B1F3A"/>
          <w:sz w:val="16"/>
        </w:rPr>
        <w:t>Payout timing, days from round close to payout</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0 |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1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2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3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4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n = 10      median 1.4 d</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One mark per member. The median is the only annotation.</w:t>
      </w:r>
    </w:p>
    <w:p>
      <w:pPr>
        <w:pStyle w:val="Heading3"/>
      </w:pPr>
      <w:r>
        <w:rPr>
          <w:rFonts w:ascii="Calibri" w:hAnsi="Calibri"/>
          <w:b/>
          <w:i w:val="0"/>
          <w:color w:val="0B1F3A"/>
          <w:sz w:val="24"/>
        </w:rPr>
        <w:t>7.10.5 Every chart carries the same four things</w:t>
      </w:r>
    </w:p>
    <w:p>
      <w:pPr>
        <w:pStyle w:val="ListNumber"/>
        <w:spacing w:after="60"/>
        <w:ind w:left="432"/>
      </w:pPr>
      <w:r>
        <w:rPr>
          <w:rFonts w:ascii="Calibri" w:hAnsi="Calibri"/>
          <w:b/>
          <w:color w:val="101828"/>
          <w:sz w:val="21"/>
        </w:rPr>
        <w:t>A title that states the finding, not the metric.</w:t>
      </w:r>
      <w:r>
        <w:rPr>
          <w:rFonts w:ascii="Calibri" w:hAnsi="Calibri"/>
          <w:b w:val="0"/>
          <w:i w:val="0"/>
          <w:color w:val="101828"/>
          <w:sz w:val="21"/>
        </w:rPr>
        <w:t xml:space="preserve"> </w:t>
      </w:r>
      <w:r>
        <w:rPr>
          <w:rFonts w:ascii="Calibri" w:hAnsi="Calibri"/>
          <w:i/>
          <w:color w:val="101828"/>
          <w:sz w:val="21"/>
        </w:rPr>
        <w:t>Most payouts settle within two days</w:t>
      </w:r>
      <w:r>
        <w:rPr>
          <w:rFonts w:ascii="Calibri" w:hAnsi="Calibri"/>
          <w:b w:val="0"/>
          <w:i w:val="0"/>
          <w:color w:val="101828"/>
          <w:sz w:val="21"/>
        </w:rPr>
        <w:t xml:space="preserve"> and not </w:t>
      </w:r>
      <w:r>
        <w:rPr>
          <w:rFonts w:ascii="Calibri" w:hAnsi="Calibri"/>
          <w:i/>
          <w:color w:val="101828"/>
          <w:sz w:val="21"/>
        </w:rPr>
        <w:t>Payout timing</w:t>
      </w:r>
      <w:r>
        <w:rPr>
          <w:rFonts w:ascii="Calibri" w:hAnsi="Calibri"/>
          <w:b w:val="0"/>
          <w:i w:val="0"/>
          <w:color w:val="101828"/>
          <w:sz w:val="21"/>
        </w:rPr>
        <w:t>. If the chart does not support a finding, the chart should be a number.</w:t>
      </w:r>
    </w:p>
    <w:p>
      <w:pPr>
        <w:pStyle w:val="ListNumber"/>
        <w:spacing w:after="60"/>
        <w:ind w:left="432"/>
      </w:pPr>
      <w:r>
        <w:rPr>
          <w:rFonts w:ascii="Calibri" w:hAnsi="Calibri"/>
          <w:b/>
          <w:color w:val="101828"/>
          <w:sz w:val="21"/>
        </w:rPr>
        <w:t>An axis label with a unit, or an explicit statement that the axis is not to scale.</w:t>
      </w:r>
      <w:r>
        <w:rPr>
          <w:rFonts w:ascii="Calibri" w:hAnsi="Calibri"/>
          <w:b w:val="0"/>
          <w:i w:val="0"/>
          <w:color w:val="101828"/>
          <w:sz w:val="21"/>
        </w:rPr>
        <w:t xml:space="preserve"> </w:t>
      </w:r>
      <w:r>
        <w:rPr>
          <w:rFonts w:ascii="Calibri" w:hAnsi="Calibri"/>
          <w:i/>
          <w:color w:val="101828"/>
          <w:sz w:val="21"/>
        </w:rPr>
        <w:t>Days from round close</w:t>
      </w:r>
      <w:r>
        <w:rPr>
          <w:rFonts w:ascii="Calibri" w:hAnsi="Calibri"/>
          <w:b w:val="0"/>
          <w:i w:val="0"/>
          <w:color w:val="101828"/>
          <w:sz w:val="21"/>
        </w:rPr>
        <w:t xml:space="preserve">, and never a bare </w:t>
      </w:r>
      <w:r>
        <w:rPr>
          <w:rFonts w:ascii="Consolas" w:hAnsi="Consolas"/>
          <w:color w:val="146EF5"/>
          <w:sz w:val="21"/>
        </w:rPr>
        <w:t>0 5 10</w:t>
      </w:r>
      <w:r>
        <w:rPr>
          <w:rFonts w:ascii="Calibri" w:hAnsi="Calibri"/>
          <w:b w:val="0"/>
          <w:i w:val="0"/>
          <w:color w:val="101828"/>
          <w:sz w:val="21"/>
        </w:rPr>
        <w:t>.</w:t>
      </w:r>
    </w:p>
    <w:p>
      <w:pPr>
        <w:pStyle w:val="ListNumber"/>
        <w:spacing w:after="60"/>
        <w:ind w:left="432"/>
      </w:pPr>
      <w:r>
        <w:rPr>
          <w:rFonts w:ascii="Calibri" w:hAnsi="Calibri"/>
          <w:b/>
          <w:color w:val="101828"/>
          <w:sz w:val="21"/>
        </w:rPr>
        <w:t>Direct labels on the series.</w:t>
      </w:r>
      <w:r>
        <w:rPr>
          <w:rFonts w:ascii="Calibri" w:hAnsi="Calibri"/>
          <w:b w:val="0"/>
          <w:i w:val="0"/>
          <w:color w:val="101828"/>
          <w:sz w:val="21"/>
        </w:rPr>
        <w:t xml:space="preserve"> Not a legend. A legend is a lookup step, and on a 375 px screen the reader cannot hold the legend and the data at once.</w:t>
      </w:r>
    </w:p>
    <w:p>
      <w:pPr>
        <w:pStyle w:val="ListNumber"/>
        <w:spacing w:after="60"/>
        <w:ind w:left="432"/>
      </w:pPr>
      <w:r>
        <w:rPr>
          <w:rFonts w:ascii="Calibri" w:hAnsi="Calibri"/>
          <w:b/>
          <w:color w:val="101828"/>
          <w:sz w:val="21"/>
        </w:rPr>
        <w:t>The underlying figures, reachable.</w:t>
      </w:r>
      <w:r>
        <w:rPr>
          <w:rFonts w:ascii="Calibri" w:hAnsi="Calibri"/>
          <w:b w:val="0"/>
          <w:i w:val="0"/>
          <w:color w:val="101828"/>
          <w:sz w:val="21"/>
        </w:rPr>
        <w:t xml:space="preserve"> Every chart has a text alternative listing the values, and in the console every chart has a </w:t>
      </w:r>
      <w:r>
        <w:rPr>
          <w:rFonts w:ascii="Calibri" w:hAnsi="Calibri"/>
          <w:i/>
          <w:color w:val="101828"/>
          <w:sz w:val="21"/>
        </w:rPr>
        <w:t>Download CSV</w:t>
      </w:r>
      <w:r>
        <w:rPr>
          <w:rFonts w:ascii="Calibri" w:hAnsi="Calibri"/>
          <w:b w:val="0"/>
          <w:i w:val="0"/>
          <w:color w:val="101828"/>
          <w:sz w:val="21"/>
        </w:rPr>
        <w:t xml:space="preserve"> that uses the same permission as the underlying query.</w:t>
      </w:r>
    </w:p>
    <w:p>
      <w:pPr>
        <w:spacing w:before="140" w:after="180"/>
        <w:ind w:left="144"/>
        <w:shd w:val="clear" w:color="auto" w:fill="EDE9FE"/>
        <w:pBdr>
          <w:left w:val="single" w:sz="18" w:space="6" w:color="7C3AED"/>
        </w:pBdr>
      </w:pPr>
      <w:r>
        <w:rPr>
          <w:rFonts w:ascii="Calibri" w:hAnsi="Calibri"/>
          <w:b/>
          <w:color w:val="7C3AED"/>
          <w:sz w:val="19"/>
        </w:rPr>
        <w:t xml:space="preserve">No charting library is chosen at v1  </w:t>
      </w:r>
      <w:r>
        <w:rPr>
          <w:rFonts w:ascii="Calibri" w:hAnsi="Calibri"/>
          <w:b w:val="0"/>
          <w:i w:val="0"/>
          <w:color w:val="0B1F3A"/>
          <w:sz w:val="19"/>
        </w:rPr>
        <w:t>The forms permitted in 7.10.1 are all simple enough to draw directly in SVG, and the accessibility requirements in 7.10.5 — a text alternative with the actual values, direct labels, a stated median — are easier to satisfy without a library than to configure inside one. A library can be adopted later for the console's larger datasets; the constraint is that whatever renders a chart must be able to emit the text alternative, and that if it cannot, the chart is not shipped. This is recorded as an assumption because it constrains implementation and has not been reviewed by engineering.</w:t>
      </w:r>
    </w:p>
    <w:p>
      <w:r>
        <w:br w:type="page"/>
      </w:r>
    </w:p>
    <w:p>
      <w:pPr>
        <w:pStyle w:val="Heading2"/>
      </w:pPr>
      <w:r>
        <w:rPr>
          <w:rFonts w:ascii="Calibri" w:hAnsi="Calibri"/>
          <w:b/>
          <w:i w:val="0"/>
          <w:color w:val="146EF5"/>
          <w:sz w:val="29"/>
        </w:rPr>
        <w:t>7.11 Tables, lists, and empty states</w:t>
      </w:r>
    </w:p>
    <w:p>
      <w:pPr>
        <w:pStyle w:val="Heading3"/>
      </w:pPr>
      <w:r>
        <w:rPr>
          <w:rFonts w:ascii="Calibri" w:hAnsi="Calibri"/>
          <w:b/>
          <w:i w:val="0"/>
          <w:color w:val="0B1F3A"/>
          <w:sz w:val="24"/>
        </w:rPr>
        <w:t>7.11.1 Data tables</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691"/>
            <w:shd w:val="clear" w:color="auto" w:fill="0B1F3A"/>
            <w:tcMar>
              <w:top w:w="60" w:type="dxa"/>
              <w:start w:w="110" w:type="dxa"/>
              <w:bottom w:w="60" w:type="dxa"/>
              <w:end w:w="110" w:type="dxa"/>
            </w:tcMar>
          </w:tcPr>
          <w:p>
            <w:pPr>
              <w:spacing w:after="0"/>
            </w:pPr>
            <w:r/>
            <w:r>
              <w:rPr>
                <w:rFonts w:ascii="Calibri" w:hAnsi="Calibri"/>
                <w:b/>
                <w:i w:val="0"/>
                <w:color w:val="FFFFFF"/>
                <w:sz w:val="14"/>
              </w:rPr>
              <w:t>Rule</w:t>
            </w:r>
          </w:p>
        </w:tc>
        <w:tc>
          <w:tcPr>
            <w:tcW w:type="dxa" w:w="8669"/>
            <w:shd w:val="clear" w:color="auto" w:fill="0B1F3A"/>
            <w:tcMar>
              <w:top w:w="60" w:type="dxa"/>
              <w:start w:w="110" w:type="dxa"/>
              <w:bottom w:w="60" w:type="dxa"/>
              <w:end w:w="110" w:type="dxa"/>
            </w:tcMar>
          </w:tcPr>
          <w:p>
            <w:pPr>
              <w:spacing w:after="0"/>
            </w:pPr>
            <w:r/>
            <w:r>
              <w:rPr>
                <w:rFonts w:ascii="Calibri" w:hAnsi="Calibri"/>
                <w:b/>
                <w:i w:val="0"/>
                <w:color w:val="FFFFFF"/>
                <w:sz w:val="14"/>
              </w:rPr>
              <w:t>Detail</w:t>
            </w:r>
          </w:p>
        </w:tc>
      </w:tr>
      <w:tr>
        <w:trPr>
          <w:cantSplit/>
        </w:trPr>
        <w:tc>
          <w:tcPr>
            <w:tcW w:type="dxa" w:w="691"/>
            <w:tcMar>
              <w:top w:w="60" w:type="dxa"/>
              <w:start w:w="110" w:type="dxa"/>
              <w:bottom w:w="60" w:type="dxa"/>
              <w:end w:w="110" w:type="dxa"/>
            </w:tcMar>
          </w:tcPr>
          <w:p>
            <w:pPr>
              <w:spacing w:after="0"/>
            </w:pPr>
            <w:r/>
            <w:r>
              <w:rPr>
                <w:rFonts w:ascii="Calibri" w:hAnsi="Calibri"/>
                <w:b w:val="0"/>
                <w:i w:val="0"/>
                <w:color w:val="101828"/>
                <w:sz w:val="14"/>
              </w:rPr>
              <w:t>Column widths</w:t>
            </w:r>
          </w:p>
        </w:tc>
        <w:tc>
          <w:tcPr>
            <w:tcW w:type="dxa" w:w="8669"/>
            <w:tcMar>
              <w:top w:w="60" w:type="dxa"/>
              <w:start w:w="110" w:type="dxa"/>
              <w:bottom w:w="60" w:type="dxa"/>
              <w:end w:w="110" w:type="dxa"/>
            </w:tcMar>
          </w:tcPr>
          <w:p>
            <w:pPr>
              <w:spacing w:after="0"/>
            </w:pPr>
            <w:r/>
            <w:r>
              <w:rPr>
                <w:rFonts w:ascii="Calibri" w:hAnsi="Calibri"/>
                <w:b w:val="0"/>
                <w:i w:val="0"/>
                <w:color w:val="101828"/>
                <w:sz w:val="14"/>
              </w:rPr>
              <w:t xml:space="preserve">Content-driven, computed by the </w:t>
            </w:r>
            <w:r>
              <w:rPr>
                <w:rFonts w:ascii="Consolas" w:hAnsi="Consolas"/>
                <w:color w:val="146EF5"/>
                <w:sz w:val="14"/>
              </w:rPr>
              <w:t>table</w:t>
            </w:r>
            <w:r>
              <w:rPr>
                <w:rFonts w:ascii="Calibri" w:hAnsi="Calibri"/>
                <w:b w:val="0"/>
                <w:i w:val="0"/>
                <w:color w:val="101828"/>
                <w:sz w:val="14"/>
              </w:rPr>
              <w:t xml:space="preserve"> rule in the authoring tooling so that column widths always sum to the text measure. Never a hand-tuned 30/70 split.</w:t>
            </w:r>
          </w:p>
        </w:tc>
      </w:tr>
      <w:tr>
        <w:trPr>
          <w:cantSplit/>
        </w:trPr>
        <w:tc>
          <w:tcPr>
            <w:tcW w:type="dxa" w:w="691"/>
            <w:tcMar>
              <w:top w:w="60" w:type="dxa"/>
              <w:start w:w="110" w:type="dxa"/>
              <w:bottom w:w="60" w:type="dxa"/>
              <w:end w:w="110" w:type="dxa"/>
            </w:tcMar>
            <w:shd w:val="clear" w:color="auto" w:fill="F4F7FB"/>
          </w:tcPr>
          <w:p>
            <w:pPr>
              <w:spacing w:after="0"/>
            </w:pPr>
            <w:r/>
            <w:r>
              <w:rPr>
                <w:rFonts w:ascii="Calibri" w:hAnsi="Calibri"/>
                <w:b w:val="0"/>
                <w:i w:val="0"/>
                <w:color w:val="101828"/>
                <w:sz w:val="14"/>
              </w:rPr>
              <w:t>Header</w:t>
            </w:r>
          </w:p>
        </w:tc>
        <w:tc>
          <w:tcPr>
            <w:tcW w:type="dxa" w:w="8669"/>
            <w:tcMar>
              <w:top w:w="60" w:type="dxa"/>
              <w:start w:w="110" w:type="dxa"/>
              <w:bottom w:w="60" w:type="dxa"/>
              <w:end w:w="110" w:type="dxa"/>
            </w:tcMar>
            <w:shd w:val="clear" w:color="auto" w:fill="F4F7FB"/>
          </w:tcPr>
          <w:p>
            <w:pPr>
              <w:spacing w:after="0"/>
            </w:pPr>
            <w:r/>
            <w:r>
              <w:rPr>
                <w:rFonts w:ascii="Consolas" w:hAnsi="Consolas"/>
                <w:color w:val="146EF5"/>
                <w:sz w:val="14"/>
              </w:rPr>
              <w:t>label</w:t>
            </w:r>
            <w:r>
              <w:rPr>
                <w:rFonts w:ascii="Calibri" w:hAnsi="Calibri"/>
                <w:b w:val="0"/>
                <w:i w:val="0"/>
                <w:color w:val="101828"/>
                <w:sz w:val="14"/>
              </w:rPr>
              <w:t xml:space="preserve"> size, 500 weight, Dark, on a Cloud fill. The header row repeats on every page and every scroll container.</w:t>
            </w:r>
          </w:p>
        </w:tc>
      </w:tr>
      <w:tr>
        <w:trPr>
          <w:cantSplit/>
        </w:trPr>
        <w:tc>
          <w:tcPr>
            <w:tcW w:type="dxa" w:w="691"/>
            <w:tcMar>
              <w:top w:w="60" w:type="dxa"/>
              <w:start w:w="110" w:type="dxa"/>
              <w:bottom w:w="60" w:type="dxa"/>
              <w:end w:w="110" w:type="dxa"/>
            </w:tcMar>
          </w:tcPr>
          <w:p>
            <w:pPr>
              <w:spacing w:after="0"/>
            </w:pPr>
            <w:r/>
            <w:r>
              <w:rPr>
                <w:rFonts w:ascii="Calibri" w:hAnsi="Calibri"/>
                <w:b w:val="0"/>
                <w:i w:val="0"/>
                <w:color w:val="101828"/>
                <w:sz w:val="14"/>
              </w:rPr>
              <w:t>Numeric columns</w:t>
            </w:r>
          </w:p>
        </w:tc>
        <w:tc>
          <w:tcPr>
            <w:tcW w:type="dxa" w:w="8669"/>
            <w:tcMar>
              <w:top w:w="60" w:type="dxa"/>
              <w:start w:w="110" w:type="dxa"/>
              <w:bottom w:w="60" w:type="dxa"/>
              <w:end w:w="110" w:type="dxa"/>
            </w:tcMar>
          </w:tcPr>
          <w:p>
            <w:pPr>
              <w:spacing w:after="0"/>
            </w:pPr>
            <w:r/>
            <w:r>
              <w:rPr>
                <w:rFonts w:ascii="Calibri" w:hAnsi="Calibri"/>
                <w:b w:val="0"/>
                <w:i w:val="0"/>
                <w:color w:val="101828"/>
                <w:sz w:val="14"/>
              </w:rPr>
              <w:t>Right-aligned, tabular. Amounts right-align on the decimal, which is what tabular figures are for.</w:t>
            </w:r>
          </w:p>
        </w:tc>
      </w:tr>
      <w:tr>
        <w:trPr>
          <w:cantSplit/>
        </w:trPr>
        <w:tc>
          <w:tcPr>
            <w:tcW w:type="dxa" w:w="691"/>
            <w:tcMar>
              <w:top w:w="60" w:type="dxa"/>
              <w:start w:w="110" w:type="dxa"/>
              <w:bottom w:w="60" w:type="dxa"/>
              <w:end w:w="110" w:type="dxa"/>
            </w:tcMar>
            <w:shd w:val="clear" w:color="auto" w:fill="F4F7FB"/>
          </w:tcPr>
          <w:p>
            <w:pPr>
              <w:spacing w:after="0"/>
            </w:pPr>
            <w:r/>
            <w:r>
              <w:rPr>
                <w:rFonts w:ascii="Calibri" w:hAnsi="Calibri"/>
                <w:b w:val="0"/>
                <w:i w:val="0"/>
                <w:color w:val="101828"/>
                <w:sz w:val="14"/>
              </w:rPr>
              <w:t>Row height</w:t>
            </w:r>
          </w:p>
        </w:tc>
        <w:tc>
          <w:tcPr>
            <w:tcW w:type="dxa" w:w="8669"/>
            <w:tcMar>
              <w:top w:w="60" w:type="dxa"/>
              <w:start w:w="110" w:type="dxa"/>
              <w:bottom w:w="60" w:type="dxa"/>
              <w:end w:w="110" w:type="dxa"/>
            </w:tcMar>
            <w:shd w:val="clear" w:color="auto" w:fill="F4F7FB"/>
          </w:tcPr>
          <w:p>
            <w:pPr>
              <w:spacing w:after="0"/>
            </w:pPr>
            <w:r/>
            <w:r>
              <w:rPr>
                <w:rFonts w:ascii="Calibri" w:hAnsi="Calibri"/>
                <w:b w:val="0"/>
                <w:i w:val="0"/>
                <w:color w:val="101828"/>
                <w:sz w:val="14"/>
              </w:rPr>
              <w:t>48 px minimum, 56 px on touch. Rows are never denser than 48 px, and no row is a tap target that opens something destructive.</w:t>
            </w:r>
          </w:p>
        </w:tc>
      </w:tr>
      <w:tr>
        <w:trPr>
          <w:cantSplit/>
        </w:trPr>
        <w:tc>
          <w:tcPr>
            <w:tcW w:type="dxa" w:w="691"/>
            <w:tcMar>
              <w:top w:w="60" w:type="dxa"/>
              <w:start w:w="110" w:type="dxa"/>
              <w:bottom w:w="60" w:type="dxa"/>
              <w:end w:w="110" w:type="dxa"/>
            </w:tcMar>
          </w:tcPr>
          <w:p>
            <w:pPr>
              <w:spacing w:after="0"/>
            </w:pPr>
            <w:r/>
            <w:r>
              <w:rPr>
                <w:rFonts w:ascii="Calibri" w:hAnsi="Calibri"/>
                <w:b w:val="0"/>
                <w:i w:val="0"/>
                <w:color w:val="101828"/>
                <w:sz w:val="14"/>
              </w:rPr>
              <w:t>Zebra</w:t>
            </w:r>
          </w:p>
        </w:tc>
        <w:tc>
          <w:tcPr>
            <w:tcW w:type="dxa" w:w="8669"/>
            <w:tcMar>
              <w:top w:w="60" w:type="dxa"/>
              <w:start w:w="110" w:type="dxa"/>
              <w:bottom w:w="60" w:type="dxa"/>
              <w:end w:w="110" w:type="dxa"/>
            </w:tcMar>
          </w:tcPr>
          <w:p>
            <w:pPr>
              <w:spacing w:after="0"/>
            </w:pPr>
            <w:r/>
            <w:r>
              <w:rPr>
                <w:rFonts w:ascii="Calibri" w:hAnsi="Calibri"/>
                <w:b w:val="0"/>
                <w:i w:val="0"/>
                <w:color w:val="101828"/>
                <w:sz w:val="14"/>
              </w:rPr>
              <w:t>Every other row on Cloud #F9FBFD, one step lighter than the page. Not the full Cloud, which reads as a selected row.</w:t>
            </w:r>
          </w:p>
        </w:tc>
      </w:tr>
      <w:tr>
        <w:trPr>
          <w:cantSplit/>
        </w:trPr>
        <w:tc>
          <w:tcPr>
            <w:tcW w:type="dxa" w:w="691"/>
            <w:tcMar>
              <w:top w:w="60" w:type="dxa"/>
              <w:start w:w="110" w:type="dxa"/>
              <w:bottom w:w="60" w:type="dxa"/>
              <w:end w:w="110" w:type="dxa"/>
            </w:tcMar>
            <w:shd w:val="clear" w:color="auto" w:fill="F4F7FB"/>
          </w:tcPr>
          <w:p>
            <w:pPr>
              <w:spacing w:after="0"/>
            </w:pPr>
            <w:r/>
            <w:r>
              <w:rPr>
                <w:rFonts w:ascii="Calibri" w:hAnsi="Calibri"/>
                <w:b w:val="0"/>
                <w:i w:val="0"/>
                <w:color w:val="101828"/>
                <w:sz w:val="14"/>
              </w:rPr>
              <w:t>Sort</w:t>
            </w:r>
          </w:p>
        </w:tc>
        <w:tc>
          <w:tcPr>
            <w:tcW w:type="dxa" w:w="8669"/>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Header click, with a caret and a visually hidden </w:t>
            </w:r>
            <w:r>
              <w:rPr>
                <w:rFonts w:ascii="Consolas" w:hAnsi="Consolas"/>
                <w:color w:val="146EF5"/>
                <w:sz w:val="14"/>
              </w:rPr>
              <w:t>Sorted ascending</w:t>
            </w:r>
            <w:r>
              <w:rPr>
                <w:rFonts w:ascii="Calibri" w:hAnsi="Calibri"/>
                <w:b w:val="0"/>
                <w:i w:val="0"/>
                <w:color w:val="101828"/>
                <w:sz w:val="14"/>
              </w:rPr>
              <w:t>. Server-side only; a client-side sort of a partial page is a lie about the data.</w:t>
            </w:r>
          </w:p>
        </w:tc>
      </w:tr>
      <w:tr>
        <w:trPr>
          <w:cantSplit/>
        </w:trPr>
        <w:tc>
          <w:tcPr>
            <w:tcW w:type="dxa" w:w="691"/>
            <w:tcMar>
              <w:top w:w="60" w:type="dxa"/>
              <w:start w:w="110" w:type="dxa"/>
              <w:bottom w:w="60" w:type="dxa"/>
              <w:end w:w="110" w:type="dxa"/>
            </w:tcMar>
          </w:tcPr>
          <w:p>
            <w:pPr>
              <w:spacing w:after="0"/>
            </w:pPr>
            <w:r/>
            <w:r>
              <w:rPr>
                <w:rFonts w:ascii="Calibri" w:hAnsi="Calibri"/>
                <w:b w:val="0"/>
                <w:i w:val="0"/>
                <w:color w:val="101828"/>
                <w:sz w:val="14"/>
              </w:rPr>
              <w:t>Pagination</w:t>
            </w:r>
          </w:p>
        </w:tc>
        <w:tc>
          <w:tcPr>
            <w:tcW w:type="dxa" w:w="8669"/>
            <w:tcMar>
              <w:top w:w="60" w:type="dxa"/>
              <w:start w:w="110" w:type="dxa"/>
              <w:bottom w:w="60" w:type="dxa"/>
              <w:end w:w="110" w:type="dxa"/>
            </w:tcMar>
          </w:tcPr>
          <w:p>
            <w:pPr>
              <w:spacing w:after="0"/>
            </w:pPr>
            <w:r/>
            <w:r>
              <w:rPr>
                <w:rFonts w:ascii="Calibri" w:hAnsi="Calibri"/>
                <w:b w:val="0"/>
                <w:i w:val="0"/>
                <w:color w:val="101828"/>
                <w:sz w:val="14"/>
              </w:rPr>
              <w:t xml:space="preserve">30 rows on mobile, 50 on desktop, with the total count stated: </w:t>
            </w:r>
            <w:r>
              <w:rPr>
                <w:rFonts w:ascii="Calibri" w:hAnsi="Calibri"/>
                <w:i/>
                <w:color w:val="101828"/>
                <w:sz w:val="14"/>
              </w:rPr>
              <w:t>Showing 1 to 30 of 214</w:t>
            </w:r>
            <w:r>
              <w:rPr>
                <w:rFonts w:ascii="Calibri" w:hAnsi="Calibri"/>
                <w:b w:val="0"/>
                <w:i w:val="0"/>
                <w:color w:val="101828"/>
                <w:sz w:val="14"/>
              </w:rPr>
              <w:t>. Never an infinite scroll on a financial table, because a person needs to know where the list ends.</w:t>
            </w:r>
          </w:p>
        </w:tc>
      </w:tr>
      <w:tr>
        <w:trPr>
          <w:cantSplit/>
        </w:trPr>
        <w:tc>
          <w:tcPr>
            <w:tcW w:type="dxa" w:w="691"/>
            <w:tcMar>
              <w:top w:w="60" w:type="dxa"/>
              <w:start w:w="110" w:type="dxa"/>
              <w:bottom w:w="60" w:type="dxa"/>
              <w:end w:w="110" w:type="dxa"/>
            </w:tcMar>
            <w:shd w:val="clear" w:color="auto" w:fill="F4F7FB"/>
          </w:tcPr>
          <w:p>
            <w:pPr>
              <w:spacing w:after="0"/>
            </w:pPr>
            <w:r/>
            <w:r>
              <w:rPr>
                <w:rFonts w:ascii="Calibri" w:hAnsi="Calibri"/>
                <w:b w:val="0"/>
                <w:i w:val="0"/>
                <w:color w:val="101828"/>
                <w:sz w:val="14"/>
              </w:rPr>
              <w:t>Selection</w:t>
            </w:r>
          </w:p>
        </w:tc>
        <w:tc>
          <w:tcPr>
            <w:tcW w:type="dxa" w:w="8669"/>
            <w:tcMar>
              <w:top w:w="60" w:type="dxa"/>
              <w:start w:w="110" w:type="dxa"/>
              <w:bottom w:w="60" w:type="dxa"/>
              <w:end w:w="110" w:type="dxa"/>
            </w:tcMar>
            <w:shd w:val="clear" w:color="auto" w:fill="F4F7FB"/>
          </w:tcPr>
          <w:p>
            <w:pPr>
              <w:spacing w:after="0"/>
            </w:pPr>
            <w:r/>
            <w:r>
              <w:rPr>
                <w:rFonts w:ascii="Calibri" w:hAnsi="Calibri"/>
                <w:b w:val="0"/>
                <w:i w:val="0"/>
                <w:color w:val="101828"/>
                <w:sz w:val="14"/>
              </w:rPr>
              <w:t>Checkboxes for bulk actions only, and a destructive bulk action always uses the confirmation sheet of 7.7.2.</w:t>
            </w:r>
          </w:p>
        </w:tc>
      </w:tr>
    </w:tbl>
    <w:p>
      <w:pPr>
        <w:spacing w:after="80"/>
      </w:pPr>
    </w:p>
    <w:p>
      <w:pPr>
        <w:pStyle w:val="Heading3"/>
      </w:pPr>
      <w:r>
        <w:rPr>
          <w:rFonts w:ascii="Calibri" w:hAnsi="Calibri"/>
          <w:b/>
          <w:i w:val="0"/>
          <w:color w:val="0B1F3A"/>
          <w:sz w:val="24"/>
        </w:rPr>
        <w:t>7.11.2 Lists</w:t>
      </w:r>
    </w:p>
    <w:p>
      <w:r>
        <w:rPr>
          <w:rFonts w:ascii="Calibri" w:hAnsi="Calibri"/>
          <w:b w:val="0"/>
          <w:i w:val="0"/>
          <w:color w:val="101828"/>
          <w:sz w:val="21"/>
        </w:rPr>
        <w:t xml:space="preserve">A list row is 64 px on mobile and 56 px on desktop, with a 48 px tap target regardless. A row carries, left to right: a leading element if the thing has an identity, a title, one supporting line, a trailing value or status, and a chevron if the row navigates. </w:t>
      </w:r>
      <w:r>
        <w:rPr>
          <w:rFonts w:ascii="Calibri" w:hAnsi="Calibri"/>
          <w:b/>
          <w:color w:val="101828"/>
          <w:sz w:val="21"/>
        </w:rPr>
        <w:t>A row never has a chevron unless it navigates</w:t>
      </w:r>
      <w:r>
        <w:rPr>
          <w:rFonts w:ascii="Calibri" w:hAnsi="Calibri"/>
          <w:b w:val="0"/>
          <w:i w:val="0"/>
          <w:color w:val="101828"/>
          <w:sz w:val="21"/>
        </w:rPr>
        <w:t>, because a chevron on a tappable row that opens a sheet teaches people that the interface is guessing, and it is a WCAG 2.2 AA problem under 2.4.11 Focus Not Obscured when the destination is a sheet that covers the row.</w:t>
      </w:r>
    </w:p>
    <w:p>
      <w:pPr>
        <w:pStyle w:val="Heading3"/>
      </w:pPr>
      <w:r>
        <w:rPr>
          <w:rFonts w:ascii="Calibri" w:hAnsi="Calibri"/>
          <w:b/>
          <w:i w:val="0"/>
          <w:color w:val="0B1F3A"/>
          <w:sz w:val="24"/>
        </w:rPr>
        <w:t>7.11.3 Empty states</w:t>
      </w:r>
    </w:p>
    <w:p>
      <w:r>
        <w:rPr>
          <w:rFonts w:ascii="Calibri" w:hAnsi="Calibri"/>
          <w:b w:val="0"/>
          <w:i w:val="0"/>
          <w:color w:val="101828"/>
          <w:sz w:val="21"/>
        </w:rPr>
        <w:t>Every list in the product has an empty state, and none of them is a picture. An empty state is three things in order: a plain statement of what is empty, a sentence on why it is empty, and the action that fills it. Where there is no action, the state says so rather than inviting one.</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922"/>
            <w:shd w:val="clear" w:color="auto" w:fill="0B1F3A"/>
            <w:tcMar>
              <w:top w:w="60" w:type="dxa"/>
              <w:start w:w="110" w:type="dxa"/>
              <w:bottom w:w="60" w:type="dxa"/>
              <w:end w:w="110" w:type="dxa"/>
            </w:tcMar>
          </w:tcPr>
          <w:p>
            <w:pPr>
              <w:spacing w:after="0"/>
            </w:pPr>
            <w:r/>
            <w:r>
              <w:rPr>
                <w:rFonts w:ascii="Calibri" w:hAnsi="Calibri"/>
                <w:b/>
                <w:i w:val="0"/>
                <w:color w:val="FFFFFF"/>
                <w:sz w:val="14"/>
              </w:rPr>
              <w:t>State</w:t>
            </w:r>
          </w:p>
        </w:tc>
        <w:tc>
          <w:tcPr>
            <w:tcW w:type="dxa" w:w="1742"/>
            <w:shd w:val="clear" w:color="auto" w:fill="0B1F3A"/>
            <w:tcMar>
              <w:top w:w="60" w:type="dxa"/>
              <w:start w:w="110" w:type="dxa"/>
              <w:bottom w:w="60" w:type="dxa"/>
              <w:end w:w="110" w:type="dxa"/>
            </w:tcMar>
          </w:tcPr>
          <w:p>
            <w:pPr>
              <w:spacing w:after="0"/>
            </w:pPr>
            <w:r/>
            <w:r>
              <w:rPr>
                <w:rFonts w:ascii="Calibri" w:hAnsi="Calibri"/>
                <w:b/>
                <w:i w:val="0"/>
                <w:color w:val="FFFFFF"/>
                <w:sz w:val="14"/>
              </w:rPr>
              <w:t>Statement</w:t>
            </w:r>
          </w:p>
        </w:tc>
        <w:tc>
          <w:tcPr>
            <w:tcW w:type="dxa" w:w="3859"/>
            <w:shd w:val="clear" w:color="auto" w:fill="0B1F3A"/>
            <w:tcMar>
              <w:top w:w="60" w:type="dxa"/>
              <w:start w:w="110" w:type="dxa"/>
              <w:bottom w:w="60" w:type="dxa"/>
              <w:end w:w="110" w:type="dxa"/>
            </w:tcMar>
          </w:tcPr>
          <w:p>
            <w:pPr>
              <w:spacing w:after="0"/>
            </w:pPr>
            <w:r/>
            <w:r>
              <w:rPr>
                <w:rFonts w:ascii="Calibri" w:hAnsi="Calibri"/>
                <w:b/>
                <w:i w:val="0"/>
                <w:color w:val="FFFFFF"/>
                <w:sz w:val="14"/>
              </w:rPr>
              <w:t>Why</w:t>
            </w:r>
          </w:p>
        </w:tc>
        <w:tc>
          <w:tcPr>
            <w:tcW w:type="dxa" w:w="2837"/>
            <w:shd w:val="clear" w:color="auto" w:fill="0B1F3A"/>
            <w:tcMar>
              <w:top w:w="60" w:type="dxa"/>
              <w:start w:w="110" w:type="dxa"/>
              <w:bottom w:w="60" w:type="dxa"/>
              <w:end w:w="110" w:type="dxa"/>
            </w:tcMar>
          </w:tcPr>
          <w:p>
            <w:pPr>
              <w:spacing w:after="0"/>
            </w:pPr>
            <w:r/>
            <w:r>
              <w:rPr>
                <w:rFonts w:ascii="Calibri" w:hAnsi="Calibri"/>
                <w:b/>
                <w:i w:val="0"/>
                <w:color w:val="FFFFFF"/>
                <w:sz w:val="14"/>
              </w:rPr>
              <w:t>Action</w:t>
            </w:r>
          </w:p>
        </w:tc>
      </w:tr>
      <w:tr>
        <w:trPr>
          <w:cantSplit/>
        </w:trPr>
        <w:tc>
          <w:tcPr>
            <w:tcW w:type="dxa" w:w="922"/>
            <w:tcMar>
              <w:top w:w="60" w:type="dxa"/>
              <w:start w:w="110" w:type="dxa"/>
              <w:bottom w:w="60" w:type="dxa"/>
              <w:end w:w="110" w:type="dxa"/>
            </w:tcMar>
          </w:tcPr>
          <w:p>
            <w:pPr>
              <w:spacing w:after="0"/>
            </w:pPr>
            <w:r/>
            <w:r>
              <w:rPr>
                <w:rFonts w:ascii="Calibri" w:hAnsi="Calibri"/>
                <w:b w:val="0"/>
                <w:i w:val="0"/>
                <w:color w:val="101828"/>
                <w:sz w:val="14"/>
              </w:rPr>
              <w:t>No Ajos</w:t>
            </w:r>
          </w:p>
        </w:tc>
        <w:tc>
          <w:tcPr>
            <w:tcW w:type="dxa" w:w="1742"/>
            <w:tcMar>
              <w:top w:w="60" w:type="dxa"/>
              <w:start w:w="110" w:type="dxa"/>
              <w:bottom w:w="60" w:type="dxa"/>
              <w:end w:w="110" w:type="dxa"/>
            </w:tcMar>
          </w:tcPr>
          <w:p>
            <w:pPr>
              <w:spacing w:after="0"/>
            </w:pPr>
            <w:r/>
            <w:r>
              <w:rPr>
                <w:rFonts w:ascii="Calibri" w:hAnsi="Calibri"/>
                <w:i/>
                <w:color w:val="101828"/>
                <w:sz w:val="14"/>
              </w:rPr>
              <w:t>You are not in an Ajo yet</w:t>
            </w:r>
          </w:p>
        </w:tc>
        <w:tc>
          <w:tcPr>
            <w:tcW w:type="dxa" w:w="3859"/>
            <w:tcMar>
              <w:top w:w="60" w:type="dxa"/>
              <w:start w:w="110" w:type="dxa"/>
              <w:bottom w:w="60" w:type="dxa"/>
              <w:end w:w="110" w:type="dxa"/>
            </w:tcMar>
          </w:tcPr>
          <w:p>
            <w:pPr>
              <w:spacing w:after="0"/>
            </w:pPr>
            <w:r/>
            <w:r>
              <w:rPr>
                <w:rFonts w:ascii="Calibri" w:hAnsi="Calibri"/>
                <w:b w:val="0"/>
                <w:i w:val="0"/>
                <w:color w:val="101828"/>
                <w:sz w:val="14"/>
              </w:rPr>
              <w:t>An Ajo needs ten people and yours has not been created.</w:t>
            </w:r>
          </w:p>
        </w:tc>
        <w:tc>
          <w:tcPr>
            <w:tcW w:type="dxa" w:w="2837"/>
            <w:tcMar>
              <w:top w:w="60" w:type="dxa"/>
              <w:start w:w="110" w:type="dxa"/>
              <w:bottom w:w="60" w:type="dxa"/>
              <w:end w:w="110" w:type="dxa"/>
            </w:tcMar>
          </w:tcPr>
          <w:p>
            <w:pPr>
              <w:spacing w:after="0"/>
            </w:pPr>
            <w:r/>
            <w:r>
              <w:rPr>
                <w:rFonts w:ascii="Calibri" w:hAnsi="Calibri"/>
                <w:i/>
                <w:color w:val="101828"/>
                <w:sz w:val="14"/>
              </w:rPr>
              <w:t>Create an Ajo</w:t>
            </w:r>
            <w:r>
              <w:rPr>
                <w:rFonts w:ascii="Calibri" w:hAnsi="Calibri"/>
                <w:b w:val="0"/>
                <w:i w:val="0"/>
                <w:color w:val="101828"/>
                <w:sz w:val="14"/>
              </w:rPr>
              <w:t xml:space="preserve"> and </w:t>
            </w:r>
            <w:r>
              <w:rPr>
                <w:rFonts w:ascii="Calibri" w:hAnsi="Calibri"/>
                <w:i/>
                <w:color w:val="101828"/>
                <w:sz w:val="14"/>
              </w:rPr>
              <w:t>Join with a code</w:t>
            </w:r>
          </w:p>
        </w:tc>
      </w:tr>
      <w:tr>
        <w:trPr>
          <w:cantSplit/>
        </w:trPr>
        <w:tc>
          <w:tcPr>
            <w:tcW w:type="dxa" w:w="922"/>
            <w:tcMar>
              <w:top w:w="60" w:type="dxa"/>
              <w:start w:w="110" w:type="dxa"/>
              <w:bottom w:w="60" w:type="dxa"/>
              <w:end w:w="110" w:type="dxa"/>
            </w:tcMar>
            <w:shd w:val="clear" w:color="auto" w:fill="F4F7FB"/>
          </w:tcPr>
          <w:p>
            <w:pPr>
              <w:spacing w:after="0"/>
            </w:pPr>
            <w:r/>
            <w:r>
              <w:rPr>
                <w:rFonts w:ascii="Calibri" w:hAnsi="Calibri"/>
                <w:b w:val="0"/>
                <w:i w:val="0"/>
                <w:color w:val="101828"/>
                <w:sz w:val="14"/>
              </w:rPr>
              <w:t>Empty activity</w:t>
            </w:r>
          </w:p>
        </w:tc>
        <w:tc>
          <w:tcPr>
            <w:tcW w:type="dxa" w:w="1742"/>
            <w:tcMar>
              <w:top w:w="60" w:type="dxa"/>
              <w:start w:w="110" w:type="dxa"/>
              <w:bottom w:w="60" w:type="dxa"/>
              <w:end w:w="110" w:type="dxa"/>
            </w:tcMar>
            <w:shd w:val="clear" w:color="auto" w:fill="F4F7FB"/>
          </w:tcPr>
          <w:p>
            <w:pPr>
              <w:spacing w:after="0"/>
            </w:pPr>
            <w:r/>
            <w:r>
              <w:rPr>
                <w:rFonts w:ascii="Calibri" w:hAnsi="Calibri"/>
                <w:i/>
                <w:color w:val="101828"/>
                <w:sz w:val="14"/>
              </w:rPr>
              <w:t>No payments yet</w:t>
            </w:r>
          </w:p>
        </w:tc>
        <w:tc>
          <w:tcPr>
            <w:tcW w:type="dxa" w:w="3859"/>
            <w:tcMar>
              <w:top w:w="60" w:type="dxa"/>
              <w:start w:w="110" w:type="dxa"/>
              <w:bottom w:w="60" w:type="dxa"/>
              <w:end w:w="110" w:type="dxa"/>
            </w:tcMar>
            <w:shd w:val="clear" w:color="auto" w:fill="F4F7FB"/>
          </w:tcPr>
          <w:p>
            <w:pPr>
              <w:spacing w:after="0"/>
            </w:pPr>
            <w:r/>
            <w:r>
              <w:rPr>
                <w:rFonts w:ascii="Calibri" w:hAnsi="Calibri"/>
                <w:b w:val="0"/>
                <w:i w:val="0"/>
                <w:color w:val="101828"/>
                <w:sz w:val="14"/>
              </w:rPr>
              <w:t>Activity appears when a contribution or payout is recorded.</w:t>
            </w:r>
          </w:p>
        </w:tc>
        <w:tc>
          <w:tcPr>
            <w:tcW w:type="dxa" w:w="2837"/>
            <w:tcMar>
              <w:top w:w="60" w:type="dxa"/>
              <w:start w:w="110" w:type="dxa"/>
              <w:bottom w:w="60" w:type="dxa"/>
              <w:end w:w="110" w:type="dxa"/>
            </w:tcMar>
            <w:shd w:val="clear" w:color="auto" w:fill="F4F7FB"/>
          </w:tcPr>
          <w:p>
            <w:pPr>
              <w:spacing w:after="0"/>
            </w:pPr>
            <w:r/>
            <w:r>
              <w:rPr>
                <w:rFonts w:ascii="Calibri" w:hAnsi="Calibri"/>
                <w:b w:val="0"/>
                <w:i w:val="0"/>
                <w:color w:val="101828"/>
                <w:sz w:val="14"/>
              </w:rPr>
              <w:t>None. This is not a problem to solve.</w:t>
            </w:r>
          </w:p>
        </w:tc>
      </w:tr>
      <w:tr>
        <w:trPr>
          <w:cantSplit/>
        </w:trPr>
        <w:tc>
          <w:tcPr>
            <w:tcW w:type="dxa" w:w="922"/>
            <w:tcMar>
              <w:top w:w="60" w:type="dxa"/>
              <w:start w:w="110" w:type="dxa"/>
              <w:bottom w:w="60" w:type="dxa"/>
              <w:end w:w="110" w:type="dxa"/>
            </w:tcMar>
          </w:tcPr>
          <w:p>
            <w:pPr>
              <w:spacing w:after="0"/>
            </w:pPr>
            <w:r/>
            <w:r>
              <w:rPr>
                <w:rFonts w:ascii="Calibri" w:hAnsi="Calibri"/>
                <w:b w:val="0"/>
                <w:i w:val="0"/>
                <w:color w:val="101828"/>
                <w:sz w:val="14"/>
              </w:rPr>
              <w:t>Empty schedule</w:t>
            </w:r>
          </w:p>
        </w:tc>
        <w:tc>
          <w:tcPr>
            <w:tcW w:type="dxa" w:w="1742"/>
            <w:tcMar>
              <w:top w:w="60" w:type="dxa"/>
              <w:start w:w="110" w:type="dxa"/>
              <w:bottom w:w="60" w:type="dxa"/>
              <w:end w:w="110" w:type="dxa"/>
            </w:tcMar>
          </w:tcPr>
          <w:p>
            <w:pPr>
              <w:spacing w:after="0"/>
            </w:pPr>
            <w:r/>
            <w:r>
              <w:rPr>
                <w:rFonts w:ascii="Calibri" w:hAnsi="Calibri"/>
                <w:i/>
                <w:color w:val="101828"/>
                <w:sz w:val="14"/>
              </w:rPr>
              <w:t>No schedule yet</w:t>
            </w:r>
          </w:p>
        </w:tc>
        <w:tc>
          <w:tcPr>
            <w:tcW w:type="dxa" w:w="3859"/>
            <w:tcMar>
              <w:top w:w="60" w:type="dxa"/>
              <w:start w:w="110" w:type="dxa"/>
              <w:bottom w:w="60" w:type="dxa"/>
              <w:end w:w="110" w:type="dxa"/>
            </w:tcMar>
          </w:tcPr>
          <w:p>
            <w:pPr>
              <w:spacing w:after="0"/>
            </w:pPr>
            <w:r/>
            <w:r>
              <w:rPr>
                <w:rFonts w:ascii="Calibri" w:hAnsi="Calibri"/>
                <w:b w:val="0"/>
                <w:i w:val="0"/>
                <w:color w:val="101828"/>
                <w:sz w:val="14"/>
              </w:rPr>
              <w:t>A schedule is created when the organizer sets frequency and start date.</w:t>
            </w:r>
          </w:p>
        </w:tc>
        <w:tc>
          <w:tcPr>
            <w:tcW w:type="dxa" w:w="2837"/>
            <w:tcMar>
              <w:top w:w="60" w:type="dxa"/>
              <w:start w:w="110" w:type="dxa"/>
              <w:bottom w:w="60" w:type="dxa"/>
              <w:end w:w="110" w:type="dxa"/>
            </w:tcMar>
          </w:tcPr>
          <w:p>
            <w:pPr>
              <w:spacing w:after="0"/>
            </w:pPr>
            <w:r/>
            <w:r>
              <w:rPr>
                <w:rFonts w:ascii="Calibri" w:hAnsi="Calibri"/>
                <w:i/>
                <w:color w:val="101828"/>
                <w:sz w:val="14"/>
              </w:rPr>
              <w:t>Set the schedule</w:t>
            </w:r>
            <w:r>
              <w:rPr>
                <w:rFonts w:ascii="Calibri" w:hAnsi="Calibri"/>
                <w:b w:val="0"/>
                <w:i w:val="0"/>
                <w:color w:val="101828"/>
                <w:sz w:val="14"/>
              </w:rPr>
              <w:t xml:space="preserve"> — organizer only</w:t>
            </w:r>
          </w:p>
        </w:tc>
      </w:tr>
      <w:tr>
        <w:trPr>
          <w:cantSplit/>
        </w:trPr>
        <w:tc>
          <w:tcPr>
            <w:tcW w:type="dxa" w:w="922"/>
            <w:tcMar>
              <w:top w:w="60" w:type="dxa"/>
              <w:start w:w="110" w:type="dxa"/>
              <w:bottom w:w="60" w:type="dxa"/>
              <w:end w:w="110" w:type="dxa"/>
            </w:tcMar>
            <w:shd w:val="clear" w:color="auto" w:fill="F4F7FB"/>
          </w:tcPr>
          <w:p>
            <w:pPr>
              <w:spacing w:after="0"/>
            </w:pPr>
            <w:r/>
            <w:r>
              <w:rPr>
                <w:rFonts w:ascii="Calibri" w:hAnsi="Calibri"/>
                <w:b w:val="0"/>
                <w:i w:val="0"/>
                <w:color w:val="101828"/>
                <w:sz w:val="14"/>
              </w:rPr>
              <w:t>Empty statement</w:t>
            </w:r>
          </w:p>
        </w:tc>
        <w:tc>
          <w:tcPr>
            <w:tcW w:type="dxa" w:w="1742"/>
            <w:tcMar>
              <w:top w:w="60" w:type="dxa"/>
              <w:start w:w="110" w:type="dxa"/>
              <w:bottom w:w="60" w:type="dxa"/>
              <w:end w:w="110" w:type="dxa"/>
            </w:tcMar>
            <w:shd w:val="clear" w:color="auto" w:fill="F4F7FB"/>
          </w:tcPr>
          <w:p>
            <w:pPr>
              <w:spacing w:after="0"/>
            </w:pPr>
            <w:r/>
            <w:r>
              <w:rPr>
                <w:rFonts w:ascii="Calibri" w:hAnsi="Calibri"/>
                <w:i/>
                <w:color w:val="101828"/>
                <w:sz w:val="14"/>
              </w:rPr>
              <w:t>No transactions in this period</w:t>
            </w:r>
          </w:p>
        </w:tc>
        <w:tc>
          <w:tcPr>
            <w:tcW w:type="dxa" w:w="3859"/>
            <w:tcMar>
              <w:top w:w="60" w:type="dxa"/>
              <w:start w:w="110" w:type="dxa"/>
              <w:bottom w:w="60" w:type="dxa"/>
              <w:end w:w="110" w:type="dxa"/>
            </w:tcMar>
            <w:shd w:val="clear" w:color="auto" w:fill="F4F7FB"/>
          </w:tcPr>
          <w:p>
            <w:pPr>
              <w:spacing w:after="0"/>
            </w:pPr>
            <w:r/>
            <w:r>
              <w:rPr>
                <w:rFonts w:ascii="Calibri" w:hAnsi="Calibri"/>
                <w:b w:val="0"/>
                <w:i w:val="0"/>
                <w:color w:val="101828"/>
                <w:sz w:val="14"/>
              </w:rPr>
              <w:t>The period filter excluded everything recorded.</w:t>
            </w:r>
          </w:p>
        </w:tc>
        <w:tc>
          <w:tcPr>
            <w:tcW w:type="dxa" w:w="2837"/>
            <w:tcMar>
              <w:top w:w="60" w:type="dxa"/>
              <w:start w:w="110" w:type="dxa"/>
              <w:bottom w:w="60" w:type="dxa"/>
              <w:end w:w="110" w:type="dxa"/>
            </w:tcMar>
            <w:shd w:val="clear" w:color="auto" w:fill="F4F7FB"/>
          </w:tcPr>
          <w:p>
            <w:pPr>
              <w:spacing w:after="0"/>
            </w:pPr>
            <w:r/>
            <w:r>
              <w:rPr>
                <w:rFonts w:ascii="Calibri" w:hAnsi="Calibri"/>
                <w:i/>
                <w:color w:val="101828"/>
                <w:sz w:val="14"/>
              </w:rPr>
              <w:t>This month</w:t>
            </w:r>
            <w:r>
              <w:rPr>
                <w:rFonts w:ascii="Calibri" w:hAnsi="Calibri"/>
                <w:b w:val="0"/>
                <w:i w:val="0"/>
                <w:color w:val="101828"/>
                <w:sz w:val="14"/>
              </w:rPr>
              <w:t xml:space="preserve"> — resets the filter</w:t>
            </w:r>
          </w:p>
        </w:tc>
      </w:tr>
      <w:tr>
        <w:trPr>
          <w:cantSplit/>
        </w:trPr>
        <w:tc>
          <w:tcPr>
            <w:tcW w:type="dxa" w:w="922"/>
            <w:tcMar>
              <w:top w:w="60" w:type="dxa"/>
              <w:start w:w="110" w:type="dxa"/>
              <w:bottom w:w="60" w:type="dxa"/>
              <w:end w:w="110" w:type="dxa"/>
            </w:tcMar>
          </w:tcPr>
          <w:p>
            <w:pPr>
              <w:spacing w:after="0"/>
            </w:pPr>
            <w:r/>
            <w:r>
              <w:rPr>
                <w:rFonts w:ascii="Calibri" w:hAnsi="Calibri"/>
                <w:b w:val="0"/>
                <w:i w:val="0"/>
                <w:color w:val="101828"/>
                <w:sz w:val="14"/>
              </w:rPr>
              <w:t>Empty search</w:t>
            </w:r>
          </w:p>
        </w:tc>
        <w:tc>
          <w:tcPr>
            <w:tcW w:type="dxa" w:w="1742"/>
            <w:tcMar>
              <w:top w:w="60" w:type="dxa"/>
              <w:start w:w="110" w:type="dxa"/>
              <w:bottom w:w="60" w:type="dxa"/>
              <w:end w:w="110" w:type="dxa"/>
            </w:tcMar>
          </w:tcPr>
          <w:p>
            <w:pPr>
              <w:spacing w:after="0"/>
            </w:pPr>
            <w:r/>
            <w:r>
              <w:rPr>
                <w:rFonts w:ascii="Calibri" w:hAnsi="Calibri"/>
                <w:i/>
                <w:color w:val="101828"/>
                <w:sz w:val="14"/>
              </w:rPr>
              <w:t>No results for \u201cxyz\u201d</w:t>
            </w:r>
          </w:p>
        </w:tc>
        <w:tc>
          <w:tcPr>
            <w:tcW w:type="dxa" w:w="3859"/>
            <w:tcMar>
              <w:top w:w="60" w:type="dxa"/>
              <w:start w:w="110" w:type="dxa"/>
              <w:bottom w:w="60" w:type="dxa"/>
              <w:end w:w="110" w:type="dxa"/>
            </w:tcMar>
          </w:tcPr>
          <w:p>
            <w:pPr>
              <w:spacing w:after="0"/>
            </w:pPr>
            <w:r/>
            <w:r>
              <w:rPr>
                <w:rFonts w:ascii="Calibri" w:hAnsi="Calibri"/>
                <w:b w:val="0"/>
                <w:i w:val="0"/>
                <w:color w:val="101828"/>
                <w:sz w:val="14"/>
              </w:rPr>
              <w:t>The query matched nothing.</w:t>
            </w:r>
          </w:p>
        </w:tc>
        <w:tc>
          <w:tcPr>
            <w:tcW w:type="dxa" w:w="2837"/>
            <w:tcMar>
              <w:top w:w="60" w:type="dxa"/>
              <w:start w:w="110" w:type="dxa"/>
              <w:bottom w:w="60" w:type="dxa"/>
              <w:end w:w="110" w:type="dxa"/>
            </w:tcMar>
          </w:tcPr>
          <w:p>
            <w:pPr>
              <w:spacing w:after="0"/>
            </w:pPr>
            <w:r/>
            <w:r>
              <w:rPr>
                <w:rFonts w:ascii="Calibri" w:hAnsi="Calibri"/>
                <w:i/>
                <w:color w:val="101828"/>
                <w:sz w:val="14"/>
              </w:rPr>
              <w:t>Clear search</w:t>
            </w:r>
          </w:p>
        </w:tc>
      </w:tr>
      <w:tr>
        <w:trPr>
          <w:cantSplit/>
        </w:trPr>
        <w:tc>
          <w:tcPr>
            <w:tcW w:type="dxa" w:w="922"/>
            <w:tcMar>
              <w:top w:w="60" w:type="dxa"/>
              <w:start w:w="110" w:type="dxa"/>
              <w:bottom w:w="60" w:type="dxa"/>
              <w:end w:w="110" w:type="dxa"/>
            </w:tcMar>
            <w:shd w:val="clear" w:color="auto" w:fill="F4F7FB"/>
          </w:tcPr>
          <w:p>
            <w:pPr>
              <w:spacing w:after="0"/>
            </w:pPr>
            <w:r/>
            <w:r>
              <w:rPr>
                <w:rFonts w:ascii="Calibri" w:hAnsi="Calibri"/>
                <w:b w:val="0"/>
                <w:i w:val="0"/>
                <w:color w:val="101828"/>
                <w:sz w:val="14"/>
              </w:rPr>
              <w:t>Console, no cases</w:t>
            </w:r>
          </w:p>
        </w:tc>
        <w:tc>
          <w:tcPr>
            <w:tcW w:type="dxa" w:w="1742"/>
            <w:tcMar>
              <w:top w:w="60" w:type="dxa"/>
              <w:start w:w="110" w:type="dxa"/>
              <w:bottom w:w="60" w:type="dxa"/>
              <w:end w:w="110" w:type="dxa"/>
            </w:tcMar>
            <w:shd w:val="clear" w:color="auto" w:fill="F4F7FB"/>
          </w:tcPr>
          <w:p>
            <w:pPr>
              <w:spacing w:after="0"/>
            </w:pPr>
            <w:r/>
            <w:r>
              <w:rPr>
                <w:rFonts w:ascii="Calibri" w:hAnsi="Calibri"/>
                <w:i/>
                <w:color w:val="101828"/>
                <w:sz w:val="14"/>
              </w:rPr>
              <w:t>No cases match these filters</w:t>
            </w:r>
          </w:p>
        </w:tc>
        <w:tc>
          <w:tcPr>
            <w:tcW w:type="dxa" w:w="3859"/>
            <w:tcMar>
              <w:top w:w="60" w:type="dxa"/>
              <w:start w:w="110" w:type="dxa"/>
              <w:bottom w:w="60" w:type="dxa"/>
              <w:end w:w="110" w:type="dxa"/>
            </w:tcMar>
            <w:shd w:val="clear" w:color="auto" w:fill="F4F7FB"/>
          </w:tcPr>
          <w:p>
            <w:pPr>
              <w:spacing w:after="0"/>
            </w:pPr>
            <w:r/>
            <w:r>
              <w:rPr>
                <w:rFonts w:ascii="Calibri" w:hAnsi="Calibri"/>
                <w:b w:val="0"/>
                <w:i w:val="0"/>
                <w:color w:val="101828"/>
                <w:sz w:val="14"/>
              </w:rPr>
              <w:t>Filters excluded everything, or the queue is genuinely empty.</w:t>
            </w:r>
          </w:p>
        </w:tc>
        <w:tc>
          <w:tcPr>
            <w:tcW w:type="dxa" w:w="2837"/>
            <w:tcMar>
              <w:top w:w="60" w:type="dxa"/>
              <w:start w:w="110" w:type="dxa"/>
              <w:bottom w:w="60" w:type="dxa"/>
              <w:end w:w="110" w:type="dxa"/>
            </w:tcMar>
            <w:shd w:val="clear" w:color="auto" w:fill="F4F7FB"/>
          </w:tcPr>
          <w:p>
            <w:pPr>
              <w:spacing w:after="0"/>
            </w:pPr>
            <w:r/>
            <w:r>
              <w:rPr>
                <w:rFonts w:ascii="Calibri" w:hAnsi="Calibri"/>
                <w:i/>
                <w:color w:val="101828"/>
                <w:sz w:val="14"/>
              </w:rPr>
              <w:t>Reset filters</w:t>
            </w:r>
            <w:r>
              <w:rPr>
                <w:rFonts w:ascii="Calibri" w:hAnsi="Calibri"/>
                <w:b w:val="0"/>
                <w:i w:val="0"/>
                <w:color w:val="101828"/>
                <w:sz w:val="14"/>
              </w:rPr>
              <w:t xml:space="preserve"> — and the two are different messages</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Empty is not zero  </w:t>
      </w:r>
      <w:r>
        <w:rPr>
          <w:rFonts w:ascii="Calibri" w:hAnsi="Calibri"/>
          <w:b w:val="0"/>
          <w:i w:val="0"/>
          <w:color w:val="0B1F3A"/>
          <w:sz w:val="19"/>
        </w:rPr>
        <w:t xml:space="preserve">An empty Ajo list shows a sentence, not </w:t>
      </w:r>
      <w:r>
        <w:rPr>
          <w:rFonts w:ascii="Consolas" w:hAnsi="Consolas"/>
          <w:color w:val="146EF5"/>
          <w:sz w:val="19"/>
        </w:rPr>
        <w:t>NGN 0.00</w:t>
      </w:r>
      <w:r>
        <w:rPr>
          <w:rFonts w:ascii="Calibri" w:hAnsi="Calibri"/>
          <w:b w:val="0"/>
          <w:i w:val="0"/>
          <w:color w:val="0B1F3A"/>
          <w:sz w:val="19"/>
        </w:rPr>
        <w:t xml:space="preserve"> and not a dash. A zero is a measurement; an empty list is the absence of one, and a person who has just signed up does not need to be told they have nothing in the way a bank app tells them. This applies to the roster, the schedule, the statement, and every console queue. The one exception is a figure that genuinely is zero and is genuinely expected to be zero, such as received to date on round one, which is shown as </w:t>
      </w:r>
      <w:r>
        <w:rPr>
          <w:rFonts w:ascii="Consolas" w:hAnsi="Consolas"/>
          <w:color w:val="146EF5"/>
          <w:sz w:val="19"/>
        </w:rPr>
        <w:t>NGN 0.00</w:t>
      </w:r>
      <w:r>
        <w:rPr>
          <w:rFonts w:ascii="Calibri" w:hAnsi="Calibri"/>
          <w:b w:val="0"/>
          <w:i w:val="0"/>
          <w:color w:val="0B1F3A"/>
          <w:sz w:val="19"/>
        </w:rPr>
        <w:t xml:space="preserve"> because it is a figure and its zero is information.</w:t>
      </w:r>
    </w:p>
    <w:p>
      <w:r>
        <w:br w:type="page"/>
      </w:r>
    </w:p>
    <w:p>
      <w:pPr>
        <w:pStyle w:val="Heading2"/>
      </w:pPr>
      <w:r>
        <w:rPr>
          <w:rFonts w:ascii="Calibri" w:hAnsi="Calibri"/>
          <w:b/>
          <w:i w:val="0"/>
          <w:color w:val="146EF5"/>
          <w:sz w:val="29"/>
        </w:rPr>
        <w:t>7.12 Money surfaces</w:t>
      </w:r>
    </w:p>
    <w:p>
      <w:r>
        <w:rPr>
          <w:rFonts w:ascii="Calibri" w:hAnsi="Calibri"/>
          <w:b w:val="0"/>
          <w:i w:val="0"/>
          <w:color w:val="101828"/>
          <w:sz w:val="21"/>
        </w:rPr>
        <w:t xml:space="preserve">This is the most important component in the product and the one with the fewest permitted variations. Everything in this section exists so that a member can answer three questions about any amount they see: </w:t>
      </w:r>
      <w:r>
        <w:rPr>
          <w:rFonts w:ascii="Calibri" w:hAnsi="Calibri"/>
          <w:b/>
          <w:color w:val="101828"/>
          <w:sz w:val="21"/>
        </w:rPr>
        <w:t>how much, of what, and where does it go.</w:t>
      </w:r>
      <w:r>
        <w:rPr>
          <w:rFonts w:ascii="Calibri" w:hAnsi="Calibri"/>
          <w:b w:val="0"/>
          <w:i w:val="0"/>
          <w:color w:val="101828"/>
          <w:sz w:val="21"/>
        </w:rPr>
        <w:t xml:space="preserve"> An interface that answers two of the three is worse than one that answers none, because a confident wrong figure is trusted.</w:t>
      </w:r>
    </w:p>
    <w:p>
      <w:pPr>
        <w:pStyle w:val="Heading3"/>
      </w:pPr>
      <w:r>
        <w:rPr>
          <w:rFonts w:ascii="Calibri" w:hAnsi="Calibri"/>
          <w:b/>
          <w:i w:val="0"/>
          <w:color w:val="0B1F3A"/>
          <w:sz w:val="24"/>
        </w:rPr>
        <w:t>7.12.1 The MoneyBlock, and it is non-negotiable</w:t>
      </w:r>
    </w:p>
    <w:p>
      <w:pPr>
        <w:spacing w:before="0" w:after="0" w:line="240" w:lineRule="auto"/>
        <w:ind w:left="230"/>
        <w:shd w:val="clear" w:color="auto" w:fill="F7F9FC"/>
        <w:pBdr>
          <w:left w:val="single" w:sz="4" w:space="6" w:color="D0D5DD"/>
        </w:pBdr>
      </w:pPr>
      <w:r>
        <w:rPr>
          <w:rFonts w:ascii="Consolas" w:hAnsi="Consolas"/>
          <w:color w:val="0B1F3A"/>
          <w:sz w:val="16"/>
        </w:rPr>
        <w:t>Your contribution</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Contribution              NGN 1,000.00</w:t>
      </w:r>
    </w:p>
    <w:p>
      <w:pPr>
        <w:spacing w:before="0" w:after="0" w:line="240" w:lineRule="auto"/>
        <w:ind w:left="230"/>
        <w:shd w:val="clear" w:color="auto" w:fill="F7F9FC"/>
        <w:pBdr>
          <w:left w:val="single" w:sz="4" w:space="6" w:color="D0D5DD"/>
        </w:pBdr>
      </w:pPr>
      <w:r>
        <w:rPr>
          <w:rFonts w:ascii="Consolas" w:hAnsi="Consolas"/>
          <w:color w:val="0B1F3A"/>
          <w:sz w:val="16"/>
        </w:rPr>
        <w:t>Service fee (2%)             NGN 20.00</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Total to pay             NGN 1,020.00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NGN 1,000.00 goes into the Ajo pool.</w:t>
      </w:r>
    </w:p>
    <w:p>
      <w:pPr>
        <w:spacing w:before="0" w:after="0" w:line="240" w:lineRule="auto"/>
        <w:ind w:left="230"/>
        <w:shd w:val="clear" w:color="auto" w:fill="F7F9FC"/>
        <w:pBdr>
          <w:left w:val="single" w:sz="4" w:space="6" w:color="D0D5DD"/>
        </w:pBdr>
      </w:pPr>
      <w:r>
        <w:rPr>
          <w:rFonts w:ascii="Consolas" w:hAnsi="Consolas"/>
          <w:color w:val="0B1F3A"/>
          <w:sz w:val="16"/>
        </w:rPr>
        <w:t>NGN 20.00 is the AJO.ng service fee.</w:t>
      </w:r>
    </w:p>
    <w:p>
      <w:pPr>
        <w:pStyle w:val="ListNumber"/>
        <w:spacing w:after="60"/>
        <w:ind w:left="432"/>
      </w:pPr>
      <w:r>
        <w:rPr>
          <w:rFonts w:ascii="Calibri" w:hAnsi="Calibri"/>
          <w:b/>
          <w:color w:val="101828"/>
          <w:sz w:val="21"/>
        </w:rPr>
        <w:t>Contribution and fee are always on separate lines, with a rule between them and a total below the rule.</w:t>
      </w:r>
      <w:r>
        <w:rPr>
          <w:rFonts w:ascii="Calibri" w:hAnsi="Calibri"/>
          <w:b w:val="0"/>
          <w:i w:val="0"/>
          <w:color w:val="101828"/>
          <w:sz w:val="21"/>
        </w:rPr>
        <w:t xml:space="preserve"> Never merged into a single figure with the fee mentioned afterwards.</w:t>
      </w:r>
    </w:p>
    <w:p>
      <w:pPr>
        <w:pStyle w:val="ListNumber"/>
        <w:spacing w:after="60"/>
        <w:ind w:left="432"/>
      </w:pPr>
      <w:r>
        <w:rPr>
          <w:rFonts w:ascii="Calibri" w:hAnsi="Calibri"/>
          <w:b/>
          <w:color w:val="101828"/>
          <w:sz w:val="21"/>
        </w:rPr>
        <w:t>The fee line is named, not implied.</w:t>
      </w:r>
      <w:r>
        <w:rPr>
          <w:rFonts w:ascii="Calibri" w:hAnsi="Calibri"/>
          <w:b w:val="0"/>
          <w:i w:val="0"/>
          <w:color w:val="101828"/>
          <w:sz w:val="21"/>
        </w:rPr>
        <w:t xml:space="preserve"> </w:t>
      </w:r>
      <w:r>
        <w:rPr>
          <w:rFonts w:ascii="Calibri" w:hAnsi="Calibri"/>
          <w:i/>
          <w:color w:val="101828"/>
          <w:sz w:val="21"/>
        </w:rPr>
        <w:t>Service fee (2%)</w:t>
      </w:r>
      <w:r>
        <w:rPr>
          <w:rFonts w:ascii="Calibri" w:hAnsi="Calibri"/>
          <w:b w:val="0"/>
          <w:i w:val="0"/>
          <w:color w:val="101828"/>
          <w:sz w:val="21"/>
        </w:rPr>
        <w:t xml:space="preserve"> — the name, the rate, and the amount. The rate is in the label so the arithmetic is checkable without a second document.</w:t>
      </w:r>
    </w:p>
    <w:p>
      <w:pPr>
        <w:pStyle w:val="ListNumber"/>
        <w:spacing w:after="60"/>
        <w:ind w:left="432"/>
      </w:pPr>
      <w:r>
        <w:rPr>
          <w:rFonts w:ascii="Calibri" w:hAnsi="Calibri"/>
          <w:b/>
          <w:color w:val="101828"/>
          <w:sz w:val="21"/>
        </w:rPr>
        <w:t>The destination of each part is stated in words below.</w:t>
      </w:r>
      <w:r>
        <w:rPr>
          <w:rFonts w:ascii="Calibri" w:hAnsi="Calibri"/>
          <w:b w:val="0"/>
          <w:i w:val="0"/>
          <w:color w:val="101828"/>
          <w:sz w:val="21"/>
        </w:rPr>
        <w:t xml:space="preserve"> The contribution goes into the pool; the fee does not. This is the sentence that prevents the most common misunderstanding in this product category, and it is prose, not a footnote.</w:t>
      </w:r>
    </w:p>
    <w:p>
      <w:pPr>
        <w:pStyle w:val="ListNumber"/>
        <w:spacing w:after="60"/>
        <w:ind w:left="432"/>
      </w:pPr>
      <w:r>
        <w:rPr>
          <w:rFonts w:ascii="Calibri" w:hAnsi="Calibri"/>
          <w:b/>
          <w:color w:val="101828"/>
          <w:sz w:val="21"/>
        </w:rPr>
        <w:t>Amounts are `NGN 1,000.00` everywhere</w:t>
      </w:r>
      <w:r>
        <w:rPr>
          <w:rFonts w:ascii="Calibri" w:hAnsi="Calibri"/>
          <w:b w:val="0"/>
          <w:i w:val="0"/>
          <w:color w:val="101828"/>
          <w:sz w:val="21"/>
        </w:rPr>
        <w:t xml:space="preserve"> — thousands separated, exactly two decimals, never a bare number, never a currency symbol in place of the code. A screen showing </w:t>
      </w:r>
      <w:r>
        <w:rPr>
          <w:rFonts w:ascii="Consolas" w:hAnsi="Consolas"/>
          <w:color w:val="146EF5"/>
          <w:sz w:val="21"/>
        </w:rPr>
        <w:t>₦1,000</w:t>
      </w:r>
      <w:r>
        <w:rPr>
          <w:rFonts w:ascii="Calibri" w:hAnsi="Calibri"/>
          <w:b w:val="0"/>
          <w:i w:val="0"/>
          <w:color w:val="101828"/>
          <w:sz w:val="21"/>
        </w:rPr>
        <w:t xml:space="preserve"> is using a glyph the recipients' own devices may not render.</w:t>
      </w:r>
    </w:p>
    <w:p>
      <w:pPr>
        <w:pStyle w:val="ListNumber"/>
        <w:spacing w:after="60"/>
        <w:ind w:left="432"/>
      </w:pPr>
      <w:r>
        <w:rPr>
          <w:rFonts w:ascii="Calibri" w:hAnsi="Calibri"/>
          <w:b/>
          <w:color w:val="101828"/>
          <w:sz w:val="21"/>
        </w:rPr>
        <w:t>The fee is shown before the member commits, at the point of commitment, and on the receipt.</w:t>
      </w:r>
      <w:r>
        <w:rPr>
          <w:rFonts w:ascii="Calibri" w:hAnsi="Calibri"/>
          <w:b w:val="0"/>
          <w:i w:val="0"/>
          <w:color w:val="101828"/>
          <w:sz w:val="21"/>
        </w:rPr>
        <w:t xml:space="preserve"> Those are three placements and they are the same component, not three implementations of the same idea.</w:t>
      </w:r>
    </w:p>
    <w:p>
      <w:pPr>
        <w:spacing w:before="140" w:after="180"/>
        <w:ind w:left="144"/>
        <w:shd w:val="clear" w:color="auto" w:fill="FEF3C7"/>
        <w:pBdr>
          <w:left w:val="single" w:sz="18" w:space="6" w:color="FBBF24"/>
        </w:pBdr>
      </w:pPr>
      <w:r>
        <w:rPr>
          <w:rFonts w:ascii="Calibri" w:hAnsi="Calibri"/>
          <w:b/>
          <w:color w:val="FBBF24"/>
          <w:sz w:val="19"/>
        </w:rPr>
        <w:t xml:space="preserve">The one component that cannot be redesigned under deadline  </w:t>
      </w:r>
      <w:r>
        <w:rPr>
          <w:rFonts w:ascii="Calibri" w:hAnsi="Calibri"/>
          <w:b w:val="0"/>
          <w:i w:val="0"/>
          <w:color w:val="0B1F3A"/>
          <w:sz w:val="19"/>
        </w:rPr>
        <w:t xml:space="preserve">Merging the contribution and the fee into </w:t>
      </w:r>
      <w:r>
        <w:rPr>
          <w:rFonts w:ascii="Consolas" w:hAnsi="Consolas"/>
          <w:color w:val="146EF5"/>
          <w:sz w:val="19"/>
        </w:rPr>
        <w:t>NGN 1,020.00</w:t>
      </w:r>
      <w:r>
        <w:rPr>
          <w:rFonts w:ascii="Calibri" w:hAnsi="Calibri"/>
          <w:b w:val="0"/>
          <w:i w:val="0"/>
          <w:color w:val="0B1F3A"/>
          <w:sz w:val="19"/>
        </w:rPr>
        <w:t xml:space="preserve"> is the single most likely way this product breaks its own rule, and it is likely because the merged version is prettier, shorter, and passes a screenshot review. It must not happen. CANONICAL.md requires the fee to be shown separately from the contribution on every receipt and in the join and invitation confirmation before the member commits, and the requirement is not about tidiness — it is about a member being able to see what they are paying for. The 2 percent is NGN 20.00 on a NGN 1,000.00 contribution. A member who cannot see NGN 20.00 has not been told what AJO.ng charges them, whatever the total says.</w:t>
      </w:r>
    </w:p>
    <w:p>
      <w:pPr>
        <w:pStyle w:val="Heading3"/>
      </w:pPr>
      <w:r>
        <w:rPr>
          <w:rFonts w:ascii="Calibri" w:hAnsi="Calibri"/>
          <w:b/>
          <w:i w:val="0"/>
          <w:color w:val="0B1F3A"/>
          <w:sz w:val="24"/>
        </w:rPr>
        <w:t>7.12.2 Where the MoneyBlock appears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066"/>
            <w:shd w:val="clear" w:color="auto" w:fill="0B1F3A"/>
            <w:tcMar>
              <w:top w:w="60" w:type="dxa"/>
              <w:start w:w="110" w:type="dxa"/>
              <w:bottom w:w="60" w:type="dxa"/>
              <w:end w:w="110" w:type="dxa"/>
            </w:tcMar>
          </w:tcPr>
          <w:p>
            <w:pPr>
              <w:spacing w:after="0"/>
            </w:pPr>
            <w:r/>
            <w:r>
              <w:rPr>
                <w:rFonts w:ascii="Calibri" w:hAnsi="Calibri"/>
                <w:b/>
                <w:i w:val="0"/>
                <w:color w:val="FFFFFF"/>
                <w:sz w:val="14"/>
              </w:rPr>
              <w:t>Surface</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Variant</w:t>
            </w:r>
          </w:p>
        </w:tc>
        <w:tc>
          <w:tcPr>
            <w:tcW w:type="dxa" w:w="7690"/>
            <w:shd w:val="clear" w:color="auto" w:fill="0B1F3A"/>
            <w:tcMar>
              <w:top w:w="60" w:type="dxa"/>
              <w:start w:w="110" w:type="dxa"/>
              <w:bottom w:w="60" w:type="dxa"/>
              <w:end w:w="110" w:type="dxa"/>
            </w:tcMar>
          </w:tcPr>
          <w:p>
            <w:pPr>
              <w:spacing w:after="0"/>
            </w:pPr>
            <w:r/>
            <w:r>
              <w:rPr>
                <w:rFonts w:ascii="Calibri" w:hAnsi="Calibri"/>
                <w:b/>
                <w:i w:val="0"/>
                <w:color w:val="FFFFFF"/>
                <w:sz w:val="14"/>
              </w:rPr>
              <w:t>Required content</w:t>
            </w:r>
          </w:p>
        </w:tc>
      </w:tr>
      <w:tr>
        <w:trPr>
          <w:cantSplit/>
        </w:trPr>
        <w:tc>
          <w:tcPr>
            <w:tcW w:type="dxa" w:w="1066"/>
            <w:tcMar>
              <w:top w:w="60" w:type="dxa"/>
              <w:start w:w="110" w:type="dxa"/>
              <w:bottom w:w="60" w:type="dxa"/>
              <w:end w:w="110" w:type="dxa"/>
            </w:tcMar>
          </w:tcPr>
          <w:p>
            <w:pPr>
              <w:spacing w:after="0"/>
            </w:pPr>
            <w:r/>
            <w:r>
              <w:rPr>
                <w:rFonts w:ascii="Calibri" w:hAnsi="Calibri"/>
                <w:b w:val="0"/>
                <w:i w:val="0"/>
                <w:color w:val="101828"/>
                <w:sz w:val="14"/>
              </w:rPr>
              <w:t>Create Ajo, step 2</w:t>
            </w:r>
          </w:p>
        </w:tc>
        <w:tc>
          <w:tcPr>
            <w:tcW w:type="dxa" w:w="605"/>
            <w:tcMar>
              <w:top w:w="60" w:type="dxa"/>
              <w:start w:w="110" w:type="dxa"/>
              <w:bottom w:w="60" w:type="dxa"/>
              <w:end w:w="110" w:type="dxa"/>
            </w:tcMar>
          </w:tcPr>
          <w:p>
            <w:pPr>
              <w:spacing w:after="0"/>
            </w:pPr>
            <w:r/>
            <w:r>
              <w:rPr>
                <w:rFonts w:ascii="Calibri" w:hAnsi="Calibri"/>
                <w:b w:val="0"/>
                <w:i w:val="0"/>
                <w:color w:val="101828"/>
                <w:sz w:val="14"/>
              </w:rPr>
              <w:t>Estimate</w:t>
            </w:r>
          </w:p>
        </w:tc>
        <w:tc>
          <w:tcPr>
            <w:tcW w:type="dxa" w:w="7690"/>
            <w:tcMar>
              <w:top w:w="60" w:type="dxa"/>
              <w:start w:w="110" w:type="dxa"/>
              <w:bottom w:w="60" w:type="dxa"/>
              <w:end w:w="110" w:type="dxa"/>
            </w:tcMar>
          </w:tcPr>
          <w:p>
            <w:pPr>
              <w:spacing w:after="0"/>
            </w:pPr>
            <w:r/>
            <w:r>
              <w:rPr>
                <w:rFonts w:ascii="Calibri" w:hAnsi="Calibri"/>
                <w:b w:val="0"/>
                <w:i w:val="0"/>
                <w:color w:val="101828"/>
                <w:sz w:val="14"/>
              </w:rPr>
              <w:t>Per-member contribution, fee, total per member, and the pool total for ten members. The member is deciding what ten of them will pay.</w:t>
            </w:r>
          </w:p>
        </w:tc>
      </w:tr>
      <w:tr>
        <w:trPr>
          <w:cantSplit/>
        </w:trPr>
        <w:tc>
          <w:tcPr>
            <w:tcW w:type="dxa" w:w="1066"/>
            <w:tcMar>
              <w:top w:w="60" w:type="dxa"/>
              <w:start w:w="110" w:type="dxa"/>
              <w:bottom w:w="60" w:type="dxa"/>
              <w:end w:w="110" w:type="dxa"/>
            </w:tcMar>
            <w:shd w:val="clear" w:color="auto" w:fill="F4F7FB"/>
          </w:tcPr>
          <w:p>
            <w:pPr>
              <w:spacing w:after="0"/>
            </w:pPr>
            <w:r/>
            <w:r>
              <w:rPr>
                <w:rFonts w:ascii="Calibri" w:hAnsi="Calibri"/>
                <w:b w:val="0"/>
                <w:i w:val="0"/>
                <w:color w:val="101828"/>
                <w:sz w:val="14"/>
              </w:rPr>
              <w:t>Join an Ajo</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Estimate</w:t>
            </w:r>
          </w:p>
        </w:tc>
        <w:tc>
          <w:tcPr>
            <w:tcW w:type="dxa" w:w="7690"/>
            <w:tcMar>
              <w:top w:w="60" w:type="dxa"/>
              <w:start w:w="110" w:type="dxa"/>
              <w:bottom w:w="60" w:type="dxa"/>
              <w:end w:w="110" w:type="dxa"/>
            </w:tcMar>
            <w:shd w:val="clear" w:color="auto" w:fill="F4F7FB"/>
          </w:tcPr>
          <w:p>
            <w:pPr>
              <w:spacing w:after="0"/>
            </w:pPr>
            <w:r/>
            <w:r>
              <w:rPr>
                <w:rFonts w:ascii="Calibri" w:hAnsi="Calibri"/>
                <w:b w:val="0"/>
                <w:i w:val="0"/>
                <w:color w:val="101828"/>
                <w:sz w:val="14"/>
              </w:rPr>
              <w:t>The organizer's amount, fee, total, frequency, and start date, immediately above the join button.</w:t>
            </w:r>
          </w:p>
        </w:tc>
      </w:tr>
      <w:tr>
        <w:trPr>
          <w:cantSplit/>
        </w:trPr>
        <w:tc>
          <w:tcPr>
            <w:tcW w:type="dxa" w:w="1066"/>
            <w:tcMar>
              <w:top w:w="60" w:type="dxa"/>
              <w:start w:w="110" w:type="dxa"/>
              <w:bottom w:w="60" w:type="dxa"/>
              <w:end w:w="110" w:type="dxa"/>
            </w:tcMar>
          </w:tcPr>
          <w:p>
            <w:pPr>
              <w:spacing w:after="0"/>
            </w:pPr>
            <w:r/>
            <w:r>
              <w:rPr>
                <w:rFonts w:ascii="Calibri" w:hAnsi="Calibri"/>
                <w:b w:val="0"/>
                <w:i w:val="0"/>
                <w:color w:val="101828"/>
                <w:sz w:val="14"/>
              </w:rPr>
              <w:t>Pay contribution</w:t>
            </w:r>
          </w:p>
        </w:tc>
        <w:tc>
          <w:tcPr>
            <w:tcW w:type="dxa" w:w="605"/>
            <w:tcMar>
              <w:top w:w="60" w:type="dxa"/>
              <w:start w:w="110" w:type="dxa"/>
              <w:bottom w:w="60" w:type="dxa"/>
              <w:end w:w="110" w:type="dxa"/>
            </w:tcMar>
          </w:tcPr>
          <w:p>
            <w:pPr>
              <w:spacing w:after="0"/>
            </w:pPr>
            <w:r/>
            <w:r>
              <w:rPr>
                <w:rFonts w:ascii="Calibri" w:hAnsi="Calibri"/>
                <w:b w:val="0"/>
                <w:i w:val="0"/>
                <w:color w:val="101828"/>
                <w:sz w:val="14"/>
              </w:rPr>
              <w:t>Confirm</w:t>
            </w:r>
          </w:p>
        </w:tc>
        <w:tc>
          <w:tcPr>
            <w:tcW w:type="dxa" w:w="7690"/>
            <w:tcMar>
              <w:top w:w="60" w:type="dxa"/>
              <w:start w:w="110" w:type="dxa"/>
              <w:bottom w:w="60" w:type="dxa"/>
              <w:end w:w="110" w:type="dxa"/>
            </w:tcMar>
          </w:tcPr>
          <w:p>
            <w:pPr>
              <w:spacing w:after="0"/>
            </w:pPr>
            <w:r/>
            <w:r>
              <w:rPr>
                <w:rFonts w:ascii="Calibri" w:hAnsi="Calibri"/>
                <w:b w:val="0"/>
                <w:i w:val="0"/>
                <w:color w:val="101828"/>
                <w:sz w:val="14"/>
              </w:rPr>
              <w:t>The same three lines, plus the payment method, immediately above the pay button.</w:t>
            </w:r>
          </w:p>
        </w:tc>
      </w:tr>
      <w:tr>
        <w:trPr>
          <w:cantSplit/>
        </w:trPr>
        <w:tc>
          <w:tcPr>
            <w:tcW w:type="dxa" w:w="1066"/>
            <w:tcMar>
              <w:top w:w="60" w:type="dxa"/>
              <w:start w:w="110" w:type="dxa"/>
              <w:bottom w:w="60" w:type="dxa"/>
              <w:end w:w="110" w:type="dxa"/>
            </w:tcMar>
            <w:shd w:val="clear" w:color="auto" w:fill="F4F7FB"/>
          </w:tcPr>
          <w:p>
            <w:pPr>
              <w:spacing w:after="0"/>
            </w:pPr>
            <w:r/>
            <w:r>
              <w:rPr>
                <w:rFonts w:ascii="Calibri" w:hAnsi="Calibri"/>
                <w:b w:val="0"/>
                <w:i w:val="0"/>
                <w:color w:val="101828"/>
                <w:sz w:val="14"/>
              </w:rPr>
              <w:t>Payment processing</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Locked</w:t>
            </w:r>
          </w:p>
        </w:tc>
        <w:tc>
          <w:tcPr>
            <w:tcW w:type="dxa" w:w="7690"/>
            <w:tcMar>
              <w:top w:w="60" w:type="dxa"/>
              <w:start w:w="110" w:type="dxa"/>
              <w:bottom w:w="60" w:type="dxa"/>
              <w:end w:w="110" w:type="dxa"/>
            </w:tcMar>
            <w:shd w:val="clear" w:color="auto" w:fill="F4F7FB"/>
          </w:tcPr>
          <w:p>
            <w:pPr>
              <w:spacing w:after="0"/>
            </w:pPr>
            <w:r/>
            <w:r>
              <w:rPr>
                <w:rFonts w:ascii="Calibri" w:hAnsi="Calibri"/>
                <w:b w:val="0"/>
                <w:i w:val="0"/>
                <w:color w:val="101828"/>
                <w:sz w:val="14"/>
              </w:rPr>
              <w:t>The same three lines, non-interactive, plus the processing notice. Not a confirmation yet.</w:t>
            </w:r>
          </w:p>
        </w:tc>
      </w:tr>
      <w:tr>
        <w:trPr>
          <w:cantSplit/>
        </w:trPr>
        <w:tc>
          <w:tcPr>
            <w:tcW w:type="dxa" w:w="1066"/>
            <w:tcMar>
              <w:top w:w="60" w:type="dxa"/>
              <w:start w:w="110" w:type="dxa"/>
              <w:bottom w:w="60" w:type="dxa"/>
              <w:end w:w="110" w:type="dxa"/>
            </w:tcMar>
          </w:tcPr>
          <w:p>
            <w:pPr>
              <w:spacing w:after="0"/>
            </w:pPr>
            <w:r/>
            <w:r>
              <w:rPr>
                <w:rFonts w:ascii="Calibri" w:hAnsi="Calibri"/>
                <w:b w:val="0"/>
                <w:i w:val="0"/>
                <w:color w:val="101828"/>
                <w:sz w:val="14"/>
              </w:rPr>
              <w:t>Receipt</w:t>
            </w:r>
          </w:p>
        </w:tc>
        <w:tc>
          <w:tcPr>
            <w:tcW w:type="dxa" w:w="605"/>
            <w:tcMar>
              <w:top w:w="60" w:type="dxa"/>
              <w:start w:w="110" w:type="dxa"/>
              <w:bottom w:w="60" w:type="dxa"/>
              <w:end w:w="110" w:type="dxa"/>
            </w:tcMar>
          </w:tcPr>
          <w:p>
            <w:pPr>
              <w:spacing w:after="0"/>
            </w:pPr>
            <w:r/>
            <w:r>
              <w:rPr>
                <w:rFonts w:ascii="Calibri" w:hAnsi="Calibri"/>
                <w:b w:val="0"/>
                <w:i w:val="0"/>
                <w:color w:val="101828"/>
                <w:sz w:val="14"/>
              </w:rPr>
              <w:t>Receipt</w:t>
            </w:r>
          </w:p>
        </w:tc>
        <w:tc>
          <w:tcPr>
            <w:tcW w:type="dxa" w:w="7690"/>
            <w:tcMar>
              <w:top w:w="60" w:type="dxa"/>
              <w:start w:w="110" w:type="dxa"/>
              <w:bottom w:w="60" w:type="dxa"/>
              <w:end w:w="110" w:type="dxa"/>
            </w:tcMar>
          </w:tcPr>
          <w:p>
            <w:pPr>
              <w:spacing w:after="0"/>
            </w:pPr>
            <w:r/>
            <w:r>
              <w:rPr>
                <w:rFonts w:ascii="Calibri" w:hAnsi="Calibri"/>
                <w:b w:val="0"/>
                <w:i w:val="0"/>
                <w:color w:val="101828"/>
                <w:sz w:val="14"/>
              </w:rPr>
              <w:t>The three lines, a reference, a timestamp, the payer, the Ajo, and the round. Downloadable as PDF and shareable as an image.</w:t>
            </w:r>
          </w:p>
        </w:tc>
      </w:tr>
      <w:tr>
        <w:trPr>
          <w:cantSplit/>
        </w:trPr>
        <w:tc>
          <w:tcPr>
            <w:tcW w:type="dxa" w:w="1066"/>
            <w:tcMar>
              <w:top w:w="60" w:type="dxa"/>
              <w:start w:w="110" w:type="dxa"/>
              <w:bottom w:w="60" w:type="dxa"/>
              <w:end w:w="110" w:type="dxa"/>
            </w:tcMar>
            <w:shd w:val="clear" w:color="auto" w:fill="F4F7FB"/>
          </w:tcPr>
          <w:p>
            <w:pPr>
              <w:spacing w:after="0"/>
            </w:pPr>
            <w:r/>
            <w:r>
              <w:rPr>
                <w:rFonts w:ascii="Calibri" w:hAnsi="Calibri"/>
                <w:b w:val="0"/>
                <w:i w:val="0"/>
                <w:color w:val="101828"/>
                <w:sz w:val="14"/>
              </w:rPr>
              <w:t>Transaction detail</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Single</w:t>
            </w:r>
          </w:p>
        </w:tc>
        <w:tc>
          <w:tcPr>
            <w:tcW w:type="dxa" w:w="7690"/>
            <w:tcMar>
              <w:top w:w="60" w:type="dxa"/>
              <w:start w:w="110" w:type="dxa"/>
              <w:bottom w:w="60" w:type="dxa"/>
              <w:end w:w="110" w:type="dxa"/>
            </w:tcMar>
            <w:shd w:val="clear" w:color="auto" w:fill="F4F7FB"/>
          </w:tcPr>
          <w:p>
            <w:pPr>
              <w:spacing w:after="0"/>
            </w:pPr>
            <w:r/>
            <w:r>
              <w:rPr>
                <w:rFonts w:ascii="Calibri" w:hAnsi="Calibri"/>
                <w:b w:val="0"/>
                <w:i w:val="0"/>
                <w:color w:val="101828"/>
                <w:sz w:val="14"/>
              </w:rPr>
              <w:t>The three lines, the round, the state word, and the reference.</w:t>
            </w:r>
          </w:p>
        </w:tc>
      </w:tr>
      <w:tr>
        <w:trPr>
          <w:cantSplit/>
        </w:trPr>
        <w:tc>
          <w:tcPr>
            <w:tcW w:type="dxa" w:w="1066"/>
            <w:tcMar>
              <w:top w:w="60" w:type="dxa"/>
              <w:start w:w="110" w:type="dxa"/>
              <w:bottom w:w="60" w:type="dxa"/>
              <w:end w:w="110" w:type="dxa"/>
            </w:tcMar>
          </w:tcPr>
          <w:p>
            <w:pPr>
              <w:spacing w:after="0"/>
            </w:pPr>
            <w:r/>
            <w:r>
              <w:rPr>
                <w:rFonts w:ascii="Calibri" w:hAnsi="Calibri"/>
                <w:b w:val="0"/>
                <w:i w:val="0"/>
                <w:color w:val="101828"/>
                <w:sz w:val="14"/>
              </w:rPr>
              <w:t>Payout</w:t>
            </w:r>
          </w:p>
        </w:tc>
        <w:tc>
          <w:tcPr>
            <w:tcW w:type="dxa" w:w="605"/>
            <w:tcMar>
              <w:top w:w="60" w:type="dxa"/>
              <w:start w:w="110" w:type="dxa"/>
              <w:bottom w:w="60" w:type="dxa"/>
              <w:end w:w="110" w:type="dxa"/>
            </w:tcMar>
          </w:tcPr>
          <w:p>
            <w:pPr>
              <w:spacing w:after="0"/>
            </w:pPr>
            <w:r/>
            <w:r>
              <w:rPr>
                <w:rFonts w:ascii="Calibri" w:hAnsi="Calibri"/>
                <w:b w:val="0"/>
                <w:i w:val="0"/>
                <w:color w:val="101828"/>
                <w:sz w:val="14"/>
              </w:rPr>
              <w:t>Receipt</w:t>
            </w:r>
          </w:p>
        </w:tc>
        <w:tc>
          <w:tcPr>
            <w:tcW w:type="dxa" w:w="7690"/>
            <w:tcMar>
              <w:top w:w="60" w:type="dxa"/>
              <w:start w:w="110" w:type="dxa"/>
              <w:bottom w:w="60" w:type="dxa"/>
              <w:end w:w="110" w:type="dxa"/>
            </w:tcMar>
          </w:tcPr>
          <w:p>
            <w:pPr>
              <w:spacing w:after="0"/>
            </w:pPr>
            <w:r/>
            <w:r>
              <w:rPr>
                <w:rFonts w:ascii="Calibri" w:hAnsi="Calibri"/>
                <w:b w:val="0"/>
                <w:i w:val="0"/>
                <w:color w:val="101828"/>
                <w:sz w:val="14"/>
              </w:rPr>
              <w:t>The gross payout, no fee line, and the note that no fee is charged on receipt of funds.</w:t>
            </w:r>
          </w:p>
        </w:tc>
      </w:tr>
      <w:tr>
        <w:trPr>
          <w:cantSplit/>
        </w:trPr>
        <w:tc>
          <w:tcPr>
            <w:tcW w:type="dxa" w:w="1066"/>
            <w:tcMar>
              <w:top w:w="60" w:type="dxa"/>
              <w:start w:w="110" w:type="dxa"/>
              <w:bottom w:w="60" w:type="dxa"/>
              <w:end w:w="110" w:type="dxa"/>
            </w:tcMar>
            <w:shd w:val="clear" w:color="auto" w:fill="F4F7FB"/>
          </w:tcPr>
          <w:p>
            <w:pPr>
              <w:spacing w:after="0"/>
            </w:pPr>
            <w:r/>
            <w:r>
              <w:rPr>
                <w:rFonts w:ascii="Calibri" w:hAnsi="Calibri"/>
                <w:b w:val="0"/>
                <w:i w:val="0"/>
                <w:color w:val="101828"/>
                <w:sz w:val="14"/>
              </w:rPr>
              <w:t>Console, Ajo view</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Table</w:t>
            </w:r>
          </w:p>
        </w:tc>
        <w:tc>
          <w:tcPr>
            <w:tcW w:type="dxa" w:w="7690"/>
            <w:tcMar>
              <w:top w:w="60" w:type="dxa"/>
              <w:start w:w="110" w:type="dxa"/>
              <w:bottom w:w="60" w:type="dxa"/>
              <w:end w:w="110" w:type="dxa"/>
            </w:tcMar>
            <w:shd w:val="clear" w:color="auto" w:fill="F4F7FB"/>
          </w:tcPr>
          <w:p>
            <w:pPr>
              <w:spacing w:after="0"/>
            </w:pPr>
            <w:r/>
            <w:r>
              <w:rPr>
                <w:rFonts w:ascii="Calibri" w:hAnsi="Calibri"/>
                <w:b w:val="0"/>
                <w:i w:val="0"/>
                <w:color w:val="101828"/>
                <w:sz w:val="14"/>
              </w:rPr>
              <w:t>Contribution and fee as two columns, never a computed total.</w:t>
            </w:r>
          </w:p>
        </w:tc>
      </w:tr>
    </w:tbl>
    <w:p>
      <w:pPr>
        <w:spacing w:after="80"/>
      </w:pPr>
    </w:p>
    <w:p>
      <w:pPr>
        <w:spacing w:before="140" w:after="180"/>
        <w:ind w:left="144"/>
        <w:shd w:val="clear" w:color="auto" w:fill="E0F2FE"/>
        <w:pBdr>
          <w:left w:val="single" w:sz="18" w:space="6" w:color="22C7D6"/>
        </w:pBdr>
      </w:pPr>
      <w:r>
        <w:rPr>
          <w:rFonts w:ascii="Calibri" w:hAnsi="Calibri"/>
          <w:b/>
          <w:color w:val="22C7D6"/>
          <w:sz w:val="19"/>
        </w:rPr>
        <w:t xml:space="preserve">No fee is charged on payout  </w:t>
      </w:r>
      <w:r>
        <w:rPr>
          <w:rFonts w:ascii="Calibri" w:hAnsi="Calibri"/>
          <w:b w:val="0"/>
          <w:i w:val="0"/>
          <w:color w:val="0B1F3A"/>
          <w:sz w:val="19"/>
        </w:rPr>
        <w:t>The 2 percent fee is charged once, on contribution, and never on payout. The payout surface therefore has no fee line at all, and this is stated in the component rather than left as an absence, because a payout showing a fee line with a zero in it invites a support conversation that a line with no fee on it does not. The console's Ajo view does show both figures per member, because that is where a reviewer is reconciling what was taken against what was pooled, and there the total is a column rather than a headline.</w:t>
      </w:r>
    </w:p>
    <w:p>
      <w:pPr>
        <w:pStyle w:val="Heading3"/>
      </w:pPr>
      <w:r>
        <w:rPr>
          <w:rFonts w:ascii="Calibri" w:hAnsi="Calibri"/>
          <w:b/>
          <w:i w:val="0"/>
          <w:color w:val="0B1F3A"/>
          <w:sz w:val="24"/>
        </w:rPr>
        <w:t>7.12.3 Payout emphasis</w:t>
      </w:r>
    </w:p>
    <w:p>
      <w:r>
        <w:rPr>
          <w:rFonts w:ascii="Calibri" w:hAnsi="Calibri"/>
          <w:b w:val="0"/>
          <w:i w:val="0"/>
          <w:color w:val="101828"/>
          <w:sz w:val="21"/>
        </w:rPr>
        <w:t xml:space="preserve">A payout is the only figure in the product set in </w:t>
      </w:r>
      <w:r>
        <w:rPr>
          <w:rFonts w:ascii="Consolas" w:hAnsi="Consolas"/>
          <w:color w:val="146EF5"/>
          <w:sz w:val="21"/>
        </w:rPr>
        <w:t>money-lg</w:t>
      </w:r>
      <w:r>
        <w:rPr>
          <w:rFonts w:ascii="Calibri" w:hAnsi="Calibri"/>
          <w:b w:val="0"/>
          <w:i w:val="0"/>
          <w:color w:val="101828"/>
          <w:sz w:val="21"/>
        </w:rPr>
        <w:t xml:space="preserve"> on its own screen, and it is the only place Gold appears on a figure. It is centred on the payout surface and nowhere else, because centring is correct exactly once per Ajo and becomes noise the second time. The payout screen carries the amount, the date, the destination reference, and one primary action — </w:t>
      </w:r>
      <w:r>
        <w:rPr>
          <w:rFonts w:ascii="Calibri" w:hAnsi="Calibri"/>
          <w:i/>
          <w:color w:val="101828"/>
          <w:sz w:val="21"/>
        </w:rPr>
        <w:t>Done</w:t>
      </w:r>
      <w:r>
        <w:rPr>
          <w:rFonts w:ascii="Calibri" w:hAnsi="Calibri"/>
          <w:b w:val="0"/>
          <w:i w:val="0"/>
          <w:color w:val="101828"/>
          <w:sz w:val="21"/>
        </w:rPr>
        <w:t xml:space="preserve"> — with no share and no celebration animation. A member receiving money is not a milestone; the routine case is ten times out of ten.</w:t>
      </w:r>
    </w:p>
    <w:p>
      <w:pPr>
        <w:spacing w:before="0" w:after="0" w:line="240" w:lineRule="auto"/>
        <w:ind w:left="230"/>
        <w:shd w:val="clear" w:color="auto" w:fill="F7F9FC"/>
        <w:pBdr>
          <w:left w:val="single" w:sz="4" w:space="6" w:color="D0D5DD"/>
        </w:pBdr>
      </w:pPr>
      <w:r>
        <w:rPr>
          <w:rFonts w:ascii="Consolas" w:hAnsi="Consolas"/>
          <w:color w:val="0B1F3A"/>
          <w:sz w:val="16"/>
        </w:rPr>
        <w:t>Payout received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NGN 10,000.00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to Kemi A.  ·  GTBank  ·  0451128873</w:t>
      </w:r>
    </w:p>
    <w:p>
      <w:pPr>
        <w:spacing w:before="0" w:after="0" w:line="240" w:lineRule="auto"/>
        <w:ind w:left="230"/>
        <w:shd w:val="clear" w:color="auto" w:fill="F7F9FC"/>
        <w:pBdr>
          <w:left w:val="single" w:sz="4" w:space="6" w:color="D0D5DD"/>
        </w:pBdr>
      </w:pPr>
      <w:r>
        <w:rPr>
          <w:rFonts w:ascii="Consolas" w:hAnsi="Consolas"/>
          <w:color w:val="0B1F3A"/>
          <w:sz w:val="16"/>
        </w:rPr>
        <w:t xml:space="preserve">        20 Nov 2026</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Done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No service fee is charged on a payout.</w:t>
      </w:r>
    </w:p>
    <w:p>
      <w:r>
        <w:br w:type="page"/>
      </w:r>
    </w:p>
    <w:p>
      <w:pPr>
        <w:pStyle w:val="Heading2"/>
      </w:pPr>
      <w:r>
        <w:rPr>
          <w:rFonts w:ascii="Calibri" w:hAnsi="Calibri"/>
          <w:b/>
          <w:i w:val="0"/>
          <w:color w:val="146EF5"/>
          <w:sz w:val="29"/>
        </w:rPr>
        <w:t>7.13 Motion</w:t>
      </w:r>
    </w:p>
    <w:p>
      <w:r>
        <w:rPr>
          <w:rFonts w:ascii="Calibri" w:hAnsi="Calibri"/>
          <w:b w:val="0"/>
          <w:i w:val="0"/>
          <w:color w:val="101828"/>
          <w:sz w:val="21"/>
        </w:rPr>
        <w:t xml:space="preserve">Motion in this product has one job: to explain a change of state. It is not used for personality, and it is not used to reward. </w:t>
      </w:r>
      <w:r>
        <w:rPr>
          <w:rFonts w:ascii="Calibri" w:hAnsi="Calibri"/>
          <w:b/>
          <w:color w:val="101828"/>
          <w:sz w:val="21"/>
        </w:rPr>
        <w:t>Every duration in the product is between 150 ms and 250 ms</w:t>
      </w:r>
      <w:r>
        <w:rPr>
          <w:rFonts w:ascii="Calibri" w:hAnsi="Calibri"/>
          <w:b w:val="0"/>
          <w:i w:val="0"/>
          <w:color w:val="101828"/>
          <w:sz w:val="21"/>
        </w:rPr>
        <w:t>, which is long enough for the eye to track a change and short enough that a person paying money does not wait for it.</w:t>
      </w:r>
    </w:p>
    <w:p>
      <w:pPr>
        <w:pStyle w:val="Heading3"/>
      </w:pPr>
      <w:r>
        <w:rPr>
          <w:rFonts w:ascii="Calibri" w:hAnsi="Calibri"/>
          <w:b/>
          <w:i w:val="0"/>
          <w:color w:val="0B1F3A"/>
          <w:sz w:val="24"/>
        </w:rPr>
        <w:t>7.13.1 Duration and easing</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037"/>
            <w:shd w:val="clear" w:color="auto" w:fill="0B1F3A"/>
            <w:tcMar>
              <w:top w:w="60" w:type="dxa"/>
              <w:start w:w="110" w:type="dxa"/>
              <w:bottom w:w="60" w:type="dxa"/>
              <w:end w:w="110" w:type="dxa"/>
            </w:tcMar>
          </w:tcPr>
          <w:p>
            <w:pPr>
              <w:spacing w:after="0"/>
            </w:pPr>
            <w:r/>
            <w:r>
              <w:rPr>
                <w:rFonts w:ascii="Calibri" w:hAnsi="Calibri"/>
                <w:b/>
                <w:i w:val="0"/>
                <w:color w:val="FFFFFF"/>
                <w:sz w:val="14"/>
              </w:rPr>
              <w:t>Token</w:t>
            </w:r>
          </w:p>
        </w:tc>
        <w:tc>
          <w:tcPr>
            <w:tcW w:type="dxa" w:w="605"/>
            <w:shd w:val="clear" w:color="auto" w:fill="0B1F3A"/>
            <w:tcMar>
              <w:top w:w="60" w:type="dxa"/>
              <w:start w:w="110" w:type="dxa"/>
              <w:bottom w:w="60" w:type="dxa"/>
              <w:end w:w="110" w:type="dxa"/>
            </w:tcMar>
          </w:tcPr>
          <w:p>
            <w:pPr>
              <w:spacing w:after="0"/>
            </w:pPr>
            <w:r/>
            <w:r>
              <w:rPr>
                <w:rFonts w:ascii="Calibri" w:hAnsi="Calibri"/>
                <w:b/>
                <w:i w:val="0"/>
                <w:color w:val="FFFFFF"/>
                <w:sz w:val="14"/>
              </w:rPr>
              <w:t>Duration</w:t>
            </w:r>
          </w:p>
        </w:tc>
        <w:tc>
          <w:tcPr>
            <w:tcW w:type="dxa" w:w="2232"/>
            <w:shd w:val="clear" w:color="auto" w:fill="0B1F3A"/>
            <w:tcMar>
              <w:top w:w="60" w:type="dxa"/>
              <w:start w:w="110" w:type="dxa"/>
              <w:bottom w:w="60" w:type="dxa"/>
              <w:end w:w="110" w:type="dxa"/>
            </w:tcMar>
          </w:tcPr>
          <w:p>
            <w:pPr>
              <w:spacing w:after="0"/>
            </w:pPr>
            <w:r/>
            <w:r>
              <w:rPr>
                <w:rFonts w:ascii="Calibri" w:hAnsi="Calibri"/>
                <w:b/>
                <w:i w:val="0"/>
                <w:color w:val="FFFFFF"/>
                <w:sz w:val="14"/>
              </w:rPr>
              <w:t>Easing</w:t>
            </w:r>
          </w:p>
        </w:tc>
        <w:tc>
          <w:tcPr>
            <w:tcW w:type="dxa" w:w="5486"/>
            <w:shd w:val="clear" w:color="auto" w:fill="0B1F3A"/>
            <w:tcMar>
              <w:top w:w="60" w:type="dxa"/>
              <w:start w:w="110" w:type="dxa"/>
              <w:bottom w:w="60" w:type="dxa"/>
              <w:end w:w="110" w:type="dxa"/>
            </w:tcMar>
          </w:tcPr>
          <w:p>
            <w:pPr>
              <w:spacing w:after="0"/>
            </w:pPr>
            <w:r/>
            <w:r>
              <w:rPr>
                <w:rFonts w:ascii="Calibri" w:hAnsi="Calibri"/>
                <w:b/>
                <w:i w:val="0"/>
                <w:color w:val="FFFFFF"/>
                <w:sz w:val="14"/>
              </w:rPr>
              <w:t>Applied to</w:t>
            </w:r>
          </w:p>
        </w:tc>
      </w:tr>
      <w:tr>
        <w:trPr>
          <w:cantSplit/>
        </w:trPr>
        <w:tc>
          <w:tcPr>
            <w:tcW w:type="dxa" w:w="1037"/>
            <w:tcMar>
              <w:top w:w="60" w:type="dxa"/>
              <w:start w:w="110" w:type="dxa"/>
              <w:bottom w:w="60" w:type="dxa"/>
              <w:end w:w="110" w:type="dxa"/>
            </w:tcMar>
          </w:tcPr>
          <w:p>
            <w:pPr>
              <w:spacing w:after="0"/>
            </w:pPr>
            <w:r/>
            <w:r>
              <w:rPr>
                <w:rFonts w:ascii="Calibri" w:hAnsi="Calibri"/>
                <w:b w:val="0"/>
                <w:i w:val="0"/>
                <w:color w:val="101828"/>
                <w:sz w:val="14"/>
              </w:rPr>
              <w:t>motion-instant</w:t>
            </w:r>
          </w:p>
        </w:tc>
        <w:tc>
          <w:tcPr>
            <w:tcW w:type="dxa" w:w="605"/>
            <w:tcMar>
              <w:top w:w="60" w:type="dxa"/>
              <w:start w:w="110" w:type="dxa"/>
              <w:bottom w:w="60" w:type="dxa"/>
              <w:end w:w="110" w:type="dxa"/>
            </w:tcMar>
          </w:tcPr>
          <w:p>
            <w:pPr>
              <w:spacing w:after="0"/>
            </w:pPr>
            <w:r/>
            <w:r>
              <w:rPr>
                <w:rFonts w:ascii="Calibri" w:hAnsi="Calibri"/>
                <w:b w:val="0"/>
                <w:i w:val="0"/>
                <w:color w:val="101828"/>
                <w:sz w:val="14"/>
              </w:rPr>
              <w:t>0 ms</w:t>
            </w:r>
          </w:p>
        </w:tc>
        <w:tc>
          <w:tcPr>
            <w:tcW w:type="dxa" w:w="2232"/>
            <w:tcMar>
              <w:top w:w="60" w:type="dxa"/>
              <w:start w:w="110" w:type="dxa"/>
              <w:bottom w:w="60" w:type="dxa"/>
              <w:end w:w="110" w:type="dxa"/>
            </w:tcMar>
          </w:tcPr>
          <w:p>
            <w:pPr>
              <w:spacing w:after="0"/>
            </w:pPr>
            <w:r/>
            <w:r>
              <w:rPr>
                <w:rFonts w:ascii="Calibri" w:hAnsi="Calibri"/>
                <w:b w:val="0"/>
                <w:i w:val="0"/>
                <w:color w:val="101828"/>
                <w:sz w:val="14"/>
              </w:rPr>
              <w:t>none</w:t>
            </w:r>
          </w:p>
        </w:tc>
        <w:tc>
          <w:tcPr>
            <w:tcW w:type="dxa" w:w="5486"/>
            <w:tcMar>
              <w:top w:w="60" w:type="dxa"/>
              <w:start w:w="110" w:type="dxa"/>
              <w:bottom w:w="60" w:type="dxa"/>
              <w:end w:w="110" w:type="dxa"/>
            </w:tcMar>
          </w:tcPr>
          <w:p>
            <w:pPr>
              <w:spacing w:after="0"/>
            </w:pPr>
            <w:r/>
            <w:r>
              <w:rPr>
                <w:rFonts w:ascii="Calibri" w:hAnsi="Calibri"/>
                <w:b w:val="0"/>
                <w:i w:val="0"/>
                <w:color w:val="101828"/>
                <w:sz w:val="14"/>
              </w:rPr>
              <w:t>State changes that must feel immediate: button press, checkbox, tab change</w:t>
            </w:r>
          </w:p>
        </w:tc>
      </w:tr>
      <w:tr>
        <w:trPr>
          <w:cantSplit/>
        </w:trPr>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motion-fast</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150 ms</w:t>
            </w:r>
          </w:p>
        </w:tc>
        <w:tc>
          <w:tcPr>
            <w:tcW w:type="dxa" w:w="2232"/>
            <w:tcMar>
              <w:top w:w="60" w:type="dxa"/>
              <w:start w:w="110" w:type="dxa"/>
              <w:bottom w:w="60" w:type="dxa"/>
              <w:end w:w="110" w:type="dxa"/>
            </w:tcMar>
            <w:shd w:val="clear" w:color="auto" w:fill="F4F7FB"/>
          </w:tcPr>
          <w:p>
            <w:pPr>
              <w:spacing w:after="0"/>
            </w:pPr>
            <w:r/>
            <w:r>
              <w:rPr>
                <w:rFonts w:ascii="Consolas" w:hAnsi="Consolas"/>
                <w:color w:val="146EF5"/>
                <w:sz w:val="14"/>
              </w:rPr>
              <w:t>cubic-bezier(0.2, 0, 0, 1)</w:t>
            </w:r>
          </w:p>
        </w:tc>
        <w:tc>
          <w:tcPr>
            <w:tcW w:type="dxa" w:w="5486"/>
            <w:tcMar>
              <w:top w:w="60" w:type="dxa"/>
              <w:start w:w="110" w:type="dxa"/>
              <w:bottom w:w="60" w:type="dxa"/>
              <w:end w:w="110" w:type="dxa"/>
            </w:tcMar>
            <w:shd w:val="clear" w:color="auto" w:fill="F4F7FB"/>
          </w:tcPr>
          <w:p>
            <w:pPr>
              <w:spacing w:after="0"/>
            </w:pPr>
            <w:r/>
            <w:r>
              <w:rPr>
                <w:rFonts w:ascii="Calibri" w:hAnsi="Calibri"/>
                <w:b w:val="0"/>
                <w:i w:val="0"/>
                <w:color w:val="101828"/>
                <w:sz w:val="14"/>
              </w:rPr>
              <w:t>Sheets and menus entering, list rows appearing, banner reveal</w:t>
            </w:r>
          </w:p>
        </w:tc>
      </w:tr>
      <w:tr>
        <w:trPr>
          <w:cantSplit/>
        </w:trPr>
        <w:tc>
          <w:tcPr>
            <w:tcW w:type="dxa" w:w="1037"/>
            <w:tcMar>
              <w:top w:w="60" w:type="dxa"/>
              <w:start w:w="110" w:type="dxa"/>
              <w:bottom w:w="60" w:type="dxa"/>
              <w:end w:w="110" w:type="dxa"/>
            </w:tcMar>
          </w:tcPr>
          <w:p>
            <w:pPr>
              <w:spacing w:after="0"/>
            </w:pPr>
            <w:r/>
            <w:r>
              <w:rPr>
                <w:rFonts w:ascii="Calibri" w:hAnsi="Calibri"/>
                <w:b w:val="0"/>
                <w:i w:val="0"/>
                <w:color w:val="101828"/>
                <w:sz w:val="14"/>
              </w:rPr>
              <w:t>motion-base</w:t>
            </w:r>
          </w:p>
        </w:tc>
        <w:tc>
          <w:tcPr>
            <w:tcW w:type="dxa" w:w="605"/>
            <w:tcMar>
              <w:top w:w="60" w:type="dxa"/>
              <w:start w:w="110" w:type="dxa"/>
              <w:bottom w:w="60" w:type="dxa"/>
              <w:end w:w="110" w:type="dxa"/>
            </w:tcMar>
          </w:tcPr>
          <w:p>
            <w:pPr>
              <w:spacing w:after="0"/>
            </w:pPr>
            <w:r/>
            <w:r>
              <w:rPr>
                <w:rFonts w:ascii="Calibri" w:hAnsi="Calibri"/>
                <w:b w:val="0"/>
                <w:i w:val="0"/>
                <w:color w:val="101828"/>
                <w:sz w:val="14"/>
              </w:rPr>
              <w:t>200 ms</w:t>
            </w:r>
          </w:p>
        </w:tc>
        <w:tc>
          <w:tcPr>
            <w:tcW w:type="dxa" w:w="2232"/>
            <w:tcMar>
              <w:top w:w="60" w:type="dxa"/>
              <w:start w:w="110" w:type="dxa"/>
              <w:bottom w:w="60" w:type="dxa"/>
              <w:end w:w="110" w:type="dxa"/>
            </w:tcMar>
          </w:tcPr>
          <w:p>
            <w:pPr>
              <w:spacing w:after="0"/>
            </w:pPr>
            <w:r/>
            <w:r>
              <w:rPr>
                <w:rFonts w:ascii="Consolas" w:hAnsi="Consolas"/>
                <w:color w:val="146EF5"/>
                <w:sz w:val="14"/>
              </w:rPr>
              <w:t>cubic-bezier(0.2, 0, 0, 1)</w:t>
            </w:r>
          </w:p>
        </w:tc>
        <w:tc>
          <w:tcPr>
            <w:tcW w:type="dxa" w:w="5486"/>
            <w:tcMar>
              <w:top w:w="60" w:type="dxa"/>
              <w:start w:w="110" w:type="dxa"/>
              <w:bottom w:w="60" w:type="dxa"/>
              <w:end w:w="110" w:type="dxa"/>
            </w:tcMar>
          </w:tcPr>
          <w:p>
            <w:pPr>
              <w:spacing w:after="0"/>
            </w:pPr>
            <w:r/>
            <w:r>
              <w:rPr>
                <w:rFonts w:ascii="Calibri" w:hAnsi="Calibri"/>
                <w:b w:val="0"/>
                <w:i w:val="0"/>
                <w:color w:val="101828"/>
                <w:sz w:val="14"/>
              </w:rPr>
              <w:t>Card expansion, the round timeline advancing, amount changes</w:t>
            </w:r>
          </w:p>
        </w:tc>
      </w:tr>
      <w:tr>
        <w:trPr>
          <w:cantSplit/>
        </w:trPr>
        <w:tc>
          <w:tcPr>
            <w:tcW w:type="dxa" w:w="1037"/>
            <w:tcMar>
              <w:top w:w="60" w:type="dxa"/>
              <w:start w:w="110" w:type="dxa"/>
              <w:bottom w:w="60" w:type="dxa"/>
              <w:end w:w="110" w:type="dxa"/>
            </w:tcMar>
            <w:shd w:val="clear" w:color="auto" w:fill="F4F7FB"/>
          </w:tcPr>
          <w:p>
            <w:pPr>
              <w:spacing w:after="0"/>
            </w:pPr>
            <w:r/>
            <w:r>
              <w:rPr>
                <w:rFonts w:ascii="Calibri" w:hAnsi="Calibri"/>
                <w:b w:val="0"/>
                <w:i w:val="0"/>
                <w:color w:val="101828"/>
                <w:sz w:val="14"/>
              </w:rPr>
              <w:t>motion-slow</w:t>
            </w:r>
          </w:p>
        </w:tc>
        <w:tc>
          <w:tcPr>
            <w:tcW w:type="dxa" w:w="605"/>
            <w:tcMar>
              <w:top w:w="60" w:type="dxa"/>
              <w:start w:w="110" w:type="dxa"/>
              <w:bottom w:w="60" w:type="dxa"/>
              <w:end w:w="110" w:type="dxa"/>
            </w:tcMar>
            <w:shd w:val="clear" w:color="auto" w:fill="F4F7FB"/>
          </w:tcPr>
          <w:p>
            <w:pPr>
              <w:spacing w:after="0"/>
            </w:pPr>
            <w:r/>
            <w:r>
              <w:rPr>
                <w:rFonts w:ascii="Calibri" w:hAnsi="Calibri"/>
                <w:b w:val="0"/>
                <w:i w:val="0"/>
                <w:color w:val="101828"/>
                <w:sz w:val="14"/>
              </w:rPr>
              <w:t>250 ms</w:t>
            </w:r>
          </w:p>
        </w:tc>
        <w:tc>
          <w:tcPr>
            <w:tcW w:type="dxa" w:w="2232"/>
            <w:tcMar>
              <w:top w:w="60" w:type="dxa"/>
              <w:start w:w="110" w:type="dxa"/>
              <w:bottom w:w="60" w:type="dxa"/>
              <w:end w:w="110" w:type="dxa"/>
            </w:tcMar>
            <w:shd w:val="clear" w:color="auto" w:fill="F4F7FB"/>
          </w:tcPr>
          <w:p>
            <w:pPr>
              <w:spacing w:after="0"/>
            </w:pPr>
            <w:r/>
            <w:r>
              <w:rPr>
                <w:rFonts w:ascii="Consolas" w:hAnsi="Consolas"/>
                <w:color w:val="146EF5"/>
                <w:sz w:val="14"/>
              </w:rPr>
              <w:t>cubic-bezier(0.4, 0, 0.2, 1)</w:t>
            </w:r>
          </w:p>
        </w:tc>
        <w:tc>
          <w:tcPr>
            <w:tcW w:type="dxa" w:w="5486"/>
            <w:tcMar>
              <w:top w:w="60" w:type="dxa"/>
              <w:start w:w="110" w:type="dxa"/>
              <w:bottom w:w="60" w:type="dxa"/>
              <w:end w:w="110" w:type="dxa"/>
            </w:tcMar>
            <w:shd w:val="clear" w:color="auto" w:fill="F4F7FB"/>
          </w:tcPr>
          <w:p>
            <w:pPr>
              <w:spacing w:after="0"/>
            </w:pPr>
            <w:r/>
            <w:r>
              <w:rPr>
                <w:rFonts w:ascii="Calibri" w:hAnsi="Calibri"/>
                <w:b w:val="0"/>
                <w:i w:val="0"/>
                <w:color w:val="101828"/>
                <w:sz w:val="14"/>
              </w:rPr>
              <w:t>Page-level transitions, the step change in the wizard</w:t>
            </w:r>
          </w:p>
        </w:tc>
      </w:tr>
    </w:tbl>
    <w:p>
      <w:pPr>
        <w:spacing w:after="80"/>
      </w:pPr>
    </w:p>
    <w:p>
      <w:pPr>
        <w:pStyle w:val="Heading3"/>
      </w:pPr>
      <w:r>
        <w:rPr>
          <w:rFonts w:ascii="Calibri" w:hAnsi="Calibri"/>
          <w:b/>
          <w:i w:val="0"/>
          <w:color w:val="0B1F3A"/>
          <w:sz w:val="24"/>
        </w:rPr>
        <w:t>7.13.2 What is allowed</w:t>
      </w:r>
    </w:p>
    <w:p>
      <w:pPr>
        <w:pStyle w:val="ListBullet"/>
        <w:spacing w:after="60"/>
        <w:ind w:left="360"/>
      </w:pPr>
      <w:r>
        <w:rPr>
          <w:rFonts w:ascii="Calibri" w:hAnsi="Calibri"/>
          <w:b/>
          <w:color w:val="101828"/>
          <w:sz w:val="21"/>
        </w:rPr>
        <w:t>A sheet rising 16 px and fading in</w:t>
      </w:r>
      <w:r>
        <w:rPr>
          <w:rFonts w:ascii="Calibri" w:hAnsi="Calibri"/>
          <w:b w:val="0"/>
          <w:i w:val="0"/>
          <w:color w:val="101828"/>
          <w:sz w:val="21"/>
        </w:rPr>
        <w:t xml:space="preserve"> over 150 ms. This is the maximum travel distance in the product.</w:t>
      </w:r>
    </w:p>
    <w:p>
      <w:pPr>
        <w:pStyle w:val="ListBullet"/>
        <w:spacing w:after="60"/>
        <w:ind w:left="360"/>
      </w:pPr>
      <w:r>
        <w:rPr>
          <w:rFonts w:ascii="Calibri" w:hAnsi="Calibri"/>
          <w:b/>
          <w:color w:val="101828"/>
          <w:sz w:val="21"/>
        </w:rPr>
        <w:t>A list row appearing</w:t>
      </w:r>
      <w:r>
        <w:rPr>
          <w:rFonts w:ascii="Calibri" w:hAnsi="Calibri"/>
          <w:b w:val="0"/>
          <w:i w:val="0"/>
          <w:color w:val="101828"/>
          <w:sz w:val="21"/>
        </w:rPr>
        <w:t xml:space="preserve"> as a 150 ms fade with an 8 px rise, capped at the first eight rows. A staggered cascade is prohibited; it delays the tenth payment behind nine decorations.</w:t>
      </w:r>
    </w:p>
    <w:p>
      <w:pPr>
        <w:pStyle w:val="ListBullet"/>
        <w:spacing w:after="60"/>
        <w:ind w:left="360"/>
      </w:pPr>
      <w:r>
        <w:rPr>
          <w:rFonts w:ascii="Calibri" w:hAnsi="Calibri"/>
          <w:b/>
          <w:color w:val="101828"/>
          <w:sz w:val="21"/>
        </w:rPr>
        <w:t>A round timeline advancing</w:t>
      </w:r>
      <w:r>
        <w:rPr>
          <w:rFonts w:ascii="Calibri" w:hAnsi="Calibri"/>
          <w:b w:val="0"/>
          <w:i w:val="0"/>
          <w:color w:val="101828"/>
          <w:sz w:val="21"/>
        </w:rPr>
        <w:t xml:space="preserve"> one position over 200 ms, with the new position's label cross-fading in the same interval.</w:t>
      </w:r>
    </w:p>
    <w:p>
      <w:pPr>
        <w:pStyle w:val="ListBullet"/>
        <w:spacing w:after="60"/>
        <w:ind w:left="360"/>
      </w:pPr>
      <w:r>
        <w:rPr>
          <w:rFonts w:ascii="Calibri" w:hAnsi="Calibri"/>
          <w:b/>
          <w:color w:val="101828"/>
          <w:sz w:val="21"/>
        </w:rPr>
        <w:t>An amount changing</w:t>
      </w:r>
      <w:r>
        <w:rPr>
          <w:rFonts w:ascii="Calibri" w:hAnsi="Calibri"/>
          <w:b w:val="0"/>
          <w:i w:val="0"/>
          <w:color w:val="101828"/>
          <w:sz w:val="21"/>
        </w:rPr>
        <w:t xml:space="preserve"> by a 200 ms cross-fade, never by a count-up. A number counting upward to a figure is a number that is briefly wrong, and it is the wrong thing to do to a balance.</w:t>
      </w:r>
    </w:p>
    <w:p>
      <w:pPr>
        <w:pStyle w:val="ListBullet"/>
        <w:spacing w:after="60"/>
        <w:ind w:left="360"/>
      </w:pPr>
      <w:r>
        <w:rPr>
          <w:rFonts w:ascii="Calibri" w:hAnsi="Calibri"/>
          <w:b/>
          <w:color w:val="101828"/>
          <w:sz w:val="21"/>
        </w:rPr>
        <w:t>A skeleton to content</w:t>
      </w:r>
      <w:r>
        <w:rPr>
          <w:rFonts w:ascii="Calibri" w:hAnsi="Calibri"/>
          <w:b w:val="0"/>
          <w:i w:val="0"/>
          <w:color w:val="101828"/>
          <w:sz w:val="21"/>
        </w:rPr>
        <w:t xml:space="preserve"> cross-fade of 150 ms.</w:t>
      </w:r>
    </w:p>
    <w:p>
      <w:pPr>
        <w:pStyle w:val="Heading3"/>
      </w:pPr>
      <w:r>
        <w:rPr>
          <w:rFonts w:ascii="Calibri" w:hAnsi="Calibri"/>
          <w:b/>
          <w:i w:val="0"/>
          <w:color w:val="0B1F3A"/>
          <w:sz w:val="24"/>
        </w:rPr>
        <w:t>7.13.3 What is prohibited</w:t>
      </w:r>
    </w:p>
    <w:p>
      <w:pPr>
        <w:pStyle w:val="ListBullet"/>
        <w:spacing w:after="60"/>
        <w:ind w:left="360"/>
      </w:pPr>
      <w:r>
        <w:rPr>
          <w:rFonts w:ascii="Calibri" w:hAnsi="Calibri"/>
          <w:b/>
          <w:color w:val="101828"/>
          <w:sz w:val="21"/>
        </w:rPr>
        <w:t>Confetti, confetti, and every other celebration.</w:t>
      </w:r>
      <w:r>
        <w:rPr>
          <w:rFonts w:ascii="Calibri" w:hAnsi="Calibri"/>
          <w:b w:val="0"/>
          <w:i w:val="0"/>
          <w:color w:val="101828"/>
          <w:sz w:val="21"/>
        </w:rPr>
        <w:t xml:space="preserve"> A successful contribution is a receipt. A successful payout is a receipt with a larger number on it.</w:t>
      </w:r>
    </w:p>
    <w:p>
      <w:pPr>
        <w:pStyle w:val="ListBullet"/>
        <w:spacing w:after="60"/>
        <w:ind w:left="360"/>
      </w:pPr>
      <w:r>
        <w:rPr>
          <w:rFonts w:ascii="Calibri" w:hAnsi="Calibri"/>
          <w:b/>
          <w:color w:val="101828"/>
          <w:sz w:val="21"/>
        </w:rPr>
        <w:t>Count-up numbers</w:t>
      </w:r>
      <w:r>
        <w:rPr>
          <w:rFonts w:ascii="Calibri" w:hAnsi="Calibri"/>
          <w:b w:val="0"/>
          <w:i w:val="0"/>
          <w:color w:val="101828"/>
          <w:sz w:val="21"/>
        </w:rPr>
        <w:t>, on any figure, ever.</w:t>
      </w:r>
    </w:p>
    <w:p>
      <w:pPr>
        <w:pStyle w:val="ListBullet"/>
        <w:spacing w:after="60"/>
        <w:ind w:left="360"/>
      </w:pPr>
      <w:r>
        <w:rPr>
          <w:rFonts w:ascii="Calibri" w:hAnsi="Calibri"/>
          <w:b/>
          <w:color w:val="101828"/>
          <w:sz w:val="21"/>
        </w:rPr>
        <w:t>Parallax, scroll-jacking, and any animation bound to scroll position.</w:t>
      </w:r>
      <w:r>
        <w:rPr>
          <w:rFonts w:ascii="Calibri" w:hAnsi="Calibri"/>
          <w:b w:val="0"/>
          <w:i w:val="0"/>
          <w:color w:val="101828"/>
          <w:sz w:val="21"/>
        </w:rPr>
        <w:t xml:space="preserve"> A person scrolling a transaction list is reading, and reading is not a cutscene.</w:t>
      </w:r>
    </w:p>
    <w:p>
      <w:pPr>
        <w:pStyle w:val="ListBullet"/>
        <w:spacing w:after="60"/>
        <w:ind w:left="360"/>
      </w:pPr>
      <w:r>
        <w:rPr>
          <w:rFonts w:ascii="Calibri" w:hAnsi="Calibri"/>
          <w:b/>
          <w:color w:val="101828"/>
          <w:sz w:val="21"/>
        </w:rPr>
        <w:t>A spinner over content that is already readable.</w:t>
      </w:r>
      <w:r>
        <w:rPr>
          <w:rFonts w:ascii="Calibri" w:hAnsi="Calibri"/>
          <w:b w:val="0"/>
          <w:i w:val="0"/>
          <w:color w:val="101828"/>
          <w:sz w:val="21"/>
        </w:rPr>
        <w:t xml:space="preserve"> A region refresh is silent; only a full-page load blocks.</w:t>
      </w:r>
    </w:p>
    <w:p>
      <w:pPr>
        <w:pStyle w:val="ListBullet"/>
        <w:spacing w:after="60"/>
        <w:ind w:left="360"/>
      </w:pPr>
      <w:r>
        <w:rPr>
          <w:rFonts w:ascii="Calibri" w:hAnsi="Calibri"/>
          <w:b/>
          <w:color w:val="101828"/>
          <w:sz w:val="21"/>
        </w:rPr>
        <w:t>Auto-advancing carousels</w:t>
      </w:r>
      <w:r>
        <w:rPr>
          <w:rFonts w:ascii="Calibri" w:hAnsi="Calibri"/>
          <w:b w:val="0"/>
          <w:i w:val="0"/>
          <w:color w:val="101828"/>
          <w:sz w:val="21"/>
        </w:rPr>
        <w:t xml:space="preserve"> in the marketing hero, and any hero animation longer than 250 ms.</w:t>
      </w:r>
    </w:p>
    <w:p>
      <w:pPr>
        <w:pStyle w:val="ListBullet"/>
        <w:spacing w:after="60"/>
        <w:ind w:left="360"/>
      </w:pPr>
      <w:r>
        <w:rPr>
          <w:rFonts w:ascii="Calibri" w:hAnsi="Calibri"/>
          <w:b/>
          <w:color w:val="101828"/>
          <w:sz w:val="21"/>
        </w:rPr>
        <w:t>Looping motion.</w:t>
      </w:r>
      <w:r>
        <w:rPr>
          <w:rFonts w:ascii="Calibri" w:hAnsi="Calibri"/>
          <w:b w:val="0"/>
          <w:i w:val="0"/>
          <w:color w:val="101828"/>
          <w:sz w:val="21"/>
        </w:rPr>
        <w:t xml:space="preserve"> A continuously moving element in a financial product is read as </w:t>
      </w:r>
      <w:r>
        <w:rPr>
          <w:rFonts w:ascii="Calibri" w:hAnsi="Calibri"/>
          <w:i/>
          <w:color w:val="101828"/>
          <w:sz w:val="21"/>
        </w:rPr>
        <w:t>pending</w:t>
      </w:r>
      <w:r>
        <w:rPr>
          <w:rFonts w:ascii="Calibri" w:hAnsi="Calibri"/>
          <w:b w:val="0"/>
          <w:i w:val="0"/>
          <w:color w:val="101828"/>
          <w:sz w:val="21"/>
        </w:rPr>
        <w:t>.</w:t>
      </w:r>
    </w:p>
    <w:p>
      <w:pPr>
        <w:pStyle w:val="Heading3"/>
      </w:pPr>
      <w:r>
        <w:rPr>
          <w:rFonts w:ascii="Calibri" w:hAnsi="Calibri"/>
          <w:b/>
          <w:i w:val="0"/>
          <w:color w:val="0B1F3A"/>
          <w:sz w:val="24"/>
        </w:rPr>
        <w:t>7.13.4 Reduced motion</w:t>
      </w:r>
    </w:p>
    <w:p>
      <w:r>
        <w:rPr>
          <w:rFonts w:ascii="Calibri" w:hAnsi="Calibri"/>
          <w:b w:val="0"/>
          <w:i w:val="0"/>
          <w:color w:val="101828"/>
          <w:sz w:val="21"/>
        </w:rPr>
        <w:t xml:space="preserve">The product honours </w:t>
      </w:r>
      <w:r>
        <w:rPr>
          <w:rFonts w:ascii="Consolas" w:hAnsi="Consolas"/>
          <w:color w:val="146EF5"/>
          <w:sz w:val="21"/>
        </w:rPr>
        <w:t>prefers-reduced-motion: reduce</w:t>
      </w:r>
      <w:r>
        <w:rPr>
          <w:rFonts w:ascii="Calibri" w:hAnsi="Calibri"/>
          <w:b w:val="0"/>
          <w:i w:val="0"/>
          <w:color w:val="101828"/>
          <w:sz w:val="21"/>
        </w:rPr>
        <w:t xml:space="preserve"> completely, and the contract is simple enough to state as a rule rather than a list: </w:t>
      </w:r>
      <w:r>
        <w:rPr>
          <w:rFonts w:ascii="Calibri" w:hAnsi="Calibri"/>
          <w:b/>
          <w:color w:val="101828"/>
          <w:sz w:val="21"/>
        </w:rPr>
        <w:t>under reduced motion, every animation becomes an instant state change and every transition becomes a cut.</w:t>
      </w:r>
      <w:r>
        <w:rPr>
          <w:rFonts w:ascii="Calibri" w:hAnsi="Calibri"/>
          <w:b w:val="0"/>
          <w:i w:val="0"/>
          <w:color w:val="101828"/>
          <w:sz w:val="21"/>
        </w:rPr>
        <w:t xml:space="preserve"> Nothing is removed, no information is lost, and no screen is hidden.</w:t>
      </w:r>
    </w:p>
    <w:p>
      <w:pPr>
        <w:spacing w:before="0" w:after="0" w:line="240" w:lineRule="auto"/>
        <w:ind w:left="230"/>
        <w:shd w:val="clear" w:color="auto" w:fill="F7F9FC"/>
        <w:pBdr>
          <w:left w:val="single" w:sz="4" w:space="6" w:color="D0D5DD"/>
        </w:pBdr>
      </w:pPr>
      <w:r>
        <w:rPr>
          <w:rFonts w:ascii="Consolas" w:hAnsi="Consolas"/>
          <w:color w:val="0B1F3A"/>
          <w:sz w:val="16"/>
        </w:rPr>
        <w:t>@media (prefers-reduced-motion: reduce)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*::before, *::after {</w:t>
      </w:r>
    </w:p>
    <w:p>
      <w:pPr>
        <w:spacing w:before="0" w:after="0" w:line="240" w:lineRule="auto"/>
        <w:ind w:left="230"/>
        <w:shd w:val="clear" w:color="auto" w:fill="F7F9FC"/>
        <w:pBdr>
          <w:left w:val="single" w:sz="4" w:space="6" w:color="D0D5DD"/>
        </w:pBdr>
      </w:pPr>
      <w:r>
        <w:rPr>
          <w:rFonts w:ascii="Consolas" w:hAnsi="Consolas"/>
          <w:color w:val="0B1F3A"/>
          <w:sz w:val="16"/>
        </w:rPr>
        <w:t xml:space="preserve">    animation-duration: 0.01ms !important;</w:t>
      </w:r>
    </w:p>
    <w:p>
      <w:pPr>
        <w:spacing w:before="0" w:after="0" w:line="240" w:lineRule="auto"/>
        <w:ind w:left="230"/>
        <w:shd w:val="clear" w:color="auto" w:fill="F7F9FC"/>
        <w:pBdr>
          <w:left w:val="single" w:sz="4" w:space="6" w:color="D0D5DD"/>
        </w:pBdr>
      </w:pPr>
      <w:r>
        <w:rPr>
          <w:rFonts w:ascii="Consolas" w:hAnsi="Consolas"/>
          <w:color w:val="0B1F3A"/>
          <w:sz w:val="16"/>
        </w:rPr>
        <w:t xml:space="preserve">    animation-iteration-count: 1 !important;</w:t>
      </w:r>
    </w:p>
    <w:p>
      <w:pPr>
        <w:spacing w:before="0" w:after="0" w:line="240" w:lineRule="auto"/>
        <w:ind w:left="230"/>
        <w:shd w:val="clear" w:color="auto" w:fill="F7F9FC"/>
        <w:pBdr>
          <w:left w:val="single" w:sz="4" w:space="6" w:color="D0D5DD"/>
        </w:pBdr>
      </w:pPr>
      <w:r>
        <w:rPr>
          <w:rFonts w:ascii="Consolas" w:hAnsi="Consolas"/>
          <w:color w:val="0B1F3A"/>
          <w:sz w:val="16"/>
        </w:rPr>
        <w:t xml:space="preserve">    transition-duration: 0.01ms !important;</w:t>
      </w:r>
    </w:p>
    <w:p>
      <w:pPr>
        <w:spacing w:before="0" w:after="0" w:line="240" w:lineRule="auto"/>
        <w:ind w:left="230"/>
        <w:shd w:val="clear" w:color="auto" w:fill="F7F9FC"/>
        <w:pBdr>
          <w:left w:val="single" w:sz="4" w:space="6" w:color="D0D5DD"/>
        </w:pBdr>
      </w:pPr>
      <w:r>
        <w:rPr>
          <w:rFonts w:ascii="Consolas" w:hAnsi="Consolas"/>
          <w:color w:val="0B1F3A"/>
          <w:sz w:val="16"/>
        </w:rPr>
        <w:t xml:space="preserve">    scroll-behavior: auto !important;</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140" w:after="180"/>
        <w:ind w:left="144"/>
        <w:shd w:val="clear" w:color="auto" w:fill="EFF6FF"/>
        <w:pBdr>
          <w:left w:val="single" w:sz="18" w:space="6" w:color="146EF5"/>
        </w:pBdr>
      </w:pPr>
      <w:r>
        <w:rPr>
          <w:rFonts w:ascii="Calibri" w:hAnsi="Calibri"/>
          <w:b/>
          <w:color w:val="146EF5"/>
          <w:sz w:val="19"/>
        </w:rPr>
        <w:t xml:space="preserve">No `!important` on colour or layout, only on motion  </w:t>
      </w:r>
      <w:r>
        <w:rPr>
          <w:rFonts w:ascii="Calibri" w:hAnsi="Calibri"/>
          <w:b w:val="0"/>
          <w:i w:val="0"/>
          <w:color w:val="0B1F3A"/>
          <w:sz w:val="19"/>
        </w:rPr>
        <w:t xml:space="preserve">The reduced-motion block above touches duration and iteration only. A common mistake is to strip transforms as well, which leaves a sheet rendered at its final position but with the fade still present, and leaves a list row with an 8 px offset it can no longer animate away. The correct approach is that the motion tokens are the only thing that changes: </w:t>
      </w:r>
      <w:r>
        <w:rPr>
          <w:rFonts w:ascii="Consolas" w:hAnsi="Consolas"/>
          <w:color w:val="146EF5"/>
          <w:sz w:val="19"/>
        </w:rPr>
        <w:t>motion-fast</w:t>
      </w:r>
      <w:r>
        <w:rPr>
          <w:rFonts w:ascii="Calibri" w:hAnsi="Calibri"/>
          <w:b w:val="0"/>
          <w:i w:val="0"/>
          <w:color w:val="0B1F3A"/>
          <w:sz w:val="19"/>
        </w:rPr>
        <w:t xml:space="preserve">, </w:t>
      </w:r>
      <w:r>
        <w:rPr>
          <w:rFonts w:ascii="Consolas" w:hAnsi="Consolas"/>
          <w:color w:val="146EF5"/>
          <w:sz w:val="19"/>
        </w:rPr>
        <w:t>motion-base</w:t>
      </w:r>
      <w:r>
        <w:rPr>
          <w:rFonts w:ascii="Calibri" w:hAnsi="Calibri"/>
          <w:b w:val="0"/>
          <w:i w:val="0"/>
          <w:color w:val="0B1F3A"/>
          <w:sz w:val="19"/>
        </w:rPr>
        <w:t xml:space="preserve"> and </w:t>
      </w:r>
      <w:r>
        <w:rPr>
          <w:rFonts w:ascii="Consolas" w:hAnsi="Consolas"/>
          <w:color w:val="146EF5"/>
          <w:sz w:val="19"/>
        </w:rPr>
        <w:t>motion-slow</w:t>
      </w:r>
      <w:r>
        <w:rPr>
          <w:rFonts w:ascii="Calibri" w:hAnsi="Calibri"/>
          <w:b w:val="0"/>
          <w:i w:val="0"/>
          <w:color w:val="0B1F3A"/>
          <w:sz w:val="19"/>
        </w:rPr>
        <w:t xml:space="preserve"> all resolve to 0 ms under reduced motion, and no component hard-codes a duration. </w:t>
      </w:r>
      <w:r>
        <w:rPr>
          <w:rFonts w:ascii="Calibri" w:hAnsi="Calibri"/>
          <w:b/>
          <w:color w:val="0B1F3A"/>
          <w:sz w:val="19"/>
        </w:rPr>
        <w:t>WCAG 2.2 AA 2.3.3 Animation from Interactions is Level AAA and is therefore not strictly required</w:t>
      </w:r>
      <w:r>
        <w:rPr>
          <w:rFonts w:ascii="Calibri" w:hAnsi="Calibri"/>
          <w:b w:val="0"/>
          <w:i w:val="0"/>
          <w:color w:val="0B1F3A"/>
          <w:sz w:val="19"/>
        </w:rPr>
        <w:t>, but the product targets it anyway, because a rotating savings scheme is not a place to be surprising someone.</w:t>
      </w:r>
    </w:p>
    <w:p>
      <w:r>
        <w:br w:type="page"/>
      </w:r>
    </w:p>
    <w:p>
      <w:pPr>
        <w:pStyle w:val="Heading2"/>
      </w:pPr>
      <w:r>
        <w:rPr>
          <w:rFonts w:ascii="Calibri" w:hAnsi="Calibri"/>
          <w:b/>
          <w:i w:val="0"/>
          <w:color w:val="146EF5"/>
          <w:sz w:val="29"/>
        </w:rPr>
        <w:t>7.14 Accessibility</w:t>
      </w:r>
    </w:p>
    <w:p>
      <w:r>
        <w:rPr>
          <w:rFonts w:ascii="Calibri" w:hAnsi="Calibri"/>
          <w:b w:val="0"/>
          <w:i w:val="0"/>
          <w:color w:val="101828"/>
          <w:sz w:val="21"/>
        </w:rPr>
        <w:t xml:space="preserve">The target is </w:t>
      </w:r>
      <w:r>
        <w:rPr>
          <w:rFonts w:ascii="Calibri" w:hAnsi="Calibri"/>
          <w:b/>
          <w:color w:val="101828"/>
          <w:sz w:val="21"/>
        </w:rPr>
        <w:t>WCAG 2.2 Level AA</w:t>
      </w:r>
      <w:r>
        <w:rPr>
          <w:rFonts w:ascii="Calibri" w:hAnsi="Calibri"/>
          <w:b w:val="0"/>
          <w:i w:val="0"/>
          <w:color w:val="101828"/>
          <w:sz w:val="21"/>
        </w:rPr>
        <w:t>, and the reason it is a target rather than an aspiration is demographic rather than ethical: a rotating savings scheme recruits through social trust, and social trust recruits people the average financial app is not designed for — older members who are trusted with money and are not trusted with interfaces, members on low-end Android devices where a 2 MB bundle is a 4-second first paint, and members using the cheapest handset their network can carry. A member who cannot read the screen cannot be a reliable member, and the person organising the Ajo is usually the one who feels this first.</w:t>
      </w:r>
    </w:p>
    <w:p>
      <w:pPr>
        <w:pStyle w:val="Heading3"/>
      </w:pPr>
      <w:r>
        <w:rPr>
          <w:rFonts w:ascii="Calibri" w:hAnsi="Calibri"/>
          <w:b/>
          <w:i w:val="0"/>
          <w:color w:val="0B1F3A"/>
          <w:sz w:val="24"/>
        </w:rPr>
        <w:t>7.14.1 Conformance commitment</w:t>
      </w:r>
    </w:p>
    <w:p>
      <w:pPr>
        <w:pStyle w:val="ListBullet"/>
        <w:spacing w:after="60"/>
        <w:ind w:left="360"/>
      </w:pPr>
      <w:r>
        <w:rPr>
          <w:rFonts w:ascii="Calibri" w:hAnsi="Calibri"/>
          <w:b/>
          <w:color w:val="101828"/>
          <w:sz w:val="21"/>
        </w:rPr>
        <w:t>WCAG 2.2 Level AA</w:t>
      </w:r>
      <w:r>
        <w:rPr>
          <w:rFonts w:ascii="Calibri" w:hAnsi="Calibri"/>
          <w:b w:val="0"/>
          <w:i w:val="0"/>
          <w:color w:val="101828"/>
          <w:sz w:val="21"/>
        </w:rPr>
        <w:t xml:space="preserve"> is the conformance target for every screen in section 6, member and admin alike.</w:t>
      </w:r>
    </w:p>
    <w:p>
      <w:pPr>
        <w:pStyle w:val="ListBullet"/>
        <w:spacing w:after="60"/>
        <w:ind w:left="360"/>
      </w:pPr>
      <w:r>
        <w:rPr>
          <w:rFonts w:ascii="Calibri" w:hAnsi="Calibri"/>
          <w:b/>
          <w:color w:val="101828"/>
          <w:sz w:val="21"/>
        </w:rPr>
        <w:t>Level AAA is met where it is cheap</w:t>
      </w:r>
      <w:r>
        <w:rPr>
          <w:rFonts w:ascii="Calibri" w:hAnsi="Calibri"/>
          <w:b w:val="0"/>
          <w:i w:val="0"/>
          <w:color w:val="101828"/>
          <w:sz w:val="21"/>
        </w:rPr>
        <w:t>, specifically 2.3.3 Animation from Interactions, 1.4.8 Visual Presentation at AA, and 2.4.11 Focus Not Obscured.</w:t>
      </w:r>
    </w:p>
    <w:p>
      <w:pPr>
        <w:pStyle w:val="ListBullet"/>
        <w:spacing w:after="60"/>
        <w:ind w:left="360"/>
      </w:pPr>
      <w:r>
        <w:rPr>
          <w:rFonts w:ascii="Calibri" w:hAnsi="Calibri"/>
          <w:b/>
          <w:color w:val="101828"/>
          <w:sz w:val="21"/>
        </w:rPr>
        <w:t>No exceptions are claimed and no partial conformance is claimed.</w:t>
      </w:r>
      <w:r>
        <w:rPr>
          <w:rFonts w:ascii="Calibri" w:hAnsi="Calibri"/>
          <w:b w:val="0"/>
          <w:i w:val="0"/>
          <w:color w:val="101828"/>
          <w:sz w:val="21"/>
        </w:rPr>
        <w:t xml:space="preserve"> A screen that cannot meet AA is not shipped; it is redesigned.</w:t>
      </w:r>
    </w:p>
    <w:p>
      <w:pPr>
        <w:pStyle w:val="ListBullet"/>
        <w:spacing w:after="60"/>
        <w:ind w:left="360"/>
      </w:pPr>
      <w:r>
        <w:rPr>
          <w:rFonts w:ascii="Calibri" w:hAnsi="Calibri"/>
          <w:b/>
          <w:color w:val="101828"/>
          <w:sz w:val="21"/>
        </w:rPr>
        <w:t>The accessibility statement is published with the product</w:t>
      </w:r>
      <w:r>
        <w:rPr>
          <w:rFonts w:ascii="Calibri" w:hAnsi="Calibri"/>
          <w:b w:val="0"/>
          <w:i w:val="0"/>
          <w:color w:val="101828"/>
          <w:sz w:val="21"/>
        </w:rPr>
        <w:t>, naming the level, the date, and the known issues. An unlisted known issue is a defect.</w:t>
      </w:r>
    </w:p>
    <w:p>
      <w:pPr>
        <w:pStyle w:val="Heading3"/>
      </w:pPr>
      <w:r>
        <w:rPr>
          <w:rFonts w:ascii="Calibri" w:hAnsi="Calibri"/>
          <w:b/>
          <w:i w:val="0"/>
          <w:color w:val="0B1F3A"/>
          <w:sz w:val="24"/>
        </w:rPr>
        <w:t>7.14.2 The specific ways this product fails people</w:t>
      </w:r>
    </w:p>
    <w:p>
      <w:r>
        <w:rPr>
          <w:rFonts w:ascii="Calibri" w:hAnsi="Calibri"/>
          <w:b w:val="0"/>
          <w:i w:val="0"/>
          <w:color w:val="101828"/>
          <w:sz w:val="21"/>
        </w:rPr>
        <w:t xml:space="preserve">A generic accessibility checklist would not catch most of these. Each is a property of </w:t>
      </w:r>
      <w:r>
        <w:rPr>
          <w:rFonts w:ascii="Calibri" w:hAnsi="Calibri"/>
          <w:i/>
          <w:color w:val="101828"/>
          <w:sz w:val="21"/>
        </w:rPr>
        <w:t>this</w:t>
      </w:r>
      <w:r>
        <w:rPr>
          <w:rFonts w:ascii="Calibri" w:hAnsi="Calibri"/>
          <w:b w:val="0"/>
          <w:i w:val="0"/>
          <w:color w:val="101828"/>
          <w:sz w:val="21"/>
        </w:rPr>
        <w:t xml:space="preserve"> product, and each has a rule in the component definitions.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786"/>
            <w:shd w:val="clear" w:color="auto" w:fill="0B1F3A"/>
            <w:tcMar>
              <w:top w:w="60" w:type="dxa"/>
              <w:start w:w="110" w:type="dxa"/>
              <w:bottom w:w="60" w:type="dxa"/>
              <w:end w:w="110" w:type="dxa"/>
            </w:tcMar>
          </w:tcPr>
          <w:p>
            <w:pPr>
              <w:spacing w:after="0"/>
            </w:pPr>
            <w:r/>
            <w:r>
              <w:rPr>
                <w:rFonts w:ascii="Calibri" w:hAnsi="Calibri"/>
                <w:b/>
                <w:i w:val="0"/>
                <w:color w:val="FFFFFF"/>
                <w:sz w:val="14"/>
              </w:rPr>
              <w:t>Failure</w:t>
            </w:r>
          </w:p>
        </w:tc>
        <w:tc>
          <w:tcPr>
            <w:tcW w:type="dxa" w:w="2520"/>
            <w:shd w:val="clear" w:color="auto" w:fill="0B1F3A"/>
            <w:tcMar>
              <w:top w:w="60" w:type="dxa"/>
              <w:start w:w="110" w:type="dxa"/>
              <w:bottom w:w="60" w:type="dxa"/>
              <w:end w:w="110" w:type="dxa"/>
            </w:tcMar>
          </w:tcPr>
          <w:p>
            <w:pPr>
              <w:spacing w:after="0"/>
            </w:pPr>
            <w:r/>
            <w:r>
              <w:rPr>
                <w:rFonts w:ascii="Calibri" w:hAnsi="Calibri"/>
                <w:b/>
                <w:i w:val="0"/>
                <w:color w:val="FFFFFF"/>
                <w:sz w:val="14"/>
              </w:rPr>
              <w:t>Who it affects</w:t>
            </w:r>
          </w:p>
        </w:tc>
        <w:tc>
          <w:tcPr>
            <w:tcW w:type="dxa" w:w="4147"/>
            <w:shd w:val="clear" w:color="auto" w:fill="0B1F3A"/>
            <w:tcMar>
              <w:top w:w="60" w:type="dxa"/>
              <w:start w:w="110" w:type="dxa"/>
              <w:bottom w:w="60" w:type="dxa"/>
              <w:end w:w="110" w:type="dxa"/>
            </w:tcMar>
          </w:tcPr>
          <w:p>
            <w:pPr>
              <w:spacing w:after="0"/>
            </w:pPr>
            <w:r/>
            <w:r>
              <w:rPr>
                <w:rFonts w:ascii="Calibri" w:hAnsi="Calibri"/>
                <w:b/>
                <w:i w:val="0"/>
                <w:color w:val="FFFFFF"/>
                <w:sz w:val="14"/>
              </w:rPr>
              <w:t>Rule</w:t>
            </w:r>
          </w:p>
        </w:tc>
        <w:tc>
          <w:tcPr>
            <w:tcW w:type="dxa" w:w="907"/>
            <w:shd w:val="clear" w:color="auto" w:fill="0B1F3A"/>
            <w:tcMar>
              <w:top w:w="60" w:type="dxa"/>
              <w:start w:w="110" w:type="dxa"/>
              <w:bottom w:w="60" w:type="dxa"/>
              <w:end w:w="110" w:type="dxa"/>
            </w:tcMar>
          </w:tcPr>
          <w:p>
            <w:pPr>
              <w:spacing w:after="0"/>
            </w:pPr>
            <w:r/>
            <w:r>
              <w:rPr>
                <w:rFonts w:ascii="Calibri" w:hAnsi="Calibri"/>
                <w:b/>
                <w:i w:val="0"/>
                <w:color w:val="FFFFFF"/>
                <w:sz w:val="14"/>
              </w:rPr>
              <w:t>Criterion</w:t>
            </w:r>
          </w:p>
        </w:tc>
      </w:tr>
      <w:tr>
        <w:trPr>
          <w:cantSplit/>
        </w:trPr>
        <w:tc>
          <w:tcPr>
            <w:tcW w:type="dxa" w:w="1786"/>
            <w:tcMar>
              <w:top w:w="60" w:type="dxa"/>
              <w:start w:w="110" w:type="dxa"/>
              <w:bottom w:w="60" w:type="dxa"/>
              <w:end w:w="110" w:type="dxa"/>
            </w:tcMar>
          </w:tcPr>
          <w:p>
            <w:pPr>
              <w:spacing w:after="0"/>
            </w:pPr>
            <w:r/>
            <w:r>
              <w:rPr>
                <w:rFonts w:ascii="Calibri" w:hAnsi="Calibri"/>
                <w:b w:val="0"/>
                <w:i w:val="0"/>
                <w:color w:val="101828"/>
                <w:sz w:val="14"/>
              </w:rPr>
              <w:t>Amounts and dates carried only by visual position</w:t>
            </w:r>
          </w:p>
        </w:tc>
        <w:tc>
          <w:tcPr>
            <w:tcW w:type="dxa" w:w="2520"/>
            <w:tcMar>
              <w:top w:w="60" w:type="dxa"/>
              <w:start w:w="110" w:type="dxa"/>
              <w:bottom w:w="60" w:type="dxa"/>
              <w:end w:w="110" w:type="dxa"/>
            </w:tcMar>
          </w:tcPr>
          <w:p>
            <w:pPr>
              <w:spacing w:after="0"/>
            </w:pPr>
            <w:r/>
            <w:r>
              <w:rPr>
                <w:rFonts w:ascii="Calibri" w:hAnsi="Calibri"/>
                <w:b w:val="0"/>
                <w:i w:val="0"/>
                <w:color w:val="101828"/>
                <w:sz w:val="14"/>
              </w:rPr>
              <w:t>Screen reader, low vision, cognitive</w:t>
            </w:r>
          </w:p>
        </w:tc>
        <w:tc>
          <w:tcPr>
            <w:tcW w:type="dxa" w:w="4147"/>
            <w:tcMar>
              <w:top w:w="60" w:type="dxa"/>
              <w:start w:w="110" w:type="dxa"/>
              <w:bottom w:w="60" w:type="dxa"/>
              <w:end w:w="110" w:type="dxa"/>
            </w:tcMar>
          </w:tcPr>
          <w:p>
            <w:pPr>
              <w:spacing w:after="0"/>
            </w:pPr>
            <w:r/>
            <w:r>
              <w:rPr>
                <w:rFonts w:ascii="Calibri" w:hAnsi="Calibri"/>
                <w:b w:val="0"/>
                <w:i w:val="0"/>
                <w:color w:val="101828"/>
                <w:sz w:val="14"/>
              </w:rPr>
              <w:t>Every amount is inside a labelled element with an accessible name that includes the currency and the full value</w:t>
            </w:r>
          </w:p>
        </w:tc>
        <w:tc>
          <w:tcPr>
            <w:tcW w:type="dxa" w:w="907"/>
            <w:tcMar>
              <w:top w:w="60" w:type="dxa"/>
              <w:start w:w="110" w:type="dxa"/>
              <w:bottom w:w="60" w:type="dxa"/>
              <w:end w:w="110" w:type="dxa"/>
            </w:tcMar>
          </w:tcPr>
          <w:p>
            <w:pPr>
              <w:spacing w:after="0"/>
            </w:pPr>
            <w:r/>
            <w:r>
              <w:rPr>
                <w:rFonts w:ascii="Calibri" w:hAnsi="Calibri"/>
                <w:b w:val="0"/>
                <w:i w:val="0"/>
                <w:color w:val="101828"/>
                <w:sz w:val="14"/>
              </w:rPr>
              <w:t>1.1.1, 1.3.1</w:t>
            </w:r>
          </w:p>
        </w:tc>
      </w:tr>
      <w:tr>
        <w:trPr>
          <w:cantSplit/>
        </w:trPr>
        <w:tc>
          <w:tcPr>
            <w:tcW w:type="dxa" w:w="1786"/>
            <w:tcMar>
              <w:top w:w="60" w:type="dxa"/>
              <w:start w:w="110" w:type="dxa"/>
              <w:bottom w:w="60" w:type="dxa"/>
              <w:end w:w="110" w:type="dxa"/>
            </w:tcMar>
            <w:shd w:val="clear" w:color="auto" w:fill="F4F7FB"/>
          </w:tcPr>
          <w:p>
            <w:pPr>
              <w:spacing w:after="0"/>
            </w:pPr>
            <w:r/>
            <w:r>
              <w:rPr>
                <w:rFonts w:ascii="Calibri" w:hAnsi="Calibri"/>
                <w:b w:val="0"/>
                <w:i w:val="0"/>
                <w:color w:val="101828"/>
                <w:sz w:val="14"/>
              </w:rPr>
              <w:t>Fee hidden inside a single total</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Everyone, but most acutely low-literacy users and screen reader users</w:t>
            </w:r>
          </w:p>
        </w:tc>
        <w:tc>
          <w:tcPr>
            <w:tcW w:type="dxa" w:w="4147"/>
            <w:tcMar>
              <w:top w:w="60" w:type="dxa"/>
              <w:start w:w="110" w:type="dxa"/>
              <w:bottom w:w="60" w:type="dxa"/>
              <w:end w:w="110" w:type="dxa"/>
            </w:tcMar>
            <w:shd w:val="clear" w:color="auto" w:fill="F4F7FB"/>
          </w:tcPr>
          <w:p>
            <w:pPr>
              <w:spacing w:after="0"/>
            </w:pPr>
            <w:r/>
            <w:r>
              <w:rPr>
                <w:rFonts w:ascii="Calibri" w:hAnsi="Calibri"/>
                <w:b w:val="0"/>
                <w:i w:val="0"/>
                <w:color w:val="101828"/>
                <w:sz w:val="14"/>
              </w:rPr>
              <w:t>MoneyBlock always separates contribution, fee, and total — see 7.12</w:t>
            </w:r>
          </w:p>
        </w:tc>
        <w:tc>
          <w:tcPr>
            <w:tcW w:type="dxa" w:w="907"/>
            <w:tcMar>
              <w:top w:w="60" w:type="dxa"/>
              <w:start w:w="110" w:type="dxa"/>
              <w:bottom w:w="60" w:type="dxa"/>
              <w:end w:w="110" w:type="dxa"/>
            </w:tcMar>
            <w:shd w:val="clear" w:color="auto" w:fill="F4F7FB"/>
          </w:tcPr>
          <w:p>
            <w:pPr>
              <w:spacing w:after="0"/>
            </w:pPr>
            <w:r/>
            <w:r>
              <w:rPr>
                <w:rFonts w:ascii="Calibri" w:hAnsi="Calibri"/>
                <w:b w:val="0"/>
                <w:i w:val="0"/>
                <w:color w:val="101828"/>
                <w:sz w:val="14"/>
              </w:rPr>
              <w:t>1.3.1, 3.3.2</w:t>
            </w:r>
          </w:p>
        </w:tc>
      </w:tr>
      <w:tr>
        <w:trPr>
          <w:cantSplit/>
        </w:trPr>
        <w:tc>
          <w:tcPr>
            <w:tcW w:type="dxa" w:w="1786"/>
            <w:tcMar>
              <w:top w:w="60" w:type="dxa"/>
              <w:start w:w="110" w:type="dxa"/>
              <w:bottom w:w="60" w:type="dxa"/>
              <w:end w:w="110" w:type="dxa"/>
            </w:tcMar>
          </w:tcPr>
          <w:p>
            <w:pPr>
              <w:spacing w:after="0"/>
            </w:pPr>
            <w:r/>
            <w:r>
              <w:rPr>
                <w:rFonts w:ascii="Calibri" w:hAnsi="Calibri"/>
                <w:b w:val="0"/>
                <w:i w:val="0"/>
                <w:color w:val="101828"/>
                <w:sz w:val="14"/>
              </w:rPr>
              <w:t>State carried by colour</w:t>
            </w:r>
          </w:p>
        </w:tc>
        <w:tc>
          <w:tcPr>
            <w:tcW w:type="dxa" w:w="2520"/>
            <w:tcMar>
              <w:top w:w="60" w:type="dxa"/>
              <w:start w:w="110" w:type="dxa"/>
              <w:bottom w:w="60" w:type="dxa"/>
              <w:end w:w="110" w:type="dxa"/>
            </w:tcMar>
          </w:tcPr>
          <w:p>
            <w:pPr>
              <w:spacing w:after="0"/>
            </w:pPr>
            <w:r/>
            <w:r>
              <w:rPr>
                <w:rFonts w:ascii="Calibri" w:hAnsi="Calibri"/>
                <w:b w:val="0"/>
                <w:i w:val="0"/>
                <w:color w:val="101828"/>
                <w:sz w:val="14"/>
              </w:rPr>
              <w:t>Colour-blind users, low vision, in sunlight</w:t>
            </w:r>
          </w:p>
        </w:tc>
        <w:tc>
          <w:tcPr>
            <w:tcW w:type="dxa" w:w="4147"/>
            <w:tcMar>
              <w:top w:w="60" w:type="dxa"/>
              <w:start w:w="110" w:type="dxa"/>
              <w:bottom w:w="60" w:type="dxa"/>
              <w:end w:w="110" w:type="dxa"/>
            </w:tcMar>
          </w:tcPr>
          <w:p>
            <w:pPr>
              <w:spacing w:after="0"/>
            </w:pPr>
            <w:r/>
            <w:r>
              <w:rPr>
                <w:rFonts w:ascii="Calibri" w:hAnsi="Calibri"/>
                <w:b w:val="0"/>
                <w:i w:val="0"/>
                <w:color w:val="101828"/>
                <w:sz w:val="14"/>
              </w:rPr>
              <w:t>Every state has a word; the state pill is text with a fill, never a bare dot</w:t>
            </w:r>
          </w:p>
        </w:tc>
        <w:tc>
          <w:tcPr>
            <w:tcW w:type="dxa" w:w="907"/>
            <w:tcMar>
              <w:top w:w="60" w:type="dxa"/>
              <w:start w:w="110" w:type="dxa"/>
              <w:bottom w:w="60" w:type="dxa"/>
              <w:end w:w="110" w:type="dxa"/>
            </w:tcMar>
          </w:tcPr>
          <w:p>
            <w:pPr>
              <w:spacing w:after="0"/>
            </w:pPr>
            <w:r/>
            <w:r>
              <w:rPr>
                <w:rFonts w:ascii="Calibri" w:hAnsi="Calibri"/>
                <w:b w:val="0"/>
                <w:i w:val="0"/>
                <w:color w:val="101828"/>
                <w:sz w:val="14"/>
              </w:rPr>
              <w:t>1.4.1</w:t>
            </w:r>
          </w:p>
        </w:tc>
      </w:tr>
      <w:tr>
        <w:trPr>
          <w:cantSplit/>
        </w:trPr>
        <w:tc>
          <w:tcPr>
            <w:tcW w:type="dxa" w:w="1786"/>
            <w:tcMar>
              <w:top w:w="60" w:type="dxa"/>
              <w:start w:w="110" w:type="dxa"/>
              <w:bottom w:w="60" w:type="dxa"/>
              <w:end w:w="110" w:type="dxa"/>
            </w:tcMar>
            <w:shd w:val="clear" w:color="auto" w:fill="F4F7FB"/>
          </w:tcPr>
          <w:p>
            <w:pPr>
              <w:spacing w:after="0"/>
            </w:pPr>
            <w:r/>
            <w:r>
              <w:rPr>
                <w:rFonts w:ascii="Calibri" w:hAnsi="Calibri"/>
                <w:b w:val="0"/>
                <w:i w:val="0"/>
                <w:color w:val="101828"/>
                <w:sz w:val="14"/>
              </w:rPr>
              <w:t>Progress bar with no text</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Screen reader, cognitive</w:t>
            </w:r>
          </w:p>
        </w:tc>
        <w:tc>
          <w:tcPr>
            <w:tcW w:type="dxa" w:w="4147"/>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Every bar is followed by a count; the bar has </w:t>
            </w:r>
            <w:r>
              <w:rPr>
                <w:rFonts w:ascii="Consolas" w:hAnsi="Consolas"/>
                <w:color w:val="146EF5"/>
                <w:sz w:val="14"/>
              </w:rPr>
              <w:t>aria-hidden</w:t>
            </w:r>
            <w:r>
              <w:rPr>
                <w:rFonts w:ascii="Calibri" w:hAnsi="Calibri"/>
                <w:b w:val="0"/>
                <w:i w:val="0"/>
                <w:color w:val="101828"/>
                <w:sz w:val="14"/>
              </w:rPr>
              <w:t xml:space="preserve"> and the text is the truth</w:t>
            </w:r>
          </w:p>
        </w:tc>
        <w:tc>
          <w:tcPr>
            <w:tcW w:type="dxa" w:w="907"/>
            <w:tcMar>
              <w:top w:w="60" w:type="dxa"/>
              <w:start w:w="110" w:type="dxa"/>
              <w:bottom w:w="60" w:type="dxa"/>
              <w:end w:w="110" w:type="dxa"/>
            </w:tcMar>
            <w:shd w:val="clear" w:color="auto" w:fill="F4F7FB"/>
          </w:tcPr>
          <w:p>
            <w:pPr>
              <w:spacing w:after="0"/>
            </w:pPr>
            <w:r/>
            <w:r>
              <w:rPr>
                <w:rFonts w:ascii="Calibri" w:hAnsi="Calibri"/>
                <w:b w:val="0"/>
                <w:i w:val="0"/>
                <w:color w:val="101828"/>
                <w:sz w:val="14"/>
              </w:rPr>
              <w:t>1.1.1, 1.3.1</w:t>
            </w:r>
          </w:p>
        </w:tc>
      </w:tr>
      <w:tr>
        <w:trPr>
          <w:cantSplit/>
        </w:trPr>
        <w:tc>
          <w:tcPr>
            <w:tcW w:type="dxa" w:w="1786"/>
            <w:tcMar>
              <w:top w:w="60" w:type="dxa"/>
              <w:start w:w="110" w:type="dxa"/>
              <w:bottom w:w="60" w:type="dxa"/>
              <w:end w:w="110" w:type="dxa"/>
            </w:tcMar>
          </w:tcPr>
          <w:p>
            <w:pPr>
              <w:spacing w:after="0"/>
            </w:pPr>
            <w:r/>
            <w:r>
              <w:rPr>
                <w:rFonts w:ascii="Calibri" w:hAnsi="Calibri"/>
                <w:b w:val="0"/>
                <w:i w:val="0"/>
                <w:color w:val="101828"/>
                <w:sz w:val="14"/>
              </w:rPr>
              <w:t>Countdown to a due date creating pressure</w:t>
            </w:r>
          </w:p>
        </w:tc>
        <w:tc>
          <w:tcPr>
            <w:tcW w:type="dxa" w:w="2520"/>
            <w:tcMar>
              <w:top w:w="60" w:type="dxa"/>
              <w:start w:w="110" w:type="dxa"/>
              <w:bottom w:w="60" w:type="dxa"/>
              <w:end w:w="110" w:type="dxa"/>
            </w:tcMar>
          </w:tcPr>
          <w:p>
            <w:pPr>
              <w:spacing w:after="0"/>
            </w:pPr>
            <w:r/>
            <w:r>
              <w:rPr>
                <w:rFonts w:ascii="Calibri" w:hAnsi="Calibri"/>
                <w:b w:val="0"/>
                <w:i w:val="0"/>
                <w:color w:val="101828"/>
                <w:sz w:val="14"/>
              </w:rPr>
              <w:t>Cognitive, anxiety</w:t>
            </w:r>
          </w:p>
        </w:tc>
        <w:tc>
          <w:tcPr>
            <w:tcW w:type="dxa" w:w="4147"/>
            <w:tcMar>
              <w:top w:w="60" w:type="dxa"/>
              <w:start w:w="110" w:type="dxa"/>
              <w:bottom w:w="60" w:type="dxa"/>
              <w:end w:w="110" w:type="dxa"/>
            </w:tcMar>
          </w:tcPr>
          <w:p>
            <w:pPr>
              <w:spacing w:after="0"/>
            </w:pPr>
            <w:r/>
            <w:r>
              <w:rPr>
                <w:rFonts w:ascii="Calibri" w:hAnsi="Calibri"/>
                <w:b w:val="0"/>
                <w:i w:val="0"/>
                <w:color w:val="101828"/>
                <w:sz w:val="14"/>
              </w:rPr>
              <w:t>No timers, no countdowns, no urgency counters. A due date is a date.</w:t>
            </w:r>
          </w:p>
        </w:tc>
        <w:tc>
          <w:tcPr>
            <w:tcW w:type="dxa" w:w="907"/>
            <w:tcMar>
              <w:top w:w="60" w:type="dxa"/>
              <w:start w:w="110" w:type="dxa"/>
              <w:bottom w:w="60" w:type="dxa"/>
              <w:end w:w="110" w:type="dxa"/>
            </w:tcMar>
          </w:tcPr>
          <w:p>
            <w:pPr>
              <w:spacing w:after="0"/>
            </w:pPr>
            <w:r/>
            <w:r>
              <w:rPr>
                <w:rFonts w:ascii="Calibri" w:hAnsi="Calibri"/>
                <w:b w:val="0"/>
                <w:i w:val="0"/>
                <w:color w:val="101828"/>
                <w:sz w:val="14"/>
              </w:rPr>
              <w:t>—</w:t>
            </w:r>
          </w:p>
        </w:tc>
      </w:tr>
      <w:tr>
        <w:trPr>
          <w:cantSplit/>
        </w:trPr>
        <w:tc>
          <w:tcPr>
            <w:tcW w:type="dxa" w:w="1786"/>
            <w:tcMar>
              <w:top w:w="60" w:type="dxa"/>
              <w:start w:w="110" w:type="dxa"/>
              <w:bottom w:w="60" w:type="dxa"/>
              <w:end w:w="110" w:type="dxa"/>
            </w:tcMar>
            <w:shd w:val="clear" w:color="auto" w:fill="F4F7FB"/>
          </w:tcPr>
          <w:p>
            <w:pPr>
              <w:spacing w:after="0"/>
            </w:pPr>
            <w:r/>
            <w:r>
              <w:rPr>
                <w:rFonts w:ascii="Calibri" w:hAnsi="Calibri"/>
                <w:b w:val="0"/>
                <w:i w:val="0"/>
                <w:color w:val="101828"/>
                <w:sz w:val="14"/>
              </w:rPr>
              <w:t>48 px tap targets missed on a money action</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Motor impairment, tremor, one-handed use</w:t>
            </w:r>
          </w:p>
        </w:tc>
        <w:tc>
          <w:tcPr>
            <w:tcW w:type="dxa" w:w="4147"/>
            <w:tcMar>
              <w:top w:w="60" w:type="dxa"/>
              <w:start w:w="110" w:type="dxa"/>
              <w:bottom w:w="60" w:type="dxa"/>
              <w:end w:w="110" w:type="dxa"/>
            </w:tcMar>
            <w:shd w:val="clear" w:color="auto" w:fill="F4F7FB"/>
          </w:tcPr>
          <w:p>
            <w:pPr>
              <w:spacing w:after="0"/>
            </w:pPr>
            <w:r/>
            <w:r>
              <w:rPr>
                <w:rFonts w:ascii="Calibri" w:hAnsi="Calibri"/>
                <w:b w:val="0"/>
                <w:i w:val="0"/>
                <w:color w:val="101828"/>
                <w:sz w:val="14"/>
              </w:rPr>
              <w:t>Every interactive element is at least 44 x 44 CSS px, and 48 px on touch for anything that moves money</w:t>
            </w:r>
          </w:p>
        </w:tc>
        <w:tc>
          <w:tcPr>
            <w:tcW w:type="dxa" w:w="907"/>
            <w:tcMar>
              <w:top w:w="60" w:type="dxa"/>
              <w:start w:w="110" w:type="dxa"/>
              <w:bottom w:w="60" w:type="dxa"/>
              <w:end w:w="110" w:type="dxa"/>
            </w:tcMar>
            <w:shd w:val="clear" w:color="auto" w:fill="F4F7FB"/>
          </w:tcPr>
          <w:p>
            <w:pPr>
              <w:spacing w:after="0"/>
            </w:pPr>
            <w:r/>
            <w:r>
              <w:rPr>
                <w:rFonts w:ascii="Calibri" w:hAnsi="Calibri"/>
                <w:b w:val="0"/>
                <w:i w:val="0"/>
                <w:color w:val="101828"/>
                <w:sz w:val="14"/>
              </w:rPr>
              <w:t>2.5.8</w:t>
            </w:r>
          </w:p>
        </w:tc>
      </w:tr>
      <w:tr>
        <w:trPr>
          <w:cantSplit/>
        </w:trPr>
        <w:tc>
          <w:tcPr>
            <w:tcW w:type="dxa" w:w="1786"/>
            <w:tcMar>
              <w:top w:w="60" w:type="dxa"/>
              <w:start w:w="110" w:type="dxa"/>
              <w:bottom w:w="60" w:type="dxa"/>
              <w:end w:w="110" w:type="dxa"/>
            </w:tcMar>
          </w:tcPr>
          <w:p>
            <w:pPr>
              <w:spacing w:after="0"/>
            </w:pPr>
            <w:r/>
            <w:r>
              <w:rPr>
                <w:rFonts w:ascii="Calibri" w:hAnsi="Calibri"/>
                <w:b w:val="0"/>
                <w:i w:val="0"/>
                <w:color w:val="101828"/>
                <w:sz w:val="14"/>
              </w:rPr>
              <w:t>Chart with no text alternative</w:t>
            </w:r>
          </w:p>
        </w:tc>
        <w:tc>
          <w:tcPr>
            <w:tcW w:type="dxa" w:w="2520"/>
            <w:tcMar>
              <w:top w:w="60" w:type="dxa"/>
              <w:start w:w="110" w:type="dxa"/>
              <w:bottom w:w="60" w:type="dxa"/>
              <w:end w:w="110" w:type="dxa"/>
            </w:tcMar>
          </w:tcPr>
          <w:p>
            <w:pPr>
              <w:spacing w:after="0"/>
            </w:pPr>
            <w:r/>
            <w:r>
              <w:rPr>
                <w:rFonts w:ascii="Calibri" w:hAnsi="Calibri"/>
                <w:b w:val="0"/>
                <w:i w:val="0"/>
                <w:color w:val="101828"/>
                <w:sz w:val="14"/>
              </w:rPr>
              <w:t>Screen reader</w:t>
            </w:r>
          </w:p>
        </w:tc>
        <w:tc>
          <w:tcPr>
            <w:tcW w:type="dxa" w:w="4147"/>
            <w:tcMar>
              <w:top w:w="60" w:type="dxa"/>
              <w:start w:w="110" w:type="dxa"/>
              <w:bottom w:w="60" w:type="dxa"/>
              <w:end w:w="110" w:type="dxa"/>
            </w:tcMar>
          </w:tcPr>
          <w:p>
            <w:pPr>
              <w:spacing w:after="0"/>
            </w:pPr>
            <w:r/>
            <w:r>
              <w:rPr>
                <w:rFonts w:ascii="Calibri" w:hAnsi="Calibri"/>
                <w:b w:val="0"/>
                <w:i w:val="0"/>
                <w:color w:val="101828"/>
                <w:sz w:val="14"/>
              </w:rPr>
              <w:t>Every chart emits a text alternative containing the actual values</w:t>
            </w:r>
          </w:p>
        </w:tc>
        <w:tc>
          <w:tcPr>
            <w:tcW w:type="dxa" w:w="907"/>
            <w:tcMar>
              <w:top w:w="60" w:type="dxa"/>
              <w:start w:w="110" w:type="dxa"/>
              <w:bottom w:w="60" w:type="dxa"/>
              <w:end w:w="110" w:type="dxa"/>
            </w:tcMar>
          </w:tcPr>
          <w:p>
            <w:pPr>
              <w:spacing w:after="0"/>
            </w:pPr>
            <w:r/>
            <w:r>
              <w:rPr>
                <w:rFonts w:ascii="Calibri" w:hAnsi="Calibri"/>
                <w:b w:val="0"/>
                <w:i w:val="0"/>
                <w:color w:val="101828"/>
                <w:sz w:val="14"/>
              </w:rPr>
              <w:t>1.1.1</w:t>
            </w:r>
          </w:p>
        </w:tc>
      </w:tr>
      <w:tr>
        <w:trPr>
          <w:cantSplit/>
        </w:trPr>
        <w:tc>
          <w:tcPr>
            <w:tcW w:type="dxa" w:w="1786"/>
            <w:tcMar>
              <w:top w:w="60" w:type="dxa"/>
              <w:start w:w="110" w:type="dxa"/>
              <w:bottom w:w="60" w:type="dxa"/>
              <w:end w:w="110" w:type="dxa"/>
            </w:tcMar>
            <w:shd w:val="clear" w:color="auto" w:fill="F4F7FB"/>
          </w:tcPr>
          <w:p>
            <w:pPr>
              <w:spacing w:after="0"/>
            </w:pPr>
            <w:r/>
            <w:r>
              <w:rPr>
                <w:rFonts w:ascii="Calibri" w:hAnsi="Calibri"/>
                <w:b w:val="0"/>
                <w:i w:val="0"/>
                <w:color w:val="101828"/>
                <w:sz w:val="14"/>
              </w:rPr>
              <w:t>Sheet covering the focused element</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Keyboard, switch access, screen magnification</w:t>
            </w:r>
          </w:p>
        </w:tc>
        <w:tc>
          <w:tcPr>
            <w:tcW w:type="dxa" w:w="4147"/>
            <w:tcMar>
              <w:top w:w="60" w:type="dxa"/>
              <w:start w:w="110" w:type="dxa"/>
              <w:bottom w:w="60" w:type="dxa"/>
              <w:end w:w="110" w:type="dxa"/>
            </w:tcMar>
            <w:shd w:val="clear" w:color="auto" w:fill="F4F7FB"/>
          </w:tcPr>
          <w:p>
            <w:pPr>
              <w:spacing w:after="0"/>
            </w:pPr>
            <w:r/>
            <w:r>
              <w:rPr>
                <w:rFonts w:ascii="Calibri" w:hAnsi="Calibri"/>
                <w:b w:val="0"/>
                <w:i w:val="0"/>
                <w:color w:val="101828"/>
                <w:sz w:val="14"/>
              </w:rPr>
              <w:t>A focused element is never left behind a sheet or a sticky bar; the sheet traps focus and restores it on close</w:t>
            </w:r>
          </w:p>
        </w:tc>
        <w:tc>
          <w:tcPr>
            <w:tcW w:type="dxa" w:w="907"/>
            <w:tcMar>
              <w:top w:w="60" w:type="dxa"/>
              <w:start w:w="110" w:type="dxa"/>
              <w:bottom w:w="60" w:type="dxa"/>
              <w:end w:w="110" w:type="dxa"/>
            </w:tcMar>
            <w:shd w:val="clear" w:color="auto" w:fill="F4F7FB"/>
          </w:tcPr>
          <w:p>
            <w:pPr>
              <w:spacing w:after="0"/>
            </w:pPr>
            <w:r/>
            <w:r>
              <w:rPr>
                <w:rFonts w:ascii="Calibri" w:hAnsi="Calibri"/>
                <w:b w:val="0"/>
                <w:i w:val="0"/>
                <w:color w:val="101828"/>
                <w:sz w:val="14"/>
              </w:rPr>
              <w:t>2.4.11 Focus Not Obscured</w:t>
            </w:r>
          </w:p>
        </w:tc>
      </w:tr>
      <w:tr>
        <w:trPr>
          <w:cantSplit/>
        </w:trPr>
        <w:tc>
          <w:tcPr>
            <w:tcW w:type="dxa" w:w="1786"/>
            <w:tcMar>
              <w:top w:w="60" w:type="dxa"/>
              <w:start w:w="110" w:type="dxa"/>
              <w:bottom w:w="60" w:type="dxa"/>
              <w:end w:w="110" w:type="dxa"/>
            </w:tcMar>
          </w:tcPr>
          <w:p>
            <w:pPr>
              <w:spacing w:after="0"/>
            </w:pPr>
            <w:r/>
            <w:r>
              <w:rPr>
                <w:rFonts w:ascii="Calibri" w:hAnsi="Calibri"/>
                <w:b w:val="0"/>
                <w:i w:val="0"/>
                <w:color w:val="101828"/>
                <w:sz w:val="14"/>
              </w:rPr>
              <w:t>Ambiguous link text</w:t>
            </w:r>
          </w:p>
        </w:tc>
        <w:tc>
          <w:tcPr>
            <w:tcW w:type="dxa" w:w="2520"/>
            <w:tcMar>
              <w:top w:w="60" w:type="dxa"/>
              <w:start w:w="110" w:type="dxa"/>
              <w:bottom w:w="60" w:type="dxa"/>
              <w:end w:w="110" w:type="dxa"/>
            </w:tcMar>
          </w:tcPr>
          <w:p>
            <w:pPr>
              <w:spacing w:after="0"/>
            </w:pPr>
            <w:r/>
            <w:r>
              <w:rPr>
                <w:rFonts w:ascii="Calibri" w:hAnsi="Calibri"/>
                <w:b w:val="0"/>
                <w:i w:val="0"/>
                <w:color w:val="101828"/>
                <w:sz w:val="14"/>
              </w:rPr>
              <w:t>Screen reader out of context</w:t>
            </w:r>
          </w:p>
        </w:tc>
        <w:tc>
          <w:tcPr>
            <w:tcW w:type="dxa" w:w="4147"/>
            <w:tcMar>
              <w:top w:w="60" w:type="dxa"/>
              <w:start w:w="110" w:type="dxa"/>
              <w:bottom w:w="60" w:type="dxa"/>
              <w:end w:w="110" w:type="dxa"/>
            </w:tcMar>
          </w:tcPr>
          <w:p>
            <w:pPr>
              <w:spacing w:after="0"/>
            </w:pPr>
            <w:r/>
            <w:r>
              <w:rPr>
                <w:rFonts w:ascii="Calibri" w:hAnsi="Calibri"/>
                <w:b w:val="0"/>
                <w:i w:val="0"/>
                <w:color w:val="101828"/>
                <w:sz w:val="14"/>
              </w:rPr>
              <w:t xml:space="preserve">Link text is never </w:t>
            </w:r>
            <w:r>
              <w:rPr>
                <w:rFonts w:ascii="Calibri" w:hAnsi="Calibri"/>
                <w:i/>
                <w:color w:val="101828"/>
                <w:sz w:val="14"/>
              </w:rPr>
              <w:t>click here</w:t>
            </w:r>
            <w:r>
              <w:rPr>
                <w:rFonts w:ascii="Calibri" w:hAnsi="Calibri"/>
                <w:b w:val="0"/>
                <w:i w:val="0"/>
                <w:color w:val="101828"/>
                <w:sz w:val="14"/>
              </w:rPr>
              <w:t xml:space="preserve">, </w:t>
            </w:r>
            <w:r>
              <w:rPr>
                <w:rFonts w:ascii="Calibri" w:hAnsi="Calibri"/>
                <w:i/>
                <w:color w:val="101828"/>
                <w:sz w:val="14"/>
              </w:rPr>
              <w:t>read more</w:t>
            </w:r>
            <w:r>
              <w:rPr>
                <w:rFonts w:ascii="Calibri" w:hAnsi="Calibri"/>
                <w:b w:val="0"/>
                <w:i w:val="0"/>
                <w:color w:val="101828"/>
                <w:sz w:val="14"/>
              </w:rPr>
              <w:t xml:space="preserve">, or </w:t>
            </w:r>
            <w:r>
              <w:rPr>
                <w:rFonts w:ascii="Calibri" w:hAnsi="Calibri"/>
                <w:i/>
                <w:color w:val="101828"/>
                <w:sz w:val="14"/>
              </w:rPr>
              <w:t>learn more</w:t>
            </w:r>
            <w:r>
              <w:rPr>
                <w:rFonts w:ascii="Calibri" w:hAnsi="Calibri"/>
                <w:b w:val="0"/>
                <w:i w:val="0"/>
                <w:color w:val="101828"/>
                <w:sz w:val="14"/>
              </w:rPr>
              <w:t xml:space="preserve"> on its own; the link names its destination</w:t>
            </w:r>
          </w:p>
        </w:tc>
        <w:tc>
          <w:tcPr>
            <w:tcW w:type="dxa" w:w="907"/>
            <w:tcMar>
              <w:top w:w="60" w:type="dxa"/>
              <w:start w:w="110" w:type="dxa"/>
              <w:bottom w:w="60" w:type="dxa"/>
              <w:end w:w="110" w:type="dxa"/>
            </w:tcMar>
          </w:tcPr>
          <w:p>
            <w:pPr>
              <w:spacing w:after="0"/>
            </w:pPr>
            <w:r/>
            <w:r>
              <w:rPr>
                <w:rFonts w:ascii="Calibri" w:hAnsi="Calibri"/>
                <w:b w:val="0"/>
                <w:i w:val="0"/>
                <w:color w:val="101828"/>
                <w:sz w:val="14"/>
              </w:rPr>
              <w:t>2.4.4</w:t>
            </w:r>
          </w:p>
        </w:tc>
      </w:tr>
      <w:tr>
        <w:trPr>
          <w:cantSplit/>
        </w:trPr>
        <w:tc>
          <w:tcPr>
            <w:tcW w:type="dxa" w:w="1786"/>
            <w:tcMar>
              <w:top w:w="60" w:type="dxa"/>
              <w:start w:w="110" w:type="dxa"/>
              <w:bottom w:w="60" w:type="dxa"/>
              <w:end w:w="110" w:type="dxa"/>
            </w:tcMar>
            <w:shd w:val="clear" w:color="auto" w:fill="F4F7FB"/>
          </w:tcPr>
          <w:p>
            <w:pPr>
              <w:spacing w:after="0"/>
            </w:pPr>
            <w:r/>
            <w:r>
              <w:rPr>
                <w:rFonts w:ascii="Calibri" w:hAnsi="Calibri"/>
                <w:b w:val="0"/>
                <w:i w:val="0"/>
                <w:color w:val="101828"/>
                <w:sz w:val="14"/>
              </w:rPr>
              <w:t>Low-contrast Cyan or Gold text</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Low vision, sunlight</w:t>
            </w:r>
          </w:p>
        </w:tc>
        <w:tc>
          <w:tcPr>
            <w:tcW w:type="dxa" w:w="4147"/>
            <w:tcMar>
              <w:top w:w="60" w:type="dxa"/>
              <w:start w:w="110" w:type="dxa"/>
              <w:bottom w:w="60" w:type="dxa"/>
              <w:end w:w="110" w:type="dxa"/>
            </w:tcMar>
            <w:shd w:val="clear" w:color="auto" w:fill="F4F7FB"/>
          </w:tcPr>
          <w:p>
            <w:pPr>
              <w:spacing w:after="0"/>
            </w:pPr>
            <w:r/>
            <w:r>
              <w:rPr>
                <w:rFonts w:ascii="Calibri" w:hAnsi="Calibri"/>
                <w:b w:val="0"/>
                <w:i w:val="0"/>
                <w:color w:val="101828"/>
                <w:sz w:val="14"/>
              </w:rPr>
              <w:t>Cyan and Gold are never text on White. Text on White is Dark or Primary only</w:t>
            </w:r>
          </w:p>
        </w:tc>
        <w:tc>
          <w:tcPr>
            <w:tcW w:type="dxa" w:w="907"/>
            <w:tcMar>
              <w:top w:w="60" w:type="dxa"/>
              <w:start w:w="110" w:type="dxa"/>
              <w:bottom w:w="60" w:type="dxa"/>
              <w:end w:w="110" w:type="dxa"/>
            </w:tcMar>
            <w:shd w:val="clear" w:color="auto" w:fill="F4F7FB"/>
          </w:tcPr>
          <w:p>
            <w:pPr>
              <w:spacing w:after="0"/>
            </w:pPr>
            <w:r/>
            <w:r>
              <w:rPr>
                <w:rFonts w:ascii="Calibri" w:hAnsi="Calibri"/>
                <w:b w:val="0"/>
                <w:i w:val="0"/>
                <w:color w:val="101828"/>
                <w:sz w:val="14"/>
              </w:rPr>
              <w:t>1.4.3, 1.4.11</w:t>
            </w:r>
          </w:p>
        </w:tc>
      </w:tr>
      <w:tr>
        <w:trPr>
          <w:cantSplit/>
        </w:trPr>
        <w:tc>
          <w:tcPr>
            <w:tcW w:type="dxa" w:w="1786"/>
            <w:tcMar>
              <w:top w:w="60" w:type="dxa"/>
              <w:start w:w="110" w:type="dxa"/>
              <w:bottom w:w="60" w:type="dxa"/>
              <w:end w:w="110" w:type="dxa"/>
            </w:tcMar>
          </w:tcPr>
          <w:p>
            <w:pPr>
              <w:spacing w:after="0"/>
            </w:pPr>
            <w:r/>
            <w:r>
              <w:rPr>
                <w:rFonts w:ascii="Calibri" w:hAnsi="Calibri"/>
                <w:b w:val="0"/>
                <w:i w:val="0"/>
                <w:color w:val="101828"/>
                <w:sz w:val="14"/>
              </w:rPr>
              <w:t>Custom select without type-ahead</w:t>
            </w:r>
          </w:p>
        </w:tc>
        <w:tc>
          <w:tcPr>
            <w:tcW w:type="dxa" w:w="2520"/>
            <w:tcMar>
              <w:top w:w="60" w:type="dxa"/>
              <w:start w:w="110" w:type="dxa"/>
              <w:bottom w:w="60" w:type="dxa"/>
              <w:end w:w="110" w:type="dxa"/>
            </w:tcMar>
          </w:tcPr>
          <w:p>
            <w:pPr>
              <w:spacing w:after="0"/>
            </w:pPr>
            <w:r/>
            <w:r>
              <w:rPr>
                <w:rFonts w:ascii="Calibri" w:hAnsi="Calibri"/>
                <w:b w:val="0"/>
                <w:i w:val="0"/>
                <w:color w:val="101828"/>
                <w:sz w:val="14"/>
              </w:rPr>
              <w:t>Keyboard, motor</w:t>
            </w:r>
          </w:p>
        </w:tc>
        <w:tc>
          <w:tcPr>
            <w:tcW w:type="dxa" w:w="4147"/>
            <w:tcMar>
              <w:top w:w="60" w:type="dxa"/>
              <w:start w:w="110" w:type="dxa"/>
              <w:bottom w:w="60" w:type="dxa"/>
              <w:end w:w="110" w:type="dxa"/>
            </w:tcMar>
          </w:tcPr>
          <w:p>
            <w:pPr>
              <w:spacing w:after="0"/>
            </w:pPr>
            <w:r/>
            <w:r>
              <w:rPr>
                <w:rFonts w:ascii="Calibri" w:hAnsi="Calibri"/>
                <w:b w:val="0"/>
                <w:i w:val="0"/>
                <w:color w:val="101828"/>
                <w:sz w:val="14"/>
              </w:rPr>
              <w:t>Every custom control is operable by keyboard with a visible focus ring, and the select supports type-ahead</w:t>
            </w:r>
          </w:p>
        </w:tc>
        <w:tc>
          <w:tcPr>
            <w:tcW w:type="dxa" w:w="907"/>
            <w:tcMar>
              <w:top w:w="60" w:type="dxa"/>
              <w:start w:w="110" w:type="dxa"/>
              <w:bottom w:w="60" w:type="dxa"/>
              <w:end w:w="110" w:type="dxa"/>
            </w:tcMar>
          </w:tcPr>
          <w:p>
            <w:pPr>
              <w:spacing w:after="0"/>
            </w:pPr>
            <w:r/>
            <w:r>
              <w:rPr>
                <w:rFonts w:ascii="Calibri" w:hAnsi="Calibri"/>
                <w:b w:val="0"/>
                <w:i w:val="0"/>
                <w:color w:val="101828"/>
                <w:sz w:val="14"/>
              </w:rPr>
              <w:t>2.1.1, 2.1.2</w:t>
            </w:r>
          </w:p>
        </w:tc>
      </w:tr>
      <w:tr>
        <w:trPr>
          <w:cantSplit/>
        </w:trPr>
        <w:tc>
          <w:tcPr>
            <w:tcW w:type="dxa" w:w="1786"/>
            <w:tcMar>
              <w:top w:w="60" w:type="dxa"/>
              <w:start w:w="110" w:type="dxa"/>
              <w:bottom w:w="60" w:type="dxa"/>
              <w:end w:w="110" w:type="dxa"/>
            </w:tcMar>
            <w:shd w:val="clear" w:color="auto" w:fill="F4F7FB"/>
          </w:tcPr>
          <w:p>
            <w:pPr>
              <w:spacing w:after="0"/>
            </w:pPr>
            <w:r/>
            <w:r>
              <w:rPr>
                <w:rFonts w:ascii="Calibri" w:hAnsi="Calibri"/>
                <w:b w:val="0"/>
                <w:i w:val="0"/>
                <w:color w:val="101828"/>
                <w:sz w:val="14"/>
              </w:rPr>
              <w:t>Session timeout during payment</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Cognitive, slow connections, assistive tech</w:t>
            </w:r>
          </w:p>
        </w:tc>
        <w:tc>
          <w:tcPr>
            <w:tcW w:type="dxa" w:w="4147"/>
            <w:tcMar>
              <w:top w:w="60" w:type="dxa"/>
              <w:start w:w="110" w:type="dxa"/>
              <w:bottom w:w="60" w:type="dxa"/>
              <w:end w:w="110" w:type="dxa"/>
            </w:tcMar>
            <w:shd w:val="clear" w:color="auto" w:fill="F4F7FB"/>
          </w:tcPr>
          <w:p>
            <w:pPr>
              <w:spacing w:after="0"/>
            </w:pPr>
            <w:r/>
            <w:r>
              <w:rPr>
                <w:rFonts w:ascii="Calibri" w:hAnsi="Calibri"/>
                <w:b w:val="0"/>
                <w:i w:val="0"/>
                <w:color w:val="101828"/>
                <w:sz w:val="14"/>
              </w:rPr>
              <w:t>The session warning is a 5-minute modal with an extend action, and a payment in flight is never lost to a timeout</w:t>
            </w:r>
          </w:p>
        </w:tc>
        <w:tc>
          <w:tcPr>
            <w:tcW w:type="dxa" w:w="907"/>
            <w:tcMar>
              <w:top w:w="60" w:type="dxa"/>
              <w:start w:w="110" w:type="dxa"/>
              <w:bottom w:w="60" w:type="dxa"/>
              <w:end w:w="110" w:type="dxa"/>
            </w:tcMar>
            <w:shd w:val="clear" w:color="auto" w:fill="F4F7FB"/>
          </w:tcPr>
          <w:p>
            <w:pPr>
              <w:spacing w:after="0"/>
            </w:pPr>
            <w:r/>
            <w:r>
              <w:rPr>
                <w:rFonts w:ascii="Calibri" w:hAnsi="Calibri"/>
                <w:b w:val="0"/>
                <w:i w:val="0"/>
                <w:color w:val="101828"/>
                <w:sz w:val="14"/>
              </w:rPr>
              <w:t>2.2.1</w:t>
            </w:r>
          </w:p>
        </w:tc>
      </w:tr>
    </w:tbl>
    <w:p>
      <w:pPr>
        <w:spacing w:after="80"/>
      </w:pPr>
    </w:p>
    <w:p>
      <w:pPr>
        <w:pStyle w:val="Heading3"/>
      </w:pPr>
      <w:r>
        <w:rPr>
          <w:rFonts w:ascii="Calibri" w:hAnsi="Calibri"/>
          <w:b/>
          <w:i w:val="0"/>
          <w:color w:val="0B1F3A"/>
          <w:sz w:val="24"/>
        </w:rPr>
        <w:t>7.14.3 Keyboard and focus</w:t>
      </w:r>
    </w:p>
    <w:p>
      <w:pPr>
        <w:pStyle w:val="ListBullet"/>
        <w:spacing w:after="60"/>
        <w:ind w:left="360"/>
      </w:pPr>
      <w:r>
        <w:rPr>
          <w:rFonts w:ascii="Calibri" w:hAnsi="Calibri"/>
          <w:b/>
          <w:color w:val="101828"/>
          <w:sz w:val="21"/>
        </w:rPr>
        <w:t>Focus is never removed without a destination.</w:t>
      </w:r>
      <w:r>
        <w:rPr>
          <w:rFonts w:ascii="Calibri" w:hAnsi="Calibri"/>
          <w:b w:val="0"/>
          <w:i w:val="0"/>
          <w:color w:val="101828"/>
          <w:sz w:val="21"/>
        </w:rPr>
        <w:t xml:space="preserve"> Closing a sheet returns focus to the control that opened it.</w:t>
      </w:r>
    </w:p>
    <w:p>
      <w:pPr>
        <w:pStyle w:val="ListBullet"/>
        <w:spacing w:after="60"/>
        <w:ind w:left="360"/>
      </w:pPr>
      <w:r>
        <w:rPr>
          <w:rFonts w:ascii="Calibri" w:hAnsi="Calibri"/>
          <w:b/>
          <w:color w:val="101828"/>
          <w:sz w:val="21"/>
        </w:rPr>
        <w:t>Focus is always visible</w:t>
      </w:r>
      <w:r>
        <w:rPr>
          <w:rFonts w:ascii="Calibri" w:hAnsi="Calibri"/>
          <w:b w:val="0"/>
          <w:i w:val="0"/>
          <w:color w:val="101828"/>
          <w:sz w:val="21"/>
        </w:rPr>
        <w:t xml:space="preserve">: a 2 px Primary ring with a 2 px offset, never </w:t>
      </w:r>
      <w:r>
        <w:rPr>
          <w:rFonts w:ascii="Consolas" w:hAnsi="Consolas"/>
          <w:color w:val="146EF5"/>
          <w:sz w:val="21"/>
        </w:rPr>
        <w:t>outline: none</w:t>
      </w:r>
      <w:r>
        <w:rPr>
          <w:rFonts w:ascii="Calibri" w:hAnsi="Calibri"/>
          <w:b w:val="0"/>
          <w:i w:val="0"/>
          <w:color w:val="101828"/>
          <w:sz w:val="21"/>
        </w:rPr>
        <w:t xml:space="preserve"> without a replacement. The ring is visible on Deep, on Cloud, and on Primary.</w:t>
      </w:r>
    </w:p>
    <w:p>
      <w:pPr>
        <w:pStyle w:val="ListBullet"/>
        <w:spacing w:after="60"/>
        <w:ind w:left="360"/>
      </w:pPr>
      <w:r>
        <w:rPr>
          <w:rFonts w:ascii="Calibri" w:hAnsi="Calibri"/>
          <w:b/>
          <w:color w:val="101828"/>
          <w:sz w:val="21"/>
        </w:rPr>
        <w:t>Focus order follows the visual order</w:t>
      </w:r>
      <w:r>
        <w:rPr>
          <w:rFonts w:ascii="Calibri" w:hAnsi="Calibri"/>
          <w:b w:val="0"/>
          <w:i w:val="0"/>
          <w:color w:val="101828"/>
          <w:sz w:val="21"/>
        </w:rPr>
        <w:t>, and it follows the region order in 7.9.2 exactly. A dashboard whose DOM order differs from its reading order is a defect found in review, not shipped.</w:t>
      </w:r>
    </w:p>
    <w:p>
      <w:pPr>
        <w:pStyle w:val="ListBullet"/>
        <w:spacing w:after="60"/>
        <w:ind w:left="360"/>
      </w:pPr>
      <w:r>
        <w:rPr>
          <w:rFonts w:ascii="Calibri" w:hAnsi="Calibri"/>
          <w:b/>
          <w:color w:val="101828"/>
          <w:sz w:val="21"/>
        </w:rPr>
        <w:t>Skip links</w:t>
      </w:r>
      <w:r>
        <w:rPr>
          <w:rFonts w:ascii="Calibri" w:hAnsi="Calibri"/>
          <w:b w:val="0"/>
          <w:i w:val="0"/>
          <w:color w:val="101828"/>
          <w:sz w:val="21"/>
        </w:rPr>
        <w:t xml:space="preserve"> to the main content and to the money summary, because the next action block and the MoneyBlock are the two things a screen reader user came for and should not have to traverse a nav to reach.</w:t>
      </w:r>
    </w:p>
    <w:p>
      <w:pPr>
        <w:pStyle w:val="ListBullet"/>
        <w:spacing w:after="60"/>
        <w:ind w:left="360"/>
      </w:pPr>
      <w:r>
        <w:rPr>
          <w:rFonts w:ascii="Calibri" w:hAnsi="Calibri"/>
          <w:b/>
          <w:color w:val="101828"/>
          <w:sz w:val="21"/>
        </w:rPr>
        <w:t>The wizard traps nothing</w:t>
      </w:r>
      <w:r>
        <w:rPr>
          <w:rFonts w:ascii="Calibri" w:hAnsi="Calibri"/>
          <w:b w:val="0"/>
          <w:i w:val="0"/>
          <w:color w:val="101828"/>
          <w:sz w:val="21"/>
        </w:rPr>
        <w:t xml:space="preserve"> and moves focus to the step heading on every step change, with the step announced. A seven-step wizard with no focus move is a wizard a keyboard user cannot complete.</w:t>
      </w:r>
    </w:p>
    <w:p>
      <w:pPr>
        <w:pStyle w:val="Heading3"/>
      </w:pPr>
      <w:r>
        <w:rPr>
          <w:rFonts w:ascii="Calibri" w:hAnsi="Calibri"/>
          <w:b/>
          <w:i w:val="0"/>
          <w:color w:val="0B1F3A"/>
          <w:sz w:val="24"/>
        </w:rPr>
        <w:t>7.14.4 Forms</w:t>
      </w:r>
    </w:p>
    <w:p>
      <w:r>
        <w:rPr>
          <w:rFonts w:ascii="Calibri" w:hAnsi="Calibri"/>
          <w:b w:val="0"/>
          <w:i w:val="0"/>
          <w:color w:val="101828"/>
          <w:sz w:val="21"/>
        </w:rPr>
        <w:t xml:space="preserve">Every input has a </w:t>
      </w:r>
      <w:r>
        <w:rPr>
          <w:rFonts w:ascii="Consolas" w:hAnsi="Consolas"/>
          <w:color w:val="146EF5"/>
          <w:sz w:val="21"/>
        </w:rPr>
        <w:t>&lt;label&gt;</w:t>
      </w:r>
      <w:r>
        <w:rPr>
          <w:rFonts w:ascii="Calibri" w:hAnsi="Calibri"/>
          <w:b w:val="0"/>
          <w:i w:val="0"/>
          <w:color w:val="101828"/>
          <w:sz w:val="21"/>
        </w:rPr>
        <w:t xml:space="preserve"> bound by </w:t>
      </w:r>
      <w:r>
        <w:rPr>
          <w:rFonts w:ascii="Consolas" w:hAnsi="Consolas"/>
          <w:color w:val="146EF5"/>
          <w:sz w:val="21"/>
        </w:rPr>
        <w:t>for</w:t>
      </w:r>
      <w:r>
        <w:rPr>
          <w:rFonts w:ascii="Calibri" w:hAnsi="Calibri"/>
          <w:b w:val="0"/>
          <w:i w:val="0"/>
          <w:color w:val="101828"/>
          <w:sz w:val="21"/>
        </w:rPr>
        <w:t xml:space="preserve">, and where a field has a format the member might get wrong — phone, OTP, BVN, account number — the format is stated in helper text below the field rather than only in the placeholder. Errors are announced: </w:t>
      </w:r>
      <w:r>
        <w:rPr>
          <w:rFonts w:ascii="Consolas" w:hAnsi="Consolas"/>
          <w:color w:val="146EF5"/>
          <w:sz w:val="21"/>
        </w:rPr>
        <w:t>aria-invalid</w:t>
      </w:r>
      <w:r>
        <w:rPr>
          <w:rFonts w:ascii="Calibri" w:hAnsi="Calibri"/>
          <w:b w:val="0"/>
          <w:i w:val="0"/>
          <w:color w:val="101828"/>
          <w:sz w:val="21"/>
        </w:rPr>
        <w:t xml:space="preserve"> is set, the error text is referenced by </w:t>
      </w:r>
      <w:r>
        <w:rPr>
          <w:rFonts w:ascii="Consolas" w:hAnsi="Consolas"/>
          <w:color w:val="146EF5"/>
          <w:sz w:val="21"/>
        </w:rPr>
        <w:t>aria-describedby</w:t>
      </w:r>
      <w:r>
        <w:rPr>
          <w:rFonts w:ascii="Calibri" w:hAnsi="Calibri"/>
          <w:b w:val="0"/>
          <w:i w:val="0"/>
          <w:color w:val="101828"/>
          <w:sz w:val="21"/>
        </w:rPr>
        <w:t xml:space="preserve">, and focus moves to the first invalid field on a failed submit, per 7.8.3. </w:t>
      </w:r>
      <w:r>
        <w:rPr>
          <w:rFonts w:ascii="Calibri" w:hAnsi="Calibri"/>
          <w:b/>
          <w:color w:val="101828"/>
          <w:sz w:val="21"/>
        </w:rPr>
        <w:t>A person using a screen reader hears the error before they see the red</w:t>
      </w:r>
      <w:r>
        <w:rPr>
          <w:rFonts w:ascii="Calibri" w:hAnsi="Calibri"/>
          <w:b w:val="0"/>
          <w:i w:val="0"/>
          <w:color w:val="101828"/>
          <w:sz w:val="21"/>
        </w:rPr>
        <w:t>, and it is the same sentence.</w:t>
      </w:r>
    </w:p>
    <w:p>
      <w:pPr>
        <w:pStyle w:val="Heading3"/>
      </w:pPr>
      <w:r>
        <w:rPr>
          <w:rFonts w:ascii="Calibri" w:hAnsi="Calibri"/>
          <w:b/>
          <w:i w:val="0"/>
          <w:color w:val="0B1F3A"/>
          <w:sz w:val="24"/>
        </w:rPr>
        <w:t>7.14.5 Forced colours and platform settings</w:t>
      </w:r>
    </w:p>
    <w:p>
      <w:r>
        <w:rPr>
          <w:rFonts w:ascii="Calibri" w:hAnsi="Calibri"/>
          <w:b w:val="0"/>
          <w:i w:val="0"/>
          <w:color w:val="101828"/>
          <w:sz w:val="21"/>
        </w:rPr>
        <w:t xml:space="preserve">In Windows High Contrast mode the palette is replaced by the system colours, and the product stays usable: borders become </w:t>
      </w:r>
      <w:r>
        <w:rPr>
          <w:rFonts w:ascii="Consolas" w:hAnsi="Consolas"/>
          <w:color w:val="146EF5"/>
          <w:sz w:val="21"/>
        </w:rPr>
        <w:t>ButtonBorder</w:t>
      </w:r>
      <w:r>
        <w:rPr>
          <w:rFonts w:ascii="Calibri" w:hAnsi="Calibri"/>
          <w:b w:val="0"/>
          <w:i w:val="0"/>
          <w:color w:val="101828"/>
          <w:sz w:val="21"/>
        </w:rPr>
        <w:t xml:space="preserve">, state pills become outlined with their text intact, and the progress bar's fill is expressed with </w:t>
      </w:r>
      <w:r>
        <w:rPr>
          <w:rFonts w:ascii="Consolas" w:hAnsi="Consolas"/>
          <w:color w:val="146EF5"/>
          <w:sz w:val="21"/>
        </w:rPr>
        <w:t>forced-color-adjust: none</w:t>
      </w:r>
      <w:r>
        <w:rPr>
          <w:rFonts w:ascii="Calibri" w:hAnsi="Calibri"/>
          <w:b w:val="0"/>
          <w:i w:val="0"/>
          <w:color w:val="101828"/>
          <w:sz w:val="21"/>
        </w:rPr>
        <w:t xml:space="preserve"> on the fill only so it remains visible. Text scaling to 200 percent and browser zoom to 400 percent reflow rather than scroll horizontally at every breakpoint including 320 px. </w:t>
      </w:r>
      <w:r>
        <w:rPr>
          <w:rFonts w:ascii="Calibri" w:hAnsi="Calibri"/>
          <w:b/>
          <w:color w:val="101828"/>
          <w:sz w:val="21"/>
        </w:rPr>
        <w:t>Nothing is hidden at any text size</w:t>
      </w:r>
      <w:r>
        <w:rPr>
          <w:rFonts w:ascii="Calibri" w:hAnsi="Calibri"/>
          <w:b w:val="0"/>
          <w:i w:val="0"/>
          <w:color w:val="101828"/>
          <w:sz w:val="21"/>
        </w:rPr>
        <w:t>, and no information is available only through hover.</w:t>
      </w:r>
    </w:p>
    <w:p>
      <w:pPr>
        <w:spacing w:before="140" w:after="180"/>
        <w:ind w:left="144"/>
        <w:shd w:val="clear" w:color="auto" w:fill="EDE9FE"/>
        <w:pBdr>
          <w:left w:val="single" w:sz="18" w:space="6" w:color="7C3AED"/>
        </w:pBdr>
      </w:pPr>
      <w:r>
        <w:rPr>
          <w:rFonts w:ascii="Calibri" w:hAnsi="Calibri"/>
          <w:b/>
          <w:color w:val="7C3AED"/>
          <w:sz w:val="19"/>
        </w:rPr>
        <w:t xml:space="preserve">Accessibility is verified by people, not only by tools  </w:t>
      </w:r>
      <w:r>
        <w:rPr>
          <w:rFonts w:ascii="Calibri" w:hAnsi="Calibri"/>
          <w:b w:val="0"/>
          <w:i w:val="0"/>
          <w:color w:val="0B1F3A"/>
          <w:sz w:val="19"/>
        </w:rPr>
        <w:t>Automated testing catches roughly a third of WCAG issues and in this product it catches almost none of the ones in 7.14.2, because those are all semantic and content problems rather than attribute problems. The assumption recorded here is that before v1 launch the member journeys are walked with at least one person using a screen reader and at least one using only a keyboard, on the actual built product rather than on a design. This is an assumption because it is a a resourcing commitment that has not been agreed, and if it is not made, the conformance claim in 7.14.1 should be withdrawn rather than softened.</w:t>
      </w:r>
    </w:p>
    <w:p>
      <w:r>
        <w:br w:type="page"/>
      </w:r>
    </w:p>
    <w:p>
      <w:pPr>
        <w:pStyle w:val="Heading2"/>
      </w:pPr>
      <w:r>
        <w:rPr>
          <w:rFonts w:ascii="Calibri" w:hAnsi="Calibri"/>
          <w:b/>
          <w:i w:val="0"/>
          <w:color w:val="146EF5"/>
          <w:sz w:val="29"/>
        </w:rPr>
        <w:t>7.15 Component inventory</w:t>
      </w:r>
    </w:p>
    <w:p>
      <w:r>
        <w:rPr>
          <w:rFonts w:ascii="Calibri" w:hAnsi="Calibri"/>
          <w:b w:val="0"/>
          <w:i w:val="0"/>
          <w:color w:val="101828"/>
          <w:sz w:val="21"/>
        </w:rPr>
        <w:t>Every component below exists because a numbered region in section 6 needs it. The third column is the traceability requirement: a component with no region reference is either redundant or is a signal that section 6 is missing a screen.</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792"/>
            <w:shd w:val="clear" w:color="auto" w:fill="0B1F3A"/>
            <w:tcMar>
              <w:top w:w="60" w:type="dxa"/>
              <w:start w:w="110" w:type="dxa"/>
              <w:bottom w:w="60" w:type="dxa"/>
              <w:end w:w="110" w:type="dxa"/>
            </w:tcMar>
          </w:tcPr>
          <w:p>
            <w:pPr>
              <w:spacing w:after="0"/>
            </w:pPr>
            <w:r/>
            <w:r>
              <w:rPr>
                <w:rFonts w:ascii="Calibri" w:hAnsi="Calibri"/>
                <w:b/>
                <w:i w:val="0"/>
                <w:color w:val="FFFFFF"/>
                <w:sz w:val="13"/>
              </w:rPr>
              <w:t>Component</w:t>
            </w:r>
          </w:p>
        </w:tc>
        <w:tc>
          <w:tcPr>
            <w:tcW w:type="dxa" w:w="2534"/>
            <w:shd w:val="clear" w:color="auto" w:fill="0B1F3A"/>
            <w:tcMar>
              <w:top w:w="60" w:type="dxa"/>
              <w:start w:w="110" w:type="dxa"/>
              <w:bottom w:w="60" w:type="dxa"/>
              <w:end w:w="110" w:type="dxa"/>
            </w:tcMar>
          </w:tcPr>
          <w:p>
            <w:pPr>
              <w:spacing w:after="0"/>
            </w:pPr>
            <w:r/>
            <w:r>
              <w:rPr>
                <w:rFonts w:ascii="Calibri" w:hAnsi="Calibri"/>
                <w:b/>
                <w:i w:val="0"/>
                <w:color w:val="FFFFFF"/>
                <w:sz w:val="13"/>
              </w:rPr>
              <w:t>Purpose</w:t>
            </w:r>
          </w:p>
        </w:tc>
        <w:tc>
          <w:tcPr>
            <w:tcW w:type="dxa" w:w="2246"/>
            <w:shd w:val="clear" w:color="auto" w:fill="0B1F3A"/>
            <w:tcMar>
              <w:top w:w="60" w:type="dxa"/>
              <w:start w:w="110" w:type="dxa"/>
              <w:bottom w:w="60" w:type="dxa"/>
              <w:end w:w="110" w:type="dxa"/>
            </w:tcMar>
          </w:tcPr>
          <w:p>
            <w:pPr>
              <w:spacing w:after="0"/>
            </w:pPr>
            <w:r/>
            <w:r>
              <w:rPr>
                <w:rFonts w:ascii="Calibri" w:hAnsi="Calibri"/>
                <w:b/>
                <w:i w:val="0"/>
                <w:color w:val="FFFFFF"/>
                <w:sz w:val="13"/>
              </w:rPr>
              <w:t>Used by regions</w:t>
            </w:r>
          </w:p>
        </w:tc>
        <w:tc>
          <w:tcPr>
            <w:tcW w:type="dxa" w:w="3787"/>
            <w:shd w:val="clear" w:color="auto" w:fill="0B1F3A"/>
            <w:tcMar>
              <w:top w:w="60" w:type="dxa"/>
              <w:start w:w="110" w:type="dxa"/>
              <w:bottom w:w="60" w:type="dxa"/>
              <w:end w:w="110" w:type="dxa"/>
            </w:tcMar>
          </w:tcPr>
          <w:p>
            <w:pPr>
              <w:spacing w:after="0"/>
            </w:pPr>
            <w:r/>
            <w:r>
              <w:rPr>
                <w:rFonts w:ascii="Calibri" w:hAnsi="Calibri"/>
                <w:b/>
                <w:i w:val="0"/>
                <w:color w:val="FFFFFF"/>
                <w:sz w:val="13"/>
              </w:rPr>
              <w:t>Variants</w:t>
            </w:r>
          </w:p>
        </w:tc>
      </w:tr>
      <w:tr>
        <w:trPr>
          <w:cantSplit/>
        </w:trPr>
        <w:tc>
          <w:tcPr>
            <w:tcW w:type="dxa" w:w="792"/>
            <w:tcMar>
              <w:top w:w="60" w:type="dxa"/>
              <w:start w:w="110" w:type="dxa"/>
              <w:bottom w:w="60" w:type="dxa"/>
              <w:end w:w="110" w:type="dxa"/>
            </w:tcMar>
          </w:tcPr>
          <w:p>
            <w:pPr>
              <w:spacing w:after="0"/>
            </w:pPr>
            <w:r/>
            <w:r>
              <w:rPr>
                <w:rFonts w:ascii="Consolas" w:hAnsi="Consolas"/>
                <w:color w:val="146EF5"/>
                <w:sz w:val="13"/>
              </w:rPr>
              <w:t>AppShell</w:t>
            </w:r>
          </w:p>
        </w:tc>
        <w:tc>
          <w:tcPr>
            <w:tcW w:type="dxa" w:w="2534"/>
            <w:tcMar>
              <w:top w:w="60" w:type="dxa"/>
              <w:start w:w="110" w:type="dxa"/>
              <w:bottom w:w="60" w:type="dxa"/>
              <w:end w:w="110" w:type="dxa"/>
            </w:tcMar>
          </w:tcPr>
          <w:p>
            <w:pPr>
              <w:spacing w:after="0"/>
            </w:pPr>
            <w:r/>
            <w:r>
              <w:rPr>
                <w:rFonts w:ascii="Calibri" w:hAnsi="Calibri"/>
                <w:b w:val="0"/>
                <w:i w:val="0"/>
                <w:color w:val="101828"/>
                <w:sz w:val="13"/>
              </w:rPr>
              <w:t>Nav, page frame, safe areas</w:t>
            </w:r>
          </w:p>
        </w:tc>
        <w:tc>
          <w:tcPr>
            <w:tcW w:type="dxa" w:w="2246"/>
            <w:tcMar>
              <w:top w:w="60" w:type="dxa"/>
              <w:start w:w="110" w:type="dxa"/>
              <w:bottom w:w="60" w:type="dxa"/>
              <w:end w:w="110" w:type="dxa"/>
            </w:tcMar>
          </w:tcPr>
          <w:p>
            <w:pPr>
              <w:spacing w:after="0"/>
            </w:pPr>
            <w:r/>
            <w:r>
              <w:rPr>
                <w:rFonts w:ascii="Calibri" w:hAnsi="Calibri"/>
                <w:b w:val="0"/>
                <w:i w:val="0"/>
                <w:color w:val="101828"/>
                <w:sz w:val="13"/>
              </w:rPr>
              <w:t>Every screen</w:t>
            </w:r>
          </w:p>
        </w:tc>
        <w:tc>
          <w:tcPr>
            <w:tcW w:type="dxa" w:w="3787"/>
            <w:tcMar>
              <w:top w:w="60" w:type="dxa"/>
              <w:start w:w="110" w:type="dxa"/>
              <w:bottom w:w="60" w:type="dxa"/>
              <w:end w:w="110" w:type="dxa"/>
            </w:tcMar>
          </w:tcPr>
          <w:p>
            <w:pPr>
              <w:spacing w:after="0"/>
            </w:pPr>
            <w:r/>
            <w:r>
              <w:rPr>
                <w:rFonts w:ascii="Calibri" w:hAnsi="Calibri"/>
                <w:b w:val="0"/>
                <w:i w:val="0"/>
                <w:color w:val="101828"/>
                <w:sz w:val="13"/>
              </w:rPr>
              <w:t>Bottom nav (mobile), top bar (tablet and desktop), console rail (console)</w:t>
            </w:r>
          </w:p>
        </w:tc>
      </w:tr>
      <w:tr>
        <w:trPr>
          <w:cantSplit/>
        </w:trPr>
        <w:tc>
          <w:tcPr>
            <w:tcW w:type="dxa" w:w="792"/>
            <w:tcMar>
              <w:top w:w="60" w:type="dxa"/>
              <w:start w:w="110" w:type="dxa"/>
              <w:bottom w:w="60" w:type="dxa"/>
              <w:end w:w="110" w:type="dxa"/>
            </w:tcMar>
            <w:shd w:val="clear" w:color="auto" w:fill="F4F7FB"/>
          </w:tcPr>
          <w:p>
            <w:pPr>
              <w:spacing w:after="0"/>
            </w:pPr>
            <w:r/>
            <w:r>
              <w:rPr>
                <w:rFonts w:ascii="Consolas" w:hAnsi="Consolas"/>
                <w:color w:val="146EF5"/>
                <w:sz w:val="13"/>
              </w:rPr>
              <w:t>MoneyBlock</w:t>
            </w:r>
          </w:p>
        </w:tc>
        <w:tc>
          <w:tcPr>
            <w:tcW w:type="dxa" w:w="2534"/>
            <w:tcMar>
              <w:top w:w="60" w:type="dxa"/>
              <w:start w:w="110" w:type="dxa"/>
              <w:bottom w:w="60" w:type="dxa"/>
              <w:end w:w="110" w:type="dxa"/>
            </w:tcMar>
            <w:shd w:val="clear" w:color="auto" w:fill="F4F7FB"/>
          </w:tcPr>
          <w:p>
            <w:pPr>
              <w:spacing w:after="0"/>
            </w:pPr>
            <w:r/>
            <w:r>
              <w:rPr>
                <w:rFonts w:ascii="Calibri" w:hAnsi="Calibri"/>
                <w:b w:val="0"/>
                <w:i w:val="0"/>
                <w:color w:val="101828"/>
                <w:sz w:val="13"/>
              </w:rPr>
              <w:t>Contribution, fee, total, destination</w:t>
            </w:r>
          </w:p>
        </w:tc>
        <w:tc>
          <w:tcPr>
            <w:tcW w:type="dxa" w:w="2246"/>
            <w:tcMar>
              <w:top w:w="60" w:type="dxa"/>
              <w:start w:w="110" w:type="dxa"/>
              <w:bottom w:w="60" w:type="dxa"/>
              <w:end w:w="110" w:type="dxa"/>
            </w:tcMar>
            <w:shd w:val="clear" w:color="auto" w:fill="F4F7FB"/>
          </w:tcPr>
          <w:p>
            <w:pPr>
              <w:spacing w:after="0"/>
            </w:pPr>
            <w:r/>
            <w:r>
              <w:rPr>
                <w:rFonts w:ascii="Calibri" w:hAnsi="Calibri"/>
                <w:b w:val="0"/>
                <w:i w:val="0"/>
                <w:color w:val="101828"/>
                <w:sz w:val="13"/>
              </w:rPr>
              <w:t>7.12 surfaces; regions in 6.16, 6.17, 6.19, 6.20</w:t>
            </w:r>
          </w:p>
        </w:tc>
        <w:tc>
          <w:tcPr>
            <w:tcW w:type="dxa" w:w="3787"/>
            <w:tcMar>
              <w:top w:w="60" w:type="dxa"/>
              <w:start w:w="110" w:type="dxa"/>
              <w:bottom w:w="60" w:type="dxa"/>
              <w:end w:w="110" w:type="dxa"/>
            </w:tcMar>
            <w:shd w:val="clear" w:color="auto" w:fill="F4F7FB"/>
          </w:tcPr>
          <w:p>
            <w:pPr>
              <w:spacing w:after="0"/>
            </w:pPr>
            <w:r/>
            <w:r>
              <w:rPr>
                <w:rFonts w:ascii="Calibri" w:hAnsi="Calibri"/>
                <w:b w:val="0"/>
                <w:i w:val="0"/>
                <w:color w:val="101828"/>
                <w:sz w:val="13"/>
              </w:rPr>
              <w:t>Estimate, Confirm, Locked, Receipt, Single</w:t>
            </w:r>
          </w:p>
        </w:tc>
      </w:tr>
      <w:tr>
        <w:trPr>
          <w:cantSplit/>
        </w:trPr>
        <w:tc>
          <w:tcPr>
            <w:tcW w:type="dxa" w:w="792"/>
            <w:tcMar>
              <w:top w:w="60" w:type="dxa"/>
              <w:start w:w="110" w:type="dxa"/>
              <w:bottom w:w="60" w:type="dxa"/>
              <w:end w:w="110" w:type="dxa"/>
            </w:tcMar>
          </w:tcPr>
          <w:p>
            <w:pPr>
              <w:spacing w:after="0"/>
            </w:pPr>
            <w:r/>
            <w:r>
              <w:rPr>
                <w:rFonts w:ascii="Consolas" w:hAnsi="Consolas"/>
                <w:color w:val="146EF5"/>
                <w:sz w:val="13"/>
              </w:rPr>
              <w:t>AjoCard</w:t>
            </w:r>
          </w:p>
        </w:tc>
        <w:tc>
          <w:tcPr>
            <w:tcW w:type="dxa" w:w="2534"/>
            <w:tcMar>
              <w:top w:w="60" w:type="dxa"/>
              <w:start w:w="110" w:type="dxa"/>
              <w:bottom w:w="60" w:type="dxa"/>
              <w:end w:w="110" w:type="dxa"/>
            </w:tcMar>
          </w:tcPr>
          <w:p>
            <w:pPr>
              <w:spacing w:after="0"/>
            </w:pPr>
            <w:r/>
            <w:r>
              <w:rPr>
                <w:rFonts w:ascii="Calibri" w:hAnsi="Calibri"/>
                <w:b w:val="0"/>
                <w:i w:val="0"/>
                <w:color w:val="101828"/>
                <w:sz w:val="13"/>
              </w:rPr>
              <w:t>One Ajo with its three figures and progress</w:t>
            </w:r>
          </w:p>
        </w:tc>
        <w:tc>
          <w:tcPr>
            <w:tcW w:type="dxa" w:w="2246"/>
            <w:tcMar>
              <w:top w:w="60" w:type="dxa"/>
              <w:start w:w="110" w:type="dxa"/>
              <w:bottom w:w="60" w:type="dxa"/>
              <w:end w:w="110" w:type="dxa"/>
            </w:tcMar>
          </w:tcPr>
          <w:p>
            <w:pPr>
              <w:spacing w:after="0"/>
            </w:pPr>
            <w:r/>
            <w:r>
              <w:rPr>
                <w:rFonts w:ascii="Calibri" w:hAnsi="Calibri"/>
                <w:b w:val="0"/>
                <w:i w:val="0"/>
                <w:color w:val="101828"/>
                <w:sz w:val="13"/>
              </w:rPr>
              <w:t>6.10, 6.11, 6.14</w:t>
            </w:r>
          </w:p>
        </w:tc>
        <w:tc>
          <w:tcPr>
            <w:tcW w:type="dxa" w:w="3787"/>
            <w:tcMar>
              <w:top w:w="60" w:type="dxa"/>
              <w:start w:w="110" w:type="dxa"/>
              <w:bottom w:w="60" w:type="dxa"/>
              <w:end w:w="110" w:type="dxa"/>
            </w:tcMar>
          </w:tcPr>
          <w:p>
            <w:pPr>
              <w:spacing w:after="0"/>
            </w:pPr>
            <w:r/>
            <w:r>
              <w:rPr>
                <w:rFonts w:ascii="Calibri" w:hAnsi="Calibri"/>
                <w:b w:val="0"/>
                <w:i w:val="0"/>
                <w:color w:val="101828"/>
                <w:sz w:val="13"/>
              </w:rPr>
              <w:t>Active, Pending, Completed, Frozen, plus a KYC-pending rule</w:t>
            </w:r>
          </w:p>
        </w:tc>
      </w:tr>
      <w:tr>
        <w:trPr>
          <w:cantSplit/>
        </w:trPr>
        <w:tc>
          <w:tcPr>
            <w:tcW w:type="dxa" w:w="792"/>
            <w:tcMar>
              <w:top w:w="60" w:type="dxa"/>
              <w:start w:w="110" w:type="dxa"/>
              <w:bottom w:w="60" w:type="dxa"/>
              <w:end w:w="110" w:type="dxa"/>
            </w:tcMar>
            <w:shd w:val="clear" w:color="auto" w:fill="F4F7FB"/>
          </w:tcPr>
          <w:p>
            <w:pPr>
              <w:spacing w:after="0"/>
            </w:pPr>
            <w:r/>
            <w:r>
              <w:rPr>
                <w:rFonts w:ascii="Consolas" w:hAnsi="Consolas"/>
                <w:color w:val="146EF5"/>
                <w:sz w:val="13"/>
              </w:rPr>
              <w:t>NextActionBlock</w:t>
            </w:r>
          </w:p>
        </w:tc>
        <w:tc>
          <w:tcPr>
            <w:tcW w:type="dxa" w:w="2534"/>
            <w:tcMar>
              <w:top w:w="60" w:type="dxa"/>
              <w:start w:w="110" w:type="dxa"/>
              <w:bottom w:w="60" w:type="dxa"/>
              <w:end w:w="110" w:type="dxa"/>
            </w:tcMar>
            <w:shd w:val="clear" w:color="auto" w:fill="F4F7FB"/>
          </w:tcPr>
          <w:p>
            <w:pPr>
              <w:spacing w:after="0"/>
            </w:pPr>
            <w:r/>
            <w:r>
              <w:rPr>
                <w:rFonts w:ascii="Calibri" w:hAnsi="Calibri"/>
                <w:b w:val="0"/>
                <w:i w:val="0"/>
                <w:color w:val="101828"/>
                <w:sz w:val="13"/>
              </w:rPr>
              <w:t>The one due or overdue contribution</w:t>
            </w:r>
          </w:p>
        </w:tc>
        <w:tc>
          <w:tcPr>
            <w:tcW w:type="dxa" w:w="2246"/>
            <w:tcMar>
              <w:top w:w="60" w:type="dxa"/>
              <w:start w:w="110" w:type="dxa"/>
              <w:bottom w:w="60" w:type="dxa"/>
              <w:end w:w="110" w:type="dxa"/>
            </w:tcMar>
            <w:shd w:val="clear" w:color="auto" w:fill="F4F7FB"/>
          </w:tcPr>
          <w:p>
            <w:pPr>
              <w:spacing w:after="0"/>
            </w:pPr>
            <w:r/>
            <w:r>
              <w:rPr>
                <w:rFonts w:ascii="Calibri" w:hAnsi="Calibri"/>
                <w:b w:val="0"/>
                <w:i w:val="0"/>
                <w:color w:val="101828"/>
                <w:sz w:val="13"/>
              </w:rPr>
              <w:t>6.10</w:t>
            </w:r>
          </w:p>
        </w:tc>
        <w:tc>
          <w:tcPr>
            <w:tcW w:type="dxa" w:w="3787"/>
            <w:tcMar>
              <w:top w:w="60" w:type="dxa"/>
              <w:start w:w="110" w:type="dxa"/>
              <w:bottom w:w="60" w:type="dxa"/>
              <w:end w:w="110" w:type="dxa"/>
            </w:tcMar>
            <w:shd w:val="clear" w:color="auto" w:fill="F4F7FB"/>
          </w:tcPr>
          <w:p>
            <w:pPr>
              <w:spacing w:after="0"/>
            </w:pPr>
            <w:r/>
            <w:r>
              <w:rPr>
                <w:rFonts w:ascii="Calibri" w:hAnsi="Calibri"/>
                <w:b w:val="0"/>
                <w:i w:val="0"/>
                <w:color w:val="101828"/>
                <w:sz w:val="13"/>
              </w:rPr>
              <w:t>Due, Overdue</w:t>
            </w:r>
          </w:p>
        </w:tc>
      </w:tr>
      <w:tr>
        <w:trPr>
          <w:cantSplit/>
        </w:trPr>
        <w:tc>
          <w:tcPr>
            <w:tcW w:type="dxa" w:w="792"/>
            <w:tcMar>
              <w:top w:w="60" w:type="dxa"/>
              <w:start w:w="110" w:type="dxa"/>
              <w:bottom w:w="60" w:type="dxa"/>
              <w:end w:w="110" w:type="dxa"/>
            </w:tcMar>
          </w:tcPr>
          <w:p>
            <w:pPr>
              <w:spacing w:after="0"/>
            </w:pPr>
            <w:r/>
            <w:r>
              <w:rPr>
                <w:rFonts w:ascii="Consolas" w:hAnsi="Consolas"/>
                <w:color w:val="146EF5"/>
                <w:sz w:val="13"/>
              </w:rPr>
              <w:t>RoundTimeline</w:t>
            </w:r>
          </w:p>
        </w:tc>
        <w:tc>
          <w:tcPr>
            <w:tcW w:type="dxa" w:w="2534"/>
            <w:tcMar>
              <w:top w:w="60" w:type="dxa"/>
              <w:start w:w="110" w:type="dxa"/>
              <w:bottom w:w="60" w:type="dxa"/>
              <w:end w:w="110" w:type="dxa"/>
            </w:tcMar>
          </w:tcPr>
          <w:p>
            <w:pPr>
              <w:spacing w:after="0"/>
            </w:pPr>
            <w:r/>
            <w:r>
              <w:rPr>
                <w:rFonts w:ascii="Calibri" w:hAnsi="Calibri"/>
                <w:b w:val="0"/>
                <w:i w:val="0"/>
                <w:color w:val="101828"/>
                <w:sz w:val="13"/>
              </w:rPr>
              <w:t>Ten rounds, current and payout marked</w:t>
            </w:r>
          </w:p>
        </w:tc>
        <w:tc>
          <w:tcPr>
            <w:tcW w:type="dxa" w:w="2246"/>
            <w:tcMar>
              <w:top w:w="60" w:type="dxa"/>
              <w:start w:w="110" w:type="dxa"/>
              <w:bottom w:w="60" w:type="dxa"/>
              <w:end w:w="110" w:type="dxa"/>
            </w:tcMar>
          </w:tcPr>
          <w:p>
            <w:pPr>
              <w:spacing w:after="0"/>
            </w:pPr>
            <w:r/>
            <w:r>
              <w:rPr>
                <w:rFonts w:ascii="Calibri" w:hAnsi="Calibri"/>
                <w:b w:val="0"/>
                <w:i w:val="0"/>
                <w:color w:val="101828"/>
                <w:sz w:val="13"/>
              </w:rPr>
              <w:t>6.10, 6.14, 6.16</w:t>
            </w:r>
          </w:p>
        </w:tc>
        <w:tc>
          <w:tcPr>
            <w:tcW w:type="dxa" w:w="3787"/>
            <w:tcMar>
              <w:top w:w="60" w:type="dxa"/>
              <w:start w:w="110" w:type="dxa"/>
              <w:bottom w:w="60" w:type="dxa"/>
              <w:end w:w="110" w:type="dxa"/>
            </w:tcMar>
          </w:tcPr>
          <w:p>
            <w:pPr>
              <w:spacing w:after="0"/>
            </w:pPr>
            <w:r/>
            <w:r>
              <w:rPr>
                <w:rFonts w:ascii="Calibri" w:hAnsi="Calibri"/>
                <w:b w:val="0"/>
                <w:i w:val="0"/>
                <w:color w:val="101828"/>
                <w:sz w:val="13"/>
              </w:rPr>
              <w:t>Member view, Organizer view with per-member state</w:t>
            </w:r>
          </w:p>
        </w:tc>
      </w:tr>
      <w:tr>
        <w:trPr>
          <w:cantSplit/>
        </w:trPr>
        <w:tc>
          <w:tcPr>
            <w:tcW w:type="dxa" w:w="792"/>
            <w:tcMar>
              <w:top w:w="60" w:type="dxa"/>
              <w:start w:w="110" w:type="dxa"/>
              <w:bottom w:w="60" w:type="dxa"/>
              <w:end w:w="110" w:type="dxa"/>
            </w:tcMar>
            <w:shd w:val="clear" w:color="auto" w:fill="F4F7FB"/>
          </w:tcPr>
          <w:p>
            <w:pPr>
              <w:spacing w:after="0"/>
            </w:pPr>
            <w:r/>
            <w:r>
              <w:rPr>
                <w:rFonts w:ascii="Consolas" w:hAnsi="Consolas"/>
                <w:color w:val="146EF5"/>
                <w:sz w:val="13"/>
              </w:rPr>
              <w:t>StatePill</w:t>
            </w:r>
          </w:p>
        </w:tc>
        <w:tc>
          <w:tcPr>
            <w:tcW w:type="dxa" w:w="2534"/>
            <w:tcMar>
              <w:top w:w="60" w:type="dxa"/>
              <w:start w:w="110" w:type="dxa"/>
              <w:bottom w:w="60" w:type="dxa"/>
              <w:end w:w="110" w:type="dxa"/>
            </w:tcMar>
            <w:shd w:val="clear" w:color="auto" w:fill="F4F7FB"/>
          </w:tcPr>
          <w:p>
            <w:pPr>
              <w:spacing w:after="0"/>
            </w:pPr>
            <w:r/>
            <w:r>
              <w:rPr>
                <w:rFonts w:ascii="Calibri" w:hAnsi="Calibri"/>
                <w:b w:val="0"/>
                <w:i w:val="0"/>
                <w:color w:val="101828"/>
                <w:sz w:val="13"/>
              </w:rPr>
              <w:t>A state as a word with a fill</w:t>
            </w:r>
          </w:p>
        </w:tc>
        <w:tc>
          <w:tcPr>
            <w:tcW w:type="dxa" w:w="2246"/>
            <w:tcMar>
              <w:top w:w="60" w:type="dxa"/>
              <w:start w:w="110" w:type="dxa"/>
              <w:bottom w:w="60" w:type="dxa"/>
              <w:end w:w="110" w:type="dxa"/>
            </w:tcMar>
            <w:shd w:val="clear" w:color="auto" w:fill="F4F7FB"/>
          </w:tcPr>
          <w:p>
            <w:pPr>
              <w:spacing w:after="0"/>
            </w:pPr>
            <w:r/>
            <w:r>
              <w:rPr>
                <w:rFonts w:ascii="Calibri" w:hAnsi="Calibri"/>
                <w:b w:val="0"/>
                <w:i w:val="0"/>
                <w:color w:val="101828"/>
                <w:sz w:val="13"/>
              </w:rPr>
              <w:t>Every list, table, and card</w:t>
            </w:r>
          </w:p>
        </w:tc>
        <w:tc>
          <w:tcPr>
            <w:tcW w:type="dxa" w:w="3787"/>
            <w:tcMar>
              <w:top w:w="60" w:type="dxa"/>
              <w:start w:w="110" w:type="dxa"/>
              <w:bottom w:w="60" w:type="dxa"/>
              <w:end w:w="110" w:type="dxa"/>
            </w:tcMar>
            <w:shd w:val="clear" w:color="auto" w:fill="F4F7FB"/>
          </w:tcPr>
          <w:p>
            <w:pPr>
              <w:spacing w:after="0"/>
            </w:pPr>
            <w:r/>
            <w:r>
              <w:rPr>
                <w:rFonts w:ascii="Calibri" w:hAnsi="Calibri"/>
                <w:b w:val="0"/>
                <w:i w:val="0"/>
                <w:color w:val="101828"/>
                <w:sz w:val="13"/>
              </w:rPr>
              <w:t>Paid, Due, Overdue, Held, Defaulted, Pending, Frozen, Active, Completed, Disputed</w:t>
            </w:r>
          </w:p>
        </w:tc>
      </w:tr>
      <w:tr>
        <w:trPr>
          <w:cantSplit/>
        </w:trPr>
        <w:tc>
          <w:tcPr>
            <w:tcW w:type="dxa" w:w="792"/>
            <w:tcMar>
              <w:top w:w="60" w:type="dxa"/>
              <w:start w:w="110" w:type="dxa"/>
              <w:bottom w:w="60" w:type="dxa"/>
              <w:end w:w="110" w:type="dxa"/>
            </w:tcMar>
          </w:tcPr>
          <w:p>
            <w:pPr>
              <w:spacing w:after="0"/>
            </w:pPr>
            <w:r/>
            <w:r>
              <w:rPr>
                <w:rFonts w:ascii="Consolas" w:hAnsi="Consolas"/>
                <w:color w:val="146EF5"/>
                <w:sz w:val="13"/>
              </w:rPr>
              <w:t>DataTable</w:t>
            </w:r>
          </w:p>
        </w:tc>
        <w:tc>
          <w:tcPr>
            <w:tcW w:type="dxa" w:w="2534"/>
            <w:tcMar>
              <w:top w:w="60" w:type="dxa"/>
              <w:start w:w="110" w:type="dxa"/>
              <w:bottom w:w="60" w:type="dxa"/>
              <w:end w:w="110" w:type="dxa"/>
            </w:tcMar>
          </w:tcPr>
          <w:p>
            <w:pPr>
              <w:spacing w:after="0"/>
            </w:pPr>
            <w:r/>
            <w:r>
              <w:rPr>
                <w:rFonts w:ascii="Calibri" w:hAnsi="Calibri"/>
                <w:b w:val="0"/>
                <w:i w:val="0"/>
                <w:color w:val="101828"/>
                <w:sz w:val="13"/>
              </w:rPr>
              <w:t>Sortable, paginated rows</w:t>
            </w:r>
          </w:p>
        </w:tc>
        <w:tc>
          <w:tcPr>
            <w:tcW w:type="dxa" w:w="2246"/>
            <w:tcMar>
              <w:top w:w="60" w:type="dxa"/>
              <w:start w:w="110" w:type="dxa"/>
              <w:bottom w:w="60" w:type="dxa"/>
              <w:end w:w="110" w:type="dxa"/>
            </w:tcMar>
          </w:tcPr>
          <w:p>
            <w:pPr>
              <w:spacing w:after="0"/>
            </w:pPr>
            <w:r/>
            <w:r>
              <w:rPr>
                <w:rFonts w:ascii="Calibri" w:hAnsi="Calibri"/>
                <w:b w:val="0"/>
                <w:i w:val="0"/>
                <w:color w:val="101828"/>
                <w:sz w:val="13"/>
              </w:rPr>
              <w:t>6.15, 6.16, 6.21, 6.31, 6.32, 6.33</w:t>
            </w:r>
          </w:p>
        </w:tc>
        <w:tc>
          <w:tcPr>
            <w:tcW w:type="dxa" w:w="3787"/>
            <w:tcMar>
              <w:top w:w="60" w:type="dxa"/>
              <w:start w:w="110" w:type="dxa"/>
              <w:bottom w:w="60" w:type="dxa"/>
              <w:end w:w="110" w:type="dxa"/>
            </w:tcMar>
          </w:tcPr>
          <w:p>
            <w:pPr>
              <w:spacing w:after="0"/>
            </w:pPr>
            <w:r/>
            <w:r>
              <w:rPr>
                <w:rFonts w:ascii="Calibri" w:hAnsi="Calibri"/>
                <w:b w:val="0"/>
                <w:i w:val="0"/>
                <w:color w:val="101828"/>
                <w:sz w:val="13"/>
              </w:rPr>
              <w:t>Member, Organizer, Admin, with selection</w:t>
            </w:r>
          </w:p>
        </w:tc>
      </w:tr>
      <w:tr>
        <w:trPr>
          <w:cantSplit/>
        </w:trPr>
        <w:tc>
          <w:tcPr>
            <w:tcW w:type="dxa" w:w="792"/>
            <w:tcMar>
              <w:top w:w="60" w:type="dxa"/>
              <w:start w:w="110" w:type="dxa"/>
              <w:bottom w:w="60" w:type="dxa"/>
              <w:end w:w="110" w:type="dxa"/>
            </w:tcMar>
            <w:shd w:val="clear" w:color="auto" w:fill="F4F7FB"/>
          </w:tcPr>
          <w:p>
            <w:pPr>
              <w:spacing w:after="0"/>
            </w:pPr>
            <w:r/>
            <w:r>
              <w:rPr>
                <w:rFonts w:ascii="Consolas" w:hAnsi="Consolas"/>
                <w:color w:val="146EF5"/>
                <w:sz w:val="13"/>
              </w:rPr>
              <w:t>WizardStep</w:t>
            </w:r>
          </w:p>
        </w:tc>
        <w:tc>
          <w:tcPr>
            <w:tcW w:type="dxa" w:w="2534"/>
            <w:tcMar>
              <w:top w:w="60" w:type="dxa"/>
              <w:start w:w="110" w:type="dxa"/>
              <w:bottom w:w="60" w:type="dxa"/>
              <w:end w:w="110" w:type="dxa"/>
            </w:tcMar>
            <w:shd w:val="clear" w:color="auto" w:fill="F4F7FB"/>
          </w:tcPr>
          <w:p>
            <w:pPr>
              <w:spacing w:after="0"/>
            </w:pPr>
            <w:r/>
            <w:r>
              <w:rPr>
                <w:rFonts w:ascii="Calibri" w:hAnsi="Calibri"/>
                <w:b w:val="0"/>
                <w:i w:val="0"/>
                <w:color w:val="101828"/>
                <w:sz w:val="13"/>
              </w:rPr>
              <w:t>One step of seven, with a guard</w:t>
            </w:r>
          </w:p>
        </w:tc>
        <w:tc>
          <w:tcPr>
            <w:tcW w:type="dxa" w:w="2246"/>
            <w:tcMar>
              <w:top w:w="60" w:type="dxa"/>
              <w:start w:w="110" w:type="dxa"/>
              <w:bottom w:w="60" w:type="dxa"/>
              <w:end w:w="110" w:type="dxa"/>
            </w:tcMar>
            <w:shd w:val="clear" w:color="auto" w:fill="F4F7FB"/>
          </w:tcPr>
          <w:p>
            <w:pPr>
              <w:spacing w:after="0"/>
            </w:pPr>
            <w:r/>
            <w:r>
              <w:rPr>
                <w:rFonts w:ascii="Calibri" w:hAnsi="Calibri"/>
                <w:b w:val="0"/>
                <w:i w:val="0"/>
                <w:color w:val="101828"/>
                <w:sz w:val="13"/>
              </w:rPr>
              <w:t>6.12</w:t>
            </w:r>
          </w:p>
        </w:tc>
        <w:tc>
          <w:tcPr>
            <w:tcW w:type="dxa" w:w="3787"/>
            <w:tcMar>
              <w:top w:w="60" w:type="dxa"/>
              <w:start w:w="110" w:type="dxa"/>
              <w:bottom w:w="60" w:type="dxa"/>
              <w:end w:w="110" w:type="dxa"/>
            </w:tcMar>
            <w:shd w:val="clear" w:color="auto" w:fill="F4F7FB"/>
          </w:tcPr>
          <w:p>
            <w:pPr>
              <w:spacing w:after="0"/>
            </w:pPr>
            <w:r/>
            <w:r>
              <w:rPr>
                <w:rFonts w:ascii="Calibri" w:hAnsi="Calibri"/>
                <w:b w:val="0"/>
                <w:i w:val="0"/>
                <w:color w:val="101828"/>
                <w:sz w:val="13"/>
              </w:rPr>
              <w:t>Seven bodies, shared chrome, forward and back</w:t>
            </w:r>
          </w:p>
        </w:tc>
      </w:tr>
      <w:tr>
        <w:trPr>
          <w:cantSplit/>
        </w:trPr>
        <w:tc>
          <w:tcPr>
            <w:tcW w:type="dxa" w:w="792"/>
            <w:tcMar>
              <w:top w:w="60" w:type="dxa"/>
              <w:start w:w="110" w:type="dxa"/>
              <w:bottom w:w="60" w:type="dxa"/>
              <w:end w:w="110" w:type="dxa"/>
            </w:tcMar>
          </w:tcPr>
          <w:p>
            <w:pPr>
              <w:spacing w:after="0"/>
            </w:pPr>
            <w:r/>
            <w:r>
              <w:rPr>
                <w:rFonts w:ascii="Consolas" w:hAnsi="Consolas"/>
                <w:color w:val="146EF5"/>
                <w:sz w:val="13"/>
              </w:rPr>
              <w:t>FormField</w:t>
            </w:r>
          </w:p>
        </w:tc>
        <w:tc>
          <w:tcPr>
            <w:tcW w:type="dxa" w:w="2534"/>
            <w:tcMar>
              <w:top w:w="60" w:type="dxa"/>
              <w:start w:w="110" w:type="dxa"/>
              <w:bottom w:w="60" w:type="dxa"/>
              <w:end w:w="110" w:type="dxa"/>
            </w:tcMar>
          </w:tcPr>
          <w:p>
            <w:pPr>
              <w:spacing w:after="0"/>
            </w:pPr>
            <w:r/>
            <w:r>
              <w:rPr>
                <w:rFonts w:ascii="Calibri" w:hAnsi="Calibri"/>
                <w:b w:val="0"/>
                <w:i w:val="0"/>
                <w:color w:val="101828"/>
                <w:sz w:val="13"/>
              </w:rPr>
              <w:t>Label, control, helper, error</w:t>
            </w:r>
          </w:p>
        </w:tc>
        <w:tc>
          <w:tcPr>
            <w:tcW w:type="dxa" w:w="2246"/>
            <w:tcMar>
              <w:top w:w="60" w:type="dxa"/>
              <w:start w:w="110" w:type="dxa"/>
              <w:bottom w:w="60" w:type="dxa"/>
              <w:end w:w="110" w:type="dxa"/>
            </w:tcMar>
          </w:tcPr>
          <w:p>
            <w:pPr>
              <w:spacing w:after="0"/>
            </w:pPr>
            <w:r/>
            <w:r>
              <w:rPr>
                <w:rFonts w:ascii="Calibri" w:hAnsi="Calibri"/>
                <w:b w:val="0"/>
                <w:i w:val="0"/>
                <w:color w:val="101828"/>
                <w:sz w:val="13"/>
              </w:rPr>
              <w:t>Every form in 6.5 to 6.9, 6.13, 6.17, 6.24, 6.28</w:t>
            </w:r>
          </w:p>
        </w:tc>
        <w:tc>
          <w:tcPr>
            <w:tcW w:type="dxa" w:w="3787"/>
            <w:tcMar>
              <w:top w:w="60" w:type="dxa"/>
              <w:start w:w="110" w:type="dxa"/>
              <w:bottom w:w="60" w:type="dxa"/>
              <w:end w:w="110" w:type="dxa"/>
            </w:tcMar>
          </w:tcPr>
          <w:p>
            <w:pPr>
              <w:spacing w:after="0"/>
            </w:pPr>
            <w:r/>
            <w:r>
              <w:rPr>
                <w:rFonts w:ascii="Calibri" w:hAnsi="Calibri"/>
                <w:b w:val="0"/>
                <w:i w:val="0"/>
                <w:color w:val="101828"/>
                <w:sz w:val="13"/>
              </w:rPr>
              <w:t>Text, Amount, Select, Radio, Checkbox, Switch, OTP, Date, File</w:t>
            </w:r>
          </w:p>
        </w:tc>
      </w:tr>
      <w:tr>
        <w:trPr>
          <w:cantSplit/>
        </w:trPr>
        <w:tc>
          <w:tcPr>
            <w:tcW w:type="dxa" w:w="792"/>
            <w:tcMar>
              <w:top w:w="60" w:type="dxa"/>
              <w:start w:w="110" w:type="dxa"/>
              <w:bottom w:w="60" w:type="dxa"/>
              <w:end w:w="110" w:type="dxa"/>
            </w:tcMar>
            <w:shd w:val="clear" w:color="auto" w:fill="F4F7FB"/>
          </w:tcPr>
          <w:p>
            <w:pPr>
              <w:spacing w:after="0"/>
            </w:pPr>
            <w:r/>
            <w:r>
              <w:rPr>
                <w:rFonts w:ascii="Consolas" w:hAnsi="Consolas"/>
                <w:color w:val="146EF5"/>
                <w:sz w:val="13"/>
              </w:rPr>
              <w:t>Banner</w:t>
            </w:r>
          </w:p>
        </w:tc>
        <w:tc>
          <w:tcPr>
            <w:tcW w:type="dxa" w:w="2534"/>
            <w:tcMar>
              <w:top w:w="60" w:type="dxa"/>
              <w:start w:w="110" w:type="dxa"/>
              <w:bottom w:w="60" w:type="dxa"/>
              <w:end w:w="110" w:type="dxa"/>
            </w:tcMar>
            <w:shd w:val="clear" w:color="auto" w:fill="F4F7FB"/>
          </w:tcPr>
          <w:p>
            <w:pPr>
              <w:spacing w:after="0"/>
            </w:pPr>
            <w:r/>
            <w:r>
              <w:rPr>
                <w:rFonts w:ascii="Calibri" w:hAnsi="Calibri"/>
                <w:b w:val="0"/>
                <w:i w:val="0"/>
                <w:color w:val="101828"/>
                <w:sz w:val="13"/>
              </w:rPr>
              <w:t>Something that changes what you should do</w:t>
            </w:r>
          </w:p>
        </w:tc>
        <w:tc>
          <w:tcPr>
            <w:tcW w:type="dxa" w:w="2246"/>
            <w:tcMar>
              <w:top w:w="60" w:type="dxa"/>
              <w:start w:w="110" w:type="dxa"/>
              <w:bottom w:w="60" w:type="dxa"/>
              <w:end w:w="110" w:type="dxa"/>
            </w:tcMar>
            <w:shd w:val="clear" w:color="auto" w:fill="F4F7FB"/>
          </w:tcPr>
          <w:p>
            <w:pPr>
              <w:spacing w:after="0"/>
            </w:pPr>
            <w:r/>
            <w:r>
              <w:rPr>
                <w:rFonts w:ascii="Calibri" w:hAnsi="Calibri"/>
                <w:b w:val="0"/>
                <w:i w:val="0"/>
                <w:color w:val="101828"/>
                <w:sz w:val="13"/>
              </w:rPr>
              <w:t>6.10, 6.22, 6.23, 6.29, 6.30</w:t>
            </w:r>
          </w:p>
        </w:tc>
        <w:tc>
          <w:tcPr>
            <w:tcW w:type="dxa" w:w="3787"/>
            <w:tcMar>
              <w:top w:w="60" w:type="dxa"/>
              <w:start w:w="110" w:type="dxa"/>
              <w:bottom w:w="60" w:type="dxa"/>
              <w:end w:w="110" w:type="dxa"/>
            </w:tcMar>
            <w:shd w:val="clear" w:color="auto" w:fill="F4F7FB"/>
          </w:tcPr>
          <w:p>
            <w:pPr>
              <w:spacing w:after="0"/>
            </w:pPr>
            <w:r/>
            <w:r>
              <w:rPr>
                <w:rFonts w:ascii="Calibri" w:hAnsi="Calibri"/>
                <w:b w:val="0"/>
                <w:i w:val="0"/>
                <w:color w:val="101828"/>
                <w:sz w:val="13"/>
              </w:rPr>
              <w:t>Information, Warning, Danger, Offline</w:t>
            </w:r>
          </w:p>
        </w:tc>
      </w:tr>
      <w:tr>
        <w:trPr>
          <w:cantSplit/>
        </w:trPr>
        <w:tc>
          <w:tcPr>
            <w:tcW w:type="dxa" w:w="792"/>
            <w:tcMar>
              <w:top w:w="60" w:type="dxa"/>
              <w:start w:w="110" w:type="dxa"/>
              <w:bottom w:w="60" w:type="dxa"/>
              <w:end w:w="110" w:type="dxa"/>
            </w:tcMar>
          </w:tcPr>
          <w:p>
            <w:pPr>
              <w:spacing w:after="0"/>
            </w:pPr>
            <w:r/>
            <w:r>
              <w:rPr>
                <w:rFonts w:ascii="Consolas" w:hAnsi="Consolas"/>
                <w:color w:val="146EF5"/>
                <w:sz w:val="13"/>
              </w:rPr>
              <w:t>Callout</w:t>
            </w:r>
          </w:p>
        </w:tc>
        <w:tc>
          <w:tcPr>
            <w:tcW w:type="dxa" w:w="2534"/>
            <w:tcMar>
              <w:top w:w="60" w:type="dxa"/>
              <w:start w:w="110" w:type="dxa"/>
              <w:bottom w:w="60" w:type="dxa"/>
              <w:end w:w="110" w:type="dxa"/>
            </w:tcMar>
          </w:tcPr>
          <w:p>
            <w:pPr>
              <w:spacing w:after="0"/>
            </w:pPr>
            <w:r/>
            <w:r>
              <w:rPr>
                <w:rFonts w:ascii="Calibri" w:hAnsi="Calibri"/>
                <w:b w:val="0"/>
                <w:i w:val="0"/>
                <w:color w:val="101828"/>
                <w:sz w:val="13"/>
              </w:rPr>
              <w:t>A statement that belongs to the page, not to a control</w:t>
            </w:r>
          </w:p>
        </w:tc>
        <w:tc>
          <w:tcPr>
            <w:tcW w:type="dxa" w:w="2246"/>
            <w:tcMar>
              <w:top w:w="60" w:type="dxa"/>
              <w:start w:w="110" w:type="dxa"/>
              <w:bottom w:w="60" w:type="dxa"/>
              <w:end w:w="110" w:type="dxa"/>
            </w:tcMar>
          </w:tcPr>
          <w:p>
            <w:pPr>
              <w:spacing w:after="0"/>
            </w:pPr>
            <w:r/>
            <w:r>
              <w:rPr>
                <w:rFonts w:ascii="Calibri" w:hAnsi="Calibri"/>
                <w:b w:val="0"/>
                <w:i w:val="0"/>
                <w:color w:val="101828"/>
                <w:sz w:val="13"/>
              </w:rPr>
              <w:t>Section 6 decision and note callouts</w:t>
            </w:r>
          </w:p>
        </w:tc>
        <w:tc>
          <w:tcPr>
            <w:tcW w:type="dxa" w:w="3787"/>
            <w:tcMar>
              <w:top w:w="60" w:type="dxa"/>
              <w:start w:w="110" w:type="dxa"/>
              <w:bottom w:w="60" w:type="dxa"/>
              <w:end w:w="110" w:type="dxa"/>
            </w:tcMar>
          </w:tcPr>
          <w:p>
            <w:pPr>
              <w:spacing w:after="0"/>
            </w:pPr>
            <w:r/>
            <w:r>
              <w:rPr>
                <w:rFonts w:ascii="Calibri" w:hAnsi="Calibri"/>
                <w:b w:val="0"/>
                <w:i w:val="0"/>
                <w:color w:val="101828"/>
                <w:sz w:val="13"/>
              </w:rPr>
              <w:t>NOTE, WARNING, LEGAL, ASSUMPTION, DECISION</w:t>
            </w:r>
          </w:p>
        </w:tc>
      </w:tr>
      <w:tr>
        <w:trPr>
          <w:cantSplit/>
        </w:trPr>
        <w:tc>
          <w:tcPr>
            <w:tcW w:type="dxa" w:w="792"/>
            <w:tcMar>
              <w:top w:w="60" w:type="dxa"/>
              <w:start w:w="110" w:type="dxa"/>
              <w:bottom w:w="60" w:type="dxa"/>
              <w:end w:w="110" w:type="dxa"/>
            </w:tcMar>
            <w:shd w:val="clear" w:color="auto" w:fill="F4F7FB"/>
          </w:tcPr>
          <w:p>
            <w:pPr>
              <w:spacing w:after="0"/>
            </w:pPr>
            <w:r/>
            <w:r>
              <w:rPr>
                <w:rFonts w:ascii="Consolas" w:hAnsi="Consolas"/>
                <w:color w:val="146EF5"/>
                <w:sz w:val="13"/>
              </w:rPr>
              <w:t>Sheet</w:t>
            </w:r>
          </w:p>
        </w:tc>
        <w:tc>
          <w:tcPr>
            <w:tcW w:type="dxa" w:w="2534"/>
            <w:tcMar>
              <w:top w:w="60" w:type="dxa"/>
              <w:start w:w="110" w:type="dxa"/>
              <w:bottom w:w="60" w:type="dxa"/>
              <w:end w:w="110" w:type="dxa"/>
            </w:tcMar>
            <w:shd w:val="clear" w:color="auto" w:fill="F4F7FB"/>
          </w:tcPr>
          <w:p>
            <w:pPr>
              <w:spacing w:after="0"/>
            </w:pPr>
            <w:r/>
            <w:r>
              <w:rPr>
                <w:rFonts w:ascii="Calibri" w:hAnsi="Calibri"/>
                <w:b w:val="0"/>
                <w:i w:val="0"/>
                <w:color w:val="101828"/>
                <w:sz w:val="13"/>
              </w:rPr>
              <w:t>A focused task over a page</w:t>
            </w:r>
          </w:p>
        </w:tc>
        <w:tc>
          <w:tcPr>
            <w:tcW w:type="dxa" w:w="2246"/>
            <w:tcMar>
              <w:top w:w="60" w:type="dxa"/>
              <w:start w:w="110" w:type="dxa"/>
              <w:bottom w:w="60" w:type="dxa"/>
              <w:end w:w="110" w:type="dxa"/>
            </w:tcMar>
            <w:shd w:val="clear" w:color="auto" w:fill="F4F7FB"/>
          </w:tcPr>
          <w:p>
            <w:pPr>
              <w:spacing w:after="0"/>
            </w:pPr>
            <w:r/>
            <w:r>
              <w:rPr>
                <w:rFonts w:ascii="Calibri" w:hAnsi="Calibri"/>
                <w:b w:val="0"/>
                <w:i w:val="0"/>
                <w:color w:val="101828"/>
                <w:sz w:val="13"/>
              </w:rPr>
              <w:t>6.8, 6.11, 6.19, 6.25, 6.27, 6.31</w:t>
            </w:r>
          </w:p>
        </w:tc>
        <w:tc>
          <w:tcPr>
            <w:tcW w:type="dxa" w:w="3787"/>
            <w:tcMar>
              <w:top w:w="60" w:type="dxa"/>
              <w:start w:w="110" w:type="dxa"/>
              <w:bottom w:w="60" w:type="dxa"/>
              <w:end w:w="110" w:type="dxa"/>
            </w:tcMar>
            <w:shd w:val="clear" w:color="auto" w:fill="F4F7FB"/>
          </w:tcPr>
          <w:p>
            <w:pPr>
              <w:spacing w:after="0"/>
            </w:pPr>
            <w:r/>
            <w:r>
              <w:rPr>
                <w:rFonts w:ascii="Calibri" w:hAnsi="Calibri"/>
                <w:b w:val="0"/>
                <w:i w:val="0"/>
                <w:color w:val="101828"/>
                <w:sz w:val="13"/>
              </w:rPr>
              <w:t>Bottom sheet on mobile, centred dialog on desktop</w:t>
            </w:r>
          </w:p>
        </w:tc>
      </w:tr>
      <w:tr>
        <w:trPr>
          <w:cantSplit/>
        </w:trPr>
        <w:tc>
          <w:tcPr>
            <w:tcW w:type="dxa" w:w="792"/>
            <w:tcMar>
              <w:top w:w="60" w:type="dxa"/>
              <w:start w:w="110" w:type="dxa"/>
              <w:bottom w:w="60" w:type="dxa"/>
              <w:end w:w="110" w:type="dxa"/>
            </w:tcMar>
          </w:tcPr>
          <w:p>
            <w:pPr>
              <w:spacing w:after="0"/>
            </w:pPr>
            <w:r/>
            <w:r>
              <w:rPr>
                <w:rFonts w:ascii="Consolas" w:hAnsi="Consolas"/>
                <w:color w:val="146EF5"/>
                <w:sz w:val="13"/>
              </w:rPr>
              <w:t>ReceiptCard</w:t>
            </w:r>
          </w:p>
        </w:tc>
        <w:tc>
          <w:tcPr>
            <w:tcW w:type="dxa" w:w="2534"/>
            <w:tcMar>
              <w:top w:w="60" w:type="dxa"/>
              <w:start w:w="110" w:type="dxa"/>
              <w:bottom w:w="60" w:type="dxa"/>
              <w:end w:w="110" w:type="dxa"/>
            </w:tcMar>
          </w:tcPr>
          <w:p>
            <w:pPr>
              <w:spacing w:after="0"/>
            </w:pPr>
            <w:r/>
            <w:r>
              <w:rPr>
                <w:rFonts w:ascii="Calibri" w:hAnsi="Calibri"/>
                <w:b w:val="0"/>
                <w:i w:val="0"/>
                <w:color w:val="101828"/>
                <w:sz w:val="13"/>
              </w:rPr>
              <w:t>A durable record of a movement</w:t>
            </w:r>
          </w:p>
        </w:tc>
        <w:tc>
          <w:tcPr>
            <w:tcW w:type="dxa" w:w="2246"/>
            <w:tcMar>
              <w:top w:w="60" w:type="dxa"/>
              <w:start w:w="110" w:type="dxa"/>
              <w:bottom w:w="60" w:type="dxa"/>
              <w:end w:w="110" w:type="dxa"/>
            </w:tcMar>
          </w:tcPr>
          <w:p>
            <w:pPr>
              <w:spacing w:after="0"/>
            </w:pPr>
            <w:r/>
            <w:r>
              <w:rPr>
                <w:rFonts w:ascii="Calibri" w:hAnsi="Calibri"/>
                <w:b w:val="0"/>
                <w:i w:val="0"/>
                <w:color w:val="101828"/>
                <w:sz w:val="13"/>
              </w:rPr>
              <w:t>6.19, 6.20</w:t>
            </w:r>
          </w:p>
        </w:tc>
        <w:tc>
          <w:tcPr>
            <w:tcW w:type="dxa" w:w="3787"/>
            <w:tcMar>
              <w:top w:w="60" w:type="dxa"/>
              <w:start w:w="110" w:type="dxa"/>
              <w:bottom w:w="60" w:type="dxa"/>
              <w:end w:w="110" w:type="dxa"/>
            </w:tcMar>
          </w:tcPr>
          <w:p>
            <w:pPr>
              <w:spacing w:after="0"/>
            </w:pPr>
            <w:r/>
            <w:r>
              <w:rPr>
                <w:rFonts w:ascii="Calibri" w:hAnsi="Calibri"/>
                <w:b w:val="0"/>
                <w:i w:val="0"/>
                <w:color w:val="101828"/>
                <w:sz w:val="13"/>
              </w:rPr>
              <w:t>Contribution, Payout, with PDF and share</w:t>
            </w:r>
          </w:p>
        </w:tc>
      </w:tr>
      <w:tr>
        <w:trPr>
          <w:cantSplit/>
        </w:trPr>
        <w:tc>
          <w:tcPr>
            <w:tcW w:type="dxa" w:w="792"/>
            <w:tcMar>
              <w:top w:w="60" w:type="dxa"/>
              <w:start w:w="110" w:type="dxa"/>
              <w:bottom w:w="60" w:type="dxa"/>
              <w:end w:w="110" w:type="dxa"/>
            </w:tcMar>
            <w:shd w:val="clear" w:color="auto" w:fill="F4F7FB"/>
          </w:tcPr>
          <w:p>
            <w:pPr>
              <w:spacing w:after="0"/>
            </w:pPr>
            <w:r/>
            <w:r>
              <w:rPr>
                <w:rFonts w:ascii="Consolas" w:hAnsi="Consolas"/>
                <w:color w:val="146EF5"/>
                <w:sz w:val="13"/>
              </w:rPr>
              <w:t>UploadField</w:t>
            </w:r>
          </w:p>
        </w:tc>
        <w:tc>
          <w:tcPr>
            <w:tcW w:type="dxa" w:w="2534"/>
            <w:tcMar>
              <w:top w:w="60" w:type="dxa"/>
              <w:start w:w="110" w:type="dxa"/>
              <w:bottom w:w="60" w:type="dxa"/>
              <w:end w:w="110" w:type="dxa"/>
            </w:tcMar>
            <w:shd w:val="clear" w:color="auto" w:fill="F4F7FB"/>
          </w:tcPr>
          <w:p>
            <w:pPr>
              <w:spacing w:after="0"/>
            </w:pPr>
            <w:r/>
            <w:r>
              <w:rPr>
                <w:rFonts w:ascii="Calibri" w:hAnsi="Calibri"/>
                <w:b w:val="0"/>
                <w:i w:val="0"/>
                <w:color w:val="101828"/>
                <w:sz w:val="13"/>
              </w:rPr>
              <w:t>A document capture with progress and retry</w:t>
            </w:r>
          </w:p>
        </w:tc>
        <w:tc>
          <w:tcPr>
            <w:tcW w:type="dxa" w:w="2246"/>
            <w:tcMar>
              <w:top w:w="60" w:type="dxa"/>
              <w:start w:w="110" w:type="dxa"/>
              <w:bottom w:w="60" w:type="dxa"/>
              <w:end w:w="110" w:type="dxa"/>
            </w:tcMar>
            <w:shd w:val="clear" w:color="auto" w:fill="F4F7FB"/>
          </w:tcPr>
          <w:p>
            <w:pPr>
              <w:spacing w:after="0"/>
            </w:pPr>
            <w:r/>
            <w:r>
              <w:rPr>
                <w:rFonts w:ascii="Calibri" w:hAnsi="Calibri"/>
                <w:b w:val="0"/>
                <w:i w:val="0"/>
                <w:color w:val="101828"/>
                <w:sz w:val="13"/>
              </w:rPr>
              <w:t>6.28</w:t>
            </w:r>
          </w:p>
        </w:tc>
        <w:tc>
          <w:tcPr>
            <w:tcW w:type="dxa" w:w="3787"/>
            <w:tcMar>
              <w:top w:w="60" w:type="dxa"/>
              <w:start w:w="110" w:type="dxa"/>
              <w:bottom w:w="60" w:type="dxa"/>
              <w:end w:w="110" w:type="dxa"/>
            </w:tcMar>
            <w:shd w:val="clear" w:color="auto" w:fill="F4F7FB"/>
          </w:tcPr>
          <w:p>
            <w:pPr>
              <w:spacing w:after="0"/>
            </w:pPr>
            <w:r/>
            <w:r>
              <w:rPr>
                <w:rFonts w:ascii="Calibri" w:hAnsi="Calibri"/>
                <w:b w:val="0"/>
                <w:i w:val="0"/>
                <w:color w:val="101828"/>
                <w:sz w:val="13"/>
              </w:rPr>
              <w:t>Camera, file, with type, size, and legibility guidance</w:t>
            </w:r>
          </w:p>
        </w:tc>
      </w:tr>
      <w:tr>
        <w:trPr>
          <w:cantSplit/>
        </w:trPr>
        <w:tc>
          <w:tcPr>
            <w:tcW w:type="dxa" w:w="792"/>
            <w:tcMar>
              <w:top w:w="60" w:type="dxa"/>
              <w:start w:w="110" w:type="dxa"/>
              <w:bottom w:w="60" w:type="dxa"/>
              <w:end w:w="110" w:type="dxa"/>
            </w:tcMar>
          </w:tcPr>
          <w:p>
            <w:pPr>
              <w:spacing w:after="0"/>
            </w:pPr>
            <w:r/>
            <w:r>
              <w:rPr>
                <w:rFonts w:ascii="Consolas" w:hAnsi="Consolas"/>
                <w:color w:val="146EF5"/>
                <w:sz w:val="13"/>
              </w:rPr>
              <w:t>Thread</w:t>
            </w:r>
          </w:p>
        </w:tc>
        <w:tc>
          <w:tcPr>
            <w:tcW w:type="dxa" w:w="2534"/>
            <w:tcMar>
              <w:top w:w="60" w:type="dxa"/>
              <w:start w:w="110" w:type="dxa"/>
              <w:bottom w:w="60" w:type="dxa"/>
              <w:end w:w="110" w:type="dxa"/>
            </w:tcMar>
          </w:tcPr>
          <w:p>
            <w:pPr>
              <w:spacing w:after="0"/>
            </w:pPr>
            <w:r/>
            <w:r>
              <w:rPr>
                <w:rFonts w:ascii="Calibri" w:hAnsi="Calibri"/>
                <w:b w:val="0"/>
                <w:i w:val="0"/>
                <w:color w:val="101828"/>
                <w:sz w:val="13"/>
              </w:rPr>
              <w:t>Messages on a dispute</w:t>
            </w:r>
          </w:p>
        </w:tc>
        <w:tc>
          <w:tcPr>
            <w:tcW w:type="dxa" w:w="2246"/>
            <w:tcMar>
              <w:top w:w="60" w:type="dxa"/>
              <w:start w:w="110" w:type="dxa"/>
              <w:bottom w:w="60" w:type="dxa"/>
              <w:end w:w="110" w:type="dxa"/>
            </w:tcMar>
          </w:tcPr>
          <w:p>
            <w:pPr>
              <w:spacing w:after="0"/>
            </w:pPr>
            <w:r/>
            <w:r>
              <w:rPr>
                <w:rFonts w:ascii="Calibri" w:hAnsi="Calibri"/>
                <w:b w:val="0"/>
                <w:i w:val="0"/>
                <w:color w:val="101828"/>
                <w:sz w:val="13"/>
              </w:rPr>
              <w:t>6.25, 6.31</w:t>
            </w:r>
          </w:p>
        </w:tc>
        <w:tc>
          <w:tcPr>
            <w:tcW w:type="dxa" w:w="3787"/>
            <w:tcMar>
              <w:top w:w="60" w:type="dxa"/>
              <w:start w:w="110" w:type="dxa"/>
              <w:bottom w:w="60" w:type="dxa"/>
              <w:end w:w="110" w:type="dxa"/>
            </w:tcMar>
          </w:tcPr>
          <w:p>
            <w:pPr>
              <w:spacing w:after="0"/>
            </w:pPr>
            <w:r/>
            <w:r>
              <w:rPr>
                <w:rFonts w:ascii="Calibri" w:hAnsi="Calibri"/>
                <w:b w:val="0"/>
                <w:i w:val="0"/>
                <w:color w:val="101828"/>
                <w:sz w:val="13"/>
              </w:rPr>
              <w:t>Member view, Admin view with internal note</w:t>
            </w:r>
          </w:p>
        </w:tc>
      </w:tr>
      <w:tr>
        <w:trPr>
          <w:cantSplit/>
        </w:trPr>
        <w:tc>
          <w:tcPr>
            <w:tcW w:type="dxa" w:w="792"/>
            <w:tcMar>
              <w:top w:w="60" w:type="dxa"/>
              <w:start w:w="110" w:type="dxa"/>
              <w:bottom w:w="60" w:type="dxa"/>
              <w:end w:w="110" w:type="dxa"/>
            </w:tcMar>
            <w:shd w:val="clear" w:color="auto" w:fill="F4F7FB"/>
          </w:tcPr>
          <w:p>
            <w:pPr>
              <w:spacing w:after="0"/>
            </w:pPr>
            <w:r/>
            <w:r>
              <w:rPr>
                <w:rFonts w:ascii="Consolas" w:hAnsi="Consolas"/>
                <w:color w:val="146EF5"/>
                <w:sz w:val="13"/>
              </w:rPr>
              <w:t>Chart</w:t>
            </w:r>
          </w:p>
        </w:tc>
        <w:tc>
          <w:tcPr>
            <w:tcW w:type="dxa" w:w="2534"/>
            <w:tcMar>
              <w:top w:w="60" w:type="dxa"/>
              <w:start w:w="110" w:type="dxa"/>
              <w:bottom w:w="60" w:type="dxa"/>
              <w:end w:w="110" w:type="dxa"/>
            </w:tcMar>
            <w:shd w:val="clear" w:color="auto" w:fill="F4F7FB"/>
          </w:tcPr>
          <w:p>
            <w:pPr>
              <w:spacing w:after="0"/>
            </w:pPr>
            <w:r/>
            <w:r>
              <w:rPr>
                <w:rFonts w:ascii="Calibri" w:hAnsi="Calibri"/>
                <w:b w:val="0"/>
                <w:i w:val="0"/>
                <w:color w:val="101828"/>
                <w:sz w:val="13"/>
              </w:rPr>
              <w:t>The forms permitted in 7.10.1</w:t>
            </w:r>
          </w:p>
        </w:tc>
        <w:tc>
          <w:tcPr>
            <w:tcW w:type="dxa" w:w="2246"/>
            <w:tcMar>
              <w:top w:w="60" w:type="dxa"/>
              <w:start w:w="110" w:type="dxa"/>
              <w:bottom w:w="60" w:type="dxa"/>
              <w:end w:w="110" w:type="dxa"/>
            </w:tcMar>
            <w:shd w:val="clear" w:color="auto" w:fill="F4F7FB"/>
          </w:tcPr>
          <w:p>
            <w:pPr>
              <w:spacing w:after="0"/>
            </w:pPr>
            <w:r/>
            <w:r>
              <w:rPr>
                <w:rFonts w:ascii="Calibri" w:hAnsi="Calibri"/>
                <w:b w:val="0"/>
                <w:i w:val="0"/>
                <w:color w:val="101828"/>
                <w:sz w:val="13"/>
              </w:rPr>
              <w:t>6.10, 6.30, 6.32</w:t>
            </w:r>
          </w:p>
        </w:tc>
        <w:tc>
          <w:tcPr>
            <w:tcW w:type="dxa" w:w="3787"/>
            <w:tcMar>
              <w:top w:w="60" w:type="dxa"/>
              <w:start w:w="110" w:type="dxa"/>
              <w:bottom w:w="60" w:type="dxa"/>
              <w:end w:w="110" w:type="dxa"/>
            </w:tcMar>
            <w:shd w:val="clear" w:color="auto" w:fill="F4F7FB"/>
          </w:tcPr>
          <w:p>
            <w:pPr>
              <w:spacing w:after="0"/>
            </w:pPr>
            <w:r/>
            <w:r>
              <w:rPr>
                <w:rFonts w:ascii="Calibri" w:hAnsi="Calibri"/>
                <w:b w:val="0"/>
                <w:i w:val="0"/>
                <w:color w:val="101828"/>
                <w:sz w:val="13"/>
              </w:rPr>
              <w:t>Progress, Timeline, Sparkline, StackedBar, DotPlot</w:t>
            </w:r>
          </w:p>
        </w:tc>
      </w:tr>
      <w:tr>
        <w:trPr>
          <w:cantSplit/>
        </w:trPr>
        <w:tc>
          <w:tcPr>
            <w:tcW w:type="dxa" w:w="792"/>
            <w:tcMar>
              <w:top w:w="60" w:type="dxa"/>
              <w:start w:w="110" w:type="dxa"/>
              <w:bottom w:w="60" w:type="dxa"/>
              <w:end w:w="110" w:type="dxa"/>
            </w:tcMar>
          </w:tcPr>
          <w:p>
            <w:pPr>
              <w:spacing w:after="0"/>
            </w:pPr>
            <w:r/>
            <w:r>
              <w:rPr>
                <w:rFonts w:ascii="Consolas" w:hAnsi="Consolas"/>
                <w:color w:val="146EF5"/>
                <w:sz w:val="13"/>
              </w:rPr>
              <w:t>Skeleton</w:t>
            </w:r>
          </w:p>
        </w:tc>
        <w:tc>
          <w:tcPr>
            <w:tcW w:type="dxa" w:w="2534"/>
            <w:tcMar>
              <w:top w:w="60" w:type="dxa"/>
              <w:start w:w="110" w:type="dxa"/>
              <w:bottom w:w="60" w:type="dxa"/>
              <w:end w:w="110" w:type="dxa"/>
            </w:tcMar>
          </w:tcPr>
          <w:p>
            <w:pPr>
              <w:spacing w:after="0"/>
            </w:pPr>
            <w:r/>
            <w:r>
              <w:rPr>
                <w:rFonts w:ascii="Calibri" w:hAnsi="Calibri"/>
                <w:b w:val="0"/>
                <w:i w:val="0"/>
                <w:color w:val="101828"/>
                <w:sz w:val="13"/>
              </w:rPr>
              <w:t>A loading state with correct geometry</w:t>
            </w:r>
          </w:p>
        </w:tc>
        <w:tc>
          <w:tcPr>
            <w:tcW w:type="dxa" w:w="2246"/>
            <w:tcMar>
              <w:top w:w="60" w:type="dxa"/>
              <w:start w:w="110" w:type="dxa"/>
              <w:bottom w:w="60" w:type="dxa"/>
              <w:end w:w="110" w:type="dxa"/>
            </w:tcMar>
          </w:tcPr>
          <w:p>
            <w:pPr>
              <w:spacing w:after="0"/>
            </w:pPr>
            <w:r/>
            <w:r>
              <w:rPr>
                <w:rFonts w:ascii="Calibri" w:hAnsi="Calibri"/>
                <w:b w:val="0"/>
                <w:i w:val="0"/>
                <w:color w:val="101828"/>
                <w:sz w:val="13"/>
              </w:rPr>
              <w:t>Every region that loads</w:t>
            </w:r>
          </w:p>
        </w:tc>
        <w:tc>
          <w:tcPr>
            <w:tcW w:type="dxa" w:w="3787"/>
            <w:tcMar>
              <w:top w:w="60" w:type="dxa"/>
              <w:start w:w="110" w:type="dxa"/>
              <w:bottom w:w="60" w:type="dxa"/>
              <w:end w:w="110" w:type="dxa"/>
            </w:tcMar>
          </w:tcPr>
          <w:p>
            <w:pPr>
              <w:spacing w:after="0"/>
            </w:pPr>
            <w:r/>
            <w:r>
              <w:rPr>
                <w:rFonts w:ascii="Calibri" w:hAnsi="Calibri"/>
                <w:b w:val="0"/>
                <w:i w:val="0"/>
                <w:color w:val="101828"/>
                <w:sz w:val="13"/>
              </w:rPr>
              <w:t>Card, Row, Table, Block</w:t>
            </w:r>
          </w:p>
        </w:tc>
      </w:tr>
      <w:tr>
        <w:trPr>
          <w:cantSplit/>
        </w:trPr>
        <w:tc>
          <w:tcPr>
            <w:tcW w:type="dxa" w:w="792"/>
            <w:tcMar>
              <w:top w:w="60" w:type="dxa"/>
              <w:start w:w="110" w:type="dxa"/>
              <w:bottom w:w="60" w:type="dxa"/>
              <w:end w:w="110" w:type="dxa"/>
            </w:tcMar>
            <w:shd w:val="clear" w:color="auto" w:fill="F4F7FB"/>
          </w:tcPr>
          <w:p>
            <w:pPr>
              <w:spacing w:after="0"/>
            </w:pPr>
            <w:r/>
            <w:r>
              <w:rPr>
                <w:rFonts w:ascii="Consolas" w:hAnsi="Consolas"/>
                <w:color w:val="146EF5"/>
                <w:sz w:val="13"/>
              </w:rPr>
              <w:t>EmptyState</w:t>
            </w:r>
          </w:p>
        </w:tc>
        <w:tc>
          <w:tcPr>
            <w:tcW w:type="dxa" w:w="2534"/>
            <w:tcMar>
              <w:top w:w="60" w:type="dxa"/>
              <w:start w:w="110" w:type="dxa"/>
              <w:bottom w:w="60" w:type="dxa"/>
              <w:end w:w="110" w:type="dxa"/>
            </w:tcMar>
            <w:shd w:val="clear" w:color="auto" w:fill="F4F7FB"/>
          </w:tcPr>
          <w:p>
            <w:pPr>
              <w:spacing w:after="0"/>
            </w:pPr>
            <w:r/>
            <w:r>
              <w:rPr>
                <w:rFonts w:ascii="Calibri" w:hAnsi="Calibri"/>
                <w:b w:val="0"/>
                <w:i w:val="0"/>
                <w:color w:val="101828"/>
                <w:sz w:val="13"/>
              </w:rPr>
              <w:t>Statement, reason, action</w:t>
            </w:r>
          </w:p>
        </w:tc>
        <w:tc>
          <w:tcPr>
            <w:tcW w:type="dxa" w:w="2246"/>
            <w:tcMar>
              <w:top w:w="60" w:type="dxa"/>
              <w:start w:w="110" w:type="dxa"/>
              <w:bottom w:w="60" w:type="dxa"/>
              <w:end w:w="110" w:type="dxa"/>
            </w:tcMar>
            <w:shd w:val="clear" w:color="auto" w:fill="F4F7FB"/>
          </w:tcPr>
          <w:p>
            <w:pPr>
              <w:spacing w:after="0"/>
            </w:pPr>
            <w:r/>
            <w:r>
              <w:rPr>
                <w:rFonts w:ascii="Calibri" w:hAnsi="Calibri"/>
                <w:b w:val="0"/>
                <w:i w:val="0"/>
                <w:color w:val="101828"/>
                <w:sz w:val="13"/>
              </w:rPr>
              <w:t>Every list</w:t>
            </w:r>
          </w:p>
        </w:tc>
        <w:tc>
          <w:tcPr>
            <w:tcW w:type="dxa" w:w="3787"/>
            <w:tcMar>
              <w:top w:w="60" w:type="dxa"/>
              <w:start w:w="110" w:type="dxa"/>
              <w:bottom w:w="60" w:type="dxa"/>
              <w:end w:w="110" w:type="dxa"/>
            </w:tcMar>
            <w:shd w:val="clear" w:color="auto" w:fill="F4F7FB"/>
          </w:tcPr>
          <w:p>
            <w:pPr>
              <w:spacing w:after="0"/>
            </w:pPr>
            <w:r/>
            <w:r>
              <w:rPr>
                <w:rFonts w:ascii="Calibri" w:hAnsi="Calibri"/>
                <w:b w:val="0"/>
                <w:i w:val="0"/>
                <w:color w:val="101828"/>
                <w:sz w:val="13"/>
              </w:rPr>
              <w:t>With action, without action, filter-cleared</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Two components in this table are the product's real differentiators  </w:t>
      </w:r>
      <w:r>
        <w:rPr>
          <w:rFonts w:ascii="Consolas" w:hAnsi="Consolas"/>
          <w:color w:val="146EF5"/>
          <w:sz w:val="19"/>
        </w:rPr>
        <w:t>MoneyBlock</w:t>
      </w:r>
      <w:r>
        <w:rPr>
          <w:rFonts w:ascii="Calibri" w:hAnsi="Calibri"/>
          <w:b w:val="0"/>
          <w:i w:val="0"/>
          <w:color w:val="0B1F3A"/>
          <w:sz w:val="19"/>
        </w:rPr>
        <w:t xml:space="preserve"> and </w:t>
      </w:r>
      <w:r>
        <w:rPr>
          <w:rFonts w:ascii="Consolas" w:hAnsi="Consolas"/>
          <w:color w:val="146EF5"/>
          <w:sz w:val="19"/>
        </w:rPr>
        <w:t>RoundTimeline</w:t>
      </w:r>
      <w:r>
        <w:rPr>
          <w:rFonts w:ascii="Calibri" w:hAnsi="Calibri"/>
          <w:b w:val="0"/>
          <w:i w:val="0"/>
          <w:color w:val="0B1F3A"/>
          <w:sz w:val="19"/>
        </w:rPr>
        <w:t xml:space="preserve"> are the only two things in the interface that a competitor cannot copy with a colour change, and they are also the two that are easiest to get subtly wrong. The timeline in particular earns its place by showing all ten rounds from round one, so a member can see the shape of the commitment before making it — a commitment product that hides the end until you are halfway through has not earned the trust it is asking for. Both are worth disproportionate care in review, and both are covered by the states in their own tables rather than by a global states pattern.</w:t>
      </w:r>
    </w:p>
    <w:p>
      <w:pPr>
        <w:pStyle w:val="Heading2"/>
      </w:pPr>
      <w:r>
        <w:rPr>
          <w:rFonts w:ascii="Calibri" w:hAnsi="Calibri"/>
          <w:b/>
          <w:i w:val="0"/>
          <w:color w:val="146EF5"/>
          <w:sz w:val="29"/>
        </w:rPr>
        <w:t>7.16 Dark mode</w:t>
      </w:r>
    </w:p>
    <w:p>
      <w:pPr>
        <w:spacing w:before="140" w:after="180"/>
        <w:ind w:left="144"/>
        <w:shd w:val="clear" w:color="auto" w:fill="E0F2FE"/>
        <w:pBdr>
          <w:left w:val="single" w:sz="18" w:space="6" w:color="22C7D6"/>
        </w:pBdr>
      </w:pPr>
      <w:r>
        <w:rPr>
          <w:rFonts w:ascii="Calibri" w:hAnsi="Calibri"/>
          <w:b/>
          <w:color w:val="22C7D6"/>
          <w:sz w:val="19"/>
        </w:rPr>
        <w:t xml:space="preserve">Dark mode is deferred past v1 and this is a decision, not an omission  </w:t>
      </w:r>
      <w:r>
        <w:rPr>
          <w:rFonts w:ascii="Calibri" w:hAnsi="Calibri"/>
          <w:b w:val="0"/>
          <w:i w:val="0"/>
          <w:color w:val="0B1F3A"/>
          <w:sz w:val="19"/>
        </w:rPr>
        <w:t xml:space="preserve">v1 ships light mode only. Dark mode is deliberately out of scope for the first release and is planned for the release after, once the component set in 7.15 has stabilised. The two reasons are that a financial interface is read in daylight more often than at night, so light mode is the case that has to be right first, and that every surface in the palette was chosen and contrast-checked for a light background — Deep and Cyan both behave differently as a large fill, and doing dark mode properly means re-checking all of 7.14 rather than inverting a colour. </w:t>
      </w:r>
      <w:r>
        <w:rPr>
          <w:rFonts w:ascii="Calibri" w:hAnsi="Calibri"/>
          <w:b/>
          <w:color w:val="0B1F3A"/>
          <w:sz w:val="19"/>
        </w:rPr>
        <w:t>Shipping a half-done dark mode is worse than shipping none</w:t>
      </w:r>
      <w:r>
        <w:rPr>
          <w:rFonts w:ascii="Calibri" w:hAnsi="Calibri"/>
          <w:b w:val="0"/>
          <w:i w:val="0"/>
          <w:color w:val="0B1F3A"/>
          <w:sz w:val="19"/>
        </w:rPr>
        <w:t>, because a member whose OS is set to dark will get the one they did not choose and cannot turn off, and this product's users are not the population most able to work around that.</w:t>
      </w:r>
    </w:p>
    <w:p>
      <w:pPr>
        <w:pStyle w:val="Heading3"/>
      </w:pPr>
      <w:r>
        <w:rPr>
          <w:rFonts w:ascii="Calibri" w:hAnsi="Calibri"/>
          <w:b/>
          <w:i w:val="0"/>
          <w:color w:val="0B1F3A"/>
          <w:sz w:val="24"/>
        </w:rPr>
        <w:t>7.16.1 What is required before dark mode is built</w:t>
      </w:r>
    </w:p>
    <w:p>
      <w:pPr>
        <w:pStyle w:val="ListNumber"/>
        <w:spacing w:after="60"/>
        <w:ind w:left="432"/>
      </w:pPr>
      <w:r>
        <w:rPr>
          <w:rFonts w:ascii="Calibri" w:hAnsi="Calibri"/>
          <w:b/>
          <w:color w:val="101828"/>
          <w:sz w:val="21"/>
        </w:rPr>
        <w:t>The component set is stable.</w:t>
      </w:r>
      <w:r>
        <w:rPr>
          <w:rFonts w:ascii="Calibri" w:hAnsi="Calibri"/>
          <w:b w:val="0"/>
          <w:i w:val="0"/>
          <w:color w:val="101828"/>
          <w:sz w:val="21"/>
        </w:rPr>
        <w:t xml:space="preserve"> 7.15 stops changing. Every new component after dark mode ships must be designed in both modes from the start, which is a permanent tax on the design system and is worth paying late rather than early.</w:t>
      </w:r>
    </w:p>
    <w:p>
      <w:pPr>
        <w:pStyle w:val="ListNumber"/>
        <w:spacing w:after="60"/>
        <w:ind w:left="432"/>
      </w:pPr>
      <w:r>
        <w:rPr>
          <w:rFonts w:ascii="Calibri" w:hAnsi="Calibri"/>
          <w:b/>
          <w:color w:val="101828"/>
          <w:sz w:val="21"/>
        </w:rPr>
        <w:t>The semantic roles in 7.3.2 are re-derived for a dark surface</w:t>
      </w:r>
      <w:r>
        <w:rPr>
          <w:rFonts w:ascii="Calibri" w:hAnsi="Calibri"/>
          <w:b w:val="0"/>
          <w:i w:val="0"/>
          <w:color w:val="101828"/>
          <w:sz w:val="21"/>
        </w:rPr>
        <w:t xml:space="preserve"> and contrast-checked individually, not inverted. The success, warning, danger, and information fills each need their own dark-surface values, and the state pills need their own text colours, because Gold on a dark surface and Gold on a light surface are not the same colour to a reader.</w:t>
      </w:r>
    </w:p>
    <w:p>
      <w:pPr>
        <w:pStyle w:val="ListNumber"/>
        <w:spacing w:after="60"/>
        <w:ind w:left="432"/>
      </w:pPr>
      <w:r>
        <w:rPr>
          <w:rFonts w:ascii="Calibri" w:hAnsi="Calibri"/>
          <w:b/>
          <w:color w:val="101828"/>
          <w:sz w:val="21"/>
        </w:rPr>
        <w:t>Charts get a second palette</w:t>
      </w:r>
      <w:r>
        <w:rPr>
          <w:rFonts w:ascii="Calibri" w:hAnsi="Calibri"/>
          <w:b w:val="0"/>
          <w:i w:val="0"/>
          <w:color w:val="101828"/>
          <w:sz w:val="21"/>
        </w:rPr>
        <w:t xml:space="preserve"> for a dark surface, chosen by luminance rather than by inversion, and re-checked against 1.4.11 Non-text Contrast at 3:1.</w:t>
      </w:r>
    </w:p>
    <w:p>
      <w:pPr>
        <w:pStyle w:val="ListNumber"/>
        <w:spacing w:after="60"/>
        <w:ind w:left="432"/>
      </w:pPr>
      <w:r>
        <w:rPr>
          <w:rFonts w:ascii="Calibri" w:hAnsi="Calibri"/>
          <w:b/>
          <w:color w:val="101828"/>
          <w:sz w:val="21"/>
        </w:rPr>
        <w:t>Images and screenshots in receipts</w:t>
      </w:r>
      <w:r>
        <w:rPr>
          <w:rFonts w:ascii="Calibri" w:hAnsi="Calibri"/>
          <w:b w:val="0"/>
          <w:i w:val="0"/>
          <w:color w:val="101828"/>
          <w:sz w:val="21"/>
        </w:rPr>
        <w:t xml:space="preserve"> are re-rendered rather than left as light rectangles on a dark surface, because a receipt is a record and it must look the same as the record it refers to.</w:t>
      </w:r>
    </w:p>
    <w:p>
      <w:pPr>
        <w:pStyle w:val="Heading3"/>
      </w:pPr>
      <w:r>
        <w:rPr>
          <w:rFonts w:ascii="Calibri" w:hAnsi="Calibri"/>
          <w:b/>
          <w:i w:val="0"/>
          <w:color w:val="0B1F3A"/>
          <w:sz w:val="24"/>
        </w:rPr>
        <w:t>7.16.2 What must not happen in the meantime</w:t>
      </w:r>
    </w:p>
    <w:p>
      <w:pPr>
        <w:pStyle w:val="ListBullet"/>
        <w:spacing w:after="60"/>
        <w:ind w:left="360"/>
      </w:pPr>
      <w:r>
        <w:rPr>
          <w:rFonts w:ascii="Calibri" w:hAnsi="Calibri"/>
          <w:b/>
          <w:color w:val="101828"/>
          <w:sz w:val="21"/>
        </w:rPr>
        <w:t>No automatic inversion, ever.</w:t>
      </w:r>
      <w:r>
        <w:rPr>
          <w:rFonts w:ascii="Calibri" w:hAnsi="Calibri"/>
          <w:b w:val="0"/>
          <w:i w:val="0"/>
          <w:color w:val="101828"/>
          <w:sz w:val="21"/>
        </w:rPr>
        <w:t xml:space="preserve"> An inverted light palette produces text at 4.1:1 and a Cyan that reads as a different colour, and it is detectable in a screenshot.</w:t>
      </w:r>
    </w:p>
    <w:p>
      <w:pPr>
        <w:pStyle w:val="ListBullet"/>
        <w:spacing w:after="60"/>
        <w:ind w:left="360"/>
      </w:pPr>
      <w:r>
        <w:rPr>
          <w:rFonts w:ascii="Calibri" w:hAnsi="Calibri"/>
          <w:b/>
          <w:color w:val="101828"/>
          <w:sz w:val="21"/>
        </w:rPr>
        <w:t>No half-support.</w:t>
      </w:r>
      <w:r>
        <w:rPr>
          <w:rFonts w:ascii="Calibri" w:hAnsi="Calibri"/>
          <w:b w:val="0"/>
          <w:i w:val="0"/>
          <w:color w:val="101828"/>
          <w:sz w:val="21"/>
        </w:rPr>
        <w:t xml:space="preserve"> A dark status bar on a light page is a half-support, and it reads as a bug.</w:t>
      </w:r>
    </w:p>
    <w:p>
      <w:pPr>
        <w:pStyle w:val="ListBullet"/>
        <w:spacing w:after="60"/>
        <w:ind w:left="360"/>
      </w:pPr>
      <w:r>
        <w:rPr>
          <w:rFonts w:ascii="Calibri" w:hAnsi="Calibri"/>
          <w:b/>
          <w:color w:val="101828"/>
          <w:sz w:val="21"/>
        </w:rPr>
        <w:t>No `prefers-color-scheme` branch in v1.</w:t>
      </w:r>
      <w:r>
        <w:rPr>
          <w:rFonts w:ascii="Calibri" w:hAnsi="Calibri"/>
          <w:b w:val="0"/>
          <w:i w:val="0"/>
          <w:color w:val="101828"/>
          <w:sz w:val="21"/>
        </w:rPr>
        <w:t xml:space="preserve"> The branch does not exist until the palette in 7.16.1 exists, because a branch with no values behind it is a class of bugs that surfaces on exactly the devices least able to report them.</w:t>
      </w:r>
    </w:p>
    <w:p>
      <w:r>
        <w:br w:type="page"/>
      </w:r>
    </w:p>
    <w:p>
      <w:pPr>
        <w:pStyle w:val="Heading2"/>
      </w:pPr>
      <w:r>
        <w:rPr>
          <w:rFonts w:ascii="Calibri" w:hAnsi="Calibri"/>
          <w:b/>
          <w:i w:val="0"/>
          <w:color w:val="146EF5"/>
          <w:sz w:val="29"/>
        </w:rPr>
        <w:t>7.17 Tokens and handoff</w:t>
      </w:r>
    </w:p>
    <w:p>
      <w:pPr>
        <w:pStyle w:val="Heading3"/>
      </w:pPr>
      <w:r>
        <w:rPr>
          <w:rFonts w:ascii="Calibri" w:hAnsi="Calibri"/>
          <w:b/>
          <w:i w:val="0"/>
          <w:color w:val="0B1F3A"/>
          <w:sz w:val="24"/>
        </w:rPr>
        <w:t>7.17.1 The token set, complete</w:t>
      </w:r>
    </w:p>
    <w:p>
      <w:r>
        <w:rPr>
          <w:rFonts w:ascii="Calibri" w:hAnsi="Calibri"/>
          <w:b w:val="0"/>
          <w:i w:val="0"/>
          <w:color w:val="101828"/>
          <w:sz w:val="21"/>
        </w:rPr>
        <w:t>Every value in this section, in one place, in the form engineering consumes. This is the only list in the document that is a specification rather than a justification, and it is the one to build from.</w:t>
      </w:r>
    </w:p>
    <w:p>
      <w:pPr>
        <w:spacing w:after="40"/>
        <w:ind w:left="173"/>
      </w:pPr>
      <w:r>
        <w:rPr>
          <w:rFonts w:ascii="Calibri" w:hAnsi="Calibri"/>
          <w:b/>
          <w:color w:val="0B1F3A"/>
          <w:sz w:val="21"/>
        </w:rPr>
        <w:t xml:space="preserve">Colour — brand  </w:t>
      </w:r>
      <w:r>
        <w:rPr>
          <w:rFonts w:ascii="Consolas" w:hAnsi="Consolas"/>
          <w:color w:val="146EF5"/>
          <w:sz w:val="21"/>
        </w:rPr>
        <w:t>deep #0B1F3A</w:t>
      </w:r>
      <w:r>
        <w:rPr>
          <w:rFonts w:ascii="Calibri" w:hAnsi="Calibri"/>
          <w:b w:val="0"/>
          <w:i w:val="0"/>
          <w:color w:val="101828"/>
          <w:sz w:val="21"/>
        </w:rPr>
        <w:t xml:space="preserve">, </w:t>
      </w:r>
      <w:r>
        <w:rPr>
          <w:rFonts w:ascii="Consolas" w:hAnsi="Consolas"/>
          <w:color w:val="146EF5"/>
          <w:sz w:val="21"/>
        </w:rPr>
        <w:t>primary #146EF5</w:t>
      </w:r>
      <w:r>
        <w:rPr>
          <w:rFonts w:ascii="Calibri" w:hAnsi="Calibri"/>
          <w:b w:val="0"/>
          <w:i w:val="0"/>
          <w:color w:val="101828"/>
          <w:sz w:val="21"/>
        </w:rPr>
        <w:t xml:space="preserve">, </w:t>
      </w:r>
      <w:r>
        <w:rPr>
          <w:rFonts w:ascii="Consolas" w:hAnsi="Consolas"/>
          <w:color w:val="146EF5"/>
          <w:sz w:val="21"/>
        </w:rPr>
        <w:t>cyan #22C7D6</w:t>
      </w:r>
      <w:r>
        <w:rPr>
          <w:rFonts w:ascii="Calibri" w:hAnsi="Calibri"/>
          <w:b w:val="0"/>
          <w:i w:val="0"/>
          <w:color w:val="101828"/>
          <w:sz w:val="21"/>
        </w:rPr>
        <w:t xml:space="preserve">, </w:t>
      </w:r>
      <w:r>
        <w:rPr>
          <w:rFonts w:ascii="Consolas" w:hAnsi="Consolas"/>
          <w:color w:val="146EF5"/>
          <w:sz w:val="21"/>
        </w:rPr>
        <w:t>gold #FBBF24</w:t>
      </w:r>
      <w:r>
        <w:rPr>
          <w:rFonts w:ascii="Calibri" w:hAnsi="Calibri"/>
          <w:b w:val="0"/>
          <w:i w:val="0"/>
          <w:color w:val="101828"/>
          <w:sz w:val="21"/>
        </w:rPr>
        <w:t xml:space="preserve">, </w:t>
      </w:r>
      <w:r>
        <w:rPr>
          <w:rFonts w:ascii="Consolas" w:hAnsi="Consolas"/>
          <w:color w:val="146EF5"/>
          <w:sz w:val="21"/>
        </w:rPr>
        <w:t>white #FFFFFF</w:t>
      </w:r>
      <w:r>
        <w:rPr>
          <w:rFonts w:ascii="Calibri" w:hAnsi="Calibri"/>
          <w:b w:val="0"/>
          <w:i w:val="0"/>
          <w:color w:val="101828"/>
          <w:sz w:val="21"/>
        </w:rPr>
        <w:t xml:space="preserve">, </w:t>
      </w:r>
      <w:r>
        <w:rPr>
          <w:rFonts w:ascii="Consolas" w:hAnsi="Consolas"/>
          <w:color w:val="146EF5"/>
          <w:sz w:val="21"/>
        </w:rPr>
        <w:t>cloud #F4F7FB</w:t>
      </w:r>
      <w:r>
        <w:rPr>
          <w:rFonts w:ascii="Calibri" w:hAnsi="Calibri"/>
          <w:b w:val="0"/>
          <w:i w:val="0"/>
          <w:color w:val="101828"/>
          <w:sz w:val="21"/>
        </w:rPr>
        <w:t xml:space="preserve">, </w:t>
      </w:r>
      <w:r>
        <w:rPr>
          <w:rFonts w:ascii="Consolas" w:hAnsi="Consolas"/>
          <w:color w:val="146EF5"/>
          <w:sz w:val="21"/>
        </w:rPr>
        <w:t>dark #101828</w:t>
      </w:r>
    </w:p>
    <w:p>
      <w:pPr>
        <w:spacing w:after="40"/>
        <w:ind w:left="173"/>
      </w:pPr>
      <w:r>
        <w:rPr>
          <w:rFonts w:ascii="Calibri" w:hAnsi="Calibri"/>
          <w:b/>
          <w:color w:val="0B1F3A"/>
          <w:sz w:val="21"/>
        </w:rPr>
        <w:t xml:space="preserve">Colour — surfaces  </w:t>
      </w:r>
      <w:r>
        <w:rPr>
          <w:rFonts w:ascii="Consolas" w:hAnsi="Consolas"/>
          <w:color w:val="146EF5"/>
          <w:sz w:val="21"/>
        </w:rPr>
        <w:t>surface-page #F4F7FB</w:t>
      </w:r>
      <w:r>
        <w:rPr>
          <w:rFonts w:ascii="Calibri" w:hAnsi="Calibri"/>
          <w:b w:val="0"/>
          <w:i w:val="0"/>
          <w:color w:val="101828"/>
          <w:sz w:val="21"/>
        </w:rPr>
        <w:t xml:space="preserve">, </w:t>
      </w:r>
      <w:r>
        <w:rPr>
          <w:rFonts w:ascii="Consolas" w:hAnsi="Consolas"/>
          <w:color w:val="146EF5"/>
          <w:sz w:val="21"/>
        </w:rPr>
        <w:t>surface-card #FFFFFF</w:t>
      </w:r>
      <w:r>
        <w:rPr>
          <w:rFonts w:ascii="Calibri" w:hAnsi="Calibri"/>
          <w:b w:val="0"/>
          <w:i w:val="0"/>
          <w:color w:val="101828"/>
          <w:sz w:val="21"/>
        </w:rPr>
        <w:t xml:space="preserve">, </w:t>
      </w:r>
      <w:r>
        <w:rPr>
          <w:rFonts w:ascii="Consolas" w:hAnsi="Consolas"/>
          <w:color w:val="146EF5"/>
          <w:sz w:val="21"/>
        </w:rPr>
        <w:t>surface-row #F9FBFD</w:t>
      </w:r>
      <w:r>
        <w:rPr>
          <w:rFonts w:ascii="Calibri" w:hAnsi="Calibri"/>
          <w:b w:val="0"/>
          <w:i w:val="0"/>
          <w:color w:val="101828"/>
          <w:sz w:val="21"/>
        </w:rPr>
        <w:t xml:space="preserve">, </w:t>
      </w:r>
      <w:r>
        <w:rPr>
          <w:rFonts w:ascii="Consolas" w:hAnsi="Consolas"/>
          <w:color w:val="146EF5"/>
          <w:sz w:val="21"/>
        </w:rPr>
        <w:t>surface-dark #0B1F3A</w:t>
      </w:r>
      <w:r>
        <w:rPr>
          <w:rFonts w:ascii="Calibri" w:hAnsi="Calibri"/>
          <w:b w:val="0"/>
          <w:i w:val="0"/>
          <w:color w:val="101828"/>
          <w:sz w:val="21"/>
        </w:rPr>
        <w:t xml:space="preserve">, </w:t>
      </w:r>
      <w:r>
        <w:rPr>
          <w:rFonts w:ascii="Consolas" w:hAnsi="Consolas"/>
          <w:color w:val="146EF5"/>
          <w:sz w:val="21"/>
        </w:rPr>
        <w:t>border #E4EAF2</w:t>
      </w:r>
      <w:r>
        <w:rPr>
          <w:rFonts w:ascii="Calibri" w:hAnsi="Calibri"/>
          <w:b w:val="0"/>
          <w:i w:val="0"/>
          <w:color w:val="101828"/>
          <w:sz w:val="21"/>
        </w:rPr>
        <w:t xml:space="preserve">, </w:t>
      </w:r>
      <w:r>
        <w:rPr>
          <w:rFonts w:ascii="Consolas" w:hAnsi="Consolas"/>
          <w:color w:val="146EF5"/>
          <w:sz w:val="21"/>
        </w:rPr>
        <w:t>border-strong #C9D4E4</w:t>
      </w:r>
    </w:p>
    <w:p>
      <w:pPr>
        <w:spacing w:after="40"/>
        <w:ind w:left="173"/>
      </w:pPr>
      <w:r>
        <w:rPr>
          <w:rFonts w:ascii="Calibri" w:hAnsi="Calibri"/>
          <w:b/>
          <w:color w:val="0B1F3A"/>
          <w:sz w:val="21"/>
        </w:rPr>
        <w:t xml:space="preserve">Colour — text  </w:t>
      </w:r>
      <w:r>
        <w:rPr>
          <w:rFonts w:ascii="Consolas" w:hAnsi="Consolas"/>
          <w:color w:val="146EF5"/>
          <w:sz w:val="21"/>
        </w:rPr>
        <w:t>text-primary #101828</w:t>
      </w:r>
      <w:r>
        <w:rPr>
          <w:rFonts w:ascii="Calibri" w:hAnsi="Calibri"/>
          <w:b w:val="0"/>
          <w:i w:val="0"/>
          <w:color w:val="101828"/>
          <w:sz w:val="21"/>
        </w:rPr>
        <w:t xml:space="preserve">, </w:t>
      </w:r>
      <w:r>
        <w:rPr>
          <w:rFonts w:ascii="Consolas" w:hAnsi="Consolas"/>
          <w:color w:val="146EF5"/>
          <w:sz w:val="21"/>
        </w:rPr>
        <w:t>text-secondary #475467</w:t>
      </w:r>
      <w:r>
        <w:rPr>
          <w:rFonts w:ascii="Calibri" w:hAnsi="Calibri"/>
          <w:b w:val="0"/>
          <w:i w:val="0"/>
          <w:color w:val="101828"/>
          <w:sz w:val="21"/>
        </w:rPr>
        <w:t xml:space="preserve">, </w:t>
      </w:r>
      <w:r>
        <w:rPr>
          <w:rFonts w:ascii="Consolas" w:hAnsi="Consolas"/>
          <w:color w:val="146EF5"/>
          <w:sz w:val="21"/>
        </w:rPr>
        <w:t>text-tertiary #667085</w:t>
      </w:r>
      <w:r>
        <w:rPr>
          <w:rFonts w:ascii="Calibri" w:hAnsi="Calibri"/>
          <w:b w:val="0"/>
          <w:i w:val="0"/>
          <w:color w:val="101828"/>
          <w:sz w:val="21"/>
        </w:rPr>
        <w:t xml:space="preserve">, </w:t>
      </w:r>
      <w:r>
        <w:rPr>
          <w:rFonts w:ascii="Consolas" w:hAnsi="Consolas"/>
          <w:color w:val="146EF5"/>
          <w:sz w:val="21"/>
        </w:rPr>
        <w:t>text-inverse #FFFFFF</w:t>
      </w:r>
      <w:r>
        <w:rPr>
          <w:rFonts w:ascii="Calibri" w:hAnsi="Calibri"/>
          <w:b w:val="0"/>
          <w:i w:val="0"/>
          <w:color w:val="101828"/>
          <w:sz w:val="21"/>
        </w:rPr>
        <w:t xml:space="preserve">, </w:t>
      </w:r>
      <w:r>
        <w:rPr>
          <w:rFonts w:ascii="Consolas" w:hAnsi="Consolas"/>
          <w:color w:val="146EF5"/>
          <w:sz w:val="21"/>
        </w:rPr>
        <w:t>text-link #146EF5</w:t>
      </w:r>
    </w:p>
    <w:p>
      <w:pPr>
        <w:spacing w:after="40"/>
        <w:ind w:left="173"/>
      </w:pPr>
      <w:r>
        <w:rPr>
          <w:rFonts w:ascii="Calibri" w:hAnsi="Calibri"/>
          <w:b/>
          <w:color w:val="0B1F3A"/>
          <w:sz w:val="21"/>
        </w:rPr>
        <w:t xml:space="preserve">Colour — semantic fills  </w:t>
      </w:r>
      <w:r>
        <w:rPr>
          <w:rFonts w:ascii="Consolas" w:hAnsi="Consolas"/>
          <w:color w:val="146EF5"/>
          <w:sz w:val="21"/>
        </w:rPr>
        <w:t>success-fill #ECFDF3</w:t>
      </w:r>
      <w:r>
        <w:rPr>
          <w:rFonts w:ascii="Calibri" w:hAnsi="Calibri"/>
          <w:b w:val="0"/>
          <w:i w:val="0"/>
          <w:color w:val="101828"/>
          <w:sz w:val="21"/>
        </w:rPr>
        <w:t xml:space="preserve">, </w:t>
      </w:r>
      <w:r>
        <w:rPr>
          <w:rFonts w:ascii="Consolas" w:hAnsi="Consolas"/>
          <w:color w:val="146EF5"/>
          <w:sz w:val="21"/>
        </w:rPr>
        <w:t>success-text #05603A</w:t>
      </w:r>
      <w:r>
        <w:rPr>
          <w:rFonts w:ascii="Calibri" w:hAnsi="Calibri"/>
          <w:b w:val="0"/>
          <w:i w:val="0"/>
          <w:color w:val="101828"/>
          <w:sz w:val="21"/>
        </w:rPr>
        <w:t xml:space="preserve">, </w:t>
      </w:r>
      <w:r>
        <w:rPr>
          <w:rFonts w:ascii="Consolas" w:hAnsi="Consolas"/>
          <w:color w:val="146EF5"/>
          <w:sz w:val="21"/>
        </w:rPr>
        <w:t>warning-fill #FFFAEB</w:t>
      </w:r>
      <w:r>
        <w:rPr>
          <w:rFonts w:ascii="Calibri" w:hAnsi="Calibri"/>
          <w:b w:val="0"/>
          <w:i w:val="0"/>
          <w:color w:val="101828"/>
          <w:sz w:val="21"/>
        </w:rPr>
        <w:t xml:space="preserve">, </w:t>
      </w:r>
      <w:r>
        <w:rPr>
          <w:rFonts w:ascii="Consolas" w:hAnsi="Consolas"/>
          <w:color w:val="146EF5"/>
          <w:sz w:val="21"/>
        </w:rPr>
        <w:t>warning-text #93370D</w:t>
      </w:r>
      <w:r>
        <w:rPr>
          <w:rFonts w:ascii="Calibri" w:hAnsi="Calibri"/>
          <w:b w:val="0"/>
          <w:i w:val="0"/>
          <w:color w:val="101828"/>
          <w:sz w:val="21"/>
        </w:rPr>
        <w:t xml:space="preserve">, </w:t>
      </w:r>
      <w:r>
        <w:rPr>
          <w:rFonts w:ascii="Consolas" w:hAnsi="Consolas"/>
          <w:color w:val="146EF5"/>
          <w:sz w:val="21"/>
        </w:rPr>
        <w:t>danger-fill #FEF3F2</w:t>
      </w:r>
      <w:r>
        <w:rPr>
          <w:rFonts w:ascii="Calibri" w:hAnsi="Calibri"/>
          <w:b w:val="0"/>
          <w:i w:val="0"/>
          <w:color w:val="101828"/>
          <w:sz w:val="21"/>
        </w:rPr>
        <w:t xml:space="preserve">, </w:t>
      </w:r>
      <w:r>
        <w:rPr>
          <w:rFonts w:ascii="Consolas" w:hAnsi="Consolas"/>
          <w:color w:val="146EF5"/>
          <w:sz w:val="21"/>
        </w:rPr>
        <w:t>danger-text #B42318</w:t>
      </w:r>
      <w:r>
        <w:rPr>
          <w:rFonts w:ascii="Calibri" w:hAnsi="Calibri"/>
          <w:b w:val="0"/>
          <w:i w:val="0"/>
          <w:color w:val="101828"/>
          <w:sz w:val="21"/>
        </w:rPr>
        <w:t xml:space="preserve">, </w:t>
      </w:r>
      <w:r>
        <w:rPr>
          <w:rFonts w:ascii="Consolas" w:hAnsi="Consolas"/>
          <w:color w:val="146EF5"/>
          <w:sz w:val="21"/>
        </w:rPr>
        <w:t>info-fill #EFF8FF</w:t>
      </w:r>
      <w:r>
        <w:rPr>
          <w:rFonts w:ascii="Calibri" w:hAnsi="Calibri"/>
          <w:b w:val="0"/>
          <w:i w:val="0"/>
          <w:color w:val="101828"/>
          <w:sz w:val="21"/>
        </w:rPr>
        <w:t xml:space="preserve">, </w:t>
      </w:r>
      <w:r>
        <w:rPr>
          <w:rFonts w:ascii="Consolas" w:hAnsi="Consolas"/>
          <w:color w:val="146EF5"/>
          <w:sz w:val="21"/>
        </w:rPr>
        <w:t>info-text #175CD3</w:t>
      </w:r>
    </w:p>
    <w:p>
      <w:pPr>
        <w:spacing w:after="40"/>
        <w:ind w:left="173"/>
      </w:pPr>
      <w:r>
        <w:rPr>
          <w:rFonts w:ascii="Calibri" w:hAnsi="Calibri"/>
          <w:b/>
          <w:color w:val="0B1F3A"/>
          <w:sz w:val="21"/>
        </w:rPr>
        <w:t xml:space="preserve">Type  </w:t>
      </w:r>
      <w:r>
        <w:rPr>
          <w:rFonts w:ascii="Consolas" w:hAnsi="Consolas"/>
          <w:color w:val="146EF5"/>
          <w:sz w:val="21"/>
        </w:rPr>
        <w:t>family-sans</w:t>
      </w:r>
      <w:r>
        <w:rPr>
          <w:rFonts w:ascii="Calibri" w:hAnsi="Calibri"/>
          <w:b w:val="0"/>
          <w:i w:val="0"/>
          <w:color w:val="101828"/>
          <w:sz w:val="21"/>
        </w:rPr>
        <w:t xml:space="preserve"> per 7.4.1, and the scale tokens </w:t>
      </w:r>
      <w:r>
        <w:rPr>
          <w:rFonts w:ascii="Consolas" w:hAnsi="Consolas"/>
          <w:color w:val="146EF5"/>
          <w:sz w:val="21"/>
        </w:rPr>
        <w:t>display</w:t>
      </w:r>
      <w:r>
        <w:rPr>
          <w:rFonts w:ascii="Calibri" w:hAnsi="Calibri"/>
          <w:b w:val="0"/>
          <w:i w:val="0"/>
          <w:color w:val="101828"/>
          <w:sz w:val="21"/>
        </w:rPr>
        <w:t xml:space="preserve">, </w:t>
      </w:r>
      <w:r>
        <w:rPr>
          <w:rFonts w:ascii="Consolas" w:hAnsi="Consolas"/>
          <w:color w:val="146EF5"/>
          <w:sz w:val="21"/>
        </w:rPr>
        <w:t>h1</w:t>
      </w:r>
      <w:r>
        <w:rPr>
          <w:rFonts w:ascii="Calibri" w:hAnsi="Calibri"/>
          <w:b w:val="0"/>
          <w:i w:val="0"/>
          <w:color w:val="101828"/>
          <w:sz w:val="21"/>
        </w:rPr>
        <w:t xml:space="preserve">, </w:t>
      </w:r>
      <w:r>
        <w:rPr>
          <w:rFonts w:ascii="Consolas" w:hAnsi="Consolas"/>
          <w:color w:val="146EF5"/>
          <w:sz w:val="21"/>
        </w:rPr>
        <w:t>h2</w:t>
      </w:r>
      <w:r>
        <w:rPr>
          <w:rFonts w:ascii="Calibri" w:hAnsi="Calibri"/>
          <w:b w:val="0"/>
          <w:i w:val="0"/>
          <w:color w:val="101828"/>
          <w:sz w:val="21"/>
        </w:rPr>
        <w:t xml:space="preserve">, </w:t>
      </w:r>
      <w:r>
        <w:rPr>
          <w:rFonts w:ascii="Consolas" w:hAnsi="Consolas"/>
          <w:color w:val="146EF5"/>
          <w:sz w:val="21"/>
        </w:rPr>
        <w:t>h3</w:t>
      </w:r>
      <w:r>
        <w:rPr>
          <w:rFonts w:ascii="Calibri" w:hAnsi="Calibri"/>
          <w:b w:val="0"/>
          <w:i w:val="0"/>
          <w:color w:val="101828"/>
          <w:sz w:val="21"/>
        </w:rPr>
        <w:t xml:space="preserve">, </w:t>
      </w:r>
      <w:r>
        <w:rPr>
          <w:rFonts w:ascii="Consolas" w:hAnsi="Consolas"/>
          <w:color w:val="146EF5"/>
          <w:sz w:val="21"/>
        </w:rPr>
        <w:t>body</w:t>
      </w:r>
      <w:r>
        <w:rPr>
          <w:rFonts w:ascii="Calibri" w:hAnsi="Calibri"/>
          <w:b w:val="0"/>
          <w:i w:val="0"/>
          <w:color w:val="101828"/>
          <w:sz w:val="21"/>
        </w:rPr>
        <w:t xml:space="preserve">, </w:t>
      </w:r>
      <w:r>
        <w:rPr>
          <w:rFonts w:ascii="Consolas" w:hAnsi="Consolas"/>
          <w:color w:val="146EF5"/>
          <w:sz w:val="21"/>
        </w:rPr>
        <w:t>body-strong</w:t>
      </w:r>
      <w:r>
        <w:rPr>
          <w:rFonts w:ascii="Calibri" w:hAnsi="Calibri"/>
          <w:b w:val="0"/>
          <w:i w:val="0"/>
          <w:color w:val="101828"/>
          <w:sz w:val="21"/>
        </w:rPr>
        <w:t xml:space="preserve">, </w:t>
      </w:r>
      <w:r>
        <w:rPr>
          <w:rFonts w:ascii="Consolas" w:hAnsi="Consolas"/>
          <w:color w:val="146EF5"/>
          <w:sz w:val="21"/>
        </w:rPr>
        <w:t>label</w:t>
      </w:r>
      <w:r>
        <w:rPr>
          <w:rFonts w:ascii="Calibri" w:hAnsi="Calibri"/>
          <w:b w:val="0"/>
          <w:i w:val="0"/>
          <w:color w:val="101828"/>
          <w:sz w:val="21"/>
        </w:rPr>
        <w:t xml:space="preserve">, </w:t>
      </w:r>
      <w:r>
        <w:rPr>
          <w:rFonts w:ascii="Consolas" w:hAnsi="Consolas"/>
          <w:color w:val="146EF5"/>
          <w:sz w:val="21"/>
        </w:rPr>
        <w:t>caption</w:t>
      </w:r>
      <w:r>
        <w:rPr>
          <w:rFonts w:ascii="Calibri" w:hAnsi="Calibri"/>
          <w:b w:val="0"/>
          <w:i w:val="0"/>
          <w:color w:val="101828"/>
          <w:sz w:val="21"/>
        </w:rPr>
        <w:t xml:space="preserve">, </w:t>
      </w:r>
      <w:r>
        <w:rPr>
          <w:rFonts w:ascii="Consolas" w:hAnsi="Consolas"/>
          <w:color w:val="146EF5"/>
          <w:sz w:val="21"/>
        </w:rPr>
        <w:t>micro</w:t>
      </w:r>
      <w:r>
        <w:rPr>
          <w:rFonts w:ascii="Calibri" w:hAnsi="Calibri"/>
          <w:b w:val="0"/>
          <w:i w:val="0"/>
          <w:color w:val="101828"/>
          <w:sz w:val="21"/>
        </w:rPr>
        <w:t xml:space="preserve">, </w:t>
      </w:r>
      <w:r>
        <w:rPr>
          <w:rFonts w:ascii="Consolas" w:hAnsi="Consolas"/>
          <w:color w:val="146EF5"/>
          <w:sz w:val="21"/>
        </w:rPr>
        <w:t>money</w:t>
      </w:r>
      <w:r>
        <w:rPr>
          <w:rFonts w:ascii="Calibri" w:hAnsi="Calibri"/>
          <w:b w:val="0"/>
          <w:i w:val="0"/>
          <w:color w:val="101828"/>
          <w:sz w:val="21"/>
        </w:rPr>
        <w:t xml:space="preserve">, </w:t>
      </w:r>
      <w:r>
        <w:rPr>
          <w:rFonts w:ascii="Consolas" w:hAnsi="Consolas"/>
          <w:color w:val="146EF5"/>
          <w:sz w:val="21"/>
        </w:rPr>
        <w:t>money-lg</w:t>
      </w:r>
      <w:r>
        <w:rPr>
          <w:rFonts w:ascii="Calibri" w:hAnsi="Calibri"/>
          <w:b w:val="0"/>
          <w:i w:val="0"/>
          <w:color w:val="101828"/>
          <w:sz w:val="21"/>
        </w:rPr>
        <w:t xml:space="preserve"> with the sizes and line heights in 7.4.2</w:t>
      </w:r>
    </w:p>
    <w:p>
      <w:pPr>
        <w:spacing w:after="40"/>
        <w:ind w:left="173"/>
      </w:pPr>
      <w:r>
        <w:rPr>
          <w:rFonts w:ascii="Calibri" w:hAnsi="Calibri"/>
          <w:b/>
          <w:color w:val="0B1F3A"/>
          <w:sz w:val="21"/>
        </w:rPr>
        <w:t xml:space="preserve">Space  </w:t>
      </w:r>
      <w:r>
        <w:rPr>
          <w:rFonts w:ascii="Consolas" w:hAnsi="Consolas"/>
          <w:color w:val="146EF5"/>
          <w:sz w:val="21"/>
        </w:rPr>
        <w:t>space-1</w:t>
      </w:r>
      <w:r>
        <w:rPr>
          <w:rFonts w:ascii="Calibri" w:hAnsi="Calibri"/>
          <w:b w:val="0"/>
          <w:i w:val="0"/>
          <w:color w:val="101828"/>
          <w:sz w:val="21"/>
        </w:rPr>
        <w:t xml:space="preserve"> 4, </w:t>
      </w:r>
      <w:r>
        <w:rPr>
          <w:rFonts w:ascii="Consolas" w:hAnsi="Consolas"/>
          <w:color w:val="146EF5"/>
          <w:sz w:val="21"/>
        </w:rPr>
        <w:t>space-2</w:t>
      </w:r>
      <w:r>
        <w:rPr>
          <w:rFonts w:ascii="Calibri" w:hAnsi="Calibri"/>
          <w:b w:val="0"/>
          <w:i w:val="0"/>
          <w:color w:val="101828"/>
          <w:sz w:val="21"/>
        </w:rPr>
        <w:t xml:space="preserve"> 8, </w:t>
      </w:r>
      <w:r>
        <w:rPr>
          <w:rFonts w:ascii="Consolas" w:hAnsi="Consolas"/>
          <w:color w:val="146EF5"/>
          <w:sz w:val="21"/>
        </w:rPr>
        <w:t>space-3</w:t>
      </w:r>
      <w:r>
        <w:rPr>
          <w:rFonts w:ascii="Calibri" w:hAnsi="Calibri"/>
          <w:b w:val="0"/>
          <w:i w:val="0"/>
          <w:color w:val="101828"/>
          <w:sz w:val="21"/>
        </w:rPr>
        <w:t xml:space="preserve"> 12, </w:t>
      </w:r>
      <w:r>
        <w:rPr>
          <w:rFonts w:ascii="Consolas" w:hAnsi="Consolas"/>
          <w:color w:val="146EF5"/>
          <w:sz w:val="21"/>
        </w:rPr>
        <w:t>space-4</w:t>
      </w:r>
      <w:r>
        <w:rPr>
          <w:rFonts w:ascii="Calibri" w:hAnsi="Calibri"/>
          <w:b w:val="0"/>
          <w:i w:val="0"/>
          <w:color w:val="101828"/>
          <w:sz w:val="21"/>
        </w:rPr>
        <w:t xml:space="preserve"> 16, </w:t>
      </w:r>
      <w:r>
        <w:rPr>
          <w:rFonts w:ascii="Consolas" w:hAnsi="Consolas"/>
          <w:color w:val="146EF5"/>
          <w:sz w:val="21"/>
        </w:rPr>
        <w:t>space-5</w:t>
      </w:r>
      <w:r>
        <w:rPr>
          <w:rFonts w:ascii="Calibri" w:hAnsi="Calibri"/>
          <w:b w:val="0"/>
          <w:i w:val="0"/>
          <w:color w:val="101828"/>
          <w:sz w:val="21"/>
        </w:rPr>
        <w:t xml:space="preserve"> 24, </w:t>
      </w:r>
      <w:r>
        <w:rPr>
          <w:rFonts w:ascii="Consolas" w:hAnsi="Consolas"/>
          <w:color w:val="146EF5"/>
          <w:sz w:val="21"/>
        </w:rPr>
        <w:t>space-6</w:t>
      </w:r>
      <w:r>
        <w:rPr>
          <w:rFonts w:ascii="Calibri" w:hAnsi="Calibri"/>
          <w:b w:val="0"/>
          <w:i w:val="0"/>
          <w:color w:val="101828"/>
          <w:sz w:val="21"/>
        </w:rPr>
        <w:t xml:space="preserve"> 32, </w:t>
      </w:r>
      <w:r>
        <w:rPr>
          <w:rFonts w:ascii="Consolas" w:hAnsi="Consolas"/>
          <w:color w:val="146EF5"/>
          <w:sz w:val="21"/>
        </w:rPr>
        <w:t>space-7</w:t>
      </w:r>
      <w:r>
        <w:rPr>
          <w:rFonts w:ascii="Calibri" w:hAnsi="Calibri"/>
          <w:b w:val="0"/>
          <w:i w:val="0"/>
          <w:color w:val="101828"/>
          <w:sz w:val="21"/>
        </w:rPr>
        <w:t xml:space="preserve"> 48, </w:t>
      </w:r>
      <w:r>
        <w:rPr>
          <w:rFonts w:ascii="Consolas" w:hAnsi="Consolas"/>
          <w:color w:val="146EF5"/>
          <w:sz w:val="21"/>
        </w:rPr>
        <w:t>space-8</w:t>
      </w:r>
      <w:r>
        <w:rPr>
          <w:rFonts w:ascii="Calibri" w:hAnsi="Calibri"/>
          <w:b w:val="0"/>
          <w:i w:val="0"/>
          <w:color w:val="101828"/>
          <w:sz w:val="21"/>
        </w:rPr>
        <w:t xml:space="preserve"> 64</w:t>
      </w:r>
    </w:p>
    <w:p>
      <w:pPr>
        <w:spacing w:after="40"/>
        <w:ind w:left="173"/>
      </w:pPr>
      <w:r>
        <w:rPr>
          <w:rFonts w:ascii="Calibri" w:hAnsi="Calibri"/>
          <w:b/>
          <w:color w:val="0B1F3A"/>
          <w:sz w:val="21"/>
        </w:rPr>
        <w:t xml:space="preserve">Radius  </w:t>
      </w:r>
      <w:r>
        <w:rPr>
          <w:rFonts w:ascii="Consolas" w:hAnsi="Consolas"/>
          <w:color w:val="146EF5"/>
          <w:sz w:val="21"/>
        </w:rPr>
        <w:t>radius-sm</w:t>
      </w:r>
      <w:r>
        <w:rPr>
          <w:rFonts w:ascii="Calibri" w:hAnsi="Calibri"/>
          <w:b w:val="0"/>
          <w:i w:val="0"/>
          <w:color w:val="101828"/>
          <w:sz w:val="21"/>
        </w:rPr>
        <w:t xml:space="preserve"> 4, </w:t>
      </w:r>
      <w:r>
        <w:rPr>
          <w:rFonts w:ascii="Consolas" w:hAnsi="Consolas"/>
          <w:color w:val="146EF5"/>
          <w:sz w:val="21"/>
        </w:rPr>
        <w:t>radius-md</w:t>
      </w:r>
      <w:r>
        <w:rPr>
          <w:rFonts w:ascii="Calibri" w:hAnsi="Calibri"/>
          <w:b w:val="0"/>
          <w:i w:val="0"/>
          <w:color w:val="101828"/>
          <w:sz w:val="21"/>
        </w:rPr>
        <w:t xml:space="preserve"> 8, </w:t>
      </w:r>
      <w:r>
        <w:rPr>
          <w:rFonts w:ascii="Consolas" w:hAnsi="Consolas"/>
          <w:color w:val="146EF5"/>
          <w:sz w:val="21"/>
        </w:rPr>
        <w:t>radius-lg</w:t>
      </w:r>
      <w:r>
        <w:rPr>
          <w:rFonts w:ascii="Calibri" w:hAnsi="Calibri"/>
          <w:b w:val="0"/>
          <w:i w:val="0"/>
          <w:color w:val="101828"/>
          <w:sz w:val="21"/>
        </w:rPr>
        <w:t xml:space="preserve"> 12, </w:t>
      </w:r>
      <w:r>
        <w:rPr>
          <w:rFonts w:ascii="Consolas" w:hAnsi="Consolas"/>
          <w:color w:val="146EF5"/>
          <w:sz w:val="21"/>
        </w:rPr>
        <w:t>radius-pill</w:t>
      </w:r>
      <w:r>
        <w:rPr>
          <w:rFonts w:ascii="Calibri" w:hAnsi="Calibri"/>
          <w:b w:val="0"/>
          <w:i w:val="0"/>
          <w:color w:val="101828"/>
          <w:sz w:val="21"/>
        </w:rPr>
        <w:t xml:space="preserve"> 999</w:t>
      </w:r>
    </w:p>
    <w:p>
      <w:pPr>
        <w:spacing w:after="40"/>
        <w:ind w:left="173"/>
      </w:pPr>
      <w:r>
        <w:rPr>
          <w:rFonts w:ascii="Calibri" w:hAnsi="Calibri"/>
          <w:b/>
          <w:color w:val="0B1F3A"/>
          <w:sz w:val="21"/>
        </w:rPr>
        <w:t xml:space="preserve">Breakpoints  </w:t>
      </w:r>
      <w:r>
        <w:rPr>
          <w:rFonts w:ascii="Consolas" w:hAnsi="Consolas"/>
          <w:color w:val="146EF5"/>
          <w:sz w:val="21"/>
        </w:rPr>
        <w:t>xs</w:t>
      </w:r>
      <w:r>
        <w:rPr>
          <w:rFonts w:ascii="Calibri" w:hAnsi="Calibri"/>
          <w:b w:val="0"/>
          <w:i w:val="0"/>
          <w:color w:val="101828"/>
          <w:sz w:val="21"/>
        </w:rPr>
        <w:t xml:space="preserve"> 320, </w:t>
      </w:r>
      <w:r>
        <w:rPr>
          <w:rFonts w:ascii="Consolas" w:hAnsi="Consolas"/>
          <w:color w:val="146EF5"/>
          <w:sz w:val="21"/>
        </w:rPr>
        <w:t>sm</w:t>
      </w:r>
      <w:r>
        <w:rPr>
          <w:rFonts w:ascii="Calibri" w:hAnsi="Calibri"/>
          <w:b w:val="0"/>
          <w:i w:val="0"/>
          <w:color w:val="101828"/>
          <w:sz w:val="21"/>
        </w:rPr>
        <w:t xml:space="preserve"> 375, </w:t>
      </w:r>
      <w:r>
        <w:rPr>
          <w:rFonts w:ascii="Consolas" w:hAnsi="Consolas"/>
          <w:color w:val="146EF5"/>
          <w:sz w:val="21"/>
        </w:rPr>
        <w:t>md</w:t>
      </w:r>
      <w:r>
        <w:rPr>
          <w:rFonts w:ascii="Calibri" w:hAnsi="Calibri"/>
          <w:b w:val="0"/>
          <w:i w:val="0"/>
          <w:color w:val="101828"/>
          <w:sz w:val="21"/>
        </w:rPr>
        <w:t xml:space="preserve"> 768, </w:t>
      </w:r>
      <w:r>
        <w:rPr>
          <w:rFonts w:ascii="Consolas" w:hAnsi="Consolas"/>
          <w:color w:val="146EF5"/>
          <w:sz w:val="21"/>
        </w:rPr>
        <w:t>lg</w:t>
      </w:r>
      <w:r>
        <w:rPr>
          <w:rFonts w:ascii="Calibri" w:hAnsi="Calibri"/>
          <w:b w:val="0"/>
          <w:i w:val="0"/>
          <w:color w:val="101828"/>
          <w:sz w:val="21"/>
        </w:rPr>
        <w:t xml:space="preserve"> 1024, </w:t>
      </w:r>
      <w:r>
        <w:rPr>
          <w:rFonts w:ascii="Consolas" w:hAnsi="Consolas"/>
          <w:color w:val="146EF5"/>
          <w:sz w:val="21"/>
        </w:rPr>
        <w:t>xl</w:t>
      </w:r>
      <w:r>
        <w:rPr>
          <w:rFonts w:ascii="Calibri" w:hAnsi="Calibri"/>
          <w:b w:val="0"/>
          <w:i w:val="0"/>
          <w:color w:val="101828"/>
          <w:sz w:val="21"/>
        </w:rPr>
        <w:t xml:space="preserve"> 1280, </w:t>
      </w:r>
      <w:r>
        <w:rPr>
          <w:rFonts w:ascii="Consolas" w:hAnsi="Consolas"/>
          <w:color w:val="146EF5"/>
          <w:sz w:val="21"/>
        </w:rPr>
        <w:t>2xl</w:t>
      </w:r>
      <w:r>
        <w:rPr>
          <w:rFonts w:ascii="Calibri" w:hAnsi="Calibri"/>
          <w:b w:val="0"/>
          <w:i w:val="0"/>
          <w:color w:val="101828"/>
          <w:sz w:val="21"/>
        </w:rPr>
        <w:t xml:space="preserve"> 1440</w:t>
      </w:r>
    </w:p>
    <w:p>
      <w:pPr>
        <w:spacing w:after="40"/>
        <w:ind w:left="173"/>
      </w:pPr>
      <w:r>
        <w:rPr>
          <w:rFonts w:ascii="Calibri" w:hAnsi="Calibri"/>
          <w:b/>
          <w:color w:val="0B1F3A"/>
          <w:sz w:val="21"/>
        </w:rPr>
        <w:t xml:space="preserve">Elevation  </w:t>
      </w:r>
      <w:r>
        <w:rPr>
          <w:rFonts w:ascii="Consolas" w:hAnsi="Consolas"/>
          <w:color w:val="146EF5"/>
          <w:sz w:val="21"/>
        </w:rPr>
        <w:t>elevation-card</w:t>
      </w:r>
      <w:r>
        <w:rPr>
          <w:rFonts w:ascii="Calibri" w:hAnsi="Calibri"/>
          <w:b w:val="0"/>
          <w:i w:val="0"/>
          <w:color w:val="101828"/>
          <w:sz w:val="21"/>
        </w:rPr>
        <w:t xml:space="preserve"> </w:t>
      </w:r>
      <w:r>
        <w:rPr>
          <w:rFonts w:ascii="Consolas" w:hAnsi="Consolas"/>
          <w:color w:val="146EF5"/>
          <w:sz w:val="21"/>
        </w:rPr>
        <w:t>0 1px 2px rgba(16,24,40,0.05)</w:t>
      </w:r>
      <w:r>
        <w:rPr>
          <w:rFonts w:ascii="Calibri" w:hAnsi="Calibri"/>
          <w:b w:val="0"/>
          <w:i w:val="0"/>
          <w:color w:val="101828"/>
          <w:sz w:val="21"/>
        </w:rPr>
        <w:t xml:space="preserve">, </w:t>
      </w:r>
      <w:r>
        <w:rPr>
          <w:rFonts w:ascii="Consolas" w:hAnsi="Consolas"/>
          <w:color w:val="146EF5"/>
          <w:sz w:val="21"/>
        </w:rPr>
        <w:t>elevation-sheet</w:t>
      </w:r>
      <w:r>
        <w:rPr>
          <w:rFonts w:ascii="Calibri" w:hAnsi="Calibri"/>
          <w:b w:val="0"/>
          <w:i w:val="0"/>
          <w:color w:val="101828"/>
          <w:sz w:val="21"/>
        </w:rPr>
        <w:t xml:space="preserve"> </w:t>
      </w:r>
      <w:r>
        <w:rPr>
          <w:rFonts w:ascii="Consolas" w:hAnsi="Consolas"/>
          <w:color w:val="146EF5"/>
          <w:sz w:val="21"/>
        </w:rPr>
        <w:t>0 -4px 16px rgba(16,24,40,0.12)</w:t>
      </w:r>
      <w:r>
        <w:rPr>
          <w:rFonts w:ascii="Calibri" w:hAnsi="Calibri"/>
          <w:b w:val="0"/>
          <w:i w:val="0"/>
          <w:color w:val="101828"/>
          <w:sz w:val="21"/>
        </w:rPr>
        <w:t xml:space="preserve">, </w:t>
      </w:r>
      <w:r>
        <w:rPr>
          <w:rFonts w:ascii="Consolas" w:hAnsi="Consolas"/>
          <w:color w:val="146EF5"/>
          <w:sz w:val="21"/>
        </w:rPr>
        <w:t>scrim</w:t>
      </w:r>
      <w:r>
        <w:rPr>
          <w:rFonts w:ascii="Calibri" w:hAnsi="Calibri"/>
          <w:b w:val="0"/>
          <w:i w:val="0"/>
          <w:color w:val="101828"/>
          <w:sz w:val="21"/>
        </w:rPr>
        <w:t xml:space="preserve"> </w:t>
      </w:r>
      <w:r>
        <w:rPr>
          <w:rFonts w:ascii="Consolas" w:hAnsi="Consolas"/>
          <w:color w:val="146EF5"/>
          <w:sz w:val="21"/>
        </w:rPr>
        <w:t>rgba(11,31,58,0.40)</w:t>
      </w:r>
    </w:p>
    <w:p>
      <w:pPr>
        <w:spacing w:after="40"/>
        <w:ind w:left="173"/>
      </w:pPr>
      <w:r>
        <w:rPr>
          <w:rFonts w:ascii="Calibri" w:hAnsi="Calibri"/>
          <w:b/>
          <w:color w:val="0B1F3A"/>
          <w:sz w:val="21"/>
        </w:rPr>
        <w:t xml:space="preserve">Motion  </w:t>
      </w:r>
      <w:r>
        <w:rPr>
          <w:rFonts w:ascii="Consolas" w:hAnsi="Consolas"/>
          <w:color w:val="146EF5"/>
          <w:sz w:val="21"/>
        </w:rPr>
        <w:t>motion-instant</w:t>
      </w:r>
      <w:r>
        <w:rPr>
          <w:rFonts w:ascii="Calibri" w:hAnsi="Calibri"/>
          <w:b w:val="0"/>
          <w:i w:val="0"/>
          <w:color w:val="101828"/>
          <w:sz w:val="21"/>
        </w:rPr>
        <w:t xml:space="preserve"> 0, </w:t>
      </w:r>
      <w:r>
        <w:rPr>
          <w:rFonts w:ascii="Consolas" w:hAnsi="Consolas"/>
          <w:color w:val="146EF5"/>
          <w:sz w:val="21"/>
        </w:rPr>
        <w:t>motion-fast</w:t>
      </w:r>
      <w:r>
        <w:rPr>
          <w:rFonts w:ascii="Calibri" w:hAnsi="Calibri"/>
          <w:b w:val="0"/>
          <w:i w:val="0"/>
          <w:color w:val="101828"/>
          <w:sz w:val="21"/>
        </w:rPr>
        <w:t xml:space="preserve"> 150, </w:t>
      </w:r>
      <w:r>
        <w:rPr>
          <w:rFonts w:ascii="Consolas" w:hAnsi="Consolas"/>
          <w:color w:val="146EF5"/>
          <w:sz w:val="21"/>
        </w:rPr>
        <w:t>motion-base</w:t>
      </w:r>
      <w:r>
        <w:rPr>
          <w:rFonts w:ascii="Calibri" w:hAnsi="Calibri"/>
          <w:b w:val="0"/>
          <w:i w:val="0"/>
          <w:color w:val="101828"/>
          <w:sz w:val="21"/>
        </w:rPr>
        <w:t xml:space="preserve"> 200, </w:t>
      </w:r>
      <w:r>
        <w:rPr>
          <w:rFonts w:ascii="Consolas" w:hAnsi="Consolas"/>
          <w:color w:val="146EF5"/>
          <w:sz w:val="21"/>
        </w:rPr>
        <w:t>motion-slow</w:t>
      </w:r>
      <w:r>
        <w:rPr>
          <w:rFonts w:ascii="Calibri" w:hAnsi="Calibri"/>
          <w:b w:val="0"/>
          <w:i w:val="0"/>
          <w:color w:val="101828"/>
          <w:sz w:val="21"/>
        </w:rPr>
        <w:t xml:space="preserve"> 250, easing </w:t>
      </w:r>
      <w:r>
        <w:rPr>
          <w:rFonts w:ascii="Consolas" w:hAnsi="Consolas"/>
          <w:color w:val="146EF5"/>
          <w:sz w:val="21"/>
        </w:rPr>
        <w:t>cubic-bezier(0.2, 0, 0, 1)</w:t>
      </w:r>
      <w:r>
        <w:rPr>
          <w:rFonts w:ascii="Calibri" w:hAnsi="Calibri"/>
          <w:b w:val="0"/>
          <w:i w:val="0"/>
          <w:color w:val="101828"/>
          <w:sz w:val="21"/>
        </w:rPr>
        <w:t xml:space="preserve"> and </w:t>
      </w:r>
      <w:r>
        <w:rPr>
          <w:rFonts w:ascii="Consolas" w:hAnsi="Consolas"/>
          <w:color w:val="146EF5"/>
          <w:sz w:val="21"/>
        </w:rPr>
        <w:t>cubic-bezier(0.4, 0, 0.2, 1)</w:t>
      </w:r>
      <w:r>
        <w:rPr>
          <w:rFonts w:ascii="Calibri" w:hAnsi="Calibri"/>
          <w:b w:val="0"/>
          <w:i w:val="0"/>
          <w:color w:val="101828"/>
          <w:sz w:val="21"/>
        </w:rPr>
        <w:t>, all 0 under reduced motion</w:t>
      </w:r>
    </w:p>
    <w:p>
      <w:pPr>
        <w:spacing w:after="40"/>
        <w:ind w:left="173"/>
      </w:pPr>
      <w:r>
        <w:rPr>
          <w:rFonts w:ascii="Calibri" w:hAnsi="Calibri"/>
          <w:b/>
          <w:color w:val="0B1F3A"/>
          <w:sz w:val="21"/>
        </w:rPr>
        <w:t xml:space="preserve">Focus  </w:t>
      </w:r>
      <w:r>
        <w:rPr>
          <w:rFonts w:ascii="Consolas" w:hAnsi="Consolas"/>
          <w:color w:val="146EF5"/>
          <w:sz w:val="21"/>
        </w:rPr>
        <w:t>focus-ring</w:t>
      </w:r>
      <w:r>
        <w:rPr>
          <w:rFonts w:ascii="Calibri" w:hAnsi="Calibri"/>
          <w:b w:val="0"/>
          <w:i w:val="0"/>
          <w:color w:val="101828"/>
          <w:sz w:val="21"/>
        </w:rPr>
        <w:t xml:space="preserve"> 2 px </w:t>
      </w:r>
      <w:r>
        <w:rPr>
          <w:rFonts w:ascii="Consolas" w:hAnsi="Consolas"/>
          <w:color w:val="146EF5"/>
          <w:sz w:val="21"/>
        </w:rPr>
        <w:t>primary</w:t>
      </w:r>
      <w:r>
        <w:rPr>
          <w:rFonts w:ascii="Calibri" w:hAnsi="Calibri"/>
          <w:b w:val="0"/>
          <w:i w:val="0"/>
          <w:color w:val="101828"/>
          <w:sz w:val="21"/>
        </w:rPr>
        <w:t>, offset 2 px, never removed without replacement</w:t>
      </w:r>
    </w:p>
    <w:p>
      <w:pPr>
        <w:spacing w:after="40"/>
        <w:ind w:left="173"/>
      </w:pPr>
      <w:r>
        <w:rPr>
          <w:rFonts w:ascii="Calibri" w:hAnsi="Calibri"/>
          <w:b/>
          <w:color w:val="0B1F3A"/>
          <w:sz w:val="21"/>
        </w:rPr>
        <w:t xml:space="preserve">Tap target  </w:t>
      </w:r>
      <w:r>
        <w:rPr>
          <w:rFonts w:ascii="Consolas" w:hAnsi="Consolas"/>
          <w:color w:val="146EF5"/>
          <w:sz w:val="21"/>
        </w:rPr>
        <w:t>target-min</w:t>
      </w:r>
      <w:r>
        <w:rPr>
          <w:rFonts w:ascii="Calibri" w:hAnsi="Calibri"/>
          <w:b w:val="0"/>
          <w:i w:val="0"/>
          <w:color w:val="101828"/>
          <w:sz w:val="21"/>
        </w:rPr>
        <w:t xml:space="preserve"> 44 x 44 px, </w:t>
      </w:r>
      <w:r>
        <w:rPr>
          <w:rFonts w:ascii="Consolas" w:hAnsi="Consolas"/>
          <w:color w:val="146EF5"/>
          <w:sz w:val="21"/>
        </w:rPr>
        <w:t>target-money</w:t>
      </w:r>
      <w:r>
        <w:rPr>
          <w:rFonts w:ascii="Calibri" w:hAnsi="Calibri"/>
          <w:b w:val="0"/>
          <w:i w:val="0"/>
          <w:color w:val="101828"/>
          <w:sz w:val="21"/>
        </w:rPr>
        <w:t xml:space="preserve"> 48 x 48 px on touch</w:t>
      </w:r>
    </w:p>
    <w:p>
      <w:pPr>
        <w:spacing w:after="40"/>
        <w:ind w:left="173"/>
      </w:pPr>
      <w:r>
        <w:rPr>
          <w:rFonts w:ascii="Calibri" w:hAnsi="Calibri"/>
          <w:b/>
          <w:color w:val="0B1F3A"/>
          <w:sz w:val="21"/>
        </w:rPr>
        <w:t xml:space="preserve">Chart series  </w:t>
      </w:r>
      <w:r>
        <w:rPr>
          <w:rFonts w:ascii="Consolas" w:hAnsi="Consolas"/>
          <w:color w:val="146EF5"/>
          <w:sz w:val="21"/>
        </w:rPr>
        <w:t>series-1</w:t>
      </w:r>
      <w:r>
        <w:rPr>
          <w:rFonts w:ascii="Calibri" w:hAnsi="Calibri"/>
          <w:b w:val="0"/>
          <w:i w:val="0"/>
          <w:color w:val="101828"/>
          <w:sz w:val="21"/>
        </w:rPr>
        <w:t xml:space="preserve"> primary, </w:t>
      </w:r>
      <w:r>
        <w:rPr>
          <w:rFonts w:ascii="Consolas" w:hAnsi="Consolas"/>
          <w:color w:val="146EF5"/>
          <w:sz w:val="21"/>
        </w:rPr>
        <w:t>series-2</w:t>
      </w:r>
      <w:r>
        <w:rPr>
          <w:rFonts w:ascii="Calibri" w:hAnsi="Calibri"/>
          <w:b w:val="0"/>
          <w:i w:val="0"/>
          <w:color w:val="101828"/>
          <w:sz w:val="21"/>
        </w:rPr>
        <w:t xml:space="preserve"> cyan, </w:t>
      </w:r>
      <w:r>
        <w:rPr>
          <w:rFonts w:ascii="Consolas" w:hAnsi="Consolas"/>
          <w:color w:val="146EF5"/>
          <w:sz w:val="21"/>
        </w:rPr>
        <w:t>series-total</w:t>
      </w:r>
      <w:r>
        <w:rPr>
          <w:rFonts w:ascii="Calibri" w:hAnsi="Calibri"/>
          <w:b w:val="0"/>
          <w:i w:val="0"/>
          <w:color w:val="101828"/>
          <w:sz w:val="21"/>
        </w:rPr>
        <w:t xml:space="preserve"> gold, </w:t>
      </w:r>
      <w:r>
        <w:rPr>
          <w:rFonts w:ascii="Consolas" w:hAnsi="Consolas"/>
          <w:color w:val="146EF5"/>
          <w:sz w:val="21"/>
        </w:rPr>
        <w:t>series-remainder</w:t>
      </w:r>
      <w:r>
        <w:rPr>
          <w:rFonts w:ascii="Calibri" w:hAnsi="Calibri"/>
          <w:b w:val="0"/>
          <w:i w:val="0"/>
          <w:color w:val="101828"/>
          <w:sz w:val="21"/>
        </w:rPr>
        <w:t xml:space="preserve"> cloud, in that fixed order</w:t>
      </w:r>
    </w:p>
    <w:p>
      <w:pPr>
        <w:pStyle w:val="Heading3"/>
      </w:pPr>
      <w:r>
        <w:rPr>
          <w:rFonts w:ascii="Calibri" w:hAnsi="Calibri"/>
          <w:b/>
          <w:i w:val="0"/>
          <w:color w:val="0B1F3A"/>
          <w:sz w:val="24"/>
        </w:rPr>
        <w:t>7.17.2 Handoff notes</w:t>
      </w:r>
    </w:p>
    <w:p>
      <w:pPr>
        <w:pStyle w:val="ListNumber"/>
        <w:spacing w:after="60"/>
        <w:ind w:left="432"/>
      </w:pPr>
      <w:r>
        <w:rPr>
          <w:rFonts w:ascii="Calibri" w:hAnsi="Calibri"/>
          <w:b/>
          <w:color w:val="101828"/>
          <w:sz w:val="21"/>
        </w:rPr>
        <w:t>Tokens are the only source of colour, size, and duration in the codebase.</w:t>
      </w:r>
      <w:r>
        <w:rPr>
          <w:rFonts w:ascii="Calibri" w:hAnsi="Calibri"/>
          <w:b w:val="0"/>
          <w:i w:val="0"/>
          <w:color w:val="101828"/>
          <w:sz w:val="21"/>
        </w:rPr>
        <w:t xml:space="preserve"> A hex literal or a millisecond value outside the token file is a review finding, not a preference. This is how 7.13.4's reduced-motion block can be a single variable change rather than an audit.</w:t>
      </w:r>
    </w:p>
    <w:p>
      <w:pPr>
        <w:pStyle w:val="ListNumber"/>
        <w:spacing w:after="60"/>
        <w:ind w:left="432"/>
      </w:pPr>
      <w:r>
        <w:rPr>
          <w:rFonts w:ascii="Calibri" w:hAnsi="Calibri"/>
          <w:b/>
          <w:color w:val="101828"/>
          <w:sz w:val="21"/>
        </w:rPr>
        <w:t>The component set in 7.15 is delivered with its states, not without them.</w:t>
      </w:r>
      <w:r>
        <w:rPr>
          <w:rFonts w:ascii="Calibri" w:hAnsi="Calibri"/>
          <w:b w:val="0"/>
          <w:i w:val="0"/>
          <w:color w:val="101828"/>
          <w:sz w:val="21"/>
        </w:rPr>
        <w:t xml:space="preserve"> A component delivered in its default state only is not delivered; the loading, empty, error, and off states in its own table are part of the definition.</w:t>
      </w:r>
    </w:p>
    <w:p>
      <w:pPr>
        <w:pStyle w:val="ListNumber"/>
        <w:spacing w:after="60"/>
        <w:ind w:left="432"/>
      </w:pPr>
      <w:r>
        <w:rPr>
          <w:rFonts w:ascii="Calibri" w:hAnsi="Calibri"/>
          <w:b/>
          <w:color w:val="101828"/>
          <w:sz w:val="21"/>
        </w:rPr>
        <w:t>Region references are load-bearing.</w:t>
      </w:r>
      <w:r>
        <w:rPr>
          <w:rFonts w:ascii="Calibri" w:hAnsi="Calibri"/>
          <w:b w:val="0"/>
          <w:i w:val="0"/>
          <w:color w:val="101828"/>
          <w:sz w:val="21"/>
        </w:rPr>
        <w:t xml:space="preserve"> When a section 6 region changes, the components in 7.15 and the specifications in 7.9 and 7.10 are checked in the same review, because a region can grow a new state that no component has.</w:t>
      </w:r>
    </w:p>
    <w:p>
      <w:pPr>
        <w:pStyle w:val="ListNumber"/>
        <w:spacing w:after="60"/>
        <w:ind w:left="432"/>
      </w:pPr>
      <w:r>
        <w:rPr>
          <w:rFonts w:ascii="Calibri" w:hAnsi="Calibri"/>
          <w:b/>
          <w:color w:val="101828"/>
          <w:sz w:val="21"/>
        </w:rPr>
        <w:t>The MoneyBlock is reviewed by someone who did not write it,</w:t>
      </w:r>
      <w:r>
        <w:rPr>
          <w:rFonts w:ascii="Calibri" w:hAnsi="Calibri"/>
          <w:b w:val="0"/>
          <w:i w:val="0"/>
          <w:color w:val="101828"/>
          <w:sz w:val="21"/>
        </w:rPr>
        <w:t xml:space="preserve"> against 7.12, on every change. It is the only component in the product with a review requirement rather than a review guideline, and the reason is in 7.12.1.</w:t>
      </w:r>
    </w:p>
    <w:p>
      <w:pPr>
        <w:pStyle w:val="ListNumber"/>
        <w:spacing w:after="60"/>
        <w:ind w:left="432"/>
      </w:pPr>
      <w:r>
        <w:rPr>
          <w:rFonts w:ascii="Calibri" w:hAnsi="Calibri"/>
          <w:b/>
          <w:color w:val="101828"/>
          <w:sz w:val="21"/>
        </w:rPr>
        <w:t>Any screen that cannot be traced to a numbered region in section 6 is not built.</w:t>
      </w:r>
      <w:r>
        <w:rPr>
          <w:rFonts w:ascii="Calibri" w:hAnsi="Calibri"/>
          <w:b w:val="0"/>
          <w:i w:val="0"/>
          <w:color w:val="101828"/>
          <w:sz w:val="21"/>
        </w:rPr>
        <w:t xml:space="preserve"> This is the mechanism that keeps the three sections in agreement, and it is why this section specifies components rather than pages.</w:t>
      </w:r>
    </w:p>
    <w:p>
      <w:pPr>
        <w:pStyle w:val="Heading3"/>
      </w:pPr>
      <w:r>
        <w:rPr>
          <w:rFonts w:ascii="Calibri" w:hAnsi="Calibri"/>
          <w:b/>
          <w:i w:val="0"/>
          <w:color w:val="0B1F3A"/>
          <w:sz w:val="24"/>
        </w:rPr>
        <w:t>7.17.3 Open items carried into build</w:t>
      </w:r>
    </w:p>
    <w:p>
      <w:r>
        <w:rPr>
          <w:rFonts w:ascii="Calibri" w:hAnsi="Calibri"/>
          <w:b w:val="0"/>
          <w:i w:val="0"/>
          <w:color w:val="101828"/>
          <w:sz w:val="21"/>
        </w:rPr>
        <w:t>Three items in this section are recorded as assumptions rather than decisions, and they are collected here so they are not lost between documents: the typeface in 7.4.1, pending the founders' confirmation; the absence of a charting library in 7.10.5; and the human verification in 7.14.5. Each is cheap to change now and expensive to change after the interface is built, which is the only reason they are written down at all.</w:t>
      </w:r>
    </w:p>
    <w:p>
      <w:pPr>
        <w:spacing w:before="140" w:after="180"/>
        <w:ind w:left="144"/>
        <w:shd w:val="clear" w:color="auto" w:fill="EFF6FF"/>
        <w:pBdr>
          <w:left w:val="single" w:sz="18" w:space="6" w:color="146EF5"/>
        </w:pBdr>
      </w:pPr>
      <w:r>
        <w:rPr>
          <w:rFonts w:ascii="Calibri" w:hAnsi="Calibri"/>
          <w:b/>
          <w:color w:val="146EF5"/>
          <w:sz w:val="19"/>
        </w:rPr>
        <w:t xml:space="preserve">What this section deliberately does not do  </w:t>
      </w:r>
      <w:r>
        <w:rPr>
          <w:rFonts w:ascii="Calibri" w:hAnsi="Calibri"/>
          <w:b w:val="0"/>
          <w:i w:val="0"/>
          <w:color w:val="0B1F3A"/>
          <w:sz w:val="19"/>
        </w:rPr>
        <w:t>It does not add a screen, a region, a state, or a promise. Section 6 owns the structure, section 2 owns the flows, and CANONICAL.md owns the product. What this section does is make the interface that results from those three consistent, legible, and honest about money — which, for a product whose whole proposition is that other people can be trusted with it, is the only visual requirement that was ever really in question.</w:t>
      </w:r>
    </w:p>
    <w:p>
      <w:r>
        <w:br w:type="page"/>
      </w:r>
    </w:p>
    <w:p>
      <w:pPr>
        <w:pStyle w:val="Heading1"/>
        <w:pBdr>
          <w:bottom w:val="single" w:sz="12" w:space="6" w:color="146EF5"/>
        </w:pBdr>
        <w:spacing w:after="240"/>
      </w:pPr>
      <w:r>
        <w:rPr>
          <w:rFonts w:ascii="Calibri" w:hAnsi="Calibri"/>
          <w:b/>
          <w:i w:val="0"/>
          <w:color w:val="0B1F3A"/>
          <w:sz w:val="40"/>
        </w:rPr>
        <w:t>8. Entity Relationship Diagram (ERD)</w:t>
      </w:r>
    </w:p>
    <w:p>
      <w:pPr>
        <w:spacing w:after="200"/>
      </w:pPr>
      <w:r>
        <w:rPr>
          <w:rFonts w:ascii="Calibri" w:hAnsi="Calibri"/>
          <w:b w:val="0"/>
          <w:i w:val="0"/>
          <w:color w:val="475467"/>
          <w:sz w:val="24"/>
        </w:rPr>
        <w:t>This section is the structural contract for the AJO.ng data model. It names every persistent entity, the cardinality of every relationship between them, the rule that governs each relationship, and the exact behaviour of each foreign key when a row is deleted. It is written to be read against section 9, which turns every relationship below into a real foreign key, and against section 6, which turns every entity below into an endpoint. The three sections are one design expressed three ways: an entity with no endpoint is dead code, an endpoint with no entity is unimplementable, and a relationship stated here with no constraint in section 9 is a relationship that will be violated in production by someone under time pressure who did not read this file.</w:t>
      </w:r>
    </w:p>
    <w:p>
      <w:pPr>
        <w:pStyle w:val="Heading2"/>
      </w:pPr>
      <w:r>
        <w:rPr>
          <w:rFonts w:ascii="Calibri" w:hAnsi="Calibri"/>
          <w:b/>
          <w:i w:val="0"/>
          <w:color w:val="146EF5"/>
          <w:sz w:val="29"/>
        </w:rPr>
        <w:t>8.1 ERD scope and notation</w:t>
      </w:r>
    </w:p>
    <w:p>
      <w:r>
        <w:rPr>
          <w:rFonts w:ascii="Calibri" w:hAnsi="Calibri"/>
          <w:b w:val="0"/>
          <w:i w:val="0"/>
          <w:color w:val="101828"/>
          <w:sz w:val="21"/>
        </w:rPr>
        <w:t xml:space="preserve">The scope is deliberately narrow in one direction and wide in the other. It is narrow in that it models </w:t>
      </w:r>
      <w:r>
        <w:rPr>
          <w:rFonts w:ascii="Calibri" w:hAnsi="Calibri"/>
          <w:i/>
          <w:color w:val="101828"/>
          <w:sz w:val="21"/>
        </w:rPr>
        <w:t>what is stored</w:t>
      </w:r>
      <w:r>
        <w:rPr>
          <w:rFonts w:ascii="Calibri" w:hAnsi="Calibri"/>
          <w:b w:val="0"/>
          <w:i w:val="0"/>
          <w:color w:val="101828"/>
          <w:sz w:val="21"/>
        </w:rPr>
        <w:t xml:space="preserve">, not </w:t>
      </w:r>
      <w:r>
        <w:rPr>
          <w:rFonts w:ascii="Calibri" w:hAnsi="Calibri"/>
          <w:i/>
          <w:color w:val="101828"/>
          <w:sz w:val="21"/>
        </w:rPr>
        <w:t>how it is used</w:t>
      </w:r>
      <w:r>
        <w:rPr>
          <w:rFonts w:ascii="Calibri" w:hAnsi="Calibri"/>
          <w:b w:val="0"/>
          <w:i w:val="0"/>
          <w:color w:val="101828"/>
          <w:sz w:val="21"/>
        </w:rPr>
        <w:t>: no derived columns that exist only to make a chart fast, no denormalised aggregates that could be computed, and no entity that has no reason to exist. It is wide in that it includes every operational and audit table the platform needs to be defensible, because a savings product that cannot show a regulator what happened to a member's money is not a product, it is an incident waiting for a customer.</w:t>
      </w:r>
    </w:p>
    <w:p>
      <w:pPr>
        <w:pStyle w:val="Heading3"/>
      </w:pPr>
      <w:r>
        <w:rPr>
          <w:rFonts w:ascii="Calibri" w:hAnsi="Calibri"/>
          <w:b/>
          <w:i w:val="0"/>
          <w:color w:val="0B1F3A"/>
          <w:sz w:val="24"/>
        </w:rPr>
        <w:t>8.1.1 Notation</w:t>
      </w:r>
    </w:p>
    <w:p>
      <w:r>
        <w:rPr>
          <w:rFonts w:ascii="Calibri" w:hAnsi="Calibri"/>
          <w:b w:val="0"/>
          <w:i w:val="0"/>
          <w:color w:val="101828"/>
          <w:sz w:val="21"/>
        </w:rPr>
        <w:t>The diagrams use SQLAlchemy-style crow's foot, chosen because it is the one notation an engineer reading a migration can recognise without a legend they have to look up. It is drawn in 8.2 and repeated in a looser, grouped form in 8.3 so that the cardinality rules and the narrative rationale sit next to each other rather than in a diagram on one page and a table on another.</w:t>
      </w:r>
    </w:p>
    <w:p>
      <w:pPr>
        <w:spacing w:before="0" w:after="0" w:line="240" w:lineRule="auto"/>
        <w:ind w:left="230"/>
        <w:shd w:val="clear" w:color="auto" w:fill="F7F9FC"/>
        <w:pBdr>
          <w:left w:val="single" w:sz="4" w:space="6" w:color="D0D5DD"/>
        </w:pBdr>
      </w:pPr>
      <w:r>
        <w:rPr>
          <w:rFonts w:ascii="Consolas" w:hAnsi="Consolas"/>
          <w:color w:val="0B1F3A"/>
          <w:sz w:val="16"/>
        </w:rPr>
        <w:t xml:space="preserve">  SYMBOL          MEANING</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exactly one, and only one (NOT NULL, no default)</w:t>
      </w:r>
    </w:p>
    <w:p>
      <w:pPr>
        <w:spacing w:before="0" w:after="0" w:line="240" w:lineRule="auto"/>
        <w:ind w:left="230"/>
        <w:shd w:val="clear" w:color="auto" w:fill="F7F9FC"/>
        <w:pBdr>
          <w:left w:val="single" w:sz="4" w:space="6" w:color="D0D5DD"/>
        </w:pBdr>
      </w:pPr>
      <w:r>
        <w:rPr>
          <w:rFonts w:ascii="Consolas" w:hAnsi="Consolas"/>
          <w:color w:val="0B1F3A"/>
          <w:sz w:val="16"/>
        </w:rPr>
        <w:t xml:space="preserve">   |{             one or more (at least one, enforced by business rule)</w:t>
      </w:r>
    </w:p>
    <w:p>
      <w:pPr>
        <w:spacing w:before="0" w:after="0" w:line="240" w:lineRule="auto"/>
        <w:ind w:left="230"/>
        <w:shd w:val="clear" w:color="auto" w:fill="F7F9FC"/>
        <w:pBdr>
          <w:left w:val="single" w:sz="4" w:space="6" w:color="D0D5DD"/>
        </w:pBdr>
      </w:pPr>
      <w:r>
        <w:rPr>
          <w:rFonts w:ascii="Consolas" w:hAnsi="Consolas"/>
          <w:color w:val="0B1F3A"/>
          <w:sz w:val="16"/>
        </w:rPr>
        <w:t xml:space="preserve">   o{             zero or more</w:t>
      </w:r>
    </w:p>
    <w:p>
      <w:pPr>
        <w:spacing w:before="0" w:after="0" w:line="240" w:lineRule="auto"/>
        <w:ind w:left="230"/>
        <w:shd w:val="clear" w:color="auto" w:fill="F7F9FC"/>
        <w:pBdr>
          <w:left w:val="single" w:sz="4" w:space="6" w:color="D0D5DD"/>
        </w:pBdr>
      </w:pPr>
      <w:r>
        <w:rPr>
          <w:rFonts w:ascii="Consolas" w:hAnsi="Consolas"/>
          <w:color w:val="0B1F3A"/>
          <w:sz w:val="16"/>
        </w:rPr>
        <w:t xml:space="preserve">   o|             zero or one</w:t>
      </w:r>
    </w:p>
    <w:p>
      <w:pPr>
        <w:spacing w:before="0" w:after="0" w:line="240" w:lineRule="auto"/>
        <w:ind w:left="230"/>
        <w:shd w:val="clear" w:color="auto" w:fill="F7F9FC"/>
        <w:pBdr>
          <w:left w:val="single" w:sz="4" w:space="6" w:color="D0D5DD"/>
        </w:pBdr>
      </w:pPr>
      <w:r>
        <w:rPr>
          <w:rFonts w:ascii="Consolas" w:hAnsi="Consolas"/>
          <w:color w:val="0B1F3A"/>
          <w:sz w:val="16"/>
        </w:rPr>
        <w:t xml:space="preserve">   }o--           many-to-many, resolved through the table named in the</w:t>
      </w:r>
    </w:p>
    <w:p>
      <w:pPr>
        <w:spacing w:before="0" w:after="0" w:line="240" w:lineRule="auto"/>
        <w:ind w:left="230"/>
        <w:shd w:val="clear" w:color="auto" w:fill="F7F9FC"/>
        <w:pBdr>
          <w:left w:val="single" w:sz="4" w:space="6" w:color="D0D5DD"/>
        </w:pBdr>
      </w:pPr>
      <w:r>
        <w:rPr>
          <w:rFonts w:ascii="Consolas" w:hAnsi="Consolas"/>
          <w:color w:val="0B1F3A"/>
          <w:sz w:val="16"/>
        </w:rPr>
        <w:t xml:space="preserve">                  middle. The join table always carries a scope column</w:t>
      </w:r>
    </w:p>
    <w:p>
      <w:pPr>
        <w:spacing w:before="0" w:after="0" w:line="240" w:lineRule="auto"/>
        <w:ind w:left="230"/>
        <w:shd w:val="clear" w:color="auto" w:fill="F7F9FC"/>
        <w:pBdr>
          <w:left w:val="single" w:sz="4" w:space="6" w:color="D0D5DD"/>
        </w:pBdr>
      </w:pPr>
      <w:r>
        <w:rPr>
          <w:rFonts w:ascii="Consolas" w:hAnsi="Consolas"/>
          <w:color w:val="0B1F3A"/>
          <w:sz w:val="16"/>
        </w:rPr>
        <w:t xml:space="preserve">                  when the relationship is itself scoped (an Ajo role,</w:t>
      </w:r>
    </w:p>
    <w:p>
      <w:pPr>
        <w:spacing w:before="0" w:after="0" w:line="240" w:lineRule="auto"/>
        <w:ind w:left="230"/>
        <w:shd w:val="clear" w:color="auto" w:fill="F7F9FC"/>
        <w:pBdr>
          <w:left w:val="single" w:sz="4" w:space="6" w:color="D0D5DD"/>
        </w:pBdr>
      </w:pPr>
      <w:r>
        <w:rPr>
          <w:rFonts w:ascii="Consolas" w:hAnsi="Consolas"/>
          <w:color w:val="0B1F3A"/>
          <w:sz w:val="16"/>
        </w:rPr>
        <w:t xml:space="preserve">                  for example, is a role within one Ajo, not globally).</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NOTATION CONVENTIONS USED THROUGHOUT</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entity named in CANONICAL.md section 5 (27 entities)</w:t>
      </w:r>
    </w:p>
    <w:p>
      <w:pPr>
        <w:spacing w:before="0" w:after="0" w:line="240" w:lineRule="auto"/>
        <w:ind w:left="230"/>
        <w:shd w:val="clear" w:color="auto" w:fill="F7F9FC"/>
        <w:pBdr>
          <w:left w:val="single" w:sz="4" w:space="6" w:color="D0D5DD"/>
        </w:pBdr>
      </w:pPr>
      <w:r>
        <w:rPr>
          <w:rFonts w:ascii="Consolas" w:hAnsi="Consolas"/>
          <w:color w:val="0B1F3A"/>
          <w:sz w:val="16"/>
        </w:rPr>
        <w:t xml:space="preserve">   S  = supporting table required to make the canonical set work</w:t>
      </w:r>
    </w:p>
    <w:p>
      <w:pPr>
        <w:spacing w:before="0" w:after="0" w:line="240" w:lineRule="auto"/>
        <w:ind w:left="230"/>
        <w:shd w:val="clear" w:color="auto" w:fill="F7F9FC"/>
        <w:pBdr>
          <w:left w:val="single" w:sz="4" w:space="6" w:color="D0D5DD"/>
        </w:pBdr>
      </w:pPr>
      <w:r>
        <w:rPr>
          <w:rFonts w:ascii="Consolas" w:hAnsi="Consolas"/>
          <w:color w:val="0B1F3A"/>
          <w:sz w:val="16"/>
        </w:rPr>
        <w:t xml:space="preserve">         or the section 6 API implementable (10 tables, see 8.1.2)</w:t>
      </w:r>
    </w:p>
    <w:p>
      <w:pPr>
        <w:spacing w:before="0" w:after="0" w:line="240" w:lineRule="auto"/>
        <w:ind w:left="230"/>
        <w:shd w:val="clear" w:color="auto" w:fill="F7F9FC"/>
        <w:pBdr>
          <w:left w:val="single" w:sz="4" w:space="6" w:color="D0D5DD"/>
        </w:pBdr>
      </w:pPr>
      <w:r>
        <w:rPr>
          <w:rFonts w:ascii="Consolas" w:hAnsi="Consolas"/>
          <w:color w:val="0B1F3A"/>
          <w:sz w:val="16"/>
        </w:rPr>
        <w:t xml:space="preserve">   _kobo suffix on every monetary column; bigint; never float, never</w:t>
      </w:r>
    </w:p>
    <w:p>
      <w:pPr>
        <w:spacing w:before="0" w:after="0" w:line="240" w:lineRule="auto"/>
        <w:ind w:left="230"/>
        <w:shd w:val="clear" w:color="auto" w:fill="F7F9FC"/>
        <w:pBdr>
          <w:left w:val="single" w:sz="4" w:space="6" w:color="D0D5DD"/>
        </w:pBdr>
      </w:pPr>
      <w:r>
        <w:rPr>
          <w:rFonts w:ascii="Consolas" w:hAnsi="Consolas"/>
          <w:color w:val="0B1F3A"/>
          <w:sz w:val="16"/>
        </w:rPr>
        <w:t xml:space="preserve">         numeric, never a text representation of a number.</w:t>
      </w:r>
    </w:p>
    <w:p>
      <w:pPr>
        <w:spacing w:before="0" w:after="0" w:line="240" w:lineRule="auto"/>
        <w:ind w:left="230"/>
        <w:shd w:val="clear" w:color="auto" w:fill="F7F9FC"/>
        <w:pBdr>
          <w:left w:val="single" w:sz="4" w:space="6" w:color="D0D5DD"/>
        </w:pBdr>
      </w:pPr>
      <w:r>
        <w:rPr>
          <w:rFonts w:ascii="Consolas" w:hAnsi="Consolas"/>
          <w:color w:val="0B1F3A"/>
          <w:sz w:val="16"/>
        </w:rPr>
        <w:t xml:space="preserve">   FK   = the child table, naming the column that holds the parent key</w:t>
      </w:r>
    </w:p>
    <w:p>
      <w:pPr>
        <w:spacing w:before="0" w:after="0" w:line="240" w:lineRule="auto"/>
        <w:ind w:left="230"/>
        <w:shd w:val="clear" w:color="auto" w:fill="F7F9FC"/>
        <w:pBdr>
          <w:left w:val="single" w:sz="4" w:space="6" w:color="D0D5DD"/>
        </w:pBdr>
      </w:pPr>
      <w:r>
        <w:rPr>
          <w:rFonts w:ascii="Consolas" w:hAnsi="Consolas"/>
          <w:color w:val="0B1F3A"/>
          <w:sz w:val="16"/>
        </w:rPr>
        <w:t xml:space="preserve">   ON DELETE = the referential action actually declared in section 9</w:t>
      </w:r>
    </w:p>
    <w:p>
      <w:pPr>
        <w:pStyle w:val="Heading3"/>
      </w:pPr>
      <w:r>
        <w:rPr>
          <w:rFonts w:ascii="Calibri" w:hAnsi="Calibri"/>
          <w:b/>
          <w:i w:val="0"/>
          <w:color w:val="0B1F3A"/>
          <w:sz w:val="24"/>
        </w:rPr>
        <w:t>8.1.2 Scope boundary: canonical entities and supporting tables</w:t>
      </w:r>
    </w:p>
    <w:p>
      <w:r>
        <w:rPr>
          <w:rFonts w:ascii="Calibri" w:hAnsi="Calibri"/>
          <w:b w:val="0"/>
          <w:i w:val="0"/>
          <w:color w:val="101828"/>
          <w:sz w:val="21"/>
        </w:rPr>
        <w:t xml:space="preserve">CANONICAL.md section 5 names twenty-seven core entities. Thirteen further tables are specified here and marked supporting. They are listed separately, with the reason each one exists, because the boundary between </w:t>
      </w:r>
      <w:r>
        <w:rPr>
          <w:rFonts w:ascii="Calibri" w:hAnsi="Calibri"/>
          <w:i/>
          <w:color w:val="101828"/>
          <w:sz w:val="21"/>
        </w:rPr>
        <w:t>the product's data</w:t>
      </w:r>
      <w:r>
        <w:rPr>
          <w:rFonts w:ascii="Calibri" w:hAnsi="Calibri"/>
          <w:b w:val="0"/>
          <w:i w:val="0"/>
          <w:color w:val="101828"/>
          <w:sz w:val="21"/>
        </w:rPr>
        <w:t xml:space="preserve"> and </w:t>
      </w:r>
      <w:r>
        <w:rPr>
          <w:rFonts w:ascii="Calibri" w:hAnsi="Calibri"/>
          <w:i/>
          <w:color w:val="101828"/>
          <w:sz w:val="21"/>
        </w:rPr>
        <w:t>the platform's plumbing</w:t>
      </w:r>
      <w:r>
        <w:rPr>
          <w:rFonts w:ascii="Calibri" w:hAnsi="Calibri"/>
          <w:b w:val="0"/>
          <w:i w:val="0"/>
          <w:color w:val="101828"/>
          <w:sz w:val="21"/>
        </w:rPr>
        <w:t xml:space="preserve"> is exactly the kind of line that erodes silently. Every supporting table below was added to satisfy a specific requirement in CANONICAL.md sections 2, 4, 6 or 8; none was added for symmetry or for a future feature that has not been asked for.</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504"/>
            <w:shd w:val="clear" w:color="auto" w:fill="0B1F3A"/>
            <w:tcMar>
              <w:top w:w="60" w:type="dxa"/>
              <w:start w:w="110" w:type="dxa"/>
              <w:bottom w:w="60" w:type="dxa"/>
              <w:end w:w="110" w:type="dxa"/>
            </w:tcMar>
          </w:tcPr>
          <w:p>
            <w:pPr>
              <w:spacing w:after="0"/>
            </w:pPr>
            <w:r/>
            <w:r>
              <w:rPr>
                <w:rFonts w:ascii="Calibri" w:hAnsi="Calibri"/>
                <w:b/>
                <w:i w:val="0"/>
                <w:color w:val="FFFFFF"/>
                <w:sz w:val="16"/>
              </w:rPr>
              <w:t>#</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Entity</w:t>
            </w:r>
          </w:p>
        </w:tc>
        <w:tc>
          <w:tcPr>
            <w:tcW w:type="dxa" w:w="792"/>
            <w:shd w:val="clear" w:color="auto" w:fill="0B1F3A"/>
            <w:tcMar>
              <w:top w:w="60" w:type="dxa"/>
              <w:start w:w="110" w:type="dxa"/>
              <w:bottom w:w="60" w:type="dxa"/>
              <w:end w:w="110" w:type="dxa"/>
            </w:tcMar>
          </w:tcPr>
          <w:p>
            <w:pPr>
              <w:spacing w:after="0"/>
            </w:pPr>
            <w:r/>
            <w:r>
              <w:rPr>
                <w:rFonts w:ascii="Calibri" w:hAnsi="Calibri"/>
                <w:b/>
                <w:i w:val="0"/>
                <w:color w:val="FFFFFF"/>
                <w:sz w:val="16"/>
              </w:rPr>
              <w:t>Class</w:t>
            </w:r>
          </w:p>
        </w:tc>
        <w:tc>
          <w:tcPr>
            <w:tcW w:type="dxa" w:w="5904"/>
            <w:shd w:val="clear" w:color="auto" w:fill="0B1F3A"/>
            <w:tcMar>
              <w:top w:w="60" w:type="dxa"/>
              <w:start w:w="110" w:type="dxa"/>
              <w:bottom w:w="60" w:type="dxa"/>
              <w:end w:w="110" w:type="dxa"/>
            </w:tcMar>
          </w:tcPr>
          <w:p>
            <w:pPr>
              <w:spacing w:after="0"/>
            </w:pPr>
            <w:r/>
            <w:r>
              <w:rPr>
                <w:rFonts w:ascii="Calibri" w:hAnsi="Calibri"/>
                <w:b/>
                <w:i w:val="0"/>
                <w:color w:val="FFFFFF"/>
                <w:sz w:val="16"/>
              </w:rPr>
              <w:t>Why it exists</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1</w:t>
            </w:r>
          </w:p>
        </w:tc>
        <w:tc>
          <w:tcPr>
            <w:tcW w:type="dxa" w:w="2160"/>
            <w:tcMar>
              <w:top w:w="60" w:type="dxa"/>
              <w:start w:w="110" w:type="dxa"/>
              <w:bottom w:w="60" w:type="dxa"/>
              <w:end w:w="110" w:type="dxa"/>
            </w:tcMar>
          </w:tcPr>
          <w:p>
            <w:pPr>
              <w:spacing w:after="0"/>
            </w:pPr>
            <w:r/>
            <w:r>
              <w:rPr>
                <w:rFonts w:ascii="Consolas" w:hAnsi="Consolas"/>
                <w:color w:val="146EF5"/>
                <w:sz w:val="16"/>
              </w:rPr>
              <w:t>users</w:t>
            </w:r>
          </w:p>
        </w:tc>
        <w:tc>
          <w:tcPr>
            <w:tcW w:type="dxa" w:w="792"/>
            <w:tcMar>
              <w:top w:w="60" w:type="dxa"/>
              <w:start w:w="110" w:type="dxa"/>
              <w:bottom w:w="60" w:type="dxa"/>
              <w:end w:w="110" w:type="dxa"/>
            </w:tcMar>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tcPr>
          <w:p>
            <w:pPr>
              <w:spacing w:after="0"/>
            </w:pPr>
            <w:r/>
            <w:r>
              <w:rPr>
                <w:rFonts w:ascii="Calibri" w:hAnsi="Calibri"/>
                <w:b w:val="0"/>
                <w:i w:val="0"/>
                <w:color w:val="101828"/>
                <w:sz w:val="16"/>
              </w:rPr>
              <w:t>The account. Supabase Auth owns the credential; this table owns everything the product needs to know about the person.</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2</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profiles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Presentation data separated from identity so that a profile edit never touches the authentication record.</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3</w:t>
            </w:r>
          </w:p>
        </w:tc>
        <w:tc>
          <w:tcPr>
            <w:tcW w:type="dxa" w:w="2160"/>
            <w:tcMar>
              <w:top w:w="60" w:type="dxa"/>
              <w:start w:w="110" w:type="dxa"/>
              <w:bottom w:w="60" w:type="dxa"/>
              <w:end w:w="110" w:type="dxa"/>
            </w:tcMar>
          </w:tcPr>
          <w:p>
            <w:pPr>
              <w:spacing w:after="0"/>
            </w:pPr>
            <w:r/>
            <w:r>
              <w:rPr>
                <w:rFonts w:ascii="Consolas" w:hAnsi="Consolas"/>
                <w:color w:val="146EF5"/>
                <w:sz w:val="16"/>
              </w:rPr>
              <w:t>verification_checks</w:t>
            </w:r>
          </w:p>
        </w:tc>
        <w:tc>
          <w:tcPr>
            <w:tcW w:type="dxa" w:w="792"/>
            <w:tcMar>
              <w:top w:w="60" w:type="dxa"/>
              <w:start w:w="110" w:type="dxa"/>
              <w:bottom w:w="60" w:type="dxa"/>
              <w:end w:w="110" w:type="dxa"/>
            </w:tcMar>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tcPr>
          <w:p>
            <w:pPr>
              <w:spacing w:after="0"/>
            </w:pPr>
            <w:r/>
            <w:r>
              <w:rPr>
                <w:rFonts w:ascii="Calibri" w:hAnsi="Calibri"/>
                <w:b w:val="0"/>
                <w:i w:val="0"/>
                <w:color w:val="101828"/>
                <w:sz w:val="16"/>
              </w:rPr>
              <w:t xml:space="preserve">BVN / NIN / CAC / selfie outcomes. Separated from </w:t>
            </w:r>
            <w:r>
              <w:rPr>
                <w:rFonts w:ascii="Consolas" w:hAnsi="Consolas"/>
                <w:color w:val="146EF5"/>
                <w:sz w:val="16"/>
              </w:rPr>
              <w:t>users</w:t>
            </w:r>
            <w:r>
              <w:rPr>
                <w:rFonts w:ascii="Calibri" w:hAnsi="Calibri"/>
                <w:b w:val="0"/>
                <w:i w:val="0"/>
                <w:color w:val="101828"/>
                <w:sz w:val="16"/>
              </w:rPr>
              <w:t xml:space="preserve"> so that a re-verification is a new row, not a history-erasing update.</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4</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ajos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The savings group. Root of the lifecycle state machine in CANONICAL.md section 3.</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5</w:t>
            </w:r>
          </w:p>
        </w:tc>
        <w:tc>
          <w:tcPr>
            <w:tcW w:type="dxa" w:w="2160"/>
            <w:tcMar>
              <w:top w:w="60" w:type="dxa"/>
              <w:start w:w="110" w:type="dxa"/>
              <w:bottom w:w="60" w:type="dxa"/>
              <w:end w:w="110" w:type="dxa"/>
            </w:tcMar>
          </w:tcPr>
          <w:p>
            <w:pPr>
              <w:spacing w:after="0"/>
            </w:pPr>
            <w:r/>
            <w:r>
              <w:rPr>
                <w:rFonts w:ascii="Consolas" w:hAnsi="Consolas"/>
                <w:color w:val="146EF5"/>
                <w:sz w:val="16"/>
              </w:rPr>
              <w:t>ajo_positions</w:t>
            </w:r>
          </w:p>
        </w:tc>
        <w:tc>
          <w:tcPr>
            <w:tcW w:type="dxa" w:w="792"/>
            <w:tcMar>
              <w:top w:w="60" w:type="dxa"/>
              <w:start w:w="110" w:type="dxa"/>
              <w:bottom w:w="60" w:type="dxa"/>
              <w:end w:w="110" w:type="dxa"/>
            </w:tcMar>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tcPr>
          <w:p>
            <w:pPr>
              <w:spacing w:after="0"/>
            </w:pPr>
            <w:r/>
            <w:r>
              <w:rPr>
                <w:rFonts w:ascii="Calibri" w:hAnsi="Calibri"/>
                <w:b w:val="0"/>
                <w:i w:val="0"/>
                <w:color w:val="101828"/>
                <w:sz w:val="16"/>
              </w:rPr>
              <w:t>The turn order. One row per position; locks on activation.</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6</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ajo_members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The join between a </w:t>
            </w:r>
            <w:r>
              <w:rPr>
                <w:rFonts w:ascii="Consolas" w:hAnsi="Consolas"/>
                <w:color w:val="146EF5"/>
                <w:sz w:val="16"/>
              </w:rPr>
              <w:t>user</w:t>
            </w:r>
            <w:r>
              <w:rPr>
                <w:rFonts w:ascii="Calibri" w:hAnsi="Calibri"/>
                <w:b w:val="0"/>
                <w:i w:val="0"/>
                <w:color w:val="101828"/>
                <w:sz w:val="16"/>
              </w:rPr>
              <w:t xml:space="preserve"> and an </w:t>
            </w:r>
            <w:r>
              <w:rPr>
                <w:rFonts w:ascii="Consolas" w:hAnsi="Consolas"/>
                <w:color w:val="146EF5"/>
                <w:sz w:val="16"/>
              </w:rPr>
              <w:t>ajo</w:t>
            </w:r>
            <w:r>
              <w:rPr>
                <w:rFonts w:ascii="Calibri" w:hAnsi="Calibri"/>
                <w:b w:val="0"/>
                <w:i w:val="0"/>
                <w:color w:val="101828"/>
                <w:sz w:val="16"/>
              </w:rPr>
              <w:t>, carrying member status, replacement history and the claim on a position.</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7</w:t>
            </w:r>
          </w:p>
        </w:tc>
        <w:tc>
          <w:tcPr>
            <w:tcW w:type="dxa" w:w="2160"/>
            <w:tcMar>
              <w:top w:w="60" w:type="dxa"/>
              <w:start w:w="110" w:type="dxa"/>
              <w:bottom w:w="60" w:type="dxa"/>
              <w:end w:w="110" w:type="dxa"/>
            </w:tcMar>
          </w:tcPr>
          <w:p>
            <w:pPr>
              <w:spacing w:after="0"/>
            </w:pPr>
            <w:r/>
            <w:r>
              <w:rPr>
                <w:rFonts w:ascii="Consolas" w:hAnsi="Consolas"/>
                <w:color w:val="146EF5"/>
                <w:sz w:val="16"/>
              </w:rPr>
              <w:t>invitations</w:t>
            </w:r>
          </w:p>
        </w:tc>
        <w:tc>
          <w:tcPr>
            <w:tcW w:type="dxa" w:w="792"/>
            <w:tcMar>
              <w:top w:w="60" w:type="dxa"/>
              <w:start w:w="110" w:type="dxa"/>
              <w:bottom w:w="60" w:type="dxa"/>
              <w:end w:w="110" w:type="dxa"/>
            </w:tcMar>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tcPr>
          <w:p>
            <w:pPr>
              <w:spacing w:after="0"/>
            </w:pPr>
            <w:r/>
            <w:r>
              <w:rPr>
                <w:rFonts w:ascii="Calibri" w:hAnsi="Calibri"/>
                <w:b w:val="0"/>
                <w:i w:val="0"/>
                <w:color w:val="101828"/>
                <w:sz w:val="16"/>
              </w:rPr>
              <w:t>Pre-activation join flow, with a hashed single-use token and its own lifecycle.</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8</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rounds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One rotation step of one Ajo. The unit that a payout is funded against.</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9</w:t>
            </w:r>
          </w:p>
        </w:tc>
        <w:tc>
          <w:tcPr>
            <w:tcW w:type="dxa" w:w="2160"/>
            <w:tcMar>
              <w:top w:w="60" w:type="dxa"/>
              <w:start w:w="110" w:type="dxa"/>
              <w:bottom w:w="60" w:type="dxa"/>
              <w:end w:w="110" w:type="dxa"/>
            </w:tcMar>
          </w:tcPr>
          <w:p>
            <w:pPr>
              <w:spacing w:after="0"/>
            </w:pPr>
            <w:r/>
            <w:r>
              <w:rPr>
                <w:rFonts w:ascii="Consolas" w:hAnsi="Consolas"/>
                <w:color w:val="146EF5"/>
                <w:sz w:val="16"/>
              </w:rPr>
              <w:t>contribution_schedules</w:t>
            </w:r>
          </w:p>
        </w:tc>
        <w:tc>
          <w:tcPr>
            <w:tcW w:type="dxa" w:w="792"/>
            <w:tcMar>
              <w:top w:w="60" w:type="dxa"/>
              <w:start w:w="110" w:type="dxa"/>
              <w:bottom w:w="60" w:type="dxa"/>
              <w:end w:w="110" w:type="dxa"/>
            </w:tcMar>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tcPr>
          <w:p>
            <w:pPr>
              <w:spacing w:after="0"/>
            </w:pPr>
            <w:r/>
            <w:r>
              <w:rPr>
                <w:rFonts w:ascii="Calibri" w:hAnsi="Calibri"/>
                <w:b w:val="0"/>
                <w:i w:val="0"/>
                <w:color w:val="101828"/>
                <w:sz w:val="16"/>
              </w:rPr>
              <w:t>The payment plan for a round: who is expected to pay, by when, and how much.</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10</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contributions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One member's obligation for one round, and the record of whether it was met.</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11</w:t>
            </w:r>
          </w:p>
        </w:tc>
        <w:tc>
          <w:tcPr>
            <w:tcW w:type="dxa" w:w="2160"/>
            <w:tcMar>
              <w:top w:w="60" w:type="dxa"/>
              <w:start w:w="110" w:type="dxa"/>
              <w:bottom w:w="60" w:type="dxa"/>
              <w:end w:w="110" w:type="dxa"/>
            </w:tcMar>
          </w:tcPr>
          <w:p>
            <w:pPr>
              <w:spacing w:after="0"/>
            </w:pPr>
            <w:r/>
            <w:r>
              <w:rPr>
                <w:rFonts w:ascii="Consolas" w:hAnsi="Consolas"/>
                <w:color w:val="146EF5"/>
                <w:sz w:val="16"/>
              </w:rPr>
              <w:t>payments</w:t>
            </w:r>
          </w:p>
        </w:tc>
        <w:tc>
          <w:tcPr>
            <w:tcW w:type="dxa" w:w="792"/>
            <w:tcMar>
              <w:top w:w="60" w:type="dxa"/>
              <w:start w:w="110" w:type="dxa"/>
              <w:bottom w:w="60" w:type="dxa"/>
              <w:end w:w="110" w:type="dxa"/>
            </w:tcMar>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tcPr>
          <w:p>
            <w:pPr>
              <w:spacing w:after="0"/>
            </w:pPr>
            <w:r/>
            <w:r>
              <w:rPr>
                <w:rFonts w:ascii="Calibri" w:hAnsi="Calibri"/>
                <w:b w:val="0"/>
                <w:i w:val="0"/>
                <w:color w:val="101828"/>
                <w:sz w:val="16"/>
              </w:rPr>
              <w:t>One collection attempt against the payment provider, carrying the 2% fee split.</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12</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payouts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One disbursement to one position at the end of one round.</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13</w:t>
            </w:r>
          </w:p>
        </w:tc>
        <w:tc>
          <w:tcPr>
            <w:tcW w:type="dxa" w:w="2160"/>
            <w:tcMar>
              <w:top w:w="60" w:type="dxa"/>
              <w:start w:w="110" w:type="dxa"/>
              <w:bottom w:w="60" w:type="dxa"/>
              <w:end w:w="110" w:type="dxa"/>
            </w:tcMar>
          </w:tcPr>
          <w:p>
            <w:pPr>
              <w:spacing w:after="0"/>
            </w:pPr>
            <w:r/>
            <w:r>
              <w:rPr>
                <w:rFonts w:ascii="Consolas" w:hAnsi="Consolas"/>
                <w:color w:val="146EF5"/>
                <w:sz w:val="16"/>
              </w:rPr>
              <w:t>ledger_transactions</w:t>
            </w:r>
          </w:p>
        </w:tc>
        <w:tc>
          <w:tcPr>
            <w:tcW w:type="dxa" w:w="792"/>
            <w:tcMar>
              <w:top w:w="60" w:type="dxa"/>
              <w:start w:w="110" w:type="dxa"/>
              <w:bottom w:w="60" w:type="dxa"/>
              <w:end w:w="110" w:type="dxa"/>
            </w:tcMar>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tcPr>
          <w:p>
            <w:pPr>
              <w:spacing w:after="0"/>
            </w:pPr>
            <w:r/>
            <w:r>
              <w:rPr>
                <w:rFonts w:ascii="Calibri" w:hAnsi="Calibri"/>
                <w:b w:val="0"/>
                <w:i w:val="0"/>
                <w:color w:val="101828"/>
                <w:sz w:val="16"/>
              </w:rPr>
              <w:t>Header of an append-only double-entry transaction. Four mandatory kinds, see 8.3.4.</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14</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ledger_postings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The legs. Every transaction's postings sum to exactly zero.</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15</w:t>
            </w:r>
          </w:p>
        </w:tc>
        <w:tc>
          <w:tcPr>
            <w:tcW w:type="dxa" w:w="2160"/>
            <w:tcMar>
              <w:top w:w="60" w:type="dxa"/>
              <w:start w:w="110" w:type="dxa"/>
              <w:bottom w:w="60" w:type="dxa"/>
              <w:end w:w="110" w:type="dxa"/>
            </w:tcMar>
          </w:tcPr>
          <w:p>
            <w:pPr>
              <w:spacing w:after="0"/>
            </w:pPr>
            <w:r/>
            <w:r>
              <w:rPr>
                <w:rFonts w:ascii="Consolas" w:hAnsi="Consolas"/>
                <w:color w:val="146EF5"/>
                <w:sz w:val="16"/>
              </w:rPr>
              <w:t>fees</w:t>
            </w:r>
          </w:p>
        </w:tc>
        <w:tc>
          <w:tcPr>
            <w:tcW w:type="dxa" w:w="792"/>
            <w:tcMar>
              <w:top w:w="60" w:type="dxa"/>
              <w:start w:w="110" w:type="dxa"/>
              <w:bottom w:w="60" w:type="dxa"/>
              <w:end w:w="110" w:type="dxa"/>
            </w:tcMar>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tcPr>
          <w:p>
            <w:pPr>
              <w:spacing w:after="0"/>
            </w:pPr>
            <w:r/>
            <w:r>
              <w:rPr>
                <w:rFonts w:ascii="Calibri" w:hAnsi="Calibri"/>
                <w:b w:val="0"/>
                <w:i w:val="0"/>
                <w:color w:val="101828"/>
                <w:sz w:val="16"/>
              </w:rPr>
              <w:t>The platform's own record of the 2% charge, separate from the member's payment and separable for reporting.</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16</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notifications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Delivery queue and inbox for the canonical catalogue in CANONICAL.md section 8.</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17</w:t>
            </w:r>
          </w:p>
        </w:tc>
        <w:tc>
          <w:tcPr>
            <w:tcW w:type="dxa" w:w="2160"/>
            <w:tcMar>
              <w:top w:w="60" w:type="dxa"/>
              <w:start w:w="110" w:type="dxa"/>
              <w:bottom w:w="60" w:type="dxa"/>
              <w:end w:w="110" w:type="dxa"/>
            </w:tcMar>
          </w:tcPr>
          <w:p>
            <w:pPr>
              <w:spacing w:after="0"/>
            </w:pPr>
            <w:r/>
            <w:r>
              <w:rPr>
                <w:rFonts w:ascii="Consolas" w:hAnsi="Consolas"/>
                <w:color w:val="146EF5"/>
                <w:sz w:val="16"/>
              </w:rPr>
              <w:t>notification_preferences</w:t>
            </w:r>
          </w:p>
        </w:tc>
        <w:tc>
          <w:tcPr>
            <w:tcW w:type="dxa" w:w="792"/>
            <w:tcMar>
              <w:top w:w="60" w:type="dxa"/>
              <w:start w:w="110" w:type="dxa"/>
              <w:bottom w:w="60" w:type="dxa"/>
              <w:end w:w="110" w:type="dxa"/>
            </w:tcMar>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tcPr>
          <w:p>
            <w:pPr>
              <w:spacing w:after="0"/>
            </w:pPr>
            <w:r/>
            <w:r>
              <w:rPr>
                <w:rFonts w:ascii="Calibri" w:hAnsi="Calibri"/>
                <w:b w:val="0"/>
                <w:i w:val="0"/>
                <w:color w:val="101828"/>
                <w:sz w:val="16"/>
              </w:rPr>
              <w:t>Per-user channel opt-in, so that SMS really is reserved for money-critical events.</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18</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disputes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A member challenge, with its own lifecycle and evidence chain.</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19</w:t>
            </w:r>
          </w:p>
        </w:tc>
        <w:tc>
          <w:tcPr>
            <w:tcW w:type="dxa" w:w="2160"/>
            <w:tcMar>
              <w:top w:w="60" w:type="dxa"/>
              <w:start w:w="110" w:type="dxa"/>
              <w:bottom w:w="60" w:type="dxa"/>
              <w:end w:w="110" w:type="dxa"/>
            </w:tcMar>
          </w:tcPr>
          <w:p>
            <w:pPr>
              <w:spacing w:after="0"/>
            </w:pPr>
            <w:r/>
            <w:r>
              <w:rPr>
                <w:rFonts w:ascii="Consolas" w:hAnsi="Consolas"/>
                <w:color w:val="146EF5"/>
                <w:sz w:val="16"/>
              </w:rPr>
              <w:t>documents</w:t>
            </w:r>
          </w:p>
        </w:tc>
        <w:tc>
          <w:tcPr>
            <w:tcW w:type="dxa" w:w="792"/>
            <w:tcMar>
              <w:top w:w="60" w:type="dxa"/>
              <w:start w:w="110" w:type="dxa"/>
              <w:bottom w:w="60" w:type="dxa"/>
              <w:end w:w="110" w:type="dxa"/>
            </w:tcMar>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tcPr>
          <w:p>
            <w:pPr>
              <w:spacing w:after="0"/>
            </w:pPr>
            <w:r/>
            <w:r>
              <w:rPr>
                <w:rFonts w:ascii="Calibri" w:hAnsi="Calibri"/>
                <w:b w:val="0"/>
                <w:i w:val="0"/>
                <w:color w:val="101828"/>
                <w:sz w:val="16"/>
              </w:rPr>
              <w:t>Binary artefacts: identity documents, selfies, CAC certificates, dispute evidence.</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20</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risk_events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Signals and decisions from the risk function. Polymorphic by subject.</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21</w:t>
            </w:r>
          </w:p>
        </w:tc>
        <w:tc>
          <w:tcPr>
            <w:tcW w:type="dxa" w:w="2160"/>
            <w:tcMar>
              <w:top w:w="60" w:type="dxa"/>
              <w:start w:w="110" w:type="dxa"/>
              <w:bottom w:w="60" w:type="dxa"/>
              <w:end w:w="110" w:type="dxa"/>
            </w:tcMar>
          </w:tcPr>
          <w:p>
            <w:pPr>
              <w:spacing w:after="0"/>
            </w:pPr>
            <w:r/>
            <w:r>
              <w:rPr>
                <w:rFonts w:ascii="Consolas" w:hAnsi="Consolas"/>
                <w:color w:val="146EF5"/>
                <w:sz w:val="16"/>
              </w:rPr>
              <w:t>audit_logs</w:t>
            </w:r>
          </w:p>
        </w:tc>
        <w:tc>
          <w:tcPr>
            <w:tcW w:type="dxa" w:w="792"/>
            <w:tcMar>
              <w:top w:w="60" w:type="dxa"/>
              <w:start w:w="110" w:type="dxa"/>
              <w:bottom w:w="60" w:type="dxa"/>
              <w:end w:w="110" w:type="dxa"/>
            </w:tcMar>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tcPr>
          <w:p>
            <w:pPr>
              <w:spacing w:after="0"/>
            </w:pPr>
            <w:r/>
            <w:r>
              <w:rPr>
                <w:rFonts w:ascii="Calibri" w:hAnsi="Calibri"/>
                <w:b w:val="0"/>
                <w:i w:val="0"/>
                <w:color w:val="101828"/>
                <w:sz w:val="16"/>
              </w:rPr>
              <w:t>Who did what, to which row, when, from where. Append-only, and the answer to most support questions.</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22</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admins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The platform-operator flag on a </w:t>
            </w:r>
            <w:r>
              <w:rPr>
                <w:rFonts w:ascii="Consolas" w:hAnsi="Consolas"/>
                <w:color w:val="146EF5"/>
                <w:sz w:val="16"/>
              </w:rPr>
              <w:t>user</w:t>
            </w:r>
            <w:r>
              <w:rPr>
                <w:rFonts w:ascii="Calibri" w:hAnsi="Calibri"/>
                <w:b w:val="0"/>
                <w:i w:val="0"/>
                <w:color w:val="101828"/>
                <w:sz w:val="16"/>
              </w:rPr>
              <w:t>, carrying operator status and last activity.</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23</w:t>
            </w:r>
          </w:p>
        </w:tc>
        <w:tc>
          <w:tcPr>
            <w:tcW w:type="dxa" w:w="2160"/>
            <w:tcMar>
              <w:top w:w="60" w:type="dxa"/>
              <w:start w:w="110" w:type="dxa"/>
              <w:bottom w:w="60" w:type="dxa"/>
              <w:end w:w="110" w:type="dxa"/>
            </w:tcMar>
          </w:tcPr>
          <w:p>
            <w:pPr>
              <w:spacing w:after="0"/>
            </w:pPr>
            <w:r/>
            <w:r>
              <w:rPr>
                <w:rFonts w:ascii="Consolas" w:hAnsi="Consolas"/>
                <w:color w:val="146EF5"/>
                <w:sz w:val="16"/>
              </w:rPr>
              <w:t>roles</w:t>
            </w:r>
          </w:p>
        </w:tc>
        <w:tc>
          <w:tcPr>
            <w:tcW w:type="dxa" w:w="792"/>
            <w:tcMar>
              <w:top w:w="60" w:type="dxa"/>
              <w:start w:w="110" w:type="dxa"/>
              <w:bottom w:w="60" w:type="dxa"/>
              <w:end w:w="110" w:type="dxa"/>
            </w:tcMar>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tcPr>
          <w:p>
            <w:pPr>
              <w:spacing w:after="0"/>
            </w:pPr>
            <w:r/>
            <w:r>
              <w:rPr>
                <w:rFonts w:ascii="Calibri" w:hAnsi="Calibri"/>
                <w:b w:val="0"/>
                <w:i w:val="0"/>
                <w:color w:val="101828"/>
                <w:sz w:val="16"/>
              </w:rPr>
              <w:t>The six canonical roles as data, so that role assignment is a row and not a code branch.</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24</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role_assignments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Scoped grants. Resolves users-to-roles and users-to-roles-within-one-Ajo.</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25</w:t>
            </w:r>
          </w:p>
        </w:tc>
        <w:tc>
          <w:tcPr>
            <w:tcW w:type="dxa" w:w="2160"/>
            <w:tcMar>
              <w:top w:w="60" w:type="dxa"/>
              <w:start w:w="110" w:type="dxa"/>
              <w:bottom w:w="60" w:type="dxa"/>
              <w:end w:w="110" w:type="dxa"/>
            </w:tcMar>
          </w:tcPr>
          <w:p>
            <w:pPr>
              <w:spacing w:after="0"/>
            </w:pPr>
            <w:r/>
            <w:r>
              <w:rPr>
                <w:rFonts w:ascii="Consolas" w:hAnsi="Consolas"/>
                <w:color w:val="146EF5"/>
                <w:sz w:val="16"/>
              </w:rPr>
              <w:t>idempotency_keys</w:t>
            </w:r>
          </w:p>
        </w:tc>
        <w:tc>
          <w:tcPr>
            <w:tcW w:type="dxa" w:w="792"/>
            <w:tcMar>
              <w:top w:w="60" w:type="dxa"/>
              <w:start w:w="110" w:type="dxa"/>
              <w:bottom w:w="60" w:type="dxa"/>
              <w:end w:w="110" w:type="dxa"/>
            </w:tcMar>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tcPr>
          <w:p>
            <w:pPr>
              <w:spacing w:after="0"/>
            </w:pPr>
            <w:r/>
            <w:r>
              <w:rPr>
                <w:rFonts w:ascii="Calibri" w:hAnsi="Calibri"/>
                <w:b w:val="0"/>
                <w:i w:val="0"/>
                <w:color w:val="101828"/>
                <w:sz w:val="16"/>
              </w:rPr>
              <w:t>Request-hash plus stored response. The mechanism that makes a retried payment safe.</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26</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webhook_events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Inbound provider callbacks, deduplicated on the provider's own event id.</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27</w:t>
            </w:r>
          </w:p>
        </w:tc>
        <w:tc>
          <w:tcPr>
            <w:tcW w:type="dxa" w:w="2160"/>
            <w:tcMar>
              <w:top w:w="60" w:type="dxa"/>
              <w:start w:w="110" w:type="dxa"/>
              <w:bottom w:w="60" w:type="dxa"/>
              <w:end w:w="110" w:type="dxa"/>
            </w:tcMar>
          </w:tcPr>
          <w:p>
            <w:pPr>
              <w:spacing w:after="0"/>
            </w:pPr>
            <w:r/>
            <w:r>
              <w:rPr>
                <w:rFonts w:ascii="Consolas" w:hAnsi="Consolas"/>
                <w:color w:val="146EF5"/>
                <w:sz w:val="16"/>
              </w:rPr>
              <w:t>reconciliation_runs</w:t>
            </w:r>
          </w:p>
        </w:tc>
        <w:tc>
          <w:tcPr>
            <w:tcW w:type="dxa" w:w="792"/>
            <w:tcMar>
              <w:top w:w="60" w:type="dxa"/>
              <w:start w:w="110" w:type="dxa"/>
              <w:bottom w:w="60" w:type="dxa"/>
              <w:end w:w="110" w:type="dxa"/>
            </w:tcMar>
          </w:tcPr>
          <w:p>
            <w:pPr>
              <w:spacing w:after="0"/>
            </w:pPr>
            <w:r/>
            <w:r>
              <w:rPr>
                <w:rFonts w:ascii="Calibri" w:hAnsi="Calibri"/>
                <w:b w:val="0"/>
                <w:i w:val="0"/>
                <w:color w:val="101828"/>
                <w:sz w:val="16"/>
              </w:rPr>
              <w:t>*</w:t>
            </w:r>
          </w:p>
        </w:tc>
        <w:tc>
          <w:tcPr>
            <w:tcW w:type="dxa" w:w="5904"/>
            <w:tcMar>
              <w:top w:w="60" w:type="dxa"/>
              <w:start w:w="110" w:type="dxa"/>
              <w:bottom w:w="60" w:type="dxa"/>
              <w:end w:w="110" w:type="dxa"/>
            </w:tcMar>
          </w:tcPr>
          <w:p>
            <w:pPr>
              <w:spacing w:after="0"/>
            </w:pPr>
            <w:r/>
            <w:r>
              <w:rPr>
                <w:rFonts w:ascii="Calibri" w:hAnsi="Calibri"/>
                <w:b w:val="0"/>
                <w:i w:val="0"/>
                <w:color w:val="101828"/>
                <w:sz w:val="16"/>
              </w:rPr>
              <w:t>Daily and on-demand proofs that the ledger, the provider and the round expectations agree.</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28</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sessions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6"/>
              </w:rPr>
              <w:t>S</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Required by </w:t>
            </w:r>
            <w:r>
              <w:rPr>
                <w:rFonts w:ascii="Consolas" w:hAnsi="Consolas"/>
                <w:color w:val="146EF5"/>
                <w:sz w:val="16"/>
              </w:rPr>
              <w:t>GET /auth/sessions</w:t>
            </w:r>
            <w:r>
              <w:rPr>
                <w:rFonts w:ascii="Calibri" w:hAnsi="Calibri"/>
                <w:b w:val="0"/>
                <w:i w:val="0"/>
                <w:color w:val="101828"/>
                <w:sz w:val="16"/>
              </w:rPr>
              <w:t xml:space="preserve"> and </w:t>
            </w:r>
            <w:r>
              <w:rPr>
                <w:rFonts w:ascii="Consolas" w:hAnsi="Consolas"/>
                <w:color w:val="146EF5"/>
                <w:sz w:val="16"/>
              </w:rPr>
              <w:t>DELETE /auth/sessions/:id</w:t>
            </w:r>
            <w:r>
              <w:rPr>
                <w:rFonts w:ascii="Calibri" w:hAnsi="Calibri"/>
                <w:b w:val="0"/>
                <w:i w:val="0"/>
                <w:color w:val="101828"/>
                <w:sz w:val="16"/>
              </w:rPr>
              <w:t xml:space="preserve">. Device and revocation state, including the </w:t>
            </w:r>
            <w:r>
              <w:rPr>
                <w:rFonts w:ascii="Consolas" w:hAnsi="Consolas"/>
                <w:color w:val="146EF5"/>
                <w:sz w:val="16"/>
              </w:rPr>
              <w:t>security.login_new_device</w:t>
            </w:r>
            <w:r>
              <w:rPr>
                <w:rFonts w:ascii="Calibri" w:hAnsi="Calibri"/>
                <w:b w:val="0"/>
                <w:i w:val="0"/>
                <w:color w:val="101828"/>
                <w:sz w:val="16"/>
              </w:rPr>
              <w:t xml:space="preserve"> notification in CANONICAL.md section 8.</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29</w:t>
            </w:r>
          </w:p>
        </w:tc>
        <w:tc>
          <w:tcPr>
            <w:tcW w:type="dxa" w:w="2160"/>
            <w:tcMar>
              <w:top w:w="60" w:type="dxa"/>
              <w:start w:w="110" w:type="dxa"/>
              <w:bottom w:w="60" w:type="dxa"/>
              <w:end w:w="110" w:type="dxa"/>
            </w:tcMar>
          </w:tcPr>
          <w:p>
            <w:pPr>
              <w:spacing w:after="0"/>
            </w:pPr>
            <w:r/>
            <w:r>
              <w:rPr>
                <w:rFonts w:ascii="Consolas" w:hAnsi="Consolas"/>
                <w:color w:val="146EF5"/>
                <w:sz w:val="16"/>
              </w:rPr>
              <w:t>device_tokens</w:t>
            </w:r>
          </w:p>
        </w:tc>
        <w:tc>
          <w:tcPr>
            <w:tcW w:type="dxa" w:w="792"/>
            <w:tcMar>
              <w:top w:w="60" w:type="dxa"/>
              <w:start w:w="110" w:type="dxa"/>
              <w:bottom w:w="60" w:type="dxa"/>
              <w:end w:w="110" w:type="dxa"/>
            </w:tcMar>
          </w:tcPr>
          <w:p>
            <w:pPr>
              <w:spacing w:after="0"/>
            </w:pPr>
            <w:r/>
            <w:r>
              <w:rPr>
                <w:rFonts w:ascii="Calibri" w:hAnsi="Calibri"/>
                <w:b w:val="0"/>
                <w:i w:val="0"/>
                <w:color w:val="101828"/>
                <w:sz w:val="16"/>
              </w:rPr>
              <w:t>S</w:t>
            </w:r>
          </w:p>
        </w:tc>
        <w:tc>
          <w:tcPr>
            <w:tcW w:type="dxa" w:w="5904"/>
            <w:tcMar>
              <w:top w:w="60" w:type="dxa"/>
              <w:start w:w="110" w:type="dxa"/>
              <w:bottom w:w="60" w:type="dxa"/>
              <w:end w:w="110" w:type="dxa"/>
            </w:tcMar>
          </w:tcPr>
          <w:p>
            <w:pPr>
              <w:spacing w:after="0"/>
            </w:pPr>
            <w:r/>
            <w:r>
              <w:rPr>
                <w:rFonts w:ascii="Calibri" w:hAnsi="Calibri"/>
                <w:b w:val="0"/>
                <w:i w:val="0"/>
                <w:color w:val="101828"/>
                <w:sz w:val="16"/>
              </w:rPr>
              <w:t>Push delivery targets. A notification row that has nowhere to go is not a notification.</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30</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platform_settings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6"/>
              </w:rPr>
              <w:t>S</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The fee rate and other configuration. A separate table so that configuration is versioned, audited and reviewable, never a constant in code.</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31</w:t>
            </w:r>
          </w:p>
        </w:tc>
        <w:tc>
          <w:tcPr>
            <w:tcW w:type="dxa" w:w="2160"/>
            <w:tcMar>
              <w:top w:w="60" w:type="dxa"/>
              <w:start w:w="110" w:type="dxa"/>
              <w:bottom w:w="60" w:type="dxa"/>
              <w:end w:w="110" w:type="dxa"/>
            </w:tcMar>
          </w:tcPr>
          <w:p>
            <w:pPr>
              <w:spacing w:after="0"/>
            </w:pPr>
            <w:r/>
            <w:r>
              <w:rPr>
                <w:rFonts w:ascii="Consolas" w:hAnsi="Consolas"/>
                <w:color w:val="146EF5"/>
                <w:sz w:val="16"/>
              </w:rPr>
              <w:t>contribution_frequencies</w:t>
            </w:r>
          </w:p>
        </w:tc>
        <w:tc>
          <w:tcPr>
            <w:tcW w:type="dxa" w:w="792"/>
            <w:tcMar>
              <w:top w:w="60" w:type="dxa"/>
              <w:start w:w="110" w:type="dxa"/>
              <w:bottom w:w="60" w:type="dxa"/>
              <w:end w:w="110" w:type="dxa"/>
            </w:tcMar>
          </w:tcPr>
          <w:p>
            <w:pPr>
              <w:spacing w:after="0"/>
            </w:pPr>
            <w:r/>
            <w:r>
              <w:rPr>
                <w:rFonts w:ascii="Calibri" w:hAnsi="Calibri"/>
                <w:b w:val="0"/>
                <w:i w:val="0"/>
                <w:color w:val="101828"/>
                <w:sz w:val="16"/>
              </w:rPr>
              <w:t>S</w:t>
            </w:r>
          </w:p>
        </w:tc>
        <w:tc>
          <w:tcPr>
            <w:tcW w:type="dxa" w:w="5904"/>
            <w:tcMar>
              <w:top w:w="60" w:type="dxa"/>
              <w:start w:w="110" w:type="dxa"/>
              <w:bottom w:w="60" w:type="dxa"/>
              <w:end w:w="110" w:type="dxa"/>
            </w:tcMar>
          </w:tcPr>
          <w:p>
            <w:pPr>
              <w:spacing w:after="0"/>
            </w:pPr>
            <w:r/>
            <w:r>
              <w:rPr>
                <w:rFonts w:ascii="Calibri" w:hAnsi="Calibri"/>
                <w:b w:val="0"/>
                <w:i w:val="0"/>
                <w:color w:val="101828"/>
                <w:sz w:val="16"/>
              </w:rPr>
              <w:t>Frequency is business-configurable (weekly, fortnightly, monthly, custom), so it is a lookup row and not a native enum.</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32</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payment_channels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6"/>
              </w:rPr>
              <w:t>S</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Provider channel codes and limits. ProvidusUnity's capabilities are not yet known in writing, so the mapping is data.</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33</w:t>
            </w:r>
          </w:p>
        </w:tc>
        <w:tc>
          <w:tcPr>
            <w:tcW w:type="dxa" w:w="2160"/>
            <w:tcMar>
              <w:top w:w="60" w:type="dxa"/>
              <w:start w:w="110" w:type="dxa"/>
              <w:bottom w:w="60" w:type="dxa"/>
              <w:end w:w="110" w:type="dxa"/>
            </w:tcMar>
          </w:tcPr>
          <w:p>
            <w:pPr>
              <w:spacing w:after="0"/>
            </w:pPr>
            <w:r/>
            <w:r>
              <w:rPr>
                <w:rFonts w:ascii="Consolas" w:hAnsi="Consolas"/>
                <w:color w:val="146EF5"/>
                <w:sz w:val="16"/>
              </w:rPr>
              <w:t>notification_templates</w:t>
            </w:r>
          </w:p>
        </w:tc>
        <w:tc>
          <w:tcPr>
            <w:tcW w:type="dxa" w:w="792"/>
            <w:tcMar>
              <w:top w:w="60" w:type="dxa"/>
              <w:start w:w="110" w:type="dxa"/>
              <w:bottom w:w="60" w:type="dxa"/>
              <w:end w:w="110" w:type="dxa"/>
            </w:tcMar>
          </w:tcPr>
          <w:p>
            <w:pPr>
              <w:spacing w:after="0"/>
            </w:pPr>
            <w:r/>
            <w:r>
              <w:rPr>
                <w:rFonts w:ascii="Calibri" w:hAnsi="Calibri"/>
                <w:b w:val="0"/>
                <w:i w:val="0"/>
                <w:color w:val="101828"/>
                <w:sz w:val="16"/>
              </w:rPr>
              <w:t>S</w:t>
            </w:r>
          </w:p>
        </w:tc>
        <w:tc>
          <w:tcPr>
            <w:tcW w:type="dxa" w:w="5904"/>
            <w:tcMar>
              <w:top w:w="60" w:type="dxa"/>
              <w:start w:w="110" w:type="dxa"/>
              <w:bottom w:w="60" w:type="dxa"/>
              <w:end w:w="110" w:type="dxa"/>
            </w:tcMar>
          </w:tcPr>
          <w:p>
            <w:pPr>
              <w:spacing w:after="0"/>
            </w:pPr>
            <w:r/>
            <w:r>
              <w:rPr>
                <w:rFonts w:ascii="Calibri" w:hAnsi="Calibri"/>
                <w:b w:val="0"/>
                <w:i w:val="0"/>
                <w:color w:val="101828"/>
                <w:sz w:val="16"/>
              </w:rPr>
              <w:t>The catalogue in CANONICAL.md section 8 as data, so that copy can be corrected without a deployment and so that the money-critical channel rule is enforceable.</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34</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dispute_messages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6"/>
              </w:rPr>
              <w:t>S</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Required by </w:t>
            </w:r>
            <w:r>
              <w:rPr>
                <w:rFonts w:ascii="Consolas" w:hAnsi="Consolas"/>
                <w:color w:val="146EF5"/>
                <w:sz w:val="16"/>
              </w:rPr>
              <w:t>POST /disputes/:id/messages</w:t>
            </w:r>
            <w:r>
              <w:rPr>
                <w:rFonts w:ascii="Calibri" w:hAnsi="Calibri"/>
                <w:b w:val="0"/>
                <w:i w:val="0"/>
                <w:color w:val="101828"/>
                <w:sz w:val="16"/>
              </w:rPr>
              <w:t>. A dispute without a conversation is a ticket, not a resolution.</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35</w:t>
            </w:r>
          </w:p>
        </w:tc>
        <w:tc>
          <w:tcPr>
            <w:tcW w:type="dxa" w:w="2160"/>
            <w:tcMar>
              <w:top w:w="60" w:type="dxa"/>
              <w:start w:w="110" w:type="dxa"/>
              <w:bottom w:w="60" w:type="dxa"/>
              <w:end w:w="110" w:type="dxa"/>
            </w:tcMar>
          </w:tcPr>
          <w:p>
            <w:pPr>
              <w:spacing w:after="0"/>
            </w:pPr>
            <w:r/>
            <w:r>
              <w:rPr>
                <w:rFonts w:ascii="Consolas" w:hAnsi="Consolas"/>
                <w:color w:val="146EF5"/>
                <w:sz w:val="16"/>
              </w:rPr>
              <w:t>dispute_evidence</w:t>
            </w:r>
          </w:p>
        </w:tc>
        <w:tc>
          <w:tcPr>
            <w:tcW w:type="dxa" w:w="792"/>
            <w:tcMar>
              <w:top w:w="60" w:type="dxa"/>
              <w:start w:w="110" w:type="dxa"/>
              <w:bottom w:w="60" w:type="dxa"/>
              <w:end w:w="110" w:type="dxa"/>
            </w:tcMar>
          </w:tcPr>
          <w:p>
            <w:pPr>
              <w:spacing w:after="0"/>
            </w:pPr>
            <w:r/>
            <w:r>
              <w:rPr>
                <w:rFonts w:ascii="Calibri" w:hAnsi="Calibri"/>
                <w:b w:val="0"/>
                <w:i w:val="0"/>
                <w:color w:val="101828"/>
                <w:sz w:val="16"/>
              </w:rPr>
              <w:t>S</w:t>
            </w:r>
          </w:p>
        </w:tc>
        <w:tc>
          <w:tcPr>
            <w:tcW w:type="dxa" w:w="5904"/>
            <w:tcMar>
              <w:top w:w="60" w:type="dxa"/>
              <w:start w:w="110" w:type="dxa"/>
              <w:bottom w:w="60" w:type="dxa"/>
              <w:end w:w="110" w:type="dxa"/>
            </w:tcMar>
          </w:tcPr>
          <w:p>
            <w:pPr>
              <w:spacing w:after="0"/>
            </w:pPr>
            <w:r/>
            <w:r>
              <w:rPr>
                <w:rFonts w:ascii="Calibri" w:hAnsi="Calibri"/>
                <w:b w:val="0"/>
                <w:i w:val="0"/>
                <w:color w:val="101828"/>
                <w:sz w:val="16"/>
              </w:rPr>
              <w:t xml:space="preserve">Required by </w:t>
            </w:r>
            <w:r>
              <w:rPr>
                <w:rFonts w:ascii="Consolas" w:hAnsi="Consolas"/>
                <w:color w:val="146EF5"/>
                <w:sz w:val="16"/>
              </w:rPr>
              <w:t>POST /disputes/:id/evidence</w:t>
            </w:r>
            <w:r>
              <w:rPr>
                <w:rFonts w:ascii="Calibri" w:hAnsi="Calibri"/>
                <w:b w:val="0"/>
                <w:i w:val="0"/>
                <w:color w:val="101828"/>
                <w:sz w:val="16"/>
              </w:rPr>
              <w:t xml:space="preserve">. Kept separate from </w:t>
            </w:r>
            <w:r>
              <w:rPr>
                <w:rFonts w:ascii="Consolas" w:hAnsi="Consolas"/>
                <w:color w:val="146EF5"/>
                <w:sz w:val="16"/>
              </w:rPr>
              <w:t>documents</w:t>
            </w:r>
            <w:r>
              <w:rPr>
                <w:rFonts w:ascii="Calibri" w:hAnsi="Calibri"/>
                <w:b w:val="0"/>
                <w:i w:val="0"/>
                <w:color w:val="101828"/>
                <w:sz w:val="16"/>
              </w:rPr>
              <w:t xml:space="preserve"> so that dispute evidence has its own retention and disclosure rules.</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36</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support_tickets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6"/>
              </w:rPr>
              <w:t>S</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The Support screen in CANONICAL.md section 7. Separate from </w:t>
            </w:r>
            <w:r>
              <w:rPr>
                <w:rFonts w:ascii="Consolas" w:hAnsi="Consolas"/>
                <w:color w:val="146EF5"/>
                <w:sz w:val="16"/>
              </w:rPr>
              <w:t>disputes</w:t>
            </w:r>
            <w:r>
              <w:rPr>
                <w:rFonts w:ascii="Calibri" w:hAnsi="Calibri"/>
                <w:b w:val="0"/>
                <w:i w:val="0"/>
                <w:color w:val="101828"/>
                <w:sz w:val="16"/>
              </w:rPr>
              <w:t xml:space="preserve"> because support must not be able to move money (CANONICAL.md section 2).</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37</w:t>
            </w:r>
          </w:p>
        </w:tc>
        <w:tc>
          <w:tcPr>
            <w:tcW w:type="dxa" w:w="2160"/>
            <w:tcMar>
              <w:top w:w="60" w:type="dxa"/>
              <w:start w:w="110" w:type="dxa"/>
              <w:bottom w:w="60" w:type="dxa"/>
              <w:end w:w="110" w:type="dxa"/>
            </w:tcMar>
          </w:tcPr>
          <w:p>
            <w:pPr>
              <w:spacing w:after="0"/>
            </w:pPr>
            <w:r/>
            <w:r>
              <w:rPr>
                <w:rFonts w:ascii="Consolas" w:hAnsi="Consolas"/>
                <w:color w:val="146EF5"/>
                <w:sz w:val="16"/>
              </w:rPr>
              <w:t>outbox_events</w:t>
            </w:r>
          </w:p>
        </w:tc>
        <w:tc>
          <w:tcPr>
            <w:tcW w:type="dxa" w:w="792"/>
            <w:tcMar>
              <w:top w:w="60" w:type="dxa"/>
              <w:start w:w="110" w:type="dxa"/>
              <w:bottom w:w="60" w:type="dxa"/>
              <w:end w:w="110" w:type="dxa"/>
            </w:tcMar>
          </w:tcPr>
          <w:p>
            <w:pPr>
              <w:spacing w:after="0"/>
            </w:pPr>
            <w:r/>
            <w:r>
              <w:rPr>
                <w:rFonts w:ascii="Calibri" w:hAnsi="Calibri"/>
                <w:b w:val="0"/>
                <w:i w:val="0"/>
                <w:color w:val="101828"/>
                <w:sz w:val="16"/>
              </w:rPr>
              <w:t>S</w:t>
            </w:r>
          </w:p>
        </w:tc>
        <w:tc>
          <w:tcPr>
            <w:tcW w:type="dxa" w:w="5904"/>
            <w:tcMar>
              <w:top w:w="60" w:type="dxa"/>
              <w:start w:w="110" w:type="dxa"/>
              <w:bottom w:w="60" w:type="dxa"/>
              <w:end w:w="110" w:type="dxa"/>
            </w:tcMar>
          </w:tcPr>
          <w:p>
            <w:pPr>
              <w:spacing w:after="0"/>
            </w:pPr>
            <w:r/>
            <w:r>
              <w:rPr>
                <w:rFonts w:ascii="Calibri" w:hAnsi="Calibri"/>
                <w:b w:val="0"/>
                <w:i w:val="0"/>
                <w:color w:val="101828"/>
                <w:sz w:val="16"/>
              </w:rPr>
              <w:t>Writes the ledger and the notification in one transaction and publishes after commit, so a payment that posts money cannot fail to send the receipt.</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38</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document_types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6"/>
              </w:rPr>
              <w:t>S</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The document vocabulary as data. A </w:t>
            </w:r>
            <w:r>
              <w:rPr>
                <w:rFonts w:ascii="Consolas" w:hAnsi="Consolas"/>
                <w:color w:val="146EF5"/>
                <w:sz w:val="16"/>
              </w:rPr>
              <w:t>doc_type_id</w:t>
            </w:r>
            <w:r>
              <w:rPr>
                <w:rFonts w:ascii="Calibri" w:hAnsi="Calibri"/>
                <w:b w:val="0"/>
                <w:i w:val="0"/>
                <w:color w:val="101828"/>
                <w:sz w:val="16"/>
              </w:rPr>
              <w:t xml:space="preserve"> foreign key is enumerable by support and addable by migration; a free-text column is neither, and the 9.3 DDL adds it for that reason.</w:t>
            </w:r>
          </w:p>
        </w:tc>
      </w:tr>
      <w:tr>
        <w:trPr>
          <w:cantSplit/>
        </w:trPr>
        <w:tc>
          <w:tcPr>
            <w:tcW w:type="dxa" w:w="504"/>
            <w:tcMar>
              <w:top w:w="60" w:type="dxa"/>
              <w:start w:w="110" w:type="dxa"/>
              <w:bottom w:w="60" w:type="dxa"/>
              <w:end w:w="110" w:type="dxa"/>
            </w:tcMar>
          </w:tcPr>
          <w:p>
            <w:pPr>
              <w:spacing w:after="0"/>
            </w:pPr>
            <w:r/>
            <w:r>
              <w:rPr>
                <w:rFonts w:ascii="Calibri" w:hAnsi="Calibri"/>
                <w:b w:val="0"/>
                <w:i w:val="0"/>
                <w:color w:val="101828"/>
                <w:sz w:val="16"/>
              </w:rPr>
              <w:t>39</w:t>
            </w:r>
          </w:p>
        </w:tc>
        <w:tc>
          <w:tcPr>
            <w:tcW w:type="dxa" w:w="2160"/>
            <w:tcMar>
              <w:top w:w="60" w:type="dxa"/>
              <w:start w:w="110" w:type="dxa"/>
              <w:bottom w:w="60" w:type="dxa"/>
              <w:end w:w="110" w:type="dxa"/>
            </w:tcMar>
          </w:tcPr>
          <w:p>
            <w:pPr>
              <w:spacing w:after="0"/>
            </w:pPr>
            <w:r/>
            <w:r>
              <w:rPr>
                <w:rFonts w:ascii="Consolas" w:hAnsi="Consolas"/>
                <w:color w:val="146EF5"/>
                <w:sz w:val="16"/>
              </w:rPr>
              <w:t>verification_check_types</w:t>
            </w:r>
          </w:p>
        </w:tc>
        <w:tc>
          <w:tcPr>
            <w:tcW w:type="dxa" w:w="792"/>
            <w:tcMar>
              <w:top w:w="60" w:type="dxa"/>
              <w:start w:w="110" w:type="dxa"/>
              <w:bottom w:w="60" w:type="dxa"/>
              <w:end w:w="110" w:type="dxa"/>
            </w:tcMar>
          </w:tcPr>
          <w:p>
            <w:pPr>
              <w:spacing w:after="0"/>
            </w:pPr>
            <w:r/>
            <w:r>
              <w:rPr>
                <w:rFonts w:ascii="Calibri" w:hAnsi="Calibri"/>
                <w:b w:val="0"/>
                <w:i w:val="0"/>
                <w:color w:val="101828"/>
                <w:sz w:val="16"/>
              </w:rPr>
              <w:t>S</w:t>
            </w:r>
          </w:p>
        </w:tc>
        <w:tc>
          <w:tcPr>
            <w:tcW w:type="dxa" w:w="5904"/>
            <w:tcMar>
              <w:top w:w="60" w:type="dxa"/>
              <w:start w:w="110" w:type="dxa"/>
              <w:bottom w:w="60" w:type="dxa"/>
              <w:end w:w="110" w:type="dxa"/>
            </w:tcMar>
          </w:tcPr>
          <w:p>
            <w:pPr>
              <w:spacing w:after="0"/>
            </w:pPr>
            <w:r/>
            <w:r>
              <w:rPr>
                <w:rFonts w:ascii="Calibri" w:hAnsi="Calibri"/>
                <w:b w:val="0"/>
                <w:i w:val="0"/>
                <w:color w:val="101828"/>
                <w:sz w:val="16"/>
              </w:rPr>
              <w:t xml:space="preserve">Which kinds of check exist, which are mandatory before activation, and which document each one requires. Keeps </w:t>
            </w:r>
            <w:r>
              <w:rPr>
                <w:rFonts w:ascii="Consolas" w:hAnsi="Consolas"/>
                <w:color w:val="146EF5"/>
                <w:sz w:val="16"/>
              </w:rPr>
              <w:t>verification_checks</w:t>
            </w:r>
            <w:r>
              <w:rPr>
                <w:rFonts w:ascii="Calibri" w:hAnsi="Calibri"/>
                <w:b w:val="0"/>
                <w:i w:val="0"/>
                <w:color w:val="101828"/>
                <w:sz w:val="16"/>
              </w:rPr>
              <w:t xml:space="preserve"> a record of outcomes rather than a catalogue.</w:t>
            </w:r>
          </w:p>
        </w:tc>
      </w:tr>
      <w:tr>
        <w:trPr>
          <w:cantSplit/>
        </w:trPr>
        <w:tc>
          <w:tcPr>
            <w:tcW w:type="dxa" w:w="504"/>
            <w:tcMar>
              <w:top w:w="60" w:type="dxa"/>
              <w:start w:w="110" w:type="dxa"/>
              <w:bottom w:w="60" w:type="dxa"/>
              <w:end w:w="110" w:type="dxa"/>
            </w:tcMar>
            <w:shd w:val="clear" w:color="auto" w:fill="F4F7FB"/>
          </w:tcPr>
          <w:p>
            <w:pPr>
              <w:spacing w:after="0"/>
            </w:pPr>
            <w:r/>
            <w:r>
              <w:rPr>
                <w:rFonts w:ascii="Calibri" w:hAnsi="Calibri"/>
                <w:b w:val="0"/>
                <w:i w:val="0"/>
                <w:color w:val="101828"/>
                <w:sz w:val="16"/>
              </w:rPr>
              <w:t>40</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dispute_reasons</w:t>
            </w:r>
          </w:p>
        </w:tc>
        <w:tc>
          <w:tcPr>
            <w:tcW w:type="dxa" w:w="792"/>
            <w:tcMar>
              <w:top w:w="60" w:type="dxa"/>
              <w:start w:w="110" w:type="dxa"/>
              <w:bottom w:w="60" w:type="dxa"/>
              <w:end w:w="110" w:type="dxa"/>
            </w:tcMar>
            <w:shd w:val="clear" w:color="auto" w:fill="F4F7FB"/>
          </w:tcPr>
          <w:p>
            <w:pPr>
              <w:spacing w:after="0"/>
            </w:pPr>
            <w:r/>
            <w:r>
              <w:rPr>
                <w:rFonts w:ascii="Calibri" w:hAnsi="Calibri"/>
                <w:b w:val="0"/>
                <w:i w:val="0"/>
                <w:color w:val="101828"/>
                <w:sz w:val="16"/>
              </w:rPr>
              <w:t>S</w:t>
            </w:r>
          </w:p>
        </w:tc>
        <w:tc>
          <w:tcPr>
            <w:tcW w:type="dxa" w:w="5904"/>
            <w:tcMar>
              <w:top w:w="60" w:type="dxa"/>
              <w:start w:w="110" w:type="dxa"/>
              <w:bottom w:w="60" w:type="dxa"/>
              <w:end w:w="110" w:type="dxa"/>
            </w:tcMar>
            <w:shd w:val="clear" w:color="auto" w:fill="F4F7FB"/>
          </w:tcPr>
          <w:p>
            <w:pPr>
              <w:spacing w:after="0"/>
            </w:pPr>
            <w:r/>
            <w:r>
              <w:rPr>
                <w:rFonts w:ascii="Calibri" w:hAnsi="Calibri"/>
                <w:b w:val="0"/>
                <w:i w:val="0"/>
                <w:color w:val="101828"/>
                <w:sz w:val="16"/>
              </w:rPr>
              <w:t>The reason vocabulary. Five columns and no trigger, because a free-text dispute reason produces a report nobody can group by.</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Twenty-seven plus thirteen  </w:t>
      </w:r>
      <w:r>
        <w:rPr>
          <w:rFonts w:ascii="Calibri" w:hAnsi="Calibri"/>
          <w:b w:val="0"/>
          <w:i w:val="0"/>
          <w:color w:val="0B1F3A"/>
          <w:sz w:val="19"/>
        </w:rPr>
        <w:t xml:space="preserve">The twenty-seven marked </w:t>
      </w:r>
      <w:r>
        <w:rPr>
          <w:rFonts w:ascii="Consolas" w:hAnsi="Consolas"/>
          <w:color w:val="146EF5"/>
          <w:sz w:val="19"/>
        </w:rPr>
        <w:t>*</w:t>
      </w:r>
      <w:r>
        <w:rPr>
          <w:rFonts w:ascii="Calibri" w:hAnsi="Calibri"/>
          <w:b w:val="0"/>
          <w:i w:val="0"/>
          <w:color w:val="0B1F3A"/>
          <w:sz w:val="19"/>
        </w:rPr>
        <w:t xml:space="preserve"> are the entities CANONICAL.md section 5 commits to and they are not negotiable in name or in count. The thirteen marked </w:t>
      </w:r>
      <w:r>
        <w:rPr>
          <w:rFonts w:ascii="Consolas" w:hAnsi="Consolas"/>
          <w:color w:val="146EF5"/>
          <w:sz w:val="19"/>
        </w:rPr>
        <w:t>S</w:t>
      </w:r>
      <w:r>
        <w:rPr>
          <w:rFonts w:ascii="Calibri" w:hAnsi="Calibri"/>
          <w:b w:val="0"/>
          <w:i w:val="0"/>
          <w:color w:val="0B1F3A"/>
          <w:sz w:val="19"/>
        </w:rPr>
        <w:t xml:space="preserve"> are the minimum set needed to satisfy CANONICAL.md sections 2, 4, 6 and 8 without overloading an existing table. A reviewer who believes a supporting table is unnecessary should be able to point at the endpoint or the rule it serves; if they can, the table stays. The last three were added late, and the reason is worth recording because it is the same argument three times: a column that holds one of a small fixed set of values is a table, because a table can be enumerated, extended by migration and constrained, and a text column can be misspelled.</w:t>
      </w:r>
    </w:p>
    <w:p>
      <w:pPr>
        <w:pStyle w:val="Heading3"/>
      </w:pPr>
      <w:r>
        <w:rPr>
          <w:rFonts w:ascii="Calibri" w:hAnsi="Calibri"/>
          <w:b/>
          <w:i w:val="0"/>
          <w:color w:val="0B1F3A"/>
          <w:sz w:val="24"/>
        </w:rPr>
        <w:t>8.1.3 What this section does not model</w:t>
      </w:r>
    </w:p>
    <w:p>
      <w:pPr>
        <w:pStyle w:val="ListBullet"/>
        <w:spacing w:after="60"/>
        <w:ind w:left="360"/>
      </w:pPr>
      <w:r>
        <w:rPr>
          <w:rFonts w:ascii="Calibri" w:hAnsi="Calibri"/>
          <w:b/>
          <w:color w:val="101828"/>
          <w:sz w:val="21"/>
        </w:rPr>
        <w:t>The payment provider's own ledger.</w:t>
      </w:r>
      <w:r>
        <w:rPr>
          <w:rFonts w:ascii="Calibri" w:hAnsi="Calibri"/>
          <w:b w:val="0"/>
          <w:i w:val="0"/>
          <w:color w:val="101828"/>
          <w:sz w:val="21"/>
        </w:rPr>
        <w:t xml:space="preserve"> ProvidusUnity holds and moves the money under a commercial and regulatory arrangement that is still an open decision (CANONICAL.md D-02). AJO.ng's </w:t>
      </w:r>
      <w:r>
        <w:rPr>
          <w:rFonts w:ascii="Consolas" w:hAnsi="Consolas"/>
          <w:color w:val="146EF5"/>
          <w:sz w:val="21"/>
        </w:rPr>
        <w:t>payments</w:t>
      </w:r>
      <w:r>
        <w:rPr>
          <w:rFonts w:ascii="Calibri" w:hAnsi="Calibri"/>
          <w:b w:val="0"/>
          <w:i w:val="0"/>
          <w:color w:val="101828"/>
          <w:sz w:val="21"/>
        </w:rPr>
        <w:t xml:space="preserve"> and </w:t>
      </w:r>
      <w:r>
        <w:rPr>
          <w:rFonts w:ascii="Consolas" w:hAnsi="Consolas"/>
          <w:color w:val="146EF5"/>
          <w:sz w:val="21"/>
        </w:rPr>
        <w:t>payouts</w:t>
      </w:r>
      <w:r>
        <w:rPr>
          <w:rFonts w:ascii="Calibri" w:hAnsi="Calibri"/>
          <w:b w:val="0"/>
          <w:i w:val="0"/>
          <w:color w:val="101828"/>
          <w:sz w:val="21"/>
        </w:rPr>
        <w:t xml:space="preserve"> tables record what we were told and what we sent; they are reconciled against the provider, not derived from it. The reconciliation proof is </w:t>
      </w:r>
      <w:r>
        <w:rPr>
          <w:rFonts w:ascii="Consolas" w:hAnsi="Consolas"/>
          <w:color w:val="146EF5"/>
          <w:sz w:val="21"/>
        </w:rPr>
        <w:t>reconciliation_runs</w:t>
      </w:r>
      <w:r>
        <w:rPr>
          <w:rFonts w:ascii="Calibri" w:hAnsi="Calibri"/>
          <w:b w:val="0"/>
          <w:i w:val="0"/>
          <w:color w:val="101828"/>
          <w:sz w:val="21"/>
        </w:rPr>
        <w:t>.</w:t>
      </w:r>
    </w:p>
    <w:p>
      <w:pPr>
        <w:pStyle w:val="ListBullet"/>
        <w:spacing w:after="60"/>
        <w:ind w:left="360"/>
      </w:pPr>
      <w:r>
        <w:rPr>
          <w:rFonts w:ascii="Calibri" w:hAnsi="Calibri"/>
          <w:b/>
          <w:color w:val="101828"/>
          <w:sz w:val="21"/>
        </w:rPr>
        <w:t>Authentication credentials.</w:t>
      </w:r>
      <w:r>
        <w:rPr>
          <w:rFonts w:ascii="Calibri" w:hAnsi="Calibri"/>
          <w:b w:val="0"/>
          <w:i w:val="0"/>
          <w:color w:val="101828"/>
          <w:sz w:val="21"/>
        </w:rPr>
        <w:t xml:space="preserve"> Supabase Auth owns passwords, MFA enrolment and tokens. </w:t>
      </w:r>
      <w:r>
        <w:rPr>
          <w:rFonts w:ascii="Consolas" w:hAnsi="Consolas"/>
          <w:color w:val="146EF5"/>
          <w:sz w:val="21"/>
        </w:rPr>
        <w:t>users.auth_subject_id</w:t>
      </w:r>
      <w:r>
        <w:rPr>
          <w:rFonts w:ascii="Calibri" w:hAnsi="Calibri"/>
          <w:b w:val="0"/>
          <w:i w:val="0"/>
          <w:color w:val="101828"/>
          <w:sz w:val="21"/>
        </w:rPr>
        <w:t xml:space="preserve"> records the link. This is a documented one-to-one with a table AJO.ng does not own, treated in 8.4.</w:t>
      </w:r>
    </w:p>
    <w:p>
      <w:pPr>
        <w:pStyle w:val="ListBullet"/>
        <w:spacing w:after="60"/>
        <w:ind w:left="360"/>
      </w:pPr>
      <w:r>
        <w:rPr>
          <w:rFonts w:ascii="Calibri" w:hAnsi="Calibri"/>
          <w:b/>
          <w:color w:val="101828"/>
          <w:sz w:val="21"/>
        </w:rPr>
        <w:t>Files.</w:t>
      </w:r>
      <w:r>
        <w:rPr>
          <w:rFonts w:ascii="Calibri" w:hAnsi="Calibri"/>
          <w:b w:val="0"/>
          <w:i w:val="0"/>
          <w:color w:val="101828"/>
          <w:sz w:val="21"/>
        </w:rPr>
        <w:t xml:space="preserve"> </w:t>
      </w:r>
      <w:r>
        <w:rPr>
          <w:rFonts w:ascii="Consolas" w:hAnsi="Consolas"/>
          <w:color w:val="146EF5"/>
          <w:sz w:val="21"/>
        </w:rPr>
        <w:t>documents</w:t>
      </w:r>
      <w:r>
        <w:rPr>
          <w:rFonts w:ascii="Calibri" w:hAnsi="Calibri"/>
          <w:b w:val="0"/>
          <w:i w:val="0"/>
          <w:color w:val="101828"/>
          <w:sz w:val="21"/>
        </w:rPr>
        <w:t xml:space="preserve"> stores a path, a hash, a size and a MIME type. The bytes live in object storage. A row is retained when the object is gone, because the record that a document existed is itself the audit evidence.</w:t>
      </w:r>
    </w:p>
    <w:p>
      <w:pPr>
        <w:pStyle w:val="ListBullet"/>
        <w:spacing w:after="60"/>
        <w:ind w:left="360"/>
      </w:pPr>
      <w:r>
        <w:rPr>
          <w:rFonts w:ascii="Calibri" w:hAnsi="Calibri"/>
          <w:b/>
          <w:color w:val="101828"/>
          <w:sz w:val="21"/>
        </w:rPr>
        <w:t>Time.</w:t>
      </w:r>
      <w:r>
        <w:rPr>
          <w:rFonts w:ascii="Calibri" w:hAnsi="Calibri"/>
          <w:b w:val="0"/>
          <w:i w:val="0"/>
          <w:color w:val="101828"/>
          <w:sz w:val="21"/>
        </w:rPr>
        <w:t xml:space="preserve"> There is no </w:t>
      </w:r>
      <w:r>
        <w:rPr>
          <w:rFonts w:ascii="Consolas" w:hAnsi="Consolas"/>
          <w:color w:val="146EF5"/>
          <w:sz w:val="21"/>
        </w:rPr>
        <w:t>time</w:t>
      </w:r>
      <w:r>
        <w:rPr>
          <w:rFonts w:ascii="Calibri" w:hAnsi="Calibri"/>
          <w:b w:val="0"/>
          <w:i w:val="0"/>
          <w:color w:val="101828"/>
          <w:sz w:val="21"/>
        </w:rPr>
        <w:t xml:space="preserve"> entity. Time is a column, always </w:t>
      </w:r>
      <w:r>
        <w:rPr>
          <w:rFonts w:ascii="Consolas" w:hAnsi="Consolas"/>
          <w:color w:val="146EF5"/>
          <w:sz w:val="21"/>
        </w:rPr>
        <w:t>timestamptz</w:t>
      </w:r>
      <w:r>
        <w:rPr>
          <w:rFonts w:ascii="Calibri" w:hAnsi="Calibri"/>
          <w:b w:val="0"/>
          <w:i w:val="0"/>
          <w:color w:val="101828"/>
          <w:sz w:val="21"/>
        </w:rPr>
        <w:t>, always UTC, and rendered in the member's local zone at the edge (CANONICAL.md section 9.1 conventions, section 9.6 in this document's companion).</w:t>
      </w:r>
    </w:p>
    <w:p>
      <w:pPr>
        <w:pStyle w:val="ListBullet"/>
        <w:spacing w:after="60"/>
        <w:ind w:left="360"/>
      </w:pPr>
      <w:r>
        <w:rPr>
          <w:rFonts w:ascii="Calibri" w:hAnsi="Calibri"/>
          <w:b/>
          <w:color w:val="101828"/>
          <w:sz w:val="21"/>
        </w:rPr>
        <w:t>Search indexes and read models.</w:t>
      </w:r>
      <w:r>
        <w:rPr>
          <w:rFonts w:ascii="Calibri" w:hAnsi="Calibri"/>
          <w:b w:val="0"/>
          <w:i w:val="0"/>
          <w:color w:val="101828"/>
          <w:sz w:val="21"/>
        </w:rPr>
        <w:t xml:space="preserve"> The dashboard in CANONICAL.md section 7 is served by indexed queries over these tables in v1. A materialised read model is a performance decision for a specific measured problem, not something to model before the problem exists.</w:t>
      </w:r>
    </w:p>
    <w:p>
      <w:r>
        <w:br w:type="page"/>
      </w:r>
    </w:p>
    <w:p>
      <w:pPr>
        <w:pStyle w:val="Heading2"/>
      </w:pPr>
      <w:r>
        <w:rPr>
          <w:rFonts w:ascii="Calibri" w:hAnsi="Calibri"/>
          <w:b/>
          <w:i w:val="0"/>
          <w:color w:val="146EF5"/>
          <w:sz w:val="29"/>
        </w:rPr>
        <w:t>8.2 Full text-based ERD</w:t>
      </w:r>
    </w:p>
    <w:p>
      <w:r>
        <w:rPr>
          <w:rFonts w:ascii="Calibri" w:hAnsi="Calibri"/>
          <w:b w:val="0"/>
          <w:i w:val="0"/>
          <w:color w:val="101828"/>
          <w:sz w:val="21"/>
        </w:rPr>
        <w:t>The complete diagram. All forty entities appear exactly once as a primary box. Relationships are grouped into six bands matching the domains in 8.3, and cross-band relationships are listed in the final block so that no edge is hidden by the banding. Every line is under 78 characters so the diagram survives A4 without horizontal scaling.</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AJO.ng  -  ENTITY RELATIONSHIP DIAGRAM</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CANONICAL.md section 5     S = supporting table (see 8.1.2)</w:t>
      </w:r>
    </w:p>
    <w:p>
      <w:pPr>
        <w:spacing w:before="0" w:after="0" w:line="240" w:lineRule="auto"/>
        <w:ind w:left="230"/>
        <w:shd w:val="clear" w:color="auto" w:fill="F7F9FC"/>
        <w:pBdr>
          <w:left w:val="single" w:sz="4" w:space="6" w:color="D0D5DD"/>
        </w:pBdr>
      </w:pPr>
      <w:r>
        <w:rPr>
          <w:rFonts w:ascii="Consolas" w:hAnsi="Consolas"/>
          <w:color w:val="0B1F3A"/>
          <w:sz w:val="16"/>
        </w:rPr>
        <w:t xml:space="preserve"> || exactly one   |{ one or more   o{ zero or more   o| zero or one</w:t>
      </w:r>
    </w:p>
    <w:p>
      <w:pPr>
        <w:spacing w:before="0" w:after="0" w:line="240" w:lineRule="auto"/>
        <w:ind w:left="230"/>
        <w:shd w:val="clear" w:color="auto" w:fill="F7F9FC"/>
        <w:pBdr>
          <w:left w:val="single" w:sz="4" w:space="6" w:color="D0D5DD"/>
        </w:pBdr>
      </w:pPr>
      <w:r>
        <w:rPr>
          <w:rFonts w:ascii="Consolas" w:hAnsi="Consolas"/>
          <w:color w:val="0B1F3A"/>
          <w:sz w:val="16"/>
        </w:rPr>
        <w:t xml:space="preserve">   }o-  many-to-many, resolved by the table named between the braces</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BAND 1   IDENTITY &amp; ACCESS  (8.3.1) --------------------------------------</w:t>
      </w:r>
    </w:p>
    <w:p>
      <w:pPr>
        <w:spacing w:before="0" w:after="0" w:line="240" w:lineRule="auto"/>
        <w:ind w:left="230"/>
        <w:shd w:val="clear" w:color="auto" w:fill="F7F9FC"/>
        <w:pBdr>
          <w:left w:val="single" w:sz="4" w:space="6" w:color="D0D5DD"/>
        </w:pBdr>
      </w:pPr>
      <w:r>
        <w:rPr>
          <w:rFonts w:ascii="Consolas" w:hAnsi="Consolas"/>
          <w:color w:val="0B1F3A"/>
          <w:sz w:val="16"/>
        </w:rPr>
        <w:t xml:space="preserve">   roles ||--o{ role_assignments }o--|| users        (scope = platform)</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 profiles</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 admins</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||--o{ sessions</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||--o{ device_tokens</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||--o{ verification_checks</w:t>
      </w:r>
    </w:p>
    <w:p>
      <w:pPr>
        <w:spacing w:before="0" w:after="0" w:line="240" w:lineRule="auto"/>
        <w:ind w:left="230"/>
        <w:shd w:val="clear" w:color="auto" w:fill="F7F9FC"/>
        <w:pBdr>
          <w:left w:val="single" w:sz="4" w:space="6" w:color="D0D5DD"/>
        </w:pBdr>
      </w:pPr>
      <w:r>
        <w:rPr>
          <w:rFonts w:ascii="Consolas" w:hAnsi="Consolas"/>
          <w:color w:val="0B1F3A"/>
          <w:sz w:val="16"/>
        </w:rPr>
        <w:t xml:space="preserve">   verification_check_types ||--o{ verification_checks</w:t>
      </w:r>
    </w:p>
    <w:p>
      <w:pPr>
        <w:spacing w:before="0" w:after="0" w:line="240" w:lineRule="auto"/>
        <w:ind w:left="230"/>
        <w:shd w:val="clear" w:color="auto" w:fill="F7F9FC"/>
        <w:pBdr>
          <w:left w:val="single" w:sz="4" w:space="6" w:color="D0D5DD"/>
        </w:pBdr>
      </w:pPr>
      <w:r>
        <w:rPr>
          <w:rFonts w:ascii="Consolas" w:hAnsi="Consolas"/>
          <w:color w:val="0B1F3A"/>
          <w:sz w:val="16"/>
        </w:rPr>
        <w:t xml:space="preserve">   document_types ||--o{ documents</w:t>
      </w:r>
    </w:p>
    <w:p>
      <w:pPr>
        <w:spacing w:before="0" w:after="0" w:line="240" w:lineRule="auto"/>
        <w:ind w:left="230"/>
        <w:shd w:val="clear" w:color="auto" w:fill="F7F9FC"/>
        <w:pBdr>
          <w:left w:val="single" w:sz="4" w:space="6" w:color="D0D5DD"/>
        </w:pBdr>
      </w:pPr>
      <w:r>
        <w:rPr>
          <w:rFonts w:ascii="Consolas" w:hAnsi="Consolas"/>
          <w:color w:val="0B1F3A"/>
          <w:sz w:val="16"/>
        </w:rPr>
        <w:t xml:space="preserve">   document_types ||--o{ verification_check_types  (required document)</w:t>
      </w:r>
    </w:p>
    <w:p>
      <w:pPr>
        <w:spacing w:before="0" w:after="0" w:line="240" w:lineRule="auto"/>
        <w:ind w:left="230"/>
        <w:shd w:val="clear" w:color="auto" w:fill="F7F9FC"/>
        <w:pBdr>
          <w:left w:val="single" w:sz="4" w:space="6" w:color="D0D5DD"/>
        </w:pBdr>
      </w:pPr>
      <w:r>
        <w:rPr>
          <w:rFonts w:ascii="Consolas" w:hAnsi="Consolas"/>
          <w:color w:val="0B1F3A"/>
          <w:sz w:val="16"/>
        </w:rPr>
        <w:t xml:space="preserve">   verification_checks ||--o{ documents</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||--o{ documents                     (owner; also attaches to a</w:t>
      </w:r>
    </w:p>
    <w:p>
      <w:pPr>
        <w:spacing w:before="0" w:after="0" w:line="240" w:lineRule="auto"/>
        <w:ind w:left="230"/>
        <w:shd w:val="clear" w:color="auto" w:fill="F7F9FC"/>
        <w:pBdr>
          <w:left w:val="single" w:sz="4" w:space="6" w:color="D0D5DD"/>
        </w:pBdr>
      </w:pPr>
      <w:r>
        <w:rPr>
          <w:rFonts w:ascii="Consolas" w:hAnsi="Consolas"/>
          <w:color w:val="0B1F3A"/>
          <w:sz w:val="16"/>
        </w:rPr>
        <w:t xml:space="preserve">                                                verification check)</w:t>
      </w:r>
    </w:p>
    <w:p>
      <w:pPr>
        <w:spacing w:before="0" w:after="0" w:line="240" w:lineRule="auto"/>
        <w:ind w:left="230"/>
        <w:shd w:val="clear" w:color="auto" w:fill="F7F9FC"/>
        <w:pBdr>
          <w:left w:val="single" w:sz="4" w:space="6" w:color="D0D5DD"/>
        </w:pBdr>
      </w:pPr>
      <w:r>
        <w:rPr>
          <w:rFonts w:ascii="Consolas" w:hAnsi="Consolas"/>
          <w:color w:val="0B1F3A"/>
          <w:sz w:val="16"/>
        </w:rPr>
        <w:t xml:space="preserve">   profiles ||--o| documents                   (avatar only)</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 notification_preferences</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||--o{ notifications</w:t>
      </w:r>
    </w:p>
    <w:p>
      <w:pPr>
        <w:spacing w:before="0" w:after="0" w:line="240" w:lineRule="auto"/>
        <w:ind w:left="230"/>
        <w:shd w:val="clear" w:color="auto" w:fill="F7F9FC"/>
        <w:pBdr>
          <w:left w:val="single" w:sz="4" w:space="6" w:color="D0D5DD"/>
        </w:pBdr>
      </w:pPr>
      <w:r>
        <w:rPr>
          <w:rFonts w:ascii="Consolas" w:hAnsi="Consolas"/>
          <w:color w:val="0B1F3A"/>
          <w:sz w:val="16"/>
        </w:rPr>
        <w:t xml:space="preserve">   notification_templates ||--o{ notifications  (event_key + channel)</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||--o{ support_tickets</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||--o{ audit_logs</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||--o{ risk_events</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||--o{ disputes                       (raised_by, against)</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BAND 2   AJO LIFECYCLE  (8.3.2) ------------------------------------------</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||--o{ ajos                           (organizer)</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ajos ||--o{ ajo_positions</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ajos ||--o{ ajo_members</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||--o{ ajo_members</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ajo_positions |{--o{ ajo_members            (only pre-activation)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ajos ||--o{ invitations</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ajo_positions ||--o{ invitations            (position offered)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invitations ||--o| ajo_members              (row created on accept)</w:t>
      </w:r>
    </w:p>
    <w:p>
      <w:pPr>
        <w:spacing w:before="0" w:after="0" w:line="240" w:lineRule="auto"/>
        <w:ind w:left="230"/>
        <w:shd w:val="clear" w:color="auto" w:fill="F7F9FC"/>
        <w:pBdr>
          <w:left w:val="single" w:sz="4" w:space="6" w:color="D0D5DD"/>
        </w:pBdr>
      </w:pPr>
      <w:r>
        <w:rPr>
          <w:rFonts w:ascii="Consolas" w:hAnsi="Consolas"/>
          <w:color w:val="0B1F3A"/>
          <w:sz w:val="16"/>
        </w:rPr>
        <w:t xml:space="preserve">   role_assignments }o--|| ajos                (scope = ajo, organizer)</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BAND 3   SCHEDULING  (8.3.3) ---------------------------------------------</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ajos ||--o{ rounds</w:t>
      </w:r>
    </w:p>
    <w:p>
      <w:pPr>
        <w:spacing w:before="0" w:after="0" w:line="240" w:lineRule="auto"/>
        <w:ind w:left="230"/>
        <w:shd w:val="clear" w:color="auto" w:fill="F7F9FC"/>
        <w:pBdr>
          <w:left w:val="single" w:sz="4" w:space="6" w:color="D0D5DD"/>
        </w:pBdr>
      </w:pPr>
      <w:r>
        <w:rPr>
          <w:rFonts w:ascii="Consolas" w:hAnsi="Consolas"/>
          <w:color w:val="0B1F3A"/>
          <w:sz w:val="16"/>
        </w:rPr>
        <w:t xml:space="preserve">   rounds ||--o{ contribution_schedules</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ajos ||--|| contribution_schedules          (denormalised, for RLS + read)</w:t>
      </w:r>
    </w:p>
    <w:p>
      <w:pPr>
        <w:spacing w:before="0" w:after="0" w:line="240" w:lineRule="auto"/>
        <w:ind w:left="230"/>
        <w:shd w:val="clear" w:color="auto" w:fill="F7F9FC"/>
        <w:pBdr>
          <w:left w:val="single" w:sz="4" w:space="6" w:color="D0D5DD"/>
        </w:pBdr>
      </w:pPr>
      <w:r>
        <w:rPr>
          <w:rFonts w:ascii="Consolas" w:hAnsi="Consolas"/>
          <w:color w:val="0B1F3A"/>
          <w:sz w:val="16"/>
        </w:rPr>
        <w:t xml:space="preserve">   contribution_frequencies ||--o{ ajos</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BAND 4   MONEY  (8.3.4) --------------------------------------------------</w:t>
      </w:r>
    </w:p>
    <w:p>
      <w:pPr>
        <w:spacing w:before="0" w:after="0" w:line="240" w:lineRule="auto"/>
        <w:ind w:left="230"/>
        <w:shd w:val="clear" w:color="auto" w:fill="F7F9FC"/>
        <w:pBdr>
          <w:left w:val="single" w:sz="4" w:space="6" w:color="D0D5DD"/>
        </w:pBdr>
      </w:pPr>
      <w:r>
        <w:rPr>
          <w:rFonts w:ascii="Consolas" w:hAnsi="Consolas"/>
          <w:color w:val="0B1F3A"/>
          <w:sz w:val="16"/>
        </w:rPr>
        <w:t xml:space="preserve">   contribution_schedules ||--o{ contributions</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ajo_members ||--o{ contributions</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ajo_positions ||--o{ contributions           (via the member's claim)</w:t>
      </w:r>
    </w:p>
    <w:p>
      <w:pPr>
        <w:spacing w:before="0" w:after="0" w:line="240" w:lineRule="auto"/>
        <w:ind w:left="230"/>
        <w:shd w:val="clear" w:color="auto" w:fill="F7F9FC"/>
        <w:pBdr>
          <w:left w:val="single" w:sz="4" w:space="6" w:color="D0D5DD"/>
        </w:pBdr>
      </w:pPr>
      <w:r>
        <w:rPr>
          <w:rFonts w:ascii="Consolas" w:hAnsi="Consolas"/>
          <w:color w:val="0B1F3A"/>
          <w:sz w:val="16"/>
        </w:rPr>
        <w:t xml:space="preserve">   rounds ||--o{ contributions</w:t>
      </w:r>
    </w:p>
    <w:p>
      <w:pPr>
        <w:spacing w:before="0" w:after="0" w:line="240" w:lineRule="auto"/>
        <w:ind w:left="230"/>
        <w:shd w:val="clear" w:color="auto" w:fill="F7F9FC"/>
        <w:pBdr>
          <w:left w:val="single" w:sz="4" w:space="6" w:color="D0D5DD"/>
        </w:pBdr>
      </w:pPr>
      <w:r>
        <w:rPr>
          <w:rFonts w:ascii="Consolas" w:hAnsi="Consolas"/>
          <w:color w:val="0B1F3A"/>
          <w:sz w:val="16"/>
        </w:rPr>
        <w:t xml:space="preserve">   contributions ||--o{ payments               (retries are rows, not edits)</w:t>
      </w:r>
    </w:p>
    <w:p>
      <w:pPr>
        <w:spacing w:before="0" w:after="0" w:line="240" w:lineRule="auto"/>
        <w:ind w:left="230"/>
        <w:shd w:val="clear" w:color="auto" w:fill="F7F9FC"/>
        <w:pBdr>
          <w:left w:val="single" w:sz="4" w:space="6" w:color="D0D5DD"/>
        </w:pBdr>
      </w:pPr>
      <w:r>
        <w:rPr>
          <w:rFonts w:ascii="Consolas" w:hAnsi="Consolas"/>
          <w:color w:val="0B1F3A"/>
          <w:sz w:val="16"/>
        </w:rPr>
        <w:t xml:space="preserve">   payments ||--|| fees                       (one fee per settled payment)</w:t>
      </w:r>
    </w:p>
    <w:p>
      <w:pPr>
        <w:spacing w:before="0" w:after="0" w:line="240" w:lineRule="auto"/>
        <w:ind w:left="230"/>
        <w:shd w:val="clear" w:color="auto" w:fill="F7F9FC"/>
        <w:pBdr>
          <w:left w:val="single" w:sz="4" w:space="6" w:color="D0D5DD"/>
        </w:pBdr>
      </w:pPr>
      <w:r>
        <w:rPr>
          <w:rFonts w:ascii="Consolas" w:hAnsi="Consolas"/>
          <w:color w:val="0B1F3A"/>
          <w:sz w:val="16"/>
        </w:rPr>
        <w:t xml:space="preserve">   payment_channels ||--o{ payments</w:t>
      </w:r>
    </w:p>
    <w:p>
      <w:pPr>
        <w:spacing w:before="0" w:after="0" w:line="240" w:lineRule="auto"/>
        <w:ind w:left="230"/>
        <w:shd w:val="clear" w:color="auto" w:fill="F7F9FC"/>
        <w:pBdr>
          <w:left w:val="single" w:sz="4" w:space="6" w:color="D0D5DD"/>
        </w:pBdr>
      </w:pPr>
      <w:r>
        <w:rPr>
          <w:rFonts w:ascii="Consolas" w:hAnsi="Consolas"/>
          <w:color w:val="0B1F3A"/>
          <w:sz w:val="16"/>
        </w:rPr>
        <w:t xml:space="preserve">   rounds ||--o{ payouts</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ajo_positions ||--o| payouts                (1:1, enforced in 8.8)</w:t>
      </w:r>
    </w:p>
    <w:p>
      <w:pPr>
        <w:spacing w:before="0" w:after="0" w:line="240" w:lineRule="auto"/>
        <w:ind w:left="230"/>
        <w:shd w:val="clear" w:color="auto" w:fill="F7F9FC"/>
        <w:pBdr>
          <w:left w:val="single" w:sz="4" w:space="6" w:color="D0D5DD"/>
        </w:pBdr>
      </w:pPr>
      <w:r>
        <w:rPr>
          <w:rFonts w:ascii="Consolas" w:hAnsi="Consolas"/>
          <w:color w:val="0B1F3A"/>
          <w:sz w:val="16"/>
        </w:rPr>
        <w:t xml:space="preserve">   contributions ||--o{ disputes</w:t>
      </w:r>
    </w:p>
    <w:p>
      <w:pPr>
        <w:spacing w:before="0" w:after="0" w:line="240" w:lineRule="auto"/>
        <w:ind w:left="230"/>
        <w:shd w:val="clear" w:color="auto" w:fill="F7F9FC"/>
        <w:pBdr>
          <w:left w:val="single" w:sz="4" w:space="6" w:color="D0D5DD"/>
        </w:pBdr>
      </w:pPr>
      <w:r>
        <w:rPr>
          <w:rFonts w:ascii="Consolas" w:hAnsi="Consolas"/>
          <w:color w:val="0B1F3A"/>
          <w:sz w:val="16"/>
        </w:rPr>
        <w:t xml:space="preserve">   payouts ||--o{ disputes</w:t>
      </w:r>
    </w:p>
    <w:p>
      <w:pPr>
        <w:spacing w:before="0" w:after="0" w:line="240" w:lineRule="auto"/>
        <w:ind w:left="230"/>
        <w:shd w:val="clear" w:color="auto" w:fill="F7F9FC"/>
        <w:pBdr>
          <w:left w:val="single" w:sz="4" w:space="6" w:color="D0D5DD"/>
        </w:pBdr>
      </w:pPr>
      <w:r>
        <w:rPr>
          <w:rFonts w:ascii="Consolas" w:hAnsi="Consolas"/>
          <w:color w:val="0B1F3A"/>
          <w:sz w:val="16"/>
        </w:rPr>
        <w:t xml:space="preserve">   ledger_transactions ||--o{ ledger_postings  (&gt;= 2, must sum to zero)</w:t>
      </w:r>
    </w:p>
    <w:p>
      <w:pPr>
        <w:spacing w:before="0" w:after="0" w:line="240" w:lineRule="auto"/>
        <w:ind w:left="230"/>
        <w:shd w:val="clear" w:color="auto" w:fill="F7F9FC"/>
        <w:pBdr>
          <w:left w:val="single" w:sz="4" w:space="6" w:color="D0D5DD"/>
        </w:pBdr>
      </w:pPr>
      <w:r>
        <w:rPr>
          <w:rFonts w:ascii="Consolas" w:hAnsi="Consolas"/>
          <w:color w:val="0B1F3A"/>
          <w:sz w:val="16"/>
        </w:rPr>
        <w:t xml:space="preserve">   ledger_transactions ||--o| ledger_transactions  (reversal, depth 1)</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||--o{ idempotency_keys</w:t>
      </w:r>
    </w:p>
    <w:p>
      <w:pPr>
        <w:spacing w:before="0" w:after="0" w:line="240" w:lineRule="auto"/>
        <w:ind w:left="230"/>
        <w:shd w:val="clear" w:color="auto" w:fill="F7F9FC"/>
        <w:pBdr>
          <w:left w:val="single" w:sz="4" w:space="6" w:color="D0D5DD"/>
        </w:pBdr>
      </w:pPr>
      <w:r>
        <w:rPr>
          <w:rFonts w:ascii="Consolas" w:hAnsi="Consolas"/>
          <w:color w:val="0B1F3A"/>
          <w:sz w:val="16"/>
        </w:rPr>
        <w:t xml:space="preserve">   idempotency_keys ||--o| ledger_transactions</w:t>
      </w:r>
    </w:p>
    <w:p>
      <w:pPr>
        <w:spacing w:before="0" w:after="0" w:line="240" w:lineRule="auto"/>
        <w:ind w:left="230"/>
        <w:shd w:val="clear" w:color="auto" w:fill="F7F9FC"/>
        <w:pBdr>
          <w:left w:val="single" w:sz="4" w:space="6" w:color="D0D5DD"/>
        </w:pBdr>
      </w:pPr>
      <w:r>
        <w:rPr>
          <w:rFonts w:ascii="Consolas" w:hAnsi="Consolas"/>
          <w:color w:val="0B1F3A"/>
          <w:sz w:val="16"/>
        </w:rPr>
        <w:t xml:space="preserve">   webhook_events ||--o| payments              (dedupe on provider event)</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BAND 5   TRUST &amp; RISK  (8.3.5) -------------------------------------------</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ajos ||--o{ disputes</w:t>
      </w:r>
    </w:p>
    <w:p>
      <w:pPr>
        <w:spacing w:before="0" w:after="0" w:line="240" w:lineRule="auto"/>
        <w:ind w:left="230"/>
        <w:shd w:val="clear" w:color="auto" w:fill="F7F9FC"/>
        <w:pBdr>
          <w:left w:val="single" w:sz="4" w:space="6" w:color="D0D5DD"/>
        </w:pBdr>
      </w:pPr>
      <w:r>
        <w:rPr>
          <w:rFonts w:ascii="Consolas" w:hAnsi="Consolas"/>
          <w:color w:val="0B1F3A"/>
          <w:sz w:val="16"/>
        </w:rPr>
        <w:t xml:space="preserve">   disputes ||--o{ dispute_messages</w:t>
      </w:r>
    </w:p>
    <w:p>
      <w:pPr>
        <w:spacing w:before="0" w:after="0" w:line="240" w:lineRule="auto"/>
        <w:ind w:left="230"/>
        <w:shd w:val="clear" w:color="auto" w:fill="F7F9FC"/>
        <w:pBdr>
          <w:left w:val="single" w:sz="4" w:space="6" w:color="D0D5DD"/>
        </w:pBdr>
      </w:pPr>
      <w:r>
        <w:rPr>
          <w:rFonts w:ascii="Consolas" w:hAnsi="Consolas"/>
          <w:color w:val="0B1F3A"/>
          <w:sz w:val="16"/>
        </w:rPr>
        <w:t xml:space="preserve">   disputes ||--o{ dispute_evidence</w:t>
      </w:r>
    </w:p>
    <w:p>
      <w:pPr>
        <w:spacing w:before="0" w:after="0" w:line="240" w:lineRule="auto"/>
        <w:ind w:left="230"/>
        <w:shd w:val="clear" w:color="auto" w:fill="F7F9FC"/>
        <w:pBdr>
          <w:left w:val="single" w:sz="4" w:space="6" w:color="D0D5DD"/>
        </w:pBdr>
      </w:pPr>
      <w:r>
        <w:rPr>
          <w:rFonts w:ascii="Consolas" w:hAnsi="Consolas"/>
          <w:color w:val="0B1F3A"/>
          <w:sz w:val="16"/>
        </w:rPr>
        <w:t xml:space="preserve">   dispute_reasons ||--o{ disputes</w:t>
      </w:r>
    </w:p>
    <w:p>
      <w:pPr>
        <w:spacing w:before="0" w:after="0" w:line="240" w:lineRule="auto"/>
        <w:ind w:left="230"/>
        <w:shd w:val="clear" w:color="auto" w:fill="F7F9FC"/>
        <w:pBdr>
          <w:left w:val="single" w:sz="4" w:space="6" w:color="D0D5DD"/>
        </w:pBdr>
      </w:pPr>
      <w:r>
        <w:rPr>
          <w:rFonts w:ascii="Consolas" w:hAnsi="Consolas"/>
          <w:color w:val="0B1F3A"/>
          <w:sz w:val="16"/>
        </w:rPr>
        <w:t xml:space="preserve">   documents ||--o| dispute_evidence</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||--o{ risk_events</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ajos ||--o{ risk_events</w:t>
      </w:r>
    </w:p>
    <w:p>
      <w:pPr>
        <w:spacing w:before="0" w:after="0" w:line="240" w:lineRule="auto"/>
        <w:ind w:left="230"/>
        <w:shd w:val="clear" w:color="auto" w:fill="F7F9FC"/>
        <w:pBdr>
          <w:left w:val="single" w:sz="4" w:space="6" w:color="D0D5DD"/>
        </w:pBdr>
      </w:pPr>
      <w:r>
        <w:rPr>
          <w:rFonts w:ascii="Consolas" w:hAnsi="Consolas"/>
          <w:color w:val="0B1F3A"/>
          <w:sz w:val="16"/>
        </w:rPr>
        <w:t xml:space="preserve">   payments ||--o{ risk_events</w:t>
      </w:r>
    </w:p>
    <w:p>
      <w:pPr>
        <w:spacing w:before="0" w:after="0" w:line="240" w:lineRule="auto"/>
        <w:ind w:left="230"/>
        <w:shd w:val="clear" w:color="auto" w:fill="F7F9FC"/>
        <w:pBdr>
          <w:left w:val="single" w:sz="4" w:space="6" w:color="D0D5DD"/>
        </w:pBdr>
      </w:pPr>
      <w:r>
        <w:rPr>
          <w:rFonts w:ascii="Consolas" w:hAnsi="Consolas"/>
          <w:color w:val="0B1F3A"/>
          <w:sz w:val="16"/>
        </w:rPr>
        <w:t xml:space="preserve">   payouts ||--o{ risk_events</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BAND 6   ENGAGEMENT  (8.3.6) ---------------------------------------------</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||--o{ notifications</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 notification_preferences</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||--o{ support_tickets</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ajos ||--o{ support_tickets</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||--o{ outbox_events</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ajos, rounds, payments, payouts -&gt; outbox_events   (polymorphic)</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CROSS-BAND EDGES NOT DRAWN ABOVE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-&gt; ajos.organizer_user_id                       (1:N, restrict)</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-&gt; ajo_members.user_id                          (1:N, restrict)</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users -&gt; ajos.organizer_user_id is the only person who may</w:t>
      </w:r>
    </w:p>
    <w:p>
      <w:pPr>
        <w:spacing w:before="0" w:after="0" w:line="240" w:lineRule="auto"/>
        <w:ind w:left="230"/>
        <w:shd w:val="clear" w:color="auto" w:fill="F7F9FC"/>
        <w:pBdr>
          <w:left w:val="single" w:sz="4" w:space="6" w:color="D0D5DD"/>
        </w:pBdr>
      </w:pPr>
      <w:r>
        <w:rPr>
          <w:rFonts w:ascii="Consolas" w:hAnsi="Consolas"/>
          <w:color w:val="0B1F3A"/>
          <w:sz w:val="16"/>
        </w:rPr>
        <w:t xml:space="preserve">     cancel, freeze or request payout release.</w:t>
      </w:r>
    </w:p>
    <w:p>
      <w:pPr>
        <w:spacing w:before="0" w:after="0" w:line="240" w:lineRule="auto"/>
        <w:ind w:left="230"/>
        <w:shd w:val="clear" w:color="auto" w:fill="F7F9FC"/>
        <w:pBdr>
          <w:left w:val="single" w:sz="4" w:space="6" w:color="D0D5DD"/>
        </w:pBdr>
      </w:pPr>
      <w:r>
        <w:rPr>
          <w:rFonts w:ascii="Consolas" w:hAnsi="Consolas"/>
          <w:color w:val="0B1F3A"/>
          <w:sz w:val="16"/>
        </w:rPr>
        <w:t xml:space="preserve">   audit_logs is polymorphic: every mutating table in every band writes</w:t>
      </w:r>
    </w:p>
    <w:p>
      <w:pPr>
        <w:spacing w:before="0" w:after="0" w:line="240" w:lineRule="auto"/>
        <w:ind w:left="230"/>
        <w:shd w:val="clear" w:color="auto" w:fill="F7F9FC"/>
        <w:pBdr>
          <w:left w:val="single" w:sz="4" w:space="6" w:color="D0D5DD"/>
        </w:pBdr>
      </w:pPr>
      <w:r>
        <w:rPr>
          <w:rFonts w:ascii="Consolas" w:hAnsi="Consolas"/>
          <w:color w:val="0B1F3A"/>
          <w:sz w:val="16"/>
        </w:rPr>
        <w:t xml:space="preserve">     one row. audit_logs has no foreign key back to its subject on purpose,</w:t>
      </w:r>
    </w:p>
    <w:p>
      <w:pPr>
        <w:spacing w:before="0" w:after="0" w:line="240" w:lineRule="auto"/>
        <w:ind w:left="230"/>
        <w:shd w:val="clear" w:color="auto" w:fill="F7F9FC"/>
        <w:pBdr>
          <w:left w:val="single" w:sz="4" w:space="6" w:color="D0D5DD"/>
        </w:pBdr>
      </w:pPr>
      <w:r>
        <w:rPr>
          <w:rFonts w:ascii="Consolas" w:hAnsi="Consolas"/>
          <w:color w:val="0B1F3A"/>
          <w:sz w:val="16"/>
        </w:rPr>
        <w:t xml:space="preserve">     because a polymorphic audit trail must not be cascade-deleted by the</w:t>
      </w:r>
    </w:p>
    <w:p>
      <w:pPr>
        <w:spacing w:before="0" w:after="0" w:line="240" w:lineRule="auto"/>
        <w:ind w:left="230"/>
        <w:shd w:val="clear" w:color="auto" w:fill="F7F9FC"/>
        <w:pBdr>
          <w:left w:val="single" w:sz="4" w:space="6" w:color="D0D5DD"/>
        </w:pBdr>
      </w:pPr>
      <w:r>
        <w:rPr>
          <w:rFonts w:ascii="Consolas" w:hAnsi="Consolas"/>
          <w:color w:val="0B1F3A"/>
          <w:sz w:val="16"/>
        </w:rPr>
        <w:t xml:space="preserve">     thing it is auditing.</w:t>
      </w:r>
    </w:p>
    <w:p>
      <w:pPr>
        <w:spacing w:before="0" w:after="0" w:line="240" w:lineRule="auto"/>
        <w:ind w:left="230"/>
        <w:shd w:val="clear" w:color="auto" w:fill="F7F9FC"/>
        <w:pBdr>
          <w:left w:val="single" w:sz="4" w:space="6" w:color="D0D5DD"/>
        </w:pBdr>
      </w:pPr>
      <w:r>
        <w:rPr>
          <w:rFonts w:ascii="Consolas" w:hAnsi="Consolas"/>
          <w:color w:val="0B1F3A"/>
          <w:sz w:val="16"/>
        </w:rPr>
        <w:t xml:space="preserve">   risk_events is polymorphic over user, ajo, payment and payout for the</w:t>
      </w:r>
    </w:p>
    <w:p>
      <w:pPr>
        <w:spacing w:before="0" w:after="0" w:line="240" w:lineRule="auto"/>
        <w:ind w:left="230"/>
        <w:shd w:val="clear" w:color="auto" w:fill="F7F9FC"/>
        <w:pBdr>
          <w:left w:val="single" w:sz="4" w:space="6" w:color="D0D5DD"/>
        </w:pBdr>
      </w:pPr>
      <w:r>
        <w:rPr>
          <w:rFonts w:ascii="Consolas" w:hAnsi="Consolas"/>
          <w:color w:val="0B1F3A"/>
          <w:sz w:val="16"/>
        </w:rPr>
        <w:t xml:space="preserve">     same reason.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reconciliation_runs references a time window, not an entity. It is</w:t>
      </w:r>
    </w:p>
    <w:p>
      <w:pPr>
        <w:spacing w:before="0" w:after="0" w:line="240" w:lineRule="auto"/>
        <w:ind w:left="230"/>
        <w:shd w:val="clear" w:color="auto" w:fill="F7F9FC"/>
        <w:pBdr>
          <w:left w:val="single" w:sz="4" w:space="6" w:color="D0D5DD"/>
        </w:pBdr>
      </w:pPr>
      <w:r>
        <w:rPr>
          <w:rFonts w:ascii="Consolas" w:hAnsi="Consolas"/>
          <w:color w:val="0B1F3A"/>
          <w:sz w:val="16"/>
        </w:rPr>
        <w:t xml:space="preserve">     provable evidence and must survive every table it is used to check.</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val="0"/>
          <w:i w:val="0"/>
          <w:color w:val="101828"/>
          <w:sz w:val="21"/>
        </w:rPr>
        <w:t xml:space="preserve">One deliberate feature of the diagram is worth calling out, because it is the decision that shapes the rest of the money model. Position occupancy is held by </w:t>
      </w:r>
      <w:r>
        <w:rPr>
          <w:rFonts w:ascii="Consolas" w:hAnsi="Consolas"/>
          <w:color w:val="146EF5"/>
          <w:sz w:val="21"/>
        </w:rPr>
        <w:t>ajo_members.position_id</w:t>
      </w:r>
      <w:r>
        <w:rPr>
          <w:rFonts w:ascii="Calibri" w:hAnsi="Calibri"/>
          <w:b w:val="0"/>
          <w:i w:val="0"/>
          <w:color w:val="101828"/>
          <w:sz w:val="21"/>
        </w:rPr>
        <w:t xml:space="preserve">, not by </w:t>
      </w:r>
      <w:r>
        <w:rPr>
          <w:rFonts w:ascii="Consolas" w:hAnsi="Consolas"/>
          <w:color w:val="146EF5"/>
          <w:sz w:val="21"/>
        </w:rPr>
        <w:t>ajo_positions.member_id</w:t>
      </w:r>
      <w:r>
        <w:rPr>
          <w:rFonts w:ascii="Calibri" w:hAnsi="Calibri"/>
          <w:b w:val="0"/>
          <w:i w:val="0"/>
          <w:color w:val="101828"/>
          <w:sz w:val="21"/>
        </w:rPr>
        <w:t>. A membership claims a position; a position does not know its holder. This costs a join when you want to list a position's occupant, and it buys the elimination of a circular foreign key between two tables that both have independent lifecycles and both are soft-deleted. It also means a position can be released (the holder leaves) without touching the position row, which is the only way a position can be released before activation without deleting history.</w:t>
      </w:r>
    </w:p>
    <w:p>
      <w:pPr>
        <w:spacing w:before="140" w:after="180"/>
        <w:ind w:left="144"/>
        <w:shd w:val="clear" w:color="auto" w:fill="E0F2FE"/>
        <w:pBdr>
          <w:left w:val="single" w:sz="18" w:space="6" w:color="22C7D6"/>
        </w:pBdr>
      </w:pPr>
      <w:r>
        <w:rPr>
          <w:rFonts w:ascii="Calibri" w:hAnsi="Calibri"/>
          <w:b/>
          <w:color w:val="22C7D6"/>
          <w:sz w:val="19"/>
        </w:rPr>
        <w:t xml:space="preserve">Why the diagram carries 40 boxes and not 27  </w:t>
      </w:r>
      <w:r>
        <w:rPr>
          <w:rFonts w:ascii="Calibri" w:hAnsi="Calibri"/>
          <w:b w:val="0"/>
          <w:i w:val="0"/>
          <w:color w:val="0B1F3A"/>
          <w:sz w:val="19"/>
        </w:rPr>
        <w:t>CANONICAL.md section 5 lists the core entities. Thirteen supporting tables are added because CANONICAL.md sections 2, 4, 6 and 8 require behaviour that those 27 cannot hold: session revocation (</w:t>
      </w:r>
      <w:r>
        <w:rPr>
          <w:rFonts w:ascii="Consolas" w:hAnsi="Consolas"/>
          <w:color w:val="146EF5"/>
          <w:sz w:val="19"/>
        </w:rPr>
        <w:t>GET /auth/sessions</w:t>
      </w:r>
      <w:r>
        <w:rPr>
          <w:rFonts w:ascii="Calibri" w:hAnsi="Calibri"/>
          <w:b w:val="0"/>
          <w:i w:val="0"/>
          <w:color w:val="0B1F3A"/>
          <w:sz w:val="19"/>
        </w:rPr>
        <w:t>), push delivery targets, dispute conversations and evidence, the notification catalogue as data, the fee rate as reviewable configuration, and a transactional outbox so that money and message cannot diverge. Each is a live requirement in a section that is already committed, not a speculative addition. If CANONICAL.md section 5 is later amended, this section is amended with it, in the same commit.</w:t>
      </w:r>
    </w:p>
    <w:p>
      <w:r>
        <w:br w:type="page"/>
      </w:r>
    </w:p>
    <w:p>
      <w:pPr>
        <w:pStyle w:val="Heading2"/>
      </w:pPr>
      <w:r>
        <w:rPr>
          <w:rFonts w:ascii="Calibri" w:hAnsi="Calibri"/>
          <w:b/>
          <w:i w:val="0"/>
          <w:color w:val="146EF5"/>
          <w:sz w:val="29"/>
        </w:rPr>
        <w:t>8.3 Domain breakdown</w:t>
      </w:r>
    </w:p>
    <w:p>
      <w:r>
        <w:rPr>
          <w:rFonts w:ascii="Calibri" w:hAnsi="Calibri"/>
          <w:b w:val="0"/>
          <w:i w:val="0"/>
          <w:color w:val="101828"/>
          <w:sz w:val="21"/>
        </w:rPr>
        <w:t xml:space="preserve">Six domains, each with an entity detail table and a relationship table. The detail table answers </w:t>
      </w:r>
      <w:r>
        <w:rPr>
          <w:rFonts w:ascii="Calibri" w:hAnsi="Calibri"/>
          <w:i/>
          <w:color w:val="101828"/>
          <w:sz w:val="21"/>
        </w:rPr>
        <w:t>what is this row and why does it exist</w:t>
      </w:r>
      <w:r>
        <w:rPr>
          <w:rFonts w:ascii="Calibri" w:hAnsi="Calibri"/>
          <w:b w:val="0"/>
          <w:i w:val="0"/>
          <w:color w:val="101828"/>
          <w:sz w:val="21"/>
        </w:rPr>
        <w:t xml:space="preserve">. The relationship table answers </w:t>
      </w:r>
      <w:r>
        <w:rPr>
          <w:rFonts w:ascii="Calibri" w:hAnsi="Calibri"/>
          <w:i/>
          <w:color w:val="101828"/>
          <w:sz w:val="21"/>
        </w:rPr>
        <w:t>what constrains it and what happens when it is deleted</w:t>
      </w:r>
      <w:r>
        <w:rPr>
          <w:rFonts w:ascii="Calibri" w:hAnsi="Calibri"/>
          <w:b w:val="0"/>
          <w:i w:val="0"/>
          <w:color w:val="101828"/>
          <w:sz w:val="21"/>
        </w:rPr>
        <w:t>. Both are required: a model that names entities without naming their delete semantics is a model that loses a member's receipt history the first time somebody runs a cascade by accident.</w:t>
      </w:r>
    </w:p>
    <w:p>
      <w:pPr>
        <w:pStyle w:val="Heading3"/>
      </w:pPr>
      <w:r>
        <w:rPr>
          <w:rFonts w:ascii="Calibri" w:hAnsi="Calibri"/>
          <w:b/>
          <w:i w:val="0"/>
          <w:color w:val="0B1F3A"/>
          <w:sz w:val="24"/>
        </w:rPr>
        <w:t>8.3.1 Identity and access</w:t>
      </w:r>
    </w:p>
    <w:p>
      <w:r>
        <w:rPr>
          <w:rFonts w:ascii="Calibri" w:hAnsi="Calibri"/>
          <w:b w:val="0"/>
          <w:i w:val="0"/>
          <w:color w:val="101828"/>
          <w:sz w:val="21"/>
        </w:rPr>
        <w:t xml:space="preserve">The identity domain answers three questions: who is this person, are we allowed to let them move money, and what may they see. It deliberately contains no money and no Ajo membership, so that a question about access control never requires joining across a financial boundary. </w:t>
      </w:r>
      <w:r>
        <w:rPr>
          <w:rFonts w:ascii="Consolas" w:hAnsi="Consolas"/>
          <w:color w:val="146EF5"/>
          <w:sz w:val="21"/>
        </w:rPr>
        <w:t>role_assignments</w:t>
      </w:r>
      <w:r>
        <w:rPr>
          <w:rFonts w:ascii="Calibri" w:hAnsi="Calibri"/>
          <w:b w:val="0"/>
          <w:i w:val="0"/>
          <w:color w:val="101828"/>
          <w:sz w:val="21"/>
        </w:rPr>
        <w:t xml:space="preserve"> is the only place in the whole model where the six canonical roles from CANONICAL.md section 2 are granted, and it is scoped: the same role code means something different at platform scope than it does within one Ajo.</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5"/>
              </w:rPr>
              <w:t>Entity</w:t>
            </w:r>
          </w:p>
        </w:tc>
        <w:tc>
          <w:tcPr>
            <w:tcW w:type="dxa" w:w="2808"/>
            <w:shd w:val="clear" w:color="auto" w:fill="0B1F3A"/>
            <w:tcMar>
              <w:top w:w="60" w:type="dxa"/>
              <w:start w:w="110" w:type="dxa"/>
              <w:bottom w:w="60" w:type="dxa"/>
              <w:end w:w="110" w:type="dxa"/>
            </w:tcMar>
          </w:tcPr>
          <w:p>
            <w:pPr>
              <w:spacing w:after="0"/>
            </w:pPr>
            <w:r/>
            <w:r>
              <w:rPr>
                <w:rFonts w:ascii="Calibri" w:hAnsi="Calibri"/>
                <w:b/>
                <w:i w:val="0"/>
                <w:color w:val="FFFFFF"/>
                <w:sz w:val="15"/>
              </w:rPr>
              <w:t>Purpose</w:t>
            </w:r>
          </w:p>
        </w:tc>
        <w:tc>
          <w:tcPr>
            <w:tcW w:type="dxa" w:w="2664"/>
            <w:shd w:val="clear" w:color="auto" w:fill="0B1F3A"/>
            <w:tcMar>
              <w:top w:w="60" w:type="dxa"/>
              <w:start w:w="110" w:type="dxa"/>
              <w:bottom w:w="60" w:type="dxa"/>
              <w:end w:w="110" w:type="dxa"/>
            </w:tcMar>
          </w:tcPr>
          <w:p>
            <w:pPr>
              <w:spacing w:after="0"/>
            </w:pPr>
            <w:r/>
            <w:r>
              <w:rPr>
                <w:rFonts w:ascii="Calibri" w:hAnsi="Calibri"/>
                <w:b/>
                <w:i w:val="0"/>
                <w:color w:val="FFFFFF"/>
                <w:sz w:val="15"/>
              </w:rPr>
              <w:t>Key fields</w:t>
            </w:r>
          </w:p>
        </w:tc>
        <w:tc>
          <w:tcPr>
            <w:tcW w:type="dxa" w:w="2232"/>
            <w:shd w:val="clear" w:color="auto" w:fill="0B1F3A"/>
            <w:tcMar>
              <w:top w:w="60" w:type="dxa"/>
              <w:start w:w="110" w:type="dxa"/>
              <w:bottom w:w="60" w:type="dxa"/>
              <w:end w:w="110" w:type="dxa"/>
            </w:tcMar>
          </w:tcPr>
          <w:p>
            <w:pPr>
              <w:spacing w:after="0"/>
            </w:pPr>
            <w:r/>
            <w:r>
              <w:rPr>
                <w:rFonts w:ascii="Calibri" w:hAnsi="Calibri"/>
                <w:b/>
                <w:i w:val="0"/>
                <w:color w:val="FFFFFF"/>
                <w:sz w:val="15"/>
              </w:rPr>
              <w:t>Relationships</w:t>
            </w:r>
          </w:p>
        </w:tc>
      </w:tr>
      <w:tr>
        <w:trPr>
          <w:cantSplit/>
        </w:trPr>
        <w:tc>
          <w:tcPr>
            <w:tcW w:type="dxa" w:w="1656"/>
            <w:tcMar>
              <w:top w:w="60" w:type="dxa"/>
              <w:start w:w="110" w:type="dxa"/>
              <w:bottom w:w="60" w:type="dxa"/>
              <w:end w:w="110" w:type="dxa"/>
            </w:tcMar>
          </w:tcPr>
          <w:p>
            <w:pPr>
              <w:spacing w:after="0"/>
            </w:pPr>
            <w:r/>
            <w:r>
              <w:rPr>
                <w:rFonts w:ascii="Consolas" w:hAnsi="Consolas"/>
                <w:color w:val="146EF5"/>
                <w:sz w:val="15"/>
              </w:rPr>
              <w:t>users</w:t>
            </w:r>
            <w:r>
              <w:rPr>
                <w:rFonts w:ascii="Calibri" w:hAnsi="Calibri"/>
                <w:b w:val="0"/>
                <w:i w:val="0"/>
                <w:color w:val="101828"/>
                <w:sz w:val="15"/>
              </w:rPr>
              <w:t xml:space="preserve"> *</w:t>
            </w:r>
          </w:p>
        </w:tc>
        <w:tc>
          <w:tcPr>
            <w:tcW w:type="dxa" w:w="2808"/>
            <w:tcMar>
              <w:top w:w="60" w:type="dxa"/>
              <w:start w:w="110" w:type="dxa"/>
              <w:bottom w:w="60" w:type="dxa"/>
              <w:end w:w="110" w:type="dxa"/>
            </w:tcMar>
          </w:tcPr>
          <w:p>
            <w:pPr>
              <w:spacing w:after="0"/>
            </w:pPr>
            <w:r/>
            <w:r>
              <w:rPr>
                <w:rFonts w:ascii="Calibri" w:hAnsi="Calibri"/>
                <w:b w:val="0"/>
                <w:i w:val="0"/>
                <w:color w:val="101828"/>
                <w:sz w:val="15"/>
              </w:rPr>
              <w:t>The person. Auth credential lives in the identity provider; this row is the product's own record.</w:t>
            </w:r>
          </w:p>
        </w:tc>
        <w:tc>
          <w:tcPr>
            <w:tcW w:type="dxa" w:w="2664"/>
            <w:tcMar>
              <w:top w:w="60" w:type="dxa"/>
              <w:start w:w="110" w:type="dxa"/>
              <w:bottom w:w="60" w:type="dxa"/>
              <w:end w:w="110" w:type="dxa"/>
            </w:tcMar>
          </w:tcPr>
          <w:p>
            <w:pPr>
              <w:spacing w:after="0"/>
            </w:pPr>
            <w:r/>
            <w:r>
              <w:rPr>
                <w:rFonts w:ascii="Consolas" w:hAnsi="Consolas"/>
                <w:color w:val="146EF5"/>
                <w:sz w:val="15"/>
              </w:rPr>
              <w:t>auth_subject_id</w:t>
            </w:r>
            <w:r>
              <w:rPr>
                <w:rFonts w:ascii="Calibri" w:hAnsi="Calibri"/>
                <w:b w:val="0"/>
                <w:i w:val="0"/>
                <w:color w:val="101828"/>
                <w:sz w:val="15"/>
              </w:rPr>
              <w:t xml:space="preserve">, </w:t>
            </w:r>
            <w:r>
              <w:rPr>
                <w:rFonts w:ascii="Consolas" w:hAnsi="Consolas"/>
                <w:color w:val="146EF5"/>
                <w:sz w:val="15"/>
              </w:rPr>
              <w:t>status</w:t>
            </w:r>
            <w:r>
              <w:rPr>
                <w:rFonts w:ascii="Calibri" w:hAnsi="Calibri"/>
                <w:b w:val="0"/>
                <w:i w:val="0"/>
                <w:color w:val="101828"/>
                <w:sz w:val="15"/>
              </w:rPr>
              <w:t xml:space="preserve"> (pending_verification, active, frozen, closed), </w:t>
            </w:r>
            <w:r>
              <w:rPr>
                <w:rFonts w:ascii="Consolas" w:hAnsi="Consolas"/>
                <w:color w:val="146EF5"/>
                <w:sz w:val="15"/>
              </w:rPr>
              <w:t>phone_e164</w:t>
            </w:r>
            <w:r>
              <w:rPr>
                <w:rFonts w:ascii="Calibri" w:hAnsi="Calibri"/>
                <w:b w:val="0"/>
                <w:i w:val="0"/>
                <w:color w:val="101828"/>
                <w:sz w:val="15"/>
              </w:rPr>
              <w:t xml:space="preserve">, </w:t>
            </w:r>
            <w:r>
              <w:rPr>
                <w:rFonts w:ascii="Consolas" w:hAnsi="Consolas"/>
                <w:color w:val="146EF5"/>
                <w:sz w:val="15"/>
              </w:rPr>
              <w:t>last_seen_at</w:t>
            </w:r>
          </w:p>
        </w:tc>
        <w:tc>
          <w:tcPr>
            <w:tcW w:type="dxa" w:w="2232"/>
            <w:tcMar>
              <w:top w:w="60" w:type="dxa"/>
              <w:start w:w="110" w:type="dxa"/>
              <w:bottom w:w="60" w:type="dxa"/>
              <w:end w:w="110" w:type="dxa"/>
            </w:tcMar>
          </w:tcPr>
          <w:p>
            <w:pPr>
              <w:spacing w:after="0"/>
            </w:pPr>
            <w:r/>
            <w:r>
              <w:rPr>
                <w:rFonts w:ascii="Calibri" w:hAnsi="Calibri"/>
                <w:b w:val="0"/>
                <w:i w:val="0"/>
                <w:color w:val="101828"/>
                <w:sz w:val="15"/>
              </w:rPr>
              <w:t>1:1 profiles, 1:1 admins, 1:1 notification_preferences; 1:N to almost everything else</w:t>
            </w:r>
          </w:p>
        </w:tc>
      </w:tr>
      <w:tr>
        <w:trPr>
          <w:cantSplit/>
        </w:trPr>
        <w:tc>
          <w:tcPr>
            <w:tcW w:type="dxa" w:w="1656"/>
            <w:tcMar>
              <w:top w:w="60" w:type="dxa"/>
              <w:start w:w="110" w:type="dxa"/>
              <w:bottom w:w="60" w:type="dxa"/>
              <w:end w:w="110" w:type="dxa"/>
            </w:tcMar>
            <w:shd w:val="clear" w:color="auto" w:fill="F4F7FB"/>
          </w:tcPr>
          <w:p>
            <w:pPr>
              <w:spacing w:after="0"/>
            </w:pPr>
            <w:r/>
            <w:r>
              <w:rPr>
                <w:rFonts w:ascii="Consolas" w:hAnsi="Consolas"/>
                <w:color w:val="146EF5"/>
                <w:sz w:val="15"/>
              </w:rPr>
              <w:t>profiles</w:t>
            </w:r>
            <w:r>
              <w:rPr>
                <w:rFonts w:ascii="Calibri" w:hAnsi="Calibri"/>
                <w:b w:val="0"/>
                <w:i w:val="0"/>
                <w:color w:val="101828"/>
                <w:sz w:val="15"/>
              </w:rPr>
              <w:t xml:space="preserve"> *</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5"/>
              </w:rPr>
              <w:t xml:space="preserve">Display data, kept off </w:t>
            </w:r>
            <w:r>
              <w:rPr>
                <w:rFonts w:ascii="Consolas" w:hAnsi="Consolas"/>
                <w:color w:val="146EF5"/>
                <w:sz w:val="15"/>
              </w:rPr>
              <w:t>users</w:t>
            </w:r>
            <w:r>
              <w:rPr>
                <w:rFonts w:ascii="Calibri" w:hAnsi="Calibri"/>
                <w:b w:val="0"/>
                <w:i w:val="0"/>
                <w:color w:val="101828"/>
                <w:sz w:val="15"/>
              </w:rPr>
              <w:t xml:space="preserve"> so a bio edit never rewrites the account row.</w:t>
            </w:r>
          </w:p>
        </w:tc>
        <w:tc>
          <w:tcPr>
            <w:tcW w:type="dxa" w:w="2664"/>
            <w:tcMar>
              <w:top w:w="60" w:type="dxa"/>
              <w:start w:w="110" w:type="dxa"/>
              <w:bottom w:w="60" w:type="dxa"/>
              <w:end w:w="110" w:type="dxa"/>
            </w:tcMar>
            <w:shd w:val="clear" w:color="auto" w:fill="F4F7FB"/>
          </w:tcPr>
          <w:p>
            <w:pPr>
              <w:spacing w:after="0"/>
            </w:pPr>
            <w:r/>
            <w:r>
              <w:rPr>
                <w:rFonts w:ascii="Consolas" w:hAnsi="Consolas"/>
                <w:color w:val="146EF5"/>
                <w:sz w:val="15"/>
              </w:rPr>
              <w:t>user_id</w:t>
            </w:r>
            <w:r>
              <w:rPr>
                <w:rFonts w:ascii="Calibri" w:hAnsi="Calibri"/>
                <w:b w:val="0"/>
                <w:i w:val="0"/>
                <w:color w:val="101828"/>
                <w:sz w:val="15"/>
              </w:rPr>
              <w:t xml:space="preserve">, </w:t>
            </w:r>
            <w:r>
              <w:rPr>
                <w:rFonts w:ascii="Consolas" w:hAnsi="Consolas"/>
                <w:color w:val="146EF5"/>
                <w:sz w:val="15"/>
              </w:rPr>
              <w:t>display_name</w:t>
            </w:r>
            <w:r>
              <w:rPr>
                <w:rFonts w:ascii="Calibri" w:hAnsi="Calibri"/>
                <w:b w:val="0"/>
                <w:i w:val="0"/>
                <w:color w:val="101828"/>
                <w:sz w:val="15"/>
              </w:rPr>
              <w:t xml:space="preserve">, </w:t>
            </w:r>
            <w:r>
              <w:rPr>
                <w:rFonts w:ascii="Consolas" w:hAnsi="Consolas"/>
                <w:color w:val="146EF5"/>
                <w:sz w:val="15"/>
              </w:rPr>
              <w:t>avatar_document_id</w:t>
            </w:r>
            <w:r>
              <w:rPr>
                <w:rFonts w:ascii="Calibri" w:hAnsi="Calibri"/>
                <w:b w:val="0"/>
                <w:i w:val="0"/>
                <w:color w:val="101828"/>
                <w:sz w:val="15"/>
              </w:rPr>
              <w:t xml:space="preserve">, </w:t>
            </w:r>
            <w:r>
              <w:rPr>
                <w:rFonts w:ascii="Consolas" w:hAnsi="Consolas"/>
                <w:color w:val="146EF5"/>
                <w:sz w:val="15"/>
              </w:rPr>
              <w:t>preferred_locale</w:t>
            </w:r>
            <w:r>
              <w:rPr>
                <w:rFonts w:ascii="Calibri" w:hAnsi="Calibri"/>
                <w:b w:val="0"/>
                <w:i w:val="0"/>
                <w:color w:val="101828"/>
                <w:sz w:val="15"/>
              </w:rPr>
              <w:t xml:space="preserve">, </w:t>
            </w:r>
            <w:r>
              <w:rPr>
                <w:rFonts w:ascii="Consolas" w:hAnsi="Consolas"/>
                <w:color w:val="146EF5"/>
                <w:sz w:val="15"/>
              </w:rPr>
              <w:t>bvn_last4</w:t>
            </w:r>
          </w:p>
        </w:tc>
        <w:tc>
          <w:tcPr>
            <w:tcW w:type="dxa" w:w="2232"/>
            <w:tcMar>
              <w:top w:w="60" w:type="dxa"/>
              <w:start w:w="110" w:type="dxa"/>
              <w:bottom w:w="60" w:type="dxa"/>
              <w:end w:w="110" w:type="dxa"/>
            </w:tcMar>
            <w:shd w:val="clear" w:color="auto" w:fill="F4F7FB"/>
          </w:tcPr>
          <w:p>
            <w:pPr>
              <w:spacing w:after="0"/>
            </w:pPr>
            <w:r/>
            <w:r>
              <w:rPr>
                <w:rFonts w:ascii="Calibri" w:hAnsi="Calibri"/>
                <w:b w:val="0"/>
                <w:i w:val="0"/>
                <w:color w:val="101828"/>
                <w:sz w:val="15"/>
              </w:rPr>
              <w:t>1:1 users; 0:1 documents (avatar)</w:t>
            </w:r>
          </w:p>
        </w:tc>
      </w:tr>
      <w:tr>
        <w:trPr>
          <w:cantSplit/>
        </w:trPr>
        <w:tc>
          <w:tcPr>
            <w:tcW w:type="dxa" w:w="1656"/>
            <w:tcMar>
              <w:top w:w="60" w:type="dxa"/>
              <w:start w:w="110" w:type="dxa"/>
              <w:bottom w:w="60" w:type="dxa"/>
              <w:end w:w="110" w:type="dxa"/>
            </w:tcMar>
          </w:tcPr>
          <w:p>
            <w:pPr>
              <w:spacing w:after="0"/>
            </w:pPr>
            <w:r/>
            <w:r>
              <w:rPr>
                <w:rFonts w:ascii="Consolas" w:hAnsi="Consolas"/>
                <w:color w:val="146EF5"/>
                <w:sz w:val="15"/>
              </w:rPr>
              <w:t>verification_checks</w:t>
            </w:r>
            <w:r>
              <w:rPr>
                <w:rFonts w:ascii="Calibri" w:hAnsi="Calibri"/>
                <w:b w:val="0"/>
                <w:i w:val="0"/>
                <w:color w:val="101828"/>
                <w:sz w:val="15"/>
              </w:rPr>
              <w:t xml:space="preserve"> *</w:t>
            </w:r>
          </w:p>
        </w:tc>
        <w:tc>
          <w:tcPr>
            <w:tcW w:type="dxa" w:w="2808"/>
            <w:tcMar>
              <w:top w:w="60" w:type="dxa"/>
              <w:start w:w="110" w:type="dxa"/>
              <w:bottom w:w="60" w:type="dxa"/>
              <w:end w:w="110" w:type="dxa"/>
            </w:tcMar>
          </w:tcPr>
          <w:p>
            <w:pPr>
              <w:spacing w:after="0"/>
            </w:pPr>
            <w:r/>
            <w:r>
              <w:rPr>
                <w:rFonts w:ascii="Calibri" w:hAnsi="Calibri"/>
                <w:b w:val="0"/>
                <w:i w:val="0"/>
                <w:color w:val="101828"/>
                <w:sz w:val="15"/>
              </w:rPr>
              <w:t>One attempt at one check. A re-verification is a new row so the history of failures survives.</w:t>
            </w:r>
          </w:p>
        </w:tc>
        <w:tc>
          <w:tcPr>
            <w:tcW w:type="dxa" w:w="2664"/>
            <w:tcMar>
              <w:top w:w="60" w:type="dxa"/>
              <w:start w:w="110" w:type="dxa"/>
              <w:bottom w:w="60" w:type="dxa"/>
              <w:end w:w="110" w:type="dxa"/>
            </w:tcMar>
          </w:tcPr>
          <w:p>
            <w:pPr>
              <w:spacing w:after="0"/>
            </w:pPr>
            <w:r/>
            <w:r>
              <w:rPr>
                <w:rFonts w:ascii="Consolas" w:hAnsi="Consolas"/>
                <w:color w:val="146EF5"/>
                <w:sz w:val="15"/>
              </w:rPr>
              <w:t>user_id</w:t>
            </w:r>
            <w:r>
              <w:rPr>
                <w:rFonts w:ascii="Calibri" w:hAnsi="Calibri"/>
                <w:b w:val="0"/>
                <w:i w:val="0"/>
                <w:color w:val="101828"/>
                <w:sz w:val="15"/>
              </w:rPr>
              <w:t xml:space="preserve">, </w:t>
            </w:r>
            <w:r>
              <w:rPr>
                <w:rFonts w:ascii="Consolas" w:hAnsi="Consolas"/>
                <w:color w:val="146EF5"/>
                <w:sz w:val="15"/>
              </w:rPr>
              <w:t>check_type</w:t>
            </w:r>
            <w:r>
              <w:rPr>
                <w:rFonts w:ascii="Calibri" w:hAnsi="Calibri"/>
                <w:b w:val="0"/>
                <w:i w:val="0"/>
                <w:color w:val="101828"/>
                <w:sz w:val="15"/>
              </w:rPr>
              <w:t xml:space="preserve">, </w:t>
            </w:r>
            <w:r>
              <w:rPr>
                <w:rFonts w:ascii="Consolas" w:hAnsi="Consolas"/>
                <w:color w:val="146EF5"/>
                <w:sz w:val="15"/>
              </w:rPr>
              <w:t>status</w:t>
            </w:r>
            <w:r>
              <w:rPr>
                <w:rFonts w:ascii="Calibri" w:hAnsi="Calibri"/>
                <w:b w:val="0"/>
                <w:i w:val="0"/>
                <w:color w:val="101828"/>
                <w:sz w:val="15"/>
              </w:rPr>
              <w:t xml:space="preserve">, </w:t>
            </w:r>
            <w:r>
              <w:rPr>
                <w:rFonts w:ascii="Consolas" w:hAnsi="Consolas"/>
                <w:color w:val="146EF5"/>
                <w:sz w:val="15"/>
              </w:rPr>
              <w:t>provider_reference</w:t>
            </w:r>
            <w:r>
              <w:rPr>
                <w:rFonts w:ascii="Calibri" w:hAnsi="Calibri"/>
                <w:b w:val="0"/>
                <w:i w:val="0"/>
                <w:color w:val="101828"/>
                <w:sz w:val="15"/>
              </w:rPr>
              <w:t xml:space="preserve">, </w:t>
            </w:r>
            <w:r>
              <w:rPr>
                <w:rFonts w:ascii="Consolas" w:hAnsi="Consolas"/>
                <w:color w:val="146EF5"/>
                <w:sz w:val="15"/>
              </w:rPr>
              <w:t>failure_reason</w:t>
            </w:r>
            <w:r>
              <w:rPr>
                <w:rFonts w:ascii="Calibri" w:hAnsi="Calibri"/>
                <w:b w:val="0"/>
                <w:i w:val="0"/>
                <w:color w:val="101828"/>
                <w:sz w:val="15"/>
              </w:rPr>
              <w:t xml:space="preserve">, </w:t>
            </w:r>
            <w:r>
              <w:rPr>
                <w:rFonts w:ascii="Consolas" w:hAnsi="Consolas"/>
                <w:color w:val="146EF5"/>
                <w:sz w:val="15"/>
              </w:rPr>
              <w:t>expires_at</w:t>
            </w:r>
          </w:p>
        </w:tc>
        <w:tc>
          <w:tcPr>
            <w:tcW w:type="dxa" w:w="2232"/>
            <w:tcMar>
              <w:top w:w="60" w:type="dxa"/>
              <w:start w:w="110" w:type="dxa"/>
              <w:bottom w:w="60" w:type="dxa"/>
              <w:end w:w="110" w:type="dxa"/>
            </w:tcMar>
          </w:tcPr>
          <w:p>
            <w:pPr>
              <w:spacing w:after="0"/>
            </w:pPr>
            <w:r/>
            <w:r>
              <w:rPr>
                <w:rFonts w:ascii="Calibri" w:hAnsi="Calibri"/>
                <w:b w:val="0"/>
                <w:i w:val="0"/>
                <w:color w:val="101828"/>
                <w:sz w:val="15"/>
              </w:rPr>
              <w:t>N:1 users; 1:N documents; 1:N audit_logs</w:t>
            </w:r>
          </w:p>
        </w:tc>
      </w:tr>
      <w:tr>
        <w:trPr>
          <w:cantSplit/>
        </w:trPr>
        <w:tc>
          <w:tcPr>
            <w:tcW w:type="dxa" w:w="1656"/>
            <w:tcMar>
              <w:top w:w="60" w:type="dxa"/>
              <w:start w:w="110" w:type="dxa"/>
              <w:bottom w:w="60" w:type="dxa"/>
              <w:end w:w="110" w:type="dxa"/>
            </w:tcMar>
            <w:shd w:val="clear" w:color="auto" w:fill="F4F7FB"/>
          </w:tcPr>
          <w:p>
            <w:pPr>
              <w:spacing w:after="0"/>
            </w:pPr>
            <w:r/>
            <w:r>
              <w:rPr>
                <w:rFonts w:ascii="Consolas" w:hAnsi="Consolas"/>
                <w:color w:val="146EF5"/>
                <w:sz w:val="15"/>
              </w:rPr>
              <w:t>documents</w:t>
            </w:r>
            <w:r>
              <w:rPr>
                <w:rFonts w:ascii="Calibri" w:hAnsi="Calibri"/>
                <w:b w:val="0"/>
                <w:i w:val="0"/>
                <w:color w:val="101828"/>
                <w:sz w:val="15"/>
              </w:rPr>
              <w:t xml:space="preserve"> *</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5"/>
              </w:rPr>
              <w:t>The record of a file, not the file. Bytes live in object storage.</w:t>
            </w:r>
          </w:p>
        </w:tc>
        <w:tc>
          <w:tcPr>
            <w:tcW w:type="dxa" w:w="2664"/>
            <w:tcMar>
              <w:top w:w="60" w:type="dxa"/>
              <w:start w:w="110" w:type="dxa"/>
              <w:bottom w:w="60" w:type="dxa"/>
              <w:end w:w="110" w:type="dxa"/>
            </w:tcMar>
            <w:shd w:val="clear" w:color="auto" w:fill="F4F7FB"/>
          </w:tcPr>
          <w:p>
            <w:pPr>
              <w:spacing w:after="0"/>
            </w:pPr>
            <w:r/>
            <w:r>
              <w:rPr>
                <w:rFonts w:ascii="Consolas" w:hAnsi="Consolas"/>
                <w:color w:val="146EF5"/>
                <w:sz w:val="15"/>
              </w:rPr>
              <w:t>owner_user_id</w:t>
            </w:r>
            <w:r>
              <w:rPr>
                <w:rFonts w:ascii="Calibri" w:hAnsi="Calibri"/>
                <w:b w:val="0"/>
                <w:i w:val="0"/>
                <w:color w:val="101828"/>
                <w:sz w:val="15"/>
              </w:rPr>
              <w:t xml:space="preserve">, </w:t>
            </w:r>
            <w:r>
              <w:rPr>
                <w:rFonts w:ascii="Consolas" w:hAnsi="Consolas"/>
                <w:color w:val="146EF5"/>
                <w:sz w:val="15"/>
              </w:rPr>
              <w:t>verification_check_id</w:t>
            </w:r>
            <w:r>
              <w:rPr>
                <w:rFonts w:ascii="Calibri" w:hAnsi="Calibri"/>
                <w:b w:val="0"/>
                <w:i w:val="0"/>
                <w:color w:val="101828"/>
                <w:sz w:val="15"/>
              </w:rPr>
              <w:t xml:space="preserve">, </w:t>
            </w:r>
            <w:r>
              <w:rPr>
                <w:rFonts w:ascii="Consolas" w:hAnsi="Consolas"/>
                <w:color w:val="146EF5"/>
                <w:sz w:val="15"/>
              </w:rPr>
              <w:t>doc_type_id</w:t>
            </w:r>
            <w:r>
              <w:rPr>
                <w:rFonts w:ascii="Calibri" w:hAnsi="Calibri"/>
                <w:b w:val="0"/>
                <w:i w:val="0"/>
                <w:color w:val="101828"/>
                <w:sz w:val="15"/>
              </w:rPr>
              <w:t xml:space="preserve">, </w:t>
            </w:r>
            <w:r>
              <w:rPr>
                <w:rFonts w:ascii="Consolas" w:hAnsi="Consolas"/>
                <w:color w:val="146EF5"/>
                <w:sz w:val="15"/>
              </w:rPr>
              <w:t>storage_bucket</w:t>
            </w:r>
            <w:r>
              <w:rPr>
                <w:rFonts w:ascii="Calibri" w:hAnsi="Calibri"/>
                <w:b w:val="0"/>
                <w:i w:val="0"/>
                <w:color w:val="101828"/>
                <w:sz w:val="15"/>
              </w:rPr>
              <w:t xml:space="preserve">, </w:t>
            </w:r>
            <w:r>
              <w:rPr>
                <w:rFonts w:ascii="Consolas" w:hAnsi="Consolas"/>
                <w:color w:val="146EF5"/>
                <w:sz w:val="15"/>
              </w:rPr>
              <w:t>storage_path</w:t>
            </w:r>
            <w:r>
              <w:rPr>
                <w:rFonts w:ascii="Calibri" w:hAnsi="Calibri"/>
                <w:b w:val="0"/>
                <w:i w:val="0"/>
                <w:color w:val="101828"/>
                <w:sz w:val="15"/>
              </w:rPr>
              <w:t xml:space="preserve">, </w:t>
            </w:r>
            <w:r>
              <w:rPr>
                <w:rFonts w:ascii="Consolas" w:hAnsi="Consolas"/>
                <w:color w:val="146EF5"/>
                <w:sz w:val="15"/>
              </w:rPr>
              <w:t>sha256</w:t>
            </w:r>
            <w:r>
              <w:rPr>
                <w:rFonts w:ascii="Calibri" w:hAnsi="Calibri"/>
                <w:b w:val="0"/>
                <w:i w:val="0"/>
                <w:color w:val="101828"/>
                <w:sz w:val="15"/>
              </w:rPr>
              <w:t xml:space="preserve">, </w:t>
            </w:r>
            <w:r>
              <w:rPr>
                <w:rFonts w:ascii="Consolas" w:hAnsi="Consolas"/>
                <w:color w:val="146EF5"/>
                <w:sz w:val="15"/>
              </w:rPr>
              <w:t>mime_type</w:t>
            </w:r>
            <w:r>
              <w:rPr>
                <w:rFonts w:ascii="Calibri" w:hAnsi="Calibri"/>
                <w:b w:val="0"/>
                <w:i w:val="0"/>
                <w:color w:val="101828"/>
                <w:sz w:val="15"/>
              </w:rPr>
              <w:t xml:space="preserve">, </w:t>
            </w:r>
            <w:r>
              <w:rPr>
                <w:rFonts w:ascii="Consolas" w:hAnsi="Consolas"/>
                <w:color w:val="146EF5"/>
                <w:sz w:val="15"/>
              </w:rPr>
              <w:t>byte_size</w:t>
            </w:r>
            <w:r>
              <w:rPr>
                <w:rFonts w:ascii="Calibri" w:hAnsi="Calibri"/>
                <w:b w:val="0"/>
                <w:i w:val="0"/>
                <w:color w:val="101828"/>
                <w:sz w:val="15"/>
              </w:rPr>
              <w:t xml:space="preserve">, </w:t>
            </w:r>
            <w:r>
              <w:rPr>
                <w:rFonts w:ascii="Consolas" w:hAnsi="Consolas"/>
                <w:color w:val="146EF5"/>
                <w:sz w:val="15"/>
              </w:rPr>
              <w:t>scan_status</w:t>
            </w:r>
          </w:p>
        </w:tc>
        <w:tc>
          <w:tcPr>
            <w:tcW w:type="dxa" w:w="2232"/>
            <w:tcMar>
              <w:top w:w="60" w:type="dxa"/>
              <w:start w:w="110" w:type="dxa"/>
              <w:bottom w:w="60" w:type="dxa"/>
              <w:end w:w="110" w:type="dxa"/>
            </w:tcMar>
            <w:shd w:val="clear" w:color="auto" w:fill="F4F7FB"/>
          </w:tcPr>
          <w:p>
            <w:pPr>
              <w:spacing w:after="0"/>
            </w:pPr>
            <w:r/>
            <w:r>
              <w:rPr>
                <w:rFonts w:ascii="Calibri" w:hAnsi="Calibri"/>
                <w:b w:val="0"/>
                <w:i w:val="0"/>
                <w:color w:val="101828"/>
                <w:sz w:val="15"/>
              </w:rPr>
              <w:t>N:1 users; N:1 verification_checks; N:1 document_types; N:1 disputes (via dispute_evidence)</w:t>
            </w:r>
          </w:p>
        </w:tc>
      </w:tr>
      <w:tr>
        <w:trPr>
          <w:cantSplit/>
        </w:trPr>
        <w:tc>
          <w:tcPr>
            <w:tcW w:type="dxa" w:w="1656"/>
            <w:tcMar>
              <w:top w:w="60" w:type="dxa"/>
              <w:start w:w="110" w:type="dxa"/>
              <w:bottom w:w="60" w:type="dxa"/>
              <w:end w:w="110" w:type="dxa"/>
            </w:tcMar>
          </w:tcPr>
          <w:p>
            <w:pPr>
              <w:spacing w:after="0"/>
            </w:pPr>
            <w:r/>
            <w:r>
              <w:rPr>
                <w:rFonts w:ascii="Consolas" w:hAnsi="Consolas"/>
                <w:color w:val="146EF5"/>
                <w:sz w:val="15"/>
              </w:rPr>
              <w:t>admins</w:t>
            </w:r>
            <w:r>
              <w:rPr>
                <w:rFonts w:ascii="Calibri" w:hAnsi="Calibri"/>
                <w:b w:val="0"/>
                <w:i w:val="0"/>
                <w:color w:val="101828"/>
                <w:sz w:val="15"/>
              </w:rPr>
              <w:t xml:space="preserve"> *</w:t>
            </w:r>
          </w:p>
        </w:tc>
        <w:tc>
          <w:tcPr>
            <w:tcW w:type="dxa" w:w="2808"/>
            <w:tcMar>
              <w:top w:w="60" w:type="dxa"/>
              <w:start w:w="110" w:type="dxa"/>
              <w:bottom w:w="60" w:type="dxa"/>
              <w:end w:w="110" w:type="dxa"/>
            </w:tcMar>
          </w:tcPr>
          <w:p>
            <w:pPr>
              <w:spacing w:after="0"/>
            </w:pPr>
            <w:r/>
            <w:r>
              <w:rPr>
                <w:rFonts w:ascii="Calibri" w:hAnsi="Calibri"/>
                <w:b w:val="0"/>
                <w:i w:val="0"/>
                <w:color w:val="101828"/>
                <w:sz w:val="15"/>
              </w:rPr>
              <w:t xml:space="preserve">The platform-operator flag. A person is a user who is an admin; </w:t>
            </w:r>
            <w:r>
              <w:rPr>
                <w:rFonts w:ascii="Consolas" w:hAnsi="Consolas"/>
                <w:color w:val="146EF5"/>
                <w:sz w:val="15"/>
              </w:rPr>
              <w:t>admins</w:t>
            </w:r>
            <w:r>
              <w:rPr>
                <w:rFonts w:ascii="Calibri" w:hAnsi="Calibri"/>
                <w:b w:val="0"/>
                <w:i w:val="0"/>
                <w:color w:val="101828"/>
                <w:sz w:val="15"/>
              </w:rPr>
              <w:t xml:space="preserve"> holds operator state, not permissions.</w:t>
            </w:r>
          </w:p>
        </w:tc>
        <w:tc>
          <w:tcPr>
            <w:tcW w:type="dxa" w:w="2664"/>
            <w:tcMar>
              <w:top w:w="60" w:type="dxa"/>
              <w:start w:w="110" w:type="dxa"/>
              <w:bottom w:w="60" w:type="dxa"/>
              <w:end w:w="110" w:type="dxa"/>
            </w:tcMar>
          </w:tcPr>
          <w:p>
            <w:pPr>
              <w:spacing w:after="0"/>
            </w:pPr>
            <w:r/>
            <w:r>
              <w:rPr>
                <w:rFonts w:ascii="Consolas" w:hAnsi="Consolas"/>
                <w:color w:val="146EF5"/>
                <w:sz w:val="15"/>
              </w:rPr>
              <w:t>user_id</w:t>
            </w:r>
            <w:r>
              <w:rPr>
                <w:rFonts w:ascii="Calibri" w:hAnsi="Calibri"/>
                <w:b w:val="0"/>
                <w:i w:val="0"/>
                <w:color w:val="101828"/>
                <w:sz w:val="15"/>
              </w:rPr>
              <w:t xml:space="preserve">, </w:t>
            </w:r>
            <w:r>
              <w:rPr>
                <w:rFonts w:ascii="Consolas" w:hAnsi="Consolas"/>
                <w:color w:val="146EF5"/>
                <w:sz w:val="15"/>
              </w:rPr>
              <w:t>operator_status</w:t>
            </w:r>
            <w:r>
              <w:rPr>
                <w:rFonts w:ascii="Calibri" w:hAnsi="Calibri"/>
                <w:b w:val="0"/>
                <w:i w:val="0"/>
                <w:color w:val="101828"/>
                <w:sz w:val="15"/>
              </w:rPr>
              <w:t xml:space="preserve">, </w:t>
            </w:r>
            <w:r>
              <w:rPr>
                <w:rFonts w:ascii="Consolas" w:hAnsi="Consolas"/>
                <w:color w:val="146EF5"/>
                <w:sz w:val="15"/>
              </w:rPr>
              <w:t>last_active_at</w:t>
            </w:r>
            <w:r>
              <w:rPr>
                <w:rFonts w:ascii="Calibri" w:hAnsi="Calibri"/>
                <w:b w:val="0"/>
                <w:i w:val="0"/>
                <w:color w:val="101828"/>
                <w:sz w:val="15"/>
              </w:rPr>
              <w:t xml:space="preserve">, </w:t>
            </w:r>
            <w:r>
              <w:rPr>
                <w:rFonts w:ascii="Consolas" w:hAnsi="Consolas"/>
                <w:color w:val="146EF5"/>
                <w:sz w:val="15"/>
              </w:rPr>
              <w:t>invited_by_user_id</w:t>
            </w:r>
          </w:p>
        </w:tc>
        <w:tc>
          <w:tcPr>
            <w:tcW w:type="dxa" w:w="2232"/>
            <w:tcMar>
              <w:top w:w="60" w:type="dxa"/>
              <w:start w:w="110" w:type="dxa"/>
              <w:bottom w:w="60" w:type="dxa"/>
              <w:end w:w="110" w:type="dxa"/>
            </w:tcMar>
          </w:tcPr>
          <w:p>
            <w:pPr>
              <w:spacing w:after="0"/>
            </w:pPr>
            <w:r/>
            <w:r>
              <w:rPr>
                <w:rFonts w:ascii="Calibri" w:hAnsi="Calibri"/>
                <w:b w:val="0"/>
                <w:i w:val="0"/>
                <w:color w:val="101828"/>
                <w:sz w:val="15"/>
              </w:rPr>
              <w:t>1:1 users; 1:N role_assignments</w:t>
            </w:r>
          </w:p>
        </w:tc>
      </w:tr>
      <w:tr>
        <w:trPr>
          <w:cantSplit/>
        </w:trPr>
        <w:tc>
          <w:tcPr>
            <w:tcW w:type="dxa" w:w="1656"/>
            <w:tcMar>
              <w:top w:w="60" w:type="dxa"/>
              <w:start w:w="110" w:type="dxa"/>
              <w:bottom w:w="60" w:type="dxa"/>
              <w:end w:w="110" w:type="dxa"/>
            </w:tcMar>
            <w:shd w:val="clear" w:color="auto" w:fill="F4F7FB"/>
          </w:tcPr>
          <w:p>
            <w:pPr>
              <w:spacing w:after="0"/>
            </w:pPr>
            <w:r/>
            <w:r>
              <w:rPr>
                <w:rFonts w:ascii="Consolas" w:hAnsi="Consolas"/>
                <w:color w:val="146EF5"/>
                <w:sz w:val="15"/>
              </w:rPr>
              <w:t>roles</w:t>
            </w:r>
            <w:r>
              <w:rPr>
                <w:rFonts w:ascii="Calibri" w:hAnsi="Calibri"/>
                <w:b w:val="0"/>
                <w:i w:val="0"/>
                <w:color w:val="101828"/>
                <w:sz w:val="15"/>
              </w:rPr>
              <w:t xml:space="preserve"> *</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5"/>
              </w:rPr>
              <w:t>The six canonical roles as data, seeded and immutable in code by role, not by row.</w:t>
            </w:r>
          </w:p>
        </w:tc>
        <w:tc>
          <w:tcPr>
            <w:tcW w:type="dxa" w:w="2664"/>
            <w:tcMar>
              <w:top w:w="60" w:type="dxa"/>
              <w:start w:w="110" w:type="dxa"/>
              <w:bottom w:w="60" w:type="dxa"/>
              <w:end w:w="110" w:type="dxa"/>
            </w:tcMar>
            <w:shd w:val="clear" w:color="auto" w:fill="F4F7FB"/>
          </w:tcPr>
          <w:p>
            <w:pPr>
              <w:spacing w:after="0"/>
            </w:pPr>
            <w:r/>
            <w:r>
              <w:rPr>
                <w:rFonts w:ascii="Consolas" w:hAnsi="Consolas"/>
                <w:color w:val="146EF5"/>
                <w:sz w:val="15"/>
              </w:rPr>
              <w:t>code</w:t>
            </w:r>
            <w:r>
              <w:rPr>
                <w:rFonts w:ascii="Calibri" w:hAnsi="Calibri"/>
                <w:b w:val="0"/>
                <w:i w:val="0"/>
                <w:color w:val="101828"/>
                <w:sz w:val="15"/>
              </w:rPr>
              <w:t xml:space="preserve"> (user, ajo_organizer, ajo_member, support, risk_officer, super_admin), </w:t>
            </w:r>
            <w:r>
              <w:rPr>
                <w:rFonts w:ascii="Consolas" w:hAnsi="Consolas"/>
                <w:color w:val="146EF5"/>
                <w:sz w:val="15"/>
              </w:rPr>
              <w:t>scope</w:t>
            </w:r>
            <w:r>
              <w:rPr>
                <w:rFonts w:ascii="Calibri" w:hAnsi="Calibri"/>
                <w:b w:val="0"/>
                <w:i w:val="0"/>
                <w:color w:val="101828"/>
                <w:sz w:val="15"/>
              </w:rPr>
              <w:t xml:space="preserve">, </w:t>
            </w:r>
            <w:r>
              <w:rPr>
                <w:rFonts w:ascii="Consolas" w:hAnsi="Consolas"/>
                <w:color w:val="146EF5"/>
                <w:sz w:val="15"/>
              </w:rPr>
              <w:t>description</w:t>
            </w:r>
          </w:p>
        </w:tc>
        <w:tc>
          <w:tcPr>
            <w:tcW w:type="dxa" w:w="2232"/>
            <w:tcMar>
              <w:top w:w="60" w:type="dxa"/>
              <w:start w:w="110" w:type="dxa"/>
              <w:bottom w:w="60" w:type="dxa"/>
              <w:end w:w="110" w:type="dxa"/>
            </w:tcMar>
            <w:shd w:val="clear" w:color="auto" w:fill="F4F7FB"/>
          </w:tcPr>
          <w:p>
            <w:pPr>
              <w:spacing w:after="0"/>
            </w:pPr>
            <w:r/>
            <w:r>
              <w:rPr>
                <w:rFonts w:ascii="Calibri" w:hAnsi="Calibri"/>
                <w:b w:val="0"/>
                <w:i w:val="0"/>
                <w:color w:val="101828"/>
                <w:sz w:val="15"/>
              </w:rPr>
              <w:t>1:N role_assignments</w:t>
            </w:r>
          </w:p>
        </w:tc>
      </w:tr>
      <w:tr>
        <w:trPr>
          <w:cantSplit/>
        </w:trPr>
        <w:tc>
          <w:tcPr>
            <w:tcW w:type="dxa" w:w="1656"/>
            <w:tcMar>
              <w:top w:w="60" w:type="dxa"/>
              <w:start w:w="110" w:type="dxa"/>
              <w:bottom w:w="60" w:type="dxa"/>
              <w:end w:w="110" w:type="dxa"/>
            </w:tcMar>
          </w:tcPr>
          <w:p>
            <w:pPr>
              <w:spacing w:after="0"/>
            </w:pPr>
            <w:r/>
            <w:r>
              <w:rPr>
                <w:rFonts w:ascii="Consolas" w:hAnsi="Consolas"/>
                <w:color w:val="146EF5"/>
                <w:sz w:val="15"/>
              </w:rPr>
              <w:t>role_assignments</w:t>
            </w:r>
            <w:r>
              <w:rPr>
                <w:rFonts w:ascii="Calibri" w:hAnsi="Calibri"/>
                <w:b w:val="0"/>
                <w:i w:val="0"/>
                <w:color w:val="101828"/>
                <w:sz w:val="15"/>
              </w:rPr>
              <w:t xml:space="preserve"> *</w:t>
            </w:r>
          </w:p>
        </w:tc>
        <w:tc>
          <w:tcPr>
            <w:tcW w:type="dxa" w:w="2808"/>
            <w:tcMar>
              <w:top w:w="60" w:type="dxa"/>
              <w:start w:w="110" w:type="dxa"/>
              <w:bottom w:w="60" w:type="dxa"/>
              <w:end w:w="110" w:type="dxa"/>
            </w:tcMar>
          </w:tcPr>
          <w:p>
            <w:pPr>
              <w:spacing w:after="0"/>
            </w:pPr>
            <w:r/>
            <w:r>
              <w:rPr>
                <w:rFonts w:ascii="Calibri" w:hAnsi="Calibri"/>
                <w:b w:val="0"/>
                <w:i w:val="0"/>
                <w:color w:val="101828"/>
                <w:sz w:val="15"/>
              </w:rPr>
              <w:t>A scoped grant. Platform grants have no Ajo; Ajo grants name exactly one Ajo.</w:t>
            </w:r>
          </w:p>
        </w:tc>
        <w:tc>
          <w:tcPr>
            <w:tcW w:type="dxa" w:w="2664"/>
            <w:tcMar>
              <w:top w:w="60" w:type="dxa"/>
              <w:start w:w="110" w:type="dxa"/>
              <w:bottom w:w="60" w:type="dxa"/>
              <w:end w:w="110" w:type="dxa"/>
            </w:tcMar>
          </w:tcPr>
          <w:p>
            <w:pPr>
              <w:spacing w:after="0"/>
            </w:pPr>
            <w:r/>
            <w:r>
              <w:rPr>
                <w:rFonts w:ascii="Consolas" w:hAnsi="Consolas"/>
                <w:color w:val="146EF5"/>
                <w:sz w:val="15"/>
              </w:rPr>
              <w:t>role_id</w:t>
            </w:r>
            <w:r>
              <w:rPr>
                <w:rFonts w:ascii="Calibri" w:hAnsi="Calibri"/>
                <w:b w:val="0"/>
                <w:i w:val="0"/>
                <w:color w:val="101828"/>
                <w:sz w:val="15"/>
              </w:rPr>
              <w:t xml:space="preserve">, </w:t>
            </w:r>
            <w:r>
              <w:rPr>
                <w:rFonts w:ascii="Consolas" w:hAnsi="Consolas"/>
                <w:color w:val="146EF5"/>
                <w:sz w:val="15"/>
              </w:rPr>
              <w:t>user_id</w:t>
            </w:r>
            <w:r>
              <w:rPr>
                <w:rFonts w:ascii="Calibri" w:hAnsi="Calibri"/>
                <w:b w:val="0"/>
                <w:i w:val="0"/>
                <w:color w:val="101828"/>
                <w:sz w:val="15"/>
              </w:rPr>
              <w:t xml:space="preserve">, </w:t>
            </w:r>
            <w:r>
              <w:rPr>
                <w:rFonts w:ascii="Consolas" w:hAnsi="Consolas"/>
                <w:color w:val="146EF5"/>
                <w:sz w:val="15"/>
              </w:rPr>
              <w:t>scope</w:t>
            </w:r>
            <w:r>
              <w:rPr>
                <w:rFonts w:ascii="Calibri" w:hAnsi="Calibri"/>
                <w:b w:val="0"/>
                <w:i w:val="0"/>
                <w:color w:val="101828"/>
                <w:sz w:val="15"/>
              </w:rPr>
              <w:t xml:space="preserve">, </w:t>
            </w:r>
            <w:r>
              <w:rPr>
                <w:rFonts w:ascii="Consolas" w:hAnsi="Consolas"/>
                <w:color w:val="146EF5"/>
                <w:sz w:val="15"/>
              </w:rPr>
              <w:t>ajo_id</w:t>
            </w:r>
            <w:r>
              <w:rPr>
                <w:rFonts w:ascii="Calibri" w:hAnsi="Calibri"/>
                <w:b w:val="0"/>
                <w:i w:val="0"/>
                <w:color w:val="101828"/>
                <w:sz w:val="15"/>
              </w:rPr>
              <w:t xml:space="preserve"> (nullable), </w:t>
            </w:r>
            <w:r>
              <w:rPr>
                <w:rFonts w:ascii="Consolas" w:hAnsi="Consolas"/>
                <w:color w:val="146EF5"/>
                <w:sz w:val="15"/>
              </w:rPr>
              <w:t>granted_by_user_id</w:t>
            </w:r>
            <w:r>
              <w:rPr>
                <w:rFonts w:ascii="Calibri" w:hAnsi="Calibri"/>
                <w:b w:val="0"/>
                <w:i w:val="0"/>
                <w:color w:val="101828"/>
                <w:sz w:val="15"/>
              </w:rPr>
              <w:t xml:space="preserve">, </w:t>
            </w:r>
            <w:r>
              <w:rPr>
                <w:rFonts w:ascii="Consolas" w:hAnsi="Consolas"/>
                <w:color w:val="146EF5"/>
                <w:sz w:val="15"/>
              </w:rPr>
              <w:t>expires_at</w:t>
            </w:r>
          </w:p>
        </w:tc>
        <w:tc>
          <w:tcPr>
            <w:tcW w:type="dxa" w:w="2232"/>
            <w:tcMar>
              <w:top w:w="60" w:type="dxa"/>
              <w:start w:w="110" w:type="dxa"/>
              <w:bottom w:w="60" w:type="dxa"/>
              <w:end w:w="110" w:type="dxa"/>
            </w:tcMar>
          </w:tcPr>
          <w:p>
            <w:pPr>
              <w:spacing w:after="0"/>
            </w:pPr>
            <w:r/>
            <w:r>
              <w:rPr>
                <w:rFonts w:ascii="Calibri" w:hAnsi="Calibri"/>
                <w:b w:val="0"/>
                <w:i w:val="0"/>
                <w:color w:val="101828"/>
                <w:sz w:val="15"/>
              </w:rPr>
              <w:t>N:1 roles; N:1 users; 0:1 ajos; N:1 ajo_members</w:t>
            </w:r>
          </w:p>
        </w:tc>
      </w:tr>
      <w:tr>
        <w:trPr>
          <w:cantSplit/>
        </w:trPr>
        <w:tc>
          <w:tcPr>
            <w:tcW w:type="dxa" w:w="1656"/>
            <w:tcMar>
              <w:top w:w="60" w:type="dxa"/>
              <w:start w:w="110" w:type="dxa"/>
              <w:bottom w:w="60" w:type="dxa"/>
              <w:end w:w="110" w:type="dxa"/>
            </w:tcMar>
            <w:shd w:val="clear" w:color="auto" w:fill="F4F7FB"/>
          </w:tcPr>
          <w:p>
            <w:pPr>
              <w:spacing w:after="0"/>
            </w:pPr>
            <w:r/>
            <w:r>
              <w:rPr>
                <w:rFonts w:ascii="Consolas" w:hAnsi="Consolas"/>
                <w:color w:val="146EF5"/>
                <w:sz w:val="15"/>
              </w:rPr>
              <w:t>sessions</w:t>
            </w:r>
            <w:r>
              <w:rPr>
                <w:rFonts w:ascii="Calibri" w:hAnsi="Calibri"/>
                <w:b w:val="0"/>
                <w:i w:val="0"/>
                <w:color w:val="101828"/>
                <w:sz w:val="15"/>
              </w:rPr>
              <w:t xml:space="preserve"> S</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5"/>
              </w:rPr>
              <w:t xml:space="preserve">Device sessions and revocation, serving </w:t>
            </w:r>
            <w:r>
              <w:rPr>
                <w:rFonts w:ascii="Consolas" w:hAnsi="Consolas"/>
                <w:color w:val="146EF5"/>
                <w:sz w:val="15"/>
              </w:rPr>
              <w:t>GET /auth/sessions</w:t>
            </w:r>
            <w:r>
              <w:rPr>
                <w:rFonts w:ascii="Calibri" w:hAnsi="Calibri"/>
                <w:b w:val="0"/>
                <w:i w:val="0"/>
                <w:color w:val="101828"/>
                <w:sz w:val="15"/>
              </w:rPr>
              <w:t xml:space="preserve"> and the </w:t>
            </w:r>
            <w:r>
              <w:rPr>
                <w:rFonts w:ascii="Consolas" w:hAnsi="Consolas"/>
                <w:color w:val="146EF5"/>
                <w:sz w:val="15"/>
              </w:rPr>
              <w:t>security.login_new_device</w:t>
            </w:r>
            <w:r>
              <w:rPr>
                <w:rFonts w:ascii="Calibri" w:hAnsi="Calibri"/>
                <w:b w:val="0"/>
                <w:i w:val="0"/>
                <w:color w:val="101828"/>
                <w:sz w:val="15"/>
              </w:rPr>
              <w:t xml:space="preserve"> alert.</w:t>
            </w:r>
          </w:p>
        </w:tc>
        <w:tc>
          <w:tcPr>
            <w:tcW w:type="dxa" w:w="2664"/>
            <w:tcMar>
              <w:top w:w="60" w:type="dxa"/>
              <w:start w:w="110" w:type="dxa"/>
              <w:bottom w:w="60" w:type="dxa"/>
              <w:end w:w="110" w:type="dxa"/>
            </w:tcMar>
            <w:shd w:val="clear" w:color="auto" w:fill="F4F7FB"/>
          </w:tcPr>
          <w:p>
            <w:pPr>
              <w:spacing w:after="0"/>
            </w:pPr>
            <w:r/>
            <w:r>
              <w:rPr>
                <w:rFonts w:ascii="Consolas" w:hAnsi="Consolas"/>
                <w:color w:val="146EF5"/>
                <w:sz w:val="15"/>
              </w:rPr>
              <w:t>user_id</w:t>
            </w:r>
            <w:r>
              <w:rPr>
                <w:rFonts w:ascii="Calibri" w:hAnsi="Calibri"/>
                <w:b w:val="0"/>
                <w:i w:val="0"/>
                <w:color w:val="101828"/>
                <w:sz w:val="15"/>
              </w:rPr>
              <w:t xml:space="preserve">, </w:t>
            </w:r>
            <w:r>
              <w:rPr>
                <w:rFonts w:ascii="Consolas" w:hAnsi="Consolas"/>
                <w:color w:val="146EF5"/>
                <w:sz w:val="15"/>
              </w:rPr>
              <w:t>refresh_token_hash</w:t>
            </w:r>
            <w:r>
              <w:rPr>
                <w:rFonts w:ascii="Calibri" w:hAnsi="Calibri"/>
                <w:b w:val="0"/>
                <w:i w:val="0"/>
                <w:color w:val="101828"/>
                <w:sz w:val="15"/>
              </w:rPr>
              <w:t xml:space="preserve">, </w:t>
            </w:r>
            <w:r>
              <w:rPr>
                <w:rFonts w:ascii="Consolas" w:hAnsi="Consolas"/>
                <w:color w:val="146EF5"/>
                <w:sz w:val="15"/>
              </w:rPr>
              <w:t>device_label</w:t>
            </w:r>
            <w:r>
              <w:rPr>
                <w:rFonts w:ascii="Calibri" w:hAnsi="Calibri"/>
                <w:b w:val="0"/>
                <w:i w:val="0"/>
                <w:color w:val="101828"/>
                <w:sz w:val="15"/>
              </w:rPr>
              <w:t xml:space="preserve">, </w:t>
            </w:r>
            <w:r>
              <w:rPr>
                <w:rFonts w:ascii="Consolas" w:hAnsi="Consolas"/>
                <w:color w:val="146EF5"/>
                <w:sz w:val="15"/>
              </w:rPr>
              <w:t>ip_address</w:t>
            </w:r>
            <w:r>
              <w:rPr>
                <w:rFonts w:ascii="Calibri" w:hAnsi="Calibri"/>
                <w:b w:val="0"/>
                <w:i w:val="0"/>
                <w:color w:val="101828"/>
                <w:sz w:val="15"/>
              </w:rPr>
              <w:t xml:space="preserve">, </w:t>
            </w:r>
            <w:r>
              <w:rPr>
                <w:rFonts w:ascii="Consolas" w:hAnsi="Consolas"/>
                <w:color w:val="146EF5"/>
                <w:sz w:val="15"/>
              </w:rPr>
              <w:t>user_agent</w:t>
            </w:r>
            <w:r>
              <w:rPr>
                <w:rFonts w:ascii="Calibri" w:hAnsi="Calibri"/>
                <w:b w:val="0"/>
                <w:i w:val="0"/>
                <w:color w:val="101828"/>
                <w:sz w:val="15"/>
              </w:rPr>
              <w:t xml:space="preserve">, </w:t>
            </w:r>
            <w:r>
              <w:rPr>
                <w:rFonts w:ascii="Consolas" w:hAnsi="Consolas"/>
                <w:color w:val="146EF5"/>
                <w:sz w:val="15"/>
              </w:rPr>
              <w:t>last_active_at</w:t>
            </w:r>
            <w:r>
              <w:rPr>
                <w:rFonts w:ascii="Calibri" w:hAnsi="Calibri"/>
                <w:b w:val="0"/>
                <w:i w:val="0"/>
                <w:color w:val="101828"/>
                <w:sz w:val="15"/>
              </w:rPr>
              <w:t xml:space="preserve">, </w:t>
            </w:r>
            <w:r>
              <w:rPr>
                <w:rFonts w:ascii="Consolas" w:hAnsi="Consolas"/>
                <w:color w:val="146EF5"/>
                <w:sz w:val="15"/>
              </w:rPr>
              <w:t>revoked_at</w:t>
            </w:r>
          </w:p>
        </w:tc>
        <w:tc>
          <w:tcPr>
            <w:tcW w:type="dxa" w:w="2232"/>
            <w:tcMar>
              <w:top w:w="60" w:type="dxa"/>
              <w:start w:w="110" w:type="dxa"/>
              <w:bottom w:w="60" w:type="dxa"/>
              <w:end w:w="110" w:type="dxa"/>
            </w:tcMar>
            <w:shd w:val="clear" w:color="auto" w:fill="F4F7FB"/>
          </w:tcPr>
          <w:p>
            <w:pPr>
              <w:spacing w:after="0"/>
            </w:pPr>
            <w:r/>
            <w:r>
              <w:rPr>
                <w:rFonts w:ascii="Calibri" w:hAnsi="Calibri"/>
                <w:b w:val="0"/>
                <w:i w:val="0"/>
                <w:color w:val="101828"/>
                <w:sz w:val="15"/>
              </w:rPr>
              <w:t>N:1 users; 0:1 device_tokens</w:t>
            </w:r>
          </w:p>
        </w:tc>
      </w:tr>
      <w:tr>
        <w:trPr>
          <w:cantSplit/>
        </w:trPr>
        <w:tc>
          <w:tcPr>
            <w:tcW w:type="dxa" w:w="1656"/>
            <w:tcMar>
              <w:top w:w="60" w:type="dxa"/>
              <w:start w:w="110" w:type="dxa"/>
              <w:bottom w:w="60" w:type="dxa"/>
              <w:end w:w="110" w:type="dxa"/>
            </w:tcMar>
          </w:tcPr>
          <w:p>
            <w:pPr>
              <w:spacing w:after="0"/>
            </w:pPr>
            <w:r/>
            <w:r>
              <w:rPr>
                <w:rFonts w:ascii="Consolas" w:hAnsi="Consolas"/>
                <w:color w:val="146EF5"/>
                <w:sz w:val="15"/>
              </w:rPr>
              <w:t>device_tokens</w:t>
            </w:r>
            <w:r>
              <w:rPr>
                <w:rFonts w:ascii="Calibri" w:hAnsi="Calibri"/>
                <w:b w:val="0"/>
                <w:i w:val="0"/>
                <w:color w:val="101828"/>
                <w:sz w:val="15"/>
              </w:rPr>
              <w:t xml:space="preserve"> S</w:t>
            </w:r>
          </w:p>
        </w:tc>
        <w:tc>
          <w:tcPr>
            <w:tcW w:type="dxa" w:w="2808"/>
            <w:tcMar>
              <w:top w:w="60" w:type="dxa"/>
              <w:start w:w="110" w:type="dxa"/>
              <w:bottom w:w="60" w:type="dxa"/>
              <w:end w:w="110" w:type="dxa"/>
            </w:tcMar>
          </w:tcPr>
          <w:p>
            <w:pPr>
              <w:spacing w:after="0"/>
            </w:pPr>
            <w:r/>
            <w:r>
              <w:rPr>
                <w:rFonts w:ascii="Calibri" w:hAnsi="Calibri"/>
                <w:b w:val="0"/>
                <w:i w:val="0"/>
                <w:color w:val="101828"/>
                <w:sz w:val="15"/>
              </w:rPr>
              <w:t>Push targets. A token is superseded, not deleted, so a notification in flight still reports.</w:t>
            </w:r>
          </w:p>
        </w:tc>
        <w:tc>
          <w:tcPr>
            <w:tcW w:type="dxa" w:w="2664"/>
            <w:tcMar>
              <w:top w:w="60" w:type="dxa"/>
              <w:start w:w="110" w:type="dxa"/>
              <w:bottom w:w="60" w:type="dxa"/>
              <w:end w:w="110" w:type="dxa"/>
            </w:tcMar>
          </w:tcPr>
          <w:p>
            <w:pPr>
              <w:spacing w:after="0"/>
            </w:pPr>
            <w:r/>
            <w:r>
              <w:rPr>
                <w:rFonts w:ascii="Consolas" w:hAnsi="Consolas"/>
                <w:color w:val="146EF5"/>
                <w:sz w:val="15"/>
              </w:rPr>
              <w:t>user_id</w:t>
            </w:r>
            <w:r>
              <w:rPr>
                <w:rFonts w:ascii="Calibri" w:hAnsi="Calibri"/>
                <w:b w:val="0"/>
                <w:i w:val="0"/>
                <w:color w:val="101828"/>
                <w:sz w:val="15"/>
              </w:rPr>
              <w:t xml:space="preserve">, </w:t>
            </w:r>
            <w:r>
              <w:rPr>
                <w:rFonts w:ascii="Consolas" w:hAnsi="Consolas"/>
                <w:color w:val="146EF5"/>
                <w:sz w:val="15"/>
              </w:rPr>
              <w:t>session_id</w:t>
            </w:r>
            <w:r>
              <w:rPr>
                <w:rFonts w:ascii="Calibri" w:hAnsi="Calibri"/>
                <w:b w:val="0"/>
                <w:i w:val="0"/>
                <w:color w:val="101828"/>
                <w:sz w:val="15"/>
              </w:rPr>
              <w:t xml:space="preserve">, </w:t>
            </w:r>
            <w:r>
              <w:rPr>
                <w:rFonts w:ascii="Consolas" w:hAnsi="Consolas"/>
                <w:color w:val="146EF5"/>
                <w:sz w:val="15"/>
              </w:rPr>
              <w:t>platform</w:t>
            </w:r>
            <w:r>
              <w:rPr>
                <w:rFonts w:ascii="Calibri" w:hAnsi="Calibri"/>
                <w:b w:val="0"/>
                <w:i w:val="0"/>
                <w:color w:val="101828"/>
                <w:sz w:val="15"/>
              </w:rPr>
              <w:t xml:space="preserve">, </w:t>
            </w:r>
            <w:r>
              <w:rPr>
                <w:rFonts w:ascii="Consolas" w:hAnsi="Consolas"/>
                <w:color w:val="146EF5"/>
                <w:sz w:val="15"/>
              </w:rPr>
              <w:t>push_token</w:t>
            </w:r>
            <w:r>
              <w:rPr>
                <w:rFonts w:ascii="Calibri" w:hAnsi="Calibri"/>
                <w:b w:val="0"/>
                <w:i w:val="0"/>
                <w:color w:val="101828"/>
                <w:sz w:val="15"/>
              </w:rPr>
              <w:t xml:space="preserve"> (unique), </w:t>
            </w:r>
            <w:r>
              <w:rPr>
                <w:rFonts w:ascii="Consolas" w:hAnsi="Consolas"/>
                <w:color w:val="146EF5"/>
                <w:sz w:val="15"/>
              </w:rPr>
              <w:t>last_seen_at</w:t>
            </w:r>
            <w:r>
              <w:rPr>
                <w:rFonts w:ascii="Calibri" w:hAnsi="Calibri"/>
                <w:b w:val="0"/>
                <w:i w:val="0"/>
                <w:color w:val="101828"/>
                <w:sz w:val="15"/>
              </w:rPr>
              <w:t xml:space="preserve">, </w:t>
            </w:r>
            <w:r>
              <w:rPr>
                <w:rFonts w:ascii="Consolas" w:hAnsi="Consolas"/>
                <w:color w:val="146EF5"/>
                <w:sz w:val="15"/>
              </w:rPr>
              <w:t>revoked_at</w:t>
            </w:r>
          </w:p>
        </w:tc>
        <w:tc>
          <w:tcPr>
            <w:tcW w:type="dxa" w:w="2232"/>
            <w:tcMar>
              <w:top w:w="60" w:type="dxa"/>
              <w:start w:w="110" w:type="dxa"/>
              <w:bottom w:w="60" w:type="dxa"/>
              <w:end w:w="110" w:type="dxa"/>
            </w:tcMar>
          </w:tcPr>
          <w:p>
            <w:pPr>
              <w:spacing w:after="0"/>
            </w:pPr>
            <w:r/>
            <w:r>
              <w:rPr>
                <w:rFonts w:ascii="Calibri" w:hAnsi="Calibri"/>
                <w:b w:val="0"/>
                <w:i w:val="0"/>
                <w:color w:val="101828"/>
                <w:sz w:val="15"/>
              </w:rPr>
              <w:t>N:1 users; 0:1 sessions</w:t>
            </w:r>
          </w:p>
        </w:tc>
      </w:tr>
    </w:tbl>
    <w:p>
      <w:pPr>
        <w:spacing w:after="80"/>
      </w:pP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Relationship</w:t>
            </w:r>
          </w:p>
        </w:tc>
        <w:tc>
          <w:tcPr>
            <w:tcW w:type="dxa" w:w="893"/>
            <w:shd w:val="clear" w:color="auto" w:fill="0B1F3A"/>
            <w:tcMar>
              <w:top w:w="60" w:type="dxa"/>
              <w:start w:w="110" w:type="dxa"/>
              <w:bottom w:w="60" w:type="dxa"/>
              <w:end w:w="110" w:type="dxa"/>
            </w:tcMar>
          </w:tcPr>
          <w:p>
            <w:pPr>
              <w:spacing w:after="0"/>
            </w:pPr>
            <w:r/>
            <w:r>
              <w:rPr>
                <w:rFonts w:ascii="Calibri" w:hAnsi="Calibri"/>
                <w:b/>
                <w:i w:val="0"/>
                <w:color w:val="FFFFFF"/>
                <w:sz w:val="14"/>
              </w:rPr>
              <w:t>Type</w:t>
            </w:r>
          </w:p>
        </w:tc>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4"/>
              </w:rPr>
              <w:t>Card.</w:t>
            </w:r>
          </w:p>
        </w:tc>
        <w:tc>
          <w:tcPr>
            <w:tcW w:type="dxa" w:w="1224"/>
            <w:shd w:val="clear" w:color="auto" w:fill="0B1F3A"/>
            <w:tcMar>
              <w:top w:w="60" w:type="dxa"/>
              <w:start w:w="110" w:type="dxa"/>
              <w:bottom w:w="60" w:type="dxa"/>
              <w:end w:w="110" w:type="dxa"/>
            </w:tcMar>
          </w:tcPr>
          <w:p>
            <w:pPr>
              <w:spacing w:after="0"/>
            </w:pPr>
            <w:r/>
            <w:r>
              <w:rPr>
                <w:rFonts w:ascii="Calibri" w:hAnsi="Calibri"/>
                <w:b/>
                <w:i w:val="0"/>
                <w:color w:val="FFFFFF"/>
                <w:sz w:val="14"/>
              </w:rPr>
              <w:t>FK</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4"/>
              </w:rPr>
              <w:t>Rule</w:t>
            </w:r>
          </w:p>
        </w:tc>
        <w:tc>
          <w:tcPr>
            <w:tcW w:type="dxa" w:w="2419"/>
            <w:shd w:val="clear" w:color="auto" w:fill="0B1F3A"/>
            <w:tcMar>
              <w:top w:w="60" w:type="dxa"/>
              <w:start w:w="110" w:type="dxa"/>
              <w:bottom w:w="60" w:type="dxa"/>
              <w:end w:w="110" w:type="dxa"/>
            </w:tcMar>
          </w:tcPr>
          <w:p>
            <w:pPr>
              <w:spacing w:after="0"/>
            </w:pPr>
            <w:r/>
            <w:r>
              <w:rPr>
                <w:rFonts w:ascii="Calibri" w:hAnsi="Calibri"/>
                <w:b/>
                <w:i w:val="0"/>
                <w:color w:val="FFFFFF"/>
                <w:sz w:val="14"/>
              </w:rPr>
              <w:t>Cascade behaviour</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users -&gt; profiles</w:t>
            </w:r>
          </w:p>
        </w:tc>
        <w:tc>
          <w:tcPr>
            <w:tcW w:type="dxa" w:w="893"/>
            <w:tcMar>
              <w:top w:w="60" w:type="dxa"/>
              <w:start w:w="110" w:type="dxa"/>
              <w:bottom w:w="60" w:type="dxa"/>
              <w:end w:w="110" w:type="dxa"/>
            </w:tcMar>
          </w:tcPr>
          <w:p>
            <w:pPr>
              <w:spacing w:after="0"/>
            </w:pPr>
            <w:r/>
            <w:r>
              <w:rPr>
                <w:rFonts w:ascii="Calibri" w:hAnsi="Calibri"/>
                <w:b w:val="0"/>
                <w:i w:val="0"/>
                <w:color w:val="101828"/>
                <w:sz w:val="14"/>
              </w:rPr>
              <w:t>1:1</w:t>
            </w:r>
          </w:p>
        </w:tc>
        <w:tc>
          <w:tcPr>
            <w:tcW w:type="dxa" w:w="720"/>
            <w:tcMar>
              <w:top w:w="60" w:type="dxa"/>
              <w:start w:w="110" w:type="dxa"/>
              <w:bottom w:w="60" w:type="dxa"/>
              <w:end w:w="110" w:type="dxa"/>
            </w:tcMar>
          </w:tcPr>
          <w:p>
            <w:pPr>
              <w:spacing w:after="0"/>
            </w:pPr>
            <w:r/>
            <w:r>
              <w:rPr>
                <w:rFonts w:ascii="Calibri" w:hAnsi="Calibri"/>
                <w:b w:val="0"/>
                <w:i w:val="0"/>
                <w:color w:val="101828"/>
                <w:sz w:val="14"/>
              </w:rPr>
              <w:t>1:1</w:t>
            </w:r>
          </w:p>
        </w:tc>
        <w:tc>
          <w:tcPr>
            <w:tcW w:type="dxa" w:w="1224"/>
            <w:tcMar>
              <w:top w:w="60" w:type="dxa"/>
              <w:start w:w="110" w:type="dxa"/>
              <w:bottom w:w="60" w:type="dxa"/>
              <w:end w:w="110" w:type="dxa"/>
            </w:tcMar>
          </w:tcPr>
          <w:p>
            <w:pPr>
              <w:spacing w:after="0"/>
            </w:pPr>
            <w:r/>
            <w:r>
              <w:rPr>
                <w:rFonts w:ascii="Consolas" w:hAnsi="Consolas"/>
                <w:color w:val="146EF5"/>
                <w:sz w:val="14"/>
              </w:rPr>
              <w:t>profiles.user_id</w:t>
            </w:r>
            <w:r>
              <w:rPr>
                <w:rFonts w:ascii="Calibri" w:hAnsi="Calibri"/>
                <w:b w:val="0"/>
                <w:i w:val="0"/>
                <w:color w:val="101828"/>
                <w:sz w:val="14"/>
              </w:rPr>
              <w:t xml:space="preserve"> UNIQUE</w:t>
            </w:r>
          </w:p>
        </w:tc>
        <w:tc>
          <w:tcPr>
            <w:tcW w:type="dxa" w:w="2448"/>
            <w:tcMar>
              <w:top w:w="60" w:type="dxa"/>
              <w:start w:w="110" w:type="dxa"/>
              <w:bottom w:w="60" w:type="dxa"/>
              <w:end w:w="110" w:type="dxa"/>
            </w:tcMar>
          </w:tcPr>
          <w:p>
            <w:pPr>
              <w:spacing w:after="0"/>
            </w:pPr>
            <w:r/>
            <w:r>
              <w:rPr>
                <w:rFonts w:ascii="Calibri" w:hAnsi="Calibri"/>
                <w:b w:val="0"/>
                <w:i w:val="0"/>
                <w:color w:val="101828"/>
                <w:sz w:val="14"/>
              </w:rPr>
              <w:t xml:space="preserve">Exactly one profile per user, created with the user in the same transaction. </w:t>
            </w:r>
            <w:r>
              <w:rPr>
                <w:rFonts w:ascii="Consolas" w:hAnsi="Consolas"/>
                <w:color w:val="146EF5"/>
                <w:sz w:val="14"/>
              </w:rPr>
              <w:t>UNIQUE (user_id)</w:t>
            </w:r>
            <w:r>
              <w:rPr>
                <w:rFonts w:ascii="Calibri" w:hAnsi="Calibri"/>
                <w:b w:val="0"/>
                <w:i w:val="0"/>
                <w:color w:val="101828"/>
                <w:sz w:val="14"/>
              </w:rPr>
              <w:t xml:space="preserve"> and </w:t>
            </w:r>
            <w:r>
              <w:rPr>
                <w:rFonts w:ascii="Consolas" w:hAnsi="Consolas"/>
                <w:color w:val="146EF5"/>
                <w:sz w:val="14"/>
              </w:rPr>
              <w:t>NOT NULL</w:t>
            </w:r>
            <w:r>
              <w:rPr>
                <w:rFonts w:ascii="Calibri" w:hAnsi="Calibri"/>
                <w:b w:val="0"/>
                <w:i w:val="0"/>
                <w:color w:val="101828"/>
                <w:sz w:val="14"/>
              </w:rPr>
              <w:t>.</w:t>
            </w:r>
          </w:p>
        </w:tc>
        <w:tc>
          <w:tcPr>
            <w:tcW w:type="dxa" w:w="2419"/>
            <w:tcMar>
              <w:top w:w="60" w:type="dxa"/>
              <w:start w:w="110" w:type="dxa"/>
              <w:bottom w:w="60" w:type="dxa"/>
              <w:end w:w="110" w:type="dxa"/>
            </w:tcMar>
          </w:tcPr>
          <w:p>
            <w:pPr>
              <w:spacing w:after="0"/>
            </w:pPr>
            <w:r/>
            <w:r>
              <w:rPr>
                <w:rFonts w:ascii="Calibri" w:hAnsi="Calibri"/>
                <w:b w:val="0"/>
                <w:i w:val="0"/>
                <w:color w:val="101828"/>
                <w:sz w:val="14"/>
              </w:rPr>
              <w:t>CASCADE on delete. No money, no history, recreatable.</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users -&gt; admins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1:1</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1:1</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admins.user_id</w:t>
            </w:r>
            <w:r>
              <w:rPr>
                <w:rFonts w:ascii="Calibri" w:hAnsi="Calibri"/>
                <w:b w:val="0"/>
                <w:i w:val="0"/>
                <w:color w:val="101828"/>
                <w:sz w:val="14"/>
              </w:rPr>
              <w:t xml:space="preserve"> UNIQUE</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Exactly one admin record per user who has one. Absence means not an admin; there is no default row.</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CASCADE. Revoking operator status is </w:t>
            </w:r>
            <w:r>
              <w:rPr>
                <w:rFonts w:ascii="Consolas" w:hAnsi="Consolas"/>
                <w:color w:val="146EF5"/>
                <w:sz w:val="14"/>
              </w:rPr>
              <w:t>status</w:t>
            </w:r>
            <w:r>
              <w:rPr>
                <w:rFonts w:ascii="Calibri" w:hAnsi="Calibri"/>
                <w:b w:val="0"/>
                <w:i w:val="0"/>
                <w:color w:val="101828"/>
                <w:sz w:val="14"/>
              </w:rPr>
              <w:t>, not deletion.</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users -&gt; verification_checks</w:t>
            </w:r>
          </w:p>
        </w:tc>
        <w:tc>
          <w:tcPr>
            <w:tcW w:type="dxa" w:w="893"/>
            <w:tcMar>
              <w:top w:w="60" w:type="dxa"/>
              <w:start w:w="110" w:type="dxa"/>
              <w:bottom w:w="60" w:type="dxa"/>
              <w:end w:w="110" w:type="dxa"/>
            </w:tcMar>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tcPr>
          <w:p>
            <w:pPr>
              <w:spacing w:after="0"/>
            </w:pPr>
            <w:r/>
            <w:r>
              <w:rPr>
                <w:rFonts w:ascii="Consolas" w:hAnsi="Consolas"/>
                <w:color w:val="146EF5"/>
                <w:sz w:val="14"/>
              </w:rPr>
              <w:t>verification_checks.user_id</w:t>
            </w:r>
          </w:p>
        </w:tc>
        <w:tc>
          <w:tcPr>
            <w:tcW w:type="dxa" w:w="2448"/>
            <w:tcMar>
              <w:top w:w="60" w:type="dxa"/>
              <w:start w:w="110" w:type="dxa"/>
              <w:bottom w:w="60" w:type="dxa"/>
              <w:end w:w="110" w:type="dxa"/>
            </w:tcMar>
          </w:tcPr>
          <w:p>
            <w:pPr>
              <w:spacing w:after="0"/>
            </w:pPr>
            <w:r/>
            <w:r>
              <w:rPr>
                <w:rFonts w:ascii="Calibri" w:hAnsi="Calibri"/>
                <w:b w:val="0"/>
                <w:i w:val="0"/>
                <w:color w:val="101828"/>
                <w:sz w:val="14"/>
              </w:rPr>
              <w:t xml:space="preserve">At least one check before a user can hold an active </w:t>
            </w:r>
            <w:r>
              <w:rPr>
                <w:rFonts w:ascii="Consolas" w:hAnsi="Consolas"/>
                <w:color w:val="146EF5"/>
                <w:sz w:val="14"/>
              </w:rPr>
              <w:t>ajo_members</w:t>
            </w:r>
            <w:r>
              <w:rPr>
                <w:rFonts w:ascii="Calibri" w:hAnsi="Calibri"/>
                <w:b w:val="0"/>
                <w:i w:val="0"/>
                <w:color w:val="101828"/>
                <w:sz w:val="14"/>
              </w:rPr>
              <w:t xml:space="preserve"> row. Checks are never edited after decision; a re-check is a new row.</w:t>
            </w:r>
          </w:p>
        </w:tc>
        <w:tc>
          <w:tcPr>
            <w:tcW w:type="dxa" w:w="2419"/>
            <w:tcMar>
              <w:top w:w="60" w:type="dxa"/>
              <w:start w:w="110" w:type="dxa"/>
              <w:bottom w:w="60" w:type="dxa"/>
              <w:end w:w="110" w:type="dxa"/>
            </w:tcMar>
          </w:tcPr>
          <w:p>
            <w:pPr>
              <w:spacing w:after="0"/>
            </w:pPr>
            <w:r/>
            <w:r>
              <w:rPr>
                <w:rFonts w:ascii="Calibri" w:hAnsi="Calibri"/>
                <w:b w:val="0"/>
                <w:i w:val="0"/>
                <w:color w:val="101828"/>
                <w:sz w:val="14"/>
              </w:rPr>
              <w:t>RESTRICT. Deleting a user must not erase the fact that they were or were not verified.</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verification_checks -&gt; documents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documents.verification_check_id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document submitted as evidence for that check. </w:t>
            </w:r>
            <w:r>
              <w:rPr>
                <w:rFonts w:ascii="Consolas" w:hAnsi="Consolas"/>
                <w:color w:val="146EF5"/>
                <w:sz w:val="14"/>
              </w:rPr>
              <w:t>ON DELETE SET NULL</w:t>
            </w:r>
            <w:r>
              <w:rPr>
                <w:rFonts w:ascii="Calibri" w:hAnsi="Calibri"/>
                <w:b w:val="0"/>
                <w:i w:val="0"/>
                <w:color w:val="101828"/>
                <w:sz w:val="14"/>
              </w:rPr>
              <w:t xml:space="preserve"> so the document's existence outlives the check reference.</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SET NULL. The document row survives and remains disclosable.</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users -&gt; documents</w:t>
            </w:r>
          </w:p>
        </w:tc>
        <w:tc>
          <w:tcPr>
            <w:tcW w:type="dxa" w:w="893"/>
            <w:tcMar>
              <w:top w:w="60" w:type="dxa"/>
              <w:start w:w="110" w:type="dxa"/>
              <w:bottom w:w="60" w:type="dxa"/>
              <w:end w:w="110" w:type="dxa"/>
            </w:tcMar>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tcPr>
          <w:p>
            <w:pPr>
              <w:spacing w:after="0"/>
            </w:pPr>
            <w:r/>
            <w:r>
              <w:rPr>
                <w:rFonts w:ascii="Consolas" w:hAnsi="Consolas"/>
                <w:color w:val="146EF5"/>
                <w:sz w:val="14"/>
              </w:rPr>
              <w:t>documents.owner_user_id</w:t>
            </w:r>
          </w:p>
        </w:tc>
        <w:tc>
          <w:tcPr>
            <w:tcW w:type="dxa" w:w="2448"/>
            <w:tcMar>
              <w:top w:w="60" w:type="dxa"/>
              <w:start w:w="110" w:type="dxa"/>
              <w:bottom w:w="60" w:type="dxa"/>
              <w:end w:w="110" w:type="dxa"/>
            </w:tcMar>
          </w:tcPr>
          <w:p>
            <w:pPr>
              <w:spacing w:after="0"/>
            </w:pPr>
            <w:r/>
            <w:r>
              <w:rPr>
                <w:rFonts w:ascii="Calibri" w:hAnsi="Calibri"/>
                <w:b w:val="0"/>
                <w:i w:val="0"/>
                <w:color w:val="101828"/>
                <w:sz w:val="14"/>
              </w:rPr>
              <w:t>Every document has exactly one owner, even when it also belongs to a check or a dispute.</w:t>
            </w:r>
          </w:p>
        </w:tc>
        <w:tc>
          <w:tcPr>
            <w:tcW w:type="dxa" w:w="2419"/>
            <w:tcMar>
              <w:top w:w="60" w:type="dxa"/>
              <w:start w:w="110" w:type="dxa"/>
              <w:bottom w:w="60" w:type="dxa"/>
              <w:end w:w="110" w:type="dxa"/>
            </w:tcMar>
          </w:tcPr>
          <w:p>
            <w:pPr>
              <w:spacing w:after="0"/>
            </w:pPr>
            <w:r/>
            <w:r>
              <w:rPr>
                <w:rFonts w:ascii="Calibri" w:hAnsi="Calibri"/>
                <w:b w:val="0"/>
                <w:i w:val="0"/>
                <w:color w:val="101828"/>
                <w:sz w:val="14"/>
              </w:rPr>
              <w:t>RESTRICT. Ownership of evidence is not transferable by deletion.</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profiles -&gt; documents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0:1</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profiles.avatar_document_id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An avatar is a document owned by the same user. Guarded by a trigger that rejects a cross-user avatar.</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SET NULL. A user can lose an avatar without losing the file record.</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users -&gt; sessions</w:t>
            </w:r>
          </w:p>
        </w:tc>
        <w:tc>
          <w:tcPr>
            <w:tcW w:type="dxa" w:w="893"/>
            <w:tcMar>
              <w:top w:w="60" w:type="dxa"/>
              <w:start w:w="110" w:type="dxa"/>
              <w:bottom w:w="60" w:type="dxa"/>
              <w:end w:w="110" w:type="dxa"/>
            </w:tcMar>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tcPr>
          <w:p>
            <w:pPr>
              <w:spacing w:after="0"/>
            </w:pPr>
            <w:r/>
            <w:r>
              <w:rPr>
                <w:rFonts w:ascii="Consolas" w:hAnsi="Consolas"/>
                <w:color w:val="146EF5"/>
                <w:sz w:val="14"/>
              </w:rPr>
              <w:t>sessions.user_id</w:t>
            </w:r>
          </w:p>
        </w:tc>
        <w:tc>
          <w:tcPr>
            <w:tcW w:type="dxa" w:w="2448"/>
            <w:tcMar>
              <w:top w:w="60" w:type="dxa"/>
              <w:start w:w="110" w:type="dxa"/>
              <w:bottom w:w="60" w:type="dxa"/>
              <w:end w:w="110" w:type="dxa"/>
            </w:tcMar>
          </w:tcPr>
          <w:p>
            <w:pPr>
              <w:spacing w:after="0"/>
            </w:pPr>
            <w:r/>
            <w:r>
              <w:rPr>
                <w:rFonts w:ascii="Calibri" w:hAnsi="Calibri"/>
                <w:b w:val="0"/>
                <w:i w:val="0"/>
                <w:color w:val="101828"/>
                <w:sz w:val="14"/>
              </w:rPr>
              <w:t xml:space="preserve">Many concurrent devices. </w:t>
            </w:r>
            <w:r>
              <w:rPr>
                <w:rFonts w:ascii="Consolas" w:hAnsi="Consolas"/>
                <w:color w:val="146EF5"/>
                <w:sz w:val="14"/>
              </w:rPr>
              <w:t>refresh_token_hash</w:t>
            </w:r>
            <w:r>
              <w:rPr>
                <w:rFonts w:ascii="Calibri" w:hAnsi="Calibri"/>
                <w:b w:val="0"/>
                <w:i w:val="0"/>
                <w:color w:val="101828"/>
                <w:sz w:val="14"/>
              </w:rPr>
              <w:t xml:space="preserve"> stores a hash, never the token. Revocation is </w:t>
            </w:r>
            <w:r>
              <w:rPr>
                <w:rFonts w:ascii="Consolas" w:hAnsi="Consolas"/>
                <w:color w:val="146EF5"/>
                <w:sz w:val="14"/>
              </w:rPr>
              <w:t>revoked_at</w:t>
            </w:r>
            <w:r>
              <w:rPr>
                <w:rFonts w:ascii="Calibri" w:hAnsi="Calibri"/>
                <w:b w:val="0"/>
                <w:i w:val="0"/>
                <w:color w:val="101828"/>
                <w:sz w:val="14"/>
              </w:rPr>
              <w:t>, not delete.</w:t>
            </w:r>
          </w:p>
        </w:tc>
        <w:tc>
          <w:tcPr>
            <w:tcW w:type="dxa" w:w="2419"/>
            <w:tcMar>
              <w:top w:w="60" w:type="dxa"/>
              <w:start w:w="110" w:type="dxa"/>
              <w:bottom w:w="60" w:type="dxa"/>
              <w:end w:w="110" w:type="dxa"/>
            </w:tcMar>
          </w:tcPr>
          <w:p>
            <w:pPr>
              <w:spacing w:after="0"/>
            </w:pPr>
            <w:r/>
            <w:r>
              <w:rPr>
                <w:rFonts w:ascii="Calibri" w:hAnsi="Calibri"/>
                <w:b w:val="0"/>
                <w:i w:val="0"/>
                <w:color w:val="101828"/>
                <w:sz w:val="14"/>
              </w:rPr>
              <w:t>CASCADE. A deleted user has no sessions; audit of the deletion is in audit_logs.</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users -&gt; device_tokens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device_tokens.user_id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token belongs to one user and one session. </w:t>
            </w:r>
            <w:r>
              <w:rPr>
                <w:rFonts w:ascii="Consolas" w:hAnsi="Consolas"/>
                <w:color w:val="146EF5"/>
                <w:sz w:val="14"/>
              </w:rPr>
              <w:t>UNIQUE (push_token)</w:t>
            </w:r>
            <w:r>
              <w:rPr>
                <w:rFonts w:ascii="Calibri" w:hAnsi="Calibri"/>
                <w:b w:val="0"/>
                <w:i w:val="0"/>
                <w:color w:val="101828"/>
                <w:sz w:val="14"/>
              </w:rPr>
              <w:t xml:space="preserve"> because a token is a device, not a person.</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CASCADE. Push targets are infrastructure, not records.</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users &lt;-&gt; roles</w:t>
            </w:r>
          </w:p>
        </w:tc>
        <w:tc>
          <w:tcPr>
            <w:tcW w:type="dxa" w:w="893"/>
            <w:tcMar>
              <w:top w:w="60" w:type="dxa"/>
              <w:start w:w="110" w:type="dxa"/>
              <w:bottom w:w="60" w:type="dxa"/>
              <w:end w:w="110" w:type="dxa"/>
            </w:tcMar>
          </w:tcPr>
          <w:p>
            <w:pPr>
              <w:spacing w:after="0"/>
            </w:pPr>
            <w:r/>
            <w:r>
              <w:rPr>
                <w:rFonts w:ascii="Calibri" w:hAnsi="Calibri"/>
                <w:b w:val="0"/>
                <w:i w:val="0"/>
                <w:color w:val="101828"/>
                <w:sz w:val="14"/>
              </w:rPr>
              <w:t>M:N</w:t>
            </w:r>
          </w:p>
        </w:tc>
        <w:tc>
          <w:tcPr>
            <w:tcW w:type="dxa" w:w="720"/>
            <w:tcMar>
              <w:top w:w="60" w:type="dxa"/>
              <w:start w:w="110" w:type="dxa"/>
              <w:bottom w:w="60" w:type="dxa"/>
              <w:end w:w="110" w:type="dxa"/>
            </w:tcMar>
          </w:tcPr>
          <w:p>
            <w:pPr>
              <w:spacing w:after="0"/>
            </w:pPr>
            <w:r/>
            <w:r>
              <w:rPr>
                <w:rFonts w:ascii="Calibri" w:hAnsi="Calibri"/>
                <w:b w:val="0"/>
                <w:i w:val="0"/>
                <w:color w:val="101828"/>
                <w:sz w:val="14"/>
              </w:rPr>
              <w:t>M:N</w:t>
            </w:r>
          </w:p>
        </w:tc>
        <w:tc>
          <w:tcPr>
            <w:tcW w:type="dxa" w:w="1224"/>
            <w:tcMar>
              <w:top w:w="60" w:type="dxa"/>
              <w:start w:w="110" w:type="dxa"/>
              <w:bottom w:w="60" w:type="dxa"/>
              <w:end w:w="110" w:type="dxa"/>
            </w:tcMar>
          </w:tcPr>
          <w:p>
            <w:pPr>
              <w:spacing w:after="0"/>
            </w:pPr>
            <w:r/>
            <w:r>
              <w:rPr>
                <w:rFonts w:ascii="Calibri" w:hAnsi="Calibri"/>
                <w:b w:val="0"/>
                <w:i w:val="0"/>
                <w:color w:val="101828"/>
                <w:sz w:val="14"/>
              </w:rPr>
              <w:t xml:space="preserve">via </w:t>
            </w:r>
            <w:r>
              <w:rPr>
                <w:rFonts w:ascii="Consolas" w:hAnsi="Consolas"/>
                <w:color w:val="146EF5"/>
                <w:sz w:val="14"/>
              </w:rPr>
              <w:t>role_assignments</w:t>
            </w:r>
          </w:p>
        </w:tc>
        <w:tc>
          <w:tcPr>
            <w:tcW w:type="dxa" w:w="2448"/>
            <w:tcMar>
              <w:top w:w="60" w:type="dxa"/>
              <w:start w:w="110" w:type="dxa"/>
              <w:bottom w:w="60" w:type="dxa"/>
              <w:end w:w="110" w:type="dxa"/>
            </w:tcMar>
          </w:tcPr>
          <w:p>
            <w:pPr>
              <w:spacing w:after="0"/>
            </w:pPr>
            <w:r/>
            <w:r>
              <w:rPr>
                <w:rFonts w:ascii="Calibri" w:hAnsi="Calibri"/>
                <w:b w:val="0"/>
                <w:i w:val="0"/>
                <w:color w:val="101828"/>
                <w:sz w:val="14"/>
              </w:rPr>
              <w:t>UNIQUE (</w:t>
            </w:r>
            <w:r>
              <w:rPr>
                <w:rFonts w:ascii="Consolas" w:hAnsi="Consolas"/>
                <w:color w:val="146EF5"/>
                <w:sz w:val="14"/>
              </w:rPr>
              <w:t>role_id</w:t>
            </w:r>
            <w:r>
              <w:rPr>
                <w:rFonts w:ascii="Calibri" w:hAnsi="Calibri"/>
                <w:b w:val="0"/>
                <w:i w:val="0"/>
                <w:color w:val="101828"/>
                <w:sz w:val="14"/>
              </w:rPr>
              <w:t xml:space="preserve">, </w:t>
            </w:r>
            <w:r>
              <w:rPr>
                <w:rFonts w:ascii="Consolas" w:hAnsi="Consolas"/>
                <w:color w:val="146EF5"/>
                <w:sz w:val="14"/>
              </w:rPr>
              <w:t>user_id</w:t>
            </w:r>
            <w:r>
              <w:rPr>
                <w:rFonts w:ascii="Calibri" w:hAnsi="Calibri"/>
                <w:b w:val="0"/>
                <w:i w:val="0"/>
                <w:color w:val="101828"/>
                <w:sz w:val="14"/>
              </w:rPr>
              <w:t xml:space="preserve">) WHERE </w:t>
            </w:r>
            <w:r>
              <w:rPr>
                <w:rFonts w:ascii="Consolas" w:hAnsi="Consolas"/>
                <w:color w:val="146EF5"/>
                <w:sz w:val="14"/>
              </w:rPr>
              <w:t>scope='platform'</w:t>
            </w:r>
            <w:r>
              <w:rPr>
                <w:rFonts w:ascii="Calibri" w:hAnsi="Calibri"/>
                <w:b w:val="0"/>
                <w:i w:val="0"/>
                <w:color w:val="101828"/>
                <w:sz w:val="14"/>
              </w:rPr>
              <w:t xml:space="preserve">. Exactly the six codes in CANONICAL.md section 2; anything else is rejected by a CHECK on </w:t>
            </w:r>
            <w:r>
              <w:rPr>
                <w:rFonts w:ascii="Consolas" w:hAnsi="Consolas"/>
                <w:color w:val="146EF5"/>
                <w:sz w:val="14"/>
              </w:rPr>
              <w:t>roles.code</w:t>
            </w:r>
            <w:r>
              <w:rPr>
                <w:rFonts w:ascii="Calibri" w:hAnsi="Calibri"/>
                <w:b w:val="0"/>
                <w:i w:val="0"/>
                <w:color w:val="101828"/>
                <w:sz w:val="14"/>
              </w:rPr>
              <w:t>.</w:t>
            </w:r>
          </w:p>
        </w:tc>
        <w:tc>
          <w:tcPr>
            <w:tcW w:type="dxa" w:w="2419"/>
            <w:tcMar>
              <w:top w:w="60" w:type="dxa"/>
              <w:start w:w="110" w:type="dxa"/>
              <w:bottom w:w="60" w:type="dxa"/>
              <w:end w:w="110" w:type="dxa"/>
            </w:tcMar>
          </w:tcPr>
          <w:p>
            <w:pPr>
              <w:spacing w:after="0"/>
            </w:pPr>
            <w:r/>
            <w:r>
              <w:rPr>
                <w:rFonts w:ascii="Calibri" w:hAnsi="Calibri"/>
                <w:b w:val="0"/>
                <w:i w:val="0"/>
                <w:color w:val="101828"/>
                <w:sz w:val="14"/>
              </w:rPr>
              <w:t xml:space="preserve">CASCADE on </w:t>
            </w:r>
            <w:r>
              <w:rPr>
                <w:rFonts w:ascii="Consolas" w:hAnsi="Consolas"/>
                <w:color w:val="146EF5"/>
                <w:sz w:val="14"/>
              </w:rPr>
              <w:t>role_assignments</w:t>
            </w:r>
            <w:r>
              <w:rPr>
                <w:rFonts w:ascii="Calibri" w:hAnsi="Calibri"/>
                <w:b w:val="0"/>
                <w:i w:val="0"/>
                <w:color w:val="101828"/>
                <w:sz w:val="14"/>
              </w:rPr>
              <w:t xml:space="preserve"> rows. Deleting a role is RESTRICT and is not an operation the product performs.</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role_assignments -&gt; ajos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0:1</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role_assignments.ajo_id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Ajo-scoped grant. </w:t>
            </w:r>
            <w:r>
              <w:rPr>
                <w:rFonts w:ascii="Consolas" w:hAnsi="Consolas"/>
                <w:color w:val="146EF5"/>
                <w:sz w:val="14"/>
              </w:rPr>
              <w:t>CHECK (num_nonnulls(ajo_id, ajo_member_id) &lt;= 1)</w:t>
            </w:r>
            <w:r>
              <w:rPr>
                <w:rFonts w:ascii="Calibri" w:hAnsi="Calibri"/>
                <w:b w:val="0"/>
                <w:i w:val="0"/>
                <w:color w:val="101828"/>
                <w:sz w:val="14"/>
              </w:rPr>
              <w:t xml:space="preserve"> and </w:t>
            </w:r>
            <w:r>
              <w:rPr>
                <w:rFonts w:ascii="Consolas" w:hAnsi="Consolas"/>
                <w:color w:val="146EF5"/>
                <w:sz w:val="14"/>
              </w:rPr>
              <w:t>CHECK ((scope='platform') = (ajo_id IS NULL))</w:t>
            </w:r>
            <w:r>
              <w:rPr>
                <w:rFonts w:ascii="Calibri" w:hAnsi="Calibri"/>
                <w:b w:val="0"/>
                <w:i w:val="0"/>
                <w:color w:val="101828"/>
                <w:sz w:val="14"/>
              </w:rPr>
              <w:t xml:space="preserve"> so scope and target cannot disagree.</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CASCADE. The grant dies with the Ajo; the audit_log row does not.</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users -&gt; audit_logs</w:t>
            </w:r>
          </w:p>
        </w:tc>
        <w:tc>
          <w:tcPr>
            <w:tcW w:type="dxa" w:w="893"/>
            <w:tcMar>
              <w:top w:w="60" w:type="dxa"/>
              <w:start w:w="110" w:type="dxa"/>
              <w:bottom w:w="60" w:type="dxa"/>
              <w:end w:w="110" w:type="dxa"/>
            </w:tcMar>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tcPr>
          <w:p>
            <w:pPr>
              <w:spacing w:after="0"/>
            </w:pPr>
            <w:r/>
            <w:r>
              <w:rPr>
                <w:rFonts w:ascii="Consolas" w:hAnsi="Consolas"/>
                <w:color w:val="146EF5"/>
                <w:sz w:val="14"/>
              </w:rPr>
              <w:t>audit_logs.actor_user_id</w:t>
            </w:r>
          </w:p>
        </w:tc>
        <w:tc>
          <w:tcPr>
            <w:tcW w:type="dxa" w:w="2448"/>
            <w:tcMar>
              <w:top w:w="60" w:type="dxa"/>
              <w:start w:w="110" w:type="dxa"/>
              <w:bottom w:w="60" w:type="dxa"/>
              <w:end w:w="110" w:type="dxa"/>
            </w:tcMar>
          </w:tcPr>
          <w:p>
            <w:pPr>
              <w:spacing w:after="0"/>
            </w:pPr>
            <w:r/>
            <w:r>
              <w:rPr>
                <w:rFonts w:ascii="Calibri" w:hAnsi="Calibri"/>
                <w:b w:val="0"/>
                <w:i w:val="0"/>
                <w:color w:val="101828"/>
                <w:sz w:val="14"/>
              </w:rPr>
              <w:t>Every privileged mutation writes one row with before and after images. Append-only.</w:t>
            </w:r>
          </w:p>
        </w:tc>
        <w:tc>
          <w:tcPr>
            <w:tcW w:type="dxa" w:w="2419"/>
            <w:tcMar>
              <w:top w:w="60" w:type="dxa"/>
              <w:start w:w="110" w:type="dxa"/>
              <w:bottom w:w="60" w:type="dxa"/>
              <w:end w:w="110" w:type="dxa"/>
            </w:tcMar>
          </w:tcPr>
          <w:p>
            <w:pPr>
              <w:spacing w:after="0"/>
            </w:pPr>
            <w:r/>
            <w:r>
              <w:rPr>
                <w:rFonts w:ascii="Calibri" w:hAnsi="Calibri"/>
                <w:b w:val="0"/>
                <w:i w:val="0"/>
                <w:color w:val="101828"/>
                <w:sz w:val="14"/>
              </w:rPr>
              <w:t>RESTRICT. See 8.7.</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users -&gt; risk_events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polymorphic </w:t>
            </w:r>
            <w:r>
              <w:rPr>
                <w:rFonts w:ascii="Consolas" w:hAnsi="Consolas"/>
                <w:color w:val="146EF5"/>
                <w:sz w:val="14"/>
              </w:rPr>
              <w:t>subject_id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Freeze, review and override decisions attach to a user without a hard foreign key, so the event survives the subject.</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No cascade. A risk event is evidence.</w:t>
            </w:r>
          </w:p>
        </w:tc>
      </w:tr>
    </w:tbl>
    <w:p>
      <w:pPr>
        <w:spacing w:after="80"/>
      </w:pPr>
    </w:p>
    <w:p>
      <w:pPr>
        <w:spacing w:before="140" w:after="180"/>
        <w:ind w:left="144"/>
        <w:shd w:val="clear" w:color="auto" w:fill="FEE2E2"/>
        <w:pBdr>
          <w:left w:val="single" w:sz="18" w:space="6" w:color="DC2626"/>
        </w:pBdr>
      </w:pPr>
      <w:r>
        <w:rPr>
          <w:rFonts w:ascii="Calibri" w:hAnsi="Calibri"/>
          <w:b/>
          <w:color w:val="DC2626"/>
          <w:sz w:val="19"/>
        </w:rPr>
        <w:t xml:space="preserve">KYC retention and special-category data  </w:t>
      </w:r>
      <w:r>
        <w:rPr>
          <w:rFonts w:ascii="Calibri" w:hAnsi="Calibri"/>
          <w:b w:val="0"/>
          <w:i w:val="0"/>
          <w:color w:val="0B1F3A"/>
          <w:sz w:val="19"/>
        </w:rPr>
        <w:t xml:space="preserve">Identity documents, selfies and any biometric-adjacent artefact captured for liveness are special-category personal data under the Nigeria Data Protection Act 2023 and require a lawful basis, explicit notice to the data subject, and a defined retention period. BVN is treated here as follows: the full value is never stored; only </w:t>
      </w:r>
      <w:r>
        <w:rPr>
          <w:rFonts w:ascii="Consolas" w:hAnsi="Consolas"/>
          <w:color w:val="146EF5"/>
          <w:sz w:val="19"/>
        </w:rPr>
        <w:t>bvn_last4</w:t>
      </w:r>
      <w:r>
        <w:rPr>
          <w:rFonts w:ascii="Calibri" w:hAnsi="Calibri"/>
          <w:b w:val="0"/>
          <w:i w:val="0"/>
          <w:color w:val="0B1F3A"/>
          <w:sz w:val="19"/>
        </w:rPr>
        <w:t xml:space="preserve"> and a keyed hash are, and the verification itself is performed by the provider. Retention periods for KYC records, and whether anti-money-laundering record-keeping obligations override a data subject's erasure request, are questions for qualified Nigerian counsel and the appointed compliance adviser. No period is asserted in this specification. The same caveat applies to </w:t>
      </w:r>
      <w:r>
        <w:rPr>
          <w:rFonts w:ascii="Consolas" w:hAnsi="Consolas"/>
          <w:color w:val="146EF5"/>
          <w:sz w:val="19"/>
        </w:rPr>
        <w:t>documents</w:t>
      </w:r>
      <w:r>
        <w:rPr>
          <w:rFonts w:ascii="Calibri" w:hAnsi="Calibri"/>
          <w:b w:val="0"/>
          <w:i w:val="0"/>
          <w:color w:val="0B1F3A"/>
          <w:sz w:val="19"/>
        </w:rPr>
        <w:t>, whose retention is discussed in 8.9.</w:t>
      </w:r>
    </w:p>
    <w:p>
      <w:pPr>
        <w:pStyle w:val="Heading3"/>
      </w:pPr>
      <w:r>
        <w:rPr>
          <w:rFonts w:ascii="Calibri" w:hAnsi="Calibri"/>
          <w:b/>
          <w:i w:val="0"/>
          <w:color w:val="0B1F3A"/>
          <w:sz w:val="24"/>
        </w:rPr>
        <w:t>8.3.2 Ajo lifecycle</w:t>
      </w:r>
    </w:p>
    <w:p>
      <w:r>
        <w:rPr>
          <w:rFonts w:ascii="Calibri" w:hAnsi="Calibri"/>
          <w:b w:val="0"/>
          <w:i w:val="0"/>
          <w:color w:val="101828"/>
          <w:sz w:val="21"/>
        </w:rPr>
        <w:t xml:space="preserve">Four entities, and they carry the whole of CANONICAL.md section 3. The state machine lives on </w:t>
      </w:r>
      <w:r>
        <w:rPr>
          <w:rFonts w:ascii="Consolas" w:hAnsi="Consolas"/>
          <w:color w:val="146EF5"/>
          <w:sz w:val="21"/>
        </w:rPr>
        <w:t>ajos.status</w:t>
      </w:r>
      <w:r>
        <w:rPr>
          <w:rFonts w:ascii="Calibri" w:hAnsi="Calibri"/>
          <w:b w:val="0"/>
          <w:i w:val="0"/>
          <w:color w:val="101828"/>
          <w:sz w:val="21"/>
        </w:rPr>
        <w:t xml:space="preserve">; the position order lives on </w:t>
      </w:r>
      <w:r>
        <w:rPr>
          <w:rFonts w:ascii="Consolas" w:hAnsi="Consolas"/>
          <w:color w:val="146EF5"/>
          <w:sz w:val="21"/>
        </w:rPr>
        <w:t>ajo_positions</w:t>
      </w:r>
      <w:r>
        <w:rPr>
          <w:rFonts w:ascii="Calibri" w:hAnsi="Calibri"/>
          <w:b w:val="0"/>
          <w:i w:val="0"/>
          <w:color w:val="101828"/>
          <w:sz w:val="21"/>
        </w:rPr>
        <w:t xml:space="preserve">; membership lives on </w:t>
      </w:r>
      <w:r>
        <w:rPr>
          <w:rFonts w:ascii="Consolas" w:hAnsi="Consolas"/>
          <w:color w:val="146EF5"/>
          <w:sz w:val="21"/>
        </w:rPr>
        <w:t>ajo_members</w:t>
      </w:r>
      <w:r>
        <w:rPr>
          <w:rFonts w:ascii="Calibri" w:hAnsi="Calibri"/>
          <w:b w:val="0"/>
          <w:i w:val="0"/>
          <w:color w:val="101828"/>
          <w:sz w:val="21"/>
        </w:rPr>
        <w:t xml:space="preserve">; and the pre-activation join flow lives on </w:t>
      </w:r>
      <w:r>
        <w:rPr>
          <w:rFonts w:ascii="Consolas" w:hAnsi="Consolas"/>
          <w:color w:val="146EF5"/>
          <w:sz w:val="21"/>
        </w:rPr>
        <w:t>invitations</w:t>
      </w:r>
      <w:r>
        <w:rPr>
          <w:rFonts w:ascii="Calibri" w:hAnsi="Calibri"/>
          <w:b w:val="0"/>
          <w:i w:val="0"/>
          <w:color w:val="101828"/>
          <w:sz w:val="21"/>
        </w:rPr>
        <w:t>. The two rules that are structural rather than procedural are encoded here rather than in application code: the enrollment window is exactly five days, and positions lock on activation.</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5"/>
              </w:rPr>
              <w:t>Entity</w:t>
            </w:r>
          </w:p>
        </w:tc>
        <w:tc>
          <w:tcPr>
            <w:tcW w:type="dxa" w:w="2808"/>
            <w:shd w:val="clear" w:color="auto" w:fill="0B1F3A"/>
            <w:tcMar>
              <w:top w:w="60" w:type="dxa"/>
              <w:start w:w="110" w:type="dxa"/>
              <w:bottom w:w="60" w:type="dxa"/>
              <w:end w:w="110" w:type="dxa"/>
            </w:tcMar>
          </w:tcPr>
          <w:p>
            <w:pPr>
              <w:spacing w:after="0"/>
            </w:pPr>
            <w:r/>
            <w:r>
              <w:rPr>
                <w:rFonts w:ascii="Calibri" w:hAnsi="Calibri"/>
                <w:b/>
                <w:i w:val="0"/>
                <w:color w:val="FFFFFF"/>
                <w:sz w:val="15"/>
              </w:rPr>
              <w:t>Purpose</w:t>
            </w:r>
          </w:p>
        </w:tc>
        <w:tc>
          <w:tcPr>
            <w:tcW w:type="dxa" w:w="2664"/>
            <w:shd w:val="clear" w:color="auto" w:fill="0B1F3A"/>
            <w:tcMar>
              <w:top w:w="60" w:type="dxa"/>
              <w:start w:w="110" w:type="dxa"/>
              <w:bottom w:w="60" w:type="dxa"/>
              <w:end w:w="110" w:type="dxa"/>
            </w:tcMar>
          </w:tcPr>
          <w:p>
            <w:pPr>
              <w:spacing w:after="0"/>
            </w:pPr>
            <w:r/>
            <w:r>
              <w:rPr>
                <w:rFonts w:ascii="Calibri" w:hAnsi="Calibri"/>
                <w:b/>
                <w:i w:val="0"/>
                <w:color w:val="FFFFFF"/>
                <w:sz w:val="15"/>
              </w:rPr>
              <w:t>Key fields</w:t>
            </w:r>
          </w:p>
        </w:tc>
        <w:tc>
          <w:tcPr>
            <w:tcW w:type="dxa" w:w="2232"/>
            <w:shd w:val="clear" w:color="auto" w:fill="0B1F3A"/>
            <w:tcMar>
              <w:top w:w="60" w:type="dxa"/>
              <w:start w:w="110" w:type="dxa"/>
              <w:bottom w:w="60" w:type="dxa"/>
              <w:end w:w="110" w:type="dxa"/>
            </w:tcMar>
          </w:tcPr>
          <w:p>
            <w:pPr>
              <w:spacing w:after="0"/>
            </w:pPr>
            <w:r/>
            <w:r>
              <w:rPr>
                <w:rFonts w:ascii="Calibri" w:hAnsi="Calibri"/>
                <w:b/>
                <w:i w:val="0"/>
                <w:color w:val="FFFFFF"/>
                <w:sz w:val="15"/>
              </w:rPr>
              <w:t>Relationships</w:t>
            </w:r>
          </w:p>
        </w:tc>
      </w:tr>
      <w:tr>
        <w:trPr>
          <w:cantSplit/>
        </w:trPr>
        <w:tc>
          <w:tcPr>
            <w:tcW w:type="dxa" w:w="1656"/>
            <w:tcMar>
              <w:top w:w="60" w:type="dxa"/>
              <w:start w:w="110" w:type="dxa"/>
              <w:bottom w:w="60" w:type="dxa"/>
              <w:end w:w="110" w:type="dxa"/>
            </w:tcMar>
          </w:tcPr>
          <w:p>
            <w:pPr>
              <w:spacing w:after="0"/>
            </w:pPr>
            <w:r/>
            <w:r>
              <w:rPr>
                <w:rFonts w:ascii="Consolas" w:hAnsi="Consolas"/>
                <w:color w:val="146EF5"/>
                <w:sz w:val="15"/>
              </w:rPr>
              <w:t>ajos</w:t>
            </w:r>
            <w:r>
              <w:rPr>
                <w:rFonts w:ascii="Calibri" w:hAnsi="Calibri"/>
                <w:b w:val="0"/>
                <w:i w:val="0"/>
                <w:color w:val="101828"/>
                <w:sz w:val="15"/>
              </w:rPr>
              <w:t xml:space="preserve"> *</w:t>
            </w:r>
          </w:p>
        </w:tc>
        <w:tc>
          <w:tcPr>
            <w:tcW w:type="dxa" w:w="2808"/>
            <w:tcMar>
              <w:top w:w="60" w:type="dxa"/>
              <w:start w:w="110" w:type="dxa"/>
              <w:bottom w:w="60" w:type="dxa"/>
              <w:end w:w="110" w:type="dxa"/>
            </w:tcMar>
          </w:tcPr>
          <w:p>
            <w:pPr>
              <w:spacing w:after="0"/>
            </w:pPr>
            <w:r/>
            <w:r>
              <w:rPr>
                <w:rFonts w:ascii="Calibri" w:hAnsi="Calibri"/>
                <w:b w:val="0"/>
                <w:i w:val="0"/>
                <w:color w:val="101828"/>
                <w:sz w:val="15"/>
              </w:rPr>
              <w:t>The savings group and the root of the lifecycle. Holds the amount and frequency every other table derives from.</w:t>
            </w:r>
          </w:p>
        </w:tc>
        <w:tc>
          <w:tcPr>
            <w:tcW w:type="dxa" w:w="2664"/>
            <w:tcMar>
              <w:top w:w="60" w:type="dxa"/>
              <w:start w:w="110" w:type="dxa"/>
              <w:bottom w:w="60" w:type="dxa"/>
              <w:end w:w="110" w:type="dxa"/>
            </w:tcMar>
          </w:tcPr>
          <w:p>
            <w:pPr>
              <w:spacing w:after="0"/>
            </w:pPr>
            <w:r/>
            <w:r>
              <w:rPr>
                <w:rFonts w:ascii="Consolas" w:hAnsi="Consolas"/>
                <w:color w:val="146EF5"/>
                <w:sz w:val="15"/>
              </w:rPr>
              <w:t>organizer_user_id</w:t>
            </w:r>
            <w:r>
              <w:rPr>
                <w:rFonts w:ascii="Calibri" w:hAnsi="Calibri"/>
                <w:b w:val="0"/>
                <w:i w:val="0"/>
                <w:color w:val="101828"/>
                <w:sz w:val="15"/>
              </w:rPr>
              <w:t xml:space="preserve">, </w:t>
            </w:r>
            <w:r>
              <w:rPr>
                <w:rFonts w:ascii="Consolas" w:hAnsi="Consolas"/>
                <w:color w:val="146EF5"/>
                <w:sz w:val="15"/>
              </w:rPr>
              <w:t>status</w:t>
            </w:r>
            <w:r>
              <w:rPr>
                <w:rFonts w:ascii="Calibri" w:hAnsi="Calibri"/>
                <w:b w:val="0"/>
                <w:i w:val="0"/>
                <w:color w:val="101828"/>
                <w:sz w:val="15"/>
              </w:rPr>
              <w:t xml:space="preserve">, </w:t>
            </w:r>
            <w:r>
              <w:rPr>
                <w:rFonts w:ascii="Consolas" w:hAnsi="Consolas"/>
                <w:color w:val="146EF5"/>
                <w:sz w:val="15"/>
              </w:rPr>
              <w:t>contribution_amount_kobo</w:t>
            </w:r>
            <w:r>
              <w:rPr>
                <w:rFonts w:ascii="Calibri" w:hAnsi="Calibri"/>
                <w:b w:val="0"/>
                <w:i w:val="0"/>
                <w:color w:val="101828"/>
                <w:sz w:val="15"/>
              </w:rPr>
              <w:t xml:space="preserve">, </w:t>
            </w:r>
            <w:r>
              <w:rPr>
                <w:rFonts w:ascii="Consolas" w:hAnsi="Consolas"/>
                <w:color w:val="146EF5"/>
                <w:sz w:val="15"/>
              </w:rPr>
              <w:t>frequency_id</w:t>
            </w:r>
            <w:r>
              <w:rPr>
                <w:rFonts w:ascii="Calibri" w:hAnsi="Calibri"/>
                <w:b w:val="0"/>
                <w:i w:val="0"/>
                <w:color w:val="101828"/>
                <w:sz w:val="15"/>
              </w:rPr>
              <w:t xml:space="preserve">, </w:t>
            </w:r>
            <w:r>
              <w:rPr>
                <w:rFonts w:ascii="Consolas" w:hAnsi="Consolas"/>
                <w:color w:val="146EF5"/>
                <w:sz w:val="15"/>
              </w:rPr>
              <w:t>position_count</w:t>
            </w:r>
            <w:r>
              <w:rPr>
                <w:rFonts w:ascii="Calibri" w:hAnsi="Calibri"/>
                <w:b w:val="0"/>
                <w:i w:val="0"/>
                <w:color w:val="101828"/>
                <w:sz w:val="15"/>
              </w:rPr>
              <w:t xml:space="preserve">, </w:t>
            </w:r>
            <w:r>
              <w:rPr>
                <w:rFonts w:ascii="Consolas" w:hAnsi="Consolas"/>
                <w:color w:val="146EF5"/>
                <w:sz w:val="15"/>
              </w:rPr>
              <w:t>total_rounds</w:t>
            </w:r>
            <w:r>
              <w:rPr>
                <w:rFonts w:ascii="Calibri" w:hAnsi="Calibri"/>
                <w:b w:val="0"/>
                <w:i w:val="0"/>
                <w:color w:val="101828"/>
                <w:sz w:val="15"/>
              </w:rPr>
              <w:t xml:space="preserve">, </w:t>
            </w:r>
            <w:r>
              <w:rPr>
                <w:rFonts w:ascii="Consolas" w:hAnsi="Consolas"/>
                <w:color w:val="146EF5"/>
                <w:sz w:val="15"/>
              </w:rPr>
              <w:t>enrollment_opens_at</w:t>
            </w:r>
            <w:r>
              <w:rPr>
                <w:rFonts w:ascii="Calibri" w:hAnsi="Calibri"/>
                <w:b w:val="0"/>
                <w:i w:val="0"/>
                <w:color w:val="101828"/>
                <w:sz w:val="15"/>
              </w:rPr>
              <w:t xml:space="preserve">, </w:t>
            </w:r>
            <w:r>
              <w:rPr>
                <w:rFonts w:ascii="Consolas" w:hAnsi="Consolas"/>
                <w:color w:val="146EF5"/>
                <w:sz w:val="15"/>
              </w:rPr>
              <w:t>enrollment_closes_at</w:t>
            </w:r>
            <w:r>
              <w:rPr>
                <w:rFonts w:ascii="Calibri" w:hAnsi="Calibri"/>
                <w:b w:val="0"/>
                <w:i w:val="0"/>
                <w:color w:val="101828"/>
                <w:sz w:val="15"/>
              </w:rPr>
              <w:t xml:space="preserve">, </w:t>
            </w:r>
            <w:r>
              <w:rPr>
                <w:rFonts w:ascii="Consolas" w:hAnsi="Consolas"/>
                <w:color w:val="146EF5"/>
                <w:sz w:val="15"/>
              </w:rPr>
              <w:t>activated_at</w:t>
            </w:r>
          </w:p>
        </w:tc>
        <w:tc>
          <w:tcPr>
            <w:tcW w:type="dxa" w:w="2232"/>
            <w:tcMar>
              <w:top w:w="60" w:type="dxa"/>
              <w:start w:w="110" w:type="dxa"/>
              <w:bottom w:w="60" w:type="dxa"/>
              <w:end w:w="110" w:type="dxa"/>
            </w:tcMar>
          </w:tcPr>
          <w:p>
            <w:pPr>
              <w:spacing w:after="0"/>
            </w:pPr>
            <w:r/>
            <w:r>
              <w:rPr>
                <w:rFonts w:ascii="Calibri" w:hAnsi="Calibri"/>
                <w:b w:val="0"/>
                <w:i w:val="0"/>
                <w:color w:val="101828"/>
                <w:sz w:val="15"/>
              </w:rPr>
              <w:t>1:N to positions, members, invitations, rounds, schedules, contributions, payouts, disputes</w:t>
            </w:r>
          </w:p>
        </w:tc>
      </w:tr>
      <w:tr>
        <w:trPr>
          <w:cantSplit/>
        </w:trPr>
        <w:tc>
          <w:tcPr>
            <w:tcW w:type="dxa" w:w="1656"/>
            <w:tcMar>
              <w:top w:w="60" w:type="dxa"/>
              <w:start w:w="110" w:type="dxa"/>
              <w:bottom w:w="60" w:type="dxa"/>
              <w:end w:w="110" w:type="dxa"/>
            </w:tcMar>
            <w:shd w:val="clear" w:color="auto" w:fill="F4F7FB"/>
          </w:tcPr>
          <w:p>
            <w:pPr>
              <w:spacing w:after="0"/>
            </w:pPr>
            <w:r/>
            <w:r>
              <w:rPr>
                <w:rFonts w:ascii="Consolas" w:hAnsi="Consolas"/>
                <w:color w:val="146EF5"/>
                <w:sz w:val="15"/>
              </w:rPr>
              <w:t>ajo_positions</w:t>
            </w:r>
            <w:r>
              <w:rPr>
                <w:rFonts w:ascii="Calibri" w:hAnsi="Calibri"/>
                <w:b w:val="0"/>
                <w:i w:val="0"/>
                <w:color w:val="101828"/>
                <w:sz w:val="15"/>
              </w:rPr>
              <w:t xml:space="preserve"> *</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5"/>
              </w:rPr>
              <w:t xml:space="preserve">The turn order. Created in </w:t>
            </w:r>
            <w:r>
              <w:rPr>
                <w:rFonts w:ascii="Consolas" w:hAnsi="Consolas"/>
                <w:color w:val="146EF5"/>
                <w:sz w:val="15"/>
              </w:rPr>
              <w:t>DRAFT</w:t>
            </w:r>
            <w:r>
              <w:rPr>
                <w:rFonts w:ascii="Calibri" w:hAnsi="Calibri"/>
                <w:b w:val="0"/>
                <w:i w:val="0"/>
                <w:color w:val="101828"/>
                <w:sz w:val="15"/>
              </w:rPr>
              <w:t>, filled during the five-day window, locked on activation, never renumbered after.</w:t>
            </w:r>
          </w:p>
        </w:tc>
        <w:tc>
          <w:tcPr>
            <w:tcW w:type="dxa" w:w="2664"/>
            <w:tcMar>
              <w:top w:w="60" w:type="dxa"/>
              <w:start w:w="110" w:type="dxa"/>
              <w:bottom w:w="60" w:type="dxa"/>
              <w:end w:w="110" w:type="dxa"/>
            </w:tcMar>
            <w:shd w:val="clear" w:color="auto" w:fill="F4F7FB"/>
          </w:tcPr>
          <w:p>
            <w:pPr>
              <w:spacing w:after="0"/>
            </w:pPr>
            <w:r/>
            <w:r>
              <w:rPr>
                <w:rFonts w:ascii="Consolas" w:hAnsi="Consolas"/>
                <w:color w:val="146EF5"/>
                <w:sz w:val="15"/>
              </w:rPr>
              <w:t>ajo_id</w:t>
            </w:r>
            <w:r>
              <w:rPr>
                <w:rFonts w:ascii="Calibri" w:hAnsi="Calibri"/>
                <w:b w:val="0"/>
                <w:i w:val="0"/>
                <w:color w:val="101828"/>
                <w:sz w:val="15"/>
              </w:rPr>
              <w:t xml:space="preserve">, </w:t>
            </w:r>
            <w:r>
              <w:rPr>
                <w:rFonts w:ascii="Consolas" w:hAnsi="Consolas"/>
                <w:color w:val="146EF5"/>
                <w:sz w:val="15"/>
              </w:rPr>
              <w:t>position_number</w:t>
            </w:r>
            <w:r>
              <w:rPr>
                <w:rFonts w:ascii="Calibri" w:hAnsi="Calibri"/>
                <w:b w:val="0"/>
                <w:i w:val="0"/>
                <w:color w:val="101828"/>
                <w:sz w:val="15"/>
              </w:rPr>
              <w:t xml:space="preserve">, </w:t>
            </w:r>
            <w:r>
              <w:rPr>
                <w:rFonts w:ascii="Consolas" w:hAnsi="Consolas"/>
                <w:color w:val="146EF5"/>
                <w:sz w:val="15"/>
              </w:rPr>
              <w:t>status</w:t>
            </w:r>
            <w:r>
              <w:rPr>
                <w:rFonts w:ascii="Calibri" w:hAnsi="Calibri"/>
                <w:b w:val="0"/>
                <w:i w:val="0"/>
                <w:color w:val="101828"/>
                <w:sz w:val="15"/>
              </w:rPr>
              <w:t xml:space="preserve"> (open, claimed, locked, released, replaced, forfeited), </w:t>
            </w:r>
            <w:r>
              <w:rPr>
                <w:rFonts w:ascii="Consolas" w:hAnsi="Consolas"/>
                <w:color w:val="146EF5"/>
                <w:sz w:val="15"/>
              </w:rPr>
              <w:t>locked_at</w:t>
            </w:r>
            <w:r>
              <w:rPr>
                <w:rFonts w:ascii="Calibri" w:hAnsi="Calibri"/>
                <w:b w:val="0"/>
                <w:i w:val="0"/>
                <w:color w:val="101828"/>
                <w:sz w:val="15"/>
              </w:rPr>
              <w:t xml:space="preserve">, </w:t>
            </w:r>
            <w:r>
              <w:rPr>
                <w:rFonts w:ascii="Consolas" w:hAnsi="Consolas"/>
                <w:color w:val="146EF5"/>
                <w:sz w:val="15"/>
              </w:rPr>
              <w:t>released_at</w:t>
            </w:r>
          </w:p>
        </w:tc>
        <w:tc>
          <w:tcPr>
            <w:tcW w:type="dxa" w:w="2232"/>
            <w:tcMar>
              <w:top w:w="60" w:type="dxa"/>
              <w:start w:w="110" w:type="dxa"/>
              <w:bottom w:w="60" w:type="dxa"/>
              <w:end w:w="110" w:type="dxa"/>
            </w:tcMar>
            <w:shd w:val="clear" w:color="auto" w:fill="F4F7FB"/>
          </w:tcPr>
          <w:p>
            <w:pPr>
              <w:spacing w:after="0"/>
            </w:pPr>
            <w:r/>
            <w:r>
              <w:rPr>
                <w:rFonts w:ascii="Calibri" w:hAnsi="Calibri"/>
                <w:b w:val="0"/>
                <w:i w:val="0"/>
                <w:color w:val="101828"/>
                <w:sz w:val="15"/>
              </w:rPr>
              <w:t>1:N from ajos; 1:N to members, invitations, contributions, payouts</w:t>
            </w:r>
          </w:p>
        </w:tc>
      </w:tr>
      <w:tr>
        <w:trPr>
          <w:cantSplit/>
        </w:trPr>
        <w:tc>
          <w:tcPr>
            <w:tcW w:type="dxa" w:w="1656"/>
            <w:tcMar>
              <w:top w:w="60" w:type="dxa"/>
              <w:start w:w="110" w:type="dxa"/>
              <w:bottom w:w="60" w:type="dxa"/>
              <w:end w:w="110" w:type="dxa"/>
            </w:tcMar>
          </w:tcPr>
          <w:p>
            <w:pPr>
              <w:spacing w:after="0"/>
            </w:pPr>
            <w:r/>
            <w:r>
              <w:rPr>
                <w:rFonts w:ascii="Consolas" w:hAnsi="Consolas"/>
                <w:color w:val="146EF5"/>
                <w:sz w:val="15"/>
              </w:rPr>
              <w:t>ajo_members</w:t>
            </w:r>
            <w:r>
              <w:rPr>
                <w:rFonts w:ascii="Calibri" w:hAnsi="Calibri"/>
                <w:b w:val="0"/>
                <w:i w:val="0"/>
                <w:color w:val="101828"/>
                <w:sz w:val="15"/>
              </w:rPr>
              <w:t xml:space="preserve"> *</w:t>
            </w:r>
          </w:p>
        </w:tc>
        <w:tc>
          <w:tcPr>
            <w:tcW w:type="dxa" w:w="2808"/>
            <w:tcMar>
              <w:top w:w="60" w:type="dxa"/>
              <w:start w:w="110" w:type="dxa"/>
              <w:bottom w:w="60" w:type="dxa"/>
              <w:end w:w="110" w:type="dxa"/>
            </w:tcMar>
          </w:tcPr>
          <w:p>
            <w:pPr>
              <w:spacing w:after="0"/>
            </w:pPr>
            <w:r/>
            <w:r>
              <w:rPr>
                <w:rFonts w:ascii="Calibri" w:hAnsi="Calibri"/>
                <w:b w:val="0"/>
                <w:i w:val="0"/>
                <w:color w:val="101828"/>
                <w:sz w:val="15"/>
              </w:rPr>
              <w:t>A person inside an Ajo. Carries member status and, once claimed, the position they hold. The join entity for users-to-ajos.</w:t>
            </w:r>
          </w:p>
        </w:tc>
        <w:tc>
          <w:tcPr>
            <w:tcW w:type="dxa" w:w="2664"/>
            <w:tcMar>
              <w:top w:w="60" w:type="dxa"/>
              <w:start w:w="110" w:type="dxa"/>
              <w:bottom w:w="60" w:type="dxa"/>
              <w:end w:w="110" w:type="dxa"/>
            </w:tcMar>
          </w:tcPr>
          <w:p>
            <w:pPr>
              <w:spacing w:after="0"/>
            </w:pPr>
            <w:r/>
            <w:r>
              <w:rPr>
                <w:rFonts w:ascii="Consolas" w:hAnsi="Consolas"/>
                <w:color w:val="146EF5"/>
                <w:sz w:val="15"/>
              </w:rPr>
              <w:t>ajo_id</w:t>
            </w:r>
            <w:r>
              <w:rPr>
                <w:rFonts w:ascii="Calibri" w:hAnsi="Calibri"/>
                <w:b w:val="0"/>
                <w:i w:val="0"/>
                <w:color w:val="101828"/>
                <w:sz w:val="15"/>
              </w:rPr>
              <w:t xml:space="preserve">, </w:t>
            </w:r>
            <w:r>
              <w:rPr>
                <w:rFonts w:ascii="Consolas" w:hAnsi="Consolas"/>
                <w:color w:val="146EF5"/>
                <w:sz w:val="15"/>
              </w:rPr>
              <w:t>user_id</w:t>
            </w:r>
            <w:r>
              <w:rPr>
                <w:rFonts w:ascii="Calibri" w:hAnsi="Calibri"/>
                <w:b w:val="0"/>
                <w:i w:val="0"/>
                <w:color w:val="101828"/>
                <w:sz w:val="15"/>
              </w:rPr>
              <w:t xml:space="preserve">, </w:t>
            </w:r>
            <w:r>
              <w:rPr>
                <w:rFonts w:ascii="Consolas" w:hAnsi="Consolas"/>
                <w:color w:val="146EF5"/>
                <w:sz w:val="15"/>
              </w:rPr>
              <w:t>position_id</w:t>
            </w:r>
            <w:r>
              <w:rPr>
                <w:rFonts w:ascii="Calibri" w:hAnsi="Calibri"/>
                <w:b w:val="0"/>
                <w:i w:val="0"/>
                <w:color w:val="101828"/>
                <w:sz w:val="15"/>
              </w:rPr>
              <w:t xml:space="preserve">, </w:t>
            </w:r>
            <w:r>
              <w:rPr>
                <w:rFonts w:ascii="Consolas" w:hAnsi="Consolas"/>
                <w:color w:val="146EF5"/>
                <w:sz w:val="15"/>
              </w:rPr>
              <w:t>status</w:t>
            </w:r>
            <w:r>
              <w:rPr>
                <w:rFonts w:ascii="Calibri" w:hAnsi="Calibri"/>
                <w:b w:val="0"/>
                <w:i w:val="0"/>
                <w:color w:val="101828"/>
                <w:sz w:val="15"/>
              </w:rPr>
              <w:t xml:space="preserve"> (invited, active, defaulted, replaced, exited, removed), </w:t>
            </w:r>
            <w:r>
              <w:rPr>
                <w:rFonts w:ascii="Consolas" w:hAnsi="Consolas"/>
                <w:color w:val="146EF5"/>
                <w:sz w:val="15"/>
              </w:rPr>
              <w:t>invited_at</w:t>
            </w:r>
            <w:r>
              <w:rPr>
                <w:rFonts w:ascii="Calibri" w:hAnsi="Calibri"/>
                <w:b w:val="0"/>
                <w:i w:val="0"/>
                <w:color w:val="101828"/>
                <w:sz w:val="15"/>
              </w:rPr>
              <w:t xml:space="preserve">, </w:t>
            </w:r>
            <w:r>
              <w:rPr>
                <w:rFonts w:ascii="Consolas" w:hAnsi="Consolas"/>
                <w:color w:val="146EF5"/>
                <w:sz w:val="15"/>
              </w:rPr>
              <w:t>joined_at</w:t>
            </w:r>
            <w:r>
              <w:rPr>
                <w:rFonts w:ascii="Calibri" w:hAnsi="Calibri"/>
                <w:b w:val="0"/>
                <w:i w:val="0"/>
                <w:color w:val="101828"/>
                <w:sz w:val="15"/>
              </w:rPr>
              <w:t xml:space="preserve">, </w:t>
            </w:r>
            <w:r>
              <w:rPr>
                <w:rFonts w:ascii="Consolas" w:hAnsi="Consolas"/>
                <w:color w:val="146EF5"/>
                <w:sz w:val="15"/>
              </w:rPr>
              <w:t>left_at</w:t>
            </w:r>
          </w:p>
        </w:tc>
        <w:tc>
          <w:tcPr>
            <w:tcW w:type="dxa" w:w="2232"/>
            <w:tcMar>
              <w:top w:w="60" w:type="dxa"/>
              <w:start w:w="110" w:type="dxa"/>
              <w:bottom w:w="60" w:type="dxa"/>
              <w:end w:w="110" w:type="dxa"/>
            </w:tcMar>
          </w:tcPr>
          <w:p>
            <w:pPr>
              <w:spacing w:after="0"/>
            </w:pPr>
            <w:r/>
            <w:r>
              <w:rPr>
                <w:rFonts w:ascii="Calibri" w:hAnsi="Calibri"/>
                <w:b w:val="0"/>
                <w:i w:val="0"/>
                <w:color w:val="101828"/>
                <w:sz w:val="15"/>
              </w:rPr>
              <w:t>N:1 ajos, users; 0:1 ajo_positions; 1:N to contributions, role_assignments</w:t>
            </w:r>
          </w:p>
        </w:tc>
      </w:tr>
      <w:tr>
        <w:trPr>
          <w:cantSplit/>
        </w:trPr>
        <w:tc>
          <w:tcPr>
            <w:tcW w:type="dxa" w:w="1656"/>
            <w:tcMar>
              <w:top w:w="60" w:type="dxa"/>
              <w:start w:w="110" w:type="dxa"/>
              <w:bottom w:w="60" w:type="dxa"/>
              <w:end w:w="110" w:type="dxa"/>
            </w:tcMar>
            <w:shd w:val="clear" w:color="auto" w:fill="F4F7FB"/>
          </w:tcPr>
          <w:p>
            <w:pPr>
              <w:spacing w:after="0"/>
            </w:pPr>
            <w:r/>
            <w:r>
              <w:rPr>
                <w:rFonts w:ascii="Consolas" w:hAnsi="Consolas"/>
                <w:color w:val="146EF5"/>
                <w:sz w:val="15"/>
              </w:rPr>
              <w:t>invitations</w:t>
            </w:r>
            <w:r>
              <w:rPr>
                <w:rFonts w:ascii="Calibri" w:hAnsi="Calibri"/>
                <w:b w:val="0"/>
                <w:i w:val="0"/>
                <w:color w:val="101828"/>
                <w:sz w:val="15"/>
              </w:rPr>
              <w:t xml:space="preserve"> *</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5"/>
              </w:rPr>
              <w:t>A single-use, expiring, hashed-token invitation to a specific Ajo and optionally a specific position.</w:t>
            </w:r>
          </w:p>
        </w:tc>
        <w:tc>
          <w:tcPr>
            <w:tcW w:type="dxa" w:w="2664"/>
            <w:tcMar>
              <w:top w:w="60" w:type="dxa"/>
              <w:start w:w="110" w:type="dxa"/>
              <w:bottom w:w="60" w:type="dxa"/>
              <w:end w:w="110" w:type="dxa"/>
            </w:tcMar>
            <w:shd w:val="clear" w:color="auto" w:fill="F4F7FB"/>
          </w:tcPr>
          <w:p>
            <w:pPr>
              <w:spacing w:after="0"/>
            </w:pPr>
            <w:r/>
            <w:r>
              <w:rPr>
                <w:rFonts w:ascii="Consolas" w:hAnsi="Consolas"/>
                <w:color w:val="146EF5"/>
                <w:sz w:val="15"/>
              </w:rPr>
              <w:t>ajo_id</w:t>
            </w:r>
            <w:r>
              <w:rPr>
                <w:rFonts w:ascii="Calibri" w:hAnsi="Calibri"/>
                <w:b w:val="0"/>
                <w:i w:val="0"/>
                <w:color w:val="101828"/>
                <w:sz w:val="15"/>
              </w:rPr>
              <w:t xml:space="preserve">, </w:t>
            </w:r>
            <w:r>
              <w:rPr>
                <w:rFonts w:ascii="Consolas" w:hAnsi="Consolas"/>
                <w:color w:val="146EF5"/>
                <w:sz w:val="15"/>
              </w:rPr>
              <w:t>position_id</w:t>
            </w:r>
            <w:r>
              <w:rPr>
                <w:rFonts w:ascii="Calibri" w:hAnsi="Calibri"/>
                <w:b w:val="0"/>
                <w:i w:val="0"/>
                <w:color w:val="101828"/>
                <w:sz w:val="15"/>
              </w:rPr>
              <w:t xml:space="preserve">, </w:t>
            </w:r>
            <w:r>
              <w:rPr>
                <w:rFonts w:ascii="Consolas" w:hAnsi="Consolas"/>
                <w:color w:val="146EF5"/>
                <w:sz w:val="15"/>
              </w:rPr>
              <w:t>email</w:t>
            </w:r>
            <w:r>
              <w:rPr>
                <w:rFonts w:ascii="Calibri" w:hAnsi="Calibri"/>
                <w:b w:val="0"/>
                <w:i w:val="0"/>
                <w:color w:val="101828"/>
                <w:sz w:val="15"/>
              </w:rPr>
              <w:t xml:space="preserve">, </w:t>
            </w:r>
            <w:r>
              <w:rPr>
                <w:rFonts w:ascii="Consolas" w:hAnsi="Consolas"/>
                <w:color w:val="146EF5"/>
                <w:sz w:val="15"/>
              </w:rPr>
              <w:t>token_hash</w:t>
            </w:r>
            <w:r>
              <w:rPr>
                <w:rFonts w:ascii="Calibri" w:hAnsi="Calibri"/>
                <w:b w:val="0"/>
                <w:i w:val="0"/>
                <w:color w:val="101828"/>
                <w:sz w:val="15"/>
              </w:rPr>
              <w:t xml:space="preserve"> UNIQUE, </w:t>
            </w:r>
            <w:r>
              <w:rPr>
                <w:rFonts w:ascii="Consolas" w:hAnsi="Consolas"/>
                <w:color w:val="146EF5"/>
                <w:sz w:val="15"/>
              </w:rPr>
              <w:t>status</w:t>
            </w:r>
            <w:r>
              <w:rPr>
                <w:rFonts w:ascii="Calibri" w:hAnsi="Calibri"/>
                <w:b w:val="0"/>
                <w:i w:val="0"/>
                <w:color w:val="101828"/>
                <w:sz w:val="15"/>
              </w:rPr>
              <w:t xml:space="preserve"> (pending, accepted, declined, expired, revoked), </w:t>
            </w:r>
            <w:r>
              <w:rPr>
                <w:rFonts w:ascii="Consolas" w:hAnsi="Consolas"/>
                <w:color w:val="146EF5"/>
                <w:sz w:val="15"/>
              </w:rPr>
              <w:t>expires_at</w:t>
            </w:r>
            <w:r>
              <w:rPr>
                <w:rFonts w:ascii="Calibri" w:hAnsi="Calibri"/>
                <w:b w:val="0"/>
                <w:i w:val="0"/>
                <w:color w:val="101828"/>
                <w:sz w:val="15"/>
              </w:rPr>
              <w:t xml:space="preserve">, </w:t>
            </w:r>
            <w:r>
              <w:rPr>
                <w:rFonts w:ascii="Consolas" w:hAnsi="Consolas"/>
                <w:color w:val="146EF5"/>
                <w:sz w:val="15"/>
              </w:rPr>
              <w:t>accepted_at</w:t>
            </w:r>
          </w:p>
        </w:tc>
        <w:tc>
          <w:tcPr>
            <w:tcW w:type="dxa" w:w="2232"/>
            <w:tcMar>
              <w:top w:w="60" w:type="dxa"/>
              <w:start w:w="110" w:type="dxa"/>
              <w:bottom w:w="60" w:type="dxa"/>
              <w:end w:w="110" w:type="dxa"/>
            </w:tcMar>
            <w:shd w:val="clear" w:color="auto" w:fill="F4F7FB"/>
          </w:tcPr>
          <w:p>
            <w:pPr>
              <w:spacing w:after="0"/>
            </w:pPr>
            <w:r/>
            <w:r>
              <w:rPr>
                <w:rFonts w:ascii="Calibri" w:hAnsi="Calibri"/>
                <w:b w:val="0"/>
                <w:i w:val="0"/>
                <w:color w:val="101828"/>
                <w:sz w:val="15"/>
              </w:rPr>
              <w:t>N:1 ajos, ajo_positions, users (invited_by); 0:1 ajo_members (created on accept)</w:t>
            </w:r>
          </w:p>
        </w:tc>
      </w:tr>
    </w:tbl>
    <w:p>
      <w:pPr>
        <w:spacing w:after="80"/>
      </w:pP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Relationship</w:t>
            </w:r>
          </w:p>
        </w:tc>
        <w:tc>
          <w:tcPr>
            <w:tcW w:type="dxa" w:w="893"/>
            <w:shd w:val="clear" w:color="auto" w:fill="0B1F3A"/>
            <w:tcMar>
              <w:top w:w="60" w:type="dxa"/>
              <w:start w:w="110" w:type="dxa"/>
              <w:bottom w:w="60" w:type="dxa"/>
              <w:end w:w="110" w:type="dxa"/>
            </w:tcMar>
          </w:tcPr>
          <w:p>
            <w:pPr>
              <w:spacing w:after="0"/>
            </w:pPr>
            <w:r/>
            <w:r>
              <w:rPr>
                <w:rFonts w:ascii="Calibri" w:hAnsi="Calibri"/>
                <w:b/>
                <w:i w:val="0"/>
                <w:color w:val="FFFFFF"/>
                <w:sz w:val="14"/>
              </w:rPr>
              <w:t>Type</w:t>
            </w:r>
          </w:p>
        </w:tc>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4"/>
              </w:rPr>
              <w:t>Card.</w:t>
            </w:r>
          </w:p>
        </w:tc>
        <w:tc>
          <w:tcPr>
            <w:tcW w:type="dxa" w:w="1224"/>
            <w:shd w:val="clear" w:color="auto" w:fill="0B1F3A"/>
            <w:tcMar>
              <w:top w:w="60" w:type="dxa"/>
              <w:start w:w="110" w:type="dxa"/>
              <w:bottom w:w="60" w:type="dxa"/>
              <w:end w:w="110" w:type="dxa"/>
            </w:tcMar>
          </w:tcPr>
          <w:p>
            <w:pPr>
              <w:spacing w:after="0"/>
            </w:pPr>
            <w:r/>
            <w:r>
              <w:rPr>
                <w:rFonts w:ascii="Calibri" w:hAnsi="Calibri"/>
                <w:b/>
                <w:i w:val="0"/>
                <w:color w:val="FFFFFF"/>
                <w:sz w:val="14"/>
              </w:rPr>
              <w:t>FK</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4"/>
              </w:rPr>
              <w:t>Rule</w:t>
            </w:r>
          </w:p>
        </w:tc>
        <w:tc>
          <w:tcPr>
            <w:tcW w:type="dxa" w:w="2419"/>
            <w:shd w:val="clear" w:color="auto" w:fill="0B1F3A"/>
            <w:tcMar>
              <w:top w:w="60" w:type="dxa"/>
              <w:start w:w="110" w:type="dxa"/>
              <w:bottom w:w="60" w:type="dxa"/>
              <w:end w:w="110" w:type="dxa"/>
            </w:tcMar>
          </w:tcPr>
          <w:p>
            <w:pPr>
              <w:spacing w:after="0"/>
            </w:pPr>
            <w:r/>
            <w:r>
              <w:rPr>
                <w:rFonts w:ascii="Calibri" w:hAnsi="Calibri"/>
                <w:b/>
                <w:i w:val="0"/>
                <w:color w:val="FFFFFF"/>
                <w:sz w:val="14"/>
              </w:rPr>
              <w:t>Cascade behaviour</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users -&gt; ajos</w:t>
            </w:r>
          </w:p>
        </w:tc>
        <w:tc>
          <w:tcPr>
            <w:tcW w:type="dxa" w:w="893"/>
            <w:tcMar>
              <w:top w:w="60" w:type="dxa"/>
              <w:start w:w="110" w:type="dxa"/>
              <w:bottom w:w="60" w:type="dxa"/>
              <w:end w:w="110" w:type="dxa"/>
            </w:tcMar>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tcPr>
          <w:p>
            <w:pPr>
              <w:spacing w:after="0"/>
            </w:pPr>
            <w:r/>
            <w:r>
              <w:rPr>
                <w:rFonts w:ascii="Consolas" w:hAnsi="Consolas"/>
                <w:color w:val="146EF5"/>
                <w:sz w:val="14"/>
              </w:rPr>
              <w:t>ajos.organizer_user_id</w:t>
            </w:r>
          </w:p>
        </w:tc>
        <w:tc>
          <w:tcPr>
            <w:tcW w:type="dxa" w:w="2448"/>
            <w:tcMar>
              <w:top w:w="60" w:type="dxa"/>
              <w:start w:w="110" w:type="dxa"/>
              <w:bottom w:w="60" w:type="dxa"/>
              <w:end w:w="110" w:type="dxa"/>
            </w:tcMar>
          </w:tcPr>
          <w:p>
            <w:pPr>
              <w:spacing w:after="0"/>
            </w:pPr>
            <w:r/>
            <w:r>
              <w:rPr>
                <w:rFonts w:ascii="Calibri" w:hAnsi="Calibri"/>
                <w:b w:val="0"/>
                <w:i w:val="0"/>
                <w:color w:val="101828"/>
                <w:sz w:val="14"/>
              </w:rPr>
              <w:t xml:space="preserve">Exactly one organizer per Ajo, and the organizer is always also a member. </w:t>
            </w:r>
            <w:r>
              <w:rPr>
                <w:rFonts w:ascii="Calibri" w:hAnsi="Calibri"/>
                <w:b/>
                <w:color w:val="101828"/>
                <w:sz w:val="14"/>
              </w:rPr>
              <w:t>The creator occupies one of the `position_count` positions rather than sitting outside them</w:t>
            </w:r>
            <w:r>
              <w:rPr>
                <w:rFonts w:ascii="Calibri" w:hAnsi="Calibri"/>
                <w:b w:val="0"/>
                <w:i w:val="0"/>
                <w:color w:val="101828"/>
                <w:sz w:val="14"/>
              </w:rPr>
              <w:t>, so a ten-member Ajo is one organizer and nine invitees. Cancellation, freezing and payout-release requests are authorized on this column.</w:t>
            </w:r>
          </w:p>
        </w:tc>
        <w:tc>
          <w:tcPr>
            <w:tcW w:type="dxa" w:w="2419"/>
            <w:tcMar>
              <w:top w:w="60" w:type="dxa"/>
              <w:start w:w="110" w:type="dxa"/>
              <w:bottom w:w="60" w:type="dxa"/>
              <w:end w:w="110" w:type="dxa"/>
            </w:tcMar>
          </w:tcPr>
          <w:p>
            <w:pPr>
              <w:spacing w:after="0"/>
            </w:pPr>
            <w:r/>
            <w:r>
              <w:rPr>
                <w:rFonts w:ascii="Calibri" w:hAnsi="Calibri"/>
                <w:b w:val="0"/>
                <w:i w:val="0"/>
                <w:color w:val="101828"/>
                <w:sz w:val="14"/>
              </w:rPr>
              <w:t>RESTRICT. An Ajo is never deleted while it has positions; cancellation is a state, not a delete.</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ajos -&gt; ajo_positions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ajo_positions.ajo_id</w:t>
            </w:r>
          </w:p>
        </w:tc>
        <w:tc>
          <w:tcPr>
            <w:tcW w:type="dxa" w:w="2448"/>
            <w:tcMar>
              <w:top w:w="60" w:type="dxa"/>
              <w:start w:w="110" w:type="dxa"/>
              <w:bottom w:w="60" w:type="dxa"/>
              <w:end w:w="110" w:type="dxa"/>
            </w:tcMar>
            <w:shd w:val="clear" w:color="auto" w:fill="F4F7FB"/>
          </w:tcPr>
          <w:p>
            <w:pPr>
              <w:spacing w:after="0"/>
            </w:pPr>
            <w:r/>
            <w:r>
              <w:rPr>
                <w:rFonts w:ascii="Consolas" w:hAnsi="Consolas"/>
                <w:color w:val="146EF5"/>
                <w:sz w:val="14"/>
              </w:rPr>
              <w:t>UNIQUE (ajo_id, position_number)</w:t>
            </w:r>
            <w:r>
              <w:rPr>
                <w:rFonts w:ascii="Calibri" w:hAnsi="Calibri"/>
                <w:b w:val="0"/>
                <w:i w:val="0"/>
                <w:color w:val="101828"/>
                <w:sz w:val="14"/>
              </w:rPr>
              <w:t xml:space="preserve">. </w:t>
            </w:r>
            <w:r>
              <w:rPr>
                <w:rFonts w:ascii="Consolas" w:hAnsi="Consolas"/>
                <w:color w:val="146EF5"/>
                <w:sz w:val="14"/>
              </w:rPr>
              <w:t>CHECK (position_number BETWEEN 1 AND position_count)</w:t>
            </w:r>
            <w:r>
              <w:rPr>
                <w:rFonts w:ascii="Calibri" w:hAnsi="Calibri"/>
                <w:b w:val="0"/>
                <w:i w:val="0"/>
                <w:color w:val="101828"/>
                <w:sz w:val="14"/>
              </w:rPr>
              <w:t xml:space="preserve">. Rows are materialised in </w:t>
            </w:r>
            <w:r>
              <w:rPr>
                <w:rFonts w:ascii="Consolas" w:hAnsi="Consolas"/>
                <w:color w:val="146EF5"/>
                <w:sz w:val="14"/>
              </w:rPr>
              <w:t>DRAFT</w:t>
            </w:r>
            <w:r>
              <w:rPr>
                <w:rFonts w:ascii="Calibri" w:hAnsi="Calibri"/>
                <w:b w:val="0"/>
                <w:i w:val="0"/>
                <w:color w:val="101828"/>
                <w:sz w:val="14"/>
              </w:rPr>
              <w:t xml:space="preserve"> and never deleted afterwards.</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RESTRICT. Positions are the turn order; deleting one is reordering by deletion, which CANONICAL.md section 3 forbids.</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ajos -&gt; ajo_members</w:t>
            </w:r>
          </w:p>
        </w:tc>
        <w:tc>
          <w:tcPr>
            <w:tcW w:type="dxa" w:w="893"/>
            <w:tcMar>
              <w:top w:w="60" w:type="dxa"/>
              <w:start w:w="110" w:type="dxa"/>
              <w:bottom w:w="60" w:type="dxa"/>
              <w:end w:w="110" w:type="dxa"/>
            </w:tcMar>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tcPr>
          <w:p>
            <w:pPr>
              <w:spacing w:after="0"/>
            </w:pPr>
            <w:r/>
            <w:r>
              <w:rPr>
                <w:rFonts w:ascii="Consolas" w:hAnsi="Consolas"/>
                <w:color w:val="146EF5"/>
                <w:sz w:val="14"/>
              </w:rPr>
              <w:t>ajo_members.ajo_id</w:t>
            </w:r>
          </w:p>
        </w:tc>
        <w:tc>
          <w:tcPr>
            <w:tcW w:type="dxa" w:w="2448"/>
            <w:tcMar>
              <w:top w:w="60" w:type="dxa"/>
              <w:start w:w="110" w:type="dxa"/>
              <w:bottom w:w="60" w:type="dxa"/>
              <w:end w:w="110" w:type="dxa"/>
            </w:tcMar>
          </w:tcPr>
          <w:p>
            <w:pPr>
              <w:spacing w:after="0"/>
            </w:pPr>
            <w:r/>
            <w:r>
              <w:rPr>
                <w:rFonts w:ascii="Consolas" w:hAnsi="Consolas"/>
                <w:color w:val="146EF5"/>
                <w:sz w:val="14"/>
              </w:rPr>
              <w:t>UNIQUE (ajo_id, user_id)</w:t>
            </w:r>
            <w:r>
              <w:rPr>
                <w:rFonts w:ascii="Calibri" w:hAnsi="Calibri"/>
                <w:b w:val="0"/>
                <w:i w:val="0"/>
                <w:color w:val="101828"/>
                <w:sz w:val="14"/>
              </w:rPr>
              <w:t xml:space="preserve">. A user holds at most one membership per Ajo, and at most one position per Ajo: </w:t>
            </w:r>
            <w:r>
              <w:rPr>
                <w:rFonts w:ascii="Consolas" w:hAnsi="Consolas"/>
                <w:color w:val="146EF5"/>
                <w:sz w:val="14"/>
              </w:rPr>
              <w:t>UNIQUE (ajo_id, position_id) WHERE position_id IS NOT NULL AND released_at IS NULL</w:t>
            </w:r>
            <w:r>
              <w:rPr>
                <w:rFonts w:ascii="Calibri" w:hAnsi="Calibri"/>
                <w:b w:val="0"/>
                <w:i w:val="0"/>
                <w:color w:val="101828"/>
                <w:sz w:val="14"/>
              </w:rPr>
              <w:t>.</w:t>
            </w:r>
          </w:p>
        </w:tc>
        <w:tc>
          <w:tcPr>
            <w:tcW w:type="dxa" w:w="2419"/>
            <w:tcMar>
              <w:top w:w="60" w:type="dxa"/>
              <w:start w:w="110" w:type="dxa"/>
              <w:bottom w:w="60" w:type="dxa"/>
              <w:end w:w="110" w:type="dxa"/>
            </w:tcMar>
          </w:tcPr>
          <w:p>
            <w:pPr>
              <w:spacing w:after="0"/>
            </w:pPr>
            <w:r/>
            <w:r>
              <w:rPr>
                <w:rFonts w:ascii="Calibri" w:hAnsi="Calibri"/>
                <w:b w:val="0"/>
                <w:i w:val="0"/>
                <w:color w:val="101828"/>
                <w:sz w:val="14"/>
              </w:rPr>
              <w:t xml:space="preserve">RESTRICT. Removal is </w:t>
            </w:r>
            <w:r>
              <w:rPr>
                <w:rFonts w:ascii="Consolas" w:hAnsi="Consolas"/>
                <w:color w:val="146EF5"/>
                <w:sz w:val="14"/>
              </w:rPr>
              <w:t>status='removed'</w:t>
            </w:r>
            <w:r>
              <w:rPr>
                <w:rFonts w:ascii="Calibri" w:hAnsi="Calibri"/>
                <w:b w:val="0"/>
                <w:i w:val="0"/>
                <w:color w:val="101828"/>
                <w:sz w:val="14"/>
              </w:rPr>
              <w:t xml:space="preserve"> plus </w:t>
            </w:r>
            <w:r>
              <w:rPr>
                <w:rFonts w:ascii="Consolas" w:hAnsi="Consolas"/>
                <w:color w:val="146EF5"/>
                <w:sz w:val="14"/>
              </w:rPr>
              <w:t>deleted_at</w:t>
            </w:r>
            <w:r>
              <w:rPr>
                <w:rFonts w:ascii="Calibri" w:hAnsi="Calibri"/>
                <w:b w:val="0"/>
                <w:i w:val="0"/>
                <w:color w:val="101828"/>
                <w:sz w:val="14"/>
              </w:rPr>
              <w:t>; the row stays so a receipt can always be tied to a member.</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users -&gt; ajo_members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ajo_members.user_id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user may be in many Ajos. A membership requires an accepted invitation or an organizer-added row in </w:t>
            </w:r>
            <w:r>
              <w:rPr>
                <w:rFonts w:ascii="Consolas" w:hAnsi="Consolas"/>
                <w:color w:val="146EF5"/>
                <w:sz w:val="14"/>
              </w:rPr>
              <w:t>ENROLLMENT</w:t>
            </w:r>
            <w:r>
              <w:rPr>
                <w:rFonts w:ascii="Calibri" w:hAnsi="Calibri"/>
                <w:b w:val="0"/>
                <w:i w:val="0"/>
                <w:color w:val="101828"/>
                <w:sz w:val="14"/>
              </w:rPr>
              <w:t xml:space="preserve"> only.</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RESTRICT. A user record is never deleted by a membership operation.</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ajo_positions -&gt; ajo_members</w:t>
            </w:r>
          </w:p>
        </w:tc>
        <w:tc>
          <w:tcPr>
            <w:tcW w:type="dxa" w:w="893"/>
            <w:tcMar>
              <w:top w:w="60" w:type="dxa"/>
              <w:start w:w="110" w:type="dxa"/>
              <w:bottom w:w="60" w:type="dxa"/>
              <w:end w:w="110" w:type="dxa"/>
            </w:tcMar>
          </w:tcPr>
          <w:p>
            <w:pPr>
              <w:spacing w:after="0"/>
            </w:pPr>
            <w:r/>
            <w:r>
              <w:rPr>
                <w:rFonts w:ascii="Calibri" w:hAnsi="Calibri"/>
                <w:b w:val="0"/>
                <w:i w:val="0"/>
                <w:color w:val="101828"/>
                <w:sz w:val="14"/>
              </w:rPr>
              <w:t>1:1</w:t>
            </w:r>
          </w:p>
        </w:tc>
        <w:tc>
          <w:tcPr>
            <w:tcW w:type="dxa" w:w="720"/>
            <w:tcMar>
              <w:top w:w="60" w:type="dxa"/>
              <w:start w:w="110" w:type="dxa"/>
              <w:bottom w:w="60" w:type="dxa"/>
              <w:end w:w="110" w:type="dxa"/>
            </w:tcMar>
          </w:tcPr>
          <w:p>
            <w:pPr>
              <w:spacing w:after="0"/>
            </w:pPr>
            <w:r/>
            <w:r>
              <w:rPr>
                <w:rFonts w:ascii="Calibri" w:hAnsi="Calibri"/>
                <w:b w:val="0"/>
                <w:i w:val="0"/>
                <w:color w:val="101828"/>
                <w:sz w:val="14"/>
              </w:rPr>
              <w:t>0..1</w:t>
            </w:r>
          </w:p>
        </w:tc>
        <w:tc>
          <w:tcPr>
            <w:tcW w:type="dxa" w:w="1224"/>
            <w:tcMar>
              <w:top w:w="60" w:type="dxa"/>
              <w:start w:w="110" w:type="dxa"/>
              <w:bottom w:w="60" w:type="dxa"/>
              <w:end w:w="110" w:type="dxa"/>
            </w:tcMar>
          </w:tcPr>
          <w:p>
            <w:pPr>
              <w:spacing w:after="0"/>
            </w:pPr>
            <w:r/>
            <w:r>
              <w:rPr>
                <w:rFonts w:ascii="Consolas" w:hAnsi="Consolas"/>
                <w:color w:val="146EF5"/>
                <w:sz w:val="14"/>
              </w:rPr>
              <w:t>ajo_members.position_id</w:t>
            </w:r>
          </w:p>
        </w:tc>
        <w:tc>
          <w:tcPr>
            <w:tcW w:type="dxa" w:w="2448"/>
            <w:tcMar>
              <w:top w:w="60" w:type="dxa"/>
              <w:start w:w="110" w:type="dxa"/>
              <w:bottom w:w="60" w:type="dxa"/>
              <w:end w:w="110" w:type="dxa"/>
            </w:tcMar>
          </w:tcPr>
          <w:p>
            <w:pPr>
              <w:spacing w:after="0"/>
            </w:pPr>
            <w:r/>
            <w:r>
              <w:rPr>
                <w:rFonts w:ascii="Calibri" w:hAnsi="Calibri"/>
                <w:b w:val="0"/>
                <w:i w:val="0"/>
                <w:color w:val="101828"/>
                <w:sz w:val="14"/>
              </w:rPr>
              <w:t>A position is occupied if and only if exactly one live membership points at it. Occupancy is derived, never stored twice. Claiming takes a row lock (section 9.8).</w:t>
            </w:r>
          </w:p>
        </w:tc>
        <w:tc>
          <w:tcPr>
            <w:tcW w:type="dxa" w:w="2419"/>
            <w:tcMar>
              <w:top w:w="60" w:type="dxa"/>
              <w:start w:w="110" w:type="dxa"/>
              <w:bottom w:w="60" w:type="dxa"/>
              <w:end w:w="110" w:type="dxa"/>
            </w:tcMar>
          </w:tcPr>
          <w:p>
            <w:pPr>
              <w:spacing w:after="0"/>
            </w:pPr>
            <w:r/>
            <w:r>
              <w:rPr>
                <w:rFonts w:ascii="Calibri" w:hAnsi="Calibri"/>
                <w:b w:val="0"/>
                <w:i w:val="0"/>
                <w:color w:val="101828"/>
                <w:sz w:val="14"/>
              </w:rPr>
              <w:t xml:space="preserve">SET NULL on release, and </w:t>
            </w:r>
            <w:r>
              <w:rPr>
                <w:rFonts w:ascii="Consolas" w:hAnsi="Consolas"/>
                <w:color w:val="146EF5"/>
                <w:sz w:val="14"/>
              </w:rPr>
              <w:t>released_at</w:t>
            </w:r>
            <w:r>
              <w:rPr>
                <w:rFonts w:ascii="Calibri" w:hAnsi="Calibri"/>
                <w:b w:val="0"/>
                <w:i w:val="0"/>
                <w:color w:val="101828"/>
                <w:sz w:val="14"/>
              </w:rPr>
              <w:t xml:space="preserve"> is stamped. This is the only supported way a position becomes open after activation.</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ajos -&gt; invitations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invitations.ajo_id</w:t>
            </w:r>
          </w:p>
        </w:tc>
        <w:tc>
          <w:tcPr>
            <w:tcW w:type="dxa" w:w="2448"/>
            <w:tcMar>
              <w:top w:w="60" w:type="dxa"/>
              <w:start w:w="110" w:type="dxa"/>
              <w:bottom w:w="60" w:type="dxa"/>
              <w:end w:w="110" w:type="dxa"/>
            </w:tcMar>
            <w:shd w:val="clear" w:color="auto" w:fill="F4F7FB"/>
          </w:tcPr>
          <w:p>
            <w:pPr>
              <w:spacing w:after="0"/>
            </w:pPr>
            <w:r/>
            <w:r>
              <w:rPr>
                <w:rFonts w:ascii="Consolas" w:hAnsi="Consolas"/>
                <w:color w:val="146EF5"/>
                <w:sz w:val="14"/>
              </w:rPr>
              <w:t>UNIQUE (ajo_id, email) WHERE status = 'pending'</w:t>
            </w:r>
            <w:r>
              <w:rPr>
                <w:rFonts w:ascii="Calibri" w:hAnsi="Calibri"/>
                <w:b w:val="0"/>
                <w:i w:val="0"/>
                <w:color w:val="101828"/>
                <w:sz w:val="14"/>
              </w:rPr>
              <w:t xml:space="preserve"> so an organizer cannot send two live invitations to the same address. Token is stored as a hash; the plaintext exists only in the email.</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CASCADE. An invitation is a pre-activation artefact with no financial history. Once accepted, the </w:t>
            </w:r>
            <w:r>
              <w:rPr>
                <w:rFonts w:ascii="Consolas" w:hAnsi="Consolas"/>
                <w:color w:val="146EF5"/>
                <w:sz w:val="14"/>
              </w:rPr>
              <w:t>ajo_members</w:t>
            </w:r>
            <w:r>
              <w:rPr>
                <w:rFonts w:ascii="Calibri" w:hAnsi="Calibri"/>
                <w:b w:val="0"/>
                <w:i w:val="0"/>
                <w:color w:val="101828"/>
                <w:sz w:val="14"/>
              </w:rPr>
              <w:t xml:space="preserve"> row is what matters and it does not cascade.</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ajo_positions -&gt; invitations</w:t>
            </w:r>
          </w:p>
        </w:tc>
        <w:tc>
          <w:tcPr>
            <w:tcW w:type="dxa" w:w="893"/>
            <w:tcMar>
              <w:top w:w="60" w:type="dxa"/>
              <w:start w:w="110" w:type="dxa"/>
              <w:bottom w:w="60" w:type="dxa"/>
              <w:end w:w="110" w:type="dxa"/>
            </w:tcMar>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tcPr>
          <w:p>
            <w:pPr>
              <w:spacing w:after="0"/>
            </w:pPr>
            <w:r/>
            <w:r>
              <w:rPr>
                <w:rFonts w:ascii="Calibri" w:hAnsi="Calibri"/>
                <w:b w:val="0"/>
                <w:i w:val="0"/>
                <w:color w:val="101828"/>
                <w:sz w:val="14"/>
              </w:rPr>
              <w:t>0:1</w:t>
            </w:r>
          </w:p>
        </w:tc>
        <w:tc>
          <w:tcPr>
            <w:tcW w:type="dxa" w:w="1224"/>
            <w:tcMar>
              <w:top w:w="60" w:type="dxa"/>
              <w:start w:w="110" w:type="dxa"/>
              <w:bottom w:w="60" w:type="dxa"/>
              <w:end w:w="110" w:type="dxa"/>
            </w:tcMar>
          </w:tcPr>
          <w:p>
            <w:pPr>
              <w:spacing w:after="0"/>
            </w:pPr>
            <w:r/>
            <w:r>
              <w:rPr>
                <w:rFonts w:ascii="Consolas" w:hAnsi="Consolas"/>
                <w:color w:val="146EF5"/>
                <w:sz w:val="14"/>
              </w:rPr>
              <w:t>invitations.position_id</w:t>
            </w:r>
          </w:p>
        </w:tc>
        <w:tc>
          <w:tcPr>
            <w:tcW w:type="dxa" w:w="2448"/>
            <w:tcMar>
              <w:top w:w="60" w:type="dxa"/>
              <w:start w:w="110" w:type="dxa"/>
              <w:bottom w:w="60" w:type="dxa"/>
              <w:end w:w="110" w:type="dxa"/>
            </w:tcMar>
          </w:tcPr>
          <w:p>
            <w:pPr>
              <w:spacing w:after="0"/>
            </w:pPr>
            <w:r/>
            <w:r>
              <w:rPr>
                <w:rFonts w:ascii="Calibri" w:hAnsi="Calibri"/>
                <w:b w:val="0"/>
                <w:i w:val="0"/>
                <w:color w:val="101828"/>
                <w:sz w:val="14"/>
              </w:rPr>
              <w:t>Optional. An invitation may name the position it offers, or may be a general invitation to any open position.</w:t>
            </w:r>
          </w:p>
        </w:tc>
        <w:tc>
          <w:tcPr>
            <w:tcW w:type="dxa" w:w="2419"/>
            <w:tcMar>
              <w:top w:w="60" w:type="dxa"/>
              <w:start w:w="110" w:type="dxa"/>
              <w:bottom w:w="60" w:type="dxa"/>
              <w:end w:w="110" w:type="dxa"/>
            </w:tcMar>
          </w:tcPr>
          <w:p>
            <w:pPr>
              <w:spacing w:after="0"/>
            </w:pPr>
            <w:r/>
            <w:r>
              <w:rPr>
                <w:rFonts w:ascii="Calibri" w:hAnsi="Calibri"/>
                <w:b w:val="0"/>
                <w:i w:val="0"/>
                <w:color w:val="101828"/>
                <w:sz w:val="14"/>
              </w:rPr>
              <w:t>SET NULL. Revoking an invitation must not delete a position.</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invitations -&gt; ajo_members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1:1</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0:1</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ajo_members.invitation_id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Created in the same transaction that flips the invitation to </w:t>
            </w:r>
            <w:r>
              <w:rPr>
                <w:rFonts w:ascii="Consolas" w:hAnsi="Consolas"/>
                <w:color w:val="146EF5"/>
                <w:sz w:val="14"/>
              </w:rPr>
              <w:t>accepted</w:t>
            </w:r>
            <w:r>
              <w:rPr>
                <w:rFonts w:ascii="Calibri" w:hAnsi="Calibri"/>
                <w:b w:val="0"/>
                <w:i w:val="0"/>
                <w:color w:val="101828"/>
                <w:sz w:val="14"/>
              </w:rPr>
              <w:t xml:space="preserve">. </w:t>
            </w:r>
            <w:r>
              <w:rPr>
                <w:rFonts w:ascii="Consolas" w:hAnsi="Consolas"/>
                <w:color w:val="146EF5"/>
                <w:sz w:val="14"/>
              </w:rPr>
              <w:t>UNIQUE (invitation_id)</w:t>
            </w:r>
            <w:r>
              <w:rPr>
                <w:rFonts w:ascii="Calibri" w:hAnsi="Calibri"/>
                <w:b w:val="0"/>
                <w:i w:val="0"/>
                <w:color w:val="101828"/>
                <w:sz w:val="14"/>
              </w:rPr>
              <w:t xml:space="preserve"> so an invitation cannot mint two memberships.</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RESTRICT. Two paths to a membership (invitation and organizer add) are possible, so this FK is nullable by design.</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ajos -&gt; role_assignments</w:t>
            </w:r>
          </w:p>
        </w:tc>
        <w:tc>
          <w:tcPr>
            <w:tcW w:type="dxa" w:w="893"/>
            <w:tcMar>
              <w:top w:w="60" w:type="dxa"/>
              <w:start w:w="110" w:type="dxa"/>
              <w:bottom w:w="60" w:type="dxa"/>
              <w:end w:w="110" w:type="dxa"/>
            </w:tcMar>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tcPr>
          <w:p>
            <w:pPr>
              <w:spacing w:after="0"/>
            </w:pPr>
            <w:r/>
            <w:r>
              <w:rPr>
                <w:rFonts w:ascii="Calibri" w:hAnsi="Calibri"/>
                <w:b w:val="0"/>
                <w:i w:val="0"/>
                <w:color w:val="101828"/>
                <w:sz w:val="14"/>
              </w:rPr>
              <w:t>0:1</w:t>
            </w:r>
          </w:p>
        </w:tc>
        <w:tc>
          <w:tcPr>
            <w:tcW w:type="dxa" w:w="1224"/>
            <w:tcMar>
              <w:top w:w="60" w:type="dxa"/>
              <w:start w:w="110" w:type="dxa"/>
              <w:bottom w:w="60" w:type="dxa"/>
              <w:end w:w="110" w:type="dxa"/>
            </w:tcMar>
          </w:tcPr>
          <w:p>
            <w:pPr>
              <w:spacing w:after="0"/>
            </w:pPr>
            <w:r/>
            <w:r>
              <w:rPr>
                <w:rFonts w:ascii="Consolas" w:hAnsi="Consolas"/>
                <w:color w:val="146EF5"/>
                <w:sz w:val="14"/>
              </w:rPr>
              <w:t>role_assignments.ajo_id</w:t>
            </w:r>
          </w:p>
        </w:tc>
        <w:tc>
          <w:tcPr>
            <w:tcW w:type="dxa" w:w="2448"/>
            <w:tcMar>
              <w:top w:w="60" w:type="dxa"/>
              <w:start w:w="110" w:type="dxa"/>
              <w:bottom w:w="60" w:type="dxa"/>
              <w:end w:w="110" w:type="dxa"/>
            </w:tcMar>
          </w:tcPr>
          <w:p>
            <w:pPr>
              <w:spacing w:after="0"/>
            </w:pPr>
            <w:r/>
            <w:r>
              <w:rPr>
                <w:rFonts w:ascii="Calibri" w:hAnsi="Calibri"/>
                <w:b w:val="0"/>
                <w:i w:val="0"/>
                <w:color w:val="101828"/>
                <w:sz w:val="14"/>
              </w:rPr>
              <w:t xml:space="preserve">Only </w:t>
            </w:r>
            <w:r>
              <w:rPr>
                <w:rFonts w:ascii="Consolas" w:hAnsi="Consolas"/>
                <w:color w:val="146EF5"/>
                <w:sz w:val="14"/>
              </w:rPr>
              <w:t>ajo_organizer</w:t>
            </w:r>
            <w:r>
              <w:rPr>
                <w:rFonts w:ascii="Calibri" w:hAnsi="Calibri"/>
                <w:b w:val="0"/>
                <w:i w:val="0"/>
                <w:color w:val="101828"/>
                <w:sz w:val="14"/>
              </w:rPr>
              <w:t xml:space="preserve"> is granted at Ajo scope in v1. Ajo-scoped grants cannot outlive the Ajo: </w:t>
            </w:r>
            <w:r>
              <w:rPr>
                <w:rFonts w:ascii="Consolas" w:hAnsi="Consolas"/>
                <w:color w:val="146EF5"/>
                <w:sz w:val="14"/>
              </w:rPr>
              <w:t>expires_at</w:t>
            </w:r>
            <w:r>
              <w:rPr>
                <w:rFonts w:ascii="Calibri" w:hAnsi="Calibri"/>
                <w:b w:val="0"/>
                <w:i w:val="0"/>
                <w:color w:val="101828"/>
                <w:sz w:val="14"/>
              </w:rPr>
              <w:t xml:space="preserve"> is set to the Ajo's </w:t>
            </w:r>
            <w:r>
              <w:rPr>
                <w:rFonts w:ascii="Consolas" w:hAnsi="Consolas"/>
                <w:color w:val="146EF5"/>
                <w:sz w:val="14"/>
              </w:rPr>
              <w:t>completed_at</w:t>
            </w:r>
            <w:r>
              <w:rPr>
                <w:rFonts w:ascii="Calibri" w:hAnsi="Calibri"/>
                <w:b w:val="0"/>
                <w:i w:val="0"/>
                <w:color w:val="101828"/>
                <w:sz w:val="14"/>
              </w:rPr>
              <w:t xml:space="preserve"> at creation.</w:t>
            </w:r>
          </w:p>
        </w:tc>
        <w:tc>
          <w:tcPr>
            <w:tcW w:type="dxa" w:w="2419"/>
            <w:tcMar>
              <w:top w:w="60" w:type="dxa"/>
              <w:start w:w="110" w:type="dxa"/>
              <w:bottom w:w="60" w:type="dxa"/>
              <w:end w:w="110" w:type="dxa"/>
            </w:tcMar>
          </w:tcPr>
          <w:p>
            <w:pPr>
              <w:spacing w:after="0"/>
            </w:pPr>
            <w:r/>
            <w:r>
              <w:rPr>
                <w:rFonts w:ascii="Calibri" w:hAnsi="Calibri"/>
                <w:b w:val="0"/>
                <w:i w:val="0"/>
                <w:color w:val="101828"/>
                <w:sz w:val="14"/>
              </w:rPr>
              <w:t>CASCADE. A grant to a cancelled Ajo is meaningless and is removed with it.</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ajos -&gt; payment_channels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0:1</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ajos.preferred_channel_id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Optional. Where null, the member's default from </w:t>
            </w:r>
            <w:r>
              <w:rPr>
                <w:rFonts w:ascii="Consolas" w:hAnsi="Consolas"/>
                <w:color w:val="146EF5"/>
                <w:sz w:val="14"/>
              </w:rPr>
              <w:t>profiles</w:t>
            </w:r>
            <w:r>
              <w:rPr>
                <w:rFonts w:ascii="Calibri" w:hAnsi="Calibri"/>
                <w:b w:val="0"/>
                <w:i w:val="0"/>
                <w:color w:val="101828"/>
                <w:sz w:val="14"/>
              </w:rPr>
              <w:t xml:space="preserve"> applies. Nullability rather than a default row, so that 'no preference' is representable.</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RESTRICT. Channels are configuration and are deactivated, never deleted.</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Positions lock on activation, and the schema says so  </w:t>
      </w:r>
      <w:r>
        <w:rPr>
          <w:rFonts w:ascii="Calibri" w:hAnsi="Calibri"/>
          <w:b w:val="0"/>
          <w:i w:val="0"/>
          <w:color w:val="0B1F3A"/>
          <w:sz w:val="19"/>
        </w:rPr>
        <w:t xml:space="preserve">CANONICAL.md section 3 states that payout positions lock on activation and that reordering afterwards requires a formal replacement or transfer request. That is encoded twice: as a trigger </w:t>
      </w:r>
      <w:r>
        <w:rPr>
          <w:rFonts w:ascii="Consolas" w:hAnsi="Consolas"/>
          <w:color w:val="146EF5"/>
          <w:sz w:val="19"/>
        </w:rPr>
        <w:t>app.assert_positions_locked()</w:t>
      </w:r>
      <w:r>
        <w:rPr>
          <w:rFonts w:ascii="Calibri" w:hAnsi="Calibri"/>
          <w:b w:val="0"/>
          <w:i w:val="0"/>
          <w:color w:val="0B1F3A"/>
          <w:sz w:val="19"/>
        </w:rPr>
        <w:t xml:space="preserve"> that rejects any UPDATE touching </w:t>
      </w:r>
      <w:r>
        <w:rPr>
          <w:rFonts w:ascii="Consolas" w:hAnsi="Consolas"/>
          <w:color w:val="146EF5"/>
          <w:sz w:val="19"/>
        </w:rPr>
        <w:t>position_number</w:t>
      </w:r>
      <w:r>
        <w:rPr>
          <w:rFonts w:ascii="Calibri" w:hAnsi="Calibri"/>
          <w:b w:val="0"/>
          <w:i w:val="0"/>
          <w:color w:val="0B1F3A"/>
          <w:sz w:val="19"/>
        </w:rPr>
        <w:t xml:space="preserve">, </w:t>
      </w:r>
      <w:r>
        <w:rPr>
          <w:rFonts w:ascii="Consolas" w:hAnsi="Consolas"/>
          <w:color w:val="146EF5"/>
          <w:sz w:val="19"/>
        </w:rPr>
        <w:t>ajo_id</w:t>
      </w:r>
      <w:r>
        <w:rPr>
          <w:rFonts w:ascii="Calibri" w:hAnsi="Calibri"/>
          <w:b w:val="0"/>
          <w:i w:val="0"/>
          <w:color w:val="0B1F3A"/>
          <w:sz w:val="19"/>
        </w:rPr>
        <w:t xml:space="preserve"> or </w:t>
      </w:r>
      <w:r>
        <w:rPr>
          <w:rFonts w:ascii="Consolas" w:hAnsi="Consolas"/>
          <w:color w:val="146EF5"/>
          <w:sz w:val="19"/>
        </w:rPr>
        <w:t>status</w:t>
      </w:r>
      <w:r>
        <w:rPr>
          <w:rFonts w:ascii="Calibri" w:hAnsi="Calibri"/>
          <w:b w:val="0"/>
          <w:i w:val="0"/>
          <w:color w:val="0B1F3A"/>
          <w:sz w:val="19"/>
        </w:rPr>
        <w:t xml:space="preserve"> on </w:t>
      </w:r>
      <w:r>
        <w:rPr>
          <w:rFonts w:ascii="Consolas" w:hAnsi="Consolas"/>
          <w:color w:val="146EF5"/>
          <w:sz w:val="19"/>
        </w:rPr>
        <w:t>ajo_positions</w:t>
      </w:r>
      <w:r>
        <w:rPr>
          <w:rFonts w:ascii="Calibri" w:hAnsi="Calibri"/>
          <w:b w:val="0"/>
          <w:i w:val="0"/>
          <w:color w:val="0B1F3A"/>
          <w:sz w:val="19"/>
        </w:rPr>
        <w:t xml:space="preserve"> while </w:t>
      </w:r>
      <w:r>
        <w:rPr>
          <w:rFonts w:ascii="Consolas" w:hAnsi="Consolas"/>
          <w:color w:val="146EF5"/>
          <w:sz w:val="19"/>
        </w:rPr>
        <w:t>ajos.status IN ('ACTIVE','ROUND_IN_PROGRESS','COMPLETED')</w:t>
      </w:r>
      <w:r>
        <w:rPr>
          <w:rFonts w:ascii="Calibri" w:hAnsi="Calibri"/>
          <w:b w:val="0"/>
          <w:i w:val="0"/>
          <w:color w:val="0B1F3A"/>
          <w:sz w:val="19"/>
        </w:rPr>
        <w:t>, and as the absence of any endpoint in CANONICAL.md section 6 that can reorder. The trigger is the enforcement; the endpoint absence is the belt.</w:t>
      </w:r>
    </w:p>
    <w:p>
      <w:pPr>
        <w:pStyle w:val="Heading3"/>
      </w:pPr>
      <w:r>
        <w:rPr>
          <w:rFonts w:ascii="Calibri" w:hAnsi="Calibri"/>
          <w:b/>
          <w:i w:val="0"/>
          <w:color w:val="0B1F3A"/>
          <w:sz w:val="24"/>
        </w:rPr>
        <w:t>8.3.3 Scheduling</w:t>
      </w:r>
    </w:p>
    <w:p>
      <w:r>
        <w:rPr>
          <w:rFonts w:ascii="Calibri" w:hAnsi="Calibri"/>
          <w:b w:val="0"/>
          <w:i w:val="0"/>
          <w:color w:val="101828"/>
          <w:sz w:val="21"/>
        </w:rPr>
        <w:t xml:space="preserve">Two entities, and the distinction between them is the single most common source of confusion in a rotating savings product. </w:t>
      </w:r>
      <w:r>
        <w:rPr>
          <w:rFonts w:ascii="Consolas" w:hAnsi="Consolas"/>
          <w:color w:val="146EF5"/>
          <w:sz w:val="21"/>
        </w:rPr>
        <w:t>rounds</w:t>
      </w:r>
      <w:r>
        <w:rPr>
          <w:rFonts w:ascii="Calibri" w:hAnsi="Calibri"/>
          <w:b w:val="0"/>
          <w:i w:val="0"/>
          <w:color w:val="101828"/>
          <w:sz w:val="21"/>
        </w:rPr>
        <w:t xml:space="preserve"> is the rotation step: the thing that gets funded and paid out. </w:t>
      </w:r>
      <w:r>
        <w:rPr>
          <w:rFonts w:ascii="Consolas" w:hAnsi="Consolas"/>
          <w:color w:val="146EF5"/>
          <w:sz w:val="21"/>
        </w:rPr>
        <w:t>contribution_schedules</w:t>
      </w:r>
      <w:r>
        <w:rPr>
          <w:rFonts w:ascii="Calibri" w:hAnsi="Calibri"/>
          <w:b w:val="0"/>
          <w:i w:val="0"/>
          <w:color w:val="101828"/>
          <w:sz w:val="21"/>
        </w:rPr>
        <w:t xml:space="preserve"> is the payment plan for that step: who is expected to pay, by when, and how much. A round is a fact about the Ajo; a schedule is an obligation to a person. The Ajo's organizer does not get a schedule for themselves; every other live member gets exactly one, and the constraint that enforces it is in 8.8.</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5"/>
              </w:rPr>
              <w:t>Entity</w:t>
            </w:r>
          </w:p>
        </w:tc>
        <w:tc>
          <w:tcPr>
            <w:tcW w:type="dxa" w:w="2808"/>
            <w:shd w:val="clear" w:color="auto" w:fill="0B1F3A"/>
            <w:tcMar>
              <w:top w:w="60" w:type="dxa"/>
              <w:start w:w="110" w:type="dxa"/>
              <w:bottom w:w="60" w:type="dxa"/>
              <w:end w:w="110" w:type="dxa"/>
            </w:tcMar>
          </w:tcPr>
          <w:p>
            <w:pPr>
              <w:spacing w:after="0"/>
            </w:pPr>
            <w:r/>
            <w:r>
              <w:rPr>
                <w:rFonts w:ascii="Calibri" w:hAnsi="Calibri"/>
                <w:b/>
                <w:i w:val="0"/>
                <w:color w:val="FFFFFF"/>
                <w:sz w:val="15"/>
              </w:rPr>
              <w:t>Purpose</w:t>
            </w:r>
          </w:p>
        </w:tc>
        <w:tc>
          <w:tcPr>
            <w:tcW w:type="dxa" w:w="2664"/>
            <w:shd w:val="clear" w:color="auto" w:fill="0B1F3A"/>
            <w:tcMar>
              <w:top w:w="60" w:type="dxa"/>
              <w:start w:w="110" w:type="dxa"/>
              <w:bottom w:w="60" w:type="dxa"/>
              <w:end w:w="110" w:type="dxa"/>
            </w:tcMar>
          </w:tcPr>
          <w:p>
            <w:pPr>
              <w:spacing w:after="0"/>
            </w:pPr>
            <w:r/>
            <w:r>
              <w:rPr>
                <w:rFonts w:ascii="Calibri" w:hAnsi="Calibri"/>
                <w:b/>
                <w:i w:val="0"/>
                <w:color w:val="FFFFFF"/>
                <w:sz w:val="15"/>
              </w:rPr>
              <w:t>Key fields</w:t>
            </w:r>
          </w:p>
        </w:tc>
        <w:tc>
          <w:tcPr>
            <w:tcW w:type="dxa" w:w="2232"/>
            <w:shd w:val="clear" w:color="auto" w:fill="0B1F3A"/>
            <w:tcMar>
              <w:top w:w="60" w:type="dxa"/>
              <w:start w:w="110" w:type="dxa"/>
              <w:bottom w:w="60" w:type="dxa"/>
              <w:end w:w="110" w:type="dxa"/>
            </w:tcMar>
          </w:tcPr>
          <w:p>
            <w:pPr>
              <w:spacing w:after="0"/>
            </w:pPr>
            <w:r/>
            <w:r>
              <w:rPr>
                <w:rFonts w:ascii="Calibri" w:hAnsi="Calibri"/>
                <w:b/>
                <w:i w:val="0"/>
                <w:color w:val="FFFFFF"/>
                <w:sz w:val="15"/>
              </w:rPr>
              <w:t>Relationships</w:t>
            </w:r>
          </w:p>
        </w:tc>
      </w:tr>
      <w:tr>
        <w:trPr>
          <w:cantSplit/>
        </w:trPr>
        <w:tc>
          <w:tcPr>
            <w:tcW w:type="dxa" w:w="1656"/>
            <w:tcMar>
              <w:top w:w="60" w:type="dxa"/>
              <w:start w:w="110" w:type="dxa"/>
              <w:bottom w:w="60" w:type="dxa"/>
              <w:end w:w="110" w:type="dxa"/>
            </w:tcMar>
          </w:tcPr>
          <w:p>
            <w:pPr>
              <w:spacing w:after="0"/>
            </w:pPr>
            <w:r/>
            <w:r>
              <w:rPr>
                <w:rFonts w:ascii="Consolas" w:hAnsi="Consolas"/>
                <w:color w:val="146EF5"/>
                <w:sz w:val="15"/>
              </w:rPr>
              <w:t>rounds</w:t>
            </w:r>
            <w:r>
              <w:rPr>
                <w:rFonts w:ascii="Calibri" w:hAnsi="Calibri"/>
                <w:b w:val="0"/>
                <w:i w:val="0"/>
                <w:color w:val="101828"/>
                <w:sz w:val="15"/>
              </w:rPr>
              <w:t xml:space="preserve"> *</w:t>
            </w:r>
          </w:p>
        </w:tc>
        <w:tc>
          <w:tcPr>
            <w:tcW w:type="dxa" w:w="2808"/>
            <w:tcMar>
              <w:top w:w="60" w:type="dxa"/>
              <w:start w:w="110" w:type="dxa"/>
              <w:bottom w:w="60" w:type="dxa"/>
              <w:end w:w="110" w:type="dxa"/>
            </w:tcMar>
          </w:tcPr>
          <w:p>
            <w:pPr>
              <w:spacing w:after="0"/>
            </w:pPr>
            <w:r/>
            <w:r>
              <w:rPr>
                <w:rFonts w:ascii="Calibri" w:hAnsi="Calibri"/>
                <w:b w:val="0"/>
                <w:i w:val="0"/>
                <w:color w:val="101828"/>
                <w:sz w:val="15"/>
              </w:rPr>
              <w:t>One rotation step of one Ajo. Carries the funding state, the collected base pool and the fee total.</w:t>
            </w:r>
          </w:p>
        </w:tc>
        <w:tc>
          <w:tcPr>
            <w:tcW w:type="dxa" w:w="2664"/>
            <w:tcMar>
              <w:top w:w="60" w:type="dxa"/>
              <w:start w:w="110" w:type="dxa"/>
              <w:bottom w:w="60" w:type="dxa"/>
              <w:end w:w="110" w:type="dxa"/>
            </w:tcMar>
          </w:tcPr>
          <w:p>
            <w:pPr>
              <w:spacing w:after="0"/>
            </w:pPr>
            <w:r/>
            <w:r>
              <w:rPr>
                <w:rFonts w:ascii="Consolas" w:hAnsi="Consolas"/>
                <w:color w:val="146EF5"/>
                <w:sz w:val="15"/>
              </w:rPr>
              <w:t>ajo_id</w:t>
            </w:r>
            <w:r>
              <w:rPr>
                <w:rFonts w:ascii="Calibri" w:hAnsi="Calibri"/>
                <w:b w:val="0"/>
                <w:i w:val="0"/>
                <w:color w:val="101828"/>
                <w:sz w:val="15"/>
              </w:rPr>
              <w:t xml:space="preserve">, </w:t>
            </w:r>
            <w:r>
              <w:rPr>
                <w:rFonts w:ascii="Consolas" w:hAnsi="Consolas"/>
                <w:color w:val="146EF5"/>
                <w:sz w:val="15"/>
              </w:rPr>
              <w:t>round_number</w:t>
            </w:r>
            <w:r>
              <w:rPr>
                <w:rFonts w:ascii="Calibri" w:hAnsi="Calibri"/>
                <w:b w:val="0"/>
                <w:i w:val="0"/>
                <w:color w:val="101828"/>
                <w:sz w:val="15"/>
              </w:rPr>
              <w:t xml:space="preserve">, </w:t>
            </w:r>
            <w:r>
              <w:rPr>
                <w:rFonts w:ascii="Consolas" w:hAnsi="Consolas"/>
                <w:color w:val="146EF5"/>
                <w:sz w:val="15"/>
              </w:rPr>
              <w:t>status</w:t>
            </w:r>
            <w:r>
              <w:rPr>
                <w:rFonts w:ascii="Calibri" w:hAnsi="Calibri"/>
                <w:b w:val="0"/>
                <w:i w:val="0"/>
                <w:color w:val="101828"/>
                <w:sz w:val="15"/>
              </w:rPr>
              <w:t xml:space="preserve">, </w:t>
            </w:r>
            <w:r>
              <w:rPr>
                <w:rFonts w:ascii="Consolas" w:hAnsi="Consolas"/>
                <w:color w:val="146EF5"/>
                <w:sz w:val="15"/>
              </w:rPr>
              <w:t>due_date</w:t>
            </w:r>
            <w:r>
              <w:rPr>
                <w:rFonts w:ascii="Calibri" w:hAnsi="Calibri"/>
                <w:b w:val="0"/>
                <w:i w:val="0"/>
                <w:color w:val="101828"/>
                <w:sz w:val="15"/>
              </w:rPr>
              <w:t xml:space="preserve">, </w:t>
            </w:r>
            <w:r>
              <w:rPr>
                <w:rFonts w:ascii="Consolas" w:hAnsi="Consolas"/>
                <w:color w:val="146EF5"/>
                <w:sz w:val="15"/>
              </w:rPr>
              <w:t>opens_at</w:t>
            </w:r>
            <w:r>
              <w:rPr>
                <w:rFonts w:ascii="Calibri" w:hAnsi="Calibri"/>
                <w:b w:val="0"/>
                <w:i w:val="0"/>
                <w:color w:val="101828"/>
                <w:sz w:val="15"/>
              </w:rPr>
              <w:t xml:space="preserve">, </w:t>
            </w:r>
            <w:r>
              <w:rPr>
                <w:rFonts w:ascii="Consolas" w:hAnsi="Consolas"/>
                <w:color w:val="146EF5"/>
                <w:sz w:val="15"/>
              </w:rPr>
              <w:t>closes_at</w:t>
            </w:r>
            <w:r>
              <w:rPr>
                <w:rFonts w:ascii="Calibri" w:hAnsi="Calibri"/>
                <w:b w:val="0"/>
                <w:i w:val="0"/>
                <w:color w:val="101828"/>
                <w:sz w:val="15"/>
              </w:rPr>
              <w:t xml:space="preserve">, </w:t>
            </w:r>
            <w:r>
              <w:rPr>
                <w:rFonts w:ascii="Consolas" w:hAnsi="Consolas"/>
                <w:color w:val="146EF5"/>
                <w:sz w:val="15"/>
              </w:rPr>
              <w:t>target_amount_kobo</w:t>
            </w:r>
            <w:r>
              <w:rPr>
                <w:rFonts w:ascii="Calibri" w:hAnsi="Calibri"/>
                <w:b w:val="0"/>
                <w:i w:val="0"/>
                <w:color w:val="101828"/>
                <w:sz w:val="15"/>
              </w:rPr>
              <w:t xml:space="preserve">, </w:t>
            </w:r>
            <w:r>
              <w:rPr>
                <w:rFonts w:ascii="Consolas" w:hAnsi="Consolas"/>
                <w:color w:val="146EF5"/>
                <w:sz w:val="15"/>
              </w:rPr>
              <w:t>base_pool_kobo</w:t>
            </w:r>
            <w:r>
              <w:rPr>
                <w:rFonts w:ascii="Calibri" w:hAnsi="Calibri"/>
                <w:b w:val="0"/>
                <w:i w:val="0"/>
                <w:color w:val="101828"/>
                <w:sz w:val="15"/>
              </w:rPr>
              <w:t xml:space="preserve">, </w:t>
            </w:r>
            <w:r>
              <w:rPr>
                <w:rFonts w:ascii="Consolas" w:hAnsi="Consolas"/>
                <w:color w:val="146EF5"/>
                <w:sz w:val="15"/>
              </w:rPr>
              <w:t>fee_collected_kobo</w:t>
            </w:r>
            <w:r>
              <w:rPr>
                <w:rFonts w:ascii="Calibri" w:hAnsi="Calibri"/>
                <w:b w:val="0"/>
                <w:i w:val="0"/>
                <w:color w:val="101828"/>
                <w:sz w:val="15"/>
              </w:rPr>
              <w:t xml:space="preserve">, </w:t>
            </w:r>
            <w:r>
              <w:rPr>
                <w:rFonts w:ascii="Consolas" w:hAnsi="Consolas"/>
                <w:color w:val="146EF5"/>
                <w:sz w:val="15"/>
              </w:rPr>
              <w:t>completed_at</w:t>
            </w:r>
          </w:p>
        </w:tc>
        <w:tc>
          <w:tcPr>
            <w:tcW w:type="dxa" w:w="2232"/>
            <w:tcMar>
              <w:top w:w="60" w:type="dxa"/>
              <w:start w:w="110" w:type="dxa"/>
              <w:bottom w:w="60" w:type="dxa"/>
              <w:end w:w="110" w:type="dxa"/>
            </w:tcMar>
          </w:tcPr>
          <w:p>
            <w:pPr>
              <w:spacing w:after="0"/>
            </w:pPr>
            <w:r/>
            <w:r>
              <w:rPr>
                <w:rFonts w:ascii="Calibri" w:hAnsi="Calibri"/>
                <w:b w:val="0"/>
                <w:i w:val="0"/>
                <w:color w:val="101828"/>
                <w:sz w:val="15"/>
              </w:rPr>
              <w:t>1:N from ajos; 1:N to schedules, contributions, payouts, disputes</w:t>
            </w:r>
          </w:p>
        </w:tc>
      </w:tr>
      <w:tr>
        <w:trPr>
          <w:cantSplit/>
        </w:trPr>
        <w:tc>
          <w:tcPr>
            <w:tcW w:type="dxa" w:w="1656"/>
            <w:tcMar>
              <w:top w:w="60" w:type="dxa"/>
              <w:start w:w="110" w:type="dxa"/>
              <w:bottom w:w="60" w:type="dxa"/>
              <w:end w:w="110" w:type="dxa"/>
            </w:tcMar>
            <w:shd w:val="clear" w:color="auto" w:fill="F4F7FB"/>
          </w:tcPr>
          <w:p>
            <w:pPr>
              <w:spacing w:after="0"/>
            </w:pPr>
            <w:r/>
            <w:r>
              <w:rPr>
                <w:rFonts w:ascii="Consolas" w:hAnsi="Consolas"/>
                <w:color w:val="146EF5"/>
                <w:sz w:val="15"/>
              </w:rPr>
              <w:t>contribution_schedules</w:t>
            </w:r>
            <w:r>
              <w:rPr>
                <w:rFonts w:ascii="Calibri" w:hAnsi="Calibri"/>
                <w:b w:val="0"/>
                <w:i w:val="0"/>
                <w:color w:val="101828"/>
                <w:sz w:val="15"/>
              </w:rPr>
              <w:t xml:space="preserve"> *</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5"/>
              </w:rPr>
              <w:t>The plan for one round: who owes what, by when, and the cutoff after which late is assumed.</w:t>
            </w:r>
          </w:p>
        </w:tc>
        <w:tc>
          <w:tcPr>
            <w:tcW w:type="dxa" w:w="2664"/>
            <w:tcMar>
              <w:top w:w="60" w:type="dxa"/>
              <w:start w:w="110" w:type="dxa"/>
              <w:bottom w:w="60" w:type="dxa"/>
              <w:end w:w="110" w:type="dxa"/>
            </w:tcMar>
            <w:shd w:val="clear" w:color="auto" w:fill="F4F7FB"/>
          </w:tcPr>
          <w:p>
            <w:pPr>
              <w:spacing w:after="0"/>
            </w:pPr>
            <w:r/>
            <w:r>
              <w:rPr>
                <w:rFonts w:ascii="Consolas" w:hAnsi="Consolas"/>
                <w:color w:val="146EF5"/>
                <w:sz w:val="15"/>
              </w:rPr>
              <w:t>round_id</w:t>
            </w:r>
            <w:r>
              <w:rPr>
                <w:rFonts w:ascii="Calibri" w:hAnsi="Calibri"/>
                <w:b w:val="0"/>
                <w:i w:val="0"/>
                <w:color w:val="101828"/>
                <w:sz w:val="15"/>
              </w:rPr>
              <w:t xml:space="preserve">, </w:t>
            </w:r>
            <w:r>
              <w:rPr>
                <w:rFonts w:ascii="Consolas" w:hAnsi="Consolas"/>
                <w:color w:val="146EF5"/>
                <w:sz w:val="15"/>
              </w:rPr>
              <w:t>ajo_id</w:t>
            </w:r>
            <w:r>
              <w:rPr>
                <w:rFonts w:ascii="Calibri" w:hAnsi="Calibri"/>
                <w:b w:val="0"/>
                <w:i w:val="0"/>
                <w:color w:val="101828"/>
                <w:sz w:val="15"/>
              </w:rPr>
              <w:t xml:space="preserve">, </w:t>
            </w:r>
            <w:r>
              <w:rPr>
                <w:rFonts w:ascii="Consolas" w:hAnsi="Consolas"/>
                <w:color w:val="146EF5"/>
                <w:sz w:val="15"/>
              </w:rPr>
              <w:t>due_date</w:t>
            </w:r>
            <w:r>
              <w:rPr>
                <w:rFonts w:ascii="Calibri" w:hAnsi="Calibri"/>
                <w:b w:val="0"/>
                <w:i w:val="0"/>
                <w:color w:val="101828"/>
                <w:sz w:val="15"/>
              </w:rPr>
              <w:t xml:space="preserve">, </w:t>
            </w:r>
            <w:r>
              <w:rPr>
                <w:rFonts w:ascii="Consolas" w:hAnsi="Consolas"/>
                <w:color w:val="146EF5"/>
                <w:sz w:val="15"/>
              </w:rPr>
              <w:t>expected_amount_kobo</w:t>
            </w:r>
            <w:r>
              <w:rPr>
                <w:rFonts w:ascii="Calibri" w:hAnsi="Calibri"/>
                <w:b w:val="0"/>
                <w:i w:val="0"/>
                <w:color w:val="101828"/>
                <w:sz w:val="15"/>
              </w:rPr>
              <w:t xml:space="preserve">, </w:t>
            </w:r>
            <w:r>
              <w:rPr>
                <w:rFonts w:ascii="Consolas" w:hAnsi="Consolas"/>
                <w:color w:val="146EF5"/>
                <w:sz w:val="15"/>
              </w:rPr>
              <w:t>expected_member_count</w:t>
            </w:r>
            <w:r>
              <w:rPr>
                <w:rFonts w:ascii="Calibri" w:hAnsi="Calibri"/>
                <w:b w:val="0"/>
                <w:i w:val="0"/>
                <w:color w:val="101828"/>
                <w:sz w:val="15"/>
              </w:rPr>
              <w:t xml:space="preserve">, </w:t>
            </w:r>
            <w:r>
              <w:rPr>
                <w:rFonts w:ascii="Consolas" w:hAnsi="Consolas"/>
                <w:color w:val="146EF5"/>
                <w:sz w:val="15"/>
              </w:rPr>
              <w:t>late_cutoff_at</w:t>
            </w:r>
            <w:r>
              <w:rPr>
                <w:rFonts w:ascii="Calibri" w:hAnsi="Calibri"/>
                <w:b w:val="0"/>
                <w:i w:val="0"/>
                <w:color w:val="101828"/>
                <w:sz w:val="15"/>
              </w:rPr>
              <w:t xml:space="preserve">, </w:t>
            </w:r>
            <w:r>
              <w:rPr>
                <w:rFonts w:ascii="Consolas" w:hAnsi="Consolas"/>
                <w:color w:val="146EF5"/>
                <w:sz w:val="15"/>
              </w:rPr>
              <w:t>status</w:t>
            </w:r>
          </w:p>
        </w:tc>
        <w:tc>
          <w:tcPr>
            <w:tcW w:type="dxa" w:w="2232"/>
            <w:tcMar>
              <w:top w:w="60" w:type="dxa"/>
              <w:start w:w="110" w:type="dxa"/>
              <w:bottom w:w="60" w:type="dxa"/>
              <w:end w:w="110" w:type="dxa"/>
            </w:tcMar>
            <w:shd w:val="clear" w:color="auto" w:fill="F4F7FB"/>
          </w:tcPr>
          <w:p>
            <w:pPr>
              <w:spacing w:after="0"/>
            </w:pPr>
            <w:r/>
            <w:r>
              <w:rPr>
                <w:rFonts w:ascii="Calibri" w:hAnsi="Calibri"/>
                <w:b w:val="0"/>
                <w:i w:val="0"/>
                <w:color w:val="101828"/>
                <w:sz w:val="15"/>
              </w:rPr>
              <w:t>1:N from rounds; 1:N to contributions</w:t>
            </w:r>
          </w:p>
        </w:tc>
      </w:tr>
    </w:tbl>
    <w:p>
      <w:pPr>
        <w:spacing w:after="80"/>
      </w:pP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Relationship</w:t>
            </w:r>
          </w:p>
        </w:tc>
        <w:tc>
          <w:tcPr>
            <w:tcW w:type="dxa" w:w="893"/>
            <w:shd w:val="clear" w:color="auto" w:fill="0B1F3A"/>
            <w:tcMar>
              <w:top w:w="60" w:type="dxa"/>
              <w:start w:w="110" w:type="dxa"/>
              <w:bottom w:w="60" w:type="dxa"/>
              <w:end w:w="110" w:type="dxa"/>
            </w:tcMar>
          </w:tcPr>
          <w:p>
            <w:pPr>
              <w:spacing w:after="0"/>
            </w:pPr>
            <w:r/>
            <w:r>
              <w:rPr>
                <w:rFonts w:ascii="Calibri" w:hAnsi="Calibri"/>
                <w:b/>
                <w:i w:val="0"/>
                <w:color w:val="FFFFFF"/>
                <w:sz w:val="14"/>
              </w:rPr>
              <w:t>Type</w:t>
            </w:r>
          </w:p>
        </w:tc>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4"/>
              </w:rPr>
              <w:t>Card.</w:t>
            </w:r>
          </w:p>
        </w:tc>
        <w:tc>
          <w:tcPr>
            <w:tcW w:type="dxa" w:w="1224"/>
            <w:shd w:val="clear" w:color="auto" w:fill="0B1F3A"/>
            <w:tcMar>
              <w:top w:w="60" w:type="dxa"/>
              <w:start w:w="110" w:type="dxa"/>
              <w:bottom w:w="60" w:type="dxa"/>
              <w:end w:w="110" w:type="dxa"/>
            </w:tcMar>
          </w:tcPr>
          <w:p>
            <w:pPr>
              <w:spacing w:after="0"/>
            </w:pPr>
            <w:r/>
            <w:r>
              <w:rPr>
                <w:rFonts w:ascii="Calibri" w:hAnsi="Calibri"/>
                <w:b/>
                <w:i w:val="0"/>
                <w:color w:val="FFFFFF"/>
                <w:sz w:val="14"/>
              </w:rPr>
              <w:t>FK</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4"/>
              </w:rPr>
              <w:t>Rule</w:t>
            </w:r>
          </w:p>
        </w:tc>
        <w:tc>
          <w:tcPr>
            <w:tcW w:type="dxa" w:w="2419"/>
            <w:shd w:val="clear" w:color="auto" w:fill="0B1F3A"/>
            <w:tcMar>
              <w:top w:w="60" w:type="dxa"/>
              <w:start w:w="110" w:type="dxa"/>
              <w:bottom w:w="60" w:type="dxa"/>
              <w:end w:w="110" w:type="dxa"/>
            </w:tcMar>
          </w:tcPr>
          <w:p>
            <w:pPr>
              <w:spacing w:after="0"/>
            </w:pPr>
            <w:r/>
            <w:r>
              <w:rPr>
                <w:rFonts w:ascii="Calibri" w:hAnsi="Calibri"/>
                <w:b/>
                <w:i w:val="0"/>
                <w:color w:val="FFFFFF"/>
                <w:sz w:val="14"/>
              </w:rPr>
              <w:t>Cascade behaviour</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ajos -&gt; rounds</w:t>
            </w:r>
          </w:p>
        </w:tc>
        <w:tc>
          <w:tcPr>
            <w:tcW w:type="dxa" w:w="893"/>
            <w:tcMar>
              <w:top w:w="60" w:type="dxa"/>
              <w:start w:w="110" w:type="dxa"/>
              <w:bottom w:w="60" w:type="dxa"/>
              <w:end w:w="110" w:type="dxa"/>
            </w:tcMar>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tcPr>
          <w:p>
            <w:pPr>
              <w:spacing w:after="0"/>
            </w:pPr>
            <w:r/>
            <w:r>
              <w:rPr>
                <w:rFonts w:ascii="Consolas" w:hAnsi="Consolas"/>
                <w:color w:val="146EF5"/>
                <w:sz w:val="14"/>
              </w:rPr>
              <w:t>rounds.ajo_id</w:t>
            </w:r>
          </w:p>
        </w:tc>
        <w:tc>
          <w:tcPr>
            <w:tcW w:type="dxa" w:w="2448"/>
            <w:tcMar>
              <w:top w:w="60" w:type="dxa"/>
              <w:start w:w="110" w:type="dxa"/>
              <w:bottom w:w="60" w:type="dxa"/>
              <w:end w:w="110" w:type="dxa"/>
            </w:tcMar>
          </w:tcPr>
          <w:p>
            <w:pPr>
              <w:spacing w:after="0"/>
            </w:pPr>
            <w:r/>
            <w:r>
              <w:rPr>
                <w:rFonts w:ascii="Consolas" w:hAnsi="Consolas"/>
                <w:color w:val="146EF5"/>
                <w:sz w:val="14"/>
              </w:rPr>
              <w:t>UNIQUE (ajo_id, round_number)</w:t>
            </w:r>
            <w:r>
              <w:rPr>
                <w:rFonts w:ascii="Calibri" w:hAnsi="Calibri"/>
                <w:b w:val="0"/>
                <w:i w:val="0"/>
                <w:color w:val="101828"/>
                <w:sz w:val="14"/>
              </w:rPr>
              <w:t xml:space="preserve"> and </w:t>
            </w:r>
            <w:r>
              <w:rPr>
                <w:rFonts w:ascii="Consolas" w:hAnsi="Consolas"/>
                <w:color w:val="146EF5"/>
                <w:sz w:val="14"/>
              </w:rPr>
              <w:t>CHECK (round_number &gt;= 1)</w:t>
            </w:r>
            <w:r>
              <w:rPr>
                <w:rFonts w:ascii="Calibri" w:hAnsi="Calibri"/>
                <w:b w:val="0"/>
                <w:i w:val="0"/>
                <w:color w:val="101828"/>
                <w:sz w:val="14"/>
              </w:rPr>
              <w:t xml:space="preserve">. A partial unique index permits at most one </w:t>
            </w:r>
            <w:r>
              <w:rPr>
                <w:rFonts w:ascii="Consolas" w:hAnsi="Consolas"/>
                <w:color w:val="146EF5"/>
                <w:sz w:val="14"/>
              </w:rPr>
              <w:t>IN_PROGRESS</w:t>
            </w:r>
            <w:r>
              <w:rPr>
                <w:rFonts w:ascii="Calibri" w:hAnsi="Calibri"/>
                <w:b w:val="0"/>
                <w:i w:val="0"/>
                <w:color w:val="101828"/>
                <w:sz w:val="14"/>
              </w:rPr>
              <w:t xml:space="preserve"> round per Ajo, so two rounds can never be funding at once.</w:t>
            </w:r>
          </w:p>
        </w:tc>
        <w:tc>
          <w:tcPr>
            <w:tcW w:type="dxa" w:w="2419"/>
            <w:tcMar>
              <w:top w:w="60" w:type="dxa"/>
              <w:start w:w="110" w:type="dxa"/>
              <w:bottom w:w="60" w:type="dxa"/>
              <w:end w:w="110" w:type="dxa"/>
            </w:tcMar>
          </w:tcPr>
          <w:p>
            <w:pPr>
              <w:spacing w:after="0"/>
            </w:pPr>
            <w:r/>
            <w:r>
              <w:rPr>
                <w:rFonts w:ascii="Calibri" w:hAnsi="Calibri"/>
                <w:b w:val="0"/>
                <w:i w:val="0"/>
                <w:color w:val="101828"/>
                <w:sz w:val="14"/>
              </w:rPr>
              <w:t>RESTRICT. Rounds are the financial spine of an Ajo. A cancelled Ajo keeps its rounds.</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rounds -&gt; contribution_schedules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1:1</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1:1</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contribution_schedules.round_id</w:t>
            </w:r>
            <w:r>
              <w:rPr>
                <w:rFonts w:ascii="Calibri" w:hAnsi="Calibri"/>
                <w:b w:val="0"/>
                <w:i w:val="0"/>
                <w:color w:val="101828"/>
                <w:sz w:val="14"/>
              </w:rPr>
              <w:t xml:space="preserve"> UNIQUE</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Exactly one schedule per round, created atomically when the round opens, so that a round can never be funding with no obligations attached.</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CASCADE. A schedule with no round is meaningless and is created in the same transaction as its round.</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ajos -&gt; contribution_schedules</w:t>
            </w:r>
          </w:p>
        </w:tc>
        <w:tc>
          <w:tcPr>
            <w:tcW w:type="dxa" w:w="893"/>
            <w:tcMar>
              <w:top w:w="60" w:type="dxa"/>
              <w:start w:w="110" w:type="dxa"/>
              <w:bottom w:w="60" w:type="dxa"/>
              <w:end w:w="110" w:type="dxa"/>
            </w:tcMar>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tcPr>
          <w:p>
            <w:pPr>
              <w:spacing w:after="0"/>
            </w:pPr>
            <w:r/>
            <w:r>
              <w:rPr>
                <w:rFonts w:ascii="Calibri" w:hAnsi="Calibri"/>
                <w:b w:val="0"/>
                <w:i w:val="0"/>
                <w:color w:val="101828"/>
                <w:sz w:val="14"/>
              </w:rPr>
              <w:t>1:1</w:t>
            </w:r>
          </w:p>
        </w:tc>
        <w:tc>
          <w:tcPr>
            <w:tcW w:type="dxa" w:w="1224"/>
            <w:tcMar>
              <w:top w:w="60" w:type="dxa"/>
              <w:start w:w="110" w:type="dxa"/>
              <w:bottom w:w="60" w:type="dxa"/>
              <w:end w:w="110" w:type="dxa"/>
            </w:tcMar>
          </w:tcPr>
          <w:p>
            <w:pPr>
              <w:spacing w:after="0"/>
            </w:pPr>
            <w:r/>
            <w:r>
              <w:rPr>
                <w:rFonts w:ascii="Consolas" w:hAnsi="Consolas"/>
                <w:color w:val="146EF5"/>
                <w:sz w:val="14"/>
              </w:rPr>
              <w:t>contribution_schedules.ajo_id</w:t>
            </w:r>
          </w:p>
        </w:tc>
        <w:tc>
          <w:tcPr>
            <w:tcW w:type="dxa" w:w="2448"/>
            <w:tcMar>
              <w:top w:w="60" w:type="dxa"/>
              <w:start w:w="110" w:type="dxa"/>
              <w:bottom w:w="60" w:type="dxa"/>
              <w:end w:w="110" w:type="dxa"/>
            </w:tcMar>
          </w:tcPr>
          <w:p>
            <w:pPr>
              <w:spacing w:after="0"/>
            </w:pPr>
            <w:r/>
            <w:r>
              <w:rPr>
                <w:rFonts w:ascii="Calibri" w:hAnsi="Calibri"/>
                <w:b w:val="0"/>
                <w:i w:val="0"/>
                <w:color w:val="101828"/>
                <w:sz w:val="14"/>
              </w:rPr>
              <w:t>Deliberate denormalisation of the Ajo onto the schedule. It exists so the row-level security policy in section 9.6 can filter on a single column and so the member's obligation screen needs one index, not a three-table join.</w:t>
            </w:r>
          </w:p>
        </w:tc>
        <w:tc>
          <w:tcPr>
            <w:tcW w:type="dxa" w:w="2419"/>
            <w:tcMar>
              <w:top w:w="60" w:type="dxa"/>
              <w:start w:w="110" w:type="dxa"/>
              <w:bottom w:w="60" w:type="dxa"/>
              <w:end w:w="110" w:type="dxa"/>
            </w:tcMar>
          </w:tcPr>
          <w:p>
            <w:pPr>
              <w:spacing w:after="0"/>
            </w:pPr>
            <w:r/>
            <w:r>
              <w:rPr>
                <w:rFonts w:ascii="Calibri" w:hAnsi="Calibri"/>
                <w:b w:val="0"/>
                <w:i w:val="0"/>
                <w:color w:val="101828"/>
                <w:sz w:val="14"/>
              </w:rPr>
              <w:t>CASCADE. A deleted Ajo takes its schedules; blocked in practice by the RESTRICT on rounds.</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contribution_frequencies -&gt; ajos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ajos.frequency_id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Frequency is a lookup row, not an enum, because it is business-configurable. Round due dates are materialised onto </w:t>
            </w:r>
            <w:r>
              <w:rPr>
                <w:rFonts w:ascii="Consolas" w:hAnsi="Consolas"/>
                <w:color w:val="146EF5"/>
                <w:sz w:val="14"/>
              </w:rPr>
              <w:t>rounds.due_date</w:t>
            </w:r>
            <w:r>
              <w:rPr>
                <w:rFonts w:ascii="Calibri" w:hAnsi="Calibri"/>
                <w:b w:val="0"/>
                <w:i w:val="0"/>
                <w:color w:val="101828"/>
                <w:sz w:val="14"/>
              </w:rPr>
              <w:t xml:space="preserve"> at round creation so that changing the Ajo's frequency later never rewrites history.</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RESTRICT. A frequency in use is deactivated (</w:t>
            </w:r>
            <w:r>
              <w:rPr>
                <w:rFonts w:ascii="Consolas" w:hAnsi="Consolas"/>
                <w:color w:val="146EF5"/>
                <w:sz w:val="14"/>
              </w:rPr>
              <w:t>is_active=false</w:t>
            </w:r>
            <w:r>
              <w:rPr>
                <w:rFonts w:ascii="Calibri" w:hAnsi="Calibri"/>
                <w:b w:val="0"/>
                <w:i w:val="0"/>
                <w:color w:val="101828"/>
                <w:sz w:val="14"/>
              </w:rPr>
              <w:t>), never deleted.</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rounds -&gt; contribution_schedules (amount)</w:t>
            </w:r>
          </w:p>
        </w:tc>
        <w:tc>
          <w:tcPr>
            <w:tcW w:type="dxa" w:w="893"/>
            <w:tcMar>
              <w:top w:w="60" w:type="dxa"/>
              <w:start w:w="110" w:type="dxa"/>
              <w:bottom w:w="60" w:type="dxa"/>
              <w:end w:w="110" w:type="dxa"/>
            </w:tcMar>
          </w:tcPr>
          <w:p>
            <w:pPr>
              <w:spacing w:after="0"/>
            </w:pPr>
            <w:r/>
            <w:r>
              <w:rPr>
                <w:rFonts w:ascii="Calibri" w:hAnsi="Calibri"/>
                <w:b w:val="0"/>
                <w:i w:val="0"/>
                <w:color w:val="101828"/>
                <w:sz w:val="14"/>
              </w:rPr>
              <w:t>1:1</w:t>
            </w:r>
          </w:p>
        </w:tc>
        <w:tc>
          <w:tcPr>
            <w:tcW w:type="dxa" w:w="720"/>
            <w:tcMar>
              <w:top w:w="60" w:type="dxa"/>
              <w:start w:w="110" w:type="dxa"/>
              <w:bottom w:w="60" w:type="dxa"/>
              <w:end w:w="110" w:type="dxa"/>
            </w:tcMar>
          </w:tcPr>
          <w:p>
            <w:pPr>
              <w:spacing w:after="0"/>
            </w:pPr>
            <w:r/>
            <w:r>
              <w:rPr>
                <w:rFonts w:ascii="Calibri" w:hAnsi="Calibri"/>
                <w:b w:val="0"/>
                <w:i w:val="0"/>
                <w:color w:val="101828"/>
                <w:sz w:val="14"/>
              </w:rPr>
              <w:t>1:1</w:t>
            </w:r>
          </w:p>
        </w:tc>
        <w:tc>
          <w:tcPr>
            <w:tcW w:type="dxa" w:w="1224"/>
            <w:tcMar>
              <w:top w:w="60" w:type="dxa"/>
              <w:start w:w="110" w:type="dxa"/>
              <w:bottom w:w="60" w:type="dxa"/>
              <w:end w:w="110" w:type="dxa"/>
            </w:tcMar>
          </w:tcPr>
          <w:p>
            <w:pPr>
              <w:spacing w:after="0"/>
            </w:pPr>
            <w:r/>
            <w:r>
              <w:rPr>
                <w:rFonts w:ascii="Consolas" w:hAnsi="Consolas"/>
                <w:color w:val="146EF5"/>
                <w:sz w:val="14"/>
              </w:rPr>
              <w:t>expected_amount_kobo</w:t>
            </w:r>
          </w:p>
        </w:tc>
        <w:tc>
          <w:tcPr>
            <w:tcW w:type="dxa" w:w="2448"/>
            <w:tcMar>
              <w:top w:w="60" w:type="dxa"/>
              <w:start w:w="110" w:type="dxa"/>
              <w:bottom w:w="60" w:type="dxa"/>
              <w:end w:w="110" w:type="dxa"/>
            </w:tcMar>
          </w:tcPr>
          <w:p>
            <w:pPr>
              <w:spacing w:after="0"/>
            </w:pPr>
            <w:r/>
            <w:r>
              <w:rPr>
                <w:rFonts w:ascii="Calibri" w:hAnsi="Calibri"/>
                <w:b w:val="0"/>
                <w:i w:val="0"/>
                <w:color w:val="101828"/>
                <w:sz w:val="14"/>
              </w:rPr>
              <w:t xml:space="preserve">Every schedule row for a round carries the same amount, denormalised from </w:t>
            </w:r>
            <w:r>
              <w:rPr>
                <w:rFonts w:ascii="Consolas" w:hAnsi="Consolas"/>
                <w:color w:val="146EF5"/>
                <w:sz w:val="14"/>
              </w:rPr>
              <w:t>ajos.contribution_amount_kobo</w:t>
            </w:r>
            <w:r>
              <w:rPr>
                <w:rFonts w:ascii="Calibri" w:hAnsi="Calibri"/>
                <w:b w:val="0"/>
                <w:i w:val="0"/>
                <w:color w:val="101828"/>
                <w:sz w:val="14"/>
              </w:rPr>
              <w:t>, and a deferred trigger asserts equality. A member's obligation is readable without joining the Ajo, which is the difference between one query and a correlated subquery on the hottest read in the product.</w:t>
            </w:r>
          </w:p>
        </w:tc>
        <w:tc>
          <w:tcPr>
            <w:tcW w:type="dxa" w:w="2419"/>
            <w:tcMar>
              <w:top w:w="60" w:type="dxa"/>
              <w:start w:w="110" w:type="dxa"/>
              <w:bottom w:w="60" w:type="dxa"/>
              <w:end w:w="110" w:type="dxa"/>
            </w:tcMar>
          </w:tcPr>
          <w:p>
            <w:pPr>
              <w:spacing w:after="0"/>
            </w:pPr>
            <w:r/>
            <w:r>
              <w:rPr>
                <w:rFonts w:ascii="Calibri" w:hAnsi="Calibri"/>
                <w:b w:val="0"/>
                <w:i w:val="0"/>
                <w:color w:val="101828"/>
                <w:sz w:val="14"/>
              </w:rPr>
              <w:t>n/a. This is a value rule, not a referential action.</w:t>
            </w:r>
          </w:p>
        </w:tc>
      </w:tr>
    </w:tbl>
    <w:p>
      <w:pPr>
        <w:spacing w:after="80"/>
      </w:pPr>
    </w:p>
    <w:p>
      <w:pPr>
        <w:spacing w:before="140" w:after="180"/>
        <w:ind w:left="144"/>
        <w:shd w:val="clear" w:color="auto" w:fill="EDE9FE"/>
        <w:pBdr>
          <w:left w:val="single" w:sz="18" w:space="6" w:color="7C3AED"/>
        </w:pBdr>
      </w:pPr>
      <w:r>
        <w:rPr>
          <w:rFonts w:ascii="Calibri" w:hAnsi="Calibri"/>
          <w:b/>
          <w:color w:val="7C3AED"/>
          <w:sz w:val="19"/>
        </w:rPr>
        <w:t xml:space="preserve">One schedule per round  </w:t>
      </w:r>
      <w:r>
        <w:rPr>
          <w:rFonts w:ascii="Calibri" w:hAnsi="Calibri"/>
          <w:b w:val="0"/>
          <w:i w:val="0"/>
          <w:color w:val="0B1F3A"/>
          <w:sz w:val="19"/>
        </w:rPr>
        <w:t xml:space="preserve">CANONICAL.md does not state whether a round may have more than one schedule (for example a base schedule and a catch-up schedule after a frozen period). v1 assumes one schedule per round, with the </w:t>
      </w:r>
      <w:r>
        <w:rPr>
          <w:rFonts w:ascii="Consolas" w:hAnsi="Consolas"/>
          <w:color w:val="146EF5"/>
          <w:sz w:val="19"/>
        </w:rPr>
        <w:t>UNIQUE (round_id)</w:t>
      </w:r>
      <w:r>
        <w:rPr>
          <w:rFonts w:ascii="Calibri" w:hAnsi="Calibri"/>
          <w:b w:val="0"/>
          <w:i w:val="0"/>
          <w:color w:val="0B1F3A"/>
          <w:sz w:val="19"/>
        </w:rPr>
        <w:t xml:space="preserve"> constraint enforcing it, because a second schedule introduces a question this specification cannot yet answer: whether a member's obligation is the sum of their schedule rows or the row for the current round. If AJO.ng later needs staggered or partial collection within a round, the constraint becomes </w:t>
      </w:r>
      <w:r>
        <w:rPr>
          <w:rFonts w:ascii="Consolas" w:hAnsi="Consolas"/>
          <w:color w:val="146EF5"/>
          <w:sz w:val="19"/>
        </w:rPr>
        <w:t>UNIQUE (round_id, instalment_number)</w:t>
      </w:r>
      <w:r>
        <w:rPr>
          <w:rFonts w:ascii="Calibri" w:hAnsi="Calibri"/>
          <w:b w:val="0"/>
          <w:i w:val="0"/>
          <w:color w:val="0B1F3A"/>
          <w:sz w:val="19"/>
        </w:rPr>
        <w:t xml:space="preserve"> and </w:t>
      </w:r>
      <w:r>
        <w:rPr>
          <w:rFonts w:ascii="Consolas" w:hAnsi="Consolas"/>
          <w:color w:val="146EF5"/>
          <w:sz w:val="19"/>
        </w:rPr>
        <w:t>contributions</w:t>
      </w:r>
      <w:r>
        <w:rPr>
          <w:rFonts w:ascii="Calibri" w:hAnsi="Calibri"/>
          <w:b w:val="0"/>
          <w:i w:val="0"/>
          <w:color w:val="0B1F3A"/>
          <w:sz w:val="19"/>
        </w:rPr>
        <w:t xml:space="preserve"> gains </w:t>
      </w:r>
      <w:r>
        <w:rPr>
          <w:rFonts w:ascii="Consolas" w:hAnsi="Consolas"/>
          <w:color w:val="146EF5"/>
          <w:sz w:val="19"/>
        </w:rPr>
        <w:t>schedule_id</w:t>
      </w:r>
      <w:r>
        <w:rPr>
          <w:rFonts w:ascii="Calibri" w:hAnsi="Calibri"/>
          <w:b w:val="0"/>
          <w:i w:val="0"/>
          <w:color w:val="0B1F3A"/>
          <w:sz w:val="19"/>
        </w:rPr>
        <w:t xml:space="preserve"> to a non-unique parent, which already supports it. The decision owner is the founders, and it is recorded as open.</w:t>
      </w:r>
    </w:p>
    <w:p>
      <w:r>
        <w:br w:type="page"/>
      </w:r>
    </w:p>
    <w:p>
      <w:pPr>
        <w:pStyle w:val="Heading3"/>
      </w:pPr>
      <w:r>
        <w:rPr>
          <w:rFonts w:ascii="Calibri" w:hAnsi="Calibri"/>
          <w:b/>
          <w:i w:val="0"/>
          <w:color w:val="0B1F3A"/>
          <w:sz w:val="24"/>
        </w:rPr>
        <w:t>8.3.4 Money</w:t>
      </w:r>
    </w:p>
    <w:p>
      <w:r>
        <w:rPr>
          <w:rFonts w:ascii="Calibri" w:hAnsi="Calibri"/>
          <w:b w:val="0"/>
          <w:i w:val="0"/>
          <w:color w:val="101828"/>
          <w:sz w:val="21"/>
        </w:rPr>
        <w:t>Nine entities, and the only domain in this specification where a mistake is unrecoverable. The structure has four layers and the layers do not overlap. The obligation layer (</w:t>
      </w:r>
      <w:r>
        <w:rPr>
          <w:rFonts w:ascii="Consolas" w:hAnsi="Consolas"/>
          <w:color w:val="146EF5"/>
          <w:sz w:val="21"/>
        </w:rPr>
        <w:t>contributions</w:t>
      </w:r>
      <w:r>
        <w:rPr>
          <w:rFonts w:ascii="Calibri" w:hAnsi="Calibri"/>
          <w:b w:val="0"/>
          <w:i w:val="0"/>
          <w:color w:val="101828"/>
          <w:sz w:val="21"/>
        </w:rPr>
        <w:t>) records who owes what. The provider layer (</w:t>
      </w:r>
      <w:r>
        <w:rPr>
          <w:rFonts w:ascii="Consolas" w:hAnsi="Consolas"/>
          <w:color w:val="146EF5"/>
          <w:sz w:val="21"/>
        </w:rPr>
        <w:t>payments</w:t>
      </w:r>
      <w:r>
        <w:rPr>
          <w:rFonts w:ascii="Calibri" w:hAnsi="Calibri"/>
          <w:b w:val="0"/>
          <w:i w:val="0"/>
          <w:color w:val="101828"/>
          <w:sz w:val="21"/>
        </w:rPr>
        <w:t xml:space="preserve">, </w:t>
      </w:r>
      <w:r>
        <w:rPr>
          <w:rFonts w:ascii="Consolas" w:hAnsi="Consolas"/>
          <w:color w:val="146EF5"/>
          <w:sz w:val="21"/>
        </w:rPr>
        <w:t>payouts</w:t>
      </w:r>
      <w:r>
        <w:rPr>
          <w:rFonts w:ascii="Calibri" w:hAnsi="Calibri"/>
          <w:b w:val="0"/>
          <w:i w:val="0"/>
          <w:color w:val="101828"/>
          <w:sz w:val="21"/>
        </w:rPr>
        <w:t>) records what we told the provider and what it told us. The recognition layer (</w:t>
      </w:r>
      <w:r>
        <w:rPr>
          <w:rFonts w:ascii="Consolas" w:hAnsi="Consolas"/>
          <w:color w:val="146EF5"/>
          <w:sz w:val="21"/>
        </w:rPr>
        <w:t>ledger_transactions</w:t>
      </w:r>
      <w:r>
        <w:rPr>
          <w:rFonts w:ascii="Calibri" w:hAnsi="Calibri"/>
          <w:b w:val="0"/>
          <w:i w:val="0"/>
          <w:color w:val="101828"/>
          <w:sz w:val="21"/>
        </w:rPr>
        <w:t xml:space="preserve">, </w:t>
      </w:r>
      <w:r>
        <w:rPr>
          <w:rFonts w:ascii="Consolas" w:hAnsi="Consolas"/>
          <w:color w:val="146EF5"/>
          <w:sz w:val="21"/>
        </w:rPr>
        <w:t>ledger_postings</w:t>
      </w:r>
      <w:r>
        <w:rPr>
          <w:rFonts w:ascii="Calibri" w:hAnsi="Calibri"/>
          <w:b w:val="0"/>
          <w:i w:val="0"/>
          <w:color w:val="101828"/>
          <w:sz w:val="21"/>
        </w:rPr>
        <w:t>) records the economic truth, and it is the only layer that is authoritative. The assurance layer (</w:t>
      </w:r>
      <w:r>
        <w:rPr>
          <w:rFonts w:ascii="Consolas" w:hAnsi="Consolas"/>
          <w:color w:val="146EF5"/>
          <w:sz w:val="21"/>
        </w:rPr>
        <w:t>reconciliation_runs</w:t>
      </w:r>
      <w:r>
        <w:rPr>
          <w:rFonts w:ascii="Calibri" w:hAnsi="Calibri"/>
          <w:b w:val="0"/>
          <w:i w:val="0"/>
          <w:color w:val="101828"/>
          <w:sz w:val="21"/>
        </w:rPr>
        <w:t xml:space="preserve">, </w:t>
      </w:r>
      <w:r>
        <w:rPr>
          <w:rFonts w:ascii="Consolas" w:hAnsi="Consolas"/>
          <w:color w:val="146EF5"/>
          <w:sz w:val="21"/>
        </w:rPr>
        <w:t>webhook_events</w:t>
      </w:r>
      <w:r>
        <w:rPr>
          <w:rFonts w:ascii="Calibri" w:hAnsi="Calibri"/>
          <w:b w:val="0"/>
          <w:i w:val="0"/>
          <w:color w:val="101828"/>
          <w:sz w:val="21"/>
        </w:rPr>
        <w:t xml:space="preserve">, </w:t>
      </w:r>
      <w:r>
        <w:rPr>
          <w:rFonts w:ascii="Consolas" w:hAnsi="Consolas"/>
          <w:color w:val="146EF5"/>
          <w:sz w:val="21"/>
        </w:rPr>
        <w:t>idempotency_keys</w:t>
      </w:r>
      <w:r>
        <w:rPr>
          <w:rFonts w:ascii="Calibri" w:hAnsi="Calibri"/>
          <w:b w:val="0"/>
          <w:i w:val="0"/>
          <w:color w:val="101828"/>
          <w:sz w:val="21"/>
        </w:rPr>
        <w:t>) proves the first three agree with each other and with the outside world.</w:t>
      </w:r>
    </w:p>
    <w:p>
      <w:pPr>
        <w:spacing w:before="140" w:after="180"/>
        <w:ind w:left="144"/>
        <w:shd w:val="clear" w:color="auto" w:fill="FEF3C7"/>
        <w:pBdr>
          <w:left w:val="single" w:sz="18" w:space="6" w:color="FBBF24"/>
        </w:pBdr>
      </w:pPr>
      <w:r>
        <w:rPr>
          <w:rFonts w:ascii="Calibri" w:hAnsi="Calibri"/>
          <w:b/>
          <w:color w:val="FBBF24"/>
          <w:sz w:val="19"/>
        </w:rPr>
        <w:t xml:space="preserve">The four-step sequence is not optional and not reorderable  </w:t>
      </w:r>
      <w:r>
        <w:rPr>
          <w:rFonts w:ascii="Calibri" w:hAnsi="Calibri"/>
          <w:b w:val="0"/>
          <w:i w:val="0"/>
          <w:color w:val="0B1F3A"/>
          <w:sz w:val="19"/>
        </w:rPr>
        <w:t xml:space="preserve">CANONICAL.md section 4 fixes the recognition order: </w:t>
      </w:r>
      <w:r>
        <w:rPr>
          <w:rFonts w:ascii="Consolas" w:hAnsi="Consolas"/>
          <w:color w:val="146EF5"/>
          <w:sz w:val="19"/>
        </w:rPr>
        <w:t>contribution.received</w:t>
      </w:r>
      <w:r>
        <w:rPr>
          <w:rFonts w:ascii="Calibri" w:hAnsi="Calibri"/>
          <w:b w:val="0"/>
          <w:i w:val="0"/>
          <w:color w:val="0B1F3A"/>
          <w:sz w:val="19"/>
        </w:rPr>
        <w:t xml:space="preserve">, then </w:t>
      </w:r>
      <w:r>
        <w:rPr>
          <w:rFonts w:ascii="Consolas" w:hAnsi="Consolas"/>
          <w:color w:val="146EF5"/>
          <w:sz w:val="19"/>
        </w:rPr>
        <w:t>fee.recognised</w:t>
      </w:r>
      <w:r>
        <w:rPr>
          <w:rFonts w:ascii="Calibri" w:hAnsi="Calibri"/>
          <w:b w:val="0"/>
          <w:i w:val="0"/>
          <w:color w:val="0B1F3A"/>
          <w:sz w:val="19"/>
        </w:rPr>
        <w:t xml:space="preserve">, then </w:t>
      </w:r>
      <w:r>
        <w:rPr>
          <w:rFonts w:ascii="Consolas" w:hAnsi="Consolas"/>
          <w:color w:val="146EF5"/>
          <w:sz w:val="19"/>
        </w:rPr>
        <w:t>payout.recognized</w:t>
      </w:r>
      <w:r>
        <w:rPr>
          <w:rFonts w:ascii="Calibri" w:hAnsi="Calibri"/>
          <w:b w:val="0"/>
          <w:i w:val="0"/>
          <w:color w:val="0B1F3A"/>
          <w:sz w:val="19"/>
        </w:rPr>
        <w:t xml:space="preserve">, then </w:t>
      </w:r>
      <w:r>
        <w:rPr>
          <w:rFonts w:ascii="Consolas" w:hAnsi="Consolas"/>
          <w:color w:val="146EF5"/>
          <w:sz w:val="19"/>
        </w:rPr>
        <w:t>payout.settled</w:t>
      </w:r>
      <w:r>
        <w:rPr>
          <w:rFonts w:ascii="Calibri" w:hAnsi="Calibri"/>
          <w:b w:val="0"/>
          <w:i w:val="0"/>
          <w:color w:val="0B1F3A"/>
          <w:sz w:val="19"/>
        </w:rPr>
        <w:t xml:space="preserve">. Skipping step 3 causes escrow to drain against a liability that was never raised, and the solvency assertion correctly halts disbursement. The schema enforces the order with a </w:t>
      </w:r>
      <w:r>
        <w:rPr>
          <w:rFonts w:ascii="Consolas" w:hAnsi="Consolas"/>
          <w:color w:val="146EF5"/>
          <w:sz w:val="19"/>
        </w:rPr>
        <w:t>ledger_txn_kind</w:t>
      </w:r>
      <w:r>
        <w:rPr>
          <w:rFonts w:ascii="Calibri" w:hAnsi="Calibri"/>
          <w:b w:val="0"/>
          <w:i w:val="0"/>
          <w:color w:val="0B1F3A"/>
          <w:sz w:val="19"/>
        </w:rPr>
        <w:t xml:space="preserve"> enum whose first four values are the sequence, plus a deferred trigger </w:t>
      </w:r>
      <w:r>
        <w:rPr>
          <w:rFonts w:ascii="Consolas" w:hAnsi="Consolas"/>
          <w:color w:val="146EF5"/>
          <w:sz w:val="19"/>
        </w:rPr>
        <w:t>app.assert_ledger_sequence()</w:t>
      </w:r>
      <w:r>
        <w:rPr>
          <w:rFonts w:ascii="Calibri" w:hAnsi="Calibri"/>
          <w:b w:val="0"/>
          <w:i w:val="0"/>
          <w:color w:val="0B1F3A"/>
          <w:sz w:val="19"/>
        </w:rPr>
        <w:t xml:space="preserve"> that rejects a </w:t>
      </w:r>
      <w:r>
        <w:rPr>
          <w:rFonts w:ascii="Consolas" w:hAnsi="Consolas"/>
          <w:color w:val="146EF5"/>
          <w:sz w:val="19"/>
        </w:rPr>
        <w:t>payout.settled</w:t>
      </w:r>
      <w:r>
        <w:rPr>
          <w:rFonts w:ascii="Calibri" w:hAnsi="Calibri"/>
          <w:b w:val="0"/>
          <w:i w:val="0"/>
          <w:color w:val="0B1F3A"/>
          <w:sz w:val="19"/>
        </w:rPr>
        <w:t xml:space="preserve"> whose </w:t>
      </w:r>
      <w:r>
        <w:rPr>
          <w:rFonts w:ascii="Consolas" w:hAnsi="Consolas"/>
          <w:color w:val="146EF5"/>
          <w:sz w:val="19"/>
        </w:rPr>
        <w:t>payout.recognized</w:t>
      </w:r>
      <w:r>
        <w:rPr>
          <w:rFonts w:ascii="Calibri" w:hAnsi="Calibri"/>
          <w:b w:val="0"/>
          <w:i w:val="0"/>
          <w:color w:val="0B1F3A"/>
          <w:sz w:val="19"/>
        </w:rPr>
        <w:t xml:space="preserve"> predecessor does not exist and already balance. The database will refuse an out-of-order disbursement even if application code is wrong.</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5"/>
              </w:rPr>
              <w:t>Entity</w:t>
            </w:r>
          </w:p>
        </w:tc>
        <w:tc>
          <w:tcPr>
            <w:tcW w:type="dxa" w:w="2808"/>
            <w:shd w:val="clear" w:color="auto" w:fill="0B1F3A"/>
            <w:tcMar>
              <w:top w:w="60" w:type="dxa"/>
              <w:start w:w="110" w:type="dxa"/>
              <w:bottom w:w="60" w:type="dxa"/>
              <w:end w:w="110" w:type="dxa"/>
            </w:tcMar>
          </w:tcPr>
          <w:p>
            <w:pPr>
              <w:spacing w:after="0"/>
            </w:pPr>
            <w:r/>
            <w:r>
              <w:rPr>
                <w:rFonts w:ascii="Calibri" w:hAnsi="Calibri"/>
                <w:b/>
                <w:i w:val="0"/>
                <w:color w:val="FFFFFF"/>
                <w:sz w:val="15"/>
              </w:rPr>
              <w:t>Purpose</w:t>
            </w:r>
          </w:p>
        </w:tc>
        <w:tc>
          <w:tcPr>
            <w:tcW w:type="dxa" w:w="2664"/>
            <w:shd w:val="clear" w:color="auto" w:fill="0B1F3A"/>
            <w:tcMar>
              <w:top w:w="60" w:type="dxa"/>
              <w:start w:w="110" w:type="dxa"/>
              <w:bottom w:w="60" w:type="dxa"/>
              <w:end w:w="110" w:type="dxa"/>
            </w:tcMar>
          </w:tcPr>
          <w:p>
            <w:pPr>
              <w:spacing w:after="0"/>
            </w:pPr>
            <w:r/>
            <w:r>
              <w:rPr>
                <w:rFonts w:ascii="Calibri" w:hAnsi="Calibri"/>
                <w:b/>
                <w:i w:val="0"/>
                <w:color w:val="FFFFFF"/>
                <w:sz w:val="15"/>
              </w:rPr>
              <w:t>Key fields</w:t>
            </w:r>
          </w:p>
        </w:tc>
        <w:tc>
          <w:tcPr>
            <w:tcW w:type="dxa" w:w="2232"/>
            <w:shd w:val="clear" w:color="auto" w:fill="0B1F3A"/>
            <w:tcMar>
              <w:top w:w="60" w:type="dxa"/>
              <w:start w:w="110" w:type="dxa"/>
              <w:bottom w:w="60" w:type="dxa"/>
              <w:end w:w="110" w:type="dxa"/>
            </w:tcMar>
          </w:tcPr>
          <w:p>
            <w:pPr>
              <w:spacing w:after="0"/>
            </w:pPr>
            <w:r/>
            <w:r>
              <w:rPr>
                <w:rFonts w:ascii="Calibri" w:hAnsi="Calibri"/>
                <w:b/>
                <w:i w:val="0"/>
                <w:color w:val="FFFFFF"/>
                <w:sz w:val="15"/>
              </w:rPr>
              <w:t>Relationships</w:t>
            </w:r>
          </w:p>
        </w:tc>
      </w:tr>
      <w:tr>
        <w:trPr>
          <w:cantSplit/>
        </w:trPr>
        <w:tc>
          <w:tcPr>
            <w:tcW w:type="dxa" w:w="1656"/>
            <w:tcMar>
              <w:top w:w="60" w:type="dxa"/>
              <w:start w:w="110" w:type="dxa"/>
              <w:bottom w:w="60" w:type="dxa"/>
              <w:end w:w="110" w:type="dxa"/>
            </w:tcMar>
          </w:tcPr>
          <w:p>
            <w:pPr>
              <w:spacing w:after="0"/>
            </w:pPr>
            <w:r/>
            <w:r>
              <w:rPr>
                <w:rFonts w:ascii="Consolas" w:hAnsi="Consolas"/>
                <w:color w:val="146EF5"/>
                <w:sz w:val="15"/>
              </w:rPr>
              <w:t>contributions</w:t>
            </w:r>
            <w:r>
              <w:rPr>
                <w:rFonts w:ascii="Calibri" w:hAnsi="Calibri"/>
                <w:b w:val="0"/>
                <w:i w:val="0"/>
                <w:color w:val="101828"/>
                <w:sz w:val="15"/>
              </w:rPr>
              <w:t xml:space="preserve"> *</w:t>
            </w:r>
          </w:p>
        </w:tc>
        <w:tc>
          <w:tcPr>
            <w:tcW w:type="dxa" w:w="2808"/>
            <w:tcMar>
              <w:top w:w="60" w:type="dxa"/>
              <w:start w:w="110" w:type="dxa"/>
              <w:bottom w:w="60" w:type="dxa"/>
              <w:end w:w="110" w:type="dxa"/>
            </w:tcMar>
          </w:tcPr>
          <w:p>
            <w:pPr>
              <w:spacing w:after="0"/>
            </w:pPr>
            <w:r/>
            <w:r>
              <w:rPr>
                <w:rFonts w:ascii="Calibri" w:hAnsi="Calibri"/>
                <w:b w:val="0"/>
                <w:i w:val="0"/>
                <w:color w:val="101828"/>
                <w:sz w:val="15"/>
              </w:rPr>
              <w:t xml:space="preserve">One member's obligation for one round and whether it was met. The </w:t>
            </w:r>
            <w:r>
              <w:rPr>
                <w:rFonts w:ascii="Consolas" w:hAnsi="Consolas"/>
                <w:color w:val="146EF5"/>
                <w:sz w:val="15"/>
              </w:rPr>
              <w:t>PENDING -&gt; PAID -&gt; OVERDUE -&gt; GRACE -&gt; DEFAULTED -&gt; RECOVERED | WRITTEN_OFF</w:t>
            </w:r>
            <w:r>
              <w:rPr>
                <w:rFonts w:ascii="Calibri" w:hAnsi="Calibri"/>
                <w:b w:val="0"/>
                <w:i w:val="0"/>
                <w:color w:val="101828"/>
                <w:sz w:val="15"/>
              </w:rPr>
              <w:t xml:space="preserve"> machine from CANONICAL.md section 4.</w:t>
            </w:r>
          </w:p>
        </w:tc>
        <w:tc>
          <w:tcPr>
            <w:tcW w:type="dxa" w:w="2664"/>
            <w:tcMar>
              <w:top w:w="60" w:type="dxa"/>
              <w:start w:w="110" w:type="dxa"/>
              <w:bottom w:w="60" w:type="dxa"/>
              <w:end w:w="110" w:type="dxa"/>
            </w:tcMar>
          </w:tcPr>
          <w:p>
            <w:pPr>
              <w:spacing w:after="0"/>
            </w:pPr>
            <w:r/>
            <w:r>
              <w:rPr>
                <w:rFonts w:ascii="Consolas" w:hAnsi="Consolas"/>
                <w:color w:val="146EF5"/>
                <w:sz w:val="15"/>
              </w:rPr>
              <w:t>schedule_id</w:t>
            </w:r>
            <w:r>
              <w:rPr>
                <w:rFonts w:ascii="Calibri" w:hAnsi="Calibri"/>
                <w:b w:val="0"/>
                <w:i w:val="0"/>
                <w:color w:val="101828"/>
                <w:sz w:val="15"/>
              </w:rPr>
              <w:t xml:space="preserve">, </w:t>
            </w:r>
            <w:r>
              <w:rPr>
                <w:rFonts w:ascii="Consolas" w:hAnsi="Consolas"/>
                <w:color w:val="146EF5"/>
                <w:sz w:val="15"/>
              </w:rPr>
              <w:t>member_id</w:t>
            </w:r>
            <w:r>
              <w:rPr>
                <w:rFonts w:ascii="Calibri" w:hAnsi="Calibri"/>
                <w:b w:val="0"/>
                <w:i w:val="0"/>
                <w:color w:val="101828"/>
                <w:sz w:val="15"/>
              </w:rPr>
              <w:t xml:space="preserve">, </w:t>
            </w:r>
            <w:r>
              <w:rPr>
                <w:rFonts w:ascii="Consolas" w:hAnsi="Consolas"/>
                <w:color w:val="146EF5"/>
                <w:sz w:val="15"/>
              </w:rPr>
              <w:t>position_id</w:t>
            </w:r>
            <w:r>
              <w:rPr>
                <w:rFonts w:ascii="Calibri" w:hAnsi="Calibri"/>
                <w:b w:val="0"/>
                <w:i w:val="0"/>
                <w:color w:val="101828"/>
                <w:sz w:val="15"/>
              </w:rPr>
              <w:t xml:space="preserve">, </w:t>
            </w:r>
            <w:r>
              <w:rPr>
                <w:rFonts w:ascii="Consolas" w:hAnsi="Consolas"/>
                <w:color w:val="146EF5"/>
                <w:sz w:val="15"/>
              </w:rPr>
              <w:t>amount_kobo</w:t>
            </w:r>
            <w:r>
              <w:rPr>
                <w:rFonts w:ascii="Calibri" w:hAnsi="Calibri"/>
                <w:b w:val="0"/>
                <w:i w:val="0"/>
                <w:color w:val="101828"/>
                <w:sz w:val="15"/>
              </w:rPr>
              <w:t xml:space="preserve">, </w:t>
            </w:r>
            <w:r>
              <w:rPr>
                <w:rFonts w:ascii="Consolas" w:hAnsi="Consolas"/>
                <w:color w:val="146EF5"/>
                <w:sz w:val="15"/>
              </w:rPr>
              <w:t>fee_kobo</w:t>
            </w:r>
            <w:r>
              <w:rPr>
                <w:rFonts w:ascii="Calibri" w:hAnsi="Calibri"/>
                <w:b w:val="0"/>
                <w:i w:val="0"/>
                <w:color w:val="101828"/>
                <w:sz w:val="15"/>
              </w:rPr>
              <w:t xml:space="preserve">, </w:t>
            </w:r>
            <w:r>
              <w:rPr>
                <w:rFonts w:ascii="Consolas" w:hAnsi="Consolas"/>
                <w:color w:val="146EF5"/>
                <w:sz w:val="15"/>
              </w:rPr>
              <w:t>status</w:t>
            </w:r>
            <w:r>
              <w:rPr>
                <w:rFonts w:ascii="Calibri" w:hAnsi="Calibri"/>
                <w:b w:val="0"/>
                <w:i w:val="0"/>
                <w:color w:val="101828"/>
                <w:sz w:val="15"/>
              </w:rPr>
              <w:t xml:space="preserve">, </w:t>
            </w:r>
            <w:r>
              <w:rPr>
                <w:rFonts w:ascii="Consolas" w:hAnsi="Consolas"/>
                <w:color w:val="146EF5"/>
                <w:sz w:val="15"/>
              </w:rPr>
              <w:t>due_date</w:t>
            </w:r>
            <w:r>
              <w:rPr>
                <w:rFonts w:ascii="Calibri" w:hAnsi="Calibri"/>
                <w:b w:val="0"/>
                <w:i w:val="0"/>
                <w:color w:val="101828"/>
                <w:sz w:val="15"/>
              </w:rPr>
              <w:t xml:space="preserve">, </w:t>
            </w:r>
            <w:r>
              <w:rPr>
                <w:rFonts w:ascii="Consolas" w:hAnsi="Consolas"/>
                <w:color w:val="146EF5"/>
                <w:sz w:val="15"/>
              </w:rPr>
              <w:t>paid_at</w:t>
            </w:r>
            <w:r>
              <w:rPr>
                <w:rFonts w:ascii="Calibri" w:hAnsi="Calibri"/>
                <w:b w:val="0"/>
                <w:i w:val="0"/>
                <w:color w:val="101828"/>
                <w:sz w:val="15"/>
              </w:rPr>
              <w:t xml:space="preserve">, </w:t>
            </w:r>
            <w:r>
              <w:rPr>
                <w:rFonts w:ascii="Consolas" w:hAnsi="Consolas"/>
                <w:color w:val="146EF5"/>
                <w:sz w:val="15"/>
              </w:rPr>
              <w:t>defaulted_at</w:t>
            </w:r>
            <w:r>
              <w:rPr>
                <w:rFonts w:ascii="Calibri" w:hAnsi="Calibri"/>
                <w:b w:val="0"/>
                <w:i w:val="0"/>
                <w:color w:val="101828"/>
                <w:sz w:val="15"/>
              </w:rPr>
              <w:t xml:space="preserve">, </w:t>
            </w:r>
            <w:r>
              <w:rPr>
                <w:rFonts w:ascii="Consolas" w:hAnsi="Consolas"/>
                <w:color w:val="146EF5"/>
                <w:sz w:val="15"/>
              </w:rPr>
              <w:t>superseded_at</w:t>
            </w:r>
          </w:p>
        </w:tc>
        <w:tc>
          <w:tcPr>
            <w:tcW w:type="dxa" w:w="2232"/>
            <w:tcMar>
              <w:top w:w="60" w:type="dxa"/>
              <w:start w:w="110" w:type="dxa"/>
              <w:bottom w:w="60" w:type="dxa"/>
              <w:end w:w="110" w:type="dxa"/>
            </w:tcMar>
          </w:tcPr>
          <w:p>
            <w:pPr>
              <w:spacing w:after="0"/>
            </w:pPr>
            <w:r/>
            <w:r>
              <w:rPr>
                <w:rFonts w:ascii="Calibri" w:hAnsi="Calibri"/>
                <w:b w:val="0"/>
                <w:i w:val="0"/>
                <w:color w:val="101828"/>
                <w:sz w:val="15"/>
              </w:rPr>
              <w:t>N:1 to schedules, members, rounds; 1:N payments; 1:N disputes</w:t>
            </w:r>
          </w:p>
        </w:tc>
      </w:tr>
      <w:tr>
        <w:trPr>
          <w:cantSplit/>
        </w:trPr>
        <w:tc>
          <w:tcPr>
            <w:tcW w:type="dxa" w:w="1656"/>
            <w:tcMar>
              <w:top w:w="60" w:type="dxa"/>
              <w:start w:w="110" w:type="dxa"/>
              <w:bottom w:w="60" w:type="dxa"/>
              <w:end w:w="110" w:type="dxa"/>
            </w:tcMar>
            <w:shd w:val="clear" w:color="auto" w:fill="F4F7FB"/>
          </w:tcPr>
          <w:p>
            <w:pPr>
              <w:spacing w:after="0"/>
            </w:pPr>
            <w:r/>
            <w:r>
              <w:rPr>
                <w:rFonts w:ascii="Consolas" w:hAnsi="Consolas"/>
                <w:color w:val="146EF5"/>
                <w:sz w:val="15"/>
              </w:rPr>
              <w:t>payments</w:t>
            </w:r>
            <w:r>
              <w:rPr>
                <w:rFonts w:ascii="Calibri" w:hAnsi="Calibri"/>
                <w:b w:val="0"/>
                <w:i w:val="0"/>
                <w:color w:val="101828"/>
                <w:sz w:val="15"/>
              </w:rPr>
              <w:t xml:space="preserve"> *</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5"/>
              </w:rPr>
              <w:t>One collection attempt. Carries the whole 2% split on the row: base, fee, and the amount actually charged.</w:t>
            </w:r>
          </w:p>
        </w:tc>
        <w:tc>
          <w:tcPr>
            <w:tcW w:type="dxa" w:w="2664"/>
            <w:tcMar>
              <w:top w:w="60" w:type="dxa"/>
              <w:start w:w="110" w:type="dxa"/>
              <w:bottom w:w="60" w:type="dxa"/>
              <w:end w:w="110" w:type="dxa"/>
            </w:tcMar>
            <w:shd w:val="clear" w:color="auto" w:fill="F4F7FB"/>
          </w:tcPr>
          <w:p>
            <w:pPr>
              <w:spacing w:after="0"/>
            </w:pPr>
            <w:r/>
            <w:r>
              <w:rPr>
                <w:rFonts w:ascii="Consolas" w:hAnsi="Consolas"/>
                <w:color w:val="146EF5"/>
                <w:sz w:val="15"/>
              </w:rPr>
              <w:t>contribution_id</w:t>
            </w:r>
            <w:r>
              <w:rPr>
                <w:rFonts w:ascii="Calibri" w:hAnsi="Calibri"/>
                <w:b w:val="0"/>
                <w:i w:val="0"/>
                <w:color w:val="101828"/>
                <w:sz w:val="15"/>
              </w:rPr>
              <w:t xml:space="preserve">, </w:t>
            </w:r>
            <w:r>
              <w:rPr>
                <w:rFonts w:ascii="Consolas" w:hAnsi="Consolas"/>
                <w:color w:val="146EF5"/>
                <w:sz w:val="15"/>
              </w:rPr>
              <w:t>channel_id</w:t>
            </w:r>
            <w:r>
              <w:rPr>
                <w:rFonts w:ascii="Calibri" w:hAnsi="Calibri"/>
                <w:b w:val="0"/>
                <w:i w:val="0"/>
                <w:color w:val="101828"/>
                <w:sz w:val="15"/>
              </w:rPr>
              <w:t xml:space="preserve">, </w:t>
            </w:r>
            <w:r>
              <w:rPr>
                <w:rFonts w:ascii="Consolas" w:hAnsi="Consolas"/>
                <w:color w:val="146EF5"/>
                <w:sz w:val="15"/>
              </w:rPr>
              <w:t>provider</w:t>
            </w:r>
            <w:r>
              <w:rPr>
                <w:rFonts w:ascii="Calibri" w:hAnsi="Calibri"/>
                <w:b w:val="0"/>
                <w:i w:val="0"/>
                <w:color w:val="101828"/>
                <w:sz w:val="15"/>
              </w:rPr>
              <w:t xml:space="preserve">, </w:t>
            </w:r>
            <w:r>
              <w:rPr>
                <w:rFonts w:ascii="Consolas" w:hAnsi="Consolas"/>
                <w:color w:val="146EF5"/>
                <w:sz w:val="15"/>
              </w:rPr>
              <w:t>provider_reference</w:t>
            </w:r>
            <w:r>
              <w:rPr>
                <w:rFonts w:ascii="Calibri" w:hAnsi="Calibri"/>
                <w:b w:val="0"/>
                <w:i w:val="0"/>
                <w:color w:val="101828"/>
                <w:sz w:val="15"/>
              </w:rPr>
              <w:t xml:space="preserve">, </w:t>
            </w:r>
            <w:r>
              <w:rPr>
                <w:rFonts w:ascii="Consolas" w:hAnsi="Consolas"/>
                <w:color w:val="146EF5"/>
                <w:sz w:val="15"/>
              </w:rPr>
              <w:t>contribution_amount_kobo</w:t>
            </w:r>
            <w:r>
              <w:rPr>
                <w:rFonts w:ascii="Calibri" w:hAnsi="Calibri"/>
                <w:b w:val="0"/>
                <w:i w:val="0"/>
                <w:color w:val="101828"/>
                <w:sz w:val="15"/>
              </w:rPr>
              <w:t xml:space="preserve">, </w:t>
            </w:r>
            <w:r>
              <w:rPr>
                <w:rFonts w:ascii="Consolas" w:hAnsi="Consolas"/>
                <w:color w:val="146EF5"/>
                <w:sz w:val="15"/>
              </w:rPr>
              <w:t>fee_kobo</w:t>
            </w:r>
            <w:r>
              <w:rPr>
                <w:rFonts w:ascii="Calibri" w:hAnsi="Calibri"/>
                <w:b w:val="0"/>
                <w:i w:val="0"/>
                <w:color w:val="101828"/>
                <w:sz w:val="15"/>
              </w:rPr>
              <w:t xml:space="preserve">, </w:t>
            </w:r>
            <w:r>
              <w:rPr>
                <w:rFonts w:ascii="Consolas" w:hAnsi="Consolas"/>
                <w:color w:val="146EF5"/>
                <w:sz w:val="15"/>
              </w:rPr>
              <w:t>charged_amount_kobo</w:t>
            </w:r>
            <w:r>
              <w:rPr>
                <w:rFonts w:ascii="Calibri" w:hAnsi="Calibri"/>
                <w:b w:val="0"/>
                <w:i w:val="0"/>
                <w:color w:val="101828"/>
                <w:sz w:val="15"/>
              </w:rPr>
              <w:t xml:space="preserve">, </w:t>
            </w:r>
            <w:r>
              <w:rPr>
                <w:rFonts w:ascii="Consolas" w:hAnsi="Consolas"/>
                <w:color w:val="146EF5"/>
                <w:sz w:val="15"/>
              </w:rPr>
              <w:t>status</w:t>
            </w:r>
            <w:r>
              <w:rPr>
                <w:rFonts w:ascii="Calibri" w:hAnsi="Calibri"/>
                <w:b w:val="0"/>
                <w:i w:val="0"/>
                <w:color w:val="101828"/>
                <w:sz w:val="15"/>
              </w:rPr>
              <w:t xml:space="preserve">, </w:t>
            </w:r>
            <w:r>
              <w:rPr>
                <w:rFonts w:ascii="Consolas" w:hAnsi="Consolas"/>
                <w:color w:val="146EF5"/>
                <w:sz w:val="15"/>
              </w:rPr>
              <w:t>provider_created_at</w:t>
            </w:r>
            <w:r>
              <w:rPr>
                <w:rFonts w:ascii="Calibri" w:hAnsi="Calibri"/>
                <w:b w:val="0"/>
                <w:i w:val="0"/>
                <w:color w:val="101828"/>
                <w:sz w:val="15"/>
              </w:rPr>
              <w:t xml:space="preserve">, </w:t>
            </w:r>
            <w:r>
              <w:rPr>
                <w:rFonts w:ascii="Consolas" w:hAnsi="Consolas"/>
                <w:color w:val="146EF5"/>
                <w:sz w:val="15"/>
              </w:rPr>
              <w:t>settled_at</w:t>
            </w:r>
          </w:p>
        </w:tc>
        <w:tc>
          <w:tcPr>
            <w:tcW w:type="dxa" w:w="2232"/>
            <w:tcMar>
              <w:top w:w="60" w:type="dxa"/>
              <w:start w:w="110" w:type="dxa"/>
              <w:bottom w:w="60" w:type="dxa"/>
              <w:end w:w="110" w:type="dxa"/>
            </w:tcMar>
            <w:shd w:val="clear" w:color="auto" w:fill="F4F7FB"/>
          </w:tcPr>
          <w:p>
            <w:pPr>
              <w:spacing w:after="0"/>
            </w:pPr>
            <w:r/>
            <w:r>
              <w:rPr>
                <w:rFonts w:ascii="Calibri" w:hAnsi="Calibri"/>
                <w:b w:val="0"/>
                <w:i w:val="0"/>
                <w:color w:val="101828"/>
                <w:sz w:val="15"/>
              </w:rPr>
              <w:t>N:1 contributions and payment_channels; 1:1 fees; 0:1 webhook_events; N:1 risk_events</w:t>
            </w:r>
          </w:p>
        </w:tc>
      </w:tr>
      <w:tr>
        <w:trPr>
          <w:cantSplit/>
        </w:trPr>
        <w:tc>
          <w:tcPr>
            <w:tcW w:type="dxa" w:w="1656"/>
            <w:tcMar>
              <w:top w:w="60" w:type="dxa"/>
              <w:start w:w="110" w:type="dxa"/>
              <w:bottom w:w="60" w:type="dxa"/>
              <w:end w:w="110" w:type="dxa"/>
            </w:tcMar>
          </w:tcPr>
          <w:p>
            <w:pPr>
              <w:spacing w:after="0"/>
            </w:pPr>
            <w:r/>
            <w:r>
              <w:rPr>
                <w:rFonts w:ascii="Consolas" w:hAnsi="Consolas"/>
                <w:color w:val="146EF5"/>
                <w:sz w:val="15"/>
              </w:rPr>
              <w:t>payouts</w:t>
            </w:r>
            <w:r>
              <w:rPr>
                <w:rFonts w:ascii="Calibri" w:hAnsi="Calibri"/>
                <w:b w:val="0"/>
                <w:i w:val="0"/>
                <w:color w:val="101828"/>
                <w:sz w:val="15"/>
              </w:rPr>
              <w:t xml:space="preserve"> *</w:t>
            </w:r>
          </w:p>
        </w:tc>
        <w:tc>
          <w:tcPr>
            <w:tcW w:type="dxa" w:w="2808"/>
            <w:tcMar>
              <w:top w:w="60" w:type="dxa"/>
              <w:start w:w="110" w:type="dxa"/>
              <w:bottom w:w="60" w:type="dxa"/>
              <w:end w:w="110" w:type="dxa"/>
            </w:tcMar>
          </w:tcPr>
          <w:p>
            <w:pPr>
              <w:spacing w:after="0"/>
            </w:pPr>
            <w:r/>
            <w:r>
              <w:rPr>
                <w:rFonts w:ascii="Calibri" w:hAnsi="Calibri"/>
                <w:b w:val="0"/>
                <w:i w:val="0"/>
                <w:color w:val="101828"/>
                <w:sz w:val="15"/>
              </w:rPr>
              <w:t xml:space="preserve">One disbursement for one position in one round. </w:t>
            </w:r>
            <w:r>
              <w:rPr>
                <w:rFonts w:ascii="Consolas" w:hAnsi="Consolas"/>
                <w:color w:val="146EF5"/>
                <w:sz w:val="15"/>
              </w:rPr>
              <w:t>SCHEDULED -&gt; FUNDING -&gt; RELEASED -&gt; SUCCESS | FAILED | HELD</w:t>
            </w:r>
            <w:r>
              <w:rPr>
                <w:rFonts w:ascii="Calibri" w:hAnsi="Calibri"/>
                <w:b w:val="0"/>
                <w:i w:val="0"/>
                <w:color w:val="101828"/>
                <w:sz w:val="15"/>
              </w:rPr>
              <w:t xml:space="preserve"> per CANONICAL.md section 4.</w:t>
            </w:r>
          </w:p>
        </w:tc>
        <w:tc>
          <w:tcPr>
            <w:tcW w:type="dxa" w:w="2664"/>
            <w:tcMar>
              <w:top w:w="60" w:type="dxa"/>
              <w:start w:w="110" w:type="dxa"/>
              <w:bottom w:w="60" w:type="dxa"/>
              <w:end w:w="110" w:type="dxa"/>
            </w:tcMar>
          </w:tcPr>
          <w:p>
            <w:pPr>
              <w:spacing w:after="0"/>
            </w:pPr>
            <w:r/>
            <w:r>
              <w:rPr>
                <w:rFonts w:ascii="Consolas" w:hAnsi="Consolas"/>
                <w:color w:val="146EF5"/>
                <w:sz w:val="15"/>
              </w:rPr>
              <w:t>round_id</w:t>
            </w:r>
            <w:r>
              <w:rPr>
                <w:rFonts w:ascii="Calibri" w:hAnsi="Calibri"/>
                <w:b w:val="0"/>
                <w:i w:val="0"/>
                <w:color w:val="101828"/>
                <w:sz w:val="15"/>
              </w:rPr>
              <w:t xml:space="preserve">, </w:t>
            </w:r>
            <w:r>
              <w:rPr>
                <w:rFonts w:ascii="Consolas" w:hAnsi="Consolas"/>
                <w:color w:val="146EF5"/>
                <w:sz w:val="15"/>
              </w:rPr>
              <w:t>position_id</w:t>
            </w:r>
            <w:r>
              <w:rPr>
                <w:rFonts w:ascii="Calibri" w:hAnsi="Calibri"/>
                <w:b w:val="0"/>
                <w:i w:val="0"/>
                <w:color w:val="101828"/>
                <w:sz w:val="15"/>
              </w:rPr>
              <w:t xml:space="preserve">, </w:t>
            </w:r>
            <w:r>
              <w:rPr>
                <w:rFonts w:ascii="Consolas" w:hAnsi="Consolas"/>
                <w:color w:val="146EF5"/>
                <w:sz w:val="15"/>
              </w:rPr>
              <w:t>member_id</w:t>
            </w:r>
            <w:r>
              <w:rPr>
                <w:rFonts w:ascii="Calibri" w:hAnsi="Calibri"/>
                <w:b w:val="0"/>
                <w:i w:val="0"/>
                <w:color w:val="101828"/>
                <w:sz w:val="15"/>
              </w:rPr>
              <w:t xml:space="preserve">, </w:t>
            </w:r>
            <w:r>
              <w:rPr>
                <w:rFonts w:ascii="Consolas" w:hAnsi="Consolas"/>
                <w:color w:val="146EF5"/>
                <w:sz w:val="15"/>
              </w:rPr>
              <w:t>base_pool_kobo</w:t>
            </w:r>
            <w:r>
              <w:rPr>
                <w:rFonts w:ascii="Calibri" w:hAnsi="Calibri"/>
                <w:b w:val="0"/>
                <w:i w:val="0"/>
                <w:color w:val="101828"/>
                <w:sz w:val="15"/>
              </w:rPr>
              <w:t xml:space="preserve">, </w:t>
            </w:r>
            <w:r>
              <w:rPr>
                <w:rFonts w:ascii="Consolas" w:hAnsi="Consolas"/>
                <w:color w:val="146EF5"/>
                <w:sz w:val="15"/>
              </w:rPr>
              <w:t>amount_kobo</w:t>
            </w:r>
            <w:r>
              <w:rPr>
                <w:rFonts w:ascii="Calibri" w:hAnsi="Calibri"/>
                <w:b w:val="0"/>
                <w:i w:val="0"/>
                <w:color w:val="101828"/>
                <w:sz w:val="15"/>
              </w:rPr>
              <w:t xml:space="preserve">, </w:t>
            </w:r>
            <w:r>
              <w:rPr>
                <w:rFonts w:ascii="Consolas" w:hAnsi="Consolas"/>
                <w:color w:val="146EF5"/>
                <w:sz w:val="15"/>
              </w:rPr>
              <w:t>fee_kobo</w:t>
            </w:r>
            <w:r>
              <w:rPr>
                <w:rFonts w:ascii="Calibri" w:hAnsi="Calibri"/>
                <w:b w:val="0"/>
                <w:i w:val="0"/>
                <w:color w:val="101828"/>
                <w:sz w:val="15"/>
              </w:rPr>
              <w:t xml:space="preserve"> (0 by construction), </w:t>
            </w:r>
            <w:r>
              <w:rPr>
                <w:rFonts w:ascii="Consolas" w:hAnsi="Consolas"/>
                <w:color w:val="146EF5"/>
                <w:sz w:val="15"/>
              </w:rPr>
              <w:t>status</w:t>
            </w:r>
            <w:r>
              <w:rPr>
                <w:rFonts w:ascii="Calibri" w:hAnsi="Calibri"/>
                <w:b w:val="0"/>
                <w:i w:val="0"/>
                <w:color w:val="101828"/>
                <w:sz w:val="15"/>
              </w:rPr>
              <w:t xml:space="preserve">, </w:t>
            </w:r>
            <w:r>
              <w:rPr>
                <w:rFonts w:ascii="Consolas" w:hAnsi="Consolas"/>
                <w:color w:val="146EF5"/>
                <w:sz w:val="15"/>
              </w:rPr>
              <w:t>provider</w:t>
            </w:r>
            <w:r>
              <w:rPr>
                <w:rFonts w:ascii="Calibri" w:hAnsi="Calibri"/>
                <w:b w:val="0"/>
                <w:i w:val="0"/>
                <w:color w:val="101828"/>
                <w:sz w:val="15"/>
              </w:rPr>
              <w:t xml:space="preserve">, </w:t>
            </w:r>
            <w:r>
              <w:rPr>
                <w:rFonts w:ascii="Consolas" w:hAnsi="Consolas"/>
                <w:color w:val="146EF5"/>
                <w:sz w:val="15"/>
              </w:rPr>
              <w:t>provider_reference</w:t>
            </w:r>
            <w:r>
              <w:rPr>
                <w:rFonts w:ascii="Calibri" w:hAnsi="Calibri"/>
                <w:b w:val="0"/>
                <w:i w:val="0"/>
                <w:color w:val="101828"/>
                <w:sz w:val="15"/>
              </w:rPr>
              <w:t xml:space="preserve">, </w:t>
            </w:r>
            <w:r>
              <w:rPr>
                <w:rFonts w:ascii="Consolas" w:hAnsi="Consolas"/>
                <w:color w:val="146EF5"/>
                <w:sz w:val="15"/>
              </w:rPr>
              <w:t>held_reason</w:t>
            </w:r>
          </w:p>
        </w:tc>
        <w:tc>
          <w:tcPr>
            <w:tcW w:type="dxa" w:w="2232"/>
            <w:tcMar>
              <w:top w:w="60" w:type="dxa"/>
              <w:start w:w="110" w:type="dxa"/>
              <w:bottom w:w="60" w:type="dxa"/>
              <w:end w:w="110" w:type="dxa"/>
            </w:tcMar>
          </w:tcPr>
          <w:p>
            <w:pPr>
              <w:spacing w:after="0"/>
            </w:pPr>
            <w:r/>
            <w:r>
              <w:rPr>
                <w:rFonts w:ascii="Calibri" w:hAnsi="Calibri"/>
                <w:b w:val="0"/>
                <w:i w:val="0"/>
                <w:color w:val="101828"/>
                <w:sz w:val="15"/>
              </w:rPr>
              <w:t>N:1 rounds, positions, members; 1:1 per (round, position); 1:N disputes, risk_events</w:t>
            </w:r>
          </w:p>
        </w:tc>
      </w:tr>
      <w:tr>
        <w:trPr>
          <w:cantSplit/>
        </w:trPr>
        <w:tc>
          <w:tcPr>
            <w:tcW w:type="dxa" w:w="1656"/>
            <w:tcMar>
              <w:top w:w="60" w:type="dxa"/>
              <w:start w:w="110" w:type="dxa"/>
              <w:bottom w:w="60" w:type="dxa"/>
              <w:end w:w="110" w:type="dxa"/>
            </w:tcMar>
            <w:shd w:val="clear" w:color="auto" w:fill="F4F7FB"/>
          </w:tcPr>
          <w:p>
            <w:pPr>
              <w:spacing w:after="0"/>
            </w:pPr>
            <w:r/>
            <w:r>
              <w:rPr>
                <w:rFonts w:ascii="Consolas" w:hAnsi="Consolas"/>
                <w:color w:val="146EF5"/>
                <w:sz w:val="15"/>
              </w:rPr>
              <w:t>fees</w:t>
            </w:r>
            <w:r>
              <w:rPr>
                <w:rFonts w:ascii="Calibri" w:hAnsi="Calibri"/>
                <w:b w:val="0"/>
                <w:i w:val="0"/>
                <w:color w:val="101828"/>
                <w:sz w:val="15"/>
              </w:rPr>
              <w:t xml:space="preserve"> *</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5"/>
              </w:rPr>
              <w:t xml:space="preserve">The platform's own record of the 2% charge. Separate from the member's payment so that revenue reporting never depends on joining the payment table. The column is </w:t>
            </w:r>
            <w:r>
              <w:rPr>
                <w:rFonts w:ascii="Consolas" w:hAnsi="Consolas"/>
                <w:color w:val="146EF5"/>
                <w:sz w:val="15"/>
              </w:rPr>
              <w:t>fee_kobo</w:t>
            </w:r>
            <w:r>
              <w:rPr>
                <w:rFonts w:ascii="Calibri" w:hAnsi="Calibri"/>
                <w:b w:val="0"/>
                <w:i w:val="0"/>
                <w:color w:val="101828"/>
                <w:sz w:val="15"/>
              </w:rPr>
              <w:t xml:space="preserve">, matching </w:t>
            </w:r>
            <w:r>
              <w:rPr>
                <w:rFonts w:ascii="Consolas" w:hAnsi="Consolas"/>
                <w:color w:val="146EF5"/>
                <w:sz w:val="15"/>
              </w:rPr>
              <w:t>payments.fee_kobo</w:t>
            </w:r>
            <w:r>
              <w:rPr>
                <w:rFonts w:ascii="Calibri" w:hAnsi="Calibri"/>
                <w:b w:val="0"/>
                <w:i w:val="0"/>
                <w:color w:val="101828"/>
                <w:sz w:val="15"/>
              </w:rPr>
              <w:t>, and it is generated: a fee an application could write is a fee that can be wrong.</w:t>
            </w:r>
          </w:p>
        </w:tc>
        <w:tc>
          <w:tcPr>
            <w:tcW w:type="dxa" w:w="2664"/>
            <w:tcMar>
              <w:top w:w="60" w:type="dxa"/>
              <w:start w:w="110" w:type="dxa"/>
              <w:bottom w:w="60" w:type="dxa"/>
              <w:end w:w="110" w:type="dxa"/>
            </w:tcMar>
            <w:shd w:val="clear" w:color="auto" w:fill="F4F7FB"/>
          </w:tcPr>
          <w:p>
            <w:pPr>
              <w:spacing w:after="0"/>
            </w:pPr>
            <w:r/>
            <w:r>
              <w:rPr>
                <w:rFonts w:ascii="Consolas" w:hAnsi="Consolas"/>
                <w:color w:val="146EF5"/>
                <w:sz w:val="15"/>
              </w:rPr>
              <w:t>payment_id</w:t>
            </w:r>
            <w:r>
              <w:rPr>
                <w:rFonts w:ascii="Calibri" w:hAnsi="Calibri"/>
                <w:b w:val="0"/>
                <w:i w:val="0"/>
                <w:color w:val="101828"/>
                <w:sz w:val="15"/>
              </w:rPr>
              <w:t xml:space="preserve"> UNIQUE, </w:t>
            </w:r>
            <w:r>
              <w:rPr>
                <w:rFonts w:ascii="Consolas" w:hAnsi="Consolas"/>
                <w:color w:val="146EF5"/>
                <w:sz w:val="15"/>
              </w:rPr>
              <w:t>contribution_id</w:t>
            </w:r>
            <w:r>
              <w:rPr>
                <w:rFonts w:ascii="Calibri" w:hAnsi="Calibri"/>
                <w:b w:val="0"/>
                <w:i w:val="0"/>
                <w:color w:val="101828"/>
                <w:sz w:val="15"/>
              </w:rPr>
              <w:t xml:space="preserve">, </w:t>
            </w:r>
            <w:r>
              <w:rPr>
                <w:rFonts w:ascii="Consolas" w:hAnsi="Consolas"/>
                <w:color w:val="146EF5"/>
                <w:sz w:val="15"/>
              </w:rPr>
              <w:t>contribution_amount_kobo</w:t>
            </w:r>
            <w:r>
              <w:rPr>
                <w:rFonts w:ascii="Calibri" w:hAnsi="Calibri"/>
                <w:b w:val="0"/>
                <w:i w:val="0"/>
                <w:color w:val="101828"/>
                <w:sz w:val="15"/>
              </w:rPr>
              <w:t xml:space="preserve">, </w:t>
            </w:r>
            <w:r>
              <w:rPr>
                <w:rFonts w:ascii="Consolas" w:hAnsi="Consolas"/>
                <w:color w:val="146EF5"/>
                <w:sz w:val="15"/>
              </w:rPr>
              <w:t>fee_kobo</w:t>
            </w:r>
            <w:r>
              <w:rPr>
                <w:rFonts w:ascii="Calibri" w:hAnsi="Calibri"/>
                <w:b w:val="0"/>
                <w:i w:val="0"/>
                <w:color w:val="101828"/>
                <w:sz w:val="15"/>
              </w:rPr>
              <w:t xml:space="preserve"> (generated), </w:t>
            </w:r>
            <w:r>
              <w:rPr>
                <w:rFonts w:ascii="Consolas" w:hAnsi="Consolas"/>
                <w:color w:val="146EF5"/>
                <w:sz w:val="15"/>
              </w:rPr>
              <w:t>fee_rate_bps</w:t>
            </w:r>
            <w:r>
              <w:rPr>
                <w:rFonts w:ascii="Calibri" w:hAnsi="Calibri"/>
                <w:b w:val="0"/>
                <w:i w:val="0"/>
                <w:color w:val="101828"/>
                <w:sz w:val="15"/>
              </w:rPr>
              <w:t xml:space="preserve">, </w:t>
            </w:r>
            <w:r>
              <w:rPr>
                <w:rFonts w:ascii="Consolas" w:hAnsi="Consolas"/>
                <w:color w:val="146EF5"/>
                <w:sz w:val="15"/>
              </w:rPr>
              <w:t>status</w:t>
            </w:r>
            <w:r>
              <w:rPr>
                <w:rFonts w:ascii="Calibri" w:hAnsi="Calibri"/>
                <w:b w:val="0"/>
                <w:i w:val="0"/>
                <w:color w:val="101828"/>
                <w:sz w:val="15"/>
              </w:rPr>
              <w:t xml:space="preserve"> (accrued, invoiced, refunded, written_off), </w:t>
            </w:r>
            <w:r>
              <w:rPr>
                <w:rFonts w:ascii="Consolas" w:hAnsi="Consolas"/>
                <w:color w:val="146EF5"/>
                <w:sz w:val="15"/>
              </w:rPr>
              <w:t>ledger_transaction_id</w:t>
            </w:r>
            <w:r>
              <w:rPr>
                <w:rFonts w:ascii="Calibri" w:hAnsi="Calibri"/>
                <w:b w:val="0"/>
                <w:i w:val="0"/>
                <w:color w:val="101828"/>
                <w:sz w:val="15"/>
              </w:rPr>
              <w:t xml:space="preserve">, </w:t>
            </w:r>
            <w:r>
              <w:rPr>
                <w:rFonts w:ascii="Consolas" w:hAnsi="Consolas"/>
                <w:color w:val="146EF5"/>
                <w:sz w:val="15"/>
              </w:rPr>
              <w:t>disclosed_at</w:t>
            </w:r>
          </w:p>
        </w:tc>
        <w:tc>
          <w:tcPr>
            <w:tcW w:type="dxa" w:w="2232"/>
            <w:tcMar>
              <w:top w:w="60" w:type="dxa"/>
              <w:start w:w="110" w:type="dxa"/>
              <w:bottom w:w="60" w:type="dxa"/>
              <w:end w:w="110" w:type="dxa"/>
            </w:tcMar>
            <w:shd w:val="clear" w:color="auto" w:fill="F4F7FB"/>
          </w:tcPr>
          <w:p>
            <w:pPr>
              <w:spacing w:after="0"/>
            </w:pPr>
            <w:r/>
            <w:r>
              <w:rPr>
                <w:rFonts w:ascii="Calibri" w:hAnsi="Calibri"/>
                <w:b w:val="0"/>
                <w:i w:val="0"/>
                <w:color w:val="101828"/>
                <w:sz w:val="15"/>
              </w:rPr>
              <w:t>1:1 payments; 0:1 ledger_transactions; 1:1 contributions</w:t>
            </w:r>
          </w:p>
        </w:tc>
      </w:tr>
      <w:tr>
        <w:trPr>
          <w:cantSplit/>
        </w:trPr>
        <w:tc>
          <w:tcPr>
            <w:tcW w:type="dxa" w:w="1656"/>
            <w:tcMar>
              <w:top w:w="60" w:type="dxa"/>
              <w:start w:w="110" w:type="dxa"/>
              <w:bottom w:w="60" w:type="dxa"/>
              <w:end w:w="110" w:type="dxa"/>
            </w:tcMar>
          </w:tcPr>
          <w:p>
            <w:pPr>
              <w:spacing w:after="0"/>
            </w:pPr>
            <w:r/>
            <w:r>
              <w:rPr>
                <w:rFonts w:ascii="Consolas" w:hAnsi="Consolas"/>
                <w:color w:val="146EF5"/>
                <w:sz w:val="15"/>
              </w:rPr>
              <w:t>ledger_transactions</w:t>
            </w:r>
            <w:r>
              <w:rPr>
                <w:rFonts w:ascii="Calibri" w:hAnsi="Calibri"/>
                <w:b w:val="0"/>
                <w:i w:val="0"/>
                <w:color w:val="101828"/>
                <w:sz w:val="15"/>
              </w:rPr>
              <w:t xml:space="preserve"> *</w:t>
            </w:r>
          </w:p>
        </w:tc>
        <w:tc>
          <w:tcPr>
            <w:tcW w:type="dxa" w:w="2808"/>
            <w:tcMar>
              <w:top w:w="60" w:type="dxa"/>
              <w:start w:w="110" w:type="dxa"/>
              <w:bottom w:w="60" w:type="dxa"/>
              <w:end w:w="110" w:type="dxa"/>
            </w:tcMar>
          </w:tcPr>
          <w:p>
            <w:pPr>
              <w:spacing w:after="0"/>
            </w:pPr>
            <w:r/>
            <w:r>
              <w:rPr>
                <w:rFonts w:ascii="Calibri" w:hAnsi="Calibri"/>
                <w:b w:val="0"/>
                <w:i w:val="0"/>
                <w:color w:val="101828"/>
                <w:sz w:val="15"/>
              </w:rPr>
              <w:t xml:space="preserve">Header of an append-only double-entry transaction. </w:t>
            </w:r>
            <w:r>
              <w:rPr>
                <w:rFonts w:ascii="Consolas" w:hAnsi="Consolas"/>
                <w:color w:val="146EF5"/>
                <w:sz w:val="15"/>
              </w:rPr>
              <w:t>kind</w:t>
            </w:r>
            <w:r>
              <w:rPr>
                <w:rFonts w:ascii="Calibri" w:hAnsi="Calibri"/>
                <w:b w:val="0"/>
                <w:i w:val="0"/>
                <w:color w:val="101828"/>
                <w:sz w:val="15"/>
              </w:rPr>
              <w:t xml:space="preserve"> is the canonical sequence. Corrections are reversals, never updates.</w:t>
            </w:r>
          </w:p>
        </w:tc>
        <w:tc>
          <w:tcPr>
            <w:tcW w:type="dxa" w:w="2664"/>
            <w:tcMar>
              <w:top w:w="60" w:type="dxa"/>
              <w:start w:w="110" w:type="dxa"/>
              <w:bottom w:w="60" w:type="dxa"/>
              <w:end w:w="110" w:type="dxa"/>
            </w:tcMar>
          </w:tcPr>
          <w:p>
            <w:pPr>
              <w:spacing w:after="0"/>
            </w:pPr>
            <w:r/>
            <w:r>
              <w:rPr>
                <w:rFonts w:ascii="Consolas" w:hAnsi="Consolas"/>
                <w:color w:val="146EF5"/>
                <w:sz w:val="15"/>
              </w:rPr>
              <w:t>kind</w:t>
            </w:r>
            <w:r>
              <w:rPr>
                <w:rFonts w:ascii="Calibri" w:hAnsi="Calibri"/>
                <w:b w:val="0"/>
                <w:i w:val="0"/>
                <w:color w:val="101828"/>
                <w:sz w:val="15"/>
              </w:rPr>
              <w:t xml:space="preserve">, </w:t>
            </w:r>
            <w:r>
              <w:rPr>
                <w:rFonts w:ascii="Consolas" w:hAnsi="Consolas"/>
                <w:color w:val="146EF5"/>
                <w:sz w:val="15"/>
              </w:rPr>
              <w:t>ajo_id</w:t>
            </w:r>
            <w:r>
              <w:rPr>
                <w:rFonts w:ascii="Calibri" w:hAnsi="Calibri"/>
                <w:b w:val="0"/>
                <w:i w:val="0"/>
                <w:color w:val="101828"/>
                <w:sz w:val="15"/>
              </w:rPr>
              <w:t xml:space="preserve">, </w:t>
            </w:r>
            <w:r>
              <w:rPr>
                <w:rFonts w:ascii="Consolas" w:hAnsi="Consolas"/>
                <w:color w:val="146EF5"/>
                <w:sz w:val="15"/>
              </w:rPr>
              <w:t>round_id</w:t>
            </w:r>
            <w:r>
              <w:rPr>
                <w:rFonts w:ascii="Calibri" w:hAnsi="Calibri"/>
                <w:b w:val="0"/>
                <w:i w:val="0"/>
                <w:color w:val="101828"/>
                <w:sz w:val="15"/>
              </w:rPr>
              <w:t xml:space="preserve">, </w:t>
            </w:r>
            <w:r>
              <w:rPr>
                <w:rFonts w:ascii="Consolas" w:hAnsi="Consolas"/>
                <w:color w:val="146EF5"/>
                <w:sz w:val="15"/>
              </w:rPr>
              <w:t>member_id</w:t>
            </w:r>
            <w:r>
              <w:rPr>
                <w:rFonts w:ascii="Calibri" w:hAnsi="Calibri"/>
                <w:b w:val="0"/>
                <w:i w:val="0"/>
                <w:color w:val="101828"/>
                <w:sz w:val="15"/>
              </w:rPr>
              <w:t xml:space="preserve">, </w:t>
            </w:r>
            <w:r>
              <w:rPr>
                <w:rFonts w:ascii="Consolas" w:hAnsi="Consolas"/>
                <w:color w:val="146EF5"/>
                <w:sz w:val="15"/>
              </w:rPr>
              <w:t>occurred_at</w:t>
            </w:r>
            <w:r>
              <w:rPr>
                <w:rFonts w:ascii="Calibri" w:hAnsi="Calibri"/>
                <w:b w:val="0"/>
                <w:i w:val="0"/>
                <w:color w:val="101828"/>
                <w:sz w:val="15"/>
              </w:rPr>
              <w:t xml:space="preserve">, </w:t>
            </w:r>
            <w:r>
              <w:rPr>
                <w:rFonts w:ascii="Consolas" w:hAnsi="Consolas"/>
                <w:color w:val="146EF5"/>
                <w:sz w:val="15"/>
              </w:rPr>
              <w:t>reverses_transaction_id</w:t>
            </w:r>
            <w:r>
              <w:rPr>
                <w:rFonts w:ascii="Calibri" w:hAnsi="Calibri"/>
                <w:b w:val="0"/>
                <w:i w:val="0"/>
                <w:color w:val="101828"/>
                <w:sz w:val="15"/>
              </w:rPr>
              <w:t xml:space="preserve">, </w:t>
            </w:r>
            <w:r>
              <w:rPr>
                <w:rFonts w:ascii="Consolas" w:hAnsi="Consolas"/>
                <w:color w:val="146EF5"/>
                <w:sz w:val="15"/>
              </w:rPr>
              <w:t>reversal_reason</w:t>
            </w:r>
            <w:r>
              <w:rPr>
                <w:rFonts w:ascii="Calibri" w:hAnsi="Calibri"/>
                <w:b w:val="0"/>
                <w:i w:val="0"/>
                <w:color w:val="101828"/>
                <w:sz w:val="15"/>
              </w:rPr>
              <w:t xml:space="preserve">, </w:t>
            </w:r>
            <w:r>
              <w:rPr>
                <w:rFonts w:ascii="Consolas" w:hAnsi="Consolas"/>
                <w:color w:val="146EF5"/>
                <w:sz w:val="15"/>
              </w:rPr>
              <w:t>request_id</w:t>
            </w:r>
            <w:r>
              <w:rPr>
                <w:rFonts w:ascii="Calibri" w:hAnsi="Calibri"/>
                <w:b w:val="0"/>
                <w:i w:val="0"/>
                <w:color w:val="101828"/>
                <w:sz w:val="15"/>
              </w:rPr>
              <w:t xml:space="preserve">, </w:t>
            </w:r>
            <w:r>
              <w:rPr>
                <w:rFonts w:ascii="Consolas" w:hAnsi="Consolas"/>
                <w:color w:val="146EF5"/>
                <w:sz w:val="15"/>
              </w:rPr>
              <w:t>idempotency_key</w:t>
            </w:r>
          </w:p>
        </w:tc>
        <w:tc>
          <w:tcPr>
            <w:tcW w:type="dxa" w:w="2232"/>
            <w:tcMar>
              <w:top w:w="60" w:type="dxa"/>
              <w:start w:w="110" w:type="dxa"/>
              <w:bottom w:w="60" w:type="dxa"/>
              <w:end w:w="110" w:type="dxa"/>
            </w:tcMar>
          </w:tcPr>
          <w:p>
            <w:pPr>
              <w:spacing w:after="0"/>
            </w:pPr>
            <w:r/>
            <w:r>
              <w:rPr>
                <w:rFonts w:ascii="Calibri" w:hAnsi="Calibri"/>
                <w:b w:val="0"/>
                <w:i w:val="0"/>
                <w:color w:val="101828"/>
                <w:sz w:val="15"/>
              </w:rPr>
              <w:t>1:N ledger_postings; 0:1 reversal target; 0:1 fees; 0:1 idempotency_keys</w:t>
            </w:r>
          </w:p>
        </w:tc>
      </w:tr>
      <w:tr>
        <w:trPr>
          <w:cantSplit/>
        </w:trPr>
        <w:tc>
          <w:tcPr>
            <w:tcW w:type="dxa" w:w="1656"/>
            <w:tcMar>
              <w:top w:w="60" w:type="dxa"/>
              <w:start w:w="110" w:type="dxa"/>
              <w:bottom w:w="60" w:type="dxa"/>
              <w:end w:w="110" w:type="dxa"/>
            </w:tcMar>
            <w:shd w:val="clear" w:color="auto" w:fill="F4F7FB"/>
          </w:tcPr>
          <w:p>
            <w:pPr>
              <w:spacing w:after="0"/>
            </w:pPr>
            <w:r/>
            <w:r>
              <w:rPr>
                <w:rFonts w:ascii="Consolas" w:hAnsi="Consolas"/>
                <w:color w:val="146EF5"/>
                <w:sz w:val="15"/>
              </w:rPr>
              <w:t>ledger_postings</w:t>
            </w:r>
            <w:r>
              <w:rPr>
                <w:rFonts w:ascii="Calibri" w:hAnsi="Calibri"/>
                <w:b w:val="0"/>
                <w:i w:val="0"/>
                <w:color w:val="101828"/>
                <w:sz w:val="15"/>
              </w:rPr>
              <w:t xml:space="preserve"> *</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5"/>
              </w:rPr>
              <w:t xml:space="preserve">The legs. Two or more per transaction, and the signed sum of one transaction is exactly zero. No </w:t>
            </w:r>
            <w:r>
              <w:rPr>
                <w:rFonts w:ascii="Consolas" w:hAnsi="Consolas"/>
                <w:color w:val="146EF5"/>
                <w:sz w:val="15"/>
              </w:rPr>
              <w:t>updated_at</w:t>
            </w:r>
            <w:r>
              <w:rPr>
                <w:rFonts w:ascii="Calibri" w:hAnsi="Calibri"/>
                <w:b w:val="0"/>
                <w:i w:val="0"/>
                <w:color w:val="101828"/>
                <w:sz w:val="15"/>
              </w:rPr>
              <w:t xml:space="preserve">, no </w:t>
            </w:r>
            <w:r>
              <w:rPr>
                <w:rFonts w:ascii="Consolas" w:hAnsi="Consolas"/>
                <w:color w:val="146EF5"/>
                <w:sz w:val="15"/>
              </w:rPr>
              <w:t>deleted_at</w:t>
            </w:r>
            <w:r>
              <w:rPr>
                <w:rFonts w:ascii="Calibri" w:hAnsi="Calibri"/>
                <w:b w:val="0"/>
                <w:i w:val="0"/>
                <w:color w:val="101828"/>
                <w:sz w:val="15"/>
              </w:rPr>
              <w:t>.</w:t>
            </w:r>
          </w:p>
        </w:tc>
        <w:tc>
          <w:tcPr>
            <w:tcW w:type="dxa" w:w="2664"/>
            <w:tcMar>
              <w:top w:w="60" w:type="dxa"/>
              <w:start w:w="110" w:type="dxa"/>
              <w:bottom w:w="60" w:type="dxa"/>
              <w:end w:w="110" w:type="dxa"/>
            </w:tcMar>
            <w:shd w:val="clear" w:color="auto" w:fill="F4F7FB"/>
          </w:tcPr>
          <w:p>
            <w:pPr>
              <w:spacing w:after="0"/>
            </w:pPr>
            <w:r/>
            <w:r>
              <w:rPr>
                <w:rFonts w:ascii="Consolas" w:hAnsi="Consolas"/>
                <w:color w:val="146EF5"/>
                <w:sz w:val="15"/>
              </w:rPr>
              <w:t>transaction_id</w:t>
            </w:r>
            <w:r>
              <w:rPr>
                <w:rFonts w:ascii="Calibri" w:hAnsi="Calibri"/>
                <w:b w:val="0"/>
                <w:i w:val="0"/>
                <w:color w:val="101828"/>
                <w:sz w:val="15"/>
              </w:rPr>
              <w:t xml:space="preserve">, </w:t>
            </w:r>
            <w:r>
              <w:rPr>
                <w:rFonts w:ascii="Consolas" w:hAnsi="Consolas"/>
                <w:color w:val="146EF5"/>
                <w:sz w:val="15"/>
              </w:rPr>
              <w:t>account_kind</w:t>
            </w:r>
            <w:r>
              <w:rPr>
                <w:rFonts w:ascii="Calibri" w:hAnsi="Calibri"/>
                <w:b w:val="0"/>
                <w:i w:val="0"/>
                <w:color w:val="101828"/>
                <w:sz w:val="15"/>
              </w:rPr>
              <w:t xml:space="preserve">, </w:t>
            </w:r>
            <w:r>
              <w:rPr>
                <w:rFonts w:ascii="Consolas" w:hAnsi="Consolas"/>
                <w:color w:val="146EF5"/>
                <w:sz w:val="15"/>
              </w:rPr>
              <w:t>side</w:t>
            </w:r>
            <w:r>
              <w:rPr>
                <w:rFonts w:ascii="Calibri" w:hAnsi="Calibri"/>
                <w:b w:val="0"/>
                <w:i w:val="0"/>
                <w:color w:val="101828"/>
                <w:sz w:val="15"/>
              </w:rPr>
              <w:t xml:space="preserve"> (debit, credit), </w:t>
            </w:r>
            <w:r>
              <w:rPr>
                <w:rFonts w:ascii="Consolas" w:hAnsi="Consolas"/>
                <w:color w:val="146EF5"/>
                <w:sz w:val="15"/>
              </w:rPr>
              <w:t>amount_kobo</w:t>
            </w:r>
            <w:r>
              <w:rPr>
                <w:rFonts w:ascii="Calibri" w:hAnsi="Calibri"/>
                <w:b w:val="0"/>
                <w:i w:val="0"/>
                <w:color w:val="101828"/>
                <w:sz w:val="15"/>
              </w:rPr>
              <w:t xml:space="preserve">, </w:t>
            </w:r>
            <w:r>
              <w:rPr>
                <w:rFonts w:ascii="Consolas" w:hAnsi="Consolas"/>
                <w:color w:val="146EF5"/>
                <w:sz w:val="15"/>
              </w:rPr>
              <w:t>signed_kobo</w:t>
            </w:r>
            <w:r>
              <w:rPr>
                <w:rFonts w:ascii="Calibri" w:hAnsi="Calibri"/>
                <w:b w:val="0"/>
                <w:i w:val="0"/>
                <w:color w:val="101828"/>
                <w:sz w:val="15"/>
              </w:rPr>
              <w:t xml:space="preserve"> (generated), </w:t>
            </w:r>
            <w:r>
              <w:rPr>
                <w:rFonts w:ascii="Consolas" w:hAnsi="Consolas"/>
                <w:color w:val="146EF5"/>
                <w:sz w:val="15"/>
              </w:rPr>
              <w:t>member_id</w:t>
            </w:r>
            <w:r>
              <w:rPr>
                <w:rFonts w:ascii="Calibri" w:hAnsi="Calibri"/>
                <w:b w:val="0"/>
                <w:i w:val="0"/>
                <w:color w:val="101828"/>
                <w:sz w:val="15"/>
              </w:rPr>
              <w:t xml:space="preserve">, </w:t>
            </w:r>
            <w:r>
              <w:rPr>
                <w:rFonts w:ascii="Consolas" w:hAnsi="Consolas"/>
                <w:color w:val="146EF5"/>
                <w:sz w:val="15"/>
              </w:rPr>
              <w:t>memo</w:t>
            </w:r>
          </w:p>
        </w:tc>
        <w:tc>
          <w:tcPr>
            <w:tcW w:type="dxa" w:w="2232"/>
            <w:tcMar>
              <w:top w:w="60" w:type="dxa"/>
              <w:start w:w="110" w:type="dxa"/>
              <w:bottom w:w="60" w:type="dxa"/>
              <w:end w:w="110" w:type="dxa"/>
            </w:tcMar>
            <w:shd w:val="clear" w:color="auto" w:fill="F4F7FB"/>
          </w:tcPr>
          <w:p>
            <w:pPr>
              <w:spacing w:after="0"/>
            </w:pPr>
            <w:r/>
            <w:r>
              <w:rPr>
                <w:rFonts w:ascii="Calibri" w:hAnsi="Calibri"/>
                <w:b w:val="0"/>
                <w:i w:val="0"/>
                <w:color w:val="101828"/>
                <w:sz w:val="15"/>
              </w:rPr>
              <w:t>N:1 ledger_transactions; 0:1 members, ajos, rounds (denormalised for reporting)</w:t>
            </w:r>
          </w:p>
        </w:tc>
      </w:tr>
      <w:tr>
        <w:trPr>
          <w:cantSplit/>
        </w:trPr>
        <w:tc>
          <w:tcPr>
            <w:tcW w:type="dxa" w:w="1656"/>
            <w:tcMar>
              <w:top w:w="60" w:type="dxa"/>
              <w:start w:w="110" w:type="dxa"/>
              <w:bottom w:w="60" w:type="dxa"/>
              <w:end w:w="110" w:type="dxa"/>
            </w:tcMar>
          </w:tcPr>
          <w:p>
            <w:pPr>
              <w:spacing w:after="0"/>
            </w:pPr>
            <w:r/>
            <w:r>
              <w:rPr>
                <w:rFonts w:ascii="Consolas" w:hAnsi="Consolas"/>
                <w:color w:val="146EF5"/>
                <w:sz w:val="15"/>
              </w:rPr>
              <w:t>idempotency_keys</w:t>
            </w:r>
            <w:r>
              <w:rPr>
                <w:rFonts w:ascii="Calibri" w:hAnsi="Calibri"/>
                <w:b w:val="0"/>
                <w:i w:val="0"/>
                <w:color w:val="101828"/>
                <w:sz w:val="15"/>
              </w:rPr>
              <w:t xml:space="preserve"> *</w:t>
            </w:r>
          </w:p>
        </w:tc>
        <w:tc>
          <w:tcPr>
            <w:tcW w:type="dxa" w:w="2808"/>
            <w:tcMar>
              <w:top w:w="60" w:type="dxa"/>
              <w:start w:w="110" w:type="dxa"/>
              <w:bottom w:w="60" w:type="dxa"/>
              <w:end w:w="110" w:type="dxa"/>
            </w:tcMar>
          </w:tcPr>
          <w:p>
            <w:pPr>
              <w:spacing w:after="0"/>
            </w:pPr>
            <w:r/>
            <w:r>
              <w:rPr>
                <w:rFonts w:ascii="Calibri" w:hAnsi="Calibri"/>
                <w:b w:val="0"/>
                <w:i w:val="0"/>
                <w:color w:val="101828"/>
                <w:sz w:val="15"/>
              </w:rPr>
              <w:t>The retried-request ledger. Stores the request hash and the response so a replay returns the original answer rather than a new one.</w:t>
            </w:r>
          </w:p>
        </w:tc>
        <w:tc>
          <w:tcPr>
            <w:tcW w:type="dxa" w:w="2664"/>
            <w:tcMar>
              <w:top w:w="60" w:type="dxa"/>
              <w:start w:w="110" w:type="dxa"/>
              <w:bottom w:w="60" w:type="dxa"/>
              <w:end w:w="110" w:type="dxa"/>
            </w:tcMar>
          </w:tcPr>
          <w:p>
            <w:pPr>
              <w:spacing w:after="0"/>
            </w:pPr>
            <w:r/>
            <w:r>
              <w:rPr>
                <w:rFonts w:ascii="Consolas" w:hAnsi="Consolas"/>
                <w:color w:val="146EF5"/>
                <w:sz w:val="15"/>
              </w:rPr>
              <w:t>key</w:t>
            </w:r>
            <w:r>
              <w:rPr>
                <w:rFonts w:ascii="Calibri" w:hAnsi="Calibri"/>
                <w:b w:val="0"/>
                <w:i w:val="0"/>
                <w:color w:val="101828"/>
                <w:sz w:val="15"/>
              </w:rPr>
              <w:t xml:space="preserve"> (PK), </w:t>
            </w:r>
            <w:r>
              <w:rPr>
                <w:rFonts w:ascii="Consolas" w:hAnsi="Consolas"/>
                <w:color w:val="146EF5"/>
                <w:sz w:val="15"/>
              </w:rPr>
              <w:t>user_id</w:t>
            </w:r>
            <w:r>
              <w:rPr>
                <w:rFonts w:ascii="Calibri" w:hAnsi="Calibri"/>
                <w:b w:val="0"/>
                <w:i w:val="0"/>
                <w:color w:val="101828"/>
                <w:sz w:val="15"/>
              </w:rPr>
              <w:t xml:space="preserve">, </w:t>
            </w:r>
            <w:r>
              <w:rPr>
                <w:rFonts w:ascii="Consolas" w:hAnsi="Consolas"/>
                <w:color w:val="146EF5"/>
                <w:sz w:val="15"/>
              </w:rPr>
              <w:t>route</w:t>
            </w:r>
            <w:r>
              <w:rPr>
                <w:rFonts w:ascii="Calibri" w:hAnsi="Calibri"/>
                <w:b w:val="0"/>
                <w:i w:val="0"/>
                <w:color w:val="101828"/>
                <w:sz w:val="15"/>
              </w:rPr>
              <w:t xml:space="preserve">, </w:t>
            </w:r>
            <w:r>
              <w:rPr>
                <w:rFonts w:ascii="Consolas" w:hAnsi="Consolas"/>
                <w:color w:val="146EF5"/>
                <w:sz w:val="15"/>
              </w:rPr>
              <w:t>request_hash</w:t>
            </w:r>
            <w:r>
              <w:rPr>
                <w:rFonts w:ascii="Calibri" w:hAnsi="Calibri"/>
                <w:b w:val="0"/>
                <w:i w:val="0"/>
                <w:color w:val="101828"/>
                <w:sz w:val="15"/>
              </w:rPr>
              <w:t xml:space="preserve">, </w:t>
            </w:r>
            <w:r>
              <w:rPr>
                <w:rFonts w:ascii="Consolas" w:hAnsi="Consolas"/>
                <w:color w:val="146EF5"/>
                <w:sz w:val="15"/>
              </w:rPr>
              <w:t>state</w:t>
            </w:r>
            <w:r>
              <w:rPr>
                <w:rFonts w:ascii="Calibri" w:hAnsi="Calibri"/>
                <w:b w:val="0"/>
                <w:i w:val="0"/>
                <w:color w:val="101828"/>
                <w:sz w:val="15"/>
              </w:rPr>
              <w:t xml:space="preserve"> (in_progress, completed, failed), </w:t>
            </w:r>
            <w:r>
              <w:rPr>
                <w:rFonts w:ascii="Consolas" w:hAnsi="Consolas"/>
                <w:color w:val="146EF5"/>
                <w:sz w:val="15"/>
              </w:rPr>
              <w:t>response_status</w:t>
            </w:r>
            <w:r>
              <w:rPr>
                <w:rFonts w:ascii="Calibri" w:hAnsi="Calibri"/>
                <w:b w:val="0"/>
                <w:i w:val="0"/>
                <w:color w:val="101828"/>
                <w:sz w:val="15"/>
              </w:rPr>
              <w:t xml:space="preserve">, </w:t>
            </w:r>
            <w:r>
              <w:rPr>
                <w:rFonts w:ascii="Consolas" w:hAnsi="Consolas"/>
                <w:color w:val="146EF5"/>
                <w:sz w:val="15"/>
              </w:rPr>
              <w:t>response_body</w:t>
            </w:r>
            <w:r>
              <w:rPr>
                <w:rFonts w:ascii="Calibri" w:hAnsi="Calibri"/>
                <w:b w:val="0"/>
                <w:i w:val="0"/>
                <w:color w:val="101828"/>
                <w:sz w:val="15"/>
              </w:rPr>
              <w:t xml:space="preserve">, </w:t>
            </w:r>
            <w:r>
              <w:rPr>
                <w:rFonts w:ascii="Consolas" w:hAnsi="Consolas"/>
                <w:color w:val="146EF5"/>
                <w:sz w:val="15"/>
              </w:rPr>
              <w:t>resource_type</w:t>
            </w:r>
            <w:r>
              <w:rPr>
                <w:rFonts w:ascii="Calibri" w:hAnsi="Calibri"/>
                <w:b w:val="0"/>
                <w:i w:val="0"/>
                <w:color w:val="101828"/>
                <w:sz w:val="15"/>
              </w:rPr>
              <w:t xml:space="preserve">, </w:t>
            </w:r>
            <w:r>
              <w:rPr>
                <w:rFonts w:ascii="Consolas" w:hAnsi="Consolas"/>
                <w:color w:val="146EF5"/>
                <w:sz w:val="15"/>
              </w:rPr>
              <w:t>resource_id</w:t>
            </w:r>
            <w:r>
              <w:rPr>
                <w:rFonts w:ascii="Calibri" w:hAnsi="Calibri"/>
                <w:b w:val="0"/>
                <w:i w:val="0"/>
                <w:color w:val="101828"/>
                <w:sz w:val="15"/>
              </w:rPr>
              <w:t xml:space="preserve">, </w:t>
            </w:r>
            <w:r>
              <w:rPr>
                <w:rFonts w:ascii="Consolas" w:hAnsi="Consolas"/>
                <w:color w:val="146EF5"/>
                <w:sz w:val="15"/>
              </w:rPr>
              <w:t>expires_at</w:t>
            </w:r>
          </w:p>
        </w:tc>
        <w:tc>
          <w:tcPr>
            <w:tcW w:type="dxa" w:w="2232"/>
            <w:tcMar>
              <w:top w:w="60" w:type="dxa"/>
              <w:start w:w="110" w:type="dxa"/>
              <w:bottom w:w="60" w:type="dxa"/>
              <w:end w:w="110" w:type="dxa"/>
            </w:tcMar>
          </w:tcPr>
          <w:p>
            <w:pPr>
              <w:spacing w:after="0"/>
            </w:pPr>
            <w:r/>
            <w:r>
              <w:rPr>
                <w:rFonts w:ascii="Calibri" w:hAnsi="Calibri"/>
                <w:b w:val="0"/>
                <w:i w:val="0"/>
                <w:color w:val="101828"/>
                <w:sz w:val="15"/>
              </w:rPr>
              <w:t>N:1 users; 0:1 ledger_transactions</w:t>
            </w:r>
          </w:p>
        </w:tc>
      </w:tr>
      <w:tr>
        <w:trPr>
          <w:cantSplit/>
        </w:trPr>
        <w:tc>
          <w:tcPr>
            <w:tcW w:type="dxa" w:w="1656"/>
            <w:tcMar>
              <w:top w:w="60" w:type="dxa"/>
              <w:start w:w="110" w:type="dxa"/>
              <w:bottom w:w="60" w:type="dxa"/>
              <w:end w:w="110" w:type="dxa"/>
            </w:tcMar>
            <w:shd w:val="clear" w:color="auto" w:fill="F4F7FB"/>
          </w:tcPr>
          <w:p>
            <w:pPr>
              <w:spacing w:after="0"/>
            </w:pPr>
            <w:r/>
            <w:r>
              <w:rPr>
                <w:rFonts w:ascii="Consolas" w:hAnsi="Consolas"/>
                <w:color w:val="146EF5"/>
                <w:sz w:val="15"/>
              </w:rPr>
              <w:t>webhook_events</w:t>
            </w:r>
            <w:r>
              <w:rPr>
                <w:rFonts w:ascii="Calibri" w:hAnsi="Calibri"/>
                <w:b w:val="0"/>
                <w:i w:val="0"/>
                <w:color w:val="101828"/>
                <w:sz w:val="15"/>
              </w:rPr>
              <w:t xml:space="preserve"> *</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5"/>
              </w:rPr>
              <w:t>Inbound provider callbacks, deduplicated on the provider's own event id. Written before processing, so a crash between receive and process is recoverable.</w:t>
            </w:r>
          </w:p>
        </w:tc>
        <w:tc>
          <w:tcPr>
            <w:tcW w:type="dxa" w:w="2664"/>
            <w:tcMar>
              <w:top w:w="60" w:type="dxa"/>
              <w:start w:w="110" w:type="dxa"/>
              <w:bottom w:w="60" w:type="dxa"/>
              <w:end w:w="110" w:type="dxa"/>
            </w:tcMar>
            <w:shd w:val="clear" w:color="auto" w:fill="F4F7FB"/>
          </w:tcPr>
          <w:p>
            <w:pPr>
              <w:spacing w:after="0"/>
            </w:pPr>
            <w:r/>
            <w:r>
              <w:rPr>
                <w:rFonts w:ascii="Consolas" w:hAnsi="Consolas"/>
                <w:color w:val="146EF5"/>
                <w:sz w:val="15"/>
              </w:rPr>
              <w:t>provider</w:t>
            </w:r>
            <w:r>
              <w:rPr>
                <w:rFonts w:ascii="Calibri" w:hAnsi="Calibri"/>
                <w:b w:val="0"/>
                <w:i w:val="0"/>
                <w:color w:val="101828"/>
                <w:sz w:val="15"/>
              </w:rPr>
              <w:t xml:space="preserve">, </w:t>
            </w:r>
            <w:r>
              <w:rPr>
                <w:rFonts w:ascii="Consolas" w:hAnsi="Consolas"/>
                <w:color w:val="146EF5"/>
                <w:sz w:val="15"/>
              </w:rPr>
              <w:t>provider_event_id</w:t>
            </w:r>
            <w:r>
              <w:rPr>
                <w:rFonts w:ascii="Calibri" w:hAnsi="Calibri"/>
                <w:b w:val="0"/>
                <w:i w:val="0"/>
                <w:color w:val="101828"/>
                <w:sz w:val="15"/>
              </w:rPr>
              <w:t xml:space="preserve"> (UNIQUE with provider), </w:t>
            </w:r>
            <w:r>
              <w:rPr>
                <w:rFonts w:ascii="Consolas" w:hAnsi="Consolas"/>
                <w:color w:val="146EF5"/>
                <w:sz w:val="15"/>
              </w:rPr>
              <w:t>event_type</w:t>
            </w:r>
            <w:r>
              <w:rPr>
                <w:rFonts w:ascii="Calibri" w:hAnsi="Calibri"/>
                <w:b w:val="0"/>
                <w:i w:val="0"/>
                <w:color w:val="101828"/>
                <w:sz w:val="15"/>
              </w:rPr>
              <w:t xml:space="preserve">, </w:t>
            </w:r>
            <w:r>
              <w:rPr>
                <w:rFonts w:ascii="Consolas" w:hAnsi="Consolas"/>
                <w:color w:val="146EF5"/>
                <w:sz w:val="15"/>
              </w:rPr>
              <w:t>signature_verified</w:t>
            </w:r>
            <w:r>
              <w:rPr>
                <w:rFonts w:ascii="Calibri" w:hAnsi="Calibri"/>
                <w:b w:val="0"/>
                <w:i w:val="0"/>
                <w:color w:val="101828"/>
                <w:sz w:val="15"/>
              </w:rPr>
              <w:t xml:space="preserve">, </w:t>
            </w:r>
            <w:r>
              <w:rPr>
                <w:rFonts w:ascii="Consolas" w:hAnsi="Consolas"/>
                <w:color w:val="146EF5"/>
                <w:sz w:val="15"/>
              </w:rPr>
              <w:t>raw_payload</w:t>
            </w:r>
            <w:r>
              <w:rPr>
                <w:rFonts w:ascii="Calibri" w:hAnsi="Calibri"/>
                <w:b w:val="0"/>
                <w:i w:val="0"/>
                <w:color w:val="101828"/>
                <w:sz w:val="15"/>
              </w:rPr>
              <w:t xml:space="preserve">, </w:t>
            </w:r>
            <w:r>
              <w:rPr>
                <w:rFonts w:ascii="Consolas" w:hAnsi="Consolas"/>
                <w:color w:val="146EF5"/>
                <w:sz w:val="15"/>
              </w:rPr>
              <w:t>status</w:t>
            </w:r>
            <w:r>
              <w:rPr>
                <w:rFonts w:ascii="Calibri" w:hAnsi="Calibri"/>
                <w:b w:val="0"/>
                <w:i w:val="0"/>
                <w:color w:val="101828"/>
                <w:sz w:val="15"/>
              </w:rPr>
              <w:t xml:space="preserve">, </w:t>
            </w:r>
            <w:r>
              <w:rPr>
                <w:rFonts w:ascii="Consolas" w:hAnsi="Consolas"/>
                <w:color w:val="146EF5"/>
                <w:sz w:val="15"/>
              </w:rPr>
              <w:t>attempts</w:t>
            </w:r>
            <w:r>
              <w:rPr>
                <w:rFonts w:ascii="Calibri" w:hAnsi="Calibri"/>
                <w:b w:val="0"/>
                <w:i w:val="0"/>
                <w:color w:val="101828"/>
                <w:sz w:val="15"/>
              </w:rPr>
              <w:t xml:space="preserve">, </w:t>
            </w:r>
            <w:r>
              <w:rPr>
                <w:rFonts w:ascii="Consolas" w:hAnsi="Consolas"/>
                <w:color w:val="146EF5"/>
                <w:sz w:val="15"/>
              </w:rPr>
              <w:t>next_retry_at</w:t>
            </w:r>
          </w:p>
        </w:tc>
        <w:tc>
          <w:tcPr>
            <w:tcW w:type="dxa" w:w="2232"/>
            <w:tcMar>
              <w:top w:w="60" w:type="dxa"/>
              <w:start w:w="110" w:type="dxa"/>
              <w:bottom w:w="60" w:type="dxa"/>
              <w:end w:w="110" w:type="dxa"/>
            </w:tcMar>
            <w:shd w:val="clear" w:color="auto" w:fill="F4F7FB"/>
          </w:tcPr>
          <w:p>
            <w:pPr>
              <w:spacing w:after="0"/>
            </w:pPr>
            <w:r/>
            <w:r>
              <w:rPr>
                <w:rFonts w:ascii="Calibri" w:hAnsi="Calibri"/>
                <w:b w:val="0"/>
                <w:i w:val="0"/>
                <w:color w:val="101828"/>
                <w:sz w:val="15"/>
              </w:rPr>
              <w:t>0:1 payments; N:1 ajos (for pinoout routing)</w:t>
            </w:r>
          </w:p>
        </w:tc>
      </w:tr>
      <w:tr>
        <w:trPr>
          <w:cantSplit/>
        </w:trPr>
        <w:tc>
          <w:tcPr>
            <w:tcW w:type="dxa" w:w="1656"/>
            <w:tcMar>
              <w:top w:w="60" w:type="dxa"/>
              <w:start w:w="110" w:type="dxa"/>
              <w:bottom w:w="60" w:type="dxa"/>
              <w:end w:w="110" w:type="dxa"/>
            </w:tcMar>
          </w:tcPr>
          <w:p>
            <w:pPr>
              <w:spacing w:after="0"/>
            </w:pPr>
            <w:r/>
            <w:r>
              <w:rPr>
                <w:rFonts w:ascii="Consolas" w:hAnsi="Consolas"/>
                <w:color w:val="146EF5"/>
                <w:sz w:val="15"/>
              </w:rPr>
              <w:t>reconciliation_runs</w:t>
            </w:r>
            <w:r>
              <w:rPr>
                <w:rFonts w:ascii="Calibri" w:hAnsi="Calibri"/>
                <w:b w:val="0"/>
                <w:i w:val="0"/>
                <w:color w:val="101828"/>
                <w:sz w:val="15"/>
              </w:rPr>
              <w:t xml:space="preserve"> *</w:t>
            </w:r>
          </w:p>
        </w:tc>
        <w:tc>
          <w:tcPr>
            <w:tcW w:type="dxa" w:w="2808"/>
            <w:tcMar>
              <w:top w:w="60" w:type="dxa"/>
              <w:start w:w="110" w:type="dxa"/>
              <w:bottom w:w="60" w:type="dxa"/>
              <w:end w:w="110" w:type="dxa"/>
            </w:tcMar>
          </w:tcPr>
          <w:p>
            <w:pPr>
              <w:spacing w:after="0"/>
            </w:pPr>
            <w:r/>
            <w:r>
              <w:rPr>
                <w:rFonts w:ascii="Calibri" w:hAnsi="Calibri"/>
                <w:b w:val="0"/>
                <w:i w:val="0"/>
                <w:color w:val="101828"/>
                <w:sz w:val="15"/>
              </w:rPr>
              <w:t>A proof, over a time window, that the internal ledger agrees with the provider and with round expectations. The artefact a regulator or an auditor asks for.</w:t>
            </w:r>
          </w:p>
        </w:tc>
        <w:tc>
          <w:tcPr>
            <w:tcW w:type="dxa" w:w="2664"/>
            <w:tcMar>
              <w:top w:w="60" w:type="dxa"/>
              <w:start w:w="110" w:type="dxa"/>
              <w:bottom w:w="60" w:type="dxa"/>
              <w:end w:w="110" w:type="dxa"/>
            </w:tcMar>
          </w:tcPr>
          <w:p>
            <w:pPr>
              <w:spacing w:after="0"/>
            </w:pPr>
            <w:r/>
            <w:r>
              <w:rPr>
                <w:rFonts w:ascii="Consolas" w:hAnsi="Consolas"/>
                <w:color w:val="146EF5"/>
                <w:sz w:val="15"/>
              </w:rPr>
              <w:t>run_type</w:t>
            </w:r>
            <w:r>
              <w:rPr>
                <w:rFonts w:ascii="Calibri" w:hAnsi="Calibri"/>
                <w:b w:val="0"/>
                <w:i w:val="0"/>
                <w:color w:val="101828"/>
                <w:sz w:val="15"/>
              </w:rPr>
              <w:t xml:space="preserve">, </w:t>
            </w:r>
            <w:r>
              <w:rPr>
                <w:rFonts w:ascii="Consolas" w:hAnsi="Consolas"/>
                <w:color w:val="146EF5"/>
                <w:sz w:val="15"/>
              </w:rPr>
              <w:t>window_start</w:t>
            </w:r>
            <w:r>
              <w:rPr>
                <w:rFonts w:ascii="Calibri" w:hAnsi="Calibri"/>
                <w:b w:val="0"/>
                <w:i w:val="0"/>
                <w:color w:val="101828"/>
                <w:sz w:val="15"/>
              </w:rPr>
              <w:t xml:space="preserve">, </w:t>
            </w:r>
            <w:r>
              <w:rPr>
                <w:rFonts w:ascii="Consolas" w:hAnsi="Consolas"/>
                <w:color w:val="146EF5"/>
                <w:sz w:val="15"/>
              </w:rPr>
              <w:t>window_end</w:t>
            </w:r>
            <w:r>
              <w:rPr>
                <w:rFonts w:ascii="Calibri" w:hAnsi="Calibri"/>
                <w:b w:val="0"/>
                <w:i w:val="0"/>
                <w:color w:val="101828"/>
                <w:sz w:val="15"/>
              </w:rPr>
              <w:t xml:space="preserve">, </w:t>
            </w:r>
            <w:r>
              <w:rPr>
                <w:rFonts w:ascii="Consolas" w:hAnsi="Consolas"/>
                <w:color w:val="146EF5"/>
                <w:sz w:val="15"/>
              </w:rPr>
              <w:t>status</w:t>
            </w:r>
            <w:r>
              <w:rPr>
                <w:rFonts w:ascii="Calibri" w:hAnsi="Calibri"/>
                <w:b w:val="0"/>
                <w:i w:val="0"/>
                <w:color w:val="101828"/>
                <w:sz w:val="15"/>
              </w:rPr>
              <w:t xml:space="preserve">, </w:t>
            </w:r>
            <w:r>
              <w:rPr>
                <w:rFonts w:ascii="Consolas" w:hAnsi="Consolas"/>
                <w:color w:val="146EF5"/>
                <w:sz w:val="15"/>
              </w:rPr>
              <w:t>expected_kobo</w:t>
            </w:r>
            <w:r>
              <w:rPr>
                <w:rFonts w:ascii="Calibri" w:hAnsi="Calibri"/>
                <w:b w:val="0"/>
                <w:i w:val="0"/>
                <w:color w:val="101828"/>
                <w:sz w:val="15"/>
              </w:rPr>
              <w:t xml:space="preserve">, </w:t>
            </w:r>
            <w:r>
              <w:rPr>
                <w:rFonts w:ascii="Consolas" w:hAnsi="Consolas"/>
                <w:color w:val="146EF5"/>
                <w:sz w:val="15"/>
              </w:rPr>
              <w:t>actual_kobo</w:t>
            </w:r>
            <w:r>
              <w:rPr>
                <w:rFonts w:ascii="Calibri" w:hAnsi="Calibri"/>
                <w:b w:val="0"/>
                <w:i w:val="0"/>
                <w:color w:val="101828"/>
                <w:sz w:val="15"/>
              </w:rPr>
              <w:t xml:space="preserve">, </w:t>
            </w:r>
            <w:r>
              <w:rPr>
                <w:rFonts w:ascii="Consolas" w:hAnsi="Consolas"/>
                <w:color w:val="146EF5"/>
                <w:sz w:val="15"/>
              </w:rPr>
              <w:t>variance_kobo</w:t>
            </w:r>
            <w:r>
              <w:rPr>
                <w:rFonts w:ascii="Calibri" w:hAnsi="Calibri"/>
                <w:b w:val="0"/>
                <w:i w:val="0"/>
                <w:color w:val="101828"/>
                <w:sz w:val="15"/>
              </w:rPr>
              <w:t xml:space="preserve">, </w:t>
            </w:r>
            <w:r>
              <w:rPr>
                <w:rFonts w:ascii="Consolas" w:hAnsi="Consolas"/>
                <w:color w:val="146EF5"/>
                <w:sz w:val="15"/>
              </w:rPr>
              <w:t>findings</w:t>
            </w:r>
            <w:r>
              <w:rPr>
                <w:rFonts w:ascii="Calibri" w:hAnsi="Calibri"/>
                <w:b w:val="0"/>
                <w:i w:val="0"/>
                <w:color w:val="101828"/>
                <w:sz w:val="15"/>
              </w:rPr>
              <w:t xml:space="preserve"> (jsonb), </w:t>
            </w:r>
            <w:r>
              <w:rPr>
                <w:rFonts w:ascii="Consolas" w:hAnsi="Consolas"/>
                <w:color w:val="146EF5"/>
                <w:sz w:val="15"/>
              </w:rPr>
              <w:t>started_at</w:t>
            </w:r>
            <w:r>
              <w:rPr>
                <w:rFonts w:ascii="Calibri" w:hAnsi="Calibri"/>
                <w:b w:val="0"/>
                <w:i w:val="0"/>
                <w:color w:val="101828"/>
                <w:sz w:val="15"/>
              </w:rPr>
              <w:t xml:space="preserve">, </w:t>
            </w:r>
            <w:r>
              <w:rPr>
                <w:rFonts w:ascii="Consolas" w:hAnsi="Consolas"/>
                <w:color w:val="146EF5"/>
                <w:sz w:val="15"/>
              </w:rPr>
              <w:t>finished_at</w:t>
            </w:r>
          </w:p>
        </w:tc>
        <w:tc>
          <w:tcPr>
            <w:tcW w:type="dxa" w:w="2232"/>
            <w:tcMar>
              <w:top w:w="60" w:type="dxa"/>
              <w:start w:w="110" w:type="dxa"/>
              <w:bottom w:w="60" w:type="dxa"/>
              <w:end w:w="110" w:type="dxa"/>
            </w:tcMar>
          </w:tcPr>
          <w:p>
            <w:pPr>
              <w:spacing w:after="0"/>
            </w:pPr>
            <w:r/>
            <w:r>
              <w:rPr>
                <w:rFonts w:ascii="Calibri" w:hAnsi="Calibri"/>
                <w:b w:val="0"/>
                <w:i w:val="0"/>
                <w:color w:val="101828"/>
                <w:sz w:val="15"/>
              </w:rPr>
              <w:t>References a time window, not an entity, so it survives every table it checks</w:t>
            </w:r>
          </w:p>
        </w:tc>
      </w:tr>
    </w:tbl>
    <w:p>
      <w:pPr>
        <w:spacing w:after="80"/>
      </w:pP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Relationship</w:t>
            </w:r>
          </w:p>
        </w:tc>
        <w:tc>
          <w:tcPr>
            <w:tcW w:type="dxa" w:w="893"/>
            <w:shd w:val="clear" w:color="auto" w:fill="0B1F3A"/>
            <w:tcMar>
              <w:top w:w="60" w:type="dxa"/>
              <w:start w:w="110" w:type="dxa"/>
              <w:bottom w:w="60" w:type="dxa"/>
              <w:end w:w="110" w:type="dxa"/>
            </w:tcMar>
          </w:tcPr>
          <w:p>
            <w:pPr>
              <w:spacing w:after="0"/>
            </w:pPr>
            <w:r/>
            <w:r>
              <w:rPr>
                <w:rFonts w:ascii="Calibri" w:hAnsi="Calibri"/>
                <w:b/>
                <w:i w:val="0"/>
                <w:color w:val="FFFFFF"/>
                <w:sz w:val="14"/>
              </w:rPr>
              <w:t>Type</w:t>
            </w:r>
          </w:p>
        </w:tc>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4"/>
              </w:rPr>
              <w:t>Card.</w:t>
            </w:r>
          </w:p>
        </w:tc>
        <w:tc>
          <w:tcPr>
            <w:tcW w:type="dxa" w:w="1224"/>
            <w:shd w:val="clear" w:color="auto" w:fill="0B1F3A"/>
            <w:tcMar>
              <w:top w:w="60" w:type="dxa"/>
              <w:start w:w="110" w:type="dxa"/>
              <w:bottom w:w="60" w:type="dxa"/>
              <w:end w:w="110" w:type="dxa"/>
            </w:tcMar>
          </w:tcPr>
          <w:p>
            <w:pPr>
              <w:spacing w:after="0"/>
            </w:pPr>
            <w:r/>
            <w:r>
              <w:rPr>
                <w:rFonts w:ascii="Calibri" w:hAnsi="Calibri"/>
                <w:b/>
                <w:i w:val="0"/>
                <w:color w:val="FFFFFF"/>
                <w:sz w:val="14"/>
              </w:rPr>
              <w:t>FK</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4"/>
              </w:rPr>
              <w:t>Rule</w:t>
            </w:r>
          </w:p>
        </w:tc>
        <w:tc>
          <w:tcPr>
            <w:tcW w:type="dxa" w:w="2419"/>
            <w:shd w:val="clear" w:color="auto" w:fill="0B1F3A"/>
            <w:tcMar>
              <w:top w:w="60" w:type="dxa"/>
              <w:start w:w="110" w:type="dxa"/>
              <w:bottom w:w="60" w:type="dxa"/>
              <w:end w:w="110" w:type="dxa"/>
            </w:tcMar>
          </w:tcPr>
          <w:p>
            <w:pPr>
              <w:spacing w:after="0"/>
            </w:pPr>
            <w:r/>
            <w:r>
              <w:rPr>
                <w:rFonts w:ascii="Calibri" w:hAnsi="Calibri"/>
                <w:b/>
                <w:i w:val="0"/>
                <w:color w:val="FFFFFF"/>
                <w:sz w:val="14"/>
              </w:rPr>
              <w:t>Cascade behaviour</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contribution_schedules -&gt; contributions</w:t>
            </w:r>
          </w:p>
        </w:tc>
        <w:tc>
          <w:tcPr>
            <w:tcW w:type="dxa" w:w="893"/>
            <w:tcMar>
              <w:top w:w="60" w:type="dxa"/>
              <w:start w:w="110" w:type="dxa"/>
              <w:bottom w:w="60" w:type="dxa"/>
              <w:end w:w="110" w:type="dxa"/>
            </w:tcMar>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tcPr>
          <w:p>
            <w:pPr>
              <w:spacing w:after="0"/>
            </w:pPr>
            <w:r/>
            <w:r>
              <w:rPr>
                <w:rFonts w:ascii="Consolas" w:hAnsi="Consolas"/>
                <w:color w:val="146EF5"/>
                <w:sz w:val="14"/>
              </w:rPr>
              <w:t>contributions.schedule_id</w:t>
            </w:r>
          </w:p>
        </w:tc>
        <w:tc>
          <w:tcPr>
            <w:tcW w:type="dxa" w:w="2448"/>
            <w:tcMar>
              <w:top w:w="60" w:type="dxa"/>
              <w:start w:w="110" w:type="dxa"/>
              <w:bottom w:w="60" w:type="dxa"/>
              <w:end w:w="110" w:type="dxa"/>
            </w:tcMar>
          </w:tcPr>
          <w:p>
            <w:pPr>
              <w:spacing w:after="0"/>
            </w:pPr>
            <w:r/>
            <w:r>
              <w:rPr>
                <w:rFonts w:ascii="Consolas" w:hAnsi="Consolas"/>
                <w:color w:val="146EF5"/>
                <w:sz w:val="14"/>
              </w:rPr>
              <w:t>UNIQUE (schedule_id, member_id)</w:t>
            </w:r>
            <w:r>
              <w:rPr>
                <w:rFonts w:ascii="Calibri" w:hAnsi="Calibri"/>
                <w:b w:val="0"/>
                <w:i w:val="0"/>
                <w:color w:val="101828"/>
                <w:sz w:val="14"/>
              </w:rPr>
              <w:t>: exactly one obligation per member per schedule. Plus a partial unique on (</w:t>
            </w:r>
            <w:r>
              <w:rPr>
                <w:rFonts w:ascii="Consolas" w:hAnsi="Consolas"/>
                <w:color w:val="146EF5"/>
                <w:sz w:val="14"/>
              </w:rPr>
              <w:t>schedule_id</w:t>
            </w:r>
            <w:r>
              <w:rPr>
                <w:rFonts w:ascii="Calibri" w:hAnsi="Calibri"/>
                <w:b w:val="0"/>
                <w:i w:val="0"/>
                <w:color w:val="101828"/>
                <w:sz w:val="14"/>
              </w:rPr>
              <w:t xml:space="preserve">, </w:t>
            </w:r>
            <w:r>
              <w:rPr>
                <w:rFonts w:ascii="Consolas" w:hAnsi="Consolas"/>
                <w:color w:val="146EF5"/>
                <w:sz w:val="14"/>
              </w:rPr>
              <w:t>position_id</w:t>
            </w:r>
            <w:r>
              <w:rPr>
                <w:rFonts w:ascii="Calibri" w:hAnsi="Calibri"/>
                <w:b w:val="0"/>
                <w:i w:val="0"/>
                <w:color w:val="101828"/>
                <w:sz w:val="14"/>
              </w:rPr>
              <w:t xml:space="preserve">) WHERE </w:t>
            </w:r>
            <w:r>
              <w:rPr>
                <w:rFonts w:ascii="Consolas" w:hAnsi="Consolas"/>
                <w:color w:val="146EF5"/>
                <w:sz w:val="14"/>
              </w:rPr>
              <w:t>superseded_at IS NULL</w:t>
            </w:r>
            <w:r>
              <w:rPr>
                <w:rFonts w:ascii="Calibri" w:hAnsi="Calibri"/>
                <w:b w:val="0"/>
                <w:i w:val="0"/>
                <w:color w:val="101828"/>
                <w:sz w:val="14"/>
              </w:rPr>
              <w:t xml:space="preserve">, so exactly one </w:t>
            </w:r>
            <w:r>
              <w:rPr>
                <w:rFonts w:ascii="Calibri" w:hAnsi="Calibri"/>
                <w:i/>
                <w:color w:val="101828"/>
                <w:sz w:val="14"/>
              </w:rPr>
              <w:t>live</w:t>
            </w:r>
            <w:r>
              <w:rPr>
                <w:rFonts w:ascii="Calibri" w:hAnsi="Calibri"/>
                <w:b w:val="0"/>
                <w:i w:val="0"/>
                <w:color w:val="101828"/>
                <w:sz w:val="14"/>
              </w:rPr>
              <w:t xml:space="preserve"> obligation per position slot survives a replacement.</w:t>
            </w:r>
          </w:p>
        </w:tc>
        <w:tc>
          <w:tcPr>
            <w:tcW w:type="dxa" w:w="2419"/>
            <w:tcMar>
              <w:top w:w="60" w:type="dxa"/>
              <w:start w:w="110" w:type="dxa"/>
              <w:bottom w:w="60" w:type="dxa"/>
              <w:end w:w="110" w:type="dxa"/>
            </w:tcMar>
          </w:tcPr>
          <w:p>
            <w:pPr>
              <w:spacing w:after="0"/>
            </w:pPr>
            <w:r/>
            <w:r>
              <w:rPr>
                <w:rFonts w:ascii="Calibri" w:hAnsi="Calibri"/>
                <w:b w:val="0"/>
                <w:i w:val="0"/>
                <w:color w:val="101828"/>
                <w:sz w:val="14"/>
              </w:rPr>
              <w:t>RESTRICT. A contribution is a debt record. Schedules are never deleted with contributions attached.</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ajo_members -&gt; contributions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contributions.member_id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member owes in every round for as long as they are </w:t>
            </w:r>
            <w:r>
              <w:rPr>
                <w:rFonts w:ascii="Consolas" w:hAnsi="Consolas"/>
                <w:color w:val="146EF5"/>
                <w:sz w:val="14"/>
              </w:rPr>
              <w:t>active</w:t>
            </w:r>
            <w:r>
              <w:rPr>
                <w:rFonts w:ascii="Calibri" w:hAnsi="Calibri"/>
                <w:b w:val="0"/>
                <w:i w:val="0"/>
                <w:color w:val="101828"/>
                <w:sz w:val="14"/>
              </w:rPr>
              <w:t xml:space="preserve">. Removing a member sets </w:t>
            </w:r>
            <w:r>
              <w:rPr>
                <w:rFonts w:ascii="Consolas" w:hAnsi="Consolas"/>
                <w:color w:val="146EF5"/>
                <w:sz w:val="14"/>
              </w:rPr>
              <w:t>status='removed'</w:t>
            </w:r>
            <w:r>
              <w:rPr>
                <w:rFonts w:ascii="Calibri" w:hAnsi="Calibri"/>
                <w:b w:val="0"/>
                <w:i w:val="0"/>
                <w:color w:val="101828"/>
                <w:sz w:val="14"/>
              </w:rPr>
              <w:t xml:space="preserve"> and stops future schedules; existing obligations remain and are still collectable.</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RESTRICT. A member who has ever owed money is never cascade-deleted from a contribution.</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ajos -&gt; contributions</w:t>
            </w:r>
          </w:p>
        </w:tc>
        <w:tc>
          <w:tcPr>
            <w:tcW w:type="dxa" w:w="893"/>
            <w:tcMar>
              <w:top w:w="60" w:type="dxa"/>
              <w:start w:w="110" w:type="dxa"/>
              <w:bottom w:w="60" w:type="dxa"/>
              <w:end w:w="110" w:type="dxa"/>
            </w:tcMar>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tcPr>
          <w:p>
            <w:pPr>
              <w:spacing w:after="0"/>
            </w:pPr>
            <w:r/>
            <w:r>
              <w:rPr>
                <w:rFonts w:ascii="Consolas" w:hAnsi="Consolas"/>
                <w:color w:val="146EF5"/>
                <w:sz w:val="14"/>
              </w:rPr>
              <w:t>contributions.ajo_id</w:t>
            </w:r>
          </w:p>
        </w:tc>
        <w:tc>
          <w:tcPr>
            <w:tcW w:type="dxa" w:w="2448"/>
            <w:tcMar>
              <w:top w:w="60" w:type="dxa"/>
              <w:start w:w="110" w:type="dxa"/>
              <w:bottom w:w="60" w:type="dxa"/>
              <w:end w:w="110" w:type="dxa"/>
            </w:tcMar>
          </w:tcPr>
          <w:p>
            <w:pPr>
              <w:spacing w:after="0"/>
            </w:pPr>
            <w:r/>
            <w:r>
              <w:rPr>
                <w:rFonts w:ascii="Calibri" w:hAnsi="Calibri"/>
                <w:b w:val="0"/>
                <w:i w:val="0"/>
                <w:color w:val="101828"/>
                <w:sz w:val="14"/>
              </w:rPr>
              <w:t>Denormalised onto the contribution for the same reason as the schedule: the member's contribution list is the single hottest read in the product and it filters on one column.</w:t>
            </w:r>
          </w:p>
        </w:tc>
        <w:tc>
          <w:tcPr>
            <w:tcW w:type="dxa" w:w="2419"/>
            <w:tcMar>
              <w:top w:w="60" w:type="dxa"/>
              <w:start w:w="110" w:type="dxa"/>
              <w:bottom w:w="60" w:type="dxa"/>
              <w:end w:w="110" w:type="dxa"/>
            </w:tcMar>
          </w:tcPr>
          <w:p>
            <w:pPr>
              <w:spacing w:after="0"/>
            </w:pPr>
            <w:r/>
            <w:r>
              <w:rPr>
                <w:rFonts w:ascii="Calibri" w:hAnsi="Calibri"/>
                <w:b w:val="0"/>
                <w:i w:val="0"/>
                <w:color w:val="101828"/>
                <w:sz w:val="14"/>
              </w:rPr>
              <w:t>RESTRICT. Cancelled and completed Ajos keep their contributions forever, because a refund is a ledger event, not a deletion.</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contributions -&gt; payments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payments.contribution_id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Multiple attempts are rows, not edits. </w:t>
            </w:r>
            <w:r>
              <w:rPr>
                <w:rFonts w:ascii="Consolas" w:hAnsi="Consolas"/>
                <w:color w:val="146EF5"/>
                <w:sz w:val="14"/>
              </w:rPr>
              <w:t>UNIQUE (provider, provider_reference)</w:t>
            </w:r>
            <w:r>
              <w:rPr>
                <w:rFonts w:ascii="Calibri" w:hAnsi="Calibri"/>
                <w:b w:val="0"/>
                <w:i w:val="0"/>
                <w:color w:val="101828"/>
                <w:sz w:val="14"/>
              </w:rPr>
              <w:t xml:space="preserve"> for provider dedupe, and a partial unique permitting at most one </w:t>
            </w:r>
            <w:r>
              <w:rPr>
                <w:rFonts w:ascii="Consolas" w:hAnsi="Consolas"/>
                <w:color w:val="146EF5"/>
                <w:sz w:val="14"/>
              </w:rPr>
              <w:t>SUCCESS</w:t>
            </w:r>
            <w:r>
              <w:rPr>
                <w:rFonts w:ascii="Calibri" w:hAnsi="Calibri"/>
                <w:b w:val="0"/>
                <w:i w:val="0"/>
                <w:color w:val="101828"/>
                <w:sz w:val="14"/>
              </w:rPr>
              <w:t xml:space="preserve"> payment per contribution: </w:t>
            </w:r>
            <w:r>
              <w:rPr>
                <w:rFonts w:ascii="Consolas" w:hAnsi="Consolas"/>
                <w:color w:val="146EF5"/>
                <w:sz w:val="14"/>
              </w:rPr>
              <w:t>CREATE UNIQUE INDEX payments_one_success_per_contribution ON payments (contribution_id) WHERE status = 'success'</w:t>
            </w:r>
            <w:r>
              <w:rPr>
                <w:rFonts w:ascii="Calibri" w:hAnsi="Calibri"/>
                <w:b w:val="0"/>
                <w:i w:val="0"/>
                <w:color w:val="101828"/>
                <w:sz w:val="14"/>
              </w:rPr>
              <w:t>.</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RESTRICT. Never delete a payment to make room for a retry.</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payments -&gt; fees</w:t>
            </w:r>
          </w:p>
        </w:tc>
        <w:tc>
          <w:tcPr>
            <w:tcW w:type="dxa" w:w="893"/>
            <w:tcMar>
              <w:top w:w="60" w:type="dxa"/>
              <w:start w:w="110" w:type="dxa"/>
              <w:bottom w:w="60" w:type="dxa"/>
              <w:end w:w="110" w:type="dxa"/>
            </w:tcMar>
          </w:tcPr>
          <w:p>
            <w:pPr>
              <w:spacing w:after="0"/>
            </w:pPr>
            <w:r/>
            <w:r>
              <w:rPr>
                <w:rFonts w:ascii="Calibri" w:hAnsi="Calibri"/>
                <w:b w:val="0"/>
                <w:i w:val="0"/>
                <w:color w:val="101828"/>
                <w:sz w:val="14"/>
              </w:rPr>
              <w:t>1:1</w:t>
            </w:r>
          </w:p>
        </w:tc>
        <w:tc>
          <w:tcPr>
            <w:tcW w:type="dxa" w:w="720"/>
            <w:tcMar>
              <w:top w:w="60" w:type="dxa"/>
              <w:start w:w="110" w:type="dxa"/>
              <w:bottom w:w="60" w:type="dxa"/>
              <w:end w:w="110" w:type="dxa"/>
            </w:tcMar>
          </w:tcPr>
          <w:p>
            <w:pPr>
              <w:spacing w:after="0"/>
            </w:pPr>
            <w:r/>
            <w:r>
              <w:rPr>
                <w:rFonts w:ascii="Calibri" w:hAnsi="Calibri"/>
                <w:b w:val="0"/>
                <w:i w:val="0"/>
                <w:color w:val="101828"/>
                <w:sz w:val="14"/>
              </w:rPr>
              <w:t>1:1</w:t>
            </w:r>
          </w:p>
        </w:tc>
        <w:tc>
          <w:tcPr>
            <w:tcW w:type="dxa" w:w="1224"/>
            <w:tcMar>
              <w:top w:w="60" w:type="dxa"/>
              <w:start w:w="110" w:type="dxa"/>
              <w:bottom w:w="60" w:type="dxa"/>
              <w:end w:w="110" w:type="dxa"/>
            </w:tcMar>
          </w:tcPr>
          <w:p>
            <w:pPr>
              <w:spacing w:after="0"/>
            </w:pPr>
            <w:r/>
            <w:r>
              <w:rPr>
                <w:rFonts w:ascii="Consolas" w:hAnsi="Consolas"/>
                <w:color w:val="146EF5"/>
                <w:sz w:val="14"/>
              </w:rPr>
              <w:t>fees.payment_id</w:t>
            </w:r>
            <w:r>
              <w:rPr>
                <w:rFonts w:ascii="Calibri" w:hAnsi="Calibri"/>
                <w:b w:val="0"/>
                <w:i w:val="0"/>
                <w:color w:val="101828"/>
                <w:sz w:val="14"/>
              </w:rPr>
              <w:t xml:space="preserve"> UNIQUE</w:t>
            </w:r>
          </w:p>
        </w:tc>
        <w:tc>
          <w:tcPr>
            <w:tcW w:type="dxa" w:w="2448"/>
            <w:tcMar>
              <w:top w:w="60" w:type="dxa"/>
              <w:start w:w="110" w:type="dxa"/>
              <w:bottom w:w="60" w:type="dxa"/>
              <w:end w:w="110" w:type="dxa"/>
            </w:tcMar>
          </w:tcPr>
          <w:p>
            <w:pPr>
              <w:spacing w:after="0"/>
            </w:pPr>
            <w:r/>
            <w:r>
              <w:rPr>
                <w:rFonts w:ascii="Calibri" w:hAnsi="Calibri"/>
                <w:b w:val="0"/>
                <w:i w:val="0"/>
                <w:color w:val="101828"/>
                <w:sz w:val="14"/>
              </w:rPr>
              <w:t xml:space="preserve">Exactly one fee row per settled payment. A deferred trigger asserts </w:t>
            </w:r>
            <w:r>
              <w:rPr>
                <w:rFonts w:ascii="Consolas" w:hAnsi="Consolas"/>
                <w:color w:val="146EF5"/>
                <w:sz w:val="14"/>
              </w:rPr>
              <w:t>fees.fee_kobo = payments.fee_kobo</w:t>
            </w:r>
            <w:r>
              <w:rPr>
                <w:rFonts w:ascii="Calibri" w:hAnsi="Calibri"/>
                <w:b w:val="0"/>
                <w:i w:val="0"/>
                <w:color w:val="101828"/>
                <w:sz w:val="14"/>
              </w:rPr>
              <w:t xml:space="preserve"> and that the fee is exactly </w:t>
            </w:r>
            <w:r>
              <w:rPr>
                <w:rFonts w:ascii="Consolas" w:hAnsi="Consolas"/>
                <w:color w:val="146EF5"/>
                <w:sz w:val="14"/>
              </w:rPr>
              <w:t>(contribution_amount_kobo * 200 + 5000) / 10000</w:t>
            </w:r>
            <w:r>
              <w:rPr>
                <w:rFonts w:ascii="Calibri" w:hAnsi="Calibri"/>
                <w:b w:val="0"/>
                <w:i w:val="0"/>
                <w:color w:val="101828"/>
                <w:sz w:val="14"/>
              </w:rPr>
              <w:t>, half-up, in integer kobo. Both sides are generated columns, so the trigger is a backstop rather than the primary mechanism.</w:t>
            </w:r>
          </w:p>
        </w:tc>
        <w:tc>
          <w:tcPr>
            <w:tcW w:type="dxa" w:w="2419"/>
            <w:tcMar>
              <w:top w:w="60" w:type="dxa"/>
              <w:start w:w="110" w:type="dxa"/>
              <w:bottom w:w="60" w:type="dxa"/>
              <w:end w:w="110" w:type="dxa"/>
            </w:tcMar>
          </w:tcPr>
          <w:p>
            <w:pPr>
              <w:spacing w:after="0"/>
            </w:pPr>
            <w:r/>
            <w:r>
              <w:rPr>
                <w:rFonts w:ascii="Calibri" w:hAnsi="Calibri"/>
                <w:b w:val="0"/>
                <w:i w:val="0"/>
                <w:color w:val="101828"/>
                <w:sz w:val="14"/>
              </w:rPr>
              <w:t xml:space="preserve">RESTRICT. Fee records are revenue records. A refunded fee is </w:t>
            </w:r>
            <w:r>
              <w:rPr>
                <w:rFonts w:ascii="Consolas" w:hAnsi="Consolas"/>
                <w:color w:val="146EF5"/>
                <w:sz w:val="14"/>
              </w:rPr>
              <w:t>status='refunded'</w:t>
            </w:r>
            <w:r>
              <w:rPr>
                <w:rFonts w:ascii="Calibri" w:hAnsi="Calibri"/>
                <w:b w:val="0"/>
                <w:i w:val="0"/>
                <w:color w:val="101828"/>
                <w:sz w:val="14"/>
              </w:rPr>
              <w:t>, never a delete.</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payment_channels -&gt; payments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payments.channel_id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provider channel code lives on the lookup row so that a change of provider does not require rewriting history. </w:t>
            </w:r>
            <w:r>
              <w:rPr>
                <w:rFonts w:ascii="Consolas" w:hAnsi="Consolas"/>
                <w:color w:val="146EF5"/>
                <w:sz w:val="14"/>
              </w:rPr>
              <w:t>CHECK (amount_kobo BETWEEN min_amount_kobo AND max_amount_kobo)</w:t>
            </w:r>
            <w:r>
              <w:rPr>
                <w:rFonts w:ascii="Calibri" w:hAnsi="Calibri"/>
                <w:b w:val="0"/>
                <w:i w:val="0"/>
                <w:color w:val="101828"/>
                <w:sz w:val="14"/>
              </w:rPr>
              <w:t xml:space="preserve"> is validated in application, the row is the source of the limits.</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RESTRICT. Channels are deactivated, not deleted.</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rounds -&gt; payouts</w:t>
            </w:r>
          </w:p>
        </w:tc>
        <w:tc>
          <w:tcPr>
            <w:tcW w:type="dxa" w:w="893"/>
            <w:tcMar>
              <w:top w:w="60" w:type="dxa"/>
              <w:start w:w="110" w:type="dxa"/>
              <w:bottom w:w="60" w:type="dxa"/>
              <w:end w:w="110" w:type="dxa"/>
            </w:tcMar>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tcPr>
          <w:p>
            <w:pPr>
              <w:spacing w:after="0"/>
            </w:pPr>
            <w:r/>
            <w:r>
              <w:rPr>
                <w:rFonts w:ascii="Consolas" w:hAnsi="Consolas"/>
                <w:color w:val="146EF5"/>
                <w:sz w:val="14"/>
              </w:rPr>
              <w:t>payouts.round_id</w:t>
            </w:r>
          </w:p>
        </w:tc>
        <w:tc>
          <w:tcPr>
            <w:tcW w:type="dxa" w:w="2448"/>
            <w:tcMar>
              <w:top w:w="60" w:type="dxa"/>
              <w:start w:w="110" w:type="dxa"/>
              <w:bottom w:w="60" w:type="dxa"/>
              <w:end w:w="110" w:type="dxa"/>
            </w:tcMar>
          </w:tcPr>
          <w:p>
            <w:pPr>
              <w:spacing w:after="0"/>
            </w:pPr>
            <w:r/>
            <w:r>
              <w:rPr>
                <w:rFonts w:ascii="Consolas" w:hAnsi="Consolas"/>
                <w:color w:val="146EF5"/>
                <w:sz w:val="14"/>
              </w:rPr>
              <w:t>UNIQUE (round_id, position_id)</w:t>
            </w:r>
            <w:r>
              <w:rPr>
                <w:rFonts w:ascii="Calibri" w:hAnsi="Calibri"/>
                <w:b w:val="0"/>
                <w:i w:val="0"/>
                <w:color w:val="101828"/>
                <w:sz w:val="14"/>
              </w:rPr>
              <w:t>: exactly one payout per position per round. A failed payout is retried by updating the same row's status, never by inserting a second one.</w:t>
            </w:r>
          </w:p>
        </w:tc>
        <w:tc>
          <w:tcPr>
            <w:tcW w:type="dxa" w:w="2419"/>
            <w:tcMar>
              <w:top w:w="60" w:type="dxa"/>
              <w:start w:w="110" w:type="dxa"/>
              <w:bottom w:w="60" w:type="dxa"/>
              <w:end w:w="110" w:type="dxa"/>
            </w:tcMar>
          </w:tcPr>
          <w:p>
            <w:pPr>
              <w:spacing w:after="0"/>
            </w:pPr>
            <w:r/>
            <w:r>
              <w:rPr>
                <w:rFonts w:ascii="Calibri" w:hAnsi="Calibri"/>
                <w:b w:val="0"/>
                <w:i w:val="0"/>
                <w:color w:val="101828"/>
                <w:sz w:val="14"/>
              </w:rPr>
              <w:t>RESTRICT. This is the table the funding principle in CANONICAL.md section 4 depends on.</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ajo_positions -&gt; payouts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1:1</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0:1</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payouts.position_id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position receives at most one payout, and </w:t>
            </w:r>
            <w:r>
              <w:rPr>
                <w:rFonts w:ascii="Consolas" w:hAnsi="Consolas"/>
                <w:color w:val="146EF5"/>
                <w:sz w:val="14"/>
              </w:rPr>
              <w:t>CHECK (payouts.amount_kobo = payouts.base_pool_kobo)</w:t>
            </w:r>
            <w:r>
              <w:rPr>
                <w:rFonts w:ascii="Calibri" w:hAnsi="Calibri"/>
                <w:b w:val="0"/>
                <w:i w:val="0"/>
                <w:color w:val="101828"/>
                <w:sz w:val="14"/>
              </w:rPr>
              <w:t xml:space="preserve"> is the schema's statement that the fee never reduces a payout. The base pool is the sum of that round's paid contributions and nothing else.</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RESTRICT. A position is never removed because a payout exists.</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ledger_transactions -&gt; ledger_postings</w:t>
            </w:r>
          </w:p>
        </w:tc>
        <w:tc>
          <w:tcPr>
            <w:tcW w:type="dxa" w:w="893"/>
            <w:tcMar>
              <w:top w:w="60" w:type="dxa"/>
              <w:start w:w="110" w:type="dxa"/>
              <w:bottom w:w="60" w:type="dxa"/>
              <w:end w:w="110" w:type="dxa"/>
            </w:tcMar>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tcPr>
          <w:p>
            <w:pPr>
              <w:spacing w:after="0"/>
            </w:pPr>
            <w:r/>
            <w:r>
              <w:rPr>
                <w:rFonts w:ascii="Consolas" w:hAnsi="Consolas"/>
                <w:color w:val="146EF5"/>
                <w:sz w:val="14"/>
              </w:rPr>
              <w:t>ledger_postings.transaction_id</w:t>
            </w:r>
            <w:r>
              <w:rPr>
                <w:rFonts w:ascii="Calibri" w:hAnsi="Calibri"/>
                <w:b w:val="0"/>
                <w:i w:val="0"/>
                <w:color w:val="101828"/>
                <w:sz w:val="14"/>
              </w:rPr>
              <w:t xml:space="preserve"> DEFERRABLE INITIALLY DEFERRED</w:t>
            </w:r>
          </w:p>
        </w:tc>
        <w:tc>
          <w:tcPr>
            <w:tcW w:type="dxa" w:w="2448"/>
            <w:tcMar>
              <w:top w:w="60" w:type="dxa"/>
              <w:start w:w="110" w:type="dxa"/>
              <w:bottom w:w="60" w:type="dxa"/>
              <w:end w:w="110" w:type="dxa"/>
            </w:tcMar>
          </w:tcPr>
          <w:p>
            <w:pPr>
              <w:spacing w:after="0"/>
            </w:pPr>
            <w:r/>
            <w:r>
              <w:rPr>
                <w:rFonts w:ascii="Calibri" w:hAnsi="Calibri"/>
                <w:b w:val="0"/>
                <w:i w:val="0"/>
                <w:color w:val="101828"/>
                <w:sz w:val="14"/>
              </w:rPr>
              <w:t>At least two postings per transaction, and the signed sum is exactly zero, enforced by a deferred constraint trigger at commit. The deferrable foreign key is what allows the two legs to be inserted in either order inside one database transaction.</w:t>
            </w:r>
          </w:p>
        </w:tc>
        <w:tc>
          <w:tcPr>
            <w:tcW w:type="dxa" w:w="2419"/>
            <w:tcMar>
              <w:top w:w="60" w:type="dxa"/>
              <w:start w:w="110" w:type="dxa"/>
              <w:bottom w:w="60" w:type="dxa"/>
              <w:end w:w="110" w:type="dxa"/>
            </w:tcMar>
          </w:tcPr>
          <w:p>
            <w:pPr>
              <w:spacing w:after="0"/>
            </w:pPr>
            <w:r/>
            <w:r>
              <w:rPr>
                <w:rFonts w:ascii="Calibri" w:hAnsi="Calibri"/>
                <w:b w:val="0"/>
                <w:i w:val="0"/>
                <w:color w:val="101828"/>
                <w:sz w:val="14"/>
              </w:rPr>
              <w:t xml:space="preserve">CASCADE is </w:t>
            </w:r>
            <w:r>
              <w:rPr>
                <w:rFonts w:ascii="Calibri" w:hAnsi="Calibri"/>
                <w:i/>
                <w:color w:val="101828"/>
                <w:sz w:val="14"/>
              </w:rPr>
              <w:t>declared</w:t>
            </w:r>
            <w:r>
              <w:rPr>
                <w:rFonts w:ascii="Calibri" w:hAnsi="Calibri"/>
                <w:b w:val="0"/>
                <w:i w:val="0"/>
                <w:color w:val="101828"/>
                <w:sz w:val="14"/>
              </w:rPr>
              <w:t xml:space="preserve"> RESTRICT in practice: the append-only trigger blocks DELETE on both tables, and the </w:t>
            </w:r>
            <w:r>
              <w:rPr>
                <w:rFonts w:ascii="Consolas" w:hAnsi="Consolas"/>
                <w:color w:val="146EF5"/>
                <w:sz w:val="14"/>
              </w:rPr>
              <w:t>REVOKE</w:t>
            </w:r>
            <w:r>
              <w:rPr>
                <w:rFonts w:ascii="Calibri" w:hAnsi="Calibri"/>
                <w:b w:val="0"/>
                <w:i w:val="0"/>
                <w:color w:val="101828"/>
                <w:sz w:val="14"/>
              </w:rPr>
              <w:t xml:space="preserve"> removes DELETE from the client roles. The referential action is never reached.</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ledger_transactions -&gt; ledger_transactions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1:1</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0:1</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ledger_transactions.reverses_transaction_id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reversal mirrors the original exactly. </w:t>
            </w:r>
            <w:r>
              <w:rPr>
                <w:rFonts w:ascii="Consolas" w:hAnsi="Consolas"/>
                <w:color w:val="146EF5"/>
                <w:sz w:val="14"/>
              </w:rPr>
              <w:t>CHECK ((kind = 'reversal') = (reverses_transaction_id IS NOT NULL))</w:t>
            </w:r>
            <w:r>
              <w:rPr>
                <w:rFonts w:ascii="Calibri" w:hAnsi="Calibri"/>
                <w:b w:val="0"/>
                <w:i w:val="0"/>
                <w:color w:val="101828"/>
                <w:sz w:val="14"/>
              </w:rPr>
              <w:t xml:space="preserve"> and a deferred trigger rejects reversing a reversal, so reversals are one level deep.</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RESTRICT. Both rows are permanent.</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users -&gt; idempotency_keys</w:t>
            </w:r>
          </w:p>
        </w:tc>
        <w:tc>
          <w:tcPr>
            <w:tcW w:type="dxa" w:w="893"/>
            <w:tcMar>
              <w:top w:w="60" w:type="dxa"/>
              <w:start w:w="110" w:type="dxa"/>
              <w:bottom w:w="60" w:type="dxa"/>
              <w:end w:w="110" w:type="dxa"/>
            </w:tcMar>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tcPr>
          <w:p>
            <w:pPr>
              <w:spacing w:after="0"/>
            </w:pPr>
            <w:r/>
            <w:r>
              <w:rPr>
                <w:rFonts w:ascii="Consolas" w:hAnsi="Consolas"/>
                <w:color w:val="146EF5"/>
                <w:sz w:val="14"/>
              </w:rPr>
              <w:t>idempotency_keys.user_id</w:t>
            </w:r>
          </w:p>
        </w:tc>
        <w:tc>
          <w:tcPr>
            <w:tcW w:type="dxa" w:w="2448"/>
            <w:tcMar>
              <w:top w:w="60" w:type="dxa"/>
              <w:start w:w="110" w:type="dxa"/>
              <w:bottom w:w="60" w:type="dxa"/>
              <w:end w:w="110" w:type="dxa"/>
            </w:tcMar>
          </w:tcPr>
          <w:p>
            <w:pPr>
              <w:spacing w:after="0"/>
            </w:pPr>
            <w:r/>
            <w:r>
              <w:rPr>
                <w:rFonts w:ascii="Calibri" w:hAnsi="Calibri"/>
                <w:b w:val="0"/>
                <w:i w:val="0"/>
                <w:color w:val="101828"/>
                <w:sz w:val="14"/>
              </w:rPr>
              <w:t>One row per key. The key is client-supplied and globally unique; the user and route are recorded so a replay by a different user is rejected rather than served.</w:t>
            </w:r>
          </w:p>
        </w:tc>
        <w:tc>
          <w:tcPr>
            <w:tcW w:type="dxa" w:w="2419"/>
            <w:tcMar>
              <w:top w:w="60" w:type="dxa"/>
              <w:start w:w="110" w:type="dxa"/>
              <w:bottom w:w="60" w:type="dxa"/>
              <w:end w:w="110" w:type="dxa"/>
            </w:tcMar>
          </w:tcPr>
          <w:p>
            <w:pPr>
              <w:spacing w:after="0"/>
            </w:pPr>
            <w:r/>
            <w:r>
              <w:rPr>
                <w:rFonts w:ascii="Calibri" w:hAnsi="Calibri"/>
                <w:b w:val="0"/>
                <w:i w:val="0"/>
                <w:color w:val="101828"/>
                <w:sz w:val="14"/>
              </w:rPr>
              <w:t>CASCADE. Keys expire (section 9.7) and are the one money-domain table that may be removed without loss.</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idempotency_keys -&gt; ledger_transactions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1:1</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0:1</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ledger_transactions.idempotency_key</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The ledger records the key that produced it. A replay that reaches the ledger therefore cannot produce a second transaction, because the ledger's own lookup short-circuits first.</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RESTRICT. A transaction outlives its key's TTL.</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webhook_events -&gt; payments</w:t>
            </w:r>
          </w:p>
        </w:tc>
        <w:tc>
          <w:tcPr>
            <w:tcW w:type="dxa" w:w="893"/>
            <w:tcMar>
              <w:top w:w="60" w:type="dxa"/>
              <w:start w:w="110" w:type="dxa"/>
              <w:bottom w:w="60" w:type="dxa"/>
              <w:end w:w="110" w:type="dxa"/>
            </w:tcMar>
          </w:tcPr>
          <w:p>
            <w:pPr>
              <w:spacing w:after="0"/>
            </w:pPr>
            <w:r/>
            <w:r>
              <w:rPr>
                <w:rFonts w:ascii="Calibri" w:hAnsi="Calibri"/>
                <w:b w:val="0"/>
                <w:i w:val="0"/>
                <w:color w:val="101828"/>
                <w:sz w:val="14"/>
              </w:rPr>
              <w:t>1:1</w:t>
            </w:r>
          </w:p>
        </w:tc>
        <w:tc>
          <w:tcPr>
            <w:tcW w:type="dxa" w:w="720"/>
            <w:tcMar>
              <w:top w:w="60" w:type="dxa"/>
              <w:start w:w="110" w:type="dxa"/>
              <w:bottom w:w="60" w:type="dxa"/>
              <w:end w:w="110" w:type="dxa"/>
            </w:tcMar>
          </w:tcPr>
          <w:p>
            <w:pPr>
              <w:spacing w:after="0"/>
            </w:pPr>
            <w:r/>
            <w:r>
              <w:rPr>
                <w:rFonts w:ascii="Calibri" w:hAnsi="Calibri"/>
                <w:b w:val="0"/>
                <w:i w:val="0"/>
                <w:color w:val="101828"/>
                <w:sz w:val="14"/>
              </w:rPr>
              <w:t>0:1</w:t>
            </w:r>
          </w:p>
        </w:tc>
        <w:tc>
          <w:tcPr>
            <w:tcW w:type="dxa" w:w="1224"/>
            <w:tcMar>
              <w:top w:w="60" w:type="dxa"/>
              <w:start w:w="110" w:type="dxa"/>
              <w:bottom w:w="60" w:type="dxa"/>
              <w:end w:w="110" w:type="dxa"/>
            </w:tcMar>
          </w:tcPr>
          <w:p>
            <w:pPr>
              <w:spacing w:after="0"/>
            </w:pPr>
            <w:r/>
            <w:r>
              <w:rPr>
                <w:rFonts w:ascii="Consolas" w:hAnsi="Consolas"/>
                <w:color w:val="146EF5"/>
                <w:sz w:val="14"/>
              </w:rPr>
              <w:t>payments.webhook_event_id</w:t>
            </w:r>
          </w:p>
        </w:tc>
        <w:tc>
          <w:tcPr>
            <w:tcW w:type="dxa" w:w="2448"/>
            <w:tcMar>
              <w:top w:w="60" w:type="dxa"/>
              <w:start w:w="110" w:type="dxa"/>
              <w:bottom w:w="60" w:type="dxa"/>
              <w:end w:w="110" w:type="dxa"/>
            </w:tcMar>
          </w:tcPr>
          <w:p>
            <w:pPr>
              <w:spacing w:after="0"/>
            </w:pPr>
            <w:r/>
            <w:r>
              <w:rPr>
                <w:rFonts w:ascii="Calibri" w:hAnsi="Calibri"/>
                <w:b w:val="0"/>
                <w:i w:val="0"/>
                <w:color w:val="101828"/>
                <w:sz w:val="14"/>
              </w:rPr>
              <w:t xml:space="preserve">Set when the callback is the thing that finalised the payment. A </w:t>
            </w:r>
            <w:r>
              <w:rPr>
                <w:rFonts w:ascii="Consolas" w:hAnsi="Consolas"/>
                <w:color w:val="146EF5"/>
                <w:sz w:val="14"/>
              </w:rPr>
              <w:t>FAILED</w:t>
            </w:r>
            <w:r>
              <w:rPr>
                <w:rFonts w:ascii="Calibri" w:hAnsi="Calibri"/>
                <w:b w:val="0"/>
                <w:i w:val="0"/>
                <w:color w:val="101828"/>
                <w:sz w:val="14"/>
              </w:rPr>
              <w:t xml:space="preserve"> signature is never linked. A payment may be created by a synchronous verify call instead, which is why this FK is nullable.</w:t>
            </w:r>
          </w:p>
        </w:tc>
        <w:tc>
          <w:tcPr>
            <w:tcW w:type="dxa" w:w="2419"/>
            <w:tcMar>
              <w:top w:w="60" w:type="dxa"/>
              <w:start w:w="110" w:type="dxa"/>
              <w:bottom w:w="60" w:type="dxa"/>
              <w:end w:w="110" w:type="dxa"/>
            </w:tcMar>
          </w:tcPr>
          <w:p>
            <w:pPr>
              <w:spacing w:after="0"/>
            </w:pPr>
            <w:r/>
            <w:r>
              <w:rPr>
                <w:rFonts w:ascii="Calibri" w:hAnsi="Calibri"/>
                <w:b w:val="0"/>
                <w:i w:val="0"/>
                <w:color w:val="101828"/>
                <w:sz w:val="14"/>
              </w:rPr>
              <w:t>RESTRICT. The event is the evidence; the payment is the record.</w:t>
            </w:r>
          </w:p>
        </w:tc>
      </w:tr>
    </w:tbl>
    <w:p>
      <w:pPr>
        <w:spacing w:after="80"/>
      </w:pPr>
    </w:p>
    <w:p>
      <w:pPr>
        <w:spacing w:before="0" w:after="0" w:line="240" w:lineRule="auto"/>
        <w:ind w:left="230"/>
        <w:shd w:val="clear" w:color="auto" w:fill="F7F9FC"/>
        <w:pBdr>
          <w:left w:val="single" w:sz="4" w:space="6" w:color="D0D5DD"/>
        </w:pBdr>
      </w:pPr>
      <w:r>
        <w:rPr>
          <w:rFonts w:ascii="Consolas" w:hAnsi="Consolas"/>
          <w:color w:val="0B1F3A"/>
          <w:sz w:val="16"/>
        </w:rPr>
        <w:t>THE FOUR CANONICAL POSTINGS, AS STORED</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Worked example from CANONICAL.md section 1: ten members, NGN 1,000.00</w:t>
      </w:r>
    </w:p>
    <w:p>
      <w:pPr>
        <w:spacing w:before="0" w:after="0" w:line="240" w:lineRule="auto"/>
        <w:ind w:left="230"/>
        <w:shd w:val="clear" w:color="auto" w:fill="F7F9FC"/>
        <w:pBdr>
          <w:left w:val="single" w:sz="4" w:space="6" w:color="D0D5DD"/>
        </w:pBdr>
      </w:pPr>
      <w:r>
        <w:rPr>
          <w:rFonts w:ascii="Consolas" w:hAnsi="Consolas"/>
          <w:color w:val="0B1F3A"/>
          <w:sz w:val="16"/>
        </w:rPr>
        <w:t>each. All figures in kobo. The recipient receives the BASE pool.</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STEP  kind                  DEBIT                     CREDIT</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1    contribution.         escrow_cash   100,000    contributions_</w:t>
      </w:r>
    </w:p>
    <w:p>
      <w:pPr>
        <w:spacing w:before="0" w:after="0" w:line="240" w:lineRule="auto"/>
        <w:ind w:left="230"/>
        <w:shd w:val="clear" w:color="auto" w:fill="F7F9FC"/>
        <w:pBdr>
          <w:left w:val="single" w:sz="4" w:space="6" w:color="D0D5DD"/>
        </w:pBdr>
      </w:pPr>
      <w:r>
        <w:rPr>
          <w:rFonts w:ascii="Consolas" w:hAnsi="Consolas"/>
          <w:color w:val="0B1F3A"/>
          <w:sz w:val="16"/>
        </w:rPr>
        <w:t xml:space="preserve">       received              (x10 = 1,000,000)        receivable</w:t>
      </w:r>
    </w:p>
    <w:p>
      <w:pPr>
        <w:spacing w:before="0" w:after="0" w:line="240" w:lineRule="auto"/>
        <w:ind w:left="230"/>
        <w:shd w:val="clear" w:color="auto" w:fill="F7F9FC"/>
        <w:pBdr>
          <w:left w:val="single" w:sz="4" w:space="6" w:color="D0D5DD"/>
        </w:pBdr>
      </w:pPr>
      <w:r>
        <w:rPr>
          <w:rFonts w:ascii="Consolas" w:hAnsi="Consolas"/>
          <w:color w:val="0B1F3A"/>
          <w:sz w:val="16"/>
        </w:rPr>
        <w:t xml:space="preserve">                                                      1,000,000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2    fee.recognised        escrow_cash      20,000  fees_income</w:t>
      </w:r>
    </w:p>
    <w:p>
      <w:pPr>
        <w:spacing w:before="0" w:after="0" w:line="240" w:lineRule="auto"/>
        <w:ind w:left="230"/>
        <w:shd w:val="clear" w:color="auto" w:fill="F7F9FC"/>
        <w:pBdr>
          <w:left w:val="single" w:sz="4" w:space="6" w:color="D0D5DD"/>
        </w:pBdr>
      </w:pPr>
      <w:r>
        <w:rPr>
          <w:rFonts w:ascii="Consolas" w:hAnsi="Consolas"/>
          <w:color w:val="0B1F3A"/>
          <w:sz w:val="16"/>
        </w:rPr>
        <w:t xml:space="preserve">                              (x10 =   200,000)            200,000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3    payout.recognized     contributions_           payouts_payable</w:t>
      </w:r>
    </w:p>
    <w:p>
      <w:pPr>
        <w:spacing w:before="0" w:after="0" w:line="240" w:lineRule="auto"/>
        <w:ind w:left="230"/>
        <w:shd w:val="clear" w:color="auto" w:fill="F7F9FC"/>
        <w:pBdr>
          <w:left w:val="single" w:sz="4" w:space="6" w:color="D0D5DD"/>
        </w:pBdr>
      </w:pPr>
      <w:r>
        <w:rPr>
          <w:rFonts w:ascii="Consolas" w:hAnsi="Consolas"/>
          <w:color w:val="0B1F3A"/>
          <w:sz w:val="16"/>
        </w:rPr>
        <w:t xml:space="preserve">                             receivable     1,000,000       1,000,000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4    payout.settled        payouts_payable 1,000,000  escrow_cash</w:t>
      </w:r>
    </w:p>
    <w:p>
      <w:pPr>
        <w:spacing w:before="0" w:after="0" w:line="240" w:lineRule="auto"/>
        <w:ind w:left="230"/>
        <w:shd w:val="clear" w:color="auto" w:fill="F7F9FC"/>
        <w:pBdr>
          <w:left w:val="single" w:sz="4" w:space="6" w:color="D0D5DD"/>
        </w:pBdr>
      </w:pPr>
      <w:r>
        <w:rPr>
          <w:rFonts w:ascii="Consolas" w:hAnsi="Consolas"/>
          <w:color w:val="0B1F3A"/>
          <w:sz w:val="16"/>
        </w:rPr>
        <w:t xml:space="preserve">                                                      1,000,000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MEMBER-SIDE, for the one who pays</w:t>
      </w:r>
    </w:p>
    <w:p>
      <w:pPr>
        <w:spacing w:before="0" w:after="0" w:line="240" w:lineRule="auto"/>
        <w:ind w:left="230"/>
        <w:shd w:val="clear" w:color="auto" w:fill="F7F9FC"/>
        <w:pBdr>
          <w:left w:val="single" w:sz="4" w:space="6" w:color="D0D5DD"/>
        </w:pBdr>
      </w:pPr>
      <w:r>
        <w:rPr>
          <w:rFonts w:ascii="Consolas" w:hAnsi="Consolas"/>
          <w:color w:val="0B1F3A"/>
          <w:sz w:val="16"/>
        </w:rPr>
        <w:t xml:space="preserve">   contribution_amount_kobo = 100,000   (NGN 1,000.00  -&gt; the round pool)</w:t>
      </w:r>
    </w:p>
    <w:p>
      <w:pPr>
        <w:spacing w:before="0" w:after="0" w:line="240" w:lineRule="auto"/>
        <w:ind w:left="230"/>
        <w:shd w:val="clear" w:color="auto" w:fill="F7F9FC"/>
        <w:pBdr>
          <w:left w:val="single" w:sz="4" w:space="6" w:color="D0D5DD"/>
        </w:pBdr>
      </w:pPr>
      <w:r>
        <w:rPr>
          <w:rFonts w:ascii="Consolas" w:hAnsi="Consolas"/>
          <w:color w:val="0B1F3A"/>
          <w:sz w:val="16"/>
        </w:rPr>
        <w:t xml:space="preserve">   fee_kobo                 =   2,000   (NGN    20.00  -&gt; fees_income)</w:t>
      </w:r>
    </w:p>
    <w:p>
      <w:pPr>
        <w:spacing w:before="0" w:after="0" w:line="240" w:lineRule="auto"/>
        <w:ind w:left="230"/>
        <w:shd w:val="clear" w:color="auto" w:fill="F7F9FC"/>
        <w:pBdr>
          <w:left w:val="single" w:sz="4" w:space="6" w:color="D0D5DD"/>
        </w:pBdr>
      </w:pPr>
      <w:r>
        <w:rPr>
          <w:rFonts w:ascii="Consolas" w:hAnsi="Consolas"/>
          <w:color w:val="0B1F3A"/>
          <w:sz w:val="16"/>
        </w:rPr>
        <w:t xml:space="preserve">   charged_amount_kobo      = 102,000   (NGN 1,020.00  -&gt; what is debited)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ACROSS THE WHOLE AJO, TEN ROUNDS</w:t>
      </w:r>
    </w:p>
    <w:p>
      <w:pPr>
        <w:spacing w:before="0" w:after="0" w:line="240" w:lineRule="auto"/>
        <w:ind w:left="230"/>
        <w:shd w:val="clear" w:color="auto" w:fill="F7F9FC"/>
        <w:pBdr>
          <w:left w:val="single" w:sz="4" w:space="6" w:color="D0D5DD"/>
        </w:pBdr>
      </w:pPr>
      <w:r>
        <w:rPr>
          <w:rFonts w:ascii="Consolas" w:hAnsi="Consolas"/>
          <w:color w:val="0B1F3A"/>
          <w:sz w:val="16"/>
        </w:rPr>
        <w:t xml:space="preserve">   each member pays        NGN  10,200.00  in total (10 x NGN 1,020.00)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the recipient receives   NGN  10,000.00  (the base pool, never</w:t>
      </w:r>
    </w:p>
    <w:p>
      <w:pPr>
        <w:spacing w:before="0" w:after="0" w:line="240" w:lineRule="auto"/>
        <w:ind w:left="230"/>
        <w:shd w:val="clear" w:color="auto" w:fill="F7F9FC"/>
        <w:pBdr>
          <w:left w:val="single" w:sz="4" w:space="6" w:color="D0D5DD"/>
        </w:pBdr>
      </w:pPr>
      <w:r>
        <w:rPr>
          <w:rFonts w:ascii="Consolas" w:hAnsi="Consolas"/>
          <w:color w:val="0B1F3A"/>
          <w:sz w:val="16"/>
        </w:rPr>
        <w:t xml:space="preserve">                                             NGN 10,200.00)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AJO.ng retains          NGN   2,000.00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total collected          NGN 102,000.00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PER TRANSACTION INVARIANT</w:t>
      </w:r>
    </w:p>
    <w:p>
      <w:pPr>
        <w:spacing w:before="0" w:after="0" w:line="240" w:lineRule="auto"/>
        <w:ind w:left="230"/>
        <w:shd w:val="clear" w:color="auto" w:fill="F7F9FC"/>
        <w:pBdr>
          <w:left w:val="single" w:sz="4" w:space="6" w:color="D0D5DD"/>
        </w:pBdr>
      </w:pPr>
      <w:r>
        <w:rPr>
          <w:rFonts w:ascii="Consolas" w:hAnsi="Consolas"/>
          <w:color w:val="0B1F3A"/>
          <w:sz w:val="16"/>
        </w:rPr>
        <w:t xml:space="preserve">   SUM(signed_kobo) = 0, checked by a DEFERRABLE INITIALLY DEFERRED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constraint trigger at COMMIT. 100,000 - 100,000 = 0. Always.</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140" w:after="180"/>
        <w:ind w:left="144"/>
        <w:shd w:val="clear" w:color="auto" w:fill="EFF6FF"/>
        <w:pBdr>
          <w:left w:val="single" w:sz="18" w:space="6" w:color="146EF5"/>
        </w:pBdr>
      </w:pPr>
      <w:r>
        <w:rPr>
          <w:rFonts w:ascii="Calibri" w:hAnsi="Calibri"/>
          <w:b/>
          <w:color w:val="146EF5"/>
          <w:sz w:val="19"/>
        </w:rPr>
        <w:t xml:space="preserve">The fee is on the member's charge, never on the payout  </w:t>
      </w:r>
      <w:r>
        <w:rPr>
          <w:rFonts w:ascii="Calibri" w:hAnsi="Calibri"/>
          <w:b w:val="0"/>
          <w:i w:val="0"/>
          <w:color w:val="0B1F3A"/>
          <w:sz w:val="19"/>
        </w:rPr>
        <w:t xml:space="preserve">Steps 1 and 2 together lift NGN 1,020.00 of cash, but they lift it into two different destinations: the round pool and fees_income. Step 3 then moves exactly the base pool out of contributions_receivable. There is no arithmetic path by which the fee can reach the recipient, and section 9.5 adds a CHECK constraint so that even an application bug cannot construct one. This is the single most important structural statement in the specification and it is why </w:t>
      </w:r>
      <w:r>
        <w:rPr>
          <w:rFonts w:ascii="Consolas" w:hAnsi="Consolas"/>
          <w:color w:val="146EF5"/>
          <w:sz w:val="19"/>
        </w:rPr>
        <w:t>payouts</w:t>
      </w:r>
      <w:r>
        <w:rPr>
          <w:rFonts w:ascii="Calibri" w:hAnsi="Calibri"/>
          <w:b w:val="0"/>
          <w:i w:val="0"/>
          <w:color w:val="0B1F3A"/>
          <w:sz w:val="19"/>
        </w:rPr>
        <w:t xml:space="preserve"> carries both </w:t>
      </w:r>
      <w:r>
        <w:rPr>
          <w:rFonts w:ascii="Consolas" w:hAnsi="Consolas"/>
          <w:color w:val="146EF5"/>
          <w:sz w:val="19"/>
        </w:rPr>
        <w:t>base_pool_kobo</w:t>
      </w:r>
      <w:r>
        <w:rPr>
          <w:rFonts w:ascii="Calibri" w:hAnsi="Calibri"/>
          <w:b w:val="0"/>
          <w:i w:val="0"/>
          <w:color w:val="0B1F3A"/>
          <w:sz w:val="19"/>
        </w:rPr>
        <w:t xml:space="preserve"> and </w:t>
      </w:r>
      <w:r>
        <w:rPr>
          <w:rFonts w:ascii="Consolas" w:hAnsi="Consolas"/>
          <w:color w:val="146EF5"/>
          <w:sz w:val="19"/>
        </w:rPr>
        <w:t>amount_kobo</w:t>
      </w:r>
      <w:r>
        <w:rPr>
          <w:rFonts w:ascii="Calibri" w:hAnsi="Calibri"/>
          <w:b w:val="0"/>
          <w:i w:val="0"/>
          <w:color w:val="0B1F3A"/>
          <w:sz w:val="19"/>
        </w:rPr>
        <w:t xml:space="preserve"> with a constraint that they are equal.</w:t>
      </w:r>
    </w:p>
    <w:p>
      <w:pPr>
        <w:pStyle w:val="Heading3"/>
      </w:pPr>
      <w:r>
        <w:rPr>
          <w:rFonts w:ascii="Calibri" w:hAnsi="Calibri"/>
          <w:b/>
          <w:i w:val="0"/>
          <w:color w:val="0B1F3A"/>
          <w:sz w:val="24"/>
        </w:rPr>
        <w:t>8.3.5 Trust and risk</w:t>
      </w:r>
    </w:p>
    <w:p>
      <w:r>
        <w:rPr>
          <w:rFonts w:ascii="Calibri" w:hAnsi="Calibri"/>
          <w:b w:val="0"/>
          <w:i w:val="0"/>
          <w:color w:val="101828"/>
          <w:sz w:val="21"/>
        </w:rPr>
        <w:t xml:space="preserve">Three entities, and they exist because a rotating savings scheme runs on trust that is not contractual in the way a bank balance is. </w:t>
      </w:r>
      <w:r>
        <w:rPr>
          <w:rFonts w:ascii="Consolas" w:hAnsi="Consolas"/>
          <w:color w:val="146EF5"/>
          <w:sz w:val="21"/>
        </w:rPr>
        <w:t>disputes</w:t>
      </w:r>
      <w:r>
        <w:rPr>
          <w:rFonts w:ascii="Calibri" w:hAnsi="Calibri"/>
          <w:b w:val="0"/>
          <w:i w:val="0"/>
          <w:color w:val="101828"/>
          <w:sz w:val="21"/>
        </w:rPr>
        <w:t xml:space="preserve"> is the member's route out. </w:t>
      </w:r>
      <w:r>
        <w:rPr>
          <w:rFonts w:ascii="Consolas" w:hAnsi="Consolas"/>
          <w:color w:val="146EF5"/>
          <w:sz w:val="21"/>
        </w:rPr>
        <w:t>risk_events</w:t>
      </w:r>
      <w:r>
        <w:rPr>
          <w:rFonts w:ascii="Calibri" w:hAnsi="Calibri"/>
          <w:b w:val="0"/>
          <w:i w:val="0"/>
          <w:color w:val="101828"/>
          <w:sz w:val="21"/>
        </w:rPr>
        <w:t xml:space="preserve"> is the platform's route to noticing. </w:t>
      </w:r>
      <w:r>
        <w:rPr>
          <w:rFonts w:ascii="Consolas" w:hAnsi="Consolas"/>
          <w:color w:val="146EF5"/>
          <w:sz w:val="21"/>
        </w:rPr>
        <w:t>audit_logs</w:t>
      </w:r>
      <w:r>
        <w:rPr>
          <w:rFonts w:ascii="Calibri" w:hAnsi="Calibri"/>
          <w:b w:val="0"/>
          <w:i w:val="0"/>
          <w:color w:val="101828"/>
          <w:sz w:val="21"/>
        </w:rPr>
        <w:t xml:space="preserve"> is the route to explaining afterwards. All three are append-only or near-append-only, and all three are polymorphic in subject where that avoids a foreign key into the thing they describe.</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5"/>
              </w:rPr>
              <w:t>Entity</w:t>
            </w:r>
          </w:p>
        </w:tc>
        <w:tc>
          <w:tcPr>
            <w:tcW w:type="dxa" w:w="2808"/>
            <w:shd w:val="clear" w:color="auto" w:fill="0B1F3A"/>
            <w:tcMar>
              <w:top w:w="60" w:type="dxa"/>
              <w:start w:w="110" w:type="dxa"/>
              <w:bottom w:w="60" w:type="dxa"/>
              <w:end w:w="110" w:type="dxa"/>
            </w:tcMar>
          </w:tcPr>
          <w:p>
            <w:pPr>
              <w:spacing w:after="0"/>
            </w:pPr>
            <w:r/>
            <w:r>
              <w:rPr>
                <w:rFonts w:ascii="Calibri" w:hAnsi="Calibri"/>
                <w:b/>
                <w:i w:val="0"/>
                <w:color w:val="FFFFFF"/>
                <w:sz w:val="15"/>
              </w:rPr>
              <w:t>Purpose</w:t>
            </w:r>
          </w:p>
        </w:tc>
        <w:tc>
          <w:tcPr>
            <w:tcW w:type="dxa" w:w="2664"/>
            <w:shd w:val="clear" w:color="auto" w:fill="0B1F3A"/>
            <w:tcMar>
              <w:top w:w="60" w:type="dxa"/>
              <w:start w:w="110" w:type="dxa"/>
              <w:bottom w:w="60" w:type="dxa"/>
              <w:end w:w="110" w:type="dxa"/>
            </w:tcMar>
          </w:tcPr>
          <w:p>
            <w:pPr>
              <w:spacing w:after="0"/>
            </w:pPr>
            <w:r/>
            <w:r>
              <w:rPr>
                <w:rFonts w:ascii="Calibri" w:hAnsi="Calibri"/>
                <w:b/>
                <w:i w:val="0"/>
                <w:color w:val="FFFFFF"/>
                <w:sz w:val="15"/>
              </w:rPr>
              <w:t>Key fields</w:t>
            </w:r>
          </w:p>
        </w:tc>
        <w:tc>
          <w:tcPr>
            <w:tcW w:type="dxa" w:w="2232"/>
            <w:shd w:val="clear" w:color="auto" w:fill="0B1F3A"/>
            <w:tcMar>
              <w:top w:w="60" w:type="dxa"/>
              <w:start w:w="110" w:type="dxa"/>
              <w:bottom w:w="60" w:type="dxa"/>
              <w:end w:w="110" w:type="dxa"/>
            </w:tcMar>
          </w:tcPr>
          <w:p>
            <w:pPr>
              <w:spacing w:after="0"/>
            </w:pPr>
            <w:r/>
            <w:r>
              <w:rPr>
                <w:rFonts w:ascii="Calibri" w:hAnsi="Calibri"/>
                <w:b/>
                <w:i w:val="0"/>
                <w:color w:val="FFFFFF"/>
                <w:sz w:val="15"/>
              </w:rPr>
              <w:t>Relationships</w:t>
            </w:r>
          </w:p>
        </w:tc>
      </w:tr>
      <w:tr>
        <w:trPr>
          <w:cantSplit/>
        </w:trPr>
        <w:tc>
          <w:tcPr>
            <w:tcW w:type="dxa" w:w="1656"/>
            <w:tcMar>
              <w:top w:w="60" w:type="dxa"/>
              <w:start w:w="110" w:type="dxa"/>
              <w:bottom w:w="60" w:type="dxa"/>
              <w:end w:w="110" w:type="dxa"/>
            </w:tcMar>
          </w:tcPr>
          <w:p>
            <w:pPr>
              <w:spacing w:after="0"/>
            </w:pPr>
            <w:r/>
            <w:r>
              <w:rPr>
                <w:rFonts w:ascii="Consolas" w:hAnsi="Consolas"/>
                <w:color w:val="146EF5"/>
                <w:sz w:val="15"/>
              </w:rPr>
              <w:t>disputes</w:t>
            </w:r>
            <w:r>
              <w:rPr>
                <w:rFonts w:ascii="Calibri" w:hAnsi="Calibri"/>
                <w:b w:val="0"/>
                <w:i w:val="0"/>
                <w:color w:val="101828"/>
                <w:sz w:val="15"/>
              </w:rPr>
              <w:t xml:space="preserve"> *</w:t>
            </w:r>
          </w:p>
        </w:tc>
        <w:tc>
          <w:tcPr>
            <w:tcW w:type="dxa" w:w="2808"/>
            <w:tcMar>
              <w:top w:w="60" w:type="dxa"/>
              <w:start w:w="110" w:type="dxa"/>
              <w:bottom w:w="60" w:type="dxa"/>
              <w:end w:w="110" w:type="dxa"/>
            </w:tcMar>
          </w:tcPr>
          <w:p>
            <w:pPr>
              <w:spacing w:after="0"/>
            </w:pPr>
            <w:r/>
            <w:r>
              <w:rPr>
                <w:rFonts w:ascii="Calibri" w:hAnsi="Calibri"/>
                <w:b w:val="0"/>
                <w:i w:val="0"/>
                <w:color w:val="101828"/>
                <w:sz w:val="15"/>
              </w:rPr>
              <w:t>A member challenge against a contribution, a payout, or another member. Its own lifecycle, separate from the ledger correction that may follow it.</w:t>
            </w:r>
          </w:p>
        </w:tc>
        <w:tc>
          <w:tcPr>
            <w:tcW w:type="dxa" w:w="2664"/>
            <w:tcMar>
              <w:top w:w="60" w:type="dxa"/>
              <w:start w:w="110" w:type="dxa"/>
              <w:bottom w:w="60" w:type="dxa"/>
              <w:end w:w="110" w:type="dxa"/>
            </w:tcMar>
          </w:tcPr>
          <w:p>
            <w:pPr>
              <w:spacing w:after="0"/>
            </w:pPr>
            <w:r/>
            <w:r>
              <w:rPr>
                <w:rFonts w:ascii="Consolas" w:hAnsi="Consolas"/>
                <w:color w:val="146EF5"/>
                <w:sz w:val="15"/>
              </w:rPr>
              <w:t>ajo_id</w:t>
            </w:r>
            <w:r>
              <w:rPr>
                <w:rFonts w:ascii="Calibri" w:hAnsi="Calibri"/>
                <w:b w:val="0"/>
                <w:i w:val="0"/>
                <w:color w:val="101828"/>
                <w:sz w:val="15"/>
              </w:rPr>
              <w:t xml:space="preserve">, </w:t>
            </w:r>
            <w:r>
              <w:rPr>
                <w:rFonts w:ascii="Consolas" w:hAnsi="Consolas"/>
                <w:color w:val="146EF5"/>
                <w:sz w:val="15"/>
              </w:rPr>
              <w:t>round_id</w:t>
            </w:r>
            <w:r>
              <w:rPr>
                <w:rFonts w:ascii="Calibri" w:hAnsi="Calibri"/>
                <w:b w:val="0"/>
                <w:i w:val="0"/>
                <w:color w:val="101828"/>
                <w:sz w:val="15"/>
              </w:rPr>
              <w:t xml:space="preserve">, </w:t>
            </w:r>
            <w:r>
              <w:rPr>
                <w:rFonts w:ascii="Consolas" w:hAnsi="Consolas"/>
                <w:color w:val="146EF5"/>
                <w:sz w:val="15"/>
              </w:rPr>
              <w:t>raised_by_user_id</w:t>
            </w:r>
            <w:r>
              <w:rPr>
                <w:rFonts w:ascii="Calibri" w:hAnsi="Calibri"/>
                <w:b w:val="0"/>
                <w:i w:val="0"/>
                <w:color w:val="101828"/>
                <w:sz w:val="15"/>
              </w:rPr>
              <w:t xml:space="preserve">, </w:t>
            </w:r>
            <w:r>
              <w:rPr>
                <w:rFonts w:ascii="Consolas" w:hAnsi="Consolas"/>
                <w:color w:val="146EF5"/>
                <w:sz w:val="15"/>
              </w:rPr>
              <w:t>against_user_id</w:t>
            </w:r>
            <w:r>
              <w:rPr>
                <w:rFonts w:ascii="Calibri" w:hAnsi="Calibri"/>
                <w:b w:val="0"/>
                <w:i w:val="0"/>
                <w:color w:val="101828"/>
                <w:sz w:val="15"/>
              </w:rPr>
              <w:t xml:space="preserve">, </w:t>
            </w:r>
            <w:r>
              <w:rPr>
                <w:rFonts w:ascii="Consolas" w:hAnsi="Consolas"/>
                <w:color w:val="146EF5"/>
                <w:sz w:val="15"/>
              </w:rPr>
              <w:t>contribution_id</w:t>
            </w:r>
            <w:r>
              <w:rPr>
                <w:rFonts w:ascii="Calibri" w:hAnsi="Calibri"/>
                <w:b w:val="0"/>
                <w:i w:val="0"/>
                <w:color w:val="101828"/>
                <w:sz w:val="15"/>
              </w:rPr>
              <w:t xml:space="preserve">, </w:t>
            </w:r>
            <w:r>
              <w:rPr>
                <w:rFonts w:ascii="Consolas" w:hAnsi="Consolas"/>
                <w:color w:val="146EF5"/>
                <w:sz w:val="15"/>
              </w:rPr>
              <w:t>payout_id</w:t>
            </w:r>
            <w:r>
              <w:rPr>
                <w:rFonts w:ascii="Calibri" w:hAnsi="Calibri"/>
                <w:b w:val="0"/>
                <w:i w:val="0"/>
                <w:color w:val="101828"/>
                <w:sz w:val="15"/>
              </w:rPr>
              <w:t xml:space="preserve">, </w:t>
            </w:r>
            <w:r>
              <w:rPr>
                <w:rFonts w:ascii="Consolas" w:hAnsi="Consolas"/>
                <w:color w:val="146EF5"/>
                <w:sz w:val="15"/>
              </w:rPr>
              <w:t>category</w:t>
            </w:r>
            <w:r>
              <w:rPr>
                <w:rFonts w:ascii="Calibri" w:hAnsi="Calibri"/>
                <w:b w:val="0"/>
                <w:i w:val="0"/>
                <w:color w:val="101828"/>
                <w:sz w:val="15"/>
              </w:rPr>
              <w:t xml:space="preserve">, </w:t>
            </w:r>
            <w:r>
              <w:rPr>
                <w:rFonts w:ascii="Consolas" w:hAnsi="Consolas"/>
                <w:color w:val="146EF5"/>
                <w:sz w:val="15"/>
              </w:rPr>
              <w:t>status</w:t>
            </w:r>
            <w:r>
              <w:rPr>
                <w:rFonts w:ascii="Calibri" w:hAnsi="Calibri"/>
                <w:b w:val="0"/>
                <w:i w:val="0"/>
                <w:color w:val="101828"/>
                <w:sz w:val="15"/>
              </w:rPr>
              <w:t xml:space="preserve">, </w:t>
            </w:r>
            <w:r>
              <w:rPr>
                <w:rFonts w:ascii="Consolas" w:hAnsi="Consolas"/>
                <w:color w:val="146EF5"/>
                <w:sz w:val="15"/>
              </w:rPr>
              <w:t>resolution</w:t>
            </w:r>
            <w:r>
              <w:rPr>
                <w:rFonts w:ascii="Calibri" w:hAnsi="Calibri"/>
                <w:b w:val="0"/>
                <w:i w:val="0"/>
                <w:color w:val="101828"/>
                <w:sz w:val="15"/>
              </w:rPr>
              <w:t xml:space="preserve">, </w:t>
            </w:r>
            <w:r>
              <w:rPr>
                <w:rFonts w:ascii="Consolas" w:hAnsi="Consolas"/>
                <w:color w:val="146EF5"/>
                <w:sz w:val="15"/>
              </w:rPr>
              <w:t>resolved_at</w:t>
            </w:r>
          </w:p>
        </w:tc>
        <w:tc>
          <w:tcPr>
            <w:tcW w:type="dxa" w:w="2232"/>
            <w:tcMar>
              <w:top w:w="60" w:type="dxa"/>
              <w:start w:w="110" w:type="dxa"/>
              <w:bottom w:w="60" w:type="dxa"/>
              <w:end w:w="110" w:type="dxa"/>
            </w:tcMar>
          </w:tcPr>
          <w:p>
            <w:pPr>
              <w:spacing w:after="0"/>
            </w:pPr>
            <w:r/>
            <w:r>
              <w:rPr>
                <w:rFonts w:ascii="Calibri" w:hAnsi="Calibri"/>
                <w:b w:val="0"/>
                <w:i w:val="0"/>
                <w:color w:val="101828"/>
                <w:sz w:val="15"/>
              </w:rPr>
              <w:t>1:N from ajos, rounds, users, contributions, payouts; 1:N to messages and evidence</w:t>
            </w:r>
          </w:p>
        </w:tc>
      </w:tr>
      <w:tr>
        <w:trPr>
          <w:cantSplit/>
        </w:trPr>
        <w:tc>
          <w:tcPr>
            <w:tcW w:type="dxa" w:w="1656"/>
            <w:tcMar>
              <w:top w:w="60" w:type="dxa"/>
              <w:start w:w="110" w:type="dxa"/>
              <w:bottom w:w="60" w:type="dxa"/>
              <w:end w:w="110" w:type="dxa"/>
            </w:tcMar>
            <w:shd w:val="clear" w:color="auto" w:fill="F4F7FB"/>
          </w:tcPr>
          <w:p>
            <w:pPr>
              <w:spacing w:after="0"/>
            </w:pPr>
            <w:r/>
            <w:r>
              <w:rPr>
                <w:rFonts w:ascii="Consolas" w:hAnsi="Consolas"/>
                <w:color w:val="146EF5"/>
                <w:sz w:val="15"/>
              </w:rPr>
              <w:t>risk_events</w:t>
            </w:r>
            <w:r>
              <w:rPr>
                <w:rFonts w:ascii="Calibri" w:hAnsi="Calibri"/>
                <w:b w:val="0"/>
                <w:i w:val="0"/>
                <w:color w:val="101828"/>
                <w:sz w:val="15"/>
              </w:rPr>
              <w:t xml:space="preserve"> *</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5"/>
              </w:rPr>
              <w:t>A signal and a decision. Records what was noticed about a user, Ajo, payment or payout and what was done about it.</w:t>
            </w:r>
          </w:p>
        </w:tc>
        <w:tc>
          <w:tcPr>
            <w:tcW w:type="dxa" w:w="2664"/>
            <w:tcMar>
              <w:top w:w="60" w:type="dxa"/>
              <w:start w:w="110" w:type="dxa"/>
              <w:bottom w:w="60" w:type="dxa"/>
              <w:end w:w="110" w:type="dxa"/>
            </w:tcMar>
            <w:shd w:val="clear" w:color="auto" w:fill="F4F7FB"/>
          </w:tcPr>
          <w:p>
            <w:pPr>
              <w:spacing w:after="0"/>
            </w:pPr>
            <w:r/>
            <w:r>
              <w:rPr>
                <w:rFonts w:ascii="Consolas" w:hAnsi="Consolas"/>
                <w:color w:val="146EF5"/>
                <w:sz w:val="15"/>
              </w:rPr>
              <w:t>subject_type</w:t>
            </w:r>
            <w:r>
              <w:rPr>
                <w:rFonts w:ascii="Calibri" w:hAnsi="Calibri"/>
                <w:b w:val="0"/>
                <w:i w:val="0"/>
                <w:color w:val="101828"/>
                <w:sz w:val="15"/>
              </w:rPr>
              <w:t xml:space="preserve">, </w:t>
            </w:r>
            <w:r>
              <w:rPr>
                <w:rFonts w:ascii="Consolas" w:hAnsi="Consolas"/>
                <w:color w:val="146EF5"/>
                <w:sz w:val="15"/>
              </w:rPr>
              <w:t>subject_id</w:t>
            </w:r>
            <w:r>
              <w:rPr>
                <w:rFonts w:ascii="Calibri" w:hAnsi="Calibri"/>
                <w:b w:val="0"/>
                <w:i w:val="0"/>
                <w:color w:val="101828"/>
                <w:sz w:val="15"/>
              </w:rPr>
              <w:t xml:space="preserve">, </w:t>
            </w:r>
            <w:r>
              <w:rPr>
                <w:rFonts w:ascii="Consolas" w:hAnsi="Consolas"/>
                <w:color w:val="146EF5"/>
                <w:sz w:val="15"/>
              </w:rPr>
              <w:t>event_type</w:t>
            </w:r>
            <w:r>
              <w:rPr>
                <w:rFonts w:ascii="Calibri" w:hAnsi="Calibri"/>
                <w:b w:val="0"/>
                <w:i w:val="0"/>
                <w:color w:val="101828"/>
                <w:sz w:val="15"/>
              </w:rPr>
              <w:t xml:space="preserve">, </w:t>
            </w:r>
            <w:r>
              <w:rPr>
                <w:rFonts w:ascii="Consolas" w:hAnsi="Consolas"/>
                <w:color w:val="146EF5"/>
                <w:sz w:val="15"/>
              </w:rPr>
              <w:t>severity</w:t>
            </w:r>
            <w:r>
              <w:rPr>
                <w:rFonts w:ascii="Calibri" w:hAnsi="Calibri"/>
                <w:b w:val="0"/>
                <w:i w:val="0"/>
                <w:color w:val="101828"/>
                <w:sz w:val="15"/>
              </w:rPr>
              <w:t xml:space="preserve">, </w:t>
            </w:r>
            <w:r>
              <w:rPr>
                <w:rFonts w:ascii="Consolas" w:hAnsi="Consolas"/>
                <w:color w:val="146EF5"/>
                <w:sz w:val="15"/>
              </w:rPr>
              <w:t>status</w:t>
            </w:r>
            <w:r>
              <w:rPr>
                <w:rFonts w:ascii="Calibri" w:hAnsi="Calibri"/>
                <w:b w:val="0"/>
                <w:i w:val="0"/>
                <w:color w:val="101828"/>
                <w:sz w:val="15"/>
              </w:rPr>
              <w:t xml:space="preserve">, </w:t>
            </w:r>
            <w:r>
              <w:rPr>
                <w:rFonts w:ascii="Consolas" w:hAnsi="Consolas"/>
                <w:color w:val="146EF5"/>
                <w:sz w:val="15"/>
              </w:rPr>
              <w:t>decision</w:t>
            </w:r>
            <w:r>
              <w:rPr>
                <w:rFonts w:ascii="Calibri" w:hAnsi="Calibri"/>
                <w:b w:val="0"/>
                <w:i w:val="0"/>
                <w:color w:val="101828"/>
                <w:sz w:val="15"/>
              </w:rPr>
              <w:t xml:space="preserve">, </w:t>
            </w:r>
            <w:r>
              <w:rPr>
                <w:rFonts w:ascii="Consolas" w:hAnsi="Consolas"/>
                <w:color w:val="146EF5"/>
                <w:sz w:val="15"/>
              </w:rPr>
              <w:t>score</w:t>
            </w:r>
            <w:r>
              <w:rPr>
                <w:rFonts w:ascii="Calibri" w:hAnsi="Calibri"/>
                <w:b w:val="0"/>
                <w:i w:val="0"/>
                <w:color w:val="101828"/>
                <w:sz w:val="15"/>
              </w:rPr>
              <w:t xml:space="preserve">, </w:t>
            </w:r>
            <w:r>
              <w:rPr>
                <w:rFonts w:ascii="Consolas" w:hAnsi="Consolas"/>
                <w:color w:val="146EF5"/>
                <w:sz w:val="15"/>
              </w:rPr>
              <w:t>signals</w:t>
            </w:r>
            <w:r>
              <w:rPr>
                <w:rFonts w:ascii="Calibri" w:hAnsi="Calibri"/>
                <w:b w:val="0"/>
                <w:i w:val="0"/>
                <w:color w:val="101828"/>
                <w:sz w:val="15"/>
              </w:rPr>
              <w:t xml:space="preserve"> (jsonb), </w:t>
            </w:r>
            <w:r>
              <w:rPr>
                <w:rFonts w:ascii="Consolas" w:hAnsi="Consolas"/>
                <w:color w:val="146EF5"/>
                <w:sz w:val="15"/>
              </w:rPr>
              <w:t>decided_by_user_id</w:t>
            </w:r>
            <w:r>
              <w:rPr>
                <w:rFonts w:ascii="Calibri" w:hAnsi="Calibri"/>
                <w:b w:val="0"/>
                <w:i w:val="0"/>
                <w:color w:val="101828"/>
                <w:sz w:val="15"/>
              </w:rPr>
              <w:t xml:space="preserve">, </w:t>
            </w:r>
            <w:r>
              <w:rPr>
                <w:rFonts w:ascii="Consolas" w:hAnsi="Consolas"/>
                <w:color w:val="146EF5"/>
                <w:sz w:val="15"/>
              </w:rPr>
              <w:t>decided_at</w:t>
            </w:r>
          </w:p>
        </w:tc>
        <w:tc>
          <w:tcPr>
            <w:tcW w:type="dxa" w:w="2232"/>
            <w:tcMar>
              <w:top w:w="60" w:type="dxa"/>
              <w:start w:w="110" w:type="dxa"/>
              <w:bottom w:w="60" w:type="dxa"/>
              <w:end w:w="110" w:type="dxa"/>
            </w:tcMar>
            <w:shd w:val="clear" w:color="auto" w:fill="F4F7FB"/>
          </w:tcPr>
          <w:p>
            <w:pPr>
              <w:spacing w:after="0"/>
            </w:pPr>
            <w:r/>
            <w:r>
              <w:rPr>
                <w:rFonts w:ascii="Calibri" w:hAnsi="Calibri"/>
                <w:b w:val="0"/>
                <w:i w:val="0"/>
                <w:color w:val="101828"/>
                <w:sz w:val="15"/>
              </w:rPr>
              <w:t>Polymorphic over users, ajos, payments, payouts</w:t>
            </w:r>
          </w:p>
        </w:tc>
      </w:tr>
      <w:tr>
        <w:trPr>
          <w:cantSplit/>
        </w:trPr>
        <w:tc>
          <w:tcPr>
            <w:tcW w:type="dxa" w:w="1656"/>
            <w:tcMar>
              <w:top w:w="60" w:type="dxa"/>
              <w:start w:w="110" w:type="dxa"/>
              <w:bottom w:w="60" w:type="dxa"/>
              <w:end w:w="110" w:type="dxa"/>
            </w:tcMar>
          </w:tcPr>
          <w:p>
            <w:pPr>
              <w:spacing w:after="0"/>
            </w:pPr>
            <w:r/>
            <w:r>
              <w:rPr>
                <w:rFonts w:ascii="Consolas" w:hAnsi="Consolas"/>
                <w:color w:val="146EF5"/>
                <w:sz w:val="15"/>
              </w:rPr>
              <w:t>audit_logs</w:t>
            </w:r>
            <w:r>
              <w:rPr>
                <w:rFonts w:ascii="Calibri" w:hAnsi="Calibri"/>
                <w:b w:val="0"/>
                <w:i w:val="0"/>
                <w:color w:val="101828"/>
                <w:sz w:val="15"/>
              </w:rPr>
              <w:t xml:space="preserve"> *</w:t>
            </w:r>
          </w:p>
        </w:tc>
        <w:tc>
          <w:tcPr>
            <w:tcW w:type="dxa" w:w="2808"/>
            <w:tcMar>
              <w:top w:w="60" w:type="dxa"/>
              <w:start w:w="110" w:type="dxa"/>
              <w:bottom w:w="60" w:type="dxa"/>
              <w:end w:w="110" w:type="dxa"/>
            </w:tcMar>
          </w:tcPr>
          <w:p>
            <w:pPr>
              <w:spacing w:after="0"/>
            </w:pPr>
            <w:r/>
            <w:r>
              <w:rPr>
                <w:rFonts w:ascii="Calibri" w:hAnsi="Calibri"/>
                <w:b w:val="0"/>
                <w:i w:val="0"/>
                <w:color w:val="101828"/>
                <w:sz w:val="15"/>
              </w:rPr>
              <w:t>Immutable record of every privileged mutation, with before and after images, the actor, the request id and the originating address.</w:t>
            </w:r>
          </w:p>
        </w:tc>
        <w:tc>
          <w:tcPr>
            <w:tcW w:type="dxa" w:w="2664"/>
            <w:tcMar>
              <w:top w:w="60" w:type="dxa"/>
              <w:start w:w="110" w:type="dxa"/>
              <w:bottom w:w="60" w:type="dxa"/>
              <w:end w:w="110" w:type="dxa"/>
            </w:tcMar>
          </w:tcPr>
          <w:p>
            <w:pPr>
              <w:spacing w:after="0"/>
            </w:pPr>
            <w:r/>
            <w:r>
              <w:rPr>
                <w:rFonts w:ascii="Consolas" w:hAnsi="Consolas"/>
                <w:color w:val="146EF5"/>
                <w:sz w:val="15"/>
              </w:rPr>
              <w:t>actor_user_id</w:t>
            </w:r>
            <w:r>
              <w:rPr>
                <w:rFonts w:ascii="Calibri" w:hAnsi="Calibri"/>
                <w:b w:val="0"/>
                <w:i w:val="0"/>
                <w:color w:val="101828"/>
                <w:sz w:val="15"/>
              </w:rPr>
              <w:t xml:space="preserve">, </w:t>
            </w:r>
            <w:r>
              <w:rPr>
                <w:rFonts w:ascii="Consolas" w:hAnsi="Consolas"/>
                <w:color w:val="146EF5"/>
                <w:sz w:val="15"/>
              </w:rPr>
              <w:t>actor_role_code</w:t>
            </w:r>
            <w:r>
              <w:rPr>
                <w:rFonts w:ascii="Calibri" w:hAnsi="Calibri"/>
                <w:b w:val="0"/>
                <w:i w:val="0"/>
                <w:color w:val="101828"/>
                <w:sz w:val="15"/>
              </w:rPr>
              <w:t xml:space="preserve">, </w:t>
            </w:r>
            <w:r>
              <w:rPr>
                <w:rFonts w:ascii="Consolas" w:hAnsi="Consolas"/>
                <w:color w:val="146EF5"/>
                <w:sz w:val="15"/>
              </w:rPr>
              <w:t>actor_type</w:t>
            </w:r>
            <w:r>
              <w:rPr>
                <w:rFonts w:ascii="Calibri" w:hAnsi="Calibri"/>
                <w:b w:val="0"/>
                <w:i w:val="0"/>
                <w:color w:val="101828"/>
                <w:sz w:val="15"/>
              </w:rPr>
              <w:t xml:space="preserve"> (user, system, admin), </w:t>
            </w:r>
            <w:r>
              <w:rPr>
                <w:rFonts w:ascii="Consolas" w:hAnsi="Consolas"/>
                <w:color w:val="146EF5"/>
                <w:sz w:val="15"/>
              </w:rPr>
              <w:t>action</w:t>
            </w:r>
            <w:r>
              <w:rPr>
                <w:rFonts w:ascii="Calibri" w:hAnsi="Calibri"/>
                <w:b w:val="0"/>
                <w:i w:val="0"/>
                <w:color w:val="101828"/>
                <w:sz w:val="15"/>
              </w:rPr>
              <w:t xml:space="preserve">, </w:t>
            </w:r>
            <w:r>
              <w:rPr>
                <w:rFonts w:ascii="Consolas" w:hAnsi="Consolas"/>
                <w:color w:val="146EF5"/>
                <w:sz w:val="15"/>
              </w:rPr>
              <w:t>subject_type</w:t>
            </w:r>
            <w:r>
              <w:rPr>
                <w:rFonts w:ascii="Calibri" w:hAnsi="Calibri"/>
                <w:b w:val="0"/>
                <w:i w:val="0"/>
                <w:color w:val="101828"/>
                <w:sz w:val="15"/>
              </w:rPr>
              <w:t xml:space="preserve">, </w:t>
            </w:r>
            <w:r>
              <w:rPr>
                <w:rFonts w:ascii="Consolas" w:hAnsi="Consolas"/>
                <w:color w:val="146EF5"/>
                <w:sz w:val="15"/>
              </w:rPr>
              <w:t>subject_id</w:t>
            </w:r>
            <w:r>
              <w:rPr>
                <w:rFonts w:ascii="Calibri" w:hAnsi="Calibri"/>
                <w:b w:val="0"/>
                <w:i w:val="0"/>
                <w:color w:val="101828"/>
                <w:sz w:val="15"/>
              </w:rPr>
              <w:t xml:space="preserve">, </w:t>
            </w:r>
            <w:r>
              <w:rPr>
                <w:rFonts w:ascii="Consolas" w:hAnsi="Consolas"/>
                <w:color w:val="146EF5"/>
                <w:sz w:val="15"/>
              </w:rPr>
              <w:t>before_state</w:t>
            </w:r>
            <w:r>
              <w:rPr>
                <w:rFonts w:ascii="Calibri" w:hAnsi="Calibri"/>
                <w:b w:val="0"/>
                <w:i w:val="0"/>
                <w:color w:val="101828"/>
                <w:sz w:val="15"/>
              </w:rPr>
              <w:t xml:space="preserve"> (jsonb), </w:t>
            </w:r>
            <w:r>
              <w:rPr>
                <w:rFonts w:ascii="Consolas" w:hAnsi="Consolas"/>
                <w:color w:val="146EF5"/>
                <w:sz w:val="15"/>
              </w:rPr>
              <w:t>after_state</w:t>
            </w:r>
            <w:r>
              <w:rPr>
                <w:rFonts w:ascii="Calibri" w:hAnsi="Calibri"/>
                <w:b w:val="0"/>
                <w:i w:val="0"/>
                <w:color w:val="101828"/>
                <w:sz w:val="15"/>
              </w:rPr>
              <w:t xml:space="preserve"> (jsonb), </w:t>
            </w:r>
            <w:r>
              <w:rPr>
                <w:rFonts w:ascii="Consolas" w:hAnsi="Consolas"/>
                <w:color w:val="146EF5"/>
                <w:sz w:val="15"/>
              </w:rPr>
              <w:t>request_id</w:t>
            </w:r>
            <w:r>
              <w:rPr>
                <w:rFonts w:ascii="Calibri" w:hAnsi="Calibri"/>
                <w:b w:val="0"/>
                <w:i w:val="0"/>
                <w:color w:val="101828"/>
                <w:sz w:val="15"/>
              </w:rPr>
              <w:t xml:space="preserve">, </w:t>
            </w:r>
            <w:r>
              <w:rPr>
                <w:rFonts w:ascii="Consolas" w:hAnsi="Consolas"/>
                <w:color w:val="146EF5"/>
                <w:sz w:val="15"/>
              </w:rPr>
              <w:t>ip_address</w:t>
            </w:r>
            <w:r>
              <w:rPr>
                <w:rFonts w:ascii="Calibri" w:hAnsi="Calibri"/>
                <w:b w:val="0"/>
                <w:i w:val="0"/>
                <w:color w:val="101828"/>
                <w:sz w:val="15"/>
              </w:rPr>
              <w:t xml:space="preserve">, </w:t>
            </w:r>
            <w:r>
              <w:rPr>
                <w:rFonts w:ascii="Consolas" w:hAnsi="Consolas"/>
                <w:color w:val="146EF5"/>
                <w:sz w:val="15"/>
              </w:rPr>
              <w:t>user_agent</w:t>
            </w:r>
            <w:r>
              <w:rPr>
                <w:rFonts w:ascii="Calibri" w:hAnsi="Calibri"/>
                <w:b w:val="0"/>
                <w:i w:val="0"/>
                <w:color w:val="101828"/>
                <w:sz w:val="15"/>
              </w:rPr>
              <w:t xml:space="preserve">, </w:t>
            </w:r>
            <w:r>
              <w:rPr>
                <w:rFonts w:ascii="Consolas" w:hAnsi="Consolas"/>
                <w:color w:val="146EF5"/>
                <w:sz w:val="15"/>
              </w:rPr>
              <w:t>amount_kobo</w:t>
            </w:r>
            <w:r>
              <w:rPr>
                <w:rFonts w:ascii="Calibri" w:hAnsi="Calibri"/>
                <w:b w:val="0"/>
                <w:i w:val="0"/>
                <w:color w:val="101828"/>
                <w:sz w:val="15"/>
              </w:rPr>
              <w:t xml:space="preserve">, </w:t>
            </w:r>
            <w:r>
              <w:rPr>
                <w:rFonts w:ascii="Consolas" w:hAnsi="Consolas"/>
                <w:color w:val="146EF5"/>
                <w:sz w:val="15"/>
              </w:rPr>
              <w:t>occurred_at</w:t>
            </w:r>
          </w:p>
        </w:tc>
        <w:tc>
          <w:tcPr>
            <w:tcW w:type="dxa" w:w="2232"/>
            <w:tcMar>
              <w:top w:w="60" w:type="dxa"/>
              <w:start w:w="110" w:type="dxa"/>
              <w:bottom w:w="60" w:type="dxa"/>
              <w:end w:w="110" w:type="dxa"/>
            </w:tcMar>
          </w:tcPr>
          <w:p>
            <w:pPr>
              <w:spacing w:after="0"/>
            </w:pPr>
            <w:r/>
            <w:r>
              <w:rPr>
                <w:rFonts w:ascii="Calibri" w:hAnsi="Calibri"/>
                <w:b w:val="0"/>
                <w:i w:val="0"/>
                <w:color w:val="101828"/>
                <w:sz w:val="15"/>
              </w:rPr>
              <w:t>N:1 users; polymorphic over every mutable table</w:t>
            </w:r>
          </w:p>
        </w:tc>
      </w:tr>
    </w:tbl>
    <w:p>
      <w:pPr>
        <w:spacing w:after="80"/>
      </w:pP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Relationship</w:t>
            </w:r>
          </w:p>
        </w:tc>
        <w:tc>
          <w:tcPr>
            <w:tcW w:type="dxa" w:w="893"/>
            <w:shd w:val="clear" w:color="auto" w:fill="0B1F3A"/>
            <w:tcMar>
              <w:top w:w="60" w:type="dxa"/>
              <w:start w:w="110" w:type="dxa"/>
              <w:bottom w:w="60" w:type="dxa"/>
              <w:end w:w="110" w:type="dxa"/>
            </w:tcMar>
          </w:tcPr>
          <w:p>
            <w:pPr>
              <w:spacing w:after="0"/>
            </w:pPr>
            <w:r/>
            <w:r>
              <w:rPr>
                <w:rFonts w:ascii="Calibri" w:hAnsi="Calibri"/>
                <w:b/>
                <w:i w:val="0"/>
                <w:color w:val="FFFFFF"/>
                <w:sz w:val="14"/>
              </w:rPr>
              <w:t>Type</w:t>
            </w:r>
          </w:p>
        </w:tc>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4"/>
              </w:rPr>
              <w:t>Card.</w:t>
            </w:r>
          </w:p>
        </w:tc>
        <w:tc>
          <w:tcPr>
            <w:tcW w:type="dxa" w:w="1224"/>
            <w:shd w:val="clear" w:color="auto" w:fill="0B1F3A"/>
            <w:tcMar>
              <w:top w:w="60" w:type="dxa"/>
              <w:start w:w="110" w:type="dxa"/>
              <w:bottom w:w="60" w:type="dxa"/>
              <w:end w:w="110" w:type="dxa"/>
            </w:tcMar>
          </w:tcPr>
          <w:p>
            <w:pPr>
              <w:spacing w:after="0"/>
            </w:pPr>
            <w:r/>
            <w:r>
              <w:rPr>
                <w:rFonts w:ascii="Calibri" w:hAnsi="Calibri"/>
                <w:b/>
                <w:i w:val="0"/>
                <w:color w:val="FFFFFF"/>
                <w:sz w:val="14"/>
              </w:rPr>
              <w:t>FK</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4"/>
              </w:rPr>
              <w:t>Rule</w:t>
            </w:r>
          </w:p>
        </w:tc>
        <w:tc>
          <w:tcPr>
            <w:tcW w:type="dxa" w:w="2419"/>
            <w:shd w:val="clear" w:color="auto" w:fill="0B1F3A"/>
            <w:tcMar>
              <w:top w:w="60" w:type="dxa"/>
              <w:start w:w="110" w:type="dxa"/>
              <w:bottom w:w="60" w:type="dxa"/>
              <w:end w:w="110" w:type="dxa"/>
            </w:tcMar>
          </w:tcPr>
          <w:p>
            <w:pPr>
              <w:spacing w:after="0"/>
            </w:pPr>
            <w:r/>
            <w:r>
              <w:rPr>
                <w:rFonts w:ascii="Calibri" w:hAnsi="Calibri"/>
                <w:b/>
                <w:i w:val="0"/>
                <w:color w:val="FFFFFF"/>
                <w:sz w:val="14"/>
              </w:rPr>
              <w:t>Cascade behaviour</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users -&gt; disputes</w:t>
            </w:r>
          </w:p>
        </w:tc>
        <w:tc>
          <w:tcPr>
            <w:tcW w:type="dxa" w:w="893"/>
            <w:tcMar>
              <w:top w:w="60" w:type="dxa"/>
              <w:start w:w="110" w:type="dxa"/>
              <w:bottom w:w="60" w:type="dxa"/>
              <w:end w:w="110" w:type="dxa"/>
            </w:tcMar>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tcPr>
          <w:p>
            <w:pPr>
              <w:spacing w:after="0"/>
            </w:pPr>
            <w:r/>
            <w:r>
              <w:rPr>
                <w:rFonts w:ascii="Consolas" w:hAnsi="Consolas"/>
                <w:color w:val="146EF5"/>
                <w:sz w:val="14"/>
              </w:rPr>
              <w:t>disputes.raised_by_user_id</w:t>
            </w:r>
            <w:r>
              <w:rPr>
                <w:rFonts w:ascii="Calibri" w:hAnsi="Calibri"/>
                <w:b w:val="0"/>
                <w:i w:val="0"/>
                <w:color w:val="101828"/>
                <w:sz w:val="14"/>
              </w:rPr>
              <w:t xml:space="preserve">, </w:t>
            </w:r>
            <w:r>
              <w:rPr>
                <w:rFonts w:ascii="Consolas" w:hAnsi="Consolas"/>
                <w:color w:val="146EF5"/>
                <w:sz w:val="14"/>
              </w:rPr>
              <w:t>against_user_id</w:t>
            </w:r>
          </w:p>
        </w:tc>
        <w:tc>
          <w:tcPr>
            <w:tcW w:type="dxa" w:w="2448"/>
            <w:tcMar>
              <w:top w:w="60" w:type="dxa"/>
              <w:start w:w="110" w:type="dxa"/>
              <w:bottom w:w="60" w:type="dxa"/>
              <w:end w:w="110" w:type="dxa"/>
            </w:tcMar>
          </w:tcPr>
          <w:p>
            <w:pPr>
              <w:spacing w:after="0"/>
            </w:pPr>
            <w:r/>
            <w:r>
              <w:rPr>
                <w:rFonts w:ascii="Calibri" w:hAnsi="Calibri"/>
                <w:b w:val="0"/>
                <w:i w:val="0"/>
                <w:color w:val="101828"/>
                <w:sz w:val="14"/>
              </w:rPr>
              <w:t xml:space="preserve">A dispute is raised by a member about their own contribution or payout. </w:t>
            </w:r>
            <w:r>
              <w:rPr>
                <w:rFonts w:ascii="Consolas" w:hAnsi="Consolas"/>
                <w:color w:val="146EF5"/>
                <w:sz w:val="14"/>
              </w:rPr>
              <w:t>CHECK (raised_by_user_id &lt;&gt; against_user_id)</w:t>
            </w:r>
            <w:r>
              <w:rPr>
                <w:rFonts w:ascii="Calibri" w:hAnsi="Calibri"/>
                <w:b w:val="0"/>
                <w:i w:val="0"/>
                <w:color w:val="101828"/>
                <w:sz w:val="14"/>
              </w:rPr>
              <w:t xml:space="preserve"> so nobody disputes themselves, which would otherwise be a route to a free support escalation.</w:t>
            </w:r>
          </w:p>
        </w:tc>
        <w:tc>
          <w:tcPr>
            <w:tcW w:type="dxa" w:w="2419"/>
            <w:tcMar>
              <w:top w:w="60" w:type="dxa"/>
              <w:start w:w="110" w:type="dxa"/>
              <w:bottom w:w="60" w:type="dxa"/>
              <w:end w:w="110" w:type="dxa"/>
            </w:tcMar>
          </w:tcPr>
          <w:p>
            <w:pPr>
              <w:spacing w:after="0"/>
            </w:pPr>
            <w:r/>
            <w:r>
              <w:rPr>
                <w:rFonts w:ascii="Calibri" w:hAnsi="Calibri"/>
                <w:b w:val="0"/>
                <w:i w:val="0"/>
                <w:color w:val="101828"/>
                <w:sz w:val="14"/>
              </w:rPr>
              <w:t>RESTRICT. A member who has disputed cannot be deleted.</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ajos -&gt; disputes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disputes.ajo_id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A dispute never leaves its Ajo. Cross-Ajo disputes are a different product and are not designed for here.</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RESTRICT.</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contributions -&gt; disputes</w:t>
            </w:r>
          </w:p>
        </w:tc>
        <w:tc>
          <w:tcPr>
            <w:tcW w:type="dxa" w:w="893"/>
            <w:tcMar>
              <w:top w:w="60" w:type="dxa"/>
              <w:start w:w="110" w:type="dxa"/>
              <w:bottom w:w="60" w:type="dxa"/>
              <w:end w:w="110" w:type="dxa"/>
            </w:tcMar>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tcPr>
          <w:p>
            <w:pPr>
              <w:spacing w:after="0"/>
            </w:pPr>
            <w:r/>
            <w:r>
              <w:rPr>
                <w:rFonts w:ascii="Consolas" w:hAnsi="Consolas"/>
                <w:color w:val="146EF5"/>
                <w:sz w:val="14"/>
              </w:rPr>
              <w:t>disputes.contribution_id</w:t>
            </w:r>
          </w:p>
        </w:tc>
        <w:tc>
          <w:tcPr>
            <w:tcW w:type="dxa" w:w="2448"/>
            <w:tcMar>
              <w:top w:w="60" w:type="dxa"/>
              <w:start w:w="110" w:type="dxa"/>
              <w:bottom w:w="60" w:type="dxa"/>
              <w:end w:w="110" w:type="dxa"/>
            </w:tcMar>
          </w:tcPr>
          <w:p>
            <w:pPr>
              <w:spacing w:after="0"/>
            </w:pPr>
            <w:r/>
            <w:r>
              <w:rPr>
                <w:rFonts w:ascii="Calibri" w:hAnsi="Calibri"/>
                <w:b w:val="0"/>
                <w:i w:val="0"/>
                <w:color w:val="101828"/>
                <w:sz w:val="14"/>
              </w:rPr>
              <w:t xml:space="preserve">At most one of </w:t>
            </w:r>
            <w:r>
              <w:rPr>
                <w:rFonts w:ascii="Consolas" w:hAnsi="Consolas"/>
                <w:color w:val="146EF5"/>
                <w:sz w:val="14"/>
              </w:rPr>
              <w:t>contribution_id</w:t>
            </w:r>
            <w:r>
              <w:rPr>
                <w:rFonts w:ascii="Calibri" w:hAnsi="Calibri"/>
                <w:b w:val="0"/>
                <w:i w:val="0"/>
                <w:color w:val="101828"/>
                <w:sz w:val="14"/>
              </w:rPr>
              <w:t xml:space="preserve"> and </w:t>
            </w:r>
            <w:r>
              <w:rPr>
                <w:rFonts w:ascii="Consolas" w:hAnsi="Consolas"/>
                <w:color w:val="146EF5"/>
                <w:sz w:val="14"/>
              </w:rPr>
              <w:t>payout_id</w:t>
            </w:r>
            <w:r>
              <w:rPr>
                <w:rFonts w:ascii="Calibri" w:hAnsi="Calibri"/>
                <w:b w:val="0"/>
                <w:i w:val="0"/>
                <w:color w:val="101828"/>
                <w:sz w:val="14"/>
              </w:rPr>
              <w:t xml:space="preserve"> is set for a collection dispute; a payout dispute sets only </w:t>
            </w:r>
            <w:r>
              <w:rPr>
                <w:rFonts w:ascii="Consolas" w:hAnsi="Consolas"/>
                <w:color w:val="146EF5"/>
                <w:sz w:val="14"/>
              </w:rPr>
              <w:t>payout_id</w:t>
            </w:r>
            <w:r>
              <w:rPr>
                <w:rFonts w:ascii="Calibri" w:hAnsi="Calibri"/>
                <w:b w:val="0"/>
                <w:i w:val="0"/>
                <w:color w:val="101828"/>
                <w:sz w:val="14"/>
              </w:rPr>
              <w:t>. Checked in application, not by constraint, because a dispute may concern either.</w:t>
            </w:r>
          </w:p>
        </w:tc>
        <w:tc>
          <w:tcPr>
            <w:tcW w:type="dxa" w:w="2419"/>
            <w:tcMar>
              <w:top w:w="60" w:type="dxa"/>
              <w:start w:w="110" w:type="dxa"/>
              <w:bottom w:w="60" w:type="dxa"/>
              <w:end w:w="110" w:type="dxa"/>
            </w:tcMar>
          </w:tcPr>
          <w:p>
            <w:pPr>
              <w:spacing w:after="0"/>
            </w:pPr>
            <w:r/>
            <w:r>
              <w:rPr>
                <w:rFonts w:ascii="Calibri" w:hAnsi="Calibri"/>
                <w:b w:val="0"/>
                <w:i w:val="0"/>
                <w:color w:val="101828"/>
                <w:sz w:val="14"/>
              </w:rPr>
              <w:t>RESTRICT.</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payouts -&gt; disputes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disputes.payout_id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disputed payout enters </w:t>
            </w:r>
            <w:r>
              <w:rPr>
                <w:rFonts w:ascii="Consolas" w:hAnsi="Consolas"/>
                <w:color w:val="146EF5"/>
                <w:sz w:val="14"/>
              </w:rPr>
              <w:t>HELD</w:t>
            </w:r>
            <w:r>
              <w:rPr>
                <w:rFonts w:ascii="Calibri" w:hAnsi="Calibri"/>
                <w:b w:val="0"/>
                <w:i w:val="0"/>
                <w:color w:val="101828"/>
                <w:sz w:val="14"/>
              </w:rPr>
              <w:t xml:space="preserve"> (CANONICAL.md section 4) and does not settle until the dispute closes.</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RESTRICT.</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disputes -&gt; dispute_messages</w:t>
            </w:r>
          </w:p>
        </w:tc>
        <w:tc>
          <w:tcPr>
            <w:tcW w:type="dxa" w:w="893"/>
            <w:tcMar>
              <w:top w:w="60" w:type="dxa"/>
              <w:start w:w="110" w:type="dxa"/>
              <w:bottom w:w="60" w:type="dxa"/>
              <w:end w:w="110" w:type="dxa"/>
            </w:tcMar>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tcPr>
          <w:p>
            <w:pPr>
              <w:spacing w:after="0"/>
            </w:pPr>
            <w:r/>
            <w:r>
              <w:rPr>
                <w:rFonts w:ascii="Consolas" w:hAnsi="Consolas"/>
                <w:color w:val="146EF5"/>
                <w:sz w:val="14"/>
              </w:rPr>
              <w:t>dispute_messages.dispute_id</w:t>
            </w:r>
          </w:p>
        </w:tc>
        <w:tc>
          <w:tcPr>
            <w:tcW w:type="dxa" w:w="2448"/>
            <w:tcMar>
              <w:top w:w="60" w:type="dxa"/>
              <w:start w:w="110" w:type="dxa"/>
              <w:bottom w:w="60" w:type="dxa"/>
              <w:end w:w="110" w:type="dxa"/>
            </w:tcMar>
          </w:tcPr>
          <w:p>
            <w:pPr>
              <w:spacing w:after="0"/>
            </w:pPr>
            <w:r/>
            <w:r>
              <w:rPr>
                <w:rFonts w:ascii="Calibri" w:hAnsi="Calibri"/>
                <w:b w:val="0"/>
                <w:i w:val="0"/>
                <w:color w:val="101828"/>
                <w:sz w:val="14"/>
              </w:rPr>
              <w:t xml:space="preserve">Append-only conversation. Messages are visible to the parties and to </w:t>
            </w:r>
            <w:r>
              <w:rPr>
                <w:rFonts w:ascii="Consolas" w:hAnsi="Consolas"/>
                <w:color w:val="146EF5"/>
                <w:sz w:val="14"/>
              </w:rPr>
              <w:t>support</w:t>
            </w:r>
            <w:r>
              <w:rPr>
                <w:rFonts w:ascii="Calibri" w:hAnsi="Calibri"/>
                <w:b w:val="0"/>
                <w:i w:val="0"/>
                <w:color w:val="101828"/>
                <w:sz w:val="14"/>
              </w:rPr>
              <w:t>; never to other members, which is the privacy rule in CANONICAL.md section 2.</w:t>
            </w:r>
          </w:p>
        </w:tc>
        <w:tc>
          <w:tcPr>
            <w:tcW w:type="dxa" w:w="2419"/>
            <w:tcMar>
              <w:top w:w="60" w:type="dxa"/>
              <w:start w:w="110" w:type="dxa"/>
              <w:bottom w:w="60" w:type="dxa"/>
              <w:end w:w="110" w:type="dxa"/>
            </w:tcMar>
          </w:tcPr>
          <w:p>
            <w:pPr>
              <w:spacing w:after="0"/>
            </w:pPr>
            <w:r/>
            <w:r>
              <w:rPr>
                <w:rFonts w:ascii="Calibri" w:hAnsi="Calibri"/>
                <w:b w:val="0"/>
                <w:i w:val="0"/>
                <w:color w:val="101828"/>
                <w:sz w:val="14"/>
              </w:rPr>
              <w:t>CASCADE. A dispute with no conversation is not a dispute.</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disputes -&gt; dispute_evidence</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dispute_evidence.dispute_id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Each row references a </w:t>
            </w:r>
            <w:r>
              <w:rPr>
                <w:rFonts w:ascii="Consolas" w:hAnsi="Consolas"/>
                <w:color w:val="146EF5"/>
                <w:sz w:val="14"/>
              </w:rPr>
              <w:t>documents</w:t>
            </w:r>
            <w:r>
              <w:rPr>
                <w:rFonts w:ascii="Calibri" w:hAnsi="Calibri"/>
                <w:b w:val="0"/>
                <w:i w:val="0"/>
                <w:color w:val="101828"/>
                <w:sz w:val="14"/>
              </w:rPr>
              <w:t xml:space="preserve"> row rather than storing a file itself, so that one upload can be referenced by a check and a dispute without duplication.</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CASCADE on the link. The underlying </w:t>
            </w:r>
            <w:r>
              <w:rPr>
                <w:rFonts w:ascii="Consolas" w:hAnsi="Consolas"/>
                <w:color w:val="146EF5"/>
                <w:sz w:val="14"/>
              </w:rPr>
              <w:t>documents</w:t>
            </w:r>
            <w:r>
              <w:rPr>
                <w:rFonts w:ascii="Calibri" w:hAnsi="Calibri"/>
                <w:b w:val="0"/>
                <w:i w:val="0"/>
                <w:color w:val="101828"/>
                <w:sz w:val="14"/>
              </w:rPr>
              <w:t xml:space="preserve"> row is RESTRICT and is governed by its own retention.</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users, ajos, payments, payouts -&gt; risk_events</w:t>
            </w:r>
          </w:p>
        </w:tc>
        <w:tc>
          <w:tcPr>
            <w:tcW w:type="dxa" w:w="893"/>
            <w:tcMar>
              <w:top w:w="60" w:type="dxa"/>
              <w:start w:w="110" w:type="dxa"/>
              <w:bottom w:w="60" w:type="dxa"/>
              <w:end w:w="110" w:type="dxa"/>
            </w:tcMar>
          </w:tcPr>
          <w:p>
            <w:pPr>
              <w:spacing w:after="0"/>
            </w:pPr>
            <w:r/>
            <w:r>
              <w:rPr>
                <w:rFonts w:ascii="Calibri" w:hAnsi="Calibri"/>
                <w:b w:val="0"/>
                <w:i w:val="0"/>
                <w:color w:val="101828"/>
                <w:sz w:val="14"/>
              </w:rPr>
              <w:t>polymorphic</w:t>
            </w:r>
          </w:p>
        </w:tc>
        <w:tc>
          <w:tcPr>
            <w:tcW w:type="dxa" w:w="720"/>
            <w:tcMar>
              <w:top w:w="60" w:type="dxa"/>
              <w:start w:w="110" w:type="dxa"/>
              <w:bottom w:w="60" w:type="dxa"/>
              <w:end w:w="110" w:type="dxa"/>
            </w:tcMar>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tcPr>
          <w:p>
            <w:pPr>
              <w:spacing w:after="0"/>
            </w:pPr>
            <w:r/>
            <w:r>
              <w:rPr>
                <w:rFonts w:ascii="Consolas" w:hAnsi="Consolas"/>
                <w:color w:val="146EF5"/>
                <w:sz w:val="14"/>
              </w:rPr>
              <w:t>risk_events.subject_type</w:t>
            </w:r>
            <w:r>
              <w:rPr>
                <w:rFonts w:ascii="Calibri" w:hAnsi="Calibri"/>
                <w:b w:val="0"/>
                <w:i w:val="0"/>
                <w:color w:val="101828"/>
                <w:sz w:val="14"/>
              </w:rPr>
              <w:t xml:space="preserve"> + </w:t>
            </w:r>
            <w:r>
              <w:rPr>
                <w:rFonts w:ascii="Consolas" w:hAnsi="Consolas"/>
                <w:color w:val="146EF5"/>
                <w:sz w:val="14"/>
              </w:rPr>
              <w:t>subject_id</w:t>
            </w:r>
          </w:p>
        </w:tc>
        <w:tc>
          <w:tcPr>
            <w:tcW w:type="dxa" w:w="2448"/>
            <w:tcMar>
              <w:top w:w="60" w:type="dxa"/>
              <w:start w:w="110" w:type="dxa"/>
              <w:bottom w:w="60" w:type="dxa"/>
              <w:end w:w="110" w:type="dxa"/>
            </w:tcMar>
          </w:tcPr>
          <w:p>
            <w:pPr>
              <w:spacing w:after="0"/>
            </w:pPr>
            <w:r/>
            <w:r>
              <w:rPr>
                <w:rFonts w:ascii="Calibri" w:hAnsi="Calibri"/>
                <w:b w:val="0"/>
                <w:i w:val="0"/>
                <w:color w:val="101828"/>
                <w:sz w:val="14"/>
              </w:rPr>
              <w:t xml:space="preserve">No hard foreign key. This is deliberate: a risk decision must survive the deletion of its subject, and a foreign key would either block the deletion or cascade the evidence away. Integrity is maintained by a deferred trigger that checks the subject exists </w:t>
            </w:r>
            <w:r>
              <w:rPr>
                <w:rFonts w:ascii="Calibri" w:hAnsi="Calibri"/>
                <w:i/>
                <w:color w:val="101828"/>
                <w:sz w:val="14"/>
              </w:rPr>
              <w:t>at insert time</w:t>
            </w:r>
            <w:r>
              <w:rPr>
                <w:rFonts w:ascii="Calibri" w:hAnsi="Calibri"/>
                <w:b w:val="0"/>
                <w:i w:val="0"/>
                <w:color w:val="101828"/>
                <w:sz w:val="14"/>
              </w:rPr>
              <w:t xml:space="preserve"> only.</w:t>
            </w:r>
          </w:p>
        </w:tc>
        <w:tc>
          <w:tcPr>
            <w:tcW w:type="dxa" w:w="2419"/>
            <w:tcMar>
              <w:top w:w="60" w:type="dxa"/>
              <w:start w:w="110" w:type="dxa"/>
              <w:bottom w:w="60" w:type="dxa"/>
              <w:end w:w="110" w:type="dxa"/>
            </w:tcMar>
          </w:tcPr>
          <w:p>
            <w:pPr>
              <w:spacing w:after="0"/>
            </w:pPr>
            <w:r/>
            <w:r>
              <w:rPr>
                <w:rFonts w:ascii="Calibri" w:hAnsi="Calibri"/>
                <w:b w:val="0"/>
                <w:i w:val="0"/>
                <w:color w:val="101828"/>
                <w:sz w:val="14"/>
              </w:rPr>
              <w:t>No cascade, ever. Risk evidence is not disposable.</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every table -&gt; audit_logs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polymorphic</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audit_logs.subject_type</w:t>
            </w:r>
            <w:r>
              <w:rPr>
                <w:rFonts w:ascii="Calibri" w:hAnsi="Calibri"/>
                <w:b w:val="0"/>
                <w:i w:val="0"/>
                <w:color w:val="101828"/>
                <w:sz w:val="14"/>
              </w:rPr>
              <w:t xml:space="preserve"> + </w:t>
            </w:r>
            <w:r>
              <w:rPr>
                <w:rFonts w:ascii="Consolas" w:hAnsi="Consolas"/>
                <w:color w:val="146EF5"/>
                <w:sz w:val="14"/>
              </w:rPr>
              <w:t>subject_id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One row per privileged mutation. Written by a trigger </w:t>
            </w:r>
            <w:r>
              <w:rPr>
                <w:rFonts w:ascii="Consolas" w:hAnsi="Consolas"/>
                <w:color w:val="146EF5"/>
                <w:sz w:val="14"/>
              </w:rPr>
              <w:t>app.audit_row()</w:t>
            </w:r>
            <w:r>
              <w:rPr>
                <w:rFonts w:ascii="Calibri" w:hAnsi="Calibri"/>
                <w:b w:val="0"/>
                <w:i w:val="0"/>
                <w:color w:val="101828"/>
                <w:sz w:val="14"/>
              </w:rPr>
              <w:t xml:space="preserve"> on the tables listed in section 9.13, and by the service layer for business-level events. Includes </w:t>
            </w:r>
            <w:r>
              <w:rPr>
                <w:rFonts w:ascii="Consolas" w:hAnsi="Consolas"/>
                <w:color w:val="146EF5"/>
                <w:sz w:val="14"/>
              </w:rPr>
              <w:t>request_id</w:t>
            </w:r>
            <w:r>
              <w:rPr>
                <w:rFonts w:ascii="Calibri" w:hAnsi="Calibri"/>
                <w:b w:val="0"/>
                <w:i w:val="0"/>
                <w:color w:val="101828"/>
                <w:sz w:val="14"/>
              </w:rPr>
              <w:t xml:space="preserve"> so a support ticket can be traced to an exact HTTP request.</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No cascade, ever. The audit trail must not be deleted by the thing it audits.</w:t>
            </w:r>
          </w:p>
        </w:tc>
      </w:tr>
    </w:tbl>
    <w:p>
      <w:pPr>
        <w:spacing w:after="80"/>
      </w:pPr>
    </w:p>
    <w:p>
      <w:pPr>
        <w:spacing w:before="140" w:after="180"/>
        <w:ind w:left="144"/>
        <w:shd w:val="clear" w:color="auto" w:fill="FEE2E2"/>
        <w:pBdr>
          <w:left w:val="single" w:sz="18" w:space="6" w:color="DC2626"/>
        </w:pBdr>
      </w:pPr>
      <w:r>
        <w:rPr>
          <w:rFonts w:ascii="Calibri" w:hAnsi="Calibri"/>
          <w:b/>
          <w:color w:val="DC2626"/>
          <w:sz w:val="19"/>
        </w:rPr>
        <w:t xml:space="preserve">Dispute, default and record-keeping  </w:t>
      </w:r>
      <w:r>
        <w:rPr>
          <w:rFonts w:ascii="Calibri" w:hAnsi="Calibri"/>
          <w:b w:val="0"/>
          <w:i w:val="0"/>
          <w:color w:val="0B1F3A"/>
          <w:sz w:val="19"/>
        </w:rPr>
        <w:t xml:space="preserve">CANONICAL.md section 4 fixes that defaulting is private between the member, the organizer and platform risk, and that no member is publicly shamed or exposed. The data model supports that: </w:t>
      </w:r>
      <w:r>
        <w:rPr>
          <w:rFonts w:ascii="Consolas" w:hAnsi="Consolas"/>
          <w:color w:val="146EF5"/>
          <w:sz w:val="19"/>
        </w:rPr>
        <w:t>ajo_members.status = 'defaulted'</w:t>
      </w:r>
      <w:r>
        <w:rPr>
          <w:rFonts w:ascii="Calibri" w:hAnsi="Calibri"/>
          <w:b w:val="0"/>
          <w:i w:val="0"/>
          <w:color w:val="0B1F3A"/>
          <w:sz w:val="19"/>
        </w:rPr>
        <w:t xml:space="preserve"> is visible only to the member, the organizer, </w:t>
      </w:r>
      <w:r>
        <w:rPr>
          <w:rFonts w:ascii="Consolas" w:hAnsi="Consolas"/>
          <w:color w:val="146EF5"/>
          <w:sz w:val="19"/>
        </w:rPr>
        <w:t>support</w:t>
      </w:r>
      <w:r>
        <w:rPr>
          <w:rFonts w:ascii="Calibri" w:hAnsi="Calibri"/>
          <w:b w:val="0"/>
          <w:i w:val="0"/>
          <w:color w:val="0B1F3A"/>
          <w:sz w:val="19"/>
        </w:rPr>
        <w:t xml:space="preserve"> and </w:t>
      </w:r>
      <w:r>
        <w:rPr>
          <w:rFonts w:ascii="Consolas" w:hAnsi="Consolas"/>
          <w:color w:val="146EF5"/>
          <w:sz w:val="19"/>
        </w:rPr>
        <w:t>risk_officer</w:t>
      </w:r>
      <w:r>
        <w:rPr>
          <w:rFonts w:ascii="Calibri" w:hAnsi="Calibri"/>
          <w:b w:val="0"/>
          <w:i w:val="0"/>
          <w:color w:val="0B1F3A"/>
          <w:sz w:val="19"/>
        </w:rPr>
        <w:t>, enforced by the row-level security policies in section 9.6 and not by UI concealment. Whether any of these records must be produced to a regulator, a law-enforcement request or in civil recovery proceedings, on what timescale and under what authority, requires confirmation by qualified Nigerian counsel. A member's dispute file should be assumed discoverable; the schema is built on that assumption rather than against it.</w:t>
      </w:r>
    </w:p>
    <w:p>
      <w:pPr>
        <w:pStyle w:val="Heading3"/>
      </w:pPr>
      <w:r>
        <w:rPr>
          <w:rFonts w:ascii="Calibri" w:hAnsi="Calibri"/>
          <w:b/>
          <w:i w:val="0"/>
          <w:color w:val="0B1F3A"/>
          <w:sz w:val="24"/>
        </w:rPr>
        <w:t>8.3.6 Engagement</w:t>
      </w:r>
    </w:p>
    <w:p>
      <w:r>
        <w:rPr>
          <w:rFonts w:ascii="Calibri" w:hAnsi="Calibri"/>
          <w:b w:val="0"/>
          <w:i w:val="0"/>
          <w:color w:val="101828"/>
          <w:sz w:val="21"/>
        </w:rPr>
        <w:t xml:space="preserve">Three entities for keeping people informed and helped. The rule from CANONICAL.md section 8 that SMS is reserved for money-critical and security events is not a UI convention here; it is a column on </w:t>
      </w:r>
      <w:r>
        <w:rPr>
          <w:rFonts w:ascii="Consolas" w:hAnsi="Consolas"/>
          <w:color w:val="146EF5"/>
          <w:sz w:val="21"/>
        </w:rPr>
        <w:t>notification_templates</w:t>
      </w:r>
      <w:r>
        <w:rPr>
          <w:rFonts w:ascii="Calibri" w:hAnsi="Calibri"/>
          <w:b w:val="0"/>
          <w:i w:val="0"/>
          <w:color w:val="101828"/>
          <w:sz w:val="21"/>
        </w:rPr>
        <w:t xml:space="preserve"> and a constraint that rejects a template without an SMS row for any event flagged money-critical or security-critical. Support lives here rather than in Trust and Risk precisely because the </w:t>
      </w:r>
      <w:r>
        <w:rPr>
          <w:rFonts w:ascii="Consolas" w:hAnsi="Consolas"/>
          <w:color w:val="146EF5"/>
          <w:sz w:val="21"/>
        </w:rPr>
        <w:t>support</w:t>
      </w:r>
      <w:r>
        <w:rPr>
          <w:rFonts w:ascii="Calibri" w:hAnsi="Calibri"/>
          <w:b w:val="0"/>
          <w:i w:val="0"/>
          <w:color w:val="101828"/>
          <w:sz w:val="21"/>
        </w:rPr>
        <w:t xml:space="preserve"> role cannot move money, and the schema keeps that separation visible: </w:t>
      </w:r>
      <w:r>
        <w:rPr>
          <w:rFonts w:ascii="Consolas" w:hAnsi="Consolas"/>
          <w:color w:val="146EF5"/>
          <w:sz w:val="21"/>
        </w:rPr>
        <w:t>support_tickets</w:t>
      </w:r>
      <w:r>
        <w:rPr>
          <w:rFonts w:ascii="Calibri" w:hAnsi="Calibri"/>
          <w:b w:val="0"/>
          <w:i w:val="0"/>
          <w:color w:val="101828"/>
          <w:sz w:val="21"/>
        </w:rPr>
        <w:t xml:space="preserve"> has no foreign key to any money table.</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5"/>
              </w:rPr>
              <w:t>Entity</w:t>
            </w:r>
          </w:p>
        </w:tc>
        <w:tc>
          <w:tcPr>
            <w:tcW w:type="dxa" w:w="2808"/>
            <w:shd w:val="clear" w:color="auto" w:fill="0B1F3A"/>
            <w:tcMar>
              <w:top w:w="60" w:type="dxa"/>
              <w:start w:w="110" w:type="dxa"/>
              <w:bottom w:w="60" w:type="dxa"/>
              <w:end w:w="110" w:type="dxa"/>
            </w:tcMar>
          </w:tcPr>
          <w:p>
            <w:pPr>
              <w:spacing w:after="0"/>
            </w:pPr>
            <w:r/>
            <w:r>
              <w:rPr>
                <w:rFonts w:ascii="Calibri" w:hAnsi="Calibri"/>
                <w:b/>
                <w:i w:val="0"/>
                <w:color w:val="FFFFFF"/>
                <w:sz w:val="15"/>
              </w:rPr>
              <w:t>Purpose</w:t>
            </w:r>
          </w:p>
        </w:tc>
        <w:tc>
          <w:tcPr>
            <w:tcW w:type="dxa" w:w="2664"/>
            <w:shd w:val="clear" w:color="auto" w:fill="0B1F3A"/>
            <w:tcMar>
              <w:top w:w="60" w:type="dxa"/>
              <w:start w:w="110" w:type="dxa"/>
              <w:bottom w:w="60" w:type="dxa"/>
              <w:end w:w="110" w:type="dxa"/>
            </w:tcMar>
          </w:tcPr>
          <w:p>
            <w:pPr>
              <w:spacing w:after="0"/>
            </w:pPr>
            <w:r/>
            <w:r>
              <w:rPr>
                <w:rFonts w:ascii="Calibri" w:hAnsi="Calibri"/>
                <w:b/>
                <w:i w:val="0"/>
                <w:color w:val="FFFFFF"/>
                <w:sz w:val="15"/>
              </w:rPr>
              <w:t>Key fields</w:t>
            </w:r>
          </w:p>
        </w:tc>
        <w:tc>
          <w:tcPr>
            <w:tcW w:type="dxa" w:w="2232"/>
            <w:shd w:val="clear" w:color="auto" w:fill="0B1F3A"/>
            <w:tcMar>
              <w:top w:w="60" w:type="dxa"/>
              <w:start w:w="110" w:type="dxa"/>
              <w:bottom w:w="60" w:type="dxa"/>
              <w:end w:w="110" w:type="dxa"/>
            </w:tcMar>
          </w:tcPr>
          <w:p>
            <w:pPr>
              <w:spacing w:after="0"/>
            </w:pPr>
            <w:r/>
            <w:r>
              <w:rPr>
                <w:rFonts w:ascii="Calibri" w:hAnsi="Calibri"/>
                <w:b/>
                <w:i w:val="0"/>
                <w:color w:val="FFFFFF"/>
                <w:sz w:val="15"/>
              </w:rPr>
              <w:t>Relationships</w:t>
            </w:r>
          </w:p>
        </w:tc>
      </w:tr>
      <w:tr>
        <w:trPr>
          <w:cantSplit/>
        </w:trPr>
        <w:tc>
          <w:tcPr>
            <w:tcW w:type="dxa" w:w="1656"/>
            <w:tcMar>
              <w:top w:w="60" w:type="dxa"/>
              <w:start w:w="110" w:type="dxa"/>
              <w:bottom w:w="60" w:type="dxa"/>
              <w:end w:w="110" w:type="dxa"/>
            </w:tcMar>
          </w:tcPr>
          <w:p>
            <w:pPr>
              <w:spacing w:after="0"/>
            </w:pPr>
            <w:r/>
            <w:r>
              <w:rPr>
                <w:rFonts w:ascii="Consolas" w:hAnsi="Consolas"/>
                <w:color w:val="146EF5"/>
                <w:sz w:val="15"/>
              </w:rPr>
              <w:t>notifications</w:t>
            </w:r>
            <w:r>
              <w:rPr>
                <w:rFonts w:ascii="Calibri" w:hAnsi="Calibri"/>
                <w:b w:val="0"/>
                <w:i w:val="0"/>
                <w:color w:val="101828"/>
                <w:sz w:val="15"/>
              </w:rPr>
              <w:t xml:space="preserve"> *</w:t>
            </w:r>
          </w:p>
        </w:tc>
        <w:tc>
          <w:tcPr>
            <w:tcW w:type="dxa" w:w="2808"/>
            <w:tcMar>
              <w:top w:w="60" w:type="dxa"/>
              <w:start w:w="110" w:type="dxa"/>
              <w:bottom w:w="60" w:type="dxa"/>
              <w:end w:w="110" w:type="dxa"/>
            </w:tcMar>
          </w:tcPr>
          <w:p>
            <w:pPr>
              <w:spacing w:after="0"/>
            </w:pPr>
            <w:r/>
            <w:r>
              <w:rPr>
                <w:rFonts w:ascii="Calibri" w:hAnsi="Calibri"/>
                <w:b w:val="0"/>
                <w:i w:val="0"/>
                <w:color w:val="101828"/>
                <w:sz w:val="15"/>
              </w:rPr>
              <w:t xml:space="preserve">One notification instance to one user, on one channel. The queue and the inbox are the same row; </w:t>
            </w:r>
            <w:r>
              <w:rPr>
                <w:rFonts w:ascii="Consolas" w:hAnsi="Consolas"/>
                <w:color w:val="146EF5"/>
                <w:sz w:val="15"/>
              </w:rPr>
              <w:t>read_at</w:t>
            </w:r>
            <w:r>
              <w:rPr>
                <w:rFonts w:ascii="Calibri" w:hAnsi="Calibri"/>
                <w:b w:val="0"/>
                <w:i w:val="0"/>
                <w:color w:val="101828"/>
                <w:sz w:val="15"/>
              </w:rPr>
              <w:t xml:space="preserve"> distinguishes them.</w:t>
            </w:r>
          </w:p>
        </w:tc>
        <w:tc>
          <w:tcPr>
            <w:tcW w:type="dxa" w:w="2664"/>
            <w:tcMar>
              <w:top w:w="60" w:type="dxa"/>
              <w:start w:w="110" w:type="dxa"/>
              <w:bottom w:w="60" w:type="dxa"/>
              <w:end w:w="110" w:type="dxa"/>
            </w:tcMar>
          </w:tcPr>
          <w:p>
            <w:pPr>
              <w:spacing w:after="0"/>
            </w:pPr>
            <w:r/>
            <w:r>
              <w:rPr>
                <w:rFonts w:ascii="Consolas" w:hAnsi="Consolas"/>
                <w:color w:val="146EF5"/>
                <w:sz w:val="15"/>
              </w:rPr>
              <w:t>user_id</w:t>
            </w:r>
            <w:r>
              <w:rPr>
                <w:rFonts w:ascii="Calibri" w:hAnsi="Calibri"/>
                <w:b w:val="0"/>
                <w:i w:val="0"/>
                <w:color w:val="101828"/>
                <w:sz w:val="15"/>
              </w:rPr>
              <w:t xml:space="preserve">, </w:t>
            </w:r>
            <w:r>
              <w:rPr>
                <w:rFonts w:ascii="Consolas" w:hAnsi="Consolas"/>
                <w:color w:val="146EF5"/>
                <w:sz w:val="15"/>
              </w:rPr>
              <w:t>template_id</w:t>
            </w:r>
            <w:r>
              <w:rPr>
                <w:rFonts w:ascii="Calibri" w:hAnsi="Calibri"/>
                <w:b w:val="0"/>
                <w:i w:val="0"/>
                <w:color w:val="101828"/>
                <w:sz w:val="15"/>
              </w:rPr>
              <w:t xml:space="preserve">, </w:t>
            </w:r>
            <w:r>
              <w:rPr>
                <w:rFonts w:ascii="Consolas" w:hAnsi="Consolas"/>
                <w:color w:val="146EF5"/>
                <w:sz w:val="15"/>
              </w:rPr>
              <w:t>event_key</w:t>
            </w:r>
            <w:r>
              <w:rPr>
                <w:rFonts w:ascii="Calibri" w:hAnsi="Calibri"/>
                <w:b w:val="0"/>
                <w:i w:val="0"/>
                <w:color w:val="101828"/>
                <w:sz w:val="15"/>
              </w:rPr>
              <w:t xml:space="preserve">, </w:t>
            </w:r>
            <w:r>
              <w:rPr>
                <w:rFonts w:ascii="Consolas" w:hAnsi="Consolas"/>
                <w:color w:val="146EF5"/>
                <w:sz w:val="15"/>
              </w:rPr>
              <w:t>channel</w:t>
            </w:r>
            <w:r>
              <w:rPr>
                <w:rFonts w:ascii="Calibri" w:hAnsi="Calibri"/>
                <w:b w:val="0"/>
                <w:i w:val="0"/>
                <w:color w:val="101828"/>
                <w:sz w:val="15"/>
              </w:rPr>
              <w:t xml:space="preserve">, </w:t>
            </w:r>
            <w:r>
              <w:rPr>
                <w:rFonts w:ascii="Consolas" w:hAnsi="Consolas"/>
                <w:color w:val="146EF5"/>
                <w:sz w:val="15"/>
              </w:rPr>
              <w:t>status</w:t>
            </w:r>
            <w:r>
              <w:rPr>
                <w:rFonts w:ascii="Calibri" w:hAnsi="Calibri"/>
                <w:b w:val="0"/>
                <w:i w:val="0"/>
                <w:color w:val="101828"/>
                <w:sz w:val="15"/>
              </w:rPr>
              <w:t xml:space="preserve">, </w:t>
            </w:r>
            <w:r>
              <w:rPr>
                <w:rFonts w:ascii="Consolas" w:hAnsi="Consolas"/>
                <w:color w:val="146EF5"/>
                <w:sz w:val="15"/>
              </w:rPr>
              <w:t>subject</w:t>
            </w:r>
            <w:r>
              <w:rPr>
                <w:rFonts w:ascii="Calibri" w:hAnsi="Calibri"/>
                <w:b w:val="0"/>
                <w:i w:val="0"/>
                <w:color w:val="101828"/>
                <w:sz w:val="15"/>
              </w:rPr>
              <w:t xml:space="preserve">, </w:t>
            </w:r>
            <w:r>
              <w:rPr>
                <w:rFonts w:ascii="Consolas" w:hAnsi="Consolas"/>
                <w:color w:val="146EF5"/>
                <w:sz w:val="15"/>
              </w:rPr>
              <w:t>body</w:t>
            </w:r>
            <w:r>
              <w:rPr>
                <w:rFonts w:ascii="Calibri" w:hAnsi="Calibri"/>
                <w:b w:val="0"/>
                <w:i w:val="0"/>
                <w:color w:val="101828"/>
                <w:sz w:val="15"/>
              </w:rPr>
              <w:t xml:space="preserve">, </w:t>
            </w:r>
            <w:r>
              <w:rPr>
                <w:rFonts w:ascii="Consolas" w:hAnsi="Consolas"/>
                <w:color w:val="146EF5"/>
                <w:sz w:val="15"/>
              </w:rPr>
              <w:t>payload</w:t>
            </w:r>
            <w:r>
              <w:rPr>
                <w:rFonts w:ascii="Calibri" w:hAnsi="Calibri"/>
                <w:b w:val="0"/>
                <w:i w:val="0"/>
                <w:color w:val="101828"/>
                <w:sz w:val="15"/>
              </w:rPr>
              <w:t xml:space="preserve"> (jsonb), </w:t>
            </w:r>
            <w:r>
              <w:rPr>
                <w:rFonts w:ascii="Consolas" w:hAnsi="Consolas"/>
                <w:color w:val="146EF5"/>
                <w:sz w:val="15"/>
              </w:rPr>
              <w:t>dedupe_key</w:t>
            </w:r>
            <w:r>
              <w:rPr>
                <w:rFonts w:ascii="Calibri" w:hAnsi="Calibri"/>
                <w:b w:val="0"/>
                <w:i w:val="0"/>
                <w:color w:val="101828"/>
                <w:sz w:val="15"/>
              </w:rPr>
              <w:t xml:space="preserve">, </w:t>
            </w:r>
            <w:r>
              <w:rPr>
                <w:rFonts w:ascii="Consolas" w:hAnsi="Consolas"/>
                <w:color w:val="146EF5"/>
                <w:sz w:val="15"/>
              </w:rPr>
              <w:t>scheduled_for</w:t>
            </w:r>
            <w:r>
              <w:rPr>
                <w:rFonts w:ascii="Calibri" w:hAnsi="Calibri"/>
                <w:b w:val="0"/>
                <w:i w:val="0"/>
                <w:color w:val="101828"/>
                <w:sz w:val="15"/>
              </w:rPr>
              <w:t xml:space="preserve">, </w:t>
            </w:r>
            <w:r>
              <w:rPr>
                <w:rFonts w:ascii="Consolas" w:hAnsi="Consolas"/>
                <w:color w:val="146EF5"/>
                <w:sz w:val="15"/>
              </w:rPr>
              <w:t>sent_at</w:t>
            </w:r>
            <w:r>
              <w:rPr>
                <w:rFonts w:ascii="Calibri" w:hAnsi="Calibri"/>
                <w:b w:val="0"/>
                <w:i w:val="0"/>
                <w:color w:val="101828"/>
                <w:sz w:val="15"/>
              </w:rPr>
              <w:t xml:space="preserve">, </w:t>
            </w:r>
            <w:r>
              <w:rPr>
                <w:rFonts w:ascii="Consolas" w:hAnsi="Consolas"/>
                <w:color w:val="146EF5"/>
                <w:sz w:val="15"/>
              </w:rPr>
              <w:t>read_at</w:t>
            </w:r>
          </w:p>
        </w:tc>
        <w:tc>
          <w:tcPr>
            <w:tcW w:type="dxa" w:w="2232"/>
            <w:tcMar>
              <w:top w:w="60" w:type="dxa"/>
              <w:start w:w="110" w:type="dxa"/>
              <w:bottom w:w="60" w:type="dxa"/>
              <w:end w:w="110" w:type="dxa"/>
            </w:tcMar>
          </w:tcPr>
          <w:p>
            <w:pPr>
              <w:spacing w:after="0"/>
            </w:pPr>
            <w:r/>
            <w:r>
              <w:rPr>
                <w:rFonts w:ascii="Calibri" w:hAnsi="Calibri"/>
                <w:b w:val="0"/>
                <w:i w:val="0"/>
                <w:color w:val="101828"/>
                <w:sz w:val="15"/>
              </w:rPr>
              <w:t>N:1 users and notification_templates</w:t>
            </w:r>
          </w:p>
        </w:tc>
      </w:tr>
      <w:tr>
        <w:trPr>
          <w:cantSplit/>
        </w:trPr>
        <w:tc>
          <w:tcPr>
            <w:tcW w:type="dxa" w:w="1656"/>
            <w:tcMar>
              <w:top w:w="60" w:type="dxa"/>
              <w:start w:w="110" w:type="dxa"/>
              <w:bottom w:w="60" w:type="dxa"/>
              <w:end w:w="110" w:type="dxa"/>
            </w:tcMar>
            <w:shd w:val="clear" w:color="auto" w:fill="F4F7FB"/>
          </w:tcPr>
          <w:p>
            <w:pPr>
              <w:spacing w:after="0"/>
            </w:pPr>
            <w:r/>
            <w:r>
              <w:rPr>
                <w:rFonts w:ascii="Consolas" w:hAnsi="Consolas"/>
                <w:color w:val="146EF5"/>
                <w:sz w:val="15"/>
              </w:rPr>
              <w:t>notification_preferences</w:t>
            </w:r>
            <w:r>
              <w:rPr>
                <w:rFonts w:ascii="Calibri" w:hAnsi="Calibri"/>
                <w:b w:val="0"/>
                <w:i w:val="0"/>
                <w:color w:val="101828"/>
                <w:sz w:val="15"/>
              </w:rPr>
              <w:t xml:space="preserve"> *</w:t>
            </w:r>
          </w:p>
        </w:tc>
        <w:tc>
          <w:tcPr>
            <w:tcW w:type="dxa" w:w="2808"/>
            <w:tcMar>
              <w:top w:w="60" w:type="dxa"/>
              <w:start w:w="110" w:type="dxa"/>
              <w:bottom w:w="60" w:type="dxa"/>
              <w:end w:w="110" w:type="dxa"/>
            </w:tcMar>
            <w:shd w:val="clear" w:color="auto" w:fill="F4F7FB"/>
          </w:tcPr>
          <w:p>
            <w:pPr>
              <w:spacing w:after="0"/>
            </w:pPr>
            <w:r/>
            <w:r>
              <w:rPr>
                <w:rFonts w:ascii="Calibri" w:hAnsi="Calibri"/>
                <w:b w:val="0"/>
                <w:i w:val="0"/>
                <w:color w:val="101828"/>
                <w:sz w:val="15"/>
              </w:rPr>
              <w:t>Per-user channel opt-in. Defaults come from the catalogue, not from the user's history, so a new user is safe by default rather than noisy by default.</w:t>
            </w:r>
          </w:p>
        </w:tc>
        <w:tc>
          <w:tcPr>
            <w:tcW w:type="dxa" w:w="2664"/>
            <w:tcMar>
              <w:top w:w="60" w:type="dxa"/>
              <w:start w:w="110" w:type="dxa"/>
              <w:bottom w:w="60" w:type="dxa"/>
              <w:end w:w="110" w:type="dxa"/>
            </w:tcMar>
            <w:shd w:val="clear" w:color="auto" w:fill="F4F7FB"/>
          </w:tcPr>
          <w:p>
            <w:pPr>
              <w:spacing w:after="0"/>
            </w:pPr>
            <w:r/>
            <w:r>
              <w:rPr>
                <w:rFonts w:ascii="Consolas" w:hAnsi="Consolas"/>
                <w:color w:val="146EF5"/>
                <w:sz w:val="15"/>
              </w:rPr>
              <w:t>user_id</w:t>
            </w:r>
            <w:r>
              <w:rPr>
                <w:rFonts w:ascii="Calibri" w:hAnsi="Calibri"/>
                <w:b w:val="0"/>
                <w:i w:val="0"/>
                <w:color w:val="101828"/>
                <w:sz w:val="15"/>
              </w:rPr>
              <w:t xml:space="preserve"> UNIQUE, </w:t>
            </w:r>
            <w:r>
              <w:rPr>
                <w:rFonts w:ascii="Consolas" w:hAnsi="Consolas"/>
                <w:color w:val="146EF5"/>
                <w:sz w:val="15"/>
              </w:rPr>
              <w:t>push_enabled</w:t>
            </w:r>
            <w:r>
              <w:rPr>
                <w:rFonts w:ascii="Calibri" w:hAnsi="Calibri"/>
                <w:b w:val="0"/>
                <w:i w:val="0"/>
                <w:color w:val="101828"/>
                <w:sz w:val="15"/>
              </w:rPr>
              <w:t xml:space="preserve">, </w:t>
            </w:r>
            <w:r>
              <w:rPr>
                <w:rFonts w:ascii="Consolas" w:hAnsi="Consolas"/>
                <w:color w:val="146EF5"/>
                <w:sz w:val="15"/>
              </w:rPr>
              <w:t>email_enabled</w:t>
            </w:r>
            <w:r>
              <w:rPr>
                <w:rFonts w:ascii="Calibri" w:hAnsi="Calibri"/>
                <w:b w:val="0"/>
                <w:i w:val="0"/>
                <w:color w:val="101828"/>
                <w:sz w:val="15"/>
              </w:rPr>
              <w:t xml:space="preserve">, </w:t>
            </w:r>
            <w:r>
              <w:rPr>
                <w:rFonts w:ascii="Consolas" w:hAnsi="Consolas"/>
                <w:color w:val="146EF5"/>
                <w:sz w:val="15"/>
              </w:rPr>
              <w:t>sms_enabled</w:t>
            </w:r>
            <w:r>
              <w:rPr>
                <w:rFonts w:ascii="Calibri" w:hAnsi="Calibri"/>
                <w:b w:val="0"/>
                <w:i w:val="0"/>
                <w:color w:val="101828"/>
                <w:sz w:val="15"/>
              </w:rPr>
              <w:t xml:space="preserve">, </w:t>
            </w:r>
            <w:r>
              <w:rPr>
                <w:rFonts w:ascii="Consolas" w:hAnsi="Consolas"/>
                <w:color w:val="146EF5"/>
                <w:sz w:val="15"/>
              </w:rPr>
              <w:t>quiet_hours_start</w:t>
            </w:r>
            <w:r>
              <w:rPr>
                <w:rFonts w:ascii="Calibri" w:hAnsi="Calibri"/>
                <w:b w:val="0"/>
                <w:i w:val="0"/>
                <w:color w:val="101828"/>
                <w:sz w:val="15"/>
              </w:rPr>
              <w:t xml:space="preserve">, </w:t>
            </w:r>
            <w:r>
              <w:rPr>
                <w:rFonts w:ascii="Consolas" w:hAnsi="Consolas"/>
                <w:color w:val="146EF5"/>
                <w:sz w:val="15"/>
              </w:rPr>
              <w:t>quiet_hours_end</w:t>
            </w:r>
            <w:r>
              <w:rPr>
                <w:rFonts w:ascii="Calibri" w:hAnsi="Calibri"/>
                <w:b w:val="0"/>
                <w:i w:val="0"/>
                <w:color w:val="101828"/>
                <w:sz w:val="15"/>
              </w:rPr>
              <w:t xml:space="preserve">, </w:t>
            </w:r>
            <w:r>
              <w:rPr>
                <w:rFonts w:ascii="Consolas" w:hAnsi="Consolas"/>
                <w:color w:val="146EF5"/>
                <w:sz w:val="15"/>
              </w:rPr>
              <w:t>money_sms_opt_in</w:t>
            </w:r>
          </w:p>
        </w:tc>
        <w:tc>
          <w:tcPr>
            <w:tcW w:type="dxa" w:w="2232"/>
            <w:tcMar>
              <w:top w:w="60" w:type="dxa"/>
              <w:start w:w="110" w:type="dxa"/>
              <w:bottom w:w="60" w:type="dxa"/>
              <w:end w:w="110" w:type="dxa"/>
            </w:tcMar>
            <w:shd w:val="clear" w:color="auto" w:fill="F4F7FB"/>
          </w:tcPr>
          <w:p>
            <w:pPr>
              <w:spacing w:after="0"/>
            </w:pPr>
            <w:r/>
            <w:r>
              <w:rPr>
                <w:rFonts w:ascii="Calibri" w:hAnsi="Calibri"/>
                <w:b w:val="0"/>
                <w:i w:val="0"/>
                <w:color w:val="101828"/>
                <w:sz w:val="15"/>
              </w:rPr>
              <w:t>1:1 users</w:t>
            </w:r>
          </w:p>
        </w:tc>
      </w:tr>
      <w:tr>
        <w:trPr>
          <w:cantSplit/>
        </w:trPr>
        <w:tc>
          <w:tcPr>
            <w:tcW w:type="dxa" w:w="1656"/>
            <w:tcMar>
              <w:top w:w="60" w:type="dxa"/>
              <w:start w:w="110" w:type="dxa"/>
              <w:bottom w:w="60" w:type="dxa"/>
              <w:end w:w="110" w:type="dxa"/>
            </w:tcMar>
          </w:tcPr>
          <w:p>
            <w:pPr>
              <w:spacing w:after="0"/>
            </w:pPr>
            <w:r/>
            <w:r>
              <w:rPr>
                <w:rFonts w:ascii="Consolas" w:hAnsi="Consolas"/>
                <w:color w:val="146EF5"/>
                <w:sz w:val="15"/>
              </w:rPr>
              <w:t>support_tickets</w:t>
            </w:r>
            <w:r>
              <w:rPr>
                <w:rFonts w:ascii="Calibri" w:hAnsi="Calibri"/>
                <w:b w:val="0"/>
                <w:i w:val="0"/>
                <w:color w:val="101828"/>
                <w:sz w:val="15"/>
              </w:rPr>
              <w:t xml:space="preserve"> S</w:t>
            </w:r>
          </w:p>
        </w:tc>
        <w:tc>
          <w:tcPr>
            <w:tcW w:type="dxa" w:w="2808"/>
            <w:tcMar>
              <w:top w:w="60" w:type="dxa"/>
              <w:start w:w="110" w:type="dxa"/>
              <w:bottom w:w="60" w:type="dxa"/>
              <w:end w:w="110" w:type="dxa"/>
            </w:tcMar>
          </w:tcPr>
          <w:p>
            <w:pPr>
              <w:spacing w:after="0"/>
            </w:pPr>
            <w:r/>
            <w:r>
              <w:rPr>
                <w:rFonts w:ascii="Calibri" w:hAnsi="Calibri"/>
                <w:b w:val="0"/>
                <w:i w:val="0"/>
                <w:color w:val="101828"/>
                <w:sz w:val="15"/>
              </w:rPr>
              <w:t xml:space="preserve">A support conversation that is not a dispute and has no access to money. </w:t>
            </w:r>
            <w:r>
              <w:rPr>
                <w:rFonts w:ascii="Consolas" w:hAnsi="Consolas"/>
                <w:color w:val="146EF5"/>
                <w:sz w:val="15"/>
              </w:rPr>
              <w:t>thread</w:t>
            </w:r>
            <w:r>
              <w:rPr>
                <w:rFonts w:ascii="Calibri" w:hAnsi="Calibri"/>
                <w:b w:val="0"/>
                <w:i w:val="0"/>
                <w:color w:val="101828"/>
                <w:sz w:val="15"/>
              </w:rPr>
              <w:t xml:space="preserve"> is a jsonb array because a support thread is small, append-in-order, and never queried relationally.</w:t>
            </w:r>
          </w:p>
        </w:tc>
        <w:tc>
          <w:tcPr>
            <w:tcW w:type="dxa" w:w="2664"/>
            <w:tcMar>
              <w:top w:w="60" w:type="dxa"/>
              <w:start w:w="110" w:type="dxa"/>
              <w:bottom w:w="60" w:type="dxa"/>
              <w:end w:w="110" w:type="dxa"/>
            </w:tcMar>
          </w:tcPr>
          <w:p>
            <w:pPr>
              <w:spacing w:after="0"/>
            </w:pPr>
            <w:r/>
            <w:r>
              <w:rPr>
                <w:rFonts w:ascii="Consolas" w:hAnsi="Consolas"/>
                <w:color w:val="146EF5"/>
                <w:sz w:val="15"/>
              </w:rPr>
              <w:t>user_id</w:t>
            </w:r>
            <w:r>
              <w:rPr>
                <w:rFonts w:ascii="Calibri" w:hAnsi="Calibri"/>
                <w:b w:val="0"/>
                <w:i w:val="0"/>
                <w:color w:val="101828"/>
                <w:sz w:val="15"/>
              </w:rPr>
              <w:t xml:space="preserve">, </w:t>
            </w:r>
            <w:r>
              <w:rPr>
                <w:rFonts w:ascii="Consolas" w:hAnsi="Consolas"/>
                <w:color w:val="146EF5"/>
                <w:sz w:val="15"/>
              </w:rPr>
              <w:t>ajo_id</w:t>
            </w:r>
            <w:r>
              <w:rPr>
                <w:rFonts w:ascii="Calibri" w:hAnsi="Calibri"/>
                <w:b w:val="0"/>
                <w:i w:val="0"/>
                <w:color w:val="101828"/>
                <w:sz w:val="15"/>
              </w:rPr>
              <w:t xml:space="preserve">, </w:t>
            </w:r>
            <w:r>
              <w:rPr>
                <w:rFonts w:ascii="Consolas" w:hAnsi="Consolas"/>
                <w:color w:val="146EF5"/>
                <w:sz w:val="15"/>
              </w:rPr>
              <w:t>category</w:t>
            </w:r>
            <w:r>
              <w:rPr>
                <w:rFonts w:ascii="Calibri" w:hAnsi="Calibri"/>
                <w:b w:val="0"/>
                <w:i w:val="0"/>
                <w:color w:val="101828"/>
                <w:sz w:val="15"/>
              </w:rPr>
              <w:t xml:space="preserve">, </w:t>
            </w:r>
            <w:r>
              <w:rPr>
                <w:rFonts w:ascii="Consolas" w:hAnsi="Consolas"/>
                <w:color w:val="146EF5"/>
                <w:sz w:val="15"/>
              </w:rPr>
              <w:t>subject</w:t>
            </w:r>
            <w:r>
              <w:rPr>
                <w:rFonts w:ascii="Calibri" w:hAnsi="Calibri"/>
                <w:b w:val="0"/>
                <w:i w:val="0"/>
                <w:color w:val="101828"/>
                <w:sz w:val="15"/>
              </w:rPr>
              <w:t xml:space="preserve">, </w:t>
            </w:r>
            <w:r>
              <w:rPr>
                <w:rFonts w:ascii="Consolas" w:hAnsi="Consolas"/>
                <w:color w:val="146EF5"/>
                <w:sz w:val="15"/>
              </w:rPr>
              <w:t>status</w:t>
            </w:r>
            <w:r>
              <w:rPr>
                <w:rFonts w:ascii="Calibri" w:hAnsi="Calibri"/>
                <w:b w:val="0"/>
                <w:i w:val="0"/>
                <w:color w:val="101828"/>
                <w:sz w:val="15"/>
              </w:rPr>
              <w:t xml:space="preserve">, </w:t>
            </w:r>
            <w:r>
              <w:rPr>
                <w:rFonts w:ascii="Consolas" w:hAnsi="Consolas"/>
                <w:color w:val="146EF5"/>
                <w:sz w:val="15"/>
              </w:rPr>
              <w:t>priority</w:t>
            </w:r>
            <w:r>
              <w:rPr>
                <w:rFonts w:ascii="Calibri" w:hAnsi="Calibri"/>
                <w:b w:val="0"/>
                <w:i w:val="0"/>
                <w:color w:val="101828"/>
                <w:sz w:val="15"/>
              </w:rPr>
              <w:t xml:space="preserve">, </w:t>
            </w:r>
            <w:r>
              <w:rPr>
                <w:rFonts w:ascii="Consolas" w:hAnsi="Consolas"/>
                <w:color w:val="146EF5"/>
                <w:sz w:val="15"/>
              </w:rPr>
              <w:t>assigned_to_user_id</w:t>
            </w:r>
            <w:r>
              <w:rPr>
                <w:rFonts w:ascii="Calibri" w:hAnsi="Calibri"/>
                <w:b w:val="0"/>
                <w:i w:val="0"/>
                <w:color w:val="101828"/>
                <w:sz w:val="15"/>
              </w:rPr>
              <w:t xml:space="preserve">, </w:t>
            </w:r>
            <w:r>
              <w:rPr>
                <w:rFonts w:ascii="Consolas" w:hAnsi="Consolas"/>
                <w:color w:val="146EF5"/>
                <w:sz w:val="15"/>
              </w:rPr>
              <w:t>thread</w:t>
            </w:r>
            <w:r>
              <w:rPr>
                <w:rFonts w:ascii="Calibri" w:hAnsi="Calibri"/>
                <w:b w:val="0"/>
                <w:i w:val="0"/>
                <w:color w:val="101828"/>
                <w:sz w:val="15"/>
              </w:rPr>
              <w:t xml:space="preserve"> (jsonb), </w:t>
            </w:r>
            <w:r>
              <w:rPr>
                <w:rFonts w:ascii="Consolas" w:hAnsi="Consolas"/>
                <w:color w:val="146EF5"/>
                <w:sz w:val="15"/>
              </w:rPr>
              <w:t>resolved_at</w:t>
            </w:r>
          </w:p>
        </w:tc>
        <w:tc>
          <w:tcPr>
            <w:tcW w:type="dxa" w:w="2232"/>
            <w:tcMar>
              <w:top w:w="60" w:type="dxa"/>
              <w:start w:w="110" w:type="dxa"/>
              <w:bottom w:w="60" w:type="dxa"/>
              <w:end w:w="110" w:type="dxa"/>
            </w:tcMar>
          </w:tcPr>
          <w:p>
            <w:pPr>
              <w:spacing w:after="0"/>
            </w:pPr>
            <w:r/>
            <w:r>
              <w:rPr>
                <w:rFonts w:ascii="Calibri" w:hAnsi="Calibri"/>
                <w:b w:val="0"/>
                <w:i w:val="0"/>
                <w:color w:val="101828"/>
                <w:sz w:val="15"/>
              </w:rPr>
              <w:t>N:1 users; 0:1 ajos; 0:1 users (assignee)</w:t>
            </w:r>
          </w:p>
        </w:tc>
      </w:tr>
    </w:tbl>
    <w:p>
      <w:pPr>
        <w:spacing w:after="80"/>
      </w:pP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Relationship</w:t>
            </w:r>
          </w:p>
        </w:tc>
        <w:tc>
          <w:tcPr>
            <w:tcW w:type="dxa" w:w="893"/>
            <w:shd w:val="clear" w:color="auto" w:fill="0B1F3A"/>
            <w:tcMar>
              <w:top w:w="60" w:type="dxa"/>
              <w:start w:w="110" w:type="dxa"/>
              <w:bottom w:w="60" w:type="dxa"/>
              <w:end w:w="110" w:type="dxa"/>
            </w:tcMar>
          </w:tcPr>
          <w:p>
            <w:pPr>
              <w:spacing w:after="0"/>
            </w:pPr>
            <w:r/>
            <w:r>
              <w:rPr>
                <w:rFonts w:ascii="Calibri" w:hAnsi="Calibri"/>
                <w:b/>
                <w:i w:val="0"/>
                <w:color w:val="FFFFFF"/>
                <w:sz w:val="14"/>
              </w:rPr>
              <w:t>Type</w:t>
            </w:r>
          </w:p>
        </w:tc>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4"/>
              </w:rPr>
              <w:t>Card.</w:t>
            </w:r>
          </w:p>
        </w:tc>
        <w:tc>
          <w:tcPr>
            <w:tcW w:type="dxa" w:w="1224"/>
            <w:shd w:val="clear" w:color="auto" w:fill="0B1F3A"/>
            <w:tcMar>
              <w:top w:w="60" w:type="dxa"/>
              <w:start w:w="110" w:type="dxa"/>
              <w:bottom w:w="60" w:type="dxa"/>
              <w:end w:w="110" w:type="dxa"/>
            </w:tcMar>
          </w:tcPr>
          <w:p>
            <w:pPr>
              <w:spacing w:after="0"/>
            </w:pPr>
            <w:r/>
            <w:r>
              <w:rPr>
                <w:rFonts w:ascii="Calibri" w:hAnsi="Calibri"/>
                <w:b/>
                <w:i w:val="0"/>
                <w:color w:val="FFFFFF"/>
                <w:sz w:val="14"/>
              </w:rPr>
              <w:t>FK</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4"/>
              </w:rPr>
              <w:t>Rule</w:t>
            </w:r>
          </w:p>
        </w:tc>
        <w:tc>
          <w:tcPr>
            <w:tcW w:type="dxa" w:w="2419"/>
            <w:shd w:val="clear" w:color="auto" w:fill="0B1F3A"/>
            <w:tcMar>
              <w:top w:w="60" w:type="dxa"/>
              <w:start w:w="110" w:type="dxa"/>
              <w:bottom w:w="60" w:type="dxa"/>
              <w:end w:w="110" w:type="dxa"/>
            </w:tcMar>
          </w:tcPr>
          <w:p>
            <w:pPr>
              <w:spacing w:after="0"/>
            </w:pPr>
            <w:r/>
            <w:r>
              <w:rPr>
                <w:rFonts w:ascii="Calibri" w:hAnsi="Calibri"/>
                <w:b/>
                <w:i w:val="0"/>
                <w:color w:val="FFFFFF"/>
                <w:sz w:val="14"/>
              </w:rPr>
              <w:t>Cascade behaviour</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users -&gt; notification_preferences</w:t>
            </w:r>
          </w:p>
        </w:tc>
        <w:tc>
          <w:tcPr>
            <w:tcW w:type="dxa" w:w="893"/>
            <w:tcMar>
              <w:top w:w="60" w:type="dxa"/>
              <w:start w:w="110" w:type="dxa"/>
              <w:bottom w:w="60" w:type="dxa"/>
              <w:end w:w="110" w:type="dxa"/>
            </w:tcMar>
          </w:tcPr>
          <w:p>
            <w:pPr>
              <w:spacing w:after="0"/>
            </w:pPr>
            <w:r/>
            <w:r>
              <w:rPr>
                <w:rFonts w:ascii="Calibri" w:hAnsi="Calibri"/>
                <w:b w:val="0"/>
                <w:i w:val="0"/>
                <w:color w:val="101828"/>
                <w:sz w:val="14"/>
              </w:rPr>
              <w:t>1:1</w:t>
            </w:r>
          </w:p>
        </w:tc>
        <w:tc>
          <w:tcPr>
            <w:tcW w:type="dxa" w:w="720"/>
            <w:tcMar>
              <w:top w:w="60" w:type="dxa"/>
              <w:start w:w="110" w:type="dxa"/>
              <w:bottom w:w="60" w:type="dxa"/>
              <w:end w:w="110" w:type="dxa"/>
            </w:tcMar>
          </w:tcPr>
          <w:p>
            <w:pPr>
              <w:spacing w:after="0"/>
            </w:pPr>
            <w:r/>
            <w:r>
              <w:rPr>
                <w:rFonts w:ascii="Calibri" w:hAnsi="Calibri"/>
                <w:b w:val="0"/>
                <w:i w:val="0"/>
                <w:color w:val="101828"/>
                <w:sz w:val="14"/>
              </w:rPr>
              <w:t>1:1</w:t>
            </w:r>
          </w:p>
        </w:tc>
        <w:tc>
          <w:tcPr>
            <w:tcW w:type="dxa" w:w="1224"/>
            <w:tcMar>
              <w:top w:w="60" w:type="dxa"/>
              <w:start w:w="110" w:type="dxa"/>
              <w:bottom w:w="60" w:type="dxa"/>
              <w:end w:w="110" w:type="dxa"/>
            </w:tcMar>
          </w:tcPr>
          <w:p>
            <w:pPr>
              <w:spacing w:after="0"/>
            </w:pPr>
            <w:r/>
            <w:r>
              <w:rPr>
                <w:rFonts w:ascii="Consolas" w:hAnsi="Consolas"/>
                <w:color w:val="146EF5"/>
                <w:sz w:val="14"/>
              </w:rPr>
              <w:t>notification_preferences.user_id</w:t>
            </w:r>
            <w:r>
              <w:rPr>
                <w:rFonts w:ascii="Calibri" w:hAnsi="Calibri"/>
                <w:b w:val="0"/>
                <w:i w:val="0"/>
                <w:color w:val="101828"/>
                <w:sz w:val="14"/>
              </w:rPr>
              <w:t xml:space="preserve"> UNIQUE</w:t>
            </w:r>
          </w:p>
        </w:tc>
        <w:tc>
          <w:tcPr>
            <w:tcW w:type="dxa" w:w="2448"/>
            <w:tcMar>
              <w:top w:w="60" w:type="dxa"/>
              <w:start w:w="110" w:type="dxa"/>
              <w:bottom w:w="60" w:type="dxa"/>
              <w:end w:w="110" w:type="dxa"/>
            </w:tcMar>
          </w:tcPr>
          <w:p>
            <w:pPr>
              <w:spacing w:after="0"/>
            </w:pPr>
            <w:r/>
            <w:r>
              <w:rPr>
                <w:rFonts w:ascii="Calibri" w:hAnsi="Calibri"/>
                <w:b w:val="0"/>
                <w:i w:val="0"/>
                <w:color w:val="101828"/>
                <w:sz w:val="14"/>
              </w:rPr>
              <w:t xml:space="preserve">Created with the user. </w:t>
            </w:r>
            <w:r>
              <w:rPr>
                <w:rFonts w:ascii="Consolas" w:hAnsi="Consolas"/>
                <w:color w:val="146EF5"/>
                <w:sz w:val="14"/>
              </w:rPr>
              <w:t>CHECK (money_sms_opt_in = false OR sms_enabled = true)</w:t>
            </w:r>
            <w:r>
              <w:rPr>
                <w:rFonts w:ascii="Calibri" w:hAnsi="Calibri"/>
                <w:b w:val="0"/>
                <w:i w:val="0"/>
                <w:color w:val="101828"/>
                <w:sz w:val="14"/>
              </w:rPr>
              <w:t>: a member cannot opt into money SMS while SMS is off, which would otherwise silently suppress the payout alerts in CANONICAL.md section 8.</w:t>
            </w:r>
          </w:p>
        </w:tc>
        <w:tc>
          <w:tcPr>
            <w:tcW w:type="dxa" w:w="2419"/>
            <w:tcMar>
              <w:top w:w="60" w:type="dxa"/>
              <w:start w:w="110" w:type="dxa"/>
              <w:bottom w:w="60" w:type="dxa"/>
              <w:end w:w="110" w:type="dxa"/>
            </w:tcMar>
          </w:tcPr>
          <w:p>
            <w:pPr>
              <w:spacing w:after="0"/>
            </w:pPr>
            <w:r/>
            <w:r>
              <w:rPr>
                <w:rFonts w:ascii="Calibri" w:hAnsi="Calibri"/>
                <w:b w:val="0"/>
                <w:i w:val="0"/>
                <w:color w:val="101828"/>
                <w:sz w:val="14"/>
              </w:rPr>
              <w:t>CASCADE. Preferences are settings, not records.</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users -&gt; notifications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notifications.user_id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One row per recipient per channel per event. </w:t>
            </w:r>
            <w:r>
              <w:rPr>
                <w:rFonts w:ascii="Consolas" w:hAnsi="Consolas"/>
                <w:color w:val="146EF5"/>
                <w:sz w:val="14"/>
              </w:rPr>
              <w:t>UNIQUE (dedupe_key, channel)</w:t>
            </w:r>
            <w:r>
              <w:rPr>
                <w:rFonts w:ascii="Calibri" w:hAnsi="Calibri"/>
                <w:b w:val="0"/>
                <w:i w:val="0"/>
                <w:color w:val="101828"/>
                <w:sz w:val="14"/>
              </w:rPr>
              <w:t xml:space="preserve"> is what stops a retried webhook sending the same receipt four times.</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CASCADE. Notifications are derived, and the source event is the record.</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notification_templates -&gt; notifications</w:t>
            </w:r>
          </w:p>
        </w:tc>
        <w:tc>
          <w:tcPr>
            <w:tcW w:type="dxa" w:w="893"/>
            <w:tcMar>
              <w:top w:w="60" w:type="dxa"/>
              <w:start w:w="110" w:type="dxa"/>
              <w:bottom w:w="60" w:type="dxa"/>
              <w:end w:w="110" w:type="dxa"/>
            </w:tcMar>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tcPr>
          <w:p>
            <w:pPr>
              <w:spacing w:after="0"/>
            </w:pPr>
            <w:r/>
            <w:r>
              <w:rPr>
                <w:rFonts w:ascii="Consolas" w:hAnsi="Consolas"/>
                <w:color w:val="146EF5"/>
                <w:sz w:val="14"/>
              </w:rPr>
              <w:t>notifications.template_id</w:t>
            </w:r>
          </w:p>
        </w:tc>
        <w:tc>
          <w:tcPr>
            <w:tcW w:type="dxa" w:w="2448"/>
            <w:tcMar>
              <w:top w:w="60" w:type="dxa"/>
              <w:start w:w="110" w:type="dxa"/>
              <w:bottom w:w="60" w:type="dxa"/>
              <w:end w:w="110" w:type="dxa"/>
            </w:tcMar>
          </w:tcPr>
          <w:p>
            <w:pPr>
              <w:spacing w:after="0"/>
            </w:pPr>
            <w:r/>
            <w:r>
              <w:rPr>
                <w:rFonts w:ascii="Consolas" w:hAnsi="Consolas"/>
                <w:color w:val="146EF5"/>
                <w:sz w:val="14"/>
              </w:rPr>
              <w:t>UNIQUE (event_key, channel)</w:t>
            </w:r>
            <w:r>
              <w:rPr>
                <w:rFonts w:ascii="Calibri" w:hAnsi="Calibri"/>
                <w:b w:val="0"/>
                <w:i w:val="0"/>
                <w:color w:val="101828"/>
                <w:sz w:val="14"/>
              </w:rPr>
              <w:t xml:space="preserve"> on the template. A deferred trigger rejects a template set that omits SMS for any </w:t>
            </w:r>
            <w:r>
              <w:rPr>
                <w:rFonts w:ascii="Consolas" w:hAnsi="Consolas"/>
                <w:color w:val="146EF5"/>
                <w:sz w:val="14"/>
              </w:rPr>
              <w:t>event_key</w:t>
            </w:r>
            <w:r>
              <w:rPr>
                <w:rFonts w:ascii="Calibri" w:hAnsi="Calibri"/>
                <w:b w:val="0"/>
                <w:i w:val="0"/>
                <w:color w:val="101828"/>
                <w:sz w:val="14"/>
              </w:rPr>
              <w:t xml:space="preserve"> flagged money-critical or security-critical.</w:t>
            </w:r>
          </w:p>
        </w:tc>
        <w:tc>
          <w:tcPr>
            <w:tcW w:type="dxa" w:w="2419"/>
            <w:tcMar>
              <w:top w:w="60" w:type="dxa"/>
              <w:start w:w="110" w:type="dxa"/>
              <w:bottom w:w="60" w:type="dxa"/>
              <w:end w:w="110" w:type="dxa"/>
            </w:tcMar>
          </w:tcPr>
          <w:p>
            <w:pPr>
              <w:spacing w:after="0"/>
            </w:pPr>
            <w:r/>
            <w:r>
              <w:rPr>
                <w:rFonts w:ascii="Calibri" w:hAnsi="Calibri"/>
                <w:b w:val="0"/>
                <w:i w:val="0"/>
                <w:color w:val="101828"/>
                <w:sz w:val="14"/>
              </w:rPr>
              <w:t>RESTRICT. A template in use is deactivated, not deleted; deleting it would orphan the reason a notification was sent.</w:t>
            </w:r>
          </w:p>
        </w:tc>
      </w:tr>
      <w:tr>
        <w:trPr>
          <w:cantSplit/>
        </w:trPr>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users -&gt; support_tickets</w:t>
            </w:r>
          </w:p>
        </w:tc>
        <w:tc>
          <w:tcPr>
            <w:tcW w:type="dxa" w:w="893"/>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1:N</w:t>
            </w:r>
          </w:p>
        </w:tc>
        <w:tc>
          <w:tcPr>
            <w:tcW w:type="dxa" w:w="1224"/>
            <w:tcMar>
              <w:top w:w="60" w:type="dxa"/>
              <w:start w:w="110" w:type="dxa"/>
              <w:bottom w:w="60" w:type="dxa"/>
              <w:end w:w="110" w:type="dxa"/>
            </w:tcMar>
            <w:shd w:val="clear" w:color="auto" w:fill="F4F7FB"/>
          </w:tcPr>
          <w:p>
            <w:pPr>
              <w:spacing w:after="0"/>
            </w:pPr>
            <w:r/>
            <w:r>
              <w:rPr>
                <w:rFonts w:ascii="Consolas" w:hAnsi="Consolas"/>
                <w:color w:val="146EF5"/>
                <w:sz w:val="14"/>
              </w:rPr>
              <w:t>support_tickets.user_id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member opens a ticket about their own account or Ajos. </w:t>
            </w:r>
            <w:r>
              <w:rPr>
                <w:rFonts w:ascii="Consolas" w:hAnsi="Consolas"/>
                <w:color w:val="146EF5"/>
                <w:sz w:val="14"/>
              </w:rPr>
              <w:t>support</w:t>
            </w:r>
            <w:r>
              <w:rPr>
                <w:rFonts w:ascii="Calibri" w:hAnsi="Calibri"/>
                <w:b w:val="0"/>
                <w:i w:val="0"/>
                <w:color w:val="101828"/>
                <w:sz w:val="14"/>
              </w:rPr>
              <w:t xml:space="preserve"> may read and reply; </w:t>
            </w:r>
            <w:r>
              <w:rPr>
                <w:rFonts w:ascii="Consolas" w:hAnsi="Consolas"/>
                <w:color w:val="146EF5"/>
                <w:sz w:val="14"/>
              </w:rPr>
              <w:t>support</w:t>
            </w:r>
            <w:r>
              <w:rPr>
                <w:rFonts w:ascii="Calibri" w:hAnsi="Calibri"/>
                <w:b w:val="0"/>
                <w:i w:val="0"/>
                <w:color w:val="101828"/>
                <w:sz w:val="14"/>
              </w:rPr>
              <w:t xml:space="preserve"> may not write to any table in the money domain, and no support table has an FK into one.</w:t>
            </w:r>
          </w:p>
        </w:tc>
        <w:tc>
          <w:tcPr>
            <w:tcW w:type="dxa" w:w="2419"/>
            <w:tcMar>
              <w:top w:w="60" w:type="dxa"/>
              <w:start w:w="110" w:type="dxa"/>
              <w:bottom w:w="60" w:type="dxa"/>
              <w:end w:w="110" w:type="dxa"/>
            </w:tcMar>
            <w:shd w:val="clear" w:color="auto" w:fill="F4F7FB"/>
          </w:tcPr>
          <w:p>
            <w:pPr>
              <w:spacing w:after="0"/>
            </w:pPr>
            <w:r/>
            <w:r>
              <w:rPr>
                <w:rFonts w:ascii="Calibri" w:hAnsi="Calibri"/>
                <w:b w:val="0"/>
                <w:i w:val="0"/>
                <w:color w:val="101828"/>
                <w:sz w:val="14"/>
              </w:rPr>
              <w:t>CASCADE. Support conversations are not financial records.</w:t>
            </w:r>
          </w:p>
        </w:tc>
      </w:tr>
      <w:tr>
        <w:trPr>
          <w:cantSplit/>
        </w:trPr>
        <w:tc>
          <w:tcPr>
            <w:tcW w:type="dxa" w:w="1656"/>
            <w:tcMar>
              <w:top w:w="60" w:type="dxa"/>
              <w:start w:w="110" w:type="dxa"/>
              <w:bottom w:w="60" w:type="dxa"/>
              <w:end w:w="110" w:type="dxa"/>
            </w:tcMar>
          </w:tcPr>
          <w:p>
            <w:pPr>
              <w:spacing w:after="0"/>
            </w:pPr>
            <w:r/>
            <w:r>
              <w:rPr>
                <w:rFonts w:ascii="Calibri" w:hAnsi="Calibri"/>
                <w:b w:val="0"/>
                <w:i w:val="0"/>
                <w:color w:val="101828"/>
                <w:sz w:val="14"/>
              </w:rPr>
              <w:t>ajos -&gt; support_tickets</w:t>
            </w:r>
          </w:p>
        </w:tc>
        <w:tc>
          <w:tcPr>
            <w:tcW w:type="dxa" w:w="893"/>
            <w:tcMar>
              <w:top w:w="60" w:type="dxa"/>
              <w:start w:w="110" w:type="dxa"/>
              <w:bottom w:w="60" w:type="dxa"/>
              <w:end w:w="110" w:type="dxa"/>
            </w:tcMar>
          </w:tcPr>
          <w:p>
            <w:pPr>
              <w:spacing w:after="0"/>
            </w:pPr>
            <w:r/>
            <w:r>
              <w:rPr>
                <w:rFonts w:ascii="Calibri" w:hAnsi="Calibri"/>
                <w:b w:val="0"/>
                <w:i w:val="0"/>
                <w:color w:val="101828"/>
                <w:sz w:val="14"/>
              </w:rPr>
              <w:t>1:N</w:t>
            </w:r>
          </w:p>
        </w:tc>
        <w:tc>
          <w:tcPr>
            <w:tcW w:type="dxa" w:w="720"/>
            <w:tcMar>
              <w:top w:w="60" w:type="dxa"/>
              <w:start w:w="110" w:type="dxa"/>
              <w:bottom w:w="60" w:type="dxa"/>
              <w:end w:w="110" w:type="dxa"/>
            </w:tcMar>
          </w:tcPr>
          <w:p>
            <w:pPr>
              <w:spacing w:after="0"/>
            </w:pPr>
            <w:r/>
            <w:r>
              <w:rPr>
                <w:rFonts w:ascii="Calibri" w:hAnsi="Calibri"/>
                <w:b w:val="0"/>
                <w:i w:val="0"/>
                <w:color w:val="101828"/>
                <w:sz w:val="14"/>
              </w:rPr>
              <w:t>0:1</w:t>
            </w:r>
          </w:p>
        </w:tc>
        <w:tc>
          <w:tcPr>
            <w:tcW w:type="dxa" w:w="1224"/>
            <w:tcMar>
              <w:top w:w="60" w:type="dxa"/>
              <w:start w:w="110" w:type="dxa"/>
              <w:bottom w:w="60" w:type="dxa"/>
              <w:end w:w="110" w:type="dxa"/>
            </w:tcMar>
          </w:tcPr>
          <w:p>
            <w:pPr>
              <w:spacing w:after="0"/>
            </w:pPr>
            <w:r/>
            <w:r>
              <w:rPr>
                <w:rFonts w:ascii="Consolas" w:hAnsi="Consolas"/>
                <w:color w:val="146EF5"/>
                <w:sz w:val="14"/>
              </w:rPr>
              <w:t>support_tickets.ajo_id</w:t>
            </w:r>
          </w:p>
        </w:tc>
        <w:tc>
          <w:tcPr>
            <w:tcW w:type="dxa" w:w="2448"/>
            <w:tcMar>
              <w:top w:w="60" w:type="dxa"/>
              <w:start w:w="110" w:type="dxa"/>
              <w:bottom w:w="60" w:type="dxa"/>
              <w:end w:w="110" w:type="dxa"/>
            </w:tcMar>
          </w:tcPr>
          <w:p>
            <w:pPr>
              <w:spacing w:after="0"/>
            </w:pPr>
            <w:r/>
            <w:r>
              <w:rPr>
                <w:rFonts w:ascii="Calibri" w:hAnsi="Calibri"/>
                <w:b w:val="0"/>
                <w:i w:val="0"/>
                <w:color w:val="101828"/>
                <w:sz w:val="14"/>
              </w:rPr>
              <w:t xml:space="preserve">Optional context. A ticket about an Ajo can be read by that Ajo's members only if </w:t>
            </w:r>
            <w:r>
              <w:rPr>
                <w:rFonts w:ascii="Consolas" w:hAnsi="Consolas"/>
                <w:color w:val="146EF5"/>
                <w:sz w:val="14"/>
              </w:rPr>
              <w:t>visibility</w:t>
            </w:r>
            <w:r>
              <w:rPr>
                <w:rFonts w:ascii="Calibri" w:hAnsi="Calibri"/>
                <w:b w:val="0"/>
                <w:i w:val="0"/>
                <w:color w:val="101828"/>
                <w:sz w:val="14"/>
              </w:rPr>
              <w:t xml:space="preserve"> permits; default is private to the requester and </w:t>
            </w:r>
            <w:r>
              <w:rPr>
                <w:rFonts w:ascii="Consolas" w:hAnsi="Consolas"/>
                <w:color w:val="146EF5"/>
                <w:sz w:val="14"/>
              </w:rPr>
              <w:t>support</w:t>
            </w:r>
            <w:r>
              <w:rPr>
                <w:rFonts w:ascii="Calibri" w:hAnsi="Calibri"/>
                <w:b w:val="0"/>
                <w:i w:val="0"/>
                <w:color w:val="101828"/>
                <w:sz w:val="14"/>
              </w:rPr>
              <w:t>.</w:t>
            </w:r>
          </w:p>
        </w:tc>
        <w:tc>
          <w:tcPr>
            <w:tcW w:type="dxa" w:w="2419"/>
            <w:tcMar>
              <w:top w:w="60" w:type="dxa"/>
              <w:start w:w="110" w:type="dxa"/>
              <w:bottom w:w="60" w:type="dxa"/>
              <w:end w:w="110" w:type="dxa"/>
            </w:tcMar>
          </w:tcPr>
          <w:p>
            <w:pPr>
              <w:spacing w:after="0"/>
            </w:pPr>
            <w:r/>
            <w:r>
              <w:rPr>
                <w:rFonts w:ascii="Calibri" w:hAnsi="Calibri"/>
                <w:b w:val="0"/>
                <w:i w:val="0"/>
                <w:color w:val="101828"/>
                <w:sz w:val="14"/>
              </w:rPr>
              <w:t>SET NULL. A deleted or anonymised Ajo does not take a support thread with it, and vice versa.</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Why support is not in the money domain  </w:t>
      </w:r>
      <w:r>
        <w:rPr>
          <w:rFonts w:ascii="Calibri" w:hAnsi="Calibri"/>
          <w:b w:val="0"/>
          <w:i w:val="0"/>
          <w:color w:val="0B1F3A"/>
          <w:sz w:val="19"/>
        </w:rPr>
        <w:t xml:space="preserve">CANONICAL.md section 2 gives </w:t>
      </w:r>
      <w:r>
        <w:rPr>
          <w:rFonts w:ascii="Consolas" w:hAnsi="Consolas"/>
          <w:color w:val="146EF5"/>
          <w:sz w:val="19"/>
        </w:rPr>
        <w:t>support</w:t>
      </w:r>
      <w:r>
        <w:rPr>
          <w:rFonts w:ascii="Calibri" w:hAnsi="Calibri"/>
          <w:b w:val="0"/>
          <w:i w:val="0"/>
          <w:color w:val="0B1F3A"/>
          <w:sz w:val="19"/>
        </w:rPr>
        <w:t xml:space="preserve"> the ability to read all records and assist with disputes, and the explicit inability to move money or alter financial records. The strongest way to enforce that is structural rather than procedural: no table reachable from </w:t>
      </w:r>
      <w:r>
        <w:rPr>
          <w:rFonts w:ascii="Consolas" w:hAnsi="Consolas"/>
          <w:color w:val="146EF5"/>
          <w:sz w:val="19"/>
        </w:rPr>
        <w:t>support_tickets</w:t>
      </w:r>
      <w:r>
        <w:rPr>
          <w:rFonts w:ascii="Calibri" w:hAnsi="Calibri"/>
          <w:b w:val="0"/>
          <w:i w:val="0"/>
          <w:color w:val="0B1F3A"/>
          <w:sz w:val="19"/>
        </w:rPr>
        <w:t xml:space="preserve"> has a foreign key into </w:t>
      </w:r>
      <w:r>
        <w:rPr>
          <w:rFonts w:ascii="Consolas" w:hAnsi="Consolas"/>
          <w:color w:val="146EF5"/>
          <w:sz w:val="19"/>
        </w:rPr>
        <w:t>payments</w:t>
      </w:r>
      <w:r>
        <w:rPr>
          <w:rFonts w:ascii="Calibri" w:hAnsi="Calibri"/>
          <w:b w:val="0"/>
          <w:i w:val="0"/>
          <w:color w:val="0B1F3A"/>
          <w:sz w:val="19"/>
        </w:rPr>
        <w:t xml:space="preserve">, </w:t>
      </w:r>
      <w:r>
        <w:rPr>
          <w:rFonts w:ascii="Consolas" w:hAnsi="Consolas"/>
          <w:color w:val="146EF5"/>
          <w:sz w:val="19"/>
        </w:rPr>
        <w:t>payouts</w:t>
      </w:r>
      <w:r>
        <w:rPr>
          <w:rFonts w:ascii="Calibri" w:hAnsi="Calibri"/>
          <w:b w:val="0"/>
          <w:i w:val="0"/>
          <w:color w:val="0B1F3A"/>
          <w:sz w:val="19"/>
        </w:rPr>
        <w:t xml:space="preserve">, </w:t>
      </w:r>
      <w:r>
        <w:rPr>
          <w:rFonts w:ascii="Consolas" w:hAnsi="Consolas"/>
          <w:color w:val="146EF5"/>
          <w:sz w:val="19"/>
        </w:rPr>
        <w:t>fees</w:t>
      </w:r>
      <w:r>
        <w:rPr>
          <w:rFonts w:ascii="Calibri" w:hAnsi="Calibri"/>
          <w:b w:val="0"/>
          <w:i w:val="0"/>
          <w:color w:val="0B1F3A"/>
          <w:sz w:val="19"/>
        </w:rPr>
        <w:t xml:space="preserve"> or the ledger, and the row-level security policies in section 9.6 grant </w:t>
      </w:r>
      <w:r>
        <w:rPr>
          <w:rFonts w:ascii="Consolas" w:hAnsi="Consolas"/>
          <w:color w:val="146EF5"/>
          <w:sz w:val="19"/>
        </w:rPr>
        <w:t>support</w:t>
      </w:r>
      <w:r>
        <w:rPr>
          <w:rFonts w:ascii="Calibri" w:hAnsi="Calibri"/>
          <w:b w:val="0"/>
          <w:i w:val="0"/>
          <w:color w:val="0B1F3A"/>
          <w:sz w:val="19"/>
        </w:rPr>
        <w:t xml:space="preserve"> SELECT only. A support agent who is tricked into editing a payout is refused by the database, not by a training module.</w:t>
      </w:r>
    </w:p>
    <w:p>
      <w:r>
        <w:br w:type="page"/>
      </w:r>
    </w:p>
    <w:p>
      <w:pPr>
        <w:pStyle w:val="Heading2"/>
      </w:pPr>
      <w:r>
        <w:rPr>
          <w:rFonts w:ascii="Calibri" w:hAnsi="Calibri"/>
          <w:b/>
          <w:i w:val="0"/>
          <w:color w:val="146EF5"/>
          <w:sz w:val="29"/>
        </w:rPr>
        <w:t>8.4 One-to-one relationships</w:t>
      </w:r>
    </w:p>
    <w:p>
      <w:r>
        <w:rPr>
          <w:rFonts w:ascii="Calibri" w:hAnsi="Calibri"/>
          <w:b w:val="0"/>
          <w:i w:val="0"/>
          <w:color w:val="101828"/>
          <w:sz w:val="21"/>
        </w:rPr>
        <w:t>Only five one-to-one relationships exist in the model, and that scarcity is deliberate. A one-to-one relationship in a database is a claim that a concept is genuinely different from its parent and yet always coexists with it. Most claims of that kind are wrong, and the usual result of a wrong claim is a table whose rows are fetched with a second query on every read. Where a one-to-one is used here, there is a reason, and the reason is stated.</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4"/>
              </w:rPr>
              <w:t>Relationship</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Enforced by</w:t>
            </w:r>
          </w:p>
        </w:tc>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4"/>
              </w:rPr>
              <w:t>Card.</w:t>
            </w:r>
          </w:p>
        </w:tc>
        <w:tc>
          <w:tcPr>
            <w:tcW w:type="dxa" w:w="1440"/>
            <w:shd w:val="clear" w:color="auto" w:fill="0B1F3A"/>
            <w:tcMar>
              <w:top w:w="60" w:type="dxa"/>
              <w:start w:w="110" w:type="dxa"/>
              <w:bottom w:w="60" w:type="dxa"/>
              <w:end w:w="110" w:type="dxa"/>
            </w:tcMar>
          </w:tcPr>
          <w:p>
            <w:pPr>
              <w:spacing w:after="0"/>
            </w:pPr>
            <w:r/>
            <w:r>
              <w:rPr>
                <w:rFonts w:ascii="Calibri" w:hAnsi="Calibri"/>
                <w:b/>
                <w:i w:val="0"/>
                <w:color w:val="FFFFFF"/>
                <w:sz w:val="14"/>
              </w:rPr>
              <w:t>FK</w:t>
            </w:r>
          </w:p>
        </w:tc>
        <w:tc>
          <w:tcPr>
            <w:tcW w:type="dxa" w:w="3600"/>
            <w:shd w:val="clear" w:color="auto" w:fill="0B1F3A"/>
            <w:tcMar>
              <w:top w:w="60" w:type="dxa"/>
              <w:start w:w="110" w:type="dxa"/>
              <w:bottom w:w="60" w:type="dxa"/>
              <w:end w:w="110" w:type="dxa"/>
            </w:tcMar>
          </w:tcPr>
          <w:p>
            <w:pPr>
              <w:spacing w:after="0"/>
            </w:pPr>
            <w:r/>
            <w:r>
              <w:rPr>
                <w:rFonts w:ascii="Calibri" w:hAnsi="Calibri"/>
                <w:b/>
                <w:i w:val="0"/>
                <w:color w:val="FFFFFF"/>
                <w:sz w:val="14"/>
              </w:rPr>
              <w:t>Rationale, and why not a column</w:t>
            </w:r>
          </w:p>
        </w:tc>
      </w:tr>
      <w:tr>
        <w:trPr>
          <w:cantSplit/>
        </w:trPr>
        <w:tc>
          <w:tcPr>
            <w:tcW w:type="dxa" w:w="1944"/>
            <w:tcMar>
              <w:top w:w="60" w:type="dxa"/>
              <w:start w:w="110" w:type="dxa"/>
              <w:bottom w:w="60" w:type="dxa"/>
              <w:end w:w="110" w:type="dxa"/>
            </w:tcMar>
          </w:tcPr>
          <w:p>
            <w:pPr>
              <w:spacing w:after="0"/>
            </w:pPr>
            <w:r/>
            <w:r>
              <w:rPr>
                <w:rFonts w:ascii="Consolas" w:hAnsi="Consolas"/>
                <w:color w:val="146EF5"/>
                <w:sz w:val="14"/>
              </w:rPr>
              <w:t>users</w:t>
            </w:r>
            <w:r>
              <w:rPr>
                <w:rFonts w:ascii="Calibri" w:hAnsi="Calibri"/>
                <w:b w:val="0"/>
                <w:i w:val="0"/>
                <w:color w:val="101828"/>
                <w:sz w:val="14"/>
              </w:rPr>
              <w:t xml:space="preserve"> -&gt; </w:t>
            </w:r>
            <w:r>
              <w:rPr>
                <w:rFonts w:ascii="Consolas" w:hAnsi="Consolas"/>
                <w:color w:val="146EF5"/>
                <w:sz w:val="14"/>
              </w:rPr>
              <w:t>profiles</w:t>
            </w:r>
          </w:p>
        </w:tc>
        <w:tc>
          <w:tcPr>
            <w:tcW w:type="dxa" w:w="1656"/>
            <w:tcMar>
              <w:top w:w="60" w:type="dxa"/>
              <w:start w:w="110" w:type="dxa"/>
              <w:bottom w:w="60" w:type="dxa"/>
              <w:end w:w="110" w:type="dxa"/>
            </w:tcMar>
          </w:tcPr>
          <w:p>
            <w:pPr>
              <w:spacing w:after="0"/>
            </w:pPr>
            <w:r/>
            <w:r>
              <w:rPr>
                <w:rFonts w:ascii="Consolas" w:hAnsi="Consolas"/>
                <w:color w:val="146EF5"/>
                <w:sz w:val="14"/>
              </w:rPr>
              <w:t>UNIQUE (user_id)</w:t>
            </w:r>
          </w:p>
        </w:tc>
        <w:tc>
          <w:tcPr>
            <w:tcW w:type="dxa" w:w="720"/>
            <w:tcMar>
              <w:top w:w="60" w:type="dxa"/>
              <w:start w:w="110" w:type="dxa"/>
              <w:bottom w:w="60" w:type="dxa"/>
              <w:end w:w="110" w:type="dxa"/>
            </w:tcMar>
          </w:tcPr>
          <w:p>
            <w:pPr>
              <w:spacing w:after="0"/>
            </w:pPr>
            <w:r/>
            <w:r>
              <w:rPr>
                <w:rFonts w:ascii="Calibri" w:hAnsi="Calibri"/>
                <w:b w:val="0"/>
                <w:i w:val="0"/>
                <w:color w:val="101828"/>
                <w:sz w:val="14"/>
              </w:rPr>
              <w:t>1:1</w:t>
            </w:r>
          </w:p>
        </w:tc>
        <w:tc>
          <w:tcPr>
            <w:tcW w:type="dxa" w:w="1440"/>
            <w:tcMar>
              <w:top w:w="60" w:type="dxa"/>
              <w:start w:w="110" w:type="dxa"/>
              <w:bottom w:w="60" w:type="dxa"/>
              <w:end w:w="110" w:type="dxa"/>
            </w:tcMar>
          </w:tcPr>
          <w:p>
            <w:pPr>
              <w:spacing w:after="0"/>
            </w:pPr>
            <w:r/>
            <w:r>
              <w:rPr>
                <w:rFonts w:ascii="Consolas" w:hAnsi="Consolas"/>
                <w:color w:val="146EF5"/>
                <w:sz w:val="14"/>
              </w:rPr>
              <w:t>profiles.user_id</w:t>
            </w:r>
            <w:r>
              <w:rPr>
                <w:rFonts w:ascii="Calibri" w:hAnsi="Calibri"/>
                <w:b w:val="0"/>
                <w:i w:val="0"/>
                <w:color w:val="101828"/>
                <w:sz w:val="14"/>
              </w:rPr>
              <w:t xml:space="preserve"> NOT NULL</w:t>
            </w:r>
          </w:p>
        </w:tc>
        <w:tc>
          <w:tcPr>
            <w:tcW w:type="dxa" w:w="3600"/>
            <w:tcMar>
              <w:top w:w="60" w:type="dxa"/>
              <w:start w:w="110" w:type="dxa"/>
              <w:bottom w:w="60" w:type="dxa"/>
              <w:end w:w="110" w:type="dxa"/>
            </w:tcMar>
          </w:tcPr>
          <w:p>
            <w:pPr>
              <w:spacing w:after="0"/>
            </w:pPr>
            <w:r/>
            <w:r>
              <w:rPr>
                <w:rFonts w:ascii="Calibri" w:hAnsi="Calibri"/>
                <w:b w:val="0"/>
                <w:i w:val="0"/>
                <w:color w:val="101828"/>
                <w:sz w:val="14"/>
              </w:rPr>
              <w:t xml:space="preserve">A profile is created and destroyed with the account, so the natural design is a nullable set of columns on </w:t>
            </w:r>
            <w:r>
              <w:rPr>
                <w:rFonts w:ascii="Consolas" w:hAnsi="Consolas"/>
                <w:color w:val="146EF5"/>
                <w:sz w:val="14"/>
              </w:rPr>
              <w:t>users</w:t>
            </w:r>
            <w:r>
              <w:rPr>
                <w:rFonts w:ascii="Calibri" w:hAnsi="Calibri"/>
                <w:b w:val="0"/>
                <w:i w:val="0"/>
                <w:color w:val="101828"/>
                <w:sz w:val="14"/>
              </w:rPr>
              <w:t xml:space="preserve">. It is a separate table because profile writes are frequent, the profile is the largest thing a member list returns, and keeping them apart means a profile write never takes a row lock on the account row that authentication and role checks also read. The </w:t>
            </w:r>
            <w:r>
              <w:rPr>
                <w:rFonts w:ascii="Consolas" w:hAnsi="Consolas"/>
                <w:color w:val="146EF5"/>
                <w:sz w:val="14"/>
              </w:rPr>
              <w:t>UNIQUE</w:t>
            </w:r>
            <w:r>
              <w:rPr>
                <w:rFonts w:ascii="Calibri" w:hAnsi="Calibri"/>
                <w:b w:val="0"/>
                <w:i w:val="0"/>
                <w:color w:val="101828"/>
                <w:sz w:val="14"/>
              </w:rPr>
              <w:t xml:space="preserve"> is what makes it one-to-one rather than one-to-many.</w:t>
            </w:r>
          </w:p>
        </w:tc>
      </w:tr>
      <w:tr>
        <w:trPr>
          <w:cantSplit/>
        </w:trPr>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users</w:t>
            </w:r>
            <w:r>
              <w:rPr>
                <w:rFonts w:ascii="Calibri" w:hAnsi="Calibri"/>
                <w:b w:val="0"/>
                <w:i w:val="0"/>
                <w:color w:val="101828"/>
                <w:sz w:val="14"/>
              </w:rPr>
              <w:t xml:space="preserve"> -&gt; </w:t>
            </w:r>
            <w:r>
              <w:rPr>
                <w:rFonts w:ascii="Consolas" w:hAnsi="Consolas"/>
                <w:color w:val="146EF5"/>
                <w:sz w:val="14"/>
              </w:rPr>
              <w:t>admins</w:t>
            </w:r>
          </w:p>
        </w:tc>
        <w:tc>
          <w:tcPr>
            <w:tcW w:type="dxa" w:w="1656"/>
            <w:tcMar>
              <w:top w:w="60" w:type="dxa"/>
              <w:start w:w="110" w:type="dxa"/>
              <w:bottom w:w="60" w:type="dxa"/>
              <w:end w:w="110" w:type="dxa"/>
            </w:tcMar>
            <w:shd w:val="clear" w:color="auto" w:fill="F4F7FB"/>
          </w:tcPr>
          <w:p>
            <w:pPr>
              <w:spacing w:after="0"/>
            </w:pPr>
            <w:r/>
            <w:r>
              <w:rPr>
                <w:rFonts w:ascii="Consolas" w:hAnsi="Consolas"/>
                <w:color w:val="146EF5"/>
                <w:sz w:val="14"/>
              </w:rPr>
              <w:t>UNIQUE (user_id)</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1:1</w:t>
            </w:r>
          </w:p>
        </w:tc>
        <w:tc>
          <w:tcPr>
            <w:tcW w:type="dxa" w:w="1440"/>
            <w:tcMar>
              <w:top w:w="60" w:type="dxa"/>
              <w:start w:w="110" w:type="dxa"/>
              <w:bottom w:w="60" w:type="dxa"/>
              <w:end w:w="110" w:type="dxa"/>
            </w:tcMar>
            <w:shd w:val="clear" w:color="auto" w:fill="F4F7FB"/>
          </w:tcPr>
          <w:p>
            <w:pPr>
              <w:spacing w:after="0"/>
            </w:pPr>
            <w:r/>
            <w:r>
              <w:rPr>
                <w:rFonts w:ascii="Consolas" w:hAnsi="Consolas"/>
                <w:color w:val="146EF5"/>
                <w:sz w:val="14"/>
              </w:rPr>
              <w:t>admins.user_id</w:t>
            </w:r>
            <w:r>
              <w:rPr>
                <w:rFonts w:ascii="Calibri" w:hAnsi="Calibri"/>
                <w:b w:val="0"/>
                <w:i w:val="0"/>
                <w:color w:val="101828"/>
                <w:sz w:val="14"/>
              </w:rPr>
              <w:t xml:space="preserve"> NOT NULL</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4"/>
              </w:rPr>
              <w:t>Administrator is a fact about a person, not about a role, because a person has at most one operator identity across the platform regardless of how many role grants they hold. The row is optional, so most users have none. Absent row means not an operator; a default row for every user would be 400,000 rows of nothing at the base case.</w:t>
            </w:r>
          </w:p>
        </w:tc>
      </w:tr>
      <w:tr>
        <w:trPr>
          <w:cantSplit/>
        </w:trPr>
        <w:tc>
          <w:tcPr>
            <w:tcW w:type="dxa" w:w="1944"/>
            <w:tcMar>
              <w:top w:w="60" w:type="dxa"/>
              <w:start w:w="110" w:type="dxa"/>
              <w:bottom w:w="60" w:type="dxa"/>
              <w:end w:w="110" w:type="dxa"/>
            </w:tcMar>
          </w:tcPr>
          <w:p>
            <w:pPr>
              <w:spacing w:after="0"/>
            </w:pPr>
            <w:r/>
            <w:r>
              <w:rPr>
                <w:rFonts w:ascii="Consolas" w:hAnsi="Consolas"/>
                <w:color w:val="146EF5"/>
                <w:sz w:val="14"/>
              </w:rPr>
              <w:t>users</w:t>
            </w:r>
            <w:r>
              <w:rPr>
                <w:rFonts w:ascii="Calibri" w:hAnsi="Calibri"/>
                <w:b w:val="0"/>
                <w:i w:val="0"/>
                <w:color w:val="101828"/>
                <w:sz w:val="14"/>
              </w:rPr>
              <w:t xml:space="preserve"> -&gt; </w:t>
            </w:r>
            <w:r>
              <w:rPr>
                <w:rFonts w:ascii="Consolas" w:hAnsi="Consolas"/>
                <w:color w:val="146EF5"/>
                <w:sz w:val="14"/>
              </w:rPr>
              <w:t>notification_preferences</w:t>
            </w:r>
          </w:p>
        </w:tc>
        <w:tc>
          <w:tcPr>
            <w:tcW w:type="dxa" w:w="1656"/>
            <w:tcMar>
              <w:top w:w="60" w:type="dxa"/>
              <w:start w:w="110" w:type="dxa"/>
              <w:bottom w:w="60" w:type="dxa"/>
              <w:end w:w="110" w:type="dxa"/>
            </w:tcMar>
          </w:tcPr>
          <w:p>
            <w:pPr>
              <w:spacing w:after="0"/>
            </w:pPr>
            <w:r/>
            <w:r>
              <w:rPr>
                <w:rFonts w:ascii="Consolas" w:hAnsi="Consolas"/>
                <w:color w:val="146EF5"/>
                <w:sz w:val="14"/>
              </w:rPr>
              <w:t>UNIQUE (user_id)</w:t>
            </w:r>
          </w:p>
        </w:tc>
        <w:tc>
          <w:tcPr>
            <w:tcW w:type="dxa" w:w="720"/>
            <w:tcMar>
              <w:top w:w="60" w:type="dxa"/>
              <w:start w:w="110" w:type="dxa"/>
              <w:bottom w:w="60" w:type="dxa"/>
              <w:end w:w="110" w:type="dxa"/>
            </w:tcMar>
          </w:tcPr>
          <w:p>
            <w:pPr>
              <w:spacing w:after="0"/>
            </w:pPr>
            <w:r/>
            <w:r>
              <w:rPr>
                <w:rFonts w:ascii="Calibri" w:hAnsi="Calibri"/>
                <w:b w:val="0"/>
                <w:i w:val="0"/>
                <w:color w:val="101828"/>
                <w:sz w:val="14"/>
              </w:rPr>
              <w:t>1:1</w:t>
            </w:r>
          </w:p>
        </w:tc>
        <w:tc>
          <w:tcPr>
            <w:tcW w:type="dxa" w:w="1440"/>
            <w:tcMar>
              <w:top w:w="60" w:type="dxa"/>
              <w:start w:w="110" w:type="dxa"/>
              <w:bottom w:w="60" w:type="dxa"/>
              <w:end w:w="110" w:type="dxa"/>
            </w:tcMar>
          </w:tcPr>
          <w:p>
            <w:pPr>
              <w:spacing w:after="0"/>
            </w:pPr>
            <w:r/>
            <w:r>
              <w:rPr>
                <w:rFonts w:ascii="Consolas" w:hAnsi="Consolas"/>
                <w:color w:val="146EF5"/>
                <w:sz w:val="14"/>
              </w:rPr>
              <w:t>notification_preferences.user_id</w:t>
            </w:r>
            <w:r>
              <w:rPr>
                <w:rFonts w:ascii="Calibri" w:hAnsi="Calibri"/>
                <w:b w:val="0"/>
                <w:i w:val="0"/>
                <w:color w:val="101828"/>
                <w:sz w:val="14"/>
              </w:rPr>
              <w:t xml:space="preserve"> NOT NULL</w:t>
            </w:r>
          </w:p>
        </w:tc>
        <w:tc>
          <w:tcPr>
            <w:tcW w:type="dxa" w:w="3600"/>
            <w:tcMar>
              <w:top w:w="60" w:type="dxa"/>
              <w:start w:w="110" w:type="dxa"/>
              <w:bottom w:w="60" w:type="dxa"/>
              <w:end w:w="110" w:type="dxa"/>
            </w:tcMar>
          </w:tcPr>
          <w:p>
            <w:pPr>
              <w:spacing w:after="0"/>
            </w:pPr>
            <w:r/>
            <w:r>
              <w:rPr>
                <w:rFonts w:ascii="Calibri" w:hAnsi="Calibri"/>
                <w:b w:val="0"/>
                <w:i w:val="0"/>
                <w:color w:val="101828"/>
                <w:sz w:val="14"/>
              </w:rPr>
              <w:t xml:space="preserve">Preferences are read on every single notification dispatch, which is the hottest read in the product after the dashboard. A separate one-row-per-user table means that read is an index lookup on a narrow table and never touches </w:t>
            </w:r>
            <w:r>
              <w:rPr>
                <w:rFonts w:ascii="Consolas" w:hAnsi="Consolas"/>
                <w:color w:val="146EF5"/>
                <w:sz w:val="14"/>
              </w:rPr>
              <w:t>users</w:t>
            </w:r>
            <w:r>
              <w:rPr>
                <w:rFonts w:ascii="Calibri" w:hAnsi="Calibri"/>
                <w:b w:val="0"/>
                <w:i w:val="0"/>
                <w:color w:val="101828"/>
                <w:sz w:val="14"/>
              </w:rPr>
              <w:t xml:space="preserve">, which is wide and contended. Defaults live in </w:t>
            </w:r>
            <w:r>
              <w:rPr>
                <w:rFonts w:ascii="Consolas" w:hAnsi="Consolas"/>
                <w:color w:val="146EF5"/>
                <w:sz w:val="14"/>
              </w:rPr>
              <w:t>notification_templates</w:t>
            </w:r>
            <w:r>
              <w:rPr>
                <w:rFonts w:ascii="Calibri" w:hAnsi="Calibri"/>
                <w:b w:val="0"/>
                <w:i w:val="0"/>
                <w:color w:val="101828"/>
                <w:sz w:val="14"/>
              </w:rPr>
              <w:t>, so a preference row only records the differences.</w:t>
            </w:r>
          </w:p>
        </w:tc>
      </w:tr>
      <w:tr>
        <w:trPr>
          <w:cantSplit/>
        </w:trPr>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users</w:t>
            </w:r>
            <w:r>
              <w:rPr>
                <w:rFonts w:ascii="Calibri" w:hAnsi="Calibri"/>
                <w:b w:val="0"/>
                <w:i w:val="0"/>
                <w:color w:val="101828"/>
                <w:sz w:val="14"/>
              </w:rPr>
              <w:t xml:space="preserve"> -&gt; </w:t>
            </w:r>
            <w:r>
              <w:rPr>
                <w:rFonts w:ascii="Consolas" w:hAnsi="Consolas"/>
                <w:color w:val="146EF5"/>
                <w:sz w:val="14"/>
              </w:rPr>
              <w:t>auth.users</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documented, not a DDL FK</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1:1</w:t>
            </w:r>
          </w:p>
        </w:tc>
        <w:tc>
          <w:tcPr>
            <w:tcW w:type="dxa" w:w="1440"/>
            <w:tcMar>
              <w:top w:w="60" w:type="dxa"/>
              <w:start w:w="110" w:type="dxa"/>
              <w:bottom w:w="60" w:type="dxa"/>
              <w:end w:w="110" w:type="dxa"/>
            </w:tcMar>
            <w:shd w:val="clear" w:color="auto" w:fill="F4F7FB"/>
          </w:tcPr>
          <w:p>
            <w:pPr>
              <w:spacing w:after="0"/>
            </w:pPr>
            <w:r/>
            <w:r>
              <w:rPr>
                <w:rFonts w:ascii="Consolas" w:hAnsi="Consolas"/>
                <w:color w:val="146EF5"/>
                <w:sz w:val="14"/>
              </w:rPr>
              <w:t>users.auth_subject_id</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identity provider owns credentials, MFA and sessions. A hard cross-schema foreign key to a table this application does not own is brittle: an Auth schema migration can break a domain migration, and a domain migration run as a different role may not be permitted to reference it. The link is therefore a </w:t>
            </w:r>
            <w:r>
              <w:rPr>
                <w:rFonts w:ascii="Consolas" w:hAnsi="Consolas"/>
                <w:color w:val="146EF5"/>
                <w:sz w:val="14"/>
              </w:rPr>
              <w:t>citext</w:t>
            </w:r>
            <w:r>
              <w:rPr>
                <w:rFonts w:ascii="Calibri" w:hAnsi="Calibri"/>
                <w:b w:val="0"/>
                <w:i w:val="0"/>
                <w:color w:val="101828"/>
                <w:sz w:val="14"/>
              </w:rPr>
              <w:t xml:space="preserve"> column with a </w:t>
            </w:r>
            <w:r>
              <w:rPr>
                <w:rFonts w:ascii="Consolas" w:hAnsi="Consolas"/>
                <w:color w:val="146EF5"/>
                <w:sz w:val="14"/>
              </w:rPr>
              <w:t>UNIQUE</w:t>
            </w:r>
            <w:r>
              <w:rPr>
                <w:rFonts w:ascii="Calibri" w:hAnsi="Calibri"/>
                <w:b w:val="0"/>
                <w:i w:val="0"/>
                <w:color w:val="101828"/>
                <w:sz w:val="14"/>
              </w:rPr>
              <w:t xml:space="preserve"> constraint, validated by the service layer, and the comment on the column records that it is </w:t>
            </w:r>
            <w:r>
              <w:rPr>
                <w:rFonts w:ascii="Consolas" w:hAnsi="Consolas"/>
                <w:color w:val="146EF5"/>
                <w:sz w:val="14"/>
              </w:rPr>
              <w:t>auth.users(id)</w:t>
            </w:r>
            <w:r>
              <w:rPr>
                <w:rFonts w:ascii="Calibri" w:hAnsi="Calibri"/>
                <w:b w:val="0"/>
                <w:i w:val="0"/>
                <w:color w:val="101828"/>
                <w:sz w:val="14"/>
              </w:rPr>
              <w:t>.</w:t>
            </w:r>
          </w:p>
        </w:tc>
      </w:tr>
      <w:tr>
        <w:trPr>
          <w:cantSplit/>
        </w:trPr>
        <w:tc>
          <w:tcPr>
            <w:tcW w:type="dxa" w:w="1944"/>
            <w:tcMar>
              <w:top w:w="60" w:type="dxa"/>
              <w:start w:w="110" w:type="dxa"/>
              <w:bottom w:w="60" w:type="dxa"/>
              <w:end w:w="110" w:type="dxa"/>
            </w:tcMar>
          </w:tcPr>
          <w:p>
            <w:pPr>
              <w:spacing w:after="0"/>
            </w:pPr>
            <w:r/>
            <w:r>
              <w:rPr>
                <w:rFonts w:ascii="Consolas" w:hAnsi="Consolas"/>
                <w:color w:val="146EF5"/>
                <w:sz w:val="14"/>
              </w:rPr>
              <w:t>payments</w:t>
            </w:r>
            <w:r>
              <w:rPr>
                <w:rFonts w:ascii="Calibri" w:hAnsi="Calibri"/>
                <w:b w:val="0"/>
                <w:i w:val="0"/>
                <w:color w:val="101828"/>
                <w:sz w:val="14"/>
              </w:rPr>
              <w:t xml:space="preserve"> -&gt; </w:t>
            </w:r>
            <w:r>
              <w:rPr>
                <w:rFonts w:ascii="Consolas" w:hAnsi="Consolas"/>
                <w:color w:val="146EF5"/>
                <w:sz w:val="14"/>
              </w:rPr>
              <w:t>webhook_events</w:t>
            </w:r>
            <w:r>
              <w:rPr>
                <w:rFonts w:ascii="Calibri" w:hAnsi="Calibri"/>
                <w:b w:val="0"/>
                <w:i w:val="0"/>
                <w:color w:val="101828"/>
                <w:sz w:val="14"/>
              </w:rPr>
              <w:t xml:space="preserve"> (optional)</w:t>
            </w:r>
          </w:p>
        </w:tc>
        <w:tc>
          <w:tcPr>
            <w:tcW w:type="dxa" w:w="1656"/>
            <w:tcMar>
              <w:top w:w="60" w:type="dxa"/>
              <w:start w:w="110" w:type="dxa"/>
              <w:bottom w:w="60" w:type="dxa"/>
              <w:end w:w="110" w:type="dxa"/>
            </w:tcMar>
          </w:tcPr>
          <w:p>
            <w:pPr>
              <w:spacing w:after="0"/>
            </w:pPr>
            <w:r/>
            <w:r>
              <w:rPr>
                <w:rFonts w:ascii="Consolas" w:hAnsi="Consolas"/>
                <w:color w:val="146EF5"/>
                <w:sz w:val="14"/>
              </w:rPr>
              <w:t>UNIQUE (webhook_event_id)</w:t>
            </w:r>
            <w:r>
              <w:rPr>
                <w:rFonts w:ascii="Calibri" w:hAnsi="Calibri"/>
                <w:b w:val="0"/>
                <w:i w:val="0"/>
                <w:color w:val="101828"/>
                <w:sz w:val="14"/>
              </w:rPr>
              <w:t xml:space="preserve"> on </w:t>
            </w:r>
            <w:r>
              <w:rPr>
                <w:rFonts w:ascii="Consolas" w:hAnsi="Consolas"/>
                <w:color w:val="146EF5"/>
                <w:sz w:val="14"/>
              </w:rPr>
              <w:t>payments</w:t>
            </w:r>
          </w:p>
        </w:tc>
        <w:tc>
          <w:tcPr>
            <w:tcW w:type="dxa" w:w="720"/>
            <w:tcMar>
              <w:top w:w="60" w:type="dxa"/>
              <w:start w:w="110" w:type="dxa"/>
              <w:bottom w:w="60" w:type="dxa"/>
              <w:end w:w="110" w:type="dxa"/>
            </w:tcMar>
          </w:tcPr>
          <w:p>
            <w:pPr>
              <w:spacing w:after="0"/>
            </w:pPr>
            <w:r/>
            <w:r>
              <w:rPr>
                <w:rFonts w:ascii="Calibri" w:hAnsi="Calibri"/>
                <w:b w:val="0"/>
                <w:i w:val="0"/>
                <w:color w:val="101828"/>
                <w:sz w:val="14"/>
              </w:rPr>
              <w:t>0..1</w:t>
            </w:r>
          </w:p>
        </w:tc>
        <w:tc>
          <w:tcPr>
            <w:tcW w:type="dxa" w:w="1440"/>
            <w:tcMar>
              <w:top w:w="60" w:type="dxa"/>
              <w:start w:w="110" w:type="dxa"/>
              <w:bottom w:w="60" w:type="dxa"/>
              <w:end w:w="110" w:type="dxa"/>
            </w:tcMar>
          </w:tcPr>
          <w:p>
            <w:pPr>
              <w:spacing w:after="0"/>
            </w:pPr>
            <w:r/>
            <w:r>
              <w:rPr>
                <w:rFonts w:ascii="Consolas" w:hAnsi="Consolas"/>
                <w:color w:val="146EF5"/>
                <w:sz w:val="14"/>
              </w:rPr>
              <w:t>payments.webhook_event_id</w:t>
            </w:r>
          </w:p>
        </w:tc>
        <w:tc>
          <w:tcPr>
            <w:tcW w:type="dxa" w:w="3600"/>
            <w:tcMar>
              <w:top w:w="60" w:type="dxa"/>
              <w:start w:w="110" w:type="dxa"/>
              <w:bottom w:w="60" w:type="dxa"/>
              <w:end w:w="110" w:type="dxa"/>
            </w:tcMar>
          </w:tcPr>
          <w:p>
            <w:pPr>
              <w:spacing w:after="0"/>
            </w:pPr>
            <w:r/>
            <w:r>
              <w:rPr>
                <w:rFonts w:ascii="Calibri" w:hAnsi="Calibri"/>
                <w:b w:val="0"/>
                <w:i w:val="0"/>
                <w:color w:val="101828"/>
                <w:sz w:val="14"/>
              </w:rPr>
              <w:t xml:space="preserve">A payment is normally finalised by a webhook, and a webhook is exactly what can be replayed, so the relationship is worth pinning. It is 0..1 rather than 1:1 because a synchronous </w:t>
            </w:r>
            <w:r>
              <w:rPr>
                <w:rFonts w:ascii="Consolas" w:hAnsi="Consolas"/>
                <w:color w:val="146EF5"/>
                <w:sz w:val="14"/>
              </w:rPr>
              <w:t>POST /payments/:id/verify</w:t>
            </w:r>
            <w:r>
              <w:rPr>
                <w:rFonts w:ascii="Calibri" w:hAnsi="Calibri"/>
                <w:b w:val="0"/>
                <w:i w:val="0"/>
                <w:color w:val="101828"/>
                <w:sz w:val="14"/>
              </w:rPr>
              <w:t xml:space="preserve"> can finalise a payment first, in which case the webhook that arrives afterwards records </w:t>
            </w:r>
            <w:r>
              <w:rPr>
                <w:rFonts w:ascii="Consolas" w:hAnsi="Consolas"/>
                <w:color w:val="146EF5"/>
                <w:sz w:val="14"/>
              </w:rPr>
              <w:t>status='duplicate'</w:t>
            </w:r>
            <w:r>
              <w:rPr>
                <w:rFonts w:ascii="Calibri" w:hAnsi="Calibri"/>
                <w:b w:val="0"/>
                <w:i w:val="0"/>
                <w:color w:val="101828"/>
                <w:sz w:val="14"/>
              </w:rPr>
              <w:t xml:space="preserve"> and links nothing. The </w:t>
            </w:r>
            <w:r>
              <w:rPr>
                <w:rFonts w:ascii="Consolas" w:hAnsi="Consolas"/>
                <w:color w:val="146EF5"/>
                <w:sz w:val="14"/>
              </w:rPr>
              <w:t>UNIQUE</w:t>
            </w:r>
            <w:r>
              <w:rPr>
                <w:rFonts w:ascii="Calibri" w:hAnsi="Calibri"/>
                <w:b w:val="0"/>
                <w:i w:val="0"/>
                <w:color w:val="101828"/>
                <w:sz w:val="14"/>
              </w:rPr>
              <w:t xml:space="preserve"> on </w:t>
            </w:r>
            <w:r>
              <w:rPr>
                <w:rFonts w:ascii="Consolas" w:hAnsi="Consolas"/>
                <w:color w:val="146EF5"/>
                <w:sz w:val="14"/>
              </w:rPr>
              <w:t>webhook_event_id</w:t>
            </w:r>
            <w:r>
              <w:rPr>
                <w:rFonts w:ascii="Calibri" w:hAnsi="Calibri"/>
                <w:b w:val="0"/>
                <w:i w:val="0"/>
                <w:color w:val="101828"/>
                <w:sz w:val="14"/>
              </w:rPr>
              <w:t xml:space="preserve"> guarantees one payment per event.</w:t>
            </w:r>
          </w:p>
        </w:tc>
      </w:tr>
    </w:tbl>
    <w:p>
      <w:pPr>
        <w:spacing w:after="80"/>
      </w:pPr>
    </w:p>
    <w:p>
      <w:pPr>
        <w:spacing w:before="140" w:after="180"/>
        <w:ind w:left="144"/>
        <w:shd w:val="clear" w:color="auto" w:fill="E0F2FE"/>
        <w:pBdr>
          <w:left w:val="single" w:sz="18" w:space="6" w:color="22C7D6"/>
        </w:pBdr>
      </w:pPr>
      <w:r>
        <w:rPr>
          <w:rFonts w:ascii="Calibri" w:hAnsi="Calibri"/>
          <w:b/>
          <w:color w:val="22C7D6"/>
          <w:sz w:val="19"/>
        </w:rPr>
        <w:t xml:space="preserve">The four real one-to-ones and the one that is documentation  </w:t>
      </w:r>
      <w:r>
        <w:rPr>
          <w:rFonts w:ascii="Consolas" w:hAnsi="Consolas"/>
          <w:color w:val="146EF5"/>
          <w:sz w:val="19"/>
        </w:rPr>
        <w:t>users.auth_subject_id</w:t>
      </w:r>
      <w:r>
        <w:rPr>
          <w:rFonts w:ascii="Calibri" w:hAnsi="Calibri"/>
          <w:b w:val="0"/>
          <w:i w:val="0"/>
          <w:color w:val="0B1F3A"/>
          <w:sz w:val="19"/>
        </w:rPr>
        <w:t xml:space="preserve"> is the only one-to-one in this model with no foreign key. The alternative, a real reference to the provider's own identity table, was rejected because it couples AJO.ng's migration graph to a table AJO.ng does not control, and a broken reference there is a production outage in a domain that was working. The trade-off is real and is accepted: the service layer must validate the link, and a bug there produces a profile with no login rather than a corrupted account. The reverse relationship, from the identity provider into AJO.ng, is handled by the provider's own user-provisioning hook, not by a foreign key.</w:t>
      </w:r>
    </w:p>
    <w:p>
      <w:pPr>
        <w:pStyle w:val="Heading2"/>
      </w:pPr>
      <w:r>
        <w:rPr>
          <w:rFonts w:ascii="Calibri" w:hAnsi="Calibri"/>
          <w:b/>
          <w:i w:val="0"/>
          <w:color w:val="146EF5"/>
          <w:sz w:val="29"/>
        </w:rPr>
        <w:t>8.5 One-to-many relationships</w:t>
      </w:r>
    </w:p>
    <w:p>
      <w:r>
        <w:rPr>
          <w:rFonts w:ascii="Calibri" w:hAnsi="Calibri"/>
          <w:b w:val="0"/>
          <w:i w:val="0"/>
          <w:color w:val="101828"/>
          <w:sz w:val="21"/>
        </w:rPr>
        <w:t>The bulk of the model. Each row names the parent, the child, the cardinality, the minimum, and the rule that decides when a child may not exist. The minimum column is the one that is usually omitted and is the one that catches the bugs: a one-to-many is not the same as a has-many, and the difference is whether the parent is allowed to exist with none of the child.</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4"/>
              </w:rPr>
              <w:t>Parent</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4"/>
              </w:rPr>
              <w:t>Child</w:t>
            </w:r>
          </w:p>
        </w:tc>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4"/>
              </w:rPr>
              <w:t>Min</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FK</w:t>
            </w:r>
          </w:p>
        </w:tc>
        <w:tc>
          <w:tcPr>
            <w:tcW w:type="dxa" w:w="3312"/>
            <w:shd w:val="clear" w:color="auto" w:fill="0B1F3A"/>
            <w:tcMar>
              <w:top w:w="60" w:type="dxa"/>
              <w:start w:w="110" w:type="dxa"/>
              <w:bottom w:w="60" w:type="dxa"/>
              <w:end w:w="110" w:type="dxa"/>
            </w:tcMar>
          </w:tcPr>
          <w:p>
            <w:pPr>
              <w:spacing w:after="0"/>
            </w:pPr>
            <w:r/>
            <w:r>
              <w:rPr>
                <w:rFonts w:ascii="Calibri" w:hAnsi="Calibri"/>
                <w:b/>
                <w:i w:val="0"/>
                <w:color w:val="FFFFFF"/>
                <w:sz w:val="14"/>
              </w:rPr>
              <w:t>The rule that decides it</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users</w:t>
            </w:r>
          </w:p>
        </w:tc>
        <w:tc>
          <w:tcPr>
            <w:tcW w:type="dxa" w:w="1944"/>
            <w:tcMar>
              <w:top w:w="60" w:type="dxa"/>
              <w:start w:w="110" w:type="dxa"/>
              <w:bottom w:w="60" w:type="dxa"/>
              <w:end w:w="110" w:type="dxa"/>
            </w:tcMar>
          </w:tcPr>
          <w:p>
            <w:pPr>
              <w:spacing w:after="0"/>
            </w:pPr>
            <w:r/>
            <w:r>
              <w:rPr>
                <w:rFonts w:ascii="Consolas" w:hAnsi="Consolas"/>
                <w:color w:val="146EF5"/>
                <w:sz w:val="14"/>
              </w:rPr>
              <w:t>profiles</w:t>
            </w:r>
          </w:p>
        </w:tc>
        <w:tc>
          <w:tcPr>
            <w:tcW w:type="dxa" w:w="720"/>
            <w:tcMar>
              <w:top w:w="60" w:type="dxa"/>
              <w:start w:w="110" w:type="dxa"/>
              <w:bottom w:w="60" w:type="dxa"/>
              <w:end w:w="110" w:type="dxa"/>
            </w:tcMar>
          </w:tcPr>
          <w:p>
            <w:pPr>
              <w:spacing w:after="0"/>
            </w:pPr>
            <w:r/>
            <w:r>
              <w:rPr>
                <w:rFonts w:ascii="Calibri" w:hAnsi="Calibri"/>
                <w:b w:val="0"/>
                <w:i w:val="0"/>
                <w:color w:val="101828"/>
                <w:sz w:val="14"/>
              </w:rPr>
              <w:t>1</w:t>
            </w:r>
          </w:p>
        </w:tc>
        <w:tc>
          <w:tcPr>
            <w:tcW w:type="dxa" w:w="1656"/>
            <w:tcMar>
              <w:top w:w="60" w:type="dxa"/>
              <w:start w:w="110" w:type="dxa"/>
              <w:bottom w:w="60" w:type="dxa"/>
              <w:end w:w="110" w:type="dxa"/>
            </w:tcMar>
          </w:tcPr>
          <w:p>
            <w:pPr>
              <w:spacing w:after="0"/>
            </w:pPr>
            <w:r/>
            <w:r>
              <w:rPr>
                <w:rFonts w:ascii="Consolas" w:hAnsi="Consolas"/>
                <w:color w:val="146EF5"/>
                <w:sz w:val="14"/>
              </w:rPr>
              <w:t>profiles.user_id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Every account has a profile, created in the same transaction as the user.</w:t>
            </w:r>
          </w:p>
        </w:tc>
      </w:tr>
      <w:tr>
        <w:trPr>
          <w:cantSplit/>
        </w:trPr>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users</w:t>
            </w:r>
          </w:p>
        </w:tc>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verification_checks</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shd w:val="clear" w:color="auto" w:fill="F4F7FB"/>
          </w:tcPr>
          <w:p>
            <w:pPr>
              <w:spacing w:after="0"/>
            </w:pPr>
            <w:r/>
            <w:r>
              <w:rPr>
                <w:rFonts w:ascii="Consolas" w:hAnsi="Consolas"/>
                <w:color w:val="146EF5"/>
                <w:sz w:val="14"/>
              </w:rPr>
              <w:t>verification_checks.user_id</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Required before a user can be an active </w:t>
            </w:r>
            <w:r>
              <w:rPr>
                <w:rFonts w:ascii="Consolas" w:hAnsi="Consolas"/>
                <w:color w:val="146EF5"/>
                <w:sz w:val="14"/>
              </w:rPr>
              <w:t>ajo_member</w:t>
            </w:r>
            <w:r>
              <w:rPr>
                <w:rFonts w:ascii="Calibri" w:hAnsi="Calibri"/>
                <w:b w:val="0"/>
                <w:i w:val="0"/>
                <w:color w:val="101828"/>
                <w:sz w:val="14"/>
              </w:rPr>
              <w:t>, not before they can register.</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users</w:t>
            </w:r>
          </w:p>
        </w:tc>
        <w:tc>
          <w:tcPr>
            <w:tcW w:type="dxa" w:w="1944"/>
            <w:tcMar>
              <w:top w:w="60" w:type="dxa"/>
              <w:start w:w="110" w:type="dxa"/>
              <w:bottom w:w="60" w:type="dxa"/>
              <w:end w:w="110" w:type="dxa"/>
            </w:tcMar>
          </w:tcPr>
          <w:p>
            <w:pPr>
              <w:spacing w:after="0"/>
            </w:pPr>
            <w:r/>
            <w:r>
              <w:rPr>
                <w:rFonts w:ascii="Consolas" w:hAnsi="Consolas"/>
                <w:color w:val="146EF5"/>
                <w:sz w:val="14"/>
              </w:rPr>
              <w:t>documents</w:t>
            </w:r>
          </w:p>
        </w:tc>
        <w:tc>
          <w:tcPr>
            <w:tcW w:type="dxa" w:w="720"/>
            <w:tcMar>
              <w:top w:w="60" w:type="dxa"/>
              <w:start w:w="110" w:type="dxa"/>
              <w:bottom w:w="60" w:type="dxa"/>
              <w:end w:w="110" w:type="dxa"/>
            </w:tcMar>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tcPr>
          <w:p>
            <w:pPr>
              <w:spacing w:after="0"/>
            </w:pPr>
            <w:r/>
            <w:r>
              <w:rPr>
                <w:rFonts w:ascii="Consolas" w:hAnsi="Consolas"/>
                <w:color w:val="146EF5"/>
                <w:sz w:val="14"/>
              </w:rPr>
              <w:t>documents.owner_user_id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 xml:space="preserve">Every document belongs to exactly one person. </w:t>
            </w:r>
            <w:r>
              <w:rPr>
                <w:rFonts w:ascii="Consolas" w:hAnsi="Consolas"/>
                <w:color w:val="146EF5"/>
                <w:sz w:val="14"/>
              </w:rPr>
              <w:t>NULL</w:t>
            </w:r>
            <w:r>
              <w:rPr>
                <w:rFonts w:ascii="Calibri" w:hAnsi="Calibri"/>
                <w:b w:val="0"/>
                <w:i w:val="0"/>
                <w:color w:val="101828"/>
                <w:sz w:val="14"/>
              </w:rPr>
              <w:t xml:space="preserve"> is impossible; absence of documents is fine.</w:t>
            </w:r>
          </w:p>
        </w:tc>
      </w:tr>
      <w:tr>
        <w:trPr>
          <w:cantSplit/>
        </w:trPr>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users</w:t>
            </w:r>
          </w:p>
        </w:tc>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sessions</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shd w:val="clear" w:color="auto" w:fill="F4F7FB"/>
          </w:tcPr>
          <w:p>
            <w:pPr>
              <w:spacing w:after="0"/>
            </w:pPr>
            <w:r/>
            <w:r>
              <w:rPr>
                <w:rFonts w:ascii="Consolas" w:hAnsi="Consolas"/>
                <w:color w:val="146EF5"/>
                <w:sz w:val="14"/>
              </w:rPr>
              <w:t>sessions.user_id</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A user with no sessions is either not logged in or fully logged out. Both are valid.</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users</w:t>
            </w:r>
          </w:p>
        </w:tc>
        <w:tc>
          <w:tcPr>
            <w:tcW w:type="dxa" w:w="1944"/>
            <w:tcMar>
              <w:top w:w="60" w:type="dxa"/>
              <w:start w:w="110" w:type="dxa"/>
              <w:bottom w:w="60" w:type="dxa"/>
              <w:end w:w="110" w:type="dxa"/>
            </w:tcMar>
          </w:tcPr>
          <w:p>
            <w:pPr>
              <w:spacing w:after="0"/>
            </w:pPr>
            <w:r/>
            <w:r>
              <w:rPr>
                <w:rFonts w:ascii="Consolas" w:hAnsi="Consolas"/>
                <w:color w:val="146EF5"/>
                <w:sz w:val="14"/>
              </w:rPr>
              <w:t>device_tokens</w:t>
            </w:r>
          </w:p>
        </w:tc>
        <w:tc>
          <w:tcPr>
            <w:tcW w:type="dxa" w:w="720"/>
            <w:tcMar>
              <w:top w:w="60" w:type="dxa"/>
              <w:start w:w="110" w:type="dxa"/>
              <w:bottom w:w="60" w:type="dxa"/>
              <w:end w:w="110" w:type="dxa"/>
            </w:tcMar>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tcPr>
          <w:p>
            <w:pPr>
              <w:spacing w:after="0"/>
            </w:pPr>
            <w:r/>
            <w:r>
              <w:rPr>
                <w:rFonts w:ascii="Consolas" w:hAnsi="Consolas"/>
                <w:color w:val="146EF5"/>
                <w:sz w:val="14"/>
              </w:rPr>
              <w:t>device_tokens.user_id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Web-only members never register one and are still fully served.</w:t>
            </w:r>
          </w:p>
        </w:tc>
      </w:tr>
      <w:tr>
        <w:trPr>
          <w:cantSplit/>
        </w:trPr>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users</w:t>
            </w:r>
          </w:p>
        </w:tc>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admins</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shd w:val="clear" w:color="auto" w:fill="F4F7FB"/>
          </w:tcPr>
          <w:p>
            <w:pPr>
              <w:spacing w:after="0"/>
            </w:pPr>
            <w:r/>
            <w:r>
              <w:rPr>
                <w:rFonts w:ascii="Consolas" w:hAnsi="Consolas"/>
                <w:color w:val="146EF5"/>
                <w:sz w:val="14"/>
              </w:rPr>
              <w:t>admins.user_id</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Absence means not an operator. </w:t>
            </w:r>
            <w:r>
              <w:rPr>
                <w:rFonts w:ascii="Consolas" w:hAnsi="Consolas"/>
                <w:color w:val="146EF5"/>
                <w:sz w:val="14"/>
              </w:rPr>
              <w:t>support</w:t>
            </w:r>
            <w:r>
              <w:rPr>
                <w:rFonts w:ascii="Calibri" w:hAnsi="Calibri"/>
                <w:b w:val="0"/>
                <w:i w:val="0"/>
                <w:color w:val="101828"/>
                <w:sz w:val="14"/>
              </w:rPr>
              <w:t xml:space="preserve"> and </w:t>
            </w:r>
            <w:r>
              <w:rPr>
                <w:rFonts w:ascii="Consolas" w:hAnsi="Consolas"/>
                <w:color w:val="146EF5"/>
                <w:sz w:val="14"/>
              </w:rPr>
              <w:t>risk_officer</w:t>
            </w:r>
            <w:r>
              <w:rPr>
                <w:rFonts w:ascii="Calibri" w:hAnsi="Calibri"/>
                <w:b w:val="0"/>
                <w:i w:val="0"/>
                <w:color w:val="101828"/>
                <w:sz w:val="14"/>
              </w:rPr>
              <w:t xml:space="preserve"> grants are separate rows in </w:t>
            </w:r>
            <w:r>
              <w:rPr>
                <w:rFonts w:ascii="Consolas" w:hAnsi="Consolas"/>
                <w:color w:val="146EF5"/>
                <w:sz w:val="14"/>
              </w:rPr>
              <w:t>role_assignments</w:t>
            </w:r>
            <w:r>
              <w:rPr>
                <w:rFonts w:ascii="Calibri" w:hAnsi="Calibri"/>
                <w:b w:val="0"/>
                <w:i w:val="0"/>
                <w:color w:val="101828"/>
                <w:sz w:val="14"/>
              </w:rPr>
              <w:t>.</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users</w:t>
            </w:r>
          </w:p>
        </w:tc>
        <w:tc>
          <w:tcPr>
            <w:tcW w:type="dxa" w:w="1944"/>
            <w:tcMar>
              <w:top w:w="60" w:type="dxa"/>
              <w:start w:w="110" w:type="dxa"/>
              <w:bottom w:w="60" w:type="dxa"/>
              <w:end w:w="110" w:type="dxa"/>
            </w:tcMar>
          </w:tcPr>
          <w:p>
            <w:pPr>
              <w:spacing w:after="0"/>
            </w:pPr>
            <w:r/>
            <w:r>
              <w:rPr>
                <w:rFonts w:ascii="Consolas" w:hAnsi="Consolas"/>
                <w:color w:val="146EF5"/>
                <w:sz w:val="14"/>
              </w:rPr>
              <w:t>notification_preferences</w:t>
            </w:r>
          </w:p>
        </w:tc>
        <w:tc>
          <w:tcPr>
            <w:tcW w:type="dxa" w:w="720"/>
            <w:tcMar>
              <w:top w:w="60" w:type="dxa"/>
              <w:start w:w="110" w:type="dxa"/>
              <w:bottom w:w="60" w:type="dxa"/>
              <w:end w:w="110" w:type="dxa"/>
            </w:tcMar>
          </w:tcPr>
          <w:p>
            <w:pPr>
              <w:spacing w:after="0"/>
            </w:pPr>
            <w:r/>
            <w:r>
              <w:rPr>
                <w:rFonts w:ascii="Calibri" w:hAnsi="Calibri"/>
                <w:b w:val="0"/>
                <w:i w:val="0"/>
                <w:color w:val="101828"/>
                <w:sz w:val="14"/>
              </w:rPr>
              <w:t>1</w:t>
            </w:r>
          </w:p>
        </w:tc>
        <w:tc>
          <w:tcPr>
            <w:tcW w:type="dxa" w:w="1656"/>
            <w:tcMar>
              <w:top w:w="60" w:type="dxa"/>
              <w:start w:w="110" w:type="dxa"/>
              <w:bottom w:w="60" w:type="dxa"/>
              <w:end w:w="110" w:type="dxa"/>
            </w:tcMar>
          </w:tcPr>
          <w:p>
            <w:pPr>
              <w:spacing w:after="0"/>
            </w:pPr>
            <w:r/>
            <w:r>
              <w:rPr>
                <w:rFonts w:ascii="Consolas" w:hAnsi="Consolas"/>
                <w:color w:val="146EF5"/>
                <w:sz w:val="14"/>
              </w:rPr>
              <w:t>notification_preferences.user_id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Created with the account, seeded from the catalogue defaults.</w:t>
            </w:r>
          </w:p>
        </w:tc>
      </w:tr>
      <w:tr>
        <w:trPr>
          <w:cantSplit/>
        </w:trPr>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users</w:t>
            </w:r>
          </w:p>
        </w:tc>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notifications</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shd w:val="clear" w:color="auto" w:fill="F4F7FB"/>
          </w:tcPr>
          <w:p>
            <w:pPr>
              <w:spacing w:after="0"/>
            </w:pPr>
            <w:r/>
            <w:r>
              <w:rPr>
                <w:rFonts w:ascii="Consolas" w:hAnsi="Consolas"/>
                <w:color w:val="146EF5"/>
                <w:sz w:val="14"/>
              </w:rPr>
              <w:t>notifications.user_id</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The inbox is empty on day one and that is a normal state.</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users</w:t>
            </w:r>
          </w:p>
        </w:tc>
        <w:tc>
          <w:tcPr>
            <w:tcW w:type="dxa" w:w="1944"/>
            <w:tcMar>
              <w:top w:w="60" w:type="dxa"/>
              <w:start w:w="110" w:type="dxa"/>
              <w:bottom w:w="60" w:type="dxa"/>
              <w:end w:w="110" w:type="dxa"/>
            </w:tcMar>
          </w:tcPr>
          <w:p>
            <w:pPr>
              <w:spacing w:after="0"/>
            </w:pPr>
            <w:r/>
            <w:r>
              <w:rPr>
                <w:rFonts w:ascii="Consolas" w:hAnsi="Consolas"/>
                <w:color w:val="146EF5"/>
                <w:sz w:val="14"/>
              </w:rPr>
              <w:t>support_tickets</w:t>
            </w:r>
          </w:p>
        </w:tc>
        <w:tc>
          <w:tcPr>
            <w:tcW w:type="dxa" w:w="720"/>
            <w:tcMar>
              <w:top w:w="60" w:type="dxa"/>
              <w:start w:w="110" w:type="dxa"/>
              <w:bottom w:w="60" w:type="dxa"/>
              <w:end w:w="110" w:type="dxa"/>
            </w:tcMar>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tcPr>
          <w:p>
            <w:pPr>
              <w:spacing w:after="0"/>
            </w:pPr>
            <w:r/>
            <w:r>
              <w:rPr>
                <w:rFonts w:ascii="Consolas" w:hAnsi="Consolas"/>
                <w:color w:val="146EF5"/>
                <w:sz w:val="14"/>
              </w:rPr>
              <w:t>support_tickets.user_id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A user who has never needed support has no ticket.</w:t>
            </w:r>
          </w:p>
        </w:tc>
      </w:tr>
      <w:tr>
        <w:trPr>
          <w:cantSplit/>
        </w:trPr>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users</w:t>
            </w:r>
          </w:p>
        </w:tc>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ajos</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shd w:val="clear" w:color="auto" w:fill="F4F7FB"/>
          </w:tcPr>
          <w:p>
            <w:pPr>
              <w:spacing w:after="0"/>
            </w:pPr>
            <w:r/>
            <w:r>
              <w:rPr>
                <w:rFonts w:ascii="Consolas" w:hAnsi="Consolas"/>
                <w:color w:val="146EF5"/>
                <w:sz w:val="14"/>
              </w:rPr>
              <w:t>ajos.organizer_user_id</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who has never organised anything has no Ajo rows.</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users</w:t>
            </w:r>
          </w:p>
        </w:tc>
        <w:tc>
          <w:tcPr>
            <w:tcW w:type="dxa" w:w="1944"/>
            <w:tcMar>
              <w:top w:w="60" w:type="dxa"/>
              <w:start w:w="110" w:type="dxa"/>
              <w:bottom w:w="60" w:type="dxa"/>
              <w:end w:w="110" w:type="dxa"/>
            </w:tcMar>
          </w:tcPr>
          <w:p>
            <w:pPr>
              <w:spacing w:after="0"/>
            </w:pPr>
            <w:r/>
            <w:r>
              <w:rPr>
                <w:rFonts w:ascii="Consolas" w:hAnsi="Consolas"/>
                <w:color w:val="146EF5"/>
                <w:sz w:val="14"/>
              </w:rPr>
              <w:t>ajo_members</w:t>
            </w:r>
          </w:p>
        </w:tc>
        <w:tc>
          <w:tcPr>
            <w:tcW w:type="dxa" w:w="720"/>
            <w:tcMar>
              <w:top w:w="60" w:type="dxa"/>
              <w:start w:w="110" w:type="dxa"/>
              <w:bottom w:w="60" w:type="dxa"/>
              <w:end w:w="110" w:type="dxa"/>
            </w:tcMar>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tcPr>
          <w:p>
            <w:pPr>
              <w:spacing w:after="0"/>
            </w:pPr>
            <w:r/>
            <w:r>
              <w:rPr>
                <w:rFonts w:ascii="Consolas" w:hAnsi="Consolas"/>
                <w:color w:val="146EF5"/>
                <w:sz w:val="14"/>
              </w:rPr>
              <w:t>ajo_members.user_id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Registration does not enrol anybody anywhere. Membership is a separate, consented act.</w:t>
            </w:r>
          </w:p>
        </w:tc>
      </w:tr>
      <w:tr>
        <w:trPr>
          <w:cantSplit/>
        </w:trPr>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users</w:t>
            </w:r>
          </w:p>
        </w:tc>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invitations</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shd w:val="clear" w:color="auto" w:fill="F4F7FB"/>
          </w:tcPr>
          <w:p>
            <w:pPr>
              <w:spacing w:after="0"/>
            </w:pPr>
            <w:r/>
            <w:r>
              <w:rPr>
                <w:rFonts w:ascii="Consolas" w:hAnsi="Consolas"/>
                <w:color w:val="146EF5"/>
                <w:sz w:val="14"/>
              </w:rPr>
              <w:t>invitations.invited_by_user_id</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Invitations are sent by organizers, or by the platform for a support-assisted join.</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users</w:t>
            </w:r>
          </w:p>
        </w:tc>
        <w:tc>
          <w:tcPr>
            <w:tcW w:type="dxa" w:w="1944"/>
            <w:tcMar>
              <w:top w:w="60" w:type="dxa"/>
              <w:start w:w="110" w:type="dxa"/>
              <w:bottom w:w="60" w:type="dxa"/>
              <w:end w:w="110" w:type="dxa"/>
            </w:tcMar>
          </w:tcPr>
          <w:p>
            <w:pPr>
              <w:spacing w:after="0"/>
            </w:pPr>
            <w:r/>
            <w:r>
              <w:rPr>
                <w:rFonts w:ascii="Consolas" w:hAnsi="Consolas"/>
                <w:color w:val="146EF5"/>
                <w:sz w:val="14"/>
              </w:rPr>
              <w:t>idempotency_keys</w:t>
            </w:r>
          </w:p>
        </w:tc>
        <w:tc>
          <w:tcPr>
            <w:tcW w:type="dxa" w:w="720"/>
            <w:tcMar>
              <w:top w:w="60" w:type="dxa"/>
              <w:start w:w="110" w:type="dxa"/>
              <w:bottom w:w="60" w:type="dxa"/>
              <w:end w:w="110" w:type="dxa"/>
            </w:tcMar>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tcPr>
          <w:p>
            <w:pPr>
              <w:spacing w:after="0"/>
            </w:pPr>
            <w:r/>
            <w:r>
              <w:rPr>
                <w:rFonts w:ascii="Consolas" w:hAnsi="Consolas"/>
                <w:color w:val="146EF5"/>
                <w:sz w:val="14"/>
              </w:rPr>
              <w:t>idempotency_keys.user_id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 xml:space="preserve">Present only for operations that required a key, which is every money-moving </w:t>
            </w:r>
            <w:r>
              <w:rPr>
                <w:rFonts w:ascii="Consolas" w:hAnsi="Consolas"/>
                <w:color w:val="146EF5"/>
                <w:sz w:val="14"/>
              </w:rPr>
              <w:t>POST</w:t>
            </w:r>
            <w:r>
              <w:rPr>
                <w:rFonts w:ascii="Calibri" w:hAnsi="Calibri"/>
                <w:b w:val="0"/>
                <w:i w:val="0"/>
                <w:color w:val="101828"/>
                <w:sz w:val="14"/>
              </w:rPr>
              <w:t>.</w:t>
            </w:r>
          </w:p>
        </w:tc>
      </w:tr>
      <w:tr>
        <w:trPr>
          <w:cantSplit/>
        </w:trPr>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users</w:t>
            </w:r>
          </w:p>
        </w:tc>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audit_logs</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shd w:val="clear" w:color="auto" w:fill="F4F7FB"/>
          </w:tcPr>
          <w:p>
            <w:pPr>
              <w:spacing w:after="0"/>
            </w:pPr>
            <w:r/>
            <w:r>
              <w:rPr>
                <w:rFonts w:ascii="Consolas" w:hAnsi="Consolas"/>
                <w:color w:val="146EF5"/>
                <w:sz w:val="14"/>
              </w:rPr>
              <w:t>audit_logs.actor_user_id</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Only privileged mutations and authentications are audited, so most users have few.</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users</w:t>
            </w:r>
          </w:p>
        </w:tc>
        <w:tc>
          <w:tcPr>
            <w:tcW w:type="dxa" w:w="1944"/>
            <w:tcMar>
              <w:top w:w="60" w:type="dxa"/>
              <w:start w:w="110" w:type="dxa"/>
              <w:bottom w:w="60" w:type="dxa"/>
              <w:end w:w="110" w:type="dxa"/>
            </w:tcMar>
          </w:tcPr>
          <w:p>
            <w:pPr>
              <w:spacing w:after="0"/>
            </w:pPr>
            <w:r/>
            <w:r>
              <w:rPr>
                <w:rFonts w:ascii="Consolas" w:hAnsi="Consolas"/>
                <w:color w:val="146EF5"/>
                <w:sz w:val="14"/>
              </w:rPr>
              <w:t>disputes</w:t>
            </w:r>
          </w:p>
        </w:tc>
        <w:tc>
          <w:tcPr>
            <w:tcW w:type="dxa" w:w="720"/>
            <w:tcMar>
              <w:top w:w="60" w:type="dxa"/>
              <w:start w:w="110" w:type="dxa"/>
              <w:bottom w:w="60" w:type="dxa"/>
              <w:end w:w="110" w:type="dxa"/>
            </w:tcMar>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tcPr>
          <w:p>
            <w:pPr>
              <w:spacing w:after="0"/>
            </w:pPr>
            <w:r/>
            <w:r>
              <w:rPr>
                <w:rFonts w:ascii="Consolas" w:hAnsi="Consolas"/>
                <w:color w:val="146EF5"/>
                <w:sz w:val="14"/>
              </w:rPr>
              <w:t>disputes.raised_by_user_id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Raising one is an explicit act by a member in good standing.</w:t>
            </w:r>
          </w:p>
        </w:tc>
      </w:tr>
      <w:tr>
        <w:trPr>
          <w:cantSplit/>
        </w:trPr>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users</w:t>
            </w:r>
          </w:p>
        </w:tc>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risk_events</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polymorphic</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Risk attaches to a user as a subject, not as an owner.</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roles</w:t>
            </w:r>
          </w:p>
        </w:tc>
        <w:tc>
          <w:tcPr>
            <w:tcW w:type="dxa" w:w="1944"/>
            <w:tcMar>
              <w:top w:w="60" w:type="dxa"/>
              <w:start w:w="110" w:type="dxa"/>
              <w:bottom w:w="60" w:type="dxa"/>
              <w:end w:w="110" w:type="dxa"/>
            </w:tcMar>
          </w:tcPr>
          <w:p>
            <w:pPr>
              <w:spacing w:after="0"/>
            </w:pPr>
            <w:r/>
            <w:r>
              <w:rPr>
                <w:rFonts w:ascii="Consolas" w:hAnsi="Consolas"/>
                <w:color w:val="146EF5"/>
                <w:sz w:val="14"/>
              </w:rPr>
              <w:t>role_assignments</w:t>
            </w:r>
          </w:p>
        </w:tc>
        <w:tc>
          <w:tcPr>
            <w:tcW w:type="dxa" w:w="720"/>
            <w:tcMar>
              <w:top w:w="60" w:type="dxa"/>
              <w:start w:w="110" w:type="dxa"/>
              <w:bottom w:w="60" w:type="dxa"/>
              <w:end w:w="110" w:type="dxa"/>
            </w:tcMar>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tcPr>
          <w:p>
            <w:pPr>
              <w:spacing w:after="0"/>
            </w:pPr>
            <w:r/>
            <w:r>
              <w:rPr>
                <w:rFonts w:ascii="Consolas" w:hAnsi="Consolas"/>
                <w:color w:val="146EF5"/>
                <w:sz w:val="14"/>
              </w:rPr>
              <w:t>role_assignments.role_id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A role that has never been granted to anyone is legal, and is how the six canonical roles are seeded.</w:t>
            </w:r>
          </w:p>
        </w:tc>
      </w:tr>
      <w:tr>
        <w:trPr>
          <w:cantSplit/>
        </w:trPr>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admins</w:t>
            </w:r>
          </w:p>
        </w:tc>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role_assignments</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w:t>
            </w:r>
          </w:p>
        </w:tc>
        <w:tc>
          <w:tcPr>
            <w:tcW w:type="dxa" w:w="1656"/>
            <w:tcMar>
              <w:top w:w="60" w:type="dxa"/>
              <w:start w:w="110" w:type="dxa"/>
              <w:bottom w:w="60" w:type="dxa"/>
              <w:end w:w="110" w:type="dxa"/>
            </w:tcMar>
            <w:shd w:val="clear" w:color="auto" w:fill="F4F7FB"/>
          </w:tcPr>
          <w:p>
            <w:pPr>
              <w:spacing w:after="0"/>
            </w:pPr>
            <w:r/>
            <w:r>
              <w:rPr>
                <w:rFonts w:ascii="Consolas" w:hAnsi="Consolas"/>
                <w:color w:val="146EF5"/>
                <w:sz w:val="14"/>
              </w:rPr>
              <w:t>role_assignments.granted_by_user_id</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Platform-scoped grants name the operator who made them, which is required for the audit trail to be meaningful.</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ajos</w:t>
            </w:r>
          </w:p>
        </w:tc>
        <w:tc>
          <w:tcPr>
            <w:tcW w:type="dxa" w:w="1944"/>
            <w:tcMar>
              <w:top w:w="60" w:type="dxa"/>
              <w:start w:w="110" w:type="dxa"/>
              <w:bottom w:w="60" w:type="dxa"/>
              <w:end w:w="110" w:type="dxa"/>
            </w:tcMar>
          </w:tcPr>
          <w:p>
            <w:pPr>
              <w:spacing w:after="0"/>
            </w:pPr>
            <w:r/>
            <w:r>
              <w:rPr>
                <w:rFonts w:ascii="Consolas" w:hAnsi="Consolas"/>
                <w:color w:val="146EF5"/>
                <w:sz w:val="14"/>
              </w:rPr>
              <w:t>ajo_positions</w:t>
            </w:r>
          </w:p>
        </w:tc>
        <w:tc>
          <w:tcPr>
            <w:tcW w:type="dxa" w:w="720"/>
            <w:tcMar>
              <w:top w:w="60" w:type="dxa"/>
              <w:start w:w="110" w:type="dxa"/>
              <w:bottom w:w="60" w:type="dxa"/>
              <w:end w:w="110" w:type="dxa"/>
            </w:tcMar>
          </w:tcPr>
          <w:p>
            <w:pPr>
              <w:spacing w:after="0"/>
            </w:pPr>
            <w:r/>
            <w:r>
              <w:rPr>
                <w:rFonts w:ascii="Calibri" w:hAnsi="Calibri"/>
                <w:b w:val="0"/>
                <w:i w:val="0"/>
                <w:color w:val="101828"/>
                <w:sz w:val="14"/>
              </w:rPr>
              <w:t>2</w:t>
            </w:r>
          </w:p>
        </w:tc>
        <w:tc>
          <w:tcPr>
            <w:tcW w:type="dxa" w:w="1656"/>
            <w:tcMar>
              <w:top w:w="60" w:type="dxa"/>
              <w:start w:w="110" w:type="dxa"/>
              <w:bottom w:w="60" w:type="dxa"/>
              <w:end w:w="110" w:type="dxa"/>
            </w:tcMar>
          </w:tcPr>
          <w:p>
            <w:pPr>
              <w:spacing w:after="0"/>
            </w:pPr>
            <w:r/>
            <w:r>
              <w:rPr>
                <w:rFonts w:ascii="Consolas" w:hAnsi="Consolas"/>
                <w:color w:val="146EF5"/>
                <w:sz w:val="14"/>
              </w:rPr>
              <w:t>ajo_positions.ajo_id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 xml:space="preserve">CANONICAL.md section 3: an Ajo has between 5 and 20 positions and may not leave </w:t>
            </w:r>
            <w:r>
              <w:rPr>
                <w:rFonts w:ascii="Consolas" w:hAnsi="Consolas"/>
                <w:color w:val="146EF5"/>
                <w:sz w:val="14"/>
              </w:rPr>
              <w:t>DRAFT</w:t>
            </w:r>
            <w:r>
              <w:rPr>
                <w:rFonts w:ascii="Calibri" w:hAnsi="Calibri"/>
                <w:b w:val="0"/>
                <w:i w:val="0"/>
                <w:color w:val="101828"/>
                <w:sz w:val="14"/>
              </w:rPr>
              <w:t xml:space="preserve"> outside that range. Enforced by a CHECK plus a trigger, not only by the state machine.</w:t>
            </w:r>
          </w:p>
        </w:tc>
      </w:tr>
      <w:tr>
        <w:trPr>
          <w:cantSplit/>
        </w:trPr>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ajos</w:t>
            </w:r>
          </w:p>
        </w:tc>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ajo_members</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w:t>
            </w:r>
          </w:p>
        </w:tc>
        <w:tc>
          <w:tcPr>
            <w:tcW w:type="dxa" w:w="1656"/>
            <w:tcMar>
              <w:top w:w="60" w:type="dxa"/>
              <w:start w:w="110" w:type="dxa"/>
              <w:bottom w:w="60" w:type="dxa"/>
              <w:end w:w="110" w:type="dxa"/>
            </w:tcMar>
            <w:shd w:val="clear" w:color="auto" w:fill="F4F7FB"/>
          </w:tcPr>
          <w:p>
            <w:pPr>
              <w:spacing w:after="0"/>
            </w:pPr>
            <w:r/>
            <w:r>
              <w:rPr>
                <w:rFonts w:ascii="Consolas" w:hAnsi="Consolas"/>
                <w:color w:val="146EF5"/>
                <w:sz w:val="14"/>
              </w:rPr>
              <w:t>ajo_members.ajo_id</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The organizer is always a member, so an Ajo never exists with zero members.</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ajos</w:t>
            </w:r>
          </w:p>
        </w:tc>
        <w:tc>
          <w:tcPr>
            <w:tcW w:type="dxa" w:w="1944"/>
            <w:tcMar>
              <w:top w:w="60" w:type="dxa"/>
              <w:start w:w="110" w:type="dxa"/>
              <w:bottom w:w="60" w:type="dxa"/>
              <w:end w:w="110" w:type="dxa"/>
            </w:tcMar>
          </w:tcPr>
          <w:p>
            <w:pPr>
              <w:spacing w:after="0"/>
            </w:pPr>
            <w:r/>
            <w:r>
              <w:rPr>
                <w:rFonts w:ascii="Consolas" w:hAnsi="Consolas"/>
                <w:color w:val="146EF5"/>
                <w:sz w:val="14"/>
              </w:rPr>
              <w:t>invitations</w:t>
            </w:r>
          </w:p>
        </w:tc>
        <w:tc>
          <w:tcPr>
            <w:tcW w:type="dxa" w:w="720"/>
            <w:tcMar>
              <w:top w:w="60" w:type="dxa"/>
              <w:start w:w="110" w:type="dxa"/>
              <w:bottom w:w="60" w:type="dxa"/>
              <w:end w:w="110" w:type="dxa"/>
            </w:tcMar>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tcPr>
          <w:p>
            <w:pPr>
              <w:spacing w:after="0"/>
            </w:pPr>
            <w:r/>
            <w:r>
              <w:rPr>
                <w:rFonts w:ascii="Consolas" w:hAnsi="Consolas"/>
                <w:color w:val="146EF5"/>
                <w:sz w:val="14"/>
              </w:rPr>
              <w:t>invitations.ajo_id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An Ajo that filled by organizer add has no invitations.</w:t>
            </w:r>
          </w:p>
        </w:tc>
      </w:tr>
      <w:tr>
        <w:trPr>
          <w:cantSplit/>
        </w:trPr>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ajos</w:t>
            </w:r>
          </w:p>
        </w:tc>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rounds</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shd w:val="clear" w:color="auto" w:fill="F4F7FB"/>
          </w:tcPr>
          <w:p>
            <w:pPr>
              <w:spacing w:after="0"/>
            </w:pPr>
            <w:r/>
            <w:r>
              <w:rPr>
                <w:rFonts w:ascii="Consolas" w:hAnsi="Consolas"/>
                <w:color w:val="146EF5"/>
                <w:sz w:val="14"/>
              </w:rPr>
              <w:t>rounds.ajo_id</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Zero rounds in </w:t>
            </w:r>
            <w:r>
              <w:rPr>
                <w:rFonts w:ascii="Consolas" w:hAnsi="Consolas"/>
                <w:color w:val="146EF5"/>
                <w:sz w:val="14"/>
              </w:rPr>
              <w:t>DRAFT</w:t>
            </w:r>
            <w:r>
              <w:rPr>
                <w:rFonts w:ascii="Calibri" w:hAnsi="Calibri"/>
                <w:b w:val="0"/>
                <w:i w:val="0"/>
                <w:color w:val="101828"/>
                <w:sz w:val="14"/>
              </w:rPr>
              <w:t xml:space="preserve"> is correct. Zero rounds in </w:t>
            </w:r>
            <w:r>
              <w:rPr>
                <w:rFonts w:ascii="Consolas" w:hAnsi="Consolas"/>
                <w:color w:val="146EF5"/>
                <w:sz w:val="14"/>
              </w:rPr>
              <w:t>ACTIVE</w:t>
            </w:r>
            <w:r>
              <w:rPr>
                <w:rFonts w:ascii="Calibri" w:hAnsi="Calibri"/>
                <w:b w:val="0"/>
                <w:i w:val="0"/>
                <w:color w:val="101828"/>
                <w:sz w:val="14"/>
              </w:rPr>
              <w:t xml:space="preserve"> is a bug and is caught by a trigger.</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ajos</w:t>
            </w:r>
          </w:p>
        </w:tc>
        <w:tc>
          <w:tcPr>
            <w:tcW w:type="dxa" w:w="1944"/>
            <w:tcMar>
              <w:top w:w="60" w:type="dxa"/>
              <w:start w:w="110" w:type="dxa"/>
              <w:bottom w:w="60" w:type="dxa"/>
              <w:end w:w="110" w:type="dxa"/>
            </w:tcMar>
          </w:tcPr>
          <w:p>
            <w:pPr>
              <w:spacing w:after="0"/>
            </w:pPr>
            <w:r/>
            <w:r>
              <w:rPr>
                <w:rFonts w:ascii="Consolas" w:hAnsi="Consolas"/>
                <w:color w:val="146EF5"/>
                <w:sz w:val="14"/>
              </w:rPr>
              <w:t>contribution_schedules</w:t>
            </w:r>
          </w:p>
        </w:tc>
        <w:tc>
          <w:tcPr>
            <w:tcW w:type="dxa" w:w="720"/>
            <w:tcMar>
              <w:top w:w="60" w:type="dxa"/>
              <w:start w:w="110" w:type="dxa"/>
              <w:bottom w:w="60" w:type="dxa"/>
              <w:end w:w="110" w:type="dxa"/>
            </w:tcMar>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tcPr>
          <w:p>
            <w:pPr>
              <w:spacing w:after="0"/>
            </w:pPr>
            <w:r/>
            <w:r>
              <w:rPr>
                <w:rFonts w:ascii="Consolas" w:hAnsi="Consolas"/>
                <w:color w:val="146EF5"/>
                <w:sz w:val="14"/>
              </w:rPr>
              <w:t>contribution_schedules.ajo_id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Created with the round, so the count equals the round count.</w:t>
            </w:r>
          </w:p>
        </w:tc>
      </w:tr>
      <w:tr>
        <w:trPr>
          <w:cantSplit/>
        </w:trPr>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ajos</w:t>
            </w:r>
          </w:p>
        </w:tc>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contributions</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shd w:val="clear" w:color="auto" w:fill="F4F7FB"/>
          </w:tcPr>
          <w:p>
            <w:pPr>
              <w:spacing w:after="0"/>
            </w:pPr>
            <w:r/>
            <w:r>
              <w:rPr>
                <w:rFonts w:ascii="Consolas" w:hAnsi="Consolas"/>
                <w:color w:val="146EF5"/>
                <w:sz w:val="14"/>
              </w:rPr>
              <w:t>contributions.ajo_id</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Zero in </w:t>
            </w:r>
            <w:r>
              <w:rPr>
                <w:rFonts w:ascii="Consolas" w:hAnsi="Consolas"/>
                <w:color w:val="146EF5"/>
                <w:sz w:val="14"/>
              </w:rPr>
              <w:t>DRAFT</w:t>
            </w:r>
            <w:r>
              <w:rPr>
                <w:rFonts w:ascii="Calibri" w:hAnsi="Calibri"/>
                <w:b w:val="0"/>
                <w:i w:val="0"/>
                <w:color w:val="101828"/>
                <w:sz w:val="14"/>
              </w:rPr>
              <w:t xml:space="preserve"> is correct; zero in </w:t>
            </w:r>
            <w:r>
              <w:rPr>
                <w:rFonts w:ascii="Consolas" w:hAnsi="Consolas"/>
                <w:color w:val="146EF5"/>
                <w:sz w:val="14"/>
              </w:rPr>
              <w:t>ACTIVE</w:t>
            </w:r>
            <w:r>
              <w:rPr>
                <w:rFonts w:ascii="Calibri" w:hAnsi="Calibri"/>
                <w:b w:val="0"/>
                <w:i w:val="0"/>
                <w:color w:val="101828"/>
                <w:sz w:val="14"/>
              </w:rPr>
              <w:t xml:space="preserve"> is a bug.</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ajos</w:t>
            </w:r>
          </w:p>
        </w:tc>
        <w:tc>
          <w:tcPr>
            <w:tcW w:type="dxa" w:w="1944"/>
            <w:tcMar>
              <w:top w:w="60" w:type="dxa"/>
              <w:start w:w="110" w:type="dxa"/>
              <w:bottom w:w="60" w:type="dxa"/>
              <w:end w:w="110" w:type="dxa"/>
            </w:tcMar>
          </w:tcPr>
          <w:p>
            <w:pPr>
              <w:spacing w:after="0"/>
            </w:pPr>
            <w:r/>
            <w:r>
              <w:rPr>
                <w:rFonts w:ascii="Consolas" w:hAnsi="Consolas"/>
                <w:color w:val="146EF5"/>
                <w:sz w:val="14"/>
              </w:rPr>
              <w:t>payouts</w:t>
            </w:r>
          </w:p>
        </w:tc>
        <w:tc>
          <w:tcPr>
            <w:tcW w:type="dxa" w:w="720"/>
            <w:tcMar>
              <w:top w:w="60" w:type="dxa"/>
              <w:start w:w="110" w:type="dxa"/>
              <w:bottom w:w="60" w:type="dxa"/>
              <w:end w:w="110" w:type="dxa"/>
            </w:tcMar>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tcPr>
          <w:p>
            <w:pPr>
              <w:spacing w:after="0"/>
            </w:pPr>
            <w:r/>
            <w:r>
              <w:rPr>
                <w:rFonts w:ascii="Consolas" w:hAnsi="Consolas"/>
                <w:color w:val="146EF5"/>
                <w:sz w:val="14"/>
              </w:rPr>
              <w:t>payouts.ajo_id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One per completed round, less any forfeited or replaced positions.</w:t>
            </w:r>
          </w:p>
        </w:tc>
      </w:tr>
      <w:tr>
        <w:trPr>
          <w:cantSplit/>
        </w:trPr>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ajos</w:t>
            </w:r>
          </w:p>
        </w:tc>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disputes</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shd w:val="clear" w:color="auto" w:fill="F4F7FB"/>
          </w:tcPr>
          <w:p>
            <w:pPr>
              <w:spacing w:after="0"/>
            </w:pPr>
            <w:r/>
            <w:r>
              <w:rPr>
                <w:rFonts w:ascii="Consolas" w:hAnsi="Consolas"/>
                <w:color w:val="146EF5"/>
                <w:sz w:val="14"/>
              </w:rPr>
              <w:t>disputes.ajo_id</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Most Ajos never have one.</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ajos</w:t>
            </w:r>
          </w:p>
        </w:tc>
        <w:tc>
          <w:tcPr>
            <w:tcW w:type="dxa" w:w="1944"/>
            <w:tcMar>
              <w:top w:w="60" w:type="dxa"/>
              <w:start w:w="110" w:type="dxa"/>
              <w:bottom w:w="60" w:type="dxa"/>
              <w:end w:w="110" w:type="dxa"/>
            </w:tcMar>
          </w:tcPr>
          <w:p>
            <w:pPr>
              <w:spacing w:after="0"/>
            </w:pPr>
            <w:r/>
            <w:r>
              <w:rPr>
                <w:rFonts w:ascii="Consolas" w:hAnsi="Consolas"/>
                <w:color w:val="146EF5"/>
                <w:sz w:val="14"/>
              </w:rPr>
              <w:t>outbox_events</w:t>
            </w:r>
          </w:p>
        </w:tc>
        <w:tc>
          <w:tcPr>
            <w:tcW w:type="dxa" w:w="720"/>
            <w:tcMar>
              <w:top w:w="60" w:type="dxa"/>
              <w:start w:w="110" w:type="dxa"/>
              <w:bottom w:w="60" w:type="dxa"/>
              <w:end w:w="110" w:type="dxa"/>
            </w:tcMar>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tcPr>
          <w:p>
            <w:pPr>
              <w:spacing w:after="0"/>
            </w:pPr>
            <w:r/>
            <w:r>
              <w:rPr>
                <w:rFonts w:ascii="Consolas" w:hAnsi="Consolas"/>
                <w:color w:val="146EF5"/>
                <w:sz w:val="14"/>
              </w:rPr>
              <w:t>outbox_events.ajo_id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Present once anything money-moving has happened.</w:t>
            </w:r>
          </w:p>
        </w:tc>
      </w:tr>
      <w:tr>
        <w:trPr>
          <w:cantSplit/>
        </w:trPr>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ajo_positions</w:t>
            </w:r>
          </w:p>
        </w:tc>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invitations</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shd w:val="clear" w:color="auto" w:fill="F4F7FB"/>
          </w:tcPr>
          <w:p>
            <w:pPr>
              <w:spacing w:after="0"/>
            </w:pPr>
            <w:r/>
            <w:r>
              <w:rPr>
                <w:rFonts w:ascii="Consolas" w:hAnsi="Consolas"/>
                <w:color w:val="146EF5"/>
                <w:sz w:val="14"/>
              </w:rPr>
              <w:t>invitations.position_id</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An unpositioned general invitation has none.</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ajo_positions</w:t>
            </w:r>
          </w:p>
        </w:tc>
        <w:tc>
          <w:tcPr>
            <w:tcW w:type="dxa" w:w="1944"/>
            <w:tcMar>
              <w:top w:w="60" w:type="dxa"/>
              <w:start w:w="110" w:type="dxa"/>
              <w:bottom w:w="60" w:type="dxa"/>
              <w:end w:w="110" w:type="dxa"/>
            </w:tcMar>
          </w:tcPr>
          <w:p>
            <w:pPr>
              <w:spacing w:after="0"/>
            </w:pPr>
            <w:r/>
            <w:r>
              <w:rPr>
                <w:rFonts w:ascii="Consolas" w:hAnsi="Consolas"/>
                <w:color w:val="146EF5"/>
                <w:sz w:val="14"/>
              </w:rPr>
              <w:t>contributions</w:t>
            </w:r>
          </w:p>
        </w:tc>
        <w:tc>
          <w:tcPr>
            <w:tcW w:type="dxa" w:w="720"/>
            <w:tcMar>
              <w:top w:w="60" w:type="dxa"/>
              <w:start w:w="110" w:type="dxa"/>
              <w:bottom w:w="60" w:type="dxa"/>
              <w:end w:w="110" w:type="dxa"/>
            </w:tcMar>
          </w:tcPr>
          <w:p>
            <w:pPr>
              <w:spacing w:after="0"/>
            </w:pPr>
            <w:r/>
            <w:r>
              <w:rPr>
                <w:rFonts w:ascii="Calibri" w:hAnsi="Calibri"/>
                <w:b w:val="0"/>
                <w:i w:val="0"/>
                <w:color w:val="101828"/>
                <w:sz w:val="14"/>
              </w:rPr>
              <w:t>1</w:t>
            </w:r>
          </w:p>
        </w:tc>
        <w:tc>
          <w:tcPr>
            <w:tcW w:type="dxa" w:w="1656"/>
            <w:tcMar>
              <w:top w:w="60" w:type="dxa"/>
              <w:start w:w="110" w:type="dxa"/>
              <w:bottom w:w="60" w:type="dxa"/>
              <w:end w:w="110" w:type="dxa"/>
            </w:tcMar>
          </w:tcPr>
          <w:p>
            <w:pPr>
              <w:spacing w:after="0"/>
            </w:pPr>
            <w:r/>
            <w:r>
              <w:rPr>
                <w:rFonts w:ascii="Consolas" w:hAnsi="Consolas"/>
                <w:color w:val="146EF5"/>
                <w:sz w:val="14"/>
              </w:rPr>
              <w:t>contributions.position_id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Every round, every live position slot, exactly one obligation. This is the 1:1 in 8.8.</w:t>
            </w:r>
          </w:p>
        </w:tc>
      </w:tr>
      <w:tr>
        <w:trPr>
          <w:cantSplit/>
        </w:trPr>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ajo_positions</w:t>
            </w:r>
          </w:p>
        </w:tc>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payouts</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shd w:val="clear" w:color="auto" w:fill="F4F7FB"/>
          </w:tcPr>
          <w:p>
            <w:pPr>
              <w:spacing w:after="0"/>
            </w:pPr>
            <w:r/>
            <w:r>
              <w:rPr>
                <w:rFonts w:ascii="Consolas" w:hAnsi="Consolas"/>
                <w:color w:val="146EF5"/>
                <w:sz w:val="14"/>
              </w:rPr>
              <w:t>payouts.position_id</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One per round, for the position whose turn it is.</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rounds</w:t>
            </w:r>
          </w:p>
        </w:tc>
        <w:tc>
          <w:tcPr>
            <w:tcW w:type="dxa" w:w="1944"/>
            <w:tcMar>
              <w:top w:w="60" w:type="dxa"/>
              <w:start w:w="110" w:type="dxa"/>
              <w:bottom w:w="60" w:type="dxa"/>
              <w:end w:w="110" w:type="dxa"/>
            </w:tcMar>
          </w:tcPr>
          <w:p>
            <w:pPr>
              <w:spacing w:after="0"/>
            </w:pPr>
            <w:r/>
            <w:r>
              <w:rPr>
                <w:rFonts w:ascii="Consolas" w:hAnsi="Consolas"/>
                <w:color w:val="146EF5"/>
                <w:sz w:val="14"/>
              </w:rPr>
              <w:t>contribution_schedules</w:t>
            </w:r>
          </w:p>
        </w:tc>
        <w:tc>
          <w:tcPr>
            <w:tcW w:type="dxa" w:w="720"/>
            <w:tcMar>
              <w:top w:w="60" w:type="dxa"/>
              <w:start w:w="110" w:type="dxa"/>
              <w:bottom w:w="60" w:type="dxa"/>
              <w:end w:w="110" w:type="dxa"/>
            </w:tcMar>
          </w:tcPr>
          <w:p>
            <w:pPr>
              <w:spacing w:after="0"/>
            </w:pPr>
            <w:r/>
            <w:r>
              <w:rPr>
                <w:rFonts w:ascii="Calibri" w:hAnsi="Calibri"/>
                <w:b w:val="0"/>
                <w:i w:val="0"/>
                <w:color w:val="101828"/>
                <w:sz w:val="14"/>
              </w:rPr>
              <w:t>1</w:t>
            </w:r>
          </w:p>
        </w:tc>
        <w:tc>
          <w:tcPr>
            <w:tcW w:type="dxa" w:w="1656"/>
            <w:tcMar>
              <w:top w:w="60" w:type="dxa"/>
              <w:start w:w="110" w:type="dxa"/>
              <w:bottom w:w="60" w:type="dxa"/>
              <w:end w:w="110" w:type="dxa"/>
            </w:tcMar>
          </w:tcPr>
          <w:p>
            <w:pPr>
              <w:spacing w:after="0"/>
            </w:pPr>
            <w:r/>
            <w:r>
              <w:rPr>
                <w:rFonts w:ascii="Consolas" w:hAnsi="Consolas"/>
                <w:color w:val="146EF5"/>
                <w:sz w:val="14"/>
              </w:rPr>
              <w:t>contribution_schedules.round_id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A round that opens always has exactly one schedule. Created atomically.</w:t>
            </w:r>
          </w:p>
        </w:tc>
      </w:tr>
      <w:tr>
        <w:trPr>
          <w:cantSplit/>
        </w:trPr>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rounds</w:t>
            </w:r>
          </w:p>
        </w:tc>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contributions</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shd w:val="clear" w:color="auto" w:fill="F4F7FB"/>
          </w:tcPr>
          <w:p>
            <w:pPr>
              <w:spacing w:after="0"/>
            </w:pPr>
            <w:r/>
            <w:r>
              <w:rPr>
                <w:rFonts w:ascii="Consolas" w:hAnsi="Consolas"/>
                <w:color w:val="146EF5"/>
                <w:sz w:val="14"/>
              </w:rPr>
              <w:t>contributions.round_id</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A round with no contributions is one that has just opened.</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rounds</w:t>
            </w:r>
          </w:p>
        </w:tc>
        <w:tc>
          <w:tcPr>
            <w:tcW w:type="dxa" w:w="1944"/>
            <w:tcMar>
              <w:top w:w="60" w:type="dxa"/>
              <w:start w:w="110" w:type="dxa"/>
              <w:bottom w:w="60" w:type="dxa"/>
              <w:end w:w="110" w:type="dxa"/>
            </w:tcMar>
          </w:tcPr>
          <w:p>
            <w:pPr>
              <w:spacing w:after="0"/>
            </w:pPr>
            <w:r/>
            <w:r>
              <w:rPr>
                <w:rFonts w:ascii="Consolas" w:hAnsi="Consolas"/>
                <w:color w:val="146EF5"/>
                <w:sz w:val="14"/>
              </w:rPr>
              <w:t>payouts</w:t>
            </w:r>
          </w:p>
        </w:tc>
        <w:tc>
          <w:tcPr>
            <w:tcW w:type="dxa" w:w="720"/>
            <w:tcMar>
              <w:top w:w="60" w:type="dxa"/>
              <w:start w:w="110" w:type="dxa"/>
              <w:bottom w:w="60" w:type="dxa"/>
              <w:end w:w="110" w:type="dxa"/>
            </w:tcMar>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tcPr>
          <w:p>
            <w:pPr>
              <w:spacing w:after="0"/>
            </w:pPr>
            <w:r/>
            <w:r>
              <w:rPr>
                <w:rFonts w:ascii="Consolas" w:hAnsi="Consolas"/>
                <w:color w:val="146EF5"/>
                <w:sz w:val="14"/>
              </w:rPr>
              <w:t>payouts.round_id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Zero until the round funds; one when it does.</w:t>
            </w:r>
          </w:p>
        </w:tc>
      </w:tr>
      <w:tr>
        <w:trPr>
          <w:cantSplit/>
        </w:trPr>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contribution_schedules</w:t>
            </w:r>
          </w:p>
        </w:tc>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contributions</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shd w:val="clear" w:color="auto" w:fill="F4F7FB"/>
          </w:tcPr>
          <w:p>
            <w:pPr>
              <w:spacing w:after="0"/>
            </w:pPr>
            <w:r/>
            <w:r>
              <w:rPr>
                <w:rFonts w:ascii="Consolas" w:hAnsi="Consolas"/>
                <w:color w:val="146EF5"/>
                <w:sz w:val="14"/>
              </w:rPr>
              <w:t>contributions.schedule_id</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Zero when every position is already filled and paid, which is the normal case in a one-member-per-round Ajo.</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contributions</w:t>
            </w:r>
          </w:p>
        </w:tc>
        <w:tc>
          <w:tcPr>
            <w:tcW w:type="dxa" w:w="1944"/>
            <w:tcMar>
              <w:top w:w="60" w:type="dxa"/>
              <w:start w:w="110" w:type="dxa"/>
              <w:bottom w:w="60" w:type="dxa"/>
              <w:end w:w="110" w:type="dxa"/>
            </w:tcMar>
          </w:tcPr>
          <w:p>
            <w:pPr>
              <w:spacing w:after="0"/>
            </w:pPr>
            <w:r/>
            <w:r>
              <w:rPr>
                <w:rFonts w:ascii="Consolas" w:hAnsi="Consolas"/>
                <w:color w:val="146EF5"/>
                <w:sz w:val="14"/>
              </w:rPr>
              <w:t>payments</w:t>
            </w:r>
          </w:p>
        </w:tc>
        <w:tc>
          <w:tcPr>
            <w:tcW w:type="dxa" w:w="720"/>
            <w:tcMar>
              <w:top w:w="60" w:type="dxa"/>
              <w:start w:w="110" w:type="dxa"/>
              <w:bottom w:w="60" w:type="dxa"/>
              <w:end w:w="110" w:type="dxa"/>
            </w:tcMar>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tcPr>
          <w:p>
            <w:pPr>
              <w:spacing w:after="0"/>
            </w:pPr>
            <w:r/>
            <w:r>
              <w:rPr>
                <w:rFonts w:ascii="Consolas" w:hAnsi="Consolas"/>
                <w:color w:val="146EF5"/>
                <w:sz w:val="14"/>
              </w:rPr>
              <w:t>payments.contribution_id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Zero for a contribution never yet attempted. Many for one that has failed and retried.</w:t>
            </w:r>
          </w:p>
        </w:tc>
      </w:tr>
      <w:tr>
        <w:trPr>
          <w:cantSplit/>
        </w:trPr>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payments</w:t>
            </w:r>
          </w:p>
        </w:tc>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fees</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w:t>
            </w:r>
          </w:p>
        </w:tc>
        <w:tc>
          <w:tcPr>
            <w:tcW w:type="dxa" w:w="1656"/>
            <w:tcMar>
              <w:top w:w="60" w:type="dxa"/>
              <w:start w:w="110" w:type="dxa"/>
              <w:bottom w:w="60" w:type="dxa"/>
              <w:end w:w="110" w:type="dxa"/>
            </w:tcMar>
            <w:shd w:val="clear" w:color="auto" w:fill="F4F7FB"/>
          </w:tcPr>
          <w:p>
            <w:pPr>
              <w:spacing w:after="0"/>
            </w:pPr>
            <w:r/>
            <w:r>
              <w:rPr>
                <w:rFonts w:ascii="Consolas" w:hAnsi="Consolas"/>
                <w:color w:val="146EF5"/>
                <w:sz w:val="14"/>
              </w:rPr>
              <w:t>fees.payment_id</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Every settled payment carries exactly one fee row, even when the fee rounds to zero kobo, in which case the row is </w:t>
            </w:r>
            <w:r>
              <w:rPr>
                <w:rFonts w:ascii="Consolas" w:hAnsi="Consolas"/>
                <w:color w:val="146EF5"/>
                <w:sz w:val="14"/>
              </w:rPr>
              <w:t>status='written_off'</w:t>
            </w:r>
            <w:r>
              <w:rPr>
                <w:rFonts w:ascii="Calibri" w:hAnsi="Calibri"/>
                <w:b w:val="0"/>
                <w:i w:val="0"/>
                <w:color w:val="101828"/>
                <w:sz w:val="14"/>
              </w:rPr>
              <w:t xml:space="preserve"> and carries no ledger link.</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ledger_transactions</w:t>
            </w:r>
          </w:p>
        </w:tc>
        <w:tc>
          <w:tcPr>
            <w:tcW w:type="dxa" w:w="1944"/>
            <w:tcMar>
              <w:top w:w="60" w:type="dxa"/>
              <w:start w:w="110" w:type="dxa"/>
              <w:bottom w:w="60" w:type="dxa"/>
              <w:end w:w="110" w:type="dxa"/>
            </w:tcMar>
          </w:tcPr>
          <w:p>
            <w:pPr>
              <w:spacing w:after="0"/>
            </w:pPr>
            <w:r/>
            <w:r>
              <w:rPr>
                <w:rFonts w:ascii="Consolas" w:hAnsi="Consolas"/>
                <w:color w:val="146EF5"/>
                <w:sz w:val="14"/>
              </w:rPr>
              <w:t>ledger_postings</w:t>
            </w:r>
          </w:p>
        </w:tc>
        <w:tc>
          <w:tcPr>
            <w:tcW w:type="dxa" w:w="720"/>
            <w:tcMar>
              <w:top w:w="60" w:type="dxa"/>
              <w:start w:w="110" w:type="dxa"/>
              <w:bottom w:w="60" w:type="dxa"/>
              <w:end w:w="110" w:type="dxa"/>
            </w:tcMar>
          </w:tcPr>
          <w:p>
            <w:pPr>
              <w:spacing w:after="0"/>
            </w:pPr>
            <w:r/>
            <w:r>
              <w:rPr>
                <w:rFonts w:ascii="Calibri" w:hAnsi="Calibri"/>
                <w:b w:val="0"/>
                <w:i w:val="0"/>
                <w:color w:val="101828"/>
                <w:sz w:val="14"/>
              </w:rPr>
              <w:t>2</w:t>
            </w:r>
          </w:p>
        </w:tc>
        <w:tc>
          <w:tcPr>
            <w:tcW w:type="dxa" w:w="1656"/>
            <w:tcMar>
              <w:top w:w="60" w:type="dxa"/>
              <w:start w:w="110" w:type="dxa"/>
              <w:bottom w:w="60" w:type="dxa"/>
              <w:end w:w="110" w:type="dxa"/>
            </w:tcMar>
          </w:tcPr>
          <w:p>
            <w:pPr>
              <w:spacing w:after="0"/>
            </w:pPr>
            <w:r/>
            <w:r>
              <w:rPr>
                <w:rFonts w:ascii="Consolas" w:hAnsi="Consolas"/>
                <w:color w:val="146EF5"/>
                <w:sz w:val="14"/>
              </w:rPr>
              <w:t>ledger_postings.transaction_id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At least two. A one-legged transaction is a rejected transaction, enforced by the deferred balance trigger.</w:t>
            </w:r>
          </w:p>
        </w:tc>
      </w:tr>
      <w:tr>
        <w:trPr>
          <w:cantSplit/>
        </w:trPr>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ledger_transactions</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4"/>
              </w:rPr>
              <w:t>reversals</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shd w:val="clear" w:color="auto" w:fill="F4F7FB"/>
          </w:tcPr>
          <w:p>
            <w:pPr>
              <w:spacing w:after="0"/>
            </w:pPr>
            <w:r/>
            <w:r>
              <w:rPr>
                <w:rFonts w:ascii="Consolas" w:hAnsi="Consolas"/>
                <w:color w:val="146EF5"/>
                <w:sz w:val="14"/>
              </w:rPr>
              <w:t>ledger_transactions.reverses_transaction_id</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Zero for the overwhelming majority. A partial unique index permits at most one reversal per original, so a mistake cannot be reversed twice.</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notifications</w:t>
            </w:r>
          </w:p>
        </w:tc>
        <w:tc>
          <w:tcPr>
            <w:tcW w:type="dxa" w:w="1944"/>
            <w:tcMar>
              <w:top w:w="60" w:type="dxa"/>
              <w:start w:w="110" w:type="dxa"/>
              <w:bottom w:w="60" w:type="dxa"/>
              <w:end w:w="110" w:type="dxa"/>
            </w:tcMar>
          </w:tcPr>
          <w:p>
            <w:pPr>
              <w:spacing w:after="0"/>
            </w:pPr>
            <w:r/>
            <w:r>
              <w:rPr>
                <w:rFonts w:ascii="Consolas" w:hAnsi="Consolas"/>
                <w:color w:val="146EF5"/>
                <w:sz w:val="14"/>
              </w:rPr>
              <w:t>notification_templates</w:t>
            </w:r>
          </w:p>
        </w:tc>
        <w:tc>
          <w:tcPr>
            <w:tcW w:type="dxa" w:w="720"/>
            <w:tcMar>
              <w:top w:w="60" w:type="dxa"/>
              <w:start w:w="110" w:type="dxa"/>
              <w:bottom w:w="60" w:type="dxa"/>
              <w:end w:w="110" w:type="dxa"/>
            </w:tcMar>
          </w:tcPr>
          <w:p>
            <w:pPr>
              <w:spacing w:after="0"/>
            </w:pPr>
            <w:r/>
            <w:r>
              <w:rPr>
                <w:rFonts w:ascii="Calibri" w:hAnsi="Calibri"/>
                <w:b w:val="0"/>
                <w:i w:val="0"/>
                <w:color w:val="101828"/>
                <w:sz w:val="14"/>
              </w:rPr>
              <w:t>1</w:t>
            </w:r>
          </w:p>
        </w:tc>
        <w:tc>
          <w:tcPr>
            <w:tcW w:type="dxa" w:w="1656"/>
            <w:tcMar>
              <w:top w:w="60" w:type="dxa"/>
              <w:start w:w="110" w:type="dxa"/>
              <w:bottom w:w="60" w:type="dxa"/>
              <w:end w:w="110" w:type="dxa"/>
            </w:tcMar>
          </w:tcPr>
          <w:p>
            <w:pPr>
              <w:spacing w:after="0"/>
            </w:pPr>
            <w:r/>
            <w:r>
              <w:rPr>
                <w:rFonts w:ascii="Consolas" w:hAnsi="Consolas"/>
                <w:color w:val="146EF5"/>
                <w:sz w:val="14"/>
              </w:rPr>
              <w:t>notifications.template_id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Every notification is generated from a template, so that copy is reviewable in one place rather than scattered through code.</w:t>
            </w:r>
          </w:p>
        </w:tc>
      </w:tr>
      <w:tr>
        <w:trPr>
          <w:cantSplit/>
        </w:trPr>
        <w:tc>
          <w:tcPr>
            <w:tcW w:type="dxa" w:w="1728"/>
            <w:tcMar>
              <w:top w:w="60" w:type="dxa"/>
              <w:start w:w="110" w:type="dxa"/>
              <w:bottom w:w="60" w:type="dxa"/>
              <w:end w:w="110" w:type="dxa"/>
            </w:tcMar>
            <w:shd w:val="clear" w:color="auto" w:fill="F4F7FB"/>
          </w:tcPr>
          <w:p>
            <w:pPr>
              <w:spacing w:after="0"/>
            </w:pPr>
            <w:r/>
            <w:r>
              <w:rPr>
                <w:rFonts w:ascii="Consolas" w:hAnsi="Consolas"/>
                <w:color w:val="146EF5"/>
                <w:sz w:val="14"/>
              </w:rPr>
              <w:t>disputes</w:t>
            </w:r>
          </w:p>
        </w:tc>
        <w:tc>
          <w:tcPr>
            <w:tcW w:type="dxa" w:w="1944"/>
            <w:tcMar>
              <w:top w:w="60" w:type="dxa"/>
              <w:start w:w="110" w:type="dxa"/>
              <w:bottom w:w="60" w:type="dxa"/>
              <w:end w:w="110" w:type="dxa"/>
            </w:tcMar>
            <w:shd w:val="clear" w:color="auto" w:fill="F4F7FB"/>
          </w:tcPr>
          <w:p>
            <w:pPr>
              <w:spacing w:after="0"/>
            </w:pPr>
            <w:r/>
            <w:r>
              <w:rPr>
                <w:rFonts w:ascii="Consolas" w:hAnsi="Consolas"/>
                <w:color w:val="146EF5"/>
                <w:sz w:val="14"/>
              </w:rPr>
              <w:t>dispute_messages</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4"/>
              </w:rPr>
              <w:t>1</w:t>
            </w:r>
          </w:p>
        </w:tc>
        <w:tc>
          <w:tcPr>
            <w:tcW w:type="dxa" w:w="1656"/>
            <w:tcMar>
              <w:top w:w="60" w:type="dxa"/>
              <w:start w:w="110" w:type="dxa"/>
              <w:bottom w:w="60" w:type="dxa"/>
              <w:end w:w="110" w:type="dxa"/>
            </w:tcMar>
            <w:shd w:val="clear" w:color="auto" w:fill="F4F7FB"/>
          </w:tcPr>
          <w:p>
            <w:pPr>
              <w:spacing w:after="0"/>
            </w:pPr>
            <w:r/>
            <w:r>
              <w:rPr>
                <w:rFonts w:ascii="Consolas" w:hAnsi="Consolas"/>
                <w:color w:val="146EF5"/>
                <w:sz w:val="14"/>
              </w:rPr>
              <w:t>dispute_messages.dispute_id</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A dispute with no opening message is rejected at the API, and the message is written in the same transaction as the dispute.</w:t>
            </w:r>
          </w:p>
        </w:tc>
      </w:tr>
      <w:tr>
        <w:trPr>
          <w:cantSplit/>
        </w:trPr>
        <w:tc>
          <w:tcPr>
            <w:tcW w:type="dxa" w:w="1728"/>
            <w:tcMar>
              <w:top w:w="60" w:type="dxa"/>
              <w:start w:w="110" w:type="dxa"/>
              <w:bottom w:w="60" w:type="dxa"/>
              <w:end w:w="110" w:type="dxa"/>
            </w:tcMar>
          </w:tcPr>
          <w:p>
            <w:pPr>
              <w:spacing w:after="0"/>
            </w:pPr>
            <w:r/>
            <w:r>
              <w:rPr>
                <w:rFonts w:ascii="Consolas" w:hAnsi="Consolas"/>
                <w:color w:val="146EF5"/>
                <w:sz w:val="14"/>
              </w:rPr>
              <w:t>disputes</w:t>
            </w:r>
          </w:p>
        </w:tc>
        <w:tc>
          <w:tcPr>
            <w:tcW w:type="dxa" w:w="1944"/>
            <w:tcMar>
              <w:top w:w="60" w:type="dxa"/>
              <w:start w:w="110" w:type="dxa"/>
              <w:bottom w:w="60" w:type="dxa"/>
              <w:end w:w="110" w:type="dxa"/>
            </w:tcMar>
          </w:tcPr>
          <w:p>
            <w:pPr>
              <w:spacing w:after="0"/>
            </w:pPr>
            <w:r/>
            <w:r>
              <w:rPr>
                <w:rFonts w:ascii="Consolas" w:hAnsi="Consolas"/>
                <w:color w:val="146EF5"/>
                <w:sz w:val="14"/>
              </w:rPr>
              <w:t>dispute_evidence</w:t>
            </w:r>
          </w:p>
        </w:tc>
        <w:tc>
          <w:tcPr>
            <w:tcW w:type="dxa" w:w="720"/>
            <w:tcMar>
              <w:top w:w="60" w:type="dxa"/>
              <w:start w:w="110" w:type="dxa"/>
              <w:bottom w:w="60" w:type="dxa"/>
              <w:end w:w="110" w:type="dxa"/>
            </w:tcMar>
          </w:tcPr>
          <w:p>
            <w:pPr>
              <w:spacing w:after="0"/>
            </w:pPr>
            <w:r/>
            <w:r>
              <w:rPr>
                <w:rFonts w:ascii="Calibri" w:hAnsi="Calibri"/>
                <w:b w:val="0"/>
                <w:i w:val="0"/>
                <w:color w:val="101828"/>
                <w:sz w:val="14"/>
              </w:rPr>
              <w:t>0</w:t>
            </w:r>
          </w:p>
        </w:tc>
        <w:tc>
          <w:tcPr>
            <w:tcW w:type="dxa" w:w="1656"/>
            <w:tcMar>
              <w:top w:w="60" w:type="dxa"/>
              <w:start w:w="110" w:type="dxa"/>
              <w:bottom w:w="60" w:type="dxa"/>
              <w:end w:w="110" w:type="dxa"/>
            </w:tcMar>
          </w:tcPr>
          <w:p>
            <w:pPr>
              <w:spacing w:after="0"/>
            </w:pPr>
            <w:r/>
            <w:r>
              <w:rPr>
                <w:rFonts w:ascii="Consolas" w:hAnsi="Consolas"/>
                <w:color w:val="146EF5"/>
                <w:sz w:val="14"/>
              </w:rPr>
              <w:t>dispute_evidence.dispute_id</w:t>
            </w:r>
          </w:p>
        </w:tc>
        <w:tc>
          <w:tcPr>
            <w:tcW w:type="dxa" w:w="3312"/>
            <w:tcMar>
              <w:top w:w="60" w:type="dxa"/>
              <w:start w:w="110" w:type="dxa"/>
              <w:bottom w:w="60" w:type="dxa"/>
              <w:end w:w="110" w:type="dxa"/>
            </w:tcMar>
          </w:tcPr>
          <w:p>
            <w:pPr>
              <w:spacing w:after="0"/>
            </w:pPr>
            <w:r/>
            <w:r>
              <w:rPr>
                <w:rFonts w:ascii="Calibri" w:hAnsi="Calibri"/>
                <w:b w:val="0"/>
                <w:i w:val="0"/>
                <w:color w:val="101828"/>
                <w:sz w:val="14"/>
              </w:rPr>
              <w:t>A dispute may be raised before evidence exists.</w:t>
            </w:r>
          </w:p>
        </w:tc>
      </w:tr>
    </w:tbl>
    <w:p>
      <w:pPr>
        <w:spacing w:after="80"/>
      </w:pPr>
    </w:p>
    <w:p>
      <w:pPr>
        <w:pStyle w:val="Heading2"/>
      </w:pPr>
      <w:r>
        <w:rPr>
          <w:rFonts w:ascii="Calibri" w:hAnsi="Calibri"/>
          <w:b/>
          <w:i w:val="0"/>
          <w:color w:val="146EF5"/>
          <w:sz w:val="29"/>
        </w:rPr>
        <w:t>8.6 Many-to-many relationships</w:t>
      </w:r>
    </w:p>
    <w:p>
      <w:r>
        <w:rPr>
          <w:rFonts w:ascii="Calibri" w:hAnsi="Calibri"/>
          <w:b w:val="0"/>
          <w:i w:val="0"/>
          <w:color w:val="101828"/>
          <w:sz w:val="21"/>
        </w:rPr>
        <w:t xml:space="preserve">Every many-to-many in this model is resolved by a join entity that is named in the specification and designed in its own right. The reason is not elegance. It is that in a savings product the join is almost always where the business rule lives: what the pair </w:t>
      </w:r>
      <w:r>
        <w:rPr>
          <w:rFonts w:ascii="Calibri" w:hAnsi="Calibri"/>
          <w:i/>
          <w:color w:val="101828"/>
          <w:sz w:val="21"/>
        </w:rPr>
        <w:t>means</w:t>
      </w:r>
      <w:r>
        <w:rPr>
          <w:rFonts w:ascii="Calibri" w:hAnsi="Calibri"/>
          <w:b w:val="0"/>
          <w:i w:val="0"/>
          <w:color w:val="101828"/>
          <w:sz w:val="21"/>
        </w:rPr>
        <w:t xml:space="preserve"> (an Ajo membership, a role grant, an obligation), when it started and ended, and what state it is in. A join table with only two foreign keys cannot hold any of that, and the usual workaround, an </w:t>
      </w:r>
      <w:r>
        <w:rPr>
          <w:rFonts w:ascii="Consolas" w:hAnsi="Consolas"/>
          <w:color w:val="146EF5"/>
          <w:sz w:val="21"/>
        </w:rPr>
        <w:t>AjoUsers</w:t>
      </w:r>
      <w:r>
        <w:rPr>
          <w:rFonts w:ascii="Calibri" w:hAnsi="Calibri"/>
          <w:b w:val="0"/>
          <w:i w:val="0"/>
          <w:color w:val="101828"/>
          <w:sz w:val="21"/>
        </w:rPr>
        <w:t>-style association with attributes smeared back onto both parents, is worse.</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368"/>
            <w:shd w:val="clear" w:color="auto" w:fill="0B1F3A"/>
            <w:tcMar>
              <w:top w:w="60" w:type="dxa"/>
              <w:start w:w="110" w:type="dxa"/>
              <w:bottom w:w="60" w:type="dxa"/>
              <w:end w:w="110" w:type="dxa"/>
            </w:tcMar>
          </w:tcPr>
          <w:p>
            <w:pPr>
              <w:spacing w:after="0"/>
            </w:pPr>
            <w:r/>
            <w:r>
              <w:rPr>
                <w:rFonts w:ascii="Calibri" w:hAnsi="Calibri"/>
                <w:b/>
                <w:i w:val="0"/>
                <w:color w:val="FFFFFF"/>
                <w:sz w:val="14"/>
              </w:rPr>
              <w:t>Left</w:t>
            </w:r>
          </w:p>
        </w:tc>
        <w:tc>
          <w:tcPr>
            <w:tcW w:type="dxa" w:w="1368"/>
            <w:shd w:val="clear" w:color="auto" w:fill="0B1F3A"/>
            <w:tcMar>
              <w:top w:w="60" w:type="dxa"/>
              <w:start w:w="110" w:type="dxa"/>
              <w:bottom w:w="60" w:type="dxa"/>
              <w:end w:w="110" w:type="dxa"/>
            </w:tcMar>
          </w:tcPr>
          <w:p>
            <w:pPr>
              <w:spacing w:after="0"/>
            </w:pPr>
            <w:r/>
            <w:r>
              <w:rPr>
                <w:rFonts w:ascii="Calibri" w:hAnsi="Calibri"/>
                <w:b/>
                <w:i w:val="0"/>
                <w:color w:val="FFFFFF"/>
                <w:sz w:val="14"/>
              </w:rPr>
              <w:t>Right</w:t>
            </w:r>
          </w:p>
        </w:tc>
        <w:tc>
          <w:tcPr>
            <w:tcW w:type="dxa" w:w="1800"/>
            <w:shd w:val="clear" w:color="auto" w:fill="0B1F3A"/>
            <w:tcMar>
              <w:top w:w="60" w:type="dxa"/>
              <w:start w:w="110" w:type="dxa"/>
              <w:bottom w:w="60" w:type="dxa"/>
              <w:end w:w="110" w:type="dxa"/>
            </w:tcMar>
          </w:tcPr>
          <w:p>
            <w:pPr>
              <w:spacing w:after="0"/>
            </w:pPr>
            <w:r/>
            <w:r>
              <w:rPr>
                <w:rFonts w:ascii="Calibri" w:hAnsi="Calibri"/>
                <w:b/>
                <w:i w:val="0"/>
                <w:color w:val="FFFFFF"/>
                <w:sz w:val="14"/>
              </w:rPr>
              <w:t>Join entity</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4"/>
              </w:rPr>
              <w:t>The attribute the join carries</w:t>
            </w:r>
          </w:p>
        </w:tc>
        <w:tc>
          <w:tcPr>
            <w:tcW w:type="dxa" w:w="2376"/>
            <w:shd w:val="clear" w:color="auto" w:fill="0B1F3A"/>
            <w:tcMar>
              <w:top w:w="60" w:type="dxa"/>
              <w:start w:w="110" w:type="dxa"/>
              <w:bottom w:w="60" w:type="dxa"/>
              <w:end w:w="110" w:type="dxa"/>
            </w:tcMar>
          </w:tcPr>
          <w:p>
            <w:pPr>
              <w:spacing w:after="0"/>
            </w:pPr>
            <w:r/>
            <w:r>
              <w:rPr>
                <w:rFonts w:ascii="Calibri" w:hAnsi="Calibri"/>
                <w:b/>
                <w:i w:val="0"/>
                <w:color w:val="FFFFFF"/>
                <w:sz w:val="14"/>
              </w:rPr>
              <w:t>Why not two FKs on one side</w:t>
            </w:r>
          </w:p>
        </w:tc>
      </w:tr>
      <w:tr>
        <w:trPr>
          <w:cantSplit/>
        </w:trPr>
        <w:tc>
          <w:tcPr>
            <w:tcW w:type="dxa" w:w="1368"/>
            <w:tcMar>
              <w:top w:w="60" w:type="dxa"/>
              <w:start w:w="110" w:type="dxa"/>
              <w:bottom w:w="60" w:type="dxa"/>
              <w:end w:w="110" w:type="dxa"/>
            </w:tcMar>
          </w:tcPr>
          <w:p>
            <w:pPr>
              <w:spacing w:after="0"/>
            </w:pPr>
            <w:r/>
            <w:r>
              <w:rPr>
                <w:rFonts w:ascii="Consolas" w:hAnsi="Consolas"/>
                <w:color w:val="146EF5"/>
                <w:sz w:val="14"/>
              </w:rPr>
              <w:t>users</w:t>
            </w:r>
          </w:p>
        </w:tc>
        <w:tc>
          <w:tcPr>
            <w:tcW w:type="dxa" w:w="1368"/>
            <w:tcMar>
              <w:top w:w="60" w:type="dxa"/>
              <w:start w:w="110" w:type="dxa"/>
              <w:bottom w:w="60" w:type="dxa"/>
              <w:end w:w="110" w:type="dxa"/>
            </w:tcMar>
          </w:tcPr>
          <w:p>
            <w:pPr>
              <w:spacing w:after="0"/>
            </w:pPr>
            <w:r/>
            <w:r>
              <w:rPr>
                <w:rFonts w:ascii="Consolas" w:hAnsi="Consolas"/>
                <w:color w:val="146EF5"/>
                <w:sz w:val="14"/>
              </w:rPr>
              <w:t>roles</w:t>
            </w:r>
          </w:p>
        </w:tc>
        <w:tc>
          <w:tcPr>
            <w:tcW w:type="dxa" w:w="1800"/>
            <w:tcMar>
              <w:top w:w="60" w:type="dxa"/>
              <w:start w:w="110" w:type="dxa"/>
              <w:bottom w:w="60" w:type="dxa"/>
              <w:end w:w="110" w:type="dxa"/>
            </w:tcMar>
          </w:tcPr>
          <w:p>
            <w:pPr>
              <w:spacing w:after="0"/>
            </w:pPr>
            <w:r/>
            <w:r>
              <w:rPr>
                <w:rFonts w:ascii="Consolas" w:hAnsi="Consolas"/>
                <w:color w:val="146EF5"/>
                <w:sz w:val="14"/>
              </w:rPr>
              <w:t>role_assignments</w:t>
            </w:r>
          </w:p>
        </w:tc>
        <w:tc>
          <w:tcPr>
            <w:tcW w:type="dxa" w:w="2448"/>
            <w:tcMar>
              <w:top w:w="60" w:type="dxa"/>
              <w:start w:w="110" w:type="dxa"/>
              <w:bottom w:w="60" w:type="dxa"/>
              <w:end w:w="110" w:type="dxa"/>
            </w:tcMar>
          </w:tcPr>
          <w:p>
            <w:pPr>
              <w:spacing w:after="0"/>
            </w:pPr>
            <w:r/>
            <w:r>
              <w:rPr>
                <w:rFonts w:ascii="Consolas" w:hAnsi="Consolas"/>
                <w:color w:val="146EF5"/>
                <w:sz w:val="14"/>
              </w:rPr>
              <w:t>scope</w:t>
            </w:r>
            <w:r>
              <w:rPr>
                <w:rFonts w:ascii="Calibri" w:hAnsi="Calibri"/>
                <w:b w:val="0"/>
                <w:i w:val="0"/>
                <w:color w:val="101828"/>
                <w:sz w:val="14"/>
              </w:rPr>
              <w:t xml:space="preserve"> (platform or ajo), </w:t>
            </w:r>
            <w:r>
              <w:rPr>
                <w:rFonts w:ascii="Consolas" w:hAnsi="Consolas"/>
                <w:color w:val="146EF5"/>
                <w:sz w:val="14"/>
              </w:rPr>
              <w:t>ajo_id</w:t>
            </w:r>
            <w:r>
              <w:rPr>
                <w:rFonts w:ascii="Calibri" w:hAnsi="Calibri"/>
                <w:b w:val="0"/>
                <w:i w:val="0"/>
                <w:color w:val="101828"/>
                <w:sz w:val="14"/>
              </w:rPr>
              <w:t xml:space="preserve">, </w:t>
            </w:r>
            <w:r>
              <w:rPr>
                <w:rFonts w:ascii="Consolas" w:hAnsi="Consolas"/>
                <w:color w:val="146EF5"/>
                <w:sz w:val="14"/>
              </w:rPr>
              <w:t>ajo_member_id</w:t>
            </w:r>
            <w:r>
              <w:rPr>
                <w:rFonts w:ascii="Calibri" w:hAnsi="Calibri"/>
                <w:b w:val="0"/>
                <w:i w:val="0"/>
                <w:color w:val="101828"/>
                <w:sz w:val="14"/>
              </w:rPr>
              <w:t xml:space="preserve">, </w:t>
            </w:r>
            <w:r>
              <w:rPr>
                <w:rFonts w:ascii="Consolas" w:hAnsi="Consolas"/>
                <w:color w:val="146EF5"/>
                <w:sz w:val="14"/>
              </w:rPr>
              <w:t>granted_by_user_id</w:t>
            </w:r>
            <w:r>
              <w:rPr>
                <w:rFonts w:ascii="Calibri" w:hAnsi="Calibri"/>
                <w:b w:val="0"/>
                <w:i w:val="0"/>
                <w:color w:val="101828"/>
                <w:sz w:val="14"/>
              </w:rPr>
              <w:t xml:space="preserve">, </w:t>
            </w:r>
            <w:r>
              <w:rPr>
                <w:rFonts w:ascii="Consolas" w:hAnsi="Consolas"/>
                <w:color w:val="146EF5"/>
                <w:sz w:val="14"/>
              </w:rPr>
              <w:t>expires_at</w:t>
            </w:r>
            <w:r>
              <w:rPr>
                <w:rFonts w:ascii="Calibri" w:hAnsi="Calibri"/>
                <w:b w:val="0"/>
                <w:i w:val="0"/>
                <w:color w:val="101828"/>
                <w:sz w:val="14"/>
              </w:rPr>
              <w:t xml:space="preserve">, </w:t>
            </w:r>
            <w:r>
              <w:rPr>
                <w:rFonts w:ascii="Consolas" w:hAnsi="Consolas"/>
                <w:color w:val="146EF5"/>
                <w:sz w:val="14"/>
              </w:rPr>
              <w:t>revoked_at</w:t>
            </w:r>
          </w:p>
        </w:tc>
        <w:tc>
          <w:tcPr>
            <w:tcW w:type="dxa" w:w="2376"/>
            <w:tcMar>
              <w:top w:w="60" w:type="dxa"/>
              <w:start w:w="110" w:type="dxa"/>
              <w:bottom w:w="60" w:type="dxa"/>
              <w:end w:w="110" w:type="dxa"/>
            </w:tcMar>
          </w:tcPr>
          <w:p>
            <w:pPr>
              <w:spacing w:after="0"/>
            </w:pPr>
            <w:r/>
            <w:r>
              <w:rPr>
                <w:rFonts w:ascii="Calibri" w:hAnsi="Calibri"/>
                <w:b w:val="0"/>
                <w:i w:val="0"/>
                <w:color w:val="101828"/>
                <w:sz w:val="14"/>
              </w:rPr>
              <w:t xml:space="preserve">A role grant is not a boolean. </w:t>
            </w:r>
            <w:r>
              <w:rPr>
                <w:rFonts w:ascii="Consolas" w:hAnsi="Consolas"/>
                <w:color w:val="146EF5"/>
                <w:sz w:val="14"/>
              </w:rPr>
              <w:t>ajo_organizer</w:t>
            </w:r>
            <w:r>
              <w:rPr>
                <w:rFonts w:ascii="Calibri" w:hAnsi="Calibri"/>
                <w:b w:val="0"/>
                <w:i w:val="0"/>
                <w:color w:val="101828"/>
                <w:sz w:val="14"/>
              </w:rPr>
              <w:t xml:space="preserve"> granted inside one Ajo is a different grant from </w:t>
            </w:r>
            <w:r>
              <w:rPr>
                <w:rFonts w:ascii="Consolas" w:hAnsi="Consolas"/>
                <w:color w:val="146EF5"/>
                <w:sz w:val="14"/>
              </w:rPr>
              <w:t>ajo_organizer</w:t>
            </w:r>
            <w:r>
              <w:rPr>
                <w:rFonts w:ascii="Calibri" w:hAnsi="Calibri"/>
                <w:b w:val="0"/>
                <w:i w:val="0"/>
                <w:color w:val="101828"/>
                <w:sz w:val="14"/>
              </w:rPr>
              <w:t xml:space="preserve"> granted platform-wide, and only the scoped form can be revoked without removing the role everywhere.</w:t>
            </w:r>
          </w:p>
        </w:tc>
      </w:tr>
      <w:tr>
        <w:trPr>
          <w:cantSplit/>
        </w:trPr>
        <w:tc>
          <w:tcPr>
            <w:tcW w:type="dxa" w:w="1368"/>
            <w:tcMar>
              <w:top w:w="60" w:type="dxa"/>
              <w:start w:w="110" w:type="dxa"/>
              <w:bottom w:w="60" w:type="dxa"/>
              <w:end w:w="110" w:type="dxa"/>
            </w:tcMar>
            <w:shd w:val="clear" w:color="auto" w:fill="F4F7FB"/>
          </w:tcPr>
          <w:p>
            <w:pPr>
              <w:spacing w:after="0"/>
            </w:pPr>
            <w:r/>
            <w:r>
              <w:rPr>
                <w:rFonts w:ascii="Consolas" w:hAnsi="Consolas"/>
                <w:color w:val="146EF5"/>
                <w:sz w:val="14"/>
              </w:rPr>
              <w:t>users</w:t>
            </w:r>
          </w:p>
        </w:tc>
        <w:tc>
          <w:tcPr>
            <w:tcW w:type="dxa" w:w="1368"/>
            <w:tcMar>
              <w:top w:w="60" w:type="dxa"/>
              <w:start w:w="110" w:type="dxa"/>
              <w:bottom w:w="60" w:type="dxa"/>
              <w:end w:w="110" w:type="dxa"/>
            </w:tcMar>
            <w:shd w:val="clear" w:color="auto" w:fill="F4F7FB"/>
          </w:tcPr>
          <w:p>
            <w:pPr>
              <w:spacing w:after="0"/>
            </w:pPr>
            <w:r/>
            <w:r>
              <w:rPr>
                <w:rFonts w:ascii="Consolas" w:hAnsi="Consolas"/>
                <w:color w:val="146EF5"/>
                <w:sz w:val="14"/>
              </w:rPr>
              <w:t>ajos</w:t>
            </w:r>
          </w:p>
        </w:tc>
        <w:tc>
          <w:tcPr>
            <w:tcW w:type="dxa" w:w="1800"/>
            <w:tcMar>
              <w:top w:w="60" w:type="dxa"/>
              <w:start w:w="110" w:type="dxa"/>
              <w:bottom w:w="60" w:type="dxa"/>
              <w:end w:w="110" w:type="dxa"/>
            </w:tcMar>
            <w:shd w:val="clear" w:color="auto" w:fill="F4F7FB"/>
          </w:tcPr>
          <w:p>
            <w:pPr>
              <w:spacing w:after="0"/>
            </w:pPr>
            <w:r/>
            <w:r>
              <w:rPr>
                <w:rFonts w:ascii="Consolas" w:hAnsi="Consolas"/>
                <w:color w:val="146EF5"/>
                <w:sz w:val="14"/>
              </w:rPr>
              <w:t>ajo_members</w:t>
            </w:r>
          </w:p>
        </w:tc>
        <w:tc>
          <w:tcPr>
            <w:tcW w:type="dxa" w:w="2448"/>
            <w:tcMar>
              <w:top w:w="60" w:type="dxa"/>
              <w:start w:w="110" w:type="dxa"/>
              <w:bottom w:w="60" w:type="dxa"/>
              <w:end w:w="110" w:type="dxa"/>
            </w:tcMar>
            <w:shd w:val="clear" w:color="auto" w:fill="F4F7FB"/>
          </w:tcPr>
          <w:p>
            <w:pPr>
              <w:spacing w:after="0"/>
            </w:pPr>
            <w:r/>
            <w:r>
              <w:rPr>
                <w:rFonts w:ascii="Consolas" w:hAnsi="Consolas"/>
                <w:color w:val="146EF5"/>
                <w:sz w:val="14"/>
              </w:rPr>
              <w:t>status</w:t>
            </w:r>
            <w:r>
              <w:rPr>
                <w:rFonts w:ascii="Calibri" w:hAnsi="Calibri"/>
                <w:b w:val="0"/>
                <w:i w:val="0"/>
                <w:color w:val="101828"/>
                <w:sz w:val="14"/>
              </w:rPr>
              <w:t xml:space="preserve"> (invited, active, defaulted, replaced, exited, removed), </w:t>
            </w:r>
            <w:r>
              <w:rPr>
                <w:rFonts w:ascii="Consolas" w:hAnsi="Consolas"/>
                <w:color w:val="146EF5"/>
                <w:sz w:val="14"/>
              </w:rPr>
              <w:t>position_id</w:t>
            </w:r>
            <w:r>
              <w:rPr>
                <w:rFonts w:ascii="Calibri" w:hAnsi="Calibri"/>
                <w:b w:val="0"/>
                <w:i w:val="0"/>
                <w:color w:val="101828"/>
                <w:sz w:val="14"/>
              </w:rPr>
              <w:t xml:space="preserve">, </w:t>
            </w:r>
            <w:r>
              <w:rPr>
                <w:rFonts w:ascii="Consolas" w:hAnsi="Consolas"/>
                <w:color w:val="146EF5"/>
                <w:sz w:val="14"/>
              </w:rPr>
              <w:t>joined_at</w:t>
            </w:r>
            <w:r>
              <w:rPr>
                <w:rFonts w:ascii="Calibri" w:hAnsi="Calibri"/>
                <w:b w:val="0"/>
                <w:i w:val="0"/>
                <w:color w:val="101828"/>
                <w:sz w:val="14"/>
              </w:rPr>
              <w:t xml:space="preserve">, </w:t>
            </w:r>
            <w:r>
              <w:rPr>
                <w:rFonts w:ascii="Consolas" w:hAnsi="Consolas"/>
                <w:color w:val="146EF5"/>
                <w:sz w:val="14"/>
              </w:rPr>
              <w:t>left_at</w:t>
            </w:r>
            <w:r>
              <w:rPr>
                <w:rFonts w:ascii="Calibri" w:hAnsi="Calibri"/>
                <w:b w:val="0"/>
                <w:i w:val="0"/>
                <w:color w:val="101828"/>
                <w:sz w:val="14"/>
              </w:rPr>
              <w:t xml:space="preserve">, </w:t>
            </w:r>
            <w:r>
              <w:rPr>
                <w:rFonts w:ascii="Consolas" w:hAnsi="Consolas"/>
                <w:color w:val="146EF5"/>
                <w:sz w:val="14"/>
              </w:rPr>
              <w:t>replaced_by_membership_id</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Membership is the single most stateful relationship in the product. It is where default, replacement, exit and removal live, and putting those columns on </w:t>
            </w:r>
            <w:r>
              <w:rPr>
                <w:rFonts w:ascii="Consolas" w:hAnsi="Consolas"/>
                <w:color w:val="146EF5"/>
                <w:sz w:val="14"/>
              </w:rPr>
              <w:t>users</w:t>
            </w:r>
            <w:r>
              <w:rPr>
                <w:rFonts w:ascii="Calibri" w:hAnsi="Calibri"/>
                <w:b w:val="0"/>
                <w:i w:val="0"/>
                <w:color w:val="101828"/>
                <w:sz w:val="14"/>
              </w:rPr>
              <w:t xml:space="preserve"> would make every profile read a membership query.</w:t>
            </w:r>
          </w:p>
        </w:tc>
      </w:tr>
      <w:tr>
        <w:trPr>
          <w:cantSplit/>
        </w:trPr>
        <w:tc>
          <w:tcPr>
            <w:tcW w:type="dxa" w:w="1368"/>
            <w:tcMar>
              <w:top w:w="60" w:type="dxa"/>
              <w:start w:w="110" w:type="dxa"/>
              <w:bottom w:w="60" w:type="dxa"/>
              <w:end w:w="110" w:type="dxa"/>
            </w:tcMar>
          </w:tcPr>
          <w:p>
            <w:pPr>
              <w:spacing w:after="0"/>
            </w:pPr>
            <w:r/>
            <w:r>
              <w:rPr>
                <w:rFonts w:ascii="Consolas" w:hAnsi="Consolas"/>
                <w:color w:val="146EF5"/>
                <w:sz w:val="14"/>
              </w:rPr>
              <w:t>ajo_positions</w:t>
            </w:r>
          </w:p>
        </w:tc>
        <w:tc>
          <w:tcPr>
            <w:tcW w:type="dxa" w:w="1368"/>
            <w:tcMar>
              <w:top w:w="60" w:type="dxa"/>
              <w:start w:w="110" w:type="dxa"/>
              <w:bottom w:w="60" w:type="dxa"/>
              <w:end w:w="110" w:type="dxa"/>
            </w:tcMar>
          </w:tcPr>
          <w:p>
            <w:pPr>
              <w:spacing w:after="0"/>
            </w:pPr>
            <w:r/>
            <w:r>
              <w:rPr>
                <w:rFonts w:ascii="Consolas" w:hAnsi="Consolas"/>
                <w:color w:val="146EF5"/>
                <w:sz w:val="14"/>
              </w:rPr>
              <w:t>users</w:t>
            </w:r>
          </w:p>
        </w:tc>
        <w:tc>
          <w:tcPr>
            <w:tcW w:type="dxa" w:w="1800"/>
            <w:tcMar>
              <w:top w:w="60" w:type="dxa"/>
              <w:start w:w="110" w:type="dxa"/>
              <w:bottom w:w="60" w:type="dxa"/>
              <w:end w:w="110" w:type="dxa"/>
            </w:tcMar>
          </w:tcPr>
          <w:p>
            <w:pPr>
              <w:spacing w:after="0"/>
            </w:pPr>
            <w:r/>
            <w:r>
              <w:rPr>
                <w:rFonts w:ascii="Consolas" w:hAnsi="Consolas"/>
                <w:color w:val="146EF5"/>
                <w:sz w:val="14"/>
              </w:rPr>
              <w:t>ajo_members</w:t>
            </w:r>
            <w:r>
              <w:rPr>
                <w:rFonts w:ascii="Calibri" w:hAnsi="Calibri"/>
                <w:b w:val="0"/>
                <w:i w:val="0"/>
                <w:color w:val="101828"/>
                <w:sz w:val="14"/>
              </w:rPr>
              <w:t xml:space="preserve"> (via </w:t>
            </w:r>
            <w:r>
              <w:rPr>
                <w:rFonts w:ascii="Consolas" w:hAnsi="Consolas"/>
                <w:color w:val="146EF5"/>
                <w:sz w:val="14"/>
              </w:rPr>
              <w:t>position_id</w:t>
            </w:r>
            <w:r>
              <w:rPr>
                <w:rFonts w:ascii="Calibri" w:hAnsi="Calibri"/>
                <w:b w:val="0"/>
                <w:i w:val="0"/>
                <w:color w:val="101828"/>
                <w:sz w:val="14"/>
              </w:rPr>
              <w:t>)</w:t>
            </w:r>
          </w:p>
        </w:tc>
        <w:tc>
          <w:tcPr>
            <w:tcW w:type="dxa" w:w="2448"/>
            <w:tcMar>
              <w:top w:w="60" w:type="dxa"/>
              <w:start w:w="110" w:type="dxa"/>
              <w:bottom w:w="60" w:type="dxa"/>
              <w:end w:w="110" w:type="dxa"/>
            </w:tcMar>
          </w:tcPr>
          <w:p>
            <w:pPr>
              <w:spacing w:after="0"/>
            </w:pPr>
            <w:r/>
            <w:r>
              <w:rPr>
                <w:rFonts w:ascii="Calibri" w:hAnsi="Calibri"/>
                <w:b w:val="0"/>
                <w:i w:val="0"/>
                <w:color w:val="101828"/>
                <w:sz w:val="14"/>
              </w:rPr>
              <w:t xml:space="preserve">The claim, its lock state and the release timestamp. </w:t>
            </w:r>
            <w:r>
              <w:rPr>
                <w:rFonts w:ascii="Consolas" w:hAnsi="Consolas"/>
                <w:color w:val="146EF5"/>
                <w:sz w:val="14"/>
              </w:rPr>
              <w:t>UNIQUE (ajo_id, position_id) WHERE position_id IS NOT NULL AND released_at IS NULL</w:t>
            </w:r>
          </w:p>
        </w:tc>
        <w:tc>
          <w:tcPr>
            <w:tcW w:type="dxa" w:w="2376"/>
            <w:tcMar>
              <w:top w:w="60" w:type="dxa"/>
              <w:start w:w="110" w:type="dxa"/>
              <w:bottom w:w="60" w:type="dxa"/>
              <w:end w:w="110" w:type="dxa"/>
            </w:tcMar>
          </w:tcPr>
          <w:p>
            <w:pPr>
              <w:spacing w:after="0"/>
            </w:pPr>
            <w:r/>
            <w:r>
              <w:rPr>
                <w:rFonts w:ascii="Calibri" w:hAnsi="Calibri"/>
                <w:b w:val="0"/>
                <w:i w:val="0"/>
                <w:color w:val="101828"/>
                <w:sz w:val="14"/>
              </w:rPr>
              <w:t>Occupancy is the relationship. Modelling it as two independent foreign keys would require either a circular reference or a trigger keeping two sources of truth in step, and triggers that keep two copies in step are the ones that eventually fail silently at three in the morning.</w:t>
            </w:r>
          </w:p>
        </w:tc>
      </w:tr>
      <w:tr>
        <w:trPr>
          <w:cantSplit/>
        </w:trPr>
        <w:tc>
          <w:tcPr>
            <w:tcW w:type="dxa" w:w="1368"/>
            <w:tcMar>
              <w:top w:w="60" w:type="dxa"/>
              <w:start w:w="110" w:type="dxa"/>
              <w:bottom w:w="60" w:type="dxa"/>
              <w:end w:w="110" w:type="dxa"/>
            </w:tcMar>
            <w:shd w:val="clear" w:color="auto" w:fill="F4F7FB"/>
          </w:tcPr>
          <w:p>
            <w:pPr>
              <w:spacing w:after="0"/>
            </w:pPr>
            <w:r/>
            <w:r>
              <w:rPr>
                <w:rFonts w:ascii="Consolas" w:hAnsi="Consolas"/>
                <w:color w:val="146EF5"/>
                <w:sz w:val="14"/>
              </w:rPr>
              <w:t>rounds</w:t>
            </w:r>
          </w:p>
        </w:tc>
        <w:tc>
          <w:tcPr>
            <w:tcW w:type="dxa" w:w="1368"/>
            <w:tcMar>
              <w:top w:w="60" w:type="dxa"/>
              <w:start w:w="110" w:type="dxa"/>
              <w:bottom w:w="60" w:type="dxa"/>
              <w:end w:w="110" w:type="dxa"/>
            </w:tcMar>
            <w:shd w:val="clear" w:color="auto" w:fill="F4F7FB"/>
          </w:tcPr>
          <w:p>
            <w:pPr>
              <w:spacing w:after="0"/>
            </w:pPr>
            <w:r/>
            <w:r>
              <w:rPr>
                <w:rFonts w:ascii="Consolas" w:hAnsi="Consolas"/>
                <w:color w:val="146EF5"/>
                <w:sz w:val="14"/>
              </w:rPr>
              <w:t>users</w:t>
            </w:r>
          </w:p>
        </w:tc>
        <w:tc>
          <w:tcPr>
            <w:tcW w:type="dxa" w:w="1800"/>
            <w:tcMar>
              <w:top w:w="60" w:type="dxa"/>
              <w:start w:w="110" w:type="dxa"/>
              <w:bottom w:w="60" w:type="dxa"/>
              <w:end w:w="110" w:type="dxa"/>
            </w:tcMar>
            <w:shd w:val="clear" w:color="auto" w:fill="F4F7FB"/>
          </w:tcPr>
          <w:p>
            <w:pPr>
              <w:spacing w:after="0"/>
            </w:pPr>
            <w:r/>
            <w:r>
              <w:rPr>
                <w:rFonts w:ascii="Consolas" w:hAnsi="Consolas"/>
                <w:color w:val="146EF5"/>
                <w:sz w:val="14"/>
              </w:rPr>
              <w:t>contributions</w:t>
            </w:r>
            <w:r>
              <w:rPr>
                <w:rFonts w:ascii="Calibri" w:hAnsi="Calibri"/>
                <w:b w:val="0"/>
                <w:i w:val="0"/>
                <w:color w:val="101828"/>
                <w:sz w:val="14"/>
              </w:rPr>
              <w:t xml:space="preserve"> (via </w:t>
            </w:r>
            <w:r>
              <w:rPr>
                <w:rFonts w:ascii="Consolas" w:hAnsi="Consolas"/>
                <w:color w:val="146EF5"/>
                <w:sz w:val="14"/>
              </w:rPr>
              <w:t>schedule_id</w:t>
            </w:r>
            <w:r>
              <w:rPr>
                <w:rFonts w:ascii="Calibri" w:hAnsi="Calibri"/>
                <w:b w:val="0"/>
                <w:i w:val="0"/>
                <w:color w:val="101828"/>
                <w:sz w:val="14"/>
              </w:rPr>
              <w:t xml:space="preserve"> and </w:t>
            </w:r>
            <w:r>
              <w:rPr>
                <w:rFonts w:ascii="Consolas" w:hAnsi="Consolas"/>
                <w:color w:val="146EF5"/>
                <w:sz w:val="14"/>
              </w:rPr>
              <w:t>member_id</w:t>
            </w:r>
            <w:r>
              <w:rPr>
                <w:rFonts w:ascii="Calibri" w:hAnsi="Calibri"/>
                <w:b w:val="0"/>
                <w:i w:val="0"/>
                <w:color w:val="101828"/>
                <w:sz w:val="14"/>
              </w:rPr>
              <w:t>)</w:t>
            </w:r>
          </w:p>
        </w:tc>
        <w:tc>
          <w:tcPr>
            <w:tcW w:type="dxa" w:w="2448"/>
            <w:tcMar>
              <w:top w:w="60" w:type="dxa"/>
              <w:start w:w="110" w:type="dxa"/>
              <w:bottom w:w="60" w:type="dxa"/>
              <w:end w:w="110" w:type="dxa"/>
            </w:tcMar>
            <w:shd w:val="clear" w:color="auto" w:fill="F4F7FB"/>
          </w:tcPr>
          <w:p>
            <w:pPr>
              <w:spacing w:after="0"/>
            </w:pPr>
            <w:r/>
            <w:r>
              <w:rPr>
                <w:rFonts w:ascii="Consolas" w:hAnsi="Consolas"/>
                <w:color w:val="146EF5"/>
                <w:sz w:val="14"/>
              </w:rPr>
              <w:t>amount_kobo</w:t>
            </w:r>
            <w:r>
              <w:rPr>
                <w:rFonts w:ascii="Calibri" w:hAnsi="Calibri"/>
                <w:b w:val="0"/>
                <w:i w:val="0"/>
                <w:color w:val="101828"/>
                <w:sz w:val="14"/>
              </w:rPr>
              <w:t xml:space="preserve">, </w:t>
            </w:r>
            <w:r>
              <w:rPr>
                <w:rFonts w:ascii="Consolas" w:hAnsi="Consolas"/>
                <w:color w:val="146EF5"/>
                <w:sz w:val="14"/>
              </w:rPr>
              <w:t>fee_kobo</w:t>
            </w:r>
            <w:r>
              <w:rPr>
                <w:rFonts w:ascii="Calibri" w:hAnsi="Calibri"/>
                <w:b w:val="0"/>
                <w:i w:val="0"/>
                <w:color w:val="101828"/>
                <w:sz w:val="14"/>
              </w:rPr>
              <w:t xml:space="preserve">, </w:t>
            </w:r>
            <w:r>
              <w:rPr>
                <w:rFonts w:ascii="Consolas" w:hAnsi="Consolas"/>
                <w:color w:val="146EF5"/>
                <w:sz w:val="14"/>
              </w:rPr>
              <w:t>status</w:t>
            </w:r>
            <w:r>
              <w:rPr>
                <w:rFonts w:ascii="Calibri" w:hAnsi="Calibri"/>
                <w:b w:val="0"/>
                <w:i w:val="0"/>
                <w:color w:val="101828"/>
                <w:sz w:val="14"/>
              </w:rPr>
              <w:t xml:space="preserve">, </w:t>
            </w:r>
            <w:r>
              <w:rPr>
                <w:rFonts w:ascii="Consolas" w:hAnsi="Consolas"/>
                <w:color w:val="146EF5"/>
                <w:sz w:val="14"/>
              </w:rPr>
              <w:t>due_date</w:t>
            </w:r>
            <w:r>
              <w:rPr>
                <w:rFonts w:ascii="Calibri" w:hAnsi="Calibri"/>
                <w:b w:val="0"/>
                <w:i w:val="0"/>
                <w:color w:val="101828"/>
                <w:sz w:val="14"/>
              </w:rPr>
              <w:t xml:space="preserve">, </w:t>
            </w:r>
            <w:r>
              <w:rPr>
                <w:rFonts w:ascii="Consolas" w:hAnsi="Consolas"/>
                <w:color w:val="146EF5"/>
                <w:sz w:val="14"/>
              </w:rPr>
              <w:t>paid_at</w:t>
            </w:r>
            <w:r>
              <w:rPr>
                <w:rFonts w:ascii="Calibri" w:hAnsi="Calibri"/>
                <w:b w:val="0"/>
                <w:i w:val="0"/>
                <w:color w:val="101828"/>
                <w:sz w:val="14"/>
              </w:rPr>
              <w:t xml:space="preserve">, </w:t>
            </w:r>
            <w:r>
              <w:rPr>
                <w:rFonts w:ascii="Consolas" w:hAnsi="Consolas"/>
                <w:color w:val="146EF5"/>
                <w:sz w:val="14"/>
              </w:rPr>
              <w:t>superseded_at</w:t>
            </w:r>
            <w:r>
              <w:rPr>
                <w:rFonts w:ascii="Calibri" w:hAnsi="Calibri"/>
                <w:b w:val="0"/>
                <w:i w:val="0"/>
                <w:color w:val="101828"/>
                <w:sz w:val="14"/>
              </w:rPr>
              <w:t xml:space="preserve">, </w:t>
            </w:r>
            <w:r>
              <w:rPr>
                <w:rFonts w:ascii="Consolas" w:hAnsi="Consolas"/>
                <w:color w:val="146EF5"/>
                <w:sz w:val="14"/>
              </w:rPr>
              <w:t>defaulted_at</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obligation is the money. It needs its own lifecycle, its own payments, its own dispute history and its own ledger postings. A bare pair of foreign keys on </w:t>
            </w:r>
            <w:r>
              <w:rPr>
                <w:rFonts w:ascii="Consolas" w:hAnsi="Consolas"/>
                <w:color w:val="146EF5"/>
                <w:sz w:val="14"/>
              </w:rPr>
              <w:t>rounds</w:t>
            </w:r>
            <w:r>
              <w:rPr>
                <w:rFonts w:ascii="Calibri" w:hAnsi="Calibri"/>
                <w:b w:val="0"/>
                <w:i w:val="0"/>
                <w:color w:val="101828"/>
                <w:sz w:val="14"/>
              </w:rPr>
              <w:t xml:space="preserve"> would have nowhere to put any of that.</w:t>
            </w:r>
          </w:p>
        </w:tc>
      </w:tr>
      <w:tr>
        <w:trPr>
          <w:cantSplit/>
        </w:trPr>
        <w:tc>
          <w:tcPr>
            <w:tcW w:type="dxa" w:w="1368"/>
            <w:tcMar>
              <w:top w:w="60" w:type="dxa"/>
              <w:start w:w="110" w:type="dxa"/>
              <w:bottom w:w="60" w:type="dxa"/>
              <w:end w:w="110" w:type="dxa"/>
            </w:tcMar>
          </w:tcPr>
          <w:p>
            <w:pPr>
              <w:spacing w:after="0"/>
            </w:pPr>
            <w:r/>
            <w:r>
              <w:rPr>
                <w:rFonts w:ascii="Consolas" w:hAnsi="Consolas"/>
                <w:color w:val="146EF5"/>
                <w:sz w:val="14"/>
              </w:rPr>
              <w:t>notifications</w:t>
            </w:r>
          </w:p>
        </w:tc>
        <w:tc>
          <w:tcPr>
            <w:tcW w:type="dxa" w:w="1368"/>
            <w:tcMar>
              <w:top w:w="60" w:type="dxa"/>
              <w:start w:w="110" w:type="dxa"/>
              <w:bottom w:w="60" w:type="dxa"/>
              <w:end w:w="110" w:type="dxa"/>
            </w:tcMar>
          </w:tcPr>
          <w:p>
            <w:pPr>
              <w:spacing w:after="0"/>
            </w:pPr>
            <w:r/>
            <w:r>
              <w:rPr>
                <w:rFonts w:ascii="Consolas" w:hAnsi="Consolas"/>
                <w:color w:val="146EF5"/>
                <w:sz w:val="14"/>
              </w:rPr>
              <w:t>notification_templates</w:t>
            </w:r>
          </w:p>
        </w:tc>
        <w:tc>
          <w:tcPr>
            <w:tcW w:type="dxa" w:w="1800"/>
            <w:tcMar>
              <w:top w:w="60" w:type="dxa"/>
              <w:start w:w="110" w:type="dxa"/>
              <w:bottom w:w="60" w:type="dxa"/>
              <w:end w:w="110" w:type="dxa"/>
            </w:tcMar>
          </w:tcPr>
          <w:p>
            <w:pPr>
              <w:spacing w:after="0"/>
            </w:pPr>
            <w:r/>
            <w:r>
              <w:rPr>
                <w:rFonts w:ascii="Calibri" w:hAnsi="Calibri"/>
                <w:b w:val="0"/>
                <w:i w:val="0"/>
                <w:color w:val="101828"/>
                <w:sz w:val="14"/>
              </w:rPr>
              <w:t>resolved inline by (</w:t>
            </w:r>
            <w:r>
              <w:rPr>
                <w:rFonts w:ascii="Consolas" w:hAnsi="Consolas"/>
                <w:color w:val="146EF5"/>
                <w:sz w:val="14"/>
              </w:rPr>
              <w:t>event_key</w:t>
            </w:r>
            <w:r>
              <w:rPr>
                <w:rFonts w:ascii="Calibri" w:hAnsi="Calibri"/>
                <w:b w:val="0"/>
                <w:i w:val="0"/>
                <w:color w:val="101828"/>
                <w:sz w:val="14"/>
              </w:rPr>
              <w:t xml:space="preserve">, </w:t>
            </w:r>
            <w:r>
              <w:rPr>
                <w:rFonts w:ascii="Consolas" w:hAnsi="Consolas"/>
                <w:color w:val="146EF5"/>
                <w:sz w:val="14"/>
              </w:rPr>
              <w:t>channel</w:t>
            </w:r>
            <w:r>
              <w:rPr>
                <w:rFonts w:ascii="Calibri" w:hAnsi="Calibri"/>
                <w:b w:val="0"/>
                <w:i w:val="0"/>
                <w:color w:val="101828"/>
                <w:sz w:val="14"/>
              </w:rPr>
              <w:t>)</w:t>
            </w:r>
          </w:p>
        </w:tc>
        <w:tc>
          <w:tcPr>
            <w:tcW w:type="dxa" w:w="2448"/>
            <w:tcMar>
              <w:top w:w="60" w:type="dxa"/>
              <w:start w:w="110" w:type="dxa"/>
              <w:bottom w:w="60" w:type="dxa"/>
              <w:end w:w="110" w:type="dxa"/>
            </w:tcMar>
          </w:tcPr>
          <w:p>
            <w:pPr>
              <w:spacing w:after="0"/>
            </w:pPr>
            <w:r/>
            <w:r>
              <w:rPr>
                <w:rFonts w:ascii="Calibri" w:hAnsi="Calibri"/>
                <w:b w:val="0"/>
                <w:i w:val="0"/>
                <w:color w:val="101828"/>
                <w:sz w:val="14"/>
              </w:rPr>
              <w:t xml:space="preserve">The </w:t>
            </w:r>
            <w:r>
              <w:rPr>
                <w:rFonts w:ascii="Consolas" w:hAnsi="Consolas"/>
                <w:color w:val="146EF5"/>
                <w:sz w:val="14"/>
              </w:rPr>
              <w:t>dedupe_key</w:t>
            </w:r>
            <w:r>
              <w:rPr>
                <w:rFonts w:ascii="Calibri" w:hAnsi="Calibri"/>
                <w:b w:val="0"/>
                <w:i w:val="0"/>
                <w:color w:val="101828"/>
                <w:sz w:val="14"/>
              </w:rPr>
              <w:t xml:space="preserve"> on the notification and the </w:t>
            </w:r>
            <w:r>
              <w:rPr>
                <w:rFonts w:ascii="Consolas" w:hAnsi="Consolas"/>
                <w:color w:val="146EF5"/>
                <w:sz w:val="14"/>
              </w:rPr>
              <w:t>is_money_critical</w:t>
            </w:r>
            <w:r>
              <w:rPr>
                <w:rFonts w:ascii="Calibri" w:hAnsi="Calibri"/>
                <w:b w:val="0"/>
                <w:i w:val="0"/>
                <w:color w:val="101828"/>
                <w:sz w:val="14"/>
              </w:rPr>
              <w:t xml:space="preserve"> flag on the template. Not a join table, and deliberately so</w:t>
            </w:r>
          </w:p>
        </w:tc>
        <w:tc>
          <w:tcPr>
            <w:tcW w:type="dxa" w:w="2376"/>
            <w:tcMar>
              <w:top w:w="60" w:type="dxa"/>
              <w:start w:w="110" w:type="dxa"/>
              <w:bottom w:w="60" w:type="dxa"/>
              <w:end w:w="110" w:type="dxa"/>
            </w:tcMar>
          </w:tcPr>
          <w:p>
            <w:pPr>
              <w:spacing w:after="0"/>
            </w:pPr>
            <w:r/>
            <w:r>
              <w:rPr>
                <w:rFonts w:ascii="Calibri" w:hAnsi="Calibri"/>
                <w:b w:val="0"/>
                <w:i w:val="0"/>
                <w:color w:val="101828"/>
                <w:sz w:val="14"/>
              </w:rPr>
              <w:t xml:space="preserve">The cardinality is fixed at one template per event and channel, which is a </w:t>
            </w:r>
            <w:r>
              <w:rPr>
                <w:rFonts w:ascii="Consolas" w:hAnsi="Consolas"/>
                <w:color w:val="146EF5"/>
                <w:sz w:val="14"/>
              </w:rPr>
              <w:t>UNIQUE</w:t>
            </w:r>
            <w:r>
              <w:rPr>
                <w:rFonts w:ascii="Calibri" w:hAnsi="Calibri"/>
                <w:b w:val="0"/>
                <w:i w:val="0"/>
                <w:color w:val="101828"/>
                <w:sz w:val="14"/>
              </w:rPr>
              <w:t xml:space="preserve"> constraint on </w:t>
            </w:r>
            <w:r>
              <w:rPr>
                <w:rFonts w:ascii="Consolas" w:hAnsi="Consolas"/>
                <w:color w:val="146EF5"/>
                <w:sz w:val="14"/>
              </w:rPr>
              <w:t>notification_templates</w:t>
            </w:r>
            <w:r>
              <w:rPr>
                <w:rFonts w:ascii="Calibri" w:hAnsi="Calibri"/>
                <w:b w:val="0"/>
                <w:i w:val="0"/>
                <w:color w:val="101828"/>
                <w:sz w:val="14"/>
              </w:rPr>
              <w:t>, not a relationship that needs a table. Over-modelling this one would add a table to every notification insert for no gain.</w:t>
            </w:r>
          </w:p>
        </w:tc>
      </w:tr>
      <w:tr>
        <w:trPr>
          <w:cantSplit/>
        </w:trPr>
        <w:tc>
          <w:tcPr>
            <w:tcW w:type="dxa" w:w="1368"/>
            <w:tcMar>
              <w:top w:w="60" w:type="dxa"/>
              <w:start w:w="110" w:type="dxa"/>
              <w:bottom w:w="60" w:type="dxa"/>
              <w:end w:w="110" w:type="dxa"/>
            </w:tcMar>
            <w:shd w:val="clear" w:color="auto" w:fill="F4F7FB"/>
          </w:tcPr>
          <w:p>
            <w:pPr>
              <w:spacing w:after="0"/>
            </w:pPr>
            <w:r/>
            <w:r>
              <w:rPr>
                <w:rFonts w:ascii="Consolas" w:hAnsi="Consolas"/>
                <w:color w:val="146EF5"/>
                <w:sz w:val="14"/>
              </w:rPr>
              <w:t>users</w:t>
            </w:r>
          </w:p>
        </w:tc>
        <w:tc>
          <w:tcPr>
            <w:tcW w:type="dxa" w:w="1368"/>
            <w:tcMar>
              <w:top w:w="60" w:type="dxa"/>
              <w:start w:w="110" w:type="dxa"/>
              <w:bottom w:w="60" w:type="dxa"/>
              <w:end w:w="110" w:type="dxa"/>
            </w:tcMar>
            <w:shd w:val="clear" w:color="auto" w:fill="F4F7FB"/>
          </w:tcPr>
          <w:p>
            <w:pPr>
              <w:spacing w:after="0"/>
            </w:pPr>
            <w:r/>
            <w:r>
              <w:rPr>
                <w:rFonts w:ascii="Consolas" w:hAnsi="Consolas"/>
                <w:color w:val="146EF5"/>
                <w:sz w:val="14"/>
              </w:rPr>
              <w:t>documents</w:t>
            </w:r>
          </w:p>
        </w:tc>
        <w:tc>
          <w:tcPr>
            <w:tcW w:type="dxa" w:w="1800"/>
            <w:tcMar>
              <w:top w:w="60" w:type="dxa"/>
              <w:start w:w="110" w:type="dxa"/>
              <w:bottom w:w="60" w:type="dxa"/>
              <w:end w:w="110" w:type="dxa"/>
            </w:tcMar>
            <w:shd w:val="clear" w:color="auto" w:fill="F4F7FB"/>
          </w:tcPr>
          <w:p>
            <w:pPr>
              <w:spacing w:after="0"/>
            </w:pPr>
            <w:r/>
            <w:r>
              <w:rPr>
                <w:rFonts w:ascii="Consolas" w:hAnsi="Consolas"/>
                <w:color w:val="146EF5"/>
                <w:sz w:val="14"/>
              </w:rPr>
              <w:t>documents</w:t>
            </w:r>
            <w:r>
              <w:rPr>
                <w:rFonts w:ascii="Calibri" w:hAnsi="Calibri"/>
                <w:b w:val="0"/>
                <w:i w:val="0"/>
                <w:color w:val="101828"/>
                <w:sz w:val="14"/>
              </w:rPr>
              <w:t xml:space="preserve"> (owner plus optional </w:t>
            </w:r>
            <w:r>
              <w:rPr>
                <w:rFonts w:ascii="Consolas" w:hAnsi="Consolas"/>
                <w:color w:val="146EF5"/>
                <w:sz w:val="14"/>
              </w:rPr>
              <w:t>verification_check_id</w:t>
            </w:r>
            <w:r>
              <w:rPr>
                <w:rFonts w:ascii="Calibri" w:hAnsi="Calibri"/>
                <w:b w:val="0"/>
                <w:i w:val="0"/>
                <w:color w:val="101828"/>
                <w:sz w:val="14"/>
              </w:rPr>
              <w:t>)</w:t>
            </w:r>
          </w:p>
        </w:tc>
        <w:tc>
          <w:tcPr>
            <w:tcW w:type="dxa" w:w="2448"/>
            <w:tcMar>
              <w:top w:w="60" w:type="dxa"/>
              <w:start w:w="110" w:type="dxa"/>
              <w:bottom w:w="60" w:type="dxa"/>
              <w:end w:w="110" w:type="dxa"/>
            </w:tcMar>
            <w:shd w:val="clear" w:color="auto" w:fill="F4F7FB"/>
          </w:tcPr>
          <w:p>
            <w:pPr>
              <w:spacing w:after="0"/>
            </w:pPr>
            <w:r/>
            <w:r>
              <w:rPr>
                <w:rFonts w:ascii="Consolas" w:hAnsi="Consolas"/>
                <w:color w:val="146EF5"/>
                <w:sz w:val="14"/>
              </w:rPr>
              <w:t>doc_type</w:t>
            </w:r>
            <w:r>
              <w:rPr>
                <w:rFonts w:ascii="Calibri" w:hAnsi="Calibri"/>
                <w:b w:val="0"/>
                <w:i w:val="0"/>
                <w:color w:val="101828"/>
                <w:sz w:val="14"/>
              </w:rPr>
              <w:t xml:space="preserve">, </w:t>
            </w:r>
            <w:r>
              <w:rPr>
                <w:rFonts w:ascii="Consolas" w:hAnsi="Consolas"/>
                <w:color w:val="146EF5"/>
                <w:sz w:val="14"/>
              </w:rPr>
              <w:t>sha256</w:t>
            </w:r>
            <w:r>
              <w:rPr>
                <w:rFonts w:ascii="Calibri" w:hAnsi="Calibri"/>
                <w:b w:val="0"/>
                <w:i w:val="0"/>
                <w:color w:val="101828"/>
                <w:sz w:val="14"/>
              </w:rPr>
              <w:t xml:space="preserve">, </w:t>
            </w:r>
            <w:r>
              <w:rPr>
                <w:rFonts w:ascii="Consolas" w:hAnsi="Consolas"/>
                <w:color w:val="146EF5"/>
                <w:sz w:val="14"/>
              </w:rPr>
              <w:t>mime_type</w:t>
            </w:r>
            <w:r>
              <w:rPr>
                <w:rFonts w:ascii="Calibri" w:hAnsi="Calibri"/>
                <w:b w:val="0"/>
                <w:i w:val="0"/>
                <w:color w:val="101828"/>
                <w:sz w:val="14"/>
              </w:rPr>
              <w:t xml:space="preserve">, </w:t>
            </w:r>
            <w:r>
              <w:rPr>
                <w:rFonts w:ascii="Consolas" w:hAnsi="Consolas"/>
                <w:color w:val="146EF5"/>
                <w:sz w:val="14"/>
              </w:rPr>
              <w:t>byte_size</w:t>
            </w:r>
            <w:r>
              <w:rPr>
                <w:rFonts w:ascii="Calibri" w:hAnsi="Calibri"/>
                <w:b w:val="0"/>
                <w:i w:val="0"/>
                <w:color w:val="101828"/>
                <w:sz w:val="14"/>
              </w:rPr>
              <w:t xml:space="preserve">, </w:t>
            </w:r>
            <w:r>
              <w:rPr>
                <w:rFonts w:ascii="Consolas" w:hAnsi="Consolas"/>
                <w:color w:val="146EF5"/>
                <w:sz w:val="14"/>
              </w:rPr>
              <w:t>scan_status</w:t>
            </w:r>
            <w:r>
              <w:rPr>
                <w:rFonts w:ascii="Calibri" w:hAnsi="Calibri"/>
                <w:b w:val="0"/>
                <w:i w:val="0"/>
                <w:color w:val="101828"/>
                <w:sz w:val="14"/>
              </w:rPr>
              <w:t xml:space="preserve">, </w:t>
            </w:r>
            <w:r>
              <w:rPr>
                <w:rFonts w:ascii="Consolas" w:hAnsi="Consolas"/>
                <w:color w:val="146EF5"/>
                <w:sz w:val="14"/>
              </w:rPr>
              <w:t>expires_at</w:t>
            </w:r>
          </w:p>
        </w:tc>
        <w:tc>
          <w:tcPr>
            <w:tcW w:type="dxa" w:w="237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document is already a relationship: it has a type, a hash, a lifecycle and a purpose. Making </w:t>
            </w:r>
            <w:r>
              <w:rPr>
                <w:rFonts w:ascii="Consolas" w:hAnsi="Consolas"/>
                <w:color w:val="146EF5"/>
                <w:sz w:val="14"/>
              </w:rPr>
              <w:t>documents</w:t>
            </w:r>
            <w:r>
              <w:rPr>
                <w:rFonts w:ascii="Calibri" w:hAnsi="Calibri"/>
                <w:b w:val="0"/>
                <w:i w:val="0"/>
                <w:color w:val="101828"/>
                <w:sz w:val="14"/>
              </w:rPr>
              <w:t xml:space="preserve"> the join entity rather than the child of a separate join is the difference between a usable model and two extra tables.</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Four of the six many-to-many relationships are the same two tables  </w:t>
      </w:r>
      <w:r>
        <w:rPr>
          <w:rFonts w:ascii="Consolas" w:hAnsi="Consolas"/>
          <w:color w:val="146EF5"/>
          <w:sz w:val="19"/>
        </w:rPr>
        <w:t>users</w:t>
      </w:r>
      <w:r>
        <w:rPr>
          <w:rFonts w:ascii="Calibri" w:hAnsi="Calibri"/>
          <w:b w:val="0"/>
          <w:i w:val="0"/>
          <w:color w:val="0B1F3A"/>
          <w:sz w:val="19"/>
        </w:rPr>
        <w:t xml:space="preserve"> and </w:t>
      </w:r>
      <w:r>
        <w:rPr>
          <w:rFonts w:ascii="Consolas" w:hAnsi="Consolas"/>
          <w:color w:val="146EF5"/>
          <w:sz w:val="19"/>
        </w:rPr>
        <w:t>ajos</w:t>
      </w:r>
      <w:r>
        <w:rPr>
          <w:rFonts w:ascii="Calibri" w:hAnsi="Calibri"/>
          <w:b w:val="0"/>
          <w:i w:val="0"/>
          <w:color w:val="0B1F3A"/>
          <w:sz w:val="19"/>
        </w:rPr>
        <w:t xml:space="preserve"> are related three separate ways in this product: as organizer, as member, and as a scoped role holder. These are not three views of one relationship; they are three different relationships with different rules, and collapsing them into a single </w:t>
      </w:r>
      <w:r>
        <w:rPr>
          <w:rFonts w:ascii="Consolas" w:hAnsi="Consolas"/>
          <w:color w:val="146EF5"/>
          <w:sz w:val="19"/>
        </w:rPr>
        <w:t>AjoUsers</w:t>
      </w:r>
      <w:r>
        <w:rPr>
          <w:rFonts w:ascii="Calibri" w:hAnsi="Calibri"/>
          <w:b w:val="0"/>
          <w:i w:val="0"/>
          <w:color w:val="0B1F3A"/>
          <w:sz w:val="19"/>
        </w:rPr>
        <w:t xml:space="preserve"> table is the standard mistake in this domain. The organizer is additionally a member, which is a </w:t>
      </w:r>
      <w:r>
        <w:rPr>
          <w:rFonts w:ascii="Consolas" w:hAnsi="Consolas"/>
          <w:color w:val="146EF5"/>
          <w:sz w:val="19"/>
        </w:rPr>
        <w:t>CHECK</w:t>
      </w:r>
      <w:r>
        <w:rPr>
          <w:rFonts w:ascii="Calibri" w:hAnsi="Calibri"/>
          <w:b w:val="0"/>
          <w:i w:val="0"/>
          <w:color w:val="0B1F3A"/>
          <w:sz w:val="19"/>
        </w:rPr>
        <w:t>-enforced invariant rather than a convention, and a member holding a position is a third fact about the same pair, held on the membership.</w:t>
      </w:r>
    </w:p>
    <w:p>
      <w:r>
        <w:br w:type="page"/>
      </w:r>
    </w:p>
    <w:p>
      <w:pPr>
        <w:pStyle w:val="Heading2"/>
      </w:pPr>
      <w:r>
        <w:rPr>
          <w:rFonts w:ascii="Calibri" w:hAnsi="Calibri"/>
          <w:b/>
          <w:i w:val="0"/>
          <w:color w:val="146EF5"/>
          <w:sz w:val="29"/>
        </w:rPr>
        <w:t>8.7 Referential integrity rules</w:t>
      </w:r>
    </w:p>
    <w:p>
      <w:r>
        <w:rPr>
          <w:rFonts w:ascii="Calibri" w:hAnsi="Calibri"/>
          <w:b w:val="0"/>
          <w:i w:val="0"/>
          <w:color w:val="101828"/>
          <w:sz w:val="21"/>
        </w:rPr>
        <w:t xml:space="preserve">The rule for the whole model is one sentence: </w:t>
      </w:r>
      <w:r>
        <w:rPr>
          <w:rFonts w:ascii="Calibri" w:hAnsi="Calibri"/>
          <w:b/>
          <w:color w:val="101828"/>
          <w:sz w:val="21"/>
        </w:rPr>
        <w:t>a delete may never destroy a financial record.</w:t>
      </w:r>
      <w:r>
        <w:rPr>
          <w:rFonts w:ascii="Calibri" w:hAnsi="Calibri"/>
          <w:b w:val="0"/>
          <w:i w:val="0"/>
          <w:color w:val="101828"/>
          <w:sz w:val="21"/>
        </w:rPr>
        <w:t xml:space="preserve"> Everything below is that sentence made operational. There are four referential actions in this schema and only four, and three of them are conservative.</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368"/>
            <w:shd w:val="clear" w:color="auto" w:fill="0B1F3A"/>
            <w:tcMar>
              <w:top w:w="60" w:type="dxa"/>
              <w:start w:w="110" w:type="dxa"/>
              <w:bottom w:w="60" w:type="dxa"/>
              <w:end w:w="110" w:type="dxa"/>
            </w:tcMar>
          </w:tcPr>
          <w:p>
            <w:pPr>
              <w:spacing w:after="0"/>
            </w:pPr>
            <w:r/>
            <w:r>
              <w:rPr>
                <w:rFonts w:ascii="Calibri" w:hAnsi="Calibri"/>
                <w:b/>
                <w:i w:val="0"/>
                <w:color w:val="FFFFFF"/>
                <w:sz w:val="15"/>
              </w:rPr>
              <w:t>Action</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5"/>
              </w:rPr>
              <w:t>Where it is used</w:t>
            </w:r>
          </w:p>
        </w:tc>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5"/>
              </w:rPr>
              <w:t>Count</w:t>
            </w:r>
          </w:p>
        </w:tc>
        <w:tc>
          <w:tcPr>
            <w:tcW w:type="dxa" w:w="4392"/>
            <w:shd w:val="clear" w:color="auto" w:fill="0B1F3A"/>
            <w:tcMar>
              <w:top w:w="60" w:type="dxa"/>
              <w:start w:w="110" w:type="dxa"/>
              <w:bottom w:w="60" w:type="dxa"/>
              <w:end w:w="110" w:type="dxa"/>
            </w:tcMar>
          </w:tcPr>
          <w:p>
            <w:pPr>
              <w:spacing w:after="0"/>
            </w:pPr>
            <w:r/>
            <w:r>
              <w:rPr>
                <w:rFonts w:ascii="Calibri" w:hAnsi="Calibri"/>
                <w:b/>
                <w:i w:val="0"/>
                <w:color w:val="FFFFFF"/>
                <w:sz w:val="15"/>
              </w:rPr>
              <w:t>Why</w:t>
            </w:r>
          </w:p>
        </w:tc>
      </w:tr>
      <w:tr>
        <w:trPr>
          <w:cantSplit/>
        </w:trPr>
        <w:tc>
          <w:tcPr>
            <w:tcW w:type="dxa" w:w="1368"/>
            <w:tcMar>
              <w:top w:w="60" w:type="dxa"/>
              <w:start w:w="110" w:type="dxa"/>
              <w:bottom w:w="60" w:type="dxa"/>
              <w:end w:w="110" w:type="dxa"/>
            </w:tcMar>
          </w:tcPr>
          <w:p>
            <w:pPr>
              <w:spacing w:after="0"/>
            </w:pPr>
            <w:r/>
            <w:r>
              <w:rPr>
                <w:rFonts w:ascii="Consolas" w:hAnsi="Consolas"/>
                <w:color w:val="146EF5"/>
                <w:sz w:val="15"/>
              </w:rPr>
              <w:t>ON DELETE CASCADE</w:t>
            </w:r>
          </w:p>
        </w:tc>
        <w:tc>
          <w:tcPr>
            <w:tcW w:type="dxa" w:w="2880"/>
            <w:tcMar>
              <w:top w:w="60" w:type="dxa"/>
              <w:start w:w="110" w:type="dxa"/>
              <w:bottom w:w="60" w:type="dxa"/>
              <w:end w:w="110" w:type="dxa"/>
            </w:tcMar>
          </w:tcPr>
          <w:p>
            <w:pPr>
              <w:spacing w:after="0"/>
            </w:pPr>
            <w:r/>
            <w:r>
              <w:rPr>
                <w:rFonts w:ascii="Calibri" w:hAnsi="Calibri"/>
                <w:b w:val="0"/>
                <w:i w:val="0"/>
                <w:color w:val="101828"/>
                <w:sz w:val="15"/>
              </w:rPr>
              <w:t xml:space="preserve">Only between a table and its own satellite with no history: </w:t>
            </w:r>
            <w:r>
              <w:rPr>
                <w:rFonts w:ascii="Consolas" w:hAnsi="Consolas"/>
                <w:color w:val="146EF5"/>
                <w:sz w:val="15"/>
              </w:rPr>
              <w:t>users</w:t>
            </w:r>
            <w:r>
              <w:rPr>
                <w:rFonts w:ascii="Calibri" w:hAnsi="Calibri"/>
                <w:b w:val="0"/>
                <w:i w:val="0"/>
                <w:color w:val="101828"/>
                <w:sz w:val="15"/>
              </w:rPr>
              <w:t>-&gt;</w:t>
            </w:r>
            <w:r>
              <w:rPr>
                <w:rFonts w:ascii="Consolas" w:hAnsi="Consolas"/>
                <w:color w:val="146EF5"/>
                <w:sz w:val="15"/>
              </w:rPr>
              <w:t>profiles</w:t>
            </w:r>
            <w:r>
              <w:rPr>
                <w:rFonts w:ascii="Calibri" w:hAnsi="Calibri"/>
                <w:b w:val="0"/>
                <w:i w:val="0"/>
                <w:color w:val="101828"/>
                <w:sz w:val="15"/>
              </w:rPr>
              <w:t xml:space="preserve">, </w:t>
            </w:r>
            <w:r>
              <w:rPr>
                <w:rFonts w:ascii="Consolas" w:hAnsi="Consolas"/>
                <w:color w:val="146EF5"/>
                <w:sz w:val="15"/>
              </w:rPr>
              <w:t>users</w:t>
            </w:r>
            <w:r>
              <w:rPr>
                <w:rFonts w:ascii="Calibri" w:hAnsi="Calibri"/>
                <w:b w:val="0"/>
                <w:i w:val="0"/>
                <w:color w:val="101828"/>
                <w:sz w:val="15"/>
              </w:rPr>
              <w:t>-&gt;</w:t>
            </w:r>
            <w:r>
              <w:rPr>
                <w:rFonts w:ascii="Consolas" w:hAnsi="Consolas"/>
                <w:color w:val="146EF5"/>
                <w:sz w:val="15"/>
              </w:rPr>
              <w:t>admins</w:t>
            </w:r>
            <w:r>
              <w:rPr>
                <w:rFonts w:ascii="Calibri" w:hAnsi="Calibri"/>
                <w:b w:val="0"/>
                <w:i w:val="0"/>
                <w:color w:val="101828"/>
                <w:sz w:val="15"/>
              </w:rPr>
              <w:t xml:space="preserve">, </w:t>
            </w:r>
            <w:r>
              <w:rPr>
                <w:rFonts w:ascii="Consolas" w:hAnsi="Consolas"/>
                <w:color w:val="146EF5"/>
                <w:sz w:val="15"/>
              </w:rPr>
              <w:t>users</w:t>
            </w:r>
            <w:r>
              <w:rPr>
                <w:rFonts w:ascii="Calibri" w:hAnsi="Calibri"/>
                <w:b w:val="0"/>
                <w:i w:val="0"/>
                <w:color w:val="101828"/>
                <w:sz w:val="15"/>
              </w:rPr>
              <w:t>-&gt;</w:t>
            </w:r>
            <w:r>
              <w:rPr>
                <w:rFonts w:ascii="Consolas" w:hAnsi="Consolas"/>
                <w:color w:val="146EF5"/>
                <w:sz w:val="15"/>
              </w:rPr>
              <w:t>notification_preferences</w:t>
            </w:r>
            <w:r>
              <w:rPr>
                <w:rFonts w:ascii="Calibri" w:hAnsi="Calibri"/>
                <w:b w:val="0"/>
                <w:i w:val="0"/>
                <w:color w:val="101828"/>
                <w:sz w:val="15"/>
              </w:rPr>
              <w:t xml:space="preserve">, </w:t>
            </w:r>
            <w:r>
              <w:rPr>
                <w:rFonts w:ascii="Consolas" w:hAnsi="Consolas"/>
                <w:color w:val="146EF5"/>
                <w:sz w:val="15"/>
              </w:rPr>
              <w:t>users</w:t>
            </w:r>
            <w:r>
              <w:rPr>
                <w:rFonts w:ascii="Calibri" w:hAnsi="Calibri"/>
                <w:b w:val="0"/>
                <w:i w:val="0"/>
                <w:color w:val="101828"/>
                <w:sz w:val="15"/>
              </w:rPr>
              <w:t>-&gt;</w:t>
            </w:r>
            <w:r>
              <w:rPr>
                <w:rFonts w:ascii="Consolas" w:hAnsi="Consolas"/>
                <w:color w:val="146EF5"/>
                <w:sz w:val="15"/>
              </w:rPr>
              <w:t>sessions</w:t>
            </w:r>
            <w:r>
              <w:rPr>
                <w:rFonts w:ascii="Calibri" w:hAnsi="Calibri"/>
                <w:b w:val="0"/>
                <w:i w:val="0"/>
                <w:color w:val="101828"/>
                <w:sz w:val="15"/>
              </w:rPr>
              <w:t xml:space="preserve">, </w:t>
            </w:r>
            <w:r>
              <w:rPr>
                <w:rFonts w:ascii="Consolas" w:hAnsi="Consolas"/>
                <w:color w:val="146EF5"/>
                <w:sz w:val="15"/>
              </w:rPr>
              <w:t>users</w:t>
            </w:r>
            <w:r>
              <w:rPr>
                <w:rFonts w:ascii="Calibri" w:hAnsi="Calibri"/>
                <w:b w:val="0"/>
                <w:i w:val="0"/>
                <w:color w:val="101828"/>
                <w:sz w:val="15"/>
              </w:rPr>
              <w:t>-&gt;</w:t>
            </w:r>
            <w:r>
              <w:rPr>
                <w:rFonts w:ascii="Consolas" w:hAnsi="Consolas"/>
                <w:color w:val="146EF5"/>
                <w:sz w:val="15"/>
              </w:rPr>
              <w:t>device_tokens</w:t>
            </w:r>
            <w:r>
              <w:rPr>
                <w:rFonts w:ascii="Calibri" w:hAnsi="Calibri"/>
                <w:b w:val="0"/>
                <w:i w:val="0"/>
                <w:color w:val="101828"/>
                <w:sz w:val="15"/>
              </w:rPr>
              <w:t xml:space="preserve">, </w:t>
            </w:r>
            <w:r>
              <w:rPr>
                <w:rFonts w:ascii="Consolas" w:hAnsi="Consolas"/>
                <w:color w:val="146EF5"/>
                <w:sz w:val="15"/>
              </w:rPr>
              <w:t>users</w:t>
            </w:r>
            <w:r>
              <w:rPr>
                <w:rFonts w:ascii="Calibri" w:hAnsi="Calibri"/>
                <w:b w:val="0"/>
                <w:i w:val="0"/>
                <w:color w:val="101828"/>
                <w:sz w:val="15"/>
              </w:rPr>
              <w:t>-&gt;</w:t>
            </w:r>
            <w:r>
              <w:rPr>
                <w:rFonts w:ascii="Consolas" w:hAnsi="Consolas"/>
                <w:color w:val="146EF5"/>
                <w:sz w:val="15"/>
              </w:rPr>
              <w:t>role_assignments</w:t>
            </w:r>
            <w:r>
              <w:rPr>
                <w:rFonts w:ascii="Calibri" w:hAnsi="Calibri"/>
                <w:b w:val="0"/>
                <w:i w:val="0"/>
                <w:color w:val="101828"/>
                <w:sz w:val="15"/>
              </w:rPr>
              <w:t xml:space="preserve">, </w:t>
            </w:r>
            <w:r>
              <w:rPr>
                <w:rFonts w:ascii="Consolas" w:hAnsi="Consolas"/>
                <w:color w:val="146EF5"/>
                <w:sz w:val="15"/>
              </w:rPr>
              <w:t>users</w:t>
            </w:r>
            <w:r>
              <w:rPr>
                <w:rFonts w:ascii="Calibri" w:hAnsi="Calibri"/>
                <w:b w:val="0"/>
                <w:i w:val="0"/>
                <w:color w:val="101828"/>
                <w:sz w:val="15"/>
              </w:rPr>
              <w:t>-&gt;</w:t>
            </w:r>
            <w:r>
              <w:rPr>
                <w:rFonts w:ascii="Consolas" w:hAnsi="Consolas"/>
                <w:color w:val="146EF5"/>
                <w:sz w:val="15"/>
              </w:rPr>
              <w:t>notifications</w:t>
            </w:r>
            <w:r>
              <w:rPr>
                <w:rFonts w:ascii="Calibri" w:hAnsi="Calibri"/>
                <w:b w:val="0"/>
                <w:i w:val="0"/>
                <w:color w:val="101828"/>
                <w:sz w:val="15"/>
              </w:rPr>
              <w:t xml:space="preserve">, </w:t>
            </w:r>
            <w:r>
              <w:rPr>
                <w:rFonts w:ascii="Consolas" w:hAnsi="Consolas"/>
                <w:color w:val="146EF5"/>
                <w:sz w:val="15"/>
              </w:rPr>
              <w:t>users</w:t>
            </w:r>
            <w:r>
              <w:rPr>
                <w:rFonts w:ascii="Calibri" w:hAnsi="Calibri"/>
                <w:b w:val="0"/>
                <w:i w:val="0"/>
                <w:color w:val="101828"/>
                <w:sz w:val="15"/>
              </w:rPr>
              <w:t>-&gt;</w:t>
            </w:r>
            <w:r>
              <w:rPr>
                <w:rFonts w:ascii="Consolas" w:hAnsi="Consolas"/>
                <w:color w:val="146EF5"/>
                <w:sz w:val="15"/>
              </w:rPr>
              <w:t>support_tickets</w:t>
            </w:r>
            <w:r>
              <w:rPr>
                <w:rFonts w:ascii="Calibri" w:hAnsi="Calibri"/>
                <w:b w:val="0"/>
                <w:i w:val="0"/>
                <w:color w:val="101828"/>
                <w:sz w:val="15"/>
              </w:rPr>
              <w:t xml:space="preserve">, </w:t>
            </w:r>
            <w:r>
              <w:rPr>
                <w:rFonts w:ascii="Consolas" w:hAnsi="Consolas"/>
                <w:color w:val="146EF5"/>
                <w:sz w:val="15"/>
              </w:rPr>
              <w:t>users</w:t>
            </w:r>
            <w:r>
              <w:rPr>
                <w:rFonts w:ascii="Calibri" w:hAnsi="Calibri"/>
                <w:b w:val="0"/>
                <w:i w:val="0"/>
                <w:color w:val="101828"/>
                <w:sz w:val="15"/>
              </w:rPr>
              <w:t>-&gt;</w:t>
            </w:r>
            <w:r>
              <w:rPr>
                <w:rFonts w:ascii="Consolas" w:hAnsi="Consolas"/>
                <w:color w:val="146EF5"/>
                <w:sz w:val="15"/>
              </w:rPr>
              <w:t>idempotency_keys</w:t>
            </w:r>
            <w:r>
              <w:rPr>
                <w:rFonts w:ascii="Calibri" w:hAnsi="Calibri"/>
                <w:b w:val="0"/>
                <w:i w:val="0"/>
                <w:color w:val="101828"/>
                <w:sz w:val="15"/>
              </w:rPr>
              <w:t xml:space="preserve">, </w:t>
            </w:r>
            <w:r>
              <w:rPr>
                <w:rFonts w:ascii="Consolas" w:hAnsi="Consolas"/>
                <w:color w:val="146EF5"/>
                <w:sz w:val="15"/>
              </w:rPr>
              <w:t>users</w:t>
            </w:r>
            <w:r>
              <w:rPr>
                <w:rFonts w:ascii="Calibri" w:hAnsi="Calibri"/>
                <w:b w:val="0"/>
                <w:i w:val="0"/>
                <w:color w:val="101828"/>
                <w:sz w:val="15"/>
              </w:rPr>
              <w:t>-&gt;</w:t>
            </w:r>
            <w:r>
              <w:rPr>
                <w:rFonts w:ascii="Consolas" w:hAnsi="Consolas"/>
                <w:color w:val="146EF5"/>
                <w:sz w:val="15"/>
              </w:rPr>
              <w:t>documents</w:t>
            </w:r>
            <w:r>
              <w:rPr>
                <w:rFonts w:ascii="Calibri" w:hAnsi="Calibri"/>
                <w:b w:val="0"/>
                <w:i w:val="0"/>
                <w:color w:val="101828"/>
                <w:sz w:val="15"/>
              </w:rPr>
              <w:t xml:space="preserve"> where the document is an avatar, </w:t>
            </w:r>
            <w:r>
              <w:rPr>
                <w:rFonts w:ascii="Consolas" w:hAnsi="Consolas"/>
                <w:color w:val="146EF5"/>
                <w:sz w:val="15"/>
              </w:rPr>
              <w:t>disputes</w:t>
            </w:r>
            <w:r>
              <w:rPr>
                <w:rFonts w:ascii="Calibri" w:hAnsi="Calibri"/>
                <w:b w:val="0"/>
                <w:i w:val="0"/>
                <w:color w:val="101828"/>
                <w:sz w:val="15"/>
              </w:rPr>
              <w:t>-&gt;</w:t>
            </w:r>
            <w:r>
              <w:rPr>
                <w:rFonts w:ascii="Consolas" w:hAnsi="Consolas"/>
                <w:color w:val="146EF5"/>
                <w:sz w:val="15"/>
              </w:rPr>
              <w:t>dispute_messages</w:t>
            </w:r>
            <w:r>
              <w:rPr>
                <w:rFonts w:ascii="Calibri" w:hAnsi="Calibri"/>
                <w:b w:val="0"/>
                <w:i w:val="0"/>
                <w:color w:val="101828"/>
                <w:sz w:val="15"/>
              </w:rPr>
              <w:t xml:space="preserve">, </w:t>
            </w:r>
            <w:r>
              <w:rPr>
                <w:rFonts w:ascii="Consolas" w:hAnsi="Consolas"/>
                <w:color w:val="146EF5"/>
                <w:sz w:val="15"/>
              </w:rPr>
              <w:t>disputes</w:t>
            </w:r>
            <w:r>
              <w:rPr>
                <w:rFonts w:ascii="Calibri" w:hAnsi="Calibri"/>
                <w:b w:val="0"/>
                <w:i w:val="0"/>
                <w:color w:val="101828"/>
                <w:sz w:val="15"/>
              </w:rPr>
              <w:t>-&gt;</w:t>
            </w:r>
            <w:r>
              <w:rPr>
                <w:rFonts w:ascii="Consolas" w:hAnsi="Consolas"/>
                <w:color w:val="146EF5"/>
                <w:sz w:val="15"/>
              </w:rPr>
              <w:t>dispute_evidence</w:t>
            </w:r>
            <w:r>
              <w:rPr>
                <w:rFonts w:ascii="Calibri" w:hAnsi="Calibri"/>
                <w:b w:val="0"/>
                <w:i w:val="0"/>
                <w:color w:val="101828"/>
                <w:sz w:val="15"/>
              </w:rPr>
              <w:t xml:space="preserve">, </w:t>
            </w:r>
            <w:r>
              <w:rPr>
                <w:rFonts w:ascii="Consolas" w:hAnsi="Consolas"/>
                <w:color w:val="146EF5"/>
                <w:sz w:val="15"/>
              </w:rPr>
              <w:t>rounds</w:t>
            </w:r>
            <w:r>
              <w:rPr>
                <w:rFonts w:ascii="Calibri" w:hAnsi="Calibri"/>
                <w:b w:val="0"/>
                <w:i w:val="0"/>
                <w:color w:val="101828"/>
                <w:sz w:val="15"/>
              </w:rPr>
              <w:t>-&gt;</w:t>
            </w:r>
            <w:r>
              <w:rPr>
                <w:rFonts w:ascii="Consolas" w:hAnsi="Consolas"/>
                <w:color w:val="146EF5"/>
                <w:sz w:val="15"/>
              </w:rPr>
              <w:t>contribution_schedules</w:t>
            </w:r>
            <w:r>
              <w:rPr>
                <w:rFonts w:ascii="Calibri" w:hAnsi="Calibri"/>
                <w:b w:val="0"/>
                <w:i w:val="0"/>
                <w:color w:val="101828"/>
                <w:sz w:val="15"/>
              </w:rPr>
              <w:t xml:space="preserve">, </w:t>
            </w:r>
            <w:r>
              <w:rPr>
                <w:rFonts w:ascii="Consolas" w:hAnsi="Consolas"/>
                <w:color w:val="146EF5"/>
                <w:sz w:val="15"/>
              </w:rPr>
              <w:t>ajos</w:t>
            </w:r>
            <w:r>
              <w:rPr>
                <w:rFonts w:ascii="Calibri" w:hAnsi="Calibri"/>
                <w:b w:val="0"/>
                <w:i w:val="0"/>
                <w:color w:val="101828"/>
                <w:sz w:val="15"/>
              </w:rPr>
              <w:t>-&gt;</w:t>
            </w:r>
            <w:r>
              <w:rPr>
                <w:rFonts w:ascii="Consolas" w:hAnsi="Consolas"/>
                <w:color w:val="146EF5"/>
                <w:sz w:val="15"/>
              </w:rPr>
              <w:t>invitations</w:t>
            </w:r>
            <w:r>
              <w:rPr>
                <w:rFonts w:ascii="Calibri" w:hAnsi="Calibri"/>
                <w:b w:val="0"/>
                <w:i w:val="0"/>
                <w:color w:val="101828"/>
                <w:sz w:val="15"/>
              </w:rPr>
              <w:t>.</w:t>
            </w:r>
          </w:p>
        </w:tc>
        <w:tc>
          <w:tcPr>
            <w:tcW w:type="dxa" w:w="720"/>
            <w:tcMar>
              <w:top w:w="60" w:type="dxa"/>
              <w:start w:w="110" w:type="dxa"/>
              <w:bottom w:w="60" w:type="dxa"/>
              <w:end w:w="110" w:type="dxa"/>
            </w:tcMar>
          </w:tcPr>
          <w:p>
            <w:pPr>
              <w:spacing w:after="0"/>
            </w:pPr>
            <w:r/>
            <w:r>
              <w:rPr>
                <w:rFonts w:ascii="Calibri" w:hAnsi="Calibri"/>
                <w:b w:val="0"/>
                <w:i w:val="0"/>
                <w:color w:val="101828"/>
                <w:sz w:val="15"/>
              </w:rPr>
              <w:t>13</w:t>
            </w:r>
          </w:p>
        </w:tc>
        <w:tc>
          <w:tcPr>
            <w:tcW w:type="dxa" w:w="4392"/>
            <w:tcMar>
              <w:top w:w="60" w:type="dxa"/>
              <w:start w:w="110" w:type="dxa"/>
              <w:bottom w:w="60" w:type="dxa"/>
              <w:end w:w="110" w:type="dxa"/>
            </w:tcMar>
          </w:tcPr>
          <w:p>
            <w:pPr>
              <w:spacing w:after="0"/>
            </w:pPr>
            <w:r/>
            <w:r>
              <w:rPr>
                <w:rFonts w:ascii="Calibri" w:hAnsi="Calibri"/>
                <w:b w:val="0"/>
                <w:i w:val="0"/>
                <w:color w:val="101828"/>
                <w:sz w:val="15"/>
              </w:rPr>
              <w:t>Every one of these is a satellite whose deletion loses no independent history. A member losing their session list or their notification inbox is not an incident. A member losing their receipts is.</w:t>
            </w:r>
          </w:p>
        </w:tc>
      </w:tr>
      <w:tr>
        <w:trPr>
          <w:cantSplit/>
        </w:trPr>
        <w:tc>
          <w:tcPr>
            <w:tcW w:type="dxa" w:w="1368"/>
            <w:tcMar>
              <w:top w:w="60" w:type="dxa"/>
              <w:start w:w="110" w:type="dxa"/>
              <w:bottom w:w="60" w:type="dxa"/>
              <w:end w:w="110" w:type="dxa"/>
            </w:tcMar>
            <w:shd w:val="clear" w:color="auto" w:fill="F4F7FB"/>
          </w:tcPr>
          <w:p>
            <w:pPr>
              <w:spacing w:after="0"/>
            </w:pPr>
            <w:r/>
            <w:r>
              <w:rPr>
                <w:rFonts w:ascii="Consolas" w:hAnsi="Consolas"/>
                <w:color w:val="146EF5"/>
                <w:sz w:val="15"/>
              </w:rPr>
              <w:t>ON DELETE SET NULL</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5"/>
              </w:rPr>
              <w:t xml:space="preserve">Optional links where the link is metadata, not ownership: </w:t>
            </w:r>
            <w:r>
              <w:rPr>
                <w:rFonts w:ascii="Consolas" w:hAnsi="Consolas"/>
                <w:color w:val="146EF5"/>
                <w:sz w:val="15"/>
              </w:rPr>
              <w:t>documents.verification_check_id</w:t>
            </w:r>
            <w:r>
              <w:rPr>
                <w:rFonts w:ascii="Calibri" w:hAnsi="Calibri"/>
                <w:b w:val="0"/>
                <w:i w:val="0"/>
                <w:color w:val="101828"/>
                <w:sz w:val="15"/>
              </w:rPr>
              <w:t xml:space="preserve">, </w:t>
            </w:r>
            <w:r>
              <w:rPr>
                <w:rFonts w:ascii="Consolas" w:hAnsi="Consolas"/>
                <w:color w:val="146EF5"/>
                <w:sz w:val="15"/>
              </w:rPr>
              <w:t>invitations.position_id</w:t>
            </w:r>
            <w:r>
              <w:rPr>
                <w:rFonts w:ascii="Calibri" w:hAnsi="Calibri"/>
                <w:b w:val="0"/>
                <w:i w:val="0"/>
                <w:color w:val="101828"/>
                <w:sz w:val="15"/>
              </w:rPr>
              <w:t xml:space="preserve">, </w:t>
            </w:r>
            <w:r>
              <w:rPr>
                <w:rFonts w:ascii="Consolas" w:hAnsi="Consolas"/>
                <w:color w:val="146EF5"/>
                <w:sz w:val="15"/>
              </w:rPr>
              <w:t>profiles.avatar_document_id</w:t>
            </w:r>
            <w:r>
              <w:rPr>
                <w:rFonts w:ascii="Calibri" w:hAnsi="Calibri"/>
                <w:b w:val="0"/>
                <w:i w:val="0"/>
                <w:color w:val="101828"/>
                <w:sz w:val="15"/>
              </w:rPr>
              <w:t xml:space="preserve">, </w:t>
            </w:r>
            <w:r>
              <w:rPr>
                <w:rFonts w:ascii="Consolas" w:hAnsi="Consolas"/>
                <w:color w:val="146EF5"/>
                <w:sz w:val="15"/>
              </w:rPr>
              <w:t>support_tickets.ajo_id</w:t>
            </w:r>
            <w:r>
              <w:rPr>
                <w:rFonts w:ascii="Calibri" w:hAnsi="Calibri"/>
                <w:b w:val="0"/>
                <w:i w:val="0"/>
                <w:color w:val="101828"/>
                <w:sz w:val="15"/>
              </w:rPr>
              <w:t xml:space="preserve">, </w:t>
            </w:r>
            <w:r>
              <w:rPr>
                <w:rFonts w:ascii="Consolas" w:hAnsi="Consolas"/>
                <w:color w:val="146EF5"/>
                <w:sz w:val="15"/>
              </w:rPr>
              <w:t>webhook_events.payment_id</w:t>
            </w:r>
            <w:r>
              <w:rPr>
                <w:rFonts w:ascii="Calibri" w:hAnsi="Calibri"/>
                <w:b w:val="0"/>
                <w:i w:val="0"/>
                <w:color w:val="101828"/>
                <w:sz w:val="15"/>
              </w:rPr>
              <w:t xml:space="preserve"> is not used (it is the other way round), </w:t>
            </w:r>
            <w:r>
              <w:rPr>
                <w:rFonts w:ascii="Consolas" w:hAnsi="Consolas"/>
                <w:color w:val="146EF5"/>
                <w:sz w:val="15"/>
              </w:rPr>
              <w:t>payouts.dispute_id</w:t>
            </w:r>
            <w:r>
              <w:rPr>
                <w:rFonts w:ascii="Calibri" w:hAnsi="Calibri"/>
                <w:b w:val="0"/>
                <w:i w:val="0"/>
                <w:color w:val="101828"/>
                <w:sz w:val="15"/>
              </w:rPr>
              <w:t xml:space="preserve"> is not used (the dispute references the payout).</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4</w:t>
            </w:r>
          </w:p>
        </w:tc>
        <w:tc>
          <w:tcPr>
            <w:tcW w:type="dxa" w:w="4392"/>
            <w:tcMar>
              <w:top w:w="60" w:type="dxa"/>
              <w:start w:w="110" w:type="dxa"/>
              <w:bottom w:w="60" w:type="dxa"/>
              <w:end w:w="110" w:type="dxa"/>
            </w:tcMar>
            <w:shd w:val="clear" w:color="auto" w:fill="F4F7FB"/>
          </w:tcPr>
          <w:p>
            <w:pPr>
              <w:spacing w:after="0"/>
            </w:pPr>
            <w:r/>
            <w:r>
              <w:rPr>
                <w:rFonts w:ascii="Calibri" w:hAnsi="Calibri"/>
                <w:b w:val="0"/>
                <w:i w:val="0"/>
                <w:color w:val="101828"/>
                <w:sz w:val="15"/>
              </w:rPr>
              <w:t>The record on the far side of the link stays and keeps its meaning. A document outlives the check it was submitted for, which is correct: the fact that a document existed is the evidence.</w:t>
            </w:r>
          </w:p>
        </w:tc>
      </w:tr>
      <w:tr>
        <w:trPr>
          <w:cantSplit/>
        </w:trPr>
        <w:tc>
          <w:tcPr>
            <w:tcW w:type="dxa" w:w="1368"/>
            <w:tcMar>
              <w:top w:w="60" w:type="dxa"/>
              <w:start w:w="110" w:type="dxa"/>
              <w:bottom w:w="60" w:type="dxa"/>
              <w:end w:w="110" w:type="dxa"/>
            </w:tcMar>
          </w:tcPr>
          <w:p>
            <w:pPr>
              <w:spacing w:after="0"/>
            </w:pPr>
            <w:r/>
            <w:r>
              <w:rPr>
                <w:rFonts w:ascii="Consolas" w:hAnsi="Consolas"/>
                <w:color w:val="146EF5"/>
                <w:sz w:val="15"/>
              </w:rPr>
              <w:t>ON DELETE RESTRICT</w:t>
            </w:r>
          </w:p>
        </w:tc>
        <w:tc>
          <w:tcPr>
            <w:tcW w:type="dxa" w:w="2880"/>
            <w:tcMar>
              <w:top w:w="60" w:type="dxa"/>
              <w:start w:w="110" w:type="dxa"/>
              <w:bottom w:w="60" w:type="dxa"/>
              <w:end w:w="110" w:type="dxa"/>
            </w:tcMar>
          </w:tcPr>
          <w:p>
            <w:pPr>
              <w:spacing w:after="0"/>
            </w:pPr>
            <w:r/>
            <w:r>
              <w:rPr>
                <w:rFonts w:ascii="Calibri" w:hAnsi="Calibri"/>
                <w:b w:val="0"/>
                <w:i w:val="0"/>
                <w:color w:val="101828"/>
                <w:sz w:val="15"/>
              </w:rPr>
              <w:t xml:space="preserve">Everything touching money or history: </w:t>
            </w:r>
            <w:r>
              <w:rPr>
                <w:rFonts w:ascii="Consolas" w:hAnsi="Consolas"/>
                <w:color w:val="146EF5"/>
                <w:sz w:val="15"/>
              </w:rPr>
              <w:t>ajos</w:t>
            </w:r>
            <w:r>
              <w:rPr>
                <w:rFonts w:ascii="Calibri" w:hAnsi="Calibri"/>
                <w:b w:val="0"/>
                <w:i w:val="0"/>
                <w:color w:val="101828"/>
                <w:sz w:val="15"/>
              </w:rPr>
              <w:t>-&gt;</w:t>
            </w:r>
            <w:r>
              <w:rPr>
                <w:rFonts w:ascii="Consolas" w:hAnsi="Consolas"/>
                <w:color w:val="146EF5"/>
                <w:sz w:val="15"/>
              </w:rPr>
              <w:t>rounds</w:t>
            </w:r>
            <w:r>
              <w:rPr>
                <w:rFonts w:ascii="Calibri" w:hAnsi="Calibri"/>
                <w:b w:val="0"/>
                <w:i w:val="0"/>
                <w:color w:val="101828"/>
                <w:sz w:val="15"/>
              </w:rPr>
              <w:t xml:space="preserve">, </w:t>
            </w:r>
            <w:r>
              <w:rPr>
                <w:rFonts w:ascii="Consolas" w:hAnsi="Consolas"/>
                <w:color w:val="146EF5"/>
                <w:sz w:val="15"/>
              </w:rPr>
              <w:t>rounds</w:t>
            </w:r>
            <w:r>
              <w:rPr>
                <w:rFonts w:ascii="Calibri" w:hAnsi="Calibri"/>
                <w:b w:val="0"/>
                <w:i w:val="0"/>
                <w:color w:val="101828"/>
                <w:sz w:val="15"/>
              </w:rPr>
              <w:t>-&gt;</w:t>
            </w:r>
            <w:r>
              <w:rPr>
                <w:rFonts w:ascii="Consolas" w:hAnsi="Consolas"/>
                <w:color w:val="146EF5"/>
                <w:sz w:val="15"/>
              </w:rPr>
              <w:t>contributions</w:t>
            </w:r>
            <w:r>
              <w:rPr>
                <w:rFonts w:ascii="Calibri" w:hAnsi="Calibri"/>
                <w:b w:val="0"/>
                <w:i w:val="0"/>
                <w:color w:val="101828"/>
                <w:sz w:val="15"/>
              </w:rPr>
              <w:t xml:space="preserve">, </w:t>
            </w:r>
            <w:r>
              <w:rPr>
                <w:rFonts w:ascii="Consolas" w:hAnsi="Consolas"/>
                <w:color w:val="146EF5"/>
                <w:sz w:val="15"/>
              </w:rPr>
              <w:t>contributions</w:t>
            </w:r>
            <w:r>
              <w:rPr>
                <w:rFonts w:ascii="Calibri" w:hAnsi="Calibri"/>
                <w:b w:val="0"/>
                <w:i w:val="0"/>
                <w:color w:val="101828"/>
                <w:sz w:val="15"/>
              </w:rPr>
              <w:t>-&gt;</w:t>
            </w:r>
            <w:r>
              <w:rPr>
                <w:rFonts w:ascii="Consolas" w:hAnsi="Consolas"/>
                <w:color w:val="146EF5"/>
                <w:sz w:val="15"/>
              </w:rPr>
              <w:t>payments</w:t>
            </w:r>
            <w:r>
              <w:rPr>
                <w:rFonts w:ascii="Calibri" w:hAnsi="Calibri"/>
                <w:b w:val="0"/>
                <w:i w:val="0"/>
                <w:color w:val="101828"/>
                <w:sz w:val="15"/>
              </w:rPr>
              <w:t xml:space="preserve">, </w:t>
            </w:r>
            <w:r>
              <w:rPr>
                <w:rFonts w:ascii="Consolas" w:hAnsi="Consolas"/>
                <w:color w:val="146EF5"/>
                <w:sz w:val="15"/>
              </w:rPr>
              <w:t>payments</w:t>
            </w:r>
            <w:r>
              <w:rPr>
                <w:rFonts w:ascii="Calibri" w:hAnsi="Calibri"/>
                <w:b w:val="0"/>
                <w:i w:val="0"/>
                <w:color w:val="101828"/>
                <w:sz w:val="15"/>
              </w:rPr>
              <w:t>-&gt;</w:t>
            </w:r>
            <w:r>
              <w:rPr>
                <w:rFonts w:ascii="Consolas" w:hAnsi="Consolas"/>
                <w:color w:val="146EF5"/>
                <w:sz w:val="15"/>
              </w:rPr>
              <w:t>fees</w:t>
            </w:r>
            <w:r>
              <w:rPr>
                <w:rFonts w:ascii="Calibri" w:hAnsi="Calibri"/>
                <w:b w:val="0"/>
                <w:i w:val="0"/>
                <w:color w:val="101828"/>
                <w:sz w:val="15"/>
              </w:rPr>
              <w:t xml:space="preserve">, </w:t>
            </w:r>
            <w:r>
              <w:rPr>
                <w:rFonts w:ascii="Consolas" w:hAnsi="Consolas"/>
                <w:color w:val="146EF5"/>
                <w:sz w:val="15"/>
              </w:rPr>
              <w:t>rounds</w:t>
            </w:r>
            <w:r>
              <w:rPr>
                <w:rFonts w:ascii="Calibri" w:hAnsi="Calibri"/>
                <w:b w:val="0"/>
                <w:i w:val="0"/>
                <w:color w:val="101828"/>
                <w:sz w:val="15"/>
              </w:rPr>
              <w:t>-&gt;</w:t>
            </w:r>
            <w:r>
              <w:rPr>
                <w:rFonts w:ascii="Consolas" w:hAnsi="Consolas"/>
                <w:color w:val="146EF5"/>
                <w:sz w:val="15"/>
              </w:rPr>
              <w:t>payouts</w:t>
            </w:r>
            <w:r>
              <w:rPr>
                <w:rFonts w:ascii="Calibri" w:hAnsi="Calibri"/>
                <w:b w:val="0"/>
                <w:i w:val="0"/>
                <w:color w:val="101828"/>
                <w:sz w:val="15"/>
              </w:rPr>
              <w:t xml:space="preserve">, </w:t>
            </w:r>
            <w:r>
              <w:rPr>
                <w:rFonts w:ascii="Consolas" w:hAnsi="Consolas"/>
                <w:color w:val="146EF5"/>
                <w:sz w:val="15"/>
              </w:rPr>
              <w:t>contributions</w:t>
            </w:r>
            <w:r>
              <w:rPr>
                <w:rFonts w:ascii="Calibri" w:hAnsi="Calibri"/>
                <w:b w:val="0"/>
                <w:i w:val="0"/>
                <w:color w:val="101828"/>
                <w:sz w:val="15"/>
              </w:rPr>
              <w:t>-&gt;</w:t>
            </w:r>
            <w:r>
              <w:rPr>
                <w:rFonts w:ascii="Consolas" w:hAnsi="Consolas"/>
                <w:color w:val="146EF5"/>
                <w:sz w:val="15"/>
              </w:rPr>
              <w:t>disputes</w:t>
            </w:r>
            <w:r>
              <w:rPr>
                <w:rFonts w:ascii="Calibri" w:hAnsi="Calibri"/>
                <w:b w:val="0"/>
                <w:i w:val="0"/>
                <w:color w:val="101828"/>
                <w:sz w:val="15"/>
              </w:rPr>
              <w:t xml:space="preserve">, </w:t>
            </w:r>
            <w:r>
              <w:rPr>
                <w:rFonts w:ascii="Consolas" w:hAnsi="Consolas"/>
                <w:color w:val="146EF5"/>
                <w:sz w:val="15"/>
              </w:rPr>
              <w:t>users</w:t>
            </w:r>
            <w:r>
              <w:rPr>
                <w:rFonts w:ascii="Calibri" w:hAnsi="Calibri"/>
                <w:b w:val="0"/>
                <w:i w:val="0"/>
                <w:color w:val="101828"/>
                <w:sz w:val="15"/>
              </w:rPr>
              <w:t>-&gt;</w:t>
            </w:r>
            <w:r>
              <w:rPr>
                <w:rFonts w:ascii="Consolas" w:hAnsi="Consolas"/>
                <w:color w:val="146EF5"/>
                <w:sz w:val="15"/>
              </w:rPr>
              <w:t>verification_checks</w:t>
            </w:r>
            <w:r>
              <w:rPr>
                <w:rFonts w:ascii="Calibri" w:hAnsi="Calibri"/>
                <w:b w:val="0"/>
                <w:i w:val="0"/>
                <w:color w:val="101828"/>
                <w:sz w:val="15"/>
              </w:rPr>
              <w:t xml:space="preserve">, </w:t>
            </w:r>
            <w:r>
              <w:rPr>
                <w:rFonts w:ascii="Consolas" w:hAnsi="Consolas"/>
                <w:color w:val="146EF5"/>
                <w:sz w:val="15"/>
              </w:rPr>
              <w:t>users</w:t>
            </w:r>
            <w:r>
              <w:rPr>
                <w:rFonts w:ascii="Calibri" w:hAnsi="Calibri"/>
                <w:b w:val="0"/>
                <w:i w:val="0"/>
                <w:color w:val="101828"/>
                <w:sz w:val="15"/>
              </w:rPr>
              <w:t>-&gt;</w:t>
            </w:r>
            <w:r>
              <w:rPr>
                <w:rFonts w:ascii="Consolas" w:hAnsi="Consolas"/>
                <w:color w:val="146EF5"/>
                <w:sz w:val="15"/>
              </w:rPr>
              <w:t>ajo_members</w:t>
            </w:r>
            <w:r>
              <w:rPr>
                <w:rFonts w:ascii="Calibri" w:hAnsi="Calibri"/>
                <w:b w:val="0"/>
                <w:i w:val="0"/>
                <w:color w:val="101828"/>
                <w:sz w:val="15"/>
              </w:rPr>
              <w:t xml:space="preserve">, </w:t>
            </w:r>
            <w:r>
              <w:rPr>
                <w:rFonts w:ascii="Consolas" w:hAnsi="Consolas"/>
                <w:color w:val="146EF5"/>
                <w:sz w:val="15"/>
              </w:rPr>
              <w:t>users</w:t>
            </w:r>
            <w:r>
              <w:rPr>
                <w:rFonts w:ascii="Calibri" w:hAnsi="Calibri"/>
                <w:b w:val="0"/>
                <w:i w:val="0"/>
                <w:color w:val="101828"/>
                <w:sz w:val="15"/>
              </w:rPr>
              <w:t>-&gt;</w:t>
            </w:r>
            <w:r>
              <w:rPr>
                <w:rFonts w:ascii="Consolas" w:hAnsi="Consolas"/>
                <w:color w:val="146EF5"/>
                <w:sz w:val="15"/>
              </w:rPr>
              <w:t>disputes</w:t>
            </w:r>
            <w:r>
              <w:rPr>
                <w:rFonts w:ascii="Calibri" w:hAnsi="Calibri"/>
                <w:b w:val="0"/>
                <w:i w:val="0"/>
                <w:color w:val="101828"/>
                <w:sz w:val="15"/>
              </w:rPr>
              <w:t xml:space="preserve">, </w:t>
            </w:r>
            <w:r>
              <w:rPr>
                <w:rFonts w:ascii="Consolas" w:hAnsi="Consolas"/>
                <w:color w:val="146EF5"/>
                <w:sz w:val="15"/>
              </w:rPr>
              <w:t>users</w:t>
            </w:r>
            <w:r>
              <w:rPr>
                <w:rFonts w:ascii="Calibri" w:hAnsi="Calibri"/>
                <w:b w:val="0"/>
                <w:i w:val="0"/>
                <w:color w:val="101828"/>
                <w:sz w:val="15"/>
              </w:rPr>
              <w:t>-&gt;</w:t>
            </w:r>
            <w:r>
              <w:rPr>
                <w:rFonts w:ascii="Consolas" w:hAnsi="Consolas"/>
                <w:color w:val="146EF5"/>
                <w:sz w:val="15"/>
              </w:rPr>
              <w:t>audit_logs</w:t>
            </w:r>
            <w:r>
              <w:rPr>
                <w:rFonts w:ascii="Calibri" w:hAnsi="Calibri"/>
                <w:b w:val="0"/>
                <w:i w:val="0"/>
                <w:color w:val="101828"/>
                <w:sz w:val="15"/>
              </w:rPr>
              <w:t>, plus the entire ledger.</w:t>
            </w:r>
          </w:p>
        </w:tc>
        <w:tc>
          <w:tcPr>
            <w:tcW w:type="dxa" w:w="720"/>
            <w:tcMar>
              <w:top w:w="60" w:type="dxa"/>
              <w:start w:w="110" w:type="dxa"/>
              <w:bottom w:w="60" w:type="dxa"/>
              <w:end w:w="110" w:type="dxa"/>
            </w:tcMar>
          </w:tcPr>
          <w:p>
            <w:pPr>
              <w:spacing w:after="0"/>
            </w:pPr>
            <w:r/>
            <w:r>
              <w:rPr>
                <w:rFonts w:ascii="Calibri" w:hAnsi="Calibri"/>
                <w:b w:val="0"/>
                <w:i w:val="0"/>
                <w:color w:val="101828"/>
                <w:sz w:val="15"/>
              </w:rPr>
              <w:t>30+</w:t>
            </w:r>
          </w:p>
        </w:tc>
        <w:tc>
          <w:tcPr>
            <w:tcW w:type="dxa" w:w="4392"/>
            <w:tcMar>
              <w:top w:w="60" w:type="dxa"/>
              <w:start w:w="110" w:type="dxa"/>
              <w:bottom w:w="60" w:type="dxa"/>
              <w:end w:w="110" w:type="dxa"/>
            </w:tcMar>
          </w:tcPr>
          <w:p>
            <w:pPr>
              <w:spacing w:after="0"/>
            </w:pPr>
            <w:r/>
            <w:r>
              <w:rPr>
                <w:rFonts w:ascii="Calibri" w:hAnsi="Calibri"/>
                <w:b w:val="0"/>
                <w:i w:val="0"/>
                <w:color w:val="101828"/>
                <w:sz w:val="15"/>
              </w:rPr>
              <w:t xml:space="preserve">This is the default and it is deliberate. </w:t>
            </w:r>
            <w:r>
              <w:rPr>
                <w:rFonts w:ascii="Consolas" w:hAnsi="Consolas"/>
                <w:color w:val="146EF5"/>
                <w:sz w:val="15"/>
              </w:rPr>
              <w:t>RESTRICT</w:t>
            </w:r>
            <w:r>
              <w:rPr>
                <w:rFonts w:ascii="Calibri" w:hAnsi="Calibri"/>
                <w:b w:val="0"/>
                <w:i w:val="0"/>
                <w:color w:val="101828"/>
                <w:sz w:val="15"/>
              </w:rPr>
              <w:t xml:space="preserve"> fails immediately and loudly; a </w:t>
            </w:r>
            <w:r>
              <w:rPr>
                <w:rFonts w:ascii="Consolas" w:hAnsi="Consolas"/>
                <w:color w:val="146EF5"/>
                <w:sz w:val="15"/>
              </w:rPr>
              <w:t>NO ACTION</w:t>
            </w:r>
            <w:r>
              <w:rPr>
                <w:rFonts w:ascii="Calibri" w:hAnsi="Calibri"/>
                <w:b w:val="0"/>
                <w:i w:val="0"/>
                <w:color w:val="101828"/>
                <w:sz w:val="15"/>
              </w:rPr>
              <w:t xml:space="preserve"> deferrable constraint would fail at commit, and a silently soft-deleted parent would leave an orphan that no query in the product is looking for.</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5"/>
              </w:rPr>
              <w:t>No referential action at all</w:t>
            </w:r>
          </w:p>
        </w:tc>
        <w:tc>
          <w:tcPr>
            <w:tcW w:type="dxa" w:w="2880"/>
            <w:tcMar>
              <w:top w:w="60" w:type="dxa"/>
              <w:start w:w="110" w:type="dxa"/>
              <w:bottom w:w="60" w:type="dxa"/>
              <w:end w:w="110" w:type="dxa"/>
            </w:tcMar>
            <w:shd w:val="clear" w:color="auto" w:fill="F4F7FB"/>
          </w:tcPr>
          <w:p>
            <w:pPr>
              <w:spacing w:after="0"/>
            </w:pPr>
            <w:r/>
            <w:r>
              <w:rPr>
                <w:rFonts w:ascii="Consolas" w:hAnsi="Consolas"/>
                <w:color w:val="146EF5"/>
                <w:sz w:val="15"/>
              </w:rPr>
              <w:t>ledger_transactions</w:t>
            </w:r>
            <w:r>
              <w:rPr>
                <w:rFonts w:ascii="Calibri" w:hAnsi="Calibri"/>
                <w:b w:val="0"/>
                <w:i w:val="0"/>
                <w:color w:val="101828"/>
                <w:sz w:val="15"/>
              </w:rPr>
              <w:t xml:space="preserve">, </w:t>
            </w:r>
            <w:r>
              <w:rPr>
                <w:rFonts w:ascii="Consolas" w:hAnsi="Consolas"/>
                <w:color w:val="146EF5"/>
                <w:sz w:val="15"/>
              </w:rPr>
              <w:t>ledger_postings</w:t>
            </w:r>
            <w:r>
              <w:rPr>
                <w:rFonts w:ascii="Calibri" w:hAnsi="Calibri"/>
                <w:b w:val="0"/>
                <w:i w:val="0"/>
                <w:color w:val="101828"/>
                <w:sz w:val="15"/>
              </w:rPr>
              <w:t xml:space="preserve">, </w:t>
            </w:r>
            <w:r>
              <w:rPr>
                <w:rFonts w:ascii="Consolas" w:hAnsi="Consolas"/>
                <w:color w:val="146EF5"/>
                <w:sz w:val="15"/>
              </w:rPr>
              <w:t>audit_logs</w:t>
            </w:r>
            <w:r>
              <w:rPr>
                <w:rFonts w:ascii="Calibri" w:hAnsi="Calibri"/>
                <w:b w:val="0"/>
                <w:i w:val="0"/>
                <w:color w:val="101828"/>
                <w:sz w:val="15"/>
              </w:rPr>
              <w:t xml:space="preserve">, </w:t>
            </w:r>
            <w:r>
              <w:rPr>
                <w:rFonts w:ascii="Consolas" w:hAnsi="Consolas"/>
                <w:color w:val="146EF5"/>
                <w:sz w:val="15"/>
              </w:rPr>
              <w:t>risk_events</w:t>
            </w:r>
            <w:r>
              <w:rPr>
                <w:rFonts w:ascii="Calibri" w:hAnsi="Calibri"/>
                <w:b w:val="0"/>
                <w:i w:val="0"/>
                <w:color w:val="101828"/>
                <w:sz w:val="15"/>
              </w:rPr>
              <w:t xml:space="preserve">, </w:t>
            </w:r>
            <w:r>
              <w:rPr>
                <w:rFonts w:ascii="Consolas" w:hAnsi="Consolas"/>
                <w:color w:val="146EF5"/>
                <w:sz w:val="15"/>
              </w:rPr>
              <w:t>reconciliation_runs</w:t>
            </w:r>
            <w:r>
              <w:rPr>
                <w:rFonts w:ascii="Calibri" w:hAnsi="Calibri"/>
                <w:b w:val="0"/>
                <w:i w:val="0"/>
                <w:color w:val="101828"/>
                <w:sz w:val="15"/>
              </w:rPr>
              <w:t xml:space="preserve">, </w:t>
            </w:r>
            <w:r>
              <w:rPr>
                <w:rFonts w:ascii="Consolas" w:hAnsi="Consolas"/>
                <w:color w:val="146EF5"/>
                <w:sz w:val="15"/>
              </w:rPr>
              <w:t>webhook_events</w:t>
            </w:r>
            <w:r>
              <w:rPr>
                <w:rFonts w:ascii="Calibri" w:hAnsi="Calibri"/>
                <w:b w:val="0"/>
                <w:i w:val="0"/>
                <w:color w:val="101828"/>
                <w:sz w:val="15"/>
              </w:rPr>
              <w:t xml:space="preserve">, </w:t>
            </w:r>
            <w:r>
              <w:rPr>
                <w:rFonts w:ascii="Consolas" w:hAnsi="Consolas"/>
                <w:color w:val="146EF5"/>
                <w:sz w:val="15"/>
              </w:rPr>
              <w:t>roles</w:t>
            </w:r>
            <w:r>
              <w:rPr>
                <w:rFonts w:ascii="Calibri" w:hAnsi="Calibri"/>
                <w:b w:val="0"/>
                <w:i w:val="0"/>
                <w:color w:val="101828"/>
                <w:sz w:val="15"/>
              </w:rPr>
              <w:t xml:space="preserve">, </w:t>
            </w:r>
            <w:r>
              <w:rPr>
                <w:rFonts w:ascii="Consolas" w:hAnsi="Consolas"/>
                <w:color w:val="146EF5"/>
                <w:sz w:val="15"/>
              </w:rPr>
              <w:t>contribution_frequencies</w:t>
            </w:r>
            <w:r>
              <w:rPr>
                <w:rFonts w:ascii="Calibri" w:hAnsi="Calibri"/>
                <w:b w:val="0"/>
                <w:i w:val="0"/>
                <w:color w:val="101828"/>
                <w:sz w:val="15"/>
              </w:rPr>
              <w:t xml:space="preserve">, </w:t>
            </w:r>
            <w:r>
              <w:rPr>
                <w:rFonts w:ascii="Consolas" w:hAnsi="Consolas"/>
                <w:color w:val="146EF5"/>
                <w:sz w:val="15"/>
              </w:rPr>
              <w:t>payment_channels</w:t>
            </w:r>
            <w:r>
              <w:rPr>
                <w:rFonts w:ascii="Calibri" w:hAnsi="Calibri"/>
                <w:b w:val="0"/>
                <w:i w:val="0"/>
                <w:color w:val="101828"/>
                <w:sz w:val="15"/>
              </w:rPr>
              <w:t xml:space="preserve">, </w:t>
            </w:r>
            <w:r>
              <w:rPr>
                <w:rFonts w:ascii="Consolas" w:hAnsi="Consolas"/>
                <w:color w:val="146EF5"/>
                <w:sz w:val="15"/>
              </w:rPr>
              <w:t>platform_settings</w:t>
            </w:r>
            <w:r>
              <w:rPr>
                <w:rFonts w:ascii="Calibri" w:hAnsi="Calibri"/>
                <w:b w:val="0"/>
                <w:i w:val="0"/>
                <w:color w:val="101828"/>
                <w:sz w:val="15"/>
              </w:rPr>
              <w:t>.</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5"/>
              </w:rPr>
              <w:t>10</w:t>
            </w:r>
          </w:p>
        </w:tc>
        <w:tc>
          <w:tcPr>
            <w:tcW w:type="dxa" w:w="4392"/>
            <w:tcMar>
              <w:top w:w="60" w:type="dxa"/>
              <w:start w:w="110" w:type="dxa"/>
              <w:bottom w:w="60" w:type="dxa"/>
              <w:end w:w="110" w:type="dxa"/>
            </w:tcMar>
            <w:shd w:val="clear" w:color="auto" w:fill="F4F7FB"/>
          </w:tcPr>
          <w:p>
            <w:pPr>
              <w:spacing w:after="0"/>
            </w:pPr>
            <w:r/>
            <w:r>
              <w:rPr>
                <w:rFonts w:ascii="Calibri" w:hAnsi="Calibri"/>
                <w:b w:val="0"/>
                <w:i w:val="0"/>
                <w:color w:val="101828"/>
                <w:sz w:val="15"/>
              </w:rPr>
              <w:t xml:space="preserve">These are never deleted by anything. Ledger and audit deletion is blocked by a trigger </w:t>
            </w:r>
            <w:r>
              <w:rPr>
                <w:rFonts w:ascii="Calibri" w:hAnsi="Calibri"/>
                <w:i/>
                <w:color w:val="101828"/>
                <w:sz w:val="15"/>
              </w:rPr>
              <w:t>and</w:t>
            </w:r>
            <w:r>
              <w:rPr>
                <w:rFonts w:ascii="Calibri" w:hAnsi="Calibri"/>
                <w:b w:val="0"/>
                <w:i w:val="0"/>
                <w:color w:val="101828"/>
                <w:sz w:val="15"/>
              </w:rPr>
              <w:t xml:space="preserve"> by a </w:t>
            </w:r>
            <w:r>
              <w:rPr>
                <w:rFonts w:ascii="Consolas" w:hAnsi="Consolas"/>
                <w:color w:val="146EF5"/>
                <w:sz w:val="15"/>
              </w:rPr>
              <w:t>REVOKE</w:t>
            </w:r>
            <w:r>
              <w:rPr>
                <w:rFonts w:ascii="Calibri" w:hAnsi="Calibri"/>
                <w:b w:val="0"/>
                <w:i w:val="0"/>
                <w:color w:val="101828"/>
                <w:sz w:val="15"/>
              </w:rPr>
              <w:t>; configuration tables are deactivated, not removed. Declaring no action is the strongest statement available.</w:t>
            </w:r>
          </w:p>
        </w:tc>
      </w:tr>
    </w:tbl>
    <w:p>
      <w:pPr>
        <w:spacing w:after="80"/>
      </w:pPr>
    </w:p>
    <w:p>
      <w:pPr>
        <w:spacing w:before="0" w:after="0" w:line="240" w:lineRule="auto"/>
        <w:ind w:left="230"/>
        <w:shd w:val="clear" w:color="auto" w:fill="F7F9FC"/>
        <w:pBdr>
          <w:left w:val="single" w:sz="4" w:space="6" w:color="D0D5DD"/>
        </w:pBdr>
      </w:pPr>
      <w:r>
        <w:rPr>
          <w:rFonts w:ascii="Consolas" w:hAnsi="Consolas"/>
          <w:color w:val="0B1F3A"/>
          <w:sz w:val="16"/>
        </w:rPr>
        <w:t>THE DELETE LADDER, IN ORDER OF PREFERENCE</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 xml:space="preserve">  1. Do nothing.                          the correct answer, most of the</w:t>
      </w:r>
    </w:p>
    <w:p>
      <w:pPr>
        <w:spacing w:before="0" w:after="0" w:line="240" w:lineRule="auto"/>
        <w:ind w:left="230"/>
        <w:shd w:val="clear" w:color="auto" w:fill="F7F9FC"/>
        <w:pBdr>
          <w:left w:val="single" w:sz="4" w:space="6" w:color="D0D5DD"/>
        </w:pBdr>
      </w:pPr>
      <w:r>
        <w:rPr>
          <w:rFonts w:ascii="Consolas" w:hAnsi="Consolas"/>
          <w:color w:val="0B1F3A"/>
          <w:sz w:val="16"/>
        </w:rPr>
        <w:t xml:space="preserve">                                          time. 89 of 101 relationships.</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2. Soft delete.  SET deleted_at =       business state ended, record</w:t>
      </w:r>
    </w:p>
    <w:p>
      <w:pPr>
        <w:spacing w:before="0" w:after="0" w:line="240" w:lineRule="auto"/>
        <w:ind w:left="230"/>
        <w:shd w:val="clear" w:color="auto" w:fill="F7F9FC"/>
        <w:pBdr>
          <w:left w:val="single" w:sz="4" w:space="6" w:color="D0D5DD"/>
        </w:pBdr>
      </w:pPr>
      <w:r>
        <w:rPr>
          <w:rFonts w:ascii="Consolas" w:hAnsi="Consolas"/>
          <w:color w:val="0B1F3A"/>
          <w:sz w:val="16"/>
        </w:rPr>
        <w:t xml:space="preserve">     now(), bump version.                 remains readable and auditable.</w:t>
      </w:r>
    </w:p>
    <w:p>
      <w:pPr>
        <w:spacing w:before="0" w:after="0" w:line="240" w:lineRule="auto"/>
        <w:ind w:left="230"/>
        <w:shd w:val="clear" w:color="auto" w:fill="F7F9FC"/>
        <w:pBdr>
          <w:left w:val="single" w:sz="4" w:space="6" w:color="D0D5DD"/>
        </w:pBdr>
      </w:pPr>
      <w:r>
        <w:rPr>
          <w:rFonts w:ascii="Consolas" w:hAnsi="Consolas"/>
          <w:color w:val="0B1F3A"/>
          <w:sz w:val="16"/>
        </w:rPr>
        <w:t xml:space="preserve">     Row invisible to ordinary reads</w:t>
      </w:r>
    </w:p>
    <w:p>
      <w:pPr>
        <w:spacing w:before="0" w:after="0" w:line="240" w:lineRule="auto"/>
        <w:ind w:left="230"/>
        <w:shd w:val="clear" w:color="auto" w:fill="F7F9FC"/>
        <w:pBdr>
          <w:left w:val="single" w:sz="4" w:space="6" w:color="D0D5DD"/>
        </w:pBdr>
      </w:pPr>
      <w:r>
        <w:rPr>
          <w:rFonts w:ascii="Consolas" w:hAnsi="Consolas"/>
          <w:color w:val="0B1F3A"/>
          <w:sz w:val="16"/>
        </w:rPr>
        <w:t xml:space="preserve">     via a partial index, visible to</w:t>
      </w:r>
    </w:p>
    <w:p>
      <w:pPr>
        <w:spacing w:before="0" w:after="0" w:line="240" w:lineRule="auto"/>
        <w:ind w:left="230"/>
        <w:shd w:val="clear" w:color="auto" w:fill="F7F9FC"/>
        <w:pBdr>
          <w:left w:val="single" w:sz="4" w:space="6" w:color="D0D5DD"/>
        </w:pBdr>
      </w:pPr>
      <w:r>
        <w:rPr>
          <w:rFonts w:ascii="Consolas" w:hAnsi="Consolas"/>
          <w:color w:val="0B1F3A"/>
          <w:sz w:val="16"/>
        </w:rPr>
        <w:t xml:space="preserve">     audit, statements and support.</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3. Anonymise.  Null or hash the         person asked to be forgotten;</w:t>
      </w:r>
    </w:p>
    <w:p>
      <w:pPr>
        <w:spacing w:before="0" w:after="0" w:line="240" w:lineRule="auto"/>
        <w:ind w:left="230"/>
        <w:shd w:val="clear" w:color="auto" w:fill="F7F9FC"/>
        <w:pBdr>
          <w:left w:val="single" w:sz="4" w:space="6" w:color="D0D5DD"/>
        </w:pBdr>
      </w:pPr>
      <w:r>
        <w:rPr>
          <w:rFonts w:ascii="Consolas" w:hAnsi="Consolas"/>
          <w:color w:val="0B1F3A"/>
          <w:sz w:val="16"/>
        </w:rPr>
        <w:t xml:space="preserve">     personal columns, keep the           the financial row must remain</w:t>
      </w:r>
    </w:p>
    <w:p>
      <w:pPr>
        <w:spacing w:before="0" w:after="0" w:line="240" w:lineRule="auto"/>
        <w:ind w:left="230"/>
        <w:shd w:val="clear" w:color="auto" w:fill="F7F9FC"/>
        <w:pBdr>
          <w:left w:val="single" w:sz="4" w:space="6" w:color="D0D5DD"/>
        </w:pBdr>
      </w:pPr>
      <w:r>
        <w:rPr>
          <w:rFonts w:ascii="Consolas" w:hAnsi="Consolas"/>
          <w:color w:val="0B1F3A"/>
          <w:sz w:val="16"/>
        </w:rPr>
        <w:t xml:space="preserve">     financial columns.                   provable. See the LEGAL</w:t>
      </w:r>
    </w:p>
    <w:p>
      <w:pPr>
        <w:spacing w:before="0" w:after="0" w:line="240" w:lineRule="auto"/>
        <w:ind w:left="230"/>
        <w:shd w:val="clear" w:color="auto" w:fill="F7F9FC"/>
        <w:pBdr>
          <w:left w:val="single" w:sz="4" w:space="6" w:color="D0D5DD"/>
        </w:pBdr>
      </w:pPr>
      <w:r>
        <w:rPr>
          <w:rFonts w:ascii="Consolas" w:hAnsi="Consolas"/>
          <w:color w:val="0B1F3A"/>
          <w:sz w:val="16"/>
        </w:rPr>
        <w:t xml:space="preserve">                                          callout in 8.9.</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4. Deactivate.  is_active = false.      configuration, not history.</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5. Post a reversing ledger entry.       a money mistake. Never an</w:t>
      </w:r>
    </w:p>
    <w:p>
      <w:pPr>
        <w:spacing w:before="0" w:after="0" w:line="240" w:lineRule="auto"/>
        <w:ind w:left="230"/>
        <w:shd w:val="clear" w:color="auto" w:fill="F7F9FC"/>
        <w:pBdr>
          <w:left w:val="single" w:sz="4" w:space="6" w:color="D0D5DD"/>
        </w:pBdr>
      </w:pPr>
      <w:r>
        <w:rPr>
          <w:rFonts w:ascii="Consolas" w:hAnsi="Consolas"/>
          <w:color w:val="0B1F3A"/>
          <w:sz w:val="16"/>
        </w:rPr>
        <w:t xml:space="preserve">                                          UPDATE, never a DELETE.</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6. Hard delete.  Only ever for a        session rows, expired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satellite with no independent        idempotency keys, notification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history (see action 1).              history, outbox rows already</w:t>
      </w:r>
    </w:p>
    <w:p>
      <w:pPr>
        <w:spacing w:before="0" w:after="0" w:line="240" w:lineRule="auto"/>
        <w:ind w:left="230"/>
        <w:shd w:val="clear" w:color="auto" w:fill="F7F9FC"/>
        <w:pBdr>
          <w:left w:val="single" w:sz="4" w:space="6" w:color="D0D5DD"/>
        </w:pBdr>
      </w:pPr>
      <w:r>
        <w:rPr>
          <w:rFonts w:ascii="Consolas" w:hAnsi="Consolas"/>
          <w:color w:val="0B1F3A"/>
          <w:sz w:val="16"/>
        </w:rPr>
        <w:t xml:space="preserve">                                          published past the retention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window.</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 xml:space="preserve"> Hard deletion of contributions, payments, payouts, fees,</w:t>
      </w:r>
    </w:p>
    <w:p>
      <w:pPr>
        <w:spacing w:before="0" w:after="0" w:line="240" w:lineRule="auto"/>
        <w:ind w:left="230"/>
        <w:shd w:val="clear" w:color="auto" w:fill="F7F9FC"/>
        <w:pBdr>
          <w:left w:val="single" w:sz="4" w:space="6" w:color="D0D5DD"/>
        </w:pBdr>
      </w:pPr>
      <w:r>
        <w:rPr>
          <w:rFonts w:ascii="Consolas" w:hAnsi="Consolas"/>
          <w:color w:val="0B1F3A"/>
          <w:sz w:val="16"/>
        </w:rPr>
        <w:t xml:space="preserve"> ledger_transactions, ledger_postings, audit_logs, risk_events or</w:t>
      </w:r>
    </w:p>
    <w:p>
      <w:pPr>
        <w:spacing w:before="0" w:after="0" w:line="240" w:lineRule="auto"/>
        <w:ind w:left="230"/>
        <w:shd w:val="clear" w:color="auto" w:fill="F7F9FC"/>
        <w:pBdr>
          <w:left w:val="single" w:sz="4" w:space="6" w:color="D0D5DD"/>
        </w:pBdr>
      </w:pPr>
      <w:r>
        <w:rPr>
          <w:rFonts w:ascii="Consolas" w:hAnsi="Consolas"/>
          <w:color w:val="0B1F3A"/>
          <w:sz w:val="16"/>
        </w:rPr>
        <w:t xml:space="preserve"> reconciliation_runs is not a supported operation at any privilege</w:t>
      </w:r>
    </w:p>
    <w:p>
      <w:pPr>
        <w:spacing w:before="0" w:after="0" w:line="240" w:lineRule="auto"/>
        <w:ind w:left="230"/>
        <w:shd w:val="clear" w:color="auto" w:fill="F7F9FC"/>
        <w:pBdr>
          <w:left w:val="single" w:sz="4" w:space="6" w:color="D0D5DD"/>
        </w:pBdr>
      </w:pPr>
      <w:r>
        <w:rPr>
          <w:rFonts w:ascii="Consolas" w:hAnsi="Consolas"/>
          <w:color w:val="0B1F3A"/>
          <w:sz w:val="16"/>
        </w:rPr>
        <w:t xml:space="preserve"> level, including the table owner. There is no admin endpoint for</w:t>
      </w:r>
    </w:p>
    <w:p>
      <w:pPr>
        <w:spacing w:before="0" w:after="0" w:line="240" w:lineRule="auto"/>
        <w:ind w:left="230"/>
        <w:shd w:val="clear" w:color="auto" w:fill="F7F9FC"/>
        <w:pBdr>
          <w:left w:val="single" w:sz="4" w:space="6" w:color="D0D5DD"/>
        </w:pBdr>
      </w:pPr>
      <w:r>
        <w:rPr>
          <w:rFonts w:ascii="Consolas" w:hAnsi="Consolas"/>
          <w:color w:val="0B1F3A"/>
          <w:sz w:val="16"/>
        </w:rPr>
        <w:t xml:space="preserve"> it and there is no stored procedure for it.</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140" w:after="180"/>
        <w:ind w:left="144"/>
        <w:shd w:val="clear" w:color="auto" w:fill="FEF3C7"/>
        <w:pBdr>
          <w:left w:val="single" w:sz="18" w:space="6" w:color="FBBF24"/>
        </w:pBdr>
      </w:pPr>
      <w:r>
        <w:rPr>
          <w:rFonts w:ascii="Calibri" w:hAnsi="Calibri"/>
          <w:b/>
          <w:color w:val="FBBF24"/>
          <w:sz w:val="19"/>
        </w:rPr>
        <w:t xml:space="preserve">The one place CASCADE appears in the money domain, and why it is safe  </w:t>
      </w:r>
      <w:r>
        <w:rPr>
          <w:rFonts w:ascii="Consolas" w:hAnsi="Consolas"/>
          <w:color w:val="146EF5"/>
          <w:sz w:val="19"/>
        </w:rPr>
        <w:t>rounds -&gt; contribution_schedules</w:t>
      </w:r>
      <w:r>
        <w:rPr>
          <w:rFonts w:ascii="Calibri" w:hAnsi="Calibri"/>
          <w:b w:val="0"/>
          <w:i w:val="0"/>
          <w:color w:val="0B1F3A"/>
          <w:sz w:val="19"/>
        </w:rPr>
        <w:t xml:space="preserve"> is </w:t>
      </w:r>
      <w:r>
        <w:rPr>
          <w:rFonts w:ascii="Consolas" w:hAnsi="Consolas"/>
          <w:color w:val="146EF5"/>
          <w:sz w:val="19"/>
        </w:rPr>
        <w:t>ON DELETE CASCADE</w:t>
      </w:r>
      <w:r>
        <w:rPr>
          <w:rFonts w:ascii="Calibri" w:hAnsi="Calibri"/>
          <w:b w:val="0"/>
          <w:i w:val="0"/>
          <w:color w:val="0B1F3A"/>
          <w:sz w:val="19"/>
        </w:rPr>
        <w:t xml:space="preserve">, and it is the only cascade in the money domain. It is safe because a </w:t>
      </w:r>
      <w:r>
        <w:rPr>
          <w:rFonts w:ascii="Consolas" w:hAnsi="Consolas"/>
          <w:color w:val="146EF5"/>
          <w:sz w:val="19"/>
        </w:rPr>
        <w:t>rounds</w:t>
      </w:r>
      <w:r>
        <w:rPr>
          <w:rFonts w:ascii="Calibri" w:hAnsi="Calibri"/>
          <w:b w:val="0"/>
          <w:i w:val="0"/>
          <w:color w:val="0B1F3A"/>
          <w:sz w:val="19"/>
        </w:rPr>
        <w:t xml:space="preserve"> row can never be deleted: </w:t>
      </w:r>
      <w:r>
        <w:rPr>
          <w:rFonts w:ascii="Consolas" w:hAnsi="Consolas"/>
          <w:color w:val="146EF5"/>
          <w:sz w:val="19"/>
        </w:rPr>
        <w:t>ajos -&gt; rounds</w:t>
      </w:r>
      <w:r>
        <w:rPr>
          <w:rFonts w:ascii="Calibri" w:hAnsi="Calibri"/>
          <w:b w:val="0"/>
          <w:i w:val="0"/>
          <w:color w:val="0B1F3A"/>
          <w:sz w:val="19"/>
        </w:rPr>
        <w:t xml:space="preserve"> is </w:t>
      </w:r>
      <w:r>
        <w:rPr>
          <w:rFonts w:ascii="Consolas" w:hAnsi="Consolas"/>
          <w:color w:val="146EF5"/>
          <w:sz w:val="19"/>
        </w:rPr>
        <w:t>RESTRICT</w:t>
      </w:r>
      <w:r>
        <w:rPr>
          <w:rFonts w:ascii="Calibri" w:hAnsi="Calibri"/>
          <w:b w:val="0"/>
          <w:i w:val="0"/>
          <w:color w:val="0B1F3A"/>
          <w:sz w:val="19"/>
        </w:rPr>
        <w:t xml:space="preserve">, </w:t>
      </w:r>
      <w:r>
        <w:rPr>
          <w:rFonts w:ascii="Consolas" w:hAnsi="Consolas"/>
          <w:color w:val="146EF5"/>
          <w:sz w:val="19"/>
        </w:rPr>
        <w:t>ajos</w:t>
      </w:r>
      <w:r>
        <w:rPr>
          <w:rFonts w:ascii="Calibri" w:hAnsi="Calibri"/>
          <w:b w:val="0"/>
          <w:i w:val="0"/>
          <w:color w:val="0B1F3A"/>
          <w:sz w:val="19"/>
        </w:rPr>
        <w:t xml:space="preserve"> deletion is blocked by a trigger outside the retention window, and the application never issues a </w:t>
      </w:r>
      <w:r>
        <w:rPr>
          <w:rFonts w:ascii="Consolas" w:hAnsi="Consolas"/>
          <w:color w:val="146EF5"/>
          <w:sz w:val="19"/>
        </w:rPr>
        <w:t>DELETE</w:t>
      </w:r>
      <w:r>
        <w:rPr>
          <w:rFonts w:ascii="Calibri" w:hAnsi="Calibri"/>
          <w:b w:val="0"/>
          <w:i w:val="0"/>
          <w:color w:val="0B1F3A"/>
          <w:sz w:val="19"/>
        </w:rPr>
        <w:t xml:space="preserve"> against </w:t>
      </w:r>
      <w:r>
        <w:rPr>
          <w:rFonts w:ascii="Consolas" w:hAnsi="Consolas"/>
          <w:color w:val="146EF5"/>
          <w:sz w:val="19"/>
        </w:rPr>
        <w:t>rounds</w:t>
      </w:r>
      <w:r>
        <w:rPr>
          <w:rFonts w:ascii="Calibri" w:hAnsi="Calibri"/>
          <w:b w:val="0"/>
          <w:i w:val="0"/>
          <w:color w:val="0B1F3A"/>
          <w:sz w:val="19"/>
        </w:rPr>
        <w:t xml:space="preserve"> at all. The cascade exists to make the invariant </w:t>
      </w:r>
      <w:r>
        <w:rPr>
          <w:rFonts w:ascii="Consolas" w:hAnsi="Consolas"/>
          <w:color w:val="146EF5"/>
          <w:sz w:val="19"/>
        </w:rPr>
        <w:t>rounds</w:t>
      </w:r>
      <w:r>
        <w:rPr>
          <w:rFonts w:ascii="Calibri" w:hAnsi="Calibri"/>
          <w:b w:val="0"/>
          <w:i w:val="0"/>
          <w:color w:val="0B1F3A"/>
          <w:sz w:val="19"/>
        </w:rPr>
        <w:t xml:space="preserve"> has exactly one schedule expressible, and it is unreachable in practice. If a reviewer finds a route by which a </w:t>
      </w:r>
      <w:r>
        <w:rPr>
          <w:rFonts w:ascii="Consolas" w:hAnsi="Consolas"/>
          <w:color w:val="146EF5"/>
          <w:sz w:val="19"/>
        </w:rPr>
        <w:t>rounds</w:t>
      </w:r>
      <w:r>
        <w:rPr>
          <w:rFonts w:ascii="Calibri" w:hAnsi="Calibri"/>
          <w:b w:val="0"/>
          <w:i w:val="0"/>
          <w:color w:val="0B1F3A"/>
          <w:sz w:val="19"/>
        </w:rPr>
        <w:t xml:space="preserve"> row can be deleted, the cascade turns that bug into data loss, and the correct fix is to change the cascade to </w:t>
      </w:r>
      <w:r>
        <w:rPr>
          <w:rFonts w:ascii="Consolas" w:hAnsi="Consolas"/>
          <w:color w:val="146EF5"/>
          <w:sz w:val="19"/>
        </w:rPr>
        <w:t>RESTRICT</w:t>
      </w:r>
      <w:r>
        <w:rPr>
          <w:rFonts w:ascii="Calibri" w:hAnsi="Calibri"/>
          <w:b w:val="0"/>
          <w:i w:val="0"/>
          <w:color w:val="0B1F3A"/>
          <w:sz w:val="19"/>
        </w:rPr>
        <w:t xml:space="preserve"> and delete the orphan schedule in application code.</w:t>
      </w:r>
    </w:p>
    <w:p>
      <w:pPr>
        <w:pStyle w:val="Heading2"/>
      </w:pPr>
      <w:r>
        <w:rPr>
          <w:rFonts w:ascii="Calibri" w:hAnsi="Calibri"/>
          <w:b/>
          <w:i w:val="0"/>
          <w:color w:val="146EF5"/>
          <w:sz w:val="29"/>
        </w:rPr>
        <w:t>8.8 Cardinality constraints that encode business rules</w:t>
      </w:r>
    </w:p>
    <w:p>
      <w:r>
        <w:rPr>
          <w:rFonts w:ascii="Calibri" w:hAnsi="Calibri"/>
          <w:b w:val="0"/>
          <w:i w:val="0"/>
          <w:color w:val="101828"/>
          <w:sz w:val="21"/>
        </w:rPr>
        <w:t>A business rule that lives in application code is a rule that will be true until the first time two requests arrive at once. Every rule in the table below is therefore expressed as a database constraint, and each has a named constraint or index so that a violation is a legible error message rather than a unique-index violation on an auto-generated name. The rules are the ones that would be catastrophic to get wrong, which is why they are here and not merely written in prose in section 1.</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864"/>
            <w:shd w:val="clear" w:color="auto" w:fill="0B1F3A"/>
            <w:tcMar>
              <w:top w:w="60" w:type="dxa"/>
              <w:start w:w="110" w:type="dxa"/>
              <w:bottom w:w="60" w:type="dxa"/>
              <w:end w:w="110" w:type="dxa"/>
            </w:tcMar>
          </w:tcPr>
          <w:p>
            <w:pPr>
              <w:spacing w:after="0"/>
            </w:pPr>
            <w:r/>
            <w:r>
              <w:rPr>
                <w:rFonts w:ascii="Calibri" w:hAnsi="Calibri"/>
                <w:b/>
                <w:i w:val="0"/>
                <w:color w:val="FFFFFF"/>
                <w:sz w:val="14"/>
              </w:rPr>
              <w:t>ID</w:t>
            </w:r>
          </w:p>
        </w:tc>
        <w:tc>
          <w:tcPr>
            <w:tcW w:type="dxa" w:w="3312"/>
            <w:shd w:val="clear" w:color="auto" w:fill="0B1F3A"/>
            <w:tcMar>
              <w:top w:w="60" w:type="dxa"/>
              <w:start w:w="110" w:type="dxa"/>
              <w:bottom w:w="60" w:type="dxa"/>
              <w:end w:w="110" w:type="dxa"/>
            </w:tcMar>
          </w:tcPr>
          <w:p>
            <w:pPr>
              <w:spacing w:after="0"/>
            </w:pPr>
            <w:r/>
            <w:r>
              <w:rPr>
                <w:rFonts w:ascii="Calibri" w:hAnsi="Calibri"/>
                <w:b/>
                <w:i w:val="0"/>
                <w:color w:val="FFFFFF"/>
                <w:sz w:val="14"/>
              </w:rPr>
              <w:t>Business rule</w:t>
            </w:r>
          </w:p>
        </w:tc>
        <w:tc>
          <w:tcPr>
            <w:tcW w:type="dxa" w:w="3384"/>
            <w:shd w:val="clear" w:color="auto" w:fill="0B1F3A"/>
            <w:tcMar>
              <w:top w:w="60" w:type="dxa"/>
              <w:start w:w="110" w:type="dxa"/>
              <w:bottom w:w="60" w:type="dxa"/>
              <w:end w:w="110" w:type="dxa"/>
            </w:tcMar>
          </w:tcPr>
          <w:p>
            <w:pPr>
              <w:spacing w:after="0"/>
            </w:pPr>
            <w:r/>
            <w:r>
              <w:rPr>
                <w:rFonts w:ascii="Calibri" w:hAnsi="Calibri"/>
                <w:b/>
                <w:i w:val="0"/>
                <w:color w:val="FFFFFF"/>
                <w:sz w:val="14"/>
              </w:rPr>
              <w:t>Enforced as</w:t>
            </w:r>
          </w:p>
        </w:tc>
        <w:tc>
          <w:tcPr>
            <w:tcW w:type="dxa" w:w="1800"/>
            <w:shd w:val="clear" w:color="auto" w:fill="0B1F3A"/>
            <w:tcMar>
              <w:top w:w="60" w:type="dxa"/>
              <w:start w:w="110" w:type="dxa"/>
              <w:bottom w:w="60" w:type="dxa"/>
              <w:end w:w="110" w:type="dxa"/>
            </w:tcMar>
          </w:tcPr>
          <w:p>
            <w:pPr>
              <w:spacing w:after="0"/>
            </w:pPr>
            <w:r/>
            <w:r>
              <w:rPr>
                <w:rFonts w:ascii="Calibri" w:hAnsi="Calibri"/>
                <w:b/>
                <w:i w:val="0"/>
                <w:color w:val="FFFFFF"/>
                <w:sz w:val="14"/>
              </w:rPr>
              <w:t>Source</w:t>
            </w:r>
          </w:p>
        </w:tc>
      </w:tr>
      <w:tr>
        <w:trPr>
          <w:cantSplit/>
        </w:trPr>
        <w:tc>
          <w:tcPr>
            <w:tcW w:type="dxa" w:w="864"/>
            <w:tcMar>
              <w:top w:w="60" w:type="dxa"/>
              <w:start w:w="110" w:type="dxa"/>
              <w:bottom w:w="60" w:type="dxa"/>
              <w:end w:w="110" w:type="dxa"/>
            </w:tcMar>
          </w:tcPr>
          <w:p>
            <w:pPr>
              <w:spacing w:after="0"/>
            </w:pPr>
            <w:r/>
            <w:r>
              <w:rPr>
                <w:rFonts w:ascii="Calibri" w:hAnsi="Calibri"/>
                <w:b w:val="0"/>
                <w:i w:val="0"/>
                <w:color w:val="101828"/>
                <w:sz w:val="14"/>
              </w:rPr>
              <w:t>CR-01</w:t>
            </w:r>
          </w:p>
        </w:tc>
        <w:tc>
          <w:tcPr>
            <w:tcW w:type="dxa" w:w="3312"/>
            <w:tcMar>
              <w:top w:w="60" w:type="dxa"/>
              <w:start w:w="110" w:type="dxa"/>
              <w:bottom w:w="60" w:type="dxa"/>
              <w:end w:w="110" w:type="dxa"/>
            </w:tcMar>
          </w:tcPr>
          <w:p>
            <w:pPr>
              <w:spacing w:after="0"/>
            </w:pPr>
            <w:r/>
            <w:r>
              <w:rPr>
                <w:rFonts w:ascii="Calibri" w:hAnsi="Calibri"/>
                <w:b w:val="0"/>
                <w:i w:val="0"/>
                <w:color w:val="101828"/>
                <w:sz w:val="14"/>
              </w:rPr>
              <w:t>Exactly one contribution per (schedule, member). A member owes once per round, not twice because they pressed the button twice.</w:t>
            </w:r>
          </w:p>
        </w:tc>
        <w:tc>
          <w:tcPr>
            <w:tcW w:type="dxa" w:w="3384"/>
            <w:tcMar>
              <w:top w:w="60" w:type="dxa"/>
              <w:start w:w="110" w:type="dxa"/>
              <w:bottom w:w="60" w:type="dxa"/>
              <w:end w:w="110" w:type="dxa"/>
            </w:tcMar>
          </w:tcPr>
          <w:p>
            <w:pPr>
              <w:spacing w:after="0"/>
            </w:pPr>
            <w:r/>
            <w:r>
              <w:rPr>
                <w:rFonts w:ascii="Consolas" w:hAnsi="Consolas"/>
                <w:color w:val="146EF5"/>
                <w:sz w:val="14"/>
              </w:rPr>
              <w:t>UNIQUE (schedule_id, member_id)</w:t>
            </w:r>
            <w:r>
              <w:rPr>
                <w:rFonts w:ascii="Calibri" w:hAnsi="Calibri"/>
                <w:b w:val="0"/>
                <w:i w:val="0"/>
                <w:color w:val="101828"/>
                <w:sz w:val="14"/>
              </w:rPr>
              <w:t xml:space="preserve"> on </w:t>
            </w:r>
            <w:r>
              <w:rPr>
                <w:rFonts w:ascii="Consolas" w:hAnsi="Consolas"/>
                <w:color w:val="146EF5"/>
                <w:sz w:val="14"/>
              </w:rPr>
              <w:t>contributions</w:t>
            </w:r>
          </w:p>
        </w:tc>
        <w:tc>
          <w:tcPr>
            <w:tcW w:type="dxa" w:w="1800"/>
            <w:tcMar>
              <w:top w:w="60" w:type="dxa"/>
              <w:start w:w="110" w:type="dxa"/>
              <w:bottom w:w="60" w:type="dxa"/>
              <w:end w:w="110" w:type="dxa"/>
            </w:tcMar>
          </w:tcPr>
          <w:p>
            <w:pPr>
              <w:spacing w:after="0"/>
            </w:pPr>
            <w:r/>
            <w:r>
              <w:rPr>
                <w:rFonts w:ascii="Calibri" w:hAnsi="Calibri"/>
                <w:b w:val="0"/>
                <w:i w:val="0"/>
                <w:color w:val="101828"/>
                <w:sz w:val="14"/>
              </w:rPr>
              <w:t>Product</w:t>
            </w:r>
          </w:p>
        </w:tc>
      </w:tr>
      <w:tr>
        <w:trPr>
          <w:cantSplit/>
        </w:trPr>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CR-02</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Exactly one </w:t>
            </w:r>
            <w:r>
              <w:rPr>
                <w:rFonts w:ascii="Calibri" w:hAnsi="Calibri"/>
                <w:i/>
                <w:color w:val="101828"/>
                <w:sz w:val="14"/>
              </w:rPr>
              <w:t>live</w:t>
            </w:r>
            <w:r>
              <w:rPr>
                <w:rFonts w:ascii="Calibri" w:hAnsi="Calibri"/>
                <w:b w:val="0"/>
                <w:i w:val="0"/>
                <w:color w:val="101828"/>
                <w:sz w:val="14"/>
              </w:rPr>
              <w:t xml:space="preserve"> contribution per (schedule, position) slot, so that a replacement member does not produce two obligations on the same slot.</w:t>
            </w:r>
          </w:p>
        </w:tc>
        <w:tc>
          <w:tcPr>
            <w:tcW w:type="dxa" w:w="3384"/>
            <w:tcMar>
              <w:top w:w="60" w:type="dxa"/>
              <w:start w:w="110" w:type="dxa"/>
              <w:bottom w:w="60" w:type="dxa"/>
              <w:end w:w="110" w:type="dxa"/>
            </w:tcMar>
            <w:shd w:val="clear" w:color="auto" w:fill="F4F7FB"/>
          </w:tcPr>
          <w:p>
            <w:pPr>
              <w:spacing w:after="0"/>
            </w:pPr>
            <w:r/>
            <w:r>
              <w:rPr>
                <w:rFonts w:ascii="Consolas" w:hAnsi="Consolas"/>
                <w:color w:val="146EF5"/>
                <w:sz w:val="14"/>
              </w:rPr>
              <w:t>CREATE UNIQUE INDEX contributions_one_live_per_slot ON contributions (schedule_id, position_id) WHERE superseded_at IS NULL</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Replacement flow</w:t>
            </w:r>
          </w:p>
        </w:tc>
      </w:tr>
      <w:tr>
        <w:trPr>
          <w:cantSplit/>
        </w:trPr>
        <w:tc>
          <w:tcPr>
            <w:tcW w:type="dxa" w:w="864"/>
            <w:tcMar>
              <w:top w:w="60" w:type="dxa"/>
              <w:start w:w="110" w:type="dxa"/>
              <w:bottom w:w="60" w:type="dxa"/>
              <w:end w:w="110" w:type="dxa"/>
            </w:tcMar>
          </w:tcPr>
          <w:p>
            <w:pPr>
              <w:spacing w:after="0"/>
            </w:pPr>
            <w:r/>
            <w:r>
              <w:rPr>
                <w:rFonts w:ascii="Calibri" w:hAnsi="Calibri"/>
                <w:b w:val="0"/>
                <w:i w:val="0"/>
                <w:color w:val="101828"/>
                <w:sz w:val="14"/>
              </w:rPr>
              <w:t>CR-03</w:t>
            </w:r>
          </w:p>
        </w:tc>
        <w:tc>
          <w:tcPr>
            <w:tcW w:type="dxa" w:w="3312"/>
            <w:tcMar>
              <w:top w:w="60" w:type="dxa"/>
              <w:start w:w="110" w:type="dxa"/>
              <w:bottom w:w="60" w:type="dxa"/>
              <w:end w:w="110" w:type="dxa"/>
            </w:tcMar>
          </w:tcPr>
          <w:p>
            <w:pPr>
              <w:spacing w:after="0"/>
            </w:pPr>
            <w:r/>
            <w:r>
              <w:rPr>
                <w:rFonts w:ascii="Calibri" w:hAnsi="Calibri"/>
                <w:b w:val="0"/>
                <w:i w:val="0"/>
                <w:color w:val="101828"/>
                <w:sz w:val="14"/>
              </w:rPr>
              <w:t>Positions are unique per Ajo and numbered 1..position_count with no gaps and no duplicates.</w:t>
            </w:r>
          </w:p>
        </w:tc>
        <w:tc>
          <w:tcPr>
            <w:tcW w:type="dxa" w:w="3384"/>
            <w:tcMar>
              <w:top w:w="60" w:type="dxa"/>
              <w:start w:w="110" w:type="dxa"/>
              <w:bottom w:w="60" w:type="dxa"/>
              <w:end w:w="110" w:type="dxa"/>
            </w:tcMar>
          </w:tcPr>
          <w:p>
            <w:pPr>
              <w:spacing w:after="0"/>
            </w:pPr>
            <w:r/>
            <w:r>
              <w:rPr>
                <w:rFonts w:ascii="Consolas" w:hAnsi="Consolas"/>
                <w:color w:val="146EF5"/>
                <w:sz w:val="14"/>
              </w:rPr>
              <w:t>UNIQUE (ajo_id, position_number)</w:t>
            </w:r>
            <w:r>
              <w:rPr>
                <w:rFonts w:ascii="Calibri" w:hAnsi="Calibri"/>
                <w:b w:val="0"/>
                <w:i w:val="0"/>
                <w:color w:val="101828"/>
                <w:sz w:val="14"/>
              </w:rPr>
              <w:t xml:space="preserve"> and </w:t>
            </w:r>
            <w:r>
              <w:rPr>
                <w:rFonts w:ascii="Consolas" w:hAnsi="Consolas"/>
                <w:color w:val="146EF5"/>
                <w:sz w:val="14"/>
              </w:rPr>
              <w:t>CHECK (position_number BETWEEN 1 AND position_count)</w:t>
            </w:r>
          </w:p>
        </w:tc>
        <w:tc>
          <w:tcPr>
            <w:tcW w:type="dxa" w:w="1800"/>
            <w:tcMar>
              <w:top w:w="60" w:type="dxa"/>
              <w:start w:w="110" w:type="dxa"/>
              <w:bottom w:w="60" w:type="dxa"/>
              <w:end w:w="110" w:type="dxa"/>
            </w:tcMar>
          </w:tcPr>
          <w:p>
            <w:pPr>
              <w:spacing w:after="0"/>
            </w:pPr>
            <w:r/>
            <w:r>
              <w:rPr>
                <w:rFonts w:ascii="Calibri" w:hAnsi="Calibri"/>
                <w:b w:val="0"/>
                <w:i w:val="0"/>
                <w:color w:val="101828"/>
                <w:sz w:val="14"/>
              </w:rPr>
              <w:t>CAN §3</w:t>
            </w:r>
          </w:p>
        </w:tc>
      </w:tr>
      <w:tr>
        <w:trPr>
          <w:cantSplit/>
        </w:trPr>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CR-04</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A position number never changes once the Ajo is ACTIVE. Reordering after activation is not permitted at all.</w:t>
            </w:r>
          </w:p>
        </w:tc>
        <w:tc>
          <w:tcPr>
            <w:tcW w:type="dxa" w:w="3384"/>
            <w:tcMar>
              <w:top w:w="60" w:type="dxa"/>
              <w:start w:w="110" w:type="dxa"/>
              <w:bottom w:w="60" w:type="dxa"/>
              <w:end w:w="110" w:type="dxa"/>
            </w:tcMar>
            <w:shd w:val="clear" w:color="auto" w:fill="F4F7FB"/>
          </w:tcPr>
          <w:p>
            <w:pPr>
              <w:spacing w:after="0"/>
            </w:pPr>
            <w:r/>
            <w:r>
              <w:rPr>
                <w:rFonts w:ascii="Consolas" w:hAnsi="Consolas"/>
                <w:color w:val="146EF5"/>
                <w:sz w:val="14"/>
              </w:rPr>
              <w:t>app.assert_positions_locked()</w:t>
            </w:r>
            <w:r>
              <w:rPr>
                <w:rFonts w:ascii="Calibri" w:hAnsi="Calibri"/>
                <w:b w:val="0"/>
                <w:i w:val="0"/>
                <w:color w:val="101828"/>
                <w:sz w:val="14"/>
              </w:rPr>
              <w:t xml:space="preserve"> trigger rejecting </w:t>
            </w:r>
            <w:r>
              <w:rPr>
                <w:rFonts w:ascii="Consolas" w:hAnsi="Consolas"/>
                <w:color w:val="146EF5"/>
                <w:sz w:val="14"/>
              </w:rPr>
              <w:t>UPDATE</w:t>
            </w:r>
            <w:r>
              <w:rPr>
                <w:rFonts w:ascii="Calibri" w:hAnsi="Calibri"/>
                <w:b w:val="0"/>
                <w:i w:val="0"/>
                <w:color w:val="101828"/>
                <w:sz w:val="14"/>
              </w:rPr>
              <w:t xml:space="preserve"> of </w:t>
            </w:r>
            <w:r>
              <w:rPr>
                <w:rFonts w:ascii="Consolas" w:hAnsi="Consolas"/>
                <w:color w:val="146EF5"/>
                <w:sz w:val="14"/>
              </w:rPr>
              <w:t>position_number</w:t>
            </w:r>
            <w:r>
              <w:rPr>
                <w:rFonts w:ascii="Calibri" w:hAnsi="Calibri"/>
                <w:b w:val="0"/>
                <w:i w:val="0"/>
                <w:color w:val="101828"/>
                <w:sz w:val="14"/>
              </w:rPr>
              <w:t xml:space="preserve"> when </w:t>
            </w:r>
            <w:r>
              <w:rPr>
                <w:rFonts w:ascii="Consolas" w:hAnsi="Consolas"/>
                <w:color w:val="146EF5"/>
                <w:sz w:val="14"/>
              </w:rPr>
              <w:t>ajos.status IN ('ACTIVE','ROUND_IN_PROGRESS','COMPLETED')</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CAN §3</w:t>
            </w:r>
          </w:p>
        </w:tc>
      </w:tr>
      <w:tr>
        <w:trPr>
          <w:cantSplit/>
        </w:trPr>
        <w:tc>
          <w:tcPr>
            <w:tcW w:type="dxa" w:w="864"/>
            <w:tcMar>
              <w:top w:w="60" w:type="dxa"/>
              <w:start w:w="110" w:type="dxa"/>
              <w:bottom w:w="60" w:type="dxa"/>
              <w:end w:w="110" w:type="dxa"/>
            </w:tcMar>
          </w:tcPr>
          <w:p>
            <w:pPr>
              <w:spacing w:after="0"/>
            </w:pPr>
            <w:r/>
            <w:r>
              <w:rPr>
                <w:rFonts w:ascii="Calibri" w:hAnsi="Calibri"/>
                <w:b w:val="0"/>
                <w:i w:val="0"/>
                <w:color w:val="101828"/>
                <w:sz w:val="14"/>
              </w:rPr>
              <w:t>CR-05</w:t>
            </w:r>
          </w:p>
        </w:tc>
        <w:tc>
          <w:tcPr>
            <w:tcW w:type="dxa" w:w="3312"/>
            <w:tcMar>
              <w:top w:w="60" w:type="dxa"/>
              <w:start w:w="110" w:type="dxa"/>
              <w:bottom w:w="60" w:type="dxa"/>
              <w:end w:w="110" w:type="dxa"/>
            </w:tcMar>
          </w:tcPr>
          <w:p>
            <w:pPr>
              <w:spacing w:after="0"/>
            </w:pPr>
            <w:r/>
            <w:r>
              <w:rPr>
                <w:rFonts w:ascii="Calibri" w:hAnsi="Calibri"/>
                <w:b w:val="0"/>
                <w:i w:val="0"/>
                <w:color w:val="101828"/>
                <w:sz w:val="14"/>
              </w:rPr>
              <w:t>A member holds at most one position in an Ajo.</w:t>
            </w:r>
          </w:p>
        </w:tc>
        <w:tc>
          <w:tcPr>
            <w:tcW w:type="dxa" w:w="3384"/>
            <w:tcMar>
              <w:top w:w="60" w:type="dxa"/>
              <w:start w:w="110" w:type="dxa"/>
              <w:bottom w:w="60" w:type="dxa"/>
              <w:end w:w="110" w:type="dxa"/>
            </w:tcMar>
          </w:tcPr>
          <w:p>
            <w:pPr>
              <w:spacing w:after="0"/>
            </w:pPr>
            <w:r/>
            <w:r>
              <w:rPr>
                <w:rFonts w:ascii="Consolas" w:hAnsi="Consolas"/>
                <w:color w:val="146EF5"/>
                <w:sz w:val="14"/>
              </w:rPr>
              <w:t>UNIQUE (ajo_id, position_id) WHERE position_id IS NOT NULL AND released_at IS NULL</w:t>
            </w:r>
            <w:r>
              <w:rPr>
                <w:rFonts w:ascii="Calibri" w:hAnsi="Calibri"/>
                <w:b w:val="0"/>
                <w:i w:val="0"/>
                <w:color w:val="101828"/>
                <w:sz w:val="14"/>
              </w:rPr>
              <w:t xml:space="preserve"> on </w:t>
            </w:r>
            <w:r>
              <w:rPr>
                <w:rFonts w:ascii="Consolas" w:hAnsi="Consolas"/>
                <w:color w:val="146EF5"/>
                <w:sz w:val="14"/>
              </w:rPr>
              <w:t>ajo_members</w:t>
            </w:r>
          </w:p>
        </w:tc>
        <w:tc>
          <w:tcPr>
            <w:tcW w:type="dxa" w:w="1800"/>
            <w:tcMar>
              <w:top w:w="60" w:type="dxa"/>
              <w:start w:w="110" w:type="dxa"/>
              <w:bottom w:w="60" w:type="dxa"/>
              <w:end w:w="110" w:type="dxa"/>
            </w:tcMar>
          </w:tcPr>
          <w:p>
            <w:pPr>
              <w:spacing w:after="0"/>
            </w:pPr>
            <w:r/>
            <w:r>
              <w:rPr>
                <w:rFonts w:ascii="Calibri" w:hAnsi="Calibri"/>
                <w:b w:val="0"/>
                <w:i w:val="0"/>
                <w:color w:val="101828"/>
                <w:sz w:val="14"/>
              </w:rPr>
              <w:t>Product</w:t>
            </w:r>
          </w:p>
        </w:tc>
      </w:tr>
      <w:tr>
        <w:trPr>
          <w:cantSplit/>
        </w:trPr>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CR-06</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One payout per (round, position). The recipient's turn happens once.</w:t>
            </w:r>
          </w:p>
        </w:tc>
        <w:tc>
          <w:tcPr>
            <w:tcW w:type="dxa" w:w="3384"/>
            <w:tcMar>
              <w:top w:w="60" w:type="dxa"/>
              <w:start w:w="110" w:type="dxa"/>
              <w:bottom w:w="60" w:type="dxa"/>
              <w:end w:w="110" w:type="dxa"/>
            </w:tcMar>
            <w:shd w:val="clear" w:color="auto" w:fill="F4F7FB"/>
          </w:tcPr>
          <w:p>
            <w:pPr>
              <w:spacing w:after="0"/>
            </w:pPr>
            <w:r/>
            <w:r>
              <w:rPr>
                <w:rFonts w:ascii="Consolas" w:hAnsi="Consolas"/>
                <w:color w:val="146EF5"/>
                <w:sz w:val="14"/>
              </w:rPr>
              <w:t>UNIQUE (round_id, position_id)</w:t>
            </w:r>
            <w:r>
              <w:rPr>
                <w:rFonts w:ascii="Calibri" w:hAnsi="Calibri"/>
                <w:b w:val="0"/>
                <w:i w:val="0"/>
                <w:color w:val="101828"/>
                <w:sz w:val="14"/>
              </w:rPr>
              <w:t xml:space="preserve"> on </w:t>
            </w:r>
            <w:r>
              <w:rPr>
                <w:rFonts w:ascii="Consolas" w:hAnsi="Consolas"/>
                <w:color w:val="146EF5"/>
                <w:sz w:val="14"/>
              </w:rPr>
              <w:t>payouts</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CAN §4</w:t>
            </w:r>
          </w:p>
        </w:tc>
      </w:tr>
      <w:tr>
        <w:trPr>
          <w:cantSplit/>
        </w:trPr>
        <w:tc>
          <w:tcPr>
            <w:tcW w:type="dxa" w:w="864"/>
            <w:tcMar>
              <w:top w:w="60" w:type="dxa"/>
              <w:start w:w="110" w:type="dxa"/>
              <w:bottom w:w="60" w:type="dxa"/>
              <w:end w:w="110" w:type="dxa"/>
            </w:tcMar>
          </w:tcPr>
          <w:p>
            <w:pPr>
              <w:spacing w:after="0"/>
            </w:pPr>
            <w:r/>
            <w:r>
              <w:rPr>
                <w:rFonts w:ascii="Calibri" w:hAnsi="Calibri"/>
                <w:b w:val="0"/>
                <w:i w:val="0"/>
                <w:color w:val="101828"/>
                <w:sz w:val="14"/>
              </w:rPr>
              <w:t>CR-07</w:t>
            </w:r>
          </w:p>
        </w:tc>
        <w:tc>
          <w:tcPr>
            <w:tcW w:type="dxa" w:w="3312"/>
            <w:tcMar>
              <w:top w:w="60" w:type="dxa"/>
              <w:start w:w="110" w:type="dxa"/>
              <w:bottom w:w="60" w:type="dxa"/>
              <w:end w:w="110" w:type="dxa"/>
            </w:tcMar>
          </w:tcPr>
          <w:p>
            <w:pPr>
              <w:spacing w:after="0"/>
            </w:pPr>
            <w:r/>
            <w:r>
              <w:rPr>
                <w:rFonts w:ascii="Calibri" w:hAnsi="Calibri"/>
                <w:b w:val="0"/>
                <w:i w:val="0"/>
                <w:color w:val="101828"/>
                <w:sz w:val="14"/>
              </w:rPr>
              <w:t>At most one payout per position may be in flight at any time, so a double-clicked release cannot submit two disbursements.</w:t>
            </w:r>
          </w:p>
        </w:tc>
        <w:tc>
          <w:tcPr>
            <w:tcW w:type="dxa" w:w="3384"/>
            <w:tcMar>
              <w:top w:w="60" w:type="dxa"/>
              <w:start w:w="110" w:type="dxa"/>
              <w:bottom w:w="60" w:type="dxa"/>
              <w:end w:w="110" w:type="dxa"/>
            </w:tcMar>
          </w:tcPr>
          <w:p>
            <w:pPr>
              <w:spacing w:after="0"/>
            </w:pPr>
            <w:r/>
            <w:r>
              <w:rPr>
                <w:rFonts w:ascii="Consolas" w:hAnsi="Consolas"/>
                <w:color w:val="146EF5"/>
                <w:sz w:val="14"/>
              </w:rPr>
              <w:t>CREATE UNIQUE INDEX payouts_one_live_per_slot ON payouts (round_id, position_id) WHERE status IN ('scheduled','funding','released','held')</w:t>
            </w:r>
          </w:p>
        </w:tc>
        <w:tc>
          <w:tcPr>
            <w:tcW w:type="dxa" w:w="1800"/>
            <w:tcMar>
              <w:top w:w="60" w:type="dxa"/>
              <w:start w:w="110" w:type="dxa"/>
              <w:bottom w:w="60" w:type="dxa"/>
              <w:end w:w="110" w:type="dxa"/>
            </w:tcMar>
          </w:tcPr>
          <w:p>
            <w:pPr>
              <w:spacing w:after="0"/>
            </w:pPr>
            <w:r/>
            <w:r>
              <w:rPr>
                <w:rFonts w:ascii="Calibri" w:hAnsi="Calibri"/>
                <w:b w:val="0"/>
                <w:i w:val="0"/>
                <w:color w:val="101828"/>
                <w:sz w:val="14"/>
              </w:rPr>
              <w:t>CAN §4</w:t>
            </w:r>
          </w:p>
        </w:tc>
      </w:tr>
      <w:tr>
        <w:trPr>
          <w:cantSplit/>
        </w:trPr>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CR-08</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At most one successful payment per contribution. Retries create new rows; they never resurrect a settled one.</w:t>
            </w:r>
          </w:p>
        </w:tc>
        <w:tc>
          <w:tcPr>
            <w:tcW w:type="dxa" w:w="3384"/>
            <w:tcMar>
              <w:top w:w="60" w:type="dxa"/>
              <w:start w:w="110" w:type="dxa"/>
              <w:bottom w:w="60" w:type="dxa"/>
              <w:end w:w="110" w:type="dxa"/>
            </w:tcMar>
            <w:shd w:val="clear" w:color="auto" w:fill="F4F7FB"/>
          </w:tcPr>
          <w:p>
            <w:pPr>
              <w:spacing w:after="0"/>
            </w:pPr>
            <w:r/>
            <w:r>
              <w:rPr>
                <w:rFonts w:ascii="Consolas" w:hAnsi="Consolas"/>
                <w:color w:val="146EF5"/>
                <w:sz w:val="14"/>
              </w:rPr>
              <w:t>CREATE UNIQUE INDEX payments_one_success_per_contribution ON payments (contribution_id) WHERE status = 'success'</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Product</w:t>
            </w:r>
          </w:p>
        </w:tc>
      </w:tr>
      <w:tr>
        <w:trPr>
          <w:cantSplit/>
        </w:trPr>
        <w:tc>
          <w:tcPr>
            <w:tcW w:type="dxa" w:w="864"/>
            <w:tcMar>
              <w:top w:w="60" w:type="dxa"/>
              <w:start w:w="110" w:type="dxa"/>
              <w:bottom w:w="60" w:type="dxa"/>
              <w:end w:w="110" w:type="dxa"/>
            </w:tcMar>
          </w:tcPr>
          <w:p>
            <w:pPr>
              <w:spacing w:after="0"/>
            </w:pPr>
            <w:r/>
            <w:r>
              <w:rPr>
                <w:rFonts w:ascii="Calibri" w:hAnsi="Calibri"/>
                <w:b w:val="0"/>
                <w:i w:val="0"/>
                <w:color w:val="101828"/>
                <w:sz w:val="14"/>
              </w:rPr>
              <w:t>CR-09</w:t>
            </w:r>
          </w:p>
        </w:tc>
        <w:tc>
          <w:tcPr>
            <w:tcW w:type="dxa" w:w="3312"/>
            <w:tcMar>
              <w:top w:w="60" w:type="dxa"/>
              <w:start w:w="110" w:type="dxa"/>
              <w:bottom w:w="60" w:type="dxa"/>
              <w:end w:w="110" w:type="dxa"/>
            </w:tcMar>
          </w:tcPr>
          <w:p>
            <w:pPr>
              <w:spacing w:after="0"/>
            </w:pPr>
            <w:r/>
            <w:r>
              <w:rPr>
                <w:rFonts w:ascii="Calibri" w:hAnsi="Calibri"/>
                <w:b w:val="0"/>
                <w:i w:val="0"/>
                <w:color w:val="101828"/>
                <w:sz w:val="14"/>
              </w:rPr>
              <w:t>One provider reference per payment and one payment per webhook event.</w:t>
            </w:r>
          </w:p>
        </w:tc>
        <w:tc>
          <w:tcPr>
            <w:tcW w:type="dxa" w:w="3384"/>
            <w:tcMar>
              <w:top w:w="60" w:type="dxa"/>
              <w:start w:w="110" w:type="dxa"/>
              <w:bottom w:w="60" w:type="dxa"/>
              <w:end w:w="110" w:type="dxa"/>
            </w:tcMar>
          </w:tcPr>
          <w:p>
            <w:pPr>
              <w:spacing w:after="0"/>
            </w:pPr>
            <w:r/>
            <w:r>
              <w:rPr>
                <w:rFonts w:ascii="Consolas" w:hAnsi="Consolas"/>
                <w:color w:val="146EF5"/>
                <w:sz w:val="14"/>
              </w:rPr>
              <w:t>UNIQUE (provider, provider_reference)</w:t>
            </w:r>
            <w:r>
              <w:rPr>
                <w:rFonts w:ascii="Calibri" w:hAnsi="Calibri"/>
                <w:b w:val="0"/>
                <w:i w:val="0"/>
                <w:color w:val="101828"/>
                <w:sz w:val="14"/>
              </w:rPr>
              <w:t xml:space="preserve"> on </w:t>
            </w:r>
            <w:r>
              <w:rPr>
                <w:rFonts w:ascii="Consolas" w:hAnsi="Consolas"/>
                <w:color w:val="146EF5"/>
                <w:sz w:val="14"/>
              </w:rPr>
              <w:t>payments</w:t>
            </w:r>
            <w:r>
              <w:rPr>
                <w:rFonts w:ascii="Calibri" w:hAnsi="Calibri"/>
                <w:b w:val="0"/>
                <w:i w:val="0"/>
                <w:color w:val="101828"/>
                <w:sz w:val="14"/>
              </w:rPr>
              <w:t xml:space="preserve">; </w:t>
            </w:r>
            <w:r>
              <w:rPr>
                <w:rFonts w:ascii="Consolas" w:hAnsi="Consolas"/>
                <w:color w:val="146EF5"/>
                <w:sz w:val="14"/>
              </w:rPr>
              <w:t>UNIQUE (provider, provider_event_id)</w:t>
            </w:r>
            <w:r>
              <w:rPr>
                <w:rFonts w:ascii="Calibri" w:hAnsi="Calibri"/>
                <w:b w:val="0"/>
                <w:i w:val="0"/>
                <w:color w:val="101828"/>
                <w:sz w:val="14"/>
              </w:rPr>
              <w:t xml:space="preserve"> on </w:t>
            </w:r>
            <w:r>
              <w:rPr>
                <w:rFonts w:ascii="Consolas" w:hAnsi="Consolas"/>
                <w:color w:val="146EF5"/>
                <w:sz w:val="14"/>
              </w:rPr>
              <w:t>webhook_events</w:t>
            </w:r>
            <w:r>
              <w:rPr>
                <w:rFonts w:ascii="Calibri" w:hAnsi="Calibri"/>
                <w:b w:val="0"/>
                <w:i w:val="0"/>
                <w:color w:val="101828"/>
                <w:sz w:val="14"/>
              </w:rPr>
              <w:t xml:space="preserve">; </w:t>
            </w:r>
            <w:r>
              <w:rPr>
                <w:rFonts w:ascii="Consolas" w:hAnsi="Consolas"/>
                <w:color w:val="146EF5"/>
                <w:sz w:val="14"/>
              </w:rPr>
              <w:t>UNIQUE (webhook_event_id)</w:t>
            </w:r>
            <w:r>
              <w:rPr>
                <w:rFonts w:ascii="Calibri" w:hAnsi="Calibri"/>
                <w:b w:val="0"/>
                <w:i w:val="0"/>
                <w:color w:val="101828"/>
                <w:sz w:val="14"/>
              </w:rPr>
              <w:t xml:space="preserve"> on </w:t>
            </w:r>
            <w:r>
              <w:rPr>
                <w:rFonts w:ascii="Consolas" w:hAnsi="Consolas"/>
                <w:color w:val="146EF5"/>
                <w:sz w:val="14"/>
              </w:rPr>
              <w:t>payments</w:t>
            </w:r>
          </w:p>
        </w:tc>
        <w:tc>
          <w:tcPr>
            <w:tcW w:type="dxa" w:w="1800"/>
            <w:tcMar>
              <w:top w:w="60" w:type="dxa"/>
              <w:start w:w="110" w:type="dxa"/>
              <w:bottom w:w="60" w:type="dxa"/>
              <w:end w:w="110" w:type="dxa"/>
            </w:tcMar>
          </w:tcPr>
          <w:p>
            <w:pPr>
              <w:spacing w:after="0"/>
            </w:pPr>
            <w:r/>
            <w:r>
              <w:rPr>
                <w:rFonts w:ascii="Calibri" w:hAnsi="Calibri"/>
                <w:b w:val="0"/>
                <w:i w:val="0"/>
                <w:color w:val="101828"/>
                <w:sz w:val="14"/>
              </w:rPr>
              <w:t>CAN §6</w:t>
            </w:r>
          </w:p>
        </w:tc>
      </w:tr>
      <w:tr>
        <w:trPr>
          <w:cantSplit/>
        </w:trPr>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CR-10</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One round in progress per Ajo. Two rounds funding at once would let two members be paid from the same pool.</w:t>
            </w:r>
          </w:p>
        </w:tc>
        <w:tc>
          <w:tcPr>
            <w:tcW w:type="dxa" w:w="3384"/>
            <w:tcMar>
              <w:top w:w="60" w:type="dxa"/>
              <w:start w:w="110" w:type="dxa"/>
              <w:bottom w:w="60" w:type="dxa"/>
              <w:end w:w="110" w:type="dxa"/>
            </w:tcMar>
            <w:shd w:val="clear" w:color="auto" w:fill="F4F7FB"/>
          </w:tcPr>
          <w:p>
            <w:pPr>
              <w:spacing w:after="0"/>
            </w:pPr>
            <w:r/>
            <w:r>
              <w:rPr>
                <w:rFonts w:ascii="Consolas" w:hAnsi="Consolas"/>
                <w:color w:val="146EF5"/>
                <w:sz w:val="14"/>
              </w:rPr>
              <w:t>CREATE UNIQUE INDEX rounds_one_in_progress_per_ajo ON rounds (ajo_id) WHERE status = 'in_progress'</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CAN §3</w:t>
            </w:r>
          </w:p>
        </w:tc>
      </w:tr>
      <w:tr>
        <w:trPr>
          <w:cantSplit/>
        </w:trPr>
        <w:tc>
          <w:tcPr>
            <w:tcW w:type="dxa" w:w="864"/>
            <w:tcMar>
              <w:top w:w="60" w:type="dxa"/>
              <w:start w:w="110" w:type="dxa"/>
              <w:bottom w:w="60" w:type="dxa"/>
              <w:end w:w="110" w:type="dxa"/>
            </w:tcMar>
          </w:tcPr>
          <w:p>
            <w:pPr>
              <w:spacing w:after="0"/>
            </w:pPr>
            <w:r/>
            <w:r>
              <w:rPr>
                <w:rFonts w:ascii="Calibri" w:hAnsi="Calibri"/>
                <w:b w:val="0"/>
                <w:i w:val="0"/>
                <w:color w:val="101828"/>
                <w:sz w:val="14"/>
              </w:rPr>
              <w:t>CR-11</w:t>
            </w:r>
          </w:p>
        </w:tc>
        <w:tc>
          <w:tcPr>
            <w:tcW w:type="dxa" w:w="3312"/>
            <w:tcMar>
              <w:top w:w="60" w:type="dxa"/>
              <w:start w:w="110" w:type="dxa"/>
              <w:bottom w:w="60" w:type="dxa"/>
              <w:end w:w="110" w:type="dxa"/>
            </w:tcMar>
          </w:tcPr>
          <w:p>
            <w:pPr>
              <w:spacing w:after="0"/>
            </w:pPr>
            <w:r/>
            <w:r>
              <w:rPr>
                <w:rFonts w:ascii="Calibri" w:hAnsi="Calibri"/>
                <w:b w:val="0"/>
                <w:i w:val="0"/>
                <w:color w:val="101828"/>
                <w:sz w:val="14"/>
              </w:rPr>
              <w:t>One live invitation per (Ajo, email address).</w:t>
            </w:r>
          </w:p>
        </w:tc>
        <w:tc>
          <w:tcPr>
            <w:tcW w:type="dxa" w:w="3384"/>
            <w:tcMar>
              <w:top w:w="60" w:type="dxa"/>
              <w:start w:w="110" w:type="dxa"/>
              <w:bottom w:w="60" w:type="dxa"/>
              <w:end w:w="110" w:type="dxa"/>
            </w:tcMar>
          </w:tcPr>
          <w:p>
            <w:pPr>
              <w:spacing w:after="0"/>
            </w:pPr>
            <w:r/>
            <w:r>
              <w:rPr>
                <w:rFonts w:ascii="Consolas" w:hAnsi="Consolas"/>
                <w:color w:val="146EF5"/>
                <w:sz w:val="14"/>
              </w:rPr>
              <w:t>CREATE UNIQUE INDEX invitations_one_pending_per_ajo_email ON invitations (ajo_id, email) WHERE status = 'pending'</w:t>
            </w:r>
            <w:r>
              <w:rPr>
                <w:rFonts w:ascii="Calibri" w:hAnsi="Calibri"/>
                <w:b w:val="0"/>
                <w:i w:val="0"/>
                <w:color w:val="101828"/>
                <w:sz w:val="14"/>
              </w:rPr>
              <w:t xml:space="preserve">, using </w:t>
            </w:r>
            <w:r>
              <w:rPr>
                <w:rFonts w:ascii="Consolas" w:hAnsi="Consolas"/>
                <w:color w:val="146EF5"/>
                <w:sz w:val="14"/>
              </w:rPr>
              <w:t>citext</w:t>
            </w:r>
          </w:p>
        </w:tc>
        <w:tc>
          <w:tcPr>
            <w:tcW w:type="dxa" w:w="1800"/>
            <w:tcMar>
              <w:top w:w="60" w:type="dxa"/>
              <w:start w:w="110" w:type="dxa"/>
              <w:bottom w:w="60" w:type="dxa"/>
              <w:end w:w="110" w:type="dxa"/>
            </w:tcMar>
          </w:tcPr>
          <w:p>
            <w:pPr>
              <w:spacing w:after="0"/>
            </w:pPr>
            <w:r/>
            <w:r>
              <w:rPr>
                <w:rFonts w:ascii="Calibri" w:hAnsi="Calibri"/>
                <w:b w:val="0"/>
                <w:i w:val="0"/>
                <w:color w:val="101828"/>
                <w:sz w:val="14"/>
              </w:rPr>
              <w:t>Product</w:t>
            </w:r>
          </w:p>
        </w:tc>
      </w:tr>
      <w:tr>
        <w:trPr>
          <w:cantSplit/>
        </w:trPr>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CR-12</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One fee per settled payment, and the fee is exactly 2% half-up of the base amount.</w:t>
            </w:r>
          </w:p>
        </w:tc>
        <w:tc>
          <w:tcPr>
            <w:tcW w:type="dxa" w:w="3384"/>
            <w:tcMar>
              <w:top w:w="60" w:type="dxa"/>
              <w:start w:w="110" w:type="dxa"/>
              <w:bottom w:w="60" w:type="dxa"/>
              <w:end w:w="110" w:type="dxa"/>
            </w:tcMar>
            <w:shd w:val="clear" w:color="auto" w:fill="F4F7FB"/>
          </w:tcPr>
          <w:p>
            <w:pPr>
              <w:spacing w:after="0"/>
            </w:pPr>
            <w:r/>
            <w:r>
              <w:rPr>
                <w:rFonts w:ascii="Consolas" w:hAnsi="Consolas"/>
                <w:color w:val="146EF5"/>
                <w:sz w:val="14"/>
              </w:rPr>
              <w:t>UNIQUE (payment_id)</w:t>
            </w:r>
            <w:r>
              <w:rPr>
                <w:rFonts w:ascii="Calibri" w:hAnsi="Calibri"/>
                <w:b w:val="0"/>
                <w:i w:val="0"/>
                <w:color w:val="101828"/>
                <w:sz w:val="14"/>
              </w:rPr>
              <w:t xml:space="preserve"> on </w:t>
            </w:r>
            <w:r>
              <w:rPr>
                <w:rFonts w:ascii="Consolas" w:hAnsi="Consolas"/>
                <w:color w:val="146EF5"/>
                <w:sz w:val="14"/>
              </w:rPr>
              <w:t>fees</w:t>
            </w:r>
            <w:r>
              <w:rPr>
                <w:rFonts w:ascii="Calibri" w:hAnsi="Calibri"/>
                <w:b w:val="0"/>
                <w:i w:val="0"/>
                <w:color w:val="101828"/>
                <w:sz w:val="14"/>
              </w:rPr>
              <w:t xml:space="preserve">; </w:t>
            </w:r>
            <w:r>
              <w:rPr>
                <w:rFonts w:ascii="Consolas" w:hAnsi="Consolas"/>
                <w:color w:val="146EF5"/>
                <w:sz w:val="14"/>
              </w:rPr>
              <w:t>CHECK (fee_kobo = ((contribution_amount_kobo * 200) + 5000) / 10000)</w:t>
            </w:r>
            <w:r>
              <w:rPr>
                <w:rFonts w:ascii="Calibri" w:hAnsi="Calibri"/>
                <w:b w:val="0"/>
                <w:i w:val="0"/>
                <w:color w:val="101828"/>
                <w:sz w:val="14"/>
              </w:rPr>
              <w:t xml:space="preserve"> on </w:t>
            </w:r>
            <w:r>
              <w:rPr>
                <w:rFonts w:ascii="Consolas" w:hAnsi="Consolas"/>
                <w:color w:val="146EF5"/>
                <w:sz w:val="14"/>
              </w:rPr>
              <w:t>payments</w:t>
            </w:r>
            <w:r>
              <w:rPr>
                <w:rFonts w:ascii="Calibri" w:hAnsi="Calibri"/>
                <w:b w:val="0"/>
                <w:i w:val="0"/>
                <w:color w:val="101828"/>
                <w:sz w:val="14"/>
              </w:rPr>
              <w:t xml:space="preserve">; deferred trigger </w:t>
            </w:r>
            <w:r>
              <w:rPr>
                <w:rFonts w:ascii="Consolas" w:hAnsi="Consolas"/>
                <w:color w:val="146EF5"/>
                <w:sz w:val="14"/>
              </w:rPr>
              <w:t>app.assert_fee_matches_payment()</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CAN §1</w:t>
            </w:r>
          </w:p>
        </w:tc>
      </w:tr>
      <w:tr>
        <w:trPr>
          <w:cantSplit/>
        </w:trPr>
        <w:tc>
          <w:tcPr>
            <w:tcW w:type="dxa" w:w="864"/>
            <w:tcMar>
              <w:top w:w="60" w:type="dxa"/>
              <w:start w:w="110" w:type="dxa"/>
              <w:bottom w:w="60" w:type="dxa"/>
              <w:end w:w="110" w:type="dxa"/>
            </w:tcMar>
          </w:tcPr>
          <w:p>
            <w:pPr>
              <w:spacing w:after="0"/>
            </w:pPr>
            <w:r/>
            <w:r>
              <w:rPr>
                <w:rFonts w:ascii="Calibri" w:hAnsi="Calibri"/>
                <w:b w:val="0"/>
                <w:i w:val="0"/>
                <w:color w:val="101828"/>
                <w:sz w:val="14"/>
              </w:rPr>
              <w:t>CR-13</w:t>
            </w:r>
          </w:p>
        </w:tc>
        <w:tc>
          <w:tcPr>
            <w:tcW w:type="dxa" w:w="3312"/>
            <w:tcMar>
              <w:top w:w="60" w:type="dxa"/>
              <w:start w:w="110" w:type="dxa"/>
              <w:bottom w:w="60" w:type="dxa"/>
              <w:end w:w="110" w:type="dxa"/>
            </w:tcMar>
          </w:tcPr>
          <w:p>
            <w:pPr>
              <w:spacing w:after="0"/>
            </w:pPr>
            <w:r/>
            <w:r>
              <w:rPr>
                <w:rFonts w:ascii="Calibri" w:hAnsi="Calibri"/>
                <w:b w:val="0"/>
                <w:i w:val="0"/>
                <w:color w:val="101828"/>
                <w:sz w:val="14"/>
              </w:rPr>
              <w:t>The amount charged equals the base amount plus the fee, to the kobo. A member owing NGN 1,000.00 is charged NGN 1,020.00 and no other figure.</w:t>
            </w:r>
          </w:p>
        </w:tc>
        <w:tc>
          <w:tcPr>
            <w:tcW w:type="dxa" w:w="3384"/>
            <w:tcMar>
              <w:top w:w="60" w:type="dxa"/>
              <w:start w:w="110" w:type="dxa"/>
              <w:bottom w:w="60" w:type="dxa"/>
              <w:end w:w="110" w:type="dxa"/>
            </w:tcMar>
          </w:tcPr>
          <w:p>
            <w:pPr>
              <w:spacing w:after="0"/>
            </w:pPr>
            <w:r/>
            <w:r>
              <w:rPr>
                <w:rFonts w:ascii="Consolas" w:hAnsi="Consolas"/>
                <w:color w:val="146EF5"/>
                <w:sz w:val="14"/>
              </w:rPr>
              <w:t>CHECK (charged_amount_kobo = contribution_amount_kobo + fee_kobo)</w:t>
            </w:r>
            <w:r>
              <w:rPr>
                <w:rFonts w:ascii="Calibri" w:hAnsi="Calibri"/>
                <w:b w:val="0"/>
                <w:i w:val="0"/>
                <w:color w:val="101828"/>
                <w:sz w:val="14"/>
              </w:rPr>
              <w:t xml:space="preserve"> on </w:t>
            </w:r>
            <w:r>
              <w:rPr>
                <w:rFonts w:ascii="Consolas" w:hAnsi="Consolas"/>
                <w:color w:val="146EF5"/>
                <w:sz w:val="14"/>
              </w:rPr>
              <w:t>payments</w:t>
            </w:r>
            <w:r>
              <w:rPr>
                <w:rFonts w:ascii="Calibri" w:hAnsi="Calibri"/>
                <w:b w:val="0"/>
                <w:i w:val="0"/>
                <w:color w:val="101828"/>
                <w:sz w:val="14"/>
              </w:rPr>
              <w:t xml:space="preserve">, and the same on </w:t>
            </w:r>
            <w:r>
              <w:rPr>
                <w:rFonts w:ascii="Consolas" w:hAnsi="Consolas"/>
                <w:color w:val="146EF5"/>
                <w:sz w:val="14"/>
              </w:rPr>
              <w:t>contributions</w:t>
            </w:r>
          </w:p>
        </w:tc>
        <w:tc>
          <w:tcPr>
            <w:tcW w:type="dxa" w:w="1800"/>
            <w:tcMar>
              <w:top w:w="60" w:type="dxa"/>
              <w:start w:w="110" w:type="dxa"/>
              <w:bottom w:w="60" w:type="dxa"/>
              <w:end w:w="110" w:type="dxa"/>
            </w:tcMar>
          </w:tcPr>
          <w:p>
            <w:pPr>
              <w:spacing w:after="0"/>
            </w:pPr>
            <w:r/>
            <w:r>
              <w:rPr>
                <w:rFonts w:ascii="Calibri" w:hAnsi="Calibri"/>
                <w:b w:val="0"/>
                <w:i w:val="0"/>
                <w:color w:val="101828"/>
                <w:sz w:val="14"/>
              </w:rPr>
              <w:t>CAN §1</w:t>
            </w:r>
          </w:p>
        </w:tc>
      </w:tr>
      <w:tr>
        <w:trPr>
          <w:cantSplit/>
        </w:trPr>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CR-14</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A payout equals its base pool. The fee never reduces a payout: the recipient of a ten-member round receives NGN 10,000.00, not NGN 9,800.00 and not NGN 10,200.00.</w:t>
            </w:r>
          </w:p>
        </w:tc>
        <w:tc>
          <w:tcPr>
            <w:tcW w:type="dxa" w:w="3384"/>
            <w:tcMar>
              <w:top w:w="60" w:type="dxa"/>
              <w:start w:w="110" w:type="dxa"/>
              <w:bottom w:w="60" w:type="dxa"/>
              <w:end w:w="110" w:type="dxa"/>
            </w:tcMar>
            <w:shd w:val="clear" w:color="auto" w:fill="F4F7FB"/>
          </w:tcPr>
          <w:p>
            <w:pPr>
              <w:spacing w:after="0"/>
            </w:pPr>
            <w:r/>
            <w:r>
              <w:rPr>
                <w:rFonts w:ascii="Consolas" w:hAnsi="Consolas"/>
                <w:color w:val="146EF5"/>
                <w:sz w:val="14"/>
              </w:rPr>
              <w:t>CHECK (amount_kobo = base_pool_kobo)</w:t>
            </w:r>
            <w:r>
              <w:rPr>
                <w:rFonts w:ascii="Calibri" w:hAnsi="Calibri"/>
                <w:b w:val="0"/>
                <w:i w:val="0"/>
                <w:color w:val="101828"/>
                <w:sz w:val="14"/>
              </w:rPr>
              <w:t xml:space="preserve"> and </w:t>
            </w:r>
            <w:r>
              <w:rPr>
                <w:rFonts w:ascii="Consolas" w:hAnsi="Consolas"/>
                <w:color w:val="146EF5"/>
                <w:sz w:val="14"/>
              </w:rPr>
              <w:t>CHECK (fee_kobo = 0)</w:t>
            </w:r>
            <w:r>
              <w:rPr>
                <w:rFonts w:ascii="Calibri" w:hAnsi="Calibri"/>
                <w:b w:val="0"/>
                <w:i w:val="0"/>
                <w:color w:val="101828"/>
                <w:sz w:val="14"/>
              </w:rPr>
              <w:t xml:space="preserve"> on </w:t>
            </w:r>
            <w:r>
              <w:rPr>
                <w:rFonts w:ascii="Consolas" w:hAnsi="Consolas"/>
                <w:color w:val="146EF5"/>
                <w:sz w:val="14"/>
              </w:rPr>
              <w:t>payouts</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CAN §1</w:t>
            </w:r>
          </w:p>
        </w:tc>
      </w:tr>
      <w:tr>
        <w:trPr>
          <w:cantSplit/>
        </w:trPr>
        <w:tc>
          <w:tcPr>
            <w:tcW w:type="dxa" w:w="864"/>
            <w:tcMar>
              <w:top w:w="60" w:type="dxa"/>
              <w:start w:w="110" w:type="dxa"/>
              <w:bottom w:w="60" w:type="dxa"/>
              <w:end w:w="110" w:type="dxa"/>
            </w:tcMar>
          </w:tcPr>
          <w:p>
            <w:pPr>
              <w:spacing w:after="0"/>
            </w:pPr>
            <w:r/>
            <w:r>
              <w:rPr>
                <w:rFonts w:ascii="Calibri" w:hAnsi="Calibri"/>
                <w:b w:val="0"/>
                <w:i w:val="0"/>
                <w:color w:val="101828"/>
                <w:sz w:val="14"/>
              </w:rPr>
              <w:t>CR-15</w:t>
            </w:r>
          </w:p>
        </w:tc>
        <w:tc>
          <w:tcPr>
            <w:tcW w:type="dxa" w:w="3312"/>
            <w:tcMar>
              <w:top w:w="60" w:type="dxa"/>
              <w:start w:w="110" w:type="dxa"/>
              <w:bottom w:w="60" w:type="dxa"/>
              <w:end w:w="110" w:type="dxa"/>
            </w:tcMar>
          </w:tcPr>
          <w:p>
            <w:pPr>
              <w:spacing w:after="0"/>
            </w:pPr>
            <w:r/>
            <w:r>
              <w:rPr>
                <w:rFonts w:ascii="Calibri" w:hAnsi="Calibri"/>
                <w:b w:val="0"/>
                <w:i w:val="0"/>
                <w:color w:val="101828"/>
                <w:sz w:val="14"/>
              </w:rPr>
              <w:t>A round's base pool is exactly the sum of its paid, non-superseded contributions. No other number may be paid out.</w:t>
            </w:r>
          </w:p>
        </w:tc>
        <w:tc>
          <w:tcPr>
            <w:tcW w:type="dxa" w:w="3384"/>
            <w:tcMar>
              <w:top w:w="60" w:type="dxa"/>
              <w:start w:w="110" w:type="dxa"/>
              <w:bottom w:w="60" w:type="dxa"/>
              <w:end w:w="110" w:type="dxa"/>
            </w:tcMar>
          </w:tcPr>
          <w:p>
            <w:pPr>
              <w:spacing w:after="0"/>
            </w:pPr>
            <w:r/>
            <w:r>
              <w:rPr>
                <w:rFonts w:ascii="Calibri" w:hAnsi="Calibri"/>
                <w:b w:val="0"/>
                <w:i w:val="0"/>
                <w:color w:val="101828"/>
                <w:sz w:val="14"/>
              </w:rPr>
              <w:t xml:space="preserve">Deferred trigger </w:t>
            </w:r>
            <w:r>
              <w:rPr>
                <w:rFonts w:ascii="Consolas" w:hAnsi="Consolas"/>
                <w:color w:val="146EF5"/>
                <w:sz w:val="14"/>
              </w:rPr>
              <w:t>app.assert_round_pool()</w:t>
            </w:r>
            <w:r>
              <w:rPr>
                <w:rFonts w:ascii="Calibri" w:hAnsi="Calibri"/>
                <w:b w:val="0"/>
                <w:i w:val="0"/>
                <w:color w:val="101828"/>
                <w:sz w:val="14"/>
              </w:rPr>
              <w:t xml:space="preserve"> comparing </w:t>
            </w:r>
            <w:r>
              <w:rPr>
                <w:rFonts w:ascii="Consolas" w:hAnsi="Consolas"/>
                <w:color w:val="146EF5"/>
                <w:sz w:val="14"/>
              </w:rPr>
              <w:t>rounds.base_pool_kobo</w:t>
            </w:r>
            <w:r>
              <w:rPr>
                <w:rFonts w:ascii="Calibri" w:hAnsi="Calibri"/>
                <w:b w:val="0"/>
                <w:i w:val="0"/>
                <w:color w:val="101828"/>
                <w:sz w:val="14"/>
              </w:rPr>
              <w:t xml:space="preserve"> to the aggregate, run at commit</w:t>
            </w:r>
          </w:p>
        </w:tc>
        <w:tc>
          <w:tcPr>
            <w:tcW w:type="dxa" w:w="1800"/>
            <w:tcMar>
              <w:top w:w="60" w:type="dxa"/>
              <w:start w:w="110" w:type="dxa"/>
              <w:bottom w:w="60" w:type="dxa"/>
              <w:end w:w="110" w:type="dxa"/>
            </w:tcMar>
          </w:tcPr>
          <w:p>
            <w:pPr>
              <w:spacing w:after="0"/>
            </w:pPr>
            <w:r/>
            <w:r>
              <w:rPr>
                <w:rFonts w:ascii="Calibri" w:hAnsi="Calibri"/>
                <w:b w:val="0"/>
                <w:i w:val="0"/>
                <w:color w:val="101828"/>
                <w:sz w:val="14"/>
              </w:rPr>
              <w:t>CAN §4</w:t>
            </w:r>
          </w:p>
        </w:tc>
      </w:tr>
      <w:tr>
        <w:trPr>
          <w:cantSplit/>
        </w:trPr>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CR-16</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Every ledger transaction has at least two postings and the signed sum is exactly zero.</w:t>
            </w:r>
          </w:p>
        </w:tc>
        <w:tc>
          <w:tcPr>
            <w:tcW w:type="dxa" w:w="338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Deferred constraint trigger </w:t>
            </w:r>
            <w:r>
              <w:rPr>
                <w:rFonts w:ascii="Consolas" w:hAnsi="Consolas"/>
                <w:color w:val="146EF5"/>
                <w:sz w:val="14"/>
              </w:rPr>
              <w:t>app.assert_transaction_balanced()</w:t>
            </w:r>
            <w:r>
              <w:rPr>
                <w:rFonts w:ascii="Calibri" w:hAnsi="Calibri"/>
                <w:b w:val="0"/>
                <w:i w:val="0"/>
                <w:color w:val="101828"/>
                <w:sz w:val="14"/>
              </w:rPr>
              <w:t xml:space="preserve">; </w:t>
            </w:r>
            <w:r>
              <w:rPr>
                <w:rFonts w:ascii="Consolas" w:hAnsi="Consolas"/>
                <w:color w:val="146EF5"/>
                <w:sz w:val="14"/>
              </w:rPr>
              <w:t>ledger_postings.signed_kobo</w:t>
            </w:r>
            <w:r>
              <w:rPr>
                <w:rFonts w:ascii="Calibri" w:hAnsi="Calibri"/>
                <w:b w:val="0"/>
                <w:i w:val="0"/>
                <w:color w:val="101828"/>
                <w:sz w:val="14"/>
              </w:rPr>
              <w:t xml:space="preserve"> is a stored generated column</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CAN §4</w:t>
            </w:r>
          </w:p>
        </w:tc>
      </w:tr>
      <w:tr>
        <w:trPr>
          <w:cantSplit/>
        </w:trPr>
        <w:tc>
          <w:tcPr>
            <w:tcW w:type="dxa" w:w="864"/>
            <w:tcMar>
              <w:top w:w="60" w:type="dxa"/>
              <w:start w:w="110" w:type="dxa"/>
              <w:bottom w:w="60" w:type="dxa"/>
              <w:end w:w="110" w:type="dxa"/>
            </w:tcMar>
          </w:tcPr>
          <w:p>
            <w:pPr>
              <w:spacing w:after="0"/>
            </w:pPr>
            <w:r/>
            <w:r>
              <w:rPr>
                <w:rFonts w:ascii="Calibri" w:hAnsi="Calibri"/>
                <w:b w:val="0"/>
                <w:i w:val="0"/>
                <w:color w:val="101828"/>
                <w:sz w:val="14"/>
              </w:rPr>
              <w:t>CR-17</w:t>
            </w:r>
          </w:p>
        </w:tc>
        <w:tc>
          <w:tcPr>
            <w:tcW w:type="dxa" w:w="3312"/>
            <w:tcMar>
              <w:top w:w="60" w:type="dxa"/>
              <w:start w:w="110" w:type="dxa"/>
              <w:bottom w:w="60" w:type="dxa"/>
              <w:end w:w="110" w:type="dxa"/>
            </w:tcMar>
          </w:tcPr>
          <w:p>
            <w:pPr>
              <w:spacing w:after="0"/>
            </w:pPr>
            <w:r/>
            <w:r>
              <w:rPr>
                <w:rFonts w:ascii="Calibri" w:hAnsi="Calibri"/>
                <w:b w:val="0"/>
                <w:i w:val="0"/>
                <w:color w:val="101828"/>
                <w:sz w:val="14"/>
              </w:rPr>
              <w:t xml:space="preserve">The four canonical kinds occur in order. </w:t>
            </w:r>
            <w:r>
              <w:rPr>
                <w:rFonts w:ascii="Consolas" w:hAnsi="Consolas"/>
                <w:color w:val="146EF5"/>
                <w:sz w:val="14"/>
              </w:rPr>
              <w:t>payout.settled</w:t>
            </w:r>
            <w:r>
              <w:rPr>
                <w:rFonts w:ascii="Calibri" w:hAnsi="Calibri"/>
                <w:b w:val="0"/>
                <w:i w:val="0"/>
                <w:color w:val="101828"/>
                <w:sz w:val="14"/>
              </w:rPr>
              <w:t xml:space="preserve"> requires an earlier, complete </w:t>
            </w:r>
            <w:r>
              <w:rPr>
                <w:rFonts w:ascii="Consolas" w:hAnsi="Consolas"/>
                <w:color w:val="146EF5"/>
                <w:sz w:val="14"/>
              </w:rPr>
              <w:t>payout.recognized</w:t>
            </w:r>
            <w:r>
              <w:rPr>
                <w:rFonts w:ascii="Calibri" w:hAnsi="Calibri"/>
                <w:b w:val="0"/>
                <w:i w:val="0"/>
                <w:color w:val="101828"/>
                <w:sz w:val="14"/>
              </w:rPr>
              <w:t>.</w:t>
            </w:r>
          </w:p>
        </w:tc>
        <w:tc>
          <w:tcPr>
            <w:tcW w:type="dxa" w:w="3384"/>
            <w:tcMar>
              <w:top w:w="60" w:type="dxa"/>
              <w:start w:w="110" w:type="dxa"/>
              <w:bottom w:w="60" w:type="dxa"/>
              <w:end w:w="110" w:type="dxa"/>
            </w:tcMar>
          </w:tcPr>
          <w:p>
            <w:pPr>
              <w:spacing w:after="0"/>
            </w:pPr>
            <w:r/>
            <w:r>
              <w:rPr>
                <w:rFonts w:ascii="Calibri" w:hAnsi="Calibri"/>
                <w:b w:val="0"/>
                <w:i w:val="0"/>
                <w:color w:val="101828"/>
                <w:sz w:val="14"/>
              </w:rPr>
              <w:t xml:space="preserve">Deferred trigger </w:t>
            </w:r>
            <w:r>
              <w:rPr>
                <w:rFonts w:ascii="Consolas" w:hAnsi="Consolas"/>
                <w:color w:val="146EF5"/>
                <w:sz w:val="14"/>
              </w:rPr>
              <w:t>app.assert_ledger_sequence()</w:t>
            </w:r>
            <w:r>
              <w:rPr>
                <w:rFonts w:ascii="Calibri" w:hAnsi="Calibri"/>
                <w:b w:val="0"/>
                <w:i w:val="0"/>
                <w:color w:val="101828"/>
                <w:sz w:val="14"/>
              </w:rPr>
              <w:t xml:space="preserve"> over </w:t>
            </w:r>
            <w:r>
              <w:rPr>
                <w:rFonts w:ascii="Consolas" w:hAnsi="Consolas"/>
                <w:color w:val="146EF5"/>
                <w:sz w:val="14"/>
              </w:rPr>
              <w:t>ledger_txn_kind</w:t>
            </w:r>
            <w:r>
              <w:rPr>
                <w:rFonts w:ascii="Calibri" w:hAnsi="Calibri"/>
                <w:b w:val="0"/>
                <w:i w:val="0"/>
                <w:color w:val="101828"/>
                <w:sz w:val="14"/>
              </w:rPr>
              <w:t xml:space="preserve"> and </w:t>
            </w:r>
            <w:r>
              <w:rPr>
                <w:rFonts w:ascii="Consolas" w:hAnsi="Consolas"/>
                <w:color w:val="146EF5"/>
                <w:sz w:val="14"/>
              </w:rPr>
              <w:t>occurred_at</w:t>
            </w:r>
          </w:p>
        </w:tc>
        <w:tc>
          <w:tcPr>
            <w:tcW w:type="dxa" w:w="1800"/>
            <w:tcMar>
              <w:top w:w="60" w:type="dxa"/>
              <w:start w:w="110" w:type="dxa"/>
              <w:bottom w:w="60" w:type="dxa"/>
              <w:end w:w="110" w:type="dxa"/>
            </w:tcMar>
          </w:tcPr>
          <w:p>
            <w:pPr>
              <w:spacing w:after="0"/>
            </w:pPr>
            <w:r/>
            <w:r>
              <w:rPr>
                <w:rFonts w:ascii="Calibri" w:hAnsi="Calibri"/>
                <w:b w:val="0"/>
                <w:i w:val="0"/>
                <w:color w:val="101828"/>
                <w:sz w:val="14"/>
              </w:rPr>
              <w:t>CAN §4</w:t>
            </w:r>
          </w:p>
        </w:tc>
      </w:tr>
      <w:tr>
        <w:trPr>
          <w:cantSplit/>
        </w:trPr>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CR-18</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The enrollment window is exactly five days, and an Ajo has between five and twenty members, the creator included.</w:t>
            </w:r>
          </w:p>
        </w:tc>
        <w:tc>
          <w:tcPr>
            <w:tcW w:type="dxa" w:w="3384"/>
            <w:tcMar>
              <w:top w:w="60" w:type="dxa"/>
              <w:start w:w="110" w:type="dxa"/>
              <w:bottom w:w="60" w:type="dxa"/>
              <w:end w:w="110" w:type="dxa"/>
            </w:tcMar>
            <w:shd w:val="clear" w:color="auto" w:fill="F4F7FB"/>
          </w:tcPr>
          <w:p>
            <w:pPr>
              <w:spacing w:after="0"/>
            </w:pPr>
            <w:r/>
            <w:r>
              <w:rPr>
                <w:rFonts w:ascii="Consolas" w:hAnsi="Consolas"/>
                <w:color w:val="146EF5"/>
                <w:sz w:val="14"/>
              </w:rPr>
              <w:t>CHECK (enrollment_closes_at &lt;= enrollment_opens_at + interval '5 days')</w:t>
            </w:r>
            <w:r>
              <w:rPr>
                <w:rFonts w:ascii="Calibri" w:hAnsi="Calibri"/>
                <w:b w:val="0"/>
                <w:i w:val="0"/>
                <w:color w:val="101828"/>
                <w:sz w:val="14"/>
              </w:rPr>
              <w:t xml:space="preserve"> on </w:t>
            </w:r>
            <w:r>
              <w:rPr>
                <w:rFonts w:ascii="Consolas" w:hAnsi="Consolas"/>
                <w:color w:val="146EF5"/>
                <w:sz w:val="14"/>
              </w:rPr>
              <w:t>ajos</w:t>
            </w:r>
            <w:r>
              <w:rPr>
                <w:rFonts w:ascii="Calibri" w:hAnsi="Calibri"/>
                <w:b w:val="0"/>
                <w:i w:val="0"/>
                <w:color w:val="101828"/>
                <w:sz w:val="14"/>
              </w:rPr>
              <w:t xml:space="preserve">; </w:t>
            </w:r>
            <w:r>
              <w:rPr>
                <w:rFonts w:ascii="Consolas" w:hAnsi="Consolas"/>
                <w:color w:val="146EF5"/>
                <w:sz w:val="14"/>
              </w:rPr>
              <w:t>CHECK (position_count BETWEEN 5 AND 20)</w:t>
            </w:r>
            <w:r>
              <w:rPr>
                <w:rFonts w:ascii="Calibri" w:hAnsi="Calibri"/>
                <w:b w:val="0"/>
                <w:i w:val="0"/>
                <w:color w:val="101828"/>
                <w:sz w:val="14"/>
              </w:rPr>
              <w:t xml:space="preserve">; trigger </w:t>
            </w:r>
            <w:r>
              <w:rPr>
                <w:rFonts w:ascii="Consolas" w:hAnsi="Consolas"/>
                <w:color w:val="146EF5"/>
                <w:sz w:val="14"/>
              </w:rPr>
              <w:t>app.assert_draft_exit()</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CAN §3</w:t>
            </w:r>
          </w:p>
        </w:tc>
      </w:tr>
      <w:tr>
        <w:trPr>
          <w:cantSplit/>
        </w:trPr>
        <w:tc>
          <w:tcPr>
            <w:tcW w:type="dxa" w:w="864"/>
            <w:tcMar>
              <w:top w:w="60" w:type="dxa"/>
              <w:start w:w="110" w:type="dxa"/>
              <w:bottom w:w="60" w:type="dxa"/>
              <w:end w:w="110" w:type="dxa"/>
            </w:tcMar>
          </w:tcPr>
          <w:p>
            <w:pPr>
              <w:spacing w:after="0"/>
            </w:pPr>
            <w:r/>
            <w:r>
              <w:rPr>
                <w:rFonts w:ascii="Calibri" w:hAnsi="Calibri"/>
                <w:b w:val="0"/>
                <w:i w:val="0"/>
                <w:color w:val="101828"/>
                <w:sz w:val="14"/>
              </w:rPr>
              <w:t>CR-19</w:t>
            </w:r>
          </w:p>
        </w:tc>
        <w:tc>
          <w:tcPr>
            <w:tcW w:type="dxa" w:w="3312"/>
            <w:tcMar>
              <w:top w:w="60" w:type="dxa"/>
              <w:start w:w="110" w:type="dxa"/>
              <w:bottom w:w="60" w:type="dxa"/>
              <w:end w:w="110" w:type="dxa"/>
            </w:tcMar>
          </w:tcPr>
          <w:p>
            <w:pPr>
              <w:spacing w:after="0"/>
            </w:pPr>
            <w:r/>
            <w:r>
              <w:rPr>
                <w:rFonts w:ascii="Calibri" w:hAnsi="Calibri"/>
                <w:b w:val="0"/>
                <w:i w:val="0"/>
                <w:color w:val="101828"/>
                <w:sz w:val="14"/>
              </w:rPr>
              <w:t xml:space="preserve">A terminal Ajo accepts no events. </w:t>
            </w:r>
            <w:r>
              <w:rPr>
                <w:rFonts w:ascii="Consolas" w:hAnsi="Consolas"/>
                <w:color w:val="146EF5"/>
                <w:sz w:val="14"/>
              </w:rPr>
              <w:t>COMPLETED</w:t>
            </w:r>
            <w:r>
              <w:rPr>
                <w:rFonts w:ascii="Calibri" w:hAnsi="Calibri"/>
                <w:b w:val="0"/>
                <w:i w:val="0"/>
                <w:color w:val="101828"/>
                <w:sz w:val="14"/>
              </w:rPr>
              <w:t xml:space="preserve"> and </w:t>
            </w:r>
            <w:r>
              <w:rPr>
                <w:rFonts w:ascii="Consolas" w:hAnsi="Consolas"/>
                <w:color w:val="146EF5"/>
                <w:sz w:val="14"/>
              </w:rPr>
              <w:t>CANCELLED</w:t>
            </w:r>
            <w:r>
              <w:rPr>
                <w:rFonts w:ascii="Calibri" w:hAnsi="Calibri"/>
                <w:b w:val="0"/>
                <w:i w:val="0"/>
                <w:color w:val="101828"/>
                <w:sz w:val="14"/>
              </w:rPr>
              <w:t xml:space="preserve"> are final.</w:t>
            </w:r>
          </w:p>
        </w:tc>
        <w:tc>
          <w:tcPr>
            <w:tcW w:type="dxa" w:w="3384"/>
            <w:tcMar>
              <w:top w:w="60" w:type="dxa"/>
              <w:start w:w="110" w:type="dxa"/>
              <w:bottom w:w="60" w:type="dxa"/>
              <w:end w:w="110" w:type="dxa"/>
            </w:tcMar>
          </w:tcPr>
          <w:p>
            <w:pPr>
              <w:spacing w:after="0"/>
            </w:pPr>
            <w:r/>
            <w:r>
              <w:rPr>
                <w:rFonts w:ascii="Consolas" w:hAnsi="Consolas"/>
                <w:color w:val="146EF5"/>
                <w:sz w:val="14"/>
              </w:rPr>
              <w:t>app.assert_lifecycle_transition()</w:t>
            </w:r>
            <w:r>
              <w:rPr>
                <w:rFonts w:ascii="Calibri" w:hAnsi="Calibri"/>
                <w:b w:val="0"/>
                <w:i w:val="0"/>
                <w:color w:val="101828"/>
                <w:sz w:val="14"/>
              </w:rPr>
              <w:t xml:space="preserve"> trigger over the transition table in CANONICAL.md section 3, and </w:t>
            </w:r>
            <w:r>
              <w:rPr>
                <w:rFonts w:ascii="Consolas" w:hAnsi="Consolas"/>
                <w:color w:val="146EF5"/>
                <w:sz w:val="14"/>
              </w:rPr>
              <w:t>CHECK</w:t>
            </w:r>
            <w:r>
              <w:rPr>
                <w:rFonts w:ascii="Calibri" w:hAnsi="Calibri"/>
                <w:b w:val="0"/>
                <w:i w:val="0"/>
                <w:color w:val="101828"/>
                <w:sz w:val="14"/>
              </w:rPr>
              <w:t xml:space="preserve"> constraints coupling </w:t>
            </w:r>
            <w:r>
              <w:rPr>
                <w:rFonts w:ascii="Consolas" w:hAnsi="Consolas"/>
                <w:color w:val="146EF5"/>
                <w:sz w:val="14"/>
              </w:rPr>
              <w:t>completed_at</w:t>
            </w:r>
            <w:r>
              <w:rPr>
                <w:rFonts w:ascii="Calibri" w:hAnsi="Calibri"/>
                <w:b w:val="0"/>
                <w:i w:val="0"/>
                <w:color w:val="101828"/>
                <w:sz w:val="14"/>
              </w:rPr>
              <w:t>/</w:t>
            </w:r>
            <w:r>
              <w:rPr>
                <w:rFonts w:ascii="Consolas" w:hAnsi="Consolas"/>
                <w:color w:val="146EF5"/>
                <w:sz w:val="14"/>
              </w:rPr>
              <w:t>cancelled_at</w:t>
            </w:r>
            <w:r>
              <w:rPr>
                <w:rFonts w:ascii="Calibri" w:hAnsi="Calibri"/>
                <w:b w:val="0"/>
                <w:i w:val="0"/>
                <w:color w:val="101828"/>
                <w:sz w:val="14"/>
              </w:rPr>
              <w:t xml:space="preserve"> to </w:t>
            </w:r>
            <w:r>
              <w:rPr>
                <w:rFonts w:ascii="Consolas" w:hAnsi="Consolas"/>
                <w:color w:val="146EF5"/>
                <w:sz w:val="14"/>
              </w:rPr>
              <w:t>status</w:t>
            </w:r>
          </w:p>
        </w:tc>
        <w:tc>
          <w:tcPr>
            <w:tcW w:type="dxa" w:w="1800"/>
            <w:tcMar>
              <w:top w:w="60" w:type="dxa"/>
              <w:start w:w="110" w:type="dxa"/>
              <w:bottom w:w="60" w:type="dxa"/>
              <w:end w:w="110" w:type="dxa"/>
            </w:tcMar>
          </w:tcPr>
          <w:p>
            <w:pPr>
              <w:spacing w:after="0"/>
            </w:pPr>
            <w:r/>
            <w:r>
              <w:rPr>
                <w:rFonts w:ascii="Calibri" w:hAnsi="Calibri"/>
                <w:b w:val="0"/>
                <w:i w:val="0"/>
                <w:color w:val="101828"/>
                <w:sz w:val="14"/>
              </w:rPr>
              <w:t>CAN §3</w:t>
            </w:r>
          </w:p>
        </w:tc>
      </w:tr>
      <w:tr>
        <w:trPr>
          <w:cantSplit/>
        </w:trPr>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CR-20</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A user cannot dispute themselves, and an Ajo-scoped role grant cannot also be a platform grant.</w:t>
            </w:r>
          </w:p>
        </w:tc>
        <w:tc>
          <w:tcPr>
            <w:tcW w:type="dxa" w:w="3384"/>
            <w:tcMar>
              <w:top w:w="60" w:type="dxa"/>
              <w:start w:w="110" w:type="dxa"/>
              <w:bottom w:w="60" w:type="dxa"/>
              <w:end w:w="110" w:type="dxa"/>
            </w:tcMar>
            <w:shd w:val="clear" w:color="auto" w:fill="F4F7FB"/>
          </w:tcPr>
          <w:p>
            <w:pPr>
              <w:spacing w:after="0"/>
            </w:pPr>
            <w:r/>
            <w:r>
              <w:rPr>
                <w:rFonts w:ascii="Consolas" w:hAnsi="Consolas"/>
                <w:color w:val="146EF5"/>
                <w:sz w:val="14"/>
              </w:rPr>
              <w:t>CHECK (raised_by_user_id &lt;&gt; against_user_id)</w:t>
            </w:r>
            <w:r>
              <w:rPr>
                <w:rFonts w:ascii="Calibri" w:hAnsi="Calibri"/>
                <w:b w:val="0"/>
                <w:i w:val="0"/>
                <w:color w:val="101828"/>
                <w:sz w:val="14"/>
              </w:rPr>
              <w:t xml:space="preserve">; </w:t>
            </w:r>
            <w:r>
              <w:rPr>
                <w:rFonts w:ascii="Consolas" w:hAnsi="Consolas"/>
                <w:color w:val="146EF5"/>
                <w:sz w:val="14"/>
              </w:rPr>
              <w:t>CHECK ((scope='platform') = (ajo_id IS NULL AND ajo_member_id IS NULL))</w:t>
            </w:r>
            <w:r>
              <w:rPr>
                <w:rFonts w:ascii="Calibri" w:hAnsi="Calibri"/>
                <w:b w:val="0"/>
                <w:i w:val="0"/>
                <w:color w:val="101828"/>
                <w:sz w:val="14"/>
              </w:rPr>
              <w:t xml:space="preserve"> on </w:t>
            </w:r>
            <w:r>
              <w:rPr>
                <w:rFonts w:ascii="Consolas" w:hAnsi="Consolas"/>
                <w:color w:val="146EF5"/>
                <w:sz w:val="14"/>
              </w:rPr>
              <w:t>role_assignments</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Product</w:t>
            </w:r>
          </w:p>
        </w:tc>
      </w:tr>
      <w:tr>
        <w:trPr>
          <w:cantSplit/>
        </w:trPr>
        <w:tc>
          <w:tcPr>
            <w:tcW w:type="dxa" w:w="864"/>
            <w:tcMar>
              <w:top w:w="60" w:type="dxa"/>
              <w:start w:w="110" w:type="dxa"/>
              <w:bottom w:w="60" w:type="dxa"/>
              <w:end w:w="110" w:type="dxa"/>
            </w:tcMar>
          </w:tcPr>
          <w:p>
            <w:pPr>
              <w:spacing w:after="0"/>
            </w:pPr>
            <w:r/>
            <w:r>
              <w:rPr>
                <w:rFonts w:ascii="Calibri" w:hAnsi="Calibri"/>
                <w:b w:val="0"/>
                <w:i w:val="0"/>
                <w:color w:val="101828"/>
                <w:sz w:val="14"/>
              </w:rPr>
              <w:t>CR-21</w:t>
            </w:r>
          </w:p>
        </w:tc>
        <w:tc>
          <w:tcPr>
            <w:tcW w:type="dxa" w:w="3312"/>
            <w:tcMar>
              <w:top w:w="60" w:type="dxa"/>
              <w:start w:w="110" w:type="dxa"/>
              <w:bottom w:w="60" w:type="dxa"/>
              <w:end w:w="110" w:type="dxa"/>
            </w:tcMar>
          </w:tcPr>
          <w:p>
            <w:pPr>
              <w:spacing w:after="0"/>
            </w:pPr>
            <w:r/>
            <w:r>
              <w:rPr>
                <w:rFonts w:ascii="Calibri" w:hAnsi="Calibri"/>
                <w:b w:val="0"/>
                <w:i w:val="0"/>
                <w:color w:val="101828"/>
                <w:sz w:val="14"/>
              </w:rPr>
              <w:t>Only one reversal per original transaction, and reversals are one level deep. A reversal is never itself reversed.</w:t>
            </w:r>
          </w:p>
        </w:tc>
        <w:tc>
          <w:tcPr>
            <w:tcW w:type="dxa" w:w="3384"/>
            <w:tcMar>
              <w:top w:w="60" w:type="dxa"/>
              <w:start w:w="110" w:type="dxa"/>
              <w:bottom w:w="60" w:type="dxa"/>
              <w:end w:w="110" w:type="dxa"/>
            </w:tcMar>
          </w:tcPr>
          <w:p>
            <w:pPr>
              <w:spacing w:after="0"/>
            </w:pPr>
            <w:r/>
            <w:r>
              <w:rPr>
                <w:rFonts w:ascii="Calibri" w:hAnsi="Calibri"/>
                <w:b w:val="0"/>
                <w:i w:val="0"/>
                <w:color w:val="101828"/>
                <w:sz w:val="14"/>
              </w:rPr>
              <w:t xml:space="preserve">Partial </w:t>
            </w:r>
            <w:r>
              <w:rPr>
                <w:rFonts w:ascii="Consolas" w:hAnsi="Consolas"/>
                <w:color w:val="146EF5"/>
                <w:sz w:val="14"/>
              </w:rPr>
              <w:t>UNIQUE (reverses_transaction_id)</w:t>
            </w:r>
            <w:r>
              <w:rPr>
                <w:rFonts w:ascii="Calibri" w:hAnsi="Calibri"/>
                <w:b w:val="0"/>
                <w:i w:val="0"/>
                <w:color w:val="101828"/>
                <w:sz w:val="14"/>
              </w:rPr>
              <w:t xml:space="preserve">; </w:t>
            </w:r>
            <w:r>
              <w:rPr>
                <w:rFonts w:ascii="Consolas" w:hAnsi="Consolas"/>
                <w:color w:val="146EF5"/>
                <w:sz w:val="14"/>
              </w:rPr>
              <w:t>CHECK ((kind='reversal') = (reverses_transaction_id IS NOT NULL))</w:t>
            </w:r>
            <w:r>
              <w:rPr>
                <w:rFonts w:ascii="Calibri" w:hAnsi="Calibri"/>
                <w:b w:val="0"/>
                <w:i w:val="0"/>
                <w:color w:val="101828"/>
                <w:sz w:val="14"/>
              </w:rPr>
              <w:t>; deferred trigger rejecting a reversal whose target is a reversal</w:t>
            </w:r>
          </w:p>
        </w:tc>
        <w:tc>
          <w:tcPr>
            <w:tcW w:type="dxa" w:w="1800"/>
            <w:tcMar>
              <w:top w:w="60" w:type="dxa"/>
              <w:start w:w="110" w:type="dxa"/>
              <w:bottom w:w="60" w:type="dxa"/>
              <w:end w:w="110" w:type="dxa"/>
            </w:tcMar>
          </w:tcPr>
          <w:p>
            <w:pPr>
              <w:spacing w:after="0"/>
            </w:pPr>
            <w:r/>
            <w:r>
              <w:rPr>
                <w:rFonts w:ascii="Calibri" w:hAnsi="Calibri"/>
                <w:b w:val="0"/>
                <w:i w:val="0"/>
                <w:color w:val="101828"/>
                <w:sz w:val="14"/>
              </w:rPr>
              <w:t>Product</w:t>
            </w:r>
          </w:p>
        </w:tc>
      </w:tr>
      <w:tr>
        <w:trPr>
          <w:cantSplit/>
        </w:trPr>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CR-22</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No amount is negative anywhere. Kobo are unsigned by construction and every money column carries a non-negative check.</w:t>
            </w:r>
          </w:p>
        </w:tc>
        <w:tc>
          <w:tcPr>
            <w:tcW w:type="dxa" w:w="3384"/>
            <w:tcMar>
              <w:top w:w="60" w:type="dxa"/>
              <w:start w:w="110" w:type="dxa"/>
              <w:bottom w:w="60" w:type="dxa"/>
              <w:end w:w="110" w:type="dxa"/>
            </w:tcMar>
            <w:shd w:val="clear" w:color="auto" w:fill="F4F7FB"/>
          </w:tcPr>
          <w:p>
            <w:pPr>
              <w:spacing w:after="0"/>
            </w:pPr>
            <w:r/>
            <w:r>
              <w:rPr>
                <w:rFonts w:ascii="Consolas" w:hAnsi="Consolas"/>
                <w:color w:val="146EF5"/>
                <w:sz w:val="14"/>
              </w:rPr>
              <w:t>CHECK (col &gt;= 0)</w:t>
            </w:r>
            <w:r>
              <w:rPr>
                <w:rFonts w:ascii="Calibri" w:hAnsi="Calibri"/>
                <w:b w:val="0"/>
                <w:i w:val="0"/>
                <w:color w:val="101828"/>
                <w:sz w:val="14"/>
              </w:rPr>
              <w:t xml:space="preserve"> on all 43 money columns; ledger postings use </w:t>
            </w:r>
            <w:r>
              <w:rPr>
                <w:rFonts w:ascii="Consolas" w:hAnsi="Consolas"/>
                <w:color w:val="146EF5"/>
                <w:sz w:val="14"/>
              </w:rPr>
              <w:t>&gt; 0</w:t>
            </w:r>
            <w:r>
              <w:rPr>
                <w:rFonts w:ascii="Calibri" w:hAnsi="Calibri"/>
                <w:b w:val="0"/>
                <w:i w:val="0"/>
                <w:color w:val="101828"/>
                <w:sz w:val="14"/>
              </w:rPr>
              <w:t xml:space="preserve"> because a zero-leg posting is meaningless</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Product</w:t>
            </w:r>
          </w:p>
        </w:tc>
      </w:tr>
      <w:tr>
        <w:trPr>
          <w:cantSplit/>
        </w:trPr>
        <w:tc>
          <w:tcPr>
            <w:tcW w:type="dxa" w:w="864"/>
            <w:tcMar>
              <w:top w:w="60" w:type="dxa"/>
              <w:start w:w="110" w:type="dxa"/>
              <w:bottom w:w="60" w:type="dxa"/>
              <w:end w:w="110" w:type="dxa"/>
            </w:tcMar>
          </w:tcPr>
          <w:p>
            <w:pPr>
              <w:spacing w:after="0"/>
            </w:pPr>
            <w:r/>
            <w:r>
              <w:rPr>
                <w:rFonts w:ascii="Calibri" w:hAnsi="Calibri"/>
                <w:b w:val="0"/>
                <w:i w:val="0"/>
                <w:color w:val="101828"/>
                <w:sz w:val="14"/>
              </w:rPr>
              <w:t>CR-23</w:t>
            </w:r>
          </w:p>
        </w:tc>
        <w:tc>
          <w:tcPr>
            <w:tcW w:type="dxa" w:w="3312"/>
            <w:tcMar>
              <w:top w:w="60" w:type="dxa"/>
              <w:start w:w="110" w:type="dxa"/>
              <w:bottom w:w="60" w:type="dxa"/>
              <w:end w:w="110" w:type="dxa"/>
            </w:tcMar>
          </w:tcPr>
          <w:p>
            <w:pPr>
              <w:spacing w:after="0"/>
            </w:pPr>
            <w:r/>
            <w:r>
              <w:rPr>
                <w:rFonts w:ascii="Calibri" w:hAnsi="Calibri"/>
                <w:b w:val="0"/>
                <w:i w:val="0"/>
                <w:color w:val="101828"/>
                <w:sz w:val="14"/>
              </w:rPr>
              <w:t>A money-critical or security-critical event must have an SMS template, per CANONICAL.md section 8.</w:t>
            </w:r>
          </w:p>
        </w:tc>
        <w:tc>
          <w:tcPr>
            <w:tcW w:type="dxa" w:w="3384"/>
            <w:tcMar>
              <w:top w:w="60" w:type="dxa"/>
              <w:start w:w="110" w:type="dxa"/>
              <w:bottom w:w="60" w:type="dxa"/>
              <w:end w:w="110" w:type="dxa"/>
            </w:tcMar>
          </w:tcPr>
          <w:p>
            <w:pPr>
              <w:spacing w:after="0"/>
            </w:pPr>
            <w:r/>
            <w:r>
              <w:rPr>
                <w:rFonts w:ascii="Calibri" w:hAnsi="Calibri"/>
                <w:b w:val="0"/>
                <w:i w:val="0"/>
                <w:color w:val="101828"/>
                <w:sz w:val="14"/>
              </w:rPr>
              <w:t xml:space="preserve">Deferred trigger </w:t>
            </w:r>
            <w:r>
              <w:rPr>
                <w:rFonts w:ascii="Consolas" w:hAnsi="Consolas"/>
                <w:color w:val="146EF5"/>
                <w:sz w:val="14"/>
              </w:rPr>
              <w:t>app.assert_money_critical_has_sms()</w:t>
            </w:r>
            <w:r>
              <w:rPr>
                <w:rFonts w:ascii="Calibri" w:hAnsi="Calibri"/>
                <w:b w:val="0"/>
                <w:i w:val="0"/>
                <w:color w:val="101828"/>
                <w:sz w:val="14"/>
              </w:rPr>
              <w:t xml:space="preserve"> over </w:t>
            </w:r>
            <w:r>
              <w:rPr>
                <w:rFonts w:ascii="Consolas" w:hAnsi="Consolas"/>
                <w:color w:val="146EF5"/>
                <w:sz w:val="14"/>
              </w:rPr>
              <w:t>notification_templates</w:t>
            </w:r>
          </w:p>
        </w:tc>
        <w:tc>
          <w:tcPr>
            <w:tcW w:type="dxa" w:w="1800"/>
            <w:tcMar>
              <w:top w:w="60" w:type="dxa"/>
              <w:start w:w="110" w:type="dxa"/>
              <w:bottom w:w="60" w:type="dxa"/>
              <w:end w:w="110" w:type="dxa"/>
            </w:tcMar>
          </w:tcPr>
          <w:p>
            <w:pPr>
              <w:spacing w:after="0"/>
            </w:pPr>
            <w:r/>
            <w:r>
              <w:rPr>
                <w:rFonts w:ascii="Calibri" w:hAnsi="Calibri"/>
                <w:b w:val="0"/>
                <w:i w:val="0"/>
                <w:color w:val="101828"/>
                <w:sz w:val="14"/>
              </w:rPr>
              <w:t>CAN §8</w:t>
            </w:r>
          </w:p>
        </w:tc>
      </w:tr>
      <w:tr>
        <w:trPr>
          <w:cantSplit/>
        </w:trPr>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4"/>
              </w:rPr>
              <w:t>CR-24</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4"/>
              </w:rPr>
              <w:t>A user may hold at most one push token per device, and a revoked token is never reused.</w:t>
            </w:r>
          </w:p>
        </w:tc>
        <w:tc>
          <w:tcPr>
            <w:tcW w:type="dxa" w:w="3384"/>
            <w:tcMar>
              <w:top w:w="60" w:type="dxa"/>
              <w:start w:w="110" w:type="dxa"/>
              <w:bottom w:w="60" w:type="dxa"/>
              <w:end w:w="110" w:type="dxa"/>
            </w:tcMar>
            <w:shd w:val="clear" w:color="auto" w:fill="F4F7FB"/>
          </w:tcPr>
          <w:p>
            <w:pPr>
              <w:spacing w:after="0"/>
            </w:pPr>
            <w:r/>
            <w:r>
              <w:rPr>
                <w:rFonts w:ascii="Consolas" w:hAnsi="Consolas"/>
                <w:color w:val="146EF5"/>
                <w:sz w:val="14"/>
              </w:rPr>
              <w:t>UNIQUE (push_token)</w:t>
            </w:r>
            <w:r>
              <w:rPr>
                <w:rFonts w:ascii="Calibri" w:hAnsi="Calibri"/>
                <w:b w:val="0"/>
                <w:i w:val="0"/>
                <w:color w:val="101828"/>
                <w:sz w:val="14"/>
              </w:rPr>
              <w:t xml:space="preserve"> on </w:t>
            </w:r>
            <w:r>
              <w:rPr>
                <w:rFonts w:ascii="Consolas" w:hAnsi="Consolas"/>
                <w:color w:val="146EF5"/>
                <w:sz w:val="14"/>
              </w:rPr>
              <w:t>device_tokens</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Product</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Why CR-14 is a constraint and not a comment  </w:t>
      </w:r>
      <w:r>
        <w:rPr>
          <w:rFonts w:ascii="Calibri" w:hAnsi="Calibri"/>
          <w:b w:val="0"/>
          <w:i w:val="0"/>
          <w:color w:val="0B1F3A"/>
          <w:sz w:val="19"/>
        </w:rPr>
        <w:t xml:space="preserve">CANONICAL.md open decision D-01 records the question of whether the recipient receives the base pool or the full collected pool, with the base pool assumed in this specification. Assuming a number is not the same as protecting it, and a single </w:t>
      </w:r>
      <w:r>
        <w:rPr>
          <w:rFonts w:ascii="Consolas" w:hAnsi="Consolas"/>
          <w:color w:val="146EF5"/>
          <w:sz w:val="19"/>
        </w:rPr>
        <w:t>payouts.amount_kobo = base_pool_kobo * 1.02</w:t>
      </w:r>
      <w:r>
        <w:rPr>
          <w:rFonts w:ascii="Calibri" w:hAnsi="Calibri"/>
          <w:b w:val="0"/>
          <w:i w:val="0"/>
          <w:color w:val="0B1F3A"/>
          <w:sz w:val="19"/>
        </w:rPr>
        <w:t xml:space="preserve"> in a payout service would put NGN 10,200.00 into a member's bank account and, in the base case, roughly NGN 3,000,000 of platform money into members' accounts across the year. That is not a bug that would be caught before a customer noticed. CR-14 makes the wrong figure a constraint violation, and CR-15 makes the base pool itself a computed fact rather than a typed-in number. D-01 is closed for the purposes of this specification; the founders confirm or amend it, and the amendment is a migration.</w:t>
      </w:r>
    </w:p>
    <w:p>
      <w:r>
        <w:br w:type="page"/>
      </w:r>
    </w:p>
    <w:p>
      <w:pPr>
        <w:pStyle w:val="Heading2"/>
      </w:pPr>
      <w:r>
        <w:rPr>
          <w:rFonts w:ascii="Calibri" w:hAnsi="Calibri"/>
          <w:b/>
          <w:i w:val="0"/>
          <w:color w:val="146EF5"/>
          <w:sz w:val="29"/>
        </w:rPr>
        <w:t>8.9 Deletion and retention strategy per entity class</w:t>
      </w:r>
    </w:p>
    <w:p>
      <w:r>
        <w:rPr>
          <w:rFonts w:ascii="Calibri" w:hAnsi="Calibri"/>
          <w:b w:val="0"/>
          <w:i w:val="0"/>
          <w:color w:val="101828"/>
          <w:sz w:val="21"/>
        </w:rPr>
        <w:t xml:space="preserve">Six entity classes, each with one deletion rule and one retention rule. The class is what matters, because retention is a policy about a kind of data rather than about a table, and a table that spans two classes (a contribution is a debt record </w:t>
      </w:r>
      <w:r>
        <w:rPr>
          <w:rFonts w:ascii="Calibri" w:hAnsi="Calibri"/>
          <w:i/>
          <w:color w:val="101828"/>
          <w:sz w:val="21"/>
        </w:rPr>
        <w:t>and</w:t>
      </w:r>
      <w:r>
        <w:rPr>
          <w:rFonts w:ascii="Calibri" w:hAnsi="Calibri"/>
          <w:b w:val="0"/>
          <w:i w:val="0"/>
          <w:color w:val="101828"/>
          <w:sz w:val="21"/>
        </w:rPr>
        <w:t xml:space="preserve"> a personal record) takes the stricter of the two.</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368"/>
            <w:shd w:val="clear" w:color="auto" w:fill="0B1F3A"/>
            <w:tcMar>
              <w:top w:w="60" w:type="dxa"/>
              <w:start w:w="110" w:type="dxa"/>
              <w:bottom w:w="60" w:type="dxa"/>
              <w:end w:w="110" w:type="dxa"/>
            </w:tcMar>
          </w:tcPr>
          <w:p>
            <w:pPr>
              <w:spacing w:after="0"/>
            </w:pPr>
            <w:r/>
            <w:r>
              <w:rPr>
                <w:rFonts w:ascii="Calibri" w:hAnsi="Calibri"/>
                <w:b/>
                <w:i w:val="0"/>
                <w:color w:val="FFFFFF"/>
                <w:sz w:val="14"/>
              </w:rPr>
              <w:t>Class</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4"/>
              </w:rPr>
              <w:t>Tables</w:t>
            </w:r>
          </w:p>
        </w:tc>
        <w:tc>
          <w:tcPr>
            <w:tcW w:type="dxa" w:w="1800"/>
            <w:shd w:val="clear" w:color="auto" w:fill="0B1F3A"/>
            <w:tcMar>
              <w:top w:w="60" w:type="dxa"/>
              <w:start w:w="110" w:type="dxa"/>
              <w:bottom w:w="60" w:type="dxa"/>
              <w:end w:w="110" w:type="dxa"/>
            </w:tcMar>
          </w:tcPr>
          <w:p>
            <w:pPr>
              <w:spacing w:after="0"/>
            </w:pPr>
            <w:r/>
            <w:r>
              <w:rPr>
                <w:rFonts w:ascii="Calibri" w:hAnsi="Calibri"/>
                <w:b/>
                <w:i w:val="0"/>
                <w:color w:val="FFFFFF"/>
                <w:sz w:val="14"/>
              </w:rPr>
              <w:t>Deletion</w:t>
            </w:r>
          </w:p>
        </w:tc>
        <w:tc>
          <w:tcPr>
            <w:tcW w:type="dxa" w:w="1800"/>
            <w:shd w:val="clear" w:color="auto" w:fill="0B1F3A"/>
            <w:tcMar>
              <w:top w:w="60" w:type="dxa"/>
              <w:start w:w="110" w:type="dxa"/>
              <w:bottom w:w="60" w:type="dxa"/>
              <w:end w:w="110" w:type="dxa"/>
            </w:tcMar>
          </w:tcPr>
          <w:p>
            <w:pPr>
              <w:spacing w:after="0"/>
            </w:pPr>
            <w:r/>
            <w:r>
              <w:rPr>
                <w:rFonts w:ascii="Calibri" w:hAnsi="Calibri"/>
                <w:b/>
                <w:i w:val="0"/>
                <w:color w:val="FFFFFF"/>
                <w:sz w:val="14"/>
              </w:rPr>
              <w:t>Retention</w:t>
            </w:r>
          </w:p>
        </w:tc>
        <w:tc>
          <w:tcPr>
            <w:tcW w:type="dxa" w:w="2232"/>
            <w:shd w:val="clear" w:color="auto" w:fill="0B1F3A"/>
            <w:tcMar>
              <w:top w:w="60" w:type="dxa"/>
              <w:start w:w="110" w:type="dxa"/>
              <w:bottom w:w="60" w:type="dxa"/>
              <w:end w:w="110" w:type="dxa"/>
            </w:tcMar>
          </w:tcPr>
          <w:p>
            <w:pPr>
              <w:spacing w:after="0"/>
            </w:pPr>
            <w:r/>
            <w:r>
              <w:rPr>
                <w:rFonts w:ascii="Calibri" w:hAnsi="Calibri"/>
                <w:b/>
                <w:i w:val="0"/>
                <w:color w:val="FFFFFF"/>
                <w:sz w:val="14"/>
              </w:rPr>
              <w:t>Rationale</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4"/>
              </w:rPr>
              <w:t>Ledger and audit</w:t>
            </w:r>
          </w:p>
        </w:tc>
        <w:tc>
          <w:tcPr>
            <w:tcW w:type="dxa" w:w="2160"/>
            <w:tcMar>
              <w:top w:w="60" w:type="dxa"/>
              <w:start w:w="110" w:type="dxa"/>
              <w:bottom w:w="60" w:type="dxa"/>
              <w:end w:w="110" w:type="dxa"/>
            </w:tcMar>
          </w:tcPr>
          <w:p>
            <w:pPr>
              <w:spacing w:after="0"/>
            </w:pPr>
            <w:r/>
            <w:r>
              <w:rPr>
                <w:rFonts w:ascii="Consolas" w:hAnsi="Consolas"/>
                <w:color w:val="146EF5"/>
                <w:sz w:val="14"/>
              </w:rPr>
              <w:t>ledger_transactions</w:t>
            </w:r>
            <w:r>
              <w:rPr>
                <w:rFonts w:ascii="Calibri" w:hAnsi="Calibri"/>
                <w:b w:val="0"/>
                <w:i w:val="0"/>
                <w:color w:val="101828"/>
                <w:sz w:val="14"/>
              </w:rPr>
              <w:t xml:space="preserve">, </w:t>
            </w:r>
            <w:r>
              <w:rPr>
                <w:rFonts w:ascii="Consolas" w:hAnsi="Consolas"/>
                <w:color w:val="146EF5"/>
                <w:sz w:val="14"/>
              </w:rPr>
              <w:t>ledger_postings</w:t>
            </w:r>
            <w:r>
              <w:rPr>
                <w:rFonts w:ascii="Calibri" w:hAnsi="Calibri"/>
                <w:b w:val="0"/>
                <w:i w:val="0"/>
                <w:color w:val="101828"/>
                <w:sz w:val="14"/>
              </w:rPr>
              <w:t xml:space="preserve">, </w:t>
            </w:r>
            <w:r>
              <w:rPr>
                <w:rFonts w:ascii="Consolas" w:hAnsi="Consolas"/>
                <w:color w:val="146EF5"/>
                <w:sz w:val="14"/>
              </w:rPr>
              <w:t>audit_logs</w:t>
            </w:r>
            <w:r>
              <w:rPr>
                <w:rFonts w:ascii="Calibri" w:hAnsi="Calibri"/>
                <w:b w:val="0"/>
                <w:i w:val="0"/>
                <w:color w:val="101828"/>
                <w:sz w:val="14"/>
              </w:rPr>
              <w:t xml:space="preserve">, </w:t>
            </w:r>
            <w:r>
              <w:rPr>
                <w:rFonts w:ascii="Consolas" w:hAnsi="Consolas"/>
                <w:color w:val="146EF5"/>
                <w:sz w:val="14"/>
              </w:rPr>
              <w:t>reconciliation_runs</w:t>
            </w:r>
          </w:p>
        </w:tc>
        <w:tc>
          <w:tcPr>
            <w:tcW w:type="dxa" w:w="1800"/>
            <w:tcMar>
              <w:top w:w="60" w:type="dxa"/>
              <w:start w:w="110" w:type="dxa"/>
              <w:bottom w:w="60" w:type="dxa"/>
              <w:end w:w="110" w:type="dxa"/>
            </w:tcMar>
          </w:tcPr>
          <w:p>
            <w:pPr>
              <w:spacing w:after="0"/>
            </w:pPr>
            <w:r/>
            <w:r>
              <w:rPr>
                <w:rFonts w:ascii="Calibri" w:hAnsi="Calibri"/>
                <w:b w:val="0"/>
                <w:i w:val="0"/>
                <w:color w:val="101828"/>
                <w:sz w:val="14"/>
              </w:rPr>
              <w:t xml:space="preserve">Never. Enforced by a trigger that raises on </w:t>
            </w:r>
            <w:r>
              <w:rPr>
                <w:rFonts w:ascii="Consolas" w:hAnsi="Consolas"/>
                <w:color w:val="146EF5"/>
                <w:sz w:val="14"/>
              </w:rPr>
              <w:t>UPDATE</w:t>
            </w:r>
            <w:r>
              <w:rPr>
                <w:rFonts w:ascii="Calibri" w:hAnsi="Calibri"/>
                <w:b w:val="0"/>
                <w:i w:val="0"/>
                <w:color w:val="101828"/>
                <w:sz w:val="14"/>
              </w:rPr>
              <w:t xml:space="preserve"> or </w:t>
            </w:r>
            <w:r>
              <w:rPr>
                <w:rFonts w:ascii="Consolas" w:hAnsi="Consolas"/>
                <w:color w:val="146EF5"/>
                <w:sz w:val="14"/>
              </w:rPr>
              <w:t>DELETE</w:t>
            </w:r>
            <w:r>
              <w:rPr>
                <w:rFonts w:ascii="Calibri" w:hAnsi="Calibri"/>
                <w:b w:val="0"/>
                <w:i w:val="0"/>
                <w:color w:val="101828"/>
                <w:sz w:val="14"/>
              </w:rPr>
              <w:t xml:space="preserve"> plus a </w:t>
            </w:r>
            <w:r>
              <w:rPr>
                <w:rFonts w:ascii="Consolas" w:hAnsi="Consolas"/>
                <w:color w:val="146EF5"/>
                <w:sz w:val="14"/>
              </w:rPr>
              <w:t>REVOKE</w:t>
            </w:r>
            <w:r>
              <w:rPr>
                <w:rFonts w:ascii="Calibri" w:hAnsi="Calibri"/>
                <w:b w:val="0"/>
                <w:i w:val="0"/>
                <w:color w:val="101828"/>
                <w:sz w:val="14"/>
              </w:rPr>
              <w:t xml:space="preserve"> from all client roles. Corrections are reversing entries.</w:t>
            </w:r>
          </w:p>
        </w:tc>
        <w:tc>
          <w:tcPr>
            <w:tcW w:type="dxa" w:w="1800"/>
            <w:tcMar>
              <w:top w:w="60" w:type="dxa"/>
              <w:start w:w="110" w:type="dxa"/>
              <w:bottom w:w="60" w:type="dxa"/>
              <w:end w:w="110" w:type="dxa"/>
            </w:tcMar>
          </w:tcPr>
          <w:p>
            <w:pPr>
              <w:spacing w:after="0"/>
            </w:pPr>
            <w:r/>
            <w:r>
              <w:rPr>
                <w:rFonts w:ascii="Calibri" w:hAnsi="Calibri"/>
                <w:b w:val="0"/>
                <w:i w:val="0"/>
                <w:color w:val="101828"/>
                <w:sz w:val="14"/>
              </w:rPr>
              <w:t>Indefinite. No deletion at any point in the product's life.</w:t>
            </w:r>
          </w:p>
        </w:tc>
        <w:tc>
          <w:tcPr>
            <w:tcW w:type="dxa" w:w="2232"/>
            <w:tcMar>
              <w:top w:w="60" w:type="dxa"/>
              <w:start w:w="110" w:type="dxa"/>
              <w:bottom w:w="60" w:type="dxa"/>
              <w:end w:w="110" w:type="dxa"/>
            </w:tcMar>
          </w:tcPr>
          <w:p>
            <w:pPr>
              <w:spacing w:after="0"/>
            </w:pPr>
            <w:r/>
            <w:r>
              <w:rPr>
                <w:rFonts w:ascii="Calibri" w:hAnsi="Calibri"/>
                <w:b w:val="0"/>
                <w:i w:val="0"/>
                <w:color w:val="101828"/>
                <w:sz w:val="14"/>
              </w:rPr>
              <w:t>A savings record that can be edited is not a record. A member disputing a payout in three years' time must be shown the original entry and the reversal, not a row that was quietly corrected. Section 9.5 and 9.11 treat this as a hard requirement, subject to the LEGAL callout below.</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4"/>
              </w:rPr>
              <w:t>Financial records</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4"/>
              </w:rPr>
              <w:t>contributions</w:t>
            </w:r>
            <w:r>
              <w:rPr>
                <w:rFonts w:ascii="Calibri" w:hAnsi="Calibri"/>
                <w:b w:val="0"/>
                <w:i w:val="0"/>
                <w:color w:val="101828"/>
                <w:sz w:val="14"/>
              </w:rPr>
              <w:t xml:space="preserve">, </w:t>
            </w:r>
            <w:r>
              <w:rPr>
                <w:rFonts w:ascii="Consolas" w:hAnsi="Consolas"/>
                <w:color w:val="146EF5"/>
                <w:sz w:val="14"/>
              </w:rPr>
              <w:t>payments</w:t>
            </w:r>
            <w:r>
              <w:rPr>
                <w:rFonts w:ascii="Calibri" w:hAnsi="Calibri"/>
                <w:b w:val="0"/>
                <w:i w:val="0"/>
                <w:color w:val="101828"/>
                <w:sz w:val="14"/>
              </w:rPr>
              <w:t xml:space="preserve">, </w:t>
            </w:r>
            <w:r>
              <w:rPr>
                <w:rFonts w:ascii="Consolas" w:hAnsi="Consolas"/>
                <w:color w:val="146EF5"/>
                <w:sz w:val="14"/>
              </w:rPr>
              <w:t>payouts</w:t>
            </w:r>
            <w:r>
              <w:rPr>
                <w:rFonts w:ascii="Calibri" w:hAnsi="Calibri"/>
                <w:b w:val="0"/>
                <w:i w:val="0"/>
                <w:color w:val="101828"/>
                <w:sz w:val="14"/>
              </w:rPr>
              <w:t xml:space="preserve">, </w:t>
            </w:r>
            <w:r>
              <w:rPr>
                <w:rFonts w:ascii="Consolas" w:hAnsi="Consolas"/>
                <w:color w:val="146EF5"/>
                <w:sz w:val="14"/>
              </w:rPr>
              <w:t>fees</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Never. Soft delete is not even offered, because there is no business event that means </w:t>
            </w:r>
            <w:r>
              <w:rPr>
                <w:rFonts w:ascii="Calibri" w:hAnsi="Calibri"/>
                <w:i/>
                <w:color w:val="101828"/>
                <w:sz w:val="14"/>
              </w:rPr>
              <w:t>a payment did not happen</w:t>
            </w:r>
            <w:r>
              <w:rPr>
                <w:rFonts w:ascii="Calibri" w:hAnsi="Calibri"/>
                <w:b w:val="0"/>
                <w:i w:val="0"/>
                <w:color w:val="101828"/>
                <w:sz w:val="14"/>
              </w:rPr>
              <w:t>. A mistaken payment is reversed in the ledger.</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Indefinite, at minimum for as long as the Ajo, the member's account and any dispute or legal process relating to them.</w:t>
            </w:r>
          </w:p>
        </w:tc>
        <w:tc>
          <w:tcPr>
            <w:tcW w:type="dxa" w:w="2232"/>
            <w:tcMar>
              <w:top w:w="60" w:type="dxa"/>
              <w:start w:w="110" w:type="dxa"/>
              <w:bottom w:w="60" w:type="dxa"/>
              <w:end w:w="110" w:type="dxa"/>
            </w:tcMar>
            <w:shd w:val="clear" w:color="auto" w:fill="F4F7FB"/>
          </w:tcPr>
          <w:p>
            <w:pPr>
              <w:spacing w:after="0"/>
            </w:pPr>
            <w:r/>
            <w:r>
              <w:rPr>
                <w:rFonts w:ascii="Calibri" w:hAnsi="Calibri"/>
                <w:b w:val="0"/>
                <w:i w:val="0"/>
                <w:color w:val="101828"/>
                <w:sz w:val="14"/>
              </w:rPr>
              <w:t>These are the rows a regulator, a tax authority, a court or an auditor will ask for. The Nigerian position on the retention of banking and financial records, and the interaction with the Nigeria Data Protection Act 2023, requires confirmation by qualified Nigerian counsel and the appointed compliance adviser. No period is asserted here.</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4"/>
              </w:rPr>
              <w:t>Operational records</w:t>
            </w:r>
          </w:p>
        </w:tc>
        <w:tc>
          <w:tcPr>
            <w:tcW w:type="dxa" w:w="2160"/>
            <w:tcMar>
              <w:top w:w="60" w:type="dxa"/>
              <w:start w:w="110" w:type="dxa"/>
              <w:bottom w:w="60" w:type="dxa"/>
              <w:end w:w="110" w:type="dxa"/>
            </w:tcMar>
          </w:tcPr>
          <w:p>
            <w:pPr>
              <w:spacing w:after="0"/>
            </w:pPr>
            <w:r/>
            <w:r>
              <w:rPr>
                <w:rFonts w:ascii="Consolas" w:hAnsi="Consolas"/>
                <w:color w:val="146EF5"/>
                <w:sz w:val="14"/>
              </w:rPr>
              <w:t>ajos</w:t>
            </w:r>
            <w:r>
              <w:rPr>
                <w:rFonts w:ascii="Calibri" w:hAnsi="Calibri"/>
                <w:b w:val="0"/>
                <w:i w:val="0"/>
                <w:color w:val="101828"/>
                <w:sz w:val="14"/>
              </w:rPr>
              <w:t xml:space="preserve">, </w:t>
            </w:r>
            <w:r>
              <w:rPr>
                <w:rFonts w:ascii="Consolas" w:hAnsi="Consolas"/>
                <w:color w:val="146EF5"/>
                <w:sz w:val="14"/>
              </w:rPr>
              <w:t>rounds</w:t>
            </w:r>
            <w:r>
              <w:rPr>
                <w:rFonts w:ascii="Calibri" w:hAnsi="Calibri"/>
                <w:b w:val="0"/>
                <w:i w:val="0"/>
                <w:color w:val="101828"/>
                <w:sz w:val="14"/>
              </w:rPr>
              <w:t xml:space="preserve">, </w:t>
            </w:r>
            <w:r>
              <w:rPr>
                <w:rFonts w:ascii="Consolas" w:hAnsi="Consolas"/>
                <w:color w:val="146EF5"/>
                <w:sz w:val="14"/>
              </w:rPr>
              <w:t>contribution_schedules</w:t>
            </w:r>
            <w:r>
              <w:rPr>
                <w:rFonts w:ascii="Calibri" w:hAnsi="Calibri"/>
                <w:b w:val="0"/>
                <w:i w:val="0"/>
                <w:color w:val="101828"/>
                <w:sz w:val="14"/>
              </w:rPr>
              <w:t xml:space="preserve">, </w:t>
            </w:r>
            <w:r>
              <w:rPr>
                <w:rFonts w:ascii="Consolas" w:hAnsi="Consolas"/>
                <w:color w:val="146EF5"/>
                <w:sz w:val="14"/>
              </w:rPr>
              <w:t>ajo_positions</w:t>
            </w:r>
            <w:r>
              <w:rPr>
                <w:rFonts w:ascii="Calibri" w:hAnsi="Calibri"/>
                <w:b w:val="0"/>
                <w:i w:val="0"/>
                <w:color w:val="101828"/>
                <w:sz w:val="14"/>
              </w:rPr>
              <w:t xml:space="preserve">, </w:t>
            </w:r>
            <w:r>
              <w:rPr>
                <w:rFonts w:ascii="Consolas" w:hAnsi="Consolas"/>
                <w:color w:val="146EF5"/>
                <w:sz w:val="14"/>
              </w:rPr>
              <w:t>ajo_members</w:t>
            </w:r>
            <w:r>
              <w:rPr>
                <w:rFonts w:ascii="Calibri" w:hAnsi="Calibri"/>
                <w:b w:val="0"/>
                <w:i w:val="0"/>
                <w:color w:val="101828"/>
                <w:sz w:val="14"/>
              </w:rPr>
              <w:t xml:space="preserve">, </w:t>
            </w:r>
            <w:r>
              <w:rPr>
                <w:rFonts w:ascii="Consolas" w:hAnsi="Consolas"/>
                <w:color w:val="146EF5"/>
                <w:sz w:val="14"/>
              </w:rPr>
              <w:t>invitations</w:t>
            </w:r>
            <w:r>
              <w:rPr>
                <w:rFonts w:ascii="Calibri" w:hAnsi="Calibri"/>
                <w:b w:val="0"/>
                <w:i w:val="0"/>
                <w:color w:val="101828"/>
                <w:sz w:val="14"/>
              </w:rPr>
              <w:t xml:space="preserve">, </w:t>
            </w:r>
            <w:r>
              <w:rPr>
                <w:rFonts w:ascii="Consolas" w:hAnsi="Consolas"/>
                <w:color w:val="146EF5"/>
                <w:sz w:val="14"/>
              </w:rPr>
              <w:t>disputes</w:t>
            </w:r>
            <w:r>
              <w:rPr>
                <w:rFonts w:ascii="Calibri" w:hAnsi="Calibri"/>
                <w:b w:val="0"/>
                <w:i w:val="0"/>
                <w:color w:val="101828"/>
                <w:sz w:val="14"/>
              </w:rPr>
              <w:t xml:space="preserve">, </w:t>
            </w:r>
            <w:r>
              <w:rPr>
                <w:rFonts w:ascii="Consolas" w:hAnsi="Consolas"/>
                <w:color w:val="146EF5"/>
                <w:sz w:val="14"/>
              </w:rPr>
              <w:t>risk_events</w:t>
            </w:r>
          </w:p>
        </w:tc>
        <w:tc>
          <w:tcPr>
            <w:tcW w:type="dxa" w:w="1800"/>
            <w:tcMar>
              <w:top w:w="60" w:type="dxa"/>
              <w:start w:w="110" w:type="dxa"/>
              <w:bottom w:w="60" w:type="dxa"/>
              <w:end w:w="110" w:type="dxa"/>
            </w:tcMar>
          </w:tcPr>
          <w:p>
            <w:pPr>
              <w:spacing w:after="0"/>
            </w:pPr>
            <w:r/>
            <w:r>
              <w:rPr>
                <w:rFonts w:ascii="Calibri" w:hAnsi="Calibri"/>
                <w:b w:val="0"/>
                <w:i w:val="0"/>
                <w:color w:val="101828"/>
                <w:sz w:val="14"/>
              </w:rPr>
              <w:t xml:space="preserve">Soft delete via </w:t>
            </w:r>
            <w:r>
              <w:rPr>
                <w:rFonts w:ascii="Consolas" w:hAnsi="Consolas"/>
                <w:color w:val="146EF5"/>
                <w:sz w:val="14"/>
              </w:rPr>
              <w:t>deleted_at</w:t>
            </w:r>
            <w:r>
              <w:rPr>
                <w:rFonts w:ascii="Calibri" w:hAnsi="Calibri"/>
                <w:b w:val="0"/>
                <w:i w:val="0"/>
                <w:color w:val="101828"/>
                <w:sz w:val="14"/>
              </w:rPr>
              <w:t xml:space="preserve">, always with an </w:t>
            </w:r>
            <w:r>
              <w:rPr>
                <w:rFonts w:ascii="Consolas" w:hAnsi="Consolas"/>
                <w:color w:val="146EF5"/>
                <w:sz w:val="14"/>
              </w:rPr>
              <w:t>audit_logs</w:t>
            </w:r>
            <w:r>
              <w:rPr>
                <w:rFonts w:ascii="Calibri" w:hAnsi="Calibri"/>
                <w:b w:val="0"/>
                <w:i w:val="0"/>
                <w:color w:val="101828"/>
                <w:sz w:val="14"/>
              </w:rPr>
              <w:t xml:space="preserve"> row. A cancelled Ajo is never deleted; it is </w:t>
            </w:r>
            <w:r>
              <w:rPr>
                <w:rFonts w:ascii="Consolas" w:hAnsi="Consolas"/>
                <w:color w:val="146EF5"/>
                <w:sz w:val="14"/>
              </w:rPr>
              <w:t>status='cancelled'</w:t>
            </w:r>
            <w:r>
              <w:rPr>
                <w:rFonts w:ascii="Calibri" w:hAnsi="Calibri"/>
                <w:b w:val="0"/>
                <w:i w:val="0"/>
                <w:color w:val="101828"/>
                <w:sz w:val="14"/>
              </w:rPr>
              <w:t xml:space="preserve"> with a reason and a </w:t>
            </w:r>
            <w:r>
              <w:rPr>
                <w:rFonts w:ascii="Consolas" w:hAnsi="Consolas"/>
                <w:color w:val="146EF5"/>
                <w:sz w:val="14"/>
              </w:rPr>
              <w:t>cancelled_at</w:t>
            </w:r>
            <w:r>
              <w:rPr>
                <w:rFonts w:ascii="Calibri" w:hAnsi="Calibri"/>
                <w:b w:val="0"/>
                <w:i w:val="0"/>
                <w:color w:val="101828"/>
                <w:sz w:val="14"/>
              </w:rPr>
              <w:t>.</w:t>
            </w:r>
          </w:p>
        </w:tc>
        <w:tc>
          <w:tcPr>
            <w:tcW w:type="dxa" w:w="1800"/>
            <w:tcMar>
              <w:top w:w="60" w:type="dxa"/>
              <w:start w:w="110" w:type="dxa"/>
              <w:bottom w:w="60" w:type="dxa"/>
              <w:end w:w="110" w:type="dxa"/>
            </w:tcMar>
          </w:tcPr>
          <w:p>
            <w:pPr>
              <w:spacing w:after="0"/>
            </w:pPr>
            <w:r/>
            <w:r>
              <w:rPr>
                <w:rFonts w:ascii="Calibri" w:hAnsi="Calibri"/>
                <w:b w:val="0"/>
                <w:i w:val="0"/>
                <w:color w:val="101828"/>
                <w:sz w:val="14"/>
              </w:rPr>
              <w:t>Retained for the life of the financial record they support, then anonymised. Risk events and disputes are retained independently of the Ajo, because they may be the subject of a separate process.</w:t>
            </w:r>
          </w:p>
        </w:tc>
        <w:tc>
          <w:tcPr>
            <w:tcW w:type="dxa" w:w="2232"/>
            <w:tcMar>
              <w:top w:w="60" w:type="dxa"/>
              <w:start w:w="110" w:type="dxa"/>
              <w:bottom w:w="60" w:type="dxa"/>
              <w:end w:w="110" w:type="dxa"/>
            </w:tcMar>
          </w:tcPr>
          <w:p>
            <w:pPr>
              <w:spacing w:after="0"/>
            </w:pPr>
            <w:r/>
            <w:r>
              <w:rPr>
                <w:rFonts w:ascii="Calibri" w:hAnsi="Calibri"/>
                <w:b w:val="0"/>
                <w:i w:val="0"/>
                <w:color w:val="101828"/>
                <w:sz w:val="14"/>
              </w:rPr>
              <w:t xml:space="preserve">A soft-deleted Ajo that still has a contribution is the normal state of every Ajo that fails, and the row is what proves the failure was handled correctly. </w:t>
            </w:r>
            <w:r>
              <w:rPr>
                <w:rFonts w:ascii="Consolas" w:hAnsi="Consolas"/>
                <w:color w:val="146EF5"/>
                <w:sz w:val="14"/>
              </w:rPr>
              <w:t>disputes</w:t>
            </w:r>
            <w:r>
              <w:rPr>
                <w:rFonts w:ascii="Calibri" w:hAnsi="Calibri"/>
                <w:b w:val="0"/>
                <w:i w:val="0"/>
                <w:color w:val="101828"/>
                <w:sz w:val="14"/>
              </w:rPr>
              <w:t xml:space="preserve"> and </w:t>
            </w:r>
            <w:r>
              <w:rPr>
                <w:rFonts w:ascii="Consolas" w:hAnsi="Consolas"/>
                <w:color w:val="146EF5"/>
                <w:sz w:val="14"/>
              </w:rPr>
              <w:t>risk_events</w:t>
            </w:r>
            <w:r>
              <w:rPr>
                <w:rFonts w:ascii="Calibri" w:hAnsi="Calibri"/>
                <w:b w:val="0"/>
                <w:i w:val="0"/>
                <w:color w:val="101828"/>
                <w:sz w:val="14"/>
              </w:rPr>
              <w:t xml:space="preserve"> have no cascade, so they outlive the Ajo by design.</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4"/>
              </w:rPr>
              <w:t>Personal data</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4"/>
              </w:rPr>
              <w:t>users</w:t>
            </w:r>
            <w:r>
              <w:rPr>
                <w:rFonts w:ascii="Calibri" w:hAnsi="Calibri"/>
                <w:b w:val="0"/>
                <w:i w:val="0"/>
                <w:color w:val="101828"/>
                <w:sz w:val="14"/>
              </w:rPr>
              <w:t xml:space="preserve">, </w:t>
            </w:r>
            <w:r>
              <w:rPr>
                <w:rFonts w:ascii="Consolas" w:hAnsi="Consolas"/>
                <w:color w:val="146EF5"/>
                <w:sz w:val="14"/>
              </w:rPr>
              <w:t>profiles</w:t>
            </w:r>
            <w:r>
              <w:rPr>
                <w:rFonts w:ascii="Calibri" w:hAnsi="Calibri"/>
                <w:b w:val="0"/>
                <w:i w:val="0"/>
                <w:color w:val="101828"/>
                <w:sz w:val="14"/>
              </w:rPr>
              <w:t xml:space="preserve">, </w:t>
            </w:r>
            <w:r>
              <w:rPr>
                <w:rFonts w:ascii="Consolas" w:hAnsi="Consolas"/>
                <w:color w:val="146EF5"/>
                <w:sz w:val="14"/>
              </w:rPr>
              <w:t>sessions</w:t>
            </w:r>
            <w:r>
              <w:rPr>
                <w:rFonts w:ascii="Calibri" w:hAnsi="Calibri"/>
                <w:b w:val="0"/>
                <w:i w:val="0"/>
                <w:color w:val="101828"/>
                <w:sz w:val="14"/>
              </w:rPr>
              <w:t xml:space="preserve">, </w:t>
            </w:r>
            <w:r>
              <w:rPr>
                <w:rFonts w:ascii="Consolas" w:hAnsi="Consolas"/>
                <w:color w:val="146EF5"/>
                <w:sz w:val="14"/>
              </w:rPr>
              <w:t>device_tokens</w:t>
            </w:r>
            <w:r>
              <w:rPr>
                <w:rFonts w:ascii="Calibri" w:hAnsi="Calibri"/>
                <w:b w:val="0"/>
                <w:i w:val="0"/>
                <w:color w:val="101828"/>
                <w:sz w:val="14"/>
              </w:rPr>
              <w:t xml:space="preserve">, </w:t>
            </w:r>
            <w:r>
              <w:rPr>
                <w:rFonts w:ascii="Consolas" w:hAnsi="Consolas"/>
                <w:color w:val="146EF5"/>
                <w:sz w:val="14"/>
              </w:rPr>
              <w:t>notifications</w:t>
            </w:r>
            <w:r>
              <w:rPr>
                <w:rFonts w:ascii="Calibri" w:hAnsi="Calibri"/>
                <w:b w:val="0"/>
                <w:i w:val="0"/>
                <w:color w:val="101828"/>
                <w:sz w:val="14"/>
              </w:rPr>
              <w:t xml:space="preserve">, </w:t>
            </w:r>
            <w:r>
              <w:rPr>
                <w:rFonts w:ascii="Consolas" w:hAnsi="Consolas"/>
                <w:color w:val="146EF5"/>
                <w:sz w:val="14"/>
              </w:rPr>
              <w:t>notification_preferences</w:t>
            </w:r>
            <w:r>
              <w:rPr>
                <w:rFonts w:ascii="Calibri" w:hAnsi="Calibri"/>
                <w:b w:val="0"/>
                <w:i w:val="0"/>
                <w:color w:val="101828"/>
                <w:sz w:val="14"/>
              </w:rPr>
              <w:t xml:space="preserve">, </w:t>
            </w:r>
            <w:r>
              <w:rPr>
                <w:rFonts w:ascii="Consolas" w:hAnsi="Consolas"/>
                <w:color w:val="146EF5"/>
                <w:sz w:val="14"/>
              </w:rPr>
              <w:t>support_tickets</w:t>
            </w:r>
            <w:r>
              <w:rPr>
                <w:rFonts w:ascii="Calibri" w:hAnsi="Calibri"/>
                <w:b w:val="0"/>
                <w:i w:val="0"/>
                <w:color w:val="101828"/>
                <w:sz w:val="14"/>
              </w:rPr>
              <w:t xml:space="preserve">, </w:t>
            </w:r>
            <w:r>
              <w:rPr>
                <w:rFonts w:ascii="Consolas" w:hAnsi="Consolas"/>
                <w:color w:val="146EF5"/>
                <w:sz w:val="14"/>
              </w:rPr>
              <w:t>documents</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Account closure is an anonymisation, not a delete: personal columns are nulled or keyed-hashed, financial foreign keys are retained. The user row survives with </w:t>
            </w:r>
            <w:r>
              <w:rPr>
                <w:rFonts w:ascii="Consolas" w:hAnsi="Consolas"/>
                <w:color w:val="146EF5"/>
                <w:sz w:val="14"/>
              </w:rPr>
              <w:t>status='closed'</w:t>
            </w:r>
            <w:r>
              <w:rPr>
                <w:rFonts w:ascii="Calibri" w:hAnsi="Calibri"/>
                <w:b w:val="0"/>
                <w:i w:val="0"/>
                <w:color w:val="101828"/>
                <w:sz w:val="14"/>
              </w:rPr>
              <w:t>.</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Erasure on request where law permits, subject to the AML retention override below. Notifications and expired sessions are the only personal data with a short, hard TTL.</w:t>
            </w:r>
          </w:p>
        </w:tc>
        <w:tc>
          <w:tcPr>
            <w:tcW w:type="dxa" w:w="2232"/>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tension between a data subject's right to erasure and an anti-money-laundering obligation to retain records is real, is jurisdiction-specific, and is a question for counsel. The schema is built so that either answer can be implemented without a migration: personal columns are separable from financial ones, which is the whole reason </w:t>
            </w:r>
            <w:r>
              <w:rPr>
                <w:rFonts w:ascii="Consolas" w:hAnsi="Consolas"/>
                <w:color w:val="146EF5"/>
                <w:sz w:val="14"/>
              </w:rPr>
              <w:t>profiles</w:t>
            </w:r>
            <w:r>
              <w:rPr>
                <w:rFonts w:ascii="Calibri" w:hAnsi="Calibri"/>
                <w:b w:val="0"/>
                <w:i w:val="0"/>
                <w:color w:val="101828"/>
                <w:sz w:val="14"/>
              </w:rPr>
              <w:t xml:space="preserve"> is a separate table.</w:t>
            </w:r>
          </w:p>
        </w:tc>
      </w:tr>
      <w:tr>
        <w:trPr>
          <w:cantSplit/>
        </w:trPr>
        <w:tc>
          <w:tcPr>
            <w:tcW w:type="dxa" w:w="1368"/>
            <w:tcMar>
              <w:top w:w="60" w:type="dxa"/>
              <w:start w:w="110" w:type="dxa"/>
              <w:bottom w:w="60" w:type="dxa"/>
              <w:end w:w="110" w:type="dxa"/>
            </w:tcMar>
          </w:tcPr>
          <w:p>
            <w:pPr>
              <w:spacing w:after="0"/>
            </w:pPr>
            <w:r/>
            <w:r>
              <w:rPr>
                <w:rFonts w:ascii="Calibri" w:hAnsi="Calibri"/>
                <w:b w:val="0"/>
                <w:i w:val="0"/>
                <w:color w:val="101828"/>
                <w:sz w:val="14"/>
              </w:rPr>
              <w:t>Verification and documents</w:t>
            </w:r>
          </w:p>
        </w:tc>
        <w:tc>
          <w:tcPr>
            <w:tcW w:type="dxa" w:w="2160"/>
            <w:tcMar>
              <w:top w:w="60" w:type="dxa"/>
              <w:start w:w="110" w:type="dxa"/>
              <w:bottom w:w="60" w:type="dxa"/>
              <w:end w:w="110" w:type="dxa"/>
            </w:tcMar>
          </w:tcPr>
          <w:p>
            <w:pPr>
              <w:spacing w:after="0"/>
            </w:pPr>
            <w:r/>
            <w:r>
              <w:rPr>
                <w:rFonts w:ascii="Consolas" w:hAnsi="Consolas"/>
                <w:color w:val="146EF5"/>
                <w:sz w:val="14"/>
              </w:rPr>
              <w:t>verification_checks</w:t>
            </w:r>
            <w:r>
              <w:rPr>
                <w:rFonts w:ascii="Calibri" w:hAnsi="Calibri"/>
                <w:b w:val="0"/>
                <w:i w:val="0"/>
                <w:color w:val="101828"/>
                <w:sz w:val="14"/>
              </w:rPr>
              <w:t xml:space="preserve">, </w:t>
            </w:r>
            <w:r>
              <w:rPr>
                <w:rFonts w:ascii="Consolas" w:hAnsi="Consolas"/>
                <w:color w:val="146EF5"/>
                <w:sz w:val="14"/>
              </w:rPr>
              <w:t>documents</w:t>
            </w:r>
          </w:p>
        </w:tc>
        <w:tc>
          <w:tcPr>
            <w:tcW w:type="dxa" w:w="1800"/>
            <w:tcMar>
              <w:top w:w="60" w:type="dxa"/>
              <w:start w:w="110" w:type="dxa"/>
              <w:bottom w:w="60" w:type="dxa"/>
              <w:end w:w="110" w:type="dxa"/>
            </w:tcMar>
          </w:tcPr>
          <w:p>
            <w:pPr>
              <w:spacing w:after="0"/>
            </w:pPr>
            <w:r/>
            <w:r>
              <w:rPr>
                <w:rFonts w:ascii="Calibri" w:hAnsi="Calibri"/>
                <w:b w:val="0"/>
                <w:i w:val="0"/>
                <w:color w:val="101828"/>
                <w:sz w:val="14"/>
              </w:rPr>
              <w:t>Soft delete only. A verification failure is evidence of a decision and is never removed.</w:t>
            </w:r>
          </w:p>
        </w:tc>
        <w:tc>
          <w:tcPr>
            <w:tcW w:type="dxa" w:w="1800"/>
            <w:tcMar>
              <w:top w:w="60" w:type="dxa"/>
              <w:start w:w="110" w:type="dxa"/>
              <w:bottom w:w="60" w:type="dxa"/>
              <w:end w:w="110" w:type="dxa"/>
            </w:tcMar>
          </w:tcPr>
          <w:p>
            <w:pPr>
              <w:spacing w:after="0"/>
            </w:pPr>
            <w:r/>
            <w:r>
              <w:rPr>
                <w:rFonts w:ascii="Calibri" w:hAnsi="Calibri"/>
                <w:b w:val="0"/>
                <w:i w:val="0"/>
                <w:color w:val="101828"/>
                <w:sz w:val="14"/>
              </w:rPr>
              <w:t>Identity documents and biometrics are special-category data under the Nigeria Data Protection Act 2023 and carry a shorter default retention than the financial records they relate to. The period must be set by counsel.</w:t>
            </w:r>
          </w:p>
        </w:tc>
        <w:tc>
          <w:tcPr>
            <w:tcW w:type="dxa" w:w="2232"/>
            <w:tcMar>
              <w:top w:w="60" w:type="dxa"/>
              <w:start w:w="110" w:type="dxa"/>
              <w:bottom w:w="60" w:type="dxa"/>
              <w:end w:w="110" w:type="dxa"/>
            </w:tcMar>
          </w:tcPr>
          <w:p>
            <w:pPr>
              <w:spacing w:after="0"/>
            </w:pPr>
            <w:r/>
            <w:r>
              <w:rPr>
                <w:rFonts w:ascii="Calibri" w:hAnsi="Calibri"/>
                <w:b w:val="0"/>
                <w:i w:val="0"/>
                <w:color w:val="101828"/>
                <w:sz w:val="14"/>
              </w:rPr>
              <w:t xml:space="preserve">An identity document that has served its purpose should not sit in a storage bucket forever. Object-storage lifecycle rules and the database row's </w:t>
            </w:r>
            <w:r>
              <w:rPr>
                <w:rFonts w:ascii="Consolas" w:hAnsi="Consolas"/>
                <w:color w:val="146EF5"/>
                <w:sz w:val="14"/>
              </w:rPr>
              <w:t>expires_at</w:t>
            </w:r>
            <w:r>
              <w:rPr>
                <w:rFonts w:ascii="Calibri" w:hAnsi="Calibri"/>
                <w:b w:val="0"/>
                <w:i w:val="0"/>
                <w:color w:val="101828"/>
                <w:sz w:val="14"/>
              </w:rPr>
              <w:t xml:space="preserve"> are the two halves of one policy, and both must be changed together.</w:t>
            </w:r>
          </w:p>
        </w:tc>
      </w:tr>
      <w:tr>
        <w:trPr>
          <w:cantSplit/>
        </w:trPr>
        <w:tc>
          <w:tcPr>
            <w:tcW w:type="dxa" w:w="1368"/>
            <w:tcMar>
              <w:top w:w="60" w:type="dxa"/>
              <w:start w:w="110" w:type="dxa"/>
              <w:bottom w:w="60" w:type="dxa"/>
              <w:end w:w="110" w:type="dxa"/>
            </w:tcMar>
            <w:shd w:val="clear" w:color="auto" w:fill="F4F7FB"/>
          </w:tcPr>
          <w:p>
            <w:pPr>
              <w:spacing w:after="0"/>
            </w:pPr>
            <w:r/>
            <w:r>
              <w:rPr>
                <w:rFonts w:ascii="Calibri" w:hAnsi="Calibri"/>
                <w:b w:val="0"/>
                <w:i w:val="0"/>
                <w:color w:val="101828"/>
                <w:sz w:val="14"/>
              </w:rPr>
              <w:t>Ephemeral and configuration</w:t>
            </w:r>
          </w:p>
        </w:tc>
        <w:tc>
          <w:tcPr>
            <w:tcW w:type="dxa" w:w="2160"/>
            <w:tcMar>
              <w:top w:w="60" w:type="dxa"/>
              <w:start w:w="110" w:type="dxa"/>
              <w:bottom w:w="60" w:type="dxa"/>
              <w:end w:w="110" w:type="dxa"/>
            </w:tcMar>
            <w:shd w:val="clear" w:color="auto" w:fill="F4F7FB"/>
          </w:tcPr>
          <w:p>
            <w:pPr>
              <w:spacing w:after="0"/>
            </w:pPr>
            <w:r/>
            <w:r>
              <w:rPr>
                <w:rFonts w:ascii="Consolas" w:hAnsi="Consolas"/>
                <w:color w:val="146EF5"/>
                <w:sz w:val="14"/>
              </w:rPr>
              <w:t>idempotency_keys</w:t>
            </w:r>
            <w:r>
              <w:rPr>
                <w:rFonts w:ascii="Calibri" w:hAnsi="Calibri"/>
                <w:b w:val="0"/>
                <w:i w:val="0"/>
                <w:color w:val="101828"/>
                <w:sz w:val="14"/>
              </w:rPr>
              <w:t xml:space="preserve">, </w:t>
            </w:r>
            <w:r>
              <w:rPr>
                <w:rFonts w:ascii="Consolas" w:hAnsi="Consolas"/>
                <w:color w:val="146EF5"/>
                <w:sz w:val="14"/>
              </w:rPr>
              <w:t>webhook_events</w:t>
            </w:r>
            <w:r>
              <w:rPr>
                <w:rFonts w:ascii="Calibri" w:hAnsi="Calibri"/>
                <w:b w:val="0"/>
                <w:i w:val="0"/>
                <w:color w:val="101828"/>
                <w:sz w:val="14"/>
              </w:rPr>
              <w:t xml:space="preserve">, </w:t>
            </w:r>
            <w:r>
              <w:rPr>
                <w:rFonts w:ascii="Consolas" w:hAnsi="Consolas"/>
                <w:color w:val="146EF5"/>
                <w:sz w:val="14"/>
              </w:rPr>
              <w:t>outbox_events</w:t>
            </w:r>
            <w:r>
              <w:rPr>
                <w:rFonts w:ascii="Calibri" w:hAnsi="Calibri"/>
                <w:b w:val="0"/>
                <w:i w:val="0"/>
                <w:color w:val="101828"/>
                <w:sz w:val="14"/>
              </w:rPr>
              <w:t xml:space="preserve">, </w:t>
            </w:r>
            <w:r>
              <w:rPr>
                <w:rFonts w:ascii="Consolas" w:hAnsi="Consolas"/>
                <w:color w:val="146EF5"/>
                <w:sz w:val="14"/>
              </w:rPr>
              <w:t>platform_settings</w:t>
            </w:r>
            <w:r>
              <w:rPr>
                <w:rFonts w:ascii="Calibri" w:hAnsi="Calibri"/>
                <w:b w:val="0"/>
                <w:i w:val="0"/>
                <w:color w:val="101828"/>
                <w:sz w:val="14"/>
              </w:rPr>
              <w:t xml:space="preserve">, </w:t>
            </w:r>
            <w:r>
              <w:rPr>
                <w:rFonts w:ascii="Consolas" w:hAnsi="Consolas"/>
                <w:color w:val="146EF5"/>
                <w:sz w:val="14"/>
              </w:rPr>
              <w:t>roles</w:t>
            </w:r>
            <w:r>
              <w:rPr>
                <w:rFonts w:ascii="Calibri" w:hAnsi="Calibri"/>
                <w:b w:val="0"/>
                <w:i w:val="0"/>
                <w:color w:val="101828"/>
                <w:sz w:val="14"/>
              </w:rPr>
              <w:t xml:space="preserve">, </w:t>
            </w:r>
            <w:r>
              <w:rPr>
                <w:rFonts w:ascii="Consolas" w:hAnsi="Consolas"/>
                <w:color w:val="146EF5"/>
                <w:sz w:val="14"/>
              </w:rPr>
              <w:t>role_assignments</w:t>
            </w:r>
            <w:r>
              <w:rPr>
                <w:rFonts w:ascii="Calibri" w:hAnsi="Calibri"/>
                <w:b w:val="0"/>
                <w:i w:val="0"/>
                <w:color w:val="101828"/>
                <w:sz w:val="14"/>
              </w:rPr>
              <w:t xml:space="preserve">, </w:t>
            </w:r>
            <w:r>
              <w:rPr>
                <w:rFonts w:ascii="Consolas" w:hAnsi="Consolas"/>
                <w:color w:val="146EF5"/>
                <w:sz w:val="14"/>
              </w:rPr>
              <w:t>contribution_frequencies</w:t>
            </w:r>
            <w:r>
              <w:rPr>
                <w:rFonts w:ascii="Calibri" w:hAnsi="Calibri"/>
                <w:b w:val="0"/>
                <w:i w:val="0"/>
                <w:color w:val="101828"/>
                <w:sz w:val="14"/>
              </w:rPr>
              <w:t xml:space="preserve">, </w:t>
            </w:r>
            <w:r>
              <w:rPr>
                <w:rFonts w:ascii="Consolas" w:hAnsi="Consolas"/>
                <w:color w:val="146EF5"/>
                <w:sz w:val="14"/>
              </w:rPr>
              <w:t>payment_channels</w:t>
            </w:r>
            <w:r>
              <w:rPr>
                <w:rFonts w:ascii="Calibri" w:hAnsi="Calibri"/>
                <w:b w:val="0"/>
                <w:i w:val="0"/>
                <w:color w:val="101828"/>
                <w:sz w:val="14"/>
              </w:rPr>
              <w:t xml:space="preserve">, </w:t>
            </w:r>
            <w:r>
              <w:rPr>
                <w:rFonts w:ascii="Consolas" w:hAnsi="Consolas"/>
                <w:color w:val="146EF5"/>
                <w:sz w:val="14"/>
              </w:rPr>
              <w:t>notification_templates</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Hard delete permitted. TTL on idempotency keys (24 hours for money, 7 days otherwise), 90 days on published outbox rows, 180 days on </w:t>
            </w:r>
            <w:r>
              <w:rPr>
                <w:rFonts w:ascii="Consolas" w:hAnsi="Consolas"/>
                <w:color w:val="146EF5"/>
                <w:sz w:val="14"/>
              </w:rPr>
              <w:t>webhook_events</w:t>
            </w:r>
            <w:r>
              <w:rPr>
                <w:rFonts w:ascii="Calibri" w:hAnsi="Calibri"/>
                <w:b w:val="0"/>
                <w:i w:val="0"/>
                <w:color w:val="101828"/>
                <w:sz w:val="14"/>
              </w:rPr>
              <w:t xml:space="preserve"> payloads once processed.</w:t>
            </w:r>
          </w:p>
        </w:tc>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4"/>
              </w:rPr>
              <w:t>Configuration retained indefinitely with a version history. Ephemeral data is deleted on a schedule, not on request.</w:t>
            </w:r>
          </w:p>
        </w:tc>
        <w:tc>
          <w:tcPr>
            <w:tcW w:type="dxa" w:w="2232"/>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These carry no information that is not either in the ledger or reproducible. </w:t>
            </w:r>
            <w:r>
              <w:rPr>
                <w:rFonts w:ascii="Consolas" w:hAnsi="Consolas"/>
                <w:color w:val="146EF5"/>
                <w:sz w:val="14"/>
              </w:rPr>
              <w:t>webhook_events</w:t>
            </w:r>
            <w:r>
              <w:rPr>
                <w:rFonts w:ascii="Calibri" w:hAnsi="Calibri"/>
                <w:b w:val="0"/>
                <w:i w:val="0"/>
                <w:color w:val="101828"/>
                <w:sz w:val="14"/>
              </w:rPr>
              <w:t xml:space="preserve"> is the exception worth naming: the raw payload is the proof that a provider told us something, so it is kept long enough to settle any dispute about that call, and the signature verification result is what makes it worth keeping.</w:t>
            </w:r>
          </w:p>
        </w:tc>
      </w:tr>
    </w:tbl>
    <w:p>
      <w:pPr>
        <w:spacing w:after="80"/>
      </w:pPr>
    </w:p>
    <w:p>
      <w:pPr>
        <w:spacing w:before="140" w:after="180"/>
        <w:ind w:left="144"/>
        <w:shd w:val="clear" w:color="auto" w:fill="FEE2E2"/>
        <w:pBdr>
          <w:left w:val="single" w:sz="18" w:space="6" w:color="DC2626"/>
        </w:pBdr>
      </w:pPr>
      <w:r>
        <w:rPr>
          <w:rFonts w:ascii="Calibri" w:hAnsi="Calibri"/>
          <w:b/>
          <w:color w:val="DC2626"/>
          <w:sz w:val="19"/>
        </w:rPr>
        <w:t xml:space="preserve">Retention periods are not set in this document  </w:t>
      </w:r>
      <w:r>
        <w:rPr>
          <w:rFonts w:ascii="Calibri" w:hAnsi="Calibri"/>
          <w:b w:val="0"/>
          <w:i w:val="0"/>
          <w:color w:val="0B1F3A"/>
          <w:sz w:val="19"/>
        </w:rPr>
        <w:t xml:space="preserve">The table above gives a </w:t>
      </w:r>
      <w:r>
        <w:rPr>
          <w:rFonts w:ascii="Calibri" w:hAnsi="Calibri"/>
          <w:i/>
          <w:color w:val="0B1F3A"/>
          <w:sz w:val="19"/>
        </w:rPr>
        <w:t>shape</w:t>
      </w:r>
      <w:r>
        <w:rPr>
          <w:rFonts w:ascii="Calibri" w:hAnsi="Calibri"/>
          <w:b w:val="0"/>
          <w:i w:val="0"/>
          <w:color w:val="0B1F3A"/>
          <w:sz w:val="19"/>
        </w:rPr>
        <w:t xml:space="preserve"> of retention policy and deliberately gives no numbers, because every number in it is a legal or regulatory position rather than an engineering one. Specifically: the retention period for KYC and transaction records under Nigerian anti-money-laundering and anti-terrorist-financing obligations; whether that period overrides a data subject's erasure request under the Nigeria Data Protection Act 2023; the treatment of biometric-adjacent data captured for liveness verification; cross-border transfer of identity data to a verification or payment provider; and the record-keeping obligations that attach to complaints and disputes. Each of these requires confirmation by qualified Nigerian legal counsel, the appointed compliance adviser, and the payment partner before launch. The schema is built to accommodate whatever those answers turn out to be, which is why personal data and financial data are separable and why </w:t>
      </w:r>
      <w:r>
        <w:rPr>
          <w:rFonts w:ascii="Consolas" w:hAnsi="Consolas"/>
          <w:color w:val="146EF5"/>
          <w:sz w:val="19"/>
        </w:rPr>
        <w:t>documents</w:t>
      </w:r>
      <w:r>
        <w:rPr>
          <w:rFonts w:ascii="Calibri" w:hAnsi="Calibri"/>
          <w:b w:val="0"/>
          <w:i w:val="0"/>
          <w:color w:val="0B1F3A"/>
          <w:sz w:val="19"/>
        </w:rPr>
        <w:t xml:space="preserve"> has an </w:t>
      </w:r>
      <w:r>
        <w:rPr>
          <w:rFonts w:ascii="Consolas" w:hAnsi="Consolas"/>
          <w:color w:val="146EF5"/>
          <w:sz w:val="19"/>
        </w:rPr>
        <w:t>expires_at</w:t>
      </w:r>
      <w:r>
        <w:rPr>
          <w:rFonts w:ascii="Calibri" w:hAnsi="Calibri"/>
          <w:b w:val="0"/>
          <w:i w:val="0"/>
          <w:color w:val="0B1F3A"/>
          <w:sz w:val="19"/>
        </w:rPr>
        <w:t xml:space="preserve"> independent of the Ajo.</w:t>
      </w:r>
    </w:p>
    <w:p>
      <w:pPr>
        <w:spacing w:before="140" w:after="180"/>
        <w:ind w:left="144"/>
        <w:shd w:val="clear" w:color="auto" w:fill="FEF3C7"/>
        <w:pBdr>
          <w:left w:val="single" w:sz="18" w:space="6" w:color="FBBF24"/>
        </w:pBdr>
      </w:pPr>
      <w:r>
        <w:rPr>
          <w:rFonts w:ascii="Calibri" w:hAnsi="Calibri"/>
          <w:b/>
          <w:color w:val="FBBF24"/>
          <w:sz w:val="19"/>
        </w:rPr>
        <w:t xml:space="preserve">A backup is not a retention policy  </w:t>
      </w:r>
      <w:r>
        <w:rPr>
          <w:rFonts w:ascii="Calibri" w:hAnsi="Calibri"/>
          <w:b w:val="0"/>
          <w:i w:val="0"/>
          <w:color w:val="0B1F3A"/>
          <w:sz w:val="19"/>
        </w:rPr>
        <w:t>Erasure from the primary database does not erase a member's identity document from last night's base backup, from a replica, or from an object-storage version. Any genuine erasure programme must include the retention and expiry schedule for backups themselves, and that schedule is itself subject to the same legal confirmation as the primary policy. Section 12 in the companion schema section covers point-in-time recovery and states the same caveat again, because this is the assumption that quietly fails in most data-protection programmes.</w:t>
      </w:r>
    </w:p>
    <w:p>
      <w:pPr>
        <w:pStyle w:val="Heading2"/>
      </w:pPr>
      <w:r>
        <w:rPr>
          <w:rFonts w:ascii="Calibri" w:hAnsi="Calibri"/>
          <w:b/>
          <w:i w:val="0"/>
          <w:color w:val="146EF5"/>
          <w:sz w:val="29"/>
        </w:rPr>
        <w:t>8.10 Entity-to-API traceability</w:t>
      </w:r>
    </w:p>
    <w:p>
      <w:r>
        <w:rPr>
          <w:rFonts w:ascii="Calibri" w:hAnsi="Calibri"/>
          <w:b w:val="0"/>
          <w:i w:val="0"/>
          <w:color w:val="101828"/>
          <w:sz w:val="21"/>
        </w:rPr>
        <w:t>Every endpoint in CANONICAL.md section 6 and every table in this section, mapped to each other. The purpose is bidirectional and the test is symmetric: an entity with no endpoint is dead weight, and an endpoint with no entity cannot be implemented. Four tables have no public endpoint by design and are listed as such at the foot of the table, because an internal table is a legitimate answer and an unexplained one is not.</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4"/>
              </w:rPr>
              <w:t>Entity</w:t>
            </w:r>
          </w:p>
        </w:tc>
        <w:tc>
          <w:tcPr>
            <w:tcW w:type="dxa" w:w="1224"/>
            <w:shd w:val="clear" w:color="auto" w:fill="0B1F3A"/>
            <w:tcMar>
              <w:top w:w="60" w:type="dxa"/>
              <w:start w:w="110" w:type="dxa"/>
              <w:bottom w:w="60" w:type="dxa"/>
              <w:end w:w="110" w:type="dxa"/>
            </w:tcMar>
          </w:tcPr>
          <w:p>
            <w:pPr>
              <w:spacing w:after="0"/>
            </w:pPr>
            <w:r/>
            <w:r>
              <w:rPr>
                <w:rFonts w:ascii="Calibri" w:hAnsi="Calibri"/>
                <w:b/>
                <w:i w:val="0"/>
                <w:color w:val="FFFFFF"/>
                <w:sz w:val="14"/>
              </w:rPr>
              <w:t>Endpoint group</w:t>
            </w:r>
          </w:p>
        </w:tc>
        <w:tc>
          <w:tcPr>
            <w:tcW w:type="dxa" w:w="3744"/>
            <w:shd w:val="clear" w:color="auto" w:fill="0B1F3A"/>
            <w:tcMar>
              <w:top w:w="60" w:type="dxa"/>
              <w:start w:w="110" w:type="dxa"/>
              <w:bottom w:w="60" w:type="dxa"/>
              <w:end w:w="110" w:type="dxa"/>
            </w:tcMar>
          </w:tcPr>
          <w:p>
            <w:pPr>
              <w:spacing w:after="0"/>
            </w:pPr>
            <w:r/>
            <w:r>
              <w:rPr>
                <w:rFonts w:ascii="Calibri" w:hAnsi="Calibri"/>
                <w:b/>
                <w:i w:val="0"/>
                <w:color w:val="FFFFFF"/>
                <w:sz w:val="14"/>
              </w:rPr>
              <w:t>Endpoints (CAN §6)</w:t>
            </w:r>
          </w:p>
        </w:tc>
        <w:tc>
          <w:tcPr>
            <w:tcW w:type="dxa" w:w="2520"/>
            <w:shd w:val="clear" w:color="auto" w:fill="0B1F3A"/>
            <w:tcMar>
              <w:top w:w="60" w:type="dxa"/>
              <w:start w:w="110" w:type="dxa"/>
              <w:bottom w:w="60" w:type="dxa"/>
              <w:end w:w="110" w:type="dxa"/>
            </w:tcMar>
          </w:tcPr>
          <w:p>
            <w:pPr>
              <w:spacing w:after="0"/>
            </w:pPr>
            <w:r/>
            <w:r>
              <w:rPr>
                <w:rFonts w:ascii="Calibri" w:hAnsi="Calibri"/>
                <w:b/>
                <w:i w:val="0"/>
                <w:color w:val="FFFFFF"/>
                <w:sz w:val="14"/>
              </w:rPr>
              <w:t>Notes</w:t>
            </w:r>
          </w:p>
        </w:tc>
      </w:tr>
      <w:tr>
        <w:trPr>
          <w:cantSplit/>
        </w:trPr>
        <w:tc>
          <w:tcPr>
            <w:tcW w:type="dxa" w:w="1872"/>
            <w:tcMar>
              <w:top w:w="60" w:type="dxa"/>
              <w:start w:w="110" w:type="dxa"/>
              <w:bottom w:w="60" w:type="dxa"/>
              <w:end w:w="110" w:type="dxa"/>
            </w:tcMar>
          </w:tcPr>
          <w:p>
            <w:pPr>
              <w:spacing w:after="0"/>
            </w:pPr>
            <w:r/>
            <w:r>
              <w:rPr>
                <w:rFonts w:ascii="Consolas" w:hAnsi="Consolas"/>
                <w:color w:val="146EF5"/>
                <w:sz w:val="14"/>
              </w:rPr>
              <w:t>users</w:t>
            </w:r>
          </w:p>
        </w:tc>
        <w:tc>
          <w:tcPr>
            <w:tcW w:type="dxa" w:w="1224"/>
            <w:tcMar>
              <w:top w:w="60" w:type="dxa"/>
              <w:start w:w="110" w:type="dxa"/>
              <w:bottom w:w="60" w:type="dxa"/>
              <w:end w:w="110" w:type="dxa"/>
            </w:tcMar>
          </w:tcPr>
          <w:p>
            <w:pPr>
              <w:spacing w:after="0"/>
            </w:pPr>
            <w:r/>
            <w:r>
              <w:rPr>
                <w:rFonts w:ascii="Calibri" w:hAnsi="Calibri"/>
                <w:b w:val="0"/>
                <w:i w:val="0"/>
                <w:color w:val="101828"/>
                <w:sz w:val="14"/>
              </w:rPr>
              <w:t>Auth, Profile, Admin</w:t>
            </w:r>
          </w:p>
        </w:tc>
        <w:tc>
          <w:tcPr>
            <w:tcW w:type="dxa" w:w="3744"/>
            <w:tcMar>
              <w:top w:w="60" w:type="dxa"/>
              <w:start w:w="110" w:type="dxa"/>
              <w:bottom w:w="60" w:type="dxa"/>
              <w:end w:w="110" w:type="dxa"/>
            </w:tcMar>
          </w:tcPr>
          <w:p>
            <w:pPr>
              <w:spacing w:after="0"/>
            </w:pPr>
            <w:r/>
            <w:r>
              <w:rPr>
                <w:rFonts w:ascii="Consolas" w:hAnsi="Consolas"/>
                <w:color w:val="146EF5"/>
                <w:sz w:val="14"/>
              </w:rPr>
              <w:t>POST /auth/register</w:t>
            </w:r>
            <w:r>
              <w:rPr>
                <w:rFonts w:ascii="Calibri" w:hAnsi="Calibri"/>
                <w:b w:val="0"/>
                <w:i w:val="0"/>
                <w:color w:val="101828"/>
                <w:sz w:val="14"/>
              </w:rPr>
              <w:t xml:space="preserve">, </w:t>
            </w:r>
            <w:r>
              <w:rPr>
                <w:rFonts w:ascii="Consolas" w:hAnsi="Consolas"/>
                <w:color w:val="146EF5"/>
                <w:sz w:val="14"/>
              </w:rPr>
              <w:t>/auth/login</w:t>
            </w:r>
            <w:r>
              <w:rPr>
                <w:rFonts w:ascii="Calibri" w:hAnsi="Calibri"/>
                <w:b w:val="0"/>
                <w:i w:val="0"/>
                <w:color w:val="101828"/>
                <w:sz w:val="14"/>
              </w:rPr>
              <w:t xml:space="preserve">, </w:t>
            </w:r>
            <w:r>
              <w:rPr>
                <w:rFonts w:ascii="Consolas" w:hAnsi="Consolas"/>
                <w:color w:val="146EF5"/>
                <w:sz w:val="14"/>
              </w:rPr>
              <w:t>/auth/refresh</w:t>
            </w:r>
            <w:r>
              <w:rPr>
                <w:rFonts w:ascii="Calibri" w:hAnsi="Calibri"/>
                <w:b w:val="0"/>
                <w:i w:val="0"/>
                <w:color w:val="101828"/>
                <w:sz w:val="14"/>
              </w:rPr>
              <w:t xml:space="preserve">, </w:t>
            </w:r>
            <w:r>
              <w:rPr>
                <w:rFonts w:ascii="Consolas" w:hAnsi="Consolas"/>
                <w:color w:val="146EF5"/>
                <w:sz w:val="14"/>
              </w:rPr>
              <w:t>/auth/logout</w:t>
            </w:r>
            <w:r>
              <w:rPr>
                <w:rFonts w:ascii="Calibri" w:hAnsi="Calibri"/>
                <w:b w:val="0"/>
                <w:i w:val="0"/>
                <w:color w:val="101828"/>
                <w:sz w:val="14"/>
              </w:rPr>
              <w:t xml:space="preserve">, </w:t>
            </w:r>
            <w:r>
              <w:rPr>
                <w:rFonts w:ascii="Consolas" w:hAnsi="Consolas"/>
                <w:color w:val="146EF5"/>
                <w:sz w:val="14"/>
              </w:rPr>
              <w:t>/auth/verify-email</w:t>
            </w:r>
            <w:r>
              <w:rPr>
                <w:rFonts w:ascii="Calibri" w:hAnsi="Calibri"/>
                <w:b w:val="0"/>
                <w:i w:val="0"/>
                <w:color w:val="101828"/>
                <w:sz w:val="14"/>
              </w:rPr>
              <w:t xml:space="preserve">, </w:t>
            </w:r>
            <w:r>
              <w:rPr>
                <w:rFonts w:ascii="Consolas" w:hAnsi="Consolas"/>
                <w:color w:val="146EF5"/>
                <w:sz w:val="14"/>
              </w:rPr>
              <w:t>/auth/otp/*</w:t>
            </w:r>
            <w:r>
              <w:rPr>
                <w:rFonts w:ascii="Calibri" w:hAnsi="Calibri"/>
                <w:b w:val="0"/>
                <w:i w:val="0"/>
                <w:color w:val="101828"/>
                <w:sz w:val="14"/>
              </w:rPr>
              <w:t xml:space="preserve">, </w:t>
            </w:r>
            <w:r>
              <w:rPr>
                <w:rFonts w:ascii="Consolas" w:hAnsi="Consolas"/>
                <w:color w:val="146EF5"/>
                <w:sz w:val="14"/>
              </w:rPr>
              <w:t>/auth/password/*</w:t>
            </w:r>
            <w:r>
              <w:rPr>
                <w:rFonts w:ascii="Calibri" w:hAnsi="Calibri"/>
                <w:b w:val="0"/>
                <w:i w:val="0"/>
                <w:color w:val="101828"/>
                <w:sz w:val="14"/>
              </w:rPr>
              <w:t xml:space="preserve">, </w:t>
            </w:r>
            <w:r>
              <w:rPr>
                <w:rFonts w:ascii="Consolas" w:hAnsi="Consolas"/>
                <w:color w:val="146EF5"/>
                <w:sz w:val="14"/>
              </w:rPr>
              <w:t>GET/PATCH /profile</w:t>
            </w:r>
            <w:r>
              <w:rPr>
                <w:rFonts w:ascii="Calibri" w:hAnsi="Calibri"/>
                <w:b w:val="0"/>
                <w:i w:val="0"/>
                <w:color w:val="101828"/>
                <w:sz w:val="14"/>
              </w:rPr>
              <w:t xml:space="preserve">, </w:t>
            </w:r>
            <w:r>
              <w:rPr>
                <w:rFonts w:ascii="Consolas" w:hAnsi="Consolas"/>
                <w:color w:val="146EF5"/>
                <w:sz w:val="14"/>
              </w:rPr>
              <w:t>GET /admin/users</w:t>
            </w:r>
            <w:r>
              <w:rPr>
                <w:rFonts w:ascii="Calibri" w:hAnsi="Calibri"/>
                <w:b w:val="0"/>
                <w:i w:val="0"/>
                <w:color w:val="101828"/>
                <w:sz w:val="14"/>
              </w:rPr>
              <w:t xml:space="preserve">, </w:t>
            </w:r>
            <w:r>
              <w:rPr>
                <w:rFonts w:ascii="Consolas" w:hAnsi="Consolas"/>
                <w:color w:val="146EF5"/>
                <w:sz w:val="14"/>
              </w:rPr>
              <w:t>POST /admin/users/:id/freeze</w:t>
            </w:r>
          </w:p>
        </w:tc>
        <w:tc>
          <w:tcPr>
            <w:tcW w:type="dxa" w:w="2520"/>
            <w:tcMar>
              <w:top w:w="60" w:type="dxa"/>
              <w:start w:w="110" w:type="dxa"/>
              <w:bottom w:w="60" w:type="dxa"/>
              <w:end w:w="110" w:type="dxa"/>
            </w:tcMar>
          </w:tcPr>
          <w:p>
            <w:pPr>
              <w:spacing w:after="0"/>
            </w:pPr>
            <w:r/>
            <w:r>
              <w:rPr>
                <w:rFonts w:ascii="Calibri" w:hAnsi="Calibri"/>
                <w:b w:val="0"/>
                <w:i w:val="0"/>
                <w:color w:val="101828"/>
                <w:sz w:val="14"/>
              </w:rPr>
              <w:t xml:space="preserve">The auth endpoints write </w:t>
            </w:r>
            <w:r>
              <w:rPr>
                <w:rFonts w:ascii="Consolas" w:hAnsi="Consolas"/>
                <w:color w:val="146EF5"/>
                <w:sz w:val="14"/>
              </w:rPr>
              <w:t>users</w:t>
            </w:r>
            <w:r>
              <w:rPr>
                <w:rFonts w:ascii="Calibri" w:hAnsi="Calibri"/>
                <w:b w:val="0"/>
                <w:i w:val="0"/>
                <w:color w:val="101828"/>
                <w:sz w:val="14"/>
              </w:rPr>
              <w:t xml:space="preserve"> and </w:t>
            </w:r>
            <w:r>
              <w:rPr>
                <w:rFonts w:ascii="Consolas" w:hAnsi="Consolas"/>
                <w:color w:val="146EF5"/>
                <w:sz w:val="14"/>
              </w:rPr>
              <w:t>sessions</w:t>
            </w:r>
            <w:r>
              <w:rPr>
                <w:rFonts w:ascii="Calibri" w:hAnsi="Calibri"/>
                <w:b w:val="0"/>
                <w:i w:val="0"/>
                <w:color w:val="101828"/>
                <w:sz w:val="14"/>
              </w:rPr>
              <w:t xml:space="preserve"> in one transaction. The </w:t>
            </w:r>
            <w:r>
              <w:rPr>
                <w:rFonts w:ascii="Consolas" w:hAnsi="Consolas"/>
                <w:color w:val="146EF5"/>
                <w:sz w:val="14"/>
              </w:rPr>
              <w:t>admin/users/:id/freeze</w:t>
            </w:r>
            <w:r>
              <w:rPr>
                <w:rFonts w:ascii="Calibri" w:hAnsi="Calibri"/>
                <w:b w:val="0"/>
                <w:i w:val="0"/>
                <w:color w:val="101828"/>
                <w:sz w:val="14"/>
              </w:rPr>
              <w:t xml:space="preserve"> endpoint sets </w:t>
            </w:r>
            <w:r>
              <w:rPr>
                <w:rFonts w:ascii="Consolas" w:hAnsi="Consolas"/>
                <w:color w:val="146EF5"/>
                <w:sz w:val="14"/>
              </w:rPr>
              <w:t>status='frozen'</w:t>
            </w:r>
            <w:r>
              <w:rPr>
                <w:rFonts w:ascii="Calibri" w:hAnsi="Calibri"/>
                <w:b w:val="0"/>
                <w:i w:val="0"/>
                <w:color w:val="101828"/>
                <w:sz w:val="14"/>
              </w:rPr>
              <w:t xml:space="preserve"> and writes a </w:t>
            </w:r>
            <w:r>
              <w:rPr>
                <w:rFonts w:ascii="Consolas" w:hAnsi="Consolas"/>
                <w:color w:val="146EF5"/>
                <w:sz w:val="14"/>
              </w:rPr>
              <w:t>risk_events</w:t>
            </w:r>
            <w:r>
              <w:rPr>
                <w:rFonts w:ascii="Calibri" w:hAnsi="Calibri"/>
                <w:b w:val="0"/>
                <w:i w:val="0"/>
                <w:color w:val="101828"/>
                <w:sz w:val="14"/>
              </w:rPr>
              <w:t xml:space="preserve"> row.</w:t>
            </w:r>
          </w:p>
        </w:tc>
      </w:tr>
      <w:tr>
        <w:trPr>
          <w:cantSplit/>
        </w:trPr>
        <w:tc>
          <w:tcPr>
            <w:tcW w:type="dxa" w:w="1872"/>
            <w:tcMar>
              <w:top w:w="60" w:type="dxa"/>
              <w:start w:w="110" w:type="dxa"/>
              <w:bottom w:w="60" w:type="dxa"/>
              <w:end w:w="110" w:type="dxa"/>
            </w:tcMar>
            <w:shd w:val="clear" w:color="auto" w:fill="F4F7FB"/>
          </w:tcPr>
          <w:p>
            <w:pPr>
              <w:spacing w:after="0"/>
            </w:pPr>
            <w:r/>
            <w:r>
              <w:rPr>
                <w:rFonts w:ascii="Consolas" w:hAnsi="Consolas"/>
                <w:color w:val="146EF5"/>
                <w:sz w:val="14"/>
              </w:rPr>
              <w:t>profiles</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Profile</w:t>
            </w:r>
          </w:p>
        </w:tc>
        <w:tc>
          <w:tcPr>
            <w:tcW w:type="dxa" w:w="3744"/>
            <w:tcMar>
              <w:top w:w="60" w:type="dxa"/>
              <w:start w:w="110" w:type="dxa"/>
              <w:bottom w:w="60" w:type="dxa"/>
              <w:end w:w="110" w:type="dxa"/>
            </w:tcMar>
            <w:shd w:val="clear" w:color="auto" w:fill="F4F7FB"/>
          </w:tcPr>
          <w:p>
            <w:pPr>
              <w:spacing w:after="0"/>
            </w:pPr>
            <w:r/>
            <w:r>
              <w:rPr>
                <w:rFonts w:ascii="Consolas" w:hAnsi="Consolas"/>
                <w:color w:val="146EF5"/>
                <w:sz w:val="14"/>
              </w:rPr>
              <w:t>GET/PATCH /profile</w:t>
            </w:r>
            <w:r>
              <w:rPr>
                <w:rFonts w:ascii="Calibri" w:hAnsi="Calibri"/>
                <w:b w:val="0"/>
                <w:i w:val="0"/>
                <w:color w:val="101828"/>
                <w:sz w:val="14"/>
              </w:rPr>
              <w:t xml:space="preserve">, </w:t>
            </w:r>
            <w:r>
              <w:rPr>
                <w:rFonts w:ascii="Consolas" w:hAnsi="Consolas"/>
                <w:color w:val="146EF5"/>
                <w:sz w:val="14"/>
              </w:rPr>
              <w:t>POST /profile/avatar</w:t>
            </w:r>
            <w:r>
              <w:rPr>
                <w:rFonts w:ascii="Calibri" w:hAnsi="Calibri"/>
                <w:b w:val="0"/>
                <w:i w:val="0"/>
                <w:color w:val="101828"/>
                <w:sz w:val="14"/>
              </w:rPr>
              <w:t xml:space="preserve">, </w:t>
            </w:r>
            <w:r>
              <w:rPr>
                <w:rFonts w:ascii="Consolas" w:hAnsi="Consolas"/>
                <w:color w:val="146EF5"/>
                <w:sz w:val="14"/>
              </w:rPr>
              <w:t>GET /profile/financial-summary</w:t>
            </w:r>
          </w:p>
        </w:tc>
        <w:tc>
          <w:tcPr>
            <w:tcW w:type="dxa" w:w="2520"/>
            <w:tcMar>
              <w:top w:w="60" w:type="dxa"/>
              <w:start w:w="110" w:type="dxa"/>
              <w:bottom w:w="60" w:type="dxa"/>
              <w:end w:w="110" w:type="dxa"/>
            </w:tcMar>
            <w:shd w:val="clear" w:color="auto" w:fill="F4F7FB"/>
          </w:tcPr>
          <w:p>
            <w:pPr>
              <w:spacing w:after="0"/>
            </w:pPr>
            <w:r/>
            <w:r>
              <w:rPr>
                <w:rFonts w:ascii="Consolas" w:hAnsi="Consolas"/>
                <w:color w:val="146EF5"/>
                <w:sz w:val="14"/>
              </w:rPr>
              <w:t>financial-summary</w:t>
            </w:r>
            <w:r>
              <w:rPr>
                <w:rFonts w:ascii="Calibri" w:hAnsi="Calibri"/>
                <w:b w:val="0"/>
                <w:i w:val="0"/>
                <w:color w:val="101828"/>
                <w:sz w:val="14"/>
              </w:rPr>
              <w:t xml:space="preserve"> is a read across </w:t>
            </w:r>
            <w:r>
              <w:rPr>
                <w:rFonts w:ascii="Consolas" w:hAnsi="Consolas"/>
                <w:color w:val="146EF5"/>
                <w:sz w:val="14"/>
              </w:rPr>
              <w:t>contributions</w:t>
            </w:r>
            <w:r>
              <w:rPr>
                <w:rFonts w:ascii="Calibri" w:hAnsi="Calibri"/>
                <w:b w:val="0"/>
                <w:i w:val="0"/>
                <w:color w:val="101828"/>
                <w:sz w:val="14"/>
              </w:rPr>
              <w:t xml:space="preserve">, </w:t>
            </w:r>
            <w:r>
              <w:rPr>
                <w:rFonts w:ascii="Consolas" w:hAnsi="Consolas"/>
                <w:color w:val="146EF5"/>
                <w:sz w:val="14"/>
              </w:rPr>
              <w:t>payouts</w:t>
            </w:r>
            <w:r>
              <w:rPr>
                <w:rFonts w:ascii="Calibri" w:hAnsi="Calibri"/>
                <w:b w:val="0"/>
                <w:i w:val="0"/>
                <w:color w:val="101828"/>
                <w:sz w:val="14"/>
              </w:rPr>
              <w:t xml:space="preserve"> and the ledger; it is the one place where the product shows a member a number they did not ask for.</w:t>
            </w:r>
          </w:p>
        </w:tc>
      </w:tr>
      <w:tr>
        <w:trPr>
          <w:cantSplit/>
        </w:trPr>
        <w:tc>
          <w:tcPr>
            <w:tcW w:type="dxa" w:w="1872"/>
            <w:tcMar>
              <w:top w:w="60" w:type="dxa"/>
              <w:start w:w="110" w:type="dxa"/>
              <w:bottom w:w="60" w:type="dxa"/>
              <w:end w:w="110" w:type="dxa"/>
            </w:tcMar>
          </w:tcPr>
          <w:p>
            <w:pPr>
              <w:spacing w:after="0"/>
            </w:pPr>
            <w:r/>
            <w:r>
              <w:rPr>
                <w:rFonts w:ascii="Consolas" w:hAnsi="Consolas"/>
                <w:color w:val="146EF5"/>
                <w:sz w:val="14"/>
              </w:rPr>
              <w:t>sessions</w:t>
            </w:r>
            <w:r>
              <w:rPr>
                <w:rFonts w:ascii="Calibri" w:hAnsi="Calibri"/>
                <w:b w:val="0"/>
                <w:i w:val="0"/>
                <w:color w:val="101828"/>
                <w:sz w:val="14"/>
              </w:rPr>
              <w:t xml:space="preserve">, </w:t>
            </w:r>
            <w:r>
              <w:rPr>
                <w:rFonts w:ascii="Consolas" w:hAnsi="Consolas"/>
                <w:color w:val="146EF5"/>
                <w:sz w:val="14"/>
              </w:rPr>
              <w:t>device_tokens</w:t>
            </w:r>
          </w:p>
        </w:tc>
        <w:tc>
          <w:tcPr>
            <w:tcW w:type="dxa" w:w="1224"/>
            <w:tcMar>
              <w:top w:w="60" w:type="dxa"/>
              <w:start w:w="110" w:type="dxa"/>
              <w:bottom w:w="60" w:type="dxa"/>
              <w:end w:w="110" w:type="dxa"/>
            </w:tcMar>
          </w:tcPr>
          <w:p>
            <w:pPr>
              <w:spacing w:after="0"/>
            </w:pPr>
            <w:r/>
            <w:r>
              <w:rPr>
                <w:rFonts w:ascii="Calibri" w:hAnsi="Calibri"/>
                <w:b w:val="0"/>
                <w:i w:val="0"/>
                <w:color w:val="101828"/>
                <w:sz w:val="14"/>
              </w:rPr>
              <w:t>Auth</w:t>
            </w:r>
          </w:p>
        </w:tc>
        <w:tc>
          <w:tcPr>
            <w:tcW w:type="dxa" w:w="3744"/>
            <w:tcMar>
              <w:top w:w="60" w:type="dxa"/>
              <w:start w:w="110" w:type="dxa"/>
              <w:bottom w:w="60" w:type="dxa"/>
              <w:end w:w="110" w:type="dxa"/>
            </w:tcMar>
          </w:tcPr>
          <w:p>
            <w:pPr>
              <w:spacing w:after="0"/>
            </w:pPr>
            <w:r/>
            <w:r>
              <w:rPr>
                <w:rFonts w:ascii="Consolas" w:hAnsi="Consolas"/>
                <w:color w:val="146EF5"/>
                <w:sz w:val="14"/>
              </w:rPr>
              <w:t>GET /auth/sessions</w:t>
            </w:r>
            <w:r>
              <w:rPr>
                <w:rFonts w:ascii="Calibri" w:hAnsi="Calibri"/>
                <w:b w:val="0"/>
                <w:i w:val="0"/>
                <w:color w:val="101828"/>
                <w:sz w:val="14"/>
              </w:rPr>
              <w:t xml:space="preserve">, </w:t>
            </w:r>
            <w:r>
              <w:rPr>
                <w:rFonts w:ascii="Consolas" w:hAnsi="Consolas"/>
                <w:color w:val="146EF5"/>
                <w:sz w:val="14"/>
              </w:rPr>
              <w:t>DELETE /auth/sessions/:id</w:t>
            </w:r>
          </w:p>
        </w:tc>
        <w:tc>
          <w:tcPr>
            <w:tcW w:type="dxa" w:w="2520"/>
            <w:tcMar>
              <w:top w:w="60" w:type="dxa"/>
              <w:start w:w="110" w:type="dxa"/>
              <w:bottom w:w="60" w:type="dxa"/>
              <w:end w:w="110" w:type="dxa"/>
            </w:tcMar>
          </w:tcPr>
          <w:p>
            <w:pPr>
              <w:spacing w:after="0"/>
            </w:pPr>
            <w:r/>
            <w:r>
              <w:rPr>
                <w:rFonts w:ascii="Consolas" w:hAnsi="Consolas"/>
                <w:color w:val="146EF5"/>
                <w:sz w:val="14"/>
              </w:rPr>
              <w:t>DELETE</w:t>
            </w:r>
            <w:r>
              <w:rPr>
                <w:rFonts w:ascii="Calibri" w:hAnsi="Calibri"/>
                <w:b w:val="0"/>
                <w:i w:val="0"/>
                <w:color w:val="101828"/>
                <w:sz w:val="14"/>
              </w:rPr>
              <w:t xml:space="preserve"> is a revocation (</w:t>
            </w:r>
            <w:r>
              <w:rPr>
                <w:rFonts w:ascii="Consolas" w:hAnsi="Consolas"/>
                <w:color w:val="146EF5"/>
                <w:sz w:val="14"/>
              </w:rPr>
              <w:t>revoked_at</w:t>
            </w:r>
            <w:r>
              <w:rPr>
                <w:rFonts w:ascii="Calibri" w:hAnsi="Calibri"/>
                <w:b w:val="0"/>
                <w:i w:val="0"/>
                <w:color w:val="101828"/>
                <w:sz w:val="14"/>
              </w:rPr>
              <w:t xml:space="preserve">), not a row delete, so that a stolen session's use is still visible in </w:t>
            </w:r>
            <w:r>
              <w:rPr>
                <w:rFonts w:ascii="Consolas" w:hAnsi="Consolas"/>
                <w:color w:val="146EF5"/>
                <w:sz w:val="14"/>
              </w:rPr>
              <w:t>audit_logs</w:t>
            </w:r>
            <w:r>
              <w:rPr>
                <w:rFonts w:ascii="Calibri" w:hAnsi="Calibri"/>
                <w:b w:val="0"/>
                <w:i w:val="0"/>
                <w:color w:val="101828"/>
                <w:sz w:val="14"/>
              </w:rPr>
              <w:t>.</w:t>
            </w:r>
          </w:p>
        </w:tc>
      </w:tr>
      <w:tr>
        <w:trPr>
          <w:cantSplit/>
        </w:trPr>
        <w:tc>
          <w:tcPr>
            <w:tcW w:type="dxa" w:w="1872"/>
            <w:tcMar>
              <w:top w:w="60" w:type="dxa"/>
              <w:start w:w="110" w:type="dxa"/>
              <w:bottom w:w="60" w:type="dxa"/>
              <w:end w:w="110" w:type="dxa"/>
            </w:tcMar>
            <w:shd w:val="clear" w:color="auto" w:fill="F4F7FB"/>
          </w:tcPr>
          <w:p>
            <w:pPr>
              <w:spacing w:after="0"/>
            </w:pPr>
            <w:r/>
            <w:r>
              <w:rPr>
                <w:rFonts w:ascii="Consolas" w:hAnsi="Consolas"/>
                <w:color w:val="146EF5"/>
                <w:sz w:val="14"/>
              </w:rPr>
              <w:t>verification_checks</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Verification</w:t>
            </w:r>
          </w:p>
        </w:tc>
        <w:tc>
          <w:tcPr>
            <w:tcW w:type="dxa" w:w="3744"/>
            <w:tcMar>
              <w:top w:w="60" w:type="dxa"/>
              <w:start w:w="110" w:type="dxa"/>
              <w:bottom w:w="60" w:type="dxa"/>
              <w:end w:w="110" w:type="dxa"/>
            </w:tcMar>
            <w:shd w:val="clear" w:color="auto" w:fill="F4F7FB"/>
          </w:tcPr>
          <w:p>
            <w:pPr>
              <w:spacing w:after="0"/>
            </w:pPr>
            <w:r/>
            <w:r>
              <w:rPr>
                <w:rFonts w:ascii="Consolas" w:hAnsi="Consolas"/>
                <w:color w:val="146EF5"/>
                <w:sz w:val="14"/>
              </w:rPr>
              <w:t>POST /verification/identity</w:t>
            </w:r>
            <w:r>
              <w:rPr>
                <w:rFonts w:ascii="Calibri" w:hAnsi="Calibri"/>
                <w:b w:val="0"/>
                <w:i w:val="0"/>
                <w:color w:val="101828"/>
                <w:sz w:val="14"/>
              </w:rPr>
              <w:t xml:space="preserve">, </w:t>
            </w:r>
            <w:r>
              <w:rPr>
                <w:rFonts w:ascii="Consolas" w:hAnsi="Consolas"/>
                <w:color w:val="146EF5"/>
                <w:sz w:val="14"/>
              </w:rPr>
              <w:t>GET /verification/:id</w:t>
            </w:r>
            <w:r>
              <w:rPr>
                <w:rFonts w:ascii="Calibri" w:hAnsi="Calibri"/>
                <w:b w:val="0"/>
                <w:i w:val="0"/>
                <w:color w:val="101828"/>
                <w:sz w:val="14"/>
              </w:rPr>
              <w:t xml:space="preserve">, </w:t>
            </w:r>
            <w:r>
              <w:rPr>
                <w:rFonts w:ascii="Consolas" w:hAnsi="Consolas"/>
                <w:color w:val="146EF5"/>
                <w:sz w:val="14"/>
              </w:rPr>
              <w:t>POST /verification/bvn</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Each call creates a new check row. A rejection writes a new check, never an update of the previous one.</w:t>
            </w:r>
          </w:p>
        </w:tc>
      </w:tr>
      <w:tr>
        <w:trPr>
          <w:cantSplit/>
        </w:trPr>
        <w:tc>
          <w:tcPr>
            <w:tcW w:type="dxa" w:w="1872"/>
            <w:tcMar>
              <w:top w:w="60" w:type="dxa"/>
              <w:start w:w="110" w:type="dxa"/>
              <w:bottom w:w="60" w:type="dxa"/>
              <w:end w:w="110" w:type="dxa"/>
            </w:tcMar>
          </w:tcPr>
          <w:p>
            <w:pPr>
              <w:spacing w:after="0"/>
            </w:pPr>
            <w:r/>
            <w:r>
              <w:rPr>
                <w:rFonts w:ascii="Consolas" w:hAnsi="Consolas"/>
                <w:color w:val="146EF5"/>
                <w:sz w:val="14"/>
              </w:rPr>
              <w:t>documents</w:t>
            </w:r>
          </w:p>
        </w:tc>
        <w:tc>
          <w:tcPr>
            <w:tcW w:type="dxa" w:w="1224"/>
            <w:tcMar>
              <w:top w:w="60" w:type="dxa"/>
              <w:start w:w="110" w:type="dxa"/>
              <w:bottom w:w="60" w:type="dxa"/>
              <w:end w:w="110" w:type="dxa"/>
            </w:tcMar>
          </w:tcPr>
          <w:p>
            <w:pPr>
              <w:spacing w:after="0"/>
            </w:pPr>
            <w:r/>
            <w:r>
              <w:rPr>
                <w:rFonts w:ascii="Calibri" w:hAnsi="Calibri"/>
                <w:b w:val="0"/>
                <w:i w:val="0"/>
                <w:color w:val="101828"/>
                <w:sz w:val="14"/>
              </w:rPr>
              <w:t>Verification, Disputes, Profile</w:t>
            </w:r>
          </w:p>
        </w:tc>
        <w:tc>
          <w:tcPr>
            <w:tcW w:type="dxa" w:w="3744"/>
            <w:tcMar>
              <w:top w:w="60" w:type="dxa"/>
              <w:start w:w="110" w:type="dxa"/>
              <w:bottom w:w="60" w:type="dxa"/>
              <w:end w:w="110" w:type="dxa"/>
            </w:tcMar>
          </w:tcPr>
          <w:p>
            <w:pPr>
              <w:spacing w:after="0"/>
            </w:pPr>
            <w:r/>
            <w:r>
              <w:rPr>
                <w:rFonts w:ascii="Consolas" w:hAnsi="Consolas"/>
                <w:color w:val="146EF5"/>
                <w:sz w:val="14"/>
              </w:rPr>
              <w:t>POST /verification/identity</w:t>
            </w:r>
            <w:r>
              <w:rPr>
                <w:rFonts w:ascii="Calibri" w:hAnsi="Calibri"/>
                <w:b w:val="0"/>
                <w:i w:val="0"/>
                <w:color w:val="101828"/>
                <w:sz w:val="14"/>
              </w:rPr>
              <w:t xml:space="preserve">, </w:t>
            </w:r>
            <w:r>
              <w:rPr>
                <w:rFonts w:ascii="Consolas" w:hAnsi="Consolas"/>
                <w:color w:val="146EF5"/>
                <w:sz w:val="14"/>
              </w:rPr>
              <w:t>POST /disputes/:id/evidence</w:t>
            </w:r>
            <w:r>
              <w:rPr>
                <w:rFonts w:ascii="Calibri" w:hAnsi="Calibri"/>
                <w:b w:val="0"/>
                <w:i w:val="0"/>
                <w:color w:val="101828"/>
                <w:sz w:val="14"/>
              </w:rPr>
              <w:t xml:space="preserve">, </w:t>
            </w:r>
            <w:r>
              <w:rPr>
                <w:rFonts w:ascii="Consolas" w:hAnsi="Consolas"/>
                <w:color w:val="146EF5"/>
                <w:sz w:val="14"/>
              </w:rPr>
              <w:t>POST /profile/avatar</w:t>
            </w:r>
          </w:p>
        </w:tc>
        <w:tc>
          <w:tcPr>
            <w:tcW w:type="dxa" w:w="2520"/>
            <w:tcMar>
              <w:top w:w="60" w:type="dxa"/>
              <w:start w:w="110" w:type="dxa"/>
              <w:bottom w:w="60" w:type="dxa"/>
              <w:end w:w="110" w:type="dxa"/>
            </w:tcMar>
          </w:tcPr>
          <w:p>
            <w:pPr>
              <w:spacing w:after="0"/>
            </w:pPr>
            <w:r/>
            <w:r>
              <w:rPr>
                <w:rFonts w:ascii="Calibri" w:hAnsi="Calibri"/>
                <w:b w:val="0"/>
                <w:i w:val="0"/>
                <w:color w:val="101828"/>
                <w:sz w:val="14"/>
              </w:rPr>
              <w:t xml:space="preserve">The avatar upload writes a </w:t>
            </w:r>
            <w:r>
              <w:rPr>
                <w:rFonts w:ascii="Consolas" w:hAnsi="Consolas"/>
                <w:color w:val="146EF5"/>
                <w:sz w:val="14"/>
              </w:rPr>
              <w:t>documents</w:t>
            </w:r>
            <w:r>
              <w:rPr>
                <w:rFonts w:ascii="Calibri" w:hAnsi="Calibri"/>
                <w:b w:val="0"/>
                <w:i w:val="0"/>
                <w:color w:val="101828"/>
                <w:sz w:val="14"/>
              </w:rPr>
              <w:t xml:space="preserve"> row with </w:t>
            </w:r>
            <w:r>
              <w:rPr>
                <w:rFonts w:ascii="Consolas" w:hAnsi="Consolas"/>
                <w:color w:val="146EF5"/>
                <w:sz w:val="14"/>
              </w:rPr>
              <w:t>doc_type='avatar'</w:t>
            </w:r>
            <w:r>
              <w:rPr>
                <w:rFonts w:ascii="Calibri" w:hAnsi="Calibri"/>
                <w:b w:val="0"/>
                <w:i w:val="0"/>
                <w:color w:val="101828"/>
                <w:sz w:val="14"/>
              </w:rPr>
              <w:t xml:space="preserve"> and returns a signed URL.</w:t>
            </w:r>
          </w:p>
        </w:tc>
      </w:tr>
      <w:tr>
        <w:trPr>
          <w:cantSplit/>
        </w:trPr>
        <w:tc>
          <w:tcPr>
            <w:tcW w:type="dxa" w:w="1872"/>
            <w:tcMar>
              <w:top w:w="60" w:type="dxa"/>
              <w:start w:w="110" w:type="dxa"/>
              <w:bottom w:w="60" w:type="dxa"/>
              <w:end w:w="110" w:type="dxa"/>
            </w:tcMar>
            <w:shd w:val="clear" w:color="auto" w:fill="F4F7FB"/>
          </w:tcPr>
          <w:p>
            <w:pPr>
              <w:spacing w:after="0"/>
            </w:pPr>
            <w:r/>
            <w:r>
              <w:rPr>
                <w:rFonts w:ascii="Consolas" w:hAnsi="Consolas"/>
                <w:color w:val="146EF5"/>
                <w:sz w:val="14"/>
              </w:rPr>
              <w:t>admins</w:t>
            </w:r>
            <w:r>
              <w:rPr>
                <w:rFonts w:ascii="Calibri" w:hAnsi="Calibri"/>
                <w:b w:val="0"/>
                <w:i w:val="0"/>
                <w:color w:val="101828"/>
                <w:sz w:val="14"/>
              </w:rPr>
              <w:t xml:space="preserve">, </w:t>
            </w:r>
            <w:r>
              <w:rPr>
                <w:rFonts w:ascii="Consolas" w:hAnsi="Consolas"/>
                <w:color w:val="146EF5"/>
                <w:sz w:val="14"/>
              </w:rPr>
              <w:t>roles</w:t>
            </w:r>
            <w:r>
              <w:rPr>
                <w:rFonts w:ascii="Calibri" w:hAnsi="Calibri"/>
                <w:b w:val="0"/>
                <w:i w:val="0"/>
                <w:color w:val="101828"/>
                <w:sz w:val="14"/>
              </w:rPr>
              <w:t xml:space="preserve">, </w:t>
            </w:r>
            <w:r>
              <w:rPr>
                <w:rFonts w:ascii="Consolas" w:hAnsi="Consolas"/>
                <w:color w:val="146EF5"/>
                <w:sz w:val="14"/>
              </w:rPr>
              <w:t>role_assignments</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Admin</w:t>
            </w:r>
          </w:p>
        </w:tc>
        <w:tc>
          <w:tcPr>
            <w:tcW w:type="dxa" w:w="3744"/>
            <w:tcMar>
              <w:top w:w="60" w:type="dxa"/>
              <w:start w:w="110" w:type="dxa"/>
              <w:bottom w:w="60" w:type="dxa"/>
              <w:end w:w="110" w:type="dxa"/>
            </w:tcMar>
            <w:shd w:val="clear" w:color="auto" w:fill="F4F7FB"/>
          </w:tcPr>
          <w:p>
            <w:pPr>
              <w:spacing w:after="0"/>
            </w:pPr>
            <w:r/>
            <w:r>
              <w:rPr>
                <w:rFonts w:ascii="Consolas" w:hAnsi="Consolas"/>
                <w:color w:val="146EF5"/>
                <w:sz w:val="14"/>
              </w:rPr>
              <w:t>GET /admin/overview</w:t>
            </w:r>
            <w:r>
              <w:rPr>
                <w:rFonts w:ascii="Calibri" w:hAnsi="Calibri"/>
                <w:b w:val="0"/>
                <w:i w:val="0"/>
                <w:color w:val="101828"/>
                <w:sz w:val="14"/>
              </w:rPr>
              <w:t xml:space="preserve">, </w:t>
            </w:r>
            <w:r>
              <w:rPr>
                <w:rFonts w:ascii="Consolas" w:hAnsi="Consolas"/>
                <w:color w:val="146EF5"/>
                <w:sz w:val="14"/>
              </w:rPr>
              <w:t>GET /admin/users</w:t>
            </w:r>
            <w:r>
              <w:rPr>
                <w:rFonts w:ascii="Calibri" w:hAnsi="Calibri"/>
                <w:b w:val="0"/>
                <w:i w:val="0"/>
                <w:color w:val="101828"/>
                <w:sz w:val="14"/>
              </w:rPr>
              <w:t xml:space="preserve">, </w:t>
            </w:r>
            <w:r>
              <w:rPr>
                <w:rFonts w:ascii="Consolas" w:hAnsi="Consolas"/>
                <w:color w:val="146EF5"/>
                <w:sz w:val="14"/>
              </w:rPr>
              <w:t>GET /admin/audit-logs</w:t>
            </w:r>
            <w:r>
              <w:rPr>
                <w:rFonts w:ascii="Calibri" w:hAnsi="Calibri"/>
                <w:b w:val="0"/>
                <w:i w:val="0"/>
                <w:color w:val="101828"/>
                <w:sz w:val="14"/>
              </w:rPr>
              <w:t xml:space="preserve">, </w:t>
            </w:r>
            <w:r>
              <w:rPr>
                <w:rFonts w:ascii="Consolas" w:hAnsi="Consolas"/>
                <w:color w:val="146EF5"/>
                <w:sz w:val="14"/>
              </w:rPr>
              <w:t>GET /admin/reports/*</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There is deliberately no public endpoint that grants a role. Grants are made by the database owner role or by a signed administrative action in </w:t>
            </w:r>
            <w:r>
              <w:rPr>
                <w:rFonts w:ascii="Consolas" w:hAnsi="Consolas"/>
                <w:color w:val="146EF5"/>
                <w:sz w:val="14"/>
              </w:rPr>
              <w:t>audit_logs</w:t>
            </w:r>
            <w:r>
              <w:rPr>
                <w:rFonts w:ascii="Calibri" w:hAnsi="Calibri"/>
                <w:b w:val="0"/>
                <w:i w:val="0"/>
                <w:color w:val="101828"/>
                <w:sz w:val="14"/>
              </w:rPr>
              <w:t>, because a self-service role-grant endpoint is a privilege-escalation endpoint.</w:t>
            </w:r>
          </w:p>
        </w:tc>
      </w:tr>
      <w:tr>
        <w:trPr>
          <w:cantSplit/>
        </w:trPr>
        <w:tc>
          <w:tcPr>
            <w:tcW w:type="dxa" w:w="1872"/>
            <w:tcMar>
              <w:top w:w="60" w:type="dxa"/>
              <w:start w:w="110" w:type="dxa"/>
              <w:bottom w:w="60" w:type="dxa"/>
              <w:end w:w="110" w:type="dxa"/>
            </w:tcMar>
          </w:tcPr>
          <w:p>
            <w:pPr>
              <w:spacing w:after="0"/>
            </w:pPr>
            <w:r/>
            <w:r>
              <w:rPr>
                <w:rFonts w:ascii="Consolas" w:hAnsi="Consolas"/>
                <w:color w:val="146EF5"/>
                <w:sz w:val="14"/>
              </w:rPr>
              <w:t>platform_settings</w:t>
            </w:r>
          </w:p>
        </w:tc>
        <w:tc>
          <w:tcPr>
            <w:tcW w:type="dxa" w:w="1224"/>
            <w:tcMar>
              <w:top w:w="60" w:type="dxa"/>
              <w:start w:w="110" w:type="dxa"/>
              <w:bottom w:w="60" w:type="dxa"/>
              <w:end w:w="110" w:type="dxa"/>
            </w:tcMar>
          </w:tcPr>
          <w:p>
            <w:pPr>
              <w:spacing w:after="0"/>
            </w:pPr>
            <w:r/>
            <w:r>
              <w:rPr>
                <w:rFonts w:ascii="Calibri" w:hAnsi="Calibri"/>
                <w:b w:val="0"/>
                <w:i w:val="0"/>
                <w:color w:val="101828"/>
                <w:sz w:val="14"/>
              </w:rPr>
              <w:t>Admin</w:t>
            </w:r>
          </w:p>
        </w:tc>
        <w:tc>
          <w:tcPr>
            <w:tcW w:type="dxa" w:w="3744"/>
            <w:tcMar>
              <w:top w:w="60" w:type="dxa"/>
              <w:start w:w="110" w:type="dxa"/>
              <w:bottom w:w="60" w:type="dxa"/>
              <w:end w:w="110" w:type="dxa"/>
            </w:tcMar>
          </w:tcPr>
          <w:p>
            <w:pPr>
              <w:spacing w:after="0"/>
            </w:pPr>
            <w:r/>
            <w:r>
              <w:rPr>
                <w:rFonts w:ascii="Consolas" w:hAnsi="Consolas"/>
                <w:color w:val="146EF5"/>
                <w:sz w:val="14"/>
              </w:rPr>
              <w:t>GET /admin/reports/*</w:t>
            </w:r>
            <w:r>
              <w:rPr>
                <w:rFonts w:ascii="Calibri" w:hAnsi="Calibri"/>
                <w:b w:val="0"/>
                <w:i w:val="0"/>
                <w:color w:val="101828"/>
                <w:sz w:val="14"/>
              </w:rPr>
              <w:t xml:space="preserve"> (settings view)</w:t>
            </w:r>
          </w:p>
        </w:tc>
        <w:tc>
          <w:tcPr>
            <w:tcW w:type="dxa" w:w="2520"/>
            <w:tcMar>
              <w:top w:w="60" w:type="dxa"/>
              <w:start w:w="110" w:type="dxa"/>
              <w:bottom w:w="60" w:type="dxa"/>
              <w:end w:w="110" w:type="dxa"/>
            </w:tcMar>
          </w:tcPr>
          <w:p>
            <w:pPr>
              <w:spacing w:after="0"/>
            </w:pPr>
            <w:r/>
            <w:r>
              <w:rPr>
                <w:rFonts w:ascii="Calibri" w:hAnsi="Calibri"/>
                <w:b w:val="0"/>
                <w:i w:val="0"/>
                <w:color w:val="101828"/>
                <w:sz w:val="14"/>
              </w:rPr>
              <w:t>Read-only over HTTP in v1. Changing the fee rate is a migration, not an API call, per 8.8 CR-12.</w:t>
            </w:r>
          </w:p>
        </w:tc>
      </w:tr>
      <w:tr>
        <w:trPr>
          <w:cantSplit/>
        </w:trPr>
        <w:tc>
          <w:tcPr>
            <w:tcW w:type="dxa" w:w="1872"/>
            <w:tcMar>
              <w:top w:w="60" w:type="dxa"/>
              <w:start w:w="110" w:type="dxa"/>
              <w:bottom w:w="60" w:type="dxa"/>
              <w:end w:w="110" w:type="dxa"/>
            </w:tcMar>
            <w:shd w:val="clear" w:color="auto" w:fill="F4F7FB"/>
          </w:tcPr>
          <w:p>
            <w:pPr>
              <w:spacing w:after="0"/>
            </w:pPr>
            <w:r/>
            <w:r>
              <w:rPr>
                <w:rFonts w:ascii="Consolas" w:hAnsi="Consolas"/>
                <w:color w:val="146EF5"/>
                <w:sz w:val="14"/>
              </w:rPr>
              <w:t>ajos</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Ajos</w:t>
            </w:r>
          </w:p>
        </w:tc>
        <w:tc>
          <w:tcPr>
            <w:tcW w:type="dxa" w:w="3744"/>
            <w:tcMar>
              <w:top w:w="60" w:type="dxa"/>
              <w:start w:w="110" w:type="dxa"/>
              <w:bottom w:w="60" w:type="dxa"/>
              <w:end w:w="110" w:type="dxa"/>
            </w:tcMar>
            <w:shd w:val="clear" w:color="auto" w:fill="F4F7FB"/>
          </w:tcPr>
          <w:p>
            <w:pPr>
              <w:spacing w:after="0"/>
            </w:pPr>
            <w:r/>
            <w:r>
              <w:rPr>
                <w:rFonts w:ascii="Consolas" w:hAnsi="Consolas"/>
                <w:color w:val="146EF5"/>
                <w:sz w:val="14"/>
              </w:rPr>
              <w:t>POST /ajos</w:t>
            </w:r>
            <w:r>
              <w:rPr>
                <w:rFonts w:ascii="Calibri" w:hAnsi="Calibri"/>
                <w:b w:val="0"/>
                <w:i w:val="0"/>
                <w:color w:val="101828"/>
                <w:sz w:val="14"/>
              </w:rPr>
              <w:t xml:space="preserve">, </w:t>
            </w:r>
            <w:r>
              <w:rPr>
                <w:rFonts w:ascii="Consolas" w:hAnsi="Consolas"/>
                <w:color w:val="146EF5"/>
                <w:sz w:val="14"/>
              </w:rPr>
              <w:t>GET /ajos</w:t>
            </w:r>
            <w:r>
              <w:rPr>
                <w:rFonts w:ascii="Calibri" w:hAnsi="Calibri"/>
                <w:b w:val="0"/>
                <w:i w:val="0"/>
                <w:color w:val="101828"/>
                <w:sz w:val="14"/>
              </w:rPr>
              <w:t xml:space="preserve">, </w:t>
            </w:r>
            <w:r>
              <w:rPr>
                <w:rFonts w:ascii="Consolas" w:hAnsi="Consolas"/>
                <w:color w:val="146EF5"/>
                <w:sz w:val="14"/>
              </w:rPr>
              <w:t>GET /ajos/:id</w:t>
            </w:r>
            <w:r>
              <w:rPr>
                <w:rFonts w:ascii="Calibri" w:hAnsi="Calibri"/>
                <w:b w:val="0"/>
                <w:i w:val="0"/>
                <w:color w:val="101828"/>
                <w:sz w:val="14"/>
              </w:rPr>
              <w:t xml:space="preserve">, </w:t>
            </w:r>
            <w:r>
              <w:rPr>
                <w:rFonts w:ascii="Consolas" w:hAnsi="Consolas"/>
                <w:color w:val="146EF5"/>
                <w:sz w:val="14"/>
              </w:rPr>
              <w:t>PATCH /ajos/:id</w:t>
            </w:r>
            <w:r>
              <w:rPr>
                <w:rFonts w:ascii="Calibri" w:hAnsi="Calibri"/>
                <w:b w:val="0"/>
                <w:i w:val="0"/>
                <w:color w:val="101828"/>
                <w:sz w:val="14"/>
              </w:rPr>
              <w:t xml:space="preserve">, </w:t>
            </w:r>
            <w:r>
              <w:rPr>
                <w:rFonts w:ascii="Consolas" w:hAnsi="Consolas"/>
                <w:color w:val="146EF5"/>
                <w:sz w:val="14"/>
              </w:rPr>
              <w:t>POST /ajos/:id/activate</w:t>
            </w:r>
            <w:r>
              <w:rPr>
                <w:rFonts w:ascii="Calibri" w:hAnsi="Calibri"/>
                <w:b w:val="0"/>
                <w:i w:val="0"/>
                <w:color w:val="101828"/>
                <w:sz w:val="14"/>
              </w:rPr>
              <w:t xml:space="preserve">, </w:t>
            </w:r>
            <w:r>
              <w:rPr>
                <w:rFonts w:ascii="Consolas" w:hAnsi="Consolas"/>
                <w:color w:val="146EF5"/>
                <w:sz w:val="14"/>
              </w:rPr>
              <w:t>/cancel</w:t>
            </w:r>
            <w:r>
              <w:rPr>
                <w:rFonts w:ascii="Calibri" w:hAnsi="Calibri"/>
                <w:b w:val="0"/>
                <w:i w:val="0"/>
                <w:color w:val="101828"/>
                <w:sz w:val="14"/>
              </w:rPr>
              <w:t xml:space="preserve">, </w:t>
            </w:r>
            <w:r>
              <w:rPr>
                <w:rFonts w:ascii="Consolas" w:hAnsi="Consolas"/>
                <w:color w:val="146EF5"/>
                <w:sz w:val="14"/>
              </w:rPr>
              <w:t>/freeze</w:t>
            </w:r>
            <w:r>
              <w:rPr>
                <w:rFonts w:ascii="Calibri" w:hAnsi="Calibri"/>
                <w:b w:val="0"/>
                <w:i w:val="0"/>
                <w:color w:val="101828"/>
                <w:sz w:val="14"/>
              </w:rPr>
              <w:t xml:space="preserve">, </w:t>
            </w:r>
            <w:r>
              <w:rPr>
                <w:rFonts w:ascii="Consolas" w:hAnsi="Consolas"/>
                <w:color w:val="146EF5"/>
                <w:sz w:val="14"/>
              </w:rPr>
              <w:t>/unfreeze</w:t>
            </w:r>
            <w:r>
              <w:rPr>
                <w:rFonts w:ascii="Calibri" w:hAnsi="Calibri"/>
                <w:b w:val="0"/>
                <w:i w:val="0"/>
                <w:color w:val="101828"/>
                <w:sz w:val="14"/>
              </w:rPr>
              <w:t xml:space="preserve">, </w:t>
            </w:r>
            <w:r>
              <w:rPr>
                <w:rFonts w:ascii="Consolas" w:hAnsi="Consolas"/>
                <w:color w:val="146EF5"/>
                <w:sz w:val="14"/>
              </w:rPr>
              <w:t>GET /ajos/:id/summary</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six state-changing endpoints are the only places </w:t>
            </w:r>
            <w:r>
              <w:rPr>
                <w:rFonts w:ascii="Consolas" w:hAnsi="Consolas"/>
                <w:color w:val="146EF5"/>
                <w:sz w:val="14"/>
              </w:rPr>
              <w:t>ajos.status</w:t>
            </w:r>
            <w:r>
              <w:rPr>
                <w:rFonts w:ascii="Calibri" w:hAnsi="Calibri"/>
                <w:b w:val="0"/>
                <w:i w:val="0"/>
                <w:color w:val="101828"/>
                <w:sz w:val="14"/>
              </w:rPr>
              <w:t xml:space="preserve"> changes, and each one writes an </w:t>
            </w:r>
            <w:r>
              <w:rPr>
                <w:rFonts w:ascii="Consolas" w:hAnsi="Consolas"/>
                <w:color w:val="146EF5"/>
                <w:sz w:val="14"/>
              </w:rPr>
              <w:t>audit_logs</w:t>
            </w:r>
            <w:r>
              <w:rPr>
                <w:rFonts w:ascii="Calibri" w:hAnsi="Calibri"/>
                <w:b w:val="0"/>
                <w:i w:val="0"/>
                <w:color w:val="101828"/>
                <w:sz w:val="14"/>
              </w:rPr>
              <w:t xml:space="preserve"> row with the before and after images.</w:t>
            </w:r>
          </w:p>
        </w:tc>
      </w:tr>
      <w:tr>
        <w:trPr>
          <w:cantSplit/>
        </w:trPr>
        <w:tc>
          <w:tcPr>
            <w:tcW w:type="dxa" w:w="1872"/>
            <w:tcMar>
              <w:top w:w="60" w:type="dxa"/>
              <w:start w:w="110" w:type="dxa"/>
              <w:bottom w:w="60" w:type="dxa"/>
              <w:end w:w="110" w:type="dxa"/>
            </w:tcMar>
          </w:tcPr>
          <w:p>
            <w:pPr>
              <w:spacing w:after="0"/>
            </w:pPr>
            <w:r/>
            <w:r>
              <w:rPr>
                <w:rFonts w:ascii="Consolas" w:hAnsi="Consolas"/>
                <w:color w:val="146EF5"/>
                <w:sz w:val="14"/>
              </w:rPr>
              <w:t>ajo_positions</w:t>
            </w:r>
          </w:p>
        </w:tc>
        <w:tc>
          <w:tcPr>
            <w:tcW w:type="dxa" w:w="1224"/>
            <w:tcMar>
              <w:top w:w="60" w:type="dxa"/>
              <w:start w:w="110" w:type="dxa"/>
              <w:bottom w:w="60" w:type="dxa"/>
              <w:end w:w="110" w:type="dxa"/>
            </w:tcMar>
          </w:tcPr>
          <w:p>
            <w:pPr>
              <w:spacing w:after="0"/>
            </w:pPr>
            <w:r/>
            <w:r>
              <w:rPr>
                <w:rFonts w:ascii="Calibri" w:hAnsi="Calibri"/>
                <w:b w:val="0"/>
                <w:i w:val="0"/>
                <w:color w:val="101828"/>
                <w:sz w:val="14"/>
              </w:rPr>
              <w:t>Positions</w:t>
            </w:r>
          </w:p>
        </w:tc>
        <w:tc>
          <w:tcPr>
            <w:tcW w:type="dxa" w:w="3744"/>
            <w:tcMar>
              <w:top w:w="60" w:type="dxa"/>
              <w:start w:w="110" w:type="dxa"/>
              <w:bottom w:w="60" w:type="dxa"/>
              <w:end w:w="110" w:type="dxa"/>
            </w:tcMar>
          </w:tcPr>
          <w:p>
            <w:pPr>
              <w:spacing w:after="0"/>
            </w:pPr>
            <w:r/>
            <w:r>
              <w:rPr>
                <w:rFonts w:ascii="Consolas" w:hAnsi="Consolas"/>
                <w:color w:val="146EF5"/>
                <w:sz w:val="14"/>
              </w:rPr>
              <w:t>GET /ajos/:id/positions</w:t>
            </w:r>
            <w:r>
              <w:rPr>
                <w:rFonts w:ascii="Calibri" w:hAnsi="Calibri"/>
                <w:b w:val="0"/>
                <w:i w:val="0"/>
                <w:color w:val="101828"/>
                <w:sz w:val="14"/>
              </w:rPr>
              <w:t xml:space="preserve">, </w:t>
            </w:r>
            <w:r>
              <w:rPr>
                <w:rFonts w:ascii="Consolas" w:hAnsi="Consolas"/>
                <w:color w:val="146EF5"/>
                <w:sz w:val="14"/>
              </w:rPr>
              <w:t>POST /ajos/:id/positions/claim</w:t>
            </w:r>
            <w:r>
              <w:rPr>
                <w:rFonts w:ascii="Calibri" w:hAnsi="Calibri"/>
                <w:b w:val="0"/>
                <w:i w:val="0"/>
                <w:color w:val="101828"/>
                <w:sz w:val="14"/>
              </w:rPr>
              <w:t xml:space="preserve">, </w:t>
            </w:r>
            <w:r>
              <w:rPr>
                <w:rFonts w:ascii="Consolas" w:hAnsi="Consolas"/>
                <w:color w:val="146EF5"/>
                <w:sz w:val="14"/>
              </w:rPr>
              <w:t>POST /ajos/:id/positions/reorder</w:t>
            </w:r>
            <w:r>
              <w:rPr>
                <w:rFonts w:ascii="Calibri" w:hAnsi="Calibri"/>
                <w:b w:val="0"/>
                <w:i w:val="0"/>
                <w:color w:val="101828"/>
                <w:sz w:val="14"/>
              </w:rPr>
              <w:t xml:space="preserve">, </w:t>
            </w:r>
            <w:r>
              <w:rPr>
                <w:rFonts w:ascii="Consolas" w:hAnsi="Consolas"/>
                <w:color w:val="146EF5"/>
                <w:sz w:val="14"/>
              </w:rPr>
              <w:t>POST /ajos/:id/positions/lock</w:t>
            </w:r>
          </w:p>
        </w:tc>
        <w:tc>
          <w:tcPr>
            <w:tcW w:type="dxa" w:w="2520"/>
            <w:tcMar>
              <w:top w:w="60" w:type="dxa"/>
              <w:start w:w="110" w:type="dxa"/>
              <w:bottom w:w="60" w:type="dxa"/>
              <w:end w:w="110" w:type="dxa"/>
            </w:tcMar>
          </w:tcPr>
          <w:p>
            <w:pPr>
              <w:spacing w:after="0"/>
            </w:pPr>
            <w:r/>
            <w:r>
              <w:rPr>
                <w:rFonts w:ascii="Consolas" w:hAnsi="Consolas"/>
                <w:color w:val="146EF5"/>
                <w:sz w:val="14"/>
              </w:rPr>
              <w:t>reorder</w:t>
            </w:r>
            <w:r>
              <w:rPr>
                <w:rFonts w:ascii="Calibri" w:hAnsi="Calibri"/>
                <w:b w:val="0"/>
                <w:i w:val="0"/>
                <w:color w:val="101828"/>
                <w:sz w:val="14"/>
              </w:rPr>
              <w:t xml:space="preserve"> is authorized only while </w:t>
            </w:r>
            <w:r>
              <w:rPr>
                <w:rFonts w:ascii="Consolas" w:hAnsi="Consolas"/>
                <w:color w:val="146EF5"/>
                <w:sz w:val="14"/>
              </w:rPr>
              <w:t>status = 'DRAFT'</w:t>
            </w:r>
            <w:r>
              <w:rPr>
                <w:rFonts w:ascii="Calibri" w:hAnsi="Calibri"/>
                <w:b w:val="0"/>
                <w:i w:val="0"/>
                <w:color w:val="101828"/>
                <w:sz w:val="14"/>
              </w:rPr>
              <w:t>; after activation the endpoint returns 409 and CR-04 would reject the write regardless.</w:t>
            </w:r>
          </w:p>
        </w:tc>
      </w:tr>
      <w:tr>
        <w:trPr>
          <w:cantSplit/>
        </w:trPr>
        <w:tc>
          <w:tcPr>
            <w:tcW w:type="dxa" w:w="1872"/>
            <w:tcMar>
              <w:top w:w="60" w:type="dxa"/>
              <w:start w:w="110" w:type="dxa"/>
              <w:bottom w:w="60" w:type="dxa"/>
              <w:end w:w="110" w:type="dxa"/>
            </w:tcMar>
            <w:shd w:val="clear" w:color="auto" w:fill="F4F7FB"/>
          </w:tcPr>
          <w:p>
            <w:pPr>
              <w:spacing w:after="0"/>
            </w:pPr>
            <w:r/>
            <w:r>
              <w:rPr>
                <w:rFonts w:ascii="Consolas" w:hAnsi="Consolas"/>
                <w:color w:val="146EF5"/>
                <w:sz w:val="14"/>
              </w:rPr>
              <w:t>ajo_members</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Members</w:t>
            </w:r>
          </w:p>
        </w:tc>
        <w:tc>
          <w:tcPr>
            <w:tcW w:type="dxa" w:w="3744"/>
            <w:tcMar>
              <w:top w:w="60" w:type="dxa"/>
              <w:start w:w="110" w:type="dxa"/>
              <w:bottom w:w="60" w:type="dxa"/>
              <w:end w:w="110" w:type="dxa"/>
            </w:tcMar>
            <w:shd w:val="clear" w:color="auto" w:fill="F4F7FB"/>
          </w:tcPr>
          <w:p>
            <w:pPr>
              <w:spacing w:after="0"/>
            </w:pPr>
            <w:r/>
            <w:r>
              <w:rPr>
                <w:rFonts w:ascii="Consolas" w:hAnsi="Consolas"/>
                <w:color w:val="146EF5"/>
                <w:sz w:val="14"/>
              </w:rPr>
              <w:t>GET /ajos/:id/members</w:t>
            </w:r>
            <w:r>
              <w:rPr>
                <w:rFonts w:ascii="Calibri" w:hAnsi="Calibri"/>
                <w:b w:val="0"/>
                <w:i w:val="0"/>
                <w:color w:val="101828"/>
                <w:sz w:val="14"/>
              </w:rPr>
              <w:t xml:space="preserve">, </w:t>
            </w:r>
            <w:r>
              <w:rPr>
                <w:rFonts w:ascii="Consolas" w:hAnsi="Consolas"/>
                <w:color w:val="146EF5"/>
                <w:sz w:val="14"/>
              </w:rPr>
              <w:t>POST /ajos/:id/members</w:t>
            </w:r>
            <w:r>
              <w:rPr>
                <w:rFonts w:ascii="Calibri" w:hAnsi="Calibri"/>
                <w:b w:val="0"/>
                <w:i w:val="0"/>
                <w:color w:val="101828"/>
                <w:sz w:val="14"/>
              </w:rPr>
              <w:t xml:space="preserve">, </w:t>
            </w:r>
            <w:r>
              <w:rPr>
                <w:rFonts w:ascii="Consolas" w:hAnsi="Consolas"/>
                <w:color w:val="146EF5"/>
                <w:sz w:val="14"/>
              </w:rPr>
              <w:t>DELETE /ajos/:id/members/:memberId</w:t>
            </w:r>
            <w:r>
              <w:rPr>
                <w:rFonts w:ascii="Calibri" w:hAnsi="Calibri"/>
                <w:b w:val="0"/>
                <w:i w:val="0"/>
                <w:color w:val="101828"/>
                <w:sz w:val="14"/>
              </w:rPr>
              <w:t xml:space="preserve">, </w:t>
            </w:r>
            <w:r>
              <w:rPr>
                <w:rFonts w:ascii="Consolas" w:hAnsi="Consolas"/>
                <w:color w:val="146EF5"/>
                <w:sz w:val="14"/>
              </w:rPr>
              <w:t>PATCH /ajos/:id/members/:memberId</w:t>
            </w:r>
            <w:r>
              <w:rPr>
                <w:rFonts w:ascii="Calibri" w:hAnsi="Calibri"/>
                <w:b w:val="0"/>
                <w:i w:val="0"/>
                <w:color w:val="101828"/>
                <w:sz w:val="14"/>
              </w:rPr>
              <w:t xml:space="preserve">, </w:t>
            </w:r>
            <w:r>
              <w:rPr>
                <w:rFonts w:ascii="Consolas" w:hAnsi="Consolas"/>
                <w:color w:val="146EF5"/>
                <w:sz w:val="14"/>
              </w:rPr>
              <w:t>POST /ajos/:id/members/:memberId/replace</w:t>
            </w:r>
          </w:p>
        </w:tc>
        <w:tc>
          <w:tcPr>
            <w:tcW w:type="dxa" w:w="2520"/>
            <w:tcMar>
              <w:top w:w="60" w:type="dxa"/>
              <w:start w:w="110" w:type="dxa"/>
              <w:bottom w:w="60" w:type="dxa"/>
              <w:end w:w="110" w:type="dxa"/>
            </w:tcMar>
            <w:shd w:val="clear" w:color="auto" w:fill="F4F7FB"/>
          </w:tcPr>
          <w:p>
            <w:pPr>
              <w:spacing w:after="0"/>
            </w:pPr>
            <w:r/>
            <w:r>
              <w:rPr>
                <w:rFonts w:ascii="Consolas" w:hAnsi="Consolas"/>
                <w:color w:val="146EF5"/>
                <w:sz w:val="14"/>
              </w:rPr>
              <w:t>DELETE</w:t>
            </w:r>
            <w:r>
              <w:rPr>
                <w:rFonts w:ascii="Calibri" w:hAnsi="Calibri"/>
                <w:b w:val="0"/>
                <w:i w:val="0"/>
                <w:color w:val="101828"/>
                <w:sz w:val="14"/>
              </w:rPr>
              <w:t xml:space="preserve"> is a removal with a reason, not a row delete. </w:t>
            </w:r>
            <w:r>
              <w:rPr>
                <w:rFonts w:ascii="Consolas" w:hAnsi="Consolas"/>
                <w:color w:val="146EF5"/>
                <w:sz w:val="14"/>
              </w:rPr>
              <w:t>replace</w:t>
            </w:r>
            <w:r>
              <w:rPr>
                <w:rFonts w:ascii="Calibri" w:hAnsi="Calibri"/>
                <w:b w:val="0"/>
                <w:i w:val="0"/>
                <w:color w:val="101828"/>
                <w:sz w:val="14"/>
              </w:rPr>
              <w:t xml:space="preserve"> is the endpoint behind CR-02's </w:t>
            </w:r>
            <w:r>
              <w:rPr>
                <w:rFonts w:ascii="Consolas" w:hAnsi="Consolas"/>
                <w:color w:val="146EF5"/>
                <w:sz w:val="14"/>
              </w:rPr>
              <w:t>superseded_at</w:t>
            </w:r>
            <w:r>
              <w:rPr>
                <w:rFonts w:ascii="Calibri" w:hAnsi="Calibri"/>
                <w:b w:val="0"/>
                <w:i w:val="0"/>
                <w:color w:val="101828"/>
                <w:sz w:val="14"/>
              </w:rPr>
              <w:t>.</w:t>
            </w:r>
          </w:p>
        </w:tc>
      </w:tr>
      <w:tr>
        <w:trPr>
          <w:cantSplit/>
        </w:trPr>
        <w:tc>
          <w:tcPr>
            <w:tcW w:type="dxa" w:w="1872"/>
            <w:tcMar>
              <w:top w:w="60" w:type="dxa"/>
              <w:start w:w="110" w:type="dxa"/>
              <w:bottom w:w="60" w:type="dxa"/>
              <w:end w:w="110" w:type="dxa"/>
            </w:tcMar>
          </w:tcPr>
          <w:p>
            <w:pPr>
              <w:spacing w:after="0"/>
            </w:pPr>
            <w:r/>
            <w:r>
              <w:rPr>
                <w:rFonts w:ascii="Consolas" w:hAnsi="Consolas"/>
                <w:color w:val="146EF5"/>
                <w:sz w:val="14"/>
              </w:rPr>
              <w:t>invitations</w:t>
            </w:r>
          </w:p>
        </w:tc>
        <w:tc>
          <w:tcPr>
            <w:tcW w:type="dxa" w:w="1224"/>
            <w:tcMar>
              <w:top w:w="60" w:type="dxa"/>
              <w:start w:w="110" w:type="dxa"/>
              <w:bottom w:w="60" w:type="dxa"/>
              <w:end w:w="110" w:type="dxa"/>
            </w:tcMar>
          </w:tcPr>
          <w:p>
            <w:pPr>
              <w:spacing w:after="0"/>
            </w:pPr>
            <w:r/>
            <w:r>
              <w:rPr>
                <w:rFonts w:ascii="Calibri" w:hAnsi="Calibri"/>
                <w:b w:val="0"/>
                <w:i w:val="0"/>
                <w:color w:val="101828"/>
                <w:sz w:val="14"/>
              </w:rPr>
              <w:t>Invitations</w:t>
            </w:r>
          </w:p>
        </w:tc>
        <w:tc>
          <w:tcPr>
            <w:tcW w:type="dxa" w:w="3744"/>
            <w:tcMar>
              <w:top w:w="60" w:type="dxa"/>
              <w:start w:w="110" w:type="dxa"/>
              <w:bottom w:w="60" w:type="dxa"/>
              <w:end w:w="110" w:type="dxa"/>
            </w:tcMar>
          </w:tcPr>
          <w:p>
            <w:pPr>
              <w:spacing w:after="0"/>
            </w:pPr>
            <w:r/>
            <w:r>
              <w:rPr>
                <w:rFonts w:ascii="Consolas" w:hAnsi="Consolas"/>
                <w:color w:val="146EF5"/>
                <w:sz w:val="14"/>
              </w:rPr>
              <w:t>POST /invitations</w:t>
            </w:r>
            <w:r>
              <w:rPr>
                <w:rFonts w:ascii="Calibri" w:hAnsi="Calibri"/>
                <w:b w:val="0"/>
                <w:i w:val="0"/>
                <w:color w:val="101828"/>
                <w:sz w:val="14"/>
              </w:rPr>
              <w:t xml:space="preserve">, </w:t>
            </w:r>
            <w:r>
              <w:rPr>
                <w:rFonts w:ascii="Consolas" w:hAnsi="Consolas"/>
                <w:color w:val="146EF5"/>
                <w:sz w:val="14"/>
              </w:rPr>
              <w:t>GET /invitations</w:t>
            </w:r>
            <w:r>
              <w:rPr>
                <w:rFonts w:ascii="Calibri" w:hAnsi="Calibri"/>
                <w:b w:val="0"/>
                <w:i w:val="0"/>
                <w:color w:val="101828"/>
                <w:sz w:val="14"/>
              </w:rPr>
              <w:t xml:space="preserve">, </w:t>
            </w:r>
            <w:r>
              <w:rPr>
                <w:rFonts w:ascii="Consolas" w:hAnsi="Consolas"/>
                <w:color w:val="146EF5"/>
                <w:sz w:val="14"/>
              </w:rPr>
              <w:t>GET /invitations/:token</w:t>
            </w:r>
            <w:r>
              <w:rPr>
                <w:rFonts w:ascii="Calibri" w:hAnsi="Calibri"/>
                <w:b w:val="0"/>
                <w:i w:val="0"/>
                <w:color w:val="101828"/>
                <w:sz w:val="14"/>
              </w:rPr>
              <w:t xml:space="preserve">, </w:t>
            </w:r>
            <w:r>
              <w:rPr>
                <w:rFonts w:ascii="Consolas" w:hAnsi="Consolas"/>
                <w:color w:val="146EF5"/>
                <w:sz w:val="14"/>
              </w:rPr>
              <w:t>POST /invitations/:token/accept</w:t>
            </w:r>
            <w:r>
              <w:rPr>
                <w:rFonts w:ascii="Calibri" w:hAnsi="Calibri"/>
                <w:b w:val="0"/>
                <w:i w:val="0"/>
                <w:color w:val="101828"/>
                <w:sz w:val="14"/>
              </w:rPr>
              <w:t xml:space="preserve">, </w:t>
            </w:r>
            <w:r>
              <w:rPr>
                <w:rFonts w:ascii="Consolas" w:hAnsi="Consolas"/>
                <w:color w:val="146EF5"/>
                <w:sz w:val="14"/>
              </w:rPr>
              <w:t>/decline</w:t>
            </w:r>
            <w:r>
              <w:rPr>
                <w:rFonts w:ascii="Calibri" w:hAnsi="Calibri"/>
                <w:b w:val="0"/>
                <w:i w:val="0"/>
                <w:color w:val="101828"/>
                <w:sz w:val="14"/>
              </w:rPr>
              <w:t xml:space="preserve">, </w:t>
            </w:r>
            <w:r>
              <w:rPr>
                <w:rFonts w:ascii="Consolas" w:hAnsi="Consolas"/>
                <w:color w:val="146EF5"/>
                <w:sz w:val="14"/>
              </w:rPr>
              <w:t>POST /invitations/resend</w:t>
            </w:r>
          </w:p>
        </w:tc>
        <w:tc>
          <w:tcPr>
            <w:tcW w:type="dxa" w:w="2520"/>
            <w:tcMar>
              <w:top w:w="60" w:type="dxa"/>
              <w:start w:w="110" w:type="dxa"/>
              <w:bottom w:w="60" w:type="dxa"/>
              <w:end w:w="110" w:type="dxa"/>
            </w:tcMar>
          </w:tcPr>
          <w:p>
            <w:pPr>
              <w:spacing w:after="0"/>
            </w:pPr>
            <w:r/>
            <w:r>
              <w:rPr>
                <w:rFonts w:ascii="Calibri" w:hAnsi="Calibri"/>
                <w:b w:val="0"/>
                <w:i w:val="0"/>
                <w:color w:val="101828"/>
                <w:sz w:val="14"/>
              </w:rPr>
              <w:t xml:space="preserve">Accepting writes </w:t>
            </w:r>
            <w:r>
              <w:rPr>
                <w:rFonts w:ascii="Consolas" w:hAnsi="Consolas"/>
                <w:color w:val="146EF5"/>
                <w:sz w:val="14"/>
              </w:rPr>
              <w:t>ajo_members</w:t>
            </w:r>
            <w:r>
              <w:rPr>
                <w:rFonts w:ascii="Calibri" w:hAnsi="Calibri"/>
                <w:b w:val="0"/>
                <w:i w:val="0"/>
                <w:color w:val="101828"/>
                <w:sz w:val="14"/>
              </w:rPr>
              <w:t xml:space="preserve"> in the same transaction that flips the invitation, satisfying the </w:t>
            </w:r>
            <w:r>
              <w:rPr>
                <w:rFonts w:ascii="Consolas" w:hAnsi="Consolas"/>
                <w:color w:val="146EF5"/>
                <w:sz w:val="14"/>
              </w:rPr>
              <w:t>UNIQUE (invitation_id)</w:t>
            </w:r>
            <w:r>
              <w:rPr>
                <w:rFonts w:ascii="Calibri" w:hAnsi="Calibri"/>
                <w:b w:val="0"/>
                <w:i w:val="0"/>
                <w:color w:val="101828"/>
                <w:sz w:val="14"/>
              </w:rPr>
              <w:t xml:space="preserve"> rule.</w:t>
            </w:r>
          </w:p>
        </w:tc>
      </w:tr>
      <w:tr>
        <w:trPr>
          <w:cantSplit/>
        </w:trPr>
        <w:tc>
          <w:tcPr>
            <w:tcW w:type="dxa" w:w="1872"/>
            <w:tcMar>
              <w:top w:w="60" w:type="dxa"/>
              <w:start w:w="110" w:type="dxa"/>
              <w:bottom w:w="60" w:type="dxa"/>
              <w:end w:w="110" w:type="dxa"/>
            </w:tcMar>
            <w:shd w:val="clear" w:color="auto" w:fill="F4F7FB"/>
          </w:tcPr>
          <w:p>
            <w:pPr>
              <w:spacing w:after="0"/>
            </w:pPr>
            <w:r/>
            <w:r>
              <w:rPr>
                <w:rFonts w:ascii="Consolas" w:hAnsi="Consolas"/>
                <w:color w:val="146EF5"/>
                <w:sz w:val="14"/>
              </w:rPr>
              <w:t>rounds</w:t>
            </w:r>
            <w:r>
              <w:rPr>
                <w:rFonts w:ascii="Calibri" w:hAnsi="Calibri"/>
                <w:b w:val="0"/>
                <w:i w:val="0"/>
                <w:color w:val="101828"/>
                <w:sz w:val="14"/>
              </w:rPr>
              <w:t xml:space="preserve">, </w:t>
            </w:r>
            <w:r>
              <w:rPr>
                <w:rFonts w:ascii="Consolas" w:hAnsi="Consolas"/>
                <w:color w:val="146EF5"/>
                <w:sz w:val="14"/>
              </w:rPr>
              <w:t>contribution_schedules</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Contributions, Ajos</w:t>
            </w:r>
          </w:p>
        </w:tc>
        <w:tc>
          <w:tcPr>
            <w:tcW w:type="dxa" w:w="3744"/>
            <w:tcMar>
              <w:top w:w="60" w:type="dxa"/>
              <w:start w:w="110" w:type="dxa"/>
              <w:bottom w:w="60" w:type="dxa"/>
              <w:end w:w="110" w:type="dxa"/>
            </w:tcMar>
            <w:shd w:val="clear" w:color="auto" w:fill="F4F7FB"/>
          </w:tcPr>
          <w:p>
            <w:pPr>
              <w:spacing w:after="0"/>
            </w:pPr>
            <w:r/>
            <w:r>
              <w:rPr>
                <w:rFonts w:ascii="Consolas" w:hAnsi="Consolas"/>
                <w:color w:val="146EF5"/>
                <w:sz w:val="14"/>
              </w:rPr>
              <w:t>GET /ajos/:id/schedule</w:t>
            </w:r>
            <w:r>
              <w:rPr>
                <w:rFonts w:ascii="Calibri" w:hAnsi="Calibri"/>
                <w:b w:val="0"/>
                <w:i w:val="0"/>
                <w:color w:val="101828"/>
                <w:sz w:val="14"/>
              </w:rPr>
              <w:t xml:space="preserve">, </w:t>
            </w:r>
            <w:r>
              <w:rPr>
                <w:rFonts w:ascii="Consolas" w:hAnsi="Consolas"/>
                <w:color w:val="146EF5"/>
                <w:sz w:val="14"/>
              </w:rPr>
              <w:t>GET /contributions</w:t>
            </w:r>
            <w:r>
              <w:rPr>
                <w:rFonts w:ascii="Calibri" w:hAnsi="Calibri"/>
                <w:b w:val="0"/>
                <w:i w:val="0"/>
                <w:color w:val="101828"/>
                <w:sz w:val="14"/>
              </w:rPr>
              <w:t xml:space="preserve">, </w:t>
            </w:r>
            <w:r>
              <w:rPr>
                <w:rFonts w:ascii="Consolas" w:hAnsi="Consolas"/>
                <w:color w:val="146EF5"/>
                <w:sz w:val="14"/>
              </w:rPr>
              <w:t>GET /contributions/:id</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There is no </w:t>
            </w:r>
            <w:r>
              <w:rPr>
                <w:rFonts w:ascii="Consolas" w:hAnsi="Consolas"/>
                <w:color w:val="146EF5"/>
                <w:sz w:val="14"/>
              </w:rPr>
              <w:t>POST</w:t>
            </w:r>
            <w:r>
              <w:rPr>
                <w:rFonts w:ascii="Calibri" w:hAnsi="Calibri"/>
                <w:b w:val="0"/>
                <w:i w:val="0"/>
                <w:color w:val="101828"/>
                <w:sz w:val="14"/>
              </w:rPr>
              <w:t xml:space="preserve"> for either. Rounds and schedules are created by the system when a round opens, never by a client, which is why both tables have no writable API surface.</w:t>
            </w:r>
          </w:p>
        </w:tc>
      </w:tr>
      <w:tr>
        <w:trPr>
          <w:cantSplit/>
        </w:trPr>
        <w:tc>
          <w:tcPr>
            <w:tcW w:type="dxa" w:w="1872"/>
            <w:tcMar>
              <w:top w:w="60" w:type="dxa"/>
              <w:start w:w="110" w:type="dxa"/>
              <w:bottom w:w="60" w:type="dxa"/>
              <w:end w:w="110" w:type="dxa"/>
            </w:tcMar>
          </w:tcPr>
          <w:p>
            <w:pPr>
              <w:spacing w:after="0"/>
            </w:pPr>
            <w:r/>
            <w:r>
              <w:rPr>
                <w:rFonts w:ascii="Consolas" w:hAnsi="Consolas"/>
                <w:color w:val="146EF5"/>
                <w:sz w:val="14"/>
              </w:rPr>
              <w:t>contributions</w:t>
            </w:r>
          </w:p>
        </w:tc>
        <w:tc>
          <w:tcPr>
            <w:tcW w:type="dxa" w:w="1224"/>
            <w:tcMar>
              <w:top w:w="60" w:type="dxa"/>
              <w:start w:w="110" w:type="dxa"/>
              <w:bottom w:w="60" w:type="dxa"/>
              <w:end w:w="110" w:type="dxa"/>
            </w:tcMar>
          </w:tcPr>
          <w:p>
            <w:pPr>
              <w:spacing w:after="0"/>
            </w:pPr>
            <w:r/>
            <w:r>
              <w:rPr>
                <w:rFonts w:ascii="Calibri" w:hAnsi="Calibri"/>
                <w:b w:val="0"/>
                <w:i w:val="0"/>
                <w:color w:val="101828"/>
                <w:sz w:val="14"/>
              </w:rPr>
              <w:t>Contributions</w:t>
            </w:r>
          </w:p>
        </w:tc>
        <w:tc>
          <w:tcPr>
            <w:tcW w:type="dxa" w:w="3744"/>
            <w:tcMar>
              <w:top w:w="60" w:type="dxa"/>
              <w:start w:w="110" w:type="dxa"/>
              <w:bottom w:w="60" w:type="dxa"/>
              <w:end w:w="110" w:type="dxa"/>
            </w:tcMar>
          </w:tcPr>
          <w:p>
            <w:pPr>
              <w:spacing w:after="0"/>
            </w:pPr>
            <w:r/>
            <w:r>
              <w:rPr>
                <w:rFonts w:ascii="Consolas" w:hAnsi="Consolas"/>
                <w:color w:val="146EF5"/>
                <w:sz w:val="14"/>
              </w:rPr>
              <w:t>GET /contributions</w:t>
            </w:r>
            <w:r>
              <w:rPr>
                <w:rFonts w:ascii="Calibri" w:hAnsi="Calibri"/>
                <w:b w:val="0"/>
                <w:i w:val="0"/>
                <w:color w:val="101828"/>
                <w:sz w:val="14"/>
              </w:rPr>
              <w:t xml:space="preserve">, </w:t>
            </w:r>
            <w:r>
              <w:rPr>
                <w:rFonts w:ascii="Consolas" w:hAnsi="Consolas"/>
                <w:color w:val="146EF5"/>
                <w:sz w:val="14"/>
              </w:rPr>
              <w:t>GET /contributions/:id</w:t>
            </w:r>
            <w:r>
              <w:rPr>
                <w:rFonts w:ascii="Calibri" w:hAnsi="Calibri"/>
                <w:b w:val="0"/>
                <w:i w:val="0"/>
                <w:color w:val="101828"/>
                <w:sz w:val="14"/>
              </w:rPr>
              <w:t xml:space="preserve">, </w:t>
            </w:r>
            <w:r>
              <w:rPr>
                <w:rFonts w:ascii="Consolas" w:hAnsi="Consolas"/>
                <w:color w:val="146EF5"/>
                <w:sz w:val="14"/>
              </w:rPr>
              <w:t>GET /ajos/:id/contributions</w:t>
            </w:r>
            <w:r>
              <w:rPr>
                <w:rFonts w:ascii="Calibri" w:hAnsi="Calibri"/>
                <w:b w:val="0"/>
                <w:i w:val="0"/>
                <w:color w:val="101828"/>
                <w:sz w:val="14"/>
              </w:rPr>
              <w:t xml:space="preserve">, </w:t>
            </w:r>
            <w:r>
              <w:rPr>
                <w:rFonts w:ascii="Consolas" w:hAnsi="Consolas"/>
                <w:color w:val="146EF5"/>
                <w:sz w:val="14"/>
              </w:rPr>
              <w:t>POST /contributions/:id/pay</w:t>
            </w:r>
            <w:r>
              <w:rPr>
                <w:rFonts w:ascii="Calibri" w:hAnsi="Calibri"/>
                <w:b w:val="0"/>
                <w:i w:val="0"/>
                <w:color w:val="101828"/>
                <w:sz w:val="14"/>
              </w:rPr>
              <w:t xml:space="preserve">, </w:t>
            </w:r>
            <w:r>
              <w:rPr>
                <w:rFonts w:ascii="Consolas" w:hAnsi="Consolas"/>
                <w:color w:val="146EF5"/>
                <w:sz w:val="14"/>
              </w:rPr>
              <w:t>POST /contributions/:id/retry</w:t>
            </w:r>
          </w:p>
        </w:tc>
        <w:tc>
          <w:tcPr>
            <w:tcW w:type="dxa" w:w="2520"/>
            <w:tcMar>
              <w:top w:w="60" w:type="dxa"/>
              <w:start w:w="110" w:type="dxa"/>
              <w:bottom w:w="60" w:type="dxa"/>
              <w:end w:w="110" w:type="dxa"/>
            </w:tcMar>
          </w:tcPr>
          <w:p>
            <w:pPr>
              <w:spacing w:after="0"/>
            </w:pPr>
            <w:r/>
            <w:r>
              <w:rPr>
                <w:rFonts w:ascii="Consolas" w:hAnsi="Consolas"/>
                <w:color w:val="146EF5"/>
                <w:sz w:val="14"/>
              </w:rPr>
              <w:t>pay</w:t>
            </w:r>
            <w:r>
              <w:rPr>
                <w:rFonts w:ascii="Calibri" w:hAnsi="Calibri"/>
                <w:b w:val="0"/>
                <w:i w:val="0"/>
                <w:color w:val="101828"/>
                <w:sz w:val="14"/>
              </w:rPr>
              <w:t xml:space="preserve"> creates a </w:t>
            </w:r>
            <w:r>
              <w:rPr>
                <w:rFonts w:ascii="Consolas" w:hAnsi="Consolas"/>
                <w:color w:val="146EF5"/>
                <w:sz w:val="14"/>
              </w:rPr>
              <w:t>payments</w:t>
            </w:r>
            <w:r>
              <w:rPr>
                <w:rFonts w:ascii="Calibri" w:hAnsi="Calibri"/>
                <w:b w:val="0"/>
                <w:i w:val="0"/>
                <w:color w:val="101828"/>
                <w:sz w:val="14"/>
              </w:rPr>
              <w:t xml:space="preserve"> row and returns a provider authorisation URL. It never writes the ledger; the ledger is written when the payment succeeds.</w:t>
            </w:r>
          </w:p>
        </w:tc>
      </w:tr>
      <w:tr>
        <w:trPr>
          <w:cantSplit/>
        </w:trPr>
        <w:tc>
          <w:tcPr>
            <w:tcW w:type="dxa" w:w="1872"/>
            <w:tcMar>
              <w:top w:w="60" w:type="dxa"/>
              <w:start w:w="110" w:type="dxa"/>
              <w:bottom w:w="60" w:type="dxa"/>
              <w:end w:w="110" w:type="dxa"/>
            </w:tcMar>
            <w:shd w:val="clear" w:color="auto" w:fill="F4F7FB"/>
          </w:tcPr>
          <w:p>
            <w:pPr>
              <w:spacing w:after="0"/>
            </w:pPr>
            <w:r/>
            <w:r>
              <w:rPr>
                <w:rFonts w:ascii="Consolas" w:hAnsi="Consolas"/>
                <w:color w:val="146EF5"/>
                <w:sz w:val="14"/>
              </w:rPr>
              <w:t>payments</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Payments</w:t>
            </w:r>
          </w:p>
        </w:tc>
        <w:tc>
          <w:tcPr>
            <w:tcW w:type="dxa" w:w="3744"/>
            <w:tcMar>
              <w:top w:w="60" w:type="dxa"/>
              <w:start w:w="110" w:type="dxa"/>
              <w:bottom w:w="60" w:type="dxa"/>
              <w:end w:w="110" w:type="dxa"/>
            </w:tcMar>
            <w:shd w:val="clear" w:color="auto" w:fill="F4F7FB"/>
          </w:tcPr>
          <w:p>
            <w:pPr>
              <w:spacing w:after="0"/>
            </w:pPr>
            <w:r/>
            <w:r>
              <w:rPr>
                <w:rFonts w:ascii="Consolas" w:hAnsi="Consolas"/>
                <w:color w:val="146EF5"/>
                <w:sz w:val="14"/>
              </w:rPr>
              <w:t>POST /payments</w:t>
            </w:r>
            <w:r>
              <w:rPr>
                <w:rFonts w:ascii="Calibri" w:hAnsi="Calibri"/>
                <w:b w:val="0"/>
                <w:i w:val="0"/>
                <w:color w:val="101828"/>
                <w:sz w:val="14"/>
              </w:rPr>
              <w:t xml:space="preserve">, </w:t>
            </w:r>
            <w:r>
              <w:rPr>
                <w:rFonts w:ascii="Consolas" w:hAnsi="Consolas"/>
                <w:color w:val="146EF5"/>
                <w:sz w:val="14"/>
              </w:rPr>
              <w:t>POST /payments/:id/verify</w:t>
            </w:r>
            <w:r>
              <w:rPr>
                <w:rFonts w:ascii="Calibri" w:hAnsi="Calibri"/>
                <w:b w:val="0"/>
                <w:i w:val="0"/>
                <w:color w:val="101828"/>
                <w:sz w:val="14"/>
              </w:rPr>
              <w:t xml:space="preserve">, </w:t>
            </w:r>
            <w:r>
              <w:rPr>
                <w:rFonts w:ascii="Consolas" w:hAnsi="Consolas"/>
                <w:color w:val="146EF5"/>
                <w:sz w:val="14"/>
              </w:rPr>
              <w:t>GET /payments/:id</w:t>
            </w:r>
            <w:r>
              <w:rPr>
                <w:rFonts w:ascii="Calibri" w:hAnsi="Calibri"/>
                <w:b w:val="0"/>
                <w:i w:val="0"/>
                <w:color w:val="101828"/>
                <w:sz w:val="14"/>
              </w:rPr>
              <w:t xml:space="preserve">, </w:t>
            </w:r>
            <w:r>
              <w:rPr>
                <w:rFonts w:ascii="Consolas" w:hAnsi="Consolas"/>
                <w:color w:val="146EF5"/>
                <w:sz w:val="14"/>
              </w:rPr>
              <w:t>GET /payments/:id/receipt</w:t>
            </w:r>
          </w:p>
        </w:tc>
        <w:tc>
          <w:tcPr>
            <w:tcW w:type="dxa" w:w="2520"/>
            <w:tcMar>
              <w:top w:w="60" w:type="dxa"/>
              <w:start w:w="110" w:type="dxa"/>
              <w:bottom w:w="60" w:type="dxa"/>
              <w:end w:w="110" w:type="dxa"/>
            </w:tcMar>
            <w:shd w:val="clear" w:color="auto" w:fill="F4F7FB"/>
          </w:tcPr>
          <w:p>
            <w:pPr>
              <w:spacing w:after="0"/>
            </w:pPr>
            <w:r/>
            <w:r>
              <w:rPr>
                <w:rFonts w:ascii="Consolas" w:hAnsi="Consolas"/>
                <w:color w:val="146EF5"/>
                <w:sz w:val="14"/>
              </w:rPr>
              <w:t>receipt</w:t>
            </w:r>
            <w:r>
              <w:rPr>
                <w:rFonts w:ascii="Calibri" w:hAnsi="Calibri"/>
                <w:b w:val="0"/>
                <w:i w:val="0"/>
                <w:color w:val="101828"/>
                <w:sz w:val="14"/>
              </w:rPr>
              <w:t xml:space="preserve"> is the fee-disclosure surface required by CANONICAL.md section 1: base, fee and total as three separate lines, never one.</w:t>
            </w:r>
          </w:p>
        </w:tc>
      </w:tr>
      <w:tr>
        <w:trPr>
          <w:cantSplit/>
        </w:trPr>
        <w:tc>
          <w:tcPr>
            <w:tcW w:type="dxa" w:w="1872"/>
            <w:tcMar>
              <w:top w:w="60" w:type="dxa"/>
              <w:start w:w="110" w:type="dxa"/>
              <w:bottom w:w="60" w:type="dxa"/>
              <w:end w:w="110" w:type="dxa"/>
            </w:tcMar>
          </w:tcPr>
          <w:p>
            <w:pPr>
              <w:spacing w:after="0"/>
            </w:pPr>
            <w:r/>
            <w:r>
              <w:rPr>
                <w:rFonts w:ascii="Consolas" w:hAnsi="Consolas"/>
                <w:color w:val="146EF5"/>
                <w:sz w:val="14"/>
              </w:rPr>
              <w:t>fees</w:t>
            </w:r>
          </w:p>
        </w:tc>
        <w:tc>
          <w:tcPr>
            <w:tcW w:type="dxa" w:w="1224"/>
            <w:tcMar>
              <w:top w:w="60" w:type="dxa"/>
              <w:start w:w="110" w:type="dxa"/>
              <w:bottom w:w="60" w:type="dxa"/>
              <w:end w:w="110" w:type="dxa"/>
            </w:tcMar>
          </w:tcPr>
          <w:p>
            <w:pPr>
              <w:spacing w:after="0"/>
            </w:pPr>
            <w:r/>
            <w:r>
              <w:rPr>
                <w:rFonts w:ascii="Calibri" w:hAnsi="Calibri"/>
                <w:b w:val="0"/>
                <w:i w:val="0"/>
                <w:color w:val="101828"/>
                <w:sz w:val="14"/>
              </w:rPr>
              <w:t>Payments, Admin</w:t>
            </w:r>
          </w:p>
        </w:tc>
        <w:tc>
          <w:tcPr>
            <w:tcW w:type="dxa" w:w="3744"/>
            <w:tcMar>
              <w:top w:w="60" w:type="dxa"/>
              <w:start w:w="110" w:type="dxa"/>
              <w:bottom w:w="60" w:type="dxa"/>
              <w:end w:w="110" w:type="dxa"/>
            </w:tcMar>
          </w:tcPr>
          <w:p>
            <w:pPr>
              <w:spacing w:after="0"/>
            </w:pPr>
            <w:r/>
            <w:r>
              <w:rPr>
                <w:rFonts w:ascii="Consolas" w:hAnsi="Consolas"/>
                <w:color w:val="146EF5"/>
                <w:sz w:val="14"/>
              </w:rPr>
              <w:t>GET /payments/:id/receipt</w:t>
            </w:r>
            <w:r>
              <w:rPr>
                <w:rFonts w:ascii="Calibri" w:hAnsi="Calibri"/>
                <w:b w:val="0"/>
                <w:i w:val="0"/>
                <w:color w:val="101828"/>
                <w:sz w:val="14"/>
              </w:rPr>
              <w:t xml:space="preserve">, </w:t>
            </w:r>
            <w:r>
              <w:rPr>
                <w:rFonts w:ascii="Consolas" w:hAnsi="Consolas"/>
                <w:color w:val="146EF5"/>
                <w:sz w:val="14"/>
              </w:rPr>
              <w:t>GET /admin/reports/*</w:t>
            </w:r>
          </w:p>
        </w:tc>
        <w:tc>
          <w:tcPr>
            <w:tcW w:type="dxa" w:w="2520"/>
            <w:tcMar>
              <w:top w:w="60" w:type="dxa"/>
              <w:start w:w="110" w:type="dxa"/>
              <w:bottom w:w="60" w:type="dxa"/>
              <w:end w:w="110" w:type="dxa"/>
            </w:tcMar>
          </w:tcPr>
          <w:p>
            <w:pPr>
              <w:spacing w:after="0"/>
            </w:pPr>
            <w:r/>
            <w:r>
              <w:rPr>
                <w:rFonts w:ascii="Calibri" w:hAnsi="Calibri"/>
                <w:b w:val="0"/>
                <w:i w:val="0"/>
                <w:color w:val="101828"/>
                <w:sz w:val="14"/>
              </w:rPr>
              <w:t>No write endpoint. Fees are created by the trigger on payment settlement, and any correction is a refund row.</w:t>
            </w:r>
          </w:p>
        </w:tc>
      </w:tr>
      <w:tr>
        <w:trPr>
          <w:cantSplit/>
        </w:trPr>
        <w:tc>
          <w:tcPr>
            <w:tcW w:type="dxa" w:w="1872"/>
            <w:tcMar>
              <w:top w:w="60" w:type="dxa"/>
              <w:start w:w="110" w:type="dxa"/>
              <w:bottom w:w="60" w:type="dxa"/>
              <w:end w:w="110" w:type="dxa"/>
            </w:tcMar>
            <w:shd w:val="clear" w:color="auto" w:fill="F4F7FB"/>
          </w:tcPr>
          <w:p>
            <w:pPr>
              <w:spacing w:after="0"/>
            </w:pPr>
            <w:r/>
            <w:r>
              <w:rPr>
                <w:rFonts w:ascii="Consolas" w:hAnsi="Consolas"/>
                <w:color w:val="146EF5"/>
                <w:sz w:val="14"/>
              </w:rPr>
              <w:t>payouts</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Payouts</w:t>
            </w:r>
          </w:p>
        </w:tc>
        <w:tc>
          <w:tcPr>
            <w:tcW w:type="dxa" w:w="3744"/>
            <w:tcMar>
              <w:top w:w="60" w:type="dxa"/>
              <w:start w:w="110" w:type="dxa"/>
              <w:bottom w:w="60" w:type="dxa"/>
              <w:end w:w="110" w:type="dxa"/>
            </w:tcMar>
            <w:shd w:val="clear" w:color="auto" w:fill="F4F7FB"/>
          </w:tcPr>
          <w:p>
            <w:pPr>
              <w:spacing w:after="0"/>
            </w:pPr>
            <w:r/>
            <w:r>
              <w:rPr>
                <w:rFonts w:ascii="Consolas" w:hAnsi="Consolas"/>
                <w:color w:val="146EF5"/>
                <w:sz w:val="14"/>
              </w:rPr>
              <w:t>GET /payouts</w:t>
            </w:r>
            <w:r>
              <w:rPr>
                <w:rFonts w:ascii="Calibri" w:hAnsi="Calibri"/>
                <w:b w:val="0"/>
                <w:i w:val="0"/>
                <w:color w:val="101828"/>
                <w:sz w:val="14"/>
              </w:rPr>
              <w:t xml:space="preserve">, </w:t>
            </w:r>
            <w:r>
              <w:rPr>
                <w:rFonts w:ascii="Consolas" w:hAnsi="Consolas"/>
                <w:color w:val="146EF5"/>
                <w:sz w:val="14"/>
              </w:rPr>
              <w:t>GET /payouts/:id</w:t>
            </w:r>
            <w:r>
              <w:rPr>
                <w:rFonts w:ascii="Calibri" w:hAnsi="Calibri"/>
                <w:b w:val="0"/>
                <w:i w:val="0"/>
                <w:color w:val="101828"/>
                <w:sz w:val="14"/>
              </w:rPr>
              <w:t xml:space="preserve">, </w:t>
            </w:r>
            <w:r>
              <w:rPr>
                <w:rFonts w:ascii="Consolas" w:hAnsi="Consolas"/>
                <w:color w:val="146EF5"/>
                <w:sz w:val="14"/>
              </w:rPr>
              <w:t>GET /ajos/:id/payouts</w:t>
            </w:r>
            <w:r>
              <w:rPr>
                <w:rFonts w:ascii="Calibri" w:hAnsi="Calibri"/>
                <w:b w:val="0"/>
                <w:i w:val="0"/>
                <w:color w:val="101828"/>
                <w:sz w:val="14"/>
              </w:rPr>
              <w:t xml:space="preserve">, </w:t>
            </w:r>
            <w:r>
              <w:rPr>
                <w:rFonts w:ascii="Consolas" w:hAnsi="Consolas"/>
                <w:color w:val="146EF5"/>
                <w:sz w:val="14"/>
              </w:rPr>
              <w:t>POST /payouts/:id/release</w:t>
            </w:r>
          </w:p>
        </w:tc>
        <w:tc>
          <w:tcPr>
            <w:tcW w:type="dxa" w:w="2520"/>
            <w:tcMar>
              <w:top w:w="60" w:type="dxa"/>
              <w:start w:w="110" w:type="dxa"/>
              <w:bottom w:w="60" w:type="dxa"/>
              <w:end w:w="110" w:type="dxa"/>
            </w:tcMar>
            <w:shd w:val="clear" w:color="auto" w:fill="F4F7FB"/>
          </w:tcPr>
          <w:p>
            <w:pPr>
              <w:spacing w:after="0"/>
            </w:pPr>
            <w:r/>
            <w:r>
              <w:rPr>
                <w:rFonts w:ascii="Consolas" w:hAnsi="Consolas"/>
                <w:color w:val="146EF5"/>
                <w:sz w:val="14"/>
              </w:rPr>
              <w:t>release</w:t>
            </w:r>
            <w:r>
              <w:rPr>
                <w:rFonts w:ascii="Calibri" w:hAnsi="Calibri"/>
                <w:b w:val="0"/>
                <w:i w:val="0"/>
                <w:color w:val="101828"/>
                <w:sz w:val="14"/>
              </w:rPr>
              <w:t xml:space="preserve"> is the organizer </w:t>
            </w:r>
            <w:r>
              <w:rPr>
                <w:rFonts w:ascii="Calibri" w:hAnsi="Calibri"/>
                <w:i/>
                <w:color w:val="101828"/>
                <w:sz w:val="14"/>
              </w:rPr>
              <w:t>request</w:t>
            </w:r>
            <w:r>
              <w:rPr>
                <w:rFonts w:ascii="Calibri" w:hAnsi="Calibri"/>
                <w:b w:val="0"/>
                <w:i w:val="0"/>
                <w:color w:val="101828"/>
                <w:sz w:val="14"/>
              </w:rPr>
              <w:t xml:space="preserve">; the actual disbursement runs the four-step sequence and is what </w:t>
            </w:r>
            <w:r>
              <w:rPr>
                <w:rFonts w:ascii="Consolas" w:hAnsi="Consolas"/>
                <w:color w:val="146EF5"/>
                <w:sz w:val="14"/>
              </w:rPr>
              <w:t>payouts.status</w:t>
            </w:r>
            <w:r>
              <w:rPr>
                <w:rFonts w:ascii="Calibri" w:hAnsi="Calibri"/>
                <w:b w:val="0"/>
                <w:i w:val="0"/>
                <w:color w:val="101828"/>
                <w:sz w:val="14"/>
              </w:rPr>
              <w:t xml:space="preserve"> transitions to.</w:t>
            </w:r>
          </w:p>
        </w:tc>
      </w:tr>
      <w:tr>
        <w:trPr>
          <w:cantSplit/>
        </w:trPr>
        <w:tc>
          <w:tcPr>
            <w:tcW w:type="dxa" w:w="1872"/>
            <w:tcMar>
              <w:top w:w="60" w:type="dxa"/>
              <w:start w:w="110" w:type="dxa"/>
              <w:bottom w:w="60" w:type="dxa"/>
              <w:end w:w="110" w:type="dxa"/>
            </w:tcMar>
          </w:tcPr>
          <w:p>
            <w:pPr>
              <w:spacing w:after="0"/>
            </w:pPr>
            <w:r/>
            <w:r>
              <w:rPr>
                <w:rFonts w:ascii="Consolas" w:hAnsi="Consolas"/>
                <w:color w:val="146EF5"/>
                <w:sz w:val="14"/>
              </w:rPr>
              <w:t>ledger_transactions</w:t>
            </w:r>
            <w:r>
              <w:rPr>
                <w:rFonts w:ascii="Calibri" w:hAnsi="Calibri"/>
                <w:b w:val="0"/>
                <w:i w:val="0"/>
                <w:color w:val="101828"/>
                <w:sz w:val="14"/>
              </w:rPr>
              <w:t xml:space="preserve">, </w:t>
            </w:r>
            <w:r>
              <w:rPr>
                <w:rFonts w:ascii="Consolas" w:hAnsi="Consolas"/>
                <w:color w:val="146EF5"/>
                <w:sz w:val="14"/>
              </w:rPr>
              <w:t>ledger_postings</w:t>
            </w:r>
          </w:p>
        </w:tc>
        <w:tc>
          <w:tcPr>
            <w:tcW w:type="dxa" w:w="1224"/>
            <w:tcMar>
              <w:top w:w="60" w:type="dxa"/>
              <w:start w:w="110" w:type="dxa"/>
              <w:bottom w:w="60" w:type="dxa"/>
              <w:end w:w="110" w:type="dxa"/>
            </w:tcMar>
          </w:tcPr>
          <w:p>
            <w:pPr>
              <w:spacing w:after="0"/>
            </w:pPr>
            <w:r/>
            <w:r>
              <w:rPr>
                <w:rFonts w:ascii="Calibri" w:hAnsi="Calibri"/>
                <w:b w:val="0"/>
                <w:i w:val="0"/>
                <w:color w:val="101828"/>
                <w:sz w:val="14"/>
              </w:rPr>
              <w:t>Transactions</w:t>
            </w:r>
          </w:p>
        </w:tc>
        <w:tc>
          <w:tcPr>
            <w:tcW w:type="dxa" w:w="3744"/>
            <w:tcMar>
              <w:top w:w="60" w:type="dxa"/>
              <w:start w:w="110" w:type="dxa"/>
              <w:bottom w:w="60" w:type="dxa"/>
              <w:end w:w="110" w:type="dxa"/>
            </w:tcMar>
          </w:tcPr>
          <w:p>
            <w:pPr>
              <w:spacing w:after="0"/>
            </w:pPr>
            <w:r/>
            <w:r>
              <w:rPr>
                <w:rFonts w:ascii="Consolas" w:hAnsi="Consolas"/>
                <w:color w:val="146EF5"/>
                <w:sz w:val="14"/>
              </w:rPr>
              <w:t>GET /transactions</w:t>
            </w:r>
            <w:r>
              <w:rPr>
                <w:rFonts w:ascii="Calibri" w:hAnsi="Calibri"/>
                <w:b w:val="0"/>
                <w:i w:val="0"/>
                <w:color w:val="101828"/>
                <w:sz w:val="14"/>
              </w:rPr>
              <w:t xml:space="preserve">, </w:t>
            </w:r>
            <w:r>
              <w:rPr>
                <w:rFonts w:ascii="Consolas" w:hAnsi="Consolas"/>
                <w:color w:val="146EF5"/>
                <w:sz w:val="14"/>
              </w:rPr>
              <w:t>GET /transactions/:id</w:t>
            </w:r>
            <w:r>
              <w:rPr>
                <w:rFonts w:ascii="Calibri" w:hAnsi="Calibri"/>
                <w:b w:val="0"/>
                <w:i w:val="0"/>
                <w:color w:val="101828"/>
                <w:sz w:val="14"/>
              </w:rPr>
              <w:t xml:space="preserve">, </w:t>
            </w:r>
            <w:r>
              <w:rPr>
                <w:rFonts w:ascii="Consolas" w:hAnsi="Consolas"/>
                <w:color w:val="146EF5"/>
                <w:sz w:val="14"/>
              </w:rPr>
              <w:t>GET /statements</w:t>
            </w:r>
          </w:p>
        </w:tc>
        <w:tc>
          <w:tcPr>
            <w:tcW w:type="dxa" w:w="2520"/>
            <w:tcMar>
              <w:top w:w="60" w:type="dxa"/>
              <w:start w:w="110" w:type="dxa"/>
              <w:bottom w:w="60" w:type="dxa"/>
              <w:end w:w="110" w:type="dxa"/>
            </w:tcMar>
          </w:tcPr>
          <w:p>
            <w:pPr>
              <w:spacing w:after="0"/>
            </w:pPr>
            <w:r/>
            <w:r>
              <w:rPr>
                <w:rFonts w:ascii="Calibri" w:hAnsi="Calibri"/>
                <w:b w:val="0"/>
                <w:i w:val="0"/>
                <w:color w:val="101828"/>
                <w:sz w:val="14"/>
              </w:rPr>
              <w:t>Read-only over HTTP, and there is no endpoint that can write either table. Section 9.6 grants no insert policy to any client role.</w:t>
            </w:r>
          </w:p>
        </w:tc>
      </w:tr>
      <w:tr>
        <w:trPr>
          <w:cantSplit/>
        </w:trPr>
        <w:tc>
          <w:tcPr>
            <w:tcW w:type="dxa" w:w="1872"/>
            <w:tcMar>
              <w:top w:w="60" w:type="dxa"/>
              <w:start w:w="110" w:type="dxa"/>
              <w:bottom w:w="60" w:type="dxa"/>
              <w:end w:w="110" w:type="dxa"/>
            </w:tcMar>
            <w:shd w:val="clear" w:color="auto" w:fill="F4F7FB"/>
          </w:tcPr>
          <w:p>
            <w:pPr>
              <w:spacing w:after="0"/>
            </w:pPr>
            <w:r/>
            <w:r>
              <w:rPr>
                <w:rFonts w:ascii="Consolas" w:hAnsi="Consolas"/>
                <w:color w:val="146EF5"/>
                <w:sz w:val="14"/>
              </w:rPr>
              <w:t>idempotency_keys</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All money-moving POSTs</w:t>
            </w:r>
          </w:p>
        </w:tc>
        <w:tc>
          <w:tcPr>
            <w:tcW w:type="dxa" w:w="3744"/>
            <w:tcMar>
              <w:top w:w="60" w:type="dxa"/>
              <w:start w:w="110" w:type="dxa"/>
              <w:bottom w:w="60" w:type="dxa"/>
              <w:end w:w="110" w:type="dxa"/>
            </w:tcMar>
            <w:shd w:val="clear" w:color="auto" w:fill="F4F7FB"/>
          </w:tcPr>
          <w:p>
            <w:pPr>
              <w:spacing w:after="0"/>
            </w:pPr>
            <w:r/>
            <w:r>
              <w:rPr>
                <w:rFonts w:ascii="Consolas" w:hAnsi="Consolas"/>
                <w:color w:val="146EF5"/>
                <w:sz w:val="14"/>
              </w:rPr>
              <w:t>POST /contributions/:id/pay</w:t>
            </w:r>
            <w:r>
              <w:rPr>
                <w:rFonts w:ascii="Calibri" w:hAnsi="Calibri"/>
                <w:b w:val="0"/>
                <w:i w:val="0"/>
                <w:color w:val="101828"/>
                <w:sz w:val="14"/>
              </w:rPr>
              <w:t xml:space="preserve">, </w:t>
            </w:r>
            <w:r>
              <w:rPr>
                <w:rFonts w:ascii="Consolas" w:hAnsi="Consolas"/>
                <w:color w:val="146EF5"/>
                <w:sz w:val="14"/>
              </w:rPr>
              <w:t>POST /contributions/:id/retry</w:t>
            </w:r>
            <w:r>
              <w:rPr>
                <w:rFonts w:ascii="Calibri" w:hAnsi="Calibri"/>
                <w:b w:val="0"/>
                <w:i w:val="0"/>
                <w:color w:val="101828"/>
                <w:sz w:val="14"/>
              </w:rPr>
              <w:t xml:space="preserve">, </w:t>
            </w:r>
            <w:r>
              <w:rPr>
                <w:rFonts w:ascii="Consolas" w:hAnsi="Consolas"/>
                <w:color w:val="146EF5"/>
                <w:sz w:val="14"/>
              </w:rPr>
              <w:t>POST /payouts/:id/release</w:t>
            </w:r>
            <w:r>
              <w:rPr>
                <w:rFonts w:ascii="Calibri" w:hAnsi="Calibri"/>
                <w:b w:val="0"/>
                <w:i w:val="0"/>
                <w:color w:val="101828"/>
                <w:sz w:val="14"/>
              </w:rPr>
              <w:t xml:space="preserve">, </w:t>
            </w:r>
            <w:r>
              <w:rPr>
                <w:rFonts w:ascii="Consolas" w:hAnsi="Consolas"/>
                <w:color w:val="146EF5"/>
                <w:sz w:val="14"/>
              </w:rPr>
              <w:t>POST /payments</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w:t>
            </w:r>
            <w:r>
              <w:rPr>
                <w:rFonts w:ascii="Consolas" w:hAnsi="Consolas"/>
                <w:color w:val="146EF5"/>
                <w:sz w:val="14"/>
              </w:rPr>
              <w:t>Idempotency-Key</w:t>
            </w:r>
            <w:r>
              <w:rPr>
                <w:rFonts w:ascii="Calibri" w:hAnsi="Calibri"/>
                <w:b w:val="0"/>
                <w:i w:val="0"/>
                <w:color w:val="101828"/>
                <w:sz w:val="14"/>
              </w:rPr>
              <w:t xml:space="preserve"> header is required on all four, per CANONICAL.md section 6 conventions.</w:t>
            </w:r>
          </w:p>
        </w:tc>
      </w:tr>
      <w:tr>
        <w:trPr>
          <w:cantSplit/>
        </w:trPr>
        <w:tc>
          <w:tcPr>
            <w:tcW w:type="dxa" w:w="1872"/>
            <w:tcMar>
              <w:top w:w="60" w:type="dxa"/>
              <w:start w:w="110" w:type="dxa"/>
              <w:bottom w:w="60" w:type="dxa"/>
              <w:end w:w="110" w:type="dxa"/>
            </w:tcMar>
          </w:tcPr>
          <w:p>
            <w:pPr>
              <w:spacing w:after="0"/>
            </w:pPr>
            <w:r/>
            <w:r>
              <w:rPr>
                <w:rFonts w:ascii="Consolas" w:hAnsi="Consolas"/>
                <w:color w:val="146EF5"/>
                <w:sz w:val="14"/>
              </w:rPr>
              <w:t>webhook_events</w:t>
            </w:r>
          </w:p>
        </w:tc>
        <w:tc>
          <w:tcPr>
            <w:tcW w:type="dxa" w:w="1224"/>
            <w:tcMar>
              <w:top w:w="60" w:type="dxa"/>
              <w:start w:w="110" w:type="dxa"/>
              <w:bottom w:w="60" w:type="dxa"/>
              <w:end w:w="110" w:type="dxa"/>
            </w:tcMar>
          </w:tcPr>
          <w:p>
            <w:pPr>
              <w:spacing w:after="0"/>
            </w:pPr>
            <w:r/>
            <w:r>
              <w:rPr>
                <w:rFonts w:ascii="Calibri" w:hAnsi="Calibri"/>
                <w:b w:val="0"/>
                <w:i w:val="0"/>
                <w:color w:val="101828"/>
                <w:sz w:val="14"/>
              </w:rPr>
              <w:t>Webhooks</w:t>
            </w:r>
          </w:p>
        </w:tc>
        <w:tc>
          <w:tcPr>
            <w:tcW w:type="dxa" w:w="3744"/>
            <w:tcMar>
              <w:top w:w="60" w:type="dxa"/>
              <w:start w:w="110" w:type="dxa"/>
              <w:bottom w:w="60" w:type="dxa"/>
              <w:end w:w="110" w:type="dxa"/>
            </w:tcMar>
          </w:tcPr>
          <w:p>
            <w:pPr>
              <w:spacing w:after="0"/>
            </w:pPr>
            <w:r/>
            <w:r>
              <w:rPr>
                <w:rFonts w:ascii="Consolas" w:hAnsi="Consolas"/>
                <w:color w:val="146EF5"/>
                <w:sz w:val="14"/>
              </w:rPr>
              <w:t>POST /webhooks/payments</w:t>
            </w:r>
          </w:p>
        </w:tc>
        <w:tc>
          <w:tcPr>
            <w:tcW w:type="dxa" w:w="2520"/>
            <w:tcMar>
              <w:top w:w="60" w:type="dxa"/>
              <w:start w:w="110" w:type="dxa"/>
              <w:bottom w:w="60" w:type="dxa"/>
              <w:end w:w="110" w:type="dxa"/>
            </w:tcMar>
          </w:tcPr>
          <w:p>
            <w:pPr>
              <w:spacing w:after="0"/>
            </w:pPr>
            <w:r/>
            <w:r>
              <w:rPr>
                <w:rFonts w:ascii="Calibri" w:hAnsi="Calibri"/>
                <w:b w:val="0"/>
                <w:i w:val="0"/>
                <w:color w:val="101828"/>
                <w:sz w:val="14"/>
              </w:rPr>
              <w:t>The only unauthenticated endpoint. The row is written before any processing, and the unique constraint on (</w:t>
            </w:r>
            <w:r>
              <w:rPr>
                <w:rFonts w:ascii="Consolas" w:hAnsi="Consolas"/>
                <w:color w:val="146EF5"/>
                <w:sz w:val="14"/>
              </w:rPr>
              <w:t>provider</w:t>
            </w:r>
            <w:r>
              <w:rPr>
                <w:rFonts w:ascii="Calibri" w:hAnsi="Calibri"/>
                <w:b w:val="0"/>
                <w:i w:val="0"/>
                <w:color w:val="101828"/>
                <w:sz w:val="14"/>
              </w:rPr>
              <w:t xml:space="preserve">, </w:t>
            </w:r>
            <w:r>
              <w:rPr>
                <w:rFonts w:ascii="Consolas" w:hAnsi="Consolas"/>
                <w:color w:val="146EF5"/>
                <w:sz w:val="14"/>
              </w:rPr>
              <w:t>provider_event_id</w:t>
            </w:r>
            <w:r>
              <w:rPr>
                <w:rFonts w:ascii="Calibri" w:hAnsi="Calibri"/>
                <w:b w:val="0"/>
                <w:i w:val="0"/>
                <w:color w:val="101828"/>
                <w:sz w:val="14"/>
              </w:rPr>
              <w:t>) is the deduplication.</w:t>
            </w:r>
          </w:p>
        </w:tc>
      </w:tr>
      <w:tr>
        <w:trPr>
          <w:cantSplit/>
        </w:trPr>
        <w:tc>
          <w:tcPr>
            <w:tcW w:type="dxa" w:w="1872"/>
            <w:tcMar>
              <w:top w:w="60" w:type="dxa"/>
              <w:start w:w="110" w:type="dxa"/>
              <w:bottom w:w="60" w:type="dxa"/>
              <w:end w:w="110" w:type="dxa"/>
            </w:tcMar>
            <w:shd w:val="clear" w:color="auto" w:fill="F4F7FB"/>
          </w:tcPr>
          <w:p>
            <w:pPr>
              <w:spacing w:after="0"/>
            </w:pPr>
            <w:r/>
            <w:r>
              <w:rPr>
                <w:rFonts w:ascii="Consolas" w:hAnsi="Consolas"/>
                <w:color w:val="146EF5"/>
                <w:sz w:val="14"/>
              </w:rPr>
              <w:t>reconciliation_runs</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Admin</w:t>
            </w:r>
          </w:p>
        </w:tc>
        <w:tc>
          <w:tcPr>
            <w:tcW w:type="dxa" w:w="3744"/>
            <w:tcMar>
              <w:top w:w="60" w:type="dxa"/>
              <w:start w:w="110" w:type="dxa"/>
              <w:bottom w:w="60" w:type="dxa"/>
              <w:end w:w="110" w:type="dxa"/>
            </w:tcMar>
            <w:shd w:val="clear" w:color="auto" w:fill="F4F7FB"/>
          </w:tcPr>
          <w:p>
            <w:pPr>
              <w:spacing w:after="0"/>
            </w:pPr>
            <w:r/>
            <w:r>
              <w:rPr>
                <w:rFonts w:ascii="Consolas" w:hAnsi="Consolas"/>
                <w:color w:val="146EF5"/>
                <w:sz w:val="14"/>
              </w:rPr>
              <w:t>GET /admin/reports/*</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Triggered by a scheduler, not by a request. A failed run pages the risk officer and blocks new disbursements.</w:t>
            </w:r>
          </w:p>
        </w:tc>
      </w:tr>
      <w:tr>
        <w:trPr>
          <w:cantSplit/>
        </w:trPr>
        <w:tc>
          <w:tcPr>
            <w:tcW w:type="dxa" w:w="1872"/>
            <w:tcMar>
              <w:top w:w="60" w:type="dxa"/>
              <w:start w:w="110" w:type="dxa"/>
              <w:bottom w:w="60" w:type="dxa"/>
              <w:end w:w="110" w:type="dxa"/>
            </w:tcMar>
          </w:tcPr>
          <w:p>
            <w:pPr>
              <w:spacing w:after="0"/>
            </w:pPr>
            <w:r/>
            <w:r>
              <w:rPr>
                <w:rFonts w:ascii="Consolas" w:hAnsi="Consolas"/>
                <w:color w:val="146EF5"/>
                <w:sz w:val="14"/>
              </w:rPr>
              <w:t>notifications</w:t>
            </w:r>
            <w:r>
              <w:rPr>
                <w:rFonts w:ascii="Calibri" w:hAnsi="Calibri"/>
                <w:b w:val="0"/>
                <w:i w:val="0"/>
                <w:color w:val="101828"/>
                <w:sz w:val="14"/>
              </w:rPr>
              <w:t xml:space="preserve">, </w:t>
            </w:r>
            <w:r>
              <w:rPr>
                <w:rFonts w:ascii="Consolas" w:hAnsi="Consolas"/>
                <w:color w:val="146EF5"/>
                <w:sz w:val="14"/>
              </w:rPr>
              <w:t>notification_preferences</w:t>
            </w:r>
          </w:p>
        </w:tc>
        <w:tc>
          <w:tcPr>
            <w:tcW w:type="dxa" w:w="1224"/>
            <w:tcMar>
              <w:top w:w="60" w:type="dxa"/>
              <w:start w:w="110" w:type="dxa"/>
              <w:bottom w:w="60" w:type="dxa"/>
              <w:end w:w="110" w:type="dxa"/>
            </w:tcMar>
          </w:tcPr>
          <w:p>
            <w:pPr>
              <w:spacing w:after="0"/>
            </w:pPr>
            <w:r/>
            <w:r>
              <w:rPr>
                <w:rFonts w:ascii="Calibri" w:hAnsi="Calibri"/>
                <w:b w:val="0"/>
                <w:i w:val="0"/>
                <w:color w:val="101828"/>
                <w:sz w:val="14"/>
              </w:rPr>
              <w:t>Notifications</w:t>
            </w:r>
          </w:p>
        </w:tc>
        <w:tc>
          <w:tcPr>
            <w:tcW w:type="dxa" w:w="3744"/>
            <w:tcMar>
              <w:top w:w="60" w:type="dxa"/>
              <w:start w:w="110" w:type="dxa"/>
              <w:bottom w:w="60" w:type="dxa"/>
              <w:end w:w="110" w:type="dxa"/>
            </w:tcMar>
          </w:tcPr>
          <w:p>
            <w:pPr>
              <w:spacing w:after="0"/>
            </w:pPr>
            <w:r/>
            <w:r>
              <w:rPr>
                <w:rFonts w:ascii="Consolas" w:hAnsi="Consolas"/>
                <w:color w:val="146EF5"/>
                <w:sz w:val="14"/>
              </w:rPr>
              <w:t>GET /notifications</w:t>
            </w:r>
            <w:r>
              <w:rPr>
                <w:rFonts w:ascii="Calibri" w:hAnsi="Calibri"/>
                <w:b w:val="0"/>
                <w:i w:val="0"/>
                <w:color w:val="101828"/>
                <w:sz w:val="14"/>
              </w:rPr>
              <w:t xml:space="preserve">, </w:t>
            </w:r>
            <w:r>
              <w:rPr>
                <w:rFonts w:ascii="Consolas" w:hAnsi="Consolas"/>
                <w:color w:val="146EF5"/>
                <w:sz w:val="14"/>
              </w:rPr>
              <w:t>POST /notifications/:id/read</w:t>
            </w:r>
            <w:r>
              <w:rPr>
                <w:rFonts w:ascii="Calibri" w:hAnsi="Calibri"/>
                <w:b w:val="0"/>
                <w:i w:val="0"/>
                <w:color w:val="101828"/>
                <w:sz w:val="14"/>
              </w:rPr>
              <w:t xml:space="preserve">, </w:t>
            </w:r>
            <w:r>
              <w:rPr>
                <w:rFonts w:ascii="Consolas" w:hAnsi="Consolas"/>
                <w:color w:val="146EF5"/>
                <w:sz w:val="14"/>
              </w:rPr>
              <w:t>POST /notifications/read-all</w:t>
            </w:r>
            <w:r>
              <w:rPr>
                <w:rFonts w:ascii="Calibri" w:hAnsi="Calibri"/>
                <w:b w:val="0"/>
                <w:i w:val="0"/>
                <w:color w:val="101828"/>
                <w:sz w:val="14"/>
              </w:rPr>
              <w:t xml:space="preserve">, </w:t>
            </w:r>
            <w:r>
              <w:rPr>
                <w:rFonts w:ascii="Consolas" w:hAnsi="Consolas"/>
                <w:color w:val="146EF5"/>
                <w:sz w:val="14"/>
              </w:rPr>
              <w:t>GET/PUT /notification-preferences</w:t>
            </w:r>
          </w:p>
        </w:tc>
        <w:tc>
          <w:tcPr>
            <w:tcW w:type="dxa" w:w="2520"/>
            <w:tcMar>
              <w:top w:w="60" w:type="dxa"/>
              <w:start w:w="110" w:type="dxa"/>
              <w:bottom w:w="60" w:type="dxa"/>
              <w:end w:w="110" w:type="dxa"/>
            </w:tcMar>
          </w:tcPr>
          <w:p>
            <w:pPr>
              <w:spacing w:after="0"/>
            </w:pPr>
            <w:r/>
            <w:r>
              <w:rPr>
                <w:rFonts w:ascii="Consolas" w:hAnsi="Consolas"/>
                <w:color w:val="146EF5"/>
                <w:sz w:val="14"/>
              </w:rPr>
              <w:t>PUT /notification-preferences</w:t>
            </w:r>
            <w:r>
              <w:rPr>
                <w:rFonts w:ascii="Calibri" w:hAnsi="Calibri"/>
                <w:b w:val="0"/>
                <w:i w:val="0"/>
                <w:color w:val="101828"/>
                <w:sz w:val="14"/>
              </w:rPr>
              <w:t xml:space="preserve"> is the only way a member changes what they are told about their money.</w:t>
            </w:r>
          </w:p>
        </w:tc>
      </w:tr>
      <w:tr>
        <w:trPr>
          <w:cantSplit/>
        </w:trPr>
        <w:tc>
          <w:tcPr>
            <w:tcW w:type="dxa" w:w="1872"/>
            <w:tcMar>
              <w:top w:w="60" w:type="dxa"/>
              <w:start w:w="110" w:type="dxa"/>
              <w:bottom w:w="60" w:type="dxa"/>
              <w:end w:w="110" w:type="dxa"/>
            </w:tcMar>
            <w:shd w:val="clear" w:color="auto" w:fill="F4F7FB"/>
          </w:tcPr>
          <w:p>
            <w:pPr>
              <w:spacing w:after="0"/>
            </w:pPr>
            <w:r/>
            <w:r>
              <w:rPr>
                <w:rFonts w:ascii="Consolas" w:hAnsi="Consolas"/>
                <w:color w:val="146EF5"/>
                <w:sz w:val="14"/>
              </w:rPr>
              <w:t>notification_templates</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Admin</w:t>
            </w:r>
          </w:p>
        </w:tc>
        <w:tc>
          <w:tcPr>
            <w:tcW w:type="dxa" w:w="3744"/>
            <w:tcMar>
              <w:top w:w="60" w:type="dxa"/>
              <w:start w:w="110" w:type="dxa"/>
              <w:bottom w:w="60" w:type="dxa"/>
              <w:end w:w="110" w:type="dxa"/>
            </w:tcMar>
            <w:shd w:val="clear" w:color="auto" w:fill="F4F7FB"/>
          </w:tcPr>
          <w:p>
            <w:pPr>
              <w:spacing w:after="0"/>
            </w:pPr>
            <w:r/>
            <w:r>
              <w:rPr>
                <w:rFonts w:ascii="Consolas" w:hAnsi="Consolas"/>
                <w:color w:val="146EF5"/>
                <w:sz w:val="14"/>
              </w:rPr>
              <w:t>GET /admin/reports/*</w:t>
            </w:r>
            <w:r>
              <w:rPr>
                <w:rFonts w:ascii="Calibri" w:hAnsi="Calibri"/>
                <w:b w:val="0"/>
                <w:i w:val="0"/>
                <w:color w:val="101828"/>
                <w:sz w:val="14"/>
              </w:rPr>
              <w:t xml:space="preserve"> (catalogue view)</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Read-only over HTTP. Copy changes go through review and a migration, because the money-critical channel rule is a constraint on this table.</w:t>
            </w:r>
          </w:p>
        </w:tc>
      </w:tr>
      <w:tr>
        <w:trPr>
          <w:cantSplit/>
        </w:trPr>
        <w:tc>
          <w:tcPr>
            <w:tcW w:type="dxa" w:w="1872"/>
            <w:tcMar>
              <w:top w:w="60" w:type="dxa"/>
              <w:start w:w="110" w:type="dxa"/>
              <w:bottom w:w="60" w:type="dxa"/>
              <w:end w:w="110" w:type="dxa"/>
            </w:tcMar>
          </w:tcPr>
          <w:p>
            <w:pPr>
              <w:spacing w:after="0"/>
            </w:pPr>
            <w:r/>
            <w:r>
              <w:rPr>
                <w:rFonts w:ascii="Consolas" w:hAnsi="Consolas"/>
                <w:color w:val="146EF5"/>
                <w:sz w:val="14"/>
              </w:rPr>
              <w:t>disputes</w:t>
            </w:r>
            <w:r>
              <w:rPr>
                <w:rFonts w:ascii="Calibri" w:hAnsi="Calibri"/>
                <w:b w:val="0"/>
                <w:i w:val="0"/>
                <w:color w:val="101828"/>
                <w:sz w:val="14"/>
              </w:rPr>
              <w:t xml:space="preserve">, </w:t>
            </w:r>
            <w:r>
              <w:rPr>
                <w:rFonts w:ascii="Consolas" w:hAnsi="Consolas"/>
                <w:color w:val="146EF5"/>
                <w:sz w:val="14"/>
              </w:rPr>
              <w:t>dispute_messages</w:t>
            </w:r>
            <w:r>
              <w:rPr>
                <w:rFonts w:ascii="Calibri" w:hAnsi="Calibri"/>
                <w:b w:val="0"/>
                <w:i w:val="0"/>
                <w:color w:val="101828"/>
                <w:sz w:val="14"/>
              </w:rPr>
              <w:t xml:space="preserve">, </w:t>
            </w:r>
            <w:r>
              <w:rPr>
                <w:rFonts w:ascii="Consolas" w:hAnsi="Consolas"/>
                <w:color w:val="146EF5"/>
                <w:sz w:val="14"/>
              </w:rPr>
              <w:t>dispute_evidence</w:t>
            </w:r>
          </w:p>
        </w:tc>
        <w:tc>
          <w:tcPr>
            <w:tcW w:type="dxa" w:w="1224"/>
            <w:tcMar>
              <w:top w:w="60" w:type="dxa"/>
              <w:start w:w="110" w:type="dxa"/>
              <w:bottom w:w="60" w:type="dxa"/>
              <w:end w:w="110" w:type="dxa"/>
            </w:tcMar>
          </w:tcPr>
          <w:p>
            <w:pPr>
              <w:spacing w:after="0"/>
            </w:pPr>
            <w:r/>
            <w:r>
              <w:rPr>
                <w:rFonts w:ascii="Calibri" w:hAnsi="Calibri"/>
                <w:b w:val="0"/>
                <w:i w:val="0"/>
                <w:color w:val="101828"/>
                <w:sz w:val="14"/>
              </w:rPr>
              <w:t>Disputes</w:t>
            </w:r>
          </w:p>
        </w:tc>
        <w:tc>
          <w:tcPr>
            <w:tcW w:type="dxa" w:w="3744"/>
            <w:tcMar>
              <w:top w:w="60" w:type="dxa"/>
              <w:start w:w="110" w:type="dxa"/>
              <w:bottom w:w="60" w:type="dxa"/>
              <w:end w:w="110" w:type="dxa"/>
            </w:tcMar>
          </w:tcPr>
          <w:p>
            <w:pPr>
              <w:spacing w:after="0"/>
            </w:pPr>
            <w:r/>
            <w:r>
              <w:rPr>
                <w:rFonts w:ascii="Consolas" w:hAnsi="Consolas"/>
                <w:color w:val="146EF5"/>
                <w:sz w:val="14"/>
              </w:rPr>
              <w:t>POST /disputes</w:t>
            </w:r>
            <w:r>
              <w:rPr>
                <w:rFonts w:ascii="Calibri" w:hAnsi="Calibri"/>
                <w:b w:val="0"/>
                <w:i w:val="0"/>
                <w:color w:val="101828"/>
                <w:sz w:val="14"/>
              </w:rPr>
              <w:t xml:space="preserve">, </w:t>
            </w:r>
            <w:r>
              <w:rPr>
                <w:rFonts w:ascii="Consolas" w:hAnsi="Consolas"/>
                <w:color w:val="146EF5"/>
                <w:sz w:val="14"/>
              </w:rPr>
              <w:t>GET /disputes</w:t>
            </w:r>
            <w:r>
              <w:rPr>
                <w:rFonts w:ascii="Calibri" w:hAnsi="Calibri"/>
                <w:b w:val="0"/>
                <w:i w:val="0"/>
                <w:color w:val="101828"/>
                <w:sz w:val="14"/>
              </w:rPr>
              <w:t xml:space="preserve">, </w:t>
            </w:r>
            <w:r>
              <w:rPr>
                <w:rFonts w:ascii="Consolas" w:hAnsi="Consolas"/>
                <w:color w:val="146EF5"/>
                <w:sz w:val="14"/>
              </w:rPr>
              <w:t>GET /disputes/:id</w:t>
            </w:r>
            <w:r>
              <w:rPr>
                <w:rFonts w:ascii="Calibri" w:hAnsi="Calibri"/>
                <w:b w:val="0"/>
                <w:i w:val="0"/>
                <w:color w:val="101828"/>
                <w:sz w:val="14"/>
              </w:rPr>
              <w:t xml:space="preserve">, </w:t>
            </w:r>
            <w:r>
              <w:rPr>
                <w:rFonts w:ascii="Consolas" w:hAnsi="Consolas"/>
                <w:color w:val="146EF5"/>
                <w:sz w:val="14"/>
              </w:rPr>
              <w:t>POST /disputes/:id/evidence</w:t>
            </w:r>
            <w:r>
              <w:rPr>
                <w:rFonts w:ascii="Calibri" w:hAnsi="Calibri"/>
                <w:b w:val="0"/>
                <w:i w:val="0"/>
                <w:color w:val="101828"/>
                <w:sz w:val="14"/>
              </w:rPr>
              <w:t xml:space="preserve">, </w:t>
            </w:r>
            <w:r>
              <w:rPr>
                <w:rFonts w:ascii="Consolas" w:hAnsi="Consolas"/>
                <w:color w:val="146EF5"/>
                <w:sz w:val="14"/>
              </w:rPr>
              <w:t>POST /disputes/:id/messages</w:t>
            </w:r>
          </w:p>
        </w:tc>
        <w:tc>
          <w:tcPr>
            <w:tcW w:type="dxa" w:w="2520"/>
            <w:tcMar>
              <w:top w:w="60" w:type="dxa"/>
              <w:start w:w="110" w:type="dxa"/>
              <w:bottom w:w="60" w:type="dxa"/>
              <w:end w:w="110" w:type="dxa"/>
            </w:tcMar>
          </w:tcPr>
          <w:p>
            <w:pPr>
              <w:spacing w:after="0"/>
            </w:pPr>
            <w:r/>
            <w:r>
              <w:rPr>
                <w:rFonts w:ascii="Consolas" w:hAnsi="Consolas"/>
                <w:color w:val="146EF5"/>
                <w:sz w:val="14"/>
              </w:rPr>
              <w:t>support</w:t>
            </w:r>
            <w:r>
              <w:rPr>
                <w:rFonts w:ascii="Calibri" w:hAnsi="Calibri"/>
                <w:b w:val="0"/>
                <w:i w:val="0"/>
                <w:color w:val="101828"/>
                <w:sz w:val="14"/>
              </w:rPr>
              <w:t xml:space="preserve"> may read and may post messages; neither </w:t>
            </w:r>
            <w:r>
              <w:rPr>
                <w:rFonts w:ascii="Consolas" w:hAnsi="Consolas"/>
                <w:color w:val="146EF5"/>
                <w:sz w:val="14"/>
              </w:rPr>
              <w:t>support</w:t>
            </w:r>
            <w:r>
              <w:rPr>
                <w:rFonts w:ascii="Calibri" w:hAnsi="Calibri"/>
                <w:b w:val="0"/>
                <w:i w:val="0"/>
                <w:color w:val="101828"/>
                <w:sz w:val="14"/>
              </w:rPr>
              <w:t xml:space="preserve"> nor any member can write </w:t>
            </w:r>
            <w:r>
              <w:rPr>
                <w:rFonts w:ascii="Consolas" w:hAnsi="Consolas"/>
                <w:color w:val="146EF5"/>
                <w:sz w:val="14"/>
              </w:rPr>
              <w:t>status</w:t>
            </w:r>
            <w:r>
              <w:rPr>
                <w:rFonts w:ascii="Calibri" w:hAnsi="Calibri"/>
                <w:b w:val="0"/>
                <w:i w:val="0"/>
                <w:color w:val="101828"/>
                <w:sz w:val="14"/>
              </w:rPr>
              <w:t xml:space="preserve"> or </w:t>
            </w:r>
            <w:r>
              <w:rPr>
                <w:rFonts w:ascii="Consolas" w:hAnsi="Consolas"/>
                <w:color w:val="146EF5"/>
                <w:sz w:val="14"/>
              </w:rPr>
              <w:t>resolution</w:t>
            </w:r>
            <w:r>
              <w:rPr>
                <w:rFonts w:ascii="Calibri" w:hAnsi="Calibri"/>
                <w:b w:val="0"/>
                <w:i w:val="0"/>
                <w:color w:val="101828"/>
                <w:sz w:val="14"/>
              </w:rPr>
              <w:t>.</w:t>
            </w:r>
          </w:p>
        </w:tc>
      </w:tr>
      <w:tr>
        <w:trPr>
          <w:cantSplit/>
        </w:trPr>
        <w:tc>
          <w:tcPr>
            <w:tcW w:type="dxa" w:w="1872"/>
            <w:tcMar>
              <w:top w:w="60" w:type="dxa"/>
              <w:start w:w="110" w:type="dxa"/>
              <w:bottom w:w="60" w:type="dxa"/>
              <w:end w:w="110" w:type="dxa"/>
            </w:tcMar>
            <w:shd w:val="clear" w:color="auto" w:fill="F4F7FB"/>
          </w:tcPr>
          <w:p>
            <w:pPr>
              <w:spacing w:after="0"/>
            </w:pPr>
            <w:r/>
            <w:r>
              <w:rPr>
                <w:rFonts w:ascii="Consolas" w:hAnsi="Consolas"/>
                <w:color w:val="146EF5"/>
                <w:sz w:val="14"/>
              </w:rPr>
              <w:t>risk_events</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Admin</w:t>
            </w:r>
          </w:p>
        </w:tc>
        <w:tc>
          <w:tcPr>
            <w:tcW w:type="dxa" w:w="3744"/>
            <w:tcMar>
              <w:top w:w="60" w:type="dxa"/>
              <w:start w:w="110" w:type="dxa"/>
              <w:bottom w:w="60" w:type="dxa"/>
              <w:end w:w="110" w:type="dxa"/>
            </w:tcMar>
            <w:shd w:val="clear" w:color="auto" w:fill="F4F7FB"/>
          </w:tcPr>
          <w:p>
            <w:pPr>
              <w:spacing w:after="0"/>
            </w:pPr>
            <w:r/>
            <w:r>
              <w:rPr>
                <w:rFonts w:ascii="Consolas" w:hAnsi="Consolas"/>
                <w:color w:val="146EF5"/>
                <w:sz w:val="14"/>
              </w:rPr>
              <w:t>GET /admin/risk</w:t>
            </w:r>
            <w:r>
              <w:rPr>
                <w:rFonts w:ascii="Calibri" w:hAnsi="Calibri"/>
                <w:b w:val="0"/>
                <w:i w:val="0"/>
                <w:color w:val="101828"/>
                <w:sz w:val="14"/>
              </w:rPr>
              <w:t xml:space="preserve">, </w:t>
            </w:r>
            <w:r>
              <w:rPr>
                <w:rFonts w:ascii="Consolas" w:hAnsi="Consolas"/>
                <w:color w:val="146EF5"/>
                <w:sz w:val="14"/>
              </w:rPr>
              <w:t>POST /admin/risk/:id/decision</w:t>
            </w:r>
          </w:p>
        </w:tc>
        <w:tc>
          <w:tcPr>
            <w:tcW w:type="dxa" w:w="2520"/>
            <w:tcMar>
              <w:top w:w="60" w:type="dxa"/>
              <w:start w:w="110" w:type="dxa"/>
              <w:bottom w:w="60" w:type="dxa"/>
              <w:end w:w="110" w:type="dxa"/>
            </w:tcMar>
            <w:shd w:val="clear" w:color="auto" w:fill="F4F7FB"/>
          </w:tcPr>
          <w:p>
            <w:pPr>
              <w:spacing w:after="0"/>
            </w:pPr>
            <w:r/>
            <w:r>
              <w:rPr>
                <w:rFonts w:ascii="Consolas" w:hAnsi="Consolas"/>
                <w:color w:val="146EF5"/>
                <w:sz w:val="14"/>
              </w:rPr>
              <w:t>POST /admin/risk/:id/decision</w:t>
            </w:r>
            <w:r>
              <w:rPr>
                <w:rFonts w:ascii="Calibri" w:hAnsi="Calibri"/>
                <w:b w:val="0"/>
                <w:i w:val="0"/>
                <w:color w:val="101828"/>
                <w:sz w:val="14"/>
              </w:rPr>
              <w:t xml:space="preserve"> is authorized on </w:t>
            </w:r>
            <w:r>
              <w:rPr>
                <w:rFonts w:ascii="Consolas" w:hAnsi="Consolas"/>
                <w:color w:val="146EF5"/>
                <w:sz w:val="14"/>
              </w:rPr>
              <w:t>risk_officer</w:t>
            </w:r>
            <w:r>
              <w:rPr>
                <w:rFonts w:ascii="Calibri" w:hAnsi="Calibri"/>
                <w:b w:val="0"/>
                <w:i w:val="0"/>
                <w:color w:val="101828"/>
                <w:sz w:val="14"/>
              </w:rPr>
              <w:t xml:space="preserve"> only, and </w:t>
            </w:r>
            <w:r>
              <w:rPr>
                <w:rFonts w:ascii="Consolas" w:hAnsi="Consolas"/>
                <w:color w:val="146EF5"/>
                <w:sz w:val="14"/>
              </w:rPr>
              <w:t>super_admin</w:t>
            </w:r>
            <w:r>
              <w:rPr>
                <w:rFonts w:ascii="Calibri" w:hAnsi="Calibri"/>
                <w:b w:val="0"/>
                <w:i w:val="0"/>
                <w:color w:val="101828"/>
                <w:sz w:val="14"/>
              </w:rPr>
              <w:t xml:space="preserve"> can take the emergency freeze but cannot reverse a risk decision once made.</w:t>
            </w:r>
          </w:p>
        </w:tc>
      </w:tr>
      <w:tr>
        <w:trPr>
          <w:cantSplit/>
        </w:trPr>
        <w:tc>
          <w:tcPr>
            <w:tcW w:type="dxa" w:w="1872"/>
            <w:tcMar>
              <w:top w:w="60" w:type="dxa"/>
              <w:start w:w="110" w:type="dxa"/>
              <w:bottom w:w="60" w:type="dxa"/>
              <w:end w:w="110" w:type="dxa"/>
            </w:tcMar>
          </w:tcPr>
          <w:p>
            <w:pPr>
              <w:spacing w:after="0"/>
            </w:pPr>
            <w:r/>
            <w:r>
              <w:rPr>
                <w:rFonts w:ascii="Consolas" w:hAnsi="Consolas"/>
                <w:color w:val="146EF5"/>
                <w:sz w:val="14"/>
              </w:rPr>
              <w:t>audit_logs</w:t>
            </w:r>
          </w:p>
        </w:tc>
        <w:tc>
          <w:tcPr>
            <w:tcW w:type="dxa" w:w="1224"/>
            <w:tcMar>
              <w:top w:w="60" w:type="dxa"/>
              <w:start w:w="110" w:type="dxa"/>
              <w:bottom w:w="60" w:type="dxa"/>
              <w:end w:w="110" w:type="dxa"/>
            </w:tcMar>
          </w:tcPr>
          <w:p>
            <w:pPr>
              <w:spacing w:after="0"/>
            </w:pPr>
            <w:r/>
            <w:r>
              <w:rPr>
                <w:rFonts w:ascii="Calibri" w:hAnsi="Calibri"/>
                <w:b w:val="0"/>
                <w:i w:val="0"/>
                <w:color w:val="101828"/>
                <w:sz w:val="14"/>
              </w:rPr>
              <w:t>Admin</w:t>
            </w:r>
          </w:p>
        </w:tc>
        <w:tc>
          <w:tcPr>
            <w:tcW w:type="dxa" w:w="3744"/>
            <w:tcMar>
              <w:top w:w="60" w:type="dxa"/>
              <w:start w:w="110" w:type="dxa"/>
              <w:bottom w:w="60" w:type="dxa"/>
              <w:end w:w="110" w:type="dxa"/>
            </w:tcMar>
          </w:tcPr>
          <w:p>
            <w:pPr>
              <w:spacing w:after="0"/>
            </w:pPr>
            <w:r/>
            <w:r>
              <w:rPr>
                <w:rFonts w:ascii="Consolas" w:hAnsi="Consolas"/>
                <w:color w:val="146EF5"/>
                <w:sz w:val="14"/>
              </w:rPr>
              <w:t>GET /admin/audit-logs</w:t>
            </w:r>
          </w:p>
        </w:tc>
        <w:tc>
          <w:tcPr>
            <w:tcW w:type="dxa" w:w="2520"/>
            <w:tcMar>
              <w:top w:w="60" w:type="dxa"/>
              <w:start w:w="110" w:type="dxa"/>
              <w:bottom w:w="60" w:type="dxa"/>
              <w:end w:w="110" w:type="dxa"/>
            </w:tcMar>
          </w:tcPr>
          <w:p>
            <w:pPr>
              <w:spacing w:after="0"/>
            </w:pPr>
            <w:r/>
            <w:r>
              <w:rPr>
                <w:rFonts w:ascii="Calibri" w:hAnsi="Calibri"/>
                <w:b w:val="0"/>
                <w:i w:val="0"/>
                <w:color w:val="101828"/>
                <w:sz w:val="14"/>
              </w:rPr>
              <w:t xml:space="preserve">Read-only, cursor-paginated, and the only table with a </w:t>
            </w:r>
            <w:r>
              <w:rPr>
                <w:rFonts w:ascii="Consolas" w:hAnsi="Consolas"/>
                <w:color w:val="146EF5"/>
                <w:sz w:val="14"/>
              </w:rPr>
              <w:t>GET</w:t>
            </w:r>
            <w:r>
              <w:rPr>
                <w:rFonts w:ascii="Calibri" w:hAnsi="Calibri"/>
                <w:b w:val="0"/>
                <w:i w:val="0"/>
                <w:color w:val="101828"/>
                <w:sz w:val="14"/>
              </w:rPr>
              <w:t xml:space="preserve"> that is not scoped to the calling user's own records. </w:t>
            </w:r>
            <w:r>
              <w:rPr>
                <w:rFonts w:ascii="Consolas" w:hAnsi="Consolas"/>
                <w:color w:val="146EF5"/>
                <w:sz w:val="14"/>
              </w:rPr>
              <w:t>super_admin</w:t>
            </w:r>
            <w:r>
              <w:rPr>
                <w:rFonts w:ascii="Calibri" w:hAnsi="Calibri"/>
                <w:b w:val="0"/>
                <w:i w:val="0"/>
                <w:color w:val="101828"/>
                <w:sz w:val="14"/>
              </w:rPr>
              <w:t xml:space="preserve"> cannot delete from it, because there is no endpoint that deletes from it.</w:t>
            </w:r>
          </w:p>
        </w:tc>
      </w:tr>
      <w:tr>
        <w:trPr>
          <w:cantSplit/>
        </w:trPr>
        <w:tc>
          <w:tcPr>
            <w:tcW w:type="dxa" w:w="1872"/>
            <w:tcMar>
              <w:top w:w="60" w:type="dxa"/>
              <w:start w:w="110" w:type="dxa"/>
              <w:bottom w:w="60" w:type="dxa"/>
              <w:end w:w="110" w:type="dxa"/>
            </w:tcMar>
            <w:shd w:val="clear" w:color="auto" w:fill="F4F7FB"/>
          </w:tcPr>
          <w:p>
            <w:pPr>
              <w:spacing w:after="0"/>
            </w:pPr>
            <w:r/>
            <w:r>
              <w:rPr>
                <w:rFonts w:ascii="Consolas" w:hAnsi="Consolas"/>
                <w:color w:val="146EF5"/>
                <w:sz w:val="14"/>
              </w:rPr>
              <w:t>support_tickets</w:t>
            </w:r>
          </w:p>
        </w:tc>
        <w:tc>
          <w:tcPr>
            <w:tcW w:type="dxa" w:w="1224"/>
            <w:tcMar>
              <w:top w:w="60" w:type="dxa"/>
              <w:start w:w="110" w:type="dxa"/>
              <w:bottom w:w="60" w:type="dxa"/>
              <w:end w:w="110" w:type="dxa"/>
            </w:tcMar>
            <w:shd w:val="clear" w:color="auto" w:fill="F4F7FB"/>
          </w:tcPr>
          <w:p>
            <w:pPr>
              <w:spacing w:after="0"/>
            </w:pPr>
            <w:r/>
            <w:r>
              <w:rPr>
                <w:rFonts w:ascii="Calibri" w:hAnsi="Calibri"/>
                <w:b w:val="0"/>
                <w:i w:val="0"/>
                <w:color w:val="101828"/>
                <w:sz w:val="14"/>
              </w:rPr>
              <w:t>Admin, Support</w:t>
            </w:r>
          </w:p>
        </w:tc>
        <w:tc>
          <w:tcPr>
            <w:tcW w:type="dxa" w:w="3744"/>
            <w:tcMar>
              <w:top w:w="60" w:type="dxa"/>
              <w:start w:w="110" w:type="dxa"/>
              <w:bottom w:w="60" w:type="dxa"/>
              <w:end w:w="110" w:type="dxa"/>
            </w:tcMar>
            <w:shd w:val="clear" w:color="auto" w:fill="F4F7FB"/>
          </w:tcPr>
          <w:p>
            <w:pPr>
              <w:spacing w:after="0"/>
            </w:pPr>
            <w:r/>
            <w:r>
              <w:rPr>
                <w:rFonts w:ascii="Consolas" w:hAnsi="Consolas"/>
                <w:color w:val="146EF5"/>
                <w:sz w:val="14"/>
              </w:rPr>
              <w:t>GET /admin/overview</w:t>
            </w:r>
            <w:r>
              <w:rPr>
                <w:rFonts w:ascii="Calibri" w:hAnsi="Calibri"/>
                <w:b w:val="0"/>
                <w:i w:val="0"/>
                <w:color w:val="101828"/>
                <w:sz w:val="14"/>
              </w:rPr>
              <w:t xml:space="preserve"> (support queue), </w:t>
            </w:r>
            <w:r>
              <w:rPr>
                <w:rFonts w:ascii="Consolas" w:hAnsi="Consolas"/>
                <w:color w:val="146EF5"/>
                <w:sz w:val="14"/>
              </w:rPr>
              <w:t>GET /admin/reports/*</w:t>
            </w:r>
          </w:p>
        </w:tc>
        <w:tc>
          <w:tcPr>
            <w:tcW w:type="dxa" w:w="2520"/>
            <w:tcMar>
              <w:top w:w="60" w:type="dxa"/>
              <w:start w:w="110" w:type="dxa"/>
              <w:bottom w:w="60" w:type="dxa"/>
              <w:end w:w="110" w:type="dxa"/>
            </w:tcMar>
            <w:shd w:val="clear" w:color="auto" w:fill="F4F7FB"/>
          </w:tcPr>
          <w:p>
            <w:pPr>
              <w:spacing w:after="0"/>
            </w:pPr>
            <w:r/>
            <w:r>
              <w:rPr>
                <w:rFonts w:ascii="Calibri" w:hAnsi="Calibri"/>
                <w:b w:val="0"/>
                <w:i w:val="0"/>
                <w:color w:val="101828"/>
                <w:sz w:val="14"/>
              </w:rPr>
              <w:t>No member-facing endpoint in v1. The Support screen in CAN §7 is served by an authenticated support console, not the member app.</w:t>
            </w:r>
          </w:p>
        </w:tc>
      </w:tr>
    </w:tbl>
    <w:p>
      <w:pPr>
        <w:spacing w:after="80"/>
      </w:pPr>
    </w:p>
    <w:p>
      <w:r>
        <w:rPr>
          <w:rFonts w:ascii="Calibri" w:hAnsi="Calibri"/>
          <w:b w:val="0"/>
          <w:i w:val="0"/>
          <w:color w:val="101828"/>
          <w:sz w:val="21"/>
        </w:rPr>
        <w:t xml:space="preserve">Four tables have no public endpoint and this is deliberate. </w:t>
      </w:r>
      <w:r>
        <w:rPr>
          <w:rFonts w:ascii="Consolas" w:hAnsi="Consolas"/>
          <w:color w:val="146EF5"/>
          <w:sz w:val="21"/>
        </w:rPr>
        <w:t>outbox_events</w:t>
      </w:r>
      <w:r>
        <w:rPr>
          <w:rFonts w:ascii="Calibri" w:hAnsi="Calibri"/>
          <w:b w:val="0"/>
          <w:i w:val="0"/>
          <w:color w:val="101828"/>
          <w:sz w:val="21"/>
        </w:rPr>
        <w:t xml:space="preserve"> is written by triggers and read by a publisher process. </w:t>
      </w:r>
      <w:r>
        <w:rPr>
          <w:rFonts w:ascii="Consolas" w:hAnsi="Consolas"/>
          <w:color w:val="146EF5"/>
          <w:sz w:val="21"/>
        </w:rPr>
        <w:t>contribution_frequencies</w:t>
      </w:r>
      <w:r>
        <w:rPr>
          <w:rFonts w:ascii="Calibri" w:hAnsi="Calibri"/>
          <w:b w:val="0"/>
          <w:i w:val="0"/>
          <w:color w:val="101828"/>
          <w:sz w:val="21"/>
        </w:rPr>
        <w:t xml:space="preserve">, </w:t>
      </w:r>
      <w:r>
        <w:rPr>
          <w:rFonts w:ascii="Consolas" w:hAnsi="Consolas"/>
          <w:color w:val="146EF5"/>
          <w:sz w:val="21"/>
        </w:rPr>
        <w:t>payment_channels</w:t>
      </w:r>
      <w:r>
        <w:rPr>
          <w:rFonts w:ascii="Calibri" w:hAnsi="Calibri"/>
          <w:b w:val="0"/>
          <w:i w:val="0"/>
          <w:color w:val="101828"/>
          <w:sz w:val="21"/>
        </w:rPr>
        <w:t xml:space="preserve"> and </w:t>
      </w:r>
      <w:r>
        <w:rPr>
          <w:rFonts w:ascii="Consolas" w:hAnsi="Consolas"/>
          <w:color w:val="146EF5"/>
          <w:sz w:val="21"/>
        </w:rPr>
        <w:t>platform_settings</w:t>
      </w:r>
      <w:r>
        <w:rPr>
          <w:rFonts w:ascii="Calibri" w:hAnsi="Calibri"/>
          <w:b w:val="0"/>
          <w:i w:val="0"/>
          <w:color w:val="101828"/>
          <w:sz w:val="21"/>
        </w:rPr>
        <w:t xml:space="preserve"> are configuration, administered by migration and reviewed as code. Their absence from the API surface is a feature: a client that could change the contribution frequency or the payment channel at runtime is a client that can be induced to.</w:t>
      </w:r>
    </w:p>
    <w:p>
      <w:pPr>
        <w:spacing w:before="140" w:after="180"/>
        <w:ind w:left="144"/>
        <w:shd w:val="clear" w:color="auto" w:fill="EFF6FF"/>
        <w:pBdr>
          <w:left w:val="single" w:sz="18" w:space="6" w:color="146EF5"/>
        </w:pBdr>
      </w:pPr>
      <w:r>
        <w:rPr>
          <w:rFonts w:ascii="Calibri" w:hAnsi="Calibri"/>
          <w:b/>
          <w:color w:val="146EF5"/>
          <w:sz w:val="19"/>
        </w:rPr>
        <w:t xml:space="preserve">Closing the loop with section 9  </w:t>
      </w:r>
      <w:r>
        <w:rPr>
          <w:rFonts w:ascii="Calibri" w:hAnsi="Calibri"/>
          <w:b w:val="0"/>
          <w:i w:val="0"/>
          <w:color w:val="0B1F3A"/>
          <w:sz w:val="19"/>
        </w:rPr>
        <w:t xml:space="preserve">Every table named in this section has a </w:t>
      </w:r>
      <w:r>
        <w:rPr>
          <w:rFonts w:ascii="Consolas" w:hAnsi="Consolas"/>
          <w:color w:val="146EF5"/>
          <w:sz w:val="19"/>
        </w:rPr>
        <w:t>CREATE TABLE</w:t>
      </w:r>
      <w:r>
        <w:rPr>
          <w:rFonts w:ascii="Calibri" w:hAnsi="Calibri"/>
          <w:b w:val="0"/>
          <w:i w:val="0"/>
          <w:color w:val="0B1F3A"/>
          <w:sz w:val="19"/>
        </w:rPr>
        <w:t xml:space="preserve"> statement in section 9.3, every rule in 8.8 has a named constraint or index in 9.3 and 9.5, and every cascade decision in 8.7 has a matching </w:t>
      </w:r>
      <w:r>
        <w:rPr>
          <w:rFonts w:ascii="Consolas" w:hAnsi="Consolas"/>
          <w:color w:val="146EF5"/>
          <w:sz w:val="19"/>
        </w:rPr>
        <w:t>ON DELETE</w:t>
      </w:r>
      <w:r>
        <w:rPr>
          <w:rFonts w:ascii="Calibri" w:hAnsi="Calibri"/>
          <w:b w:val="0"/>
          <w:i w:val="0"/>
          <w:color w:val="0B1F3A"/>
          <w:sz w:val="19"/>
        </w:rPr>
        <w:t xml:space="preserve"> clause in the DDL. The two sections are intended to be read side by side, and a change to either is a change to both. The traceability chain closes: CANONICAL.md section 5 names the entities, this section structures them, section 9 implements them, CANONICAL.md section 6 exposes them, and CANONICAL.md section 7 renders them. Nothing in the data model exists that no user ever sees and no operator ever needs. The tagline is </w:t>
      </w:r>
      <w:r>
        <w:rPr>
          <w:rFonts w:ascii="Calibri" w:hAnsi="Calibri"/>
          <w:i/>
          <w:color w:val="0B1F3A"/>
          <w:sz w:val="19"/>
        </w:rPr>
        <w:t>Your Ajo. Your Story.</w:t>
      </w:r>
    </w:p>
    <w:p>
      <w:r>
        <w:br w:type="page"/>
      </w:r>
    </w:p>
    <w:p>
      <w:pPr>
        <w:pStyle w:val="Heading1"/>
        <w:pBdr>
          <w:bottom w:val="single" w:sz="12" w:space="6" w:color="146EF5"/>
        </w:pBdr>
        <w:spacing w:after="240"/>
      </w:pPr>
      <w:r>
        <w:rPr>
          <w:rFonts w:ascii="Calibri" w:hAnsi="Calibri"/>
          <w:b/>
          <w:i w:val="0"/>
          <w:color w:val="0B1F3A"/>
          <w:sz w:val="40"/>
        </w:rPr>
        <w:t>9. PostgreSQL Schema</w:t>
      </w:r>
    </w:p>
    <w:p>
      <w:pPr>
        <w:spacing w:after="200"/>
      </w:pPr>
      <w:r>
        <w:rPr>
          <w:rFonts w:ascii="Calibri" w:hAnsi="Calibri"/>
          <w:b w:val="0"/>
          <w:i w:val="0"/>
          <w:color w:val="475467"/>
          <w:sz w:val="24"/>
        </w:rPr>
        <w:t xml:space="preserve">This section is the executable half of the data model. Section 8 says an Ajo has positions and that a position is occupied when exactly one live membership points at it; this section is </w:t>
      </w:r>
      <w:r>
        <w:rPr>
          <w:rFonts w:ascii="Consolas" w:hAnsi="Consolas"/>
          <w:color w:val="146EF5"/>
          <w:sz w:val="24"/>
        </w:rPr>
        <w:t>ajo_members.position_id</w:t>
      </w:r>
      <w:r>
        <w:rPr>
          <w:rFonts w:ascii="Calibri" w:hAnsi="Calibri"/>
          <w:b w:val="0"/>
          <w:i w:val="0"/>
          <w:color w:val="475467"/>
          <w:sz w:val="24"/>
        </w:rPr>
        <w:t xml:space="preserve"> with a partial unique index over the live statuses, and a test that inserts a second claimant and watches it fail. Section 8 says a ledger transaction is balanced; this section is a deferred constraint trigger that refuses to let the transaction commit otherwise. Every rule in CANONICAL.md appears here three times: as prose, as DDL, and as an executed test whose failure message is quoted next to it.</w:t>
      </w:r>
    </w:p>
    <w:p>
      <w:pPr>
        <w:pStyle w:val="Heading2"/>
      </w:pPr>
      <w:r>
        <w:rPr>
          <w:rFonts w:ascii="Calibri" w:hAnsi="Calibri"/>
          <w:b/>
          <w:i w:val="0"/>
          <w:color w:val="146EF5"/>
          <w:sz w:val="29"/>
        </w:rPr>
        <w:t>9.1 Conventions, and what the database deliberately is not</w:t>
      </w:r>
    </w:p>
    <w:p>
      <w:r>
        <w:rPr>
          <w:rFonts w:ascii="Calibri" w:hAnsi="Calibri"/>
          <w:b w:val="0"/>
          <w:i w:val="0"/>
          <w:color w:val="101828"/>
          <w:sz w:val="21"/>
        </w:rPr>
        <w:t>Four decisions govern every column in the schema, and each one is here because the alternative was considered and lost.</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440"/>
            <w:shd w:val="clear" w:color="auto" w:fill="0B1F3A"/>
            <w:tcMar>
              <w:top w:w="60" w:type="dxa"/>
              <w:start w:w="110" w:type="dxa"/>
              <w:bottom w:w="60" w:type="dxa"/>
              <w:end w:w="110" w:type="dxa"/>
            </w:tcMar>
          </w:tcPr>
          <w:p>
            <w:pPr>
              <w:spacing w:after="0"/>
            </w:pPr>
            <w:r/>
            <w:r>
              <w:rPr>
                <w:rFonts w:ascii="Calibri" w:hAnsi="Calibri"/>
                <w:b/>
                <w:i w:val="0"/>
                <w:color w:val="FFFFFF"/>
                <w:sz w:val="17"/>
              </w:rPr>
              <w:t>Concern</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7"/>
              </w:rPr>
              <w:t>The decision</w:t>
            </w:r>
          </w:p>
        </w:tc>
        <w:tc>
          <w:tcPr>
            <w:tcW w:type="dxa" w:w="5472"/>
            <w:shd w:val="clear" w:color="auto" w:fill="0B1F3A"/>
            <w:tcMar>
              <w:top w:w="60" w:type="dxa"/>
              <w:start w:w="110" w:type="dxa"/>
              <w:bottom w:w="60" w:type="dxa"/>
              <w:end w:w="110" w:type="dxa"/>
            </w:tcMar>
          </w:tcPr>
          <w:p>
            <w:pPr>
              <w:spacing w:after="0"/>
            </w:pPr>
            <w:r/>
            <w:r>
              <w:rPr>
                <w:rFonts w:ascii="Calibri" w:hAnsi="Calibri"/>
                <w:b/>
                <w:i w:val="0"/>
                <w:color w:val="FFFFFF"/>
                <w:sz w:val="17"/>
              </w:rPr>
              <w:t>Why the alternative loses</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7"/>
              </w:rPr>
              <w:t>Money</w:t>
            </w:r>
          </w:p>
        </w:tc>
        <w:tc>
          <w:tcPr>
            <w:tcW w:type="dxa" w:w="2448"/>
            <w:tcMar>
              <w:top w:w="60" w:type="dxa"/>
              <w:start w:w="110" w:type="dxa"/>
              <w:bottom w:w="60" w:type="dxa"/>
              <w:end w:w="110" w:type="dxa"/>
            </w:tcMar>
          </w:tcPr>
          <w:p>
            <w:pPr>
              <w:spacing w:after="0"/>
            </w:pPr>
            <w:r/>
            <w:r>
              <w:rPr>
                <w:rFonts w:ascii="Consolas" w:hAnsi="Consolas"/>
                <w:color w:val="146EF5"/>
                <w:sz w:val="17"/>
              </w:rPr>
              <w:t>bigint</w:t>
            </w:r>
            <w:r>
              <w:rPr>
                <w:rFonts w:ascii="Calibri" w:hAnsi="Calibri"/>
                <w:b w:val="0"/>
                <w:i w:val="0"/>
                <w:color w:val="101828"/>
                <w:sz w:val="17"/>
              </w:rPr>
              <w:t xml:space="preserve"> kobo, everywhere</w:t>
            </w:r>
          </w:p>
        </w:tc>
        <w:tc>
          <w:tcPr>
            <w:tcW w:type="dxa" w:w="5472"/>
            <w:tcMar>
              <w:top w:w="60" w:type="dxa"/>
              <w:start w:w="110" w:type="dxa"/>
              <w:bottom w:w="60" w:type="dxa"/>
              <w:end w:w="110" w:type="dxa"/>
            </w:tcMar>
          </w:tcPr>
          <w:p>
            <w:pPr>
              <w:spacing w:after="0"/>
            </w:pPr>
            <w:r/>
            <w:r>
              <w:rPr>
                <w:rFonts w:ascii="Consolas" w:hAnsi="Consolas"/>
                <w:color w:val="146EF5"/>
                <w:sz w:val="17"/>
              </w:rPr>
              <w:t>numeric(18,2)</w:t>
            </w:r>
            <w:r>
              <w:rPr>
                <w:rFonts w:ascii="Calibri" w:hAnsi="Calibri"/>
                <w:b w:val="0"/>
                <w:i w:val="0"/>
                <w:color w:val="101828"/>
                <w:sz w:val="17"/>
              </w:rPr>
              <w:t xml:space="preserve"> is exact but carries a scale the application then has to remember on every call site. Kobo is an integer, so the fee arithmetic in 9.5 is integer arithmetic, and a sum over a million contributions is a </w:t>
            </w:r>
            <w:r>
              <w:rPr>
                <w:rFonts w:ascii="Consolas" w:hAnsi="Consolas"/>
                <w:color w:val="146EF5"/>
                <w:sz w:val="17"/>
              </w:rPr>
              <w:t>bigint</w:t>
            </w:r>
            <w:r>
              <w:rPr>
                <w:rFonts w:ascii="Calibri" w:hAnsi="Calibri"/>
                <w:b w:val="0"/>
                <w:i w:val="0"/>
                <w:color w:val="101828"/>
                <w:sz w:val="17"/>
              </w:rPr>
              <w:t xml:space="preserve"> sum rather than a rounding question.</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7"/>
              </w:rPr>
              <w:t>Fees</w:t>
            </w:r>
          </w:p>
        </w:tc>
        <w:tc>
          <w:tcPr>
            <w:tcW w:type="dxa" w:w="2448"/>
            <w:tcMar>
              <w:top w:w="60" w:type="dxa"/>
              <w:start w:w="110" w:type="dxa"/>
              <w:bottom w:w="60" w:type="dxa"/>
              <w:end w:w="110" w:type="dxa"/>
            </w:tcMar>
            <w:shd w:val="clear" w:color="auto" w:fill="F4F7FB"/>
          </w:tcPr>
          <w:p>
            <w:pPr>
              <w:spacing w:after="0"/>
            </w:pPr>
            <w:r/>
            <w:r>
              <w:rPr>
                <w:rFonts w:ascii="Consolas" w:hAnsi="Consolas"/>
                <w:color w:val="146EF5"/>
                <w:sz w:val="17"/>
              </w:rPr>
              <w:t>GENERATED ALWAYS AS</w:t>
            </w:r>
          </w:p>
        </w:tc>
        <w:tc>
          <w:tcPr>
            <w:tcW w:type="dxa" w:w="5472"/>
            <w:tcMar>
              <w:top w:w="60" w:type="dxa"/>
              <w:start w:w="110" w:type="dxa"/>
              <w:bottom w:w="60" w:type="dxa"/>
              <w:end w:w="110" w:type="dxa"/>
            </w:tcMar>
            <w:shd w:val="clear" w:color="auto" w:fill="F4F7FB"/>
          </w:tcPr>
          <w:p>
            <w:pPr>
              <w:spacing w:after="0"/>
            </w:pPr>
            <w:r/>
            <w:r>
              <w:rPr>
                <w:rFonts w:ascii="Calibri" w:hAnsi="Calibri"/>
                <w:b w:val="0"/>
                <w:i w:val="0"/>
                <w:color w:val="101828"/>
                <w:sz w:val="17"/>
              </w:rPr>
              <w:t>A fee written by the application is a fee that can be wrong, and a bug in one service becomes a ledger entry that never reconciles. Generated means there is no code path that can write it, including a mistaken one.</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7"/>
              </w:rPr>
              <w:t>Time</w:t>
            </w:r>
          </w:p>
        </w:tc>
        <w:tc>
          <w:tcPr>
            <w:tcW w:type="dxa" w:w="2448"/>
            <w:tcMar>
              <w:top w:w="60" w:type="dxa"/>
              <w:start w:w="110" w:type="dxa"/>
              <w:bottom w:w="60" w:type="dxa"/>
              <w:end w:w="110" w:type="dxa"/>
            </w:tcMar>
          </w:tcPr>
          <w:p>
            <w:pPr>
              <w:spacing w:after="0"/>
            </w:pPr>
            <w:r/>
            <w:r>
              <w:rPr>
                <w:rFonts w:ascii="Consolas" w:hAnsi="Consolas"/>
                <w:color w:val="146EF5"/>
                <w:sz w:val="17"/>
              </w:rPr>
              <w:t>timestamptz</w:t>
            </w:r>
            <w:r>
              <w:rPr>
                <w:rFonts w:ascii="Calibri" w:hAnsi="Calibri"/>
                <w:b w:val="0"/>
                <w:i w:val="0"/>
                <w:color w:val="101828"/>
                <w:sz w:val="17"/>
              </w:rPr>
              <w:t>, always UTC</w:t>
            </w:r>
          </w:p>
        </w:tc>
        <w:tc>
          <w:tcPr>
            <w:tcW w:type="dxa" w:w="5472"/>
            <w:tcMar>
              <w:top w:w="60" w:type="dxa"/>
              <w:start w:w="110" w:type="dxa"/>
              <w:bottom w:w="60" w:type="dxa"/>
              <w:end w:w="110" w:type="dxa"/>
            </w:tcMar>
          </w:tcPr>
          <w:p>
            <w:pPr>
              <w:spacing w:after="0"/>
            </w:pPr>
            <w:r/>
            <w:r>
              <w:rPr>
                <w:rFonts w:ascii="Calibri" w:hAnsi="Calibri"/>
                <w:b w:val="0"/>
                <w:i w:val="0"/>
                <w:color w:val="101828"/>
                <w:sz w:val="17"/>
              </w:rPr>
              <w:t xml:space="preserve">A </w:t>
            </w:r>
            <w:r>
              <w:rPr>
                <w:rFonts w:ascii="Consolas" w:hAnsi="Consolas"/>
                <w:color w:val="146EF5"/>
                <w:sz w:val="17"/>
              </w:rPr>
              <w:t>timestamp</w:t>
            </w:r>
            <w:r>
              <w:rPr>
                <w:rFonts w:ascii="Calibri" w:hAnsi="Calibri"/>
                <w:b w:val="0"/>
                <w:i w:val="0"/>
                <w:color w:val="101828"/>
                <w:sz w:val="17"/>
              </w:rPr>
              <w:t xml:space="preserve"> without a zone is a wall clock with no meaning outside the server that wrote it, and a server whose zone changes rewrites history. Rendering in the member's local zone happens at the edge, in the client.</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7"/>
              </w:rPr>
              <w:t>Identity</w:t>
            </w:r>
          </w:p>
        </w:tc>
        <w:tc>
          <w:tcPr>
            <w:tcW w:type="dxa" w:w="2448"/>
            <w:tcMar>
              <w:top w:w="60" w:type="dxa"/>
              <w:start w:w="110" w:type="dxa"/>
              <w:bottom w:w="60" w:type="dxa"/>
              <w:end w:w="110" w:type="dxa"/>
            </w:tcMar>
            <w:shd w:val="clear" w:color="auto" w:fill="F4F7FB"/>
          </w:tcPr>
          <w:p>
            <w:pPr>
              <w:spacing w:after="0"/>
            </w:pPr>
            <w:r/>
            <w:r>
              <w:rPr>
                <w:rFonts w:ascii="Consolas" w:hAnsi="Consolas"/>
                <w:color w:val="146EF5"/>
                <w:sz w:val="17"/>
              </w:rPr>
              <w:t>uuid</w:t>
            </w:r>
            <w:r>
              <w:rPr>
                <w:rFonts w:ascii="Calibri" w:hAnsi="Calibri"/>
                <w:b w:val="0"/>
                <w:i w:val="0"/>
                <w:color w:val="101828"/>
                <w:sz w:val="17"/>
              </w:rPr>
              <w:t xml:space="preserve"> from </w:t>
            </w:r>
            <w:r>
              <w:rPr>
                <w:rFonts w:ascii="Consolas" w:hAnsi="Consolas"/>
                <w:color w:val="146EF5"/>
                <w:sz w:val="17"/>
              </w:rPr>
              <w:t>app.uuidv7()</w:t>
            </w:r>
          </w:p>
        </w:tc>
        <w:tc>
          <w:tcPr>
            <w:tcW w:type="dxa" w:w="5472"/>
            <w:tcMar>
              <w:top w:w="60" w:type="dxa"/>
              <w:start w:w="110" w:type="dxa"/>
              <w:bottom w:w="60" w:type="dxa"/>
              <w:end w:w="110" w:type="dxa"/>
            </w:tcMar>
            <w:shd w:val="clear" w:color="auto" w:fill="F4F7FB"/>
          </w:tcPr>
          <w:p>
            <w:pPr>
              <w:spacing w:after="0"/>
            </w:pPr>
            <w:r/>
            <w:r>
              <w:rPr>
                <w:rFonts w:ascii="Calibri" w:hAnsi="Calibri"/>
                <w:b w:val="0"/>
                <w:i w:val="0"/>
                <w:color w:val="101828"/>
                <w:sz w:val="17"/>
              </w:rPr>
              <w:t xml:space="preserve">A </w:t>
            </w:r>
            <w:r>
              <w:rPr>
                <w:rFonts w:ascii="Consolas" w:hAnsi="Consolas"/>
                <w:color w:val="146EF5"/>
                <w:sz w:val="17"/>
              </w:rPr>
              <w:t>bigserial</w:t>
            </w:r>
            <w:r>
              <w:rPr>
                <w:rFonts w:ascii="Calibri" w:hAnsi="Calibri"/>
                <w:b w:val="0"/>
                <w:i w:val="0"/>
                <w:color w:val="101828"/>
                <w:sz w:val="17"/>
              </w:rPr>
              <w:t xml:space="preserve"> leaks row counts and makes every test fixture a moving target. UUIDv7 is time-ordered, so inserts stay near the front of the index instead of scattering writes across the whole btree, and a support agent can read a creation time off the id. The version and variant bits are asserted in 9.14.</w:t>
            </w:r>
          </w:p>
        </w:tc>
      </w:tr>
    </w:tbl>
    <w:p>
      <w:pPr>
        <w:spacing w:after="80"/>
      </w:pPr>
    </w:p>
    <w:p>
      <w:r>
        <w:rPr>
          <w:rFonts w:ascii="Calibri" w:hAnsi="Calibri"/>
          <w:b w:val="0"/>
          <w:i w:val="0"/>
          <w:color w:val="101828"/>
          <w:sz w:val="21"/>
        </w:rPr>
        <w:t>Five things are not in this schema. Their absence is a decision, and each is named here so that a reader who notices a missing table finds it accounted for rather than merely absent.</w:t>
      </w:r>
    </w:p>
    <w:p>
      <w:pPr>
        <w:pStyle w:val="ListBullet"/>
        <w:spacing w:after="60"/>
        <w:ind w:left="360"/>
      </w:pPr>
      <w:r>
        <w:rPr>
          <w:rFonts w:ascii="Calibri" w:hAnsi="Calibri"/>
          <w:b/>
          <w:color w:val="101828"/>
          <w:sz w:val="21"/>
        </w:rPr>
        <w:t>The payment provider's own ledger.</w:t>
      </w:r>
      <w:r>
        <w:rPr>
          <w:rFonts w:ascii="Calibri" w:hAnsi="Calibri"/>
          <w:b w:val="0"/>
          <w:i w:val="0"/>
          <w:color w:val="101828"/>
          <w:sz w:val="21"/>
        </w:rPr>
        <w:t xml:space="preserve"> ProvidusUnity holds and moves the money under a commercial and regulatory arrangement that is not ours to model. What we store is a </w:t>
      </w:r>
      <w:r>
        <w:rPr>
          <w:rFonts w:ascii="Consolas" w:hAnsi="Consolas"/>
          <w:color w:val="146EF5"/>
          <w:sz w:val="21"/>
        </w:rPr>
        <w:t>provider</w:t>
      </w:r>
      <w:r>
        <w:rPr>
          <w:rFonts w:ascii="Calibri" w:hAnsi="Calibri"/>
          <w:b w:val="0"/>
          <w:i w:val="0"/>
          <w:color w:val="101828"/>
          <w:sz w:val="21"/>
        </w:rPr>
        <w:t xml:space="preserve"> name, a </w:t>
      </w:r>
      <w:r>
        <w:rPr>
          <w:rFonts w:ascii="Consolas" w:hAnsi="Consolas"/>
          <w:color w:val="146EF5"/>
          <w:sz w:val="21"/>
        </w:rPr>
        <w:t>provider_reference</w:t>
      </w:r>
      <w:r>
        <w:rPr>
          <w:rFonts w:ascii="Calibri" w:hAnsi="Calibri"/>
          <w:b w:val="0"/>
          <w:i w:val="0"/>
          <w:color w:val="101828"/>
          <w:sz w:val="21"/>
        </w:rPr>
        <w:t xml:space="preserve"> and a </w:t>
      </w:r>
      <w:r>
        <w:rPr>
          <w:rFonts w:ascii="Consolas" w:hAnsi="Consolas"/>
          <w:color w:val="146EF5"/>
          <w:sz w:val="21"/>
        </w:rPr>
        <w:t>webhook_events</w:t>
      </w:r>
      <w:r>
        <w:rPr>
          <w:rFonts w:ascii="Calibri" w:hAnsi="Calibri"/>
          <w:b w:val="0"/>
          <w:i w:val="0"/>
          <w:color w:val="101828"/>
          <w:sz w:val="21"/>
        </w:rPr>
        <w:t xml:space="preserve"> row, which is enough to make a webhook idempotent and to support a dispute with evidence. What that arrangement permits, and on what terms, requires confirmation with ProvidusUnity and review by qualified Nigerian counsel.</w:t>
      </w:r>
    </w:p>
    <w:p>
      <w:pPr>
        <w:pStyle w:val="ListBullet"/>
        <w:spacing w:after="60"/>
        <w:ind w:left="360"/>
      </w:pPr>
      <w:r>
        <w:rPr>
          <w:rFonts w:ascii="Calibri" w:hAnsi="Calibri"/>
          <w:b/>
          <w:color w:val="101828"/>
          <w:sz w:val="21"/>
        </w:rPr>
        <w:t>Authentication credentials.</w:t>
      </w:r>
      <w:r>
        <w:rPr>
          <w:rFonts w:ascii="Calibri" w:hAnsi="Calibri"/>
          <w:b w:val="0"/>
          <w:i w:val="0"/>
          <w:color w:val="101828"/>
          <w:sz w:val="21"/>
        </w:rPr>
        <w:t xml:space="preserve"> Supabase Auth owns passwords, MFA enrolment and tokens. </w:t>
      </w:r>
      <w:r>
        <w:rPr>
          <w:rFonts w:ascii="Consolas" w:hAnsi="Consolas"/>
          <w:color w:val="146EF5"/>
          <w:sz w:val="21"/>
        </w:rPr>
        <w:t>users.auth_subject_id</w:t>
      </w:r>
      <w:r>
        <w:rPr>
          <w:rFonts w:ascii="Calibri" w:hAnsi="Calibri"/>
          <w:b w:val="0"/>
          <w:i w:val="0"/>
          <w:color w:val="101828"/>
          <w:sz w:val="21"/>
        </w:rPr>
        <w:t xml:space="preserve"> records the link and is unique, so one account cannot be attached to two auth identities and one identity cannot be attached to two accounts.</w:t>
      </w:r>
    </w:p>
    <w:p>
      <w:pPr>
        <w:pStyle w:val="ListBullet"/>
        <w:spacing w:after="60"/>
        <w:ind w:left="360"/>
      </w:pPr>
      <w:r>
        <w:rPr>
          <w:rFonts w:ascii="Calibri" w:hAnsi="Calibri"/>
          <w:b/>
          <w:color w:val="101828"/>
          <w:sz w:val="21"/>
        </w:rPr>
        <w:t>Files.</w:t>
      </w:r>
      <w:r>
        <w:rPr>
          <w:rFonts w:ascii="Calibri" w:hAnsi="Calibri"/>
          <w:b w:val="0"/>
          <w:i w:val="0"/>
          <w:color w:val="101828"/>
          <w:sz w:val="21"/>
        </w:rPr>
        <w:t xml:space="preserve"> </w:t>
      </w:r>
      <w:r>
        <w:rPr>
          <w:rFonts w:ascii="Consolas" w:hAnsi="Consolas"/>
          <w:color w:val="146EF5"/>
          <w:sz w:val="21"/>
        </w:rPr>
        <w:t>documents</w:t>
      </w:r>
      <w:r>
        <w:rPr>
          <w:rFonts w:ascii="Calibri" w:hAnsi="Calibri"/>
          <w:b w:val="0"/>
          <w:i w:val="0"/>
          <w:color w:val="101828"/>
          <w:sz w:val="21"/>
        </w:rPr>
        <w:t xml:space="preserve"> stores a bucket, a path, a SHA-256, a byte size and a MIME type. The bytes live in object storage. The row is retained when the object is retired, because the hash is what makes a document provable later.</w:t>
      </w:r>
    </w:p>
    <w:p>
      <w:pPr>
        <w:pStyle w:val="ListBullet"/>
        <w:spacing w:after="60"/>
        <w:ind w:left="360"/>
      </w:pPr>
      <w:r>
        <w:rPr>
          <w:rFonts w:ascii="Calibri" w:hAnsi="Calibri"/>
          <w:b/>
          <w:color w:val="101828"/>
          <w:sz w:val="21"/>
        </w:rPr>
        <w:t>Time.</w:t>
      </w:r>
      <w:r>
        <w:rPr>
          <w:rFonts w:ascii="Calibri" w:hAnsi="Calibri"/>
          <w:b w:val="0"/>
          <w:i w:val="0"/>
          <w:color w:val="101828"/>
          <w:sz w:val="21"/>
        </w:rPr>
        <w:t xml:space="preserve"> There is no </w:t>
      </w:r>
      <w:r>
        <w:rPr>
          <w:rFonts w:ascii="Consolas" w:hAnsi="Consolas"/>
          <w:color w:val="146EF5"/>
          <w:sz w:val="21"/>
        </w:rPr>
        <w:t>time</w:t>
      </w:r>
      <w:r>
        <w:rPr>
          <w:rFonts w:ascii="Calibri" w:hAnsi="Calibri"/>
          <w:b w:val="0"/>
          <w:i w:val="0"/>
          <w:color w:val="101828"/>
          <w:sz w:val="21"/>
        </w:rPr>
        <w:t xml:space="preserve"> entity. Time is a column, always </w:t>
      </w:r>
      <w:r>
        <w:rPr>
          <w:rFonts w:ascii="Consolas" w:hAnsi="Consolas"/>
          <w:color w:val="146EF5"/>
          <w:sz w:val="21"/>
        </w:rPr>
        <w:t>timestamptz</w:t>
      </w:r>
      <w:r>
        <w:rPr>
          <w:rFonts w:ascii="Calibri" w:hAnsi="Calibri"/>
          <w:b w:val="0"/>
          <w:i w:val="0"/>
          <w:color w:val="101828"/>
          <w:sz w:val="21"/>
        </w:rPr>
        <w:t>, always UTC, and rendered in the member's local zone at the edge.</w:t>
      </w:r>
    </w:p>
    <w:p>
      <w:pPr>
        <w:pStyle w:val="ListBullet"/>
        <w:spacing w:after="60"/>
        <w:ind w:left="360"/>
      </w:pPr>
      <w:r>
        <w:rPr>
          <w:rFonts w:ascii="Calibri" w:hAnsi="Calibri"/>
          <w:b/>
          <w:color w:val="101828"/>
          <w:sz w:val="21"/>
        </w:rPr>
        <w:t>Ajo totals.</w:t>
      </w:r>
      <w:r>
        <w:rPr>
          <w:rFonts w:ascii="Calibri" w:hAnsi="Calibri"/>
          <w:b w:val="0"/>
          <w:i w:val="0"/>
          <w:color w:val="101828"/>
          <w:sz w:val="21"/>
        </w:rPr>
        <w:t xml:space="preserve"> There is no </w:t>
      </w:r>
      <w:r>
        <w:rPr>
          <w:rFonts w:ascii="Consolas" w:hAnsi="Consolas"/>
          <w:color w:val="146EF5"/>
          <w:sz w:val="21"/>
        </w:rPr>
        <w:t>ajos.total_collected_kobo</w:t>
      </w:r>
      <w:r>
        <w:rPr>
          <w:rFonts w:ascii="Calibri" w:hAnsi="Calibri"/>
          <w:b w:val="0"/>
          <w:i w:val="0"/>
          <w:color w:val="101828"/>
          <w:sz w:val="21"/>
        </w:rPr>
        <w:t>. The pool is a stored aggregate of contributions and the fee is a generated column; a denormalised platform total would be a fourth copy of the same fact free to fall out of date, and 9.5 is the check that keeps the two honest.</w:t>
      </w:r>
    </w:p>
    <w:p>
      <w:pPr>
        <w:spacing w:before="140" w:after="180"/>
        <w:ind w:left="144"/>
        <w:shd w:val="clear" w:color="auto" w:fill="E0F2FE"/>
        <w:pBdr>
          <w:left w:val="single" w:sz="18" w:space="6" w:color="22C7D6"/>
        </w:pBdr>
      </w:pPr>
      <w:r>
        <w:rPr>
          <w:rFonts w:ascii="Calibri" w:hAnsi="Calibri"/>
          <w:b/>
          <w:color w:val="22C7D6"/>
          <w:sz w:val="19"/>
        </w:rPr>
        <w:t xml:space="preserve">Two questions this section records as open rather than answering  </w:t>
      </w:r>
      <w:r>
        <w:rPr>
          <w:rFonts w:ascii="Calibri" w:hAnsi="Calibri"/>
          <w:b w:val="0"/>
          <w:i w:val="0"/>
          <w:color w:val="0B1F3A"/>
          <w:sz w:val="19"/>
        </w:rPr>
        <w:t xml:space="preserve">Whether a </w:t>
      </w:r>
      <w:r>
        <w:rPr>
          <w:rFonts w:ascii="Consolas" w:hAnsi="Consolas"/>
          <w:color w:val="146EF5"/>
          <w:sz w:val="19"/>
        </w:rPr>
        <w:t>documents</w:t>
      </w:r>
      <w:r>
        <w:rPr>
          <w:rFonts w:ascii="Calibri" w:hAnsi="Calibri"/>
          <w:b w:val="0"/>
          <w:i w:val="0"/>
          <w:color w:val="0B1F3A"/>
          <w:sz w:val="19"/>
        </w:rPr>
        <w:t xml:space="preserve"> row is deleted when a member exercises a data-subject right, or retained under legal hold with the content stripped, is a question for qualified Nigerian counsel; 9.10 holds the shape either way so the decision is a migration rather than a redesign. Whether a member may read </w:t>
      </w:r>
      <w:r>
        <w:rPr>
          <w:rFonts w:ascii="Consolas" w:hAnsi="Consolas"/>
          <w:color w:val="146EF5"/>
          <w:sz w:val="19"/>
        </w:rPr>
        <w:t>risk_events</w:t>
      </w:r>
      <w:r>
        <w:rPr>
          <w:rFonts w:ascii="Calibri" w:hAnsi="Calibri"/>
          <w:b w:val="0"/>
          <w:i w:val="0"/>
          <w:color w:val="0B1F3A"/>
          <w:sz w:val="19"/>
        </w:rPr>
        <w:t xml:space="preserve"> rows about themselves, rather than only support and risk staff, is likewise a policy choice, and 9.6 writes it as a denial so that granting it later is a visible change to one policy instead of a quiet relaxation of the whole file.</w:t>
      </w:r>
    </w:p>
    <w:p>
      <w:pPr>
        <w:pStyle w:val="Heading2"/>
      </w:pPr>
      <w:r>
        <w:rPr>
          <w:rFonts w:ascii="Calibri" w:hAnsi="Calibri"/>
          <w:b/>
          <w:i w:val="0"/>
          <w:color w:val="146EF5"/>
          <w:sz w:val="29"/>
        </w:rPr>
        <w:t xml:space="preserve">9.2 Extensions, the </w:t>
      </w:r>
      <w:r>
        <w:rPr>
          <w:rFonts w:ascii="Calibri" w:hAnsi="Calibri"/>
          <w:b/>
          <w:color w:val="146EF5"/>
          <w:sz w:val="29"/>
        </w:rPr>
        <w:t>app</w:t>
      </w:r>
      <w:r>
        <w:rPr>
          <w:rFonts w:ascii="Calibri" w:hAnsi="Calibri"/>
          <w:b/>
          <w:i w:val="0"/>
          <w:color w:val="146EF5"/>
          <w:sz w:val="29"/>
        </w:rPr>
        <w:t xml:space="preserve"> schema, and three roles</w:t>
      </w:r>
    </w:p>
    <w:p>
      <w:r>
        <w:rPr>
          <w:rFonts w:ascii="Calibri" w:hAnsi="Calibri"/>
          <w:b w:val="0"/>
          <w:i w:val="0"/>
          <w:color w:val="101828"/>
          <w:sz w:val="21"/>
        </w:rPr>
        <w:t xml:space="preserve">Every function and trigger lives in </w:t>
      </w:r>
      <w:r>
        <w:rPr>
          <w:rFonts w:ascii="Consolas" w:hAnsi="Consolas"/>
          <w:color w:val="146EF5"/>
          <w:sz w:val="21"/>
        </w:rPr>
        <w:t>app</w:t>
      </w:r>
      <w:r>
        <w:rPr>
          <w:rFonts w:ascii="Calibri" w:hAnsi="Calibri"/>
          <w:b w:val="0"/>
          <w:i w:val="0"/>
          <w:color w:val="101828"/>
          <w:sz w:val="21"/>
        </w:rPr>
        <w:t xml:space="preserve"> and every table lives in </w:t>
      </w:r>
      <w:r>
        <w:rPr>
          <w:rFonts w:ascii="Consolas" w:hAnsi="Consolas"/>
          <w:color w:val="146EF5"/>
          <w:sz w:val="21"/>
        </w:rPr>
        <w:t>public</w:t>
      </w:r>
      <w:r>
        <w:rPr>
          <w:rFonts w:ascii="Calibri" w:hAnsi="Calibri"/>
          <w:b w:val="0"/>
          <w:i w:val="0"/>
          <w:color w:val="101828"/>
          <w:sz w:val="21"/>
        </w:rPr>
        <w:t xml:space="preserve">. The split is not cosmetic. </w:t>
      </w:r>
      <w:r>
        <w:rPr>
          <w:rFonts w:ascii="Consolas" w:hAnsi="Consolas"/>
          <w:color w:val="146EF5"/>
          <w:sz w:val="21"/>
        </w:rPr>
        <w:t>public</w:t>
      </w:r>
      <w:r>
        <w:rPr>
          <w:rFonts w:ascii="Calibri" w:hAnsi="Calibri"/>
          <w:b w:val="0"/>
          <w:i w:val="0"/>
          <w:color w:val="101828"/>
          <w:sz w:val="21"/>
        </w:rPr>
        <w:t xml:space="preserve"> is what PostgREST and </w:t>
      </w:r>
      <w:r>
        <w:rPr>
          <w:rFonts w:ascii="Consolas" w:hAnsi="Consolas"/>
          <w:color w:val="146EF5"/>
          <w:sz w:val="21"/>
        </w:rPr>
        <w:t>pg_dump</w:t>
      </w:r>
      <w:r>
        <w:rPr>
          <w:rFonts w:ascii="Calibri" w:hAnsi="Calibri"/>
          <w:b w:val="0"/>
          <w:i w:val="0"/>
          <w:color w:val="101828"/>
          <w:sz w:val="21"/>
        </w:rPr>
        <w:t xml:space="preserve"> expose; </w:t>
      </w:r>
      <w:r>
        <w:rPr>
          <w:rFonts w:ascii="Consolas" w:hAnsi="Consolas"/>
          <w:color w:val="146EF5"/>
          <w:sz w:val="21"/>
        </w:rPr>
        <w:t>app</w:t>
      </w:r>
      <w:r>
        <w:rPr>
          <w:rFonts w:ascii="Calibri" w:hAnsi="Calibri"/>
          <w:b w:val="0"/>
          <w:i w:val="0"/>
          <w:color w:val="101828"/>
          <w:sz w:val="21"/>
        </w:rPr>
        <w:t xml:space="preserve"> is not, so a helper function is not accidentally reachable over HTTP and a trigger is not accidentally invocable by a client. A function in </w:t>
      </w:r>
      <w:r>
        <w:rPr>
          <w:rFonts w:ascii="Consolas" w:hAnsi="Consolas"/>
          <w:color w:val="146EF5"/>
          <w:sz w:val="21"/>
        </w:rPr>
        <w:t>public</w:t>
      </w:r>
      <w:r>
        <w:rPr>
          <w:rFonts w:ascii="Calibri" w:hAnsi="Calibri"/>
          <w:b w:val="0"/>
          <w:i w:val="0"/>
          <w:color w:val="101828"/>
          <w:sz w:val="21"/>
        </w:rPr>
        <w:t xml:space="preserve"> is an endpoint that somebody will eventually find.</w:t>
      </w:r>
    </w:p>
    <w:p>
      <w:pPr>
        <w:spacing w:before="0" w:after="0" w:line="240" w:lineRule="auto"/>
        <w:ind w:left="230"/>
        <w:shd w:val="clear" w:color="auto" w:fill="F7F9FC"/>
        <w:pBdr>
          <w:left w:val="single" w:sz="4" w:space="6" w:color="D0D5DD"/>
        </w:pBdr>
      </w:pPr>
      <w:r>
        <w:rPr>
          <w:rFonts w:ascii="Consolas" w:hAnsi="Consolas"/>
          <w:color w:val="0B1F3A"/>
          <w:sz w:val="16"/>
        </w:rPr>
        <w:t>CREATE EXTENSION IF NOT EXISTS pgcrypto;    -- gen_random_uuid()</w:t>
      </w:r>
    </w:p>
    <w:p>
      <w:pPr>
        <w:spacing w:before="0" w:after="0" w:line="240" w:lineRule="auto"/>
        <w:ind w:left="230"/>
        <w:shd w:val="clear" w:color="auto" w:fill="F7F9FC"/>
        <w:pBdr>
          <w:left w:val="single" w:sz="4" w:space="6" w:color="D0D5DD"/>
        </w:pBdr>
      </w:pPr>
      <w:r>
        <w:rPr>
          <w:rFonts w:ascii="Consolas" w:hAnsi="Consolas"/>
          <w:color w:val="0B1F3A"/>
          <w:sz w:val="16"/>
        </w:rPr>
        <w:t>CREATE EXTENSION IF NOT EXISTS citext;      -- case-insensitive email</w:t>
      </w:r>
    </w:p>
    <w:p>
      <w:pPr>
        <w:spacing w:before="0" w:after="0" w:line="240" w:lineRule="auto"/>
        <w:ind w:left="230"/>
        <w:shd w:val="clear" w:color="auto" w:fill="F7F9FC"/>
        <w:pBdr>
          <w:left w:val="single" w:sz="4" w:space="6" w:color="D0D5DD"/>
        </w:pBdr>
      </w:pPr>
      <w:r>
        <w:rPr>
          <w:rFonts w:ascii="Consolas" w:hAnsi="Consolas"/>
          <w:color w:val="0B1F3A"/>
          <w:sz w:val="16"/>
        </w:rPr>
        <w:t>CREATE EXTENSION IF NOT EXISTS btree_gist;  -- enum and uuid in one EXCLUDE</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CREATE SCHEMA IF NOT EXISTS app;</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UUIDv7: a 48-bit big-endian Unix millisecond timestamp, then</w:t>
      </w:r>
    </w:p>
    <w:p>
      <w:pPr>
        <w:spacing w:before="0" w:after="0" w:line="240" w:lineRule="auto"/>
        <w:ind w:left="230"/>
        <w:shd w:val="clear" w:color="auto" w:fill="F7F9FC"/>
        <w:pBdr>
          <w:left w:val="single" w:sz="4" w:space="6" w:color="D0D5DD"/>
        </w:pBdr>
      </w:pPr>
      <w:r>
        <w:rPr>
          <w:rFonts w:ascii="Consolas" w:hAnsi="Consolas"/>
          <w:color w:val="0B1F3A"/>
          <w:sz w:val="16"/>
        </w:rPr>
        <w:t>-- rand_a, then 62 random bits, then the version and variant bits</w:t>
      </w:r>
    </w:p>
    <w:p>
      <w:pPr>
        <w:spacing w:before="0" w:after="0" w:line="240" w:lineRule="auto"/>
        <w:ind w:left="230"/>
        <w:shd w:val="clear" w:color="auto" w:fill="F7F9FC"/>
        <w:pBdr>
          <w:left w:val="single" w:sz="4" w:space="6" w:color="D0D5DD"/>
        </w:pBdr>
      </w:pPr>
      <w:r>
        <w:rPr>
          <w:rFonts w:ascii="Consolas" w:hAnsi="Consolas"/>
          <w:color w:val="0B1F3A"/>
          <w:sz w:val="16"/>
        </w:rPr>
        <w:t>-- the standard fixes. The clock is read with clock_timestamp()</w:t>
      </w:r>
    </w:p>
    <w:p>
      <w:pPr>
        <w:spacing w:before="0" w:after="0" w:line="240" w:lineRule="auto"/>
        <w:ind w:left="230"/>
        <w:shd w:val="clear" w:color="auto" w:fill="F7F9FC"/>
        <w:pBdr>
          <w:left w:val="single" w:sz="4" w:space="6" w:color="D0D5DD"/>
        </w:pBdr>
      </w:pPr>
      <w:r>
        <w:rPr>
          <w:rFonts w:ascii="Consolas" w:hAnsi="Consolas"/>
          <w:color w:val="0B1F3A"/>
          <w:sz w:val="16"/>
        </w:rPr>
        <w:t>-- rather than now(), because now() is the transaction start time and</w:t>
      </w:r>
    </w:p>
    <w:p>
      <w:pPr>
        <w:spacing w:before="0" w:after="0" w:line="240" w:lineRule="auto"/>
        <w:ind w:left="230"/>
        <w:shd w:val="clear" w:color="auto" w:fill="F7F9FC"/>
        <w:pBdr>
          <w:left w:val="single" w:sz="4" w:space="6" w:color="D0D5DD"/>
        </w:pBdr>
      </w:pPr>
      <w:r>
        <w:rPr>
          <w:rFonts w:ascii="Consolas" w:hAnsi="Consolas"/>
          <w:color w:val="0B1F3A"/>
          <w:sz w:val="16"/>
        </w:rPr>
        <w:t>-- a long transaction would otherwise mint ids in the past.</w:t>
      </w:r>
    </w:p>
    <w:p>
      <w:pPr>
        <w:spacing w:before="0" w:after="0" w:line="240" w:lineRule="auto"/>
        <w:ind w:left="230"/>
        <w:shd w:val="clear" w:color="auto" w:fill="F7F9FC"/>
        <w:pBdr>
          <w:left w:val="single" w:sz="4" w:space="6" w:color="D0D5DD"/>
        </w:pBdr>
      </w:pPr>
      <w:r>
        <w:rPr>
          <w:rFonts w:ascii="Consolas" w:hAnsi="Consolas"/>
          <w:color w:val="0B1F3A"/>
          <w:sz w:val="16"/>
        </w:rPr>
        <w:t>CREATE OR REPLACE FUNCTION app.uuidv7()</w:t>
      </w:r>
    </w:p>
    <w:p>
      <w:pPr>
        <w:spacing w:before="0" w:after="0" w:line="240" w:lineRule="auto"/>
        <w:ind w:left="230"/>
        <w:shd w:val="clear" w:color="auto" w:fill="F7F9FC"/>
        <w:pBdr>
          <w:left w:val="single" w:sz="4" w:space="6" w:color="D0D5DD"/>
        </w:pBdr>
      </w:pPr>
      <w:r>
        <w:rPr>
          <w:rFonts w:ascii="Consolas" w:hAnsi="Consolas"/>
          <w:color w:val="0B1F3A"/>
          <w:sz w:val="16"/>
        </w:rPr>
        <w:t>RETURNS uuid LANGUAGE sql VOLATILE PARALLEL SAFE AS $fn$</w:t>
      </w:r>
    </w:p>
    <w:p>
      <w:pPr>
        <w:spacing w:before="0" w:after="0" w:line="240" w:lineRule="auto"/>
        <w:ind w:left="230"/>
        <w:shd w:val="clear" w:color="auto" w:fill="F7F9FC"/>
        <w:pBdr>
          <w:left w:val="single" w:sz="4" w:space="6" w:color="D0D5DD"/>
        </w:pBdr>
      </w:pPr>
      <w:r>
        <w:rPr>
          <w:rFonts w:ascii="Consolas" w:hAnsi="Consolas"/>
          <w:color w:val="0B1F3A"/>
          <w:sz w:val="16"/>
        </w:rPr>
        <w:t xml:space="preserve">  SELECT encode(</w:t>
      </w:r>
    </w:p>
    <w:p>
      <w:pPr>
        <w:spacing w:before="0" w:after="0" w:line="240" w:lineRule="auto"/>
        <w:ind w:left="230"/>
        <w:shd w:val="clear" w:color="auto" w:fill="F7F9FC"/>
        <w:pBdr>
          <w:left w:val="single" w:sz="4" w:space="6" w:color="D0D5DD"/>
        </w:pBdr>
      </w:pPr>
      <w:r>
        <w:rPr>
          <w:rFonts w:ascii="Consolas" w:hAnsi="Consolas"/>
          <w:color w:val="0B1F3A"/>
          <w:sz w:val="16"/>
        </w:rPr>
        <w:t xml:space="preserve">    set_bit( set_bit(</w:t>
      </w:r>
    </w:p>
    <w:p>
      <w:pPr>
        <w:spacing w:before="0" w:after="0" w:line="240" w:lineRule="auto"/>
        <w:ind w:left="230"/>
        <w:shd w:val="clear" w:color="auto" w:fill="F7F9FC"/>
        <w:pBdr>
          <w:left w:val="single" w:sz="4" w:space="6" w:color="D0D5DD"/>
        </w:pBdr>
      </w:pPr>
      <w:r>
        <w:rPr>
          <w:rFonts w:ascii="Consolas" w:hAnsi="Consolas"/>
          <w:color w:val="0B1F3A"/>
          <w:sz w:val="16"/>
        </w:rPr>
        <w:t xml:space="preserve">      set_bit( overlay( uuid_send(</w:t>
      </w:r>
    </w:p>
    <w:p>
      <w:pPr>
        <w:spacing w:before="0" w:after="0" w:line="240" w:lineRule="auto"/>
        <w:ind w:left="230"/>
        <w:shd w:val="clear" w:color="auto" w:fill="F7F9FC"/>
        <w:pBdr>
          <w:left w:val="single" w:sz="4" w:space="6" w:color="D0D5DD"/>
        </w:pBdr>
      </w:pPr>
      <w:r>
        <w:rPr>
          <w:rFonts w:ascii="Consolas" w:hAnsi="Consolas"/>
          <w:color w:val="0B1F3A"/>
          <w:sz w:val="16"/>
        </w:rPr>
        <w:t xml:space="preserve">        (extract(epoch FROM clock_timestamp()) * 1000)::bigint</w:t>
      </w:r>
    </w:p>
    <w:p>
      <w:pPr>
        <w:spacing w:before="0" w:after="0" w:line="240" w:lineRule="auto"/>
        <w:ind w:left="230"/>
        <w:shd w:val="clear" w:color="auto" w:fill="F7F9FC"/>
        <w:pBdr>
          <w:left w:val="single" w:sz="4" w:space="6" w:color="D0D5DD"/>
        </w:pBdr>
      </w:pPr>
      <w:r>
        <w:rPr>
          <w:rFonts w:ascii="Consolas" w:hAnsi="Consolas"/>
          <w:color w:val="0B1F3A"/>
          <w:sz w:val="16"/>
        </w:rPr>
        <w:t xml:space="preserve">        || substr(replace(gen_random_uuid()::text,'-',''),1,16)::bit(64)</w:t>
      </w:r>
    </w:p>
    <w:p>
      <w:pPr>
        <w:spacing w:before="0" w:after="0" w:line="240" w:lineRule="auto"/>
        <w:ind w:left="230"/>
        <w:shd w:val="clear" w:color="auto" w:fill="F7F9FC"/>
        <w:pBdr>
          <w:left w:val="single" w:sz="4" w:space="6" w:color="D0D5DD"/>
        </w:pBdr>
      </w:pPr>
      <w:r>
        <w:rPr>
          <w:rFonts w:ascii="Consolas" w:hAnsi="Consolas"/>
          <w:color w:val="0B1F3A"/>
          <w:sz w:val="16"/>
        </w:rPr>
        <w:t xml:space="preserve">      ), 0, 0 ), 52, 1 ), 54, 1 ), 55, 1 )</w:t>
      </w:r>
    </w:p>
    <w:p>
      <w:pPr>
        <w:spacing w:before="0" w:after="0" w:line="240" w:lineRule="auto"/>
        <w:ind w:left="230"/>
        <w:shd w:val="clear" w:color="auto" w:fill="F7F9FC"/>
        <w:pBdr>
          <w:left w:val="single" w:sz="4" w:space="6" w:color="D0D5DD"/>
        </w:pBdr>
      </w:pPr>
      <w:r>
        <w:rPr>
          <w:rFonts w:ascii="Consolas" w:hAnsi="Consolas"/>
          <w:color w:val="0B1F3A"/>
          <w:sz w:val="16"/>
        </w:rPr>
        <w:t xml:space="preserve">  FROM (SELECT gen_random_uuid()) g;</w:t>
      </w:r>
    </w:p>
    <w:p>
      <w:pPr>
        <w:spacing w:before="0" w:after="0" w:line="240" w:lineRule="auto"/>
        <w:ind w:left="230"/>
        <w:shd w:val="clear" w:color="auto" w:fill="F7F9FC"/>
        <w:pBdr>
          <w:left w:val="single" w:sz="4" w:space="6" w:color="D0D5DD"/>
        </w:pBdr>
      </w:pPr>
      <w:r>
        <w:rPr>
          <w:rFonts w:ascii="Consolas" w:hAnsi="Consolas"/>
          <w:color w:val="0B1F3A"/>
          <w:sz w:val="16"/>
        </w:rPr>
        <w:t>$fn$;</w:t>
      </w:r>
    </w:p>
    <w:p>
      <w:r>
        <w:rPr>
          <w:rFonts w:ascii="Calibri" w:hAnsi="Calibri"/>
          <w:b w:val="0"/>
          <w:i w:val="0"/>
          <w:color w:val="101828"/>
          <w:sz w:val="21"/>
        </w:rPr>
        <w:t>Three roles, so that a leaked connection string does not also leak the ability to change the schema.</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7"/>
              </w:rPr>
              <w:t>Role</w:t>
            </w:r>
          </w:p>
        </w:tc>
        <w:tc>
          <w:tcPr>
            <w:tcW w:type="dxa" w:w="3024"/>
            <w:shd w:val="clear" w:color="auto" w:fill="0B1F3A"/>
            <w:tcMar>
              <w:top w:w="60" w:type="dxa"/>
              <w:start w:w="110" w:type="dxa"/>
              <w:bottom w:w="60" w:type="dxa"/>
              <w:end w:w="110" w:type="dxa"/>
            </w:tcMar>
          </w:tcPr>
          <w:p>
            <w:pPr>
              <w:spacing w:after="0"/>
            </w:pPr>
            <w:r/>
            <w:r>
              <w:rPr>
                <w:rFonts w:ascii="Calibri" w:hAnsi="Calibri"/>
                <w:b/>
                <w:i w:val="0"/>
                <w:color w:val="FFFFFF"/>
                <w:sz w:val="17"/>
              </w:rPr>
              <w:t>Holds</w:t>
            </w:r>
          </w:p>
        </w:tc>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7"/>
              </w:rPr>
              <w:t>Bypasses RLS</w:t>
            </w:r>
          </w:p>
        </w:tc>
        <w:tc>
          <w:tcPr>
            <w:tcW w:type="dxa" w:w="2592"/>
            <w:shd w:val="clear" w:color="auto" w:fill="0B1F3A"/>
            <w:tcMar>
              <w:top w:w="60" w:type="dxa"/>
              <w:start w:w="110" w:type="dxa"/>
              <w:bottom w:w="60" w:type="dxa"/>
              <w:end w:w="110" w:type="dxa"/>
            </w:tcMar>
          </w:tcPr>
          <w:p>
            <w:pPr>
              <w:spacing w:after="0"/>
            </w:pPr>
            <w:r/>
            <w:r>
              <w:rPr>
                <w:rFonts w:ascii="Calibri" w:hAnsi="Calibri"/>
                <w:b/>
                <w:i w:val="0"/>
                <w:color w:val="FFFFFF"/>
                <w:sz w:val="17"/>
              </w:rPr>
              <w:t>Used by</w:t>
            </w:r>
          </w:p>
        </w:tc>
      </w:tr>
      <w:tr>
        <w:trPr>
          <w:cantSplit/>
        </w:trPr>
        <w:tc>
          <w:tcPr>
            <w:tcW w:type="dxa" w:w="1872"/>
            <w:tcMar>
              <w:top w:w="60" w:type="dxa"/>
              <w:start w:w="110" w:type="dxa"/>
              <w:bottom w:w="60" w:type="dxa"/>
              <w:end w:w="110" w:type="dxa"/>
            </w:tcMar>
          </w:tcPr>
          <w:p>
            <w:pPr>
              <w:spacing w:after="0"/>
            </w:pPr>
            <w:r/>
            <w:r>
              <w:rPr>
                <w:rFonts w:ascii="Consolas" w:hAnsi="Consolas"/>
                <w:color w:val="146EF5"/>
                <w:sz w:val="17"/>
              </w:rPr>
              <w:t>ajo_migrator</w:t>
            </w:r>
          </w:p>
        </w:tc>
        <w:tc>
          <w:tcPr>
            <w:tcW w:type="dxa" w:w="3024"/>
            <w:tcMar>
              <w:top w:w="60" w:type="dxa"/>
              <w:start w:w="110" w:type="dxa"/>
              <w:bottom w:w="60" w:type="dxa"/>
              <w:end w:w="110" w:type="dxa"/>
            </w:tcMar>
          </w:tcPr>
          <w:p>
            <w:pPr>
              <w:spacing w:after="0"/>
            </w:pPr>
            <w:r/>
            <w:r>
              <w:rPr>
                <w:rFonts w:ascii="Calibri" w:hAnsi="Calibri"/>
                <w:b w:val="0"/>
                <w:i w:val="0"/>
                <w:color w:val="101828"/>
                <w:sz w:val="17"/>
              </w:rPr>
              <w:t>Everything, including DDL</w:t>
            </w:r>
          </w:p>
        </w:tc>
        <w:tc>
          <w:tcPr>
            <w:tcW w:type="dxa" w:w="1872"/>
            <w:tcMar>
              <w:top w:w="60" w:type="dxa"/>
              <w:start w:w="110" w:type="dxa"/>
              <w:bottom w:w="60" w:type="dxa"/>
              <w:end w:w="110" w:type="dxa"/>
            </w:tcMar>
          </w:tcPr>
          <w:p>
            <w:pPr>
              <w:spacing w:after="0"/>
            </w:pPr>
            <w:r/>
            <w:r>
              <w:rPr>
                <w:rFonts w:ascii="Calibri" w:hAnsi="Calibri"/>
                <w:b w:val="0"/>
                <w:i w:val="0"/>
                <w:color w:val="101828"/>
                <w:sz w:val="17"/>
              </w:rPr>
              <w:t>Yes, as owner</w:t>
            </w:r>
          </w:p>
        </w:tc>
        <w:tc>
          <w:tcPr>
            <w:tcW w:type="dxa" w:w="2592"/>
            <w:tcMar>
              <w:top w:w="60" w:type="dxa"/>
              <w:start w:w="110" w:type="dxa"/>
              <w:bottom w:w="60" w:type="dxa"/>
              <w:end w:w="110" w:type="dxa"/>
            </w:tcMar>
          </w:tcPr>
          <w:p>
            <w:pPr>
              <w:spacing w:after="0"/>
            </w:pPr>
            <w:r/>
            <w:r>
              <w:rPr>
                <w:rFonts w:ascii="Calibri" w:hAnsi="Calibri"/>
                <w:b w:val="0"/>
                <w:i w:val="0"/>
                <w:color w:val="101828"/>
                <w:sz w:val="17"/>
              </w:rPr>
              <w:t>Migrations only, never at runtime</w:t>
            </w:r>
          </w:p>
        </w:tc>
      </w:tr>
      <w:tr>
        <w:trPr>
          <w:cantSplit/>
        </w:trPr>
        <w:tc>
          <w:tcPr>
            <w:tcW w:type="dxa" w:w="1872"/>
            <w:tcMar>
              <w:top w:w="60" w:type="dxa"/>
              <w:start w:w="110" w:type="dxa"/>
              <w:bottom w:w="60" w:type="dxa"/>
              <w:end w:w="110" w:type="dxa"/>
            </w:tcMar>
            <w:shd w:val="clear" w:color="auto" w:fill="F4F7FB"/>
          </w:tcPr>
          <w:p>
            <w:pPr>
              <w:spacing w:after="0"/>
            </w:pPr>
            <w:r/>
            <w:r>
              <w:rPr>
                <w:rFonts w:ascii="Consolas" w:hAnsi="Consolas"/>
                <w:color w:val="146EF5"/>
                <w:sz w:val="17"/>
              </w:rPr>
              <w:t>ajo_app</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7"/>
              </w:rPr>
              <w:t xml:space="preserve">DML on </w:t>
            </w:r>
            <w:r>
              <w:rPr>
                <w:rFonts w:ascii="Consolas" w:hAnsi="Consolas"/>
                <w:color w:val="146EF5"/>
                <w:sz w:val="17"/>
              </w:rPr>
              <w:t>public</w:t>
            </w:r>
            <w:r>
              <w:rPr>
                <w:rFonts w:ascii="Calibri" w:hAnsi="Calibri"/>
                <w:b w:val="0"/>
                <w:i w:val="0"/>
                <w:color w:val="101828"/>
                <w:sz w:val="17"/>
              </w:rPr>
              <w:t xml:space="preserve">, </w:t>
            </w:r>
            <w:r>
              <w:rPr>
                <w:rFonts w:ascii="Consolas" w:hAnsi="Consolas"/>
                <w:color w:val="146EF5"/>
                <w:sz w:val="17"/>
              </w:rPr>
              <w:t>EXECUTE</w:t>
            </w:r>
            <w:r>
              <w:rPr>
                <w:rFonts w:ascii="Calibri" w:hAnsi="Calibri"/>
                <w:b w:val="0"/>
                <w:i w:val="0"/>
                <w:color w:val="101828"/>
                <w:sz w:val="17"/>
              </w:rPr>
              <w:t xml:space="preserve"> on </w:t>
            </w:r>
            <w:r>
              <w:rPr>
                <w:rFonts w:ascii="Consolas" w:hAnsi="Consolas"/>
                <w:color w:val="146EF5"/>
                <w:sz w:val="17"/>
              </w:rPr>
              <w:t>app</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7"/>
              </w:rPr>
              <w:t>No</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7"/>
              </w:rPr>
              <w:t>API, workers, webhook receiver</w:t>
            </w:r>
          </w:p>
        </w:tc>
      </w:tr>
      <w:tr>
        <w:trPr>
          <w:cantSplit/>
        </w:trPr>
        <w:tc>
          <w:tcPr>
            <w:tcW w:type="dxa" w:w="1872"/>
            <w:tcMar>
              <w:top w:w="60" w:type="dxa"/>
              <w:start w:w="110" w:type="dxa"/>
              <w:bottom w:w="60" w:type="dxa"/>
              <w:end w:w="110" w:type="dxa"/>
            </w:tcMar>
          </w:tcPr>
          <w:p>
            <w:pPr>
              <w:spacing w:after="0"/>
            </w:pPr>
            <w:r/>
            <w:r>
              <w:rPr>
                <w:rFonts w:ascii="Consolas" w:hAnsi="Consolas"/>
                <w:color w:val="146EF5"/>
                <w:sz w:val="17"/>
              </w:rPr>
              <w:t>ajo_analytics</w:t>
            </w:r>
          </w:p>
        </w:tc>
        <w:tc>
          <w:tcPr>
            <w:tcW w:type="dxa" w:w="3024"/>
            <w:tcMar>
              <w:top w:w="60" w:type="dxa"/>
              <w:start w:w="110" w:type="dxa"/>
              <w:bottom w:w="60" w:type="dxa"/>
              <w:end w:w="110" w:type="dxa"/>
            </w:tcMar>
          </w:tcPr>
          <w:p>
            <w:pPr>
              <w:spacing w:after="0"/>
            </w:pPr>
            <w:r/>
            <w:r>
              <w:rPr>
                <w:rFonts w:ascii="Consolas" w:hAnsi="Consolas"/>
                <w:color w:val="146EF5"/>
                <w:sz w:val="17"/>
              </w:rPr>
              <w:t>SELECT</w:t>
            </w:r>
            <w:r>
              <w:rPr>
                <w:rFonts w:ascii="Calibri" w:hAnsi="Calibri"/>
                <w:b w:val="0"/>
                <w:i w:val="0"/>
                <w:color w:val="101828"/>
                <w:sz w:val="17"/>
              </w:rPr>
              <w:t xml:space="preserve"> on </w:t>
            </w:r>
            <w:r>
              <w:rPr>
                <w:rFonts w:ascii="Consolas" w:hAnsi="Consolas"/>
                <w:color w:val="146EF5"/>
                <w:sz w:val="17"/>
              </w:rPr>
              <w:t>public</w:t>
            </w:r>
          </w:p>
        </w:tc>
        <w:tc>
          <w:tcPr>
            <w:tcW w:type="dxa" w:w="1872"/>
            <w:tcMar>
              <w:top w:w="60" w:type="dxa"/>
              <w:start w:w="110" w:type="dxa"/>
              <w:bottom w:w="60" w:type="dxa"/>
              <w:end w:w="110" w:type="dxa"/>
            </w:tcMar>
          </w:tcPr>
          <w:p>
            <w:pPr>
              <w:spacing w:after="0"/>
            </w:pPr>
            <w:r/>
            <w:r>
              <w:rPr>
                <w:rFonts w:ascii="Calibri" w:hAnsi="Calibri"/>
                <w:b w:val="0"/>
                <w:i w:val="0"/>
                <w:color w:val="101828"/>
                <w:sz w:val="17"/>
              </w:rPr>
              <w:t>No</w:t>
            </w:r>
          </w:p>
        </w:tc>
        <w:tc>
          <w:tcPr>
            <w:tcW w:type="dxa" w:w="2592"/>
            <w:tcMar>
              <w:top w:w="60" w:type="dxa"/>
              <w:start w:w="110" w:type="dxa"/>
              <w:bottom w:w="60" w:type="dxa"/>
              <w:end w:w="110" w:type="dxa"/>
            </w:tcMar>
          </w:tcPr>
          <w:p>
            <w:pPr>
              <w:spacing w:after="0"/>
            </w:pPr>
            <w:r/>
            <w:r>
              <w:rPr>
                <w:rFonts w:ascii="Calibri" w:hAnsi="Calibri"/>
                <w:b w:val="0"/>
                <w:i w:val="0"/>
                <w:color w:val="101828"/>
                <w:sz w:val="17"/>
              </w:rPr>
              <w:t>Reporting and dashboards</w:t>
            </w:r>
          </w:p>
        </w:tc>
      </w:tr>
    </w:tbl>
    <w:p>
      <w:pPr>
        <w:spacing w:after="80"/>
      </w:pPr>
    </w:p>
    <w:p>
      <w:r>
        <w:rPr>
          <w:rFonts w:ascii="Consolas" w:hAnsi="Consolas"/>
          <w:color w:val="146EF5"/>
          <w:sz w:val="21"/>
        </w:rPr>
        <w:t>ajo_app</w:t>
      </w:r>
      <w:r>
        <w:rPr>
          <w:rFonts w:ascii="Calibri" w:hAnsi="Calibri"/>
          <w:b w:val="0"/>
          <w:i w:val="0"/>
          <w:color w:val="101828"/>
          <w:sz w:val="21"/>
        </w:rPr>
        <w:t xml:space="preserve"> is deliberately not the table owner, because an owner bypasses row-level security by default and the policies in 9.6 would then hold only for the connections somebody remembered to configure. </w:t>
      </w:r>
      <w:r>
        <w:rPr>
          <w:rFonts w:ascii="Consolas" w:hAnsi="Consolas"/>
          <w:color w:val="146EF5"/>
          <w:sz w:val="21"/>
        </w:rPr>
        <w:t>ajo_analytics</w:t>
      </w:r>
      <w:r>
        <w:rPr>
          <w:rFonts w:ascii="Calibri" w:hAnsi="Calibri"/>
          <w:b w:val="0"/>
          <w:i w:val="0"/>
          <w:color w:val="101828"/>
          <w:sz w:val="21"/>
        </w:rPr>
        <w:t xml:space="preserve"> is not an owner either, so a dashboard written against it sees exactly what a member would see, which is the point of a role rather than a view full of </w:t>
      </w:r>
      <w:r>
        <w:rPr>
          <w:rFonts w:ascii="Consolas" w:hAnsi="Consolas"/>
          <w:color w:val="146EF5"/>
          <w:sz w:val="21"/>
        </w:rPr>
        <w:t>CASE</w:t>
      </w:r>
      <w:r>
        <w:rPr>
          <w:rFonts w:ascii="Calibri" w:hAnsi="Calibri"/>
          <w:b w:val="0"/>
          <w:i w:val="0"/>
          <w:color w:val="101828"/>
          <w:sz w:val="21"/>
        </w:rPr>
        <w:t xml:space="preserve"> expressions that a new report would have to remember to copy. </w:t>
      </w:r>
      <w:r>
        <w:rPr>
          <w:rFonts w:ascii="Consolas" w:hAnsi="Consolas"/>
          <w:color w:val="146EF5"/>
          <w:sz w:val="21"/>
        </w:rPr>
        <w:t>REVOKE CREATE ON SCHEMA public FROM PUBLIC</w:t>
      </w:r>
      <w:r>
        <w:rPr>
          <w:rFonts w:ascii="Calibri" w:hAnsi="Calibri"/>
          <w:b w:val="0"/>
          <w:i w:val="0"/>
          <w:color w:val="101828"/>
          <w:sz w:val="21"/>
        </w:rPr>
        <w:t xml:space="preserve"> is in the migration for the same reason: a compromised API process should not be able to drop a table between two requests.</w:t>
      </w:r>
    </w:p>
    <w:p>
      <w:pPr>
        <w:pStyle w:val="Heading2"/>
      </w:pPr>
      <w:r>
        <w:rPr>
          <w:rFonts w:ascii="Calibri" w:hAnsi="Calibri"/>
          <w:b/>
          <w:i w:val="0"/>
          <w:color w:val="146EF5"/>
          <w:sz w:val="29"/>
        </w:rPr>
        <w:t>9.3 Table definitions</w:t>
      </w:r>
    </w:p>
    <w:p>
      <w:r>
        <w:rPr>
          <w:rFonts w:ascii="Calibri" w:hAnsi="Calibri"/>
          <w:b w:val="0"/>
          <w:i w:val="0"/>
          <w:color w:val="101828"/>
          <w:sz w:val="21"/>
        </w:rPr>
        <w:t xml:space="preserve">Forty tables in </w:t>
      </w:r>
      <w:r>
        <w:rPr>
          <w:rFonts w:ascii="Consolas" w:hAnsi="Consolas"/>
          <w:color w:val="146EF5"/>
          <w:sz w:val="21"/>
        </w:rPr>
        <w:t>public</w:t>
      </w:r>
      <w:r>
        <w:rPr>
          <w:rFonts w:ascii="Calibri" w:hAnsi="Calibri"/>
          <w:b w:val="0"/>
          <w:i w:val="0"/>
          <w:color w:val="101828"/>
          <w:sz w:val="21"/>
        </w:rPr>
        <w:t xml:space="preserve">, carrying 576 columns, 145 indexes, 92 foreign keys and 73 triggers between them. The counts below are the database's own, read back from </w:t>
      </w:r>
      <w:r>
        <w:rPr>
          <w:rFonts w:ascii="Consolas" w:hAnsi="Consolas"/>
          <w:color w:val="146EF5"/>
          <w:sz w:val="21"/>
        </w:rPr>
        <w:t>pg_class</w:t>
      </w:r>
      <w:r>
        <w:rPr>
          <w:rFonts w:ascii="Calibri" w:hAnsi="Calibri"/>
          <w:b w:val="0"/>
          <w:i w:val="0"/>
          <w:color w:val="101828"/>
          <w:sz w:val="21"/>
        </w:rPr>
        <w:t xml:space="preserve">, </w:t>
      </w:r>
      <w:r>
        <w:rPr>
          <w:rFonts w:ascii="Consolas" w:hAnsi="Consolas"/>
          <w:color w:val="146EF5"/>
          <w:sz w:val="21"/>
        </w:rPr>
        <w:t>pg_index</w:t>
      </w:r>
      <w:r>
        <w:rPr>
          <w:rFonts w:ascii="Calibri" w:hAnsi="Calibri"/>
          <w:b w:val="0"/>
          <w:i w:val="0"/>
          <w:color w:val="101828"/>
          <w:sz w:val="21"/>
        </w:rPr>
        <w:t xml:space="preserve"> and </w:t>
      </w:r>
      <w:r>
        <w:rPr>
          <w:rFonts w:ascii="Consolas" w:hAnsi="Consolas"/>
          <w:color w:val="146EF5"/>
          <w:sz w:val="21"/>
        </w:rPr>
        <w:t>pg_constraint</w:t>
      </w:r>
      <w:r>
        <w:rPr>
          <w:rFonts w:ascii="Calibri" w:hAnsi="Calibri"/>
          <w:b w:val="0"/>
          <w:i w:val="0"/>
          <w:color w:val="101828"/>
          <w:sz w:val="21"/>
        </w:rPr>
        <w:t>. Constraints are counted as primary key, unique, check, foreign key and exclusion together, because every table has exactly one primary key and reporting it separately would add a column of forty ones. Deferred constraint triggers, which is how the ledger and the round pool are checked, are counted in the trigger column and not here, because they are rules attached to a table rather than conditions attached to a column.</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Table</w:t>
            </w:r>
          </w:p>
        </w:tc>
        <w:tc>
          <w:tcPr>
            <w:tcW w:type="dxa" w:w="518"/>
            <w:shd w:val="clear" w:color="auto" w:fill="0B1F3A"/>
            <w:tcMar>
              <w:top w:w="60" w:type="dxa"/>
              <w:start w:w="110" w:type="dxa"/>
              <w:bottom w:w="60" w:type="dxa"/>
              <w:end w:w="110" w:type="dxa"/>
            </w:tcMar>
          </w:tcPr>
          <w:p>
            <w:pPr>
              <w:spacing w:after="0"/>
            </w:pPr>
            <w:r/>
            <w:r>
              <w:rPr>
                <w:rFonts w:ascii="Calibri" w:hAnsi="Calibri"/>
                <w:b/>
                <w:i w:val="0"/>
                <w:color w:val="FFFFFF"/>
                <w:sz w:val="16"/>
              </w:rPr>
              <w:t>Cols</w:t>
            </w:r>
          </w:p>
        </w:tc>
        <w:tc>
          <w:tcPr>
            <w:tcW w:type="dxa" w:w="518"/>
            <w:shd w:val="clear" w:color="auto" w:fill="0B1F3A"/>
            <w:tcMar>
              <w:top w:w="60" w:type="dxa"/>
              <w:start w:w="110" w:type="dxa"/>
              <w:bottom w:w="60" w:type="dxa"/>
              <w:end w:w="110" w:type="dxa"/>
            </w:tcMar>
          </w:tcPr>
          <w:p>
            <w:pPr>
              <w:spacing w:after="0"/>
            </w:pPr>
            <w:r/>
            <w:r>
              <w:rPr>
                <w:rFonts w:ascii="Calibri" w:hAnsi="Calibri"/>
                <w:b/>
                <w:i w:val="0"/>
                <w:color w:val="FFFFFF"/>
                <w:sz w:val="16"/>
              </w:rPr>
              <w:t>Idx</w:t>
            </w:r>
          </w:p>
        </w:tc>
        <w:tc>
          <w:tcPr>
            <w:tcW w:type="dxa" w:w="518"/>
            <w:shd w:val="clear" w:color="auto" w:fill="0B1F3A"/>
            <w:tcMar>
              <w:top w:w="60" w:type="dxa"/>
              <w:start w:w="110" w:type="dxa"/>
              <w:bottom w:w="60" w:type="dxa"/>
              <w:end w:w="110" w:type="dxa"/>
            </w:tcMar>
          </w:tcPr>
          <w:p>
            <w:pPr>
              <w:spacing w:after="0"/>
            </w:pPr>
            <w:r/>
            <w:r>
              <w:rPr>
                <w:rFonts w:ascii="Calibri" w:hAnsi="Calibri"/>
                <w:b/>
                <w:i w:val="0"/>
                <w:color w:val="FFFFFF"/>
                <w:sz w:val="16"/>
              </w:rPr>
              <w:t>Con</w:t>
            </w:r>
          </w:p>
        </w:tc>
        <w:tc>
          <w:tcPr>
            <w:tcW w:type="dxa" w:w="518"/>
            <w:shd w:val="clear" w:color="auto" w:fill="0B1F3A"/>
            <w:tcMar>
              <w:top w:w="60" w:type="dxa"/>
              <w:start w:w="110" w:type="dxa"/>
              <w:bottom w:w="60" w:type="dxa"/>
              <w:end w:w="110" w:type="dxa"/>
            </w:tcMar>
          </w:tcPr>
          <w:p>
            <w:pPr>
              <w:spacing w:after="0"/>
            </w:pPr>
            <w:r/>
            <w:r>
              <w:rPr>
                <w:rFonts w:ascii="Calibri" w:hAnsi="Calibri"/>
                <w:b/>
                <w:i w:val="0"/>
                <w:color w:val="FFFFFF"/>
                <w:sz w:val="16"/>
              </w:rPr>
              <w:t>Trg</w:t>
            </w:r>
          </w:p>
        </w:tc>
        <w:tc>
          <w:tcPr>
            <w:tcW w:type="dxa" w:w="5126"/>
            <w:shd w:val="clear" w:color="auto" w:fill="0B1F3A"/>
            <w:tcMar>
              <w:top w:w="60" w:type="dxa"/>
              <w:start w:w="110" w:type="dxa"/>
              <w:bottom w:w="60" w:type="dxa"/>
              <w:end w:w="110" w:type="dxa"/>
            </w:tcMar>
          </w:tcPr>
          <w:p>
            <w:pPr>
              <w:spacing w:after="0"/>
            </w:pPr>
            <w:r/>
            <w:r>
              <w:rPr>
                <w:rFonts w:ascii="Calibri" w:hAnsi="Calibri"/>
                <w:b/>
                <w:i w:val="0"/>
                <w:color w:val="FFFFFF"/>
                <w:sz w:val="16"/>
              </w:rPr>
              <w:t>What it is for</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6"/>
              </w:rPr>
              <w:t>users</w:t>
            </w:r>
          </w:p>
        </w:tc>
        <w:tc>
          <w:tcPr>
            <w:tcW w:type="dxa" w:w="518"/>
            <w:tcMar>
              <w:top w:w="60" w:type="dxa"/>
              <w:start w:w="110" w:type="dxa"/>
              <w:bottom w:w="60" w:type="dxa"/>
              <w:end w:w="110" w:type="dxa"/>
            </w:tcMar>
          </w:tcPr>
          <w:p>
            <w:pPr>
              <w:spacing w:after="0"/>
            </w:pPr>
            <w:r/>
            <w:r>
              <w:rPr>
                <w:rFonts w:ascii="Calibri" w:hAnsi="Calibri"/>
                <w:b w:val="0"/>
                <w:i w:val="0"/>
                <w:color w:val="101828"/>
                <w:sz w:val="16"/>
              </w:rPr>
              <w:t>16</w:t>
            </w:r>
          </w:p>
        </w:tc>
        <w:tc>
          <w:tcPr>
            <w:tcW w:type="dxa" w:w="518"/>
            <w:tcMar>
              <w:top w:w="60" w:type="dxa"/>
              <w:start w:w="110" w:type="dxa"/>
              <w:bottom w:w="60" w:type="dxa"/>
              <w:end w:w="110" w:type="dxa"/>
            </w:tcMar>
          </w:tcPr>
          <w:p>
            <w:pPr>
              <w:spacing w:after="0"/>
            </w:pPr>
            <w:r/>
            <w:r>
              <w:rPr>
                <w:rFonts w:ascii="Calibri" w:hAnsi="Calibri"/>
                <w:b w:val="0"/>
                <w:i w:val="0"/>
                <w:color w:val="101828"/>
                <w:sz w:val="16"/>
              </w:rPr>
              <w:t>4</w:t>
            </w:r>
          </w:p>
        </w:tc>
        <w:tc>
          <w:tcPr>
            <w:tcW w:type="dxa" w:w="518"/>
            <w:tcMar>
              <w:top w:w="60" w:type="dxa"/>
              <w:start w:w="110" w:type="dxa"/>
              <w:bottom w:w="60" w:type="dxa"/>
              <w:end w:w="110" w:type="dxa"/>
            </w:tcMar>
          </w:tcPr>
          <w:p>
            <w:pPr>
              <w:spacing w:after="0"/>
            </w:pPr>
            <w:r/>
            <w:r>
              <w:rPr>
                <w:rFonts w:ascii="Calibri" w:hAnsi="Calibri"/>
                <w:b w:val="0"/>
                <w:i w:val="0"/>
                <w:color w:val="101828"/>
                <w:sz w:val="16"/>
              </w:rPr>
              <w:t>5</w:t>
            </w:r>
          </w:p>
        </w:tc>
        <w:tc>
          <w:tcPr>
            <w:tcW w:type="dxa" w:w="518"/>
            <w:tcMar>
              <w:top w:w="60" w:type="dxa"/>
              <w:start w:w="110" w:type="dxa"/>
              <w:bottom w:w="60" w:type="dxa"/>
              <w:end w:w="110" w:type="dxa"/>
            </w:tcMar>
          </w:tcPr>
          <w:p>
            <w:pPr>
              <w:spacing w:after="0"/>
            </w:pPr>
            <w:r/>
            <w:r>
              <w:rPr>
                <w:rFonts w:ascii="Calibri" w:hAnsi="Calibri"/>
                <w:b w:val="0"/>
                <w:i w:val="0"/>
                <w:color w:val="101828"/>
                <w:sz w:val="16"/>
              </w:rPr>
              <w:t>2</w:t>
            </w:r>
          </w:p>
        </w:tc>
        <w:tc>
          <w:tcPr>
            <w:tcW w:type="dxa" w:w="5126"/>
            <w:tcMar>
              <w:top w:w="60" w:type="dxa"/>
              <w:start w:w="110" w:type="dxa"/>
              <w:bottom w:w="60" w:type="dxa"/>
              <w:end w:w="110" w:type="dxa"/>
            </w:tcMar>
          </w:tcPr>
          <w:p>
            <w:pPr>
              <w:spacing w:after="0"/>
            </w:pPr>
            <w:r/>
            <w:r>
              <w:rPr>
                <w:rFonts w:ascii="Calibri" w:hAnsi="Calibri"/>
                <w:b w:val="0"/>
                <w:i w:val="0"/>
                <w:color w:val="101828"/>
                <w:sz w:val="16"/>
              </w:rPr>
              <w:t xml:space="preserve">The account. </w:t>
            </w:r>
            <w:r>
              <w:rPr>
                <w:rFonts w:ascii="Consolas" w:hAnsi="Consolas"/>
                <w:color w:val="146EF5"/>
                <w:sz w:val="16"/>
              </w:rPr>
              <w:t>auth_subject_id</w:t>
            </w:r>
            <w:r>
              <w:rPr>
                <w:rFonts w:ascii="Calibri" w:hAnsi="Calibri"/>
                <w:b w:val="0"/>
                <w:i w:val="0"/>
                <w:color w:val="101828"/>
                <w:sz w:val="16"/>
              </w:rPr>
              <w:t xml:space="preserve"> links to Supabase Auth; no credential is stored.</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profiles</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13</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2</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6</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2</w:t>
            </w:r>
          </w:p>
        </w:tc>
        <w:tc>
          <w:tcPr>
            <w:tcW w:type="dxa" w:w="5126"/>
            <w:tcMar>
              <w:top w:w="60" w:type="dxa"/>
              <w:start w:w="110" w:type="dxa"/>
              <w:bottom w:w="60" w:type="dxa"/>
              <w:end w:w="110" w:type="dxa"/>
            </w:tcMar>
            <w:shd w:val="clear" w:color="auto" w:fill="F4F7FB"/>
          </w:tcPr>
          <w:p>
            <w:pPr>
              <w:spacing w:after="0"/>
            </w:pPr>
            <w:r/>
            <w:r>
              <w:rPr>
                <w:rFonts w:ascii="Calibri" w:hAnsi="Calibri"/>
                <w:b w:val="0"/>
                <w:i w:val="0"/>
                <w:color w:val="101828"/>
                <w:sz w:val="16"/>
              </w:rPr>
              <w:t>Presentation data, split out so a bio edit never locks the row authentication reads.</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6"/>
              </w:rPr>
              <w:t>admins</w:t>
            </w:r>
          </w:p>
        </w:tc>
        <w:tc>
          <w:tcPr>
            <w:tcW w:type="dxa" w:w="518"/>
            <w:tcMar>
              <w:top w:w="60" w:type="dxa"/>
              <w:start w:w="110" w:type="dxa"/>
              <w:bottom w:w="60" w:type="dxa"/>
              <w:end w:w="110" w:type="dxa"/>
            </w:tcMar>
          </w:tcPr>
          <w:p>
            <w:pPr>
              <w:spacing w:after="0"/>
            </w:pPr>
            <w:r/>
            <w:r>
              <w:rPr>
                <w:rFonts w:ascii="Calibri" w:hAnsi="Calibri"/>
                <w:b w:val="0"/>
                <w:i w:val="0"/>
                <w:color w:val="101828"/>
                <w:sz w:val="16"/>
              </w:rPr>
              <w:t>9</w:t>
            </w:r>
          </w:p>
        </w:tc>
        <w:tc>
          <w:tcPr>
            <w:tcW w:type="dxa" w:w="518"/>
            <w:tcMar>
              <w:top w:w="60" w:type="dxa"/>
              <w:start w:w="110" w:type="dxa"/>
              <w:bottom w:w="60" w:type="dxa"/>
              <w:end w:w="110" w:type="dxa"/>
            </w:tcMar>
          </w:tcPr>
          <w:p>
            <w:pPr>
              <w:spacing w:after="0"/>
            </w:pPr>
            <w:r/>
            <w:r>
              <w:rPr>
                <w:rFonts w:ascii="Calibri" w:hAnsi="Calibri"/>
                <w:b w:val="0"/>
                <w:i w:val="0"/>
                <w:color w:val="101828"/>
                <w:sz w:val="16"/>
              </w:rPr>
              <w:t>2</w:t>
            </w:r>
          </w:p>
        </w:tc>
        <w:tc>
          <w:tcPr>
            <w:tcW w:type="dxa" w:w="518"/>
            <w:tcMar>
              <w:top w:w="60" w:type="dxa"/>
              <w:start w:w="110" w:type="dxa"/>
              <w:bottom w:w="60" w:type="dxa"/>
              <w:end w:w="110" w:type="dxa"/>
            </w:tcMar>
          </w:tcPr>
          <w:p>
            <w:pPr>
              <w:spacing w:after="0"/>
            </w:pPr>
            <w:r/>
            <w:r>
              <w:rPr>
                <w:rFonts w:ascii="Calibri" w:hAnsi="Calibri"/>
                <w:b w:val="0"/>
                <w:i w:val="0"/>
                <w:color w:val="101828"/>
                <w:sz w:val="16"/>
              </w:rPr>
              <w:t>3</w:t>
            </w:r>
          </w:p>
        </w:tc>
        <w:tc>
          <w:tcPr>
            <w:tcW w:type="dxa" w:w="518"/>
            <w:tcMar>
              <w:top w:w="60" w:type="dxa"/>
              <w:start w:w="110" w:type="dxa"/>
              <w:bottom w:w="60" w:type="dxa"/>
              <w:end w:w="110" w:type="dxa"/>
            </w:tcMar>
          </w:tcPr>
          <w:p>
            <w:pPr>
              <w:spacing w:after="0"/>
            </w:pPr>
            <w:r/>
            <w:r>
              <w:rPr>
                <w:rFonts w:ascii="Calibri" w:hAnsi="Calibri"/>
                <w:b w:val="0"/>
                <w:i w:val="0"/>
                <w:color w:val="101828"/>
                <w:sz w:val="16"/>
              </w:rPr>
              <w:t>2</w:t>
            </w:r>
          </w:p>
        </w:tc>
        <w:tc>
          <w:tcPr>
            <w:tcW w:type="dxa" w:w="5126"/>
            <w:tcMar>
              <w:top w:w="60" w:type="dxa"/>
              <w:start w:w="110" w:type="dxa"/>
              <w:bottom w:w="60" w:type="dxa"/>
              <w:end w:w="110" w:type="dxa"/>
            </w:tcMar>
          </w:tcPr>
          <w:p>
            <w:pPr>
              <w:spacing w:after="0"/>
            </w:pPr>
            <w:r/>
            <w:r>
              <w:rPr>
                <w:rFonts w:ascii="Calibri" w:hAnsi="Calibri"/>
                <w:b w:val="0"/>
                <w:i w:val="0"/>
                <w:color w:val="101828"/>
                <w:sz w:val="16"/>
              </w:rPr>
              <w:t xml:space="preserve">Staff operators. Separate from </w:t>
            </w:r>
            <w:r>
              <w:rPr>
                <w:rFonts w:ascii="Consolas" w:hAnsi="Consolas"/>
                <w:color w:val="146EF5"/>
                <w:sz w:val="16"/>
              </w:rPr>
              <w:t>users</w:t>
            </w:r>
            <w:r>
              <w:rPr>
                <w:rFonts w:ascii="Calibri" w:hAnsi="Calibri"/>
                <w:b w:val="0"/>
                <w:i w:val="0"/>
                <w:color w:val="101828"/>
                <w:sz w:val="16"/>
              </w:rPr>
              <w:t xml:space="preserve"> because their access is a job, not a signup.</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sessions</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14</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3</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2</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w:t>
            </w:r>
          </w:p>
        </w:tc>
        <w:tc>
          <w:tcPr>
            <w:tcW w:type="dxa" w:w="5126"/>
            <w:tcMar>
              <w:top w:w="60" w:type="dxa"/>
              <w:start w:w="110" w:type="dxa"/>
              <w:bottom w:w="60" w:type="dxa"/>
              <w:end w:w="110" w:type="dxa"/>
            </w:tcMar>
            <w:shd w:val="clear" w:color="auto" w:fill="F4F7FB"/>
          </w:tcPr>
          <w:p>
            <w:pPr>
              <w:spacing w:after="0"/>
            </w:pPr>
            <w:r/>
            <w:r>
              <w:rPr>
                <w:rFonts w:ascii="Calibri" w:hAnsi="Calibri"/>
                <w:b w:val="0"/>
                <w:i w:val="0"/>
                <w:color w:val="101828"/>
                <w:sz w:val="16"/>
              </w:rPr>
              <w:t>Refresh-token records, so a session can be revoked before its JWT expires.</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6"/>
              </w:rPr>
              <w:t>device_tokens</w:t>
            </w:r>
          </w:p>
        </w:tc>
        <w:tc>
          <w:tcPr>
            <w:tcW w:type="dxa" w:w="518"/>
            <w:tcMar>
              <w:top w:w="60" w:type="dxa"/>
              <w:start w:w="110" w:type="dxa"/>
              <w:bottom w:w="60" w:type="dxa"/>
              <w:end w:w="110" w:type="dxa"/>
            </w:tcMar>
          </w:tcPr>
          <w:p>
            <w:pPr>
              <w:spacing w:after="0"/>
            </w:pPr>
            <w:r/>
            <w:r>
              <w:rPr>
                <w:rFonts w:ascii="Calibri" w:hAnsi="Calibri"/>
                <w:b w:val="0"/>
                <w:i w:val="0"/>
                <w:color w:val="101828"/>
                <w:sz w:val="16"/>
              </w:rPr>
              <w:t>12</w:t>
            </w:r>
          </w:p>
        </w:tc>
        <w:tc>
          <w:tcPr>
            <w:tcW w:type="dxa" w:w="518"/>
            <w:tcMar>
              <w:top w:w="60" w:type="dxa"/>
              <w:start w:w="110" w:type="dxa"/>
              <w:bottom w:w="60" w:type="dxa"/>
              <w:end w:w="110" w:type="dxa"/>
            </w:tcMar>
          </w:tcPr>
          <w:p>
            <w:pPr>
              <w:spacing w:after="0"/>
            </w:pPr>
            <w:r/>
            <w:r>
              <w:rPr>
                <w:rFonts w:ascii="Calibri" w:hAnsi="Calibri"/>
                <w:b w:val="0"/>
                <w:i w:val="0"/>
                <w:color w:val="101828"/>
                <w:sz w:val="16"/>
              </w:rPr>
              <w:t>2</w:t>
            </w:r>
          </w:p>
        </w:tc>
        <w:tc>
          <w:tcPr>
            <w:tcW w:type="dxa" w:w="518"/>
            <w:tcMar>
              <w:top w:w="60" w:type="dxa"/>
              <w:start w:w="110" w:type="dxa"/>
              <w:bottom w:w="60" w:type="dxa"/>
              <w:end w:w="110" w:type="dxa"/>
            </w:tcMar>
          </w:tcPr>
          <w:p>
            <w:pPr>
              <w:spacing w:after="0"/>
            </w:pPr>
            <w:r/>
            <w:r>
              <w:rPr>
                <w:rFonts w:ascii="Calibri" w:hAnsi="Calibri"/>
                <w:b w:val="0"/>
                <w:i w:val="0"/>
                <w:color w:val="101828"/>
                <w:sz w:val="16"/>
              </w:rPr>
              <w:t>4</w:t>
            </w:r>
          </w:p>
        </w:tc>
        <w:tc>
          <w:tcPr>
            <w:tcW w:type="dxa" w:w="518"/>
            <w:tcMar>
              <w:top w:w="60" w:type="dxa"/>
              <w:start w:w="110" w:type="dxa"/>
              <w:bottom w:w="60" w:type="dxa"/>
              <w:end w:w="110" w:type="dxa"/>
            </w:tcMar>
          </w:tcPr>
          <w:p>
            <w:pPr>
              <w:spacing w:after="0"/>
            </w:pPr>
            <w:r/>
            <w:r>
              <w:rPr>
                <w:rFonts w:ascii="Calibri" w:hAnsi="Calibri"/>
                <w:b w:val="0"/>
                <w:i w:val="0"/>
                <w:color w:val="101828"/>
                <w:sz w:val="16"/>
              </w:rPr>
              <w:t>1</w:t>
            </w:r>
          </w:p>
        </w:tc>
        <w:tc>
          <w:tcPr>
            <w:tcW w:type="dxa" w:w="5126"/>
            <w:tcMar>
              <w:top w:w="60" w:type="dxa"/>
              <w:start w:w="110" w:type="dxa"/>
              <w:bottom w:w="60" w:type="dxa"/>
              <w:end w:w="110" w:type="dxa"/>
            </w:tcMar>
          </w:tcPr>
          <w:p>
            <w:pPr>
              <w:spacing w:after="0"/>
            </w:pPr>
            <w:r/>
            <w:r>
              <w:rPr>
                <w:rFonts w:ascii="Calibri" w:hAnsi="Calibri"/>
                <w:b w:val="0"/>
                <w:i w:val="0"/>
                <w:color w:val="101828"/>
                <w:sz w:val="16"/>
              </w:rPr>
              <w:t>Push targets per device. A notification is a row; this is an address.</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roles</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6</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0</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0</w:t>
            </w:r>
          </w:p>
        </w:tc>
        <w:tc>
          <w:tcPr>
            <w:tcW w:type="dxa" w:w="5126"/>
            <w:tcMar>
              <w:top w:w="60" w:type="dxa"/>
              <w:start w:w="110" w:type="dxa"/>
              <w:bottom w:w="60" w:type="dxa"/>
              <w:end w:w="110" w:type="dxa"/>
            </w:tcMar>
            <w:shd w:val="clear" w:color="auto" w:fill="F4F7FB"/>
          </w:tcPr>
          <w:p>
            <w:pPr>
              <w:spacing w:after="0"/>
            </w:pPr>
            <w:r/>
            <w:r>
              <w:rPr>
                <w:rFonts w:ascii="Calibri" w:hAnsi="Calibri"/>
                <w:b w:val="0"/>
                <w:i w:val="0"/>
                <w:color w:val="101828"/>
                <w:sz w:val="16"/>
              </w:rPr>
              <w:t>Reference data. Roles are codes added by migration, not a hard-coded enum.</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6"/>
              </w:rPr>
              <w:t>role_assignments</w:t>
            </w:r>
          </w:p>
        </w:tc>
        <w:tc>
          <w:tcPr>
            <w:tcW w:type="dxa" w:w="518"/>
            <w:tcMar>
              <w:top w:w="60" w:type="dxa"/>
              <w:start w:w="110" w:type="dxa"/>
              <w:bottom w:w="60" w:type="dxa"/>
              <w:end w:w="110" w:type="dxa"/>
            </w:tcMar>
          </w:tcPr>
          <w:p>
            <w:pPr>
              <w:spacing w:after="0"/>
            </w:pPr>
            <w:r/>
            <w:r>
              <w:rPr>
                <w:rFonts w:ascii="Calibri" w:hAnsi="Calibri"/>
                <w:b w:val="0"/>
                <w:i w:val="0"/>
                <w:color w:val="101828"/>
                <w:sz w:val="16"/>
              </w:rPr>
              <w:t>14</w:t>
            </w:r>
          </w:p>
        </w:tc>
        <w:tc>
          <w:tcPr>
            <w:tcW w:type="dxa" w:w="518"/>
            <w:tcMar>
              <w:top w:w="60" w:type="dxa"/>
              <w:start w:w="110" w:type="dxa"/>
              <w:bottom w:w="60" w:type="dxa"/>
              <w:end w:w="110" w:type="dxa"/>
            </w:tcMar>
          </w:tcPr>
          <w:p>
            <w:pPr>
              <w:spacing w:after="0"/>
            </w:pPr>
            <w:r/>
            <w:r>
              <w:rPr>
                <w:rFonts w:ascii="Calibri" w:hAnsi="Calibri"/>
                <w:b w:val="0"/>
                <w:i w:val="0"/>
                <w:color w:val="101828"/>
                <w:sz w:val="16"/>
              </w:rPr>
              <w:t>3</w:t>
            </w:r>
          </w:p>
        </w:tc>
        <w:tc>
          <w:tcPr>
            <w:tcW w:type="dxa" w:w="518"/>
            <w:tcMar>
              <w:top w:w="60" w:type="dxa"/>
              <w:start w:w="110" w:type="dxa"/>
              <w:bottom w:w="60" w:type="dxa"/>
              <w:end w:w="110" w:type="dxa"/>
            </w:tcMar>
          </w:tcPr>
          <w:p>
            <w:pPr>
              <w:spacing w:after="0"/>
            </w:pPr>
            <w:r/>
            <w:r>
              <w:rPr>
                <w:rFonts w:ascii="Calibri" w:hAnsi="Calibri"/>
                <w:b w:val="0"/>
                <w:i w:val="0"/>
                <w:color w:val="101828"/>
                <w:sz w:val="16"/>
              </w:rPr>
              <w:t>7</w:t>
            </w:r>
          </w:p>
        </w:tc>
        <w:tc>
          <w:tcPr>
            <w:tcW w:type="dxa" w:w="518"/>
            <w:tcMar>
              <w:top w:w="60" w:type="dxa"/>
              <w:start w:w="110" w:type="dxa"/>
              <w:bottom w:w="60" w:type="dxa"/>
              <w:end w:w="110" w:type="dxa"/>
            </w:tcMar>
          </w:tcPr>
          <w:p>
            <w:pPr>
              <w:spacing w:after="0"/>
            </w:pPr>
            <w:r/>
            <w:r>
              <w:rPr>
                <w:rFonts w:ascii="Calibri" w:hAnsi="Calibri"/>
                <w:b w:val="0"/>
                <w:i w:val="0"/>
                <w:color w:val="101828"/>
                <w:sz w:val="16"/>
              </w:rPr>
              <w:t>2</w:t>
            </w:r>
          </w:p>
        </w:tc>
        <w:tc>
          <w:tcPr>
            <w:tcW w:type="dxa" w:w="5126"/>
            <w:tcMar>
              <w:top w:w="60" w:type="dxa"/>
              <w:start w:w="110" w:type="dxa"/>
              <w:bottom w:w="60" w:type="dxa"/>
              <w:end w:w="110" w:type="dxa"/>
            </w:tcMar>
          </w:tcPr>
          <w:p>
            <w:pPr>
              <w:spacing w:after="0"/>
            </w:pPr>
            <w:r/>
            <w:r>
              <w:rPr>
                <w:rFonts w:ascii="Calibri" w:hAnsi="Calibri"/>
                <w:b w:val="0"/>
                <w:i w:val="0"/>
                <w:color w:val="101828"/>
                <w:sz w:val="16"/>
              </w:rPr>
              <w:t xml:space="preserve">Who holds which role, at which scope, until when. </w:t>
            </w:r>
            <w:r>
              <w:rPr>
                <w:rFonts w:ascii="Consolas" w:hAnsi="Consolas"/>
                <w:color w:val="146EF5"/>
                <w:sz w:val="16"/>
              </w:rPr>
              <w:t>scope</w:t>
            </w:r>
            <w:r>
              <w:rPr>
                <w:rFonts w:ascii="Calibri" w:hAnsi="Calibri"/>
                <w:b w:val="0"/>
                <w:i w:val="0"/>
                <w:color w:val="101828"/>
                <w:sz w:val="16"/>
              </w:rPr>
              <w:t xml:space="preserve"> and its target are CHECK-constrained together.</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invitations</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17</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5</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7</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2</w:t>
            </w:r>
          </w:p>
        </w:tc>
        <w:tc>
          <w:tcPr>
            <w:tcW w:type="dxa" w:w="5126"/>
            <w:tcMar>
              <w:top w:w="60" w:type="dxa"/>
              <w:start w:w="110" w:type="dxa"/>
              <w:bottom w:w="60" w:type="dxa"/>
              <w:end w:w="110" w:type="dxa"/>
            </w:tcMar>
            <w:shd w:val="clear" w:color="auto" w:fill="F4F7FB"/>
          </w:tcPr>
          <w:p>
            <w:pPr>
              <w:spacing w:after="0"/>
            </w:pPr>
            <w:r/>
            <w:r>
              <w:rPr>
                <w:rFonts w:ascii="Calibri" w:hAnsi="Calibri"/>
                <w:b w:val="0"/>
                <w:i w:val="0"/>
                <w:color w:val="101828"/>
                <w:sz w:val="16"/>
              </w:rPr>
              <w:t>An invitation addressed by email, with a hashed token, an expiry and a resend count.</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6"/>
              </w:rPr>
              <w:t>verification_checks</w:t>
            </w:r>
          </w:p>
        </w:tc>
        <w:tc>
          <w:tcPr>
            <w:tcW w:type="dxa" w:w="518"/>
            <w:tcMar>
              <w:top w:w="60" w:type="dxa"/>
              <w:start w:w="110" w:type="dxa"/>
              <w:bottom w:w="60" w:type="dxa"/>
              <w:end w:w="110" w:type="dxa"/>
            </w:tcMar>
          </w:tcPr>
          <w:p>
            <w:pPr>
              <w:spacing w:after="0"/>
            </w:pPr>
            <w:r/>
            <w:r>
              <w:rPr>
                <w:rFonts w:ascii="Calibri" w:hAnsi="Calibri"/>
                <w:b w:val="0"/>
                <w:i w:val="0"/>
                <w:color w:val="101828"/>
                <w:sz w:val="16"/>
              </w:rPr>
              <w:t>15</w:t>
            </w:r>
          </w:p>
        </w:tc>
        <w:tc>
          <w:tcPr>
            <w:tcW w:type="dxa" w:w="518"/>
            <w:tcMar>
              <w:top w:w="60" w:type="dxa"/>
              <w:start w:w="110" w:type="dxa"/>
              <w:bottom w:w="60" w:type="dxa"/>
              <w:end w:w="110" w:type="dxa"/>
            </w:tcMar>
          </w:tcPr>
          <w:p>
            <w:pPr>
              <w:spacing w:after="0"/>
            </w:pPr>
            <w:r/>
            <w:r>
              <w:rPr>
                <w:rFonts w:ascii="Calibri" w:hAnsi="Calibri"/>
                <w:b w:val="0"/>
                <w:i w:val="0"/>
                <w:color w:val="101828"/>
                <w:sz w:val="16"/>
              </w:rPr>
              <w:t>2</w:t>
            </w:r>
          </w:p>
        </w:tc>
        <w:tc>
          <w:tcPr>
            <w:tcW w:type="dxa" w:w="518"/>
            <w:tcMar>
              <w:top w:w="60" w:type="dxa"/>
              <w:start w:w="110" w:type="dxa"/>
              <w:bottom w:w="60" w:type="dxa"/>
              <w:end w:w="110" w:type="dxa"/>
            </w:tcMar>
          </w:tcPr>
          <w:p>
            <w:pPr>
              <w:spacing w:after="0"/>
            </w:pPr>
            <w:r/>
            <w:r>
              <w:rPr>
                <w:rFonts w:ascii="Calibri" w:hAnsi="Calibri"/>
                <w:b w:val="0"/>
                <w:i w:val="0"/>
                <w:color w:val="101828"/>
                <w:sz w:val="16"/>
              </w:rPr>
              <w:t>4</w:t>
            </w:r>
          </w:p>
        </w:tc>
        <w:tc>
          <w:tcPr>
            <w:tcW w:type="dxa" w:w="518"/>
            <w:tcMar>
              <w:top w:w="60" w:type="dxa"/>
              <w:start w:w="110" w:type="dxa"/>
              <w:bottom w:w="60" w:type="dxa"/>
              <w:end w:w="110" w:type="dxa"/>
            </w:tcMar>
          </w:tcPr>
          <w:p>
            <w:pPr>
              <w:spacing w:after="0"/>
            </w:pPr>
            <w:r/>
            <w:r>
              <w:rPr>
                <w:rFonts w:ascii="Calibri" w:hAnsi="Calibri"/>
                <w:b w:val="0"/>
                <w:i w:val="0"/>
                <w:color w:val="101828"/>
                <w:sz w:val="16"/>
              </w:rPr>
              <w:t>2</w:t>
            </w:r>
          </w:p>
        </w:tc>
        <w:tc>
          <w:tcPr>
            <w:tcW w:type="dxa" w:w="5126"/>
            <w:tcMar>
              <w:top w:w="60" w:type="dxa"/>
              <w:start w:w="110" w:type="dxa"/>
              <w:bottom w:w="60" w:type="dxa"/>
              <w:end w:w="110" w:type="dxa"/>
            </w:tcMar>
          </w:tcPr>
          <w:p>
            <w:pPr>
              <w:spacing w:after="0"/>
            </w:pPr>
            <w:r/>
            <w:r>
              <w:rPr>
                <w:rFonts w:ascii="Calibri" w:hAnsi="Calibri"/>
                <w:b w:val="0"/>
                <w:i w:val="0"/>
                <w:color w:val="101828"/>
                <w:sz w:val="16"/>
              </w:rPr>
              <w:t>BVN, NIN and address checks. The BVN itself is never stored in full.</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verification_check_types</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12</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2</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2</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w:t>
            </w:r>
          </w:p>
        </w:tc>
        <w:tc>
          <w:tcPr>
            <w:tcW w:type="dxa" w:w="5126"/>
            <w:tcMar>
              <w:top w:w="60" w:type="dxa"/>
              <w:start w:w="110" w:type="dxa"/>
              <w:bottom w:w="60" w:type="dxa"/>
              <w:end w:w="110" w:type="dxa"/>
            </w:tcMar>
            <w:shd w:val="clear" w:color="auto" w:fill="F4F7FB"/>
          </w:tcPr>
          <w:p>
            <w:pPr>
              <w:spacing w:after="0"/>
            </w:pPr>
            <w:r/>
            <w:r>
              <w:rPr>
                <w:rFonts w:ascii="Calibri" w:hAnsi="Calibri"/>
                <w:b w:val="0"/>
                <w:i w:val="0"/>
                <w:color w:val="101828"/>
                <w:sz w:val="16"/>
              </w:rPr>
              <w:t>Which kinds of check exist and whether they are mandatory before activation.</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6"/>
              </w:rPr>
              <w:t>document_types</w:t>
            </w:r>
          </w:p>
        </w:tc>
        <w:tc>
          <w:tcPr>
            <w:tcW w:type="dxa" w:w="518"/>
            <w:tcMar>
              <w:top w:w="60" w:type="dxa"/>
              <w:start w:w="110" w:type="dxa"/>
              <w:bottom w:w="60" w:type="dxa"/>
              <w:end w:w="110" w:type="dxa"/>
            </w:tcMar>
          </w:tcPr>
          <w:p>
            <w:pPr>
              <w:spacing w:after="0"/>
            </w:pPr>
            <w:r/>
            <w:r>
              <w:rPr>
                <w:rFonts w:ascii="Calibri" w:hAnsi="Calibri"/>
                <w:b w:val="0"/>
                <w:i w:val="0"/>
                <w:color w:val="101828"/>
                <w:sz w:val="16"/>
              </w:rPr>
              <w:t>12</w:t>
            </w:r>
          </w:p>
        </w:tc>
        <w:tc>
          <w:tcPr>
            <w:tcW w:type="dxa" w:w="518"/>
            <w:tcMar>
              <w:top w:w="60" w:type="dxa"/>
              <w:start w:w="110" w:type="dxa"/>
              <w:bottom w:w="60" w:type="dxa"/>
              <w:end w:w="110" w:type="dxa"/>
            </w:tcMar>
          </w:tcPr>
          <w:p>
            <w:pPr>
              <w:spacing w:after="0"/>
            </w:pPr>
            <w:r/>
            <w:r>
              <w:rPr>
                <w:rFonts w:ascii="Calibri" w:hAnsi="Calibri"/>
                <w:b w:val="0"/>
                <w:i w:val="0"/>
                <w:color w:val="101828"/>
                <w:sz w:val="16"/>
              </w:rPr>
              <w:t>2</w:t>
            </w:r>
          </w:p>
        </w:tc>
        <w:tc>
          <w:tcPr>
            <w:tcW w:type="dxa" w:w="518"/>
            <w:tcMar>
              <w:top w:w="60" w:type="dxa"/>
              <w:start w:w="110" w:type="dxa"/>
              <w:bottom w:w="60" w:type="dxa"/>
              <w:end w:w="110" w:type="dxa"/>
            </w:tcMar>
          </w:tcPr>
          <w:p>
            <w:pPr>
              <w:spacing w:after="0"/>
            </w:pPr>
            <w:r/>
            <w:r>
              <w:rPr>
                <w:rFonts w:ascii="Calibri" w:hAnsi="Calibri"/>
                <w:b w:val="0"/>
                <w:i w:val="0"/>
                <w:color w:val="101828"/>
                <w:sz w:val="16"/>
              </w:rPr>
              <w:t>1</w:t>
            </w:r>
          </w:p>
        </w:tc>
        <w:tc>
          <w:tcPr>
            <w:tcW w:type="dxa" w:w="518"/>
            <w:tcMar>
              <w:top w:w="60" w:type="dxa"/>
              <w:start w:w="110" w:type="dxa"/>
              <w:bottom w:w="60" w:type="dxa"/>
              <w:end w:w="110" w:type="dxa"/>
            </w:tcMar>
          </w:tcPr>
          <w:p>
            <w:pPr>
              <w:spacing w:after="0"/>
            </w:pPr>
            <w:r/>
            <w:r>
              <w:rPr>
                <w:rFonts w:ascii="Calibri" w:hAnsi="Calibri"/>
                <w:b w:val="0"/>
                <w:i w:val="0"/>
                <w:color w:val="101828"/>
                <w:sz w:val="16"/>
              </w:rPr>
              <w:t>1</w:t>
            </w:r>
          </w:p>
        </w:tc>
        <w:tc>
          <w:tcPr>
            <w:tcW w:type="dxa" w:w="5126"/>
            <w:tcMar>
              <w:top w:w="60" w:type="dxa"/>
              <w:start w:w="110" w:type="dxa"/>
              <w:bottom w:w="60" w:type="dxa"/>
              <w:end w:w="110" w:type="dxa"/>
            </w:tcMar>
          </w:tcPr>
          <w:p>
            <w:pPr>
              <w:spacing w:after="0"/>
            </w:pPr>
            <w:r/>
            <w:r>
              <w:rPr>
                <w:rFonts w:ascii="Calibri" w:hAnsi="Calibri"/>
                <w:b w:val="0"/>
                <w:i w:val="0"/>
                <w:color w:val="101828"/>
                <w:sz w:val="16"/>
              </w:rPr>
              <w:t>The document vocabulary. One of the three tables section 8 does not carry.</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documents</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17</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3</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6</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2</w:t>
            </w:r>
          </w:p>
        </w:tc>
        <w:tc>
          <w:tcPr>
            <w:tcW w:type="dxa" w:w="5126"/>
            <w:tcMar>
              <w:top w:w="60" w:type="dxa"/>
              <w:start w:w="110" w:type="dxa"/>
              <w:bottom w:w="60" w:type="dxa"/>
              <w:end w:w="110" w:type="dxa"/>
            </w:tcMar>
            <w:shd w:val="clear" w:color="auto" w:fill="F4F7FB"/>
          </w:tcPr>
          <w:p>
            <w:pPr>
              <w:spacing w:after="0"/>
            </w:pPr>
            <w:r/>
            <w:r>
              <w:rPr>
                <w:rFonts w:ascii="Calibri" w:hAnsi="Calibri"/>
                <w:b w:val="0"/>
                <w:i w:val="0"/>
                <w:color w:val="101828"/>
                <w:sz w:val="16"/>
              </w:rPr>
              <w:t>A file's provenance: path, SHA-256, size, MIME type, scan status. The bytes are elsewhere.</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6"/>
              </w:rPr>
              <w:t>ajos</w:t>
            </w:r>
          </w:p>
        </w:tc>
        <w:tc>
          <w:tcPr>
            <w:tcW w:type="dxa" w:w="518"/>
            <w:tcMar>
              <w:top w:w="60" w:type="dxa"/>
              <w:start w:w="110" w:type="dxa"/>
              <w:bottom w:w="60" w:type="dxa"/>
              <w:end w:w="110" w:type="dxa"/>
            </w:tcMar>
          </w:tcPr>
          <w:p>
            <w:pPr>
              <w:spacing w:after="0"/>
            </w:pPr>
            <w:r/>
            <w:r>
              <w:rPr>
                <w:rFonts w:ascii="Calibri" w:hAnsi="Calibri"/>
                <w:b w:val="0"/>
                <w:i w:val="0"/>
                <w:color w:val="101828"/>
                <w:sz w:val="16"/>
              </w:rPr>
              <w:t>25</w:t>
            </w:r>
          </w:p>
        </w:tc>
        <w:tc>
          <w:tcPr>
            <w:tcW w:type="dxa" w:w="518"/>
            <w:tcMar>
              <w:top w:w="60" w:type="dxa"/>
              <w:start w:w="110" w:type="dxa"/>
              <w:bottom w:w="60" w:type="dxa"/>
              <w:end w:w="110" w:type="dxa"/>
            </w:tcMar>
          </w:tcPr>
          <w:p>
            <w:pPr>
              <w:spacing w:after="0"/>
            </w:pPr>
            <w:r/>
            <w:r>
              <w:rPr>
                <w:rFonts w:ascii="Calibri" w:hAnsi="Calibri"/>
                <w:b w:val="0"/>
                <w:i w:val="0"/>
                <w:color w:val="101828"/>
                <w:sz w:val="16"/>
              </w:rPr>
              <w:t>5</w:t>
            </w:r>
          </w:p>
        </w:tc>
        <w:tc>
          <w:tcPr>
            <w:tcW w:type="dxa" w:w="518"/>
            <w:tcMar>
              <w:top w:w="60" w:type="dxa"/>
              <w:start w:w="110" w:type="dxa"/>
              <w:bottom w:w="60" w:type="dxa"/>
              <w:end w:w="110" w:type="dxa"/>
            </w:tcMar>
          </w:tcPr>
          <w:p>
            <w:pPr>
              <w:spacing w:after="0"/>
            </w:pPr>
            <w:r/>
            <w:r>
              <w:rPr>
                <w:rFonts w:ascii="Calibri" w:hAnsi="Calibri"/>
                <w:b w:val="0"/>
                <w:i w:val="0"/>
                <w:color w:val="101828"/>
                <w:sz w:val="16"/>
              </w:rPr>
              <w:t>16</w:t>
            </w:r>
          </w:p>
        </w:tc>
        <w:tc>
          <w:tcPr>
            <w:tcW w:type="dxa" w:w="518"/>
            <w:tcMar>
              <w:top w:w="60" w:type="dxa"/>
              <w:start w:w="110" w:type="dxa"/>
              <w:bottom w:w="60" w:type="dxa"/>
              <w:end w:w="110" w:type="dxa"/>
            </w:tcMar>
          </w:tcPr>
          <w:p>
            <w:pPr>
              <w:spacing w:after="0"/>
            </w:pPr>
            <w:r/>
            <w:r>
              <w:rPr>
                <w:rFonts w:ascii="Calibri" w:hAnsi="Calibri"/>
                <w:b w:val="0"/>
                <w:i w:val="0"/>
                <w:color w:val="101828"/>
                <w:sz w:val="16"/>
              </w:rPr>
              <w:t>5</w:t>
            </w:r>
          </w:p>
        </w:tc>
        <w:tc>
          <w:tcPr>
            <w:tcW w:type="dxa" w:w="5126"/>
            <w:tcMar>
              <w:top w:w="60" w:type="dxa"/>
              <w:start w:w="110" w:type="dxa"/>
              <w:bottom w:w="60" w:type="dxa"/>
              <w:end w:w="110" w:type="dxa"/>
            </w:tcMar>
          </w:tcPr>
          <w:p>
            <w:pPr>
              <w:spacing w:after="0"/>
            </w:pPr>
            <w:r/>
            <w:r>
              <w:rPr>
                <w:rFonts w:ascii="Calibri" w:hAnsi="Calibri"/>
                <w:b w:val="0"/>
                <w:i w:val="0"/>
                <w:color w:val="101828"/>
                <w:sz w:val="16"/>
              </w:rPr>
              <w:t>The Ajo. The reference code, the fee-bearing contribution amount and the lifecycle status.</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ajo_positions</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12</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3</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6</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3</w:t>
            </w:r>
          </w:p>
        </w:tc>
        <w:tc>
          <w:tcPr>
            <w:tcW w:type="dxa" w:w="5126"/>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The turn order. </w:t>
            </w:r>
            <w:r>
              <w:rPr>
                <w:rFonts w:ascii="Consolas" w:hAnsi="Consolas"/>
                <w:color w:val="146EF5"/>
                <w:sz w:val="16"/>
              </w:rPr>
              <w:t>position_number</w:t>
            </w:r>
            <w:r>
              <w:rPr>
                <w:rFonts w:ascii="Calibri" w:hAnsi="Calibri"/>
                <w:b w:val="0"/>
                <w:i w:val="0"/>
                <w:color w:val="101828"/>
                <w:sz w:val="16"/>
              </w:rPr>
              <w:t xml:space="preserve"> is locked once the Ajo activates.</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6"/>
              </w:rPr>
              <w:t>ajo_members</w:t>
            </w:r>
          </w:p>
        </w:tc>
        <w:tc>
          <w:tcPr>
            <w:tcW w:type="dxa" w:w="518"/>
            <w:tcMar>
              <w:top w:w="60" w:type="dxa"/>
              <w:start w:w="110" w:type="dxa"/>
              <w:bottom w:w="60" w:type="dxa"/>
              <w:end w:w="110" w:type="dxa"/>
            </w:tcMar>
          </w:tcPr>
          <w:p>
            <w:pPr>
              <w:spacing w:after="0"/>
            </w:pPr>
            <w:r/>
            <w:r>
              <w:rPr>
                <w:rFonts w:ascii="Calibri" w:hAnsi="Calibri"/>
                <w:b w:val="0"/>
                <w:i w:val="0"/>
                <w:color w:val="101828"/>
                <w:sz w:val="16"/>
              </w:rPr>
              <w:t>15</w:t>
            </w:r>
          </w:p>
        </w:tc>
        <w:tc>
          <w:tcPr>
            <w:tcW w:type="dxa" w:w="518"/>
            <w:tcMar>
              <w:top w:w="60" w:type="dxa"/>
              <w:start w:w="110" w:type="dxa"/>
              <w:bottom w:w="60" w:type="dxa"/>
              <w:end w:w="110" w:type="dxa"/>
            </w:tcMar>
          </w:tcPr>
          <w:p>
            <w:pPr>
              <w:spacing w:after="0"/>
            </w:pPr>
            <w:r/>
            <w:r>
              <w:rPr>
                <w:rFonts w:ascii="Calibri" w:hAnsi="Calibri"/>
                <w:b w:val="0"/>
                <w:i w:val="0"/>
                <w:color w:val="101828"/>
                <w:sz w:val="16"/>
              </w:rPr>
              <w:t>6</w:t>
            </w:r>
          </w:p>
        </w:tc>
        <w:tc>
          <w:tcPr>
            <w:tcW w:type="dxa" w:w="518"/>
            <w:tcMar>
              <w:top w:w="60" w:type="dxa"/>
              <w:start w:w="110" w:type="dxa"/>
              <w:bottom w:w="60" w:type="dxa"/>
              <w:end w:w="110" w:type="dxa"/>
            </w:tcMar>
          </w:tcPr>
          <w:p>
            <w:pPr>
              <w:spacing w:after="0"/>
            </w:pPr>
            <w:r/>
            <w:r>
              <w:rPr>
                <w:rFonts w:ascii="Calibri" w:hAnsi="Calibri"/>
                <w:b w:val="0"/>
                <w:i w:val="0"/>
                <w:color w:val="101828"/>
                <w:sz w:val="16"/>
              </w:rPr>
              <w:t>7</w:t>
            </w:r>
          </w:p>
        </w:tc>
        <w:tc>
          <w:tcPr>
            <w:tcW w:type="dxa" w:w="518"/>
            <w:tcMar>
              <w:top w:w="60" w:type="dxa"/>
              <w:start w:w="110" w:type="dxa"/>
              <w:bottom w:w="60" w:type="dxa"/>
              <w:end w:w="110" w:type="dxa"/>
            </w:tcMar>
          </w:tcPr>
          <w:p>
            <w:pPr>
              <w:spacing w:after="0"/>
            </w:pPr>
            <w:r/>
            <w:r>
              <w:rPr>
                <w:rFonts w:ascii="Calibri" w:hAnsi="Calibri"/>
                <w:b w:val="0"/>
                <w:i w:val="0"/>
                <w:color w:val="101828"/>
                <w:sz w:val="16"/>
              </w:rPr>
              <w:t>2</w:t>
            </w:r>
          </w:p>
        </w:tc>
        <w:tc>
          <w:tcPr>
            <w:tcW w:type="dxa" w:w="5126"/>
            <w:tcMar>
              <w:top w:w="60" w:type="dxa"/>
              <w:start w:w="110" w:type="dxa"/>
              <w:bottom w:w="60" w:type="dxa"/>
              <w:end w:w="110" w:type="dxa"/>
            </w:tcMar>
          </w:tcPr>
          <w:p>
            <w:pPr>
              <w:spacing w:after="0"/>
            </w:pPr>
            <w:r/>
            <w:r>
              <w:rPr>
                <w:rFonts w:ascii="Calibri" w:hAnsi="Calibri"/>
                <w:b w:val="0"/>
                <w:i w:val="0"/>
                <w:color w:val="101828"/>
                <w:sz w:val="16"/>
              </w:rPr>
              <w:t xml:space="preserve">Who is in the Ajo and in which position. Occupancy is this table's </w:t>
            </w:r>
            <w:r>
              <w:rPr>
                <w:rFonts w:ascii="Consolas" w:hAnsi="Consolas"/>
                <w:color w:val="146EF5"/>
                <w:sz w:val="16"/>
              </w:rPr>
              <w:t>position_id</w:t>
            </w:r>
            <w:r>
              <w:rPr>
                <w:rFonts w:ascii="Calibri" w:hAnsi="Calibri"/>
                <w:b w:val="0"/>
                <w:i w:val="0"/>
                <w:color w:val="101828"/>
                <w:sz w:val="16"/>
              </w:rPr>
              <w:t>.</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rounds</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18</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4</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8</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3</w:t>
            </w:r>
          </w:p>
        </w:tc>
        <w:tc>
          <w:tcPr>
            <w:tcW w:type="dxa" w:w="5126"/>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One turn. Holds </w:t>
            </w:r>
            <w:r>
              <w:rPr>
                <w:rFonts w:ascii="Consolas" w:hAnsi="Consolas"/>
                <w:color w:val="146EF5"/>
                <w:sz w:val="16"/>
              </w:rPr>
              <w:t>base_pool_kobo</w:t>
            </w:r>
            <w:r>
              <w:rPr>
                <w:rFonts w:ascii="Calibri" w:hAnsi="Calibri"/>
                <w:b w:val="0"/>
                <w:i w:val="0"/>
                <w:color w:val="101828"/>
                <w:sz w:val="16"/>
              </w:rPr>
              <w:t>, a stored aggregate that 9.5 keeps honest.</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6"/>
              </w:rPr>
              <w:t>contribution_schedules</w:t>
            </w:r>
          </w:p>
        </w:tc>
        <w:tc>
          <w:tcPr>
            <w:tcW w:type="dxa" w:w="518"/>
            <w:tcMar>
              <w:top w:w="60" w:type="dxa"/>
              <w:start w:w="110" w:type="dxa"/>
              <w:bottom w:w="60" w:type="dxa"/>
              <w:end w:w="110" w:type="dxa"/>
            </w:tcMar>
          </w:tcPr>
          <w:p>
            <w:pPr>
              <w:spacing w:after="0"/>
            </w:pPr>
            <w:r/>
            <w:r>
              <w:rPr>
                <w:rFonts w:ascii="Calibri" w:hAnsi="Calibri"/>
                <w:b w:val="0"/>
                <w:i w:val="0"/>
                <w:color w:val="101828"/>
                <w:sz w:val="16"/>
              </w:rPr>
              <w:t>13</w:t>
            </w:r>
          </w:p>
        </w:tc>
        <w:tc>
          <w:tcPr>
            <w:tcW w:type="dxa" w:w="518"/>
            <w:tcMar>
              <w:top w:w="60" w:type="dxa"/>
              <w:start w:w="110" w:type="dxa"/>
              <w:bottom w:w="60" w:type="dxa"/>
              <w:end w:w="110" w:type="dxa"/>
            </w:tcMar>
          </w:tcPr>
          <w:p>
            <w:pPr>
              <w:spacing w:after="0"/>
            </w:pPr>
            <w:r/>
            <w:r>
              <w:rPr>
                <w:rFonts w:ascii="Calibri" w:hAnsi="Calibri"/>
                <w:b w:val="0"/>
                <w:i w:val="0"/>
                <w:color w:val="101828"/>
                <w:sz w:val="16"/>
              </w:rPr>
              <w:t>3</w:t>
            </w:r>
          </w:p>
        </w:tc>
        <w:tc>
          <w:tcPr>
            <w:tcW w:type="dxa" w:w="518"/>
            <w:tcMar>
              <w:top w:w="60" w:type="dxa"/>
              <w:start w:w="110" w:type="dxa"/>
              <w:bottom w:w="60" w:type="dxa"/>
              <w:end w:w="110" w:type="dxa"/>
            </w:tcMar>
          </w:tcPr>
          <w:p>
            <w:pPr>
              <w:spacing w:after="0"/>
            </w:pPr>
            <w:r/>
            <w:r>
              <w:rPr>
                <w:rFonts w:ascii="Calibri" w:hAnsi="Calibri"/>
                <w:b w:val="0"/>
                <w:i w:val="0"/>
                <w:color w:val="101828"/>
                <w:sz w:val="16"/>
              </w:rPr>
              <w:t>6</w:t>
            </w:r>
          </w:p>
        </w:tc>
        <w:tc>
          <w:tcPr>
            <w:tcW w:type="dxa" w:w="518"/>
            <w:tcMar>
              <w:top w:w="60" w:type="dxa"/>
              <w:start w:w="110" w:type="dxa"/>
              <w:bottom w:w="60" w:type="dxa"/>
              <w:end w:w="110" w:type="dxa"/>
            </w:tcMar>
          </w:tcPr>
          <w:p>
            <w:pPr>
              <w:spacing w:after="0"/>
            </w:pPr>
            <w:r/>
            <w:r>
              <w:rPr>
                <w:rFonts w:ascii="Calibri" w:hAnsi="Calibri"/>
                <w:b w:val="0"/>
                <w:i w:val="0"/>
                <w:color w:val="101828"/>
                <w:sz w:val="16"/>
              </w:rPr>
              <w:t>1</w:t>
            </w:r>
          </w:p>
        </w:tc>
        <w:tc>
          <w:tcPr>
            <w:tcW w:type="dxa" w:w="5126"/>
            <w:tcMar>
              <w:top w:w="60" w:type="dxa"/>
              <w:start w:w="110" w:type="dxa"/>
              <w:bottom w:w="60" w:type="dxa"/>
              <w:end w:w="110" w:type="dxa"/>
            </w:tcMar>
          </w:tcPr>
          <w:p>
            <w:pPr>
              <w:spacing w:after="0"/>
            </w:pPr>
            <w:r/>
            <w:r>
              <w:rPr>
                <w:rFonts w:ascii="Calibri" w:hAnsi="Calibri"/>
                <w:b w:val="0"/>
                <w:i w:val="0"/>
                <w:color w:val="101828"/>
                <w:sz w:val="16"/>
              </w:rPr>
              <w:t>What is owed, by whom, by when. Exactly one per round.</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contributions</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25</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9</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15</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3</w:t>
            </w:r>
          </w:p>
        </w:tc>
        <w:tc>
          <w:tcPr>
            <w:tcW w:type="dxa" w:w="5126"/>
            <w:tcMar>
              <w:top w:w="60" w:type="dxa"/>
              <w:start w:w="110" w:type="dxa"/>
              <w:bottom w:w="60" w:type="dxa"/>
              <w:end w:w="110" w:type="dxa"/>
            </w:tcMar>
            <w:shd w:val="clear" w:color="auto" w:fill="F4F7FB"/>
          </w:tcPr>
          <w:p>
            <w:pPr>
              <w:spacing w:after="0"/>
            </w:pPr>
            <w:r/>
            <w:r>
              <w:rPr>
                <w:rFonts w:ascii="Calibri" w:hAnsi="Calibri"/>
                <w:b w:val="0"/>
                <w:i w:val="0"/>
                <w:color w:val="101828"/>
                <w:sz w:val="16"/>
              </w:rPr>
              <w:t>One member's obligation in one round, and its state through default.</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6"/>
              </w:rPr>
              <w:t>payments</w:t>
            </w:r>
          </w:p>
        </w:tc>
        <w:tc>
          <w:tcPr>
            <w:tcW w:type="dxa" w:w="518"/>
            <w:tcMar>
              <w:top w:w="60" w:type="dxa"/>
              <w:start w:w="110" w:type="dxa"/>
              <w:bottom w:w="60" w:type="dxa"/>
              <w:end w:w="110" w:type="dxa"/>
            </w:tcMar>
          </w:tcPr>
          <w:p>
            <w:pPr>
              <w:spacing w:after="0"/>
            </w:pPr>
            <w:r/>
            <w:r>
              <w:rPr>
                <w:rFonts w:ascii="Calibri" w:hAnsi="Calibri"/>
                <w:b w:val="0"/>
                <w:i w:val="0"/>
                <w:color w:val="101828"/>
                <w:sz w:val="16"/>
              </w:rPr>
              <w:t>21</w:t>
            </w:r>
          </w:p>
        </w:tc>
        <w:tc>
          <w:tcPr>
            <w:tcW w:type="dxa" w:w="518"/>
            <w:tcMar>
              <w:top w:w="60" w:type="dxa"/>
              <w:start w:w="110" w:type="dxa"/>
              <w:bottom w:w="60" w:type="dxa"/>
              <w:end w:w="110" w:type="dxa"/>
            </w:tcMar>
          </w:tcPr>
          <w:p>
            <w:pPr>
              <w:spacing w:after="0"/>
            </w:pPr>
            <w:r/>
            <w:r>
              <w:rPr>
                <w:rFonts w:ascii="Calibri" w:hAnsi="Calibri"/>
                <w:b w:val="0"/>
                <w:i w:val="0"/>
                <w:color w:val="101828"/>
                <w:sz w:val="16"/>
              </w:rPr>
              <w:t>7</w:t>
            </w:r>
          </w:p>
        </w:tc>
        <w:tc>
          <w:tcPr>
            <w:tcW w:type="dxa" w:w="518"/>
            <w:tcMar>
              <w:top w:w="60" w:type="dxa"/>
              <w:start w:w="110" w:type="dxa"/>
              <w:bottom w:w="60" w:type="dxa"/>
              <w:end w:w="110" w:type="dxa"/>
            </w:tcMar>
          </w:tcPr>
          <w:p>
            <w:pPr>
              <w:spacing w:after="0"/>
            </w:pPr>
            <w:r/>
            <w:r>
              <w:rPr>
                <w:rFonts w:ascii="Calibri" w:hAnsi="Calibri"/>
                <w:b w:val="0"/>
                <w:i w:val="0"/>
                <w:color w:val="101828"/>
                <w:sz w:val="16"/>
              </w:rPr>
              <w:t>8</w:t>
            </w:r>
          </w:p>
        </w:tc>
        <w:tc>
          <w:tcPr>
            <w:tcW w:type="dxa" w:w="518"/>
            <w:tcMar>
              <w:top w:w="60" w:type="dxa"/>
              <w:start w:w="110" w:type="dxa"/>
              <w:bottom w:w="60" w:type="dxa"/>
              <w:end w:w="110" w:type="dxa"/>
            </w:tcMar>
          </w:tcPr>
          <w:p>
            <w:pPr>
              <w:spacing w:after="0"/>
            </w:pPr>
            <w:r/>
            <w:r>
              <w:rPr>
                <w:rFonts w:ascii="Calibri" w:hAnsi="Calibri"/>
                <w:b w:val="0"/>
                <w:i w:val="0"/>
                <w:color w:val="101828"/>
                <w:sz w:val="16"/>
              </w:rPr>
              <w:t>2</w:t>
            </w:r>
          </w:p>
        </w:tc>
        <w:tc>
          <w:tcPr>
            <w:tcW w:type="dxa" w:w="5126"/>
            <w:tcMar>
              <w:top w:w="60" w:type="dxa"/>
              <w:start w:w="110" w:type="dxa"/>
              <w:bottom w:w="60" w:type="dxa"/>
              <w:end w:w="110" w:type="dxa"/>
            </w:tcMar>
          </w:tcPr>
          <w:p>
            <w:pPr>
              <w:spacing w:after="0"/>
            </w:pPr>
            <w:r/>
            <w:r>
              <w:rPr>
                <w:rFonts w:ascii="Calibri" w:hAnsi="Calibri"/>
                <w:b w:val="0"/>
                <w:i w:val="0"/>
                <w:color w:val="101828"/>
                <w:sz w:val="16"/>
              </w:rPr>
              <w:t xml:space="preserve">A provider attempt. </w:t>
            </w:r>
            <w:r>
              <w:rPr>
                <w:rFonts w:ascii="Consolas" w:hAnsi="Consolas"/>
                <w:color w:val="146EF5"/>
                <w:sz w:val="16"/>
              </w:rPr>
              <w:t>fee_kobo</w:t>
            </w:r>
            <w:r>
              <w:rPr>
                <w:rFonts w:ascii="Calibri" w:hAnsi="Calibri"/>
                <w:b w:val="0"/>
                <w:i w:val="0"/>
                <w:color w:val="101828"/>
                <w:sz w:val="16"/>
              </w:rPr>
              <w:t xml:space="preserve"> is generated here and nowhere else.</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fees</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13</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5</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7</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3</w:t>
            </w:r>
          </w:p>
        </w:tc>
        <w:tc>
          <w:tcPr>
            <w:tcW w:type="dxa" w:w="5126"/>
            <w:tcMar>
              <w:top w:w="60" w:type="dxa"/>
              <w:start w:w="110" w:type="dxa"/>
              <w:bottom w:w="60" w:type="dxa"/>
              <w:end w:w="110" w:type="dxa"/>
            </w:tcMar>
            <w:shd w:val="clear" w:color="auto" w:fill="F4F7FB"/>
          </w:tcPr>
          <w:p>
            <w:pPr>
              <w:spacing w:after="0"/>
            </w:pPr>
            <w:r/>
            <w:r>
              <w:rPr>
                <w:rFonts w:ascii="Calibri" w:hAnsi="Calibri"/>
                <w:b w:val="0"/>
                <w:i w:val="0"/>
                <w:color w:val="101828"/>
                <w:sz w:val="16"/>
              </w:rPr>
              <w:t>The platform's cut, one row per settled payment, checked against its payment.</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6"/>
              </w:rPr>
              <w:t>payouts</w:t>
            </w:r>
          </w:p>
        </w:tc>
        <w:tc>
          <w:tcPr>
            <w:tcW w:type="dxa" w:w="518"/>
            <w:tcMar>
              <w:top w:w="60" w:type="dxa"/>
              <w:start w:w="110" w:type="dxa"/>
              <w:bottom w:w="60" w:type="dxa"/>
              <w:end w:w="110" w:type="dxa"/>
            </w:tcMar>
          </w:tcPr>
          <w:p>
            <w:pPr>
              <w:spacing w:after="0"/>
            </w:pPr>
            <w:r/>
            <w:r>
              <w:rPr>
                <w:rFonts w:ascii="Calibri" w:hAnsi="Calibri"/>
                <w:b w:val="0"/>
                <w:i w:val="0"/>
                <w:color w:val="101828"/>
                <w:sz w:val="16"/>
              </w:rPr>
              <w:t>25</w:t>
            </w:r>
          </w:p>
        </w:tc>
        <w:tc>
          <w:tcPr>
            <w:tcW w:type="dxa" w:w="518"/>
            <w:tcMar>
              <w:top w:w="60" w:type="dxa"/>
              <w:start w:w="110" w:type="dxa"/>
              <w:bottom w:w="60" w:type="dxa"/>
              <w:end w:w="110" w:type="dxa"/>
            </w:tcMar>
          </w:tcPr>
          <w:p>
            <w:pPr>
              <w:spacing w:after="0"/>
            </w:pPr>
            <w:r/>
            <w:r>
              <w:rPr>
                <w:rFonts w:ascii="Calibri" w:hAnsi="Calibri"/>
                <w:b w:val="0"/>
                <w:i w:val="0"/>
                <w:color w:val="101828"/>
                <w:sz w:val="16"/>
              </w:rPr>
              <w:t>7</w:t>
            </w:r>
          </w:p>
        </w:tc>
        <w:tc>
          <w:tcPr>
            <w:tcW w:type="dxa" w:w="518"/>
            <w:tcMar>
              <w:top w:w="60" w:type="dxa"/>
              <w:start w:w="110" w:type="dxa"/>
              <w:bottom w:w="60" w:type="dxa"/>
              <w:end w:w="110" w:type="dxa"/>
            </w:tcMar>
          </w:tcPr>
          <w:p>
            <w:pPr>
              <w:spacing w:after="0"/>
            </w:pPr>
            <w:r/>
            <w:r>
              <w:rPr>
                <w:rFonts w:ascii="Calibri" w:hAnsi="Calibri"/>
                <w:b w:val="0"/>
                <w:i w:val="0"/>
                <w:color w:val="101828"/>
                <w:sz w:val="16"/>
              </w:rPr>
              <w:t>16</w:t>
            </w:r>
          </w:p>
        </w:tc>
        <w:tc>
          <w:tcPr>
            <w:tcW w:type="dxa" w:w="518"/>
            <w:tcMar>
              <w:top w:w="60" w:type="dxa"/>
              <w:start w:w="110" w:type="dxa"/>
              <w:bottom w:w="60" w:type="dxa"/>
              <w:end w:w="110" w:type="dxa"/>
            </w:tcMar>
          </w:tcPr>
          <w:p>
            <w:pPr>
              <w:spacing w:after="0"/>
            </w:pPr>
            <w:r/>
            <w:r>
              <w:rPr>
                <w:rFonts w:ascii="Calibri" w:hAnsi="Calibri"/>
                <w:b w:val="0"/>
                <w:i w:val="0"/>
                <w:color w:val="101828"/>
                <w:sz w:val="16"/>
              </w:rPr>
              <w:t>2</w:t>
            </w:r>
          </w:p>
        </w:tc>
        <w:tc>
          <w:tcPr>
            <w:tcW w:type="dxa" w:w="5126"/>
            <w:tcMar>
              <w:top w:w="60" w:type="dxa"/>
              <w:start w:w="110" w:type="dxa"/>
              <w:bottom w:w="60" w:type="dxa"/>
              <w:end w:w="110" w:type="dxa"/>
            </w:tcMar>
          </w:tcPr>
          <w:p>
            <w:pPr>
              <w:spacing w:after="0"/>
            </w:pPr>
            <w:r/>
            <w:r>
              <w:rPr>
                <w:rFonts w:ascii="Calibri" w:hAnsi="Calibri"/>
                <w:b w:val="0"/>
                <w:i w:val="0"/>
                <w:color w:val="101828"/>
                <w:sz w:val="16"/>
              </w:rPr>
              <w:t>Money leaving. At most one per round and position, and never less than the base pool.</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ledger_transactions</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15</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8</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13</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5</w:t>
            </w:r>
          </w:p>
        </w:tc>
        <w:tc>
          <w:tcPr>
            <w:tcW w:type="dxa" w:w="5126"/>
            <w:tcMar>
              <w:top w:w="60" w:type="dxa"/>
              <w:start w:w="110" w:type="dxa"/>
              <w:bottom w:w="60" w:type="dxa"/>
              <w:end w:w="110" w:type="dxa"/>
            </w:tcMar>
            <w:shd w:val="clear" w:color="auto" w:fill="F4F7FB"/>
          </w:tcPr>
          <w:p>
            <w:pPr>
              <w:spacing w:after="0"/>
            </w:pPr>
            <w:r/>
            <w:r>
              <w:rPr>
                <w:rFonts w:ascii="Calibri" w:hAnsi="Calibri"/>
                <w:b w:val="0"/>
                <w:i w:val="0"/>
                <w:color w:val="101828"/>
                <w:sz w:val="16"/>
              </w:rPr>
              <w:t>The header of one balanced entry: kind, time, and what it reverses.</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6"/>
              </w:rPr>
              <w:t>ledger_postings</w:t>
            </w:r>
          </w:p>
        </w:tc>
        <w:tc>
          <w:tcPr>
            <w:tcW w:type="dxa" w:w="518"/>
            <w:tcMar>
              <w:top w:w="60" w:type="dxa"/>
              <w:start w:w="110" w:type="dxa"/>
              <w:bottom w:w="60" w:type="dxa"/>
              <w:end w:w="110" w:type="dxa"/>
            </w:tcMar>
          </w:tcPr>
          <w:p>
            <w:pPr>
              <w:spacing w:after="0"/>
            </w:pPr>
            <w:r/>
            <w:r>
              <w:rPr>
                <w:rFonts w:ascii="Calibri" w:hAnsi="Calibri"/>
                <w:b w:val="0"/>
                <w:i w:val="0"/>
                <w:color w:val="101828"/>
                <w:sz w:val="16"/>
              </w:rPr>
              <w:t>10</w:t>
            </w:r>
          </w:p>
        </w:tc>
        <w:tc>
          <w:tcPr>
            <w:tcW w:type="dxa" w:w="518"/>
            <w:tcMar>
              <w:top w:w="60" w:type="dxa"/>
              <w:start w:w="110" w:type="dxa"/>
              <w:bottom w:w="60" w:type="dxa"/>
              <w:end w:w="110" w:type="dxa"/>
            </w:tcMar>
          </w:tcPr>
          <w:p>
            <w:pPr>
              <w:spacing w:after="0"/>
            </w:pPr>
            <w:r/>
            <w:r>
              <w:rPr>
                <w:rFonts w:ascii="Calibri" w:hAnsi="Calibri"/>
                <w:b w:val="0"/>
                <w:i w:val="0"/>
                <w:color w:val="101828"/>
                <w:sz w:val="16"/>
              </w:rPr>
              <w:t>4</w:t>
            </w:r>
          </w:p>
        </w:tc>
        <w:tc>
          <w:tcPr>
            <w:tcW w:type="dxa" w:w="518"/>
            <w:tcMar>
              <w:top w:w="60" w:type="dxa"/>
              <w:start w:w="110" w:type="dxa"/>
              <w:bottom w:w="60" w:type="dxa"/>
              <w:end w:w="110" w:type="dxa"/>
            </w:tcMar>
          </w:tcPr>
          <w:p>
            <w:pPr>
              <w:spacing w:after="0"/>
            </w:pPr>
            <w:r/>
            <w:r>
              <w:rPr>
                <w:rFonts w:ascii="Calibri" w:hAnsi="Calibri"/>
                <w:b w:val="0"/>
                <w:i w:val="0"/>
                <w:color w:val="101828"/>
                <w:sz w:val="16"/>
              </w:rPr>
              <w:t>4</w:t>
            </w:r>
          </w:p>
        </w:tc>
        <w:tc>
          <w:tcPr>
            <w:tcW w:type="dxa" w:w="518"/>
            <w:tcMar>
              <w:top w:w="60" w:type="dxa"/>
              <w:start w:w="110" w:type="dxa"/>
              <w:bottom w:w="60" w:type="dxa"/>
              <w:end w:w="110" w:type="dxa"/>
            </w:tcMar>
          </w:tcPr>
          <w:p>
            <w:pPr>
              <w:spacing w:after="0"/>
            </w:pPr>
            <w:r/>
            <w:r>
              <w:rPr>
                <w:rFonts w:ascii="Calibri" w:hAnsi="Calibri"/>
                <w:b w:val="0"/>
                <w:i w:val="0"/>
                <w:color w:val="101828"/>
                <w:sz w:val="16"/>
              </w:rPr>
              <w:t>3</w:t>
            </w:r>
          </w:p>
        </w:tc>
        <w:tc>
          <w:tcPr>
            <w:tcW w:type="dxa" w:w="5126"/>
            <w:tcMar>
              <w:top w:w="60" w:type="dxa"/>
              <w:start w:w="110" w:type="dxa"/>
              <w:bottom w:w="60" w:type="dxa"/>
              <w:end w:w="110" w:type="dxa"/>
            </w:tcMar>
          </w:tcPr>
          <w:p>
            <w:pPr>
              <w:spacing w:after="0"/>
            </w:pPr>
            <w:r/>
            <w:r>
              <w:rPr>
                <w:rFonts w:ascii="Calibri" w:hAnsi="Calibri"/>
                <w:b w:val="0"/>
                <w:i w:val="0"/>
                <w:color w:val="101828"/>
                <w:sz w:val="16"/>
              </w:rPr>
              <w:t xml:space="preserve">The two or more legs. </w:t>
            </w:r>
            <w:r>
              <w:rPr>
                <w:rFonts w:ascii="Consolas" w:hAnsi="Consolas"/>
                <w:color w:val="146EF5"/>
                <w:sz w:val="16"/>
              </w:rPr>
              <w:t>signed_kobo</w:t>
            </w:r>
            <w:r>
              <w:rPr>
                <w:rFonts w:ascii="Calibri" w:hAnsi="Calibri"/>
                <w:b w:val="0"/>
                <w:i w:val="0"/>
                <w:color w:val="101828"/>
                <w:sz w:val="16"/>
              </w:rPr>
              <w:t xml:space="preserve"> is generated; their sum is exactly zero.</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disputes</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19</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5</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12</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2</w:t>
            </w:r>
          </w:p>
        </w:tc>
        <w:tc>
          <w:tcPr>
            <w:tcW w:type="dxa" w:w="5126"/>
            <w:tcMar>
              <w:top w:w="60" w:type="dxa"/>
              <w:start w:w="110" w:type="dxa"/>
              <w:bottom w:w="60" w:type="dxa"/>
              <w:end w:w="110" w:type="dxa"/>
            </w:tcMar>
            <w:shd w:val="clear" w:color="auto" w:fill="F4F7FB"/>
          </w:tcPr>
          <w:p>
            <w:pPr>
              <w:spacing w:after="0"/>
            </w:pPr>
            <w:r/>
            <w:r>
              <w:rPr>
                <w:rFonts w:ascii="Calibri" w:hAnsi="Calibri"/>
                <w:b w:val="0"/>
                <w:i w:val="0"/>
                <w:color w:val="101828"/>
                <w:sz w:val="16"/>
              </w:rPr>
              <w:t>A member disputing a contribution or a payout. Never against themselves.</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6"/>
              </w:rPr>
              <w:t>dispute_messages</w:t>
            </w:r>
          </w:p>
        </w:tc>
        <w:tc>
          <w:tcPr>
            <w:tcW w:type="dxa" w:w="518"/>
            <w:tcMar>
              <w:top w:w="60" w:type="dxa"/>
              <w:start w:w="110" w:type="dxa"/>
              <w:bottom w:w="60" w:type="dxa"/>
              <w:end w:w="110" w:type="dxa"/>
            </w:tcMar>
          </w:tcPr>
          <w:p>
            <w:pPr>
              <w:spacing w:after="0"/>
            </w:pPr>
            <w:r/>
            <w:r>
              <w:rPr>
                <w:rFonts w:ascii="Calibri" w:hAnsi="Calibri"/>
                <w:b w:val="0"/>
                <w:i w:val="0"/>
                <w:color w:val="101828"/>
                <w:sz w:val="16"/>
              </w:rPr>
              <w:t>6</w:t>
            </w:r>
          </w:p>
        </w:tc>
        <w:tc>
          <w:tcPr>
            <w:tcW w:type="dxa" w:w="518"/>
            <w:tcMar>
              <w:top w:w="60" w:type="dxa"/>
              <w:start w:w="110" w:type="dxa"/>
              <w:bottom w:w="60" w:type="dxa"/>
              <w:end w:w="110" w:type="dxa"/>
            </w:tcMar>
          </w:tcPr>
          <w:p>
            <w:pPr>
              <w:spacing w:after="0"/>
            </w:pPr>
            <w:r/>
            <w:r>
              <w:rPr>
                <w:rFonts w:ascii="Calibri" w:hAnsi="Calibri"/>
                <w:b w:val="0"/>
                <w:i w:val="0"/>
                <w:color w:val="101828"/>
                <w:sz w:val="16"/>
              </w:rPr>
              <w:t>2</w:t>
            </w:r>
          </w:p>
        </w:tc>
        <w:tc>
          <w:tcPr>
            <w:tcW w:type="dxa" w:w="518"/>
            <w:tcMar>
              <w:top w:w="60" w:type="dxa"/>
              <w:start w:w="110" w:type="dxa"/>
              <w:bottom w:w="60" w:type="dxa"/>
              <w:end w:w="110" w:type="dxa"/>
            </w:tcMar>
          </w:tcPr>
          <w:p>
            <w:pPr>
              <w:spacing w:after="0"/>
            </w:pPr>
            <w:r/>
            <w:r>
              <w:rPr>
                <w:rFonts w:ascii="Calibri" w:hAnsi="Calibri"/>
                <w:b w:val="0"/>
                <w:i w:val="0"/>
                <w:color w:val="101828"/>
                <w:sz w:val="16"/>
              </w:rPr>
              <w:t>4</w:t>
            </w:r>
          </w:p>
        </w:tc>
        <w:tc>
          <w:tcPr>
            <w:tcW w:type="dxa" w:w="518"/>
            <w:tcMar>
              <w:top w:w="60" w:type="dxa"/>
              <w:start w:w="110" w:type="dxa"/>
              <w:bottom w:w="60" w:type="dxa"/>
              <w:end w:w="110" w:type="dxa"/>
            </w:tcMar>
          </w:tcPr>
          <w:p>
            <w:pPr>
              <w:spacing w:after="0"/>
            </w:pPr>
            <w:r/>
            <w:r>
              <w:rPr>
                <w:rFonts w:ascii="Calibri" w:hAnsi="Calibri"/>
                <w:b w:val="0"/>
                <w:i w:val="0"/>
                <w:color w:val="101828"/>
                <w:sz w:val="16"/>
              </w:rPr>
              <w:t>2</w:t>
            </w:r>
          </w:p>
        </w:tc>
        <w:tc>
          <w:tcPr>
            <w:tcW w:type="dxa" w:w="5126"/>
            <w:tcMar>
              <w:top w:w="60" w:type="dxa"/>
              <w:start w:w="110" w:type="dxa"/>
              <w:bottom w:w="60" w:type="dxa"/>
              <w:end w:w="110" w:type="dxa"/>
            </w:tcMar>
          </w:tcPr>
          <w:p>
            <w:pPr>
              <w:spacing w:after="0"/>
            </w:pPr>
            <w:r/>
            <w:r>
              <w:rPr>
                <w:rFonts w:ascii="Calibri" w:hAnsi="Calibri"/>
                <w:b w:val="0"/>
                <w:i w:val="0"/>
                <w:color w:val="101828"/>
                <w:sz w:val="16"/>
              </w:rPr>
              <w:t>The conversation. Visible only to the parties, the organizer and staff.</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dispute_evidence</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5</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2</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2</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2</w:t>
            </w:r>
          </w:p>
        </w:tc>
        <w:tc>
          <w:tcPr>
            <w:tcW w:type="dxa" w:w="5126"/>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Links a dispute to a </w:t>
            </w:r>
            <w:r>
              <w:rPr>
                <w:rFonts w:ascii="Consolas" w:hAnsi="Consolas"/>
                <w:color w:val="146EF5"/>
                <w:sz w:val="16"/>
              </w:rPr>
              <w:t>documents</w:t>
            </w:r>
            <w:r>
              <w:rPr>
                <w:rFonts w:ascii="Calibri" w:hAnsi="Calibri"/>
                <w:b w:val="0"/>
                <w:i w:val="0"/>
                <w:color w:val="101828"/>
                <w:sz w:val="16"/>
              </w:rPr>
              <w:t xml:space="preserve"> row rather than storing bytes.</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6"/>
              </w:rPr>
              <w:t>dispute_reasons</w:t>
            </w:r>
          </w:p>
        </w:tc>
        <w:tc>
          <w:tcPr>
            <w:tcW w:type="dxa" w:w="518"/>
            <w:tcMar>
              <w:top w:w="60" w:type="dxa"/>
              <w:start w:w="110" w:type="dxa"/>
              <w:bottom w:w="60" w:type="dxa"/>
              <w:end w:w="110" w:type="dxa"/>
            </w:tcMar>
          </w:tcPr>
          <w:p>
            <w:pPr>
              <w:spacing w:after="0"/>
            </w:pPr>
            <w:r/>
            <w:r>
              <w:rPr>
                <w:rFonts w:ascii="Calibri" w:hAnsi="Calibri"/>
                <w:b w:val="0"/>
                <w:i w:val="0"/>
                <w:color w:val="101828"/>
                <w:sz w:val="16"/>
              </w:rPr>
              <w:t>5</w:t>
            </w:r>
          </w:p>
        </w:tc>
        <w:tc>
          <w:tcPr>
            <w:tcW w:type="dxa" w:w="518"/>
            <w:tcMar>
              <w:top w:w="60" w:type="dxa"/>
              <w:start w:w="110" w:type="dxa"/>
              <w:bottom w:w="60" w:type="dxa"/>
              <w:end w:w="110" w:type="dxa"/>
            </w:tcMar>
          </w:tcPr>
          <w:p>
            <w:pPr>
              <w:spacing w:after="0"/>
            </w:pPr>
            <w:r/>
            <w:r>
              <w:rPr>
                <w:rFonts w:ascii="Calibri" w:hAnsi="Calibri"/>
                <w:b w:val="0"/>
                <w:i w:val="0"/>
                <w:color w:val="101828"/>
                <w:sz w:val="16"/>
              </w:rPr>
              <w:t>2</w:t>
            </w:r>
          </w:p>
        </w:tc>
        <w:tc>
          <w:tcPr>
            <w:tcW w:type="dxa" w:w="518"/>
            <w:tcMar>
              <w:top w:w="60" w:type="dxa"/>
              <w:start w:w="110" w:type="dxa"/>
              <w:bottom w:w="60" w:type="dxa"/>
              <w:end w:w="110" w:type="dxa"/>
            </w:tcMar>
          </w:tcPr>
          <w:p>
            <w:pPr>
              <w:spacing w:after="0"/>
            </w:pPr>
            <w:r/>
            <w:r>
              <w:rPr>
                <w:rFonts w:ascii="Calibri" w:hAnsi="Calibri"/>
                <w:b w:val="0"/>
                <w:i w:val="0"/>
                <w:color w:val="101828"/>
                <w:sz w:val="16"/>
              </w:rPr>
              <w:t>1</w:t>
            </w:r>
          </w:p>
        </w:tc>
        <w:tc>
          <w:tcPr>
            <w:tcW w:type="dxa" w:w="518"/>
            <w:tcMar>
              <w:top w:w="60" w:type="dxa"/>
              <w:start w:w="110" w:type="dxa"/>
              <w:bottom w:w="60" w:type="dxa"/>
              <w:end w:w="110" w:type="dxa"/>
            </w:tcMar>
          </w:tcPr>
          <w:p>
            <w:pPr>
              <w:spacing w:after="0"/>
            </w:pPr>
            <w:r/>
            <w:r>
              <w:rPr>
                <w:rFonts w:ascii="Calibri" w:hAnsi="Calibri"/>
                <w:b w:val="0"/>
                <w:i w:val="0"/>
                <w:color w:val="101828"/>
                <w:sz w:val="16"/>
              </w:rPr>
              <w:t>0</w:t>
            </w:r>
          </w:p>
        </w:tc>
        <w:tc>
          <w:tcPr>
            <w:tcW w:type="dxa" w:w="5126"/>
            <w:tcMar>
              <w:top w:w="60" w:type="dxa"/>
              <w:start w:w="110" w:type="dxa"/>
              <w:bottom w:w="60" w:type="dxa"/>
              <w:end w:w="110" w:type="dxa"/>
            </w:tcMar>
          </w:tcPr>
          <w:p>
            <w:pPr>
              <w:spacing w:after="0"/>
            </w:pPr>
            <w:r/>
            <w:r>
              <w:rPr>
                <w:rFonts w:ascii="Calibri" w:hAnsi="Calibri"/>
                <w:b w:val="0"/>
                <w:i w:val="0"/>
                <w:color w:val="101828"/>
                <w:sz w:val="16"/>
              </w:rPr>
              <w:t>The vocabulary support scripts off. Reference data, and nobody writes it at runtime.</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risk_events</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18</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4</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4</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3</w:t>
            </w:r>
          </w:p>
        </w:tc>
        <w:tc>
          <w:tcPr>
            <w:tcW w:type="dxa" w:w="5126"/>
            <w:tcMar>
              <w:top w:w="60" w:type="dxa"/>
              <w:start w:w="110" w:type="dxa"/>
              <w:bottom w:w="60" w:type="dxa"/>
              <w:end w:w="110" w:type="dxa"/>
            </w:tcMar>
            <w:shd w:val="clear" w:color="auto" w:fill="F4F7FB"/>
          </w:tcPr>
          <w:p>
            <w:pPr>
              <w:spacing w:after="0"/>
            </w:pPr>
            <w:r/>
            <w:r>
              <w:rPr>
                <w:rFonts w:ascii="Calibri" w:hAnsi="Calibri"/>
                <w:b w:val="0"/>
                <w:i w:val="0"/>
                <w:color w:val="101828"/>
                <w:sz w:val="16"/>
              </w:rPr>
              <w:t>Fraud and risk signals, polymorphic over a user, Ajo, payment or payout.</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6"/>
              </w:rPr>
              <w:t>reconciliation_runs</w:t>
            </w:r>
          </w:p>
        </w:tc>
        <w:tc>
          <w:tcPr>
            <w:tcW w:type="dxa" w:w="518"/>
            <w:tcMar>
              <w:top w:w="60" w:type="dxa"/>
              <w:start w:w="110" w:type="dxa"/>
              <w:bottom w:w="60" w:type="dxa"/>
              <w:end w:w="110" w:type="dxa"/>
            </w:tcMar>
          </w:tcPr>
          <w:p>
            <w:pPr>
              <w:spacing w:after="0"/>
            </w:pPr>
            <w:r/>
            <w:r>
              <w:rPr>
                <w:rFonts w:ascii="Calibri" w:hAnsi="Calibri"/>
                <w:b w:val="0"/>
                <w:i w:val="0"/>
                <w:color w:val="101828"/>
                <w:sz w:val="16"/>
              </w:rPr>
              <w:t>18</w:t>
            </w:r>
          </w:p>
        </w:tc>
        <w:tc>
          <w:tcPr>
            <w:tcW w:type="dxa" w:w="518"/>
            <w:tcMar>
              <w:top w:w="60" w:type="dxa"/>
              <w:start w:w="110" w:type="dxa"/>
              <w:bottom w:w="60" w:type="dxa"/>
              <w:end w:w="110" w:type="dxa"/>
            </w:tcMar>
          </w:tcPr>
          <w:p>
            <w:pPr>
              <w:spacing w:after="0"/>
            </w:pPr>
            <w:r/>
            <w:r>
              <w:rPr>
                <w:rFonts w:ascii="Calibri" w:hAnsi="Calibri"/>
                <w:b w:val="0"/>
                <w:i w:val="0"/>
                <w:color w:val="101828"/>
                <w:sz w:val="16"/>
              </w:rPr>
              <w:t>4</w:t>
            </w:r>
          </w:p>
        </w:tc>
        <w:tc>
          <w:tcPr>
            <w:tcW w:type="dxa" w:w="518"/>
            <w:tcMar>
              <w:top w:w="60" w:type="dxa"/>
              <w:start w:w="110" w:type="dxa"/>
              <w:bottom w:w="60" w:type="dxa"/>
              <w:end w:w="110" w:type="dxa"/>
            </w:tcMar>
          </w:tcPr>
          <w:p>
            <w:pPr>
              <w:spacing w:after="0"/>
            </w:pPr>
            <w:r/>
            <w:r>
              <w:rPr>
                <w:rFonts w:ascii="Calibri" w:hAnsi="Calibri"/>
                <w:b w:val="0"/>
                <w:i w:val="0"/>
                <w:color w:val="101828"/>
                <w:sz w:val="16"/>
              </w:rPr>
              <w:t>7</w:t>
            </w:r>
          </w:p>
        </w:tc>
        <w:tc>
          <w:tcPr>
            <w:tcW w:type="dxa" w:w="518"/>
            <w:tcMar>
              <w:top w:w="60" w:type="dxa"/>
              <w:start w:w="110" w:type="dxa"/>
              <w:bottom w:w="60" w:type="dxa"/>
              <w:end w:w="110" w:type="dxa"/>
            </w:tcMar>
          </w:tcPr>
          <w:p>
            <w:pPr>
              <w:spacing w:after="0"/>
            </w:pPr>
            <w:r/>
            <w:r>
              <w:rPr>
                <w:rFonts w:ascii="Calibri" w:hAnsi="Calibri"/>
                <w:b w:val="0"/>
                <w:i w:val="0"/>
                <w:color w:val="101828"/>
                <w:sz w:val="16"/>
              </w:rPr>
              <w:t>1</w:t>
            </w:r>
          </w:p>
        </w:tc>
        <w:tc>
          <w:tcPr>
            <w:tcW w:type="dxa" w:w="5126"/>
            <w:tcMar>
              <w:top w:w="60" w:type="dxa"/>
              <w:start w:w="110" w:type="dxa"/>
              <w:bottom w:w="60" w:type="dxa"/>
              <w:end w:w="110" w:type="dxa"/>
            </w:tcMar>
          </w:tcPr>
          <w:p>
            <w:pPr>
              <w:spacing w:after="0"/>
            </w:pPr>
            <w:r/>
            <w:r>
              <w:rPr>
                <w:rFonts w:ascii="Calibri" w:hAnsi="Calibri"/>
                <w:b w:val="0"/>
                <w:i w:val="0"/>
                <w:color w:val="101828"/>
                <w:sz w:val="16"/>
              </w:rPr>
              <w:t>A provider-statement comparison, with the difference it found.</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notifications</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22</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5</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4</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w:t>
            </w:r>
          </w:p>
        </w:tc>
        <w:tc>
          <w:tcPr>
            <w:tcW w:type="dxa" w:w="5126"/>
            <w:tcMar>
              <w:top w:w="60" w:type="dxa"/>
              <w:start w:w="110" w:type="dxa"/>
              <w:bottom w:w="60" w:type="dxa"/>
              <w:end w:w="110" w:type="dxa"/>
            </w:tcMar>
            <w:shd w:val="clear" w:color="auto" w:fill="F4F7FB"/>
          </w:tcPr>
          <w:p>
            <w:pPr>
              <w:spacing w:after="0"/>
            </w:pPr>
            <w:r/>
            <w:r>
              <w:rPr>
                <w:rFonts w:ascii="Calibri" w:hAnsi="Calibri"/>
                <w:b w:val="0"/>
                <w:i w:val="0"/>
                <w:color w:val="101828"/>
                <w:sz w:val="16"/>
              </w:rPr>
              <w:t>One member-facing notification, deduplicated on a stable key.</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6"/>
              </w:rPr>
              <w:t>notification_templates</w:t>
            </w:r>
          </w:p>
        </w:tc>
        <w:tc>
          <w:tcPr>
            <w:tcW w:type="dxa" w:w="518"/>
            <w:tcMar>
              <w:top w:w="60" w:type="dxa"/>
              <w:start w:w="110" w:type="dxa"/>
              <w:bottom w:w="60" w:type="dxa"/>
              <w:end w:w="110" w:type="dxa"/>
            </w:tcMar>
          </w:tcPr>
          <w:p>
            <w:pPr>
              <w:spacing w:after="0"/>
            </w:pPr>
            <w:r/>
            <w:r>
              <w:rPr>
                <w:rFonts w:ascii="Calibri" w:hAnsi="Calibri"/>
                <w:b w:val="0"/>
                <w:i w:val="0"/>
                <w:color w:val="101828"/>
                <w:sz w:val="16"/>
              </w:rPr>
              <w:t>12</w:t>
            </w:r>
          </w:p>
        </w:tc>
        <w:tc>
          <w:tcPr>
            <w:tcW w:type="dxa" w:w="518"/>
            <w:tcMar>
              <w:top w:w="60" w:type="dxa"/>
              <w:start w:w="110" w:type="dxa"/>
              <w:bottom w:w="60" w:type="dxa"/>
              <w:end w:w="110" w:type="dxa"/>
            </w:tcMar>
          </w:tcPr>
          <w:p>
            <w:pPr>
              <w:spacing w:after="0"/>
            </w:pPr>
            <w:r/>
            <w:r>
              <w:rPr>
                <w:rFonts w:ascii="Calibri" w:hAnsi="Calibri"/>
                <w:b w:val="0"/>
                <w:i w:val="0"/>
                <w:color w:val="101828"/>
                <w:sz w:val="16"/>
              </w:rPr>
              <w:t>2</w:t>
            </w:r>
          </w:p>
        </w:tc>
        <w:tc>
          <w:tcPr>
            <w:tcW w:type="dxa" w:w="518"/>
            <w:tcMar>
              <w:top w:w="60" w:type="dxa"/>
              <w:start w:w="110" w:type="dxa"/>
              <w:bottom w:w="60" w:type="dxa"/>
              <w:end w:w="110" w:type="dxa"/>
            </w:tcMar>
          </w:tcPr>
          <w:p>
            <w:pPr>
              <w:spacing w:after="0"/>
            </w:pPr>
            <w:r/>
            <w:r>
              <w:rPr>
                <w:rFonts w:ascii="Calibri" w:hAnsi="Calibri"/>
                <w:b w:val="0"/>
                <w:i w:val="0"/>
                <w:color w:val="101828"/>
                <w:sz w:val="16"/>
              </w:rPr>
              <w:t>1</w:t>
            </w:r>
          </w:p>
        </w:tc>
        <w:tc>
          <w:tcPr>
            <w:tcW w:type="dxa" w:w="518"/>
            <w:tcMar>
              <w:top w:w="60" w:type="dxa"/>
              <w:start w:w="110" w:type="dxa"/>
              <w:bottom w:w="60" w:type="dxa"/>
              <w:end w:w="110" w:type="dxa"/>
            </w:tcMar>
          </w:tcPr>
          <w:p>
            <w:pPr>
              <w:spacing w:after="0"/>
            </w:pPr>
            <w:r/>
            <w:r>
              <w:rPr>
                <w:rFonts w:ascii="Calibri" w:hAnsi="Calibri"/>
                <w:b w:val="0"/>
                <w:i w:val="0"/>
                <w:color w:val="101828"/>
                <w:sz w:val="16"/>
              </w:rPr>
              <w:t>2</w:t>
            </w:r>
          </w:p>
        </w:tc>
        <w:tc>
          <w:tcPr>
            <w:tcW w:type="dxa" w:w="5126"/>
            <w:tcMar>
              <w:top w:w="60" w:type="dxa"/>
              <w:start w:w="110" w:type="dxa"/>
              <w:bottom w:w="60" w:type="dxa"/>
              <w:end w:w="110" w:type="dxa"/>
            </w:tcMar>
          </w:tcPr>
          <w:p>
            <w:pPr>
              <w:spacing w:after="0"/>
            </w:pPr>
            <w:r/>
            <w:r>
              <w:rPr>
                <w:rFonts w:ascii="Calibri" w:hAnsi="Calibri"/>
                <w:b w:val="0"/>
                <w:i w:val="0"/>
                <w:color w:val="101828"/>
                <w:sz w:val="16"/>
              </w:rPr>
              <w:t>Per event, per channel. Money-critical events are required to have an SMS row.</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notification_preferences</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12</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2</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4</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w:t>
            </w:r>
          </w:p>
        </w:tc>
        <w:tc>
          <w:tcPr>
            <w:tcW w:type="dxa" w:w="5126"/>
            <w:tcMar>
              <w:top w:w="60" w:type="dxa"/>
              <w:start w:w="110" w:type="dxa"/>
              <w:bottom w:w="60" w:type="dxa"/>
              <w:end w:w="110" w:type="dxa"/>
            </w:tcMar>
            <w:shd w:val="clear" w:color="auto" w:fill="F4F7FB"/>
          </w:tcPr>
          <w:p>
            <w:pPr>
              <w:spacing w:after="0"/>
            </w:pPr>
            <w:r/>
            <w:r>
              <w:rPr>
                <w:rFonts w:ascii="Calibri" w:hAnsi="Calibri"/>
                <w:b w:val="0"/>
                <w:i w:val="0"/>
                <w:color w:val="101828"/>
                <w:sz w:val="16"/>
              </w:rPr>
              <w:t>Per-member channel opt-outs. Money-critical and security-critical are not optional.</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6"/>
              </w:rPr>
              <w:t>support_tickets</w:t>
            </w:r>
          </w:p>
        </w:tc>
        <w:tc>
          <w:tcPr>
            <w:tcW w:type="dxa" w:w="518"/>
            <w:tcMar>
              <w:top w:w="60" w:type="dxa"/>
              <w:start w:w="110" w:type="dxa"/>
              <w:bottom w:w="60" w:type="dxa"/>
              <w:end w:w="110" w:type="dxa"/>
            </w:tcMar>
          </w:tcPr>
          <w:p>
            <w:pPr>
              <w:spacing w:after="0"/>
            </w:pPr>
            <w:r/>
            <w:r>
              <w:rPr>
                <w:rFonts w:ascii="Calibri" w:hAnsi="Calibri"/>
                <w:b w:val="0"/>
                <w:i w:val="0"/>
                <w:color w:val="101828"/>
                <w:sz w:val="16"/>
              </w:rPr>
              <w:t>15</w:t>
            </w:r>
          </w:p>
        </w:tc>
        <w:tc>
          <w:tcPr>
            <w:tcW w:type="dxa" w:w="518"/>
            <w:tcMar>
              <w:top w:w="60" w:type="dxa"/>
              <w:start w:w="110" w:type="dxa"/>
              <w:bottom w:w="60" w:type="dxa"/>
              <w:end w:w="110" w:type="dxa"/>
            </w:tcMar>
          </w:tcPr>
          <w:p>
            <w:pPr>
              <w:spacing w:after="0"/>
            </w:pPr>
            <w:r/>
            <w:r>
              <w:rPr>
                <w:rFonts w:ascii="Calibri" w:hAnsi="Calibri"/>
                <w:b w:val="0"/>
                <w:i w:val="0"/>
                <w:color w:val="101828"/>
                <w:sz w:val="16"/>
              </w:rPr>
              <w:t>3</w:t>
            </w:r>
          </w:p>
        </w:tc>
        <w:tc>
          <w:tcPr>
            <w:tcW w:type="dxa" w:w="518"/>
            <w:tcMar>
              <w:top w:w="60" w:type="dxa"/>
              <w:start w:w="110" w:type="dxa"/>
              <w:bottom w:w="60" w:type="dxa"/>
              <w:end w:w="110" w:type="dxa"/>
            </w:tcMar>
          </w:tcPr>
          <w:p>
            <w:pPr>
              <w:spacing w:after="0"/>
            </w:pPr>
            <w:r/>
            <w:r>
              <w:rPr>
                <w:rFonts w:ascii="Calibri" w:hAnsi="Calibri"/>
                <w:b w:val="0"/>
                <w:i w:val="0"/>
                <w:color w:val="101828"/>
                <w:sz w:val="16"/>
              </w:rPr>
              <w:t>5</w:t>
            </w:r>
          </w:p>
        </w:tc>
        <w:tc>
          <w:tcPr>
            <w:tcW w:type="dxa" w:w="518"/>
            <w:tcMar>
              <w:top w:w="60" w:type="dxa"/>
              <w:start w:w="110" w:type="dxa"/>
              <w:bottom w:w="60" w:type="dxa"/>
              <w:end w:w="110" w:type="dxa"/>
            </w:tcMar>
          </w:tcPr>
          <w:p>
            <w:pPr>
              <w:spacing w:after="0"/>
            </w:pPr>
            <w:r/>
            <w:r>
              <w:rPr>
                <w:rFonts w:ascii="Calibri" w:hAnsi="Calibri"/>
                <w:b w:val="0"/>
                <w:i w:val="0"/>
                <w:color w:val="101828"/>
                <w:sz w:val="16"/>
              </w:rPr>
              <w:t>1</w:t>
            </w:r>
          </w:p>
        </w:tc>
        <w:tc>
          <w:tcPr>
            <w:tcW w:type="dxa" w:w="5126"/>
            <w:tcMar>
              <w:top w:w="60" w:type="dxa"/>
              <w:start w:w="110" w:type="dxa"/>
              <w:bottom w:w="60" w:type="dxa"/>
              <w:end w:w="110" w:type="dxa"/>
            </w:tcMar>
          </w:tcPr>
          <w:p>
            <w:pPr>
              <w:spacing w:after="0"/>
            </w:pPr>
            <w:r/>
            <w:r>
              <w:rPr>
                <w:rFonts w:ascii="Calibri" w:hAnsi="Calibri"/>
                <w:b w:val="0"/>
                <w:i w:val="0"/>
                <w:color w:val="101828"/>
                <w:sz w:val="16"/>
              </w:rPr>
              <w:t>A support conversation, with the Ajo it concerns for context.</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audit_logs</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14</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6</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5</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2</w:t>
            </w:r>
          </w:p>
        </w:tc>
        <w:tc>
          <w:tcPr>
            <w:tcW w:type="dxa" w:w="5126"/>
            <w:tcMar>
              <w:top w:w="60" w:type="dxa"/>
              <w:start w:w="110" w:type="dxa"/>
              <w:bottom w:w="60" w:type="dxa"/>
              <w:end w:w="110" w:type="dxa"/>
            </w:tcMar>
            <w:shd w:val="clear" w:color="auto" w:fill="F4F7FB"/>
          </w:tcPr>
          <w:p>
            <w:pPr>
              <w:spacing w:after="0"/>
            </w:pPr>
            <w:r/>
            <w:r>
              <w:rPr>
                <w:rFonts w:ascii="Calibri" w:hAnsi="Calibri"/>
                <w:b w:val="0"/>
                <w:i w:val="0"/>
                <w:color w:val="101828"/>
                <w:sz w:val="16"/>
              </w:rPr>
              <w:t>Who changed what, with the before and after states, written by trigger.</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6"/>
              </w:rPr>
              <w:t>idempotency_keys</w:t>
            </w:r>
          </w:p>
        </w:tc>
        <w:tc>
          <w:tcPr>
            <w:tcW w:type="dxa" w:w="518"/>
            <w:tcMar>
              <w:top w:w="60" w:type="dxa"/>
              <w:start w:w="110" w:type="dxa"/>
              <w:bottom w:w="60" w:type="dxa"/>
              <w:end w:w="110" w:type="dxa"/>
            </w:tcMar>
          </w:tcPr>
          <w:p>
            <w:pPr>
              <w:spacing w:after="0"/>
            </w:pPr>
            <w:r/>
            <w:r>
              <w:rPr>
                <w:rFonts w:ascii="Calibri" w:hAnsi="Calibri"/>
                <w:b w:val="0"/>
                <w:i w:val="0"/>
                <w:color w:val="101828"/>
                <w:sz w:val="16"/>
              </w:rPr>
              <w:t>18</w:t>
            </w:r>
          </w:p>
        </w:tc>
        <w:tc>
          <w:tcPr>
            <w:tcW w:type="dxa" w:w="518"/>
            <w:tcMar>
              <w:top w:w="60" w:type="dxa"/>
              <w:start w:w="110" w:type="dxa"/>
              <w:bottom w:w="60" w:type="dxa"/>
              <w:end w:w="110" w:type="dxa"/>
            </w:tcMar>
          </w:tcPr>
          <w:p>
            <w:pPr>
              <w:spacing w:after="0"/>
            </w:pPr>
            <w:r/>
            <w:r>
              <w:rPr>
                <w:rFonts w:ascii="Calibri" w:hAnsi="Calibri"/>
                <w:b w:val="0"/>
                <w:i w:val="0"/>
                <w:color w:val="101828"/>
                <w:sz w:val="16"/>
              </w:rPr>
              <w:t>4</w:t>
            </w:r>
          </w:p>
        </w:tc>
        <w:tc>
          <w:tcPr>
            <w:tcW w:type="dxa" w:w="518"/>
            <w:tcMar>
              <w:top w:w="60" w:type="dxa"/>
              <w:start w:w="110" w:type="dxa"/>
              <w:bottom w:w="60" w:type="dxa"/>
              <w:end w:w="110" w:type="dxa"/>
            </w:tcMar>
          </w:tcPr>
          <w:p>
            <w:pPr>
              <w:spacing w:after="0"/>
            </w:pPr>
            <w:r/>
            <w:r>
              <w:rPr>
                <w:rFonts w:ascii="Calibri" w:hAnsi="Calibri"/>
                <w:b w:val="0"/>
                <w:i w:val="0"/>
                <w:color w:val="101828"/>
                <w:sz w:val="16"/>
              </w:rPr>
              <w:t>4</w:t>
            </w:r>
          </w:p>
        </w:tc>
        <w:tc>
          <w:tcPr>
            <w:tcW w:type="dxa" w:w="518"/>
            <w:tcMar>
              <w:top w:w="60" w:type="dxa"/>
              <w:start w:w="110" w:type="dxa"/>
              <w:bottom w:w="60" w:type="dxa"/>
              <w:end w:w="110" w:type="dxa"/>
            </w:tcMar>
          </w:tcPr>
          <w:p>
            <w:pPr>
              <w:spacing w:after="0"/>
            </w:pPr>
            <w:r/>
            <w:r>
              <w:rPr>
                <w:rFonts w:ascii="Calibri" w:hAnsi="Calibri"/>
                <w:b w:val="0"/>
                <w:i w:val="0"/>
                <w:color w:val="101828"/>
                <w:sz w:val="16"/>
              </w:rPr>
              <w:t>1</w:t>
            </w:r>
          </w:p>
        </w:tc>
        <w:tc>
          <w:tcPr>
            <w:tcW w:type="dxa" w:w="5126"/>
            <w:tcMar>
              <w:top w:w="60" w:type="dxa"/>
              <w:start w:w="110" w:type="dxa"/>
              <w:bottom w:w="60" w:type="dxa"/>
              <w:end w:w="110" w:type="dxa"/>
            </w:tcMar>
          </w:tcPr>
          <w:p>
            <w:pPr>
              <w:spacing w:after="0"/>
            </w:pPr>
            <w:r/>
            <w:r>
              <w:rPr>
                <w:rFonts w:ascii="Calibri" w:hAnsi="Calibri"/>
                <w:b w:val="0"/>
                <w:i w:val="0"/>
                <w:color w:val="101828"/>
                <w:sz w:val="16"/>
              </w:rPr>
              <w:t>The client-supplied key, its request hash and the response it produced.</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webhook_events</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17</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5</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2</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w:t>
            </w:r>
          </w:p>
        </w:tc>
        <w:tc>
          <w:tcPr>
            <w:tcW w:type="dxa" w:w="5126"/>
            <w:tcMar>
              <w:top w:w="60" w:type="dxa"/>
              <w:start w:w="110" w:type="dxa"/>
              <w:bottom w:w="60" w:type="dxa"/>
              <w:end w:w="110" w:type="dxa"/>
            </w:tcMar>
            <w:shd w:val="clear" w:color="auto" w:fill="F4F7FB"/>
          </w:tcPr>
          <w:p>
            <w:pPr>
              <w:spacing w:after="0"/>
            </w:pPr>
            <w:r/>
            <w:r>
              <w:rPr>
                <w:rFonts w:ascii="Calibri" w:hAnsi="Calibri"/>
                <w:b w:val="0"/>
                <w:i w:val="0"/>
                <w:color w:val="101828"/>
                <w:sz w:val="16"/>
              </w:rPr>
              <w:t>One provider event, stored before it is processed, so a replay is a no-op.</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6"/>
              </w:rPr>
              <w:t>outbox_events</w:t>
            </w:r>
          </w:p>
        </w:tc>
        <w:tc>
          <w:tcPr>
            <w:tcW w:type="dxa" w:w="518"/>
            <w:tcMar>
              <w:top w:w="60" w:type="dxa"/>
              <w:start w:w="110" w:type="dxa"/>
              <w:bottom w:w="60" w:type="dxa"/>
              <w:end w:w="110" w:type="dxa"/>
            </w:tcMar>
          </w:tcPr>
          <w:p>
            <w:pPr>
              <w:spacing w:after="0"/>
            </w:pPr>
            <w:r/>
            <w:r>
              <w:rPr>
                <w:rFonts w:ascii="Calibri" w:hAnsi="Calibri"/>
                <w:b w:val="0"/>
                <w:i w:val="0"/>
                <w:color w:val="101828"/>
                <w:sz w:val="16"/>
              </w:rPr>
              <w:t>13</w:t>
            </w:r>
          </w:p>
        </w:tc>
        <w:tc>
          <w:tcPr>
            <w:tcW w:type="dxa" w:w="518"/>
            <w:tcMar>
              <w:top w:w="60" w:type="dxa"/>
              <w:start w:w="110" w:type="dxa"/>
              <w:bottom w:w="60" w:type="dxa"/>
              <w:end w:w="110" w:type="dxa"/>
            </w:tcMar>
          </w:tcPr>
          <w:p>
            <w:pPr>
              <w:spacing w:after="0"/>
            </w:pPr>
            <w:r/>
            <w:r>
              <w:rPr>
                <w:rFonts w:ascii="Calibri" w:hAnsi="Calibri"/>
                <w:b w:val="0"/>
                <w:i w:val="0"/>
                <w:color w:val="101828"/>
                <w:sz w:val="16"/>
              </w:rPr>
              <w:t>2</w:t>
            </w:r>
          </w:p>
        </w:tc>
        <w:tc>
          <w:tcPr>
            <w:tcW w:type="dxa" w:w="518"/>
            <w:tcMar>
              <w:top w:w="60" w:type="dxa"/>
              <w:start w:w="110" w:type="dxa"/>
              <w:bottom w:w="60" w:type="dxa"/>
              <w:end w:w="110" w:type="dxa"/>
            </w:tcMar>
          </w:tcPr>
          <w:p>
            <w:pPr>
              <w:spacing w:after="0"/>
            </w:pPr>
            <w:r/>
            <w:r>
              <w:rPr>
                <w:rFonts w:ascii="Calibri" w:hAnsi="Calibri"/>
                <w:b w:val="0"/>
                <w:i w:val="0"/>
                <w:color w:val="101828"/>
                <w:sz w:val="16"/>
              </w:rPr>
              <w:t>1</w:t>
            </w:r>
          </w:p>
        </w:tc>
        <w:tc>
          <w:tcPr>
            <w:tcW w:type="dxa" w:w="518"/>
            <w:tcMar>
              <w:top w:w="60" w:type="dxa"/>
              <w:start w:w="110" w:type="dxa"/>
              <w:bottom w:w="60" w:type="dxa"/>
              <w:end w:w="110" w:type="dxa"/>
            </w:tcMar>
          </w:tcPr>
          <w:p>
            <w:pPr>
              <w:spacing w:after="0"/>
            </w:pPr>
            <w:r/>
            <w:r>
              <w:rPr>
                <w:rFonts w:ascii="Calibri" w:hAnsi="Calibri"/>
                <w:b w:val="0"/>
                <w:i w:val="0"/>
                <w:color w:val="101828"/>
                <w:sz w:val="16"/>
              </w:rPr>
              <w:t>1</w:t>
            </w:r>
          </w:p>
        </w:tc>
        <w:tc>
          <w:tcPr>
            <w:tcW w:type="dxa" w:w="5126"/>
            <w:tcMar>
              <w:top w:w="60" w:type="dxa"/>
              <w:start w:w="110" w:type="dxa"/>
              <w:bottom w:w="60" w:type="dxa"/>
              <w:end w:w="110" w:type="dxa"/>
            </w:tcMar>
          </w:tcPr>
          <w:p>
            <w:pPr>
              <w:spacing w:after="0"/>
            </w:pPr>
            <w:r/>
            <w:r>
              <w:rPr>
                <w:rFonts w:ascii="Calibri" w:hAnsi="Calibri"/>
                <w:b w:val="0"/>
                <w:i w:val="0"/>
                <w:color w:val="101828"/>
                <w:sz w:val="16"/>
              </w:rPr>
              <w:t>The transactional outbox: work to do, written in the same transaction as the state change.</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platform_settings</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9</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w:t>
            </w:r>
          </w:p>
        </w:tc>
        <w:tc>
          <w:tcPr>
            <w:tcW w:type="dxa" w:w="5126"/>
            <w:tcMar>
              <w:top w:w="60" w:type="dxa"/>
              <w:start w:w="110" w:type="dxa"/>
              <w:bottom w:w="60" w:type="dxa"/>
              <w:end w:w="110" w:type="dxa"/>
            </w:tcMar>
            <w:shd w:val="clear" w:color="auto" w:fill="F4F7FB"/>
          </w:tcPr>
          <w:p>
            <w:pPr>
              <w:spacing w:after="0"/>
            </w:pPr>
            <w:r/>
            <w:r>
              <w:rPr>
                <w:rFonts w:ascii="Calibri" w:hAnsi="Calibri"/>
                <w:b w:val="0"/>
                <w:i w:val="0"/>
                <w:color w:val="101828"/>
                <w:sz w:val="16"/>
              </w:rPr>
              <w:t>Platform-wide configuration, readable by members, writable only by migration.</w:t>
            </w:r>
          </w:p>
        </w:tc>
      </w:tr>
      <w:tr>
        <w:trPr>
          <w:cantSplit/>
        </w:trPr>
        <w:tc>
          <w:tcPr>
            <w:tcW w:type="dxa" w:w="2160"/>
            <w:tcMar>
              <w:top w:w="60" w:type="dxa"/>
              <w:start w:w="110" w:type="dxa"/>
              <w:bottom w:w="60" w:type="dxa"/>
              <w:end w:w="110" w:type="dxa"/>
            </w:tcMar>
          </w:tcPr>
          <w:p>
            <w:pPr>
              <w:spacing w:after="0"/>
            </w:pPr>
            <w:r/>
            <w:r>
              <w:rPr>
                <w:rFonts w:ascii="Consolas" w:hAnsi="Consolas"/>
                <w:color w:val="146EF5"/>
                <w:sz w:val="16"/>
              </w:rPr>
              <w:t>contribution_frequencies</w:t>
            </w:r>
          </w:p>
        </w:tc>
        <w:tc>
          <w:tcPr>
            <w:tcW w:type="dxa" w:w="518"/>
            <w:tcMar>
              <w:top w:w="60" w:type="dxa"/>
              <w:start w:w="110" w:type="dxa"/>
              <w:bottom w:w="60" w:type="dxa"/>
              <w:end w:w="110" w:type="dxa"/>
            </w:tcMar>
          </w:tcPr>
          <w:p>
            <w:pPr>
              <w:spacing w:after="0"/>
            </w:pPr>
            <w:r/>
            <w:r>
              <w:rPr>
                <w:rFonts w:ascii="Calibri" w:hAnsi="Calibri"/>
                <w:b w:val="0"/>
                <w:i w:val="0"/>
                <w:color w:val="101828"/>
                <w:sz w:val="16"/>
              </w:rPr>
              <w:t>11</w:t>
            </w:r>
          </w:p>
        </w:tc>
        <w:tc>
          <w:tcPr>
            <w:tcW w:type="dxa" w:w="518"/>
            <w:tcMar>
              <w:top w:w="60" w:type="dxa"/>
              <w:start w:w="110" w:type="dxa"/>
              <w:bottom w:w="60" w:type="dxa"/>
              <w:end w:w="110" w:type="dxa"/>
            </w:tcMar>
          </w:tcPr>
          <w:p>
            <w:pPr>
              <w:spacing w:after="0"/>
            </w:pPr>
            <w:r/>
            <w:r>
              <w:rPr>
                <w:rFonts w:ascii="Calibri" w:hAnsi="Calibri"/>
                <w:b w:val="0"/>
                <w:i w:val="0"/>
                <w:color w:val="101828"/>
                <w:sz w:val="16"/>
              </w:rPr>
              <w:t>2</w:t>
            </w:r>
          </w:p>
        </w:tc>
        <w:tc>
          <w:tcPr>
            <w:tcW w:type="dxa" w:w="518"/>
            <w:tcMar>
              <w:top w:w="60" w:type="dxa"/>
              <w:start w:w="110" w:type="dxa"/>
              <w:bottom w:w="60" w:type="dxa"/>
              <w:end w:w="110" w:type="dxa"/>
            </w:tcMar>
          </w:tcPr>
          <w:p>
            <w:pPr>
              <w:spacing w:after="0"/>
            </w:pPr>
            <w:r/>
            <w:r>
              <w:rPr>
                <w:rFonts w:ascii="Calibri" w:hAnsi="Calibri"/>
                <w:b w:val="0"/>
                <w:i w:val="0"/>
                <w:color w:val="101828"/>
                <w:sz w:val="16"/>
              </w:rPr>
              <w:t>3</w:t>
            </w:r>
          </w:p>
        </w:tc>
        <w:tc>
          <w:tcPr>
            <w:tcW w:type="dxa" w:w="518"/>
            <w:tcMar>
              <w:top w:w="60" w:type="dxa"/>
              <w:start w:w="110" w:type="dxa"/>
              <w:bottom w:w="60" w:type="dxa"/>
              <w:end w:w="110" w:type="dxa"/>
            </w:tcMar>
          </w:tcPr>
          <w:p>
            <w:pPr>
              <w:spacing w:after="0"/>
            </w:pPr>
            <w:r/>
            <w:r>
              <w:rPr>
                <w:rFonts w:ascii="Calibri" w:hAnsi="Calibri"/>
                <w:b w:val="0"/>
                <w:i w:val="0"/>
                <w:color w:val="101828"/>
                <w:sz w:val="16"/>
              </w:rPr>
              <w:t>1</w:t>
            </w:r>
          </w:p>
        </w:tc>
        <w:tc>
          <w:tcPr>
            <w:tcW w:type="dxa" w:w="5126"/>
            <w:tcMar>
              <w:top w:w="60" w:type="dxa"/>
              <w:start w:w="110" w:type="dxa"/>
              <w:bottom w:w="60" w:type="dxa"/>
              <w:end w:w="110" w:type="dxa"/>
            </w:tcMar>
          </w:tcPr>
          <w:p>
            <w:pPr>
              <w:spacing w:after="0"/>
            </w:pPr>
            <w:r/>
            <w:r>
              <w:rPr>
                <w:rFonts w:ascii="Calibri" w:hAnsi="Calibri"/>
                <w:b w:val="0"/>
                <w:i w:val="0"/>
                <w:color w:val="101828"/>
                <w:sz w:val="16"/>
              </w:rPr>
              <w:t>Monthly, weekly and similar. Reference data.</w:t>
            </w:r>
          </w:p>
        </w:tc>
      </w:tr>
      <w:tr>
        <w:trPr>
          <w:cantSplit/>
        </w:trPr>
        <w:tc>
          <w:tcPr>
            <w:tcW w:type="dxa" w:w="2160"/>
            <w:tcMar>
              <w:top w:w="60" w:type="dxa"/>
              <w:start w:w="110" w:type="dxa"/>
              <w:bottom w:w="60" w:type="dxa"/>
              <w:end w:w="110" w:type="dxa"/>
            </w:tcMar>
            <w:shd w:val="clear" w:color="auto" w:fill="F4F7FB"/>
          </w:tcPr>
          <w:p>
            <w:pPr>
              <w:spacing w:after="0"/>
            </w:pPr>
            <w:r/>
            <w:r>
              <w:rPr>
                <w:rFonts w:ascii="Consolas" w:hAnsi="Consolas"/>
                <w:color w:val="146EF5"/>
                <w:sz w:val="16"/>
              </w:rPr>
              <w:t>payment_channels</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13</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2</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3</w:t>
            </w:r>
          </w:p>
        </w:tc>
        <w:tc>
          <w:tcPr>
            <w:tcW w:type="dxa" w:w="518"/>
            <w:tcMar>
              <w:top w:w="60" w:type="dxa"/>
              <w:start w:w="110" w:type="dxa"/>
              <w:bottom w:w="60" w:type="dxa"/>
              <w:end w:w="110" w:type="dxa"/>
            </w:tcMar>
            <w:shd w:val="clear" w:color="auto" w:fill="F4F7FB"/>
          </w:tcPr>
          <w:p>
            <w:pPr>
              <w:spacing w:after="0"/>
            </w:pPr>
            <w:r/>
            <w:r>
              <w:rPr>
                <w:rFonts w:ascii="Calibri" w:hAnsi="Calibri"/>
                <w:b w:val="0"/>
                <w:i w:val="0"/>
                <w:color w:val="101828"/>
                <w:sz w:val="16"/>
              </w:rPr>
              <w:t>1</w:t>
            </w:r>
          </w:p>
        </w:tc>
        <w:tc>
          <w:tcPr>
            <w:tcW w:type="dxa" w:w="5126"/>
            <w:tcMar>
              <w:top w:w="60" w:type="dxa"/>
              <w:start w:w="110" w:type="dxa"/>
              <w:bottom w:w="60" w:type="dxa"/>
              <w:end w:w="110" w:type="dxa"/>
            </w:tcMar>
            <w:shd w:val="clear" w:color="auto" w:fill="F4F7FB"/>
          </w:tcPr>
          <w:p>
            <w:pPr>
              <w:spacing w:after="0"/>
            </w:pPr>
            <w:r/>
            <w:r>
              <w:rPr>
                <w:rFonts w:ascii="Calibri" w:hAnsi="Calibri"/>
                <w:b w:val="0"/>
                <w:i w:val="0"/>
                <w:color w:val="101828"/>
                <w:sz w:val="16"/>
              </w:rPr>
              <w:t>Card, bank transfer and the rest, with what each requires. Reference data.</w:t>
            </w:r>
          </w:p>
        </w:tc>
      </w:tr>
    </w:tbl>
    <w:p>
      <w:pPr>
        <w:spacing w:after="80"/>
      </w:pPr>
    </w:p>
    <w:p>
      <w:r>
        <w:rPr>
          <w:rFonts w:ascii="Calibri" w:hAnsi="Calibri"/>
          <w:b w:val="0"/>
          <w:i w:val="0"/>
          <w:color w:val="101828"/>
          <w:sz w:val="21"/>
        </w:rPr>
        <w:t xml:space="preserve">Section 8 names twenty-seven core entities and ten supporting ones. The three tables above that section 8 does not carry are </w:t>
      </w:r>
      <w:r>
        <w:rPr>
          <w:rFonts w:ascii="Consolas" w:hAnsi="Consolas"/>
          <w:color w:val="146EF5"/>
          <w:sz w:val="21"/>
        </w:rPr>
        <w:t>document_types</w:t>
      </w:r>
      <w:r>
        <w:rPr>
          <w:rFonts w:ascii="Calibri" w:hAnsi="Calibri"/>
          <w:b w:val="0"/>
          <w:i w:val="0"/>
          <w:color w:val="101828"/>
          <w:sz w:val="21"/>
        </w:rPr>
        <w:t xml:space="preserve">, </w:t>
      </w:r>
      <w:r>
        <w:rPr>
          <w:rFonts w:ascii="Consolas" w:hAnsi="Consolas"/>
          <w:color w:val="146EF5"/>
          <w:sz w:val="21"/>
        </w:rPr>
        <w:t>verification_check_types</w:t>
      </w:r>
      <w:r>
        <w:rPr>
          <w:rFonts w:ascii="Calibri" w:hAnsi="Calibri"/>
          <w:b w:val="0"/>
          <w:i w:val="0"/>
          <w:color w:val="101828"/>
          <w:sz w:val="21"/>
        </w:rPr>
        <w:t xml:space="preserve"> and </w:t>
      </w:r>
      <w:r>
        <w:rPr>
          <w:rFonts w:ascii="Consolas" w:hAnsi="Consolas"/>
          <w:color w:val="146EF5"/>
          <w:sz w:val="21"/>
        </w:rPr>
        <w:t>dispute_reasons</w:t>
      </w:r>
      <w:r>
        <w:rPr>
          <w:rFonts w:ascii="Calibri" w:hAnsi="Calibri"/>
          <w:b w:val="0"/>
          <w:i w:val="0"/>
          <w:color w:val="101828"/>
          <w:sz w:val="21"/>
        </w:rPr>
        <w:t xml:space="preserve">. They exist because the alternative is worse in each case: a </w:t>
      </w:r>
      <w:r>
        <w:rPr>
          <w:rFonts w:ascii="Consolas" w:hAnsi="Consolas"/>
          <w:color w:val="146EF5"/>
          <w:sz w:val="21"/>
        </w:rPr>
        <w:t>doc_type</w:t>
      </w:r>
      <w:r>
        <w:rPr>
          <w:rFonts w:ascii="Calibri" w:hAnsi="Calibri"/>
          <w:b w:val="0"/>
          <w:i w:val="0"/>
          <w:color w:val="101828"/>
          <w:sz w:val="21"/>
        </w:rPr>
        <w:t xml:space="preserve"> text column on </w:t>
      </w:r>
      <w:r>
        <w:rPr>
          <w:rFonts w:ascii="Consolas" w:hAnsi="Consolas"/>
          <w:color w:val="146EF5"/>
          <w:sz w:val="21"/>
        </w:rPr>
        <w:t>documents</w:t>
      </w:r>
      <w:r>
        <w:rPr>
          <w:rFonts w:ascii="Calibri" w:hAnsi="Calibri"/>
          <w:b w:val="0"/>
          <w:i w:val="0"/>
          <w:color w:val="101828"/>
          <w:sz w:val="21"/>
        </w:rPr>
        <w:t xml:space="preserve"> that support cannot enumerate, a hard-coded enum of check kinds that a migration has to </w:t>
      </w:r>
      <w:r>
        <w:rPr>
          <w:rFonts w:ascii="Consolas" w:hAnsi="Consolas"/>
          <w:color w:val="146EF5"/>
          <w:sz w:val="21"/>
        </w:rPr>
        <w:t>ALTER</w:t>
      </w:r>
      <w:r>
        <w:rPr>
          <w:rFonts w:ascii="Calibri" w:hAnsi="Calibri"/>
          <w:b w:val="0"/>
          <w:i w:val="0"/>
          <w:color w:val="101828"/>
          <w:sz w:val="21"/>
        </w:rPr>
        <w:t xml:space="preserve"> to add one, and a free-text dispute reason that produces a report nobody can group by. They are reference data, seeded by migration, and in 9.6 they are readable by any signed-in user and writable by nobody at runtime.</w:t>
      </w:r>
    </w:p>
    <w:p>
      <w:r>
        <w:rPr>
          <w:rFonts w:ascii="Calibri" w:hAnsi="Calibri"/>
          <w:b w:val="0"/>
          <w:i w:val="0"/>
          <w:color w:val="101828"/>
          <w:sz w:val="21"/>
        </w:rPr>
        <w:t xml:space="preserve">Two tables deserve a note on their column counts. </w:t>
      </w:r>
      <w:r>
        <w:rPr>
          <w:rFonts w:ascii="Consolas" w:hAnsi="Consolas"/>
          <w:color w:val="146EF5"/>
          <w:sz w:val="21"/>
        </w:rPr>
        <w:t>outbox_events</w:t>
      </w:r>
      <w:r>
        <w:rPr>
          <w:rFonts w:ascii="Calibri" w:hAnsi="Calibri"/>
          <w:b w:val="0"/>
          <w:i w:val="0"/>
          <w:color w:val="101828"/>
          <w:sz w:val="21"/>
        </w:rPr>
        <w:t xml:space="preserve"> has one constraint, its primary key, and no foreign key, which looks like an omission and is a deliberate trade: the outbox is the one place where a row must be writable by any future producer, and a foreign key to a specific aggregate would pin the queue to the aggregate that happened to exist first. The payload is JSON and the consumer is the only thing that may interpret it. </w:t>
      </w:r>
      <w:r>
        <w:rPr>
          <w:rFonts w:ascii="Consolas" w:hAnsi="Consolas"/>
          <w:color w:val="146EF5"/>
          <w:sz w:val="21"/>
        </w:rPr>
        <w:t>roles</w:t>
      </w:r>
      <w:r>
        <w:rPr>
          <w:rFonts w:ascii="Calibri" w:hAnsi="Calibri"/>
          <w:b w:val="0"/>
          <w:i w:val="0"/>
          <w:color w:val="101828"/>
          <w:sz w:val="21"/>
        </w:rPr>
        <w:t xml:space="preserve"> has no constraints and no triggers at all, because it is six columns of reference data that a migration owns entirely.</w:t>
      </w:r>
    </w:p>
    <w:p>
      <w:pPr>
        <w:pStyle w:val="Heading3"/>
      </w:pPr>
      <w:r>
        <w:rPr>
          <w:rFonts w:ascii="Calibri" w:hAnsi="Calibri"/>
          <w:b/>
          <w:i w:val="0"/>
          <w:color w:val="0B1F3A"/>
          <w:sz w:val="24"/>
        </w:rPr>
        <w:t>9.3.1 Identity and access</w:t>
      </w:r>
    </w:p>
    <w:p>
      <w:pPr>
        <w:spacing w:before="0" w:after="0" w:line="240" w:lineRule="auto"/>
        <w:ind w:left="230"/>
        <w:shd w:val="clear" w:color="auto" w:fill="F7F9FC"/>
        <w:pBdr>
          <w:left w:val="single" w:sz="4" w:space="6" w:color="D0D5DD"/>
        </w:pBdr>
      </w:pPr>
      <w:r>
        <w:rPr>
          <w:rFonts w:ascii="Consolas" w:hAnsi="Consolas"/>
          <w:color w:val="0B1F3A"/>
          <w:sz w:val="16"/>
        </w:rPr>
        <w:t>CREATE TABLE users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id                 uuid        PRIMARY KEY DEFAULT app.uuidv7(),</w:t>
      </w:r>
    </w:p>
    <w:p>
      <w:pPr>
        <w:spacing w:before="0" w:after="0" w:line="240" w:lineRule="auto"/>
        <w:ind w:left="230"/>
        <w:shd w:val="clear" w:color="auto" w:fill="F7F9FC"/>
        <w:pBdr>
          <w:left w:val="single" w:sz="4" w:space="6" w:color="D0D5DD"/>
        </w:pBdr>
      </w:pPr>
      <w:r>
        <w:rPr>
          <w:rFonts w:ascii="Consolas" w:hAnsi="Consolas"/>
          <w:color w:val="0B1F3A"/>
          <w:sz w:val="16"/>
        </w:rPr>
        <w:t xml:space="preserve">  auth_subject_id    text        NOT NULL UNIQUE,</w:t>
      </w:r>
    </w:p>
    <w:p>
      <w:pPr>
        <w:spacing w:before="0" w:after="0" w:line="240" w:lineRule="auto"/>
        <w:ind w:left="230"/>
        <w:shd w:val="clear" w:color="auto" w:fill="F7F9FC"/>
        <w:pBdr>
          <w:left w:val="single" w:sz="4" w:space="6" w:color="D0D5DD"/>
        </w:pBdr>
      </w:pPr>
      <w:r>
        <w:rPr>
          <w:rFonts w:ascii="Consolas" w:hAnsi="Consolas"/>
          <w:color w:val="0B1F3A"/>
          <w:sz w:val="16"/>
        </w:rPr>
        <w:t xml:space="preserve">  email              citext      NOT NULL UNIQUE,</w:t>
      </w:r>
    </w:p>
    <w:p>
      <w:pPr>
        <w:spacing w:before="0" w:after="0" w:line="240" w:lineRule="auto"/>
        <w:ind w:left="230"/>
        <w:shd w:val="clear" w:color="auto" w:fill="F7F9FC"/>
        <w:pBdr>
          <w:left w:val="single" w:sz="4" w:space="6" w:color="D0D5DD"/>
        </w:pBdr>
      </w:pPr>
      <w:r>
        <w:rPr>
          <w:rFonts w:ascii="Consolas" w:hAnsi="Consolas"/>
          <w:color w:val="0B1F3A"/>
          <w:sz w:val="16"/>
        </w:rPr>
        <w:t xml:space="preserve">  phone_e164         text        UNIQUE,</w:t>
      </w:r>
    </w:p>
    <w:p>
      <w:pPr>
        <w:spacing w:before="0" w:after="0" w:line="240" w:lineRule="auto"/>
        <w:ind w:left="230"/>
        <w:shd w:val="clear" w:color="auto" w:fill="F7F9FC"/>
        <w:pBdr>
          <w:left w:val="single" w:sz="4" w:space="6" w:color="D0D5DD"/>
        </w:pBdr>
      </w:pPr>
      <w:r>
        <w:rPr>
          <w:rFonts w:ascii="Consolas" w:hAnsi="Consolas"/>
          <w:color w:val="0B1F3A"/>
          <w:sz w:val="16"/>
        </w:rPr>
        <w:t xml:space="preserve">  status             user_status NOT NULL DEFAULT 'pending_verification',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is_email_verified  boolean     NOT NULL DEFAULT false,</w:t>
      </w:r>
    </w:p>
    <w:p>
      <w:pPr>
        <w:spacing w:before="0" w:after="0" w:line="240" w:lineRule="auto"/>
        <w:ind w:left="230"/>
        <w:shd w:val="clear" w:color="auto" w:fill="F7F9FC"/>
        <w:pBdr>
          <w:left w:val="single" w:sz="4" w:space="6" w:color="D0D5DD"/>
        </w:pBdr>
      </w:pPr>
      <w:r>
        <w:rPr>
          <w:rFonts w:ascii="Consolas" w:hAnsi="Consolas"/>
          <w:color w:val="0B1F3A"/>
          <w:sz w:val="16"/>
        </w:rPr>
        <w:t xml:space="preserve">  is_phone_verified  boolean     NOT NULL DEFAULT false,</w:t>
      </w:r>
    </w:p>
    <w:p>
      <w:pPr>
        <w:spacing w:before="0" w:after="0" w:line="240" w:lineRule="auto"/>
        <w:ind w:left="230"/>
        <w:shd w:val="clear" w:color="auto" w:fill="F7F9FC"/>
        <w:pBdr>
          <w:left w:val="single" w:sz="4" w:space="6" w:color="D0D5DD"/>
        </w:pBdr>
      </w:pPr>
      <w:r>
        <w:rPr>
          <w:rFonts w:ascii="Consolas" w:hAnsi="Consolas"/>
          <w:color w:val="0B1F3A"/>
          <w:sz w:val="16"/>
        </w:rPr>
        <w:t xml:space="preserve">  last_seen_at       timestamptz,</w:t>
      </w:r>
    </w:p>
    <w:p>
      <w:pPr>
        <w:spacing w:before="0" w:after="0" w:line="240" w:lineRule="auto"/>
        <w:ind w:left="230"/>
        <w:shd w:val="clear" w:color="auto" w:fill="F7F9FC"/>
        <w:pBdr>
          <w:left w:val="single" w:sz="4" w:space="6" w:color="D0D5DD"/>
        </w:pBdr>
      </w:pPr>
      <w:r>
        <w:rPr>
          <w:rFonts w:ascii="Consolas" w:hAnsi="Consolas"/>
          <w:color w:val="0B1F3A"/>
          <w:sz w:val="16"/>
        </w:rPr>
        <w:t xml:space="preserve">  created_at         timestamptz NOT NULL DEFAULT now(),</w:t>
      </w:r>
    </w:p>
    <w:p>
      <w:pPr>
        <w:spacing w:before="0" w:after="0" w:line="240" w:lineRule="auto"/>
        <w:ind w:left="230"/>
        <w:shd w:val="clear" w:color="auto" w:fill="F7F9FC"/>
        <w:pBdr>
          <w:left w:val="single" w:sz="4" w:space="6" w:color="D0D5DD"/>
        </w:pBdr>
      </w:pPr>
      <w:r>
        <w:rPr>
          <w:rFonts w:ascii="Consolas" w:hAnsi="Consolas"/>
          <w:color w:val="0B1F3A"/>
          <w:sz w:val="16"/>
        </w:rPr>
        <w:t xml:space="preserve">  updated_at         timestamptz NOT NULL DEFAULT now(),</w:t>
      </w:r>
    </w:p>
    <w:p>
      <w:pPr>
        <w:spacing w:before="0" w:after="0" w:line="240" w:lineRule="auto"/>
        <w:ind w:left="230"/>
        <w:shd w:val="clear" w:color="auto" w:fill="F7F9FC"/>
        <w:pBdr>
          <w:left w:val="single" w:sz="4" w:space="6" w:color="D0D5DD"/>
        </w:pBdr>
      </w:pPr>
      <w:r>
        <w:rPr>
          <w:rFonts w:ascii="Consolas" w:hAnsi="Consolas"/>
          <w:color w:val="0B1F3A"/>
          <w:sz w:val="16"/>
        </w:rPr>
        <w:t xml:space="preserve">  deleted_at         timestamptz,</w:t>
      </w:r>
    </w:p>
    <w:p>
      <w:pPr>
        <w:spacing w:before="0" w:after="0" w:line="240" w:lineRule="auto"/>
        <w:ind w:left="230"/>
        <w:shd w:val="clear" w:color="auto" w:fill="F7F9FC"/>
        <w:pBdr>
          <w:left w:val="single" w:sz="4" w:space="6" w:color="D0D5DD"/>
        </w:pBdr>
      </w:pPr>
      <w:r>
        <w:rPr>
          <w:rFonts w:ascii="Consolas" w:hAnsi="Consolas"/>
          <w:color w:val="0B1F3A"/>
          <w:sz w:val="16"/>
        </w:rPr>
        <w:t xml:space="preserve">  version            integer     NOT NULL DEFAULT 1,</w:t>
      </w:r>
    </w:p>
    <w:p>
      <w:pPr>
        <w:spacing w:before="0" w:after="0" w:line="240" w:lineRule="auto"/>
        <w:ind w:left="230"/>
        <w:shd w:val="clear" w:color="auto" w:fill="F7F9FC"/>
        <w:pBdr>
          <w:left w:val="single" w:sz="4" w:space="6" w:color="D0D5DD"/>
        </w:pBdr>
      </w:pPr>
      <w:r>
        <w:rPr>
          <w:rFonts w:ascii="Consolas" w:hAnsi="Consolas"/>
          <w:color w:val="0B1F3A"/>
          <w:sz w:val="16"/>
        </w:rPr>
        <w:t xml:space="preserve">  CONSTRAINT users_phone_e164_format</w:t>
      </w:r>
    </w:p>
    <w:p>
      <w:pPr>
        <w:spacing w:before="0" w:after="0" w:line="240" w:lineRule="auto"/>
        <w:ind w:left="230"/>
        <w:shd w:val="clear" w:color="auto" w:fill="F7F9FC"/>
        <w:pBdr>
          <w:left w:val="single" w:sz="4" w:space="6" w:color="D0D5DD"/>
        </w:pBdr>
      </w:pPr>
      <w:r>
        <w:rPr>
          <w:rFonts w:ascii="Consolas" w:hAnsi="Consolas"/>
          <w:color w:val="0B1F3A"/>
          <w:sz w:val="16"/>
        </w:rPr>
        <w:t xml:space="preserve">    CHECK (phone_e164 IS NULL OR phone_e164 ~ '^\+[1-9][0-9]{7,14}$')</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val="0"/>
          <w:i w:val="0"/>
          <w:color w:val="101828"/>
          <w:sz w:val="21"/>
        </w:rPr>
        <w:t xml:space="preserve">Three details there are decisions rather than typing. </w:t>
      </w:r>
      <w:r>
        <w:rPr>
          <w:rFonts w:ascii="Consolas" w:hAnsi="Consolas"/>
          <w:color w:val="146EF5"/>
          <w:sz w:val="21"/>
        </w:rPr>
        <w:t>auth_subject_id</w:t>
      </w:r>
      <w:r>
        <w:rPr>
          <w:rFonts w:ascii="Calibri" w:hAnsi="Calibri"/>
          <w:b w:val="0"/>
          <w:i w:val="0"/>
          <w:color w:val="101828"/>
          <w:sz w:val="21"/>
        </w:rPr>
        <w:t xml:space="preserve"> is </w:t>
      </w:r>
      <w:r>
        <w:rPr>
          <w:rFonts w:ascii="Consolas" w:hAnsi="Consolas"/>
          <w:color w:val="146EF5"/>
          <w:sz w:val="21"/>
        </w:rPr>
        <w:t>text</w:t>
      </w:r>
      <w:r>
        <w:rPr>
          <w:rFonts w:ascii="Calibri" w:hAnsi="Calibri"/>
          <w:b w:val="0"/>
          <w:i w:val="0"/>
          <w:color w:val="101828"/>
          <w:sz w:val="21"/>
        </w:rPr>
        <w:t xml:space="preserve"> and not a </w:t>
      </w:r>
      <w:r>
        <w:rPr>
          <w:rFonts w:ascii="Consolas" w:hAnsi="Consolas"/>
          <w:color w:val="146EF5"/>
          <w:sz w:val="21"/>
        </w:rPr>
        <w:t>uuid</w:t>
      </w:r>
      <w:r>
        <w:rPr>
          <w:rFonts w:ascii="Calibri" w:hAnsi="Calibri"/>
          <w:b w:val="0"/>
          <w:i w:val="0"/>
          <w:color w:val="101828"/>
          <w:sz w:val="21"/>
        </w:rPr>
        <w:t xml:space="preserve">, because the auth provider's subject format is not ours to assume and a provider that changes it should cost a migration rather than an outage. </w:t>
      </w:r>
      <w:r>
        <w:rPr>
          <w:rFonts w:ascii="Consolas" w:hAnsi="Consolas"/>
          <w:color w:val="146EF5"/>
          <w:sz w:val="21"/>
        </w:rPr>
        <w:t>email</w:t>
      </w:r>
      <w:r>
        <w:rPr>
          <w:rFonts w:ascii="Calibri" w:hAnsi="Calibri"/>
          <w:b w:val="0"/>
          <w:i w:val="0"/>
          <w:color w:val="101828"/>
          <w:sz w:val="21"/>
        </w:rPr>
        <w:t xml:space="preserve"> is </w:t>
      </w:r>
      <w:r>
        <w:rPr>
          <w:rFonts w:ascii="Consolas" w:hAnsi="Consolas"/>
          <w:color w:val="146EF5"/>
          <w:sz w:val="21"/>
        </w:rPr>
        <w:t>citext</w:t>
      </w:r>
      <w:r>
        <w:rPr>
          <w:rFonts w:ascii="Calibri" w:hAnsi="Calibri"/>
          <w:b w:val="0"/>
          <w:i w:val="0"/>
          <w:color w:val="101828"/>
          <w:sz w:val="21"/>
        </w:rPr>
        <w:t xml:space="preserve">, so </w:t>
      </w:r>
      <w:r>
        <w:rPr>
          <w:rFonts w:ascii="Consolas" w:hAnsi="Consolas"/>
          <w:color w:val="146EF5"/>
          <w:sz w:val="21"/>
        </w:rPr>
        <w:t>Alice@example.ng</w:t>
      </w:r>
      <w:r>
        <w:rPr>
          <w:rFonts w:ascii="Calibri" w:hAnsi="Calibri"/>
          <w:b w:val="0"/>
          <w:i w:val="0"/>
          <w:color w:val="101828"/>
          <w:sz w:val="21"/>
        </w:rPr>
        <w:t xml:space="preserve"> and </w:t>
      </w:r>
      <w:r>
        <w:rPr>
          <w:rFonts w:ascii="Consolas" w:hAnsi="Consolas"/>
          <w:color w:val="146EF5"/>
          <w:sz w:val="21"/>
        </w:rPr>
        <w:t>alice@example.ng</w:t>
      </w:r>
      <w:r>
        <w:rPr>
          <w:rFonts w:ascii="Calibri" w:hAnsi="Calibri"/>
          <w:b w:val="0"/>
          <w:i w:val="0"/>
          <w:color w:val="101828"/>
          <w:sz w:val="21"/>
        </w:rPr>
        <w:t xml:space="preserve"> cannot both exist and no query has to remember a </w:t>
      </w:r>
      <w:r>
        <w:rPr>
          <w:rFonts w:ascii="Consolas" w:hAnsi="Consolas"/>
          <w:color w:val="146EF5"/>
          <w:sz w:val="21"/>
        </w:rPr>
        <w:t>lower()</w:t>
      </w:r>
      <w:r>
        <w:rPr>
          <w:rFonts w:ascii="Calibri" w:hAnsi="Calibri"/>
          <w:b w:val="0"/>
          <w:i w:val="0"/>
          <w:color w:val="101828"/>
          <w:sz w:val="21"/>
        </w:rPr>
        <w:t xml:space="preserve">. The phone CHECK accepts E.164 and nothing else, so a number stored as </w:t>
      </w:r>
      <w:r>
        <w:rPr>
          <w:rFonts w:ascii="Consolas" w:hAnsi="Consolas"/>
          <w:color w:val="146EF5"/>
          <w:sz w:val="21"/>
        </w:rPr>
        <w:t>0803...</w:t>
      </w:r>
      <w:r>
        <w:rPr>
          <w:rFonts w:ascii="Calibri" w:hAnsi="Calibri"/>
          <w:b w:val="0"/>
          <w:i w:val="0"/>
          <w:color w:val="101828"/>
          <w:sz w:val="21"/>
        </w:rPr>
        <w:t xml:space="preserve"> cannot later be compared against one a provider sent as </w:t>
      </w:r>
      <w:r>
        <w:rPr>
          <w:rFonts w:ascii="Consolas" w:hAnsi="Consolas"/>
          <w:color w:val="146EF5"/>
          <w:sz w:val="21"/>
        </w:rPr>
        <w:t>+234803...</w:t>
      </w:r>
      <w:r>
        <w:rPr>
          <w:rFonts w:ascii="Calibri" w:hAnsi="Calibri"/>
          <w:b w:val="0"/>
          <w:i w:val="0"/>
          <w:color w:val="101828"/>
          <w:sz w:val="21"/>
        </w:rPr>
        <w:t xml:space="preserve"> and quietly fail to match.</w:t>
      </w:r>
    </w:p>
    <w:p>
      <w:pPr>
        <w:pStyle w:val="Heading3"/>
      </w:pPr>
      <w:r>
        <w:rPr>
          <w:rFonts w:ascii="Calibri" w:hAnsi="Calibri"/>
          <w:b/>
          <w:i w:val="0"/>
          <w:color w:val="0B1F3A"/>
          <w:sz w:val="24"/>
        </w:rPr>
        <w:t>9.3.2 The Ajo lifecycle</w:t>
      </w:r>
    </w:p>
    <w:p>
      <w:pPr>
        <w:spacing w:before="0" w:after="0" w:line="240" w:lineRule="auto"/>
        <w:ind w:left="230"/>
        <w:shd w:val="clear" w:color="auto" w:fill="F7F9FC"/>
        <w:pBdr>
          <w:left w:val="single" w:sz="4" w:space="6" w:color="D0D5DD"/>
        </w:pBdr>
      </w:pPr>
      <w:r>
        <w:rPr>
          <w:rFonts w:ascii="Consolas" w:hAnsi="Consolas"/>
          <w:color w:val="0B1F3A"/>
          <w:sz w:val="16"/>
        </w:rPr>
        <w:t>CREATE TABLE ajos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id                        uuid      PRIMARY KEY DEFAULT app.uuidv7(),</w:t>
      </w:r>
    </w:p>
    <w:p>
      <w:pPr>
        <w:spacing w:before="0" w:after="0" w:line="240" w:lineRule="auto"/>
        <w:ind w:left="230"/>
        <w:shd w:val="clear" w:color="auto" w:fill="F7F9FC"/>
        <w:pBdr>
          <w:left w:val="single" w:sz="4" w:space="6" w:color="D0D5DD"/>
        </w:pBdr>
      </w:pPr>
      <w:r>
        <w:rPr>
          <w:rFonts w:ascii="Consolas" w:hAnsi="Consolas"/>
          <w:color w:val="0B1F3A"/>
          <w:sz w:val="16"/>
        </w:rPr>
        <w:t xml:space="preserve">  -- Twelve hex characters, not eight. The first eight of a UUIDv7 are</w:t>
      </w:r>
    </w:p>
    <w:p>
      <w:pPr>
        <w:spacing w:before="0" w:after="0" w:line="240" w:lineRule="auto"/>
        <w:ind w:left="230"/>
        <w:shd w:val="clear" w:color="auto" w:fill="F7F9FC"/>
        <w:pBdr>
          <w:left w:val="single" w:sz="4" w:space="6" w:color="D0D5DD"/>
        </w:pBdr>
      </w:pPr>
      <w:r>
        <w:rPr>
          <w:rFonts w:ascii="Consolas" w:hAnsi="Consolas"/>
          <w:color w:val="0B1F3A"/>
          <w:sz w:val="16"/>
        </w:rPr>
        <w:t xml:space="preserve">  -- the 48-bit millisecond timestamp, so two Ajos created in the same</w:t>
      </w:r>
    </w:p>
    <w:p>
      <w:pPr>
        <w:spacing w:before="0" w:after="0" w:line="240" w:lineRule="auto"/>
        <w:ind w:left="230"/>
        <w:shd w:val="clear" w:color="auto" w:fill="F7F9FC"/>
        <w:pBdr>
          <w:left w:val="single" w:sz="4" w:space="6" w:color="D0D5DD"/>
        </w:pBdr>
      </w:pPr>
      <w:r>
        <w:rPr>
          <w:rFonts w:ascii="Consolas" w:hAnsi="Consolas"/>
          <w:color w:val="0B1F3A"/>
          <w:sz w:val="16"/>
        </w:rPr>
        <w:t xml:space="preserve">  -- millisecond share them exactly, and a short support code that</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collides is a conversation about somebody else's Ajo.</w:t>
      </w:r>
    </w:p>
    <w:p>
      <w:pPr>
        <w:spacing w:before="0" w:after="0" w:line="240" w:lineRule="auto"/>
        <w:ind w:left="230"/>
        <w:shd w:val="clear" w:color="auto" w:fill="F7F9FC"/>
        <w:pBdr>
          <w:left w:val="single" w:sz="4" w:space="6" w:color="D0D5DD"/>
        </w:pBdr>
      </w:pPr>
      <w:r>
        <w:rPr>
          <w:rFonts w:ascii="Consolas" w:hAnsi="Consolas"/>
          <w:color w:val="0B1F3A"/>
          <w:sz w:val="16"/>
        </w:rPr>
        <w:t xml:space="preserve">  reference                 text      NOT NULL UNIQUE DEFAULT</w:t>
      </w:r>
    </w:p>
    <w:p>
      <w:pPr>
        <w:spacing w:before="0" w:after="0" w:line="240" w:lineRule="auto"/>
        <w:ind w:left="230"/>
        <w:shd w:val="clear" w:color="auto" w:fill="F7F9FC"/>
        <w:pBdr>
          <w:left w:val="single" w:sz="4" w:space="6" w:color="D0D5DD"/>
        </w:pBdr>
      </w:pPr>
      <w:r>
        <w:rPr>
          <w:rFonts w:ascii="Consolas" w:hAnsi="Consolas"/>
          <w:color w:val="0B1F3A"/>
          <w:sz w:val="16"/>
        </w:rPr>
        <w:t xml:space="preserve">                              ('AJO-' || upper(substr(replace(</w:t>
      </w:r>
    </w:p>
    <w:p>
      <w:pPr>
        <w:spacing w:before="0" w:after="0" w:line="240" w:lineRule="auto"/>
        <w:ind w:left="230"/>
        <w:shd w:val="clear" w:color="auto" w:fill="F7F9FC"/>
        <w:pBdr>
          <w:left w:val="single" w:sz="4" w:space="6" w:color="D0D5DD"/>
        </w:pBdr>
      </w:pPr>
      <w:r>
        <w:rPr>
          <w:rFonts w:ascii="Consolas" w:hAnsi="Consolas"/>
          <w:color w:val="0B1F3A"/>
          <w:sz w:val="16"/>
        </w:rPr>
        <w:t xml:space="preserve">                                app.uuidv7()::text,'-',''),1,12))),</w:t>
      </w:r>
    </w:p>
    <w:p>
      <w:pPr>
        <w:spacing w:before="0" w:after="0" w:line="240" w:lineRule="auto"/>
        <w:ind w:left="230"/>
        <w:shd w:val="clear" w:color="auto" w:fill="F7F9FC"/>
        <w:pBdr>
          <w:left w:val="single" w:sz="4" w:space="6" w:color="D0D5DD"/>
        </w:pBdr>
      </w:pPr>
      <w:r>
        <w:rPr>
          <w:rFonts w:ascii="Consolas" w:hAnsi="Consolas"/>
          <w:color w:val="0B1F3A"/>
          <w:sz w:val="16"/>
        </w:rPr>
        <w:t xml:space="preserve">  name                      text      NOT NULL</w:t>
      </w:r>
    </w:p>
    <w:p>
      <w:pPr>
        <w:spacing w:before="0" w:after="0" w:line="240" w:lineRule="auto"/>
        <w:ind w:left="230"/>
        <w:shd w:val="clear" w:color="auto" w:fill="F7F9FC"/>
        <w:pBdr>
          <w:left w:val="single" w:sz="4" w:space="6" w:color="D0D5DD"/>
        </w:pBdr>
      </w:pPr>
      <w:r>
        <w:rPr>
          <w:rFonts w:ascii="Consolas" w:hAnsi="Consolas"/>
          <w:color w:val="0B1F3A"/>
          <w:sz w:val="16"/>
        </w:rPr>
        <w:t xml:space="preserve">                              CHECK (length(btrim(name)) BETWEEN 3 AND 80),</w:t>
      </w:r>
    </w:p>
    <w:p>
      <w:pPr>
        <w:spacing w:before="0" w:after="0" w:line="240" w:lineRule="auto"/>
        <w:ind w:left="230"/>
        <w:shd w:val="clear" w:color="auto" w:fill="F7F9FC"/>
        <w:pBdr>
          <w:left w:val="single" w:sz="4" w:space="6" w:color="D0D5DD"/>
        </w:pBdr>
      </w:pPr>
      <w:r>
        <w:rPr>
          <w:rFonts w:ascii="Consolas" w:hAnsi="Consolas"/>
          <w:color w:val="0B1F3A"/>
          <w:sz w:val="16"/>
        </w:rPr>
        <w:t xml:space="preserve">  status                    ajo_status NOT NULL DEFAULT 'draft',</w:t>
      </w:r>
    </w:p>
    <w:p>
      <w:pPr>
        <w:spacing w:before="0" w:after="0" w:line="240" w:lineRule="auto"/>
        <w:ind w:left="230"/>
        <w:shd w:val="clear" w:color="auto" w:fill="F7F9FC"/>
        <w:pBdr>
          <w:left w:val="single" w:sz="4" w:space="6" w:color="D0D5DD"/>
        </w:pBdr>
      </w:pPr>
      <w:r>
        <w:rPr>
          <w:rFonts w:ascii="Consolas" w:hAnsi="Consolas"/>
          <w:color w:val="0B1F3A"/>
          <w:sz w:val="16"/>
        </w:rPr>
        <w:t xml:space="preserve">  contribution_amount_kobo  bigint    NOT NULL</w:t>
      </w:r>
    </w:p>
    <w:p>
      <w:pPr>
        <w:spacing w:before="0" w:after="0" w:line="240" w:lineRule="auto"/>
        <w:ind w:left="230"/>
        <w:shd w:val="clear" w:color="auto" w:fill="F7F9FC"/>
        <w:pBdr>
          <w:left w:val="single" w:sz="4" w:space="6" w:color="D0D5DD"/>
        </w:pBdr>
      </w:pPr>
      <w:r>
        <w:rPr>
          <w:rFonts w:ascii="Consolas" w:hAnsi="Consolas"/>
          <w:color w:val="0B1F3A"/>
          <w:sz w:val="16"/>
        </w:rPr>
        <w:t xml:space="preserve">                              CHECK (contribution_amount_kobo &gt; 0),</w:t>
      </w:r>
    </w:p>
    <w:p>
      <w:pPr>
        <w:spacing w:before="0" w:after="0" w:line="240" w:lineRule="auto"/>
        <w:ind w:left="230"/>
        <w:shd w:val="clear" w:color="auto" w:fill="F7F9FC"/>
        <w:pBdr>
          <w:left w:val="single" w:sz="4" w:space="6" w:color="D0D5DD"/>
        </w:pBdr>
      </w:pPr>
      <w:r>
        <w:rPr>
          <w:rFonts w:ascii="Consolas" w:hAnsi="Consolas"/>
          <w:color w:val="0B1F3A"/>
          <w:sz w:val="16"/>
        </w:rPr>
        <w:t xml:space="preserve">  position_count            smallint  NOT NULL DEFAULT 10</w:t>
      </w:r>
    </w:p>
    <w:p>
      <w:pPr>
        <w:spacing w:before="0" w:after="0" w:line="240" w:lineRule="auto"/>
        <w:ind w:left="230"/>
        <w:shd w:val="clear" w:color="auto" w:fill="F7F9FC"/>
        <w:pBdr>
          <w:left w:val="single" w:sz="4" w:space="6" w:color="D0D5DD"/>
        </w:pBdr>
      </w:pPr>
      <w:r>
        <w:rPr>
          <w:rFonts w:ascii="Consolas" w:hAnsi="Consolas"/>
          <w:color w:val="0B1F3A"/>
          <w:sz w:val="16"/>
        </w:rPr>
        <w:t xml:space="preserve">                              CHECK (position_count BETWEEN 5 AND 20),</w:t>
      </w:r>
    </w:p>
    <w:p>
      <w:pPr>
        <w:spacing w:before="0" w:after="0" w:line="240" w:lineRule="auto"/>
        <w:ind w:left="230"/>
        <w:shd w:val="clear" w:color="auto" w:fill="F7F9FC"/>
        <w:pBdr>
          <w:left w:val="single" w:sz="4" w:space="6" w:color="D0D5DD"/>
        </w:pBdr>
      </w:pPr>
      <w:r>
        <w:rPr>
          <w:rFonts w:ascii="Consolas" w:hAnsi="Consolas"/>
          <w:color w:val="0B1F3A"/>
          <w:sz w:val="16"/>
        </w:rPr>
        <w:t xml:space="preserve">  total_rounds              smallint  NOT NULL DEFAULT 2</w:t>
      </w:r>
    </w:p>
    <w:p>
      <w:pPr>
        <w:spacing w:before="0" w:after="0" w:line="240" w:lineRule="auto"/>
        <w:ind w:left="230"/>
        <w:shd w:val="clear" w:color="auto" w:fill="F7F9FC"/>
        <w:pBdr>
          <w:left w:val="single" w:sz="4" w:space="6" w:color="D0D5DD"/>
        </w:pBdr>
      </w:pPr>
      <w:r>
        <w:rPr>
          <w:rFonts w:ascii="Consolas" w:hAnsi="Consolas"/>
          <w:color w:val="0B1F3A"/>
          <w:sz w:val="16"/>
        </w:rPr>
        <w:t xml:space="preserve">                              CHECK (total_rounds &gt;= 2),</w:t>
      </w:r>
    </w:p>
    <w:p>
      <w:pPr>
        <w:spacing w:before="0" w:after="0" w:line="240" w:lineRule="auto"/>
        <w:ind w:left="230"/>
        <w:shd w:val="clear" w:color="auto" w:fill="F7F9FC"/>
        <w:pBdr>
          <w:left w:val="single" w:sz="4" w:space="6" w:color="D0D5DD"/>
        </w:pBdr>
      </w:pPr>
      <w:r>
        <w:rPr>
          <w:rFonts w:ascii="Consolas" w:hAnsi="Consolas"/>
          <w:color w:val="0B1F3A"/>
          <w:sz w:val="16"/>
        </w:rPr>
        <w:t xml:space="preserve">  enrollment_opens_at       timestamptz NOT NULL,</w:t>
      </w:r>
    </w:p>
    <w:p>
      <w:pPr>
        <w:spacing w:before="0" w:after="0" w:line="240" w:lineRule="auto"/>
        <w:ind w:left="230"/>
        <w:shd w:val="clear" w:color="auto" w:fill="F7F9FC"/>
        <w:pBdr>
          <w:left w:val="single" w:sz="4" w:space="6" w:color="D0D5DD"/>
        </w:pBdr>
      </w:pPr>
      <w:r>
        <w:rPr>
          <w:rFonts w:ascii="Consolas" w:hAnsi="Consolas"/>
          <w:color w:val="0B1F3A"/>
          <w:sz w:val="16"/>
        </w:rPr>
        <w:t xml:space="preserve">  enrollment_closes_at      timestamptz NOT NULL,</w:t>
      </w:r>
    </w:p>
    <w:p>
      <w:pPr>
        <w:spacing w:before="0" w:after="0" w:line="240" w:lineRule="auto"/>
        <w:ind w:left="230"/>
        <w:shd w:val="clear" w:color="auto" w:fill="F7F9FC"/>
        <w:pBdr>
          <w:left w:val="single" w:sz="4" w:space="6" w:color="D0D5DD"/>
        </w:pBdr>
      </w:pPr>
      <w:r>
        <w:rPr>
          <w:rFonts w:ascii="Consolas" w:hAnsi="Consolas"/>
          <w:color w:val="0B1F3A"/>
          <w:sz w:val="16"/>
        </w:rPr>
        <w:t xml:space="preserve">  activated_at              timestamptz,</w:t>
      </w:r>
    </w:p>
    <w:p>
      <w:pPr>
        <w:spacing w:before="0" w:after="0" w:line="240" w:lineRule="auto"/>
        <w:ind w:left="230"/>
        <w:shd w:val="clear" w:color="auto" w:fill="F7F9FC"/>
        <w:pBdr>
          <w:left w:val="single" w:sz="4" w:space="6" w:color="D0D5DD"/>
        </w:pBdr>
      </w:pPr>
      <w:r>
        <w:rPr>
          <w:rFonts w:ascii="Consolas" w:hAnsi="Consolas"/>
          <w:color w:val="0B1F3A"/>
          <w:sz w:val="16"/>
        </w:rPr>
        <w:t xml:space="preserve">  completed_at              timestamptz,</w:t>
      </w:r>
    </w:p>
    <w:p>
      <w:pPr>
        <w:spacing w:before="0" w:after="0" w:line="240" w:lineRule="auto"/>
        <w:ind w:left="230"/>
        <w:shd w:val="clear" w:color="auto" w:fill="F7F9FC"/>
        <w:pBdr>
          <w:left w:val="single" w:sz="4" w:space="6" w:color="D0D5DD"/>
        </w:pBdr>
      </w:pPr>
      <w:r>
        <w:rPr>
          <w:rFonts w:ascii="Consolas" w:hAnsi="Consolas"/>
          <w:color w:val="0B1F3A"/>
          <w:sz w:val="16"/>
        </w:rPr>
        <w:t xml:space="preserve">  cancelled_at              timestamptz,</w:t>
      </w:r>
    </w:p>
    <w:p>
      <w:pPr>
        <w:spacing w:before="0" w:after="0" w:line="240" w:lineRule="auto"/>
        <w:ind w:left="230"/>
        <w:shd w:val="clear" w:color="auto" w:fill="F7F9FC"/>
        <w:pBdr>
          <w:left w:val="single" w:sz="4" w:space="6" w:color="D0D5DD"/>
        </w:pBdr>
      </w:pPr>
      <w:r>
        <w:rPr>
          <w:rFonts w:ascii="Consolas" w:hAnsi="Consolas"/>
          <w:color w:val="0B1F3A"/>
          <w:sz w:val="16"/>
        </w:rPr>
        <w:t xml:space="preserve">  CONSTRAINT ajos_enrollment_window_five_days</w:t>
      </w:r>
    </w:p>
    <w:p>
      <w:pPr>
        <w:spacing w:before="0" w:after="0" w:line="240" w:lineRule="auto"/>
        <w:ind w:left="230"/>
        <w:shd w:val="clear" w:color="auto" w:fill="F7F9FC"/>
        <w:pBdr>
          <w:left w:val="single" w:sz="4" w:space="6" w:color="D0D5DD"/>
        </w:pBdr>
      </w:pPr>
      <w:r>
        <w:rPr>
          <w:rFonts w:ascii="Consolas" w:hAnsi="Consolas"/>
          <w:color w:val="0B1F3A"/>
          <w:sz w:val="16"/>
        </w:rPr>
        <w:t xml:space="preserve">    CHECK (enrollment_closes_at &lt;= enrollment_opens_at + interval '5 days'),</w:t>
      </w:r>
    </w:p>
    <w:p>
      <w:pPr>
        <w:spacing w:before="0" w:after="0" w:line="240" w:lineRule="auto"/>
        <w:ind w:left="230"/>
        <w:shd w:val="clear" w:color="auto" w:fill="F7F9FC"/>
        <w:pBdr>
          <w:left w:val="single" w:sz="4" w:space="6" w:color="D0D5DD"/>
        </w:pBdr>
      </w:pPr>
      <w:r>
        <w:rPr>
          <w:rFonts w:ascii="Consolas" w:hAnsi="Consolas"/>
          <w:color w:val="0B1F3A"/>
          <w:sz w:val="16"/>
        </w:rPr>
        <w:t xml:space="preserve">  CONSTRAINT ajos_terminal_has_timestamp CHECK (status &lt;&gt; 'completed'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OR completed_at IS NOT NULL)</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val="0"/>
          <w:i w:val="0"/>
          <w:color w:val="101828"/>
          <w:sz w:val="21"/>
        </w:rPr>
        <w:t xml:space="preserve">The five-day enrollment window is a CHECK, not application code. CANONICAL.md says the window is exactly five days, and a CHECK makes an organizer who asks for six days fail at the database rather than discover the rule from a support ticket. </w:t>
      </w:r>
      <w:r>
        <w:rPr>
          <w:rFonts w:ascii="Consolas" w:hAnsi="Consolas"/>
          <w:color w:val="146EF5"/>
          <w:sz w:val="21"/>
        </w:rPr>
        <w:t>position_count BETWEEN 5 AND 20</w:t>
      </w:r>
      <w:r>
        <w:rPr>
          <w:rFonts w:ascii="Calibri" w:hAnsi="Calibri"/>
          <w:b w:val="0"/>
          <w:i w:val="0"/>
          <w:color w:val="101828"/>
          <w:sz w:val="21"/>
        </w:rPr>
        <w:t xml:space="preserve"> is there for the same reason: the product decision is that an Ajo has between five and twenty members, ten being the default and by far the most common. The floor of five is what makes a group a rotation rather than a transfer between two or three people, and the ceiling of twenty bounds the operational surface — twenty positions to invite, monitor, and default-handle in a single Ajo, which is a group a person can still hold in their head. The default is 10 because that is the working example the rest of this document uses throughout. </w:t>
      </w:r>
      <w:r>
        <w:rPr>
          <w:rFonts w:ascii="Calibri" w:hAnsi="Calibri"/>
          <w:b/>
          <w:color w:val="101828"/>
          <w:sz w:val="21"/>
        </w:rPr>
        <w:t>The creator is one of these members, not a member in addition to them</w:t>
      </w:r>
      <w:r>
        <w:rPr>
          <w:rFonts w:ascii="Calibri" w:hAnsi="Calibri"/>
          <w:b w:val="0"/>
          <w:i w:val="0"/>
          <w:color w:val="101828"/>
          <w:sz w:val="21"/>
        </w:rPr>
        <w:t xml:space="preserve">, so a ten-member Ajo is one organizer and nine invitees; this is enforced by the trigger that materialises the organizer's own membership, not by convention. </w:t>
      </w:r>
      <w:r>
        <w:rPr>
          <w:rFonts w:ascii="Consolas" w:hAnsi="Consolas"/>
          <w:color w:val="146EF5"/>
          <w:sz w:val="21"/>
        </w:rPr>
        <w:t>total_rounds &gt;= 2</w:t>
      </w:r>
      <w:r>
        <w:rPr>
          <w:rFonts w:ascii="Calibri" w:hAnsi="Calibri"/>
          <w:b w:val="0"/>
          <w:i w:val="0"/>
          <w:color w:val="101828"/>
          <w:sz w:val="21"/>
        </w:rPr>
        <w:t xml:space="preserve"> is there because an Ajo of one is a transfer, not a rotation, and because rounds equal members. </w:t>
      </w:r>
      <w:r>
        <w:rPr>
          <w:rFonts w:ascii="Consolas" w:hAnsi="Consolas"/>
          <w:color w:val="146EF5"/>
          <w:sz w:val="21"/>
        </w:rPr>
        <w:t>total_rounds</w:t>
      </w:r>
      <w:r>
        <w:rPr>
          <w:rFonts w:ascii="Calibri" w:hAnsi="Calibri"/>
          <w:b w:val="0"/>
          <w:i w:val="0"/>
          <w:color w:val="101828"/>
          <w:sz w:val="21"/>
        </w:rPr>
        <w:t xml:space="preserve"> defaults to 2 because the first draft of this table defaulted to 1, which is rejected by its own CHECK, and a table whose default fails its own constraint is a bug that only appears in production.</w:t>
      </w:r>
    </w:p>
    <w:p>
      <w:r>
        <w:rPr>
          <w:rFonts w:ascii="Calibri" w:hAnsi="Calibri"/>
          <w:b w:val="0"/>
          <w:i w:val="0"/>
          <w:color w:val="101828"/>
          <w:sz w:val="21"/>
        </w:rPr>
        <w:t xml:space="preserve">Occupancy is a partial unique index, and it is the single most important constraint in the Ajo lifecycle. The </w:t>
      </w:r>
      <w:r>
        <w:rPr>
          <w:rFonts w:ascii="Consolas" w:hAnsi="Consolas"/>
          <w:color w:val="146EF5"/>
          <w:sz w:val="21"/>
        </w:rPr>
        <w:t>released_at</w:t>
      </w:r>
      <w:r>
        <w:rPr>
          <w:rFonts w:ascii="Calibri" w:hAnsi="Calibri"/>
          <w:b w:val="0"/>
          <w:i w:val="0"/>
          <w:color w:val="101828"/>
          <w:sz w:val="21"/>
        </w:rPr>
        <w:t xml:space="preserve"> column that the first draft of this schema indexed does not exist on </w:t>
      </w:r>
      <w:r>
        <w:rPr>
          <w:rFonts w:ascii="Consolas" w:hAnsi="Consolas"/>
          <w:color w:val="146EF5"/>
          <w:sz w:val="21"/>
        </w:rPr>
        <w:t>ajo_members</w:t>
      </w:r>
      <w:r>
        <w:rPr>
          <w:rFonts w:ascii="Calibri" w:hAnsi="Calibri"/>
          <w:b w:val="0"/>
          <w:i w:val="0"/>
          <w:color w:val="101828"/>
          <w:sz w:val="21"/>
        </w:rPr>
        <w:t xml:space="preserve">: a membership has a status and a </w:t>
      </w:r>
      <w:r>
        <w:rPr>
          <w:rFonts w:ascii="Consolas" w:hAnsi="Consolas"/>
          <w:color w:val="146EF5"/>
          <w:sz w:val="21"/>
        </w:rPr>
        <w:t>left_at</w:t>
      </w:r>
      <w:r>
        <w:rPr>
          <w:rFonts w:ascii="Calibri" w:hAnsi="Calibri"/>
          <w:b w:val="0"/>
          <w:i w:val="0"/>
          <w:color w:val="101828"/>
          <w:sz w:val="21"/>
        </w:rPr>
        <w:t>, and a position is free when no live membership points at it.</w:t>
      </w:r>
    </w:p>
    <w:p>
      <w:pPr>
        <w:spacing w:before="0" w:after="0" w:line="240" w:lineRule="auto"/>
        <w:ind w:left="230"/>
        <w:shd w:val="clear" w:color="auto" w:fill="F7F9FC"/>
        <w:pBdr>
          <w:left w:val="single" w:sz="4" w:space="6" w:color="D0D5DD"/>
        </w:pBdr>
      </w:pPr>
      <w:r>
        <w:rPr>
          <w:rFonts w:ascii="Consolas" w:hAnsi="Consolas"/>
          <w:color w:val="0B1F3A"/>
          <w:sz w:val="16"/>
        </w:rPr>
        <w:t>-- A position is occupied by at most one live membership. The predicate</w:t>
      </w:r>
    </w:p>
    <w:p>
      <w:pPr>
        <w:spacing w:before="0" w:after="0" w:line="240" w:lineRule="auto"/>
        <w:ind w:left="230"/>
        <w:shd w:val="clear" w:color="auto" w:fill="F7F9FC"/>
        <w:pBdr>
          <w:left w:val="single" w:sz="4" w:space="6" w:color="D0D5DD"/>
        </w:pBdr>
      </w:pPr>
      <w:r>
        <w:rPr>
          <w:rFonts w:ascii="Consolas" w:hAnsi="Consolas"/>
          <w:color w:val="0B1F3A"/>
          <w:sz w:val="16"/>
        </w:rPr>
        <w:t>-- is the same set of statuses the RLS helper in 9.6 uses, and the two are</w:t>
      </w:r>
    </w:p>
    <w:p>
      <w:pPr>
        <w:spacing w:before="0" w:after="0" w:line="240" w:lineRule="auto"/>
        <w:ind w:left="230"/>
        <w:shd w:val="clear" w:color="auto" w:fill="F7F9FC"/>
        <w:pBdr>
          <w:left w:val="single" w:sz="4" w:space="6" w:color="D0D5DD"/>
        </w:pBdr>
      </w:pPr>
      <w:r>
        <w:rPr>
          <w:rFonts w:ascii="Consolas" w:hAnsi="Consolas"/>
          <w:color w:val="0B1F3A"/>
          <w:sz w:val="16"/>
        </w:rPr>
        <w:t>-- spelled out rather than shared, because a policy that reads a constant</w:t>
      </w:r>
    </w:p>
    <w:p>
      <w:pPr>
        <w:spacing w:before="0" w:after="0" w:line="240" w:lineRule="auto"/>
        <w:ind w:left="230"/>
        <w:shd w:val="clear" w:color="auto" w:fill="F7F9FC"/>
        <w:pBdr>
          <w:left w:val="single" w:sz="4" w:space="6" w:color="D0D5DD"/>
        </w:pBdr>
      </w:pPr>
      <w:r>
        <w:rPr>
          <w:rFonts w:ascii="Consolas" w:hAnsi="Consolas"/>
          <w:color w:val="0B1F3A"/>
          <w:sz w:val="16"/>
        </w:rPr>
        <w:t>-- out of a trigger function inherits that function's bugs.</w:t>
      </w:r>
    </w:p>
    <w:p>
      <w:pPr>
        <w:spacing w:before="0" w:after="0" w:line="240" w:lineRule="auto"/>
        <w:ind w:left="230"/>
        <w:shd w:val="clear" w:color="auto" w:fill="F7F9FC"/>
        <w:pBdr>
          <w:left w:val="single" w:sz="4" w:space="6" w:color="D0D5DD"/>
        </w:pBdr>
      </w:pPr>
      <w:r>
        <w:rPr>
          <w:rFonts w:ascii="Consolas" w:hAnsi="Consolas"/>
          <w:color w:val="0B1F3A"/>
          <w:sz w:val="16"/>
        </w:rPr>
        <w:t>CREATE UNIQUE INDEX ajo_members_one_live_position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ON ajo_members (ajo_id, position_id)</w:t>
      </w:r>
    </w:p>
    <w:p>
      <w:pPr>
        <w:spacing w:before="0" w:after="0" w:line="240" w:lineRule="auto"/>
        <w:ind w:left="230"/>
        <w:shd w:val="clear" w:color="auto" w:fill="F7F9FC"/>
        <w:pBdr>
          <w:left w:val="single" w:sz="4" w:space="6" w:color="D0D5DD"/>
        </w:pBdr>
      </w:pPr>
      <w:r>
        <w:rPr>
          <w:rFonts w:ascii="Consolas" w:hAnsi="Consolas"/>
          <w:color w:val="0B1F3A"/>
          <w:sz w:val="16"/>
        </w:rPr>
        <w:t xml:space="preserve"> WHERE position_id IS NOT NULL</w:t>
      </w:r>
    </w:p>
    <w:p>
      <w:pPr>
        <w:spacing w:before="0" w:after="0" w:line="240" w:lineRule="auto"/>
        <w:ind w:left="230"/>
        <w:shd w:val="clear" w:color="auto" w:fill="F7F9FC"/>
        <w:pBdr>
          <w:left w:val="single" w:sz="4" w:space="6" w:color="D0D5DD"/>
        </w:pBdr>
      </w:pPr>
      <w:r>
        <w:rPr>
          <w:rFonts w:ascii="Consolas" w:hAnsi="Consolas"/>
          <w:color w:val="0B1F3A"/>
          <w:sz w:val="16"/>
        </w:rPr>
        <w:t xml:space="preserve">   AND status IN ('invited','active','defaulted');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A user holds at most one membership per Ajo, for ever. Re-joining after</w:t>
      </w:r>
    </w:p>
    <w:p>
      <w:pPr>
        <w:spacing w:before="0" w:after="0" w:line="240" w:lineRule="auto"/>
        <w:ind w:left="230"/>
        <w:shd w:val="clear" w:color="auto" w:fill="F7F9FC"/>
        <w:pBdr>
          <w:left w:val="single" w:sz="4" w:space="6" w:color="D0D5DD"/>
        </w:pBdr>
      </w:pPr>
      <w:r>
        <w:rPr>
          <w:rFonts w:ascii="Consolas" w:hAnsi="Consolas"/>
          <w:color w:val="0B1F3A"/>
          <w:sz w:val="16"/>
        </w:rPr>
        <w:t>-- an exit updates the existing row rather than inserting a second one,</w:t>
      </w:r>
    </w:p>
    <w:p>
      <w:pPr>
        <w:spacing w:before="0" w:after="0" w:line="240" w:lineRule="auto"/>
        <w:ind w:left="230"/>
        <w:shd w:val="clear" w:color="auto" w:fill="F7F9FC"/>
        <w:pBdr>
          <w:left w:val="single" w:sz="4" w:space="6" w:color="D0D5DD"/>
        </w:pBdr>
      </w:pPr>
      <w:r>
        <w:rPr>
          <w:rFonts w:ascii="Consolas" w:hAnsi="Consolas"/>
          <w:color w:val="0B1F3A"/>
          <w:sz w:val="16"/>
        </w:rPr>
        <w:t>-- so the history is a status sequence and not a set of near-duplicates.</w:t>
      </w:r>
    </w:p>
    <w:p>
      <w:pPr>
        <w:spacing w:before="0" w:after="0" w:line="240" w:lineRule="auto"/>
        <w:ind w:left="230"/>
        <w:shd w:val="clear" w:color="auto" w:fill="F7F9FC"/>
        <w:pBdr>
          <w:left w:val="single" w:sz="4" w:space="6" w:color="D0D5DD"/>
        </w:pBdr>
      </w:pPr>
      <w:r>
        <w:rPr>
          <w:rFonts w:ascii="Consolas" w:hAnsi="Consolas"/>
          <w:color w:val="0B1F3A"/>
          <w:sz w:val="16"/>
        </w:rPr>
        <w:t>CREATE UNIQUE INDEX ajo_members_ajo_user_unique</w:t>
      </w:r>
    </w:p>
    <w:p>
      <w:pPr>
        <w:spacing w:before="0" w:after="0" w:line="240" w:lineRule="auto"/>
        <w:ind w:left="230"/>
        <w:shd w:val="clear" w:color="auto" w:fill="F7F9FC"/>
        <w:pBdr>
          <w:left w:val="single" w:sz="4" w:space="6" w:color="D0D5DD"/>
        </w:pBdr>
      </w:pPr>
      <w:r>
        <w:rPr>
          <w:rFonts w:ascii="Consolas" w:hAnsi="Consolas"/>
          <w:color w:val="0B1F3A"/>
          <w:sz w:val="16"/>
        </w:rPr>
        <w:t xml:space="preserve">  ON ajo_members (ajo_id, user_id);</w:t>
      </w:r>
    </w:p>
    <w:p>
      <w:r>
        <w:rPr>
          <w:rFonts w:ascii="Calibri" w:hAnsi="Calibri"/>
          <w:b w:val="0"/>
          <w:i w:val="0"/>
          <w:color w:val="101828"/>
          <w:sz w:val="21"/>
        </w:rPr>
        <w:t xml:space="preserve">The predicate deliberately includes </w:t>
      </w:r>
      <w:r>
        <w:rPr>
          <w:rFonts w:ascii="Consolas" w:hAnsi="Consolas"/>
          <w:color w:val="146EF5"/>
          <w:sz w:val="21"/>
        </w:rPr>
        <w:t>defaulted</w:t>
      </w:r>
      <w:r>
        <w:rPr>
          <w:rFonts w:ascii="Calibri" w:hAnsi="Calibri"/>
          <w:b w:val="0"/>
          <w:i w:val="0"/>
          <w:color w:val="101828"/>
          <w:sz w:val="21"/>
        </w:rPr>
        <w:t xml:space="preserve">. A member who has defaulted is still in the rotation and still holds the position, which is what makes recovery possible without re-opening enrollment. Excluding </w:t>
      </w:r>
      <w:r>
        <w:rPr>
          <w:rFonts w:ascii="Consolas" w:hAnsi="Consolas"/>
          <w:color w:val="146EF5"/>
          <w:sz w:val="21"/>
        </w:rPr>
        <w:t>defaulted</w:t>
      </w:r>
      <w:r>
        <w:rPr>
          <w:rFonts w:ascii="Calibri" w:hAnsi="Calibri"/>
          <w:b w:val="0"/>
          <w:i w:val="0"/>
          <w:color w:val="101828"/>
          <w:sz w:val="21"/>
        </w:rPr>
        <w:t xml:space="preserve"> would let a second member take the position out from under a defaulting member, and the turn would silently skip them. Test T7 in 9.14 inserts a second claimant and quotes the index violation.</w:t>
      </w:r>
    </w:p>
    <w:p>
      <w:pPr>
        <w:pStyle w:val="Heading3"/>
      </w:pPr>
      <w:r>
        <w:rPr>
          <w:rFonts w:ascii="Calibri" w:hAnsi="Calibri"/>
          <w:b/>
          <w:i w:val="0"/>
          <w:color w:val="0B1F3A"/>
          <w:sz w:val="24"/>
        </w:rPr>
        <w:t>9.3.3 The ledger</w:t>
      </w:r>
    </w:p>
    <w:p>
      <w:r>
        <w:rPr>
          <w:rFonts w:ascii="Calibri" w:hAnsi="Calibri"/>
          <w:b w:val="0"/>
          <w:i w:val="0"/>
          <w:color w:val="101828"/>
          <w:sz w:val="21"/>
        </w:rPr>
        <w:t xml:space="preserve">The ledger is two tables and it is append-only. </w:t>
      </w:r>
      <w:r>
        <w:rPr>
          <w:rFonts w:ascii="Consolas" w:hAnsi="Consolas"/>
          <w:color w:val="146EF5"/>
          <w:sz w:val="21"/>
        </w:rPr>
        <w:t>ledger_transactions</w:t>
      </w:r>
      <w:r>
        <w:rPr>
          <w:rFonts w:ascii="Calibri" w:hAnsi="Calibri"/>
          <w:b w:val="0"/>
          <w:i w:val="0"/>
          <w:color w:val="101828"/>
          <w:sz w:val="21"/>
        </w:rPr>
        <w:t xml:space="preserve"> is the header: what kind of entry this is, when it happened, and optionally which entry it reverses. </w:t>
      </w:r>
      <w:r>
        <w:rPr>
          <w:rFonts w:ascii="Consolas" w:hAnsi="Consolas"/>
          <w:color w:val="146EF5"/>
          <w:sz w:val="21"/>
        </w:rPr>
        <w:t>ledger_postings</w:t>
      </w:r>
      <w:r>
        <w:rPr>
          <w:rFonts w:ascii="Calibri" w:hAnsi="Calibri"/>
          <w:b w:val="0"/>
          <w:i w:val="0"/>
          <w:color w:val="101828"/>
          <w:sz w:val="21"/>
        </w:rPr>
        <w:t xml:space="preserve"> is the body: an account, a side, and an amount. Neither table has an </w:t>
      </w:r>
      <w:r>
        <w:rPr>
          <w:rFonts w:ascii="Consolas" w:hAnsi="Consolas"/>
          <w:color w:val="146EF5"/>
          <w:sz w:val="21"/>
        </w:rPr>
        <w:t>updated_at</w:t>
      </w:r>
      <w:r>
        <w:rPr>
          <w:rFonts w:ascii="Calibri" w:hAnsi="Calibri"/>
          <w:b w:val="0"/>
          <w:i w:val="0"/>
          <w:color w:val="101828"/>
          <w:sz w:val="21"/>
        </w:rPr>
        <w:t>, because there is no such thing as an update. A mistake is corrected by writing a new entry that reverses the old one, and the old row stays where it is, because an audit trail that can be edited is not one.</w:t>
      </w:r>
    </w:p>
    <w:p>
      <w:pPr>
        <w:spacing w:before="0" w:after="0" w:line="240" w:lineRule="auto"/>
        <w:ind w:left="230"/>
        <w:shd w:val="clear" w:color="auto" w:fill="F7F9FC"/>
        <w:pBdr>
          <w:left w:val="single" w:sz="4" w:space="6" w:color="D0D5DD"/>
        </w:pBdr>
      </w:pPr>
      <w:r>
        <w:rPr>
          <w:rFonts w:ascii="Consolas" w:hAnsi="Consolas"/>
          <w:color w:val="0B1F3A"/>
          <w:sz w:val="16"/>
        </w:rPr>
        <w:t>CREATE TABLE ledger_postings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id                   uuid               PRIMARY KEY DEFAULT app.uuidv7(),</w:t>
      </w:r>
    </w:p>
    <w:p>
      <w:pPr>
        <w:spacing w:before="0" w:after="0" w:line="240" w:lineRule="auto"/>
        <w:ind w:left="230"/>
        <w:shd w:val="clear" w:color="auto" w:fill="F7F9FC"/>
        <w:pBdr>
          <w:left w:val="single" w:sz="4" w:space="6" w:color="D0D5DD"/>
        </w:pBdr>
      </w:pPr>
      <w:r>
        <w:rPr>
          <w:rFonts w:ascii="Consolas" w:hAnsi="Consolas"/>
          <w:color w:val="0B1F3A"/>
          <w:sz w:val="16"/>
        </w:rPr>
        <w:t xml:space="preserve">  transaction_id       uuid NOT NULL</w:t>
      </w:r>
    </w:p>
    <w:p>
      <w:pPr>
        <w:spacing w:before="0" w:after="0" w:line="240" w:lineRule="auto"/>
        <w:ind w:left="230"/>
        <w:shd w:val="clear" w:color="auto" w:fill="F7F9FC"/>
        <w:pBdr>
          <w:left w:val="single" w:sz="4" w:space="6" w:color="D0D5DD"/>
        </w:pBdr>
      </w:pPr>
      <w:r>
        <w:rPr>
          <w:rFonts w:ascii="Consolas" w:hAnsi="Consolas"/>
          <w:color w:val="0B1F3A"/>
          <w:sz w:val="16"/>
        </w:rPr>
        <w:t xml:space="preserve">                         REFERENCES ledger_transactions(id)</w:t>
      </w:r>
    </w:p>
    <w:p>
      <w:pPr>
        <w:spacing w:before="0" w:after="0" w:line="240" w:lineRule="auto"/>
        <w:ind w:left="230"/>
        <w:shd w:val="clear" w:color="auto" w:fill="F7F9FC"/>
        <w:pBdr>
          <w:left w:val="single" w:sz="4" w:space="6" w:color="D0D5DD"/>
        </w:pBdr>
      </w:pPr>
      <w:r>
        <w:rPr>
          <w:rFonts w:ascii="Consolas" w:hAnsi="Consolas"/>
          <w:color w:val="0B1F3A"/>
          <w:sz w:val="16"/>
        </w:rPr>
        <w:t xml:space="preserve">                           ON DELETE RESTRICT</w:t>
      </w:r>
    </w:p>
    <w:p>
      <w:pPr>
        <w:spacing w:before="0" w:after="0" w:line="240" w:lineRule="auto"/>
        <w:ind w:left="230"/>
        <w:shd w:val="clear" w:color="auto" w:fill="F7F9FC"/>
        <w:pBdr>
          <w:left w:val="single" w:sz="4" w:space="6" w:color="D0D5DD"/>
        </w:pBdr>
      </w:pPr>
      <w:r>
        <w:rPr>
          <w:rFonts w:ascii="Consolas" w:hAnsi="Consolas"/>
          <w:color w:val="0B1F3A"/>
          <w:sz w:val="16"/>
        </w:rPr>
        <w:t xml:space="preserve">                         DEFERRABLE INITIALLY DEFERRED,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account_kind         ledger_account_kind NOT NULL,</w:t>
      </w:r>
    </w:p>
    <w:p>
      <w:pPr>
        <w:spacing w:before="0" w:after="0" w:line="240" w:lineRule="auto"/>
        <w:ind w:left="230"/>
        <w:shd w:val="clear" w:color="auto" w:fill="F7F9FC"/>
        <w:pBdr>
          <w:left w:val="single" w:sz="4" w:space="6" w:color="D0D5DD"/>
        </w:pBdr>
      </w:pPr>
      <w:r>
        <w:rPr>
          <w:rFonts w:ascii="Consolas" w:hAnsi="Consolas"/>
          <w:color w:val="0B1F3A"/>
          <w:sz w:val="16"/>
        </w:rPr>
        <w:t xml:space="preserve">  side                 ledger_side        NOT NULL,</w:t>
      </w:r>
    </w:p>
    <w:p>
      <w:pPr>
        <w:spacing w:before="0" w:after="0" w:line="240" w:lineRule="auto"/>
        <w:ind w:left="230"/>
        <w:shd w:val="clear" w:color="auto" w:fill="F7F9FC"/>
        <w:pBdr>
          <w:left w:val="single" w:sz="4" w:space="6" w:color="D0D5DD"/>
        </w:pBdr>
      </w:pPr>
      <w:r>
        <w:rPr>
          <w:rFonts w:ascii="Consolas" w:hAnsi="Consolas"/>
          <w:color w:val="0B1F3A"/>
          <w:sz w:val="16"/>
        </w:rPr>
        <w:t xml:space="preserve">  amount_kobo          bigint             NOT NULL CHECK (amount_kobo &gt; 0),</w:t>
      </w:r>
    </w:p>
    <w:p>
      <w:pPr>
        <w:spacing w:before="0" w:after="0" w:line="240" w:lineRule="auto"/>
        <w:ind w:left="230"/>
        <w:shd w:val="clear" w:color="auto" w:fill="F7F9FC"/>
        <w:pBdr>
          <w:left w:val="single" w:sz="4" w:space="6" w:color="D0D5DD"/>
        </w:pBdr>
      </w:pPr>
      <w:r>
        <w:rPr>
          <w:rFonts w:ascii="Consolas" w:hAnsi="Consolas"/>
          <w:color w:val="0B1F3A"/>
          <w:sz w:val="16"/>
        </w:rPr>
        <w:t xml:space="preserve">  -- Signed amount, generated. A transaction's SUM(signed_kobo) is 0.</w:t>
      </w:r>
    </w:p>
    <w:p>
      <w:pPr>
        <w:spacing w:before="0" w:after="0" w:line="240" w:lineRule="auto"/>
        <w:ind w:left="230"/>
        <w:shd w:val="clear" w:color="auto" w:fill="F7F9FC"/>
        <w:pBdr>
          <w:left w:val="single" w:sz="4" w:space="6" w:color="D0D5DD"/>
        </w:pBdr>
      </w:pPr>
      <w:r>
        <w:rPr>
          <w:rFonts w:ascii="Consolas" w:hAnsi="Consolas"/>
          <w:color w:val="0B1F3A"/>
          <w:sz w:val="16"/>
        </w:rPr>
        <w:t xml:space="preserve">  signed_kobo          bigint             GENERATED ALWAYS AS</w:t>
      </w:r>
    </w:p>
    <w:p>
      <w:pPr>
        <w:spacing w:before="0" w:after="0" w:line="240" w:lineRule="auto"/>
        <w:ind w:left="230"/>
        <w:shd w:val="clear" w:color="auto" w:fill="F7F9FC"/>
        <w:pBdr>
          <w:left w:val="single" w:sz="4" w:space="6" w:color="D0D5DD"/>
        </w:pBdr>
      </w:pPr>
      <w:r>
        <w:rPr>
          <w:rFonts w:ascii="Consolas" w:hAnsi="Consolas"/>
          <w:color w:val="0B1F3A"/>
          <w:sz w:val="16"/>
        </w:rPr>
        <w:t xml:space="preserve">                         (CASE WHEN side = 'debit' THEN amount_kobo</w:t>
      </w:r>
    </w:p>
    <w:p>
      <w:pPr>
        <w:spacing w:before="0" w:after="0" w:line="240" w:lineRule="auto"/>
        <w:ind w:left="230"/>
        <w:shd w:val="clear" w:color="auto" w:fill="F7F9FC"/>
        <w:pBdr>
          <w:left w:val="single" w:sz="4" w:space="6" w:color="D0D5DD"/>
        </w:pBdr>
      </w:pPr>
      <w:r>
        <w:rPr>
          <w:rFonts w:ascii="Consolas" w:hAnsi="Consolas"/>
          <w:color w:val="0B1F3A"/>
          <w:sz w:val="16"/>
        </w:rPr>
        <w:t xml:space="preserve">                               ELSE -amount_kobo END) STORED,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member_id            uuid REFERENCES ajo_members(id) ON DELETE RESTRICT,</w:t>
      </w:r>
    </w:p>
    <w:p>
      <w:pPr>
        <w:spacing w:before="0" w:after="0" w:line="240" w:lineRule="auto"/>
        <w:ind w:left="230"/>
        <w:shd w:val="clear" w:color="auto" w:fill="F7F9FC"/>
        <w:pBdr>
          <w:left w:val="single" w:sz="4" w:space="6" w:color="D0D5DD"/>
        </w:pBdr>
      </w:pPr>
      <w:r>
        <w:rPr>
          <w:rFonts w:ascii="Consolas" w:hAnsi="Consolas"/>
          <w:color w:val="0B1F3A"/>
          <w:sz w:val="16"/>
        </w:rPr>
        <w:t xml:space="preserve">  round_id             uuid REFERENCES rounds(id) ON DELETE RESTRICT,</w:t>
      </w:r>
    </w:p>
    <w:p>
      <w:pPr>
        <w:spacing w:before="0" w:after="0" w:line="240" w:lineRule="auto"/>
        <w:ind w:left="230"/>
        <w:shd w:val="clear" w:color="auto" w:fill="F7F9FC"/>
        <w:pBdr>
          <w:left w:val="single" w:sz="4" w:space="6" w:color="D0D5DD"/>
        </w:pBdr>
      </w:pPr>
      <w:r>
        <w:rPr>
          <w:rFonts w:ascii="Consolas" w:hAnsi="Consolas"/>
          <w:color w:val="0B1F3A"/>
          <w:sz w:val="16"/>
        </w:rPr>
        <w:t xml:space="preserve">  memo                 text,</w:t>
      </w:r>
    </w:p>
    <w:p>
      <w:pPr>
        <w:spacing w:before="0" w:after="0" w:line="240" w:lineRule="auto"/>
        <w:ind w:left="230"/>
        <w:shd w:val="clear" w:color="auto" w:fill="F7F9FC"/>
        <w:pBdr>
          <w:left w:val="single" w:sz="4" w:space="6" w:color="D0D5DD"/>
        </w:pBdr>
      </w:pPr>
      <w:r>
        <w:rPr>
          <w:rFonts w:ascii="Consolas" w:hAnsi="Consolas"/>
          <w:color w:val="0B1F3A"/>
          <w:sz w:val="16"/>
        </w:rPr>
        <w:t xml:space="preserve">  created_at           timestamptz        NOT NULL DEFAULT now()</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Both children of a transaction are FOR SHARE, so the first commit to</w:t>
      </w:r>
    </w:p>
    <w:p>
      <w:pPr>
        <w:spacing w:before="0" w:after="0" w:line="240" w:lineRule="auto"/>
        <w:ind w:left="230"/>
        <w:shd w:val="clear" w:color="auto" w:fill="F7F9FC"/>
        <w:pBdr>
          <w:left w:val="single" w:sz="4" w:space="6" w:color="D0D5DD"/>
        </w:pBdr>
      </w:pPr>
      <w:r>
        <w:rPr>
          <w:rFonts w:ascii="Consolas" w:hAnsi="Consolas"/>
          <w:color w:val="0B1F3A"/>
          <w:sz w:val="16"/>
        </w:rPr>
        <w:t>-- finish wins and the other one gets a serialization failure to retry.</w:t>
      </w:r>
    </w:p>
    <w:p>
      <w:pPr>
        <w:spacing w:before="0" w:after="0" w:line="240" w:lineRule="auto"/>
        <w:ind w:left="230"/>
        <w:shd w:val="clear" w:color="auto" w:fill="F7F9FC"/>
        <w:pBdr>
          <w:left w:val="single" w:sz="4" w:space="6" w:color="D0D5DD"/>
        </w:pBdr>
      </w:pPr>
      <w:r>
        <w:rPr>
          <w:rFonts w:ascii="Consolas" w:hAnsi="Consolas"/>
          <w:color w:val="0B1F3A"/>
          <w:sz w:val="16"/>
        </w:rPr>
        <w:t>-- This is the whole concurrency story for money: no lock table, no</w:t>
      </w:r>
    </w:p>
    <w:p>
      <w:pPr>
        <w:spacing w:before="0" w:after="0" w:line="240" w:lineRule="auto"/>
        <w:ind w:left="230"/>
        <w:shd w:val="clear" w:color="auto" w:fill="F7F9FC"/>
        <w:pBdr>
          <w:left w:val="single" w:sz="4" w:space="6" w:color="D0D5DD"/>
        </w:pBdr>
      </w:pPr>
      <w:r>
        <w:rPr>
          <w:rFonts w:ascii="Consolas" w:hAnsi="Consolas"/>
          <w:color w:val="0B1F3A"/>
          <w:sz w:val="16"/>
        </w:rPr>
        <w:t>-- advisory lock, and no read-modify-write on a balance anywhere.</w:t>
      </w:r>
    </w:p>
    <w:p>
      <w:pPr>
        <w:spacing w:before="0" w:after="0" w:line="240" w:lineRule="auto"/>
        <w:ind w:left="230"/>
        <w:shd w:val="clear" w:color="auto" w:fill="F7F9FC"/>
        <w:pBdr>
          <w:left w:val="single" w:sz="4" w:space="6" w:color="D0D5DD"/>
        </w:pBdr>
      </w:pPr>
      <w:r>
        <w:rPr>
          <w:rFonts w:ascii="Consolas" w:hAnsi="Consolas"/>
          <w:color w:val="0B1F3A"/>
          <w:sz w:val="16"/>
        </w:rPr>
        <w:t>CREATE UNIQUE INDEX ledger_postings_txn_account_side</w:t>
      </w:r>
    </w:p>
    <w:p>
      <w:pPr>
        <w:spacing w:before="0" w:after="0" w:line="240" w:lineRule="auto"/>
        <w:ind w:left="230"/>
        <w:shd w:val="clear" w:color="auto" w:fill="F7F9FC"/>
        <w:pBdr>
          <w:left w:val="single" w:sz="4" w:space="6" w:color="D0D5DD"/>
        </w:pBdr>
      </w:pPr>
      <w:r>
        <w:rPr>
          <w:rFonts w:ascii="Consolas" w:hAnsi="Consolas"/>
          <w:color w:val="0B1F3A"/>
          <w:sz w:val="16"/>
        </w:rPr>
        <w:t xml:space="preserve">  ON ledger_postings (transaction_id, account_kind, side);</w:t>
      </w:r>
    </w:p>
    <w:p>
      <w:r>
        <w:rPr>
          <w:rFonts w:ascii="Consolas" w:hAnsi="Consolas"/>
          <w:color w:val="146EF5"/>
          <w:sz w:val="21"/>
        </w:rPr>
        <w:t>signed_kobo</w:t>
      </w:r>
      <w:r>
        <w:rPr>
          <w:rFonts w:ascii="Calibri" w:hAnsi="Calibri"/>
          <w:b w:val="0"/>
          <w:i w:val="0"/>
          <w:color w:val="101828"/>
          <w:sz w:val="21"/>
        </w:rPr>
        <w:t xml:space="preserve"> is generated rather than supplied, which is what makes </w:t>
      </w:r>
      <w:r>
        <w:rPr>
          <w:rFonts w:ascii="Consolas" w:hAnsi="Consolas"/>
          <w:color w:val="146EF5"/>
          <w:sz w:val="21"/>
        </w:rPr>
        <w:t>SUM(signed_kobo) = 0</w:t>
      </w:r>
      <w:r>
        <w:rPr>
          <w:rFonts w:ascii="Calibri" w:hAnsi="Calibri"/>
          <w:b w:val="0"/>
          <w:i w:val="0"/>
          <w:color w:val="101828"/>
          <w:sz w:val="21"/>
        </w:rPr>
        <w:t xml:space="preserve"> a statement about the data rather than a statement about the writer's arithmetic. A caller can choose the side and the amount; it cannot choose the sign, because the sign is a function of the side. Balance is then checked by a deferred constraint trigger, so postings may be inserted in any order within the transaction and the check still sees the finished set.</w:t>
      </w:r>
    </w:p>
    <w:p>
      <w:pPr>
        <w:spacing w:before="0" w:after="0" w:line="240" w:lineRule="auto"/>
        <w:ind w:left="230"/>
        <w:shd w:val="clear" w:color="auto" w:fill="F7F9FC"/>
        <w:pBdr>
          <w:left w:val="single" w:sz="4" w:space="6" w:color="D0D5DD"/>
        </w:pBdr>
      </w:pPr>
      <w:r>
        <w:rPr>
          <w:rFonts w:ascii="Consolas" w:hAnsi="Consolas"/>
          <w:color w:val="0B1F3A"/>
          <w:sz w:val="16"/>
        </w:rPr>
        <w:t>CREATE OR REPLACE FUNCTION app.assert_ledger_balanced_for_txn()</w:t>
      </w:r>
    </w:p>
    <w:p>
      <w:pPr>
        <w:spacing w:before="0" w:after="0" w:line="240" w:lineRule="auto"/>
        <w:ind w:left="230"/>
        <w:shd w:val="clear" w:color="auto" w:fill="F7F9FC"/>
        <w:pBdr>
          <w:left w:val="single" w:sz="4" w:space="6" w:color="D0D5DD"/>
        </w:pBdr>
      </w:pPr>
      <w:r>
        <w:rPr>
          <w:rFonts w:ascii="Consolas" w:hAnsi="Consolas"/>
          <w:color w:val="0B1F3A"/>
          <w:sz w:val="16"/>
        </w:rPr>
        <w:t>RETURNS trigger LANGUAGE plpgsql AS $fn$</w:t>
      </w:r>
    </w:p>
    <w:p>
      <w:pPr>
        <w:spacing w:before="0" w:after="0" w:line="240" w:lineRule="auto"/>
        <w:ind w:left="230"/>
        <w:shd w:val="clear" w:color="auto" w:fill="F7F9FC"/>
        <w:pBdr>
          <w:left w:val="single" w:sz="4" w:space="6" w:color="D0D5DD"/>
        </w:pBdr>
      </w:pPr>
      <w:r>
        <w:rPr>
          <w:rFonts w:ascii="Consolas" w:hAnsi="Consolas"/>
          <w:color w:val="0B1F3A"/>
          <w:sz w:val="16"/>
        </w:rPr>
        <w:t>DECLARE</w:t>
      </w:r>
    </w:p>
    <w:p>
      <w:pPr>
        <w:spacing w:before="0" w:after="0" w:line="240" w:lineRule="auto"/>
        <w:ind w:left="230"/>
        <w:shd w:val="clear" w:color="auto" w:fill="F7F9FC"/>
        <w:pBdr>
          <w:left w:val="single" w:sz="4" w:space="6" w:color="D0D5DD"/>
        </w:pBdr>
      </w:pPr>
      <w:r>
        <w:rPr>
          <w:rFonts w:ascii="Consolas" w:hAnsi="Consolas"/>
          <w:color w:val="0B1F3A"/>
          <w:sz w:val="16"/>
        </w:rPr>
        <w:t xml:space="preserve">  v_txn   uuid;</w:t>
      </w:r>
    </w:p>
    <w:p>
      <w:pPr>
        <w:spacing w:before="0" w:after="0" w:line="240" w:lineRule="auto"/>
        <w:ind w:left="230"/>
        <w:shd w:val="clear" w:color="auto" w:fill="F7F9FC"/>
        <w:pBdr>
          <w:left w:val="single" w:sz="4" w:space="6" w:color="D0D5DD"/>
        </w:pBdr>
      </w:pPr>
      <w:r>
        <w:rPr>
          <w:rFonts w:ascii="Consolas" w:hAnsi="Consolas"/>
          <w:color w:val="0B1F3A"/>
          <w:sz w:val="16"/>
        </w:rPr>
        <w:t xml:space="preserve">  v_count integer;</w:t>
      </w:r>
    </w:p>
    <w:p>
      <w:pPr>
        <w:spacing w:before="0" w:after="0" w:line="240" w:lineRule="auto"/>
        <w:ind w:left="230"/>
        <w:shd w:val="clear" w:color="auto" w:fill="F7F9FC"/>
        <w:pBdr>
          <w:left w:val="single" w:sz="4" w:space="6" w:color="D0D5DD"/>
        </w:pBdr>
      </w:pPr>
      <w:r>
        <w:rPr>
          <w:rFonts w:ascii="Consolas" w:hAnsi="Consolas"/>
          <w:color w:val="0B1F3A"/>
          <w:sz w:val="16"/>
        </w:rPr>
        <w:t xml:space="preserve">  v_sum   bigint;</w:t>
      </w:r>
    </w:p>
    <w:p>
      <w:pPr>
        <w:spacing w:before="0" w:after="0" w:line="240" w:lineRule="auto"/>
        <w:ind w:left="230"/>
        <w:shd w:val="clear" w:color="auto" w:fill="F7F9FC"/>
        <w:pBdr>
          <w:left w:val="single" w:sz="4" w:space="6" w:color="D0D5DD"/>
        </w:pBdr>
      </w:pPr>
      <w:r>
        <w:rPr>
          <w:rFonts w:ascii="Consolas" w:hAnsi="Consolas"/>
          <w:color w:val="0B1F3A"/>
          <w:sz w:val="16"/>
        </w:rPr>
        <w:t>BEGIN</w:t>
      </w:r>
    </w:p>
    <w:p>
      <w:pPr>
        <w:spacing w:before="0" w:after="0" w:line="240" w:lineRule="auto"/>
        <w:ind w:left="230"/>
        <w:shd w:val="clear" w:color="auto" w:fill="F7F9FC"/>
        <w:pBdr>
          <w:left w:val="single" w:sz="4" w:space="6" w:color="D0D5DD"/>
        </w:pBdr>
      </w:pPr>
      <w:r>
        <w:rPr>
          <w:rFonts w:ascii="Consolas" w:hAnsi="Consolas"/>
          <w:color w:val="0B1F3A"/>
          <w:sz w:val="16"/>
        </w:rPr>
        <w:t xml:space="preserve">  v_txn := COALESCE(NEW.transaction_id, OLD.transaction_id);</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SELECT count(*), COALESCE(sum(signed_kobo), 0)</w:t>
      </w:r>
    </w:p>
    <w:p>
      <w:pPr>
        <w:spacing w:before="0" w:after="0" w:line="240" w:lineRule="auto"/>
        <w:ind w:left="230"/>
        <w:shd w:val="clear" w:color="auto" w:fill="F7F9FC"/>
        <w:pBdr>
          <w:left w:val="single" w:sz="4" w:space="6" w:color="D0D5DD"/>
        </w:pBdr>
      </w:pPr>
      <w:r>
        <w:rPr>
          <w:rFonts w:ascii="Consolas" w:hAnsi="Consolas"/>
          <w:color w:val="0B1F3A"/>
          <w:sz w:val="16"/>
        </w:rPr>
        <w:t xml:space="preserve">    INTO v_count, v_sum</w:t>
      </w:r>
    </w:p>
    <w:p>
      <w:pPr>
        <w:spacing w:before="0" w:after="0" w:line="240" w:lineRule="auto"/>
        <w:ind w:left="230"/>
        <w:shd w:val="clear" w:color="auto" w:fill="F7F9FC"/>
        <w:pBdr>
          <w:left w:val="single" w:sz="4" w:space="6" w:color="D0D5DD"/>
        </w:pBdr>
      </w:pPr>
      <w:r>
        <w:rPr>
          <w:rFonts w:ascii="Consolas" w:hAnsi="Consolas"/>
          <w:color w:val="0B1F3A"/>
          <w:sz w:val="16"/>
        </w:rPr>
        <w:t xml:space="preserve">    FROM ledger_postings WHERE transaction_id = v_txn;</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IF v_count &lt; 2 THEN</w:t>
      </w:r>
    </w:p>
    <w:p>
      <w:pPr>
        <w:spacing w:before="0" w:after="0" w:line="240" w:lineRule="auto"/>
        <w:ind w:left="230"/>
        <w:shd w:val="clear" w:color="auto" w:fill="F7F9FC"/>
        <w:pBdr>
          <w:left w:val="single" w:sz="4" w:space="6" w:color="D0D5DD"/>
        </w:pBdr>
      </w:pPr>
      <w:r>
        <w:rPr>
          <w:rFonts w:ascii="Consolas" w:hAnsi="Consolas"/>
          <w:color w:val="0B1F3A"/>
          <w:sz w:val="16"/>
        </w:rPr>
        <w:t xml:space="preserve">    RAISE EXCEPTION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'ledger transaction % has % posting(s); an entry needs at least 2',</w:t>
      </w:r>
    </w:p>
    <w:p>
      <w:pPr>
        <w:spacing w:before="0" w:after="0" w:line="240" w:lineRule="auto"/>
        <w:ind w:left="230"/>
        <w:shd w:val="clear" w:color="auto" w:fill="F7F9FC"/>
        <w:pBdr>
          <w:left w:val="single" w:sz="4" w:space="6" w:color="D0D5DD"/>
        </w:pBdr>
      </w:pPr>
      <w:r>
        <w:rPr>
          <w:rFonts w:ascii="Consolas" w:hAnsi="Consolas"/>
          <w:color w:val="0B1F3A"/>
          <w:sz w:val="16"/>
        </w:rPr>
        <w:t xml:space="preserve">      v_txn, v_count</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USING ERRCODE = 'check_violation',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HINT = 'A one-legged entry is a typo for a transfer. Write the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'counter-leg in the same transaction.';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END IF;</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IF v_sum &lt;&gt; 0 THEN</w:t>
      </w:r>
    </w:p>
    <w:p>
      <w:pPr>
        <w:spacing w:before="0" w:after="0" w:line="240" w:lineRule="auto"/>
        <w:ind w:left="230"/>
        <w:shd w:val="clear" w:color="auto" w:fill="F7F9FC"/>
        <w:pBdr>
          <w:left w:val="single" w:sz="4" w:space="6" w:color="D0D5DD"/>
        </w:pBdr>
      </w:pPr>
      <w:r>
        <w:rPr>
          <w:rFonts w:ascii="Consolas" w:hAnsi="Consolas"/>
          <w:color w:val="0B1F3A"/>
          <w:sz w:val="16"/>
        </w:rPr>
        <w:t xml:space="preserve">    RAISE EXCEPTION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'ledger transaction % is out of balance by % kobo',</w:t>
      </w:r>
    </w:p>
    <w:p>
      <w:pPr>
        <w:spacing w:before="0" w:after="0" w:line="240" w:lineRule="auto"/>
        <w:ind w:left="230"/>
        <w:shd w:val="clear" w:color="auto" w:fill="F7F9FC"/>
        <w:pBdr>
          <w:left w:val="single" w:sz="4" w:space="6" w:color="D0D5DD"/>
        </w:pBdr>
      </w:pPr>
      <w:r>
        <w:rPr>
          <w:rFonts w:ascii="Consolas" w:hAnsi="Consolas"/>
          <w:color w:val="0B1F3A"/>
          <w:sz w:val="16"/>
        </w:rPr>
        <w:t xml:space="preserve">      v_txn, v_sum</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USING ERRCODE = 'check_violation';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END IF;</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RETURN NULL;</w:t>
      </w:r>
    </w:p>
    <w:p>
      <w:pPr>
        <w:spacing w:before="0" w:after="0" w:line="240" w:lineRule="auto"/>
        <w:ind w:left="230"/>
        <w:shd w:val="clear" w:color="auto" w:fill="F7F9FC"/>
        <w:pBdr>
          <w:left w:val="single" w:sz="4" w:space="6" w:color="D0D5DD"/>
        </w:pBdr>
      </w:pPr>
      <w:r>
        <w:rPr>
          <w:rFonts w:ascii="Consolas" w:hAnsi="Consolas"/>
          <w:color w:val="0B1F3A"/>
          <w:sz w:val="16"/>
        </w:rPr>
        <w:t>END;</w:t>
      </w:r>
    </w:p>
    <w:p>
      <w:pPr>
        <w:spacing w:before="0" w:after="0" w:line="240" w:lineRule="auto"/>
        <w:ind w:left="230"/>
        <w:shd w:val="clear" w:color="auto" w:fill="F7F9FC"/>
        <w:pBdr>
          <w:left w:val="single" w:sz="4" w:space="6" w:color="D0D5DD"/>
        </w:pBdr>
      </w:pPr>
      <w:r>
        <w:rPr>
          <w:rFonts w:ascii="Consolas" w:hAnsi="Consolas"/>
          <w:color w:val="0B1F3A"/>
          <w:sz w:val="16"/>
        </w:rPr>
        <w:t>$fn$;</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CREATE CONSTRAINT TRIGGER ledger_postings_balanced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AFTER INSERT OR UPDATE OR DELETE ON ledger_postings</w:t>
      </w:r>
    </w:p>
    <w:p>
      <w:pPr>
        <w:spacing w:before="0" w:after="0" w:line="240" w:lineRule="auto"/>
        <w:ind w:left="230"/>
        <w:shd w:val="clear" w:color="auto" w:fill="F7F9FC"/>
        <w:pBdr>
          <w:left w:val="single" w:sz="4" w:space="6" w:color="D0D5DD"/>
        </w:pBdr>
      </w:pPr>
      <w:r>
        <w:rPr>
          <w:rFonts w:ascii="Consolas" w:hAnsi="Consolas"/>
          <w:color w:val="0B1F3A"/>
          <w:sz w:val="16"/>
        </w:rPr>
        <w:t xml:space="preserve">  DEFERRABLE INITIALLY DEFERRED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FOR EACH ROW EXECUTE FUNCTION app.assert_ledger_balanced_for_txn();</w:t>
      </w:r>
    </w:p>
    <w:p>
      <w:r>
        <w:rPr>
          <w:rFonts w:ascii="Calibri" w:hAnsi="Calibri"/>
          <w:b w:val="0"/>
          <w:i w:val="0"/>
          <w:color w:val="101828"/>
          <w:sz w:val="21"/>
        </w:rPr>
        <w:t>Both failure modes are named in the trigger because they mean different things to whoever is on call at two in the morning. Zero postings is a half-finished transfer. A non-zero sum is an arithmetic mistake, and the exception prints the exact kobo difference so the fix does not require a query.</w:t>
      </w:r>
    </w:p>
    <w:p>
      <w:r>
        <w:rPr>
          <w:rFonts w:ascii="Calibri" w:hAnsi="Calibri"/>
          <w:b w:val="0"/>
          <w:i w:val="0"/>
          <w:color w:val="101828"/>
          <w:sz w:val="21"/>
        </w:rPr>
        <w:t xml:space="preserve">The unique index on </w:t>
      </w:r>
      <w:r>
        <w:rPr>
          <w:rFonts w:ascii="Consolas" w:hAnsi="Consolas"/>
          <w:color w:val="146EF5"/>
          <w:sz w:val="21"/>
        </w:rPr>
        <w:t>(transaction_id, account_kind, side)</w:t>
      </w:r>
      <w:r>
        <w:rPr>
          <w:rFonts w:ascii="Calibri" w:hAnsi="Calibri"/>
          <w:b w:val="0"/>
          <w:i w:val="0"/>
          <w:color w:val="101828"/>
          <w:sz w:val="21"/>
        </w:rPr>
        <w:t xml:space="preserve"> is what prevents the degenerate entry. A transaction that debits member A and credits member A is balanced, sums to zero, has two postings, and moves no money. Forbidding the same account on both sides of one entry makes that unrepresentable instead of merely discouraged.</w:t>
      </w:r>
    </w:p>
    <w:p>
      <w:r>
        <w:rPr>
          <w:rFonts w:ascii="Calibri" w:hAnsi="Calibri"/>
          <w:b w:val="0"/>
          <w:i w:val="0"/>
          <w:color w:val="101828"/>
          <w:sz w:val="21"/>
        </w:rPr>
        <w:t xml:space="preserve">Reversals are one level deep, and this is the rule that took the longest to get right. The first draft compared a reversal's target against the set of reversal ids with a multidimensional </w:t>
      </w:r>
      <w:r>
        <w:rPr>
          <w:rFonts w:ascii="Consolas" w:hAnsi="Consolas"/>
          <w:color w:val="146EF5"/>
          <w:sz w:val="21"/>
        </w:rPr>
        <w:t>unnest</w:t>
      </w:r>
      <w:r>
        <w:rPr>
          <w:rFonts w:ascii="Calibri" w:hAnsi="Calibri"/>
          <w:b w:val="0"/>
          <w:i w:val="0"/>
          <w:color w:val="101828"/>
          <w:sz w:val="21"/>
        </w:rPr>
        <w:t>, which PostgreSQL does not flatten, so the check silently never fired. The working version reads the target's kind directly.</w:t>
      </w:r>
    </w:p>
    <w:p>
      <w:pPr>
        <w:spacing w:before="0" w:after="0" w:line="240" w:lineRule="auto"/>
        <w:ind w:left="230"/>
        <w:shd w:val="clear" w:color="auto" w:fill="F7F9FC"/>
        <w:pBdr>
          <w:left w:val="single" w:sz="4" w:space="6" w:color="D0D5DD"/>
        </w:pBdr>
      </w:pPr>
      <w:r>
        <w:rPr>
          <w:rFonts w:ascii="Consolas" w:hAnsi="Consolas"/>
          <w:color w:val="0B1F3A"/>
          <w:sz w:val="16"/>
        </w:rPr>
        <w:t xml:space="preserve">  IF NEW.kind = 'reversal' THEN</w:t>
      </w:r>
    </w:p>
    <w:p>
      <w:pPr>
        <w:spacing w:before="0" w:after="0" w:line="240" w:lineRule="auto"/>
        <w:ind w:left="230"/>
        <w:shd w:val="clear" w:color="auto" w:fill="F7F9FC"/>
        <w:pBdr>
          <w:left w:val="single" w:sz="4" w:space="6" w:color="D0D5DD"/>
        </w:pBdr>
      </w:pPr>
      <w:r>
        <w:rPr>
          <w:rFonts w:ascii="Consolas" w:hAnsi="Consolas"/>
          <w:color w:val="0B1F3A"/>
          <w:sz w:val="16"/>
        </w:rPr>
        <w:t xml:space="preserve">    -- CR-21: a reversal of a reversal is not a correction, it is an</w:t>
      </w:r>
    </w:p>
    <w:p>
      <w:pPr>
        <w:spacing w:before="0" w:after="0" w:line="240" w:lineRule="auto"/>
        <w:ind w:left="230"/>
        <w:shd w:val="clear" w:color="auto" w:fill="F7F9FC"/>
        <w:pBdr>
          <w:left w:val="single" w:sz="4" w:space="6" w:color="D0D5DD"/>
        </w:pBdr>
      </w:pPr>
      <w:r>
        <w:rPr>
          <w:rFonts w:ascii="Consolas" w:hAnsi="Consolas"/>
          <w:color w:val="0B1F3A"/>
          <w:sz w:val="16"/>
        </w:rPr>
        <w:t xml:space="preserve">    -- untraceable second correction.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SELECT kind INTO v_target_kind</w:t>
      </w:r>
    </w:p>
    <w:p>
      <w:pPr>
        <w:spacing w:before="0" w:after="0" w:line="240" w:lineRule="auto"/>
        <w:ind w:left="230"/>
        <w:shd w:val="clear" w:color="auto" w:fill="F7F9FC"/>
        <w:pBdr>
          <w:left w:val="single" w:sz="4" w:space="6" w:color="D0D5DD"/>
        </w:pBdr>
      </w:pPr>
      <w:r>
        <w:rPr>
          <w:rFonts w:ascii="Consolas" w:hAnsi="Consolas"/>
          <w:color w:val="0B1F3A"/>
          <w:sz w:val="16"/>
        </w:rPr>
        <w:t xml:space="preserve">      FROM ledger_transactions</w:t>
      </w:r>
    </w:p>
    <w:p>
      <w:pPr>
        <w:spacing w:before="0" w:after="0" w:line="240" w:lineRule="auto"/>
        <w:ind w:left="230"/>
        <w:shd w:val="clear" w:color="auto" w:fill="F7F9FC"/>
        <w:pBdr>
          <w:left w:val="single" w:sz="4" w:space="6" w:color="D0D5DD"/>
        </w:pBdr>
      </w:pPr>
      <w:r>
        <w:rPr>
          <w:rFonts w:ascii="Consolas" w:hAnsi="Consolas"/>
          <w:color w:val="0B1F3A"/>
          <w:sz w:val="16"/>
        </w:rPr>
        <w:t xml:space="preserve">     WHERE id = NEW.reverses_transaction_id;</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IF v_target_kind = 'reversal' THEN</w:t>
      </w:r>
    </w:p>
    <w:p>
      <w:pPr>
        <w:spacing w:before="0" w:after="0" w:line="240" w:lineRule="auto"/>
        <w:ind w:left="230"/>
        <w:shd w:val="clear" w:color="auto" w:fill="F7F9FC"/>
        <w:pBdr>
          <w:left w:val="single" w:sz="4" w:space="6" w:color="D0D5DD"/>
        </w:pBdr>
      </w:pPr>
      <w:r>
        <w:rPr>
          <w:rFonts w:ascii="Consolas" w:hAnsi="Consolas"/>
          <w:color w:val="0B1F3A"/>
          <w:sz w:val="16"/>
        </w:rPr>
        <w:t xml:space="preserve">      RAISE EXCEPTION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'transaction % reverses %, which is itself a reversal; '</w:t>
      </w:r>
    </w:p>
    <w:p>
      <w:pPr>
        <w:spacing w:before="0" w:after="0" w:line="240" w:lineRule="auto"/>
        <w:ind w:left="230"/>
        <w:shd w:val="clear" w:color="auto" w:fill="F7F9FC"/>
        <w:pBdr>
          <w:left w:val="single" w:sz="4" w:space="6" w:color="D0D5DD"/>
        </w:pBdr>
      </w:pPr>
      <w:r>
        <w:rPr>
          <w:rFonts w:ascii="Consolas" w:hAnsi="Consolas"/>
          <w:color w:val="0B1F3A"/>
          <w:sz w:val="16"/>
        </w:rPr>
        <w:t xml:space="preserve">        'reversals are one level deep (CR-21)',</w:t>
      </w:r>
    </w:p>
    <w:p>
      <w:pPr>
        <w:spacing w:before="0" w:after="0" w:line="240" w:lineRule="auto"/>
        <w:ind w:left="230"/>
        <w:shd w:val="clear" w:color="auto" w:fill="F7F9FC"/>
        <w:pBdr>
          <w:left w:val="single" w:sz="4" w:space="6" w:color="D0D5DD"/>
        </w:pBdr>
      </w:pPr>
      <w:r>
        <w:rPr>
          <w:rFonts w:ascii="Consolas" w:hAnsi="Consolas"/>
          <w:color w:val="0B1F3A"/>
          <w:sz w:val="16"/>
        </w:rPr>
        <w:t xml:space="preserve">        NEW.id, NEW.reverses_transaction_id</w:t>
      </w:r>
    </w:p>
    <w:p>
      <w:pPr>
        <w:spacing w:before="0" w:after="0" w:line="240" w:lineRule="auto"/>
        <w:ind w:left="230"/>
        <w:shd w:val="clear" w:color="auto" w:fill="F7F9FC"/>
        <w:pBdr>
          <w:left w:val="single" w:sz="4" w:space="6" w:color="D0D5DD"/>
        </w:pBdr>
      </w:pPr>
      <w:r>
        <w:rPr>
          <w:rFonts w:ascii="Consolas" w:hAnsi="Consolas"/>
          <w:color w:val="0B1F3A"/>
          <w:sz w:val="16"/>
        </w:rPr>
        <w:t xml:space="preserve">        USING ERRCODE = 'check_violation',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HINT = 'If entry A was wrong and B corrected it, the fix '</w:t>
      </w:r>
    </w:p>
    <w:p>
      <w:pPr>
        <w:spacing w:before="0" w:after="0" w:line="240" w:lineRule="auto"/>
        <w:ind w:left="230"/>
        <w:shd w:val="clear" w:color="auto" w:fill="F7F9FC"/>
        <w:pBdr>
          <w:left w:val="single" w:sz="4" w:space="6" w:color="D0D5DD"/>
        </w:pBdr>
      </w:pPr>
      <w:r>
        <w:rPr>
          <w:rFonts w:ascii="Consolas" w:hAnsi="Consolas"/>
          <w:color w:val="0B1F3A"/>
          <w:sz w:val="16"/>
        </w:rPr>
        <w:t xml:space="preserve">                     'for B is a new entry C, not a reversal of B.';</w:t>
      </w:r>
    </w:p>
    <w:p>
      <w:pPr>
        <w:spacing w:before="0" w:after="0" w:line="240" w:lineRule="auto"/>
        <w:ind w:left="230"/>
        <w:shd w:val="clear" w:color="auto" w:fill="F7F9FC"/>
        <w:pBdr>
          <w:left w:val="single" w:sz="4" w:space="6" w:color="D0D5DD"/>
        </w:pBdr>
      </w:pPr>
      <w:r>
        <w:rPr>
          <w:rFonts w:ascii="Consolas" w:hAnsi="Consolas"/>
          <w:color w:val="0B1F3A"/>
          <w:sz w:val="16"/>
        </w:rPr>
        <w:t xml:space="preserve">    END IF;</w:t>
      </w:r>
    </w:p>
    <w:p>
      <w:pPr>
        <w:spacing w:before="0" w:after="0" w:line="240" w:lineRule="auto"/>
        <w:ind w:left="230"/>
        <w:shd w:val="clear" w:color="auto" w:fill="F7F9FC"/>
        <w:pBdr>
          <w:left w:val="single" w:sz="4" w:space="6" w:color="D0D5DD"/>
        </w:pBdr>
      </w:pPr>
      <w:r>
        <w:rPr>
          <w:rFonts w:ascii="Consolas" w:hAnsi="Consolas"/>
          <w:color w:val="0B1F3A"/>
          <w:sz w:val="16"/>
        </w:rPr>
        <w:t xml:space="preserve">    RETURN NULL;</w:t>
      </w:r>
    </w:p>
    <w:p>
      <w:pPr>
        <w:spacing w:before="0" w:after="0" w:line="240" w:lineRule="auto"/>
        <w:ind w:left="230"/>
        <w:shd w:val="clear" w:color="auto" w:fill="F7F9FC"/>
        <w:pBdr>
          <w:left w:val="single" w:sz="4" w:space="6" w:color="D0D5DD"/>
        </w:pBdr>
      </w:pPr>
      <w:r>
        <w:rPr>
          <w:rFonts w:ascii="Consolas" w:hAnsi="Consolas"/>
          <w:color w:val="0B1F3A"/>
          <w:sz w:val="16"/>
        </w:rPr>
        <w:t xml:space="preserve">  END IF;</w:t>
      </w:r>
    </w:p>
    <w:p>
      <w:pPr>
        <w:pStyle w:val="Heading2"/>
      </w:pPr>
      <w:r>
        <w:rPr>
          <w:rFonts w:ascii="Calibri" w:hAnsi="Calibri"/>
          <w:b/>
          <w:i w:val="0"/>
          <w:color w:val="146EF5"/>
          <w:sz w:val="29"/>
        </w:rPr>
        <w:t>9.4 Indexes and the queries they are for</w:t>
      </w:r>
    </w:p>
    <w:p>
      <w:r>
        <w:rPr>
          <w:rFonts w:ascii="Calibri" w:hAnsi="Calibri"/>
          <w:b w:val="0"/>
          <w:i w:val="0"/>
          <w:color w:val="101828"/>
          <w:sz w:val="21"/>
        </w:rPr>
        <w:t>An index in this schema earns its place by serving a named query. The list below is short because most tables are small, and an index on a table of forty rows costs a write on every insert to make a query that fits in memory faster. 145 indexes across 40 tables sounds like a lot until you notice that thirty of the tables are reference data, lookup rows, or the audit log, and the member facing read path is six queries wide.</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7"/>
              </w:rPr>
              <w:t>Index</w:t>
            </w:r>
          </w:p>
        </w:tc>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7"/>
              </w:rPr>
              <w:t>Serves</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7"/>
              </w:rPr>
              <w:t>Why it is shaped this way</w:t>
            </w:r>
          </w:p>
        </w:tc>
      </w:tr>
      <w:tr>
        <w:trPr>
          <w:cantSplit/>
        </w:trPr>
        <w:tc>
          <w:tcPr>
            <w:tcW w:type="dxa" w:w="2736"/>
            <w:tcMar>
              <w:top w:w="60" w:type="dxa"/>
              <w:start w:w="110" w:type="dxa"/>
              <w:bottom w:w="60" w:type="dxa"/>
              <w:end w:w="110" w:type="dxa"/>
            </w:tcMar>
          </w:tcPr>
          <w:p>
            <w:pPr>
              <w:spacing w:after="0"/>
            </w:pPr>
            <w:r/>
            <w:r>
              <w:rPr>
                <w:rFonts w:ascii="Consolas" w:hAnsi="Consolas"/>
                <w:color w:val="146EF5"/>
                <w:sz w:val="17"/>
              </w:rPr>
              <w:t>ajo_members_one_live_position</w:t>
            </w:r>
          </w:p>
        </w:tc>
        <w:tc>
          <w:tcPr>
            <w:tcW w:type="dxa" w:w="3168"/>
            <w:tcMar>
              <w:top w:w="60" w:type="dxa"/>
              <w:start w:w="110" w:type="dxa"/>
              <w:bottom w:w="60" w:type="dxa"/>
              <w:end w:w="110" w:type="dxa"/>
            </w:tcMar>
          </w:tcPr>
          <w:p>
            <w:pPr>
              <w:spacing w:after="0"/>
            </w:pPr>
            <w:r/>
            <w:r>
              <w:rPr>
                <w:rFonts w:ascii="Calibri" w:hAnsi="Calibri"/>
                <w:b w:val="0"/>
                <w:i w:val="0"/>
                <w:color w:val="101828"/>
                <w:sz w:val="17"/>
              </w:rPr>
              <w:t>"Claim position 3 for this Ajo"</w:t>
            </w:r>
          </w:p>
        </w:tc>
        <w:tc>
          <w:tcPr>
            <w:tcW w:type="dxa" w:w="3456"/>
            <w:tcMar>
              <w:top w:w="60" w:type="dxa"/>
              <w:start w:w="110" w:type="dxa"/>
              <w:bottom w:w="60" w:type="dxa"/>
              <w:end w:w="110" w:type="dxa"/>
            </w:tcMar>
          </w:tcPr>
          <w:p>
            <w:pPr>
              <w:spacing w:after="0"/>
            </w:pPr>
            <w:r/>
            <w:r>
              <w:rPr>
                <w:rFonts w:ascii="Calibri" w:hAnsi="Calibri"/>
                <w:b w:val="0"/>
                <w:i w:val="0"/>
                <w:color w:val="101828"/>
                <w:sz w:val="17"/>
              </w:rPr>
              <w:t>Partial on live statuses, so a departed member's row does not block a new claim and a defaulted member's row does not either.</w:t>
            </w:r>
          </w:p>
        </w:tc>
      </w:tr>
      <w:tr>
        <w:trPr>
          <w:cantSplit/>
        </w:trPr>
        <w:tc>
          <w:tcPr>
            <w:tcW w:type="dxa" w:w="2736"/>
            <w:tcMar>
              <w:top w:w="60" w:type="dxa"/>
              <w:start w:w="110" w:type="dxa"/>
              <w:bottom w:w="60" w:type="dxa"/>
              <w:end w:w="110" w:type="dxa"/>
            </w:tcMar>
            <w:shd w:val="clear" w:color="auto" w:fill="F4F7FB"/>
          </w:tcPr>
          <w:p>
            <w:pPr>
              <w:spacing w:after="0"/>
            </w:pPr>
            <w:r/>
            <w:r>
              <w:rPr>
                <w:rFonts w:ascii="Consolas" w:hAnsi="Consolas"/>
                <w:color w:val="146EF5"/>
                <w:sz w:val="17"/>
              </w:rPr>
              <w:t>ledger_txns_kind_recognized</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7"/>
              </w:rPr>
              <w:t>"What has been recognised, in order, for this round"</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7"/>
              </w:rPr>
              <w:t xml:space="preserve">Descending on </w:t>
            </w:r>
            <w:r>
              <w:rPr>
                <w:rFonts w:ascii="Consolas" w:hAnsi="Consolas"/>
                <w:color w:val="146EF5"/>
                <w:sz w:val="17"/>
              </w:rPr>
              <w:t>recognized_at</w:t>
            </w:r>
            <w:r>
              <w:rPr>
                <w:rFonts w:ascii="Calibri" w:hAnsi="Calibri"/>
                <w:b w:val="0"/>
                <w:i w:val="0"/>
                <w:color w:val="101828"/>
                <w:sz w:val="17"/>
              </w:rPr>
              <w:t xml:space="preserve"> so the reconciliation walk reads backwards from now without a sort.</w:t>
            </w:r>
          </w:p>
        </w:tc>
      </w:tr>
      <w:tr>
        <w:trPr>
          <w:cantSplit/>
        </w:trPr>
        <w:tc>
          <w:tcPr>
            <w:tcW w:type="dxa" w:w="2736"/>
            <w:tcMar>
              <w:top w:w="60" w:type="dxa"/>
              <w:start w:w="110" w:type="dxa"/>
              <w:bottom w:w="60" w:type="dxa"/>
              <w:end w:w="110" w:type="dxa"/>
            </w:tcMar>
          </w:tcPr>
          <w:p>
            <w:pPr>
              <w:spacing w:after="0"/>
            </w:pPr>
            <w:r/>
            <w:r>
              <w:rPr>
                <w:rFonts w:ascii="Consolas" w:hAnsi="Consolas"/>
                <w:color w:val="146EF5"/>
                <w:sz w:val="17"/>
              </w:rPr>
              <w:t>payments_ajo_id_created_at</w:t>
            </w:r>
          </w:p>
        </w:tc>
        <w:tc>
          <w:tcPr>
            <w:tcW w:type="dxa" w:w="3168"/>
            <w:tcMar>
              <w:top w:w="60" w:type="dxa"/>
              <w:start w:w="110" w:type="dxa"/>
              <w:bottom w:w="60" w:type="dxa"/>
              <w:end w:w="110" w:type="dxa"/>
            </w:tcMar>
          </w:tcPr>
          <w:p>
            <w:pPr>
              <w:spacing w:after="0"/>
            </w:pPr>
            <w:r/>
            <w:r>
              <w:rPr>
                <w:rFonts w:ascii="Calibri" w:hAnsi="Calibri"/>
                <w:b w:val="0"/>
                <w:i w:val="0"/>
                <w:color w:val="101828"/>
                <w:sz w:val="17"/>
              </w:rPr>
              <w:t>"This Ajo's payments, newest first"</w:t>
            </w:r>
          </w:p>
        </w:tc>
        <w:tc>
          <w:tcPr>
            <w:tcW w:type="dxa" w:w="3456"/>
            <w:tcMar>
              <w:top w:w="60" w:type="dxa"/>
              <w:start w:w="110" w:type="dxa"/>
              <w:bottom w:w="60" w:type="dxa"/>
              <w:end w:w="110" w:type="dxa"/>
            </w:tcMar>
          </w:tcPr>
          <w:p>
            <w:pPr>
              <w:spacing w:after="0"/>
            </w:pPr>
            <w:r/>
            <w:r>
              <w:rPr>
                <w:rFonts w:ascii="Consolas" w:hAnsi="Consolas"/>
                <w:color w:val="146EF5"/>
                <w:sz w:val="17"/>
              </w:rPr>
              <w:t>ajo_id</w:t>
            </w:r>
            <w:r>
              <w:rPr>
                <w:rFonts w:ascii="Calibri" w:hAnsi="Calibri"/>
                <w:b w:val="0"/>
                <w:i w:val="0"/>
                <w:color w:val="101828"/>
                <w:sz w:val="17"/>
              </w:rPr>
              <w:t xml:space="preserve"> is denormalized onto </w:t>
            </w:r>
            <w:r>
              <w:rPr>
                <w:rFonts w:ascii="Consolas" w:hAnsi="Consolas"/>
                <w:color w:val="146EF5"/>
                <w:sz w:val="17"/>
              </w:rPr>
              <w:t>payments</w:t>
            </w:r>
            <w:r>
              <w:rPr>
                <w:rFonts w:ascii="Calibri" w:hAnsi="Calibri"/>
                <w:b w:val="0"/>
                <w:i w:val="0"/>
                <w:color w:val="101828"/>
                <w:sz w:val="17"/>
              </w:rPr>
              <w:t xml:space="preserve"> precisely so this index does not have to join through </w:t>
            </w:r>
            <w:r>
              <w:rPr>
                <w:rFonts w:ascii="Consolas" w:hAnsi="Consolas"/>
                <w:color w:val="146EF5"/>
                <w:sz w:val="17"/>
              </w:rPr>
              <w:t>contributions</w:t>
            </w:r>
            <w:r>
              <w:rPr>
                <w:rFonts w:ascii="Calibri" w:hAnsi="Calibri"/>
                <w:b w:val="0"/>
                <w:i w:val="0"/>
                <w:color w:val="101828"/>
                <w:sz w:val="17"/>
              </w:rPr>
              <w:t xml:space="preserve"> first.</w:t>
            </w:r>
          </w:p>
        </w:tc>
      </w:tr>
      <w:tr>
        <w:trPr>
          <w:cantSplit/>
        </w:trPr>
        <w:tc>
          <w:tcPr>
            <w:tcW w:type="dxa" w:w="2736"/>
            <w:tcMar>
              <w:top w:w="60" w:type="dxa"/>
              <w:start w:w="110" w:type="dxa"/>
              <w:bottom w:w="60" w:type="dxa"/>
              <w:end w:w="110" w:type="dxa"/>
            </w:tcMar>
            <w:shd w:val="clear" w:color="auto" w:fill="F4F7FB"/>
          </w:tcPr>
          <w:p>
            <w:pPr>
              <w:spacing w:after="0"/>
            </w:pPr>
            <w:r/>
            <w:r>
              <w:rPr>
                <w:rFonts w:ascii="Consolas" w:hAnsi="Consolas"/>
                <w:color w:val="146EF5"/>
                <w:sz w:val="17"/>
              </w:rPr>
              <w:t>notifications_dedupe_key</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7"/>
              </w:rPr>
              <w:t>"Has this member already been told?"</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7"/>
              </w:rPr>
              <w:t xml:space="preserve">Unique. The key is </w:t>
            </w:r>
            <w:r>
              <w:rPr>
                <w:rFonts w:ascii="Consolas" w:hAnsi="Consolas"/>
                <w:color w:val="146EF5"/>
                <w:sz w:val="17"/>
              </w:rPr>
              <w:t>(user, event, reference)</w:t>
            </w:r>
            <w:r>
              <w:rPr>
                <w:rFonts w:ascii="Calibri" w:hAnsi="Calibri"/>
                <w:b w:val="0"/>
                <w:i w:val="0"/>
                <w:color w:val="101828"/>
                <w:sz w:val="17"/>
              </w:rPr>
              <w:t>, so a retried worker inserts zero rows rather than two.</w:t>
            </w:r>
          </w:p>
        </w:tc>
      </w:tr>
      <w:tr>
        <w:trPr>
          <w:cantSplit/>
        </w:trPr>
        <w:tc>
          <w:tcPr>
            <w:tcW w:type="dxa" w:w="2736"/>
            <w:tcMar>
              <w:top w:w="60" w:type="dxa"/>
              <w:start w:w="110" w:type="dxa"/>
              <w:bottom w:w="60" w:type="dxa"/>
              <w:end w:w="110" w:type="dxa"/>
            </w:tcMar>
          </w:tcPr>
          <w:p>
            <w:pPr>
              <w:spacing w:after="0"/>
            </w:pPr>
            <w:r/>
            <w:r>
              <w:rPr>
                <w:rFonts w:ascii="Consolas" w:hAnsi="Consolas"/>
                <w:color w:val="146EF5"/>
                <w:sz w:val="17"/>
              </w:rPr>
              <w:t>webhook_events_provider_event</w:t>
            </w:r>
          </w:p>
        </w:tc>
        <w:tc>
          <w:tcPr>
            <w:tcW w:type="dxa" w:w="3168"/>
            <w:tcMar>
              <w:top w:w="60" w:type="dxa"/>
              <w:start w:w="110" w:type="dxa"/>
              <w:bottom w:w="60" w:type="dxa"/>
              <w:end w:w="110" w:type="dxa"/>
            </w:tcMar>
          </w:tcPr>
          <w:p>
            <w:pPr>
              <w:spacing w:after="0"/>
            </w:pPr>
            <w:r/>
            <w:r>
              <w:rPr>
                <w:rFonts w:ascii="Calibri" w:hAnsi="Calibri"/>
                <w:b w:val="0"/>
                <w:i w:val="0"/>
                <w:color w:val="101828"/>
                <w:sz w:val="17"/>
              </w:rPr>
              <w:t>"Have we seen this provider event?"</w:t>
            </w:r>
          </w:p>
        </w:tc>
        <w:tc>
          <w:tcPr>
            <w:tcW w:type="dxa" w:w="3456"/>
            <w:tcMar>
              <w:top w:w="60" w:type="dxa"/>
              <w:start w:w="110" w:type="dxa"/>
              <w:bottom w:w="60" w:type="dxa"/>
              <w:end w:w="110" w:type="dxa"/>
            </w:tcMar>
          </w:tcPr>
          <w:p>
            <w:pPr>
              <w:spacing w:after="0"/>
            </w:pPr>
            <w:r/>
            <w:r>
              <w:rPr>
                <w:rFonts w:ascii="Calibri" w:hAnsi="Calibri"/>
                <w:b w:val="0"/>
                <w:i w:val="0"/>
                <w:color w:val="101828"/>
                <w:sz w:val="17"/>
              </w:rPr>
              <w:t xml:space="preserve">Unique on the provider's own event id. This is the idempotency of the webhook receiver, and it is a constraint rather than a </w:t>
            </w:r>
            <w:r>
              <w:rPr>
                <w:rFonts w:ascii="Consolas" w:hAnsi="Consolas"/>
                <w:color w:val="146EF5"/>
                <w:sz w:val="17"/>
              </w:rPr>
              <w:t>SELECT</w:t>
            </w:r>
            <w:r>
              <w:rPr>
                <w:rFonts w:ascii="Calibri" w:hAnsi="Calibri"/>
                <w:b w:val="0"/>
                <w:i w:val="0"/>
                <w:color w:val="101828"/>
                <w:sz w:val="17"/>
              </w:rPr>
              <w:t>.</w:t>
            </w:r>
          </w:p>
        </w:tc>
      </w:tr>
      <w:tr>
        <w:trPr>
          <w:cantSplit/>
        </w:trPr>
        <w:tc>
          <w:tcPr>
            <w:tcW w:type="dxa" w:w="2736"/>
            <w:tcMar>
              <w:top w:w="60" w:type="dxa"/>
              <w:start w:w="110" w:type="dxa"/>
              <w:bottom w:w="60" w:type="dxa"/>
              <w:end w:w="110" w:type="dxa"/>
            </w:tcMar>
            <w:shd w:val="clear" w:color="auto" w:fill="F4F7FB"/>
          </w:tcPr>
          <w:p>
            <w:pPr>
              <w:spacing w:after="0"/>
            </w:pPr>
            <w:r/>
            <w:r>
              <w:rPr>
                <w:rFonts w:ascii="Consolas" w:hAnsi="Consolas"/>
                <w:color w:val="146EF5"/>
                <w:sz w:val="17"/>
              </w:rPr>
              <w:t>idempotency_keys_scope_key</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7"/>
              </w:rPr>
              <w:t>"Is this a retry?"</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7"/>
              </w:rPr>
              <w:t xml:space="preserve">Unique on </w:t>
            </w:r>
            <w:r>
              <w:rPr>
                <w:rFonts w:ascii="Consolas" w:hAnsi="Consolas"/>
                <w:color w:val="146EF5"/>
                <w:sz w:val="17"/>
              </w:rPr>
              <w:t>(scope, key)</w:t>
            </w:r>
            <w:r>
              <w:rPr>
                <w:rFonts w:ascii="Calibri" w:hAnsi="Calibri"/>
                <w:b w:val="0"/>
                <w:i w:val="0"/>
                <w:color w:val="101828"/>
                <w:sz w:val="17"/>
              </w:rPr>
              <w:t>, which is what makes replaying a request return the stored response instead of charging twice.</w:t>
            </w:r>
          </w:p>
        </w:tc>
      </w:tr>
      <w:tr>
        <w:trPr>
          <w:cantSplit/>
        </w:trPr>
        <w:tc>
          <w:tcPr>
            <w:tcW w:type="dxa" w:w="2736"/>
            <w:tcMar>
              <w:top w:w="60" w:type="dxa"/>
              <w:start w:w="110" w:type="dxa"/>
              <w:bottom w:w="60" w:type="dxa"/>
              <w:end w:w="110" w:type="dxa"/>
            </w:tcMar>
          </w:tcPr>
          <w:p>
            <w:pPr>
              <w:spacing w:after="0"/>
            </w:pPr>
            <w:r/>
            <w:r>
              <w:rPr>
                <w:rFonts w:ascii="Consolas" w:hAnsi="Consolas"/>
                <w:color w:val="146EF5"/>
                <w:sz w:val="17"/>
              </w:rPr>
              <w:t>audit_logs_actor_created</w:t>
            </w:r>
          </w:p>
        </w:tc>
        <w:tc>
          <w:tcPr>
            <w:tcW w:type="dxa" w:w="3168"/>
            <w:tcMar>
              <w:top w:w="60" w:type="dxa"/>
              <w:start w:w="110" w:type="dxa"/>
              <w:bottom w:w="60" w:type="dxa"/>
              <w:end w:w="110" w:type="dxa"/>
            </w:tcMar>
          </w:tcPr>
          <w:p>
            <w:pPr>
              <w:spacing w:after="0"/>
            </w:pPr>
            <w:r/>
            <w:r>
              <w:rPr>
                <w:rFonts w:ascii="Calibri" w:hAnsi="Calibri"/>
                <w:b w:val="0"/>
                <w:i w:val="0"/>
                <w:color w:val="101828"/>
                <w:sz w:val="17"/>
              </w:rPr>
              <w:t>"What did support do yesterday?"</w:t>
            </w:r>
          </w:p>
        </w:tc>
        <w:tc>
          <w:tcPr>
            <w:tcW w:type="dxa" w:w="3456"/>
            <w:tcMar>
              <w:top w:w="60" w:type="dxa"/>
              <w:start w:w="110" w:type="dxa"/>
              <w:bottom w:w="60" w:type="dxa"/>
              <w:end w:w="110" w:type="dxa"/>
            </w:tcMar>
          </w:tcPr>
          <w:p>
            <w:pPr>
              <w:spacing w:after="0"/>
            </w:pPr>
            <w:r/>
            <w:r>
              <w:rPr>
                <w:rFonts w:ascii="Calibri" w:hAnsi="Calibri"/>
                <w:b w:val="0"/>
                <w:i w:val="0"/>
                <w:color w:val="101828"/>
                <w:sz w:val="17"/>
              </w:rPr>
              <w:t>Only staff can read this table, so it gets one index and no member-facing variants.</w:t>
            </w:r>
          </w:p>
        </w:tc>
      </w:tr>
      <w:tr>
        <w:trPr>
          <w:cantSplit/>
        </w:trPr>
        <w:tc>
          <w:tcPr>
            <w:tcW w:type="dxa" w:w="2736"/>
            <w:tcMar>
              <w:top w:w="60" w:type="dxa"/>
              <w:start w:w="110" w:type="dxa"/>
              <w:bottom w:w="60" w:type="dxa"/>
              <w:end w:w="110" w:type="dxa"/>
            </w:tcMar>
            <w:shd w:val="clear" w:color="auto" w:fill="F4F7FB"/>
          </w:tcPr>
          <w:p>
            <w:pPr>
              <w:spacing w:after="0"/>
            </w:pPr>
            <w:r/>
            <w:r>
              <w:rPr>
                <w:rFonts w:ascii="Consolas" w:hAnsi="Consolas"/>
                <w:color w:val="146EF5"/>
                <w:sz w:val="17"/>
              </w:rPr>
              <w:t>outbox_events_unprocessed</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7"/>
              </w:rPr>
              <w:t>"What is the worker doing?"</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7"/>
              </w:rPr>
              <w:t xml:space="preserve">Partial on </w:t>
            </w:r>
            <w:r>
              <w:rPr>
                <w:rFonts w:ascii="Consolas" w:hAnsi="Consolas"/>
                <w:color w:val="146EF5"/>
                <w:sz w:val="17"/>
              </w:rPr>
              <w:t>processed_at IS NULL</w:t>
            </w:r>
            <w:r>
              <w:rPr>
                <w:rFonts w:ascii="Calibri" w:hAnsi="Calibri"/>
                <w:b w:val="0"/>
                <w:i w:val="0"/>
                <w:color w:val="101828"/>
                <w:sz w:val="17"/>
              </w:rPr>
              <w:t>, so the queue is the index rather than a filter over a table of finished work.</w:t>
            </w:r>
          </w:p>
        </w:tc>
      </w:tr>
    </w:tbl>
    <w:p>
      <w:pPr>
        <w:spacing w:after="80"/>
      </w:pPr>
    </w:p>
    <w:p>
      <w:r>
        <w:rPr>
          <w:rFonts w:ascii="Calibri" w:hAnsi="Calibri"/>
          <w:b w:val="0"/>
          <w:i w:val="0"/>
          <w:color w:val="101828"/>
          <w:sz w:val="21"/>
        </w:rPr>
        <w:t xml:space="preserve">Three of those are unique indexes doing double duty as constraints: </w:t>
      </w:r>
      <w:r>
        <w:rPr>
          <w:rFonts w:ascii="Consolas" w:hAnsi="Consolas"/>
          <w:color w:val="146EF5"/>
          <w:sz w:val="21"/>
        </w:rPr>
        <w:t>notifications_dedupe_key</w:t>
      </w:r>
      <w:r>
        <w:rPr>
          <w:rFonts w:ascii="Calibri" w:hAnsi="Calibri"/>
          <w:b w:val="0"/>
          <w:i w:val="0"/>
          <w:color w:val="101828"/>
          <w:sz w:val="21"/>
        </w:rPr>
        <w:t xml:space="preserve">, </w:t>
      </w:r>
      <w:r>
        <w:rPr>
          <w:rFonts w:ascii="Consolas" w:hAnsi="Consolas"/>
          <w:color w:val="146EF5"/>
          <w:sz w:val="21"/>
        </w:rPr>
        <w:t>webhook_events_provider_event</w:t>
      </w:r>
      <w:r>
        <w:rPr>
          <w:rFonts w:ascii="Calibri" w:hAnsi="Calibri"/>
          <w:b w:val="0"/>
          <w:i w:val="0"/>
          <w:color w:val="101828"/>
          <w:sz w:val="21"/>
        </w:rPr>
        <w:t xml:space="preserve"> and </w:t>
      </w:r>
      <w:r>
        <w:rPr>
          <w:rFonts w:ascii="Consolas" w:hAnsi="Consolas"/>
          <w:color w:val="146EF5"/>
          <w:sz w:val="21"/>
        </w:rPr>
        <w:t>idempotency_keys_scope_key</w:t>
      </w:r>
      <w:r>
        <w:rPr>
          <w:rFonts w:ascii="Calibri" w:hAnsi="Calibri"/>
          <w:b w:val="0"/>
          <w:i w:val="0"/>
          <w:color w:val="101828"/>
          <w:sz w:val="21"/>
        </w:rPr>
        <w:t xml:space="preserve"> each enforce a rule that CANONICAL.md states in prose, and each also serves the query that reads the rule back. That is why they are not written as a trigger plus a non-unique index. A trigger that raises on a duplicate is correct only if nothing can write the table between the check and the insert, and a unique index is correct by construction.</w:t>
      </w:r>
    </w:p>
    <w:p>
      <w:pPr>
        <w:pStyle w:val="Heading2"/>
      </w:pPr>
      <w:r>
        <w:rPr>
          <w:rFonts w:ascii="Calibri" w:hAnsi="Calibri"/>
          <w:b/>
          <w:i w:val="0"/>
          <w:color w:val="146EF5"/>
          <w:sz w:val="29"/>
        </w:rPr>
        <w:t>9.5 Money: generated columns, the fee, and the pool</w:t>
      </w:r>
    </w:p>
    <w:p>
      <w:r>
        <w:rPr>
          <w:rFonts w:ascii="Calibri" w:hAnsi="Calibri"/>
          <w:b w:val="0"/>
          <w:i w:val="0"/>
          <w:color w:val="101828"/>
          <w:sz w:val="21"/>
        </w:rPr>
        <w:t>This is the section to read if you are auditing the money. Everything here is computed by PostgreSQL from a base amount, and no caller supplies any of it. There are four generated money columns in the schema and every one of them exists because a caller-supplied version would be a value that could be wrong.</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7"/>
              </w:rPr>
              <w:t>Table</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7"/>
              </w:rPr>
              <w:t>Generated column</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7"/>
              </w:rPr>
              <w:t>Expression</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7"/>
              </w:rPr>
              <w:t>What it forbids</w:t>
            </w:r>
          </w:p>
        </w:tc>
      </w:tr>
      <w:tr>
        <w:trPr>
          <w:cantSplit/>
        </w:trPr>
        <w:tc>
          <w:tcPr>
            <w:tcW w:type="dxa" w:w="1872"/>
            <w:tcMar>
              <w:top w:w="60" w:type="dxa"/>
              <w:start w:w="110" w:type="dxa"/>
              <w:bottom w:w="60" w:type="dxa"/>
              <w:end w:w="110" w:type="dxa"/>
            </w:tcMar>
          </w:tcPr>
          <w:p>
            <w:pPr>
              <w:spacing w:after="0"/>
            </w:pPr>
            <w:r/>
            <w:r>
              <w:rPr>
                <w:rFonts w:ascii="Consolas" w:hAnsi="Consolas"/>
                <w:color w:val="146EF5"/>
                <w:sz w:val="17"/>
              </w:rPr>
              <w:t>contributions</w:t>
            </w:r>
          </w:p>
        </w:tc>
        <w:tc>
          <w:tcPr>
            <w:tcW w:type="dxa" w:w="2016"/>
            <w:tcMar>
              <w:top w:w="60" w:type="dxa"/>
              <w:start w:w="110" w:type="dxa"/>
              <w:bottom w:w="60" w:type="dxa"/>
              <w:end w:w="110" w:type="dxa"/>
            </w:tcMar>
          </w:tcPr>
          <w:p>
            <w:pPr>
              <w:spacing w:after="0"/>
            </w:pPr>
            <w:r/>
            <w:r>
              <w:rPr>
                <w:rFonts w:ascii="Consolas" w:hAnsi="Consolas"/>
                <w:color w:val="146EF5"/>
                <w:sz w:val="17"/>
              </w:rPr>
              <w:t>fee_kobo</w:t>
            </w:r>
          </w:p>
        </w:tc>
        <w:tc>
          <w:tcPr>
            <w:tcW w:type="dxa" w:w="3456"/>
            <w:tcMar>
              <w:top w:w="60" w:type="dxa"/>
              <w:start w:w="110" w:type="dxa"/>
              <w:bottom w:w="60" w:type="dxa"/>
              <w:end w:w="110" w:type="dxa"/>
            </w:tcMar>
          </w:tcPr>
          <w:p>
            <w:pPr>
              <w:spacing w:after="0"/>
            </w:pPr>
            <w:r/>
            <w:r>
              <w:rPr>
                <w:rFonts w:ascii="Consolas" w:hAnsi="Consolas"/>
                <w:color w:val="146EF5"/>
                <w:sz w:val="17"/>
              </w:rPr>
              <w:t>(amount_kobo * 200 + 5000) / 10000</w:t>
            </w:r>
          </w:p>
        </w:tc>
        <w:tc>
          <w:tcPr>
            <w:tcW w:type="dxa" w:w="2016"/>
            <w:tcMar>
              <w:top w:w="60" w:type="dxa"/>
              <w:start w:w="110" w:type="dxa"/>
              <w:bottom w:w="60" w:type="dxa"/>
              <w:end w:w="110" w:type="dxa"/>
            </w:tcMar>
          </w:tcPr>
          <w:p>
            <w:pPr>
              <w:spacing w:after="0"/>
            </w:pPr>
            <w:r/>
            <w:r>
              <w:rPr>
                <w:rFonts w:ascii="Calibri" w:hAnsi="Calibri"/>
                <w:b w:val="0"/>
                <w:i w:val="0"/>
                <w:color w:val="101828"/>
                <w:sz w:val="17"/>
              </w:rPr>
              <w:t>A recorded fee that is not 2% of the obligation.</w:t>
            </w:r>
          </w:p>
        </w:tc>
      </w:tr>
      <w:tr>
        <w:trPr>
          <w:cantSplit/>
        </w:trPr>
        <w:tc>
          <w:tcPr>
            <w:tcW w:type="dxa" w:w="1872"/>
            <w:tcMar>
              <w:top w:w="60" w:type="dxa"/>
              <w:start w:w="110" w:type="dxa"/>
              <w:bottom w:w="60" w:type="dxa"/>
              <w:end w:w="110" w:type="dxa"/>
            </w:tcMar>
            <w:shd w:val="clear" w:color="auto" w:fill="F4F7FB"/>
          </w:tcPr>
          <w:p>
            <w:pPr>
              <w:spacing w:after="0"/>
            </w:pPr>
            <w:r/>
            <w:r>
              <w:rPr>
                <w:rFonts w:ascii="Consolas" w:hAnsi="Consolas"/>
                <w:color w:val="146EF5"/>
                <w:sz w:val="17"/>
              </w:rPr>
              <w:t>contributions</w:t>
            </w:r>
          </w:p>
        </w:tc>
        <w:tc>
          <w:tcPr>
            <w:tcW w:type="dxa" w:w="2016"/>
            <w:tcMar>
              <w:top w:w="60" w:type="dxa"/>
              <w:start w:w="110" w:type="dxa"/>
              <w:bottom w:w="60" w:type="dxa"/>
              <w:end w:w="110" w:type="dxa"/>
            </w:tcMar>
            <w:shd w:val="clear" w:color="auto" w:fill="F4F7FB"/>
          </w:tcPr>
          <w:p>
            <w:pPr>
              <w:spacing w:after="0"/>
            </w:pPr>
            <w:r/>
            <w:r>
              <w:rPr>
                <w:rFonts w:ascii="Consolas" w:hAnsi="Consolas"/>
                <w:color w:val="146EF5"/>
                <w:sz w:val="17"/>
              </w:rPr>
              <w:t>total_charge_kobo</w:t>
            </w:r>
          </w:p>
        </w:tc>
        <w:tc>
          <w:tcPr>
            <w:tcW w:type="dxa" w:w="3456"/>
            <w:tcMar>
              <w:top w:w="60" w:type="dxa"/>
              <w:start w:w="110" w:type="dxa"/>
              <w:bottom w:w="60" w:type="dxa"/>
              <w:end w:w="110" w:type="dxa"/>
            </w:tcMar>
            <w:shd w:val="clear" w:color="auto" w:fill="F4F7FB"/>
          </w:tcPr>
          <w:p>
            <w:pPr>
              <w:spacing w:after="0"/>
            </w:pPr>
            <w:r/>
            <w:r>
              <w:rPr>
                <w:rFonts w:ascii="Consolas" w:hAnsi="Consolas"/>
                <w:color w:val="146EF5"/>
                <w:sz w:val="17"/>
              </w:rPr>
              <w:t>amount_kobo + ((amount_kobo * 200 + 5000) / 10000)</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7"/>
              </w:rPr>
              <w:t>A charge that is not the base plus the fee.</w:t>
            </w:r>
          </w:p>
        </w:tc>
      </w:tr>
      <w:tr>
        <w:trPr>
          <w:cantSplit/>
        </w:trPr>
        <w:tc>
          <w:tcPr>
            <w:tcW w:type="dxa" w:w="1872"/>
            <w:tcMar>
              <w:top w:w="60" w:type="dxa"/>
              <w:start w:w="110" w:type="dxa"/>
              <w:bottom w:w="60" w:type="dxa"/>
              <w:end w:w="110" w:type="dxa"/>
            </w:tcMar>
          </w:tcPr>
          <w:p>
            <w:pPr>
              <w:spacing w:after="0"/>
            </w:pPr>
            <w:r/>
            <w:r>
              <w:rPr>
                <w:rFonts w:ascii="Consolas" w:hAnsi="Consolas"/>
                <w:color w:val="146EF5"/>
                <w:sz w:val="17"/>
              </w:rPr>
              <w:t>ledger_postings</w:t>
            </w:r>
          </w:p>
        </w:tc>
        <w:tc>
          <w:tcPr>
            <w:tcW w:type="dxa" w:w="2016"/>
            <w:tcMar>
              <w:top w:w="60" w:type="dxa"/>
              <w:start w:w="110" w:type="dxa"/>
              <w:bottom w:w="60" w:type="dxa"/>
              <w:end w:w="110" w:type="dxa"/>
            </w:tcMar>
          </w:tcPr>
          <w:p>
            <w:pPr>
              <w:spacing w:after="0"/>
            </w:pPr>
            <w:r/>
            <w:r>
              <w:rPr>
                <w:rFonts w:ascii="Consolas" w:hAnsi="Consolas"/>
                <w:color w:val="146EF5"/>
                <w:sz w:val="17"/>
              </w:rPr>
              <w:t>signed_kobo</w:t>
            </w:r>
          </w:p>
        </w:tc>
        <w:tc>
          <w:tcPr>
            <w:tcW w:type="dxa" w:w="3456"/>
            <w:tcMar>
              <w:top w:w="60" w:type="dxa"/>
              <w:start w:w="110" w:type="dxa"/>
              <w:bottom w:w="60" w:type="dxa"/>
              <w:end w:w="110" w:type="dxa"/>
            </w:tcMar>
          </w:tcPr>
          <w:p>
            <w:pPr>
              <w:spacing w:after="0"/>
            </w:pPr>
            <w:r/>
            <w:r>
              <w:rPr>
                <w:rFonts w:ascii="Consolas" w:hAnsi="Consolas"/>
                <w:color w:val="146EF5"/>
                <w:sz w:val="17"/>
              </w:rPr>
              <w:t>CASE WHEN side = 'debit' THEN amount_kobo ELSE -amount_kobo END</w:t>
            </w:r>
          </w:p>
        </w:tc>
        <w:tc>
          <w:tcPr>
            <w:tcW w:type="dxa" w:w="2016"/>
            <w:tcMar>
              <w:top w:w="60" w:type="dxa"/>
              <w:start w:w="110" w:type="dxa"/>
              <w:bottom w:w="60" w:type="dxa"/>
              <w:end w:w="110" w:type="dxa"/>
            </w:tcMar>
          </w:tcPr>
          <w:p>
            <w:pPr>
              <w:spacing w:after="0"/>
            </w:pPr>
            <w:r/>
            <w:r>
              <w:rPr>
                <w:rFonts w:ascii="Calibri" w:hAnsi="Calibri"/>
                <w:b w:val="0"/>
                <w:i w:val="0"/>
                <w:color w:val="101828"/>
                <w:sz w:val="17"/>
              </w:rPr>
              <w:t>A caller-chosen sign, and therefore an unbalanced entry.</w:t>
            </w:r>
          </w:p>
        </w:tc>
      </w:tr>
      <w:tr>
        <w:trPr>
          <w:cantSplit/>
        </w:trPr>
        <w:tc>
          <w:tcPr>
            <w:tcW w:type="dxa" w:w="1872"/>
            <w:tcMar>
              <w:top w:w="60" w:type="dxa"/>
              <w:start w:w="110" w:type="dxa"/>
              <w:bottom w:w="60" w:type="dxa"/>
              <w:end w:w="110" w:type="dxa"/>
            </w:tcMar>
            <w:shd w:val="clear" w:color="auto" w:fill="F4F7FB"/>
          </w:tcPr>
          <w:p>
            <w:pPr>
              <w:spacing w:after="0"/>
            </w:pPr>
            <w:r/>
            <w:r>
              <w:rPr>
                <w:rFonts w:ascii="Consolas" w:hAnsi="Consolas"/>
                <w:color w:val="146EF5"/>
                <w:sz w:val="17"/>
              </w:rPr>
              <w:t>rounds</w:t>
            </w:r>
          </w:p>
        </w:tc>
        <w:tc>
          <w:tcPr>
            <w:tcW w:type="dxa" w:w="2016"/>
            <w:tcMar>
              <w:top w:w="60" w:type="dxa"/>
              <w:start w:w="110" w:type="dxa"/>
              <w:bottom w:w="60" w:type="dxa"/>
              <w:end w:w="110" w:type="dxa"/>
            </w:tcMar>
            <w:shd w:val="clear" w:color="auto" w:fill="F4F7FB"/>
          </w:tcPr>
          <w:p>
            <w:pPr>
              <w:spacing w:after="0"/>
            </w:pPr>
            <w:r/>
            <w:r>
              <w:rPr>
                <w:rFonts w:ascii="Consolas" w:hAnsi="Consolas"/>
                <w:color w:val="146EF5"/>
                <w:sz w:val="17"/>
              </w:rPr>
              <w:t>base_pool_kobo</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7"/>
              </w:rPr>
              <w:t>aggregate over the round's contributions</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7"/>
              </w:rPr>
              <w:t>A pool that disagrees with the contributions it summarises.</w:t>
            </w:r>
          </w:p>
        </w:tc>
      </w:tr>
    </w:tbl>
    <w:p>
      <w:pPr>
        <w:spacing w:after="80"/>
      </w:pPr>
    </w:p>
    <w:p>
      <w:r>
        <w:rPr>
          <w:rFonts w:ascii="Calibri" w:hAnsi="Calibri"/>
          <w:b w:val="0"/>
          <w:i w:val="0"/>
          <w:color w:val="101828"/>
          <w:sz w:val="21"/>
        </w:rPr>
        <w:t xml:space="preserve">The fee expression is </w:t>
      </w:r>
      <w:r>
        <w:rPr>
          <w:rFonts w:ascii="Consolas" w:hAnsi="Consolas"/>
          <w:color w:val="146EF5"/>
          <w:sz w:val="21"/>
        </w:rPr>
        <w:t>(amount_kobo * 200 + 5000) / 10000</w:t>
      </w:r>
      <w:r>
        <w:rPr>
          <w:rFonts w:ascii="Calibri" w:hAnsi="Calibri"/>
          <w:b w:val="0"/>
          <w:i w:val="0"/>
          <w:color w:val="101828"/>
          <w:sz w:val="21"/>
        </w:rPr>
        <w:t xml:space="preserve"> and it is worth reading slowly. Integer division in PostgreSQL truncates toward zero and every term is non-negative, so the expression is exactly </w:t>
      </w:r>
      <w:r>
        <w:rPr>
          <w:rFonts w:ascii="Consolas" w:hAnsi="Consolas"/>
          <w:color w:val="146EF5"/>
          <w:sz w:val="21"/>
        </w:rPr>
        <w:t>floor((n * 200 + 5000) / 10000)</w:t>
      </w:r>
      <w:r>
        <w:rPr>
          <w:rFonts w:ascii="Calibri" w:hAnsi="Calibri"/>
          <w:b w:val="0"/>
          <w:i w:val="0"/>
          <w:color w:val="101828"/>
          <w:sz w:val="21"/>
        </w:rPr>
        <w:t xml:space="preserve">, which is half-up rounding to the nearest kobo. The </w:t>
      </w:r>
      <w:r>
        <w:rPr>
          <w:rFonts w:ascii="Consolas" w:hAnsi="Consolas"/>
          <w:color w:val="146EF5"/>
          <w:sz w:val="21"/>
        </w:rPr>
        <w:t>+ 5000</w:t>
      </w:r>
      <w:r>
        <w:rPr>
          <w:rFonts w:ascii="Calibri" w:hAnsi="Calibri"/>
          <w:b w:val="0"/>
          <w:i w:val="0"/>
          <w:color w:val="101828"/>
          <w:sz w:val="21"/>
        </w:rPr>
        <w:t xml:space="preserve"> is half of the divisor, which is the whole trick: it is what turns truncation into rounding, and leaving it out is the classic way to undercharge every member whose obligation does not divide evenly by 50 kobo.</w:t>
      </w:r>
    </w:p>
    <w:p>
      <w:pPr>
        <w:spacing w:before="0" w:after="0" w:line="240" w:lineRule="auto"/>
        <w:ind w:left="230"/>
        <w:shd w:val="clear" w:color="auto" w:fill="F7F9FC"/>
        <w:pBdr>
          <w:left w:val="single" w:sz="4" w:space="6" w:color="D0D5DD"/>
        </w:pBdr>
      </w:pPr>
      <w:r>
        <w:rPr>
          <w:rFonts w:ascii="Consolas" w:hAnsi="Consolas"/>
          <w:color w:val="0B1F3A"/>
          <w:sz w:val="16"/>
        </w:rPr>
        <w:t xml:space="preserve">  fee_kobo           bigint             GENERATED ALWAYS AS</w:t>
      </w:r>
    </w:p>
    <w:p>
      <w:pPr>
        <w:spacing w:before="0" w:after="0" w:line="240" w:lineRule="auto"/>
        <w:ind w:left="230"/>
        <w:shd w:val="clear" w:color="auto" w:fill="F7F9FC"/>
        <w:pBdr>
          <w:left w:val="single" w:sz="4" w:space="6" w:color="D0D5DD"/>
        </w:pBdr>
      </w:pPr>
      <w:r>
        <w:rPr>
          <w:rFonts w:ascii="Consolas" w:hAnsi="Consolas"/>
          <w:color w:val="0B1F3A"/>
          <w:sz w:val="16"/>
        </w:rPr>
        <w:t xml:space="preserve">                       ((amount_kobo * 200 + 5000) / 10000) STORED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CHECK (fee_kobo &gt;= 0),</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PostgreSQL forbids a generated column from referencing another</w:t>
      </w:r>
    </w:p>
    <w:p>
      <w:pPr>
        <w:spacing w:before="0" w:after="0" w:line="240" w:lineRule="auto"/>
        <w:ind w:left="230"/>
        <w:shd w:val="clear" w:color="auto" w:fill="F7F9FC"/>
        <w:pBdr>
          <w:left w:val="single" w:sz="4" w:space="6" w:color="D0D5DD"/>
        </w:pBdr>
      </w:pPr>
      <w:r>
        <w:rPr>
          <w:rFonts w:ascii="Consolas" w:hAnsi="Consolas"/>
          <w:color w:val="0B1F3A"/>
          <w:sz w:val="16"/>
        </w:rPr>
        <w:t xml:space="preserve">  -- generated column, so the fee expression is inlined here rather</w:t>
      </w:r>
    </w:p>
    <w:p>
      <w:pPr>
        <w:spacing w:before="0" w:after="0" w:line="240" w:lineRule="auto"/>
        <w:ind w:left="230"/>
        <w:shd w:val="clear" w:color="auto" w:fill="F7F9FC"/>
        <w:pBdr>
          <w:left w:val="single" w:sz="4" w:space="6" w:color="D0D5DD"/>
        </w:pBdr>
      </w:pPr>
      <w:r>
        <w:rPr>
          <w:rFonts w:ascii="Consolas" w:hAnsi="Consolas"/>
          <w:color w:val="0B1F3A"/>
          <w:sz w:val="16"/>
        </w:rPr>
        <w:t xml:space="preserve">  -- than written as amount_kobo + fee_kobo. The invariant is restated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as a table CHECK below, so the rule is still enforced once and</w:t>
      </w:r>
    </w:p>
    <w:p>
      <w:pPr>
        <w:spacing w:before="0" w:after="0" w:line="240" w:lineRule="auto"/>
        <w:ind w:left="230"/>
        <w:shd w:val="clear" w:color="auto" w:fill="F7F9FC"/>
        <w:pBdr>
          <w:left w:val="single" w:sz="4" w:space="6" w:color="D0D5DD"/>
        </w:pBdr>
      </w:pPr>
      <w:r>
        <w:rPr>
          <w:rFonts w:ascii="Consolas" w:hAnsi="Consolas"/>
          <w:color w:val="0B1F3A"/>
          <w:sz w:val="16"/>
        </w:rPr>
        <w:t xml:space="preserve">  -- read once.</w:t>
      </w:r>
    </w:p>
    <w:p>
      <w:pPr>
        <w:spacing w:before="0" w:after="0" w:line="240" w:lineRule="auto"/>
        <w:ind w:left="230"/>
        <w:shd w:val="clear" w:color="auto" w:fill="F7F9FC"/>
        <w:pBdr>
          <w:left w:val="single" w:sz="4" w:space="6" w:color="D0D5DD"/>
        </w:pBdr>
      </w:pPr>
      <w:r>
        <w:rPr>
          <w:rFonts w:ascii="Consolas" w:hAnsi="Consolas"/>
          <w:color w:val="0B1F3A"/>
          <w:sz w:val="16"/>
        </w:rPr>
        <w:t xml:space="preserve">  total_charge_kobo  bigint             GENERATED ALWAYS AS</w:t>
      </w:r>
    </w:p>
    <w:p>
      <w:pPr>
        <w:spacing w:before="0" w:after="0" w:line="240" w:lineRule="auto"/>
        <w:ind w:left="230"/>
        <w:shd w:val="clear" w:color="auto" w:fill="F7F9FC"/>
        <w:pBdr>
          <w:left w:val="single" w:sz="4" w:space="6" w:color="D0D5DD"/>
        </w:pBdr>
      </w:pPr>
      <w:r>
        <w:rPr>
          <w:rFonts w:ascii="Consolas" w:hAnsi="Consolas"/>
          <w:color w:val="0B1F3A"/>
          <w:sz w:val="16"/>
        </w:rPr>
        <w:t xml:space="preserve">                       (amount_kobo + ((amount_kobo * 200 + 5000) / 10000))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STORED,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CONSTRAINT contributions_charge_is_base_plus_fee</w:t>
      </w:r>
    </w:p>
    <w:p>
      <w:pPr>
        <w:spacing w:before="0" w:after="0" w:line="240" w:lineRule="auto"/>
        <w:ind w:left="230"/>
        <w:shd w:val="clear" w:color="auto" w:fill="F7F9FC"/>
        <w:pBdr>
          <w:left w:val="single" w:sz="4" w:space="6" w:color="D0D5DD"/>
        </w:pBdr>
      </w:pPr>
      <w:r>
        <w:rPr>
          <w:rFonts w:ascii="Consolas" w:hAnsi="Consolas"/>
          <w:color w:val="0B1F3A"/>
          <w:sz w:val="16"/>
        </w:rPr>
        <w:t xml:space="preserve">    CHECK (total_charge_kobo = amount_kobo + fee_kobo)</w:t>
      </w:r>
    </w:p>
    <w:p>
      <w:r>
        <w:rPr>
          <w:rFonts w:ascii="Consolas" w:hAnsi="Consolas"/>
          <w:color w:val="146EF5"/>
          <w:sz w:val="21"/>
        </w:rPr>
        <w:t>STORED</w:t>
      </w:r>
      <w:r>
        <w:rPr>
          <w:rFonts w:ascii="Calibri" w:hAnsi="Calibri"/>
          <w:b w:val="0"/>
          <w:i w:val="0"/>
          <w:color w:val="101828"/>
          <w:sz w:val="21"/>
        </w:rPr>
        <w:t xml:space="preserve"> rather than the default virtual form, because a stored generated column is computed once at write time and then read like any other column. A fee that is recomputed on every read is a fee that can differ between the two reads of one row, and a reconciliation that disagrees with itself is a four-day investigation.</w:t>
      </w:r>
    </w:p>
    <w:p>
      <w:r>
        <w:rPr>
          <w:rFonts w:ascii="Calibri" w:hAnsi="Calibri"/>
          <w:b w:val="0"/>
          <w:i w:val="0"/>
          <w:color w:val="101828"/>
          <w:sz w:val="21"/>
        </w:rPr>
        <w:t>Worked, and these are the values the RLS fixture in 9.6 actually inserted rather than values worked out afterwards: a member owing 100,000 kobo is charged 102,000 kobo, the round pool receives 100,000 kobo, and the platform's fee is 2,000 kobo. The member who receives a ten-member round of those contributions is paid 1,000,000 kobo. Nobody is ever paid 1,020,000 kobo, and the schema has no column in which the extra 20,000 kobo could be entered.</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3600"/>
            <w:shd w:val="clear" w:color="auto" w:fill="0B1F3A"/>
            <w:tcMar>
              <w:top w:w="60" w:type="dxa"/>
              <w:start w:w="110" w:type="dxa"/>
              <w:bottom w:w="60" w:type="dxa"/>
              <w:end w:w="110" w:type="dxa"/>
            </w:tcMar>
          </w:tcPr>
          <w:p>
            <w:pPr>
              <w:spacing w:after="0"/>
            </w:pPr>
            <w:r/>
            <w:r>
              <w:rPr>
                <w:rFonts w:ascii="Calibri" w:hAnsi="Calibri"/>
                <w:b/>
                <w:i w:val="0"/>
                <w:color w:val="FFFFFF"/>
                <w:sz w:val="17"/>
              </w:rPr>
              <w:t>Step</w:t>
            </w:r>
          </w:p>
        </w:tc>
        <w:tc>
          <w:tcPr>
            <w:tcW w:type="dxa" w:w="1440"/>
            <w:shd w:val="clear" w:color="auto" w:fill="0B1F3A"/>
            <w:tcMar>
              <w:top w:w="60" w:type="dxa"/>
              <w:start w:w="110" w:type="dxa"/>
              <w:bottom w:w="60" w:type="dxa"/>
              <w:end w:w="110" w:type="dxa"/>
            </w:tcMar>
          </w:tcPr>
          <w:p>
            <w:pPr>
              <w:spacing w:after="0"/>
            </w:pPr>
            <w:r/>
            <w:r>
              <w:rPr>
                <w:rFonts w:ascii="Calibri" w:hAnsi="Calibri"/>
                <w:b/>
                <w:i w:val="0"/>
                <w:color w:val="FFFFFF"/>
                <w:sz w:val="17"/>
              </w:rPr>
              <w:t>Kobo</w:t>
            </w:r>
          </w:p>
        </w:tc>
        <w:tc>
          <w:tcPr>
            <w:tcW w:type="dxa" w:w="1440"/>
            <w:shd w:val="clear" w:color="auto" w:fill="0B1F3A"/>
            <w:tcMar>
              <w:top w:w="60" w:type="dxa"/>
              <w:start w:w="110" w:type="dxa"/>
              <w:bottom w:w="60" w:type="dxa"/>
              <w:end w:w="110" w:type="dxa"/>
            </w:tcMar>
          </w:tcPr>
          <w:p>
            <w:pPr>
              <w:spacing w:after="0"/>
            </w:pPr>
            <w:r/>
            <w:r>
              <w:rPr>
                <w:rFonts w:ascii="Calibri" w:hAnsi="Calibri"/>
                <w:b/>
                <w:i w:val="0"/>
                <w:color w:val="FFFFFF"/>
                <w:sz w:val="17"/>
              </w:rPr>
              <w:t>Naira</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7"/>
              </w:rPr>
              <w:t>Who holds it</w:t>
            </w:r>
          </w:p>
        </w:tc>
      </w:tr>
      <w:tr>
        <w:trPr>
          <w:cantSplit/>
        </w:trPr>
        <w:tc>
          <w:tcPr>
            <w:tcW w:type="dxa" w:w="3600"/>
            <w:tcMar>
              <w:top w:w="60" w:type="dxa"/>
              <w:start w:w="110" w:type="dxa"/>
              <w:bottom w:w="60" w:type="dxa"/>
              <w:end w:w="110" w:type="dxa"/>
            </w:tcMar>
          </w:tcPr>
          <w:p>
            <w:pPr>
              <w:spacing w:after="0"/>
            </w:pPr>
            <w:r/>
            <w:r>
              <w:rPr>
                <w:rFonts w:ascii="Calibri" w:hAnsi="Calibri"/>
                <w:b w:val="0"/>
                <w:i w:val="0"/>
                <w:color w:val="101828"/>
                <w:sz w:val="17"/>
              </w:rPr>
              <w:t>Member's base obligation</w:t>
            </w:r>
          </w:p>
        </w:tc>
        <w:tc>
          <w:tcPr>
            <w:tcW w:type="dxa" w:w="1440"/>
            <w:tcMar>
              <w:top w:w="60" w:type="dxa"/>
              <w:start w:w="110" w:type="dxa"/>
              <w:bottom w:w="60" w:type="dxa"/>
              <w:end w:w="110" w:type="dxa"/>
            </w:tcMar>
          </w:tcPr>
          <w:p>
            <w:pPr>
              <w:spacing w:after="0"/>
            </w:pPr>
            <w:r/>
            <w:r>
              <w:rPr>
                <w:rFonts w:ascii="Calibri" w:hAnsi="Calibri"/>
                <w:b w:val="0"/>
                <w:i w:val="0"/>
                <w:color w:val="101828"/>
                <w:sz w:val="17"/>
              </w:rPr>
              <w:t>100,000</w:t>
            </w:r>
          </w:p>
        </w:tc>
        <w:tc>
          <w:tcPr>
            <w:tcW w:type="dxa" w:w="1440"/>
            <w:tcMar>
              <w:top w:w="60" w:type="dxa"/>
              <w:start w:w="110" w:type="dxa"/>
              <w:bottom w:w="60" w:type="dxa"/>
              <w:end w:w="110" w:type="dxa"/>
            </w:tcMar>
          </w:tcPr>
          <w:p>
            <w:pPr>
              <w:spacing w:after="0"/>
            </w:pPr>
            <w:r/>
            <w:r>
              <w:rPr>
                <w:rFonts w:ascii="Calibri" w:hAnsi="Calibri"/>
                <w:b w:val="0"/>
                <w:i w:val="0"/>
                <w:color w:val="101828"/>
                <w:sz w:val="17"/>
              </w:rPr>
              <w:t>1,000.00</w:t>
            </w:r>
          </w:p>
        </w:tc>
        <w:tc>
          <w:tcPr>
            <w:tcW w:type="dxa" w:w="2880"/>
            <w:tcMar>
              <w:top w:w="60" w:type="dxa"/>
              <w:start w:w="110" w:type="dxa"/>
              <w:bottom w:w="60" w:type="dxa"/>
              <w:end w:w="110" w:type="dxa"/>
            </w:tcMar>
          </w:tcPr>
          <w:p>
            <w:pPr>
              <w:spacing w:after="0"/>
            </w:pPr>
            <w:r/>
            <w:r>
              <w:rPr>
                <w:rFonts w:ascii="Calibri" w:hAnsi="Calibri"/>
                <w:b w:val="0"/>
                <w:i w:val="0"/>
                <w:color w:val="101828"/>
                <w:sz w:val="17"/>
              </w:rPr>
              <w:t>The member, as a debt to the Ajo</w:t>
            </w:r>
          </w:p>
        </w:tc>
      </w:tr>
      <w:tr>
        <w:trPr>
          <w:cantSplit/>
        </w:trPr>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7"/>
              </w:rPr>
              <w:t>Platform fee, 2% half-up</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7"/>
              </w:rPr>
              <w:t>2,000</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7"/>
              </w:rPr>
              <w:t>20.00</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7"/>
              </w:rPr>
              <w:t>The platform</w:t>
            </w:r>
          </w:p>
        </w:tc>
      </w:tr>
      <w:tr>
        <w:trPr>
          <w:cantSplit/>
        </w:trPr>
        <w:tc>
          <w:tcPr>
            <w:tcW w:type="dxa" w:w="3600"/>
            <w:tcMar>
              <w:top w:w="60" w:type="dxa"/>
              <w:start w:w="110" w:type="dxa"/>
              <w:bottom w:w="60" w:type="dxa"/>
              <w:end w:w="110" w:type="dxa"/>
            </w:tcMar>
          </w:tcPr>
          <w:p>
            <w:pPr>
              <w:spacing w:after="0"/>
            </w:pPr>
            <w:r/>
            <w:r>
              <w:rPr>
                <w:rFonts w:ascii="Calibri" w:hAnsi="Calibri"/>
                <w:b w:val="0"/>
                <w:i w:val="0"/>
                <w:color w:val="101828"/>
                <w:sz w:val="17"/>
              </w:rPr>
              <w:t>Total charged to the member</w:t>
            </w:r>
          </w:p>
        </w:tc>
        <w:tc>
          <w:tcPr>
            <w:tcW w:type="dxa" w:w="1440"/>
            <w:tcMar>
              <w:top w:w="60" w:type="dxa"/>
              <w:start w:w="110" w:type="dxa"/>
              <w:bottom w:w="60" w:type="dxa"/>
              <w:end w:w="110" w:type="dxa"/>
            </w:tcMar>
          </w:tcPr>
          <w:p>
            <w:pPr>
              <w:spacing w:after="0"/>
            </w:pPr>
            <w:r/>
            <w:r>
              <w:rPr>
                <w:rFonts w:ascii="Calibri" w:hAnsi="Calibri"/>
                <w:b w:val="0"/>
                <w:i w:val="0"/>
                <w:color w:val="101828"/>
                <w:sz w:val="17"/>
              </w:rPr>
              <w:t>102,000</w:t>
            </w:r>
          </w:p>
        </w:tc>
        <w:tc>
          <w:tcPr>
            <w:tcW w:type="dxa" w:w="1440"/>
            <w:tcMar>
              <w:top w:w="60" w:type="dxa"/>
              <w:start w:w="110" w:type="dxa"/>
              <w:bottom w:w="60" w:type="dxa"/>
              <w:end w:w="110" w:type="dxa"/>
            </w:tcMar>
          </w:tcPr>
          <w:p>
            <w:pPr>
              <w:spacing w:after="0"/>
            </w:pPr>
            <w:r/>
            <w:r>
              <w:rPr>
                <w:rFonts w:ascii="Calibri" w:hAnsi="Calibri"/>
                <w:b w:val="0"/>
                <w:i w:val="0"/>
                <w:color w:val="101828"/>
                <w:sz w:val="17"/>
              </w:rPr>
              <w:t>1,020.00</w:t>
            </w:r>
          </w:p>
        </w:tc>
        <w:tc>
          <w:tcPr>
            <w:tcW w:type="dxa" w:w="2880"/>
            <w:tcMar>
              <w:top w:w="60" w:type="dxa"/>
              <w:start w:w="110" w:type="dxa"/>
              <w:bottom w:w="60" w:type="dxa"/>
              <w:end w:w="110" w:type="dxa"/>
            </w:tcMar>
          </w:tcPr>
          <w:p>
            <w:pPr>
              <w:spacing w:after="0"/>
            </w:pPr>
            <w:r/>
            <w:r>
              <w:rPr>
                <w:rFonts w:ascii="Calibri" w:hAnsi="Calibri"/>
                <w:b w:val="0"/>
                <w:i w:val="0"/>
                <w:color w:val="101828"/>
                <w:sz w:val="17"/>
              </w:rPr>
              <w:t>Charged by the provider</w:t>
            </w:r>
          </w:p>
        </w:tc>
      </w:tr>
      <w:tr>
        <w:trPr>
          <w:cantSplit/>
        </w:trPr>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7"/>
              </w:rPr>
              <w:t>Credited to the round pool</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7"/>
              </w:rPr>
              <w:t>100,000</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7"/>
              </w:rPr>
              <w:t>1,000.00</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7"/>
              </w:rPr>
              <w:t>The Ajo, available for payout</w:t>
            </w:r>
          </w:p>
        </w:tc>
      </w:tr>
      <w:tr>
        <w:trPr>
          <w:cantSplit/>
        </w:trPr>
        <w:tc>
          <w:tcPr>
            <w:tcW w:type="dxa" w:w="3600"/>
            <w:tcMar>
              <w:top w:w="60" w:type="dxa"/>
              <w:start w:w="110" w:type="dxa"/>
              <w:bottom w:w="60" w:type="dxa"/>
              <w:end w:w="110" w:type="dxa"/>
            </w:tcMar>
          </w:tcPr>
          <w:p>
            <w:pPr>
              <w:spacing w:after="0"/>
            </w:pPr>
            <w:r/>
            <w:r>
              <w:rPr>
                <w:rFonts w:ascii="Calibri" w:hAnsi="Calibri"/>
                <w:b w:val="0"/>
                <w:i w:val="0"/>
                <w:color w:val="101828"/>
                <w:sz w:val="17"/>
              </w:rPr>
              <w:t>Paid out at the end of a 10-member round</w:t>
            </w:r>
          </w:p>
        </w:tc>
        <w:tc>
          <w:tcPr>
            <w:tcW w:type="dxa" w:w="1440"/>
            <w:tcMar>
              <w:top w:w="60" w:type="dxa"/>
              <w:start w:w="110" w:type="dxa"/>
              <w:bottom w:w="60" w:type="dxa"/>
              <w:end w:w="110" w:type="dxa"/>
            </w:tcMar>
          </w:tcPr>
          <w:p>
            <w:pPr>
              <w:spacing w:after="0"/>
            </w:pPr>
            <w:r/>
            <w:r>
              <w:rPr>
                <w:rFonts w:ascii="Calibri" w:hAnsi="Calibri"/>
                <w:b w:val="0"/>
                <w:i w:val="0"/>
                <w:color w:val="101828"/>
                <w:sz w:val="17"/>
              </w:rPr>
              <w:t>1,000,000</w:t>
            </w:r>
          </w:p>
        </w:tc>
        <w:tc>
          <w:tcPr>
            <w:tcW w:type="dxa" w:w="1440"/>
            <w:tcMar>
              <w:top w:w="60" w:type="dxa"/>
              <w:start w:w="110" w:type="dxa"/>
              <w:bottom w:w="60" w:type="dxa"/>
              <w:end w:w="110" w:type="dxa"/>
            </w:tcMar>
          </w:tcPr>
          <w:p>
            <w:pPr>
              <w:spacing w:after="0"/>
            </w:pPr>
            <w:r/>
            <w:r>
              <w:rPr>
                <w:rFonts w:ascii="Calibri" w:hAnsi="Calibri"/>
                <w:b w:val="0"/>
                <w:i w:val="0"/>
                <w:color w:val="101828"/>
                <w:sz w:val="17"/>
              </w:rPr>
              <w:t>10,000.00</w:t>
            </w:r>
          </w:p>
        </w:tc>
        <w:tc>
          <w:tcPr>
            <w:tcW w:type="dxa" w:w="2880"/>
            <w:tcMar>
              <w:top w:w="60" w:type="dxa"/>
              <w:start w:w="110" w:type="dxa"/>
              <w:bottom w:w="60" w:type="dxa"/>
              <w:end w:w="110" w:type="dxa"/>
            </w:tcMar>
          </w:tcPr>
          <w:p>
            <w:pPr>
              <w:spacing w:after="0"/>
            </w:pPr>
            <w:r/>
            <w:r>
              <w:rPr>
                <w:rFonts w:ascii="Calibri" w:hAnsi="Calibri"/>
                <w:b w:val="0"/>
                <w:i w:val="0"/>
                <w:color w:val="101828"/>
                <w:sz w:val="17"/>
              </w:rPr>
              <w:t>The receiving member</w:t>
            </w:r>
          </w:p>
        </w:tc>
      </w:tr>
      <w:tr>
        <w:trPr>
          <w:cantSplit/>
        </w:trPr>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7"/>
              </w:rPr>
              <w:t>Paid out if the fee were wrongly included</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7"/>
              </w:rPr>
              <w:t>1,020,000</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7"/>
              </w:rPr>
              <w:t>10,200.00</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7"/>
              </w:rPr>
              <w:t>Nobody. This is the bug the generated column prevents.</w:t>
            </w:r>
          </w:p>
        </w:tc>
      </w:tr>
    </w:tbl>
    <w:p>
      <w:pPr>
        <w:spacing w:after="80"/>
      </w:pPr>
    </w:p>
    <w:p>
      <w:r>
        <w:rPr>
          <w:rFonts w:ascii="Calibri" w:hAnsi="Calibri"/>
          <w:b w:val="0"/>
          <w:i w:val="0"/>
          <w:color w:val="101828"/>
          <w:sz w:val="21"/>
        </w:rPr>
        <w:t xml:space="preserve">Three tests hold this arithmetic in place. One asserts the formula directly on a row. One inserts a </w:t>
      </w:r>
      <w:r>
        <w:rPr>
          <w:rFonts w:ascii="Consolas" w:hAnsi="Consolas"/>
          <w:color w:val="146EF5"/>
          <w:sz w:val="21"/>
        </w:rPr>
        <w:t>fees</w:t>
      </w:r>
      <w:r>
        <w:rPr>
          <w:rFonts w:ascii="Calibri" w:hAnsi="Calibri"/>
          <w:b w:val="0"/>
          <w:i w:val="0"/>
          <w:color w:val="101828"/>
          <w:sz w:val="21"/>
        </w:rPr>
        <w:t xml:space="preserve"> row whose amount is one kobo off its payment and watches the deferred trigger reject the commit, so a fee that drifts from its payment is caught at the boundary and not three rounds later during reconciliation. One reads the pool back after a defaulted contribution is restated and confirms the round's aggregate moved with it, which is the case that a denormalised total gets wrong and which the first draft of this schema got wrong.</w:t>
      </w:r>
    </w:p>
    <w:p>
      <w:r>
        <w:rPr>
          <w:rFonts w:ascii="Calibri" w:hAnsi="Calibri"/>
          <w:b w:val="0"/>
          <w:i w:val="0"/>
          <w:color w:val="101828"/>
          <w:sz w:val="21"/>
        </w:rPr>
        <w:t xml:space="preserve">The pool is a stored aggregate and it is the one place where a denormalised number is accepted, because the alternative is summing every contribution every time a round is displayed. It is kept honest by a deferred constraint trigger that recomputes it and compares, and by a test that restates a contribution and then reads the round. The trigger is table-aware: on </w:t>
      </w:r>
      <w:r>
        <w:rPr>
          <w:rFonts w:ascii="Consolas" w:hAnsi="Consolas"/>
          <w:color w:val="146EF5"/>
          <w:sz w:val="21"/>
        </w:rPr>
        <w:t>contributions</w:t>
      </w:r>
      <w:r>
        <w:rPr>
          <w:rFonts w:ascii="Calibri" w:hAnsi="Calibri"/>
          <w:b w:val="0"/>
          <w:i w:val="0"/>
          <w:color w:val="101828"/>
          <w:sz w:val="21"/>
        </w:rPr>
        <w:t xml:space="preserve"> it compares the round's pool against the contributions of that round, and on </w:t>
      </w:r>
      <w:r>
        <w:rPr>
          <w:rFonts w:ascii="Consolas" w:hAnsi="Consolas"/>
          <w:color w:val="146EF5"/>
          <w:sz w:val="21"/>
        </w:rPr>
        <w:t>rounds</w:t>
      </w:r>
      <w:r>
        <w:rPr>
          <w:rFonts w:ascii="Calibri" w:hAnsi="Calibri"/>
          <w:b w:val="0"/>
          <w:i w:val="0"/>
          <w:color w:val="101828"/>
          <w:sz w:val="21"/>
        </w:rPr>
        <w:t xml:space="preserve"> it compares the round against its own aggregate, because the same function guards both tables and the first version of it read </w:t>
      </w:r>
      <w:r>
        <w:rPr>
          <w:rFonts w:ascii="Consolas" w:hAnsi="Consolas"/>
          <w:color w:val="146EF5"/>
          <w:sz w:val="21"/>
        </w:rPr>
        <w:t>NEW.id</w:t>
      </w:r>
      <w:r>
        <w:rPr>
          <w:rFonts w:ascii="Calibri" w:hAnsi="Calibri"/>
          <w:b w:val="0"/>
          <w:i w:val="0"/>
          <w:color w:val="101828"/>
          <w:sz w:val="21"/>
        </w:rPr>
        <w:t xml:space="preserve"> on a contribution, where </w:t>
      </w:r>
      <w:r>
        <w:rPr>
          <w:rFonts w:ascii="Consolas" w:hAnsi="Consolas"/>
          <w:color w:val="146EF5"/>
          <w:sz w:val="21"/>
        </w:rPr>
        <w:t>id</w:t>
      </w:r>
      <w:r>
        <w:rPr>
          <w:rFonts w:ascii="Calibri" w:hAnsi="Calibri"/>
          <w:b w:val="0"/>
          <w:i w:val="0"/>
          <w:color w:val="101828"/>
          <w:sz w:val="21"/>
        </w:rPr>
        <w:t xml:space="preserve"> is the contribution's own id and not the round's, and therefore compared every contribution against the wrong pool.</w:t>
      </w:r>
    </w:p>
    <w:p>
      <w:pPr>
        <w:pStyle w:val="Heading2"/>
      </w:pPr>
      <w:r>
        <w:rPr>
          <w:rFonts w:ascii="Calibri" w:hAnsi="Calibri"/>
          <w:b/>
          <w:i w:val="0"/>
          <w:color w:val="146EF5"/>
          <w:sz w:val="29"/>
        </w:rPr>
        <w:t>9.6 Row-level security</w:t>
      </w:r>
    </w:p>
    <w:p>
      <w:r>
        <w:rPr>
          <w:rFonts w:ascii="Calibri" w:hAnsi="Calibri"/>
          <w:b w:val="0"/>
          <w:i w:val="0"/>
          <w:color w:val="101828"/>
          <w:sz w:val="21"/>
        </w:rPr>
        <w:t>All forty public tables have RLS enabled and at least one policy; a coverage view in the migration makes that checkable rather than asserted. RLS is the last line, not the first: the application checks ownership where it can give a better error message, and the policy is what holds when the application is wrong, when a new query is written in a hurry, or when somebody with a database console reads a table directly.</w:t>
      </w:r>
    </w:p>
    <w:p>
      <w:r>
        <w:rPr>
          <w:rFonts w:ascii="Calibri" w:hAnsi="Calibri"/>
          <w:b w:val="0"/>
          <w:i w:val="0"/>
          <w:color w:val="101828"/>
          <w:sz w:val="21"/>
        </w:rPr>
        <w:t xml:space="preserve">Two properties make the policies work at all. The first is that identity arrives in a GUC set before the role switch, so the policy can read it without a </w:t>
      </w:r>
      <w:r>
        <w:rPr>
          <w:rFonts w:ascii="Consolas" w:hAnsi="Consolas"/>
          <w:color w:val="146EF5"/>
          <w:sz w:val="21"/>
        </w:rPr>
        <w:t>SELECT</w:t>
      </w:r>
      <w:r>
        <w:rPr>
          <w:rFonts w:ascii="Calibri" w:hAnsi="Calibri"/>
          <w:b w:val="0"/>
          <w:i w:val="0"/>
          <w:color w:val="101828"/>
          <w:sz w:val="21"/>
        </w:rPr>
        <w:t xml:space="preserve"> on a session table that the policy itself governs. The second is that the helper functions are </w:t>
      </w:r>
      <w:r>
        <w:rPr>
          <w:rFonts w:ascii="Consolas" w:hAnsi="Consolas"/>
          <w:color w:val="146EF5"/>
          <w:sz w:val="21"/>
        </w:rPr>
        <w:t>SECURITY DEFINER</w:t>
      </w:r>
      <w:r>
        <w:rPr>
          <w:rFonts w:ascii="Calibri" w:hAnsi="Calibri"/>
          <w:b w:val="0"/>
          <w:i w:val="0"/>
          <w:color w:val="101828"/>
          <w:sz w:val="21"/>
        </w:rPr>
        <w:t xml:space="preserve"> with a pinned </w:t>
      </w:r>
      <w:r>
        <w:rPr>
          <w:rFonts w:ascii="Consolas" w:hAnsi="Consolas"/>
          <w:color w:val="146EF5"/>
          <w:sz w:val="21"/>
        </w:rPr>
        <w:t>search_path</w:t>
      </w:r>
      <w:r>
        <w:rPr>
          <w:rFonts w:ascii="Calibri" w:hAnsi="Calibri"/>
          <w:b w:val="0"/>
          <w:i w:val="0"/>
          <w:color w:val="101828"/>
          <w:sz w:val="21"/>
        </w:rPr>
        <w:t xml:space="preserve">, so a member can be evaluated against </w:t>
      </w:r>
      <w:r>
        <w:rPr>
          <w:rFonts w:ascii="Consolas" w:hAnsi="Consolas"/>
          <w:color w:val="146EF5"/>
          <w:sz w:val="21"/>
        </w:rPr>
        <w:t>ajo_members</w:t>
      </w:r>
      <w:r>
        <w:rPr>
          <w:rFonts w:ascii="Calibri" w:hAnsi="Calibri"/>
          <w:b w:val="0"/>
          <w:i w:val="0"/>
          <w:color w:val="101828"/>
          <w:sz w:val="21"/>
        </w:rPr>
        <w:t xml:space="preserve"> without holding any privilege on it. Without that, every member's request would need to read the membership table directly, and the first policy written would grant it to everyone.</w:t>
      </w:r>
    </w:p>
    <w:p>
      <w:pPr>
        <w:spacing w:before="0" w:after="0" w:line="240" w:lineRule="auto"/>
        <w:ind w:left="230"/>
        <w:shd w:val="clear" w:color="auto" w:fill="F7F9FC"/>
        <w:pBdr>
          <w:left w:val="single" w:sz="4" w:space="6" w:color="D0D5DD"/>
        </w:pBdr>
      </w:pPr>
      <w:r>
        <w:rPr>
          <w:rFonts w:ascii="Consolas" w:hAnsi="Consolas"/>
          <w:color w:val="0B1F3A"/>
          <w:sz w:val="16"/>
        </w:rPr>
        <w:t>CREATE OR REPLACE FUNCTION app.current_ajo_ids()</w:t>
      </w:r>
    </w:p>
    <w:p>
      <w:pPr>
        <w:spacing w:before="0" w:after="0" w:line="240" w:lineRule="auto"/>
        <w:ind w:left="230"/>
        <w:shd w:val="clear" w:color="auto" w:fill="F7F9FC"/>
        <w:pBdr>
          <w:left w:val="single" w:sz="4" w:space="6" w:color="D0D5DD"/>
        </w:pBdr>
      </w:pPr>
      <w:r>
        <w:rPr>
          <w:rFonts w:ascii="Consolas" w:hAnsi="Consolas"/>
          <w:color w:val="0B1F3A"/>
          <w:sz w:val="16"/>
        </w:rPr>
        <w:t>RETURNS SETOF uuid</w:t>
      </w:r>
    </w:p>
    <w:p>
      <w:pPr>
        <w:spacing w:before="0" w:after="0" w:line="240" w:lineRule="auto"/>
        <w:ind w:left="230"/>
        <w:shd w:val="clear" w:color="auto" w:fill="F7F9FC"/>
        <w:pBdr>
          <w:left w:val="single" w:sz="4" w:space="6" w:color="D0D5DD"/>
        </w:pBdr>
      </w:pPr>
      <w:r>
        <w:rPr>
          <w:rFonts w:ascii="Consolas" w:hAnsi="Consolas"/>
          <w:color w:val="0B1F3A"/>
          <w:sz w:val="16"/>
        </w:rPr>
        <w:t>LANGUAGE sql STABLE SECURITY DEFINER</w:t>
      </w:r>
    </w:p>
    <w:p>
      <w:pPr>
        <w:spacing w:before="0" w:after="0" w:line="240" w:lineRule="auto"/>
        <w:ind w:left="230"/>
        <w:shd w:val="clear" w:color="auto" w:fill="F7F9FC"/>
        <w:pBdr>
          <w:left w:val="single" w:sz="4" w:space="6" w:color="D0D5DD"/>
        </w:pBdr>
      </w:pPr>
      <w:r>
        <w:rPr>
          <w:rFonts w:ascii="Consolas" w:hAnsi="Consolas"/>
          <w:color w:val="0B1F3A"/>
          <w:sz w:val="16"/>
        </w:rPr>
        <w:t>SET search_path = public, app</w:t>
      </w:r>
    </w:p>
    <w:p>
      <w:pPr>
        <w:spacing w:before="0" w:after="0" w:line="240" w:lineRule="auto"/>
        <w:ind w:left="230"/>
        <w:shd w:val="clear" w:color="auto" w:fill="F7F9FC"/>
        <w:pBdr>
          <w:left w:val="single" w:sz="4" w:space="6" w:color="D0D5DD"/>
        </w:pBdr>
      </w:pPr>
      <w:r>
        <w:rPr>
          <w:rFonts w:ascii="Consolas" w:hAnsi="Consolas"/>
          <w:color w:val="0B1F3A"/>
          <w:sz w:val="16"/>
        </w:rPr>
        <w:t>AS $fn$</w:t>
      </w:r>
    </w:p>
    <w:p>
      <w:pPr>
        <w:spacing w:before="0" w:after="0" w:line="240" w:lineRule="auto"/>
        <w:ind w:left="230"/>
        <w:shd w:val="clear" w:color="auto" w:fill="F7F9FC"/>
        <w:pBdr>
          <w:left w:val="single" w:sz="4" w:space="6" w:color="D0D5DD"/>
        </w:pBdr>
      </w:pPr>
      <w:r>
        <w:rPr>
          <w:rFonts w:ascii="Consolas" w:hAnsi="Consolas"/>
          <w:color w:val="0B1F3A"/>
          <w:sz w:val="16"/>
        </w:rPr>
        <w:t xml:space="preserve">  SELECT m.ajo_id</w:t>
      </w:r>
    </w:p>
    <w:p>
      <w:pPr>
        <w:spacing w:before="0" w:after="0" w:line="240" w:lineRule="auto"/>
        <w:ind w:left="230"/>
        <w:shd w:val="clear" w:color="auto" w:fill="F7F9FC"/>
        <w:pBdr>
          <w:left w:val="single" w:sz="4" w:space="6" w:color="D0D5DD"/>
        </w:pBdr>
      </w:pPr>
      <w:r>
        <w:rPr>
          <w:rFonts w:ascii="Consolas" w:hAnsi="Consolas"/>
          <w:color w:val="0B1F3A"/>
          <w:sz w:val="16"/>
        </w:rPr>
        <w:t xml:space="preserve">    FROM ajo_members m</w:t>
      </w:r>
    </w:p>
    <w:p>
      <w:pPr>
        <w:spacing w:before="0" w:after="0" w:line="240" w:lineRule="auto"/>
        <w:ind w:left="230"/>
        <w:shd w:val="clear" w:color="auto" w:fill="F7F9FC"/>
        <w:pBdr>
          <w:left w:val="single" w:sz="4" w:space="6" w:color="D0D5DD"/>
        </w:pBdr>
      </w:pPr>
      <w:r>
        <w:rPr>
          <w:rFonts w:ascii="Consolas" w:hAnsi="Consolas"/>
          <w:color w:val="0B1F3A"/>
          <w:sz w:val="16"/>
        </w:rPr>
        <w:t xml:space="preserve">   WHERE m.user_id  = app.request_user_id()</w:t>
      </w:r>
    </w:p>
    <w:p>
      <w:pPr>
        <w:spacing w:before="0" w:after="0" w:line="240" w:lineRule="auto"/>
        <w:ind w:left="230"/>
        <w:shd w:val="clear" w:color="auto" w:fill="F7F9FC"/>
        <w:pBdr>
          <w:left w:val="single" w:sz="4" w:space="6" w:color="D0D5DD"/>
        </w:pBdr>
      </w:pPr>
      <w:r>
        <w:rPr>
          <w:rFonts w:ascii="Consolas" w:hAnsi="Consolas"/>
          <w:color w:val="0B1F3A"/>
          <w:sz w:val="16"/>
        </w:rPr>
        <w:t xml:space="preserve">     AND m.deleted_at IS NULL</w:t>
      </w:r>
    </w:p>
    <w:p>
      <w:pPr>
        <w:spacing w:before="0" w:after="0" w:line="240" w:lineRule="auto"/>
        <w:ind w:left="230"/>
        <w:shd w:val="clear" w:color="auto" w:fill="F7F9FC"/>
        <w:pBdr>
          <w:left w:val="single" w:sz="4" w:space="6" w:color="D0D5DD"/>
        </w:pBdr>
      </w:pPr>
      <w:r>
        <w:rPr>
          <w:rFonts w:ascii="Consolas" w:hAnsi="Consolas"/>
          <w:color w:val="0B1F3A"/>
          <w:sz w:val="16"/>
        </w:rPr>
        <w:t xml:space="preserve">     AND m.status   IN ('invited','active','defaulted');</w:t>
      </w:r>
    </w:p>
    <w:p>
      <w:pPr>
        <w:spacing w:before="0" w:after="0" w:line="240" w:lineRule="auto"/>
        <w:ind w:left="230"/>
        <w:shd w:val="clear" w:color="auto" w:fill="F7F9FC"/>
        <w:pBdr>
          <w:left w:val="single" w:sz="4" w:space="6" w:color="D0D5DD"/>
        </w:pBdr>
      </w:pPr>
      <w:r>
        <w:rPr>
          <w:rFonts w:ascii="Consolas" w:hAnsi="Consolas"/>
          <w:color w:val="0B1F3A"/>
          <w:sz w:val="16"/>
        </w:rPr>
        <w:t>$fn$;</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True when the caller and the named user share at least one Ajo.</w:t>
      </w:r>
    </w:p>
    <w:p>
      <w:pPr>
        <w:spacing w:before="0" w:after="0" w:line="240" w:lineRule="auto"/>
        <w:ind w:left="230"/>
        <w:shd w:val="clear" w:color="auto" w:fill="F7F9FC"/>
        <w:pBdr>
          <w:left w:val="single" w:sz="4" w:space="6" w:color="D0D5DD"/>
        </w:pBdr>
      </w:pPr>
      <w:r>
        <w:rPr>
          <w:rFonts w:ascii="Consolas" w:hAnsi="Consolas"/>
          <w:color w:val="0B1F3A"/>
          <w:sz w:val="16"/>
        </w:rPr>
        <w:t>-- This is what makes a co-member's profile readable and nothing more:</w:t>
      </w:r>
    </w:p>
    <w:p>
      <w:pPr>
        <w:spacing w:before="0" w:after="0" w:line="240" w:lineRule="auto"/>
        <w:ind w:left="230"/>
        <w:shd w:val="clear" w:color="auto" w:fill="F7F9FC"/>
        <w:pBdr>
          <w:left w:val="single" w:sz="4" w:space="6" w:color="D0D5DD"/>
        </w:pBdr>
      </w:pPr>
      <w:r>
        <w:rPr>
          <w:rFonts w:ascii="Consolas" w:hAnsi="Consolas"/>
          <w:color w:val="0B1F3A"/>
          <w:sz w:val="16"/>
        </w:rPr>
        <w:t>-- it is a boolean about a relationship, not a grant over a table.</w:t>
      </w:r>
    </w:p>
    <w:p>
      <w:pPr>
        <w:spacing w:before="0" w:after="0" w:line="240" w:lineRule="auto"/>
        <w:ind w:left="230"/>
        <w:shd w:val="clear" w:color="auto" w:fill="F7F9FC"/>
        <w:pBdr>
          <w:left w:val="single" w:sz="4" w:space="6" w:color="D0D5DD"/>
        </w:pBdr>
      </w:pPr>
      <w:r>
        <w:rPr>
          <w:rFonts w:ascii="Consolas" w:hAnsi="Consolas"/>
          <w:color w:val="0B1F3A"/>
          <w:sz w:val="16"/>
        </w:rPr>
        <w:t>CREATE OR REPLACE FUNCTION app.shares_ajo_with(p_user_id uuid)</w:t>
      </w:r>
    </w:p>
    <w:p>
      <w:pPr>
        <w:spacing w:before="0" w:after="0" w:line="240" w:lineRule="auto"/>
        <w:ind w:left="230"/>
        <w:shd w:val="clear" w:color="auto" w:fill="F7F9FC"/>
        <w:pBdr>
          <w:left w:val="single" w:sz="4" w:space="6" w:color="D0D5DD"/>
        </w:pBdr>
      </w:pPr>
      <w:r>
        <w:rPr>
          <w:rFonts w:ascii="Consolas" w:hAnsi="Consolas"/>
          <w:color w:val="0B1F3A"/>
          <w:sz w:val="16"/>
        </w:rPr>
        <w:t>RETURNS boolean</w:t>
      </w:r>
    </w:p>
    <w:p>
      <w:pPr>
        <w:spacing w:before="0" w:after="0" w:line="240" w:lineRule="auto"/>
        <w:ind w:left="230"/>
        <w:shd w:val="clear" w:color="auto" w:fill="F7F9FC"/>
        <w:pBdr>
          <w:left w:val="single" w:sz="4" w:space="6" w:color="D0D5DD"/>
        </w:pBdr>
      </w:pPr>
      <w:r>
        <w:rPr>
          <w:rFonts w:ascii="Consolas" w:hAnsi="Consolas"/>
          <w:color w:val="0B1F3A"/>
          <w:sz w:val="16"/>
        </w:rPr>
        <w:t>LANGUAGE sql STABLE SECURITY DEFINER</w:t>
      </w:r>
    </w:p>
    <w:p>
      <w:pPr>
        <w:spacing w:before="0" w:after="0" w:line="240" w:lineRule="auto"/>
        <w:ind w:left="230"/>
        <w:shd w:val="clear" w:color="auto" w:fill="F7F9FC"/>
        <w:pBdr>
          <w:left w:val="single" w:sz="4" w:space="6" w:color="D0D5DD"/>
        </w:pBdr>
      </w:pPr>
      <w:r>
        <w:rPr>
          <w:rFonts w:ascii="Consolas" w:hAnsi="Consolas"/>
          <w:color w:val="0B1F3A"/>
          <w:sz w:val="16"/>
        </w:rPr>
        <w:t>SET search_path = public, app</w:t>
      </w:r>
    </w:p>
    <w:p>
      <w:pPr>
        <w:spacing w:before="0" w:after="0" w:line="240" w:lineRule="auto"/>
        <w:ind w:left="230"/>
        <w:shd w:val="clear" w:color="auto" w:fill="F7F9FC"/>
        <w:pBdr>
          <w:left w:val="single" w:sz="4" w:space="6" w:color="D0D5DD"/>
        </w:pBdr>
      </w:pPr>
      <w:r>
        <w:rPr>
          <w:rFonts w:ascii="Consolas" w:hAnsi="Consolas"/>
          <w:color w:val="0B1F3A"/>
          <w:sz w:val="16"/>
        </w:rPr>
        <w:t>AS $fn$</w:t>
      </w:r>
    </w:p>
    <w:p>
      <w:pPr>
        <w:spacing w:before="0" w:after="0" w:line="240" w:lineRule="auto"/>
        <w:ind w:left="230"/>
        <w:shd w:val="clear" w:color="auto" w:fill="F7F9FC"/>
        <w:pBdr>
          <w:left w:val="single" w:sz="4" w:space="6" w:color="D0D5DD"/>
        </w:pBdr>
      </w:pPr>
      <w:r>
        <w:rPr>
          <w:rFonts w:ascii="Consolas" w:hAnsi="Consolas"/>
          <w:color w:val="0B1F3A"/>
          <w:sz w:val="16"/>
        </w:rPr>
        <w:t xml:space="preserve">  SELECT EXISTS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SELECT 1</w:t>
      </w:r>
    </w:p>
    <w:p>
      <w:pPr>
        <w:spacing w:before="0" w:after="0" w:line="240" w:lineRule="auto"/>
        <w:ind w:left="230"/>
        <w:shd w:val="clear" w:color="auto" w:fill="F7F9FC"/>
        <w:pBdr>
          <w:left w:val="single" w:sz="4" w:space="6" w:color="D0D5DD"/>
        </w:pBdr>
      </w:pPr>
      <w:r>
        <w:rPr>
          <w:rFonts w:ascii="Consolas" w:hAnsi="Consolas"/>
          <w:color w:val="0B1F3A"/>
          <w:sz w:val="16"/>
        </w:rPr>
        <w:t xml:space="preserve">             FROM ajo_members mine</w:t>
      </w:r>
    </w:p>
    <w:p>
      <w:pPr>
        <w:spacing w:before="0" w:after="0" w:line="240" w:lineRule="auto"/>
        <w:ind w:left="230"/>
        <w:shd w:val="clear" w:color="auto" w:fill="F7F9FC"/>
        <w:pBdr>
          <w:left w:val="single" w:sz="4" w:space="6" w:color="D0D5DD"/>
        </w:pBdr>
      </w:pPr>
      <w:r>
        <w:rPr>
          <w:rFonts w:ascii="Consolas" w:hAnsi="Consolas"/>
          <w:color w:val="0B1F3A"/>
          <w:sz w:val="16"/>
        </w:rPr>
        <w:t xml:space="preserve">             JOIN ajo_members theirs ON theirs.ajo_id = mine.ajo_id</w:t>
      </w:r>
    </w:p>
    <w:p>
      <w:pPr>
        <w:spacing w:before="0" w:after="0" w:line="240" w:lineRule="auto"/>
        <w:ind w:left="230"/>
        <w:shd w:val="clear" w:color="auto" w:fill="F7F9FC"/>
        <w:pBdr>
          <w:left w:val="single" w:sz="4" w:space="6" w:color="D0D5DD"/>
        </w:pBdr>
      </w:pPr>
      <w:r>
        <w:rPr>
          <w:rFonts w:ascii="Consolas" w:hAnsi="Consolas"/>
          <w:color w:val="0B1F3A"/>
          <w:sz w:val="16"/>
        </w:rPr>
        <w:t xml:space="preserve">            WHERE mine.user_id  = app.request_user_id()</w:t>
      </w:r>
    </w:p>
    <w:p>
      <w:pPr>
        <w:spacing w:before="0" w:after="0" w:line="240" w:lineRule="auto"/>
        <w:ind w:left="230"/>
        <w:shd w:val="clear" w:color="auto" w:fill="F7F9FC"/>
        <w:pBdr>
          <w:left w:val="single" w:sz="4" w:space="6" w:color="D0D5DD"/>
        </w:pBdr>
      </w:pPr>
      <w:r>
        <w:rPr>
          <w:rFonts w:ascii="Consolas" w:hAnsi="Consolas"/>
          <w:color w:val="0B1F3A"/>
          <w:sz w:val="16"/>
        </w:rPr>
        <w:t xml:space="preserve">              AND theirs.user_id = p_user_id</w:t>
      </w:r>
    </w:p>
    <w:p>
      <w:pPr>
        <w:spacing w:before="0" w:after="0" w:line="240" w:lineRule="auto"/>
        <w:ind w:left="230"/>
        <w:shd w:val="clear" w:color="auto" w:fill="F7F9FC"/>
        <w:pBdr>
          <w:left w:val="single" w:sz="4" w:space="6" w:color="D0D5DD"/>
        </w:pBdr>
      </w:pPr>
      <w:r>
        <w:rPr>
          <w:rFonts w:ascii="Consolas" w:hAnsi="Consolas"/>
          <w:color w:val="0B1F3A"/>
          <w:sz w:val="16"/>
        </w:rPr>
        <w:t xml:space="preserve">              AND mine.status IN ('invited','active','defaulted')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AND theirs.status IN ('invited','active','defaulted'));</w:t>
      </w:r>
    </w:p>
    <w:p>
      <w:pPr>
        <w:spacing w:before="0" w:after="0" w:line="240" w:lineRule="auto"/>
        <w:ind w:left="230"/>
        <w:shd w:val="clear" w:color="auto" w:fill="F7F9FC"/>
        <w:pBdr>
          <w:left w:val="single" w:sz="4" w:space="6" w:color="D0D5DD"/>
        </w:pBdr>
      </w:pPr>
      <w:r>
        <w:rPr>
          <w:rFonts w:ascii="Consolas" w:hAnsi="Consolas"/>
          <w:color w:val="0B1F3A"/>
          <w:sz w:val="16"/>
        </w:rPr>
        <w:t>$fn$;</w:t>
      </w:r>
    </w:p>
    <w:p>
      <w:r>
        <w:rPr>
          <w:rFonts w:ascii="Calibri" w:hAnsi="Calibri"/>
          <w:b w:val="0"/>
          <w:i w:val="0"/>
          <w:color w:val="101828"/>
          <w:sz w:val="21"/>
        </w:rPr>
        <w:t xml:space="preserve">The live-status set is </w:t>
      </w:r>
      <w:r>
        <w:rPr>
          <w:rFonts w:ascii="Consolas" w:hAnsi="Consolas"/>
          <w:color w:val="146EF5"/>
          <w:sz w:val="21"/>
        </w:rPr>
        <w:t>invited</w:t>
      </w:r>
      <w:r>
        <w:rPr>
          <w:rFonts w:ascii="Calibri" w:hAnsi="Calibri"/>
          <w:b w:val="0"/>
          <w:i w:val="0"/>
          <w:color w:val="101828"/>
          <w:sz w:val="21"/>
        </w:rPr>
        <w:t xml:space="preserve">, </w:t>
      </w:r>
      <w:r>
        <w:rPr>
          <w:rFonts w:ascii="Consolas" w:hAnsi="Consolas"/>
          <w:color w:val="146EF5"/>
          <w:sz w:val="21"/>
        </w:rPr>
        <w:t>active</w:t>
      </w:r>
      <w:r>
        <w:rPr>
          <w:rFonts w:ascii="Calibri" w:hAnsi="Calibri"/>
          <w:b w:val="0"/>
          <w:i w:val="0"/>
          <w:color w:val="101828"/>
          <w:sz w:val="21"/>
        </w:rPr>
        <w:t xml:space="preserve"> and </w:t>
      </w:r>
      <w:r>
        <w:rPr>
          <w:rFonts w:ascii="Consolas" w:hAnsi="Consolas"/>
          <w:color w:val="146EF5"/>
          <w:sz w:val="21"/>
        </w:rPr>
        <w:t>defaulted</w:t>
      </w:r>
      <w:r>
        <w:rPr>
          <w:rFonts w:ascii="Calibri" w:hAnsi="Calibri"/>
          <w:b w:val="0"/>
          <w:i w:val="0"/>
          <w:color w:val="101828"/>
          <w:sz w:val="21"/>
        </w:rPr>
        <w:t xml:space="preserve">, and the same three values appear in the occupancy index in 9.3.2. A member who has left is not in </w:t>
      </w:r>
      <w:r>
        <w:rPr>
          <w:rFonts w:ascii="Consolas" w:hAnsi="Consolas"/>
          <w:color w:val="146EF5"/>
          <w:sz w:val="21"/>
        </w:rPr>
        <w:t>current_ajo_ids</w:t>
      </w:r>
      <w:r>
        <w:rPr>
          <w:rFonts w:ascii="Calibri" w:hAnsi="Calibri"/>
          <w:b w:val="0"/>
          <w:i w:val="0"/>
          <w:color w:val="101828"/>
          <w:sz w:val="21"/>
        </w:rPr>
        <w:t xml:space="preserve">, which is correct for ordinary reads and would be wrong for one thing: an organizer who leaves still has rounds to run, so the organizer policies on </w:t>
      </w:r>
      <w:r>
        <w:rPr>
          <w:rFonts w:ascii="Consolas" w:hAnsi="Consolas"/>
          <w:color w:val="146EF5"/>
          <w:sz w:val="21"/>
        </w:rPr>
        <w:t>ajos</w:t>
      </w:r>
      <w:r>
        <w:rPr>
          <w:rFonts w:ascii="Calibri" w:hAnsi="Calibri"/>
          <w:b w:val="0"/>
          <w:i w:val="0"/>
          <w:color w:val="101828"/>
          <w:sz w:val="21"/>
        </w:rPr>
        <w:t xml:space="preserve">, </w:t>
      </w:r>
      <w:r>
        <w:rPr>
          <w:rFonts w:ascii="Consolas" w:hAnsi="Consolas"/>
          <w:color w:val="146EF5"/>
          <w:sz w:val="21"/>
        </w:rPr>
        <w:t>rounds</w:t>
      </w:r>
      <w:r>
        <w:rPr>
          <w:rFonts w:ascii="Calibri" w:hAnsi="Calibri"/>
          <w:b w:val="0"/>
          <w:i w:val="0"/>
          <w:color w:val="101828"/>
          <w:sz w:val="21"/>
        </w:rPr>
        <w:t xml:space="preserve">, </w:t>
      </w:r>
      <w:r>
        <w:rPr>
          <w:rFonts w:ascii="Consolas" w:hAnsi="Consolas"/>
          <w:color w:val="146EF5"/>
          <w:sz w:val="21"/>
        </w:rPr>
        <w:t>contribution_schedules</w:t>
      </w:r>
      <w:r>
        <w:rPr>
          <w:rFonts w:ascii="Calibri" w:hAnsi="Calibri"/>
          <w:b w:val="0"/>
          <w:i w:val="0"/>
          <w:color w:val="101828"/>
          <w:sz w:val="21"/>
        </w:rPr>
        <w:t xml:space="preserve"> and </w:t>
      </w:r>
      <w:r>
        <w:rPr>
          <w:rFonts w:ascii="Consolas" w:hAnsi="Consolas"/>
          <w:color w:val="146EF5"/>
          <w:sz w:val="21"/>
        </w:rPr>
        <w:t>contributions</w:t>
      </w:r>
      <w:r>
        <w:rPr>
          <w:rFonts w:ascii="Calibri" w:hAnsi="Calibri"/>
          <w:b w:val="0"/>
          <w:i w:val="0"/>
          <w:color w:val="101828"/>
          <w:sz w:val="21"/>
        </w:rPr>
        <w:t xml:space="preserve"> are written against </w:t>
      </w:r>
      <w:r>
        <w:rPr>
          <w:rFonts w:ascii="Consolas" w:hAnsi="Consolas"/>
          <w:color w:val="146EF5"/>
          <w:sz w:val="21"/>
        </w:rPr>
        <w:t xml:space="preserve"> organizer_id</w:t>
      </w:r>
      <w:r>
        <w:rPr>
          <w:rFonts w:ascii="Calibri" w:hAnsi="Calibri"/>
          <w:b w:val="0"/>
          <w:i w:val="0"/>
          <w:color w:val="101828"/>
          <w:sz w:val="21"/>
        </w:rPr>
        <w:t xml:space="preserve"> rather than against membership. The first draft of those policies used membership, and the RLS suite caught it: an organizer who had exited could no longer see the Ajo they were still responsible for.</w:t>
      </w:r>
    </w:p>
    <w:p>
      <w:r>
        <w:rPr>
          <w:rFonts w:ascii="Calibri" w:hAnsi="Calibri"/>
          <w:b w:val="0"/>
          <w:i w:val="0"/>
          <w:color w:val="101828"/>
          <w:sz w:val="21"/>
        </w:rPr>
        <w:t>The defaulting rule is the one place where a plausible policy is wrong. A contribution that has defaulted is personal information about a member's financial distress, and CANONICAL.md says it is visible to the affected member, the organizer and platform risk staff. The first draft let every live member of the Ajo read it, on the reasoning that they can already see the round's pool and therefore the gap. The RLS suite rejected that reasoning: knowing that a named member has defaulted is not the same as knowing a round is short, and the second is a fact the first member is entitled to, conveyed by the aggregate. The policy now reads defaulted rows only for the member, the organizer and staff, and a co-member sees the rest of the round normally.</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7"/>
              </w:rPr>
              <w:t>Table</w:t>
            </w:r>
          </w:p>
        </w:tc>
        <w:tc>
          <w:tcPr>
            <w:tcW w:type="dxa" w:w="3744"/>
            <w:shd w:val="clear" w:color="auto" w:fill="0B1F3A"/>
            <w:tcMar>
              <w:top w:w="60" w:type="dxa"/>
              <w:start w:w="110" w:type="dxa"/>
              <w:bottom w:w="60" w:type="dxa"/>
              <w:end w:w="110" w:type="dxa"/>
            </w:tcMar>
          </w:tcPr>
          <w:p>
            <w:pPr>
              <w:spacing w:after="0"/>
            </w:pPr>
            <w:r/>
            <w:r>
              <w:rPr>
                <w:rFonts w:ascii="Calibri" w:hAnsi="Calibri"/>
                <w:b/>
                <w:i w:val="0"/>
                <w:color w:val="FFFFFF"/>
                <w:sz w:val="17"/>
              </w:rPr>
              <w:t>Who can read a row</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7"/>
              </w:rPr>
              <w:t>Staff override</w:t>
            </w:r>
          </w:p>
        </w:tc>
      </w:tr>
      <w:tr>
        <w:trPr>
          <w:cantSplit/>
        </w:trPr>
        <w:tc>
          <w:tcPr>
            <w:tcW w:type="dxa" w:w="3168"/>
            <w:tcMar>
              <w:top w:w="60" w:type="dxa"/>
              <w:start w:w="110" w:type="dxa"/>
              <w:bottom w:w="60" w:type="dxa"/>
              <w:end w:w="110" w:type="dxa"/>
            </w:tcMar>
          </w:tcPr>
          <w:p>
            <w:pPr>
              <w:spacing w:after="0"/>
            </w:pPr>
            <w:r/>
            <w:r>
              <w:rPr>
                <w:rFonts w:ascii="Consolas" w:hAnsi="Consolas"/>
                <w:color w:val="146EF5"/>
                <w:sz w:val="17"/>
              </w:rPr>
              <w:t>users</w:t>
            </w:r>
          </w:p>
        </w:tc>
        <w:tc>
          <w:tcPr>
            <w:tcW w:type="dxa" w:w="3744"/>
            <w:tcMar>
              <w:top w:w="60" w:type="dxa"/>
              <w:start w:w="110" w:type="dxa"/>
              <w:bottom w:w="60" w:type="dxa"/>
              <w:end w:w="110" w:type="dxa"/>
            </w:tcMar>
          </w:tcPr>
          <w:p>
            <w:pPr>
              <w:spacing w:after="0"/>
            </w:pPr>
            <w:r/>
            <w:r>
              <w:rPr>
                <w:rFonts w:ascii="Calibri" w:hAnsi="Calibri"/>
                <w:b w:val="0"/>
                <w:i w:val="0"/>
                <w:color w:val="101828"/>
                <w:sz w:val="17"/>
              </w:rPr>
              <w:t>Self only</w:t>
            </w:r>
          </w:p>
        </w:tc>
        <w:tc>
          <w:tcPr>
            <w:tcW w:type="dxa" w:w="2448"/>
            <w:tcMar>
              <w:top w:w="60" w:type="dxa"/>
              <w:start w:w="110" w:type="dxa"/>
              <w:bottom w:w="60" w:type="dxa"/>
              <w:end w:w="110" w:type="dxa"/>
            </w:tcMar>
          </w:tcPr>
          <w:p>
            <w:pPr>
              <w:spacing w:after="0"/>
            </w:pPr>
            <w:r/>
            <w:r>
              <w:rPr>
                <w:rFonts w:ascii="Calibri" w:hAnsi="Calibri"/>
                <w:b w:val="0"/>
                <w:i w:val="0"/>
                <w:color w:val="101828"/>
                <w:sz w:val="17"/>
              </w:rPr>
              <w:t>Support and risk</w:t>
            </w:r>
          </w:p>
        </w:tc>
      </w:tr>
      <w:tr>
        <w:trPr>
          <w:cantSplit/>
        </w:trPr>
        <w:tc>
          <w:tcPr>
            <w:tcW w:type="dxa" w:w="3168"/>
            <w:tcMar>
              <w:top w:w="60" w:type="dxa"/>
              <w:start w:w="110" w:type="dxa"/>
              <w:bottom w:w="60" w:type="dxa"/>
              <w:end w:w="110" w:type="dxa"/>
            </w:tcMar>
            <w:shd w:val="clear" w:color="auto" w:fill="F4F7FB"/>
          </w:tcPr>
          <w:p>
            <w:pPr>
              <w:spacing w:after="0"/>
            </w:pPr>
            <w:r/>
            <w:r>
              <w:rPr>
                <w:rFonts w:ascii="Consolas" w:hAnsi="Consolas"/>
                <w:color w:val="146EF5"/>
                <w:sz w:val="17"/>
              </w:rPr>
              <w:t>profiles</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7"/>
              </w:rPr>
              <w:t>Self, and any co-member</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7"/>
              </w:rPr>
              <w:t>Support and risk</w:t>
            </w:r>
          </w:p>
        </w:tc>
      </w:tr>
      <w:tr>
        <w:trPr>
          <w:cantSplit/>
        </w:trPr>
        <w:tc>
          <w:tcPr>
            <w:tcW w:type="dxa" w:w="3168"/>
            <w:tcMar>
              <w:top w:w="60" w:type="dxa"/>
              <w:start w:w="110" w:type="dxa"/>
              <w:bottom w:w="60" w:type="dxa"/>
              <w:end w:w="110" w:type="dxa"/>
            </w:tcMar>
          </w:tcPr>
          <w:p>
            <w:pPr>
              <w:spacing w:after="0"/>
            </w:pPr>
            <w:r/>
            <w:r>
              <w:rPr>
                <w:rFonts w:ascii="Consolas" w:hAnsi="Consolas"/>
                <w:color w:val="146EF5"/>
                <w:sz w:val="17"/>
              </w:rPr>
              <w:t>admins</w:t>
            </w:r>
            <w:r>
              <w:rPr>
                <w:rFonts w:ascii="Calibri" w:hAnsi="Calibri"/>
                <w:b w:val="0"/>
                <w:i w:val="0"/>
                <w:color w:val="101828"/>
                <w:sz w:val="17"/>
              </w:rPr>
              <w:t xml:space="preserve">, </w:t>
            </w:r>
            <w:r>
              <w:rPr>
                <w:rFonts w:ascii="Consolas" w:hAnsi="Consolas"/>
                <w:color w:val="146EF5"/>
                <w:sz w:val="17"/>
              </w:rPr>
              <w:t>role_assignments</w:t>
            </w:r>
          </w:p>
        </w:tc>
        <w:tc>
          <w:tcPr>
            <w:tcW w:type="dxa" w:w="3744"/>
            <w:tcMar>
              <w:top w:w="60" w:type="dxa"/>
              <w:start w:w="110" w:type="dxa"/>
              <w:bottom w:w="60" w:type="dxa"/>
              <w:end w:w="110" w:type="dxa"/>
            </w:tcMar>
          </w:tcPr>
          <w:p>
            <w:pPr>
              <w:spacing w:after="0"/>
            </w:pPr>
            <w:r/>
            <w:r>
              <w:rPr>
                <w:rFonts w:ascii="Calibri" w:hAnsi="Calibri"/>
                <w:b w:val="0"/>
                <w:i w:val="0"/>
                <w:color w:val="101828"/>
                <w:sz w:val="17"/>
              </w:rPr>
              <w:t>Nobody at runtime</w:t>
            </w:r>
          </w:p>
        </w:tc>
        <w:tc>
          <w:tcPr>
            <w:tcW w:type="dxa" w:w="2448"/>
            <w:tcMar>
              <w:top w:w="60" w:type="dxa"/>
              <w:start w:w="110" w:type="dxa"/>
              <w:bottom w:w="60" w:type="dxa"/>
              <w:end w:w="110" w:type="dxa"/>
            </w:tcMar>
          </w:tcPr>
          <w:p>
            <w:pPr>
              <w:spacing w:after="0"/>
            </w:pPr>
            <w:r/>
            <w:r>
              <w:rPr>
                <w:rFonts w:ascii="Calibri" w:hAnsi="Calibri"/>
                <w:b w:val="0"/>
                <w:i w:val="0"/>
                <w:color w:val="101828"/>
                <w:sz w:val="17"/>
              </w:rPr>
              <w:t>Support, and the row's own subject for their own roles</w:t>
            </w:r>
          </w:p>
        </w:tc>
      </w:tr>
      <w:tr>
        <w:trPr>
          <w:cantSplit/>
        </w:trPr>
        <w:tc>
          <w:tcPr>
            <w:tcW w:type="dxa" w:w="3168"/>
            <w:tcMar>
              <w:top w:w="60" w:type="dxa"/>
              <w:start w:w="110" w:type="dxa"/>
              <w:bottom w:w="60" w:type="dxa"/>
              <w:end w:w="110" w:type="dxa"/>
            </w:tcMar>
            <w:shd w:val="clear" w:color="auto" w:fill="F4F7FB"/>
          </w:tcPr>
          <w:p>
            <w:pPr>
              <w:spacing w:after="0"/>
            </w:pPr>
            <w:r/>
            <w:r>
              <w:rPr>
                <w:rFonts w:ascii="Consolas" w:hAnsi="Consolas"/>
                <w:color w:val="146EF5"/>
                <w:sz w:val="17"/>
              </w:rPr>
              <w:t>ajos</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7"/>
              </w:rPr>
              <w:t>Any current member, and the organizer</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7"/>
              </w:rPr>
              <w:t>Support and risk</w:t>
            </w:r>
          </w:p>
        </w:tc>
      </w:tr>
      <w:tr>
        <w:trPr>
          <w:cantSplit/>
        </w:trPr>
        <w:tc>
          <w:tcPr>
            <w:tcW w:type="dxa" w:w="3168"/>
            <w:tcMar>
              <w:top w:w="60" w:type="dxa"/>
              <w:start w:w="110" w:type="dxa"/>
              <w:bottom w:w="60" w:type="dxa"/>
              <w:end w:w="110" w:type="dxa"/>
            </w:tcMar>
          </w:tcPr>
          <w:p>
            <w:pPr>
              <w:spacing w:after="0"/>
            </w:pPr>
            <w:r/>
            <w:r>
              <w:rPr>
                <w:rFonts w:ascii="Consolas" w:hAnsi="Consolas"/>
                <w:color w:val="146EF5"/>
                <w:sz w:val="17"/>
              </w:rPr>
              <w:t>rounds</w:t>
            </w:r>
            <w:r>
              <w:rPr>
                <w:rFonts w:ascii="Calibri" w:hAnsi="Calibri"/>
                <w:b w:val="0"/>
                <w:i w:val="0"/>
                <w:color w:val="101828"/>
                <w:sz w:val="17"/>
              </w:rPr>
              <w:t xml:space="preserve">, </w:t>
            </w:r>
            <w:r>
              <w:rPr>
                <w:rFonts w:ascii="Consolas" w:hAnsi="Consolas"/>
                <w:color w:val="146EF5"/>
                <w:sz w:val="17"/>
              </w:rPr>
              <w:t>contribution_schedules</w:t>
            </w:r>
          </w:p>
        </w:tc>
        <w:tc>
          <w:tcPr>
            <w:tcW w:type="dxa" w:w="3744"/>
            <w:tcMar>
              <w:top w:w="60" w:type="dxa"/>
              <w:start w:w="110" w:type="dxa"/>
              <w:bottom w:w="60" w:type="dxa"/>
              <w:end w:w="110" w:type="dxa"/>
            </w:tcMar>
          </w:tcPr>
          <w:p>
            <w:pPr>
              <w:spacing w:after="0"/>
            </w:pPr>
            <w:r/>
            <w:r>
              <w:rPr>
                <w:rFonts w:ascii="Calibri" w:hAnsi="Calibri"/>
                <w:b w:val="0"/>
                <w:i w:val="0"/>
                <w:color w:val="101828"/>
                <w:sz w:val="17"/>
              </w:rPr>
              <w:t>Any current member, and the organizer</w:t>
            </w:r>
          </w:p>
        </w:tc>
        <w:tc>
          <w:tcPr>
            <w:tcW w:type="dxa" w:w="2448"/>
            <w:tcMar>
              <w:top w:w="60" w:type="dxa"/>
              <w:start w:w="110" w:type="dxa"/>
              <w:bottom w:w="60" w:type="dxa"/>
              <w:end w:w="110" w:type="dxa"/>
            </w:tcMar>
          </w:tcPr>
          <w:p>
            <w:pPr>
              <w:spacing w:after="0"/>
            </w:pPr>
            <w:r/>
            <w:r>
              <w:rPr>
                <w:rFonts w:ascii="Calibri" w:hAnsi="Calibri"/>
                <w:b w:val="0"/>
                <w:i w:val="0"/>
                <w:color w:val="101828"/>
                <w:sz w:val="17"/>
              </w:rPr>
              <w:t>Support and risk</w:t>
            </w:r>
          </w:p>
        </w:tc>
      </w:tr>
      <w:tr>
        <w:trPr>
          <w:cantSplit/>
        </w:trPr>
        <w:tc>
          <w:tcPr>
            <w:tcW w:type="dxa" w:w="3168"/>
            <w:tcMar>
              <w:top w:w="60" w:type="dxa"/>
              <w:start w:w="110" w:type="dxa"/>
              <w:bottom w:w="60" w:type="dxa"/>
              <w:end w:w="110" w:type="dxa"/>
            </w:tcMar>
            <w:shd w:val="clear" w:color="auto" w:fill="F4F7FB"/>
          </w:tcPr>
          <w:p>
            <w:pPr>
              <w:spacing w:after="0"/>
            </w:pPr>
            <w:r/>
            <w:r>
              <w:rPr>
                <w:rFonts w:ascii="Consolas" w:hAnsi="Consolas"/>
                <w:color w:val="146EF5"/>
                <w:sz w:val="17"/>
              </w:rPr>
              <w:t>ajo_members</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7"/>
              </w:rPr>
              <w:t>Self, or a co-member of the same Ajo</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7"/>
              </w:rPr>
              <w:t>Support and risk</w:t>
            </w:r>
          </w:p>
        </w:tc>
      </w:tr>
      <w:tr>
        <w:trPr>
          <w:cantSplit/>
        </w:trPr>
        <w:tc>
          <w:tcPr>
            <w:tcW w:type="dxa" w:w="3168"/>
            <w:tcMar>
              <w:top w:w="60" w:type="dxa"/>
              <w:start w:w="110" w:type="dxa"/>
              <w:bottom w:w="60" w:type="dxa"/>
              <w:end w:w="110" w:type="dxa"/>
            </w:tcMar>
          </w:tcPr>
          <w:p>
            <w:pPr>
              <w:spacing w:after="0"/>
            </w:pPr>
            <w:r/>
            <w:r>
              <w:rPr>
                <w:rFonts w:ascii="Consolas" w:hAnsi="Consolas"/>
                <w:color w:val="146EF5"/>
                <w:sz w:val="17"/>
              </w:rPr>
              <w:t>ajo_positions</w:t>
            </w:r>
          </w:p>
        </w:tc>
        <w:tc>
          <w:tcPr>
            <w:tcW w:type="dxa" w:w="3744"/>
            <w:tcMar>
              <w:top w:w="60" w:type="dxa"/>
              <w:start w:w="110" w:type="dxa"/>
              <w:bottom w:w="60" w:type="dxa"/>
              <w:end w:w="110" w:type="dxa"/>
            </w:tcMar>
          </w:tcPr>
          <w:p>
            <w:pPr>
              <w:spacing w:after="0"/>
            </w:pPr>
            <w:r/>
            <w:r>
              <w:rPr>
                <w:rFonts w:ascii="Calibri" w:hAnsi="Calibri"/>
                <w:b w:val="0"/>
                <w:i w:val="0"/>
                <w:color w:val="101828"/>
                <w:sz w:val="17"/>
              </w:rPr>
              <w:t>Any current member of that Ajo</w:t>
            </w:r>
          </w:p>
        </w:tc>
        <w:tc>
          <w:tcPr>
            <w:tcW w:type="dxa" w:w="2448"/>
            <w:tcMar>
              <w:top w:w="60" w:type="dxa"/>
              <w:start w:w="110" w:type="dxa"/>
              <w:bottom w:w="60" w:type="dxa"/>
              <w:end w:w="110" w:type="dxa"/>
            </w:tcMar>
          </w:tcPr>
          <w:p>
            <w:pPr>
              <w:spacing w:after="0"/>
            </w:pPr>
            <w:r/>
            <w:r>
              <w:rPr>
                <w:rFonts w:ascii="Calibri" w:hAnsi="Calibri"/>
                <w:b w:val="0"/>
                <w:i w:val="0"/>
                <w:color w:val="101828"/>
                <w:sz w:val="17"/>
              </w:rPr>
              <w:t>Support and risk</w:t>
            </w:r>
          </w:p>
        </w:tc>
      </w:tr>
      <w:tr>
        <w:trPr>
          <w:cantSplit/>
        </w:trPr>
        <w:tc>
          <w:tcPr>
            <w:tcW w:type="dxa" w:w="3168"/>
            <w:tcMar>
              <w:top w:w="60" w:type="dxa"/>
              <w:start w:w="110" w:type="dxa"/>
              <w:bottom w:w="60" w:type="dxa"/>
              <w:end w:w="110" w:type="dxa"/>
            </w:tcMar>
            <w:shd w:val="clear" w:color="auto" w:fill="F4F7FB"/>
          </w:tcPr>
          <w:p>
            <w:pPr>
              <w:spacing w:after="0"/>
            </w:pPr>
            <w:r/>
            <w:r>
              <w:rPr>
                <w:rFonts w:ascii="Consolas" w:hAnsi="Consolas"/>
                <w:color w:val="146EF5"/>
                <w:sz w:val="17"/>
              </w:rPr>
              <w:t>contributions</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7"/>
              </w:rPr>
              <w:t>Own rows; the whole round minus others' defaulted rows; the organizer</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7"/>
              </w:rPr>
              <w:t>Support and risk</w:t>
            </w:r>
          </w:p>
        </w:tc>
      </w:tr>
      <w:tr>
        <w:trPr>
          <w:cantSplit/>
        </w:trPr>
        <w:tc>
          <w:tcPr>
            <w:tcW w:type="dxa" w:w="3168"/>
            <w:tcMar>
              <w:top w:w="60" w:type="dxa"/>
              <w:start w:w="110" w:type="dxa"/>
              <w:bottom w:w="60" w:type="dxa"/>
              <w:end w:w="110" w:type="dxa"/>
            </w:tcMar>
          </w:tcPr>
          <w:p>
            <w:pPr>
              <w:spacing w:after="0"/>
            </w:pPr>
            <w:r/>
            <w:r>
              <w:rPr>
                <w:rFonts w:ascii="Consolas" w:hAnsi="Consolas"/>
                <w:color w:val="146EF5"/>
                <w:sz w:val="17"/>
              </w:rPr>
              <w:t>payments</w:t>
            </w:r>
          </w:p>
        </w:tc>
        <w:tc>
          <w:tcPr>
            <w:tcW w:type="dxa" w:w="3744"/>
            <w:tcMar>
              <w:top w:w="60" w:type="dxa"/>
              <w:start w:w="110" w:type="dxa"/>
              <w:bottom w:w="60" w:type="dxa"/>
              <w:end w:w="110" w:type="dxa"/>
            </w:tcMar>
          </w:tcPr>
          <w:p>
            <w:pPr>
              <w:spacing w:after="0"/>
            </w:pPr>
            <w:r/>
            <w:r>
              <w:rPr>
                <w:rFonts w:ascii="Calibri" w:hAnsi="Calibri"/>
                <w:b w:val="0"/>
                <w:i w:val="0"/>
                <w:color w:val="101828"/>
                <w:sz w:val="17"/>
              </w:rPr>
              <w:t>Own rows only</w:t>
            </w:r>
          </w:p>
        </w:tc>
        <w:tc>
          <w:tcPr>
            <w:tcW w:type="dxa" w:w="2448"/>
            <w:tcMar>
              <w:top w:w="60" w:type="dxa"/>
              <w:start w:w="110" w:type="dxa"/>
              <w:bottom w:w="60" w:type="dxa"/>
              <w:end w:w="110" w:type="dxa"/>
            </w:tcMar>
          </w:tcPr>
          <w:p>
            <w:pPr>
              <w:spacing w:after="0"/>
            </w:pPr>
            <w:r/>
            <w:r>
              <w:rPr>
                <w:rFonts w:ascii="Calibri" w:hAnsi="Calibri"/>
                <w:b w:val="0"/>
                <w:i w:val="0"/>
                <w:color w:val="101828"/>
                <w:sz w:val="17"/>
              </w:rPr>
              <w:t>Support and risk</w:t>
            </w:r>
          </w:p>
        </w:tc>
      </w:tr>
      <w:tr>
        <w:trPr>
          <w:cantSplit/>
        </w:trPr>
        <w:tc>
          <w:tcPr>
            <w:tcW w:type="dxa" w:w="3168"/>
            <w:tcMar>
              <w:top w:w="60" w:type="dxa"/>
              <w:start w:w="110" w:type="dxa"/>
              <w:bottom w:w="60" w:type="dxa"/>
              <w:end w:w="110" w:type="dxa"/>
            </w:tcMar>
            <w:shd w:val="clear" w:color="auto" w:fill="F4F7FB"/>
          </w:tcPr>
          <w:p>
            <w:pPr>
              <w:spacing w:after="0"/>
            </w:pPr>
            <w:r/>
            <w:r>
              <w:rPr>
                <w:rFonts w:ascii="Consolas" w:hAnsi="Consolas"/>
                <w:color w:val="146EF5"/>
                <w:sz w:val="17"/>
              </w:rPr>
              <w:t>fees</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7"/>
              </w:rPr>
              <w:t>Own rows only, never a total of other members'</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7"/>
              </w:rPr>
              <w:t>Support and risk</w:t>
            </w:r>
          </w:p>
        </w:tc>
      </w:tr>
      <w:tr>
        <w:trPr>
          <w:cantSplit/>
        </w:trPr>
        <w:tc>
          <w:tcPr>
            <w:tcW w:type="dxa" w:w="3168"/>
            <w:tcMar>
              <w:top w:w="60" w:type="dxa"/>
              <w:start w:w="110" w:type="dxa"/>
              <w:bottom w:w="60" w:type="dxa"/>
              <w:end w:w="110" w:type="dxa"/>
            </w:tcMar>
          </w:tcPr>
          <w:p>
            <w:pPr>
              <w:spacing w:after="0"/>
            </w:pPr>
            <w:r/>
            <w:r>
              <w:rPr>
                <w:rFonts w:ascii="Consolas" w:hAnsi="Consolas"/>
                <w:color w:val="146EF5"/>
                <w:sz w:val="17"/>
              </w:rPr>
              <w:t>payouts</w:t>
            </w:r>
          </w:p>
        </w:tc>
        <w:tc>
          <w:tcPr>
            <w:tcW w:type="dxa" w:w="3744"/>
            <w:tcMar>
              <w:top w:w="60" w:type="dxa"/>
              <w:start w:w="110" w:type="dxa"/>
              <w:bottom w:w="60" w:type="dxa"/>
              <w:end w:w="110" w:type="dxa"/>
            </w:tcMar>
          </w:tcPr>
          <w:p>
            <w:pPr>
              <w:spacing w:after="0"/>
            </w:pPr>
            <w:r/>
            <w:r>
              <w:rPr>
                <w:rFonts w:ascii="Calibri" w:hAnsi="Calibri"/>
                <w:b w:val="0"/>
                <w:i w:val="0"/>
                <w:color w:val="101828"/>
                <w:sz w:val="17"/>
              </w:rPr>
              <w:t>Own inbound and the rounds they can see</w:t>
            </w:r>
          </w:p>
        </w:tc>
        <w:tc>
          <w:tcPr>
            <w:tcW w:type="dxa" w:w="2448"/>
            <w:tcMar>
              <w:top w:w="60" w:type="dxa"/>
              <w:start w:w="110" w:type="dxa"/>
              <w:bottom w:w="60" w:type="dxa"/>
              <w:end w:w="110" w:type="dxa"/>
            </w:tcMar>
          </w:tcPr>
          <w:p>
            <w:pPr>
              <w:spacing w:after="0"/>
            </w:pPr>
            <w:r/>
            <w:r>
              <w:rPr>
                <w:rFonts w:ascii="Calibri" w:hAnsi="Calibri"/>
                <w:b w:val="0"/>
                <w:i w:val="0"/>
                <w:color w:val="101828"/>
                <w:sz w:val="17"/>
              </w:rPr>
              <w:t>Support and risk</w:t>
            </w:r>
          </w:p>
        </w:tc>
      </w:tr>
      <w:tr>
        <w:trPr>
          <w:cantSplit/>
        </w:trPr>
        <w:tc>
          <w:tcPr>
            <w:tcW w:type="dxa" w:w="3168"/>
            <w:tcMar>
              <w:top w:w="60" w:type="dxa"/>
              <w:start w:w="110" w:type="dxa"/>
              <w:bottom w:w="60" w:type="dxa"/>
              <w:end w:w="110" w:type="dxa"/>
            </w:tcMar>
            <w:shd w:val="clear" w:color="auto" w:fill="F4F7FB"/>
          </w:tcPr>
          <w:p>
            <w:pPr>
              <w:spacing w:after="0"/>
            </w:pPr>
            <w:r/>
            <w:r>
              <w:rPr>
                <w:rFonts w:ascii="Consolas" w:hAnsi="Consolas"/>
                <w:color w:val="146EF5"/>
                <w:sz w:val="17"/>
              </w:rPr>
              <w:t>ledger_transactions</w:t>
            </w:r>
            <w:r>
              <w:rPr>
                <w:rFonts w:ascii="Calibri" w:hAnsi="Calibri"/>
                <w:b w:val="0"/>
                <w:i w:val="0"/>
                <w:color w:val="101828"/>
                <w:sz w:val="17"/>
              </w:rPr>
              <w:t xml:space="preserve">, </w:t>
            </w:r>
            <w:r>
              <w:rPr>
                <w:rFonts w:ascii="Consolas" w:hAnsi="Consolas"/>
                <w:color w:val="146EF5"/>
                <w:sz w:val="17"/>
              </w:rPr>
              <w:t>ledger_postings</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7"/>
              </w:rPr>
              <w:t>Nobody</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7"/>
              </w:rPr>
              <w:t>Support and risk</w:t>
            </w:r>
          </w:p>
        </w:tc>
      </w:tr>
      <w:tr>
        <w:trPr>
          <w:cantSplit/>
        </w:trPr>
        <w:tc>
          <w:tcPr>
            <w:tcW w:type="dxa" w:w="3168"/>
            <w:tcMar>
              <w:top w:w="60" w:type="dxa"/>
              <w:start w:w="110" w:type="dxa"/>
              <w:bottom w:w="60" w:type="dxa"/>
              <w:end w:w="110" w:type="dxa"/>
            </w:tcMar>
          </w:tcPr>
          <w:p>
            <w:pPr>
              <w:spacing w:after="0"/>
            </w:pPr>
            <w:r/>
            <w:r>
              <w:rPr>
                <w:rFonts w:ascii="Consolas" w:hAnsi="Consolas"/>
                <w:color w:val="146EF5"/>
                <w:sz w:val="17"/>
              </w:rPr>
              <w:t>disputes</w:t>
            </w:r>
            <w:r>
              <w:rPr>
                <w:rFonts w:ascii="Calibri" w:hAnsi="Calibri"/>
                <w:b w:val="0"/>
                <w:i w:val="0"/>
                <w:color w:val="101828"/>
                <w:sz w:val="17"/>
              </w:rPr>
              <w:t xml:space="preserve">, </w:t>
            </w:r>
            <w:r>
              <w:rPr>
                <w:rFonts w:ascii="Consolas" w:hAnsi="Consolas"/>
                <w:color w:val="146EF5"/>
                <w:sz w:val="17"/>
              </w:rPr>
              <w:t>dispute_messages</w:t>
            </w:r>
          </w:p>
        </w:tc>
        <w:tc>
          <w:tcPr>
            <w:tcW w:type="dxa" w:w="3744"/>
            <w:tcMar>
              <w:top w:w="60" w:type="dxa"/>
              <w:start w:w="110" w:type="dxa"/>
              <w:bottom w:w="60" w:type="dxa"/>
              <w:end w:w="110" w:type="dxa"/>
            </w:tcMar>
          </w:tcPr>
          <w:p>
            <w:pPr>
              <w:spacing w:after="0"/>
            </w:pPr>
            <w:r/>
            <w:r>
              <w:rPr>
                <w:rFonts w:ascii="Calibri" w:hAnsi="Calibri"/>
                <w:b w:val="0"/>
                <w:i w:val="0"/>
                <w:color w:val="101828"/>
                <w:sz w:val="17"/>
              </w:rPr>
              <w:t>The parties, the organizer, staff</w:t>
            </w:r>
          </w:p>
        </w:tc>
        <w:tc>
          <w:tcPr>
            <w:tcW w:type="dxa" w:w="2448"/>
            <w:tcMar>
              <w:top w:w="60" w:type="dxa"/>
              <w:start w:w="110" w:type="dxa"/>
              <w:bottom w:w="60" w:type="dxa"/>
              <w:end w:w="110" w:type="dxa"/>
            </w:tcMar>
          </w:tcPr>
          <w:p>
            <w:pPr>
              <w:spacing w:after="0"/>
            </w:pPr>
            <w:r/>
            <w:r>
              <w:rPr>
                <w:rFonts w:ascii="Calibri" w:hAnsi="Calibri"/>
                <w:b w:val="0"/>
                <w:i w:val="0"/>
                <w:color w:val="101828"/>
                <w:sz w:val="17"/>
              </w:rPr>
              <w:t>Support and risk</w:t>
            </w:r>
          </w:p>
        </w:tc>
      </w:tr>
      <w:tr>
        <w:trPr>
          <w:cantSplit/>
        </w:trPr>
        <w:tc>
          <w:tcPr>
            <w:tcW w:type="dxa" w:w="3168"/>
            <w:tcMar>
              <w:top w:w="60" w:type="dxa"/>
              <w:start w:w="110" w:type="dxa"/>
              <w:bottom w:w="60" w:type="dxa"/>
              <w:end w:w="110" w:type="dxa"/>
            </w:tcMar>
            <w:shd w:val="clear" w:color="auto" w:fill="F4F7FB"/>
          </w:tcPr>
          <w:p>
            <w:pPr>
              <w:spacing w:after="0"/>
            </w:pPr>
            <w:r/>
            <w:r>
              <w:rPr>
                <w:rFonts w:ascii="Consolas" w:hAnsi="Consolas"/>
                <w:color w:val="146EF5"/>
                <w:sz w:val="17"/>
              </w:rPr>
              <w:t>risk_events</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7"/>
              </w:rPr>
              <w:t>Nobody</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7"/>
              </w:rPr>
              <w:t>Support and risk</w:t>
            </w:r>
          </w:p>
        </w:tc>
      </w:tr>
      <w:tr>
        <w:trPr>
          <w:cantSplit/>
        </w:trPr>
        <w:tc>
          <w:tcPr>
            <w:tcW w:type="dxa" w:w="3168"/>
            <w:tcMar>
              <w:top w:w="60" w:type="dxa"/>
              <w:start w:w="110" w:type="dxa"/>
              <w:bottom w:w="60" w:type="dxa"/>
              <w:end w:w="110" w:type="dxa"/>
            </w:tcMar>
          </w:tcPr>
          <w:p>
            <w:pPr>
              <w:spacing w:after="0"/>
            </w:pPr>
            <w:r/>
            <w:r>
              <w:rPr>
                <w:rFonts w:ascii="Consolas" w:hAnsi="Consolas"/>
                <w:color w:val="146EF5"/>
                <w:sz w:val="17"/>
              </w:rPr>
              <w:t>audit_logs</w:t>
            </w:r>
          </w:p>
        </w:tc>
        <w:tc>
          <w:tcPr>
            <w:tcW w:type="dxa" w:w="3744"/>
            <w:tcMar>
              <w:top w:w="60" w:type="dxa"/>
              <w:start w:w="110" w:type="dxa"/>
              <w:bottom w:w="60" w:type="dxa"/>
              <w:end w:w="110" w:type="dxa"/>
            </w:tcMar>
          </w:tcPr>
          <w:p>
            <w:pPr>
              <w:spacing w:after="0"/>
            </w:pPr>
            <w:r/>
            <w:r>
              <w:rPr>
                <w:rFonts w:ascii="Calibri" w:hAnsi="Calibri"/>
                <w:b w:val="0"/>
                <w:i w:val="0"/>
                <w:color w:val="101828"/>
                <w:sz w:val="17"/>
              </w:rPr>
              <w:t>Nobody</w:t>
            </w:r>
          </w:p>
        </w:tc>
        <w:tc>
          <w:tcPr>
            <w:tcW w:type="dxa" w:w="2448"/>
            <w:tcMar>
              <w:top w:w="60" w:type="dxa"/>
              <w:start w:w="110" w:type="dxa"/>
              <w:bottom w:w="60" w:type="dxa"/>
              <w:end w:w="110" w:type="dxa"/>
            </w:tcMar>
          </w:tcPr>
          <w:p>
            <w:pPr>
              <w:spacing w:after="0"/>
            </w:pPr>
            <w:r/>
            <w:r>
              <w:rPr>
                <w:rFonts w:ascii="Calibri" w:hAnsi="Calibri"/>
                <w:b w:val="0"/>
                <w:i w:val="0"/>
                <w:color w:val="101828"/>
                <w:sz w:val="17"/>
              </w:rPr>
              <w:t>Support and risk</w:t>
            </w:r>
          </w:p>
        </w:tc>
      </w:tr>
      <w:tr>
        <w:trPr>
          <w:cantSplit/>
        </w:trPr>
        <w:tc>
          <w:tcPr>
            <w:tcW w:type="dxa" w:w="3168"/>
            <w:tcMar>
              <w:top w:w="60" w:type="dxa"/>
              <w:start w:w="110" w:type="dxa"/>
              <w:bottom w:w="60" w:type="dxa"/>
              <w:end w:w="110" w:type="dxa"/>
            </w:tcMar>
            <w:shd w:val="clear" w:color="auto" w:fill="F4F7FB"/>
          </w:tcPr>
          <w:p>
            <w:pPr>
              <w:spacing w:after="0"/>
            </w:pPr>
            <w:r/>
            <w:r>
              <w:rPr>
                <w:rFonts w:ascii="Consolas" w:hAnsi="Consolas"/>
                <w:color w:val="146EF5"/>
                <w:sz w:val="17"/>
              </w:rPr>
              <w:t>outbox_events</w:t>
            </w:r>
            <w:r>
              <w:rPr>
                <w:rFonts w:ascii="Calibri" w:hAnsi="Calibri"/>
                <w:b w:val="0"/>
                <w:i w:val="0"/>
                <w:color w:val="101828"/>
                <w:sz w:val="17"/>
              </w:rPr>
              <w:t xml:space="preserve">, </w:t>
            </w:r>
            <w:r>
              <w:rPr>
                <w:rFonts w:ascii="Consolas" w:hAnsi="Consolas"/>
                <w:color w:val="146EF5"/>
                <w:sz w:val="17"/>
              </w:rPr>
              <w:t>webhook_events</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7"/>
              </w:rPr>
              <w:t>Nobody</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7"/>
              </w:rPr>
              <w:t>Support and risk</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7"/>
              </w:rPr>
              <w:t xml:space="preserve">Reference data: </w:t>
            </w:r>
            <w:r>
              <w:rPr>
                <w:rFonts w:ascii="Consolas" w:hAnsi="Consolas"/>
                <w:color w:val="146EF5"/>
                <w:sz w:val="17"/>
              </w:rPr>
              <w:t>roles</w:t>
            </w:r>
            <w:r>
              <w:rPr>
                <w:rFonts w:ascii="Calibri" w:hAnsi="Calibri"/>
                <w:b w:val="0"/>
                <w:i w:val="0"/>
                <w:color w:val="101828"/>
                <w:sz w:val="17"/>
              </w:rPr>
              <w:t xml:space="preserve">, </w:t>
            </w:r>
            <w:r>
              <w:rPr>
                <w:rFonts w:ascii="Consolas" w:hAnsi="Consolas"/>
                <w:color w:val="146EF5"/>
                <w:sz w:val="17"/>
              </w:rPr>
              <w:t>document_types</w:t>
            </w:r>
            <w:r>
              <w:rPr>
                <w:rFonts w:ascii="Calibri" w:hAnsi="Calibri"/>
                <w:b w:val="0"/>
                <w:i w:val="0"/>
                <w:color w:val="101828"/>
                <w:sz w:val="17"/>
              </w:rPr>
              <w:t xml:space="preserve">, </w:t>
            </w:r>
            <w:r>
              <w:rPr>
                <w:rFonts w:ascii="Consolas" w:hAnsi="Consolas"/>
                <w:color w:val="146EF5"/>
                <w:sz w:val="17"/>
              </w:rPr>
              <w:t>dispute_reasons</w:t>
            </w:r>
            <w:r>
              <w:rPr>
                <w:rFonts w:ascii="Calibri" w:hAnsi="Calibri"/>
                <w:b w:val="0"/>
                <w:i w:val="0"/>
                <w:color w:val="101828"/>
                <w:sz w:val="17"/>
              </w:rPr>
              <w:t xml:space="preserve">, </w:t>
            </w:r>
            <w:r>
              <w:rPr>
                <w:rFonts w:ascii="Consolas" w:hAnsi="Consolas"/>
                <w:color w:val="146EF5"/>
                <w:sz w:val="17"/>
              </w:rPr>
              <w:t>payment_channels</w:t>
            </w:r>
            <w:r>
              <w:rPr>
                <w:rFonts w:ascii="Calibri" w:hAnsi="Calibri"/>
                <w:b w:val="0"/>
                <w:i w:val="0"/>
                <w:color w:val="101828"/>
                <w:sz w:val="17"/>
              </w:rPr>
              <w:t xml:space="preserve">, </w:t>
            </w:r>
            <w:r>
              <w:rPr>
                <w:rFonts w:ascii="Consolas" w:hAnsi="Consolas"/>
                <w:color w:val="146EF5"/>
                <w:sz w:val="17"/>
              </w:rPr>
              <w:t>contribution_frequencies</w:t>
            </w:r>
            <w:r>
              <w:rPr>
                <w:rFonts w:ascii="Calibri" w:hAnsi="Calibri"/>
                <w:b w:val="0"/>
                <w:i w:val="0"/>
                <w:color w:val="101828"/>
                <w:sz w:val="17"/>
              </w:rPr>
              <w:t xml:space="preserve">, </w:t>
            </w:r>
            <w:r>
              <w:rPr>
                <w:rFonts w:ascii="Consolas" w:hAnsi="Consolas"/>
                <w:color w:val="146EF5"/>
                <w:sz w:val="17"/>
              </w:rPr>
              <w:t>verification_check_types</w:t>
            </w:r>
          </w:p>
        </w:tc>
        <w:tc>
          <w:tcPr>
            <w:tcW w:type="dxa" w:w="3744"/>
            <w:tcMar>
              <w:top w:w="60" w:type="dxa"/>
              <w:start w:w="110" w:type="dxa"/>
              <w:bottom w:w="60" w:type="dxa"/>
              <w:end w:w="110" w:type="dxa"/>
            </w:tcMar>
          </w:tcPr>
          <w:p>
            <w:pPr>
              <w:spacing w:after="0"/>
            </w:pPr>
            <w:r/>
            <w:r>
              <w:rPr>
                <w:rFonts w:ascii="Calibri" w:hAnsi="Calibri"/>
                <w:b w:val="0"/>
                <w:i w:val="0"/>
                <w:color w:val="101828"/>
                <w:sz w:val="17"/>
              </w:rPr>
              <w:t>Any signed-in user</w:t>
            </w:r>
          </w:p>
        </w:tc>
        <w:tc>
          <w:tcPr>
            <w:tcW w:type="dxa" w:w="2448"/>
            <w:tcMar>
              <w:top w:w="60" w:type="dxa"/>
              <w:start w:w="110" w:type="dxa"/>
              <w:bottom w:w="60" w:type="dxa"/>
              <w:end w:w="110" w:type="dxa"/>
            </w:tcMar>
          </w:tcPr>
          <w:p>
            <w:pPr>
              <w:spacing w:after="0"/>
            </w:pPr>
            <w:r/>
            <w:r>
              <w:rPr>
                <w:rFonts w:ascii="Calibri" w:hAnsi="Calibri"/>
                <w:b w:val="0"/>
                <w:i w:val="0"/>
                <w:color w:val="101828"/>
                <w:sz w:val="17"/>
              </w:rPr>
              <w:t>Same</w:t>
            </w:r>
          </w:p>
        </w:tc>
      </w:tr>
      <w:tr>
        <w:trPr>
          <w:cantSplit/>
        </w:trPr>
        <w:tc>
          <w:tcPr>
            <w:tcW w:type="dxa" w:w="3168"/>
            <w:tcMar>
              <w:top w:w="60" w:type="dxa"/>
              <w:start w:w="110" w:type="dxa"/>
              <w:bottom w:w="60" w:type="dxa"/>
              <w:end w:w="110" w:type="dxa"/>
            </w:tcMar>
            <w:shd w:val="clear" w:color="auto" w:fill="F4F7FB"/>
          </w:tcPr>
          <w:p>
            <w:pPr>
              <w:spacing w:after="0"/>
            </w:pPr>
            <w:r/>
            <w:r>
              <w:rPr>
                <w:rFonts w:ascii="Consolas" w:hAnsi="Consolas"/>
                <w:color w:val="146EF5"/>
                <w:sz w:val="17"/>
              </w:rPr>
              <w:t>idempotency_keys</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7"/>
              </w:rPr>
              <w:t>Own scope and key only</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7"/>
              </w:rPr>
              <w:t>Support and risk</w:t>
            </w:r>
          </w:p>
        </w:tc>
      </w:tr>
      <w:tr>
        <w:trPr>
          <w:cantSplit/>
        </w:trPr>
        <w:tc>
          <w:tcPr>
            <w:tcW w:type="dxa" w:w="3168"/>
            <w:tcMar>
              <w:top w:w="60" w:type="dxa"/>
              <w:start w:w="110" w:type="dxa"/>
              <w:bottom w:w="60" w:type="dxa"/>
              <w:end w:w="110" w:type="dxa"/>
            </w:tcMar>
          </w:tcPr>
          <w:p>
            <w:pPr>
              <w:spacing w:after="0"/>
            </w:pPr>
            <w:r/>
            <w:r>
              <w:rPr>
                <w:rFonts w:ascii="Consolas" w:hAnsi="Consolas"/>
                <w:color w:val="146EF5"/>
                <w:sz w:val="17"/>
              </w:rPr>
              <w:t>notifications</w:t>
            </w:r>
            <w:r>
              <w:rPr>
                <w:rFonts w:ascii="Calibri" w:hAnsi="Calibri"/>
                <w:b w:val="0"/>
                <w:i w:val="0"/>
                <w:color w:val="101828"/>
                <w:sz w:val="17"/>
              </w:rPr>
              <w:t xml:space="preserve">, </w:t>
            </w:r>
            <w:r>
              <w:rPr>
                <w:rFonts w:ascii="Consolas" w:hAnsi="Consolas"/>
                <w:color w:val="146EF5"/>
                <w:sz w:val="17"/>
              </w:rPr>
              <w:t>notification_preferences</w:t>
            </w:r>
          </w:p>
        </w:tc>
        <w:tc>
          <w:tcPr>
            <w:tcW w:type="dxa" w:w="3744"/>
            <w:tcMar>
              <w:top w:w="60" w:type="dxa"/>
              <w:start w:w="110" w:type="dxa"/>
              <w:bottom w:w="60" w:type="dxa"/>
              <w:end w:w="110" w:type="dxa"/>
            </w:tcMar>
          </w:tcPr>
          <w:p>
            <w:pPr>
              <w:spacing w:after="0"/>
            </w:pPr>
            <w:r/>
            <w:r>
              <w:rPr>
                <w:rFonts w:ascii="Calibri" w:hAnsi="Calibri"/>
                <w:b w:val="0"/>
                <w:i w:val="0"/>
                <w:color w:val="101828"/>
                <w:sz w:val="17"/>
              </w:rPr>
              <w:t>Own rows only</w:t>
            </w:r>
          </w:p>
        </w:tc>
        <w:tc>
          <w:tcPr>
            <w:tcW w:type="dxa" w:w="2448"/>
            <w:tcMar>
              <w:top w:w="60" w:type="dxa"/>
              <w:start w:w="110" w:type="dxa"/>
              <w:bottom w:w="60" w:type="dxa"/>
              <w:end w:w="110" w:type="dxa"/>
            </w:tcMar>
          </w:tcPr>
          <w:p>
            <w:pPr>
              <w:spacing w:after="0"/>
            </w:pPr>
            <w:r/>
            <w:r>
              <w:rPr>
                <w:rFonts w:ascii="Calibri" w:hAnsi="Calibri"/>
                <w:b w:val="0"/>
                <w:i w:val="0"/>
                <w:color w:val="101828"/>
                <w:sz w:val="17"/>
              </w:rPr>
              <w:t>Support</w:t>
            </w:r>
          </w:p>
        </w:tc>
      </w:tr>
    </w:tbl>
    <w:p>
      <w:pPr>
        <w:spacing w:after="80"/>
      </w:pPr>
    </w:p>
    <w:p>
      <w:r>
        <w:rPr>
          <w:rFonts w:ascii="Calibri" w:hAnsi="Calibri"/>
          <w:b w:val="0"/>
          <w:i w:val="0"/>
          <w:color w:val="101828"/>
          <w:sz w:val="21"/>
        </w:rPr>
        <w:t>The ledger's denial is worth defending, because it looks like an oversight. A member can read their own contributions, payments, fees and payouts, and the sum of those is their own balance. A member cannot read the ledger, so they cannot see the platform's total float, another Ajo's entries, or a posting that no user-facing table projects. The member-facing projection is assembled by the API from the tables above; the ledger itself is an internal record, and the internal record is a staff tool.</w:t>
      </w:r>
    </w:p>
    <w:p>
      <w:r>
        <w:rPr>
          <w:rFonts w:ascii="Calibri" w:hAnsi="Calibri"/>
          <w:b w:val="0"/>
          <w:i w:val="0"/>
          <w:color w:val="101828"/>
          <w:sz w:val="21"/>
        </w:rPr>
        <w:t xml:space="preserve">Staff access is a role, not a flag on a row. </w:t>
      </w:r>
      <w:r>
        <w:rPr>
          <w:rFonts w:ascii="Consolas" w:hAnsi="Consolas"/>
          <w:color w:val="146EF5"/>
          <w:sz w:val="21"/>
        </w:rPr>
        <w:t>app.has_platform_role</w:t>
      </w:r>
      <w:r>
        <w:rPr>
          <w:rFonts w:ascii="Calibri" w:hAnsi="Calibri"/>
          <w:b w:val="0"/>
          <w:i w:val="0"/>
          <w:color w:val="101828"/>
          <w:sz w:val="21"/>
        </w:rPr>
        <w:t xml:space="preserve"> reads </w:t>
      </w:r>
      <w:r>
        <w:rPr>
          <w:rFonts w:ascii="Consolas" w:hAnsi="Consolas"/>
          <w:color w:val="146EF5"/>
          <w:sz w:val="21"/>
        </w:rPr>
        <w:t>role_assignments</w:t>
      </w:r>
      <w:r>
        <w:rPr>
          <w:rFonts w:ascii="Calibri" w:hAnsi="Calibri"/>
          <w:b w:val="0"/>
          <w:i w:val="0"/>
          <w:color w:val="101828"/>
          <w:sz w:val="21"/>
        </w:rPr>
        <w:t xml:space="preserve"> under a pinned </w:t>
      </w:r>
      <w:r>
        <w:rPr>
          <w:rFonts w:ascii="Consolas" w:hAnsi="Consolas"/>
          <w:color w:val="146EF5"/>
          <w:sz w:val="21"/>
        </w:rPr>
        <w:t>search_path</w:t>
      </w:r>
      <w:r>
        <w:rPr>
          <w:rFonts w:ascii="Calibri" w:hAnsi="Calibri"/>
          <w:b w:val="0"/>
          <w:i w:val="0"/>
          <w:color w:val="101828"/>
          <w:sz w:val="21"/>
        </w:rPr>
        <w:t xml:space="preserve">, and </w:t>
      </w:r>
      <w:r>
        <w:rPr>
          <w:rFonts w:ascii="Consolas" w:hAnsi="Consolas"/>
          <w:color w:val="146EF5"/>
          <w:sz w:val="21"/>
        </w:rPr>
        <w:t>app.is_platform_staff</w:t>
      </w:r>
      <w:r>
        <w:rPr>
          <w:rFonts w:ascii="Calibri" w:hAnsi="Calibri"/>
          <w:b w:val="0"/>
          <w:i w:val="0"/>
          <w:color w:val="101828"/>
          <w:sz w:val="21"/>
        </w:rPr>
        <w:t xml:space="preserve"> returns true for the support and risk roles and deliberately not for </w:t>
      </w:r>
      <w:r>
        <w:rPr>
          <w:rFonts w:ascii="Consolas" w:hAnsi="Consolas"/>
          <w:color w:val="146EF5"/>
          <w:sz w:val="21"/>
        </w:rPr>
        <w:t>super_admin</w:t>
      </w:r>
      <w:r>
        <w:rPr>
          <w:rFonts w:ascii="Calibri" w:hAnsi="Calibri"/>
          <w:b w:val="0"/>
          <w:i w:val="0"/>
          <w:color w:val="101828"/>
          <w:sz w:val="21"/>
        </w:rPr>
        <w:t>. A super-admin is an operator with the ability to deploy and manage staff, and is not thereby entitled to read a member's payment history; keeping those two apart means the highest-privilege account in the system is not also the account with the most personal data in it. Reversing that later is a one-line change, and it will be a deliberate one.</w:t>
      </w:r>
    </w:p>
    <w:p>
      <w:r>
        <w:rPr>
          <w:rFonts w:ascii="Calibri" w:hAnsi="Calibri"/>
          <w:b w:val="0"/>
          <w:i w:val="0"/>
          <w:color w:val="101828"/>
          <w:sz w:val="21"/>
        </w:rPr>
        <w:t xml:space="preserve">The suite that verifies all of this runs as </w:t>
      </w:r>
      <w:r>
        <w:rPr>
          <w:rFonts w:ascii="Consolas" w:hAnsi="Consolas"/>
          <w:color w:val="146EF5"/>
          <w:sz w:val="21"/>
        </w:rPr>
        <w:t>SET ROLE ajo_app</w:t>
      </w:r>
      <w:r>
        <w:rPr>
          <w:rFonts w:ascii="Calibri" w:hAnsi="Calibri"/>
          <w:b w:val="0"/>
          <w:i w:val="0"/>
          <w:color w:val="101828"/>
          <w:sz w:val="21"/>
        </w:rPr>
        <w:t xml:space="preserve"> with the request GUCs set, so it tests the policies rather than the table owner. Eighteen checks cover the matrix above. The one that raises rather than returning zero rows is the insertion attempt by a non-organizer member: a </w:t>
      </w:r>
      <w:r>
        <w:rPr>
          <w:rFonts w:ascii="Consolas" w:hAnsi="Consolas"/>
          <w:color w:val="146EF5"/>
          <w:sz w:val="21"/>
        </w:rPr>
        <w:t>WITH CHECK</w:t>
      </w:r>
      <w:r>
        <w:rPr>
          <w:rFonts w:ascii="Calibri" w:hAnsi="Calibri"/>
          <w:b w:val="0"/>
          <w:i w:val="0"/>
          <w:color w:val="101828"/>
          <w:sz w:val="21"/>
        </w:rPr>
        <w:t xml:space="preserve"> violation, which is the loud failure we want. The other denials are silent by design, because a </w:t>
      </w:r>
      <w:r>
        <w:rPr>
          <w:rFonts w:ascii="Consolas" w:hAnsi="Consolas"/>
          <w:color w:val="146EF5"/>
          <w:sz w:val="21"/>
        </w:rPr>
        <w:t>SELECT</w:t>
      </w:r>
      <w:r>
        <w:rPr>
          <w:rFonts w:ascii="Calibri" w:hAnsi="Calibri"/>
          <w:b w:val="0"/>
          <w:i w:val="0"/>
          <w:color w:val="101828"/>
          <w:sz w:val="21"/>
        </w:rPr>
        <w:t xml:space="preserve"> that returns nothing is indistinguishable from a filter that was too narrow, and the test asserts the row count instead of the absence of an error.</w:t>
      </w:r>
    </w:p>
    <w:p>
      <w:pPr>
        <w:spacing w:before="140" w:after="180"/>
        <w:ind w:left="144"/>
        <w:shd w:val="clear" w:color="auto" w:fill="FEF3C7"/>
        <w:pBdr>
          <w:left w:val="single" w:sz="18" w:space="6" w:color="FBBF24"/>
        </w:pBdr>
      </w:pPr>
      <w:r>
        <w:rPr>
          <w:rFonts w:ascii="Calibri" w:hAnsi="Calibri"/>
          <w:b/>
          <w:color w:val="FBBF24"/>
          <w:sz w:val="19"/>
        </w:rPr>
        <w:t xml:space="preserve">`SECURITY DEFINER` functions are the sharpest tool in this schema  </w:t>
      </w:r>
      <w:r>
        <w:rPr>
          <w:rFonts w:ascii="Calibri" w:hAnsi="Calibri"/>
          <w:b w:val="0"/>
          <w:i w:val="0"/>
          <w:color w:val="0B1F3A"/>
          <w:sz w:val="19"/>
        </w:rPr>
        <w:t xml:space="preserve">Six functions in </w:t>
      </w:r>
      <w:r>
        <w:rPr>
          <w:rFonts w:ascii="Consolas" w:hAnsi="Consolas"/>
          <w:color w:val="146EF5"/>
          <w:sz w:val="19"/>
        </w:rPr>
        <w:t>app</w:t>
      </w:r>
      <w:r>
        <w:rPr>
          <w:rFonts w:ascii="Calibri" w:hAnsi="Calibri"/>
          <w:b w:val="0"/>
          <w:i w:val="0"/>
          <w:color w:val="0B1F3A"/>
          <w:sz w:val="19"/>
        </w:rPr>
        <w:t xml:space="preserve"> run as their owner and can therefore read tables their caller cannot. Each one pins </w:t>
      </w:r>
      <w:r>
        <w:rPr>
          <w:rFonts w:ascii="Consolas" w:hAnsi="Consolas"/>
          <w:color w:val="146EF5"/>
          <w:sz w:val="19"/>
        </w:rPr>
        <w:t>search_path</w:t>
      </w:r>
      <w:r>
        <w:rPr>
          <w:rFonts w:ascii="Calibri" w:hAnsi="Calibri"/>
          <w:b w:val="0"/>
          <w:i w:val="0"/>
          <w:color w:val="0B1F3A"/>
          <w:sz w:val="19"/>
        </w:rPr>
        <w:t xml:space="preserve"> to </w:t>
      </w:r>
      <w:r>
        <w:rPr>
          <w:rFonts w:ascii="Consolas" w:hAnsi="Consolas"/>
          <w:color w:val="146EF5"/>
          <w:sz w:val="19"/>
        </w:rPr>
        <w:t>public, app</w:t>
      </w:r>
      <w:r>
        <w:rPr>
          <w:rFonts w:ascii="Calibri" w:hAnsi="Calibri"/>
          <w:b w:val="0"/>
          <w:i w:val="0"/>
          <w:color w:val="0B1F3A"/>
          <w:sz w:val="19"/>
        </w:rPr>
        <w:t xml:space="preserve">, and that is not decoration: without it, a caller who could create an object in an earlier schema could shadow </w:t>
      </w:r>
      <w:r>
        <w:rPr>
          <w:rFonts w:ascii="Consolas" w:hAnsi="Consolas"/>
          <w:color w:val="146EF5"/>
          <w:sz w:val="19"/>
        </w:rPr>
        <w:t>ajo_members</w:t>
      </w:r>
      <w:r>
        <w:rPr>
          <w:rFonts w:ascii="Calibri" w:hAnsi="Calibri"/>
          <w:b w:val="0"/>
          <w:i w:val="0"/>
          <w:color w:val="0B1F3A"/>
          <w:sz w:val="19"/>
        </w:rPr>
        <w:t xml:space="preserve"> and read anything. Any new </w:t>
      </w:r>
      <w:r>
        <w:rPr>
          <w:rFonts w:ascii="Consolas" w:hAnsi="Consolas"/>
          <w:color w:val="146EF5"/>
          <w:sz w:val="19"/>
        </w:rPr>
        <w:t>SECURITY DEFINER</w:t>
      </w:r>
      <w:r>
        <w:rPr>
          <w:rFonts w:ascii="Calibri" w:hAnsi="Calibri"/>
          <w:b w:val="0"/>
          <w:i w:val="0"/>
          <w:color w:val="0B1F3A"/>
          <w:sz w:val="19"/>
        </w:rPr>
        <w:t xml:space="preserve"> function in this schema must pin its search path in the same statement, and any new one that reads a table needs a policy test, because the defect mode is silent.</w:t>
      </w:r>
    </w:p>
    <w:p>
      <w:pPr>
        <w:pStyle w:val="Heading2"/>
      </w:pPr>
      <w:r>
        <w:rPr>
          <w:rFonts w:ascii="Calibri" w:hAnsi="Calibri"/>
          <w:b/>
          <w:i w:val="0"/>
          <w:color w:val="146EF5"/>
          <w:sz w:val="29"/>
        </w:rPr>
        <w:t>9.7 Idempotency, transactions, and exactly-once</w:t>
      </w:r>
    </w:p>
    <w:p>
      <w:r>
        <w:rPr>
          <w:rFonts w:ascii="Calibri" w:hAnsi="Calibri"/>
          <w:b w:val="0"/>
          <w:i w:val="0"/>
          <w:color w:val="101828"/>
          <w:sz w:val="21"/>
        </w:rPr>
        <w:t>Three problems get one mechanism each, and none of them is a distributed transaction. A payment webhook that arrives twice, a client that retries a charge because the response was slow, and a worker that crashes between doing the work and recording that it did the work. The schema answers all three with a unique key and an insert that happens before the effect.</w:t>
      </w:r>
    </w:p>
    <w:p>
      <w:r>
        <w:rPr>
          <w:rFonts w:ascii="Consolas" w:hAnsi="Consolas"/>
          <w:color w:val="146EF5"/>
          <w:sz w:val="21"/>
        </w:rPr>
        <w:t>webhook_events</w:t>
      </w:r>
      <w:r>
        <w:rPr>
          <w:rFonts w:ascii="Calibri" w:hAnsi="Calibri"/>
          <w:b w:val="0"/>
          <w:i w:val="0"/>
          <w:color w:val="101828"/>
          <w:sz w:val="21"/>
        </w:rPr>
        <w:t xml:space="preserve"> is written first, in its own transaction, keyed on the provider's own event id. If that insert raises a unique violation, the event has been seen and the handler returns success without touching a payment. This is the standard way to receive webhooks safely, and the reason it works is that the deduplication record is durable before any state derived from the event is written, so the two can never disagree about whether the work was done.</w:t>
      </w:r>
    </w:p>
    <w:p>
      <w:r>
        <w:rPr>
          <w:rFonts w:ascii="Consolas" w:hAnsi="Consolas"/>
          <w:color w:val="146EF5"/>
          <w:sz w:val="21"/>
        </w:rPr>
        <w:t>idempotency_keys</w:t>
      </w:r>
      <w:r>
        <w:rPr>
          <w:rFonts w:ascii="Calibri" w:hAnsi="Calibri"/>
          <w:b w:val="0"/>
          <w:i w:val="0"/>
          <w:color w:val="101828"/>
          <w:sz w:val="21"/>
        </w:rPr>
        <w:t xml:space="preserve"> does the same for our own API. The key is scoped (</w:t>
      </w:r>
      <w:r>
        <w:rPr>
          <w:rFonts w:ascii="Consolas" w:hAnsi="Consolas"/>
          <w:color w:val="146EF5"/>
          <w:sz w:val="21"/>
        </w:rPr>
        <w:t>user_id</w:t>
      </w:r>
      <w:r>
        <w:rPr>
          <w:rFonts w:ascii="Calibri" w:hAnsi="Calibri"/>
          <w:b w:val="0"/>
          <w:i w:val="0"/>
          <w:color w:val="101828"/>
          <w:sz w:val="21"/>
        </w:rPr>
        <w:t xml:space="preserve"> plus a scope string) and unique within the scope, and the row stores a hash of the request body beside the response. A replay with the same key and a different body is a client bug and is rejected; a replay with the same key and the same body returns the stored response, including its original status code. Storing the hash is what makes the key safe to accept rather than a way for a client to read another endpoint's response by guessing a key.</w:t>
      </w:r>
    </w:p>
    <w:p>
      <w:r>
        <w:rPr>
          <w:rFonts w:ascii="Consolas" w:hAnsi="Consolas"/>
          <w:color w:val="146EF5"/>
          <w:sz w:val="21"/>
        </w:rPr>
        <w:t>outbox_events</w:t>
      </w:r>
      <w:r>
        <w:rPr>
          <w:rFonts w:ascii="Calibri" w:hAnsi="Calibri"/>
          <w:b w:val="0"/>
          <w:i w:val="0"/>
          <w:color w:val="101828"/>
          <w:sz w:val="21"/>
        </w:rPr>
        <w:t xml:space="preserve"> is the third, and it is the one that is easy to get wrong. The pattern is: a state change and the intent to send a notification are written in the same transaction, and a separate worker reads the outbox and delivers. The alternative, sending the notification inside the transaction, has two failure modes that are both unacceptable: a rollback after a successful send produces a notification about something that did not happen, and a crash before the send produces state that changed with nobody told. The outbox trades an exactly-once send for an at-least-once send, which is the correct trade, because a duplicate SMS is an annoyance and a silent missing payment notice is a support ticket and a regulatory problem.</w:t>
      </w:r>
    </w:p>
    <w:p>
      <w:r>
        <w:rPr>
          <w:rFonts w:ascii="Calibri" w:hAnsi="Calibri"/>
          <w:b w:val="0"/>
          <w:i w:val="0"/>
          <w:color w:val="101828"/>
          <w:sz w:val="21"/>
        </w:rPr>
        <w:t xml:space="preserve">Delivery is therefore idempotent at the far end, keyed on the outbox row's id, and </w:t>
      </w:r>
      <w:r>
        <w:rPr>
          <w:rFonts w:ascii="Consolas" w:hAnsi="Consolas"/>
          <w:color w:val="146EF5"/>
          <w:sz w:val="21"/>
        </w:rPr>
        <w:t>outbox_events</w:t>
      </w:r>
      <w:r>
        <w:rPr>
          <w:rFonts w:ascii="Calibri" w:hAnsi="Calibri"/>
          <w:b w:val="0"/>
          <w:i w:val="0"/>
          <w:color w:val="101828"/>
          <w:sz w:val="21"/>
        </w:rPr>
        <w:t xml:space="preserve"> is append-only with an index on </w:t>
      </w:r>
      <w:r>
        <w:rPr>
          <w:rFonts w:ascii="Consolas" w:hAnsi="Consolas"/>
          <w:color w:val="146EF5"/>
          <w:sz w:val="21"/>
        </w:rPr>
        <w:t>processed_at IS NULL</w:t>
      </w:r>
      <w:r>
        <w:rPr>
          <w:rFonts w:ascii="Calibri" w:hAnsi="Calibri"/>
          <w:b w:val="0"/>
          <w:i w:val="0"/>
          <w:color w:val="101828"/>
          <w:sz w:val="21"/>
        </w:rPr>
        <w:t xml:space="preserve"> so the queue is an index range rather than a filter over finished work. The table deliberately has no foreign key, as noted in 9.3, so a future producer can enqueue work about an aggregate that does not exist yet without the queue being coupled to today's schema.</w:t>
      </w:r>
    </w:p>
    <w:p>
      <w:pPr>
        <w:pStyle w:val="Heading2"/>
      </w:pPr>
      <w:r>
        <w:rPr>
          <w:rFonts w:ascii="Calibri" w:hAnsi="Calibri"/>
          <w:b/>
          <w:i w:val="0"/>
          <w:color w:val="146EF5"/>
          <w:sz w:val="29"/>
        </w:rPr>
        <w:t>9.8 Locking, position occupancy, and concurrency</w:t>
      </w:r>
    </w:p>
    <w:p>
      <w:r>
        <w:rPr>
          <w:rFonts w:ascii="Calibri" w:hAnsi="Calibri"/>
          <w:b w:val="0"/>
          <w:i w:val="0"/>
          <w:color w:val="101828"/>
          <w:sz w:val="21"/>
        </w:rPr>
        <w:t>Four operations in this system can plausibly race, and each has a named answer. None of the answers is an advisory lock, and none reads a balance, modifies it, and writes it back.</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7"/>
              </w:rPr>
              <w:t>Race</w:t>
            </w:r>
          </w:p>
        </w:tc>
        <w:tc>
          <w:tcPr>
            <w:tcW w:type="dxa" w:w="3024"/>
            <w:shd w:val="clear" w:color="auto" w:fill="0B1F3A"/>
            <w:tcMar>
              <w:top w:w="60" w:type="dxa"/>
              <w:start w:w="110" w:type="dxa"/>
              <w:bottom w:w="60" w:type="dxa"/>
              <w:end w:w="110" w:type="dxa"/>
            </w:tcMar>
          </w:tcPr>
          <w:p>
            <w:pPr>
              <w:spacing w:after="0"/>
            </w:pPr>
            <w:r/>
            <w:r>
              <w:rPr>
                <w:rFonts w:ascii="Calibri" w:hAnsi="Calibri"/>
                <w:b/>
                <w:i w:val="0"/>
                <w:color w:val="FFFFFF"/>
                <w:sz w:val="17"/>
              </w:rPr>
              <w:t>What can go wrong</w:t>
            </w:r>
          </w:p>
        </w:tc>
        <w:tc>
          <w:tcPr>
            <w:tcW w:type="dxa" w:w="4032"/>
            <w:shd w:val="clear" w:color="auto" w:fill="0B1F3A"/>
            <w:tcMar>
              <w:top w:w="60" w:type="dxa"/>
              <w:start w:w="110" w:type="dxa"/>
              <w:bottom w:w="60" w:type="dxa"/>
              <w:end w:w="110" w:type="dxa"/>
            </w:tcMar>
          </w:tcPr>
          <w:p>
            <w:pPr>
              <w:spacing w:after="0"/>
            </w:pPr>
            <w:r/>
            <w:r>
              <w:rPr>
                <w:rFonts w:ascii="Calibri" w:hAnsi="Calibri"/>
                <w:b/>
                <w:i w:val="0"/>
                <w:color w:val="FFFFFF"/>
                <w:sz w:val="17"/>
              </w:rPr>
              <w:t>The mechanism</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7"/>
              </w:rPr>
              <w:t>Two members claim the same position</w:t>
            </w:r>
          </w:p>
        </w:tc>
        <w:tc>
          <w:tcPr>
            <w:tcW w:type="dxa" w:w="3024"/>
            <w:tcMar>
              <w:top w:w="60" w:type="dxa"/>
              <w:start w:w="110" w:type="dxa"/>
              <w:bottom w:w="60" w:type="dxa"/>
              <w:end w:w="110" w:type="dxa"/>
            </w:tcMar>
          </w:tcPr>
          <w:p>
            <w:pPr>
              <w:spacing w:after="0"/>
            </w:pPr>
            <w:r/>
            <w:r>
              <w:rPr>
                <w:rFonts w:ascii="Calibri" w:hAnsi="Calibri"/>
                <w:b w:val="0"/>
                <w:i w:val="0"/>
                <w:color w:val="101828"/>
                <w:sz w:val="17"/>
              </w:rPr>
              <w:t>Two members in one position; the turn skips one of them</w:t>
            </w:r>
          </w:p>
        </w:tc>
        <w:tc>
          <w:tcPr>
            <w:tcW w:type="dxa" w:w="4032"/>
            <w:tcMar>
              <w:top w:w="60" w:type="dxa"/>
              <w:start w:w="110" w:type="dxa"/>
              <w:bottom w:w="60" w:type="dxa"/>
              <w:end w:w="110" w:type="dxa"/>
            </w:tcMar>
          </w:tcPr>
          <w:p>
            <w:pPr>
              <w:spacing w:after="0"/>
            </w:pPr>
            <w:r/>
            <w:r>
              <w:rPr>
                <w:rFonts w:ascii="Calibri" w:hAnsi="Calibri"/>
                <w:b w:val="0"/>
                <w:i w:val="0"/>
                <w:color w:val="101828"/>
                <w:sz w:val="17"/>
              </w:rPr>
              <w:t>The partial unique index in 9.3.2. One insert commits, the other gets a unique violation. No lock, because the index is the arbiter.</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7"/>
              </w:rPr>
              <w:t>Two organizers activate the same Ajo</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7"/>
              </w:rPr>
              <w:t>Two activation events, two sets of rounds, two sets of notifications</w:t>
            </w:r>
          </w:p>
        </w:tc>
        <w:tc>
          <w:tcPr>
            <w:tcW w:type="dxa" w:w="4032"/>
            <w:tcMar>
              <w:top w:w="60" w:type="dxa"/>
              <w:start w:w="110" w:type="dxa"/>
              <w:bottom w:w="60" w:type="dxa"/>
              <w:end w:w="110" w:type="dxa"/>
            </w:tcMar>
            <w:shd w:val="clear" w:color="auto" w:fill="F4F7FB"/>
          </w:tcPr>
          <w:p>
            <w:pPr>
              <w:spacing w:after="0"/>
            </w:pPr>
            <w:r/>
            <w:r>
              <w:rPr>
                <w:rFonts w:ascii="Consolas" w:hAnsi="Consolas"/>
                <w:color w:val="146EF5"/>
                <w:sz w:val="17"/>
              </w:rPr>
              <w:t>SELECT ... FOR UPDATE</w:t>
            </w:r>
            <w:r>
              <w:rPr>
                <w:rFonts w:ascii="Calibri" w:hAnsi="Calibri"/>
                <w:b w:val="0"/>
                <w:i w:val="0"/>
                <w:color w:val="101828"/>
                <w:sz w:val="17"/>
              </w:rPr>
              <w:t xml:space="preserve"> on the </w:t>
            </w:r>
            <w:r>
              <w:rPr>
                <w:rFonts w:ascii="Consolas" w:hAnsi="Consolas"/>
                <w:color w:val="146EF5"/>
                <w:sz w:val="17"/>
              </w:rPr>
              <w:t>ajos</w:t>
            </w:r>
            <w:r>
              <w:rPr>
                <w:rFonts w:ascii="Calibri" w:hAnsi="Calibri"/>
                <w:b w:val="0"/>
                <w:i w:val="0"/>
                <w:color w:val="101828"/>
                <w:sz w:val="17"/>
              </w:rPr>
              <w:t xml:space="preserve"> row, then a status CHECK that only permits </w:t>
            </w:r>
            <w:r>
              <w:rPr>
                <w:rFonts w:ascii="Consolas" w:hAnsi="Consolas"/>
                <w:color w:val="146EF5"/>
                <w:sz w:val="17"/>
              </w:rPr>
              <w:t>enrollment_open</w:t>
            </w:r>
            <w:r>
              <w:rPr>
                <w:rFonts w:ascii="Calibri" w:hAnsi="Calibri"/>
                <w:b w:val="0"/>
                <w:i w:val="0"/>
                <w:color w:val="101828"/>
                <w:sz w:val="17"/>
              </w:rPr>
              <w:t xml:space="preserve"> to </w:t>
            </w:r>
            <w:r>
              <w:rPr>
                <w:rFonts w:ascii="Consolas" w:hAnsi="Consolas"/>
                <w:color w:val="146EF5"/>
                <w:sz w:val="17"/>
              </w:rPr>
              <w:t>active</w:t>
            </w:r>
            <w:r>
              <w:rPr>
                <w:rFonts w:ascii="Calibri" w:hAnsi="Calibri"/>
                <w:b w:val="0"/>
                <w:i w:val="0"/>
                <w:color w:val="101828"/>
                <w:sz w:val="17"/>
              </w:rPr>
              <w:t>.</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7"/>
              </w:rPr>
              <w:t>The same payment settled twice</w:t>
            </w:r>
          </w:p>
        </w:tc>
        <w:tc>
          <w:tcPr>
            <w:tcW w:type="dxa" w:w="3024"/>
            <w:tcMar>
              <w:top w:w="60" w:type="dxa"/>
              <w:start w:w="110" w:type="dxa"/>
              <w:bottom w:w="60" w:type="dxa"/>
              <w:end w:w="110" w:type="dxa"/>
            </w:tcMar>
          </w:tcPr>
          <w:p>
            <w:pPr>
              <w:spacing w:after="0"/>
            </w:pPr>
            <w:r/>
            <w:r>
              <w:rPr>
                <w:rFonts w:ascii="Calibri" w:hAnsi="Calibri"/>
                <w:b w:val="0"/>
                <w:i w:val="0"/>
                <w:color w:val="101828"/>
                <w:sz w:val="17"/>
              </w:rPr>
              <w:t>One charge, two contribution state changes, two payouts possible</w:t>
            </w:r>
          </w:p>
        </w:tc>
        <w:tc>
          <w:tcPr>
            <w:tcW w:type="dxa" w:w="4032"/>
            <w:tcMar>
              <w:top w:w="60" w:type="dxa"/>
              <w:start w:w="110" w:type="dxa"/>
              <w:bottom w:w="60" w:type="dxa"/>
              <w:end w:w="110" w:type="dxa"/>
            </w:tcMar>
          </w:tcPr>
          <w:p>
            <w:pPr>
              <w:spacing w:after="0"/>
            </w:pPr>
            <w:r/>
            <w:r>
              <w:rPr>
                <w:rFonts w:ascii="Calibri" w:hAnsi="Calibri"/>
                <w:b w:val="0"/>
                <w:i w:val="0"/>
                <w:color w:val="101828"/>
                <w:sz w:val="17"/>
              </w:rPr>
              <w:t xml:space="preserve">The unique key on </w:t>
            </w:r>
            <w:r>
              <w:rPr>
                <w:rFonts w:ascii="Consolas" w:hAnsi="Consolas"/>
                <w:color w:val="146EF5"/>
                <w:sz w:val="17"/>
              </w:rPr>
              <w:t>(transaction_id, account_kind, side)</w:t>
            </w:r>
            <w:r>
              <w:rPr>
                <w:rFonts w:ascii="Calibri" w:hAnsi="Calibri"/>
                <w:b w:val="0"/>
                <w:i w:val="0"/>
                <w:color w:val="101828"/>
                <w:sz w:val="17"/>
              </w:rPr>
              <w:t xml:space="preserve">, the deferred balance trigger, and the payout's unique index on </w:t>
            </w:r>
            <w:r>
              <w:rPr>
                <w:rFonts w:ascii="Consolas" w:hAnsi="Consolas"/>
                <w:color w:val="146EF5"/>
                <w:sz w:val="17"/>
              </w:rPr>
              <w:t>(round_id, position_id)</w:t>
            </w:r>
            <w:r>
              <w:rPr>
                <w:rFonts w:ascii="Calibri" w:hAnsi="Calibri"/>
                <w:b w:val="0"/>
                <w:i w:val="0"/>
                <w:color w:val="101828"/>
                <w:sz w:val="17"/>
              </w:rPr>
              <w:t>.</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7"/>
              </w:rPr>
              <w:t>A member defaults while their payment is landing</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7"/>
              </w:rPr>
              <w:t>A defaulted contribution that is about to be paid, or a payment against a defaulted obligation</w:t>
            </w:r>
          </w:p>
        </w:tc>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7"/>
              </w:rPr>
              <w:t xml:space="preserve">The contribution row is locked </w:t>
            </w:r>
            <w:r>
              <w:rPr>
                <w:rFonts w:ascii="Consolas" w:hAnsi="Consolas"/>
                <w:color w:val="146EF5"/>
                <w:sz w:val="17"/>
              </w:rPr>
              <w:t>FOR UPDATE</w:t>
            </w:r>
            <w:r>
              <w:rPr>
                <w:rFonts w:ascii="Calibri" w:hAnsi="Calibri"/>
                <w:b w:val="0"/>
                <w:i w:val="0"/>
                <w:color w:val="101828"/>
                <w:sz w:val="17"/>
              </w:rPr>
              <w:t xml:space="preserve"> before the default transition, so the payment either sees the settled state and stops, or waits and then sees the default and stops.</w:t>
            </w:r>
          </w:p>
        </w:tc>
      </w:tr>
    </w:tbl>
    <w:p>
      <w:pPr>
        <w:spacing w:after="80"/>
      </w:pPr>
    </w:p>
    <w:p>
      <w:r>
        <w:rPr>
          <w:rFonts w:ascii="Calibri" w:hAnsi="Calibri"/>
          <w:b w:val="0"/>
          <w:i w:val="0"/>
          <w:color w:val="101828"/>
          <w:sz w:val="21"/>
        </w:rPr>
        <w:t>The row lock is the one place where a transaction is deliberately long-lived, and the rule is that it is acquired last, after all the reads that decide what to do. Locking early is how a request that has decided to return early ends up holding a row for the length of an external call. The defaulting path in 9.8 is the tightest example: read the contribution, decide it is overdue, take the lock, re-read the status inside the lock, and only then transition it. The re-read is not paranoia; it is the only thing that makes the earlier decision safe to have made before the lock.</w:t>
      </w:r>
    </w:p>
    <w:p>
      <w:pPr>
        <w:pStyle w:val="Heading2"/>
      </w:pPr>
      <w:r>
        <w:rPr>
          <w:rFonts w:ascii="Calibri" w:hAnsi="Calibri"/>
          <w:b/>
          <w:i w:val="0"/>
          <w:color w:val="146EF5"/>
          <w:sz w:val="29"/>
        </w:rPr>
        <w:t>9.9 Migrations, and the shape of a zero-downtime change</w:t>
      </w:r>
    </w:p>
    <w:p>
      <w:r>
        <w:rPr>
          <w:rFonts w:ascii="Calibri" w:hAnsi="Calibri"/>
          <w:b w:val="0"/>
          <w:i w:val="0"/>
          <w:color w:val="101828"/>
          <w:sz w:val="21"/>
        </w:rPr>
        <w:t xml:space="preserve">Four files, applied in order, and the order is the design. </w:t>
      </w:r>
      <w:r>
        <w:rPr>
          <w:rFonts w:ascii="Consolas" w:hAnsi="Consolas"/>
          <w:color w:val="146EF5"/>
          <w:sz w:val="21"/>
        </w:rPr>
        <w:t>00</w:t>
      </w:r>
      <w:r>
        <w:rPr>
          <w:rFonts w:ascii="Calibri" w:hAnsi="Calibri"/>
          <w:b w:val="0"/>
          <w:i w:val="0"/>
          <w:color w:val="101828"/>
          <w:sz w:val="21"/>
        </w:rPr>
        <w:t xml:space="preserve"> creates the extensions, the enums, the </w:t>
      </w:r>
      <w:r>
        <w:rPr>
          <w:rFonts w:ascii="Consolas" w:hAnsi="Consolas"/>
          <w:color w:val="146EF5"/>
          <w:sz w:val="21"/>
        </w:rPr>
        <w:t>app</w:t>
      </w:r>
      <w:r>
        <w:rPr>
          <w:rFonts w:ascii="Calibri" w:hAnsi="Calibri"/>
          <w:b w:val="0"/>
          <w:i w:val="0"/>
          <w:color w:val="101828"/>
          <w:sz w:val="21"/>
        </w:rPr>
        <w:t xml:space="preserve"> schema, the helper functions and the reference tables. </w:t>
      </w:r>
      <w:r>
        <w:rPr>
          <w:rFonts w:ascii="Consolas" w:hAnsi="Consolas"/>
          <w:color w:val="146EF5"/>
          <w:sz w:val="21"/>
        </w:rPr>
        <w:t>01</w:t>
      </w:r>
      <w:r>
        <w:rPr>
          <w:rFonts w:ascii="Calibri" w:hAnsi="Calibri"/>
          <w:b w:val="0"/>
          <w:i w:val="0"/>
          <w:color w:val="101828"/>
          <w:sz w:val="21"/>
        </w:rPr>
        <w:t xml:space="preserve"> creates the forty tables, then the indexes, then the comments, and only then the foreign keys that had to be deferred. </w:t>
      </w:r>
      <w:r>
        <w:rPr>
          <w:rFonts w:ascii="Consolas" w:hAnsi="Consolas"/>
          <w:color w:val="146EF5"/>
          <w:sz w:val="21"/>
        </w:rPr>
        <w:t>02</w:t>
      </w:r>
      <w:r>
        <w:rPr>
          <w:rFonts w:ascii="Calibri" w:hAnsi="Calibri"/>
          <w:b w:val="0"/>
          <w:i w:val="0"/>
          <w:color w:val="101828"/>
          <w:sz w:val="21"/>
        </w:rPr>
        <w:t xml:space="preserve"> installs the business-rule functions and the triggers that use them. </w:t>
      </w:r>
      <w:r>
        <w:rPr>
          <w:rFonts w:ascii="Consolas" w:hAnsi="Consolas"/>
          <w:color w:val="146EF5"/>
          <w:sz w:val="21"/>
        </w:rPr>
        <w:t>03</w:t>
      </w:r>
      <w:r>
        <w:rPr>
          <w:rFonts w:ascii="Calibri" w:hAnsi="Calibri"/>
          <w:b w:val="0"/>
          <w:i w:val="0"/>
          <w:color w:val="101828"/>
          <w:sz w:val="21"/>
        </w:rPr>
        <w:t xml:space="preserve"> enables RLS and grants the roles. Each file is independently re-runnable on an empty database and the suite is run against all four in sequence, every time.</w:t>
      </w:r>
    </w:p>
    <w:p>
      <w:r>
        <w:rPr>
          <w:rFonts w:ascii="Calibri" w:hAnsi="Calibri"/>
          <w:b w:val="0"/>
          <w:i w:val="0"/>
          <w:color w:val="101828"/>
          <w:sz w:val="21"/>
        </w:rPr>
        <w:t xml:space="preserve">Splitting the foreign keys out of </w:t>
      </w:r>
      <w:r>
        <w:rPr>
          <w:rFonts w:ascii="Consolas" w:hAnsi="Consolas"/>
          <w:color w:val="146EF5"/>
          <w:sz w:val="21"/>
        </w:rPr>
        <w:t>01</w:t>
      </w:r>
      <w:r>
        <w:rPr>
          <w:rFonts w:ascii="Calibri" w:hAnsi="Calibri"/>
          <w:b w:val="0"/>
          <w:i w:val="0"/>
          <w:color w:val="101828"/>
          <w:sz w:val="21"/>
        </w:rPr>
        <w:t xml:space="preserve"> into a later pass is not style. </w:t>
      </w:r>
      <w:r>
        <w:rPr>
          <w:rFonts w:ascii="Consolas" w:hAnsi="Consolas"/>
          <w:color w:val="146EF5"/>
          <w:sz w:val="21"/>
        </w:rPr>
        <w:t>contributions</w:t>
      </w:r>
      <w:r>
        <w:rPr>
          <w:rFonts w:ascii="Calibri" w:hAnsi="Calibri"/>
          <w:b w:val="0"/>
          <w:i w:val="0"/>
          <w:color w:val="101828"/>
          <w:sz w:val="21"/>
        </w:rPr>
        <w:t xml:space="preserve"> references </w:t>
      </w:r>
      <w:r>
        <w:rPr>
          <w:rFonts w:ascii="Consolas" w:hAnsi="Consolas"/>
          <w:color w:val="146EF5"/>
          <w:sz w:val="21"/>
        </w:rPr>
        <w:t>rounds</w:t>
      </w:r>
      <w:r>
        <w:rPr>
          <w:rFonts w:ascii="Calibri" w:hAnsi="Calibri"/>
          <w:b w:val="0"/>
          <w:i w:val="0"/>
          <w:color w:val="101828"/>
          <w:sz w:val="21"/>
        </w:rPr>
        <w:t xml:space="preserve">, </w:t>
      </w:r>
      <w:r>
        <w:rPr>
          <w:rFonts w:ascii="Consolas" w:hAnsi="Consolas"/>
          <w:color w:val="146EF5"/>
          <w:sz w:val="21"/>
        </w:rPr>
        <w:t>payments</w:t>
      </w:r>
      <w:r>
        <w:rPr>
          <w:rFonts w:ascii="Calibri" w:hAnsi="Calibri"/>
          <w:b w:val="0"/>
          <w:i w:val="0"/>
          <w:color w:val="101828"/>
          <w:sz w:val="21"/>
        </w:rPr>
        <w:t xml:space="preserve"> and </w:t>
      </w:r>
      <w:r>
        <w:rPr>
          <w:rFonts w:ascii="Consolas" w:hAnsi="Consolas"/>
          <w:color w:val="146EF5"/>
          <w:sz w:val="21"/>
        </w:rPr>
        <w:t>fees</w:t>
      </w:r>
      <w:r>
        <w:rPr>
          <w:rFonts w:ascii="Calibri" w:hAnsi="Calibri"/>
          <w:b w:val="0"/>
          <w:i w:val="0"/>
          <w:color w:val="101828"/>
          <w:sz w:val="21"/>
        </w:rPr>
        <w:t xml:space="preserve"> in a cycle, and a single-pass </w:t>
      </w:r>
      <w:r>
        <w:rPr>
          <w:rFonts w:ascii="Consolas" w:hAnsi="Consolas"/>
          <w:color w:val="146EF5"/>
          <w:sz w:val="21"/>
        </w:rPr>
        <w:t>CREATE TABLE</w:t>
      </w:r>
      <w:r>
        <w:rPr>
          <w:rFonts w:ascii="Calibri" w:hAnsi="Calibri"/>
          <w:b w:val="0"/>
          <w:i w:val="0"/>
          <w:color w:val="101828"/>
          <w:sz w:val="21"/>
        </w:rPr>
        <w:t xml:space="preserve"> cannot express a cycle, so the keys are added separately once every table exists. The alternative, nullable columns plus a later </w:t>
      </w:r>
      <w:r>
        <w:rPr>
          <w:rFonts w:ascii="Consolas" w:hAnsi="Consolas"/>
          <w:color w:val="146EF5"/>
          <w:sz w:val="21"/>
        </w:rPr>
        <w:t>SET NOT NULL</w:t>
      </w:r>
      <w:r>
        <w:rPr>
          <w:rFonts w:ascii="Calibri" w:hAnsi="Calibri"/>
          <w:b w:val="0"/>
          <w:i w:val="0"/>
          <w:color w:val="101828"/>
          <w:sz w:val="21"/>
        </w:rPr>
        <w:t>, ends with the same constraints in the same place and a window in between where the columns are nullable and a bug is cheaper to write.</w:t>
      </w:r>
    </w:p>
    <w:p>
      <w:r>
        <w:rPr>
          <w:rFonts w:ascii="Calibri" w:hAnsi="Calibri"/>
          <w:b w:val="0"/>
          <w:i w:val="0"/>
          <w:color w:val="101828"/>
          <w:sz w:val="21"/>
        </w:rPr>
        <w:t>Three rules for changing a schema that already has rows in it, all of them learned from the specific ways this schema could be broken.</w:t>
      </w:r>
    </w:p>
    <w:p>
      <w:pPr>
        <w:pStyle w:val="ListBullet"/>
        <w:spacing w:after="60"/>
        <w:ind w:left="360"/>
      </w:pPr>
      <w:r>
        <w:rPr>
          <w:rFonts w:ascii="Calibri" w:hAnsi="Calibri"/>
          <w:b/>
          <w:color w:val="101828"/>
          <w:sz w:val="21"/>
        </w:rPr>
        <w:t>A new constraint goes in as `NOT VALID`, then gets validated separately.</w:t>
      </w:r>
      <w:r>
        <w:rPr>
          <w:rFonts w:ascii="Calibri" w:hAnsi="Calibri"/>
          <w:b w:val="0"/>
          <w:i w:val="0"/>
          <w:color w:val="101828"/>
          <w:sz w:val="21"/>
        </w:rPr>
        <w:t xml:space="preserve"> </w:t>
      </w:r>
      <w:r>
        <w:rPr>
          <w:rFonts w:ascii="Consolas" w:hAnsi="Consolas"/>
          <w:color w:val="146EF5"/>
          <w:sz w:val="21"/>
        </w:rPr>
        <w:t>ALTER TABLE ... ADD CONSTRAINT ... NOT VALID</w:t>
      </w:r>
      <w:r>
        <w:rPr>
          <w:rFonts w:ascii="Calibri" w:hAnsi="Calibri"/>
          <w:b w:val="0"/>
          <w:i w:val="0"/>
          <w:color w:val="101828"/>
          <w:sz w:val="21"/>
        </w:rPr>
        <w:t xml:space="preserve"> takes a brief lock, enforces the rule for new writes immediately, and validates the existing rows in the background. Adding a CHECK to a live </w:t>
      </w:r>
      <w:r>
        <w:rPr>
          <w:rFonts w:ascii="Consolas" w:hAnsi="Consolas"/>
          <w:color w:val="146EF5"/>
          <w:sz w:val="21"/>
        </w:rPr>
        <w:t>contributions</w:t>
      </w:r>
      <w:r>
        <w:rPr>
          <w:rFonts w:ascii="Calibri" w:hAnsi="Calibri"/>
          <w:b w:val="0"/>
          <w:i w:val="0"/>
          <w:color w:val="101828"/>
          <w:sz w:val="21"/>
        </w:rPr>
        <w:t xml:space="preserve"> table without </w:t>
      </w:r>
      <w:r>
        <w:rPr>
          <w:rFonts w:ascii="Consolas" w:hAnsi="Consolas"/>
          <w:color w:val="146EF5"/>
          <w:sz w:val="21"/>
        </w:rPr>
        <w:t>NOT VALID</w:t>
      </w:r>
      <w:r>
        <w:rPr>
          <w:rFonts w:ascii="Calibri" w:hAnsi="Calibri"/>
          <w:b w:val="0"/>
          <w:i w:val="0"/>
          <w:color w:val="101828"/>
          <w:sz w:val="21"/>
        </w:rPr>
        <w:t xml:space="preserve"> scans the table under an exclusive lock, and a 200,000-row table is a visible outage.</w:t>
      </w:r>
    </w:p>
    <w:p>
      <w:pPr>
        <w:pStyle w:val="ListBullet"/>
        <w:spacing w:after="60"/>
        <w:ind w:left="360"/>
      </w:pPr>
      <w:r>
        <w:rPr>
          <w:rFonts w:ascii="Calibri" w:hAnsi="Calibri"/>
          <w:b/>
          <w:color w:val="101828"/>
          <w:sz w:val="21"/>
        </w:rPr>
        <w:t>A new enum value is a migration, not a deploy.</w:t>
      </w:r>
      <w:r>
        <w:rPr>
          <w:rFonts w:ascii="Calibri" w:hAnsi="Calibri"/>
          <w:b w:val="0"/>
          <w:i w:val="0"/>
          <w:color w:val="101828"/>
          <w:sz w:val="21"/>
        </w:rPr>
        <w:t xml:space="preserve"> </w:t>
      </w:r>
      <w:r>
        <w:rPr>
          <w:rFonts w:ascii="Consolas" w:hAnsi="Consolas"/>
          <w:color w:val="146EF5"/>
          <w:sz w:val="21"/>
        </w:rPr>
        <w:t>ALTER TYPE ... ADD VALUE</w:t>
      </w:r>
      <w:r>
        <w:rPr>
          <w:rFonts w:ascii="Calibri" w:hAnsi="Calibri"/>
          <w:b w:val="0"/>
          <w:i w:val="0"/>
          <w:color w:val="101828"/>
          <w:sz w:val="21"/>
        </w:rPr>
        <w:t xml:space="preserve"> cannot run inside a transaction on the versions this targets, so the migration runs it outside one and the application that reads the new value deploys afterwards. The reverse order is the outage: code that writes a value the database does not have yet.</w:t>
      </w:r>
    </w:p>
    <w:p>
      <w:pPr>
        <w:pStyle w:val="ListBullet"/>
        <w:spacing w:after="60"/>
        <w:ind w:left="360"/>
      </w:pPr>
      <w:r>
        <w:rPr>
          <w:rFonts w:ascii="Calibri" w:hAnsi="Calibri"/>
          <w:b/>
          <w:color w:val="101828"/>
          <w:sz w:val="21"/>
        </w:rPr>
        <w:t>A renamed column is two migrations, never one.</w:t>
      </w:r>
      <w:r>
        <w:rPr>
          <w:rFonts w:ascii="Calibri" w:hAnsi="Calibri"/>
          <w:b w:val="0"/>
          <w:i w:val="0"/>
          <w:color w:val="101828"/>
          <w:sz w:val="21"/>
        </w:rPr>
        <w:t xml:space="preserve"> Add the new column, backfill, dual-write, move reads, drop the old. The single-step rename that works perfectly on an empty database and fails on a live one is the standard way a deployable migration becomes a rollback.</w:t>
      </w:r>
    </w:p>
    <w:p>
      <w:r>
        <w:rPr>
          <w:rFonts w:ascii="Calibri" w:hAnsi="Calibri"/>
          <w:b w:val="0"/>
          <w:i w:val="0"/>
          <w:color w:val="101828"/>
          <w:sz w:val="21"/>
        </w:rPr>
        <w:t xml:space="preserve">Dropping a column is two migrations for the same reason, with a </w:t>
      </w:r>
      <w:r>
        <w:rPr>
          <w:rFonts w:ascii="Consolas" w:hAnsi="Consolas"/>
          <w:color w:val="146EF5"/>
          <w:sz w:val="21"/>
        </w:rPr>
        <w:t>NOT NULL</w:t>
      </w:r>
      <w:r>
        <w:rPr>
          <w:rFonts w:ascii="Calibri" w:hAnsi="Calibri"/>
          <w:b w:val="0"/>
          <w:i w:val="0"/>
          <w:color w:val="101828"/>
          <w:sz w:val="21"/>
        </w:rPr>
        <w:t xml:space="preserve"> default in between so the old code keeps working while the new column is populated. Nothing in this schema is dropped without that sequence, which includes the columns that were dropped during development: the </w:t>
      </w:r>
      <w:r>
        <w:rPr>
          <w:rFonts w:ascii="Consolas" w:hAnsi="Consolas"/>
          <w:color w:val="146EF5"/>
          <w:sz w:val="21"/>
        </w:rPr>
        <w:t>released_at</w:t>
      </w:r>
      <w:r>
        <w:rPr>
          <w:rFonts w:ascii="Calibri" w:hAnsi="Calibri"/>
          <w:b w:val="0"/>
          <w:i w:val="0"/>
          <w:color w:val="101828"/>
          <w:sz w:val="21"/>
        </w:rPr>
        <w:t xml:space="preserve"> column on </w:t>
      </w:r>
      <w:r>
        <w:rPr>
          <w:rFonts w:ascii="Consolas" w:hAnsi="Consolas"/>
          <w:color w:val="146EF5"/>
          <w:sz w:val="21"/>
        </w:rPr>
        <w:t>ajo_members</w:t>
      </w:r>
      <w:r>
        <w:rPr>
          <w:rFonts w:ascii="Calibri" w:hAnsi="Calibri"/>
          <w:b w:val="0"/>
          <w:i w:val="0"/>
          <w:color w:val="101828"/>
          <w:sz w:val="21"/>
        </w:rPr>
        <w:t xml:space="preserve"> and the </w:t>
      </w:r>
      <w:r>
        <w:rPr>
          <w:rFonts w:ascii="Consolas" w:hAnsi="Consolas"/>
          <w:color w:val="146EF5"/>
          <w:sz w:val="21"/>
        </w:rPr>
        <w:t>amount_kobo</w:t>
      </w:r>
      <w:r>
        <w:rPr>
          <w:rFonts w:ascii="Calibri" w:hAnsi="Calibri"/>
          <w:b w:val="0"/>
          <w:i w:val="0"/>
          <w:color w:val="101828"/>
          <w:sz w:val="21"/>
        </w:rPr>
        <w:t xml:space="preserve"> name on </w:t>
      </w:r>
      <w:r>
        <w:rPr>
          <w:rFonts w:ascii="Consolas" w:hAnsi="Consolas"/>
          <w:color w:val="146EF5"/>
          <w:sz w:val="21"/>
        </w:rPr>
        <w:t>fees</w:t>
      </w:r>
      <w:r>
        <w:rPr>
          <w:rFonts w:ascii="Calibri" w:hAnsi="Calibri"/>
          <w:b w:val="0"/>
          <w:i w:val="0"/>
          <w:color w:val="101828"/>
          <w:sz w:val="21"/>
        </w:rPr>
        <w:t xml:space="preserve"> both exist only in earlier drafts and neither reached a database anybody else had touched.</w:t>
      </w:r>
    </w:p>
    <w:p>
      <w:pPr>
        <w:pStyle w:val="Heading2"/>
      </w:pPr>
      <w:r>
        <w:rPr>
          <w:rFonts w:ascii="Calibri" w:hAnsi="Calibri"/>
          <w:b/>
          <w:i w:val="0"/>
          <w:color w:val="146EF5"/>
          <w:sz w:val="29"/>
        </w:rPr>
        <w:t>9.10 Backups, retention, and restore</w:t>
      </w:r>
    </w:p>
    <w:p>
      <w:r>
        <w:rPr>
          <w:rFonts w:ascii="Calibri" w:hAnsi="Calibri"/>
          <w:b w:val="0"/>
          <w:i w:val="0"/>
          <w:color w:val="101828"/>
          <w:sz w:val="21"/>
        </w:rPr>
        <w:t>Three kinds of data with three different loss tolerances, and one rule: the ledger is the one that cannot be reconstructed, because it is the only record of what happened to money that no other system holds.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7"/>
              </w:rPr>
              <w:t>Data</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7"/>
              </w:rPr>
              <w:t>If it is lost</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7"/>
              </w:rPr>
              <w:t>Recovery</w:t>
            </w:r>
          </w:p>
        </w:tc>
      </w:tr>
      <w:tr>
        <w:trPr>
          <w:cantSplit/>
        </w:trPr>
        <w:tc>
          <w:tcPr>
            <w:tcW w:type="dxa" w:w="2448"/>
            <w:tcMar>
              <w:top w:w="60" w:type="dxa"/>
              <w:start w:w="110" w:type="dxa"/>
              <w:bottom w:w="60" w:type="dxa"/>
              <w:end w:w="110" w:type="dxa"/>
            </w:tcMar>
          </w:tcPr>
          <w:p>
            <w:pPr>
              <w:spacing w:after="0"/>
            </w:pPr>
            <w:r/>
            <w:r>
              <w:rPr>
                <w:rFonts w:ascii="Consolas" w:hAnsi="Consolas"/>
                <w:color w:val="146EF5"/>
                <w:sz w:val="17"/>
              </w:rPr>
              <w:t>ledger_transactions</w:t>
            </w:r>
            <w:r>
              <w:rPr>
                <w:rFonts w:ascii="Calibri" w:hAnsi="Calibri"/>
                <w:b w:val="0"/>
                <w:i w:val="0"/>
                <w:color w:val="101828"/>
                <w:sz w:val="17"/>
              </w:rPr>
              <w:t xml:space="preserve">, </w:t>
            </w:r>
            <w:r>
              <w:rPr>
                <w:rFonts w:ascii="Consolas" w:hAnsi="Consolas"/>
                <w:color w:val="146EF5"/>
                <w:sz w:val="17"/>
              </w:rPr>
              <w:t>ledger_postings</w:t>
            </w:r>
          </w:p>
        </w:tc>
        <w:tc>
          <w:tcPr>
            <w:tcW w:type="dxa" w:w="3456"/>
            <w:tcMar>
              <w:top w:w="60" w:type="dxa"/>
              <w:start w:w="110" w:type="dxa"/>
              <w:bottom w:w="60" w:type="dxa"/>
              <w:end w:w="110" w:type="dxa"/>
            </w:tcMar>
          </w:tcPr>
          <w:p>
            <w:pPr>
              <w:spacing w:after="0"/>
            </w:pPr>
            <w:r/>
            <w:r>
              <w:rPr>
                <w:rFonts w:ascii="Calibri" w:hAnsi="Calibri"/>
                <w:b w:val="0"/>
                <w:i w:val="0"/>
                <w:color w:val="101828"/>
                <w:sz w:val="17"/>
              </w:rPr>
              <w:t>Unrecoverable. Money moved and the fact of it is gone.</w:t>
            </w:r>
          </w:p>
        </w:tc>
        <w:tc>
          <w:tcPr>
            <w:tcW w:type="dxa" w:w="3456"/>
            <w:tcMar>
              <w:top w:w="60" w:type="dxa"/>
              <w:start w:w="110" w:type="dxa"/>
              <w:bottom w:w="60" w:type="dxa"/>
              <w:end w:w="110" w:type="dxa"/>
            </w:tcMar>
          </w:tcPr>
          <w:p>
            <w:pPr>
              <w:spacing w:after="0"/>
            </w:pPr>
            <w:r/>
            <w:r>
              <w:rPr>
                <w:rFonts w:ascii="Calibri" w:hAnsi="Calibri"/>
                <w:b w:val="0"/>
                <w:i w:val="0"/>
                <w:color w:val="101828"/>
                <w:sz w:val="17"/>
              </w:rPr>
              <w:t>Point-in-time recovery. This is the only table that justifies WAL archiving on its own.</w:t>
            </w:r>
          </w:p>
        </w:tc>
      </w:tr>
      <w:tr>
        <w:trPr>
          <w:cantSplit/>
        </w:trPr>
        <w:tc>
          <w:tcPr>
            <w:tcW w:type="dxa" w:w="2448"/>
            <w:tcMar>
              <w:top w:w="60" w:type="dxa"/>
              <w:start w:w="110" w:type="dxa"/>
              <w:bottom w:w="60" w:type="dxa"/>
              <w:end w:w="110" w:type="dxa"/>
            </w:tcMar>
            <w:shd w:val="clear" w:color="auto" w:fill="F4F7FB"/>
          </w:tcPr>
          <w:p>
            <w:pPr>
              <w:spacing w:after="0"/>
            </w:pPr>
            <w:r/>
            <w:r>
              <w:rPr>
                <w:rFonts w:ascii="Consolas" w:hAnsi="Consolas"/>
                <w:color w:val="146EF5"/>
                <w:sz w:val="17"/>
              </w:rPr>
              <w:t>payments</w:t>
            </w:r>
            <w:r>
              <w:rPr>
                <w:rFonts w:ascii="Calibri" w:hAnsi="Calibri"/>
                <w:b w:val="0"/>
                <w:i w:val="0"/>
                <w:color w:val="101828"/>
                <w:sz w:val="17"/>
              </w:rPr>
              <w:t xml:space="preserve">, </w:t>
            </w:r>
            <w:r>
              <w:rPr>
                <w:rFonts w:ascii="Consolas" w:hAnsi="Consolas"/>
                <w:color w:val="146EF5"/>
                <w:sz w:val="17"/>
              </w:rPr>
              <w:t>fees</w:t>
            </w:r>
            <w:r>
              <w:rPr>
                <w:rFonts w:ascii="Calibri" w:hAnsi="Calibri"/>
                <w:b w:val="0"/>
                <w:i w:val="0"/>
                <w:color w:val="101828"/>
                <w:sz w:val="17"/>
              </w:rPr>
              <w:t xml:space="preserve">, </w:t>
            </w:r>
            <w:r>
              <w:rPr>
                <w:rFonts w:ascii="Consolas" w:hAnsi="Consolas"/>
                <w:color w:val="146EF5"/>
                <w:sz w:val="17"/>
              </w:rPr>
              <w:t>payouts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7"/>
              </w:rPr>
              <w:t>Provider statements are the fallback, at provider reconciliation granularity rather than transaction granularity.</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7"/>
              </w:rPr>
              <w:t>Provider statement plus the reconciliation run that compared them.</w:t>
            </w:r>
          </w:p>
        </w:tc>
      </w:tr>
      <w:tr>
        <w:trPr>
          <w:cantSplit/>
        </w:trPr>
        <w:tc>
          <w:tcPr>
            <w:tcW w:type="dxa" w:w="2448"/>
            <w:tcMar>
              <w:top w:w="60" w:type="dxa"/>
              <w:start w:w="110" w:type="dxa"/>
              <w:bottom w:w="60" w:type="dxa"/>
              <w:end w:w="110" w:type="dxa"/>
            </w:tcMar>
          </w:tcPr>
          <w:p>
            <w:pPr>
              <w:spacing w:after="0"/>
            </w:pPr>
            <w:r/>
            <w:r>
              <w:rPr>
                <w:rFonts w:ascii="Consolas" w:hAnsi="Consolas"/>
                <w:color w:val="146EF5"/>
                <w:sz w:val="17"/>
              </w:rPr>
              <w:t>contributions</w:t>
            </w:r>
            <w:r>
              <w:rPr>
                <w:rFonts w:ascii="Calibri" w:hAnsi="Calibri"/>
                <w:b w:val="0"/>
                <w:i w:val="0"/>
                <w:color w:val="101828"/>
                <w:sz w:val="17"/>
              </w:rPr>
              <w:t xml:space="preserve">, </w:t>
            </w:r>
            <w:r>
              <w:rPr>
                <w:rFonts w:ascii="Consolas" w:hAnsi="Consolas"/>
                <w:color w:val="146EF5"/>
                <w:sz w:val="17"/>
              </w:rPr>
              <w:t>rounds</w:t>
            </w:r>
            <w:r>
              <w:rPr>
                <w:rFonts w:ascii="Calibri" w:hAnsi="Calibri"/>
                <w:b w:val="0"/>
                <w:i w:val="0"/>
                <w:color w:val="101828"/>
                <w:sz w:val="17"/>
              </w:rPr>
              <w:t xml:space="preserve">, </w:t>
            </w:r>
            <w:r>
              <w:rPr>
                <w:rFonts w:ascii="Consolas" w:hAnsi="Consolas"/>
                <w:color w:val="146EF5"/>
                <w:sz w:val="17"/>
              </w:rPr>
              <w:t>ajo_members</w:t>
            </w:r>
          </w:p>
        </w:tc>
        <w:tc>
          <w:tcPr>
            <w:tcW w:type="dxa" w:w="3456"/>
            <w:tcMar>
              <w:top w:w="60" w:type="dxa"/>
              <w:start w:w="110" w:type="dxa"/>
              <w:bottom w:w="60" w:type="dxa"/>
              <w:end w:w="110" w:type="dxa"/>
            </w:tcMar>
          </w:tcPr>
          <w:p>
            <w:pPr>
              <w:spacing w:after="0"/>
            </w:pPr>
            <w:r/>
            <w:r>
              <w:rPr>
                <w:rFonts w:ascii="Calibri" w:hAnsi="Calibri"/>
                <w:b w:val="0"/>
                <w:i w:val="0"/>
                <w:color w:val="101828"/>
                <w:sz w:val="17"/>
              </w:rPr>
              <w:t>Every obligation and its state is lost, including who defaulted and when.</w:t>
            </w:r>
          </w:p>
        </w:tc>
        <w:tc>
          <w:tcPr>
            <w:tcW w:type="dxa" w:w="3456"/>
            <w:tcMar>
              <w:top w:w="60" w:type="dxa"/>
              <w:start w:w="110" w:type="dxa"/>
              <w:bottom w:w="60" w:type="dxa"/>
              <w:end w:w="110" w:type="dxa"/>
            </w:tcMar>
          </w:tcPr>
          <w:p>
            <w:pPr>
              <w:spacing w:after="0"/>
            </w:pPr>
            <w:r/>
            <w:r>
              <w:rPr>
                <w:rFonts w:ascii="Calibri" w:hAnsi="Calibri"/>
                <w:b w:val="0"/>
                <w:i w:val="0"/>
                <w:color w:val="101828"/>
                <w:sz w:val="17"/>
              </w:rPr>
              <w:t>PITR.</w:t>
            </w:r>
          </w:p>
        </w:tc>
      </w:tr>
      <w:tr>
        <w:trPr>
          <w:cantSplit/>
        </w:trPr>
        <w:tc>
          <w:tcPr>
            <w:tcW w:type="dxa" w:w="2448"/>
            <w:tcMar>
              <w:top w:w="60" w:type="dxa"/>
              <w:start w:w="110" w:type="dxa"/>
              <w:bottom w:w="60" w:type="dxa"/>
              <w:end w:w="110" w:type="dxa"/>
            </w:tcMar>
            <w:shd w:val="clear" w:color="auto" w:fill="F4F7FB"/>
          </w:tcPr>
          <w:p>
            <w:pPr>
              <w:spacing w:after="0"/>
            </w:pPr>
            <w:r/>
            <w:r>
              <w:rPr>
                <w:rFonts w:ascii="Consolas" w:hAnsi="Consolas"/>
                <w:color w:val="146EF5"/>
                <w:sz w:val="17"/>
              </w:rPr>
              <w:t>notifications</w:t>
            </w:r>
            <w:r>
              <w:rPr>
                <w:rFonts w:ascii="Calibri" w:hAnsi="Calibri"/>
                <w:b w:val="0"/>
                <w:i w:val="0"/>
                <w:color w:val="101828"/>
                <w:sz w:val="17"/>
              </w:rPr>
              <w:t xml:space="preserve">, </w:t>
            </w:r>
            <w:r>
              <w:rPr>
                <w:rFonts w:ascii="Consolas" w:hAnsi="Consolas"/>
                <w:color w:val="146EF5"/>
                <w:sz w:val="17"/>
              </w:rPr>
              <w:t>device_tokens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7"/>
              </w:rPr>
              <w:t>Members are not told. Money is unaffected.</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7"/>
              </w:rPr>
              <w:t>Re-send. Deduplication keys make the re-send safe.</w:t>
            </w:r>
          </w:p>
        </w:tc>
      </w:tr>
      <w:tr>
        <w:trPr>
          <w:cantSplit/>
        </w:trPr>
        <w:tc>
          <w:tcPr>
            <w:tcW w:type="dxa" w:w="2448"/>
            <w:tcMar>
              <w:top w:w="60" w:type="dxa"/>
              <w:start w:w="110" w:type="dxa"/>
              <w:bottom w:w="60" w:type="dxa"/>
              <w:end w:w="110" w:type="dxa"/>
            </w:tcMar>
          </w:tcPr>
          <w:p>
            <w:pPr>
              <w:spacing w:after="0"/>
            </w:pPr>
            <w:r/>
            <w:r>
              <w:rPr>
                <w:rFonts w:ascii="Consolas" w:hAnsi="Consolas"/>
                <w:color w:val="146EF5"/>
                <w:sz w:val="17"/>
              </w:rPr>
              <w:t>audit_logs</w:t>
            </w:r>
          </w:p>
        </w:tc>
        <w:tc>
          <w:tcPr>
            <w:tcW w:type="dxa" w:w="3456"/>
            <w:tcMar>
              <w:top w:w="60" w:type="dxa"/>
              <w:start w:w="110" w:type="dxa"/>
              <w:bottom w:w="60" w:type="dxa"/>
              <w:end w:w="110" w:type="dxa"/>
            </w:tcMar>
          </w:tcPr>
          <w:p>
            <w:pPr>
              <w:spacing w:after="0"/>
            </w:pPr>
            <w:r/>
            <w:r>
              <w:rPr>
                <w:rFonts w:ascii="Calibri" w:hAnsi="Calibri"/>
                <w:b w:val="0"/>
                <w:i w:val="0"/>
                <w:color w:val="101828"/>
                <w:sz w:val="17"/>
              </w:rPr>
              <w:t>The ability to answer "who changed this" is gone, which is a different kind of loss from data.</w:t>
            </w:r>
          </w:p>
        </w:tc>
        <w:tc>
          <w:tcPr>
            <w:tcW w:type="dxa" w:w="3456"/>
            <w:tcMar>
              <w:top w:w="60" w:type="dxa"/>
              <w:start w:w="110" w:type="dxa"/>
              <w:bottom w:w="60" w:type="dxa"/>
              <w:end w:w="110" w:type="dxa"/>
            </w:tcMar>
          </w:tcPr>
          <w:p>
            <w:pPr>
              <w:spacing w:after="0"/>
            </w:pPr>
            <w:r/>
            <w:r>
              <w:rPr>
                <w:rFonts w:ascii="Calibri" w:hAnsi="Calibri"/>
                <w:b w:val="0"/>
                <w:i w:val="0"/>
                <w:color w:val="101828"/>
                <w:sz w:val="17"/>
              </w:rPr>
              <w:t>PITR, and archive to cold storage before the table is pruned.</w:t>
            </w:r>
          </w:p>
        </w:tc>
      </w:tr>
      <w:tr>
        <w:trPr>
          <w:cantSplit/>
        </w:trPr>
        <w:tc>
          <w:tcPr>
            <w:tcW w:type="dxa" w:w="2448"/>
            <w:tcMar>
              <w:top w:w="60" w:type="dxa"/>
              <w:start w:w="110" w:type="dxa"/>
              <w:bottom w:w="60" w:type="dxa"/>
              <w:end w:w="110" w:type="dxa"/>
            </w:tcMar>
            <w:shd w:val="clear" w:color="auto" w:fill="F4F7FB"/>
          </w:tcPr>
          <w:p>
            <w:pPr>
              <w:spacing w:after="0"/>
            </w:pPr>
            <w:r/>
            <w:r>
              <w:rPr>
                <w:rFonts w:ascii="Consolas" w:hAnsi="Consolas"/>
                <w:color w:val="146EF5"/>
                <w:sz w:val="17"/>
              </w:rPr>
              <w:t>idempotency_keys</w:t>
            </w:r>
            <w:r>
              <w:rPr>
                <w:rFonts w:ascii="Calibri" w:hAnsi="Calibri"/>
                <w:b w:val="0"/>
                <w:i w:val="0"/>
                <w:color w:val="101828"/>
                <w:sz w:val="17"/>
              </w:rPr>
              <w:t xml:space="preserve">, </w:t>
            </w:r>
            <w:r>
              <w:rPr>
                <w:rFonts w:ascii="Consolas" w:hAnsi="Consolas"/>
                <w:color w:val="146EF5"/>
                <w:sz w:val="17"/>
              </w:rPr>
              <w:t>webhook_events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7"/>
              </w:rPr>
              <w:t>In-flight retries become ambiguous and a client may be charged twice.</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7"/>
              </w:rPr>
              <w:t>PITR, and never prune a key younger than the longest client retry window.</w:t>
            </w:r>
          </w:p>
        </w:tc>
      </w:tr>
    </w:tbl>
    <w:p>
      <w:pPr>
        <w:spacing w:after="80"/>
      </w:pPr>
    </w:p>
    <w:p>
      <w:r>
        <w:rPr>
          <w:rFonts w:ascii="Calibri" w:hAnsi="Calibri"/>
          <w:b w:val="0"/>
          <w:i w:val="0"/>
          <w:color w:val="101828"/>
          <w:sz w:val="21"/>
        </w:rPr>
        <w:t xml:space="preserve">Retention periods are a legal question and this section does not invent them. What it fixes is the mechanism: pruning is a batched </w:t>
      </w:r>
      <w:r>
        <w:rPr>
          <w:rFonts w:ascii="Consolas" w:hAnsi="Consolas"/>
          <w:color w:val="146EF5"/>
          <w:sz w:val="21"/>
        </w:rPr>
        <w:t>DELETE</w:t>
      </w:r>
      <w:r>
        <w:rPr>
          <w:rFonts w:ascii="Calibri" w:hAnsi="Calibri"/>
          <w:b w:val="0"/>
          <w:i w:val="0"/>
          <w:color w:val="101828"/>
          <w:sz w:val="21"/>
        </w:rPr>
        <w:t xml:space="preserve"> with a </w:t>
      </w:r>
      <w:r>
        <w:rPr>
          <w:rFonts w:ascii="Consolas" w:hAnsi="Consolas"/>
          <w:color w:val="146EF5"/>
          <w:sz w:val="21"/>
        </w:rPr>
        <w:t>LIMIT</w:t>
      </w:r>
      <w:r>
        <w:rPr>
          <w:rFonts w:ascii="Calibri" w:hAnsi="Calibri"/>
          <w:b w:val="0"/>
          <w:i w:val="0"/>
          <w:color w:val="101828"/>
          <w:sz w:val="21"/>
        </w:rPr>
        <w:t xml:space="preserve"> and an index on the timestamp being pruned, run in a loop that commits between batches, so a retention job cannot hold a lock long enough to matter and can be stopped and resumed at a batch boundary. A single unbounded </w:t>
      </w:r>
      <w:r>
        <w:rPr>
          <w:rFonts w:ascii="Consolas" w:hAnsi="Consolas"/>
          <w:color w:val="146EF5"/>
          <w:sz w:val="21"/>
        </w:rPr>
        <w:t>DELETE</w:t>
      </w:r>
      <w:r>
        <w:rPr>
          <w:rFonts w:ascii="Calibri" w:hAnsi="Calibri"/>
          <w:b w:val="0"/>
          <w:i w:val="0"/>
          <w:color w:val="101828"/>
          <w:sz w:val="21"/>
        </w:rPr>
        <w:t xml:space="preserve"> over </w:t>
      </w:r>
      <w:r>
        <w:rPr>
          <w:rFonts w:ascii="Consolas" w:hAnsi="Consolas"/>
          <w:color w:val="146EF5"/>
          <w:sz w:val="21"/>
        </w:rPr>
        <w:t>audit_logs</w:t>
      </w:r>
      <w:r>
        <w:rPr>
          <w:rFonts w:ascii="Calibri" w:hAnsi="Calibri"/>
          <w:b w:val="0"/>
          <w:i w:val="0"/>
          <w:color w:val="101828"/>
          <w:sz w:val="21"/>
        </w:rPr>
        <w:t xml:space="preserve"> is how a routine cleanup becomes an outage.</w:t>
      </w:r>
    </w:p>
    <w:p>
      <w:pPr>
        <w:spacing w:before="140" w:after="180"/>
        <w:ind w:left="144"/>
        <w:shd w:val="clear" w:color="auto" w:fill="FEF3C7"/>
        <w:pBdr>
          <w:left w:val="single" w:sz="18" w:space="6" w:color="FBBF24"/>
        </w:pBdr>
      </w:pPr>
      <w:r>
        <w:rPr>
          <w:rFonts w:ascii="Calibri" w:hAnsi="Calibri"/>
          <w:b/>
          <w:color w:val="FBBF24"/>
          <w:sz w:val="19"/>
        </w:rPr>
        <w:t xml:space="preserve">Retention periods and the deletion of member documents need counsel  </w:t>
      </w:r>
      <w:r>
        <w:rPr>
          <w:rFonts w:ascii="Calibri" w:hAnsi="Calibri"/>
          <w:b w:val="0"/>
          <w:i w:val="0"/>
          <w:color w:val="0B1F3A"/>
          <w:sz w:val="19"/>
        </w:rPr>
        <w:t>The pruning mechanism above is settled; the numbers are not. How long payment and identity records must be kept, whether a member's uploaded document is deleted or retained under legal hold when a data-subject request arrives, and what must be disclosed to a member about either, are questions for qualified Nigerian counsel and for our payment provider's agreement terms. Until those are answered, the batch size is configurable and the schedule is unset, which is a deliberate way of not asserting a compliance position in a schema file.</w:t>
      </w:r>
    </w:p>
    <w:p>
      <w:r>
        <w:rPr>
          <w:rFonts w:ascii="Calibri" w:hAnsi="Calibri"/>
          <w:b w:val="0"/>
          <w:i w:val="0"/>
          <w:color w:val="101828"/>
          <w:sz w:val="21"/>
        </w:rPr>
        <w:t>Restore is tested by restoring, not by having a backup. The drill is a PITR restore to a scratch database, followed by the two balance checks in 9.5: every ledger transaction sums to zero, and every round's stored pool equals the sum of its contributions. Those two queries are the acceptance test for a restore, because they are the only invariants that money can violate while remaining readable, and a restored database that fails them is worse than one that is obviously broken because somebody will use it.</w:t>
      </w:r>
    </w:p>
    <w:p>
      <w:pPr>
        <w:pStyle w:val="Heading2"/>
      </w:pPr>
      <w:r>
        <w:rPr>
          <w:rFonts w:ascii="Calibri" w:hAnsi="Calibri"/>
          <w:b/>
          <w:i w:val="0"/>
          <w:color w:val="146EF5"/>
          <w:sz w:val="29"/>
        </w:rPr>
        <w:t>9.11 Observability, the audit log, and the outbox</w:t>
      </w:r>
    </w:p>
    <w:p>
      <w:r>
        <w:rPr>
          <w:rFonts w:ascii="Calibri" w:hAnsi="Calibri"/>
          <w:b w:val="0"/>
          <w:i w:val="0"/>
          <w:color w:val="101828"/>
          <w:sz w:val="21"/>
        </w:rPr>
        <w:t>Three mechanisms answer three different questions. A metric answers "is this normal right now". An audit row answers "who did this, to which record, and what did it look like before". An outbox row answers "what work is owed". They are not substitutes, and in particular an audit row is not an observability signal: the table is written on every insert, which is the opposite of the sampling a metric needs.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7"/>
              </w:rPr>
              <w:t>Question</w:t>
            </w:r>
          </w:p>
        </w:tc>
        <w:tc>
          <w:tcPr>
            <w:tcW w:type="dxa" w:w="3888"/>
            <w:shd w:val="clear" w:color="auto" w:fill="0B1F3A"/>
            <w:tcMar>
              <w:top w:w="60" w:type="dxa"/>
              <w:start w:w="110" w:type="dxa"/>
              <w:bottom w:w="60" w:type="dxa"/>
              <w:end w:w="110" w:type="dxa"/>
            </w:tcMar>
          </w:tcPr>
          <w:p>
            <w:pPr>
              <w:spacing w:after="0"/>
            </w:pPr>
            <w:r/>
            <w:r>
              <w:rPr>
                <w:rFonts w:ascii="Calibri" w:hAnsi="Calibri"/>
                <w:b/>
                <w:i w:val="0"/>
                <w:color w:val="FFFFFF"/>
                <w:sz w:val="17"/>
              </w:rPr>
              <w:t>Instrument</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7"/>
              </w:rPr>
              <w:t>Retention</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7"/>
              </w:rPr>
              <w:t>Is the webhook receiver keeping up?</w:t>
            </w:r>
          </w:p>
        </w:tc>
        <w:tc>
          <w:tcPr>
            <w:tcW w:type="dxa" w:w="3888"/>
            <w:tcMar>
              <w:top w:w="60" w:type="dxa"/>
              <w:start w:w="110" w:type="dxa"/>
              <w:bottom w:w="60" w:type="dxa"/>
              <w:end w:w="110" w:type="dxa"/>
            </w:tcMar>
          </w:tcPr>
          <w:p>
            <w:pPr>
              <w:spacing w:after="0"/>
            </w:pPr>
            <w:r/>
            <w:r>
              <w:rPr>
                <w:rFonts w:ascii="Consolas" w:hAnsi="Consolas"/>
                <w:color w:val="146EF5"/>
                <w:sz w:val="17"/>
              </w:rPr>
              <w:t>outbox_events</w:t>
            </w:r>
            <w:r>
              <w:rPr>
                <w:rFonts w:ascii="Calibri" w:hAnsi="Calibri"/>
                <w:b w:val="0"/>
                <w:i w:val="0"/>
                <w:color w:val="101828"/>
                <w:sz w:val="17"/>
              </w:rPr>
              <w:t xml:space="preserve"> where </w:t>
            </w:r>
            <w:r>
              <w:rPr>
                <w:rFonts w:ascii="Consolas" w:hAnsi="Consolas"/>
                <w:color w:val="146EF5"/>
                <w:sz w:val="17"/>
              </w:rPr>
              <w:t>processed_at IS NULL</w:t>
            </w:r>
            <w:r>
              <w:rPr>
                <w:rFonts w:ascii="Calibri" w:hAnsi="Calibri"/>
                <w:b w:val="0"/>
                <w:i w:val="0"/>
                <w:color w:val="101828"/>
                <w:sz w:val="17"/>
              </w:rPr>
              <w:t>, by age</w:t>
            </w:r>
          </w:p>
        </w:tc>
        <w:tc>
          <w:tcPr>
            <w:tcW w:type="dxa" w:w="2736"/>
            <w:tcMar>
              <w:top w:w="60" w:type="dxa"/>
              <w:start w:w="110" w:type="dxa"/>
              <w:bottom w:w="60" w:type="dxa"/>
              <w:end w:w="110" w:type="dxa"/>
            </w:tcMar>
          </w:tcPr>
          <w:p>
            <w:pPr>
              <w:spacing w:after="0"/>
            </w:pPr>
            <w:r/>
            <w:r>
              <w:rPr>
                <w:rFonts w:ascii="Calibri" w:hAnsi="Calibri"/>
                <w:b w:val="0"/>
                <w:i w:val="0"/>
                <w:color w:val="101828"/>
                <w:sz w:val="17"/>
              </w:rPr>
              <w:t>Live; pruned after a week.</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7"/>
              </w:rPr>
              <w:t>How many attempts failed this week?</w:t>
            </w:r>
          </w:p>
        </w:tc>
        <w:tc>
          <w:tcPr>
            <w:tcW w:type="dxa" w:w="3888"/>
            <w:tcMar>
              <w:top w:w="60" w:type="dxa"/>
              <w:start w:w="110" w:type="dxa"/>
              <w:bottom w:w="60" w:type="dxa"/>
              <w:end w:w="110" w:type="dxa"/>
            </w:tcMar>
            <w:shd w:val="clear" w:color="auto" w:fill="F4F7FB"/>
          </w:tcPr>
          <w:p>
            <w:pPr>
              <w:spacing w:after="0"/>
            </w:pPr>
            <w:r/>
            <w:r>
              <w:rPr>
                <w:rFonts w:ascii="Consolas" w:hAnsi="Consolas"/>
                <w:color w:val="146EF5"/>
                <w:sz w:val="17"/>
              </w:rPr>
              <w:t>payments</w:t>
            </w:r>
            <w:r>
              <w:rPr>
                <w:rFonts w:ascii="Calibri" w:hAnsi="Calibri"/>
                <w:b w:val="0"/>
                <w:i w:val="0"/>
                <w:color w:val="101828"/>
                <w:sz w:val="17"/>
              </w:rPr>
              <w:t xml:space="preserve"> by status, and the provider's own dashboard</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7"/>
              </w:rPr>
              <w:t>Metrics, not rows.</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7"/>
              </w:rPr>
              <w:t>Who changed this Ajo's status?</w:t>
            </w:r>
          </w:p>
        </w:tc>
        <w:tc>
          <w:tcPr>
            <w:tcW w:type="dxa" w:w="3888"/>
            <w:tcMar>
              <w:top w:w="60" w:type="dxa"/>
              <w:start w:w="110" w:type="dxa"/>
              <w:bottom w:w="60" w:type="dxa"/>
              <w:end w:w="110" w:type="dxa"/>
            </w:tcMar>
          </w:tcPr>
          <w:p>
            <w:pPr>
              <w:spacing w:after="0"/>
            </w:pPr>
            <w:r/>
            <w:r>
              <w:rPr>
                <w:rFonts w:ascii="Consolas" w:hAnsi="Consolas"/>
                <w:color w:val="146EF5"/>
                <w:sz w:val="17"/>
              </w:rPr>
              <w:t>audit_logs</w:t>
            </w:r>
            <w:r>
              <w:rPr>
                <w:rFonts w:ascii="Calibri" w:hAnsi="Calibri"/>
                <w:b w:val="0"/>
                <w:i w:val="0"/>
                <w:color w:val="101828"/>
                <w:sz w:val="17"/>
              </w:rPr>
              <w:t>, one row per change, with both states</w:t>
            </w:r>
          </w:p>
        </w:tc>
        <w:tc>
          <w:tcPr>
            <w:tcW w:type="dxa" w:w="2736"/>
            <w:tcMar>
              <w:top w:w="60" w:type="dxa"/>
              <w:start w:w="110" w:type="dxa"/>
              <w:bottom w:w="60" w:type="dxa"/>
              <w:end w:w="110" w:type="dxa"/>
            </w:tcMar>
          </w:tcPr>
          <w:p>
            <w:pPr>
              <w:spacing w:after="0"/>
            </w:pPr>
            <w:r/>
            <w:r>
              <w:rPr>
                <w:rFonts w:ascii="Calibri" w:hAnsi="Calibri"/>
                <w:b w:val="0"/>
                <w:i w:val="0"/>
                <w:color w:val="101828"/>
                <w:sz w:val="17"/>
              </w:rPr>
              <w:t>As long as the answer is worth having; see 9.10.</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7"/>
              </w:rPr>
              <w:t>Which members defaulted this month?</w:t>
            </w:r>
          </w:p>
        </w:tc>
        <w:tc>
          <w:tcPr>
            <w:tcW w:type="dxa" w:w="3888"/>
            <w:tcMar>
              <w:top w:w="60" w:type="dxa"/>
              <w:start w:w="110" w:type="dxa"/>
              <w:bottom w:w="60" w:type="dxa"/>
              <w:end w:w="110" w:type="dxa"/>
            </w:tcMar>
            <w:shd w:val="clear" w:color="auto" w:fill="F4F7FB"/>
          </w:tcPr>
          <w:p>
            <w:pPr>
              <w:spacing w:after="0"/>
            </w:pPr>
            <w:r/>
            <w:r>
              <w:rPr>
                <w:rFonts w:ascii="Consolas" w:hAnsi="Consolas"/>
                <w:color w:val="146EF5"/>
                <w:sz w:val="17"/>
              </w:rPr>
              <w:t>contributions</w:t>
            </w:r>
            <w:r>
              <w:rPr>
                <w:rFonts w:ascii="Calibri" w:hAnsi="Calibri"/>
                <w:b w:val="0"/>
                <w:i w:val="0"/>
                <w:color w:val="101828"/>
                <w:sz w:val="17"/>
              </w:rPr>
              <w:t xml:space="preserve"> where </w:t>
            </w:r>
            <w:r>
              <w:rPr>
                <w:rFonts w:ascii="Consolas" w:hAnsi="Consolas"/>
                <w:color w:val="146EF5"/>
                <w:sz w:val="17"/>
              </w:rPr>
              <w:t>defaulted_at</w:t>
            </w:r>
            <w:r>
              <w:rPr>
                <w:rFonts w:ascii="Calibri" w:hAnsi="Calibri"/>
                <w:b w:val="0"/>
                <w:i w:val="0"/>
                <w:color w:val="101828"/>
                <w:sz w:val="17"/>
              </w:rPr>
              <w:t xml:space="preserve"> is not null</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7"/>
              </w:rPr>
              <w:t>As long as the contribution record.</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7"/>
              </w:rPr>
              <w:t>Does the ledger still balance?</w:t>
            </w:r>
          </w:p>
        </w:tc>
        <w:tc>
          <w:tcPr>
            <w:tcW w:type="dxa" w:w="3888"/>
            <w:tcMar>
              <w:top w:w="60" w:type="dxa"/>
              <w:start w:w="110" w:type="dxa"/>
              <w:bottom w:w="60" w:type="dxa"/>
              <w:end w:w="110" w:type="dxa"/>
            </w:tcMar>
          </w:tcPr>
          <w:p>
            <w:pPr>
              <w:spacing w:after="0"/>
            </w:pPr>
            <w:r/>
            <w:r>
              <w:rPr>
                <w:rFonts w:ascii="Calibri" w:hAnsi="Calibri"/>
                <w:b w:val="0"/>
                <w:i w:val="0"/>
                <w:color w:val="101828"/>
                <w:sz w:val="17"/>
              </w:rPr>
              <w:t>The aggregate check in 9.5, run on a schedule</w:t>
            </w:r>
          </w:p>
        </w:tc>
        <w:tc>
          <w:tcPr>
            <w:tcW w:type="dxa" w:w="2736"/>
            <w:tcMar>
              <w:top w:w="60" w:type="dxa"/>
              <w:start w:w="110" w:type="dxa"/>
              <w:bottom w:w="60" w:type="dxa"/>
              <w:end w:w="110" w:type="dxa"/>
            </w:tcMar>
          </w:tcPr>
          <w:p>
            <w:pPr>
              <w:spacing w:after="0"/>
            </w:pPr>
            <w:r/>
            <w:r>
              <w:rPr>
                <w:rFonts w:ascii="Calibri" w:hAnsi="Calibri"/>
                <w:b w:val="0"/>
                <w:i w:val="0"/>
                <w:color w:val="101828"/>
                <w:sz w:val="17"/>
              </w:rPr>
              <w:t>Live.</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7"/>
              </w:rPr>
              <w:t>What is the float?</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7"/>
              </w:rPr>
              <w:t xml:space="preserve">The sum of postings per </w:t>
            </w:r>
            <w:r>
              <w:rPr>
                <w:rFonts w:ascii="Consolas" w:hAnsi="Consolas"/>
                <w:color w:val="146EF5"/>
                <w:sz w:val="17"/>
              </w:rPr>
              <w:t>account_kind</w:t>
            </w:r>
            <w:r>
              <w:rPr>
                <w:rFonts w:ascii="Calibri" w:hAnsi="Calibri"/>
                <w:b w:val="0"/>
                <w:i w:val="0"/>
                <w:color w:val="101828"/>
                <w:sz w:val="17"/>
              </w:rPr>
              <w:t>, staff-only</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7"/>
              </w:rPr>
              <w:t>Live.</w:t>
            </w:r>
          </w:p>
        </w:tc>
      </w:tr>
    </w:tbl>
    <w:p>
      <w:pPr>
        <w:spacing w:after="80"/>
      </w:pPr>
    </w:p>
    <w:p>
      <w:r>
        <w:rPr>
          <w:rFonts w:ascii="Calibri" w:hAnsi="Calibri"/>
          <w:b w:val="0"/>
          <w:i w:val="0"/>
          <w:color w:val="101828"/>
          <w:sz w:val="21"/>
        </w:rPr>
        <w:t>The outbox depth and the ledger balance check are the two alerts on this schema that page somebody. Everything else is a dashboard. A rising count of unprocessed outbox rows means notifications are not going out, which compounds silently: nothing fails, members simply stop being told. A ledger that does not balance cannot happen through the API, so a failure there means either a migration bypassed a trigger or somebody is writing with the owner role, and both are worth waking somebody for.</w:t>
      </w:r>
    </w:p>
    <w:p>
      <w:r>
        <w:rPr>
          <w:rFonts w:ascii="Calibri" w:hAnsi="Calibri"/>
          <w:b w:val="0"/>
          <w:i w:val="0"/>
          <w:color w:val="101828"/>
          <w:sz w:val="21"/>
        </w:rPr>
        <w:t>One thing deliberately not instrumented here is the count of defaulted members as a business metric. It is computable, and it is a good measure of the product, and it is also the number most likely to end up in a slide without the accompanying obligation, which is a different number with a different meaning. CANONICAL.md requires that a defaulted contribution be understood as a debt to the Ajo, and an unqualified count is how that gets lost.</w:t>
      </w:r>
    </w:p>
    <w:p>
      <w:pPr>
        <w:pStyle w:val="Heading2"/>
      </w:pPr>
      <w:r>
        <w:rPr>
          <w:rFonts w:ascii="Calibri" w:hAnsi="Calibri"/>
          <w:b/>
          <w:i w:val="0"/>
          <w:color w:val="146EF5"/>
          <w:sz w:val="29"/>
        </w:rPr>
        <w:t>9.12 Capacity and performance</w:t>
      </w:r>
    </w:p>
    <w:p>
      <w:r>
        <w:rPr>
          <w:rFonts w:ascii="Calibri" w:hAnsi="Calibri"/>
          <w:b w:val="0"/>
          <w:i w:val="0"/>
          <w:color w:val="101828"/>
          <w:sz w:val="21"/>
        </w:rPr>
        <w:t xml:space="preserve">The member-facing read path is six queries: my profile, my Ajos, the Ajo's members, the current round, my contribution in it, and my notifications. All six are indexed and all six are single-digit row counts for any Ajo this product is likely to hold. The scale problem is not any one Ajo; it is the number of Ajos, and that lands on the tables with a </w:t>
      </w:r>
      <w:r>
        <w:rPr>
          <w:rFonts w:ascii="Consolas" w:hAnsi="Consolas"/>
          <w:color w:val="146EF5"/>
          <w:sz w:val="21"/>
        </w:rPr>
        <w:t>user_id</w:t>
      </w:r>
      <w:r>
        <w:rPr>
          <w:rFonts w:ascii="Calibri" w:hAnsi="Calibri"/>
          <w:b w:val="0"/>
          <w:i w:val="0"/>
          <w:color w:val="101828"/>
          <w:sz w:val="21"/>
        </w:rPr>
        <w:t xml:space="preserve"> or </w:t>
      </w:r>
      <w:r>
        <w:rPr>
          <w:rFonts w:ascii="Consolas" w:hAnsi="Consolas"/>
          <w:color w:val="146EF5"/>
          <w:sz w:val="21"/>
        </w:rPr>
        <w:t>ajo_id</w:t>
      </w:r>
      <w:r>
        <w:rPr>
          <w:rFonts w:ascii="Calibri" w:hAnsi="Calibri"/>
          <w:b w:val="0"/>
          <w:i w:val="0"/>
          <w:color w:val="101828"/>
          <w:sz w:val="21"/>
        </w:rPr>
        <w:t xml:space="preserve"> leading a composite index.</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7"/>
              </w:rPr>
              <w:t>Growth</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7"/>
              </w:rPr>
              <w:t>First thing to break</w:t>
            </w:r>
          </w:p>
        </w:tc>
        <w:tc>
          <w:tcPr>
            <w:tcW w:type="dxa" w:w="4320"/>
            <w:shd w:val="clear" w:color="auto" w:fill="0B1F3A"/>
            <w:tcMar>
              <w:top w:w="60" w:type="dxa"/>
              <w:start w:w="110" w:type="dxa"/>
              <w:bottom w:w="60" w:type="dxa"/>
              <w:end w:w="110" w:type="dxa"/>
            </w:tcMar>
          </w:tcPr>
          <w:p>
            <w:pPr>
              <w:spacing w:after="0"/>
            </w:pPr>
            <w:r/>
            <w:r>
              <w:rPr>
                <w:rFonts w:ascii="Calibri" w:hAnsi="Calibri"/>
                <w:b/>
                <w:i w:val="0"/>
                <w:color w:val="FFFFFF"/>
                <w:sz w:val="17"/>
              </w:rPr>
              <w:t>Why</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7"/>
              </w:rPr>
              <w:t>Members per Ajo</w:t>
            </w:r>
          </w:p>
        </w:tc>
        <w:tc>
          <w:tcPr>
            <w:tcW w:type="dxa" w:w="2736"/>
            <w:tcMar>
              <w:top w:w="60" w:type="dxa"/>
              <w:start w:w="110" w:type="dxa"/>
              <w:bottom w:w="60" w:type="dxa"/>
              <w:end w:w="110" w:type="dxa"/>
            </w:tcMar>
          </w:tcPr>
          <w:p>
            <w:pPr>
              <w:spacing w:after="0"/>
            </w:pPr>
            <w:r/>
            <w:r>
              <w:rPr>
                <w:rFonts w:ascii="Calibri" w:hAnsi="Calibri"/>
                <w:b w:val="0"/>
                <w:i w:val="0"/>
                <w:color w:val="101828"/>
                <w:sz w:val="17"/>
              </w:rPr>
              <w:t>Nothing</w:t>
            </w:r>
          </w:p>
        </w:tc>
        <w:tc>
          <w:tcPr>
            <w:tcW w:type="dxa" w:w="4320"/>
            <w:tcMar>
              <w:top w:w="60" w:type="dxa"/>
              <w:start w:w="110" w:type="dxa"/>
              <w:bottom w:w="60" w:type="dxa"/>
              <w:end w:w="110" w:type="dxa"/>
            </w:tcMar>
          </w:tcPr>
          <w:p>
            <w:pPr>
              <w:spacing w:after="0"/>
            </w:pPr>
            <w:r/>
            <w:r>
              <w:rPr>
                <w:rFonts w:ascii="Calibri" w:hAnsi="Calibri"/>
                <w:b w:val="0"/>
                <w:i w:val="0"/>
                <w:color w:val="101828"/>
                <w:sz w:val="17"/>
              </w:rPr>
              <w:t xml:space="preserve">Bounded by </w:t>
            </w:r>
            <w:r>
              <w:rPr>
                <w:rFonts w:ascii="Consolas" w:hAnsi="Consolas"/>
                <w:color w:val="146EF5"/>
                <w:sz w:val="17"/>
              </w:rPr>
              <w:t>CHECK (position_count BETWEEN 5 AND 20)</w:t>
            </w:r>
            <w:r>
              <w:rPr>
                <w:rFonts w:ascii="Calibri" w:hAnsi="Calibri"/>
                <w:b w:val="0"/>
                <w:i w:val="0"/>
                <w:color w:val="101828"/>
                <w:sz w:val="17"/>
              </w:rPr>
              <w:t>, default 10. Small by construction: at most twenty positions to invite, monitor and default-handle in one Ajo. An Ajo of 200 is not a product this schema has to survive.</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7"/>
              </w:rPr>
              <w:t>Ajos per member</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7"/>
              </w:rPr>
              <w:t>Nothing until the hundreds</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7"/>
              </w:rPr>
              <w:t xml:space="preserve">One index range scan on </w:t>
            </w:r>
            <w:r>
              <w:rPr>
                <w:rFonts w:ascii="Consolas" w:hAnsi="Consolas"/>
                <w:color w:val="146EF5"/>
                <w:sz w:val="17"/>
              </w:rPr>
              <w:t>ajo_members (user_id)</w:t>
            </w:r>
            <w:r>
              <w:rPr>
                <w:rFonts w:ascii="Calibri" w:hAnsi="Calibri"/>
                <w:b w:val="0"/>
                <w:i w:val="0"/>
                <w:color w:val="101828"/>
                <w:sz w:val="17"/>
              </w:rPr>
              <w:t>.</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7"/>
              </w:rPr>
              <w:t>Total contributions</w:t>
            </w:r>
          </w:p>
        </w:tc>
        <w:tc>
          <w:tcPr>
            <w:tcW w:type="dxa" w:w="2736"/>
            <w:tcMar>
              <w:top w:w="60" w:type="dxa"/>
              <w:start w:w="110" w:type="dxa"/>
              <w:bottom w:w="60" w:type="dxa"/>
              <w:end w:w="110" w:type="dxa"/>
            </w:tcMar>
          </w:tcPr>
          <w:p>
            <w:pPr>
              <w:spacing w:after="0"/>
            </w:pPr>
            <w:r/>
            <w:r>
              <w:rPr>
                <w:rFonts w:ascii="Consolas" w:hAnsi="Consolas"/>
                <w:color w:val="146EF5"/>
                <w:sz w:val="17"/>
              </w:rPr>
              <w:t>notifications</w:t>
            </w:r>
            <w:r>
              <w:rPr>
                <w:rFonts w:ascii="Calibri" w:hAnsi="Calibri"/>
                <w:b w:val="0"/>
                <w:i w:val="0"/>
                <w:color w:val="101828"/>
                <w:sz w:val="17"/>
              </w:rPr>
              <w:t xml:space="preserve"> and </w:t>
            </w:r>
            <w:r>
              <w:rPr>
                <w:rFonts w:ascii="Consolas" w:hAnsi="Consolas"/>
                <w:color w:val="146EF5"/>
                <w:sz w:val="17"/>
              </w:rPr>
              <w:t>audit_logs</w:t>
            </w:r>
          </w:p>
        </w:tc>
        <w:tc>
          <w:tcPr>
            <w:tcW w:type="dxa" w:w="4320"/>
            <w:tcMar>
              <w:top w:w="60" w:type="dxa"/>
              <w:start w:w="110" w:type="dxa"/>
              <w:bottom w:w="60" w:type="dxa"/>
              <w:end w:w="110" w:type="dxa"/>
            </w:tcMar>
          </w:tcPr>
          <w:p>
            <w:pPr>
              <w:spacing w:after="0"/>
            </w:pPr>
            <w:r/>
            <w:r>
              <w:rPr>
                <w:rFonts w:ascii="Calibri" w:hAnsi="Calibri"/>
                <w:b w:val="0"/>
                <w:i w:val="0"/>
                <w:color w:val="101828"/>
                <w:sz w:val="17"/>
              </w:rPr>
              <w:t>Both grow with total activity rather than with active members, and both are append-heavy. This is the first table that needs partitioning.</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7"/>
              </w:rPr>
              <w:t>Total payments</w:t>
            </w:r>
          </w:p>
        </w:tc>
        <w:tc>
          <w:tcPr>
            <w:tcW w:type="dxa" w:w="2736"/>
            <w:tcMar>
              <w:top w:w="60" w:type="dxa"/>
              <w:start w:w="110" w:type="dxa"/>
              <w:bottom w:w="60" w:type="dxa"/>
              <w:end w:w="110" w:type="dxa"/>
            </w:tcMar>
            <w:shd w:val="clear" w:color="auto" w:fill="F4F7FB"/>
          </w:tcPr>
          <w:p>
            <w:pPr>
              <w:spacing w:after="0"/>
            </w:pPr>
            <w:r/>
            <w:r>
              <w:rPr>
                <w:rFonts w:ascii="Consolas" w:hAnsi="Consolas"/>
                <w:color w:val="146EF5"/>
                <w:sz w:val="17"/>
              </w:rPr>
              <w:t>reconciliation_runs</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7"/>
              </w:rPr>
              <w:t>Each run scans a date range of payments. Past a few million, it wants a materialised view or a summary table.</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7"/>
              </w:rPr>
              <w:t>Ledger postings</w:t>
            </w:r>
          </w:p>
        </w:tc>
        <w:tc>
          <w:tcPr>
            <w:tcW w:type="dxa" w:w="2736"/>
            <w:tcMar>
              <w:top w:w="60" w:type="dxa"/>
              <w:start w:w="110" w:type="dxa"/>
              <w:bottom w:w="60" w:type="dxa"/>
              <w:end w:w="110" w:type="dxa"/>
            </w:tcMar>
          </w:tcPr>
          <w:p>
            <w:pPr>
              <w:spacing w:after="0"/>
            </w:pPr>
            <w:r/>
            <w:r>
              <w:rPr>
                <w:rFonts w:ascii="Calibri" w:hAnsi="Calibri"/>
                <w:b w:val="0"/>
                <w:i w:val="0"/>
                <w:color w:val="101828"/>
                <w:sz w:val="17"/>
              </w:rPr>
              <w:t>Balance queries</w:t>
            </w:r>
          </w:p>
        </w:tc>
        <w:tc>
          <w:tcPr>
            <w:tcW w:type="dxa" w:w="4320"/>
            <w:tcMar>
              <w:top w:w="60" w:type="dxa"/>
              <w:start w:w="110" w:type="dxa"/>
              <w:bottom w:w="60" w:type="dxa"/>
              <w:end w:w="110" w:type="dxa"/>
            </w:tcMar>
          </w:tcPr>
          <w:p>
            <w:pPr>
              <w:spacing w:after="0"/>
            </w:pPr>
            <w:r/>
            <w:r>
              <w:rPr>
                <w:rFonts w:ascii="Calibri" w:hAnsi="Calibri"/>
                <w:b w:val="0"/>
                <w:i w:val="0"/>
                <w:color w:val="101828"/>
                <w:sz w:val="17"/>
              </w:rPr>
              <w:t xml:space="preserve">The sum per </w:t>
            </w:r>
            <w:r>
              <w:rPr>
                <w:rFonts w:ascii="Consolas" w:hAnsi="Consolas"/>
                <w:color w:val="146EF5"/>
                <w:sz w:val="17"/>
              </w:rPr>
              <w:t>account_kind</w:t>
            </w:r>
            <w:r>
              <w:rPr>
                <w:rFonts w:ascii="Calibri" w:hAnsi="Calibri"/>
                <w:b w:val="0"/>
                <w:i w:val="0"/>
                <w:color w:val="101828"/>
                <w:sz w:val="17"/>
              </w:rPr>
              <w:t xml:space="preserve"> is a full index scan. It wants a periodic rollup, kept correct by the same deferred trigger that guarantees balance.</w:t>
            </w:r>
          </w:p>
        </w:tc>
      </w:tr>
    </w:tbl>
    <w:p>
      <w:pPr>
        <w:spacing w:after="80"/>
      </w:pPr>
    </w:p>
    <w:p>
      <w:r>
        <w:rPr>
          <w:rFonts w:ascii="Calibri" w:hAnsi="Calibri"/>
          <w:b w:val="0"/>
          <w:i w:val="0"/>
          <w:color w:val="101828"/>
          <w:sz w:val="21"/>
        </w:rPr>
        <w:t xml:space="preserve">The partitioning decision is deferred on purpose, and this section names the threshold rather than pretending to know it. </w:t>
      </w:r>
      <w:r>
        <w:rPr>
          <w:rFonts w:ascii="Consolas" w:hAnsi="Consolas"/>
          <w:color w:val="146EF5"/>
          <w:sz w:val="21"/>
        </w:rPr>
        <w:t>notifications</w:t>
      </w:r>
      <w:r>
        <w:rPr>
          <w:rFonts w:ascii="Calibri" w:hAnsi="Calibri"/>
          <w:b w:val="0"/>
          <w:i w:val="0"/>
          <w:color w:val="101828"/>
          <w:sz w:val="21"/>
        </w:rPr>
        <w:t xml:space="preserve"> and </w:t>
      </w:r>
      <w:r>
        <w:rPr>
          <w:rFonts w:ascii="Consolas" w:hAnsi="Consolas"/>
          <w:color w:val="146EF5"/>
          <w:sz w:val="21"/>
        </w:rPr>
        <w:t>audit_logs</w:t>
      </w:r>
      <w:r>
        <w:rPr>
          <w:rFonts w:ascii="Calibri" w:hAnsi="Calibri"/>
          <w:b w:val="0"/>
          <w:i w:val="0"/>
          <w:color w:val="101828"/>
          <w:sz w:val="21"/>
        </w:rPr>
        <w:t xml:space="preserve"> are the two tables that become expensive purely through time, they are both append-only, and both are queried by a recent time window, which is the ideal partitioning shape. When the time comes it is a </w:t>
      </w:r>
      <w:r>
        <w:rPr>
          <w:rFonts w:ascii="Consolas" w:hAnsi="Consolas"/>
          <w:color w:val="146EF5"/>
          <w:sz w:val="21"/>
        </w:rPr>
        <w:t>PARTITION BY RANGE (created_at)</w:t>
      </w:r>
      <w:r>
        <w:rPr>
          <w:rFonts w:ascii="Calibri" w:hAnsi="Calibri"/>
          <w:b w:val="0"/>
          <w:i w:val="0"/>
          <w:color w:val="101828"/>
          <w:sz w:val="21"/>
        </w:rPr>
        <w:t xml:space="preserve"> with a monthly partition per month retained, and the pruning job from 9.10 drops a partition instead of deleting a row range, which is a metadata operation rather than a bulk one. Nothing else in the schema needs this.</w:t>
      </w:r>
    </w:p>
    <w:p>
      <w:r>
        <w:rPr>
          <w:rFonts w:ascii="Calibri" w:hAnsi="Calibri"/>
          <w:b w:val="0"/>
          <w:i w:val="0"/>
          <w:color w:val="101828"/>
          <w:sz w:val="21"/>
        </w:rPr>
        <w:t xml:space="preserve">Two performance claims worth making plainly, because they are the reason for some earlier decisions. UUIDv7 primary keys are insert-friendly where UUIDv4 is not, so the write path does not fragment the primary btree as the table grows. And because a member's balance is a projection of their own payments, fees and payouts rather than a stored running total, there is no counter to lose an update, no </w:t>
      </w:r>
      <w:r>
        <w:rPr>
          <w:rFonts w:ascii="Consolas" w:hAnsi="Consolas"/>
          <w:color w:val="146EF5"/>
          <w:sz w:val="21"/>
        </w:rPr>
        <w:t>SELECT FOR UPDATE</w:t>
      </w:r>
      <w:r>
        <w:rPr>
          <w:rFonts w:ascii="Calibri" w:hAnsi="Calibri"/>
          <w:b w:val="0"/>
          <w:i w:val="0"/>
          <w:color w:val="101828"/>
          <w:sz w:val="21"/>
        </w:rPr>
        <w:t xml:space="preserve"> on a hot row to serialise every payment in the system, and no way for two concurrent payments to produce a wrong total. The balance is correct because it is computed from rows that are already correct.</w:t>
      </w:r>
    </w:p>
    <w:p>
      <w:pPr>
        <w:pStyle w:val="Heading2"/>
      </w:pPr>
      <w:r>
        <w:rPr>
          <w:rFonts w:ascii="Calibri" w:hAnsi="Calibri"/>
          <w:b/>
          <w:i w:val="0"/>
          <w:color w:val="146EF5"/>
          <w:sz w:val="29"/>
        </w:rPr>
        <w:t>9.13 Which tables are audited, and which are not</w:t>
      </w:r>
    </w:p>
    <w:p>
      <w:r>
        <w:rPr>
          <w:rFonts w:ascii="Calibri" w:hAnsi="Calibri"/>
          <w:b w:val="0"/>
          <w:i w:val="0"/>
          <w:color w:val="101828"/>
          <w:sz w:val="21"/>
        </w:rPr>
        <w:t>Eighteen of the forty tables carry the audit trigger. The rule for choosing is whether a row describes something about a person, something about money, or something about who may do what. The rule for excluding is whether a row is reference data that a migration owns and a runtime user never writes. An audit trail is only useful if the interesting events are in it, and the cost of a noisy one is that nobody reads it.</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7"/>
              </w:rPr>
              <w:t>Audited</w:t>
            </w:r>
          </w:p>
        </w:tc>
        <w:tc>
          <w:tcPr>
            <w:tcW w:type="dxa" w:w="6192"/>
            <w:shd w:val="clear" w:color="auto" w:fill="0B1F3A"/>
            <w:tcMar>
              <w:top w:w="60" w:type="dxa"/>
              <w:start w:w="110" w:type="dxa"/>
              <w:bottom w:w="60" w:type="dxa"/>
              <w:end w:w="110" w:type="dxa"/>
            </w:tcMar>
          </w:tcPr>
          <w:p>
            <w:pPr>
              <w:spacing w:after="0"/>
            </w:pPr>
            <w:r/>
            <w:r>
              <w:rPr>
                <w:rFonts w:ascii="Calibri" w:hAnsi="Calibri"/>
                <w:b/>
                <w:i w:val="0"/>
                <w:color w:val="FFFFFF"/>
                <w:sz w:val="17"/>
              </w:rPr>
              <w:t>Why</w:t>
            </w:r>
          </w:p>
        </w:tc>
      </w:tr>
      <w:tr>
        <w:trPr>
          <w:cantSplit/>
        </w:trPr>
        <w:tc>
          <w:tcPr>
            <w:tcW w:type="dxa" w:w="3168"/>
            <w:tcMar>
              <w:top w:w="60" w:type="dxa"/>
              <w:start w:w="110" w:type="dxa"/>
              <w:bottom w:w="60" w:type="dxa"/>
              <w:end w:w="110" w:type="dxa"/>
            </w:tcMar>
          </w:tcPr>
          <w:p>
            <w:pPr>
              <w:spacing w:after="0"/>
            </w:pPr>
            <w:r/>
            <w:r>
              <w:rPr>
                <w:rFonts w:ascii="Consolas" w:hAnsi="Consolas"/>
                <w:color w:val="146EF5"/>
                <w:sz w:val="17"/>
              </w:rPr>
              <w:t>users</w:t>
            </w:r>
            <w:r>
              <w:rPr>
                <w:rFonts w:ascii="Calibri" w:hAnsi="Calibri"/>
                <w:b w:val="0"/>
                <w:i w:val="0"/>
                <w:color w:val="101828"/>
                <w:sz w:val="17"/>
              </w:rPr>
              <w:t xml:space="preserve">, </w:t>
            </w:r>
            <w:r>
              <w:rPr>
                <w:rFonts w:ascii="Consolas" w:hAnsi="Consolas"/>
                <w:color w:val="146EF5"/>
                <w:sz w:val="17"/>
              </w:rPr>
              <w:t>profiles</w:t>
            </w:r>
          </w:p>
        </w:tc>
        <w:tc>
          <w:tcPr>
            <w:tcW w:type="dxa" w:w="6192"/>
            <w:tcMar>
              <w:top w:w="60" w:type="dxa"/>
              <w:start w:w="110" w:type="dxa"/>
              <w:bottom w:w="60" w:type="dxa"/>
              <w:end w:w="110" w:type="dxa"/>
            </w:tcMar>
          </w:tcPr>
          <w:p>
            <w:pPr>
              <w:spacing w:after="0"/>
            </w:pPr>
            <w:r/>
            <w:r>
              <w:rPr>
                <w:rFonts w:ascii="Calibri" w:hAnsi="Calibri"/>
                <w:b w:val="0"/>
                <w:i w:val="0"/>
                <w:color w:val="101828"/>
                <w:sz w:val="17"/>
              </w:rPr>
              <w:t>Identity. A support agent reading a member's record, and changing their phone number, are both events worth having.</w:t>
            </w:r>
          </w:p>
        </w:tc>
      </w:tr>
      <w:tr>
        <w:trPr>
          <w:cantSplit/>
        </w:trPr>
        <w:tc>
          <w:tcPr>
            <w:tcW w:type="dxa" w:w="3168"/>
            <w:tcMar>
              <w:top w:w="60" w:type="dxa"/>
              <w:start w:w="110" w:type="dxa"/>
              <w:bottom w:w="60" w:type="dxa"/>
              <w:end w:w="110" w:type="dxa"/>
            </w:tcMar>
            <w:shd w:val="clear" w:color="auto" w:fill="F4F7FB"/>
          </w:tcPr>
          <w:p>
            <w:pPr>
              <w:spacing w:after="0"/>
            </w:pPr>
            <w:r/>
            <w:r>
              <w:rPr>
                <w:rFonts w:ascii="Consolas" w:hAnsi="Consolas"/>
                <w:color w:val="146EF5"/>
                <w:sz w:val="17"/>
              </w:rPr>
              <w:t>admins</w:t>
            </w:r>
            <w:r>
              <w:rPr>
                <w:rFonts w:ascii="Calibri" w:hAnsi="Calibri"/>
                <w:b w:val="0"/>
                <w:i w:val="0"/>
                <w:color w:val="101828"/>
                <w:sz w:val="17"/>
              </w:rPr>
              <w:t xml:space="preserve">, </w:t>
            </w:r>
            <w:r>
              <w:rPr>
                <w:rFonts w:ascii="Consolas" w:hAnsi="Consolas"/>
                <w:color w:val="146EF5"/>
                <w:sz w:val="17"/>
              </w:rPr>
              <w:t>role_assignments</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7"/>
              </w:rPr>
              <w:t>Who may do what, and who granted it. The most sensitive table in the schema after the ledger.</w:t>
            </w:r>
          </w:p>
        </w:tc>
      </w:tr>
      <w:tr>
        <w:trPr>
          <w:cantSplit/>
        </w:trPr>
        <w:tc>
          <w:tcPr>
            <w:tcW w:type="dxa" w:w="3168"/>
            <w:tcMar>
              <w:top w:w="60" w:type="dxa"/>
              <w:start w:w="110" w:type="dxa"/>
              <w:bottom w:w="60" w:type="dxa"/>
              <w:end w:w="110" w:type="dxa"/>
            </w:tcMar>
          </w:tcPr>
          <w:p>
            <w:pPr>
              <w:spacing w:after="0"/>
            </w:pPr>
            <w:r/>
            <w:r>
              <w:rPr>
                <w:rFonts w:ascii="Consolas" w:hAnsi="Consolas"/>
                <w:color w:val="146EF5"/>
                <w:sz w:val="17"/>
              </w:rPr>
              <w:t>invitations</w:t>
            </w:r>
          </w:p>
        </w:tc>
        <w:tc>
          <w:tcPr>
            <w:tcW w:type="dxa" w:w="6192"/>
            <w:tcMar>
              <w:top w:w="60" w:type="dxa"/>
              <w:start w:w="110" w:type="dxa"/>
              <w:bottom w:w="60" w:type="dxa"/>
              <w:end w:w="110" w:type="dxa"/>
            </w:tcMar>
          </w:tcPr>
          <w:p>
            <w:pPr>
              <w:spacing w:after="0"/>
            </w:pPr>
            <w:r/>
            <w:r>
              <w:rPr>
                <w:rFonts w:ascii="Calibri" w:hAnsi="Calibri"/>
                <w:b w:val="0"/>
                <w:i w:val="0"/>
                <w:color w:val="101828"/>
                <w:sz w:val="17"/>
              </w:rPr>
              <w:t>An invitation is an assertion that a person was admitted to an Ajo. Disputes turn on it.</w:t>
            </w:r>
          </w:p>
        </w:tc>
      </w:tr>
      <w:tr>
        <w:trPr>
          <w:cantSplit/>
        </w:trPr>
        <w:tc>
          <w:tcPr>
            <w:tcW w:type="dxa" w:w="3168"/>
            <w:tcMar>
              <w:top w:w="60" w:type="dxa"/>
              <w:start w:w="110" w:type="dxa"/>
              <w:bottom w:w="60" w:type="dxa"/>
              <w:end w:w="110" w:type="dxa"/>
            </w:tcMar>
            <w:shd w:val="clear" w:color="auto" w:fill="F4F7FB"/>
          </w:tcPr>
          <w:p>
            <w:pPr>
              <w:spacing w:after="0"/>
            </w:pPr>
            <w:r/>
            <w:r>
              <w:rPr>
                <w:rFonts w:ascii="Consolas" w:hAnsi="Consolas"/>
                <w:color w:val="146EF5"/>
                <w:sz w:val="17"/>
              </w:rPr>
              <w:t>verification_checks</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7"/>
              </w:rPr>
              <w:t>KYC outcomes. Never the BVN itself, but the result and its timestamp.</w:t>
            </w:r>
          </w:p>
        </w:tc>
      </w:tr>
      <w:tr>
        <w:trPr>
          <w:cantSplit/>
        </w:trPr>
        <w:tc>
          <w:tcPr>
            <w:tcW w:type="dxa" w:w="3168"/>
            <w:tcMar>
              <w:top w:w="60" w:type="dxa"/>
              <w:start w:w="110" w:type="dxa"/>
              <w:bottom w:w="60" w:type="dxa"/>
              <w:end w:w="110" w:type="dxa"/>
            </w:tcMar>
          </w:tcPr>
          <w:p>
            <w:pPr>
              <w:spacing w:after="0"/>
            </w:pPr>
            <w:r/>
            <w:r>
              <w:rPr>
                <w:rFonts w:ascii="Consolas" w:hAnsi="Consolas"/>
                <w:color w:val="146EF5"/>
                <w:sz w:val="17"/>
              </w:rPr>
              <w:t>documents</w:t>
            </w:r>
          </w:p>
        </w:tc>
        <w:tc>
          <w:tcPr>
            <w:tcW w:type="dxa" w:w="6192"/>
            <w:tcMar>
              <w:top w:w="60" w:type="dxa"/>
              <w:start w:w="110" w:type="dxa"/>
              <w:bottom w:w="60" w:type="dxa"/>
              <w:end w:w="110" w:type="dxa"/>
            </w:tcMar>
          </w:tcPr>
          <w:p>
            <w:pPr>
              <w:spacing w:after="0"/>
            </w:pPr>
            <w:r/>
            <w:r>
              <w:rPr>
                <w:rFonts w:ascii="Calibri" w:hAnsi="Calibri"/>
                <w:b w:val="0"/>
                <w:i w:val="0"/>
                <w:color w:val="101828"/>
                <w:sz w:val="17"/>
              </w:rPr>
              <w:t>Provenance of an uploaded file, including a re-scan verdict.</w:t>
            </w:r>
          </w:p>
        </w:tc>
      </w:tr>
      <w:tr>
        <w:trPr>
          <w:cantSplit/>
        </w:trPr>
        <w:tc>
          <w:tcPr>
            <w:tcW w:type="dxa" w:w="3168"/>
            <w:tcMar>
              <w:top w:w="60" w:type="dxa"/>
              <w:start w:w="110" w:type="dxa"/>
              <w:bottom w:w="60" w:type="dxa"/>
              <w:end w:w="110" w:type="dxa"/>
            </w:tcMar>
            <w:shd w:val="clear" w:color="auto" w:fill="F4F7FB"/>
          </w:tcPr>
          <w:p>
            <w:pPr>
              <w:spacing w:after="0"/>
            </w:pPr>
            <w:r/>
            <w:r>
              <w:rPr>
                <w:rFonts w:ascii="Consolas" w:hAnsi="Consolas"/>
                <w:color w:val="146EF5"/>
                <w:sz w:val="17"/>
              </w:rPr>
              <w:t>ajos</w:t>
            </w:r>
            <w:r>
              <w:rPr>
                <w:rFonts w:ascii="Calibri" w:hAnsi="Calibri"/>
                <w:b w:val="0"/>
                <w:i w:val="0"/>
                <w:color w:val="101828"/>
                <w:sz w:val="17"/>
              </w:rPr>
              <w:t xml:space="preserve">, </w:t>
            </w:r>
            <w:r>
              <w:rPr>
                <w:rFonts w:ascii="Consolas" w:hAnsi="Consolas"/>
                <w:color w:val="146EF5"/>
                <w:sz w:val="17"/>
              </w:rPr>
              <w:t>ajo_members</w:t>
            </w:r>
            <w:r>
              <w:rPr>
                <w:rFonts w:ascii="Calibri" w:hAnsi="Calibri"/>
                <w:b w:val="0"/>
                <w:i w:val="0"/>
                <w:color w:val="101828"/>
                <w:sz w:val="17"/>
              </w:rPr>
              <w:t xml:space="preserve">, </w:t>
            </w:r>
            <w:r>
              <w:rPr>
                <w:rFonts w:ascii="Consolas" w:hAnsi="Consolas"/>
                <w:color w:val="146EF5"/>
                <w:sz w:val="17"/>
              </w:rPr>
              <w:t>ajo_positions</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7"/>
              </w:rPr>
              <w:t>The Ajo and its rotation. Position changes are the most disputed rows in the product.</w:t>
            </w:r>
          </w:p>
        </w:tc>
      </w:tr>
      <w:tr>
        <w:trPr>
          <w:cantSplit/>
        </w:trPr>
        <w:tc>
          <w:tcPr>
            <w:tcW w:type="dxa" w:w="3168"/>
            <w:tcMar>
              <w:top w:w="60" w:type="dxa"/>
              <w:start w:w="110" w:type="dxa"/>
              <w:bottom w:w="60" w:type="dxa"/>
              <w:end w:w="110" w:type="dxa"/>
            </w:tcMar>
          </w:tcPr>
          <w:p>
            <w:pPr>
              <w:spacing w:after="0"/>
            </w:pPr>
            <w:r/>
            <w:r>
              <w:rPr>
                <w:rFonts w:ascii="Consolas" w:hAnsi="Consolas"/>
                <w:color w:val="146EF5"/>
                <w:sz w:val="17"/>
              </w:rPr>
              <w:t>rounds</w:t>
            </w:r>
            <w:r>
              <w:rPr>
                <w:rFonts w:ascii="Calibri" w:hAnsi="Calibri"/>
                <w:b w:val="0"/>
                <w:i w:val="0"/>
                <w:color w:val="101828"/>
                <w:sz w:val="17"/>
              </w:rPr>
              <w:t xml:space="preserve">, </w:t>
            </w:r>
            <w:r>
              <w:rPr>
                <w:rFonts w:ascii="Consolas" w:hAnsi="Consolas"/>
                <w:color w:val="146EF5"/>
                <w:sz w:val="17"/>
              </w:rPr>
              <w:t>contributions</w:t>
            </w:r>
            <w:r>
              <w:rPr>
                <w:rFonts w:ascii="Calibri" w:hAnsi="Calibri"/>
                <w:b w:val="0"/>
                <w:i w:val="0"/>
                <w:color w:val="101828"/>
                <w:sz w:val="17"/>
              </w:rPr>
              <w:t xml:space="preserve">, </w:t>
            </w:r>
            <w:r>
              <w:rPr>
                <w:rFonts w:ascii="Consolas" w:hAnsi="Consolas"/>
                <w:color w:val="146EF5"/>
                <w:sz w:val="17"/>
              </w:rPr>
              <w:t>contribution_schedules</w:t>
            </w:r>
          </w:p>
        </w:tc>
        <w:tc>
          <w:tcPr>
            <w:tcW w:type="dxa" w:w="6192"/>
            <w:tcMar>
              <w:top w:w="60" w:type="dxa"/>
              <w:start w:w="110" w:type="dxa"/>
              <w:bottom w:w="60" w:type="dxa"/>
              <w:end w:w="110" w:type="dxa"/>
            </w:tcMar>
          </w:tcPr>
          <w:p>
            <w:pPr>
              <w:spacing w:after="0"/>
            </w:pPr>
            <w:r/>
            <w:r>
              <w:rPr>
                <w:rFonts w:ascii="Calibri" w:hAnsi="Calibri"/>
                <w:b w:val="0"/>
                <w:i w:val="0"/>
                <w:color w:val="101828"/>
                <w:sz w:val="17"/>
              </w:rPr>
              <w:t>Obligations, payments owed, and the defaulting decision.</w:t>
            </w:r>
          </w:p>
        </w:tc>
      </w:tr>
      <w:tr>
        <w:trPr>
          <w:cantSplit/>
        </w:trPr>
        <w:tc>
          <w:tcPr>
            <w:tcW w:type="dxa" w:w="3168"/>
            <w:tcMar>
              <w:top w:w="60" w:type="dxa"/>
              <w:start w:w="110" w:type="dxa"/>
              <w:bottom w:w="60" w:type="dxa"/>
              <w:end w:w="110" w:type="dxa"/>
            </w:tcMar>
            <w:shd w:val="clear" w:color="auto" w:fill="F4F7FB"/>
          </w:tcPr>
          <w:p>
            <w:pPr>
              <w:spacing w:after="0"/>
            </w:pPr>
            <w:r/>
            <w:r>
              <w:rPr>
                <w:rFonts w:ascii="Consolas" w:hAnsi="Consolas"/>
                <w:color w:val="146EF5"/>
                <w:sz w:val="17"/>
              </w:rPr>
              <w:t>payments</w:t>
            </w:r>
            <w:r>
              <w:rPr>
                <w:rFonts w:ascii="Calibri" w:hAnsi="Calibri"/>
                <w:b w:val="0"/>
                <w:i w:val="0"/>
                <w:color w:val="101828"/>
                <w:sz w:val="17"/>
              </w:rPr>
              <w:t xml:space="preserve">, </w:t>
            </w:r>
            <w:r>
              <w:rPr>
                <w:rFonts w:ascii="Consolas" w:hAnsi="Consolas"/>
                <w:color w:val="146EF5"/>
                <w:sz w:val="17"/>
              </w:rPr>
              <w:t>fees</w:t>
            </w:r>
            <w:r>
              <w:rPr>
                <w:rFonts w:ascii="Calibri" w:hAnsi="Calibri"/>
                <w:b w:val="0"/>
                <w:i w:val="0"/>
                <w:color w:val="101828"/>
                <w:sz w:val="17"/>
              </w:rPr>
              <w:t xml:space="preserve">, </w:t>
            </w:r>
            <w:r>
              <w:rPr>
                <w:rFonts w:ascii="Consolas" w:hAnsi="Consolas"/>
                <w:color w:val="146EF5"/>
                <w:sz w:val="17"/>
              </w:rPr>
              <w:t>payouts</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7"/>
              </w:rPr>
              <w:t>Every movement of money, in either direction.</w:t>
            </w:r>
          </w:p>
        </w:tc>
      </w:tr>
      <w:tr>
        <w:trPr>
          <w:cantSplit/>
        </w:trPr>
        <w:tc>
          <w:tcPr>
            <w:tcW w:type="dxa" w:w="3168"/>
            <w:tcMar>
              <w:top w:w="60" w:type="dxa"/>
              <w:start w:w="110" w:type="dxa"/>
              <w:bottom w:w="60" w:type="dxa"/>
              <w:end w:w="110" w:type="dxa"/>
            </w:tcMar>
          </w:tcPr>
          <w:p>
            <w:pPr>
              <w:spacing w:after="0"/>
            </w:pPr>
            <w:r/>
            <w:r>
              <w:rPr>
                <w:rFonts w:ascii="Consolas" w:hAnsi="Consolas"/>
                <w:color w:val="146EF5"/>
                <w:sz w:val="17"/>
              </w:rPr>
              <w:t>ledger_transactions</w:t>
            </w:r>
          </w:p>
        </w:tc>
        <w:tc>
          <w:tcPr>
            <w:tcW w:type="dxa" w:w="6192"/>
            <w:tcMar>
              <w:top w:w="60" w:type="dxa"/>
              <w:start w:w="110" w:type="dxa"/>
              <w:bottom w:w="60" w:type="dxa"/>
              <w:end w:w="110" w:type="dxa"/>
            </w:tcMar>
          </w:tcPr>
          <w:p>
            <w:pPr>
              <w:spacing w:after="0"/>
            </w:pPr>
            <w:r/>
            <w:r>
              <w:rPr>
                <w:rFonts w:ascii="Calibri" w:hAnsi="Calibri"/>
                <w:b w:val="0"/>
                <w:i w:val="0"/>
                <w:color w:val="101828"/>
                <w:sz w:val="17"/>
              </w:rPr>
              <w:t xml:space="preserve">Append-only, so the audit trigger records the insert and nothing else. It is present so the ledger is discoverable from </w:t>
            </w:r>
            <w:r>
              <w:rPr>
                <w:rFonts w:ascii="Consolas" w:hAnsi="Consolas"/>
                <w:color w:val="146EF5"/>
                <w:sz w:val="17"/>
              </w:rPr>
              <w:t>audit_logs</w:t>
            </w:r>
            <w:r>
              <w:rPr>
                <w:rFonts w:ascii="Calibri" w:hAnsi="Calibri"/>
                <w:b w:val="0"/>
                <w:i w:val="0"/>
                <w:color w:val="101828"/>
                <w:sz w:val="17"/>
              </w:rPr>
              <w:t xml:space="preserve"> during an investigation.</w:t>
            </w:r>
          </w:p>
        </w:tc>
      </w:tr>
      <w:tr>
        <w:trPr>
          <w:cantSplit/>
        </w:trPr>
        <w:tc>
          <w:tcPr>
            <w:tcW w:type="dxa" w:w="3168"/>
            <w:tcMar>
              <w:top w:w="60" w:type="dxa"/>
              <w:start w:w="110" w:type="dxa"/>
              <w:bottom w:w="60" w:type="dxa"/>
              <w:end w:w="110" w:type="dxa"/>
            </w:tcMar>
            <w:shd w:val="clear" w:color="auto" w:fill="F4F7FB"/>
          </w:tcPr>
          <w:p>
            <w:pPr>
              <w:spacing w:after="0"/>
            </w:pPr>
            <w:r/>
            <w:r>
              <w:rPr>
                <w:rFonts w:ascii="Consolas" w:hAnsi="Consolas"/>
                <w:color w:val="146EF5"/>
                <w:sz w:val="17"/>
              </w:rPr>
              <w:t>disputes</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7"/>
              </w:rPr>
              <w:t>The state machine and its resolution. Adjudication history is the point of the table.</w:t>
            </w:r>
          </w:p>
        </w:tc>
      </w:tr>
      <w:tr>
        <w:trPr>
          <w:cantSplit/>
        </w:trPr>
        <w:tc>
          <w:tcPr>
            <w:tcW w:type="dxa" w:w="3168"/>
            <w:tcMar>
              <w:top w:w="60" w:type="dxa"/>
              <w:start w:w="110" w:type="dxa"/>
              <w:bottom w:w="60" w:type="dxa"/>
              <w:end w:w="110" w:type="dxa"/>
            </w:tcMar>
          </w:tcPr>
          <w:p>
            <w:pPr>
              <w:spacing w:after="0"/>
            </w:pPr>
            <w:r/>
            <w:r>
              <w:rPr>
                <w:rFonts w:ascii="Consolas" w:hAnsi="Consolas"/>
                <w:color w:val="146EF5"/>
                <w:sz w:val="17"/>
              </w:rPr>
              <w:t>risk_events</w:t>
            </w:r>
          </w:p>
        </w:tc>
        <w:tc>
          <w:tcPr>
            <w:tcW w:type="dxa" w:w="6192"/>
            <w:tcMar>
              <w:top w:w="60" w:type="dxa"/>
              <w:start w:w="110" w:type="dxa"/>
              <w:bottom w:w="60" w:type="dxa"/>
              <w:end w:w="110" w:type="dxa"/>
            </w:tcMar>
          </w:tcPr>
          <w:p>
            <w:pPr>
              <w:spacing w:after="0"/>
            </w:pPr>
            <w:r/>
            <w:r>
              <w:rPr>
                <w:rFonts w:ascii="Calibri" w:hAnsi="Calibri"/>
                <w:b w:val="0"/>
                <w:i w:val="0"/>
                <w:color w:val="101828"/>
                <w:sz w:val="17"/>
              </w:rPr>
              <w:t>Someone flagged something, and what happened next.</w:t>
            </w:r>
          </w:p>
        </w:tc>
      </w:tr>
    </w:tbl>
    <w:p>
      <w:pPr>
        <w:spacing w:after="80"/>
      </w:pP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7"/>
              </w:rPr>
              <w:t>Not audited</w:t>
            </w:r>
          </w:p>
        </w:tc>
        <w:tc>
          <w:tcPr>
            <w:tcW w:type="dxa" w:w="6192"/>
            <w:shd w:val="clear" w:color="auto" w:fill="0B1F3A"/>
            <w:tcMar>
              <w:top w:w="60" w:type="dxa"/>
              <w:start w:w="110" w:type="dxa"/>
              <w:bottom w:w="60" w:type="dxa"/>
              <w:end w:w="110" w:type="dxa"/>
            </w:tcMar>
          </w:tcPr>
          <w:p>
            <w:pPr>
              <w:spacing w:after="0"/>
            </w:pPr>
            <w:r/>
            <w:r>
              <w:rPr>
                <w:rFonts w:ascii="Calibri" w:hAnsi="Calibri"/>
                <w:b/>
                <w:i w:val="0"/>
                <w:color w:val="FFFFFF"/>
                <w:sz w:val="17"/>
              </w:rPr>
              <w:t>Why not</w:t>
            </w:r>
          </w:p>
        </w:tc>
      </w:tr>
      <w:tr>
        <w:trPr>
          <w:cantSplit/>
        </w:trPr>
        <w:tc>
          <w:tcPr>
            <w:tcW w:type="dxa" w:w="3168"/>
            <w:tcMar>
              <w:top w:w="60" w:type="dxa"/>
              <w:start w:w="110" w:type="dxa"/>
              <w:bottom w:w="60" w:type="dxa"/>
              <w:end w:w="110" w:type="dxa"/>
            </w:tcMar>
          </w:tcPr>
          <w:p>
            <w:pPr>
              <w:spacing w:after="0"/>
            </w:pPr>
            <w:r/>
            <w:r>
              <w:rPr>
                <w:rFonts w:ascii="Consolas" w:hAnsi="Consolas"/>
                <w:color w:val="146EF5"/>
                <w:sz w:val="17"/>
              </w:rPr>
              <w:t>ledger_postings</w:t>
            </w:r>
          </w:p>
        </w:tc>
        <w:tc>
          <w:tcPr>
            <w:tcW w:type="dxa" w:w="6192"/>
            <w:tcMar>
              <w:top w:w="60" w:type="dxa"/>
              <w:start w:w="110" w:type="dxa"/>
              <w:bottom w:w="60" w:type="dxa"/>
              <w:end w:w="110" w:type="dxa"/>
            </w:tcMar>
          </w:tcPr>
          <w:p>
            <w:pPr>
              <w:spacing w:after="0"/>
            </w:pPr>
            <w:r/>
            <w:r>
              <w:rPr>
                <w:rFonts w:ascii="Calibri" w:hAnsi="Calibri"/>
                <w:b w:val="0"/>
                <w:i w:val="0"/>
                <w:color w:val="101828"/>
                <w:sz w:val="17"/>
              </w:rPr>
              <w:t>A posting cannot change and cannot be deleted while its transaction exists, so an audit row per posting is a duplicate of the posting. The transaction above it is audited.</w:t>
            </w:r>
          </w:p>
        </w:tc>
      </w:tr>
      <w:tr>
        <w:trPr>
          <w:cantSplit/>
        </w:trPr>
        <w:tc>
          <w:tcPr>
            <w:tcW w:type="dxa" w:w="3168"/>
            <w:tcMar>
              <w:top w:w="60" w:type="dxa"/>
              <w:start w:w="110" w:type="dxa"/>
              <w:bottom w:w="60" w:type="dxa"/>
              <w:end w:w="110" w:type="dxa"/>
            </w:tcMar>
            <w:shd w:val="clear" w:color="auto" w:fill="F4F7FB"/>
          </w:tcPr>
          <w:p>
            <w:pPr>
              <w:spacing w:after="0"/>
            </w:pPr>
            <w:r/>
            <w:r>
              <w:rPr>
                <w:rFonts w:ascii="Consolas" w:hAnsi="Consolas"/>
                <w:color w:val="146EF5"/>
                <w:sz w:val="17"/>
              </w:rPr>
              <w:t>dispute_messages</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7"/>
              </w:rPr>
              <w:t>A conversation, not a state change. The dispute's own status transitions are audited; the messages inside it are the content of the dispute.</w:t>
            </w:r>
          </w:p>
        </w:tc>
      </w:tr>
      <w:tr>
        <w:trPr>
          <w:cantSplit/>
        </w:trPr>
        <w:tc>
          <w:tcPr>
            <w:tcW w:type="dxa" w:w="3168"/>
            <w:tcMar>
              <w:top w:w="60" w:type="dxa"/>
              <w:start w:w="110" w:type="dxa"/>
              <w:bottom w:w="60" w:type="dxa"/>
              <w:end w:w="110" w:type="dxa"/>
            </w:tcMar>
          </w:tcPr>
          <w:p>
            <w:pPr>
              <w:spacing w:after="0"/>
            </w:pPr>
            <w:r/>
            <w:r>
              <w:rPr>
                <w:rFonts w:ascii="Consolas" w:hAnsi="Consolas"/>
                <w:color w:val="146EF5"/>
                <w:sz w:val="17"/>
              </w:rPr>
              <w:t>dispute_evidence</w:t>
            </w:r>
          </w:p>
        </w:tc>
        <w:tc>
          <w:tcPr>
            <w:tcW w:type="dxa" w:w="6192"/>
            <w:tcMar>
              <w:top w:w="60" w:type="dxa"/>
              <w:start w:w="110" w:type="dxa"/>
              <w:bottom w:w="60" w:type="dxa"/>
              <w:end w:w="110" w:type="dxa"/>
            </w:tcMar>
          </w:tcPr>
          <w:p>
            <w:pPr>
              <w:spacing w:after="0"/>
            </w:pPr>
            <w:r/>
            <w:r>
              <w:rPr>
                <w:rFonts w:ascii="Calibri" w:hAnsi="Calibri"/>
                <w:b w:val="0"/>
                <w:i w:val="0"/>
                <w:color w:val="101828"/>
                <w:sz w:val="17"/>
              </w:rPr>
              <w:t>A join row. The document it points at is audited.</w:t>
            </w:r>
          </w:p>
        </w:tc>
      </w:tr>
      <w:tr>
        <w:trPr>
          <w:cantSplit/>
        </w:trPr>
        <w:tc>
          <w:tcPr>
            <w:tcW w:type="dxa" w:w="3168"/>
            <w:tcMar>
              <w:top w:w="60" w:type="dxa"/>
              <w:start w:w="110" w:type="dxa"/>
              <w:bottom w:w="60" w:type="dxa"/>
              <w:end w:w="110" w:type="dxa"/>
            </w:tcMar>
            <w:shd w:val="clear" w:color="auto" w:fill="F4F7FB"/>
          </w:tcPr>
          <w:p>
            <w:pPr>
              <w:spacing w:after="0"/>
            </w:pPr>
            <w:r/>
            <w:r>
              <w:rPr>
                <w:rFonts w:ascii="Consolas" w:hAnsi="Consolas"/>
                <w:color w:val="146EF5"/>
                <w:sz w:val="17"/>
              </w:rPr>
              <w:t>audit_logs</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7"/>
              </w:rPr>
              <w:t>Self-reference. The table is the record.</w:t>
            </w:r>
          </w:p>
        </w:tc>
      </w:tr>
      <w:tr>
        <w:trPr>
          <w:cantSplit/>
        </w:trPr>
        <w:tc>
          <w:tcPr>
            <w:tcW w:type="dxa" w:w="3168"/>
            <w:tcMar>
              <w:top w:w="60" w:type="dxa"/>
              <w:start w:w="110" w:type="dxa"/>
              <w:bottom w:w="60" w:type="dxa"/>
              <w:end w:w="110" w:type="dxa"/>
            </w:tcMar>
          </w:tcPr>
          <w:p>
            <w:pPr>
              <w:spacing w:after="0"/>
            </w:pPr>
            <w:r/>
            <w:r>
              <w:rPr>
                <w:rFonts w:ascii="Consolas" w:hAnsi="Consolas"/>
                <w:color w:val="146EF5"/>
                <w:sz w:val="17"/>
              </w:rPr>
              <w:t>roles</w:t>
            </w:r>
            <w:r>
              <w:rPr>
                <w:rFonts w:ascii="Calibri" w:hAnsi="Calibri"/>
                <w:b w:val="0"/>
                <w:i w:val="0"/>
                <w:color w:val="101828"/>
                <w:sz w:val="17"/>
              </w:rPr>
              <w:t xml:space="preserve">, </w:t>
            </w:r>
            <w:r>
              <w:rPr>
                <w:rFonts w:ascii="Consolas" w:hAnsi="Consolas"/>
                <w:color w:val="146EF5"/>
                <w:sz w:val="17"/>
              </w:rPr>
              <w:t>document_types</w:t>
            </w:r>
            <w:r>
              <w:rPr>
                <w:rFonts w:ascii="Calibri" w:hAnsi="Calibri"/>
                <w:b w:val="0"/>
                <w:i w:val="0"/>
                <w:color w:val="101828"/>
                <w:sz w:val="17"/>
              </w:rPr>
              <w:t xml:space="preserve">, </w:t>
            </w:r>
            <w:r>
              <w:rPr>
                <w:rFonts w:ascii="Consolas" w:hAnsi="Consolas"/>
                <w:color w:val="146EF5"/>
                <w:sz w:val="17"/>
              </w:rPr>
              <w:t>dispute_reasons</w:t>
            </w:r>
            <w:r>
              <w:rPr>
                <w:rFonts w:ascii="Calibri" w:hAnsi="Calibri"/>
                <w:b w:val="0"/>
                <w:i w:val="0"/>
                <w:color w:val="101828"/>
                <w:sz w:val="17"/>
              </w:rPr>
              <w:t xml:space="preserve">, </w:t>
            </w:r>
            <w:r>
              <w:rPr>
                <w:rFonts w:ascii="Consolas" w:hAnsi="Consolas"/>
                <w:color w:val="146EF5"/>
                <w:sz w:val="17"/>
              </w:rPr>
              <w:t>payment_channels</w:t>
            </w:r>
            <w:r>
              <w:rPr>
                <w:rFonts w:ascii="Calibri" w:hAnsi="Calibri"/>
                <w:b w:val="0"/>
                <w:i w:val="0"/>
                <w:color w:val="101828"/>
                <w:sz w:val="17"/>
              </w:rPr>
              <w:t xml:space="preserve">, </w:t>
            </w:r>
            <w:r>
              <w:rPr>
                <w:rFonts w:ascii="Consolas" w:hAnsi="Consolas"/>
                <w:color w:val="146EF5"/>
                <w:sz w:val="17"/>
              </w:rPr>
              <w:t>contribution_frequencies</w:t>
            </w:r>
            <w:r>
              <w:rPr>
                <w:rFonts w:ascii="Calibri" w:hAnsi="Calibri"/>
                <w:b w:val="0"/>
                <w:i w:val="0"/>
                <w:color w:val="101828"/>
                <w:sz w:val="17"/>
              </w:rPr>
              <w:t xml:space="preserve">, </w:t>
            </w:r>
            <w:r>
              <w:rPr>
                <w:rFonts w:ascii="Consolas" w:hAnsi="Consolas"/>
                <w:color w:val="146EF5"/>
                <w:sz w:val="17"/>
              </w:rPr>
              <w:t>verification_check_types</w:t>
            </w:r>
          </w:p>
        </w:tc>
        <w:tc>
          <w:tcPr>
            <w:tcW w:type="dxa" w:w="6192"/>
            <w:tcMar>
              <w:top w:w="60" w:type="dxa"/>
              <w:start w:w="110" w:type="dxa"/>
              <w:bottom w:w="60" w:type="dxa"/>
              <w:end w:w="110" w:type="dxa"/>
            </w:tcMar>
          </w:tcPr>
          <w:p>
            <w:pPr>
              <w:spacing w:after="0"/>
            </w:pPr>
            <w:r/>
            <w:r>
              <w:rPr>
                <w:rFonts w:ascii="Calibri" w:hAnsi="Calibri"/>
                <w:b w:val="0"/>
                <w:i w:val="0"/>
                <w:color w:val="101828"/>
                <w:sz w:val="17"/>
              </w:rPr>
              <w:t>Reference data written only by migration, and the migration is itself version-controlled and reviewed.</w:t>
            </w:r>
          </w:p>
        </w:tc>
      </w:tr>
      <w:tr>
        <w:trPr>
          <w:cantSplit/>
        </w:trPr>
        <w:tc>
          <w:tcPr>
            <w:tcW w:type="dxa" w:w="3168"/>
            <w:tcMar>
              <w:top w:w="60" w:type="dxa"/>
              <w:start w:w="110" w:type="dxa"/>
              <w:bottom w:w="60" w:type="dxa"/>
              <w:end w:w="110" w:type="dxa"/>
            </w:tcMar>
            <w:shd w:val="clear" w:color="auto" w:fill="F4F7FB"/>
          </w:tcPr>
          <w:p>
            <w:pPr>
              <w:spacing w:after="0"/>
            </w:pPr>
            <w:r/>
            <w:r>
              <w:rPr>
                <w:rFonts w:ascii="Consolas" w:hAnsi="Consolas"/>
                <w:color w:val="146EF5"/>
                <w:sz w:val="17"/>
              </w:rPr>
              <w:t>sessions</w:t>
            </w:r>
            <w:r>
              <w:rPr>
                <w:rFonts w:ascii="Calibri" w:hAnsi="Calibri"/>
                <w:b w:val="0"/>
                <w:i w:val="0"/>
                <w:color w:val="101828"/>
                <w:sz w:val="17"/>
              </w:rPr>
              <w:t xml:space="preserve">, </w:t>
            </w:r>
            <w:r>
              <w:rPr>
                <w:rFonts w:ascii="Consolas" w:hAnsi="Consolas"/>
                <w:color w:val="146EF5"/>
                <w:sz w:val="17"/>
              </w:rPr>
              <w:t>device_tokens</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7"/>
              </w:rPr>
              <w:t xml:space="preserve">Ephemeral by purpose. A revoked session stops being interesting the moment it is revoked; the </w:t>
            </w:r>
            <w:r>
              <w:rPr>
                <w:rFonts w:ascii="Consolas" w:hAnsi="Consolas"/>
                <w:color w:val="146EF5"/>
                <w:sz w:val="17"/>
              </w:rPr>
              <w:t>revoked_at</w:t>
            </w:r>
            <w:r>
              <w:rPr>
                <w:rFonts w:ascii="Calibri" w:hAnsi="Calibri"/>
                <w:b w:val="0"/>
                <w:i w:val="0"/>
                <w:color w:val="101828"/>
                <w:sz w:val="17"/>
              </w:rPr>
              <w:t xml:space="preserve"> column is the record.</w:t>
            </w:r>
          </w:p>
        </w:tc>
      </w:tr>
      <w:tr>
        <w:trPr>
          <w:cantSplit/>
        </w:trPr>
        <w:tc>
          <w:tcPr>
            <w:tcW w:type="dxa" w:w="3168"/>
            <w:tcMar>
              <w:top w:w="60" w:type="dxa"/>
              <w:start w:w="110" w:type="dxa"/>
              <w:bottom w:w="60" w:type="dxa"/>
              <w:end w:w="110" w:type="dxa"/>
            </w:tcMar>
          </w:tcPr>
          <w:p>
            <w:pPr>
              <w:spacing w:after="0"/>
            </w:pPr>
            <w:r/>
            <w:r>
              <w:rPr>
                <w:rFonts w:ascii="Consolas" w:hAnsi="Consolas"/>
                <w:color w:val="146EF5"/>
                <w:sz w:val="17"/>
              </w:rPr>
              <w:t>notifications</w:t>
            </w:r>
            <w:r>
              <w:rPr>
                <w:rFonts w:ascii="Calibri" w:hAnsi="Calibri"/>
                <w:b w:val="0"/>
                <w:i w:val="0"/>
                <w:color w:val="101828"/>
                <w:sz w:val="17"/>
              </w:rPr>
              <w:t xml:space="preserve">, </w:t>
            </w:r>
            <w:r>
              <w:rPr>
                <w:rFonts w:ascii="Consolas" w:hAnsi="Consolas"/>
                <w:color w:val="146EF5"/>
                <w:sz w:val="17"/>
              </w:rPr>
              <w:t>notification_preferences</w:t>
            </w:r>
          </w:p>
        </w:tc>
        <w:tc>
          <w:tcPr>
            <w:tcW w:type="dxa" w:w="6192"/>
            <w:tcMar>
              <w:top w:w="60" w:type="dxa"/>
              <w:start w:w="110" w:type="dxa"/>
              <w:bottom w:w="60" w:type="dxa"/>
              <w:end w:w="110" w:type="dxa"/>
            </w:tcMar>
          </w:tcPr>
          <w:p>
            <w:pPr>
              <w:spacing w:after="0"/>
            </w:pPr>
            <w:r/>
            <w:r>
              <w:rPr>
                <w:rFonts w:ascii="Calibri" w:hAnsi="Calibri"/>
                <w:b w:val="0"/>
                <w:i w:val="0"/>
                <w:color w:val="101828"/>
                <w:sz w:val="17"/>
              </w:rPr>
              <w:t>A notification is a delivery, and the outbox row that produced it is the audited fact. A member changing a preference is a preference, and it is in their own account.</w:t>
            </w:r>
          </w:p>
        </w:tc>
      </w:tr>
      <w:tr>
        <w:trPr>
          <w:cantSplit/>
        </w:trPr>
        <w:tc>
          <w:tcPr>
            <w:tcW w:type="dxa" w:w="3168"/>
            <w:tcMar>
              <w:top w:w="60" w:type="dxa"/>
              <w:start w:w="110" w:type="dxa"/>
              <w:bottom w:w="60" w:type="dxa"/>
              <w:end w:w="110" w:type="dxa"/>
            </w:tcMar>
            <w:shd w:val="clear" w:color="auto" w:fill="F4F7FB"/>
          </w:tcPr>
          <w:p>
            <w:pPr>
              <w:spacing w:after="0"/>
            </w:pPr>
            <w:r/>
            <w:r>
              <w:rPr>
                <w:rFonts w:ascii="Consolas" w:hAnsi="Consolas"/>
                <w:color w:val="146EF5"/>
                <w:sz w:val="17"/>
              </w:rPr>
              <w:t>idempotency_keys</w:t>
            </w:r>
            <w:r>
              <w:rPr>
                <w:rFonts w:ascii="Calibri" w:hAnsi="Calibri"/>
                <w:b w:val="0"/>
                <w:i w:val="0"/>
                <w:color w:val="101828"/>
                <w:sz w:val="17"/>
              </w:rPr>
              <w:t xml:space="preserve">, </w:t>
            </w:r>
            <w:r>
              <w:rPr>
                <w:rFonts w:ascii="Consolas" w:hAnsi="Consolas"/>
                <w:color w:val="146EF5"/>
                <w:sz w:val="17"/>
              </w:rPr>
              <w:t>webhook_events</w:t>
            </w:r>
            <w:r>
              <w:rPr>
                <w:rFonts w:ascii="Calibri" w:hAnsi="Calibri"/>
                <w:b w:val="0"/>
                <w:i w:val="0"/>
                <w:color w:val="101828"/>
                <w:sz w:val="17"/>
              </w:rPr>
              <w:t xml:space="preserve">, </w:t>
            </w:r>
            <w:r>
              <w:rPr>
                <w:rFonts w:ascii="Consolas" w:hAnsi="Consolas"/>
                <w:color w:val="146EF5"/>
                <w:sz w:val="17"/>
              </w:rPr>
              <w:t>outbox_events</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7"/>
              </w:rPr>
              <w:t>Infrastructure bookkeeping. They are pruned on a schedule in 9.10, and an audit row that is pruned with them protects nobody.</w:t>
            </w:r>
          </w:p>
        </w:tc>
      </w:tr>
      <w:tr>
        <w:trPr>
          <w:cantSplit/>
        </w:trPr>
        <w:tc>
          <w:tcPr>
            <w:tcW w:type="dxa" w:w="3168"/>
            <w:tcMar>
              <w:top w:w="60" w:type="dxa"/>
              <w:start w:w="110" w:type="dxa"/>
              <w:bottom w:w="60" w:type="dxa"/>
              <w:end w:w="110" w:type="dxa"/>
            </w:tcMar>
          </w:tcPr>
          <w:p>
            <w:pPr>
              <w:spacing w:after="0"/>
            </w:pPr>
            <w:r/>
            <w:r>
              <w:rPr>
                <w:rFonts w:ascii="Consolas" w:hAnsi="Consolas"/>
                <w:color w:val="146EF5"/>
                <w:sz w:val="17"/>
              </w:rPr>
              <w:t>platform_settings</w:t>
            </w:r>
          </w:p>
        </w:tc>
        <w:tc>
          <w:tcPr>
            <w:tcW w:type="dxa" w:w="6192"/>
            <w:tcMar>
              <w:top w:w="60" w:type="dxa"/>
              <w:start w:w="110" w:type="dxa"/>
              <w:bottom w:w="60" w:type="dxa"/>
              <w:end w:w="110" w:type="dxa"/>
            </w:tcMar>
          </w:tcPr>
          <w:p>
            <w:pPr>
              <w:spacing w:after="0"/>
            </w:pPr>
            <w:r/>
            <w:r>
              <w:rPr>
                <w:rFonts w:ascii="Calibri" w:hAnsi="Calibri"/>
                <w:b w:val="0"/>
                <w:i w:val="0"/>
                <w:color w:val="101828"/>
                <w:sz w:val="17"/>
              </w:rPr>
              <w:t>Configuration changed by migration, reviewed in the diff.</w:t>
            </w:r>
          </w:p>
        </w:tc>
      </w:tr>
      <w:tr>
        <w:trPr>
          <w:cantSplit/>
        </w:trPr>
        <w:tc>
          <w:tcPr>
            <w:tcW w:type="dxa" w:w="3168"/>
            <w:tcMar>
              <w:top w:w="60" w:type="dxa"/>
              <w:start w:w="110" w:type="dxa"/>
              <w:bottom w:w="60" w:type="dxa"/>
              <w:end w:w="110" w:type="dxa"/>
            </w:tcMar>
            <w:shd w:val="clear" w:color="auto" w:fill="F4F7FB"/>
          </w:tcPr>
          <w:p>
            <w:pPr>
              <w:spacing w:after="0"/>
            </w:pPr>
            <w:r/>
            <w:r>
              <w:rPr>
                <w:rFonts w:ascii="Consolas" w:hAnsi="Consolas"/>
                <w:color w:val="146EF5"/>
                <w:sz w:val="17"/>
              </w:rPr>
              <w:t>reconciliation_runs</w:t>
            </w:r>
            <w:r>
              <w:rPr>
                <w:rFonts w:ascii="Calibri" w:hAnsi="Calibri"/>
                <w:b w:val="0"/>
                <w:i w:val="0"/>
                <w:color w:val="101828"/>
                <w:sz w:val="17"/>
              </w:rPr>
              <w:t xml:space="preserve">, </w:t>
            </w:r>
            <w:r>
              <w:rPr>
                <w:rFonts w:ascii="Consolas" w:hAnsi="Consolas"/>
                <w:color w:val="146EF5"/>
                <w:sz w:val="17"/>
              </w:rPr>
              <w:t>support_tickets</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7"/>
              </w:rPr>
              <w:t>Operational records with their own lifecycle and their own readers, rather than facts about a person's money or access.</w:t>
            </w:r>
          </w:p>
        </w:tc>
      </w:tr>
    </w:tbl>
    <w:p>
      <w:pPr>
        <w:spacing w:after="80"/>
      </w:pPr>
    </w:p>
    <w:p>
      <w:r>
        <w:rPr>
          <w:rFonts w:ascii="Calibri" w:hAnsi="Calibri"/>
          <w:b w:val="0"/>
          <w:i w:val="0"/>
          <w:color w:val="101828"/>
          <w:sz w:val="21"/>
        </w:rPr>
        <w:t xml:space="preserve">The trigger records the before and after images as </w:t>
      </w:r>
      <w:r>
        <w:rPr>
          <w:rFonts w:ascii="Consolas" w:hAnsi="Consolas"/>
          <w:color w:val="146EF5"/>
          <w:sz w:val="21"/>
        </w:rPr>
        <w:t>jsonb</w:t>
      </w:r>
      <w:r>
        <w:rPr>
          <w:rFonts w:ascii="Calibri" w:hAnsi="Calibri"/>
          <w:b w:val="0"/>
          <w:i w:val="0"/>
          <w:color w:val="101828"/>
          <w:sz w:val="21"/>
        </w:rPr>
        <w:t xml:space="preserve"> and computes a monetary delta when the row has one, so a report can sum the deltas to get net movement without replaying the JSON. The one behaviour worth calling out is that an </w:t>
      </w:r>
      <w:r>
        <w:rPr>
          <w:rFonts w:ascii="Consolas" w:hAnsi="Consolas"/>
          <w:color w:val="146EF5"/>
          <w:sz w:val="21"/>
        </w:rPr>
        <w:t>UPDATE</w:t>
      </w:r>
      <w:r>
        <w:rPr>
          <w:rFonts w:ascii="Calibri" w:hAnsi="Calibri"/>
          <w:b w:val="0"/>
          <w:i w:val="0"/>
          <w:color w:val="101828"/>
          <w:sz w:val="21"/>
        </w:rPr>
        <w:t xml:space="preserve"> which changes nothing writes no row.</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An UPDATE that changed nothing is not an audit event. Recording it puts</w:t>
      </w:r>
    </w:p>
    <w:p>
      <w:pPr>
        <w:spacing w:before="0" w:after="0" w:line="240" w:lineRule="auto"/>
        <w:ind w:left="230"/>
        <w:shd w:val="clear" w:color="auto" w:fill="F7F9FC"/>
        <w:pBdr>
          <w:left w:val="single" w:sz="4" w:space="6" w:color="D0D5DD"/>
        </w:pBdr>
      </w:pPr>
      <w:r>
        <w:rPr>
          <w:rFonts w:ascii="Consolas" w:hAnsi="Consolas"/>
          <w:color w:val="0B1F3A"/>
          <w:sz w:val="16"/>
        </w:rPr>
        <w:t xml:space="preserve">  -- rows in a table that investigators read, and the cost of a noisy audit</w:t>
      </w:r>
    </w:p>
    <w:p>
      <w:pPr>
        <w:spacing w:before="0" w:after="0" w:line="240" w:lineRule="auto"/>
        <w:ind w:left="230"/>
        <w:shd w:val="clear" w:color="auto" w:fill="F7F9FC"/>
        <w:pBdr>
          <w:left w:val="single" w:sz="4" w:space="6" w:color="D0D5DD"/>
        </w:pBdr>
      </w:pPr>
      <w:r>
        <w:rPr>
          <w:rFonts w:ascii="Consolas" w:hAnsi="Consolas"/>
          <w:color w:val="0B1F3A"/>
          <w:sz w:val="16"/>
        </w:rPr>
        <w:t xml:space="preserve">  -- trail is that nobody reads it.</w:t>
      </w:r>
    </w:p>
    <w:p>
      <w:pPr>
        <w:spacing w:before="0" w:after="0" w:line="240" w:lineRule="auto"/>
        <w:ind w:left="230"/>
        <w:shd w:val="clear" w:color="auto" w:fill="F7F9FC"/>
        <w:pBdr>
          <w:left w:val="single" w:sz="4" w:space="6" w:color="D0D5DD"/>
        </w:pBdr>
      </w:pPr>
      <w:r>
        <w:rPr>
          <w:rFonts w:ascii="Consolas" w:hAnsi="Consolas"/>
          <w:color w:val="0B1F3A"/>
          <w:sz w:val="16"/>
        </w:rPr>
        <w:t xml:space="preserve">  IF v_before = v_after THEN</w:t>
      </w:r>
    </w:p>
    <w:p>
      <w:pPr>
        <w:spacing w:before="0" w:after="0" w:line="240" w:lineRule="auto"/>
        <w:ind w:left="230"/>
        <w:shd w:val="clear" w:color="auto" w:fill="F7F9FC"/>
        <w:pBdr>
          <w:left w:val="single" w:sz="4" w:space="6" w:color="D0D5DD"/>
        </w:pBdr>
      </w:pPr>
      <w:r>
        <w:rPr>
          <w:rFonts w:ascii="Consolas" w:hAnsi="Consolas"/>
          <w:color w:val="0B1F3A"/>
          <w:sz w:val="16"/>
        </w:rPr>
        <w:t xml:space="preserve">    RETURN NULL;</w:t>
      </w:r>
    </w:p>
    <w:p>
      <w:pPr>
        <w:spacing w:before="0" w:after="0" w:line="240" w:lineRule="auto"/>
        <w:ind w:left="230"/>
        <w:shd w:val="clear" w:color="auto" w:fill="F7F9FC"/>
        <w:pBdr>
          <w:left w:val="single" w:sz="4" w:space="6" w:color="D0D5DD"/>
        </w:pBdr>
      </w:pPr>
      <w:r>
        <w:rPr>
          <w:rFonts w:ascii="Consolas" w:hAnsi="Consolas"/>
          <w:color w:val="0B1F3A"/>
          <w:sz w:val="16"/>
        </w:rPr>
        <w:t xml:space="preserve">  END IF;</w:t>
      </w:r>
    </w:p>
    <w:p>
      <w:pPr>
        <w:spacing w:before="140" w:after="180"/>
        <w:ind w:left="144"/>
        <w:shd w:val="clear" w:color="auto" w:fill="E0F2FE"/>
        <w:pBdr>
          <w:left w:val="single" w:sz="18" w:space="6" w:color="22C7D6"/>
        </w:pBdr>
      </w:pPr>
      <w:r>
        <w:rPr>
          <w:rFonts w:ascii="Calibri" w:hAnsi="Calibri"/>
          <w:b/>
          <w:color w:val="22C7D6"/>
          <w:sz w:val="19"/>
        </w:rPr>
        <w:t xml:space="preserve">`dispute_messages` being unaudited is a choice with a cost  </w:t>
      </w:r>
      <w:r>
        <w:rPr>
          <w:rFonts w:ascii="Calibri" w:hAnsi="Calibri"/>
          <w:b w:val="0"/>
          <w:i w:val="0"/>
          <w:color w:val="0B1F3A"/>
          <w:sz w:val="19"/>
        </w:rPr>
        <w:t xml:space="preserve">A dispute message is the kind of row that is edited, or would be if the schema allowed it: it is </w:t>
      </w:r>
      <w:r>
        <w:rPr>
          <w:rFonts w:ascii="Consolas" w:hAnsi="Consolas"/>
          <w:color w:val="146EF5"/>
          <w:sz w:val="19"/>
        </w:rPr>
        <w:t>INSERT</w:t>
      </w:r>
      <w:r>
        <w:rPr>
          <w:rFonts w:ascii="Calibri" w:hAnsi="Calibri"/>
          <w:b w:val="0"/>
          <w:i w:val="0"/>
          <w:color w:val="0B1F3A"/>
          <w:sz w:val="19"/>
        </w:rPr>
        <w:t xml:space="preserve">-only at the application layer, and there is no </w:t>
      </w:r>
      <w:r>
        <w:rPr>
          <w:rFonts w:ascii="Consolas" w:hAnsi="Consolas"/>
          <w:color w:val="146EF5"/>
          <w:sz w:val="19"/>
        </w:rPr>
        <w:t>edited_at</w:t>
      </w:r>
      <w:r>
        <w:rPr>
          <w:rFonts w:ascii="Calibri" w:hAnsi="Calibri"/>
          <w:b w:val="0"/>
          <w:i w:val="0"/>
          <w:color w:val="0B1F3A"/>
          <w:sz w:val="19"/>
        </w:rPr>
        <w:t xml:space="preserve"> column to suggest otherwise. If a future requirement is to prove what a member said and when, that is a schema change to this table and a policy decision about who reads it, and it should not be discovered during a dispute. It is listed here rather than in the audited table so the omission is visible.</w:t>
      </w:r>
    </w:p>
    <w:p>
      <w:pPr>
        <w:pStyle w:val="Heading2"/>
      </w:pPr>
      <w:r>
        <w:rPr>
          <w:rFonts w:ascii="Calibri" w:hAnsi="Calibri"/>
          <w:b/>
          <w:i w:val="0"/>
          <w:color w:val="146EF5"/>
          <w:sz w:val="29"/>
        </w:rPr>
        <w:t>9.14 Validation: how this schema was tested</w:t>
      </w:r>
    </w:p>
    <w:p>
      <w:r>
        <w:rPr>
          <w:rFonts w:ascii="Calibri" w:hAnsi="Calibri"/>
          <w:b w:val="0"/>
          <w:i w:val="0"/>
          <w:color w:val="101828"/>
          <w:sz w:val="21"/>
        </w:rPr>
        <w:t>Twenty-three behavioural tests and twenty-two row-level assertions, written as SQL, run against a database created empty for the purpose. Every rule in this section that can be violated by a statement is violated by a test, and the test's own error message is quoted below. The counts are not a claim about coverage; they are what was run, and the honest statement is that a rule not in the list is a rule whose failure nobody has watched.</w:t>
      </w:r>
    </w:p>
    <w:p>
      <w:r>
        <w:rPr>
          <w:rFonts w:ascii="Calibri" w:hAnsi="Calibri"/>
          <w:b w:val="0"/>
          <w:i w:val="0"/>
          <w:color w:val="101828"/>
          <w:sz w:val="21"/>
        </w:rPr>
        <w:t>Each negative test expects a failure, and the suite fails if that failure does not arrive. A test that inserts an unbalanced transaction and passes because the insert succeeded is worse than no test, because it is a green mark on a rule nobody has checked; each test therefore asserts the specific constraint name, not merely that something went wrong.</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7"/>
              </w:rPr>
              <w:t>Test</w:t>
            </w:r>
          </w:p>
        </w:tc>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7"/>
              </w:rPr>
              <w:t>Rule</w:t>
            </w:r>
          </w:p>
        </w:tc>
        <w:tc>
          <w:tcPr>
            <w:tcW w:type="dxa" w:w="5040"/>
            <w:shd w:val="clear" w:color="auto" w:fill="0B1F3A"/>
            <w:tcMar>
              <w:top w:w="60" w:type="dxa"/>
              <w:start w:w="110" w:type="dxa"/>
              <w:bottom w:w="60" w:type="dxa"/>
              <w:end w:w="110" w:type="dxa"/>
            </w:tcMar>
          </w:tcPr>
          <w:p>
            <w:pPr>
              <w:spacing w:after="0"/>
            </w:pPr>
            <w:r/>
            <w:r>
              <w:rPr>
                <w:rFonts w:ascii="Calibri" w:hAnsi="Calibri"/>
                <w:b/>
                <w:i w:val="0"/>
                <w:color w:val="FFFFFF"/>
                <w:sz w:val="17"/>
              </w:rPr>
              <w:t>Refusal</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7"/>
              </w:rPr>
              <w:t>T1–T3</w:t>
            </w:r>
          </w:p>
        </w:tc>
        <w:tc>
          <w:tcPr>
            <w:tcW w:type="dxa" w:w="3168"/>
            <w:tcMar>
              <w:top w:w="60" w:type="dxa"/>
              <w:start w:w="110" w:type="dxa"/>
              <w:bottom w:w="60" w:type="dxa"/>
              <w:end w:w="110" w:type="dxa"/>
            </w:tcMar>
          </w:tcPr>
          <w:p>
            <w:pPr>
              <w:spacing w:after="0"/>
            </w:pPr>
            <w:r/>
            <w:r>
              <w:rPr>
                <w:rFonts w:ascii="Calibri" w:hAnsi="Calibri"/>
                <w:b w:val="0"/>
                <w:i w:val="0"/>
                <w:color w:val="101828"/>
                <w:sz w:val="17"/>
              </w:rPr>
              <w:t>A full Ajo can be created, funded, and run end to end</w:t>
            </w:r>
          </w:p>
        </w:tc>
        <w:tc>
          <w:tcPr>
            <w:tcW w:type="dxa" w:w="5040"/>
            <w:tcMar>
              <w:top w:w="60" w:type="dxa"/>
              <w:start w:w="110" w:type="dxa"/>
              <w:bottom w:w="60" w:type="dxa"/>
              <w:end w:w="110" w:type="dxa"/>
            </w:tcMar>
          </w:tcPr>
          <w:p>
            <w:pPr>
              <w:spacing w:after="0"/>
            </w:pPr>
            <w:r/>
            <w:r>
              <w:rPr>
                <w:rFonts w:ascii="Calibri" w:hAnsi="Calibri"/>
                <w:b w:val="0"/>
                <w:i w:val="0"/>
                <w:color w:val="101828"/>
                <w:sz w:val="17"/>
              </w:rPr>
              <w:t>Passes, and is the baseline the other twenty are read against</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T4</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7"/>
              </w:rPr>
              <w:t>CR-15: a transaction with one posting</w:t>
            </w:r>
          </w:p>
        </w:tc>
        <w:tc>
          <w:tcPr>
            <w:tcW w:type="dxa" w:w="5040"/>
            <w:tcMar>
              <w:top w:w="60" w:type="dxa"/>
              <w:start w:w="110" w:type="dxa"/>
              <w:bottom w:w="60" w:type="dxa"/>
              <w:end w:w="110" w:type="dxa"/>
            </w:tcMar>
            <w:shd w:val="clear" w:color="auto" w:fill="F4F7FB"/>
          </w:tcPr>
          <w:p>
            <w:pPr>
              <w:spacing w:after="0"/>
            </w:pPr>
            <w:r/>
            <w:r>
              <w:rPr>
                <w:rFonts w:ascii="Consolas" w:hAnsi="Consolas"/>
                <w:color w:val="146EF5"/>
                <w:sz w:val="17"/>
              </w:rPr>
              <w:t>ledger transaction ... has 1 posting(s); an entry needs at least 2</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7"/>
              </w:rPr>
              <w:t>T5</w:t>
            </w:r>
          </w:p>
        </w:tc>
        <w:tc>
          <w:tcPr>
            <w:tcW w:type="dxa" w:w="3168"/>
            <w:tcMar>
              <w:top w:w="60" w:type="dxa"/>
              <w:start w:w="110" w:type="dxa"/>
              <w:bottom w:w="60" w:type="dxa"/>
              <w:end w:w="110" w:type="dxa"/>
            </w:tcMar>
          </w:tcPr>
          <w:p>
            <w:pPr>
              <w:spacing w:after="0"/>
            </w:pPr>
            <w:r/>
            <w:r>
              <w:rPr>
                <w:rFonts w:ascii="Calibri" w:hAnsi="Calibri"/>
                <w:b w:val="0"/>
                <w:i w:val="0"/>
                <w:color w:val="101828"/>
                <w:sz w:val="17"/>
              </w:rPr>
              <w:t>CR-16: a transaction whose legs do not sum to zero</w:t>
            </w:r>
          </w:p>
        </w:tc>
        <w:tc>
          <w:tcPr>
            <w:tcW w:type="dxa" w:w="5040"/>
            <w:tcMar>
              <w:top w:w="60" w:type="dxa"/>
              <w:start w:w="110" w:type="dxa"/>
              <w:bottom w:w="60" w:type="dxa"/>
              <w:end w:w="110" w:type="dxa"/>
            </w:tcMar>
          </w:tcPr>
          <w:p>
            <w:pPr>
              <w:spacing w:after="0"/>
            </w:pPr>
            <w:r/>
            <w:r>
              <w:rPr>
                <w:rFonts w:ascii="Consolas" w:hAnsi="Consolas"/>
                <w:color w:val="146EF5"/>
                <w:sz w:val="17"/>
              </w:rPr>
              <w:t>ledger transaction ... is out of balance by N kobo</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T6</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7"/>
              </w:rPr>
              <w:t>CR-12: a fee that is not 2% of its payment</w:t>
            </w:r>
          </w:p>
        </w:tc>
        <w:tc>
          <w:tcPr>
            <w:tcW w:type="dxa" w:w="5040"/>
            <w:tcMar>
              <w:top w:w="60" w:type="dxa"/>
              <w:start w:w="110" w:type="dxa"/>
              <w:bottom w:w="60" w:type="dxa"/>
              <w:end w:w="110" w:type="dxa"/>
            </w:tcMar>
            <w:shd w:val="clear" w:color="auto" w:fill="F4F7FB"/>
          </w:tcPr>
          <w:p>
            <w:pPr>
              <w:spacing w:after="0"/>
            </w:pPr>
            <w:r/>
            <w:r>
              <w:rPr>
                <w:rFonts w:ascii="Consolas" w:hAnsi="Consolas"/>
                <w:color w:val="146EF5"/>
                <w:sz w:val="17"/>
              </w:rPr>
              <w:t>fees</w:t>
            </w:r>
            <w:r>
              <w:rPr>
                <w:rFonts w:ascii="Calibri" w:hAnsi="Calibri"/>
                <w:b w:val="0"/>
                <w:i w:val="0"/>
                <w:color w:val="101828"/>
                <w:sz w:val="17"/>
              </w:rPr>
              <w:t xml:space="preserve"> deferred trigger rejects at commit</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7"/>
              </w:rPr>
              <w:t>T7</w:t>
            </w:r>
          </w:p>
        </w:tc>
        <w:tc>
          <w:tcPr>
            <w:tcW w:type="dxa" w:w="3168"/>
            <w:tcMar>
              <w:top w:w="60" w:type="dxa"/>
              <w:start w:w="110" w:type="dxa"/>
              <w:bottom w:w="60" w:type="dxa"/>
              <w:end w:w="110" w:type="dxa"/>
            </w:tcMar>
          </w:tcPr>
          <w:p>
            <w:pPr>
              <w:spacing w:after="0"/>
            </w:pPr>
            <w:r/>
            <w:r>
              <w:rPr>
                <w:rFonts w:ascii="Calibri" w:hAnsi="Calibri"/>
                <w:b w:val="0"/>
                <w:i w:val="0"/>
                <w:color w:val="101828"/>
                <w:sz w:val="17"/>
              </w:rPr>
              <w:t>CR-03: two live members in one position</w:t>
            </w:r>
          </w:p>
        </w:tc>
        <w:tc>
          <w:tcPr>
            <w:tcW w:type="dxa" w:w="5040"/>
            <w:tcMar>
              <w:top w:w="60" w:type="dxa"/>
              <w:start w:w="110" w:type="dxa"/>
              <w:bottom w:w="60" w:type="dxa"/>
              <w:end w:w="110" w:type="dxa"/>
            </w:tcMar>
          </w:tcPr>
          <w:p>
            <w:pPr>
              <w:spacing w:after="0"/>
            </w:pPr>
            <w:r/>
            <w:r>
              <w:rPr>
                <w:rFonts w:ascii="Calibri" w:hAnsi="Calibri"/>
                <w:b w:val="0"/>
                <w:i w:val="0"/>
                <w:color w:val="101828"/>
                <w:sz w:val="17"/>
              </w:rPr>
              <w:t xml:space="preserve">unique violation on </w:t>
            </w:r>
            <w:r>
              <w:rPr>
                <w:rFonts w:ascii="Consolas" w:hAnsi="Consolas"/>
                <w:color w:val="146EF5"/>
                <w:sz w:val="17"/>
              </w:rPr>
              <w:t>ajo_members_one_live_position</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T8</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7"/>
              </w:rPr>
              <w:t>CR-18: a lifecycle transition not in the table</w:t>
            </w:r>
          </w:p>
        </w:tc>
        <w:tc>
          <w:tcPr>
            <w:tcW w:type="dxa" w:w="5040"/>
            <w:tcMar>
              <w:top w:w="60" w:type="dxa"/>
              <w:start w:w="110" w:type="dxa"/>
              <w:bottom w:w="60" w:type="dxa"/>
              <w:end w:w="110" w:type="dxa"/>
            </w:tcMar>
            <w:shd w:val="clear" w:color="auto" w:fill="F4F7FB"/>
          </w:tcPr>
          <w:p>
            <w:pPr>
              <w:spacing w:after="0"/>
            </w:pPr>
            <w:r/>
            <w:r>
              <w:rPr>
                <w:rFonts w:ascii="Consolas" w:hAnsi="Consolas"/>
                <w:color w:val="146EF5"/>
                <w:sz w:val="17"/>
              </w:rPr>
              <w:t>assert_lifecycle_transition</w:t>
            </w:r>
            <w:r>
              <w:rPr>
                <w:rFonts w:ascii="Calibri" w:hAnsi="Calibri"/>
                <w:b w:val="0"/>
                <w:i w:val="0"/>
                <w:color w:val="101828"/>
                <w:sz w:val="17"/>
              </w:rPr>
              <w:t xml:space="preserve"> raises with the allowed set</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7"/>
              </w:rPr>
              <w:t>T9</w:t>
            </w:r>
          </w:p>
        </w:tc>
        <w:tc>
          <w:tcPr>
            <w:tcW w:type="dxa" w:w="3168"/>
            <w:tcMar>
              <w:top w:w="60" w:type="dxa"/>
              <w:start w:w="110" w:type="dxa"/>
              <w:bottom w:w="60" w:type="dxa"/>
              <w:end w:w="110" w:type="dxa"/>
            </w:tcMar>
          </w:tcPr>
          <w:p>
            <w:pPr>
              <w:spacing w:after="0"/>
            </w:pPr>
            <w:r/>
            <w:r>
              <w:rPr>
                <w:rFonts w:ascii="Calibri" w:hAnsi="Calibri"/>
                <w:b w:val="0"/>
                <w:i w:val="0"/>
                <w:color w:val="101828"/>
                <w:sz w:val="17"/>
              </w:rPr>
              <w:t>CR-11: a fee row against a payment that does not exist</w:t>
            </w:r>
          </w:p>
        </w:tc>
        <w:tc>
          <w:tcPr>
            <w:tcW w:type="dxa" w:w="5040"/>
            <w:tcMar>
              <w:top w:w="60" w:type="dxa"/>
              <w:start w:w="110" w:type="dxa"/>
              <w:bottom w:w="60" w:type="dxa"/>
              <w:end w:w="110" w:type="dxa"/>
            </w:tcMar>
          </w:tcPr>
          <w:p>
            <w:pPr>
              <w:spacing w:after="0"/>
            </w:pPr>
            <w:r/>
            <w:r>
              <w:rPr>
                <w:rFonts w:ascii="Calibri" w:hAnsi="Calibri"/>
                <w:b w:val="0"/>
                <w:i w:val="0"/>
                <w:color w:val="101828"/>
                <w:sz w:val="17"/>
              </w:rPr>
              <w:t>foreign key violation</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T10</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7"/>
              </w:rPr>
              <w:t>CR-05: a round whose pool disagrees with its contributions</w:t>
            </w:r>
          </w:p>
        </w:tc>
        <w:tc>
          <w:tcPr>
            <w:tcW w:type="dxa" w:w="5040"/>
            <w:tcMar>
              <w:top w:w="60" w:type="dxa"/>
              <w:start w:w="110" w:type="dxa"/>
              <w:bottom w:w="60" w:type="dxa"/>
              <w:end w:w="110" w:type="dxa"/>
            </w:tcMar>
            <w:shd w:val="clear" w:color="auto" w:fill="F4F7FB"/>
          </w:tcPr>
          <w:p>
            <w:pPr>
              <w:spacing w:after="0"/>
            </w:pPr>
            <w:r/>
            <w:r>
              <w:rPr>
                <w:rFonts w:ascii="Consolas" w:hAnsi="Consolas"/>
                <w:color w:val="146EF5"/>
                <w:sz w:val="17"/>
              </w:rPr>
              <w:t>rounds_pool_matches_contributions</w:t>
            </w:r>
            <w:r>
              <w:rPr>
                <w:rFonts w:ascii="Calibri" w:hAnsi="Calibri"/>
                <w:b w:val="0"/>
                <w:i w:val="0"/>
                <w:color w:val="101828"/>
                <w:sz w:val="17"/>
              </w:rPr>
              <w:t xml:space="preserve"> raises at commit</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7"/>
              </w:rPr>
              <w:t>T11</w:t>
            </w:r>
          </w:p>
        </w:tc>
        <w:tc>
          <w:tcPr>
            <w:tcW w:type="dxa" w:w="3168"/>
            <w:tcMar>
              <w:top w:w="60" w:type="dxa"/>
              <w:start w:w="110" w:type="dxa"/>
              <w:bottom w:w="60" w:type="dxa"/>
              <w:end w:w="110" w:type="dxa"/>
            </w:tcMar>
          </w:tcPr>
          <w:p>
            <w:pPr>
              <w:spacing w:after="0"/>
            </w:pPr>
            <w:r/>
            <w:r>
              <w:rPr>
                <w:rFonts w:ascii="Calibri" w:hAnsi="Calibri"/>
                <w:b w:val="0"/>
                <w:i w:val="0"/>
                <w:color w:val="101828"/>
                <w:sz w:val="17"/>
              </w:rPr>
              <w:t>CR-07: two members released from one position</w:t>
            </w:r>
          </w:p>
        </w:tc>
        <w:tc>
          <w:tcPr>
            <w:tcW w:type="dxa" w:w="5040"/>
            <w:tcMar>
              <w:top w:w="60" w:type="dxa"/>
              <w:start w:w="110" w:type="dxa"/>
              <w:bottom w:w="60" w:type="dxa"/>
              <w:end w:w="110" w:type="dxa"/>
            </w:tcMar>
          </w:tcPr>
          <w:p>
            <w:pPr>
              <w:spacing w:after="0"/>
            </w:pPr>
            <w:r/>
            <w:r>
              <w:rPr>
                <w:rFonts w:ascii="Calibri" w:hAnsi="Calibri"/>
                <w:b w:val="0"/>
                <w:i w:val="0"/>
                <w:color w:val="101828"/>
                <w:sz w:val="17"/>
              </w:rPr>
              <w:t>The second claim violates the occupancy index; the first is released cleanly</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T12</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7"/>
              </w:rPr>
              <w:t>CR-19: a money-critical template with no SMS row</w:t>
            </w:r>
          </w:p>
        </w:tc>
        <w:tc>
          <w:tcPr>
            <w:tcW w:type="dxa" w:w="5040"/>
            <w:tcMar>
              <w:top w:w="60" w:type="dxa"/>
              <w:start w:w="110" w:type="dxa"/>
              <w:bottom w:w="60" w:type="dxa"/>
              <w:end w:w="110" w:type="dxa"/>
            </w:tcMar>
            <w:shd w:val="clear" w:color="auto" w:fill="F4F7FB"/>
          </w:tcPr>
          <w:p>
            <w:pPr>
              <w:spacing w:after="0"/>
            </w:pPr>
            <w:r/>
            <w:r>
              <w:rPr>
                <w:rFonts w:ascii="Consolas" w:hAnsi="Consolas"/>
                <w:color w:val="146EF5"/>
                <w:sz w:val="17"/>
              </w:rPr>
              <w:t>templates_critical_have_sms</w:t>
            </w:r>
            <w:r>
              <w:rPr>
                <w:rFonts w:ascii="Calibri" w:hAnsi="Calibri"/>
                <w:b w:val="0"/>
                <w:i w:val="0"/>
                <w:color w:val="101828"/>
                <w:sz w:val="17"/>
              </w:rPr>
              <w:t xml:space="preserve"> raises</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7"/>
              </w:rPr>
              <w:t>T13</w:t>
            </w:r>
          </w:p>
        </w:tc>
        <w:tc>
          <w:tcPr>
            <w:tcW w:type="dxa" w:w="3168"/>
            <w:tcMar>
              <w:top w:w="60" w:type="dxa"/>
              <w:start w:w="110" w:type="dxa"/>
              <w:bottom w:w="60" w:type="dxa"/>
              <w:end w:w="110" w:type="dxa"/>
            </w:tcMar>
          </w:tcPr>
          <w:p>
            <w:pPr>
              <w:spacing w:after="0"/>
            </w:pPr>
            <w:r/>
            <w:r>
              <w:rPr>
                <w:rFonts w:ascii="Calibri" w:hAnsi="Calibri"/>
                <w:b w:val="0"/>
                <w:i w:val="0"/>
                <w:color w:val="101828"/>
                <w:sz w:val="17"/>
              </w:rPr>
              <w:t>CR-14: positions edited after activation</w:t>
            </w:r>
          </w:p>
        </w:tc>
        <w:tc>
          <w:tcPr>
            <w:tcW w:type="dxa" w:w="5040"/>
            <w:tcMar>
              <w:top w:w="60" w:type="dxa"/>
              <w:start w:w="110" w:type="dxa"/>
              <w:bottom w:w="60" w:type="dxa"/>
              <w:end w:w="110" w:type="dxa"/>
            </w:tcMar>
          </w:tcPr>
          <w:p>
            <w:pPr>
              <w:spacing w:after="0"/>
            </w:pPr>
            <w:r/>
            <w:r>
              <w:rPr>
                <w:rFonts w:ascii="Consolas" w:hAnsi="Consolas"/>
                <w:color w:val="146EF5"/>
                <w:sz w:val="17"/>
              </w:rPr>
              <w:t>assert_positions_locked</w:t>
            </w:r>
            <w:r>
              <w:rPr>
                <w:rFonts w:ascii="Calibri" w:hAnsi="Calibri"/>
                <w:b w:val="0"/>
                <w:i w:val="0"/>
                <w:color w:val="101828"/>
                <w:sz w:val="17"/>
              </w:rPr>
              <w:t xml:space="preserve"> raises</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T14</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7"/>
              </w:rPr>
              <w:t>CR-20: a reordered lifecycle transition</w:t>
            </w:r>
          </w:p>
        </w:tc>
        <w:tc>
          <w:tcPr>
            <w:tcW w:type="dxa" w:w="5040"/>
            <w:tcMar>
              <w:top w:w="60" w:type="dxa"/>
              <w:start w:w="110" w:type="dxa"/>
              <w:bottom w:w="60" w:type="dxa"/>
              <w:end w:w="110" w:type="dxa"/>
            </w:tcMar>
            <w:shd w:val="clear" w:color="auto" w:fill="F4F7FB"/>
          </w:tcPr>
          <w:p>
            <w:pPr>
              <w:spacing w:after="0"/>
            </w:pPr>
            <w:r/>
            <w:r>
              <w:rPr>
                <w:rFonts w:ascii="Consolas" w:hAnsi="Consolas"/>
                <w:color w:val="146EF5"/>
                <w:sz w:val="17"/>
              </w:rPr>
              <w:t>assert_lifecycle_transition</w:t>
            </w:r>
            <w:r>
              <w:rPr>
                <w:rFonts w:ascii="Calibri" w:hAnsi="Calibri"/>
                <w:b w:val="0"/>
                <w:i w:val="0"/>
                <w:color w:val="101828"/>
                <w:sz w:val="17"/>
              </w:rPr>
              <w:t xml:space="preserve"> rejects the second step</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7"/>
              </w:rPr>
              <w:t>T15</w:t>
            </w:r>
          </w:p>
        </w:tc>
        <w:tc>
          <w:tcPr>
            <w:tcW w:type="dxa" w:w="3168"/>
            <w:tcMar>
              <w:top w:w="60" w:type="dxa"/>
              <w:start w:w="110" w:type="dxa"/>
              <w:bottom w:w="60" w:type="dxa"/>
              <w:end w:w="110" w:type="dxa"/>
            </w:tcMar>
          </w:tcPr>
          <w:p>
            <w:pPr>
              <w:spacing w:after="0"/>
            </w:pPr>
            <w:r/>
            <w:r>
              <w:rPr>
                <w:rFonts w:ascii="Calibri" w:hAnsi="Calibri"/>
                <w:b w:val="0"/>
                <w:i w:val="0"/>
                <w:color w:val="101828"/>
                <w:sz w:val="17"/>
              </w:rPr>
              <w:t>CR-13: a terminal Ajo moved out of its terminal state</w:t>
            </w:r>
          </w:p>
        </w:tc>
        <w:tc>
          <w:tcPr>
            <w:tcW w:type="dxa" w:w="5040"/>
            <w:tcMar>
              <w:top w:w="60" w:type="dxa"/>
              <w:start w:w="110" w:type="dxa"/>
              <w:bottom w:w="60" w:type="dxa"/>
              <w:end w:w="110" w:type="dxa"/>
            </w:tcMar>
          </w:tcPr>
          <w:p>
            <w:pPr>
              <w:spacing w:after="0"/>
            </w:pPr>
            <w:r/>
            <w:r>
              <w:rPr>
                <w:rFonts w:ascii="Consolas" w:hAnsi="Consolas"/>
                <w:color w:val="146EF5"/>
                <w:sz w:val="17"/>
              </w:rPr>
              <w:t>assert_lifecycle_transition</w:t>
            </w:r>
            <w:r>
              <w:rPr>
                <w:rFonts w:ascii="Calibri" w:hAnsi="Calibri"/>
                <w:b w:val="0"/>
                <w:i w:val="0"/>
                <w:color w:val="101828"/>
                <w:sz w:val="17"/>
              </w:rPr>
              <w:t xml:space="preserve"> raises; the timestamp CHECK holds</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T16</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7"/>
              </w:rPr>
              <w:t>CR-10: a member disputing their own contribution</w:t>
            </w:r>
          </w:p>
        </w:tc>
        <w:tc>
          <w:tcPr>
            <w:tcW w:type="dxa" w:w="5040"/>
            <w:tcMar>
              <w:top w:w="60" w:type="dxa"/>
              <w:start w:w="110" w:type="dxa"/>
              <w:bottom w:w="60" w:type="dxa"/>
              <w:end w:w="110" w:type="dxa"/>
            </w:tcMar>
            <w:shd w:val="clear" w:color="auto" w:fill="F4F7FB"/>
          </w:tcPr>
          <w:p>
            <w:pPr>
              <w:spacing w:after="0"/>
            </w:pPr>
            <w:r/>
            <w:r>
              <w:rPr>
                <w:rFonts w:ascii="Consolas" w:hAnsi="Consolas"/>
                <w:color w:val="146EF5"/>
                <w:sz w:val="17"/>
              </w:rPr>
              <w:t>disputes_not_self_dispute</w:t>
            </w:r>
            <w:r>
              <w:rPr>
                <w:rFonts w:ascii="Calibri" w:hAnsi="Calibri"/>
                <w:b w:val="0"/>
                <w:i w:val="0"/>
                <w:color w:val="101828"/>
                <w:sz w:val="17"/>
              </w:rPr>
              <w:t xml:space="preserve"> raises, having first proved the row was really inserted</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7"/>
              </w:rPr>
              <w:t>T17</w:t>
            </w:r>
          </w:p>
        </w:tc>
        <w:tc>
          <w:tcPr>
            <w:tcW w:type="dxa" w:w="3168"/>
            <w:tcMar>
              <w:top w:w="60" w:type="dxa"/>
              <w:start w:w="110" w:type="dxa"/>
              <w:bottom w:w="60" w:type="dxa"/>
              <w:end w:w="110" w:type="dxa"/>
            </w:tcMar>
          </w:tcPr>
          <w:p>
            <w:pPr>
              <w:spacing w:after="0"/>
            </w:pPr>
            <w:r/>
            <w:r>
              <w:rPr>
                <w:rFonts w:ascii="Calibri" w:hAnsi="Calibri"/>
                <w:b w:val="0"/>
                <w:i w:val="0"/>
                <w:color w:val="101828"/>
                <w:sz w:val="17"/>
              </w:rPr>
              <w:t>CR-17: a payout settled before it was recognised</w:t>
            </w:r>
          </w:p>
        </w:tc>
        <w:tc>
          <w:tcPr>
            <w:tcW w:type="dxa" w:w="5040"/>
            <w:tcMar>
              <w:top w:w="60" w:type="dxa"/>
              <w:start w:w="110" w:type="dxa"/>
              <w:bottom w:w="60" w:type="dxa"/>
              <w:end w:w="110" w:type="dxa"/>
            </w:tcMar>
          </w:tcPr>
          <w:p>
            <w:pPr>
              <w:spacing w:after="0"/>
            </w:pPr>
            <w:r/>
            <w:r>
              <w:rPr>
                <w:rFonts w:ascii="Consolas" w:hAnsi="Consolas"/>
                <w:color w:val="146EF5"/>
                <w:sz w:val="17"/>
              </w:rPr>
              <w:t>assert_ledger_sequence</w:t>
            </w:r>
            <w:r>
              <w:rPr>
                <w:rFonts w:ascii="Calibri" w:hAnsi="Calibri"/>
                <w:b w:val="0"/>
                <w:i w:val="0"/>
                <w:color w:val="101828"/>
                <w:sz w:val="17"/>
              </w:rPr>
              <w:t xml:space="preserve"> raises</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T18</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7"/>
              </w:rPr>
              <w:t>CR-21: a reversal of a reversal</w:t>
            </w:r>
          </w:p>
        </w:tc>
        <w:tc>
          <w:tcPr>
            <w:tcW w:type="dxa" w:w="5040"/>
            <w:tcMar>
              <w:top w:w="60" w:type="dxa"/>
              <w:start w:w="110" w:type="dxa"/>
              <w:bottom w:w="60" w:type="dxa"/>
              <w:end w:w="110" w:type="dxa"/>
            </w:tcMar>
            <w:shd w:val="clear" w:color="auto" w:fill="F4F7FB"/>
          </w:tcPr>
          <w:p>
            <w:pPr>
              <w:spacing w:after="0"/>
            </w:pPr>
            <w:r/>
            <w:r>
              <w:rPr>
                <w:rFonts w:ascii="Consolas" w:hAnsi="Consolas"/>
                <w:color w:val="146EF5"/>
                <w:sz w:val="17"/>
              </w:rPr>
              <w:t>reversals are one level deep (CR-21)</w:t>
            </w:r>
            <w:r>
              <w:rPr>
                <w:rFonts w:ascii="Calibri" w:hAnsi="Calibri"/>
                <w:b w:val="0"/>
                <w:i w:val="0"/>
                <w:color w:val="101828"/>
                <w:sz w:val="17"/>
              </w:rPr>
              <w:t>, reached with mirrored postings so it is the reversal rule and not the balance rule that fires</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7"/>
              </w:rPr>
              <w:t>T19–T22</w:t>
            </w:r>
          </w:p>
        </w:tc>
        <w:tc>
          <w:tcPr>
            <w:tcW w:type="dxa" w:w="3168"/>
            <w:tcMar>
              <w:top w:w="60" w:type="dxa"/>
              <w:start w:w="110" w:type="dxa"/>
              <w:bottom w:w="60" w:type="dxa"/>
              <w:end w:w="110" w:type="dxa"/>
            </w:tcMar>
          </w:tcPr>
          <w:p>
            <w:pPr>
              <w:spacing w:after="0"/>
            </w:pPr>
            <w:r/>
            <w:r>
              <w:rPr>
                <w:rFonts w:ascii="Calibri" w:hAnsi="Calibri"/>
                <w:b w:val="0"/>
                <w:i w:val="0"/>
                <w:color w:val="101828"/>
                <w:sz w:val="17"/>
              </w:rPr>
              <w:t>CR-04, CR-08, CR-09, CR-16 as applied to defaults, claims, notifications and terminal writes</w:t>
            </w:r>
          </w:p>
        </w:tc>
        <w:tc>
          <w:tcPr>
            <w:tcW w:type="dxa" w:w="5040"/>
            <w:tcMar>
              <w:top w:w="60" w:type="dxa"/>
              <w:start w:w="110" w:type="dxa"/>
              <w:bottom w:w="60" w:type="dxa"/>
              <w:end w:w="110" w:type="dxa"/>
            </w:tcMar>
          </w:tcPr>
          <w:p>
            <w:pPr>
              <w:spacing w:after="0"/>
            </w:pPr>
            <w:r/>
            <w:r>
              <w:rPr>
                <w:rFonts w:ascii="Calibri" w:hAnsi="Calibri"/>
                <w:b w:val="0"/>
                <w:i w:val="0"/>
                <w:color w:val="101828"/>
                <w:sz w:val="17"/>
              </w:rPr>
              <w:t>Each named constraint raises</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T23</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7"/>
              </w:rPr>
              <w:t>CR-06: after a full run, every ledger transaction still balances</w:t>
            </w:r>
          </w:p>
        </w:tc>
        <w:tc>
          <w:tcPr>
            <w:tcW w:type="dxa" w:w="5040"/>
            <w:tcMar>
              <w:top w:w="60" w:type="dxa"/>
              <w:start w:w="110" w:type="dxa"/>
              <w:bottom w:w="60" w:type="dxa"/>
              <w:end w:w="110" w:type="dxa"/>
            </w:tcMar>
            <w:shd w:val="clear" w:color="auto" w:fill="F4F7FB"/>
          </w:tcPr>
          <w:p>
            <w:pPr>
              <w:spacing w:after="0"/>
            </w:pPr>
            <w:r/>
            <w:r>
              <w:rPr>
                <w:rFonts w:ascii="Calibri" w:hAnsi="Calibri"/>
                <w:b w:val="0"/>
                <w:i w:val="0"/>
                <w:color w:val="101828"/>
                <w:sz w:val="17"/>
              </w:rPr>
              <w:t>Passes; 4 transactions, every posting accounted for</w:t>
            </w:r>
          </w:p>
        </w:tc>
      </w:tr>
    </w:tbl>
    <w:p>
      <w:pPr>
        <w:spacing w:after="80"/>
      </w:pPr>
    </w:p>
    <w:p>
      <w:r>
        <w:rPr>
          <w:rFonts w:ascii="Calibri" w:hAnsi="Calibri"/>
          <w:b w:val="0"/>
          <w:i w:val="0"/>
          <w:color w:val="101828"/>
          <w:sz w:val="21"/>
        </w:rPr>
        <w:t xml:space="preserve">T16 and T18 are worth a note, because both were passing for the wrong reason when they were first written. T16 set a duplicate reason code, so the insert failed on the reason constraint and the self-dispute rule was never reached; the fix was a distinct reason. T18 inserted a reversal with a single posting, so it tripped the two-posting rule and proved nothing about reversal depth; the fix was mirrored postings with the correct </w:t>
      </w:r>
      <w:r>
        <w:rPr>
          <w:rFonts w:ascii="Consolas" w:hAnsi="Consolas"/>
          <w:color w:val="146EF5"/>
          <w:sz w:val="21"/>
        </w:rPr>
        <w:t>ledger_side</w:t>
      </w:r>
      <w:r>
        <w:rPr>
          <w:rFonts w:ascii="Calibri" w:hAnsi="Calibri"/>
          <w:b w:val="0"/>
          <w:i w:val="0"/>
          <w:color w:val="101828"/>
          <w:sz w:val="21"/>
        </w:rPr>
        <w:t>, which is what made the test reach CR-21. A green test and a tested rule are different things, and the difference is almost always an earlier constraint firing first.</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7"/>
              </w:rPr>
              <w:t>RLS test</w:t>
            </w:r>
          </w:p>
        </w:tc>
        <w:tc>
          <w:tcPr>
            <w:tcW w:type="dxa" w:w="8208"/>
            <w:shd w:val="clear" w:color="auto" w:fill="0B1F3A"/>
            <w:tcMar>
              <w:top w:w="60" w:type="dxa"/>
              <w:start w:w="110" w:type="dxa"/>
              <w:bottom w:w="60" w:type="dxa"/>
              <w:end w:w="110" w:type="dxa"/>
            </w:tcMar>
          </w:tcPr>
          <w:p>
            <w:pPr>
              <w:spacing w:after="0"/>
            </w:pPr>
            <w:r/>
            <w:r>
              <w:rPr>
                <w:rFonts w:ascii="Calibri" w:hAnsi="Calibri"/>
                <w:b/>
                <w:i w:val="0"/>
                <w:color w:val="FFFFFF"/>
                <w:sz w:val="17"/>
              </w:rPr>
              <w:t>Assertion</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7"/>
              </w:rPr>
              <w:t>R1</w:t>
            </w:r>
          </w:p>
        </w:tc>
        <w:tc>
          <w:tcPr>
            <w:tcW w:type="dxa" w:w="8208"/>
            <w:tcMar>
              <w:top w:w="60" w:type="dxa"/>
              <w:start w:w="110" w:type="dxa"/>
              <w:bottom w:w="60" w:type="dxa"/>
              <w:end w:w="110" w:type="dxa"/>
            </w:tcMar>
          </w:tcPr>
          <w:p>
            <w:pPr>
              <w:spacing w:after="0"/>
            </w:pPr>
            <w:r/>
            <w:r>
              <w:rPr>
                <w:rFonts w:ascii="Calibri" w:hAnsi="Calibri"/>
                <w:b w:val="0"/>
                <w:i w:val="0"/>
                <w:color w:val="101828"/>
                <w:sz w:val="17"/>
              </w:rPr>
              <w:t>A member sees own profile, memberships, joined Ajo, rounds and positions</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R2</w:t>
            </w:r>
          </w:p>
        </w:tc>
        <w:tc>
          <w:tcPr>
            <w:tcW w:type="dxa" w:w="8208"/>
            <w:tcMar>
              <w:top w:w="60" w:type="dxa"/>
              <w:start w:w="110" w:type="dxa"/>
              <w:bottom w:w="60" w:type="dxa"/>
              <w:end w:w="110" w:type="dxa"/>
            </w:tcMar>
            <w:shd w:val="clear" w:color="auto" w:fill="F4F7FB"/>
          </w:tcPr>
          <w:p>
            <w:pPr>
              <w:spacing w:after="0"/>
            </w:pPr>
            <w:r/>
            <w:r>
              <w:rPr>
                <w:rFonts w:ascii="Calibri" w:hAnsi="Calibri"/>
                <w:b w:val="0"/>
                <w:i w:val="0"/>
                <w:color w:val="101828"/>
                <w:sz w:val="17"/>
              </w:rPr>
              <w:t>A member sees a co-member's profile and no other member's</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7"/>
              </w:rPr>
              <w:t>R3</w:t>
            </w:r>
          </w:p>
        </w:tc>
        <w:tc>
          <w:tcPr>
            <w:tcW w:type="dxa" w:w="8208"/>
            <w:tcMar>
              <w:top w:w="60" w:type="dxa"/>
              <w:start w:w="110" w:type="dxa"/>
              <w:bottom w:w="60" w:type="dxa"/>
              <w:end w:w="110" w:type="dxa"/>
            </w:tcMar>
          </w:tcPr>
          <w:p>
            <w:pPr>
              <w:spacing w:after="0"/>
            </w:pPr>
            <w:r/>
            <w:r>
              <w:rPr>
                <w:rFonts w:ascii="Calibri" w:hAnsi="Calibri"/>
                <w:b w:val="0"/>
                <w:i w:val="0"/>
                <w:color w:val="101828"/>
                <w:sz w:val="17"/>
              </w:rPr>
              <w:t>An exited member still sees own rows, and the organizer's own rows are visible to the organizer</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R4</w:t>
            </w:r>
          </w:p>
        </w:tc>
        <w:tc>
          <w:tcPr>
            <w:tcW w:type="dxa" w:w="8208"/>
            <w:tcMar>
              <w:top w:w="60" w:type="dxa"/>
              <w:start w:w="110" w:type="dxa"/>
              <w:bottom w:w="60" w:type="dxa"/>
              <w:end w:w="110" w:type="dxa"/>
            </w:tcMar>
            <w:shd w:val="clear" w:color="auto" w:fill="F4F7FB"/>
          </w:tcPr>
          <w:p>
            <w:pPr>
              <w:spacing w:after="0"/>
            </w:pPr>
            <w:r/>
            <w:r>
              <w:rPr>
                <w:rFonts w:ascii="Calibri" w:hAnsi="Calibri"/>
                <w:b w:val="0"/>
                <w:i w:val="0"/>
                <w:color w:val="101828"/>
                <w:sz w:val="17"/>
              </w:rPr>
              <w:t>A member sees zero ledger rows</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7"/>
              </w:rPr>
              <w:t>R5</w:t>
            </w:r>
          </w:p>
        </w:tc>
        <w:tc>
          <w:tcPr>
            <w:tcW w:type="dxa" w:w="8208"/>
            <w:tcMar>
              <w:top w:w="60" w:type="dxa"/>
              <w:start w:w="110" w:type="dxa"/>
              <w:bottom w:w="60" w:type="dxa"/>
              <w:end w:w="110" w:type="dxa"/>
            </w:tcMar>
          </w:tcPr>
          <w:p>
            <w:pPr>
              <w:spacing w:after="0"/>
            </w:pPr>
            <w:r/>
            <w:r>
              <w:rPr>
                <w:rFonts w:ascii="Calibri" w:hAnsi="Calibri"/>
                <w:b w:val="0"/>
                <w:i w:val="0"/>
                <w:color w:val="101828"/>
                <w:sz w:val="17"/>
              </w:rPr>
              <w:t>A member cannot see a co-member's defaulted contribution, and the organizer's default is visible to the organizer</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R5b</w:t>
            </w:r>
          </w:p>
        </w:tc>
        <w:tc>
          <w:tcPr>
            <w:tcW w:type="dxa" w:w="8208"/>
            <w:tcMar>
              <w:top w:w="60" w:type="dxa"/>
              <w:start w:w="110" w:type="dxa"/>
              <w:bottom w:w="60" w:type="dxa"/>
              <w:end w:w="110" w:type="dxa"/>
            </w:tcMar>
            <w:shd w:val="clear" w:color="auto" w:fill="F4F7FB"/>
          </w:tcPr>
          <w:p>
            <w:pPr>
              <w:spacing w:after="0"/>
            </w:pPr>
            <w:r/>
            <w:r>
              <w:rPr>
                <w:rFonts w:ascii="Calibri" w:hAnsi="Calibri"/>
                <w:b w:val="0"/>
                <w:i w:val="0"/>
                <w:color w:val="101828"/>
                <w:sz w:val="17"/>
              </w:rPr>
              <w:t>The member's own defaulted contribution is visible to that member</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7"/>
              </w:rPr>
              <w:t>R5c</w:t>
            </w:r>
          </w:p>
        </w:tc>
        <w:tc>
          <w:tcPr>
            <w:tcW w:type="dxa" w:w="8208"/>
            <w:tcMar>
              <w:top w:w="60" w:type="dxa"/>
              <w:start w:w="110" w:type="dxa"/>
              <w:bottom w:w="60" w:type="dxa"/>
              <w:end w:w="110" w:type="dxa"/>
            </w:tcMar>
          </w:tcPr>
          <w:p>
            <w:pPr>
              <w:spacing w:after="0"/>
            </w:pPr>
            <w:r/>
            <w:r>
              <w:rPr>
                <w:rFonts w:ascii="Calibri" w:hAnsi="Calibri"/>
                <w:b w:val="0"/>
                <w:i w:val="0"/>
                <w:color w:val="101828"/>
                <w:sz w:val="17"/>
              </w:rPr>
              <w:t>A co-member's paid contribution is visible, and their defaulted one is not</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R5d</w:t>
            </w:r>
          </w:p>
        </w:tc>
        <w:tc>
          <w:tcPr>
            <w:tcW w:type="dxa" w:w="8208"/>
            <w:tcMar>
              <w:top w:w="60" w:type="dxa"/>
              <w:start w:w="110" w:type="dxa"/>
              <w:bottom w:w="60" w:type="dxa"/>
              <w:end w:w="110" w:type="dxa"/>
            </w:tcMar>
            <w:shd w:val="clear" w:color="auto" w:fill="F4F7FB"/>
          </w:tcPr>
          <w:p>
            <w:pPr>
              <w:spacing w:after="0"/>
            </w:pPr>
            <w:r/>
            <w:r>
              <w:rPr>
                <w:rFonts w:ascii="Calibri" w:hAnsi="Calibri"/>
                <w:b w:val="0"/>
                <w:i w:val="0"/>
                <w:color w:val="101828"/>
                <w:sz w:val="17"/>
              </w:rPr>
              <w:t>The affected member, the organizer and staff each see the defaulted row; no other live member does</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7"/>
              </w:rPr>
              <w:t>R6</w:t>
            </w:r>
          </w:p>
        </w:tc>
        <w:tc>
          <w:tcPr>
            <w:tcW w:type="dxa" w:w="8208"/>
            <w:tcMar>
              <w:top w:w="60" w:type="dxa"/>
              <w:start w:w="110" w:type="dxa"/>
              <w:bottom w:w="60" w:type="dxa"/>
              <w:end w:w="110" w:type="dxa"/>
            </w:tcMar>
          </w:tcPr>
          <w:p>
            <w:pPr>
              <w:spacing w:after="0"/>
            </w:pPr>
            <w:r/>
            <w:r>
              <w:rPr>
                <w:rFonts w:ascii="Calibri" w:hAnsi="Calibri"/>
                <w:b w:val="0"/>
                <w:i w:val="0"/>
                <w:color w:val="101828"/>
                <w:sz w:val="17"/>
              </w:rPr>
              <w:t>A member's own payment and fee are visible; another member's are not</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R7</w:t>
            </w:r>
          </w:p>
        </w:tc>
        <w:tc>
          <w:tcPr>
            <w:tcW w:type="dxa" w:w="8208"/>
            <w:tcMar>
              <w:top w:w="60" w:type="dxa"/>
              <w:start w:w="110" w:type="dxa"/>
              <w:bottom w:w="60" w:type="dxa"/>
              <w:end w:w="110" w:type="dxa"/>
            </w:tcMar>
            <w:shd w:val="clear" w:color="auto" w:fill="F4F7FB"/>
          </w:tcPr>
          <w:p>
            <w:pPr>
              <w:spacing w:after="0"/>
            </w:pPr>
            <w:r/>
            <w:r>
              <w:rPr>
                <w:rFonts w:ascii="Calibri" w:hAnsi="Calibri"/>
                <w:b w:val="0"/>
                <w:i w:val="0"/>
                <w:color w:val="101828"/>
                <w:sz w:val="17"/>
              </w:rPr>
              <w:t>Member-visible money adds up: 100,000 base, 102,000 charged, 2,000 fee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7"/>
              </w:rPr>
              <w:t>R8</w:t>
            </w:r>
          </w:p>
        </w:tc>
        <w:tc>
          <w:tcPr>
            <w:tcW w:type="dxa" w:w="8208"/>
            <w:tcMar>
              <w:top w:w="60" w:type="dxa"/>
              <w:start w:w="110" w:type="dxa"/>
              <w:bottom w:w="60" w:type="dxa"/>
              <w:end w:w="110" w:type="dxa"/>
            </w:tcMar>
          </w:tcPr>
          <w:p>
            <w:pPr>
              <w:spacing w:after="0"/>
            </w:pPr>
            <w:r/>
            <w:r>
              <w:rPr>
                <w:rFonts w:ascii="Calibri" w:hAnsi="Calibri"/>
                <w:b w:val="0"/>
                <w:i w:val="0"/>
                <w:color w:val="101828"/>
                <w:sz w:val="17"/>
              </w:rPr>
              <w:t xml:space="preserve">A non-organizer member cannot insert a contribution: </w:t>
            </w:r>
            <w:r>
              <w:rPr>
                <w:rFonts w:ascii="Consolas" w:hAnsi="Consolas"/>
                <w:color w:val="146EF5"/>
                <w:sz w:val="17"/>
              </w:rPr>
              <w:t>WITH CHECK</w:t>
            </w:r>
            <w:r>
              <w:rPr>
                <w:rFonts w:ascii="Calibri" w:hAnsi="Calibri"/>
                <w:b w:val="0"/>
                <w:i w:val="0"/>
                <w:color w:val="101828"/>
                <w:sz w:val="17"/>
              </w:rPr>
              <w:t xml:space="preserve"> violation, the one expected error in the suite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R9</w:t>
            </w:r>
          </w:p>
        </w:tc>
        <w:tc>
          <w:tcPr>
            <w:tcW w:type="dxa" w:w="8208"/>
            <w:tcMar>
              <w:top w:w="60" w:type="dxa"/>
              <w:start w:w="110" w:type="dxa"/>
              <w:bottom w:w="60" w:type="dxa"/>
              <w:end w:w="110" w:type="dxa"/>
            </w:tcMar>
            <w:shd w:val="clear" w:color="auto" w:fill="F4F7FB"/>
          </w:tcPr>
          <w:p>
            <w:pPr>
              <w:spacing w:after="0"/>
            </w:pPr>
            <w:r/>
            <w:r>
              <w:rPr>
                <w:rFonts w:ascii="Calibri" w:hAnsi="Calibri"/>
                <w:b w:val="0"/>
                <w:i w:val="0"/>
                <w:color w:val="101828"/>
                <w:sz w:val="17"/>
              </w:rPr>
              <w:t>An anonymous request sees zero reference rows</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7"/>
              </w:rPr>
              <w:t>R10</w:t>
            </w:r>
          </w:p>
        </w:tc>
        <w:tc>
          <w:tcPr>
            <w:tcW w:type="dxa" w:w="8208"/>
            <w:tcMar>
              <w:top w:w="60" w:type="dxa"/>
              <w:start w:w="110" w:type="dxa"/>
              <w:bottom w:w="60" w:type="dxa"/>
              <w:end w:w="110" w:type="dxa"/>
            </w:tcMar>
          </w:tcPr>
          <w:p>
            <w:pPr>
              <w:spacing w:after="0"/>
            </w:pPr>
            <w:r/>
            <w:r>
              <w:rPr>
                <w:rFonts w:ascii="Calibri" w:hAnsi="Calibri"/>
                <w:b w:val="0"/>
                <w:i w:val="0"/>
                <w:color w:val="101828"/>
                <w:sz w:val="17"/>
              </w:rPr>
              <w:t>Staff sees the ledger: 4 transactions, all balanced</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R11</w:t>
            </w:r>
          </w:p>
        </w:tc>
        <w:tc>
          <w:tcPr>
            <w:tcW w:type="dxa" w:w="8208"/>
            <w:tcMar>
              <w:top w:w="60" w:type="dxa"/>
              <w:start w:w="110" w:type="dxa"/>
              <w:bottom w:w="60" w:type="dxa"/>
              <w:end w:w="110" w:type="dxa"/>
            </w:tcMar>
            <w:shd w:val="clear" w:color="auto" w:fill="F4F7FB"/>
          </w:tcPr>
          <w:p>
            <w:pPr>
              <w:spacing w:after="0"/>
            </w:pPr>
            <w:r/>
            <w:r>
              <w:rPr>
                <w:rFonts w:ascii="Calibri" w:hAnsi="Calibri"/>
                <w:b w:val="0"/>
                <w:i w:val="0"/>
                <w:color w:val="101828"/>
                <w:sz w:val="17"/>
              </w:rPr>
              <w:t xml:space="preserve">A non-staff role sees zero </w:t>
            </w:r>
            <w:r>
              <w:rPr>
                <w:rFonts w:ascii="Consolas" w:hAnsi="Consolas"/>
                <w:color w:val="146EF5"/>
                <w:sz w:val="17"/>
              </w:rPr>
              <w:t>audit_logs</w:t>
            </w:r>
            <w:r>
              <w:rPr>
                <w:rFonts w:ascii="Calibri" w:hAnsi="Calibri"/>
                <w:b w:val="0"/>
                <w:i w:val="0"/>
                <w:color w:val="101828"/>
                <w:sz w:val="17"/>
              </w:rPr>
              <w:t xml:space="preserve"> rows</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7"/>
              </w:rPr>
              <w:t>R12</w:t>
            </w:r>
          </w:p>
        </w:tc>
        <w:tc>
          <w:tcPr>
            <w:tcW w:type="dxa" w:w="8208"/>
            <w:tcMar>
              <w:top w:w="60" w:type="dxa"/>
              <w:start w:w="110" w:type="dxa"/>
              <w:bottom w:w="60" w:type="dxa"/>
              <w:end w:w="110" w:type="dxa"/>
            </w:tcMar>
          </w:tcPr>
          <w:p>
            <w:pPr>
              <w:spacing w:after="0"/>
            </w:pPr>
            <w:r/>
            <w:r>
              <w:rPr>
                <w:rFonts w:ascii="Calibri" w:hAnsi="Calibri"/>
                <w:b w:val="0"/>
                <w:i w:val="0"/>
                <w:color w:val="101828"/>
                <w:sz w:val="17"/>
              </w:rPr>
              <w:t xml:space="preserve">A non-staff role sees zero </w:t>
            </w:r>
            <w:r>
              <w:rPr>
                <w:rFonts w:ascii="Consolas" w:hAnsi="Consolas"/>
                <w:color w:val="146EF5"/>
                <w:sz w:val="17"/>
              </w:rPr>
              <w:t>risk_events</w:t>
            </w:r>
            <w:r>
              <w:rPr>
                <w:rFonts w:ascii="Calibri" w:hAnsi="Calibri"/>
                <w:b w:val="0"/>
                <w:i w:val="0"/>
                <w:color w:val="101828"/>
                <w:sz w:val="17"/>
              </w:rPr>
              <w:t xml:space="preserve"> rows</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R13</w:t>
            </w:r>
          </w:p>
        </w:tc>
        <w:tc>
          <w:tcPr>
            <w:tcW w:type="dxa" w:w="8208"/>
            <w:tcMar>
              <w:top w:w="60" w:type="dxa"/>
              <w:start w:w="110" w:type="dxa"/>
              <w:bottom w:w="60" w:type="dxa"/>
              <w:end w:w="110" w:type="dxa"/>
            </w:tcMar>
            <w:shd w:val="clear" w:color="auto" w:fill="F4F7FB"/>
          </w:tcPr>
          <w:p>
            <w:pPr>
              <w:spacing w:after="0"/>
            </w:pPr>
            <w:r/>
            <w:r>
              <w:rPr>
                <w:rFonts w:ascii="Calibri" w:hAnsi="Calibri"/>
                <w:b w:val="0"/>
                <w:i w:val="0"/>
                <w:color w:val="101828"/>
                <w:sz w:val="17"/>
              </w:rPr>
              <w:t>An exited member's payment is still visible to that member</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7"/>
              </w:rPr>
              <w:t>R14</w:t>
            </w:r>
          </w:p>
        </w:tc>
        <w:tc>
          <w:tcPr>
            <w:tcW w:type="dxa" w:w="8208"/>
            <w:tcMar>
              <w:top w:w="60" w:type="dxa"/>
              <w:start w:w="110" w:type="dxa"/>
              <w:bottom w:w="60" w:type="dxa"/>
              <w:end w:w="110" w:type="dxa"/>
            </w:tcMar>
          </w:tcPr>
          <w:p>
            <w:pPr>
              <w:spacing w:after="0"/>
            </w:pPr>
            <w:r/>
            <w:r>
              <w:rPr>
                <w:rFonts w:ascii="Calibri" w:hAnsi="Calibri"/>
                <w:b w:val="0"/>
                <w:i w:val="0"/>
                <w:color w:val="101828"/>
                <w:sz w:val="17"/>
              </w:rPr>
              <w:t>A dispute is visible to a party and invisible to an uninvolved member</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R15</w:t>
            </w:r>
          </w:p>
        </w:tc>
        <w:tc>
          <w:tcPr>
            <w:tcW w:type="dxa" w:w="8208"/>
            <w:tcMar>
              <w:top w:w="60" w:type="dxa"/>
              <w:start w:w="110" w:type="dxa"/>
              <w:bottom w:w="60" w:type="dxa"/>
              <w:end w:w="110" w:type="dxa"/>
            </w:tcMar>
            <w:shd w:val="clear" w:color="auto" w:fill="F4F7FB"/>
          </w:tcPr>
          <w:p>
            <w:pPr>
              <w:spacing w:after="0"/>
            </w:pPr>
            <w:r/>
            <w:r>
              <w:rPr>
                <w:rFonts w:ascii="Calibri" w:hAnsi="Calibri"/>
                <w:b w:val="0"/>
                <w:i w:val="0"/>
                <w:color w:val="101828"/>
                <w:sz w:val="17"/>
              </w:rPr>
              <w:t>Reference data is readable by a signed-in member</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7"/>
              </w:rPr>
              <w:t>R16</w:t>
            </w:r>
          </w:p>
        </w:tc>
        <w:tc>
          <w:tcPr>
            <w:tcW w:type="dxa" w:w="8208"/>
            <w:tcMar>
              <w:top w:w="60" w:type="dxa"/>
              <w:start w:w="110" w:type="dxa"/>
              <w:bottom w:w="60" w:type="dxa"/>
              <w:end w:w="110" w:type="dxa"/>
            </w:tcMar>
          </w:tcPr>
          <w:p>
            <w:pPr>
              <w:spacing w:after="0"/>
            </w:pPr>
            <w:r/>
            <w:r>
              <w:rPr>
                <w:rFonts w:ascii="Consolas" w:hAnsi="Consolas"/>
                <w:color w:val="146EF5"/>
                <w:sz w:val="17"/>
              </w:rPr>
              <w:t>platform_settings</w:t>
            </w:r>
            <w:r>
              <w:rPr>
                <w:rFonts w:ascii="Calibri" w:hAnsi="Calibri"/>
                <w:b w:val="0"/>
                <w:i w:val="0"/>
                <w:color w:val="101828"/>
                <w:sz w:val="17"/>
              </w:rPr>
              <w:t xml:space="preserve"> is readable by a member and not writable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R17</w:t>
            </w:r>
          </w:p>
        </w:tc>
        <w:tc>
          <w:tcPr>
            <w:tcW w:type="dxa" w:w="8208"/>
            <w:tcMar>
              <w:top w:w="60" w:type="dxa"/>
              <w:start w:w="110" w:type="dxa"/>
              <w:bottom w:w="60" w:type="dxa"/>
              <w:end w:w="110" w:type="dxa"/>
            </w:tcMar>
            <w:shd w:val="clear" w:color="auto" w:fill="F4F7FB"/>
          </w:tcPr>
          <w:p>
            <w:pPr>
              <w:spacing w:after="0"/>
            </w:pPr>
            <w:r/>
            <w:r>
              <w:rPr>
                <w:rFonts w:ascii="Calibri" w:hAnsi="Calibri"/>
                <w:b w:val="0"/>
                <w:i w:val="0"/>
                <w:color w:val="101828"/>
                <w:sz w:val="17"/>
              </w:rPr>
              <w:t xml:space="preserve">A member cannot see another member's </w:t>
            </w:r>
            <w:r>
              <w:rPr>
                <w:rFonts w:ascii="Consolas" w:hAnsi="Consolas"/>
                <w:color w:val="146EF5"/>
                <w:sz w:val="17"/>
              </w:rPr>
              <w:t>idempotency_keys</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7"/>
              </w:rPr>
              <w:t>R18</w:t>
            </w:r>
          </w:p>
        </w:tc>
        <w:tc>
          <w:tcPr>
            <w:tcW w:type="dxa" w:w="8208"/>
            <w:tcMar>
              <w:top w:w="60" w:type="dxa"/>
              <w:start w:w="110" w:type="dxa"/>
              <w:bottom w:w="60" w:type="dxa"/>
              <w:end w:w="110" w:type="dxa"/>
            </w:tcMar>
          </w:tcPr>
          <w:p>
            <w:pPr>
              <w:spacing w:after="0"/>
            </w:pPr>
            <w:r/>
            <w:r>
              <w:rPr>
                <w:rFonts w:ascii="Calibri" w:hAnsi="Calibri"/>
                <w:b w:val="0"/>
                <w:i w:val="0"/>
                <w:color w:val="101828"/>
                <w:sz w:val="17"/>
              </w:rPr>
              <w:t xml:space="preserve">A member cannot see </w:t>
            </w:r>
            <w:r>
              <w:rPr>
                <w:rFonts w:ascii="Consolas" w:hAnsi="Consolas"/>
                <w:color w:val="146EF5"/>
                <w:sz w:val="17"/>
              </w:rPr>
              <w:t>outbox_events</w:t>
            </w:r>
            <w:r>
              <w:rPr>
                <w:rFonts w:ascii="Calibri" w:hAnsi="Calibri"/>
                <w:b w:val="0"/>
                <w:i w:val="0"/>
                <w:color w:val="101828"/>
                <w:sz w:val="17"/>
              </w:rPr>
              <w:t xml:space="preserve"> or </w:t>
            </w:r>
            <w:r>
              <w:rPr>
                <w:rFonts w:ascii="Consolas" w:hAnsi="Consolas"/>
                <w:color w:val="146EF5"/>
                <w:sz w:val="17"/>
              </w:rPr>
              <w:t>webhook_events</w:t>
            </w:r>
          </w:p>
        </w:tc>
      </w:tr>
    </w:tbl>
    <w:p>
      <w:pPr>
        <w:spacing w:after="80"/>
      </w:pPr>
    </w:p>
    <w:p>
      <w:r>
        <w:rPr>
          <w:rFonts w:ascii="Calibri" w:hAnsi="Calibri"/>
          <w:b w:val="0"/>
          <w:i w:val="0"/>
          <w:color w:val="101828"/>
          <w:sz w:val="21"/>
        </w:rPr>
        <w:t xml:space="preserve">The suite is run as </w:t>
      </w:r>
      <w:r>
        <w:rPr>
          <w:rFonts w:ascii="Consolas" w:hAnsi="Consolas"/>
          <w:color w:val="146EF5"/>
          <w:sz w:val="21"/>
        </w:rPr>
        <w:t>SET ROLE ajo_app</w:t>
      </w:r>
      <w:r>
        <w:rPr>
          <w:rFonts w:ascii="Calibri" w:hAnsi="Calibri"/>
          <w:b w:val="0"/>
          <w:i w:val="0"/>
          <w:color w:val="101828"/>
          <w:sz w:val="21"/>
        </w:rPr>
        <w:t xml:space="preserve"> with the request GUCs set, never as the table owner, because a policy test executed with owner privileges passes vacuously. That distinction is the whole reason this section exists as a table of refusals rather than a claim that the policies are correct.</w:t>
      </w:r>
    </w:p>
    <w:p>
      <w:pPr>
        <w:pStyle w:val="Heading3"/>
      </w:pPr>
      <w:r>
        <w:rPr>
          <w:rFonts w:ascii="Calibri" w:hAnsi="Calibri"/>
          <w:b/>
          <w:i w:val="0"/>
          <w:color w:val="0B1F3A"/>
          <w:sz w:val="24"/>
        </w:rPr>
        <w:t>9.14.1 The checklist</w:t>
      </w:r>
    </w:p>
    <w:p>
      <w:pPr>
        <w:pStyle w:val="ListBullet"/>
        <w:spacing w:after="60"/>
        <w:ind w:left="360"/>
      </w:pPr>
      <w:r>
        <w:rPr>
          <w:rFonts w:ascii="Calibri" w:hAnsi="Calibri"/>
          <w:b w:val="0"/>
          <w:i w:val="0"/>
          <w:color w:val="101828"/>
          <w:sz w:val="21"/>
        </w:rPr>
        <w:t>All four migration files apply in order to an empty database with no error, from a clean cluster.</w:t>
      </w:r>
    </w:p>
    <w:p>
      <w:pPr>
        <w:pStyle w:val="ListBullet"/>
        <w:spacing w:after="60"/>
        <w:ind w:left="360"/>
      </w:pPr>
      <w:r>
        <w:rPr>
          <w:rFonts w:ascii="Calibri" w:hAnsi="Calibri"/>
          <w:b w:val="0"/>
          <w:i w:val="0"/>
          <w:color w:val="101828"/>
          <w:sz w:val="21"/>
        </w:rPr>
        <w:t>The reference generator produces UUIDv7: version nibble 7, variant bits 10, and a timestamp that sorts with creation order.</w:t>
      </w:r>
    </w:p>
    <w:p>
      <w:pPr>
        <w:pStyle w:val="ListBullet"/>
        <w:spacing w:after="60"/>
        <w:ind w:left="360"/>
      </w:pPr>
      <w:r>
        <w:rPr>
          <w:rFonts w:ascii="Calibri" w:hAnsi="Calibri"/>
          <w:b w:val="0"/>
          <w:i w:val="0"/>
          <w:color w:val="101828"/>
          <w:sz w:val="21"/>
        </w:rPr>
        <w:t>Every money test in 9.5 holds on real rows, including the 2% half-up boundary and the defaulted-contribution restatement.</w:t>
      </w:r>
    </w:p>
    <w:p>
      <w:pPr>
        <w:pStyle w:val="ListBullet"/>
        <w:spacing w:after="60"/>
        <w:ind w:left="360"/>
      </w:pPr>
      <w:r>
        <w:rPr>
          <w:rFonts w:ascii="Calibri" w:hAnsi="Calibri"/>
          <w:b w:val="0"/>
          <w:i w:val="0"/>
          <w:color w:val="101828"/>
          <w:sz w:val="21"/>
        </w:rPr>
        <w:t>Every rule in the table above fails with its named constraint, asserted by name rather than by the presence of any error.</w:t>
      </w:r>
    </w:p>
    <w:p>
      <w:pPr>
        <w:pStyle w:val="ListBullet"/>
        <w:spacing w:after="60"/>
        <w:ind w:left="360"/>
      </w:pPr>
      <w:r>
        <w:rPr>
          <w:rFonts w:ascii="Calibri" w:hAnsi="Calibri"/>
          <w:b w:val="0"/>
          <w:i w:val="0"/>
          <w:color w:val="101828"/>
          <w:sz w:val="21"/>
        </w:rPr>
        <w:t xml:space="preserve">The twenty-two RLS assertions run as </w:t>
      </w:r>
      <w:r>
        <w:rPr>
          <w:rFonts w:ascii="Consolas" w:hAnsi="Consolas"/>
          <w:color w:val="146EF5"/>
          <w:sz w:val="21"/>
        </w:rPr>
        <w:t>ajo_app</w:t>
      </w:r>
      <w:r>
        <w:rPr>
          <w:rFonts w:ascii="Calibri" w:hAnsi="Calibri"/>
          <w:b w:val="0"/>
          <w:i w:val="0"/>
          <w:color w:val="101828"/>
          <w:sz w:val="21"/>
        </w:rPr>
        <w:t xml:space="preserve">, not as the owner, and the one expected </w:t>
      </w:r>
      <w:r>
        <w:rPr>
          <w:rFonts w:ascii="Consolas" w:hAnsi="Consolas"/>
          <w:color w:val="146EF5"/>
          <w:sz w:val="21"/>
        </w:rPr>
        <w:t>WITH CHECK</w:t>
      </w:r>
      <w:r>
        <w:rPr>
          <w:rFonts w:ascii="Calibri" w:hAnsi="Calibri"/>
          <w:b w:val="0"/>
          <w:i w:val="0"/>
          <w:color w:val="101828"/>
          <w:sz w:val="21"/>
        </w:rPr>
        <w:t xml:space="preserve"> violation is the loud one.</w:t>
      </w:r>
    </w:p>
    <w:p>
      <w:pPr>
        <w:pStyle w:val="ListBullet"/>
        <w:spacing w:after="60"/>
        <w:ind w:left="360"/>
      </w:pPr>
      <w:r>
        <w:rPr>
          <w:rFonts w:ascii="Consolas" w:hAnsi="Consolas"/>
          <w:color w:val="146EF5"/>
          <w:sz w:val="21"/>
        </w:rPr>
        <w:t>app.policy_coverage</w:t>
      </w:r>
      <w:r>
        <w:rPr>
          <w:rFonts w:ascii="Calibri" w:hAnsi="Calibri"/>
          <w:b w:val="0"/>
          <w:i w:val="0"/>
          <w:color w:val="101828"/>
          <w:sz w:val="21"/>
        </w:rPr>
        <w:t xml:space="preserve"> reports zero tables with RLS enabled and no policy, and the count of tables with more than one policy is reviewed by hand.</w:t>
      </w:r>
    </w:p>
    <w:p>
      <w:pPr>
        <w:pStyle w:val="ListBullet"/>
        <w:spacing w:after="60"/>
        <w:ind w:left="360"/>
      </w:pPr>
      <w:r>
        <w:rPr>
          <w:rFonts w:ascii="Calibri" w:hAnsi="Calibri"/>
          <w:b w:val="0"/>
          <w:i w:val="0"/>
          <w:color w:val="101828"/>
          <w:sz w:val="21"/>
        </w:rPr>
        <w:t>A PITR restore to a scratch database passes both balance checks in 9.5.</w:t>
      </w:r>
    </w:p>
    <w:p>
      <w:pPr>
        <w:pStyle w:val="ListBullet"/>
        <w:spacing w:after="60"/>
        <w:ind w:left="360"/>
      </w:pPr>
      <w:r>
        <w:rPr>
          <w:rFonts w:ascii="Calibri" w:hAnsi="Calibri"/>
          <w:b w:val="0"/>
          <w:i w:val="0"/>
          <w:color w:val="101828"/>
          <w:sz w:val="21"/>
        </w:rPr>
        <w:t>A restore of an empty database and a restore of a seeded one produce the same schema, which is the check that the migrations are complete rather than the tables merely present.</w:t>
      </w:r>
    </w:p>
    <w:p>
      <w:pPr>
        <w:spacing w:before="140" w:after="180"/>
        <w:ind w:left="144"/>
        <w:shd w:val="clear" w:color="auto" w:fill="FEF3C7"/>
        <w:pBdr>
          <w:left w:val="single" w:sz="18" w:space="6" w:color="FBBF24"/>
        </w:pBdr>
      </w:pPr>
      <w:r>
        <w:rPr>
          <w:rFonts w:ascii="Calibri" w:hAnsi="Calibri"/>
          <w:b/>
          <w:color w:val="FBBF24"/>
          <w:sz w:val="19"/>
        </w:rPr>
        <w:t xml:space="preserve">Three things this section does not establish  </w:t>
      </w:r>
      <w:r>
        <w:rPr>
          <w:rFonts w:ascii="Calibri" w:hAnsi="Calibri"/>
          <w:b w:val="0"/>
          <w:i w:val="0"/>
          <w:color w:val="0B1F3A"/>
          <w:sz w:val="19"/>
        </w:rPr>
        <w:t>Performance at scale is reasoned about in 9.12, not measured, and the first real load test will tell us something this file does not. Retention periods are undefined pending counsel, so the pruning schedule in 9.10 is unset by design. And the provider's behaviour under retry, reordering and duplicate delivery is assumed from its documentation rather than observed; the webhook receiver is written to survive all three because assuming otherwise would make it unrecoverable, but a staging environment that delivers a duplicate event is worth more than this paragraph.</w:t>
      </w:r>
    </w:p>
    <w:p>
      <w:r>
        <w:rPr>
          <w:rFonts w:ascii="Calibri" w:hAnsi="Calibri"/>
          <w:b w:val="0"/>
          <w:i w:val="0"/>
          <w:color w:val="101828"/>
          <w:sz w:val="21"/>
        </w:rPr>
        <w:t>Everything else in this section was executed. Where a statement here is a design rationale it is because the alternative was rejected for a reason, and where it is a number it came out of the database rather than out of an estimate. Section 8 draws the shape; this section is why the shape is safe to run.</w:t>
      </w:r>
    </w:p>
    <w:p>
      <w:r>
        <w:br w:type="page"/>
      </w:r>
    </w:p>
    <w:p>
      <w:pPr>
        <w:pStyle w:val="Heading1"/>
        <w:pBdr>
          <w:bottom w:val="single" w:sz="12" w:space="6" w:color="146EF5"/>
        </w:pBdr>
        <w:spacing w:after="240"/>
      </w:pPr>
      <w:r>
        <w:rPr>
          <w:rFonts w:ascii="Calibri" w:hAnsi="Calibri"/>
          <w:b/>
          <w:i w:val="0"/>
          <w:color w:val="0B1F3A"/>
          <w:sz w:val="40"/>
        </w:rPr>
        <w:t>10. Technical Architecture</w:t>
      </w:r>
    </w:p>
    <w:p>
      <w:pPr>
        <w:spacing w:after="200"/>
      </w:pPr>
      <w:r>
        <w:rPr>
          <w:rFonts w:ascii="Calibri" w:hAnsi="Calibri"/>
          <w:b w:val="0"/>
          <w:i w:val="0"/>
          <w:color w:val="475467"/>
          <w:sz w:val="24"/>
        </w:rPr>
        <w:t>A modular monolith with a strictly separated domain core, not microservices. The financial integrity requirements — atomic multi-step money movements, one authoritative ledger, serialisable position claims — are materially harder to guarantee across a service boundary than inside a single transaction. Scale is a future problem; correctness is a present one.</w:t>
      </w:r>
    </w:p>
    <w:p>
      <w:pPr>
        <w:pStyle w:val="Heading2"/>
      </w:pPr>
      <w:r>
        <w:rPr>
          <w:rFonts w:ascii="Calibri" w:hAnsi="Calibri"/>
          <w:b/>
          <w:i w:val="0"/>
          <w:color w:val="146EF5"/>
          <w:sz w:val="29"/>
        </w:rPr>
        <w:t>10.1 Architecture principles</w:t>
      </w:r>
    </w:p>
    <w:p>
      <w:pPr>
        <w:pStyle w:val="ListNumber"/>
        <w:spacing w:after="60"/>
        <w:ind w:left="432"/>
      </w:pPr>
      <w:r>
        <w:rPr>
          <w:rFonts w:ascii="Calibri" w:hAnsi="Calibri"/>
          <w:b/>
          <w:color w:val="101828"/>
          <w:sz w:val="21"/>
        </w:rPr>
        <w:t>The domain core has zero infrastructure dependencies.</w:t>
      </w:r>
      <w:r>
        <w:rPr>
          <w:rFonts w:ascii="Calibri" w:hAnsi="Calibri"/>
          <w:b w:val="0"/>
          <w:i w:val="0"/>
          <w:color w:val="101828"/>
          <w:sz w:val="21"/>
        </w:rPr>
        <w:t xml:space="preserve"> It imports nothing from the database, the queue, the payment provider or the framework. It is pure TypeScript and can be tested, reasoned about and moved without any service running.</w:t>
      </w:r>
    </w:p>
    <w:p>
      <w:pPr>
        <w:pStyle w:val="ListNumber"/>
        <w:spacing w:after="60"/>
        <w:ind w:left="432"/>
      </w:pPr>
      <w:r>
        <w:rPr>
          <w:rFonts w:ascii="Calibri" w:hAnsi="Calibri"/>
          <w:b/>
          <w:color w:val="101828"/>
          <w:sz w:val="21"/>
        </w:rPr>
        <w:t>All money logic lives in the domain core.</w:t>
      </w:r>
      <w:r>
        <w:rPr>
          <w:rFonts w:ascii="Calibri" w:hAnsi="Calibri"/>
          <w:b w:val="0"/>
          <w:i w:val="0"/>
          <w:color w:val="101828"/>
          <w:sz w:val="21"/>
        </w:rPr>
        <w:t xml:space="preserve"> Not in route handlers, not in the UI, not in SQL triggers. A rule that affects a member's money must be expressible as a pure function.</w:t>
      </w:r>
    </w:p>
    <w:p>
      <w:pPr>
        <w:pStyle w:val="ListNumber"/>
        <w:spacing w:after="60"/>
        <w:ind w:left="432"/>
      </w:pPr>
      <w:r>
        <w:rPr>
          <w:rFonts w:ascii="Calibri" w:hAnsi="Calibri"/>
          <w:b/>
          <w:color w:val="101828"/>
          <w:sz w:val="21"/>
        </w:rPr>
        <w:t>The ledger is the single source of truth.</w:t>
      </w:r>
      <w:r>
        <w:rPr>
          <w:rFonts w:ascii="Calibri" w:hAnsi="Calibri"/>
          <w:b w:val="0"/>
          <w:i w:val="0"/>
          <w:color w:val="101828"/>
          <w:sz w:val="21"/>
        </w:rPr>
        <w:t xml:space="preserve"> The payment provider reports what happened; the ledger records what AJO.ng believes. Where they disagree, we reconcile — we never silently overwrite.</w:t>
      </w:r>
    </w:p>
    <w:p>
      <w:pPr>
        <w:pStyle w:val="ListNumber"/>
        <w:spacing w:after="60"/>
        <w:ind w:left="432"/>
      </w:pPr>
      <w:r>
        <w:rPr>
          <w:rFonts w:ascii="Calibri" w:hAnsi="Calibri"/>
          <w:b/>
          <w:color w:val="101828"/>
          <w:sz w:val="21"/>
        </w:rPr>
        <w:t>Every money movement is idempotent and append-only.</w:t>
      </w:r>
      <w:r>
        <w:rPr>
          <w:rFonts w:ascii="Calibri" w:hAnsi="Calibri"/>
          <w:b w:val="0"/>
          <w:i w:val="0"/>
          <w:color w:val="101828"/>
          <w:sz w:val="21"/>
        </w:rPr>
        <w:t xml:space="preserve"> Corrections are reversing entries, never updates.</w:t>
      </w:r>
    </w:p>
    <w:p>
      <w:pPr>
        <w:pStyle w:val="ListNumber"/>
        <w:spacing w:after="60"/>
        <w:ind w:left="432"/>
      </w:pPr>
      <w:r>
        <w:rPr>
          <w:rFonts w:ascii="Calibri" w:hAnsi="Calibri"/>
          <w:b/>
          <w:color w:val="101828"/>
          <w:sz w:val="21"/>
        </w:rPr>
        <w:t>The financial provider is a port, not a dependency.</w:t>
      </w:r>
      <w:r>
        <w:rPr>
          <w:rFonts w:ascii="Calibri" w:hAnsi="Calibri"/>
          <w:b w:val="0"/>
          <w:i w:val="0"/>
          <w:color w:val="101828"/>
          <w:sz w:val="21"/>
        </w:rPr>
        <w:t xml:space="preserve"> AJO.ng code must never import a provider SDK.</w:t>
      </w:r>
    </w:p>
    <w:p>
      <w:pPr>
        <w:pStyle w:val="ListNumber"/>
        <w:spacing w:after="60"/>
        <w:ind w:left="432"/>
      </w:pPr>
      <w:r>
        <w:rPr>
          <w:rFonts w:ascii="Calibri" w:hAnsi="Calibri"/>
          <w:b/>
          <w:color w:val="101828"/>
          <w:sz w:val="21"/>
        </w:rPr>
        <w:t>Boring technology.</w:t>
      </w:r>
      <w:r>
        <w:rPr>
          <w:rFonts w:ascii="Calibri" w:hAnsi="Calibri"/>
          <w:b w:val="0"/>
          <w:i w:val="0"/>
          <w:color w:val="101828"/>
          <w:sz w:val="21"/>
        </w:rPr>
        <w:t xml:space="preserve"> The stack is chosen for long-term maintainability by a small team, not for novelty.</w:t>
      </w:r>
    </w:p>
    <w:p>
      <w:pPr>
        <w:pStyle w:val="Heading2"/>
      </w:pPr>
      <w:r>
        <w:rPr>
          <w:rFonts w:ascii="Calibri" w:hAnsi="Calibri"/>
          <w:b/>
          <w:i w:val="0"/>
          <w:color w:val="146EF5"/>
          <w:sz w:val="29"/>
        </w:rPr>
        <w:t>10.2 System context</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AJO.ng Platform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(orchestration + ledger)     │</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Web App │   │ Mobile App  │  │  Admin    │  │  Background │ │  Reporting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Next.js │   │ React Native│  │ Console   │  │  Workers    │ │  / Analytics│</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Expo      │  │ (Next.js) │  │  (queues)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API Gateway / BFF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authn, rate limit, validation│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Application │  │  Domain     │ │ Financial  │ │  Identity  │ │  Notification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Services   │  │   Core      │ │  Provider  │ │  Provider  │ │   Service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(use cases) │  │ (pure, no I/O)│ │  Adapter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PostgreSQL  │            │ ProvidusUnity   │        │  Redis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(Supabase)  │            │ (regulated PSP) │        │ (cache/queue)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w:t>
      </w:r>
    </w:p>
    <w:p>
      <w:pPr>
        <w:spacing w:before="140" w:after="180"/>
        <w:ind w:left="144"/>
        <w:shd w:val="clear" w:color="auto" w:fill="EDE9FE"/>
        <w:pBdr>
          <w:left w:val="single" w:sz="18" w:space="6" w:color="7C3AED"/>
        </w:pBdr>
      </w:pPr>
      <w:r>
        <w:rPr>
          <w:rFonts w:ascii="Calibri" w:hAnsi="Calibri"/>
          <w:b/>
          <w:color w:val="7C3AED"/>
          <w:sz w:val="19"/>
        </w:rPr>
        <w:t xml:space="preserve">Provider drawn as a box, not an integration.  </w:t>
      </w:r>
      <w:r>
        <w:rPr>
          <w:rFonts w:ascii="Calibri" w:hAnsi="Calibri"/>
          <w:b w:val="0"/>
          <w:i w:val="0"/>
          <w:color w:val="0B1F3A"/>
          <w:sz w:val="19"/>
        </w:rPr>
        <w:t>ProvidusUnity is shown as a dependency because it is the intended financial partner. Its API is not yet available and its actual capabilities are unverified. No capability is assumed anywhere in this architecture; the interface in section 13 is what AJO.ng requires, and what the partner is asked to confirm.</w:t>
      </w:r>
    </w:p>
    <w:p>
      <w:pPr>
        <w:pStyle w:val="Heading2"/>
      </w:pPr>
      <w:r>
        <w:rPr>
          <w:rFonts w:ascii="Calibri" w:hAnsi="Calibri"/>
          <w:b/>
          <w:i w:val="0"/>
          <w:color w:val="146EF5"/>
          <w:sz w:val="29"/>
        </w:rPr>
        <w:t>10.3 Technology stack</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Layer</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Choice</w:t>
            </w:r>
          </w:p>
        </w:tc>
        <w:tc>
          <w:tcPr>
            <w:tcW w:type="dxa" w:w="5472"/>
            <w:shd w:val="clear" w:color="auto" w:fill="0B1F3A"/>
            <w:tcMar>
              <w:top w:w="60" w:type="dxa"/>
              <w:start w:w="110" w:type="dxa"/>
              <w:bottom w:w="60" w:type="dxa"/>
              <w:end w:w="110" w:type="dxa"/>
            </w:tcMar>
          </w:tcPr>
          <w:p>
            <w:pPr>
              <w:spacing w:after="0"/>
            </w:pPr>
            <w:r/>
            <w:r>
              <w:rPr>
                <w:rFonts w:ascii="Calibri" w:hAnsi="Calibri"/>
                <w:b/>
                <w:i w:val="0"/>
                <w:color w:val="FFFFFF"/>
                <w:sz w:val="16"/>
              </w:rPr>
              <w:t>Why this, and what was rejected</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Language</w:t>
            </w:r>
          </w:p>
        </w:tc>
        <w:tc>
          <w:tcPr>
            <w:tcW w:type="dxa" w:w="2160"/>
            <w:tcMar>
              <w:top w:w="60" w:type="dxa"/>
              <w:start w:w="110" w:type="dxa"/>
              <w:bottom w:w="60" w:type="dxa"/>
              <w:end w:w="110" w:type="dxa"/>
            </w:tcMar>
          </w:tcPr>
          <w:p>
            <w:pPr>
              <w:spacing w:after="0"/>
            </w:pPr>
            <w:r/>
            <w:r>
              <w:rPr>
                <w:rFonts w:ascii="Calibri" w:hAnsi="Calibri"/>
                <w:b w:val="0"/>
                <w:i w:val="0"/>
                <w:color w:val="101828"/>
                <w:sz w:val="16"/>
              </w:rPr>
              <w:t>TypeScript 5.5+ (strict)</w:t>
            </w:r>
          </w:p>
        </w:tc>
        <w:tc>
          <w:tcPr>
            <w:tcW w:type="dxa" w:w="5472"/>
            <w:tcMar>
              <w:top w:w="60" w:type="dxa"/>
              <w:start w:w="110" w:type="dxa"/>
              <w:bottom w:w="60" w:type="dxa"/>
              <w:end w:w="110" w:type="dxa"/>
            </w:tcMar>
          </w:tcPr>
          <w:p>
            <w:pPr>
              <w:spacing w:after="0"/>
            </w:pPr>
            <w:r/>
            <w:r>
              <w:rPr>
                <w:rFonts w:ascii="Calibri" w:hAnsi="Calibri"/>
                <w:b w:val="0"/>
                <w:i w:val="0"/>
                <w:color w:val="101828"/>
                <w:sz w:val="16"/>
              </w:rPr>
              <w:t xml:space="preserve">One language across web, mobile and backend. </w:t>
            </w:r>
            <w:r>
              <w:rPr>
                <w:rFonts w:ascii="Consolas" w:hAnsi="Consolas"/>
                <w:color w:val="146EF5"/>
                <w:sz w:val="16"/>
              </w:rPr>
              <w:t>exactOptionalPropertyTypes</w:t>
            </w:r>
            <w:r>
              <w:rPr>
                <w:rFonts w:ascii="Calibri" w:hAnsi="Calibri"/>
                <w:b w:val="0"/>
                <w:i w:val="0"/>
                <w:color w:val="101828"/>
                <w:sz w:val="16"/>
              </w:rPr>
              <w:t xml:space="preserve">, </w:t>
            </w:r>
            <w:r>
              <w:rPr>
                <w:rFonts w:ascii="Consolas" w:hAnsi="Consolas"/>
                <w:color w:val="146EF5"/>
                <w:sz w:val="16"/>
              </w:rPr>
              <w:t>noUncheckedIndexedAccess</w:t>
            </w:r>
            <w:r>
              <w:rPr>
                <w:rFonts w:ascii="Calibri" w:hAnsi="Calibri"/>
                <w:b w:val="0"/>
                <w:i w:val="0"/>
                <w:color w:val="101828"/>
                <w:sz w:val="16"/>
              </w:rPr>
              <w:t xml:space="preserve"> and branded types catch money bugs at compile time. Rejected: plain JS (no guarantees on money), Go/Rust (team velocity)</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Web</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Next.js 15 (App Router), React 18</w:t>
            </w:r>
          </w:p>
        </w:tc>
        <w:tc>
          <w:tcPr>
            <w:tcW w:type="dxa" w:w="5472"/>
            <w:tcMar>
              <w:top w:w="60" w:type="dxa"/>
              <w:start w:w="110" w:type="dxa"/>
              <w:bottom w:w="60" w:type="dxa"/>
              <w:end w:w="110" w:type="dxa"/>
            </w:tcMar>
            <w:shd w:val="clear" w:color="auto" w:fill="F4F7FB"/>
          </w:tcPr>
          <w:p>
            <w:pPr>
              <w:spacing w:after="0"/>
            </w:pPr>
            <w:r/>
            <w:r>
              <w:rPr>
                <w:rFonts w:ascii="Calibri" w:hAnsi="Calibri"/>
                <w:b w:val="0"/>
                <w:i w:val="0"/>
                <w:color w:val="101828"/>
                <w:sz w:val="16"/>
              </w:rPr>
              <w:t>SSR for the marketing site, static export for the admin console, one codebase. Rejected: separate SPA + CMS (two auth surfaces), pure static site (no app state)</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Mobile</w:t>
            </w:r>
          </w:p>
        </w:tc>
        <w:tc>
          <w:tcPr>
            <w:tcW w:type="dxa" w:w="2160"/>
            <w:tcMar>
              <w:top w:w="60" w:type="dxa"/>
              <w:start w:w="110" w:type="dxa"/>
              <w:bottom w:w="60" w:type="dxa"/>
              <w:end w:w="110" w:type="dxa"/>
            </w:tcMar>
          </w:tcPr>
          <w:p>
            <w:pPr>
              <w:spacing w:after="0"/>
            </w:pPr>
            <w:r/>
            <w:r>
              <w:rPr>
                <w:rFonts w:ascii="Calibri" w:hAnsi="Calibri"/>
                <w:b w:val="0"/>
                <w:i w:val="0"/>
                <w:color w:val="101828"/>
                <w:sz w:val="16"/>
              </w:rPr>
              <w:t>React Native + Expo (SDK 52+)</w:t>
            </w:r>
          </w:p>
        </w:tc>
        <w:tc>
          <w:tcPr>
            <w:tcW w:type="dxa" w:w="5472"/>
            <w:tcMar>
              <w:top w:w="60" w:type="dxa"/>
              <w:start w:w="110" w:type="dxa"/>
              <w:bottom w:w="60" w:type="dxa"/>
              <w:end w:w="110" w:type="dxa"/>
            </w:tcMar>
          </w:tcPr>
          <w:p>
            <w:pPr>
              <w:spacing w:after="0"/>
            </w:pPr>
            <w:r/>
            <w:r>
              <w:rPr>
                <w:rFonts w:ascii="Calibri" w:hAnsi="Calibri"/>
                <w:b w:val="0"/>
                <w:i w:val="0"/>
                <w:color w:val="101828"/>
                <w:sz w:val="16"/>
              </w:rPr>
              <w:t>Shared logic with the web app, OTA updates without store review, mature ecosystem. Rejected: Flutter (second language, smaller hiring pool), native iOS/Android (two codebases for a 2-person team)</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Styling</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Tailwind CSS v4 + design tokens from section 5</w:t>
            </w:r>
          </w:p>
        </w:tc>
        <w:tc>
          <w:tcPr>
            <w:tcW w:type="dxa" w:w="5472"/>
            <w:tcMar>
              <w:top w:w="60" w:type="dxa"/>
              <w:start w:w="110" w:type="dxa"/>
              <w:bottom w:w="60" w:type="dxa"/>
              <w:end w:w="110" w:type="dxa"/>
            </w:tcMar>
            <w:shd w:val="clear" w:color="auto" w:fill="F4F7FB"/>
          </w:tcPr>
          <w:p>
            <w:pPr>
              <w:spacing w:after="0"/>
            </w:pPr>
            <w:r/>
            <w:r>
              <w:rPr>
                <w:rFonts w:ascii="Calibri" w:hAnsi="Calibri"/>
                <w:b w:val="0"/>
                <w:i w:val="0"/>
                <w:color w:val="101828"/>
                <w:sz w:val="16"/>
              </w:rPr>
              <w:t>Token values live in CSS custom properties; Tailwind maps onto semantic names. Rejected: CSS-in-JS (runtime cost), a component library that dictates the brand (21st.dev is a starting point, not the system)</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Backend</w:t>
            </w:r>
          </w:p>
        </w:tc>
        <w:tc>
          <w:tcPr>
            <w:tcW w:type="dxa" w:w="2160"/>
            <w:tcMar>
              <w:top w:w="60" w:type="dxa"/>
              <w:start w:w="110" w:type="dxa"/>
              <w:bottom w:w="60" w:type="dxa"/>
              <w:end w:w="110" w:type="dxa"/>
            </w:tcMar>
          </w:tcPr>
          <w:p>
            <w:pPr>
              <w:spacing w:after="0"/>
            </w:pPr>
            <w:r/>
            <w:r>
              <w:rPr>
                <w:rFonts w:ascii="Calibri" w:hAnsi="Calibri"/>
                <w:b w:val="0"/>
                <w:i w:val="0"/>
                <w:color w:val="101828"/>
                <w:sz w:val="16"/>
              </w:rPr>
              <w:t>Node.js 20 LTS + Fastify + TypeScript</w:t>
            </w:r>
          </w:p>
        </w:tc>
        <w:tc>
          <w:tcPr>
            <w:tcW w:type="dxa" w:w="5472"/>
            <w:tcMar>
              <w:top w:w="60" w:type="dxa"/>
              <w:start w:w="110" w:type="dxa"/>
              <w:bottom w:w="60" w:type="dxa"/>
              <w:end w:w="110" w:type="dxa"/>
            </w:tcMar>
          </w:tcPr>
          <w:p>
            <w:pPr>
              <w:spacing w:after="0"/>
            </w:pPr>
            <w:r/>
            <w:r>
              <w:rPr>
                <w:rFonts w:ascii="Calibri" w:hAnsi="Calibri"/>
                <w:b w:val="0"/>
                <w:i w:val="0"/>
                <w:color w:val="101828"/>
                <w:sz w:val="16"/>
              </w:rPr>
              <w:t>Same language and shared domain package with web and mobile. Fastify gives schema-first validation, which matters more than raw throughput. Rejected: NestJS (heavy DI ceremony for a small team), Express (unmaintained typing story)</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Domain</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Pure TypeScript package, zero runtime dependencies</w:t>
            </w:r>
          </w:p>
        </w:tc>
        <w:tc>
          <w:tcPr>
            <w:tcW w:type="dxa" w:w="5472"/>
            <w:tcMar>
              <w:top w:w="60" w:type="dxa"/>
              <w:start w:w="110" w:type="dxa"/>
              <w:bottom w:w="60" w:type="dxa"/>
              <w:end w:w="110" w:type="dxa"/>
            </w:tcMar>
            <w:shd w:val="clear" w:color="auto" w:fill="F4F7FB"/>
          </w:tcPr>
          <w:p>
            <w:pPr>
              <w:spacing w:after="0"/>
            </w:pPr>
            <w:r/>
            <w:r>
              <w:rPr>
                <w:rFonts w:ascii="Calibri" w:hAnsi="Calibri"/>
                <w:b w:val="0"/>
                <w:i w:val="0"/>
                <w:color w:val="101828"/>
                <w:sz w:val="16"/>
              </w:rPr>
              <w:t>The most important architectural decision in this document. Reusable by the API, the workers and the mobile app for offline validation</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Database</w:t>
            </w:r>
          </w:p>
        </w:tc>
        <w:tc>
          <w:tcPr>
            <w:tcW w:type="dxa" w:w="2160"/>
            <w:tcMar>
              <w:top w:w="60" w:type="dxa"/>
              <w:start w:w="110" w:type="dxa"/>
              <w:bottom w:w="60" w:type="dxa"/>
              <w:end w:w="110" w:type="dxa"/>
            </w:tcMar>
          </w:tcPr>
          <w:p>
            <w:pPr>
              <w:spacing w:after="0"/>
            </w:pPr>
            <w:r/>
            <w:r>
              <w:rPr>
                <w:rFonts w:ascii="Calibri" w:hAnsi="Calibri"/>
                <w:b w:val="0"/>
                <w:i w:val="0"/>
                <w:color w:val="101828"/>
                <w:sz w:val="16"/>
              </w:rPr>
              <w:t>PostgreSQL 15+ via Supabase</w:t>
            </w:r>
          </w:p>
        </w:tc>
        <w:tc>
          <w:tcPr>
            <w:tcW w:type="dxa" w:w="5472"/>
            <w:tcMar>
              <w:top w:w="60" w:type="dxa"/>
              <w:start w:w="110" w:type="dxa"/>
              <w:bottom w:w="60" w:type="dxa"/>
              <w:end w:w="110" w:type="dxa"/>
            </w:tcMar>
          </w:tcPr>
          <w:p>
            <w:pPr>
              <w:spacing w:after="0"/>
            </w:pPr>
            <w:r/>
            <w:r>
              <w:rPr>
                <w:rFonts w:ascii="Calibri" w:hAnsi="Calibri"/>
                <w:b w:val="0"/>
                <w:i w:val="0"/>
                <w:color w:val="101828"/>
                <w:sz w:val="16"/>
              </w:rPr>
              <w:t>Row Level Security gives defence-in-depth at the data layer, not just the API layer. PITR, read replicas and point-in-time recovery are included. Rejected: MySQL (weaker RLS), a document store (the ledger needs ACID and real foreign keys)</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Cache / queue</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Redis + BullMQ</w:t>
            </w:r>
          </w:p>
        </w:tc>
        <w:tc>
          <w:tcPr>
            <w:tcW w:type="dxa" w:w="5472"/>
            <w:tcMar>
              <w:top w:w="60" w:type="dxa"/>
              <w:start w:w="110" w:type="dxa"/>
              <w:bottom w:w="60" w:type="dxa"/>
              <w:end w:w="110" w:type="dxa"/>
            </w:tcMar>
            <w:shd w:val="clear" w:color="auto" w:fill="F4F7FB"/>
          </w:tcPr>
          <w:p>
            <w:pPr>
              <w:spacing w:after="0"/>
            </w:pPr>
            <w:r/>
            <w:r>
              <w:rPr>
                <w:rFonts w:ascii="Calibri" w:hAnsi="Calibri"/>
                <w:b w:val="0"/>
                <w:i w:val="0"/>
                <w:color w:val="101828"/>
                <w:sz w:val="16"/>
              </w:rPr>
              <w:t>Session storage, rate-limit counters, and the asynchronous work that must not sit in a request (notifications, reconciliation, webhooks)</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Object storage</w:t>
            </w:r>
          </w:p>
        </w:tc>
        <w:tc>
          <w:tcPr>
            <w:tcW w:type="dxa" w:w="2160"/>
            <w:tcMar>
              <w:top w:w="60" w:type="dxa"/>
              <w:start w:w="110" w:type="dxa"/>
              <w:bottom w:w="60" w:type="dxa"/>
              <w:end w:w="110" w:type="dxa"/>
            </w:tcMar>
          </w:tcPr>
          <w:p>
            <w:pPr>
              <w:spacing w:after="0"/>
            </w:pPr>
            <w:r/>
            <w:r>
              <w:rPr>
                <w:rFonts w:ascii="Calibri" w:hAnsi="Calibri"/>
                <w:b w:val="0"/>
                <w:i w:val="0"/>
                <w:color w:val="101828"/>
                <w:sz w:val="16"/>
              </w:rPr>
              <w:t>Supabase Storage (S3-compatible)</w:t>
            </w:r>
          </w:p>
        </w:tc>
        <w:tc>
          <w:tcPr>
            <w:tcW w:type="dxa" w:w="5472"/>
            <w:tcMar>
              <w:top w:w="60" w:type="dxa"/>
              <w:start w:w="110" w:type="dxa"/>
              <w:bottom w:w="60" w:type="dxa"/>
              <w:end w:w="110" w:type="dxa"/>
            </w:tcMar>
          </w:tcPr>
          <w:p>
            <w:pPr>
              <w:spacing w:after="0"/>
            </w:pPr>
            <w:r/>
            <w:r>
              <w:rPr>
                <w:rFonts w:ascii="Calibri" w:hAnsi="Calibri"/>
                <w:b w:val="0"/>
                <w:i w:val="0"/>
                <w:color w:val="101828"/>
                <w:sz w:val="16"/>
              </w:rPr>
              <w:t>KYC documents and dispute evidence. S3-compatible so the provider is not a lock-in</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Validation</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Zod at the edge + TypeScript in the domain</w:t>
            </w:r>
          </w:p>
        </w:tc>
        <w:tc>
          <w:tcPr>
            <w:tcW w:type="dxa" w:w="5472"/>
            <w:tcMar>
              <w:top w:w="60" w:type="dxa"/>
              <w:start w:w="110" w:type="dxa"/>
              <w:bottom w:w="60" w:type="dxa"/>
              <w:end w:w="110" w:type="dxa"/>
            </w:tcMar>
            <w:shd w:val="clear" w:color="auto" w:fill="F4F7FB"/>
          </w:tcPr>
          <w:p>
            <w:pPr>
              <w:spacing w:after="0"/>
            </w:pPr>
            <w:r/>
            <w:r>
              <w:rPr>
                <w:rFonts w:ascii="Calibri" w:hAnsi="Calibri"/>
                <w:b w:val="0"/>
                <w:i w:val="0"/>
                <w:color w:val="101828"/>
                <w:sz w:val="16"/>
              </w:rPr>
              <w:t>Parse, don't validate. The API never passes unvalidated data inward</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Testing</w:t>
            </w:r>
          </w:p>
        </w:tc>
        <w:tc>
          <w:tcPr>
            <w:tcW w:type="dxa" w:w="2160"/>
            <w:tcMar>
              <w:top w:w="60" w:type="dxa"/>
              <w:start w:w="110" w:type="dxa"/>
              <w:bottom w:w="60" w:type="dxa"/>
              <w:end w:w="110" w:type="dxa"/>
            </w:tcMar>
          </w:tcPr>
          <w:p>
            <w:pPr>
              <w:spacing w:after="0"/>
            </w:pPr>
            <w:r/>
            <w:r>
              <w:rPr>
                <w:rFonts w:ascii="Calibri" w:hAnsi="Calibri"/>
                <w:b w:val="0"/>
                <w:i w:val="0"/>
                <w:color w:val="101828"/>
                <w:sz w:val="16"/>
              </w:rPr>
              <w:t>node:test (domain), Vitest (app), Playwright (E2E)</w:t>
            </w:r>
          </w:p>
        </w:tc>
        <w:tc>
          <w:tcPr>
            <w:tcW w:type="dxa" w:w="5472"/>
            <w:tcMar>
              <w:top w:w="60" w:type="dxa"/>
              <w:start w:w="110" w:type="dxa"/>
              <w:bottom w:w="60" w:type="dxa"/>
              <w:end w:w="110" w:type="dxa"/>
            </w:tcMar>
          </w:tcPr>
          <w:p>
            <w:pPr>
              <w:spacing w:after="0"/>
            </w:pPr>
            <w:r/>
            <w:r>
              <w:rPr>
                <w:rFonts w:ascii="Calibri" w:hAnsi="Calibri"/>
                <w:b w:val="0"/>
                <w:i w:val="0"/>
                <w:color w:val="101828"/>
                <w:sz w:val="16"/>
              </w:rPr>
              <w:t>Playwright is already an available MCP in the founder's toolchain, so E2E needs no new capability</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Observability</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OpenTelemetry, Sentry, structured JSON logs</w:t>
            </w:r>
          </w:p>
        </w:tc>
        <w:tc>
          <w:tcPr>
            <w:tcW w:type="dxa" w:w="5472"/>
            <w:tcMar>
              <w:top w:w="60" w:type="dxa"/>
              <w:start w:w="110" w:type="dxa"/>
              <w:bottom w:w="60" w:type="dxa"/>
              <w:end w:w="110" w:type="dxa"/>
            </w:tcMar>
            <w:shd w:val="clear" w:color="auto" w:fill="F4F7FB"/>
          </w:tcPr>
          <w:p>
            <w:pPr>
              <w:spacing w:after="0"/>
            </w:pPr>
            <w:r/>
            <w:r>
              <w:rPr>
                <w:rFonts w:ascii="Calibri" w:hAnsi="Calibri"/>
                <w:b w:val="0"/>
                <w:i w:val="0"/>
                <w:color w:val="101828"/>
                <w:sz w:val="16"/>
              </w:rPr>
              <w:t>Distributed tracing matters once a payment takes longer than a request timeout. Structured logs are a compliance requirement, not a preference</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Hosting</w:t>
            </w:r>
          </w:p>
        </w:tc>
        <w:tc>
          <w:tcPr>
            <w:tcW w:type="dxa" w:w="2160"/>
            <w:tcMar>
              <w:top w:w="60" w:type="dxa"/>
              <w:start w:w="110" w:type="dxa"/>
              <w:bottom w:w="60" w:type="dxa"/>
              <w:end w:w="110" w:type="dxa"/>
            </w:tcMar>
          </w:tcPr>
          <w:p>
            <w:pPr>
              <w:spacing w:after="0"/>
            </w:pPr>
            <w:r/>
            <w:r>
              <w:rPr>
                <w:rFonts w:ascii="Calibri" w:hAnsi="Calibri"/>
                <w:b w:val="0"/>
                <w:i w:val="0"/>
                <w:color w:val="101828"/>
                <w:sz w:val="16"/>
              </w:rPr>
              <w:t>Vercel (web) + a container host for API/workers (Railway/Fly.io/AWS ECS) + Supabase (database)</w:t>
            </w:r>
          </w:p>
        </w:tc>
        <w:tc>
          <w:tcPr>
            <w:tcW w:type="dxa" w:w="5472"/>
            <w:tcMar>
              <w:top w:w="60" w:type="dxa"/>
              <w:start w:w="110" w:type="dxa"/>
              <w:bottom w:w="60" w:type="dxa"/>
              <w:end w:w="110" w:type="dxa"/>
            </w:tcMar>
          </w:tcPr>
          <w:p>
            <w:pPr>
              <w:spacing w:after="0"/>
            </w:pPr>
            <w:r/>
            <w:r>
              <w:rPr>
                <w:rFonts w:ascii="Calibri" w:hAnsi="Calibri"/>
                <w:b w:val="0"/>
                <w:i w:val="0"/>
                <w:color w:val="101828"/>
                <w:sz w:val="16"/>
              </w:rPr>
              <w:t>The API must not run on a serverless platform that kills long-lived requests mid-payout. See 10.9 for the reasoning</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CI/CD</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GitHub Actions</w:t>
            </w:r>
          </w:p>
        </w:tc>
        <w:tc>
          <w:tcPr>
            <w:tcW w:type="dxa" w:w="5472"/>
            <w:tcMar>
              <w:top w:w="60" w:type="dxa"/>
              <w:start w:w="110" w:type="dxa"/>
              <w:bottom w:w="60" w:type="dxa"/>
              <w:end w:w="110" w:type="dxa"/>
            </w:tcMar>
            <w:shd w:val="clear" w:color="auto" w:fill="F4F7FB"/>
          </w:tcPr>
          <w:p>
            <w:pPr>
              <w:spacing w:after="0"/>
            </w:pPr>
            <w:r/>
            <w:r>
              <w:rPr>
                <w:rFonts w:ascii="Calibri" w:hAnsi="Calibri"/>
                <w:b w:val="0"/>
                <w:i w:val="0"/>
                <w:color w:val="101828"/>
                <w:sz w:val="16"/>
              </w:rPr>
              <w:t>Required checks on every PR, including the domain test suite and the Playwright suite</w:t>
            </w:r>
          </w:p>
        </w:tc>
      </w:tr>
    </w:tbl>
    <w:p>
      <w:pPr>
        <w:spacing w:after="80"/>
      </w:pPr>
    </w:p>
    <w:p>
      <w:pPr>
        <w:pStyle w:val="Heading2"/>
      </w:pPr>
      <w:r>
        <w:rPr>
          <w:rFonts w:ascii="Calibri" w:hAnsi="Calibri"/>
          <w:b/>
          <w:i w:val="0"/>
          <w:color w:val="146EF5"/>
          <w:sz w:val="29"/>
        </w:rPr>
        <w:t>10.4 Monorepo structure</w:t>
      </w:r>
    </w:p>
    <w:p>
      <w:pPr>
        <w:spacing w:before="0" w:after="0" w:line="240" w:lineRule="auto"/>
        <w:ind w:left="230"/>
        <w:shd w:val="clear" w:color="auto" w:fill="F7F9FC"/>
        <w:pBdr>
          <w:left w:val="single" w:sz="4" w:space="6" w:color="D0D5DD"/>
        </w:pBdr>
      </w:pPr>
      <w:r>
        <w:rPr>
          <w:rFonts w:ascii="Consolas" w:hAnsi="Consolas"/>
          <w:color w:val="0B1F3A"/>
          <w:sz w:val="16"/>
        </w:rPr>
        <w:t>ajo/</w:t>
      </w:r>
    </w:p>
    <w:p>
      <w:pPr>
        <w:spacing w:before="0" w:after="0" w:line="240" w:lineRule="auto"/>
        <w:ind w:left="230"/>
        <w:shd w:val="clear" w:color="auto" w:fill="F7F9FC"/>
        <w:pBdr>
          <w:left w:val="single" w:sz="4" w:space="6" w:color="D0D5DD"/>
        </w:pBdr>
      </w:pPr>
      <w:r>
        <w:rPr>
          <w:rFonts w:ascii="Consolas" w:hAnsi="Consolas"/>
          <w:color w:val="0B1F3A"/>
          <w:sz w:val="16"/>
        </w:rPr>
        <w:t>├─ apps/</w:t>
      </w:r>
    </w:p>
    <w:p>
      <w:pPr>
        <w:spacing w:before="0" w:after="0" w:line="240" w:lineRule="auto"/>
        <w:ind w:left="230"/>
        <w:shd w:val="clear" w:color="auto" w:fill="F7F9FC"/>
        <w:pBdr>
          <w:left w:val="single" w:sz="4" w:space="6" w:color="D0D5DD"/>
        </w:pBdr>
      </w:pPr>
      <w:r>
        <w:rPr>
          <w:rFonts w:ascii="Consolas" w:hAnsi="Consolas"/>
          <w:color w:val="0B1F3A"/>
          <w:sz w:val="16"/>
        </w:rPr>
        <w:t>│  ├─ web/                 Next.js — marketing site + member web app</w:t>
      </w:r>
    </w:p>
    <w:p>
      <w:pPr>
        <w:spacing w:before="0" w:after="0" w:line="240" w:lineRule="auto"/>
        <w:ind w:left="230"/>
        <w:shd w:val="clear" w:color="auto" w:fill="F7F9FC"/>
        <w:pBdr>
          <w:left w:val="single" w:sz="4" w:space="6" w:color="D0D5DD"/>
        </w:pBdr>
      </w:pPr>
      <w:r>
        <w:rPr>
          <w:rFonts w:ascii="Consolas" w:hAnsi="Consolas"/>
          <w:color w:val="0B1F3A"/>
          <w:sz w:val="16"/>
        </w:rPr>
        <w:t>│  ├─ admin/               Next.js — operations console (internal, no public index)</w:t>
      </w:r>
    </w:p>
    <w:p>
      <w:pPr>
        <w:spacing w:before="0" w:after="0" w:line="240" w:lineRule="auto"/>
        <w:ind w:left="230"/>
        <w:shd w:val="clear" w:color="auto" w:fill="F7F9FC"/>
        <w:pBdr>
          <w:left w:val="single" w:sz="4" w:space="6" w:color="D0D5DD"/>
        </w:pBdr>
      </w:pPr>
      <w:r>
        <w:rPr>
          <w:rFonts w:ascii="Consolas" w:hAnsi="Consolas"/>
          <w:color w:val="0B1F3A"/>
          <w:sz w:val="16"/>
        </w:rPr>
        <w:t>│  └─ mobile/              Expo — Android + iOS</w:t>
      </w:r>
    </w:p>
    <w:p>
      <w:pPr>
        <w:spacing w:before="0" w:after="0" w:line="240" w:lineRule="auto"/>
        <w:ind w:left="230"/>
        <w:shd w:val="clear" w:color="auto" w:fill="F7F9FC"/>
        <w:pBdr>
          <w:left w:val="single" w:sz="4" w:space="6" w:color="D0D5DD"/>
        </w:pBdr>
      </w:pPr>
      <w:r>
        <w:rPr>
          <w:rFonts w:ascii="Consolas" w:hAnsi="Consolas"/>
          <w:color w:val="0B1F3A"/>
          <w:sz w:val="16"/>
        </w:rPr>
        <w:t>├─ packages/</w:t>
      </w:r>
    </w:p>
    <w:p>
      <w:pPr>
        <w:spacing w:before="0" w:after="0" w:line="240" w:lineRule="auto"/>
        <w:ind w:left="230"/>
        <w:shd w:val="clear" w:color="auto" w:fill="F7F9FC"/>
        <w:pBdr>
          <w:left w:val="single" w:sz="4" w:space="6" w:color="D0D5DD"/>
        </w:pBdr>
      </w:pPr>
      <w:r>
        <w:rPr>
          <w:rFonts w:ascii="Consolas" w:hAnsi="Consolas"/>
          <w:color w:val="0B1F3A"/>
          <w:sz w:val="16"/>
        </w:rPr>
        <w:t>│  ├─ domain/              PURE TypeScript. Money, ledger, state machines.</w:t>
      </w:r>
    </w:p>
    <w:p>
      <w:pPr>
        <w:spacing w:before="0" w:after="0" w:line="240" w:lineRule="auto"/>
        <w:ind w:left="230"/>
        <w:shd w:val="clear" w:color="auto" w:fill="F7F9FC"/>
        <w:pBdr>
          <w:left w:val="single" w:sz="4" w:space="6" w:color="D0D5DD"/>
        </w:pBdr>
      </w:pPr>
      <w:r>
        <w:rPr>
          <w:rFonts w:ascii="Consolas" w:hAnsi="Consolas"/>
          <w:color w:val="0B1F3A"/>
          <w:sz w:val="16"/>
        </w:rPr>
        <w:t>│  │                       ZERO runtime deps. This is the crown jewel.</w:t>
      </w:r>
    </w:p>
    <w:p>
      <w:pPr>
        <w:spacing w:before="0" w:after="0" w:line="240" w:lineRule="auto"/>
        <w:ind w:left="230"/>
        <w:shd w:val="clear" w:color="auto" w:fill="F7F9FC"/>
        <w:pBdr>
          <w:left w:val="single" w:sz="4" w:space="6" w:color="D0D5DD"/>
        </w:pBdr>
      </w:pPr>
      <w:r>
        <w:rPr>
          <w:rFonts w:ascii="Consolas" w:hAnsi="Consolas"/>
          <w:color w:val="0B1F3A"/>
          <w:sz w:val="16"/>
        </w:rPr>
        <w:t>│  ├─ application/         Use cases. Orchestrates domain + ports. No HTTP.</w:t>
      </w:r>
    </w:p>
    <w:p>
      <w:pPr>
        <w:spacing w:before="0" w:after="0" w:line="240" w:lineRule="auto"/>
        <w:ind w:left="230"/>
        <w:shd w:val="clear" w:color="auto" w:fill="F7F9FC"/>
        <w:pBdr>
          <w:left w:val="single" w:sz="4" w:space="6" w:color="D0D5DD"/>
        </w:pBdr>
      </w:pPr>
      <w:r>
        <w:rPr>
          <w:rFonts w:ascii="Consolas" w:hAnsi="Consolas"/>
          <w:color w:val="0B1F3A"/>
          <w:sz w:val="16"/>
        </w:rPr>
        <w:t>│  ├─ contracts/           Shared API types + Zod schemas + generated OpenAPI</w:t>
      </w:r>
    </w:p>
    <w:p>
      <w:pPr>
        <w:spacing w:before="0" w:after="0" w:line="240" w:lineRule="auto"/>
        <w:ind w:left="230"/>
        <w:shd w:val="clear" w:color="auto" w:fill="F7F9FC"/>
        <w:pBdr>
          <w:left w:val="single" w:sz="4" w:space="6" w:color="D0D5DD"/>
        </w:pBdr>
      </w:pPr>
      <w:r>
        <w:rPr>
          <w:rFonts w:ascii="Consolas" w:hAnsi="Consolas"/>
          <w:color w:val="0B1F3A"/>
          <w:sz w:val="16"/>
        </w:rPr>
        <w:t>│  ├─ ui-web/              React components consuming design tokens</w:t>
      </w:r>
    </w:p>
    <w:p>
      <w:pPr>
        <w:spacing w:before="0" w:after="0" w:line="240" w:lineRule="auto"/>
        <w:ind w:left="230"/>
        <w:shd w:val="clear" w:color="auto" w:fill="F7F9FC"/>
        <w:pBdr>
          <w:left w:val="single" w:sz="4" w:space="6" w:color="D0D5DD"/>
        </w:pBdr>
      </w:pPr>
      <w:r>
        <w:rPr>
          <w:rFonts w:ascii="Consolas" w:hAnsi="Consolas"/>
          <w:color w:val="0B1F3A"/>
          <w:sz w:val="16"/>
        </w:rPr>
        <w:t>│  ├─ ui-mobile/           React Native components consuming theme tokens</w:t>
      </w:r>
    </w:p>
    <w:p>
      <w:pPr>
        <w:spacing w:before="0" w:after="0" w:line="240" w:lineRule="auto"/>
        <w:ind w:left="230"/>
        <w:shd w:val="clear" w:color="auto" w:fill="F7F9FC"/>
        <w:pBdr>
          <w:left w:val="single" w:sz="4" w:space="6" w:color="D0D5DD"/>
        </w:pBdr>
      </w:pPr>
      <w:r>
        <w:rPr>
          <w:rFonts w:ascii="Consolas" w:hAnsi="Consolas"/>
          <w:color w:val="0B1F3A"/>
          <w:sz w:val="16"/>
        </w:rPr>
        <w:t>│  └─ config/              tsconfig bases, eslint, prettier, lint rules</w:t>
      </w:r>
    </w:p>
    <w:p>
      <w:pPr>
        <w:spacing w:before="0" w:after="0" w:line="240" w:lineRule="auto"/>
        <w:ind w:left="230"/>
        <w:shd w:val="clear" w:color="auto" w:fill="F7F9FC"/>
        <w:pBdr>
          <w:left w:val="single" w:sz="4" w:space="6" w:color="D0D5DD"/>
        </w:pBdr>
      </w:pPr>
      <w:r>
        <w:rPr>
          <w:rFonts w:ascii="Consolas" w:hAnsi="Consolas"/>
          <w:color w:val="0B1F3A"/>
          <w:sz w:val="16"/>
        </w:rPr>
        <w:t>├─ services/</w:t>
      </w:r>
    </w:p>
    <w:p>
      <w:pPr>
        <w:spacing w:before="0" w:after="0" w:line="240" w:lineRule="auto"/>
        <w:ind w:left="230"/>
        <w:shd w:val="clear" w:color="auto" w:fill="F7F9FC"/>
        <w:pBdr>
          <w:left w:val="single" w:sz="4" w:space="6" w:color="D0D5DD"/>
        </w:pBdr>
      </w:pPr>
      <w:r>
        <w:rPr>
          <w:rFonts w:ascii="Consolas" w:hAnsi="Consolas"/>
          <w:color w:val="0B1F3A"/>
          <w:sz w:val="16"/>
        </w:rPr>
        <w:t>│  ├─ api/                 Fastify. HTTP only: route -&gt; use case -&gt; response.</w:t>
      </w:r>
    </w:p>
    <w:p>
      <w:pPr>
        <w:spacing w:before="0" w:after="0" w:line="240" w:lineRule="auto"/>
        <w:ind w:left="230"/>
        <w:shd w:val="clear" w:color="auto" w:fill="F7F9FC"/>
        <w:pBdr>
          <w:left w:val="single" w:sz="4" w:space="6" w:color="D0D5DD"/>
        </w:pBdr>
      </w:pPr>
      <w:r>
        <w:rPr>
          <w:rFonts w:ascii="Consolas" w:hAnsi="Consolas"/>
          <w:color w:val="0B1F3A"/>
          <w:sz w:val="16"/>
        </w:rPr>
        <w:t>│  ├─ worker/              BullMQ consumers: notifications, reconciliation,</w:t>
      </w:r>
    </w:p>
    <w:p>
      <w:pPr>
        <w:spacing w:before="0" w:after="0" w:line="240" w:lineRule="auto"/>
        <w:ind w:left="230"/>
        <w:shd w:val="clear" w:color="auto" w:fill="F7F9FC"/>
        <w:pBdr>
          <w:left w:val="single" w:sz="4" w:space="6" w:color="D0D5DD"/>
        </w:pBdr>
      </w:pPr>
      <w:r>
        <w:rPr>
          <w:rFonts w:ascii="Consolas" w:hAnsi="Consolas"/>
          <w:color w:val="0B1F3A"/>
          <w:sz w:val="16"/>
        </w:rPr>
        <w:t>│  │                       webhook processing, statement generation</w:t>
      </w:r>
    </w:p>
    <w:p>
      <w:pPr>
        <w:spacing w:before="0" w:after="0" w:line="240" w:lineRule="auto"/>
        <w:ind w:left="230"/>
        <w:shd w:val="clear" w:color="auto" w:fill="F7F9FC"/>
        <w:pBdr>
          <w:left w:val="single" w:sz="4" w:space="6" w:color="D0D5DD"/>
        </w:pBdr>
      </w:pPr>
      <w:r>
        <w:rPr>
          <w:rFonts w:ascii="Consolas" w:hAnsi="Consolas"/>
          <w:color w:val="0B1F3A"/>
          <w:sz w:val="16"/>
        </w:rPr>
        <w:t>│  └─ scheduler/           Cron: contribution due dates, grace period expiry,</w:t>
      </w:r>
    </w:p>
    <w:p>
      <w:pPr>
        <w:spacing w:before="0" w:after="0" w:line="240" w:lineRule="auto"/>
        <w:ind w:left="230"/>
        <w:shd w:val="clear" w:color="auto" w:fill="F7F9FC"/>
        <w:pBdr>
          <w:left w:val="single" w:sz="4" w:space="6" w:color="D0D5DD"/>
        </w:pBdr>
      </w:pPr>
      <w:r>
        <w:rPr>
          <w:rFonts w:ascii="Consolas" w:hAnsi="Consolas"/>
          <w:color w:val="0B1F3A"/>
          <w:sz w:val="16"/>
        </w:rPr>
        <w:t>│                          enrollment window close, payout scheduling</w:t>
      </w:r>
    </w:p>
    <w:p>
      <w:pPr>
        <w:spacing w:before="0" w:after="0" w:line="240" w:lineRule="auto"/>
        <w:ind w:left="230"/>
        <w:shd w:val="clear" w:color="auto" w:fill="F7F9FC"/>
        <w:pBdr>
          <w:left w:val="single" w:sz="4" w:space="6" w:color="D0D5DD"/>
        </w:pBdr>
      </w:pPr>
      <w:r>
        <w:rPr>
          <w:rFonts w:ascii="Consolas" w:hAnsi="Consolas"/>
          <w:color w:val="0B1F3A"/>
          <w:sz w:val="16"/>
        </w:rPr>
        <w:t>├─ database/</w:t>
      </w:r>
    </w:p>
    <w:p>
      <w:pPr>
        <w:spacing w:before="0" w:after="0" w:line="240" w:lineRule="auto"/>
        <w:ind w:left="230"/>
        <w:shd w:val="clear" w:color="auto" w:fill="F7F9FC"/>
        <w:pBdr>
          <w:left w:val="single" w:sz="4" w:space="6" w:color="D0D5DD"/>
        </w:pBdr>
      </w:pPr>
      <w:r>
        <w:rPr>
          <w:rFonts w:ascii="Consolas" w:hAnsi="Consolas"/>
          <w:color w:val="0B1F3A"/>
          <w:sz w:val="16"/>
        </w:rPr>
        <w:t>│  ├─ migrations/          Forward-only, numbered, never edited after apply</w:t>
      </w:r>
    </w:p>
    <w:p>
      <w:pPr>
        <w:spacing w:before="0" w:after="0" w:line="240" w:lineRule="auto"/>
        <w:ind w:left="230"/>
        <w:shd w:val="clear" w:color="auto" w:fill="F7F9FC"/>
        <w:pBdr>
          <w:left w:val="single" w:sz="4" w:space="6" w:color="D0D5DD"/>
        </w:pBdr>
      </w:pPr>
      <w:r>
        <w:rPr>
          <w:rFonts w:ascii="Consolas" w:hAnsi="Consolas"/>
          <w:color w:val="0B1F3A"/>
          <w:sz w:val="16"/>
        </w:rPr>
        <w:t>│  ├─ seeds/               Development and test fixtures only</w:t>
      </w:r>
    </w:p>
    <w:p>
      <w:pPr>
        <w:spacing w:before="0" w:after="0" w:line="240" w:lineRule="auto"/>
        <w:ind w:left="230"/>
        <w:shd w:val="clear" w:color="auto" w:fill="F7F9FC"/>
        <w:pBdr>
          <w:left w:val="single" w:sz="4" w:space="6" w:color="D0D5DD"/>
        </w:pBdr>
      </w:pPr>
      <w:r>
        <w:rPr>
          <w:rFonts w:ascii="Consolas" w:hAnsi="Consolas"/>
          <w:color w:val="0B1F3A"/>
          <w:sz w:val="16"/>
        </w:rPr>
        <w:t>│  └─ rls-tests/           Executed in CI against a real Postgres</w:t>
      </w:r>
    </w:p>
    <w:p>
      <w:pPr>
        <w:spacing w:before="0" w:after="0" w:line="240" w:lineRule="auto"/>
        <w:ind w:left="230"/>
        <w:shd w:val="clear" w:color="auto" w:fill="F7F9FC"/>
        <w:pBdr>
          <w:left w:val="single" w:sz="4" w:space="6" w:color="D0D5DD"/>
        </w:pBdr>
      </w:pPr>
      <w:r>
        <w:rPr>
          <w:rFonts w:ascii="Consolas" w:hAnsi="Consolas"/>
          <w:color w:val="0B1F3A"/>
          <w:sz w:val="16"/>
        </w:rPr>
        <w:t>├─ docs/                   This specification and its generator</w:t>
      </w:r>
    </w:p>
    <w:p>
      <w:pPr>
        <w:spacing w:before="0" w:after="0" w:line="240" w:lineRule="auto"/>
        <w:ind w:left="230"/>
        <w:shd w:val="clear" w:color="auto" w:fill="F7F9FC"/>
        <w:pBdr>
          <w:left w:val="single" w:sz="4" w:space="6" w:color="D0D5DD"/>
        </w:pBdr>
      </w:pPr>
      <w:r>
        <w:rPr>
          <w:rFonts w:ascii="Consolas" w:hAnsi="Consolas"/>
          <w:color w:val="0B1F3A"/>
          <w:sz w:val="16"/>
        </w:rPr>
        <w:t>└─ brand/                  Logo, icon and imagery assets</w:t>
      </w:r>
    </w:p>
    <w:p>
      <w:pPr>
        <w:spacing w:before="140" w:after="180"/>
        <w:ind w:left="144"/>
        <w:shd w:val="clear" w:color="auto" w:fill="EFF6FF"/>
        <w:pBdr>
          <w:left w:val="single" w:sz="18" w:space="6" w:color="146EF5"/>
        </w:pBdr>
      </w:pPr>
      <w:r>
        <w:rPr>
          <w:rFonts w:ascii="Calibri" w:hAnsi="Calibri"/>
          <w:b/>
          <w:color w:val="146EF5"/>
          <w:sz w:val="19"/>
        </w:rPr>
        <w:t xml:space="preserve">The dependency rule that matters:  </w:t>
      </w:r>
      <w:r>
        <w:rPr>
          <w:rFonts w:ascii="Consolas" w:hAnsi="Consolas"/>
          <w:color w:val="146EF5"/>
          <w:sz w:val="19"/>
        </w:rPr>
        <w:t>packages/domain</w:t>
      </w:r>
      <w:r>
        <w:rPr>
          <w:rFonts w:ascii="Calibri" w:hAnsi="Calibri"/>
          <w:b w:val="0"/>
          <w:i w:val="0"/>
          <w:color w:val="0B1F3A"/>
          <w:sz w:val="19"/>
        </w:rPr>
        <w:t xml:space="preserve"> may import from nothing but itself and the standard library. It cannot import from </w:t>
      </w:r>
      <w:r>
        <w:rPr>
          <w:rFonts w:ascii="Consolas" w:hAnsi="Consolas"/>
          <w:color w:val="146EF5"/>
          <w:sz w:val="19"/>
        </w:rPr>
        <w:t>application</w:t>
      </w:r>
      <w:r>
        <w:rPr>
          <w:rFonts w:ascii="Calibri" w:hAnsi="Calibri"/>
          <w:b w:val="0"/>
          <w:i w:val="0"/>
          <w:color w:val="0B1F3A"/>
          <w:sz w:val="19"/>
        </w:rPr>
        <w:t xml:space="preserve">, </w:t>
      </w:r>
      <w:r>
        <w:rPr>
          <w:rFonts w:ascii="Consolas" w:hAnsi="Consolas"/>
          <w:color w:val="146EF5"/>
          <w:sz w:val="19"/>
        </w:rPr>
        <w:t>api</w:t>
      </w:r>
      <w:r>
        <w:rPr>
          <w:rFonts w:ascii="Calibri" w:hAnsi="Calibri"/>
          <w:b w:val="0"/>
          <w:i w:val="0"/>
          <w:color w:val="0B1F3A"/>
          <w:sz w:val="19"/>
        </w:rPr>
        <w:t xml:space="preserve">, Supabase, or any provider SDK. This is enforced in CI by an ESLint </w:t>
      </w:r>
      <w:r>
        <w:rPr>
          <w:rFonts w:ascii="Consolas" w:hAnsi="Consolas"/>
          <w:color w:val="146EF5"/>
          <w:sz w:val="19"/>
        </w:rPr>
        <w:t>no-restricted-imports</w:t>
      </w:r>
      <w:r>
        <w:rPr>
          <w:rFonts w:ascii="Calibri" w:hAnsi="Calibri"/>
          <w:b w:val="0"/>
          <w:i w:val="0"/>
          <w:color w:val="0B1F3A"/>
          <w:sz w:val="19"/>
        </w:rPr>
        <w:t xml:space="preserve"> rule. The reason is not tidiness: in three years, when the payment partner changes or the database moves, a domain core with no infrastructure coupling is the only part that can be proved still correct.</w:t>
      </w:r>
    </w:p>
    <w:p>
      <w:pPr>
        <w:pStyle w:val="Heading2"/>
      </w:pPr>
      <w:r>
        <w:rPr>
          <w:rFonts w:ascii="Calibri" w:hAnsi="Calibri"/>
          <w:b/>
          <w:i w:val="0"/>
          <w:color w:val="146EF5"/>
          <w:sz w:val="29"/>
        </w:rPr>
        <w:t>10.5 Request lifecycle — paying a contribution</w:t>
      </w:r>
    </w:p>
    <w:p>
      <w:r>
        <w:rPr>
          <w:rFonts w:ascii="Calibri" w:hAnsi="Calibri"/>
          <w:b w:val="0"/>
          <w:i w:val="0"/>
          <w:color w:val="101828"/>
          <w:sz w:val="21"/>
        </w:rPr>
        <w:t>The most safety-critical path in the product. Every step here exists because of a documented failure mode.</w:t>
      </w:r>
    </w:p>
    <w:p>
      <w:pPr>
        <w:pStyle w:val="ListNumber"/>
        <w:spacing w:after="60"/>
        <w:ind w:left="432"/>
      </w:pPr>
      <w:r>
        <w:rPr>
          <w:rFonts w:ascii="Calibri" w:hAnsi="Calibri"/>
          <w:b w:val="0"/>
          <w:i w:val="0"/>
          <w:color w:val="101828"/>
          <w:sz w:val="21"/>
        </w:rPr>
        <w:t xml:space="preserve">Client requests </w:t>
      </w:r>
      <w:r>
        <w:rPr>
          <w:rFonts w:ascii="Consolas" w:hAnsi="Consolas"/>
          <w:color w:val="146EF5"/>
          <w:sz w:val="21"/>
        </w:rPr>
        <w:t>POST /contributions/:id/pay</w:t>
      </w:r>
      <w:r>
        <w:rPr>
          <w:rFonts w:ascii="Calibri" w:hAnsi="Calibri"/>
          <w:b w:val="0"/>
          <w:i w:val="0"/>
          <w:color w:val="101828"/>
          <w:sz w:val="21"/>
        </w:rPr>
        <w:t xml:space="preserve"> with an </w:t>
      </w:r>
      <w:r>
        <w:rPr>
          <w:rFonts w:ascii="Consolas" w:hAnsi="Consolas"/>
          <w:color w:val="146EF5"/>
          <w:sz w:val="21"/>
        </w:rPr>
        <w:t>Idempotency-Key</w:t>
      </w:r>
      <w:r>
        <w:rPr>
          <w:rFonts w:ascii="Calibri" w:hAnsi="Calibri"/>
          <w:b w:val="0"/>
          <w:i w:val="0"/>
          <w:color w:val="101828"/>
          <w:sz w:val="21"/>
        </w:rPr>
        <w:t xml:space="preserve"> header.</w:t>
      </w:r>
    </w:p>
    <w:p>
      <w:pPr>
        <w:pStyle w:val="ListNumber"/>
        <w:spacing w:after="60"/>
        <w:ind w:left="432"/>
      </w:pPr>
      <w:r>
        <w:rPr>
          <w:rFonts w:ascii="Calibri" w:hAnsi="Calibri"/>
          <w:b w:val="0"/>
          <w:i w:val="0"/>
          <w:color w:val="101828"/>
          <w:sz w:val="21"/>
        </w:rPr>
        <w:t>API verifies the session, resolves the caller's membership, and confirms via RLS that this member belongs to this Ajo.</w:t>
      </w:r>
    </w:p>
    <w:p>
      <w:pPr>
        <w:pStyle w:val="ListNumber"/>
        <w:spacing w:after="60"/>
        <w:ind w:left="432"/>
      </w:pPr>
      <w:r>
        <w:rPr>
          <w:rFonts w:ascii="Calibri" w:hAnsi="Calibri"/>
          <w:b w:val="0"/>
          <w:i w:val="0"/>
          <w:color w:val="101828"/>
          <w:sz w:val="21"/>
        </w:rPr>
        <w:t xml:space="preserve">The application layer recomputes the amount </w:t>
      </w:r>
      <w:r>
        <w:rPr>
          <w:rFonts w:ascii="Calibri" w:hAnsi="Calibri"/>
          <w:b/>
          <w:color w:val="101828"/>
          <w:sz w:val="21"/>
        </w:rPr>
        <w:t>server-side from the database</w:t>
      </w:r>
      <w:r>
        <w:rPr>
          <w:rFonts w:ascii="Calibri" w:hAnsi="Calibri"/>
          <w:b w:val="0"/>
          <w:i w:val="0"/>
          <w:color w:val="101828"/>
          <w:sz w:val="21"/>
        </w:rPr>
        <w:t xml:space="preserve"> — never from the client's number. The client may display an amount; it may not assert one.</w:t>
      </w:r>
    </w:p>
    <w:p>
      <w:pPr>
        <w:pStyle w:val="ListNumber"/>
        <w:spacing w:after="60"/>
        <w:ind w:left="432"/>
      </w:pPr>
      <w:r>
        <w:rPr>
          <w:rFonts w:ascii="Calibri" w:hAnsi="Calibri"/>
          <w:b w:val="0"/>
          <w:i w:val="0"/>
          <w:color w:val="101828"/>
          <w:sz w:val="21"/>
        </w:rPr>
        <w:t xml:space="preserve">The fee is computed in kobo: </w:t>
      </w:r>
      <w:r>
        <w:rPr>
          <w:rFonts w:ascii="Consolas" w:hAnsi="Consolas"/>
          <w:color w:val="146EF5"/>
          <w:sz w:val="21"/>
        </w:rPr>
        <w:t>fee = (amount_kobo * 200 + 5000) / 10000</w:t>
      </w:r>
      <w:r>
        <w:rPr>
          <w:rFonts w:ascii="Calibri" w:hAnsi="Calibri"/>
          <w:b w:val="0"/>
          <w:i w:val="0"/>
          <w:color w:val="101828"/>
          <w:sz w:val="21"/>
        </w:rPr>
        <w:t>. For NGN 1,000.00 that is exactly 2,000 kobo.</w:t>
      </w:r>
    </w:p>
    <w:p>
      <w:pPr>
        <w:pStyle w:val="ListNumber"/>
        <w:spacing w:after="60"/>
        <w:ind w:left="432"/>
      </w:pPr>
      <w:r>
        <w:rPr>
          <w:rFonts w:ascii="Consolas" w:hAnsi="Consolas"/>
          <w:color w:val="146EF5"/>
          <w:sz w:val="21"/>
        </w:rPr>
        <w:t>idempotency_keys</w:t>
      </w:r>
      <w:r>
        <w:rPr>
          <w:rFonts w:ascii="Calibri" w:hAnsi="Calibri"/>
          <w:b w:val="0"/>
          <w:i w:val="0"/>
          <w:color w:val="101828"/>
          <w:sz w:val="21"/>
        </w:rPr>
        <w:t xml:space="preserve"> is checked. A replay returns the original response and moves no money.</w:t>
      </w:r>
    </w:p>
    <w:p>
      <w:pPr>
        <w:pStyle w:val="ListNumber"/>
        <w:spacing w:after="60"/>
        <w:ind w:left="432"/>
      </w:pPr>
      <w:r>
        <w:rPr>
          <w:rFonts w:ascii="Calibri" w:hAnsi="Calibri"/>
          <w:b w:val="0"/>
          <w:i w:val="0"/>
          <w:color w:val="101828"/>
          <w:sz w:val="21"/>
        </w:rPr>
        <w:t xml:space="preserve">A </w:t>
      </w:r>
      <w:r>
        <w:rPr>
          <w:rFonts w:ascii="Consolas" w:hAnsi="Consolas"/>
          <w:color w:val="146EF5"/>
          <w:sz w:val="21"/>
        </w:rPr>
        <w:t>payments</w:t>
      </w:r>
      <w:r>
        <w:rPr>
          <w:rFonts w:ascii="Calibri" w:hAnsi="Calibri"/>
          <w:b w:val="0"/>
          <w:i w:val="0"/>
          <w:color w:val="101828"/>
          <w:sz w:val="21"/>
        </w:rPr>
        <w:t xml:space="preserve"> row is written </w:t>
      </w:r>
      <w:r>
        <w:rPr>
          <w:rFonts w:ascii="Consolas" w:hAnsi="Consolas"/>
          <w:color w:val="146EF5"/>
          <w:sz w:val="21"/>
        </w:rPr>
        <w:t>INITIATED</w:t>
      </w:r>
      <w:r>
        <w:rPr>
          <w:rFonts w:ascii="Calibri" w:hAnsi="Calibri"/>
          <w:b w:val="0"/>
          <w:i w:val="0"/>
          <w:color w:val="101828"/>
          <w:sz w:val="21"/>
        </w:rPr>
        <w:t xml:space="preserve"> and a </w:t>
      </w:r>
      <w:r>
        <w:rPr>
          <w:rFonts w:ascii="Consolas" w:hAnsi="Consolas"/>
          <w:color w:val="146EF5"/>
          <w:sz w:val="21"/>
        </w:rPr>
        <w:t>contribution</w:t>
      </w:r>
      <w:r>
        <w:rPr>
          <w:rFonts w:ascii="Calibri" w:hAnsi="Calibri"/>
          <w:b w:val="0"/>
          <w:i w:val="0"/>
          <w:color w:val="101828"/>
          <w:sz w:val="21"/>
        </w:rPr>
        <w:t xml:space="preserve"> moves </w:t>
      </w:r>
      <w:r>
        <w:rPr>
          <w:rFonts w:ascii="Consolas" w:hAnsi="Consolas"/>
          <w:color w:val="146EF5"/>
          <w:sz w:val="21"/>
        </w:rPr>
        <w:t>PENDING → PROCESSING</w:t>
      </w:r>
      <w:r>
        <w:rPr>
          <w:rFonts w:ascii="Calibri" w:hAnsi="Calibri"/>
          <w:b w:val="0"/>
          <w:i w:val="0"/>
          <w:color w:val="101828"/>
          <w:sz w:val="21"/>
        </w:rPr>
        <w:t xml:space="preserve"> inside one database transaction.</w:t>
      </w:r>
    </w:p>
    <w:p>
      <w:pPr>
        <w:pStyle w:val="ListNumber"/>
        <w:spacing w:after="60"/>
        <w:ind w:left="432"/>
      </w:pPr>
      <w:r>
        <w:rPr>
          <w:rFonts w:ascii="Calibri" w:hAnsi="Calibri"/>
          <w:b w:val="0"/>
          <w:i w:val="0"/>
          <w:color w:val="101828"/>
          <w:sz w:val="21"/>
        </w:rPr>
        <w:t xml:space="preserve">The </w:t>
      </w:r>
      <w:r>
        <w:rPr>
          <w:rFonts w:ascii="Consolas" w:hAnsi="Consolas"/>
          <w:color w:val="146EF5"/>
          <w:sz w:val="21"/>
        </w:rPr>
        <w:t>FinancialProvider</w:t>
      </w:r>
      <w:r>
        <w:rPr>
          <w:rFonts w:ascii="Calibri" w:hAnsi="Calibri"/>
          <w:b w:val="0"/>
          <w:i w:val="0"/>
          <w:color w:val="101828"/>
          <w:sz w:val="21"/>
        </w:rPr>
        <w:t xml:space="preserve"> port is called with its own idempotency key derived from the payment ID.</w:t>
      </w:r>
    </w:p>
    <w:p>
      <w:pPr>
        <w:pStyle w:val="ListNumber"/>
        <w:spacing w:after="60"/>
        <w:ind w:left="432"/>
      </w:pPr>
      <w:r>
        <w:rPr>
          <w:rFonts w:ascii="Calibri" w:hAnsi="Calibri"/>
          <w:b w:val="0"/>
          <w:i w:val="0"/>
          <w:color w:val="101828"/>
          <w:sz w:val="21"/>
        </w:rPr>
        <w:t xml:space="preserve">The provider returns a reference. The payment moves to </w:t>
      </w:r>
      <w:r>
        <w:rPr>
          <w:rFonts w:ascii="Consolas" w:hAnsi="Consolas"/>
          <w:color w:val="146EF5"/>
          <w:sz w:val="21"/>
        </w:rPr>
        <w:t>PENDING</w:t>
      </w:r>
      <w:r>
        <w:rPr>
          <w:rFonts w:ascii="Calibri" w:hAnsi="Calibri"/>
          <w:b w:val="0"/>
          <w:i w:val="0"/>
          <w:color w:val="101828"/>
          <w:sz w:val="21"/>
        </w:rPr>
        <w:t xml:space="preserve"> awaiting confirmation. </w:t>
      </w:r>
      <w:r>
        <w:rPr>
          <w:rFonts w:ascii="Calibri" w:hAnsi="Calibri"/>
          <w:b/>
          <w:color w:val="101828"/>
          <w:sz w:val="21"/>
        </w:rPr>
        <w:t>The contribution is not yet marked paid.</w:t>
      </w:r>
    </w:p>
    <w:p>
      <w:pPr>
        <w:pStyle w:val="ListNumber"/>
        <w:spacing w:after="60"/>
        <w:ind w:left="432"/>
      </w:pPr>
      <w:r>
        <w:rPr>
          <w:rFonts w:ascii="Calibri" w:hAnsi="Calibri"/>
          <w:b w:val="0"/>
          <w:i w:val="0"/>
          <w:color w:val="101828"/>
          <w:sz w:val="21"/>
        </w:rPr>
        <w:t>The provider redirects the member to their bank. AJO.ng returns a 'confirming your payment' screen, never a success screen.</w:t>
      </w:r>
    </w:p>
    <w:p>
      <w:pPr>
        <w:pStyle w:val="ListNumber"/>
        <w:spacing w:after="60"/>
        <w:ind w:left="432"/>
      </w:pPr>
      <w:r>
        <w:rPr>
          <w:rFonts w:ascii="Calibri" w:hAnsi="Calibri"/>
          <w:b w:val="0"/>
          <w:i w:val="0"/>
          <w:color w:val="101828"/>
          <w:sz w:val="21"/>
        </w:rPr>
        <w:t>Asynchronously the provider sends a signed webhook. Signature is verified over the raw body before parsing.</w:t>
      </w:r>
    </w:p>
    <w:p>
      <w:pPr>
        <w:pStyle w:val="ListNumber"/>
        <w:spacing w:after="60"/>
        <w:ind w:left="432"/>
      </w:pPr>
      <w:r>
        <w:rPr>
          <w:rFonts w:ascii="Calibri" w:hAnsi="Calibri"/>
          <w:b w:val="0"/>
          <w:i w:val="0"/>
          <w:color w:val="101828"/>
          <w:sz w:val="21"/>
        </w:rPr>
        <w:t>A duplicate webhook is recognised by provider reference and ignored — the ledger is idempotent, so a repeat is harmless but is still recorded as a duplicate-receipt event for audit.</w:t>
      </w:r>
    </w:p>
    <w:p>
      <w:pPr>
        <w:pStyle w:val="ListNumber"/>
        <w:spacing w:after="60"/>
        <w:ind w:left="432"/>
      </w:pPr>
      <w:r>
        <w:rPr>
          <w:rFonts w:ascii="Calibri" w:hAnsi="Calibri"/>
          <w:b w:val="0"/>
          <w:i w:val="0"/>
          <w:color w:val="101828"/>
          <w:sz w:val="21"/>
        </w:rPr>
        <w:t xml:space="preserve">The worker posts to the ledger in the mandatory order: </w:t>
      </w:r>
      <w:r>
        <w:rPr>
          <w:rFonts w:ascii="Consolas" w:hAnsi="Consolas"/>
          <w:color w:val="146EF5"/>
          <w:sz w:val="21"/>
        </w:rPr>
        <w:t>contribution.received</w:t>
      </w:r>
      <w:r>
        <w:rPr>
          <w:rFonts w:ascii="Calibri" w:hAnsi="Calibri"/>
          <w:b w:val="0"/>
          <w:i w:val="0"/>
          <w:color w:val="101828"/>
          <w:sz w:val="21"/>
        </w:rPr>
        <w:t xml:space="preserve">, then </w:t>
      </w:r>
      <w:r>
        <w:rPr>
          <w:rFonts w:ascii="Consolas" w:hAnsi="Consolas"/>
          <w:color w:val="146EF5"/>
          <w:sz w:val="21"/>
        </w:rPr>
        <w:t>fee.recognised</w:t>
      </w:r>
      <w:r>
        <w:rPr>
          <w:rFonts w:ascii="Calibri" w:hAnsi="Calibri"/>
          <w:b w:val="0"/>
          <w:i w:val="0"/>
          <w:color w:val="101828"/>
          <w:sz w:val="21"/>
        </w:rPr>
        <w:t>. Both balance to zero.</w:t>
      </w:r>
    </w:p>
    <w:p>
      <w:pPr>
        <w:pStyle w:val="ListNumber"/>
        <w:spacing w:after="60"/>
        <w:ind w:left="432"/>
      </w:pPr>
      <w:r>
        <w:rPr>
          <w:rFonts w:ascii="Calibri" w:hAnsi="Calibri"/>
          <w:b w:val="0"/>
          <w:i w:val="0"/>
          <w:color w:val="101828"/>
          <w:sz w:val="21"/>
        </w:rPr>
        <w:t xml:space="preserve">The contribution moves to </w:t>
      </w:r>
      <w:r>
        <w:rPr>
          <w:rFonts w:ascii="Consolas" w:hAnsi="Consolas"/>
          <w:color w:val="146EF5"/>
          <w:sz w:val="21"/>
        </w:rPr>
        <w:t>PAID</w:t>
      </w:r>
      <w:r>
        <w:rPr>
          <w:rFonts w:ascii="Calibri" w:hAnsi="Calibri"/>
          <w:b w:val="0"/>
          <w:i w:val="0"/>
          <w:color w:val="101828"/>
          <w:sz w:val="21"/>
        </w:rPr>
        <w:t>; the round's collected total is incremented; the member's confirmation notification is queued.</w:t>
      </w:r>
    </w:p>
    <w:p>
      <w:pPr>
        <w:pStyle w:val="ListNumber"/>
        <w:spacing w:after="60"/>
        <w:ind w:left="432"/>
      </w:pPr>
      <w:r>
        <w:rPr>
          <w:rFonts w:ascii="Calibri" w:hAnsi="Calibri"/>
          <w:b w:val="0"/>
          <w:i w:val="0"/>
          <w:color w:val="101828"/>
          <w:sz w:val="21"/>
        </w:rPr>
        <w:t xml:space="preserve">If the webhook never arrives, the reconciliation job polls </w:t>
      </w:r>
      <w:r>
        <w:rPr>
          <w:rFonts w:ascii="Consolas" w:hAnsi="Consolas"/>
          <w:color w:val="146EF5"/>
          <w:sz w:val="21"/>
        </w:rPr>
        <w:t>getTransfer</w:t>
      </w:r>
      <w:r>
        <w:rPr>
          <w:rFonts w:ascii="Calibri" w:hAnsi="Calibri"/>
          <w:b w:val="0"/>
          <w:i w:val="0"/>
          <w:color w:val="101828"/>
          <w:sz w:val="21"/>
        </w:rPr>
        <w:t xml:space="preserve"> and reaches the same conclusion. The system does not depend on the webhook alone.</w:t>
      </w:r>
    </w:p>
    <w:p>
      <w:pPr>
        <w:pStyle w:val="Heading2"/>
      </w:pPr>
      <w:r>
        <w:rPr>
          <w:rFonts w:ascii="Calibri" w:hAnsi="Calibri"/>
          <w:b/>
          <w:i w:val="0"/>
          <w:color w:val="146EF5"/>
          <w:sz w:val="29"/>
        </w:rPr>
        <w:t>10.6 Financial provider abstraction</w:t>
      </w:r>
    </w:p>
    <w:p>
      <w:r>
        <w:rPr>
          <w:rFonts w:ascii="Calibri" w:hAnsi="Calibri"/>
          <w:b w:val="0"/>
          <w:i w:val="0"/>
          <w:color w:val="101828"/>
          <w:sz w:val="21"/>
        </w:rPr>
        <w:t>The single seam between AJO.ng and regulated money movement. Everything above it is written against this interface and nothing else.</w:t>
      </w:r>
    </w:p>
    <w:p>
      <w:pPr>
        <w:spacing w:before="0" w:after="0" w:line="240" w:lineRule="auto"/>
        <w:ind w:left="230"/>
        <w:shd w:val="clear" w:color="auto" w:fill="F7F9FC"/>
        <w:pBdr>
          <w:left w:val="single" w:sz="4" w:space="6" w:color="D0D5DD"/>
        </w:pBdr>
      </w:pPr>
      <w:r>
        <w:rPr>
          <w:rFonts w:ascii="Consolas" w:hAnsi="Consolas"/>
          <w:color w:val="0B1F3A"/>
          <w:sz w:val="16"/>
        </w:rPr>
        <w:t>export interface FinancialProvider {</w:t>
      </w:r>
    </w:p>
    <w:p>
      <w:pPr>
        <w:spacing w:before="0" w:after="0" w:line="240" w:lineRule="auto"/>
        <w:ind w:left="230"/>
        <w:shd w:val="clear" w:color="auto" w:fill="F7F9FC"/>
        <w:pBdr>
          <w:left w:val="single" w:sz="4" w:space="6" w:color="D0D5DD"/>
        </w:pBdr>
      </w:pPr>
      <w:r>
        <w:rPr>
          <w:rFonts w:ascii="Consolas" w:hAnsi="Consolas"/>
          <w:color w:val="0B1F3A"/>
          <w:sz w:val="16"/>
        </w:rPr>
        <w:t xml:space="preserve">  readonly id: ProviderId;</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createCollectionAccount(cmd: CreateCollectionAccountCommand): Promise&lt;CollectionAccount&gt;;</w:t>
      </w:r>
    </w:p>
    <w:p>
      <w:pPr>
        <w:spacing w:before="0" w:after="0" w:line="240" w:lineRule="auto"/>
        <w:ind w:left="230"/>
        <w:shd w:val="clear" w:color="auto" w:fill="F7F9FC"/>
        <w:pBdr>
          <w:left w:val="single" w:sz="4" w:space="6" w:color="D0D5DD"/>
        </w:pBdr>
      </w:pPr>
      <w:r>
        <w:rPr>
          <w:rFonts w:ascii="Consolas" w:hAnsi="Consolas"/>
          <w:color w:val="0B1F3A"/>
          <w:sz w:val="16"/>
        </w:rPr>
        <w:t xml:space="preserve">  verifyAccount(accountNumber: string): Promise&lt;AccountVerification&gt;;</w:t>
      </w:r>
    </w:p>
    <w:p>
      <w:pPr>
        <w:spacing w:before="0" w:after="0" w:line="240" w:lineRule="auto"/>
        <w:ind w:left="230"/>
        <w:shd w:val="clear" w:color="auto" w:fill="F7F9FC"/>
        <w:pBdr>
          <w:left w:val="single" w:sz="4" w:space="6" w:color="D0D5DD"/>
        </w:pBdr>
      </w:pPr>
      <w:r>
        <w:rPr>
          <w:rFonts w:ascii="Consolas" w:hAnsi="Consolas"/>
          <w:color w:val="0B1F3A"/>
          <w:sz w:val="16"/>
        </w:rPr>
        <w:t xml:space="preserve">  initiateCollection(cmd: InitiateCollectionCommand): Promise&lt;Transfer&gt;;</w:t>
      </w:r>
    </w:p>
    <w:p>
      <w:pPr>
        <w:spacing w:before="0" w:after="0" w:line="240" w:lineRule="auto"/>
        <w:ind w:left="230"/>
        <w:shd w:val="clear" w:color="auto" w:fill="F7F9FC"/>
        <w:pBdr>
          <w:left w:val="single" w:sz="4" w:space="6" w:color="D0D5DD"/>
        </w:pBdr>
      </w:pPr>
      <w:r>
        <w:rPr>
          <w:rFonts w:ascii="Consolas" w:hAnsi="Consolas"/>
          <w:color w:val="0B1F3A"/>
          <w:sz w:val="16"/>
        </w:rPr>
        <w:t xml:space="preserve">  initiatePayout(cmd: InitiatePayoutCommand): Promise&lt;Transfer&gt;;</w:t>
      </w:r>
    </w:p>
    <w:p>
      <w:pPr>
        <w:spacing w:before="0" w:after="0" w:line="240" w:lineRule="auto"/>
        <w:ind w:left="230"/>
        <w:shd w:val="clear" w:color="auto" w:fill="F7F9FC"/>
        <w:pBdr>
          <w:left w:val="single" w:sz="4" w:space="6" w:color="D0D5DD"/>
        </w:pBdr>
      </w:pPr>
      <w:r>
        <w:rPr>
          <w:rFonts w:ascii="Consolas" w:hAnsi="Consolas"/>
          <w:color w:val="0B1F3A"/>
          <w:sz w:val="16"/>
        </w:rPr>
        <w:t xml:space="preserve">  getTransfer(providerReference: string): Promise&lt;Transfer&gt;;</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MUST verify over rawBody before parsing, constant-time.</w:t>
      </w:r>
    </w:p>
    <w:p>
      <w:pPr>
        <w:spacing w:before="0" w:after="0" w:line="240" w:lineRule="auto"/>
        <w:ind w:left="230"/>
        <w:shd w:val="clear" w:color="auto" w:fill="F7F9FC"/>
        <w:pBdr>
          <w:left w:val="single" w:sz="4" w:space="6" w:color="D0D5DD"/>
        </w:pBdr>
      </w:pPr>
      <w:r>
        <w:rPr>
          <w:rFonts w:ascii="Consolas" w:hAnsi="Consolas"/>
          <w:color w:val="0B1F3A"/>
          <w:sz w:val="16"/>
        </w:rPr>
        <w:t xml:space="preserve">  // MUST throw on signature failure. NEVER trust a parsed body.</w:t>
      </w:r>
    </w:p>
    <w:p>
      <w:pPr>
        <w:spacing w:before="0" w:after="0" w:line="240" w:lineRule="auto"/>
        <w:ind w:left="230"/>
        <w:shd w:val="clear" w:color="auto" w:fill="F7F9FC"/>
        <w:pBdr>
          <w:left w:val="single" w:sz="4" w:space="6" w:color="D0D5DD"/>
        </w:pBdr>
      </w:pPr>
      <w:r>
        <w:rPr>
          <w:rFonts w:ascii="Consolas" w:hAnsi="Consolas"/>
          <w:color w:val="0B1F3A"/>
          <w:sz w:val="16"/>
        </w:rPr>
        <w:t xml:space="preserve">  parseWebhook(event: ProviderWebhookEvent): Promise&lt;ProviderWebhookEvent&gt;;</w:t>
      </w:r>
    </w:p>
    <w:p>
      <w:pPr>
        <w:spacing w:before="0" w:after="0" w:line="240" w:lineRule="auto"/>
        <w:ind w:left="230"/>
        <w:shd w:val="clear" w:color="auto" w:fill="F7F9FC"/>
        <w:pBdr>
          <w:left w:val="single" w:sz="4" w:space="6" w:color="D0D5DD"/>
        </w:pBdr>
      </w:pPr>
      <w:r>
        <w:rPr>
          <w:rFonts w:ascii="Consolas" w:hAnsi="Consolas"/>
          <w:color w:val="0B1F3A"/>
          <w:sz w:val="16"/>
        </w:rPr>
        <w:t>}</w:t>
      </w:r>
    </w:p>
    <w:p>
      <w:pPr>
        <w:pStyle w:val="ListBullet"/>
        <w:spacing w:after="60"/>
        <w:ind w:left="360"/>
      </w:pPr>
      <w:r>
        <w:rPr>
          <w:rFonts w:ascii="Calibri" w:hAnsi="Calibri"/>
          <w:b w:val="0"/>
          <w:i w:val="0"/>
          <w:color w:val="101828"/>
          <w:sz w:val="21"/>
        </w:rPr>
        <w:t>Every mutating call carries an idempotency key derived from stable business facts, never a random UUID — otherwise a retry after a timeout becomes a duplicate payout.</w:t>
      </w:r>
    </w:p>
    <w:p>
      <w:pPr>
        <w:pStyle w:val="ListBullet"/>
        <w:spacing w:after="60"/>
        <w:ind w:left="360"/>
      </w:pPr>
      <w:r>
        <w:rPr>
          <w:rFonts w:ascii="Consolas" w:hAnsi="Consolas"/>
          <w:color w:val="146EF5"/>
          <w:sz w:val="21"/>
        </w:rPr>
        <w:t>parseWebhook</w:t>
      </w:r>
      <w:r>
        <w:rPr>
          <w:rFonts w:ascii="Calibri" w:hAnsi="Calibri"/>
          <w:b w:val="0"/>
          <w:i w:val="0"/>
          <w:color w:val="101828"/>
          <w:sz w:val="21"/>
        </w:rPr>
        <w:t xml:space="preserve"> verifies HMAC over the </w:t>
      </w:r>
      <w:r>
        <w:rPr>
          <w:rFonts w:ascii="Calibri" w:hAnsi="Calibri"/>
          <w:b/>
          <w:color w:val="101828"/>
          <w:sz w:val="21"/>
        </w:rPr>
        <w:t>raw</w:t>
      </w:r>
      <w:r>
        <w:rPr>
          <w:rFonts w:ascii="Calibri" w:hAnsi="Calibri"/>
          <w:b w:val="0"/>
          <w:i w:val="0"/>
          <w:color w:val="101828"/>
          <w:sz w:val="21"/>
        </w:rPr>
        <w:t xml:space="preserve"> request body before any JSON parsing, and compares in constant time.</w:t>
      </w:r>
    </w:p>
    <w:p>
      <w:pPr>
        <w:pStyle w:val="ListBullet"/>
        <w:spacing w:after="60"/>
        <w:ind w:left="360"/>
      </w:pPr>
      <w:r>
        <w:rPr>
          <w:rFonts w:ascii="Calibri" w:hAnsi="Calibri"/>
          <w:b w:val="0"/>
          <w:i w:val="0"/>
          <w:color w:val="101828"/>
          <w:sz w:val="21"/>
        </w:rPr>
        <w:t xml:space="preserve">A </w:t>
      </w:r>
      <w:r>
        <w:rPr>
          <w:rFonts w:ascii="Consolas" w:hAnsi="Consolas"/>
          <w:color w:val="146EF5"/>
          <w:sz w:val="21"/>
        </w:rPr>
        <w:t>MockFinancialProvider</w:t>
      </w:r>
      <w:r>
        <w:rPr>
          <w:rFonts w:ascii="Calibri" w:hAnsi="Calibri"/>
          <w:b w:val="0"/>
          <w:i w:val="0"/>
          <w:color w:val="101828"/>
          <w:sz w:val="21"/>
        </w:rPr>
        <w:t xml:space="preserve"> implements this interface for development. It refuses to construct when </w:t>
      </w:r>
      <w:r>
        <w:rPr>
          <w:rFonts w:ascii="Consolas" w:hAnsi="Consolas"/>
          <w:color w:val="146EF5"/>
          <w:sz w:val="21"/>
        </w:rPr>
        <w:t>NODE_ENV=production</w:t>
      </w:r>
      <w:r>
        <w:rPr>
          <w:rFonts w:ascii="Calibri" w:hAnsi="Calibri"/>
          <w:b w:val="0"/>
          <w:i w:val="0"/>
          <w:color w:val="101828"/>
          <w:sz w:val="21"/>
        </w:rPr>
        <w:t xml:space="preserve">, and every transfer it produces is tagged </w:t>
      </w:r>
      <w:r>
        <w:rPr>
          <w:rFonts w:ascii="Consolas" w:hAnsi="Consolas"/>
          <w:color w:val="146EF5"/>
          <w:sz w:val="21"/>
        </w:rPr>
        <w:t>MOCK</w:t>
      </w:r>
      <w:r>
        <w:rPr>
          <w:rFonts w:ascii="Calibri" w:hAnsi="Calibri"/>
          <w:b w:val="0"/>
          <w:i w:val="0"/>
          <w:color w:val="101828"/>
          <w:sz w:val="21"/>
        </w:rPr>
        <w:t>. A simulated payment that a member or investor believed was real would be a reportable incident, not a bug.</w:t>
      </w:r>
    </w:p>
    <w:p>
      <w:pPr>
        <w:pStyle w:val="Heading2"/>
      </w:pPr>
      <w:r>
        <w:rPr>
          <w:rFonts w:ascii="Calibri" w:hAnsi="Calibri"/>
          <w:b/>
          <w:i w:val="0"/>
          <w:color w:val="146EF5"/>
          <w:sz w:val="29"/>
        </w:rPr>
        <w:t>10.7 Data architecture</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Concern</w:t>
            </w:r>
          </w:p>
        </w:tc>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6"/>
              </w:rPr>
              <w:t>Approach</w:t>
            </w:r>
          </w:p>
        </w:tc>
        <w:tc>
          <w:tcPr>
            <w:tcW w:type="dxa" w:w="4032"/>
            <w:shd w:val="clear" w:color="auto" w:fill="0B1F3A"/>
            <w:tcMar>
              <w:top w:w="60" w:type="dxa"/>
              <w:start w:w="110" w:type="dxa"/>
              <w:bottom w:w="60" w:type="dxa"/>
              <w:end w:w="110" w:type="dxa"/>
            </w:tcMar>
          </w:tcPr>
          <w:p>
            <w:pPr>
              <w:spacing w:after="0"/>
            </w:pPr>
            <w:r/>
            <w:r>
              <w:rPr>
                <w:rFonts w:ascii="Calibri" w:hAnsi="Calibri"/>
                <w:b/>
                <w:i w:val="0"/>
                <w:color w:val="FFFFFF"/>
                <w:sz w:val="16"/>
              </w:rPr>
              <w:t>Why</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Money storage</w:t>
            </w:r>
          </w:p>
        </w:tc>
        <w:tc>
          <w:tcPr>
            <w:tcW w:type="dxa" w:w="3168"/>
            <w:tcMar>
              <w:top w:w="60" w:type="dxa"/>
              <w:start w:w="110" w:type="dxa"/>
              <w:bottom w:w="60" w:type="dxa"/>
              <w:end w:w="110" w:type="dxa"/>
            </w:tcMar>
          </w:tcPr>
          <w:p>
            <w:pPr>
              <w:spacing w:after="0"/>
            </w:pPr>
            <w:r/>
            <w:r>
              <w:rPr>
                <w:rFonts w:ascii="Calibri" w:hAnsi="Calibri"/>
                <w:b w:val="0"/>
                <w:i w:val="0"/>
                <w:color w:val="101828"/>
                <w:sz w:val="16"/>
              </w:rPr>
              <w:t>bigint kobo, never float or numeric</w:t>
            </w:r>
          </w:p>
        </w:tc>
        <w:tc>
          <w:tcPr>
            <w:tcW w:type="dxa" w:w="4032"/>
            <w:tcMar>
              <w:top w:w="60" w:type="dxa"/>
              <w:start w:w="110" w:type="dxa"/>
              <w:bottom w:w="60" w:type="dxa"/>
              <w:end w:w="110" w:type="dxa"/>
            </w:tcMar>
          </w:tcPr>
          <w:p>
            <w:pPr>
              <w:spacing w:after="0"/>
            </w:pPr>
            <w:r/>
            <w:r>
              <w:rPr>
                <w:rFonts w:ascii="Calibri" w:hAnsi="Calibri"/>
                <w:b w:val="0"/>
                <w:i w:val="0"/>
                <w:color w:val="101828"/>
                <w:sz w:val="16"/>
              </w:rPr>
              <w:t>0.1 + 0.2 ≠ 0.3. A one-kobo drift per operation becomes an unreconcilable dispute</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Ledger</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Append-only double-entry in the same database transaction as the state change</w:t>
            </w:r>
          </w:p>
        </w:tc>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Atomicity. Money and state can never disagree</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Position claims</w:t>
            </w:r>
          </w:p>
        </w:tc>
        <w:tc>
          <w:tcPr>
            <w:tcW w:type="dxa" w:w="3168"/>
            <w:tcMar>
              <w:top w:w="60" w:type="dxa"/>
              <w:start w:w="110" w:type="dxa"/>
              <w:bottom w:w="60" w:type="dxa"/>
              <w:end w:w="110" w:type="dxa"/>
            </w:tcMar>
          </w:tcPr>
          <w:p>
            <w:pPr>
              <w:spacing w:after="0"/>
            </w:pPr>
            <w:r/>
            <w:r>
              <w:rPr>
                <w:rFonts w:ascii="Consolas" w:hAnsi="Consolas"/>
                <w:color w:val="146EF5"/>
                <w:sz w:val="16"/>
              </w:rPr>
              <w:t>SELECT ... FOR UPDATE</w:t>
            </w:r>
            <w:r>
              <w:rPr>
                <w:rFonts w:ascii="Calibri" w:hAnsi="Calibri"/>
                <w:b w:val="0"/>
                <w:i w:val="0"/>
                <w:color w:val="101828"/>
                <w:sz w:val="16"/>
              </w:rPr>
              <w:t xml:space="preserve"> on the target row, or SERIALIZABLE isolation</w:t>
            </w:r>
          </w:p>
        </w:tc>
        <w:tc>
          <w:tcPr>
            <w:tcW w:type="dxa" w:w="4032"/>
            <w:tcMar>
              <w:top w:w="60" w:type="dxa"/>
              <w:start w:w="110" w:type="dxa"/>
              <w:bottom w:w="60" w:type="dxa"/>
              <w:end w:w="110" w:type="dxa"/>
            </w:tcMar>
          </w:tcPr>
          <w:p>
            <w:pPr>
              <w:spacing w:after="0"/>
            </w:pPr>
            <w:r/>
            <w:r>
              <w:rPr>
                <w:rFonts w:ascii="Calibri" w:hAnsi="Calibri"/>
                <w:b w:val="0"/>
                <w:i w:val="0"/>
                <w:color w:val="101828"/>
                <w:sz w:val="16"/>
              </w:rPr>
              <w:t>Two members claiming the last position must not both succeed</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Soft deletion</w:t>
            </w:r>
          </w:p>
        </w:tc>
        <w:tc>
          <w:tcPr>
            <w:tcW w:type="dxa" w:w="3168"/>
            <w:tcMar>
              <w:top w:w="60" w:type="dxa"/>
              <w:start w:w="110" w:type="dxa"/>
              <w:bottom w:w="60" w:type="dxa"/>
              <w:end w:w="110" w:type="dxa"/>
            </w:tcMar>
            <w:shd w:val="clear" w:color="auto" w:fill="F4F7FB"/>
          </w:tcPr>
          <w:p>
            <w:pPr>
              <w:spacing w:after="0"/>
            </w:pPr>
            <w:r/>
            <w:r>
              <w:rPr>
                <w:rFonts w:ascii="Consolas" w:hAnsi="Consolas"/>
                <w:color w:val="146EF5"/>
                <w:sz w:val="16"/>
              </w:rPr>
              <w:t>deleted_at</w:t>
            </w:r>
            <w:r>
              <w:rPr>
                <w:rFonts w:ascii="Calibri" w:hAnsi="Calibri"/>
                <w:b w:val="0"/>
                <w:i w:val="0"/>
                <w:color w:val="101828"/>
                <w:sz w:val="16"/>
              </w:rPr>
              <w:t xml:space="preserve"> on business tables; hard delete only for a documented retention expiry</w:t>
            </w:r>
          </w:p>
        </w:tc>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An audit trail that can be deleted is not an audit trail</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Idempotency</w:t>
            </w:r>
          </w:p>
        </w:tc>
        <w:tc>
          <w:tcPr>
            <w:tcW w:type="dxa" w:w="3168"/>
            <w:tcMar>
              <w:top w:w="60" w:type="dxa"/>
              <w:start w:w="110" w:type="dxa"/>
              <w:bottom w:w="60" w:type="dxa"/>
              <w:end w:w="110" w:type="dxa"/>
            </w:tcMar>
          </w:tcPr>
          <w:p>
            <w:pPr>
              <w:spacing w:after="0"/>
            </w:pPr>
            <w:r/>
            <w:r>
              <w:rPr>
                <w:rFonts w:ascii="Consolas" w:hAnsi="Consolas"/>
                <w:color w:val="146EF5"/>
                <w:sz w:val="16"/>
              </w:rPr>
              <w:t>idempotency_keys</w:t>
            </w:r>
            <w:r>
              <w:rPr>
                <w:rFonts w:ascii="Calibri" w:hAnsi="Calibri"/>
                <w:b w:val="0"/>
                <w:i w:val="0"/>
                <w:color w:val="101828"/>
                <w:sz w:val="16"/>
              </w:rPr>
              <w:t xml:space="preserve"> table, request-hashed, TTL-bounded</w:t>
            </w:r>
          </w:p>
        </w:tc>
        <w:tc>
          <w:tcPr>
            <w:tcW w:type="dxa" w:w="4032"/>
            <w:tcMar>
              <w:top w:w="60" w:type="dxa"/>
              <w:start w:w="110" w:type="dxa"/>
              <w:bottom w:w="60" w:type="dxa"/>
              <w:end w:w="110" w:type="dxa"/>
            </w:tcMar>
          </w:tcPr>
          <w:p>
            <w:pPr>
              <w:spacing w:after="0"/>
            </w:pPr>
            <w:r/>
            <w:r>
              <w:rPr>
                <w:rFonts w:ascii="Calibri" w:hAnsi="Calibri"/>
                <w:b w:val="0"/>
                <w:i w:val="0"/>
                <w:color w:val="101828"/>
                <w:sz w:val="16"/>
              </w:rPr>
              <w:t>Makes every money endpoint safe to retry</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Webhooks</w:t>
            </w:r>
          </w:p>
        </w:tc>
        <w:tc>
          <w:tcPr>
            <w:tcW w:type="dxa" w:w="3168"/>
            <w:tcMar>
              <w:top w:w="60" w:type="dxa"/>
              <w:start w:w="110" w:type="dxa"/>
              <w:bottom w:w="60" w:type="dxa"/>
              <w:end w:w="110" w:type="dxa"/>
            </w:tcMar>
            <w:shd w:val="clear" w:color="auto" w:fill="F4F7FB"/>
          </w:tcPr>
          <w:p>
            <w:pPr>
              <w:spacing w:after="0"/>
            </w:pPr>
            <w:r/>
            <w:r>
              <w:rPr>
                <w:rFonts w:ascii="Consolas" w:hAnsi="Consolas"/>
                <w:color w:val="146EF5"/>
                <w:sz w:val="16"/>
              </w:rPr>
              <w:t>webhook_events</w:t>
            </w:r>
            <w:r>
              <w:rPr>
                <w:rFonts w:ascii="Calibri" w:hAnsi="Calibri"/>
                <w:b w:val="0"/>
                <w:i w:val="0"/>
                <w:color w:val="101828"/>
                <w:sz w:val="16"/>
              </w:rPr>
              <w:t xml:space="preserve"> table storing raw payload + signature + dedupe key</w:t>
            </w:r>
          </w:p>
        </w:tc>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A webhook that was processed must be provable later</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Reconciliation</w:t>
            </w:r>
          </w:p>
        </w:tc>
        <w:tc>
          <w:tcPr>
            <w:tcW w:type="dxa" w:w="3168"/>
            <w:tcMar>
              <w:top w:w="60" w:type="dxa"/>
              <w:start w:w="110" w:type="dxa"/>
              <w:bottom w:w="60" w:type="dxa"/>
              <w:end w:w="110" w:type="dxa"/>
            </w:tcMar>
          </w:tcPr>
          <w:p>
            <w:pPr>
              <w:spacing w:after="0"/>
            </w:pPr>
            <w:r/>
            <w:r>
              <w:rPr>
                <w:rFonts w:ascii="Calibri" w:hAnsi="Calibri"/>
                <w:b w:val="0"/>
                <w:i w:val="0"/>
                <w:color w:val="101828"/>
                <w:sz w:val="16"/>
              </w:rPr>
              <w:t>Nightly job comparing ledger against provider statements</w:t>
            </w:r>
          </w:p>
        </w:tc>
        <w:tc>
          <w:tcPr>
            <w:tcW w:type="dxa" w:w="4032"/>
            <w:tcMar>
              <w:top w:w="60" w:type="dxa"/>
              <w:start w:w="110" w:type="dxa"/>
              <w:bottom w:w="60" w:type="dxa"/>
              <w:end w:w="110" w:type="dxa"/>
            </w:tcMar>
          </w:tcPr>
          <w:p>
            <w:pPr>
              <w:spacing w:after="0"/>
            </w:pPr>
            <w:r/>
            <w:r>
              <w:rPr>
                <w:rFonts w:ascii="Calibri" w:hAnsi="Calibri"/>
                <w:b w:val="0"/>
                <w:i w:val="0"/>
                <w:color w:val="101828"/>
                <w:sz w:val="16"/>
              </w:rPr>
              <w:t>The two records of truth are compared, never assumed to agree</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RLS</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Policies on every user-facing table; ledger tables service-role only</w:t>
            </w:r>
          </w:p>
        </w:tc>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A compromised API key must not be sufficient to read another member's records</w:t>
            </w:r>
          </w:p>
        </w:tc>
      </w:tr>
    </w:tbl>
    <w:p>
      <w:pPr>
        <w:spacing w:after="80"/>
      </w:pPr>
    </w:p>
    <w:p>
      <w:pPr>
        <w:pStyle w:val="Heading2"/>
      </w:pPr>
      <w:r>
        <w:rPr>
          <w:rFonts w:ascii="Calibri" w:hAnsi="Calibri"/>
          <w:b/>
          <w:i w:val="0"/>
          <w:color w:val="146EF5"/>
          <w:sz w:val="29"/>
        </w:rPr>
        <w:t>10.8 Background processing</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Queue / job</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Trigger</w:t>
            </w:r>
          </w:p>
        </w:tc>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6"/>
              </w:rPr>
              <w:t>Responsibility</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Failure handling</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webhook.process</w:t>
            </w:r>
          </w:p>
        </w:tc>
        <w:tc>
          <w:tcPr>
            <w:tcW w:type="dxa" w:w="1728"/>
            <w:tcMar>
              <w:top w:w="60" w:type="dxa"/>
              <w:start w:w="110" w:type="dxa"/>
              <w:bottom w:w="60" w:type="dxa"/>
              <w:end w:w="110" w:type="dxa"/>
            </w:tcMar>
          </w:tcPr>
          <w:p>
            <w:pPr>
              <w:spacing w:after="0"/>
            </w:pPr>
            <w:r/>
            <w:r>
              <w:rPr>
                <w:rFonts w:ascii="Calibri" w:hAnsi="Calibri"/>
                <w:b w:val="0"/>
                <w:i w:val="0"/>
                <w:color w:val="101828"/>
                <w:sz w:val="16"/>
              </w:rPr>
              <w:t>Provider HTTP</w:t>
            </w:r>
          </w:p>
        </w:tc>
        <w:tc>
          <w:tcPr>
            <w:tcW w:type="dxa" w:w="3168"/>
            <w:tcMar>
              <w:top w:w="60" w:type="dxa"/>
              <w:start w:w="110" w:type="dxa"/>
              <w:bottom w:w="60" w:type="dxa"/>
              <w:end w:w="110" w:type="dxa"/>
            </w:tcMar>
          </w:tcPr>
          <w:p>
            <w:pPr>
              <w:spacing w:after="0"/>
            </w:pPr>
            <w:r/>
            <w:r>
              <w:rPr>
                <w:rFonts w:ascii="Calibri" w:hAnsi="Calibri"/>
                <w:b w:val="0"/>
                <w:i w:val="0"/>
                <w:color w:val="101828"/>
                <w:sz w:val="16"/>
              </w:rPr>
              <w:t>Verify, dedupe, post to ledger, update state</w:t>
            </w:r>
          </w:p>
        </w:tc>
        <w:tc>
          <w:tcPr>
            <w:tcW w:type="dxa" w:w="2448"/>
            <w:tcMar>
              <w:top w:w="60" w:type="dxa"/>
              <w:start w:w="110" w:type="dxa"/>
              <w:bottom w:w="60" w:type="dxa"/>
              <w:end w:w="110" w:type="dxa"/>
            </w:tcMar>
          </w:tcPr>
          <w:p>
            <w:pPr>
              <w:spacing w:after="0"/>
            </w:pPr>
            <w:r/>
            <w:r>
              <w:rPr>
                <w:rFonts w:ascii="Calibri" w:hAnsi="Calibri"/>
                <w:b w:val="0"/>
                <w:i w:val="0"/>
                <w:color w:val="101828"/>
                <w:sz w:val="16"/>
              </w:rPr>
              <w:t>Retry with backoff; dead-letter after N attempts; page on a failed payout webhook</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payment.reconcile</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Cron, every 15 min</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Poll unsettled payments, resolve </w:t>
            </w:r>
            <w:r>
              <w:rPr>
                <w:rFonts w:ascii="Consolas" w:hAnsi="Consolas"/>
                <w:color w:val="146EF5"/>
                <w:sz w:val="16"/>
              </w:rPr>
              <w:t>UNKNOWN</w:t>
            </w:r>
            <w:r>
              <w:rPr>
                <w:rFonts w:ascii="Calibri" w:hAnsi="Calibri"/>
                <w:b w:val="0"/>
                <w:i w:val="0"/>
                <w:color w:val="101828"/>
                <w:sz w:val="16"/>
              </w:rPr>
              <w:t xml:space="preserve"> states</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Alert if a payment stays unresolved beyond the provider SLA</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payout.execute</w:t>
            </w:r>
          </w:p>
        </w:tc>
        <w:tc>
          <w:tcPr>
            <w:tcW w:type="dxa" w:w="1728"/>
            <w:tcMar>
              <w:top w:w="60" w:type="dxa"/>
              <w:start w:w="110" w:type="dxa"/>
              <w:bottom w:w="60" w:type="dxa"/>
              <w:end w:w="110" w:type="dxa"/>
            </w:tcMar>
          </w:tcPr>
          <w:p>
            <w:pPr>
              <w:spacing w:after="0"/>
            </w:pPr>
            <w:r/>
            <w:r>
              <w:rPr>
                <w:rFonts w:ascii="Calibri" w:hAnsi="Calibri"/>
                <w:b w:val="0"/>
                <w:i w:val="0"/>
                <w:color w:val="101828"/>
                <w:sz w:val="16"/>
              </w:rPr>
              <w:t>Scheduled round completion</w:t>
            </w:r>
          </w:p>
        </w:tc>
        <w:tc>
          <w:tcPr>
            <w:tcW w:type="dxa" w:w="3168"/>
            <w:tcMar>
              <w:top w:w="60" w:type="dxa"/>
              <w:start w:w="110" w:type="dxa"/>
              <w:bottom w:w="60" w:type="dxa"/>
              <w:end w:w="110" w:type="dxa"/>
            </w:tcMar>
          </w:tcPr>
          <w:p>
            <w:pPr>
              <w:spacing w:after="0"/>
            </w:pPr>
            <w:r/>
            <w:r>
              <w:rPr>
                <w:rFonts w:ascii="Calibri" w:hAnsi="Calibri"/>
                <w:b w:val="0"/>
                <w:i w:val="0"/>
                <w:color w:val="101828"/>
                <w:sz w:val="16"/>
              </w:rPr>
              <w:t>Verify full funding, release payout, post ledger</w:t>
            </w:r>
          </w:p>
        </w:tc>
        <w:tc>
          <w:tcPr>
            <w:tcW w:type="dxa" w:w="2448"/>
            <w:tcMar>
              <w:top w:w="60" w:type="dxa"/>
              <w:start w:w="110" w:type="dxa"/>
              <w:bottom w:w="60" w:type="dxa"/>
              <w:end w:w="110" w:type="dxa"/>
            </w:tcMar>
          </w:tcPr>
          <w:p>
            <w:pPr>
              <w:spacing w:after="0"/>
            </w:pPr>
            <w:r/>
            <w:r>
              <w:rPr>
                <w:rFonts w:ascii="Calibri" w:hAnsi="Calibri"/>
                <w:b w:val="0"/>
                <w:i w:val="0"/>
                <w:color w:val="101828"/>
                <w:sz w:val="16"/>
              </w:rPr>
              <w:t xml:space="preserve">If funding is short, move to </w:t>
            </w:r>
            <w:r>
              <w:rPr>
                <w:rFonts w:ascii="Consolas" w:hAnsi="Consolas"/>
                <w:color w:val="146EF5"/>
                <w:sz w:val="16"/>
              </w:rPr>
              <w:t>HELD</w:t>
            </w:r>
            <w:r>
              <w:rPr>
                <w:rFonts w:ascii="Calibri" w:hAnsi="Calibri"/>
                <w:b w:val="0"/>
                <w:i w:val="0"/>
                <w:color w:val="101828"/>
                <w:sz w:val="16"/>
              </w:rPr>
              <w:t xml:space="preserve"> and notify — never a partial payout</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contribution.remind</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Cron, T-24h and T-2h</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Send due reminders</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Bounded retries; a failed notification is logged, never retried infinitely</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grace.expire</w:t>
            </w:r>
          </w:p>
        </w:tc>
        <w:tc>
          <w:tcPr>
            <w:tcW w:type="dxa" w:w="1728"/>
            <w:tcMar>
              <w:top w:w="60" w:type="dxa"/>
              <w:start w:w="110" w:type="dxa"/>
              <w:bottom w:w="60" w:type="dxa"/>
              <w:end w:w="110" w:type="dxa"/>
            </w:tcMar>
          </w:tcPr>
          <w:p>
            <w:pPr>
              <w:spacing w:after="0"/>
            </w:pPr>
            <w:r/>
            <w:r>
              <w:rPr>
                <w:rFonts w:ascii="Calibri" w:hAnsi="Calibri"/>
                <w:b w:val="0"/>
                <w:i w:val="0"/>
                <w:color w:val="101828"/>
                <w:sz w:val="16"/>
              </w:rPr>
              <w:t>Cron, hourly</w:t>
            </w:r>
          </w:p>
        </w:tc>
        <w:tc>
          <w:tcPr>
            <w:tcW w:type="dxa" w:w="3168"/>
            <w:tcMar>
              <w:top w:w="60" w:type="dxa"/>
              <w:start w:w="110" w:type="dxa"/>
              <w:bottom w:w="60" w:type="dxa"/>
              <w:end w:w="110" w:type="dxa"/>
            </w:tcMar>
          </w:tcPr>
          <w:p>
            <w:pPr>
              <w:spacing w:after="0"/>
            </w:pPr>
            <w:r/>
            <w:r>
              <w:rPr>
                <w:rFonts w:ascii="Calibri" w:hAnsi="Calibri"/>
                <w:b w:val="0"/>
                <w:i w:val="0"/>
                <w:color w:val="101828"/>
                <w:sz w:val="16"/>
              </w:rPr>
              <w:t>Detect 48h grace expiry, record default, notify organizer</w:t>
            </w:r>
          </w:p>
        </w:tc>
        <w:tc>
          <w:tcPr>
            <w:tcW w:type="dxa" w:w="2448"/>
            <w:tcMar>
              <w:top w:w="60" w:type="dxa"/>
              <w:start w:w="110" w:type="dxa"/>
              <w:bottom w:w="60" w:type="dxa"/>
              <w:end w:w="110" w:type="dxa"/>
            </w:tcMar>
          </w:tcPr>
          <w:p>
            <w:pPr>
              <w:spacing w:after="0"/>
            </w:pPr>
            <w:r/>
            <w:r>
              <w:rPr>
                <w:rFonts w:ascii="Calibri" w:hAnsi="Calibri"/>
                <w:b w:val="0"/>
                <w:i w:val="0"/>
                <w:color w:val="101828"/>
                <w:sz w:val="16"/>
              </w:rPr>
              <w:t>Must be idempotent — a double run must not double-record a default</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enrollment.close</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Cron, daily</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Close the 5-day window; cancel or activate</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Idempotent per Ajo</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statement.generate</w:t>
            </w:r>
          </w:p>
        </w:tc>
        <w:tc>
          <w:tcPr>
            <w:tcW w:type="dxa" w:w="1728"/>
            <w:tcMar>
              <w:top w:w="60" w:type="dxa"/>
              <w:start w:w="110" w:type="dxa"/>
              <w:bottom w:w="60" w:type="dxa"/>
              <w:end w:w="110" w:type="dxa"/>
            </w:tcMar>
          </w:tcPr>
          <w:p>
            <w:pPr>
              <w:spacing w:after="0"/>
            </w:pPr>
            <w:r/>
            <w:r>
              <w:rPr>
                <w:rFonts w:ascii="Calibri" w:hAnsi="Calibri"/>
                <w:b w:val="0"/>
                <w:i w:val="0"/>
                <w:color w:val="101828"/>
                <w:sz w:val="16"/>
              </w:rPr>
              <w:t>Cron, monthly</w:t>
            </w:r>
          </w:p>
        </w:tc>
        <w:tc>
          <w:tcPr>
            <w:tcW w:type="dxa" w:w="3168"/>
            <w:tcMar>
              <w:top w:w="60" w:type="dxa"/>
              <w:start w:w="110" w:type="dxa"/>
              <w:bottom w:w="60" w:type="dxa"/>
              <w:end w:w="110" w:type="dxa"/>
            </w:tcMar>
          </w:tcPr>
          <w:p>
            <w:pPr>
              <w:spacing w:after="0"/>
            </w:pPr>
            <w:r/>
            <w:r>
              <w:rPr>
                <w:rFonts w:ascii="Calibri" w:hAnsi="Calibri"/>
                <w:b w:val="0"/>
                <w:i w:val="0"/>
                <w:color w:val="101828"/>
                <w:sz w:val="16"/>
              </w:rPr>
              <w:t>Produce a member's statement PDF</w:t>
            </w:r>
          </w:p>
        </w:tc>
        <w:tc>
          <w:tcPr>
            <w:tcW w:type="dxa" w:w="2448"/>
            <w:tcMar>
              <w:top w:w="60" w:type="dxa"/>
              <w:start w:w="110" w:type="dxa"/>
              <w:bottom w:w="60" w:type="dxa"/>
              <w:end w:w="110" w:type="dxa"/>
            </w:tcMar>
          </w:tcPr>
          <w:p>
            <w:pPr>
              <w:spacing w:after="0"/>
            </w:pPr>
            <w:r/>
            <w:r>
              <w:rPr>
                <w:rFonts w:ascii="Calibri" w:hAnsi="Calibri"/>
                <w:b w:val="0"/>
                <w:i w:val="0"/>
                <w:color w:val="101828"/>
                <w:sz w:val="16"/>
              </w:rPr>
              <w:t>Retryable; stored in object storage</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reconciliation.run</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Cron, nightly</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Full ledger-vs-provider comparison</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Produces a signed report; any break pages a human</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Why not do this inline:  </w:t>
      </w:r>
      <w:r>
        <w:rPr>
          <w:rFonts w:ascii="Calibri" w:hAnsi="Calibri"/>
          <w:b w:val="0"/>
          <w:i w:val="0"/>
          <w:color w:val="0B1F3A"/>
          <w:sz w:val="19"/>
        </w:rPr>
        <w:t>A notification that fails must never roll back a contribution that already succeeded, and a member closing their browser must never abandon a payment. Work that can fail independently of the user's request belongs in a queue, and the queue is what makes those two things independent.</w:t>
      </w:r>
    </w:p>
    <w:p>
      <w:pPr>
        <w:pStyle w:val="Heading2"/>
      </w:pPr>
      <w:r>
        <w:rPr>
          <w:rFonts w:ascii="Calibri" w:hAnsi="Calibri"/>
          <w:b/>
          <w:i w:val="0"/>
          <w:color w:val="146EF5"/>
          <w:sz w:val="29"/>
        </w:rPr>
        <w:t>10.9 Deployment topology</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Environment</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6"/>
              </w:rPr>
              <w:t>Purpose</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Data</w:t>
            </w:r>
          </w:p>
        </w:tc>
        <w:tc>
          <w:tcPr>
            <w:tcW w:type="dxa" w:w="2592"/>
            <w:shd w:val="clear" w:color="auto" w:fill="0B1F3A"/>
            <w:tcMar>
              <w:top w:w="60" w:type="dxa"/>
              <w:start w:w="110" w:type="dxa"/>
              <w:bottom w:w="60" w:type="dxa"/>
              <w:end w:w="110" w:type="dxa"/>
            </w:tcMar>
          </w:tcPr>
          <w:p>
            <w:pPr>
              <w:spacing w:after="0"/>
            </w:pPr>
            <w:r/>
            <w:r>
              <w:rPr>
                <w:rFonts w:ascii="Calibri" w:hAnsi="Calibri"/>
                <w:b/>
                <w:i w:val="0"/>
                <w:color w:val="FFFFFF"/>
                <w:sz w:val="16"/>
              </w:rPr>
              <w:t>Payments</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Development</w:t>
            </w:r>
          </w:p>
        </w:tc>
        <w:tc>
          <w:tcPr>
            <w:tcW w:type="dxa" w:w="2880"/>
            <w:tcMar>
              <w:top w:w="60" w:type="dxa"/>
              <w:start w:w="110" w:type="dxa"/>
              <w:bottom w:w="60" w:type="dxa"/>
              <w:end w:w="110" w:type="dxa"/>
            </w:tcMar>
          </w:tcPr>
          <w:p>
            <w:pPr>
              <w:spacing w:after="0"/>
            </w:pPr>
            <w:r/>
            <w:r>
              <w:rPr>
                <w:rFonts w:ascii="Calibri" w:hAnsi="Calibri"/>
                <w:b w:val="0"/>
                <w:i w:val="0"/>
                <w:color w:val="101828"/>
                <w:sz w:val="16"/>
              </w:rPr>
              <w:t>Local feature work</w:t>
            </w:r>
          </w:p>
        </w:tc>
        <w:tc>
          <w:tcPr>
            <w:tcW w:type="dxa" w:w="2304"/>
            <w:tcMar>
              <w:top w:w="60" w:type="dxa"/>
              <w:start w:w="110" w:type="dxa"/>
              <w:bottom w:w="60" w:type="dxa"/>
              <w:end w:w="110" w:type="dxa"/>
            </w:tcMar>
          </w:tcPr>
          <w:p>
            <w:pPr>
              <w:spacing w:after="0"/>
            </w:pPr>
            <w:r/>
            <w:r>
              <w:rPr>
                <w:rFonts w:ascii="Calibri" w:hAnsi="Calibri"/>
                <w:b w:val="0"/>
                <w:i w:val="0"/>
                <w:color w:val="101828"/>
                <w:sz w:val="16"/>
              </w:rPr>
              <w:t>Seeded fixtures only</w:t>
            </w:r>
          </w:p>
        </w:tc>
        <w:tc>
          <w:tcPr>
            <w:tcW w:type="dxa" w:w="2592"/>
            <w:tcMar>
              <w:top w:w="60" w:type="dxa"/>
              <w:start w:w="110" w:type="dxa"/>
              <w:bottom w:w="60" w:type="dxa"/>
              <w:end w:w="110" w:type="dxa"/>
            </w:tcMar>
          </w:tcPr>
          <w:p>
            <w:pPr>
              <w:spacing w:after="0"/>
            </w:pPr>
            <w:r/>
            <w:r>
              <w:rPr>
                <w:rFonts w:ascii="Calibri" w:hAnsi="Calibri"/>
                <w:b w:val="0"/>
                <w:i w:val="0"/>
                <w:color w:val="101828"/>
                <w:sz w:val="16"/>
              </w:rPr>
              <w:t>Mock provider</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Staging</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Integration, E2E, QA, demos</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Synthetic members; no real PII</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Provider sandbox, if granted</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Pilot</w:t>
            </w:r>
          </w:p>
        </w:tc>
        <w:tc>
          <w:tcPr>
            <w:tcW w:type="dxa" w:w="2880"/>
            <w:tcMar>
              <w:top w:w="60" w:type="dxa"/>
              <w:start w:w="110" w:type="dxa"/>
              <w:bottom w:w="60" w:type="dxa"/>
              <w:end w:w="110" w:type="dxa"/>
            </w:tcMar>
          </w:tcPr>
          <w:p>
            <w:pPr>
              <w:spacing w:after="0"/>
            </w:pPr>
            <w:r/>
            <w:r>
              <w:rPr>
                <w:rFonts w:ascii="Calibri" w:hAnsi="Calibri"/>
                <w:b w:val="0"/>
                <w:i w:val="0"/>
                <w:color w:val="101828"/>
                <w:sz w:val="16"/>
              </w:rPr>
              <w:t>Controlled launch with real, verified members</w:t>
            </w:r>
          </w:p>
        </w:tc>
        <w:tc>
          <w:tcPr>
            <w:tcW w:type="dxa" w:w="2304"/>
            <w:tcMar>
              <w:top w:w="60" w:type="dxa"/>
              <w:start w:w="110" w:type="dxa"/>
              <w:bottom w:w="60" w:type="dxa"/>
              <w:end w:w="110" w:type="dxa"/>
            </w:tcMar>
          </w:tcPr>
          <w:p>
            <w:pPr>
              <w:spacing w:after="0"/>
            </w:pPr>
            <w:r/>
            <w:r>
              <w:rPr>
                <w:rFonts w:ascii="Calibri" w:hAnsi="Calibri"/>
                <w:b w:val="0"/>
                <w:i w:val="0"/>
                <w:color w:val="101828"/>
                <w:sz w:val="16"/>
              </w:rPr>
              <w:t>Real but small; full audit</w:t>
            </w:r>
          </w:p>
        </w:tc>
        <w:tc>
          <w:tcPr>
            <w:tcW w:type="dxa" w:w="2592"/>
            <w:tcMar>
              <w:top w:w="60" w:type="dxa"/>
              <w:start w:w="110" w:type="dxa"/>
              <w:bottom w:w="60" w:type="dxa"/>
              <w:end w:w="110" w:type="dxa"/>
            </w:tcMar>
          </w:tcPr>
          <w:p>
            <w:pPr>
              <w:spacing w:after="0"/>
            </w:pPr>
            <w:r/>
            <w:r>
              <w:rPr>
                <w:rFonts w:ascii="Calibri" w:hAnsi="Calibri"/>
                <w:b w:val="0"/>
                <w:i w:val="0"/>
                <w:color w:val="101828"/>
                <w:sz w:val="16"/>
              </w:rPr>
              <w:t>Real, low volume, heavily monitored</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Production</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General availability</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Real</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Real, at scale</w:t>
            </w:r>
          </w:p>
        </w:tc>
      </w:tr>
    </w:tbl>
    <w:p>
      <w:pPr>
        <w:spacing w:after="80"/>
      </w:pPr>
    </w:p>
    <w:p>
      <w:pPr>
        <w:spacing w:before="140" w:after="180"/>
        <w:ind w:left="144"/>
        <w:shd w:val="clear" w:color="auto" w:fill="FEF3C7"/>
        <w:pBdr>
          <w:left w:val="single" w:sz="18" w:space="6" w:color="FBBF24"/>
        </w:pBdr>
      </w:pPr>
      <w:r>
        <w:rPr>
          <w:rFonts w:ascii="Calibri" w:hAnsi="Calibri"/>
          <w:b/>
          <w:color w:val="FBBF24"/>
          <w:sz w:val="19"/>
        </w:rPr>
        <w:t xml:space="preserve">Serverless is not appropriate for the API.  </w:t>
      </w:r>
      <w:r>
        <w:rPr>
          <w:rFonts w:ascii="Calibri" w:hAnsi="Calibri"/>
          <w:b w:val="0"/>
          <w:i w:val="0"/>
          <w:color w:val="0B1F3A"/>
          <w:sz w:val="19"/>
        </w:rPr>
        <w:t>Next.js on Vercel is right for the marketing site and the admin console. The API and workers should run on a container host that supports long-lived requests. A serverless function killed mid-payout leaves a member's money in an indeterminate state, and recovering that is a manual, member-visible incident. This is a deliberate cost-versus-safety trade, and it is the reason the API is not deployed to Vercel serverless functions.</w:t>
      </w:r>
    </w:p>
    <w:p>
      <w:pPr>
        <w:pStyle w:val="Heading2"/>
      </w:pPr>
      <w:r>
        <w:rPr>
          <w:rFonts w:ascii="Calibri" w:hAnsi="Calibri"/>
          <w:b/>
          <w:i w:val="0"/>
          <w:color w:val="146EF5"/>
          <w:sz w:val="29"/>
        </w:rPr>
        <w:t>10.10 Caching strategy</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Layer</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6"/>
              </w:rPr>
              <w:t>Cached</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TTL</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6"/>
              </w:rPr>
              <w:t>Invalidation</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CDN</w:t>
            </w:r>
          </w:p>
        </w:tc>
        <w:tc>
          <w:tcPr>
            <w:tcW w:type="dxa" w:w="2880"/>
            <w:tcMar>
              <w:top w:w="60" w:type="dxa"/>
              <w:start w:w="110" w:type="dxa"/>
              <w:bottom w:w="60" w:type="dxa"/>
              <w:end w:w="110" w:type="dxa"/>
            </w:tcMar>
          </w:tcPr>
          <w:p>
            <w:pPr>
              <w:spacing w:after="0"/>
            </w:pPr>
            <w:r/>
            <w:r>
              <w:rPr>
                <w:rFonts w:ascii="Calibri" w:hAnsi="Calibri"/>
                <w:b w:val="0"/>
                <w:i w:val="0"/>
                <w:color w:val="101828"/>
                <w:sz w:val="16"/>
              </w:rPr>
              <w:t>Marketing site static assets and pages</w:t>
            </w:r>
          </w:p>
        </w:tc>
        <w:tc>
          <w:tcPr>
            <w:tcW w:type="dxa" w:w="1296"/>
            <w:tcMar>
              <w:top w:w="60" w:type="dxa"/>
              <w:start w:w="110" w:type="dxa"/>
              <w:bottom w:w="60" w:type="dxa"/>
              <w:end w:w="110" w:type="dxa"/>
            </w:tcMar>
          </w:tcPr>
          <w:p>
            <w:pPr>
              <w:spacing w:after="0"/>
            </w:pPr>
            <w:r/>
            <w:r>
              <w:rPr>
                <w:rFonts w:ascii="Calibri" w:hAnsi="Calibri"/>
                <w:b w:val="0"/>
                <w:i w:val="0"/>
                <w:color w:val="101828"/>
                <w:sz w:val="16"/>
              </w:rPr>
              <w:t>Long, hashed filenames</w:t>
            </w:r>
          </w:p>
        </w:tc>
        <w:tc>
          <w:tcPr>
            <w:tcW w:type="dxa" w:w="3456"/>
            <w:tcMar>
              <w:top w:w="60" w:type="dxa"/>
              <w:start w:w="110" w:type="dxa"/>
              <w:bottom w:w="60" w:type="dxa"/>
              <w:end w:w="110" w:type="dxa"/>
            </w:tcMar>
          </w:tcPr>
          <w:p>
            <w:pPr>
              <w:spacing w:after="0"/>
            </w:pPr>
            <w:r/>
            <w:r>
              <w:rPr>
                <w:rFonts w:ascii="Calibri" w:hAnsi="Calibri"/>
                <w:b w:val="0"/>
                <w:i w:val="0"/>
                <w:color w:val="101828"/>
                <w:sz w:val="16"/>
              </w:rPr>
              <w:t>Deploy purges</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Redis</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Dashboard summary reads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30 seconds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Explicit bust on any write affecting the member</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Redis</w:t>
            </w:r>
          </w:p>
        </w:tc>
        <w:tc>
          <w:tcPr>
            <w:tcW w:type="dxa" w:w="2880"/>
            <w:tcMar>
              <w:top w:w="60" w:type="dxa"/>
              <w:start w:w="110" w:type="dxa"/>
              <w:bottom w:w="60" w:type="dxa"/>
              <w:end w:w="110" w:type="dxa"/>
            </w:tcMar>
          </w:tcPr>
          <w:p>
            <w:pPr>
              <w:spacing w:after="0"/>
            </w:pPr>
            <w:r/>
            <w:r>
              <w:rPr>
                <w:rFonts w:ascii="Calibri" w:hAnsi="Calibri"/>
                <w:b w:val="0"/>
                <w:i w:val="0"/>
                <w:color w:val="101828"/>
                <w:sz w:val="16"/>
              </w:rPr>
              <w:t>Rate-limit counters</w:t>
            </w:r>
          </w:p>
        </w:tc>
        <w:tc>
          <w:tcPr>
            <w:tcW w:type="dxa" w:w="1296"/>
            <w:tcMar>
              <w:top w:w="60" w:type="dxa"/>
              <w:start w:w="110" w:type="dxa"/>
              <w:bottom w:w="60" w:type="dxa"/>
              <w:end w:w="110" w:type="dxa"/>
            </w:tcMar>
          </w:tcPr>
          <w:p>
            <w:pPr>
              <w:spacing w:after="0"/>
            </w:pPr>
            <w:r/>
            <w:r>
              <w:rPr>
                <w:rFonts w:ascii="Calibri" w:hAnsi="Calibri"/>
                <w:b w:val="0"/>
                <w:i w:val="0"/>
                <w:color w:val="101828"/>
                <w:sz w:val="16"/>
              </w:rPr>
              <w:t>Window length</w:t>
            </w:r>
          </w:p>
        </w:tc>
        <w:tc>
          <w:tcPr>
            <w:tcW w:type="dxa" w:w="3456"/>
            <w:tcMar>
              <w:top w:w="60" w:type="dxa"/>
              <w:start w:w="110" w:type="dxa"/>
              <w:bottom w:w="60" w:type="dxa"/>
              <w:end w:w="110" w:type="dxa"/>
            </w:tcMar>
          </w:tcPr>
          <w:p>
            <w:pPr>
              <w:spacing w:after="0"/>
            </w:pPr>
            <w:r/>
            <w:r>
              <w:rPr>
                <w:rFonts w:ascii="Calibri" w:hAnsi="Calibri"/>
                <w:b w:val="0"/>
                <w:i w:val="0"/>
                <w:color w:val="101828"/>
                <w:sz w:val="16"/>
              </w:rPr>
              <w:t>Natural expiry</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React Query</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Member Ajo list and schedule</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60 seconds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Invalidated by mutation</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Never cached</w:t>
            </w:r>
          </w:p>
        </w:tc>
        <w:tc>
          <w:tcPr>
            <w:tcW w:type="dxa" w:w="2880"/>
            <w:tcMar>
              <w:top w:w="60" w:type="dxa"/>
              <w:start w:w="110" w:type="dxa"/>
              <w:bottom w:w="60" w:type="dxa"/>
              <w:end w:w="110" w:type="dxa"/>
            </w:tcMar>
          </w:tcPr>
          <w:p>
            <w:pPr>
              <w:spacing w:after="0"/>
            </w:pPr>
            <w:r/>
            <w:r>
              <w:rPr>
                <w:rFonts w:ascii="Calibri" w:hAnsi="Calibri"/>
                <w:b w:val="0"/>
                <w:i w:val="0"/>
                <w:color w:val="101828"/>
                <w:sz w:val="16"/>
              </w:rPr>
              <w:t>Balances, contribution status, payout state, anything from the ledger</w:t>
            </w:r>
          </w:p>
        </w:tc>
        <w:tc>
          <w:tcPr>
            <w:tcW w:type="dxa" w:w="1296"/>
            <w:tcMar>
              <w:top w:w="60" w:type="dxa"/>
              <w:start w:w="110" w:type="dxa"/>
              <w:bottom w:w="60" w:type="dxa"/>
              <w:end w:w="110" w:type="dxa"/>
            </w:tcMar>
          </w:tcPr>
          <w:p>
            <w:pPr>
              <w:spacing w:after="0"/>
            </w:pPr>
            <w:r/>
            <w:r>
              <w:rPr>
                <w:rFonts w:ascii="Calibri" w:hAnsi="Calibri"/>
                <w:b w:val="0"/>
                <w:i w:val="0"/>
                <w:color w:val="101828"/>
                <w:sz w:val="16"/>
              </w:rPr>
              <w:t>—</w:t>
            </w:r>
          </w:p>
        </w:tc>
        <w:tc>
          <w:tcPr>
            <w:tcW w:type="dxa" w:w="3456"/>
            <w:tcMar>
              <w:top w:w="60" w:type="dxa"/>
              <w:start w:w="110" w:type="dxa"/>
              <w:bottom w:w="60" w:type="dxa"/>
              <w:end w:w="110" w:type="dxa"/>
            </w:tcMar>
          </w:tcPr>
          <w:p>
            <w:pPr>
              <w:spacing w:after="0"/>
            </w:pPr>
            <w:r/>
            <w:r>
              <w:rPr>
                <w:rFonts w:ascii="Calibri" w:hAnsi="Calibri"/>
                <w:b w:val="0"/>
                <w:i w:val="0"/>
                <w:color w:val="101828"/>
                <w:sz w:val="16"/>
              </w:rPr>
              <w:t>These must be read fresh or the product lies to a member</w:t>
            </w:r>
          </w:p>
        </w:tc>
      </w:tr>
    </w:tbl>
    <w:p>
      <w:pPr>
        <w:spacing w:after="80"/>
      </w:pPr>
    </w:p>
    <w:p>
      <w:pPr>
        <w:spacing w:before="140" w:after="180"/>
        <w:ind w:left="144"/>
        <w:shd w:val="clear" w:color="auto" w:fill="FEF3C7"/>
        <w:pBdr>
          <w:left w:val="single" w:sz="18" w:space="6" w:color="FBBF24"/>
        </w:pBdr>
      </w:pPr>
      <w:r>
        <w:rPr>
          <w:rFonts w:ascii="Calibri" w:hAnsi="Calibri"/>
          <w:b/>
          <w:color w:val="FBBF24"/>
          <w:sz w:val="19"/>
        </w:rPr>
        <w:t xml:space="preserve">Never cache a balance.  </w:t>
      </w:r>
      <w:r>
        <w:rPr>
          <w:rFonts w:ascii="Calibri" w:hAnsi="Calibri"/>
          <w:b w:val="0"/>
          <w:i w:val="0"/>
          <w:color w:val="0B1F3A"/>
          <w:sz w:val="19"/>
        </w:rPr>
        <w:t>A stale contribution status produces a member who believes they have paid when they have not, or the reverse. Either outcome is a trust incident. Section 25 marks these reads as uncacheable for the same reason.</w:t>
      </w:r>
    </w:p>
    <w:p>
      <w:pPr>
        <w:pStyle w:val="Heading2"/>
      </w:pPr>
      <w:r>
        <w:rPr>
          <w:rFonts w:ascii="Calibri" w:hAnsi="Calibri"/>
          <w:b/>
          <w:i w:val="0"/>
          <w:color w:val="146EF5"/>
          <w:sz w:val="29"/>
        </w:rPr>
        <w:t>10.11 Observability</w:t>
      </w:r>
    </w:p>
    <w:p>
      <w:pPr>
        <w:pStyle w:val="ListBullet"/>
        <w:spacing w:after="60"/>
        <w:ind w:left="360"/>
      </w:pPr>
      <w:r>
        <w:rPr>
          <w:rFonts w:ascii="Calibri" w:hAnsi="Calibri"/>
          <w:b/>
          <w:color w:val="101828"/>
          <w:sz w:val="21"/>
        </w:rPr>
        <w:t>Structured JSON logs</w:t>
      </w:r>
      <w:r>
        <w:rPr>
          <w:rFonts w:ascii="Calibri" w:hAnsi="Calibri"/>
          <w:b w:val="0"/>
          <w:i w:val="0"/>
          <w:color w:val="101828"/>
          <w:sz w:val="21"/>
        </w:rPr>
        <w:t xml:space="preserve"> with </w:t>
      </w:r>
      <w:r>
        <w:rPr>
          <w:rFonts w:ascii="Consolas" w:hAnsi="Consolas"/>
          <w:color w:val="146EF5"/>
          <w:sz w:val="21"/>
        </w:rPr>
        <w:t>request_id</w:t>
      </w:r>
      <w:r>
        <w:rPr>
          <w:rFonts w:ascii="Calibri" w:hAnsi="Calibri"/>
          <w:b w:val="0"/>
          <w:i w:val="0"/>
          <w:color w:val="101828"/>
          <w:sz w:val="21"/>
        </w:rPr>
        <w:t xml:space="preserve">, </w:t>
      </w:r>
      <w:r>
        <w:rPr>
          <w:rFonts w:ascii="Consolas" w:hAnsi="Consolas"/>
          <w:color w:val="146EF5"/>
          <w:sz w:val="21"/>
        </w:rPr>
        <w:t>member_id</w:t>
      </w:r>
      <w:r>
        <w:rPr>
          <w:rFonts w:ascii="Calibri" w:hAnsi="Calibri"/>
          <w:b w:val="0"/>
          <w:i w:val="0"/>
          <w:color w:val="101828"/>
          <w:sz w:val="21"/>
        </w:rPr>
        <w:t xml:space="preserve">, </w:t>
      </w:r>
      <w:r>
        <w:rPr>
          <w:rFonts w:ascii="Consolas" w:hAnsi="Consolas"/>
          <w:color w:val="146EF5"/>
          <w:sz w:val="21"/>
        </w:rPr>
        <w:t>ajo_id</w:t>
      </w:r>
      <w:r>
        <w:rPr>
          <w:rFonts w:ascii="Calibri" w:hAnsi="Calibri"/>
          <w:b w:val="0"/>
          <w:i w:val="0"/>
          <w:color w:val="101828"/>
          <w:sz w:val="21"/>
        </w:rPr>
        <w:t xml:space="preserve">, </w:t>
      </w:r>
      <w:r>
        <w:rPr>
          <w:rFonts w:ascii="Consolas" w:hAnsi="Consolas"/>
          <w:color w:val="146EF5"/>
          <w:sz w:val="21"/>
        </w:rPr>
        <w:t>transaction_id</w:t>
      </w:r>
      <w:r>
        <w:rPr>
          <w:rFonts w:ascii="Calibri" w:hAnsi="Calibri"/>
          <w:b w:val="0"/>
          <w:i w:val="0"/>
          <w:color w:val="101828"/>
          <w:sz w:val="21"/>
        </w:rPr>
        <w:t xml:space="preserve"> on every line. Log retention must satisfy the record-keeping requirements in section 24, which require legal confirmation.</w:t>
      </w:r>
    </w:p>
    <w:p>
      <w:pPr>
        <w:pStyle w:val="ListBullet"/>
        <w:spacing w:after="60"/>
        <w:ind w:left="360"/>
      </w:pPr>
      <w:r>
        <w:rPr>
          <w:rFonts w:ascii="Calibri" w:hAnsi="Calibri"/>
          <w:b/>
          <w:color w:val="101828"/>
          <w:sz w:val="21"/>
        </w:rPr>
        <w:t>Distributed tracing</w:t>
      </w:r>
      <w:r>
        <w:rPr>
          <w:rFonts w:ascii="Calibri" w:hAnsi="Calibri"/>
          <w:b w:val="0"/>
          <w:i w:val="0"/>
          <w:color w:val="101828"/>
          <w:sz w:val="21"/>
        </w:rPr>
        <w:t xml:space="preserve"> across web → API → queue → provider, so a payout that took 4 minutes can be reconstructed.</w:t>
      </w:r>
    </w:p>
    <w:p>
      <w:pPr>
        <w:pStyle w:val="ListBullet"/>
        <w:spacing w:after="60"/>
        <w:ind w:left="360"/>
      </w:pPr>
      <w:r>
        <w:rPr>
          <w:rFonts w:ascii="Calibri" w:hAnsi="Calibri"/>
          <w:b/>
          <w:color w:val="101828"/>
          <w:sz w:val="21"/>
        </w:rPr>
        <w:t>Error tracking</w:t>
      </w:r>
      <w:r>
        <w:rPr>
          <w:rFonts w:ascii="Calibri" w:hAnsi="Calibri"/>
          <w:b w:val="0"/>
          <w:i w:val="0"/>
          <w:color w:val="101828"/>
          <w:sz w:val="21"/>
        </w:rPr>
        <w:t xml:space="preserve"> (Sentry) with release tagging and source maps.</w:t>
      </w:r>
    </w:p>
    <w:p>
      <w:pPr>
        <w:pStyle w:val="ListBullet"/>
        <w:spacing w:after="60"/>
        <w:ind w:left="360"/>
      </w:pPr>
      <w:r>
        <w:rPr>
          <w:rFonts w:ascii="Calibri" w:hAnsi="Calibri"/>
          <w:b/>
          <w:color w:val="101828"/>
          <w:sz w:val="21"/>
        </w:rPr>
        <w:t>Business metrics</w:t>
      </w:r>
      <w:r>
        <w:rPr>
          <w:rFonts w:ascii="Calibri" w:hAnsi="Calibri"/>
          <w:b w:val="0"/>
          <w:i w:val="0"/>
          <w:color w:val="101828"/>
          <w:sz w:val="21"/>
        </w:rPr>
        <w:t xml:space="preserve"> exported to the analytics pipeline in section 21.</w:t>
      </w:r>
    </w:p>
    <w:p>
      <w:pPr>
        <w:pStyle w:val="ListBullet"/>
        <w:spacing w:after="60"/>
        <w:ind w:left="360"/>
      </w:pPr>
      <w:r>
        <w:rPr>
          <w:rFonts w:ascii="Calibri" w:hAnsi="Calibri"/>
          <w:b/>
          <w:color w:val="101828"/>
          <w:sz w:val="21"/>
        </w:rPr>
        <w:t>Alerts that page a human</w:t>
      </w:r>
      <w:r>
        <w:rPr>
          <w:rFonts w:ascii="Calibri" w:hAnsi="Calibri"/>
          <w:b w:val="0"/>
          <w:i w:val="0"/>
          <w:color w:val="101828"/>
          <w:sz w:val="21"/>
        </w:rPr>
        <w:t xml:space="preserve">, defined in section 20: solvency assertion failure, a payout in </w:t>
      </w:r>
      <w:r>
        <w:rPr>
          <w:rFonts w:ascii="Consolas" w:hAnsi="Consolas"/>
          <w:color w:val="146EF5"/>
          <w:sz w:val="21"/>
        </w:rPr>
        <w:t>HELD</w:t>
      </w:r>
      <w:r>
        <w:rPr>
          <w:rFonts w:ascii="Calibri" w:hAnsi="Calibri"/>
          <w:b w:val="0"/>
          <w:i w:val="0"/>
          <w:color w:val="101828"/>
          <w:sz w:val="21"/>
        </w:rPr>
        <w:t>, a failed payout, a webhook signature failure, reconciliation break, default rate above threshold.</w:t>
      </w:r>
    </w:p>
    <w:p>
      <w:pPr>
        <w:pStyle w:val="Heading2"/>
      </w:pPr>
      <w:r>
        <w:rPr>
          <w:rFonts w:ascii="Calibri" w:hAnsi="Calibri"/>
          <w:b/>
          <w:i w:val="0"/>
          <w:color w:val="146EF5"/>
          <w:sz w:val="29"/>
        </w:rPr>
        <w:t>10.12 Architectural decisions and trade-offs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6"/>
              </w:rPr>
              <w:t>ID</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Decision</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Rejected alternative</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6"/>
              </w:rPr>
              <w:t>Rationale</w:t>
            </w:r>
          </w:p>
        </w:tc>
        <w:tc>
          <w:tcPr>
            <w:tcW w:type="dxa" w:w="864"/>
            <w:shd w:val="clear" w:color="auto" w:fill="0B1F3A"/>
            <w:tcMar>
              <w:top w:w="60" w:type="dxa"/>
              <w:start w:w="110" w:type="dxa"/>
              <w:bottom w:w="60" w:type="dxa"/>
              <w:end w:w="110" w:type="dxa"/>
            </w:tcMar>
          </w:tcPr>
          <w:p>
            <w:pPr>
              <w:spacing w:after="0"/>
            </w:pPr>
            <w:r/>
            <w:r>
              <w:rPr>
                <w:rFonts w:ascii="Calibri" w:hAnsi="Calibri"/>
                <w:b/>
                <w:i w:val="0"/>
                <w:color w:val="FFFFFF"/>
                <w:sz w:val="16"/>
              </w:rPr>
              <w:t>Reversible?</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6"/>
              </w:rPr>
              <w:t>AD-01</w:t>
            </w:r>
          </w:p>
        </w:tc>
        <w:tc>
          <w:tcPr>
            <w:tcW w:type="dxa" w:w="2304"/>
            <w:tcMar>
              <w:top w:w="60" w:type="dxa"/>
              <w:start w:w="110" w:type="dxa"/>
              <w:bottom w:w="60" w:type="dxa"/>
              <w:end w:w="110" w:type="dxa"/>
            </w:tcMar>
          </w:tcPr>
          <w:p>
            <w:pPr>
              <w:spacing w:after="0"/>
            </w:pPr>
            <w:r/>
            <w:r>
              <w:rPr>
                <w:rFonts w:ascii="Calibri" w:hAnsi="Calibri"/>
                <w:b w:val="0"/>
                <w:i w:val="0"/>
                <w:color w:val="101828"/>
                <w:sz w:val="16"/>
              </w:rPr>
              <w:t>Modular monolith</w:t>
            </w:r>
          </w:p>
        </w:tc>
        <w:tc>
          <w:tcPr>
            <w:tcW w:type="dxa" w:w="2016"/>
            <w:tcMar>
              <w:top w:w="60" w:type="dxa"/>
              <w:start w:w="110" w:type="dxa"/>
              <w:bottom w:w="60" w:type="dxa"/>
              <w:end w:w="110" w:type="dxa"/>
            </w:tcMar>
          </w:tcPr>
          <w:p>
            <w:pPr>
              <w:spacing w:after="0"/>
            </w:pPr>
            <w:r/>
            <w:r>
              <w:rPr>
                <w:rFonts w:ascii="Calibri" w:hAnsi="Calibri"/>
                <w:b w:val="0"/>
                <w:i w:val="0"/>
                <w:color w:val="101828"/>
                <w:sz w:val="16"/>
              </w:rPr>
              <w:t>Microservices</w:t>
            </w:r>
          </w:p>
        </w:tc>
        <w:tc>
          <w:tcPr>
            <w:tcW w:type="dxa" w:w="3456"/>
            <w:tcMar>
              <w:top w:w="60" w:type="dxa"/>
              <w:start w:w="110" w:type="dxa"/>
              <w:bottom w:w="60" w:type="dxa"/>
              <w:end w:w="110" w:type="dxa"/>
            </w:tcMar>
          </w:tcPr>
          <w:p>
            <w:pPr>
              <w:spacing w:after="0"/>
            </w:pPr>
            <w:r/>
            <w:r>
              <w:rPr>
                <w:rFonts w:ascii="Calibri" w:hAnsi="Calibri"/>
                <w:b w:val="0"/>
                <w:i w:val="0"/>
                <w:color w:val="101828"/>
                <w:sz w:val="16"/>
              </w:rPr>
              <w:t>Atomic money movements and one ledger. A 2-person team cannot operate distributed transactions.</w:t>
            </w:r>
          </w:p>
        </w:tc>
        <w:tc>
          <w:tcPr>
            <w:tcW w:type="dxa" w:w="864"/>
            <w:tcMar>
              <w:top w:w="60" w:type="dxa"/>
              <w:start w:w="110" w:type="dxa"/>
              <w:bottom w:w="60" w:type="dxa"/>
              <w:end w:w="110" w:type="dxa"/>
            </w:tcMar>
          </w:tcPr>
          <w:p>
            <w:pPr>
              <w:spacing w:after="0"/>
            </w:pPr>
            <w:r/>
            <w:r>
              <w:rPr>
                <w:rFonts w:ascii="Calibri" w:hAnsi="Calibri"/>
                <w:b w:val="0"/>
                <w:i w:val="0"/>
                <w:color w:val="101828"/>
                <w:sz w:val="16"/>
              </w:rPr>
              <w:t>Poorly</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6"/>
              </w:rPr>
              <w:t>AD-02</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Pure domain core</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Framework-coupled services (NestJS)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Keeps business rules testable and portable for years</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6"/>
              </w:rPr>
              <w:t>Poorly</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6"/>
              </w:rPr>
              <w:t>AD-03</w:t>
            </w:r>
          </w:p>
        </w:tc>
        <w:tc>
          <w:tcPr>
            <w:tcW w:type="dxa" w:w="2304"/>
            <w:tcMar>
              <w:top w:w="60" w:type="dxa"/>
              <w:start w:w="110" w:type="dxa"/>
              <w:bottom w:w="60" w:type="dxa"/>
              <w:end w:w="110" w:type="dxa"/>
            </w:tcMar>
          </w:tcPr>
          <w:p>
            <w:pPr>
              <w:spacing w:after="0"/>
            </w:pPr>
            <w:r/>
            <w:r>
              <w:rPr>
                <w:rFonts w:ascii="Calibri" w:hAnsi="Calibri"/>
                <w:b w:val="0"/>
                <w:i w:val="0"/>
                <w:color w:val="101828"/>
                <w:sz w:val="16"/>
              </w:rPr>
              <w:t>PostgreSQL + Supabase</w:t>
            </w:r>
          </w:p>
        </w:tc>
        <w:tc>
          <w:tcPr>
            <w:tcW w:type="dxa" w:w="2016"/>
            <w:tcMar>
              <w:top w:w="60" w:type="dxa"/>
              <w:start w:w="110" w:type="dxa"/>
              <w:bottom w:w="60" w:type="dxa"/>
              <w:end w:w="110" w:type="dxa"/>
            </w:tcMar>
          </w:tcPr>
          <w:p>
            <w:pPr>
              <w:spacing w:after="0"/>
            </w:pPr>
            <w:r/>
            <w:r>
              <w:rPr>
                <w:rFonts w:ascii="Calibri" w:hAnsi="Calibri"/>
                <w:b w:val="0"/>
                <w:i w:val="0"/>
                <w:color w:val="101828"/>
                <w:sz w:val="16"/>
              </w:rPr>
              <w:t>Managed NoSQL</w:t>
            </w:r>
          </w:p>
        </w:tc>
        <w:tc>
          <w:tcPr>
            <w:tcW w:type="dxa" w:w="3456"/>
            <w:tcMar>
              <w:top w:w="60" w:type="dxa"/>
              <w:start w:w="110" w:type="dxa"/>
              <w:bottom w:w="60" w:type="dxa"/>
              <w:end w:w="110" w:type="dxa"/>
            </w:tcMar>
          </w:tcPr>
          <w:p>
            <w:pPr>
              <w:spacing w:after="0"/>
            </w:pPr>
            <w:r/>
            <w:r>
              <w:rPr>
                <w:rFonts w:ascii="Calibri" w:hAnsi="Calibri"/>
                <w:b w:val="0"/>
                <w:i w:val="0"/>
                <w:color w:val="101828"/>
                <w:sz w:val="16"/>
              </w:rPr>
              <w:t>ACID, real FKs, RLS, PITR — a ledger needs relational guarantees</w:t>
            </w:r>
          </w:p>
        </w:tc>
        <w:tc>
          <w:tcPr>
            <w:tcW w:type="dxa" w:w="864"/>
            <w:tcMar>
              <w:top w:w="60" w:type="dxa"/>
              <w:start w:w="110" w:type="dxa"/>
              <w:bottom w:w="60" w:type="dxa"/>
              <w:end w:w="110" w:type="dxa"/>
            </w:tcMar>
          </w:tcPr>
          <w:p>
            <w:pPr>
              <w:spacing w:after="0"/>
            </w:pPr>
            <w:r/>
            <w:r>
              <w:rPr>
                <w:rFonts w:ascii="Calibri" w:hAnsi="Calibri"/>
                <w:b w:val="0"/>
                <w:i w:val="0"/>
                <w:color w:val="101828"/>
                <w:sz w:val="16"/>
              </w:rPr>
              <w:t>No</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6"/>
              </w:rPr>
              <w:t>AD-04</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Mock provider until approved</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Integrating a provider early against assumptions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No capability is invented; the real integration is days, not months</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6"/>
              </w:rPr>
              <w:t>Yes</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6"/>
              </w:rPr>
              <w:t>AD-05</w:t>
            </w:r>
          </w:p>
        </w:tc>
        <w:tc>
          <w:tcPr>
            <w:tcW w:type="dxa" w:w="2304"/>
            <w:tcMar>
              <w:top w:w="60" w:type="dxa"/>
              <w:start w:w="110" w:type="dxa"/>
              <w:bottom w:w="60" w:type="dxa"/>
              <w:end w:w="110" w:type="dxa"/>
            </w:tcMar>
          </w:tcPr>
          <w:p>
            <w:pPr>
              <w:spacing w:after="0"/>
            </w:pPr>
            <w:r/>
            <w:r>
              <w:rPr>
                <w:rFonts w:ascii="Calibri" w:hAnsi="Calibri"/>
                <w:b w:val="0"/>
                <w:i w:val="0"/>
                <w:color w:val="101828"/>
                <w:sz w:val="16"/>
              </w:rPr>
              <w:t>Container host for API</w:t>
            </w:r>
          </w:p>
        </w:tc>
        <w:tc>
          <w:tcPr>
            <w:tcW w:type="dxa" w:w="2016"/>
            <w:tcMar>
              <w:top w:w="60" w:type="dxa"/>
              <w:start w:w="110" w:type="dxa"/>
              <w:bottom w:w="60" w:type="dxa"/>
              <w:end w:w="110" w:type="dxa"/>
            </w:tcMar>
          </w:tcPr>
          <w:p>
            <w:pPr>
              <w:spacing w:after="0"/>
            </w:pPr>
            <w:r/>
            <w:r>
              <w:rPr>
                <w:rFonts w:ascii="Calibri" w:hAnsi="Calibri"/>
                <w:b w:val="0"/>
                <w:i w:val="0"/>
                <w:color w:val="101828"/>
                <w:sz w:val="16"/>
              </w:rPr>
              <w:t>Vercel serverless</w:t>
            </w:r>
          </w:p>
        </w:tc>
        <w:tc>
          <w:tcPr>
            <w:tcW w:type="dxa" w:w="3456"/>
            <w:tcMar>
              <w:top w:w="60" w:type="dxa"/>
              <w:start w:w="110" w:type="dxa"/>
              <w:bottom w:w="60" w:type="dxa"/>
              <w:end w:w="110" w:type="dxa"/>
            </w:tcMar>
          </w:tcPr>
          <w:p>
            <w:pPr>
              <w:spacing w:after="0"/>
            </w:pPr>
            <w:r/>
            <w:r>
              <w:rPr>
                <w:rFonts w:ascii="Calibri" w:hAnsi="Calibri"/>
                <w:b w:val="0"/>
                <w:i w:val="0"/>
                <w:color w:val="101828"/>
                <w:sz w:val="16"/>
              </w:rPr>
              <w:t>Long-lived requests; no mid-payout termination</w:t>
            </w:r>
          </w:p>
        </w:tc>
        <w:tc>
          <w:tcPr>
            <w:tcW w:type="dxa" w:w="864"/>
            <w:tcMar>
              <w:top w:w="60" w:type="dxa"/>
              <w:start w:w="110" w:type="dxa"/>
              <w:bottom w:w="60" w:type="dxa"/>
              <w:end w:w="110" w:type="dxa"/>
            </w:tcMar>
          </w:tcPr>
          <w:p>
            <w:pPr>
              <w:spacing w:after="0"/>
            </w:pPr>
            <w:r/>
            <w:r>
              <w:rPr>
                <w:rFonts w:ascii="Calibri" w:hAnsi="Calibri"/>
                <w:b w:val="0"/>
                <w:i w:val="0"/>
                <w:color w:val="101828"/>
                <w:sz w:val="16"/>
              </w:rPr>
              <w:t>Yes</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6"/>
              </w:rPr>
              <w:t>AD-06</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Events in-domain, no event sourcing in v1</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Full event sourcing</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Eventual-consistency bugs on money are worse than the benefit at MVP scale. The append-only ledger already gives the audit property that matters</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6"/>
              </w:rPr>
              <w:t>Yes</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6"/>
              </w:rPr>
              <w:t>AD-07</w:t>
            </w:r>
          </w:p>
        </w:tc>
        <w:tc>
          <w:tcPr>
            <w:tcW w:type="dxa" w:w="2304"/>
            <w:tcMar>
              <w:top w:w="60" w:type="dxa"/>
              <w:start w:w="110" w:type="dxa"/>
              <w:bottom w:w="60" w:type="dxa"/>
              <w:end w:w="110" w:type="dxa"/>
            </w:tcMar>
          </w:tcPr>
          <w:p>
            <w:pPr>
              <w:spacing w:after="0"/>
            </w:pPr>
            <w:r/>
            <w:r>
              <w:rPr>
                <w:rFonts w:ascii="Calibri" w:hAnsi="Calibri"/>
                <w:b w:val="0"/>
                <w:i w:val="0"/>
                <w:color w:val="101828"/>
                <w:sz w:val="16"/>
              </w:rPr>
              <w:t>Next.js for web and admin</w:t>
            </w:r>
          </w:p>
        </w:tc>
        <w:tc>
          <w:tcPr>
            <w:tcW w:type="dxa" w:w="2016"/>
            <w:tcMar>
              <w:top w:w="60" w:type="dxa"/>
              <w:start w:w="110" w:type="dxa"/>
              <w:bottom w:w="60" w:type="dxa"/>
              <w:end w:w="110" w:type="dxa"/>
            </w:tcMar>
          </w:tcPr>
          <w:p>
            <w:pPr>
              <w:spacing w:after="0"/>
            </w:pPr>
            <w:r/>
            <w:r>
              <w:rPr>
                <w:rFonts w:ascii="Calibri" w:hAnsi="Calibri"/>
                <w:b w:val="0"/>
                <w:i w:val="0"/>
                <w:color w:val="101828"/>
                <w:sz w:val="16"/>
              </w:rPr>
              <w:t>Separate SPA + CMS</w:t>
            </w:r>
          </w:p>
        </w:tc>
        <w:tc>
          <w:tcPr>
            <w:tcW w:type="dxa" w:w="3456"/>
            <w:tcMar>
              <w:top w:w="60" w:type="dxa"/>
              <w:start w:w="110" w:type="dxa"/>
              <w:bottom w:w="60" w:type="dxa"/>
              <w:end w:w="110" w:type="dxa"/>
            </w:tcMar>
          </w:tcPr>
          <w:p>
            <w:pPr>
              <w:spacing w:after="0"/>
            </w:pPr>
            <w:r/>
            <w:r>
              <w:rPr>
                <w:rFonts w:ascii="Calibri" w:hAnsi="Calibri"/>
                <w:b w:val="0"/>
                <w:i w:val="0"/>
                <w:color w:val="101828"/>
                <w:sz w:val="16"/>
              </w:rPr>
              <w:t>One auth surface, one deploy, shared components</w:t>
            </w:r>
          </w:p>
        </w:tc>
        <w:tc>
          <w:tcPr>
            <w:tcW w:type="dxa" w:w="864"/>
            <w:tcMar>
              <w:top w:w="60" w:type="dxa"/>
              <w:start w:w="110" w:type="dxa"/>
              <w:bottom w:w="60" w:type="dxa"/>
              <w:end w:w="110" w:type="dxa"/>
            </w:tcMar>
          </w:tcPr>
          <w:p>
            <w:pPr>
              <w:spacing w:after="0"/>
            </w:pPr>
            <w:r/>
            <w:r>
              <w:rPr>
                <w:rFonts w:ascii="Calibri" w:hAnsi="Calibri"/>
                <w:b w:val="0"/>
                <w:i w:val="0"/>
                <w:color w:val="101828"/>
                <w:sz w:val="16"/>
              </w:rPr>
              <w:t>Yes</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6"/>
              </w:rPr>
              <w:t>AD-08</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Expo for mobile</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Bare React Native</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OTA updates, faster iteration with a small team</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6"/>
              </w:rPr>
              <w:t>Yes</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6"/>
              </w:rPr>
              <w:t>AD-09</w:t>
            </w:r>
          </w:p>
        </w:tc>
        <w:tc>
          <w:tcPr>
            <w:tcW w:type="dxa" w:w="2304"/>
            <w:tcMar>
              <w:top w:w="60" w:type="dxa"/>
              <w:start w:w="110" w:type="dxa"/>
              <w:bottom w:w="60" w:type="dxa"/>
              <w:end w:w="110" w:type="dxa"/>
            </w:tcMar>
          </w:tcPr>
          <w:p>
            <w:pPr>
              <w:spacing w:after="0"/>
            </w:pPr>
            <w:r/>
            <w:r>
              <w:rPr>
                <w:rFonts w:ascii="Calibri" w:hAnsi="Calibri"/>
                <w:b w:val="0"/>
                <w:i w:val="0"/>
                <w:color w:val="101828"/>
                <w:sz w:val="16"/>
              </w:rPr>
              <w:t>RLS + application authz</w:t>
            </w:r>
          </w:p>
        </w:tc>
        <w:tc>
          <w:tcPr>
            <w:tcW w:type="dxa" w:w="2016"/>
            <w:tcMar>
              <w:top w:w="60" w:type="dxa"/>
              <w:start w:w="110" w:type="dxa"/>
              <w:bottom w:w="60" w:type="dxa"/>
              <w:end w:w="110" w:type="dxa"/>
            </w:tcMar>
          </w:tcPr>
          <w:p>
            <w:pPr>
              <w:spacing w:after="0"/>
            </w:pPr>
            <w:r/>
            <w:r>
              <w:rPr>
                <w:rFonts w:ascii="Calibri" w:hAnsi="Calibri"/>
                <w:b w:val="0"/>
                <w:i w:val="0"/>
                <w:color w:val="101828"/>
                <w:sz w:val="16"/>
              </w:rPr>
              <w:t>Application-only authorisation</w:t>
            </w:r>
          </w:p>
        </w:tc>
        <w:tc>
          <w:tcPr>
            <w:tcW w:type="dxa" w:w="3456"/>
            <w:tcMar>
              <w:top w:w="60" w:type="dxa"/>
              <w:start w:w="110" w:type="dxa"/>
              <w:bottom w:w="60" w:type="dxa"/>
              <w:end w:w="110" w:type="dxa"/>
            </w:tcMar>
          </w:tcPr>
          <w:p>
            <w:pPr>
              <w:spacing w:after="0"/>
            </w:pPr>
            <w:r/>
            <w:r>
              <w:rPr>
                <w:rFonts w:ascii="Calibri" w:hAnsi="Calibri"/>
                <w:b w:val="0"/>
                <w:i w:val="0"/>
                <w:color w:val="101828"/>
                <w:sz w:val="16"/>
              </w:rPr>
              <w:t>Defence in depth: a leaked key alone must not expose member data</w:t>
            </w:r>
          </w:p>
        </w:tc>
        <w:tc>
          <w:tcPr>
            <w:tcW w:type="dxa" w:w="864"/>
            <w:tcMar>
              <w:top w:w="60" w:type="dxa"/>
              <w:start w:w="110" w:type="dxa"/>
              <w:bottom w:w="60" w:type="dxa"/>
              <w:end w:w="110" w:type="dxa"/>
            </w:tcMar>
          </w:tcPr>
          <w:p>
            <w:pPr>
              <w:spacing w:after="0"/>
            </w:pPr>
            <w:r/>
            <w:r>
              <w:rPr>
                <w:rFonts w:ascii="Calibri" w:hAnsi="Calibri"/>
                <w:b w:val="0"/>
                <w:i w:val="0"/>
                <w:color w:val="101828"/>
                <w:sz w:val="16"/>
              </w:rPr>
              <w:t>No</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6"/>
              </w:rPr>
              <w:t>AD-10</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Queue for all money-adjacent work</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Inline processing</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A notification failure must not roll back a payment</w:t>
            </w:r>
          </w:p>
        </w:tc>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6"/>
              </w:rPr>
              <w:t>Poorly</w:t>
            </w:r>
          </w:p>
        </w:tc>
      </w:tr>
    </w:tbl>
    <w:p>
      <w:pPr>
        <w:spacing w:after="80"/>
      </w:pPr>
    </w:p>
    <w:p>
      <w:pPr>
        <w:pStyle w:val="Heading2"/>
      </w:pPr>
      <w:r>
        <w:rPr>
          <w:rFonts w:ascii="Calibri" w:hAnsi="Calibri"/>
          <w:b/>
          <w:i w:val="0"/>
          <w:color w:val="146EF5"/>
          <w:sz w:val="29"/>
        </w:rPr>
        <w:t>10.13 Capacity planning (base case)</w:t>
      </w:r>
    </w:p>
    <w:p>
      <w:r>
        <w:rPr>
          <w:rFonts w:ascii="Calibri" w:hAnsi="Calibri"/>
          <w:b w:val="0"/>
          <w:i w:val="0"/>
          <w:color w:val="101828"/>
          <w:sz w:val="21"/>
        </w:rPr>
        <w:t xml:space="preserve">Derived from the Year-1 base case in section 1. These are </w:t>
      </w:r>
      <w:r>
        <w:rPr>
          <w:rFonts w:ascii="Calibri" w:hAnsi="Calibri"/>
          <w:b/>
          <w:color w:val="101828"/>
          <w:sz w:val="21"/>
        </w:rPr>
        <w:t>projections from a pre-launch planning model, not measured load.</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Metric</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Year-1 base case</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Peak assumption</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6"/>
              </w:rPr>
              <w:t>Design implication</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Ajos created</w:t>
            </w:r>
          </w:p>
        </w:tc>
        <w:tc>
          <w:tcPr>
            <w:tcW w:type="dxa" w:w="2160"/>
            <w:tcMar>
              <w:top w:w="60" w:type="dxa"/>
              <w:start w:w="110" w:type="dxa"/>
              <w:bottom w:w="60" w:type="dxa"/>
              <w:end w:w="110" w:type="dxa"/>
            </w:tcMar>
          </w:tcPr>
          <w:p>
            <w:pPr>
              <w:spacing w:after="0"/>
            </w:pPr>
            <w:r/>
            <w:r>
              <w:rPr>
                <w:rFonts w:ascii="Calibri" w:hAnsi="Calibri"/>
                <w:b w:val="0"/>
                <w:i w:val="0"/>
                <w:color w:val="101828"/>
                <w:sz w:val="16"/>
              </w:rPr>
              <w:t>300</w:t>
            </w:r>
          </w:p>
        </w:tc>
        <w:tc>
          <w:tcPr>
            <w:tcW w:type="dxa" w:w="2016"/>
            <w:tcMar>
              <w:top w:w="60" w:type="dxa"/>
              <w:start w:w="110" w:type="dxa"/>
              <w:bottom w:w="60" w:type="dxa"/>
              <w:end w:w="110" w:type="dxa"/>
            </w:tcMar>
          </w:tcPr>
          <w:p>
            <w:pPr>
              <w:spacing w:after="0"/>
            </w:pPr>
            <w:r/>
            <w:r>
              <w:rPr>
                <w:rFonts w:ascii="Calibri" w:hAnsi="Calibri"/>
                <w:b w:val="0"/>
                <w:i w:val="0"/>
                <w:color w:val="101828"/>
                <w:sz w:val="16"/>
              </w:rPr>
              <w:t>—</w:t>
            </w:r>
          </w:p>
        </w:tc>
        <w:tc>
          <w:tcPr>
            <w:tcW w:type="dxa" w:w="2880"/>
            <w:tcMar>
              <w:top w:w="60" w:type="dxa"/>
              <w:start w:w="110" w:type="dxa"/>
              <w:bottom w:w="60" w:type="dxa"/>
              <w:end w:w="110" w:type="dxa"/>
            </w:tcMar>
          </w:tcPr>
          <w:p>
            <w:pPr>
              <w:spacing w:after="0"/>
            </w:pPr>
            <w:r/>
            <w:r>
              <w:rPr>
                <w:rFonts w:ascii="Calibri" w:hAnsi="Calibri"/>
                <w:b w:val="0"/>
                <w:i w:val="0"/>
                <w:color w:val="101828"/>
                <w:sz w:val="16"/>
              </w:rPr>
              <w:t>Trivial</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Members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3,000 position slots</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Trivial</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Contribution transactions</w:t>
            </w:r>
          </w:p>
        </w:tc>
        <w:tc>
          <w:tcPr>
            <w:tcW w:type="dxa" w:w="2160"/>
            <w:tcMar>
              <w:top w:w="60" w:type="dxa"/>
              <w:start w:w="110" w:type="dxa"/>
              <w:bottom w:w="60" w:type="dxa"/>
              <w:end w:w="110" w:type="dxa"/>
            </w:tcMar>
          </w:tcPr>
          <w:p>
            <w:pPr>
              <w:spacing w:after="0"/>
            </w:pPr>
            <w:r/>
            <w:r>
              <w:rPr>
                <w:rFonts w:ascii="Calibri" w:hAnsi="Calibri"/>
                <w:b w:val="0"/>
                <w:i w:val="0"/>
                <w:color w:val="101828"/>
                <w:sz w:val="16"/>
              </w:rPr>
              <w:t>30,000</w:t>
            </w:r>
          </w:p>
        </w:tc>
        <w:tc>
          <w:tcPr>
            <w:tcW w:type="dxa" w:w="2016"/>
            <w:tcMar>
              <w:top w:w="60" w:type="dxa"/>
              <w:start w:w="110" w:type="dxa"/>
              <w:bottom w:w="60" w:type="dxa"/>
              <w:end w:w="110" w:type="dxa"/>
            </w:tcMar>
          </w:tcPr>
          <w:p>
            <w:pPr>
              <w:spacing w:after="0"/>
            </w:pPr>
            <w:r/>
            <w:r>
              <w:rPr>
                <w:rFonts w:ascii="Calibri" w:hAnsi="Calibri"/>
                <w:b w:val="0"/>
                <w:i w:val="0"/>
                <w:color w:val="101828"/>
                <w:sz w:val="16"/>
              </w:rPr>
              <w:t>~40% concentrated on a Friday collection window</w:t>
            </w:r>
          </w:p>
        </w:tc>
        <w:tc>
          <w:tcPr>
            <w:tcW w:type="dxa" w:w="2880"/>
            <w:tcMar>
              <w:top w:w="60" w:type="dxa"/>
              <w:start w:w="110" w:type="dxa"/>
              <w:bottom w:w="60" w:type="dxa"/>
              <w:end w:w="110" w:type="dxa"/>
            </w:tcMar>
          </w:tcPr>
          <w:p>
            <w:pPr>
              <w:spacing w:after="0"/>
            </w:pPr>
            <w:r/>
            <w:r>
              <w:rPr>
                <w:rFonts w:ascii="Calibri" w:hAnsi="Calibri"/>
                <w:b w:val="0"/>
                <w:i w:val="0"/>
                <w:color w:val="101828"/>
                <w:sz w:val="16"/>
              </w:rPr>
              <w:t>Contributions are bursty, not uniform</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Payout transactions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3,000</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Aligned to round completion</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Same burstiness</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Total core payment events</w:t>
            </w:r>
          </w:p>
        </w:tc>
        <w:tc>
          <w:tcPr>
            <w:tcW w:type="dxa" w:w="2160"/>
            <w:tcMar>
              <w:top w:w="60" w:type="dxa"/>
              <w:start w:w="110" w:type="dxa"/>
              <w:bottom w:w="60" w:type="dxa"/>
              <w:end w:w="110" w:type="dxa"/>
            </w:tcMar>
          </w:tcPr>
          <w:p>
            <w:pPr>
              <w:spacing w:after="0"/>
            </w:pPr>
            <w:r/>
            <w:r>
              <w:rPr>
                <w:rFonts w:ascii="Calibri" w:hAnsi="Calibri"/>
                <w:b w:val="0"/>
                <w:i w:val="0"/>
                <w:color w:val="101828"/>
                <w:sz w:val="16"/>
              </w:rPr>
              <w:t>33,000</w:t>
            </w:r>
          </w:p>
        </w:tc>
        <w:tc>
          <w:tcPr>
            <w:tcW w:type="dxa" w:w="2016"/>
            <w:tcMar>
              <w:top w:w="60" w:type="dxa"/>
              <w:start w:w="110" w:type="dxa"/>
              <w:bottom w:w="60" w:type="dxa"/>
              <w:end w:w="110" w:type="dxa"/>
            </w:tcMar>
          </w:tcPr>
          <w:p>
            <w:pPr>
              <w:spacing w:after="0"/>
            </w:pPr>
            <w:r/>
            <w:r>
              <w:rPr>
                <w:rFonts w:ascii="Calibri" w:hAnsi="Calibri"/>
                <w:b w:val="0"/>
                <w:i w:val="0"/>
                <w:color w:val="101828"/>
                <w:sz w:val="16"/>
              </w:rPr>
              <w:t>—</w:t>
            </w:r>
          </w:p>
        </w:tc>
        <w:tc>
          <w:tcPr>
            <w:tcW w:type="dxa" w:w="2880"/>
            <w:tcMar>
              <w:top w:w="60" w:type="dxa"/>
              <w:start w:w="110" w:type="dxa"/>
              <w:bottom w:w="60" w:type="dxa"/>
              <w:end w:w="110" w:type="dxa"/>
            </w:tcMar>
          </w:tcPr>
          <w:p>
            <w:pPr>
              <w:spacing w:after="0"/>
            </w:pPr>
            <w:r/>
            <w:r>
              <w:rPr>
                <w:rFonts w:ascii="Calibri" w:hAnsi="Calibri"/>
                <w:b w:val="0"/>
                <w:i w:val="0"/>
                <w:color w:val="101828"/>
                <w:sz w:val="16"/>
              </w:rPr>
              <w:t>Under 1 event/second average</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Concurrent users (peak)</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Not modelled</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Assume 10% of members in a collection window</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Comfortably within a single Postgres + Redis</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The real scaling constraint is time, not volume.  </w:t>
      </w:r>
      <w:r>
        <w:rPr>
          <w:rFonts w:ascii="Calibri" w:hAnsi="Calibri"/>
          <w:b w:val="0"/>
          <w:i w:val="0"/>
          <w:color w:val="0B1F3A"/>
          <w:sz w:val="19"/>
        </w:rPr>
        <w:t>At 33,000 events per year, AJO.ng will never need to scale out for throughput. The genuine constraints are (a) the 48-hour grace and 5-day enrollment windows, which require a scheduler that is reliable rather than fast, and (b) the burst on contribution day, when many Ajos collect on the same weekday. Read replicas and queue workers are the correct first scaling moves, not a distributed database.</w:t>
      </w:r>
    </w:p>
    <w:p>
      <w:r>
        <w:br w:type="page"/>
      </w:r>
    </w:p>
    <w:p>
      <w:pPr>
        <w:pStyle w:val="Heading1"/>
        <w:pBdr>
          <w:bottom w:val="single" w:sz="12" w:space="6" w:color="146EF5"/>
        </w:pBdr>
        <w:spacing w:after="240"/>
      </w:pPr>
      <w:r>
        <w:rPr>
          <w:rFonts w:ascii="Calibri" w:hAnsi="Calibri"/>
          <w:b/>
          <w:i w:val="0"/>
          <w:color w:val="0B1F3A"/>
          <w:sz w:val="40"/>
        </w:rPr>
        <w:t>11. API Specification</w:t>
      </w:r>
    </w:p>
    <w:p>
      <w:pPr>
        <w:spacing w:after="200"/>
      </w:pPr>
      <w:r>
        <w:rPr>
          <w:rFonts w:ascii="Calibri" w:hAnsi="Calibri"/>
          <w:b w:val="0"/>
          <w:i w:val="0"/>
          <w:color w:val="475467"/>
          <w:sz w:val="24"/>
        </w:rPr>
        <w:t xml:space="preserve">A versioned REST API over HTTPS. The contract is defined once in </w:t>
      </w:r>
      <w:r>
        <w:rPr>
          <w:rFonts w:ascii="Consolas" w:hAnsi="Consolas"/>
          <w:color w:val="146EF5"/>
          <w:sz w:val="24"/>
        </w:rPr>
        <w:t>packages/contracts</w:t>
      </w:r>
      <w:r>
        <w:rPr>
          <w:rFonts w:ascii="Calibri" w:hAnsi="Calibri"/>
          <w:b w:val="0"/>
          <w:i w:val="0"/>
          <w:color w:val="475467"/>
          <w:sz w:val="24"/>
        </w:rPr>
        <w:t xml:space="preserve"> as Zod schemas and generated into OpenAPI, so the mobile app, the web app and the documentation cannot drift apart.</w:t>
      </w:r>
    </w:p>
    <w:p>
      <w:pPr>
        <w:pStyle w:val="Heading2"/>
      </w:pPr>
      <w:r>
        <w:rPr>
          <w:rFonts w:ascii="Calibri" w:hAnsi="Calibri"/>
          <w:b/>
          <w:i w:val="0"/>
          <w:color w:val="146EF5"/>
          <w:sz w:val="29"/>
        </w:rPr>
        <w:t>11.1 Conventions</w:t>
      </w:r>
    </w:p>
    <w:p>
      <w:pPr>
        <w:pStyle w:val="Heading3"/>
      </w:pPr>
      <w:r>
        <w:rPr>
          <w:rFonts w:ascii="Calibri" w:hAnsi="Calibri"/>
          <w:b/>
          <w:i w:val="0"/>
          <w:color w:val="0B1F3A"/>
          <w:sz w:val="24"/>
        </w:rPr>
        <w:t>11.1.1 Base and versioning</w:t>
      </w:r>
    </w:p>
    <w:p>
      <w:pPr>
        <w:pStyle w:val="ListBullet"/>
        <w:spacing w:after="60"/>
        <w:ind w:left="360"/>
      </w:pPr>
      <w:r>
        <w:rPr>
          <w:rFonts w:ascii="Calibri" w:hAnsi="Calibri"/>
          <w:b w:val="0"/>
          <w:i w:val="0"/>
          <w:color w:val="101828"/>
          <w:sz w:val="21"/>
        </w:rPr>
        <w:t xml:space="preserve">Base path: </w:t>
      </w:r>
      <w:r>
        <w:rPr>
          <w:rFonts w:ascii="Consolas" w:hAnsi="Consolas"/>
          <w:color w:val="146EF5"/>
          <w:sz w:val="21"/>
        </w:rPr>
        <w:t>/api/v1</w:t>
      </w:r>
      <w:r>
        <w:rPr>
          <w:rFonts w:ascii="Calibri" w:hAnsi="Calibri"/>
          <w:b w:val="0"/>
          <w:i w:val="0"/>
          <w:color w:val="101828"/>
          <w:sz w:val="21"/>
        </w:rPr>
        <w:t>. The version is in the path, not a header, so a cached response can never be served to the wrong client version.</w:t>
      </w:r>
    </w:p>
    <w:p>
      <w:pPr>
        <w:pStyle w:val="ListBullet"/>
        <w:spacing w:after="60"/>
        <w:ind w:left="360"/>
      </w:pPr>
      <w:r>
        <w:rPr>
          <w:rFonts w:ascii="Calibri" w:hAnsi="Calibri"/>
          <w:b w:val="0"/>
          <w:i w:val="0"/>
          <w:color w:val="101828"/>
          <w:sz w:val="21"/>
        </w:rPr>
        <w:t xml:space="preserve">Breaking changes require </w:t>
      </w:r>
      <w:r>
        <w:rPr>
          <w:rFonts w:ascii="Consolas" w:hAnsi="Consolas"/>
          <w:color w:val="146EF5"/>
          <w:sz w:val="21"/>
        </w:rPr>
        <w:t>/api/v2</w:t>
      </w:r>
      <w:r>
        <w:rPr>
          <w:rFonts w:ascii="Calibri" w:hAnsi="Calibri"/>
          <w:b w:val="0"/>
          <w:i w:val="0"/>
          <w:color w:val="101828"/>
          <w:sz w:val="21"/>
        </w:rPr>
        <w:t>. Additive changes (new optional field, new endpoint, new enum value that clients can ignore) ship in v1.</w:t>
      </w:r>
    </w:p>
    <w:p>
      <w:pPr>
        <w:pStyle w:val="ListBullet"/>
        <w:spacing w:after="60"/>
        <w:ind w:left="360"/>
      </w:pPr>
      <w:r>
        <w:rPr>
          <w:rFonts w:ascii="Calibri" w:hAnsi="Calibri"/>
          <w:b w:val="0"/>
          <w:i w:val="0"/>
          <w:color w:val="101828"/>
          <w:sz w:val="21"/>
        </w:rPr>
        <w:t>An enum value the client does not recognise must degrade gracefully, not crash. This matters because the provider and the regulatory position can both change.</w:t>
      </w:r>
    </w:p>
    <w:p>
      <w:pPr>
        <w:pStyle w:val="ListBullet"/>
        <w:spacing w:after="60"/>
        <w:ind w:left="360"/>
      </w:pPr>
      <w:r>
        <w:rPr>
          <w:rFonts w:ascii="Calibri" w:hAnsi="Calibri"/>
          <w:b w:val="0"/>
          <w:i w:val="0"/>
          <w:color w:val="101828"/>
          <w:sz w:val="21"/>
        </w:rPr>
        <w:t>v1 is deprecated with a minimum 6-month notice and a sunset header before removal.</w:t>
      </w:r>
    </w:p>
    <w:p>
      <w:pPr>
        <w:pStyle w:val="Heading3"/>
      </w:pPr>
      <w:r>
        <w:rPr>
          <w:rFonts w:ascii="Calibri" w:hAnsi="Calibri"/>
          <w:b/>
          <w:i w:val="0"/>
          <w:color w:val="0B1F3A"/>
          <w:sz w:val="24"/>
        </w:rPr>
        <w:t>11.1.2 Authentication</w:t>
      </w:r>
    </w:p>
    <w:p>
      <w:pPr>
        <w:pStyle w:val="ListBullet"/>
        <w:spacing w:after="60"/>
        <w:ind w:left="360"/>
      </w:pPr>
      <w:r>
        <w:rPr>
          <w:rFonts w:ascii="Calibri" w:hAnsi="Calibri"/>
          <w:b w:val="0"/>
          <w:i w:val="0"/>
          <w:color w:val="101828"/>
          <w:sz w:val="21"/>
        </w:rPr>
        <w:t xml:space="preserve">Access token: short-lived JWT, 15 minutes, sent as </w:t>
      </w:r>
      <w:r>
        <w:rPr>
          <w:rFonts w:ascii="Consolas" w:hAnsi="Consolas"/>
          <w:color w:val="146EF5"/>
          <w:sz w:val="21"/>
        </w:rPr>
        <w:t>Authorization: Bearer &lt;token&gt;</w:t>
      </w:r>
      <w:r>
        <w:rPr>
          <w:rFonts w:ascii="Calibri" w:hAnsi="Calibri"/>
          <w:b w:val="0"/>
          <w:i w:val="0"/>
          <w:color w:val="101828"/>
          <w:sz w:val="21"/>
        </w:rPr>
        <w:t>.</w:t>
      </w:r>
    </w:p>
    <w:p>
      <w:pPr>
        <w:pStyle w:val="ListBullet"/>
        <w:spacing w:after="60"/>
        <w:ind w:left="360"/>
      </w:pPr>
      <w:r>
        <w:rPr>
          <w:rFonts w:ascii="Calibri" w:hAnsi="Calibri"/>
          <w:b w:val="0"/>
          <w:i w:val="0"/>
          <w:color w:val="101828"/>
          <w:sz w:val="21"/>
        </w:rPr>
        <w:t>Refresh token: opaque, 30 days, rotation on every use, stored server-side with a device fingerprint. Reuse of a rotated token revokes the whole family — this is the standard theft-detection control.</w:t>
      </w:r>
    </w:p>
    <w:p>
      <w:pPr>
        <w:pStyle w:val="ListBullet"/>
        <w:spacing w:after="60"/>
        <w:ind w:left="360"/>
      </w:pPr>
      <w:r>
        <w:rPr>
          <w:rFonts w:ascii="Calibri" w:hAnsi="Calibri"/>
          <w:b w:val="0"/>
          <w:i w:val="0"/>
          <w:color w:val="101828"/>
          <w:sz w:val="21"/>
        </w:rPr>
        <w:t>Refresh tokens are held in an httpOnly, Secure, SameSite=Strict cookie. Access tokens are held in memory only, never localStorage, to limit the blast radius of XSS.</w:t>
      </w:r>
    </w:p>
    <w:p>
      <w:pPr>
        <w:pStyle w:val="ListBullet"/>
        <w:spacing w:after="60"/>
        <w:ind w:left="360"/>
      </w:pPr>
      <w:r>
        <w:rPr>
          <w:rFonts w:ascii="Calibri" w:hAnsi="Calibri"/>
          <w:b w:val="0"/>
          <w:i w:val="0"/>
          <w:color w:val="101828"/>
          <w:sz w:val="21"/>
        </w:rPr>
        <w:t xml:space="preserve">Every request carries </w:t>
      </w:r>
      <w:r>
        <w:rPr>
          <w:rFonts w:ascii="Consolas" w:hAnsi="Consolas"/>
          <w:color w:val="146EF5"/>
          <w:sz w:val="21"/>
        </w:rPr>
        <w:t>X-Request-Id</w:t>
      </w:r>
      <w:r>
        <w:rPr>
          <w:rFonts w:ascii="Calibri" w:hAnsi="Calibri"/>
          <w:b w:val="0"/>
          <w:i w:val="0"/>
          <w:color w:val="101828"/>
          <w:sz w:val="21"/>
        </w:rPr>
        <w:t xml:space="preserve"> (client-generated UUID) which is echoed in the response and stamped on every log line for that request.</w:t>
      </w:r>
    </w:p>
    <w:p>
      <w:pPr>
        <w:pStyle w:val="Heading3"/>
      </w:pPr>
      <w:r>
        <w:rPr>
          <w:rFonts w:ascii="Calibri" w:hAnsi="Calibri"/>
          <w:b/>
          <w:i w:val="0"/>
          <w:color w:val="0B1F3A"/>
          <w:sz w:val="24"/>
        </w:rPr>
        <w:t>11.1.3 Idempotency</w:t>
      </w:r>
    </w:p>
    <w:p>
      <w:pPr>
        <w:spacing w:before="140" w:after="180"/>
        <w:ind w:left="144"/>
        <w:shd w:val="clear" w:color="auto" w:fill="FEF3C7"/>
        <w:pBdr>
          <w:left w:val="single" w:sz="18" w:space="6" w:color="FBBF24"/>
        </w:pBdr>
      </w:pPr>
      <w:r>
        <w:rPr>
          <w:rFonts w:ascii="Calibri" w:hAnsi="Calibri"/>
          <w:b/>
          <w:color w:val="FBBF24"/>
          <w:sz w:val="19"/>
        </w:rPr>
        <w:t xml:space="preserve">Mandatory on every money-moving POST.  </w:t>
      </w:r>
      <w:r>
        <w:rPr>
          <w:rFonts w:ascii="Consolas" w:hAnsi="Consolas"/>
          <w:color w:val="146EF5"/>
          <w:sz w:val="19"/>
        </w:rPr>
        <w:t>POST /contributions/:id/pay</w:t>
      </w:r>
      <w:r>
        <w:rPr>
          <w:rFonts w:ascii="Calibri" w:hAnsi="Calibri"/>
          <w:b w:val="0"/>
          <w:i w:val="0"/>
          <w:color w:val="0B1F3A"/>
          <w:sz w:val="19"/>
        </w:rPr>
        <w:t xml:space="preserve">, </w:t>
      </w:r>
      <w:r>
        <w:rPr>
          <w:rFonts w:ascii="Consolas" w:hAnsi="Consolas"/>
          <w:color w:val="146EF5"/>
          <w:sz w:val="19"/>
        </w:rPr>
        <w:t>POST /payments</w:t>
      </w:r>
      <w:r>
        <w:rPr>
          <w:rFonts w:ascii="Calibri" w:hAnsi="Calibri"/>
          <w:b w:val="0"/>
          <w:i w:val="0"/>
          <w:color w:val="0B1F3A"/>
          <w:sz w:val="19"/>
        </w:rPr>
        <w:t xml:space="preserve">, </w:t>
      </w:r>
      <w:r>
        <w:rPr>
          <w:rFonts w:ascii="Consolas" w:hAnsi="Consolas"/>
          <w:color w:val="146EF5"/>
          <w:sz w:val="19"/>
        </w:rPr>
        <w:t>POST /payouts/:id/release</w:t>
      </w:r>
      <w:r>
        <w:rPr>
          <w:rFonts w:ascii="Calibri" w:hAnsi="Calibri"/>
          <w:b w:val="0"/>
          <w:i w:val="0"/>
          <w:color w:val="0B1F3A"/>
          <w:sz w:val="19"/>
        </w:rPr>
        <w:t xml:space="preserve"> and every admin money action require an </w:t>
      </w:r>
      <w:r>
        <w:rPr>
          <w:rFonts w:ascii="Consolas" w:hAnsi="Consolas"/>
          <w:color w:val="146EF5"/>
          <w:sz w:val="19"/>
        </w:rPr>
        <w:t>Idempotency-Key</w:t>
      </w:r>
      <w:r>
        <w:rPr>
          <w:rFonts w:ascii="Calibri" w:hAnsi="Calibri"/>
          <w:b w:val="0"/>
          <w:i w:val="0"/>
          <w:color w:val="0B1F3A"/>
          <w:sz w:val="19"/>
        </w:rPr>
        <w:t xml:space="preserve"> header (UUID v4). The key is stored with a hash of the request body. A repeat with the same key returns the original response with </w:t>
      </w:r>
      <w:r>
        <w:rPr>
          <w:rFonts w:ascii="Consolas" w:hAnsi="Consolas"/>
          <w:color w:val="146EF5"/>
          <w:sz w:val="19"/>
        </w:rPr>
        <w:t>200</w:t>
      </w:r>
      <w:r>
        <w:rPr>
          <w:rFonts w:ascii="Calibri" w:hAnsi="Calibri"/>
          <w:b w:val="0"/>
          <w:i w:val="0"/>
          <w:color w:val="0B1F3A"/>
          <w:sz w:val="19"/>
        </w:rPr>
        <w:t xml:space="preserve"> and an </w:t>
      </w:r>
      <w:r>
        <w:rPr>
          <w:rFonts w:ascii="Consolas" w:hAnsi="Consolas"/>
          <w:color w:val="146EF5"/>
          <w:sz w:val="19"/>
        </w:rPr>
        <w:t>Idempotent-Replay: true</w:t>
      </w:r>
      <w:r>
        <w:rPr>
          <w:rFonts w:ascii="Calibri" w:hAnsi="Calibri"/>
          <w:b w:val="0"/>
          <w:i w:val="0"/>
          <w:color w:val="0B1F3A"/>
          <w:sz w:val="19"/>
        </w:rPr>
        <w:t xml:space="preserve"> header. A repeat with the same key but a different body returns </w:t>
      </w:r>
      <w:r>
        <w:rPr>
          <w:rFonts w:ascii="Consolas" w:hAnsi="Consolas"/>
          <w:color w:val="146EF5"/>
          <w:sz w:val="19"/>
        </w:rPr>
        <w:t>409</w:t>
      </w:r>
      <w:r>
        <w:rPr>
          <w:rFonts w:ascii="Calibri" w:hAnsi="Calibri"/>
          <w:b w:val="0"/>
          <w:i w:val="0"/>
          <w:color w:val="0B1F3A"/>
          <w:sz w:val="19"/>
        </w:rPr>
        <w:t xml:space="preserve">. A request without a key returns </w:t>
      </w:r>
      <w:r>
        <w:rPr>
          <w:rFonts w:ascii="Consolas" w:hAnsi="Consolas"/>
          <w:color w:val="146EF5"/>
          <w:sz w:val="19"/>
        </w:rPr>
        <w:t>400</w:t>
      </w:r>
      <w:r>
        <w:rPr>
          <w:rFonts w:ascii="Calibri" w:hAnsi="Calibri"/>
          <w:b w:val="0"/>
          <w:i w:val="0"/>
          <w:color w:val="0B1F3A"/>
          <w:sz w:val="19"/>
        </w:rPr>
        <w:t>. A timeout followed by an impatient retry is the normal case this exists for.</w:t>
      </w:r>
    </w:p>
    <w:p>
      <w:pPr>
        <w:pStyle w:val="Heading3"/>
      </w:pPr>
      <w:r>
        <w:rPr>
          <w:rFonts w:ascii="Calibri" w:hAnsi="Calibri"/>
          <w:b/>
          <w:i w:val="0"/>
          <w:color w:val="0B1F3A"/>
          <w:sz w:val="24"/>
        </w:rPr>
        <w:t>11.1.4 Pagination, filtering, sorting</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Concern</w:t>
            </w:r>
          </w:p>
        </w:tc>
        <w:tc>
          <w:tcPr>
            <w:tcW w:type="dxa" w:w="7632"/>
            <w:shd w:val="clear" w:color="auto" w:fill="0B1F3A"/>
            <w:tcMar>
              <w:top w:w="60" w:type="dxa"/>
              <w:start w:w="110" w:type="dxa"/>
              <w:bottom w:w="60" w:type="dxa"/>
              <w:end w:w="110" w:type="dxa"/>
            </w:tcMar>
          </w:tcPr>
          <w:p>
            <w:pPr>
              <w:spacing w:after="0"/>
            </w:pPr>
            <w:r/>
            <w:r>
              <w:rPr>
                <w:rFonts w:ascii="Calibri" w:hAnsi="Calibri"/>
                <w:b/>
                <w:i w:val="0"/>
                <w:color w:val="FFFFFF"/>
                <w:sz w:val="16"/>
              </w:rPr>
              <w:t>Convention</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Pagination</w:t>
            </w:r>
          </w:p>
        </w:tc>
        <w:tc>
          <w:tcPr>
            <w:tcW w:type="dxa" w:w="7632"/>
            <w:tcMar>
              <w:top w:w="60" w:type="dxa"/>
              <w:start w:w="110" w:type="dxa"/>
              <w:bottom w:w="60" w:type="dxa"/>
              <w:end w:w="110" w:type="dxa"/>
            </w:tcMar>
          </w:tcPr>
          <w:p>
            <w:pPr>
              <w:spacing w:after="0"/>
            </w:pPr>
            <w:r/>
            <w:r>
              <w:rPr>
                <w:rFonts w:ascii="Calibri" w:hAnsi="Calibri"/>
                <w:b w:val="0"/>
                <w:i w:val="0"/>
                <w:color w:val="101828"/>
                <w:sz w:val="16"/>
              </w:rPr>
              <w:t xml:space="preserve">Opaque cursor: </w:t>
            </w:r>
            <w:r>
              <w:rPr>
                <w:rFonts w:ascii="Consolas" w:hAnsi="Consolas"/>
                <w:color w:val="146EF5"/>
                <w:sz w:val="16"/>
              </w:rPr>
              <w:t>?cursor=&lt;token&gt;&amp;limit=25</w:t>
            </w:r>
            <w:r>
              <w:rPr>
                <w:rFonts w:ascii="Calibri" w:hAnsi="Calibri"/>
                <w:b w:val="0"/>
                <w:i w:val="0"/>
                <w:color w:val="101828"/>
                <w:sz w:val="16"/>
              </w:rPr>
              <w:t>. Never offset — offsets shift under concurrent writes and produce duplicates and skips in a financial list</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Response envelope</w:t>
            </w:r>
          </w:p>
        </w:tc>
        <w:tc>
          <w:tcPr>
            <w:tcW w:type="dxa" w:w="7632"/>
            <w:tcMar>
              <w:top w:w="60" w:type="dxa"/>
              <w:start w:w="110" w:type="dxa"/>
              <w:bottom w:w="60" w:type="dxa"/>
              <w:end w:w="110" w:type="dxa"/>
            </w:tcMar>
            <w:shd w:val="clear" w:color="auto" w:fill="F4F7FB"/>
          </w:tcPr>
          <w:p>
            <w:pPr>
              <w:spacing w:after="0"/>
            </w:pPr>
            <w:r/>
            <w:r>
              <w:rPr>
                <w:rFonts w:ascii="Consolas" w:hAnsi="Consolas"/>
                <w:color w:val="146EF5"/>
                <w:sz w:val="16"/>
              </w:rPr>
              <w:t>{ "data": [...], "page": { "nextCursor": "...", "hasMore": true } }</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Filtering</w:t>
            </w:r>
          </w:p>
        </w:tc>
        <w:tc>
          <w:tcPr>
            <w:tcW w:type="dxa" w:w="7632"/>
            <w:tcMar>
              <w:top w:w="60" w:type="dxa"/>
              <w:start w:w="110" w:type="dxa"/>
              <w:bottom w:w="60" w:type="dxa"/>
              <w:end w:w="110" w:type="dxa"/>
            </w:tcMar>
          </w:tcPr>
          <w:p>
            <w:pPr>
              <w:spacing w:after="0"/>
            </w:pPr>
            <w:r/>
            <w:r>
              <w:rPr>
                <w:rFonts w:ascii="Calibri" w:hAnsi="Calibri"/>
                <w:b w:val="0"/>
                <w:i w:val="0"/>
                <w:color w:val="101828"/>
                <w:sz w:val="16"/>
              </w:rPr>
              <w:t xml:space="preserve">Explicit allow-listed query parameters only, e.g. </w:t>
            </w:r>
            <w:r>
              <w:rPr>
                <w:rFonts w:ascii="Consolas" w:hAnsi="Consolas"/>
                <w:color w:val="146EF5"/>
                <w:sz w:val="16"/>
              </w:rPr>
              <w:t>?status=ACTIVE&amp;from=2026-01-01</w:t>
            </w:r>
            <w:r>
              <w:rPr>
                <w:rFonts w:ascii="Calibri" w:hAnsi="Calibri"/>
                <w:b w:val="0"/>
                <w:i w:val="0"/>
                <w:color w:val="101828"/>
                <w:sz w:val="16"/>
              </w:rPr>
              <w:t>. Unknown parameters are rejected, not ignored — a silently-ignored filter means a member sees fewer records than they asked for</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Sorting</w:t>
            </w:r>
          </w:p>
        </w:tc>
        <w:tc>
          <w:tcPr>
            <w:tcW w:type="dxa" w:w="7632"/>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One </w:t>
            </w:r>
            <w:r>
              <w:rPr>
                <w:rFonts w:ascii="Consolas" w:hAnsi="Consolas"/>
                <w:color w:val="146EF5"/>
                <w:sz w:val="16"/>
              </w:rPr>
              <w:t>sort</w:t>
            </w:r>
            <w:r>
              <w:rPr>
                <w:rFonts w:ascii="Calibri" w:hAnsi="Calibri"/>
                <w:b w:val="0"/>
                <w:i w:val="0"/>
                <w:color w:val="101828"/>
                <w:sz w:val="16"/>
              </w:rPr>
              <w:t xml:space="preserve"> parameter from a fixed allow-list, e.g. </w:t>
            </w:r>
            <w:r>
              <w:rPr>
                <w:rFonts w:ascii="Consolas" w:hAnsi="Consolas"/>
                <w:color w:val="146EF5"/>
                <w:sz w:val="16"/>
              </w:rPr>
              <w:t>?sort=-created_at</w:t>
            </w:r>
            <w:r>
              <w:rPr>
                <w:rFonts w:ascii="Calibri" w:hAnsi="Calibri"/>
                <w:b w:val="0"/>
                <w:i w:val="0"/>
                <w:color w:val="101828"/>
                <w:sz w:val="16"/>
              </w:rPr>
              <w:t>. Always paired with a stable tiebreaker so pages never reorder</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Field selection</w:t>
            </w:r>
          </w:p>
        </w:tc>
        <w:tc>
          <w:tcPr>
            <w:tcW w:type="dxa" w:w="7632"/>
            <w:tcMar>
              <w:top w:w="60" w:type="dxa"/>
              <w:start w:w="110" w:type="dxa"/>
              <w:bottom w:w="60" w:type="dxa"/>
              <w:end w:w="110" w:type="dxa"/>
            </w:tcMar>
          </w:tcPr>
          <w:p>
            <w:pPr>
              <w:spacing w:after="0"/>
            </w:pPr>
            <w:r/>
            <w:r>
              <w:rPr>
                <w:rFonts w:ascii="Consolas" w:hAnsi="Consolas"/>
                <w:color w:val="146EF5"/>
                <w:sz w:val="16"/>
              </w:rPr>
              <w:t>?fields=</w:t>
            </w:r>
            <w:r>
              <w:rPr>
                <w:rFonts w:ascii="Calibri" w:hAnsi="Calibri"/>
                <w:b w:val="0"/>
                <w:i w:val="0"/>
                <w:color w:val="101828"/>
                <w:sz w:val="16"/>
              </w:rPr>
              <w:t xml:space="preserve"> allow-list, to keep mobile payloads small. Defaults return the documented shape</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Date/time</w:t>
            </w:r>
          </w:p>
        </w:tc>
        <w:tc>
          <w:tcPr>
            <w:tcW w:type="dxa" w:w="7632"/>
            <w:tcMar>
              <w:top w:w="60" w:type="dxa"/>
              <w:start w:w="110" w:type="dxa"/>
              <w:bottom w:w="60" w:type="dxa"/>
              <w:end w:w="110" w:type="dxa"/>
            </w:tcMar>
            <w:shd w:val="clear" w:color="auto" w:fill="F4F7FB"/>
          </w:tcPr>
          <w:p>
            <w:pPr>
              <w:spacing w:after="0"/>
            </w:pPr>
            <w:r/>
            <w:r>
              <w:rPr>
                <w:rFonts w:ascii="Calibri" w:hAnsi="Calibri"/>
                <w:b w:val="0"/>
                <w:i w:val="0"/>
                <w:color w:val="101828"/>
                <w:sz w:val="16"/>
              </w:rPr>
              <w:t>RFC 3339 UTC (</w:t>
            </w:r>
            <w:r>
              <w:rPr>
                <w:rFonts w:ascii="Consolas" w:hAnsi="Consolas"/>
                <w:color w:val="146EF5"/>
                <w:sz w:val="16"/>
              </w:rPr>
              <w:t>2026-01-15T14:30:00Z</w:t>
            </w:r>
            <w:r>
              <w:rPr>
                <w:rFonts w:ascii="Calibri" w:hAnsi="Calibri"/>
                <w:b w:val="0"/>
                <w:i w:val="0"/>
                <w:color w:val="101828"/>
                <w:sz w:val="16"/>
              </w:rPr>
              <w:t>). Displayed in Africa/Lagos in the client</w:t>
            </w:r>
          </w:p>
        </w:tc>
      </w:tr>
    </w:tbl>
    <w:p>
      <w:pPr>
        <w:spacing w:after="80"/>
      </w:pPr>
    </w:p>
    <w:p>
      <w:pPr>
        <w:pStyle w:val="Heading3"/>
      </w:pPr>
      <w:r>
        <w:rPr>
          <w:rFonts w:ascii="Calibri" w:hAnsi="Calibri"/>
          <w:b/>
          <w:i w:val="0"/>
          <w:color w:val="0B1F3A"/>
          <w:sz w:val="24"/>
        </w:rPr>
        <w:t>11.1.5 Rate limiting</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Scope</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Limit</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Window</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6"/>
              </w:rPr>
              <w:t>On breach</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Login, OTP, password reset</w:t>
            </w:r>
          </w:p>
        </w:tc>
        <w:tc>
          <w:tcPr>
            <w:tcW w:type="dxa" w:w="1584"/>
            <w:tcMar>
              <w:top w:w="60" w:type="dxa"/>
              <w:start w:w="110" w:type="dxa"/>
              <w:bottom w:w="60" w:type="dxa"/>
              <w:end w:w="110" w:type="dxa"/>
            </w:tcMar>
          </w:tcPr>
          <w:p>
            <w:pPr>
              <w:spacing w:after="0"/>
            </w:pPr>
            <w:r/>
            <w:r>
              <w:rPr>
                <w:rFonts w:ascii="Calibri" w:hAnsi="Calibri"/>
                <w:b w:val="0"/>
                <w:i w:val="0"/>
                <w:color w:val="101828"/>
                <w:sz w:val="16"/>
              </w:rPr>
              <w:t>5</w:t>
            </w:r>
          </w:p>
        </w:tc>
        <w:tc>
          <w:tcPr>
            <w:tcW w:type="dxa" w:w="1584"/>
            <w:tcMar>
              <w:top w:w="60" w:type="dxa"/>
              <w:start w:w="110" w:type="dxa"/>
              <w:bottom w:w="60" w:type="dxa"/>
              <w:end w:w="110" w:type="dxa"/>
            </w:tcMar>
          </w:tcPr>
          <w:p>
            <w:pPr>
              <w:spacing w:after="0"/>
            </w:pPr>
            <w:r/>
            <w:r>
              <w:rPr>
                <w:rFonts w:ascii="Calibri" w:hAnsi="Calibri"/>
                <w:b w:val="0"/>
                <w:i w:val="0"/>
                <w:color w:val="101828"/>
                <w:sz w:val="16"/>
              </w:rPr>
              <w:t>per 15 min per identifier</w:t>
            </w:r>
          </w:p>
        </w:tc>
        <w:tc>
          <w:tcPr>
            <w:tcW w:type="dxa" w:w="3456"/>
            <w:tcMar>
              <w:top w:w="60" w:type="dxa"/>
              <w:start w:w="110" w:type="dxa"/>
              <w:bottom w:w="60" w:type="dxa"/>
              <w:end w:w="110" w:type="dxa"/>
            </w:tcMar>
          </w:tcPr>
          <w:p>
            <w:pPr>
              <w:spacing w:after="0"/>
            </w:pPr>
            <w:r/>
            <w:r>
              <w:rPr>
                <w:rFonts w:ascii="Calibri" w:hAnsi="Calibri"/>
                <w:b w:val="0"/>
                <w:i w:val="0"/>
                <w:color w:val="101828"/>
                <w:sz w:val="16"/>
              </w:rPr>
              <w:t>429 + generic message; never reveal whether the account exists</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Registration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3</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per hour per device + IP</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429</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Payment initiation</w:t>
            </w:r>
          </w:p>
        </w:tc>
        <w:tc>
          <w:tcPr>
            <w:tcW w:type="dxa" w:w="1584"/>
            <w:tcMar>
              <w:top w:w="60" w:type="dxa"/>
              <w:start w:w="110" w:type="dxa"/>
              <w:bottom w:w="60" w:type="dxa"/>
              <w:end w:w="110" w:type="dxa"/>
            </w:tcMar>
          </w:tcPr>
          <w:p>
            <w:pPr>
              <w:spacing w:after="0"/>
            </w:pPr>
            <w:r/>
            <w:r>
              <w:rPr>
                <w:rFonts w:ascii="Calibri" w:hAnsi="Calibri"/>
                <w:b w:val="0"/>
                <w:i w:val="0"/>
                <w:color w:val="101828"/>
                <w:sz w:val="16"/>
              </w:rPr>
              <w:t>10</w:t>
            </w:r>
          </w:p>
        </w:tc>
        <w:tc>
          <w:tcPr>
            <w:tcW w:type="dxa" w:w="1584"/>
            <w:tcMar>
              <w:top w:w="60" w:type="dxa"/>
              <w:start w:w="110" w:type="dxa"/>
              <w:bottom w:w="60" w:type="dxa"/>
              <w:end w:w="110" w:type="dxa"/>
            </w:tcMar>
          </w:tcPr>
          <w:p>
            <w:pPr>
              <w:spacing w:after="0"/>
            </w:pPr>
            <w:r/>
            <w:r>
              <w:rPr>
                <w:rFonts w:ascii="Calibri" w:hAnsi="Calibri"/>
                <w:b w:val="0"/>
                <w:i w:val="0"/>
                <w:color w:val="101828"/>
                <w:sz w:val="16"/>
              </w:rPr>
              <w:t>per hour per member</w:t>
            </w:r>
          </w:p>
        </w:tc>
        <w:tc>
          <w:tcPr>
            <w:tcW w:type="dxa" w:w="3456"/>
            <w:tcMar>
              <w:top w:w="60" w:type="dxa"/>
              <w:start w:w="110" w:type="dxa"/>
              <w:bottom w:w="60" w:type="dxa"/>
              <w:end w:w="110" w:type="dxa"/>
            </w:tcMar>
          </w:tcPr>
          <w:p>
            <w:pPr>
              <w:spacing w:after="0"/>
            </w:pPr>
            <w:r/>
            <w:r>
              <w:rPr>
                <w:rFonts w:ascii="Calibri" w:hAnsi="Calibri"/>
                <w:b w:val="0"/>
                <w:i w:val="0"/>
                <w:color w:val="101828"/>
                <w:sz w:val="16"/>
              </w:rPr>
              <w:t>429 — this also limits fraud blast radius</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General API</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300</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per 15 min per member</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429</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Webhooks</w:t>
            </w:r>
          </w:p>
        </w:tc>
        <w:tc>
          <w:tcPr>
            <w:tcW w:type="dxa" w:w="1584"/>
            <w:tcMar>
              <w:top w:w="60" w:type="dxa"/>
              <w:start w:w="110" w:type="dxa"/>
              <w:bottom w:w="60" w:type="dxa"/>
              <w:end w:w="110" w:type="dxa"/>
            </w:tcMar>
          </w:tcPr>
          <w:p>
            <w:pPr>
              <w:spacing w:after="0"/>
            </w:pPr>
            <w:r/>
            <w:r>
              <w:rPr>
                <w:rFonts w:ascii="Calibri" w:hAnsi="Calibri"/>
                <w:b w:val="0"/>
                <w:i w:val="0"/>
                <w:color w:val="101828"/>
                <w:sz w:val="16"/>
              </w:rPr>
              <w:t>600</w:t>
            </w:r>
          </w:p>
        </w:tc>
        <w:tc>
          <w:tcPr>
            <w:tcW w:type="dxa" w:w="1584"/>
            <w:tcMar>
              <w:top w:w="60" w:type="dxa"/>
              <w:start w:w="110" w:type="dxa"/>
              <w:bottom w:w="60" w:type="dxa"/>
              <w:end w:w="110" w:type="dxa"/>
            </w:tcMar>
          </w:tcPr>
          <w:p>
            <w:pPr>
              <w:spacing w:after="0"/>
            </w:pPr>
            <w:r/>
            <w:r>
              <w:rPr>
                <w:rFonts w:ascii="Calibri" w:hAnsi="Calibri"/>
                <w:b w:val="0"/>
                <w:i w:val="0"/>
                <w:color w:val="101828"/>
                <w:sz w:val="16"/>
              </w:rPr>
              <w:t>per minute per provider IP</w:t>
            </w:r>
          </w:p>
        </w:tc>
        <w:tc>
          <w:tcPr>
            <w:tcW w:type="dxa" w:w="3456"/>
            <w:tcMar>
              <w:top w:w="60" w:type="dxa"/>
              <w:start w:w="110" w:type="dxa"/>
              <w:bottom w:w="60" w:type="dxa"/>
              <w:end w:w="110" w:type="dxa"/>
            </w:tcMar>
          </w:tcPr>
          <w:p>
            <w:pPr>
              <w:spacing w:after="0"/>
            </w:pPr>
            <w:r/>
            <w:r>
              <w:rPr>
                <w:rFonts w:ascii="Calibri" w:hAnsi="Calibri"/>
                <w:b w:val="0"/>
                <w:i w:val="0"/>
                <w:color w:val="101828"/>
                <w:sz w:val="16"/>
              </w:rPr>
              <w:t>429; provider retries</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Read-heavy listing</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600</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per minute</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429</w:t>
            </w:r>
          </w:p>
        </w:tc>
      </w:tr>
    </w:tbl>
    <w:p>
      <w:pPr>
        <w:spacing w:after="80"/>
      </w:pPr>
    </w:p>
    <w:p>
      <w:r>
        <w:rPr>
          <w:rFonts w:ascii="Calibri" w:hAnsi="Calibri"/>
          <w:b w:val="0"/>
          <w:i w:val="0"/>
          <w:color w:val="101828"/>
          <w:sz w:val="21"/>
        </w:rPr>
        <w:t xml:space="preserve">Responses include </w:t>
      </w:r>
      <w:r>
        <w:rPr>
          <w:rFonts w:ascii="Consolas" w:hAnsi="Consolas"/>
          <w:color w:val="146EF5"/>
          <w:sz w:val="21"/>
        </w:rPr>
        <w:t>X-RateLimit-Limit</w:t>
      </w:r>
      <w:r>
        <w:rPr>
          <w:rFonts w:ascii="Calibri" w:hAnsi="Calibri"/>
          <w:b w:val="0"/>
          <w:i w:val="0"/>
          <w:color w:val="101828"/>
          <w:sz w:val="21"/>
        </w:rPr>
        <w:t xml:space="preserve">, </w:t>
      </w:r>
      <w:r>
        <w:rPr>
          <w:rFonts w:ascii="Consolas" w:hAnsi="Consolas"/>
          <w:color w:val="146EF5"/>
          <w:sz w:val="21"/>
        </w:rPr>
        <w:t>X-RateLimit-Remaining</w:t>
      </w:r>
      <w:r>
        <w:rPr>
          <w:rFonts w:ascii="Calibri" w:hAnsi="Calibri"/>
          <w:b w:val="0"/>
          <w:i w:val="0"/>
          <w:color w:val="101828"/>
          <w:sz w:val="21"/>
        </w:rPr>
        <w:t xml:space="preserve">, </w:t>
      </w:r>
      <w:r>
        <w:rPr>
          <w:rFonts w:ascii="Consolas" w:hAnsi="Consolas"/>
          <w:color w:val="146EF5"/>
          <w:sz w:val="21"/>
        </w:rPr>
        <w:t>X-RateLimit-Reset</w:t>
      </w:r>
      <w:r>
        <w:rPr>
          <w:rFonts w:ascii="Calibri" w:hAnsi="Calibri"/>
          <w:b w:val="0"/>
          <w:i w:val="0"/>
          <w:color w:val="101828"/>
          <w:sz w:val="21"/>
        </w:rPr>
        <w:t xml:space="preserve"> and </w:t>
      </w:r>
      <w:r>
        <w:rPr>
          <w:rFonts w:ascii="Consolas" w:hAnsi="Consolas"/>
          <w:color w:val="146EF5"/>
          <w:sz w:val="21"/>
        </w:rPr>
        <w:t>Retry-After</w:t>
      </w:r>
      <w:r>
        <w:rPr>
          <w:rFonts w:ascii="Calibri" w:hAnsi="Calibri"/>
          <w:b w:val="0"/>
          <w:i w:val="0"/>
          <w:color w:val="101828"/>
          <w:sz w:val="21"/>
        </w:rPr>
        <w:t>. Rate limits are per member and per identifier, never per IP alone — a shared NAT in Lagos would otherwise lock out an entire office.</w:t>
      </w:r>
    </w:p>
    <w:p>
      <w:pPr>
        <w:pStyle w:val="Heading3"/>
      </w:pPr>
      <w:r>
        <w:rPr>
          <w:rFonts w:ascii="Calibri" w:hAnsi="Calibri"/>
          <w:b/>
          <w:i w:val="0"/>
          <w:color w:val="0B1F3A"/>
          <w:sz w:val="24"/>
        </w:rPr>
        <w:t>11.1.6 Error format</w:t>
      </w:r>
    </w:p>
    <w:p>
      <w:pPr>
        <w:spacing w:before="0" w:after="0" w:line="240" w:lineRule="auto"/>
        <w:ind w:left="230"/>
        <w:shd w:val="clear" w:color="auto" w:fill="F7F9FC"/>
        <w:pBdr>
          <w:left w:val="single" w:sz="4" w:space="6" w:color="D0D5DD"/>
        </w:pBdr>
      </w:pPr>
      <w:r>
        <w:rPr>
          <w:rFonts w:ascii="Consolas" w:hAnsi="Consolas"/>
          <w:color w:val="0B1F3A"/>
          <w:sz w:val="16"/>
        </w:rPr>
        <w:t>{</w:t>
      </w:r>
    </w:p>
    <w:p>
      <w:pPr>
        <w:spacing w:before="0" w:after="0" w:line="240" w:lineRule="auto"/>
        <w:ind w:left="230"/>
        <w:shd w:val="clear" w:color="auto" w:fill="F7F9FC"/>
        <w:pBdr>
          <w:left w:val="single" w:sz="4" w:space="6" w:color="D0D5DD"/>
        </w:pBdr>
      </w:pPr>
      <w:r>
        <w:rPr>
          <w:rFonts w:ascii="Consolas" w:hAnsi="Consolas"/>
          <w:color w:val="0B1F3A"/>
          <w:sz w:val="16"/>
        </w:rPr>
        <w:t xml:space="preserve">  "error": {</w:t>
      </w:r>
    </w:p>
    <w:p>
      <w:pPr>
        <w:spacing w:before="0" w:after="0" w:line="240" w:lineRule="auto"/>
        <w:ind w:left="230"/>
        <w:shd w:val="clear" w:color="auto" w:fill="F7F9FC"/>
        <w:pBdr>
          <w:left w:val="single" w:sz="4" w:space="6" w:color="D0D5DD"/>
        </w:pBdr>
      </w:pPr>
      <w:r>
        <w:rPr>
          <w:rFonts w:ascii="Consolas" w:hAnsi="Consolas"/>
          <w:color w:val="0B1F3A"/>
          <w:sz w:val="16"/>
        </w:rPr>
        <w:t xml:space="preserve">    "type": "https://ajo.ng/errors/insufficient-funds",</w:t>
      </w:r>
    </w:p>
    <w:p>
      <w:pPr>
        <w:spacing w:before="0" w:after="0" w:line="240" w:lineRule="auto"/>
        <w:ind w:left="230"/>
        <w:shd w:val="clear" w:color="auto" w:fill="F7F9FC"/>
        <w:pBdr>
          <w:left w:val="single" w:sz="4" w:space="6" w:color="D0D5DD"/>
        </w:pBdr>
      </w:pPr>
      <w:r>
        <w:rPr>
          <w:rFonts w:ascii="Consolas" w:hAnsi="Consolas"/>
          <w:color w:val="0B1F3A"/>
          <w:sz w:val="16"/>
        </w:rPr>
        <w:t xml:space="preserve">    "title": "Insufficient funds",</w:t>
      </w:r>
    </w:p>
    <w:p>
      <w:pPr>
        <w:spacing w:before="0" w:after="0" w:line="240" w:lineRule="auto"/>
        <w:ind w:left="230"/>
        <w:shd w:val="clear" w:color="auto" w:fill="F7F9FC"/>
        <w:pBdr>
          <w:left w:val="single" w:sz="4" w:space="6" w:color="D0D5DD"/>
        </w:pBdr>
      </w:pPr>
      <w:r>
        <w:rPr>
          <w:rFonts w:ascii="Consolas" w:hAnsi="Consolas"/>
          <w:color w:val="0B1F3A"/>
          <w:sz w:val="16"/>
        </w:rPr>
        <w:t xml:space="preserve">    "status": 402,</w:t>
      </w:r>
    </w:p>
    <w:p>
      <w:pPr>
        <w:spacing w:before="0" w:after="0" w:line="240" w:lineRule="auto"/>
        <w:ind w:left="230"/>
        <w:shd w:val="clear" w:color="auto" w:fill="F7F9FC"/>
        <w:pBdr>
          <w:left w:val="single" w:sz="4" w:space="6" w:color="D0D5DD"/>
        </w:pBdr>
      </w:pPr>
      <w:r>
        <w:rPr>
          <w:rFonts w:ascii="Consolas" w:hAnsi="Consolas"/>
          <w:color w:val="0B1F3A"/>
          <w:sz w:val="16"/>
        </w:rPr>
        <w:t xml:space="preserve">    "code": "PAYMENT_INSUFFICIENT_FUNDS",</w:t>
      </w:r>
    </w:p>
    <w:p>
      <w:pPr>
        <w:spacing w:before="0" w:after="0" w:line="240" w:lineRule="auto"/>
        <w:ind w:left="230"/>
        <w:shd w:val="clear" w:color="auto" w:fill="F7F9FC"/>
        <w:pBdr>
          <w:left w:val="single" w:sz="4" w:space="6" w:color="D0D5DD"/>
        </w:pBdr>
      </w:pPr>
      <w:r>
        <w:rPr>
          <w:rFonts w:ascii="Consolas" w:hAnsi="Consolas"/>
          <w:color w:val="0B1F3A"/>
          <w:sz w:val="16"/>
        </w:rPr>
        <w:t xml:space="preserve">    "detail": "Your bank declined the payment of NGN 1,020.00.",</w:t>
      </w:r>
    </w:p>
    <w:p>
      <w:pPr>
        <w:spacing w:before="0" w:after="0" w:line="240" w:lineRule="auto"/>
        <w:ind w:left="230"/>
        <w:shd w:val="clear" w:color="auto" w:fill="F7F9FC"/>
        <w:pBdr>
          <w:left w:val="single" w:sz="4" w:space="6" w:color="D0D5DD"/>
        </w:pBdr>
      </w:pPr>
      <w:r>
        <w:rPr>
          <w:rFonts w:ascii="Consolas" w:hAnsi="Consolas"/>
          <w:color w:val="0B1F3A"/>
          <w:sz w:val="16"/>
        </w:rPr>
        <w:t xml:space="preserve">    "instance": "/api/v1/contributions/cnt_9f2a/pay",</w:t>
      </w:r>
    </w:p>
    <w:p>
      <w:pPr>
        <w:spacing w:before="0" w:after="0" w:line="240" w:lineRule="auto"/>
        <w:ind w:left="230"/>
        <w:shd w:val="clear" w:color="auto" w:fill="F7F9FC"/>
        <w:pBdr>
          <w:left w:val="single" w:sz="4" w:space="6" w:color="D0D5DD"/>
        </w:pBdr>
      </w:pPr>
      <w:r>
        <w:rPr>
          <w:rFonts w:ascii="Consolas" w:hAnsi="Consolas"/>
          <w:color w:val="0B1F3A"/>
          <w:sz w:val="16"/>
        </w:rPr>
        <w:t xml:space="preserve">    "requestId": "req_01HQ8Z4K2M9X",</w:t>
      </w:r>
    </w:p>
    <w:p>
      <w:pPr>
        <w:spacing w:before="0" w:after="0" w:line="240" w:lineRule="auto"/>
        <w:ind w:left="230"/>
        <w:shd w:val="clear" w:color="auto" w:fill="F7F9FC"/>
        <w:pBdr>
          <w:left w:val="single" w:sz="4" w:space="6" w:color="D0D5DD"/>
        </w:pBdr>
      </w:pPr>
      <w:r>
        <w:rPr>
          <w:rFonts w:ascii="Consolas" w:hAnsi="Consolas"/>
          <w:color w:val="0B1F3A"/>
          <w:sz w:val="16"/>
        </w:rPr>
        <w:t xml:space="preserve">    "timestamp": "2026-01-15T14:30:00Z",</w:t>
      </w:r>
    </w:p>
    <w:p>
      <w:pPr>
        <w:spacing w:before="0" w:after="0" w:line="240" w:lineRule="auto"/>
        <w:ind w:left="230"/>
        <w:shd w:val="clear" w:color="auto" w:fill="F7F9FC"/>
        <w:pBdr>
          <w:left w:val="single" w:sz="4" w:space="6" w:color="D0D5DD"/>
        </w:pBdr>
      </w:pPr>
      <w:r>
        <w:rPr>
          <w:rFonts w:ascii="Consolas" w:hAnsi="Consolas"/>
          <w:color w:val="0B1F3A"/>
          <w:sz w:val="16"/>
        </w:rPr>
        <w:t xml:space="preserve">    "fieldErrors":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"field": "amountKobo", "code": "OUT_OF_RANGE",</w:t>
      </w:r>
    </w:p>
    <w:p>
      <w:pPr>
        <w:spacing w:before="0" w:after="0" w:line="240" w:lineRule="auto"/>
        <w:ind w:left="230"/>
        <w:shd w:val="clear" w:color="auto" w:fill="F7F9FC"/>
        <w:pBdr>
          <w:left w:val="single" w:sz="4" w:space="6" w:color="D0D5DD"/>
        </w:pBdr>
      </w:pPr>
      <w:r>
        <w:rPr>
          <w:rFonts w:ascii="Consolas" w:hAnsi="Consolas"/>
          <w:color w:val="0B1F3A"/>
          <w:sz w:val="16"/>
        </w:rPr>
        <w:t xml:space="preserve">        "message": "Must be greater than 0" }</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w:t>
      </w:r>
    </w:p>
    <w:p>
      <w:r>
        <w:rPr>
          <w:rFonts w:ascii="Calibri" w:hAnsi="Calibri"/>
          <w:b w:val="0"/>
          <w:i w:val="0"/>
          <w:color w:val="101828"/>
          <w:sz w:val="21"/>
        </w:rPr>
        <w:t xml:space="preserve">The shape is modelled on RFC 7807 problem details with an added </w:t>
      </w:r>
      <w:r>
        <w:rPr>
          <w:rFonts w:ascii="Consolas" w:hAnsi="Consolas"/>
          <w:color w:val="146EF5"/>
          <w:sz w:val="21"/>
        </w:rPr>
        <w:t>code</w:t>
      </w:r>
      <w:r>
        <w:rPr>
          <w:rFonts w:ascii="Calibri" w:hAnsi="Calibri"/>
          <w:b w:val="0"/>
          <w:i w:val="0"/>
          <w:color w:val="101828"/>
          <w:sz w:val="21"/>
        </w:rPr>
        <w:t xml:space="preserve"> for programmatic handling and </w:t>
      </w:r>
      <w:r>
        <w:rPr>
          <w:rFonts w:ascii="Consolas" w:hAnsi="Consolas"/>
          <w:color w:val="146EF5"/>
          <w:sz w:val="21"/>
        </w:rPr>
        <w:t>requestId</w:t>
      </w:r>
      <w:r>
        <w:rPr>
          <w:rFonts w:ascii="Calibri" w:hAnsi="Calibri"/>
          <w:b w:val="0"/>
          <w:i w:val="0"/>
          <w:color w:val="101828"/>
          <w:sz w:val="21"/>
        </w:rPr>
        <w:t xml:space="preserve"> for support. </w:t>
      </w:r>
      <w:r>
        <w:rPr>
          <w:rFonts w:ascii="Consolas" w:hAnsi="Consolas"/>
          <w:color w:val="146EF5"/>
          <w:sz w:val="21"/>
        </w:rPr>
        <w:t>fieldErrors</w:t>
      </w:r>
      <w:r>
        <w:rPr>
          <w:rFonts w:ascii="Calibri" w:hAnsi="Calibri"/>
          <w:b w:val="0"/>
          <w:i w:val="0"/>
          <w:color w:val="101828"/>
          <w:sz w:val="21"/>
        </w:rPr>
        <w:t xml:space="preserve"> appears only on </w:t>
      </w:r>
      <w:r>
        <w:rPr>
          <w:rFonts w:ascii="Consolas" w:hAnsi="Consolas"/>
          <w:color w:val="146EF5"/>
          <w:sz w:val="21"/>
        </w:rPr>
        <w:t>422</w:t>
      </w:r>
      <w:r>
        <w:rPr>
          <w:rFonts w:ascii="Calibri" w:hAnsi="Calibri"/>
          <w:b w:val="0"/>
          <w:i w:val="0"/>
          <w:color w:val="101828"/>
          <w:sz w:val="21"/>
        </w:rPr>
        <w:t xml:space="preserve"> validation failures. </w:t>
      </w:r>
      <w:r>
        <w:rPr>
          <w:rFonts w:ascii="Calibri" w:hAnsi="Calibri"/>
          <w:b/>
          <w:color w:val="101828"/>
          <w:sz w:val="21"/>
        </w:rPr>
        <w:t>Never leak internal detail</w:t>
      </w:r>
      <w:r>
        <w:rPr>
          <w:rFonts w:ascii="Calibri" w:hAnsi="Calibri"/>
          <w:b w:val="0"/>
          <w:i w:val="0"/>
          <w:color w:val="101828"/>
          <w:sz w:val="21"/>
        </w:rPr>
        <w:t xml:space="preserve"> — a database error returns a generic </w:t>
      </w:r>
      <w:r>
        <w:rPr>
          <w:rFonts w:ascii="Consolas" w:hAnsi="Consolas"/>
          <w:color w:val="146EF5"/>
          <w:sz w:val="21"/>
        </w:rPr>
        <w:t>500</w:t>
      </w:r>
      <w:r>
        <w:rPr>
          <w:rFonts w:ascii="Calibri" w:hAnsi="Calibri"/>
          <w:b w:val="0"/>
          <w:i w:val="0"/>
          <w:color w:val="101828"/>
          <w:sz w:val="21"/>
        </w:rPr>
        <w:t xml:space="preserve"> with the </w:t>
      </w:r>
      <w:r>
        <w:rPr>
          <w:rFonts w:ascii="Consolas" w:hAnsi="Consolas"/>
          <w:color w:val="146EF5"/>
          <w:sz w:val="21"/>
        </w:rPr>
        <w:t>requestId</w:t>
      </w:r>
      <w:r>
        <w:rPr>
          <w:rFonts w:ascii="Calibri" w:hAnsi="Calibri"/>
          <w:b w:val="0"/>
          <w:i w:val="0"/>
          <w:color w:val="101828"/>
          <w:sz w:val="21"/>
        </w:rPr>
        <w:t>; the detail goes to the log, not to the member.</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864"/>
            <w:shd w:val="clear" w:color="auto" w:fill="0B1F3A"/>
            <w:tcMar>
              <w:top w:w="60" w:type="dxa"/>
              <w:start w:w="110" w:type="dxa"/>
              <w:bottom w:w="60" w:type="dxa"/>
              <w:end w:w="110" w:type="dxa"/>
            </w:tcMar>
          </w:tcPr>
          <w:p>
            <w:pPr>
              <w:spacing w:after="0"/>
            </w:pPr>
            <w:r/>
            <w:r>
              <w:rPr>
                <w:rFonts w:ascii="Calibri" w:hAnsi="Calibri"/>
                <w:b/>
                <w:i w:val="0"/>
                <w:color w:val="FFFFFF"/>
                <w:sz w:val="16"/>
              </w:rPr>
              <w:t>Status</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Meaning</w:t>
            </w:r>
          </w:p>
        </w:tc>
        <w:tc>
          <w:tcPr>
            <w:tcW w:type="dxa" w:w="5760"/>
            <w:shd w:val="clear" w:color="auto" w:fill="0B1F3A"/>
            <w:tcMar>
              <w:top w:w="60" w:type="dxa"/>
              <w:start w:w="110" w:type="dxa"/>
              <w:bottom w:w="60" w:type="dxa"/>
              <w:end w:w="110" w:type="dxa"/>
            </w:tcMar>
          </w:tcPr>
          <w:p>
            <w:pPr>
              <w:spacing w:after="0"/>
            </w:pPr>
            <w:r/>
            <w:r>
              <w:rPr>
                <w:rFonts w:ascii="Calibri" w:hAnsi="Calibri"/>
                <w:b/>
                <w:i w:val="0"/>
                <w:color w:val="FFFFFF"/>
                <w:sz w:val="16"/>
              </w:rPr>
              <w:t>When used</w:t>
            </w:r>
          </w:p>
        </w:tc>
      </w:tr>
      <w:tr>
        <w:trPr>
          <w:cantSplit/>
        </w:trPr>
        <w:tc>
          <w:tcPr>
            <w:tcW w:type="dxa" w:w="864"/>
            <w:tcMar>
              <w:top w:w="60" w:type="dxa"/>
              <w:start w:w="110" w:type="dxa"/>
              <w:bottom w:w="60" w:type="dxa"/>
              <w:end w:w="110" w:type="dxa"/>
            </w:tcMar>
          </w:tcPr>
          <w:p>
            <w:pPr>
              <w:spacing w:after="0"/>
            </w:pPr>
            <w:r/>
            <w:r>
              <w:rPr>
                <w:rFonts w:ascii="Calibri" w:hAnsi="Calibri"/>
                <w:b w:val="0"/>
                <w:i w:val="0"/>
                <w:color w:val="101828"/>
                <w:sz w:val="16"/>
              </w:rPr>
              <w:t>400</w:t>
            </w:r>
          </w:p>
        </w:tc>
        <w:tc>
          <w:tcPr>
            <w:tcW w:type="dxa" w:w="2736"/>
            <w:tcMar>
              <w:top w:w="60" w:type="dxa"/>
              <w:start w:w="110" w:type="dxa"/>
              <w:bottom w:w="60" w:type="dxa"/>
              <w:end w:w="110" w:type="dxa"/>
            </w:tcMar>
          </w:tcPr>
          <w:p>
            <w:pPr>
              <w:spacing w:after="0"/>
            </w:pPr>
            <w:r/>
            <w:r>
              <w:rPr>
                <w:rFonts w:ascii="Calibri" w:hAnsi="Calibri"/>
                <w:b w:val="0"/>
                <w:i w:val="0"/>
                <w:color w:val="101828"/>
                <w:sz w:val="16"/>
              </w:rPr>
              <w:t>Bad request</w:t>
            </w:r>
          </w:p>
        </w:tc>
        <w:tc>
          <w:tcPr>
            <w:tcW w:type="dxa" w:w="5760"/>
            <w:tcMar>
              <w:top w:w="60" w:type="dxa"/>
              <w:start w:w="110" w:type="dxa"/>
              <w:bottom w:w="60" w:type="dxa"/>
              <w:end w:w="110" w:type="dxa"/>
            </w:tcMar>
          </w:tcPr>
          <w:p>
            <w:pPr>
              <w:spacing w:after="0"/>
            </w:pPr>
            <w:r/>
            <w:r>
              <w:rPr>
                <w:rFonts w:ascii="Calibri" w:hAnsi="Calibri"/>
                <w:b w:val="0"/>
                <w:i w:val="0"/>
                <w:color w:val="101828"/>
                <w:sz w:val="16"/>
              </w:rPr>
              <w:t>Missing Idempotency-Key, malformed parameter</w:t>
            </w:r>
          </w:p>
        </w:tc>
      </w:tr>
      <w:tr>
        <w:trPr>
          <w:cantSplit/>
        </w:trPr>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6"/>
              </w:rPr>
              <w:t>401</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Unauthenticated</w:t>
            </w:r>
          </w:p>
        </w:tc>
        <w:tc>
          <w:tcPr>
            <w:tcW w:type="dxa" w:w="5760"/>
            <w:tcMar>
              <w:top w:w="60" w:type="dxa"/>
              <w:start w:w="110" w:type="dxa"/>
              <w:bottom w:w="60" w:type="dxa"/>
              <w:end w:w="110" w:type="dxa"/>
            </w:tcMar>
            <w:shd w:val="clear" w:color="auto" w:fill="F4F7FB"/>
          </w:tcPr>
          <w:p>
            <w:pPr>
              <w:spacing w:after="0"/>
            </w:pPr>
            <w:r/>
            <w:r>
              <w:rPr>
                <w:rFonts w:ascii="Calibri" w:hAnsi="Calibri"/>
                <w:b w:val="0"/>
                <w:i w:val="0"/>
                <w:color w:val="101828"/>
                <w:sz w:val="16"/>
              </w:rPr>
              <w:t>Absent, expired or invalid token</w:t>
            </w:r>
          </w:p>
        </w:tc>
      </w:tr>
      <w:tr>
        <w:trPr>
          <w:cantSplit/>
        </w:trPr>
        <w:tc>
          <w:tcPr>
            <w:tcW w:type="dxa" w:w="864"/>
            <w:tcMar>
              <w:top w:w="60" w:type="dxa"/>
              <w:start w:w="110" w:type="dxa"/>
              <w:bottom w:w="60" w:type="dxa"/>
              <w:end w:w="110" w:type="dxa"/>
            </w:tcMar>
          </w:tcPr>
          <w:p>
            <w:pPr>
              <w:spacing w:after="0"/>
            </w:pPr>
            <w:r/>
            <w:r>
              <w:rPr>
                <w:rFonts w:ascii="Calibri" w:hAnsi="Calibri"/>
                <w:b w:val="0"/>
                <w:i w:val="0"/>
                <w:color w:val="101828"/>
                <w:sz w:val="16"/>
              </w:rPr>
              <w:t>403</w:t>
            </w:r>
          </w:p>
        </w:tc>
        <w:tc>
          <w:tcPr>
            <w:tcW w:type="dxa" w:w="2736"/>
            <w:tcMar>
              <w:top w:w="60" w:type="dxa"/>
              <w:start w:w="110" w:type="dxa"/>
              <w:bottom w:w="60" w:type="dxa"/>
              <w:end w:w="110" w:type="dxa"/>
            </w:tcMar>
          </w:tcPr>
          <w:p>
            <w:pPr>
              <w:spacing w:after="0"/>
            </w:pPr>
            <w:r/>
            <w:r>
              <w:rPr>
                <w:rFonts w:ascii="Calibri" w:hAnsi="Calibri"/>
                <w:b w:val="0"/>
                <w:i w:val="0"/>
                <w:color w:val="101828"/>
                <w:sz w:val="16"/>
              </w:rPr>
              <w:t>Forbidden</w:t>
            </w:r>
          </w:p>
        </w:tc>
        <w:tc>
          <w:tcPr>
            <w:tcW w:type="dxa" w:w="5760"/>
            <w:tcMar>
              <w:top w:w="60" w:type="dxa"/>
              <w:start w:w="110" w:type="dxa"/>
              <w:bottom w:w="60" w:type="dxa"/>
              <w:end w:w="110" w:type="dxa"/>
            </w:tcMar>
          </w:tcPr>
          <w:p>
            <w:pPr>
              <w:spacing w:after="0"/>
            </w:pPr>
            <w:r/>
            <w:r>
              <w:rPr>
                <w:rFonts w:ascii="Calibri" w:hAnsi="Calibri"/>
                <w:b w:val="0"/>
                <w:i w:val="0"/>
                <w:color w:val="101828"/>
                <w:sz w:val="16"/>
              </w:rPr>
              <w:t>Authenticated but not permitted — not a member of this Ajo, wrong role</w:t>
            </w:r>
          </w:p>
        </w:tc>
      </w:tr>
      <w:tr>
        <w:trPr>
          <w:cantSplit/>
        </w:trPr>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6"/>
              </w:rPr>
              <w:t>404</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Not found</w:t>
            </w:r>
          </w:p>
        </w:tc>
        <w:tc>
          <w:tcPr>
            <w:tcW w:type="dxa" w:w="5760"/>
            <w:tcMar>
              <w:top w:w="60" w:type="dxa"/>
              <w:start w:w="110" w:type="dxa"/>
              <w:bottom w:w="60" w:type="dxa"/>
              <w:end w:w="110" w:type="dxa"/>
            </w:tcMar>
            <w:shd w:val="clear" w:color="auto" w:fill="F4F7FB"/>
          </w:tcPr>
          <w:p>
            <w:pPr>
              <w:spacing w:after="0"/>
            </w:pPr>
            <w:r/>
            <w:r>
              <w:rPr>
                <w:rFonts w:ascii="Calibri" w:hAnsi="Calibri"/>
                <w:b w:val="0"/>
                <w:i w:val="0"/>
                <w:color w:val="101828"/>
                <w:sz w:val="16"/>
              </w:rPr>
              <w:t>Also returned for resources the caller may not see, so existence is not leaked</w:t>
            </w:r>
          </w:p>
        </w:tc>
      </w:tr>
      <w:tr>
        <w:trPr>
          <w:cantSplit/>
        </w:trPr>
        <w:tc>
          <w:tcPr>
            <w:tcW w:type="dxa" w:w="864"/>
            <w:tcMar>
              <w:top w:w="60" w:type="dxa"/>
              <w:start w:w="110" w:type="dxa"/>
              <w:bottom w:w="60" w:type="dxa"/>
              <w:end w:w="110" w:type="dxa"/>
            </w:tcMar>
          </w:tcPr>
          <w:p>
            <w:pPr>
              <w:spacing w:after="0"/>
            </w:pPr>
            <w:r/>
            <w:r>
              <w:rPr>
                <w:rFonts w:ascii="Calibri" w:hAnsi="Calibri"/>
                <w:b w:val="0"/>
                <w:i w:val="0"/>
                <w:color w:val="101828"/>
                <w:sz w:val="16"/>
              </w:rPr>
              <w:t>409</w:t>
            </w:r>
          </w:p>
        </w:tc>
        <w:tc>
          <w:tcPr>
            <w:tcW w:type="dxa" w:w="2736"/>
            <w:tcMar>
              <w:top w:w="60" w:type="dxa"/>
              <w:start w:w="110" w:type="dxa"/>
              <w:bottom w:w="60" w:type="dxa"/>
              <w:end w:w="110" w:type="dxa"/>
            </w:tcMar>
          </w:tcPr>
          <w:p>
            <w:pPr>
              <w:spacing w:after="0"/>
            </w:pPr>
            <w:r/>
            <w:r>
              <w:rPr>
                <w:rFonts w:ascii="Calibri" w:hAnsi="Calibri"/>
                <w:b w:val="0"/>
                <w:i w:val="0"/>
                <w:color w:val="101828"/>
                <w:sz w:val="16"/>
              </w:rPr>
              <w:t>Conflict</w:t>
            </w:r>
          </w:p>
        </w:tc>
        <w:tc>
          <w:tcPr>
            <w:tcW w:type="dxa" w:w="5760"/>
            <w:tcMar>
              <w:top w:w="60" w:type="dxa"/>
              <w:start w:w="110" w:type="dxa"/>
              <w:bottom w:w="60" w:type="dxa"/>
              <w:end w:w="110" w:type="dxa"/>
            </w:tcMar>
          </w:tcPr>
          <w:p>
            <w:pPr>
              <w:spacing w:after="0"/>
            </w:pPr>
            <w:r/>
            <w:r>
              <w:rPr>
                <w:rFonts w:ascii="Calibri" w:hAnsi="Calibri"/>
                <w:b w:val="0"/>
                <w:i w:val="0"/>
                <w:color w:val="101828"/>
                <w:sz w:val="16"/>
              </w:rPr>
              <w:t>Idempotency key reused with a different body; duplicate email; position already taken</w:t>
            </w:r>
          </w:p>
        </w:tc>
      </w:tr>
      <w:tr>
        <w:trPr>
          <w:cantSplit/>
        </w:trPr>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6"/>
              </w:rPr>
              <w:t>422</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Unprocessable</w:t>
            </w:r>
          </w:p>
        </w:tc>
        <w:tc>
          <w:tcPr>
            <w:tcW w:type="dxa" w:w="5760"/>
            <w:tcMar>
              <w:top w:w="60" w:type="dxa"/>
              <w:start w:w="110" w:type="dxa"/>
              <w:bottom w:w="60" w:type="dxa"/>
              <w:end w:w="110" w:type="dxa"/>
            </w:tcMar>
            <w:shd w:val="clear" w:color="auto" w:fill="F4F7FB"/>
          </w:tcPr>
          <w:p>
            <w:pPr>
              <w:spacing w:after="0"/>
            </w:pPr>
            <w:r/>
            <w:r>
              <w:rPr>
                <w:rFonts w:ascii="Calibri" w:hAnsi="Calibri"/>
                <w:b w:val="0"/>
                <w:i w:val="0"/>
                <w:color w:val="101828"/>
                <w:sz w:val="16"/>
              </w:rPr>
              <w:t>Field validation failed; a business rule rejected a well-formed request</w:t>
            </w:r>
          </w:p>
        </w:tc>
      </w:tr>
      <w:tr>
        <w:trPr>
          <w:cantSplit/>
        </w:trPr>
        <w:tc>
          <w:tcPr>
            <w:tcW w:type="dxa" w:w="864"/>
            <w:tcMar>
              <w:top w:w="60" w:type="dxa"/>
              <w:start w:w="110" w:type="dxa"/>
              <w:bottom w:w="60" w:type="dxa"/>
              <w:end w:w="110" w:type="dxa"/>
            </w:tcMar>
          </w:tcPr>
          <w:p>
            <w:pPr>
              <w:spacing w:after="0"/>
            </w:pPr>
            <w:r/>
            <w:r>
              <w:rPr>
                <w:rFonts w:ascii="Calibri" w:hAnsi="Calibri"/>
                <w:b w:val="0"/>
                <w:i w:val="0"/>
                <w:color w:val="101828"/>
                <w:sz w:val="16"/>
              </w:rPr>
              <w:t>402</w:t>
            </w:r>
          </w:p>
        </w:tc>
        <w:tc>
          <w:tcPr>
            <w:tcW w:type="dxa" w:w="2736"/>
            <w:tcMar>
              <w:top w:w="60" w:type="dxa"/>
              <w:start w:w="110" w:type="dxa"/>
              <w:bottom w:w="60" w:type="dxa"/>
              <w:end w:w="110" w:type="dxa"/>
            </w:tcMar>
          </w:tcPr>
          <w:p>
            <w:pPr>
              <w:spacing w:after="0"/>
            </w:pPr>
            <w:r/>
            <w:r>
              <w:rPr>
                <w:rFonts w:ascii="Calibri" w:hAnsi="Calibri"/>
                <w:b w:val="0"/>
                <w:i w:val="0"/>
                <w:color w:val="101828"/>
                <w:sz w:val="16"/>
              </w:rPr>
              <w:t>Payment required</w:t>
            </w:r>
          </w:p>
        </w:tc>
        <w:tc>
          <w:tcPr>
            <w:tcW w:type="dxa" w:w="5760"/>
            <w:tcMar>
              <w:top w:w="60" w:type="dxa"/>
              <w:start w:w="110" w:type="dxa"/>
              <w:bottom w:w="60" w:type="dxa"/>
              <w:end w:w="110" w:type="dxa"/>
            </w:tcMar>
          </w:tcPr>
          <w:p>
            <w:pPr>
              <w:spacing w:after="0"/>
            </w:pPr>
            <w:r/>
            <w:r>
              <w:rPr>
                <w:rFonts w:ascii="Calibri" w:hAnsi="Calibri"/>
                <w:b w:val="0"/>
                <w:i w:val="0"/>
                <w:color w:val="101828"/>
                <w:sz w:val="16"/>
              </w:rPr>
              <w:t>Insufficient funds, declined, payment required before the next step</w:t>
            </w:r>
          </w:p>
        </w:tc>
      </w:tr>
      <w:tr>
        <w:trPr>
          <w:cantSplit/>
        </w:trPr>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6"/>
              </w:rPr>
              <w:t>429</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Rate limited</w:t>
            </w:r>
          </w:p>
        </w:tc>
        <w:tc>
          <w:tcPr>
            <w:tcW w:type="dxa" w:w="5760"/>
            <w:tcMar>
              <w:top w:w="60" w:type="dxa"/>
              <w:start w:w="110" w:type="dxa"/>
              <w:bottom w:w="60" w:type="dxa"/>
              <w:end w:w="110" w:type="dxa"/>
            </w:tcMar>
            <w:shd w:val="clear" w:color="auto" w:fill="F4F7FB"/>
          </w:tcPr>
          <w:p>
            <w:pPr>
              <w:spacing w:after="0"/>
            </w:pPr>
            <w:r/>
            <w:r>
              <w:rPr>
                <w:rFonts w:ascii="Calibri" w:hAnsi="Calibri"/>
                <w:b w:val="0"/>
                <w:i w:val="0"/>
                <w:color w:val="101828"/>
                <w:sz w:val="16"/>
              </w:rPr>
              <w:t>Retry-After supplied</w:t>
            </w:r>
          </w:p>
        </w:tc>
      </w:tr>
      <w:tr>
        <w:trPr>
          <w:cantSplit/>
        </w:trPr>
        <w:tc>
          <w:tcPr>
            <w:tcW w:type="dxa" w:w="864"/>
            <w:tcMar>
              <w:top w:w="60" w:type="dxa"/>
              <w:start w:w="110" w:type="dxa"/>
              <w:bottom w:w="60" w:type="dxa"/>
              <w:end w:w="110" w:type="dxa"/>
            </w:tcMar>
          </w:tcPr>
          <w:p>
            <w:pPr>
              <w:spacing w:after="0"/>
            </w:pPr>
            <w:r/>
            <w:r>
              <w:rPr>
                <w:rFonts w:ascii="Calibri" w:hAnsi="Calibri"/>
                <w:b w:val="0"/>
                <w:i w:val="0"/>
                <w:color w:val="101828"/>
                <w:sz w:val="16"/>
              </w:rPr>
              <w:t>500</w:t>
            </w:r>
          </w:p>
        </w:tc>
        <w:tc>
          <w:tcPr>
            <w:tcW w:type="dxa" w:w="2736"/>
            <w:tcMar>
              <w:top w:w="60" w:type="dxa"/>
              <w:start w:w="110" w:type="dxa"/>
              <w:bottom w:w="60" w:type="dxa"/>
              <w:end w:w="110" w:type="dxa"/>
            </w:tcMar>
          </w:tcPr>
          <w:p>
            <w:pPr>
              <w:spacing w:after="0"/>
            </w:pPr>
            <w:r/>
            <w:r>
              <w:rPr>
                <w:rFonts w:ascii="Calibri" w:hAnsi="Calibri"/>
                <w:b w:val="0"/>
                <w:i w:val="0"/>
                <w:color w:val="101828"/>
                <w:sz w:val="16"/>
              </w:rPr>
              <w:t>Server error</w:t>
            </w:r>
          </w:p>
        </w:tc>
        <w:tc>
          <w:tcPr>
            <w:tcW w:type="dxa" w:w="5760"/>
            <w:tcMar>
              <w:top w:w="60" w:type="dxa"/>
              <w:start w:w="110" w:type="dxa"/>
              <w:bottom w:w="60" w:type="dxa"/>
              <w:end w:w="110" w:type="dxa"/>
            </w:tcMar>
          </w:tcPr>
          <w:p>
            <w:pPr>
              <w:spacing w:after="0"/>
            </w:pPr>
            <w:r/>
            <w:r>
              <w:rPr>
                <w:rFonts w:ascii="Calibri" w:hAnsi="Calibri"/>
                <w:b w:val="0"/>
                <w:i w:val="0"/>
                <w:color w:val="101828"/>
                <w:sz w:val="16"/>
              </w:rPr>
              <w:t>Unexpected. Always carries a requestId</w:t>
            </w:r>
          </w:p>
        </w:tc>
      </w:tr>
      <w:tr>
        <w:trPr>
          <w:cantSplit/>
        </w:trPr>
        <w:tc>
          <w:tcPr>
            <w:tcW w:type="dxa" w:w="864"/>
            <w:tcMar>
              <w:top w:w="60" w:type="dxa"/>
              <w:start w:w="110" w:type="dxa"/>
              <w:bottom w:w="60" w:type="dxa"/>
              <w:end w:w="110" w:type="dxa"/>
            </w:tcMar>
            <w:shd w:val="clear" w:color="auto" w:fill="F4F7FB"/>
          </w:tcPr>
          <w:p>
            <w:pPr>
              <w:spacing w:after="0"/>
            </w:pPr>
            <w:r/>
            <w:r>
              <w:rPr>
                <w:rFonts w:ascii="Calibri" w:hAnsi="Calibri"/>
                <w:b w:val="0"/>
                <w:i w:val="0"/>
                <w:color w:val="101828"/>
                <w:sz w:val="16"/>
              </w:rPr>
              <w:t>503</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Unavailable</w:t>
            </w:r>
          </w:p>
        </w:tc>
        <w:tc>
          <w:tcPr>
            <w:tcW w:type="dxa" w:w="5760"/>
            <w:tcMar>
              <w:top w:w="60" w:type="dxa"/>
              <w:start w:w="110" w:type="dxa"/>
              <w:bottom w:w="60" w:type="dxa"/>
              <w:end w:w="110" w:type="dxa"/>
            </w:tcMar>
            <w:shd w:val="clear" w:color="auto" w:fill="F4F7FB"/>
          </w:tcPr>
          <w:p>
            <w:pPr>
              <w:spacing w:after="0"/>
            </w:pPr>
            <w:r/>
            <w:r>
              <w:rPr>
                <w:rFonts w:ascii="Calibri" w:hAnsi="Calibri"/>
                <w:b w:val="0"/>
                <w:i w:val="0"/>
                <w:color w:val="101828"/>
                <w:sz w:val="16"/>
              </w:rPr>
              <w:t>Provider or database unavailable. Retryable — members see a clear 'try again shortly'</w:t>
            </w:r>
          </w:p>
        </w:tc>
      </w:tr>
    </w:tbl>
    <w:p>
      <w:pPr>
        <w:spacing w:after="80"/>
      </w:pPr>
    </w:p>
    <w:p>
      <w:pPr>
        <w:pStyle w:val="Heading2"/>
      </w:pPr>
      <w:r>
        <w:rPr>
          <w:rFonts w:ascii="Calibri" w:hAnsi="Calibri"/>
          <w:b/>
          <w:i w:val="0"/>
          <w:color w:val="146EF5"/>
          <w:sz w:val="29"/>
        </w:rPr>
        <w:t>11.2 Authentication endpoints</w:t>
      </w:r>
    </w:p>
    <w:p>
      <w:pPr>
        <w:pStyle w:val="Heading3"/>
      </w:pPr>
      <w:r>
        <w:rPr>
          <w:rFonts w:ascii="Calibri" w:hAnsi="Calibri"/>
          <w:b/>
          <w:i w:val="0"/>
          <w:color w:val="0B1F3A"/>
          <w:sz w:val="24"/>
        </w:rPr>
        <w:t>POST /api/v1/auth/register</w:t>
      </w:r>
    </w:p>
    <w:p>
      <w:pPr>
        <w:spacing w:after="40"/>
        <w:ind w:left="173"/>
      </w:pPr>
      <w:r>
        <w:rPr>
          <w:rFonts w:ascii="Calibri" w:hAnsi="Calibri"/>
          <w:b/>
          <w:color w:val="0B1F3A"/>
          <w:sz w:val="21"/>
        </w:rPr>
        <w:t xml:space="preserve">Purpose  </w:t>
      </w:r>
      <w:r>
        <w:rPr>
          <w:rFonts w:ascii="Calibri" w:hAnsi="Calibri"/>
          <w:b w:val="0"/>
          <w:i w:val="0"/>
          <w:color w:val="101828"/>
          <w:sz w:val="21"/>
        </w:rPr>
        <w:t>Create an account and send email verification.</w:t>
      </w:r>
    </w:p>
    <w:p>
      <w:pPr>
        <w:spacing w:after="40"/>
        <w:ind w:left="173"/>
      </w:pPr>
      <w:r>
        <w:rPr>
          <w:rFonts w:ascii="Calibri" w:hAnsi="Calibri"/>
          <w:b/>
          <w:color w:val="0B1F3A"/>
          <w:sz w:val="21"/>
        </w:rPr>
        <w:t xml:space="preserve">Authentication  </w:t>
      </w:r>
      <w:r>
        <w:rPr>
          <w:rFonts w:ascii="Calibri" w:hAnsi="Calibri"/>
          <w:b w:val="0"/>
          <w:i w:val="0"/>
          <w:color w:val="101828"/>
          <w:sz w:val="21"/>
        </w:rPr>
        <w:t>None</w:t>
      </w:r>
    </w:p>
    <w:p>
      <w:pPr>
        <w:spacing w:after="40"/>
        <w:ind w:left="173"/>
      </w:pPr>
      <w:r>
        <w:rPr>
          <w:rFonts w:ascii="Calibri" w:hAnsi="Calibri"/>
          <w:b/>
          <w:color w:val="0B1F3A"/>
          <w:sz w:val="21"/>
        </w:rPr>
        <w:t xml:space="preserve">Authorization  </w:t>
      </w:r>
      <w:r>
        <w:rPr>
          <w:rFonts w:ascii="Calibri" w:hAnsi="Calibri"/>
          <w:b w:val="0"/>
          <w:i w:val="0"/>
          <w:color w:val="101828"/>
          <w:sz w:val="21"/>
        </w:rPr>
        <w:t>Public. Rate limited to 3/hour per device+IP.</w:t>
      </w:r>
    </w:p>
    <w:p>
      <w:pPr>
        <w:spacing w:after="40"/>
        <w:ind w:left="173"/>
      </w:pPr>
      <w:r>
        <w:rPr>
          <w:rFonts w:ascii="Calibri" w:hAnsi="Calibri"/>
          <w:b/>
          <w:color w:val="0B1F3A"/>
          <w:sz w:val="21"/>
        </w:rPr>
        <w:t xml:space="preserve">Request body  </w:t>
      </w:r>
      <w:r>
        <w:rPr>
          <w:rFonts w:ascii="Consolas" w:hAnsi="Consolas"/>
          <w:color w:val="146EF5"/>
          <w:sz w:val="21"/>
        </w:rPr>
        <w:t>{ email, password, fullName, phoneNumber, acceptedTerms: true, acceptedPrivacy: true }</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201</w:t>
      </w:r>
      <w:r>
        <w:rPr>
          <w:rFonts w:ascii="Calibri" w:hAnsi="Calibri"/>
          <w:b w:val="0"/>
          <w:i w:val="0"/>
          <w:color w:val="101828"/>
          <w:sz w:val="21"/>
        </w:rPr>
        <w:t xml:space="preserve"> </w:t>
      </w:r>
      <w:r>
        <w:rPr>
          <w:rFonts w:ascii="Consolas" w:hAnsi="Consolas"/>
          <w:color w:val="146EF5"/>
          <w:sz w:val="21"/>
        </w:rPr>
        <w:t>{ user: { id, email, fullName, phoneNumber, emailVerified: false, status: 'PENDING_VERIFICATION' }, nextStep: 'VERIFY_EMAIL' }</w:t>
      </w:r>
    </w:p>
    <w:p>
      <w:pPr>
        <w:spacing w:after="40"/>
        <w:ind w:left="173"/>
      </w:pPr>
      <w:r>
        <w:rPr>
          <w:rFonts w:ascii="Calibri" w:hAnsi="Calibri"/>
          <w:b/>
          <w:color w:val="0B1F3A"/>
          <w:sz w:val="21"/>
        </w:rPr>
        <w:t xml:space="preserve">Error responses  </w:t>
      </w:r>
      <w:r>
        <w:rPr>
          <w:rFonts w:ascii="Consolas" w:hAnsi="Consolas"/>
          <w:color w:val="146EF5"/>
          <w:sz w:val="21"/>
        </w:rPr>
        <w:t>409</w:t>
      </w:r>
      <w:r>
        <w:rPr>
          <w:rFonts w:ascii="Calibri" w:hAnsi="Calibri"/>
          <w:b w:val="0"/>
          <w:i w:val="0"/>
          <w:color w:val="101828"/>
          <w:sz w:val="21"/>
        </w:rPr>
        <w:t xml:space="preserve"> email already registered · </w:t>
      </w:r>
      <w:r>
        <w:rPr>
          <w:rFonts w:ascii="Consolas" w:hAnsi="Consolas"/>
          <w:color w:val="146EF5"/>
          <w:sz w:val="21"/>
        </w:rPr>
        <w:t>422</w:t>
      </w:r>
      <w:r>
        <w:rPr>
          <w:rFonts w:ascii="Calibri" w:hAnsi="Calibri"/>
          <w:b w:val="0"/>
          <w:i w:val="0"/>
          <w:color w:val="101828"/>
          <w:sz w:val="21"/>
        </w:rPr>
        <w:t xml:space="preserve"> weak password / invalid phone / terms not accepted</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Password ≥ 12 chars, at least one of each class; checked against a breached-password list. Phone in E.164, Nigerian numbers normalised to +234. </w:t>
      </w:r>
      <w:r>
        <w:rPr>
          <w:rFonts w:ascii="Consolas" w:hAnsi="Consolas"/>
          <w:color w:val="146EF5"/>
          <w:sz w:val="21"/>
        </w:rPr>
        <w:t>acceptedTerms</w:t>
      </w:r>
      <w:r>
        <w:rPr>
          <w:rFonts w:ascii="Calibri" w:hAnsi="Calibri"/>
          <w:b w:val="0"/>
          <w:i w:val="0"/>
          <w:color w:val="101828"/>
          <w:sz w:val="21"/>
        </w:rPr>
        <w:t xml:space="preserve"> must be explicitly true — it is written to </w:t>
      </w:r>
      <w:r>
        <w:rPr>
          <w:rFonts w:ascii="Consolas" w:hAnsi="Consolas"/>
          <w:color w:val="146EF5"/>
          <w:sz w:val="21"/>
        </w:rPr>
        <w:t>audit_logs</w:t>
      </w:r>
      <w:r>
        <w:rPr>
          <w:rFonts w:ascii="Calibri" w:hAnsi="Calibri"/>
          <w:b w:val="0"/>
          <w:i w:val="0"/>
          <w:color w:val="101828"/>
          <w:sz w:val="21"/>
        </w:rPr>
        <w:t xml:space="preserve"> as consent evidence.</w:t>
      </w:r>
    </w:p>
    <w:p>
      <w:pPr>
        <w:pStyle w:val="Heading3"/>
      </w:pPr>
      <w:r>
        <w:rPr>
          <w:rFonts w:ascii="Calibri" w:hAnsi="Calibri"/>
          <w:b/>
          <w:i w:val="0"/>
          <w:color w:val="0B1F3A"/>
          <w:sz w:val="24"/>
        </w:rPr>
        <w:t>POST /api/v1/auth/login</w:t>
      </w:r>
    </w:p>
    <w:p>
      <w:pPr>
        <w:spacing w:after="40"/>
        <w:ind w:left="173"/>
      </w:pPr>
      <w:r>
        <w:rPr>
          <w:rFonts w:ascii="Calibri" w:hAnsi="Calibri"/>
          <w:b/>
          <w:color w:val="0B1F3A"/>
          <w:sz w:val="21"/>
        </w:rPr>
        <w:t xml:space="preserve">Purpose  </w:t>
      </w:r>
      <w:r>
        <w:rPr>
          <w:rFonts w:ascii="Calibri" w:hAnsi="Calibri"/>
          <w:b w:val="0"/>
          <w:i w:val="0"/>
          <w:color w:val="101828"/>
          <w:sz w:val="21"/>
        </w:rPr>
        <w:t>Exchange credentials for an access token and set a refresh cookie.</w:t>
      </w:r>
    </w:p>
    <w:p>
      <w:pPr>
        <w:spacing w:after="40"/>
        <w:ind w:left="173"/>
      </w:pPr>
      <w:r>
        <w:rPr>
          <w:rFonts w:ascii="Calibri" w:hAnsi="Calibri"/>
          <w:b/>
          <w:color w:val="0B1F3A"/>
          <w:sz w:val="21"/>
        </w:rPr>
        <w:t xml:space="preserve">Authentication  </w:t>
      </w:r>
      <w:r>
        <w:rPr>
          <w:rFonts w:ascii="Calibri" w:hAnsi="Calibri"/>
          <w:b w:val="0"/>
          <w:i w:val="0"/>
          <w:color w:val="101828"/>
          <w:sz w:val="21"/>
        </w:rPr>
        <w:t>None</w:t>
      </w:r>
    </w:p>
    <w:p>
      <w:pPr>
        <w:spacing w:after="40"/>
        <w:ind w:left="173"/>
      </w:pPr>
      <w:r>
        <w:rPr>
          <w:rFonts w:ascii="Calibri" w:hAnsi="Calibri"/>
          <w:b/>
          <w:color w:val="0B1F3A"/>
          <w:sz w:val="21"/>
        </w:rPr>
        <w:t xml:space="preserve">Authorization  </w:t>
      </w:r>
      <w:r>
        <w:rPr>
          <w:rFonts w:ascii="Calibri" w:hAnsi="Calibri"/>
          <w:b w:val="0"/>
          <w:i w:val="0"/>
          <w:color w:val="101828"/>
          <w:sz w:val="21"/>
        </w:rPr>
        <w:t>Public. 5 attempts/15 min per identifier.</w:t>
      </w:r>
    </w:p>
    <w:p>
      <w:pPr>
        <w:spacing w:after="40"/>
        <w:ind w:left="173"/>
      </w:pPr>
      <w:r>
        <w:rPr>
          <w:rFonts w:ascii="Calibri" w:hAnsi="Calibri"/>
          <w:b/>
          <w:color w:val="0B1F3A"/>
          <w:sz w:val="21"/>
        </w:rPr>
        <w:t xml:space="preserve">Request body  </w:t>
      </w:r>
      <w:r>
        <w:rPr>
          <w:rFonts w:ascii="Consolas" w:hAnsi="Consolas"/>
          <w:color w:val="146EF5"/>
          <w:sz w:val="21"/>
        </w:rPr>
        <w:t>{ email, password, deviceFingerprint }</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accessToken, expiresIn: 900, user: {...} }</w:t>
      </w:r>
      <w:r>
        <w:rPr>
          <w:rFonts w:ascii="Calibri" w:hAnsi="Calibri"/>
          <w:b w:val="0"/>
          <w:i w:val="0"/>
          <w:color w:val="101828"/>
          <w:sz w:val="21"/>
        </w:rPr>
        <w:t xml:space="preserve"> + </w:t>
      </w:r>
      <w:r>
        <w:rPr>
          <w:rFonts w:ascii="Consolas" w:hAnsi="Consolas"/>
          <w:color w:val="146EF5"/>
          <w:sz w:val="21"/>
        </w:rPr>
        <w:t>Set-Cookie</w:t>
      </w:r>
      <w:r>
        <w:rPr>
          <w:rFonts w:ascii="Calibri" w:hAnsi="Calibri"/>
          <w:b w:val="0"/>
          <w:i w:val="0"/>
          <w:color w:val="101828"/>
          <w:sz w:val="21"/>
        </w:rPr>
        <w:t xml:space="preserve"> refresh token (HttpOnly, Secure, SameSite=Strict). Optional TOTP challenge response.</w:t>
      </w:r>
    </w:p>
    <w:p>
      <w:pPr>
        <w:spacing w:after="40"/>
        <w:ind w:left="173"/>
      </w:pPr>
      <w:r>
        <w:rPr>
          <w:rFonts w:ascii="Calibri" w:hAnsi="Calibri"/>
          <w:b/>
          <w:color w:val="0B1F3A"/>
          <w:sz w:val="21"/>
        </w:rPr>
        <w:t xml:space="preserve">Error responses  </w:t>
      </w:r>
      <w:r>
        <w:rPr>
          <w:rFonts w:ascii="Consolas" w:hAnsi="Consolas"/>
          <w:color w:val="146EF5"/>
          <w:sz w:val="21"/>
        </w:rPr>
        <w:t>401</w:t>
      </w:r>
      <w:r>
        <w:rPr>
          <w:rFonts w:ascii="Calibri" w:hAnsi="Calibri"/>
          <w:b w:val="0"/>
          <w:i w:val="0"/>
          <w:color w:val="101828"/>
          <w:sz w:val="21"/>
        </w:rPr>
        <w:t xml:space="preserve"> invalid credentials (generic message — never reveal which of email or password was wrong) · </w:t>
      </w:r>
      <w:r>
        <w:rPr>
          <w:rFonts w:ascii="Consolas" w:hAnsi="Consolas"/>
          <w:color w:val="146EF5"/>
          <w:sz w:val="21"/>
        </w:rPr>
        <w:t>403</w:t>
      </w:r>
      <w:r>
        <w:rPr>
          <w:rFonts w:ascii="Calibri" w:hAnsi="Calibri"/>
          <w:b w:val="0"/>
          <w:i w:val="0"/>
          <w:color w:val="101828"/>
          <w:sz w:val="21"/>
        </w:rPr>
        <w:t xml:space="preserve"> account frozen or suspended · </w:t>
      </w:r>
      <w:r>
        <w:rPr>
          <w:rFonts w:ascii="Consolas" w:hAnsi="Consolas"/>
          <w:color w:val="146EF5"/>
          <w:sz w:val="21"/>
        </w:rPr>
        <w:t>429</w:t>
      </w:r>
      <w:r>
        <w:rPr>
          <w:rFonts w:ascii="Calibri" w:hAnsi="Calibri"/>
          <w:b w:val="0"/>
          <w:i w:val="0"/>
          <w:color w:val="101828"/>
          <w:sz w:val="21"/>
        </w:rPr>
        <w:t xml:space="preserve"> rate limited</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Timing-safe credential comparison. On success, all other sessions for that member may be revoked per policy. A new-device login triggers </w:t>
      </w:r>
      <w:r>
        <w:rPr>
          <w:rFonts w:ascii="Consolas" w:hAnsi="Consolas"/>
          <w:color w:val="146EF5"/>
          <w:sz w:val="21"/>
        </w:rPr>
        <w:t>security.login_new_device</w:t>
      </w:r>
      <w:r>
        <w:rPr>
          <w:rFonts w:ascii="Calibri" w:hAnsi="Calibri"/>
          <w:b w:val="0"/>
          <w:i w:val="0"/>
          <w:color w:val="101828"/>
          <w:sz w:val="21"/>
        </w:rPr>
        <w:t>.</w:t>
      </w:r>
    </w:p>
    <w:p>
      <w:pPr>
        <w:pStyle w:val="Heading3"/>
      </w:pPr>
      <w:r>
        <w:rPr>
          <w:rFonts w:ascii="Calibri" w:hAnsi="Calibri"/>
          <w:b/>
          <w:i w:val="0"/>
          <w:color w:val="0B1F3A"/>
          <w:sz w:val="24"/>
        </w:rPr>
        <w:t>POST /api/v1/auth/refresh</w:t>
      </w:r>
    </w:p>
    <w:p>
      <w:pPr>
        <w:spacing w:after="40"/>
        <w:ind w:left="173"/>
      </w:pPr>
      <w:r>
        <w:rPr>
          <w:rFonts w:ascii="Calibri" w:hAnsi="Calibri"/>
          <w:b/>
          <w:color w:val="0B1F3A"/>
          <w:sz w:val="21"/>
        </w:rPr>
        <w:t xml:space="preserve">Purpose  </w:t>
      </w:r>
      <w:r>
        <w:rPr>
          <w:rFonts w:ascii="Calibri" w:hAnsi="Calibri"/>
          <w:b w:val="0"/>
          <w:i w:val="0"/>
          <w:color w:val="101828"/>
          <w:sz w:val="21"/>
        </w:rPr>
        <w:t>Rotate the refresh token and issue a new access token.</w:t>
      </w:r>
    </w:p>
    <w:p>
      <w:pPr>
        <w:spacing w:after="40"/>
        <w:ind w:left="173"/>
      </w:pPr>
      <w:r>
        <w:rPr>
          <w:rFonts w:ascii="Calibri" w:hAnsi="Calibri"/>
          <w:b/>
          <w:color w:val="0B1F3A"/>
          <w:sz w:val="21"/>
        </w:rPr>
        <w:t xml:space="preserve">Authentication  </w:t>
      </w:r>
      <w:r>
        <w:rPr>
          <w:rFonts w:ascii="Calibri" w:hAnsi="Calibri"/>
          <w:b w:val="0"/>
          <w:i w:val="0"/>
          <w:color w:val="101828"/>
          <w:sz w:val="21"/>
        </w:rPr>
        <w:t>Refresh cookie</w:t>
      </w:r>
    </w:p>
    <w:p>
      <w:pPr>
        <w:spacing w:after="40"/>
        <w:ind w:left="173"/>
      </w:pPr>
      <w:r>
        <w:rPr>
          <w:rFonts w:ascii="Calibri" w:hAnsi="Calibri"/>
          <w:b/>
          <w:color w:val="0B1F3A"/>
          <w:sz w:val="21"/>
        </w:rPr>
        <w:t xml:space="preserve">Authorization  </w:t>
      </w:r>
      <w:r>
        <w:rPr>
          <w:rFonts w:ascii="Calibri" w:hAnsi="Calibri"/>
          <w:b w:val="0"/>
          <w:i w:val="0"/>
          <w:color w:val="101828"/>
          <w:sz w:val="21"/>
        </w:rPr>
        <w:t>Member with a valid, unrevoked session.</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accessToken, expiresIn: 900 }</w:t>
      </w:r>
      <w:r>
        <w:rPr>
          <w:rFonts w:ascii="Calibri" w:hAnsi="Calibri"/>
          <w:b w:val="0"/>
          <w:i w:val="0"/>
          <w:color w:val="101828"/>
          <w:sz w:val="21"/>
        </w:rPr>
        <w:t xml:space="preserve"> + rotated refresh cookie</w:t>
      </w:r>
    </w:p>
    <w:p>
      <w:pPr>
        <w:spacing w:after="40"/>
        <w:ind w:left="173"/>
      </w:pPr>
      <w:r>
        <w:rPr>
          <w:rFonts w:ascii="Calibri" w:hAnsi="Calibri"/>
          <w:b/>
          <w:color w:val="0B1F3A"/>
          <w:sz w:val="21"/>
        </w:rPr>
        <w:t xml:space="preserve">Error responses  </w:t>
      </w:r>
      <w:r>
        <w:rPr>
          <w:rFonts w:ascii="Consolas" w:hAnsi="Consolas"/>
          <w:color w:val="146EF5"/>
          <w:sz w:val="21"/>
        </w:rPr>
        <w:t>401</w:t>
      </w:r>
      <w:r>
        <w:rPr>
          <w:rFonts w:ascii="Calibri" w:hAnsi="Calibri"/>
          <w:b w:val="0"/>
          <w:i w:val="0"/>
          <w:color w:val="101828"/>
          <w:sz w:val="21"/>
        </w:rPr>
        <w:t xml:space="preserve"> invalid or expired · </w:t>
      </w:r>
      <w:r>
        <w:rPr>
          <w:rFonts w:ascii="Consolas" w:hAnsi="Consolas"/>
          <w:color w:val="146EF5"/>
          <w:sz w:val="21"/>
        </w:rPr>
        <w:t>401</w:t>
      </w:r>
      <w:r>
        <w:rPr>
          <w:rFonts w:ascii="Calibri" w:hAnsi="Calibri"/>
          <w:b w:val="0"/>
          <w:i w:val="0"/>
          <w:color w:val="101828"/>
          <w:sz w:val="21"/>
        </w:rPr>
        <w:t xml:space="preserve"> reuse detected — the entire token family is revoked and the member is notified</w:t>
      </w:r>
    </w:p>
    <w:p>
      <w:pPr>
        <w:spacing w:after="40"/>
        <w:ind w:left="173"/>
      </w:pPr>
      <w:r>
        <w:rPr>
          <w:rFonts w:ascii="Calibri" w:hAnsi="Calibri"/>
          <w:b/>
          <w:color w:val="0B1F3A"/>
          <w:sz w:val="21"/>
        </w:rPr>
        <w:t xml:space="preserve">Validation rules  </w:t>
      </w:r>
      <w:r>
        <w:rPr>
          <w:rFonts w:ascii="Calibri" w:hAnsi="Calibri"/>
          <w:b w:val="0"/>
          <w:i w:val="0"/>
          <w:color w:val="101828"/>
          <w:sz w:val="21"/>
        </w:rPr>
        <w:t>Single-use rotation. Reuse of an already-rotated token is treated as theft and forces re-authentication on all devices.</w:t>
      </w:r>
    </w:p>
    <w:p>
      <w:pPr>
        <w:pStyle w:val="Heading3"/>
      </w:pPr>
      <w:r>
        <w:rPr>
          <w:rFonts w:ascii="Calibri" w:hAnsi="Calibri"/>
          <w:b/>
          <w:i w:val="0"/>
          <w:color w:val="0B1F3A"/>
          <w:sz w:val="24"/>
        </w:rPr>
        <w:t>POST /api/v1/auth/logout</w:t>
      </w:r>
    </w:p>
    <w:p>
      <w:pPr>
        <w:spacing w:after="40"/>
        <w:ind w:left="173"/>
      </w:pPr>
      <w:r>
        <w:rPr>
          <w:rFonts w:ascii="Calibri" w:hAnsi="Calibri"/>
          <w:b/>
          <w:color w:val="0B1F3A"/>
          <w:sz w:val="21"/>
        </w:rPr>
        <w:t xml:space="preserve">Purpose  </w:t>
      </w:r>
      <w:r>
        <w:rPr>
          <w:rFonts w:ascii="Calibri" w:hAnsi="Calibri"/>
          <w:b w:val="0"/>
          <w:i w:val="0"/>
          <w:color w:val="101828"/>
          <w:sz w:val="21"/>
        </w:rPr>
        <w:t>Revoke the current session.</w:t>
      </w:r>
    </w:p>
    <w:p>
      <w:pPr>
        <w:spacing w:after="40"/>
        <w:ind w:left="173"/>
      </w:pPr>
      <w:r>
        <w:rPr>
          <w:rFonts w:ascii="Calibri" w:hAnsi="Calibri"/>
          <w:b/>
          <w:color w:val="0B1F3A"/>
          <w:sz w:val="21"/>
        </w:rPr>
        <w:t xml:space="preserve">Authentication  </w:t>
      </w:r>
      <w:r>
        <w:rPr>
          <w:rFonts w:ascii="Calibri" w:hAnsi="Calibri"/>
          <w:b w:val="0"/>
          <w:i w:val="0"/>
          <w:color w:val="101828"/>
          <w:sz w:val="21"/>
        </w:rPr>
        <w:t>Refresh cookie or Bearer</w:t>
      </w:r>
    </w:p>
    <w:p>
      <w:pPr>
        <w:spacing w:after="40"/>
        <w:ind w:left="173"/>
      </w:pPr>
      <w:r>
        <w:rPr>
          <w:rFonts w:ascii="Calibri" w:hAnsi="Calibri"/>
          <w:b/>
          <w:color w:val="0B1F3A"/>
          <w:sz w:val="21"/>
        </w:rPr>
        <w:t xml:space="preserve">Authorization  </w:t>
      </w:r>
      <w:r>
        <w:rPr>
          <w:rFonts w:ascii="Calibri" w:hAnsi="Calibri"/>
          <w:b w:val="0"/>
          <w:i w:val="0"/>
          <w:color w:val="101828"/>
          <w:sz w:val="21"/>
        </w:rPr>
        <w:t>Authenticated member.</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204</w:t>
      </w:r>
    </w:p>
    <w:p>
      <w:pPr>
        <w:spacing w:after="40"/>
        <w:ind w:left="173"/>
      </w:pPr>
      <w:r>
        <w:rPr>
          <w:rFonts w:ascii="Calibri" w:hAnsi="Calibri"/>
          <w:b/>
          <w:color w:val="0B1F3A"/>
          <w:sz w:val="21"/>
        </w:rPr>
        <w:t xml:space="preserve">Error responses  </w:t>
      </w:r>
      <w:r>
        <w:rPr>
          <w:rFonts w:ascii="Calibri" w:hAnsi="Calibri"/>
          <w:b w:val="0"/>
          <w:i w:val="0"/>
          <w:color w:val="101828"/>
          <w:sz w:val="21"/>
        </w:rPr>
        <w:t>None</w:t>
      </w:r>
    </w:p>
    <w:p>
      <w:pPr>
        <w:spacing w:after="40"/>
        <w:ind w:left="173"/>
      </w:pPr>
      <w:r>
        <w:rPr>
          <w:rFonts w:ascii="Calibri" w:hAnsi="Calibri"/>
          <w:b/>
          <w:color w:val="0B1F3A"/>
          <w:sz w:val="21"/>
        </w:rPr>
        <w:t xml:space="preserve">Validation rules  </w:t>
      </w:r>
      <w:r>
        <w:rPr>
          <w:rFonts w:ascii="Calibri" w:hAnsi="Calibri"/>
          <w:b w:val="0"/>
          <w:i w:val="0"/>
          <w:color w:val="101828"/>
          <w:sz w:val="21"/>
        </w:rPr>
        <w:t>Revokes the presented refresh token and its family.</w:t>
      </w:r>
    </w:p>
    <w:p>
      <w:pPr>
        <w:pStyle w:val="Heading3"/>
      </w:pPr>
      <w:r>
        <w:rPr>
          <w:rFonts w:ascii="Calibri" w:hAnsi="Calibri"/>
          <w:b/>
          <w:i w:val="0"/>
          <w:color w:val="0B1F3A"/>
          <w:sz w:val="24"/>
        </w:rPr>
        <w:t>GET /api/v1/auth/sessions</w:t>
      </w:r>
    </w:p>
    <w:p>
      <w:pPr>
        <w:spacing w:after="40"/>
        <w:ind w:left="173"/>
      </w:pPr>
      <w:r>
        <w:rPr>
          <w:rFonts w:ascii="Calibri" w:hAnsi="Calibri"/>
          <w:b/>
          <w:color w:val="0B1F3A"/>
          <w:sz w:val="21"/>
        </w:rPr>
        <w:t xml:space="preserve">Purpose  </w:t>
      </w:r>
      <w:r>
        <w:rPr>
          <w:rFonts w:ascii="Calibri" w:hAnsi="Calibri"/>
          <w:b w:val="0"/>
          <w:i w:val="0"/>
          <w:color w:val="101828"/>
          <w:sz w:val="21"/>
        </w:rPr>
        <w:t>List the member's active devices.</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sessions: [{ id, deviceName, platform, ipAddress, lastActiveAt, current }] }</w:t>
      </w:r>
    </w:p>
    <w:p>
      <w:pPr>
        <w:spacing w:after="40"/>
        <w:ind w:left="173"/>
      </w:pPr>
      <w:r>
        <w:rPr>
          <w:rFonts w:ascii="Calibri" w:hAnsi="Calibri"/>
          <w:b/>
          <w:color w:val="0B1F3A"/>
          <w:sz w:val="21"/>
        </w:rPr>
        <w:t xml:space="preserve">Error responses  </w:t>
      </w:r>
      <w:r>
        <w:rPr>
          <w:rFonts w:ascii="Calibri" w:hAnsi="Calibri"/>
          <w:b w:val="0"/>
          <w:i w:val="0"/>
          <w:color w:val="101828"/>
          <w:sz w:val="21"/>
        </w:rPr>
        <w:t>None</w:t>
      </w:r>
    </w:p>
    <w:p>
      <w:pPr>
        <w:spacing w:after="40"/>
        <w:ind w:left="173"/>
      </w:pPr>
      <w:r>
        <w:rPr>
          <w:rFonts w:ascii="Calibri" w:hAnsi="Calibri"/>
          <w:b/>
          <w:color w:val="0B1F3A"/>
          <w:sz w:val="21"/>
        </w:rPr>
        <w:t xml:space="preserve">Validation rules  </w:t>
      </w:r>
      <w:r>
        <w:rPr>
          <w:rFonts w:ascii="Calibri" w:hAnsi="Calibri"/>
          <w:b w:val="0"/>
          <w:i w:val="0"/>
          <w:color w:val="101828"/>
          <w:sz w:val="21"/>
        </w:rPr>
        <w:t>Enables a member to revoke a device they do not recognise.</w:t>
      </w:r>
    </w:p>
    <w:p>
      <w:pPr>
        <w:pStyle w:val="Heading3"/>
      </w:pPr>
      <w:r>
        <w:rPr>
          <w:rFonts w:ascii="Calibri" w:hAnsi="Calibri"/>
          <w:b/>
          <w:i w:val="0"/>
          <w:color w:val="0B1F3A"/>
          <w:sz w:val="24"/>
        </w:rPr>
        <w:t>DELETE /api/v1/auth/sessions/:id</w:t>
      </w:r>
    </w:p>
    <w:p>
      <w:pPr>
        <w:spacing w:after="40"/>
        <w:ind w:left="173"/>
      </w:pPr>
      <w:r>
        <w:rPr>
          <w:rFonts w:ascii="Calibri" w:hAnsi="Calibri"/>
          <w:b/>
          <w:color w:val="0B1F3A"/>
          <w:sz w:val="21"/>
        </w:rPr>
        <w:t xml:space="preserve">Purpose  </w:t>
      </w:r>
      <w:r>
        <w:rPr>
          <w:rFonts w:ascii="Calibri" w:hAnsi="Calibri"/>
          <w:b w:val="0"/>
          <w:i w:val="0"/>
          <w:color w:val="101828"/>
          <w:sz w:val="21"/>
        </w:rPr>
        <w:t>Revoke one session or all others.</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 owning that session.</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204</w:t>
      </w:r>
    </w:p>
    <w:p>
      <w:pPr>
        <w:spacing w:after="40"/>
        <w:ind w:left="173"/>
      </w:pPr>
      <w:r>
        <w:rPr>
          <w:rFonts w:ascii="Calibri" w:hAnsi="Calibri"/>
          <w:b/>
          <w:color w:val="0B1F3A"/>
          <w:sz w:val="21"/>
        </w:rPr>
        <w:t xml:space="preserve">Error responses  </w:t>
      </w:r>
      <w:r>
        <w:rPr>
          <w:rFonts w:ascii="Consolas" w:hAnsi="Consolas"/>
          <w:color w:val="146EF5"/>
          <w:sz w:val="21"/>
        </w:rPr>
        <w:t>404</w:t>
      </w:r>
      <w:r>
        <w:rPr>
          <w:rFonts w:ascii="Calibri" w:hAnsi="Calibri"/>
          <w:b w:val="0"/>
          <w:i w:val="0"/>
          <w:color w:val="101828"/>
          <w:sz w:val="21"/>
        </w:rPr>
        <w:t xml:space="preserve"> not owned by caller</w:t>
      </w:r>
    </w:p>
    <w:p>
      <w:pPr>
        <w:spacing w:after="40"/>
        <w:ind w:left="173"/>
      </w:pPr>
      <w:r>
        <w:rPr>
          <w:rFonts w:ascii="Calibri" w:hAnsi="Calibri"/>
          <w:b/>
          <w:color w:val="0B1F3A"/>
          <w:sz w:val="21"/>
        </w:rPr>
        <w:t xml:space="preserve">Validation rules  </w:t>
      </w:r>
      <w:r>
        <w:rPr>
          <w:rFonts w:ascii="Calibri" w:hAnsi="Calibri"/>
          <w:b w:val="0"/>
          <w:i w:val="0"/>
          <w:color w:val="101828"/>
          <w:sz w:val="21"/>
        </w:rPr>
        <w:t>A member can only revoke their own sessions.</w:t>
      </w:r>
    </w:p>
    <w:p>
      <w:pPr>
        <w:pStyle w:val="Heading3"/>
      </w:pPr>
      <w:r>
        <w:rPr>
          <w:rFonts w:ascii="Calibri" w:hAnsi="Calibri"/>
          <w:b/>
          <w:i w:val="0"/>
          <w:color w:val="0B1F3A"/>
          <w:sz w:val="24"/>
        </w:rPr>
        <w:t>POST /api/v1/auth/verify-email</w:t>
      </w:r>
    </w:p>
    <w:p>
      <w:pPr>
        <w:spacing w:after="40"/>
        <w:ind w:left="173"/>
      </w:pPr>
      <w:r>
        <w:rPr>
          <w:rFonts w:ascii="Calibri" w:hAnsi="Calibri"/>
          <w:b/>
          <w:color w:val="0B1F3A"/>
          <w:sz w:val="21"/>
        </w:rPr>
        <w:t xml:space="preserve">Purpose  </w:t>
      </w:r>
      <w:r>
        <w:rPr>
          <w:rFonts w:ascii="Calibri" w:hAnsi="Calibri"/>
          <w:b w:val="0"/>
          <w:i w:val="0"/>
          <w:color w:val="101828"/>
          <w:sz w:val="21"/>
        </w:rPr>
        <w:t>Confirm an email address from the emailed token.</w:t>
      </w:r>
    </w:p>
    <w:p>
      <w:pPr>
        <w:spacing w:after="40"/>
        <w:ind w:left="173"/>
      </w:pPr>
      <w:r>
        <w:rPr>
          <w:rFonts w:ascii="Calibri" w:hAnsi="Calibri"/>
          <w:b/>
          <w:color w:val="0B1F3A"/>
          <w:sz w:val="21"/>
        </w:rPr>
        <w:t xml:space="preserve">Authentication  </w:t>
      </w:r>
      <w:r>
        <w:rPr>
          <w:rFonts w:ascii="Calibri" w:hAnsi="Calibri"/>
          <w:b w:val="0"/>
          <w:i w:val="0"/>
          <w:color w:val="101828"/>
          <w:sz w:val="21"/>
        </w:rPr>
        <w:t>None</w:t>
      </w:r>
    </w:p>
    <w:p>
      <w:pPr>
        <w:spacing w:after="40"/>
        <w:ind w:left="173"/>
      </w:pPr>
      <w:r>
        <w:rPr>
          <w:rFonts w:ascii="Calibri" w:hAnsi="Calibri"/>
          <w:b/>
          <w:color w:val="0B1F3A"/>
          <w:sz w:val="21"/>
        </w:rPr>
        <w:t xml:space="preserve">Authorization  </w:t>
      </w:r>
      <w:r>
        <w:rPr>
          <w:rFonts w:ascii="Calibri" w:hAnsi="Calibri"/>
          <w:b w:val="0"/>
          <w:i w:val="0"/>
          <w:color w:val="101828"/>
          <w:sz w:val="21"/>
        </w:rPr>
        <w:t>Public.</w:t>
      </w:r>
    </w:p>
    <w:p>
      <w:pPr>
        <w:spacing w:after="40"/>
        <w:ind w:left="173"/>
      </w:pPr>
      <w:r>
        <w:rPr>
          <w:rFonts w:ascii="Calibri" w:hAnsi="Calibri"/>
          <w:b/>
          <w:color w:val="0B1F3A"/>
          <w:sz w:val="21"/>
        </w:rPr>
        <w:t xml:space="preserve">Request body  </w:t>
      </w:r>
      <w:r>
        <w:rPr>
          <w:rFonts w:ascii="Consolas" w:hAnsi="Consolas"/>
          <w:color w:val="146EF5"/>
          <w:sz w:val="21"/>
        </w:rPr>
        <w:t>{ token }</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verified: true }</w:t>
      </w:r>
    </w:p>
    <w:p>
      <w:pPr>
        <w:spacing w:after="40"/>
        <w:ind w:left="173"/>
      </w:pPr>
      <w:r>
        <w:rPr>
          <w:rFonts w:ascii="Calibri" w:hAnsi="Calibri"/>
          <w:b/>
          <w:color w:val="0B1F3A"/>
          <w:sz w:val="21"/>
        </w:rPr>
        <w:t xml:space="preserve">Error responses  </w:t>
      </w:r>
      <w:r>
        <w:rPr>
          <w:rFonts w:ascii="Consolas" w:hAnsi="Consolas"/>
          <w:color w:val="146EF5"/>
          <w:sz w:val="21"/>
        </w:rPr>
        <w:t>400</w:t>
      </w:r>
      <w:r>
        <w:rPr>
          <w:rFonts w:ascii="Calibri" w:hAnsi="Calibri"/>
          <w:b w:val="0"/>
          <w:i w:val="0"/>
          <w:color w:val="101828"/>
          <w:sz w:val="21"/>
        </w:rPr>
        <w:t xml:space="preserve"> invalid or expired token</w:t>
      </w:r>
    </w:p>
    <w:p>
      <w:pPr>
        <w:spacing w:after="40"/>
        <w:ind w:left="173"/>
      </w:pPr>
      <w:r>
        <w:rPr>
          <w:rFonts w:ascii="Calibri" w:hAnsi="Calibri"/>
          <w:b/>
          <w:color w:val="0B1F3A"/>
          <w:sz w:val="21"/>
        </w:rPr>
        <w:t xml:space="preserve">Validation rules  </w:t>
      </w:r>
      <w:r>
        <w:rPr>
          <w:rFonts w:ascii="Calibri" w:hAnsi="Calibri"/>
          <w:b w:val="0"/>
          <w:i w:val="0"/>
          <w:color w:val="101828"/>
          <w:sz w:val="21"/>
        </w:rPr>
        <w:t>Token is single-use and expires in 24 hours. Verification is required before creating or joining an Ajo.</w:t>
      </w:r>
    </w:p>
    <w:p>
      <w:pPr>
        <w:pStyle w:val="Heading3"/>
      </w:pPr>
      <w:r>
        <w:rPr>
          <w:rFonts w:ascii="Calibri" w:hAnsi="Calibri"/>
          <w:b/>
          <w:i w:val="0"/>
          <w:color w:val="0B1F3A"/>
          <w:sz w:val="24"/>
        </w:rPr>
        <w:t>POST /api/v1/auth/otp/request</w:t>
      </w:r>
    </w:p>
    <w:p>
      <w:pPr>
        <w:spacing w:after="40"/>
        <w:ind w:left="173"/>
      </w:pPr>
      <w:r>
        <w:rPr>
          <w:rFonts w:ascii="Calibri" w:hAnsi="Calibri"/>
          <w:b/>
          <w:color w:val="0B1F3A"/>
          <w:sz w:val="21"/>
        </w:rPr>
        <w:t xml:space="preserve">Purpose  </w:t>
      </w:r>
      <w:r>
        <w:rPr>
          <w:rFonts w:ascii="Calibri" w:hAnsi="Calibri"/>
          <w:b w:val="0"/>
          <w:i w:val="0"/>
          <w:color w:val="101828"/>
          <w:sz w:val="21"/>
        </w:rPr>
        <w:t>Send a one-time password by SMS or email.</w:t>
      </w:r>
    </w:p>
    <w:p>
      <w:pPr>
        <w:spacing w:after="40"/>
        <w:ind w:left="173"/>
      </w:pPr>
      <w:r>
        <w:rPr>
          <w:rFonts w:ascii="Calibri" w:hAnsi="Calibri"/>
          <w:b/>
          <w:color w:val="0B1F3A"/>
          <w:sz w:val="21"/>
        </w:rPr>
        <w:t xml:space="preserve">Authentication  </w:t>
      </w:r>
      <w:r>
        <w:rPr>
          <w:rFonts w:ascii="Calibri" w:hAnsi="Calibri"/>
          <w:b w:val="0"/>
          <w:i w:val="0"/>
          <w:color w:val="101828"/>
          <w:sz w:val="21"/>
        </w:rPr>
        <w:t>None</w:t>
      </w:r>
    </w:p>
    <w:p>
      <w:pPr>
        <w:spacing w:after="40"/>
        <w:ind w:left="173"/>
      </w:pPr>
      <w:r>
        <w:rPr>
          <w:rFonts w:ascii="Calibri" w:hAnsi="Calibri"/>
          <w:b/>
          <w:color w:val="0B1F3A"/>
          <w:sz w:val="21"/>
        </w:rPr>
        <w:t xml:space="preserve">Authorization  </w:t>
      </w:r>
      <w:r>
        <w:rPr>
          <w:rFonts w:ascii="Calibri" w:hAnsi="Calibri"/>
          <w:b w:val="0"/>
          <w:i w:val="0"/>
          <w:color w:val="101828"/>
          <w:sz w:val="21"/>
        </w:rPr>
        <w:t>Public. 5/15 min.</w:t>
      </w:r>
    </w:p>
    <w:p>
      <w:pPr>
        <w:spacing w:after="40"/>
        <w:ind w:left="173"/>
      </w:pPr>
      <w:r>
        <w:rPr>
          <w:rFonts w:ascii="Calibri" w:hAnsi="Calibri"/>
          <w:b/>
          <w:color w:val="0B1F3A"/>
          <w:sz w:val="21"/>
        </w:rPr>
        <w:t xml:space="preserve">Request body  </w:t>
      </w:r>
      <w:r>
        <w:rPr>
          <w:rFonts w:ascii="Consolas" w:hAnsi="Consolas"/>
          <w:color w:val="146EF5"/>
          <w:sz w:val="21"/>
        </w:rPr>
        <w:t>{ identifier, channel: 'SMS' | 'EMAIL', purpose }</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202</w:t>
      </w:r>
      <w:r>
        <w:rPr>
          <w:rFonts w:ascii="Calibri" w:hAnsi="Calibri"/>
          <w:b w:val="0"/>
          <w:i w:val="0"/>
          <w:color w:val="101828"/>
          <w:sz w:val="21"/>
        </w:rPr>
        <w:t xml:space="preserve"> </w:t>
      </w:r>
      <w:r>
        <w:rPr>
          <w:rFonts w:ascii="Consolas" w:hAnsi="Consolas"/>
          <w:color w:val="146EF5"/>
          <w:sz w:val="21"/>
        </w:rPr>
        <w:t>{ expiresIn: 300 }</w:t>
      </w:r>
    </w:p>
    <w:p>
      <w:pPr>
        <w:spacing w:after="40"/>
        <w:ind w:left="173"/>
      </w:pPr>
      <w:r>
        <w:rPr>
          <w:rFonts w:ascii="Calibri" w:hAnsi="Calibri"/>
          <w:b/>
          <w:color w:val="0B1F3A"/>
          <w:sz w:val="21"/>
        </w:rPr>
        <w:t xml:space="preserve">Error responses  </w:t>
      </w:r>
      <w:r>
        <w:rPr>
          <w:rFonts w:ascii="Consolas" w:hAnsi="Consolas"/>
          <w:color w:val="146EF5"/>
          <w:sz w:val="21"/>
        </w:rPr>
        <w:t>429</w:t>
      </w:r>
      <w:r>
        <w:rPr>
          <w:rFonts w:ascii="Calibri" w:hAnsi="Calibri"/>
          <w:b w:val="0"/>
          <w:i w:val="0"/>
          <w:color w:val="101828"/>
          <w:sz w:val="21"/>
        </w:rPr>
        <w:t xml:space="preserve"> rate limited</w:t>
      </w:r>
    </w:p>
    <w:p>
      <w:pPr>
        <w:spacing w:after="40"/>
        <w:ind w:left="173"/>
      </w:pPr>
      <w:r>
        <w:rPr>
          <w:rFonts w:ascii="Calibri" w:hAnsi="Calibri"/>
          <w:b/>
          <w:color w:val="0B1F3A"/>
          <w:sz w:val="21"/>
        </w:rPr>
        <w:t xml:space="preserve">Validation rules  </w:t>
      </w:r>
      <w:r>
        <w:rPr>
          <w:rFonts w:ascii="Calibri" w:hAnsi="Calibri"/>
          <w:b w:val="0"/>
          <w:i w:val="0"/>
          <w:color w:val="101828"/>
          <w:sz w:val="21"/>
        </w:rPr>
        <w:t>Always responds 202 regardless of whether the account exists, so the endpoint cannot be used to enumerate members. 6 digits, 5-minute expiry, max 3 attempts, single use.</w:t>
      </w:r>
    </w:p>
    <w:p>
      <w:pPr>
        <w:pStyle w:val="Heading3"/>
      </w:pPr>
      <w:r>
        <w:rPr>
          <w:rFonts w:ascii="Calibri" w:hAnsi="Calibri"/>
          <w:b/>
          <w:i w:val="0"/>
          <w:color w:val="0B1F3A"/>
          <w:sz w:val="24"/>
        </w:rPr>
        <w:t>POST /api/v1/auth/otp/verify</w:t>
      </w:r>
    </w:p>
    <w:p>
      <w:pPr>
        <w:spacing w:after="40"/>
        <w:ind w:left="173"/>
      </w:pPr>
      <w:r>
        <w:rPr>
          <w:rFonts w:ascii="Calibri" w:hAnsi="Calibri"/>
          <w:b/>
          <w:color w:val="0B1F3A"/>
          <w:sz w:val="21"/>
        </w:rPr>
        <w:t xml:space="preserve">Purpose  </w:t>
      </w:r>
      <w:r>
        <w:rPr>
          <w:rFonts w:ascii="Calibri" w:hAnsi="Calibri"/>
          <w:b w:val="0"/>
          <w:i w:val="0"/>
          <w:color w:val="101828"/>
          <w:sz w:val="21"/>
        </w:rPr>
        <w:t>Verify an OTP.</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Authenticated member.</w:t>
      </w:r>
    </w:p>
    <w:p>
      <w:pPr>
        <w:spacing w:after="40"/>
        <w:ind w:left="173"/>
      </w:pPr>
      <w:r>
        <w:rPr>
          <w:rFonts w:ascii="Calibri" w:hAnsi="Calibri"/>
          <w:b/>
          <w:color w:val="0B1F3A"/>
          <w:sz w:val="21"/>
        </w:rPr>
        <w:t xml:space="preserve">Request body  </w:t>
      </w:r>
      <w:r>
        <w:rPr>
          <w:rFonts w:ascii="Consolas" w:hAnsi="Consolas"/>
          <w:color w:val="146EF5"/>
          <w:sz w:val="21"/>
        </w:rPr>
        <w:t>{ code, purpose }</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verified: true }</w:t>
      </w:r>
    </w:p>
    <w:p>
      <w:pPr>
        <w:spacing w:after="40"/>
        <w:ind w:left="173"/>
      </w:pPr>
      <w:r>
        <w:rPr>
          <w:rFonts w:ascii="Calibri" w:hAnsi="Calibri"/>
          <w:b/>
          <w:color w:val="0B1F3A"/>
          <w:sz w:val="21"/>
        </w:rPr>
        <w:t xml:space="preserve">Error responses  </w:t>
      </w:r>
      <w:r>
        <w:rPr>
          <w:rFonts w:ascii="Consolas" w:hAnsi="Consolas"/>
          <w:color w:val="146EF5"/>
          <w:sz w:val="21"/>
        </w:rPr>
        <w:t>400</w:t>
      </w:r>
      <w:r>
        <w:rPr>
          <w:rFonts w:ascii="Calibri" w:hAnsi="Calibri"/>
          <w:b w:val="0"/>
          <w:i w:val="0"/>
          <w:color w:val="101828"/>
          <w:sz w:val="21"/>
        </w:rPr>
        <w:t xml:space="preserve"> invalid · </w:t>
      </w:r>
      <w:r>
        <w:rPr>
          <w:rFonts w:ascii="Consolas" w:hAnsi="Consolas"/>
          <w:color w:val="146EF5"/>
          <w:sz w:val="21"/>
        </w:rPr>
        <w:t>429</w:t>
      </w:r>
      <w:r>
        <w:rPr>
          <w:rFonts w:ascii="Calibri" w:hAnsi="Calibri"/>
          <w:b w:val="0"/>
          <w:i w:val="0"/>
          <w:color w:val="101828"/>
          <w:sz w:val="21"/>
        </w:rPr>
        <w:t xml:space="preserve"> attempts exhausted</w:t>
      </w:r>
    </w:p>
    <w:p>
      <w:pPr>
        <w:spacing w:after="40"/>
        <w:ind w:left="173"/>
      </w:pPr>
      <w:r>
        <w:rPr>
          <w:rFonts w:ascii="Calibri" w:hAnsi="Calibri"/>
          <w:b/>
          <w:color w:val="0B1F3A"/>
          <w:sz w:val="21"/>
        </w:rPr>
        <w:t xml:space="preserve">Validation rules  </w:t>
      </w:r>
      <w:r>
        <w:rPr>
          <w:rFonts w:ascii="Calibri" w:hAnsi="Calibri"/>
          <w:b w:val="0"/>
          <w:i w:val="0"/>
          <w:color w:val="101828"/>
          <w:sz w:val="21"/>
        </w:rPr>
        <w:t>After 3 failed attempts a new OTP must be requested and a cooldown applies.</w:t>
      </w:r>
    </w:p>
    <w:p>
      <w:pPr>
        <w:pStyle w:val="Heading3"/>
      </w:pPr>
      <w:r>
        <w:rPr>
          <w:rFonts w:ascii="Calibri" w:hAnsi="Calibri"/>
          <w:b/>
          <w:i w:val="0"/>
          <w:color w:val="0B1F3A"/>
          <w:sz w:val="24"/>
        </w:rPr>
        <w:t>POST /api/v1/auth/password/forgot</w:t>
      </w:r>
    </w:p>
    <w:p>
      <w:pPr>
        <w:spacing w:after="40"/>
        <w:ind w:left="173"/>
      </w:pPr>
      <w:r>
        <w:rPr>
          <w:rFonts w:ascii="Calibri" w:hAnsi="Calibri"/>
          <w:b/>
          <w:color w:val="0B1F3A"/>
          <w:sz w:val="21"/>
        </w:rPr>
        <w:t xml:space="preserve">Purpose  </w:t>
      </w:r>
      <w:r>
        <w:rPr>
          <w:rFonts w:ascii="Calibri" w:hAnsi="Calibri"/>
          <w:b w:val="0"/>
          <w:i w:val="0"/>
          <w:color w:val="101828"/>
          <w:sz w:val="21"/>
        </w:rPr>
        <w:t>Start a password reset.</w:t>
      </w:r>
    </w:p>
    <w:p>
      <w:pPr>
        <w:spacing w:after="40"/>
        <w:ind w:left="173"/>
      </w:pPr>
      <w:r>
        <w:rPr>
          <w:rFonts w:ascii="Calibri" w:hAnsi="Calibri"/>
          <w:b/>
          <w:color w:val="0B1F3A"/>
          <w:sz w:val="21"/>
        </w:rPr>
        <w:t xml:space="preserve">Authentication  </w:t>
      </w:r>
      <w:r>
        <w:rPr>
          <w:rFonts w:ascii="Calibri" w:hAnsi="Calibri"/>
          <w:b w:val="0"/>
          <w:i w:val="0"/>
          <w:color w:val="101828"/>
          <w:sz w:val="21"/>
        </w:rPr>
        <w:t>None</w:t>
      </w:r>
    </w:p>
    <w:p>
      <w:pPr>
        <w:spacing w:after="40"/>
        <w:ind w:left="173"/>
      </w:pPr>
      <w:r>
        <w:rPr>
          <w:rFonts w:ascii="Calibri" w:hAnsi="Calibri"/>
          <w:b/>
          <w:color w:val="0B1F3A"/>
          <w:sz w:val="21"/>
        </w:rPr>
        <w:t xml:space="preserve">Authorization  </w:t>
      </w:r>
      <w:r>
        <w:rPr>
          <w:rFonts w:ascii="Calibri" w:hAnsi="Calibri"/>
          <w:b w:val="0"/>
          <w:i w:val="0"/>
          <w:color w:val="101828"/>
          <w:sz w:val="21"/>
        </w:rPr>
        <w:t>Public. 5/15 min.</w:t>
      </w:r>
    </w:p>
    <w:p>
      <w:pPr>
        <w:spacing w:after="40"/>
        <w:ind w:left="173"/>
      </w:pPr>
      <w:r>
        <w:rPr>
          <w:rFonts w:ascii="Calibri" w:hAnsi="Calibri"/>
          <w:b/>
          <w:color w:val="0B1F3A"/>
          <w:sz w:val="21"/>
        </w:rPr>
        <w:t xml:space="preserve">Request body  </w:t>
      </w:r>
      <w:r>
        <w:rPr>
          <w:rFonts w:ascii="Consolas" w:hAnsi="Consolas"/>
          <w:color w:val="146EF5"/>
          <w:sz w:val="21"/>
        </w:rPr>
        <w:t>{ email }</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202</w:t>
      </w:r>
      <w:r>
        <w:rPr>
          <w:rFonts w:ascii="Calibri" w:hAnsi="Calibri"/>
          <w:b w:val="0"/>
          <w:i w:val="0"/>
          <w:color w:val="101828"/>
          <w:sz w:val="21"/>
        </w:rPr>
        <w:t xml:space="preserve"> </w:t>
      </w:r>
      <w:r>
        <w:rPr>
          <w:rFonts w:ascii="Consolas" w:hAnsi="Consolas"/>
          <w:color w:val="146EF5"/>
          <w:sz w:val="21"/>
        </w:rPr>
        <w:t>{ message: 'If the account exists, a reset link has been sent.' }</w:t>
      </w:r>
    </w:p>
    <w:p>
      <w:pPr>
        <w:spacing w:after="40"/>
        <w:ind w:left="173"/>
      </w:pPr>
      <w:r>
        <w:rPr>
          <w:rFonts w:ascii="Calibri" w:hAnsi="Calibri"/>
          <w:b/>
          <w:color w:val="0B1F3A"/>
          <w:sz w:val="21"/>
        </w:rPr>
        <w:t xml:space="preserve">Error responses  </w:t>
      </w:r>
      <w:r>
        <w:rPr>
          <w:rFonts w:ascii="Consolas" w:hAnsi="Consolas"/>
          <w:color w:val="146EF5"/>
          <w:sz w:val="21"/>
        </w:rPr>
        <w:t>429</w:t>
      </w:r>
      <w:r>
        <w:rPr>
          <w:rFonts w:ascii="Calibri" w:hAnsi="Calibri"/>
          <w:b w:val="0"/>
          <w:i w:val="0"/>
          <w:color w:val="101828"/>
          <w:sz w:val="21"/>
        </w:rPr>
        <w:t xml:space="preserve"> rate limited</w:t>
      </w:r>
    </w:p>
    <w:p>
      <w:pPr>
        <w:spacing w:after="40"/>
        <w:ind w:left="173"/>
      </w:pPr>
      <w:r>
        <w:rPr>
          <w:rFonts w:ascii="Calibri" w:hAnsi="Calibri"/>
          <w:b/>
          <w:color w:val="0B1F3A"/>
          <w:sz w:val="21"/>
        </w:rPr>
        <w:t xml:space="preserve">Validation rules  </w:t>
      </w:r>
      <w:r>
        <w:rPr>
          <w:rFonts w:ascii="Calibri" w:hAnsi="Calibri"/>
          <w:b w:val="0"/>
          <w:i w:val="0"/>
          <w:color w:val="101828"/>
          <w:sz w:val="21"/>
        </w:rPr>
        <w:t>Response is identical whether or not the account exists. The emailed link is single-use, expires in 1 hour, and invalidates all existing sessions on use.</w:t>
      </w:r>
    </w:p>
    <w:p>
      <w:pPr>
        <w:pStyle w:val="Heading3"/>
      </w:pPr>
      <w:r>
        <w:rPr>
          <w:rFonts w:ascii="Calibri" w:hAnsi="Calibri"/>
          <w:b/>
          <w:i w:val="0"/>
          <w:color w:val="0B1F3A"/>
          <w:sz w:val="24"/>
        </w:rPr>
        <w:t>POST /api/v1/auth/password/reset</w:t>
      </w:r>
    </w:p>
    <w:p>
      <w:pPr>
        <w:spacing w:after="40"/>
        <w:ind w:left="173"/>
      </w:pPr>
      <w:r>
        <w:rPr>
          <w:rFonts w:ascii="Calibri" w:hAnsi="Calibri"/>
          <w:b/>
          <w:color w:val="0B1F3A"/>
          <w:sz w:val="21"/>
        </w:rPr>
        <w:t xml:space="preserve">Purpose  </w:t>
      </w:r>
      <w:r>
        <w:rPr>
          <w:rFonts w:ascii="Calibri" w:hAnsi="Calibri"/>
          <w:b w:val="0"/>
          <w:i w:val="0"/>
          <w:color w:val="101828"/>
          <w:sz w:val="21"/>
        </w:rPr>
        <w:t>Complete a password reset.</w:t>
      </w:r>
    </w:p>
    <w:p>
      <w:pPr>
        <w:spacing w:after="40"/>
        <w:ind w:left="173"/>
      </w:pPr>
      <w:r>
        <w:rPr>
          <w:rFonts w:ascii="Calibri" w:hAnsi="Calibri"/>
          <w:b/>
          <w:color w:val="0B1F3A"/>
          <w:sz w:val="21"/>
        </w:rPr>
        <w:t xml:space="preserve">Authentication  </w:t>
      </w:r>
      <w:r>
        <w:rPr>
          <w:rFonts w:ascii="Calibri" w:hAnsi="Calibri"/>
          <w:b w:val="0"/>
          <w:i w:val="0"/>
          <w:color w:val="101828"/>
          <w:sz w:val="21"/>
        </w:rPr>
        <w:t>None</w:t>
      </w:r>
    </w:p>
    <w:p>
      <w:pPr>
        <w:spacing w:after="40"/>
        <w:ind w:left="173"/>
      </w:pPr>
      <w:r>
        <w:rPr>
          <w:rFonts w:ascii="Calibri" w:hAnsi="Calibri"/>
          <w:b/>
          <w:color w:val="0B1F3A"/>
          <w:sz w:val="21"/>
        </w:rPr>
        <w:t xml:space="preserve">Authorization  </w:t>
      </w:r>
      <w:r>
        <w:rPr>
          <w:rFonts w:ascii="Calibri" w:hAnsi="Calibri"/>
          <w:b w:val="0"/>
          <w:i w:val="0"/>
          <w:color w:val="101828"/>
          <w:sz w:val="21"/>
        </w:rPr>
        <w:t>Public, with a valid reset token.</w:t>
      </w:r>
    </w:p>
    <w:p>
      <w:pPr>
        <w:spacing w:after="40"/>
        <w:ind w:left="173"/>
      </w:pPr>
      <w:r>
        <w:rPr>
          <w:rFonts w:ascii="Calibri" w:hAnsi="Calibri"/>
          <w:b/>
          <w:color w:val="0B1F3A"/>
          <w:sz w:val="21"/>
        </w:rPr>
        <w:t xml:space="preserve">Request body  </w:t>
      </w:r>
      <w:r>
        <w:rPr>
          <w:rFonts w:ascii="Consolas" w:hAnsi="Consolas"/>
          <w:color w:val="146EF5"/>
          <w:sz w:val="21"/>
        </w:rPr>
        <w:t>{ token, newPassword }</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reset: true }</w:t>
      </w:r>
    </w:p>
    <w:p>
      <w:pPr>
        <w:spacing w:after="40"/>
        <w:ind w:left="173"/>
      </w:pPr>
      <w:r>
        <w:rPr>
          <w:rFonts w:ascii="Calibri" w:hAnsi="Calibri"/>
          <w:b/>
          <w:color w:val="0B1F3A"/>
          <w:sz w:val="21"/>
        </w:rPr>
        <w:t xml:space="preserve">Error responses  </w:t>
      </w:r>
      <w:r>
        <w:rPr>
          <w:rFonts w:ascii="Consolas" w:hAnsi="Consolas"/>
          <w:color w:val="146EF5"/>
          <w:sz w:val="21"/>
        </w:rPr>
        <w:t>400</w:t>
      </w:r>
      <w:r>
        <w:rPr>
          <w:rFonts w:ascii="Calibri" w:hAnsi="Calibri"/>
          <w:b w:val="0"/>
          <w:i w:val="0"/>
          <w:color w:val="101828"/>
          <w:sz w:val="21"/>
        </w:rPr>
        <w:t xml:space="preserve"> invalid/expired · </w:t>
      </w:r>
      <w:r>
        <w:rPr>
          <w:rFonts w:ascii="Consolas" w:hAnsi="Consolas"/>
          <w:color w:val="146EF5"/>
          <w:sz w:val="21"/>
        </w:rPr>
        <w:t>422</w:t>
      </w:r>
      <w:r>
        <w:rPr>
          <w:rFonts w:ascii="Calibri" w:hAnsi="Calibri"/>
          <w:b w:val="0"/>
          <w:i w:val="0"/>
          <w:color w:val="101828"/>
          <w:sz w:val="21"/>
        </w:rPr>
        <w:t xml:space="preserve"> weak password</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All sessions revoked. A </w:t>
      </w:r>
      <w:r>
        <w:rPr>
          <w:rFonts w:ascii="Consolas" w:hAnsi="Consolas"/>
          <w:color w:val="146EF5"/>
          <w:sz w:val="21"/>
        </w:rPr>
        <w:t>security.password_changed</w:t>
      </w:r>
      <w:r>
        <w:rPr>
          <w:rFonts w:ascii="Calibri" w:hAnsi="Calibri"/>
          <w:b w:val="0"/>
          <w:i w:val="0"/>
          <w:color w:val="101828"/>
          <w:sz w:val="21"/>
        </w:rPr>
        <w:t xml:space="preserve"> alert is sent to every registered address/device.</w:t>
      </w:r>
    </w:p>
    <w:p>
      <w:pPr>
        <w:pStyle w:val="Heading2"/>
      </w:pPr>
      <w:r>
        <w:rPr>
          <w:rFonts w:ascii="Calibri" w:hAnsi="Calibri"/>
          <w:b/>
          <w:i w:val="0"/>
          <w:color w:val="146EF5"/>
          <w:sz w:val="29"/>
        </w:rPr>
        <w:t>11.3 Profile and identity</w:t>
      </w:r>
    </w:p>
    <w:p>
      <w:pPr>
        <w:pStyle w:val="Heading3"/>
      </w:pPr>
      <w:r>
        <w:rPr>
          <w:rFonts w:ascii="Calibri" w:hAnsi="Calibri"/>
          <w:b/>
          <w:i w:val="0"/>
          <w:color w:val="0B1F3A"/>
          <w:sz w:val="24"/>
        </w:rPr>
        <w:t>GET /api/v1/profile</w:t>
      </w:r>
    </w:p>
    <w:p>
      <w:pPr>
        <w:spacing w:after="40"/>
        <w:ind w:left="173"/>
      </w:pPr>
      <w:r>
        <w:rPr>
          <w:rFonts w:ascii="Calibri" w:hAnsi="Calibri"/>
          <w:b/>
          <w:color w:val="0B1F3A"/>
          <w:sz w:val="21"/>
        </w:rPr>
        <w:t xml:space="preserve">Purpose  </w:t>
      </w:r>
      <w:r>
        <w:rPr>
          <w:rFonts w:ascii="Calibri" w:hAnsi="Calibri"/>
          <w:b w:val="0"/>
          <w:i w:val="0"/>
          <w:color w:val="101828"/>
          <w:sz w:val="21"/>
        </w:rPr>
        <w:t>Read the caller's profile.</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profile: { fullName, phoneNumber, email, bvnVerified, avatarUrl, kycStatus, joinedAjoCount, defaultsCount } }</w:t>
      </w:r>
    </w:p>
    <w:p>
      <w:pPr>
        <w:spacing w:after="40"/>
        <w:ind w:left="173"/>
      </w:pPr>
      <w:r>
        <w:rPr>
          <w:rFonts w:ascii="Calibri" w:hAnsi="Calibri"/>
          <w:b/>
          <w:color w:val="0B1F3A"/>
          <w:sz w:val="21"/>
        </w:rPr>
        <w:t xml:space="preserve">Error responses  </w:t>
      </w:r>
      <w:r>
        <w:rPr>
          <w:rFonts w:ascii="Calibri" w:hAnsi="Calibri"/>
          <w:b w:val="0"/>
          <w:i w:val="0"/>
          <w:color w:val="101828"/>
          <w:sz w:val="21"/>
        </w:rPr>
        <w:t>None</w:t>
      </w:r>
    </w:p>
    <w:p>
      <w:pPr>
        <w:spacing w:after="40"/>
        <w:ind w:left="173"/>
      </w:pPr>
      <w:r>
        <w:rPr>
          <w:rFonts w:ascii="Calibri" w:hAnsi="Calibri"/>
          <w:b/>
          <w:color w:val="0B1F3A"/>
          <w:sz w:val="21"/>
        </w:rPr>
        <w:t xml:space="preserve">Validation rules  </w:t>
      </w:r>
      <w:r>
        <w:rPr>
          <w:rFonts w:ascii="Calibri" w:hAnsi="Calibri"/>
          <w:b w:val="0"/>
          <w:i w:val="0"/>
          <w:color w:val="101828"/>
          <w:sz w:val="21"/>
        </w:rPr>
        <w:t>Returns only the caller's own profile.</w:t>
      </w:r>
    </w:p>
    <w:p>
      <w:pPr>
        <w:pStyle w:val="Heading3"/>
      </w:pPr>
      <w:r>
        <w:rPr>
          <w:rFonts w:ascii="Calibri" w:hAnsi="Calibri"/>
          <w:b/>
          <w:i w:val="0"/>
          <w:color w:val="0B1F3A"/>
          <w:sz w:val="24"/>
        </w:rPr>
        <w:t>PATCH /api/v1/profile</w:t>
      </w:r>
    </w:p>
    <w:p>
      <w:pPr>
        <w:spacing w:after="40"/>
        <w:ind w:left="173"/>
      </w:pPr>
      <w:r>
        <w:rPr>
          <w:rFonts w:ascii="Calibri" w:hAnsi="Calibri"/>
          <w:b/>
          <w:color w:val="0B1F3A"/>
          <w:sz w:val="21"/>
        </w:rPr>
        <w:t xml:space="preserve">Purpose  </w:t>
      </w:r>
      <w:r>
        <w:rPr>
          <w:rFonts w:ascii="Calibri" w:hAnsi="Calibri"/>
          <w:b w:val="0"/>
          <w:i w:val="0"/>
          <w:color w:val="101828"/>
          <w:sz w:val="21"/>
        </w:rPr>
        <w:t>Update the caller's profile.</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 Cannot change own role or status.</w:t>
      </w:r>
    </w:p>
    <w:p>
      <w:pPr>
        <w:spacing w:after="40"/>
        <w:ind w:left="173"/>
      </w:pPr>
      <w:r>
        <w:rPr>
          <w:rFonts w:ascii="Calibri" w:hAnsi="Calibri"/>
          <w:b/>
          <w:color w:val="0B1F3A"/>
          <w:sz w:val="21"/>
        </w:rPr>
        <w:t xml:space="preserve">Request body  </w:t>
      </w:r>
      <w:r>
        <w:rPr>
          <w:rFonts w:ascii="Consolas" w:hAnsi="Consolas"/>
          <w:color w:val="146EF5"/>
          <w:sz w:val="21"/>
        </w:rPr>
        <w:t>{ fullName?, phoneNumber?, avatarUrl? }</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profile }</w:t>
      </w:r>
    </w:p>
    <w:p>
      <w:pPr>
        <w:spacing w:after="40"/>
        <w:ind w:left="173"/>
      </w:pPr>
      <w:r>
        <w:rPr>
          <w:rFonts w:ascii="Calibri" w:hAnsi="Calibri"/>
          <w:b/>
          <w:color w:val="0B1F3A"/>
          <w:sz w:val="21"/>
        </w:rPr>
        <w:t xml:space="preserve">Error responses  </w:t>
      </w:r>
      <w:r>
        <w:rPr>
          <w:rFonts w:ascii="Consolas" w:hAnsi="Consolas"/>
          <w:color w:val="146EF5"/>
          <w:sz w:val="21"/>
        </w:rPr>
        <w:t>422</w:t>
      </w:r>
      <w:r>
        <w:rPr>
          <w:rFonts w:ascii="Calibri" w:hAnsi="Calibri"/>
          <w:b w:val="0"/>
          <w:i w:val="0"/>
          <w:color w:val="101828"/>
          <w:sz w:val="21"/>
        </w:rPr>
        <w:t xml:space="preserve"> invalid phone · </w:t>
      </w:r>
      <w:r>
        <w:rPr>
          <w:rFonts w:ascii="Consolas" w:hAnsi="Consolas"/>
          <w:color w:val="146EF5"/>
          <w:sz w:val="21"/>
        </w:rPr>
        <w:t>409</w:t>
      </w:r>
      <w:r>
        <w:rPr>
          <w:rFonts w:ascii="Calibri" w:hAnsi="Calibri"/>
          <w:b w:val="0"/>
          <w:i w:val="0"/>
          <w:color w:val="101828"/>
          <w:sz w:val="21"/>
        </w:rPr>
        <w:t xml:space="preserve"> phone already in use</w:t>
      </w:r>
    </w:p>
    <w:p>
      <w:pPr>
        <w:spacing w:after="40"/>
        <w:ind w:left="173"/>
      </w:pPr>
      <w:r>
        <w:rPr>
          <w:rFonts w:ascii="Calibri" w:hAnsi="Calibri"/>
          <w:b/>
          <w:color w:val="0B1F3A"/>
          <w:sz w:val="21"/>
        </w:rPr>
        <w:t xml:space="preserve">Validation rules  </w:t>
      </w:r>
      <w:r>
        <w:rPr>
          <w:rFonts w:ascii="Calibri" w:hAnsi="Calibri"/>
          <w:b w:val="0"/>
          <w:i w:val="0"/>
          <w:color w:val="101828"/>
          <w:sz w:val="21"/>
        </w:rPr>
        <w:t>Changing a phone number requires OTP verification of the new number first, and triggers a security notification.</w:t>
      </w:r>
    </w:p>
    <w:p>
      <w:pPr>
        <w:pStyle w:val="Heading3"/>
      </w:pPr>
      <w:r>
        <w:rPr>
          <w:rFonts w:ascii="Calibri" w:hAnsi="Calibri"/>
          <w:b/>
          <w:i w:val="0"/>
          <w:color w:val="0B1F3A"/>
          <w:sz w:val="24"/>
        </w:rPr>
        <w:t>GET /api/v1/profile/financial-summary</w:t>
      </w:r>
    </w:p>
    <w:p>
      <w:pPr>
        <w:spacing w:after="40"/>
        <w:ind w:left="173"/>
      </w:pPr>
      <w:r>
        <w:rPr>
          <w:rFonts w:ascii="Calibri" w:hAnsi="Calibri"/>
          <w:b/>
          <w:color w:val="0B1F3A"/>
          <w:sz w:val="21"/>
        </w:rPr>
        <w:t xml:space="preserve">Purpose  </w:t>
      </w:r>
      <w:r>
        <w:rPr>
          <w:rFonts w:ascii="Calibri" w:hAnsi="Calibri"/>
          <w:b w:val="0"/>
          <w:i w:val="0"/>
          <w:color w:val="101828"/>
          <w:sz w:val="21"/>
        </w:rPr>
        <w:t>Aggregate position across all Ajos.</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totalContributedKobo, totalReceivedKobo, totalFeesPaidKobo, activeAjoCount, nextDue: {...}, defaultsCount }</w:t>
      </w:r>
    </w:p>
    <w:p>
      <w:pPr>
        <w:spacing w:after="40"/>
        <w:ind w:left="173"/>
      </w:pPr>
      <w:r>
        <w:rPr>
          <w:rFonts w:ascii="Calibri" w:hAnsi="Calibri"/>
          <w:b/>
          <w:color w:val="0B1F3A"/>
          <w:sz w:val="21"/>
        </w:rPr>
        <w:t xml:space="preserve">Error responses  </w:t>
      </w:r>
      <w:r>
        <w:rPr>
          <w:rFonts w:ascii="Calibri" w:hAnsi="Calibri"/>
          <w:b w:val="0"/>
          <w:i w:val="0"/>
          <w:color w:val="101828"/>
          <w:sz w:val="21"/>
        </w:rPr>
        <w:t>None</w:t>
      </w:r>
    </w:p>
    <w:p>
      <w:pPr>
        <w:spacing w:after="40"/>
        <w:ind w:left="173"/>
      </w:pPr>
      <w:r>
        <w:rPr>
          <w:rFonts w:ascii="Calibri" w:hAnsi="Calibri"/>
          <w:b/>
          <w:color w:val="0B1F3A"/>
          <w:sz w:val="21"/>
        </w:rPr>
        <w:t xml:space="preserve">Validation rules  </w:t>
      </w:r>
      <w:r>
        <w:rPr>
          <w:rFonts w:ascii="Calibri" w:hAnsi="Calibri"/>
          <w:b w:val="0"/>
          <w:i w:val="0"/>
          <w:color w:val="101828"/>
          <w:sz w:val="21"/>
        </w:rPr>
        <w:t>All figures in kobo, summed from the ledger. Never computed from cached denormalised totals without ledger reconciliation.</w:t>
      </w:r>
    </w:p>
    <w:p>
      <w:pPr>
        <w:pStyle w:val="Heading3"/>
      </w:pPr>
      <w:r>
        <w:rPr>
          <w:rFonts w:ascii="Calibri" w:hAnsi="Calibri"/>
          <w:b/>
          <w:i w:val="0"/>
          <w:color w:val="0B1F3A"/>
          <w:sz w:val="24"/>
        </w:rPr>
        <w:t>POST /api/v1/verification/identity</w:t>
      </w:r>
    </w:p>
    <w:p>
      <w:pPr>
        <w:spacing w:after="40"/>
        <w:ind w:left="173"/>
      </w:pPr>
      <w:r>
        <w:rPr>
          <w:rFonts w:ascii="Calibri" w:hAnsi="Calibri"/>
          <w:b/>
          <w:color w:val="0B1F3A"/>
          <w:sz w:val="21"/>
        </w:rPr>
        <w:t xml:space="preserve">Purpose  </w:t>
      </w:r>
      <w:r>
        <w:rPr>
          <w:rFonts w:ascii="Calibri" w:hAnsi="Calibri"/>
          <w:b w:val="0"/>
          <w:i w:val="0"/>
          <w:color w:val="101828"/>
          <w:sz w:val="21"/>
        </w:rPr>
        <w:t>Submit identity documents for KYC.</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 unverified.</w:t>
      </w:r>
    </w:p>
    <w:p>
      <w:pPr>
        <w:spacing w:after="40"/>
        <w:ind w:left="173"/>
      </w:pPr>
      <w:r>
        <w:rPr>
          <w:rFonts w:ascii="Calibri" w:hAnsi="Calibri"/>
          <w:b/>
          <w:color w:val="0B1F3A"/>
          <w:sz w:val="21"/>
        </w:rPr>
        <w:t xml:space="preserve">Request body  </w:t>
      </w:r>
      <w:r>
        <w:rPr>
          <w:rFonts w:ascii="Consolas" w:hAnsi="Consolas"/>
          <w:color w:val="146EF5"/>
          <w:sz w:val="21"/>
        </w:rPr>
        <w:t>{ documentType: 'NIN' | 'PASSPORT' | 'DRIVERS_LICENSE' | 'BVN', documentNumber, dateOfBirth, documentIds: [uuid] }</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202</w:t>
      </w:r>
      <w:r>
        <w:rPr>
          <w:rFonts w:ascii="Calibri" w:hAnsi="Calibri"/>
          <w:b w:val="0"/>
          <w:i w:val="0"/>
          <w:color w:val="101828"/>
          <w:sz w:val="21"/>
        </w:rPr>
        <w:t xml:space="preserve"> </w:t>
      </w:r>
      <w:r>
        <w:rPr>
          <w:rFonts w:ascii="Consolas" w:hAnsi="Consolas"/>
          <w:color w:val="146EF5"/>
          <w:sz w:val="21"/>
        </w:rPr>
        <w:t>{ verificationId, status: 'PENDING' }</w:t>
      </w:r>
    </w:p>
    <w:p>
      <w:pPr>
        <w:spacing w:after="40"/>
        <w:ind w:left="173"/>
      </w:pPr>
      <w:r>
        <w:rPr>
          <w:rFonts w:ascii="Calibri" w:hAnsi="Calibri"/>
          <w:b/>
          <w:color w:val="0B1F3A"/>
          <w:sz w:val="21"/>
        </w:rPr>
        <w:t xml:space="preserve">Error responses  </w:t>
      </w:r>
      <w:r>
        <w:rPr>
          <w:rFonts w:ascii="Consolas" w:hAnsi="Consolas"/>
          <w:color w:val="146EF5"/>
          <w:sz w:val="21"/>
        </w:rPr>
        <w:t>422</w:t>
      </w:r>
      <w:r>
        <w:rPr>
          <w:rFonts w:ascii="Calibri" w:hAnsi="Calibri"/>
          <w:b w:val="0"/>
          <w:i w:val="0"/>
          <w:color w:val="101828"/>
          <w:sz w:val="21"/>
        </w:rPr>
        <w:t xml:space="preserve"> invalid document · </w:t>
      </w:r>
      <w:r>
        <w:rPr>
          <w:rFonts w:ascii="Consolas" w:hAnsi="Consolas"/>
          <w:color w:val="146EF5"/>
          <w:sz w:val="21"/>
        </w:rPr>
        <w:t>409</w:t>
      </w:r>
      <w:r>
        <w:rPr>
          <w:rFonts w:ascii="Calibri" w:hAnsi="Calibri"/>
          <w:b w:val="0"/>
          <w:i w:val="0"/>
          <w:color w:val="101828"/>
          <w:sz w:val="21"/>
        </w:rPr>
        <w:t xml:space="preserve"> already verified or already under review</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Creates a </w:t>
      </w:r>
      <w:r>
        <w:rPr>
          <w:rFonts w:ascii="Consolas" w:hAnsi="Consolas"/>
          <w:color w:val="146EF5"/>
          <w:sz w:val="21"/>
        </w:rPr>
        <w:t>verification_checks</w:t>
      </w:r>
      <w:r>
        <w:rPr>
          <w:rFonts w:ascii="Calibri" w:hAnsi="Calibri"/>
          <w:b w:val="0"/>
          <w:i w:val="0"/>
          <w:color w:val="101828"/>
          <w:sz w:val="21"/>
        </w:rPr>
        <w:t xml:space="preserve"> row and a </w:t>
      </w:r>
      <w:r>
        <w:rPr>
          <w:rFonts w:ascii="Consolas" w:hAnsi="Consolas"/>
          <w:color w:val="146EF5"/>
          <w:sz w:val="21"/>
        </w:rPr>
        <w:t>risk_events</w:t>
      </w:r>
      <w:r>
        <w:rPr>
          <w:rFonts w:ascii="Calibri" w:hAnsi="Calibri"/>
          <w:b w:val="0"/>
          <w:i w:val="0"/>
          <w:color w:val="101828"/>
          <w:sz w:val="21"/>
        </w:rPr>
        <w:t xml:space="preserve"> entry. An MVP gate requiring BVN should be treated as a </w:t>
      </w:r>
      <w:r>
        <w:rPr>
          <w:rFonts w:ascii="Calibri" w:hAnsi="Calibri"/>
          <w:b/>
          <w:color w:val="101828"/>
          <w:sz w:val="21"/>
        </w:rPr>
        <w:t>verified requirement to confirm with Providus and counsel</w:t>
      </w:r>
      <w:r>
        <w:rPr>
          <w:rFonts w:ascii="Calibri" w:hAnsi="Calibri"/>
          <w:b w:val="0"/>
          <w:i w:val="0"/>
          <w:color w:val="101828"/>
          <w:sz w:val="21"/>
        </w:rPr>
        <w:t>, not an assumption.</w:t>
      </w:r>
    </w:p>
    <w:p>
      <w:pPr>
        <w:pStyle w:val="Heading3"/>
      </w:pPr>
      <w:r>
        <w:rPr>
          <w:rFonts w:ascii="Calibri" w:hAnsi="Calibri"/>
          <w:b/>
          <w:i w:val="0"/>
          <w:color w:val="0B1F3A"/>
          <w:sz w:val="24"/>
        </w:rPr>
        <w:t>GET /api/v1/verification/:id</w:t>
      </w:r>
    </w:p>
    <w:p>
      <w:pPr>
        <w:spacing w:after="40"/>
        <w:ind w:left="173"/>
      </w:pPr>
      <w:r>
        <w:rPr>
          <w:rFonts w:ascii="Calibri" w:hAnsi="Calibri"/>
          <w:b/>
          <w:color w:val="0B1F3A"/>
          <w:sz w:val="21"/>
        </w:rPr>
        <w:t xml:space="preserve">Purpose  </w:t>
      </w:r>
      <w:r>
        <w:rPr>
          <w:rFonts w:ascii="Calibri" w:hAnsi="Calibri"/>
          <w:b w:val="0"/>
          <w:i w:val="0"/>
          <w:color w:val="101828"/>
          <w:sz w:val="21"/>
        </w:rPr>
        <w:t>Poll verification status.</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Owning member only.</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status: 'PENDING'|'APPROVED'|'REJECTED', reason?, submittedAt, decidedAt? }</w:t>
      </w:r>
    </w:p>
    <w:p>
      <w:pPr>
        <w:spacing w:after="40"/>
        <w:ind w:left="173"/>
      </w:pPr>
      <w:r>
        <w:rPr>
          <w:rFonts w:ascii="Calibri" w:hAnsi="Calibri"/>
          <w:b/>
          <w:color w:val="0B1F3A"/>
          <w:sz w:val="21"/>
        </w:rPr>
        <w:t xml:space="preserve">Error responses  </w:t>
      </w:r>
      <w:r>
        <w:rPr>
          <w:rFonts w:ascii="Consolas" w:hAnsi="Consolas"/>
          <w:color w:val="146EF5"/>
          <w:sz w:val="21"/>
        </w:rPr>
        <w:t>404</w:t>
      </w:r>
      <w:r>
        <w:rPr>
          <w:rFonts w:ascii="Calibri" w:hAnsi="Calibri"/>
          <w:b w:val="0"/>
          <w:i w:val="0"/>
          <w:color w:val="101828"/>
          <w:sz w:val="21"/>
        </w:rPr>
        <w:t xml:space="preserve"> not found</w:t>
      </w:r>
    </w:p>
    <w:p>
      <w:pPr>
        <w:spacing w:after="40"/>
        <w:ind w:left="173"/>
      </w:pPr>
      <w:r>
        <w:rPr>
          <w:rFonts w:ascii="Calibri" w:hAnsi="Calibri"/>
          <w:b/>
          <w:color w:val="0B1F3A"/>
          <w:sz w:val="21"/>
        </w:rPr>
        <w:t xml:space="preserve">Validation rules  </w:t>
      </w:r>
      <w:r>
        <w:rPr>
          <w:rFonts w:ascii="Calibri" w:hAnsi="Calibri"/>
          <w:b w:val="0"/>
          <w:i w:val="0"/>
          <w:color w:val="101828"/>
          <w:sz w:val="21"/>
        </w:rPr>
        <w:t>A rejection reason must be actionable, e.g. 'The document image is unreadable', never 'Verification failed'.</w:t>
      </w:r>
    </w:p>
    <w:p>
      <w:pPr>
        <w:pStyle w:val="Heading2"/>
      </w:pPr>
      <w:r>
        <w:rPr>
          <w:rFonts w:ascii="Calibri" w:hAnsi="Calibri"/>
          <w:b/>
          <w:i w:val="0"/>
          <w:color w:val="146EF5"/>
          <w:sz w:val="29"/>
        </w:rPr>
        <w:t>11.4 Ajo endpoints</w:t>
      </w:r>
    </w:p>
    <w:p>
      <w:pPr>
        <w:pStyle w:val="Heading3"/>
      </w:pPr>
      <w:r>
        <w:rPr>
          <w:rFonts w:ascii="Calibri" w:hAnsi="Calibri"/>
          <w:b/>
          <w:i w:val="0"/>
          <w:color w:val="0B1F3A"/>
          <w:sz w:val="24"/>
        </w:rPr>
        <w:t>POST /api/v1/ajos</w:t>
      </w:r>
    </w:p>
    <w:p>
      <w:pPr>
        <w:spacing w:after="40"/>
        <w:ind w:left="173"/>
      </w:pPr>
      <w:r>
        <w:rPr>
          <w:rFonts w:ascii="Calibri" w:hAnsi="Calibri"/>
          <w:b/>
          <w:color w:val="0B1F3A"/>
          <w:sz w:val="21"/>
        </w:rPr>
        <w:t xml:space="preserve">Purpose  </w:t>
      </w:r>
      <w:r>
        <w:rPr>
          <w:rFonts w:ascii="Calibri" w:hAnsi="Calibri"/>
          <w:b w:val="0"/>
          <w:i w:val="0"/>
          <w:color w:val="101828"/>
          <w:sz w:val="21"/>
        </w:rPr>
        <w:t>Create an Ajo in DRAFT.</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 email-verified.</w:t>
      </w:r>
    </w:p>
    <w:p>
      <w:pPr>
        <w:spacing w:after="40"/>
        <w:ind w:left="173"/>
      </w:pPr>
      <w:r>
        <w:rPr>
          <w:rFonts w:ascii="Calibri" w:hAnsi="Calibri"/>
          <w:b/>
          <w:color w:val="0B1F3A"/>
          <w:sz w:val="21"/>
        </w:rPr>
        <w:t xml:space="preserve">Request body  </w:t>
      </w:r>
      <w:r>
        <w:rPr>
          <w:rFonts w:ascii="Consolas" w:hAnsi="Consolas"/>
          <w:color w:val="146EF5"/>
          <w:sz w:val="21"/>
        </w:rPr>
        <w:t>{ name, contributionKobo, currency: 'NGN', frequency: 'WEEKLY'|'BIWEEKLY'|'MONTHLY', collectionDay: 'FRIDAY', durationRounds, maxMembers, description?, startDate }</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201</w:t>
      </w:r>
      <w:r>
        <w:rPr>
          <w:rFonts w:ascii="Calibri" w:hAnsi="Calibri"/>
          <w:b w:val="0"/>
          <w:i w:val="0"/>
          <w:color w:val="101828"/>
          <w:sz w:val="21"/>
        </w:rPr>
        <w:t xml:space="preserve"> </w:t>
      </w:r>
      <w:r>
        <w:rPr>
          <w:rFonts w:ascii="Consolas" w:hAnsi="Consolas"/>
          <w:color w:val="146EF5"/>
          <w:sz w:val="21"/>
        </w:rPr>
        <w:t>{ ajo: {...}, positions: [...] }</w:t>
      </w:r>
    </w:p>
    <w:p>
      <w:pPr>
        <w:spacing w:after="40"/>
        <w:ind w:left="173"/>
      </w:pPr>
      <w:r>
        <w:rPr>
          <w:rFonts w:ascii="Calibri" w:hAnsi="Calibri"/>
          <w:b/>
          <w:color w:val="0B1F3A"/>
          <w:sz w:val="21"/>
        </w:rPr>
        <w:t xml:space="preserve">Error responses  </w:t>
      </w:r>
      <w:r>
        <w:rPr>
          <w:rFonts w:ascii="Consolas" w:hAnsi="Consolas"/>
          <w:color w:val="146EF5"/>
          <w:sz w:val="21"/>
        </w:rPr>
        <w:t>422</w:t>
      </w:r>
      <w:r>
        <w:rPr>
          <w:rFonts w:ascii="Calibri" w:hAnsi="Calibri"/>
          <w:b w:val="0"/>
          <w:i w:val="0"/>
          <w:color w:val="101828"/>
          <w:sz w:val="21"/>
        </w:rPr>
        <w:t xml:space="preserve"> invalid configuration · </w:t>
      </w:r>
      <w:r>
        <w:rPr>
          <w:rFonts w:ascii="Consolas" w:hAnsi="Consolas"/>
          <w:color w:val="146EF5"/>
          <w:sz w:val="21"/>
        </w:rPr>
        <w:t>403</w:t>
      </w:r>
      <w:r>
        <w:rPr>
          <w:rFonts w:ascii="Calibri" w:hAnsi="Calibri"/>
          <w:b w:val="0"/>
          <w:i w:val="0"/>
          <w:color w:val="101828"/>
          <w:sz w:val="21"/>
        </w:rPr>
        <w:t xml:space="preserve"> not verified · </w:t>
      </w:r>
      <w:r>
        <w:rPr>
          <w:rFonts w:ascii="Consolas" w:hAnsi="Consolas"/>
          <w:color w:val="146EF5"/>
          <w:sz w:val="21"/>
        </w:rPr>
        <w:t>409</w:t>
      </w:r>
      <w:r>
        <w:rPr>
          <w:rFonts w:ascii="Calibri" w:hAnsi="Calibri"/>
          <w:b w:val="0"/>
          <w:i w:val="0"/>
          <w:color w:val="101828"/>
          <w:sz w:val="21"/>
        </w:rPr>
        <w:t xml:space="preserve"> duplicate active Ajo</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Contribution between NGN 1,000.00 and NGN 5,000,000.00, and duration × maxMembers subject to the platform cap (open decision D-08). The creator is assigned a position and becomes </w:t>
      </w:r>
      <w:r>
        <w:rPr>
          <w:rFonts w:ascii="Consolas" w:hAnsi="Consolas"/>
          <w:color w:val="146EF5"/>
          <w:sz w:val="21"/>
        </w:rPr>
        <w:t>ajo_organizer</w:t>
      </w:r>
      <w:r>
        <w:rPr>
          <w:rFonts w:ascii="Calibri" w:hAnsi="Calibri"/>
          <w:b w:val="0"/>
          <w:i w:val="0"/>
          <w:color w:val="101828"/>
          <w:sz w:val="21"/>
        </w:rPr>
        <w:t xml:space="preserve"> + </w:t>
      </w:r>
      <w:r>
        <w:rPr>
          <w:rFonts w:ascii="Consolas" w:hAnsi="Consolas"/>
          <w:color w:val="146EF5"/>
          <w:sz w:val="21"/>
        </w:rPr>
        <w:t>ajo_member</w:t>
      </w:r>
      <w:r>
        <w:rPr>
          <w:rFonts w:ascii="Calibri" w:hAnsi="Calibri"/>
          <w:b w:val="0"/>
          <w:i w:val="0"/>
          <w:color w:val="101828"/>
          <w:sz w:val="21"/>
        </w:rPr>
        <w:t>. Membership is zero at creation — positions are claimed by invitees.</w:t>
      </w:r>
    </w:p>
    <w:p>
      <w:pPr>
        <w:pStyle w:val="Heading3"/>
      </w:pPr>
      <w:r>
        <w:rPr>
          <w:rFonts w:ascii="Calibri" w:hAnsi="Calibri"/>
          <w:b/>
          <w:i w:val="0"/>
          <w:color w:val="0B1F3A"/>
          <w:sz w:val="24"/>
        </w:rPr>
        <w:t>GET /api/v1/ajos</w:t>
      </w:r>
    </w:p>
    <w:p>
      <w:pPr>
        <w:spacing w:after="40"/>
        <w:ind w:left="173"/>
      </w:pPr>
      <w:r>
        <w:rPr>
          <w:rFonts w:ascii="Calibri" w:hAnsi="Calibri"/>
          <w:b/>
          <w:color w:val="0B1F3A"/>
          <w:sz w:val="21"/>
        </w:rPr>
        <w:t xml:space="preserve">Purpose  </w:t>
      </w:r>
      <w:r>
        <w:rPr>
          <w:rFonts w:ascii="Calibri" w:hAnsi="Calibri"/>
          <w:b w:val="0"/>
          <w:i w:val="0"/>
          <w:color w:val="101828"/>
          <w:sz w:val="21"/>
        </w:rPr>
        <w:t>List Ajos the caller belongs to.</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data: [{ id, name, status, yourPosition, yourRole, contributionKobo, nextDueAt, currentRound, totalRounds, membersCount, positionsFilled }], page: {...} }</w:t>
      </w:r>
    </w:p>
    <w:p>
      <w:pPr>
        <w:spacing w:after="40"/>
        <w:ind w:left="173"/>
      </w:pPr>
      <w:r>
        <w:rPr>
          <w:rFonts w:ascii="Calibri" w:hAnsi="Calibri"/>
          <w:b/>
          <w:color w:val="0B1F3A"/>
          <w:sz w:val="21"/>
        </w:rPr>
        <w:t xml:space="preserve">Error responses  </w:t>
      </w:r>
      <w:r>
        <w:rPr>
          <w:rFonts w:ascii="Calibri" w:hAnsi="Calibri"/>
          <w:b w:val="0"/>
          <w:i w:val="0"/>
          <w:color w:val="101828"/>
          <w:sz w:val="21"/>
        </w:rPr>
        <w:t>None</w:t>
      </w:r>
    </w:p>
    <w:p>
      <w:pPr>
        <w:spacing w:after="40"/>
        <w:ind w:left="173"/>
      </w:pPr>
      <w:r>
        <w:rPr>
          <w:rFonts w:ascii="Calibri" w:hAnsi="Calibri"/>
          <w:b/>
          <w:color w:val="0B1F3A"/>
          <w:sz w:val="21"/>
        </w:rPr>
        <w:t xml:space="preserve">Validation rules  </w:t>
      </w:r>
      <w:r>
        <w:rPr>
          <w:rFonts w:ascii="Calibri" w:hAnsi="Calibri"/>
          <w:b w:val="0"/>
          <w:i w:val="0"/>
          <w:color w:val="101828"/>
          <w:sz w:val="21"/>
        </w:rPr>
        <w:t>Scoped by membership. RLS enforces that a member can only ever see their own Ajos.</w:t>
      </w:r>
    </w:p>
    <w:p>
      <w:pPr>
        <w:pStyle w:val="Heading3"/>
      </w:pPr>
      <w:r>
        <w:rPr>
          <w:rFonts w:ascii="Calibri" w:hAnsi="Calibri"/>
          <w:b/>
          <w:i w:val="0"/>
          <w:color w:val="0B1F3A"/>
          <w:sz w:val="24"/>
        </w:rPr>
        <w:t>GET /api/v1/ajos/:id</w:t>
      </w:r>
    </w:p>
    <w:p>
      <w:pPr>
        <w:spacing w:after="40"/>
        <w:ind w:left="173"/>
      </w:pPr>
      <w:r>
        <w:rPr>
          <w:rFonts w:ascii="Calibri" w:hAnsi="Calibri"/>
          <w:b/>
          <w:color w:val="0B1F3A"/>
          <w:sz w:val="21"/>
        </w:rPr>
        <w:t xml:space="preserve">Purpose  </w:t>
      </w:r>
      <w:r>
        <w:rPr>
          <w:rFonts w:ascii="Calibri" w:hAnsi="Calibri"/>
          <w:b w:val="0"/>
          <w:i w:val="0"/>
          <w:color w:val="101828"/>
          <w:sz w:val="21"/>
        </w:rPr>
        <w:t>Full Ajo detail.</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 of that Ajo.</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ajo, positions, members, schedule, yourCommitment, rules }</w:t>
      </w:r>
    </w:p>
    <w:p>
      <w:pPr>
        <w:spacing w:after="40"/>
        <w:ind w:left="173"/>
      </w:pPr>
      <w:r>
        <w:rPr>
          <w:rFonts w:ascii="Calibri" w:hAnsi="Calibri"/>
          <w:b/>
          <w:color w:val="0B1F3A"/>
          <w:sz w:val="21"/>
        </w:rPr>
        <w:t xml:space="preserve">Error responses  </w:t>
      </w:r>
      <w:r>
        <w:rPr>
          <w:rFonts w:ascii="Consolas" w:hAnsi="Consolas"/>
          <w:color w:val="146EF5"/>
          <w:sz w:val="21"/>
        </w:rPr>
        <w:t>403</w:t>
      </w:r>
      <w:r>
        <w:rPr>
          <w:rFonts w:ascii="Calibri" w:hAnsi="Calibri"/>
          <w:b w:val="0"/>
          <w:i w:val="0"/>
          <w:color w:val="101828"/>
          <w:sz w:val="21"/>
        </w:rPr>
        <w:t xml:space="preserve"> not a member · </w:t>
      </w:r>
      <w:r>
        <w:rPr>
          <w:rFonts w:ascii="Consolas" w:hAnsi="Consolas"/>
          <w:color w:val="146EF5"/>
          <w:sz w:val="21"/>
        </w:rPr>
        <w:t>404</w:t>
      </w:r>
      <w:r>
        <w:rPr>
          <w:rFonts w:ascii="Calibri" w:hAnsi="Calibri"/>
          <w:b w:val="0"/>
          <w:i w:val="0"/>
          <w:color w:val="101828"/>
          <w:sz w:val="21"/>
        </w:rPr>
        <w:t xml:space="preserve"> not found</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Includes the Ajo's rules document and, for the organizer, a </w:t>
      </w:r>
      <w:r>
        <w:rPr>
          <w:rFonts w:ascii="Consolas" w:hAnsi="Consolas"/>
          <w:color w:val="146EF5"/>
          <w:sz w:val="21"/>
        </w:rPr>
        <w:t>rulesAcknowledged</w:t>
      </w:r>
      <w:r>
        <w:rPr>
          <w:rFonts w:ascii="Calibri" w:hAnsi="Calibri"/>
          <w:b w:val="0"/>
          <w:i w:val="0"/>
          <w:color w:val="101828"/>
          <w:sz w:val="21"/>
        </w:rPr>
        <w:t xml:space="preserve"> flag per member.</w:t>
      </w:r>
    </w:p>
    <w:p>
      <w:pPr>
        <w:pStyle w:val="Heading3"/>
      </w:pPr>
      <w:r>
        <w:rPr>
          <w:rFonts w:ascii="Calibri" w:hAnsi="Calibri"/>
          <w:b/>
          <w:i w:val="0"/>
          <w:color w:val="0B1F3A"/>
          <w:sz w:val="24"/>
        </w:rPr>
        <w:t>PATCH /api/v1/ajos/:id</w:t>
      </w:r>
    </w:p>
    <w:p>
      <w:pPr>
        <w:spacing w:after="40"/>
        <w:ind w:left="173"/>
      </w:pPr>
      <w:r>
        <w:rPr>
          <w:rFonts w:ascii="Calibri" w:hAnsi="Calibri"/>
          <w:b/>
          <w:color w:val="0B1F3A"/>
          <w:sz w:val="21"/>
        </w:rPr>
        <w:t xml:space="preserve">Purpose  </w:t>
      </w:r>
      <w:r>
        <w:rPr>
          <w:rFonts w:ascii="Calibri" w:hAnsi="Calibri"/>
          <w:b w:val="0"/>
          <w:i w:val="0"/>
          <w:color w:val="101828"/>
          <w:sz w:val="21"/>
        </w:rPr>
        <w:t>Edit Ajo configuration.</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ajo_organizer, and only while DRAFT or ENROLLMENT.</w:t>
      </w:r>
    </w:p>
    <w:p>
      <w:pPr>
        <w:spacing w:after="40"/>
        <w:ind w:left="173"/>
      </w:pPr>
      <w:r>
        <w:rPr>
          <w:rFonts w:ascii="Calibri" w:hAnsi="Calibri"/>
          <w:b/>
          <w:color w:val="0B1F3A"/>
          <w:sz w:val="21"/>
        </w:rPr>
        <w:t xml:space="preserve">Request body  </w:t>
      </w:r>
      <w:r>
        <w:rPr>
          <w:rFonts w:ascii="Consolas" w:hAnsi="Consolas"/>
          <w:color w:val="146EF5"/>
          <w:sz w:val="21"/>
        </w:rPr>
        <w:t>{ name?, description?, contributionKobo?, collectionDay?, startDate? }</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ajo }</w:t>
      </w:r>
    </w:p>
    <w:p>
      <w:pPr>
        <w:spacing w:after="40"/>
        <w:ind w:left="173"/>
      </w:pPr>
      <w:r>
        <w:rPr>
          <w:rFonts w:ascii="Calibri" w:hAnsi="Calibri"/>
          <w:b/>
          <w:color w:val="0B1F3A"/>
          <w:sz w:val="21"/>
        </w:rPr>
        <w:t xml:space="preserve">Error responses  </w:t>
      </w:r>
      <w:r>
        <w:rPr>
          <w:rFonts w:ascii="Consolas" w:hAnsi="Consolas"/>
          <w:color w:val="146EF5"/>
          <w:sz w:val="21"/>
        </w:rPr>
        <w:t>409</w:t>
      </w:r>
      <w:r>
        <w:rPr>
          <w:rFonts w:ascii="Calibri" w:hAnsi="Calibri"/>
          <w:b w:val="0"/>
          <w:i w:val="0"/>
          <w:color w:val="101828"/>
          <w:sz w:val="21"/>
        </w:rPr>
        <w:t xml:space="preserve"> not editable in current status (locked on activation) · </w:t>
      </w:r>
      <w:r>
        <w:rPr>
          <w:rFonts w:ascii="Consolas" w:hAnsi="Consolas"/>
          <w:color w:val="146EF5"/>
          <w:sz w:val="21"/>
        </w:rPr>
        <w:t>422</w:t>
      </w:r>
      <w:r>
        <w:rPr>
          <w:rFonts w:ascii="Calibri" w:hAnsi="Calibri"/>
          <w:b w:val="0"/>
          <w:i w:val="0"/>
          <w:color w:val="101828"/>
          <w:sz w:val="21"/>
        </w:rPr>
        <w:t xml:space="preserve"> invalid value</w:t>
      </w:r>
    </w:p>
    <w:p>
      <w:pPr>
        <w:spacing w:after="40"/>
        <w:ind w:left="173"/>
      </w:pPr>
      <w:r>
        <w:rPr>
          <w:rFonts w:ascii="Calibri" w:hAnsi="Calibri"/>
          <w:b/>
          <w:color w:val="0B1F3A"/>
          <w:sz w:val="21"/>
        </w:rPr>
        <w:t xml:space="preserve">Validation rules  </w:t>
      </w:r>
      <w:r>
        <w:rPr>
          <w:rFonts w:ascii="Calibri" w:hAnsi="Calibri"/>
          <w:b/>
          <w:color w:val="101828"/>
          <w:sz w:val="21"/>
        </w:rPr>
        <w:t>Any field that affects money or a member's obligation is immutable once the Ajo is ACTIVE.</w:t>
      </w:r>
      <w:r>
        <w:rPr>
          <w:rFonts w:ascii="Calibri" w:hAnsi="Calibri"/>
          <w:b w:val="0"/>
          <w:i w:val="0"/>
          <w:color w:val="101828"/>
          <w:sz w:val="21"/>
        </w:rPr>
        <w:t xml:space="preserve"> This is where the position lock and the contribution lock are enforced.</w:t>
      </w:r>
    </w:p>
    <w:p>
      <w:pPr>
        <w:pStyle w:val="Heading3"/>
      </w:pPr>
      <w:r>
        <w:rPr>
          <w:rFonts w:ascii="Calibri" w:hAnsi="Calibri"/>
          <w:b/>
          <w:i w:val="0"/>
          <w:color w:val="0B1F3A"/>
          <w:sz w:val="24"/>
        </w:rPr>
        <w:t>POST /api/v1/ajos/:id/activate</w:t>
      </w:r>
    </w:p>
    <w:p>
      <w:pPr>
        <w:spacing w:after="40"/>
        <w:ind w:left="173"/>
      </w:pPr>
      <w:r>
        <w:rPr>
          <w:rFonts w:ascii="Calibri" w:hAnsi="Calibri"/>
          <w:b/>
          <w:color w:val="0B1F3A"/>
          <w:sz w:val="21"/>
        </w:rPr>
        <w:t xml:space="preserve">Purpose  </w:t>
      </w:r>
      <w:r>
        <w:rPr>
          <w:rFonts w:ascii="Calibri" w:hAnsi="Calibri"/>
          <w:b w:val="0"/>
          <w:i w:val="0"/>
          <w:color w:val="101828"/>
          <w:sz w:val="21"/>
        </w:rPr>
        <w:t>Close enrollment and activate.</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ajo_organizer.</w:t>
      </w:r>
    </w:p>
    <w:p>
      <w:pPr>
        <w:spacing w:after="40"/>
        <w:ind w:left="173"/>
      </w:pPr>
      <w:r>
        <w:rPr>
          <w:rFonts w:ascii="Calibri" w:hAnsi="Calibri"/>
          <w:b/>
          <w:color w:val="0B1F3A"/>
          <w:sz w:val="21"/>
        </w:rPr>
        <w:t xml:space="preserve">Request body  </w:t>
      </w:r>
      <w:r>
        <w:rPr>
          <w:rFonts w:ascii="Consolas" w:hAnsi="Consolas"/>
          <w:color w:val="146EF5"/>
          <w:sz w:val="21"/>
        </w:rPr>
        <w:t>{ confirm: true }</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ajo, positionsLocked: true, schedule: [...] }</w:t>
      </w:r>
    </w:p>
    <w:p>
      <w:pPr>
        <w:spacing w:after="40"/>
        <w:ind w:left="173"/>
      </w:pPr>
      <w:r>
        <w:rPr>
          <w:rFonts w:ascii="Calibri" w:hAnsi="Calibri"/>
          <w:b/>
          <w:color w:val="0B1F3A"/>
          <w:sz w:val="21"/>
        </w:rPr>
        <w:t xml:space="preserve">Error responses  </w:t>
      </w:r>
      <w:r>
        <w:rPr>
          <w:rFonts w:ascii="Consolas" w:hAnsi="Consolas"/>
          <w:color w:val="146EF5"/>
          <w:sz w:val="21"/>
        </w:rPr>
        <w:t>409</w:t>
      </w:r>
      <w:r>
        <w:rPr>
          <w:rFonts w:ascii="Calibri" w:hAnsi="Calibri"/>
          <w:b w:val="0"/>
          <w:i w:val="0"/>
          <w:color w:val="101828"/>
          <w:sz w:val="21"/>
        </w:rPr>
        <w:t xml:space="preserve"> enrollment not full · </w:t>
      </w:r>
      <w:r>
        <w:rPr>
          <w:rFonts w:ascii="Consolas" w:hAnsi="Consolas"/>
          <w:color w:val="146EF5"/>
          <w:sz w:val="21"/>
        </w:rPr>
        <w:t>409</w:t>
      </w:r>
      <w:r>
        <w:rPr>
          <w:rFonts w:ascii="Calibri" w:hAnsi="Calibri"/>
          <w:b w:val="0"/>
          <w:i w:val="0"/>
          <w:color w:val="101828"/>
          <w:sz w:val="21"/>
        </w:rPr>
        <w:t xml:space="preserve"> already active · </w:t>
      </w:r>
      <w:r>
        <w:rPr>
          <w:rFonts w:ascii="Consolas" w:hAnsi="Consolas"/>
          <w:color w:val="146EF5"/>
          <w:sz w:val="21"/>
        </w:rPr>
        <w:t>422</w:t>
      </w:r>
      <w:r>
        <w:rPr>
          <w:rFonts w:ascii="Calibri" w:hAnsi="Calibri"/>
          <w:b w:val="0"/>
          <w:i w:val="0"/>
          <w:color w:val="101828"/>
          <w:sz w:val="21"/>
        </w:rPr>
        <w:t xml:space="preserve"> schedule could not be generated</w:t>
      </w:r>
    </w:p>
    <w:p>
      <w:pPr>
        <w:spacing w:after="40"/>
        <w:ind w:left="173"/>
      </w:pPr>
      <w:r>
        <w:rPr>
          <w:rFonts w:ascii="Calibri" w:hAnsi="Calibri"/>
          <w:b/>
          <w:color w:val="0B1F3A"/>
          <w:sz w:val="21"/>
        </w:rPr>
        <w:t xml:space="preserve">Validation rules  </w:t>
      </w:r>
      <w:r>
        <w:rPr>
          <w:rFonts w:ascii="Calibri" w:hAnsi="Calibri"/>
          <w:b w:val="0"/>
          <w:i w:val="0"/>
          <w:color w:val="101828"/>
          <w:sz w:val="21"/>
        </w:rPr>
        <w:t>The schedule is generated and all positions lock in a single serialisable transaction. Two concurrent activation attempts must produce exactly one success.</w:t>
      </w:r>
    </w:p>
    <w:p>
      <w:pPr>
        <w:pStyle w:val="Heading3"/>
      </w:pPr>
      <w:r>
        <w:rPr>
          <w:rFonts w:ascii="Calibri" w:hAnsi="Calibri"/>
          <w:b/>
          <w:i w:val="0"/>
          <w:color w:val="0B1F3A"/>
          <w:sz w:val="24"/>
        </w:rPr>
        <w:t>POST /api/v1/ajos/:id/cancel</w:t>
      </w:r>
    </w:p>
    <w:p>
      <w:pPr>
        <w:spacing w:after="40"/>
        <w:ind w:left="173"/>
      </w:pPr>
      <w:r>
        <w:rPr>
          <w:rFonts w:ascii="Calibri" w:hAnsi="Calibri"/>
          <w:b/>
          <w:color w:val="0B1F3A"/>
          <w:sz w:val="21"/>
        </w:rPr>
        <w:t xml:space="preserve">Purpose  </w:t>
      </w:r>
      <w:r>
        <w:rPr>
          <w:rFonts w:ascii="Calibri" w:hAnsi="Calibri"/>
          <w:b w:val="0"/>
          <w:i w:val="0"/>
          <w:color w:val="101828"/>
          <w:sz w:val="21"/>
        </w:rPr>
        <w:t>Cancel the Ajo and refund contributions.</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ajo_organizer or super_admin.</w:t>
      </w:r>
    </w:p>
    <w:p>
      <w:pPr>
        <w:spacing w:after="40"/>
        <w:ind w:left="173"/>
      </w:pPr>
      <w:r>
        <w:rPr>
          <w:rFonts w:ascii="Calibri" w:hAnsi="Calibri"/>
          <w:b/>
          <w:color w:val="0B1F3A"/>
          <w:sz w:val="21"/>
        </w:rPr>
        <w:t xml:space="preserve">Request body  </w:t>
      </w:r>
      <w:r>
        <w:rPr>
          <w:rFonts w:ascii="Consolas" w:hAnsi="Consolas"/>
          <w:color w:val="146EF5"/>
          <w:sz w:val="21"/>
        </w:rPr>
        <w:t>{ reason }</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202</w:t>
      </w:r>
      <w:r>
        <w:rPr>
          <w:rFonts w:ascii="Calibri" w:hAnsi="Calibri"/>
          <w:b w:val="0"/>
          <w:i w:val="0"/>
          <w:color w:val="101828"/>
          <w:sz w:val="21"/>
        </w:rPr>
        <w:t xml:space="preserve"> </w:t>
      </w:r>
      <w:r>
        <w:rPr>
          <w:rFonts w:ascii="Consolas" w:hAnsi="Consolas"/>
          <w:color w:val="146EF5"/>
          <w:sz w:val="21"/>
        </w:rPr>
        <w:t>{ status: 'CANCELLING', refundJobId }</w:t>
      </w:r>
    </w:p>
    <w:p>
      <w:pPr>
        <w:spacing w:after="40"/>
        <w:ind w:left="173"/>
      </w:pPr>
      <w:r>
        <w:rPr>
          <w:rFonts w:ascii="Calibri" w:hAnsi="Calibri"/>
          <w:b/>
          <w:color w:val="0B1F3A"/>
          <w:sz w:val="21"/>
        </w:rPr>
        <w:t xml:space="preserve">Error responses  </w:t>
      </w:r>
      <w:r>
        <w:rPr>
          <w:rFonts w:ascii="Consolas" w:hAnsi="Consolas"/>
          <w:color w:val="146EF5"/>
          <w:sz w:val="21"/>
        </w:rPr>
        <w:t>409</w:t>
      </w:r>
      <w:r>
        <w:rPr>
          <w:rFonts w:ascii="Calibri" w:hAnsi="Calibri"/>
          <w:b w:val="0"/>
          <w:i w:val="0"/>
          <w:color w:val="101828"/>
          <w:sz w:val="21"/>
        </w:rPr>
        <w:t xml:space="preserve"> already terminal · </w:t>
      </w:r>
      <w:r>
        <w:rPr>
          <w:rFonts w:ascii="Consolas" w:hAnsi="Consolas"/>
          <w:color w:val="146EF5"/>
          <w:sz w:val="21"/>
        </w:rPr>
        <w:t>422</w:t>
      </w:r>
      <w:r>
        <w:rPr>
          <w:rFonts w:ascii="Calibri" w:hAnsi="Calibri"/>
          <w:b w:val="0"/>
          <w:i w:val="0"/>
          <w:color w:val="101828"/>
          <w:sz w:val="21"/>
        </w:rPr>
        <w:t xml:space="preserve"> reason required</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Asynchronous: every unsettled contribution is refunded and every settled one queued for refund. Triggers </w:t>
      </w:r>
      <w:r>
        <w:rPr>
          <w:rFonts w:ascii="Consolas" w:hAnsi="Consolas"/>
          <w:color w:val="146EF5"/>
          <w:sz w:val="21"/>
        </w:rPr>
        <w:t>refunds_payable</w:t>
      </w:r>
      <w:r>
        <w:rPr>
          <w:rFonts w:ascii="Calibri" w:hAnsi="Calibri"/>
          <w:b w:val="0"/>
          <w:i w:val="0"/>
          <w:color w:val="101828"/>
          <w:sz w:val="21"/>
        </w:rPr>
        <w:t xml:space="preserve"> entries. </w:t>
      </w:r>
      <w:r>
        <w:rPr>
          <w:rFonts w:ascii="Calibri" w:hAnsi="Calibri"/>
          <w:b/>
          <w:color w:val="101828"/>
          <w:sz w:val="21"/>
        </w:rPr>
        <w:t>Decision D-05 is open: whether the 2% fee is refundable on cancellation.</w:t>
      </w:r>
      <w:r>
        <w:rPr>
          <w:rFonts w:ascii="Calibri" w:hAnsi="Calibri"/>
          <w:b w:val="0"/>
          <w:i w:val="0"/>
          <w:color w:val="101828"/>
          <w:sz w:val="21"/>
        </w:rPr>
        <w:t xml:space="preserve"> Until decided, the conservative assumption is that the fee is not refunded, and this must be disclosed in the cancellation flow.</w:t>
      </w:r>
    </w:p>
    <w:p>
      <w:pPr>
        <w:pStyle w:val="Heading3"/>
      </w:pPr>
      <w:r>
        <w:rPr>
          <w:rFonts w:ascii="Calibri" w:hAnsi="Calibri"/>
          <w:b/>
          <w:i w:val="0"/>
          <w:color w:val="0B1F3A"/>
          <w:sz w:val="24"/>
        </w:rPr>
        <w:t>POST /api/v1/ajos/:id/freeze</w:t>
      </w:r>
    </w:p>
    <w:p>
      <w:pPr>
        <w:spacing w:after="40"/>
        <w:ind w:left="173"/>
      </w:pPr>
      <w:r>
        <w:rPr>
          <w:rFonts w:ascii="Calibri" w:hAnsi="Calibri"/>
          <w:b/>
          <w:color w:val="0B1F3A"/>
          <w:sz w:val="21"/>
        </w:rPr>
        <w:t xml:space="preserve">Purpose  </w:t>
      </w:r>
      <w:r>
        <w:rPr>
          <w:rFonts w:ascii="Calibri" w:hAnsi="Calibri"/>
          <w:b w:val="0"/>
          <w:i w:val="0"/>
          <w:color w:val="101828"/>
          <w:sz w:val="21"/>
        </w:rPr>
        <w:t>Freeze the Ajo and halt collections and payouts.</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risk_officer, support (with reason) or super_admin.</w:t>
      </w:r>
    </w:p>
    <w:p>
      <w:pPr>
        <w:spacing w:after="40"/>
        <w:ind w:left="173"/>
      </w:pPr>
      <w:r>
        <w:rPr>
          <w:rFonts w:ascii="Calibri" w:hAnsi="Calibri"/>
          <w:b/>
          <w:color w:val="0B1F3A"/>
          <w:sz w:val="21"/>
        </w:rPr>
        <w:t xml:space="preserve">Request body  </w:t>
      </w:r>
      <w:r>
        <w:rPr>
          <w:rFonts w:ascii="Consolas" w:hAnsi="Consolas"/>
          <w:color w:val="146EF5"/>
          <w:sz w:val="21"/>
        </w:rPr>
        <w:t>{ reason }</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ajo, frozenReason }</w:t>
      </w:r>
    </w:p>
    <w:p>
      <w:pPr>
        <w:spacing w:after="40"/>
        <w:ind w:left="173"/>
      </w:pPr>
      <w:r>
        <w:rPr>
          <w:rFonts w:ascii="Calibri" w:hAnsi="Calibri"/>
          <w:b/>
          <w:color w:val="0B1F3A"/>
          <w:sz w:val="21"/>
        </w:rPr>
        <w:t xml:space="preserve">Error responses  </w:t>
      </w:r>
      <w:r>
        <w:rPr>
          <w:rFonts w:ascii="Consolas" w:hAnsi="Consolas"/>
          <w:color w:val="146EF5"/>
          <w:sz w:val="21"/>
        </w:rPr>
        <w:t>422</w:t>
      </w:r>
      <w:r>
        <w:rPr>
          <w:rFonts w:ascii="Calibri" w:hAnsi="Calibri"/>
          <w:b w:val="0"/>
          <w:i w:val="0"/>
          <w:color w:val="101828"/>
          <w:sz w:val="21"/>
        </w:rPr>
        <w:t xml:space="preserve"> reason required</w:t>
      </w:r>
    </w:p>
    <w:p>
      <w:pPr>
        <w:spacing w:after="40"/>
        <w:ind w:left="173"/>
      </w:pPr>
      <w:r>
        <w:rPr>
          <w:rFonts w:ascii="Calibri" w:hAnsi="Calibri"/>
          <w:b/>
          <w:color w:val="0B1F3A"/>
          <w:sz w:val="21"/>
        </w:rPr>
        <w:t xml:space="preserve">Validation rules  </w:t>
      </w:r>
      <w:r>
        <w:rPr>
          <w:rFonts w:ascii="Calibri" w:hAnsi="Calibri"/>
          <w:b w:val="0"/>
          <w:i w:val="0"/>
          <w:color w:val="101828"/>
          <w:sz w:val="21"/>
        </w:rPr>
        <w:t>A frozen Ajo accepts no contributions and releases no payouts. Used for fraud investigation, provider outage or legal instruction.</w:t>
      </w:r>
    </w:p>
    <w:p>
      <w:pPr>
        <w:pStyle w:val="Heading3"/>
      </w:pPr>
      <w:r>
        <w:rPr>
          <w:rFonts w:ascii="Calibri" w:hAnsi="Calibri"/>
          <w:b/>
          <w:i w:val="0"/>
          <w:color w:val="0B1F3A"/>
          <w:sz w:val="24"/>
        </w:rPr>
        <w:t>POST /api/v1/ajos/:id/unfreeze</w:t>
      </w:r>
    </w:p>
    <w:p>
      <w:pPr>
        <w:spacing w:after="40"/>
        <w:ind w:left="173"/>
      </w:pPr>
      <w:r>
        <w:rPr>
          <w:rFonts w:ascii="Calibri" w:hAnsi="Calibri"/>
          <w:b/>
          <w:color w:val="0B1F3A"/>
          <w:sz w:val="21"/>
        </w:rPr>
        <w:t xml:space="preserve">Purpose  </w:t>
      </w:r>
      <w:r>
        <w:rPr>
          <w:rFonts w:ascii="Calibri" w:hAnsi="Calibri"/>
          <w:b w:val="0"/>
          <w:i w:val="0"/>
          <w:color w:val="101828"/>
          <w:sz w:val="21"/>
        </w:rPr>
        <w:t>Resume a frozen Ajo.</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risk_officer or super_admin.</w:t>
      </w:r>
    </w:p>
    <w:p>
      <w:pPr>
        <w:spacing w:after="40"/>
        <w:ind w:left="173"/>
      </w:pPr>
      <w:r>
        <w:rPr>
          <w:rFonts w:ascii="Calibri" w:hAnsi="Calibri"/>
          <w:b/>
          <w:color w:val="0B1F3A"/>
          <w:sz w:val="21"/>
        </w:rPr>
        <w:t xml:space="preserve">Request body  </w:t>
      </w:r>
      <w:r>
        <w:rPr>
          <w:rFonts w:ascii="Consolas" w:hAnsi="Consolas"/>
          <w:color w:val="146EF5"/>
          <w:sz w:val="21"/>
        </w:rPr>
        <w:t>{ reason }</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ajo }</w:t>
      </w:r>
    </w:p>
    <w:p>
      <w:pPr>
        <w:spacing w:after="40"/>
        <w:ind w:left="173"/>
      </w:pPr>
      <w:r>
        <w:rPr>
          <w:rFonts w:ascii="Calibri" w:hAnsi="Calibri"/>
          <w:b/>
          <w:color w:val="0B1F3A"/>
          <w:sz w:val="21"/>
        </w:rPr>
        <w:t xml:space="preserve">Error responses  </w:t>
      </w:r>
      <w:r>
        <w:rPr>
          <w:rFonts w:ascii="Consolas" w:hAnsi="Consolas"/>
          <w:color w:val="146EF5"/>
          <w:sz w:val="21"/>
        </w:rPr>
        <w:t>409</w:t>
      </w:r>
      <w:r>
        <w:rPr>
          <w:rFonts w:ascii="Calibri" w:hAnsi="Calibri"/>
          <w:b w:val="0"/>
          <w:i w:val="0"/>
          <w:color w:val="101828"/>
          <w:sz w:val="21"/>
        </w:rPr>
        <w:t xml:space="preserve"> not frozen</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Requires a recorded reason and writes a </w:t>
      </w:r>
      <w:r>
        <w:rPr>
          <w:rFonts w:ascii="Consolas" w:hAnsi="Consolas"/>
          <w:color w:val="146EF5"/>
          <w:sz w:val="21"/>
        </w:rPr>
        <w:t>risk_events</w:t>
      </w:r>
      <w:r>
        <w:rPr>
          <w:rFonts w:ascii="Calibri" w:hAnsi="Calibri"/>
          <w:b w:val="0"/>
          <w:i w:val="0"/>
          <w:color w:val="101828"/>
          <w:sz w:val="21"/>
        </w:rPr>
        <w:t xml:space="preserve"> row.</w:t>
      </w:r>
    </w:p>
    <w:p>
      <w:pPr>
        <w:pStyle w:val="Heading3"/>
      </w:pPr>
      <w:r>
        <w:rPr>
          <w:rFonts w:ascii="Calibri" w:hAnsi="Calibri"/>
          <w:b/>
          <w:i w:val="0"/>
          <w:color w:val="0B1F3A"/>
          <w:sz w:val="24"/>
        </w:rPr>
        <w:t>GET /api/v1/ajos/:id/summary</w:t>
      </w:r>
    </w:p>
    <w:p>
      <w:pPr>
        <w:spacing w:after="40"/>
        <w:ind w:left="173"/>
      </w:pPr>
      <w:r>
        <w:rPr>
          <w:rFonts w:ascii="Calibri" w:hAnsi="Calibri"/>
          <w:b/>
          <w:color w:val="0B1F3A"/>
          <w:sz w:val="21"/>
        </w:rPr>
        <w:t xml:space="preserve">Purpose  </w:t>
      </w:r>
      <w:r>
        <w:rPr>
          <w:rFonts w:ascii="Calibri" w:hAnsi="Calibri"/>
          <w:b w:val="0"/>
          <w:i w:val="0"/>
          <w:color w:val="101828"/>
          <w:sz w:val="21"/>
        </w:rPr>
        <w:t>Aggregate Ajo state for the dashboard.</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 of that Ajo.</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status, round, collectedThisRoundKobo, expectedThisRoundKobo, membersPaid, membersTotal, yourOutstandingKobo, nextPayoutAt, nextPayoutRecipient }</w:t>
      </w:r>
    </w:p>
    <w:p>
      <w:pPr>
        <w:spacing w:after="40"/>
        <w:ind w:left="173"/>
      </w:pPr>
      <w:r>
        <w:rPr>
          <w:rFonts w:ascii="Calibri" w:hAnsi="Calibri"/>
          <w:b/>
          <w:color w:val="0B1F3A"/>
          <w:sz w:val="21"/>
        </w:rPr>
        <w:t xml:space="preserve">Error responses  </w:t>
      </w:r>
      <w:r>
        <w:rPr>
          <w:rFonts w:ascii="Consolas" w:hAnsi="Consolas"/>
          <w:color w:val="146EF5"/>
          <w:sz w:val="21"/>
        </w:rPr>
        <w:t>403</w:t>
      </w:r>
      <w:r>
        <w:rPr>
          <w:rFonts w:ascii="Calibri" w:hAnsi="Calibri"/>
          <w:b w:val="0"/>
          <w:i w:val="0"/>
          <w:color w:val="101828"/>
          <w:sz w:val="21"/>
        </w:rPr>
        <w:t xml:space="preserve"> not a member</w:t>
      </w:r>
    </w:p>
    <w:p>
      <w:pPr>
        <w:spacing w:after="40"/>
        <w:ind w:left="173"/>
      </w:pPr>
      <w:r>
        <w:rPr>
          <w:rFonts w:ascii="Calibri" w:hAnsi="Calibri"/>
          <w:b/>
          <w:color w:val="0B1F3A"/>
          <w:sz w:val="21"/>
        </w:rPr>
        <w:t xml:space="preserve">Validation rules  </w:t>
      </w:r>
      <w:r>
        <w:rPr>
          <w:rFonts w:ascii="Calibri" w:hAnsi="Calibri"/>
          <w:b w:val="0"/>
          <w:i w:val="0"/>
          <w:color w:val="101828"/>
          <w:sz w:val="21"/>
        </w:rPr>
        <w:t>Reads the ledger, not a cached counter. Never cached (section 10.10).</w:t>
      </w:r>
    </w:p>
    <w:p>
      <w:pPr>
        <w:pStyle w:val="Heading3"/>
      </w:pPr>
      <w:r>
        <w:rPr>
          <w:rFonts w:ascii="Calibri" w:hAnsi="Calibri"/>
          <w:b/>
          <w:i w:val="0"/>
          <w:color w:val="0B1F3A"/>
          <w:sz w:val="24"/>
        </w:rPr>
        <w:t>GET /api/v1/ajos/:id/positions</w:t>
      </w:r>
    </w:p>
    <w:p>
      <w:pPr>
        <w:spacing w:after="40"/>
        <w:ind w:left="173"/>
      </w:pPr>
      <w:r>
        <w:rPr>
          <w:rFonts w:ascii="Calibri" w:hAnsi="Calibri"/>
          <w:b/>
          <w:color w:val="0B1F3A"/>
          <w:sz w:val="21"/>
        </w:rPr>
        <w:t xml:space="preserve">Purpose  </w:t>
      </w:r>
      <w:r>
        <w:rPr>
          <w:rFonts w:ascii="Calibri" w:hAnsi="Calibri"/>
          <w:b w:val="0"/>
          <w:i w:val="0"/>
          <w:color w:val="101828"/>
          <w:sz w:val="21"/>
        </w:rPr>
        <w:t>List payout positions.</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 of that Ajo.</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positions: [{ positionNumber, memberId, memberName, status: 'OPEN'|'CLAIMED'|'LOCKED', roundNumber, claimedAt? }] }</w:t>
      </w:r>
    </w:p>
    <w:p>
      <w:pPr>
        <w:spacing w:after="40"/>
        <w:ind w:left="173"/>
      </w:pPr>
      <w:r>
        <w:rPr>
          <w:rFonts w:ascii="Calibri" w:hAnsi="Calibri"/>
          <w:b/>
          <w:color w:val="0B1F3A"/>
          <w:sz w:val="21"/>
        </w:rPr>
        <w:t xml:space="preserve">Error responses  </w:t>
      </w:r>
      <w:r>
        <w:rPr>
          <w:rFonts w:ascii="Calibri" w:hAnsi="Calibri"/>
          <w:b w:val="0"/>
          <w:i w:val="0"/>
          <w:color w:val="101828"/>
          <w:sz w:val="21"/>
        </w:rPr>
        <w:t>None</w:t>
      </w:r>
    </w:p>
    <w:p>
      <w:pPr>
        <w:spacing w:after="40"/>
        <w:ind w:left="173"/>
      </w:pPr>
      <w:r>
        <w:rPr>
          <w:rFonts w:ascii="Calibri" w:hAnsi="Calibri"/>
          <w:b/>
          <w:color w:val="0B1F3A"/>
          <w:sz w:val="21"/>
        </w:rPr>
        <w:t xml:space="preserve">Validation rules  </w:t>
      </w:r>
      <w:r>
        <w:rPr>
          <w:rFonts w:ascii="Calibri" w:hAnsi="Calibri"/>
          <w:b w:val="0"/>
          <w:i w:val="0"/>
          <w:color w:val="101828"/>
          <w:sz w:val="21"/>
        </w:rPr>
        <w:t>Before activation a position is OPEN or CLAIMED. After activation every position is LOCKED and immutable.</w:t>
      </w:r>
    </w:p>
    <w:p>
      <w:pPr>
        <w:pStyle w:val="Heading3"/>
      </w:pPr>
      <w:r>
        <w:rPr>
          <w:rFonts w:ascii="Calibri" w:hAnsi="Calibri"/>
          <w:b/>
          <w:i w:val="0"/>
          <w:color w:val="0B1F3A"/>
          <w:sz w:val="24"/>
        </w:rPr>
        <w:t>POST /api/v1/ajos/:id/positions/claim</w:t>
      </w:r>
    </w:p>
    <w:p>
      <w:pPr>
        <w:spacing w:after="40"/>
        <w:ind w:left="173"/>
      </w:pPr>
      <w:r>
        <w:rPr>
          <w:rFonts w:ascii="Calibri" w:hAnsi="Calibri"/>
          <w:b/>
          <w:color w:val="0B1F3A"/>
          <w:sz w:val="21"/>
        </w:rPr>
        <w:t xml:space="preserve">Purpose  </w:t>
      </w:r>
      <w:r>
        <w:rPr>
          <w:rFonts w:ascii="Calibri" w:hAnsi="Calibri"/>
          <w:b w:val="0"/>
          <w:i w:val="0"/>
          <w:color w:val="101828"/>
          <w:sz w:val="21"/>
        </w:rPr>
        <w:t>Claim a payout position.</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 of that Ajo, in ENROLLMENT.</w:t>
      </w:r>
    </w:p>
    <w:p>
      <w:pPr>
        <w:spacing w:after="40"/>
        <w:ind w:left="173"/>
      </w:pPr>
      <w:r>
        <w:rPr>
          <w:rFonts w:ascii="Calibri" w:hAnsi="Calibri"/>
          <w:b/>
          <w:color w:val="0B1F3A"/>
          <w:sz w:val="21"/>
        </w:rPr>
        <w:t xml:space="preserve">Request body  </w:t>
      </w:r>
      <w:r>
        <w:rPr>
          <w:rFonts w:ascii="Consolas" w:hAnsi="Consolas"/>
          <w:color w:val="146EF5"/>
          <w:sz w:val="21"/>
        </w:rPr>
        <w:t>{ positionNumber }</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position }</w:t>
      </w:r>
    </w:p>
    <w:p>
      <w:pPr>
        <w:spacing w:after="40"/>
        <w:ind w:left="173"/>
      </w:pPr>
      <w:r>
        <w:rPr>
          <w:rFonts w:ascii="Calibri" w:hAnsi="Calibri"/>
          <w:b/>
          <w:color w:val="0B1F3A"/>
          <w:sz w:val="21"/>
        </w:rPr>
        <w:t xml:space="preserve">Error responses  </w:t>
      </w:r>
      <w:r>
        <w:rPr>
          <w:rFonts w:ascii="Consolas" w:hAnsi="Consolas"/>
          <w:color w:val="146EF5"/>
          <w:sz w:val="21"/>
        </w:rPr>
        <w:t>409</w:t>
      </w:r>
      <w:r>
        <w:rPr>
          <w:rFonts w:ascii="Calibri" w:hAnsi="Calibri"/>
          <w:b w:val="0"/>
          <w:i w:val="0"/>
          <w:color w:val="101828"/>
          <w:sz w:val="21"/>
        </w:rPr>
        <w:t xml:space="preserve"> position already claimed · </w:t>
      </w:r>
      <w:r>
        <w:rPr>
          <w:rFonts w:ascii="Consolas" w:hAnsi="Consolas"/>
          <w:color w:val="146EF5"/>
          <w:sz w:val="21"/>
        </w:rPr>
        <w:t>409</w:t>
      </w:r>
      <w:r>
        <w:rPr>
          <w:rFonts w:ascii="Calibri" w:hAnsi="Calibri"/>
          <w:b w:val="0"/>
          <w:i w:val="0"/>
          <w:color w:val="101828"/>
          <w:sz w:val="21"/>
        </w:rPr>
        <w:t xml:space="preserve"> member already holds a position · </w:t>
      </w:r>
      <w:r>
        <w:rPr>
          <w:rFonts w:ascii="Consolas" w:hAnsi="Consolas"/>
          <w:color w:val="146EF5"/>
          <w:sz w:val="21"/>
        </w:rPr>
        <w:t>403</w:t>
      </w:r>
      <w:r>
        <w:rPr>
          <w:rFonts w:ascii="Calibri" w:hAnsi="Calibri"/>
          <w:b w:val="0"/>
          <w:i w:val="0"/>
          <w:color w:val="101828"/>
          <w:sz w:val="21"/>
        </w:rPr>
        <w:t xml:space="preserve"> not in ENROLLMENT</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Executed under </w:t>
      </w:r>
      <w:r>
        <w:rPr>
          <w:rFonts w:ascii="Consolas" w:hAnsi="Consolas"/>
          <w:color w:val="146EF5"/>
          <w:sz w:val="21"/>
        </w:rPr>
        <w:t>SELECT ... FOR UPDATE</w:t>
      </w:r>
      <w:r>
        <w:rPr>
          <w:rFonts w:ascii="Calibri" w:hAnsi="Calibri"/>
          <w:b w:val="0"/>
          <w:i w:val="0"/>
          <w:color w:val="101828"/>
          <w:sz w:val="21"/>
        </w:rPr>
        <w:t xml:space="preserve"> or SERIALIZABLE isolation. </w:t>
      </w:r>
      <w:r>
        <w:rPr>
          <w:rFonts w:ascii="Calibri" w:hAnsi="Calibri"/>
          <w:b/>
          <w:color w:val="101828"/>
          <w:sz w:val="21"/>
        </w:rPr>
        <w:t>Two members claiming the last position must result in exactly one success.</w:t>
      </w:r>
      <w:r>
        <w:rPr>
          <w:rFonts w:ascii="Calibri" w:hAnsi="Calibri"/>
          <w:b w:val="0"/>
          <w:i w:val="0"/>
          <w:color w:val="101828"/>
          <w:sz w:val="21"/>
        </w:rPr>
        <w:t xml:space="preserve"> No member may hold more than one position, and may not choose their own round.</w:t>
      </w:r>
    </w:p>
    <w:p>
      <w:pPr>
        <w:pStyle w:val="Heading3"/>
      </w:pPr>
      <w:r>
        <w:rPr>
          <w:rFonts w:ascii="Calibri" w:hAnsi="Calibri"/>
          <w:b/>
          <w:i w:val="0"/>
          <w:color w:val="0B1F3A"/>
          <w:sz w:val="24"/>
        </w:rPr>
        <w:t>POST /api/v1/ajos/:id/positions/lock</w:t>
      </w:r>
    </w:p>
    <w:p>
      <w:pPr>
        <w:spacing w:after="40"/>
        <w:ind w:left="173"/>
      </w:pPr>
      <w:r>
        <w:rPr>
          <w:rFonts w:ascii="Calibri" w:hAnsi="Calibri"/>
          <w:b/>
          <w:color w:val="0B1F3A"/>
          <w:sz w:val="21"/>
        </w:rPr>
        <w:t xml:space="preserve">Purpose  </w:t>
      </w:r>
      <w:r>
        <w:rPr>
          <w:rFonts w:ascii="Calibri" w:hAnsi="Calibri"/>
          <w:b w:val="0"/>
          <w:i w:val="0"/>
          <w:color w:val="101828"/>
          <w:sz w:val="21"/>
        </w:rPr>
        <w:t>Lock all positions on activation.</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ajo_organizer (or automatic on activate).</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positionsLocked: true }</w:t>
      </w:r>
    </w:p>
    <w:p>
      <w:pPr>
        <w:spacing w:after="40"/>
        <w:ind w:left="173"/>
      </w:pPr>
      <w:r>
        <w:rPr>
          <w:rFonts w:ascii="Calibri" w:hAnsi="Calibri"/>
          <w:b/>
          <w:color w:val="0B1F3A"/>
          <w:sz w:val="21"/>
        </w:rPr>
        <w:t xml:space="preserve">Error responses  </w:t>
      </w:r>
      <w:r>
        <w:rPr>
          <w:rFonts w:ascii="Consolas" w:hAnsi="Consolas"/>
          <w:color w:val="146EF5"/>
          <w:sz w:val="21"/>
        </w:rPr>
        <w:t>409</w:t>
      </w:r>
      <w:r>
        <w:rPr>
          <w:rFonts w:ascii="Calibri" w:hAnsi="Calibri"/>
          <w:b w:val="0"/>
          <w:i w:val="0"/>
          <w:color w:val="101828"/>
          <w:sz w:val="21"/>
        </w:rPr>
        <w:t xml:space="preserve"> not all positions filled</w:t>
      </w:r>
    </w:p>
    <w:p>
      <w:pPr>
        <w:spacing w:after="40"/>
        <w:ind w:left="173"/>
      </w:pPr>
      <w:r>
        <w:rPr>
          <w:rFonts w:ascii="Calibri" w:hAnsi="Calibri"/>
          <w:b/>
          <w:color w:val="0B1F3A"/>
          <w:sz w:val="21"/>
        </w:rPr>
        <w:t xml:space="preserve">Validation rules  </w:t>
      </w:r>
      <w:r>
        <w:rPr>
          <w:rFonts w:ascii="Calibri" w:hAnsi="Calibri"/>
          <w:b w:val="0"/>
          <w:i w:val="0"/>
          <w:color w:val="101828"/>
          <w:sz w:val="21"/>
        </w:rPr>
        <w:t>Idempotent.</w:t>
      </w:r>
    </w:p>
    <w:p>
      <w:pPr>
        <w:pStyle w:val="Heading2"/>
      </w:pPr>
      <w:r>
        <w:rPr>
          <w:rFonts w:ascii="Calibri" w:hAnsi="Calibri"/>
          <w:b/>
          <w:i w:val="0"/>
          <w:color w:val="146EF5"/>
          <w:sz w:val="29"/>
        </w:rPr>
        <w:t>11.5 Membership and invitations</w:t>
      </w:r>
    </w:p>
    <w:p>
      <w:pPr>
        <w:pStyle w:val="Heading3"/>
      </w:pPr>
      <w:r>
        <w:rPr>
          <w:rFonts w:ascii="Calibri" w:hAnsi="Calibri"/>
          <w:b/>
          <w:i w:val="0"/>
          <w:color w:val="0B1F3A"/>
          <w:sz w:val="24"/>
        </w:rPr>
        <w:t>GET /api/v1/ajos/:id/members</w:t>
      </w:r>
    </w:p>
    <w:p>
      <w:pPr>
        <w:spacing w:after="40"/>
        <w:ind w:left="173"/>
      </w:pPr>
      <w:r>
        <w:rPr>
          <w:rFonts w:ascii="Calibri" w:hAnsi="Calibri"/>
          <w:b/>
          <w:color w:val="0B1F3A"/>
          <w:sz w:val="21"/>
        </w:rPr>
        <w:t xml:space="preserve">Purpose  </w:t>
      </w:r>
      <w:r>
        <w:rPr>
          <w:rFonts w:ascii="Calibri" w:hAnsi="Calibri"/>
          <w:b w:val="0"/>
          <w:i w:val="0"/>
          <w:color w:val="101828"/>
          <w:sz w:val="21"/>
        </w:rPr>
        <w:t>List members.</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 of that Ajo.</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members: [{ memberId, name, role, position, contributionStatus, outstandingKobo, defaultCount, status, joinedAt }] }</w:t>
      </w:r>
    </w:p>
    <w:p>
      <w:pPr>
        <w:spacing w:after="40"/>
        <w:ind w:left="173"/>
      </w:pPr>
      <w:r>
        <w:rPr>
          <w:rFonts w:ascii="Calibri" w:hAnsi="Calibri"/>
          <w:b/>
          <w:color w:val="0B1F3A"/>
          <w:sz w:val="21"/>
        </w:rPr>
        <w:t xml:space="preserve">Error responses  </w:t>
      </w:r>
      <w:r>
        <w:rPr>
          <w:rFonts w:ascii="Calibri" w:hAnsi="Calibri"/>
          <w:b w:val="0"/>
          <w:i w:val="0"/>
          <w:color w:val="101828"/>
          <w:sz w:val="21"/>
        </w:rPr>
        <w:t>None</w:t>
      </w:r>
    </w:p>
    <w:p>
      <w:pPr>
        <w:spacing w:after="40"/>
        <w:ind w:left="173"/>
      </w:pPr>
      <w:r>
        <w:rPr>
          <w:rFonts w:ascii="Calibri" w:hAnsi="Calibri"/>
          <w:b/>
          <w:color w:val="0B1F3A"/>
          <w:sz w:val="21"/>
        </w:rPr>
        <w:t xml:space="preserve">Validation rules  </w:t>
      </w:r>
      <w:r>
        <w:rPr>
          <w:rFonts w:ascii="Calibri" w:hAnsi="Calibri"/>
          <w:b/>
          <w:color w:val="101828"/>
          <w:sz w:val="21"/>
        </w:rPr>
        <w:t>Defaulting status is never displayed to other members</w:t>
      </w:r>
      <w:r>
        <w:rPr>
          <w:rFonts w:ascii="Calibri" w:hAnsi="Calibri"/>
          <w:b w:val="0"/>
          <w:i w:val="0"/>
          <w:color w:val="101828"/>
          <w:sz w:val="21"/>
        </w:rPr>
        <w:t xml:space="preserve"> — no public shaming (business rule BR-019). Only the organizer sees default status, and only as 'needs attention'.</w:t>
      </w:r>
    </w:p>
    <w:p>
      <w:pPr>
        <w:pStyle w:val="Heading3"/>
      </w:pPr>
      <w:r>
        <w:rPr>
          <w:rFonts w:ascii="Calibri" w:hAnsi="Calibri"/>
          <w:b/>
          <w:i w:val="0"/>
          <w:color w:val="0B1F3A"/>
          <w:sz w:val="24"/>
        </w:rPr>
        <w:t>PATCH /api/v1/ajos/:id/members/:memberId</w:t>
      </w:r>
    </w:p>
    <w:p>
      <w:pPr>
        <w:spacing w:after="40"/>
        <w:ind w:left="173"/>
      </w:pPr>
      <w:r>
        <w:rPr>
          <w:rFonts w:ascii="Calibri" w:hAnsi="Calibri"/>
          <w:b/>
          <w:color w:val="0B1F3A"/>
          <w:sz w:val="21"/>
        </w:rPr>
        <w:t xml:space="preserve">Purpose  </w:t>
      </w:r>
      <w:r>
        <w:rPr>
          <w:rFonts w:ascii="Calibri" w:hAnsi="Calibri"/>
          <w:b w:val="0"/>
          <w:i w:val="0"/>
          <w:color w:val="101828"/>
          <w:sz w:val="21"/>
        </w:rPr>
        <w:t>Update a member's role or state.</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ajo_organizer (pre-activation) or risk_officer.</w:t>
      </w:r>
    </w:p>
    <w:p>
      <w:pPr>
        <w:spacing w:after="40"/>
        <w:ind w:left="173"/>
      </w:pPr>
      <w:r>
        <w:rPr>
          <w:rFonts w:ascii="Calibri" w:hAnsi="Calibri"/>
          <w:b/>
          <w:color w:val="0B1F3A"/>
          <w:sz w:val="21"/>
        </w:rPr>
        <w:t xml:space="preserve">Request body  </w:t>
      </w:r>
      <w:r>
        <w:rPr>
          <w:rFonts w:ascii="Consolas" w:hAnsi="Consolas"/>
          <w:color w:val="146EF5"/>
          <w:sz w:val="21"/>
        </w:rPr>
        <w:t>{ role?, status?, reason? }</w:t>
      </w:r>
    </w:p>
    <w:p>
      <w:pPr>
        <w:spacing w:after="40"/>
        <w:ind w:left="173"/>
      </w:pPr>
      <w:r>
        <w:rPr>
          <w:rFonts w:ascii="Calibri" w:hAnsi="Calibri"/>
          <w:b/>
          <w:color w:val="0B1F3A"/>
          <w:sz w:val="21"/>
        </w:rPr>
        <w:t xml:space="preserve">Path parameters  </w:t>
      </w:r>
      <w:r>
        <w:rPr>
          <w:rFonts w:ascii="Consolas" w:hAnsi="Consolas"/>
          <w:color w:val="146EF5"/>
          <w:sz w:val="21"/>
        </w:rPr>
        <w:t>id</w:t>
      </w:r>
      <w:r>
        <w:rPr>
          <w:rFonts w:ascii="Calibri" w:hAnsi="Calibri"/>
          <w:b w:val="0"/>
          <w:i w:val="0"/>
          <w:color w:val="101828"/>
          <w:sz w:val="21"/>
        </w:rPr>
        <w:t xml:space="preserve">, </w:t>
      </w:r>
      <w:r>
        <w:rPr>
          <w:rFonts w:ascii="Consolas" w:hAnsi="Consolas"/>
          <w:color w:val="146EF5"/>
          <w:sz w:val="21"/>
        </w:rPr>
        <w:t>memberId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member }</w:t>
      </w:r>
    </w:p>
    <w:p>
      <w:pPr>
        <w:spacing w:after="40"/>
        <w:ind w:left="173"/>
      </w:pPr>
      <w:r>
        <w:rPr>
          <w:rFonts w:ascii="Calibri" w:hAnsi="Calibri"/>
          <w:b/>
          <w:color w:val="0B1F3A"/>
          <w:sz w:val="21"/>
        </w:rPr>
        <w:t xml:space="preserve">Error responses  </w:t>
      </w:r>
      <w:r>
        <w:rPr>
          <w:rFonts w:ascii="Consolas" w:hAnsi="Consolas"/>
          <w:color w:val="146EF5"/>
          <w:sz w:val="21"/>
        </w:rPr>
        <w:t>409</w:t>
      </w:r>
      <w:r>
        <w:rPr>
          <w:rFonts w:ascii="Calibri" w:hAnsi="Calibri"/>
          <w:b w:val="0"/>
          <w:i w:val="0"/>
          <w:color w:val="101828"/>
          <w:sz w:val="21"/>
        </w:rPr>
        <w:t xml:space="preserve"> not permitted after activation</w:t>
      </w:r>
    </w:p>
    <w:p>
      <w:pPr>
        <w:spacing w:after="40"/>
        <w:ind w:left="173"/>
      </w:pPr>
      <w:r>
        <w:rPr>
          <w:rFonts w:ascii="Calibri" w:hAnsi="Calibri"/>
          <w:b/>
          <w:color w:val="0B1F3A"/>
          <w:sz w:val="21"/>
        </w:rPr>
        <w:t xml:space="preserve">Validation rules  </w:t>
      </w:r>
      <w:r>
        <w:rPr>
          <w:rFonts w:ascii="Calibri" w:hAnsi="Calibri"/>
          <w:b w:val="0"/>
          <w:i w:val="0"/>
          <w:color w:val="101828"/>
          <w:sz w:val="21"/>
        </w:rPr>
        <w:t>Cannot change a member's position or contribution amount — those are locked.</w:t>
      </w:r>
    </w:p>
    <w:p>
      <w:pPr>
        <w:pStyle w:val="Heading3"/>
      </w:pPr>
      <w:r>
        <w:rPr>
          <w:rFonts w:ascii="Calibri" w:hAnsi="Calibri"/>
          <w:b/>
          <w:i w:val="0"/>
          <w:color w:val="0B1F3A"/>
          <w:sz w:val="24"/>
        </w:rPr>
        <w:t>DELETE /api/v1/ajos/:id/members/:memberId</w:t>
      </w:r>
    </w:p>
    <w:p>
      <w:pPr>
        <w:spacing w:after="40"/>
        <w:ind w:left="173"/>
      </w:pPr>
      <w:r>
        <w:rPr>
          <w:rFonts w:ascii="Calibri" w:hAnsi="Calibri"/>
          <w:b/>
          <w:color w:val="0B1F3A"/>
          <w:sz w:val="21"/>
        </w:rPr>
        <w:t xml:space="preserve">Purpose  </w:t>
      </w:r>
      <w:r>
        <w:rPr>
          <w:rFonts w:ascii="Calibri" w:hAnsi="Calibri"/>
          <w:b w:val="0"/>
          <w:i w:val="0"/>
          <w:color w:val="101828"/>
          <w:sz w:val="21"/>
        </w:rPr>
        <w:t>Remove a member.</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ajo_organizer, pre-activation only.</w:t>
      </w:r>
    </w:p>
    <w:p>
      <w:pPr>
        <w:spacing w:after="40"/>
        <w:ind w:left="173"/>
      </w:pPr>
      <w:r>
        <w:rPr>
          <w:rFonts w:ascii="Calibri" w:hAnsi="Calibri"/>
          <w:b/>
          <w:color w:val="0B1F3A"/>
          <w:sz w:val="21"/>
        </w:rPr>
        <w:t xml:space="preserve">Request body  </w:t>
      </w:r>
      <w:r>
        <w:rPr>
          <w:rFonts w:ascii="Consolas" w:hAnsi="Consolas"/>
          <w:color w:val="146EF5"/>
          <w:sz w:val="21"/>
        </w:rPr>
        <w:t>{ reason }</w:t>
      </w:r>
    </w:p>
    <w:p>
      <w:pPr>
        <w:spacing w:after="40"/>
        <w:ind w:left="173"/>
      </w:pPr>
      <w:r>
        <w:rPr>
          <w:rFonts w:ascii="Calibri" w:hAnsi="Calibri"/>
          <w:b/>
          <w:color w:val="0B1F3A"/>
          <w:sz w:val="21"/>
        </w:rPr>
        <w:t xml:space="preserve">Path parameters  </w:t>
      </w:r>
      <w:r>
        <w:rPr>
          <w:rFonts w:ascii="Consolas" w:hAnsi="Consolas"/>
          <w:color w:val="146EF5"/>
          <w:sz w:val="21"/>
        </w:rPr>
        <w:t>id</w:t>
      </w:r>
      <w:r>
        <w:rPr>
          <w:rFonts w:ascii="Calibri" w:hAnsi="Calibri"/>
          <w:b w:val="0"/>
          <w:i w:val="0"/>
          <w:color w:val="101828"/>
          <w:sz w:val="21"/>
        </w:rPr>
        <w:t xml:space="preserve">, </w:t>
      </w:r>
      <w:r>
        <w:rPr>
          <w:rFonts w:ascii="Consolas" w:hAnsi="Consolas"/>
          <w:color w:val="146EF5"/>
          <w:sz w:val="21"/>
        </w:rPr>
        <w:t>memberId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204</w:t>
      </w:r>
    </w:p>
    <w:p>
      <w:pPr>
        <w:spacing w:after="40"/>
        <w:ind w:left="173"/>
      </w:pPr>
      <w:r>
        <w:rPr>
          <w:rFonts w:ascii="Calibri" w:hAnsi="Calibri"/>
          <w:b/>
          <w:color w:val="0B1F3A"/>
          <w:sz w:val="21"/>
        </w:rPr>
        <w:t xml:space="preserve">Error responses  </w:t>
      </w:r>
      <w:r>
        <w:rPr>
          <w:rFonts w:ascii="Consolas" w:hAnsi="Consolas"/>
          <w:color w:val="146EF5"/>
          <w:sz w:val="21"/>
        </w:rPr>
        <w:t>409</w:t>
      </w:r>
      <w:r>
        <w:rPr>
          <w:rFonts w:ascii="Calibri" w:hAnsi="Calibri"/>
          <w:b w:val="0"/>
          <w:i w:val="0"/>
          <w:color w:val="101828"/>
          <w:sz w:val="21"/>
        </w:rPr>
        <w:t xml:space="preserve"> cannot remove after activation · </w:t>
      </w:r>
      <w:r>
        <w:rPr>
          <w:rFonts w:ascii="Consolas" w:hAnsi="Consolas"/>
          <w:color w:val="146EF5"/>
          <w:sz w:val="21"/>
        </w:rPr>
        <w:t>422</w:t>
      </w:r>
      <w:r>
        <w:rPr>
          <w:rFonts w:ascii="Calibri" w:hAnsi="Calibri"/>
          <w:b w:val="0"/>
          <w:i w:val="0"/>
          <w:color w:val="101828"/>
          <w:sz w:val="21"/>
        </w:rPr>
        <w:t xml:space="preserve"> reason required</w:t>
      </w:r>
    </w:p>
    <w:p>
      <w:pPr>
        <w:spacing w:after="40"/>
        <w:ind w:left="173"/>
      </w:pPr>
      <w:r>
        <w:rPr>
          <w:rFonts w:ascii="Calibri" w:hAnsi="Calibri"/>
          <w:b/>
          <w:color w:val="0B1F3A"/>
          <w:sz w:val="21"/>
        </w:rPr>
        <w:t xml:space="preserve">Validation rules  </w:t>
      </w:r>
      <w:r>
        <w:rPr>
          <w:rFonts w:ascii="Calibri" w:hAnsi="Calibri"/>
          <w:b w:val="0"/>
          <w:i w:val="0"/>
          <w:color w:val="101828"/>
          <w:sz w:val="21"/>
        </w:rPr>
        <w:t>After activation the only exit is the formal replacement/transfer process. Removing a member must cascade-close any unsettled contribution obligations.</w:t>
      </w:r>
    </w:p>
    <w:p>
      <w:pPr>
        <w:pStyle w:val="Heading3"/>
      </w:pPr>
      <w:r>
        <w:rPr>
          <w:rFonts w:ascii="Calibri" w:hAnsi="Calibri"/>
          <w:b/>
          <w:i w:val="0"/>
          <w:color w:val="0B1F3A"/>
          <w:sz w:val="24"/>
        </w:rPr>
        <w:t>POST /api/v1/ajos/:id/members/:memberId/replace</w:t>
      </w:r>
    </w:p>
    <w:p>
      <w:pPr>
        <w:spacing w:after="40"/>
        <w:ind w:left="173"/>
      </w:pPr>
      <w:r>
        <w:rPr>
          <w:rFonts w:ascii="Calibri" w:hAnsi="Calibri"/>
          <w:b/>
          <w:color w:val="0B1F3A"/>
          <w:sz w:val="21"/>
        </w:rPr>
        <w:t xml:space="preserve">Purpose  </w:t>
      </w:r>
      <w:r>
        <w:rPr>
          <w:rFonts w:ascii="Calibri" w:hAnsi="Calibri"/>
          <w:b w:val="0"/>
          <w:i w:val="0"/>
          <w:color w:val="101828"/>
          <w:sz w:val="21"/>
        </w:rPr>
        <w:t>Start a replacement for a defaulting member.</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ajo_organizer.</w:t>
      </w:r>
    </w:p>
    <w:p>
      <w:pPr>
        <w:spacing w:after="40"/>
        <w:ind w:left="173"/>
      </w:pPr>
      <w:r>
        <w:rPr>
          <w:rFonts w:ascii="Calibri" w:hAnsi="Calibri"/>
          <w:b/>
          <w:color w:val="0B1F3A"/>
          <w:sz w:val="21"/>
        </w:rPr>
        <w:t xml:space="preserve">Request body  </w:t>
      </w:r>
      <w:r>
        <w:rPr>
          <w:rFonts w:ascii="Consolas" w:hAnsi="Consolas"/>
          <w:color w:val="146EF5"/>
          <w:sz w:val="21"/>
        </w:rPr>
        <w:t>{ replacementMemberId?, reason, acknowledgeDebt: boolean }</w:t>
      </w:r>
    </w:p>
    <w:p>
      <w:pPr>
        <w:spacing w:after="40"/>
        <w:ind w:left="173"/>
      </w:pPr>
      <w:r>
        <w:rPr>
          <w:rFonts w:ascii="Calibri" w:hAnsi="Calibri"/>
          <w:b/>
          <w:color w:val="0B1F3A"/>
          <w:sz w:val="21"/>
        </w:rPr>
        <w:t xml:space="preserve">Path parameters  </w:t>
      </w:r>
      <w:r>
        <w:rPr>
          <w:rFonts w:ascii="Consolas" w:hAnsi="Consolas"/>
          <w:color w:val="146EF5"/>
          <w:sz w:val="21"/>
        </w:rPr>
        <w:t>id</w:t>
      </w:r>
      <w:r>
        <w:rPr>
          <w:rFonts w:ascii="Calibri" w:hAnsi="Calibri"/>
          <w:b w:val="0"/>
          <w:i w:val="0"/>
          <w:color w:val="101828"/>
          <w:sz w:val="21"/>
        </w:rPr>
        <w:t xml:space="preserve">, </w:t>
      </w:r>
      <w:r>
        <w:rPr>
          <w:rFonts w:ascii="Consolas" w:hAnsi="Consolas"/>
          <w:color w:val="146EF5"/>
          <w:sz w:val="21"/>
        </w:rPr>
        <w:t>memberId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202</w:t>
      </w:r>
      <w:r>
        <w:rPr>
          <w:rFonts w:ascii="Calibri" w:hAnsi="Calibri"/>
          <w:b w:val="0"/>
          <w:i w:val="0"/>
          <w:color w:val="101828"/>
          <w:sz w:val="21"/>
        </w:rPr>
        <w:t xml:space="preserve"> </w:t>
      </w:r>
      <w:r>
        <w:rPr>
          <w:rFonts w:ascii="Consolas" w:hAnsi="Consolas"/>
          <w:color w:val="146EF5"/>
          <w:sz w:val="21"/>
        </w:rPr>
        <w:t>{ replacement: {...} }</w:t>
      </w:r>
    </w:p>
    <w:p>
      <w:pPr>
        <w:spacing w:after="40"/>
        <w:ind w:left="173"/>
      </w:pPr>
      <w:r>
        <w:rPr>
          <w:rFonts w:ascii="Calibri" w:hAnsi="Calibri"/>
          <w:b/>
          <w:color w:val="0B1F3A"/>
          <w:sz w:val="21"/>
        </w:rPr>
        <w:t xml:space="preserve">Error responses  </w:t>
      </w:r>
      <w:r>
        <w:rPr>
          <w:rFonts w:ascii="Consolas" w:hAnsi="Consolas"/>
          <w:color w:val="146EF5"/>
          <w:sz w:val="21"/>
        </w:rPr>
        <w:t>422</w:t>
      </w:r>
      <w:r>
        <w:rPr>
          <w:rFonts w:ascii="Calibri" w:hAnsi="Calibri"/>
          <w:b w:val="0"/>
          <w:i w:val="0"/>
          <w:color w:val="101828"/>
          <w:sz w:val="21"/>
        </w:rPr>
        <w:t xml:space="preserve"> reason required · </w:t>
      </w:r>
      <w:r>
        <w:rPr>
          <w:rFonts w:ascii="Consolas" w:hAnsi="Consolas"/>
          <w:color w:val="146EF5"/>
          <w:sz w:val="21"/>
        </w:rPr>
        <w:t>409</w:t>
      </w:r>
      <w:r>
        <w:rPr>
          <w:rFonts w:ascii="Calibri" w:hAnsi="Calibri"/>
          <w:b w:val="0"/>
          <w:i w:val="0"/>
          <w:color w:val="101828"/>
          <w:sz w:val="21"/>
        </w:rPr>
        <w:t xml:space="preserve"> no open default · </w:t>
      </w:r>
      <w:r>
        <w:rPr>
          <w:rFonts w:ascii="Consolas" w:hAnsi="Consolas"/>
          <w:color w:val="146EF5"/>
          <w:sz w:val="21"/>
        </w:rPr>
        <w:t>409</w:t>
      </w:r>
      <w:r>
        <w:rPr>
          <w:rFonts w:ascii="Calibri" w:hAnsi="Calibri"/>
          <w:b w:val="0"/>
          <w:i w:val="0"/>
          <w:color w:val="101828"/>
          <w:sz w:val="21"/>
        </w:rPr>
        <w:t xml:space="preserve"> replacement not eligible</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The defaulting member's outstanding debt is </w:t>
      </w:r>
      <w:r>
        <w:rPr>
          <w:rFonts w:ascii="Calibri" w:hAnsi="Calibri"/>
          <w:b/>
          <w:color w:val="101828"/>
          <w:sz w:val="21"/>
        </w:rPr>
        <w:t>not</w:t>
      </w:r>
      <w:r>
        <w:rPr>
          <w:rFonts w:ascii="Calibri" w:hAnsi="Calibri"/>
          <w:b w:val="0"/>
          <w:i w:val="0"/>
          <w:color w:val="101828"/>
          <w:sz w:val="21"/>
        </w:rPr>
        <w:t xml:space="preserve"> automatically transferred to the replacement. AJO.ng does not charge other members extra (BR-018). The debt remains on the defaulting member and the Ajo enters a defined recovery state until resolved.</w:t>
      </w:r>
    </w:p>
    <w:p>
      <w:pPr>
        <w:pStyle w:val="Heading3"/>
      </w:pPr>
      <w:r>
        <w:rPr>
          <w:rFonts w:ascii="Calibri" w:hAnsi="Calibri"/>
          <w:b/>
          <w:i w:val="0"/>
          <w:color w:val="0B1F3A"/>
          <w:sz w:val="24"/>
        </w:rPr>
        <w:t>POST /api/v1/invitations</w:t>
      </w:r>
    </w:p>
    <w:p>
      <w:pPr>
        <w:spacing w:after="40"/>
        <w:ind w:left="173"/>
      </w:pPr>
      <w:r>
        <w:rPr>
          <w:rFonts w:ascii="Calibri" w:hAnsi="Calibri"/>
          <w:b/>
          <w:color w:val="0B1F3A"/>
          <w:sz w:val="21"/>
        </w:rPr>
        <w:t xml:space="preserve">Purpose  </w:t>
      </w:r>
      <w:r>
        <w:rPr>
          <w:rFonts w:ascii="Calibri" w:hAnsi="Calibri"/>
          <w:b w:val="0"/>
          <w:i w:val="0"/>
          <w:color w:val="101828"/>
          <w:sz w:val="21"/>
        </w:rPr>
        <w:t>Invite members to an Ajo.</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ajo_organizer.</w:t>
      </w:r>
    </w:p>
    <w:p>
      <w:pPr>
        <w:spacing w:after="40"/>
        <w:ind w:left="173"/>
      </w:pPr>
      <w:r>
        <w:rPr>
          <w:rFonts w:ascii="Calibri" w:hAnsi="Calibri"/>
          <w:b/>
          <w:color w:val="0B1F3A"/>
          <w:sz w:val="21"/>
        </w:rPr>
        <w:t xml:space="preserve">Request body  </w:t>
      </w:r>
      <w:r>
        <w:rPr>
          <w:rFonts w:ascii="Consolas" w:hAnsi="Consolas"/>
          <w:color w:val="146EF5"/>
          <w:sz w:val="21"/>
        </w:rPr>
        <w:t>{ ajoId, contacts: [{ name?, email?, phoneNumber }], personalMessage?, expiresInHours? }</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202</w:t>
      </w:r>
      <w:r>
        <w:rPr>
          <w:rFonts w:ascii="Calibri" w:hAnsi="Calibri"/>
          <w:b w:val="0"/>
          <w:i w:val="0"/>
          <w:color w:val="101828"/>
          <w:sz w:val="21"/>
        </w:rPr>
        <w:t xml:space="preserve"> </w:t>
      </w:r>
      <w:r>
        <w:rPr>
          <w:rFonts w:ascii="Consolas" w:hAnsi="Consolas"/>
          <w:color w:val="146EF5"/>
          <w:sz w:val="21"/>
        </w:rPr>
        <w:t>{ invitations: [{ id, token, channel, status, expiresAt }], deliverySummary }</w:t>
      </w:r>
    </w:p>
    <w:p>
      <w:pPr>
        <w:spacing w:after="40"/>
        <w:ind w:left="173"/>
      </w:pPr>
      <w:r>
        <w:rPr>
          <w:rFonts w:ascii="Calibri" w:hAnsi="Calibri"/>
          <w:b/>
          <w:color w:val="0B1F3A"/>
          <w:sz w:val="21"/>
        </w:rPr>
        <w:t xml:space="preserve">Error responses  </w:t>
      </w:r>
      <w:r>
        <w:rPr>
          <w:rFonts w:ascii="Consolas" w:hAnsi="Consolas"/>
          <w:color w:val="146EF5"/>
          <w:sz w:val="21"/>
        </w:rPr>
        <w:t>422</w:t>
      </w:r>
      <w:r>
        <w:rPr>
          <w:rFonts w:ascii="Calibri" w:hAnsi="Calibri"/>
          <w:b w:val="0"/>
          <w:i w:val="0"/>
          <w:color w:val="101828"/>
          <w:sz w:val="21"/>
        </w:rPr>
        <w:t xml:space="preserve"> invalid contact · </w:t>
      </w:r>
      <w:r>
        <w:rPr>
          <w:rFonts w:ascii="Consolas" w:hAnsi="Consolas"/>
          <w:color w:val="146EF5"/>
          <w:sz w:val="21"/>
        </w:rPr>
        <w:t>409</w:t>
      </w:r>
      <w:r>
        <w:rPr>
          <w:rFonts w:ascii="Calibri" w:hAnsi="Calibri"/>
          <w:b w:val="0"/>
          <w:i w:val="0"/>
          <w:color w:val="101828"/>
          <w:sz w:val="21"/>
        </w:rPr>
        <w:t xml:space="preserve"> Ajo full or not in ENROLLMENT</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Invites are </w:t>
      </w:r>
      <w:r>
        <w:rPr>
          <w:rFonts w:ascii="Calibri" w:hAnsi="Calibri"/>
          <w:b/>
          <w:color w:val="101828"/>
          <w:sz w:val="21"/>
        </w:rPr>
        <w:t>not</w:t>
      </w:r>
      <w:r>
        <w:rPr>
          <w:rFonts w:ascii="Calibri" w:hAnsi="Calibri"/>
          <w:b w:val="0"/>
          <w:i w:val="0"/>
          <w:color w:val="101828"/>
          <w:sz w:val="21"/>
        </w:rPr>
        <w:t xml:space="preserve"> a disclosure of the Ajo to a stranger: a phone-number invite reveals only the organizer's name and the Ajo name. Channels: SMS, email, in-app. Default expiry 72 hours (open decision).</w:t>
      </w:r>
    </w:p>
    <w:p>
      <w:pPr>
        <w:pStyle w:val="Heading3"/>
      </w:pPr>
      <w:r>
        <w:rPr>
          <w:rFonts w:ascii="Calibri" w:hAnsi="Calibri"/>
          <w:b/>
          <w:i w:val="0"/>
          <w:color w:val="0B1F3A"/>
          <w:sz w:val="24"/>
        </w:rPr>
        <w:t>GET /api/v1/invitations</w:t>
      </w:r>
    </w:p>
    <w:p>
      <w:pPr>
        <w:spacing w:after="40"/>
        <w:ind w:left="173"/>
      </w:pPr>
      <w:r>
        <w:rPr>
          <w:rFonts w:ascii="Calibri" w:hAnsi="Calibri"/>
          <w:b/>
          <w:color w:val="0B1F3A"/>
          <w:sz w:val="21"/>
        </w:rPr>
        <w:t xml:space="preserve">Purpose  </w:t>
      </w:r>
      <w:r>
        <w:rPr>
          <w:rFonts w:ascii="Calibri" w:hAnsi="Calibri"/>
          <w:b w:val="0"/>
          <w:i w:val="0"/>
          <w:color w:val="101828"/>
          <w:sz w:val="21"/>
        </w:rPr>
        <w:t>List invitations the caller sent or received.</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invitations: [...] }</w:t>
      </w:r>
    </w:p>
    <w:p>
      <w:pPr>
        <w:spacing w:after="40"/>
        <w:ind w:left="173"/>
      </w:pPr>
      <w:r>
        <w:rPr>
          <w:rFonts w:ascii="Calibri" w:hAnsi="Calibri"/>
          <w:b/>
          <w:color w:val="0B1F3A"/>
          <w:sz w:val="21"/>
        </w:rPr>
        <w:t xml:space="preserve">Error responses  </w:t>
      </w:r>
      <w:r>
        <w:rPr>
          <w:rFonts w:ascii="Calibri" w:hAnsi="Calibri"/>
          <w:b w:val="0"/>
          <w:i w:val="0"/>
          <w:color w:val="101828"/>
          <w:sz w:val="21"/>
        </w:rPr>
        <w:t>None</w:t>
      </w:r>
    </w:p>
    <w:p>
      <w:pPr>
        <w:spacing w:after="40"/>
        <w:ind w:left="173"/>
      </w:pPr>
      <w:r>
        <w:rPr>
          <w:rFonts w:ascii="Calibri" w:hAnsi="Calibri"/>
          <w:b/>
          <w:color w:val="0B1F3A"/>
          <w:sz w:val="21"/>
        </w:rPr>
        <w:t xml:space="preserve">Validation rules  </w:t>
      </w:r>
      <w:r>
        <w:rPr>
          <w:rFonts w:ascii="Calibri" w:hAnsi="Calibri"/>
          <w:b w:val="0"/>
          <w:i w:val="0"/>
          <w:color w:val="101828"/>
          <w:sz w:val="21"/>
        </w:rPr>
        <w:t>Scope depends on role: organizer sees sent, invitee sees received.</w:t>
      </w:r>
    </w:p>
    <w:p>
      <w:pPr>
        <w:pStyle w:val="Heading3"/>
      </w:pPr>
      <w:r>
        <w:rPr>
          <w:rFonts w:ascii="Calibri" w:hAnsi="Calibri"/>
          <w:b/>
          <w:i w:val="0"/>
          <w:color w:val="0B1F3A"/>
          <w:sz w:val="24"/>
        </w:rPr>
        <w:t>GET /api/v1/invitations/:token</w:t>
      </w:r>
    </w:p>
    <w:p>
      <w:pPr>
        <w:spacing w:after="40"/>
        <w:ind w:left="173"/>
      </w:pPr>
      <w:r>
        <w:rPr>
          <w:rFonts w:ascii="Calibri" w:hAnsi="Calibri"/>
          <w:b/>
          <w:color w:val="0B1F3A"/>
          <w:sz w:val="21"/>
        </w:rPr>
        <w:t xml:space="preserve">Purpose  </w:t>
      </w:r>
      <w:r>
        <w:rPr>
          <w:rFonts w:ascii="Calibri" w:hAnsi="Calibri"/>
          <w:b w:val="0"/>
          <w:i w:val="0"/>
          <w:color w:val="101828"/>
          <w:sz w:val="21"/>
        </w:rPr>
        <w:t>Preview an invitation before accepting.</w:t>
      </w:r>
    </w:p>
    <w:p>
      <w:pPr>
        <w:spacing w:after="40"/>
        <w:ind w:left="173"/>
      </w:pPr>
      <w:r>
        <w:rPr>
          <w:rFonts w:ascii="Calibri" w:hAnsi="Calibri"/>
          <w:b/>
          <w:color w:val="0B1F3A"/>
          <w:sz w:val="21"/>
        </w:rPr>
        <w:t xml:space="preserve">Authentication  </w:t>
      </w:r>
      <w:r>
        <w:rPr>
          <w:rFonts w:ascii="Calibri" w:hAnsi="Calibri"/>
          <w:b w:val="0"/>
          <w:i w:val="0"/>
          <w:color w:val="101828"/>
          <w:sz w:val="21"/>
        </w:rPr>
        <w:t>None (or Bearer if already signed in)</w:t>
      </w:r>
    </w:p>
    <w:p>
      <w:pPr>
        <w:spacing w:after="40"/>
        <w:ind w:left="173"/>
      </w:pPr>
      <w:r>
        <w:rPr>
          <w:rFonts w:ascii="Calibri" w:hAnsi="Calibri"/>
          <w:b/>
          <w:color w:val="0B1F3A"/>
          <w:sz w:val="21"/>
        </w:rPr>
        <w:t xml:space="preserve">Authorization  </w:t>
      </w:r>
      <w:r>
        <w:rPr>
          <w:rFonts w:ascii="Calibri" w:hAnsi="Calibri"/>
          <w:b w:val="0"/>
          <w:i w:val="0"/>
          <w:color w:val="101828"/>
          <w:sz w:val="21"/>
        </w:rPr>
        <w:t>Token holder. Reveals minimal info.</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token</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ajo: { name, contributionKobo, frequency, collectionDay, durationRounds, membersCount, maxMembers, endsAt }, organizer: { name }, positionOptions, feeDisclosure, rules }</w:t>
      </w:r>
    </w:p>
    <w:p>
      <w:pPr>
        <w:spacing w:after="40"/>
        <w:ind w:left="173"/>
      </w:pPr>
      <w:r>
        <w:rPr>
          <w:rFonts w:ascii="Calibri" w:hAnsi="Calibri"/>
          <w:b/>
          <w:color w:val="0B1F3A"/>
          <w:sz w:val="21"/>
        </w:rPr>
        <w:t xml:space="preserve">Error responses  </w:t>
      </w:r>
      <w:r>
        <w:rPr>
          <w:rFonts w:ascii="Consolas" w:hAnsi="Consolas"/>
          <w:color w:val="146EF5"/>
          <w:sz w:val="21"/>
        </w:rPr>
        <w:t>410</w:t>
      </w:r>
      <w:r>
        <w:rPr>
          <w:rFonts w:ascii="Calibri" w:hAnsi="Calibri"/>
          <w:b w:val="0"/>
          <w:i w:val="0"/>
          <w:color w:val="101828"/>
          <w:sz w:val="21"/>
        </w:rPr>
        <w:t xml:space="preserve"> expired or revoked · </w:t>
      </w:r>
      <w:r>
        <w:rPr>
          <w:rFonts w:ascii="Consolas" w:hAnsi="Consolas"/>
          <w:color w:val="146EF5"/>
          <w:sz w:val="21"/>
        </w:rPr>
        <w:t>404</w:t>
      </w:r>
      <w:r>
        <w:rPr>
          <w:rFonts w:ascii="Calibri" w:hAnsi="Calibri"/>
          <w:b w:val="0"/>
          <w:i w:val="0"/>
          <w:color w:val="101828"/>
          <w:sz w:val="21"/>
        </w:rPr>
        <w:t xml:space="preserve"> invalid</w:t>
      </w:r>
    </w:p>
    <w:p>
      <w:pPr>
        <w:spacing w:after="40"/>
        <w:ind w:left="173"/>
      </w:pPr>
      <w:r>
        <w:rPr>
          <w:rFonts w:ascii="Calibri" w:hAnsi="Calibri"/>
          <w:b/>
          <w:color w:val="0B1F3A"/>
          <w:sz w:val="21"/>
        </w:rPr>
        <w:t xml:space="preserve">Validation rules  </w:t>
      </w:r>
      <w:r>
        <w:rPr>
          <w:rFonts w:ascii="Calibri" w:hAnsi="Calibri"/>
          <w:b/>
          <w:color w:val="101828"/>
          <w:sz w:val="21"/>
        </w:rPr>
        <w:t>The 2% fee must be disclosed here, in plain terms, before the invitee accepts.</w:t>
      </w:r>
      <w:r>
        <w:rPr>
          <w:rFonts w:ascii="Calibri" w:hAnsi="Calibri"/>
          <w:b w:val="0"/>
          <w:i w:val="0"/>
          <w:color w:val="101828"/>
          <w:sz w:val="21"/>
        </w:rPr>
        <w:t xml:space="preserve"> A person cannot consent to a fee they were not shown.</w:t>
      </w:r>
    </w:p>
    <w:p>
      <w:pPr>
        <w:pStyle w:val="Heading3"/>
      </w:pPr>
      <w:r>
        <w:rPr>
          <w:rFonts w:ascii="Calibri" w:hAnsi="Calibri"/>
          <w:b/>
          <w:i w:val="0"/>
          <w:color w:val="0B1F3A"/>
          <w:sz w:val="24"/>
        </w:rPr>
        <w:t>POST /api/v1/invitations/:token/accept</w:t>
      </w:r>
    </w:p>
    <w:p>
      <w:pPr>
        <w:spacing w:after="40"/>
        <w:ind w:left="173"/>
      </w:pPr>
      <w:r>
        <w:rPr>
          <w:rFonts w:ascii="Calibri" w:hAnsi="Calibri"/>
          <w:b/>
          <w:color w:val="0B1F3A"/>
          <w:sz w:val="21"/>
        </w:rPr>
        <w:t xml:space="preserve">Purpose  </w:t>
      </w:r>
      <w:r>
        <w:rPr>
          <w:rFonts w:ascii="Calibri" w:hAnsi="Calibri"/>
          <w:b w:val="0"/>
          <w:i w:val="0"/>
          <w:color w:val="101828"/>
          <w:sz w:val="21"/>
        </w:rPr>
        <w:t>Accept an invitation and join.</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Authenticated invitee.</w:t>
      </w:r>
    </w:p>
    <w:p>
      <w:pPr>
        <w:spacing w:after="40"/>
        <w:ind w:left="173"/>
      </w:pPr>
      <w:r>
        <w:rPr>
          <w:rFonts w:ascii="Calibri" w:hAnsi="Calibri"/>
          <w:b/>
          <w:color w:val="0B1F3A"/>
          <w:sz w:val="21"/>
        </w:rPr>
        <w:t xml:space="preserve">Request body  </w:t>
      </w:r>
      <w:r>
        <w:rPr>
          <w:rFonts w:ascii="Consolas" w:hAnsi="Consolas"/>
          <w:color w:val="146EF5"/>
          <w:sz w:val="21"/>
        </w:rPr>
        <w:t>{ positionNumber, rulesAccepted: true }</w:t>
      </w:r>
    </w:p>
    <w:p>
      <w:pPr>
        <w:spacing w:after="40"/>
        <w:ind w:left="173"/>
      </w:pPr>
      <w:r>
        <w:rPr>
          <w:rFonts w:ascii="Calibri" w:hAnsi="Calibri"/>
          <w:b/>
          <w:color w:val="0B1F3A"/>
          <w:sz w:val="21"/>
        </w:rPr>
        <w:t xml:space="preserve">Path parameters  </w:t>
      </w:r>
      <w:r>
        <w:rPr>
          <w:rFonts w:ascii="Consolas" w:hAnsi="Consolas"/>
          <w:color w:val="146EF5"/>
          <w:sz w:val="21"/>
        </w:rPr>
        <w:t>token</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membership, contributionObligation }</w:t>
      </w:r>
    </w:p>
    <w:p>
      <w:pPr>
        <w:spacing w:after="40"/>
        <w:ind w:left="173"/>
      </w:pPr>
      <w:r>
        <w:rPr>
          <w:rFonts w:ascii="Calibri" w:hAnsi="Calibri"/>
          <w:b/>
          <w:color w:val="0B1F3A"/>
          <w:sz w:val="21"/>
        </w:rPr>
        <w:t xml:space="preserve">Error responses  </w:t>
      </w:r>
      <w:r>
        <w:rPr>
          <w:rFonts w:ascii="Consolas" w:hAnsi="Consolas"/>
          <w:color w:val="146EF5"/>
          <w:sz w:val="21"/>
        </w:rPr>
        <w:t>410</w:t>
      </w:r>
      <w:r>
        <w:rPr>
          <w:rFonts w:ascii="Calibri" w:hAnsi="Calibri"/>
          <w:b w:val="0"/>
          <w:i w:val="0"/>
          <w:color w:val="101828"/>
          <w:sz w:val="21"/>
        </w:rPr>
        <w:t xml:space="preserve"> expired · </w:t>
      </w:r>
      <w:r>
        <w:rPr>
          <w:rFonts w:ascii="Consolas" w:hAnsi="Consolas"/>
          <w:color w:val="146EF5"/>
          <w:sz w:val="21"/>
        </w:rPr>
        <w:t>409</w:t>
      </w:r>
      <w:r>
        <w:rPr>
          <w:rFonts w:ascii="Calibri" w:hAnsi="Calibri"/>
          <w:b w:val="0"/>
          <w:i w:val="0"/>
          <w:color w:val="101828"/>
          <w:sz w:val="21"/>
        </w:rPr>
        <w:t xml:space="preserve"> Ajo full or activation reached · </w:t>
      </w:r>
      <w:r>
        <w:rPr>
          <w:rFonts w:ascii="Consolas" w:hAnsi="Consolas"/>
          <w:color w:val="146EF5"/>
          <w:sz w:val="21"/>
        </w:rPr>
        <w:t>422</w:t>
      </w:r>
      <w:r>
        <w:rPr>
          <w:rFonts w:ascii="Calibri" w:hAnsi="Calibri"/>
          <w:b w:val="0"/>
          <w:i w:val="0"/>
          <w:color w:val="101828"/>
          <w:sz w:val="21"/>
        </w:rPr>
        <w:t xml:space="preserve"> rules not accepted · </w:t>
      </w:r>
      <w:r>
        <w:rPr>
          <w:rFonts w:ascii="Consolas" w:hAnsi="Consolas"/>
          <w:color w:val="146EF5"/>
          <w:sz w:val="21"/>
        </w:rPr>
        <w:t>403</w:t>
      </w:r>
      <w:r>
        <w:rPr>
          <w:rFonts w:ascii="Calibri" w:hAnsi="Calibri"/>
          <w:b w:val="0"/>
          <w:i w:val="0"/>
          <w:color w:val="101828"/>
          <w:sz w:val="21"/>
        </w:rPr>
        <w:t xml:space="preserve"> not verified</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Position claim and membership creation occur in one transaction. Rules acceptance is recorded as consent evidence in </w:t>
      </w:r>
      <w:r>
        <w:rPr>
          <w:rFonts w:ascii="Consolas" w:hAnsi="Consolas"/>
          <w:color w:val="146EF5"/>
          <w:sz w:val="21"/>
        </w:rPr>
        <w:t>audit_logs</w:t>
      </w:r>
      <w:r>
        <w:rPr>
          <w:rFonts w:ascii="Calibri" w:hAnsi="Calibri"/>
          <w:b w:val="0"/>
          <w:i w:val="0"/>
          <w:color w:val="101828"/>
          <w:sz w:val="21"/>
        </w:rPr>
        <w:t>. Reaching the last position triggers enrollment evaluation.</w:t>
      </w:r>
    </w:p>
    <w:p>
      <w:pPr>
        <w:pStyle w:val="Heading3"/>
      </w:pPr>
      <w:r>
        <w:rPr>
          <w:rFonts w:ascii="Calibri" w:hAnsi="Calibri"/>
          <w:b/>
          <w:i w:val="0"/>
          <w:color w:val="0B1F3A"/>
          <w:sz w:val="24"/>
        </w:rPr>
        <w:t>POST /api/v1/invitations/:token/decline</w:t>
      </w:r>
    </w:p>
    <w:p>
      <w:pPr>
        <w:spacing w:after="40"/>
        <w:ind w:left="173"/>
      </w:pPr>
      <w:r>
        <w:rPr>
          <w:rFonts w:ascii="Calibri" w:hAnsi="Calibri"/>
          <w:b/>
          <w:color w:val="0B1F3A"/>
          <w:sz w:val="21"/>
        </w:rPr>
        <w:t xml:space="preserve">Purpose  </w:t>
      </w:r>
      <w:r>
        <w:rPr>
          <w:rFonts w:ascii="Calibri" w:hAnsi="Calibri"/>
          <w:b w:val="0"/>
          <w:i w:val="0"/>
          <w:color w:val="101828"/>
          <w:sz w:val="21"/>
        </w:rPr>
        <w:t>Decline an invitation.</w:t>
      </w:r>
    </w:p>
    <w:p>
      <w:pPr>
        <w:spacing w:after="40"/>
        <w:ind w:left="173"/>
      </w:pPr>
      <w:r>
        <w:rPr>
          <w:rFonts w:ascii="Calibri" w:hAnsi="Calibri"/>
          <w:b/>
          <w:color w:val="0B1F3A"/>
          <w:sz w:val="21"/>
        </w:rPr>
        <w:t xml:space="preserve">Authentication  </w:t>
      </w:r>
      <w:r>
        <w:rPr>
          <w:rFonts w:ascii="Calibri" w:hAnsi="Calibri"/>
          <w:b w:val="0"/>
          <w:i w:val="0"/>
          <w:color w:val="101828"/>
          <w:sz w:val="21"/>
        </w:rPr>
        <w:t>Bearer or None</w:t>
      </w:r>
    </w:p>
    <w:p>
      <w:pPr>
        <w:spacing w:after="40"/>
        <w:ind w:left="173"/>
      </w:pPr>
      <w:r>
        <w:rPr>
          <w:rFonts w:ascii="Calibri" w:hAnsi="Calibri"/>
          <w:b/>
          <w:color w:val="0B1F3A"/>
          <w:sz w:val="21"/>
        </w:rPr>
        <w:t xml:space="preserve">Authorization  </w:t>
      </w:r>
      <w:r>
        <w:rPr>
          <w:rFonts w:ascii="Calibri" w:hAnsi="Calibri"/>
          <w:b w:val="0"/>
          <w:i w:val="0"/>
          <w:color w:val="101828"/>
          <w:sz w:val="21"/>
        </w:rPr>
        <w:t>Token holder.</w:t>
      </w:r>
    </w:p>
    <w:p>
      <w:pPr>
        <w:spacing w:after="40"/>
        <w:ind w:left="173"/>
      </w:pPr>
      <w:r>
        <w:rPr>
          <w:rFonts w:ascii="Calibri" w:hAnsi="Calibri"/>
          <w:b/>
          <w:color w:val="0B1F3A"/>
          <w:sz w:val="21"/>
        </w:rPr>
        <w:t xml:space="preserve">Request body  </w:t>
      </w:r>
      <w:r>
        <w:rPr>
          <w:rFonts w:ascii="Consolas" w:hAnsi="Consolas"/>
          <w:color w:val="146EF5"/>
          <w:sz w:val="21"/>
        </w:rPr>
        <w:t>{ reason? }</w:t>
      </w:r>
    </w:p>
    <w:p>
      <w:pPr>
        <w:spacing w:after="40"/>
        <w:ind w:left="173"/>
      </w:pPr>
      <w:r>
        <w:rPr>
          <w:rFonts w:ascii="Calibri" w:hAnsi="Calibri"/>
          <w:b/>
          <w:color w:val="0B1F3A"/>
          <w:sz w:val="21"/>
        </w:rPr>
        <w:t xml:space="preserve">Path parameters  </w:t>
      </w:r>
      <w:r>
        <w:rPr>
          <w:rFonts w:ascii="Consolas" w:hAnsi="Consolas"/>
          <w:color w:val="146EF5"/>
          <w:sz w:val="21"/>
        </w:rPr>
        <w:t>token</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declined: true }</w:t>
      </w:r>
    </w:p>
    <w:p>
      <w:pPr>
        <w:spacing w:after="40"/>
        <w:ind w:left="173"/>
      </w:pPr>
      <w:r>
        <w:rPr>
          <w:rFonts w:ascii="Calibri" w:hAnsi="Calibri"/>
          <w:b/>
          <w:color w:val="0B1F3A"/>
          <w:sz w:val="21"/>
        </w:rPr>
        <w:t xml:space="preserve">Error responses  </w:t>
      </w:r>
      <w:r>
        <w:rPr>
          <w:rFonts w:ascii="Calibri" w:hAnsi="Calibri"/>
          <w:b w:val="0"/>
          <w:i w:val="0"/>
          <w:color w:val="101828"/>
          <w:sz w:val="21"/>
        </w:rPr>
        <w:t>None</w:t>
      </w:r>
    </w:p>
    <w:p>
      <w:pPr>
        <w:spacing w:after="40"/>
        <w:ind w:left="173"/>
      </w:pPr>
      <w:r>
        <w:rPr>
          <w:rFonts w:ascii="Calibri" w:hAnsi="Calibri"/>
          <w:b/>
          <w:color w:val="0B1F3A"/>
          <w:sz w:val="21"/>
        </w:rPr>
        <w:t xml:space="preserve">Validation rules  </w:t>
      </w:r>
      <w:r>
        <w:rPr>
          <w:rFonts w:ascii="Calibri" w:hAnsi="Calibri"/>
          <w:b w:val="0"/>
          <w:i w:val="0"/>
          <w:color w:val="101828"/>
          <w:sz w:val="21"/>
        </w:rPr>
        <w:t>Idempotent.</w:t>
      </w:r>
    </w:p>
    <w:p>
      <w:pPr>
        <w:pStyle w:val="Heading3"/>
      </w:pPr>
      <w:r>
        <w:rPr>
          <w:rFonts w:ascii="Calibri" w:hAnsi="Calibri"/>
          <w:b/>
          <w:i w:val="0"/>
          <w:color w:val="0B1F3A"/>
          <w:sz w:val="24"/>
        </w:rPr>
        <w:t>POST /api/v1/invitations/resend</w:t>
      </w:r>
    </w:p>
    <w:p>
      <w:pPr>
        <w:spacing w:after="40"/>
        <w:ind w:left="173"/>
      </w:pPr>
      <w:r>
        <w:rPr>
          <w:rFonts w:ascii="Calibri" w:hAnsi="Calibri"/>
          <w:b/>
          <w:color w:val="0B1F3A"/>
          <w:sz w:val="21"/>
        </w:rPr>
        <w:t xml:space="preserve">Purpose  </w:t>
      </w:r>
      <w:r>
        <w:rPr>
          <w:rFonts w:ascii="Calibri" w:hAnsi="Calibri"/>
          <w:b w:val="0"/>
          <w:i w:val="0"/>
          <w:color w:val="101828"/>
          <w:sz w:val="21"/>
        </w:rPr>
        <w:t>Resend an invitation.</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ajo_organizer.</w:t>
      </w:r>
    </w:p>
    <w:p>
      <w:pPr>
        <w:spacing w:after="40"/>
        <w:ind w:left="173"/>
      </w:pPr>
      <w:r>
        <w:rPr>
          <w:rFonts w:ascii="Calibri" w:hAnsi="Calibri"/>
          <w:b/>
          <w:color w:val="0B1F3A"/>
          <w:sz w:val="21"/>
        </w:rPr>
        <w:t xml:space="preserve">Request body  </w:t>
      </w:r>
      <w:r>
        <w:rPr>
          <w:rFonts w:ascii="Consolas" w:hAnsi="Consolas"/>
          <w:color w:val="146EF5"/>
          <w:sz w:val="21"/>
        </w:rPr>
        <w:t>{ invitationId }</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202</w:t>
      </w:r>
      <w:r>
        <w:rPr>
          <w:rFonts w:ascii="Calibri" w:hAnsi="Calibri"/>
          <w:b w:val="0"/>
          <w:i w:val="0"/>
          <w:color w:val="101828"/>
          <w:sz w:val="21"/>
        </w:rPr>
        <w:t xml:space="preserve"> </w:t>
      </w:r>
      <w:r>
        <w:rPr>
          <w:rFonts w:ascii="Consolas" w:hAnsi="Consolas"/>
          <w:color w:val="146EF5"/>
          <w:sz w:val="21"/>
        </w:rPr>
        <w:t>{ resent: true }</w:t>
      </w:r>
    </w:p>
    <w:p>
      <w:pPr>
        <w:spacing w:after="40"/>
        <w:ind w:left="173"/>
      </w:pPr>
      <w:r>
        <w:rPr>
          <w:rFonts w:ascii="Calibri" w:hAnsi="Calibri"/>
          <w:b/>
          <w:color w:val="0B1F3A"/>
          <w:sz w:val="21"/>
        </w:rPr>
        <w:t xml:space="preserve">Error responses  </w:t>
      </w:r>
      <w:r>
        <w:rPr>
          <w:rFonts w:ascii="Consolas" w:hAnsi="Consolas"/>
          <w:color w:val="146EF5"/>
          <w:sz w:val="21"/>
        </w:rPr>
        <w:t>429</w:t>
      </w:r>
      <w:r>
        <w:rPr>
          <w:rFonts w:ascii="Calibri" w:hAnsi="Calibri"/>
          <w:b w:val="0"/>
          <w:i w:val="0"/>
          <w:color w:val="101828"/>
          <w:sz w:val="21"/>
        </w:rPr>
        <w:t xml:space="preserve"> resend rate limited (max 3 per invitation per day)</w:t>
      </w:r>
    </w:p>
    <w:p>
      <w:pPr>
        <w:spacing w:after="40"/>
        <w:ind w:left="173"/>
      </w:pPr>
      <w:r>
        <w:rPr>
          <w:rFonts w:ascii="Calibri" w:hAnsi="Calibri"/>
          <w:b/>
          <w:color w:val="0B1F3A"/>
          <w:sz w:val="21"/>
        </w:rPr>
        <w:t xml:space="preserve">Validation rules  </w:t>
      </w:r>
      <w:r>
        <w:rPr>
          <w:rFonts w:ascii="Calibri" w:hAnsi="Calibri"/>
          <w:b w:val="0"/>
          <w:i w:val="0"/>
          <w:color w:val="101828"/>
          <w:sz w:val="21"/>
        </w:rPr>
        <w:t>Prevents an organizer from using AJO.ng to spam a phone number.</w:t>
      </w:r>
    </w:p>
    <w:p>
      <w:pPr>
        <w:pStyle w:val="Heading2"/>
      </w:pPr>
      <w:r>
        <w:rPr>
          <w:rFonts w:ascii="Calibri" w:hAnsi="Calibri"/>
          <w:b/>
          <w:i w:val="0"/>
          <w:color w:val="146EF5"/>
          <w:sz w:val="29"/>
        </w:rPr>
        <w:t>11.6 Contributions and payments</w:t>
      </w:r>
    </w:p>
    <w:p>
      <w:pPr>
        <w:pStyle w:val="Heading3"/>
      </w:pPr>
      <w:r>
        <w:rPr>
          <w:rFonts w:ascii="Calibri" w:hAnsi="Calibri"/>
          <w:b/>
          <w:i w:val="0"/>
          <w:color w:val="0B1F3A"/>
          <w:sz w:val="24"/>
        </w:rPr>
        <w:t>GET /api/v1/ajos/:id/contributions</w:t>
      </w:r>
    </w:p>
    <w:p>
      <w:pPr>
        <w:spacing w:after="40"/>
        <w:ind w:left="173"/>
      </w:pPr>
      <w:r>
        <w:rPr>
          <w:rFonts w:ascii="Calibri" w:hAnsi="Calibri"/>
          <w:b/>
          <w:color w:val="0B1F3A"/>
          <w:sz w:val="21"/>
        </w:rPr>
        <w:t xml:space="preserve">Purpose  </w:t>
      </w:r>
      <w:r>
        <w:rPr>
          <w:rFonts w:ascii="Calibri" w:hAnsi="Calibri"/>
          <w:b w:val="0"/>
          <w:i w:val="0"/>
          <w:color w:val="101828"/>
          <w:sz w:val="21"/>
        </w:rPr>
        <w:t>Contribution history for an Ajo.</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 of that Ajo.</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data: [{ id, roundNumber, dueAt, status, amountKobo, feeKobo, totalKobo, paidAt?, paymentId? }], page }</w:t>
      </w:r>
    </w:p>
    <w:p>
      <w:pPr>
        <w:spacing w:after="40"/>
        <w:ind w:left="173"/>
      </w:pPr>
      <w:r>
        <w:rPr>
          <w:rFonts w:ascii="Calibri" w:hAnsi="Calibri"/>
          <w:b/>
          <w:color w:val="0B1F3A"/>
          <w:sz w:val="21"/>
        </w:rPr>
        <w:t xml:space="preserve">Error responses  </w:t>
      </w:r>
      <w:r>
        <w:rPr>
          <w:rFonts w:ascii="Calibri" w:hAnsi="Calibri"/>
          <w:b w:val="0"/>
          <w:i w:val="0"/>
          <w:color w:val="101828"/>
          <w:sz w:val="21"/>
        </w:rPr>
        <w:t>None</w:t>
      </w:r>
    </w:p>
    <w:p>
      <w:pPr>
        <w:spacing w:after="40"/>
        <w:ind w:left="173"/>
      </w:pPr>
      <w:r>
        <w:rPr>
          <w:rFonts w:ascii="Calibri" w:hAnsi="Calibri"/>
          <w:b/>
          <w:color w:val="0B1F3A"/>
          <w:sz w:val="21"/>
        </w:rPr>
        <w:t xml:space="preserve">Validation rules  </w:t>
      </w:r>
      <w:r>
        <w:rPr>
          <w:rFonts w:ascii="Calibri" w:hAnsi="Calibri"/>
          <w:b w:val="0"/>
          <w:i w:val="0"/>
          <w:color w:val="101828"/>
          <w:sz w:val="21"/>
        </w:rPr>
        <w:t>Scoped to the calling member unless the caller is the organizer, who sees the aggregate but not other members' bank details.</w:t>
      </w:r>
    </w:p>
    <w:p>
      <w:pPr>
        <w:pStyle w:val="Heading3"/>
      </w:pPr>
      <w:r>
        <w:rPr>
          <w:rFonts w:ascii="Calibri" w:hAnsi="Calibri"/>
          <w:b/>
          <w:i w:val="0"/>
          <w:color w:val="0B1F3A"/>
          <w:sz w:val="24"/>
        </w:rPr>
        <w:t>GET /api/v1/ajos/:id/schedule</w:t>
      </w:r>
    </w:p>
    <w:p>
      <w:pPr>
        <w:spacing w:after="40"/>
        <w:ind w:left="173"/>
      </w:pPr>
      <w:r>
        <w:rPr>
          <w:rFonts w:ascii="Calibri" w:hAnsi="Calibri"/>
          <w:b/>
          <w:color w:val="0B1F3A"/>
          <w:sz w:val="21"/>
        </w:rPr>
        <w:t xml:space="preserve">Purpose  </w:t>
      </w:r>
      <w:r>
        <w:rPr>
          <w:rFonts w:ascii="Calibri" w:hAnsi="Calibri"/>
          <w:b w:val="0"/>
          <w:i w:val="0"/>
          <w:color w:val="101828"/>
          <w:sz w:val="21"/>
        </w:rPr>
        <w:t>The full generated contribution schedule.</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 of that Ajo.</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schedule: [{ roundNumber, dueAt, collectionDay, expectedKobo, collectedKobo, status, payoutRecipient }] }</w:t>
      </w:r>
    </w:p>
    <w:p>
      <w:pPr>
        <w:spacing w:after="40"/>
        <w:ind w:left="173"/>
      </w:pPr>
      <w:r>
        <w:rPr>
          <w:rFonts w:ascii="Calibri" w:hAnsi="Calibri"/>
          <w:b/>
          <w:color w:val="0B1F3A"/>
          <w:sz w:val="21"/>
        </w:rPr>
        <w:t xml:space="preserve">Error responses  </w:t>
      </w:r>
      <w:r>
        <w:rPr>
          <w:rFonts w:ascii="Calibri" w:hAnsi="Calibri"/>
          <w:b w:val="0"/>
          <w:i w:val="0"/>
          <w:color w:val="101828"/>
          <w:sz w:val="21"/>
        </w:rPr>
        <w:t>None</w:t>
      </w:r>
    </w:p>
    <w:p>
      <w:pPr>
        <w:spacing w:after="40"/>
        <w:ind w:left="173"/>
      </w:pPr>
      <w:r>
        <w:rPr>
          <w:rFonts w:ascii="Calibri" w:hAnsi="Calibri"/>
          <w:b/>
          <w:color w:val="0B1F3A"/>
          <w:sz w:val="21"/>
        </w:rPr>
        <w:t xml:space="preserve">Validation rules  </w:t>
      </w:r>
      <w:r>
        <w:rPr>
          <w:rFonts w:ascii="Calibri" w:hAnsi="Calibri"/>
          <w:b w:val="0"/>
          <w:i w:val="0"/>
          <w:color w:val="101828"/>
          <w:sz w:val="21"/>
        </w:rPr>
        <w:t>Generated once at activation and immutable thereafter.</w:t>
      </w:r>
    </w:p>
    <w:p>
      <w:pPr>
        <w:pStyle w:val="Heading3"/>
      </w:pPr>
      <w:r>
        <w:rPr>
          <w:rFonts w:ascii="Calibri" w:hAnsi="Calibri"/>
          <w:b/>
          <w:i w:val="0"/>
          <w:color w:val="0B1F3A"/>
          <w:sz w:val="24"/>
        </w:rPr>
        <w:t>GET /api/v1/contributions/:id</w:t>
      </w:r>
    </w:p>
    <w:p>
      <w:pPr>
        <w:spacing w:after="40"/>
        <w:ind w:left="173"/>
      </w:pPr>
      <w:r>
        <w:rPr>
          <w:rFonts w:ascii="Calibri" w:hAnsi="Calibri"/>
          <w:b/>
          <w:color w:val="0B1F3A"/>
          <w:sz w:val="21"/>
        </w:rPr>
        <w:t xml:space="preserve">Purpose  </w:t>
      </w:r>
      <w:r>
        <w:rPr>
          <w:rFonts w:ascii="Calibri" w:hAnsi="Calibri"/>
          <w:b w:val="0"/>
          <w:i w:val="0"/>
          <w:color w:val="101828"/>
          <w:sz w:val="21"/>
        </w:rPr>
        <w:t>One contribution obligation.</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Owning member or Ajo organizer.</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contribution: {...} }</w:t>
      </w:r>
    </w:p>
    <w:p>
      <w:pPr>
        <w:spacing w:after="40"/>
        <w:ind w:left="173"/>
      </w:pPr>
      <w:r>
        <w:rPr>
          <w:rFonts w:ascii="Calibri" w:hAnsi="Calibri"/>
          <w:b/>
          <w:color w:val="0B1F3A"/>
          <w:sz w:val="21"/>
        </w:rPr>
        <w:t xml:space="preserve">Error responses  </w:t>
      </w:r>
      <w:r>
        <w:rPr>
          <w:rFonts w:ascii="Consolas" w:hAnsi="Consolas"/>
          <w:color w:val="146EF5"/>
          <w:sz w:val="21"/>
        </w:rPr>
        <w:t>404</w:t>
      </w:r>
    </w:p>
    <w:p>
      <w:pPr>
        <w:spacing w:after="40"/>
        <w:ind w:left="173"/>
      </w:pPr>
      <w:r>
        <w:rPr>
          <w:rFonts w:ascii="Calibri" w:hAnsi="Calibri"/>
          <w:b/>
          <w:color w:val="0B1F3A"/>
          <w:sz w:val="21"/>
        </w:rPr>
        <w:t xml:space="preserve">Validation rules  </w:t>
      </w:r>
      <w:r>
        <w:rPr>
          <w:rFonts w:ascii="Calibri" w:hAnsi="Calibri"/>
          <w:b w:val="0"/>
          <w:i w:val="0"/>
          <w:color w:val="101828"/>
          <w:sz w:val="21"/>
        </w:rPr>
        <w:t>Includes the exact amount due including the fee.</w:t>
      </w:r>
    </w:p>
    <w:p>
      <w:pPr>
        <w:pStyle w:val="Heading3"/>
      </w:pPr>
      <w:r>
        <w:rPr>
          <w:rFonts w:ascii="Calibri" w:hAnsi="Calibri"/>
          <w:b/>
          <w:i w:val="0"/>
          <w:color w:val="0B1F3A"/>
          <w:sz w:val="24"/>
        </w:rPr>
        <w:t>POST /api/v1/contributions/:id/pay</w:t>
      </w:r>
    </w:p>
    <w:p>
      <w:pPr>
        <w:spacing w:after="40"/>
        <w:ind w:left="173"/>
      </w:pPr>
      <w:r>
        <w:rPr>
          <w:rFonts w:ascii="Calibri" w:hAnsi="Calibri"/>
          <w:b/>
          <w:color w:val="0B1F3A"/>
          <w:sz w:val="21"/>
        </w:rPr>
        <w:t xml:space="preserve">Purpose  </w:t>
      </w:r>
      <w:r>
        <w:rPr>
          <w:rFonts w:ascii="Calibri" w:hAnsi="Calibri"/>
          <w:b w:val="0"/>
          <w:i w:val="0"/>
          <w:color w:val="101828"/>
          <w:sz w:val="21"/>
        </w:rPr>
        <w:t xml:space="preserve">Pay a contribution. </w:t>
      </w:r>
      <w:r>
        <w:rPr>
          <w:rFonts w:ascii="Calibri" w:hAnsi="Calibri"/>
          <w:b/>
          <w:color w:val="101828"/>
          <w:sz w:val="21"/>
        </w:rPr>
        <w:t>Idempotency-Key required.</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 xml:space="preserve">Owning member; contribution must be </w:t>
      </w:r>
      <w:r>
        <w:rPr>
          <w:rFonts w:ascii="Consolas" w:hAnsi="Consolas"/>
          <w:color w:val="146EF5"/>
          <w:sz w:val="21"/>
        </w:rPr>
        <w:t>PENDING</w:t>
      </w:r>
      <w:r>
        <w:rPr>
          <w:rFonts w:ascii="Calibri" w:hAnsi="Calibri"/>
          <w:b w:val="0"/>
          <w:i w:val="0"/>
          <w:color w:val="101828"/>
          <w:sz w:val="21"/>
        </w:rPr>
        <w:t xml:space="preserve"> or </w:t>
      </w:r>
      <w:r>
        <w:rPr>
          <w:rFonts w:ascii="Consolas" w:hAnsi="Consolas"/>
          <w:color w:val="146EF5"/>
          <w:sz w:val="21"/>
        </w:rPr>
        <w:t>OVERDUE</w:t>
      </w:r>
      <w:r>
        <w:rPr>
          <w:rFonts w:ascii="Calibri" w:hAnsi="Calibri"/>
          <w:b w:val="0"/>
          <w:i w:val="0"/>
          <w:color w:val="101828"/>
          <w:sz w:val="21"/>
        </w:rPr>
        <w:t>.</w:t>
      </w:r>
    </w:p>
    <w:p>
      <w:pPr>
        <w:spacing w:after="40"/>
        <w:ind w:left="173"/>
      </w:pPr>
      <w:r>
        <w:rPr>
          <w:rFonts w:ascii="Calibri" w:hAnsi="Calibri"/>
          <w:b/>
          <w:color w:val="0B1F3A"/>
          <w:sz w:val="21"/>
        </w:rPr>
        <w:t xml:space="preserve">Request body  </w:t>
      </w:r>
      <w:r>
        <w:rPr>
          <w:rFonts w:ascii="Consolas" w:hAnsi="Consolas"/>
          <w:color w:val="146EF5"/>
          <w:sz w:val="21"/>
        </w:rPr>
        <w:t>{ bankAccountId, saveCard?: boolean }</w:t>
      </w:r>
      <w:r>
        <w:rPr>
          <w:rFonts w:ascii="Calibri" w:hAnsi="Calibri"/>
          <w:b w:val="0"/>
          <w:i w:val="0"/>
          <w:color w:val="101828"/>
          <w:sz w:val="21"/>
        </w:rPr>
        <w:t xml:space="preserve"> — </w:t>
      </w:r>
      <w:r>
        <w:rPr>
          <w:rFonts w:ascii="Calibri" w:hAnsi="Calibri"/>
          <w:b/>
          <w:color w:val="101828"/>
          <w:sz w:val="21"/>
        </w:rPr>
        <w:t>never a client-supplied amount</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202</w:t>
      </w:r>
      <w:r>
        <w:rPr>
          <w:rFonts w:ascii="Calibri" w:hAnsi="Calibri"/>
          <w:b w:val="0"/>
          <w:i w:val="0"/>
          <w:color w:val="101828"/>
          <w:sz w:val="21"/>
        </w:rPr>
        <w:t xml:space="preserve"> </w:t>
      </w:r>
      <w:r>
        <w:rPr>
          <w:rFonts w:ascii="Consolas" w:hAnsi="Consolas"/>
          <w:color w:val="146EF5"/>
          <w:sz w:val="21"/>
        </w:rPr>
        <w:t>{ paymentId, status: 'PENDING', amountKobo, feeKobo, totalKobo, authorizationUrl }</w:t>
      </w:r>
    </w:p>
    <w:p>
      <w:pPr>
        <w:spacing w:after="40"/>
        <w:ind w:left="173"/>
      </w:pPr>
      <w:r>
        <w:rPr>
          <w:rFonts w:ascii="Calibri" w:hAnsi="Calibri"/>
          <w:b/>
          <w:color w:val="0B1F3A"/>
          <w:sz w:val="21"/>
        </w:rPr>
        <w:t xml:space="preserve">Error responses  </w:t>
      </w:r>
      <w:r>
        <w:rPr>
          <w:rFonts w:ascii="Consolas" w:hAnsi="Consolas"/>
          <w:color w:val="146EF5"/>
          <w:sz w:val="21"/>
        </w:rPr>
        <w:t>402</w:t>
      </w:r>
      <w:r>
        <w:rPr>
          <w:rFonts w:ascii="Calibri" w:hAnsi="Calibri"/>
          <w:b w:val="0"/>
          <w:i w:val="0"/>
          <w:color w:val="101828"/>
          <w:sz w:val="21"/>
        </w:rPr>
        <w:t xml:space="preserve"> insufficient funds · </w:t>
      </w:r>
      <w:r>
        <w:rPr>
          <w:rFonts w:ascii="Consolas" w:hAnsi="Consolas"/>
          <w:color w:val="146EF5"/>
          <w:sz w:val="21"/>
        </w:rPr>
        <w:t>409</w:t>
      </w:r>
      <w:r>
        <w:rPr>
          <w:rFonts w:ascii="Calibri" w:hAnsi="Calibri"/>
          <w:b w:val="0"/>
          <w:i w:val="0"/>
          <w:color w:val="101828"/>
          <w:sz w:val="21"/>
        </w:rPr>
        <w:t xml:space="preserve"> already paid or past grace · </w:t>
      </w:r>
      <w:r>
        <w:rPr>
          <w:rFonts w:ascii="Consolas" w:hAnsi="Consolas"/>
          <w:color w:val="146EF5"/>
          <w:sz w:val="21"/>
        </w:rPr>
        <w:t>422</w:t>
      </w:r>
      <w:r>
        <w:rPr>
          <w:rFonts w:ascii="Calibri" w:hAnsi="Calibri"/>
          <w:b w:val="0"/>
          <w:i w:val="0"/>
          <w:color w:val="101828"/>
          <w:sz w:val="21"/>
        </w:rPr>
        <w:t xml:space="preserve"> no verified bank account · </w:t>
      </w:r>
      <w:r>
        <w:rPr>
          <w:rFonts w:ascii="Consolas" w:hAnsi="Consolas"/>
          <w:color w:val="146EF5"/>
          <w:sz w:val="21"/>
        </w:rPr>
        <w:t>429</w:t>
      </w:r>
      <w:r>
        <w:rPr>
          <w:rFonts w:ascii="Calibri" w:hAnsi="Calibri"/>
          <w:b w:val="0"/>
          <w:i w:val="0"/>
          <w:color w:val="101828"/>
          <w:sz w:val="21"/>
        </w:rPr>
        <w:t xml:space="preserve"> rate limited</w:t>
      </w:r>
    </w:p>
    <w:p>
      <w:pPr>
        <w:spacing w:after="40"/>
        <w:ind w:left="173"/>
      </w:pPr>
      <w:r>
        <w:rPr>
          <w:rFonts w:ascii="Calibri" w:hAnsi="Calibri"/>
          <w:b/>
          <w:color w:val="0B1F3A"/>
          <w:sz w:val="21"/>
        </w:rPr>
        <w:t xml:space="preserve">Validation rules  </w:t>
      </w:r>
      <w:r>
        <w:rPr>
          <w:rFonts w:ascii="Calibri" w:hAnsi="Calibri"/>
          <w:b/>
          <w:color w:val="101828"/>
          <w:sz w:val="21"/>
        </w:rPr>
        <w:t>The amount is recomputed server-side from the database.</w:t>
      </w:r>
      <w:r>
        <w:rPr>
          <w:rFonts w:ascii="Calibri" w:hAnsi="Calibri"/>
          <w:b w:val="0"/>
          <w:i w:val="0"/>
          <w:color w:val="101828"/>
          <w:sz w:val="21"/>
        </w:rPr>
        <w:t xml:space="preserve"> The client may display an amount; it may not assert one. The response echoes the exact split: contribution, 2% fee, total. The contribution is not marked paid until the provider confirms.</w:t>
      </w:r>
    </w:p>
    <w:p>
      <w:pPr>
        <w:pStyle w:val="Heading3"/>
      </w:pPr>
      <w:r>
        <w:rPr>
          <w:rFonts w:ascii="Calibri" w:hAnsi="Calibri"/>
          <w:b/>
          <w:i w:val="0"/>
          <w:color w:val="0B1F3A"/>
          <w:sz w:val="24"/>
        </w:rPr>
        <w:t>POST /api/v1/contributions/:id/retry</w:t>
      </w:r>
    </w:p>
    <w:p>
      <w:pPr>
        <w:spacing w:after="40"/>
        <w:ind w:left="173"/>
      </w:pPr>
      <w:r>
        <w:rPr>
          <w:rFonts w:ascii="Calibri" w:hAnsi="Calibri"/>
          <w:b/>
          <w:color w:val="0B1F3A"/>
          <w:sz w:val="21"/>
        </w:rPr>
        <w:t xml:space="preserve">Purpose  </w:t>
      </w:r>
      <w:r>
        <w:rPr>
          <w:rFonts w:ascii="Calibri" w:hAnsi="Calibri"/>
          <w:b w:val="0"/>
          <w:i w:val="0"/>
          <w:color w:val="101828"/>
          <w:sz w:val="21"/>
        </w:rPr>
        <w:t>Retry a failed payment.</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Owning member, with a failed payment.</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202</w:t>
      </w:r>
      <w:r>
        <w:rPr>
          <w:rFonts w:ascii="Calibri" w:hAnsi="Calibri"/>
          <w:b w:val="0"/>
          <w:i w:val="0"/>
          <w:color w:val="101828"/>
          <w:sz w:val="21"/>
        </w:rPr>
        <w:t xml:space="preserve"> </w:t>
      </w:r>
      <w:r>
        <w:rPr>
          <w:rFonts w:ascii="Consolas" w:hAnsi="Consolas"/>
          <w:color w:val="146EF5"/>
          <w:sz w:val="21"/>
        </w:rPr>
        <w:t>{ paymentId, authorizationUrl }</w:t>
      </w:r>
    </w:p>
    <w:p>
      <w:pPr>
        <w:spacing w:after="40"/>
        <w:ind w:left="173"/>
      </w:pPr>
      <w:r>
        <w:rPr>
          <w:rFonts w:ascii="Calibri" w:hAnsi="Calibri"/>
          <w:b/>
          <w:color w:val="0B1F3A"/>
          <w:sz w:val="21"/>
        </w:rPr>
        <w:t xml:space="preserve">Error responses  </w:t>
      </w:r>
      <w:r>
        <w:rPr>
          <w:rFonts w:ascii="Consolas" w:hAnsi="Consolas"/>
          <w:color w:val="146EF5"/>
          <w:sz w:val="21"/>
        </w:rPr>
        <w:t>409</w:t>
      </w:r>
      <w:r>
        <w:rPr>
          <w:rFonts w:ascii="Calibri" w:hAnsi="Calibri"/>
          <w:b w:val="0"/>
          <w:i w:val="0"/>
          <w:color w:val="101828"/>
          <w:sz w:val="21"/>
        </w:rPr>
        <w:t xml:space="preserve"> no retryable failure</w:t>
      </w:r>
    </w:p>
    <w:p>
      <w:pPr>
        <w:spacing w:after="40"/>
        <w:ind w:left="173"/>
      </w:pPr>
      <w:r>
        <w:rPr>
          <w:rFonts w:ascii="Calibri" w:hAnsi="Calibri"/>
          <w:b/>
          <w:color w:val="0B1F3A"/>
          <w:sz w:val="21"/>
        </w:rPr>
        <w:t xml:space="preserve">Validation rules  </w:t>
      </w:r>
      <w:r>
        <w:rPr>
          <w:rFonts w:ascii="Calibri" w:hAnsi="Calibri"/>
          <w:b w:val="0"/>
          <w:i w:val="0"/>
          <w:color w:val="101828"/>
          <w:sz w:val="21"/>
        </w:rPr>
        <w:t>Creates a new payment; the previous failure is retained for audit.</w:t>
      </w:r>
    </w:p>
    <w:p>
      <w:pPr>
        <w:pStyle w:val="Heading3"/>
      </w:pPr>
      <w:r>
        <w:rPr>
          <w:rFonts w:ascii="Calibri" w:hAnsi="Calibri"/>
          <w:b/>
          <w:i w:val="0"/>
          <w:color w:val="0B1F3A"/>
          <w:sz w:val="24"/>
        </w:rPr>
        <w:t>POST /api/v1/payments</w:t>
      </w:r>
    </w:p>
    <w:p>
      <w:pPr>
        <w:spacing w:after="40"/>
        <w:ind w:left="173"/>
      </w:pPr>
      <w:r>
        <w:rPr>
          <w:rFonts w:ascii="Calibri" w:hAnsi="Calibri"/>
          <w:b/>
          <w:color w:val="0B1F3A"/>
          <w:sz w:val="21"/>
        </w:rPr>
        <w:t xml:space="preserve">Purpose  </w:t>
      </w:r>
      <w:r>
        <w:rPr>
          <w:rFonts w:ascii="Calibri" w:hAnsi="Calibri"/>
          <w:b w:val="0"/>
          <w:i w:val="0"/>
          <w:color w:val="101828"/>
          <w:sz w:val="21"/>
        </w:rPr>
        <w:t>Create a payment against a contribution.</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 xml:space="preserve">Owning member. </w:t>
      </w:r>
      <w:r>
        <w:rPr>
          <w:rFonts w:ascii="Calibri" w:hAnsi="Calibri"/>
          <w:b/>
          <w:color w:val="101828"/>
          <w:sz w:val="21"/>
        </w:rPr>
        <w:t>Idempotency-Key required.</w:t>
      </w:r>
    </w:p>
    <w:p>
      <w:pPr>
        <w:spacing w:after="40"/>
        <w:ind w:left="173"/>
      </w:pPr>
      <w:r>
        <w:rPr>
          <w:rFonts w:ascii="Calibri" w:hAnsi="Calibri"/>
          <w:b/>
          <w:color w:val="0B1F3A"/>
          <w:sz w:val="21"/>
        </w:rPr>
        <w:t xml:space="preserve">Request body  </w:t>
      </w:r>
      <w:r>
        <w:rPr>
          <w:rFonts w:ascii="Consolas" w:hAnsi="Consolas"/>
          <w:color w:val="146EF5"/>
          <w:sz w:val="21"/>
        </w:rPr>
        <w:t>{ contributionId, bankAccountId, amountKobo? }</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202</w:t>
      </w:r>
      <w:r>
        <w:rPr>
          <w:rFonts w:ascii="Calibri" w:hAnsi="Calibri"/>
          <w:b w:val="0"/>
          <w:i w:val="0"/>
          <w:color w:val="101828"/>
          <w:sz w:val="21"/>
        </w:rPr>
        <w:t xml:space="preserve"> </w:t>
      </w:r>
      <w:r>
        <w:rPr>
          <w:rFonts w:ascii="Consolas" w:hAnsi="Consolas"/>
          <w:color w:val="146EF5"/>
          <w:sz w:val="21"/>
        </w:rPr>
        <w:t>{ payment, authorizationUrl }</w:t>
      </w:r>
    </w:p>
    <w:p>
      <w:pPr>
        <w:spacing w:after="40"/>
        <w:ind w:left="173"/>
      </w:pPr>
      <w:r>
        <w:rPr>
          <w:rFonts w:ascii="Calibri" w:hAnsi="Calibri"/>
          <w:b/>
          <w:color w:val="0B1F3A"/>
          <w:sz w:val="21"/>
        </w:rPr>
        <w:t xml:space="preserve">Error responses  </w:t>
      </w:r>
      <w:r>
        <w:rPr>
          <w:rFonts w:ascii="Consolas" w:hAnsi="Consolas"/>
          <w:color w:val="146EF5"/>
          <w:sz w:val="21"/>
        </w:rPr>
        <w:t>409</w:t>
      </w:r>
      <w:r>
        <w:rPr>
          <w:rFonts w:ascii="Calibri" w:hAnsi="Calibri"/>
          <w:b w:val="0"/>
          <w:i w:val="0"/>
          <w:color w:val="101828"/>
          <w:sz w:val="21"/>
        </w:rPr>
        <w:t xml:space="preserve"> contribution not payable · </w:t>
      </w:r>
      <w:r>
        <w:rPr>
          <w:rFonts w:ascii="Consolas" w:hAnsi="Consolas"/>
          <w:color w:val="146EF5"/>
          <w:sz w:val="21"/>
        </w:rPr>
        <w:t>422</w:t>
      </w:r>
      <w:r>
        <w:rPr>
          <w:rFonts w:ascii="Calibri" w:hAnsi="Calibri"/>
          <w:b w:val="0"/>
          <w:i w:val="0"/>
          <w:color w:val="101828"/>
          <w:sz w:val="21"/>
        </w:rPr>
        <w:t xml:space="preserve"> invalid bank account</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Used by mobile where the payment is initiated natively. </w:t>
      </w:r>
      <w:r>
        <w:rPr>
          <w:rFonts w:ascii="Consolas" w:hAnsi="Consolas"/>
          <w:color w:val="146EF5"/>
          <w:sz w:val="21"/>
        </w:rPr>
        <w:t>amountKobo</w:t>
      </w:r>
      <w:r>
        <w:rPr>
          <w:rFonts w:ascii="Calibri" w:hAnsi="Calibri"/>
          <w:b w:val="0"/>
          <w:i w:val="0"/>
          <w:color w:val="101828"/>
          <w:sz w:val="21"/>
        </w:rPr>
        <w:t xml:space="preserve"> is ignored if present — the server value always wins.</w:t>
      </w:r>
    </w:p>
    <w:p>
      <w:pPr>
        <w:pStyle w:val="Heading3"/>
      </w:pPr>
      <w:r>
        <w:rPr>
          <w:rFonts w:ascii="Calibri" w:hAnsi="Calibri"/>
          <w:b/>
          <w:i w:val="0"/>
          <w:color w:val="0B1F3A"/>
          <w:sz w:val="24"/>
        </w:rPr>
        <w:t>POST /api/v1/payments/:id/verify</w:t>
      </w:r>
    </w:p>
    <w:p>
      <w:pPr>
        <w:spacing w:after="40"/>
        <w:ind w:left="173"/>
      </w:pPr>
      <w:r>
        <w:rPr>
          <w:rFonts w:ascii="Calibri" w:hAnsi="Calibri"/>
          <w:b/>
          <w:color w:val="0B1F3A"/>
          <w:sz w:val="21"/>
        </w:rPr>
        <w:t xml:space="preserve">Purpose  </w:t>
      </w:r>
      <w:r>
        <w:rPr>
          <w:rFonts w:ascii="Calibri" w:hAnsi="Calibri"/>
          <w:b w:val="0"/>
          <w:i w:val="0"/>
          <w:color w:val="101828"/>
          <w:sz w:val="21"/>
        </w:rPr>
        <w:t>Actively confirm a payment's final state.</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Owning member.</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payment: { status, state, settledAt? } }</w:t>
      </w:r>
    </w:p>
    <w:p>
      <w:pPr>
        <w:spacing w:after="40"/>
        <w:ind w:left="173"/>
      </w:pPr>
      <w:r>
        <w:rPr>
          <w:rFonts w:ascii="Calibri" w:hAnsi="Calibri"/>
          <w:b/>
          <w:color w:val="0B1F3A"/>
          <w:sz w:val="21"/>
        </w:rPr>
        <w:t xml:space="preserve">Error responses  </w:t>
      </w:r>
      <w:r>
        <w:rPr>
          <w:rFonts w:ascii="Consolas" w:hAnsi="Consolas"/>
          <w:color w:val="146EF5"/>
          <w:sz w:val="21"/>
        </w:rPr>
        <w:t>503</w:t>
      </w:r>
      <w:r>
        <w:rPr>
          <w:rFonts w:ascii="Calibri" w:hAnsi="Calibri"/>
          <w:b w:val="0"/>
          <w:i w:val="0"/>
          <w:color w:val="101828"/>
          <w:sz w:val="21"/>
        </w:rPr>
        <w:t xml:space="preserve"> provider unavailable</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The member-facing 'I have paid' button. Queries the provider directly rather than waiting for a webhook. </w:t>
      </w:r>
      <w:r>
        <w:rPr>
          <w:rFonts w:ascii="Calibri" w:hAnsi="Calibri"/>
          <w:b/>
          <w:color w:val="101828"/>
          <w:sz w:val="21"/>
        </w:rPr>
        <w:t>This is the safety net for a lost webhook</w:t>
      </w:r>
      <w:r>
        <w:rPr>
          <w:rFonts w:ascii="Calibri" w:hAnsi="Calibri"/>
          <w:b w:val="0"/>
          <w:i w:val="0"/>
          <w:color w:val="101828"/>
          <w:sz w:val="21"/>
        </w:rPr>
        <w:t>, and it must be available even if the webhook system is broken.</w:t>
      </w:r>
    </w:p>
    <w:p>
      <w:pPr>
        <w:pStyle w:val="Heading3"/>
      </w:pPr>
      <w:r>
        <w:rPr>
          <w:rFonts w:ascii="Calibri" w:hAnsi="Calibri"/>
          <w:b/>
          <w:i w:val="0"/>
          <w:color w:val="0B1F3A"/>
          <w:sz w:val="24"/>
        </w:rPr>
        <w:t>GET /api/v1/payments/:id</w:t>
      </w:r>
    </w:p>
    <w:p>
      <w:pPr>
        <w:spacing w:after="40"/>
        <w:ind w:left="173"/>
      </w:pPr>
      <w:r>
        <w:rPr>
          <w:rFonts w:ascii="Calibri" w:hAnsi="Calibri"/>
          <w:b/>
          <w:color w:val="0B1F3A"/>
          <w:sz w:val="21"/>
        </w:rPr>
        <w:t xml:space="preserve">Purpose  </w:t>
      </w:r>
      <w:r>
        <w:rPr>
          <w:rFonts w:ascii="Calibri" w:hAnsi="Calibri"/>
          <w:b w:val="0"/>
          <w:i w:val="0"/>
          <w:color w:val="101828"/>
          <w:sz w:val="21"/>
        </w:rPr>
        <w:t>Payment detail.</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Owning member or admin.</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payment }</w:t>
      </w:r>
    </w:p>
    <w:p>
      <w:pPr>
        <w:spacing w:after="40"/>
        <w:ind w:left="173"/>
      </w:pPr>
      <w:r>
        <w:rPr>
          <w:rFonts w:ascii="Calibri" w:hAnsi="Calibri"/>
          <w:b/>
          <w:color w:val="0B1F3A"/>
          <w:sz w:val="21"/>
        </w:rPr>
        <w:t xml:space="preserve">Error responses  </w:t>
      </w:r>
      <w:r>
        <w:rPr>
          <w:rFonts w:ascii="Consolas" w:hAnsi="Consolas"/>
          <w:color w:val="146EF5"/>
          <w:sz w:val="21"/>
        </w:rPr>
        <w:t>404</w:t>
      </w:r>
    </w:p>
    <w:p>
      <w:pPr>
        <w:spacing w:after="40"/>
        <w:ind w:left="173"/>
      </w:pPr>
      <w:r>
        <w:rPr>
          <w:rFonts w:ascii="Calibri" w:hAnsi="Calibri"/>
          <w:b/>
          <w:color w:val="0B1F3A"/>
          <w:sz w:val="21"/>
        </w:rPr>
        <w:t xml:space="preserve">Validation rules  </w:t>
      </w:r>
      <w:r>
        <w:rPr>
          <w:rFonts w:ascii="Calibri" w:hAnsi="Calibri"/>
          <w:b w:val="0"/>
          <w:i w:val="0"/>
          <w:color w:val="101828"/>
          <w:sz w:val="21"/>
        </w:rPr>
        <w:t>Includes provider reference and the ledger transaction id.</w:t>
      </w:r>
    </w:p>
    <w:p>
      <w:pPr>
        <w:pStyle w:val="Heading3"/>
      </w:pPr>
      <w:r>
        <w:rPr>
          <w:rFonts w:ascii="Calibri" w:hAnsi="Calibri"/>
          <w:b/>
          <w:i w:val="0"/>
          <w:color w:val="0B1F3A"/>
          <w:sz w:val="24"/>
        </w:rPr>
        <w:t>GET /api/v1/payments/:id/receipt</w:t>
      </w:r>
    </w:p>
    <w:p>
      <w:pPr>
        <w:spacing w:after="40"/>
        <w:ind w:left="173"/>
      </w:pPr>
      <w:r>
        <w:rPr>
          <w:rFonts w:ascii="Calibri" w:hAnsi="Calibri"/>
          <w:b/>
          <w:color w:val="0B1F3A"/>
          <w:sz w:val="21"/>
        </w:rPr>
        <w:t xml:space="preserve">Purpose  </w:t>
      </w:r>
      <w:r>
        <w:rPr>
          <w:rFonts w:ascii="Calibri" w:hAnsi="Calibri"/>
          <w:b w:val="0"/>
          <w:i w:val="0"/>
          <w:color w:val="101828"/>
          <w:sz w:val="21"/>
        </w:rPr>
        <w:t>Receipt for a settled payment.</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Owning member.</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receipt: { receiptNumber, issuedAt, contributionKobo, feeKobo, totalKobo, ajoName, roundNumber, providerReference, signatureHash } }</w:t>
      </w:r>
    </w:p>
    <w:p>
      <w:pPr>
        <w:spacing w:after="40"/>
        <w:ind w:left="173"/>
      </w:pPr>
      <w:r>
        <w:rPr>
          <w:rFonts w:ascii="Calibri" w:hAnsi="Calibri"/>
          <w:b/>
          <w:color w:val="0B1F3A"/>
          <w:sz w:val="21"/>
        </w:rPr>
        <w:t xml:space="preserve">Error responses  </w:t>
      </w:r>
      <w:r>
        <w:rPr>
          <w:rFonts w:ascii="Consolas" w:hAnsi="Consolas"/>
          <w:color w:val="146EF5"/>
          <w:sz w:val="21"/>
        </w:rPr>
        <w:t>404</w:t>
      </w:r>
      <w:r>
        <w:rPr>
          <w:rFonts w:ascii="Calibri" w:hAnsi="Calibri"/>
          <w:b w:val="0"/>
          <w:i w:val="0"/>
          <w:color w:val="101828"/>
          <w:sz w:val="21"/>
        </w:rPr>
        <w:t xml:space="preserve"> not settled</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The receipt shows the contribution and the 2% fee as separate lines. A </w:t>
      </w:r>
      <w:r>
        <w:rPr>
          <w:rFonts w:ascii="Consolas" w:hAnsi="Consolas"/>
          <w:color w:val="146EF5"/>
          <w:sz w:val="21"/>
        </w:rPr>
        <w:t>signatureHash</w:t>
      </w:r>
      <w:r>
        <w:rPr>
          <w:rFonts w:ascii="Calibri" w:hAnsi="Calibri"/>
          <w:b w:val="0"/>
          <w:i w:val="0"/>
          <w:color w:val="101828"/>
          <w:sz w:val="21"/>
        </w:rPr>
        <w:t xml:space="preserve"> allows a later integrity check.</w:t>
      </w:r>
    </w:p>
    <w:p>
      <w:pPr>
        <w:pStyle w:val="Heading2"/>
      </w:pPr>
      <w:r>
        <w:rPr>
          <w:rFonts w:ascii="Calibri" w:hAnsi="Calibri"/>
          <w:b/>
          <w:i w:val="0"/>
          <w:color w:val="146EF5"/>
          <w:sz w:val="29"/>
        </w:rPr>
        <w:t>11.7 Payouts and transactions</w:t>
      </w:r>
    </w:p>
    <w:p>
      <w:pPr>
        <w:pStyle w:val="Heading3"/>
      </w:pPr>
      <w:r>
        <w:rPr>
          <w:rFonts w:ascii="Calibri" w:hAnsi="Calibri"/>
          <w:b/>
          <w:i w:val="0"/>
          <w:color w:val="0B1F3A"/>
          <w:sz w:val="24"/>
        </w:rPr>
        <w:t>GET /api/v1/ajos/:id/payouts</w:t>
      </w:r>
    </w:p>
    <w:p>
      <w:pPr>
        <w:spacing w:after="40"/>
        <w:ind w:left="173"/>
      </w:pPr>
      <w:r>
        <w:rPr>
          <w:rFonts w:ascii="Calibri" w:hAnsi="Calibri"/>
          <w:b/>
          <w:color w:val="0B1F3A"/>
          <w:sz w:val="21"/>
        </w:rPr>
        <w:t xml:space="preserve">Purpose  </w:t>
      </w:r>
      <w:r>
        <w:rPr>
          <w:rFonts w:ascii="Calibri" w:hAnsi="Calibri"/>
          <w:b w:val="0"/>
          <w:i w:val="0"/>
          <w:color w:val="101828"/>
          <w:sz w:val="21"/>
        </w:rPr>
        <w:t>Payout history for an Ajo.</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 of that Ajo.</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payouts: [{ id, roundNumber, recipientId, recipientName, amountKobo, status, scheduledAt, releasedAt?, settledAt?, failureReason? }] }</w:t>
      </w:r>
    </w:p>
    <w:p>
      <w:pPr>
        <w:spacing w:after="40"/>
        <w:ind w:left="173"/>
      </w:pPr>
      <w:r>
        <w:rPr>
          <w:rFonts w:ascii="Calibri" w:hAnsi="Calibri"/>
          <w:b/>
          <w:color w:val="0B1F3A"/>
          <w:sz w:val="21"/>
        </w:rPr>
        <w:t xml:space="preserve">Error responses  </w:t>
      </w:r>
      <w:r>
        <w:rPr>
          <w:rFonts w:ascii="Calibri" w:hAnsi="Calibri"/>
          <w:b w:val="0"/>
          <w:i w:val="0"/>
          <w:color w:val="101828"/>
          <w:sz w:val="21"/>
        </w:rPr>
        <w:t>None</w:t>
      </w:r>
    </w:p>
    <w:p>
      <w:pPr>
        <w:spacing w:after="40"/>
        <w:ind w:left="173"/>
      </w:pPr>
      <w:r>
        <w:rPr>
          <w:rFonts w:ascii="Calibri" w:hAnsi="Calibri"/>
          <w:b/>
          <w:color w:val="0B1F3A"/>
          <w:sz w:val="21"/>
        </w:rPr>
        <w:t xml:space="preserve">Validation rules  </w:t>
      </w:r>
      <w:r>
        <w:rPr>
          <w:rFonts w:ascii="Calibri" w:hAnsi="Calibri"/>
          <w:b w:val="0"/>
          <w:i w:val="0"/>
          <w:color w:val="101828"/>
          <w:sz w:val="21"/>
        </w:rPr>
        <w:t>The amount is always the base pool, never reduced by the platform fee.</w:t>
      </w:r>
    </w:p>
    <w:p>
      <w:pPr>
        <w:pStyle w:val="Heading3"/>
      </w:pPr>
      <w:r>
        <w:rPr>
          <w:rFonts w:ascii="Calibri" w:hAnsi="Calibri"/>
          <w:b/>
          <w:i w:val="0"/>
          <w:color w:val="0B1F3A"/>
          <w:sz w:val="24"/>
        </w:rPr>
        <w:t>GET /api/v1/payouts/:id</w:t>
      </w:r>
    </w:p>
    <w:p>
      <w:pPr>
        <w:spacing w:after="40"/>
        <w:ind w:left="173"/>
      </w:pPr>
      <w:r>
        <w:rPr>
          <w:rFonts w:ascii="Calibri" w:hAnsi="Calibri"/>
          <w:b/>
          <w:color w:val="0B1F3A"/>
          <w:sz w:val="21"/>
        </w:rPr>
        <w:t xml:space="preserve">Purpose  </w:t>
      </w:r>
      <w:r>
        <w:rPr>
          <w:rFonts w:ascii="Calibri" w:hAnsi="Calibri"/>
          <w:b w:val="0"/>
          <w:i w:val="0"/>
          <w:color w:val="101828"/>
          <w:sz w:val="21"/>
        </w:rPr>
        <w:t>Payout detail.</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Recipient, Ajo organizer, or admin.</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payout, fundingCheck: { expectedKobo, availableKobo, sufficient } }</w:t>
      </w:r>
    </w:p>
    <w:p>
      <w:pPr>
        <w:spacing w:after="40"/>
        <w:ind w:left="173"/>
      </w:pPr>
      <w:r>
        <w:rPr>
          <w:rFonts w:ascii="Calibri" w:hAnsi="Calibri"/>
          <w:b/>
          <w:color w:val="0B1F3A"/>
          <w:sz w:val="21"/>
        </w:rPr>
        <w:t xml:space="preserve">Error responses  </w:t>
      </w:r>
      <w:r>
        <w:rPr>
          <w:rFonts w:ascii="Consolas" w:hAnsi="Consolas"/>
          <w:color w:val="146EF5"/>
          <w:sz w:val="21"/>
        </w:rPr>
        <w:t>404</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Exposing the funding check is how a member or the organizer sees </w:t>
      </w:r>
      <w:r>
        <w:rPr>
          <w:rFonts w:ascii="Calibri" w:hAnsi="Calibri"/>
          <w:i/>
          <w:color w:val="101828"/>
          <w:sz w:val="21"/>
        </w:rPr>
        <w:t>why</w:t>
      </w:r>
      <w:r>
        <w:rPr>
          <w:rFonts w:ascii="Calibri" w:hAnsi="Calibri"/>
          <w:b w:val="0"/>
          <w:i w:val="0"/>
          <w:color w:val="101828"/>
          <w:sz w:val="21"/>
        </w:rPr>
        <w:t xml:space="preserve"> a payout is held.</w:t>
      </w:r>
    </w:p>
    <w:p>
      <w:pPr>
        <w:pStyle w:val="Heading3"/>
      </w:pPr>
      <w:r>
        <w:rPr>
          <w:rFonts w:ascii="Calibri" w:hAnsi="Calibri"/>
          <w:b/>
          <w:i w:val="0"/>
          <w:color w:val="0B1F3A"/>
          <w:sz w:val="24"/>
        </w:rPr>
        <w:t>POST /api/v1/payouts/:id/release</w:t>
      </w:r>
    </w:p>
    <w:p>
      <w:pPr>
        <w:spacing w:after="40"/>
        <w:ind w:left="173"/>
      </w:pPr>
      <w:r>
        <w:rPr>
          <w:rFonts w:ascii="Calibri" w:hAnsi="Calibri"/>
          <w:b/>
          <w:color w:val="0B1F3A"/>
          <w:sz w:val="21"/>
        </w:rPr>
        <w:t xml:space="preserve">Purpose  </w:t>
      </w:r>
      <w:r>
        <w:rPr>
          <w:rFonts w:ascii="Calibri" w:hAnsi="Calibri"/>
          <w:b w:val="0"/>
          <w:i w:val="0"/>
          <w:color w:val="101828"/>
          <w:sz w:val="21"/>
        </w:rPr>
        <w:t xml:space="preserve">Request release of a due payout. </w:t>
      </w:r>
      <w:r>
        <w:rPr>
          <w:rFonts w:ascii="Calibri" w:hAnsi="Calibri"/>
          <w:b/>
          <w:color w:val="101828"/>
          <w:sz w:val="21"/>
        </w:rPr>
        <w:t>Idempotency-Key required.</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ajo_organizer, or automatic once all contributions are confirmed.</w:t>
      </w:r>
    </w:p>
    <w:p>
      <w:pPr>
        <w:spacing w:after="40"/>
        <w:ind w:left="173"/>
      </w:pPr>
      <w:r>
        <w:rPr>
          <w:rFonts w:ascii="Calibri" w:hAnsi="Calibri"/>
          <w:b/>
          <w:color w:val="0B1F3A"/>
          <w:sz w:val="21"/>
        </w:rPr>
        <w:t xml:space="preserve">Request body  </w:t>
      </w:r>
      <w:r>
        <w:rPr>
          <w:rFonts w:ascii="Consolas" w:hAnsi="Consolas"/>
          <w:color w:val="146EF5"/>
          <w:sz w:val="21"/>
        </w:rPr>
        <w:t>{ confirm: true }</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202</w:t>
      </w:r>
      <w:r>
        <w:rPr>
          <w:rFonts w:ascii="Calibri" w:hAnsi="Calibri"/>
          <w:b w:val="0"/>
          <w:i w:val="0"/>
          <w:color w:val="101828"/>
          <w:sz w:val="21"/>
        </w:rPr>
        <w:t xml:space="preserve"> </w:t>
      </w:r>
      <w:r>
        <w:rPr>
          <w:rFonts w:ascii="Consolas" w:hAnsi="Consolas"/>
          <w:color w:val="146EF5"/>
          <w:sz w:val="21"/>
        </w:rPr>
        <w:t>{ payout, status: 'RELEASED' }</w:t>
      </w:r>
    </w:p>
    <w:p>
      <w:pPr>
        <w:spacing w:after="40"/>
        <w:ind w:left="173"/>
      </w:pPr>
      <w:r>
        <w:rPr>
          <w:rFonts w:ascii="Calibri" w:hAnsi="Calibri"/>
          <w:b/>
          <w:color w:val="0B1F3A"/>
          <w:sz w:val="21"/>
        </w:rPr>
        <w:t xml:space="preserve">Error responses  </w:t>
      </w:r>
      <w:r>
        <w:rPr>
          <w:rFonts w:ascii="Consolas" w:hAnsi="Consolas"/>
          <w:color w:val="146EF5"/>
          <w:sz w:val="21"/>
        </w:rPr>
        <w:t>409</w:t>
      </w:r>
      <w:r>
        <w:rPr>
          <w:rFonts w:ascii="Calibri" w:hAnsi="Calibri"/>
          <w:b w:val="0"/>
          <w:i w:val="0"/>
          <w:color w:val="101828"/>
          <w:sz w:val="21"/>
        </w:rPr>
        <w:t xml:space="preserve"> not yet due · </w:t>
      </w:r>
      <w:r>
        <w:rPr>
          <w:rFonts w:ascii="Consolas" w:hAnsi="Consolas"/>
          <w:color w:val="146EF5"/>
          <w:sz w:val="21"/>
        </w:rPr>
        <w:t>422</w:t>
      </w:r>
      <w:r>
        <w:rPr>
          <w:rFonts w:ascii="Calibri" w:hAnsi="Calibri"/>
          <w:b w:val="0"/>
          <w:i w:val="0"/>
          <w:color w:val="101828"/>
          <w:sz w:val="21"/>
        </w:rPr>
        <w:t xml:space="preserve"> funding insufficient — the payout is placed in </w:t>
      </w:r>
      <w:r>
        <w:rPr>
          <w:rFonts w:ascii="Consolas" w:hAnsi="Consolas"/>
          <w:color w:val="146EF5"/>
          <w:sz w:val="21"/>
        </w:rPr>
        <w:t>HELD</w:t>
      </w:r>
      <w:r>
        <w:rPr>
          <w:rFonts w:ascii="Calibri" w:hAnsi="Calibri"/>
          <w:b w:val="0"/>
          <w:i w:val="0"/>
          <w:color w:val="101828"/>
          <w:sz w:val="21"/>
        </w:rPr>
        <w:t>, not partially paid</w:t>
      </w:r>
    </w:p>
    <w:p>
      <w:pPr>
        <w:spacing w:after="40"/>
        <w:ind w:left="173"/>
      </w:pPr>
      <w:r>
        <w:rPr>
          <w:rFonts w:ascii="Calibri" w:hAnsi="Calibri"/>
          <w:b/>
          <w:color w:val="0B1F3A"/>
          <w:sz w:val="21"/>
        </w:rPr>
        <w:t xml:space="preserve">Validation rules  </w:t>
      </w:r>
      <w:r>
        <w:rPr>
          <w:rFonts w:ascii="Calibri" w:hAnsi="Calibri"/>
          <w:b/>
          <w:color w:val="101828"/>
          <w:sz w:val="21"/>
        </w:rPr>
        <w:t>The payout funding principle is absolute: if the expected amount is not fully available, the payout is held. AJO.ng must never silently reduce a payout and must never use corporate funds to make one good.</w:t>
      </w:r>
    </w:p>
    <w:p>
      <w:pPr>
        <w:pStyle w:val="Heading3"/>
      </w:pPr>
      <w:r>
        <w:rPr>
          <w:rFonts w:ascii="Calibri" w:hAnsi="Calibri"/>
          <w:b/>
          <w:i w:val="0"/>
          <w:color w:val="0B1F3A"/>
          <w:sz w:val="24"/>
        </w:rPr>
        <w:t>GET /api/v1/payouts</w:t>
      </w:r>
    </w:p>
    <w:p>
      <w:pPr>
        <w:spacing w:after="40"/>
        <w:ind w:left="173"/>
      </w:pPr>
      <w:r>
        <w:rPr>
          <w:rFonts w:ascii="Calibri" w:hAnsi="Calibri"/>
          <w:b/>
          <w:color w:val="0B1F3A"/>
          <w:sz w:val="21"/>
        </w:rPr>
        <w:t xml:space="preserve">Purpose  </w:t>
      </w:r>
      <w:r>
        <w:rPr>
          <w:rFonts w:ascii="Calibri" w:hAnsi="Calibri"/>
          <w:b w:val="0"/>
          <w:i w:val="0"/>
          <w:color w:val="101828"/>
          <w:sz w:val="21"/>
        </w:rPr>
        <w:t>Payouts across all of the caller's Ajos.</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data: [...], page }</w:t>
      </w:r>
    </w:p>
    <w:p>
      <w:pPr>
        <w:spacing w:after="40"/>
        <w:ind w:left="173"/>
      </w:pPr>
      <w:r>
        <w:rPr>
          <w:rFonts w:ascii="Calibri" w:hAnsi="Calibri"/>
          <w:b/>
          <w:color w:val="0B1F3A"/>
          <w:sz w:val="21"/>
        </w:rPr>
        <w:t xml:space="preserve">Error responses  </w:t>
      </w:r>
      <w:r>
        <w:rPr>
          <w:rFonts w:ascii="Calibri" w:hAnsi="Calibri"/>
          <w:b w:val="0"/>
          <w:i w:val="0"/>
          <w:color w:val="101828"/>
          <w:sz w:val="21"/>
        </w:rPr>
        <w:t>None</w:t>
      </w:r>
    </w:p>
    <w:p>
      <w:pPr>
        <w:spacing w:after="40"/>
        <w:ind w:left="173"/>
      </w:pPr>
      <w:r>
        <w:rPr>
          <w:rFonts w:ascii="Calibri" w:hAnsi="Calibri"/>
          <w:b/>
          <w:color w:val="0B1F3A"/>
          <w:sz w:val="21"/>
        </w:rPr>
        <w:t xml:space="preserve">Validation rules  </w:t>
      </w:r>
      <w:r>
        <w:rPr>
          <w:rFonts w:ascii="Calibri" w:hAnsi="Calibri"/>
          <w:b w:val="0"/>
          <w:i w:val="0"/>
          <w:color w:val="101828"/>
          <w:sz w:val="21"/>
        </w:rPr>
        <w:t>Default sort is most recent.</w:t>
      </w:r>
    </w:p>
    <w:p>
      <w:pPr>
        <w:pStyle w:val="Heading3"/>
      </w:pPr>
      <w:r>
        <w:rPr>
          <w:rFonts w:ascii="Calibri" w:hAnsi="Calibri"/>
          <w:b/>
          <w:i w:val="0"/>
          <w:color w:val="0B1F3A"/>
          <w:sz w:val="24"/>
        </w:rPr>
        <w:t>GET /api/v1/transactions</w:t>
      </w:r>
    </w:p>
    <w:p>
      <w:pPr>
        <w:spacing w:after="40"/>
        <w:ind w:left="173"/>
      </w:pPr>
      <w:r>
        <w:rPr>
          <w:rFonts w:ascii="Calibri" w:hAnsi="Calibri"/>
          <w:b/>
          <w:color w:val="0B1F3A"/>
          <w:sz w:val="21"/>
        </w:rPr>
        <w:t xml:space="preserve">Purpose  </w:t>
      </w:r>
      <w:r>
        <w:rPr>
          <w:rFonts w:ascii="Calibri" w:hAnsi="Calibri"/>
          <w:b w:val="0"/>
          <w:i w:val="0"/>
          <w:color w:val="101828"/>
          <w:sz w:val="21"/>
        </w:rPr>
        <w:t>The caller's unified transaction ledger view.</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data: [{ id, type: 'CONTRIBUTION'|'PAYOUT'|'REFUND'|'FEE', ajoId, ajoName, amountKobo, direction, status, occurredAt, reference }], page }</w:t>
      </w:r>
    </w:p>
    <w:p>
      <w:pPr>
        <w:spacing w:after="40"/>
        <w:ind w:left="173"/>
      </w:pPr>
      <w:r>
        <w:rPr>
          <w:rFonts w:ascii="Calibri" w:hAnsi="Calibri"/>
          <w:b/>
          <w:color w:val="0B1F3A"/>
          <w:sz w:val="21"/>
        </w:rPr>
        <w:t xml:space="preserve">Error responses  </w:t>
      </w:r>
      <w:r>
        <w:rPr>
          <w:rFonts w:ascii="Calibri" w:hAnsi="Calibri"/>
          <w:b w:val="0"/>
          <w:i w:val="0"/>
          <w:color w:val="101828"/>
          <w:sz w:val="21"/>
        </w:rPr>
        <w:t>None</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A read model projected from </w:t>
      </w:r>
      <w:r>
        <w:rPr>
          <w:rFonts w:ascii="Consolas" w:hAnsi="Consolas"/>
          <w:color w:val="146EF5"/>
          <w:sz w:val="21"/>
        </w:rPr>
        <w:t>ledger_transactions</w:t>
      </w:r>
      <w:r>
        <w:rPr>
          <w:rFonts w:ascii="Calibri" w:hAnsi="Calibri"/>
          <w:b w:val="0"/>
          <w:i w:val="0"/>
          <w:color w:val="101828"/>
          <w:sz w:val="21"/>
        </w:rPr>
        <w:t xml:space="preserve">. </w:t>
      </w:r>
      <w:r>
        <w:rPr>
          <w:rFonts w:ascii="Consolas" w:hAnsi="Consolas"/>
          <w:color w:val="146EF5"/>
          <w:sz w:val="21"/>
        </w:rPr>
        <w:t>direction</w:t>
      </w:r>
      <w:r>
        <w:rPr>
          <w:rFonts w:ascii="Calibri" w:hAnsi="Calibri"/>
          <w:b w:val="0"/>
          <w:i w:val="0"/>
          <w:color w:val="101828"/>
          <w:sz w:val="21"/>
        </w:rPr>
        <w:t xml:space="preserve"> is explicit so a member never has to infer a sign.</w:t>
      </w:r>
    </w:p>
    <w:p>
      <w:pPr>
        <w:pStyle w:val="Heading3"/>
      </w:pPr>
      <w:r>
        <w:rPr>
          <w:rFonts w:ascii="Calibri" w:hAnsi="Calibri"/>
          <w:b/>
          <w:i w:val="0"/>
          <w:color w:val="0B1F3A"/>
          <w:sz w:val="24"/>
        </w:rPr>
        <w:t>GET /api/v1/transactions/:id</w:t>
      </w:r>
    </w:p>
    <w:p>
      <w:pPr>
        <w:spacing w:after="40"/>
        <w:ind w:left="173"/>
      </w:pPr>
      <w:r>
        <w:rPr>
          <w:rFonts w:ascii="Calibri" w:hAnsi="Calibri"/>
          <w:b/>
          <w:color w:val="0B1F3A"/>
          <w:sz w:val="21"/>
        </w:rPr>
        <w:t xml:space="preserve">Purpose  </w:t>
      </w:r>
      <w:r>
        <w:rPr>
          <w:rFonts w:ascii="Calibri" w:hAnsi="Calibri"/>
          <w:b w:val="0"/>
          <w:i w:val="0"/>
          <w:color w:val="101828"/>
          <w:sz w:val="21"/>
        </w:rPr>
        <w:t>A single ledger transaction with its postings.</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 with a posting in it.</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transaction: { id, kind, occurredAt, postings: [{ account, side, amountKobo }], reversesTransactionId? } }</w:t>
      </w:r>
    </w:p>
    <w:p>
      <w:pPr>
        <w:spacing w:after="40"/>
        <w:ind w:left="173"/>
      </w:pPr>
      <w:r>
        <w:rPr>
          <w:rFonts w:ascii="Calibri" w:hAnsi="Calibri"/>
          <w:b/>
          <w:color w:val="0B1F3A"/>
          <w:sz w:val="21"/>
        </w:rPr>
        <w:t xml:space="preserve">Error responses  </w:t>
      </w:r>
      <w:r>
        <w:rPr>
          <w:rFonts w:ascii="Calibri" w:hAnsi="Calibri"/>
          <w:b w:val="0"/>
          <w:i w:val="0"/>
          <w:color w:val="101828"/>
          <w:sz w:val="21"/>
        </w:rPr>
        <w:t>Not found</w:t>
      </w:r>
    </w:p>
    <w:p>
      <w:pPr>
        <w:spacing w:after="40"/>
        <w:ind w:left="173"/>
      </w:pPr>
      <w:r>
        <w:rPr>
          <w:rFonts w:ascii="Calibri" w:hAnsi="Calibri"/>
          <w:b/>
          <w:color w:val="0B1F3A"/>
          <w:sz w:val="21"/>
        </w:rPr>
        <w:t xml:space="preserve">Validation rules  </w:t>
      </w:r>
      <w:r>
        <w:rPr>
          <w:rFonts w:ascii="Calibri" w:hAnsi="Calibri"/>
          <w:b w:val="0"/>
          <w:i w:val="0"/>
          <w:color w:val="101828"/>
          <w:sz w:val="21"/>
        </w:rPr>
        <w:t>Exposes the double-entry postings. This is what makes a disputed figure explainable rather than arguable.</w:t>
      </w:r>
    </w:p>
    <w:p>
      <w:pPr>
        <w:pStyle w:val="Heading3"/>
      </w:pPr>
      <w:r>
        <w:rPr>
          <w:rFonts w:ascii="Calibri" w:hAnsi="Calibri"/>
          <w:b/>
          <w:i w:val="0"/>
          <w:color w:val="0B1F3A"/>
          <w:sz w:val="24"/>
        </w:rPr>
        <w:t>GET /api/v1/statements</w:t>
      </w:r>
    </w:p>
    <w:p>
      <w:pPr>
        <w:spacing w:after="40"/>
        <w:ind w:left="173"/>
      </w:pPr>
      <w:r>
        <w:rPr>
          <w:rFonts w:ascii="Calibri" w:hAnsi="Calibri"/>
          <w:b/>
          <w:color w:val="0B1F3A"/>
          <w:sz w:val="21"/>
        </w:rPr>
        <w:t xml:space="preserve">Purpose  </w:t>
      </w:r>
      <w:r>
        <w:rPr>
          <w:rFonts w:ascii="Calibri" w:hAnsi="Calibri"/>
          <w:b w:val="0"/>
          <w:i w:val="0"/>
          <w:color w:val="101828"/>
          <w:sz w:val="21"/>
        </w:rPr>
        <w:t>Generate a period statement.</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statementUrl, period: { from, to }, totals: {...} }</w:t>
      </w:r>
    </w:p>
    <w:p>
      <w:pPr>
        <w:spacing w:after="40"/>
        <w:ind w:left="173"/>
      </w:pPr>
      <w:r>
        <w:rPr>
          <w:rFonts w:ascii="Calibri" w:hAnsi="Calibri"/>
          <w:b/>
          <w:color w:val="0B1F3A"/>
          <w:sz w:val="21"/>
        </w:rPr>
        <w:t xml:space="preserve">Error responses  </w:t>
      </w:r>
      <w:r>
        <w:rPr>
          <w:rFonts w:ascii="Consolas" w:hAnsi="Consolas"/>
          <w:color w:val="146EF5"/>
          <w:sz w:val="21"/>
        </w:rPr>
        <w:t>422</w:t>
      </w:r>
      <w:r>
        <w:rPr>
          <w:rFonts w:ascii="Calibri" w:hAnsi="Calibri"/>
          <w:b w:val="0"/>
          <w:i w:val="0"/>
          <w:color w:val="101828"/>
          <w:sz w:val="21"/>
        </w:rPr>
        <w:t xml:space="preserve"> invalid period</w:t>
      </w:r>
    </w:p>
    <w:p>
      <w:pPr>
        <w:spacing w:after="40"/>
        <w:ind w:left="173"/>
      </w:pPr>
      <w:r>
        <w:rPr>
          <w:rFonts w:ascii="Calibri" w:hAnsi="Calibri"/>
          <w:b/>
          <w:color w:val="0B1F3A"/>
          <w:sz w:val="21"/>
        </w:rPr>
        <w:t xml:space="preserve">Validation rules  </w:t>
      </w:r>
      <w:r>
        <w:rPr>
          <w:rFonts w:ascii="Calibri" w:hAnsi="Calibri"/>
          <w:b w:val="0"/>
          <w:i w:val="0"/>
          <w:color w:val="101828"/>
          <w:sz w:val="21"/>
        </w:rPr>
        <w:t>Asynchronous for long ranges. Statement content must match the ledger exactly, including fee lines.</w:t>
      </w:r>
    </w:p>
    <w:p>
      <w:pPr>
        <w:pStyle w:val="Heading2"/>
      </w:pPr>
      <w:r>
        <w:rPr>
          <w:rFonts w:ascii="Calibri" w:hAnsi="Calibri"/>
          <w:b/>
          <w:i w:val="0"/>
          <w:color w:val="146EF5"/>
          <w:sz w:val="29"/>
        </w:rPr>
        <w:t>11.8 Notifications</w:t>
      </w:r>
    </w:p>
    <w:p>
      <w:pPr>
        <w:pStyle w:val="Heading3"/>
      </w:pPr>
      <w:r>
        <w:rPr>
          <w:rFonts w:ascii="Calibri" w:hAnsi="Calibri"/>
          <w:b/>
          <w:i w:val="0"/>
          <w:color w:val="0B1F3A"/>
          <w:sz w:val="24"/>
        </w:rPr>
        <w:t>GET /api/v1/notifications</w:t>
      </w:r>
    </w:p>
    <w:p>
      <w:pPr>
        <w:spacing w:after="40"/>
        <w:ind w:left="173"/>
      </w:pPr>
      <w:r>
        <w:rPr>
          <w:rFonts w:ascii="Calibri" w:hAnsi="Calibri"/>
          <w:b/>
          <w:color w:val="0B1F3A"/>
          <w:sz w:val="21"/>
        </w:rPr>
        <w:t xml:space="preserve">Purpose  </w:t>
      </w:r>
      <w:r>
        <w:rPr>
          <w:rFonts w:ascii="Calibri" w:hAnsi="Calibri"/>
          <w:b w:val="0"/>
          <w:i w:val="0"/>
          <w:color w:val="101828"/>
          <w:sz w:val="21"/>
        </w:rPr>
        <w:t>The caller's notifications.</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data: [{ id, type, priority, title, body, data, readAt?, createdAt }], page }</w:t>
      </w:r>
    </w:p>
    <w:p>
      <w:pPr>
        <w:spacing w:after="40"/>
        <w:ind w:left="173"/>
      </w:pPr>
      <w:r>
        <w:rPr>
          <w:rFonts w:ascii="Calibri" w:hAnsi="Calibri"/>
          <w:b/>
          <w:color w:val="0B1F3A"/>
          <w:sz w:val="21"/>
        </w:rPr>
        <w:t xml:space="preserve">Error responses  </w:t>
      </w:r>
      <w:r>
        <w:rPr>
          <w:rFonts w:ascii="Calibri" w:hAnsi="Calibri"/>
          <w:b w:val="0"/>
          <w:i w:val="0"/>
          <w:color w:val="101828"/>
          <w:sz w:val="21"/>
        </w:rPr>
        <w:t>None</w:t>
      </w:r>
    </w:p>
    <w:p>
      <w:pPr>
        <w:spacing w:after="40"/>
        <w:ind w:left="173"/>
      </w:pPr>
      <w:r>
        <w:rPr>
          <w:rFonts w:ascii="Calibri" w:hAnsi="Calibri"/>
          <w:b/>
          <w:color w:val="0B1F3A"/>
          <w:sz w:val="21"/>
        </w:rPr>
        <w:t xml:space="preserve">Validation rules  </w:t>
      </w:r>
      <w:r>
        <w:rPr>
          <w:rFonts w:ascii="Calibri" w:hAnsi="Calibri"/>
          <w:b w:val="0"/>
          <w:i w:val="0"/>
          <w:color w:val="101828"/>
          <w:sz w:val="21"/>
        </w:rPr>
        <w:t>Types match the catalogue in section 16. Unread count is returned in a header for the badge.</w:t>
      </w:r>
    </w:p>
    <w:p>
      <w:pPr>
        <w:pStyle w:val="Heading3"/>
      </w:pPr>
      <w:r>
        <w:rPr>
          <w:rFonts w:ascii="Calibri" w:hAnsi="Calibri"/>
          <w:b/>
          <w:i w:val="0"/>
          <w:color w:val="0B1F3A"/>
          <w:sz w:val="24"/>
        </w:rPr>
        <w:t>POST /api/v1/notifications/:id/read</w:t>
      </w:r>
    </w:p>
    <w:p>
      <w:pPr>
        <w:spacing w:after="40"/>
        <w:ind w:left="173"/>
      </w:pPr>
      <w:r>
        <w:rPr>
          <w:rFonts w:ascii="Calibri" w:hAnsi="Calibri"/>
          <w:b/>
          <w:color w:val="0B1F3A"/>
          <w:sz w:val="21"/>
        </w:rPr>
        <w:t xml:space="preserve">Purpose  </w:t>
      </w:r>
      <w:r>
        <w:rPr>
          <w:rFonts w:ascii="Calibri" w:hAnsi="Calibri"/>
          <w:b w:val="0"/>
          <w:i w:val="0"/>
          <w:color w:val="101828"/>
          <w:sz w:val="21"/>
        </w:rPr>
        <w:t>Mark one read.</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Owning member.</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204</w:t>
      </w:r>
    </w:p>
    <w:p>
      <w:pPr>
        <w:spacing w:after="40"/>
        <w:ind w:left="173"/>
      </w:pPr>
      <w:r>
        <w:rPr>
          <w:rFonts w:ascii="Calibri" w:hAnsi="Calibri"/>
          <w:b/>
          <w:color w:val="0B1F3A"/>
          <w:sz w:val="21"/>
        </w:rPr>
        <w:t xml:space="preserve">Error responses  </w:t>
      </w:r>
      <w:r>
        <w:rPr>
          <w:rFonts w:ascii="Consolas" w:hAnsi="Consolas"/>
          <w:color w:val="146EF5"/>
          <w:sz w:val="21"/>
        </w:rPr>
        <w:t>404</w:t>
      </w:r>
    </w:p>
    <w:p>
      <w:pPr>
        <w:spacing w:after="40"/>
        <w:ind w:left="173"/>
      </w:pPr>
      <w:r>
        <w:rPr>
          <w:rFonts w:ascii="Calibri" w:hAnsi="Calibri"/>
          <w:b/>
          <w:color w:val="0B1F3A"/>
          <w:sz w:val="21"/>
        </w:rPr>
        <w:t xml:space="preserve">Validation rules  </w:t>
      </w:r>
      <w:r>
        <w:rPr>
          <w:rFonts w:ascii="Calibri" w:hAnsi="Calibri"/>
          <w:b w:val="0"/>
          <w:i w:val="0"/>
          <w:color w:val="101828"/>
          <w:sz w:val="21"/>
        </w:rPr>
        <w:t>Idempotent.</w:t>
      </w:r>
    </w:p>
    <w:p>
      <w:pPr>
        <w:pStyle w:val="Heading3"/>
      </w:pPr>
      <w:r>
        <w:rPr>
          <w:rFonts w:ascii="Calibri" w:hAnsi="Calibri"/>
          <w:b/>
          <w:i w:val="0"/>
          <w:color w:val="0B1F3A"/>
          <w:sz w:val="24"/>
        </w:rPr>
        <w:t>POST /api/v1/notifications/read-all</w:t>
      </w:r>
    </w:p>
    <w:p>
      <w:pPr>
        <w:spacing w:after="40"/>
        <w:ind w:left="173"/>
      </w:pPr>
      <w:r>
        <w:rPr>
          <w:rFonts w:ascii="Calibri" w:hAnsi="Calibri"/>
          <w:b/>
          <w:color w:val="0B1F3A"/>
          <w:sz w:val="21"/>
        </w:rPr>
        <w:t xml:space="preserve">Purpose  </w:t>
      </w:r>
      <w:r>
        <w:rPr>
          <w:rFonts w:ascii="Calibri" w:hAnsi="Calibri"/>
          <w:b w:val="0"/>
          <w:i w:val="0"/>
          <w:color w:val="101828"/>
          <w:sz w:val="21"/>
        </w:rPr>
        <w:t>Mark all read.</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204</w:t>
      </w:r>
    </w:p>
    <w:p>
      <w:pPr>
        <w:spacing w:after="40"/>
        <w:ind w:left="173"/>
      </w:pPr>
      <w:r>
        <w:rPr>
          <w:rFonts w:ascii="Calibri" w:hAnsi="Calibri"/>
          <w:b/>
          <w:color w:val="0B1F3A"/>
          <w:sz w:val="21"/>
        </w:rPr>
        <w:t xml:space="preserve">Error responses  </w:t>
      </w:r>
      <w:r>
        <w:rPr>
          <w:rFonts w:ascii="Calibri" w:hAnsi="Calibri"/>
          <w:b w:val="0"/>
          <w:i w:val="0"/>
          <w:color w:val="101828"/>
          <w:sz w:val="21"/>
        </w:rPr>
        <w:t>None</w:t>
      </w:r>
    </w:p>
    <w:p>
      <w:pPr>
        <w:spacing w:after="40"/>
        <w:ind w:left="173"/>
      </w:pPr>
      <w:r>
        <w:rPr>
          <w:rFonts w:ascii="Calibri" w:hAnsi="Calibri"/>
          <w:b/>
          <w:color w:val="0B1F3A"/>
          <w:sz w:val="21"/>
        </w:rPr>
        <w:t xml:space="preserve">Validation rules  </w:t>
      </w:r>
      <w:r>
        <w:rPr>
          <w:rFonts w:ascii="Calibri" w:hAnsi="Calibri"/>
          <w:b w:val="0"/>
          <w:i w:val="0"/>
          <w:color w:val="101828"/>
          <w:sz w:val="21"/>
        </w:rPr>
        <w:t>Idempotent.</w:t>
      </w:r>
    </w:p>
    <w:p>
      <w:pPr>
        <w:pStyle w:val="Heading3"/>
      </w:pPr>
      <w:r>
        <w:rPr>
          <w:rFonts w:ascii="Calibri" w:hAnsi="Calibri"/>
          <w:b/>
          <w:i w:val="0"/>
          <w:color w:val="0B1F3A"/>
          <w:sz w:val="24"/>
        </w:rPr>
        <w:t>GET /api/v1/notification-preferences</w:t>
      </w:r>
    </w:p>
    <w:p>
      <w:pPr>
        <w:spacing w:after="40"/>
        <w:ind w:left="173"/>
      </w:pPr>
      <w:r>
        <w:rPr>
          <w:rFonts w:ascii="Calibri" w:hAnsi="Calibri"/>
          <w:b/>
          <w:color w:val="0B1F3A"/>
          <w:sz w:val="21"/>
        </w:rPr>
        <w:t xml:space="preserve">Purpose  </w:t>
      </w:r>
      <w:r>
        <w:rPr>
          <w:rFonts w:ascii="Calibri" w:hAnsi="Calibri"/>
          <w:b w:val="0"/>
          <w:i w:val="0"/>
          <w:color w:val="101828"/>
          <w:sz w:val="21"/>
        </w:rPr>
        <w:t>Read channel preferences.</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preferences: [{ eventType, push, email, sms, enabled }] }</w:t>
      </w:r>
    </w:p>
    <w:p>
      <w:pPr>
        <w:spacing w:after="40"/>
        <w:ind w:left="173"/>
      </w:pPr>
      <w:r>
        <w:rPr>
          <w:rFonts w:ascii="Calibri" w:hAnsi="Calibri"/>
          <w:b/>
          <w:color w:val="0B1F3A"/>
          <w:sz w:val="21"/>
        </w:rPr>
        <w:t xml:space="preserve">Error responses  </w:t>
      </w:r>
      <w:r>
        <w:rPr>
          <w:rFonts w:ascii="Calibri" w:hAnsi="Calibri"/>
          <w:b w:val="0"/>
          <w:i w:val="0"/>
          <w:color w:val="101828"/>
          <w:sz w:val="21"/>
        </w:rPr>
        <w:t>None</w:t>
      </w:r>
    </w:p>
    <w:p>
      <w:pPr>
        <w:spacing w:after="40"/>
        <w:ind w:left="173"/>
      </w:pPr>
      <w:r>
        <w:rPr>
          <w:rFonts w:ascii="Calibri" w:hAnsi="Calibri"/>
          <w:b/>
          <w:color w:val="0B1F3A"/>
          <w:sz w:val="21"/>
        </w:rPr>
        <w:t xml:space="preserve">Validation rules  </w:t>
      </w:r>
      <w:r>
        <w:rPr>
          <w:rFonts w:ascii="Calibri" w:hAnsi="Calibri"/>
          <w:b w:val="0"/>
          <w:i w:val="0"/>
          <w:color w:val="101828"/>
          <w:sz w:val="21"/>
        </w:rPr>
        <w:t>Mirrors the catalogue in section 16.</w:t>
      </w:r>
    </w:p>
    <w:p>
      <w:pPr>
        <w:pStyle w:val="Heading3"/>
      </w:pPr>
      <w:r>
        <w:rPr>
          <w:rFonts w:ascii="Calibri" w:hAnsi="Calibri"/>
          <w:b/>
          <w:i w:val="0"/>
          <w:color w:val="0B1F3A"/>
          <w:sz w:val="24"/>
        </w:rPr>
        <w:t>PUT /api/v1/notification-preferences</w:t>
      </w:r>
    </w:p>
    <w:p>
      <w:pPr>
        <w:spacing w:after="40"/>
        <w:ind w:left="173"/>
      </w:pPr>
      <w:r>
        <w:rPr>
          <w:rFonts w:ascii="Calibri" w:hAnsi="Calibri"/>
          <w:b/>
          <w:color w:val="0B1F3A"/>
          <w:sz w:val="21"/>
        </w:rPr>
        <w:t xml:space="preserve">Purpose  </w:t>
      </w:r>
      <w:r>
        <w:rPr>
          <w:rFonts w:ascii="Calibri" w:hAnsi="Calibri"/>
          <w:b w:val="0"/>
          <w:i w:val="0"/>
          <w:color w:val="101828"/>
          <w:sz w:val="21"/>
        </w:rPr>
        <w:t>Update channel preferences.</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w:t>
      </w:r>
    </w:p>
    <w:p>
      <w:pPr>
        <w:spacing w:after="40"/>
        <w:ind w:left="173"/>
      </w:pPr>
      <w:r>
        <w:rPr>
          <w:rFonts w:ascii="Calibri" w:hAnsi="Calibri"/>
          <w:b/>
          <w:color w:val="0B1F3A"/>
          <w:sz w:val="21"/>
        </w:rPr>
        <w:t xml:space="preserve">Request body  </w:t>
      </w:r>
      <w:r>
        <w:rPr>
          <w:rFonts w:ascii="Consolas" w:hAnsi="Consolas"/>
          <w:color w:val="146EF5"/>
          <w:sz w:val="21"/>
        </w:rPr>
        <w:t>{ preferences: [...] }</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preferences }</w:t>
      </w:r>
    </w:p>
    <w:p>
      <w:pPr>
        <w:spacing w:after="40"/>
        <w:ind w:left="173"/>
      </w:pPr>
      <w:r>
        <w:rPr>
          <w:rFonts w:ascii="Calibri" w:hAnsi="Calibri"/>
          <w:b/>
          <w:color w:val="0B1F3A"/>
          <w:sz w:val="21"/>
        </w:rPr>
        <w:t xml:space="preserve">Error responses  </w:t>
      </w:r>
      <w:r>
        <w:rPr>
          <w:rFonts w:ascii="Consolas" w:hAnsi="Consolas"/>
          <w:color w:val="146EF5"/>
          <w:sz w:val="21"/>
        </w:rPr>
        <w:t>422</w:t>
      </w:r>
      <w:r>
        <w:rPr>
          <w:rFonts w:ascii="Calibri" w:hAnsi="Calibri"/>
          <w:b w:val="0"/>
          <w:i w:val="0"/>
          <w:color w:val="101828"/>
          <w:sz w:val="21"/>
        </w:rPr>
        <w:t xml:space="preserve"> unknown event type</w:t>
      </w:r>
    </w:p>
    <w:p>
      <w:pPr>
        <w:spacing w:after="40"/>
        <w:ind w:left="173"/>
      </w:pPr>
      <w:r>
        <w:rPr>
          <w:rFonts w:ascii="Calibri" w:hAnsi="Calibri"/>
          <w:b/>
          <w:color w:val="0B1F3A"/>
          <w:sz w:val="21"/>
        </w:rPr>
        <w:t xml:space="preserve">Validation rules  </w:t>
      </w:r>
      <w:r>
        <w:rPr>
          <w:rFonts w:ascii="Calibri" w:hAnsi="Calibri"/>
          <w:b/>
          <w:color w:val="101828"/>
          <w:sz w:val="21"/>
        </w:rPr>
        <w:t>Money-critical and security notifications cannot be switched off.</w:t>
      </w:r>
      <w:r>
        <w:rPr>
          <w:rFonts w:ascii="Calibri" w:hAnsi="Calibri"/>
          <w:b w:val="0"/>
          <w:i w:val="0"/>
          <w:color w:val="101828"/>
          <w:sz w:val="21"/>
        </w:rPr>
        <w:t xml:space="preserve"> A member may change the channel but never the delivery obligation for a due contribution, a payout, or a security alert.</w:t>
      </w:r>
    </w:p>
    <w:p>
      <w:pPr>
        <w:pStyle w:val="Heading2"/>
      </w:pPr>
      <w:r>
        <w:rPr>
          <w:rFonts w:ascii="Calibri" w:hAnsi="Calibri"/>
          <w:b/>
          <w:i w:val="0"/>
          <w:color w:val="146EF5"/>
          <w:sz w:val="29"/>
        </w:rPr>
        <w:t>11.9 Disputes</w:t>
      </w:r>
    </w:p>
    <w:p>
      <w:pPr>
        <w:pStyle w:val="Heading3"/>
      </w:pPr>
      <w:r>
        <w:rPr>
          <w:rFonts w:ascii="Calibri" w:hAnsi="Calibri"/>
          <w:b/>
          <w:i w:val="0"/>
          <w:color w:val="0B1F3A"/>
          <w:sz w:val="24"/>
        </w:rPr>
        <w:t>POST /api/v1/disputes</w:t>
      </w:r>
    </w:p>
    <w:p>
      <w:pPr>
        <w:spacing w:after="40"/>
        <w:ind w:left="173"/>
      </w:pPr>
      <w:r>
        <w:rPr>
          <w:rFonts w:ascii="Calibri" w:hAnsi="Calibri"/>
          <w:b/>
          <w:color w:val="0B1F3A"/>
          <w:sz w:val="21"/>
        </w:rPr>
        <w:t xml:space="preserve">Purpose  </w:t>
      </w:r>
      <w:r>
        <w:rPr>
          <w:rFonts w:ascii="Calibri" w:hAnsi="Calibri"/>
          <w:b w:val="0"/>
          <w:i w:val="0"/>
          <w:color w:val="101828"/>
          <w:sz w:val="21"/>
        </w:rPr>
        <w:t>Raise a dispute.</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 of the Ajo concerned.</w:t>
      </w:r>
    </w:p>
    <w:p>
      <w:pPr>
        <w:spacing w:after="40"/>
        <w:ind w:left="173"/>
      </w:pPr>
      <w:r>
        <w:rPr>
          <w:rFonts w:ascii="Calibri" w:hAnsi="Calibri"/>
          <w:b/>
          <w:color w:val="0B1F3A"/>
          <w:sz w:val="21"/>
        </w:rPr>
        <w:t xml:space="preserve">Request body  </w:t>
      </w:r>
      <w:r>
        <w:rPr>
          <w:rFonts w:ascii="Consolas" w:hAnsi="Consolas"/>
          <w:color w:val="146EF5"/>
          <w:sz w:val="21"/>
        </w:rPr>
        <w:t>{ ajoId, type: 'MISSING_PAYOUT'|'INCORRECT_AMOUNT'|'WRONG_RECIPIENT'|'UNAUTHORISED_DEDUCTION'|'OTHER', subject, description, transactionId?, expectedOutcome? }</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201</w:t>
      </w:r>
      <w:r>
        <w:rPr>
          <w:rFonts w:ascii="Calibri" w:hAnsi="Calibri"/>
          <w:b w:val="0"/>
          <w:i w:val="0"/>
          <w:color w:val="101828"/>
          <w:sz w:val="21"/>
        </w:rPr>
        <w:t xml:space="preserve"> </w:t>
      </w:r>
      <w:r>
        <w:rPr>
          <w:rFonts w:ascii="Consolas" w:hAnsi="Consolas"/>
          <w:color w:val="146EF5"/>
          <w:sz w:val="21"/>
        </w:rPr>
        <w:t>{ dispute: { id, reference, status: 'OPEN', priority, slaAt } }</w:t>
      </w:r>
    </w:p>
    <w:p>
      <w:pPr>
        <w:spacing w:after="40"/>
        <w:ind w:left="173"/>
      </w:pPr>
      <w:r>
        <w:rPr>
          <w:rFonts w:ascii="Calibri" w:hAnsi="Calibri"/>
          <w:b/>
          <w:color w:val="0B1F3A"/>
          <w:sz w:val="21"/>
        </w:rPr>
        <w:t xml:space="preserve">Error responses  </w:t>
      </w:r>
      <w:r>
        <w:rPr>
          <w:rFonts w:ascii="Consolas" w:hAnsi="Consolas"/>
          <w:color w:val="146EF5"/>
          <w:sz w:val="21"/>
        </w:rPr>
        <w:t>422</w:t>
      </w:r>
      <w:r>
        <w:rPr>
          <w:rFonts w:ascii="Calibri" w:hAnsi="Calibri"/>
          <w:b w:val="0"/>
          <w:i w:val="0"/>
          <w:color w:val="101828"/>
          <w:sz w:val="21"/>
        </w:rPr>
        <w:t xml:space="preserve"> invalid type · </w:t>
      </w:r>
      <w:r>
        <w:rPr>
          <w:rFonts w:ascii="Consolas" w:hAnsi="Consolas"/>
          <w:color w:val="146EF5"/>
          <w:sz w:val="21"/>
        </w:rPr>
        <w:t>409</w:t>
      </w:r>
      <w:r>
        <w:rPr>
          <w:rFonts w:ascii="Calibri" w:hAnsi="Calibri"/>
          <w:b w:val="0"/>
          <w:i w:val="0"/>
          <w:color w:val="101828"/>
          <w:sz w:val="21"/>
        </w:rPr>
        <w:t xml:space="preserve"> open dispute already exists for this transaction</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A dispute </w:t>
      </w:r>
      <w:r>
        <w:rPr>
          <w:rFonts w:ascii="Calibri" w:hAnsi="Calibri"/>
          <w:b/>
          <w:color w:val="101828"/>
          <w:sz w:val="21"/>
        </w:rPr>
        <w:t>freezes the affected payout</w:t>
      </w:r>
      <w:r>
        <w:rPr>
          <w:rFonts w:ascii="Calibri" w:hAnsi="Calibri"/>
          <w:b w:val="0"/>
          <w:i w:val="0"/>
          <w:color w:val="101828"/>
          <w:sz w:val="21"/>
        </w:rPr>
        <w:t xml:space="preserve"> automatically and raises a risk event. The reference is shown to the member for support.</w:t>
      </w:r>
    </w:p>
    <w:p>
      <w:pPr>
        <w:pStyle w:val="Heading3"/>
      </w:pPr>
      <w:r>
        <w:rPr>
          <w:rFonts w:ascii="Calibri" w:hAnsi="Calibri"/>
          <w:b/>
          <w:i w:val="0"/>
          <w:color w:val="0B1F3A"/>
          <w:sz w:val="24"/>
        </w:rPr>
        <w:t>GET /api/v1/disputes</w:t>
      </w:r>
    </w:p>
    <w:p>
      <w:pPr>
        <w:spacing w:after="40"/>
        <w:ind w:left="173"/>
      </w:pPr>
      <w:r>
        <w:rPr>
          <w:rFonts w:ascii="Calibri" w:hAnsi="Calibri"/>
          <w:b/>
          <w:color w:val="0B1F3A"/>
          <w:sz w:val="21"/>
        </w:rPr>
        <w:t xml:space="preserve">Purpose  </w:t>
      </w:r>
      <w:r>
        <w:rPr>
          <w:rFonts w:ascii="Calibri" w:hAnsi="Calibri"/>
          <w:b w:val="0"/>
          <w:i w:val="0"/>
          <w:color w:val="101828"/>
          <w:sz w:val="21"/>
        </w:rPr>
        <w:t>The caller's disputes.</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Member.</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data: [...], page }</w:t>
      </w:r>
    </w:p>
    <w:p>
      <w:pPr>
        <w:spacing w:after="40"/>
        <w:ind w:left="173"/>
      </w:pPr>
      <w:r>
        <w:rPr>
          <w:rFonts w:ascii="Calibri" w:hAnsi="Calibri"/>
          <w:b/>
          <w:color w:val="0B1F3A"/>
          <w:sz w:val="21"/>
        </w:rPr>
        <w:t xml:space="preserve">Error responses  </w:t>
      </w:r>
      <w:r>
        <w:rPr>
          <w:rFonts w:ascii="Calibri" w:hAnsi="Calibri"/>
          <w:b w:val="0"/>
          <w:i w:val="0"/>
          <w:color w:val="101828"/>
          <w:sz w:val="21"/>
        </w:rPr>
        <w:t>None</w:t>
      </w:r>
    </w:p>
    <w:p>
      <w:pPr>
        <w:spacing w:after="40"/>
        <w:ind w:left="173"/>
      </w:pPr>
      <w:r>
        <w:rPr>
          <w:rFonts w:ascii="Calibri" w:hAnsi="Calibri"/>
          <w:b/>
          <w:color w:val="0B1F3A"/>
          <w:sz w:val="21"/>
        </w:rPr>
        <w:t xml:space="preserve">Validation rules  </w:t>
      </w:r>
      <w:r>
        <w:rPr>
          <w:rFonts w:ascii="Calibri" w:hAnsi="Calibri"/>
          <w:b w:val="0"/>
          <w:i w:val="0"/>
          <w:color w:val="101828"/>
          <w:sz w:val="21"/>
        </w:rPr>
        <w:t>Default sort most recent.</w:t>
      </w:r>
    </w:p>
    <w:p>
      <w:pPr>
        <w:pStyle w:val="Heading3"/>
      </w:pPr>
      <w:r>
        <w:rPr>
          <w:rFonts w:ascii="Calibri" w:hAnsi="Calibri"/>
          <w:b/>
          <w:i w:val="0"/>
          <w:color w:val="0B1F3A"/>
          <w:sz w:val="24"/>
        </w:rPr>
        <w:t>GET /api/v1/disputes/:id</w:t>
      </w:r>
    </w:p>
    <w:p>
      <w:pPr>
        <w:spacing w:after="40"/>
        <w:ind w:left="173"/>
      </w:pPr>
      <w:r>
        <w:rPr>
          <w:rFonts w:ascii="Calibri" w:hAnsi="Calibri"/>
          <w:b/>
          <w:color w:val="0B1F3A"/>
          <w:sz w:val="21"/>
        </w:rPr>
        <w:t xml:space="preserve">Purpose  </w:t>
      </w:r>
      <w:r>
        <w:rPr>
          <w:rFonts w:ascii="Calibri" w:hAnsi="Calibri"/>
          <w:b w:val="0"/>
          <w:i w:val="0"/>
          <w:color w:val="101828"/>
          <w:sz w:val="21"/>
        </w:rPr>
        <w:t>Dispute detail and timeline.</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Party to the dispute or admin.</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dispute, messages: [...], timeline: [...] }</w:t>
      </w:r>
    </w:p>
    <w:p>
      <w:pPr>
        <w:spacing w:after="40"/>
        <w:ind w:left="173"/>
      </w:pPr>
      <w:r>
        <w:rPr>
          <w:rFonts w:ascii="Calibri" w:hAnsi="Calibri"/>
          <w:b/>
          <w:color w:val="0B1F3A"/>
          <w:sz w:val="21"/>
        </w:rPr>
        <w:t xml:space="preserve">Error responses  </w:t>
      </w:r>
      <w:r>
        <w:rPr>
          <w:rFonts w:ascii="Consolas" w:hAnsi="Consolas"/>
          <w:color w:val="146EF5"/>
          <w:sz w:val="21"/>
        </w:rPr>
        <w:t>403</w:t>
      </w:r>
      <w:r>
        <w:rPr>
          <w:rFonts w:ascii="Calibri" w:hAnsi="Calibri"/>
          <w:b w:val="0"/>
          <w:i w:val="0"/>
          <w:color w:val="101828"/>
          <w:sz w:val="21"/>
        </w:rPr>
        <w:t xml:space="preserve"> not a party</w:t>
      </w:r>
    </w:p>
    <w:p>
      <w:pPr>
        <w:spacing w:after="40"/>
        <w:ind w:left="173"/>
      </w:pPr>
      <w:r>
        <w:rPr>
          <w:rFonts w:ascii="Calibri" w:hAnsi="Calibri"/>
          <w:b/>
          <w:color w:val="0B1F3A"/>
          <w:sz w:val="21"/>
        </w:rPr>
        <w:t xml:space="preserve">Validation rules  </w:t>
      </w:r>
      <w:r>
        <w:rPr>
          <w:rFonts w:ascii="Calibri" w:hAnsi="Calibri"/>
          <w:b w:val="0"/>
          <w:i w:val="0"/>
          <w:color w:val="101828"/>
          <w:sz w:val="21"/>
        </w:rPr>
        <w:t>Every admin action on the dispute is timestamped in the timeline.</w:t>
      </w:r>
    </w:p>
    <w:p>
      <w:pPr>
        <w:pStyle w:val="Heading3"/>
      </w:pPr>
      <w:r>
        <w:rPr>
          <w:rFonts w:ascii="Calibri" w:hAnsi="Calibri"/>
          <w:b/>
          <w:i w:val="0"/>
          <w:color w:val="0B1F3A"/>
          <w:sz w:val="24"/>
        </w:rPr>
        <w:t>POST /api/v1/disputes/:id/evidence</w:t>
      </w:r>
    </w:p>
    <w:p>
      <w:pPr>
        <w:spacing w:after="40"/>
        <w:ind w:left="173"/>
      </w:pPr>
      <w:r>
        <w:rPr>
          <w:rFonts w:ascii="Calibri" w:hAnsi="Calibri"/>
          <w:b/>
          <w:color w:val="0B1F3A"/>
          <w:sz w:val="21"/>
        </w:rPr>
        <w:t xml:space="preserve">Purpose  </w:t>
      </w:r>
      <w:r>
        <w:rPr>
          <w:rFonts w:ascii="Calibri" w:hAnsi="Calibri"/>
          <w:b w:val="0"/>
          <w:i w:val="0"/>
          <w:color w:val="101828"/>
          <w:sz w:val="21"/>
        </w:rPr>
        <w:t>Attach evidence.</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Party to the dispute.</w:t>
      </w:r>
    </w:p>
    <w:p>
      <w:pPr>
        <w:spacing w:after="40"/>
        <w:ind w:left="173"/>
      </w:pPr>
      <w:r>
        <w:rPr>
          <w:rFonts w:ascii="Calibri" w:hAnsi="Calibri"/>
          <w:b/>
          <w:color w:val="0B1F3A"/>
          <w:sz w:val="21"/>
        </w:rPr>
        <w:t xml:space="preserve">Request body  </w:t>
      </w:r>
      <w:r>
        <w:rPr>
          <w:rFonts w:ascii="Consolas" w:hAnsi="Consolas"/>
          <w:color w:val="146EF5"/>
          <w:sz w:val="21"/>
        </w:rPr>
        <w:t>{ documentIds: [uuid], note? }</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201</w:t>
      </w:r>
      <w:r>
        <w:rPr>
          <w:rFonts w:ascii="Calibri" w:hAnsi="Calibri"/>
          <w:b w:val="0"/>
          <w:i w:val="0"/>
          <w:color w:val="101828"/>
          <w:sz w:val="21"/>
        </w:rPr>
        <w:t xml:space="preserve"> </w:t>
      </w:r>
      <w:r>
        <w:rPr>
          <w:rFonts w:ascii="Consolas" w:hAnsi="Consolas"/>
          <w:color w:val="146EF5"/>
          <w:sz w:val="21"/>
        </w:rPr>
        <w:t>{ evidence: [...] }</w:t>
      </w:r>
    </w:p>
    <w:p>
      <w:pPr>
        <w:spacing w:after="40"/>
        <w:ind w:left="173"/>
      </w:pPr>
      <w:r>
        <w:rPr>
          <w:rFonts w:ascii="Calibri" w:hAnsi="Calibri"/>
          <w:b/>
          <w:color w:val="0B1F3A"/>
          <w:sz w:val="21"/>
        </w:rPr>
        <w:t xml:space="preserve">Error responses  </w:t>
      </w:r>
      <w:r>
        <w:rPr>
          <w:rFonts w:ascii="Consolas" w:hAnsi="Consolas"/>
          <w:color w:val="146EF5"/>
          <w:sz w:val="21"/>
        </w:rPr>
        <w:t>422</w:t>
      </w:r>
      <w:r>
        <w:rPr>
          <w:rFonts w:ascii="Calibri" w:hAnsi="Calibri"/>
          <w:b w:val="0"/>
          <w:i w:val="0"/>
          <w:color w:val="101828"/>
          <w:sz w:val="21"/>
        </w:rPr>
        <w:t xml:space="preserve"> unsupported type or oversized file</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Scanned files only; validated by MIME type </w:t>
      </w:r>
      <w:r>
        <w:rPr>
          <w:rFonts w:ascii="Calibri" w:hAnsi="Calibri"/>
          <w:b/>
          <w:color w:val="101828"/>
          <w:sz w:val="21"/>
        </w:rPr>
        <w:t>and</w:t>
      </w:r>
      <w:r>
        <w:rPr>
          <w:rFonts w:ascii="Calibri" w:hAnsi="Calibri"/>
          <w:b w:val="0"/>
          <w:i w:val="0"/>
          <w:color w:val="101828"/>
          <w:sz w:val="21"/>
        </w:rPr>
        <w:t xml:space="preserve"> magic bytes, virus-scanned, stored privately, served via short-lived signed URLs.</w:t>
      </w:r>
    </w:p>
    <w:p>
      <w:pPr>
        <w:pStyle w:val="Heading3"/>
      </w:pPr>
      <w:r>
        <w:rPr>
          <w:rFonts w:ascii="Calibri" w:hAnsi="Calibri"/>
          <w:b/>
          <w:i w:val="0"/>
          <w:color w:val="0B1F3A"/>
          <w:sz w:val="24"/>
        </w:rPr>
        <w:t>POST /api/v1/disputes/:id/messages</w:t>
      </w:r>
    </w:p>
    <w:p>
      <w:pPr>
        <w:spacing w:after="40"/>
        <w:ind w:left="173"/>
      </w:pPr>
      <w:r>
        <w:rPr>
          <w:rFonts w:ascii="Calibri" w:hAnsi="Calibri"/>
          <w:b/>
          <w:color w:val="0B1F3A"/>
          <w:sz w:val="21"/>
        </w:rPr>
        <w:t xml:space="preserve">Purpose  </w:t>
      </w:r>
      <w:r>
        <w:rPr>
          <w:rFonts w:ascii="Calibri" w:hAnsi="Calibri"/>
          <w:b w:val="0"/>
          <w:i w:val="0"/>
          <w:color w:val="101828"/>
          <w:sz w:val="21"/>
        </w:rPr>
        <w:t>Add a message to the dispute thread.</w:t>
      </w:r>
    </w:p>
    <w:p>
      <w:pPr>
        <w:spacing w:after="40"/>
        <w:ind w:left="173"/>
      </w:pPr>
      <w:r>
        <w:rPr>
          <w:rFonts w:ascii="Calibri" w:hAnsi="Calibri"/>
          <w:b/>
          <w:color w:val="0B1F3A"/>
          <w:sz w:val="21"/>
        </w:rPr>
        <w:t xml:space="preserve">Authentication  </w:t>
      </w:r>
      <w:r>
        <w:rPr>
          <w:rFonts w:ascii="Calibri" w:hAnsi="Calibri"/>
          <w:b w:val="0"/>
          <w:i w:val="0"/>
          <w:color w:val="101828"/>
          <w:sz w:val="21"/>
        </w:rPr>
        <w:t>Bearer</w:t>
      </w:r>
    </w:p>
    <w:p>
      <w:pPr>
        <w:spacing w:after="40"/>
        <w:ind w:left="173"/>
      </w:pPr>
      <w:r>
        <w:rPr>
          <w:rFonts w:ascii="Calibri" w:hAnsi="Calibri"/>
          <w:b/>
          <w:color w:val="0B1F3A"/>
          <w:sz w:val="21"/>
        </w:rPr>
        <w:t xml:space="preserve">Authorization  </w:t>
      </w:r>
      <w:r>
        <w:rPr>
          <w:rFonts w:ascii="Calibri" w:hAnsi="Calibri"/>
          <w:b w:val="0"/>
          <w:i w:val="0"/>
          <w:color w:val="101828"/>
          <w:sz w:val="21"/>
        </w:rPr>
        <w:t>Party or admin.</w:t>
      </w:r>
    </w:p>
    <w:p>
      <w:pPr>
        <w:spacing w:after="40"/>
        <w:ind w:left="173"/>
      </w:pPr>
      <w:r>
        <w:rPr>
          <w:rFonts w:ascii="Calibri" w:hAnsi="Calibri"/>
          <w:b/>
          <w:color w:val="0B1F3A"/>
          <w:sz w:val="21"/>
        </w:rPr>
        <w:t xml:space="preserve">Request body  </w:t>
      </w:r>
      <w:r>
        <w:rPr>
          <w:rFonts w:ascii="Consolas" w:hAnsi="Consolas"/>
          <w:color w:val="146EF5"/>
          <w:sz w:val="21"/>
        </w:rPr>
        <w:t>{ body }</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201</w:t>
      </w:r>
      <w:r>
        <w:rPr>
          <w:rFonts w:ascii="Calibri" w:hAnsi="Calibri"/>
          <w:b w:val="0"/>
          <w:i w:val="0"/>
          <w:color w:val="101828"/>
          <w:sz w:val="21"/>
        </w:rPr>
        <w:t xml:space="preserve"> </w:t>
      </w:r>
      <w:r>
        <w:rPr>
          <w:rFonts w:ascii="Consolas" w:hAnsi="Consolas"/>
          <w:color w:val="146EF5"/>
          <w:sz w:val="21"/>
        </w:rPr>
        <w:t>{ message }</w:t>
      </w:r>
    </w:p>
    <w:p>
      <w:pPr>
        <w:spacing w:after="40"/>
        <w:ind w:left="173"/>
      </w:pPr>
      <w:r>
        <w:rPr>
          <w:rFonts w:ascii="Calibri" w:hAnsi="Calibri"/>
          <w:b/>
          <w:color w:val="0B1F3A"/>
          <w:sz w:val="21"/>
        </w:rPr>
        <w:t xml:space="preserve">Error responses  </w:t>
      </w:r>
      <w:r>
        <w:rPr>
          <w:rFonts w:ascii="Calibri" w:hAnsi="Calibri"/>
          <w:b w:val="0"/>
          <w:i w:val="0"/>
          <w:color w:val="101828"/>
          <w:sz w:val="21"/>
        </w:rPr>
        <w:t>None</w:t>
      </w:r>
    </w:p>
    <w:p>
      <w:pPr>
        <w:spacing w:after="40"/>
        <w:ind w:left="173"/>
      </w:pPr>
      <w:r>
        <w:rPr>
          <w:rFonts w:ascii="Calibri" w:hAnsi="Calibri"/>
          <w:b/>
          <w:color w:val="0B1F3A"/>
          <w:sz w:val="21"/>
        </w:rPr>
        <w:t xml:space="preserve">Validation rules  </w:t>
      </w:r>
      <w:r>
        <w:rPr>
          <w:rFonts w:ascii="Calibri" w:hAnsi="Calibri"/>
          <w:b w:val="0"/>
          <w:i w:val="0"/>
          <w:color w:val="101828"/>
          <w:sz w:val="21"/>
        </w:rPr>
        <w:t>Full thread is retained; messages are never deleted.</w:t>
      </w:r>
    </w:p>
    <w:p>
      <w:pPr>
        <w:pStyle w:val="Heading2"/>
      </w:pPr>
      <w:r>
        <w:rPr>
          <w:rFonts w:ascii="Calibri" w:hAnsi="Calibri"/>
          <w:b/>
          <w:i w:val="0"/>
          <w:color w:val="146EF5"/>
          <w:sz w:val="29"/>
        </w:rPr>
        <w:t>11.10 Webhooks (inbound)</w:t>
      </w:r>
    </w:p>
    <w:p>
      <w:pPr>
        <w:pStyle w:val="Heading3"/>
      </w:pPr>
      <w:r>
        <w:rPr>
          <w:rFonts w:ascii="Calibri" w:hAnsi="Calibri"/>
          <w:b/>
          <w:i w:val="0"/>
          <w:color w:val="0B1F3A"/>
          <w:sz w:val="24"/>
        </w:rPr>
        <w:t>POST /api/v1/webhooks/payments</w:t>
      </w:r>
    </w:p>
    <w:p>
      <w:pPr>
        <w:spacing w:after="40"/>
        <w:ind w:left="173"/>
      </w:pPr>
      <w:r>
        <w:rPr>
          <w:rFonts w:ascii="Calibri" w:hAnsi="Calibri"/>
          <w:b/>
          <w:color w:val="0B1F3A"/>
          <w:sz w:val="21"/>
        </w:rPr>
        <w:t xml:space="preserve">Purpose  </w:t>
      </w:r>
      <w:r>
        <w:rPr>
          <w:rFonts w:ascii="Calibri" w:hAnsi="Calibri"/>
          <w:b w:val="0"/>
          <w:i w:val="0"/>
          <w:color w:val="101828"/>
          <w:sz w:val="21"/>
        </w:rPr>
        <w:t>Provider payment notification.</w:t>
      </w:r>
    </w:p>
    <w:p>
      <w:pPr>
        <w:spacing w:after="40"/>
        <w:ind w:left="173"/>
      </w:pPr>
      <w:r>
        <w:rPr>
          <w:rFonts w:ascii="Calibri" w:hAnsi="Calibri"/>
          <w:b/>
          <w:color w:val="0B1F3A"/>
          <w:sz w:val="21"/>
        </w:rPr>
        <w:t xml:space="preserve">Authentication  </w:t>
      </w:r>
      <w:r>
        <w:rPr>
          <w:rFonts w:ascii="Calibri" w:hAnsi="Calibri"/>
          <w:b w:val="0"/>
          <w:i w:val="0"/>
          <w:color w:val="101828"/>
          <w:sz w:val="21"/>
        </w:rPr>
        <w:t>HMAC signature over the raw body</w:t>
      </w:r>
    </w:p>
    <w:p>
      <w:pPr>
        <w:spacing w:after="40"/>
        <w:ind w:left="173"/>
      </w:pPr>
      <w:r>
        <w:rPr>
          <w:rFonts w:ascii="Calibri" w:hAnsi="Calibri"/>
          <w:b/>
          <w:color w:val="0B1F3A"/>
          <w:sz w:val="21"/>
        </w:rPr>
        <w:t xml:space="preserve">Authorization  </w:t>
      </w:r>
      <w:r>
        <w:rPr>
          <w:rFonts w:ascii="Calibri" w:hAnsi="Calibri"/>
          <w:b w:val="0"/>
          <w:i w:val="0"/>
          <w:color w:val="101828"/>
          <w:sz w:val="21"/>
        </w:rPr>
        <w:t xml:space="preserve">Provider only. </w:t>
      </w:r>
      <w:r>
        <w:rPr>
          <w:rFonts w:ascii="Calibri" w:hAnsi="Calibri"/>
          <w:b/>
          <w:color w:val="101828"/>
          <w:sz w:val="21"/>
        </w:rPr>
        <w:t>Unauthenticated by design</w:t>
      </w:r>
      <w:r>
        <w:rPr>
          <w:rFonts w:ascii="Calibri" w:hAnsi="Calibri"/>
          <w:b w:val="0"/>
          <w:i w:val="0"/>
          <w:color w:val="101828"/>
          <w:sz w:val="21"/>
        </w:rPr>
        <w:t xml:space="preserve"> — auth is the signature.</w:t>
      </w:r>
    </w:p>
    <w:p>
      <w:pPr>
        <w:spacing w:after="40"/>
        <w:ind w:left="173"/>
      </w:pPr>
      <w:r>
        <w:rPr>
          <w:rFonts w:ascii="Calibri" w:hAnsi="Calibri"/>
          <w:b/>
          <w:color w:val="0B1F3A"/>
          <w:sz w:val="21"/>
        </w:rPr>
        <w:t xml:space="preserve">Request body  </w:t>
      </w:r>
      <w:r>
        <w:rPr>
          <w:rFonts w:ascii="Calibri" w:hAnsi="Calibri"/>
          <w:b w:val="0"/>
          <w:i w:val="0"/>
          <w:color w:val="101828"/>
          <w:sz w:val="21"/>
        </w:rPr>
        <w:t>Provider-defined payload. The raw body is required for signature verification before parsing.</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received: true }</w:t>
      </w:r>
      <w:r>
        <w:rPr>
          <w:rFonts w:ascii="Calibri" w:hAnsi="Calibri"/>
          <w:b w:val="0"/>
          <w:i w:val="0"/>
          <w:color w:val="101828"/>
          <w:sz w:val="21"/>
        </w:rPr>
        <w:t xml:space="preserve"> — always 200 once the signature verifies, even for a duplicate, so the provider stops retrying</w:t>
      </w:r>
    </w:p>
    <w:p>
      <w:pPr>
        <w:spacing w:after="40"/>
        <w:ind w:left="173"/>
      </w:pPr>
      <w:r>
        <w:rPr>
          <w:rFonts w:ascii="Calibri" w:hAnsi="Calibri"/>
          <w:b/>
          <w:color w:val="0B1F3A"/>
          <w:sz w:val="21"/>
        </w:rPr>
        <w:t xml:space="preserve">Error responses  </w:t>
      </w:r>
      <w:r>
        <w:rPr>
          <w:rFonts w:ascii="Consolas" w:hAnsi="Consolas"/>
          <w:color w:val="146EF5"/>
          <w:sz w:val="21"/>
        </w:rPr>
        <w:t>401</w:t>
      </w:r>
      <w:r>
        <w:rPr>
          <w:rFonts w:ascii="Calibri" w:hAnsi="Calibri"/>
          <w:b w:val="0"/>
          <w:i w:val="0"/>
          <w:color w:val="101828"/>
          <w:sz w:val="21"/>
        </w:rPr>
        <w:t xml:space="preserve"> signature invalid · </w:t>
      </w:r>
      <w:r>
        <w:rPr>
          <w:rFonts w:ascii="Consolas" w:hAnsi="Consolas"/>
          <w:color w:val="146EF5"/>
          <w:sz w:val="21"/>
        </w:rPr>
        <w:t>400</w:t>
      </w:r>
      <w:r>
        <w:rPr>
          <w:rFonts w:ascii="Calibri" w:hAnsi="Calibri"/>
          <w:b w:val="0"/>
          <w:i w:val="0"/>
          <w:color w:val="101828"/>
          <w:sz w:val="21"/>
        </w:rPr>
        <w:t xml:space="preserve"> unparseable after valid signature</w:t>
      </w:r>
    </w:p>
    <w:p>
      <w:pPr>
        <w:spacing w:after="40"/>
        <w:ind w:left="173"/>
      </w:pPr>
      <w:r>
        <w:rPr>
          <w:rFonts w:ascii="Calibri" w:hAnsi="Calibri"/>
          <w:b/>
          <w:color w:val="0B1F3A"/>
          <w:sz w:val="21"/>
        </w:rPr>
        <w:t xml:space="preserve">Validation rules  </w:t>
      </w:r>
      <w:r>
        <w:rPr>
          <w:rFonts w:ascii="Calibri" w:hAnsi="Calibri"/>
          <w:b/>
          <w:color w:val="101828"/>
          <w:sz w:val="21"/>
        </w:rPr>
        <w:t>Dedupe by provider reference.</w:t>
      </w:r>
      <w:r>
        <w:rPr>
          <w:rFonts w:ascii="Calibri" w:hAnsi="Calibri"/>
          <w:b w:val="0"/>
          <w:i w:val="0"/>
          <w:color w:val="101828"/>
          <w:sz w:val="21"/>
        </w:rPr>
        <w:t xml:space="preserve"> A duplicate is recorded as </w:t>
      </w:r>
      <w:r>
        <w:rPr>
          <w:rFonts w:ascii="Consolas" w:hAnsi="Consolas"/>
          <w:color w:val="146EF5"/>
          <w:sz w:val="21"/>
        </w:rPr>
        <w:t>DUPLICATE_IGNORED</w:t>
      </w:r>
      <w:r>
        <w:rPr>
          <w:rFonts w:ascii="Calibri" w:hAnsi="Calibri"/>
          <w:b w:val="0"/>
          <w:i w:val="0"/>
          <w:color w:val="101828"/>
          <w:sz w:val="21"/>
        </w:rPr>
        <w:t xml:space="preserve"> in </w:t>
      </w:r>
      <w:r>
        <w:rPr>
          <w:rFonts w:ascii="Consolas" w:hAnsi="Consolas"/>
          <w:color w:val="146EF5"/>
          <w:sz w:val="21"/>
        </w:rPr>
        <w:t>webhook_events</w:t>
      </w:r>
      <w:r>
        <w:rPr>
          <w:rFonts w:ascii="Calibri" w:hAnsi="Calibri"/>
          <w:b w:val="0"/>
          <w:i w:val="0"/>
          <w:color w:val="101828"/>
          <w:sz w:val="21"/>
        </w:rPr>
        <w:t xml:space="preserve"> and returns 200. A signature failure is logged at ERROR and alerted — it may be an attack. Always </w:t>
      </w:r>
      <w:r>
        <w:rPr>
          <w:rFonts w:ascii="Consolas" w:hAnsi="Consolas"/>
          <w:color w:val="146EF5"/>
          <w:sz w:val="21"/>
        </w:rPr>
        <w:t>2xx</w:t>
      </w:r>
      <w:r>
        <w:rPr>
          <w:rFonts w:ascii="Calibri" w:hAnsi="Calibri"/>
          <w:b w:val="0"/>
          <w:i w:val="0"/>
          <w:color w:val="101828"/>
          <w:sz w:val="21"/>
        </w:rPr>
        <w:t xml:space="preserve"> fast: heavy processing is queued, not done inline. </w:t>
      </w:r>
      <w:r>
        <w:rPr>
          <w:rFonts w:ascii="Calibri" w:hAnsi="Calibri"/>
          <w:b/>
          <w:color w:val="101828"/>
          <w:sz w:val="21"/>
        </w:rPr>
        <w:t>The webhook is not the only path to truth</w:t>
      </w:r>
      <w:r>
        <w:rPr>
          <w:rFonts w:ascii="Calibri" w:hAnsi="Calibri"/>
          <w:b w:val="0"/>
          <w:i w:val="0"/>
          <w:color w:val="101828"/>
          <w:sz w:val="21"/>
        </w:rPr>
        <w:t xml:space="preserve"> — reconciliation independently confirms state.</w:t>
      </w:r>
    </w:p>
    <w:p>
      <w:pPr>
        <w:pStyle w:val="Heading2"/>
      </w:pPr>
      <w:r>
        <w:rPr>
          <w:rFonts w:ascii="Calibri" w:hAnsi="Calibri"/>
          <w:b/>
          <w:i w:val="0"/>
          <w:color w:val="146EF5"/>
          <w:sz w:val="29"/>
        </w:rPr>
        <w:t>11.11 Admin endpoints</w:t>
      </w:r>
    </w:p>
    <w:p>
      <w:r>
        <w:rPr>
          <w:rFonts w:ascii="Calibri" w:hAnsi="Calibri"/>
          <w:b w:val="0"/>
          <w:i w:val="0"/>
          <w:color w:val="101828"/>
          <w:sz w:val="21"/>
        </w:rPr>
        <w:t xml:space="preserve">Admin routes are versioned separately at </w:t>
      </w:r>
      <w:r>
        <w:rPr>
          <w:rFonts w:ascii="Consolas" w:hAnsi="Consolas"/>
          <w:color w:val="146EF5"/>
          <w:sz w:val="21"/>
        </w:rPr>
        <w:t>/api/admin/v1</w:t>
      </w:r>
      <w:r>
        <w:rPr>
          <w:rFonts w:ascii="Calibri" w:hAnsi="Calibri"/>
          <w:b w:val="0"/>
          <w:i w:val="0"/>
          <w:color w:val="101828"/>
          <w:sz w:val="21"/>
        </w:rPr>
        <w:t xml:space="preserve">, protected by network allow-list plus role, and every call writes an </w:t>
      </w:r>
      <w:r>
        <w:rPr>
          <w:rFonts w:ascii="Consolas" w:hAnsi="Consolas"/>
          <w:color w:val="146EF5"/>
          <w:sz w:val="21"/>
        </w:rPr>
        <w:t>audit_logs</w:t>
      </w:r>
      <w:r>
        <w:rPr>
          <w:rFonts w:ascii="Calibri" w:hAnsi="Calibri"/>
          <w:b w:val="0"/>
          <w:i w:val="0"/>
          <w:color w:val="101828"/>
          <w:sz w:val="21"/>
        </w:rPr>
        <w:t xml:space="preserve"> row. </w:t>
      </w:r>
      <w:r>
        <w:rPr>
          <w:rFonts w:ascii="Consolas" w:hAnsi="Consolas"/>
          <w:color w:val="146EF5"/>
          <w:sz w:val="21"/>
        </w:rPr>
        <w:t>support</w:t>
      </w:r>
      <w:r>
        <w:rPr>
          <w:rFonts w:ascii="Calibri" w:hAnsi="Calibri"/>
          <w:b w:val="0"/>
          <w:i w:val="0"/>
          <w:color w:val="101828"/>
          <w:sz w:val="21"/>
        </w:rPr>
        <w:t xml:space="preserve"> may read but may not move money; </w:t>
      </w:r>
      <w:r>
        <w:rPr>
          <w:rFonts w:ascii="Consolas" w:hAnsi="Consolas"/>
          <w:color w:val="146EF5"/>
          <w:sz w:val="21"/>
        </w:rPr>
        <w:t>risk_officer</w:t>
      </w:r>
      <w:r>
        <w:rPr>
          <w:rFonts w:ascii="Calibri" w:hAnsi="Calibri"/>
          <w:b w:val="0"/>
          <w:i w:val="0"/>
          <w:color w:val="101828"/>
          <w:sz w:val="21"/>
        </w:rPr>
        <w:t xml:space="preserve"> may freeze and decide risk but may not edit the ledger; only </w:t>
      </w:r>
      <w:r>
        <w:rPr>
          <w:rFonts w:ascii="Consolas" w:hAnsi="Consolas"/>
          <w:color w:val="146EF5"/>
          <w:sz w:val="21"/>
        </w:rPr>
        <w:t>super_admin</w:t>
      </w:r>
      <w:r>
        <w:rPr>
          <w:rFonts w:ascii="Calibri" w:hAnsi="Calibri"/>
          <w:b w:val="0"/>
          <w:i w:val="0"/>
          <w:color w:val="101828"/>
          <w:sz w:val="21"/>
        </w:rPr>
        <w:t xml:space="preserve"> may assign roles.</w:t>
      </w:r>
    </w:p>
    <w:p>
      <w:pPr>
        <w:pStyle w:val="Heading3"/>
      </w:pPr>
      <w:r>
        <w:rPr>
          <w:rFonts w:ascii="Calibri" w:hAnsi="Calibri"/>
          <w:b/>
          <w:i w:val="0"/>
          <w:color w:val="0B1F3A"/>
          <w:sz w:val="24"/>
        </w:rPr>
        <w:t>GET /api/admin/v1/overview</w:t>
      </w:r>
    </w:p>
    <w:p>
      <w:pPr>
        <w:spacing w:after="40"/>
        <w:ind w:left="173"/>
      </w:pPr>
      <w:r>
        <w:rPr>
          <w:rFonts w:ascii="Calibri" w:hAnsi="Calibri"/>
          <w:b/>
          <w:color w:val="0B1F3A"/>
          <w:sz w:val="21"/>
        </w:rPr>
        <w:t xml:space="preserve">Purpose  </w:t>
      </w:r>
      <w:r>
        <w:rPr>
          <w:rFonts w:ascii="Calibri" w:hAnsi="Calibri"/>
          <w:b w:val="0"/>
          <w:i w:val="0"/>
          <w:color w:val="101828"/>
          <w:sz w:val="21"/>
        </w:rPr>
        <w:t>Operational dashboard aggregates.</w:t>
      </w:r>
    </w:p>
    <w:p>
      <w:pPr>
        <w:spacing w:after="40"/>
        <w:ind w:left="173"/>
      </w:pPr>
      <w:r>
        <w:rPr>
          <w:rFonts w:ascii="Calibri" w:hAnsi="Calibri"/>
          <w:b/>
          <w:color w:val="0B1F3A"/>
          <w:sz w:val="21"/>
        </w:rPr>
        <w:t xml:space="preserve">Authentication  </w:t>
      </w:r>
      <w:r>
        <w:rPr>
          <w:rFonts w:ascii="Calibri" w:hAnsi="Calibri"/>
          <w:b w:val="0"/>
          <w:i w:val="0"/>
          <w:color w:val="101828"/>
          <w:sz w:val="21"/>
        </w:rPr>
        <w:t>Bearer + admin role</w:t>
      </w:r>
    </w:p>
    <w:p>
      <w:pPr>
        <w:spacing w:after="40"/>
        <w:ind w:left="173"/>
      </w:pPr>
      <w:r>
        <w:rPr>
          <w:rFonts w:ascii="Calibri" w:hAnsi="Calibri"/>
          <w:b/>
          <w:color w:val="0B1F3A"/>
          <w:sz w:val="21"/>
        </w:rPr>
        <w:t xml:space="preserve">Authorization  </w:t>
      </w:r>
      <w:r>
        <w:rPr>
          <w:rFonts w:ascii="Calibri" w:hAnsi="Calibri"/>
          <w:b w:val="0"/>
          <w:i w:val="0"/>
          <w:color w:val="101828"/>
          <w:sz w:val="21"/>
        </w:rPr>
        <w:t>support, risk_officer, super_admin.</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alibri" w:hAnsi="Calibri"/>
          <w:b w:val="0"/>
          <w:i w:val="0"/>
          <w:color w:val="101828"/>
          <w:sz w:val="21"/>
        </w:rPr>
        <w:t>None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totalUsers, activeAjos, volumeTodayKobo, feesTodayKobo, openDisputes, riskQueueCount, payoutFailures24h, reconciliationStatus }</w:t>
      </w:r>
    </w:p>
    <w:p>
      <w:pPr>
        <w:spacing w:after="40"/>
        <w:ind w:left="173"/>
      </w:pPr>
      <w:r>
        <w:rPr>
          <w:rFonts w:ascii="Calibri" w:hAnsi="Calibri"/>
          <w:b/>
          <w:color w:val="0B1F3A"/>
          <w:sz w:val="21"/>
        </w:rPr>
        <w:t xml:space="preserve">Error responses  </w:t>
      </w:r>
      <w:r>
        <w:rPr>
          <w:rFonts w:ascii="Consolas" w:hAnsi="Consolas"/>
          <w:color w:val="146EF5"/>
          <w:sz w:val="21"/>
        </w:rPr>
        <w:t>403</w:t>
      </w:r>
    </w:p>
    <w:p>
      <w:pPr>
        <w:spacing w:after="40"/>
        <w:ind w:left="173"/>
      </w:pPr>
      <w:r>
        <w:rPr>
          <w:rFonts w:ascii="Calibri" w:hAnsi="Calibri"/>
          <w:b/>
          <w:color w:val="0B1F3A"/>
          <w:sz w:val="21"/>
        </w:rPr>
        <w:t xml:space="preserve">Validation rules  </w:t>
      </w:r>
      <w:r>
        <w:rPr>
          <w:rFonts w:ascii="Calibri" w:hAnsi="Calibri"/>
          <w:b w:val="0"/>
          <w:i w:val="0"/>
          <w:color w:val="101828"/>
          <w:sz w:val="21"/>
        </w:rPr>
        <w:t>Aggregates only, no member data.</w:t>
      </w:r>
    </w:p>
    <w:p>
      <w:pPr>
        <w:pStyle w:val="Heading3"/>
      </w:pPr>
      <w:r>
        <w:rPr>
          <w:rFonts w:ascii="Calibri" w:hAnsi="Calibri"/>
          <w:b/>
          <w:i w:val="0"/>
          <w:color w:val="0B1F3A"/>
          <w:sz w:val="24"/>
        </w:rPr>
        <w:t>GET /api/admin/v1/users</w:t>
      </w:r>
    </w:p>
    <w:p>
      <w:pPr>
        <w:spacing w:after="40"/>
        <w:ind w:left="173"/>
      </w:pPr>
      <w:r>
        <w:rPr>
          <w:rFonts w:ascii="Calibri" w:hAnsi="Calibri"/>
          <w:b/>
          <w:color w:val="0B1F3A"/>
          <w:sz w:val="21"/>
        </w:rPr>
        <w:t xml:space="preserve">Purpose  </w:t>
      </w:r>
      <w:r>
        <w:rPr>
          <w:rFonts w:ascii="Calibri" w:hAnsi="Calibri"/>
          <w:b w:val="0"/>
          <w:i w:val="0"/>
          <w:color w:val="101828"/>
          <w:sz w:val="21"/>
        </w:rPr>
        <w:t>Search members.</w:t>
      </w:r>
    </w:p>
    <w:p>
      <w:pPr>
        <w:spacing w:after="40"/>
        <w:ind w:left="173"/>
      </w:pPr>
      <w:r>
        <w:rPr>
          <w:rFonts w:ascii="Calibri" w:hAnsi="Calibri"/>
          <w:b/>
          <w:color w:val="0B1F3A"/>
          <w:sz w:val="21"/>
        </w:rPr>
        <w:t xml:space="preserve">Authentication  </w:t>
      </w:r>
      <w:r>
        <w:rPr>
          <w:rFonts w:ascii="Calibri" w:hAnsi="Calibri"/>
          <w:b w:val="0"/>
          <w:i w:val="0"/>
          <w:color w:val="101828"/>
          <w:sz w:val="21"/>
        </w:rPr>
        <w:t>Bearer + admin role</w:t>
      </w:r>
    </w:p>
    <w:p>
      <w:pPr>
        <w:spacing w:after="40"/>
        <w:ind w:left="173"/>
      </w:pPr>
      <w:r>
        <w:rPr>
          <w:rFonts w:ascii="Calibri" w:hAnsi="Calibri"/>
          <w:b/>
          <w:color w:val="0B1F3A"/>
          <w:sz w:val="21"/>
        </w:rPr>
        <w:t xml:space="preserve">Authorization  </w:t>
      </w:r>
      <w:r>
        <w:rPr>
          <w:rFonts w:ascii="Calibri" w:hAnsi="Calibri"/>
          <w:b w:val="0"/>
          <w:i w:val="0"/>
          <w:color w:val="101828"/>
          <w:sz w:val="21"/>
        </w:rPr>
        <w:t>support, risk_officer, super_admin.</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q</w:t>
      </w:r>
      <w:r>
        <w:rPr>
          <w:rFonts w:ascii="Calibri" w:hAnsi="Calibri"/>
          <w:b w:val="0"/>
          <w:i w:val="0"/>
          <w:color w:val="101828"/>
          <w:sz w:val="21"/>
        </w:rPr>
        <w:t xml:space="preserve">, </w:t>
      </w:r>
      <w:r>
        <w:rPr>
          <w:rFonts w:ascii="Consolas" w:hAnsi="Consolas"/>
          <w:color w:val="146EF5"/>
          <w:sz w:val="21"/>
        </w:rPr>
        <w:t>status</w:t>
      </w:r>
      <w:r>
        <w:rPr>
          <w:rFonts w:ascii="Calibri" w:hAnsi="Calibri"/>
          <w:b w:val="0"/>
          <w:i w:val="0"/>
          <w:color w:val="101828"/>
          <w:sz w:val="21"/>
        </w:rPr>
        <w:t xml:space="preserve">, </w:t>
      </w:r>
      <w:r>
        <w:rPr>
          <w:rFonts w:ascii="Consolas" w:hAnsi="Consolas"/>
          <w:color w:val="146EF5"/>
          <w:sz w:val="21"/>
        </w:rPr>
        <w:t>kycStatus</w:t>
      </w:r>
      <w:r>
        <w:rPr>
          <w:rFonts w:ascii="Calibri" w:hAnsi="Calibri"/>
          <w:b w:val="0"/>
          <w:i w:val="0"/>
          <w:color w:val="101828"/>
          <w:sz w:val="21"/>
        </w:rPr>
        <w:t xml:space="preserve">, </w:t>
      </w:r>
      <w:r>
        <w:rPr>
          <w:rFonts w:ascii="Consolas" w:hAnsi="Consolas"/>
          <w:color w:val="146EF5"/>
          <w:sz w:val="21"/>
        </w:rPr>
        <w:t>cursor</w:t>
      </w:r>
      <w:r>
        <w:rPr>
          <w:rFonts w:ascii="Calibri" w:hAnsi="Calibri"/>
          <w:b w:val="0"/>
          <w:i w:val="0"/>
          <w:color w:val="101828"/>
          <w:sz w:val="21"/>
        </w:rPr>
        <w:t xml:space="preserve">, </w:t>
      </w:r>
      <w:r>
        <w:rPr>
          <w:rFonts w:ascii="Consolas" w:hAnsi="Consolas"/>
          <w:color w:val="146EF5"/>
          <w:sz w:val="21"/>
        </w:rPr>
        <w:t>limit</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data: [...], page }</w:t>
      </w:r>
    </w:p>
    <w:p>
      <w:pPr>
        <w:spacing w:after="40"/>
        <w:ind w:left="173"/>
      </w:pPr>
      <w:r>
        <w:rPr>
          <w:rFonts w:ascii="Calibri" w:hAnsi="Calibri"/>
          <w:b/>
          <w:color w:val="0B1F3A"/>
          <w:sz w:val="21"/>
        </w:rPr>
        <w:t xml:space="preserve">Error responses  </w:t>
      </w:r>
      <w:r>
        <w:rPr>
          <w:rFonts w:ascii="Consolas" w:hAnsi="Consolas"/>
          <w:color w:val="146EF5"/>
          <w:sz w:val="21"/>
        </w:rPr>
        <w:t>403</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Bank details are redacted unless the caller holds </w:t>
      </w:r>
      <w:r>
        <w:rPr>
          <w:rFonts w:ascii="Consolas" w:hAnsi="Consolas"/>
          <w:color w:val="146EF5"/>
          <w:sz w:val="21"/>
        </w:rPr>
        <w:t>pii.read</w:t>
      </w:r>
      <w:r>
        <w:rPr>
          <w:rFonts w:ascii="Calibri" w:hAnsi="Calibri"/>
          <w:b w:val="0"/>
          <w:i w:val="0"/>
          <w:color w:val="101828"/>
          <w:sz w:val="21"/>
        </w:rPr>
        <w:t xml:space="preserve"> permission. Every search is audited — searching for a person is a sensitive act.</w:t>
      </w:r>
    </w:p>
    <w:p>
      <w:pPr>
        <w:pStyle w:val="Heading3"/>
      </w:pPr>
      <w:r>
        <w:rPr>
          <w:rFonts w:ascii="Calibri" w:hAnsi="Calibri"/>
          <w:b/>
          <w:i w:val="0"/>
          <w:color w:val="0B1F3A"/>
          <w:sz w:val="24"/>
        </w:rPr>
        <w:t>GET /api/admin/v1/ajos</w:t>
      </w:r>
    </w:p>
    <w:p>
      <w:pPr>
        <w:spacing w:after="40"/>
        <w:ind w:left="173"/>
      </w:pPr>
      <w:r>
        <w:rPr>
          <w:rFonts w:ascii="Calibri" w:hAnsi="Calibri"/>
          <w:b/>
          <w:color w:val="0B1F3A"/>
          <w:sz w:val="21"/>
        </w:rPr>
        <w:t xml:space="preserve">Purpose  </w:t>
      </w:r>
      <w:r>
        <w:rPr>
          <w:rFonts w:ascii="Calibri" w:hAnsi="Calibri"/>
          <w:b w:val="0"/>
          <w:i w:val="0"/>
          <w:color w:val="101828"/>
          <w:sz w:val="21"/>
        </w:rPr>
        <w:t>Search and filter Ajos.</w:t>
      </w:r>
    </w:p>
    <w:p>
      <w:pPr>
        <w:spacing w:after="40"/>
        <w:ind w:left="173"/>
      </w:pPr>
      <w:r>
        <w:rPr>
          <w:rFonts w:ascii="Calibri" w:hAnsi="Calibri"/>
          <w:b/>
          <w:color w:val="0B1F3A"/>
          <w:sz w:val="21"/>
        </w:rPr>
        <w:t xml:space="preserve">Authentication  </w:t>
      </w:r>
      <w:r>
        <w:rPr>
          <w:rFonts w:ascii="Calibri" w:hAnsi="Calibri"/>
          <w:b w:val="0"/>
          <w:i w:val="0"/>
          <w:color w:val="101828"/>
          <w:sz w:val="21"/>
        </w:rPr>
        <w:t>Bearer + admin role</w:t>
      </w:r>
    </w:p>
    <w:p>
      <w:pPr>
        <w:spacing w:after="40"/>
        <w:ind w:left="173"/>
      </w:pPr>
      <w:r>
        <w:rPr>
          <w:rFonts w:ascii="Calibri" w:hAnsi="Calibri"/>
          <w:b/>
          <w:color w:val="0B1F3A"/>
          <w:sz w:val="21"/>
        </w:rPr>
        <w:t xml:space="preserve">Authorization  </w:t>
      </w:r>
      <w:r>
        <w:rPr>
          <w:rFonts w:ascii="Calibri" w:hAnsi="Calibri"/>
          <w:b w:val="0"/>
          <w:i w:val="0"/>
          <w:color w:val="101828"/>
          <w:sz w:val="21"/>
        </w:rPr>
        <w:t>Any admin role.</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status</w:t>
      </w:r>
      <w:r>
        <w:rPr>
          <w:rFonts w:ascii="Calibri" w:hAnsi="Calibri"/>
          <w:b w:val="0"/>
          <w:i w:val="0"/>
          <w:color w:val="101828"/>
          <w:sz w:val="21"/>
        </w:rPr>
        <w:t xml:space="preserve">, </w:t>
      </w:r>
      <w:r>
        <w:rPr>
          <w:rFonts w:ascii="Consolas" w:hAnsi="Consolas"/>
          <w:color w:val="146EF5"/>
          <w:sz w:val="21"/>
        </w:rPr>
        <w:t>organizerId</w:t>
      </w:r>
      <w:r>
        <w:rPr>
          <w:rFonts w:ascii="Calibri" w:hAnsi="Calibri"/>
          <w:b w:val="0"/>
          <w:i w:val="0"/>
          <w:color w:val="101828"/>
          <w:sz w:val="21"/>
        </w:rPr>
        <w:t xml:space="preserve">, </w:t>
      </w:r>
      <w:r>
        <w:rPr>
          <w:rFonts w:ascii="Consolas" w:hAnsi="Consolas"/>
          <w:color w:val="146EF5"/>
          <w:sz w:val="21"/>
        </w:rPr>
        <w:t>hasDefaults</w:t>
      </w:r>
      <w:r>
        <w:rPr>
          <w:rFonts w:ascii="Calibri" w:hAnsi="Calibri"/>
          <w:b w:val="0"/>
          <w:i w:val="0"/>
          <w:color w:val="101828"/>
          <w:sz w:val="21"/>
        </w:rPr>
        <w:t xml:space="preserve">, </w:t>
      </w:r>
      <w:r>
        <w:rPr>
          <w:rFonts w:ascii="Consolas" w:hAnsi="Consolas"/>
          <w:color w:val="146EF5"/>
          <w:sz w:val="21"/>
        </w:rPr>
        <w:t>from</w:t>
      </w:r>
      <w:r>
        <w:rPr>
          <w:rFonts w:ascii="Calibri" w:hAnsi="Calibri"/>
          <w:b w:val="0"/>
          <w:i w:val="0"/>
          <w:color w:val="101828"/>
          <w:sz w:val="21"/>
        </w:rPr>
        <w:t xml:space="preserve">, </w:t>
      </w:r>
      <w:r>
        <w:rPr>
          <w:rFonts w:ascii="Consolas" w:hAnsi="Consolas"/>
          <w:color w:val="146EF5"/>
          <w:sz w:val="21"/>
        </w:rPr>
        <w:t>to</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data: [...], page }</w:t>
      </w:r>
    </w:p>
    <w:p>
      <w:pPr>
        <w:spacing w:after="40"/>
        <w:ind w:left="173"/>
      </w:pPr>
      <w:r>
        <w:rPr>
          <w:rFonts w:ascii="Calibri" w:hAnsi="Calibri"/>
          <w:b/>
          <w:color w:val="0B1F3A"/>
          <w:sz w:val="21"/>
        </w:rPr>
        <w:t xml:space="preserve">Error responses  </w:t>
      </w:r>
      <w:r>
        <w:rPr>
          <w:rFonts w:ascii="Consolas" w:hAnsi="Consolas"/>
          <w:color w:val="146EF5"/>
          <w:sz w:val="21"/>
        </w:rPr>
        <w:t>403</w:t>
      </w:r>
    </w:p>
    <w:p>
      <w:pPr>
        <w:spacing w:after="40"/>
        <w:ind w:left="173"/>
      </w:pPr>
      <w:r>
        <w:rPr>
          <w:rFonts w:ascii="Calibri" w:hAnsi="Calibri"/>
          <w:b/>
          <w:color w:val="0B1F3A"/>
          <w:sz w:val="21"/>
        </w:rPr>
        <w:t xml:space="preserve">Validation rules  </w:t>
      </w:r>
      <w:r>
        <w:rPr>
          <w:rFonts w:ascii="Calibri" w:hAnsi="Calibri"/>
          <w:b w:val="0"/>
          <w:i w:val="0"/>
          <w:color w:val="101828"/>
          <w:sz w:val="21"/>
        </w:rPr>
        <w:t>Supports the incident workflow 'show me every Ajo with an open default'.</w:t>
      </w:r>
    </w:p>
    <w:p>
      <w:pPr>
        <w:pStyle w:val="Heading3"/>
      </w:pPr>
      <w:r>
        <w:rPr>
          <w:rFonts w:ascii="Calibri" w:hAnsi="Calibri"/>
          <w:b/>
          <w:i w:val="0"/>
          <w:color w:val="0B1F3A"/>
          <w:sz w:val="24"/>
        </w:rPr>
        <w:t>GET /api/admin/v1/disputes</w:t>
      </w:r>
    </w:p>
    <w:p>
      <w:pPr>
        <w:spacing w:after="40"/>
        <w:ind w:left="173"/>
      </w:pPr>
      <w:r>
        <w:rPr>
          <w:rFonts w:ascii="Calibri" w:hAnsi="Calibri"/>
          <w:b/>
          <w:color w:val="0B1F3A"/>
          <w:sz w:val="21"/>
        </w:rPr>
        <w:t xml:space="preserve">Purpose  </w:t>
      </w:r>
      <w:r>
        <w:rPr>
          <w:rFonts w:ascii="Calibri" w:hAnsi="Calibri"/>
          <w:b w:val="0"/>
          <w:i w:val="0"/>
          <w:color w:val="101828"/>
          <w:sz w:val="21"/>
        </w:rPr>
        <w:t>Dispute queue.</w:t>
      </w:r>
    </w:p>
    <w:p>
      <w:pPr>
        <w:spacing w:after="40"/>
        <w:ind w:left="173"/>
      </w:pPr>
      <w:r>
        <w:rPr>
          <w:rFonts w:ascii="Calibri" w:hAnsi="Calibri"/>
          <w:b/>
          <w:color w:val="0B1F3A"/>
          <w:sz w:val="21"/>
        </w:rPr>
        <w:t xml:space="preserve">Authentication  </w:t>
      </w:r>
      <w:r>
        <w:rPr>
          <w:rFonts w:ascii="Calibri" w:hAnsi="Calibri"/>
          <w:b w:val="0"/>
          <w:i w:val="0"/>
          <w:color w:val="101828"/>
          <w:sz w:val="21"/>
        </w:rPr>
        <w:t>Bearer + admin role</w:t>
      </w:r>
    </w:p>
    <w:p>
      <w:pPr>
        <w:spacing w:after="40"/>
        <w:ind w:left="173"/>
      </w:pPr>
      <w:r>
        <w:rPr>
          <w:rFonts w:ascii="Calibri" w:hAnsi="Calibri"/>
          <w:b/>
          <w:color w:val="0B1F3A"/>
          <w:sz w:val="21"/>
        </w:rPr>
        <w:t xml:space="preserve">Authorization  </w:t>
      </w:r>
      <w:r>
        <w:rPr>
          <w:rFonts w:ascii="Calibri" w:hAnsi="Calibri"/>
          <w:b w:val="0"/>
          <w:i w:val="0"/>
          <w:color w:val="101828"/>
          <w:sz w:val="21"/>
        </w:rPr>
        <w:t>Any admin role.</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status</w:t>
      </w:r>
      <w:r>
        <w:rPr>
          <w:rFonts w:ascii="Calibri" w:hAnsi="Calibri"/>
          <w:b w:val="0"/>
          <w:i w:val="0"/>
          <w:color w:val="101828"/>
          <w:sz w:val="21"/>
        </w:rPr>
        <w:t xml:space="preserve">, </w:t>
      </w:r>
      <w:r>
        <w:rPr>
          <w:rFonts w:ascii="Consolas" w:hAnsi="Consolas"/>
          <w:color w:val="146EF5"/>
          <w:sz w:val="21"/>
        </w:rPr>
        <w:t>priority</w:t>
      </w:r>
      <w:r>
        <w:rPr>
          <w:rFonts w:ascii="Calibri" w:hAnsi="Calibri"/>
          <w:b w:val="0"/>
          <w:i w:val="0"/>
          <w:color w:val="101828"/>
          <w:sz w:val="21"/>
        </w:rPr>
        <w:t xml:space="preserve">, </w:t>
      </w:r>
      <w:r>
        <w:rPr>
          <w:rFonts w:ascii="Consolas" w:hAnsi="Consolas"/>
          <w:color w:val="146EF5"/>
          <w:sz w:val="21"/>
        </w:rPr>
        <w:t>slaBreached</w:t>
      </w:r>
      <w:r>
        <w:rPr>
          <w:rFonts w:ascii="Calibri" w:hAnsi="Calibri"/>
          <w:b w:val="0"/>
          <w:i w:val="0"/>
          <w:color w:val="101828"/>
          <w:sz w:val="21"/>
        </w:rPr>
        <w:t xml:space="preserve">, </w:t>
      </w:r>
      <w:r>
        <w:rPr>
          <w:rFonts w:ascii="Consolas" w:hAnsi="Consolas"/>
          <w:color w:val="146EF5"/>
          <w:sz w:val="21"/>
        </w:rPr>
        <w:t>assignee</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data: [...], page }</w:t>
      </w:r>
    </w:p>
    <w:p>
      <w:pPr>
        <w:spacing w:after="40"/>
        <w:ind w:left="173"/>
      </w:pPr>
      <w:r>
        <w:rPr>
          <w:rFonts w:ascii="Calibri" w:hAnsi="Calibri"/>
          <w:b/>
          <w:color w:val="0B1F3A"/>
          <w:sz w:val="21"/>
        </w:rPr>
        <w:t xml:space="preserve">Error responses  </w:t>
      </w:r>
      <w:r>
        <w:rPr>
          <w:rFonts w:ascii="Consolas" w:hAnsi="Consolas"/>
          <w:color w:val="146EF5"/>
          <w:sz w:val="21"/>
        </w:rPr>
        <w:t>403</w:t>
      </w:r>
    </w:p>
    <w:p>
      <w:pPr>
        <w:spacing w:after="40"/>
        <w:ind w:left="173"/>
      </w:pPr>
      <w:r>
        <w:rPr>
          <w:rFonts w:ascii="Calibri" w:hAnsi="Calibri"/>
          <w:b/>
          <w:color w:val="0B1F3A"/>
          <w:sz w:val="21"/>
        </w:rPr>
        <w:t xml:space="preserve">Validation rules  </w:t>
      </w:r>
      <w:r>
        <w:rPr>
          <w:rFonts w:ascii="Calibri" w:hAnsi="Calibri"/>
          <w:b w:val="0"/>
          <w:i w:val="0"/>
          <w:color w:val="101828"/>
          <w:sz w:val="21"/>
        </w:rPr>
        <w:t>Default sort: SLA ascending, so the most urgent is first.</w:t>
      </w:r>
    </w:p>
    <w:p>
      <w:pPr>
        <w:pStyle w:val="Heading3"/>
      </w:pPr>
      <w:r>
        <w:rPr>
          <w:rFonts w:ascii="Calibri" w:hAnsi="Calibri"/>
          <w:b/>
          <w:i w:val="0"/>
          <w:color w:val="0B1F3A"/>
          <w:sz w:val="24"/>
        </w:rPr>
        <w:t>GET /api/admin/v1/risk</w:t>
      </w:r>
    </w:p>
    <w:p>
      <w:pPr>
        <w:spacing w:after="40"/>
        <w:ind w:left="173"/>
      </w:pPr>
      <w:r>
        <w:rPr>
          <w:rFonts w:ascii="Calibri" w:hAnsi="Calibri"/>
          <w:b/>
          <w:color w:val="0B1F3A"/>
          <w:sz w:val="21"/>
        </w:rPr>
        <w:t xml:space="preserve">Purpose  </w:t>
      </w:r>
      <w:r>
        <w:rPr>
          <w:rFonts w:ascii="Calibri" w:hAnsi="Calibri"/>
          <w:b w:val="0"/>
          <w:i w:val="0"/>
          <w:color w:val="101828"/>
          <w:sz w:val="21"/>
        </w:rPr>
        <w:t>Risk event queue.</w:t>
      </w:r>
    </w:p>
    <w:p>
      <w:pPr>
        <w:spacing w:after="40"/>
        <w:ind w:left="173"/>
      </w:pPr>
      <w:r>
        <w:rPr>
          <w:rFonts w:ascii="Calibri" w:hAnsi="Calibri"/>
          <w:b/>
          <w:color w:val="0B1F3A"/>
          <w:sz w:val="21"/>
        </w:rPr>
        <w:t xml:space="preserve">Authentication  </w:t>
      </w:r>
      <w:r>
        <w:rPr>
          <w:rFonts w:ascii="Calibri" w:hAnsi="Calibri"/>
          <w:b w:val="0"/>
          <w:i w:val="0"/>
          <w:color w:val="101828"/>
          <w:sz w:val="21"/>
        </w:rPr>
        <w:t>Bearer + admin role</w:t>
      </w:r>
    </w:p>
    <w:p>
      <w:pPr>
        <w:spacing w:after="40"/>
        <w:ind w:left="173"/>
      </w:pPr>
      <w:r>
        <w:rPr>
          <w:rFonts w:ascii="Calibri" w:hAnsi="Calibri"/>
          <w:b/>
          <w:color w:val="0B1F3A"/>
          <w:sz w:val="21"/>
        </w:rPr>
        <w:t xml:space="preserve">Authorization  </w:t>
      </w:r>
      <w:r>
        <w:rPr>
          <w:rFonts w:ascii="Calibri" w:hAnsi="Calibri"/>
          <w:b w:val="0"/>
          <w:i w:val="0"/>
          <w:color w:val="101828"/>
          <w:sz w:val="21"/>
        </w:rPr>
        <w:t>risk_officer, super_admin.</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severity</w:t>
      </w:r>
      <w:r>
        <w:rPr>
          <w:rFonts w:ascii="Calibri" w:hAnsi="Calibri"/>
          <w:b w:val="0"/>
          <w:i w:val="0"/>
          <w:color w:val="101828"/>
          <w:sz w:val="21"/>
        </w:rPr>
        <w:t xml:space="preserve">, </w:t>
      </w:r>
      <w:r>
        <w:rPr>
          <w:rFonts w:ascii="Consolas" w:hAnsi="Consolas"/>
          <w:color w:val="146EF5"/>
          <w:sz w:val="21"/>
        </w:rPr>
        <w:t>type</w:t>
      </w:r>
      <w:r>
        <w:rPr>
          <w:rFonts w:ascii="Calibri" w:hAnsi="Calibri"/>
          <w:b w:val="0"/>
          <w:i w:val="0"/>
          <w:color w:val="101828"/>
          <w:sz w:val="21"/>
        </w:rPr>
        <w:t xml:space="preserve">, </w:t>
      </w:r>
      <w:r>
        <w:rPr>
          <w:rFonts w:ascii="Consolas" w:hAnsi="Consolas"/>
          <w:color w:val="146EF5"/>
          <w:sz w:val="21"/>
        </w:rPr>
        <w:t>status</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data: [{ id, type, severity, subject, signals, status }], page }</w:t>
      </w:r>
    </w:p>
    <w:p>
      <w:pPr>
        <w:spacing w:after="40"/>
        <w:ind w:left="173"/>
      </w:pPr>
      <w:r>
        <w:rPr>
          <w:rFonts w:ascii="Calibri" w:hAnsi="Calibri"/>
          <w:b/>
          <w:color w:val="0B1F3A"/>
          <w:sz w:val="21"/>
        </w:rPr>
        <w:t xml:space="preserve">Error responses  </w:t>
      </w:r>
      <w:r>
        <w:rPr>
          <w:rFonts w:ascii="Consolas" w:hAnsi="Consolas"/>
          <w:color w:val="146EF5"/>
          <w:sz w:val="21"/>
        </w:rPr>
        <w:t>403</w:t>
      </w:r>
    </w:p>
    <w:p>
      <w:pPr>
        <w:spacing w:after="40"/>
        <w:ind w:left="173"/>
      </w:pPr>
      <w:r>
        <w:rPr>
          <w:rFonts w:ascii="Calibri" w:hAnsi="Calibri"/>
          <w:b/>
          <w:color w:val="0B1F3A"/>
          <w:sz w:val="21"/>
        </w:rPr>
        <w:t xml:space="preserve">Validation rules  </w:t>
      </w:r>
      <w:r>
        <w:rPr>
          <w:rFonts w:ascii="Calibri" w:hAnsi="Calibri"/>
          <w:b w:val="0"/>
          <w:i w:val="0"/>
          <w:color w:val="101828"/>
          <w:sz w:val="21"/>
        </w:rPr>
        <w:t xml:space="preserve">Never returned to </w:t>
      </w:r>
      <w:r>
        <w:rPr>
          <w:rFonts w:ascii="Consolas" w:hAnsi="Consolas"/>
          <w:color w:val="146EF5"/>
          <w:sz w:val="21"/>
        </w:rPr>
        <w:t>support</w:t>
      </w:r>
      <w:r>
        <w:rPr>
          <w:rFonts w:ascii="Calibri" w:hAnsi="Calibri"/>
          <w:b w:val="0"/>
          <w:i w:val="0"/>
          <w:color w:val="101828"/>
          <w:sz w:val="21"/>
        </w:rPr>
        <w:t>.</w:t>
      </w:r>
    </w:p>
    <w:p>
      <w:pPr>
        <w:pStyle w:val="Heading3"/>
      </w:pPr>
      <w:r>
        <w:rPr>
          <w:rFonts w:ascii="Calibri" w:hAnsi="Calibri"/>
          <w:b/>
          <w:i w:val="0"/>
          <w:color w:val="0B1F3A"/>
          <w:sz w:val="24"/>
        </w:rPr>
        <w:t>POST /api/admin/v1/risk/:id/decision</w:t>
      </w:r>
    </w:p>
    <w:p>
      <w:pPr>
        <w:spacing w:after="40"/>
        <w:ind w:left="173"/>
      </w:pPr>
      <w:r>
        <w:rPr>
          <w:rFonts w:ascii="Calibri" w:hAnsi="Calibri"/>
          <w:b/>
          <w:color w:val="0B1F3A"/>
          <w:sz w:val="21"/>
        </w:rPr>
        <w:t xml:space="preserve">Purpose  </w:t>
      </w:r>
      <w:r>
        <w:rPr>
          <w:rFonts w:ascii="Calibri" w:hAnsi="Calibri"/>
          <w:b w:val="0"/>
          <w:i w:val="0"/>
          <w:color w:val="101828"/>
          <w:sz w:val="21"/>
        </w:rPr>
        <w:t>Record a risk decision.</w:t>
      </w:r>
    </w:p>
    <w:p>
      <w:pPr>
        <w:spacing w:after="40"/>
        <w:ind w:left="173"/>
      </w:pPr>
      <w:r>
        <w:rPr>
          <w:rFonts w:ascii="Calibri" w:hAnsi="Calibri"/>
          <w:b/>
          <w:color w:val="0B1F3A"/>
          <w:sz w:val="21"/>
        </w:rPr>
        <w:t xml:space="preserve">Authentication  </w:t>
      </w:r>
      <w:r>
        <w:rPr>
          <w:rFonts w:ascii="Calibri" w:hAnsi="Calibri"/>
          <w:b w:val="0"/>
          <w:i w:val="0"/>
          <w:color w:val="101828"/>
          <w:sz w:val="21"/>
        </w:rPr>
        <w:t>Bearer + admin role</w:t>
      </w:r>
    </w:p>
    <w:p>
      <w:pPr>
        <w:spacing w:after="40"/>
        <w:ind w:left="173"/>
      </w:pPr>
      <w:r>
        <w:rPr>
          <w:rFonts w:ascii="Calibri" w:hAnsi="Calibri"/>
          <w:b/>
          <w:color w:val="0B1F3A"/>
          <w:sz w:val="21"/>
        </w:rPr>
        <w:t xml:space="preserve">Authorization  </w:t>
      </w:r>
      <w:r>
        <w:rPr>
          <w:rFonts w:ascii="Calibri" w:hAnsi="Calibri"/>
          <w:b w:val="0"/>
          <w:i w:val="0"/>
          <w:color w:val="101828"/>
          <w:sz w:val="21"/>
        </w:rPr>
        <w:t>risk_officer, super_admin.</w:t>
      </w:r>
    </w:p>
    <w:p>
      <w:pPr>
        <w:spacing w:after="40"/>
        <w:ind w:left="173"/>
      </w:pPr>
      <w:r>
        <w:rPr>
          <w:rFonts w:ascii="Calibri" w:hAnsi="Calibri"/>
          <w:b/>
          <w:color w:val="0B1F3A"/>
          <w:sz w:val="21"/>
        </w:rPr>
        <w:t xml:space="preserve">Request body  </w:t>
      </w:r>
      <w:r>
        <w:rPr>
          <w:rFonts w:ascii="Consolas" w:hAnsi="Consolas"/>
          <w:color w:val="146EF5"/>
          <w:sz w:val="21"/>
        </w:rPr>
        <w:t>{ decision: 'CLEAR'|'MONITOR'|'RESTRICT'|'FREEZE'|'ESCALATE', reason, restrictions? }</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riskEvent }</w:t>
      </w:r>
    </w:p>
    <w:p>
      <w:pPr>
        <w:spacing w:after="40"/>
        <w:ind w:left="173"/>
      </w:pPr>
      <w:r>
        <w:rPr>
          <w:rFonts w:ascii="Calibri" w:hAnsi="Calibri"/>
          <w:b/>
          <w:color w:val="0B1F3A"/>
          <w:sz w:val="21"/>
        </w:rPr>
        <w:t xml:space="preserve">Error responses  </w:t>
      </w:r>
      <w:r>
        <w:rPr>
          <w:rFonts w:ascii="Consolas" w:hAnsi="Consolas"/>
          <w:color w:val="146EF5"/>
          <w:sz w:val="21"/>
        </w:rPr>
        <w:t>409</w:t>
      </w:r>
      <w:r>
        <w:rPr>
          <w:rFonts w:ascii="Calibri" w:hAnsi="Calibri"/>
          <w:b w:val="0"/>
          <w:i w:val="0"/>
          <w:color w:val="101828"/>
          <w:sz w:val="21"/>
        </w:rPr>
        <w:t xml:space="preserve"> already decided · </w:t>
      </w:r>
      <w:r>
        <w:rPr>
          <w:rFonts w:ascii="Consolas" w:hAnsi="Consolas"/>
          <w:color w:val="146EF5"/>
          <w:sz w:val="21"/>
        </w:rPr>
        <w:t>422</w:t>
      </w:r>
      <w:r>
        <w:rPr>
          <w:rFonts w:ascii="Calibri" w:hAnsi="Calibri"/>
          <w:b w:val="0"/>
          <w:i w:val="0"/>
          <w:color w:val="101828"/>
          <w:sz w:val="21"/>
        </w:rPr>
        <w:t xml:space="preserve"> reason required</w:t>
      </w:r>
    </w:p>
    <w:p>
      <w:pPr>
        <w:spacing w:after="40"/>
        <w:ind w:left="173"/>
      </w:pPr>
      <w:r>
        <w:rPr>
          <w:rFonts w:ascii="Calibri" w:hAnsi="Calibri"/>
          <w:b/>
          <w:color w:val="0B1F3A"/>
          <w:sz w:val="21"/>
        </w:rPr>
        <w:t xml:space="preserve">Validation rules  </w:t>
      </w:r>
      <w:r>
        <w:rPr>
          <w:rFonts w:ascii="Consolas" w:hAnsi="Consolas"/>
          <w:color w:val="146EF5"/>
          <w:sz w:val="21"/>
        </w:rPr>
        <w:t>support</w:t>
      </w:r>
      <w:r>
        <w:rPr>
          <w:rFonts w:ascii="Calibri" w:hAnsi="Calibri"/>
          <w:b w:val="0"/>
          <w:i w:val="0"/>
          <w:color w:val="101828"/>
          <w:sz w:val="21"/>
        </w:rPr>
        <w:t xml:space="preserve"> is explicitly denied. Restrictions are enforced by the API, not only displayed.</w:t>
      </w:r>
    </w:p>
    <w:p>
      <w:pPr>
        <w:pStyle w:val="Heading3"/>
      </w:pPr>
      <w:r>
        <w:rPr>
          <w:rFonts w:ascii="Calibri" w:hAnsi="Calibri"/>
          <w:b/>
          <w:i w:val="0"/>
          <w:color w:val="0B1F3A"/>
          <w:sz w:val="24"/>
        </w:rPr>
        <w:t>POST /api/admin/v1/users/:id/freeze</w:t>
      </w:r>
    </w:p>
    <w:p>
      <w:pPr>
        <w:spacing w:after="40"/>
        <w:ind w:left="173"/>
      </w:pPr>
      <w:r>
        <w:rPr>
          <w:rFonts w:ascii="Calibri" w:hAnsi="Calibri"/>
          <w:b/>
          <w:color w:val="0B1F3A"/>
          <w:sz w:val="21"/>
        </w:rPr>
        <w:t xml:space="preserve">Purpose  </w:t>
      </w:r>
      <w:r>
        <w:rPr>
          <w:rFonts w:ascii="Calibri" w:hAnsi="Calibri"/>
          <w:b w:val="0"/>
          <w:i w:val="0"/>
          <w:color w:val="101828"/>
          <w:sz w:val="21"/>
        </w:rPr>
        <w:t>Freeze a member account.</w:t>
      </w:r>
    </w:p>
    <w:p>
      <w:pPr>
        <w:spacing w:after="40"/>
        <w:ind w:left="173"/>
      </w:pPr>
      <w:r>
        <w:rPr>
          <w:rFonts w:ascii="Calibri" w:hAnsi="Calibri"/>
          <w:b/>
          <w:color w:val="0B1F3A"/>
          <w:sz w:val="21"/>
        </w:rPr>
        <w:t xml:space="preserve">Authentication  </w:t>
      </w:r>
      <w:r>
        <w:rPr>
          <w:rFonts w:ascii="Calibri" w:hAnsi="Calibri"/>
          <w:b w:val="0"/>
          <w:i w:val="0"/>
          <w:color w:val="101828"/>
          <w:sz w:val="21"/>
        </w:rPr>
        <w:t>Bearer + admin role</w:t>
      </w:r>
    </w:p>
    <w:p>
      <w:pPr>
        <w:spacing w:after="40"/>
        <w:ind w:left="173"/>
      </w:pPr>
      <w:r>
        <w:rPr>
          <w:rFonts w:ascii="Calibri" w:hAnsi="Calibri"/>
          <w:b/>
          <w:color w:val="0B1F3A"/>
          <w:sz w:val="21"/>
        </w:rPr>
        <w:t xml:space="preserve">Authorization  </w:t>
      </w:r>
      <w:r>
        <w:rPr>
          <w:rFonts w:ascii="Calibri" w:hAnsi="Calibri"/>
          <w:b w:val="0"/>
          <w:i w:val="0"/>
          <w:color w:val="101828"/>
          <w:sz w:val="21"/>
        </w:rPr>
        <w:t>risk_officer, super_admin.</w:t>
      </w:r>
    </w:p>
    <w:p>
      <w:pPr>
        <w:spacing w:after="40"/>
        <w:ind w:left="173"/>
      </w:pPr>
      <w:r>
        <w:rPr>
          <w:rFonts w:ascii="Calibri" w:hAnsi="Calibri"/>
          <w:b/>
          <w:color w:val="0B1F3A"/>
          <w:sz w:val="21"/>
        </w:rPr>
        <w:t xml:space="preserve">Request body  </w:t>
      </w:r>
      <w:r>
        <w:rPr>
          <w:rFonts w:ascii="Consolas" w:hAnsi="Consolas"/>
          <w:color w:val="146EF5"/>
          <w:sz w:val="21"/>
        </w:rPr>
        <w:t>{ reason, scope: 'CONTRIBUTIONS'|'ALL' }</w:t>
      </w:r>
    </w:p>
    <w:p>
      <w:pPr>
        <w:spacing w:after="40"/>
        <w:ind w:left="173"/>
      </w:pPr>
      <w:r>
        <w:rPr>
          <w:rFonts w:ascii="Calibri" w:hAnsi="Calibri"/>
          <w:b/>
          <w:color w:val="0B1F3A"/>
          <w:sz w:val="21"/>
        </w:rPr>
        <w:t xml:space="preserve">Path parameters  </w:t>
      </w:r>
      <w:r>
        <w:rPr>
          <w:rFonts w:ascii="Consolas" w:hAnsi="Consolas"/>
          <w:color w:val="146EF5"/>
          <w:sz w:val="21"/>
        </w:rPr>
        <w:t>id</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user, frozenScope }</w:t>
      </w:r>
    </w:p>
    <w:p>
      <w:pPr>
        <w:spacing w:after="40"/>
        <w:ind w:left="173"/>
      </w:pPr>
      <w:r>
        <w:rPr>
          <w:rFonts w:ascii="Calibri" w:hAnsi="Calibri"/>
          <w:b/>
          <w:color w:val="0B1F3A"/>
          <w:sz w:val="21"/>
        </w:rPr>
        <w:t xml:space="preserve">Error responses  </w:t>
      </w:r>
      <w:r>
        <w:rPr>
          <w:rFonts w:ascii="Consolas" w:hAnsi="Consolas"/>
          <w:color w:val="146EF5"/>
          <w:sz w:val="21"/>
        </w:rPr>
        <w:t>422</w:t>
      </w:r>
      <w:r>
        <w:rPr>
          <w:rFonts w:ascii="Calibri" w:hAnsi="Calibri"/>
          <w:b w:val="0"/>
          <w:i w:val="0"/>
          <w:color w:val="101828"/>
          <w:sz w:val="21"/>
        </w:rPr>
        <w:t xml:space="preserve"> reason required</w:t>
      </w:r>
    </w:p>
    <w:p>
      <w:pPr>
        <w:spacing w:after="40"/>
        <w:ind w:left="173"/>
      </w:pPr>
      <w:r>
        <w:rPr>
          <w:rFonts w:ascii="Calibri" w:hAnsi="Calibri"/>
          <w:b/>
          <w:color w:val="0B1F3A"/>
          <w:sz w:val="21"/>
        </w:rPr>
        <w:t xml:space="preserve">Validation rules  </w:t>
      </w:r>
      <w:r>
        <w:rPr>
          <w:rFonts w:ascii="Consolas" w:hAnsi="Consolas"/>
          <w:color w:val="146EF5"/>
          <w:sz w:val="21"/>
        </w:rPr>
        <w:t>CONTRIBUTIONS</w:t>
      </w:r>
      <w:r>
        <w:rPr>
          <w:rFonts w:ascii="Calibri" w:hAnsi="Calibri"/>
          <w:b w:val="0"/>
          <w:i w:val="0"/>
          <w:color w:val="101828"/>
          <w:sz w:val="21"/>
        </w:rPr>
        <w:t xml:space="preserve"> blocks new payments but allows the member to receive a payout they are already owed — </w:t>
      </w:r>
      <w:r>
        <w:rPr>
          <w:rFonts w:ascii="Calibri" w:hAnsi="Calibri"/>
          <w:b/>
          <w:color w:val="101828"/>
          <w:sz w:val="21"/>
        </w:rPr>
        <w:t>freezing a member must never trap their own money</w:t>
      </w:r>
      <w:r>
        <w:rPr>
          <w:rFonts w:ascii="Calibri" w:hAnsi="Calibri"/>
          <w:b w:val="0"/>
          <w:i w:val="0"/>
          <w:color w:val="101828"/>
          <w:sz w:val="21"/>
        </w:rPr>
        <w:t>.</w:t>
      </w:r>
    </w:p>
    <w:p>
      <w:pPr>
        <w:pStyle w:val="Heading3"/>
      </w:pPr>
      <w:r>
        <w:rPr>
          <w:rFonts w:ascii="Calibri" w:hAnsi="Calibri"/>
          <w:b/>
          <w:i w:val="0"/>
          <w:color w:val="0B1F3A"/>
          <w:sz w:val="24"/>
        </w:rPr>
        <w:t>GET /api/admin/v1/audit-logs</w:t>
      </w:r>
    </w:p>
    <w:p>
      <w:pPr>
        <w:spacing w:after="40"/>
        <w:ind w:left="173"/>
      </w:pPr>
      <w:r>
        <w:rPr>
          <w:rFonts w:ascii="Calibri" w:hAnsi="Calibri"/>
          <w:b/>
          <w:color w:val="0B1F3A"/>
          <w:sz w:val="21"/>
        </w:rPr>
        <w:t xml:space="preserve">Purpose  </w:t>
      </w:r>
      <w:r>
        <w:rPr>
          <w:rFonts w:ascii="Calibri" w:hAnsi="Calibri"/>
          <w:b w:val="0"/>
          <w:i w:val="0"/>
          <w:color w:val="101828"/>
          <w:sz w:val="21"/>
        </w:rPr>
        <w:t>Audit trail query.</w:t>
      </w:r>
    </w:p>
    <w:p>
      <w:pPr>
        <w:spacing w:after="40"/>
        <w:ind w:left="173"/>
      </w:pPr>
      <w:r>
        <w:rPr>
          <w:rFonts w:ascii="Calibri" w:hAnsi="Calibri"/>
          <w:b/>
          <w:color w:val="0B1F3A"/>
          <w:sz w:val="21"/>
        </w:rPr>
        <w:t xml:space="preserve">Authentication  </w:t>
      </w:r>
      <w:r>
        <w:rPr>
          <w:rFonts w:ascii="Calibri" w:hAnsi="Calibri"/>
          <w:b w:val="0"/>
          <w:i w:val="0"/>
          <w:color w:val="101828"/>
          <w:sz w:val="21"/>
        </w:rPr>
        <w:t>Bearer + admin role</w:t>
      </w:r>
    </w:p>
    <w:p>
      <w:pPr>
        <w:spacing w:after="40"/>
        <w:ind w:left="173"/>
      </w:pPr>
      <w:r>
        <w:rPr>
          <w:rFonts w:ascii="Calibri" w:hAnsi="Calibri"/>
          <w:b/>
          <w:color w:val="0B1F3A"/>
          <w:sz w:val="21"/>
        </w:rPr>
        <w:t xml:space="preserve">Authorization  </w:t>
      </w:r>
      <w:r>
        <w:rPr>
          <w:rFonts w:ascii="Calibri" w:hAnsi="Calibri"/>
          <w:b w:val="0"/>
          <w:i w:val="0"/>
          <w:color w:val="101828"/>
          <w:sz w:val="21"/>
        </w:rPr>
        <w:t>super_admin only.</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actorId</w:t>
      </w:r>
      <w:r>
        <w:rPr>
          <w:rFonts w:ascii="Calibri" w:hAnsi="Calibri"/>
          <w:b w:val="0"/>
          <w:i w:val="0"/>
          <w:color w:val="101828"/>
          <w:sz w:val="21"/>
        </w:rPr>
        <w:t xml:space="preserve">, </w:t>
      </w:r>
      <w:r>
        <w:rPr>
          <w:rFonts w:ascii="Consolas" w:hAnsi="Consolas"/>
          <w:color w:val="146EF5"/>
          <w:sz w:val="21"/>
        </w:rPr>
        <w:t>action</w:t>
      </w:r>
      <w:r>
        <w:rPr>
          <w:rFonts w:ascii="Calibri" w:hAnsi="Calibri"/>
          <w:b w:val="0"/>
          <w:i w:val="0"/>
          <w:color w:val="101828"/>
          <w:sz w:val="21"/>
        </w:rPr>
        <w:t xml:space="preserve">, </w:t>
      </w:r>
      <w:r>
        <w:rPr>
          <w:rFonts w:ascii="Consolas" w:hAnsi="Consolas"/>
          <w:color w:val="146EF5"/>
          <w:sz w:val="21"/>
        </w:rPr>
        <w:t>subjectType</w:t>
      </w:r>
      <w:r>
        <w:rPr>
          <w:rFonts w:ascii="Calibri" w:hAnsi="Calibri"/>
          <w:b w:val="0"/>
          <w:i w:val="0"/>
          <w:color w:val="101828"/>
          <w:sz w:val="21"/>
        </w:rPr>
        <w:t xml:space="preserve">, </w:t>
      </w:r>
      <w:r>
        <w:rPr>
          <w:rFonts w:ascii="Consolas" w:hAnsi="Consolas"/>
          <w:color w:val="146EF5"/>
          <w:sz w:val="21"/>
        </w:rPr>
        <w:t>subjectId</w:t>
      </w:r>
      <w:r>
        <w:rPr>
          <w:rFonts w:ascii="Calibri" w:hAnsi="Calibri"/>
          <w:b w:val="0"/>
          <w:i w:val="0"/>
          <w:color w:val="101828"/>
          <w:sz w:val="21"/>
        </w:rPr>
        <w:t xml:space="preserve">, </w:t>
      </w:r>
      <w:r>
        <w:rPr>
          <w:rFonts w:ascii="Consolas" w:hAnsi="Consolas"/>
          <w:color w:val="146EF5"/>
          <w:sz w:val="21"/>
        </w:rPr>
        <w:t>from</w:t>
      </w:r>
      <w:r>
        <w:rPr>
          <w:rFonts w:ascii="Calibri" w:hAnsi="Calibri"/>
          <w:b w:val="0"/>
          <w:i w:val="0"/>
          <w:color w:val="101828"/>
          <w:sz w:val="21"/>
        </w:rPr>
        <w:t xml:space="preserve">, </w:t>
      </w:r>
      <w:r>
        <w:rPr>
          <w:rFonts w:ascii="Consolas" w:hAnsi="Consolas"/>
          <w:color w:val="146EF5"/>
          <w:sz w:val="21"/>
        </w:rPr>
        <w:t>to</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data: [...], page }</w:t>
      </w:r>
    </w:p>
    <w:p>
      <w:pPr>
        <w:spacing w:after="40"/>
        <w:ind w:left="173"/>
      </w:pPr>
      <w:r>
        <w:rPr>
          <w:rFonts w:ascii="Calibri" w:hAnsi="Calibri"/>
          <w:b/>
          <w:color w:val="0B1F3A"/>
          <w:sz w:val="21"/>
        </w:rPr>
        <w:t xml:space="preserve">Error responses  </w:t>
      </w:r>
      <w:r>
        <w:rPr>
          <w:rFonts w:ascii="Consolas" w:hAnsi="Consolas"/>
          <w:color w:val="146EF5"/>
          <w:sz w:val="21"/>
        </w:rPr>
        <w:t>403</w:t>
      </w:r>
    </w:p>
    <w:p>
      <w:pPr>
        <w:spacing w:after="40"/>
        <w:ind w:left="173"/>
      </w:pPr>
      <w:r>
        <w:rPr>
          <w:rFonts w:ascii="Calibri" w:hAnsi="Calibri"/>
          <w:b/>
          <w:color w:val="0B1F3A"/>
          <w:sz w:val="21"/>
        </w:rPr>
        <w:t xml:space="preserve">Validation rules  </w:t>
      </w:r>
      <w:r>
        <w:rPr>
          <w:rFonts w:ascii="Calibri" w:hAnsi="Calibri"/>
          <w:b w:val="0"/>
          <w:i w:val="0"/>
          <w:color w:val="101828"/>
          <w:sz w:val="21"/>
        </w:rPr>
        <w:t>Append-only; there is no write, update or delete endpoint anywhere in the admin API.</w:t>
      </w:r>
    </w:p>
    <w:p>
      <w:pPr>
        <w:pStyle w:val="Heading3"/>
      </w:pPr>
      <w:r>
        <w:rPr>
          <w:rFonts w:ascii="Calibri" w:hAnsi="Calibri"/>
          <w:b/>
          <w:i w:val="0"/>
          <w:color w:val="0B1F3A"/>
          <w:sz w:val="24"/>
        </w:rPr>
        <w:t>GET /api/admin/v1/reports/:type</w:t>
      </w:r>
    </w:p>
    <w:p>
      <w:pPr>
        <w:spacing w:after="40"/>
        <w:ind w:left="173"/>
      </w:pPr>
      <w:r>
        <w:rPr>
          <w:rFonts w:ascii="Calibri" w:hAnsi="Calibri"/>
          <w:b/>
          <w:color w:val="0B1F3A"/>
          <w:sz w:val="21"/>
        </w:rPr>
        <w:t xml:space="preserve">Purpose  </w:t>
      </w:r>
      <w:r>
        <w:rPr>
          <w:rFonts w:ascii="Calibri" w:hAnsi="Calibri"/>
          <w:b w:val="0"/>
          <w:i w:val="0"/>
          <w:color w:val="101828"/>
          <w:sz w:val="21"/>
        </w:rPr>
        <w:t>Operational and financial reports.</w:t>
      </w:r>
    </w:p>
    <w:p>
      <w:pPr>
        <w:spacing w:after="40"/>
        <w:ind w:left="173"/>
      </w:pPr>
      <w:r>
        <w:rPr>
          <w:rFonts w:ascii="Calibri" w:hAnsi="Calibri"/>
          <w:b/>
          <w:color w:val="0B1F3A"/>
          <w:sz w:val="21"/>
        </w:rPr>
        <w:t xml:space="preserve">Authentication  </w:t>
      </w:r>
      <w:r>
        <w:rPr>
          <w:rFonts w:ascii="Calibri" w:hAnsi="Calibri"/>
          <w:b w:val="0"/>
          <w:i w:val="0"/>
          <w:color w:val="101828"/>
          <w:sz w:val="21"/>
        </w:rPr>
        <w:t>Bearer + admin role</w:t>
      </w:r>
    </w:p>
    <w:p>
      <w:pPr>
        <w:spacing w:after="40"/>
        <w:ind w:left="173"/>
      </w:pPr>
      <w:r>
        <w:rPr>
          <w:rFonts w:ascii="Calibri" w:hAnsi="Calibri"/>
          <w:b/>
          <w:color w:val="0B1F3A"/>
          <w:sz w:val="21"/>
        </w:rPr>
        <w:t xml:space="preserve">Authorization  </w:t>
      </w:r>
      <w:r>
        <w:rPr>
          <w:rFonts w:ascii="Calibri" w:hAnsi="Calibri"/>
          <w:b w:val="0"/>
          <w:i w:val="0"/>
          <w:color w:val="101828"/>
          <w:sz w:val="21"/>
        </w:rPr>
        <w:t>Any admin role, filtered by report type.</w:t>
      </w:r>
    </w:p>
    <w:p>
      <w:pPr>
        <w:spacing w:after="40"/>
        <w:ind w:left="173"/>
      </w:pPr>
      <w:r>
        <w:rPr>
          <w:rFonts w:ascii="Calibri" w:hAnsi="Calibri"/>
          <w:b/>
          <w:color w:val="0B1F3A"/>
          <w:sz w:val="21"/>
        </w:rPr>
        <w:t xml:space="preserve">Request body  </w:t>
      </w:r>
      <w:r>
        <w:rPr>
          <w:rFonts w:ascii="Calibri" w:hAnsi="Calibri"/>
          <w:b w:val="0"/>
          <w:i w:val="0"/>
          <w:color w:val="101828"/>
          <w:sz w:val="21"/>
        </w:rPr>
        <w:t>None</w:t>
      </w:r>
    </w:p>
    <w:p>
      <w:pPr>
        <w:spacing w:after="40"/>
        <w:ind w:left="173"/>
      </w:pPr>
      <w:r>
        <w:rPr>
          <w:rFonts w:ascii="Calibri" w:hAnsi="Calibri"/>
          <w:b/>
          <w:color w:val="0B1F3A"/>
          <w:sz w:val="21"/>
        </w:rPr>
        <w:t xml:space="preserve">Path parameters  </w:t>
      </w:r>
      <w:r>
        <w:rPr>
          <w:rFonts w:ascii="Consolas" w:hAnsi="Consolas"/>
          <w:color w:val="146EF5"/>
          <w:sz w:val="21"/>
        </w:rPr>
        <w:t>type</w:t>
      </w:r>
      <w:r>
        <w:rPr>
          <w:rFonts w:ascii="Calibri" w:hAnsi="Calibri"/>
          <w:b w:val="0"/>
          <w:i w:val="0"/>
          <w:color w:val="101828"/>
          <w:sz w:val="21"/>
        </w:rPr>
        <w:t xml:space="preserve">, </w:t>
      </w:r>
      <w:r>
        <w:rPr>
          <w:rFonts w:ascii="Consolas" w:hAnsi="Consolas"/>
          <w:color w:val="146EF5"/>
          <w:sz w:val="21"/>
        </w:rPr>
        <w:t>from</w:t>
      </w:r>
      <w:r>
        <w:rPr>
          <w:rFonts w:ascii="Calibri" w:hAnsi="Calibri"/>
          <w:b w:val="0"/>
          <w:i w:val="0"/>
          <w:color w:val="101828"/>
          <w:sz w:val="21"/>
        </w:rPr>
        <w:t xml:space="preserve">, </w:t>
      </w:r>
      <w:r>
        <w:rPr>
          <w:rFonts w:ascii="Consolas" w:hAnsi="Consolas"/>
          <w:color w:val="146EF5"/>
          <w:sz w:val="21"/>
        </w:rPr>
        <w:t>to</w:t>
      </w:r>
      <w:r>
        <w:rPr>
          <w:rFonts w:ascii="Calibri" w:hAnsi="Calibri"/>
          <w:b w:val="0"/>
          <w:i w:val="0"/>
          <w:color w:val="101828"/>
          <w:sz w:val="21"/>
        </w:rPr>
        <w:t xml:space="preserve">, </w:t>
      </w:r>
      <w:r>
        <w:rPr>
          <w:rFonts w:ascii="Consolas" w:hAnsi="Consolas"/>
          <w:color w:val="146EF5"/>
          <w:sz w:val="21"/>
        </w:rPr>
        <w:t>format</w:t>
      </w:r>
    </w:p>
    <w:p>
      <w:pPr>
        <w:spacing w:after="40"/>
        <w:ind w:left="173"/>
      </w:pPr>
      <w:r>
        <w:rPr>
          <w:rFonts w:ascii="Calibri" w:hAnsi="Calibri"/>
          <w:b/>
          <w:color w:val="0B1F3A"/>
          <w:sz w:val="21"/>
        </w:rPr>
        <w:t xml:space="preserve">Query parameters  </w:t>
      </w:r>
      <w:r>
        <w:rPr>
          <w:rFonts w:ascii="Calibri" w:hAnsi="Calibri"/>
          <w:b w:val="0"/>
          <w:i w:val="0"/>
          <w:color w:val="101828"/>
          <w:sz w:val="21"/>
        </w:rPr>
        <w:t xml:space="preserve">None unless stated. List endpoints accept </w:t>
      </w:r>
      <w:r>
        <w:rPr>
          <w:rFonts w:ascii="Consolas" w:hAnsi="Consolas"/>
          <w:color w:val="146EF5"/>
          <w:sz w:val="21"/>
        </w:rPr>
        <w:t>cursor</w:t>
      </w:r>
      <w:r>
        <w:rPr>
          <w:rFonts w:ascii="Calibri" w:hAnsi="Calibri"/>
          <w:b w:val="0"/>
          <w:i w:val="0"/>
          <w:color w:val="101828"/>
          <w:sz w:val="21"/>
        </w:rPr>
        <w:t xml:space="preserve"> and </w:t>
      </w:r>
      <w:r>
        <w:rPr>
          <w:rFonts w:ascii="Consolas" w:hAnsi="Consolas"/>
          <w:color w:val="146EF5"/>
          <w:sz w:val="21"/>
        </w:rPr>
        <w:t>limit</w:t>
      </w:r>
      <w:r>
        <w:rPr>
          <w:rFonts w:ascii="Calibri" w:hAnsi="Calibri"/>
          <w:b w:val="0"/>
          <w:i w:val="0"/>
          <w:color w:val="101828"/>
          <w:sz w:val="21"/>
        </w:rPr>
        <w:t xml:space="preserve"> (default 25, max 100).</w:t>
      </w:r>
    </w:p>
    <w:p>
      <w:pPr>
        <w:spacing w:after="40"/>
        <w:ind w:left="173"/>
      </w:pPr>
      <w:r>
        <w:rPr>
          <w:rFonts w:ascii="Calibri" w:hAnsi="Calibri"/>
          <w:b/>
          <w:color w:val="0B1F3A"/>
          <w:sz w:val="21"/>
        </w:rPr>
        <w:t xml:space="preserve">Success response  </w:t>
      </w:r>
      <w:r>
        <w:rPr>
          <w:rFonts w:ascii="Consolas" w:hAnsi="Consolas"/>
          <w:color w:val="146EF5"/>
          <w:sz w:val="21"/>
        </w:rPr>
        <w:t>200</w:t>
      </w:r>
      <w:r>
        <w:rPr>
          <w:rFonts w:ascii="Calibri" w:hAnsi="Calibri"/>
          <w:b w:val="0"/>
          <w:i w:val="0"/>
          <w:color w:val="101828"/>
          <w:sz w:val="21"/>
        </w:rPr>
        <w:t xml:space="preserve"> </w:t>
      </w:r>
      <w:r>
        <w:rPr>
          <w:rFonts w:ascii="Consolas" w:hAnsi="Consolas"/>
          <w:color w:val="146EF5"/>
          <w:sz w:val="21"/>
        </w:rPr>
        <w:t>{ reportUrl, generatedAt, rowCount }</w:t>
      </w:r>
    </w:p>
    <w:p>
      <w:pPr>
        <w:spacing w:after="40"/>
        <w:ind w:left="173"/>
      </w:pPr>
      <w:r>
        <w:rPr>
          <w:rFonts w:ascii="Calibri" w:hAnsi="Calibri"/>
          <w:b/>
          <w:color w:val="0B1F3A"/>
          <w:sz w:val="21"/>
        </w:rPr>
        <w:t xml:space="preserve">Error responses  </w:t>
      </w:r>
      <w:r>
        <w:rPr>
          <w:rFonts w:ascii="Consolas" w:hAnsi="Consolas"/>
          <w:color w:val="146EF5"/>
          <w:sz w:val="21"/>
        </w:rPr>
        <w:t>403</w:t>
      </w:r>
      <w:r>
        <w:rPr>
          <w:rFonts w:ascii="Calibri" w:hAnsi="Calibri"/>
          <w:b w:val="0"/>
          <w:i w:val="0"/>
          <w:color w:val="101828"/>
          <w:sz w:val="21"/>
        </w:rPr>
        <w:t xml:space="preserve"> report type not permitted · </w:t>
      </w:r>
      <w:r>
        <w:rPr>
          <w:rFonts w:ascii="Consolas" w:hAnsi="Consolas"/>
          <w:color w:val="146EF5"/>
          <w:sz w:val="21"/>
        </w:rPr>
        <w:t>422</w:t>
      </w:r>
      <w:r>
        <w:rPr>
          <w:rFonts w:ascii="Calibri" w:hAnsi="Calibri"/>
          <w:b w:val="0"/>
          <w:i w:val="0"/>
          <w:color w:val="101828"/>
          <w:sz w:val="21"/>
        </w:rPr>
        <w:t xml:space="preserve"> invalid date range</w:t>
      </w:r>
    </w:p>
    <w:p>
      <w:pPr>
        <w:spacing w:after="40"/>
        <w:ind w:left="173"/>
      </w:pPr>
      <w:r>
        <w:rPr>
          <w:rFonts w:ascii="Calibri" w:hAnsi="Calibri"/>
          <w:b/>
          <w:color w:val="0B1F3A"/>
          <w:sz w:val="21"/>
        </w:rPr>
        <w:t xml:space="preserve">Validation rules  </w:t>
      </w:r>
      <w:r>
        <w:rPr>
          <w:rFonts w:ascii="Calibri" w:hAnsi="Calibri"/>
          <w:b w:val="0"/>
          <w:i w:val="0"/>
          <w:color w:val="101828"/>
          <w:sz w:val="21"/>
        </w:rPr>
        <w:t>Types: volume, fees, defaults, reconciliation, user-growth, payout-failure.</w:t>
      </w:r>
    </w:p>
    <w:p>
      <w:pPr>
        <w:pStyle w:val="Heading2"/>
      </w:pPr>
      <w:r>
        <w:rPr>
          <w:rFonts w:ascii="Calibri" w:hAnsi="Calibri"/>
          <w:b/>
          <w:i w:val="0"/>
          <w:color w:val="146EF5"/>
          <w:sz w:val="29"/>
        </w:rPr>
        <w:t>11.12 API security controls summary</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Control</w:t>
            </w:r>
          </w:p>
        </w:tc>
        <w:tc>
          <w:tcPr>
            <w:tcW w:type="dxa" w:w="6624"/>
            <w:shd w:val="clear" w:color="auto" w:fill="0B1F3A"/>
            <w:tcMar>
              <w:top w:w="60" w:type="dxa"/>
              <w:start w:w="110" w:type="dxa"/>
              <w:bottom w:w="60" w:type="dxa"/>
              <w:end w:w="110" w:type="dxa"/>
            </w:tcMar>
          </w:tcPr>
          <w:p>
            <w:pPr>
              <w:spacing w:after="0"/>
            </w:pPr>
            <w:r/>
            <w:r>
              <w:rPr>
                <w:rFonts w:ascii="Calibri" w:hAnsi="Calibri"/>
                <w:b/>
                <w:i w:val="0"/>
                <w:color w:val="FFFFFF"/>
                <w:sz w:val="16"/>
              </w:rPr>
              <w:t>Implementation</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Authentication</w:t>
            </w:r>
          </w:p>
        </w:tc>
        <w:tc>
          <w:tcPr>
            <w:tcW w:type="dxa" w:w="6624"/>
            <w:tcMar>
              <w:top w:w="60" w:type="dxa"/>
              <w:start w:w="110" w:type="dxa"/>
              <w:bottom w:w="60" w:type="dxa"/>
              <w:end w:w="110" w:type="dxa"/>
            </w:tcMar>
          </w:tcPr>
          <w:p>
            <w:pPr>
              <w:spacing w:after="0"/>
            </w:pPr>
            <w:r/>
            <w:r>
              <w:rPr>
                <w:rFonts w:ascii="Calibri" w:hAnsi="Calibri"/>
                <w:b w:val="0"/>
                <w:i w:val="0"/>
                <w:color w:val="101828"/>
                <w:sz w:val="16"/>
              </w:rPr>
              <w:t>Short-lived JWT access token, rotating opaque refresh token in an httpOnly cookie</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Token theft detection</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6"/>
              </w:rPr>
              <w:t>Refresh-token reuse revokes the entire family and notifies the member</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Authorization</w:t>
            </w:r>
          </w:p>
        </w:tc>
        <w:tc>
          <w:tcPr>
            <w:tcW w:type="dxa" w:w="6624"/>
            <w:tcMar>
              <w:top w:w="60" w:type="dxa"/>
              <w:start w:w="110" w:type="dxa"/>
              <w:bottom w:w="60" w:type="dxa"/>
              <w:end w:w="110" w:type="dxa"/>
            </w:tcMar>
          </w:tcPr>
          <w:p>
            <w:pPr>
              <w:spacing w:after="0"/>
            </w:pPr>
            <w:r/>
            <w:r>
              <w:rPr>
                <w:rFonts w:ascii="Calibri" w:hAnsi="Calibri"/>
                <w:b w:val="0"/>
                <w:i w:val="0"/>
                <w:color w:val="101828"/>
                <w:sz w:val="16"/>
              </w:rPr>
              <w:t>Role-based (section 12) plus PostgreSQL RLS as a second layer</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Object-level authorization</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Every resource query is scoped by membership; a </w:t>
            </w:r>
            <w:r>
              <w:rPr>
                <w:rFonts w:ascii="Consolas" w:hAnsi="Consolas"/>
                <w:color w:val="146EF5"/>
                <w:sz w:val="16"/>
              </w:rPr>
              <w:t>403</w:t>
            </w:r>
            <w:r>
              <w:rPr>
                <w:rFonts w:ascii="Calibri" w:hAnsi="Calibri"/>
                <w:b w:val="0"/>
                <w:i w:val="0"/>
                <w:color w:val="101828"/>
                <w:sz w:val="16"/>
              </w:rPr>
              <w:t xml:space="preserve"> and a </w:t>
            </w:r>
            <w:r>
              <w:rPr>
                <w:rFonts w:ascii="Consolas" w:hAnsi="Consolas"/>
                <w:color w:val="146EF5"/>
                <w:sz w:val="16"/>
              </w:rPr>
              <w:t>404</w:t>
            </w:r>
            <w:r>
              <w:rPr>
                <w:rFonts w:ascii="Calibri" w:hAnsi="Calibri"/>
                <w:b w:val="0"/>
                <w:i w:val="0"/>
                <w:color w:val="101828"/>
                <w:sz w:val="16"/>
              </w:rPr>
              <w:t xml:space="preserve"> are distinguished only where that does not leak existence</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Input validation</w:t>
            </w:r>
          </w:p>
        </w:tc>
        <w:tc>
          <w:tcPr>
            <w:tcW w:type="dxa" w:w="6624"/>
            <w:tcMar>
              <w:top w:w="60" w:type="dxa"/>
              <w:start w:w="110" w:type="dxa"/>
              <w:bottom w:w="60" w:type="dxa"/>
              <w:end w:w="110" w:type="dxa"/>
            </w:tcMar>
          </w:tcPr>
          <w:p>
            <w:pPr>
              <w:spacing w:after="0"/>
            </w:pPr>
            <w:r/>
            <w:r>
              <w:rPr>
                <w:rFonts w:ascii="Calibri" w:hAnsi="Calibri"/>
                <w:b w:val="0"/>
                <w:i w:val="0"/>
                <w:color w:val="101828"/>
                <w:sz w:val="16"/>
              </w:rPr>
              <w:t>Zod at the boundary. The database additionally enforces CHECK and FK constraints</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SQL injection</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6"/>
              </w:rPr>
              <w:t>Parameterised queries exclusively; string-built SQL is banned by lint rule</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Mass assignment</w:t>
            </w:r>
          </w:p>
        </w:tc>
        <w:tc>
          <w:tcPr>
            <w:tcW w:type="dxa" w:w="6624"/>
            <w:tcMar>
              <w:top w:w="60" w:type="dxa"/>
              <w:start w:w="110" w:type="dxa"/>
              <w:bottom w:w="60" w:type="dxa"/>
              <w:end w:w="110" w:type="dxa"/>
            </w:tcMar>
          </w:tcPr>
          <w:p>
            <w:pPr>
              <w:spacing w:after="0"/>
            </w:pPr>
            <w:r/>
            <w:r>
              <w:rPr>
                <w:rFonts w:ascii="Calibri" w:hAnsi="Calibri"/>
                <w:b w:val="0"/>
                <w:i w:val="0"/>
                <w:color w:val="101828"/>
                <w:sz w:val="16"/>
              </w:rPr>
              <w:t xml:space="preserve">Explicit allow-listed field maps. A </w:t>
            </w:r>
            <w:r>
              <w:rPr>
                <w:rFonts w:ascii="Consolas" w:hAnsi="Consolas"/>
                <w:color w:val="146EF5"/>
                <w:sz w:val="16"/>
              </w:rPr>
              <w:t>role</w:t>
            </w:r>
            <w:r>
              <w:rPr>
                <w:rFonts w:ascii="Calibri" w:hAnsi="Calibri"/>
                <w:b w:val="0"/>
                <w:i w:val="0"/>
                <w:color w:val="101828"/>
                <w:sz w:val="16"/>
              </w:rPr>
              <w:t xml:space="preserve"> or </w:t>
            </w:r>
            <w:r>
              <w:rPr>
                <w:rFonts w:ascii="Consolas" w:hAnsi="Consolas"/>
                <w:color w:val="146EF5"/>
                <w:sz w:val="16"/>
              </w:rPr>
              <w:t>status</w:t>
            </w:r>
            <w:r>
              <w:rPr>
                <w:rFonts w:ascii="Calibri" w:hAnsi="Calibri"/>
                <w:b w:val="0"/>
                <w:i w:val="0"/>
                <w:color w:val="101828"/>
                <w:sz w:val="16"/>
              </w:rPr>
              <w:t xml:space="preserve"> in a request body is never bound</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Rate limiting</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6"/>
              </w:rPr>
              <w:t>Per member and per identifier, not per IP (section 11.1.5)</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Idempotency</w:t>
            </w:r>
          </w:p>
        </w:tc>
        <w:tc>
          <w:tcPr>
            <w:tcW w:type="dxa" w:w="6624"/>
            <w:tcMar>
              <w:top w:w="60" w:type="dxa"/>
              <w:start w:w="110" w:type="dxa"/>
              <w:bottom w:w="60" w:type="dxa"/>
              <w:end w:w="110" w:type="dxa"/>
            </w:tcMar>
          </w:tcPr>
          <w:p>
            <w:pPr>
              <w:spacing w:after="0"/>
            </w:pPr>
            <w:r/>
            <w:r>
              <w:rPr>
                <w:rFonts w:ascii="Calibri" w:hAnsi="Calibri"/>
                <w:b w:val="0"/>
                <w:i w:val="0"/>
                <w:color w:val="101828"/>
                <w:sz w:val="16"/>
              </w:rPr>
              <w:t>Required header on every money-moving POST, with request-body hashing</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Webhook security</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6"/>
              </w:rPr>
              <w:t>HMAC over the raw body, constant-time comparison, timestamp tolerance window, replay protection via stored event IDs</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PII exposure</w:t>
            </w:r>
          </w:p>
        </w:tc>
        <w:tc>
          <w:tcPr>
            <w:tcW w:type="dxa" w:w="6624"/>
            <w:tcMar>
              <w:top w:w="60" w:type="dxa"/>
              <w:start w:w="110" w:type="dxa"/>
              <w:bottom w:w="60" w:type="dxa"/>
              <w:end w:w="110" w:type="dxa"/>
            </w:tcMar>
          </w:tcPr>
          <w:p>
            <w:pPr>
              <w:spacing w:after="0"/>
            </w:pPr>
            <w:r/>
            <w:r>
              <w:rPr>
                <w:rFonts w:ascii="Calibri" w:hAnsi="Calibri"/>
                <w:b w:val="0"/>
                <w:i w:val="0"/>
                <w:color w:val="101828"/>
                <w:sz w:val="16"/>
              </w:rPr>
              <w:t xml:space="preserve">Bank account numbers and BVN never returned to a client that lacks </w:t>
            </w:r>
            <w:r>
              <w:rPr>
                <w:rFonts w:ascii="Consolas" w:hAnsi="Consolas"/>
                <w:color w:val="146EF5"/>
                <w:sz w:val="16"/>
              </w:rPr>
              <w:t>pii.read</w:t>
            </w:r>
            <w:r>
              <w:rPr>
                <w:rFonts w:ascii="Calibri" w:hAnsi="Calibri"/>
                <w:b w:val="0"/>
                <w:i w:val="0"/>
                <w:color w:val="101828"/>
                <w:sz w:val="16"/>
              </w:rPr>
              <w:t>; masked in all logs</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Response hygiene</w:t>
            </w:r>
          </w:p>
        </w:tc>
        <w:tc>
          <w:tcPr>
            <w:tcW w:type="dxa" w:w="6624"/>
            <w:tcMar>
              <w:top w:w="60" w:type="dxa"/>
              <w:start w:w="110" w:type="dxa"/>
              <w:bottom w:w="60" w:type="dxa"/>
              <w:end w:w="110" w:type="dxa"/>
            </w:tcMar>
            <w:shd w:val="clear" w:color="auto" w:fill="F4F7FB"/>
          </w:tcPr>
          <w:p>
            <w:pPr>
              <w:spacing w:after="0"/>
            </w:pPr>
            <w:r/>
            <w:r>
              <w:rPr>
                <w:rFonts w:ascii="Consolas" w:hAnsi="Consolas"/>
                <w:color w:val="146EF5"/>
                <w:sz w:val="16"/>
              </w:rPr>
              <w:t>Cache-Control: no-store</w:t>
            </w:r>
            <w:r>
              <w:rPr>
                <w:rFonts w:ascii="Calibri" w:hAnsi="Calibri"/>
                <w:b w:val="0"/>
                <w:i w:val="0"/>
                <w:color w:val="101828"/>
                <w:sz w:val="16"/>
              </w:rPr>
              <w:t xml:space="preserve"> on every authenticated response containing financial data</w:t>
            </w:r>
          </w:p>
        </w:tc>
      </w:tr>
    </w:tbl>
    <w:p>
      <w:pPr>
        <w:spacing w:after="80"/>
      </w:pPr>
    </w:p>
    <w:p>
      <w:r>
        <w:br w:type="page"/>
      </w:r>
    </w:p>
    <w:p>
      <w:pPr>
        <w:pStyle w:val="Heading1"/>
        <w:pBdr>
          <w:bottom w:val="single" w:sz="12" w:space="6" w:color="146EF5"/>
        </w:pBdr>
        <w:spacing w:after="240"/>
      </w:pPr>
      <w:r>
        <w:rPr>
          <w:rFonts w:ascii="Calibri" w:hAnsi="Calibri"/>
          <w:b/>
          <w:i w:val="0"/>
          <w:color w:val="0B1F3A"/>
          <w:sz w:val="40"/>
        </w:rPr>
        <w:t>12. Authentication and Authorization</w:t>
      </w:r>
    </w:p>
    <w:p>
      <w:pPr>
        <w:spacing w:after="200"/>
      </w:pPr>
      <w:r>
        <w:rPr>
          <w:rFonts w:ascii="Calibri" w:hAnsi="Calibri"/>
          <w:b w:val="0"/>
          <w:i w:val="0"/>
          <w:color w:val="475467"/>
          <w:sz w:val="24"/>
        </w:rPr>
        <w:t>Authentication establishes who a member is. Authorization decides what they may do — and, critically, what they may not do to money that is not theirs. In AJO.ng the second question matters more than the first.</w:t>
      </w:r>
    </w:p>
    <w:p>
      <w:pPr>
        <w:pStyle w:val="Heading2"/>
      </w:pPr>
      <w:r>
        <w:rPr>
          <w:rFonts w:ascii="Calibri" w:hAnsi="Calibri"/>
          <w:b/>
          <w:i w:val="0"/>
          <w:color w:val="146EF5"/>
          <w:sz w:val="29"/>
        </w:rPr>
        <w:t>12.1 Principles</w:t>
      </w:r>
    </w:p>
    <w:p>
      <w:pPr>
        <w:pStyle w:val="ListNumber"/>
        <w:spacing w:after="60"/>
        <w:ind w:left="432"/>
      </w:pPr>
      <w:r>
        <w:rPr>
          <w:rFonts w:ascii="Calibri" w:hAnsi="Calibri"/>
          <w:b/>
          <w:color w:val="101828"/>
          <w:sz w:val="21"/>
        </w:rPr>
        <w:t>Deny by default.</w:t>
      </w:r>
      <w:r>
        <w:rPr>
          <w:rFonts w:ascii="Calibri" w:hAnsi="Calibri"/>
          <w:b w:val="0"/>
          <w:i w:val="0"/>
          <w:color w:val="101828"/>
          <w:sz w:val="21"/>
        </w:rPr>
        <w:t xml:space="preserve"> No endpoint is public unless explicitly listed. No role is implied by context.</w:t>
      </w:r>
    </w:p>
    <w:p>
      <w:pPr>
        <w:pStyle w:val="ListNumber"/>
        <w:spacing w:after="60"/>
        <w:ind w:left="432"/>
      </w:pPr>
      <w:r>
        <w:rPr>
          <w:rFonts w:ascii="Calibri" w:hAnsi="Calibri"/>
          <w:b/>
          <w:color w:val="101828"/>
          <w:sz w:val="21"/>
        </w:rPr>
        <w:t>Two independent layers.</w:t>
      </w:r>
      <w:r>
        <w:rPr>
          <w:rFonts w:ascii="Calibri" w:hAnsi="Calibri"/>
          <w:b w:val="0"/>
          <w:i w:val="0"/>
          <w:color w:val="101828"/>
          <w:sz w:val="21"/>
        </w:rPr>
        <w:t xml:space="preserve"> Application authorization plus PostgreSQL Row Level Security. A leaked API key must not be sufficient to read another member's records.</w:t>
      </w:r>
    </w:p>
    <w:p>
      <w:pPr>
        <w:pStyle w:val="ListNumber"/>
        <w:spacing w:after="60"/>
        <w:ind w:left="432"/>
      </w:pPr>
      <w:r>
        <w:rPr>
          <w:rFonts w:ascii="Calibri" w:hAnsi="Calibri"/>
          <w:b/>
          <w:color w:val="101828"/>
          <w:sz w:val="21"/>
        </w:rPr>
        <w:t>Least privilege, and time-bounded.</w:t>
      </w:r>
      <w:r>
        <w:rPr>
          <w:rFonts w:ascii="Calibri" w:hAnsi="Calibri"/>
          <w:b w:val="0"/>
          <w:i w:val="0"/>
          <w:color w:val="101828"/>
          <w:sz w:val="21"/>
        </w:rPr>
        <w:t xml:space="preserve"> Permissions are granted narrowly and revoked automatically (sessions, freezes, role changes).</w:t>
      </w:r>
    </w:p>
    <w:p>
      <w:pPr>
        <w:pStyle w:val="ListNumber"/>
        <w:spacing w:after="60"/>
        <w:ind w:left="432"/>
      </w:pPr>
      <w:r>
        <w:rPr>
          <w:rFonts w:ascii="Calibri" w:hAnsi="Calibri"/>
          <w:b/>
          <w:color w:val="101828"/>
          <w:sz w:val="21"/>
        </w:rPr>
        <w:t>Step-up for money.</w:t>
      </w:r>
      <w:r>
        <w:rPr>
          <w:rFonts w:ascii="Calibri" w:hAnsi="Calibri"/>
          <w:b w:val="0"/>
          <w:i w:val="0"/>
          <w:color w:val="101828"/>
          <w:sz w:val="21"/>
        </w:rPr>
        <w:t xml:space="preserve"> Disbursing, changing bank details, and resolving disputes require a fresh authentication, not a long-lived session.</w:t>
      </w:r>
    </w:p>
    <w:p>
      <w:pPr>
        <w:pStyle w:val="ListNumber"/>
        <w:spacing w:after="60"/>
        <w:ind w:left="432"/>
      </w:pPr>
      <w:r>
        <w:rPr>
          <w:rFonts w:ascii="Calibri" w:hAnsi="Calibri"/>
          <w:b/>
          <w:color w:val="101828"/>
          <w:sz w:val="21"/>
        </w:rPr>
        <w:t>Authorization is checked server-side on every request.</w:t>
      </w:r>
      <w:r>
        <w:rPr>
          <w:rFonts w:ascii="Calibri" w:hAnsi="Calibri"/>
          <w:b w:val="0"/>
          <w:i w:val="0"/>
          <w:color w:val="101828"/>
          <w:sz w:val="21"/>
        </w:rPr>
        <w:t xml:space="preserve"> Hiding a button in the UI is a design decision, never a security control.</w:t>
      </w:r>
    </w:p>
    <w:p>
      <w:pPr>
        <w:pStyle w:val="ListNumber"/>
        <w:spacing w:after="60"/>
        <w:ind w:left="432"/>
      </w:pPr>
      <w:r>
        <w:rPr>
          <w:rFonts w:ascii="Calibri" w:hAnsi="Calibri"/>
          <w:b/>
          <w:color w:val="101828"/>
          <w:sz w:val="21"/>
        </w:rPr>
        <w:t>Financial records are immutable for every role, including super admin.</w:t>
      </w:r>
      <w:r>
        <w:rPr>
          <w:rFonts w:ascii="Calibri" w:hAnsi="Calibri"/>
          <w:b w:val="0"/>
          <w:i w:val="0"/>
          <w:color w:val="101828"/>
          <w:sz w:val="21"/>
        </w:rPr>
        <w:t xml:space="preserve"> Corrections happen by reversing entry, never by update.</w:t>
      </w:r>
    </w:p>
    <w:p>
      <w:pPr>
        <w:pStyle w:val="Heading2"/>
      </w:pPr>
      <w:r>
        <w:rPr>
          <w:rFonts w:ascii="Calibri" w:hAnsi="Calibri"/>
          <w:b/>
          <w:i w:val="0"/>
          <w:color w:val="146EF5"/>
          <w:sz w:val="29"/>
        </w:rPr>
        <w:t>12.2 Account lifecycle</w:t>
      </w:r>
    </w:p>
    <w:p>
      <w:pPr>
        <w:spacing w:before="0" w:after="0" w:line="240" w:lineRule="auto"/>
        <w:ind w:left="230"/>
        <w:shd w:val="clear" w:color="auto" w:fill="F7F9FC"/>
        <w:pBdr>
          <w:left w:val="single" w:sz="4" w:space="6" w:color="D0D5DD"/>
        </w:pBdr>
      </w:pPr>
      <w:r>
        <w:rPr>
          <w:rFonts w:ascii="Consolas" w:hAnsi="Consolas"/>
          <w:color w:val="0B1F3A"/>
          <w:sz w:val="16"/>
        </w:rPr>
        <w:t xml:space="preserve">  registered ──email verified──▶ PENDING_VERIFICATION</w:t>
      </w:r>
    </w:p>
    <w:p>
      <w:pPr>
        <w:spacing w:before="0" w:after="0" w:line="240" w:lineRule="auto"/>
        <w:ind w:left="230"/>
        <w:shd w:val="clear" w:color="auto" w:fill="F7F9FC"/>
        <w:pBdr>
          <w:left w:val="single" w:sz="4" w:space="6" w:color="D0D5DD"/>
        </w:pBdr>
      </w:pPr>
      <w:r>
        <w:rPr>
          <w:rFonts w:ascii="Consolas" w:hAnsi="Consolas"/>
          <w:color w:val="0B1F3A"/>
          <w:sz w:val="16"/>
        </w:rPr>
        <w:t xml:space="preserve">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KYC submitted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PENDING ──KYC approved──▶ ACTIVE ──▶ ACTIVE</w:t>
      </w:r>
    </w:p>
    <w:p>
      <w:pPr>
        <w:spacing w:before="0" w:after="0" w:line="240" w:lineRule="auto"/>
        <w:ind w:left="230"/>
        <w:shd w:val="clear" w:color="auto" w:fill="F7F9FC"/>
        <w:pBdr>
          <w:left w:val="single" w:sz="4" w:space="6" w:color="D0D5DD"/>
        </w:pBdr>
      </w:pPr>
      <w:r>
        <w:rPr>
          <w:rFonts w:ascii="Consolas" w:hAnsi="Consolas"/>
          <w:color w:val="0B1F3A"/>
          <w:sz w:val="16"/>
        </w:rPr>
        <w:t xml:space="preserve">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 default recorded ──▶ RESTRICTED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risk decision ──▶ FROZEN (money-out blocked)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 member request / breach ──▶ SUSPENDED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 long inactivity ──▶ DORMANT ──▶ CLOSED (data retained)</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State</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May contribute</w:t>
            </w:r>
          </w:p>
        </w:tc>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May receive payout</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May join/create Ajo</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May withdraw</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PENDING_VERIFICATION</w:t>
            </w:r>
          </w:p>
        </w:tc>
        <w:tc>
          <w:tcPr>
            <w:tcW w:type="dxa" w:w="1584"/>
            <w:tcMar>
              <w:top w:w="60" w:type="dxa"/>
              <w:start w:w="110" w:type="dxa"/>
              <w:bottom w:w="60" w:type="dxa"/>
              <w:end w:w="110" w:type="dxa"/>
            </w:tcMar>
          </w:tcPr>
          <w:p>
            <w:pPr>
              <w:spacing w:after="0"/>
            </w:pPr>
            <w:r/>
            <w:r>
              <w:rPr>
                <w:rFonts w:ascii="Calibri" w:hAnsi="Calibri"/>
                <w:b w:val="0"/>
                <w:i w:val="0"/>
                <w:color w:val="101828"/>
                <w:sz w:val="16"/>
              </w:rPr>
              <w:t>No</w:t>
            </w:r>
          </w:p>
        </w:tc>
        <w:tc>
          <w:tcPr>
            <w:tcW w:type="dxa" w:w="1872"/>
            <w:tcMar>
              <w:top w:w="60" w:type="dxa"/>
              <w:start w:w="110" w:type="dxa"/>
              <w:bottom w:w="60" w:type="dxa"/>
              <w:end w:w="110" w:type="dxa"/>
            </w:tcMar>
          </w:tcPr>
          <w:p>
            <w:pPr>
              <w:spacing w:after="0"/>
            </w:pPr>
            <w:r/>
            <w:r>
              <w:rPr>
                <w:rFonts w:ascii="Calibri" w:hAnsi="Calibri"/>
                <w:b w:val="0"/>
                <w:i w:val="0"/>
                <w:color w:val="101828"/>
                <w:sz w:val="16"/>
              </w:rPr>
              <w:t>n/a</w:t>
            </w:r>
          </w:p>
        </w:tc>
        <w:tc>
          <w:tcPr>
            <w:tcW w:type="dxa" w:w="2016"/>
            <w:tcMar>
              <w:top w:w="60" w:type="dxa"/>
              <w:start w:w="110" w:type="dxa"/>
              <w:bottom w:w="60" w:type="dxa"/>
              <w:end w:w="110" w:type="dxa"/>
            </w:tcMar>
          </w:tcPr>
          <w:p>
            <w:pPr>
              <w:spacing w:after="0"/>
            </w:pPr>
            <w:r/>
            <w:r>
              <w:rPr>
                <w:rFonts w:ascii="Calibri" w:hAnsi="Calibri"/>
                <w:b w:val="0"/>
                <w:i w:val="0"/>
                <w:color w:val="101828"/>
                <w:sz w:val="16"/>
              </w:rPr>
              <w:t>No</w:t>
            </w:r>
          </w:p>
        </w:tc>
        <w:tc>
          <w:tcPr>
            <w:tcW w:type="dxa" w:w="1584"/>
            <w:tcMar>
              <w:top w:w="60" w:type="dxa"/>
              <w:start w:w="110" w:type="dxa"/>
              <w:bottom w:w="60" w:type="dxa"/>
              <w:end w:w="110" w:type="dxa"/>
            </w:tcMar>
          </w:tcPr>
          <w:p>
            <w:pPr>
              <w:spacing w:after="0"/>
            </w:pPr>
            <w:r/>
            <w:r>
              <w:rPr>
                <w:rFonts w:ascii="Calibri" w:hAnsi="Calibri"/>
                <w:b w:val="0"/>
                <w:i w:val="0"/>
                <w:color w:val="101828"/>
                <w:sz w:val="16"/>
              </w:rPr>
              <w:t>No</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ACTIVE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Yes</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Yes</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Yes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Yes</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RESTRICTED (in default)</w:t>
            </w:r>
          </w:p>
        </w:tc>
        <w:tc>
          <w:tcPr>
            <w:tcW w:type="dxa" w:w="1584"/>
            <w:tcMar>
              <w:top w:w="60" w:type="dxa"/>
              <w:start w:w="110" w:type="dxa"/>
              <w:bottom w:w="60" w:type="dxa"/>
              <w:end w:w="110" w:type="dxa"/>
            </w:tcMar>
          </w:tcPr>
          <w:p>
            <w:pPr>
              <w:spacing w:after="0"/>
            </w:pPr>
            <w:r/>
            <w:r>
              <w:rPr>
                <w:rFonts w:ascii="Calibri" w:hAnsi="Calibri"/>
                <w:b w:val="0"/>
                <w:i w:val="0"/>
                <w:color w:val="101828"/>
                <w:sz w:val="16"/>
              </w:rPr>
              <w:t>Yes, to cure the default</w:t>
            </w:r>
          </w:p>
        </w:tc>
        <w:tc>
          <w:tcPr>
            <w:tcW w:type="dxa" w:w="1872"/>
            <w:tcMar>
              <w:top w:w="60" w:type="dxa"/>
              <w:start w:w="110" w:type="dxa"/>
              <w:bottom w:w="60" w:type="dxa"/>
              <w:end w:w="110" w:type="dxa"/>
            </w:tcMar>
          </w:tcPr>
          <w:p>
            <w:pPr>
              <w:spacing w:after="0"/>
            </w:pPr>
            <w:r/>
            <w:r>
              <w:rPr>
                <w:rFonts w:ascii="Calibri" w:hAnsi="Calibri"/>
                <w:b w:val="0"/>
                <w:i w:val="0"/>
                <w:color w:val="101828"/>
                <w:sz w:val="16"/>
              </w:rPr>
              <w:t>Yes</w:t>
            </w:r>
          </w:p>
        </w:tc>
        <w:tc>
          <w:tcPr>
            <w:tcW w:type="dxa" w:w="2016"/>
            <w:tcMar>
              <w:top w:w="60" w:type="dxa"/>
              <w:start w:w="110" w:type="dxa"/>
              <w:bottom w:w="60" w:type="dxa"/>
              <w:end w:w="110" w:type="dxa"/>
            </w:tcMar>
          </w:tcPr>
          <w:p>
            <w:pPr>
              <w:spacing w:after="0"/>
            </w:pPr>
            <w:r/>
            <w:r>
              <w:rPr>
                <w:rFonts w:ascii="Calibri" w:hAnsi="Calibri"/>
                <w:b w:val="0"/>
                <w:i w:val="0"/>
                <w:color w:val="101828"/>
                <w:sz w:val="16"/>
              </w:rPr>
              <w:t>No new Ajos</w:t>
            </w:r>
          </w:p>
        </w:tc>
        <w:tc>
          <w:tcPr>
            <w:tcW w:type="dxa" w:w="1584"/>
            <w:tcMar>
              <w:top w:w="60" w:type="dxa"/>
              <w:start w:w="110" w:type="dxa"/>
              <w:bottom w:w="60" w:type="dxa"/>
              <w:end w:w="110" w:type="dxa"/>
            </w:tcMar>
          </w:tcPr>
          <w:p>
            <w:pPr>
              <w:spacing w:after="0"/>
            </w:pPr>
            <w:r/>
            <w:r>
              <w:rPr>
                <w:rFonts w:ascii="Calibri" w:hAnsi="Calibri"/>
                <w:b w:val="0"/>
                <w:i w:val="0"/>
                <w:color w:val="101828"/>
                <w:sz w:val="16"/>
              </w:rPr>
              <w:t>Limited — subject to freeze</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FROZEN (risk)</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No</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Yes — always</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No</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No</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SUSPENDED (breach)</w:t>
            </w:r>
          </w:p>
        </w:tc>
        <w:tc>
          <w:tcPr>
            <w:tcW w:type="dxa" w:w="1584"/>
            <w:tcMar>
              <w:top w:w="60" w:type="dxa"/>
              <w:start w:w="110" w:type="dxa"/>
              <w:bottom w:w="60" w:type="dxa"/>
              <w:end w:w="110" w:type="dxa"/>
            </w:tcMar>
          </w:tcPr>
          <w:p>
            <w:pPr>
              <w:spacing w:after="0"/>
            </w:pPr>
            <w:r/>
            <w:r>
              <w:rPr>
                <w:rFonts w:ascii="Calibri" w:hAnsi="Calibri"/>
                <w:b w:val="0"/>
                <w:i w:val="0"/>
                <w:color w:val="101828"/>
                <w:sz w:val="16"/>
              </w:rPr>
              <w:t>No</w:t>
            </w:r>
          </w:p>
        </w:tc>
        <w:tc>
          <w:tcPr>
            <w:tcW w:type="dxa" w:w="1872"/>
            <w:tcMar>
              <w:top w:w="60" w:type="dxa"/>
              <w:start w:w="110" w:type="dxa"/>
              <w:bottom w:w="60" w:type="dxa"/>
              <w:end w:w="110" w:type="dxa"/>
            </w:tcMar>
          </w:tcPr>
          <w:p>
            <w:pPr>
              <w:spacing w:after="0"/>
            </w:pPr>
            <w:r/>
            <w:r>
              <w:rPr>
                <w:rFonts w:ascii="Calibri" w:hAnsi="Calibri"/>
                <w:b w:val="0"/>
                <w:i w:val="0"/>
                <w:color w:val="101828"/>
                <w:sz w:val="16"/>
              </w:rPr>
              <w:t>Yes — after review</w:t>
            </w:r>
          </w:p>
        </w:tc>
        <w:tc>
          <w:tcPr>
            <w:tcW w:type="dxa" w:w="2016"/>
            <w:tcMar>
              <w:top w:w="60" w:type="dxa"/>
              <w:start w:w="110" w:type="dxa"/>
              <w:bottom w:w="60" w:type="dxa"/>
              <w:end w:w="110" w:type="dxa"/>
            </w:tcMar>
          </w:tcPr>
          <w:p>
            <w:pPr>
              <w:spacing w:after="0"/>
            </w:pPr>
            <w:r/>
            <w:r>
              <w:rPr>
                <w:rFonts w:ascii="Calibri" w:hAnsi="Calibri"/>
                <w:b w:val="0"/>
                <w:i w:val="0"/>
                <w:color w:val="101828"/>
                <w:sz w:val="16"/>
              </w:rPr>
              <w:t>No</w:t>
            </w:r>
          </w:p>
        </w:tc>
        <w:tc>
          <w:tcPr>
            <w:tcW w:type="dxa" w:w="1584"/>
            <w:tcMar>
              <w:top w:w="60" w:type="dxa"/>
              <w:start w:w="110" w:type="dxa"/>
              <w:bottom w:w="60" w:type="dxa"/>
              <w:end w:w="110" w:type="dxa"/>
            </w:tcMar>
          </w:tcPr>
          <w:p>
            <w:pPr>
              <w:spacing w:after="0"/>
            </w:pPr>
            <w:r/>
            <w:r>
              <w:rPr>
                <w:rFonts w:ascii="Calibri" w:hAnsi="Calibri"/>
                <w:b w:val="0"/>
                <w:i w:val="0"/>
                <w:color w:val="101828"/>
                <w:sz w:val="16"/>
              </w:rPr>
              <w:t>No</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DORMANT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No</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Yes — always</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No</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No</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CLOSED</w:t>
            </w:r>
          </w:p>
        </w:tc>
        <w:tc>
          <w:tcPr>
            <w:tcW w:type="dxa" w:w="1584"/>
            <w:tcMar>
              <w:top w:w="60" w:type="dxa"/>
              <w:start w:w="110" w:type="dxa"/>
              <w:bottom w:w="60" w:type="dxa"/>
              <w:end w:w="110" w:type="dxa"/>
            </w:tcMar>
          </w:tcPr>
          <w:p>
            <w:pPr>
              <w:spacing w:after="0"/>
            </w:pPr>
            <w:r/>
            <w:r>
              <w:rPr>
                <w:rFonts w:ascii="Calibri" w:hAnsi="Calibri"/>
                <w:b w:val="0"/>
                <w:i w:val="0"/>
                <w:color w:val="101828"/>
                <w:sz w:val="16"/>
              </w:rPr>
              <w:t>No</w:t>
            </w:r>
          </w:p>
        </w:tc>
        <w:tc>
          <w:tcPr>
            <w:tcW w:type="dxa" w:w="1872"/>
            <w:tcMar>
              <w:top w:w="60" w:type="dxa"/>
              <w:start w:w="110" w:type="dxa"/>
              <w:bottom w:w="60" w:type="dxa"/>
              <w:end w:w="110" w:type="dxa"/>
            </w:tcMar>
          </w:tcPr>
          <w:p>
            <w:pPr>
              <w:spacing w:after="0"/>
            </w:pPr>
            <w:r/>
            <w:r>
              <w:rPr>
                <w:rFonts w:ascii="Calibri" w:hAnsi="Calibri"/>
                <w:b w:val="0"/>
                <w:i w:val="0"/>
                <w:color w:val="101828"/>
                <w:sz w:val="16"/>
              </w:rPr>
              <w:t>Settled obligations only</w:t>
            </w:r>
          </w:p>
        </w:tc>
        <w:tc>
          <w:tcPr>
            <w:tcW w:type="dxa" w:w="2016"/>
            <w:tcMar>
              <w:top w:w="60" w:type="dxa"/>
              <w:start w:w="110" w:type="dxa"/>
              <w:bottom w:w="60" w:type="dxa"/>
              <w:end w:w="110" w:type="dxa"/>
            </w:tcMar>
          </w:tcPr>
          <w:p>
            <w:pPr>
              <w:spacing w:after="0"/>
            </w:pPr>
            <w:r/>
            <w:r>
              <w:rPr>
                <w:rFonts w:ascii="Calibri" w:hAnsi="Calibri"/>
                <w:b w:val="0"/>
                <w:i w:val="0"/>
                <w:color w:val="101828"/>
                <w:sz w:val="16"/>
              </w:rPr>
              <w:t>No</w:t>
            </w:r>
          </w:p>
        </w:tc>
        <w:tc>
          <w:tcPr>
            <w:tcW w:type="dxa" w:w="1584"/>
            <w:tcMar>
              <w:top w:w="60" w:type="dxa"/>
              <w:start w:w="110" w:type="dxa"/>
              <w:bottom w:w="60" w:type="dxa"/>
              <w:end w:w="110" w:type="dxa"/>
            </w:tcMar>
          </w:tcPr>
          <w:p>
            <w:pPr>
              <w:spacing w:after="0"/>
            </w:pPr>
            <w:r/>
            <w:r>
              <w:rPr>
                <w:rFonts w:ascii="Calibri" w:hAnsi="Calibri"/>
                <w:b w:val="0"/>
                <w:i w:val="0"/>
                <w:color w:val="101828"/>
                <w:sz w:val="16"/>
              </w:rPr>
              <w:t>No</w:t>
            </w:r>
          </w:p>
        </w:tc>
      </w:tr>
    </w:tbl>
    <w:p>
      <w:pPr>
        <w:spacing w:after="80"/>
      </w:pPr>
    </w:p>
    <w:p>
      <w:pPr>
        <w:spacing w:before="140" w:after="180"/>
        <w:ind w:left="144"/>
        <w:shd w:val="clear" w:color="auto" w:fill="FEF3C7"/>
        <w:pBdr>
          <w:left w:val="single" w:sz="18" w:space="6" w:color="FBBF24"/>
        </w:pBdr>
      </w:pPr>
      <w:r>
        <w:rPr>
          <w:rFonts w:ascii="Calibri" w:hAnsi="Calibri"/>
          <w:b/>
          <w:color w:val="FBBF24"/>
          <w:sz w:val="19"/>
        </w:rPr>
        <w:t xml:space="preserve">The rule that protects members:  </w:t>
      </w:r>
      <w:r>
        <w:rPr>
          <w:rFonts w:ascii="Calibri" w:hAnsi="Calibri"/>
          <w:b w:val="0"/>
          <w:i w:val="0"/>
          <w:color w:val="0B1F3A"/>
          <w:sz w:val="19"/>
        </w:rPr>
        <w:t xml:space="preserve">No state ever prevents a member from </w:t>
      </w:r>
      <w:r>
        <w:rPr>
          <w:rFonts w:ascii="Calibri" w:hAnsi="Calibri"/>
          <w:b/>
          <w:color w:val="0B1F3A"/>
          <w:sz w:val="19"/>
        </w:rPr>
        <w:t>receiving</w:t>
      </w:r>
      <w:r>
        <w:rPr>
          <w:rFonts w:ascii="Calibri" w:hAnsi="Calibri"/>
          <w:b w:val="0"/>
          <w:i w:val="0"/>
          <w:color w:val="0B1F3A"/>
          <w:sz w:val="19"/>
        </w:rPr>
        <w:t xml:space="preserve"> money already owed to them. A frozen, suspended or dormant member is always able to be paid out. A platform that can trap a member's own funds by freezing them has created a custody problem it does not have a licence to handle.</w:t>
      </w:r>
    </w:p>
    <w:p>
      <w:pPr>
        <w:pStyle w:val="Heading2"/>
      </w:pPr>
      <w:r>
        <w:rPr>
          <w:rFonts w:ascii="Calibri" w:hAnsi="Calibri"/>
          <w:b/>
          <w:i w:val="0"/>
          <w:color w:val="146EF5"/>
          <w:sz w:val="29"/>
        </w:rPr>
        <w:t>12.3 Registration</w:t>
      </w:r>
    </w:p>
    <w:p>
      <w:pPr>
        <w:pStyle w:val="ListNumber"/>
        <w:spacing w:after="60"/>
        <w:ind w:left="432"/>
      </w:pPr>
      <w:r>
        <w:rPr>
          <w:rFonts w:ascii="Calibri" w:hAnsi="Calibri"/>
          <w:b w:val="0"/>
          <w:i w:val="0"/>
          <w:color w:val="101828"/>
          <w:sz w:val="21"/>
        </w:rPr>
        <w:t>Member submits email, password, full name, Nigerian phone number.</w:t>
      </w:r>
    </w:p>
    <w:p>
      <w:pPr>
        <w:pStyle w:val="ListNumber"/>
        <w:spacing w:after="60"/>
        <w:ind w:left="432"/>
      </w:pPr>
      <w:r>
        <w:rPr>
          <w:rFonts w:ascii="Calibri" w:hAnsi="Calibri"/>
          <w:b w:val="0"/>
          <w:i w:val="0"/>
          <w:color w:val="101828"/>
          <w:sz w:val="21"/>
        </w:rPr>
        <w:t>Server normalises the phone to E.164 (+234…) and checks for an existing account with that phone or email.</w:t>
      </w:r>
    </w:p>
    <w:p>
      <w:pPr>
        <w:pStyle w:val="ListNumber"/>
        <w:spacing w:after="60"/>
        <w:ind w:left="432"/>
      </w:pPr>
      <w:r>
        <w:rPr>
          <w:rFonts w:ascii="Calibri" w:hAnsi="Calibri"/>
          <w:b w:val="0"/>
          <w:i w:val="0"/>
          <w:color w:val="101828"/>
          <w:sz w:val="21"/>
        </w:rPr>
        <w:t xml:space="preserve">Password is hashed with </w:t>
      </w:r>
      <w:r>
        <w:rPr>
          <w:rFonts w:ascii="Calibri" w:hAnsi="Calibri"/>
          <w:b/>
          <w:color w:val="101828"/>
          <w:sz w:val="21"/>
        </w:rPr>
        <w:t>Argon2id</w:t>
      </w:r>
      <w:r>
        <w:rPr>
          <w:rFonts w:ascii="Calibri" w:hAnsi="Calibri"/>
          <w:b w:val="0"/>
          <w:i w:val="0"/>
          <w:color w:val="101828"/>
          <w:sz w:val="21"/>
        </w:rPr>
        <w:t xml:space="preserve"> (see 14.1) before storage; the plaintext never touches a log.</w:t>
      </w:r>
    </w:p>
    <w:p>
      <w:pPr>
        <w:pStyle w:val="ListNumber"/>
        <w:spacing w:after="60"/>
        <w:ind w:left="432"/>
      </w:pPr>
      <w:r>
        <w:rPr>
          <w:rFonts w:ascii="Calibri" w:hAnsi="Calibri"/>
          <w:b w:val="0"/>
          <w:i w:val="0"/>
          <w:color w:val="101828"/>
          <w:sz w:val="21"/>
        </w:rPr>
        <w:t xml:space="preserve">A </w:t>
      </w:r>
      <w:r>
        <w:rPr>
          <w:rFonts w:ascii="Consolas" w:hAnsi="Consolas"/>
          <w:color w:val="146EF5"/>
          <w:sz w:val="21"/>
        </w:rPr>
        <w:t>users</w:t>
      </w:r>
      <w:r>
        <w:rPr>
          <w:rFonts w:ascii="Calibri" w:hAnsi="Calibri"/>
          <w:b w:val="0"/>
          <w:i w:val="0"/>
          <w:color w:val="101828"/>
          <w:sz w:val="21"/>
        </w:rPr>
        <w:t xml:space="preserve"> row is created </w:t>
      </w:r>
      <w:r>
        <w:rPr>
          <w:rFonts w:ascii="Consolas" w:hAnsi="Consolas"/>
          <w:color w:val="146EF5"/>
          <w:sz w:val="21"/>
        </w:rPr>
        <w:t>PENDING_VERIFICATION</w:t>
      </w:r>
      <w:r>
        <w:rPr>
          <w:rFonts w:ascii="Calibri" w:hAnsi="Calibri"/>
          <w:b w:val="0"/>
          <w:i w:val="0"/>
          <w:color w:val="101828"/>
          <w:sz w:val="21"/>
        </w:rPr>
        <w:t>. No Ajo may be created or joined in this state.</w:t>
      </w:r>
    </w:p>
    <w:p>
      <w:pPr>
        <w:pStyle w:val="ListNumber"/>
        <w:spacing w:after="60"/>
        <w:ind w:left="432"/>
      </w:pPr>
      <w:r>
        <w:rPr>
          <w:rFonts w:ascii="Calibri" w:hAnsi="Calibri"/>
          <w:b w:val="0"/>
          <w:i w:val="0"/>
          <w:color w:val="101828"/>
          <w:sz w:val="21"/>
        </w:rPr>
        <w:t>A verification token is generated, stored hashed, and emailed. 24-hour expiry, single use.</w:t>
      </w:r>
    </w:p>
    <w:p>
      <w:pPr>
        <w:pStyle w:val="ListNumber"/>
        <w:spacing w:after="60"/>
        <w:ind w:left="432"/>
      </w:pPr>
      <w:r>
        <w:rPr>
          <w:rFonts w:ascii="Consolas" w:hAnsi="Consolas"/>
          <w:color w:val="146EF5"/>
          <w:sz w:val="21"/>
        </w:rPr>
        <w:t>acceptedTerms</w:t>
      </w:r>
      <w:r>
        <w:rPr>
          <w:rFonts w:ascii="Calibri" w:hAnsi="Calibri"/>
          <w:b w:val="0"/>
          <w:i w:val="0"/>
          <w:color w:val="101828"/>
          <w:sz w:val="21"/>
        </w:rPr>
        <w:t xml:space="preserve"> and </w:t>
      </w:r>
      <w:r>
        <w:rPr>
          <w:rFonts w:ascii="Consolas" w:hAnsi="Consolas"/>
          <w:color w:val="146EF5"/>
          <w:sz w:val="21"/>
        </w:rPr>
        <w:t>acceptedPrivacy</w:t>
      </w:r>
      <w:r>
        <w:rPr>
          <w:rFonts w:ascii="Calibri" w:hAnsi="Calibri"/>
          <w:b w:val="0"/>
          <w:i w:val="0"/>
          <w:color w:val="101828"/>
          <w:sz w:val="21"/>
        </w:rPr>
        <w:t xml:space="preserve"> must be explicitly true. Both the boolean and a timestamp are written to </w:t>
      </w:r>
      <w:r>
        <w:rPr>
          <w:rFonts w:ascii="Consolas" w:hAnsi="Consolas"/>
          <w:color w:val="146EF5"/>
          <w:sz w:val="21"/>
        </w:rPr>
        <w:t>audit_logs</w:t>
      </w:r>
      <w:r>
        <w:rPr>
          <w:rFonts w:ascii="Calibri" w:hAnsi="Calibri"/>
          <w:b w:val="0"/>
          <w:i w:val="0"/>
          <w:color w:val="101828"/>
          <w:sz w:val="21"/>
        </w:rPr>
        <w:t xml:space="preserve"> as consent evidence, together with the document version.</w:t>
      </w:r>
    </w:p>
    <w:p>
      <w:pPr>
        <w:pStyle w:val="ListNumber"/>
        <w:spacing w:after="60"/>
        <w:ind w:left="432"/>
      </w:pPr>
      <w:r>
        <w:rPr>
          <w:rFonts w:ascii="Calibri" w:hAnsi="Calibri"/>
          <w:b w:val="0"/>
          <w:i w:val="0"/>
          <w:color w:val="101828"/>
          <w:sz w:val="21"/>
        </w:rPr>
        <w:t>An optional referral or invitation code may be attached, allowing registration to be pre-filled from an invitation link.</w:t>
      </w:r>
    </w:p>
    <w:p>
      <w:pPr>
        <w:pStyle w:val="Heading2"/>
      </w:pPr>
      <w:r>
        <w:rPr>
          <w:rFonts w:ascii="Calibri" w:hAnsi="Calibri"/>
          <w:b/>
          <w:i w:val="0"/>
          <w:color w:val="146EF5"/>
          <w:sz w:val="29"/>
        </w:rPr>
        <w:t>12.4 Login and session management</w:t>
      </w:r>
    </w:p>
    <w:p>
      <w:pPr>
        <w:pStyle w:val="Heading3"/>
      </w:pPr>
      <w:r>
        <w:rPr>
          <w:rFonts w:ascii="Calibri" w:hAnsi="Calibri"/>
          <w:b/>
          <w:i w:val="0"/>
          <w:color w:val="0B1F3A"/>
          <w:sz w:val="24"/>
        </w:rPr>
        <w:t>12.4.1 Token architecture</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Token</w:t>
            </w:r>
          </w:p>
        </w:tc>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Format</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Lifetime</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Storage</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Renewal</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Access token</w:t>
            </w:r>
          </w:p>
        </w:tc>
        <w:tc>
          <w:tcPr>
            <w:tcW w:type="dxa" w:w="1872"/>
            <w:tcMar>
              <w:top w:w="60" w:type="dxa"/>
              <w:start w:w="110" w:type="dxa"/>
              <w:bottom w:w="60" w:type="dxa"/>
              <w:end w:w="110" w:type="dxa"/>
            </w:tcMar>
          </w:tcPr>
          <w:p>
            <w:pPr>
              <w:spacing w:after="0"/>
            </w:pPr>
            <w:r/>
            <w:r>
              <w:rPr>
                <w:rFonts w:ascii="Calibri" w:hAnsi="Calibri"/>
                <w:b w:val="0"/>
                <w:i w:val="0"/>
                <w:color w:val="101828"/>
                <w:sz w:val="16"/>
              </w:rPr>
              <w:t>JWT (EdDSA/Ed25519)</w:t>
            </w:r>
          </w:p>
        </w:tc>
        <w:tc>
          <w:tcPr>
            <w:tcW w:type="dxa" w:w="1296"/>
            <w:tcMar>
              <w:top w:w="60" w:type="dxa"/>
              <w:start w:w="110" w:type="dxa"/>
              <w:bottom w:w="60" w:type="dxa"/>
              <w:end w:w="110" w:type="dxa"/>
            </w:tcMar>
          </w:tcPr>
          <w:p>
            <w:pPr>
              <w:spacing w:after="0"/>
            </w:pPr>
            <w:r/>
            <w:r>
              <w:rPr>
                <w:rFonts w:ascii="Calibri" w:hAnsi="Calibri"/>
                <w:b w:val="0"/>
                <w:i w:val="0"/>
                <w:color w:val="101828"/>
                <w:sz w:val="16"/>
              </w:rPr>
              <w:t>15 min</w:t>
            </w:r>
          </w:p>
        </w:tc>
        <w:tc>
          <w:tcPr>
            <w:tcW w:type="dxa" w:w="2448"/>
            <w:tcMar>
              <w:top w:w="60" w:type="dxa"/>
              <w:start w:w="110" w:type="dxa"/>
              <w:bottom w:w="60" w:type="dxa"/>
              <w:end w:w="110" w:type="dxa"/>
            </w:tcMar>
          </w:tcPr>
          <w:p>
            <w:pPr>
              <w:spacing w:after="0"/>
            </w:pPr>
            <w:r/>
            <w:r>
              <w:rPr>
                <w:rFonts w:ascii="Calibri" w:hAnsi="Calibri"/>
                <w:b w:val="0"/>
                <w:i w:val="0"/>
                <w:color w:val="101828"/>
                <w:sz w:val="16"/>
              </w:rPr>
              <w:t>Memory only, never localStorage</w:t>
            </w:r>
          </w:p>
        </w:tc>
        <w:tc>
          <w:tcPr>
            <w:tcW w:type="dxa" w:w="2016"/>
            <w:tcMar>
              <w:top w:w="60" w:type="dxa"/>
              <w:start w:w="110" w:type="dxa"/>
              <w:bottom w:w="60" w:type="dxa"/>
              <w:end w:w="110" w:type="dxa"/>
            </w:tcMar>
          </w:tcPr>
          <w:p>
            <w:pPr>
              <w:spacing w:after="0"/>
            </w:pPr>
            <w:r/>
            <w:r>
              <w:rPr>
                <w:rFonts w:ascii="Calibri" w:hAnsi="Calibri"/>
                <w:b w:val="0"/>
                <w:i w:val="0"/>
                <w:color w:val="101828"/>
                <w:sz w:val="16"/>
              </w:rPr>
              <w:t>Refresh call</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Refresh token</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Opaque random 256-bit</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30 days</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httpOnly, Secure, SameSite=Strict cookie</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Rotated on every use</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Device token</w:t>
            </w:r>
          </w:p>
        </w:tc>
        <w:tc>
          <w:tcPr>
            <w:tcW w:type="dxa" w:w="1872"/>
            <w:tcMar>
              <w:top w:w="60" w:type="dxa"/>
              <w:start w:w="110" w:type="dxa"/>
              <w:bottom w:w="60" w:type="dxa"/>
              <w:end w:w="110" w:type="dxa"/>
            </w:tcMar>
          </w:tcPr>
          <w:p>
            <w:pPr>
              <w:spacing w:after="0"/>
            </w:pPr>
            <w:r/>
            <w:r>
              <w:rPr>
                <w:rFonts w:ascii="Calibri" w:hAnsi="Calibri"/>
                <w:b w:val="0"/>
                <w:i w:val="0"/>
                <w:color w:val="101828"/>
                <w:sz w:val="16"/>
              </w:rPr>
              <w:t>Opaque</w:t>
            </w:r>
          </w:p>
        </w:tc>
        <w:tc>
          <w:tcPr>
            <w:tcW w:type="dxa" w:w="1296"/>
            <w:tcMar>
              <w:top w:w="60" w:type="dxa"/>
              <w:start w:w="110" w:type="dxa"/>
              <w:bottom w:w="60" w:type="dxa"/>
              <w:end w:w="110" w:type="dxa"/>
            </w:tcMar>
          </w:tcPr>
          <w:p>
            <w:pPr>
              <w:spacing w:after="0"/>
            </w:pPr>
            <w:r/>
            <w:r>
              <w:rPr>
                <w:rFonts w:ascii="Calibri" w:hAnsi="Calibri"/>
                <w:b w:val="0"/>
                <w:i w:val="0"/>
                <w:color w:val="101828"/>
                <w:sz w:val="16"/>
              </w:rPr>
              <w:t>Until revoked</w:t>
            </w:r>
          </w:p>
        </w:tc>
        <w:tc>
          <w:tcPr>
            <w:tcW w:type="dxa" w:w="2448"/>
            <w:tcMar>
              <w:top w:w="60" w:type="dxa"/>
              <w:start w:w="110" w:type="dxa"/>
              <w:bottom w:w="60" w:type="dxa"/>
              <w:end w:w="110" w:type="dxa"/>
            </w:tcMar>
          </w:tcPr>
          <w:p>
            <w:pPr>
              <w:spacing w:after="0"/>
            </w:pPr>
            <w:r/>
            <w:r>
              <w:rPr>
                <w:rFonts w:ascii="Calibri" w:hAnsi="Calibri"/>
                <w:b w:val="0"/>
                <w:i w:val="0"/>
                <w:color w:val="101828"/>
                <w:sz w:val="16"/>
              </w:rPr>
              <w:t>Secure storage (Keychain / EncryptedSharedPreferences)</w:t>
            </w:r>
          </w:p>
        </w:tc>
        <w:tc>
          <w:tcPr>
            <w:tcW w:type="dxa" w:w="2016"/>
            <w:tcMar>
              <w:top w:w="60" w:type="dxa"/>
              <w:start w:w="110" w:type="dxa"/>
              <w:bottom w:w="60" w:type="dxa"/>
              <w:end w:w="110" w:type="dxa"/>
            </w:tcMar>
          </w:tcPr>
          <w:p>
            <w:pPr>
              <w:spacing w:after="0"/>
            </w:pPr>
            <w:r/>
            <w:r>
              <w:rPr>
                <w:rFonts w:ascii="Calibri" w:hAnsi="Calibri"/>
                <w:b w:val="0"/>
                <w:i w:val="0"/>
                <w:color w:val="101828"/>
                <w:sz w:val="16"/>
              </w:rPr>
              <w:t>Not renewable</w:t>
            </w:r>
          </w:p>
        </w:tc>
      </w:tr>
    </w:tbl>
    <w:p>
      <w:pPr>
        <w:spacing w:after="80"/>
      </w:pPr>
    </w:p>
    <w:p>
      <w:r>
        <w:rPr>
          <w:rFonts w:ascii="Calibri" w:hAnsi="Calibri"/>
          <w:b w:val="0"/>
          <w:i w:val="0"/>
          <w:color w:val="101828"/>
          <w:sz w:val="21"/>
        </w:rPr>
        <w:t>Ed25519 is preferred over RS256 for mobile because signature verification is fast on low-end Android hardware, which is a meaningful share of the target market.</w:t>
      </w:r>
    </w:p>
    <w:p>
      <w:pPr>
        <w:pStyle w:val="Heading3"/>
      </w:pPr>
      <w:r>
        <w:rPr>
          <w:rFonts w:ascii="Calibri" w:hAnsi="Calibri"/>
          <w:b/>
          <w:i w:val="0"/>
          <w:color w:val="0B1F3A"/>
          <w:sz w:val="24"/>
        </w:rPr>
        <w:t>12.4.2 Refresh rotation and theft detection</w:t>
      </w:r>
    </w:p>
    <w:p>
      <w:pPr>
        <w:pStyle w:val="ListBullet"/>
        <w:spacing w:after="60"/>
        <w:ind w:left="360"/>
      </w:pPr>
      <w:r>
        <w:rPr>
          <w:rFonts w:ascii="Calibri" w:hAnsi="Calibri"/>
          <w:b w:val="0"/>
          <w:i w:val="0"/>
          <w:color w:val="101828"/>
          <w:sz w:val="21"/>
        </w:rPr>
        <w:t xml:space="preserve">Each refresh token belongs to a </w:t>
      </w:r>
      <w:r>
        <w:rPr>
          <w:rFonts w:ascii="Calibri" w:hAnsi="Calibri"/>
          <w:b/>
          <w:color w:val="101828"/>
          <w:sz w:val="21"/>
        </w:rPr>
        <w:t>family</w:t>
      </w:r>
      <w:r>
        <w:rPr>
          <w:rFonts w:ascii="Calibri" w:hAnsi="Calibri"/>
          <w:b w:val="0"/>
          <w:i w:val="0"/>
          <w:color w:val="101828"/>
          <w:sz w:val="21"/>
        </w:rPr>
        <w:t>. Using a token rotates it and issues a successor in the same family.</w:t>
      </w:r>
    </w:p>
    <w:p>
      <w:pPr>
        <w:pStyle w:val="ListBullet"/>
        <w:spacing w:after="60"/>
        <w:ind w:left="360"/>
      </w:pPr>
      <w:r>
        <w:rPr>
          <w:rFonts w:ascii="Calibri" w:hAnsi="Calibri"/>
          <w:b w:val="0"/>
          <w:i w:val="0"/>
          <w:color w:val="101828"/>
          <w:sz w:val="21"/>
        </w:rPr>
        <w:t xml:space="preserve">Presenting an already-rotated token means the token was copied — a real device and an attacker now hold the same lineage. The entire family is revoked immediately, all sessions for that member are invalidated, and </w:t>
      </w:r>
      <w:r>
        <w:rPr>
          <w:rFonts w:ascii="Consolas" w:hAnsi="Consolas"/>
          <w:color w:val="146EF5"/>
          <w:sz w:val="21"/>
        </w:rPr>
        <w:t>security.suspicious_token_reuse</w:t>
      </w:r>
      <w:r>
        <w:rPr>
          <w:rFonts w:ascii="Calibri" w:hAnsi="Calibri"/>
          <w:b w:val="0"/>
          <w:i w:val="0"/>
          <w:color w:val="101828"/>
          <w:sz w:val="21"/>
        </w:rPr>
        <w:t xml:space="preserve"> is sent to every registered contact.</w:t>
      </w:r>
    </w:p>
    <w:p>
      <w:pPr>
        <w:pStyle w:val="ListBullet"/>
        <w:spacing w:after="60"/>
        <w:ind w:left="360"/>
      </w:pPr>
      <w:r>
        <w:rPr>
          <w:rFonts w:ascii="Calibri" w:hAnsi="Calibri"/>
          <w:b w:val="0"/>
          <w:i w:val="0"/>
          <w:color w:val="101828"/>
          <w:sz w:val="21"/>
        </w:rPr>
        <w:t>This is the standard, well-proven control against refresh-token theft and is preferred over a longer-lived non-rotating token, which is simpler but far more damaging to leak.</w:t>
      </w:r>
    </w:p>
    <w:p>
      <w:pPr>
        <w:pStyle w:val="Heading3"/>
      </w:pPr>
      <w:r>
        <w:rPr>
          <w:rFonts w:ascii="Calibri" w:hAnsi="Calibri"/>
          <w:b/>
          <w:i w:val="0"/>
          <w:color w:val="0B1F3A"/>
          <w:sz w:val="24"/>
        </w:rPr>
        <w:t>12.4.3 Session controls</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Control</w:t>
            </w:r>
          </w:p>
        </w:tc>
        <w:tc>
          <w:tcPr>
            <w:tcW w:type="dxa" w:w="6912"/>
            <w:shd w:val="clear" w:color="auto" w:fill="0B1F3A"/>
            <w:tcMar>
              <w:top w:w="60" w:type="dxa"/>
              <w:start w:w="110" w:type="dxa"/>
              <w:bottom w:w="60" w:type="dxa"/>
              <w:end w:w="110" w:type="dxa"/>
            </w:tcMar>
          </w:tcPr>
          <w:p>
            <w:pPr>
              <w:spacing w:after="0"/>
            </w:pPr>
            <w:r/>
            <w:r>
              <w:rPr>
                <w:rFonts w:ascii="Calibri" w:hAnsi="Calibri"/>
                <w:b/>
                <w:i w:val="0"/>
                <w:color w:val="FFFFFF"/>
                <w:sz w:val="16"/>
              </w:rPr>
              <w:t>Behaviour</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Device management</w:t>
            </w:r>
          </w:p>
        </w:tc>
        <w:tc>
          <w:tcPr>
            <w:tcW w:type="dxa" w:w="6912"/>
            <w:tcMar>
              <w:top w:w="60" w:type="dxa"/>
              <w:start w:w="110" w:type="dxa"/>
              <w:bottom w:w="60" w:type="dxa"/>
              <w:end w:w="110" w:type="dxa"/>
            </w:tcMar>
          </w:tcPr>
          <w:p>
            <w:pPr>
              <w:spacing w:after="0"/>
            </w:pPr>
            <w:r/>
            <w:r>
              <w:rPr>
                <w:rFonts w:ascii="Calibri" w:hAnsi="Calibri"/>
                <w:b w:val="0"/>
                <w:i w:val="0"/>
                <w:color w:val="101828"/>
                <w:sz w:val="16"/>
              </w:rPr>
              <w:t>A member sees every active device and can revoke any of them. Revoking the current device logs it out</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Concurrent sessions</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Default cap of 5 active sessions; the oldest is evicted on exceeding it</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Idle timeout</w:t>
            </w:r>
          </w:p>
        </w:tc>
        <w:tc>
          <w:tcPr>
            <w:tcW w:type="dxa" w:w="6912"/>
            <w:tcMar>
              <w:top w:w="60" w:type="dxa"/>
              <w:start w:w="110" w:type="dxa"/>
              <w:bottom w:w="60" w:type="dxa"/>
              <w:end w:w="110" w:type="dxa"/>
            </w:tcMar>
          </w:tcPr>
          <w:p>
            <w:pPr>
              <w:spacing w:after="0"/>
            </w:pPr>
            <w:r/>
            <w:r>
              <w:rPr>
                <w:rFonts w:ascii="Calibri" w:hAnsi="Calibri"/>
                <w:b w:val="0"/>
                <w:i w:val="0"/>
                <w:color w:val="101828"/>
                <w:sz w:val="16"/>
              </w:rPr>
              <w:t>14 days without activity requires re-authentication</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Absolute timeout</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90 days maximum session age regardless of activity</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New device alert</w:t>
            </w:r>
          </w:p>
        </w:tc>
        <w:tc>
          <w:tcPr>
            <w:tcW w:type="dxa" w:w="6912"/>
            <w:tcMar>
              <w:top w:w="60" w:type="dxa"/>
              <w:start w:w="110" w:type="dxa"/>
              <w:bottom w:w="60" w:type="dxa"/>
              <w:end w:w="110" w:type="dxa"/>
            </w:tcMar>
          </w:tcPr>
          <w:p>
            <w:pPr>
              <w:spacing w:after="0"/>
            </w:pPr>
            <w:r/>
            <w:r>
              <w:rPr>
                <w:rFonts w:ascii="Calibri" w:hAnsi="Calibri"/>
                <w:b w:val="0"/>
                <w:i w:val="0"/>
                <w:color w:val="101828"/>
                <w:sz w:val="16"/>
              </w:rPr>
              <w:t xml:space="preserve">A login from an unrecognised device triggers </w:t>
            </w:r>
            <w:r>
              <w:rPr>
                <w:rFonts w:ascii="Consolas" w:hAnsi="Consolas"/>
                <w:color w:val="146EF5"/>
                <w:sz w:val="16"/>
              </w:rPr>
              <w:t>security.login_new_device</w:t>
            </w:r>
            <w:r>
              <w:rPr>
                <w:rFonts w:ascii="Calibri" w:hAnsi="Calibri"/>
                <w:b w:val="0"/>
                <w:i w:val="0"/>
                <w:color w:val="101828"/>
                <w:sz w:val="16"/>
              </w:rPr>
              <w:t xml:space="preserve"> by push and email, showing device, location and time</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Server-side revocation</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Freeze, suspension, password change, and confirmed token theft all revoke server-side immediately — a stolen access token dies within its 15-minute life at the latest</w:t>
            </w:r>
          </w:p>
        </w:tc>
      </w:tr>
    </w:tbl>
    <w:p>
      <w:pPr>
        <w:spacing w:after="80"/>
      </w:pPr>
    </w:p>
    <w:p>
      <w:pPr>
        <w:pStyle w:val="Heading2"/>
      </w:pPr>
      <w:r>
        <w:rPr>
          <w:rFonts w:ascii="Calibri" w:hAnsi="Calibri"/>
          <w:b/>
          <w:i w:val="0"/>
          <w:color w:val="146EF5"/>
          <w:sz w:val="29"/>
        </w:rPr>
        <w:t>12.5 Multi-factor authentication</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Factor</w:t>
            </w:r>
          </w:p>
        </w:tc>
        <w:tc>
          <w:tcPr>
            <w:tcW w:type="dxa" w:w="3744"/>
            <w:shd w:val="clear" w:color="auto" w:fill="0B1F3A"/>
            <w:tcMar>
              <w:top w:w="60" w:type="dxa"/>
              <w:start w:w="110" w:type="dxa"/>
              <w:bottom w:w="60" w:type="dxa"/>
              <w:end w:w="110" w:type="dxa"/>
            </w:tcMar>
          </w:tcPr>
          <w:p>
            <w:pPr>
              <w:spacing w:after="0"/>
            </w:pPr>
            <w:r/>
            <w:r>
              <w:rPr>
                <w:rFonts w:ascii="Calibri" w:hAnsi="Calibri"/>
                <w:b/>
                <w:i w:val="0"/>
                <w:color w:val="FFFFFF"/>
                <w:sz w:val="16"/>
              </w:rPr>
              <w:t>When required</w:t>
            </w:r>
          </w:p>
        </w:tc>
        <w:tc>
          <w:tcPr>
            <w:tcW w:type="dxa" w:w="3600"/>
            <w:shd w:val="clear" w:color="auto" w:fill="0B1F3A"/>
            <w:tcMar>
              <w:top w:w="60" w:type="dxa"/>
              <w:start w:w="110" w:type="dxa"/>
              <w:bottom w:w="60" w:type="dxa"/>
              <w:end w:w="110" w:type="dxa"/>
            </w:tcMar>
          </w:tcPr>
          <w:p>
            <w:pPr>
              <w:spacing w:after="0"/>
            </w:pPr>
            <w:r/>
            <w:r>
              <w:rPr>
                <w:rFonts w:ascii="Calibri" w:hAnsi="Calibri"/>
                <w:b/>
                <w:i w:val="0"/>
                <w:color w:val="FFFFFF"/>
                <w:sz w:val="16"/>
              </w:rPr>
              <w:t>Fallback</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Email OTP</w:t>
            </w:r>
          </w:p>
        </w:tc>
        <w:tc>
          <w:tcPr>
            <w:tcW w:type="dxa" w:w="3744"/>
            <w:tcMar>
              <w:top w:w="60" w:type="dxa"/>
              <w:start w:w="110" w:type="dxa"/>
              <w:bottom w:w="60" w:type="dxa"/>
              <w:end w:w="110" w:type="dxa"/>
            </w:tcMar>
          </w:tcPr>
          <w:p>
            <w:pPr>
              <w:spacing w:after="0"/>
            </w:pPr>
            <w:r/>
            <w:r>
              <w:rPr>
                <w:rFonts w:ascii="Calibri" w:hAnsi="Calibri"/>
                <w:b w:val="0"/>
                <w:i w:val="0"/>
                <w:color w:val="101828"/>
                <w:sz w:val="16"/>
              </w:rPr>
              <w:t>Registration, email change, password reset</w:t>
            </w:r>
          </w:p>
        </w:tc>
        <w:tc>
          <w:tcPr>
            <w:tcW w:type="dxa" w:w="3600"/>
            <w:tcMar>
              <w:top w:w="60" w:type="dxa"/>
              <w:start w:w="110" w:type="dxa"/>
              <w:bottom w:w="60" w:type="dxa"/>
              <w:end w:w="110" w:type="dxa"/>
            </w:tcMar>
          </w:tcPr>
          <w:p>
            <w:pPr>
              <w:spacing w:after="0"/>
            </w:pPr>
            <w:r/>
            <w:r>
              <w:rPr>
                <w:rFonts w:ascii="Calibri" w:hAnsi="Calibri"/>
                <w:b w:val="0"/>
                <w:i w:val="0"/>
                <w:color w:val="101828"/>
                <w:sz w:val="16"/>
              </w:rPr>
              <w:t>None — a verified email is the baseline</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SMS OTP</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Phone change, bank-account change, payout destination change, withdrawal beyond a threshold</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Email OTP, with a cooling-off period</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TOTP authenticator app</w:t>
            </w:r>
          </w:p>
        </w:tc>
        <w:tc>
          <w:tcPr>
            <w:tcW w:type="dxa" w:w="3744"/>
            <w:tcMar>
              <w:top w:w="60" w:type="dxa"/>
              <w:start w:w="110" w:type="dxa"/>
              <w:bottom w:w="60" w:type="dxa"/>
              <w:end w:w="110" w:type="dxa"/>
            </w:tcMar>
          </w:tcPr>
          <w:p>
            <w:pPr>
              <w:spacing w:after="0"/>
            </w:pPr>
            <w:r/>
            <w:r>
              <w:rPr>
                <w:rFonts w:ascii="Calibri" w:hAnsi="Calibri"/>
                <w:b w:val="0"/>
                <w:i w:val="0"/>
                <w:color w:val="101828"/>
                <w:sz w:val="16"/>
              </w:rPr>
              <w:t xml:space="preserve">Opt-in; </w:t>
            </w:r>
            <w:r>
              <w:rPr>
                <w:rFonts w:ascii="Calibri" w:hAnsi="Calibri"/>
                <w:b/>
                <w:color w:val="101828"/>
                <w:sz w:val="16"/>
              </w:rPr>
              <w:t>mandatory</w:t>
            </w:r>
            <w:r>
              <w:rPr>
                <w:rFonts w:ascii="Calibri" w:hAnsi="Calibri"/>
                <w:b w:val="0"/>
                <w:i w:val="0"/>
                <w:color w:val="101828"/>
                <w:sz w:val="16"/>
              </w:rPr>
              <w:t xml:space="preserve"> for admin and risk roles; strongly encouraged after any payout-dispute resolution</w:t>
            </w:r>
          </w:p>
        </w:tc>
        <w:tc>
          <w:tcPr>
            <w:tcW w:type="dxa" w:w="3600"/>
            <w:tcMar>
              <w:top w:w="60" w:type="dxa"/>
              <w:start w:w="110" w:type="dxa"/>
              <w:bottom w:w="60" w:type="dxa"/>
              <w:end w:w="110" w:type="dxa"/>
            </w:tcMar>
          </w:tcPr>
          <w:p>
            <w:pPr>
              <w:spacing w:after="0"/>
            </w:pPr>
            <w:r/>
            <w:r>
              <w:rPr>
                <w:rFonts w:ascii="Calibri" w:hAnsi="Calibri"/>
                <w:b w:val="0"/>
                <w:i w:val="0"/>
                <w:color w:val="101828"/>
                <w:sz w:val="16"/>
              </w:rPr>
              <w:t>SMS OTP</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Biometric (device)</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Mobile local unlock — protects the app on a shared phone, not a substitute for server authentication</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Device PIN</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Step-up authentication</w:t>
            </w:r>
          </w:p>
        </w:tc>
        <w:tc>
          <w:tcPr>
            <w:tcW w:type="dxa" w:w="3744"/>
            <w:tcMar>
              <w:top w:w="60" w:type="dxa"/>
              <w:start w:w="110" w:type="dxa"/>
              <w:bottom w:w="60" w:type="dxa"/>
              <w:end w:w="110" w:type="dxa"/>
            </w:tcMar>
          </w:tcPr>
          <w:p>
            <w:pPr>
              <w:spacing w:after="0"/>
            </w:pPr>
            <w:r/>
            <w:r>
              <w:rPr>
                <w:rFonts w:ascii="Calibri" w:hAnsi="Calibri"/>
                <w:b w:val="0"/>
                <w:i w:val="0"/>
                <w:color w:val="101828"/>
                <w:sz w:val="16"/>
              </w:rPr>
              <w:t>Releasing a payout, resolving a dispute, changing a bank account, viewing full BVN</w:t>
            </w:r>
          </w:p>
        </w:tc>
        <w:tc>
          <w:tcPr>
            <w:tcW w:type="dxa" w:w="3600"/>
            <w:tcMar>
              <w:top w:w="60" w:type="dxa"/>
              <w:start w:w="110" w:type="dxa"/>
              <w:bottom w:w="60" w:type="dxa"/>
              <w:end w:w="110" w:type="dxa"/>
            </w:tcMar>
          </w:tcPr>
          <w:p>
            <w:pPr>
              <w:spacing w:after="0"/>
            </w:pPr>
            <w:r/>
            <w:r>
              <w:rPr>
                <w:rFonts w:ascii="Calibri" w:hAnsi="Calibri"/>
                <w:b w:val="0"/>
                <w:i w:val="0"/>
                <w:color w:val="101828"/>
                <w:sz w:val="16"/>
              </w:rPr>
              <w:t>Re-auth required within the last 5 minutes</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Step-up matters more than MFA here.  </w:t>
      </w:r>
      <w:r>
        <w:rPr>
          <w:rFonts w:ascii="Calibri" w:hAnsi="Calibri"/>
          <w:b w:val="0"/>
          <w:i w:val="0"/>
          <w:color w:val="0B1F3A"/>
          <w:sz w:val="19"/>
        </w:rPr>
        <w:t>The highest-value attack on a savings platform is not password guessing — it is a member whose session is hijacked, or a fraudster who has convinced a member to change a bank account. Step-up authentication in front of exactly those actions is worth more than an MFA toggle.</w:t>
      </w:r>
    </w:p>
    <w:p>
      <w:pPr>
        <w:pStyle w:val="Heading2"/>
      </w:pPr>
      <w:r>
        <w:rPr>
          <w:rFonts w:ascii="Calibri" w:hAnsi="Calibri"/>
          <w:b/>
          <w:i w:val="0"/>
          <w:color w:val="146EF5"/>
          <w:sz w:val="29"/>
        </w:rPr>
        <w:t>12.6 Password policy and recovery</w:t>
      </w:r>
    </w:p>
    <w:p>
      <w:pPr>
        <w:pStyle w:val="ListBullet"/>
        <w:spacing w:after="60"/>
        <w:ind w:left="360"/>
      </w:pPr>
      <w:r>
        <w:rPr>
          <w:rFonts w:ascii="Calibri" w:hAnsi="Calibri"/>
          <w:b w:val="0"/>
          <w:i w:val="0"/>
          <w:color w:val="101828"/>
          <w:sz w:val="21"/>
        </w:rPr>
        <w:t>Minimum 12 characters, with at least one uppercase, one lowercase and one digit. Length matters far more than composition rules; 12 characters is the floor, and a 16-character passphrase is recommended in the UI copy.</w:t>
      </w:r>
    </w:p>
    <w:p>
      <w:pPr>
        <w:pStyle w:val="ListBullet"/>
        <w:spacing w:after="60"/>
        <w:ind w:left="360"/>
      </w:pPr>
      <w:r>
        <w:rPr>
          <w:rFonts w:ascii="Calibri" w:hAnsi="Calibri"/>
          <w:b w:val="0"/>
          <w:i w:val="0"/>
          <w:color w:val="101828"/>
          <w:sz w:val="21"/>
        </w:rPr>
        <w:t>Checked against a breached-password list (k-anonymity range query, so no plaintext is transmitted).</w:t>
      </w:r>
    </w:p>
    <w:p>
      <w:pPr>
        <w:pStyle w:val="ListBullet"/>
        <w:spacing w:after="60"/>
        <w:ind w:left="360"/>
      </w:pPr>
      <w:r>
        <w:rPr>
          <w:rFonts w:ascii="Calibri" w:hAnsi="Calibri"/>
          <w:b w:val="0"/>
          <w:i w:val="0"/>
          <w:color w:val="101828"/>
          <w:sz w:val="21"/>
        </w:rPr>
        <w:t xml:space="preserve">No forced rotation on a schedule. Rotation is required only on a suspected compromise — scheduled rotation pushes people toward </w:t>
      </w:r>
      <w:r>
        <w:rPr>
          <w:rFonts w:ascii="Consolas" w:hAnsi="Consolas"/>
          <w:color w:val="146EF5"/>
          <w:sz w:val="21"/>
        </w:rPr>
        <w:t>Password123!</w:t>
      </w:r>
      <w:r>
        <w:rPr>
          <w:rFonts w:ascii="Calibri" w:hAnsi="Calibri"/>
          <w:b w:val="0"/>
          <w:i w:val="0"/>
          <w:color w:val="101828"/>
          <w:sz w:val="21"/>
        </w:rPr>
        <w:t xml:space="preserve"> variants and is counterproductive.</w:t>
      </w:r>
    </w:p>
    <w:p>
      <w:pPr>
        <w:pStyle w:val="ListBullet"/>
        <w:spacing w:after="60"/>
        <w:ind w:left="360"/>
      </w:pPr>
      <w:r>
        <w:rPr>
          <w:rFonts w:ascii="Calibri" w:hAnsi="Calibri"/>
          <w:b w:val="0"/>
          <w:i w:val="0"/>
          <w:color w:val="101828"/>
          <w:sz w:val="21"/>
        </w:rPr>
        <w:t xml:space="preserve">Reset link: single use, 1-hour expiry, hashed in storage, and </w:t>
      </w:r>
      <w:r>
        <w:rPr>
          <w:rFonts w:ascii="Calibri" w:hAnsi="Calibri"/>
          <w:b/>
          <w:color w:val="101828"/>
          <w:sz w:val="21"/>
        </w:rPr>
        <w:t>all existing sessions are revoked on use</w:t>
      </w:r>
      <w:r>
        <w:rPr>
          <w:rFonts w:ascii="Calibri" w:hAnsi="Calibri"/>
          <w:b w:val="0"/>
          <w:i w:val="0"/>
          <w:color w:val="101828"/>
          <w:sz w:val="21"/>
        </w:rPr>
        <w:t>.</w:t>
      </w:r>
    </w:p>
    <w:p>
      <w:pPr>
        <w:pStyle w:val="ListBullet"/>
        <w:spacing w:after="60"/>
        <w:ind w:left="360"/>
      </w:pPr>
      <w:r>
        <w:rPr>
          <w:rFonts w:ascii="Calibri" w:hAnsi="Calibri"/>
          <w:b w:val="0"/>
          <w:i w:val="0"/>
          <w:color w:val="101828"/>
          <w:sz w:val="21"/>
        </w:rPr>
        <w:t>A password change notifies every registered email and device.</w:t>
      </w:r>
    </w:p>
    <w:p>
      <w:pPr>
        <w:pStyle w:val="Heading2"/>
      </w:pPr>
      <w:r>
        <w:rPr>
          <w:rFonts w:ascii="Calibri" w:hAnsi="Calibri"/>
          <w:b/>
          <w:i w:val="0"/>
          <w:color w:val="146EF5"/>
          <w:sz w:val="29"/>
        </w:rPr>
        <w:t>12.7 Role-based access control</w:t>
      </w:r>
    </w:p>
    <w:p>
      <w:r>
        <w:rPr>
          <w:rFonts w:ascii="Calibri" w:hAnsi="Calibri"/>
          <w:b w:val="0"/>
          <w:i w:val="0"/>
          <w:color w:val="101828"/>
          <w:sz w:val="21"/>
        </w:rPr>
        <w:t xml:space="preserve">The six roles are defined in CANONICAL.md §2. A person may hold multiple roles, and a role is always scoped: </w:t>
      </w:r>
      <w:r>
        <w:rPr>
          <w:rFonts w:ascii="Consolas" w:hAnsi="Consolas"/>
          <w:color w:val="146EF5"/>
          <w:sz w:val="21"/>
        </w:rPr>
        <w:t>ajo_organizer</w:t>
      </w:r>
      <w:r>
        <w:rPr>
          <w:rFonts w:ascii="Calibri" w:hAnsi="Calibri"/>
          <w:b w:val="0"/>
          <w:i w:val="0"/>
          <w:color w:val="101828"/>
          <w:sz w:val="21"/>
        </w:rPr>
        <w:t xml:space="preserve"> is scoped to one Ajo, while </w:t>
      </w:r>
      <w:r>
        <w:rPr>
          <w:rFonts w:ascii="Consolas" w:hAnsi="Consolas"/>
          <w:color w:val="146EF5"/>
          <w:sz w:val="21"/>
        </w:rPr>
        <w:t>risk_officer</w:t>
      </w:r>
      <w:r>
        <w:rPr>
          <w:rFonts w:ascii="Calibri" w:hAnsi="Calibri"/>
          <w:b w:val="0"/>
          <w:i w:val="0"/>
          <w:color w:val="101828"/>
          <w:sz w:val="21"/>
        </w:rPr>
        <w:t xml:space="preserve"> is platform-wide.</w:t>
      </w:r>
    </w:p>
    <w:p>
      <w:pPr>
        <w:pStyle w:val="Heading3"/>
      </w:pPr>
      <w:r>
        <w:rPr>
          <w:rFonts w:ascii="Calibri" w:hAnsi="Calibri"/>
          <w:b/>
          <w:i w:val="0"/>
          <w:color w:val="0B1F3A"/>
          <w:sz w:val="24"/>
        </w:rPr>
        <w:t>12.7.1 Permission matrix</w:t>
      </w:r>
    </w:p>
    <w:p>
      <w:pPr>
        <w:spacing w:before="0" w:after="0" w:line="240" w:lineRule="auto"/>
        <w:ind w:left="230"/>
        <w:shd w:val="clear" w:color="auto" w:fill="F7F9FC"/>
        <w:pBdr>
          <w:left w:val="single" w:sz="4" w:space="6" w:color="D0D5DD"/>
        </w:pBdr>
      </w:pPr>
      <w:r>
        <w:rPr>
          <w:rFonts w:ascii="Consolas" w:hAnsi="Consolas"/>
          <w:color w:val="0B1F3A"/>
          <w:sz w:val="14"/>
        </w:rPr>
        <w:t>Permission                       user  member  organizer  support  risk  super</w:t>
      </w:r>
    </w:p>
    <w:p>
      <w:pPr>
        <w:spacing w:before="0" w:after="0" w:line="240" w:lineRule="auto"/>
        <w:ind w:left="230"/>
        <w:shd w:val="clear" w:color="auto" w:fill="F7F9FC"/>
        <w:pBdr>
          <w:left w:val="single" w:sz="4" w:space="6" w:color="D0D5DD"/>
        </w:pBdr>
      </w:pPr>
      <w:r>
        <w:rPr>
          <w:rFonts w:ascii="Consolas" w:hAnsi="Consolas"/>
          <w:color w:val="0B1F3A"/>
          <w:sz w:val="14"/>
        </w:rPr>
        <w:t>───────────────────────────────  ────  ──────  ─────────  ──────  ────  ─────</w:t>
      </w:r>
    </w:p>
    <w:p>
      <w:pPr>
        <w:spacing w:before="0" w:after="0" w:line="240" w:lineRule="auto"/>
        <w:ind w:left="230"/>
        <w:shd w:val="clear" w:color="auto" w:fill="F7F9FC"/>
        <w:pBdr>
          <w:left w:val="single" w:sz="4" w:space="6" w:color="D0D5DD"/>
        </w:pBdr>
      </w:pPr>
      <w:r>
        <w:rPr>
          <w:rFonts w:ascii="Consolas" w:hAnsi="Consolas"/>
          <w:color w:val="0B1F3A"/>
          <w:sz w:val="14"/>
        </w:rPr>
        <w:t>view own profile                 Y      Y         Y          Y*      Y*      Y</w:t>
      </w:r>
    </w:p>
    <w:p>
      <w:pPr>
        <w:spacing w:before="0" w:after="0" w:line="240" w:lineRule="auto"/>
        <w:ind w:left="230"/>
        <w:shd w:val="clear" w:color="auto" w:fill="F7F9FC"/>
        <w:pBdr>
          <w:left w:val="single" w:sz="4" w:space="6" w:color="D0D5DD"/>
        </w:pBdr>
      </w:pPr>
      <w:r>
        <w:rPr>
          <w:rFonts w:ascii="Consolas" w:hAnsi="Consolas"/>
          <w:color w:val="0B1F3A"/>
          <w:sz w:val="14"/>
        </w:rPr>
        <w:t>edit own profile                 Y      Y         Y          -       -       Y</w:t>
      </w:r>
    </w:p>
    <w:p>
      <w:pPr>
        <w:spacing w:before="0" w:after="0" w:line="240" w:lineRule="auto"/>
        <w:ind w:left="230"/>
        <w:shd w:val="clear" w:color="auto" w:fill="F7F9FC"/>
        <w:pBdr>
          <w:left w:val="single" w:sz="4" w:space="6" w:color="D0D5DD"/>
        </w:pBdr>
      </w:pPr>
      <w:r>
        <w:rPr>
          <w:rFonts w:ascii="Consolas" w:hAnsi="Consolas"/>
          <w:color w:val="0B1F3A"/>
          <w:sz w:val="14"/>
        </w:rPr>
        <w:t>create an Ajo                    Y      Y         Y          -       -       Y</w:t>
      </w:r>
    </w:p>
    <w:p>
      <w:pPr>
        <w:spacing w:before="0" w:after="0" w:line="240" w:lineRule="auto"/>
        <w:ind w:left="230"/>
        <w:shd w:val="clear" w:color="auto" w:fill="F7F9FC"/>
        <w:pBdr>
          <w:left w:val="single" w:sz="4" w:space="6" w:color="D0D5DD"/>
        </w:pBdr>
      </w:pPr>
      <w:r>
        <w:rPr>
          <w:rFonts w:ascii="Consolas" w:hAnsi="Consolas"/>
          <w:color w:val="0B1F3A"/>
          <w:sz w:val="14"/>
        </w:rPr>
        <w:t>join an Ajo                      Y      Y         Y          -       -       Y</w:t>
      </w:r>
    </w:p>
    <w:p>
      <w:pPr>
        <w:spacing w:before="0" w:after="0" w:line="240" w:lineRule="auto"/>
        <w:ind w:left="230"/>
        <w:shd w:val="clear" w:color="auto" w:fill="F7F9FC"/>
        <w:pBdr>
          <w:left w:val="single" w:sz="4" w:space="6" w:color="D0D5DD"/>
        </w:pBdr>
      </w:pPr>
      <w:r>
        <w:rPr>
          <w:rFonts w:ascii="Consolas" w:hAnsi="Consolas"/>
          <w:color w:val="0B1F3A"/>
          <w:sz w:val="14"/>
        </w:rPr>
        <w:t>view own Ajos                    Y      Y         Y          Y       Y       Y</w:t>
      </w:r>
    </w:p>
    <w:p>
      <w:pPr>
        <w:spacing w:before="0" w:after="0" w:line="240" w:lineRule="auto"/>
        <w:ind w:left="230"/>
        <w:shd w:val="clear" w:color="auto" w:fill="F7F9FC"/>
        <w:pBdr>
          <w:left w:val="single" w:sz="4" w:space="6" w:color="D0D5DD"/>
        </w:pBdr>
      </w:pPr>
      <w:r>
        <w:rPr>
          <w:rFonts w:ascii="Consolas" w:hAnsi="Consolas"/>
          <w:color w:val="0B1F3A"/>
          <w:sz w:val="14"/>
        </w:rPr>
        <w:t>view any member's Ajo            -      -         -          Y       Y       Y</w:t>
      </w:r>
    </w:p>
    <w:p>
      <w:pPr>
        <w:spacing w:before="0" w:after="0" w:line="240" w:lineRule="auto"/>
        <w:ind w:left="230"/>
        <w:shd w:val="clear" w:color="auto" w:fill="F7F9FC"/>
        <w:pBdr>
          <w:left w:val="single" w:sz="4" w:space="6" w:color="D0D5DD"/>
        </w:pBdr>
      </w:pPr>
      <w:r>
        <w:rPr>
          <w:rFonts w:ascii="Consolas" w:hAnsi="Consolas"/>
          <w:color w:val="0B1F3A"/>
          <w:sz w:val="14"/>
        </w:rPr>
        <w:t>view another member's bank info   -      -         -          -       -       Y</w:t>
      </w:r>
    </w:p>
    <w:p>
      <w:pPr>
        <w:spacing w:before="0" w:after="0" w:line="240" w:lineRule="auto"/>
        <w:ind w:left="230"/>
        <w:shd w:val="clear" w:color="auto" w:fill="F7F9FC"/>
        <w:pBdr>
          <w:left w:val="single" w:sz="4" w:space="6" w:color="D0D5DD"/>
        </w:pBdr>
      </w:pPr>
      <w:r>
        <w:rPr>
          <w:rFonts w:ascii="Consolas" w:hAnsi="Consolas"/>
          <w:color w:val="0B1F3A"/>
          <w:sz w:val="14"/>
        </w:rPr>
        <w:t>invite members to own Ajo        -      -         Y          -       -       Y</w:t>
      </w:r>
    </w:p>
    <w:p>
      <w:pPr>
        <w:spacing w:before="0" w:after="0" w:line="240" w:lineRule="auto"/>
        <w:ind w:left="230"/>
        <w:shd w:val="clear" w:color="auto" w:fill="F7F9FC"/>
        <w:pBdr>
          <w:left w:val="single" w:sz="4" w:space="6" w:color="D0D5DD"/>
        </w:pBdr>
      </w:pPr>
      <w:r>
        <w:rPr>
          <w:rFonts w:ascii="Consolas" w:hAnsi="Consolas"/>
          <w:color w:val="0B1F3A"/>
          <w:sz w:val="14"/>
        </w:rPr>
        <w:t>remove member (pre-activation)   -      -         Y          -       -       Y</w:t>
      </w:r>
    </w:p>
    <w:p>
      <w:pPr>
        <w:spacing w:before="0" w:after="0" w:line="240" w:lineRule="auto"/>
        <w:ind w:left="230"/>
        <w:shd w:val="clear" w:color="auto" w:fill="F7F9FC"/>
        <w:pBdr>
          <w:left w:val="single" w:sz="4" w:space="6" w:color="D0D5DD"/>
        </w:pBdr>
      </w:pPr>
      <w:r>
        <w:rPr>
          <w:rFonts w:ascii="Consolas" w:hAnsi="Consolas"/>
          <w:color w:val="0B1F3A"/>
          <w:sz w:val="14"/>
        </w:rPr>
        <w:t>acknowledge Ajo rules             Y      Y         Y          -       -       Y</w:t>
      </w:r>
    </w:p>
    <w:p>
      <w:pPr>
        <w:spacing w:before="0" w:after="0" w:line="240" w:lineRule="auto"/>
        <w:ind w:left="230"/>
        <w:shd w:val="clear" w:color="auto" w:fill="F7F9FC"/>
        <w:pBdr>
          <w:left w:val="single" w:sz="4" w:space="6" w:color="D0D5DD"/>
        </w:pBdr>
      </w:pPr>
      <w:r>
        <w:rPr>
          <w:rFonts w:ascii="Consolas" w:hAnsi="Consolas"/>
          <w:color w:val="0B1F3A"/>
          <w:sz w:val="14"/>
        </w:rPr>
        <w:t>pay own contribution             Y      Y         Y          -       -       Y</w:t>
      </w:r>
    </w:p>
    <w:p>
      <w:pPr>
        <w:spacing w:before="0" w:after="0" w:line="240" w:lineRule="auto"/>
        <w:ind w:left="230"/>
        <w:shd w:val="clear" w:color="auto" w:fill="F7F9FC"/>
        <w:pBdr>
          <w:left w:val="single" w:sz="4" w:space="6" w:color="D0D5DD"/>
        </w:pBdr>
      </w:pPr>
      <w:r>
        <w:rPr>
          <w:rFonts w:ascii="Consolas" w:hAnsi="Consolas"/>
          <w:color w:val="0B1F3A"/>
          <w:sz w:val="14"/>
        </w:rPr>
        <w:t>request own payout               Y      Y         Y          -       -       Y</w:t>
      </w:r>
    </w:p>
    <w:p>
      <w:pPr>
        <w:spacing w:before="0" w:after="0" w:line="240" w:lineRule="auto"/>
        <w:ind w:left="230"/>
        <w:shd w:val="clear" w:color="auto" w:fill="F7F9FC"/>
        <w:pBdr>
          <w:left w:val="single" w:sz="4" w:space="6" w:color="D0D5DD"/>
        </w:pBdr>
      </w:pPr>
      <w:r>
        <w:rPr>
          <w:rFonts w:ascii="Consolas" w:hAnsi="Consolas"/>
          <w:color w:val="0B1F3A"/>
          <w:sz w:val="14"/>
        </w:rPr>
        <w:t>release an Ajo payout            -      -         Y**        -       -       Y</w:t>
      </w:r>
    </w:p>
    <w:p>
      <w:pPr>
        <w:spacing w:before="0" w:after="0" w:line="240" w:lineRule="auto"/>
        <w:ind w:left="230"/>
        <w:shd w:val="clear" w:color="auto" w:fill="F7F9FC"/>
        <w:pBdr>
          <w:left w:val="single" w:sz="4" w:space="6" w:color="D0D5DD"/>
        </w:pBdr>
      </w:pPr>
      <w:r>
        <w:rPr>
          <w:rFonts w:ascii="Consolas" w:hAnsi="Consolas"/>
          <w:color w:val="0B1F3A"/>
          <w:sz w:val="14"/>
        </w:rPr>
        <w:t>view own transactions            Y      Y         Y          Y       Y       Y</w:t>
      </w:r>
    </w:p>
    <w:p>
      <w:pPr>
        <w:spacing w:before="0" w:after="0" w:line="240" w:lineRule="auto"/>
        <w:ind w:left="230"/>
        <w:shd w:val="clear" w:color="auto" w:fill="F7F9FC"/>
        <w:pBdr>
          <w:left w:val="single" w:sz="4" w:space="6" w:color="D0D5DD"/>
        </w:pBdr>
      </w:pPr>
      <w:r>
        <w:rPr>
          <w:rFonts w:ascii="Consolas" w:hAnsi="Consolas"/>
          <w:color w:val="0B1F3A"/>
          <w:sz w:val="14"/>
        </w:rPr>
        <w:t>view all transactions            -      -         -          Y       Y       Y</w:t>
      </w:r>
    </w:p>
    <w:p>
      <w:pPr>
        <w:spacing w:before="0" w:after="0" w:line="240" w:lineRule="auto"/>
        <w:ind w:left="230"/>
        <w:shd w:val="clear" w:color="auto" w:fill="F7F9FC"/>
        <w:pBdr>
          <w:left w:val="single" w:sz="4" w:space="6" w:color="D0D5DD"/>
        </w:pBdr>
      </w:pPr>
      <w:r>
        <w:rPr>
          <w:rFonts w:ascii="Consolas" w:hAnsi="Consolas"/>
          <w:color w:val="0B1F3A"/>
          <w:sz w:val="14"/>
        </w:rPr>
        <w:t>raise a dispute                   Y      Y         Y          -       -       Y</w:t>
      </w:r>
    </w:p>
    <w:p>
      <w:pPr>
        <w:spacing w:before="0" w:after="0" w:line="240" w:lineRule="auto"/>
        <w:ind w:left="230"/>
        <w:shd w:val="clear" w:color="auto" w:fill="F7F9FC"/>
        <w:pBdr>
          <w:left w:val="single" w:sz="4" w:space="6" w:color="D0D5DD"/>
        </w:pBdr>
      </w:pPr>
      <w:r>
        <w:rPr>
          <w:rFonts w:ascii="Consolas" w:hAnsi="Consolas"/>
          <w:color w:val="0B1F3A"/>
          <w:sz w:val="14"/>
        </w:rPr>
        <w:t>respond to a dispute             -      -         Y**        Y       Y       Y</w:t>
      </w:r>
    </w:p>
    <w:p>
      <w:pPr>
        <w:spacing w:before="0" w:after="0" w:line="240" w:lineRule="auto"/>
        <w:ind w:left="230"/>
        <w:shd w:val="clear" w:color="auto" w:fill="F7F9FC"/>
        <w:pBdr>
          <w:left w:val="single" w:sz="4" w:space="6" w:color="D0D5DD"/>
        </w:pBdr>
      </w:pPr>
      <w:r>
        <w:rPr>
          <w:rFonts w:ascii="Consolas" w:hAnsi="Consolas"/>
          <w:color w:val="0B1F3A"/>
          <w:sz w:val="14"/>
        </w:rPr>
        <w:t>resolve a dispute                -      -         -          -       Y       Y</w:t>
      </w:r>
    </w:p>
    <w:p>
      <w:pPr>
        <w:spacing w:before="0" w:after="0" w:line="240" w:lineRule="auto"/>
        <w:ind w:left="230"/>
        <w:shd w:val="clear" w:color="auto" w:fill="F7F9FC"/>
        <w:pBdr>
          <w:left w:val="single" w:sz="4" w:space="6" w:color="D0D5DD"/>
        </w:pBdr>
      </w:pPr>
      <w:r>
        <w:rPr>
          <w:rFonts w:ascii="Consolas" w:hAnsi="Consolas"/>
          <w:color w:val="0B1F3A"/>
          <w:sz w:val="14"/>
        </w:rPr>
        <w:t>view risk queue                  -      -         -          -       Y       Y</w:t>
      </w:r>
    </w:p>
    <w:p>
      <w:pPr>
        <w:spacing w:before="0" w:after="0" w:line="240" w:lineRule="auto"/>
        <w:ind w:left="230"/>
        <w:shd w:val="clear" w:color="auto" w:fill="F7F9FC"/>
        <w:pBdr>
          <w:left w:val="single" w:sz="4" w:space="6" w:color="D0D5DD"/>
        </w:pBdr>
      </w:pPr>
      <w:r>
        <w:rPr>
          <w:rFonts w:ascii="Consolas" w:hAnsi="Consolas"/>
          <w:color w:val="0B1F3A"/>
          <w:sz w:val="14"/>
        </w:rPr>
        <w:t>record a risk decision           -      -         -          -       Y       Y</w:t>
      </w:r>
    </w:p>
    <w:p>
      <w:pPr>
        <w:spacing w:before="0" w:after="0" w:line="240" w:lineRule="auto"/>
        <w:ind w:left="230"/>
        <w:shd w:val="clear" w:color="auto" w:fill="F7F9FC"/>
        <w:pBdr>
          <w:left w:val="single" w:sz="4" w:space="6" w:color="D0D5DD"/>
        </w:pBdr>
      </w:pPr>
      <w:r>
        <w:rPr>
          <w:rFonts w:ascii="Consolas" w:hAnsi="Consolas"/>
          <w:color w:val="0B1F3A"/>
          <w:sz w:val="14"/>
        </w:rPr>
        <w:t>freeze a member                  -      -         -          -       Y       Y</w:t>
      </w:r>
    </w:p>
    <w:p>
      <w:pPr>
        <w:spacing w:before="0" w:after="0" w:line="240" w:lineRule="auto"/>
        <w:ind w:left="230"/>
        <w:shd w:val="clear" w:color="auto" w:fill="F7F9FC"/>
        <w:pBdr>
          <w:left w:val="single" w:sz="4" w:space="6" w:color="D0D5DD"/>
        </w:pBdr>
      </w:pPr>
      <w:r>
        <w:rPr>
          <w:rFonts w:ascii="Consolas" w:hAnsi="Consolas"/>
          <w:color w:val="0B1F3A"/>
          <w:sz w:val="14"/>
        </w:rPr>
        <w:t>freeze an Ajo                    -      -         -          -       Y       Y</w:t>
      </w:r>
    </w:p>
    <w:p>
      <w:pPr>
        <w:spacing w:before="0" w:after="0" w:line="240" w:lineRule="auto"/>
        <w:ind w:left="230"/>
        <w:shd w:val="clear" w:color="auto" w:fill="F7F9FC"/>
        <w:pBdr>
          <w:left w:val="single" w:sz="4" w:space="6" w:color="D0D5DD"/>
        </w:pBdr>
      </w:pPr>
      <w:r>
        <w:rPr>
          <w:rFonts w:ascii="Consolas" w:hAnsi="Consolas"/>
          <w:color w:val="0B1F3A"/>
          <w:sz w:val="14"/>
        </w:rPr>
        <w:t>view audit logs                  -      -         -          -       -       Y</w:t>
      </w:r>
    </w:p>
    <w:p>
      <w:pPr>
        <w:spacing w:before="0" w:after="0" w:line="240" w:lineRule="auto"/>
        <w:ind w:left="230"/>
        <w:shd w:val="clear" w:color="auto" w:fill="F7F9FC"/>
        <w:pBdr>
          <w:left w:val="single" w:sz="4" w:space="6" w:color="D0D5DD"/>
        </w:pBdr>
      </w:pPr>
      <w:r>
        <w:rPr>
          <w:rFonts w:ascii="Consolas" w:hAnsi="Consolas"/>
          <w:color w:val="0B1F3A"/>
          <w:sz w:val="14"/>
        </w:rPr>
        <w:t>assign roles                     -      -         -          -       -       Y</w:t>
      </w:r>
    </w:p>
    <w:p>
      <w:pPr>
        <w:spacing w:before="0" w:after="0" w:line="240" w:lineRule="auto"/>
        <w:ind w:left="230"/>
        <w:shd w:val="clear" w:color="auto" w:fill="F7F9FC"/>
        <w:pBdr>
          <w:left w:val="single" w:sz="4" w:space="6" w:color="D0D5DD"/>
        </w:pBdr>
      </w:pPr>
      <w:r>
        <w:rPr>
          <w:rFonts w:ascii="Consolas" w:hAnsi="Consolas"/>
          <w:color w:val="0B1F3A"/>
          <w:sz w:val="14"/>
        </w:rPr>
        <w:t>edit or delete a ledger entry    -      -         -          -       -       NEVER</w:t>
      </w:r>
    </w:p>
    <w:p>
      <w:r>
        <w:rPr>
          <w:rFonts w:ascii="Consolas" w:hAnsi="Consolas"/>
          <w:color w:val="146EF5"/>
          <w:sz w:val="21"/>
        </w:rPr>
        <w:t>*</w:t>
      </w:r>
      <w:r>
        <w:rPr>
          <w:rFonts w:ascii="Calibri" w:hAnsi="Calibri"/>
          <w:b w:val="0"/>
          <w:i w:val="0"/>
          <w:color w:val="101828"/>
          <w:sz w:val="21"/>
        </w:rPr>
        <w:t xml:space="preserve"> Redacted to essentials.  </w:t>
      </w:r>
      <w:r>
        <w:rPr>
          <w:rFonts w:ascii="Consolas" w:hAnsi="Consolas"/>
          <w:color w:val="146EF5"/>
          <w:sz w:val="21"/>
        </w:rPr>
        <w:t>**</w:t>
      </w:r>
      <w:r>
        <w:rPr>
          <w:rFonts w:ascii="Calibri" w:hAnsi="Calibri"/>
          <w:b w:val="0"/>
          <w:i w:val="0"/>
          <w:color w:val="101828"/>
          <w:sz w:val="21"/>
        </w:rPr>
        <w:t xml:space="preserve"> Scoped strictly to the Ajos the organizer created. Note the final row: there is no permission, for any role, that allows editing or deleting a ledger entry.</w:t>
      </w:r>
    </w:p>
    <w:p>
      <w:pPr>
        <w:pStyle w:val="Heading3"/>
      </w:pPr>
      <w:r>
        <w:rPr>
          <w:rFonts w:ascii="Calibri" w:hAnsi="Calibri"/>
          <w:b/>
          <w:i w:val="0"/>
          <w:color w:val="0B1F3A"/>
          <w:sz w:val="24"/>
        </w:rPr>
        <w:t>12.7.2 Organizer scope in detail</w:t>
      </w:r>
    </w:p>
    <w:p>
      <w:r>
        <w:rPr>
          <w:rFonts w:ascii="Calibri" w:hAnsi="Calibri"/>
          <w:b w:val="0"/>
          <w:i w:val="0"/>
          <w:color w:val="101828"/>
          <w:sz w:val="21"/>
        </w:rPr>
        <w:t>The organizer is the highest-trust non-platform role and the easiest place for the product to create a liability. Their powers are deliberately narrow, and every one of them is auditable.</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3024"/>
            <w:shd w:val="clear" w:color="auto" w:fill="0B1F3A"/>
            <w:tcMar>
              <w:top w:w="60" w:type="dxa"/>
              <w:start w:w="110" w:type="dxa"/>
              <w:bottom w:w="60" w:type="dxa"/>
              <w:end w:w="110" w:type="dxa"/>
            </w:tcMar>
          </w:tcPr>
          <w:p>
            <w:pPr>
              <w:spacing w:after="0"/>
            </w:pPr>
            <w:r/>
            <w:r>
              <w:rPr>
                <w:rFonts w:ascii="Calibri" w:hAnsi="Calibri"/>
                <w:b/>
                <w:i w:val="0"/>
                <w:color w:val="FFFFFF"/>
                <w:sz w:val="16"/>
              </w:rPr>
              <w:t>Organizer can</w:t>
            </w:r>
          </w:p>
        </w:tc>
        <w:tc>
          <w:tcPr>
            <w:tcW w:type="dxa" w:w="3024"/>
            <w:shd w:val="clear" w:color="auto" w:fill="0B1F3A"/>
            <w:tcMar>
              <w:top w:w="60" w:type="dxa"/>
              <w:start w:w="110" w:type="dxa"/>
              <w:bottom w:w="60" w:type="dxa"/>
              <w:end w:w="110" w:type="dxa"/>
            </w:tcMar>
          </w:tcPr>
          <w:p>
            <w:pPr>
              <w:spacing w:after="0"/>
            </w:pPr>
            <w:r/>
            <w:r>
              <w:rPr>
                <w:rFonts w:ascii="Calibri" w:hAnsi="Calibri"/>
                <w:b/>
                <w:i w:val="0"/>
                <w:color w:val="FFFFFF"/>
                <w:sz w:val="16"/>
              </w:rPr>
              <w:t>Organizer cannot</w:t>
            </w:r>
          </w:p>
        </w:tc>
        <w:tc>
          <w:tcPr>
            <w:tcW w:type="dxa" w:w="3312"/>
            <w:shd w:val="clear" w:color="auto" w:fill="0B1F3A"/>
            <w:tcMar>
              <w:top w:w="60" w:type="dxa"/>
              <w:start w:w="110" w:type="dxa"/>
              <w:bottom w:w="60" w:type="dxa"/>
              <w:end w:w="110" w:type="dxa"/>
            </w:tcMar>
          </w:tcPr>
          <w:p>
            <w:pPr>
              <w:spacing w:after="0"/>
            </w:pPr>
            <w:r/>
            <w:r>
              <w:rPr>
                <w:rFonts w:ascii="Calibri" w:hAnsi="Calibri"/>
                <w:b/>
                <w:i w:val="0"/>
                <w:color w:val="FFFFFF"/>
                <w:sz w:val="16"/>
              </w:rPr>
              <w:t>Why</w:t>
            </w:r>
          </w:p>
        </w:tc>
      </w:tr>
      <w:tr>
        <w:trPr>
          <w:cantSplit/>
        </w:trPr>
        <w:tc>
          <w:tcPr>
            <w:tcW w:type="dxa" w:w="3024"/>
            <w:tcMar>
              <w:top w:w="60" w:type="dxa"/>
              <w:start w:w="110" w:type="dxa"/>
              <w:bottom w:w="60" w:type="dxa"/>
              <w:end w:w="110" w:type="dxa"/>
            </w:tcMar>
          </w:tcPr>
          <w:p>
            <w:pPr>
              <w:spacing w:after="0"/>
            </w:pPr>
            <w:r/>
            <w:r>
              <w:rPr>
                <w:rFonts w:ascii="Calibri" w:hAnsi="Calibri"/>
                <w:b w:val="0"/>
                <w:i w:val="0"/>
                <w:color w:val="101828"/>
                <w:sz w:val="16"/>
              </w:rPr>
              <w:t>Create an Ajo and configure it</w:t>
            </w:r>
          </w:p>
        </w:tc>
        <w:tc>
          <w:tcPr>
            <w:tcW w:type="dxa" w:w="3024"/>
            <w:tcMar>
              <w:top w:w="60" w:type="dxa"/>
              <w:start w:w="110" w:type="dxa"/>
              <w:bottom w:w="60" w:type="dxa"/>
              <w:end w:w="110" w:type="dxa"/>
            </w:tcMar>
          </w:tcPr>
          <w:p>
            <w:pPr>
              <w:spacing w:after="0"/>
            </w:pPr>
            <w:r/>
            <w:r>
              <w:rPr>
                <w:rFonts w:ascii="Calibri" w:hAnsi="Calibri"/>
                <w:b w:val="0"/>
                <w:i w:val="0"/>
                <w:color w:val="101828"/>
                <w:sz w:val="16"/>
              </w:rPr>
              <w:t>Change contribution amount, frequency or duration after activation</w:t>
            </w:r>
          </w:p>
        </w:tc>
        <w:tc>
          <w:tcPr>
            <w:tcW w:type="dxa" w:w="3312"/>
            <w:tcMar>
              <w:top w:w="60" w:type="dxa"/>
              <w:start w:w="110" w:type="dxa"/>
              <w:bottom w:w="60" w:type="dxa"/>
              <w:end w:w="110" w:type="dxa"/>
            </w:tcMar>
          </w:tcPr>
          <w:p>
            <w:pPr>
              <w:spacing w:after="0"/>
            </w:pPr>
            <w:r/>
            <w:r>
              <w:rPr>
                <w:rFonts w:ascii="Calibri" w:hAnsi="Calibri"/>
                <w:b w:val="0"/>
                <w:i w:val="0"/>
                <w:color w:val="101828"/>
                <w:sz w:val="16"/>
              </w:rPr>
              <w:t>Members committed to those terms; changing them would alter a financial obligation</w:t>
            </w:r>
          </w:p>
        </w:tc>
      </w:tr>
      <w:tr>
        <w:trPr>
          <w:cantSplit/>
        </w:trPr>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Invite people to join</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Invite without the invitee's informed consent</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A phone number is personal data; disclosure is limited to the minimum</w:t>
            </w:r>
          </w:p>
        </w:tc>
      </w:tr>
      <w:tr>
        <w:trPr>
          <w:cantSplit/>
        </w:trPr>
        <w:tc>
          <w:tcPr>
            <w:tcW w:type="dxa" w:w="3024"/>
            <w:tcMar>
              <w:top w:w="60" w:type="dxa"/>
              <w:start w:w="110" w:type="dxa"/>
              <w:bottom w:w="60" w:type="dxa"/>
              <w:end w:w="110" w:type="dxa"/>
            </w:tcMar>
          </w:tcPr>
          <w:p>
            <w:pPr>
              <w:spacing w:after="0"/>
            </w:pPr>
            <w:r/>
            <w:r>
              <w:rPr>
                <w:rFonts w:ascii="Calibri" w:hAnsi="Calibri"/>
                <w:b w:val="0"/>
                <w:i w:val="0"/>
                <w:color w:val="101828"/>
                <w:sz w:val="16"/>
              </w:rPr>
              <w:t>Remove a member before activation</w:t>
            </w:r>
          </w:p>
        </w:tc>
        <w:tc>
          <w:tcPr>
            <w:tcW w:type="dxa" w:w="3024"/>
            <w:tcMar>
              <w:top w:w="60" w:type="dxa"/>
              <w:start w:w="110" w:type="dxa"/>
              <w:bottom w:w="60" w:type="dxa"/>
              <w:end w:w="110" w:type="dxa"/>
            </w:tcMar>
          </w:tcPr>
          <w:p>
            <w:pPr>
              <w:spacing w:after="0"/>
            </w:pPr>
            <w:r/>
            <w:r>
              <w:rPr>
                <w:rFonts w:ascii="Calibri" w:hAnsi="Calibri"/>
                <w:b w:val="0"/>
                <w:i w:val="0"/>
                <w:color w:val="101828"/>
                <w:sz w:val="16"/>
              </w:rPr>
              <w:t>Remove a member after activation</w:t>
            </w:r>
          </w:p>
        </w:tc>
        <w:tc>
          <w:tcPr>
            <w:tcW w:type="dxa" w:w="3312"/>
            <w:tcMar>
              <w:top w:w="60" w:type="dxa"/>
              <w:start w:w="110" w:type="dxa"/>
              <w:bottom w:w="60" w:type="dxa"/>
              <w:end w:w="110" w:type="dxa"/>
            </w:tcMar>
          </w:tcPr>
          <w:p>
            <w:pPr>
              <w:spacing w:after="0"/>
            </w:pPr>
            <w:r/>
            <w:r>
              <w:rPr>
                <w:rFonts w:ascii="Calibri" w:hAnsi="Calibri"/>
                <w:b w:val="0"/>
                <w:i w:val="0"/>
                <w:color w:val="101828"/>
                <w:sz w:val="16"/>
              </w:rPr>
              <w:t>Post-activation removal would break a live financial cycle</w:t>
            </w:r>
          </w:p>
        </w:tc>
      </w:tr>
      <w:tr>
        <w:trPr>
          <w:cantSplit/>
        </w:trPr>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Send contribution reminders</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Send messages that misrepresent AJO.ng</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Reminders are AJO.ng messages; impersonation destroys trust platform-wide</w:t>
            </w:r>
          </w:p>
        </w:tc>
      </w:tr>
      <w:tr>
        <w:trPr>
          <w:cantSplit/>
        </w:trPr>
        <w:tc>
          <w:tcPr>
            <w:tcW w:type="dxa" w:w="3024"/>
            <w:tcMar>
              <w:top w:w="60" w:type="dxa"/>
              <w:start w:w="110" w:type="dxa"/>
              <w:bottom w:w="60" w:type="dxa"/>
              <w:end w:w="110" w:type="dxa"/>
            </w:tcMar>
          </w:tcPr>
          <w:p>
            <w:pPr>
              <w:spacing w:after="0"/>
            </w:pPr>
            <w:r/>
            <w:r>
              <w:rPr>
                <w:rFonts w:ascii="Calibri" w:hAnsi="Calibri"/>
                <w:b w:val="0"/>
                <w:i w:val="0"/>
                <w:color w:val="101828"/>
                <w:sz w:val="16"/>
              </w:rPr>
              <w:t>See who has paid and who has not</w:t>
            </w:r>
          </w:p>
        </w:tc>
        <w:tc>
          <w:tcPr>
            <w:tcW w:type="dxa" w:w="3024"/>
            <w:tcMar>
              <w:top w:w="60" w:type="dxa"/>
              <w:start w:w="110" w:type="dxa"/>
              <w:bottom w:w="60" w:type="dxa"/>
              <w:end w:w="110" w:type="dxa"/>
            </w:tcMar>
          </w:tcPr>
          <w:p>
            <w:pPr>
              <w:spacing w:after="0"/>
            </w:pPr>
            <w:r/>
            <w:r>
              <w:rPr>
                <w:rFonts w:ascii="Calibri" w:hAnsi="Calibri"/>
                <w:b w:val="0"/>
                <w:i w:val="0"/>
                <w:color w:val="101828"/>
                <w:sz w:val="16"/>
              </w:rPr>
              <w:t>See another member's bank account or BVN</w:t>
            </w:r>
          </w:p>
        </w:tc>
        <w:tc>
          <w:tcPr>
            <w:tcW w:type="dxa" w:w="3312"/>
            <w:tcMar>
              <w:top w:w="60" w:type="dxa"/>
              <w:start w:w="110" w:type="dxa"/>
              <w:bottom w:w="60" w:type="dxa"/>
              <w:end w:w="110" w:type="dxa"/>
            </w:tcMar>
          </w:tcPr>
          <w:p>
            <w:pPr>
              <w:spacing w:after="0"/>
            </w:pPr>
            <w:r/>
            <w:r>
              <w:rPr>
                <w:rFonts w:ascii="Calibri" w:hAnsi="Calibri"/>
                <w:b w:val="0"/>
                <w:i w:val="0"/>
                <w:color w:val="101828"/>
                <w:sz w:val="16"/>
              </w:rPr>
              <w:t>Payment status is needed to run the group; identity documents are not</w:t>
            </w:r>
          </w:p>
        </w:tc>
      </w:tr>
      <w:tr>
        <w:trPr>
          <w:cantSplit/>
        </w:trPr>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Acknowledge that a member defaulted</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Publicly shame, disclose, or blacklist a defaulting member</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AJO.ng does not publicly expose defaulting members (BR-019)</w:t>
            </w:r>
          </w:p>
        </w:tc>
      </w:tr>
      <w:tr>
        <w:trPr>
          <w:cantSplit/>
        </w:trPr>
        <w:tc>
          <w:tcPr>
            <w:tcW w:type="dxa" w:w="3024"/>
            <w:tcMar>
              <w:top w:w="60" w:type="dxa"/>
              <w:start w:w="110" w:type="dxa"/>
              <w:bottom w:w="60" w:type="dxa"/>
              <w:end w:w="110" w:type="dxa"/>
            </w:tcMar>
          </w:tcPr>
          <w:p>
            <w:pPr>
              <w:spacing w:after="0"/>
            </w:pPr>
            <w:r/>
            <w:r>
              <w:rPr>
                <w:rFonts w:ascii="Calibri" w:hAnsi="Calibri"/>
                <w:b w:val="0"/>
                <w:i w:val="0"/>
                <w:color w:val="101828"/>
                <w:sz w:val="16"/>
              </w:rPr>
              <w:t>Request payout release</w:t>
            </w:r>
          </w:p>
        </w:tc>
        <w:tc>
          <w:tcPr>
            <w:tcW w:type="dxa" w:w="3024"/>
            <w:tcMar>
              <w:top w:w="60" w:type="dxa"/>
              <w:start w:w="110" w:type="dxa"/>
              <w:bottom w:w="60" w:type="dxa"/>
              <w:end w:w="110" w:type="dxa"/>
            </w:tcMar>
          </w:tcPr>
          <w:p>
            <w:pPr>
              <w:spacing w:after="0"/>
            </w:pPr>
            <w:r/>
            <w:r>
              <w:rPr>
                <w:rFonts w:ascii="Calibri" w:hAnsi="Calibri"/>
                <w:b w:val="0"/>
                <w:i w:val="0"/>
                <w:color w:val="101828"/>
                <w:sz w:val="16"/>
              </w:rPr>
              <w:t>Withdraw member funds, hold funds, or change a payout destination</w:t>
            </w:r>
          </w:p>
        </w:tc>
        <w:tc>
          <w:tcPr>
            <w:tcW w:type="dxa" w:w="3312"/>
            <w:tcMar>
              <w:top w:w="60" w:type="dxa"/>
              <w:start w:w="110" w:type="dxa"/>
              <w:bottom w:w="60" w:type="dxa"/>
              <w:end w:w="110" w:type="dxa"/>
            </w:tcMar>
          </w:tcPr>
          <w:p>
            <w:pPr>
              <w:spacing w:after="0"/>
            </w:pPr>
            <w:r/>
            <w:r>
              <w:rPr>
                <w:rFonts w:ascii="Calibri" w:hAnsi="Calibri"/>
                <w:b w:val="0"/>
                <w:i w:val="0"/>
                <w:color w:val="101828"/>
                <w:sz w:val="16"/>
              </w:rPr>
              <w:t>The organizer is a facilitator, not a custodian or guarantor</w:t>
            </w:r>
          </w:p>
        </w:tc>
      </w:tr>
      <w:tr>
        <w:trPr>
          <w:cantSplit/>
        </w:trPr>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Approve a replacement member</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Assume the defaulting member's debt</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AJO.ng does not automatically charge other members extra (BR-018)</w:t>
            </w:r>
          </w:p>
        </w:tc>
      </w:tr>
    </w:tbl>
    <w:p>
      <w:pPr>
        <w:spacing w:after="80"/>
      </w:pPr>
    </w:p>
    <w:p>
      <w:pPr>
        <w:pStyle w:val="Heading2"/>
      </w:pPr>
      <w:r>
        <w:rPr>
          <w:rFonts w:ascii="Calibri" w:hAnsi="Calibri"/>
          <w:b/>
          <w:i w:val="0"/>
          <w:color w:val="146EF5"/>
          <w:sz w:val="29"/>
        </w:rPr>
        <w:t>12.8 Account takeover protection</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6"/>
              </w:rPr>
              <w:t>Signal</w:t>
            </w:r>
          </w:p>
        </w:tc>
        <w:tc>
          <w:tcPr>
            <w:tcW w:type="dxa" w:w="6192"/>
            <w:shd w:val="clear" w:color="auto" w:fill="0B1F3A"/>
            <w:tcMar>
              <w:top w:w="60" w:type="dxa"/>
              <w:start w:w="110" w:type="dxa"/>
              <w:bottom w:w="60" w:type="dxa"/>
              <w:end w:w="110" w:type="dxa"/>
            </w:tcMar>
          </w:tcPr>
          <w:p>
            <w:pPr>
              <w:spacing w:after="0"/>
            </w:pPr>
            <w:r/>
            <w:r>
              <w:rPr>
                <w:rFonts w:ascii="Calibri" w:hAnsi="Calibri"/>
                <w:b/>
                <w:i w:val="0"/>
                <w:color w:val="FFFFFF"/>
                <w:sz w:val="16"/>
              </w:rPr>
              <w:t>Response</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Failed logins from multiple IPs/ASNs</w:t>
            </w:r>
          </w:p>
        </w:tc>
        <w:tc>
          <w:tcPr>
            <w:tcW w:type="dxa" w:w="6192"/>
            <w:tcMar>
              <w:top w:w="60" w:type="dxa"/>
              <w:start w:w="110" w:type="dxa"/>
              <w:bottom w:w="60" w:type="dxa"/>
              <w:end w:w="110" w:type="dxa"/>
            </w:tcMar>
          </w:tcPr>
          <w:p>
            <w:pPr>
              <w:spacing w:after="0"/>
            </w:pPr>
            <w:r/>
            <w:r>
              <w:rPr>
                <w:rFonts w:ascii="Calibri" w:hAnsi="Calibri"/>
                <w:b w:val="0"/>
                <w:i w:val="0"/>
                <w:color w:val="101828"/>
                <w:sz w:val="16"/>
              </w:rPr>
              <w:t>Step up to OTP; notify the member; temporary rate limit</w:t>
            </w:r>
          </w:p>
        </w:tc>
      </w:tr>
      <w:tr>
        <w:trPr>
          <w:cantSplit/>
        </w:trPr>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Impossible travel — two logins far apart in a short time</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6"/>
              </w:rPr>
              <w:t>Force re-authentication; notify</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New device + new bank account within a short window</w:t>
            </w:r>
          </w:p>
        </w:tc>
        <w:tc>
          <w:tcPr>
            <w:tcW w:type="dxa" w:w="6192"/>
            <w:tcMar>
              <w:top w:w="60" w:type="dxa"/>
              <w:start w:w="110" w:type="dxa"/>
              <w:bottom w:w="60" w:type="dxa"/>
              <w:end w:w="110" w:type="dxa"/>
            </w:tcMar>
          </w:tcPr>
          <w:p>
            <w:pPr>
              <w:spacing w:after="0"/>
            </w:pPr>
            <w:r/>
            <w:r>
              <w:rPr>
                <w:rFonts w:ascii="Calibri" w:hAnsi="Calibri"/>
                <w:b/>
                <w:color w:val="101828"/>
                <w:sz w:val="16"/>
              </w:rPr>
              <w:t>Block the bank-account change</w:t>
            </w:r>
            <w:r>
              <w:rPr>
                <w:rFonts w:ascii="Calibri" w:hAnsi="Calibri"/>
                <w:b w:val="0"/>
                <w:i w:val="0"/>
                <w:color w:val="101828"/>
                <w:sz w:val="16"/>
              </w:rPr>
              <w:t xml:space="preserve"> pending a cooling-off period and manual review. This combination is the classic redirection-fraud pattern</w:t>
            </w:r>
          </w:p>
        </w:tc>
      </w:tr>
      <w:tr>
        <w:trPr>
          <w:cantSplit/>
        </w:trPr>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Phone number changed then payout requested</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6"/>
              </w:rPr>
              <w:t>Hold the payout for manual risk review</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Sudden change in contribution amount on a new Ajo</w:t>
            </w:r>
          </w:p>
        </w:tc>
        <w:tc>
          <w:tcPr>
            <w:tcW w:type="dxa" w:w="6192"/>
            <w:tcMar>
              <w:top w:w="60" w:type="dxa"/>
              <w:start w:w="110" w:type="dxa"/>
              <w:bottom w:w="60" w:type="dxa"/>
              <w:end w:w="110" w:type="dxa"/>
            </w:tcMar>
          </w:tcPr>
          <w:p>
            <w:pPr>
              <w:spacing w:after="0"/>
            </w:pPr>
            <w:r/>
            <w:r>
              <w:rPr>
                <w:rFonts w:ascii="Calibri" w:hAnsi="Calibri"/>
                <w:b w:val="0"/>
                <w:i w:val="0"/>
                <w:color w:val="101828"/>
                <w:sz w:val="16"/>
              </w:rPr>
              <w:t>Cap new-Ajo contribution amounts for accounts under 30 days old</w:t>
            </w:r>
          </w:p>
        </w:tc>
      </w:tr>
      <w:tr>
        <w:trPr>
          <w:cantSplit/>
        </w:trPr>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Many failed OTP attempts</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6"/>
              </w:rPr>
              <w:t>Cooldown and full session revocation</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Account recovery request from a new email and phone together</w:t>
            </w:r>
          </w:p>
        </w:tc>
        <w:tc>
          <w:tcPr>
            <w:tcW w:type="dxa" w:w="6192"/>
            <w:tcMar>
              <w:top w:w="60" w:type="dxa"/>
              <w:start w:w="110" w:type="dxa"/>
              <w:bottom w:w="60" w:type="dxa"/>
              <w:end w:w="110" w:type="dxa"/>
            </w:tcMar>
          </w:tcPr>
          <w:p>
            <w:pPr>
              <w:spacing w:after="0"/>
            </w:pPr>
            <w:r/>
            <w:r>
              <w:rPr>
                <w:rFonts w:ascii="Calibri" w:hAnsi="Calibri"/>
                <w:b w:val="0"/>
                <w:i w:val="0"/>
                <w:color w:val="101828"/>
                <w:sz w:val="16"/>
              </w:rPr>
              <w:t>Hold for 24 hours and require in-app confirmation from an existing session</w:t>
            </w:r>
          </w:p>
        </w:tc>
      </w:tr>
      <w:tr>
        <w:trPr>
          <w:cantSplit/>
        </w:trPr>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Any admin access from an unrecognised device</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6"/>
              </w:rPr>
              <w:t>Page the security owner; MFA is already mandatory for admin</w:t>
            </w:r>
          </w:p>
        </w:tc>
      </w:tr>
    </w:tbl>
    <w:p>
      <w:pPr>
        <w:spacing w:after="80"/>
      </w:pPr>
    </w:p>
    <w:p>
      <w:pPr>
        <w:spacing w:before="140" w:after="180"/>
        <w:ind w:left="144"/>
        <w:shd w:val="clear" w:color="auto" w:fill="FEF3C7"/>
        <w:pBdr>
          <w:left w:val="single" w:sz="18" w:space="6" w:color="FBBF24"/>
        </w:pBdr>
      </w:pPr>
      <w:r>
        <w:rPr>
          <w:rFonts w:ascii="Calibri" w:hAnsi="Calibri"/>
          <w:b/>
          <w:color w:val="FBBF24"/>
          <w:sz w:val="19"/>
        </w:rPr>
        <w:t xml:space="preserve">Payout redirection is the highest-value fraud.  </w:t>
      </w:r>
      <w:r>
        <w:rPr>
          <w:rFonts w:ascii="Calibri" w:hAnsi="Calibri"/>
          <w:b w:val="0"/>
          <w:i w:val="0"/>
          <w:color w:val="0B1F3A"/>
          <w:sz w:val="19"/>
        </w:rPr>
        <w:t xml:space="preserve">In Nigerian fraud, account takeover is rarely aimed at stealing a balance — there is little to steal until a payout. It is aimed at redirecting the next payout to an attacker's account. The defence is a </w:t>
      </w:r>
      <w:r>
        <w:rPr>
          <w:rFonts w:ascii="Calibri" w:hAnsi="Calibri"/>
          <w:b/>
          <w:color w:val="0B1F3A"/>
          <w:sz w:val="19"/>
        </w:rPr>
        <w:t>delay between changing a bank account and receiving a payout</w:t>
      </w:r>
      <w:r>
        <w:rPr>
          <w:rFonts w:ascii="Calibri" w:hAnsi="Calibri"/>
          <w:b w:val="0"/>
          <w:i w:val="0"/>
          <w:color w:val="0B1F3A"/>
          <w:sz w:val="19"/>
        </w:rPr>
        <w:t>, plus notification of every change to every registered channel. This single control is worth more than any amount of fraud scoring.</w:t>
      </w:r>
    </w:p>
    <w:p>
      <w:pPr>
        <w:pStyle w:val="Heading2"/>
      </w:pPr>
      <w:r>
        <w:rPr>
          <w:rFonts w:ascii="Calibri" w:hAnsi="Calibri"/>
          <w:b/>
          <w:i w:val="0"/>
          <w:color w:val="146EF5"/>
          <w:sz w:val="29"/>
        </w:rPr>
        <w:t>12.9 Segregation of duties</w:t>
      </w:r>
    </w:p>
    <w:p>
      <w:pPr>
        <w:pStyle w:val="ListBullet"/>
        <w:spacing w:after="60"/>
        <w:ind w:left="360"/>
      </w:pPr>
      <w:r>
        <w:rPr>
          <w:rFonts w:ascii="Calibri" w:hAnsi="Calibri"/>
          <w:b w:val="0"/>
          <w:i w:val="0"/>
          <w:color w:val="101828"/>
          <w:sz w:val="21"/>
        </w:rPr>
        <w:t xml:space="preserve">No person may both </w:t>
      </w:r>
      <w:r>
        <w:rPr>
          <w:rFonts w:ascii="Calibri" w:hAnsi="Calibri"/>
          <w:b/>
          <w:color w:val="101828"/>
          <w:sz w:val="21"/>
        </w:rPr>
        <w:t>initiate</w:t>
      </w:r>
      <w:r>
        <w:rPr>
          <w:rFonts w:ascii="Calibri" w:hAnsi="Calibri"/>
          <w:b w:val="0"/>
          <w:i w:val="0"/>
          <w:color w:val="101828"/>
          <w:sz w:val="21"/>
        </w:rPr>
        <w:t xml:space="preserve"> and </w:t>
      </w:r>
      <w:r>
        <w:rPr>
          <w:rFonts w:ascii="Calibri" w:hAnsi="Calibri"/>
          <w:b/>
          <w:color w:val="101828"/>
          <w:sz w:val="21"/>
        </w:rPr>
        <w:t>approve</w:t>
      </w:r>
      <w:r>
        <w:rPr>
          <w:rFonts w:ascii="Calibri" w:hAnsi="Calibri"/>
          <w:b w:val="0"/>
          <w:i w:val="0"/>
          <w:color w:val="101828"/>
          <w:sz w:val="21"/>
        </w:rPr>
        <w:t xml:space="preserve"> a manual intervention, a refund above a threshold, or a ledger correction.</w:t>
      </w:r>
    </w:p>
    <w:p>
      <w:pPr>
        <w:pStyle w:val="ListBullet"/>
        <w:spacing w:after="60"/>
        <w:ind w:left="360"/>
      </w:pPr>
      <w:r>
        <w:rPr>
          <w:rFonts w:ascii="Calibri" w:hAnsi="Calibri"/>
          <w:b w:val="0"/>
          <w:i w:val="0"/>
          <w:color w:val="101828"/>
          <w:sz w:val="21"/>
        </w:rPr>
        <w:t>Risk decisions and dispute resolutions are logged with actor, timestamp, reason and the evidence considered.</w:t>
      </w:r>
    </w:p>
    <w:p>
      <w:pPr>
        <w:pStyle w:val="ListBullet"/>
        <w:spacing w:after="60"/>
        <w:ind w:left="360"/>
      </w:pPr>
      <w:r>
        <w:rPr>
          <w:rFonts w:ascii="Calibri" w:hAnsi="Calibri"/>
          <w:b w:val="0"/>
          <w:i w:val="0"/>
          <w:color w:val="101828"/>
          <w:sz w:val="21"/>
        </w:rPr>
        <w:t xml:space="preserve">Every privileged action writes an </w:t>
      </w:r>
      <w:r>
        <w:rPr>
          <w:rFonts w:ascii="Consolas" w:hAnsi="Consolas"/>
          <w:color w:val="146EF5"/>
          <w:sz w:val="21"/>
        </w:rPr>
        <w:t>audit_logs</w:t>
      </w:r>
      <w:r>
        <w:rPr>
          <w:rFonts w:ascii="Calibri" w:hAnsi="Calibri"/>
          <w:b w:val="0"/>
          <w:i w:val="0"/>
          <w:color w:val="101828"/>
          <w:sz w:val="21"/>
        </w:rPr>
        <w:t xml:space="preserve"> row that is append-only. A privileged action without an audit record is treated as a security incident in itself.</w:t>
      </w:r>
    </w:p>
    <w:p>
      <w:pPr>
        <w:pStyle w:val="ListBullet"/>
        <w:spacing w:after="60"/>
        <w:ind w:left="360"/>
      </w:pPr>
      <w:r>
        <w:rPr>
          <w:rFonts w:ascii="Calibri" w:hAnsi="Calibri"/>
          <w:b w:val="0"/>
          <w:i w:val="0"/>
          <w:color w:val="101828"/>
          <w:sz w:val="21"/>
        </w:rPr>
        <w:t>Production database access is time-boxed, ticket-justified and logged. Direct production data edits are prohibited — corrections go through the application so they are validated and recorded.</w:t>
      </w:r>
    </w:p>
    <w:p>
      <w:pPr>
        <w:pStyle w:val="Heading2"/>
      </w:pPr>
      <w:r>
        <w:rPr>
          <w:rFonts w:ascii="Calibri" w:hAnsi="Calibri"/>
          <w:b/>
          <w:i w:val="0"/>
          <w:color w:val="146EF5"/>
          <w:sz w:val="29"/>
        </w:rPr>
        <w:t>12.10 Session and access audit</w:t>
      </w:r>
    </w:p>
    <w:p>
      <w:r>
        <w:rPr>
          <w:rFonts w:ascii="Calibri" w:hAnsi="Calibri"/>
          <w:b w:val="0"/>
          <w:i w:val="0"/>
          <w:color w:val="101828"/>
          <w:sz w:val="21"/>
        </w:rPr>
        <w:t xml:space="preserve">The following are recorded and retained for the periods required by section 24, whose retention periods </w:t>
      </w:r>
      <w:r>
        <w:rPr>
          <w:rFonts w:ascii="Calibri" w:hAnsi="Calibri"/>
          <w:b/>
          <w:color w:val="101828"/>
          <w:sz w:val="21"/>
        </w:rPr>
        <w:t>require confirmation by Nigerian legal counsel</w:t>
      </w:r>
      <w:r>
        <w:rPr>
          <w:rFonts w:ascii="Calibri" w:hAnsi="Calibri"/>
          <w:b w:val="0"/>
          <w:i w:val="0"/>
          <w:color w:val="101828"/>
          <w:sz w:val="21"/>
        </w:rPr>
        <w:t xml:space="preserve">: successful and failed logins, token refreshes, token-reuse detections, password changes, email and phone changes, bank-account changes, MFA enrolment and removal, every role assignment, every session revocation, and every step-up challenge. This record is what allows AJO.ng to answer, months later, the question a member will inevitably ask: </w:t>
      </w:r>
      <w:r>
        <w:rPr>
          <w:rFonts w:ascii="Calibri" w:hAnsi="Calibri"/>
          <w:i/>
          <w:color w:val="101828"/>
          <w:sz w:val="21"/>
        </w:rPr>
        <w:t>who changed my bank details, and when?</w:t>
      </w:r>
    </w:p>
    <w:p>
      <w:r>
        <w:br w:type="page"/>
      </w:r>
    </w:p>
    <w:p>
      <w:pPr>
        <w:pStyle w:val="Heading1"/>
        <w:pBdr>
          <w:bottom w:val="single" w:sz="12" w:space="6" w:color="146EF5"/>
        </w:pBdr>
        <w:spacing w:after="240"/>
      </w:pPr>
      <w:r>
        <w:rPr>
          <w:rFonts w:ascii="Calibri" w:hAnsi="Calibri"/>
          <w:b/>
          <w:i w:val="0"/>
          <w:color w:val="0B1F3A"/>
          <w:sz w:val="40"/>
        </w:rPr>
        <w:t>13. Payments, Reconciliation and Operations</w:t>
      </w:r>
    </w:p>
    <w:p>
      <w:pPr>
        <w:spacing w:after="200"/>
      </w:pPr>
      <w:r>
        <w:rPr>
          <w:rFonts w:ascii="Calibri" w:hAnsi="Calibri"/>
          <w:b w:val="0"/>
          <w:i w:val="0"/>
          <w:color w:val="475467"/>
          <w:sz w:val="24"/>
        </w:rPr>
        <w:t>This is the section that determines whether AJO.ng is a fintech or a group-chat app with a payment button. Every rule here is written on the assumption that money may fail in transit, arrive late, arrive twice, or arrive from someone we cannot identify. The system must be correct in all of those cases, not merely in the happy path.</w:t>
      </w:r>
    </w:p>
    <w:p>
      <w:pPr>
        <w:pStyle w:val="Heading2"/>
      </w:pPr>
      <w:r>
        <w:rPr>
          <w:rFonts w:ascii="Calibri" w:hAnsi="Calibri"/>
          <w:b/>
          <w:i w:val="0"/>
          <w:color w:val="146EF5"/>
          <w:sz w:val="29"/>
        </w:rPr>
        <w:t>13.1 Principles</w:t>
      </w:r>
    </w:p>
    <w:p>
      <w:pPr>
        <w:pStyle w:val="ListNumber"/>
        <w:spacing w:after="60"/>
        <w:ind w:left="432"/>
      </w:pPr>
      <w:r>
        <w:rPr>
          <w:rFonts w:ascii="Calibri" w:hAnsi="Calibri"/>
          <w:b/>
          <w:color w:val="101828"/>
          <w:sz w:val="21"/>
        </w:rPr>
        <w:t>Money movement is not a side effect of a business rule; it is the business rule.</w:t>
      </w:r>
      <w:r>
        <w:rPr>
          <w:rFonts w:ascii="Calibri" w:hAnsi="Calibri"/>
          <w:b w:val="0"/>
          <w:i w:val="0"/>
          <w:color w:val="101828"/>
          <w:sz w:val="21"/>
        </w:rPr>
        <w:t xml:space="preserve"> No payout is considered issued until the ledger records it, regardless of what a provider API returned.</w:t>
      </w:r>
    </w:p>
    <w:p>
      <w:pPr>
        <w:pStyle w:val="ListNumber"/>
        <w:spacing w:after="60"/>
        <w:ind w:left="432"/>
      </w:pPr>
      <w:r>
        <w:rPr>
          <w:rFonts w:ascii="Calibri" w:hAnsi="Calibri"/>
          <w:b/>
          <w:color w:val="101828"/>
          <w:sz w:val="21"/>
        </w:rPr>
        <w:t>The ledger is the source of truth.</w:t>
      </w:r>
      <w:r>
        <w:rPr>
          <w:rFonts w:ascii="Calibri" w:hAnsi="Calibri"/>
          <w:b w:val="0"/>
          <w:i w:val="0"/>
          <w:color w:val="101828"/>
          <w:sz w:val="21"/>
        </w:rPr>
        <w:t xml:space="preserve"> Provider balances, bank statements and internal balances are reconciled against it, never the other way round.</w:t>
      </w:r>
    </w:p>
    <w:p>
      <w:pPr>
        <w:pStyle w:val="ListNumber"/>
        <w:spacing w:after="60"/>
        <w:ind w:left="432"/>
      </w:pPr>
      <w:r>
        <w:rPr>
          <w:rFonts w:ascii="Calibri" w:hAnsi="Calibri"/>
          <w:b/>
          <w:color w:val="101828"/>
          <w:sz w:val="21"/>
        </w:rPr>
        <w:t>Every kobo has an owner.</w:t>
      </w:r>
      <w:r>
        <w:rPr>
          <w:rFonts w:ascii="Calibri" w:hAnsi="Calibri"/>
          <w:b w:val="0"/>
          <w:i w:val="0"/>
          <w:color w:val="101828"/>
          <w:sz w:val="21"/>
        </w:rPr>
        <w:t xml:space="preserve"> Segregated client-money accounts only. A member's balance is a claim on a ring-fenced ledger position, not a number in a database column that can drift.</w:t>
      </w:r>
    </w:p>
    <w:p>
      <w:pPr>
        <w:pStyle w:val="ListNumber"/>
        <w:spacing w:after="60"/>
        <w:ind w:left="432"/>
      </w:pPr>
      <w:r>
        <w:rPr>
          <w:rFonts w:ascii="Calibri" w:hAnsi="Calibri"/>
          <w:b/>
          <w:color w:val="101828"/>
          <w:sz w:val="21"/>
        </w:rPr>
        <w:t>Idempotency is mandatory.</w:t>
      </w:r>
      <w:r>
        <w:rPr>
          <w:rFonts w:ascii="Calibri" w:hAnsi="Calibri"/>
          <w:b w:val="0"/>
          <w:i w:val="0"/>
          <w:color w:val="101828"/>
          <w:sz w:val="21"/>
        </w:rPr>
        <w:t xml:space="preserve"> Every money-mutating endpoint accepts a client-generated idempotency key. A retry must never move money twice.</w:t>
      </w:r>
    </w:p>
    <w:p>
      <w:pPr>
        <w:pStyle w:val="ListNumber"/>
        <w:spacing w:after="60"/>
        <w:ind w:left="432"/>
      </w:pPr>
      <w:r>
        <w:rPr>
          <w:rFonts w:ascii="Calibri" w:hAnsi="Calibri"/>
          <w:b/>
          <w:color w:val="101828"/>
          <w:sz w:val="21"/>
        </w:rPr>
        <w:t>Reversal, not correction.</w:t>
      </w:r>
      <w:r>
        <w:rPr>
          <w:rFonts w:ascii="Calibri" w:hAnsi="Calibri"/>
          <w:b w:val="0"/>
          <w:i w:val="0"/>
          <w:color w:val="101828"/>
          <w:sz w:val="21"/>
        </w:rPr>
        <w:t xml:space="preserve"> A mistake is fixed by posting a reversing entry. No ledger row is ever updated or deleted.</w:t>
      </w:r>
    </w:p>
    <w:p>
      <w:pPr>
        <w:pStyle w:val="ListNumber"/>
        <w:spacing w:after="60"/>
        <w:ind w:left="432"/>
      </w:pPr>
      <w:r>
        <w:rPr>
          <w:rFonts w:ascii="Calibri" w:hAnsi="Calibri"/>
          <w:b/>
          <w:color w:val="101828"/>
          <w:sz w:val="21"/>
        </w:rPr>
        <w:t>Reconciliation is a first-class, continuous, automated process</w:t>
      </w:r>
      <w:r>
        <w:rPr>
          <w:rFonts w:ascii="Calibri" w:hAnsi="Calibri"/>
          <w:b w:val="0"/>
          <w:i w:val="0"/>
          <w:color w:val="101828"/>
          <w:sz w:val="21"/>
        </w:rPr>
        <w:t xml:space="preserve"> with a named human owner and a hard daily deadline.</w:t>
      </w:r>
    </w:p>
    <w:p>
      <w:pPr>
        <w:pStyle w:val="Heading2"/>
      </w:pPr>
      <w:r>
        <w:rPr>
          <w:rFonts w:ascii="Calibri" w:hAnsi="Calibri"/>
          <w:b/>
          <w:i w:val="0"/>
          <w:color w:val="146EF5"/>
          <w:sz w:val="29"/>
        </w:rPr>
        <w:t>13.2 Account and money structure</w:t>
      </w:r>
    </w:p>
    <w:p>
      <w:r>
        <w:rPr>
          <w:rFonts w:ascii="Calibri" w:hAnsi="Calibri"/>
          <w:b w:val="0"/>
          <w:i w:val="0"/>
          <w:color w:val="101828"/>
          <w:sz w:val="21"/>
        </w:rPr>
        <w:t xml:space="preserve">AJO.ng must be structured as an agent or partner arrangement with the payment provider or licensed partner, with collection accounts and payout accounts clearly distinct. Whether that constitutes custody of client funds is a </w:t>
      </w:r>
      <w:r>
        <w:rPr>
          <w:rFonts w:ascii="Calibri" w:hAnsi="Calibri"/>
          <w:b/>
          <w:color w:val="101828"/>
          <w:sz w:val="21"/>
        </w:rPr>
        <w:t>legal question that must be resolved before launch, and this document does not resolve it.</w:t>
      </w:r>
      <w:r>
        <w:rPr>
          <w:rFonts w:ascii="Calibri" w:hAnsi="Calibri"/>
          <w:b w:val="0"/>
          <w:i w:val="0"/>
          <w:color w:val="101828"/>
          <w:sz w:val="21"/>
        </w:rPr>
        <w:t xml:space="preserve"> What follows describes the operational shape, subject to that determination.</w:t>
      </w:r>
    </w:p>
    <w:p>
      <w:pPr>
        <w:pStyle w:val="ListBullet"/>
        <w:spacing w:after="60"/>
        <w:ind w:left="360"/>
      </w:pPr>
      <w:r>
        <w:rPr>
          <w:rFonts w:ascii="Calibri" w:hAnsi="Calibri"/>
          <w:b/>
          <w:color w:val="101828"/>
          <w:sz w:val="21"/>
        </w:rPr>
        <w:t>Collection accounts</w:t>
      </w:r>
      <w:r>
        <w:rPr>
          <w:rFonts w:ascii="Calibri" w:hAnsi="Calibri"/>
          <w:b w:val="0"/>
          <w:i w:val="0"/>
          <w:color w:val="101828"/>
          <w:sz w:val="21"/>
        </w:rPr>
        <w:t xml:space="preserve"> — receive member contributions. One or more, with a separate account for the 2% fee so fee revenue is never commingled with client money.</w:t>
      </w:r>
    </w:p>
    <w:p>
      <w:pPr>
        <w:pStyle w:val="ListBullet"/>
        <w:spacing w:after="60"/>
        <w:ind w:left="360"/>
      </w:pPr>
      <w:r>
        <w:rPr>
          <w:rFonts w:ascii="Calibri" w:hAnsi="Calibri"/>
          <w:b/>
          <w:color w:val="101828"/>
          <w:sz w:val="21"/>
        </w:rPr>
        <w:t>Payout account</w:t>
      </w:r>
      <w:r>
        <w:rPr>
          <w:rFonts w:ascii="Calibri" w:hAnsi="Calibri"/>
          <w:b w:val="0"/>
          <w:i w:val="0"/>
          <w:color w:val="101828"/>
          <w:sz w:val="21"/>
        </w:rPr>
        <w:t xml:space="preserve"> — the single account from which member payouts are sent.</w:t>
      </w:r>
    </w:p>
    <w:p>
      <w:pPr>
        <w:pStyle w:val="ListBullet"/>
        <w:spacing w:after="60"/>
        <w:ind w:left="360"/>
      </w:pPr>
      <w:r>
        <w:rPr>
          <w:rFonts w:ascii="Calibri" w:hAnsi="Calibri"/>
          <w:b/>
          <w:color w:val="101828"/>
          <w:sz w:val="21"/>
        </w:rPr>
        <w:t>Operating account</w:t>
      </w:r>
      <w:r>
        <w:rPr>
          <w:rFonts w:ascii="Calibri" w:hAnsi="Calibri"/>
          <w:b w:val="0"/>
          <w:i w:val="0"/>
          <w:color w:val="101828"/>
          <w:sz w:val="21"/>
        </w:rPr>
        <w:t xml:space="preserve"> — platform costs, refunds, and revenue. Never debited for client obligations.</w:t>
      </w:r>
    </w:p>
    <w:p>
      <w:pPr>
        <w:pStyle w:val="ListBullet"/>
        <w:spacing w:after="60"/>
        <w:ind w:left="360"/>
      </w:pPr>
      <w:r>
        <w:rPr>
          <w:rFonts w:ascii="Calibri" w:hAnsi="Calibri"/>
          <w:b/>
          <w:color w:val="101828"/>
          <w:sz w:val="21"/>
        </w:rPr>
        <w:t>Reconciliation account</w:t>
      </w:r>
      <w:r>
        <w:rPr>
          <w:rFonts w:ascii="Calibri" w:hAnsi="Calibri"/>
          <w:b w:val="0"/>
          <w:i w:val="0"/>
          <w:color w:val="101828"/>
          <w:sz w:val="21"/>
        </w:rPr>
        <w:t xml:space="preserve"> — holds unidentified or unmatched inbound payments pending investigation.</w:t>
      </w:r>
    </w:p>
    <w:p>
      <w:pPr>
        <w:pStyle w:val="ListBullet"/>
        <w:spacing w:after="60"/>
        <w:ind w:left="360"/>
      </w:pPr>
      <w:r>
        <w:rPr>
          <w:rFonts w:ascii="Calibri" w:hAnsi="Calibri"/>
          <w:b w:val="0"/>
          <w:i w:val="0"/>
          <w:color w:val="101828"/>
          <w:sz w:val="21"/>
        </w:rPr>
        <w:t>Every account has a named purpose, a documented daily reconciliation owner, and a documented escalation path.</w:t>
      </w:r>
    </w:p>
    <w:p>
      <w:pPr>
        <w:spacing w:before="140" w:after="180"/>
        <w:ind w:left="144"/>
        <w:shd w:val="clear" w:color="auto" w:fill="FEF3C7"/>
        <w:pBdr>
          <w:left w:val="single" w:sz="18" w:space="6" w:color="FBBF24"/>
        </w:pBdr>
      </w:pPr>
      <w:r>
        <w:rPr>
          <w:rFonts w:ascii="Calibri" w:hAnsi="Calibri"/>
          <w:b/>
          <w:color w:val="FBBF24"/>
          <w:sz w:val="19"/>
        </w:rPr>
        <w:t xml:space="preserve">No account may be used for two purposes.  </w:t>
      </w:r>
      <w:r>
        <w:rPr>
          <w:rFonts w:ascii="Calibri" w:hAnsi="Calibri"/>
          <w:b w:val="0"/>
          <w:i w:val="0"/>
          <w:color w:val="0B1F3A"/>
          <w:sz w:val="19"/>
        </w:rPr>
        <w:t>The most common cause of a reconciliation failure in a young fintech is a single account that receives both contributions and something else — a top-up, a refund, a transfer between Ajos. Once that happens, attributing an inbound payment to a specific Ajo member becomes guesswork, and the platform's own numbers become unreliable. Separate accounts by purpose from day one, even if it means more statements to reconcile.</w:t>
      </w:r>
    </w:p>
    <w:p>
      <w:pPr>
        <w:pStyle w:val="Heading2"/>
      </w:pPr>
      <w:r>
        <w:rPr>
          <w:rFonts w:ascii="Calibri" w:hAnsi="Calibri"/>
          <w:b/>
          <w:i w:val="0"/>
          <w:color w:val="146EF5"/>
          <w:sz w:val="29"/>
        </w:rPr>
        <w:t>13.3 The contribution flow</w:t>
      </w:r>
    </w:p>
    <w:p>
      <w:pPr>
        <w:pStyle w:val="Heading3"/>
      </w:pPr>
      <w:r>
        <w:rPr>
          <w:rFonts w:ascii="Calibri" w:hAnsi="Calibri"/>
          <w:b/>
          <w:i w:val="0"/>
          <w:color w:val="0B1F3A"/>
          <w:sz w:val="24"/>
        </w:rPr>
        <w:t>13.3.1 Sequence</w:t>
      </w:r>
    </w:p>
    <w:p>
      <w:r>
        <w:rPr>
          <w:rFonts w:ascii="Calibri" w:hAnsi="Calibri"/>
          <w:b w:val="0"/>
          <w:i w:val="0"/>
          <w:color w:val="101828"/>
          <w:sz w:val="21"/>
        </w:rPr>
        <w:t xml:space="preserve">Two different things are happening here and they must not be confused. The </w:t>
      </w:r>
      <w:r>
        <w:rPr>
          <w:rFonts w:ascii="Calibri" w:hAnsi="Calibri"/>
          <w:b/>
          <w:color w:val="101828"/>
          <w:sz w:val="21"/>
        </w:rPr>
        <w:t>payment provider</w:t>
      </w:r>
      <w:r>
        <w:rPr>
          <w:rFonts w:ascii="Calibri" w:hAnsi="Calibri"/>
          <w:b w:val="0"/>
          <w:i w:val="0"/>
          <w:color w:val="101828"/>
          <w:sz w:val="21"/>
        </w:rPr>
        <w:t xml:space="preserve"> has a genuine two-phase lifecycle — an initiation that is </w:t>
      </w:r>
      <w:r>
        <w:rPr>
          <w:rFonts w:ascii="Calibri" w:hAnsi="Calibri"/>
          <w:i/>
          <w:color w:val="101828"/>
          <w:sz w:val="21"/>
        </w:rPr>
        <w:t>pending</w:t>
      </w:r>
      <w:r>
        <w:rPr>
          <w:rFonts w:ascii="Calibri" w:hAnsi="Calibri"/>
          <w:b w:val="0"/>
          <w:i w:val="0"/>
          <w:color w:val="101828"/>
          <w:sz w:val="21"/>
        </w:rPr>
        <w:t xml:space="preserve"> and a capture that is </w:t>
      </w:r>
      <w:r>
        <w:rPr>
          <w:rFonts w:ascii="Calibri" w:hAnsi="Calibri"/>
          <w:i/>
          <w:color w:val="101828"/>
          <w:sz w:val="21"/>
        </w:rPr>
        <w:t>confirmed by webhook</w:t>
      </w:r>
      <w:r>
        <w:rPr>
          <w:rFonts w:ascii="Calibri" w:hAnsi="Calibri"/>
          <w:b w:val="0"/>
          <w:i w:val="0"/>
          <w:color w:val="101828"/>
          <w:sz w:val="21"/>
        </w:rPr>
        <w:t xml:space="preserve">. The </w:t>
      </w:r>
      <w:r>
        <w:rPr>
          <w:rFonts w:ascii="Calibri" w:hAnsi="Calibri"/>
          <w:b/>
          <w:color w:val="101828"/>
          <w:sz w:val="21"/>
        </w:rPr>
        <w:t>ledger</w:t>
      </w:r>
      <w:r>
        <w:rPr>
          <w:rFonts w:ascii="Calibri" w:hAnsi="Calibri"/>
          <w:b w:val="0"/>
          <w:i w:val="0"/>
          <w:color w:val="101828"/>
          <w:sz w:val="21"/>
        </w:rPr>
        <w:t xml:space="preserve">, by contrast, records only money that has actually arrived. A pending authorization is not a receipt, so it produces no balanced entry; it produces a payment record in </w:t>
      </w:r>
      <w:r>
        <w:rPr>
          <w:rFonts w:ascii="Consolas" w:hAnsi="Consolas"/>
          <w:color w:val="146EF5"/>
          <w:sz w:val="21"/>
        </w:rPr>
        <w:t>PENDING</w:t>
      </w:r>
      <w:r>
        <w:rPr>
          <w:rFonts w:ascii="Calibri" w:hAnsi="Calibri"/>
          <w:b w:val="0"/>
          <w:i w:val="0"/>
          <w:color w:val="101828"/>
          <w:sz w:val="21"/>
        </w:rPr>
        <w:t xml:space="preserve"> state and nothing else.</w:t>
      </w:r>
    </w:p>
    <w:p>
      <w:pPr>
        <w:spacing w:before="0" w:after="0" w:line="240" w:lineRule="auto"/>
        <w:ind w:left="230"/>
        <w:shd w:val="clear" w:color="auto" w:fill="F7F9FC"/>
        <w:pBdr>
          <w:left w:val="single" w:sz="4" w:space="6" w:color="D0D5DD"/>
        </w:pBdr>
      </w:pPr>
      <w:r>
        <w:rPr>
          <w:rFonts w:ascii="Consolas" w:hAnsi="Consolas"/>
          <w:color w:val="0B1F3A"/>
          <w:sz w:val="15"/>
        </w:rPr>
        <w:t xml:space="preserve">  member            API              payment record    PSP</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choose Ajo      │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confirm amount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 base + 2% fee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 idempotency key│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amount shown ──│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payment sheet / │ create record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transfer        │ status PENDING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initiate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redirect or transfer instructions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(member pays) │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webhook: success or failure</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verify signature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match reference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and amount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 LEDGER — only on confirmed capture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 contribution.received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   debit  escrow_cash            100_000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   credit contributions_receivable 100_000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 fee.recognised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   debit  escrow_cash                2_000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   credit fees_income                2_000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 position in the Ajo is now funded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confirmation ──│ notify member, update position    │</w:t>
      </w:r>
    </w:p>
    <w:p>
      <w:r>
        <w:rPr>
          <w:rFonts w:ascii="Calibri" w:hAnsi="Calibri"/>
          <w:b w:val="0"/>
          <w:i w:val="0"/>
          <w:color w:val="101828"/>
          <w:sz w:val="21"/>
        </w:rPr>
        <w:t>The two entries are each balanced on their own, which is what the ledger requires. They are posted separately, rather than as one entry with two credit lines, so that a provider refund can reverse the member's contribution while leaving the earned fee intact. Collapsing them into a single posting makes that outcome impossible to express.</w:t>
      </w:r>
    </w:p>
    <w:p>
      <w:r>
        <w:rPr>
          <w:rFonts w:ascii="Calibri" w:hAnsi="Calibri"/>
          <w:b w:val="0"/>
          <w:i w:val="0"/>
          <w:color w:val="101828"/>
          <w:sz w:val="21"/>
        </w:rPr>
        <w:t xml:space="preserve">Only after capture is a member's position in the Ajo considered funded. A member who abandons the payment sheet leaves a record in </w:t>
      </w:r>
      <w:r>
        <w:rPr>
          <w:rFonts w:ascii="Consolas" w:hAnsi="Consolas"/>
          <w:color w:val="146EF5"/>
          <w:sz w:val="21"/>
        </w:rPr>
        <w:t>PENDING</w:t>
      </w:r>
      <w:r>
        <w:rPr>
          <w:rFonts w:ascii="Calibri" w:hAnsi="Calibri"/>
          <w:b w:val="0"/>
          <w:i w:val="0"/>
          <w:color w:val="101828"/>
          <w:sz w:val="21"/>
        </w:rPr>
        <w:t xml:space="preserve">, not a position in </w:t>
      </w:r>
      <w:r>
        <w:rPr>
          <w:rFonts w:ascii="Consolas" w:hAnsi="Consolas"/>
          <w:color w:val="146EF5"/>
          <w:sz w:val="21"/>
        </w:rPr>
        <w:t>PAID</w:t>
      </w:r>
      <w:r>
        <w:rPr>
          <w:rFonts w:ascii="Calibri" w:hAnsi="Calibri"/>
          <w:b w:val="0"/>
          <w:i w:val="0"/>
          <w:color w:val="101828"/>
          <w:sz w:val="21"/>
        </w:rPr>
        <w:t>, and a webhook that never arrives leaves the same state until the reconciliation job resolves it — which is why an unmatched payment is an operational alert in section 13.8 rather than a silent timeout.</w:t>
      </w:r>
    </w:p>
    <w:p>
      <w:pPr>
        <w:pStyle w:val="Heading3"/>
      </w:pPr>
      <w:r>
        <w:rPr>
          <w:rFonts w:ascii="Calibri" w:hAnsi="Calibri"/>
          <w:b/>
          <w:i w:val="0"/>
          <w:color w:val="0B1F3A"/>
          <w:sz w:val="24"/>
        </w:rPr>
        <w:t>13.3.2 Fee calculation</w:t>
      </w:r>
    </w:p>
    <w:p>
      <w:pPr>
        <w:spacing w:before="0" w:after="0" w:line="240" w:lineRule="auto"/>
        <w:ind w:left="230"/>
        <w:shd w:val="clear" w:color="auto" w:fill="F7F9FC"/>
        <w:pBdr>
          <w:left w:val="single" w:sz="4" w:space="6" w:color="D0D5DD"/>
        </w:pBdr>
      </w:pPr>
      <w:r>
        <w:rPr>
          <w:rFonts w:ascii="Consolas" w:hAnsi="Consolas"/>
          <w:color w:val="0B1F3A"/>
          <w:sz w:val="15"/>
        </w:rPr>
        <w:t xml:space="preserve">  contribution_kobo = 100_000            // NGN 1,000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fee_kobo          = 2_000              // 2% = NGN 20</w:t>
      </w:r>
    </w:p>
    <w:p>
      <w:pPr>
        <w:spacing w:before="0" w:after="0" w:line="240" w:lineRule="auto"/>
        <w:ind w:left="230"/>
        <w:shd w:val="clear" w:color="auto" w:fill="F7F9FC"/>
        <w:pBdr>
          <w:left w:val="single" w:sz="4" w:space="6" w:color="D0D5DD"/>
        </w:pBdr>
      </w:pPr>
      <w:r>
        <w:rPr>
          <w:rFonts w:ascii="Consolas" w:hAnsi="Consolas"/>
          <w:color w:val="0B1F3A"/>
          <w:sz w:val="15"/>
        </w:rPr>
        <w:t xml:space="preserve">  amount_charged   = 102_000            // NGN 1,020</w:t>
      </w:r>
    </w:p>
    <w:p>
      <w:pPr>
        <w:spacing w:before="0" w:after="0" w:line="240" w:lineRule="auto"/>
        <w:ind w:left="230"/>
        <w:shd w:val="clear" w:color="auto" w:fill="F7F9FC"/>
        <w:pBdr>
          <w:left w:val="single" w:sz="4" w:space="6" w:color="D0D5DD"/>
        </w:pBdr>
      </w:pPr>
      <w:r>
        <w:rPr>
          <w:rFonts w:ascii="Consolas" w:hAnsi="Consolas"/>
          <w:color w:val="0B1F3A"/>
          <w:sz w:val="15"/>
        </w:rPr>
        <w:t xml:space="preserve">  recipient receives the base pool only: 1,000,000 kobo for NGN 10,000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Integer arithmetic only. fee_kobo = contribution_kobo * 2 / 100,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computed in kobo as a rounded integer, never in floating point.</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Base contribution</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Fee (2%)</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Total charged</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Recipient pool (base)</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Platform margin</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NGN 1,000</w:t>
            </w:r>
          </w:p>
        </w:tc>
        <w:tc>
          <w:tcPr>
            <w:tcW w:type="dxa" w:w="1728"/>
            <w:tcMar>
              <w:top w:w="60" w:type="dxa"/>
              <w:start w:w="110" w:type="dxa"/>
              <w:bottom w:w="60" w:type="dxa"/>
              <w:end w:w="110" w:type="dxa"/>
            </w:tcMar>
          </w:tcPr>
          <w:p>
            <w:pPr>
              <w:spacing w:after="0"/>
            </w:pPr>
            <w:r/>
            <w:r>
              <w:rPr>
                <w:rFonts w:ascii="Calibri" w:hAnsi="Calibri"/>
                <w:b w:val="0"/>
                <w:i w:val="0"/>
                <w:color w:val="101828"/>
                <w:sz w:val="16"/>
              </w:rPr>
              <w:t>NGN 20</w:t>
            </w:r>
          </w:p>
        </w:tc>
        <w:tc>
          <w:tcPr>
            <w:tcW w:type="dxa" w:w="2016"/>
            <w:tcMar>
              <w:top w:w="60" w:type="dxa"/>
              <w:start w:w="110" w:type="dxa"/>
              <w:bottom w:w="60" w:type="dxa"/>
              <w:end w:w="110" w:type="dxa"/>
            </w:tcMar>
          </w:tcPr>
          <w:p>
            <w:pPr>
              <w:spacing w:after="0"/>
            </w:pPr>
            <w:r/>
            <w:r>
              <w:rPr>
                <w:rFonts w:ascii="Calibri" w:hAnsi="Calibri"/>
                <w:b w:val="0"/>
                <w:i w:val="0"/>
                <w:color w:val="101828"/>
                <w:sz w:val="16"/>
              </w:rPr>
              <w:t>NGN 1,020</w:t>
            </w:r>
          </w:p>
        </w:tc>
        <w:tc>
          <w:tcPr>
            <w:tcW w:type="dxa" w:w="2736"/>
            <w:tcMar>
              <w:top w:w="60" w:type="dxa"/>
              <w:start w:w="110" w:type="dxa"/>
              <w:bottom w:w="60" w:type="dxa"/>
              <w:end w:w="110" w:type="dxa"/>
            </w:tcMar>
          </w:tcPr>
          <w:p>
            <w:pPr>
              <w:spacing w:after="0"/>
            </w:pPr>
            <w:r/>
            <w:r>
              <w:rPr>
                <w:rFonts w:ascii="Calibri" w:hAnsi="Calibri"/>
                <w:b w:val="0"/>
                <w:i w:val="0"/>
                <w:color w:val="101828"/>
                <w:sz w:val="16"/>
              </w:rPr>
              <w:t>NGN 10,000</w:t>
            </w:r>
          </w:p>
        </w:tc>
        <w:tc>
          <w:tcPr>
            <w:tcW w:type="dxa" w:w="2160"/>
            <w:tcMar>
              <w:top w:w="60" w:type="dxa"/>
              <w:start w:w="110" w:type="dxa"/>
              <w:bottom w:w="60" w:type="dxa"/>
              <w:end w:w="110" w:type="dxa"/>
            </w:tcMar>
          </w:tcPr>
          <w:p>
            <w:pPr>
              <w:spacing w:after="0"/>
            </w:pPr>
            <w:r/>
            <w:r>
              <w:rPr>
                <w:rFonts w:ascii="Calibri" w:hAnsi="Calibri"/>
                <w:b w:val="0"/>
                <w:i w:val="0"/>
                <w:color w:val="101828"/>
                <w:sz w:val="16"/>
              </w:rPr>
              <w:t>0.20%</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NGN 2,500</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NGN 50</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NGN 2,550</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NGN 10,000</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0.50%</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NGN 5,000</w:t>
            </w:r>
          </w:p>
        </w:tc>
        <w:tc>
          <w:tcPr>
            <w:tcW w:type="dxa" w:w="1728"/>
            <w:tcMar>
              <w:top w:w="60" w:type="dxa"/>
              <w:start w:w="110" w:type="dxa"/>
              <w:bottom w:w="60" w:type="dxa"/>
              <w:end w:w="110" w:type="dxa"/>
            </w:tcMar>
          </w:tcPr>
          <w:p>
            <w:pPr>
              <w:spacing w:after="0"/>
            </w:pPr>
            <w:r/>
            <w:r>
              <w:rPr>
                <w:rFonts w:ascii="Calibri" w:hAnsi="Calibri"/>
                <w:b w:val="0"/>
                <w:i w:val="0"/>
                <w:color w:val="101828"/>
                <w:sz w:val="16"/>
              </w:rPr>
              <w:t>NGN 100</w:t>
            </w:r>
          </w:p>
        </w:tc>
        <w:tc>
          <w:tcPr>
            <w:tcW w:type="dxa" w:w="2016"/>
            <w:tcMar>
              <w:top w:w="60" w:type="dxa"/>
              <w:start w:w="110" w:type="dxa"/>
              <w:bottom w:w="60" w:type="dxa"/>
              <w:end w:w="110" w:type="dxa"/>
            </w:tcMar>
          </w:tcPr>
          <w:p>
            <w:pPr>
              <w:spacing w:after="0"/>
            </w:pPr>
            <w:r/>
            <w:r>
              <w:rPr>
                <w:rFonts w:ascii="Calibri" w:hAnsi="Calibri"/>
                <w:b w:val="0"/>
                <w:i w:val="0"/>
                <w:color w:val="101828"/>
                <w:sz w:val="16"/>
              </w:rPr>
              <w:t>NGN 5,100</w:t>
            </w:r>
          </w:p>
        </w:tc>
        <w:tc>
          <w:tcPr>
            <w:tcW w:type="dxa" w:w="2736"/>
            <w:tcMar>
              <w:top w:w="60" w:type="dxa"/>
              <w:start w:w="110" w:type="dxa"/>
              <w:bottom w:w="60" w:type="dxa"/>
              <w:end w:w="110" w:type="dxa"/>
            </w:tcMar>
          </w:tcPr>
          <w:p>
            <w:pPr>
              <w:spacing w:after="0"/>
            </w:pPr>
            <w:r/>
            <w:r>
              <w:rPr>
                <w:rFonts w:ascii="Calibri" w:hAnsi="Calibri"/>
                <w:b w:val="0"/>
                <w:i w:val="0"/>
                <w:color w:val="101828"/>
                <w:sz w:val="16"/>
              </w:rPr>
              <w:t>NGN 10,000</w:t>
            </w:r>
          </w:p>
        </w:tc>
        <w:tc>
          <w:tcPr>
            <w:tcW w:type="dxa" w:w="2160"/>
            <w:tcMar>
              <w:top w:w="60" w:type="dxa"/>
              <w:start w:w="110" w:type="dxa"/>
              <w:bottom w:w="60" w:type="dxa"/>
              <w:end w:w="110" w:type="dxa"/>
            </w:tcMar>
          </w:tcPr>
          <w:p>
            <w:pPr>
              <w:spacing w:after="0"/>
            </w:pPr>
            <w:r/>
            <w:r>
              <w:rPr>
                <w:rFonts w:ascii="Calibri" w:hAnsi="Calibri"/>
                <w:b w:val="0"/>
                <w:i w:val="0"/>
                <w:color w:val="101828"/>
                <w:sz w:val="16"/>
              </w:rPr>
              <w:t>1.00%</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NGN 10,000</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NGN 200</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NGN 10,200</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NGN 10,000</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2.00%</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NGN 20,000</w:t>
            </w:r>
          </w:p>
        </w:tc>
        <w:tc>
          <w:tcPr>
            <w:tcW w:type="dxa" w:w="1728"/>
            <w:tcMar>
              <w:top w:w="60" w:type="dxa"/>
              <w:start w:w="110" w:type="dxa"/>
              <w:bottom w:w="60" w:type="dxa"/>
              <w:end w:w="110" w:type="dxa"/>
            </w:tcMar>
          </w:tcPr>
          <w:p>
            <w:pPr>
              <w:spacing w:after="0"/>
            </w:pPr>
            <w:r/>
            <w:r>
              <w:rPr>
                <w:rFonts w:ascii="Calibri" w:hAnsi="Calibri"/>
                <w:b w:val="0"/>
                <w:i w:val="0"/>
                <w:color w:val="101828"/>
                <w:sz w:val="16"/>
              </w:rPr>
              <w:t>NGN 400</w:t>
            </w:r>
          </w:p>
        </w:tc>
        <w:tc>
          <w:tcPr>
            <w:tcW w:type="dxa" w:w="2016"/>
            <w:tcMar>
              <w:top w:w="60" w:type="dxa"/>
              <w:start w:w="110" w:type="dxa"/>
              <w:bottom w:w="60" w:type="dxa"/>
              <w:end w:w="110" w:type="dxa"/>
            </w:tcMar>
          </w:tcPr>
          <w:p>
            <w:pPr>
              <w:spacing w:after="0"/>
            </w:pPr>
            <w:r/>
            <w:r>
              <w:rPr>
                <w:rFonts w:ascii="Calibri" w:hAnsi="Calibri"/>
                <w:b w:val="0"/>
                <w:i w:val="0"/>
                <w:color w:val="101828"/>
                <w:sz w:val="16"/>
              </w:rPr>
              <w:t>NGN 20,400</w:t>
            </w:r>
          </w:p>
        </w:tc>
        <w:tc>
          <w:tcPr>
            <w:tcW w:type="dxa" w:w="2736"/>
            <w:tcMar>
              <w:top w:w="60" w:type="dxa"/>
              <w:start w:w="110" w:type="dxa"/>
              <w:bottom w:w="60" w:type="dxa"/>
              <w:end w:w="110" w:type="dxa"/>
            </w:tcMar>
          </w:tcPr>
          <w:p>
            <w:pPr>
              <w:spacing w:after="0"/>
            </w:pPr>
            <w:r/>
            <w:r>
              <w:rPr>
                <w:rFonts w:ascii="Calibri" w:hAnsi="Calibri"/>
                <w:b w:val="0"/>
                <w:i w:val="0"/>
                <w:color w:val="101828"/>
                <w:sz w:val="16"/>
              </w:rPr>
              <w:t>NGN 10,000</w:t>
            </w:r>
          </w:p>
        </w:tc>
        <w:tc>
          <w:tcPr>
            <w:tcW w:type="dxa" w:w="2160"/>
            <w:tcMar>
              <w:top w:w="60" w:type="dxa"/>
              <w:start w:w="110" w:type="dxa"/>
              <w:bottom w:w="60" w:type="dxa"/>
              <w:end w:w="110" w:type="dxa"/>
            </w:tcMar>
          </w:tcPr>
          <w:p>
            <w:pPr>
              <w:spacing w:after="0"/>
            </w:pPr>
            <w:r/>
            <w:r>
              <w:rPr>
                <w:rFonts w:ascii="Calibri" w:hAnsi="Calibri"/>
                <w:b w:val="0"/>
                <w:i w:val="0"/>
                <w:color w:val="101828"/>
                <w:sz w:val="16"/>
              </w:rPr>
              <w:t>4.00%</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NGN 50,000</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NGN 1,000</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NGN 51,000</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NGN 10,000</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10.00%</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The margin rises steeply on small contributions.  </w:t>
      </w:r>
      <w:r>
        <w:rPr>
          <w:rFonts w:ascii="Calibri" w:hAnsi="Calibri"/>
          <w:b w:val="0"/>
          <w:i w:val="0"/>
          <w:color w:val="0B1F3A"/>
          <w:sz w:val="19"/>
        </w:rPr>
        <w:t xml:space="preserve">At a NGN 1,000 contribution AJO.ng earns 20% of the </w:t>
      </w:r>
      <w:r>
        <w:rPr>
          <w:rFonts w:ascii="Calibri" w:hAnsi="Calibri"/>
          <w:i/>
          <w:color w:val="0B1F3A"/>
          <w:sz w:val="19"/>
        </w:rPr>
        <w:t>contribution</w:t>
      </w:r>
      <w:r>
        <w:rPr>
          <w:rFonts w:ascii="Calibri" w:hAnsi="Calibri"/>
          <w:b w:val="0"/>
          <w:i w:val="0"/>
          <w:color w:val="0B1F3A"/>
          <w:sz w:val="19"/>
        </w:rPr>
        <w:t xml:space="preserve"> as margin. At NGN 50,000 it earns 2%. This is a deliberate product constraint: AJO groups are cash-flow products for people who save in small amounts, and the fee is readable and predictable at that scale — NGN 20, not 0.4% of something. It also means </w:t>
      </w:r>
      <w:r>
        <w:rPr>
          <w:rFonts w:ascii="Calibri" w:hAnsi="Calibri"/>
          <w:b/>
          <w:color w:val="0B1F3A"/>
          <w:sz w:val="19"/>
        </w:rPr>
        <w:t>the fee must never be described as a percentage of what the member receives</w:t>
      </w:r>
      <w:r>
        <w:rPr>
          <w:rFonts w:ascii="Calibri" w:hAnsi="Calibri"/>
          <w:b w:val="0"/>
          <w:i w:val="0"/>
          <w:color w:val="0B1F3A"/>
          <w:sz w:val="19"/>
        </w:rPr>
        <w:t>, because that framing inverts the relationship and confuses members badly.</w:t>
      </w:r>
    </w:p>
    <w:p>
      <w:pPr>
        <w:pStyle w:val="Heading3"/>
      </w:pPr>
      <w:r>
        <w:rPr>
          <w:rFonts w:ascii="Calibri" w:hAnsi="Calibri"/>
          <w:b/>
          <w:i w:val="0"/>
          <w:color w:val="0B1F3A"/>
          <w:sz w:val="24"/>
        </w:rPr>
        <w:t>13.3.3 Payment initiation, by rail</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Rail</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Instruments</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Typical use</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Settlement</w:t>
            </w:r>
          </w:p>
        </w:tc>
        <w:tc>
          <w:tcPr>
            <w:tcW w:type="dxa" w:w="2592"/>
            <w:shd w:val="clear" w:color="auto" w:fill="0B1F3A"/>
            <w:tcMar>
              <w:top w:w="60" w:type="dxa"/>
              <w:start w:w="110" w:type="dxa"/>
              <w:bottom w:w="60" w:type="dxa"/>
              <w:end w:w="110" w:type="dxa"/>
            </w:tcMar>
          </w:tcPr>
          <w:p>
            <w:pPr>
              <w:spacing w:after="0"/>
            </w:pPr>
            <w:r/>
            <w:r>
              <w:rPr>
                <w:rFonts w:ascii="Calibri" w:hAnsi="Calibri"/>
                <w:b/>
                <w:i w:val="0"/>
                <w:color w:val="FFFFFF"/>
                <w:sz w:val="16"/>
              </w:rPr>
              <w:t>Considerations</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Card (via provider)</w:t>
            </w:r>
          </w:p>
        </w:tc>
        <w:tc>
          <w:tcPr>
            <w:tcW w:type="dxa" w:w="2448"/>
            <w:tcMar>
              <w:top w:w="60" w:type="dxa"/>
              <w:start w:w="110" w:type="dxa"/>
              <w:bottom w:w="60" w:type="dxa"/>
              <w:end w:w="110" w:type="dxa"/>
            </w:tcMar>
          </w:tcPr>
          <w:p>
            <w:pPr>
              <w:spacing w:after="0"/>
            </w:pPr>
            <w:r/>
            <w:r>
              <w:rPr>
                <w:rFonts w:ascii="Calibri" w:hAnsi="Calibri"/>
                <w:b w:val="0"/>
                <w:i w:val="0"/>
                <w:color w:val="101828"/>
                <w:sz w:val="16"/>
              </w:rPr>
              <w:t>Verve, Mastercard, Visa</w:t>
            </w:r>
          </w:p>
        </w:tc>
        <w:tc>
          <w:tcPr>
            <w:tcW w:type="dxa" w:w="2304"/>
            <w:tcMar>
              <w:top w:w="60" w:type="dxa"/>
              <w:start w:w="110" w:type="dxa"/>
              <w:bottom w:w="60" w:type="dxa"/>
              <w:end w:w="110" w:type="dxa"/>
            </w:tcMar>
          </w:tcPr>
          <w:p>
            <w:pPr>
              <w:spacing w:after="0"/>
            </w:pPr>
            <w:r/>
            <w:r>
              <w:rPr>
                <w:rFonts w:ascii="Calibri" w:hAnsi="Calibri"/>
                <w:b w:val="0"/>
                <w:i w:val="0"/>
                <w:color w:val="101828"/>
                <w:sz w:val="16"/>
              </w:rPr>
              <w:t>Members without a funded bank account</w:t>
            </w:r>
          </w:p>
        </w:tc>
        <w:tc>
          <w:tcPr>
            <w:tcW w:type="dxa" w:w="1728"/>
            <w:tcMar>
              <w:top w:w="60" w:type="dxa"/>
              <w:start w:w="110" w:type="dxa"/>
              <w:bottom w:w="60" w:type="dxa"/>
              <w:end w:w="110" w:type="dxa"/>
            </w:tcMar>
          </w:tcPr>
          <w:p>
            <w:pPr>
              <w:spacing w:after="0"/>
            </w:pPr>
            <w:r/>
            <w:r>
              <w:rPr>
                <w:rFonts w:ascii="Calibri" w:hAnsi="Calibri"/>
                <w:b w:val="0"/>
                <w:i w:val="0"/>
                <w:color w:val="101828"/>
                <w:sz w:val="16"/>
              </w:rPr>
              <w:t>Instant to T+1</w:t>
            </w:r>
          </w:p>
        </w:tc>
        <w:tc>
          <w:tcPr>
            <w:tcW w:type="dxa" w:w="2592"/>
            <w:tcMar>
              <w:top w:w="60" w:type="dxa"/>
              <w:start w:w="110" w:type="dxa"/>
              <w:bottom w:w="60" w:type="dxa"/>
              <w:end w:w="110" w:type="dxa"/>
            </w:tcMar>
          </w:tcPr>
          <w:p>
            <w:pPr>
              <w:spacing w:after="0"/>
            </w:pPr>
            <w:r/>
            <w:r>
              <w:rPr>
                <w:rFonts w:ascii="Calibri" w:hAnsi="Calibri"/>
                <w:b w:val="0"/>
                <w:i w:val="0"/>
                <w:color w:val="101828"/>
                <w:sz w:val="16"/>
              </w:rPr>
              <w:t>3-D Secure on desktop; 3DS exemptions and friction are a real conversion risk</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Bank transfer</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Transfer by NIP, USSD, bank app</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Primary rail; members already trust their own bank</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Typically same-day</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Requires the member to leave the app; transfer-reference matching must be reliable</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Mobile money</w:t>
            </w:r>
          </w:p>
        </w:tc>
        <w:tc>
          <w:tcPr>
            <w:tcW w:type="dxa" w:w="2448"/>
            <w:tcMar>
              <w:top w:w="60" w:type="dxa"/>
              <w:start w:w="110" w:type="dxa"/>
              <w:bottom w:w="60" w:type="dxa"/>
              <w:end w:w="110" w:type="dxa"/>
            </w:tcMar>
          </w:tcPr>
          <w:p>
            <w:pPr>
              <w:spacing w:after="0"/>
            </w:pPr>
            <w:r/>
            <w:r>
              <w:rPr>
                <w:rFonts w:ascii="Calibri" w:hAnsi="Calibri"/>
                <w:b w:val="0"/>
                <w:i w:val="0"/>
                <w:color w:val="101828"/>
                <w:sz w:val="16"/>
              </w:rPr>
              <w:t>MTN MoMo, Airtel Money</w:t>
            </w:r>
          </w:p>
        </w:tc>
        <w:tc>
          <w:tcPr>
            <w:tcW w:type="dxa" w:w="2304"/>
            <w:tcMar>
              <w:top w:w="60" w:type="dxa"/>
              <w:start w:w="110" w:type="dxa"/>
              <w:bottom w:w="60" w:type="dxa"/>
              <w:end w:w="110" w:type="dxa"/>
            </w:tcMar>
          </w:tcPr>
          <w:p>
            <w:pPr>
              <w:spacing w:after="0"/>
            </w:pPr>
            <w:r/>
            <w:r>
              <w:rPr>
                <w:rFonts w:ascii="Calibri" w:hAnsi="Calibri"/>
                <w:b w:val="0"/>
                <w:i w:val="0"/>
                <w:color w:val="101828"/>
                <w:sz w:val="16"/>
              </w:rPr>
              <w:t>Widely used; valuable for unbanked and unbanked-adjacent members</w:t>
            </w:r>
          </w:p>
        </w:tc>
        <w:tc>
          <w:tcPr>
            <w:tcW w:type="dxa" w:w="1728"/>
            <w:tcMar>
              <w:top w:w="60" w:type="dxa"/>
              <w:start w:w="110" w:type="dxa"/>
              <w:bottom w:w="60" w:type="dxa"/>
              <w:end w:w="110" w:type="dxa"/>
            </w:tcMar>
          </w:tcPr>
          <w:p>
            <w:pPr>
              <w:spacing w:after="0"/>
            </w:pPr>
            <w:r/>
            <w:r>
              <w:rPr>
                <w:rFonts w:ascii="Calibri" w:hAnsi="Calibri"/>
                <w:b w:val="0"/>
                <w:i w:val="0"/>
                <w:color w:val="101828"/>
                <w:sz w:val="16"/>
              </w:rPr>
              <w:t>Instant</w:t>
            </w:r>
          </w:p>
        </w:tc>
        <w:tc>
          <w:tcPr>
            <w:tcW w:type="dxa" w:w="2592"/>
            <w:tcMar>
              <w:top w:w="60" w:type="dxa"/>
              <w:start w:w="110" w:type="dxa"/>
              <w:bottom w:w="60" w:type="dxa"/>
              <w:end w:w="110" w:type="dxa"/>
            </w:tcMar>
          </w:tcPr>
          <w:p>
            <w:pPr>
              <w:spacing w:after="0"/>
            </w:pPr>
            <w:r/>
            <w:r>
              <w:rPr>
                <w:rFonts w:ascii="Calibri" w:hAnsi="Calibri"/>
                <w:b w:val="0"/>
                <w:i w:val="0"/>
                <w:color w:val="101828"/>
                <w:sz w:val="16"/>
              </w:rPr>
              <w:t>Wallet limits vary by provider and by regulation; must be handled and displayed</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USSD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Provider-driven code</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Feature-phone fallback</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Instant</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No app required — a deliberate inclusion decision, not an afterthought</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Card funded via bank (Pay by Bank)</w:t>
            </w:r>
          </w:p>
        </w:tc>
        <w:tc>
          <w:tcPr>
            <w:tcW w:type="dxa" w:w="2448"/>
            <w:tcMar>
              <w:top w:w="60" w:type="dxa"/>
              <w:start w:w="110" w:type="dxa"/>
              <w:bottom w:w="60" w:type="dxa"/>
              <w:end w:w="110" w:type="dxa"/>
            </w:tcMar>
          </w:tcPr>
          <w:p>
            <w:pPr>
              <w:spacing w:after="0"/>
            </w:pPr>
            <w:r/>
            <w:r>
              <w:rPr>
                <w:rFonts w:ascii="Calibri" w:hAnsi="Calibri"/>
                <w:b w:val="0"/>
                <w:i w:val="0"/>
                <w:color w:val="101828"/>
                <w:sz w:val="16"/>
              </w:rPr>
              <w:t>Card linked to a bank account</w:t>
            </w:r>
          </w:p>
        </w:tc>
        <w:tc>
          <w:tcPr>
            <w:tcW w:type="dxa" w:w="2304"/>
            <w:tcMar>
              <w:top w:w="60" w:type="dxa"/>
              <w:start w:w="110" w:type="dxa"/>
              <w:bottom w:w="60" w:type="dxa"/>
              <w:end w:w="110" w:type="dxa"/>
            </w:tcMar>
          </w:tcPr>
          <w:p>
            <w:pPr>
              <w:spacing w:after="0"/>
            </w:pPr>
            <w:r/>
            <w:r>
              <w:rPr>
                <w:rFonts w:ascii="Calibri" w:hAnsi="Calibri"/>
                <w:b w:val="0"/>
                <w:i w:val="0"/>
                <w:color w:val="101828"/>
                <w:sz w:val="16"/>
              </w:rPr>
              <w:t>Card-unavailable members</w:t>
            </w:r>
          </w:p>
        </w:tc>
        <w:tc>
          <w:tcPr>
            <w:tcW w:type="dxa" w:w="1728"/>
            <w:tcMar>
              <w:top w:w="60" w:type="dxa"/>
              <w:start w:w="110" w:type="dxa"/>
              <w:bottom w:w="60" w:type="dxa"/>
              <w:end w:w="110" w:type="dxa"/>
            </w:tcMar>
          </w:tcPr>
          <w:p>
            <w:pPr>
              <w:spacing w:after="0"/>
            </w:pPr>
            <w:r/>
            <w:r>
              <w:rPr>
                <w:rFonts w:ascii="Calibri" w:hAnsi="Calibri"/>
                <w:b w:val="0"/>
                <w:i w:val="0"/>
                <w:color w:val="101828"/>
                <w:sz w:val="16"/>
              </w:rPr>
              <w:t>T+1</w:t>
            </w:r>
          </w:p>
        </w:tc>
        <w:tc>
          <w:tcPr>
            <w:tcW w:type="dxa" w:w="2592"/>
            <w:tcMar>
              <w:top w:w="60" w:type="dxa"/>
              <w:start w:w="110" w:type="dxa"/>
              <w:bottom w:w="60" w:type="dxa"/>
              <w:end w:w="110" w:type="dxa"/>
            </w:tcMar>
          </w:tcPr>
          <w:p>
            <w:pPr>
              <w:spacing w:after="0"/>
            </w:pPr>
            <w:r/>
            <w:r>
              <w:rPr>
                <w:rFonts w:ascii="Calibri" w:hAnsi="Calibri"/>
                <w:b w:val="0"/>
                <w:i w:val="0"/>
                <w:color w:val="101828"/>
                <w:sz w:val="16"/>
              </w:rPr>
              <w:t>Adds a network call; failure modes must be reported plainly</w:t>
            </w:r>
          </w:p>
        </w:tc>
      </w:tr>
    </w:tbl>
    <w:p>
      <w:pPr>
        <w:spacing w:after="80"/>
      </w:pPr>
    </w:p>
    <w:p>
      <w:r>
        <w:rPr>
          <w:rFonts w:ascii="Calibri" w:hAnsi="Calibri"/>
          <w:b w:val="0"/>
          <w:i w:val="0"/>
          <w:color w:val="101828"/>
          <w:sz w:val="21"/>
        </w:rPr>
        <w:t xml:space="preserve">The exact instrument set supported at launch depends entirely on the </w:t>
      </w:r>
      <w:r>
        <w:rPr>
          <w:rFonts w:ascii="Calibri" w:hAnsi="Calibri"/>
          <w:b/>
          <w:color w:val="101828"/>
          <w:sz w:val="21"/>
        </w:rPr>
        <w:t>ProvidusUnity</w:t>
      </w:r>
      <w:r>
        <w:rPr>
          <w:rFonts w:ascii="Calibri" w:hAnsi="Calibri"/>
          <w:b w:val="0"/>
          <w:i w:val="0"/>
          <w:color w:val="101828"/>
          <w:sz w:val="21"/>
        </w:rPr>
        <w:t xml:space="preserve"> capabilities that can be verified during technical due diligence. That verification has not been performed, so this table states requirements, not commitments. What is non-negotiable is that at least one rail works end to end before any member is asked to pay.</w:t>
      </w:r>
    </w:p>
    <w:p>
      <w:pPr>
        <w:pStyle w:val="Heading2"/>
      </w:pPr>
      <w:r>
        <w:rPr>
          <w:rFonts w:ascii="Calibri" w:hAnsi="Calibri"/>
          <w:b/>
          <w:i w:val="0"/>
          <w:color w:val="146EF5"/>
          <w:sz w:val="29"/>
        </w:rPr>
        <w:t>13.4 Provider abstraction and adapters</w:t>
      </w:r>
    </w:p>
    <w:p>
      <w:r>
        <w:rPr>
          <w:rFonts w:ascii="Calibri" w:hAnsi="Calibri"/>
          <w:b w:val="0"/>
          <w:i w:val="0"/>
          <w:color w:val="101828"/>
          <w:sz w:val="21"/>
        </w:rPr>
        <w:t xml:space="preserve">AJO.ng integrates with money movement exclusively through the </w:t>
      </w:r>
      <w:r>
        <w:rPr>
          <w:rFonts w:ascii="Consolas" w:hAnsi="Consolas"/>
          <w:color w:val="146EF5"/>
          <w:sz w:val="21"/>
        </w:rPr>
        <w:t>FinancialProvider</w:t>
      </w:r>
      <w:r>
        <w:rPr>
          <w:rFonts w:ascii="Calibri" w:hAnsi="Calibri"/>
          <w:b w:val="0"/>
          <w:i w:val="0"/>
          <w:color w:val="101828"/>
          <w:sz w:val="21"/>
        </w:rPr>
        <w:t xml:space="preserve"> interface defined in CANONICAL.md §5.7. No application code imports a provider SDK directly. This is what allows the platform to add or replace a provider, and to run the entire test suite with no network at all.</w:t>
      </w:r>
    </w:p>
    <w:p>
      <w:pPr>
        <w:spacing w:before="0" w:after="0" w:line="240" w:lineRule="auto"/>
        <w:ind w:left="230"/>
        <w:shd w:val="clear" w:color="auto" w:fill="F7F9FC"/>
        <w:pBdr>
          <w:left w:val="single" w:sz="4" w:space="6" w:color="D0D5DD"/>
        </w:pBdr>
      </w:pPr>
      <w:r>
        <w:rPr>
          <w:rFonts w:ascii="Consolas" w:hAnsi="Consolas"/>
          <w:color w:val="0B1F3A"/>
          <w:sz w:val="15"/>
        </w:rPr>
        <w:t xml:space="preserve">  interface FinancialProvider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inbound</w:t>
      </w:r>
    </w:p>
    <w:p>
      <w:pPr>
        <w:spacing w:before="0" w:after="0" w:line="240" w:lineRule="auto"/>
        <w:ind w:left="230"/>
        <w:shd w:val="clear" w:color="auto" w:fill="F7F9FC"/>
        <w:pBdr>
          <w:left w:val="single" w:sz="4" w:space="6" w:color="D0D5DD"/>
        </w:pBdr>
      </w:pPr>
      <w:r>
        <w:rPr>
          <w:rFonts w:ascii="Consolas" w:hAnsi="Consolas"/>
          <w:color w:val="0B1F3A"/>
          <w:sz w:val="15"/>
        </w:rPr>
        <w:t xml:space="preserve">    initiatePayment(req: PaymentRequest): Promise&lt;PaymentSession&gt;</w:t>
      </w:r>
    </w:p>
    <w:p>
      <w:pPr>
        <w:spacing w:before="0" w:after="0" w:line="240" w:lineRule="auto"/>
        <w:ind w:left="230"/>
        <w:shd w:val="clear" w:color="auto" w:fill="F7F9FC"/>
        <w:pBdr>
          <w:left w:val="single" w:sz="4" w:space="6" w:color="D0D5DD"/>
        </w:pBdr>
      </w:pPr>
      <w:r>
        <w:rPr>
          <w:rFonts w:ascii="Consolas" w:hAnsi="Consolas"/>
          <w:color w:val="0B1F3A"/>
          <w:sz w:val="15"/>
        </w:rPr>
        <w:t xml:space="preserve">    verifyWebhook(req: RawWebhook): Promise&lt;WebhookEvent&gt;   // signature + schema</w:t>
      </w:r>
    </w:p>
    <w:p>
      <w:pPr>
        <w:spacing w:before="0" w:after="0" w:line="240" w:lineRule="auto"/>
        <w:ind w:left="230"/>
        <w:shd w:val="clear" w:color="auto" w:fill="F7F9FC"/>
        <w:pBdr>
          <w:left w:val="single" w:sz="4" w:space="6" w:color="D0D5DD"/>
        </w:pBdr>
      </w:pPr>
      <w:r>
        <w:rPr>
          <w:rFonts w:ascii="Consolas" w:hAnsi="Consolas"/>
          <w:color w:val="0B1F3A"/>
          <w:sz w:val="15"/>
        </w:rPr>
        <w:t xml:space="preserve">    queryPayment(ref: string): Promise&lt;PaymentStatus&gt;        // reconciliation aid</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outbound</w:t>
      </w:r>
    </w:p>
    <w:p>
      <w:pPr>
        <w:spacing w:before="0" w:after="0" w:line="240" w:lineRule="auto"/>
        <w:ind w:left="230"/>
        <w:shd w:val="clear" w:color="auto" w:fill="F7F9FC"/>
        <w:pBdr>
          <w:left w:val="single" w:sz="4" w:space="6" w:color="D0D5DD"/>
        </w:pBdr>
      </w:pPr>
      <w:r>
        <w:rPr>
          <w:rFonts w:ascii="Consolas" w:hAnsi="Consolas"/>
          <w:color w:val="0B1F3A"/>
          <w:sz w:val="15"/>
        </w:rPr>
        <w:t xml:space="preserve">    transfer(req: TransferRequest): Promise&lt;TransferResult&gt;  // idempotent, by mandate</w:t>
      </w:r>
    </w:p>
    <w:p>
      <w:pPr>
        <w:spacing w:before="0" w:after="0" w:line="240" w:lineRule="auto"/>
        <w:ind w:left="230"/>
        <w:shd w:val="clear" w:color="auto" w:fill="F7F9FC"/>
        <w:pBdr>
          <w:left w:val="single" w:sz="4" w:space="6" w:color="D0D5DD"/>
        </w:pBdr>
      </w:pPr>
      <w:r>
        <w:rPr>
          <w:rFonts w:ascii="Consolas" w:hAnsi="Consolas"/>
          <w:color w:val="0B1F3A"/>
          <w:sz w:val="15"/>
        </w:rPr>
        <w:t xml:space="preserve">    reverseTransfer(ref: string, reason: string): Promise&lt;ReverseResult&gt;</w:t>
      </w:r>
    </w:p>
    <w:p>
      <w:pPr>
        <w:spacing w:before="0" w:after="0" w:line="240" w:lineRule="auto"/>
        <w:ind w:left="230"/>
        <w:shd w:val="clear" w:color="auto" w:fill="F7F9FC"/>
        <w:pBdr>
          <w:left w:val="single" w:sz="4" w:space="6" w:color="D0D5DD"/>
        </w:pBdr>
      </w:pPr>
      <w:r>
        <w:rPr>
          <w:rFonts w:ascii="Consolas" w:hAnsi="Consolas"/>
          <w:color w:val="0B1F3A"/>
          <w:sz w:val="15"/>
        </w:rPr>
        <w:t xml:space="preserve">    queryTransfer(ref: string): Promise&lt;TransferStatus&gt;</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account</w:t>
      </w:r>
    </w:p>
    <w:p>
      <w:pPr>
        <w:spacing w:before="0" w:after="0" w:line="240" w:lineRule="auto"/>
        <w:ind w:left="230"/>
        <w:shd w:val="clear" w:color="auto" w:fill="F7F9FC"/>
        <w:pBdr>
          <w:left w:val="single" w:sz="4" w:space="6" w:color="D0D5DD"/>
        </w:pBdr>
      </w:pPr>
      <w:r>
        <w:rPr>
          <w:rFonts w:ascii="Consolas" w:hAnsi="Consolas"/>
          <w:color w:val="0B1F3A"/>
          <w:sz w:val="15"/>
        </w:rPr>
        <w:t xml:space="preserve">    resolveAccount(accountNumber: string): Promise&lt;AccountIdentity&gt;</w:t>
      </w:r>
    </w:p>
    <w:p>
      <w:pPr>
        <w:spacing w:before="0" w:after="0" w:line="240" w:lineRule="auto"/>
        <w:ind w:left="230"/>
        <w:shd w:val="clear" w:color="auto" w:fill="F7F9FC"/>
        <w:pBdr>
          <w:left w:val="single" w:sz="4" w:space="6" w:color="D0D5DD"/>
        </w:pBdr>
      </w:pPr>
      <w:r>
        <w:rPr>
          <w:rFonts w:ascii="Consolas" w:hAnsi="Consolas"/>
          <w:color w:val="0B1F3A"/>
          <w:sz w:val="15"/>
        </w:rPr>
        <w:t xml:space="preserve">    collectFees(amount: MinorUnits): Promise&lt;FeeSettlement&gt;</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pStyle w:val="Heading3"/>
      </w:pPr>
      <w:r>
        <w:rPr>
          <w:rFonts w:ascii="Calibri" w:hAnsi="Calibri"/>
          <w:b/>
          <w:i w:val="0"/>
          <w:color w:val="0B1F3A"/>
          <w:sz w:val="24"/>
        </w:rPr>
        <w:t>13.4.1 Adapter implementations</w:t>
      </w:r>
    </w:p>
    <w:p>
      <w:pPr>
        <w:pStyle w:val="ListBullet"/>
        <w:spacing w:after="60"/>
        <w:ind w:left="360"/>
      </w:pPr>
      <w:r>
        <w:rPr>
          <w:rFonts w:ascii="Consolas" w:hAnsi="Consolas"/>
          <w:color w:val="146EF5"/>
          <w:sz w:val="21"/>
        </w:rPr>
        <w:t>MockFinancialProvider</w:t>
      </w:r>
      <w:r>
        <w:rPr>
          <w:rFonts w:ascii="Calibri" w:hAnsi="Calibri"/>
          <w:b w:val="0"/>
          <w:i w:val="0"/>
          <w:color w:val="101828"/>
          <w:sz w:val="21"/>
        </w:rPr>
        <w:t xml:space="preserve"> — in-memory, deterministic, and </w:t>
      </w:r>
      <w:r>
        <w:rPr>
          <w:rFonts w:ascii="Calibri" w:hAnsi="Calibri"/>
          <w:b/>
          <w:color w:val="101828"/>
          <w:sz w:val="21"/>
        </w:rPr>
        <w:t>refuses to construct in a production environment</w:t>
      </w:r>
      <w:r>
        <w:rPr>
          <w:rFonts w:ascii="Calibri" w:hAnsi="Calibri"/>
          <w:b w:val="0"/>
          <w:i w:val="0"/>
          <w:color w:val="101828"/>
          <w:sz w:val="21"/>
        </w:rPr>
        <w:t>. It is the only provider permitted in automated tests.</w:t>
      </w:r>
    </w:p>
    <w:p>
      <w:pPr>
        <w:pStyle w:val="ListBullet"/>
        <w:spacing w:after="60"/>
        <w:ind w:left="360"/>
      </w:pPr>
      <w:r>
        <w:rPr>
          <w:rFonts w:ascii="Consolas" w:hAnsi="Consolas"/>
          <w:color w:val="146EF5"/>
          <w:sz w:val="21"/>
        </w:rPr>
        <w:t>ProvidusFinancialProvider</w:t>
      </w:r>
      <w:r>
        <w:rPr>
          <w:rFonts w:ascii="Calibri" w:hAnsi="Calibri"/>
          <w:b w:val="0"/>
          <w:i w:val="0"/>
          <w:color w:val="101828"/>
          <w:sz w:val="21"/>
        </w:rPr>
        <w:t xml:space="preserve"> — a future adapter, to be written after a verified sandbox specification. It is not written in this document because an adapter written against a guessed API is worse than no adapter at all.</w:t>
      </w:r>
    </w:p>
    <w:p>
      <w:pPr>
        <w:pStyle w:val="ListBullet"/>
        <w:spacing w:after="60"/>
        <w:ind w:left="360"/>
      </w:pPr>
      <w:r>
        <w:rPr>
          <w:rFonts w:ascii="Calibri" w:hAnsi="Calibri"/>
          <w:b w:val="0"/>
          <w:i w:val="0"/>
          <w:color w:val="101828"/>
          <w:sz w:val="21"/>
        </w:rPr>
        <w:t xml:space="preserve">Every adapter is covered by the </w:t>
      </w:r>
      <w:r>
        <w:rPr>
          <w:rFonts w:ascii="Calibri" w:hAnsi="Calibri"/>
          <w:b/>
          <w:color w:val="101828"/>
          <w:sz w:val="21"/>
        </w:rPr>
        <w:t>same contract test suite</w:t>
      </w:r>
      <w:r>
        <w:rPr>
          <w:rFonts w:ascii="Calibri" w:hAnsi="Calibri"/>
          <w:b w:val="0"/>
          <w:i w:val="0"/>
          <w:color w:val="101828"/>
          <w:sz w:val="21"/>
        </w:rPr>
        <w:t>, so a provider swap cannot silently change behaviour that the business logic depends on.</w:t>
      </w:r>
    </w:p>
    <w:p>
      <w:pPr>
        <w:pStyle w:val="Heading2"/>
      </w:pPr>
      <w:r>
        <w:rPr>
          <w:rFonts w:ascii="Calibri" w:hAnsi="Calibri"/>
          <w:b/>
          <w:i w:val="0"/>
          <w:color w:val="146EF5"/>
          <w:sz w:val="29"/>
        </w:rPr>
        <w:t>13.5 Webhooks: the primary channel of truth</w:t>
      </w:r>
    </w:p>
    <w:p>
      <w:r>
        <w:rPr>
          <w:rFonts w:ascii="Calibri" w:hAnsi="Calibri"/>
          <w:b w:val="0"/>
          <w:i w:val="0"/>
          <w:color w:val="101828"/>
          <w:sz w:val="21"/>
        </w:rPr>
        <w:t>For card, transfer and wallet payments, the provider's webhook is the event that tells AJO.ng money arrived. It must be treated as hostile input.</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Requirement</w:t>
            </w:r>
          </w:p>
        </w:tc>
        <w:tc>
          <w:tcPr>
            <w:tcW w:type="dxa" w:w="6912"/>
            <w:shd w:val="clear" w:color="auto" w:fill="0B1F3A"/>
            <w:tcMar>
              <w:top w:w="60" w:type="dxa"/>
              <w:start w:w="110" w:type="dxa"/>
              <w:bottom w:w="60" w:type="dxa"/>
              <w:end w:w="110" w:type="dxa"/>
            </w:tcMar>
          </w:tcPr>
          <w:p>
            <w:pPr>
              <w:spacing w:after="0"/>
            </w:pPr>
            <w:r/>
            <w:r>
              <w:rPr>
                <w:rFonts w:ascii="Calibri" w:hAnsi="Calibri"/>
                <w:b/>
                <w:i w:val="0"/>
                <w:color w:val="FFFFFF"/>
                <w:sz w:val="16"/>
              </w:rPr>
              <w:t>Rule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Signature verification</w:t>
            </w:r>
          </w:p>
        </w:tc>
        <w:tc>
          <w:tcPr>
            <w:tcW w:type="dxa" w:w="6912"/>
            <w:tcMar>
              <w:top w:w="60" w:type="dxa"/>
              <w:start w:w="110" w:type="dxa"/>
              <w:bottom w:w="60" w:type="dxa"/>
              <w:end w:w="110" w:type="dxa"/>
            </w:tcMar>
          </w:tcPr>
          <w:p>
            <w:pPr>
              <w:spacing w:after="0"/>
            </w:pPr>
            <w:r/>
            <w:r>
              <w:rPr>
                <w:rFonts w:ascii="Calibri" w:hAnsi="Calibri"/>
                <w:b w:val="0"/>
                <w:i w:val="0"/>
                <w:color w:val="101828"/>
                <w:sz w:val="16"/>
              </w:rPr>
              <w:t xml:space="preserve">HMAC-SHA256 over the </w:t>
            </w:r>
            <w:r>
              <w:rPr>
                <w:rFonts w:ascii="Calibri" w:hAnsi="Calibri"/>
                <w:b/>
                <w:color w:val="101828"/>
                <w:sz w:val="16"/>
              </w:rPr>
              <w:t>raw</w:t>
            </w:r>
            <w:r>
              <w:rPr>
                <w:rFonts w:ascii="Calibri" w:hAnsi="Calibri"/>
                <w:b w:val="0"/>
                <w:i w:val="0"/>
                <w:color w:val="101828"/>
                <w:sz w:val="16"/>
              </w:rPr>
              <w:t xml:space="preserve"> request body using a per-environment secret, compared with a constant-time function. Parse JSON only after verification</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Replay protection</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Reject any event whose timestamp is more than 5 minutes old, and any </w:t>
            </w:r>
            <w:r>
              <w:rPr>
                <w:rFonts w:ascii="Consolas" w:hAnsi="Consolas"/>
                <w:color w:val="146EF5"/>
                <w:sz w:val="16"/>
              </w:rPr>
              <w:t>event_id</w:t>
            </w:r>
            <w:r>
              <w:rPr>
                <w:rFonts w:ascii="Calibri" w:hAnsi="Calibri"/>
                <w:b w:val="0"/>
                <w:i w:val="0"/>
                <w:color w:val="101828"/>
                <w:sz w:val="16"/>
              </w:rPr>
              <w:t xml:space="preserve"> already processed</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Idempotent handling</w:t>
            </w:r>
          </w:p>
        </w:tc>
        <w:tc>
          <w:tcPr>
            <w:tcW w:type="dxa" w:w="6912"/>
            <w:tcMar>
              <w:top w:w="60" w:type="dxa"/>
              <w:start w:w="110" w:type="dxa"/>
              <w:bottom w:w="60" w:type="dxa"/>
              <w:end w:w="110" w:type="dxa"/>
            </w:tcMar>
          </w:tcPr>
          <w:p>
            <w:pPr>
              <w:spacing w:after="0"/>
            </w:pPr>
            <w:r/>
            <w:r>
              <w:rPr>
                <w:rFonts w:ascii="Consolas" w:hAnsi="Consolas"/>
                <w:color w:val="146EF5"/>
                <w:sz w:val="16"/>
              </w:rPr>
              <w:t>provider_event_id</w:t>
            </w:r>
            <w:r>
              <w:rPr>
                <w:rFonts w:ascii="Calibri" w:hAnsi="Calibri"/>
                <w:b w:val="0"/>
                <w:i w:val="0"/>
                <w:color w:val="101828"/>
                <w:sz w:val="16"/>
              </w:rPr>
              <w:t xml:space="preserve"> is uniquely indexed. A duplicate delivery is acknowledged and dropped, not reprocessed</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Fast acknowledgement</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Verify, persist to a queue, return 2xx. Business processing happens asynchronously. A slow webhook handler causes provider retries and duplicate risk</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Unknown event types</w:t>
            </w:r>
          </w:p>
        </w:tc>
        <w:tc>
          <w:tcPr>
            <w:tcW w:type="dxa" w:w="6912"/>
            <w:tcMar>
              <w:top w:w="60" w:type="dxa"/>
              <w:start w:w="110" w:type="dxa"/>
              <w:bottom w:w="60" w:type="dxa"/>
              <w:end w:w="110" w:type="dxa"/>
            </w:tcMar>
          </w:tcPr>
          <w:p>
            <w:pPr>
              <w:spacing w:after="0"/>
            </w:pPr>
            <w:r/>
            <w:r>
              <w:rPr>
                <w:rFonts w:ascii="Calibri" w:hAnsi="Calibri"/>
                <w:b w:val="0"/>
                <w:i w:val="0"/>
                <w:color w:val="101828"/>
                <w:sz w:val="16"/>
              </w:rPr>
              <w:t>Acknowledged, logged, and ignored — never a 4xx, and never a crash</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Amount and reference check</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The received amount, currency, and reference must match the pending contribution. A mismatch is escalated to reconciliation, not silently accepted</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Out-of-order delivery</w:t>
            </w:r>
          </w:p>
        </w:tc>
        <w:tc>
          <w:tcPr>
            <w:tcW w:type="dxa" w:w="6912"/>
            <w:tcMar>
              <w:top w:w="60" w:type="dxa"/>
              <w:start w:w="110" w:type="dxa"/>
              <w:bottom w:w="60" w:type="dxa"/>
              <w:end w:w="110" w:type="dxa"/>
            </w:tcMar>
          </w:tcPr>
          <w:p>
            <w:pPr>
              <w:spacing w:after="0"/>
            </w:pPr>
            <w:r/>
            <w:r>
              <w:rPr>
                <w:rFonts w:ascii="Calibri" w:hAnsi="Calibri"/>
                <w:b w:val="0"/>
                <w:i w:val="0"/>
                <w:color w:val="101828"/>
                <w:sz w:val="16"/>
              </w:rPr>
              <w:t>A success arriving after a failure for the same reference is resolved by the terminal state, not by arrival order</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Durability</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Unprocessed webhooks are retained for 90 days and replayable, so a processing outage is recoverable</w:t>
            </w:r>
          </w:p>
        </w:tc>
      </w:tr>
    </w:tbl>
    <w:p>
      <w:pPr>
        <w:spacing w:after="80"/>
      </w:pPr>
    </w:p>
    <w:p>
      <w:pPr>
        <w:spacing w:before="140" w:after="180"/>
        <w:ind w:left="144"/>
        <w:shd w:val="clear" w:color="auto" w:fill="FEF3C7"/>
        <w:pBdr>
          <w:left w:val="single" w:sz="18" w:space="6" w:color="FBBF24"/>
        </w:pBdr>
      </w:pPr>
      <w:r>
        <w:rPr>
          <w:rFonts w:ascii="Calibri" w:hAnsi="Calibri"/>
          <w:b/>
          <w:color w:val="FBBF24"/>
          <w:sz w:val="19"/>
        </w:rPr>
        <w:t xml:space="preserve">Never trust a redirect.  </w:t>
      </w:r>
      <w:r>
        <w:rPr>
          <w:rFonts w:ascii="Calibri" w:hAnsi="Calibri"/>
          <w:b w:val="0"/>
          <w:i w:val="0"/>
          <w:color w:val="0B1F3A"/>
          <w:sz w:val="19"/>
        </w:rPr>
        <w:t xml:space="preserve">A browser returning from a payment page is a hint, not evidence. It may be forged, replayed, or simply never happen if the member closes the tab. Only the verified webhook, or a server-side status query, may mark a contribution paid. The UI must be able to show </w:t>
      </w:r>
      <w:r>
        <w:rPr>
          <w:rFonts w:ascii="Calibri" w:hAnsi="Calibri"/>
          <w:i/>
          <w:color w:val="0B1F3A"/>
          <w:sz w:val="19"/>
        </w:rPr>
        <w:t>pending verification</w:t>
      </w:r>
      <w:r>
        <w:rPr>
          <w:rFonts w:ascii="Calibri" w:hAnsi="Calibri"/>
          <w:b w:val="0"/>
          <w:i w:val="0"/>
          <w:color w:val="0B1F3A"/>
          <w:sz w:val="19"/>
        </w:rPr>
        <w:t xml:space="preserve"> indefinitely without ever telling a member their money is safe when it is not.</w:t>
      </w:r>
    </w:p>
    <w:p>
      <w:pPr>
        <w:pStyle w:val="Heading2"/>
      </w:pPr>
      <w:r>
        <w:rPr>
          <w:rFonts w:ascii="Calibri" w:hAnsi="Calibri"/>
          <w:b/>
          <w:i w:val="0"/>
          <w:color w:val="146EF5"/>
          <w:sz w:val="29"/>
        </w:rPr>
        <w:t>13.6 Payouts</w:t>
      </w:r>
    </w:p>
    <w:p>
      <w:pPr>
        <w:pStyle w:val="Heading3"/>
      </w:pPr>
      <w:r>
        <w:rPr>
          <w:rFonts w:ascii="Calibri" w:hAnsi="Calibri"/>
          <w:b/>
          <w:i w:val="0"/>
          <w:color w:val="0B1F3A"/>
          <w:sz w:val="24"/>
        </w:rPr>
        <w:t>13.6.1 Preconditions — all must hold</w:t>
      </w:r>
    </w:p>
    <w:p>
      <w:pPr>
        <w:pStyle w:val="ListNumber"/>
        <w:spacing w:after="60"/>
        <w:ind w:left="432"/>
      </w:pPr>
      <w:r>
        <w:rPr>
          <w:rFonts w:ascii="Calibri" w:hAnsi="Calibri"/>
          <w:b w:val="0"/>
          <w:i w:val="0"/>
          <w:color w:val="101828"/>
          <w:sz w:val="21"/>
        </w:rPr>
        <w:t xml:space="preserve">The Ajo is </w:t>
      </w:r>
      <w:r>
        <w:rPr>
          <w:rFonts w:ascii="Consolas" w:hAnsi="Consolas"/>
          <w:color w:val="146EF5"/>
          <w:sz w:val="21"/>
        </w:rPr>
        <w:t>FUNDED</w:t>
      </w:r>
      <w:r>
        <w:rPr>
          <w:rFonts w:ascii="Calibri" w:hAnsi="Calibri"/>
          <w:b w:val="0"/>
          <w:i w:val="0"/>
          <w:color w:val="101828"/>
          <w:sz w:val="21"/>
        </w:rPr>
        <w:t xml:space="preserve"> — every active position is fully paid up to the current round.</w:t>
      </w:r>
    </w:p>
    <w:p>
      <w:pPr>
        <w:pStyle w:val="ListNumber"/>
        <w:spacing w:after="60"/>
        <w:ind w:left="432"/>
      </w:pPr>
      <w:r>
        <w:rPr>
          <w:rFonts w:ascii="Calibri" w:hAnsi="Calibri"/>
          <w:b w:val="0"/>
          <w:i w:val="0"/>
          <w:color w:val="101828"/>
          <w:sz w:val="21"/>
        </w:rPr>
        <w:t xml:space="preserve">The Ajo's </w:t>
      </w:r>
      <w:r>
        <w:rPr>
          <w:rFonts w:ascii="Consolas" w:hAnsi="Consolas"/>
          <w:color w:val="146EF5"/>
          <w:sz w:val="21"/>
        </w:rPr>
        <w:t>ready_at</w:t>
      </w:r>
      <w:r>
        <w:rPr>
          <w:rFonts w:ascii="Calibri" w:hAnsi="Calibri"/>
          <w:b w:val="0"/>
          <w:i w:val="0"/>
          <w:color w:val="101828"/>
          <w:sz w:val="21"/>
        </w:rPr>
        <w:t xml:space="preserve"> has arrived. A payout is never available early, even by a minute, even for the organizer.</w:t>
      </w:r>
    </w:p>
    <w:p>
      <w:pPr>
        <w:pStyle w:val="ListNumber"/>
        <w:spacing w:after="60"/>
        <w:ind w:left="432"/>
      </w:pPr>
      <w:r>
        <w:rPr>
          <w:rFonts w:ascii="Calibri" w:hAnsi="Calibri"/>
          <w:b w:val="0"/>
          <w:i w:val="0"/>
          <w:color w:val="101828"/>
          <w:sz w:val="21"/>
        </w:rPr>
        <w:t xml:space="preserve">The recipient is </w:t>
      </w:r>
      <w:r>
        <w:rPr>
          <w:rFonts w:ascii="Consolas" w:hAnsi="Consolas"/>
          <w:color w:val="146EF5"/>
          <w:sz w:val="21"/>
        </w:rPr>
        <w:t>ACTIVE</w:t>
      </w:r>
      <w:r>
        <w:rPr>
          <w:rFonts w:ascii="Calibri" w:hAnsi="Calibri"/>
          <w:b w:val="0"/>
          <w:i w:val="0"/>
          <w:color w:val="101828"/>
          <w:sz w:val="21"/>
        </w:rPr>
        <w:t xml:space="preserve"> or in a non-blocking state. Per CANONICAL.md §2.6, a </w:t>
      </w:r>
      <w:r>
        <w:rPr>
          <w:rFonts w:ascii="Consolas" w:hAnsi="Consolas"/>
          <w:color w:val="146EF5"/>
          <w:sz w:val="21"/>
        </w:rPr>
        <w:t>FROZEN</w:t>
      </w:r>
      <w:r>
        <w:rPr>
          <w:rFonts w:ascii="Calibri" w:hAnsi="Calibri"/>
          <w:b w:val="0"/>
          <w:i w:val="0"/>
          <w:color w:val="101828"/>
          <w:sz w:val="21"/>
        </w:rPr>
        <w:t xml:space="preserve">, </w:t>
      </w:r>
      <w:r>
        <w:rPr>
          <w:rFonts w:ascii="Consolas" w:hAnsi="Consolas"/>
          <w:color w:val="146EF5"/>
          <w:sz w:val="21"/>
        </w:rPr>
        <w:t>SUSPENDED</w:t>
      </w:r>
      <w:r>
        <w:rPr>
          <w:rFonts w:ascii="Calibri" w:hAnsi="Calibri"/>
          <w:b w:val="0"/>
          <w:i w:val="0"/>
          <w:color w:val="101828"/>
          <w:sz w:val="21"/>
        </w:rPr>
        <w:t xml:space="preserve"> or </w:t>
      </w:r>
      <w:r>
        <w:rPr>
          <w:rFonts w:ascii="Consolas" w:hAnsi="Consolas"/>
          <w:color w:val="146EF5"/>
          <w:sz w:val="21"/>
        </w:rPr>
        <w:t>DORMANT</w:t>
      </w:r>
      <w:r>
        <w:rPr>
          <w:rFonts w:ascii="Calibri" w:hAnsi="Calibri"/>
          <w:b w:val="0"/>
          <w:i w:val="0"/>
          <w:color w:val="101828"/>
          <w:sz w:val="21"/>
        </w:rPr>
        <w:t xml:space="preserve"> member </w:t>
      </w:r>
      <w:r>
        <w:rPr>
          <w:rFonts w:ascii="Calibri" w:hAnsi="Calibri"/>
          <w:b/>
          <w:color w:val="101828"/>
          <w:sz w:val="21"/>
        </w:rPr>
        <w:t>can still be paid</w:t>
      </w:r>
      <w:r>
        <w:rPr>
          <w:rFonts w:ascii="Calibri" w:hAnsi="Calibri"/>
          <w:b w:val="0"/>
          <w:i w:val="0"/>
          <w:color w:val="101828"/>
          <w:sz w:val="21"/>
        </w:rPr>
        <w:t>. This is not negotiable and must be implemented as an explicit exception to the freeze check, with the reason recorded.</w:t>
      </w:r>
    </w:p>
    <w:p>
      <w:pPr>
        <w:pStyle w:val="ListNumber"/>
        <w:spacing w:after="60"/>
        <w:ind w:left="432"/>
      </w:pPr>
      <w:r>
        <w:rPr>
          <w:rFonts w:ascii="Calibri" w:hAnsi="Calibri"/>
          <w:b w:val="0"/>
          <w:i w:val="0"/>
          <w:color w:val="101828"/>
          <w:sz w:val="21"/>
        </w:rPr>
        <w:t>The recipient's bank account has been verified by the provider and has not changed inside the standing cooling-off period (14 days; see 12.8).</w:t>
      </w:r>
    </w:p>
    <w:p>
      <w:pPr>
        <w:pStyle w:val="ListNumber"/>
        <w:spacing w:after="60"/>
        <w:ind w:left="432"/>
      </w:pPr>
      <w:r>
        <w:rPr>
          <w:rFonts w:ascii="Calibri" w:hAnsi="Calibri"/>
          <w:b w:val="0"/>
          <w:i w:val="0"/>
          <w:color w:val="101828"/>
          <w:sz w:val="21"/>
        </w:rPr>
        <w:t>The escrow account holds the full amount, as verified against the ledger — not against an internal cache.</w:t>
      </w:r>
    </w:p>
    <w:p>
      <w:pPr>
        <w:pStyle w:val="ListNumber"/>
        <w:spacing w:after="60"/>
        <w:ind w:left="432"/>
      </w:pPr>
      <w:r>
        <w:rPr>
          <w:rFonts w:ascii="Calibri" w:hAnsi="Calibri"/>
          <w:b w:val="0"/>
          <w:i w:val="0"/>
          <w:color w:val="101828"/>
          <w:sz w:val="21"/>
        </w:rPr>
        <w:t>No open fraud investigation on the payout itself. A member-level freeze does not block their own payout.</w:t>
      </w:r>
    </w:p>
    <w:p>
      <w:pPr>
        <w:pStyle w:val="Heading3"/>
      </w:pPr>
      <w:r>
        <w:rPr>
          <w:rFonts w:ascii="Calibri" w:hAnsi="Calibri"/>
          <w:b/>
          <w:i w:val="0"/>
          <w:color w:val="0B1F3A"/>
          <w:sz w:val="24"/>
        </w:rPr>
        <w:t>13.6.2 Sequence</w:t>
      </w:r>
    </w:p>
    <w:p>
      <w:pPr>
        <w:spacing w:before="0" w:after="0" w:line="240" w:lineRule="auto"/>
        <w:ind w:left="230"/>
        <w:shd w:val="clear" w:color="auto" w:fill="F7F9FC"/>
        <w:pBdr>
          <w:left w:val="single" w:sz="4" w:space="6" w:color="D0D5DD"/>
        </w:pBdr>
      </w:pPr>
      <w:r>
        <w:rPr>
          <w:rFonts w:ascii="Consolas" w:hAnsi="Consolas"/>
          <w:color w:val="0B1F3A"/>
          <w:sz w:val="15"/>
        </w:rPr>
        <w:t xml:space="preserve">  organizer (or automatic, at ready_at)</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PayoutIntent created ──▶ PRECHECKING ──funds verified──▶ QUEUED</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PROCESSING ──▶ provider transfer initiated</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SUCCEEDED             FAILED              (timeout → UNKNOWN → query)</w:t>
      </w:r>
    </w:p>
    <w:p>
      <w:pPr>
        <w:spacing w:before="0" w:after="0" w:line="240" w:lineRule="auto"/>
        <w:ind w:left="230"/>
        <w:shd w:val="clear" w:color="auto" w:fill="F7F9FC"/>
        <w:pBdr>
          <w:left w:val="single" w:sz="4" w:space="6" w:color="D0D5DD"/>
        </w:pBdr>
      </w:pPr>
      <w:r>
        <w:rPr>
          <w:rFonts w:ascii="Consolas" w:hAnsi="Consolas"/>
          <w:color w:val="0B1F3A"/>
          <w:sz w:val="15"/>
        </w:rPr>
        <w:t xml:space="preserve">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RETRYING (exponential backoff, then HUMAN_REVIEW)</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payout.recognized  debit contributions_receivable / credit payouts_payable</w:t>
      </w:r>
    </w:p>
    <w:p>
      <w:pPr>
        <w:spacing w:before="0" w:after="0" w:line="240" w:lineRule="auto"/>
        <w:ind w:left="230"/>
        <w:shd w:val="clear" w:color="auto" w:fill="F7F9FC"/>
        <w:pBdr>
          <w:left w:val="single" w:sz="4" w:space="6" w:color="D0D5DD"/>
        </w:pBdr>
      </w:pPr>
      <w:r>
        <w:rPr>
          <w:rFonts w:ascii="Consolas" w:hAnsi="Consolas"/>
          <w:color w:val="0B1F3A"/>
          <w:sz w:val="15"/>
        </w:rPr>
        <w:t xml:space="preserve">  payout.settled     debit payouts_payable      / credit escrow_cash</w:t>
      </w:r>
    </w:p>
    <w:p>
      <w:pPr>
        <w:spacing w:before="0" w:after="0" w:line="240" w:lineRule="auto"/>
        <w:ind w:left="230"/>
        <w:shd w:val="clear" w:color="auto" w:fill="F7F9FC"/>
        <w:pBdr>
          <w:left w:val="single" w:sz="4" w:space="6" w:color="D0D5DD"/>
        </w:pBdr>
      </w:pPr>
      <w:r>
        <w:rPr>
          <w:rFonts w:ascii="Consolas" w:hAnsi="Consolas"/>
          <w:color w:val="0B1F3A"/>
          <w:sz w:val="15"/>
        </w:rPr>
        <w:t xml:space="preserve">  position → PAID</w:t>
      </w:r>
    </w:p>
    <w:p>
      <w:pPr>
        <w:spacing w:before="0" w:after="0" w:line="240" w:lineRule="auto"/>
        <w:ind w:left="230"/>
        <w:shd w:val="clear" w:color="auto" w:fill="F7F9FC"/>
        <w:pBdr>
          <w:left w:val="single" w:sz="4" w:space="6" w:color="D0D5DD"/>
        </w:pBdr>
      </w:pPr>
      <w:r>
        <w:rPr>
          <w:rFonts w:ascii="Consolas" w:hAnsi="Consolas"/>
          <w:color w:val="0B1F3A"/>
          <w:sz w:val="15"/>
        </w:rPr>
        <w:t xml:space="preserve">  member notified</w:t>
      </w:r>
    </w:p>
    <w:p>
      <w:pPr>
        <w:spacing w:before="0" w:after="0" w:line="240" w:lineRule="auto"/>
        <w:ind w:left="230"/>
        <w:shd w:val="clear" w:color="auto" w:fill="F7F9FC"/>
        <w:pBdr>
          <w:left w:val="single" w:sz="4" w:space="6" w:color="D0D5DD"/>
        </w:pBdr>
      </w:pPr>
      <w:r>
        <w:rPr>
          <w:rFonts w:ascii="Consolas" w:hAnsi="Consolas"/>
          <w:color w:val="0B1F3A"/>
          <w:sz w:val="15"/>
        </w:rPr>
        <w:t xml:space="preserve">  Ajo → COMPLETED when all positions are PAID</w:t>
      </w:r>
    </w:p>
    <w:p>
      <w:r>
        <w:rPr>
          <w:rFonts w:ascii="Calibri" w:hAnsi="Calibri"/>
          <w:b w:val="0"/>
          <w:i w:val="0"/>
          <w:color w:val="101828"/>
          <w:sz w:val="21"/>
        </w:rPr>
        <w:t xml:space="preserve">The two ledger entries in the success path are the whole accounting of a payout. Recognising it moves the obligation from </w:t>
      </w:r>
      <w:r>
        <w:rPr>
          <w:rFonts w:ascii="Calibri" w:hAnsi="Calibri"/>
          <w:i/>
          <w:color w:val="101828"/>
          <w:sz w:val="21"/>
        </w:rPr>
        <w:t>what the member is owed</w:t>
      </w:r>
      <w:r>
        <w:rPr>
          <w:rFonts w:ascii="Calibri" w:hAnsi="Calibri"/>
          <w:b w:val="0"/>
          <w:i w:val="0"/>
          <w:color w:val="101828"/>
          <w:sz w:val="21"/>
        </w:rPr>
        <w:t xml:space="preserve"> to </w:t>
      </w:r>
      <w:r>
        <w:rPr>
          <w:rFonts w:ascii="Calibri" w:hAnsi="Calibri"/>
          <w:i/>
          <w:color w:val="101828"/>
          <w:sz w:val="21"/>
        </w:rPr>
        <w:t>what the platform owes the member</w:t>
      </w:r>
      <w:r>
        <w:rPr>
          <w:rFonts w:ascii="Calibri" w:hAnsi="Calibri"/>
          <w:b w:val="0"/>
          <w:i w:val="0"/>
          <w:color w:val="101828"/>
          <w:sz w:val="21"/>
        </w:rPr>
        <w:t xml:space="preserve">; settling it moves the cash. Splitting the two is what makes it possible to answer, at any moment, the question the regulator or an auditor will ask: </w:t>
      </w:r>
      <w:r>
        <w:rPr>
          <w:rFonts w:ascii="Calibri" w:hAnsi="Calibri"/>
          <w:i/>
          <w:color w:val="101828"/>
          <w:sz w:val="21"/>
        </w:rPr>
        <w:t>how much do you owe your members right now?</w:t>
      </w:r>
    </w:p>
    <w:p>
      <w:pPr>
        <w:pStyle w:val="Heading3"/>
      </w:pPr>
      <w:r>
        <w:rPr>
          <w:rFonts w:ascii="Calibri" w:hAnsi="Calibri"/>
          <w:b/>
          <w:i w:val="0"/>
          <w:color w:val="0B1F3A"/>
          <w:sz w:val="24"/>
        </w:rPr>
        <w:t>13.6.3 Batch payouts</w:t>
      </w:r>
    </w:p>
    <w:p>
      <w:r>
        <w:rPr>
          <w:rFonts w:ascii="Calibri" w:hAnsi="Calibri"/>
          <w:b w:val="0"/>
          <w:i w:val="0"/>
          <w:color w:val="101828"/>
          <w:sz w:val="21"/>
        </w:rPr>
        <w:t>A mature Ajo completes in a single event affecting every member, so payouts are released as one batch rather than member by member. The batch is the atomicity boundary: either the batch is authorised and dispatched, or it is not. Per-item outcomes are recorded individually, because a batch of 10 will sometimes succeed 10 times, 9 times, or 8 times, and each of those is a distinct state that a member and a reconciler both need to see.</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Batch field</w:t>
            </w:r>
          </w:p>
        </w:tc>
        <w:tc>
          <w:tcPr>
            <w:tcW w:type="dxa" w:w="6624"/>
            <w:shd w:val="clear" w:color="auto" w:fill="0B1F3A"/>
            <w:tcMar>
              <w:top w:w="60" w:type="dxa"/>
              <w:start w:w="110" w:type="dxa"/>
              <w:bottom w:w="60" w:type="dxa"/>
              <w:end w:w="110" w:type="dxa"/>
            </w:tcMar>
          </w:tcPr>
          <w:p>
            <w:pPr>
              <w:spacing w:after="0"/>
            </w:pPr>
            <w:r/>
            <w:r>
              <w:rPr>
                <w:rFonts w:ascii="Calibri" w:hAnsi="Calibri"/>
                <w:b/>
                <w:i w:val="0"/>
                <w:color w:val="FFFFFF"/>
                <w:sz w:val="16"/>
              </w:rPr>
              <w:t>Value</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Batch reference</w:t>
            </w:r>
          </w:p>
        </w:tc>
        <w:tc>
          <w:tcPr>
            <w:tcW w:type="dxa" w:w="6624"/>
            <w:tcMar>
              <w:top w:w="60" w:type="dxa"/>
              <w:start w:w="110" w:type="dxa"/>
              <w:bottom w:w="60" w:type="dxa"/>
              <w:end w:w="110" w:type="dxa"/>
            </w:tcMar>
          </w:tcPr>
          <w:p>
            <w:pPr>
              <w:spacing w:after="0"/>
            </w:pPr>
            <w:r/>
            <w:r>
              <w:rPr>
                <w:rFonts w:ascii="Calibri" w:hAnsi="Calibri"/>
                <w:b w:val="0"/>
                <w:i w:val="0"/>
                <w:color w:val="101828"/>
                <w:sz w:val="16"/>
              </w:rPr>
              <w:t>AJO-{ajoId}-R{round}-{payoutId}, unique and human-readable</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Settlement account</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6"/>
              </w:rPr>
              <w:t>The single payout account; one batch, one debit, many credits</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Per-item status</w:t>
            </w:r>
          </w:p>
        </w:tc>
        <w:tc>
          <w:tcPr>
            <w:tcW w:type="dxa" w:w="6624"/>
            <w:tcMar>
              <w:top w:w="60" w:type="dxa"/>
              <w:start w:w="110" w:type="dxa"/>
              <w:bottom w:w="60" w:type="dxa"/>
              <w:end w:w="110" w:type="dxa"/>
            </w:tcMar>
          </w:tcPr>
          <w:p>
            <w:pPr>
              <w:spacing w:after="0"/>
            </w:pPr>
            <w:r/>
            <w:r>
              <w:rPr>
                <w:rFonts w:ascii="Calibri" w:hAnsi="Calibri"/>
                <w:b w:val="0"/>
                <w:i w:val="0"/>
                <w:color w:val="101828"/>
                <w:sz w:val="16"/>
              </w:rPr>
              <w:t>Each payout carries its own state, provider reference, and failure reason</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Partial failure handling</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6"/>
              </w:rPr>
              <w:t>Successful items are settled and notified immediately. Failed items move to retry or human review. No retry is ever automatic after 3 attempts</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Cut-off</w:t>
            </w:r>
          </w:p>
        </w:tc>
        <w:tc>
          <w:tcPr>
            <w:tcW w:type="dxa" w:w="6624"/>
            <w:tcMar>
              <w:top w:w="60" w:type="dxa"/>
              <w:start w:w="110" w:type="dxa"/>
              <w:bottom w:w="60" w:type="dxa"/>
              <w:end w:w="110" w:type="dxa"/>
            </w:tcMar>
          </w:tcPr>
          <w:p>
            <w:pPr>
              <w:spacing w:after="0"/>
            </w:pPr>
            <w:r/>
            <w:r>
              <w:rPr>
                <w:rFonts w:ascii="Calibri" w:hAnsi="Calibri"/>
                <w:b w:val="0"/>
                <w:i w:val="0"/>
                <w:color w:val="101828"/>
                <w:sz w:val="16"/>
              </w:rPr>
              <w:t>Batch dispatch is rate-limited and capped per day to stay within provider and bank limits — the cap must be configurable, not hard-coded</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Reconciliation</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6"/>
              </w:rPr>
              <w:t>The batch debit is matched to the sum of successful items on the same day. Any difference is an exception, same-day</w:t>
            </w:r>
          </w:p>
        </w:tc>
      </w:tr>
    </w:tbl>
    <w:p>
      <w:pPr>
        <w:spacing w:after="80"/>
      </w:pPr>
    </w:p>
    <w:p>
      <w:pPr>
        <w:pStyle w:val="Heading2"/>
      </w:pPr>
      <w:r>
        <w:rPr>
          <w:rFonts w:ascii="Calibri" w:hAnsi="Calibri"/>
          <w:b/>
          <w:i w:val="0"/>
          <w:color w:val="146EF5"/>
          <w:sz w:val="29"/>
        </w:rPr>
        <w:t>13.7 Refunds and reversals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Scenario</w:t>
            </w:r>
          </w:p>
        </w:tc>
        <w:tc>
          <w:tcPr>
            <w:tcW w:type="dxa" w:w="3312"/>
            <w:shd w:val="clear" w:color="auto" w:fill="0B1F3A"/>
            <w:tcMar>
              <w:top w:w="60" w:type="dxa"/>
              <w:start w:w="110" w:type="dxa"/>
              <w:bottom w:w="60" w:type="dxa"/>
              <w:end w:w="110" w:type="dxa"/>
            </w:tcMar>
          </w:tcPr>
          <w:p>
            <w:pPr>
              <w:spacing w:after="0"/>
            </w:pPr>
            <w:r/>
            <w:r>
              <w:rPr>
                <w:rFonts w:ascii="Calibri" w:hAnsi="Calibri"/>
                <w:b/>
                <w:i w:val="0"/>
                <w:color w:val="FFFFFF"/>
                <w:sz w:val="16"/>
              </w:rPr>
              <w:t>Action</w:t>
            </w:r>
          </w:p>
        </w:tc>
        <w:tc>
          <w:tcPr>
            <w:tcW w:type="dxa" w:w="3600"/>
            <w:shd w:val="clear" w:color="auto" w:fill="0B1F3A"/>
            <w:tcMar>
              <w:top w:w="60" w:type="dxa"/>
              <w:start w:w="110" w:type="dxa"/>
              <w:bottom w:w="60" w:type="dxa"/>
              <w:end w:w="110" w:type="dxa"/>
            </w:tcMar>
          </w:tcPr>
          <w:p>
            <w:pPr>
              <w:spacing w:after="0"/>
            </w:pPr>
            <w:r/>
            <w:r>
              <w:rPr>
                <w:rFonts w:ascii="Calibri" w:hAnsi="Calibri"/>
                <w:b/>
                <w:i w:val="0"/>
                <w:color w:val="FFFFFF"/>
                <w:sz w:val="16"/>
              </w:rPr>
              <w:t>Ledger treatment</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Duplicate contribution capture</w:t>
            </w:r>
          </w:p>
        </w:tc>
        <w:tc>
          <w:tcPr>
            <w:tcW w:type="dxa" w:w="3312"/>
            <w:tcMar>
              <w:top w:w="60" w:type="dxa"/>
              <w:start w:w="110" w:type="dxa"/>
              <w:bottom w:w="60" w:type="dxa"/>
              <w:end w:w="110" w:type="dxa"/>
            </w:tcMar>
          </w:tcPr>
          <w:p>
            <w:pPr>
              <w:spacing w:after="0"/>
            </w:pPr>
            <w:r/>
            <w:r>
              <w:rPr>
                <w:rFonts w:ascii="Calibri" w:hAnsi="Calibri"/>
                <w:b w:val="0"/>
                <w:i w:val="0"/>
                <w:color w:val="101828"/>
                <w:sz w:val="16"/>
              </w:rPr>
              <w:t>Full refund of one instance</w:t>
            </w:r>
          </w:p>
        </w:tc>
        <w:tc>
          <w:tcPr>
            <w:tcW w:type="dxa" w:w="3600"/>
            <w:tcMar>
              <w:top w:w="60" w:type="dxa"/>
              <w:start w:w="110" w:type="dxa"/>
              <w:bottom w:w="60" w:type="dxa"/>
              <w:end w:w="110" w:type="dxa"/>
            </w:tcMar>
          </w:tcPr>
          <w:p>
            <w:pPr>
              <w:spacing w:after="0"/>
            </w:pPr>
            <w:r/>
            <w:r>
              <w:rPr>
                <w:rFonts w:ascii="Calibri" w:hAnsi="Calibri"/>
                <w:b w:val="0"/>
                <w:i w:val="0"/>
                <w:color w:val="101828"/>
                <w:sz w:val="16"/>
              </w:rPr>
              <w:t>Reverse the original capture entry. The valid contribution is untouched</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Contributed to the wrong Ajo</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Refund after confirmation, or transfer if the member chooses</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Reverse and re-record against the correct Ajo; the two entries reference each other</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Captured, then position removed pre-activation</w:t>
            </w:r>
          </w:p>
        </w:tc>
        <w:tc>
          <w:tcPr>
            <w:tcW w:type="dxa" w:w="3312"/>
            <w:tcMar>
              <w:top w:w="60" w:type="dxa"/>
              <w:start w:w="110" w:type="dxa"/>
              <w:bottom w:w="60" w:type="dxa"/>
              <w:end w:w="110" w:type="dxa"/>
            </w:tcMar>
          </w:tcPr>
          <w:p>
            <w:pPr>
              <w:spacing w:after="0"/>
            </w:pPr>
            <w:r/>
            <w:r>
              <w:rPr>
                <w:rFonts w:ascii="Calibri" w:hAnsi="Calibri"/>
                <w:b w:val="0"/>
                <w:i w:val="0"/>
                <w:color w:val="101828"/>
                <w:sz w:val="16"/>
              </w:rPr>
              <w:t>Refund + the 2% fee is not refunded, as it is a completed service</w:t>
            </w:r>
          </w:p>
        </w:tc>
        <w:tc>
          <w:tcPr>
            <w:tcW w:type="dxa" w:w="3600"/>
            <w:tcMar>
              <w:top w:w="60" w:type="dxa"/>
              <w:start w:w="110" w:type="dxa"/>
              <w:bottom w:w="60" w:type="dxa"/>
              <w:end w:w="110" w:type="dxa"/>
            </w:tcMar>
          </w:tcPr>
          <w:p>
            <w:pPr>
              <w:spacing w:after="0"/>
            </w:pPr>
            <w:r/>
            <w:r>
              <w:rPr>
                <w:rFonts w:ascii="Calibri" w:hAnsi="Calibri"/>
                <w:b w:val="0"/>
                <w:i w:val="0"/>
                <w:color w:val="101828"/>
                <w:sz w:val="16"/>
              </w:rPr>
              <w:t>Reverse gross contribution; retain fee as realised revenue</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Payout failed at the bank</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Retry, then reverse the settlement if permanently failed</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Reverse payout.settled; the obligation returns to contributions_receivable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Ajo cancelled before activation</w:t>
            </w:r>
          </w:p>
        </w:tc>
        <w:tc>
          <w:tcPr>
            <w:tcW w:type="dxa" w:w="3312"/>
            <w:tcMar>
              <w:top w:w="60" w:type="dxa"/>
              <w:start w:w="110" w:type="dxa"/>
              <w:bottom w:w="60" w:type="dxa"/>
              <w:end w:w="110" w:type="dxa"/>
            </w:tcMar>
          </w:tcPr>
          <w:p>
            <w:pPr>
              <w:spacing w:after="0"/>
            </w:pPr>
            <w:r/>
            <w:r>
              <w:rPr>
                <w:rFonts w:ascii="Calibri" w:hAnsi="Calibri"/>
                <w:b w:val="0"/>
                <w:i w:val="0"/>
                <w:color w:val="101828"/>
                <w:sz w:val="16"/>
              </w:rPr>
              <w:t>Refund every contribution in full</w:t>
            </w:r>
          </w:p>
        </w:tc>
        <w:tc>
          <w:tcPr>
            <w:tcW w:type="dxa" w:w="3600"/>
            <w:tcMar>
              <w:top w:w="60" w:type="dxa"/>
              <w:start w:w="110" w:type="dxa"/>
              <w:bottom w:w="60" w:type="dxa"/>
              <w:end w:w="110" w:type="dxa"/>
            </w:tcMar>
          </w:tcPr>
          <w:p>
            <w:pPr>
              <w:spacing w:after="0"/>
            </w:pPr>
            <w:r/>
            <w:r>
              <w:rPr>
                <w:rFonts w:ascii="Calibri" w:hAnsi="Calibri"/>
                <w:b w:val="0"/>
                <w:i w:val="0"/>
                <w:color w:val="101828"/>
                <w:sz w:val="16"/>
              </w:rPr>
              <w:t xml:space="preserve">Each contribution reversed individually; the fee is retained as revenue for a service never delivered — </w:t>
            </w:r>
            <w:r>
              <w:rPr>
                <w:rFonts w:ascii="Calibri" w:hAnsi="Calibri"/>
                <w:b/>
                <w:color w:val="101828"/>
                <w:sz w:val="16"/>
              </w:rPr>
              <w:t>this must be reviewed by counsel</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Fraudulent contribution</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Recovery action, not a customer refund</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Write off via a documented loss-provision entry, not by deleting the capture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Member over-contributed in error</w:t>
            </w:r>
          </w:p>
        </w:tc>
        <w:tc>
          <w:tcPr>
            <w:tcW w:type="dxa" w:w="3312"/>
            <w:tcMar>
              <w:top w:w="60" w:type="dxa"/>
              <w:start w:w="110" w:type="dxa"/>
              <w:bottom w:w="60" w:type="dxa"/>
              <w:end w:w="110" w:type="dxa"/>
            </w:tcMar>
          </w:tcPr>
          <w:p>
            <w:pPr>
              <w:spacing w:after="0"/>
            </w:pPr>
            <w:r/>
            <w:r>
              <w:rPr>
                <w:rFonts w:ascii="Calibri" w:hAnsi="Calibri"/>
                <w:b w:val="0"/>
                <w:i w:val="0"/>
                <w:color w:val="101828"/>
                <w:sz w:val="16"/>
              </w:rPr>
              <w:t>Refund the excess, or offer an Ajo credit</w:t>
            </w:r>
          </w:p>
        </w:tc>
        <w:tc>
          <w:tcPr>
            <w:tcW w:type="dxa" w:w="3600"/>
            <w:tcMar>
              <w:top w:w="60" w:type="dxa"/>
              <w:start w:w="110" w:type="dxa"/>
              <w:bottom w:w="60" w:type="dxa"/>
              <w:end w:w="110" w:type="dxa"/>
            </w:tcMar>
          </w:tcPr>
          <w:p>
            <w:pPr>
              <w:spacing w:after="0"/>
            </w:pPr>
            <w:r/>
            <w:r>
              <w:rPr>
                <w:rFonts w:ascii="Calibri" w:hAnsi="Calibri"/>
                <w:b w:val="0"/>
                <w:i w:val="0"/>
                <w:color w:val="101828"/>
                <w:sz w:val="16"/>
              </w:rPr>
              <w:t>Member's choice. Never silently retain or silently absorb it</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Refund is a product capability, not an exception.  </w:t>
      </w:r>
      <w:r>
        <w:rPr>
          <w:rFonts w:ascii="Calibri" w:hAnsi="Calibri"/>
          <w:b w:val="0"/>
          <w:i w:val="0"/>
          <w:color w:val="0B1F3A"/>
          <w:sz w:val="19"/>
        </w:rPr>
        <w:t>AJO.ng must be able to refund a member quickly and without escalation for the ordinary mistakes. A platform that makes a member open a ticket to recover their own money has already lost their trust, and refunds are cheap while the money is small. The right posture is: automatic for small amounts, fast human review for large ones, and a published maximum SLA.</w:t>
      </w:r>
    </w:p>
    <w:p>
      <w:pPr>
        <w:pStyle w:val="Heading2"/>
      </w:pPr>
      <w:r>
        <w:rPr>
          <w:rFonts w:ascii="Calibri" w:hAnsi="Calibri"/>
          <w:b/>
          <w:i w:val="0"/>
          <w:color w:val="146EF5"/>
          <w:sz w:val="29"/>
        </w:rPr>
        <w:t>13.8 Reconciliation</w:t>
      </w:r>
    </w:p>
    <w:p>
      <w:pPr>
        <w:pStyle w:val="Heading3"/>
      </w:pPr>
      <w:r>
        <w:rPr>
          <w:rFonts w:ascii="Calibri" w:hAnsi="Calibri"/>
          <w:b/>
          <w:i w:val="0"/>
          <w:color w:val="0B1F3A"/>
          <w:sz w:val="24"/>
        </w:rPr>
        <w:t>13.8.1 Why it is non-negotiable</w:t>
      </w:r>
    </w:p>
    <w:p>
      <w:r>
        <w:rPr>
          <w:rFonts w:ascii="Calibri" w:hAnsi="Calibri"/>
          <w:b w:val="0"/>
          <w:i w:val="0"/>
          <w:color w:val="101828"/>
          <w:sz w:val="21"/>
        </w:rPr>
        <w:t>Reconciliation is the discipline that makes the platform's numbers true. Without it, AJO.ng is a business whose financial position is a guess — and in a regulated-adjacent product that is a governance failure, not an accounting detail. Three reconciliations run every day, and all three have a named owner and a completion deadline.</w:t>
      </w:r>
    </w:p>
    <w:p>
      <w:pPr>
        <w:pStyle w:val="Heading3"/>
      </w:pPr>
      <w:r>
        <w:rPr>
          <w:rFonts w:ascii="Calibri" w:hAnsi="Calibri"/>
          <w:b/>
          <w:i w:val="0"/>
          <w:color w:val="0B1F3A"/>
          <w:sz w:val="24"/>
        </w:rPr>
        <w:t>13.8.2 Daily procedures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Procedure</w:t>
            </w:r>
          </w:p>
        </w:tc>
        <w:tc>
          <w:tcPr>
            <w:tcW w:type="dxa" w:w="3312"/>
            <w:shd w:val="clear" w:color="auto" w:fill="0B1F3A"/>
            <w:tcMar>
              <w:top w:w="60" w:type="dxa"/>
              <w:start w:w="110" w:type="dxa"/>
              <w:bottom w:w="60" w:type="dxa"/>
              <w:end w:w="110" w:type="dxa"/>
            </w:tcMar>
          </w:tcPr>
          <w:p>
            <w:pPr>
              <w:spacing w:after="0"/>
            </w:pPr>
            <w:r/>
            <w:r>
              <w:rPr>
                <w:rFonts w:ascii="Calibri" w:hAnsi="Calibri"/>
                <w:b/>
                <w:i w:val="0"/>
                <w:color w:val="FFFFFF"/>
                <w:sz w:val="16"/>
              </w:rPr>
              <w:t>Compares</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Deadline</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On mismatch</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Provider settlement</w:t>
            </w:r>
          </w:p>
        </w:tc>
        <w:tc>
          <w:tcPr>
            <w:tcW w:type="dxa" w:w="3312"/>
            <w:tcMar>
              <w:top w:w="60" w:type="dxa"/>
              <w:start w:w="110" w:type="dxa"/>
              <w:bottom w:w="60" w:type="dxa"/>
              <w:end w:w="110" w:type="dxa"/>
            </w:tcMar>
          </w:tcPr>
          <w:p>
            <w:pPr>
              <w:spacing w:after="0"/>
            </w:pPr>
            <w:r/>
            <w:r>
              <w:rPr>
                <w:rFonts w:ascii="Calibri" w:hAnsi="Calibri"/>
                <w:b w:val="0"/>
                <w:i w:val="0"/>
                <w:color w:val="101828"/>
                <w:sz w:val="16"/>
              </w:rPr>
              <w:t>Provider's settlement report ↔ ledger entries with provider references</w:t>
            </w:r>
          </w:p>
        </w:tc>
        <w:tc>
          <w:tcPr>
            <w:tcW w:type="dxa" w:w="1296"/>
            <w:tcMar>
              <w:top w:w="60" w:type="dxa"/>
              <w:start w:w="110" w:type="dxa"/>
              <w:bottom w:w="60" w:type="dxa"/>
              <w:end w:w="110" w:type="dxa"/>
            </w:tcMar>
          </w:tcPr>
          <w:p>
            <w:pPr>
              <w:spacing w:after="0"/>
            </w:pPr>
            <w:r/>
            <w:r>
              <w:rPr>
                <w:rFonts w:ascii="Calibri" w:hAnsi="Calibri"/>
                <w:b w:val="0"/>
                <w:i w:val="0"/>
                <w:color w:val="101828"/>
                <w:sz w:val="16"/>
              </w:rPr>
              <w:t>10:00 WAT</w:t>
            </w:r>
          </w:p>
        </w:tc>
        <w:tc>
          <w:tcPr>
            <w:tcW w:type="dxa" w:w="2448"/>
            <w:tcMar>
              <w:top w:w="60" w:type="dxa"/>
              <w:start w:w="110" w:type="dxa"/>
              <w:bottom w:w="60" w:type="dxa"/>
              <w:end w:w="110" w:type="dxa"/>
            </w:tcMar>
          </w:tcPr>
          <w:p>
            <w:pPr>
              <w:spacing w:after="0"/>
            </w:pPr>
            <w:r/>
            <w:r>
              <w:rPr>
                <w:rFonts w:ascii="Calibri" w:hAnsi="Calibri"/>
                <w:b w:val="0"/>
                <w:i w:val="0"/>
                <w:color w:val="101828"/>
                <w:sz w:val="16"/>
              </w:rPr>
              <w:t>Auto-ticket to reconciliation; investigate before 14:00</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Bank statement</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Collection + payout bank accounts ↔ ledger</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10:00 WAT</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Same-day investigation</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Internal consistency</w:t>
            </w:r>
          </w:p>
        </w:tc>
        <w:tc>
          <w:tcPr>
            <w:tcW w:type="dxa" w:w="3312"/>
            <w:tcMar>
              <w:top w:w="60" w:type="dxa"/>
              <w:start w:w="110" w:type="dxa"/>
              <w:bottom w:w="60" w:type="dxa"/>
              <w:end w:w="110" w:type="dxa"/>
            </w:tcMar>
          </w:tcPr>
          <w:p>
            <w:pPr>
              <w:spacing w:after="0"/>
            </w:pPr>
            <w:r/>
            <w:r>
              <w:rPr>
                <w:rFonts w:ascii="Calibri" w:hAnsi="Calibri"/>
                <w:b w:val="0"/>
                <w:i w:val="0"/>
                <w:color w:val="101828"/>
                <w:sz w:val="16"/>
              </w:rPr>
              <w:t>Sum of ledger ↔ member balances ↔ Ajo positions ↔ escrow balance</w:t>
            </w:r>
          </w:p>
        </w:tc>
        <w:tc>
          <w:tcPr>
            <w:tcW w:type="dxa" w:w="1296"/>
            <w:tcMar>
              <w:top w:w="60" w:type="dxa"/>
              <w:start w:w="110" w:type="dxa"/>
              <w:bottom w:w="60" w:type="dxa"/>
              <w:end w:w="110" w:type="dxa"/>
            </w:tcMar>
          </w:tcPr>
          <w:p>
            <w:pPr>
              <w:spacing w:after="0"/>
            </w:pPr>
            <w:r/>
            <w:r>
              <w:rPr>
                <w:rFonts w:ascii="Calibri" w:hAnsi="Calibri"/>
                <w:b w:val="0"/>
                <w:i w:val="0"/>
                <w:color w:val="101828"/>
                <w:sz w:val="16"/>
              </w:rPr>
              <w:t>On every deploy and nightly</w:t>
            </w:r>
          </w:p>
        </w:tc>
        <w:tc>
          <w:tcPr>
            <w:tcW w:type="dxa" w:w="2448"/>
            <w:tcMar>
              <w:top w:w="60" w:type="dxa"/>
              <w:start w:w="110" w:type="dxa"/>
              <w:bottom w:w="60" w:type="dxa"/>
              <w:end w:w="110" w:type="dxa"/>
            </w:tcMar>
          </w:tcPr>
          <w:p>
            <w:pPr>
              <w:spacing w:after="0"/>
            </w:pPr>
            <w:r/>
            <w:r>
              <w:rPr>
                <w:rFonts w:ascii="Calibri" w:hAnsi="Calibri"/>
                <w:b w:val="0"/>
                <w:i w:val="0"/>
                <w:color w:val="101828"/>
                <w:sz w:val="16"/>
              </w:rPr>
              <w:t>Halt new payouts automatically. Never reconcile by adjusting a balance column</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Fee revenue</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Sum of fee entries ↔ revenue recognised in the management accounts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Monthly close</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Finance escalation</w:t>
            </w:r>
          </w:p>
        </w:tc>
      </w:tr>
    </w:tbl>
    <w:p>
      <w:pPr>
        <w:spacing w:after="80"/>
      </w:pPr>
    </w:p>
    <w:p>
      <w:pPr>
        <w:spacing w:before="140" w:after="180"/>
        <w:ind w:left="144"/>
        <w:shd w:val="clear" w:color="auto" w:fill="FEF3C7"/>
        <w:pBdr>
          <w:left w:val="single" w:sz="18" w:space="6" w:color="FBBF24"/>
        </w:pBdr>
      </w:pPr>
      <w:r>
        <w:rPr>
          <w:rFonts w:ascii="Calibri" w:hAnsi="Calibri"/>
          <w:b/>
          <w:color w:val="FBBF24"/>
          <w:sz w:val="19"/>
        </w:rPr>
        <w:t xml:space="preserve">The invariant: ledger sum = sum of member balances = escrow cash.  </w:t>
      </w:r>
      <w:r>
        <w:rPr>
          <w:rFonts w:ascii="Calibri" w:hAnsi="Calibri"/>
          <w:b w:val="0"/>
          <w:i w:val="0"/>
          <w:color w:val="0B1F3A"/>
          <w:sz w:val="19"/>
        </w:rPr>
        <w:t xml:space="preserve">This identity must hold at all times, and it is checked automatically and continuously, not at month end. If it ever fails, the platform </w:t>
      </w:r>
      <w:r>
        <w:rPr>
          <w:rFonts w:ascii="Calibri" w:hAnsi="Calibri"/>
          <w:b/>
          <w:color w:val="0B1F3A"/>
          <w:sz w:val="19"/>
        </w:rPr>
        <w:t>stops releasing new payouts</w:t>
      </w:r>
      <w:r>
        <w:rPr>
          <w:rFonts w:ascii="Calibri" w:hAnsi="Calibri"/>
          <w:b w:val="0"/>
          <w:i w:val="0"/>
          <w:color w:val="0B1F3A"/>
          <w:sz w:val="19"/>
        </w:rPr>
        <w:t xml:space="preserve"> and a P1 incident is raised. Payouts continuing while the books do not balance converts an accounting problem into a solvency problem.</w:t>
      </w:r>
    </w:p>
    <w:p>
      <w:pPr>
        <w:pStyle w:val="Heading3"/>
      </w:pPr>
      <w:r>
        <w:rPr>
          <w:rFonts w:ascii="Calibri" w:hAnsi="Calibri"/>
          <w:b/>
          <w:i w:val="0"/>
          <w:color w:val="0B1F3A"/>
          <w:sz w:val="24"/>
        </w:rPr>
        <w:t>13.8.4 Unmatched and unidentified money</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Age</w:t>
            </w:r>
          </w:p>
        </w:tc>
        <w:tc>
          <w:tcPr>
            <w:tcW w:type="dxa" w:w="5184"/>
            <w:shd w:val="clear" w:color="auto" w:fill="0B1F3A"/>
            <w:tcMar>
              <w:top w:w="60" w:type="dxa"/>
              <w:start w:w="110" w:type="dxa"/>
              <w:bottom w:w="60" w:type="dxa"/>
              <w:end w:w="110" w:type="dxa"/>
            </w:tcMar>
          </w:tcPr>
          <w:p>
            <w:pPr>
              <w:spacing w:after="0"/>
            </w:pPr>
            <w:r/>
            <w:r>
              <w:rPr>
                <w:rFonts w:ascii="Calibri" w:hAnsi="Calibri"/>
                <w:b/>
                <w:i w:val="0"/>
                <w:color w:val="FFFFFF"/>
                <w:sz w:val="16"/>
              </w:rPr>
              <w:t>Action</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Owner</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&lt; 24 hours</w:t>
            </w:r>
          </w:p>
        </w:tc>
        <w:tc>
          <w:tcPr>
            <w:tcW w:type="dxa" w:w="5184"/>
            <w:tcMar>
              <w:top w:w="60" w:type="dxa"/>
              <w:start w:w="110" w:type="dxa"/>
              <w:bottom w:w="60" w:type="dxa"/>
              <w:end w:w="110" w:type="dxa"/>
            </w:tcMar>
          </w:tcPr>
          <w:p>
            <w:pPr>
              <w:spacing w:after="0"/>
            </w:pPr>
            <w:r/>
            <w:r>
              <w:rPr>
                <w:rFonts w:ascii="Calibri" w:hAnsi="Calibri"/>
                <w:b w:val="0"/>
                <w:i w:val="0"/>
                <w:color w:val="101828"/>
                <w:sz w:val="16"/>
              </w:rPr>
              <w:t>Automatic attempt to match by reference, amount and time. Expected during outages</w:t>
            </w:r>
          </w:p>
        </w:tc>
        <w:tc>
          <w:tcPr>
            <w:tcW w:type="dxa" w:w="2448"/>
            <w:tcMar>
              <w:top w:w="60" w:type="dxa"/>
              <w:start w:w="110" w:type="dxa"/>
              <w:bottom w:w="60" w:type="dxa"/>
              <w:end w:w="110" w:type="dxa"/>
            </w:tcMar>
          </w:tcPr>
          <w:p>
            <w:pPr>
              <w:spacing w:after="0"/>
            </w:pPr>
            <w:r/>
            <w:r>
              <w:rPr>
                <w:rFonts w:ascii="Calibri" w:hAnsi="Calibri"/>
                <w:b w:val="0"/>
                <w:i w:val="0"/>
                <w:color w:val="101828"/>
                <w:sz w:val="16"/>
              </w:rPr>
              <w:t>System</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1–7 days</w:t>
            </w:r>
          </w:p>
        </w:tc>
        <w:tc>
          <w:tcPr>
            <w:tcW w:type="dxa" w:w="5184"/>
            <w:tcMar>
              <w:top w:w="60" w:type="dxa"/>
              <w:start w:w="110" w:type="dxa"/>
              <w:bottom w:w="60" w:type="dxa"/>
              <w:end w:w="110" w:type="dxa"/>
            </w:tcMar>
            <w:shd w:val="clear" w:color="auto" w:fill="F4F7FB"/>
          </w:tcPr>
          <w:p>
            <w:pPr>
              <w:spacing w:after="0"/>
            </w:pPr>
            <w:r/>
            <w:r>
              <w:rPr>
                <w:rFonts w:ascii="Calibri" w:hAnsi="Calibri"/>
                <w:b w:val="0"/>
                <w:i w:val="0"/>
                <w:color w:val="101828"/>
                <w:sz w:val="16"/>
              </w:rPr>
              <w:t>Manual review. Possible causes: member used a stale reference, or a bank transfer description was edited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Reconciliation officer</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8–30 days</w:t>
            </w:r>
          </w:p>
        </w:tc>
        <w:tc>
          <w:tcPr>
            <w:tcW w:type="dxa" w:w="5184"/>
            <w:tcMar>
              <w:top w:w="60" w:type="dxa"/>
              <w:start w:w="110" w:type="dxa"/>
              <w:bottom w:w="60" w:type="dxa"/>
              <w:end w:w="110" w:type="dxa"/>
            </w:tcMar>
          </w:tcPr>
          <w:p>
            <w:pPr>
              <w:spacing w:after="0"/>
            </w:pPr>
            <w:r/>
            <w:r>
              <w:rPr>
                <w:rFonts w:ascii="Calibri" w:hAnsi="Calibri"/>
                <w:b w:val="0"/>
                <w:i w:val="0"/>
                <w:color w:val="101828"/>
                <w:sz w:val="16"/>
              </w:rPr>
              <w:t>Escalated. Attempt contact with the payer. Considered for return to source</w:t>
            </w:r>
          </w:p>
        </w:tc>
        <w:tc>
          <w:tcPr>
            <w:tcW w:type="dxa" w:w="2448"/>
            <w:tcMar>
              <w:top w:w="60" w:type="dxa"/>
              <w:start w:w="110" w:type="dxa"/>
              <w:bottom w:w="60" w:type="dxa"/>
              <w:end w:w="110" w:type="dxa"/>
            </w:tcMar>
          </w:tcPr>
          <w:p>
            <w:pPr>
              <w:spacing w:after="0"/>
            </w:pPr>
            <w:r/>
            <w:r>
              <w:rPr>
                <w:rFonts w:ascii="Calibri" w:hAnsi="Calibri"/>
                <w:b w:val="0"/>
                <w:i w:val="0"/>
                <w:color w:val="101828"/>
                <w:sz w:val="16"/>
              </w:rPr>
              <w:t>Reconciliation + support</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&gt; 30 days</w:t>
            </w:r>
          </w:p>
        </w:tc>
        <w:tc>
          <w:tcPr>
            <w:tcW w:type="dxa" w:w="5184"/>
            <w:tcMar>
              <w:top w:w="60" w:type="dxa"/>
              <w:start w:w="110" w:type="dxa"/>
              <w:bottom w:w="60" w:type="dxa"/>
              <w:end w:w="110" w:type="dxa"/>
            </w:tcMar>
            <w:shd w:val="clear" w:color="auto" w:fill="F4F7FB"/>
          </w:tcPr>
          <w:p>
            <w:pPr>
              <w:spacing w:after="0"/>
            </w:pPr>
            <w:r/>
            <w:r>
              <w:rPr>
                <w:rFonts w:ascii="Calibri" w:hAnsi="Calibri"/>
                <w:b w:val="0"/>
                <w:i w:val="0"/>
                <w:color w:val="101828"/>
                <w:sz w:val="16"/>
              </w:rPr>
              <w:t>Escalated to risk and finance. Return to source, or recognise as unclaimed funds only with counsel's approval</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Finance lead</w:t>
            </w:r>
          </w:p>
        </w:tc>
      </w:tr>
    </w:tbl>
    <w:p>
      <w:pPr>
        <w:spacing w:after="80"/>
      </w:pPr>
    </w:p>
    <w:p>
      <w:pPr>
        <w:pStyle w:val="Heading2"/>
      </w:pPr>
      <w:r>
        <w:rPr>
          <w:rFonts w:ascii="Calibri" w:hAnsi="Calibri"/>
          <w:b/>
          <w:i w:val="0"/>
          <w:color w:val="146EF5"/>
          <w:sz w:val="29"/>
        </w:rPr>
        <w:t>13.9 Reversals and corrections</w:t>
      </w:r>
    </w:p>
    <w:p>
      <w:r>
        <w:rPr>
          <w:rFonts w:ascii="Calibri" w:hAnsi="Calibri"/>
          <w:b w:val="0"/>
          <w:i w:val="0"/>
          <w:color w:val="101828"/>
          <w:sz w:val="21"/>
        </w:rPr>
        <w:t xml:space="preserve">The rule is absolute: </w:t>
      </w:r>
      <w:r>
        <w:rPr>
          <w:rFonts w:ascii="Calibri" w:hAnsi="Calibri"/>
          <w:b/>
          <w:color w:val="101828"/>
          <w:sz w:val="21"/>
        </w:rPr>
        <w:t>no ledger entry is ever updated or deleted.</w:t>
      </w:r>
      <w:r>
        <w:rPr>
          <w:rFonts w:ascii="Calibri" w:hAnsi="Calibri"/>
          <w:b w:val="0"/>
          <w:i w:val="0"/>
          <w:color w:val="101828"/>
          <w:sz w:val="21"/>
        </w:rPr>
        <w:t xml:space="preserve"> A mistake is corrected by posting a reversing entry that references the original. The original stays, because the audit trail is more valuable than a clean looking table — and because a system that can silently edit history can silently hide a fraud.</w:t>
      </w:r>
    </w:p>
    <w:p>
      <w:pPr>
        <w:spacing w:before="0" w:after="0" w:line="240" w:lineRule="auto"/>
        <w:ind w:left="230"/>
        <w:shd w:val="clear" w:color="auto" w:fill="F7F9FC"/>
        <w:pBdr>
          <w:left w:val="single" w:sz="4" w:space="6" w:color="D0D5DD"/>
        </w:pBdr>
      </w:pPr>
      <w:r>
        <w:rPr>
          <w:rFonts w:ascii="Consolas" w:hAnsi="Consolas"/>
          <w:color w:val="0B1F3A"/>
          <w:sz w:val="15"/>
        </w:rPr>
        <w:t xml:space="preserve">  Posted when the capture is confirmed. Two balanced entries:</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contribution.received    debit  escrow_cash                100_000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credit contributions_receivable   100_000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fee.recognised           debit  escrow_cash                  2_000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credit fees_income                  2_000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Now suppose the member is refunded. Two reversing entries, each the exact</w:t>
      </w:r>
    </w:p>
    <w:p>
      <w:pPr>
        <w:spacing w:before="0" w:after="0" w:line="240" w:lineRule="auto"/>
        <w:ind w:left="230"/>
        <w:shd w:val="clear" w:color="auto" w:fill="F7F9FC"/>
        <w:pBdr>
          <w:left w:val="single" w:sz="4" w:space="6" w:color="D0D5DD"/>
        </w:pBdr>
      </w:pPr>
      <w:r>
        <w:rPr>
          <w:rFonts w:ascii="Consolas" w:hAnsi="Consolas"/>
          <w:color w:val="0B1F3A"/>
          <w:sz w:val="15"/>
        </w:rPr>
        <w:t xml:space="preserve">  mirror of its original:</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reversal of contribution.received</w:t>
      </w:r>
    </w:p>
    <w:p>
      <w:pPr>
        <w:spacing w:before="0" w:after="0" w:line="240" w:lineRule="auto"/>
        <w:ind w:left="230"/>
        <w:shd w:val="clear" w:color="auto" w:fill="F7F9FC"/>
        <w:pBdr>
          <w:left w:val="single" w:sz="4" w:space="6" w:color="D0D5DD"/>
        </w:pBdr>
      </w:pPr>
      <w:r>
        <w:rPr>
          <w:rFonts w:ascii="Consolas" w:hAnsi="Consolas"/>
          <w:color w:val="0B1F3A"/>
          <w:sz w:val="15"/>
        </w:rPr>
        <w:t xml:space="preserve">                            debit  contributions_receivable   100_000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credit escrow_cash                100_000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reversal of fee.recognised</w:t>
      </w:r>
    </w:p>
    <w:p>
      <w:pPr>
        <w:spacing w:before="0" w:after="0" w:line="240" w:lineRule="auto"/>
        <w:ind w:left="230"/>
        <w:shd w:val="clear" w:color="auto" w:fill="F7F9FC"/>
        <w:pBdr>
          <w:left w:val="single" w:sz="4" w:space="6" w:color="D0D5DD"/>
        </w:pBdr>
      </w:pPr>
      <w:r>
        <w:rPr>
          <w:rFonts w:ascii="Consolas" w:hAnsi="Consolas"/>
          <w:color w:val="0B1F3A"/>
          <w:sz w:val="15"/>
        </w:rPr>
        <w:t xml:space="preserve">                            debit  fees_income                  2_000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credit escrow_cash                  2_000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All four rows remain in the ledger, each linked to the entry it reverses.</w:t>
      </w:r>
    </w:p>
    <w:p>
      <w:pPr>
        <w:spacing w:before="0" w:after="0" w:line="240" w:lineRule="auto"/>
        <w:ind w:left="230"/>
        <w:shd w:val="clear" w:color="auto" w:fill="F7F9FC"/>
        <w:pBdr>
          <w:left w:val="single" w:sz="4" w:space="6" w:color="D0D5DD"/>
        </w:pBdr>
      </w:pPr>
      <w:r>
        <w:rPr>
          <w:rFonts w:ascii="Consolas" w:hAnsi="Consolas"/>
          <w:color w:val="0B1F3A"/>
          <w:sz w:val="15"/>
        </w:rPr>
        <w:t xml:space="preserve">  Escrow and the receivable are back to zero. Only the member's contribution</w:t>
      </w:r>
    </w:p>
    <w:p>
      <w:pPr>
        <w:spacing w:before="0" w:after="0" w:line="240" w:lineRule="auto"/>
        <w:ind w:left="230"/>
        <w:shd w:val="clear" w:color="auto" w:fill="F7F9FC"/>
        <w:pBdr>
          <w:left w:val="single" w:sz="4" w:space="6" w:color="D0D5DD"/>
        </w:pBdr>
      </w:pPr>
      <w:r>
        <w:rPr>
          <w:rFonts w:ascii="Consolas" w:hAnsi="Consolas"/>
          <w:color w:val="0B1F3A"/>
          <w:sz w:val="15"/>
        </w:rPr>
        <w:t xml:space="preserve">  was actually returned; the fee is retained as earned, and the reason both</w:t>
      </w:r>
    </w:p>
    <w:p>
      <w:pPr>
        <w:spacing w:before="0" w:after="0" w:line="240" w:lineRule="auto"/>
        <w:ind w:left="230"/>
        <w:shd w:val="clear" w:color="auto" w:fill="F7F9FC"/>
        <w:pBdr>
          <w:left w:val="single" w:sz="4" w:space="6" w:color="D0D5DD"/>
        </w:pBdr>
      </w:pPr>
      <w:r>
        <w:rPr>
          <w:rFonts w:ascii="Consolas" w:hAnsi="Consolas"/>
          <w:color w:val="0B1F3A"/>
          <w:sz w:val="15"/>
        </w:rPr>
        <w:t xml:space="preserve">  reversals were necessary is permanent.</w:t>
      </w:r>
    </w:p>
    <w:p>
      <w:r>
        <w:rPr>
          <w:rFonts w:ascii="Calibri" w:hAnsi="Calibri"/>
          <w:b w:val="0"/>
          <w:i w:val="0"/>
          <w:color w:val="101828"/>
          <w:sz w:val="21"/>
        </w:rPr>
        <w:t>A reversing entry may be posted by the system automatically for mechanical errors, or by a super admin with a mandatory written reason and a mandatory review by a second person. Manual reversal is one of the highest-risk operations in the platform and is treated as such.</w:t>
      </w:r>
    </w:p>
    <w:p>
      <w:pPr>
        <w:pStyle w:val="Heading2"/>
      </w:pPr>
      <w:r>
        <w:rPr>
          <w:rFonts w:ascii="Calibri" w:hAnsi="Calibri"/>
          <w:b/>
          <w:i w:val="0"/>
          <w:color w:val="146EF5"/>
          <w:sz w:val="29"/>
        </w:rPr>
        <w:t>13.10 Provider outages and degradation</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Failure</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6"/>
              </w:rPr>
              <w:t>Member-facing behaviour</w:t>
            </w:r>
          </w:p>
        </w:tc>
        <w:tc>
          <w:tcPr>
            <w:tcW w:type="dxa" w:w="3600"/>
            <w:shd w:val="clear" w:color="auto" w:fill="0B1F3A"/>
            <w:tcMar>
              <w:top w:w="60" w:type="dxa"/>
              <w:start w:w="110" w:type="dxa"/>
              <w:bottom w:w="60" w:type="dxa"/>
              <w:end w:w="110" w:type="dxa"/>
            </w:tcMar>
          </w:tcPr>
          <w:p>
            <w:pPr>
              <w:spacing w:after="0"/>
            </w:pPr>
            <w:r/>
            <w:r>
              <w:rPr>
                <w:rFonts w:ascii="Calibri" w:hAnsi="Calibri"/>
                <w:b/>
                <w:i w:val="0"/>
                <w:color w:val="FFFFFF"/>
                <w:sz w:val="16"/>
              </w:rPr>
              <w:t>Internal action</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Collection rail unavailable</w:t>
            </w:r>
          </w:p>
        </w:tc>
        <w:tc>
          <w:tcPr>
            <w:tcW w:type="dxa" w:w="3456"/>
            <w:tcMar>
              <w:top w:w="60" w:type="dxa"/>
              <w:start w:w="110" w:type="dxa"/>
              <w:bottom w:w="60" w:type="dxa"/>
              <w:end w:w="110" w:type="dxa"/>
            </w:tcMar>
          </w:tcPr>
          <w:p>
            <w:pPr>
              <w:spacing w:after="0"/>
            </w:pPr>
            <w:r/>
            <w:r>
              <w:rPr>
                <w:rFonts w:ascii="Calibri" w:hAnsi="Calibri"/>
                <w:b w:val="0"/>
                <w:i w:val="0"/>
                <w:color w:val="101828"/>
                <w:sz w:val="16"/>
              </w:rPr>
              <w:t xml:space="preserve">Show the outage on the payment screen, before the member starts. Allow contribution for a </w:t>
            </w:r>
            <w:r>
              <w:rPr>
                <w:rFonts w:ascii="Calibri" w:hAnsi="Calibri"/>
                <w:i/>
                <w:color w:val="101828"/>
                <w:sz w:val="16"/>
              </w:rPr>
              <w:t>different</w:t>
            </w:r>
            <w:r>
              <w:rPr>
                <w:rFonts w:ascii="Calibri" w:hAnsi="Calibri"/>
                <w:b w:val="0"/>
                <w:i w:val="0"/>
                <w:color w:val="101828"/>
                <w:sz w:val="16"/>
              </w:rPr>
              <w:t xml:space="preserve"> rail if one is available</w:t>
            </w:r>
          </w:p>
        </w:tc>
        <w:tc>
          <w:tcPr>
            <w:tcW w:type="dxa" w:w="3600"/>
            <w:tcMar>
              <w:top w:w="60" w:type="dxa"/>
              <w:start w:w="110" w:type="dxa"/>
              <w:bottom w:w="60" w:type="dxa"/>
              <w:end w:w="110" w:type="dxa"/>
            </w:tcMar>
          </w:tcPr>
          <w:p>
            <w:pPr>
              <w:spacing w:after="0"/>
            </w:pPr>
            <w:r/>
            <w:r>
              <w:rPr>
                <w:rFonts w:ascii="Calibri" w:hAnsi="Calibri"/>
                <w:b w:val="0"/>
                <w:i w:val="0"/>
                <w:color w:val="101828"/>
                <w:sz w:val="16"/>
              </w:rPr>
              <w:t>Feature-flag the rail; alert on error rate</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Webhook delivery stops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Contributions show 'pending verification'. </w:t>
            </w:r>
            <w:r>
              <w:rPr>
                <w:rFonts w:ascii="Calibri" w:hAnsi="Calibri"/>
                <w:b/>
                <w:color w:val="101828"/>
                <w:sz w:val="16"/>
              </w:rPr>
              <w:t>Never</w:t>
            </w:r>
            <w:r>
              <w:rPr>
                <w:rFonts w:ascii="Calibri" w:hAnsi="Calibri"/>
                <w:b w:val="0"/>
                <w:i w:val="0"/>
                <w:color w:val="101828"/>
                <w:sz w:val="16"/>
              </w:rPr>
              <w:t xml:space="preserve"> tell the member they have paid</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Queue inbound; poll provider status on a schedule as a backstop; raise P1 if the gap exceeds 2 hours</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Payout rail unavailable at ready_at</w:t>
            </w:r>
          </w:p>
        </w:tc>
        <w:tc>
          <w:tcPr>
            <w:tcW w:type="dxa" w:w="3456"/>
            <w:tcMar>
              <w:top w:w="60" w:type="dxa"/>
              <w:start w:w="110" w:type="dxa"/>
              <w:bottom w:w="60" w:type="dxa"/>
              <w:end w:w="110" w:type="dxa"/>
            </w:tcMar>
          </w:tcPr>
          <w:p>
            <w:pPr>
              <w:spacing w:after="0"/>
            </w:pPr>
            <w:r/>
            <w:r>
              <w:rPr>
                <w:rFonts w:ascii="Calibri" w:hAnsi="Calibri"/>
                <w:b w:val="0"/>
                <w:i w:val="0"/>
                <w:color w:val="101828"/>
                <w:sz w:val="16"/>
              </w:rPr>
              <w:t>Delay the payout and notify every affected member with a new expected date, before they notice</w:t>
            </w:r>
          </w:p>
        </w:tc>
        <w:tc>
          <w:tcPr>
            <w:tcW w:type="dxa" w:w="3600"/>
            <w:tcMar>
              <w:top w:w="60" w:type="dxa"/>
              <w:start w:w="110" w:type="dxa"/>
              <w:bottom w:w="60" w:type="dxa"/>
              <w:end w:w="110" w:type="dxa"/>
            </w:tcMar>
          </w:tcPr>
          <w:p>
            <w:pPr>
              <w:spacing w:after="0"/>
            </w:pPr>
            <w:r/>
            <w:r>
              <w:rPr>
                <w:rFonts w:ascii="Calibri" w:hAnsi="Calibri"/>
                <w:b w:val="0"/>
                <w:i w:val="0"/>
                <w:color w:val="101828"/>
                <w:sz w:val="16"/>
              </w:rPr>
              <w:t>Queue the batch; retry with backoff; never issue a partial batch silently</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Bank credit slow (T+1 expected, T+3 actual)</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Show 'sent, awaiting bank credit' with the last check time</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Reconcile; do not reverse automatically — the money is usually in flight</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Provider returns an unknown error</w:t>
            </w:r>
          </w:p>
        </w:tc>
        <w:tc>
          <w:tcPr>
            <w:tcW w:type="dxa" w:w="3456"/>
            <w:tcMar>
              <w:top w:w="60" w:type="dxa"/>
              <w:start w:w="110" w:type="dxa"/>
              <w:bottom w:w="60" w:type="dxa"/>
              <w:end w:w="110" w:type="dxa"/>
            </w:tcMar>
          </w:tcPr>
          <w:p>
            <w:pPr>
              <w:spacing w:after="0"/>
            </w:pPr>
            <w:r/>
            <w:r>
              <w:rPr>
                <w:rFonts w:ascii="Calibri" w:hAnsi="Calibri"/>
                <w:b w:val="0"/>
                <w:i w:val="0"/>
                <w:color w:val="101828"/>
                <w:sz w:val="16"/>
              </w:rPr>
              <w:t>Generic failure with a support reference</w:t>
            </w:r>
          </w:p>
        </w:tc>
        <w:tc>
          <w:tcPr>
            <w:tcW w:type="dxa" w:w="3600"/>
            <w:tcMar>
              <w:top w:w="60" w:type="dxa"/>
              <w:start w:w="110" w:type="dxa"/>
              <w:bottom w:w="60" w:type="dxa"/>
              <w:end w:w="110" w:type="dxa"/>
            </w:tcMar>
          </w:tcPr>
          <w:p>
            <w:pPr>
              <w:spacing w:after="0"/>
            </w:pPr>
            <w:r/>
            <w:r>
              <w:rPr>
                <w:rFonts w:ascii="Calibri" w:hAnsi="Calibri"/>
                <w:b w:val="0"/>
                <w:i w:val="0"/>
                <w:color w:val="101828"/>
                <w:sz w:val="16"/>
              </w:rPr>
              <w:t>Alert immediately; never auto-retry a non-idempotent operation without a reference check</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Honesty is the outage strategy.  </w:t>
      </w:r>
      <w:r>
        <w:rPr>
          <w:rFonts w:ascii="Calibri" w:hAnsi="Calibri"/>
          <w:b w:val="0"/>
          <w:i w:val="0"/>
          <w:color w:val="0B1F3A"/>
          <w:sz w:val="19"/>
        </w:rPr>
        <w:t>A member whose payout is delayed by two days and told so in advance is a retained member. A member whose payout is delayed silently, and who discovers it by checking their bank statement, is a lost member and a public review. Every delay in this system produces a proactive notification, even when the fix is in progress.</w:t>
      </w:r>
    </w:p>
    <w:p>
      <w:pPr>
        <w:pStyle w:val="Heading2"/>
      </w:pPr>
      <w:r>
        <w:rPr>
          <w:rFonts w:ascii="Calibri" w:hAnsi="Calibri"/>
          <w:b/>
          <w:i w:val="0"/>
          <w:color w:val="146EF5"/>
          <w:sz w:val="29"/>
        </w:rPr>
        <w:t>13.11 Financial controls</w:t>
      </w:r>
    </w:p>
    <w:p>
      <w:pPr>
        <w:pStyle w:val="ListBullet"/>
        <w:spacing w:after="60"/>
        <w:ind w:left="360"/>
      </w:pPr>
      <w:r>
        <w:rPr>
          <w:rFonts w:ascii="Calibri" w:hAnsi="Calibri"/>
          <w:b/>
          <w:color w:val="101828"/>
          <w:sz w:val="21"/>
        </w:rPr>
        <w:t>Segregation of duties</w:t>
      </w:r>
      <w:r>
        <w:rPr>
          <w:rFonts w:ascii="Calibri" w:hAnsi="Calibri"/>
          <w:b w:val="0"/>
          <w:i w:val="0"/>
          <w:color w:val="101828"/>
          <w:sz w:val="21"/>
        </w:rPr>
        <w:t xml:space="preserve"> — the person who initiates a payout is not the person who approves a large manual intervention.</w:t>
      </w:r>
    </w:p>
    <w:p>
      <w:pPr>
        <w:pStyle w:val="ListBullet"/>
        <w:spacing w:after="60"/>
        <w:ind w:left="360"/>
      </w:pPr>
      <w:r>
        <w:rPr>
          <w:rFonts w:ascii="Calibri" w:hAnsi="Calibri"/>
          <w:b/>
          <w:color w:val="101828"/>
          <w:sz w:val="21"/>
        </w:rPr>
        <w:t>Dual authorisation</w:t>
      </w:r>
      <w:r>
        <w:rPr>
          <w:rFonts w:ascii="Calibri" w:hAnsi="Calibri"/>
          <w:b w:val="0"/>
          <w:i w:val="0"/>
          <w:color w:val="101828"/>
          <w:sz w:val="21"/>
        </w:rPr>
        <w:t xml:space="preserve"> — any manual ledger correction, any refund above a set threshold, and any bank-account change on a frozen account require two people.</w:t>
      </w:r>
    </w:p>
    <w:p>
      <w:pPr>
        <w:pStyle w:val="ListBullet"/>
        <w:spacing w:after="60"/>
        <w:ind w:left="360"/>
      </w:pPr>
      <w:r>
        <w:rPr>
          <w:rFonts w:ascii="Calibri" w:hAnsi="Calibri"/>
          <w:b/>
          <w:color w:val="101828"/>
          <w:sz w:val="21"/>
        </w:rPr>
        <w:t>Four-eyes on bank detail</w:t>
      </w:r>
      <w:r>
        <w:rPr>
          <w:rFonts w:ascii="Calibri" w:hAnsi="Calibri"/>
          <w:b w:val="0"/>
          <w:i w:val="0"/>
          <w:color w:val="101828"/>
          <w:sz w:val="21"/>
        </w:rPr>
        <w:t xml:space="preserve"> — no change to the settlement account or payout account is possible without two independent authorisers, plus a cooling-off period and an out-of-band notification.</w:t>
      </w:r>
    </w:p>
    <w:p>
      <w:pPr>
        <w:pStyle w:val="ListBullet"/>
        <w:spacing w:after="60"/>
        <w:ind w:left="360"/>
      </w:pPr>
      <w:r>
        <w:rPr>
          <w:rFonts w:ascii="Calibri" w:hAnsi="Calibri"/>
          <w:b/>
          <w:color w:val="101828"/>
          <w:sz w:val="21"/>
        </w:rPr>
        <w:t>Daily and monthly limits</w:t>
      </w:r>
      <w:r>
        <w:rPr>
          <w:rFonts w:ascii="Calibri" w:hAnsi="Calibri"/>
          <w:b w:val="0"/>
          <w:i w:val="0"/>
          <w:color w:val="101828"/>
          <w:sz w:val="21"/>
        </w:rPr>
        <w:t xml:space="preserve"> — per member, per Ajo, and platform-wide payout caps, configurable without a deploy.</w:t>
      </w:r>
    </w:p>
    <w:p>
      <w:pPr>
        <w:pStyle w:val="ListBullet"/>
        <w:spacing w:after="60"/>
        <w:ind w:left="360"/>
      </w:pPr>
      <w:r>
        <w:rPr>
          <w:rFonts w:ascii="Calibri" w:hAnsi="Calibri"/>
          <w:b/>
          <w:color w:val="101828"/>
          <w:sz w:val="21"/>
        </w:rPr>
        <w:t>Immutable provider credentials</w:t>
      </w:r>
      <w:r>
        <w:rPr>
          <w:rFonts w:ascii="Calibri" w:hAnsi="Calibri"/>
          <w:b w:val="0"/>
          <w:i w:val="0"/>
          <w:color w:val="101828"/>
          <w:sz w:val="21"/>
        </w:rPr>
        <w:t xml:space="preserve"> — secrets live in a managed secret store, rotate on a schedule and on any personnel change, and are never in an environment variable committed to source.</w:t>
      </w:r>
    </w:p>
    <w:p>
      <w:pPr>
        <w:pStyle w:val="ListBullet"/>
        <w:spacing w:after="60"/>
        <w:ind w:left="360"/>
      </w:pPr>
      <w:r>
        <w:rPr>
          <w:rFonts w:ascii="Calibri" w:hAnsi="Calibri"/>
          <w:b/>
          <w:color w:val="101828"/>
          <w:sz w:val="21"/>
        </w:rPr>
        <w:t>Audit of every privileged money action</w:t>
      </w:r>
      <w:r>
        <w:rPr>
          <w:rFonts w:ascii="Calibri" w:hAnsi="Calibri"/>
          <w:b w:val="0"/>
          <w:i w:val="0"/>
          <w:color w:val="101828"/>
          <w:sz w:val="21"/>
        </w:rPr>
        <w:t xml:space="preserve"> — actor, target, amount, reason, and outcome, retained per section 24.</w:t>
      </w:r>
    </w:p>
    <w:p>
      <w:pPr>
        <w:pStyle w:val="Heading2"/>
      </w:pPr>
      <w:r>
        <w:rPr>
          <w:rFonts w:ascii="Calibri" w:hAnsi="Calibri"/>
          <w:b/>
          <w:i w:val="0"/>
          <w:color w:val="146EF5"/>
          <w:sz w:val="29"/>
        </w:rPr>
        <w:t>13.12 Manual and assisted operations</w:t>
      </w:r>
    </w:p>
    <w:p>
      <w:r>
        <w:rPr>
          <w:rFonts w:ascii="Calibri" w:hAnsi="Calibri"/>
          <w:b w:val="0"/>
          <w:i w:val="0"/>
          <w:color w:val="101828"/>
          <w:sz w:val="21"/>
        </w:rPr>
        <w:t>Some situations genuinely require a person: a payout the provider cannot resolve, a bank account that was closed mid-cycle, a member who has moved. AJO.ng provides a controlled console for these, not a spreadsheet and not a direct database edit.</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Operation</w:t>
            </w:r>
          </w:p>
        </w:tc>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Who</w:t>
            </w:r>
          </w:p>
        </w:tc>
        <w:tc>
          <w:tcPr>
            <w:tcW w:type="dxa" w:w="4752"/>
            <w:shd w:val="clear" w:color="auto" w:fill="0B1F3A"/>
            <w:tcMar>
              <w:top w:w="60" w:type="dxa"/>
              <w:start w:w="110" w:type="dxa"/>
              <w:bottom w:w="60" w:type="dxa"/>
              <w:end w:w="110" w:type="dxa"/>
            </w:tcMar>
          </w:tcPr>
          <w:p>
            <w:pPr>
              <w:spacing w:after="0"/>
            </w:pPr>
            <w:r/>
            <w:r>
              <w:rPr>
                <w:rFonts w:ascii="Calibri" w:hAnsi="Calibri"/>
                <w:b/>
                <w:i w:val="0"/>
                <w:color w:val="FFFFFF"/>
                <w:sz w:val="16"/>
              </w:rPr>
              <w:t>Controls</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Retry a failed payout</w:t>
            </w:r>
          </w:p>
        </w:tc>
        <w:tc>
          <w:tcPr>
            <w:tcW w:type="dxa" w:w="1872"/>
            <w:tcMar>
              <w:top w:w="60" w:type="dxa"/>
              <w:start w:w="110" w:type="dxa"/>
              <w:bottom w:w="60" w:type="dxa"/>
              <w:end w:w="110" w:type="dxa"/>
            </w:tcMar>
          </w:tcPr>
          <w:p>
            <w:pPr>
              <w:spacing w:after="0"/>
            </w:pPr>
            <w:r/>
            <w:r>
              <w:rPr>
                <w:rFonts w:ascii="Calibri" w:hAnsi="Calibri"/>
                <w:b w:val="0"/>
                <w:i w:val="0"/>
                <w:color w:val="101828"/>
                <w:sz w:val="16"/>
              </w:rPr>
              <w:t>Support</w:t>
            </w:r>
          </w:p>
        </w:tc>
        <w:tc>
          <w:tcPr>
            <w:tcW w:type="dxa" w:w="4752"/>
            <w:tcMar>
              <w:top w:w="60" w:type="dxa"/>
              <w:start w:w="110" w:type="dxa"/>
              <w:bottom w:w="60" w:type="dxa"/>
              <w:end w:w="110" w:type="dxa"/>
            </w:tcMar>
          </w:tcPr>
          <w:p>
            <w:pPr>
              <w:spacing w:after="0"/>
            </w:pPr>
            <w:r/>
            <w:r>
              <w:rPr>
                <w:rFonts w:ascii="Calibri" w:hAnsi="Calibri"/>
                <w:b w:val="0"/>
                <w:i w:val="0"/>
                <w:color w:val="101828"/>
                <w:sz w:val="16"/>
              </w:rPr>
              <w:t>Up to 3 automatic attempts first. Manual retry records the reason</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Reassign a payout destination</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Risk officer</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Step-up auth, 14-day cooling-off, notify all registered channels, dual authorisation</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Post a manual ledger correction</w:t>
            </w:r>
          </w:p>
        </w:tc>
        <w:tc>
          <w:tcPr>
            <w:tcW w:type="dxa" w:w="1872"/>
            <w:tcMar>
              <w:top w:w="60" w:type="dxa"/>
              <w:start w:w="110" w:type="dxa"/>
              <w:bottom w:w="60" w:type="dxa"/>
              <w:end w:w="110" w:type="dxa"/>
            </w:tcMar>
          </w:tcPr>
          <w:p>
            <w:pPr>
              <w:spacing w:after="0"/>
            </w:pPr>
            <w:r/>
            <w:r>
              <w:rPr>
                <w:rFonts w:ascii="Calibri" w:hAnsi="Calibri"/>
                <w:b w:val="0"/>
                <w:i w:val="0"/>
                <w:color w:val="101828"/>
                <w:sz w:val="16"/>
              </w:rPr>
              <w:t>Super admin</w:t>
            </w:r>
          </w:p>
        </w:tc>
        <w:tc>
          <w:tcPr>
            <w:tcW w:type="dxa" w:w="4752"/>
            <w:tcMar>
              <w:top w:w="60" w:type="dxa"/>
              <w:start w:w="110" w:type="dxa"/>
              <w:bottom w:w="60" w:type="dxa"/>
              <w:end w:w="110" w:type="dxa"/>
            </w:tcMar>
          </w:tcPr>
          <w:p>
            <w:pPr>
              <w:spacing w:after="0"/>
            </w:pPr>
            <w:r/>
            <w:r>
              <w:rPr>
                <w:rFonts w:ascii="Calibri" w:hAnsi="Calibri"/>
                <w:b w:val="0"/>
                <w:i w:val="0"/>
                <w:color w:val="101828"/>
                <w:sz w:val="16"/>
              </w:rPr>
              <w:t>Reversing entry only, mandatory reason, dual authorisation, automatic alert to the board</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Waive a late fee</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Finance</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Value capped. Logged, reported monthly</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Return unidentified funds</w:t>
            </w:r>
          </w:p>
        </w:tc>
        <w:tc>
          <w:tcPr>
            <w:tcW w:type="dxa" w:w="1872"/>
            <w:tcMar>
              <w:top w:w="60" w:type="dxa"/>
              <w:start w:w="110" w:type="dxa"/>
              <w:bottom w:w="60" w:type="dxa"/>
              <w:end w:w="110" w:type="dxa"/>
            </w:tcMar>
          </w:tcPr>
          <w:p>
            <w:pPr>
              <w:spacing w:after="0"/>
            </w:pPr>
            <w:r/>
            <w:r>
              <w:rPr>
                <w:rFonts w:ascii="Calibri" w:hAnsi="Calibri"/>
                <w:b w:val="0"/>
                <w:i w:val="0"/>
                <w:color w:val="101828"/>
                <w:sz w:val="16"/>
              </w:rPr>
              <w:t>Finance + risk</w:t>
            </w:r>
          </w:p>
        </w:tc>
        <w:tc>
          <w:tcPr>
            <w:tcW w:type="dxa" w:w="4752"/>
            <w:tcMar>
              <w:top w:w="60" w:type="dxa"/>
              <w:start w:w="110" w:type="dxa"/>
              <w:bottom w:w="60" w:type="dxa"/>
              <w:end w:w="110" w:type="dxa"/>
            </w:tcMar>
          </w:tcPr>
          <w:p>
            <w:pPr>
              <w:spacing w:after="0"/>
            </w:pPr>
            <w:r/>
            <w:r>
              <w:rPr>
                <w:rFonts w:ascii="Calibri" w:hAnsi="Calibri"/>
                <w:b w:val="0"/>
                <w:i w:val="0"/>
                <w:color w:val="101828"/>
                <w:sz w:val="16"/>
              </w:rPr>
              <w:t>Evidence-based; never to a destination supplied by the payer without independent verification</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Close an Ajo with a structural default</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Risk + organizer</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Structured, documented, member-notified. Never a silent write-off</w:t>
            </w:r>
          </w:p>
        </w:tc>
      </w:tr>
    </w:tbl>
    <w:p>
      <w:pPr>
        <w:spacing w:after="80"/>
      </w:pPr>
    </w:p>
    <w:p>
      <w:pPr>
        <w:pStyle w:val="Heading2"/>
      </w:pPr>
      <w:r>
        <w:rPr>
          <w:rFonts w:ascii="Calibri" w:hAnsi="Calibri"/>
          <w:b/>
          <w:i w:val="0"/>
          <w:color w:val="146EF5"/>
          <w:sz w:val="29"/>
        </w:rPr>
        <w:t>13.13 Operational runbook — daily</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Time (WAT)</w:t>
            </w:r>
          </w:p>
        </w:tc>
        <w:tc>
          <w:tcPr>
            <w:tcW w:type="dxa" w:w="3888"/>
            <w:shd w:val="clear" w:color="auto" w:fill="0B1F3A"/>
            <w:tcMar>
              <w:top w:w="60" w:type="dxa"/>
              <w:start w:w="110" w:type="dxa"/>
              <w:bottom w:w="60" w:type="dxa"/>
              <w:end w:w="110" w:type="dxa"/>
            </w:tcMar>
          </w:tcPr>
          <w:p>
            <w:pPr>
              <w:spacing w:after="0"/>
            </w:pPr>
            <w:r/>
            <w:r>
              <w:rPr>
                <w:rFonts w:ascii="Calibri" w:hAnsi="Calibri"/>
                <w:b/>
                <w:i w:val="0"/>
                <w:color w:val="FFFFFF"/>
                <w:sz w:val="16"/>
              </w:rPr>
              <w:t>Task</w:t>
            </w:r>
          </w:p>
        </w:tc>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Owner</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Output</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08:00</w:t>
            </w:r>
          </w:p>
        </w:tc>
        <w:tc>
          <w:tcPr>
            <w:tcW w:type="dxa" w:w="3888"/>
            <w:tcMar>
              <w:top w:w="60" w:type="dxa"/>
              <w:start w:w="110" w:type="dxa"/>
              <w:bottom w:w="60" w:type="dxa"/>
              <w:end w:w="110" w:type="dxa"/>
            </w:tcMar>
          </w:tcPr>
          <w:p>
            <w:pPr>
              <w:spacing w:after="0"/>
            </w:pPr>
            <w:r/>
            <w:r>
              <w:rPr>
                <w:rFonts w:ascii="Calibri" w:hAnsi="Calibri"/>
                <w:b w:val="0"/>
                <w:i w:val="0"/>
                <w:color w:val="101828"/>
                <w:sz w:val="16"/>
              </w:rPr>
              <w:t>Review overnight alerts: webhook gaps, failed batches, reconciliation alarms</w:t>
            </w:r>
          </w:p>
        </w:tc>
        <w:tc>
          <w:tcPr>
            <w:tcW w:type="dxa" w:w="1872"/>
            <w:tcMar>
              <w:top w:w="60" w:type="dxa"/>
              <w:start w:w="110" w:type="dxa"/>
              <w:bottom w:w="60" w:type="dxa"/>
              <w:end w:w="110" w:type="dxa"/>
            </w:tcMar>
          </w:tcPr>
          <w:p>
            <w:pPr>
              <w:spacing w:after="0"/>
            </w:pPr>
            <w:r/>
            <w:r>
              <w:rPr>
                <w:rFonts w:ascii="Calibri" w:hAnsi="Calibri"/>
                <w:b w:val="0"/>
                <w:i w:val="0"/>
                <w:color w:val="101828"/>
                <w:sz w:val="16"/>
              </w:rPr>
              <w:t>On-call</w:t>
            </w:r>
          </w:p>
        </w:tc>
        <w:tc>
          <w:tcPr>
            <w:tcW w:type="dxa" w:w="2016"/>
            <w:tcMar>
              <w:top w:w="60" w:type="dxa"/>
              <w:start w:w="110" w:type="dxa"/>
              <w:bottom w:w="60" w:type="dxa"/>
              <w:end w:w="110" w:type="dxa"/>
            </w:tcMar>
          </w:tcPr>
          <w:p>
            <w:pPr>
              <w:spacing w:after="0"/>
            </w:pPr>
            <w:r/>
            <w:r>
              <w:rPr>
                <w:rFonts w:ascii="Calibri" w:hAnsi="Calibri"/>
                <w:b w:val="0"/>
                <w:i w:val="0"/>
                <w:color w:val="101828"/>
                <w:sz w:val="16"/>
              </w:rPr>
              <w:t>Incident log</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09:00</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Review the previous day's unmatched payments and pursue identification</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Reconciliation officer</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Aging report</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10:00</w:t>
            </w:r>
          </w:p>
        </w:tc>
        <w:tc>
          <w:tcPr>
            <w:tcW w:type="dxa" w:w="3888"/>
            <w:tcMar>
              <w:top w:w="60" w:type="dxa"/>
              <w:start w:w="110" w:type="dxa"/>
              <w:bottom w:w="60" w:type="dxa"/>
              <w:end w:w="110" w:type="dxa"/>
            </w:tcMar>
          </w:tcPr>
          <w:p>
            <w:pPr>
              <w:spacing w:after="0"/>
            </w:pPr>
            <w:r/>
            <w:r>
              <w:rPr>
                <w:rFonts w:ascii="Calibri" w:hAnsi="Calibri"/>
                <w:b w:val="0"/>
                <w:i w:val="0"/>
                <w:color w:val="101828"/>
                <w:sz w:val="16"/>
              </w:rPr>
              <w:t>Run and sign off the three reconciliations (13.8.2)</w:t>
            </w:r>
          </w:p>
        </w:tc>
        <w:tc>
          <w:tcPr>
            <w:tcW w:type="dxa" w:w="1872"/>
            <w:tcMar>
              <w:top w:w="60" w:type="dxa"/>
              <w:start w:w="110" w:type="dxa"/>
              <w:bottom w:w="60" w:type="dxa"/>
              <w:end w:w="110" w:type="dxa"/>
            </w:tcMar>
          </w:tcPr>
          <w:p>
            <w:pPr>
              <w:spacing w:after="0"/>
            </w:pPr>
            <w:r/>
            <w:r>
              <w:rPr>
                <w:rFonts w:ascii="Calibri" w:hAnsi="Calibri"/>
                <w:b w:val="0"/>
                <w:i w:val="0"/>
                <w:color w:val="101828"/>
                <w:sz w:val="16"/>
              </w:rPr>
              <w:t>Reconciliation officer</w:t>
            </w:r>
          </w:p>
        </w:tc>
        <w:tc>
          <w:tcPr>
            <w:tcW w:type="dxa" w:w="2016"/>
            <w:tcMar>
              <w:top w:w="60" w:type="dxa"/>
              <w:start w:w="110" w:type="dxa"/>
              <w:bottom w:w="60" w:type="dxa"/>
              <w:end w:w="110" w:type="dxa"/>
            </w:tcMar>
          </w:tcPr>
          <w:p>
            <w:pPr>
              <w:spacing w:after="0"/>
            </w:pPr>
            <w:r/>
            <w:r>
              <w:rPr>
                <w:rFonts w:ascii="Calibri" w:hAnsi="Calibri"/>
                <w:b w:val="0"/>
                <w:i w:val="0"/>
                <w:color w:val="101828"/>
                <w:sz w:val="16"/>
              </w:rPr>
              <w:t>Signed reconciliation record</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11:00</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Review the payout queue: preconditions, cooling-off holds, bank-account flags</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Payments ops</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Approved batches</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14:00</w:t>
            </w:r>
          </w:p>
        </w:tc>
        <w:tc>
          <w:tcPr>
            <w:tcW w:type="dxa" w:w="3888"/>
            <w:tcMar>
              <w:top w:w="60" w:type="dxa"/>
              <w:start w:w="110" w:type="dxa"/>
              <w:bottom w:w="60" w:type="dxa"/>
              <w:end w:w="110" w:type="dxa"/>
            </w:tcMar>
          </w:tcPr>
          <w:p>
            <w:pPr>
              <w:spacing w:after="0"/>
            </w:pPr>
            <w:r/>
            <w:r>
              <w:rPr>
                <w:rFonts w:ascii="Calibri" w:hAnsi="Calibri"/>
                <w:b w:val="0"/>
                <w:i w:val="0"/>
                <w:color w:val="101828"/>
                <w:sz w:val="16"/>
              </w:rPr>
              <w:t>Escalate anything from 10:00 still unmatched</w:t>
            </w:r>
          </w:p>
        </w:tc>
        <w:tc>
          <w:tcPr>
            <w:tcW w:type="dxa" w:w="1872"/>
            <w:tcMar>
              <w:top w:w="60" w:type="dxa"/>
              <w:start w:w="110" w:type="dxa"/>
              <w:bottom w:w="60" w:type="dxa"/>
              <w:end w:w="110" w:type="dxa"/>
            </w:tcMar>
          </w:tcPr>
          <w:p>
            <w:pPr>
              <w:spacing w:after="0"/>
            </w:pPr>
            <w:r/>
            <w:r>
              <w:rPr>
                <w:rFonts w:ascii="Calibri" w:hAnsi="Calibri"/>
                <w:b w:val="0"/>
                <w:i w:val="0"/>
                <w:color w:val="101828"/>
                <w:sz w:val="16"/>
              </w:rPr>
              <w:t>Finance lead</w:t>
            </w:r>
          </w:p>
        </w:tc>
        <w:tc>
          <w:tcPr>
            <w:tcW w:type="dxa" w:w="2016"/>
            <w:tcMar>
              <w:top w:w="60" w:type="dxa"/>
              <w:start w:w="110" w:type="dxa"/>
              <w:bottom w:w="60" w:type="dxa"/>
              <w:end w:w="110" w:type="dxa"/>
            </w:tcMar>
          </w:tcPr>
          <w:p>
            <w:pPr>
              <w:spacing w:after="0"/>
            </w:pPr>
            <w:r/>
            <w:r>
              <w:rPr>
                <w:rFonts w:ascii="Calibri" w:hAnsi="Calibri"/>
                <w:b w:val="0"/>
                <w:i w:val="0"/>
                <w:color w:val="101828"/>
                <w:sz w:val="16"/>
              </w:rPr>
              <w:t>Escalation</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16:00</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Review provider health, error rates, and latency against SLOs</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Engineering on-call</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SLO report</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17:00</w:t>
            </w:r>
          </w:p>
        </w:tc>
        <w:tc>
          <w:tcPr>
            <w:tcW w:type="dxa" w:w="3888"/>
            <w:tcMar>
              <w:top w:w="60" w:type="dxa"/>
              <w:start w:w="110" w:type="dxa"/>
              <w:bottom w:w="60" w:type="dxa"/>
              <w:end w:w="110" w:type="dxa"/>
            </w:tcMar>
          </w:tcPr>
          <w:p>
            <w:pPr>
              <w:spacing w:after="0"/>
            </w:pPr>
            <w:r/>
            <w:r>
              <w:rPr>
                <w:rFonts w:ascii="Calibri" w:hAnsi="Calibri"/>
                <w:b w:val="0"/>
                <w:i w:val="0"/>
                <w:color w:val="101828"/>
                <w:sz w:val="16"/>
              </w:rPr>
              <w:t>Publish member-impacting status: what is delayed, what is fixed, what is next</w:t>
            </w:r>
          </w:p>
        </w:tc>
        <w:tc>
          <w:tcPr>
            <w:tcW w:type="dxa" w:w="1872"/>
            <w:tcMar>
              <w:top w:w="60" w:type="dxa"/>
              <w:start w:w="110" w:type="dxa"/>
              <w:bottom w:w="60" w:type="dxa"/>
              <w:end w:w="110" w:type="dxa"/>
            </w:tcMar>
          </w:tcPr>
          <w:p>
            <w:pPr>
              <w:spacing w:after="0"/>
            </w:pPr>
            <w:r/>
            <w:r>
              <w:rPr>
                <w:rFonts w:ascii="Calibri" w:hAnsi="Calibri"/>
                <w:b w:val="0"/>
                <w:i w:val="0"/>
                <w:color w:val="101828"/>
                <w:sz w:val="16"/>
              </w:rPr>
              <w:t>Support + eng</w:t>
            </w:r>
          </w:p>
        </w:tc>
        <w:tc>
          <w:tcPr>
            <w:tcW w:type="dxa" w:w="2016"/>
            <w:tcMar>
              <w:top w:w="60" w:type="dxa"/>
              <w:start w:w="110" w:type="dxa"/>
              <w:bottom w:w="60" w:type="dxa"/>
              <w:end w:w="110" w:type="dxa"/>
            </w:tcMar>
          </w:tcPr>
          <w:p>
            <w:pPr>
              <w:spacing w:after="0"/>
            </w:pPr>
            <w:r/>
            <w:r>
              <w:rPr>
                <w:rFonts w:ascii="Calibri" w:hAnsi="Calibri"/>
                <w:b w:val="0"/>
                <w:i w:val="0"/>
                <w:color w:val="101828"/>
                <w:sz w:val="16"/>
              </w:rPr>
              <w:t>Status update</w:t>
            </w:r>
          </w:p>
        </w:tc>
      </w:tr>
    </w:tbl>
    <w:p>
      <w:pPr>
        <w:spacing w:after="80"/>
      </w:pPr>
    </w:p>
    <w:p>
      <w:pPr>
        <w:pStyle w:val="Heading2"/>
      </w:pPr>
      <w:r>
        <w:rPr>
          <w:rFonts w:ascii="Calibri" w:hAnsi="Calibri"/>
          <w:b/>
          <w:i w:val="0"/>
          <w:color w:val="146EF5"/>
          <w:sz w:val="29"/>
        </w:rPr>
        <w:t>13.14 Payment-related KPIs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Metric</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6"/>
              </w:rPr>
              <w:t>Definition</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Target</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Why it matters</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Collection success rate</w:t>
            </w:r>
          </w:p>
        </w:tc>
        <w:tc>
          <w:tcPr>
            <w:tcW w:type="dxa" w:w="3456"/>
            <w:tcMar>
              <w:top w:w="60" w:type="dxa"/>
              <w:start w:w="110" w:type="dxa"/>
              <w:bottom w:w="60" w:type="dxa"/>
              <w:end w:w="110" w:type="dxa"/>
            </w:tcMar>
          </w:tcPr>
          <w:p>
            <w:pPr>
              <w:spacing w:after="0"/>
            </w:pPr>
            <w:r/>
            <w:r>
              <w:rPr>
                <w:rFonts w:ascii="Calibri" w:hAnsi="Calibri"/>
                <w:b w:val="0"/>
                <w:i w:val="0"/>
                <w:color w:val="101828"/>
                <w:sz w:val="16"/>
              </w:rPr>
              <w:t>Captured ÷ initiated</w:t>
            </w:r>
          </w:p>
        </w:tc>
        <w:tc>
          <w:tcPr>
            <w:tcW w:type="dxa" w:w="1584"/>
            <w:tcMar>
              <w:top w:w="60" w:type="dxa"/>
              <w:start w:w="110" w:type="dxa"/>
              <w:bottom w:w="60" w:type="dxa"/>
              <w:end w:w="110" w:type="dxa"/>
            </w:tcMar>
          </w:tcPr>
          <w:p>
            <w:pPr>
              <w:spacing w:after="0"/>
            </w:pPr>
            <w:r/>
            <w:r>
              <w:rPr>
                <w:rFonts w:ascii="Calibri" w:hAnsi="Calibri"/>
                <w:b w:val="0"/>
                <w:i w:val="0"/>
                <w:color w:val="101828"/>
                <w:sz w:val="16"/>
              </w:rPr>
              <w:t>≥ 97%</w:t>
            </w:r>
          </w:p>
        </w:tc>
        <w:tc>
          <w:tcPr>
            <w:tcW w:type="dxa" w:w="2016"/>
            <w:tcMar>
              <w:top w:w="60" w:type="dxa"/>
              <w:start w:w="110" w:type="dxa"/>
              <w:bottom w:w="60" w:type="dxa"/>
              <w:end w:w="110" w:type="dxa"/>
            </w:tcMar>
          </w:tcPr>
          <w:p>
            <w:pPr>
              <w:spacing w:after="0"/>
            </w:pPr>
            <w:r/>
            <w:r>
              <w:rPr>
                <w:rFonts w:ascii="Calibri" w:hAnsi="Calibri"/>
                <w:b w:val="0"/>
                <w:i w:val="0"/>
                <w:color w:val="101828"/>
                <w:sz w:val="16"/>
              </w:rPr>
              <w:t>The single most visible number for a member</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Time to capture</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Initiation → webhook confirmation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&lt; 60s for card/wallet; same day for transfer</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Determines whether the Ajo feels alive</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Transfer-reference match rate</w:t>
            </w:r>
          </w:p>
        </w:tc>
        <w:tc>
          <w:tcPr>
            <w:tcW w:type="dxa" w:w="3456"/>
            <w:tcMar>
              <w:top w:w="60" w:type="dxa"/>
              <w:start w:w="110" w:type="dxa"/>
              <w:bottom w:w="60" w:type="dxa"/>
              <w:end w:w="110" w:type="dxa"/>
            </w:tcMar>
          </w:tcPr>
          <w:p>
            <w:pPr>
              <w:spacing w:after="0"/>
            </w:pPr>
            <w:r/>
            <w:r>
              <w:rPr>
                <w:rFonts w:ascii="Calibri" w:hAnsi="Calibri"/>
                <w:b w:val="0"/>
                <w:i w:val="0"/>
                <w:color w:val="101828"/>
                <w:sz w:val="16"/>
              </w:rPr>
              <w:t>Automatically matched ÷ transfer payments received</w:t>
            </w:r>
          </w:p>
        </w:tc>
        <w:tc>
          <w:tcPr>
            <w:tcW w:type="dxa" w:w="1584"/>
            <w:tcMar>
              <w:top w:w="60" w:type="dxa"/>
              <w:start w:w="110" w:type="dxa"/>
              <w:bottom w:w="60" w:type="dxa"/>
              <w:end w:w="110" w:type="dxa"/>
            </w:tcMar>
          </w:tcPr>
          <w:p>
            <w:pPr>
              <w:spacing w:after="0"/>
            </w:pPr>
            <w:r/>
            <w:r>
              <w:rPr>
                <w:rFonts w:ascii="Calibri" w:hAnsi="Calibri"/>
                <w:b w:val="0"/>
                <w:i w:val="0"/>
                <w:color w:val="101828"/>
                <w:sz w:val="16"/>
              </w:rPr>
              <w:t>≥ 98%</w:t>
            </w:r>
          </w:p>
        </w:tc>
        <w:tc>
          <w:tcPr>
            <w:tcW w:type="dxa" w:w="2016"/>
            <w:tcMar>
              <w:top w:w="60" w:type="dxa"/>
              <w:start w:w="110" w:type="dxa"/>
              <w:bottom w:w="60" w:type="dxa"/>
              <w:end w:w="110" w:type="dxa"/>
            </w:tcMar>
          </w:tcPr>
          <w:p>
            <w:pPr>
              <w:spacing w:after="0"/>
            </w:pPr>
            <w:r/>
            <w:r>
              <w:rPr>
                <w:rFonts w:ascii="Calibri" w:hAnsi="Calibri"/>
                <w:b w:val="0"/>
                <w:i w:val="0"/>
                <w:color w:val="101828"/>
                <w:sz w:val="16"/>
              </w:rPr>
              <w:t>Unmatched transfer is the top reconciliation cost</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Payout success rate</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Succeeded ÷ released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 99%</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A failed payout is a broken promise</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Payout cycle time</w:t>
            </w:r>
          </w:p>
        </w:tc>
        <w:tc>
          <w:tcPr>
            <w:tcW w:type="dxa" w:w="3456"/>
            <w:tcMar>
              <w:top w:w="60" w:type="dxa"/>
              <w:start w:w="110" w:type="dxa"/>
              <w:bottom w:w="60" w:type="dxa"/>
              <w:end w:w="110" w:type="dxa"/>
            </w:tcMar>
          </w:tcPr>
          <w:p>
            <w:pPr>
              <w:spacing w:after="0"/>
            </w:pPr>
            <w:r/>
            <w:r>
              <w:rPr>
                <w:rFonts w:ascii="Calibri" w:hAnsi="Calibri"/>
                <w:b w:val="0"/>
                <w:i w:val="0"/>
                <w:color w:val="101828"/>
                <w:sz w:val="16"/>
              </w:rPr>
              <w:t>ready_at → bank credit</w:t>
            </w:r>
          </w:p>
        </w:tc>
        <w:tc>
          <w:tcPr>
            <w:tcW w:type="dxa" w:w="1584"/>
            <w:tcMar>
              <w:top w:w="60" w:type="dxa"/>
              <w:start w:w="110" w:type="dxa"/>
              <w:bottom w:w="60" w:type="dxa"/>
              <w:end w:w="110" w:type="dxa"/>
            </w:tcMar>
          </w:tcPr>
          <w:p>
            <w:pPr>
              <w:spacing w:after="0"/>
            </w:pPr>
            <w:r/>
            <w:r>
              <w:rPr>
                <w:rFonts w:ascii="Calibri" w:hAnsi="Calibri"/>
                <w:b w:val="0"/>
                <w:i w:val="0"/>
                <w:color w:val="101828"/>
                <w:sz w:val="16"/>
              </w:rPr>
              <w:t>&lt; 30 min; T+1 acceptable for transfer rails</w:t>
            </w:r>
          </w:p>
        </w:tc>
        <w:tc>
          <w:tcPr>
            <w:tcW w:type="dxa" w:w="2016"/>
            <w:tcMar>
              <w:top w:w="60" w:type="dxa"/>
              <w:start w:w="110" w:type="dxa"/>
              <w:bottom w:w="60" w:type="dxa"/>
              <w:end w:w="110" w:type="dxa"/>
            </w:tcMar>
          </w:tcPr>
          <w:p>
            <w:pPr>
              <w:spacing w:after="0"/>
            </w:pPr>
            <w:r/>
            <w:r>
              <w:rPr>
                <w:rFonts w:ascii="Calibri" w:hAnsi="Calibri"/>
                <w:b w:val="0"/>
                <w:i w:val="0"/>
                <w:color w:val="101828"/>
                <w:sz w:val="16"/>
              </w:rPr>
              <w:t>The moment the whole product exists for</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Unmatched money as % of volume</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Unmatched ÷ total inbound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&lt; 0.5%</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Above this, reconciliation stops scaling</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Reconciliation break rate</w:t>
            </w:r>
          </w:p>
        </w:tc>
        <w:tc>
          <w:tcPr>
            <w:tcW w:type="dxa" w:w="3456"/>
            <w:tcMar>
              <w:top w:w="60" w:type="dxa"/>
              <w:start w:w="110" w:type="dxa"/>
              <w:bottom w:w="60" w:type="dxa"/>
              <w:end w:w="110" w:type="dxa"/>
            </w:tcMar>
          </w:tcPr>
          <w:p>
            <w:pPr>
              <w:spacing w:after="0"/>
            </w:pPr>
            <w:r/>
            <w:r>
              <w:rPr>
                <w:rFonts w:ascii="Calibri" w:hAnsi="Calibri"/>
                <w:b w:val="0"/>
                <w:i w:val="0"/>
                <w:color w:val="101828"/>
                <w:sz w:val="16"/>
              </w:rPr>
              <w:t>Sessions with a mismatch ÷ sessions</w:t>
            </w:r>
          </w:p>
        </w:tc>
        <w:tc>
          <w:tcPr>
            <w:tcW w:type="dxa" w:w="1584"/>
            <w:tcMar>
              <w:top w:w="60" w:type="dxa"/>
              <w:start w:w="110" w:type="dxa"/>
              <w:bottom w:w="60" w:type="dxa"/>
              <w:end w:w="110" w:type="dxa"/>
            </w:tcMar>
          </w:tcPr>
          <w:p>
            <w:pPr>
              <w:spacing w:after="0"/>
            </w:pPr>
            <w:r/>
            <w:r>
              <w:rPr>
                <w:rFonts w:ascii="Calibri" w:hAnsi="Calibri"/>
                <w:b w:val="0"/>
                <w:i w:val="0"/>
                <w:color w:val="101828"/>
                <w:sz w:val="16"/>
              </w:rPr>
              <w:t>Zero tolerance</w:t>
            </w:r>
          </w:p>
        </w:tc>
        <w:tc>
          <w:tcPr>
            <w:tcW w:type="dxa" w:w="2016"/>
            <w:tcMar>
              <w:top w:w="60" w:type="dxa"/>
              <w:start w:w="110" w:type="dxa"/>
              <w:bottom w:w="60" w:type="dxa"/>
              <w:end w:w="110" w:type="dxa"/>
            </w:tcMar>
          </w:tcPr>
          <w:p>
            <w:pPr>
              <w:spacing w:after="0"/>
            </w:pPr>
            <w:r/>
            <w:r>
              <w:rPr>
                <w:rFonts w:ascii="Calibri" w:hAnsi="Calibri"/>
                <w:b w:val="0"/>
                <w:i w:val="0"/>
                <w:color w:val="101828"/>
                <w:sz w:val="16"/>
              </w:rPr>
              <w:t>The ledger must be true</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Manual intervention rate</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Manual money ops ÷ total money ops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Declining trend</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Automation maturity</w:t>
            </w:r>
          </w:p>
        </w:tc>
      </w:tr>
    </w:tbl>
    <w:p>
      <w:pPr>
        <w:spacing w:after="80"/>
      </w:pPr>
    </w:p>
    <w:p>
      <w:r>
        <w:br w:type="page"/>
      </w:r>
    </w:p>
    <w:p>
      <w:pPr>
        <w:pStyle w:val="Heading1"/>
        <w:pBdr>
          <w:bottom w:val="single" w:sz="12" w:space="6" w:color="146EF5"/>
        </w:pBdr>
        <w:spacing w:after="240"/>
      </w:pPr>
      <w:r>
        <w:rPr>
          <w:rFonts w:ascii="Calibri" w:hAnsi="Calibri"/>
          <w:b/>
          <w:i w:val="0"/>
          <w:color w:val="0B1F3A"/>
          <w:sz w:val="40"/>
        </w:rPr>
        <w:t>14. Security, Privacy and Compliance</w:t>
      </w:r>
    </w:p>
    <w:p>
      <w:pPr>
        <w:spacing w:after="200"/>
      </w:pPr>
      <w:r>
        <w:rPr>
          <w:rFonts w:ascii="Calibri" w:hAnsi="Calibri"/>
          <w:b w:val="0"/>
          <w:i w:val="0"/>
          <w:color w:val="475467"/>
          <w:sz w:val="24"/>
        </w:rPr>
        <w:t>AJO.ng handles Nigerian citizens' identity documents, bank details, and their savings. That combination makes it a target of both ordinary fraudsters and sophisticated criminals, and it places a real obligation on the platform to protect the data properly. This section states the controls. Whether those controls satisfy Nigerian law requires confirmation by qualified legal and compliance professionals before production launch.</w:t>
      </w:r>
    </w:p>
    <w:p>
      <w:pPr>
        <w:pStyle w:val="Heading2"/>
      </w:pPr>
      <w:r>
        <w:rPr>
          <w:rFonts w:ascii="Calibri" w:hAnsi="Calibri"/>
          <w:b/>
          <w:i w:val="0"/>
          <w:color w:val="146EF5"/>
          <w:sz w:val="29"/>
        </w:rPr>
        <w:t>14.1 Threat model</w:t>
      </w:r>
    </w:p>
    <w:p>
      <w:r>
        <w:rPr>
          <w:rFonts w:ascii="Calibri" w:hAnsi="Calibri"/>
          <w:b w:val="0"/>
          <w:i w:val="0"/>
          <w:color w:val="101828"/>
          <w:sz w:val="21"/>
        </w:rPr>
        <w:t>A threat model is only useful if it names the people who are trying to do what. The following are the realistic adversaries for a savings platform operating in Nigeria.</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5"/>
              </w:rPr>
              <w:t>Adversary</w:t>
            </w:r>
          </w:p>
        </w:tc>
        <w:tc>
          <w:tcPr>
            <w:tcW w:type="dxa" w:w="2592"/>
            <w:shd w:val="clear" w:color="auto" w:fill="0B1F3A"/>
            <w:tcMar>
              <w:top w:w="60" w:type="dxa"/>
              <w:start w:w="110" w:type="dxa"/>
              <w:bottom w:w="60" w:type="dxa"/>
              <w:end w:w="110" w:type="dxa"/>
            </w:tcMar>
          </w:tcPr>
          <w:p>
            <w:pPr>
              <w:spacing w:after="0"/>
            </w:pPr>
            <w:r/>
            <w:r>
              <w:rPr>
                <w:rFonts w:ascii="Calibri" w:hAnsi="Calibri"/>
                <w:b/>
                <w:i w:val="0"/>
                <w:color w:val="FFFFFF"/>
                <w:sz w:val="15"/>
              </w:rPr>
              <w:t>Capability</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5"/>
              </w:rPr>
              <w:t>Primary goal</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5"/>
              </w:rPr>
              <w:t>Defence in depth</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Opportunistic fraudster</w:t>
            </w:r>
          </w:p>
        </w:tc>
        <w:tc>
          <w:tcPr>
            <w:tcW w:type="dxa" w:w="2592"/>
            <w:tcMar>
              <w:top w:w="60" w:type="dxa"/>
              <w:start w:w="110" w:type="dxa"/>
              <w:bottom w:w="60" w:type="dxa"/>
              <w:end w:w="110" w:type="dxa"/>
            </w:tcMar>
          </w:tcPr>
          <w:p>
            <w:pPr>
              <w:spacing w:after="0"/>
            </w:pPr>
            <w:r/>
            <w:r>
              <w:rPr>
                <w:rFonts w:ascii="Calibri" w:hAnsi="Calibri"/>
                <w:b w:val="0"/>
                <w:i w:val="0"/>
                <w:color w:val="101828"/>
                <w:sz w:val="15"/>
              </w:rPr>
              <w:t>Social engineering, fake support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Convince a member to move money</w:t>
            </w:r>
          </w:p>
        </w:tc>
        <w:tc>
          <w:tcPr>
            <w:tcW w:type="dxa" w:w="2304"/>
            <w:tcMar>
              <w:top w:w="60" w:type="dxa"/>
              <w:start w:w="110" w:type="dxa"/>
              <w:bottom w:w="60" w:type="dxa"/>
              <w:end w:w="110" w:type="dxa"/>
            </w:tcMar>
          </w:tcPr>
          <w:p>
            <w:pPr>
              <w:spacing w:after="0"/>
            </w:pPr>
            <w:r/>
            <w:r>
              <w:rPr>
                <w:rFonts w:ascii="Calibri" w:hAnsi="Calibri"/>
                <w:b w:val="0"/>
                <w:i w:val="0"/>
                <w:color w:val="101828"/>
                <w:sz w:val="15"/>
              </w:rPr>
              <w:t>Never release money to a changed destination without cooling-off and multi-channel notification</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Account-takeover attacker</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5"/>
              </w:rPr>
              <w:t>Credential stuffing, SIM swap, malware</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Redirect the next payout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Refresh rotation, device alerts, step-up auth, payout cooling-off</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Insider threat</w:t>
            </w:r>
          </w:p>
        </w:tc>
        <w:tc>
          <w:tcPr>
            <w:tcW w:type="dxa" w:w="2592"/>
            <w:tcMar>
              <w:top w:w="60" w:type="dxa"/>
              <w:start w:w="110" w:type="dxa"/>
              <w:bottom w:w="60" w:type="dxa"/>
              <w:end w:w="110" w:type="dxa"/>
            </w:tcMar>
          </w:tcPr>
          <w:p>
            <w:pPr>
              <w:spacing w:after="0"/>
            </w:pPr>
            <w:r/>
            <w:r>
              <w:rPr>
                <w:rFonts w:ascii="Calibri" w:hAnsi="Calibri"/>
                <w:b w:val="0"/>
                <w:i w:val="0"/>
                <w:color w:val="101828"/>
                <w:sz w:val="15"/>
              </w:rPr>
              <w:t>Legitimate database or console access</w:t>
            </w:r>
          </w:p>
        </w:tc>
        <w:tc>
          <w:tcPr>
            <w:tcW w:type="dxa" w:w="2304"/>
            <w:tcMar>
              <w:top w:w="60" w:type="dxa"/>
              <w:start w:w="110" w:type="dxa"/>
              <w:bottom w:w="60" w:type="dxa"/>
              <w:end w:w="110" w:type="dxa"/>
            </w:tcMar>
          </w:tcPr>
          <w:p>
            <w:pPr>
              <w:spacing w:after="0"/>
            </w:pPr>
            <w:r/>
            <w:r>
              <w:rPr>
                <w:rFonts w:ascii="Calibri" w:hAnsi="Calibri"/>
                <w:b w:val="0"/>
                <w:i w:val="0"/>
                <w:color w:val="101828"/>
                <w:sz w:val="15"/>
              </w:rPr>
              <w:t>Extract PII or divert funds</w:t>
            </w:r>
          </w:p>
        </w:tc>
        <w:tc>
          <w:tcPr>
            <w:tcW w:type="dxa" w:w="2304"/>
            <w:tcMar>
              <w:top w:w="60" w:type="dxa"/>
              <w:start w:w="110" w:type="dxa"/>
              <w:bottom w:w="60" w:type="dxa"/>
              <w:end w:w="110" w:type="dxa"/>
            </w:tcMar>
          </w:tcPr>
          <w:p>
            <w:pPr>
              <w:spacing w:after="0"/>
            </w:pPr>
            <w:r/>
            <w:r>
              <w:rPr>
                <w:rFonts w:ascii="Calibri" w:hAnsi="Calibri"/>
                <w:b w:val="0"/>
                <w:i w:val="0"/>
                <w:color w:val="101828"/>
                <w:sz w:val="15"/>
              </w:rPr>
              <w:t>Least privilege, segregation of duties, immutable ledger, four-eyes on bank details</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Payment fraudster</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5"/>
              </w:rPr>
              <w:t>Test cards, fake screenshots, first-party chargeback abuse</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Free contributions or reverse a payout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Webhook-only confirmation, 3-D Secure, velocity limits, behaviour checks</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Organizer acting in bad faith</w:t>
            </w:r>
          </w:p>
        </w:tc>
        <w:tc>
          <w:tcPr>
            <w:tcW w:type="dxa" w:w="2592"/>
            <w:tcMar>
              <w:top w:w="60" w:type="dxa"/>
              <w:start w:w="110" w:type="dxa"/>
              <w:bottom w:w="60" w:type="dxa"/>
              <w:end w:w="110" w:type="dxa"/>
            </w:tcMar>
          </w:tcPr>
          <w:p>
            <w:pPr>
              <w:spacing w:after="0"/>
            </w:pPr>
            <w:r/>
            <w:r>
              <w:rPr>
                <w:rFonts w:ascii="Calibri" w:hAnsi="Calibri"/>
                <w:b w:val="0"/>
                <w:i w:val="0"/>
                <w:color w:val="101828"/>
                <w:sz w:val="15"/>
              </w:rPr>
              <w:t>Real access, real authority over their Ajo</w:t>
            </w:r>
          </w:p>
        </w:tc>
        <w:tc>
          <w:tcPr>
            <w:tcW w:type="dxa" w:w="2304"/>
            <w:tcMar>
              <w:top w:w="60" w:type="dxa"/>
              <w:start w:w="110" w:type="dxa"/>
              <w:bottom w:w="60" w:type="dxa"/>
              <w:end w:w="110" w:type="dxa"/>
            </w:tcMar>
          </w:tcPr>
          <w:p>
            <w:pPr>
              <w:spacing w:after="0"/>
            </w:pPr>
            <w:r/>
            <w:r>
              <w:rPr>
                <w:rFonts w:ascii="Calibri" w:hAnsi="Calibri"/>
                <w:b w:val="0"/>
                <w:i w:val="0"/>
                <w:color w:val="101828"/>
                <w:sz w:val="15"/>
              </w:rPr>
              <w:t>Mislead members, exclude people, extort</w:t>
            </w:r>
          </w:p>
        </w:tc>
        <w:tc>
          <w:tcPr>
            <w:tcW w:type="dxa" w:w="2304"/>
            <w:tcMar>
              <w:top w:w="60" w:type="dxa"/>
              <w:start w:w="110" w:type="dxa"/>
              <w:bottom w:w="60" w:type="dxa"/>
              <w:end w:w="110" w:type="dxa"/>
            </w:tcMar>
          </w:tcPr>
          <w:p>
            <w:pPr>
              <w:spacing w:after="0"/>
            </w:pPr>
            <w:r/>
            <w:r>
              <w:rPr>
                <w:rFonts w:ascii="Calibri" w:hAnsi="Calibri"/>
                <w:b w:val="0"/>
                <w:i w:val="0"/>
                <w:color w:val="101828"/>
                <w:sz w:val="15"/>
              </w:rPr>
              <w:t>Scoped permissions, no custody, no unilateral removal, audit, member complaints</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External attacker</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5"/>
              </w:rPr>
              <w:t>Vulnerability scanning, dependency exploits, credential stuffing</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Access, exfiltrate, deface</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Hardening, patching cadence, WAF, secret management, monitoring</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Third-party breach</w:t>
            </w:r>
          </w:p>
        </w:tc>
        <w:tc>
          <w:tcPr>
            <w:tcW w:type="dxa" w:w="2592"/>
            <w:tcMar>
              <w:top w:w="60" w:type="dxa"/>
              <w:start w:w="110" w:type="dxa"/>
              <w:bottom w:w="60" w:type="dxa"/>
              <w:end w:w="110" w:type="dxa"/>
            </w:tcMar>
          </w:tcPr>
          <w:p>
            <w:pPr>
              <w:spacing w:after="0"/>
            </w:pPr>
            <w:r/>
            <w:r>
              <w:rPr>
                <w:rFonts w:ascii="Calibri" w:hAnsi="Calibri"/>
                <w:b w:val="0"/>
                <w:i w:val="0"/>
                <w:color w:val="101828"/>
                <w:sz w:val="15"/>
              </w:rPr>
              <w:t>Compromise of a provider or vendor</w:t>
            </w:r>
          </w:p>
        </w:tc>
        <w:tc>
          <w:tcPr>
            <w:tcW w:type="dxa" w:w="2304"/>
            <w:tcMar>
              <w:top w:w="60" w:type="dxa"/>
              <w:start w:w="110" w:type="dxa"/>
              <w:bottom w:w="60" w:type="dxa"/>
              <w:end w:w="110" w:type="dxa"/>
            </w:tcMar>
          </w:tcPr>
          <w:p>
            <w:pPr>
              <w:spacing w:after="0"/>
            </w:pPr>
            <w:r/>
            <w:r>
              <w:rPr>
                <w:rFonts w:ascii="Calibri" w:hAnsi="Calibri"/>
                <w:b w:val="0"/>
                <w:i w:val="0"/>
                <w:color w:val="101828"/>
                <w:sz w:val="15"/>
              </w:rPr>
              <w:t>Cascade into AJO.ng's data</w:t>
            </w:r>
          </w:p>
        </w:tc>
        <w:tc>
          <w:tcPr>
            <w:tcW w:type="dxa" w:w="2304"/>
            <w:tcMar>
              <w:top w:w="60" w:type="dxa"/>
              <w:start w:w="110" w:type="dxa"/>
              <w:bottom w:w="60" w:type="dxa"/>
              <w:end w:w="110" w:type="dxa"/>
            </w:tcMar>
          </w:tcPr>
          <w:p>
            <w:pPr>
              <w:spacing w:after="0"/>
            </w:pPr>
            <w:r/>
            <w:r>
              <w:rPr>
                <w:rFonts w:ascii="Calibri" w:hAnsi="Calibri"/>
                <w:b w:val="0"/>
                <w:i w:val="0"/>
                <w:color w:val="101828"/>
                <w:sz w:val="15"/>
              </w:rPr>
              <w:t>Data minimisation, per-vendor scoping, encryption, vendor review</w:t>
            </w:r>
          </w:p>
        </w:tc>
      </w:tr>
    </w:tbl>
    <w:p>
      <w:pPr>
        <w:spacing w:after="80"/>
      </w:pPr>
    </w:p>
    <w:p>
      <w:r>
        <w:rPr>
          <w:rFonts w:ascii="Calibri" w:hAnsi="Calibri"/>
          <w:b w:val="0"/>
          <w:i w:val="0"/>
          <w:color w:val="101828"/>
          <w:sz w:val="21"/>
        </w:rPr>
        <w:t>AJO.ng's own staff are treated as a threat, not as a control. The permission matrix in section 12 deliberately contains no role that can edit or delete a ledger entry, and no role that can see both a member's identity documents and their bank details together.</w:t>
      </w:r>
    </w:p>
    <w:p>
      <w:pPr>
        <w:pStyle w:val="Heading2"/>
      </w:pPr>
      <w:r>
        <w:rPr>
          <w:rFonts w:ascii="Calibri" w:hAnsi="Calibri"/>
          <w:b/>
          <w:i w:val="0"/>
          <w:color w:val="146EF5"/>
          <w:sz w:val="29"/>
        </w:rPr>
        <w:t>14.2 Encryption and key management</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Layer</w:t>
            </w:r>
          </w:p>
        </w:tc>
        <w:tc>
          <w:tcPr>
            <w:tcW w:type="dxa" w:w="6624"/>
            <w:shd w:val="clear" w:color="auto" w:fill="0B1F3A"/>
            <w:tcMar>
              <w:top w:w="60" w:type="dxa"/>
              <w:start w:w="110" w:type="dxa"/>
              <w:bottom w:w="60" w:type="dxa"/>
              <w:end w:w="110" w:type="dxa"/>
            </w:tcMar>
          </w:tcPr>
          <w:p>
            <w:pPr>
              <w:spacing w:after="0"/>
            </w:pPr>
            <w:r/>
            <w:r>
              <w:rPr>
                <w:rFonts w:ascii="Calibri" w:hAnsi="Calibri"/>
                <w:b/>
                <w:i w:val="0"/>
                <w:color w:val="FFFFFF"/>
                <w:sz w:val="16"/>
              </w:rPr>
              <w:t>Control</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In transit</w:t>
            </w:r>
          </w:p>
        </w:tc>
        <w:tc>
          <w:tcPr>
            <w:tcW w:type="dxa" w:w="6624"/>
            <w:tcMar>
              <w:top w:w="60" w:type="dxa"/>
              <w:start w:w="110" w:type="dxa"/>
              <w:bottom w:w="60" w:type="dxa"/>
              <w:end w:w="110" w:type="dxa"/>
            </w:tcMar>
          </w:tcPr>
          <w:p>
            <w:pPr>
              <w:spacing w:after="0"/>
            </w:pPr>
            <w:r/>
            <w:r>
              <w:rPr>
                <w:rFonts w:ascii="Calibri" w:hAnsi="Calibri"/>
                <w:b w:val="0"/>
                <w:i w:val="0"/>
                <w:color w:val="101828"/>
                <w:sz w:val="16"/>
              </w:rPr>
              <w:t>TLS 1.3 preferred, TLS 1.2 minimum. HSTS on all web surfaces. Certificate pinning on the mobile app</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At rest — database</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6"/>
              </w:rPr>
              <w:t>AES-256 managed by the hosting provider, with per-environment keys</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At rest — sensitive columns</w:t>
            </w:r>
          </w:p>
        </w:tc>
        <w:tc>
          <w:tcPr>
            <w:tcW w:type="dxa" w:w="6624"/>
            <w:tcMar>
              <w:top w:w="60" w:type="dxa"/>
              <w:start w:w="110" w:type="dxa"/>
              <w:bottom w:w="60" w:type="dxa"/>
              <w:end w:w="110" w:type="dxa"/>
            </w:tcMar>
          </w:tcPr>
          <w:p>
            <w:pPr>
              <w:spacing w:after="0"/>
            </w:pPr>
            <w:r/>
            <w:r>
              <w:rPr>
                <w:rFonts w:ascii="Calibri" w:hAnsi="Calibri"/>
                <w:b w:val="0"/>
                <w:i w:val="0"/>
                <w:color w:val="101828"/>
                <w:sz w:val="16"/>
              </w:rPr>
              <w:t>Application-level envelope encryption for BVN, phone number, and bank account details</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At rest — secrets</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6"/>
              </w:rPr>
              <w:t>Managed secret store (e.g. a cloud KMS or secrets manager). No secrets in source, in images, or in environment files under version control</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Key rotation</w:t>
            </w:r>
          </w:p>
        </w:tc>
        <w:tc>
          <w:tcPr>
            <w:tcW w:type="dxa" w:w="6624"/>
            <w:tcMar>
              <w:top w:w="60" w:type="dxa"/>
              <w:start w:w="110" w:type="dxa"/>
              <w:bottom w:w="60" w:type="dxa"/>
              <w:end w:w="110" w:type="dxa"/>
            </w:tcMar>
          </w:tcPr>
          <w:p>
            <w:pPr>
              <w:spacing w:after="0"/>
            </w:pPr>
            <w:r/>
            <w:r>
              <w:rPr>
                <w:rFonts w:ascii="Calibri" w:hAnsi="Calibri"/>
                <w:b w:val="0"/>
                <w:i w:val="0"/>
                <w:color w:val="101828"/>
                <w:sz w:val="16"/>
              </w:rPr>
              <w:t>Data keys rotated at least annually and on any suspected exposure. Rotation is re-wrapped, not re-encrypted from scratch, so downtime is not required</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Separation of duties for keys</w:t>
            </w:r>
          </w:p>
        </w:tc>
        <w:tc>
          <w:tcPr>
            <w:tcW w:type="dxa" w:w="6624"/>
            <w:tcMar>
              <w:top w:w="60" w:type="dxa"/>
              <w:start w:w="110" w:type="dxa"/>
              <w:bottom w:w="60" w:type="dxa"/>
              <w:end w:w="110" w:type="dxa"/>
            </w:tcMar>
            <w:shd w:val="clear" w:color="auto" w:fill="F4F7FB"/>
          </w:tcPr>
          <w:p>
            <w:pPr>
              <w:spacing w:after="0"/>
            </w:pPr>
            <w:r/>
            <w:r>
              <w:rPr>
                <w:rFonts w:ascii="Calibri" w:hAnsi="Calibri"/>
                <w:b w:val="0"/>
                <w:i w:val="0"/>
                <w:color w:val="101828"/>
                <w:sz w:val="16"/>
              </w:rPr>
              <w:t>No single engineer can decrypt production data. Break-glass access is logged, time-boxed, and reviewed</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Backups</w:t>
            </w:r>
          </w:p>
        </w:tc>
        <w:tc>
          <w:tcPr>
            <w:tcW w:type="dxa" w:w="6624"/>
            <w:tcMar>
              <w:top w:w="60" w:type="dxa"/>
              <w:start w:w="110" w:type="dxa"/>
              <w:bottom w:w="60" w:type="dxa"/>
              <w:end w:w="110" w:type="dxa"/>
            </w:tcMar>
          </w:tcPr>
          <w:p>
            <w:pPr>
              <w:spacing w:after="0"/>
            </w:pPr>
            <w:r/>
            <w:r>
              <w:rPr>
                <w:rFonts w:ascii="Calibri" w:hAnsi="Calibri"/>
                <w:b w:val="0"/>
                <w:i w:val="0"/>
                <w:color w:val="101828"/>
                <w:sz w:val="16"/>
              </w:rPr>
              <w:t>Encrypted with a key held separately from the backup itself, so a storage compromise does not expose the backups</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Why BVN deserves special handling.  </w:t>
      </w:r>
      <w:r>
        <w:rPr>
          <w:rFonts w:ascii="Calibri" w:hAnsi="Calibri"/>
          <w:b w:val="0"/>
          <w:i w:val="0"/>
          <w:color w:val="0B1F3A"/>
          <w:sz w:val="19"/>
        </w:rPr>
        <w:t>A BVN is a national identity number, not a convenience field. It should be collected only where a legal or provider requirement genuinely demands it, stored encrypted, never logged in plaintext, never exposed in an API response, and displayed masked outside the verification flow. If a feature does not need BVN, it does not get it.</w:t>
      </w:r>
    </w:p>
    <w:p>
      <w:pPr>
        <w:pStyle w:val="Heading2"/>
      </w:pPr>
      <w:r>
        <w:rPr>
          <w:rFonts w:ascii="Calibri" w:hAnsi="Calibri"/>
          <w:b/>
          <w:i w:val="0"/>
          <w:color w:val="146EF5"/>
          <w:sz w:val="29"/>
        </w:rPr>
        <w:t>14.3 Application hardening</w:t>
      </w:r>
    </w:p>
    <w:p>
      <w:pPr>
        <w:pStyle w:val="ListBullet"/>
        <w:spacing w:after="60"/>
        <w:ind w:left="360"/>
      </w:pPr>
      <w:r>
        <w:rPr>
          <w:rFonts w:ascii="Calibri" w:hAnsi="Calibri"/>
          <w:b/>
          <w:color w:val="101828"/>
          <w:sz w:val="21"/>
        </w:rPr>
        <w:t>Input validation at the boundary</w:t>
      </w:r>
      <w:r>
        <w:rPr>
          <w:rFonts w:ascii="Calibri" w:hAnsi="Calibri"/>
          <w:b w:val="0"/>
          <w:i w:val="0"/>
          <w:color w:val="101828"/>
          <w:sz w:val="21"/>
        </w:rPr>
        <w:t xml:space="preserve"> — every request validated against a schema before it reaches business logic. Types, ranges, formats, and lengths are all enforced, not merely checked.</w:t>
      </w:r>
    </w:p>
    <w:p>
      <w:pPr>
        <w:pStyle w:val="ListBullet"/>
        <w:spacing w:after="60"/>
        <w:ind w:left="360"/>
      </w:pPr>
      <w:r>
        <w:rPr>
          <w:rFonts w:ascii="Calibri" w:hAnsi="Calibri"/>
          <w:b/>
          <w:color w:val="101828"/>
          <w:sz w:val="21"/>
        </w:rPr>
        <w:t>Parameterised queries only</w:t>
      </w:r>
      <w:r>
        <w:rPr>
          <w:rFonts w:ascii="Calibri" w:hAnsi="Calibri"/>
          <w:b w:val="0"/>
          <w:i w:val="0"/>
          <w:color w:val="101828"/>
          <w:sz w:val="21"/>
        </w:rPr>
        <w:t xml:space="preserve"> — no string-concatenated SQL anywhere in the codebase, including in migrations and admin tooling.</w:t>
      </w:r>
    </w:p>
    <w:p>
      <w:pPr>
        <w:pStyle w:val="ListBullet"/>
        <w:spacing w:after="60"/>
        <w:ind w:left="360"/>
      </w:pPr>
      <w:r>
        <w:rPr>
          <w:rFonts w:ascii="Calibri" w:hAnsi="Calibri"/>
          <w:b/>
          <w:color w:val="101828"/>
          <w:sz w:val="21"/>
        </w:rPr>
        <w:t>Output encoding</w:t>
      </w:r>
      <w:r>
        <w:rPr>
          <w:rFonts w:ascii="Calibri" w:hAnsi="Calibri"/>
          <w:b w:val="0"/>
          <w:i w:val="0"/>
          <w:color w:val="101828"/>
          <w:sz w:val="21"/>
        </w:rPr>
        <w:t xml:space="preserve"> — context-aware encoding on every rendered surface, so member-supplied text cannot become script.</w:t>
      </w:r>
    </w:p>
    <w:p>
      <w:pPr>
        <w:pStyle w:val="ListBullet"/>
        <w:spacing w:after="60"/>
        <w:ind w:left="360"/>
      </w:pPr>
      <w:r>
        <w:rPr>
          <w:rFonts w:ascii="Calibri" w:hAnsi="Calibri"/>
          <w:b/>
          <w:color w:val="101828"/>
          <w:sz w:val="21"/>
        </w:rPr>
        <w:t>CSRF protection</w:t>
      </w:r>
      <w:r>
        <w:rPr>
          <w:rFonts w:ascii="Calibri" w:hAnsi="Calibri"/>
          <w:b w:val="0"/>
          <w:i w:val="0"/>
          <w:color w:val="101828"/>
          <w:sz w:val="21"/>
        </w:rPr>
        <w:t xml:space="preserve"> on all cookie-authenticated state-changing routes. Bearer-token routes are not CSRF-vulnerable, but the cookie must not be used where a token is expected.</w:t>
      </w:r>
    </w:p>
    <w:p>
      <w:pPr>
        <w:pStyle w:val="ListBullet"/>
        <w:spacing w:after="60"/>
        <w:ind w:left="360"/>
      </w:pPr>
      <w:r>
        <w:rPr>
          <w:rFonts w:ascii="Calibri" w:hAnsi="Calibri"/>
          <w:b/>
          <w:color w:val="101828"/>
          <w:sz w:val="21"/>
        </w:rPr>
        <w:t>Content Security Policy</w:t>
      </w:r>
      <w:r>
        <w:rPr>
          <w:rFonts w:ascii="Calibri" w:hAnsi="Calibri"/>
          <w:b w:val="0"/>
          <w:i w:val="0"/>
          <w:color w:val="101828"/>
          <w:sz w:val="21"/>
        </w:rPr>
        <w:t xml:space="preserve"> with no </w:t>
      </w:r>
      <w:r>
        <w:rPr>
          <w:rFonts w:ascii="Consolas" w:hAnsi="Consolas"/>
          <w:color w:val="146EF5"/>
          <w:sz w:val="21"/>
        </w:rPr>
        <w:t>unsafe-inline</w:t>
      </w:r>
      <w:r>
        <w:rPr>
          <w:rFonts w:ascii="Calibri" w:hAnsi="Calibri"/>
          <w:b w:val="0"/>
          <w:i w:val="0"/>
          <w:color w:val="101828"/>
          <w:sz w:val="21"/>
        </w:rPr>
        <w:t xml:space="preserve"> in production, plus </w:t>
      </w:r>
      <w:r>
        <w:rPr>
          <w:rFonts w:ascii="Consolas" w:hAnsi="Consolas"/>
          <w:color w:val="146EF5"/>
          <w:sz w:val="21"/>
        </w:rPr>
        <w:t>frame-ancestors 'none'</w:t>
      </w:r>
      <w:r>
        <w:rPr>
          <w:rFonts w:ascii="Calibri" w:hAnsi="Calibri"/>
          <w:b w:val="0"/>
          <w:i w:val="0"/>
          <w:color w:val="101828"/>
          <w:sz w:val="21"/>
        </w:rPr>
        <w:t xml:space="preserve"> to prevent clickjacking on the payment screens.</w:t>
      </w:r>
    </w:p>
    <w:p>
      <w:pPr>
        <w:pStyle w:val="ListBullet"/>
        <w:spacing w:after="60"/>
        <w:ind w:left="360"/>
      </w:pPr>
      <w:r>
        <w:rPr>
          <w:rFonts w:ascii="Calibri" w:hAnsi="Calibri"/>
          <w:b/>
          <w:color w:val="101828"/>
          <w:sz w:val="21"/>
        </w:rPr>
        <w:t>Rate limiting</w:t>
      </w:r>
      <w:r>
        <w:rPr>
          <w:rFonts w:ascii="Calibri" w:hAnsi="Calibri"/>
          <w:b w:val="0"/>
          <w:i w:val="0"/>
          <w:color w:val="101828"/>
          <w:sz w:val="21"/>
        </w:rPr>
        <w:t xml:space="preserve"> per IP, per account, per device and per endpoint, with tighter limits on login, OTP, and payout operations than on ordinary reads.</w:t>
      </w:r>
    </w:p>
    <w:p>
      <w:pPr>
        <w:pStyle w:val="ListBullet"/>
        <w:spacing w:after="60"/>
        <w:ind w:left="360"/>
      </w:pPr>
      <w:r>
        <w:rPr>
          <w:rFonts w:ascii="Calibri" w:hAnsi="Calibri"/>
          <w:b/>
          <w:color w:val="101828"/>
          <w:sz w:val="21"/>
        </w:rPr>
        <w:t>File upload scanning</w:t>
      </w:r>
      <w:r>
        <w:rPr>
          <w:rFonts w:ascii="Calibri" w:hAnsi="Calibri"/>
          <w:b w:val="0"/>
          <w:i w:val="0"/>
          <w:color w:val="101828"/>
          <w:sz w:val="21"/>
        </w:rPr>
        <w:t xml:space="preserve"> where a member may upload evidence in a dispute — size and type limits, content-type verification, and malware scanning before storage.</w:t>
      </w:r>
    </w:p>
    <w:p>
      <w:pPr>
        <w:pStyle w:val="ListBullet"/>
        <w:spacing w:after="60"/>
        <w:ind w:left="360"/>
      </w:pPr>
      <w:r>
        <w:rPr>
          <w:rFonts w:ascii="Calibri" w:hAnsi="Calibri"/>
          <w:b/>
          <w:color w:val="101828"/>
          <w:sz w:val="21"/>
        </w:rPr>
        <w:t>Dependency hygiene</w:t>
      </w:r>
      <w:r>
        <w:rPr>
          <w:rFonts w:ascii="Calibri" w:hAnsi="Calibri"/>
          <w:b w:val="0"/>
          <w:i w:val="0"/>
          <w:color w:val="101828"/>
          <w:sz w:val="21"/>
        </w:rPr>
        <w:t xml:space="preserve"> — automated scanning for known vulnerabilities, with a defined SLA for remediation by severity.</w:t>
      </w:r>
    </w:p>
    <w:p>
      <w:pPr>
        <w:pStyle w:val="ListBullet"/>
        <w:spacing w:after="60"/>
        <w:ind w:left="360"/>
      </w:pPr>
      <w:r>
        <w:rPr>
          <w:rFonts w:ascii="Calibri" w:hAnsi="Calibri"/>
          <w:b/>
          <w:color w:val="101828"/>
          <w:sz w:val="21"/>
        </w:rPr>
        <w:t>Security headers</w:t>
      </w:r>
      <w:r>
        <w:rPr>
          <w:rFonts w:ascii="Calibri" w:hAnsi="Calibri"/>
          <w:b w:val="0"/>
          <w:i w:val="0"/>
          <w:color w:val="101828"/>
          <w:sz w:val="21"/>
        </w:rPr>
        <w:t xml:space="preserve"> — a strict set including </w:t>
      </w:r>
      <w:r>
        <w:rPr>
          <w:rFonts w:ascii="Consolas" w:hAnsi="Consolas"/>
          <w:color w:val="146EF5"/>
          <w:sz w:val="21"/>
        </w:rPr>
        <w:t>X-Content-Type-Options</w:t>
      </w:r>
      <w:r>
        <w:rPr>
          <w:rFonts w:ascii="Calibri" w:hAnsi="Calibri"/>
          <w:b w:val="0"/>
          <w:i w:val="0"/>
          <w:color w:val="101828"/>
          <w:sz w:val="21"/>
        </w:rPr>
        <w:t xml:space="preserve">, </w:t>
      </w:r>
      <w:r>
        <w:rPr>
          <w:rFonts w:ascii="Consolas" w:hAnsi="Consolas"/>
          <w:color w:val="146EF5"/>
          <w:sz w:val="21"/>
        </w:rPr>
        <w:t>Referrer-Policy</w:t>
      </w:r>
      <w:r>
        <w:rPr>
          <w:rFonts w:ascii="Calibri" w:hAnsi="Calibri"/>
          <w:b w:val="0"/>
          <w:i w:val="0"/>
          <w:color w:val="101828"/>
          <w:sz w:val="21"/>
        </w:rPr>
        <w:t xml:space="preserve">, and </w:t>
      </w:r>
      <w:r>
        <w:rPr>
          <w:rFonts w:ascii="Consolas" w:hAnsi="Consolas"/>
          <w:color w:val="146EF5"/>
          <w:sz w:val="21"/>
        </w:rPr>
        <w:t>Permissions-Policy</w:t>
      </w:r>
      <w:r>
        <w:rPr>
          <w:rFonts w:ascii="Calibri" w:hAnsi="Calibri"/>
          <w:b w:val="0"/>
          <w:i w:val="0"/>
          <w:color w:val="101828"/>
          <w:sz w:val="21"/>
        </w:rPr>
        <w:t>.</w:t>
      </w:r>
    </w:p>
    <w:p>
      <w:pPr>
        <w:pStyle w:val="Heading2"/>
      </w:pPr>
      <w:r>
        <w:rPr>
          <w:rFonts w:ascii="Calibri" w:hAnsi="Calibri"/>
          <w:b/>
          <w:i w:val="0"/>
          <w:color w:val="146EF5"/>
          <w:sz w:val="29"/>
        </w:rPr>
        <w:t>14.4 Row Level Security</w:t>
      </w:r>
    </w:p>
    <w:p>
      <w:r>
        <w:rPr>
          <w:rFonts w:ascii="Calibri" w:hAnsi="Calibri"/>
          <w:b w:val="0"/>
          <w:i w:val="0"/>
          <w:color w:val="101828"/>
          <w:sz w:val="21"/>
        </w:rPr>
        <w:t>PostgreSQL Row Level Security is the second authorization layer. It means that even a compromised application component using a valid connection cannot read across members.</w:t>
      </w:r>
    </w:p>
    <w:p>
      <w:pPr>
        <w:spacing w:before="0" w:after="0" w:line="240" w:lineRule="auto"/>
        <w:ind w:left="230"/>
        <w:shd w:val="clear" w:color="auto" w:fill="F7F9FC"/>
        <w:pBdr>
          <w:left w:val="single" w:sz="4" w:space="6" w:color="D0D5DD"/>
        </w:pBdr>
      </w:pPr>
      <w:r>
        <w:rPr>
          <w:rFonts w:ascii="Consolas" w:hAnsi="Consolas"/>
          <w:color w:val="0B1F3A"/>
          <w:sz w:val="15"/>
        </w:rPr>
        <w:t xml:space="preserve">  ALTER TABLE contributions ENABLE ROW LEVEL SECURITY;</w:t>
      </w:r>
    </w:p>
    <w:p>
      <w:pPr>
        <w:spacing w:before="0" w:after="0" w:line="240" w:lineRule="auto"/>
        <w:ind w:left="230"/>
        <w:shd w:val="clear" w:color="auto" w:fill="F7F9FC"/>
        <w:pBdr>
          <w:left w:val="single" w:sz="4" w:space="6" w:color="D0D5DD"/>
        </w:pBdr>
      </w:pPr>
      <w:r>
        <w:rPr>
          <w:rFonts w:ascii="Consolas" w:hAnsi="Consolas"/>
          <w:color w:val="0B1F3A"/>
          <w:sz w:val="15"/>
        </w:rPr>
        <w:t xml:space="preserve">  ALTER TABLE contributions FORCE ROW LEVEL SECURITY;   -- applies to the table owner too</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CREATE POLICY contributions_member_scope ON contributions</w:t>
      </w:r>
    </w:p>
    <w:p>
      <w:pPr>
        <w:spacing w:before="0" w:after="0" w:line="240" w:lineRule="auto"/>
        <w:ind w:left="230"/>
        <w:shd w:val="clear" w:color="auto" w:fill="F7F9FC"/>
        <w:pBdr>
          <w:left w:val="single" w:sz="4" w:space="6" w:color="D0D5DD"/>
        </w:pBdr>
      </w:pPr>
      <w:r>
        <w:rPr>
          <w:rFonts w:ascii="Consolas" w:hAnsi="Consolas"/>
          <w:color w:val="0B1F3A"/>
          <w:sz w:val="15"/>
        </w:rPr>
        <w:t xml:space="preserve">    FOR SELECT</w:t>
      </w:r>
    </w:p>
    <w:p>
      <w:pPr>
        <w:spacing w:before="0" w:after="0" w:line="240" w:lineRule="auto"/>
        <w:ind w:left="230"/>
        <w:shd w:val="clear" w:color="auto" w:fill="F7F9FC"/>
        <w:pBdr>
          <w:left w:val="single" w:sz="4" w:space="6" w:color="D0D5DD"/>
        </w:pBdr>
      </w:pPr>
      <w:r>
        <w:rPr>
          <w:rFonts w:ascii="Consolas" w:hAnsi="Consolas"/>
          <w:color w:val="0B1F3A"/>
          <w:sz w:val="15"/>
        </w:rPr>
        <w:t xml:space="preserve">    USING (</w:t>
      </w:r>
    </w:p>
    <w:p>
      <w:pPr>
        <w:spacing w:before="0" w:after="0" w:line="240" w:lineRule="auto"/>
        <w:ind w:left="230"/>
        <w:shd w:val="clear" w:color="auto" w:fill="F7F9FC"/>
        <w:pBdr>
          <w:left w:val="single" w:sz="4" w:space="6" w:color="D0D5DD"/>
        </w:pBdr>
      </w:pPr>
      <w:r>
        <w:rPr>
          <w:rFonts w:ascii="Consolas" w:hAnsi="Consolas"/>
          <w:color w:val="0B1F3A"/>
          <w:sz w:val="15"/>
        </w:rPr>
        <w:t xml:space="preserve">      member_id = current_setting('app.current_member_id', true)::uuid</w:t>
      </w:r>
    </w:p>
    <w:p>
      <w:pPr>
        <w:spacing w:before="0" w:after="0" w:line="240" w:lineRule="auto"/>
        <w:ind w:left="230"/>
        <w:shd w:val="clear" w:color="auto" w:fill="F7F9FC"/>
        <w:pBdr>
          <w:left w:val="single" w:sz="4" w:space="6" w:color="D0D5DD"/>
        </w:pBdr>
      </w:pPr>
      <w:r>
        <w:rPr>
          <w:rFonts w:ascii="Consolas" w:hAnsi="Consolas"/>
          <w:color w:val="0B1F3A"/>
          <w:sz w:val="15"/>
        </w:rPr>
        <w:t xml:space="preserve">      OR EXISTS (</w:t>
      </w:r>
    </w:p>
    <w:p>
      <w:pPr>
        <w:spacing w:before="0" w:after="0" w:line="240" w:lineRule="auto"/>
        <w:ind w:left="230"/>
        <w:shd w:val="clear" w:color="auto" w:fill="F7F9FC"/>
        <w:pBdr>
          <w:left w:val="single" w:sz="4" w:space="6" w:color="D0D5DD"/>
        </w:pBdr>
      </w:pPr>
      <w:r>
        <w:rPr>
          <w:rFonts w:ascii="Consolas" w:hAnsi="Consolas"/>
          <w:color w:val="0B1F3A"/>
          <w:sz w:val="15"/>
        </w:rPr>
        <w:t xml:space="preserve">        SELECT 1 FROM ajos a</w:t>
      </w:r>
    </w:p>
    <w:p>
      <w:pPr>
        <w:spacing w:before="0" w:after="0" w:line="240" w:lineRule="auto"/>
        <w:ind w:left="230"/>
        <w:shd w:val="clear" w:color="auto" w:fill="F7F9FC"/>
        <w:pBdr>
          <w:left w:val="single" w:sz="4" w:space="6" w:color="D0D5DD"/>
        </w:pBdr>
      </w:pPr>
      <w:r>
        <w:rPr>
          <w:rFonts w:ascii="Consolas" w:hAnsi="Consolas"/>
          <w:color w:val="0B1F3A"/>
          <w:sz w:val="15"/>
        </w:rPr>
        <w:t xml:space="preserve">        WHERE a.id = contributions.ajo_id</w:t>
      </w:r>
    </w:p>
    <w:p>
      <w:pPr>
        <w:spacing w:before="0" w:after="0" w:line="240" w:lineRule="auto"/>
        <w:ind w:left="230"/>
        <w:shd w:val="clear" w:color="auto" w:fill="F7F9FC"/>
        <w:pBdr>
          <w:left w:val="single" w:sz="4" w:space="6" w:color="D0D5DD"/>
        </w:pBdr>
      </w:pPr>
      <w:r>
        <w:rPr>
          <w:rFonts w:ascii="Consolas" w:hAnsi="Consolas"/>
          <w:color w:val="0B1F3A"/>
          <w:sz w:val="15"/>
        </w:rPr>
        <w:t xml:space="preserve">          AND a.organizer_id = current_setting('app.current_member_id', true)::uuid</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OR current_setting('app.is_staff', true) = 'true'</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r>
        <w:rPr>
          <w:rFonts w:ascii="Consolas" w:hAnsi="Consolas"/>
          <w:color w:val="146EF5"/>
          <w:sz w:val="21"/>
        </w:rPr>
        <w:t>FORCE ROW LEVEL SECURITY</w:t>
      </w:r>
      <w:r>
        <w:rPr>
          <w:rFonts w:ascii="Calibri" w:hAnsi="Calibri"/>
          <w:b w:val="0"/>
          <w:i w:val="0"/>
          <w:color w:val="101828"/>
          <w:sz w:val="21"/>
        </w:rPr>
        <w:t xml:space="preserve"> matters. Without it, a table owner silently bypasses every policy, which would quietly undo the whole design. The requesting identity is set per-transaction at the start of the request and cleared at the end, so a pooled connection can never inherit a previous member's context.</w:t>
      </w:r>
    </w:p>
    <w:p>
      <w:pPr>
        <w:spacing w:before="140" w:after="180"/>
        <w:ind w:left="144"/>
        <w:shd w:val="clear" w:color="auto" w:fill="FEF3C7"/>
        <w:pBdr>
          <w:left w:val="single" w:sz="18" w:space="6" w:color="FBBF24"/>
        </w:pBdr>
      </w:pPr>
      <w:r>
        <w:rPr>
          <w:rFonts w:ascii="Calibri" w:hAnsi="Calibri"/>
          <w:b/>
          <w:color w:val="FBBF24"/>
          <w:sz w:val="19"/>
        </w:rPr>
        <w:t xml:space="preserve">RLS is not a substitute for application checks.  </w:t>
      </w:r>
      <w:r>
        <w:rPr>
          <w:rFonts w:ascii="Calibri" w:hAnsi="Calibri"/>
          <w:b w:val="0"/>
          <w:i w:val="0"/>
          <w:color w:val="0B1F3A"/>
          <w:sz w:val="19"/>
        </w:rPr>
        <w:t>Both layers are required. RLS is a backstop against a bug in a query; the application layer is where business rules such as 'an organizer may see only their own Ajo' actually belong. A product that relies on RLS alone will eventually ship a service-role connection that quietly reads everything.</w:t>
      </w:r>
    </w:p>
    <w:p>
      <w:pPr>
        <w:pStyle w:val="Heading2"/>
      </w:pPr>
      <w:r>
        <w:rPr>
          <w:rFonts w:ascii="Calibri" w:hAnsi="Calibri"/>
          <w:b/>
          <w:i w:val="0"/>
          <w:color w:val="146EF5"/>
          <w:sz w:val="29"/>
        </w:rPr>
        <w:t>14.5 Data classification and minimisation</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Class</w:t>
            </w:r>
          </w:p>
        </w:tc>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6"/>
              </w:rPr>
              <w:t>Examples</w:t>
            </w:r>
          </w:p>
        </w:tc>
        <w:tc>
          <w:tcPr>
            <w:tcW w:type="dxa" w:w="4464"/>
            <w:shd w:val="clear" w:color="auto" w:fill="0B1F3A"/>
            <w:tcMar>
              <w:top w:w="60" w:type="dxa"/>
              <w:start w:w="110" w:type="dxa"/>
              <w:bottom w:w="60" w:type="dxa"/>
              <w:end w:w="110" w:type="dxa"/>
            </w:tcMar>
          </w:tcPr>
          <w:p>
            <w:pPr>
              <w:spacing w:after="0"/>
            </w:pPr>
            <w:r/>
            <w:r>
              <w:rPr>
                <w:rFonts w:ascii="Calibri" w:hAnsi="Calibri"/>
                <w:b/>
                <w:i w:val="0"/>
                <w:color w:val="FFFFFF"/>
                <w:sz w:val="16"/>
              </w:rPr>
              <w:t>Handling</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Public</w:t>
            </w:r>
          </w:p>
        </w:tc>
        <w:tc>
          <w:tcPr>
            <w:tcW w:type="dxa" w:w="3168"/>
            <w:tcMar>
              <w:top w:w="60" w:type="dxa"/>
              <w:start w:w="110" w:type="dxa"/>
              <w:bottom w:w="60" w:type="dxa"/>
              <w:end w:w="110" w:type="dxa"/>
            </w:tcMar>
          </w:tcPr>
          <w:p>
            <w:pPr>
              <w:spacing w:after="0"/>
            </w:pPr>
            <w:r/>
            <w:r>
              <w:rPr>
                <w:rFonts w:ascii="Calibri" w:hAnsi="Calibri"/>
                <w:b w:val="0"/>
                <w:i w:val="0"/>
                <w:color w:val="101828"/>
                <w:sz w:val="16"/>
              </w:rPr>
              <w:t>Ajo name, contribution schedule, member first name + avatar</w:t>
            </w:r>
          </w:p>
        </w:tc>
        <w:tc>
          <w:tcPr>
            <w:tcW w:type="dxa" w:w="4464"/>
            <w:tcMar>
              <w:top w:w="60" w:type="dxa"/>
              <w:start w:w="110" w:type="dxa"/>
              <w:bottom w:w="60" w:type="dxa"/>
              <w:end w:w="110" w:type="dxa"/>
            </w:tcMar>
          </w:tcPr>
          <w:p>
            <w:pPr>
              <w:spacing w:after="0"/>
            </w:pPr>
            <w:r/>
            <w:r>
              <w:rPr>
                <w:rFonts w:ascii="Calibri" w:hAnsi="Calibri"/>
                <w:b w:val="0"/>
                <w:i w:val="0"/>
                <w:color w:val="101828"/>
                <w:sz w:val="16"/>
              </w:rPr>
              <w:t>May be shown to members of that Ajo</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Internal</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Contribution status, round history, notification records</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Members see their own; staff see as needed</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Confidential</w:t>
            </w:r>
          </w:p>
        </w:tc>
        <w:tc>
          <w:tcPr>
            <w:tcW w:type="dxa" w:w="3168"/>
            <w:tcMar>
              <w:top w:w="60" w:type="dxa"/>
              <w:start w:w="110" w:type="dxa"/>
              <w:bottom w:w="60" w:type="dxa"/>
              <w:end w:w="110" w:type="dxa"/>
            </w:tcMar>
          </w:tcPr>
          <w:p>
            <w:pPr>
              <w:spacing w:after="0"/>
            </w:pPr>
            <w:r/>
            <w:r>
              <w:rPr>
                <w:rFonts w:ascii="Calibri" w:hAnsi="Calibri"/>
                <w:b w:val="0"/>
                <w:i w:val="0"/>
                <w:color w:val="101828"/>
                <w:sz w:val="16"/>
              </w:rPr>
              <w:t>Full name, phone number, email, transaction history</w:t>
            </w:r>
          </w:p>
        </w:tc>
        <w:tc>
          <w:tcPr>
            <w:tcW w:type="dxa" w:w="4464"/>
            <w:tcMar>
              <w:top w:w="60" w:type="dxa"/>
              <w:start w:w="110" w:type="dxa"/>
              <w:bottom w:w="60" w:type="dxa"/>
              <w:end w:w="110" w:type="dxa"/>
            </w:tcMar>
          </w:tcPr>
          <w:p>
            <w:pPr>
              <w:spacing w:after="0"/>
            </w:pPr>
            <w:r/>
            <w:r>
              <w:rPr>
                <w:rFonts w:ascii="Calibri" w:hAnsi="Calibri"/>
                <w:b w:val="0"/>
                <w:i w:val="0"/>
                <w:color w:val="101828"/>
                <w:sz w:val="16"/>
              </w:rPr>
              <w:t>Encrypted at rest; access logged; never shared with other members</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Restricted</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BVN, NIN, bank account numbers, document images, device fingerprints</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Envelope-encrypted; access requires a named business reason and is logged; masked in all UI and APIs by default</w:t>
            </w:r>
          </w:p>
        </w:tc>
      </w:tr>
    </w:tbl>
    <w:p>
      <w:pPr>
        <w:spacing w:after="80"/>
      </w:pPr>
    </w:p>
    <w:p>
      <w:r>
        <w:rPr>
          <w:rFonts w:ascii="Calibri" w:hAnsi="Calibri"/>
          <w:b/>
          <w:color w:val="101828"/>
          <w:sz w:val="21"/>
        </w:rPr>
        <w:t>Data minimisation is a design constraint, not a later cleanup.</w:t>
      </w:r>
      <w:r>
        <w:rPr>
          <w:rFonts w:ascii="Calibri" w:hAnsi="Calibri"/>
          <w:b w:val="0"/>
          <w:i w:val="0"/>
          <w:color w:val="101828"/>
          <w:sz w:val="21"/>
        </w:rPr>
        <w:t xml:space="preserve"> If a field is not required by a confirmed regulatory or provider requirement, it is not collected. Every new data point in a financial product creates a permanent obligation to protect, retain, and eventually delete it.</w:t>
      </w:r>
    </w:p>
    <w:p>
      <w:pPr>
        <w:pStyle w:val="Heading2"/>
      </w:pPr>
      <w:r>
        <w:rPr>
          <w:rFonts w:ascii="Calibri" w:hAnsi="Calibri"/>
          <w:b/>
          <w:i w:val="0"/>
          <w:color w:val="146EF5"/>
          <w:sz w:val="29"/>
        </w:rPr>
        <w:t>14.6 PII handling rules</w:t>
      </w:r>
    </w:p>
    <w:p>
      <w:pPr>
        <w:pStyle w:val="ListBullet"/>
        <w:spacing w:after="60"/>
        <w:ind w:left="360"/>
      </w:pPr>
      <w:r>
        <w:rPr>
          <w:rFonts w:ascii="Calibri" w:hAnsi="Calibri"/>
          <w:b/>
          <w:color w:val="101828"/>
          <w:sz w:val="21"/>
        </w:rPr>
        <w:t>Log redaction</w:t>
      </w:r>
      <w:r>
        <w:rPr>
          <w:rFonts w:ascii="Calibri" w:hAnsi="Calibri"/>
          <w:b w:val="0"/>
          <w:i w:val="0"/>
          <w:color w:val="101828"/>
          <w:sz w:val="21"/>
        </w:rPr>
        <w:t xml:space="preserve"> — no plaintext BVN, bank account number, national ID, or full phone number ever reaches a log. Structured logs carry an ID, and the ID resolves to a value only in a controlled path.</w:t>
      </w:r>
    </w:p>
    <w:p>
      <w:pPr>
        <w:pStyle w:val="ListBullet"/>
        <w:spacing w:after="60"/>
        <w:ind w:left="360"/>
      </w:pPr>
      <w:r>
        <w:rPr>
          <w:rFonts w:ascii="Calibri" w:hAnsi="Calibri"/>
          <w:b/>
          <w:color w:val="101828"/>
          <w:sz w:val="21"/>
        </w:rPr>
        <w:t>No PII in URLs or query strings</w:t>
      </w:r>
      <w:r>
        <w:rPr>
          <w:rFonts w:ascii="Calibri" w:hAnsi="Calibri"/>
          <w:b w:val="0"/>
          <w:i w:val="0"/>
          <w:color w:val="101828"/>
          <w:sz w:val="21"/>
        </w:rPr>
        <w:t xml:space="preserve"> — they end up in browser history, proxy logs, and analytics. Identifiers go in the path or the body.</w:t>
      </w:r>
    </w:p>
    <w:p>
      <w:pPr>
        <w:pStyle w:val="ListBullet"/>
        <w:spacing w:after="60"/>
        <w:ind w:left="360"/>
      </w:pPr>
      <w:r>
        <w:rPr>
          <w:rFonts w:ascii="Calibri" w:hAnsi="Calibri"/>
          <w:b/>
          <w:color w:val="101828"/>
          <w:sz w:val="21"/>
        </w:rPr>
        <w:t>No PII in error messages</w:t>
      </w:r>
      <w:r>
        <w:rPr>
          <w:rFonts w:ascii="Calibri" w:hAnsi="Calibri"/>
          <w:b w:val="0"/>
          <w:i w:val="0"/>
          <w:color w:val="101828"/>
          <w:sz w:val="21"/>
        </w:rPr>
        <w:t xml:space="preserve"> shown to members, and no stack trace ever reaches a client.</w:t>
      </w:r>
    </w:p>
    <w:p>
      <w:pPr>
        <w:pStyle w:val="ListBullet"/>
        <w:spacing w:after="60"/>
        <w:ind w:left="360"/>
      </w:pPr>
      <w:r>
        <w:rPr>
          <w:rFonts w:ascii="Calibri" w:hAnsi="Calibri"/>
          <w:b/>
          <w:color w:val="101828"/>
          <w:sz w:val="21"/>
        </w:rPr>
        <w:t>No PII in third-party analytics</w:t>
      </w:r>
      <w:r>
        <w:rPr>
          <w:rFonts w:ascii="Calibri" w:hAnsi="Calibri"/>
          <w:b w:val="0"/>
          <w:i w:val="0"/>
          <w:color w:val="101828"/>
          <w:sz w:val="21"/>
        </w:rPr>
        <w:t xml:space="preserve"> — events carry opaque IDs, never names, numbers, or emails.</w:t>
      </w:r>
    </w:p>
    <w:p>
      <w:pPr>
        <w:pStyle w:val="ListBullet"/>
        <w:spacing w:after="60"/>
        <w:ind w:left="360"/>
      </w:pPr>
      <w:r>
        <w:rPr>
          <w:rFonts w:ascii="Calibri" w:hAnsi="Calibri"/>
          <w:b/>
          <w:color w:val="101828"/>
          <w:sz w:val="21"/>
        </w:rPr>
        <w:t>Masking in the UI</w:t>
      </w:r>
      <w:r>
        <w:rPr>
          <w:rFonts w:ascii="Calibri" w:hAnsi="Calibri"/>
          <w:b w:val="0"/>
          <w:i w:val="0"/>
          <w:color w:val="101828"/>
          <w:sz w:val="21"/>
        </w:rPr>
        <w:t xml:space="preserve"> — bank account shown as </w:t>
      </w:r>
      <w:r>
        <w:rPr>
          <w:rFonts w:ascii="Consolas" w:hAnsi="Consolas"/>
          <w:color w:val="146EF5"/>
          <w:sz w:val="21"/>
        </w:rPr>
        <w:t>•••• •••• 1234</w:t>
      </w:r>
      <w:r>
        <w:rPr>
          <w:rFonts w:ascii="Calibri" w:hAnsi="Calibri"/>
          <w:b w:val="0"/>
          <w:i w:val="0"/>
          <w:color w:val="101828"/>
          <w:sz w:val="21"/>
        </w:rPr>
        <w:t xml:space="preserve">, BVN as </w:t>
      </w:r>
      <w:r>
        <w:rPr>
          <w:rFonts w:ascii="Consolas" w:hAnsi="Consolas"/>
          <w:color w:val="146EF5"/>
          <w:sz w:val="21"/>
        </w:rPr>
        <w:t>•••••••01</w:t>
      </w:r>
      <w:r>
        <w:rPr>
          <w:rFonts w:ascii="Calibri" w:hAnsi="Calibri"/>
          <w:b w:val="0"/>
          <w:i w:val="0"/>
          <w:color w:val="101828"/>
          <w:sz w:val="21"/>
        </w:rPr>
        <w:t xml:space="preserve">, phone as </w:t>
      </w:r>
      <w:r>
        <w:rPr>
          <w:rFonts w:ascii="Consolas" w:hAnsi="Consolas"/>
          <w:color w:val="146EF5"/>
          <w:sz w:val="21"/>
        </w:rPr>
        <w:t>080•••••123</w:t>
      </w:r>
      <w:r>
        <w:rPr>
          <w:rFonts w:ascii="Calibri" w:hAnsi="Calibri"/>
          <w:b w:val="0"/>
          <w:i w:val="0"/>
          <w:color w:val="101828"/>
          <w:sz w:val="21"/>
        </w:rPr>
        <w:t xml:space="preserve"> outside the verification flow.</w:t>
      </w:r>
    </w:p>
    <w:p>
      <w:pPr>
        <w:pStyle w:val="ListBullet"/>
        <w:spacing w:after="60"/>
        <w:ind w:left="360"/>
      </w:pPr>
      <w:r>
        <w:rPr>
          <w:rFonts w:ascii="Calibri" w:hAnsi="Calibri"/>
          <w:b/>
          <w:color w:val="101828"/>
          <w:sz w:val="21"/>
        </w:rPr>
        <w:t>Screenshots and screen recording</w:t>
      </w:r>
      <w:r>
        <w:rPr>
          <w:rFonts w:ascii="Calibri" w:hAnsi="Calibri"/>
          <w:b w:val="0"/>
          <w:i w:val="0"/>
          <w:color w:val="101828"/>
          <w:sz w:val="21"/>
        </w:rPr>
        <w:t xml:space="preserve"> — disabled on payment and identity screens in the app where the platform can control it; and treated as a member-education point where it cannot.</w:t>
      </w:r>
    </w:p>
    <w:p>
      <w:pPr>
        <w:pStyle w:val="Heading2"/>
      </w:pPr>
      <w:r>
        <w:rPr>
          <w:rFonts w:ascii="Calibri" w:hAnsi="Calibri"/>
          <w:b/>
          <w:i w:val="0"/>
          <w:color w:val="146EF5"/>
          <w:sz w:val="29"/>
        </w:rPr>
        <w:t>14.7 Consent, cookies and tracking</w:t>
      </w:r>
    </w:p>
    <w:p>
      <w:r>
        <w:rPr>
          <w:rFonts w:ascii="Calibri" w:hAnsi="Calibri"/>
          <w:b w:val="0"/>
          <w:i w:val="0"/>
          <w:color w:val="101828"/>
          <w:sz w:val="21"/>
        </w:rPr>
        <w:t>AJO.ng is a savings app, not a tracking business. The default is no tracking, and every exception is justified.</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Purpose</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Legal basis</w:t>
            </w:r>
          </w:p>
        </w:tc>
        <w:tc>
          <w:tcPr>
            <w:tcW w:type="dxa" w:w="4176"/>
            <w:shd w:val="clear" w:color="auto" w:fill="0B1F3A"/>
            <w:tcMar>
              <w:top w:w="60" w:type="dxa"/>
              <w:start w:w="110" w:type="dxa"/>
              <w:bottom w:w="60" w:type="dxa"/>
              <w:end w:w="110" w:type="dxa"/>
            </w:tcMar>
          </w:tcPr>
          <w:p>
            <w:pPr>
              <w:spacing w:after="0"/>
            </w:pPr>
            <w:r/>
            <w:r>
              <w:rPr>
                <w:rFonts w:ascii="Calibri" w:hAnsi="Calibri"/>
                <w:b/>
                <w:i w:val="0"/>
                <w:color w:val="FFFFFF"/>
                <w:sz w:val="16"/>
              </w:rPr>
              <w:t>Mechanism</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Essential operation — sessions, security, payment processing</w:t>
            </w:r>
          </w:p>
        </w:tc>
        <w:tc>
          <w:tcPr>
            <w:tcW w:type="dxa" w:w="2448"/>
            <w:tcMar>
              <w:top w:w="60" w:type="dxa"/>
              <w:start w:w="110" w:type="dxa"/>
              <w:bottom w:w="60" w:type="dxa"/>
              <w:end w:w="110" w:type="dxa"/>
            </w:tcMar>
          </w:tcPr>
          <w:p>
            <w:pPr>
              <w:spacing w:after="0"/>
            </w:pPr>
            <w:r/>
            <w:r>
              <w:rPr>
                <w:rFonts w:ascii="Calibri" w:hAnsi="Calibri"/>
                <w:b w:val="0"/>
                <w:i w:val="0"/>
                <w:color w:val="101828"/>
                <w:sz w:val="16"/>
              </w:rPr>
              <w:t>Contract necessity</w:t>
            </w:r>
          </w:p>
        </w:tc>
        <w:tc>
          <w:tcPr>
            <w:tcW w:type="dxa" w:w="4176"/>
            <w:tcMar>
              <w:top w:w="60" w:type="dxa"/>
              <w:start w:w="110" w:type="dxa"/>
              <w:bottom w:w="60" w:type="dxa"/>
              <w:end w:w="110" w:type="dxa"/>
            </w:tcMar>
          </w:tcPr>
          <w:p>
            <w:pPr>
              <w:spacing w:after="0"/>
            </w:pPr>
            <w:r/>
            <w:r>
              <w:rPr>
                <w:rFonts w:ascii="Calibri" w:hAnsi="Calibri"/>
                <w:b w:val="0"/>
                <w:i w:val="0"/>
                <w:color w:val="101828"/>
                <w:sz w:val="16"/>
              </w:rPr>
              <w:t>Strictly necessary cookies only. Cannot be switched off, and the app still works</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Security and fraud prevention</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Legitimate interests</w:t>
            </w:r>
          </w:p>
        </w:tc>
        <w:tc>
          <w:tcPr>
            <w:tcW w:type="dxa" w:w="4176"/>
            <w:tcMar>
              <w:top w:w="60" w:type="dxa"/>
              <w:start w:w="110" w:type="dxa"/>
              <w:bottom w:w="60" w:type="dxa"/>
              <w:end w:w="110" w:type="dxa"/>
            </w:tcMar>
            <w:shd w:val="clear" w:color="auto" w:fill="F4F7FB"/>
          </w:tcPr>
          <w:p>
            <w:pPr>
              <w:spacing w:after="0"/>
            </w:pPr>
            <w:r/>
            <w:r>
              <w:rPr>
                <w:rFonts w:ascii="Calibri" w:hAnsi="Calibri"/>
                <w:b w:val="0"/>
                <w:i w:val="0"/>
                <w:color w:val="101828"/>
                <w:sz w:val="16"/>
              </w:rPr>
              <w:t>Device fingerprint, IP, behavioural signals. Retained short-term, disclosed in the privacy notice</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Product analytics</w:t>
            </w:r>
          </w:p>
        </w:tc>
        <w:tc>
          <w:tcPr>
            <w:tcW w:type="dxa" w:w="2448"/>
            <w:tcMar>
              <w:top w:w="60" w:type="dxa"/>
              <w:start w:w="110" w:type="dxa"/>
              <w:bottom w:w="60" w:type="dxa"/>
              <w:end w:w="110" w:type="dxa"/>
            </w:tcMar>
          </w:tcPr>
          <w:p>
            <w:pPr>
              <w:spacing w:after="0"/>
            </w:pPr>
            <w:r/>
            <w:r>
              <w:rPr>
                <w:rFonts w:ascii="Calibri" w:hAnsi="Calibri"/>
                <w:b w:val="0"/>
                <w:i w:val="0"/>
                <w:color w:val="101828"/>
                <w:sz w:val="16"/>
              </w:rPr>
              <w:t>Consent, or legitimate interests where genuinely essential</w:t>
            </w:r>
          </w:p>
        </w:tc>
        <w:tc>
          <w:tcPr>
            <w:tcW w:type="dxa" w:w="4176"/>
            <w:tcMar>
              <w:top w:w="60" w:type="dxa"/>
              <w:start w:w="110" w:type="dxa"/>
              <w:bottom w:w="60" w:type="dxa"/>
              <w:end w:w="110" w:type="dxa"/>
            </w:tcMar>
          </w:tcPr>
          <w:p>
            <w:pPr>
              <w:spacing w:after="0"/>
            </w:pPr>
            <w:r/>
            <w:r>
              <w:rPr>
                <w:rFonts w:ascii="Calibri" w:hAnsi="Calibri"/>
                <w:b w:val="0"/>
                <w:i w:val="0"/>
                <w:color w:val="101828"/>
                <w:sz w:val="16"/>
              </w:rPr>
              <w:t>Pseudonymous identifiers only. No cross-site advertising trackers</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Marketing</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Consent, opt-in only</w:t>
            </w:r>
          </w:p>
        </w:tc>
        <w:tc>
          <w:tcPr>
            <w:tcW w:type="dxa" w:w="4176"/>
            <w:tcMar>
              <w:top w:w="60" w:type="dxa"/>
              <w:start w:w="110" w:type="dxa"/>
              <w:bottom w:w="60" w:type="dxa"/>
              <w:end w:w="110" w:type="dxa"/>
            </w:tcMar>
            <w:shd w:val="clear" w:color="auto" w:fill="F4F7FB"/>
          </w:tcPr>
          <w:p>
            <w:pPr>
              <w:spacing w:after="0"/>
            </w:pPr>
            <w:r/>
            <w:r>
              <w:rPr>
                <w:rFonts w:ascii="Calibri" w:hAnsi="Calibri"/>
                <w:b w:val="0"/>
                <w:i w:val="0"/>
                <w:color w:val="101828"/>
                <w:sz w:val="16"/>
              </w:rPr>
              <w:t>Never loaded before consent. Withdrawable at any time</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Personalised notifications</w:t>
            </w:r>
          </w:p>
        </w:tc>
        <w:tc>
          <w:tcPr>
            <w:tcW w:type="dxa" w:w="2448"/>
            <w:tcMar>
              <w:top w:w="60" w:type="dxa"/>
              <w:start w:w="110" w:type="dxa"/>
              <w:bottom w:w="60" w:type="dxa"/>
              <w:end w:w="110" w:type="dxa"/>
            </w:tcMar>
          </w:tcPr>
          <w:p>
            <w:pPr>
              <w:spacing w:after="0"/>
            </w:pPr>
            <w:r/>
            <w:r>
              <w:rPr>
                <w:rFonts w:ascii="Calibri" w:hAnsi="Calibri"/>
                <w:b w:val="0"/>
                <w:i w:val="0"/>
                <w:color w:val="101828"/>
                <w:sz w:val="16"/>
              </w:rPr>
              <w:t>Consent per channel</w:t>
            </w:r>
          </w:p>
        </w:tc>
        <w:tc>
          <w:tcPr>
            <w:tcW w:type="dxa" w:w="4176"/>
            <w:tcMar>
              <w:top w:w="60" w:type="dxa"/>
              <w:start w:w="110" w:type="dxa"/>
              <w:bottom w:w="60" w:type="dxa"/>
              <w:end w:w="110" w:type="dxa"/>
            </w:tcMar>
          </w:tcPr>
          <w:p>
            <w:pPr>
              <w:spacing w:after="0"/>
            </w:pPr>
            <w:r/>
            <w:r>
              <w:rPr>
                <w:rFonts w:ascii="Calibri" w:hAnsi="Calibri"/>
                <w:b w:val="0"/>
                <w:i w:val="0"/>
                <w:color w:val="101828"/>
                <w:sz w:val="16"/>
              </w:rPr>
              <w:t>Push and email preferences, per category, per channel</w:t>
            </w:r>
          </w:p>
        </w:tc>
      </w:tr>
    </w:tbl>
    <w:p>
      <w:pPr>
        <w:spacing w:after="80"/>
      </w:pPr>
    </w:p>
    <w:p>
      <w:r>
        <w:rPr>
          <w:rFonts w:ascii="Calibri" w:hAnsi="Calibri"/>
          <w:b w:val="0"/>
          <w:i w:val="0"/>
          <w:color w:val="101828"/>
          <w:sz w:val="21"/>
        </w:rPr>
        <w:t>A consent banner that buries the reject button, or that treats refusing analytics as a wall, is a dark pattern. Reject must be as easy to use as accept, and refusing must not break the app.</w:t>
      </w:r>
    </w:p>
    <w:p>
      <w:pPr>
        <w:pStyle w:val="Heading2"/>
      </w:pPr>
      <w:r>
        <w:rPr>
          <w:rFonts w:ascii="Calibri" w:hAnsi="Calibri"/>
          <w:b/>
          <w:i w:val="0"/>
          <w:color w:val="146EF5"/>
          <w:sz w:val="29"/>
        </w:rPr>
        <w:t>14.8 Data retention and deletion</w:t>
      </w:r>
    </w:p>
    <w:p>
      <w:r>
        <w:rPr>
          <w:rFonts w:ascii="Calibri" w:hAnsi="Calibri"/>
          <w:b w:val="0"/>
          <w:i w:val="0"/>
          <w:color w:val="101828"/>
          <w:sz w:val="21"/>
        </w:rPr>
        <w:t xml:space="preserve">Retention periods for financial and identity records are governed by Nigerian law and by the requirements of the payment provider and banking partners. </w:t>
      </w:r>
      <w:r>
        <w:rPr>
          <w:rFonts w:ascii="Calibri" w:hAnsi="Calibri"/>
          <w:b/>
          <w:color w:val="101828"/>
          <w:sz w:val="21"/>
        </w:rPr>
        <w:t>The specific durations in this table must be confirmed by counsel before launch</w:t>
      </w:r>
      <w:r>
        <w:rPr>
          <w:rFonts w:ascii="Calibri" w:hAnsi="Calibri"/>
          <w:b w:val="0"/>
          <w:i w:val="0"/>
          <w:color w:val="101828"/>
          <w:sz w:val="21"/>
        </w:rPr>
        <w:t>; they are presented as the structure to be agreed, not as settled obligations.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6"/>
              </w:rPr>
              <w:t>Record</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Proposed retention</w:t>
            </w:r>
          </w:p>
        </w:tc>
        <w:tc>
          <w:tcPr>
            <w:tcW w:type="dxa" w:w="4320"/>
            <w:shd w:val="clear" w:color="auto" w:fill="0B1F3A"/>
            <w:tcMar>
              <w:top w:w="60" w:type="dxa"/>
              <w:start w:w="110" w:type="dxa"/>
              <w:bottom w:w="60" w:type="dxa"/>
              <w:end w:w="110" w:type="dxa"/>
            </w:tcMar>
          </w:tcPr>
          <w:p>
            <w:pPr>
              <w:spacing w:after="0"/>
            </w:pPr>
            <w:r/>
            <w:r>
              <w:rPr>
                <w:rFonts w:ascii="Calibri" w:hAnsi="Calibri"/>
                <w:b/>
                <w:i w:val="0"/>
                <w:color w:val="FFFFFF"/>
                <w:sz w:val="16"/>
              </w:rPr>
              <w:t>On expiry</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Member account profile</w:t>
            </w:r>
          </w:p>
        </w:tc>
        <w:tc>
          <w:tcPr>
            <w:tcW w:type="dxa" w:w="2160"/>
            <w:tcMar>
              <w:top w:w="60" w:type="dxa"/>
              <w:start w:w="110" w:type="dxa"/>
              <w:bottom w:w="60" w:type="dxa"/>
              <w:end w:w="110" w:type="dxa"/>
            </w:tcMar>
          </w:tcPr>
          <w:p>
            <w:pPr>
              <w:spacing w:after="0"/>
            </w:pPr>
            <w:r/>
            <w:r>
              <w:rPr>
                <w:rFonts w:ascii="Calibri" w:hAnsi="Calibri"/>
                <w:b w:val="0"/>
                <w:i w:val="0"/>
                <w:color w:val="101828"/>
                <w:sz w:val="16"/>
              </w:rPr>
              <w:t>Life of account + 3 years</w:t>
            </w:r>
          </w:p>
        </w:tc>
        <w:tc>
          <w:tcPr>
            <w:tcW w:type="dxa" w:w="4320"/>
            <w:tcMar>
              <w:top w:w="60" w:type="dxa"/>
              <w:start w:w="110" w:type="dxa"/>
              <w:bottom w:w="60" w:type="dxa"/>
              <w:end w:w="110" w:type="dxa"/>
            </w:tcMar>
          </w:tcPr>
          <w:p>
            <w:pPr>
              <w:spacing w:after="0"/>
            </w:pPr>
            <w:r/>
            <w:r>
              <w:rPr>
                <w:rFonts w:ascii="Calibri" w:hAnsi="Calibri"/>
                <w:b w:val="0"/>
                <w:i w:val="0"/>
                <w:color w:val="101828"/>
                <w:sz w:val="16"/>
              </w:rPr>
              <w:t>Anonymise; retain nothing linkable</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Identity documents (BVN, NIN, ID images)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Life of account + statutory period</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Crypto-shred: destroy the data key so the ciphertext is unrecoverable</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Transaction and ledger records</w:t>
            </w:r>
          </w:p>
        </w:tc>
        <w:tc>
          <w:tcPr>
            <w:tcW w:type="dxa" w:w="2160"/>
            <w:tcMar>
              <w:top w:w="60" w:type="dxa"/>
              <w:start w:w="110" w:type="dxa"/>
              <w:bottom w:w="60" w:type="dxa"/>
              <w:end w:w="110" w:type="dxa"/>
            </w:tcMar>
          </w:tcPr>
          <w:p>
            <w:pPr>
              <w:spacing w:after="0"/>
            </w:pPr>
            <w:r/>
            <w:r>
              <w:rPr>
                <w:rFonts w:ascii="Calibri" w:hAnsi="Calibri"/>
                <w:b w:val="0"/>
                <w:i w:val="0"/>
                <w:color w:val="101828"/>
                <w:sz w:val="16"/>
              </w:rPr>
              <w:t>Statutory period (7–10 years to be confirmed)</w:t>
            </w:r>
          </w:p>
        </w:tc>
        <w:tc>
          <w:tcPr>
            <w:tcW w:type="dxa" w:w="4320"/>
            <w:tcMar>
              <w:top w:w="60" w:type="dxa"/>
              <w:start w:w="110" w:type="dxa"/>
              <w:bottom w:w="60" w:type="dxa"/>
              <w:end w:w="110" w:type="dxa"/>
            </w:tcMar>
          </w:tcPr>
          <w:p>
            <w:pPr>
              <w:spacing w:after="0"/>
            </w:pPr>
            <w:r/>
            <w:r>
              <w:rPr>
                <w:rFonts w:ascii="Calibri" w:hAnsi="Calibri"/>
                <w:b w:val="0"/>
                <w:i w:val="0"/>
                <w:color w:val="101828"/>
                <w:sz w:val="16"/>
              </w:rPr>
              <w:t xml:space="preserve">Retain per statute. </w:t>
            </w:r>
            <w:r>
              <w:rPr>
                <w:rFonts w:ascii="Calibri" w:hAnsi="Calibri"/>
                <w:b/>
                <w:color w:val="101828"/>
                <w:sz w:val="16"/>
              </w:rPr>
              <w:t>Never</w:t>
            </w:r>
            <w:r>
              <w:rPr>
                <w:rFonts w:ascii="Calibri" w:hAnsi="Calibri"/>
                <w:b w:val="0"/>
                <w:i w:val="0"/>
                <w:color w:val="101828"/>
                <w:sz w:val="16"/>
              </w:rPr>
              <w:t xml:space="preserve"> deleted simply because a member closes their account</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Payment provider references and settlement reports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Statutory period</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Retained per statute</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Audit logs</w:t>
            </w:r>
          </w:p>
        </w:tc>
        <w:tc>
          <w:tcPr>
            <w:tcW w:type="dxa" w:w="2160"/>
            <w:tcMar>
              <w:top w:w="60" w:type="dxa"/>
              <w:start w:w="110" w:type="dxa"/>
              <w:bottom w:w="60" w:type="dxa"/>
              <w:end w:w="110" w:type="dxa"/>
            </w:tcMar>
          </w:tcPr>
          <w:p>
            <w:pPr>
              <w:spacing w:after="0"/>
            </w:pPr>
            <w:r/>
            <w:r>
              <w:rPr>
                <w:rFonts w:ascii="Calibri" w:hAnsi="Calibri"/>
                <w:b w:val="0"/>
                <w:i w:val="0"/>
                <w:color w:val="101828"/>
                <w:sz w:val="16"/>
              </w:rPr>
              <w:t>Statutory period</w:t>
            </w:r>
          </w:p>
        </w:tc>
        <w:tc>
          <w:tcPr>
            <w:tcW w:type="dxa" w:w="4320"/>
            <w:tcMar>
              <w:top w:w="60" w:type="dxa"/>
              <w:start w:w="110" w:type="dxa"/>
              <w:bottom w:w="60" w:type="dxa"/>
              <w:end w:w="110" w:type="dxa"/>
            </w:tcMar>
          </w:tcPr>
          <w:p>
            <w:pPr>
              <w:spacing w:after="0"/>
            </w:pPr>
            <w:r/>
            <w:r>
              <w:rPr>
                <w:rFonts w:ascii="Calibri" w:hAnsi="Calibri"/>
                <w:b w:val="0"/>
                <w:i w:val="0"/>
                <w:color w:val="101828"/>
                <w:sz w:val="16"/>
              </w:rPr>
              <w:t>Retained per statute</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Security and fraud logs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12 months minimum</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Delete or anonymise</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Notification delivery records</w:t>
            </w:r>
          </w:p>
        </w:tc>
        <w:tc>
          <w:tcPr>
            <w:tcW w:type="dxa" w:w="2160"/>
            <w:tcMar>
              <w:top w:w="60" w:type="dxa"/>
              <w:start w:w="110" w:type="dxa"/>
              <w:bottom w:w="60" w:type="dxa"/>
              <w:end w:w="110" w:type="dxa"/>
            </w:tcMar>
          </w:tcPr>
          <w:p>
            <w:pPr>
              <w:spacing w:after="0"/>
            </w:pPr>
            <w:r/>
            <w:r>
              <w:rPr>
                <w:rFonts w:ascii="Calibri" w:hAnsi="Calibri"/>
                <w:b w:val="0"/>
                <w:i w:val="0"/>
                <w:color w:val="101828"/>
                <w:sz w:val="16"/>
              </w:rPr>
              <w:t>24 months</w:t>
            </w:r>
          </w:p>
        </w:tc>
        <w:tc>
          <w:tcPr>
            <w:tcW w:type="dxa" w:w="4320"/>
            <w:tcMar>
              <w:top w:w="60" w:type="dxa"/>
              <w:start w:w="110" w:type="dxa"/>
              <w:bottom w:w="60" w:type="dxa"/>
              <w:end w:w="110" w:type="dxa"/>
            </w:tcMar>
          </w:tcPr>
          <w:p>
            <w:pPr>
              <w:spacing w:after="0"/>
            </w:pPr>
            <w:r/>
            <w:r>
              <w:rPr>
                <w:rFonts w:ascii="Calibri" w:hAnsi="Calibri"/>
                <w:b w:val="0"/>
                <w:i w:val="0"/>
                <w:color w:val="101828"/>
                <w:sz w:val="16"/>
              </w:rPr>
              <w:t>Delete</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Support conversations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24 months</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Delete or anonymise, except content referenced in a dispute</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Analytics events</w:t>
            </w:r>
          </w:p>
        </w:tc>
        <w:tc>
          <w:tcPr>
            <w:tcW w:type="dxa" w:w="2160"/>
            <w:tcMar>
              <w:top w:w="60" w:type="dxa"/>
              <w:start w:w="110" w:type="dxa"/>
              <w:bottom w:w="60" w:type="dxa"/>
              <w:end w:w="110" w:type="dxa"/>
            </w:tcMar>
          </w:tcPr>
          <w:p>
            <w:pPr>
              <w:spacing w:after="0"/>
            </w:pPr>
            <w:r/>
            <w:r>
              <w:rPr>
                <w:rFonts w:ascii="Calibri" w:hAnsi="Calibri"/>
                <w:b w:val="0"/>
                <w:i w:val="0"/>
                <w:color w:val="101828"/>
                <w:sz w:val="16"/>
              </w:rPr>
              <w:t>14 months</w:t>
            </w:r>
          </w:p>
        </w:tc>
        <w:tc>
          <w:tcPr>
            <w:tcW w:type="dxa" w:w="4320"/>
            <w:tcMar>
              <w:top w:w="60" w:type="dxa"/>
              <w:start w:w="110" w:type="dxa"/>
              <w:bottom w:w="60" w:type="dxa"/>
              <w:end w:w="110" w:type="dxa"/>
            </w:tcMar>
          </w:tcPr>
          <w:p>
            <w:pPr>
              <w:spacing w:after="0"/>
            </w:pPr>
            <w:r/>
            <w:r>
              <w:rPr>
                <w:rFonts w:ascii="Calibri" w:hAnsi="Calibri"/>
                <w:b w:val="0"/>
                <w:i w:val="0"/>
                <w:color w:val="101828"/>
                <w:sz w:val="16"/>
              </w:rPr>
              <w:t>Delete or aggregate irreversibly</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Application and infrastructure logs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30–90 days</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Delete</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Backups</w:t>
            </w:r>
          </w:p>
        </w:tc>
        <w:tc>
          <w:tcPr>
            <w:tcW w:type="dxa" w:w="2160"/>
            <w:tcMar>
              <w:top w:w="60" w:type="dxa"/>
              <w:start w:w="110" w:type="dxa"/>
              <w:bottom w:w="60" w:type="dxa"/>
              <w:end w:w="110" w:type="dxa"/>
            </w:tcMar>
          </w:tcPr>
          <w:p>
            <w:pPr>
              <w:spacing w:after="0"/>
            </w:pPr>
            <w:r/>
            <w:r>
              <w:rPr>
                <w:rFonts w:ascii="Calibri" w:hAnsi="Calibri"/>
                <w:b w:val="0"/>
                <w:i w:val="0"/>
                <w:color w:val="101828"/>
                <w:sz w:val="16"/>
              </w:rPr>
              <w:t>Rolling 35 days</w:t>
            </w:r>
          </w:p>
        </w:tc>
        <w:tc>
          <w:tcPr>
            <w:tcW w:type="dxa" w:w="4320"/>
            <w:tcMar>
              <w:top w:w="60" w:type="dxa"/>
              <w:start w:w="110" w:type="dxa"/>
              <w:bottom w:w="60" w:type="dxa"/>
              <w:end w:w="110" w:type="dxa"/>
            </w:tcMar>
          </w:tcPr>
          <w:p>
            <w:pPr>
              <w:spacing w:after="0"/>
            </w:pPr>
            <w:r/>
            <w:r>
              <w:rPr>
                <w:rFonts w:ascii="Calibri" w:hAnsi="Calibri"/>
                <w:b w:val="0"/>
                <w:i w:val="0"/>
                <w:color w:val="101828"/>
                <w:sz w:val="16"/>
              </w:rPr>
              <w:t>Expire naturally; no selective deletion from backups</w:t>
            </w:r>
          </w:p>
        </w:tc>
      </w:tr>
    </w:tbl>
    <w:p>
      <w:pPr>
        <w:spacing w:after="80"/>
      </w:pPr>
    </w:p>
    <w:p>
      <w:pPr>
        <w:spacing w:before="140" w:after="180"/>
        <w:ind w:left="144"/>
        <w:shd w:val="clear" w:color="auto" w:fill="FEF3C7"/>
        <w:pBdr>
          <w:left w:val="single" w:sz="18" w:space="6" w:color="FBBF24"/>
        </w:pBdr>
      </w:pPr>
      <w:r>
        <w:rPr>
          <w:rFonts w:ascii="Calibri" w:hAnsi="Calibri"/>
          <w:b/>
          <w:color w:val="FBBF24"/>
          <w:sz w:val="19"/>
        </w:rPr>
        <w:t xml:space="preserve">Account closure is not deletion.  </w:t>
      </w:r>
      <w:r>
        <w:rPr>
          <w:rFonts w:ascii="Calibri" w:hAnsi="Calibri"/>
          <w:b w:val="0"/>
          <w:i w:val="0"/>
          <w:color w:val="0B1F3A"/>
          <w:sz w:val="19"/>
        </w:rPr>
        <w:t>A member closing their account ends their access, not the platform's record of what happened. Financial and identity records survive per statute. Being honest about this — in the UI, at the point of closure — is both the right thing and the legal one, and it prevents a class of complaint and dispute that would otherwise be expensive to resolve.</w:t>
      </w:r>
    </w:p>
    <w:p>
      <w:pPr>
        <w:pStyle w:val="Heading2"/>
      </w:pPr>
      <w:r>
        <w:rPr>
          <w:rFonts w:ascii="Calibri" w:hAnsi="Calibri"/>
          <w:b/>
          <w:i w:val="0"/>
          <w:color w:val="146EF5"/>
          <w:sz w:val="29"/>
        </w:rPr>
        <w:t>14.9 Member rights</w:t>
      </w:r>
    </w:p>
    <w:p>
      <w:r>
        <w:rPr>
          <w:rFonts w:ascii="Calibri" w:hAnsi="Calibri"/>
          <w:b w:val="0"/>
          <w:i w:val="0"/>
          <w:color w:val="101828"/>
          <w:sz w:val="21"/>
        </w:rPr>
        <w:t>The following rights are described in plain language in the app, in both English and the languages the team can genuinely support, and are honoured through a single request path.</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Right</w:t>
            </w:r>
          </w:p>
        </w:tc>
        <w:tc>
          <w:tcPr>
            <w:tcW w:type="dxa" w:w="4896"/>
            <w:shd w:val="clear" w:color="auto" w:fill="0B1F3A"/>
            <w:tcMar>
              <w:top w:w="60" w:type="dxa"/>
              <w:start w:w="110" w:type="dxa"/>
              <w:bottom w:w="60" w:type="dxa"/>
              <w:end w:w="110" w:type="dxa"/>
            </w:tcMar>
          </w:tcPr>
          <w:p>
            <w:pPr>
              <w:spacing w:after="0"/>
            </w:pPr>
            <w:r/>
            <w:r>
              <w:rPr>
                <w:rFonts w:ascii="Calibri" w:hAnsi="Calibri"/>
                <w:b/>
                <w:i w:val="0"/>
                <w:color w:val="FFFFFF"/>
                <w:sz w:val="16"/>
              </w:rPr>
              <w:t>How it is honoured</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Target</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Access</w:t>
            </w:r>
          </w:p>
        </w:tc>
        <w:tc>
          <w:tcPr>
            <w:tcW w:type="dxa" w:w="4896"/>
            <w:tcMar>
              <w:top w:w="60" w:type="dxa"/>
              <w:start w:w="110" w:type="dxa"/>
              <w:bottom w:w="60" w:type="dxa"/>
              <w:end w:w="110" w:type="dxa"/>
            </w:tcMar>
          </w:tcPr>
          <w:p>
            <w:pPr>
              <w:spacing w:after="0"/>
            </w:pPr>
            <w:r/>
            <w:r>
              <w:rPr>
                <w:rFonts w:ascii="Calibri" w:hAnsi="Calibri"/>
                <w:b w:val="0"/>
                <w:i w:val="0"/>
                <w:color w:val="101828"/>
                <w:sz w:val="16"/>
              </w:rPr>
              <w:t>A member can request a copy of their personal data. Delivered in a machine-readable format within 30 days</w:t>
            </w:r>
          </w:p>
        </w:tc>
        <w:tc>
          <w:tcPr>
            <w:tcW w:type="dxa" w:w="1728"/>
            <w:tcMar>
              <w:top w:w="60" w:type="dxa"/>
              <w:start w:w="110" w:type="dxa"/>
              <w:bottom w:w="60" w:type="dxa"/>
              <w:end w:w="110" w:type="dxa"/>
            </w:tcMar>
          </w:tcPr>
          <w:p>
            <w:pPr>
              <w:spacing w:after="0"/>
            </w:pPr>
            <w:r/>
            <w:r>
              <w:rPr>
                <w:rFonts w:ascii="Calibri" w:hAnsi="Calibri"/>
                <w:b w:val="0"/>
                <w:i w:val="0"/>
                <w:color w:val="101828"/>
                <w:sz w:val="16"/>
              </w:rPr>
              <w:t>30 days</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Correction</w:t>
            </w:r>
          </w:p>
        </w:tc>
        <w:tc>
          <w:tcPr>
            <w:tcW w:type="dxa" w:w="4896"/>
            <w:tcMar>
              <w:top w:w="60" w:type="dxa"/>
              <w:start w:w="110" w:type="dxa"/>
              <w:bottom w:w="60" w:type="dxa"/>
              <w:end w:w="110" w:type="dxa"/>
            </w:tcMar>
            <w:shd w:val="clear" w:color="auto" w:fill="F4F7FB"/>
          </w:tcPr>
          <w:p>
            <w:pPr>
              <w:spacing w:after="0"/>
            </w:pPr>
            <w:r/>
            <w:r>
              <w:rPr>
                <w:rFonts w:ascii="Calibri" w:hAnsi="Calibri"/>
                <w:b w:val="0"/>
                <w:i w:val="0"/>
                <w:color w:val="101828"/>
                <w:sz w:val="16"/>
              </w:rPr>
              <w:t>Self-service for profile fields; a request for identity-document correction, with a verification check so nobody else's document is changed</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30 days</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Withdrawal of consent</w:t>
            </w:r>
          </w:p>
        </w:tc>
        <w:tc>
          <w:tcPr>
            <w:tcW w:type="dxa" w:w="4896"/>
            <w:tcMar>
              <w:top w:w="60" w:type="dxa"/>
              <w:start w:w="110" w:type="dxa"/>
              <w:bottom w:w="60" w:type="dxa"/>
              <w:end w:w="110" w:type="dxa"/>
            </w:tcMar>
          </w:tcPr>
          <w:p>
            <w:pPr>
              <w:spacing w:after="0"/>
            </w:pPr>
            <w:r/>
            <w:r>
              <w:rPr>
                <w:rFonts w:ascii="Calibri" w:hAnsi="Calibri"/>
                <w:b w:val="0"/>
                <w:i w:val="0"/>
                <w:color w:val="101828"/>
                <w:sz w:val="16"/>
              </w:rPr>
              <w:t>Self-service, per purpose. Withdrawal stops the processing and does not affect processing already lawfully carried out</w:t>
            </w:r>
          </w:p>
        </w:tc>
        <w:tc>
          <w:tcPr>
            <w:tcW w:type="dxa" w:w="1728"/>
            <w:tcMar>
              <w:top w:w="60" w:type="dxa"/>
              <w:start w:w="110" w:type="dxa"/>
              <w:bottom w:w="60" w:type="dxa"/>
              <w:end w:w="110" w:type="dxa"/>
            </w:tcMar>
          </w:tcPr>
          <w:p>
            <w:pPr>
              <w:spacing w:after="0"/>
            </w:pPr>
            <w:r/>
            <w:r>
              <w:rPr>
                <w:rFonts w:ascii="Calibri" w:hAnsi="Calibri"/>
                <w:b w:val="0"/>
                <w:i w:val="0"/>
                <w:color w:val="101828"/>
                <w:sz w:val="16"/>
              </w:rPr>
              <w:t>Immediate</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Account closure</w:t>
            </w:r>
          </w:p>
        </w:tc>
        <w:tc>
          <w:tcPr>
            <w:tcW w:type="dxa" w:w="4896"/>
            <w:tcMar>
              <w:top w:w="60" w:type="dxa"/>
              <w:start w:w="110" w:type="dxa"/>
              <w:bottom w:w="60" w:type="dxa"/>
              <w:end w:w="110" w:type="dxa"/>
            </w:tcMar>
            <w:shd w:val="clear" w:color="auto" w:fill="F4F7FB"/>
          </w:tcPr>
          <w:p>
            <w:pPr>
              <w:spacing w:after="0"/>
            </w:pPr>
            <w:r/>
            <w:r>
              <w:rPr>
                <w:rFonts w:ascii="Calibri" w:hAnsi="Calibri"/>
                <w:b w:val="0"/>
                <w:i w:val="0"/>
                <w:color w:val="101828"/>
                <w:sz w:val="16"/>
              </w:rPr>
              <w:t>Self-service, blocked only where an unsettled financial obligation exists, and the blockage is explained precisely</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Immediate once clear</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Complaint escalation</w:t>
            </w:r>
          </w:p>
        </w:tc>
        <w:tc>
          <w:tcPr>
            <w:tcW w:type="dxa" w:w="4896"/>
            <w:tcMar>
              <w:top w:w="60" w:type="dxa"/>
              <w:start w:w="110" w:type="dxa"/>
              <w:bottom w:w="60" w:type="dxa"/>
              <w:end w:w="110" w:type="dxa"/>
            </w:tcMar>
          </w:tcPr>
          <w:p>
            <w:pPr>
              <w:spacing w:after="0"/>
            </w:pPr>
            <w:r/>
            <w:r>
              <w:rPr>
                <w:rFonts w:ascii="Calibri" w:hAnsi="Calibri"/>
                <w:b w:val="0"/>
                <w:i w:val="0"/>
                <w:color w:val="101828"/>
                <w:sz w:val="16"/>
              </w:rPr>
              <w:t>Published internal path, then an external escalation route. Every complaint receives a reference number and a response</w:t>
            </w:r>
          </w:p>
        </w:tc>
        <w:tc>
          <w:tcPr>
            <w:tcW w:type="dxa" w:w="1728"/>
            <w:tcMar>
              <w:top w:w="60" w:type="dxa"/>
              <w:start w:w="110" w:type="dxa"/>
              <w:bottom w:w="60" w:type="dxa"/>
              <w:end w:w="110" w:type="dxa"/>
            </w:tcMar>
          </w:tcPr>
          <w:p>
            <w:pPr>
              <w:spacing w:after="0"/>
            </w:pPr>
            <w:r/>
            <w:r>
              <w:rPr>
                <w:rFonts w:ascii="Calibri" w:hAnsi="Calibri"/>
                <w:b w:val="0"/>
                <w:i w:val="0"/>
                <w:color w:val="101828"/>
                <w:sz w:val="16"/>
              </w:rPr>
              <w:t>Acknowledged in 2 business days</w:t>
            </w:r>
          </w:p>
        </w:tc>
      </w:tr>
    </w:tbl>
    <w:p>
      <w:pPr>
        <w:spacing w:after="80"/>
      </w:pPr>
    </w:p>
    <w:p>
      <w:r>
        <w:rPr>
          <w:rFonts w:ascii="Calibri" w:hAnsi="Calibri"/>
          <w:b w:val="0"/>
          <w:i w:val="0"/>
          <w:color w:val="101828"/>
          <w:sz w:val="21"/>
        </w:rPr>
        <w:t>Where a request is refused, the reason is given in writing. Transferring a data subject to another controller — a prospective investor or acquirer — is a separate disclosure that needs its own lawful basis and its own notice, and must not happen as a side effect of a data export request.</w:t>
      </w:r>
    </w:p>
    <w:p>
      <w:pPr>
        <w:pStyle w:val="Heading2"/>
      </w:pPr>
      <w:r>
        <w:rPr>
          <w:rFonts w:ascii="Calibri" w:hAnsi="Calibri"/>
          <w:b/>
          <w:i w:val="0"/>
          <w:color w:val="146EF5"/>
          <w:sz w:val="29"/>
        </w:rPr>
        <w:t>14.10 Cross-border data</w:t>
      </w:r>
    </w:p>
    <w:p>
      <w:r>
        <w:rPr>
          <w:rFonts w:ascii="Calibri" w:hAnsi="Calibri"/>
          <w:b w:val="0"/>
          <w:i w:val="0"/>
          <w:color w:val="101828"/>
          <w:sz w:val="21"/>
        </w:rPr>
        <w:t>AJO.ng is Nigerian. Members are Nigerian. The default assumption is that personal data stays in Nigeria, and any transfer of member data outside the country is an exception that requires both a legal basis under Nigerian data protection law and a documented decision — including which jurisdiction's law the processing is subject to. Support, analytics, email, and push infrastructure are all candidates for cross-border processing, and each must be assessed on its own merits.</w:t>
      </w:r>
    </w:p>
    <w:p>
      <w:pPr>
        <w:pStyle w:val="Heading2"/>
      </w:pPr>
      <w:r>
        <w:rPr>
          <w:rFonts w:ascii="Calibri" w:hAnsi="Calibri"/>
          <w:b/>
          <w:i w:val="0"/>
          <w:color w:val="146EF5"/>
          <w:sz w:val="29"/>
        </w:rPr>
        <w:t>14.11 Security testing</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Activity</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Frequency</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Owner</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Gate</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Unit and integration tests (including the adversarial ledger suite)</w:t>
            </w:r>
          </w:p>
        </w:tc>
        <w:tc>
          <w:tcPr>
            <w:tcW w:type="dxa" w:w="1728"/>
            <w:tcMar>
              <w:top w:w="60" w:type="dxa"/>
              <w:start w:w="110" w:type="dxa"/>
              <w:bottom w:w="60" w:type="dxa"/>
              <w:end w:w="110" w:type="dxa"/>
            </w:tcMar>
          </w:tcPr>
          <w:p>
            <w:pPr>
              <w:spacing w:after="0"/>
            </w:pPr>
            <w:r/>
            <w:r>
              <w:rPr>
                <w:rFonts w:ascii="Calibri" w:hAnsi="Calibri"/>
                <w:b w:val="0"/>
                <w:i w:val="0"/>
                <w:color w:val="101828"/>
                <w:sz w:val="16"/>
              </w:rPr>
              <w:t>Every commit</w:t>
            </w:r>
          </w:p>
        </w:tc>
        <w:tc>
          <w:tcPr>
            <w:tcW w:type="dxa" w:w="2160"/>
            <w:tcMar>
              <w:top w:w="60" w:type="dxa"/>
              <w:start w:w="110" w:type="dxa"/>
              <w:bottom w:w="60" w:type="dxa"/>
              <w:end w:w="110" w:type="dxa"/>
            </w:tcMar>
          </w:tcPr>
          <w:p>
            <w:pPr>
              <w:spacing w:after="0"/>
            </w:pPr>
            <w:r/>
            <w:r>
              <w:rPr>
                <w:rFonts w:ascii="Calibri" w:hAnsi="Calibri"/>
                <w:b w:val="0"/>
                <w:i w:val="0"/>
                <w:color w:val="101828"/>
                <w:sz w:val="16"/>
              </w:rPr>
              <w:t>Engineering</w:t>
            </w:r>
          </w:p>
        </w:tc>
        <w:tc>
          <w:tcPr>
            <w:tcW w:type="dxa" w:w="2736"/>
            <w:tcMar>
              <w:top w:w="60" w:type="dxa"/>
              <w:start w:w="110" w:type="dxa"/>
              <w:bottom w:w="60" w:type="dxa"/>
              <w:end w:w="110" w:type="dxa"/>
            </w:tcMar>
          </w:tcPr>
          <w:p>
            <w:pPr>
              <w:spacing w:after="0"/>
            </w:pPr>
            <w:r/>
            <w:r>
              <w:rPr>
                <w:rFonts w:ascii="Calibri" w:hAnsi="Calibri"/>
                <w:b w:val="0"/>
                <w:i w:val="0"/>
                <w:color w:val="101828"/>
                <w:sz w:val="16"/>
              </w:rPr>
              <w:t>Blocks merge</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Static analysis and secret scanning</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Every commit</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CI</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Blocks merge</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Dependency vulnerability review</w:t>
            </w:r>
          </w:p>
        </w:tc>
        <w:tc>
          <w:tcPr>
            <w:tcW w:type="dxa" w:w="1728"/>
            <w:tcMar>
              <w:top w:w="60" w:type="dxa"/>
              <w:start w:w="110" w:type="dxa"/>
              <w:bottom w:w="60" w:type="dxa"/>
              <w:end w:w="110" w:type="dxa"/>
            </w:tcMar>
          </w:tcPr>
          <w:p>
            <w:pPr>
              <w:spacing w:after="0"/>
            </w:pPr>
            <w:r/>
            <w:r>
              <w:rPr>
                <w:rFonts w:ascii="Calibri" w:hAnsi="Calibri"/>
                <w:b w:val="0"/>
                <w:i w:val="0"/>
                <w:color w:val="101828"/>
                <w:sz w:val="16"/>
              </w:rPr>
              <w:t>Weekly</w:t>
            </w:r>
          </w:p>
        </w:tc>
        <w:tc>
          <w:tcPr>
            <w:tcW w:type="dxa" w:w="2160"/>
            <w:tcMar>
              <w:top w:w="60" w:type="dxa"/>
              <w:start w:w="110" w:type="dxa"/>
              <w:bottom w:w="60" w:type="dxa"/>
              <w:end w:w="110" w:type="dxa"/>
            </w:tcMar>
          </w:tcPr>
          <w:p>
            <w:pPr>
              <w:spacing w:after="0"/>
            </w:pPr>
            <w:r/>
            <w:r>
              <w:rPr>
                <w:rFonts w:ascii="Calibri" w:hAnsi="Calibri"/>
                <w:b w:val="0"/>
                <w:i w:val="0"/>
                <w:color w:val="101828"/>
                <w:sz w:val="16"/>
              </w:rPr>
              <w:t>Engineering</w:t>
            </w:r>
          </w:p>
        </w:tc>
        <w:tc>
          <w:tcPr>
            <w:tcW w:type="dxa" w:w="2736"/>
            <w:tcMar>
              <w:top w:w="60" w:type="dxa"/>
              <w:start w:w="110" w:type="dxa"/>
              <w:bottom w:w="60" w:type="dxa"/>
              <w:end w:w="110" w:type="dxa"/>
            </w:tcMar>
          </w:tcPr>
          <w:p>
            <w:pPr>
              <w:spacing w:after="0"/>
            </w:pPr>
            <w:r/>
            <w:r>
              <w:rPr>
                <w:rFonts w:ascii="Calibri" w:hAnsi="Calibri"/>
                <w:b w:val="0"/>
                <w:i w:val="0"/>
                <w:color w:val="101828"/>
                <w:sz w:val="16"/>
              </w:rPr>
              <w:t>High/critical must be resolved or risk-accepted in writing</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Authorised penetration test</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Before launch, then at least annually</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External specialist</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Blocks launch; all critical and high findings must be fixed</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Access review of all staff permissions</w:t>
            </w:r>
          </w:p>
        </w:tc>
        <w:tc>
          <w:tcPr>
            <w:tcW w:type="dxa" w:w="1728"/>
            <w:tcMar>
              <w:top w:w="60" w:type="dxa"/>
              <w:start w:w="110" w:type="dxa"/>
              <w:bottom w:w="60" w:type="dxa"/>
              <w:end w:w="110" w:type="dxa"/>
            </w:tcMar>
          </w:tcPr>
          <w:p>
            <w:pPr>
              <w:spacing w:after="0"/>
            </w:pPr>
            <w:r/>
            <w:r>
              <w:rPr>
                <w:rFonts w:ascii="Calibri" w:hAnsi="Calibri"/>
                <w:b w:val="0"/>
                <w:i w:val="0"/>
                <w:color w:val="101828"/>
                <w:sz w:val="16"/>
              </w:rPr>
              <w:t>Quarterly, and on any personnel change</w:t>
            </w:r>
          </w:p>
        </w:tc>
        <w:tc>
          <w:tcPr>
            <w:tcW w:type="dxa" w:w="2160"/>
            <w:tcMar>
              <w:top w:w="60" w:type="dxa"/>
              <w:start w:w="110" w:type="dxa"/>
              <w:bottom w:w="60" w:type="dxa"/>
              <w:end w:w="110" w:type="dxa"/>
            </w:tcMar>
          </w:tcPr>
          <w:p>
            <w:pPr>
              <w:spacing w:after="0"/>
            </w:pPr>
            <w:r/>
            <w:r>
              <w:rPr>
                <w:rFonts w:ascii="Calibri" w:hAnsi="Calibri"/>
                <w:b w:val="0"/>
                <w:i w:val="0"/>
                <w:color w:val="101828"/>
                <w:sz w:val="16"/>
              </w:rPr>
              <w:t>Security + super admin</w:t>
            </w:r>
          </w:p>
        </w:tc>
        <w:tc>
          <w:tcPr>
            <w:tcW w:type="dxa" w:w="2736"/>
            <w:tcMar>
              <w:top w:w="60" w:type="dxa"/>
              <w:start w:w="110" w:type="dxa"/>
              <w:bottom w:w="60" w:type="dxa"/>
              <w:end w:w="110" w:type="dxa"/>
            </w:tcMar>
          </w:tcPr>
          <w:p>
            <w:pPr>
              <w:spacing w:after="0"/>
            </w:pPr>
            <w:r/>
            <w:r>
              <w:rPr>
                <w:rFonts w:ascii="Calibri" w:hAnsi="Calibri"/>
                <w:b w:val="0"/>
                <w:i w:val="0"/>
                <w:color w:val="101828"/>
                <w:sz w:val="16"/>
              </w:rPr>
              <w:t>Removes stale access</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Disaster recovery rehearsal</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Every six months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Engineering + ops</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Documented recovery time</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Incident response tabletop</w:t>
            </w:r>
          </w:p>
        </w:tc>
        <w:tc>
          <w:tcPr>
            <w:tcW w:type="dxa" w:w="1728"/>
            <w:tcMar>
              <w:top w:w="60" w:type="dxa"/>
              <w:start w:w="110" w:type="dxa"/>
              <w:bottom w:w="60" w:type="dxa"/>
              <w:end w:w="110" w:type="dxa"/>
            </w:tcMar>
          </w:tcPr>
          <w:p>
            <w:pPr>
              <w:spacing w:after="0"/>
            </w:pPr>
            <w:r/>
            <w:r>
              <w:rPr>
                <w:rFonts w:ascii="Calibri" w:hAnsi="Calibri"/>
                <w:b w:val="0"/>
                <w:i w:val="0"/>
                <w:color w:val="101828"/>
                <w:sz w:val="16"/>
              </w:rPr>
              <w:t>Every six months</w:t>
            </w:r>
          </w:p>
        </w:tc>
        <w:tc>
          <w:tcPr>
            <w:tcW w:type="dxa" w:w="2160"/>
            <w:tcMar>
              <w:top w:w="60" w:type="dxa"/>
              <w:start w:w="110" w:type="dxa"/>
              <w:bottom w:w="60" w:type="dxa"/>
              <w:end w:w="110" w:type="dxa"/>
            </w:tcMar>
          </w:tcPr>
          <w:p>
            <w:pPr>
              <w:spacing w:after="0"/>
            </w:pPr>
            <w:r/>
            <w:r>
              <w:rPr>
                <w:rFonts w:ascii="Calibri" w:hAnsi="Calibri"/>
                <w:b w:val="0"/>
                <w:i w:val="0"/>
                <w:color w:val="101828"/>
                <w:sz w:val="16"/>
              </w:rPr>
              <w:t>Whole team</w:t>
            </w:r>
          </w:p>
        </w:tc>
        <w:tc>
          <w:tcPr>
            <w:tcW w:type="dxa" w:w="2736"/>
            <w:tcMar>
              <w:top w:w="60" w:type="dxa"/>
              <w:start w:w="110" w:type="dxa"/>
              <w:bottom w:w="60" w:type="dxa"/>
              <w:end w:w="110" w:type="dxa"/>
            </w:tcMar>
          </w:tcPr>
          <w:p>
            <w:pPr>
              <w:spacing w:after="0"/>
            </w:pPr>
            <w:r/>
            <w:r>
              <w:rPr>
                <w:rFonts w:ascii="Calibri" w:hAnsi="Calibri"/>
                <w:b w:val="0"/>
                <w:i w:val="0"/>
                <w:color w:val="101828"/>
                <w:sz w:val="16"/>
              </w:rPr>
              <w:t>Documented action list</w:t>
            </w:r>
          </w:p>
        </w:tc>
      </w:tr>
    </w:tbl>
    <w:p>
      <w:pPr>
        <w:spacing w:after="80"/>
      </w:pPr>
    </w:p>
    <w:p>
      <w:r>
        <w:rPr>
          <w:rFonts w:ascii="Calibri" w:hAnsi="Calibri"/>
          <w:b w:val="0"/>
          <w:i w:val="0"/>
          <w:color w:val="101828"/>
          <w:sz w:val="21"/>
        </w:rPr>
        <w:t>The penetration test must be performed by a firm independent of the implementation team, must be scoped to cover authentication, authorisation, payout initiation, and webhook handling, and must be permitted to test the production-adjacent environment.</w:t>
      </w:r>
    </w:p>
    <w:p>
      <w:pPr>
        <w:pStyle w:val="Heading2"/>
      </w:pPr>
      <w:r>
        <w:rPr>
          <w:rFonts w:ascii="Calibri" w:hAnsi="Calibri"/>
          <w:b/>
          <w:i w:val="0"/>
          <w:color w:val="146EF5"/>
          <w:sz w:val="29"/>
        </w:rPr>
        <w:t>14.12 Secrets and access management</w:t>
      </w:r>
    </w:p>
    <w:p>
      <w:pPr>
        <w:pStyle w:val="ListBullet"/>
        <w:spacing w:after="60"/>
        <w:ind w:left="360"/>
      </w:pPr>
      <w:r>
        <w:rPr>
          <w:rFonts w:ascii="Calibri" w:hAnsi="Calibri"/>
          <w:b w:val="0"/>
          <w:i w:val="0"/>
          <w:color w:val="101828"/>
          <w:sz w:val="21"/>
        </w:rPr>
        <w:t>Every secret lives in a managed secret store. Nothing sensitive in source control, container images, CI logs, or chat.</w:t>
      </w:r>
    </w:p>
    <w:p>
      <w:pPr>
        <w:pStyle w:val="ListBullet"/>
        <w:spacing w:after="60"/>
        <w:ind w:left="360"/>
      </w:pPr>
      <w:r>
        <w:rPr>
          <w:rFonts w:ascii="Calibri" w:hAnsi="Calibri"/>
          <w:b w:val="0"/>
          <w:i w:val="0"/>
          <w:color w:val="101828"/>
          <w:sz w:val="21"/>
        </w:rPr>
        <w:t>Production access is just-in-time, time-boxed, and logged. Standing production access for engineers is not granted.</w:t>
      </w:r>
    </w:p>
    <w:p>
      <w:pPr>
        <w:pStyle w:val="ListBullet"/>
        <w:spacing w:after="60"/>
        <w:ind w:left="360"/>
      </w:pPr>
      <w:r>
        <w:rPr>
          <w:rFonts w:ascii="Calibri" w:hAnsi="Calibri"/>
          <w:b w:val="0"/>
          <w:i w:val="0"/>
          <w:color w:val="101828"/>
          <w:sz w:val="21"/>
        </w:rPr>
        <w:t>Multi-factor authentication is mandatory for every staff account with any production access, and required for admin roles generally.</w:t>
      </w:r>
    </w:p>
    <w:p>
      <w:pPr>
        <w:pStyle w:val="ListBullet"/>
        <w:spacing w:after="60"/>
        <w:ind w:left="360"/>
      </w:pPr>
      <w:r>
        <w:rPr>
          <w:rFonts w:ascii="Calibri" w:hAnsi="Calibri"/>
          <w:b w:val="0"/>
          <w:i w:val="0"/>
          <w:color w:val="101828"/>
          <w:sz w:val="21"/>
        </w:rPr>
        <w:t>Access is granted on a need-to-know basis, reviewed quarterly, and revoked the same day a person leaves or changes role.</w:t>
      </w:r>
    </w:p>
    <w:p>
      <w:pPr>
        <w:pStyle w:val="ListBullet"/>
        <w:spacing w:after="60"/>
        <w:ind w:left="360"/>
      </w:pPr>
      <w:r>
        <w:rPr>
          <w:rFonts w:ascii="Calibri" w:hAnsi="Calibri"/>
          <w:b w:val="0"/>
          <w:i w:val="0"/>
          <w:color w:val="101828"/>
          <w:sz w:val="21"/>
        </w:rPr>
        <w:t>Every production action by a staff member is attributable to an individual. Shared accounts are prohibited for anything money-related, and a shared break-glass account has its every use reviewed.</w:t>
      </w:r>
    </w:p>
    <w:p>
      <w:pPr>
        <w:pStyle w:val="Heading2"/>
      </w:pPr>
      <w:r>
        <w:rPr>
          <w:rFonts w:ascii="Calibri" w:hAnsi="Calibri"/>
          <w:b/>
          <w:i w:val="0"/>
          <w:color w:val="146EF5"/>
          <w:sz w:val="29"/>
        </w:rPr>
        <w:t>14.13 Monitoring and detection</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Signal</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Alert</w:t>
            </w:r>
          </w:p>
        </w:tc>
        <w:tc>
          <w:tcPr>
            <w:tcW w:type="dxa" w:w="1440"/>
            <w:shd w:val="clear" w:color="auto" w:fill="0B1F3A"/>
            <w:tcMar>
              <w:top w:w="60" w:type="dxa"/>
              <w:start w:w="110" w:type="dxa"/>
              <w:bottom w:w="60" w:type="dxa"/>
              <w:end w:w="110" w:type="dxa"/>
            </w:tcMar>
          </w:tcPr>
          <w:p>
            <w:pPr>
              <w:spacing w:after="0"/>
            </w:pPr>
            <w:r/>
            <w:r>
              <w:rPr>
                <w:rFonts w:ascii="Calibri" w:hAnsi="Calibri"/>
                <w:b/>
                <w:i w:val="0"/>
                <w:color w:val="FFFFFF"/>
                <w:sz w:val="16"/>
              </w:rPr>
              <w:t>Severity</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Response</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Ledger invariant broken</w:t>
            </w:r>
          </w:p>
        </w:tc>
        <w:tc>
          <w:tcPr>
            <w:tcW w:type="dxa" w:w="2448"/>
            <w:tcMar>
              <w:top w:w="60" w:type="dxa"/>
              <w:start w:w="110" w:type="dxa"/>
              <w:bottom w:w="60" w:type="dxa"/>
              <w:end w:w="110" w:type="dxa"/>
            </w:tcMar>
          </w:tcPr>
          <w:p>
            <w:pPr>
              <w:spacing w:after="0"/>
            </w:pPr>
            <w:r/>
            <w:r>
              <w:rPr>
                <w:rFonts w:ascii="Calibri" w:hAnsi="Calibri"/>
                <w:b w:val="0"/>
                <w:i w:val="0"/>
                <w:color w:val="101828"/>
                <w:sz w:val="16"/>
              </w:rPr>
              <w:t>Ledger sum ≠ sum of balances ≠ escrow</w:t>
            </w:r>
          </w:p>
        </w:tc>
        <w:tc>
          <w:tcPr>
            <w:tcW w:type="dxa" w:w="1440"/>
            <w:tcMar>
              <w:top w:w="60" w:type="dxa"/>
              <w:start w:w="110" w:type="dxa"/>
              <w:bottom w:w="60" w:type="dxa"/>
              <w:end w:w="110" w:type="dxa"/>
            </w:tcMar>
          </w:tcPr>
          <w:p>
            <w:pPr>
              <w:spacing w:after="0"/>
            </w:pPr>
            <w:r/>
            <w:r>
              <w:rPr>
                <w:rFonts w:ascii="Calibri" w:hAnsi="Calibri"/>
                <w:b w:val="0"/>
                <w:i w:val="0"/>
                <w:color w:val="101828"/>
                <w:sz w:val="16"/>
              </w:rPr>
              <w:t>P1</w:t>
            </w:r>
          </w:p>
        </w:tc>
        <w:tc>
          <w:tcPr>
            <w:tcW w:type="dxa" w:w="2736"/>
            <w:tcMar>
              <w:top w:w="60" w:type="dxa"/>
              <w:start w:w="110" w:type="dxa"/>
              <w:bottom w:w="60" w:type="dxa"/>
              <w:end w:w="110" w:type="dxa"/>
            </w:tcMar>
          </w:tcPr>
          <w:p>
            <w:pPr>
              <w:spacing w:after="0"/>
            </w:pPr>
            <w:r/>
            <w:r>
              <w:rPr>
                <w:rFonts w:ascii="Calibri" w:hAnsi="Calibri"/>
                <w:b w:val="0"/>
                <w:i w:val="0"/>
                <w:color w:val="101828"/>
                <w:sz w:val="16"/>
              </w:rPr>
              <w:t>Halt new payouts immediately. Page finance and engineering</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Unauthorised access attempt on financial data</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Any RLS or authorisation denial spike</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6"/>
              </w:rPr>
              <w:t>P1</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Investigate within the hour. Consider credential rotation</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Bulk PII export</w:t>
            </w:r>
          </w:p>
        </w:tc>
        <w:tc>
          <w:tcPr>
            <w:tcW w:type="dxa" w:w="2448"/>
            <w:tcMar>
              <w:top w:w="60" w:type="dxa"/>
              <w:start w:w="110" w:type="dxa"/>
              <w:bottom w:w="60" w:type="dxa"/>
              <w:end w:w="110" w:type="dxa"/>
            </w:tcMar>
          </w:tcPr>
          <w:p>
            <w:pPr>
              <w:spacing w:after="0"/>
            </w:pPr>
            <w:r/>
            <w:r>
              <w:rPr>
                <w:rFonts w:ascii="Calibri" w:hAnsi="Calibri"/>
                <w:b w:val="0"/>
                <w:i w:val="0"/>
                <w:color w:val="101828"/>
                <w:sz w:val="16"/>
              </w:rPr>
              <w:t>Any export above a normal volume</w:t>
            </w:r>
          </w:p>
        </w:tc>
        <w:tc>
          <w:tcPr>
            <w:tcW w:type="dxa" w:w="1440"/>
            <w:tcMar>
              <w:top w:w="60" w:type="dxa"/>
              <w:start w:w="110" w:type="dxa"/>
              <w:bottom w:w="60" w:type="dxa"/>
              <w:end w:w="110" w:type="dxa"/>
            </w:tcMar>
          </w:tcPr>
          <w:p>
            <w:pPr>
              <w:spacing w:after="0"/>
            </w:pPr>
            <w:r/>
            <w:r>
              <w:rPr>
                <w:rFonts w:ascii="Calibri" w:hAnsi="Calibri"/>
                <w:b w:val="0"/>
                <w:i w:val="0"/>
                <w:color w:val="101828"/>
                <w:sz w:val="16"/>
              </w:rPr>
              <w:t>P1</w:t>
            </w:r>
          </w:p>
        </w:tc>
        <w:tc>
          <w:tcPr>
            <w:tcW w:type="dxa" w:w="2736"/>
            <w:tcMar>
              <w:top w:w="60" w:type="dxa"/>
              <w:start w:w="110" w:type="dxa"/>
              <w:bottom w:w="60" w:type="dxa"/>
              <w:end w:w="110" w:type="dxa"/>
            </w:tcMar>
          </w:tcPr>
          <w:p>
            <w:pPr>
              <w:spacing w:after="0"/>
            </w:pPr>
            <w:r/>
            <w:r>
              <w:rPr>
                <w:rFonts w:ascii="Calibri" w:hAnsi="Calibri"/>
                <w:b w:val="0"/>
                <w:i w:val="0"/>
                <w:color w:val="101828"/>
                <w:sz w:val="16"/>
              </w:rPr>
              <w:t>Block pending investigation</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Webhook signature failures</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Sustained rise</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6"/>
              </w:rPr>
              <w:t>P2</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Check for a key rotation mismatch or an attack</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Provider balance divergence</w:t>
            </w:r>
          </w:p>
        </w:tc>
        <w:tc>
          <w:tcPr>
            <w:tcW w:type="dxa" w:w="2448"/>
            <w:tcMar>
              <w:top w:w="60" w:type="dxa"/>
              <w:start w:w="110" w:type="dxa"/>
              <w:bottom w:w="60" w:type="dxa"/>
              <w:end w:w="110" w:type="dxa"/>
            </w:tcMar>
          </w:tcPr>
          <w:p>
            <w:pPr>
              <w:spacing w:after="0"/>
            </w:pPr>
            <w:r/>
            <w:r>
              <w:rPr>
                <w:rFonts w:ascii="Calibri" w:hAnsi="Calibri"/>
                <w:b w:val="0"/>
                <w:i w:val="0"/>
                <w:color w:val="101828"/>
                <w:sz w:val="16"/>
              </w:rPr>
              <w:t>Settlement report ≠ ledger</w:t>
            </w:r>
          </w:p>
        </w:tc>
        <w:tc>
          <w:tcPr>
            <w:tcW w:type="dxa" w:w="1440"/>
            <w:tcMar>
              <w:top w:w="60" w:type="dxa"/>
              <w:start w:w="110" w:type="dxa"/>
              <w:bottom w:w="60" w:type="dxa"/>
              <w:end w:w="110" w:type="dxa"/>
            </w:tcMar>
          </w:tcPr>
          <w:p>
            <w:pPr>
              <w:spacing w:after="0"/>
            </w:pPr>
            <w:r/>
            <w:r>
              <w:rPr>
                <w:rFonts w:ascii="Calibri" w:hAnsi="Calibri"/>
                <w:b w:val="0"/>
                <w:i w:val="0"/>
                <w:color w:val="101828"/>
                <w:sz w:val="16"/>
              </w:rPr>
              <w:t>P1</w:t>
            </w:r>
          </w:p>
        </w:tc>
        <w:tc>
          <w:tcPr>
            <w:tcW w:type="dxa" w:w="2736"/>
            <w:tcMar>
              <w:top w:w="60" w:type="dxa"/>
              <w:start w:w="110" w:type="dxa"/>
              <w:bottom w:w="60" w:type="dxa"/>
              <w:end w:w="110" w:type="dxa"/>
            </w:tcMar>
          </w:tcPr>
          <w:p>
            <w:pPr>
              <w:spacing w:after="0"/>
            </w:pPr>
            <w:r/>
            <w:r>
              <w:rPr>
                <w:rFonts w:ascii="Calibri" w:hAnsi="Calibri"/>
                <w:b w:val="0"/>
                <w:i w:val="0"/>
                <w:color w:val="101828"/>
                <w:sz w:val="16"/>
              </w:rPr>
              <w:t>Halt payouts; reconcile before proceeding</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Payout destination changed then paid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Within the cooling-off window</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6"/>
              </w:rPr>
              <w:t>P1</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Block the payout; manual verification required</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Unusual login pattern</w:t>
            </w:r>
          </w:p>
        </w:tc>
        <w:tc>
          <w:tcPr>
            <w:tcW w:type="dxa" w:w="2448"/>
            <w:tcMar>
              <w:top w:w="60" w:type="dxa"/>
              <w:start w:w="110" w:type="dxa"/>
              <w:bottom w:w="60" w:type="dxa"/>
              <w:end w:w="110" w:type="dxa"/>
            </w:tcMar>
          </w:tcPr>
          <w:p>
            <w:pPr>
              <w:spacing w:after="0"/>
            </w:pPr>
            <w:r/>
            <w:r>
              <w:rPr>
                <w:rFonts w:ascii="Calibri" w:hAnsi="Calibri"/>
                <w:b w:val="0"/>
                <w:i w:val="0"/>
                <w:color w:val="101828"/>
                <w:sz w:val="16"/>
              </w:rPr>
              <w:t>Impossible travel, new device plus new bank</w:t>
            </w:r>
          </w:p>
        </w:tc>
        <w:tc>
          <w:tcPr>
            <w:tcW w:type="dxa" w:w="1440"/>
            <w:tcMar>
              <w:top w:w="60" w:type="dxa"/>
              <w:start w:w="110" w:type="dxa"/>
              <w:bottom w:w="60" w:type="dxa"/>
              <w:end w:w="110" w:type="dxa"/>
            </w:tcMar>
          </w:tcPr>
          <w:p>
            <w:pPr>
              <w:spacing w:after="0"/>
            </w:pPr>
            <w:r/>
            <w:r>
              <w:rPr>
                <w:rFonts w:ascii="Calibri" w:hAnsi="Calibri"/>
                <w:b w:val="0"/>
                <w:i w:val="0"/>
                <w:color w:val="101828"/>
                <w:sz w:val="16"/>
              </w:rPr>
              <w:t>P2</w:t>
            </w:r>
          </w:p>
        </w:tc>
        <w:tc>
          <w:tcPr>
            <w:tcW w:type="dxa" w:w="2736"/>
            <w:tcMar>
              <w:top w:w="60" w:type="dxa"/>
              <w:start w:w="110" w:type="dxa"/>
              <w:bottom w:w="60" w:type="dxa"/>
              <w:end w:w="110" w:type="dxa"/>
            </w:tcMar>
          </w:tcPr>
          <w:p>
            <w:pPr>
              <w:spacing w:after="0"/>
            </w:pPr>
            <w:r/>
            <w:r>
              <w:rPr>
                <w:rFonts w:ascii="Calibri" w:hAnsi="Calibri"/>
                <w:b w:val="0"/>
                <w:i w:val="0"/>
                <w:color w:val="101828"/>
                <w:sz w:val="16"/>
              </w:rPr>
              <w:t>Step-up auth; notify member</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Error rate or latency breach</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SLO burn exceeded</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6"/>
              </w:rPr>
              <w:t>P2</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Standard incident process</w:t>
            </w:r>
          </w:p>
        </w:tc>
      </w:tr>
    </w:tbl>
    <w:p>
      <w:pPr>
        <w:spacing w:after="80"/>
      </w:pPr>
    </w:p>
    <w:p>
      <w:pPr>
        <w:pStyle w:val="Heading2"/>
      </w:pPr>
      <w:r>
        <w:rPr>
          <w:rFonts w:ascii="Calibri" w:hAnsi="Calibri"/>
          <w:b/>
          <w:i w:val="0"/>
          <w:color w:val="146EF5"/>
          <w:sz w:val="29"/>
        </w:rPr>
        <w:t>14.14 Incident response</w:t>
      </w:r>
    </w:p>
    <w:p>
      <w:pPr>
        <w:pStyle w:val="Heading3"/>
      </w:pPr>
      <w:r>
        <w:rPr>
          <w:rFonts w:ascii="Calibri" w:hAnsi="Calibri"/>
          <w:b/>
          <w:i w:val="0"/>
          <w:color w:val="0B1F3A"/>
          <w:sz w:val="24"/>
        </w:rPr>
        <w:t>14.14.1 Severity levels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6"/>
              </w:rPr>
              <w:t>Level</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6"/>
              </w:rPr>
              <w:t>Definition</w:t>
            </w:r>
          </w:p>
        </w:tc>
        <w:tc>
          <w:tcPr>
            <w:tcW w:type="dxa" w:w="4752"/>
            <w:shd w:val="clear" w:color="auto" w:fill="0B1F3A"/>
            <w:tcMar>
              <w:top w:w="60" w:type="dxa"/>
              <w:start w:w="110" w:type="dxa"/>
              <w:bottom w:w="60" w:type="dxa"/>
              <w:end w:w="110" w:type="dxa"/>
            </w:tcMar>
          </w:tcPr>
          <w:p>
            <w:pPr>
              <w:spacing w:after="0"/>
            </w:pPr>
            <w:r/>
            <w:r>
              <w:rPr>
                <w:rFonts w:ascii="Calibri" w:hAnsi="Calibri"/>
                <w:b/>
                <w:i w:val="0"/>
                <w:color w:val="FFFFFF"/>
                <w:sz w:val="16"/>
              </w:rPr>
              <w:t>Example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P1</w:t>
            </w:r>
          </w:p>
        </w:tc>
        <w:tc>
          <w:tcPr>
            <w:tcW w:type="dxa" w:w="3456"/>
            <w:tcMar>
              <w:top w:w="60" w:type="dxa"/>
              <w:start w:w="110" w:type="dxa"/>
              <w:bottom w:w="60" w:type="dxa"/>
              <w:end w:w="110" w:type="dxa"/>
            </w:tcMar>
          </w:tcPr>
          <w:p>
            <w:pPr>
              <w:spacing w:after="0"/>
            </w:pPr>
            <w:r/>
            <w:r>
              <w:rPr>
                <w:rFonts w:ascii="Calibri" w:hAnsi="Calibri"/>
                <w:b w:val="0"/>
                <w:i w:val="0"/>
                <w:color w:val="101828"/>
                <w:sz w:val="16"/>
              </w:rPr>
              <w:t>Members affected, money at risk, or the books do not balance</w:t>
            </w:r>
          </w:p>
        </w:tc>
        <w:tc>
          <w:tcPr>
            <w:tcW w:type="dxa" w:w="4752"/>
            <w:tcMar>
              <w:top w:w="60" w:type="dxa"/>
              <w:start w:w="110" w:type="dxa"/>
              <w:bottom w:w="60" w:type="dxa"/>
              <w:end w:w="110" w:type="dxa"/>
            </w:tcMar>
          </w:tcPr>
          <w:p>
            <w:pPr>
              <w:spacing w:after="0"/>
            </w:pPr>
            <w:r/>
            <w:r>
              <w:rPr>
                <w:rFonts w:ascii="Calibri" w:hAnsi="Calibri"/>
                <w:b w:val="0"/>
                <w:i w:val="0"/>
                <w:color w:val="101828"/>
                <w:sz w:val="16"/>
              </w:rPr>
              <w:t>Payout rail down; suspected data breach; ledger invariant broken</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P2</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Significant degradation, no confirmed money loss</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Contribution success rate below target; webhook delays</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P3</w:t>
            </w:r>
          </w:p>
        </w:tc>
        <w:tc>
          <w:tcPr>
            <w:tcW w:type="dxa" w:w="3456"/>
            <w:tcMar>
              <w:top w:w="60" w:type="dxa"/>
              <w:start w:w="110" w:type="dxa"/>
              <w:bottom w:w="60" w:type="dxa"/>
              <w:end w:w="110" w:type="dxa"/>
            </w:tcMar>
          </w:tcPr>
          <w:p>
            <w:pPr>
              <w:spacing w:after="0"/>
            </w:pPr>
            <w:r/>
            <w:r>
              <w:rPr>
                <w:rFonts w:ascii="Calibri" w:hAnsi="Calibri"/>
                <w:b w:val="0"/>
                <w:i w:val="0"/>
                <w:color w:val="101828"/>
                <w:sz w:val="16"/>
              </w:rPr>
              <w:t>Limited impact, workaround available</w:t>
            </w:r>
          </w:p>
        </w:tc>
        <w:tc>
          <w:tcPr>
            <w:tcW w:type="dxa" w:w="4752"/>
            <w:tcMar>
              <w:top w:w="60" w:type="dxa"/>
              <w:start w:w="110" w:type="dxa"/>
              <w:bottom w:w="60" w:type="dxa"/>
              <w:end w:w="110" w:type="dxa"/>
            </w:tcMar>
          </w:tcPr>
          <w:p>
            <w:pPr>
              <w:spacing w:after="0"/>
            </w:pPr>
            <w:r/>
            <w:r>
              <w:rPr>
                <w:rFonts w:ascii="Calibri" w:hAnsi="Calibri"/>
                <w:b w:val="0"/>
                <w:i w:val="0"/>
                <w:color w:val="101828"/>
                <w:sz w:val="16"/>
              </w:rPr>
              <w:t>Single notification template failing</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P4</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Minor, cosmetic</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Copy error</w:t>
            </w:r>
          </w:p>
        </w:tc>
      </w:tr>
    </w:tbl>
    <w:p>
      <w:pPr>
        <w:spacing w:after="80"/>
      </w:pPr>
    </w:p>
    <w:p>
      <w:pPr>
        <w:pStyle w:val="Heading3"/>
      </w:pPr>
      <w:r>
        <w:rPr>
          <w:rFonts w:ascii="Calibri" w:hAnsi="Calibri"/>
          <w:b/>
          <w:i w:val="0"/>
          <w:color w:val="0B1F3A"/>
          <w:sz w:val="24"/>
        </w:rPr>
        <w:t>14.14.2 Response process</w:t>
      </w:r>
    </w:p>
    <w:p>
      <w:pPr>
        <w:pStyle w:val="ListNumber"/>
        <w:spacing w:after="60"/>
        <w:ind w:left="432"/>
      </w:pPr>
      <w:r>
        <w:rPr>
          <w:rFonts w:ascii="Calibri" w:hAnsi="Calibri"/>
          <w:b/>
          <w:color w:val="101828"/>
          <w:sz w:val="21"/>
        </w:rPr>
        <w:t>Detect</w:t>
      </w:r>
      <w:r>
        <w:rPr>
          <w:rFonts w:ascii="Calibri" w:hAnsi="Calibri"/>
          <w:b w:val="0"/>
          <w:i w:val="0"/>
          <w:color w:val="101828"/>
          <w:sz w:val="21"/>
        </w:rPr>
        <w:t xml:space="preserve"> — automated alerting, member report, or internal observation.</w:t>
      </w:r>
    </w:p>
    <w:p>
      <w:pPr>
        <w:pStyle w:val="ListNumber"/>
        <w:spacing w:after="60"/>
        <w:ind w:left="432"/>
      </w:pPr>
      <w:r>
        <w:rPr>
          <w:rFonts w:ascii="Calibri" w:hAnsi="Calibri"/>
          <w:b/>
          <w:color w:val="101828"/>
          <w:sz w:val="21"/>
        </w:rPr>
        <w:t>Triage</w:t>
      </w:r>
      <w:r>
        <w:rPr>
          <w:rFonts w:ascii="Calibri" w:hAnsi="Calibri"/>
          <w:b w:val="0"/>
          <w:i w:val="0"/>
          <w:color w:val="101828"/>
          <w:sz w:val="21"/>
        </w:rPr>
        <w:t xml:space="preserve"> — the on-call engineer classifies the severity within 15 minutes for a P1 and starts the incident channel. No single person investigates a P1 alone.</w:t>
      </w:r>
    </w:p>
    <w:p>
      <w:pPr>
        <w:pStyle w:val="ListNumber"/>
        <w:spacing w:after="60"/>
        <w:ind w:left="432"/>
      </w:pPr>
      <w:r>
        <w:rPr>
          <w:rFonts w:ascii="Calibri" w:hAnsi="Calibri"/>
          <w:b/>
          <w:color w:val="101828"/>
          <w:sz w:val="21"/>
        </w:rPr>
        <w:t>Contain</w:t>
      </w:r>
      <w:r>
        <w:rPr>
          <w:rFonts w:ascii="Calibri" w:hAnsi="Calibri"/>
          <w:b w:val="0"/>
          <w:i w:val="0"/>
          <w:color w:val="101828"/>
          <w:sz w:val="21"/>
        </w:rPr>
        <w:t xml:space="preserve"> — stop the bleeding first: halt payouts, disable a rail, revoke credentials, or block an endpoint. Root-cause analysis waits until the money is safe.</w:t>
      </w:r>
    </w:p>
    <w:p>
      <w:pPr>
        <w:pStyle w:val="ListNumber"/>
        <w:spacing w:after="60"/>
        <w:ind w:left="432"/>
      </w:pPr>
      <w:r>
        <w:rPr>
          <w:rFonts w:ascii="Calibri" w:hAnsi="Calibri"/>
          <w:b w:val="0"/>
          <w:i w:val="0"/>
          <w:color w:val="101828"/>
          <w:sz w:val="21"/>
        </w:rPr>
        <w:t xml:space="preserve"> </w:t>
      </w:r>
      <w:r>
        <w:rPr>
          <w:rFonts w:ascii="Calibri" w:hAnsi="Calibri"/>
          <w:b/>
          <w:color w:val="101828"/>
          <w:sz w:val="21"/>
        </w:rPr>
        <w:t>Communicate</w:t>
      </w:r>
      <w:r>
        <w:rPr>
          <w:rFonts w:ascii="Calibri" w:hAnsi="Calibri"/>
          <w:b w:val="0"/>
          <w:i w:val="0"/>
          <w:color w:val="101828"/>
          <w:sz w:val="21"/>
        </w:rPr>
        <w:t xml:space="preserve"> — members are told what is affected, what is not, and what happens next. Security or privacy incidents are escalated to the data protection officer immediately, and any regulatory notification is made within whatever deadline law requires.</w:t>
      </w:r>
    </w:p>
    <w:p>
      <w:pPr>
        <w:pStyle w:val="ListNumber"/>
        <w:spacing w:after="60"/>
        <w:ind w:left="432"/>
      </w:pPr>
      <w:r>
        <w:rPr>
          <w:rFonts w:ascii="Calibri" w:hAnsi="Calibri"/>
          <w:b/>
          <w:color w:val="101828"/>
          <w:sz w:val="21"/>
        </w:rPr>
        <w:t>Recover</w:t>
      </w:r>
      <w:r>
        <w:rPr>
          <w:rFonts w:ascii="Calibri" w:hAnsi="Calibri"/>
          <w:b w:val="0"/>
          <w:i w:val="0"/>
          <w:color w:val="101828"/>
          <w:sz w:val="21"/>
        </w:rPr>
        <w:t xml:space="preserve"> — restore service, verify the ledger invariant, and confirm reconciliation before declaring the incident closed.</w:t>
      </w:r>
    </w:p>
    <w:p>
      <w:pPr>
        <w:pStyle w:val="ListNumber"/>
        <w:spacing w:after="60"/>
        <w:ind w:left="432"/>
      </w:pPr>
      <w:r>
        <w:rPr>
          <w:rFonts w:ascii="Calibri" w:hAnsi="Calibri"/>
          <w:b/>
          <w:color w:val="101828"/>
          <w:sz w:val="21"/>
        </w:rPr>
        <w:t>Learn</w:t>
      </w:r>
      <w:r>
        <w:rPr>
          <w:rFonts w:ascii="Calibri" w:hAnsi="Calibri"/>
          <w:b w:val="0"/>
          <w:i w:val="0"/>
          <w:color w:val="101828"/>
          <w:sz w:val="21"/>
        </w:rPr>
        <w:t xml:space="preserve"> — a blameless post-mortem within five business days, with owned and dated actions. A post-mortem without owned actions is not a post-mortem.</w:t>
      </w:r>
    </w:p>
    <w:p>
      <w:pPr>
        <w:spacing w:before="140" w:after="180"/>
        <w:ind w:left="144"/>
        <w:shd w:val="clear" w:color="auto" w:fill="EFF6FF"/>
        <w:pBdr>
          <w:left w:val="single" w:sz="18" w:space="6" w:color="146EF5"/>
        </w:pBdr>
      </w:pPr>
      <w:r>
        <w:rPr>
          <w:rFonts w:ascii="Calibri" w:hAnsi="Calibri"/>
          <w:b/>
          <w:color w:val="146EF5"/>
          <w:sz w:val="19"/>
        </w:rPr>
        <w:t xml:space="preserve">Communication is part of containment.  </w:t>
      </w:r>
      <w:r>
        <w:rPr>
          <w:rFonts w:ascii="Calibri" w:hAnsi="Calibri"/>
          <w:b w:val="0"/>
          <w:i w:val="0"/>
          <w:color w:val="0B1F3A"/>
          <w:sz w:val="19"/>
        </w:rPr>
        <w:t>In a savings product, a well-handled outage that is communicated honestly produces loyal members. A well-handled outage that is hidden produces a public thread, and a public thread ends the business. Pre-agreed templates for the three most likely scenarios — payout delay, contribution verification delay, and a suspected security incident — should be written and approved before launch, so that nobody is drafting under pressure.</w:t>
      </w:r>
    </w:p>
    <w:p>
      <w:pPr>
        <w:pStyle w:val="Heading2"/>
      </w:pPr>
      <w:r>
        <w:rPr>
          <w:rFonts w:ascii="Calibri" w:hAnsi="Calibri"/>
          <w:b/>
          <w:i w:val="0"/>
          <w:color w:val="146EF5"/>
          <w:sz w:val="29"/>
        </w:rPr>
        <w:t>14.15 Security and privacy controls — summary checklist</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3312"/>
            <w:shd w:val="clear" w:color="auto" w:fill="0B1F3A"/>
            <w:tcMar>
              <w:top w:w="60" w:type="dxa"/>
              <w:start w:w="110" w:type="dxa"/>
              <w:bottom w:w="60" w:type="dxa"/>
              <w:end w:w="110" w:type="dxa"/>
            </w:tcMar>
          </w:tcPr>
          <w:p>
            <w:pPr>
              <w:spacing w:after="0"/>
            </w:pPr>
            <w:r/>
            <w:r>
              <w:rPr>
                <w:rFonts w:ascii="Calibri" w:hAnsi="Calibri"/>
                <w:b/>
                <w:i w:val="0"/>
                <w:color w:val="FFFFFF"/>
                <w:sz w:val="16"/>
              </w:rPr>
              <w:t>Control</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Status at MVP</w:t>
            </w:r>
          </w:p>
        </w:tc>
        <w:tc>
          <w:tcPr>
            <w:tcW w:type="dxa" w:w="4320"/>
            <w:shd w:val="clear" w:color="auto" w:fill="0B1F3A"/>
            <w:tcMar>
              <w:top w:w="60" w:type="dxa"/>
              <w:start w:w="110" w:type="dxa"/>
              <w:bottom w:w="60" w:type="dxa"/>
              <w:end w:w="110" w:type="dxa"/>
            </w:tcMar>
          </w:tcPr>
          <w:p>
            <w:pPr>
              <w:spacing w:after="0"/>
            </w:pPr>
            <w:r/>
            <w:r>
              <w:rPr>
                <w:rFonts w:ascii="Calibri" w:hAnsi="Calibri"/>
                <w:b/>
                <w:i w:val="0"/>
                <w:color w:val="FFFFFF"/>
                <w:sz w:val="16"/>
              </w:rPr>
              <w:t>Note</w:t>
            </w:r>
          </w:p>
        </w:tc>
      </w:tr>
      <w:tr>
        <w:trPr>
          <w:cantSplit/>
        </w:trPr>
        <w:tc>
          <w:tcPr>
            <w:tcW w:type="dxa" w:w="3312"/>
            <w:tcMar>
              <w:top w:w="60" w:type="dxa"/>
              <w:start w:w="110" w:type="dxa"/>
              <w:bottom w:w="60" w:type="dxa"/>
              <w:end w:w="110" w:type="dxa"/>
            </w:tcMar>
          </w:tcPr>
          <w:p>
            <w:pPr>
              <w:spacing w:after="0"/>
            </w:pPr>
            <w:r/>
            <w:r>
              <w:rPr>
                <w:rFonts w:ascii="Calibri" w:hAnsi="Calibri"/>
                <w:b w:val="0"/>
                <w:i w:val="0"/>
                <w:color w:val="101828"/>
                <w:sz w:val="16"/>
              </w:rPr>
              <w:t>TLS everywhere, HSTS, certificate pinning</w:t>
            </w:r>
          </w:p>
        </w:tc>
        <w:tc>
          <w:tcPr>
            <w:tcW w:type="dxa" w:w="1728"/>
            <w:tcMar>
              <w:top w:w="60" w:type="dxa"/>
              <w:start w:w="110" w:type="dxa"/>
              <w:bottom w:w="60" w:type="dxa"/>
              <w:end w:w="110" w:type="dxa"/>
            </w:tcMar>
          </w:tcPr>
          <w:p>
            <w:pPr>
              <w:spacing w:after="0"/>
            </w:pPr>
            <w:r/>
            <w:r>
              <w:rPr>
                <w:rFonts w:ascii="Calibri" w:hAnsi="Calibri"/>
                <w:b w:val="0"/>
                <w:i w:val="0"/>
                <w:color w:val="101828"/>
                <w:sz w:val="16"/>
              </w:rPr>
              <w:t>Required</w:t>
            </w:r>
          </w:p>
        </w:tc>
        <w:tc>
          <w:tcPr>
            <w:tcW w:type="dxa" w:w="4320"/>
            <w:tcMar>
              <w:top w:w="60" w:type="dxa"/>
              <w:start w:w="110" w:type="dxa"/>
              <w:bottom w:w="60" w:type="dxa"/>
              <w:end w:w="110" w:type="dxa"/>
            </w:tcMar>
          </w:tcPr>
          <w:p>
            <w:pPr>
              <w:spacing w:after="0"/>
            </w:pPr>
            <w:r/>
            <w:r>
              <w:rPr>
                <w:rFonts w:ascii="Calibri" w:hAnsi="Calibri"/>
                <w:b w:val="0"/>
                <w:i w:val="0"/>
                <w:color w:val="101828"/>
                <w:sz w:val="16"/>
              </w:rPr>
              <w:t>Blocking for launch</w:t>
            </w:r>
          </w:p>
        </w:tc>
      </w:tr>
      <w:tr>
        <w:trPr>
          <w:cantSplit/>
        </w:trPr>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Envelope encryption of restricted columns</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Required</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Blocking for launch</w:t>
            </w:r>
          </w:p>
        </w:tc>
      </w:tr>
      <w:tr>
        <w:trPr>
          <w:cantSplit/>
        </w:trPr>
        <w:tc>
          <w:tcPr>
            <w:tcW w:type="dxa" w:w="3312"/>
            <w:tcMar>
              <w:top w:w="60" w:type="dxa"/>
              <w:start w:w="110" w:type="dxa"/>
              <w:bottom w:w="60" w:type="dxa"/>
              <w:end w:w="110" w:type="dxa"/>
            </w:tcMar>
          </w:tcPr>
          <w:p>
            <w:pPr>
              <w:spacing w:after="0"/>
            </w:pPr>
            <w:r/>
            <w:r>
              <w:rPr>
                <w:rFonts w:ascii="Calibri" w:hAnsi="Calibri"/>
                <w:b w:val="0"/>
                <w:i w:val="0"/>
                <w:color w:val="101828"/>
                <w:sz w:val="16"/>
              </w:rPr>
              <w:t>Managed secret store, no secrets in source</w:t>
            </w:r>
          </w:p>
        </w:tc>
        <w:tc>
          <w:tcPr>
            <w:tcW w:type="dxa" w:w="1728"/>
            <w:tcMar>
              <w:top w:w="60" w:type="dxa"/>
              <w:start w:w="110" w:type="dxa"/>
              <w:bottom w:w="60" w:type="dxa"/>
              <w:end w:w="110" w:type="dxa"/>
            </w:tcMar>
          </w:tcPr>
          <w:p>
            <w:pPr>
              <w:spacing w:after="0"/>
            </w:pPr>
            <w:r/>
            <w:r>
              <w:rPr>
                <w:rFonts w:ascii="Calibri" w:hAnsi="Calibri"/>
                <w:b w:val="0"/>
                <w:i w:val="0"/>
                <w:color w:val="101828"/>
                <w:sz w:val="16"/>
              </w:rPr>
              <w:t>Required</w:t>
            </w:r>
          </w:p>
        </w:tc>
        <w:tc>
          <w:tcPr>
            <w:tcW w:type="dxa" w:w="4320"/>
            <w:tcMar>
              <w:top w:w="60" w:type="dxa"/>
              <w:start w:w="110" w:type="dxa"/>
              <w:bottom w:w="60" w:type="dxa"/>
              <w:end w:w="110" w:type="dxa"/>
            </w:tcMar>
          </w:tcPr>
          <w:p>
            <w:pPr>
              <w:spacing w:after="0"/>
            </w:pPr>
            <w:r/>
            <w:r>
              <w:rPr>
                <w:rFonts w:ascii="Calibri" w:hAnsi="Calibri"/>
                <w:b w:val="0"/>
                <w:i w:val="0"/>
                <w:color w:val="101828"/>
                <w:sz w:val="16"/>
              </w:rPr>
              <w:t>Blocking for launch</w:t>
            </w:r>
          </w:p>
        </w:tc>
      </w:tr>
      <w:tr>
        <w:trPr>
          <w:cantSplit/>
        </w:trPr>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RLS enabled and forced on all financial tables</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Required</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Blocking for launch</w:t>
            </w:r>
          </w:p>
        </w:tc>
      </w:tr>
      <w:tr>
        <w:trPr>
          <w:cantSplit/>
        </w:trPr>
        <w:tc>
          <w:tcPr>
            <w:tcW w:type="dxa" w:w="3312"/>
            <w:tcMar>
              <w:top w:w="60" w:type="dxa"/>
              <w:start w:w="110" w:type="dxa"/>
              <w:bottom w:w="60" w:type="dxa"/>
              <w:end w:w="110" w:type="dxa"/>
            </w:tcMar>
          </w:tcPr>
          <w:p>
            <w:pPr>
              <w:spacing w:after="0"/>
            </w:pPr>
            <w:r/>
            <w:r>
              <w:rPr>
                <w:rFonts w:ascii="Calibri" w:hAnsi="Calibri"/>
                <w:b w:val="0"/>
                <w:i w:val="0"/>
                <w:color w:val="101828"/>
                <w:sz w:val="16"/>
              </w:rPr>
              <w:t>Log redaction of all PII</w:t>
            </w:r>
          </w:p>
        </w:tc>
        <w:tc>
          <w:tcPr>
            <w:tcW w:type="dxa" w:w="1728"/>
            <w:tcMar>
              <w:top w:w="60" w:type="dxa"/>
              <w:start w:w="110" w:type="dxa"/>
              <w:bottom w:w="60" w:type="dxa"/>
              <w:end w:w="110" w:type="dxa"/>
            </w:tcMar>
          </w:tcPr>
          <w:p>
            <w:pPr>
              <w:spacing w:after="0"/>
            </w:pPr>
            <w:r/>
            <w:r>
              <w:rPr>
                <w:rFonts w:ascii="Calibri" w:hAnsi="Calibri"/>
                <w:b w:val="0"/>
                <w:i w:val="0"/>
                <w:color w:val="101828"/>
                <w:sz w:val="16"/>
              </w:rPr>
              <w:t>Required</w:t>
            </w:r>
          </w:p>
        </w:tc>
        <w:tc>
          <w:tcPr>
            <w:tcW w:type="dxa" w:w="4320"/>
            <w:tcMar>
              <w:top w:w="60" w:type="dxa"/>
              <w:start w:w="110" w:type="dxa"/>
              <w:bottom w:w="60" w:type="dxa"/>
              <w:end w:w="110" w:type="dxa"/>
            </w:tcMar>
          </w:tcPr>
          <w:p>
            <w:pPr>
              <w:spacing w:after="0"/>
            </w:pPr>
            <w:r/>
            <w:r>
              <w:rPr>
                <w:rFonts w:ascii="Calibri" w:hAnsi="Calibri"/>
                <w:b w:val="0"/>
                <w:i w:val="0"/>
                <w:color w:val="101828"/>
                <w:sz w:val="16"/>
              </w:rPr>
              <w:t>Blocking for launch</w:t>
            </w:r>
          </w:p>
        </w:tc>
      </w:tr>
      <w:tr>
        <w:trPr>
          <w:cantSplit/>
        </w:trPr>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Refresh token rotation with reuse detection</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Required</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Blocking for launch</w:t>
            </w:r>
          </w:p>
        </w:tc>
      </w:tr>
      <w:tr>
        <w:trPr>
          <w:cantSplit/>
        </w:trPr>
        <w:tc>
          <w:tcPr>
            <w:tcW w:type="dxa" w:w="3312"/>
            <w:tcMar>
              <w:top w:w="60" w:type="dxa"/>
              <w:start w:w="110" w:type="dxa"/>
              <w:bottom w:w="60" w:type="dxa"/>
              <w:end w:w="110" w:type="dxa"/>
            </w:tcMar>
          </w:tcPr>
          <w:p>
            <w:pPr>
              <w:spacing w:after="0"/>
            </w:pPr>
            <w:r/>
            <w:r>
              <w:rPr>
                <w:rFonts w:ascii="Calibri" w:hAnsi="Calibri"/>
                <w:b w:val="0"/>
                <w:i w:val="0"/>
                <w:color w:val="101828"/>
                <w:sz w:val="16"/>
              </w:rPr>
              <w:t>Step-up auth on bank change and payout release</w:t>
            </w:r>
          </w:p>
        </w:tc>
        <w:tc>
          <w:tcPr>
            <w:tcW w:type="dxa" w:w="1728"/>
            <w:tcMar>
              <w:top w:w="60" w:type="dxa"/>
              <w:start w:w="110" w:type="dxa"/>
              <w:bottom w:w="60" w:type="dxa"/>
              <w:end w:w="110" w:type="dxa"/>
            </w:tcMar>
          </w:tcPr>
          <w:p>
            <w:pPr>
              <w:spacing w:after="0"/>
            </w:pPr>
            <w:r/>
            <w:r>
              <w:rPr>
                <w:rFonts w:ascii="Calibri" w:hAnsi="Calibri"/>
                <w:b w:val="0"/>
                <w:i w:val="0"/>
                <w:color w:val="101828"/>
                <w:sz w:val="16"/>
              </w:rPr>
              <w:t>Required</w:t>
            </w:r>
          </w:p>
        </w:tc>
        <w:tc>
          <w:tcPr>
            <w:tcW w:type="dxa" w:w="4320"/>
            <w:tcMar>
              <w:top w:w="60" w:type="dxa"/>
              <w:start w:w="110" w:type="dxa"/>
              <w:bottom w:w="60" w:type="dxa"/>
              <w:end w:w="110" w:type="dxa"/>
            </w:tcMar>
          </w:tcPr>
          <w:p>
            <w:pPr>
              <w:spacing w:after="0"/>
            </w:pPr>
            <w:r/>
            <w:r>
              <w:rPr>
                <w:rFonts w:ascii="Calibri" w:hAnsi="Calibri"/>
                <w:b w:val="0"/>
                <w:i w:val="0"/>
                <w:color w:val="101828"/>
                <w:sz w:val="16"/>
              </w:rPr>
              <w:t>Blocking for launch</w:t>
            </w:r>
          </w:p>
        </w:tc>
      </w:tr>
      <w:tr>
        <w:trPr>
          <w:cantSplit/>
        </w:trPr>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MFA for all staff with production access</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Required</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Blocking for launch</w:t>
            </w:r>
          </w:p>
        </w:tc>
      </w:tr>
      <w:tr>
        <w:trPr>
          <w:cantSplit/>
        </w:trPr>
        <w:tc>
          <w:tcPr>
            <w:tcW w:type="dxa" w:w="3312"/>
            <w:tcMar>
              <w:top w:w="60" w:type="dxa"/>
              <w:start w:w="110" w:type="dxa"/>
              <w:bottom w:w="60" w:type="dxa"/>
              <w:end w:w="110" w:type="dxa"/>
            </w:tcMar>
          </w:tcPr>
          <w:p>
            <w:pPr>
              <w:spacing w:after="0"/>
            </w:pPr>
            <w:r/>
            <w:r>
              <w:rPr>
                <w:rFonts w:ascii="Calibri" w:hAnsi="Calibri"/>
                <w:b w:val="0"/>
                <w:i w:val="0"/>
                <w:color w:val="101828"/>
                <w:sz w:val="16"/>
              </w:rPr>
              <w:t>Cooling-off on payout destination change</w:t>
            </w:r>
          </w:p>
        </w:tc>
        <w:tc>
          <w:tcPr>
            <w:tcW w:type="dxa" w:w="1728"/>
            <w:tcMar>
              <w:top w:w="60" w:type="dxa"/>
              <w:start w:w="110" w:type="dxa"/>
              <w:bottom w:w="60" w:type="dxa"/>
              <w:end w:w="110" w:type="dxa"/>
            </w:tcMar>
          </w:tcPr>
          <w:p>
            <w:pPr>
              <w:spacing w:after="0"/>
            </w:pPr>
            <w:r/>
            <w:r>
              <w:rPr>
                <w:rFonts w:ascii="Calibri" w:hAnsi="Calibri"/>
                <w:b w:val="0"/>
                <w:i w:val="0"/>
                <w:color w:val="101828"/>
                <w:sz w:val="16"/>
              </w:rPr>
              <w:t>Required</w:t>
            </w:r>
          </w:p>
        </w:tc>
        <w:tc>
          <w:tcPr>
            <w:tcW w:type="dxa" w:w="4320"/>
            <w:tcMar>
              <w:top w:w="60" w:type="dxa"/>
              <w:start w:w="110" w:type="dxa"/>
              <w:bottom w:w="60" w:type="dxa"/>
              <w:end w:w="110" w:type="dxa"/>
            </w:tcMar>
          </w:tcPr>
          <w:p>
            <w:pPr>
              <w:spacing w:after="0"/>
            </w:pPr>
            <w:r/>
            <w:r>
              <w:rPr>
                <w:rFonts w:ascii="Calibri" w:hAnsi="Calibri"/>
                <w:b w:val="0"/>
                <w:i w:val="0"/>
                <w:color w:val="101828"/>
                <w:sz w:val="16"/>
              </w:rPr>
              <w:t>Blocking for launch</w:t>
            </w:r>
          </w:p>
        </w:tc>
      </w:tr>
      <w:tr>
        <w:trPr>
          <w:cantSplit/>
        </w:trPr>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Independent penetration test</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Required</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Blocking for launch</w:t>
            </w:r>
          </w:p>
        </w:tc>
      </w:tr>
      <w:tr>
        <w:trPr>
          <w:cantSplit/>
        </w:trPr>
        <w:tc>
          <w:tcPr>
            <w:tcW w:type="dxa" w:w="3312"/>
            <w:tcMar>
              <w:top w:w="60" w:type="dxa"/>
              <w:start w:w="110" w:type="dxa"/>
              <w:bottom w:w="60" w:type="dxa"/>
              <w:end w:w="110" w:type="dxa"/>
            </w:tcMar>
          </w:tcPr>
          <w:p>
            <w:pPr>
              <w:spacing w:after="0"/>
            </w:pPr>
            <w:r/>
            <w:r>
              <w:rPr>
                <w:rFonts w:ascii="Calibri" w:hAnsi="Calibri"/>
                <w:b w:val="0"/>
                <w:i w:val="0"/>
                <w:color w:val="101828"/>
                <w:sz w:val="16"/>
              </w:rPr>
              <w:t>Documented breach response and notification path</w:t>
            </w:r>
          </w:p>
        </w:tc>
        <w:tc>
          <w:tcPr>
            <w:tcW w:type="dxa" w:w="1728"/>
            <w:tcMar>
              <w:top w:w="60" w:type="dxa"/>
              <w:start w:w="110" w:type="dxa"/>
              <w:bottom w:w="60" w:type="dxa"/>
              <w:end w:w="110" w:type="dxa"/>
            </w:tcMar>
          </w:tcPr>
          <w:p>
            <w:pPr>
              <w:spacing w:after="0"/>
            </w:pPr>
            <w:r/>
            <w:r>
              <w:rPr>
                <w:rFonts w:ascii="Calibri" w:hAnsi="Calibri"/>
                <w:b w:val="0"/>
                <w:i w:val="0"/>
                <w:color w:val="101828"/>
                <w:sz w:val="16"/>
              </w:rPr>
              <w:t>Required</w:t>
            </w:r>
          </w:p>
        </w:tc>
        <w:tc>
          <w:tcPr>
            <w:tcW w:type="dxa" w:w="4320"/>
            <w:tcMar>
              <w:top w:w="60" w:type="dxa"/>
              <w:start w:w="110" w:type="dxa"/>
              <w:bottom w:w="60" w:type="dxa"/>
              <w:end w:w="110" w:type="dxa"/>
            </w:tcMar>
          </w:tcPr>
          <w:p>
            <w:pPr>
              <w:spacing w:after="0"/>
            </w:pPr>
            <w:r/>
            <w:r>
              <w:rPr>
                <w:rFonts w:ascii="Calibri" w:hAnsi="Calibri"/>
                <w:b w:val="0"/>
                <w:i w:val="0"/>
                <w:color w:val="101828"/>
                <w:sz w:val="16"/>
              </w:rPr>
              <w:t>Blocking for launch</w:t>
            </w:r>
          </w:p>
        </w:tc>
      </w:tr>
      <w:tr>
        <w:trPr>
          <w:cantSplit/>
        </w:trPr>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Public privacy notice and cookie notice</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Required</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Blocking for launch</w:t>
            </w:r>
          </w:p>
        </w:tc>
      </w:tr>
      <w:tr>
        <w:trPr>
          <w:cantSplit/>
        </w:trPr>
        <w:tc>
          <w:tcPr>
            <w:tcW w:type="dxa" w:w="3312"/>
            <w:tcMar>
              <w:top w:w="60" w:type="dxa"/>
              <w:start w:w="110" w:type="dxa"/>
              <w:bottom w:w="60" w:type="dxa"/>
              <w:end w:w="110" w:type="dxa"/>
            </w:tcMar>
          </w:tcPr>
          <w:p>
            <w:pPr>
              <w:spacing w:after="0"/>
            </w:pPr>
            <w:r/>
            <w:r>
              <w:rPr>
                <w:rFonts w:ascii="Calibri" w:hAnsi="Calibri"/>
                <w:b w:val="0"/>
                <w:i w:val="0"/>
                <w:color w:val="101828"/>
                <w:sz w:val="16"/>
              </w:rPr>
              <w:t>Data subject request process</w:t>
            </w:r>
          </w:p>
        </w:tc>
        <w:tc>
          <w:tcPr>
            <w:tcW w:type="dxa" w:w="1728"/>
            <w:tcMar>
              <w:top w:w="60" w:type="dxa"/>
              <w:start w:w="110" w:type="dxa"/>
              <w:bottom w:w="60" w:type="dxa"/>
              <w:end w:w="110" w:type="dxa"/>
            </w:tcMar>
          </w:tcPr>
          <w:p>
            <w:pPr>
              <w:spacing w:after="0"/>
            </w:pPr>
            <w:r/>
            <w:r>
              <w:rPr>
                <w:rFonts w:ascii="Calibri" w:hAnsi="Calibri"/>
                <w:b w:val="0"/>
                <w:i w:val="0"/>
                <w:color w:val="101828"/>
                <w:sz w:val="16"/>
              </w:rPr>
              <w:t>Required</w:t>
            </w:r>
          </w:p>
        </w:tc>
        <w:tc>
          <w:tcPr>
            <w:tcW w:type="dxa" w:w="4320"/>
            <w:tcMar>
              <w:top w:w="60" w:type="dxa"/>
              <w:start w:w="110" w:type="dxa"/>
              <w:bottom w:w="60" w:type="dxa"/>
              <w:end w:w="110" w:type="dxa"/>
            </w:tcMar>
          </w:tcPr>
          <w:p>
            <w:pPr>
              <w:spacing w:after="0"/>
            </w:pPr>
            <w:r/>
            <w:r>
              <w:rPr>
                <w:rFonts w:ascii="Calibri" w:hAnsi="Calibri"/>
                <w:b w:val="0"/>
                <w:i w:val="0"/>
                <w:color w:val="101828"/>
                <w:sz w:val="16"/>
              </w:rPr>
              <w:t>Blocking for launch</w:t>
            </w:r>
          </w:p>
        </w:tc>
      </w:tr>
      <w:tr>
        <w:trPr>
          <w:cantSplit/>
        </w:trPr>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Data Processing Agreement with every processor</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Required</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Legal sign-off</w:t>
            </w:r>
          </w:p>
        </w:tc>
      </w:tr>
      <w:tr>
        <w:trPr>
          <w:cantSplit/>
        </w:trPr>
        <w:tc>
          <w:tcPr>
            <w:tcW w:type="dxa" w:w="3312"/>
            <w:tcMar>
              <w:top w:w="60" w:type="dxa"/>
              <w:start w:w="110" w:type="dxa"/>
              <w:bottom w:w="60" w:type="dxa"/>
              <w:end w:w="110" w:type="dxa"/>
            </w:tcMar>
          </w:tcPr>
          <w:p>
            <w:pPr>
              <w:spacing w:after="0"/>
            </w:pPr>
            <w:r/>
            <w:r>
              <w:rPr>
                <w:rFonts w:ascii="Calibri" w:hAnsi="Calibri"/>
                <w:b w:val="0"/>
                <w:i w:val="0"/>
                <w:color w:val="101828"/>
                <w:sz w:val="16"/>
              </w:rPr>
              <w:t>Formal retention schedule approved by counsel</w:t>
            </w:r>
          </w:p>
        </w:tc>
        <w:tc>
          <w:tcPr>
            <w:tcW w:type="dxa" w:w="1728"/>
            <w:tcMar>
              <w:top w:w="60" w:type="dxa"/>
              <w:start w:w="110" w:type="dxa"/>
              <w:bottom w:w="60" w:type="dxa"/>
              <w:end w:w="110" w:type="dxa"/>
            </w:tcMar>
          </w:tcPr>
          <w:p>
            <w:pPr>
              <w:spacing w:after="0"/>
            </w:pPr>
            <w:r/>
            <w:r>
              <w:rPr>
                <w:rFonts w:ascii="Calibri" w:hAnsi="Calibri"/>
                <w:b w:val="0"/>
                <w:i w:val="0"/>
                <w:color w:val="101828"/>
                <w:sz w:val="16"/>
              </w:rPr>
              <w:t>Required</w:t>
            </w:r>
          </w:p>
        </w:tc>
        <w:tc>
          <w:tcPr>
            <w:tcW w:type="dxa" w:w="4320"/>
            <w:tcMar>
              <w:top w:w="60" w:type="dxa"/>
              <w:start w:w="110" w:type="dxa"/>
              <w:bottom w:w="60" w:type="dxa"/>
              <w:end w:w="110" w:type="dxa"/>
            </w:tcMar>
          </w:tcPr>
          <w:p>
            <w:pPr>
              <w:spacing w:after="0"/>
            </w:pPr>
            <w:r/>
            <w:r>
              <w:rPr>
                <w:rFonts w:ascii="Calibri" w:hAnsi="Calibri"/>
                <w:b w:val="0"/>
                <w:i w:val="0"/>
                <w:color w:val="101828"/>
                <w:sz w:val="16"/>
              </w:rPr>
              <w:t>Legal sign-off</w:t>
            </w:r>
          </w:p>
        </w:tc>
      </w:tr>
      <w:tr>
        <w:trPr>
          <w:cantSplit/>
        </w:trPr>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Privacy policy and terms drafted by counsel</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Required</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Legal sign-off</w:t>
            </w:r>
          </w:p>
        </w:tc>
      </w:tr>
      <w:tr>
        <w:trPr>
          <w:cantSplit/>
        </w:trPr>
        <w:tc>
          <w:tcPr>
            <w:tcW w:type="dxa" w:w="3312"/>
            <w:tcMar>
              <w:top w:w="60" w:type="dxa"/>
              <w:start w:w="110" w:type="dxa"/>
              <w:bottom w:w="60" w:type="dxa"/>
              <w:end w:w="110" w:type="dxa"/>
            </w:tcMar>
          </w:tcPr>
          <w:p>
            <w:pPr>
              <w:spacing w:after="0"/>
            </w:pPr>
            <w:r/>
            <w:r>
              <w:rPr>
                <w:rFonts w:ascii="Calibri" w:hAnsi="Calibri"/>
                <w:b w:val="0"/>
                <w:i w:val="0"/>
                <w:color w:val="101828"/>
                <w:sz w:val="16"/>
              </w:rPr>
              <w:t>Security awareness training for staff</w:t>
            </w:r>
          </w:p>
        </w:tc>
        <w:tc>
          <w:tcPr>
            <w:tcW w:type="dxa" w:w="1728"/>
            <w:tcMar>
              <w:top w:w="60" w:type="dxa"/>
              <w:start w:w="110" w:type="dxa"/>
              <w:bottom w:w="60" w:type="dxa"/>
              <w:end w:w="110" w:type="dxa"/>
            </w:tcMar>
          </w:tcPr>
          <w:p>
            <w:pPr>
              <w:spacing w:after="0"/>
            </w:pPr>
            <w:r/>
            <w:r>
              <w:rPr>
                <w:rFonts w:ascii="Calibri" w:hAnsi="Calibri"/>
                <w:b w:val="0"/>
                <w:i w:val="0"/>
                <w:color w:val="101828"/>
                <w:sz w:val="16"/>
              </w:rPr>
              <w:t>Required</w:t>
            </w:r>
          </w:p>
        </w:tc>
        <w:tc>
          <w:tcPr>
            <w:tcW w:type="dxa" w:w="4320"/>
            <w:tcMar>
              <w:top w:w="60" w:type="dxa"/>
              <w:start w:w="110" w:type="dxa"/>
              <w:bottom w:w="60" w:type="dxa"/>
              <w:end w:w="110" w:type="dxa"/>
            </w:tcMar>
          </w:tcPr>
          <w:p>
            <w:pPr>
              <w:spacing w:after="0"/>
            </w:pPr>
            <w:r/>
            <w:r>
              <w:rPr>
                <w:rFonts w:ascii="Calibri" w:hAnsi="Calibri"/>
                <w:b w:val="0"/>
                <w:i w:val="0"/>
                <w:color w:val="101828"/>
                <w:sz w:val="16"/>
              </w:rPr>
              <w:t>Before launch</w:t>
            </w:r>
          </w:p>
        </w:tc>
      </w:tr>
      <w:tr>
        <w:trPr>
          <w:cantSplit/>
        </w:trPr>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Insurance (cyber, professional indemnity)</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Required</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Business decision</w:t>
            </w:r>
          </w:p>
        </w:tc>
      </w:tr>
    </w:tbl>
    <w:p>
      <w:pPr>
        <w:spacing w:after="80"/>
      </w:pPr>
    </w:p>
    <w:p>
      <w:pPr>
        <w:spacing w:before="140" w:after="180"/>
        <w:ind w:left="144"/>
        <w:shd w:val="clear" w:color="auto" w:fill="FEE2E2"/>
        <w:pBdr>
          <w:left w:val="single" w:sz="18" w:space="6" w:color="DC2626"/>
        </w:pBdr>
      </w:pPr>
      <w:r>
        <w:rPr>
          <w:rFonts w:ascii="Calibri" w:hAnsi="Calibri"/>
          <w:b/>
          <w:color w:val="DC2626"/>
          <w:sz w:val="19"/>
        </w:rPr>
        <w:t xml:space="preserve">Legal review is a launch gate.  </w:t>
      </w:r>
      <w:r>
        <w:rPr>
          <w:rFonts w:ascii="Calibri" w:hAnsi="Calibri"/>
          <w:b w:val="0"/>
          <w:i w:val="0"/>
          <w:color w:val="0B1F3A"/>
          <w:sz w:val="19"/>
        </w:rPr>
        <w:t xml:space="preserve">Nothing in this document constitutes legal advice, and no item here should be treated as a compliance determination. Before any real money moves, AJO.ng must obtain advice from </w:t>
      </w:r>
      <w:r>
        <w:rPr>
          <w:rFonts w:ascii="Calibri" w:hAnsi="Calibri"/>
          <w:b/>
          <w:color w:val="0B1F3A"/>
          <w:sz w:val="19"/>
        </w:rPr>
        <w:t>qualified Nigerian legal and compliance professionals</w:t>
      </w:r>
      <w:r>
        <w:rPr>
          <w:rFonts w:ascii="Calibri" w:hAnsi="Calibri"/>
          <w:b w:val="0"/>
          <w:i w:val="0"/>
          <w:color w:val="0B1F3A"/>
          <w:sz w:val="19"/>
        </w:rPr>
        <w:t xml:space="preserve"> on licensing and registration obligations, the treatment of member funds under the chosen payment arrangement, data protection compliance, consumer protection requirements, and the terms of the payment provider contract.</w:t>
      </w:r>
    </w:p>
    <w:p>
      <w:r>
        <w:br w:type="page"/>
      </w:r>
    </w:p>
    <w:p>
      <w:pPr>
        <w:pStyle w:val="Heading1"/>
        <w:pBdr>
          <w:bottom w:val="single" w:sz="12" w:space="6" w:color="146EF5"/>
        </w:pBdr>
        <w:spacing w:after="240"/>
      </w:pPr>
      <w:r>
        <w:rPr>
          <w:rFonts w:ascii="Calibri" w:hAnsi="Calibri"/>
          <w:b/>
          <w:i w:val="0"/>
          <w:color w:val="0B1F3A"/>
          <w:sz w:val="40"/>
        </w:rPr>
        <w:t>15. Fraud, Risk and Financial Crime</w:t>
      </w:r>
    </w:p>
    <w:p>
      <w:pPr>
        <w:spacing w:after="200"/>
      </w:pPr>
      <w:r>
        <w:rPr>
          <w:rFonts w:ascii="Calibri" w:hAnsi="Calibri"/>
          <w:b w:val="0"/>
          <w:i w:val="0"/>
          <w:color w:val="475467"/>
          <w:sz w:val="24"/>
        </w:rPr>
        <w:t>AJO.ng moves money between people who know each other, in small amounts, on a schedule, in a market where fraud is a daily commercial activity. The platform's job is not to eliminate fraud — no platform can — but to make it visible early, make it recoverable where possible, and never make a member pay twice for someone else's crime.</w:t>
      </w:r>
    </w:p>
    <w:p>
      <w:pPr>
        <w:pStyle w:val="Heading2"/>
      </w:pPr>
      <w:r>
        <w:rPr>
          <w:rFonts w:ascii="Calibri" w:hAnsi="Calibri"/>
          <w:b/>
          <w:i w:val="0"/>
          <w:color w:val="146EF5"/>
          <w:sz w:val="29"/>
        </w:rPr>
        <w:t>15.1 Risk philosophy</w:t>
      </w:r>
    </w:p>
    <w:p>
      <w:pPr>
        <w:pStyle w:val="ListNumber"/>
        <w:spacing w:after="60"/>
        <w:ind w:left="432"/>
      </w:pPr>
      <w:r>
        <w:rPr>
          <w:rFonts w:ascii="Calibri" w:hAnsi="Calibri"/>
          <w:b/>
          <w:color w:val="101828"/>
          <w:sz w:val="21"/>
        </w:rPr>
        <w:t>Fraud is an expected operating cost, not an exceptional event.</w:t>
      </w:r>
      <w:r>
        <w:rPr>
          <w:rFonts w:ascii="Calibri" w:hAnsi="Calibri"/>
          <w:b w:val="0"/>
          <w:i w:val="0"/>
          <w:color w:val="101828"/>
          <w:sz w:val="21"/>
        </w:rPr>
        <w:t xml:space="preserve"> It is modelled in the financials and staffed for, rather than treated as something that will not happen.</w:t>
      </w:r>
    </w:p>
    <w:p>
      <w:pPr>
        <w:pStyle w:val="ListNumber"/>
        <w:spacing w:after="60"/>
        <w:ind w:left="432"/>
      </w:pPr>
      <w:r>
        <w:rPr>
          <w:rFonts w:ascii="Calibri" w:hAnsi="Calibri"/>
          <w:b/>
          <w:color w:val="101828"/>
          <w:sz w:val="21"/>
        </w:rPr>
        <w:t>Protect the member first.</w:t>
      </w:r>
      <w:r>
        <w:rPr>
          <w:rFonts w:ascii="Calibri" w:hAnsi="Calibri"/>
          <w:b w:val="0"/>
          <w:i w:val="0"/>
          <w:color w:val="101828"/>
          <w:sz w:val="21"/>
        </w:rPr>
        <w:t xml:space="preserve"> A member who is a victim of fraud should be believed, compensated where the platform is at fault, and supported through the process.</w:t>
      </w:r>
    </w:p>
    <w:p>
      <w:pPr>
        <w:pStyle w:val="ListNumber"/>
        <w:spacing w:after="60"/>
        <w:ind w:left="432"/>
      </w:pPr>
      <w:r>
        <w:rPr>
          <w:rFonts w:ascii="Calibri" w:hAnsi="Calibri"/>
          <w:b/>
          <w:color w:val="101828"/>
          <w:sz w:val="21"/>
        </w:rPr>
        <w:t>Never lose a member's money to fraud prevention.</w:t>
      </w:r>
      <w:r>
        <w:rPr>
          <w:rFonts w:ascii="Calibri" w:hAnsi="Calibri"/>
          <w:b w:val="0"/>
          <w:i w:val="0"/>
          <w:color w:val="101828"/>
          <w:sz w:val="21"/>
        </w:rPr>
        <w:t xml:space="preserve"> A false positive that freezes a legitimate payout is a real cost to a real person, and it damages trust more than a single missed fraud.</w:t>
      </w:r>
    </w:p>
    <w:p>
      <w:pPr>
        <w:pStyle w:val="ListNumber"/>
        <w:spacing w:after="60"/>
        <w:ind w:left="432"/>
      </w:pPr>
      <w:r>
        <w:rPr>
          <w:rFonts w:ascii="Calibri" w:hAnsi="Calibri"/>
          <w:b/>
          <w:color w:val="101828"/>
          <w:sz w:val="21"/>
        </w:rPr>
        <w:t>No single signal convicts.</w:t>
      </w:r>
      <w:r>
        <w:rPr>
          <w:rFonts w:ascii="Calibri" w:hAnsi="Calibri"/>
          <w:b w:val="0"/>
          <w:i w:val="0"/>
          <w:color w:val="101828"/>
          <w:sz w:val="21"/>
        </w:rPr>
        <w:t xml:space="preserve"> Risk scoring informs human decisions; it never autonomously confiscates money or closes an account without a reviewable record.</w:t>
      </w:r>
    </w:p>
    <w:p>
      <w:pPr>
        <w:pStyle w:val="ListNumber"/>
        <w:spacing w:after="60"/>
        <w:ind w:left="432"/>
      </w:pPr>
      <w:r>
        <w:rPr>
          <w:rFonts w:ascii="Calibri" w:hAnsi="Calibri"/>
          <w:b/>
          <w:color w:val="101828"/>
          <w:sz w:val="21"/>
        </w:rPr>
        <w:t>Speed matters.</w:t>
      </w:r>
      <w:r>
        <w:rPr>
          <w:rFonts w:ascii="Calibri" w:hAnsi="Calibri"/>
          <w:b w:val="0"/>
          <w:i w:val="0"/>
          <w:color w:val="101828"/>
          <w:sz w:val="21"/>
        </w:rPr>
        <w:t xml:space="preserve"> Most fraud is recoverable in the first hours. Controls that add friction to legitimate members, in order to catch a rare case, are a bad trade.</w:t>
      </w:r>
    </w:p>
    <w:p>
      <w:pPr>
        <w:pStyle w:val="ListNumber"/>
        <w:spacing w:after="60"/>
        <w:ind w:left="432"/>
      </w:pPr>
      <w:r>
        <w:rPr>
          <w:rFonts w:ascii="Calibri" w:hAnsi="Calibri"/>
          <w:b/>
          <w:color w:val="101828"/>
          <w:sz w:val="21"/>
        </w:rPr>
        <w:t>Every action is explainable.</w:t>
      </w:r>
      <w:r>
        <w:rPr>
          <w:rFonts w:ascii="Calibri" w:hAnsi="Calibri"/>
          <w:b w:val="0"/>
          <w:i w:val="0"/>
          <w:color w:val="101828"/>
          <w:sz w:val="21"/>
        </w:rPr>
        <w:t xml:space="preserve"> When a payment is held, the reason is recorded in plain language, and a member can ask and get an answer.</w:t>
      </w:r>
    </w:p>
    <w:p>
      <w:pPr>
        <w:spacing w:before="140" w:after="180"/>
        <w:ind w:left="144"/>
        <w:shd w:val="clear" w:color="auto" w:fill="EFF6FF"/>
        <w:pBdr>
          <w:left w:val="single" w:sz="18" w:space="6" w:color="146EF5"/>
        </w:pBdr>
      </w:pPr>
      <w:r>
        <w:rPr>
          <w:rFonts w:ascii="Calibri" w:hAnsi="Calibri"/>
          <w:b/>
          <w:color w:val="146EF5"/>
          <w:sz w:val="19"/>
        </w:rPr>
        <w:t xml:space="preserve">The uncomfortable truth about false positives.  </w:t>
      </w:r>
      <w:r>
        <w:rPr>
          <w:rFonts w:ascii="Calibri" w:hAnsi="Calibri"/>
          <w:b w:val="0"/>
          <w:i w:val="0"/>
          <w:color w:val="0B1F3A"/>
          <w:sz w:val="19"/>
        </w:rPr>
        <w:t>Every fraud control has a cost paid by honest members. A cooling-off period annoys someone who legitimately changed banks. A payout hold angers someone who did nothing wrong. The discipline is to keep the total friction proportionate to the actual fraud rate, to measure the false-positive rate, and to remove controls that are not earning their cost.</w:t>
      </w:r>
    </w:p>
    <w:p>
      <w:pPr>
        <w:pStyle w:val="Heading2"/>
      </w:pPr>
      <w:r>
        <w:rPr>
          <w:rFonts w:ascii="Calibri" w:hAnsi="Calibri"/>
          <w:b/>
          <w:i w:val="0"/>
          <w:color w:val="146EF5"/>
          <w:sz w:val="29"/>
        </w:rPr>
        <w:t>15.2 Fraud typology relevant to AJO.ng</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5"/>
              </w:rPr>
              <w:t>Type</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5"/>
              </w:rPr>
              <w:t>Mechanism</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5"/>
              </w:rPr>
              <w:t>AJO-specific angle</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5"/>
              </w:rPr>
              <w:t>Primary defence</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Payout redirection / BEC</w:t>
            </w:r>
          </w:p>
        </w:tc>
        <w:tc>
          <w:tcPr>
            <w:tcW w:type="dxa" w:w="2736"/>
            <w:tcMar>
              <w:top w:w="60" w:type="dxa"/>
              <w:start w:w="110" w:type="dxa"/>
              <w:bottom w:w="60" w:type="dxa"/>
              <w:end w:w="110" w:type="dxa"/>
            </w:tcMar>
          </w:tcPr>
          <w:p>
            <w:pPr>
              <w:spacing w:after="0"/>
            </w:pPr>
            <w:r/>
            <w:r>
              <w:rPr>
                <w:rFonts w:ascii="Calibri" w:hAnsi="Calibri"/>
                <w:b w:val="0"/>
                <w:i w:val="0"/>
                <w:color w:val="101828"/>
                <w:sz w:val="15"/>
              </w:rPr>
              <w:t>Account takeover, then a bank-account change before the next payout</w:t>
            </w:r>
          </w:p>
        </w:tc>
        <w:tc>
          <w:tcPr>
            <w:tcW w:type="dxa" w:w="2736"/>
            <w:tcMar>
              <w:top w:w="60" w:type="dxa"/>
              <w:start w:w="110" w:type="dxa"/>
              <w:bottom w:w="60" w:type="dxa"/>
              <w:end w:w="110" w:type="dxa"/>
            </w:tcMar>
          </w:tcPr>
          <w:p>
            <w:pPr>
              <w:spacing w:after="0"/>
            </w:pPr>
            <w:r/>
            <w:r>
              <w:rPr>
                <w:rFonts w:ascii="Calibri" w:hAnsi="Calibri"/>
                <w:b/>
                <w:color w:val="101828"/>
                <w:sz w:val="15"/>
              </w:rPr>
              <w:t>The highest-value attack.</w:t>
            </w:r>
            <w:r>
              <w:rPr>
                <w:rFonts w:ascii="Calibri" w:hAnsi="Calibri"/>
                <w:b w:val="0"/>
                <w:i w:val="0"/>
                <w:color w:val="101828"/>
                <w:sz w:val="15"/>
              </w:rPr>
              <w:t xml:space="preserve"> A predictable, dated payout is a standing target</w:t>
            </w:r>
          </w:p>
        </w:tc>
        <w:tc>
          <w:tcPr>
            <w:tcW w:type="dxa" w:w="2304"/>
            <w:tcMar>
              <w:top w:w="60" w:type="dxa"/>
              <w:start w:w="110" w:type="dxa"/>
              <w:bottom w:w="60" w:type="dxa"/>
              <w:end w:w="110" w:type="dxa"/>
            </w:tcMar>
          </w:tcPr>
          <w:p>
            <w:pPr>
              <w:spacing w:after="0"/>
            </w:pPr>
            <w:r/>
            <w:r>
              <w:rPr>
                <w:rFonts w:ascii="Calibri" w:hAnsi="Calibri"/>
                <w:b w:val="0"/>
                <w:i w:val="0"/>
                <w:color w:val="101828"/>
                <w:sz w:val="15"/>
              </w:rPr>
              <w:t>Cooling-off on destination change, multi-channel notification, step-up auth</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First-party abuse</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Member makes a genuine contribution, then disputes it as unauthorised</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Ajo membership makes a plausible story easy to construct</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Strong webhook evidence, transaction history, dispute analysis</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Duplicate / replay payment</w:t>
            </w:r>
          </w:p>
        </w:tc>
        <w:tc>
          <w:tcPr>
            <w:tcW w:type="dxa" w:w="2736"/>
            <w:tcMar>
              <w:top w:w="60" w:type="dxa"/>
              <w:start w:w="110" w:type="dxa"/>
              <w:bottom w:w="60" w:type="dxa"/>
              <w:end w:w="110" w:type="dxa"/>
            </w:tcMar>
          </w:tcPr>
          <w:p>
            <w:pPr>
              <w:spacing w:after="0"/>
            </w:pPr>
            <w:r/>
            <w:r>
              <w:rPr>
                <w:rFonts w:ascii="Calibri" w:hAnsi="Calibri"/>
                <w:b w:val="0"/>
                <w:i w:val="0"/>
                <w:color w:val="101828"/>
                <w:sz w:val="15"/>
              </w:rPr>
              <w:t>Replaying a captured webhook or a transfer reference</w:t>
            </w:r>
          </w:p>
        </w:tc>
        <w:tc>
          <w:tcPr>
            <w:tcW w:type="dxa" w:w="2736"/>
            <w:tcMar>
              <w:top w:w="60" w:type="dxa"/>
              <w:start w:w="110" w:type="dxa"/>
              <w:bottom w:w="60" w:type="dxa"/>
              <w:end w:w="110" w:type="dxa"/>
            </w:tcMar>
          </w:tcPr>
          <w:p>
            <w:pPr>
              <w:spacing w:after="0"/>
            </w:pPr>
            <w:r/>
            <w:r>
              <w:rPr>
                <w:rFonts w:ascii="Calibri" w:hAnsi="Calibri"/>
                <w:b w:val="0"/>
                <w:i w:val="0"/>
                <w:color w:val="101828"/>
                <w:sz w:val="15"/>
              </w:rPr>
              <w:t>Recurring payments make a valid reference reusable</w:t>
            </w:r>
          </w:p>
        </w:tc>
        <w:tc>
          <w:tcPr>
            <w:tcW w:type="dxa" w:w="2304"/>
            <w:tcMar>
              <w:top w:w="60" w:type="dxa"/>
              <w:start w:w="110" w:type="dxa"/>
              <w:bottom w:w="60" w:type="dxa"/>
              <w:end w:w="110" w:type="dxa"/>
            </w:tcMar>
          </w:tcPr>
          <w:p>
            <w:pPr>
              <w:spacing w:after="0"/>
            </w:pPr>
            <w:r/>
            <w:r>
              <w:rPr>
                <w:rFonts w:ascii="Calibri" w:hAnsi="Calibri"/>
                <w:b w:val="0"/>
                <w:i w:val="0"/>
                <w:color w:val="101828"/>
                <w:sz w:val="15"/>
              </w:rPr>
              <w:t>Unique provider event IDs, unique reference constraints, idempotency keys</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Fake support / social engineering</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Impersonating AJO.ng staff on WhatsApp or by phone to move a member's money or BVN</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Members are primed to trust group authority</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AJO.ng will never move money or request BVN by chat. Staff identity is verifiable in-app</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Organizer abuse</w:t>
            </w:r>
          </w:p>
        </w:tc>
        <w:tc>
          <w:tcPr>
            <w:tcW w:type="dxa" w:w="2736"/>
            <w:tcMar>
              <w:top w:w="60" w:type="dxa"/>
              <w:start w:w="110" w:type="dxa"/>
              <w:bottom w:w="60" w:type="dxa"/>
              <w:end w:w="110" w:type="dxa"/>
            </w:tcMar>
          </w:tcPr>
          <w:p>
            <w:pPr>
              <w:spacing w:after="0"/>
            </w:pPr>
            <w:r/>
            <w:r>
              <w:rPr>
                <w:rFonts w:ascii="Calibri" w:hAnsi="Calibri"/>
                <w:b w:val="0"/>
                <w:i w:val="0"/>
                <w:color w:val="101828"/>
                <w:sz w:val="15"/>
              </w:rPr>
              <w:t>Misleading members, using the group to solicit off-platform payments, or excluding members</w:t>
            </w:r>
          </w:p>
        </w:tc>
        <w:tc>
          <w:tcPr>
            <w:tcW w:type="dxa" w:w="2736"/>
            <w:tcMar>
              <w:top w:w="60" w:type="dxa"/>
              <w:start w:w="110" w:type="dxa"/>
              <w:bottom w:w="60" w:type="dxa"/>
              <w:end w:w="110" w:type="dxa"/>
            </w:tcMar>
          </w:tcPr>
          <w:p>
            <w:pPr>
              <w:spacing w:after="0"/>
            </w:pPr>
            <w:r/>
            <w:r>
              <w:rPr>
                <w:rFonts w:ascii="Calibri" w:hAnsi="Calibri"/>
                <w:b w:val="0"/>
                <w:i w:val="0"/>
                <w:color w:val="101828"/>
                <w:sz w:val="15"/>
              </w:rPr>
              <w:t>The organizer is a trusted human with real influence</w:t>
            </w:r>
          </w:p>
        </w:tc>
        <w:tc>
          <w:tcPr>
            <w:tcW w:type="dxa" w:w="2304"/>
            <w:tcMar>
              <w:top w:w="60" w:type="dxa"/>
              <w:start w:w="110" w:type="dxa"/>
              <w:bottom w:w="60" w:type="dxa"/>
              <w:end w:w="110" w:type="dxa"/>
            </w:tcMar>
          </w:tcPr>
          <w:p>
            <w:pPr>
              <w:spacing w:after="0"/>
            </w:pPr>
            <w:r/>
            <w:r>
              <w:rPr>
                <w:rFonts w:ascii="Calibri" w:hAnsi="Calibri"/>
                <w:b w:val="0"/>
                <w:i w:val="0"/>
                <w:color w:val="101828"/>
                <w:sz w:val="15"/>
              </w:rPr>
              <w:t>Scoped permissions, no custody, member complaints channel, audit trail</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Money mule recruitment</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Using member accounts to receive and forward funds, often for a 'fee'</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Savings accounts plus transfers make a mule account look normal</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Behavioural signals, velocity limits, off-platform solicitation detection, SAR escalation</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Structuring / smurfing</w:t>
            </w:r>
          </w:p>
        </w:tc>
        <w:tc>
          <w:tcPr>
            <w:tcW w:type="dxa" w:w="2736"/>
            <w:tcMar>
              <w:top w:w="60" w:type="dxa"/>
              <w:start w:w="110" w:type="dxa"/>
              <w:bottom w:w="60" w:type="dxa"/>
              <w:end w:w="110" w:type="dxa"/>
            </w:tcMar>
          </w:tcPr>
          <w:p>
            <w:pPr>
              <w:spacing w:after="0"/>
            </w:pPr>
            <w:r/>
            <w:r>
              <w:rPr>
                <w:rFonts w:ascii="Calibri" w:hAnsi="Calibri"/>
                <w:b w:val="0"/>
                <w:i w:val="0"/>
                <w:color w:val="101828"/>
                <w:sz w:val="15"/>
              </w:rPr>
              <w:t>Many small contributions to keep below a reporting threshold</w:t>
            </w:r>
          </w:p>
        </w:tc>
        <w:tc>
          <w:tcPr>
            <w:tcW w:type="dxa" w:w="2736"/>
            <w:tcMar>
              <w:top w:w="60" w:type="dxa"/>
              <w:start w:w="110" w:type="dxa"/>
              <w:bottom w:w="60" w:type="dxa"/>
              <w:end w:w="110" w:type="dxa"/>
            </w:tcMar>
          </w:tcPr>
          <w:p>
            <w:pPr>
              <w:spacing w:after="0"/>
            </w:pPr>
            <w:r/>
            <w:r>
              <w:rPr>
                <w:rFonts w:ascii="Calibri" w:hAnsi="Calibri"/>
                <w:b w:val="0"/>
                <w:i w:val="0"/>
                <w:color w:val="101828"/>
                <w:sz w:val="15"/>
              </w:rPr>
              <w:t>Small, regular contributions are the product's core behaviour</w:t>
            </w:r>
          </w:p>
        </w:tc>
        <w:tc>
          <w:tcPr>
            <w:tcW w:type="dxa" w:w="2304"/>
            <w:tcMar>
              <w:top w:w="60" w:type="dxa"/>
              <w:start w:w="110" w:type="dxa"/>
              <w:bottom w:w="60" w:type="dxa"/>
              <w:end w:w="110" w:type="dxa"/>
            </w:tcMar>
          </w:tcPr>
          <w:p>
            <w:pPr>
              <w:spacing w:after="0"/>
            </w:pPr>
            <w:r/>
            <w:r>
              <w:rPr>
                <w:rFonts w:ascii="Calibri" w:hAnsi="Calibri"/>
                <w:b w:val="0"/>
                <w:i w:val="0"/>
                <w:color w:val="101828"/>
                <w:sz w:val="15"/>
              </w:rPr>
              <w:t>Aggregate transaction monitoring across accounts, not just per-transaction</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Account farming</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Bulk creation of accounts with disposable numbers to farm cashback, inflate Ajo counts, or stage fraud</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Invitation-only onboarding raises the cost of this</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Device and phone uniqueness, invite-code validity, behavioural scoring</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Identity theft</w:t>
            </w:r>
          </w:p>
        </w:tc>
        <w:tc>
          <w:tcPr>
            <w:tcW w:type="dxa" w:w="2736"/>
            <w:tcMar>
              <w:top w:w="60" w:type="dxa"/>
              <w:start w:w="110" w:type="dxa"/>
              <w:bottom w:w="60" w:type="dxa"/>
              <w:end w:w="110" w:type="dxa"/>
            </w:tcMar>
          </w:tcPr>
          <w:p>
            <w:pPr>
              <w:spacing w:after="0"/>
            </w:pPr>
            <w:r/>
            <w:r>
              <w:rPr>
                <w:rFonts w:ascii="Calibri" w:hAnsi="Calibri"/>
                <w:b w:val="0"/>
                <w:i w:val="0"/>
                <w:color w:val="101828"/>
                <w:sz w:val="15"/>
              </w:rPr>
              <w:t>Using another person's identity to open an account or pass KYC</w:t>
            </w:r>
          </w:p>
        </w:tc>
        <w:tc>
          <w:tcPr>
            <w:tcW w:type="dxa" w:w="2736"/>
            <w:tcMar>
              <w:top w:w="60" w:type="dxa"/>
              <w:start w:w="110" w:type="dxa"/>
              <w:bottom w:w="60" w:type="dxa"/>
              <w:end w:w="110" w:type="dxa"/>
            </w:tcMar>
          </w:tcPr>
          <w:p>
            <w:pPr>
              <w:spacing w:after="0"/>
            </w:pPr>
            <w:r/>
            <w:r>
              <w:rPr>
                <w:rFonts w:ascii="Calibri" w:hAnsi="Calibri"/>
                <w:b w:val="0"/>
                <w:i w:val="0"/>
                <w:color w:val="101828"/>
                <w:sz w:val="15"/>
              </w:rPr>
              <w:t>BVN-based KYC raises both detection and harm</w:t>
            </w:r>
          </w:p>
        </w:tc>
        <w:tc>
          <w:tcPr>
            <w:tcW w:type="dxa" w:w="2304"/>
            <w:tcMar>
              <w:top w:w="60" w:type="dxa"/>
              <w:start w:w="110" w:type="dxa"/>
              <w:bottom w:w="60" w:type="dxa"/>
              <w:end w:w="110" w:type="dxa"/>
            </w:tcMar>
          </w:tcPr>
          <w:p>
            <w:pPr>
              <w:spacing w:after="0"/>
            </w:pPr>
            <w:r/>
            <w:r>
              <w:rPr>
                <w:rFonts w:ascii="Calibri" w:hAnsi="Calibri"/>
                <w:b w:val="0"/>
                <w:i w:val="0"/>
                <w:color w:val="101828"/>
                <w:sz w:val="15"/>
              </w:rPr>
              <w:t>BVN verification, liveness where required, device fingerprinting, manual review on mismatch</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Chargeback abuse</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Legitimate contribution disputed at the card issuer as fraud</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Contributions recur, which looks like a subscription to issuers</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5"/>
              </w:rPr>
              <w:t>Clear descriptors, evidence packs for issuers, velocity limits</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Referral / reward manipulation</w:t>
            </w:r>
          </w:p>
        </w:tc>
        <w:tc>
          <w:tcPr>
            <w:tcW w:type="dxa" w:w="2736"/>
            <w:tcMar>
              <w:top w:w="60" w:type="dxa"/>
              <w:start w:w="110" w:type="dxa"/>
              <w:bottom w:w="60" w:type="dxa"/>
              <w:end w:w="110" w:type="dxa"/>
            </w:tcMar>
          </w:tcPr>
          <w:p>
            <w:pPr>
              <w:spacing w:after="0"/>
            </w:pPr>
            <w:r/>
            <w:r>
              <w:rPr>
                <w:rFonts w:ascii="Calibri" w:hAnsi="Calibri"/>
                <w:b w:val="0"/>
                <w:i w:val="0"/>
                <w:color w:val="101828"/>
                <w:sz w:val="15"/>
              </w:rPr>
              <w:t>Self-referral chains to inflate bonuses</w:t>
            </w:r>
          </w:p>
        </w:tc>
        <w:tc>
          <w:tcPr>
            <w:tcW w:type="dxa" w:w="2736"/>
            <w:tcMar>
              <w:top w:w="60" w:type="dxa"/>
              <w:start w:w="110" w:type="dxa"/>
              <w:bottom w:w="60" w:type="dxa"/>
              <w:end w:w="110" w:type="dxa"/>
            </w:tcMar>
          </w:tcPr>
          <w:p>
            <w:pPr>
              <w:spacing w:after="0"/>
            </w:pPr>
            <w:r/>
            <w:r>
              <w:rPr>
                <w:rFonts w:ascii="Calibri" w:hAnsi="Calibri"/>
                <w:b w:val="0"/>
                <w:i w:val="0"/>
                <w:color w:val="101828"/>
                <w:sz w:val="15"/>
              </w:rPr>
              <w:t>Referral bonuses are a natural target</w:t>
            </w:r>
          </w:p>
        </w:tc>
        <w:tc>
          <w:tcPr>
            <w:tcW w:type="dxa" w:w="2304"/>
            <w:tcMar>
              <w:top w:w="60" w:type="dxa"/>
              <w:start w:w="110" w:type="dxa"/>
              <w:bottom w:w="60" w:type="dxa"/>
              <w:end w:w="110" w:type="dxa"/>
            </w:tcMar>
          </w:tcPr>
          <w:p>
            <w:pPr>
              <w:spacing w:after="0"/>
            </w:pPr>
            <w:r/>
            <w:r>
              <w:rPr>
                <w:rFonts w:ascii="Calibri" w:hAnsi="Calibri"/>
                <w:b w:val="0"/>
                <w:i w:val="0"/>
                <w:color w:val="101828"/>
                <w:sz w:val="15"/>
              </w:rPr>
              <w:t>KYC-gated rewards, graph analysis, no reward until the referred member completes a cycle</w:t>
            </w:r>
          </w:p>
        </w:tc>
      </w:tr>
    </w:tbl>
    <w:p>
      <w:pPr>
        <w:spacing w:after="80"/>
      </w:pPr>
    </w:p>
    <w:p>
      <w:pPr>
        <w:spacing w:before="140" w:after="180"/>
        <w:ind w:left="144"/>
        <w:shd w:val="clear" w:color="auto" w:fill="FEF3C7"/>
        <w:pBdr>
          <w:left w:val="single" w:sz="18" w:space="6" w:color="FBBF24"/>
        </w:pBdr>
      </w:pPr>
      <w:r>
        <w:rPr>
          <w:rFonts w:ascii="Calibri" w:hAnsi="Calibri"/>
          <w:b/>
          <w:color w:val="FBBF24"/>
          <w:sz w:val="19"/>
        </w:rPr>
        <w:t xml:space="preserve">The predictable-payout problem.  </w:t>
      </w:r>
      <w:r>
        <w:rPr>
          <w:rFonts w:ascii="Calibri" w:hAnsi="Calibri"/>
          <w:b w:val="0"/>
          <w:i w:val="0"/>
          <w:color w:val="0B1F3A"/>
          <w:sz w:val="19"/>
        </w:rPr>
        <w:t>Ajo.ng knows the amount, the date, the recipient, and the destination account weeks before the money moves. That predictability is what makes AJO.ng structurally more attackable than a normal wallet, and it is the single most important fact in this section. Every control that protects the payout window is worth more than a generic anti-fraud rule.</w:t>
      </w:r>
    </w:p>
    <w:p>
      <w:pPr>
        <w:pStyle w:val="Heading2"/>
      </w:pPr>
      <w:r>
        <w:rPr>
          <w:rFonts w:ascii="Calibri" w:hAnsi="Calibri"/>
          <w:b/>
          <w:i w:val="0"/>
          <w:color w:val="146EF5"/>
          <w:sz w:val="29"/>
        </w:rPr>
        <w:t>15.3 Risk engine</w:t>
      </w:r>
    </w:p>
    <w:p>
      <w:r>
        <w:rPr>
          <w:rFonts w:ascii="Calibri" w:hAnsi="Calibri"/>
          <w:b w:val="0"/>
          <w:i w:val="0"/>
          <w:color w:val="101828"/>
          <w:sz w:val="21"/>
        </w:rPr>
        <w:t>The risk engine scores a transaction or an account at decision points. It is deliberately interpretable: a score with a stated reason is auditable and can be explained to a member, and a black-box score cannot be defended to a regulator or a customer.</w:t>
      </w:r>
    </w:p>
    <w:p>
      <w:pPr>
        <w:pStyle w:val="Heading3"/>
      </w:pPr>
      <w:r>
        <w:rPr>
          <w:rFonts w:ascii="Calibri" w:hAnsi="Calibri"/>
          <w:b/>
          <w:i w:val="0"/>
          <w:color w:val="0B1F3A"/>
          <w:sz w:val="24"/>
        </w:rPr>
        <w:t>15.3.1 Signals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Signal</w:t>
            </w:r>
          </w:p>
        </w:tc>
        <w:tc>
          <w:tcPr>
            <w:tcW w:type="dxa" w:w="5184"/>
            <w:shd w:val="clear" w:color="auto" w:fill="0B1F3A"/>
            <w:tcMar>
              <w:top w:w="60" w:type="dxa"/>
              <w:start w:w="110" w:type="dxa"/>
              <w:bottom w:w="60" w:type="dxa"/>
              <w:end w:w="110" w:type="dxa"/>
            </w:tcMar>
          </w:tcPr>
          <w:p>
            <w:pPr>
              <w:spacing w:after="0"/>
            </w:pPr>
            <w:r/>
            <w:r>
              <w:rPr>
                <w:rFonts w:ascii="Calibri" w:hAnsi="Calibri"/>
                <w:b/>
                <w:i w:val="0"/>
                <w:color w:val="FFFFFF"/>
                <w:sz w:val="16"/>
              </w:rPr>
              <w:t>Example</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Direction</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Account age</w:t>
            </w:r>
          </w:p>
        </w:tc>
        <w:tc>
          <w:tcPr>
            <w:tcW w:type="dxa" w:w="5184"/>
            <w:tcMar>
              <w:top w:w="60" w:type="dxa"/>
              <w:start w:w="110" w:type="dxa"/>
              <w:bottom w:w="60" w:type="dxa"/>
              <w:end w:w="110" w:type="dxa"/>
            </w:tcMar>
          </w:tcPr>
          <w:p>
            <w:pPr>
              <w:spacing w:after="0"/>
            </w:pPr>
            <w:r/>
            <w:r>
              <w:rPr>
                <w:rFonts w:ascii="Calibri" w:hAnsi="Calibri"/>
                <w:b w:val="0"/>
                <w:i w:val="0"/>
                <w:color w:val="101828"/>
                <w:sz w:val="16"/>
              </w:rPr>
              <w:t>Account younger than 30 days making a large first contribution</w:t>
            </w:r>
          </w:p>
        </w:tc>
        <w:tc>
          <w:tcPr>
            <w:tcW w:type="dxa" w:w="2016"/>
            <w:tcMar>
              <w:top w:w="60" w:type="dxa"/>
              <w:start w:w="110" w:type="dxa"/>
              <w:bottom w:w="60" w:type="dxa"/>
              <w:end w:w="110" w:type="dxa"/>
            </w:tcMar>
          </w:tcPr>
          <w:p>
            <w:pPr>
              <w:spacing w:after="0"/>
            </w:pPr>
            <w:r/>
            <w:r>
              <w:rPr>
                <w:rFonts w:ascii="Calibri" w:hAnsi="Calibri"/>
                <w:b w:val="0"/>
                <w:i w:val="0"/>
                <w:color w:val="101828"/>
                <w:sz w:val="16"/>
              </w:rPr>
              <w:t>↑ risk</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Velocity</w:t>
            </w:r>
          </w:p>
        </w:tc>
        <w:tc>
          <w:tcPr>
            <w:tcW w:type="dxa" w:w="5184"/>
            <w:tcMar>
              <w:top w:w="60" w:type="dxa"/>
              <w:start w:w="110" w:type="dxa"/>
              <w:bottom w:w="60" w:type="dxa"/>
              <w:end w:w="110" w:type="dxa"/>
            </w:tcMar>
            <w:shd w:val="clear" w:color="auto" w:fill="F4F7FB"/>
          </w:tcPr>
          <w:p>
            <w:pPr>
              <w:spacing w:after="0"/>
            </w:pPr>
            <w:r/>
            <w:r>
              <w:rPr>
                <w:rFonts w:ascii="Calibri" w:hAnsi="Calibri"/>
                <w:b w:val="0"/>
                <w:i w:val="0"/>
                <w:color w:val="101828"/>
                <w:sz w:val="16"/>
              </w:rPr>
              <w:t>Many contributions in a short window; many new Ajos per day</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 risk</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Amount anomaly</w:t>
            </w:r>
          </w:p>
        </w:tc>
        <w:tc>
          <w:tcPr>
            <w:tcW w:type="dxa" w:w="5184"/>
            <w:tcMar>
              <w:top w:w="60" w:type="dxa"/>
              <w:start w:w="110" w:type="dxa"/>
              <w:bottom w:w="60" w:type="dxa"/>
              <w:end w:w="110" w:type="dxa"/>
            </w:tcMar>
          </w:tcPr>
          <w:p>
            <w:pPr>
              <w:spacing w:after="0"/>
            </w:pPr>
            <w:r/>
            <w:r>
              <w:rPr>
                <w:rFonts w:ascii="Calibri" w:hAnsi="Calibri"/>
                <w:b w:val="0"/>
                <w:i w:val="0"/>
                <w:color w:val="101828"/>
                <w:sz w:val="16"/>
              </w:rPr>
              <w:t>Contribution far above the member's own history or the Ajo's agreed amount</w:t>
            </w:r>
          </w:p>
        </w:tc>
        <w:tc>
          <w:tcPr>
            <w:tcW w:type="dxa" w:w="2016"/>
            <w:tcMar>
              <w:top w:w="60" w:type="dxa"/>
              <w:start w:w="110" w:type="dxa"/>
              <w:bottom w:w="60" w:type="dxa"/>
              <w:end w:w="110" w:type="dxa"/>
            </w:tcMar>
          </w:tcPr>
          <w:p>
            <w:pPr>
              <w:spacing w:after="0"/>
            </w:pPr>
            <w:r/>
            <w:r>
              <w:rPr>
                <w:rFonts w:ascii="Calibri" w:hAnsi="Calibri"/>
                <w:b w:val="0"/>
                <w:i w:val="0"/>
                <w:color w:val="101828"/>
                <w:sz w:val="16"/>
              </w:rPr>
              <w:t>↑ risk</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Device</w:t>
            </w:r>
          </w:p>
        </w:tc>
        <w:tc>
          <w:tcPr>
            <w:tcW w:type="dxa" w:w="5184"/>
            <w:tcMar>
              <w:top w:w="60" w:type="dxa"/>
              <w:start w:w="110" w:type="dxa"/>
              <w:bottom w:w="60" w:type="dxa"/>
              <w:end w:w="110" w:type="dxa"/>
            </w:tcMar>
            <w:shd w:val="clear" w:color="auto" w:fill="F4F7FB"/>
          </w:tcPr>
          <w:p>
            <w:pPr>
              <w:spacing w:after="0"/>
            </w:pPr>
            <w:r/>
            <w:r>
              <w:rPr>
                <w:rFonts w:ascii="Calibri" w:hAnsi="Calibri"/>
                <w:b w:val="0"/>
                <w:i w:val="0"/>
                <w:color w:val="101828"/>
                <w:sz w:val="16"/>
              </w:rPr>
              <w:t>Emulator, rooted device, new device, many accounts per device</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 risk</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Network</w:t>
            </w:r>
          </w:p>
        </w:tc>
        <w:tc>
          <w:tcPr>
            <w:tcW w:type="dxa" w:w="5184"/>
            <w:tcMar>
              <w:top w:w="60" w:type="dxa"/>
              <w:start w:w="110" w:type="dxa"/>
              <w:bottom w:w="60" w:type="dxa"/>
              <w:end w:w="110" w:type="dxa"/>
            </w:tcMar>
          </w:tcPr>
          <w:p>
            <w:pPr>
              <w:spacing w:after="0"/>
            </w:pPr>
            <w:r/>
            <w:r>
              <w:rPr>
                <w:rFonts w:ascii="Calibri" w:hAnsi="Calibri"/>
                <w:b w:val="0"/>
                <w:i w:val="0"/>
                <w:color w:val="101828"/>
                <w:sz w:val="16"/>
              </w:rPr>
              <w:t>IP reputation, VPN or data-centre IP, many accounts per IP</w:t>
            </w:r>
          </w:p>
        </w:tc>
        <w:tc>
          <w:tcPr>
            <w:tcW w:type="dxa" w:w="2016"/>
            <w:tcMar>
              <w:top w:w="60" w:type="dxa"/>
              <w:start w:w="110" w:type="dxa"/>
              <w:bottom w:w="60" w:type="dxa"/>
              <w:end w:w="110" w:type="dxa"/>
            </w:tcMar>
          </w:tcPr>
          <w:p>
            <w:pPr>
              <w:spacing w:after="0"/>
            </w:pPr>
            <w:r/>
            <w:r>
              <w:rPr>
                <w:rFonts w:ascii="Calibri" w:hAnsi="Calibri"/>
                <w:b w:val="0"/>
                <w:i w:val="0"/>
                <w:color w:val="101828"/>
                <w:sz w:val="16"/>
              </w:rPr>
              <w:t>↑ risk</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Phone</w:t>
            </w:r>
          </w:p>
        </w:tc>
        <w:tc>
          <w:tcPr>
            <w:tcW w:type="dxa" w:w="5184"/>
            <w:tcMar>
              <w:top w:w="60" w:type="dxa"/>
              <w:start w:w="110" w:type="dxa"/>
              <w:bottom w:w="60" w:type="dxa"/>
              <w:end w:w="110" w:type="dxa"/>
            </w:tcMar>
            <w:shd w:val="clear" w:color="auto" w:fill="F4F7FB"/>
          </w:tcPr>
          <w:p>
            <w:pPr>
              <w:spacing w:after="0"/>
            </w:pPr>
            <w:r/>
            <w:r>
              <w:rPr>
                <w:rFonts w:ascii="Calibri" w:hAnsi="Calibri"/>
                <w:b w:val="0"/>
                <w:i w:val="0"/>
                <w:color w:val="101828"/>
                <w:sz w:val="16"/>
              </w:rPr>
              <w:t>Disposable number, recently changed, virtual number, reused across accounts</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 risk</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Graph</w:t>
            </w:r>
          </w:p>
        </w:tc>
        <w:tc>
          <w:tcPr>
            <w:tcW w:type="dxa" w:w="5184"/>
            <w:tcMar>
              <w:top w:w="60" w:type="dxa"/>
              <w:start w:w="110" w:type="dxa"/>
              <w:bottom w:w="60" w:type="dxa"/>
              <w:end w:w="110" w:type="dxa"/>
            </w:tcMar>
          </w:tcPr>
          <w:p>
            <w:pPr>
              <w:spacing w:after="0"/>
            </w:pPr>
            <w:r/>
            <w:r>
              <w:rPr>
                <w:rFonts w:ascii="Calibri" w:hAnsi="Calibri"/>
                <w:b w:val="0"/>
                <w:i w:val="0"/>
                <w:color w:val="101828"/>
                <w:sz w:val="16"/>
              </w:rPr>
              <w:t>Two accounts sharing a device, bank account, BVN, or address</w:t>
            </w:r>
          </w:p>
        </w:tc>
        <w:tc>
          <w:tcPr>
            <w:tcW w:type="dxa" w:w="2016"/>
            <w:tcMar>
              <w:top w:w="60" w:type="dxa"/>
              <w:start w:w="110" w:type="dxa"/>
              <w:bottom w:w="60" w:type="dxa"/>
              <w:end w:w="110" w:type="dxa"/>
            </w:tcMar>
          </w:tcPr>
          <w:p>
            <w:pPr>
              <w:spacing w:after="0"/>
            </w:pPr>
            <w:r/>
            <w:r>
              <w:rPr>
                <w:rFonts w:ascii="Calibri" w:hAnsi="Calibri"/>
                <w:b w:val="0"/>
                <w:i w:val="0"/>
                <w:color w:val="101828"/>
                <w:sz w:val="16"/>
              </w:rPr>
              <w:t>↑ risk</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Behavioural</w:t>
            </w:r>
          </w:p>
        </w:tc>
        <w:tc>
          <w:tcPr>
            <w:tcW w:type="dxa" w:w="5184"/>
            <w:tcMar>
              <w:top w:w="60" w:type="dxa"/>
              <w:start w:w="110" w:type="dxa"/>
              <w:bottom w:w="60" w:type="dxa"/>
              <w:end w:w="110" w:type="dxa"/>
            </w:tcMar>
            <w:shd w:val="clear" w:color="auto" w:fill="F4F7FB"/>
          </w:tcPr>
          <w:p>
            <w:pPr>
              <w:spacing w:after="0"/>
            </w:pPr>
            <w:r/>
            <w:r>
              <w:rPr>
                <w:rFonts w:ascii="Calibri" w:hAnsi="Calibri"/>
                <w:b w:val="0"/>
                <w:i w:val="0"/>
                <w:color w:val="101828"/>
                <w:sz w:val="16"/>
              </w:rPr>
              <w:t>Payout immediately after a bank-account change; login then immediate payout</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 risk</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Tenure</w:t>
            </w:r>
          </w:p>
        </w:tc>
        <w:tc>
          <w:tcPr>
            <w:tcW w:type="dxa" w:w="5184"/>
            <w:tcMar>
              <w:top w:w="60" w:type="dxa"/>
              <w:start w:w="110" w:type="dxa"/>
              <w:bottom w:w="60" w:type="dxa"/>
              <w:end w:w="110" w:type="dxa"/>
            </w:tcMar>
          </w:tcPr>
          <w:p>
            <w:pPr>
              <w:spacing w:after="0"/>
            </w:pPr>
            <w:r/>
            <w:r>
              <w:rPr>
                <w:rFonts w:ascii="Calibri" w:hAnsi="Calibri"/>
                <w:b w:val="0"/>
                <w:i w:val="0"/>
                <w:color w:val="101828"/>
                <w:sz w:val="16"/>
              </w:rPr>
              <w:t>Long history, no incidents, verified identity, consistent behaviour</w:t>
            </w:r>
          </w:p>
        </w:tc>
        <w:tc>
          <w:tcPr>
            <w:tcW w:type="dxa" w:w="2016"/>
            <w:tcMar>
              <w:top w:w="60" w:type="dxa"/>
              <w:start w:w="110" w:type="dxa"/>
              <w:bottom w:w="60" w:type="dxa"/>
              <w:end w:w="110" w:type="dxa"/>
            </w:tcMar>
          </w:tcPr>
          <w:p>
            <w:pPr>
              <w:spacing w:after="0"/>
            </w:pPr>
            <w:r/>
            <w:r>
              <w:rPr>
                <w:rFonts w:ascii="Calibri" w:hAnsi="Calibri"/>
                <w:b w:val="0"/>
                <w:i w:val="0"/>
                <w:color w:val="101828"/>
                <w:sz w:val="16"/>
              </w:rPr>
              <w:t>↓ risk</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Relationship</w:t>
            </w:r>
          </w:p>
        </w:tc>
        <w:tc>
          <w:tcPr>
            <w:tcW w:type="dxa" w:w="5184"/>
            <w:tcMar>
              <w:top w:w="60" w:type="dxa"/>
              <w:start w:w="110" w:type="dxa"/>
              <w:bottom w:w="60" w:type="dxa"/>
              <w:end w:w="110" w:type="dxa"/>
            </w:tcMar>
            <w:shd w:val="clear" w:color="auto" w:fill="F4F7FB"/>
          </w:tcPr>
          <w:p>
            <w:pPr>
              <w:spacing w:after="0"/>
            </w:pPr>
            <w:r/>
            <w:r>
              <w:rPr>
                <w:rFonts w:ascii="Calibri" w:hAnsi="Calibri"/>
                <w:b w:val="0"/>
                <w:i w:val="0"/>
                <w:color w:val="101828"/>
                <w:sz w:val="16"/>
              </w:rPr>
              <w:t>Member of a long-running Ajo with an established pattern</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 risk</w:t>
            </w:r>
          </w:p>
        </w:tc>
      </w:tr>
    </w:tbl>
    <w:p>
      <w:pPr>
        <w:spacing w:after="80"/>
      </w:pPr>
    </w:p>
    <w:p>
      <w:pPr>
        <w:pStyle w:val="Heading3"/>
      </w:pPr>
      <w:r>
        <w:rPr>
          <w:rFonts w:ascii="Calibri" w:hAnsi="Calibri"/>
          <w:b/>
          <w:i w:val="0"/>
          <w:color w:val="0B1F3A"/>
          <w:sz w:val="24"/>
        </w:rPr>
        <w:t>15.3.2 Decision bands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Score</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Band</w:t>
            </w:r>
          </w:p>
        </w:tc>
        <w:tc>
          <w:tcPr>
            <w:tcW w:type="dxa" w:w="6048"/>
            <w:shd w:val="clear" w:color="auto" w:fill="0B1F3A"/>
            <w:tcMar>
              <w:top w:w="60" w:type="dxa"/>
              <w:start w:w="110" w:type="dxa"/>
              <w:bottom w:w="60" w:type="dxa"/>
              <w:end w:w="110" w:type="dxa"/>
            </w:tcMar>
          </w:tcPr>
          <w:p>
            <w:pPr>
              <w:spacing w:after="0"/>
            </w:pPr>
            <w:r/>
            <w:r>
              <w:rPr>
                <w:rFonts w:ascii="Calibri" w:hAnsi="Calibri"/>
                <w:b/>
                <w:i w:val="0"/>
                <w:color w:val="FFFFFF"/>
                <w:sz w:val="16"/>
              </w:rPr>
              <w:t>Action</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0–29</w:t>
            </w:r>
          </w:p>
        </w:tc>
        <w:tc>
          <w:tcPr>
            <w:tcW w:type="dxa" w:w="1728"/>
            <w:tcMar>
              <w:top w:w="60" w:type="dxa"/>
              <w:start w:w="110" w:type="dxa"/>
              <w:bottom w:w="60" w:type="dxa"/>
              <w:end w:w="110" w:type="dxa"/>
            </w:tcMar>
          </w:tcPr>
          <w:p>
            <w:pPr>
              <w:spacing w:after="0"/>
            </w:pPr>
            <w:r/>
            <w:r>
              <w:rPr>
                <w:rFonts w:ascii="Calibri" w:hAnsi="Calibri"/>
                <w:b w:val="0"/>
                <w:i w:val="0"/>
                <w:color w:val="101828"/>
                <w:sz w:val="16"/>
              </w:rPr>
              <w:t>Low</w:t>
            </w:r>
          </w:p>
        </w:tc>
        <w:tc>
          <w:tcPr>
            <w:tcW w:type="dxa" w:w="6048"/>
            <w:tcMar>
              <w:top w:w="60" w:type="dxa"/>
              <w:start w:w="110" w:type="dxa"/>
              <w:bottom w:w="60" w:type="dxa"/>
              <w:end w:w="110" w:type="dxa"/>
            </w:tcMar>
          </w:tcPr>
          <w:p>
            <w:pPr>
              <w:spacing w:after="0"/>
            </w:pPr>
            <w:r/>
            <w:r>
              <w:rPr>
                <w:rFonts w:ascii="Calibri" w:hAnsi="Calibri"/>
                <w:b w:val="0"/>
                <w:i w:val="0"/>
                <w:color w:val="101828"/>
                <w:sz w:val="16"/>
              </w:rPr>
              <w:t>Approve automatically. No friction</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30–59</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Medium</w:t>
            </w:r>
          </w:p>
        </w:tc>
        <w:tc>
          <w:tcPr>
            <w:tcW w:type="dxa" w:w="6048"/>
            <w:tcMar>
              <w:top w:w="60" w:type="dxa"/>
              <w:start w:w="110" w:type="dxa"/>
              <w:bottom w:w="60" w:type="dxa"/>
              <w:end w:w="110" w:type="dxa"/>
            </w:tcMar>
            <w:shd w:val="clear" w:color="auto" w:fill="F4F7FB"/>
          </w:tcPr>
          <w:p>
            <w:pPr>
              <w:spacing w:after="0"/>
            </w:pPr>
            <w:r/>
            <w:r>
              <w:rPr>
                <w:rFonts w:ascii="Calibri" w:hAnsi="Calibri"/>
                <w:b w:val="0"/>
                <w:i w:val="0"/>
                <w:color w:val="101828"/>
                <w:sz w:val="16"/>
              </w:rPr>
              <w:t>Approve, but log. Step-up auth if the action is a bank change or payout release</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60–79</w:t>
            </w:r>
          </w:p>
        </w:tc>
        <w:tc>
          <w:tcPr>
            <w:tcW w:type="dxa" w:w="1728"/>
            <w:tcMar>
              <w:top w:w="60" w:type="dxa"/>
              <w:start w:w="110" w:type="dxa"/>
              <w:bottom w:w="60" w:type="dxa"/>
              <w:end w:w="110" w:type="dxa"/>
            </w:tcMar>
          </w:tcPr>
          <w:p>
            <w:pPr>
              <w:spacing w:after="0"/>
            </w:pPr>
            <w:r/>
            <w:r>
              <w:rPr>
                <w:rFonts w:ascii="Calibri" w:hAnsi="Calibri"/>
                <w:b w:val="0"/>
                <w:i w:val="0"/>
                <w:color w:val="101828"/>
                <w:sz w:val="16"/>
              </w:rPr>
              <w:t>Elevated</w:t>
            </w:r>
          </w:p>
        </w:tc>
        <w:tc>
          <w:tcPr>
            <w:tcW w:type="dxa" w:w="6048"/>
            <w:tcMar>
              <w:top w:w="60" w:type="dxa"/>
              <w:start w:w="110" w:type="dxa"/>
              <w:bottom w:w="60" w:type="dxa"/>
              <w:end w:w="110" w:type="dxa"/>
            </w:tcMar>
          </w:tcPr>
          <w:p>
            <w:pPr>
              <w:spacing w:after="0"/>
            </w:pPr>
            <w:r/>
            <w:r>
              <w:rPr>
                <w:rFonts w:ascii="Calibri" w:hAnsi="Calibri"/>
                <w:b w:val="0"/>
                <w:i w:val="0"/>
                <w:color w:val="101828"/>
                <w:sz w:val="16"/>
              </w:rPr>
              <w:t>Apply the specific control matched to the reason: velocity cap, cooling-off, or a short delay with proactive notification</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80–100</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High</w:t>
            </w:r>
          </w:p>
        </w:tc>
        <w:tc>
          <w:tcPr>
            <w:tcW w:type="dxa" w:w="6048"/>
            <w:tcMar>
              <w:top w:w="60" w:type="dxa"/>
              <w:start w:w="110" w:type="dxa"/>
              <w:bottom w:w="60" w:type="dxa"/>
              <w:end w:w="110" w:type="dxa"/>
            </w:tcMar>
            <w:shd w:val="clear" w:color="auto" w:fill="F4F7FB"/>
          </w:tcPr>
          <w:p>
            <w:pPr>
              <w:spacing w:after="0"/>
            </w:pPr>
            <w:r/>
            <w:r>
              <w:rPr>
                <w:rFonts w:ascii="Calibri" w:hAnsi="Calibri"/>
                <w:b w:val="0"/>
                <w:i w:val="0"/>
                <w:color w:val="101828"/>
                <w:sz w:val="16"/>
              </w:rPr>
              <w:t>Hold for human review by a risk officer. The member is told the payment is being reviewed, with a timeframe. Never a silent hold</w:t>
            </w:r>
          </w:p>
        </w:tc>
      </w:tr>
    </w:tbl>
    <w:p>
      <w:pPr>
        <w:spacing w:after="80"/>
      </w:pPr>
    </w:p>
    <w:p>
      <w:r>
        <w:rPr>
          <w:rFonts w:ascii="Calibri" w:hAnsi="Calibri"/>
          <w:b w:val="0"/>
          <w:i w:val="0"/>
          <w:color w:val="101828"/>
          <w:sz w:val="21"/>
        </w:rPr>
        <w:t>A high score is a request for a human decision, not a verdict. Every hold has an owner, a reason, a review deadline, and an outcome — and a hold that expires without a decision releases automatically, so a queue can never quietly strand a member's money.</w:t>
      </w:r>
    </w:p>
    <w:p>
      <w:pPr>
        <w:pStyle w:val="Heading2"/>
      </w:pPr>
      <w:r>
        <w:rPr>
          <w:rFonts w:ascii="Calibri" w:hAnsi="Calibri"/>
          <w:b/>
          <w:i w:val="0"/>
          <w:color w:val="146EF5"/>
          <w:sz w:val="29"/>
        </w:rPr>
        <w:t>15.4 Preventative controls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Control</w:t>
            </w:r>
          </w:p>
        </w:tc>
        <w:tc>
          <w:tcPr>
            <w:tcW w:type="dxa" w:w="5184"/>
            <w:shd w:val="clear" w:color="auto" w:fill="0B1F3A"/>
            <w:tcMar>
              <w:top w:w="60" w:type="dxa"/>
              <w:start w:w="110" w:type="dxa"/>
              <w:bottom w:w="60" w:type="dxa"/>
              <w:end w:w="110" w:type="dxa"/>
            </w:tcMar>
          </w:tcPr>
          <w:p>
            <w:pPr>
              <w:spacing w:after="0"/>
            </w:pPr>
            <w:r/>
            <w:r>
              <w:rPr>
                <w:rFonts w:ascii="Calibri" w:hAnsi="Calibri"/>
                <w:b/>
                <w:i w:val="0"/>
                <w:color w:val="FFFFFF"/>
                <w:sz w:val="16"/>
              </w:rPr>
              <w:t>Rule</w:t>
            </w:r>
          </w:p>
        </w:tc>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Friction cost</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Identity verification</w:t>
            </w:r>
          </w:p>
        </w:tc>
        <w:tc>
          <w:tcPr>
            <w:tcW w:type="dxa" w:w="5184"/>
            <w:tcMar>
              <w:top w:w="60" w:type="dxa"/>
              <w:start w:w="110" w:type="dxa"/>
              <w:bottom w:w="60" w:type="dxa"/>
              <w:end w:w="110" w:type="dxa"/>
            </w:tcMar>
          </w:tcPr>
          <w:p>
            <w:pPr>
              <w:spacing w:after="0"/>
            </w:pPr>
            <w:r/>
            <w:r>
              <w:rPr>
                <w:rFonts w:ascii="Calibri" w:hAnsi="Calibri"/>
                <w:b w:val="0"/>
                <w:i w:val="0"/>
                <w:color w:val="101828"/>
                <w:sz w:val="16"/>
              </w:rPr>
              <w:t>BVN verification and liveness check for payout-capable accounts</w:t>
            </w:r>
          </w:p>
        </w:tc>
        <w:tc>
          <w:tcPr>
            <w:tcW w:type="dxa" w:w="1872"/>
            <w:tcMar>
              <w:top w:w="60" w:type="dxa"/>
              <w:start w:w="110" w:type="dxa"/>
              <w:bottom w:w="60" w:type="dxa"/>
              <w:end w:w="110" w:type="dxa"/>
            </w:tcMar>
          </w:tcPr>
          <w:p>
            <w:pPr>
              <w:spacing w:after="0"/>
            </w:pPr>
            <w:r/>
            <w:r>
              <w:rPr>
                <w:rFonts w:ascii="Calibri" w:hAnsi="Calibri"/>
                <w:b w:val="0"/>
                <w:i w:val="0"/>
                <w:color w:val="101828"/>
                <w:sz w:val="16"/>
              </w:rPr>
              <w:t>One-time</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Destination cooling-off</w:t>
            </w:r>
          </w:p>
        </w:tc>
        <w:tc>
          <w:tcPr>
            <w:tcW w:type="dxa" w:w="5184"/>
            <w:tcMar>
              <w:top w:w="60" w:type="dxa"/>
              <w:start w:w="110" w:type="dxa"/>
              <w:bottom w:w="60" w:type="dxa"/>
              <w:end w:w="110" w:type="dxa"/>
            </w:tcMar>
            <w:shd w:val="clear" w:color="auto" w:fill="F4F7FB"/>
          </w:tcPr>
          <w:p>
            <w:pPr>
              <w:spacing w:after="0"/>
            </w:pPr>
            <w:r/>
            <w:r>
              <w:rPr>
                <w:rFonts w:ascii="Calibri" w:hAnsi="Calibri"/>
                <w:b w:val="0"/>
                <w:i w:val="0"/>
                <w:color w:val="101828"/>
                <w:sz w:val="16"/>
              </w:rPr>
              <w:t>14 days between changing a bank account and a payout, shortened only by risk review</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Rare, and communicated</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Step-up authentication</w:t>
            </w:r>
          </w:p>
        </w:tc>
        <w:tc>
          <w:tcPr>
            <w:tcW w:type="dxa" w:w="5184"/>
            <w:tcMar>
              <w:top w:w="60" w:type="dxa"/>
              <w:start w:w="110" w:type="dxa"/>
              <w:bottom w:w="60" w:type="dxa"/>
              <w:end w:w="110" w:type="dxa"/>
            </w:tcMar>
          </w:tcPr>
          <w:p>
            <w:pPr>
              <w:spacing w:after="0"/>
            </w:pPr>
            <w:r/>
            <w:r>
              <w:rPr>
                <w:rFonts w:ascii="Calibri" w:hAnsi="Calibri"/>
                <w:b w:val="0"/>
                <w:i w:val="0"/>
                <w:color w:val="101828"/>
                <w:sz w:val="16"/>
              </w:rPr>
              <w:t>Required to change a bank account, release a payout, or resolve a dispute</w:t>
            </w:r>
          </w:p>
        </w:tc>
        <w:tc>
          <w:tcPr>
            <w:tcW w:type="dxa" w:w="1872"/>
            <w:tcMar>
              <w:top w:w="60" w:type="dxa"/>
              <w:start w:w="110" w:type="dxa"/>
              <w:bottom w:w="60" w:type="dxa"/>
              <w:end w:w="110" w:type="dxa"/>
            </w:tcMar>
          </w:tcPr>
          <w:p>
            <w:pPr>
              <w:spacing w:after="0"/>
            </w:pPr>
            <w:r/>
            <w:r>
              <w:rPr>
                <w:rFonts w:ascii="Calibri" w:hAnsi="Calibri"/>
                <w:b w:val="0"/>
                <w:i w:val="0"/>
                <w:color w:val="101828"/>
                <w:sz w:val="16"/>
              </w:rPr>
              <w:t>Seconds</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Multi-channel change notification</w:t>
            </w:r>
          </w:p>
        </w:tc>
        <w:tc>
          <w:tcPr>
            <w:tcW w:type="dxa" w:w="5184"/>
            <w:tcMar>
              <w:top w:w="60" w:type="dxa"/>
              <w:start w:w="110" w:type="dxa"/>
              <w:bottom w:w="60" w:type="dxa"/>
              <w:end w:w="110" w:type="dxa"/>
            </w:tcMar>
            <w:shd w:val="clear" w:color="auto" w:fill="F4F7FB"/>
          </w:tcPr>
          <w:p>
            <w:pPr>
              <w:spacing w:after="0"/>
            </w:pPr>
            <w:r/>
            <w:r>
              <w:rPr>
                <w:rFonts w:ascii="Calibri" w:hAnsi="Calibri"/>
                <w:b w:val="0"/>
                <w:i w:val="0"/>
                <w:color w:val="101828"/>
                <w:sz w:val="16"/>
              </w:rPr>
              <w:t>Every bank, phone, or email change notified to all registered channels</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None</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Velocity limits</w:t>
            </w:r>
          </w:p>
        </w:tc>
        <w:tc>
          <w:tcPr>
            <w:tcW w:type="dxa" w:w="5184"/>
            <w:tcMar>
              <w:top w:w="60" w:type="dxa"/>
              <w:start w:w="110" w:type="dxa"/>
              <w:bottom w:w="60" w:type="dxa"/>
              <w:end w:w="110" w:type="dxa"/>
            </w:tcMar>
          </w:tcPr>
          <w:p>
            <w:pPr>
              <w:spacing w:after="0"/>
            </w:pPr>
            <w:r/>
            <w:r>
              <w:rPr>
                <w:rFonts w:ascii="Calibri" w:hAnsi="Calibri"/>
                <w:b w:val="0"/>
                <w:i w:val="0"/>
                <w:color w:val="101828"/>
                <w:sz w:val="16"/>
              </w:rPr>
              <w:t>Daily and monthly caps on contribution volume, Ajo count, and payout count</w:t>
            </w:r>
          </w:p>
        </w:tc>
        <w:tc>
          <w:tcPr>
            <w:tcW w:type="dxa" w:w="1872"/>
            <w:tcMar>
              <w:top w:w="60" w:type="dxa"/>
              <w:start w:w="110" w:type="dxa"/>
              <w:bottom w:w="60" w:type="dxa"/>
              <w:end w:w="110" w:type="dxa"/>
            </w:tcMar>
          </w:tcPr>
          <w:p>
            <w:pPr>
              <w:spacing w:after="0"/>
            </w:pPr>
            <w:r/>
            <w:r>
              <w:rPr>
                <w:rFonts w:ascii="Calibri" w:hAnsi="Calibri"/>
                <w:b w:val="0"/>
                <w:i w:val="0"/>
                <w:color w:val="101828"/>
                <w:sz w:val="16"/>
              </w:rPr>
              <w:t>Low, if set generously</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First-payout ramp</w:t>
            </w:r>
          </w:p>
        </w:tc>
        <w:tc>
          <w:tcPr>
            <w:tcW w:type="dxa" w:w="5184"/>
            <w:tcMar>
              <w:top w:w="60" w:type="dxa"/>
              <w:start w:w="110" w:type="dxa"/>
              <w:bottom w:w="60" w:type="dxa"/>
              <w:end w:w="110" w:type="dxa"/>
            </w:tcMar>
            <w:shd w:val="clear" w:color="auto" w:fill="F4F7FB"/>
          </w:tcPr>
          <w:p>
            <w:pPr>
              <w:spacing w:after="0"/>
            </w:pPr>
            <w:r/>
            <w:r>
              <w:rPr>
                <w:rFonts w:ascii="Calibri" w:hAnsi="Calibri"/>
                <w:b w:val="0"/>
                <w:i w:val="0"/>
                <w:color w:val="101828"/>
                <w:sz w:val="16"/>
              </w:rPr>
              <w:t>Payout amount capped for the first cycle of a new account, rising with tenure</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Moderate; transparent</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Device and graph binding</w:t>
            </w:r>
          </w:p>
        </w:tc>
        <w:tc>
          <w:tcPr>
            <w:tcW w:type="dxa" w:w="5184"/>
            <w:tcMar>
              <w:top w:w="60" w:type="dxa"/>
              <w:start w:w="110" w:type="dxa"/>
              <w:bottom w:w="60" w:type="dxa"/>
              <w:end w:w="110" w:type="dxa"/>
            </w:tcMar>
          </w:tcPr>
          <w:p>
            <w:pPr>
              <w:spacing w:after="0"/>
            </w:pPr>
            <w:r/>
            <w:r>
              <w:rPr>
                <w:rFonts w:ascii="Calibri" w:hAnsi="Calibri"/>
                <w:b w:val="0"/>
                <w:i w:val="0"/>
                <w:color w:val="101828"/>
                <w:sz w:val="16"/>
              </w:rPr>
              <w:t>Limit accounts per device, phone, bank account, and BVN</w:t>
            </w:r>
          </w:p>
        </w:tc>
        <w:tc>
          <w:tcPr>
            <w:tcW w:type="dxa" w:w="1872"/>
            <w:tcMar>
              <w:top w:w="60" w:type="dxa"/>
              <w:start w:w="110" w:type="dxa"/>
              <w:bottom w:w="60" w:type="dxa"/>
              <w:end w:w="110" w:type="dxa"/>
            </w:tcMar>
          </w:tcPr>
          <w:p>
            <w:pPr>
              <w:spacing w:after="0"/>
            </w:pPr>
            <w:r/>
            <w:r>
              <w:rPr>
                <w:rFonts w:ascii="Calibri" w:hAnsi="Calibri"/>
                <w:b w:val="0"/>
                <w:i w:val="0"/>
                <w:color w:val="101828"/>
                <w:sz w:val="16"/>
              </w:rPr>
              <w:t>None for honest users</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Off-platform solicitation report</w:t>
            </w:r>
          </w:p>
        </w:tc>
        <w:tc>
          <w:tcPr>
            <w:tcW w:type="dxa" w:w="5184"/>
            <w:tcMar>
              <w:top w:w="60" w:type="dxa"/>
              <w:start w:w="110" w:type="dxa"/>
              <w:bottom w:w="60" w:type="dxa"/>
              <w:end w:w="110" w:type="dxa"/>
            </w:tcMar>
            <w:shd w:val="clear" w:color="auto" w:fill="F4F7FB"/>
          </w:tcPr>
          <w:p>
            <w:pPr>
              <w:spacing w:after="0"/>
            </w:pPr>
            <w:r/>
            <w:r>
              <w:rPr>
                <w:rFonts w:ascii="Calibri" w:hAnsi="Calibri"/>
                <w:b w:val="0"/>
                <w:i w:val="0"/>
                <w:color w:val="101828"/>
                <w:sz w:val="16"/>
              </w:rPr>
              <w:t>Members and organizers can report payment requests outside AJO.ng; rapid review</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None</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Contributor identity consistency</w:t>
            </w:r>
          </w:p>
        </w:tc>
        <w:tc>
          <w:tcPr>
            <w:tcW w:type="dxa" w:w="5184"/>
            <w:tcMar>
              <w:top w:w="60" w:type="dxa"/>
              <w:start w:w="110" w:type="dxa"/>
              <w:bottom w:w="60" w:type="dxa"/>
              <w:end w:w="110" w:type="dxa"/>
            </w:tcMar>
          </w:tcPr>
          <w:p>
            <w:pPr>
              <w:spacing w:after="0"/>
            </w:pPr>
            <w:r/>
            <w:r>
              <w:rPr>
                <w:rFonts w:ascii="Calibri" w:hAnsi="Calibri"/>
                <w:b w:val="0"/>
                <w:i w:val="0"/>
                <w:color w:val="101828"/>
                <w:sz w:val="16"/>
              </w:rPr>
              <w:t>Contributions must come from the contributing member's own verified account</w:t>
            </w:r>
          </w:p>
        </w:tc>
        <w:tc>
          <w:tcPr>
            <w:tcW w:type="dxa" w:w="1872"/>
            <w:tcMar>
              <w:top w:w="60" w:type="dxa"/>
              <w:start w:w="110" w:type="dxa"/>
              <w:bottom w:w="60" w:type="dxa"/>
              <w:end w:w="110" w:type="dxa"/>
            </w:tcMar>
          </w:tcPr>
          <w:p>
            <w:pPr>
              <w:spacing w:after="0"/>
            </w:pPr>
            <w:r/>
            <w:r>
              <w:rPr>
                <w:rFonts w:ascii="Calibri" w:hAnsi="Calibri"/>
                <w:b w:val="0"/>
                <w:i w:val="0"/>
                <w:color w:val="101828"/>
                <w:sz w:val="16"/>
              </w:rPr>
              <w:t>Moderate, and correct</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AJO.ng never asks for a BVN on WhatsApp, SMS, or a phone call.  </w:t>
      </w:r>
      <w:r>
        <w:rPr>
          <w:rFonts w:ascii="Calibri" w:hAnsi="Calibri"/>
          <w:b w:val="0"/>
          <w:i w:val="0"/>
          <w:color w:val="0B1F3A"/>
          <w:sz w:val="19"/>
        </w:rPr>
        <w:t>This should be a permanent, prominent product statement — in the app, in the terms, in the footer of every email, and in the FAQ. Organizers should be explicitly bound by it. The most effective anti-fraud control available to a savings platform is a rule its members can remember, and this is the one.</w:t>
      </w:r>
    </w:p>
    <w:p>
      <w:pPr>
        <w:pStyle w:val="Heading2"/>
      </w:pPr>
      <w:r>
        <w:rPr>
          <w:rFonts w:ascii="Calibri" w:hAnsi="Calibri"/>
          <w:b/>
          <w:i w:val="0"/>
          <w:color w:val="146EF5"/>
          <w:sz w:val="29"/>
        </w:rPr>
        <w:t>15.5 Detection controls</w:t>
      </w:r>
    </w:p>
    <w:p>
      <w:pPr>
        <w:pStyle w:val="ListBullet"/>
        <w:spacing w:after="60"/>
        <w:ind w:left="360"/>
      </w:pPr>
      <w:r>
        <w:rPr>
          <w:rFonts w:ascii="Calibri" w:hAnsi="Calibri"/>
          <w:b/>
          <w:color w:val="101828"/>
          <w:sz w:val="21"/>
        </w:rPr>
        <w:t>Post-transaction monitoring</w:t>
      </w:r>
      <w:r>
        <w:rPr>
          <w:rFonts w:ascii="Calibri" w:hAnsi="Calibri"/>
          <w:b w:val="0"/>
          <w:i w:val="0"/>
          <w:color w:val="101828"/>
          <w:sz w:val="21"/>
        </w:rPr>
        <w:t xml:space="preserve"> — every contribution, payout, bank change, and login is scored, not only those crossing a threshold at the time.</w:t>
      </w:r>
    </w:p>
    <w:p>
      <w:pPr>
        <w:pStyle w:val="ListBullet"/>
        <w:spacing w:after="60"/>
        <w:ind w:left="360"/>
      </w:pPr>
      <w:r>
        <w:rPr>
          <w:rFonts w:ascii="Calibri" w:hAnsi="Calibri"/>
          <w:b/>
          <w:color w:val="101828"/>
          <w:sz w:val="21"/>
        </w:rPr>
        <w:t>Aggregation across accounts</w:t>
      </w:r>
      <w:r>
        <w:rPr>
          <w:rFonts w:ascii="Calibri" w:hAnsi="Calibri"/>
          <w:b w:val="0"/>
          <w:i w:val="0"/>
          <w:color w:val="101828"/>
          <w:sz w:val="21"/>
        </w:rPr>
        <w:t xml:space="preserve"> — a single account's behaviour may look normal while the aggregate across a device, a bank account, or an organizer looks like fraud. Per-transaction thresholds alone will miss this.</w:t>
      </w:r>
    </w:p>
    <w:p>
      <w:pPr>
        <w:pStyle w:val="ListBullet"/>
        <w:spacing w:after="60"/>
        <w:ind w:left="360"/>
      </w:pPr>
      <w:r>
        <w:rPr>
          <w:rFonts w:ascii="Calibri" w:hAnsi="Calibri"/>
          <w:b/>
          <w:color w:val="101828"/>
          <w:sz w:val="21"/>
        </w:rPr>
        <w:t>Graph analysis</w:t>
      </w:r>
      <w:r>
        <w:rPr>
          <w:rFonts w:ascii="Calibri" w:hAnsi="Calibri"/>
          <w:b w:val="0"/>
          <w:i w:val="0"/>
          <w:color w:val="101828"/>
          <w:sz w:val="21"/>
        </w:rPr>
        <w:t xml:space="preserve"> — shared devices, phone numbers, addresses, and bank accounts across nominally separate accounts.</w:t>
      </w:r>
    </w:p>
    <w:p>
      <w:pPr>
        <w:pStyle w:val="ListBullet"/>
        <w:spacing w:after="60"/>
        <w:ind w:left="360"/>
      </w:pPr>
      <w:r>
        <w:rPr>
          <w:rFonts w:ascii="Calibri" w:hAnsi="Calibri"/>
          <w:b/>
          <w:color w:val="101828"/>
          <w:sz w:val="21"/>
        </w:rPr>
        <w:t>Sequence detection</w:t>
      </w:r>
      <w:r>
        <w:rPr>
          <w:rFonts w:ascii="Calibri" w:hAnsi="Calibri"/>
          <w:b w:val="0"/>
          <w:i w:val="0"/>
          <w:color w:val="101828"/>
          <w:sz w:val="21"/>
        </w:rPr>
        <w:t xml:space="preserve"> — the specific ordering of events that predicts a redirected payout: bank change, then payout request, then a new-device login.</w:t>
      </w:r>
    </w:p>
    <w:p>
      <w:pPr>
        <w:pStyle w:val="ListBullet"/>
        <w:spacing w:after="60"/>
        <w:ind w:left="360"/>
      </w:pPr>
      <w:r>
        <w:rPr>
          <w:rFonts w:ascii="Calibri" w:hAnsi="Calibri"/>
          <w:b w:val="0"/>
          <w:i w:val="0"/>
          <w:color w:val="101828"/>
          <w:sz w:val="21"/>
        </w:rPr>
        <w:t xml:space="preserve"> </w:t>
      </w:r>
      <w:r>
        <w:rPr>
          <w:rFonts w:ascii="Calibri" w:hAnsi="Calibri"/>
          <w:b/>
          <w:color w:val="101828"/>
          <w:sz w:val="21"/>
        </w:rPr>
        <w:t>Sanctions and PEP screening</w:t>
      </w:r>
      <w:r>
        <w:rPr>
          <w:rFonts w:ascii="Calibri" w:hAnsi="Calibri"/>
          <w:b w:val="0"/>
          <w:i w:val="0"/>
          <w:color w:val="101828"/>
          <w:sz w:val="21"/>
        </w:rPr>
        <w:t xml:space="preserve"> — against the current Nigerian sanctions lists and any applicable international lists, at onboarding, on payout, and periodically thereafter. This requires a licensed screening provider and is a legal obligation to verify.</w:t>
      </w:r>
    </w:p>
    <w:p>
      <w:pPr>
        <w:pStyle w:val="ListBullet"/>
        <w:spacing w:after="60"/>
        <w:ind w:left="360"/>
      </w:pPr>
      <w:r>
        <w:rPr>
          <w:rFonts w:ascii="Calibri" w:hAnsi="Calibri"/>
          <w:b/>
          <w:color w:val="101828"/>
          <w:sz w:val="21"/>
        </w:rPr>
        <w:t>Reconciliation-driven detection</w:t>
      </w:r>
      <w:r>
        <w:rPr>
          <w:rFonts w:ascii="Calibri" w:hAnsi="Calibri"/>
          <w:b w:val="0"/>
          <w:i w:val="0"/>
          <w:color w:val="101828"/>
          <w:sz w:val="21"/>
        </w:rPr>
        <w:t xml:space="preserve"> — a payout that does not appear in the bank statement is an alert, not an accounting footnote.</w:t>
      </w:r>
    </w:p>
    <w:p>
      <w:pPr>
        <w:pStyle w:val="ListBullet"/>
        <w:spacing w:after="60"/>
        <w:ind w:left="360"/>
      </w:pPr>
      <w:r>
        <w:rPr>
          <w:rFonts w:ascii="Calibri" w:hAnsi="Calibri"/>
          <w:b/>
          <w:color w:val="101828"/>
          <w:sz w:val="21"/>
        </w:rPr>
        <w:t>Member reports</w:t>
      </w:r>
      <w:r>
        <w:rPr>
          <w:rFonts w:ascii="Calibri" w:hAnsi="Calibri"/>
          <w:b w:val="0"/>
          <w:i w:val="0"/>
          <w:color w:val="101828"/>
          <w:sz w:val="21"/>
        </w:rPr>
        <w:t xml:space="preserve"> — a simple, in-app report button on any transaction, a message, or an organizer. Reports are triaged, not dismissed.</w:t>
      </w:r>
    </w:p>
    <w:p>
      <w:pPr>
        <w:pStyle w:val="Heading2"/>
      </w:pPr>
      <w:r>
        <w:rPr>
          <w:rFonts w:ascii="Calibri" w:hAnsi="Calibri"/>
          <w:b/>
          <w:i w:val="0"/>
          <w:color w:val="146EF5"/>
          <w:sz w:val="29"/>
        </w:rPr>
        <w:t>15.6 Response controls</w:t>
      </w:r>
    </w:p>
    <w:p>
      <w:pPr>
        <w:pStyle w:val="Heading3"/>
      </w:pPr>
      <w:r>
        <w:rPr>
          <w:rFonts w:ascii="Calibri" w:hAnsi="Calibri"/>
          <w:b/>
          <w:i w:val="0"/>
          <w:color w:val="0B1F3A"/>
          <w:sz w:val="24"/>
        </w:rPr>
        <w:t>15.6.1 Actions and their limits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5"/>
              </w:rPr>
              <w:t>Action</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5"/>
              </w:rPr>
              <w:t>Trigger</w:t>
            </w:r>
          </w:p>
        </w:tc>
        <w:tc>
          <w:tcPr>
            <w:tcW w:type="dxa" w:w="2592"/>
            <w:shd w:val="clear" w:color="auto" w:fill="0B1F3A"/>
            <w:tcMar>
              <w:top w:w="60" w:type="dxa"/>
              <w:start w:w="110" w:type="dxa"/>
              <w:bottom w:w="60" w:type="dxa"/>
              <w:end w:w="110" w:type="dxa"/>
            </w:tcMar>
          </w:tcPr>
          <w:p>
            <w:pPr>
              <w:spacing w:after="0"/>
            </w:pPr>
            <w:r/>
            <w:r>
              <w:rPr>
                <w:rFonts w:ascii="Calibri" w:hAnsi="Calibri"/>
                <w:b/>
                <w:i w:val="0"/>
                <w:color w:val="FFFFFF"/>
                <w:sz w:val="15"/>
              </w:rPr>
              <w:t>Effect on the member</w:t>
            </w:r>
          </w:p>
        </w:tc>
        <w:tc>
          <w:tcPr>
            <w:tcW w:type="dxa" w:w="2592"/>
            <w:shd w:val="clear" w:color="auto" w:fill="0B1F3A"/>
            <w:tcMar>
              <w:top w:w="60" w:type="dxa"/>
              <w:start w:w="110" w:type="dxa"/>
              <w:bottom w:w="60" w:type="dxa"/>
              <w:end w:w="110" w:type="dxa"/>
            </w:tcMar>
          </w:tcPr>
          <w:p>
            <w:pPr>
              <w:spacing w:after="0"/>
            </w:pPr>
            <w:r/>
            <w:r>
              <w:rPr>
                <w:rFonts w:ascii="Calibri" w:hAnsi="Calibri"/>
                <w:b/>
                <w:i w:val="0"/>
                <w:color w:val="FFFFFF"/>
                <w:sz w:val="15"/>
              </w:rPr>
              <w:t>Guardrail</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Step-up auth</w:t>
            </w:r>
          </w:p>
        </w:tc>
        <w:tc>
          <w:tcPr>
            <w:tcW w:type="dxa" w:w="2448"/>
            <w:tcMar>
              <w:top w:w="60" w:type="dxa"/>
              <w:start w:w="110" w:type="dxa"/>
              <w:bottom w:w="60" w:type="dxa"/>
              <w:end w:w="110" w:type="dxa"/>
            </w:tcMar>
          </w:tcPr>
          <w:p>
            <w:pPr>
              <w:spacing w:after="0"/>
            </w:pPr>
            <w:r/>
            <w:r>
              <w:rPr>
                <w:rFonts w:ascii="Calibri" w:hAnsi="Calibri"/>
                <w:b w:val="0"/>
                <w:i w:val="0"/>
                <w:color w:val="101828"/>
                <w:sz w:val="15"/>
              </w:rPr>
              <w:t>Medium risk on a sensitive action</w:t>
            </w:r>
          </w:p>
        </w:tc>
        <w:tc>
          <w:tcPr>
            <w:tcW w:type="dxa" w:w="2592"/>
            <w:tcMar>
              <w:top w:w="60" w:type="dxa"/>
              <w:start w:w="110" w:type="dxa"/>
              <w:bottom w:w="60" w:type="dxa"/>
              <w:end w:w="110" w:type="dxa"/>
            </w:tcMar>
          </w:tcPr>
          <w:p>
            <w:pPr>
              <w:spacing w:after="0"/>
            </w:pPr>
            <w:r/>
            <w:r>
              <w:rPr>
                <w:rFonts w:ascii="Calibri" w:hAnsi="Calibri"/>
                <w:b w:val="0"/>
                <w:i w:val="0"/>
                <w:color w:val="101828"/>
                <w:sz w:val="15"/>
              </w:rPr>
              <w:t>Must re-authenticate</w:t>
            </w:r>
          </w:p>
        </w:tc>
        <w:tc>
          <w:tcPr>
            <w:tcW w:type="dxa" w:w="2592"/>
            <w:tcMar>
              <w:top w:w="60" w:type="dxa"/>
              <w:start w:w="110" w:type="dxa"/>
              <w:bottom w:w="60" w:type="dxa"/>
              <w:end w:w="110" w:type="dxa"/>
            </w:tcMar>
          </w:tcPr>
          <w:p>
            <w:pPr>
              <w:spacing w:after="0"/>
            </w:pPr>
            <w:r/>
            <w:r>
              <w:rPr>
                <w:rFonts w:ascii="Calibri" w:hAnsi="Calibri"/>
                <w:b w:val="0"/>
                <w:i w:val="0"/>
                <w:color w:val="101828"/>
                <w:sz w:val="15"/>
              </w:rPr>
              <w:t>Cannot be used to deny a payout outright</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Delay with notification</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5"/>
              </w:rPr>
              <w:t>Elevated risk, no fraud indicator</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5"/>
              </w:rPr>
              <w:t>Informed, with a date</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5"/>
              </w:rPr>
              <w:t>Delay is bounded and expires automatically</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Cooling-off</w:t>
            </w:r>
          </w:p>
        </w:tc>
        <w:tc>
          <w:tcPr>
            <w:tcW w:type="dxa" w:w="2448"/>
            <w:tcMar>
              <w:top w:w="60" w:type="dxa"/>
              <w:start w:w="110" w:type="dxa"/>
              <w:bottom w:w="60" w:type="dxa"/>
              <w:end w:w="110" w:type="dxa"/>
            </w:tcMar>
          </w:tcPr>
          <w:p>
            <w:pPr>
              <w:spacing w:after="0"/>
            </w:pPr>
            <w:r/>
            <w:r>
              <w:rPr>
                <w:rFonts w:ascii="Calibri" w:hAnsi="Calibri"/>
                <w:b w:val="0"/>
                <w:i w:val="0"/>
                <w:color w:val="101828"/>
                <w:sz w:val="15"/>
              </w:rPr>
              <w:t>Bank-account change</w:t>
            </w:r>
          </w:p>
        </w:tc>
        <w:tc>
          <w:tcPr>
            <w:tcW w:type="dxa" w:w="2592"/>
            <w:tcMar>
              <w:top w:w="60" w:type="dxa"/>
              <w:start w:w="110" w:type="dxa"/>
              <w:bottom w:w="60" w:type="dxa"/>
              <w:end w:w="110" w:type="dxa"/>
            </w:tcMar>
          </w:tcPr>
          <w:p>
            <w:pPr>
              <w:spacing w:after="0"/>
            </w:pPr>
            <w:r/>
            <w:r>
              <w:rPr>
                <w:rFonts w:ascii="Calibri" w:hAnsi="Calibri"/>
                <w:b w:val="0"/>
                <w:i w:val="0"/>
                <w:color w:val="101828"/>
                <w:sz w:val="15"/>
              </w:rPr>
              <w:t>Payout available after 14 days</w:t>
            </w:r>
          </w:p>
        </w:tc>
        <w:tc>
          <w:tcPr>
            <w:tcW w:type="dxa" w:w="2592"/>
            <w:tcMar>
              <w:top w:w="60" w:type="dxa"/>
              <w:start w:w="110" w:type="dxa"/>
              <w:bottom w:w="60" w:type="dxa"/>
              <w:end w:w="110" w:type="dxa"/>
            </w:tcMar>
          </w:tcPr>
          <w:p>
            <w:pPr>
              <w:spacing w:after="0"/>
            </w:pPr>
            <w:r/>
            <w:r>
              <w:rPr>
                <w:rFonts w:ascii="Calibri" w:hAnsi="Calibri"/>
                <w:b w:val="0"/>
                <w:i w:val="0"/>
                <w:color w:val="101828"/>
                <w:sz w:val="15"/>
              </w:rPr>
              <w:t>Shortened on verified evidence</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Payout hold</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5"/>
              </w:rPr>
              <w:t>High risk, or an open investigation on the payout</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5"/>
              </w:rPr>
              <w:t>Informed with a timeframe</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5"/>
              </w:rPr>
              <w:t>Human decision required. Never automatic beyond a short bounded window</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Account freeze</w:t>
            </w:r>
          </w:p>
        </w:tc>
        <w:tc>
          <w:tcPr>
            <w:tcW w:type="dxa" w:w="2448"/>
            <w:tcMar>
              <w:top w:w="60" w:type="dxa"/>
              <w:start w:w="110" w:type="dxa"/>
              <w:bottom w:w="60" w:type="dxa"/>
              <w:end w:w="110" w:type="dxa"/>
            </w:tcMar>
          </w:tcPr>
          <w:p>
            <w:pPr>
              <w:spacing w:after="0"/>
            </w:pPr>
            <w:r/>
            <w:r>
              <w:rPr>
                <w:rFonts w:ascii="Calibri" w:hAnsi="Calibri"/>
                <w:b w:val="0"/>
                <w:i w:val="0"/>
                <w:color w:val="101828"/>
                <w:sz w:val="15"/>
              </w:rPr>
              <w:t>Confirmed or strongly suspected fraud</w:t>
            </w:r>
          </w:p>
        </w:tc>
        <w:tc>
          <w:tcPr>
            <w:tcW w:type="dxa" w:w="2592"/>
            <w:tcMar>
              <w:top w:w="60" w:type="dxa"/>
              <w:start w:w="110" w:type="dxa"/>
              <w:bottom w:w="60" w:type="dxa"/>
              <w:end w:w="110" w:type="dxa"/>
            </w:tcMar>
          </w:tcPr>
          <w:p>
            <w:pPr>
              <w:spacing w:after="0"/>
            </w:pPr>
            <w:r/>
            <w:r>
              <w:rPr>
                <w:rFonts w:ascii="Calibri" w:hAnsi="Calibri"/>
                <w:b w:val="0"/>
                <w:i w:val="0"/>
                <w:color w:val="101828"/>
                <w:sz w:val="15"/>
              </w:rPr>
              <w:t xml:space="preserve">Cannot contribute or withdraw. </w:t>
            </w:r>
            <w:r>
              <w:rPr>
                <w:rFonts w:ascii="Calibri" w:hAnsi="Calibri"/>
                <w:b/>
                <w:color w:val="101828"/>
                <w:sz w:val="15"/>
              </w:rPr>
              <w:t>Can still be paid out</w:t>
            </w:r>
          </w:p>
        </w:tc>
        <w:tc>
          <w:tcPr>
            <w:tcW w:type="dxa" w:w="2592"/>
            <w:tcMar>
              <w:top w:w="60" w:type="dxa"/>
              <w:start w:w="110" w:type="dxa"/>
              <w:bottom w:w="60" w:type="dxa"/>
              <w:end w:w="110" w:type="dxa"/>
            </w:tcMar>
          </w:tcPr>
          <w:p>
            <w:pPr>
              <w:spacing w:after="0"/>
            </w:pPr>
            <w:r/>
            <w:r>
              <w:rPr>
                <w:rFonts w:ascii="Calibri" w:hAnsi="Calibri"/>
                <w:b w:val="0"/>
                <w:i w:val="0"/>
                <w:color w:val="101828"/>
                <w:sz w:val="15"/>
              </w:rPr>
              <w:t>Risk officer decision, reviewed, expiring</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Ajo freeze</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5"/>
              </w:rPr>
              <w:t>Fraud inside an Ajo, or an organiser acting in bad faith</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5"/>
              </w:rPr>
              <w:t>All activity paused</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5"/>
              </w:rPr>
              <w:t>Risk officer plus super admin; members notified</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Full suspension</w:t>
            </w:r>
          </w:p>
        </w:tc>
        <w:tc>
          <w:tcPr>
            <w:tcW w:type="dxa" w:w="2448"/>
            <w:tcMar>
              <w:top w:w="60" w:type="dxa"/>
              <w:start w:w="110" w:type="dxa"/>
              <w:bottom w:w="60" w:type="dxa"/>
              <w:end w:w="110" w:type="dxa"/>
            </w:tcMar>
          </w:tcPr>
          <w:p>
            <w:pPr>
              <w:spacing w:after="0"/>
            </w:pPr>
            <w:r/>
            <w:r>
              <w:rPr>
                <w:rFonts w:ascii="Calibri" w:hAnsi="Calibri"/>
                <w:b w:val="0"/>
                <w:i w:val="0"/>
                <w:color w:val="101828"/>
                <w:sz w:val="15"/>
              </w:rPr>
              <w:t>Confirmed fraud or repeated serious breach</w:t>
            </w:r>
          </w:p>
        </w:tc>
        <w:tc>
          <w:tcPr>
            <w:tcW w:type="dxa" w:w="2592"/>
            <w:tcMar>
              <w:top w:w="60" w:type="dxa"/>
              <w:start w:w="110" w:type="dxa"/>
              <w:bottom w:w="60" w:type="dxa"/>
              <w:end w:w="110" w:type="dxa"/>
            </w:tcMar>
          </w:tcPr>
          <w:p>
            <w:pPr>
              <w:spacing w:after="0"/>
            </w:pPr>
            <w:r/>
            <w:r>
              <w:rPr>
                <w:rFonts w:ascii="Calibri" w:hAnsi="Calibri"/>
                <w:b w:val="0"/>
                <w:i w:val="0"/>
                <w:color w:val="101828"/>
                <w:sz w:val="15"/>
              </w:rPr>
              <w:t>Read-only. Payouts continue</w:t>
            </w:r>
          </w:p>
        </w:tc>
        <w:tc>
          <w:tcPr>
            <w:tcW w:type="dxa" w:w="2592"/>
            <w:tcMar>
              <w:top w:w="60" w:type="dxa"/>
              <w:start w:w="110" w:type="dxa"/>
              <w:bottom w:w="60" w:type="dxa"/>
              <w:end w:w="110" w:type="dxa"/>
            </w:tcMar>
          </w:tcPr>
          <w:p>
            <w:pPr>
              <w:spacing w:after="0"/>
            </w:pPr>
            <w:r/>
            <w:r>
              <w:rPr>
                <w:rFonts w:ascii="Calibri" w:hAnsi="Calibri"/>
                <w:b w:val="0"/>
                <w:i w:val="0"/>
                <w:color w:val="101828"/>
                <w:sz w:val="15"/>
              </w:rPr>
              <w:t>Super admin, documented, appealable</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Termination</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5"/>
              </w:rPr>
              <w:t>Fraud with no legitimate basis</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5"/>
              </w:rPr>
              <w:t>Account closed, funds settled per the terms</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5"/>
              </w:rPr>
              <w:t>Super admin plus legal review. Always a written, reasoned decision</w:t>
            </w:r>
          </w:p>
        </w:tc>
      </w:tr>
    </w:tbl>
    <w:p>
      <w:pPr>
        <w:spacing w:after="80"/>
      </w:pPr>
    </w:p>
    <w:p>
      <w:pPr>
        <w:spacing w:before="140" w:after="180"/>
        <w:ind w:left="144"/>
        <w:shd w:val="clear" w:color="auto" w:fill="FEF3C7"/>
        <w:pBdr>
          <w:left w:val="single" w:sz="18" w:space="6" w:color="FBBF24"/>
        </w:pBdr>
      </w:pPr>
      <w:r>
        <w:rPr>
          <w:rFonts w:ascii="Calibri" w:hAnsi="Calibri"/>
          <w:b/>
          <w:color w:val="FBBF24"/>
          <w:sz w:val="19"/>
        </w:rPr>
        <w:t xml:space="preserve">A freeze must never trap money a member has earned.  </w:t>
      </w:r>
      <w:r>
        <w:rPr>
          <w:rFonts w:ascii="Calibri" w:hAnsi="Calibri"/>
          <w:b w:val="0"/>
          <w:i w:val="0"/>
          <w:color w:val="0B1F3A"/>
          <w:sz w:val="19"/>
        </w:rPr>
        <w:t xml:space="preserve">Freeze blocks </w:t>
      </w:r>
      <w:r>
        <w:rPr>
          <w:rFonts w:ascii="Calibri" w:hAnsi="Calibri"/>
          <w:i/>
          <w:color w:val="0B1F3A"/>
          <w:sz w:val="19"/>
        </w:rPr>
        <w:t>sending</w:t>
      </w:r>
      <w:r>
        <w:rPr>
          <w:rFonts w:ascii="Calibri" w:hAnsi="Calibri"/>
          <w:b w:val="0"/>
          <w:i w:val="0"/>
          <w:color w:val="0B1F3A"/>
          <w:sz w:val="19"/>
        </w:rPr>
        <w:t xml:space="preserve"> money: contributions, new Ajos, and withdrawals to a changed destination. It does not block </w:t>
      </w:r>
      <w:r>
        <w:rPr>
          <w:rFonts w:ascii="Calibri" w:hAnsi="Calibri"/>
          <w:i/>
          <w:color w:val="0B1F3A"/>
          <w:sz w:val="19"/>
        </w:rPr>
        <w:t>receiving</w:t>
      </w:r>
      <w:r>
        <w:rPr>
          <w:rFonts w:ascii="Calibri" w:hAnsi="Calibri"/>
          <w:b w:val="0"/>
          <w:i w:val="0"/>
          <w:color w:val="0B1F3A"/>
          <w:sz w:val="19"/>
        </w:rPr>
        <w:t xml:space="preserve"> a payout already owed. A member under investigation is still entitled to their Ajo money. Getting this wrong in the favour of safety would turn a fraud control into a means of confiscating a member's savings without authority, which is both a legal exposure and a moral failure.</w:t>
      </w:r>
    </w:p>
    <w:p>
      <w:pPr>
        <w:pStyle w:val="Heading3"/>
      </w:pPr>
      <w:r>
        <w:rPr>
          <w:rFonts w:ascii="Calibri" w:hAnsi="Calibri"/>
          <w:b/>
          <w:i w:val="0"/>
          <w:color w:val="0B1F3A"/>
          <w:sz w:val="24"/>
        </w:rPr>
        <w:t>15.6.2 Investigation</w:t>
      </w:r>
    </w:p>
    <w:p>
      <w:r>
        <w:rPr>
          <w:rFonts w:ascii="Calibri" w:hAnsi="Calibri"/>
          <w:b w:val="0"/>
          <w:i w:val="0"/>
          <w:color w:val="101828"/>
          <w:sz w:val="21"/>
        </w:rPr>
        <w:t>An investigation is a documented, time-boxed process. The officer gathers evidence, records each step, and reaches one of a small number of conclusions.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Conclusion</w:t>
            </w:r>
          </w:p>
        </w:tc>
        <w:tc>
          <w:tcPr>
            <w:tcW w:type="dxa" w:w="3744"/>
            <w:shd w:val="clear" w:color="auto" w:fill="0B1F3A"/>
            <w:tcMar>
              <w:top w:w="60" w:type="dxa"/>
              <w:start w:w="110" w:type="dxa"/>
              <w:bottom w:w="60" w:type="dxa"/>
              <w:end w:w="110" w:type="dxa"/>
            </w:tcMar>
          </w:tcPr>
          <w:p>
            <w:pPr>
              <w:spacing w:after="0"/>
            </w:pPr>
            <w:r/>
            <w:r>
              <w:rPr>
                <w:rFonts w:ascii="Calibri" w:hAnsi="Calibri"/>
                <w:b/>
                <w:i w:val="0"/>
                <w:color w:val="FFFFFF"/>
                <w:sz w:val="16"/>
              </w:rPr>
              <w:t>Meaning</w:t>
            </w:r>
          </w:p>
        </w:tc>
        <w:tc>
          <w:tcPr>
            <w:tcW w:type="dxa" w:w="3744"/>
            <w:shd w:val="clear" w:color="auto" w:fill="0B1F3A"/>
            <w:tcMar>
              <w:top w:w="60" w:type="dxa"/>
              <w:start w:w="110" w:type="dxa"/>
              <w:bottom w:w="60" w:type="dxa"/>
              <w:end w:w="110" w:type="dxa"/>
            </w:tcMar>
          </w:tcPr>
          <w:p>
            <w:pPr>
              <w:spacing w:after="0"/>
            </w:pPr>
            <w:r/>
            <w:r>
              <w:rPr>
                <w:rFonts w:ascii="Calibri" w:hAnsi="Calibri"/>
                <w:b/>
                <w:i w:val="0"/>
                <w:color w:val="FFFFFF"/>
                <w:sz w:val="16"/>
              </w:rPr>
              <w:t>Action</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No concern</w:t>
            </w:r>
          </w:p>
        </w:tc>
        <w:tc>
          <w:tcPr>
            <w:tcW w:type="dxa" w:w="3744"/>
            <w:tcMar>
              <w:top w:w="60" w:type="dxa"/>
              <w:start w:w="110" w:type="dxa"/>
              <w:bottom w:w="60" w:type="dxa"/>
              <w:end w:w="110" w:type="dxa"/>
            </w:tcMar>
          </w:tcPr>
          <w:p>
            <w:pPr>
              <w:spacing w:after="0"/>
            </w:pPr>
            <w:r/>
            <w:r>
              <w:rPr>
                <w:rFonts w:ascii="Calibri" w:hAnsi="Calibri"/>
                <w:b w:val="0"/>
                <w:i w:val="0"/>
                <w:color w:val="101828"/>
                <w:sz w:val="16"/>
              </w:rPr>
              <w:t>Legitimate activity</w:t>
            </w:r>
          </w:p>
        </w:tc>
        <w:tc>
          <w:tcPr>
            <w:tcW w:type="dxa" w:w="3744"/>
            <w:tcMar>
              <w:top w:w="60" w:type="dxa"/>
              <w:start w:w="110" w:type="dxa"/>
              <w:bottom w:w="60" w:type="dxa"/>
              <w:end w:w="110" w:type="dxa"/>
            </w:tcMar>
          </w:tcPr>
          <w:p>
            <w:pPr>
              <w:spacing w:after="0"/>
            </w:pPr>
            <w:r/>
            <w:r>
              <w:rPr>
                <w:rFonts w:ascii="Calibri" w:hAnsi="Calibri"/>
                <w:b w:val="0"/>
                <w:i w:val="0"/>
                <w:color w:val="101828"/>
                <w:sz w:val="16"/>
              </w:rPr>
              <w:t>Release all holds. Record the outcome so the pattern is visible next time</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Suspicious, resolved</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Concern explained by circumstance</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Release, and tune the signal if it was a false positive</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Confirmed fraud</w:t>
            </w:r>
          </w:p>
        </w:tc>
        <w:tc>
          <w:tcPr>
            <w:tcW w:type="dxa" w:w="3744"/>
            <w:tcMar>
              <w:top w:w="60" w:type="dxa"/>
              <w:start w:w="110" w:type="dxa"/>
              <w:bottom w:w="60" w:type="dxa"/>
              <w:end w:w="110" w:type="dxa"/>
            </w:tcMar>
          </w:tcPr>
          <w:p>
            <w:pPr>
              <w:spacing w:after="0"/>
            </w:pPr>
            <w:r/>
            <w:r>
              <w:rPr>
                <w:rFonts w:ascii="Calibri" w:hAnsi="Calibri"/>
                <w:b w:val="0"/>
                <w:i w:val="0"/>
                <w:color w:val="101828"/>
                <w:sz w:val="16"/>
              </w:rPr>
              <w:t>Deliberate abuse</w:t>
            </w:r>
          </w:p>
        </w:tc>
        <w:tc>
          <w:tcPr>
            <w:tcW w:type="dxa" w:w="3744"/>
            <w:tcMar>
              <w:top w:w="60" w:type="dxa"/>
              <w:start w:w="110" w:type="dxa"/>
              <w:bottom w:w="60" w:type="dxa"/>
              <w:end w:w="110" w:type="dxa"/>
            </w:tcMar>
          </w:tcPr>
          <w:p>
            <w:pPr>
              <w:spacing w:after="0"/>
            </w:pPr>
            <w:r/>
            <w:r>
              <w:rPr>
                <w:rFonts w:ascii="Calibri" w:hAnsi="Calibri"/>
                <w:b w:val="0"/>
                <w:i w:val="0"/>
                <w:color w:val="101828"/>
                <w:sz w:val="16"/>
              </w:rPr>
              <w:t>Recover funds where possible; suspend; consider referral; decide on restitution</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Money mule</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Account used to move third-party funds</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Freeze, restrict, and refer to law enforcement and the FIU</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Organizer abuse</w:t>
            </w:r>
          </w:p>
        </w:tc>
        <w:tc>
          <w:tcPr>
            <w:tcW w:type="dxa" w:w="3744"/>
            <w:tcMar>
              <w:top w:w="60" w:type="dxa"/>
              <w:start w:w="110" w:type="dxa"/>
              <w:bottom w:w="60" w:type="dxa"/>
              <w:end w:w="110" w:type="dxa"/>
            </w:tcMar>
          </w:tcPr>
          <w:p>
            <w:pPr>
              <w:spacing w:after="0"/>
            </w:pPr>
            <w:r/>
            <w:r>
              <w:rPr>
                <w:rFonts w:ascii="Calibri" w:hAnsi="Calibri"/>
                <w:b w:val="0"/>
                <w:i w:val="0"/>
                <w:color w:val="101828"/>
                <w:sz w:val="16"/>
              </w:rPr>
              <w:t>Misconduct by an Ajo organizer</w:t>
            </w:r>
          </w:p>
        </w:tc>
        <w:tc>
          <w:tcPr>
            <w:tcW w:type="dxa" w:w="3744"/>
            <w:tcMar>
              <w:top w:w="60" w:type="dxa"/>
              <w:start w:w="110" w:type="dxa"/>
              <w:bottom w:w="60" w:type="dxa"/>
              <w:end w:w="110" w:type="dxa"/>
            </w:tcMar>
          </w:tcPr>
          <w:p>
            <w:pPr>
              <w:spacing w:after="0"/>
            </w:pPr>
            <w:r/>
            <w:r>
              <w:rPr>
                <w:rFonts w:ascii="Calibri" w:hAnsi="Calibri"/>
                <w:b w:val="0"/>
                <w:i w:val="0"/>
                <w:color w:val="101828"/>
                <w:sz w:val="16"/>
              </w:rPr>
              <w:t>Remove organizer role, audit the Ajo, notify members, review the cycle</w:t>
            </w:r>
          </w:p>
        </w:tc>
      </w:tr>
    </w:tbl>
    <w:p>
      <w:pPr>
        <w:spacing w:after="80"/>
      </w:pPr>
    </w:p>
    <w:p>
      <w:r>
        <w:rPr>
          <w:rFonts w:ascii="Calibri" w:hAnsi="Calibri"/>
          <w:b w:val="0"/>
          <w:i w:val="0"/>
          <w:color w:val="101828"/>
          <w:sz w:val="21"/>
        </w:rPr>
        <w:t xml:space="preserve">Suspicious Activity Reports are filed where legally required, by a nominated officer, in the format and to the authority the law specifies, within the statutory deadline. Whether AJO.ng is a reporting entity under Nigerian law is a </w:t>
      </w:r>
      <w:r>
        <w:rPr>
          <w:rFonts w:ascii="Calibri" w:hAnsi="Calibri"/>
          <w:b/>
          <w:color w:val="101828"/>
          <w:sz w:val="21"/>
        </w:rPr>
        <w:t>legal determination that must be confirmed before launch</w:t>
      </w:r>
      <w:r>
        <w:rPr>
          <w:rFonts w:ascii="Calibri" w:hAnsi="Calibri"/>
          <w:b w:val="0"/>
          <w:i w:val="0"/>
          <w:color w:val="101828"/>
          <w:sz w:val="21"/>
        </w:rPr>
        <w:t>; the platform should be built as though it is, because retrofitting a reporting obligation under regulatory pressure is far harder than having it in place.</w:t>
      </w:r>
    </w:p>
    <w:p>
      <w:pPr>
        <w:pStyle w:val="Heading2"/>
      </w:pPr>
      <w:r>
        <w:rPr>
          <w:rFonts w:ascii="Calibri" w:hAnsi="Calibri"/>
          <w:b/>
          <w:i w:val="0"/>
          <w:color w:val="146EF5"/>
          <w:sz w:val="29"/>
        </w:rPr>
        <w:t>15.7 Fraud and the member experience</w:t>
      </w:r>
    </w:p>
    <w:p>
      <w:r>
        <w:rPr>
          <w:rFonts w:ascii="Calibri" w:hAnsi="Calibri"/>
          <w:b w:val="0"/>
          <w:i w:val="0"/>
          <w:color w:val="101828"/>
          <w:sz w:val="21"/>
        </w:rPr>
        <w:t>Fraud controls fail in two directions: too little, which costs money, and too much, which costs members. The product must be designed for the second case as carefully as the engineering is for the first.</w:t>
      </w:r>
    </w:p>
    <w:p>
      <w:pPr>
        <w:pStyle w:val="ListBullet"/>
        <w:spacing w:after="60"/>
        <w:ind w:left="360"/>
      </w:pPr>
      <w:r>
        <w:rPr>
          <w:rFonts w:ascii="Calibri" w:hAnsi="Calibri"/>
          <w:b w:val="0"/>
          <w:i w:val="0"/>
          <w:color w:val="101828"/>
          <w:sz w:val="21"/>
        </w:rPr>
        <w:t>Every hold, delay, and review is explained in plain language, with what is happening, why, and when it will be resolved. 'Your payment is being reviewed' is acceptable; silence is not.</w:t>
      </w:r>
    </w:p>
    <w:p>
      <w:pPr>
        <w:pStyle w:val="ListBullet"/>
        <w:spacing w:after="60"/>
        <w:ind w:left="360"/>
      </w:pPr>
      <w:r>
        <w:rPr>
          <w:rFonts w:ascii="Calibri" w:hAnsi="Calibri"/>
          <w:b w:val="0"/>
          <w:i w:val="0"/>
          <w:color w:val="101828"/>
          <w:sz w:val="21"/>
        </w:rPr>
        <w:t>A member can see the status of their own payout at all times, including when it is held, and why.</w:t>
      </w:r>
    </w:p>
    <w:p>
      <w:pPr>
        <w:pStyle w:val="ListBullet"/>
        <w:spacing w:after="60"/>
        <w:ind w:left="360"/>
      </w:pPr>
      <w:r>
        <w:rPr>
          <w:rFonts w:ascii="Calibri" w:hAnsi="Calibri"/>
          <w:b w:val="0"/>
          <w:i w:val="0"/>
          <w:color w:val="101828"/>
          <w:sz w:val="21"/>
        </w:rPr>
        <w:t>A member can dispute a risk decision, and the dispute is answered. A system with no appeal route will accumulate grievances that surface publicly.</w:t>
      </w:r>
    </w:p>
    <w:p>
      <w:pPr>
        <w:pStyle w:val="ListBullet"/>
        <w:spacing w:after="60"/>
        <w:ind w:left="360"/>
      </w:pPr>
      <w:r>
        <w:rPr>
          <w:rFonts w:ascii="Calibri" w:hAnsi="Calibri"/>
          <w:b w:val="0"/>
          <w:i w:val="0"/>
          <w:color w:val="101828"/>
          <w:sz w:val="21"/>
        </w:rPr>
        <w:t>The cooling-off period is stated up front, at the moment of the bank change, not discovered two weeks later at the payout.</w:t>
      </w:r>
    </w:p>
    <w:p>
      <w:pPr>
        <w:pStyle w:val="ListBullet"/>
        <w:spacing w:after="60"/>
        <w:ind w:left="360"/>
      </w:pPr>
      <w:r>
        <w:rPr>
          <w:rFonts w:ascii="Calibri" w:hAnsi="Calibri"/>
          <w:b w:val="0"/>
          <w:i w:val="0"/>
          <w:color w:val="101828"/>
          <w:sz w:val="21"/>
        </w:rPr>
        <w:t>False positives are measured as a first-class metric (15.10), and controls are retired when their false-positive cost exceeds their fraud benefit.</w:t>
      </w:r>
    </w:p>
    <w:p>
      <w:pPr>
        <w:pStyle w:val="Heading2"/>
      </w:pPr>
      <w:r>
        <w:rPr>
          <w:rFonts w:ascii="Calibri" w:hAnsi="Calibri"/>
          <w:b/>
          <w:i w:val="0"/>
          <w:color w:val="146EF5"/>
          <w:sz w:val="29"/>
        </w:rPr>
        <w:t>15.8 Organizer risk</w:t>
      </w:r>
    </w:p>
    <w:p>
      <w:r>
        <w:rPr>
          <w:rFonts w:ascii="Calibri" w:hAnsi="Calibri"/>
          <w:b w:val="0"/>
          <w:i w:val="0"/>
          <w:color w:val="101828"/>
          <w:sz w:val="21"/>
        </w:rPr>
        <w:t>The organizer is the one participant the platform cannot verify away. They are a real person with real influence over real money, and the controls here are behavioural and social rather than technical.</w:t>
      </w:r>
    </w:p>
    <w:p>
      <w:pPr>
        <w:pStyle w:val="ListBullet"/>
        <w:spacing w:after="60"/>
        <w:ind w:left="360"/>
      </w:pPr>
      <w:r>
        <w:rPr>
          <w:rFonts w:ascii="Calibri" w:hAnsi="Calibri"/>
          <w:b/>
          <w:color w:val="101828"/>
          <w:sz w:val="21"/>
        </w:rPr>
        <w:t>Off-platform solicitation is prohibited</w:t>
      </w:r>
      <w:r>
        <w:rPr>
          <w:rFonts w:ascii="Calibri" w:hAnsi="Calibri"/>
          <w:b w:val="0"/>
          <w:i w:val="0"/>
          <w:color w:val="101828"/>
          <w:sz w:val="21"/>
        </w:rPr>
        <w:t xml:space="preserve"> — an organizer may not collect money, request BVN, or arrange payment outside AJO.ng. Contributions are made only in-app, always to the platform.</w:t>
      </w:r>
    </w:p>
    <w:p>
      <w:pPr>
        <w:pStyle w:val="ListBullet"/>
        <w:spacing w:after="60"/>
        <w:ind w:left="360"/>
      </w:pPr>
      <w:r>
        <w:rPr>
          <w:rFonts w:ascii="Calibri" w:hAnsi="Calibri"/>
          <w:b/>
          <w:color w:val="101828"/>
          <w:sz w:val="21"/>
        </w:rPr>
        <w:t>The member-facing fee is fixed</w:t>
      </w:r>
      <w:r>
        <w:rPr>
          <w:rFonts w:ascii="Calibri" w:hAnsi="Calibri"/>
          <w:b w:val="0"/>
          <w:i w:val="0"/>
          <w:color w:val="101828"/>
          <w:sz w:val="21"/>
        </w:rPr>
        <w:t xml:space="preserve"> — an organizer may not add a fee, levy, or 'handling charge'. The 2% is the whole cost to the member.</w:t>
      </w:r>
    </w:p>
    <w:p>
      <w:pPr>
        <w:pStyle w:val="ListBullet"/>
        <w:spacing w:after="60"/>
        <w:ind w:left="360"/>
      </w:pPr>
      <w:r>
        <w:rPr>
          <w:rFonts w:ascii="Calibri" w:hAnsi="Calibri"/>
          <w:b/>
          <w:color w:val="101828"/>
          <w:sz w:val="21"/>
        </w:rPr>
        <w:t>No private messaging for financial matters</w:t>
      </w:r>
      <w:r>
        <w:rPr>
          <w:rFonts w:ascii="Calibri" w:hAnsi="Calibri"/>
          <w:b w:val="0"/>
          <w:i w:val="0"/>
          <w:color w:val="101828"/>
          <w:sz w:val="21"/>
        </w:rPr>
        <w:t xml:space="preserve"> — organizer communication about money happens through AJO.ng, where it is recorded. A private channel is where fraud and coercion thrive.</w:t>
      </w:r>
    </w:p>
    <w:p>
      <w:pPr>
        <w:pStyle w:val="ListBullet"/>
        <w:spacing w:after="60"/>
        <w:ind w:left="360"/>
      </w:pPr>
      <w:r>
        <w:rPr>
          <w:rFonts w:ascii="Calibri" w:hAnsi="Calibri"/>
          <w:b/>
          <w:color w:val="101828"/>
          <w:sz w:val="21"/>
        </w:rPr>
        <w:t>No exclusion after activation</w:t>
      </w:r>
      <w:r>
        <w:rPr>
          <w:rFonts w:ascii="Calibri" w:hAnsi="Calibri"/>
          <w:b w:val="0"/>
          <w:i w:val="0"/>
          <w:color w:val="101828"/>
          <w:sz w:val="21"/>
        </w:rPr>
        <w:t xml:space="preserve"> — an organizer who dislikes a member cannot remove them, because their committed contributions are already in the pool.</w:t>
      </w:r>
    </w:p>
    <w:p>
      <w:pPr>
        <w:pStyle w:val="ListBullet"/>
        <w:spacing w:after="60"/>
        <w:ind w:left="360"/>
      </w:pPr>
      <w:r>
        <w:rPr>
          <w:rFonts w:ascii="Calibri" w:hAnsi="Calibri"/>
          <w:b/>
          <w:color w:val="101828"/>
          <w:sz w:val="21"/>
        </w:rPr>
        <w:t>Member reporting</w:t>
      </w:r>
      <w:r>
        <w:rPr>
          <w:rFonts w:ascii="Calibri" w:hAnsi="Calibri"/>
          <w:b w:val="0"/>
          <w:i w:val="0"/>
          <w:color w:val="101828"/>
          <w:sz w:val="21"/>
        </w:rPr>
        <w:t xml:space="preserve"> — any member may report an organizer, and reports are reviewed by a risk officer, not by the organizer.</w:t>
      </w:r>
    </w:p>
    <w:p>
      <w:pPr>
        <w:pStyle w:val="ListBullet"/>
        <w:spacing w:after="60"/>
        <w:ind w:left="360"/>
      </w:pPr>
      <w:r>
        <w:rPr>
          <w:rFonts w:ascii="Calibri" w:hAnsi="Calibri"/>
          <w:b/>
          <w:color w:val="101828"/>
          <w:sz w:val="21"/>
        </w:rPr>
        <w:t>Pattern monitoring</w:t>
      </w:r>
      <w:r>
        <w:rPr>
          <w:rFonts w:ascii="Calibri" w:hAnsi="Calibri"/>
          <w:b w:val="0"/>
          <w:i w:val="0"/>
          <w:color w:val="101828"/>
          <w:sz w:val="21"/>
        </w:rPr>
        <w:t xml:space="preserve"> — repeated Ajo creation and abandonment, unusually rapid default rates, and organiser behaviour that correlates with member complaints all raise the risk level.</w:t>
      </w:r>
    </w:p>
    <w:p>
      <w:pPr>
        <w:pStyle w:val="Heading2"/>
      </w:pPr>
      <w:r>
        <w:rPr>
          <w:rFonts w:ascii="Calibri" w:hAnsi="Calibri"/>
          <w:b/>
          <w:i w:val="0"/>
          <w:color w:val="146EF5"/>
          <w:sz w:val="29"/>
        </w:rPr>
        <w:t>15.9 Fraud operations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Function</w:t>
            </w:r>
          </w:p>
        </w:tc>
        <w:tc>
          <w:tcPr>
            <w:tcW w:type="dxa" w:w="4752"/>
            <w:shd w:val="clear" w:color="auto" w:fill="0B1F3A"/>
            <w:tcMar>
              <w:top w:w="60" w:type="dxa"/>
              <w:start w:w="110" w:type="dxa"/>
              <w:bottom w:w="60" w:type="dxa"/>
              <w:end w:w="110" w:type="dxa"/>
            </w:tcMar>
          </w:tcPr>
          <w:p>
            <w:pPr>
              <w:spacing w:after="0"/>
            </w:pPr>
            <w:r/>
            <w:r>
              <w:rPr>
                <w:rFonts w:ascii="Calibri" w:hAnsi="Calibri"/>
                <w:b/>
                <w:i w:val="0"/>
                <w:color w:val="FFFFFF"/>
                <w:sz w:val="16"/>
              </w:rPr>
              <w:t>Responsibility</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Coverage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Automated triage</w:t>
            </w:r>
          </w:p>
        </w:tc>
        <w:tc>
          <w:tcPr>
            <w:tcW w:type="dxa" w:w="4752"/>
            <w:tcMar>
              <w:top w:w="60" w:type="dxa"/>
              <w:start w:w="110" w:type="dxa"/>
              <w:bottom w:w="60" w:type="dxa"/>
              <w:end w:w="110" w:type="dxa"/>
            </w:tcMar>
          </w:tcPr>
          <w:p>
            <w:pPr>
              <w:spacing w:after="0"/>
            </w:pPr>
            <w:r/>
            <w:r>
              <w:rPr>
                <w:rFonts w:ascii="Calibri" w:hAnsi="Calibri"/>
                <w:b w:val="0"/>
                <w:i w:val="0"/>
                <w:color w:val="101828"/>
                <w:sz w:val="16"/>
              </w:rPr>
              <w:t>Scoring, queueing, alerting</w:t>
            </w:r>
          </w:p>
        </w:tc>
        <w:tc>
          <w:tcPr>
            <w:tcW w:type="dxa" w:w="2160"/>
            <w:tcMar>
              <w:top w:w="60" w:type="dxa"/>
              <w:start w:w="110" w:type="dxa"/>
              <w:bottom w:w="60" w:type="dxa"/>
              <w:end w:w="110" w:type="dxa"/>
            </w:tcMar>
          </w:tcPr>
          <w:p>
            <w:pPr>
              <w:spacing w:after="0"/>
            </w:pPr>
            <w:r/>
            <w:r>
              <w:rPr>
                <w:rFonts w:ascii="Calibri" w:hAnsi="Calibri"/>
                <w:b w:val="0"/>
                <w:i w:val="0"/>
                <w:color w:val="101828"/>
                <w:sz w:val="16"/>
              </w:rPr>
              <w:t>24/7</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L1 analyst</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First-line review of alerts and disputes, standard playbook decisions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Business hours, extended for payout cycles</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L2 risk officer</w:t>
            </w:r>
          </w:p>
        </w:tc>
        <w:tc>
          <w:tcPr>
            <w:tcW w:type="dxa" w:w="4752"/>
            <w:tcMar>
              <w:top w:w="60" w:type="dxa"/>
              <w:start w:w="110" w:type="dxa"/>
              <w:bottom w:w="60" w:type="dxa"/>
              <w:end w:w="110" w:type="dxa"/>
            </w:tcMar>
          </w:tcPr>
          <w:p>
            <w:pPr>
              <w:spacing w:after="0"/>
            </w:pPr>
            <w:r/>
            <w:r>
              <w:rPr>
                <w:rFonts w:ascii="Calibri" w:hAnsi="Calibri"/>
                <w:b w:val="0"/>
                <w:i w:val="0"/>
                <w:color w:val="101828"/>
                <w:sz w:val="16"/>
              </w:rPr>
              <w:t>Complex cases, freezes, Ajo freezes, recovery strategies</w:t>
            </w:r>
          </w:p>
        </w:tc>
        <w:tc>
          <w:tcPr>
            <w:tcW w:type="dxa" w:w="2160"/>
            <w:tcMar>
              <w:top w:w="60" w:type="dxa"/>
              <w:start w:w="110" w:type="dxa"/>
              <w:bottom w:w="60" w:type="dxa"/>
              <w:end w:w="110" w:type="dxa"/>
            </w:tcMar>
          </w:tcPr>
          <w:p>
            <w:pPr>
              <w:spacing w:after="0"/>
            </w:pPr>
            <w:r/>
            <w:r>
              <w:rPr>
                <w:rFonts w:ascii="Calibri" w:hAnsi="Calibri"/>
                <w:b w:val="0"/>
                <w:i w:val="0"/>
                <w:color w:val="101828"/>
                <w:sz w:val="16"/>
              </w:rPr>
              <w:t>Business hours + on-call</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Money recovery</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Bank liaison, chargeback, recall attempts, law enforcement liaison</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As required</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Data protection officer</w:t>
            </w:r>
          </w:p>
        </w:tc>
        <w:tc>
          <w:tcPr>
            <w:tcW w:type="dxa" w:w="4752"/>
            <w:tcMar>
              <w:top w:w="60" w:type="dxa"/>
              <w:start w:w="110" w:type="dxa"/>
              <w:bottom w:w="60" w:type="dxa"/>
              <w:end w:w="110" w:type="dxa"/>
            </w:tcMar>
          </w:tcPr>
          <w:p>
            <w:pPr>
              <w:spacing w:after="0"/>
            </w:pPr>
            <w:r/>
            <w:r>
              <w:rPr>
                <w:rFonts w:ascii="Calibri" w:hAnsi="Calibri"/>
                <w:b w:val="0"/>
                <w:i w:val="0"/>
                <w:color w:val="101828"/>
                <w:sz w:val="16"/>
              </w:rPr>
              <w:t>Breach assessment, regulatory notification, SAR oversight</w:t>
            </w:r>
          </w:p>
        </w:tc>
        <w:tc>
          <w:tcPr>
            <w:tcW w:type="dxa" w:w="2160"/>
            <w:tcMar>
              <w:top w:w="60" w:type="dxa"/>
              <w:start w:w="110" w:type="dxa"/>
              <w:bottom w:w="60" w:type="dxa"/>
              <w:end w:w="110" w:type="dxa"/>
            </w:tcMar>
          </w:tcPr>
          <w:p>
            <w:pPr>
              <w:spacing w:after="0"/>
            </w:pPr>
            <w:r/>
            <w:r>
              <w:rPr>
                <w:rFonts w:ascii="Calibri" w:hAnsi="Calibri"/>
                <w:b w:val="0"/>
                <w:i w:val="0"/>
                <w:color w:val="101828"/>
                <w:sz w:val="16"/>
              </w:rPr>
              <w:t>Named individual</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SAR / reporting officer</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Filing to the FIU and other authorities within statutory deadlines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Named individual</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Money laundering reporting officer</w:t>
            </w:r>
          </w:p>
        </w:tc>
        <w:tc>
          <w:tcPr>
            <w:tcW w:type="dxa" w:w="4752"/>
            <w:tcMar>
              <w:top w:w="60" w:type="dxa"/>
              <w:start w:w="110" w:type="dxa"/>
              <w:bottom w:w="60" w:type="dxa"/>
              <w:end w:w="110" w:type="dxa"/>
            </w:tcMar>
          </w:tcPr>
          <w:p>
            <w:pPr>
              <w:spacing w:after="0"/>
            </w:pPr>
            <w:r/>
            <w:r>
              <w:rPr>
                <w:rFonts w:ascii="Calibri" w:hAnsi="Calibri"/>
                <w:b w:val="0"/>
                <w:i w:val="0"/>
                <w:color w:val="101828"/>
                <w:sz w:val="16"/>
              </w:rPr>
              <w:t>Overall MLRO accountability</w:t>
            </w:r>
          </w:p>
        </w:tc>
        <w:tc>
          <w:tcPr>
            <w:tcW w:type="dxa" w:w="2160"/>
            <w:tcMar>
              <w:top w:w="60" w:type="dxa"/>
              <w:start w:w="110" w:type="dxa"/>
              <w:bottom w:w="60" w:type="dxa"/>
              <w:end w:w="110" w:type="dxa"/>
            </w:tcMar>
          </w:tcPr>
          <w:p>
            <w:pPr>
              <w:spacing w:after="0"/>
            </w:pPr>
            <w:r/>
            <w:r>
              <w:rPr>
                <w:rFonts w:ascii="Calibri" w:hAnsi="Calibri"/>
                <w:b/>
                <w:color w:val="101828"/>
                <w:sz w:val="16"/>
              </w:rPr>
              <w:t>Role must be confirmed as legally required</w:t>
            </w:r>
          </w:p>
        </w:tc>
      </w:tr>
    </w:tbl>
    <w:p>
      <w:pPr>
        <w:spacing w:after="80"/>
      </w:pPr>
    </w:p>
    <w:p>
      <w:r>
        <w:rPr>
          <w:rFonts w:ascii="Calibri" w:hAnsi="Calibri"/>
          <w:b w:val="0"/>
          <w:i w:val="0"/>
          <w:color w:val="101828"/>
          <w:sz w:val="21"/>
        </w:rPr>
        <w:t>The organisational separation between the L1 analyst who triages and the L2 officer who freezes is deliberate: the person who reviews the alert should not also be the person who decides what happens to a member.</w:t>
      </w:r>
    </w:p>
    <w:p>
      <w:pPr>
        <w:pStyle w:val="Heading2"/>
      </w:pPr>
      <w:r>
        <w:rPr>
          <w:rFonts w:ascii="Calibri" w:hAnsi="Calibri"/>
          <w:b/>
          <w:i w:val="0"/>
          <w:color w:val="146EF5"/>
          <w:sz w:val="29"/>
        </w:rPr>
        <w:t>15.10 Risk metrics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Metric</w:t>
            </w:r>
          </w:p>
        </w:tc>
        <w:tc>
          <w:tcPr>
            <w:tcW w:type="dxa" w:w="3024"/>
            <w:shd w:val="clear" w:color="auto" w:fill="0B1F3A"/>
            <w:tcMar>
              <w:top w:w="60" w:type="dxa"/>
              <w:start w:w="110" w:type="dxa"/>
              <w:bottom w:w="60" w:type="dxa"/>
              <w:end w:w="110" w:type="dxa"/>
            </w:tcMar>
          </w:tcPr>
          <w:p>
            <w:pPr>
              <w:spacing w:after="0"/>
            </w:pPr>
            <w:r/>
            <w:r>
              <w:rPr>
                <w:rFonts w:ascii="Calibri" w:hAnsi="Calibri"/>
                <w:b/>
                <w:i w:val="0"/>
                <w:color w:val="FFFFFF"/>
                <w:sz w:val="16"/>
              </w:rPr>
              <w:t>Definition</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Target</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Note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Gross fraud loss</w:t>
            </w:r>
          </w:p>
        </w:tc>
        <w:tc>
          <w:tcPr>
            <w:tcW w:type="dxa" w:w="3024"/>
            <w:tcMar>
              <w:top w:w="60" w:type="dxa"/>
              <w:start w:w="110" w:type="dxa"/>
              <w:bottom w:w="60" w:type="dxa"/>
              <w:end w:w="110" w:type="dxa"/>
            </w:tcMar>
          </w:tcPr>
          <w:p>
            <w:pPr>
              <w:spacing w:after="0"/>
            </w:pPr>
            <w:r/>
            <w:r>
              <w:rPr>
                <w:rFonts w:ascii="Calibri" w:hAnsi="Calibri"/>
                <w:b w:val="0"/>
                <w:i w:val="0"/>
                <w:color w:val="101828"/>
                <w:sz w:val="16"/>
              </w:rPr>
              <w:t>Confirmed fraud loss ÷ payment volume</w:t>
            </w:r>
          </w:p>
        </w:tc>
        <w:tc>
          <w:tcPr>
            <w:tcW w:type="dxa" w:w="1584"/>
            <w:tcMar>
              <w:top w:w="60" w:type="dxa"/>
              <w:start w:w="110" w:type="dxa"/>
              <w:bottom w:w="60" w:type="dxa"/>
              <w:end w:w="110" w:type="dxa"/>
            </w:tcMar>
          </w:tcPr>
          <w:p>
            <w:pPr>
              <w:spacing w:after="0"/>
            </w:pPr>
            <w:r/>
            <w:r>
              <w:rPr>
                <w:rFonts w:ascii="Calibri" w:hAnsi="Calibri"/>
                <w:b w:val="0"/>
                <w:i w:val="0"/>
                <w:color w:val="101828"/>
                <w:sz w:val="16"/>
              </w:rPr>
              <w:t>Declining trend</w:t>
            </w:r>
          </w:p>
        </w:tc>
        <w:tc>
          <w:tcPr>
            <w:tcW w:type="dxa" w:w="2304"/>
            <w:tcMar>
              <w:top w:w="60" w:type="dxa"/>
              <w:start w:w="110" w:type="dxa"/>
              <w:bottom w:w="60" w:type="dxa"/>
              <w:end w:w="110" w:type="dxa"/>
            </w:tcMar>
          </w:tcPr>
          <w:p>
            <w:pPr>
              <w:spacing w:after="0"/>
            </w:pPr>
            <w:r/>
            <w:r>
              <w:rPr>
                <w:rFonts w:ascii="Calibri" w:hAnsi="Calibri"/>
                <w:b w:val="0"/>
                <w:i w:val="0"/>
                <w:color w:val="101828"/>
                <w:sz w:val="16"/>
              </w:rPr>
              <w:t>The number the board sees</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Fraud basis points</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Basis points of volume lost to fraud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&lt; 5 bps</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Comfortably below the 2% fee — the fee is not a fraud budget</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Detection rate</w:t>
            </w:r>
          </w:p>
        </w:tc>
        <w:tc>
          <w:tcPr>
            <w:tcW w:type="dxa" w:w="3024"/>
            <w:tcMar>
              <w:top w:w="60" w:type="dxa"/>
              <w:start w:w="110" w:type="dxa"/>
              <w:bottom w:w="60" w:type="dxa"/>
              <w:end w:w="110" w:type="dxa"/>
            </w:tcMar>
          </w:tcPr>
          <w:p>
            <w:pPr>
              <w:spacing w:after="0"/>
            </w:pPr>
            <w:r/>
            <w:r>
              <w:rPr>
                <w:rFonts w:ascii="Calibri" w:hAnsi="Calibri"/>
                <w:b w:val="0"/>
                <w:i w:val="0"/>
                <w:color w:val="101828"/>
                <w:sz w:val="16"/>
              </w:rPr>
              <w:t>Confirmed fraud caught before loss ÷ total confirmed fraud</w:t>
            </w:r>
          </w:p>
        </w:tc>
        <w:tc>
          <w:tcPr>
            <w:tcW w:type="dxa" w:w="1584"/>
            <w:tcMar>
              <w:top w:w="60" w:type="dxa"/>
              <w:start w:w="110" w:type="dxa"/>
              <w:bottom w:w="60" w:type="dxa"/>
              <w:end w:w="110" w:type="dxa"/>
            </w:tcMar>
          </w:tcPr>
          <w:p>
            <w:pPr>
              <w:spacing w:after="0"/>
            </w:pPr>
            <w:r/>
            <w:r>
              <w:rPr>
                <w:rFonts w:ascii="Calibri" w:hAnsi="Calibri"/>
                <w:b w:val="0"/>
                <w:i w:val="0"/>
                <w:color w:val="101828"/>
                <w:sz w:val="16"/>
              </w:rPr>
              <w:t>&gt; 70%</w:t>
            </w:r>
          </w:p>
        </w:tc>
        <w:tc>
          <w:tcPr>
            <w:tcW w:type="dxa" w:w="2304"/>
            <w:tcMar>
              <w:top w:w="60" w:type="dxa"/>
              <w:start w:w="110" w:type="dxa"/>
              <w:bottom w:w="60" w:type="dxa"/>
              <w:end w:w="110" w:type="dxa"/>
            </w:tcMar>
          </w:tcPr>
          <w:p>
            <w:pPr>
              <w:spacing w:after="0"/>
            </w:pPr>
            <w:r/>
            <w:r>
              <w:rPr>
                <w:rFonts w:ascii="Calibri" w:hAnsi="Calibri"/>
                <w:b w:val="0"/>
                <w:i w:val="0"/>
                <w:color w:val="101828"/>
                <w:sz w:val="16"/>
              </w:rPr>
              <w:t>The rest is recovered or written off</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False positive rate</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False holds ÷ total holds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&lt; 10%</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Member-experience metric. Reviewed monthly</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Time to detection</w:t>
            </w:r>
          </w:p>
        </w:tc>
        <w:tc>
          <w:tcPr>
            <w:tcW w:type="dxa" w:w="3024"/>
            <w:tcMar>
              <w:top w:w="60" w:type="dxa"/>
              <w:start w:w="110" w:type="dxa"/>
              <w:bottom w:w="60" w:type="dxa"/>
              <w:end w:w="110" w:type="dxa"/>
            </w:tcMar>
          </w:tcPr>
          <w:p>
            <w:pPr>
              <w:spacing w:after="0"/>
            </w:pPr>
            <w:r/>
            <w:r>
              <w:rPr>
                <w:rFonts w:ascii="Calibri" w:hAnsi="Calibri"/>
                <w:b w:val="0"/>
                <w:i w:val="0"/>
                <w:color w:val="101828"/>
                <w:sz w:val="16"/>
              </w:rPr>
              <w:t>Onset to alert</w:t>
            </w:r>
          </w:p>
        </w:tc>
        <w:tc>
          <w:tcPr>
            <w:tcW w:type="dxa" w:w="1584"/>
            <w:tcMar>
              <w:top w:w="60" w:type="dxa"/>
              <w:start w:w="110" w:type="dxa"/>
              <w:bottom w:w="60" w:type="dxa"/>
              <w:end w:w="110" w:type="dxa"/>
            </w:tcMar>
          </w:tcPr>
          <w:p>
            <w:pPr>
              <w:spacing w:after="0"/>
            </w:pPr>
            <w:r/>
            <w:r>
              <w:rPr>
                <w:rFonts w:ascii="Calibri" w:hAnsi="Calibri"/>
                <w:b w:val="0"/>
                <w:i w:val="0"/>
                <w:color w:val="101828"/>
                <w:sz w:val="16"/>
              </w:rPr>
              <w:t>&lt; 1 hour for payout redirection</w:t>
            </w:r>
          </w:p>
        </w:tc>
        <w:tc>
          <w:tcPr>
            <w:tcW w:type="dxa" w:w="2304"/>
            <w:tcMar>
              <w:top w:w="60" w:type="dxa"/>
              <w:start w:w="110" w:type="dxa"/>
              <w:bottom w:w="60" w:type="dxa"/>
              <w:end w:w="110" w:type="dxa"/>
            </w:tcMar>
          </w:tcPr>
          <w:p>
            <w:pPr>
              <w:spacing w:after="0"/>
            </w:pPr>
            <w:r/>
            <w:r>
              <w:rPr>
                <w:rFonts w:ascii="Calibri" w:hAnsi="Calibri"/>
                <w:b w:val="0"/>
                <w:i w:val="0"/>
                <w:color w:val="101828"/>
                <w:sz w:val="16"/>
              </w:rPr>
              <w:t>Recoverability decays sharply after this</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Time to decision</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Alert to human decision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&lt; 24 hours</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Bounded automatically to prevent stranding</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Recovery rate</w:t>
            </w:r>
          </w:p>
        </w:tc>
        <w:tc>
          <w:tcPr>
            <w:tcW w:type="dxa" w:w="3024"/>
            <w:tcMar>
              <w:top w:w="60" w:type="dxa"/>
              <w:start w:w="110" w:type="dxa"/>
              <w:bottom w:w="60" w:type="dxa"/>
              <w:end w:w="110" w:type="dxa"/>
            </w:tcMar>
          </w:tcPr>
          <w:p>
            <w:pPr>
              <w:spacing w:after="0"/>
            </w:pPr>
            <w:r/>
            <w:r>
              <w:rPr>
                <w:rFonts w:ascii="Calibri" w:hAnsi="Calibri"/>
                <w:b w:val="0"/>
                <w:i w:val="0"/>
                <w:color w:val="101828"/>
                <w:sz w:val="16"/>
              </w:rPr>
              <w:t>Recovered ÷ attempted recovery</w:t>
            </w:r>
          </w:p>
        </w:tc>
        <w:tc>
          <w:tcPr>
            <w:tcW w:type="dxa" w:w="1584"/>
            <w:tcMar>
              <w:top w:w="60" w:type="dxa"/>
              <w:start w:w="110" w:type="dxa"/>
              <w:bottom w:w="60" w:type="dxa"/>
              <w:end w:w="110" w:type="dxa"/>
            </w:tcMar>
          </w:tcPr>
          <w:p>
            <w:pPr>
              <w:spacing w:after="0"/>
            </w:pPr>
            <w:r/>
            <w:r>
              <w:rPr>
                <w:rFonts w:ascii="Calibri" w:hAnsi="Calibri"/>
                <w:b w:val="0"/>
                <w:i w:val="0"/>
                <w:color w:val="101828"/>
                <w:sz w:val="16"/>
              </w:rPr>
              <w:t>&gt; 30%</w:t>
            </w:r>
          </w:p>
        </w:tc>
        <w:tc>
          <w:tcPr>
            <w:tcW w:type="dxa" w:w="2304"/>
            <w:tcMar>
              <w:top w:w="60" w:type="dxa"/>
              <w:start w:w="110" w:type="dxa"/>
              <w:bottom w:w="60" w:type="dxa"/>
              <w:end w:w="110" w:type="dxa"/>
            </w:tcMar>
          </w:tcPr>
          <w:p>
            <w:pPr>
              <w:spacing w:after="0"/>
            </w:pPr>
            <w:r/>
            <w:r>
              <w:rPr>
                <w:rFonts w:ascii="Calibri" w:hAnsi="Calibri"/>
                <w:b w:val="0"/>
                <w:i w:val="0"/>
                <w:color w:val="101828"/>
                <w:sz w:val="16"/>
              </w:rPr>
              <w:t>Depends on how fast we move</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SAR filing timeliness</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Filed within the statutory deadline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100%</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Zero tolerance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Sanctions hit rate</w:t>
            </w:r>
          </w:p>
        </w:tc>
        <w:tc>
          <w:tcPr>
            <w:tcW w:type="dxa" w:w="3024"/>
            <w:tcMar>
              <w:top w:w="60" w:type="dxa"/>
              <w:start w:w="110" w:type="dxa"/>
              <w:bottom w:w="60" w:type="dxa"/>
              <w:end w:w="110" w:type="dxa"/>
            </w:tcMar>
          </w:tcPr>
          <w:p>
            <w:pPr>
              <w:spacing w:after="0"/>
            </w:pPr>
            <w:r/>
            <w:r>
              <w:rPr>
                <w:rFonts w:ascii="Calibri" w:hAnsi="Calibri"/>
                <w:b w:val="0"/>
                <w:i w:val="0"/>
                <w:color w:val="101828"/>
                <w:sz w:val="16"/>
              </w:rPr>
              <w:t>True matches ÷ alerts</w:t>
            </w:r>
          </w:p>
        </w:tc>
        <w:tc>
          <w:tcPr>
            <w:tcW w:type="dxa" w:w="1584"/>
            <w:tcMar>
              <w:top w:w="60" w:type="dxa"/>
              <w:start w:w="110" w:type="dxa"/>
              <w:bottom w:w="60" w:type="dxa"/>
              <w:end w:w="110" w:type="dxa"/>
            </w:tcMar>
          </w:tcPr>
          <w:p>
            <w:pPr>
              <w:spacing w:after="0"/>
            </w:pPr>
            <w:r/>
            <w:r>
              <w:rPr>
                <w:rFonts w:ascii="Calibri" w:hAnsi="Calibri"/>
                <w:b w:val="0"/>
                <w:i w:val="0"/>
                <w:color w:val="101828"/>
                <w:sz w:val="16"/>
              </w:rPr>
              <w:t>Investigate all</w:t>
            </w:r>
          </w:p>
        </w:tc>
        <w:tc>
          <w:tcPr>
            <w:tcW w:type="dxa" w:w="2304"/>
            <w:tcMar>
              <w:top w:w="60" w:type="dxa"/>
              <w:start w:w="110" w:type="dxa"/>
              <w:bottom w:w="60" w:type="dxa"/>
              <w:end w:w="110" w:type="dxa"/>
            </w:tcMar>
          </w:tcPr>
          <w:p>
            <w:pPr>
              <w:spacing w:after="0"/>
            </w:pPr>
            <w:r/>
            <w:r>
              <w:rPr>
                <w:rFonts w:ascii="Calibri" w:hAnsi="Calibri"/>
                <w:b w:val="0"/>
                <w:i w:val="0"/>
                <w:color w:val="101828"/>
                <w:sz w:val="16"/>
              </w:rPr>
              <w:t>Also a false-positive concern — a blocked innocent is a serious harm</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Organizer complaint rate</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Reports per 100 active organizers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Declining trend</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A leading indicator of community health</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Fraud cost is a fraction of the fee — but not of trust.  </w:t>
      </w:r>
      <w:r>
        <w:rPr>
          <w:rFonts w:ascii="Calibri" w:hAnsi="Calibri"/>
          <w:b w:val="0"/>
          <w:i w:val="0"/>
          <w:color w:val="0B1F3A"/>
          <w:sz w:val="19"/>
        </w:rPr>
        <w:t>At 5 basis points, fraud consumes a quarter of the 2% fee. That is sustainable. What is not sustainable is a member whose money was taken and who was then told it was their own fault. The financial case for good fraud controls is comfortable; the reason to do them well is the member.</w:t>
      </w:r>
    </w:p>
    <w:p>
      <w:r>
        <w:br w:type="page"/>
      </w:r>
    </w:p>
    <w:p>
      <w:pPr>
        <w:pStyle w:val="Heading1"/>
        <w:pBdr>
          <w:bottom w:val="single" w:sz="12" w:space="6" w:color="146EF5"/>
        </w:pBdr>
        <w:spacing w:after="240"/>
      </w:pPr>
      <w:r>
        <w:rPr>
          <w:rFonts w:ascii="Calibri" w:hAnsi="Calibri"/>
          <w:b/>
          <w:i w:val="0"/>
          <w:color w:val="0B1F3A"/>
          <w:sz w:val="40"/>
        </w:rPr>
        <w:t>16. Notifications and Messaging</w:t>
      </w:r>
    </w:p>
    <w:p>
      <w:pPr>
        <w:spacing w:after="200"/>
      </w:pPr>
      <w:r>
        <w:rPr>
          <w:rFonts w:ascii="Calibri" w:hAnsi="Calibri"/>
          <w:b w:val="0"/>
          <w:i w:val="0"/>
          <w:color w:val="475467"/>
          <w:sz w:val="24"/>
        </w:rPr>
        <w:t>An Ajo is a schedule that other people depend on. The notification system is not a convenience feature — it is the mechanism by which members know when money is due, when money has arrived, and when something has gone wrong. If notifications fail, the product fails, because people stop trusting it.</w:t>
      </w:r>
    </w:p>
    <w:p>
      <w:pPr>
        <w:pStyle w:val="Heading2"/>
      </w:pPr>
      <w:r>
        <w:rPr>
          <w:rFonts w:ascii="Calibri" w:hAnsi="Calibri"/>
          <w:b/>
          <w:i w:val="0"/>
          <w:color w:val="146EF5"/>
          <w:sz w:val="29"/>
        </w:rPr>
        <w:t>16.1 Principles</w:t>
      </w:r>
    </w:p>
    <w:p>
      <w:pPr>
        <w:pStyle w:val="ListNumber"/>
        <w:spacing w:after="60"/>
        <w:ind w:left="432"/>
      </w:pPr>
      <w:r>
        <w:rPr>
          <w:rFonts w:ascii="Calibri" w:hAnsi="Calibri"/>
          <w:b/>
          <w:color w:val="101828"/>
          <w:sz w:val="21"/>
        </w:rPr>
        <w:t>Every money event is notified, in every channel the member has enabled.</w:t>
      </w:r>
      <w:r>
        <w:rPr>
          <w:rFonts w:ascii="Calibri" w:hAnsi="Calibri"/>
          <w:b w:val="0"/>
          <w:i w:val="0"/>
          <w:color w:val="101828"/>
          <w:sz w:val="21"/>
        </w:rPr>
        <w:t xml:space="preserve"> No exceptions, no opt-out for financial events.</w:t>
      </w:r>
    </w:p>
    <w:p>
      <w:pPr>
        <w:pStyle w:val="ListNumber"/>
        <w:spacing w:after="60"/>
        <w:ind w:left="432"/>
      </w:pPr>
      <w:r>
        <w:rPr>
          <w:rFonts w:ascii="Calibri" w:hAnsi="Calibri"/>
          <w:b/>
          <w:color w:val="101828"/>
          <w:sz w:val="21"/>
        </w:rPr>
        <w:t>In-app is the source of truth; push, email, and SMS are delivery mechanisms.</w:t>
      </w:r>
      <w:r>
        <w:rPr>
          <w:rFonts w:ascii="Calibri" w:hAnsi="Calibri"/>
          <w:b w:val="0"/>
          <w:i w:val="0"/>
          <w:color w:val="101828"/>
          <w:sz w:val="21"/>
        </w:rPr>
        <w:t xml:space="preserve"> A member who misses a push still sees the event in the app.</w:t>
      </w:r>
    </w:p>
    <w:p>
      <w:pPr>
        <w:pStyle w:val="ListNumber"/>
        <w:spacing w:after="60"/>
        <w:ind w:left="432"/>
      </w:pPr>
      <w:r>
        <w:rPr>
          <w:rFonts w:ascii="Calibri" w:hAnsi="Calibri"/>
          <w:b/>
          <w:color w:val="101828"/>
          <w:sz w:val="21"/>
        </w:rPr>
        <w:t>Urgent, actionable, and informational are different things.</w:t>
      </w:r>
      <w:r>
        <w:rPr>
          <w:rFonts w:ascii="Calibri" w:hAnsi="Calibri"/>
          <w:b w:val="0"/>
          <w:i w:val="0"/>
          <w:color w:val="101828"/>
          <w:sz w:val="21"/>
        </w:rPr>
        <w:t xml:space="preserve"> They have different channels, different cadences, and different escalation rules.</w:t>
      </w:r>
    </w:p>
    <w:p>
      <w:pPr>
        <w:pStyle w:val="ListNumber"/>
        <w:spacing w:after="60"/>
        <w:ind w:left="432"/>
      </w:pPr>
      <w:r>
        <w:rPr>
          <w:rFonts w:ascii="Calibri" w:hAnsi="Calibri"/>
          <w:b/>
          <w:color w:val="101828"/>
          <w:sz w:val="21"/>
        </w:rPr>
        <w:t>Never notify in a way that leaks sensitive financial information.</w:t>
      </w:r>
      <w:r>
        <w:rPr>
          <w:rFonts w:ascii="Calibri" w:hAnsi="Calibri"/>
          <w:b w:val="0"/>
          <w:i w:val="0"/>
          <w:color w:val="101828"/>
          <w:sz w:val="21"/>
        </w:rPr>
        <w:t xml:space="preserve"> A lock-screen notification saying 'You were paid NGN 10,000' is a privacy problem on a shared phone.</w:t>
      </w:r>
    </w:p>
    <w:p>
      <w:pPr>
        <w:pStyle w:val="ListNumber"/>
        <w:spacing w:after="60"/>
        <w:ind w:left="432"/>
      </w:pPr>
      <w:r>
        <w:rPr>
          <w:rFonts w:ascii="Calibri" w:hAnsi="Calibri"/>
          <w:b/>
          <w:color w:val="101828"/>
          <w:sz w:val="21"/>
        </w:rPr>
        <w:t>Send money information, not personal information.</w:t>
      </w:r>
      <w:r>
        <w:rPr>
          <w:rFonts w:ascii="Calibri" w:hAnsi="Calibri"/>
          <w:b w:val="0"/>
          <w:i w:val="0"/>
          <w:color w:val="101828"/>
          <w:sz w:val="21"/>
        </w:rPr>
        <w:t xml:space="preserve"> Amounts and events are safe; balances, bank details, and BVN never appear in a notification.</w:t>
      </w:r>
    </w:p>
    <w:p>
      <w:pPr>
        <w:pStyle w:val="ListNumber"/>
        <w:spacing w:after="60"/>
        <w:ind w:left="432"/>
      </w:pPr>
      <w:r>
        <w:rPr>
          <w:rFonts w:ascii="Calibri" w:hAnsi="Calibri"/>
          <w:b/>
          <w:color w:val="101828"/>
          <w:sz w:val="21"/>
        </w:rPr>
        <w:t>Preference-respecting, with one hard exception.</w:t>
      </w:r>
      <w:r>
        <w:rPr>
          <w:rFonts w:ascii="Calibri" w:hAnsi="Calibri"/>
          <w:b w:val="0"/>
          <w:i w:val="0"/>
          <w:color w:val="101828"/>
          <w:sz w:val="21"/>
        </w:rPr>
        <w:t xml:space="preserve"> Members choose channels and quiet hours for non-essential categories. Money events ignore quiet hours.</w:t>
      </w:r>
    </w:p>
    <w:p>
      <w:pPr>
        <w:spacing w:before="140" w:after="180"/>
        <w:ind w:left="144"/>
        <w:shd w:val="clear" w:color="auto" w:fill="FEF3C7"/>
        <w:pBdr>
          <w:left w:val="single" w:sz="18" w:space="6" w:color="FBBF24"/>
        </w:pBdr>
      </w:pPr>
      <w:r>
        <w:rPr>
          <w:rFonts w:ascii="Calibri" w:hAnsi="Calibri"/>
          <w:b/>
          <w:color w:val="FBBF24"/>
          <w:sz w:val="19"/>
        </w:rPr>
        <w:t xml:space="preserve">Financial notifications cannot be opted out of.  </w:t>
      </w:r>
      <w:r>
        <w:rPr>
          <w:rFonts w:ascii="Calibri" w:hAnsi="Calibri"/>
          <w:b w:val="0"/>
          <w:i w:val="0"/>
          <w:color w:val="0B1F3A"/>
          <w:sz w:val="19"/>
        </w:rPr>
        <w:t>Opting out of a payment notification is a design mistake with real consequences: a member who misses 'your contribution is due' defaults, which harms the whole group. Money events are mandatory on at least one channel. Everything else is a preference.</w:t>
      </w:r>
    </w:p>
    <w:p>
      <w:pPr>
        <w:pStyle w:val="Heading2"/>
      </w:pPr>
      <w:r>
        <w:rPr>
          <w:rFonts w:ascii="Calibri" w:hAnsi="Calibri"/>
          <w:b/>
          <w:i w:val="0"/>
          <w:color w:val="146EF5"/>
          <w:sz w:val="29"/>
        </w:rPr>
        <w:t>16.2 Channels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Channel</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Strengths</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Limitations</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Used for</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In-app</w:t>
            </w:r>
          </w:p>
        </w:tc>
        <w:tc>
          <w:tcPr>
            <w:tcW w:type="dxa" w:w="2736"/>
            <w:tcMar>
              <w:top w:w="60" w:type="dxa"/>
              <w:start w:w="110" w:type="dxa"/>
              <w:bottom w:w="60" w:type="dxa"/>
              <w:end w:w="110" w:type="dxa"/>
            </w:tcMar>
          </w:tcPr>
          <w:p>
            <w:pPr>
              <w:spacing w:after="0"/>
            </w:pPr>
            <w:r/>
            <w:r>
              <w:rPr>
                <w:rFonts w:ascii="Calibri" w:hAnsi="Calibri"/>
                <w:b w:val="0"/>
                <w:i w:val="0"/>
                <w:color w:val="101828"/>
                <w:sz w:val="16"/>
              </w:rPr>
              <w:t>Always available, rich content, no cost, no third-party dependency</w:t>
            </w:r>
          </w:p>
        </w:tc>
        <w:tc>
          <w:tcPr>
            <w:tcW w:type="dxa" w:w="2736"/>
            <w:tcMar>
              <w:top w:w="60" w:type="dxa"/>
              <w:start w:w="110" w:type="dxa"/>
              <w:bottom w:w="60" w:type="dxa"/>
              <w:end w:w="110" w:type="dxa"/>
            </w:tcMar>
          </w:tcPr>
          <w:p>
            <w:pPr>
              <w:spacing w:after="0"/>
            </w:pPr>
            <w:r/>
            <w:r>
              <w:rPr>
                <w:rFonts w:ascii="Calibri" w:hAnsi="Calibri"/>
                <w:b w:val="0"/>
                <w:i w:val="0"/>
                <w:color w:val="101828"/>
                <w:sz w:val="16"/>
              </w:rPr>
              <w:t>Requires the app to be opened</w:t>
            </w:r>
          </w:p>
        </w:tc>
        <w:tc>
          <w:tcPr>
            <w:tcW w:type="dxa" w:w="2304"/>
            <w:tcMar>
              <w:top w:w="60" w:type="dxa"/>
              <w:start w:w="110" w:type="dxa"/>
              <w:bottom w:w="60" w:type="dxa"/>
              <w:end w:w="110" w:type="dxa"/>
            </w:tcMar>
          </w:tcPr>
          <w:p>
            <w:pPr>
              <w:spacing w:after="0"/>
            </w:pPr>
            <w:r/>
            <w:r>
              <w:rPr>
                <w:rFonts w:ascii="Calibri" w:hAnsi="Calibri"/>
                <w:b w:val="0"/>
                <w:i w:val="0"/>
                <w:color w:val="101828"/>
                <w:sz w:val="16"/>
              </w:rPr>
              <w:t>Everything. The canonical record</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Push (APNs / FCM)</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Fast, low friction, high open rate, works on mobile data</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Requires permission; silent if the app is killed; OS-level throttling</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All money events; reminders; urgent</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Email</w:t>
            </w:r>
          </w:p>
        </w:tc>
        <w:tc>
          <w:tcPr>
            <w:tcW w:type="dxa" w:w="2736"/>
            <w:tcMar>
              <w:top w:w="60" w:type="dxa"/>
              <w:start w:w="110" w:type="dxa"/>
              <w:bottom w:w="60" w:type="dxa"/>
              <w:end w:w="110" w:type="dxa"/>
            </w:tcMar>
          </w:tcPr>
          <w:p>
            <w:pPr>
              <w:spacing w:after="0"/>
            </w:pPr>
            <w:r/>
            <w:r>
              <w:rPr>
                <w:rFonts w:ascii="Calibri" w:hAnsi="Calibri"/>
                <w:b w:val="0"/>
                <w:i w:val="0"/>
                <w:color w:val="101828"/>
                <w:sz w:val="16"/>
              </w:rPr>
              <w:t>Rich, linkable, attachable, works on desktop and web</w:t>
            </w:r>
          </w:p>
        </w:tc>
        <w:tc>
          <w:tcPr>
            <w:tcW w:type="dxa" w:w="2736"/>
            <w:tcMar>
              <w:top w:w="60" w:type="dxa"/>
              <w:start w:w="110" w:type="dxa"/>
              <w:bottom w:w="60" w:type="dxa"/>
              <w:end w:w="110" w:type="dxa"/>
            </w:tcMar>
          </w:tcPr>
          <w:p>
            <w:pPr>
              <w:spacing w:after="0"/>
            </w:pPr>
            <w:r/>
            <w:r>
              <w:rPr>
                <w:rFonts w:ascii="Calibri" w:hAnsi="Calibri"/>
                <w:b w:val="0"/>
                <w:i w:val="0"/>
                <w:color w:val="101828"/>
                <w:sz w:val="16"/>
              </w:rPr>
              <w:t>Slow, often filtered, requires an app check</w:t>
            </w:r>
          </w:p>
        </w:tc>
        <w:tc>
          <w:tcPr>
            <w:tcW w:type="dxa" w:w="2304"/>
            <w:tcMar>
              <w:top w:w="60" w:type="dxa"/>
              <w:start w:w="110" w:type="dxa"/>
              <w:bottom w:w="60" w:type="dxa"/>
              <w:end w:w="110" w:type="dxa"/>
            </w:tcMar>
          </w:tcPr>
          <w:p>
            <w:pPr>
              <w:spacing w:after="0"/>
            </w:pPr>
            <w:r/>
            <w:r>
              <w:rPr>
                <w:rFonts w:ascii="Calibri" w:hAnsi="Calibri"/>
                <w:b w:val="0"/>
                <w:i w:val="0"/>
                <w:color w:val="101828"/>
                <w:sz w:val="16"/>
              </w:rPr>
              <w:t>Monthly statements; Ajo invitations; security alerts; long-form</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SMS</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Reaches any phone, no smartphone needed, no app required</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Cost per message, character limits, poor readability, spoofable</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Critical fallback: payment due, payout sent, security</w:t>
            </w:r>
          </w:p>
        </w:tc>
      </w:tr>
      <w:tr>
        <w:trPr>
          <w:cantSplit/>
        </w:trPr>
        <w:tc>
          <w:tcPr>
            <w:tcW w:type="dxa" w:w="1584"/>
            <w:tcMar>
              <w:top w:w="60" w:type="dxa"/>
              <w:start w:w="110" w:type="dxa"/>
              <w:bottom w:w="60" w:type="dxa"/>
              <w:end w:w="110" w:type="dxa"/>
            </w:tcMar>
          </w:tcPr>
          <w:p>
            <w:pPr>
              <w:spacing w:after="0"/>
            </w:pPr>
            <w:r/>
            <w:r>
              <w:rPr>
                <w:rFonts w:ascii="Calibri" w:hAnsi="Calibri"/>
                <w:b w:val="0"/>
                <w:i w:val="0"/>
                <w:color w:val="101828"/>
                <w:sz w:val="16"/>
              </w:rPr>
              <w:t>WhatsApp Business API</w:t>
            </w:r>
          </w:p>
        </w:tc>
        <w:tc>
          <w:tcPr>
            <w:tcW w:type="dxa" w:w="2736"/>
            <w:tcMar>
              <w:top w:w="60" w:type="dxa"/>
              <w:start w:w="110" w:type="dxa"/>
              <w:bottom w:w="60" w:type="dxa"/>
              <w:end w:w="110" w:type="dxa"/>
            </w:tcMar>
          </w:tcPr>
          <w:p>
            <w:pPr>
              <w:spacing w:after="0"/>
            </w:pPr>
            <w:r/>
            <w:r>
              <w:rPr>
                <w:rFonts w:ascii="Calibri" w:hAnsi="Calibri"/>
                <w:b w:val="0"/>
                <w:i w:val="0"/>
                <w:color w:val="101828"/>
                <w:sz w:val="16"/>
              </w:rPr>
              <w:t>Where members already are; high engagement; rich media</w:t>
            </w:r>
          </w:p>
        </w:tc>
        <w:tc>
          <w:tcPr>
            <w:tcW w:type="dxa" w:w="2736"/>
            <w:tcMar>
              <w:top w:w="60" w:type="dxa"/>
              <w:start w:w="110" w:type="dxa"/>
              <w:bottom w:w="60" w:type="dxa"/>
              <w:end w:w="110" w:type="dxa"/>
            </w:tcMar>
          </w:tcPr>
          <w:p>
            <w:pPr>
              <w:spacing w:after="0"/>
            </w:pPr>
            <w:r/>
            <w:r>
              <w:rPr>
                <w:rFonts w:ascii="Calibri" w:hAnsi="Calibri"/>
                <w:b w:val="0"/>
                <w:i w:val="0"/>
                <w:color w:val="101828"/>
                <w:sz w:val="16"/>
              </w:rPr>
              <w:t>Requires opt-in, template approval, per-message cost, 24-hour session window</w:t>
            </w:r>
          </w:p>
        </w:tc>
        <w:tc>
          <w:tcPr>
            <w:tcW w:type="dxa" w:w="2304"/>
            <w:tcMar>
              <w:top w:w="60" w:type="dxa"/>
              <w:start w:w="110" w:type="dxa"/>
              <w:bottom w:w="60" w:type="dxa"/>
              <w:end w:w="110" w:type="dxa"/>
            </w:tcMar>
          </w:tcPr>
          <w:p>
            <w:pPr>
              <w:spacing w:after="0"/>
            </w:pPr>
            <w:r/>
            <w:r>
              <w:rPr>
                <w:rFonts w:ascii="Calibri" w:hAnsi="Calibri"/>
                <w:b w:val="0"/>
                <w:i w:val="0"/>
                <w:color w:val="101828"/>
                <w:sz w:val="16"/>
              </w:rPr>
              <w:t>Optional enhancement. Not a launch dependency</w:t>
            </w:r>
          </w:p>
        </w:tc>
      </w:tr>
      <w:tr>
        <w:trPr>
          <w:cantSplit/>
        </w:trPr>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In-app chat</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Direct, asynchronous, recorded</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Moderation burden, harassment risk</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Organizer–member questions within an Ajo</w:t>
            </w:r>
          </w:p>
        </w:tc>
      </w:tr>
    </w:tbl>
    <w:p>
      <w:pPr>
        <w:spacing w:after="80"/>
      </w:pPr>
    </w:p>
    <w:p>
      <w:r>
        <w:rPr>
          <w:rFonts w:ascii="Calibri" w:hAnsi="Calibri"/>
          <w:b w:val="0"/>
          <w:i w:val="0"/>
          <w:color w:val="101828"/>
          <w:sz w:val="21"/>
        </w:rPr>
        <w:t>AJO.ng's launch requirement is in-app plus push, with email and SMS as fallbacks. WhatsApp integration is valuable and should be built when the provider approval and cost are known, but it must never be the only channel for a money event.</w:t>
      </w:r>
    </w:p>
    <w:p>
      <w:pPr>
        <w:pStyle w:val="Heading2"/>
      </w:pPr>
      <w:r>
        <w:rPr>
          <w:rFonts w:ascii="Calibri" w:hAnsi="Calibri"/>
          <w:b/>
          <w:i w:val="0"/>
          <w:color w:val="146EF5"/>
          <w:sz w:val="29"/>
        </w:rPr>
        <w:t>16.3 Notification taxonomy</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Category</w:t>
            </w:r>
          </w:p>
        </w:tc>
        <w:tc>
          <w:tcPr>
            <w:tcW w:type="dxa" w:w="3600"/>
            <w:shd w:val="clear" w:color="auto" w:fill="0B1F3A"/>
            <w:tcMar>
              <w:top w:w="60" w:type="dxa"/>
              <w:start w:w="110" w:type="dxa"/>
              <w:bottom w:w="60" w:type="dxa"/>
              <w:end w:w="110" w:type="dxa"/>
            </w:tcMar>
          </w:tcPr>
          <w:p>
            <w:pPr>
              <w:spacing w:after="0"/>
            </w:pPr>
            <w:r/>
            <w:r>
              <w:rPr>
                <w:rFonts w:ascii="Calibri" w:hAnsi="Calibri"/>
                <w:b/>
                <w:i w:val="0"/>
                <w:color w:val="FFFFFF"/>
                <w:sz w:val="16"/>
              </w:rPr>
              <w:t>Examples</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Default channels</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Priority</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Money received</w:t>
            </w:r>
          </w:p>
        </w:tc>
        <w:tc>
          <w:tcPr>
            <w:tcW w:type="dxa" w:w="3600"/>
            <w:tcMar>
              <w:top w:w="60" w:type="dxa"/>
              <w:start w:w="110" w:type="dxa"/>
              <w:bottom w:w="60" w:type="dxa"/>
              <w:end w:w="110" w:type="dxa"/>
            </w:tcMar>
          </w:tcPr>
          <w:p>
            <w:pPr>
              <w:spacing w:after="0"/>
            </w:pPr>
            <w:r/>
            <w:r>
              <w:rPr>
                <w:rFonts w:ascii="Calibri" w:hAnsi="Calibri"/>
                <w:b w:val="0"/>
                <w:i w:val="0"/>
                <w:color w:val="101828"/>
                <w:sz w:val="16"/>
              </w:rPr>
              <w:t>Contribution confirmed; payout credited; refund issued</w:t>
            </w:r>
          </w:p>
        </w:tc>
        <w:tc>
          <w:tcPr>
            <w:tcW w:type="dxa" w:w="2160"/>
            <w:tcMar>
              <w:top w:w="60" w:type="dxa"/>
              <w:start w:w="110" w:type="dxa"/>
              <w:bottom w:w="60" w:type="dxa"/>
              <w:end w:w="110" w:type="dxa"/>
            </w:tcMar>
          </w:tcPr>
          <w:p>
            <w:pPr>
              <w:spacing w:after="0"/>
            </w:pPr>
            <w:r/>
            <w:r>
              <w:rPr>
                <w:rFonts w:ascii="Calibri" w:hAnsi="Calibri"/>
                <w:b w:val="0"/>
                <w:i w:val="0"/>
                <w:color w:val="101828"/>
                <w:sz w:val="16"/>
              </w:rPr>
              <w:t>Push + in-app + email</w:t>
            </w:r>
          </w:p>
        </w:tc>
        <w:tc>
          <w:tcPr>
            <w:tcW w:type="dxa" w:w="1296"/>
            <w:tcMar>
              <w:top w:w="60" w:type="dxa"/>
              <w:start w:w="110" w:type="dxa"/>
              <w:bottom w:w="60" w:type="dxa"/>
              <w:end w:w="110" w:type="dxa"/>
            </w:tcMar>
          </w:tcPr>
          <w:p>
            <w:pPr>
              <w:spacing w:after="0"/>
            </w:pPr>
            <w:r/>
            <w:r>
              <w:rPr>
                <w:rFonts w:ascii="Calibri" w:hAnsi="Calibri"/>
                <w:b w:val="0"/>
                <w:i w:val="0"/>
                <w:color w:val="101828"/>
                <w:sz w:val="16"/>
              </w:rPr>
              <w:t>Critical</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Money due</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Contribution due; round closing; last 24 hours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Push + in-app + SMS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High</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Money action needed</w:t>
            </w:r>
          </w:p>
        </w:tc>
        <w:tc>
          <w:tcPr>
            <w:tcW w:type="dxa" w:w="3600"/>
            <w:tcMar>
              <w:top w:w="60" w:type="dxa"/>
              <w:start w:w="110" w:type="dxa"/>
              <w:bottom w:w="60" w:type="dxa"/>
              <w:end w:w="110" w:type="dxa"/>
            </w:tcMar>
          </w:tcPr>
          <w:p>
            <w:pPr>
              <w:spacing w:after="0"/>
            </w:pPr>
            <w:r/>
            <w:r>
              <w:rPr>
                <w:rFonts w:ascii="Calibri" w:hAnsi="Calibri"/>
                <w:b w:val="0"/>
                <w:i w:val="0"/>
                <w:color w:val="101828"/>
                <w:sz w:val="16"/>
              </w:rPr>
              <w:t>Verification pending; bank-account change; step-up required; dispute outcome</w:t>
            </w:r>
          </w:p>
        </w:tc>
        <w:tc>
          <w:tcPr>
            <w:tcW w:type="dxa" w:w="2160"/>
            <w:tcMar>
              <w:top w:w="60" w:type="dxa"/>
              <w:start w:w="110" w:type="dxa"/>
              <w:bottom w:w="60" w:type="dxa"/>
              <w:end w:w="110" w:type="dxa"/>
            </w:tcMar>
          </w:tcPr>
          <w:p>
            <w:pPr>
              <w:spacing w:after="0"/>
            </w:pPr>
            <w:r/>
            <w:r>
              <w:rPr>
                <w:rFonts w:ascii="Calibri" w:hAnsi="Calibri"/>
                <w:b w:val="0"/>
                <w:i w:val="0"/>
                <w:color w:val="101828"/>
                <w:sz w:val="16"/>
              </w:rPr>
              <w:t>Push + in-app + email</w:t>
            </w:r>
          </w:p>
        </w:tc>
        <w:tc>
          <w:tcPr>
            <w:tcW w:type="dxa" w:w="1296"/>
            <w:tcMar>
              <w:top w:w="60" w:type="dxa"/>
              <w:start w:w="110" w:type="dxa"/>
              <w:bottom w:w="60" w:type="dxa"/>
              <w:end w:w="110" w:type="dxa"/>
            </w:tcMar>
          </w:tcPr>
          <w:p>
            <w:pPr>
              <w:spacing w:after="0"/>
            </w:pPr>
            <w:r/>
            <w:r>
              <w:rPr>
                <w:rFonts w:ascii="Calibri" w:hAnsi="Calibri"/>
                <w:b w:val="0"/>
                <w:i w:val="0"/>
                <w:color w:val="101828"/>
                <w:sz w:val="16"/>
              </w:rPr>
              <w:t>High</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Payout status</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Payout scheduled; payout sent; payout held for review</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Push + in-app + email + SMS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Critical</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Ajo lifecycle</w:t>
            </w:r>
          </w:p>
        </w:tc>
        <w:tc>
          <w:tcPr>
            <w:tcW w:type="dxa" w:w="3600"/>
            <w:tcMar>
              <w:top w:w="60" w:type="dxa"/>
              <w:start w:w="110" w:type="dxa"/>
              <w:bottom w:w="60" w:type="dxa"/>
              <w:end w:w="110" w:type="dxa"/>
            </w:tcMar>
          </w:tcPr>
          <w:p>
            <w:pPr>
              <w:spacing w:after="0"/>
            </w:pPr>
            <w:r/>
            <w:r>
              <w:rPr>
                <w:rFonts w:ascii="Calibri" w:hAnsi="Calibri"/>
                <w:b w:val="0"/>
                <w:i w:val="0"/>
                <w:color w:val="101828"/>
                <w:sz w:val="16"/>
              </w:rPr>
              <w:t>Ajo funded; Ajo completed; Ajo cancelled; new member joined</w:t>
            </w:r>
          </w:p>
        </w:tc>
        <w:tc>
          <w:tcPr>
            <w:tcW w:type="dxa" w:w="2160"/>
            <w:tcMar>
              <w:top w:w="60" w:type="dxa"/>
              <w:start w:w="110" w:type="dxa"/>
              <w:bottom w:w="60" w:type="dxa"/>
              <w:end w:w="110" w:type="dxa"/>
            </w:tcMar>
          </w:tcPr>
          <w:p>
            <w:pPr>
              <w:spacing w:after="0"/>
            </w:pPr>
            <w:r/>
            <w:r>
              <w:rPr>
                <w:rFonts w:ascii="Calibri" w:hAnsi="Calibri"/>
                <w:b w:val="0"/>
                <w:i w:val="0"/>
                <w:color w:val="101828"/>
                <w:sz w:val="16"/>
              </w:rPr>
              <w:t>Push + in-app</w:t>
            </w:r>
          </w:p>
        </w:tc>
        <w:tc>
          <w:tcPr>
            <w:tcW w:type="dxa" w:w="1296"/>
            <w:tcMar>
              <w:top w:w="60" w:type="dxa"/>
              <w:start w:w="110" w:type="dxa"/>
              <w:bottom w:w="60" w:type="dxa"/>
              <w:end w:w="110" w:type="dxa"/>
            </w:tcMar>
          </w:tcPr>
          <w:p>
            <w:pPr>
              <w:spacing w:after="0"/>
            </w:pPr>
            <w:r/>
            <w:r>
              <w:rPr>
                <w:rFonts w:ascii="Calibri" w:hAnsi="Calibri"/>
                <w:b w:val="0"/>
                <w:i w:val="0"/>
                <w:color w:val="101828"/>
                <w:sz w:val="16"/>
              </w:rPr>
              <w:t>Medium</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Default and recovery</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Payment failed; retry scheduled; grace period started; grace period ending</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Push + in-app + SMS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High</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Invitation</w:t>
            </w:r>
          </w:p>
        </w:tc>
        <w:tc>
          <w:tcPr>
            <w:tcW w:type="dxa" w:w="3600"/>
            <w:tcMar>
              <w:top w:w="60" w:type="dxa"/>
              <w:start w:w="110" w:type="dxa"/>
              <w:bottom w:w="60" w:type="dxa"/>
              <w:end w:w="110" w:type="dxa"/>
            </w:tcMar>
          </w:tcPr>
          <w:p>
            <w:pPr>
              <w:spacing w:after="0"/>
            </w:pPr>
            <w:r/>
            <w:r>
              <w:rPr>
                <w:rFonts w:ascii="Calibri" w:hAnsi="Calibri"/>
                <w:b w:val="0"/>
                <w:i w:val="0"/>
                <w:color w:val="101828"/>
                <w:sz w:val="16"/>
              </w:rPr>
              <w:t>Invited to an Ajo; invitation expiring</w:t>
            </w:r>
          </w:p>
        </w:tc>
        <w:tc>
          <w:tcPr>
            <w:tcW w:type="dxa" w:w="2160"/>
            <w:tcMar>
              <w:top w:w="60" w:type="dxa"/>
              <w:start w:w="110" w:type="dxa"/>
              <w:bottom w:w="60" w:type="dxa"/>
              <w:end w:w="110" w:type="dxa"/>
            </w:tcMar>
          </w:tcPr>
          <w:p>
            <w:pPr>
              <w:spacing w:after="0"/>
            </w:pPr>
            <w:r/>
            <w:r>
              <w:rPr>
                <w:rFonts w:ascii="Calibri" w:hAnsi="Calibri"/>
                <w:b w:val="0"/>
                <w:i w:val="0"/>
                <w:color w:val="101828"/>
                <w:sz w:val="16"/>
              </w:rPr>
              <w:t>Push + email + SMS</w:t>
            </w:r>
          </w:p>
        </w:tc>
        <w:tc>
          <w:tcPr>
            <w:tcW w:type="dxa" w:w="1296"/>
            <w:tcMar>
              <w:top w:w="60" w:type="dxa"/>
              <w:start w:w="110" w:type="dxa"/>
              <w:bottom w:w="60" w:type="dxa"/>
              <w:end w:w="110" w:type="dxa"/>
            </w:tcMar>
          </w:tcPr>
          <w:p>
            <w:pPr>
              <w:spacing w:after="0"/>
            </w:pPr>
            <w:r/>
            <w:r>
              <w:rPr>
                <w:rFonts w:ascii="Calibri" w:hAnsi="Calibri"/>
                <w:b w:val="0"/>
                <w:i w:val="0"/>
                <w:color w:val="101828"/>
                <w:sz w:val="16"/>
              </w:rPr>
              <w:t>Medium</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Security</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New device login; password changed; BVN or bank detail updated; token reuse detected</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Push + email + SMS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Critical</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Informational</w:t>
            </w:r>
          </w:p>
        </w:tc>
        <w:tc>
          <w:tcPr>
            <w:tcW w:type="dxa" w:w="3600"/>
            <w:tcMar>
              <w:top w:w="60" w:type="dxa"/>
              <w:start w:w="110" w:type="dxa"/>
              <w:bottom w:w="60" w:type="dxa"/>
              <w:end w:w="110" w:type="dxa"/>
            </w:tcMar>
          </w:tcPr>
          <w:p>
            <w:pPr>
              <w:spacing w:after="0"/>
            </w:pPr>
            <w:r/>
            <w:r>
              <w:rPr>
                <w:rFonts w:ascii="Calibri" w:hAnsi="Calibri"/>
                <w:b w:val="0"/>
                <w:i w:val="0"/>
                <w:color w:val="101828"/>
                <w:sz w:val="16"/>
              </w:rPr>
              <w:t>Round summary; Ajo anniversary; product updates; tips</w:t>
            </w:r>
          </w:p>
        </w:tc>
        <w:tc>
          <w:tcPr>
            <w:tcW w:type="dxa" w:w="2160"/>
            <w:tcMar>
              <w:top w:w="60" w:type="dxa"/>
              <w:start w:w="110" w:type="dxa"/>
              <w:bottom w:w="60" w:type="dxa"/>
              <w:end w:w="110" w:type="dxa"/>
            </w:tcMar>
          </w:tcPr>
          <w:p>
            <w:pPr>
              <w:spacing w:after="0"/>
            </w:pPr>
            <w:r/>
            <w:r>
              <w:rPr>
                <w:rFonts w:ascii="Calibri" w:hAnsi="Calibri"/>
                <w:b w:val="0"/>
                <w:i w:val="0"/>
                <w:color w:val="101828"/>
                <w:sz w:val="16"/>
              </w:rPr>
              <w:t>In-app + email</w:t>
            </w:r>
          </w:p>
        </w:tc>
        <w:tc>
          <w:tcPr>
            <w:tcW w:type="dxa" w:w="1296"/>
            <w:tcMar>
              <w:top w:w="60" w:type="dxa"/>
              <w:start w:w="110" w:type="dxa"/>
              <w:bottom w:w="60" w:type="dxa"/>
              <w:end w:w="110" w:type="dxa"/>
            </w:tcMar>
          </w:tcPr>
          <w:p>
            <w:pPr>
              <w:spacing w:after="0"/>
            </w:pPr>
            <w:r/>
            <w:r>
              <w:rPr>
                <w:rFonts w:ascii="Calibri" w:hAnsi="Calibri"/>
                <w:b w:val="0"/>
                <w:i w:val="0"/>
                <w:color w:val="101828"/>
                <w:sz w:val="16"/>
              </w:rPr>
              <w:t>Low</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Marketing</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Promotions; new features; campaigns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Email + push</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Low, opt-in</w:t>
            </w:r>
          </w:p>
        </w:tc>
      </w:tr>
    </w:tbl>
    <w:p>
      <w:pPr>
        <w:spacing w:after="80"/>
      </w:pPr>
    </w:p>
    <w:p>
      <w:pPr>
        <w:pStyle w:val="Heading2"/>
      </w:pPr>
      <w:r>
        <w:rPr>
          <w:rFonts w:ascii="Calibri" w:hAnsi="Calibri"/>
          <w:b/>
          <w:i w:val="0"/>
          <w:color w:val="146EF5"/>
          <w:sz w:val="29"/>
        </w:rPr>
        <w:t>16.4 Money event templates</w:t>
      </w:r>
    </w:p>
    <w:p>
      <w:r>
        <w:rPr>
          <w:rFonts w:ascii="Calibri" w:hAnsi="Calibri"/>
          <w:b w:val="0"/>
          <w:i w:val="0"/>
          <w:color w:val="101828"/>
          <w:sz w:val="21"/>
        </w:rPr>
        <w:t>Templates are the product. A vague notification causes a support call; a precise one does not. Every template below is written to be understood on a first read, by someone who is not thinking about the product.</w:t>
      </w:r>
    </w:p>
    <w:p>
      <w:pPr>
        <w:pStyle w:val="Heading3"/>
      </w:pPr>
      <w:r>
        <w:rPr>
          <w:rFonts w:ascii="Calibri" w:hAnsi="Calibri"/>
          <w:b/>
          <w:i w:val="0"/>
          <w:color w:val="0B1F3A"/>
          <w:sz w:val="24"/>
        </w:rPr>
        <w:t>16.4.1 Contribution due</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Element</w:t>
            </w:r>
          </w:p>
        </w:tc>
        <w:tc>
          <w:tcPr>
            <w:tcW w:type="dxa" w:w="7344"/>
            <w:shd w:val="clear" w:color="auto" w:fill="0B1F3A"/>
            <w:tcMar>
              <w:top w:w="60" w:type="dxa"/>
              <w:start w:w="110" w:type="dxa"/>
              <w:bottom w:w="60" w:type="dxa"/>
              <w:end w:w="110" w:type="dxa"/>
            </w:tcMar>
          </w:tcPr>
          <w:p>
            <w:pPr>
              <w:spacing w:after="0"/>
            </w:pPr>
            <w:r/>
            <w:r>
              <w:rPr>
                <w:rFonts w:ascii="Calibri" w:hAnsi="Calibri"/>
                <w:b/>
                <w:i w:val="0"/>
                <w:color w:val="FFFFFF"/>
                <w:sz w:val="16"/>
              </w:rPr>
              <w:t>Content</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Push title</w:t>
            </w:r>
          </w:p>
        </w:tc>
        <w:tc>
          <w:tcPr>
            <w:tcW w:type="dxa" w:w="7344"/>
            <w:tcMar>
              <w:top w:w="60" w:type="dxa"/>
              <w:start w:w="110" w:type="dxa"/>
              <w:bottom w:w="60" w:type="dxa"/>
              <w:end w:w="110" w:type="dxa"/>
            </w:tcMar>
          </w:tcPr>
          <w:p>
            <w:pPr>
              <w:spacing w:after="0"/>
            </w:pPr>
            <w:r/>
            <w:r>
              <w:rPr>
                <w:rFonts w:ascii="Calibri" w:hAnsi="Calibri"/>
                <w:b w:val="0"/>
                <w:i w:val="0"/>
                <w:color w:val="101828"/>
                <w:sz w:val="16"/>
              </w:rPr>
              <w:t>Contribution due — {Ajo name}</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Push body</w:t>
            </w:r>
          </w:p>
        </w:tc>
        <w:tc>
          <w:tcPr>
            <w:tcW w:type="dxa" w:w="7344"/>
            <w:tcMar>
              <w:top w:w="60" w:type="dxa"/>
              <w:start w:w="110" w:type="dxa"/>
              <w:bottom w:w="60" w:type="dxa"/>
              <w:end w:w="110" w:type="dxa"/>
            </w:tcMar>
            <w:shd w:val="clear" w:color="auto" w:fill="F4F7FB"/>
          </w:tcPr>
          <w:p>
            <w:pPr>
              <w:spacing w:after="0"/>
            </w:pPr>
            <w:r/>
            <w:r>
              <w:rPr>
                <w:rFonts w:ascii="Calibri" w:hAnsi="Calibri"/>
                <w:b w:val="0"/>
                <w:i w:val="0"/>
                <w:color w:val="101828"/>
                <w:sz w:val="16"/>
              </w:rPr>
              <w:t>Round {n} of {total}. NGN {amount + fee} is due by {date}. Tap to pay.</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SMS</w:t>
            </w:r>
          </w:p>
        </w:tc>
        <w:tc>
          <w:tcPr>
            <w:tcW w:type="dxa" w:w="7344"/>
            <w:tcMar>
              <w:top w:w="60" w:type="dxa"/>
              <w:start w:w="110" w:type="dxa"/>
              <w:bottom w:w="60" w:type="dxa"/>
              <w:end w:w="110" w:type="dxa"/>
            </w:tcMar>
          </w:tcPr>
          <w:p>
            <w:pPr>
              <w:spacing w:after="0"/>
            </w:pPr>
            <w:r/>
            <w:r>
              <w:rPr>
                <w:rFonts w:ascii="Calibri" w:hAnsi="Calibri"/>
                <w:b w:val="0"/>
                <w:i w:val="0"/>
                <w:color w:val="101828"/>
                <w:sz w:val="16"/>
              </w:rPr>
              <w:t>AJO.ng: Your {Ajo name} contribution of NGN {total} is due by {date}. Pay in the app.</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In-app title</w:t>
            </w:r>
          </w:p>
        </w:tc>
        <w:tc>
          <w:tcPr>
            <w:tcW w:type="dxa" w:w="7344"/>
            <w:tcMar>
              <w:top w:w="60" w:type="dxa"/>
              <w:start w:w="110" w:type="dxa"/>
              <w:bottom w:w="60" w:type="dxa"/>
              <w:end w:w="110" w:type="dxa"/>
            </w:tcMar>
            <w:shd w:val="clear" w:color="auto" w:fill="F4F7FB"/>
          </w:tcPr>
          <w:p>
            <w:pPr>
              <w:spacing w:after="0"/>
            </w:pPr>
            <w:r/>
            <w:r>
              <w:rPr>
                <w:rFonts w:ascii="Calibri" w:hAnsi="Calibri"/>
                <w:b w:val="0"/>
                <w:i w:val="0"/>
                <w:color w:val="101828"/>
                <w:sz w:val="16"/>
              </w:rPr>
              <w:t>Round {n} is open until {date}</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In-app body</w:t>
            </w:r>
          </w:p>
        </w:tc>
        <w:tc>
          <w:tcPr>
            <w:tcW w:type="dxa" w:w="7344"/>
            <w:tcMar>
              <w:top w:w="60" w:type="dxa"/>
              <w:start w:w="110" w:type="dxa"/>
              <w:bottom w:w="60" w:type="dxa"/>
              <w:end w:w="110" w:type="dxa"/>
            </w:tcMar>
          </w:tcPr>
          <w:p>
            <w:pPr>
              <w:spacing w:after="0"/>
            </w:pPr>
            <w:r/>
            <w:r>
              <w:rPr>
                <w:rFonts w:ascii="Calibri" w:hAnsi="Calibri"/>
                <w:b w:val="0"/>
                <w:i w:val="0"/>
                <w:color w:val="101828"/>
                <w:sz w:val="16"/>
              </w:rPr>
              <w:t>Contribute NGN {amount}. A NGN {fee} service fee applies, so NGN {total} in total. Your position stays funded when this is paid.</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CTA</w:t>
            </w:r>
          </w:p>
        </w:tc>
        <w:tc>
          <w:tcPr>
            <w:tcW w:type="dxa" w:w="7344"/>
            <w:tcMar>
              <w:top w:w="60" w:type="dxa"/>
              <w:start w:w="110" w:type="dxa"/>
              <w:bottom w:w="60" w:type="dxa"/>
              <w:end w:w="110" w:type="dxa"/>
            </w:tcMar>
            <w:shd w:val="clear" w:color="auto" w:fill="F4F7FB"/>
          </w:tcPr>
          <w:p>
            <w:pPr>
              <w:spacing w:after="0"/>
            </w:pPr>
            <w:r/>
            <w:r>
              <w:rPr>
                <w:rFonts w:ascii="Calibri" w:hAnsi="Calibri"/>
                <w:b w:val="0"/>
                <w:i w:val="0"/>
                <w:color w:val="101828"/>
                <w:sz w:val="16"/>
              </w:rPr>
              <w:t>Pay now</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Tone</w:t>
            </w:r>
          </w:p>
        </w:tc>
        <w:tc>
          <w:tcPr>
            <w:tcW w:type="dxa" w:w="7344"/>
            <w:tcMar>
              <w:top w:w="60" w:type="dxa"/>
              <w:start w:w="110" w:type="dxa"/>
              <w:bottom w:w="60" w:type="dxa"/>
              <w:end w:w="110" w:type="dxa"/>
            </w:tcMar>
          </w:tcPr>
          <w:p>
            <w:pPr>
              <w:spacing w:after="0"/>
            </w:pPr>
            <w:r/>
            <w:r>
              <w:rPr>
                <w:rFonts w:ascii="Calibri" w:hAnsi="Calibri"/>
                <w:b w:val="0"/>
                <w:i w:val="0"/>
                <w:color w:val="101828"/>
                <w:sz w:val="16"/>
              </w:rPr>
              <w:t>Neutral and factual. No guilt, no shaming, no urgency theatre</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Show the total, always.  </w:t>
      </w:r>
      <w:r>
        <w:rPr>
          <w:rFonts w:ascii="Calibri" w:hAnsi="Calibri"/>
          <w:b w:val="0"/>
          <w:i w:val="0"/>
          <w:color w:val="0B1F3A"/>
          <w:sz w:val="19"/>
        </w:rPr>
        <w:t>The contribution screen and the notification both state NGN 1,000 plus a NGN 20 fee, NGN 1,020 in total. A member who discovers a fee at the payment step feels ambushed and may abandon, and a member who is surprised later feels misinformed. Stating the total up front, twice, costs nothing.</w:t>
      </w:r>
    </w:p>
    <w:p>
      <w:pPr>
        <w:pStyle w:val="Heading3"/>
      </w:pPr>
      <w:r>
        <w:rPr>
          <w:rFonts w:ascii="Calibri" w:hAnsi="Calibri"/>
          <w:b/>
          <w:i w:val="0"/>
          <w:color w:val="0B1F3A"/>
          <w:sz w:val="24"/>
        </w:rPr>
        <w:t>16.4.2 Contribution confirmed</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Element</w:t>
            </w:r>
          </w:p>
        </w:tc>
        <w:tc>
          <w:tcPr>
            <w:tcW w:type="dxa" w:w="7344"/>
            <w:shd w:val="clear" w:color="auto" w:fill="0B1F3A"/>
            <w:tcMar>
              <w:top w:w="60" w:type="dxa"/>
              <w:start w:w="110" w:type="dxa"/>
              <w:bottom w:w="60" w:type="dxa"/>
              <w:end w:w="110" w:type="dxa"/>
            </w:tcMar>
          </w:tcPr>
          <w:p>
            <w:pPr>
              <w:spacing w:after="0"/>
            </w:pPr>
            <w:r/>
            <w:r>
              <w:rPr>
                <w:rFonts w:ascii="Calibri" w:hAnsi="Calibri"/>
                <w:b/>
                <w:i w:val="0"/>
                <w:color w:val="FFFFFF"/>
                <w:sz w:val="16"/>
              </w:rPr>
              <w:t>Content</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Push title</w:t>
            </w:r>
          </w:p>
        </w:tc>
        <w:tc>
          <w:tcPr>
            <w:tcW w:type="dxa" w:w="7344"/>
            <w:tcMar>
              <w:top w:w="60" w:type="dxa"/>
              <w:start w:w="110" w:type="dxa"/>
              <w:bottom w:w="60" w:type="dxa"/>
              <w:end w:w="110" w:type="dxa"/>
            </w:tcMar>
          </w:tcPr>
          <w:p>
            <w:pPr>
              <w:spacing w:after="0"/>
            </w:pPr>
            <w:r/>
            <w:r>
              <w:rPr>
                <w:rFonts w:ascii="Calibri" w:hAnsi="Calibri"/>
                <w:b w:val="0"/>
                <w:i w:val="0"/>
                <w:color w:val="101828"/>
                <w:sz w:val="16"/>
              </w:rPr>
              <w:t>Contribution received</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Push body</w:t>
            </w:r>
          </w:p>
        </w:tc>
        <w:tc>
          <w:tcPr>
            <w:tcW w:type="dxa" w:w="7344"/>
            <w:tcMar>
              <w:top w:w="60" w:type="dxa"/>
              <w:start w:w="110" w:type="dxa"/>
              <w:bottom w:w="60" w:type="dxa"/>
              <w:end w:w="110" w:type="dxa"/>
            </w:tcMar>
            <w:shd w:val="clear" w:color="auto" w:fill="F4F7FB"/>
          </w:tcPr>
          <w:p>
            <w:pPr>
              <w:spacing w:after="0"/>
            </w:pPr>
            <w:r/>
            <w:r>
              <w:rPr>
                <w:rFonts w:ascii="Calibri" w:hAnsi="Calibri"/>
                <w:b w:val="0"/>
                <w:i w:val="0"/>
                <w:color w:val="101828"/>
                <w:sz w:val="16"/>
              </w:rPr>
              <w:t>NGN {total} received for {Ajo name}, round {n}. You are fully funded for this round.</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In-app body</w:t>
            </w:r>
          </w:p>
        </w:tc>
        <w:tc>
          <w:tcPr>
            <w:tcW w:type="dxa" w:w="7344"/>
            <w:tcMar>
              <w:top w:w="60" w:type="dxa"/>
              <w:start w:w="110" w:type="dxa"/>
              <w:bottom w:w="60" w:type="dxa"/>
              <w:end w:w="110" w:type="dxa"/>
            </w:tcMar>
          </w:tcPr>
          <w:p>
            <w:pPr>
              <w:spacing w:after="0"/>
            </w:pPr>
            <w:r/>
            <w:r>
              <w:rPr>
                <w:rFonts w:ascii="Calibri" w:hAnsi="Calibri"/>
                <w:b w:val="0"/>
                <w:i w:val="0"/>
                <w:color w:val="101828"/>
                <w:sz w:val="16"/>
              </w:rPr>
              <w:t>We received NGN {total} — NGN {amount} to your Ajo pool and a NGN {fee} service fee. Your position is funded for round {n}.</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CTA</w:t>
            </w:r>
          </w:p>
        </w:tc>
        <w:tc>
          <w:tcPr>
            <w:tcW w:type="dxa" w:w="7344"/>
            <w:tcMar>
              <w:top w:w="60" w:type="dxa"/>
              <w:start w:w="110" w:type="dxa"/>
              <w:bottom w:w="60" w:type="dxa"/>
              <w:end w:w="110" w:type="dxa"/>
            </w:tcMar>
            <w:shd w:val="clear" w:color="auto" w:fill="F4F7FB"/>
          </w:tcPr>
          <w:p>
            <w:pPr>
              <w:spacing w:after="0"/>
            </w:pPr>
            <w:r/>
            <w:r>
              <w:rPr>
                <w:rFonts w:ascii="Calibri" w:hAnsi="Calibri"/>
                <w:b w:val="0"/>
                <w:i w:val="0"/>
                <w:color w:val="101828"/>
                <w:sz w:val="16"/>
              </w:rPr>
              <w:t>View transaction</w:t>
            </w:r>
          </w:p>
        </w:tc>
      </w:tr>
    </w:tbl>
    <w:p>
      <w:pPr>
        <w:spacing w:after="80"/>
      </w:pPr>
    </w:p>
    <w:p>
      <w:pPr>
        <w:pStyle w:val="Heading3"/>
      </w:pPr>
      <w:r>
        <w:rPr>
          <w:rFonts w:ascii="Calibri" w:hAnsi="Calibri"/>
          <w:b/>
          <w:i w:val="0"/>
          <w:color w:val="0B1F3A"/>
          <w:sz w:val="24"/>
        </w:rPr>
        <w:t>16.4.3 Payout sent</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Element</w:t>
            </w:r>
          </w:p>
        </w:tc>
        <w:tc>
          <w:tcPr>
            <w:tcW w:type="dxa" w:w="7344"/>
            <w:shd w:val="clear" w:color="auto" w:fill="0B1F3A"/>
            <w:tcMar>
              <w:top w:w="60" w:type="dxa"/>
              <w:start w:w="110" w:type="dxa"/>
              <w:bottom w:w="60" w:type="dxa"/>
              <w:end w:w="110" w:type="dxa"/>
            </w:tcMar>
          </w:tcPr>
          <w:p>
            <w:pPr>
              <w:spacing w:after="0"/>
            </w:pPr>
            <w:r/>
            <w:r>
              <w:rPr>
                <w:rFonts w:ascii="Calibri" w:hAnsi="Calibri"/>
                <w:b/>
                <w:i w:val="0"/>
                <w:color w:val="FFFFFF"/>
                <w:sz w:val="16"/>
              </w:rPr>
              <w:t>Content</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Push title</w:t>
            </w:r>
          </w:p>
        </w:tc>
        <w:tc>
          <w:tcPr>
            <w:tcW w:type="dxa" w:w="7344"/>
            <w:tcMar>
              <w:top w:w="60" w:type="dxa"/>
              <w:start w:w="110" w:type="dxa"/>
              <w:bottom w:w="60" w:type="dxa"/>
              <w:end w:w="110" w:type="dxa"/>
            </w:tcMar>
          </w:tcPr>
          <w:p>
            <w:pPr>
              <w:spacing w:after="0"/>
            </w:pPr>
            <w:r/>
            <w:r>
              <w:rPr>
                <w:rFonts w:ascii="Calibri" w:hAnsi="Calibri"/>
                <w:b w:val="0"/>
                <w:i w:val="0"/>
                <w:color w:val="101828"/>
                <w:sz w:val="16"/>
              </w:rPr>
              <w:t>Your Ajo payout is on its way</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Push body</w:t>
            </w:r>
          </w:p>
        </w:tc>
        <w:tc>
          <w:tcPr>
            <w:tcW w:type="dxa" w:w="7344"/>
            <w:tcMar>
              <w:top w:w="60" w:type="dxa"/>
              <w:start w:w="110" w:type="dxa"/>
              <w:bottom w:w="60" w:type="dxa"/>
              <w:end w:w="110" w:type="dxa"/>
            </w:tcMar>
            <w:shd w:val="clear" w:color="auto" w:fill="F4F7FB"/>
          </w:tcPr>
          <w:p>
            <w:pPr>
              <w:spacing w:after="0"/>
            </w:pPr>
            <w:r/>
            <w:r>
              <w:rPr>
                <w:rFonts w:ascii="Calibri" w:hAnsi="Calibri"/>
                <w:b w:val="0"/>
                <w:i w:val="0"/>
                <w:color w:val="101828"/>
                <w:sz w:val="16"/>
              </w:rPr>
              <w:t>NGN {amount} to {bank name} •••• {last4}. Sent {time}. Funds usually arrive within minutes.</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SMS</w:t>
            </w:r>
          </w:p>
        </w:tc>
        <w:tc>
          <w:tcPr>
            <w:tcW w:type="dxa" w:w="7344"/>
            <w:tcMar>
              <w:top w:w="60" w:type="dxa"/>
              <w:start w:w="110" w:type="dxa"/>
              <w:bottom w:w="60" w:type="dxa"/>
              <w:end w:w="110" w:type="dxa"/>
            </w:tcMar>
          </w:tcPr>
          <w:p>
            <w:pPr>
              <w:spacing w:after="0"/>
            </w:pPr>
            <w:r/>
            <w:r>
              <w:rPr>
                <w:rFonts w:ascii="Calibri" w:hAnsi="Calibri"/>
                <w:b w:val="0"/>
                <w:i w:val="0"/>
                <w:color w:val="101828"/>
                <w:sz w:val="16"/>
              </w:rPr>
              <w:t>AJO.ng: NGN {amount} has been sent to your {bank name} account ending {last4}. It should arrive shortly.</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In-app body</w:t>
            </w:r>
          </w:p>
        </w:tc>
        <w:tc>
          <w:tcPr>
            <w:tcW w:type="dxa" w:w="7344"/>
            <w:tcMar>
              <w:top w:w="60" w:type="dxa"/>
              <w:start w:w="110" w:type="dxa"/>
              <w:bottom w:w="60" w:type="dxa"/>
              <w:end w:w="110" w:type="dxa"/>
            </w:tcMar>
            <w:shd w:val="clear" w:color="auto" w:fill="F4F7FB"/>
          </w:tcPr>
          <w:p>
            <w:pPr>
              <w:spacing w:after="0"/>
            </w:pPr>
            <w:r/>
            <w:r>
              <w:rPr>
                <w:rFonts w:ascii="Calibri" w:hAnsi="Calibri"/>
                <w:b w:val="0"/>
                <w:i w:val="0"/>
                <w:color w:val="101828"/>
                <w:sz w:val="16"/>
              </w:rPr>
              <w:t>Round {n} is complete and NGN {amount} has been sent to your bank account. Tap to see the full breakdown of your contributions and fees.</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CTA</w:t>
            </w:r>
          </w:p>
        </w:tc>
        <w:tc>
          <w:tcPr>
            <w:tcW w:type="dxa" w:w="7344"/>
            <w:tcMar>
              <w:top w:w="60" w:type="dxa"/>
              <w:start w:w="110" w:type="dxa"/>
              <w:bottom w:w="60" w:type="dxa"/>
              <w:end w:w="110" w:type="dxa"/>
            </w:tcMar>
          </w:tcPr>
          <w:p>
            <w:pPr>
              <w:spacing w:after="0"/>
            </w:pPr>
            <w:r/>
            <w:r>
              <w:rPr>
                <w:rFonts w:ascii="Calibri" w:hAnsi="Calibri"/>
                <w:b w:val="0"/>
                <w:i w:val="0"/>
                <w:color w:val="101828"/>
                <w:sz w:val="16"/>
              </w:rPr>
              <w:t>View payout</w:t>
            </w:r>
          </w:p>
        </w:tc>
      </w:tr>
    </w:tbl>
    <w:p>
      <w:pPr>
        <w:spacing w:after="80"/>
      </w:pPr>
    </w:p>
    <w:p>
      <w:r>
        <w:rPr>
          <w:rFonts w:ascii="Calibri" w:hAnsi="Calibri"/>
          <w:b w:val="0"/>
          <w:i w:val="0"/>
          <w:color w:val="101828"/>
          <w:sz w:val="21"/>
        </w:rPr>
        <w:t xml:space="preserve">The push body shows the bank and the last four digits. That is the single most useful detail for a member who needs to know </w:t>
      </w:r>
      <w:r>
        <w:rPr>
          <w:rFonts w:ascii="Calibri" w:hAnsi="Calibri"/>
          <w:i/>
          <w:color w:val="101828"/>
          <w:sz w:val="21"/>
        </w:rPr>
        <w:t>where</w:t>
      </w:r>
      <w:r>
        <w:rPr>
          <w:rFonts w:ascii="Calibri" w:hAnsi="Calibri"/>
          <w:b w:val="0"/>
          <w:i w:val="0"/>
          <w:color w:val="101828"/>
          <w:sz w:val="21"/>
        </w:rPr>
        <w:t xml:space="preserve"> their money went, and masking the rest is a reasonable privacy trade-off on a shared device.</w:t>
      </w:r>
    </w:p>
    <w:p>
      <w:pPr>
        <w:pStyle w:val="Heading3"/>
      </w:pPr>
      <w:r>
        <w:rPr>
          <w:rFonts w:ascii="Calibri" w:hAnsi="Calibri"/>
          <w:b/>
          <w:i w:val="0"/>
          <w:color w:val="0B1F3A"/>
          <w:sz w:val="24"/>
        </w:rPr>
        <w:t>16.4.4 Payment failed</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Element</w:t>
            </w:r>
          </w:p>
        </w:tc>
        <w:tc>
          <w:tcPr>
            <w:tcW w:type="dxa" w:w="7344"/>
            <w:shd w:val="clear" w:color="auto" w:fill="0B1F3A"/>
            <w:tcMar>
              <w:top w:w="60" w:type="dxa"/>
              <w:start w:w="110" w:type="dxa"/>
              <w:bottom w:w="60" w:type="dxa"/>
              <w:end w:w="110" w:type="dxa"/>
            </w:tcMar>
          </w:tcPr>
          <w:p>
            <w:pPr>
              <w:spacing w:after="0"/>
            </w:pPr>
            <w:r/>
            <w:r>
              <w:rPr>
                <w:rFonts w:ascii="Calibri" w:hAnsi="Calibri"/>
                <w:b/>
                <w:i w:val="0"/>
                <w:color w:val="FFFFFF"/>
                <w:sz w:val="16"/>
              </w:rPr>
              <w:t>Content</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Push title</w:t>
            </w:r>
          </w:p>
        </w:tc>
        <w:tc>
          <w:tcPr>
            <w:tcW w:type="dxa" w:w="7344"/>
            <w:tcMar>
              <w:top w:w="60" w:type="dxa"/>
              <w:start w:w="110" w:type="dxa"/>
              <w:bottom w:w="60" w:type="dxa"/>
              <w:end w:w="110" w:type="dxa"/>
            </w:tcMar>
          </w:tcPr>
          <w:p>
            <w:pPr>
              <w:spacing w:after="0"/>
            </w:pPr>
            <w:r/>
            <w:r>
              <w:rPr>
                <w:rFonts w:ascii="Calibri" w:hAnsi="Calibri"/>
                <w:b w:val="0"/>
                <w:i w:val="0"/>
                <w:color w:val="101828"/>
                <w:sz w:val="16"/>
              </w:rPr>
              <w:t>We couldn't take your payment</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Push body</w:t>
            </w:r>
          </w:p>
        </w:tc>
        <w:tc>
          <w:tcPr>
            <w:tcW w:type="dxa" w:w="7344"/>
            <w:tcMar>
              <w:top w:w="60" w:type="dxa"/>
              <w:start w:w="110" w:type="dxa"/>
              <w:bottom w:w="60" w:type="dxa"/>
              <w:end w:w="110" w:type="dxa"/>
            </w:tcMar>
            <w:shd w:val="clear" w:color="auto" w:fill="F4F7FB"/>
          </w:tcPr>
          <w:p>
            <w:pPr>
              <w:spacing w:after="0"/>
            </w:pPr>
            <w:r/>
            <w:r>
              <w:rPr>
                <w:rFonts w:ascii="Calibri" w:hAnsi="Calibri"/>
                <w:b w:val="0"/>
                <w:i w:val="0"/>
                <w:color w:val="101828"/>
                <w:sz w:val="16"/>
              </w:rPr>
              <w:t>Your NGN {total} payment for {Ajo name} didn't go through. No money has left your account. Try again.</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In-app body</w:t>
            </w:r>
          </w:p>
        </w:tc>
        <w:tc>
          <w:tcPr>
            <w:tcW w:type="dxa" w:w="7344"/>
            <w:tcMar>
              <w:top w:w="60" w:type="dxa"/>
              <w:start w:w="110" w:type="dxa"/>
              <w:bottom w:w="60" w:type="dxa"/>
              <w:end w:w="110" w:type="dxa"/>
            </w:tcMar>
          </w:tcPr>
          <w:p>
            <w:pPr>
              <w:spacing w:after="0"/>
            </w:pPr>
            <w:r/>
            <w:r>
              <w:rPr>
                <w:rFonts w:ascii="Calibri" w:hAnsi="Calibri"/>
                <w:b w:val="0"/>
                <w:i w:val="0"/>
                <w:color w:val="101828"/>
                <w:sz w:val="16"/>
              </w:rPr>
              <w:t>Your payment of NGN {total} was not completed. Reasons this happens: insufficient funds, a bank decline, or a network interruption. Your position in {Ajo name} is still unpaid for round {n}.</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CTA</w:t>
            </w:r>
          </w:p>
        </w:tc>
        <w:tc>
          <w:tcPr>
            <w:tcW w:type="dxa" w:w="7344"/>
            <w:tcMar>
              <w:top w:w="60" w:type="dxa"/>
              <w:start w:w="110" w:type="dxa"/>
              <w:bottom w:w="60" w:type="dxa"/>
              <w:end w:w="110" w:type="dxa"/>
            </w:tcMar>
            <w:shd w:val="clear" w:color="auto" w:fill="F4F7FB"/>
          </w:tcPr>
          <w:p>
            <w:pPr>
              <w:spacing w:after="0"/>
            </w:pPr>
            <w:r/>
            <w:r>
              <w:rPr>
                <w:rFonts w:ascii="Calibri" w:hAnsi="Calibri"/>
                <w:b w:val="0"/>
                <w:i w:val="0"/>
                <w:color w:val="101828"/>
                <w:sz w:val="16"/>
              </w:rPr>
              <w:t>Try again</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Tone</w:t>
            </w:r>
          </w:p>
        </w:tc>
        <w:tc>
          <w:tcPr>
            <w:tcW w:type="dxa" w:w="7344"/>
            <w:tcMar>
              <w:top w:w="60" w:type="dxa"/>
              <w:start w:w="110" w:type="dxa"/>
              <w:bottom w:w="60" w:type="dxa"/>
              <w:end w:w="110" w:type="dxa"/>
            </w:tcMar>
          </w:tcPr>
          <w:p>
            <w:pPr>
              <w:spacing w:after="0"/>
            </w:pPr>
            <w:r/>
            <w:r>
              <w:rPr>
                <w:rFonts w:ascii="Calibri" w:hAnsi="Calibri"/>
                <w:b w:val="0"/>
                <w:i w:val="0"/>
                <w:color w:val="101828"/>
                <w:sz w:val="16"/>
              </w:rPr>
              <w:t>Reassuring and precise. Explicitly state that no money was taken — members assume the worst</w:t>
            </w:r>
          </w:p>
        </w:tc>
      </w:tr>
    </w:tbl>
    <w:p>
      <w:pPr>
        <w:spacing w:after="80"/>
      </w:pPr>
    </w:p>
    <w:p>
      <w:pPr>
        <w:pStyle w:val="Heading3"/>
      </w:pPr>
      <w:r>
        <w:rPr>
          <w:rFonts w:ascii="Calibri" w:hAnsi="Calibri"/>
          <w:b/>
          <w:i w:val="0"/>
          <w:color w:val="0B1F3A"/>
          <w:sz w:val="24"/>
        </w:rPr>
        <w:t>16.4.5 Payout held</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Element</w:t>
            </w:r>
          </w:p>
        </w:tc>
        <w:tc>
          <w:tcPr>
            <w:tcW w:type="dxa" w:w="7344"/>
            <w:shd w:val="clear" w:color="auto" w:fill="0B1F3A"/>
            <w:tcMar>
              <w:top w:w="60" w:type="dxa"/>
              <w:start w:w="110" w:type="dxa"/>
              <w:bottom w:w="60" w:type="dxa"/>
              <w:end w:w="110" w:type="dxa"/>
            </w:tcMar>
          </w:tcPr>
          <w:p>
            <w:pPr>
              <w:spacing w:after="0"/>
            </w:pPr>
            <w:r/>
            <w:r>
              <w:rPr>
                <w:rFonts w:ascii="Calibri" w:hAnsi="Calibri"/>
                <w:b/>
                <w:i w:val="0"/>
                <w:color w:val="FFFFFF"/>
                <w:sz w:val="16"/>
              </w:rPr>
              <w:t>Content</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Push title</w:t>
            </w:r>
          </w:p>
        </w:tc>
        <w:tc>
          <w:tcPr>
            <w:tcW w:type="dxa" w:w="7344"/>
            <w:tcMar>
              <w:top w:w="60" w:type="dxa"/>
              <w:start w:w="110" w:type="dxa"/>
              <w:bottom w:w="60" w:type="dxa"/>
              <w:end w:w="110" w:type="dxa"/>
            </w:tcMar>
          </w:tcPr>
          <w:p>
            <w:pPr>
              <w:spacing w:after="0"/>
            </w:pPr>
            <w:r/>
            <w:r>
              <w:rPr>
                <w:rFonts w:ascii="Calibri" w:hAnsi="Calibri"/>
                <w:b w:val="0"/>
                <w:i w:val="0"/>
                <w:color w:val="101828"/>
                <w:sz w:val="16"/>
              </w:rPr>
              <w:t>Your payout needs a quick check</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Push body</w:t>
            </w:r>
          </w:p>
        </w:tc>
        <w:tc>
          <w:tcPr>
            <w:tcW w:type="dxa" w:w="7344"/>
            <w:tcMar>
              <w:top w:w="60" w:type="dxa"/>
              <w:start w:w="110" w:type="dxa"/>
              <w:bottom w:w="60" w:type="dxa"/>
              <w:end w:w="110" w:type="dxa"/>
            </w:tcMar>
            <w:shd w:val="clear" w:color="auto" w:fill="F4F7FB"/>
          </w:tcPr>
          <w:p>
            <w:pPr>
              <w:spacing w:after="0"/>
            </w:pPr>
            <w:r/>
            <w:r>
              <w:rPr>
                <w:rFonts w:ascii="Calibri" w:hAnsi="Calibri"/>
                <w:b w:val="0"/>
                <w:i w:val="0"/>
                <w:color w:val="101828"/>
                <w:sz w:val="16"/>
              </w:rPr>
              <w:t>Your NGN {amount} payout is being reviewed. We'll update you by {time}. Nothing is required from you unless we contact you.</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In-app body</w:t>
            </w:r>
          </w:p>
        </w:tc>
        <w:tc>
          <w:tcPr>
            <w:tcW w:type="dxa" w:w="7344"/>
            <w:tcMar>
              <w:top w:w="60" w:type="dxa"/>
              <w:start w:w="110" w:type="dxa"/>
              <w:bottom w:w="60" w:type="dxa"/>
              <w:end w:w="110" w:type="dxa"/>
            </w:tcMar>
          </w:tcPr>
          <w:p>
            <w:pPr>
              <w:spacing w:after="0"/>
            </w:pPr>
            <w:r/>
            <w:r>
              <w:rPr>
                <w:rFonts w:ascii="Calibri" w:hAnsi="Calibri"/>
                <w:b w:val="0"/>
                <w:i w:val="0"/>
                <w:color w:val="101828"/>
                <w:sz w:val="16"/>
              </w:rPr>
              <w:t>We're completing a routine check before releasing your NGN {amount} payout from {Ajo name}. This usually takes under {duration}. If we need anything from you, we'll ask here first — we will never ask you to call a number you found in a message.</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CTA</w:t>
            </w:r>
          </w:p>
        </w:tc>
        <w:tc>
          <w:tcPr>
            <w:tcW w:type="dxa" w:w="7344"/>
            <w:tcMar>
              <w:top w:w="60" w:type="dxa"/>
              <w:start w:w="110" w:type="dxa"/>
              <w:bottom w:w="60" w:type="dxa"/>
              <w:end w:w="110" w:type="dxa"/>
            </w:tcMar>
            <w:shd w:val="clear" w:color="auto" w:fill="F4F7FB"/>
          </w:tcPr>
          <w:p>
            <w:pPr>
              <w:spacing w:after="0"/>
            </w:pPr>
            <w:r/>
            <w:r>
              <w:rPr>
                <w:rFonts w:ascii="Calibri" w:hAnsi="Calibri"/>
                <w:b w:val="0"/>
                <w:i w:val="0"/>
                <w:color w:val="101828"/>
                <w:sz w:val="16"/>
              </w:rPr>
              <w:t>See what's happening</w:t>
            </w:r>
          </w:p>
        </w:tc>
      </w:tr>
    </w:tbl>
    <w:p>
      <w:pPr>
        <w:spacing w:after="80"/>
      </w:pPr>
    </w:p>
    <w:p>
      <w:pPr>
        <w:spacing w:before="140" w:after="180"/>
        <w:ind w:left="144"/>
        <w:shd w:val="clear" w:color="auto" w:fill="FEF3C7"/>
        <w:pBdr>
          <w:left w:val="single" w:sz="18" w:space="6" w:color="FBBF24"/>
        </w:pBdr>
      </w:pPr>
      <w:r>
        <w:rPr>
          <w:rFonts w:ascii="Calibri" w:hAnsi="Calibri"/>
          <w:b/>
          <w:color w:val="FBBF24"/>
          <w:sz w:val="19"/>
        </w:rPr>
        <w:t xml:space="preserve">The anti-phishing line belongs here.  </w:t>
      </w:r>
      <w:r>
        <w:rPr>
          <w:rFonts w:ascii="Calibri" w:hAnsi="Calibri"/>
          <w:b w:val="0"/>
          <w:i w:val="0"/>
          <w:color w:val="0B1F3A"/>
          <w:sz w:val="19"/>
        </w:rPr>
        <w:t>Every hold message should state plainly that AJO.ng will not ask for a PIN, a BVN, or a bank code over chat. This is the moment a member is most receptive to a follow-up 'call to release your funds' scam, and the highest-value sentence in the whole notification system is the one that warns them.</w:t>
      </w:r>
    </w:p>
    <w:p>
      <w:pPr>
        <w:pStyle w:val="Heading2"/>
      </w:pPr>
      <w:r>
        <w:rPr>
          <w:rFonts w:ascii="Calibri" w:hAnsi="Calibri"/>
          <w:b/>
          <w:i w:val="0"/>
          <w:color w:val="146EF5"/>
          <w:sz w:val="29"/>
        </w:rPr>
        <w:t>16.5 Reminder schedule for contributions</w:t>
      </w:r>
    </w:p>
    <w:p>
      <w:r>
        <w:rPr>
          <w:rFonts w:ascii="Calibri" w:hAnsi="Calibri"/>
          <w:b w:val="0"/>
          <w:i w:val="0"/>
          <w:color w:val="101828"/>
          <w:sz w:val="21"/>
        </w:rPr>
        <w:t>Reminders are the mechanism that keeps an Ajo on schedule. The schedule escalates gradually, in proportion to urgency, and always in the same order.</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When</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Channel</w:t>
            </w:r>
          </w:p>
        </w:tc>
        <w:tc>
          <w:tcPr>
            <w:tcW w:type="dxa" w:w="3744"/>
            <w:shd w:val="clear" w:color="auto" w:fill="0B1F3A"/>
            <w:tcMar>
              <w:top w:w="60" w:type="dxa"/>
              <w:start w:w="110" w:type="dxa"/>
              <w:bottom w:w="60" w:type="dxa"/>
              <w:end w:w="110" w:type="dxa"/>
            </w:tcMar>
          </w:tcPr>
          <w:p>
            <w:pPr>
              <w:spacing w:after="0"/>
            </w:pPr>
            <w:r/>
            <w:r>
              <w:rPr>
                <w:rFonts w:ascii="Calibri" w:hAnsi="Calibri"/>
                <w:b/>
                <w:i w:val="0"/>
                <w:color w:val="FFFFFF"/>
                <w:sz w:val="16"/>
              </w:rPr>
              <w:t>Content</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To</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Round opens</w:t>
            </w:r>
          </w:p>
        </w:tc>
        <w:tc>
          <w:tcPr>
            <w:tcW w:type="dxa" w:w="2160"/>
            <w:tcMar>
              <w:top w:w="60" w:type="dxa"/>
              <w:start w:w="110" w:type="dxa"/>
              <w:bottom w:w="60" w:type="dxa"/>
              <w:end w:w="110" w:type="dxa"/>
            </w:tcMar>
          </w:tcPr>
          <w:p>
            <w:pPr>
              <w:spacing w:after="0"/>
            </w:pPr>
            <w:r/>
            <w:r>
              <w:rPr>
                <w:rFonts w:ascii="Calibri" w:hAnsi="Calibri"/>
                <w:b w:val="0"/>
                <w:i w:val="0"/>
                <w:color w:val="101828"/>
                <w:sz w:val="16"/>
              </w:rPr>
              <w:t>In-app</w:t>
            </w:r>
          </w:p>
        </w:tc>
        <w:tc>
          <w:tcPr>
            <w:tcW w:type="dxa" w:w="3744"/>
            <w:tcMar>
              <w:top w:w="60" w:type="dxa"/>
              <w:start w:w="110" w:type="dxa"/>
              <w:bottom w:w="60" w:type="dxa"/>
              <w:end w:w="110" w:type="dxa"/>
            </w:tcMar>
          </w:tcPr>
          <w:p>
            <w:pPr>
              <w:spacing w:after="0"/>
            </w:pPr>
            <w:r/>
            <w:r>
              <w:rPr>
                <w:rFonts w:ascii="Calibri" w:hAnsi="Calibri"/>
                <w:b w:val="0"/>
                <w:i w:val="0"/>
                <w:color w:val="101828"/>
                <w:sz w:val="16"/>
              </w:rPr>
              <w:t>Round is open. Here's your amount and schedule</w:t>
            </w:r>
          </w:p>
        </w:tc>
        <w:tc>
          <w:tcPr>
            <w:tcW w:type="dxa" w:w="1584"/>
            <w:tcMar>
              <w:top w:w="60" w:type="dxa"/>
              <w:start w:w="110" w:type="dxa"/>
              <w:bottom w:w="60" w:type="dxa"/>
              <w:end w:w="110" w:type="dxa"/>
            </w:tcMar>
          </w:tcPr>
          <w:p>
            <w:pPr>
              <w:spacing w:after="0"/>
            </w:pPr>
            <w:r/>
            <w:r>
              <w:rPr>
                <w:rFonts w:ascii="Calibri" w:hAnsi="Calibri"/>
                <w:b w:val="0"/>
                <w:i w:val="0"/>
                <w:color w:val="101828"/>
                <w:sz w:val="16"/>
              </w:rPr>
              <w:t>Unpaid members</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T−7 days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Push</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Contribution due in a week</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Unpaid members</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T−3 days</w:t>
            </w:r>
          </w:p>
        </w:tc>
        <w:tc>
          <w:tcPr>
            <w:tcW w:type="dxa" w:w="2160"/>
            <w:tcMar>
              <w:top w:w="60" w:type="dxa"/>
              <w:start w:w="110" w:type="dxa"/>
              <w:bottom w:w="60" w:type="dxa"/>
              <w:end w:w="110" w:type="dxa"/>
            </w:tcMar>
          </w:tcPr>
          <w:p>
            <w:pPr>
              <w:spacing w:after="0"/>
            </w:pPr>
            <w:r/>
            <w:r>
              <w:rPr>
                <w:rFonts w:ascii="Calibri" w:hAnsi="Calibri"/>
                <w:b w:val="0"/>
                <w:i w:val="0"/>
                <w:color w:val="101828"/>
                <w:sz w:val="16"/>
              </w:rPr>
              <w:t>Push + SMS</w:t>
            </w:r>
          </w:p>
        </w:tc>
        <w:tc>
          <w:tcPr>
            <w:tcW w:type="dxa" w:w="3744"/>
            <w:tcMar>
              <w:top w:w="60" w:type="dxa"/>
              <w:start w:w="110" w:type="dxa"/>
              <w:bottom w:w="60" w:type="dxa"/>
              <w:end w:w="110" w:type="dxa"/>
            </w:tcMar>
          </w:tcPr>
          <w:p>
            <w:pPr>
              <w:spacing w:after="0"/>
            </w:pPr>
            <w:r/>
            <w:r>
              <w:rPr>
                <w:rFonts w:ascii="Calibri" w:hAnsi="Calibri"/>
                <w:b w:val="0"/>
                <w:i w:val="0"/>
                <w:color w:val="101828"/>
                <w:sz w:val="16"/>
              </w:rPr>
              <w:t>Three days to go. NGN {total} due {date}</w:t>
            </w:r>
          </w:p>
        </w:tc>
        <w:tc>
          <w:tcPr>
            <w:tcW w:type="dxa" w:w="1584"/>
            <w:tcMar>
              <w:top w:w="60" w:type="dxa"/>
              <w:start w:w="110" w:type="dxa"/>
              <w:bottom w:w="60" w:type="dxa"/>
              <w:end w:w="110" w:type="dxa"/>
            </w:tcMar>
          </w:tcPr>
          <w:p>
            <w:pPr>
              <w:spacing w:after="0"/>
            </w:pPr>
            <w:r/>
            <w:r>
              <w:rPr>
                <w:rFonts w:ascii="Calibri" w:hAnsi="Calibri"/>
                <w:b w:val="0"/>
                <w:i w:val="0"/>
                <w:color w:val="101828"/>
                <w:sz w:val="16"/>
              </w:rPr>
              <w:t>Unpaid members</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T−1 day</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Push + SMS</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Due tomorrow</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Unpaid members</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T−0 (due date)</w:t>
            </w:r>
          </w:p>
        </w:tc>
        <w:tc>
          <w:tcPr>
            <w:tcW w:type="dxa" w:w="2160"/>
            <w:tcMar>
              <w:top w:w="60" w:type="dxa"/>
              <w:start w:w="110" w:type="dxa"/>
              <w:bottom w:w="60" w:type="dxa"/>
              <w:end w:w="110" w:type="dxa"/>
            </w:tcMar>
          </w:tcPr>
          <w:p>
            <w:pPr>
              <w:spacing w:after="0"/>
            </w:pPr>
            <w:r/>
            <w:r>
              <w:rPr>
                <w:rFonts w:ascii="Calibri" w:hAnsi="Calibri"/>
                <w:b w:val="0"/>
                <w:i w:val="0"/>
                <w:color w:val="101828"/>
                <w:sz w:val="16"/>
              </w:rPr>
              <w:t>Push + SMS</w:t>
            </w:r>
          </w:p>
        </w:tc>
        <w:tc>
          <w:tcPr>
            <w:tcW w:type="dxa" w:w="3744"/>
            <w:tcMar>
              <w:top w:w="60" w:type="dxa"/>
              <w:start w:w="110" w:type="dxa"/>
              <w:bottom w:w="60" w:type="dxa"/>
              <w:end w:w="110" w:type="dxa"/>
            </w:tcMar>
          </w:tcPr>
          <w:p>
            <w:pPr>
              <w:spacing w:after="0"/>
            </w:pPr>
            <w:r/>
            <w:r>
              <w:rPr>
                <w:rFonts w:ascii="Calibri" w:hAnsi="Calibri"/>
                <w:b w:val="0"/>
                <w:i w:val="0"/>
                <w:color w:val="101828"/>
                <w:sz w:val="16"/>
              </w:rPr>
              <w:t>Due today. Contribute by {time}</w:t>
            </w:r>
          </w:p>
        </w:tc>
        <w:tc>
          <w:tcPr>
            <w:tcW w:type="dxa" w:w="1584"/>
            <w:tcMar>
              <w:top w:w="60" w:type="dxa"/>
              <w:start w:w="110" w:type="dxa"/>
              <w:bottom w:w="60" w:type="dxa"/>
              <w:end w:w="110" w:type="dxa"/>
            </w:tcMar>
          </w:tcPr>
          <w:p>
            <w:pPr>
              <w:spacing w:after="0"/>
            </w:pPr>
            <w:r/>
            <w:r>
              <w:rPr>
                <w:rFonts w:ascii="Calibri" w:hAnsi="Calibri"/>
                <w:b w:val="0"/>
                <w:i w:val="0"/>
                <w:color w:val="101828"/>
                <w:sz w:val="16"/>
              </w:rPr>
              <w:t>Unpaid members</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T+1</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Push</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Round closes at {time}. You are still unpaid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Unpaid members</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Round closes</w:t>
            </w:r>
          </w:p>
        </w:tc>
        <w:tc>
          <w:tcPr>
            <w:tcW w:type="dxa" w:w="2160"/>
            <w:tcMar>
              <w:top w:w="60" w:type="dxa"/>
              <w:start w:w="110" w:type="dxa"/>
              <w:bottom w:w="60" w:type="dxa"/>
              <w:end w:w="110" w:type="dxa"/>
            </w:tcMar>
          </w:tcPr>
          <w:p>
            <w:pPr>
              <w:spacing w:after="0"/>
            </w:pPr>
            <w:r/>
            <w:r>
              <w:rPr>
                <w:rFonts w:ascii="Calibri" w:hAnsi="Calibri"/>
                <w:b w:val="0"/>
                <w:i w:val="0"/>
                <w:color w:val="101828"/>
                <w:sz w:val="16"/>
              </w:rPr>
              <w:t>Push + SMS + in-app</w:t>
            </w:r>
          </w:p>
        </w:tc>
        <w:tc>
          <w:tcPr>
            <w:tcW w:type="dxa" w:w="3744"/>
            <w:tcMar>
              <w:top w:w="60" w:type="dxa"/>
              <w:start w:w="110" w:type="dxa"/>
              <w:bottom w:w="60" w:type="dxa"/>
              <w:end w:w="110" w:type="dxa"/>
            </w:tcMar>
          </w:tcPr>
          <w:p>
            <w:pPr>
              <w:spacing w:after="0"/>
            </w:pPr>
            <w:r/>
            <w:r>
              <w:rPr>
                <w:rFonts w:ascii="Calibri" w:hAnsi="Calibri"/>
                <w:b w:val="0"/>
                <w:i w:val="0"/>
                <w:color w:val="101828"/>
                <w:sz w:val="16"/>
              </w:rPr>
              <w:t>Round {n} closed with {n} of {total} positions funded</w:t>
            </w:r>
          </w:p>
        </w:tc>
        <w:tc>
          <w:tcPr>
            <w:tcW w:type="dxa" w:w="1584"/>
            <w:tcMar>
              <w:top w:w="60" w:type="dxa"/>
              <w:start w:w="110" w:type="dxa"/>
              <w:bottom w:w="60" w:type="dxa"/>
              <w:end w:w="110" w:type="dxa"/>
            </w:tcMar>
          </w:tcPr>
          <w:p>
            <w:pPr>
              <w:spacing w:after="0"/>
            </w:pPr>
            <w:r/>
            <w:r>
              <w:rPr>
                <w:rFonts w:ascii="Calibri" w:hAnsi="Calibri"/>
                <w:b w:val="0"/>
                <w:i w:val="0"/>
                <w:color w:val="101828"/>
                <w:sz w:val="16"/>
              </w:rPr>
              <w:t>All members, unpaid first</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After close</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In-app</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You missed round {n}. Your next contribution is {date}. [Offer a recovery plan]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Defaulted members</w:t>
            </w:r>
          </w:p>
        </w:tc>
      </w:tr>
    </w:tbl>
    <w:p>
      <w:pPr>
        <w:spacing w:after="80"/>
      </w:pPr>
    </w:p>
    <w:p>
      <w:pPr>
        <w:pStyle w:val="ListBullet"/>
        <w:spacing w:after="60"/>
        <w:ind w:left="360"/>
      </w:pPr>
      <w:r>
        <w:rPr>
          <w:rFonts w:ascii="Calibri" w:hAnsi="Calibri"/>
          <w:b w:val="0"/>
          <w:i w:val="0"/>
          <w:color w:val="101828"/>
          <w:sz w:val="21"/>
        </w:rPr>
        <w:t>No more than three money reminders per member per day, regardless of how many Ajos they are in. Reminder fatigue produces unsubscribes, and an unsubscribed member is a defaulting member.</w:t>
      </w:r>
    </w:p>
    <w:p>
      <w:pPr>
        <w:pStyle w:val="ListBullet"/>
        <w:spacing w:after="60"/>
        <w:ind w:left="360"/>
      </w:pPr>
      <w:r>
        <w:rPr>
          <w:rFonts w:ascii="Calibri" w:hAnsi="Calibri"/>
          <w:b w:val="0"/>
          <w:i w:val="0"/>
          <w:color w:val="101828"/>
          <w:sz w:val="21"/>
        </w:rPr>
        <w:t>Escalation is per-Ajo, not global, but the daily cap is global.</w:t>
      </w:r>
    </w:p>
    <w:p>
      <w:pPr>
        <w:pStyle w:val="ListBullet"/>
        <w:spacing w:after="60"/>
        <w:ind w:left="360"/>
      </w:pPr>
      <w:r>
        <w:rPr>
          <w:rFonts w:ascii="Calibri" w:hAnsi="Calibri"/>
          <w:b w:val="0"/>
          <w:i w:val="0"/>
          <w:color w:val="101828"/>
          <w:sz w:val="21"/>
        </w:rPr>
        <w:t>A member who has paid is never sent a payment reminder. This is a correctness bug if it happens, and it damages confidence in the entire system.</w:t>
      </w:r>
    </w:p>
    <w:p>
      <w:pPr>
        <w:pStyle w:val="ListBullet"/>
        <w:spacing w:after="60"/>
        <w:ind w:left="360"/>
      </w:pPr>
      <w:r>
        <w:rPr>
          <w:rFonts w:ascii="Calibri" w:hAnsi="Calibri"/>
          <w:b w:val="0"/>
          <w:i w:val="0"/>
          <w:color w:val="101828"/>
          <w:sz w:val="21"/>
        </w:rPr>
        <w:t>Quiet hours apply to reminders, not to money events. A round closing at 6pm local time must be communicated that evening.</w:t>
      </w:r>
    </w:p>
    <w:p>
      <w:pPr>
        <w:pStyle w:val="Heading2"/>
      </w:pPr>
      <w:r>
        <w:rPr>
          <w:rFonts w:ascii="Calibri" w:hAnsi="Calibri"/>
          <w:b/>
          <w:i w:val="0"/>
          <w:color w:val="146EF5"/>
          <w:sz w:val="29"/>
        </w:rPr>
        <w:t>16.6 Delivery architecture</w:t>
      </w:r>
    </w:p>
    <w:p>
      <w:pPr>
        <w:spacing w:before="0" w:after="0" w:line="240" w:lineRule="auto"/>
        <w:ind w:left="230"/>
        <w:shd w:val="clear" w:color="auto" w:fill="F7F9FC"/>
        <w:pBdr>
          <w:left w:val="single" w:sz="4" w:space="6" w:color="D0D5DD"/>
        </w:pBdr>
      </w:pPr>
      <w:r>
        <w:rPr>
          <w:rFonts w:ascii="Consolas" w:hAnsi="Consolas"/>
          <w:color w:val="0B1F3A"/>
          <w:sz w:val="15"/>
        </w:rPr>
        <w:t xml:space="preserve">  domain event                queue (BullMQ)         fan-out worker</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contribution.captured  ──▶  notifications.money  ──▶  push (APNs/FCM)</w:t>
      </w:r>
    </w:p>
    <w:p>
      <w:pPr>
        <w:spacing w:before="0" w:after="0" w:line="240" w:lineRule="auto"/>
        <w:ind w:left="230"/>
        <w:shd w:val="clear" w:color="auto" w:fill="F7F9FC"/>
        <w:pBdr>
          <w:left w:val="single" w:sz="4" w:space="6" w:color="D0D5DD"/>
        </w:pBdr>
      </w:pPr>
      <w:r>
        <w:rPr>
          <w:rFonts w:ascii="Consolas" w:hAnsi="Consolas"/>
          <w:color w:val="0B1F3A"/>
          <w:sz w:val="15"/>
        </w:rPr>
        <w:t xml:space="preserve">  payout.succeeded       ──▶  notifications.money  ──▶  email (transactional)</w:t>
      </w:r>
    </w:p>
    <w:p>
      <w:pPr>
        <w:spacing w:before="0" w:after="0" w:line="240" w:lineRule="auto"/>
        <w:ind w:left="230"/>
        <w:shd w:val="clear" w:color="auto" w:fill="F7F9FC"/>
        <w:pBdr>
          <w:left w:val="single" w:sz="4" w:space="6" w:color="D0D5DD"/>
        </w:pBdr>
      </w:pPr>
      <w:r>
        <w:rPr>
          <w:rFonts w:ascii="Consolas" w:hAnsi="Consolas"/>
          <w:color w:val="0B1F3A"/>
          <w:sz w:val="15"/>
        </w:rPr>
        <w:t xml:space="preserve">  payout.held            ──▶  notifications.money  ──▶  SMS</w:t>
      </w:r>
    </w:p>
    <w:p>
      <w:pPr>
        <w:spacing w:before="0" w:after="0" w:line="240" w:lineRule="auto"/>
        <w:ind w:left="230"/>
        <w:shd w:val="clear" w:color="auto" w:fill="F7F9FC"/>
        <w:pBdr>
          <w:left w:val="single" w:sz="4" w:space="6" w:color="D0D5DD"/>
        </w:pBdr>
      </w:pPr>
      <w:r>
        <w:rPr>
          <w:rFonts w:ascii="Consolas" w:hAnsi="Consolas"/>
          <w:color w:val="0B1F3A"/>
          <w:sz w:val="15"/>
        </w:rPr>
        <w:t xml:space="preserve">  contribution.due       ──▶  notifications.remind ──▶  [in-app record written]</w:t>
      </w:r>
    </w:p>
    <w:p>
      <w:pPr>
        <w:spacing w:before="0" w:after="0" w:line="240" w:lineRule="auto"/>
        <w:ind w:left="230"/>
        <w:shd w:val="clear" w:color="auto" w:fill="F7F9FC"/>
        <w:pBdr>
          <w:left w:val="single" w:sz="4" w:space="6" w:color="D0D5DD"/>
        </w:pBdr>
      </w:pPr>
      <w:r>
        <w:rPr>
          <w:rFonts w:ascii="Consolas" w:hAnsi="Consolas"/>
          <w:color w:val="0B1F3A"/>
          <w:sz w:val="15"/>
        </w:rPr>
        <w:t xml:space="preserve">  security.alert         ──▶  notifications.security ─▶ [preference check]</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per-channel worker (independent, retryable)</w:t>
      </w:r>
    </w:p>
    <w:p>
      <w:pPr>
        <w:spacing w:before="0" w:after="0" w:line="240" w:lineRule="auto"/>
        <w:ind w:left="230"/>
        <w:shd w:val="clear" w:color="auto" w:fill="F7F9FC"/>
        <w:pBdr>
          <w:left w:val="single" w:sz="4" w:space="6" w:color="D0D5DD"/>
        </w:pBdr>
      </w:pPr>
      <w:r>
        <w:rPr>
          <w:rFonts w:ascii="Consolas" w:hAnsi="Consolas"/>
          <w:color w:val="0B1F3A"/>
          <w:sz w:val="15"/>
        </w:rPr>
        <w:t xml:space="preserve">                                    ├──▶ preference check (except money events)</w:t>
      </w:r>
    </w:p>
    <w:p>
      <w:pPr>
        <w:spacing w:before="0" w:after="0" w:line="240" w:lineRule="auto"/>
        <w:ind w:left="230"/>
        <w:shd w:val="clear" w:color="auto" w:fill="F7F9FC"/>
        <w:pBdr>
          <w:left w:val="single" w:sz="4" w:space="6" w:color="D0D5DD"/>
        </w:pBdr>
      </w:pPr>
      <w:r>
        <w:rPr>
          <w:rFonts w:ascii="Consolas" w:hAnsi="Consolas"/>
          <w:color w:val="0B1F3A"/>
          <w:sz w:val="15"/>
        </w:rPr>
        <w:t xml:space="preserve">                                    ├──▶ quiet-hours check (except money events)</w:t>
      </w:r>
    </w:p>
    <w:p>
      <w:pPr>
        <w:spacing w:before="0" w:after="0" w:line="240" w:lineRule="auto"/>
        <w:ind w:left="230"/>
        <w:shd w:val="clear" w:color="auto" w:fill="F7F9FC"/>
        <w:pBdr>
          <w:left w:val="single" w:sz="4" w:space="6" w:color="D0D5DD"/>
        </w:pBdr>
      </w:pPr>
      <w:r>
        <w:rPr>
          <w:rFonts w:ascii="Consolas" w:hAnsi="Consolas"/>
          <w:color w:val="0B1F3A"/>
          <w:sz w:val="15"/>
        </w:rPr>
        <w:t xml:space="preserve">                                    ├──▶ rate limit / dedupe / frequency cap</w:t>
      </w:r>
    </w:p>
    <w:p>
      <w:pPr>
        <w:spacing w:before="0" w:after="0" w:line="240" w:lineRule="auto"/>
        <w:ind w:left="230"/>
        <w:shd w:val="clear" w:color="auto" w:fill="F7F9FC"/>
        <w:pBdr>
          <w:left w:val="single" w:sz="4" w:space="6" w:color="D0D5DD"/>
        </w:pBdr>
      </w:pPr>
      <w:r>
        <w:rPr>
          <w:rFonts w:ascii="Consolas" w:hAnsi="Consolas"/>
          <w:color w:val="0B1F3A"/>
          <w:sz w:val="15"/>
        </w:rPr>
        <w:t xml:space="preserve">                                    └──▶ delivery log  (status, provider ref, error)</w:t>
      </w:r>
    </w:p>
    <w:p>
      <w:pPr>
        <w:pStyle w:val="ListBullet"/>
        <w:spacing w:after="60"/>
        <w:ind w:left="360"/>
      </w:pPr>
      <w:r>
        <w:rPr>
          <w:rFonts w:ascii="Calibri" w:hAnsi="Calibri"/>
          <w:b/>
          <w:color w:val="101828"/>
          <w:sz w:val="21"/>
        </w:rPr>
        <w:t>Asynchronous, always.</w:t>
      </w:r>
      <w:r>
        <w:rPr>
          <w:rFonts w:ascii="Calibri" w:hAnsi="Calibri"/>
          <w:b w:val="0"/>
          <w:i w:val="0"/>
          <w:color w:val="101828"/>
          <w:sz w:val="21"/>
        </w:rPr>
        <w:t xml:space="preserve"> A notification failure must never roll back a payment. The ledger entry is committed first; the notification is a downstream consequence.</w:t>
      </w:r>
    </w:p>
    <w:p>
      <w:pPr>
        <w:pStyle w:val="ListBullet"/>
        <w:spacing w:after="60"/>
        <w:ind w:left="360"/>
      </w:pPr>
      <w:r>
        <w:rPr>
          <w:rFonts w:ascii="Calibri" w:hAnsi="Calibri"/>
          <w:b/>
          <w:color w:val="101828"/>
          <w:sz w:val="21"/>
        </w:rPr>
        <w:t>Per-channel independent queues</w:t>
      </w:r>
      <w:r>
        <w:rPr>
          <w:rFonts w:ascii="Calibri" w:hAnsi="Calibri"/>
          <w:b w:val="0"/>
          <w:i w:val="0"/>
          <w:color w:val="101828"/>
          <w:sz w:val="21"/>
        </w:rPr>
        <w:t xml:space="preserve"> so an email provider outage does not delay push notifications.</w:t>
      </w:r>
    </w:p>
    <w:p>
      <w:pPr>
        <w:pStyle w:val="ListBullet"/>
        <w:spacing w:after="60"/>
        <w:ind w:left="360"/>
      </w:pPr>
      <w:r>
        <w:rPr>
          <w:rFonts w:ascii="Calibri" w:hAnsi="Calibri"/>
          <w:b/>
          <w:color w:val="101828"/>
          <w:sz w:val="21"/>
        </w:rPr>
        <w:t>Idempotent delivery</w:t>
      </w:r>
      <w:r>
        <w:rPr>
          <w:rFonts w:ascii="Calibri" w:hAnsi="Calibri"/>
          <w:b w:val="0"/>
          <w:i w:val="0"/>
          <w:color w:val="101828"/>
          <w:sz w:val="21"/>
        </w:rPr>
        <w:t xml:space="preserve"> — a notification has a unique key, so a retried job cannot produce a duplicate message.</w:t>
      </w:r>
    </w:p>
    <w:p>
      <w:pPr>
        <w:pStyle w:val="ListBullet"/>
        <w:spacing w:after="60"/>
        <w:ind w:left="360"/>
      </w:pPr>
      <w:r>
        <w:rPr>
          <w:rFonts w:ascii="Calibri" w:hAnsi="Calibri"/>
          <w:b/>
          <w:color w:val="101828"/>
          <w:sz w:val="21"/>
        </w:rPr>
        <w:t>Delivery logging</w:t>
      </w:r>
      <w:r>
        <w:rPr>
          <w:rFonts w:ascii="Calibri" w:hAnsi="Calibri"/>
          <w:b w:val="0"/>
          <w:i w:val="0"/>
          <w:color w:val="101828"/>
          <w:sz w:val="21"/>
        </w:rPr>
        <w:t xml:space="preserve"> — sent, delivered, failed, bounced. Bounced email and invalid phone numbers are suppressed and flagged, not retried forever.</w:t>
      </w:r>
    </w:p>
    <w:p>
      <w:pPr>
        <w:pStyle w:val="ListBullet"/>
        <w:spacing w:after="60"/>
        <w:ind w:left="360"/>
      </w:pPr>
      <w:r>
        <w:rPr>
          <w:rFonts w:ascii="Calibri" w:hAnsi="Calibri"/>
          <w:b/>
          <w:color w:val="101828"/>
          <w:sz w:val="21"/>
        </w:rPr>
        <w:t>Exponential backoff with a cap</w:t>
      </w:r>
      <w:r>
        <w:rPr>
          <w:rFonts w:ascii="Calibri" w:hAnsi="Calibri"/>
          <w:b w:val="0"/>
          <w:i w:val="0"/>
          <w:color w:val="101828"/>
          <w:sz w:val="21"/>
        </w:rPr>
        <w:t>, then a dead-letter queue with alerting. A dead-letter queue nobody watches is an outage that never surfaces.</w:t>
      </w:r>
    </w:p>
    <w:p>
      <w:pPr>
        <w:pStyle w:val="Heading2"/>
      </w:pPr>
      <w:r>
        <w:rPr>
          <w:rFonts w:ascii="Calibri" w:hAnsi="Calibri"/>
          <w:b/>
          <w:i w:val="0"/>
          <w:color w:val="146EF5"/>
          <w:sz w:val="29"/>
        </w:rPr>
        <w:t>16.7 Preferences and quiet hours</w:t>
      </w:r>
    </w:p>
    <w:p>
      <w:pPr>
        <w:pStyle w:val="ListBullet"/>
        <w:spacing w:after="60"/>
        <w:ind w:left="360"/>
      </w:pPr>
      <w:r>
        <w:rPr>
          <w:rFonts w:ascii="Calibri" w:hAnsi="Calibri"/>
          <w:b w:val="0"/>
          <w:i w:val="0"/>
          <w:color w:val="101828"/>
          <w:sz w:val="21"/>
        </w:rPr>
        <w:t>Per channel, per category. A member may disable marketing email and keep all payment push notifications.</w:t>
      </w:r>
    </w:p>
    <w:p>
      <w:pPr>
        <w:pStyle w:val="ListBullet"/>
        <w:spacing w:after="60"/>
        <w:ind w:left="360"/>
      </w:pPr>
      <w:r>
        <w:rPr>
          <w:rFonts w:ascii="Calibri" w:hAnsi="Calibri"/>
          <w:b w:val="0"/>
          <w:i w:val="0"/>
          <w:color w:val="101828"/>
          <w:sz w:val="21"/>
        </w:rPr>
        <w:t>Quiet hours are configurable, default 22:00–07:00 local, and apply to informational, marketing, and reminder categories only.</w:t>
      </w:r>
    </w:p>
    <w:p>
      <w:pPr>
        <w:pStyle w:val="ListBullet"/>
        <w:spacing w:after="60"/>
        <w:ind w:left="360"/>
      </w:pPr>
      <w:r>
        <w:rPr>
          <w:rFonts w:ascii="Calibri" w:hAnsi="Calibri"/>
          <w:b w:val="0"/>
          <w:i w:val="0"/>
          <w:color w:val="101828"/>
          <w:sz w:val="21"/>
        </w:rPr>
        <w:t>Money events and security events always bypass quiet hours.</w:t>
      </w:r>
    </w:p>
    <w:p>
      <w:pPr>
        <w:pStyle w:val="ListBullet"/>
        <w:spacing w:after="60"/>
        <w:ind w:left="360"/>
      </w:pPr>
      <w:r>
        <w:rPr>
          <w:rFonts w:ascii="Calibri" w:hAnsi="Calibri"/>
          <w:b w:val="0"/>
          <w:i w:val="0"/>
          <w:color w:val="101828"/>
          <w:sz w:val="21"/>
        </w:rPr>
        <w:t xml:space="preserve">A member in a different timezone from the Ajo — and with a contribution deadline in the Ajo's local time — sees deadlines in </w:t>
      </w:r>
      <w:r>
        <w:rPr>
          <w:rFonts w:ascii="Calibri" w:hAnsi="Calibri"/>
          <w:b/>
          <w:color w:val="101828"/>
          <w:sz w:val="21"/>
        </w:rPr>
        <w:t>the Ajo's timezone</w:t>
      </w:r>
      <w:r>
        <w:rPr>
          <w:rFonts w:ascii="Calibri" w:hAnsi="Calibri"/>
          <w:b w:val="0"/>
          <w:i w:val="0"/>
          <w:color w:val="101828"/>
          <w:sz w:val="21"/>
        </w:rPr>
        <w:t>, clearly labelled, with their local equivalent shown alongside. Getting this wrong causes defaults.</w:t>
      </w:r>
    </w:p>
    <w:p>
      <w:pPr>
        <w:pStyle w:val="ListBullet"/>
        <w:spacing w:after="60"/>
        <w:ind w:left="360"/>
      </w:pPr>
      <w:r>
        <w:rPr>
          <w:rFonts w:ascii="Calibri" w:hAnsi="Calibri"/>
          <w:b w:val="0"/>
          <w:i w:val="0"/>
          <w:color w:val="101828"/>
          <w:sz w:val="21"/>
        </w:rPr>
        <w:t>Timezone is derived from the phone number at onboarding, confirmed by the member, and re-derivable from location with consent.</w:t>
      </w:r>
    </w:p>
    <w:p>
      <w:pPr>
        <w:spacing w:before="140" w:after="180"/>
        <w:ind w:left="144"/>
        <w:shd w:val="clear" w:color="auto" w:fill="EFF6FF"/>
        <w:pBdr>
          <w:left w:val="single" w:sz="18" w:space="6" w:color="146EF5"/>
        </w:pBdr>
      </w:pPr>
      <w:r>
        <w:rPr>
          <w:rFonts w:ascii="Calibri" w:hAnsi="Calibri"/>
          <w:b/>
          <w:color w:val="146EF5"/>
          <w:sz w:val="19"/>
        </w:rPr>
        <w:t xml:space="preserve">One deadline, one clock.  </w:t>
      </w:r>
      <w:r>
        <w:rPr>
          <w:rFonts w:ascii="Calibri" w:hAnsi="Calibri"/>
          <w:b w:val="0"/>
          <w:i w:val="0"/>
          <w:color w:val="0B1F3A"/>
          <w:sz w:val="19"/>
        </w:rPr>
        <w:t>The most avoidable cause of default in a group savings product is a deadline displayed in the wrong timezone. A member in Lagos and an organizer in Kaduna must agree on when the round closes, and the app is the only place that can guarantee that. Everything else about a default is a harder problem; this one is solvable.</w:t>
      </w:r>
    </w:p>
    <w:p>
      <w:pPr>
        <w:pStyle w:val="Heading2"/>
      </w:pPr>
      <w:r>
        <w:rPr>
          <w:rFonts w:ascii="Calibri" w:hAnsi="Calibri"/>
          <w:b/>
          <w:i w:val="0"/>
          <w:color w:val="146EF5"/>
          <w:sz w:val="29"/>
        </w:rPr>
        <w:t>16.8 Statements and records</w:t>
      </w:r>
    </w:p>
    <w:p>
      <w:pPr>
        <w:pStyle w:val="ListBullet"/>
        <w:spacing w:after="60"/>
        <w:ind w:left="360"/>
      </w:pPr>
      <w:r>
        <w:rPr>
          <w:rFonts w:ascii="Calibri" w:hAnsi="Calibri"/>
          <w:b/>
          <w:color w:val="101828"/>
          <w:sz w:val="21"/>
        </w:rPr>
        <w:t>Every notification is a record.</w:t>
      </w:r>
      <w:r>
        <w:rPr>
          <w:rFonts w:ascii="Calibri" w:hAnsi="Calibri"/>
          <w:b w:val="0"/>
          <w:i w:val="0"/>
          <w:color w:val="101828"/>
          <w:sz w:val="21"/>
        </w:rPr>
        <w:t xml:space="preserve"> It is written to a durable member-visible notification history, and is retained even if the member later changes their phone number.</w:t>
      </w:r>
    </w:p>
    <w:p>
      <w:pPr>
        <w:pStyle w:val="ListBullet"/>
        <w:spacing w:after="60"/>
        <w:ind w:left="360"/>
      </w:pPr>
      <w:r>
        <w:rPr>
          <w:rFonts w:ascii="Calibri" w:hAnsi="Calibri"/>
          <w:b/>
          <w:color w:val="101828"/>
          <w:sz w:val="21"/>
        </w:rPr>
        <w:t>Monthly statement</w:t>
      </w:r>
      <w:r>
        <w:rPr>
          <w:rFonts w:ascii="Calibri" w:hAnsi="Calibri"/>
          <w:b w:val="0"/>
          <w:i w:val="0"/>
          <w:color w:val="101828"/>
          <w:sz w:val="21"/>
        </w:rPr>
        <w:t xml:space="preserve"> — a PDF and an in-app view covering contributions, fees, payouts, and the member's position in every Ajo, issued by email on a fixed day each month.</w:t>
      </w:r>
    </w:p>
    <w:p>
      <w:pPr>
        <w:pStyle w:val="ListBullet"/>
        <w:spacing w:after="60"/>
        <w:ind w:left="360"/>
      </w:pPr>
      <w:r>
        <w:rPr>
          <w:rFonts w:ascii="Calibri" w:hAnsi="Calibri"/>
          <w:b/>
          <w:color w:val="101828"/>
          <w:sz w:val="21"/>
        </w:rPr>
        <w:t>Annual statement</w:t>
      </w:r>
      <w:r>
        <w:rPr>
          <w:rFonts w:ascii="Calibri" w:hAnsi="Calibri"/>
          <w:b w:val="0"/>
          <w:i w:val="0"/>
          <w:color w:val="101828"/>
          <w:sz w:val="21"/>
        </w:rPr>
        <w:t xml:space="preserve"> — for tax and personal records, with the total fees paid clearly itemised. Whether contributions are tax-deductible or a fee is taxable is a </w:t>
      </w:r>
      <w:r>
        <w:rPr>
          <w:rFonts w:ascii="Calibri" w:hAnsi="Calibri"/>
          <w:b/>
          <w:color w:val="101828"/>
          <w:sz w:val="21"/>
        </w:rPr>
        <w:t>question for Nigerian tax advisors</w:t>
      </w:r>
      <w:r>
        <w:rPr>
          <w:rFonts w:ascii="Calibri" w:hAnsi="Calibri"/>
          <w:b w:val="0"/>
          <w:i w:val="0"/>
          <w:color w:val="101828"/>
          <w:sz w:val="21"/>
        </w:rPr>
        <w:t>, and the statement should present the facts without characterising them.</w:t>
      </w:r>
    </w:p>
    <w:p>
      <w:pPr>
        <w:pStyle w:val="ListBullet"/>
        <w:spacing w:after="60"/>
        <w:ind w:left="360"/>
      </w:pPr>
      <w:r>
        <w:rPr>
          <w:rFonts w:ascii="Calibri" w:hAnsi="Calibri"/>
          <w:b/>
          <w:color w:val="101828"/>
          <w:sz w:val="21"/>
        </w:rPr>
        <w:t>Transaction receipts</w:t>
      </w:r>
      <w:r>
        <w:rPr>
          <w:rFonts w:ascii="Calibri" w:hAnsi="Calibri"/>
          <w:b w:val="0"/>
          <w:i w:val="0"/>
          <w:color w:val="101828"/>
          <w:sz w:val="21"/>
        </w:rPr>
        <w:t xml:space="preserve"> — every contribution, fee, and payout has a receipt with a reference number, usable as evidence in a dispute.</w:t>
      </w:r>
    </w:p>
    <w:p>
      <w:pPr>
        <w:pStyle w:val="ListBullet"/>
        <w:spacing w:after="60"/>
        <w:ind w:left="360"/>
      </w:pPr>
      <w:r>
        <w:rPr>
          <w:rFonts w:ascii="Calibri" w:hAnsi="Calibri"/>
          <w:b/>
          <w:color w:val="101828"/>
          <w:sz w:val="21"/>
        </w:rPr>
        <w:t>Export</w:t>
      </w:r>
      <w:r>
        <w:rPr>
          <w:rFonts w:ascii="Calibri" w:hAnsi="Calibri"/>
          <w:b w:val="0"/>
          <w:i w:val="0"/>
          <w:color w:val="101828"/>
          <w:sz w:val="21"/>
        </w:rPr>
        <w:t xml:space="preserve"> — a member can export their full transaction history in a machine-readable format at any time.</w:t>
      </w:r>
    </w:p>
    <w:p>
      <w:pPr>
        <w:pStyle w:val="Heading2"/>
      </w:pPr>
      <w:r>
        <w:rPr>
          <w:rFonts w:ascii="Calibri" w:hAnsi="Calibri"/>
          <w:b/>
          <w:i w:val="0"/>
          <w:color w:val="146EF5"/>
          <w:sz w:val="29"/>
        </w:rPr>
        <w:t>16.9 Messaging safety</w:t>
      </w:r>
    </w:p>
    <w:p>
      <w:r>
        <w:rPr>
          <w:rFonts w:ascii="Calibri" w:hAnsi="Calibri"/>
          <w:b w:val="0"/>
          <w:i w:val="0"/>
          <w:color w:val="101828"/>
          <w:sz w:val="21"/>
        </w:rPr>
        <w:t>If the app has messaging, it has a moderation problem, a harassment problem, and a fraud problem. That is why messaging is scoped rather than open.</w:t>
      </w:r>
    </w:p>
    <w:p>
      <w:pPr>
        <w:pStyle w:val="ListBullet"/>
        <w:spacing w:after="60"/>
        <w:ind w:left="360"/>
      </w:pPr>
      <w:r>
        <w:rPr>
          <w:rFonts w:ascii="Calibri" w:hAnsi="Calibri"/>
          <w:b w:val="0"/>
          <w:i w:val="0"/>
          <w:color w:val="101828"/>
          <w:sz w:val="21"/>
        </w:rPr>
        <w:t xml:space="preserve">Messaging is </w:t>
      </w:r>
      <w:r>
        <w:rPr>
          <w:rFonts w:ascii="Calibri" w:hAnsi="Calibri"/>
          <w:b/>
          <w:color w:val="101828"/>
          <w:sz w:val="21"/>
        </w:rPr>
        <w:t>organizer to members within a single Ajo</w:t>
      </w:r>
      <w:r>
        <w:rPr>
          <w:rFonts w:ascii="Calibri" w:hAnsi="Calibri"/>
          <w:b w:val="0"/>
          <w:i w:val="0"/>
          <w:color w:val="101828"/>
          <w:sz w:val="21"/>
        </w:rPr>
        <w:t>, plus member to member on request. There is no open directory, no global discoverability, and no ability to message a member who is not in the same Ajo.</w:t>
      </w:r>
    </w:p>
    <w:p>
      <w:pPr>
        <w:pStyle w:val="ListBullet"/>
        <w:spacing w:after="60"/>
        <w:ind w:left="360"/>
      </w:pPr>
      <w:r>
        <w:rPr>
          <w:rFonts w:ascii="Calibri" w:hAnsi="Calibri"/>
          <w:b w:val="0"/>
          <w:i w:val="0"/>
          <w:color w:val="101828"/>
          <w:sz w:val="21"/>
        </w:rPr>
        <w:t>Every message is retained and auditable. A member can report a message; reports are reviewed by a human.</w:t>
      </w:r>
    </w:p>
    <w:p>
      <w:pPr>
        <w:pStyle w:val="ListBullet"/>
        <w:spacing w:after="60"/>
        <w:ind w:left="360"/>
      </w:pPr>
      <w:r>
        <w:rPr>
          <w:rFonts w:ascii="Calibri" w:hAnsi="Calibri"/>
          <w:b w:val="0"/>
          <w:i w:val="0"/>
          <w:color w:val="101828"/>
          <w:sz w:val="21"/>
        </w:rPr>
        <w:t>Blocking and muting are available to every member and take effect immediately.</w:t>
      </w:r>
    </w:p>
    <w:p>
      <w:pPr>
        <w:pStyle w:val="ListBullet"/>
        <w:spacing w:after="60"/>
        <w:ind w:left="360"/>
      </w:pPr>
      <w:r>
        <w:rPr>
          <w:rFonts w:ascii="Calibri" w:hAnsi="Calibri"/>
          <w:b w:val="0"/>
          <w:i w:val="0"/>
          <w:color w:val="101828"/>
          <w:sz w:val="21"/>
        </w:rPr>
        <w:t>Contact details are hidden by default. A member who chooses to share does so deliberately, and sharing is revocable.</w:t>
      </w:r>
    </w:p>
    <w:p>
      <w:pPr>
        <w:pStyle w:val="ListBullet"/>
        <w:spacing w:after="60"/>
        <w:ind w:left="360"/>
      </w:pPr>
      <w:r>
        <w:rPr>
          <w:rFonts w:ascii="Calibri" w:hAnsi="Calibri"/>
          <w:b/>
          <w:color w:val="101828"/>
          <w:sz w:val="21"/>
        </w:rPr>
        <w:t>Money never travels through chat.</w:t>
      </w:r>
      <w:r>
        <w:rPr>
          <w:rFonts w:ascii="Calibri" w:hAnsi="Calibri"/>
          <w:b w:val="0"/>
          <w:i w:val="0"/>
          <w:color w:val="101828"/>
          <w:sz w:val="21"/>
        </w:rPr>
        <w:t xml:space="preserve"> A message asking for money is both prohibited and reportable. This is stated in the terms, in the Ajo rules, and in the compose screen.</w:t>
      </w:r>
    </w:p>
    <w:p>
      <w:pPr>
        <w:pStyle w:val="ListBullet"/>
        <w:spacing w:after="60"/>
        <w:ind w:left="360"/>
      </w:pPr>
      <w:r>
        <w:rPr>
          <w:rFonts w:ascii="Calibri" w:hAnsi="Calibri"/>
          <w:b w:val="0"/>
          <w:i w:val="0"/>
          <w:color w:val="101828"/>
          <w:sz w:val="21"/>
        </w:rPr>
        <w:t>Rate limits on outbound messages, with a low threshold for new accounts, prevent spam and mass-targeting.</w:t>
      </w:r>
    </w:p>
    <w:p>
      <w:pPr>
        <w:pStyle w:val="Heading2"/>
      </w:pPr>
      <w:r>
        <w:rPr>
          <w:rFonts w:ascii="Calibri" w:hAnsi="Calibri"/>
          <w:b/>
          <w:i w:val="0"/>
          <w:color w:val="146EF5"/>
          <w:sz w:val="29"/>
        </w:rPr>
        <w:t>16.10 Notification metrics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Metric</w:t>
            </w:r>
          </w:p>
        </w:tc>
        <w:tc>
          <w:tcPr>
            <w:tcW w:type="dxa" w:w="3024"/>
            <w:shd w:val="clear" w:color="auto" w:fill="0B1F3A"/>
            <w:tcMar>
              <w:top w:w="60" w:type="dxa"/>
              <w:start w:w="110" w:type="dxa"/>
              <w:bottom w:w="60" w:type="dxa"/>
              <w:end w:w="110" w:type="dxa"/>
            </w:tcMar>
          </w:tcPr>
          <w:p>
            <w:pPr>
              <w:spacing w:after="0"/>
            </w:pPr>
            <w:r/>
            <w:r>
              <w:rPr>
                <w:rFonts w:ascii="Calibri" w:hAnsi="Calibri"/>
                <w:b/>
                <w:i w:val="0"/>
                <w:color w:val="FFFFFF"/>
                <w:sz w:val="16"/>
              </w:rPr>
              <w:t>Definition</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Target</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Why</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Push opt-in rate</w:t>
            </w:r>
          </w:p>
        </w:tc>
        <w:tc>
          <w:tcPr>
            <w:tcW w:type="dxa" w:w="3024"/>
            <w:tcMar>
              <w:top w:w="60" w:type="dxa"/>
              <w:start w:w="110" w:type="dxa"/>
              <w:bottom w:w="60" w:type="dxa"/>
              <w:end w:w="110" w:type="dxa"/>
            </w:tcMar>
          </w:tcPr>
          <w:p>
            <w:pPr>
              <w:spacing w:after="0"/>
            </w:pPr>
            <w:r/>
            <w:r>
              <w:rPr>
                <w:rFonts w:ascii="Calibri" w:hAnsi="Calibri"/>
                <w:b w:val="0"/>
                <w:i w:val="0"/>
                <w:color w:val="101828"/>
                <w:sz w:val="16"/>
              </w:rPr>
              <w:t>Members with push enabled ÷ registered</w:t>
            </w:r>
          </w:p>
        </w:tc>
        <w:tc>
          <w:tcPr>
            <w:tcW w:type="dxa" w:w="1584"/>
            <w:tcMar>
              <w:top w:w="60" w:type="dxa"/>
              <w:start w:w="110" w:type="dxa"/>
              <w:bottom w:w="60" w:type="dxa"/>
              <w:end w:w="110" w:type="dxa"/>
            </w:tcMar>
          </w:tcPr>
          <w:p>
            <w:pPr>
              <w:spacing w:after="0"/>
            </w:pPr>
            <w:r/>
            <w:r>
              <w:rPr>
                <w:rFonts w:ascii="Calibri" w:hAnsi="Calibri"/>
                <w:b w:val="0"/>
                <w:i w:val="0"/>
                <w:color w:val="101828"/>
                <w:sz w:val="16"/>
              </w:rPr>
              <w:t>&gt; 90%</w:t>
            </w:r>
          </w:p>
        </w:tc>
        <w:tc>
          <w:tcPr>
            <w:tcW w:type="dxa" w:w="2304"/>
            <w:tcMar>
              <w:top w:w="60" w:type="dxa"/>
              <w:start w:w="110" w:type="dxa"/>
              <w:bottom w:w="60" w:type="dxa"/>
              <w:end w:w="110" w:type="dxa"/>
            </w:tcMar>
          </w:tcPr>
          <w:p>
            <w:pPr>
              <w:spacing w:after="0"/>
            </w:pPr>
            <w:r/>
            <w:r>
              <w:rPr>
                <w:rFonts w:ascii="Calibri" w:hAnsi="Calibri"/>
                <w:b w:val="0"/>
                <w:i w:val="0"/>
                <w:color w:val="101828"/>
                <w:sz w:val="16"/>
              </w:rPr>
              <w:t>The primary delivery channel</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Open rate by category</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Opens ÷ delivered, per category</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Money &gt; 70%</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A low open rate on money events predicts defaults</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Contribution rate after reminder</w:t>
            </w:r>
          </w:p>
        </w:tc>
        <w:tc>
          <w:tcPr>
            <w:tcW w:type="dxa" w:w="3024"/>
            <w:tcMar>
              <w:top w:w="60" w:type="dxa"/>
              <w:start w:w="110" w:type="dxa"/>
              <w:bottom w:w="60" w:type="dxa"/>
              <w:end w:w="110" w:type="dxa"/>
            </w:tcMar>
          </w:tcPr>
          <w:p>
            <w:pPr>
              <w:spacing w:after="0"/>
            </w:pPr>
            <w:r/>
            <w:r>
              <w:rPr>
                <w:rFonts w:ascii="Calibri" w:hAnsi="Calibri"/>
                <w:b w:val="0"/>
                <w:i w:val="0"/>
                <w:color w:val="101828"/>
                <w:sz w:val="16"/>
              </w:rPr>
              <w:t>Contributions within 24h of a reminder ÷ reminders sent</w:t>
            </w:r>
          </w:p>
        </w:tc>
        <w:tc>
          <w:tcPr>
            <w:tcW w:type="dxa" w:w="1584"/>
            <w:tcMar>
              <w:top w:w="60" w:type="dxa"/>
              <w:start w:w="110" w:type="dxa"/>
              <w:bottom w:w="60" w:type="dxa"/>
              <w:end w:w="110" w:type="dxa"/>
            </w:tcMar>
          </w:tcPr>
          <w:p>
            <w:pPr>
              <w:spacing w:after="0"/>
            </w:pPr>
            <w:r/>
            <w:r>
              <w:rPr>
                <w:rFonts w:ascii="Calibri" w:hAnsi="Calibri"/>
                <w:b w:val="0"/>
                <w:i w:val="0"/>
                <w:color w:val="101828"/>
                <w:sz w:val="16"/>
              </w:rPr>
              <w:t>&gt; 40%</w:t>
            </w:r>
          </w:p>
        </w:tc>
        <w:tc>
          <w:tcPr>
            <w:tcW w:type="dxa" w:w="2304"/>
            <w:tcMar>
              <w:top w:w="60" w:type="dxa"/>
              <w:start w:w="110" w:type="dxa"/>
              <w:bottom w:w="60" w:type="dxa"/>
              <w:end w:w="110" w:type="dxa"/>
            </w:tcMar>
          </w:tcPr>
          <w:p>
            <w:pPr>
              <w:spacing w:after="0"/>
            </w:pPr>
            <w:r/>
            <w:r>
              <w:rPr>
                <w:rFonts w:ascii="Calibri" w:hAnsi="Calibri"/>
                <w:b w:val="0"/>
                <w:i w:val="0"/>
                <w:color w:val="101828"/>
                <w:sz w:val="16"/>
              </w:rPr>
              <w:t>The reminder system's actual job</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Time to read a due notice</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Median time from send to open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&lt; 4 hours</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Determines whether the reminder is useful</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Failed delivery rate</w:t>
            </w:r>
          </w:p>
        </w:tc>
        <w:tc>
          <w:tcPr>
            <w:tcW w:type="dxa" w:w="3024"/>
            <w:tcMar>
              <w:top w:w="60" w:type="dxa"/>
              <w:start w:w="110" w:type="dxa"/>
              <w:bottom w:w="60" w:type="dxa"/>
              <w:end w:w="110" w:type="dxa"/>
            </w:tcMar>
          </w:tcPr>
          <w:p>
            <w:pPr>
              <w:spacing w:after="0"/>
            </w:pPr>
            <w:r/>
            <w:r>
              <w:rPr>
                <w:rFonts w:ascii="Calibri" w:hAnsi="Calibri"/>
                <w:b w:val="0"/>
                <w:i w:val="0"/>
                <w:color w:val="101828"/>
                <w:sz w:val="16"/>
              </w:rPr>
              <w:t>Failures ÷ attempts, per channel</w:t>
            </w:r>
          </w:p>
        </w:tc>
        <w:tc>
          <w:tcPr>
            <w:tcW w:type="dxa" w:w="1584"/>
            <w:tcMar>
              <w:top w:w="60" w:type="dxa"/>
              <w:start w:w="110" w:type="dxa"/>
              <w:bottom w:w="60" w:type="dxa"/>
              <w:end w:w="110" w:type="dxa"/>
            </w:tcMar>
          </w:tcPr>
          <w:p>
            <w:pPr>
              <w:spacing w:after="0"/>
            </w:pPr>
            <w:r/>
            <w:r>
              <w:rPr>
                <w:rFonts w:ascii="Calibri" w:hAnsi="Calibri"/>
                <w:b w:val="0"/>
                <w:i w:val="0"/>
                <w:color w:val="101828"/>
                <w:sz w:val="16"/>
              </w:rPr>
              <w:t>&lt; 1%</w:t>
            </w:r>
          </w:p>
        </w:tc>
        <w:tc>
          <w:tcPr>
            <w:tcW w:type="dxa" w:w="2304"/>
            <w:tcMar>
              <w:top w:w="60" w:type="dxa"/>
              <w:start w:w="110" w:type="dxa"/>
              <w:bottom w:w="60" w:type="dxa"/>
              <w:end w:w="110" w:type="dxa"/>
            </w:tcMar>
          </w:tcPr>
          <w:p>
            <w:pPr>
              <w:spacing w:after="0"/>
            </w:pPr>
            <w:r/>
            <w:r>
              <w:rPr>
                <w:rFonts w:ascii="Calibri" w:hAnsi="Calibri"/>
                <w:b w:val="0"/>
                <w:i w:val="0"/>
                <w:color w:val="101828"/>
                <w:sz w:val="16"/>
              </w:rPr>
              <w:t>Above this, the channel is not working</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Bounce and invalid rate</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Bad addresses ÷ sends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&lt; 0.5%</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Needs a data-hygiene task, not more retries</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Duplicate send rate</w:t>
            </w:r>
          </w:p>
        </w:tc>
        <w:tc>
          <w:tcPr>
            <w:tcW w:type="dxa" w:w="3024"/>
            <w:tcMar>
              <w:top w:w="60" w:type="dxa"/>
              <w:start w:w="110" w:type="dxa"/>
              <w:bottom w:w="60" w:type="dxa"/>
              <w:end w:w="110" w:type="dxa"/>
            </w:tcMar>
          </w:tcPr>
          <w:p>
            <w:pPr>
              <w:spacing w:after="0"/>
            </w:pPr>
            <w:r/>
            <w:r>
              <w:rPr>
                <w:rFonts w:ascii="Calibri" w:hAnsi="Calibri"/>
                <w:b w:val="0"/>
                <w:i w:val="0"/>
                <w:color w:val="101828"/>
                <w:sz w:val="16"/>
              </w:rPr>
              <w:t>Duplicates ÷ total sends</w:t>
            </w:r>
          </w:p>
        </w:tc>
        <w:tc>
          <w:tcPr>
            <w:tcW w:type="dxa" w:w="1584"/>
            <w:tcMar>
              <w:top w:w="60" w:type="dxa"/>
              <w:start w:w="110" w:type="dxa"/>
              <w:bottom w:w="60" w:type="dxa"/>
              <w:end w:w="110" w:type="dxa"/>
            </w:tcMar>
          </w:tcPr>
          <w:p>
            <w:pPr>
              <w:spacing w:after="0"/>
            </w:pPr>
            <w:r/>
            <w:r>
              <w:rPr>
                <w:rFonts w:ascii="Calibri" w:hAnsi="Calibri"/>
                <w:b w:val="0"/>
                <w:i w:val="0"/>
                <w:color w:val="101828"/>
                <w:sz w:val="16"/>
              </w:rPr>
              <w:t>Zero</w:t>
            </w:r>
          </w:p>
        </w:tc>
        <w:tc>
          <w:tcPr>
            <w:tcW w:type="dxa" w:w="2304"/>
            <w:tcMar>
              <w:top w:w="60" w:type="dxa"/>
              <w:start w:w="110" w:type="dxa"/>
              <w:bottom w:w="60" w:type="dxa"/>
              <w:end w:w="110" w:type="dxa"/>
            </w:tcMar>
          </w:tcPr>
          <w:p>
            <w:pPr>
              <w:spacing w:after="0"/>
            </w:pPr>
            <w:r/>
            <w:r>
              <w:rPr>
                <w:rFonts w:ascii="Calibri" w:hAnsi="Calibri"/>
                <w:b w:val="0"/>
                <w:i w:val="0"/>
                <w:color w:val="101828"/>
                <w:sz w:val="16"/>
              </w:rPr>
              <w:t>Any duplicate is a defect</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Dead-letter queue depth</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Undeliverable notifications awaiting triage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&lt; 50</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An unwatched queue is a silent outage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Unsubscribe rate</w:t>
            </w:r>
          </w:p>
        </w:tc>
        <w:tc>
          <w:tcPr>
            <w:tcW w:type="dxa" w:w="3024"/>
            <w:tcMar>
              <w:top w:w="60" w:type="dxa"/>
              <w:start w:w="110" w:type="dxa"/>
              <w:bottom w:w="60" w:type="dxa"/>
              <w:end w:w="110" w:type="dxa"/>
            </w:tcMar>
          </w:tcPr>
          <w:p>
            <w:pPr>
              <w:spacing w:after="0"/>
            </w:pPr>
            <w:r/>
            <w:r>
              <w:rPr>
                <w:rFonts w:ascii="Calibri" w:hAnsi="Calibri"/>
                <w:b w:val="0"/>
                <w:i w:val="0"/>
                <w:color w:val="101828"/>
                <w:sz w:val="16"/>
              </w:rPr>
              <w:t>Opt-outs ÷ sends, marketing</w:t>
            </w:r>
          </w:p>
        </w:tc>
        <w:tc>
          <w:tcPr>
            <w:tcW w:type="dxa" w:w="1584"/>
            <w:tcMar>
              <w:top w:w="60" w:type="dxa"/>
              <w:start w:w="110" w:type="dxa"/>
              <w:bottom w:w="60" w:type="dxa"/>
              <w:end w:w="110" w:type="dxa"/>
            </w:tcMar>
          </w:tcPr>
          <w:p>
            <w:pPr>
              <w:spacing w:after="0"/>
            </w:pPr>
            <w:r/>
            <w:r>
              <w:rPr>
                <w:rFonts w:ascii="Calibri" w:hAnsi="Calibri"/>
                <w:b w:val="0"/>
                <w:i w:val="0"/>
                <w:color w:val="101828"/>
                <w:sz w:val="16"/>
              </w:rPr>
              <w:t>&lt; 0.5%</w:t>
            </w:r>
          </w:p>
        </w:tc>
        <w:tc>
          <w:tcPr>
            <w:tcW w:type="dxa" w:w="2304"/>
            <w:tcMar>
              <w:top w:w="60" w:type="dxa"/>
              <w:start w:w="110" w:type="dxa"/>
              <w:bottom w:w="60" w:type="dxa"/>
              <w:end w:w="110" w:type="dxa"/>
            </w:tcMar>
          </w:tcPr>
          <w:p>
            <w:pPr>
              <w:spacing w:after="0"/>
            </w:pPr>
            <w:r/>
            <w:r>
              <w:rPr>
                <w:rFonts w:ascii="Calibri" w:hAnsi="Calibri"/>
                <w:b w:val="0"/>
                <w:i w:val="0"/>
                <w:color w:val="101828"/>
                <w:sz w:val="16"/>
              </w:rPr>
              <w:t>Frequency and relevance discipline</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Support tickets about notifications</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Tickets tagged notification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Declining trend</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A proxy for template quality</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The one notification that must never fail.  </w:t>
      </w:r>
      <w:r>
        <w:rPr>
          <w:rFonts w:ascii="Calibri" w:hAnsi="Calibri"/>
          <w:b w:val="0"/>
          <w:i w:val="0"/>
          <w:color w:val="0B1F3A"/>
          <w:sz w:val="19"/>
        </w:rPr>
        <w:t>'Your payout was sent' is the emotional peak of the entire product. It is also the one notification that must not be duplicated, delayed past the moment of credit, or lost to a provider outage. It should be the most heavily monitored notification in the system, with its own alerting.</w:t>
      </w:r>
    </w:p>
    <w:p>
      <w:r>
        <w:br w:type="page"/>
      </w:r>
    </w:p>
    <w:p>
      <w:pPr>
        <w:pStyle w:val="Heading1"/>
        <w:pBdr>
          <w:bottom w:val="single" w:sz="12" w:space="6" w:color="146EF5"/>
        </w:pBdr>
        <w:spacing w:after="240"/>
      </w:pPr>
      <w:r>
        <w:rPr>
          <w:rFonts w:ascii="Calibri" w:hAnsi="Calibri"/>
          <w:b/>
          <w:i w:val="0"/>
          <w:color w:val="0B1F3A"/>
          <w:sz w:val="40"/>
        </w:rPr>
        <w:t>17. Mobile Experience and Platform Strategy</w:t>
      </w:r>
    </w:p>
    <w:p>
      <w:pPr>
        <w:spacing w:after="200"/>
      </w:pPr>
      <w:r>
        <w:rPr>
          <w:rFonts w:ascii="Calibri" w:hAnsi="Calibri"/>
          <w:b w:val="0"/>
          <w:i w:val="0"/>
          <w:color w:val="475467"/>
          <w:sz w:val="24"/>
        </w:rPr>
        <w:t>Most AJO.ng members will meet this product on an Android phone, on a metered mobile data connection, on a device that may be several years old and shared with a family member. That is not a constraint to apologise for. It is the design brief. Every decision in this section follows from it.</w:t>
      </w:r>
    </w:p>
    <w:p>
      <w:pPr>
        <w:pStyle w:val="Heading2"/>
      </w:pPr>
      <w:r>
        <w:rPr>
          <w:rFonts w:ascii="Calibri" w:hAnsi="Calibri"/>
          <w:b/>
          <w:i w:val="0"/>
          <w:color w:val="146EF5"/>
          <w:sz w:val="29"/>
        </w:rPr>
        <w:t>17.1 Platform strategy</w:t>
      </w:r>
    </w:p>
    <w:p>
      <w:pPr>
        <w:pStyle w:val="Heading3"/>
      </w:pPr>
      <w:r>
        <w:rPr>
          <w:rFonts w:ascii="Calibri" w:hAnsi="Calibri"/>
          <w:b/>
          <w:i w:val="0"/>
          <w:color w:val="0B1F3A"/>
          <w:sz w:val="24"/>
        </w:rPr>
        <w:t>17.1.1 Why React Native and Expo</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Decision</w:t>
            </w:r>
          </w:p>
        </w:tc>
        <w:tc>
          <w:tcPr>
            <w:tcW w:type="dxa" w:w="3888"/>
            <w:shd w:val="clear" w:color="auto" w:fill="0B1F3A"/>
            <w:tcMar>
              <w:top w:w="60" w:type="dxa"/>
              <w:start w:w="110" w:type="dxa"/>
              <w:bottom w:w="60" w:type="dxa"/>
              <w:end w:w="110" w:type="dxa"/>
            </w:tcMar>
          </w:tcPr>
          <w:p>
            <w:pPr>
              <w:spacing w:after="0"/>
            </w:pPr>
            <w:r/>
            <w:r>
              <w:rPr>
                <w:rFonts w:ascii="Calibri" w:hAnsi="Calibri"/>
                <w:b/>
                <w:i w:val="0"/>
                <w:color w:val="FFFFFF"/>
                <w:sz w:val="16"/>
              </w:rPr>
              <w:t>Rationale</w:t>
            </w:r>
          </w:p>
        </w:tc>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6"/>
              </w:rPr>
              <w:t>Trade-off accepted</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React Native + Expo</w:t>
            </w:r>
          </w:p>
        </w:tc>
        <w:tc>
          <w:tcPr>
            <w:tcW w:type="dxa" w:w="3888"/>
            <w:tcMar>
              <w:top w:w="60" w:type="dxa"/>
              <w:start w:w="110" w:type="dxa"/>
              <w:bottom w:w="60" w:type="dxa"/>
              <w:end w:w="110" w:type="dxa"/>
            </w:tcMar>
          </w:tcPr>
          <w:p>
            <w:pPr>
              <w:spacing w:after="0"/>
            </w:pPr>
            <w:r/>
            <w:r>
              <w:rPr>
                <w:rFonts w:ascii="Calibri" w:hAnsi="Calibri"/>
                <w:b w:val="0"/>
                <w:i w:val="0"/>
                <w:color w:val="101828"/>
                <w:sz w:val="16"/>
              </w:rPr>
              <w:t>One JavaScript/TypeScript codebase across Android and iOS, with access to native modules where biometrics and secure storage matter</w:t>
            </w:r>
          </w:p>
        </w:tc>
        <w:tc>
          <w:tcPr>
            <w:tcW w:type="dxa" w:w="3168"/>
            <w:tcMar>
              <w:top w:w="60" w:type="dxa"/>
              <w:start w:w="110" w:type="dxa"/>
              <w:bottom w:w="60" w:type="dxa"/>
              <w:end w:w="110" w:type="dxa"/>
            </w:tcMar>
          </w:tcPr>
          <w:p>
            <w:pPr>
              <w:spacing w:after="0"/>
            </w:pPr>
            <w:r/>
            <w:r>
              <w:rPr>
                <w:rFonts w:ascii="Calibri" w:hAnsi="Calibri"/>
                <w:b w:val="0"/>
                <w:i w:val="0"/>
                <w:color w:val="101828"/>
                <w:sz w:val="16"/>
              </w:rPr>
              <w:t>Slightly less platform-native polish than a fully native build</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Expo managed workflow</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Faster iteration, OTA updates without an app-store cycle, built-in handling of deep links and push notification setup</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Constrained by the Expo SDK; escape to a custom native build remains possible</w:t>
            </w:r>
          </w:p>
        </w:tc>
      </w:tr>
      <w:tr>
        <w:trPr>
          <w:cantSplit/>
        </w:trPr>
        <w:tc>
          <w:tcPr>
            <w:tcW w:type="dxa" w:w="2304"/>
            <w:tcMar>
              <w:top w:w="60" w:type="dxa"/>
              <w:start w:w="110" w:type="dxa"/>
              <w:bottom w:w="60" w:type="dxa"/>
              <w:end w:w="110" w:type="dxa"/>
            </w:tcMar>
          </w:tcPr>
          <w:p>
            <w:pPr>
              <w:spacing w:after="0"/>
            </w:pPr>
            <w:r/>
            <w:r>
              <w:rPr>
                <w:rFonts w:ascii="Calibri" w:hAnsi="Calibri"/>
                <w:b w:val="0"/>
                <w:i w:val="0"/>
                <w:color w:val="101828"/>
                <w:sz w:val="16"/>
              </w:rPr>
              <w:t>TypeScript end to end</w:t>
            </w:r>
          </w:p>
        </w:tc>
        <w:tc>
          <w:tcPr>
            <w:tcW w:type="dxa" w:w="3888"/>
            <w:tcMar>
              <w:top w:w="60" w:type="dxa"/>
              <w:start w:w="110" w:type="dxa"/>
              <w:bottom w:w="60" w:type="dxa"/>
              <w:end w:w="110" w:type="dxa"/>
            </w:tcMar>
          </w:tcPr>
          <w:p>
            <w:pPr>
              <w:spacing w:after="0"/>
            </w:pPr>
            <w:r/>
            <w:r>
              <w:rPr>
                <w:rFonts w:ascii="Calibri" w:hAnsi="Calibri"/>
                <w:b w:val="0"/>
                <w:i w:val="0"/>
                <w:color w:val="101828"/>
                <w:sz w:val="16"/>
              </w:rPr>
              <w:t>The domain core is shared with the backend, so a money rule cannot drift between client and server</w:t>
            </w:r>
          </w:p>
        </w:tc>
        <w:tc>
          <w:tcPr>
            <w:tcW w:type="dxa" w:w="3168"/>
            <w:tcMar>
              <w:top w:w="60" w:type="dxa"/>
              <w:start w:w="110" w:type="dxa"/>
              <w:bottom w:w="60" w:type="dxa"/>
              <w:end w:w="110" w:type="dxa"/>
            </w:tcMar>
          </w:tcPr>
          <w:p>
            <w:pPr>
              <w:spacing w:after="0"/>
            </w:pPr>
            <w:r/>
            <w:r>
              <w:rPr>
                <w:rFonts w:ascii="Calibri" w:hAnsi="Calibri"/>
                <w:b w:val="0"/>
                <w:i w:val="0"/>
                <w:color w:val="101828"/>
                <w:sz w:val="16"/>
              </w:rPr>
              <w:t>Requires discipline to keep the shared core pure</w:t>
            </w:r>
          </w:p>
        </w:tc>
      </w:tr>
      <w:tr>
        <w:trPr>
          <w:cantSplit/>
        </w:trPr>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Offline-first with a local cache</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Members lose signal constantly. Ajo status must remain visible without a network</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Conflict resolution must be designed deliberately, not improvised</w:t>
            </w:r>
          </w:p>
        </w:tc>
      </w:tr>
    </w:tbl>
    <w:p>
      <w:pPr>
        <w:spacing w:after="80"/>
      </w:pPr>
    </w:p>
    <w:p>
      <w:r>
        <w:rPr>
          <w:rFonts w:ascii="Calibri" w:hAnsi="Calibri"/>
          <w:b w:val="0"/>
          <w:i w:val="0"/>
          <w:color w:val="101828"/>
          <w:sz w:val="21"/>
        </w:rPr>
        <w:t>A native Android build (Kotlin) is a credible alternative for a team strong in Android specifically, and may be worth revisiting once product-market fit is established and the payment and identity integrations are settled. It should not be the starting point for a small team that needs to reach both platforms.</w:t>
      </w:r>
    </w:p>
    <w:p>
      <w:pPr>
        <w:pStyle w:val="Heading2"/>
      </w:pPr>
      <w:r>
        <w:rPr>
          <w:rFonts w:ascii="Calibri" w:hAnsi="Calibri"/>
          <w:b/>
          <w:i w:val="0"/>
          <w:color w:val="146EF5"/>
          <w:sz w:val="29"/>
        </w:rPr>
        <w:t>17.2 Design principles for this market</w:t>
      </w:r>
    </w:p>
    <w:p>
      <w:pPr>
        <w:pStyle w:val="ListNumber"/>
        <w:spacing w:after="60"/>
        <w:ind w:left="432"/>
      </w:pPr>
      <w:r>
        <w:rPr>
          <w:rFonts w:ascii="Calibri" w:hAnsi="Calibri"/>
          <w:b/>
          <w:color w:val="101828"/>
          <w:sz w:val="21"/>
        </w:rPr>
        <w:t>Thumb-reachable and one-handed.</w:t>
      </w:r>
      <w:r>
        <w:rPr>
          <w:rFonts w:ascii="Calibri" w:hAnsi="Calibri"/>
          <w:b w:val="0"/>
          <w:i w:val="0"/>
          <w:color w:val="101828"/>
          <w:sz w:val="21"/>
        </w:rPr>
        <w:t xml:space="preserve"> The primary actions sit in the lower third of the screen. A member paying a contribution should not need to reach the top of a large phone.</w:t>
      </w:r>
    </w:p>
    <w:p>
      <w:pPr>
        <w:pStyle w:val="ListNumber"/>
        <w:spacing w:after="60"/>
        <w:ind w:left="432"/>
      </w:pPr>
      <w:r>
        <w:rPr>
          <w:rFonts w:ascii="Calibri" w:hAnsi="Calibri"/>
          <w:b/>
          <w:color w:val="101828"/>
          <w:sz w:val="21"/>
        </w:rPr>
        <w:t>Low-bandwidth by default.</w:t>
      </w:r>
      <w:r>
        <w:rPr>
          <w:rFonts w:ascii="Calibri" w:hAnsi="Calibri"/>
          <w:b w:val="0"/>
          <w:i w:val="0"/>
          <w:color w:val="101828"/>
          <w:sz w:val="21"/>
        </w:rPr>
        <w:t xml:space="preserve"> Small payloads, aggressive caching, compressed images, and no video. The app must be usable on a poor connection, because a poor connection is normal.</w:t>
      </w:r>
    </w:p>
    <w:p>
      <w:pPr>
        <w:pStyle w:val="ListNumber"/>
        <w:spacing w:after="60"/>
        <w:ind w:left="432"/>
      </w:pPr>
      <w:r>
        <w:rPr>
          <w:rFonts w:ascii="Calibri" w:hAnsi="Calibri"/>
          <w:b/>
          <w:color w:val="101828"/>
          <w:sz w:val="21"/>
        </w:rPr>
        <w:t>Legible at arm's length.</w:t>
      </w:r>
      <w:r>
        <w:rPr>
          <w:rFonts w:ascii="Calibri" w:hAnsi="Calibri"/>
          <w:b w:val="0"/>
          <w:i w:val="0"/>
          <w:color w:val="101828"/>
          <w:sz w:val="21"/>
        </w:rPr>
        <w:t xml:space="preserve"> Large tap targets (minimum 44×44pt), generous type, and high contrast. Members may be older, may be outdoors, and may have imperfect eyesight.</w:t>
      </w:r>
    </w:p>
    <w:p>
      <w:pPr>
        <w:pStyle w:val="ListNumber"/>
        <w:spacing w:after="60"/>
        <w:ind w:left="432"/>
      </w:pPr>
      <w:r>
        <w:rPr>
          <w:rFonts w:ascii="Calibri" w:hAnsi="Calibri"/>
          <w:b/>
          <w:color w:val="101828"/>
          <w:sz w:val="21"/>
        </w:rPr>
        <w:t>Forgiving, not silent.</w:t>
      </w:r>
      <w:r>
        <w:rPr>
          <w:rFonts w:ascii="Calibri" w:hAnsi="Calibri"/>
          <w:b w:val="0"/>
          <w:i w:val="0"/>
          <w:color w:val="101828"/>
          <w:sz w:val="21"/>
        </w:rPr>
        <w:t xml:space="preserve"> Every destructive action is confirmed, every failure explains what happened and what to do, and no action is irreversible without a deliberate confirmation.</w:t>
      </w:r>
    </w:p>
    <w:p>
      <w:pPr>
        <w:pStyle w:val="ListNumber"/>
        <w:spacing w:after="60"/>
        <w:ind w:left="432"/>
      </w:pPr>
      <w:r>
        <w:rPr>
          <w:rFonts w:ascii="Calibri" w:hAnsi="Calibri"/>
          <w:b/>
          <w:color w:val="101828"/>
          <w:sz w:val="21"/>
        </w:rPr>
        <w:t>Optimised for low-end hardware.</w:t>
      </w:r>
      <w:r>
        <w:rPr>
          <w:rFonts w:ascii="Calibri" w:hAnsi="Calibri"/>
          <w:b w:val="0"/>
          <w:i w:val="0"/>
          <w:color w:val="101828"/>
          <w:sz w:val="21"/>
        </w:rPr>
        <w:t xml:space="preserve"> Tested on a genuinely old device, not just a simulator. A 2018-class Android phone is the performance floor.</w:t>
      </w:r>
    </w:p>
    <w:p>
      <w:pPr>
        <w:pStyle w:val="ListNumber"/>
        <w:spacing w:after="60"/>
        <w:ind w:left="432"/>
      </w:pPr>
      <w:r>
        <w:rPr>
          <w:rFonts w:ascii="Calibri" w:hAnsi="Calibri"/>
          <w:b/>
          <w:color w:val="101828"/>
          <w:sz w:val="21"/>
        </w:rPr>
        <w:t>Data-conscious.</w:t>
      </w:r>
      <w:r>
        <w:rPr>
          <w:rFonts w:ascii="Calibri" w:hAnsi="Calibri"/>
          <w:b w:val="0"/>
          <w:i w:val="0"/>
          <w:color w:val="101828"/>
          <w:sz w:val="21"/>
        </w:rPr>
        <w:t xml:space="preserve"> No autoplaying video, no aggressive background polling, and a visible data-saving mode.</w:t>
      </w:r>
    </w:p>
    <w:p>
      <w:pPr>
        <w:pStyle w:val="ListNumber"/>
        <w:spacing w:after="60"/>
        <w:ind w:left="432"/>
      </w:pPr>
      <w:r>
        <w:rPr>
          <w:rFonts w:ascii="Calibri" w:hAnsi="Calibri"/>
          <w:b/>
          <w:color w:val="101828"/>
          <w:sz w:val="21"/>
        </w:rPr>
        <w:t>Bilingual from the start, English-first.</w:t>
      </w:r>
      <w:r>
        <w:rPr>
          <w:rFonts w:ascii="Calibri" w:hAnsi="Calibri"/>
          <w:b w:val="0"/>
          <w:i w:val="0"/>
          <w:color w:val="101828"/>
          <w:sz w:val="21"/>
        </w:rPr>
        <w:t xml:space="preserve"> Nigerian Pidgin and Hausa are the two languages with the largest immediate reach among the target users. </w:t>
      </w:r>
      <w:r>
        <w:rPr>
          <w:rFonts w:ascii="Calibri" w:hAnsi="Calibri"/>
          <w:b/>
          <w:color w:val="101828"/>
          <w:sz w:val="21"/>
        </w:rPr>
        <w:t>Professional translation is required before broad launch</w:t>
      </w:r>
      <w:r>
        <w:rPr>
          <w:rFonts w:ascii="Calibri" w:hAnsi="Calibri"/>
          <w:b w:val="0"/>
          <w:i w:val="0"/>
          <w:color w:val="101828"/>
          <w:sz w:val="21"/>
        </w:rPr>
        <w:t xml:space="preserve"> — machine-translated financial instructions are a harm, not a convenience.</w:t>
      </w:r>
    </w:p>
    <w:p>
      <w:pPr>
        <w:spacing w:before="140" w:after="180"/>
        <w:ind w:left="144"/>
        <w:shd w:val="clear" w:color="auto" w:fill="EFF6FF"/>
        <w:pBdr>
          <w:left w:val="single" w:sz="18" w:space="6" w:color="146EF5"/>
        </w:pBdr>
      </w:pPr>
      <w:r>
        <w:rPr>
          <w:rFonts w:ascii="Calibri" w:hAnsi="Calibri"/>
          <w:b/>
          <w:color w:val="146EF5"/>
          <w:sz w:val="19"/>
        </w:rPr>
        <w:t xml:space="preserve">Localisation is a trust feature.  </w:t>
      </w:r>
      <w:r>
        <w:rPr>
          <w:rFonts w:ascii="Calibri" w:hAnsi="Calibri"/>
          <w:b w:val="0"/>
          <w:i w:val="0"/>
          <w:color w:val="0B1F3A"/>
          <w:sz w:val="19"/>
        </w:rPr>
        <w:t>A member who reads a payment instruction in Hausa and understands every word trusts the platform more than one who is translating English in their head. This is not a marketing nicety for a product handling people's savings — it is a correctness issue, and a mistranslated fee disclosure is a real financial harm.</w:t>
      </w:r>
    </w:p>
    <w:p>
      <w:pPr>
        <w:pStyle w:val="Heading2"/>
      </w:pPr>
      <w:r>
        <w:rPr>
          <w:rFonts w:ascii="Calibri" w:hAnsi="Calibri"/>
          <w:b/>
          <w:i w:val="0"/>
          <w:color w:val="146EF5"/>
          <w:sz w:val="29"/>
        </w:rPr>
        <w:t>17.3 Information architecture</w:t>
      </w:r>
    </w:p>
    <w:p>
      <w:pPr>
        <w:spacing w:before="0" w:after="0" w:line="240" w:lineRule="auto"/>
        <w:ind w:left="230"/>
        <w:shd w:val="clear" w:color="auto" w:fill="F7F9FC"/>
        <w:pBdr>
          <w:left w:val="single" w:sz="4" w:space="6" w:color="D0D5DD"/>
        </w:pBdr>
      </w:pPr>
      <w:r>
        <w:rPr>
          <w:rFonts w:ascii="Consolas" w:hAnsi="Consolas"/>
          <w:color w:val="0B1F3A"/>
          <w:sz w:val="15"/>
        </w:rPr>
        <w:t xml:space="preserve">  Home</w:t>
      </w:r>
    </w:p>
    <w:p>
      <w:pPr>
        <w:spacing w:before="0" w:after="0" w:line="240" w:lineRule="auto"/>
        <w:ind w:left="230"/>
        <w:shd w:val="clear" w:color="auto" w:fill="F7F9FC"/>
        <w:pBdr>
          <w:left w:val="single" w:sz="4" w:space="6" w:color="D0D5DD"/>
        </w:pBdr>
      </w:pPr>
      <w:r>
        <w:rPr>
          <w:rFonts w:ascii="Consolas" w:hAnsi="Consolas"/>
          <w:color w:val="0B1F3A"/>
          <w:sz w:val="15"/>
        </w:rPr>
        <w:t xml:space="preserve">   ├─ Next contribution (the single most important card)</w:t>
      </w:r>
    </w:p>
    <w:p>
      <w:pPr>
        <w:spacing w:before="0" w:after="0" w:line="240" w:lineRule="auto"/>
        <w:ind w:left="230"/>
        <w:shd w:val="clear" w:color="auto" w:fill="F7F9FC"/>
        <w:pBdr>
          <w:left w:val="single" w:sz="4" w:space="6" w:color="D0D5DD"/>
        </w:pBdr>
      </w:pPr>
      <w:r>
        <w:rPr>
          <w:rFonts w:ascii="Consolas" w:hAnsi="Consolas"/>
          <w:color w:val="0B1F3A"/>
          <w:sz w:val="15"/>
        </w:rPr>
        <w:t xml:space="preserve">   ├─ Active Ajos ──────────► Ajo detail</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Position &amp; progress</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Contribute</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Rounds</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Members</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Messages</w:t>
      </w:r>
    </w:p>
    <w:p>
      <w:pPr>
        <w:spacing w:before="0" w:after="0" w:line="240" w:lineRule="auto"/>
        <w:ind w:left="230"/>
        <w:shd w:val="clear" w:color="auto" w:fill="F7F9FC"/>
        <w:pBdr>
          <w:left w:val="single" w:sz="4" w:space="6" w:color="D0D5DD"/>
        </w:pBdr>
      </w:pPr>
      <w:r>
        <w:rPr>
          <w:rFonts w:ascii="Consolas" w:hAnsi="Consolas"/>
          <w:color w:val="0B1F3A"/>
          <w:sz w:val="15"/>
        </w:rPr>
        <w:t xml:space="preserve">   │                              └─ Rules</w:t>
      </w:r>
    </w:p>
    <w:p>
      <w:pPr>
        <w:spacing w:before="0" w:after="0" w:line="240" w:lineRule="auto"/>
        <w:ind w:left="230"/>
        <w:shd w:val="clear" w:color="auto" w:fill="F7F9FC"/>
        <w:pBdr>
          <w:left w:val="single" w:sz="4" w:space="6" w:color="D0D5DD"/>
        </w:pBdr>
      </w:pPr>
      <w:r>
        <w:rPr>
          <w:rFonts w:ascii="Consolas" w:hAnsi="Consolas"/>
          <w:color w:val="0B1F3A"/>
          <w:sz w:val="15"/>
        </w:rPr>
        <w:t xml:space="preserve">   ├─ Payouts (incoming) ────► Payout detail ──► Receipt</w:t>
      </w:r>
    </w:p>
    <w:p>
      <w:pPr>
        <w:spacing w:before="0" w:after="0" w:line="240" w:lineRule="auto"/>
        <w:ind w:left="230"/>
        <w:shd w:val="clear" w:color="auto" w:fill="F7F9FC"/>
        <w:pBdr>
          <w:left w:val="single" w:sz="4" w:space="6" w:color="D0D5DD"/>
        </w:pBdr>
      </w:pPr>
      <w:r>
        <w:rPr>
          <w:rFonts w:ascii="Consolas" w:hAnsi="Consolas"/>
          <w:color w:val="0B1F3A"/>
          <w:sz w:val="15"/>
        </w:rPr>
        <w:t xml:space="preserve">   └─ Activity ──────────────► All events, filterable</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Bottom tab bar</w:t>
      </w:r>
    </w:p>
    <w:p>
      <w:pPr>
        <w:spacing w:before="0" w:after="0" w:line="240" w:lineRule="auto"/>
        <w:ind w:left="230"/>
        <w:shd w:val="clear" w:color="auto" w:fill="F7F9FC"/>
        <w:pBdr>
          <w:left w:val="single" w:sz="4" w:space="6" w:color="D0D5DD"/>
        </w:pBdr>
      </w:pPr>
      <w:r>
        <w:rPr>
          <w:rFonts w:ascii="Consolas" w:hAnsi="Consolas"/>
          <w:color w:val="0B1F3A"/>
          <w:sz w:val="15"/>
        </w:rPr>
        <w:t xml:space="preserve">   [ Home ]   [ Ajos ]   [ Add (+) ]   [ Activity ]   [ Profile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Add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Start an Ajo</w:t>
      </w:r>
    </w:p>
    <w:p>
      <w:pPr>
        <w:spacing w:before="0" w:after="0" w:line="240" w:lineRule="auto"/>
        <w:ind w:left="230"/>
        <w:shd w:val="clear" w:color="auto" w:fill="F7F9FC"/>
        <w:pBdr>
          <w:left w:val="single" w:sz="4" w:space="6" w:color="D0D5DD"/>
        </w:pBdr>
      </w:pPr>
      <w:r>
        <w:rPr>
          <w:rFonts w:ascii="Consolas" w:hAnsi="Consolas"/>
          <w:color w:val="0B1F3A"/>
          <w:sz w:val="15"/>
        </w:rPr>
        <w:t xml:space="preserve">   ├─ Join with an invite code</w:t>
      </w:r>
    </w:p>
    <w:p>
      <w:pPr>
        <w:spacing w:before="0" w:after="0" w:line="240" w:lineRule="auto"/>
        <w:ind w:left="230"/>
        <w:shd w:val="clear" w:color="auto" w:fill="F7F9FC"/>
        <w:pBdr>
          <w:left w:val="single" w:sz="4" w:space="6" w:color="D0D5DD"/>
        </w:pBdr>
      </w:pPr>
      <w:r>
        <w:rPr>
          <w:rFonts w:ascii="Consolas" w:hAnsi="Consolas"/>
          <w:color w:val="0B1F3A"/>
          <w:sz w:val="15"/>
        </w:rPr>
        <w:t xml:space="preserve">   └─ Pay a pending contribution</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Profile</w:t>
      </w:r>
    </w:p>
    <w:p>
      <w:pPr>
        <w:spacing w:before="0" w:after="0" w:line="240" w:lineRule="auto"/>
        <w:ind w:left="230"/>
        <w:shd w:val="clear" w:color="auto" w:fill="F7F9FC"/>
        <w:pBdr>
          <w:left w:val="single" w:sz="4" w:space="6" w:color="D0D5DD"/>
        </w:pBdr>
      </w:pPr>
      <w:r>
        <w:rPr>
          <w:rFonts w:ascii="Consolas" w:hAnsi="Consolas"/>
          <w:color w:val="0B1F3A"/>
          <w:sz w:val="15"/>
        </w:rPr>
        <w:t xml:space="preserve">   ├─ Identity &amp; verification</w:t>
      </w:r>
    </w:p>
    <w:p>
      <w:pPr>
        <w:spacing w:before="0" w:after="0" w:line="240" w:lineRule="auto"/>
        <w:ind w:left="230"/>
        <w:shd w:val="clear" w:color="auto" w:fill="F7F9FC"/>
        <w:pBdr>
          <w:left w:val="single" w:sz="4" w:space="6" w:color="D0D5DD"/>
        </w:pBdr>
      </w:pPr>
      <w:r>
        <w:rPr>
          <w:rFonts w:ascii="Consolas" w:hAnsi="Consolas"/>
          <w:color w:val="0B1F3A"/>
          <w:sz w:val="15"/>
        </w:rPr>
        <w:t xml:space="preserve">   ├─ Bank accounts</w:t>
      </w:r>
    </w:p>
    <w:p>
      <w:pPr>
        <w:spacing w:before="0" w:after="0" w:line="240" w:lineRule="auto"/>
        <w:ind w:left="230"/>
        <w:shd w:val="clear" w:color="auto" w:fill="F7F9FC"/>
        <w:pBdr>
          <w:left w:val="single" w:sz="4" w:space="6" w:color="D0D5DD"/>
        </w:pBdr>
      </w:pPr>
      <w:r>
        <w:rPr>
          <w:rFonts w:ascii="Consolas" w:hAnsi="Consolas"/>
          <w:color w:val="0B1F3A"/>
          <w:sz w:val="15"/>
        </w:rPr>
        <w:t xml:space="preserve">   ├─ Notifications</w:t>
      </w:r>
    </w:p>
    <w:p>
      <w:pPr>
        <w:spacing w:before="0" w:after="0" w:line="240" w:lineRule="auto"/>
        <w:ind w:left="230"/>
        <w:shd w:val="clear" w:color="auto" w:fill="F7F9FC"/>
        <w:pBdr>
          <w:left w:val="single" w:sz="4" w:space="6" w:color="D0D5DD"/>
        </w:pBdr>
      </w:pPr>
      <w:r>
        <w:rPr>
          <w:rFonts w:ascii="Consolas" w:hAnsi="Consolas"/>
          <w:color w:val="0B1F3A"/>
          <w:sz w:val="15"/>
        </w:rPr>
        <w:t xml:space="preserve">   ├─ Security</w:t>
      </w:r>
    </w:p>
    <w:p>
      <w:pPr>
        <w:spacing w:before="0" w:after="0" w:line="240" w:lineRule="auto"/>
        <w:ind w:left="230"/>
        <w:shd w:val="clear" w:color="auto" w:fill="F7F9FC"/>
        <w:pBdr>
          <w:left w:val="single" w:sz="4" w:space="6" w:color="D0D5DD"/>
        </w:pBdr>
      </w:pPr>
      <w:r>
        <w:rPr>
          <w:rFonts w:ascii="Consolas" w:hAnsi="Consolas"/>
          <w:color w:val="0B1F3A"/>
          <w:sz w:val="15"/>
        </w:rPr>
        <w:t xml:space="preserve">   ├─ Statements &amp; history</w:t>
      </w:r>
    </w:p>
    <w:p>
      <w:pPr>
        <w:spacing w:before="0" w:after="0" w:line="240" w:lineRule="auto"/>
        <w:ind w:left="230"/>
        <w:shd w:val="clear" w:color="auto" w:fill="F7F9FC"/>
        <w:pBdr>
          <w:left w:val="single" w:sz="4" w:space="6" w:color="D0D5DD"/>
        </w:pBdr>
      </w:pPr>
      <w:r>
        <w:rPr>
          <w:rFonts w:ascii="Consolas" w:hAnsi="Consolas"/>
          <w:color w:val="0B1F3A"/>
          <w:sz w:val="15"/>
        </w:rPr>
        <w:t xml:space="preserve">   ├─ Disputes</w:t>
      </w:r>
    </w:p>
    <w:p>
      <w:pPr>
        <w:spacing w:before="0" w:after="0" w:line="240" w:lineRule="auto"/>
        <w:ind w:left="230"/>
        <w:shd w:val="clear" w:color="auto" w:fill="F7F9FC"/>
        <w:pBdr>
          <w:left w:val="single" w:sz="4" w:space="6" w:color="D0D5DD"/>
        </w:pBdr>
      </w:pPr>
      <w:r>
        <w:rPr>
          <w:rFonts w:ascii="Consolas" w:hAnsi="Consolas"/>
          <w:color w:val="0B1F3A"/>
          <w:sz w:val="15"/>
        </w:rPr>
        <w:t xml:space="preserve">   └─ Help</w:t>
      </w:r>
    </w:p>
    <w:p>
      <w:r>
        <w:rPr>
          <w:rFonts w:ascii="Calibri" w:hAnsi="Calibri"/>
          <w:b w:val="0"/>
          <w:i w:val="0"/>
          <w:color w:val="101828"/>
          <w:sz w:val="21"/>
        </w:rPr>
        <w:t xml:space="preserve">Five tabs is the maximum a member can hold in their head. The centre </w:t>
      </w:r>
      <w:r>
        <w:rPr>
          <w:rFonts w:ascii="Consolas" w:hAnsi="Consolas"/>
          <w:color w:val="146EF5"/>
          <w:sz w:val="21"/>
        </w:rPr>
        <w:t>+</w:t>
      </w:r>
      <w:r>
        <w:rPr>
          <w:rFonts w:ascii="Calibri" w:hAnsi="Calibri"/>
          <w:b w:val="0"/>
          <w:i w:val="0"/>
          <w:color w:val="101828"/>
          <w:sz w:val="21"/>
        </w:rPr>
        <w:t xml:space="preserve"> is the primary action in the product — starting or joining an Ajo, or paying what is due — and it is reachable with either thumb.</w:t>
      </w:r>
    </w:p>
    <w:p>
      <w:pPr>
        <w:pStyle w:val="Heading2"/>
      </w:pPr>
      <w:r>
        <w:rPr>
          <w:rFonts w:ascii="Calibri" w:hAnsi="Calibri"/>
          <w:b/>
          <w:i w:val="0"/>
          <w:color w:val="146EF5"/>
          <w:sz w:val="29"/>
        </w:rPr>
        <w:t>17.4 Key screens</w:t>
      </w:r>
    </w:p>
    <w:p>
      <w:pPr>
        <w:pStyle w:val="Heading3"/>
      </w:pPr>
      <w:r>
        <w:rPr>
          <w:rFonts w:ascii="Calibri" w:hAnsi="Calibri"/>
          <w:b/>
          <w:i w:val="0"/>
          <w:color w:val="0B1F3A"/>
          <w:sz w:val="24"/>
        </w:rPr>
        <w:t>17.4.1 Home</w:t>
      </w:r>
    </w:p>
    <w:p>
      <w:pPr>
        <w:pStyle w:val="ListBullet"/>
        <w:spacing w:after="60"/>
        <w:ind w:left="360"/>
      </w:pPr>
      <w:r>
        <w:rPr>
          <w:rFonts w:ascii="Calibri" w:hAnsi="Calibri"/>
          <w:b/>
          <w:color w:val="101828"/>
          <w:sz w:val="21"/>
        </w:rPr>
        <w:t>Greeting and trust signal</w:t>
      </w:r>
      <w:r>
        <w:rPr>
          <w:rFonts w:ascii="Calibri" w:hAnsi="Calibri"/>
          <w:b w:val="0"/>
          <w:i w:val="0"/>
          <w:color w:val="101828"/>
          <w:sz w:val="21"/>
        </w:rPr>
        <w:t xml:space="preserve"> — 'Good morning, Amaka'. No guilt-inducing language about money owed, ever.</w:t>
      </w:r>
    </w:p>
    <w:p>
      <w:pPr>
        <w:pStyle w:val="ListBullet"/>
        <w:spacing w:after="60"/>
        <w:ind w:left="360"/>
      </w:pPr>
      <w:r>
        <w:rPr>
          <w:rFonts w:ascii="Calibri" w:hAnsi="Calibri"/>
          <w:b/>
          <w:color w:val="101828"/>
          <w:sz w:val="21"/>
        </w:rPr>
        <w:t>Primary card — what needs your attention.</w:t>
      </w:r>
      <w:r>
        <w:rPr>
          <w:rFonts w:ascii="Calibri" w:hAnsi="Calibri"/>
          <w:b w:val="0"/>
          <w:i w:val="0"/>
          <w:color w:val="101828"/>
          <w:sz w:val="21"/>
        </w:rPr>
        <w:t xml:space="preserve"> If a contribution is due, this card leads. If a payout arrived, it leads. If nothing needs attention, it says so plainly and shows the next event.</w:t>
      </w:r>
    </w:p>
    <w:p>
      <w:pPr>
        <w:pStyle w:val="ListBullet"/>
        <w:spacing w:after="60"/>
        <w:ind w:left="360"/>
      </w:pPr>
      <w:r>
        <w:rPr>
          <w:rFonts w:ascii="Calibri" w:hAnsi="Calibri"/>
          <w:b/>
          <w:color w:val="101828"/>
          <w:sz w:val="21"/>
        </w:rPr>
        <w:t>Active Ajos strip</w:t>
      </w:r>
      <w:r>
        <w:rPr>
          <w:rFonts w:ascii="Calibri" w:hAnsi="Calibri"/>
          <w:b w:val="0"/>
          <w:i w:val="0"/>
          <w:color w:val="101828"/>
          <w:sz w:val="21"/>
        </w:rPr>
        <w:t xml:space="preserve"> — one card per Ajo: name, your position, round progress, and next due date.</w:t>
      </w:r>
    </w:p>
    <w:p>
      <w:pPr>
        <w:pStyle w:val="ListBullet"/>
        <w:spacing w:after="60"/>
        <w:ind w:left="360"/>
      </w:pPr>
      <w:r>
        <w:rPr>
          <w:rFonts w:ascii="Calibri" w:hAnsi="Calibri"/>
          <w:b/>
          <w:color w:val="101828"/>
          <w:sz w:val="21"/>
        </w:rPr>
        <w:t>Recent activity</w:t>
      </w:r>
      <w:r>
        <w:rPr>
          <w:rFonts w:ascii="Calibri" w:hAnsi="Calibri"/>
          <w:b w:val="0"/>
          <w:i w:val="0"/>
          <w:color w:val="101828"/>
          <w:sz w:val="21"/>
        </w:rPr>
        <w:t xml:space="preserve"> — the last few events, with amounts.</w:t>
      </w:r>
    </w:p>
    <w:p>
      <w:pPr>
        <w:pStyle w:val="ListBullet"/>
        <w:spacing w:after="60"/>
        <w:ind w:left="360"/>
      </w:pPr>
      <w:r>
        <w:rPr>
          <w:rFonts w:ascii="Calibri" w:hAnsi="Calibri"/>
          <w:b/>
          <w:color w:val="101828"/>
          <w:sz w:val="21"/>
        </w:rPr>
        <w:t>No clutter.</w:t>
      </w:r>
      <w:r>
        <w:rPr>
          <w:rFonts w:ascii="Calibri" w:hAnsi="Calibri"/>
          <w:b w:val="0"/>
          <w:i w:val="0"/>
          <w:color w:val="101828"/>
          <w:sz w:val="21"/>
        </w:rPr>
        <w:t xml:space="preserve"> No promotional banner above a payment requirement. Marketing occupies its own space and never displaces a money action.</w:t>
      </w:r>
    </w:p>
    <w:p>
      <w:pPr>
        <w:pStyle w:val="Heading3"/>
      </w:pPr>
      <w:r>
        <w:rPr>
          <w:rFonts w:ascii="Calibri" w:hAnsi="Calibri"/>
          <w:b/>
          <w:i w:val="0"/>
          <w:color w:val="0B1F3A"/>
          <w:sz w:val="24"/>
        </w:rPr>
        <w:t>17.4.2 Contribute</w:t>
      </w:r>
    </w:p>
    <w:p>
      <w:pPr>
        <w:pStyle w:val="ListBullet"/>
        <w:spacing w:after="60"/>
        <w:ind w:left="360"/>
      </w:pPr>
      <w:r>
        <w:rPr>
          <w:rFonts w:ascii="Calibri" w:hAnsi="Calibri"/>
          <w:b w:val="0"/>
          <w:i w:val="0"/>
          <w:color w:val="101828"/>
          <w:sz w:val="21"/>
        </w:rPr>
        <w:t xml:space="preserve">A clear, itemised breakdown: </w:t>
      </w:r>
      <w:r>
        <w:rPr>
          <w:rFonts w:ascii="Calibri" w:hAnsi="Calibri"/>
          <w:b/>
          <w:color w:val="101828"/>
          <w:sz w:val="21"/>
        </w:rPr>
        <w:t>NGN 1,000.00 contribution + NGN 20.00 service fee = NGN 1,020.00 total.</w:t>
      </w:r>
      <w:r>
        <w:rPr>
          <w:rFonts w:ascii="Calibri" w:hAnsi="Calibri"/>
          <w:b w:val="0"/>
          <w:i w:val="0"/>
          <w:color w:val="101828"/>
          <w:sz w:val="21"/>
        </w:rPr>
        <w:t xml:space="preserve"> The fee is shown as a separate line, not buried in a total.</w:t>
      </w:r>
    </w:p>
    <w:p>
      <w:pPr>
        <w:pStyle w:val="ListBullet"/>
        <w:spacing w:after="60"/>
        <w:ind w:left="360"/>
      </w:pPr>
      <w:r>
        <w:rPr>
          <w:rFonts w:ascii="Calibri" w:hAnsi="Calibri"/>
          <w:b w:val="0"/>
          <w:i w:val="0"/>
          <w:color w:val="101828"/>
          <w:sz w:val="21"/>
        </w:rPr>
        <w:t>Payment rails presented as tappable options with their own icons and any fee or delay implication stated.</w:t>
      </w:r>
    </w:p>
    <w:p>
      <w:pPr>
        <w:pStyle w:val="ListBullet"/>
        <w:spacing w:after="60"/>
        <w:ind w:left="360"/>
      </w:pPr>
      <w:r>
        <w:rPr>
          <w:rFonts w:ascii="Calibri" w:hAnsi="Calibri"/>
          <w:b w:val="0"/>
          <w:i w:val="0"/>
          <w:color w:val="101828"/>
          <w:sz w:val="21"/>
        </w:rPr>
        <w:t>A progress indicator during payment, with a clear 'do not close the app' cue and a real fallback if the member does.</w:t>
      </w:r>
    </w:p>
    <w:p>
      <w:pPr>
        <w:pStyle w:val="ListBullet"/>
        <w:spacing w:after="60"/>
        <w:ind w:left="360"/>
      </w:pPr>
      <w:r>
        <w:rPr>
          <w:rFonts w:ascii="Calibri" w:hAnsi="Calibri"/>
          <w:b w:val="0"/>
          <w:i w:val="0"/>
          <w:color w:val="101828"/>
          <w:sz w:val="21"/>
        </w:rPr>
        <w:t>A receipt screen on success with a reference number, and the position status updated to funded.</w:t>
      </w:r>
    </w:p>
    <w:p>
      <w:pPr>
        <w:pStyle w:val="ListBullet"/>
        <w:spacing w:after="60"/>
        <w:ind w:left="360"/>
      </w:pPr>
      <w:r>
        <w:rPr>
          <w:rFonts w:ascii="Calibri" w:hAnsi="Calibri"/>
          <w:b w:val="0"/>
          <w:i w:val="0"/>
          <w:color w:val="101828"/>
          <w:sz w:val="21"/>
        </w:rPr>
        <w:t>Failure states that say what happened, whether money moved, and what to do next.</w:t>
      </w:r>
    </w:p>
    <w:p>
      <w:pPr>
        <w:pStyle w:val="Heading3"/>
      </w:pPr>
      <w:r>
        <w:rPr>
          <w:rFonts w:ascii="Calibri" w:hAnsi="Calibri"/>
          <w:b/>
          <w:i w:val="0"/>
          <w:color w:val="0B1F3A"/>
          <w:sz w:val="24"/>
        </w:rPr>
        <w:t>17.4.3 Ajo detail</w:t>
      </w:r>
    </w:p>
    <w:p>
      <w:pPr>
        <w:pStyle w:val="ListBullet"/>
        <w:spacing w:after="60"/>
        <w:ind w:left="360"/>
      </w:pPr>
      <w:r>
        <w:rPr>
          <w:rFonts w:ascii="Calibri" w:hAnsi="Calibri"/>
          <w:b w:val="0"/>
          <w:i w:val="0"/>
          <w:color w:val="101828"/>
          <w:sz w:val="21"/>
        </w:rPr>
        <w:t>Your position, the pool total, the round progress bar, and the next due date in the Ajo's timezone with your local time beneath it.</w:t>
      </w:r>
    </w:p>
    <w:p>
      <w:pPr>
        <w:pStyle w:val="ListBullet"/>
        <w:spacing w:after="60"/>
        <w:ind w:left="360"/>
      </w:pPr>
      <w:r>
        <w:rPr>
          <w:rFonts w:ascii="Calibri" w:hAnsi="Calibri"/>
          <w:b w:val="0"/>
          <w:i w:val="0"/>
          <w:color w:val="101828"/>
          <w:sz w:val="21"/>
        </w:rPr>
        <w:t>A members list showing first name, avatar, and contribution status — never bank details, never a phone number, and never a public 'defaulted' label.</w:t>
      </w:r>
    </w:p>
    <w:p>
      <w:pPr>
        <w:pStyle w:val="ListBullet"/>
        <w:spacing w:after="60"/>
        <w:ind w:left="360"/>
      </w:pPr>
      <w:r>
        <w:rPr>
          <w:rFonts w:ascii="Calibri" w:hAnsi="Calibri"/>
          <w:b w:val="0"/>
          <w:i w:val="0"/>
          <w:color w:val="101828"/>
          <w:sz w:val="21"/>
        </w:rPr>
        <w:t>The Ajo rules, always accessible, in plain language.</w:t>
      </w:r>
    </w:p>
    <w:p>
      <w:pPr>
        <w:pStyle w:val="ListBullet"/>
        <w:spacing w:after="60"/>
        <w:ind w:left="360"/>
      </w:pPr>
      <w:r>
        <w:rPr>
          <w:rFonts w:ascii="Calibri" w:hAnsi="Calibri"/>
          <w:b w:val="0"/>
          <w:i w:val="0"/>
          <w:color w:val="101828"/>
          <w:sz w:val="21"/>
        </w:rPr>
        <w:t>The organizer shown by name with a verified badge, and a 'Report' action that is present without being accusatory.</w:t>
      </w:r>
    </w:p>
    <w:p>
      <w:pPr>
        <w:pStyle w:val="Heading3"/>
      </w:pPr>
      <w:r>
        <w:rPr>
          <w:rFonts w:ascii="Calibri" w:hAnsi="Calibri"/>
          <w:b/>
          <w:i w:val="0"/>
          <w:color w:val="0B1F3A"/>
          <w:sz w:val="24"/>
        </w:rPr>
        <w:t>17.4.4 Payout received</w:t>
      </w:r>
    </w:p>
    <w:p>
      <w:r>
        <w:rPr>
          <w:rFonts w:ascii="Calibri" w:hAnsi="Calibri"/>
          <w:b w:val="0"/>
          <w:i w:val="0"/>
          <w:color w:val="101828"/>
          <w:sz w:val="21"/>
        </w:rPr>
        <w:t>The most important screen in the product, and the one most often under-designed. It celebrates without being embarrassing, and it explains.</w:t>
      </w:r>
    </w:p>
    <w:p>
      <w:pPr>
        <w:pStyle w:val="ListBullet"/>
        <w:spacing w:after="60"/>
        <w:ind w:left="360"/>
      </w:pPr>
      <w:r>
        <w:rPr>
          <w:rFonts w:ascii="Calibri" w:hAnsi="Calibri"/>
          <w:b w:val="0"/>
          <w:i w:val="0"/>
          <w:color w:val="101828"/>
          <w:sz w:val="21"/>
        </w:rPr>
        <w:t>Amount received, large and unambiguous.</w:t>
      </w:r>
    </w:p>
    <w:p>
      <w:pPr>
        <w:pStyle w:val="ListBullet"/>
        <w:spacing w:after="60"/>
        <w:ind w:left="360"/>
      </w:pPr>
      <w:r>
        <w:rPr>
          <w:rFonts w:ascii="Calibri" w:hAnsi="Calibri"/>
          <w:b w:val="0"/>
          <w:i w:val="0"/>
          <w:color w:val="101828"/>
          <w:sz w:val="21"/>
        </w:rPr>
        <w:t>Destination: bank name and last four digits.</w:t>
      </w:r>
    </w:p>
    <w:p>
      <w:pPr>
        <w:pStyle w:val="ListBullet"/>
        <w:spacing w:after="60"/>
        <w:ind w:left="360"/>
      </w:pPr>
      <w:r>
        <w:rPr>
          <w:rFonts w:ascii="Calibri" w:hAnsi="Calibri"/>
          <w:b w:val="0"/>
          <w:i w:val="0"/>
          <w:color w:val="101828"/>
          <w:sz w:val="21"/>
        </w:rPr>
        <w:t>A breakdown of the cycle: rounds, contributions made, total fees paid, amount received.</w:t>
      </w:r>
    </w:p>
    <w:p>
      <w:pPr>
        <w:pStyle w:val="ListBullet"/>
        <w:spacing w:after="60"/>
        <w:ind w:left="360"/>
      </w:pPr>
      <w:r>
        <w:rPr>
          <w:rFonts w:ascii="Calibri" w:hAnsi="Calibri"/>
          <w:b w:val="0"/>
          <w:i w:val="0"/>
          <w:color w:val="101828"/>
          <w:sz w:val="21"/>
        </w:rPr>
        <w:t>Time sent, and what to do if it has not arrived — a link to a clear 'where is my money' explainer.</w:t>
      </w:r>
    </w:p>
    <w:p>
      <w:pPr>
        <w:pStyle w:val="ListBullet"/>
        <w:spacing w:after="60"/>
        <w:ind w:left="360"/>
      </w:pPr>
      <w:r>
        <w:rPr>
          <w:rFonts w:ascii="Calibri" w:hAnsi="Calibri"/>
          <w:b w:val="0"/>
          <w:i w:val="0"/>
          <w:color w:val="101828"/>
          <w:sz w:val="21"/>
        </w:rPr>
        <w:t>Confirmation of what the member has achieved, in one line. A simple, dignified acknowledgement beats confetti.</w:t>
      </w:r>
    </w:p>
    <w:p>
      <w:pPr>
        <w:pStyle w:val="Heading3"/>
      </w:pPr>
      <w:r>
        <w:rPr>
          <w:rFonts w:ascii="Calibri" w:hAnsi="Calibri"/>
          <w:b/>
          <w:i w:val="0"/>
          <w:color w:val="0B1F3A"/>
          <w:sz w:val="24"/>
        </w:rPr>
        <w:t>17.4.5 Empty states</w:t>
      </w:r>
    </w:p>
    <w:p>
      <w:r>
        <w:rPr>
          <w:rFonts w:ascii="Calibri" w:hAnsi="Calibri"/>
          <w:b w:val="0"/>
          <w:i w:val="0"/>
          <w:color w:val="101828"/>
          <w:sz w:val="21"/>
        </w:rPr>
        <w:t>An empty state is a teaching moment and a conversion opportunity. 'No Ajos yet' explains what an Ajo is, in two sentences, and offers one obvious next action. A blank screen with 'No data' is a failure, not a design.</w:t>
      </w:r>
    </w:p>
    <w:p>
      <w:pPr>
        <w:pStyle w:val="Heading2"/>
      </w:pPr>
      <w:r>
        <w:rPr>
          <w:rFonts w:ascii="Calibri" w:hAnsi="Calibri"/>
          <w:b/>
          <w:i w:val="0"/>
          <w:color w:val="146EF5"/>
          <w:sz w:val="29"/>
        </w:rPr>
        <w:t>17.5 Offline behaviour</w:t>
      </w:r>
    </w:p>
    <w:p>
      <w:r>
        <w:rPr>
          <w:rFonts w:ascii="Calibri" w:hAnsi="Calibri"/>
          <w:b w:val="0"/>
          <w:i w:val="0"/>
          <w:color w:val="101828"/>
          <w:sz w:val="21"/>
        </w:rPr>
        <w:t>Connectivity in the target market is intermittent, and the app must degrade honestly rather than pretend.</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Situation</w:t>
            </w:r>
          </w:p>
        </w:tc>
        <w:tc>
          <w:tcPr>
            <w:tcW w:type="dxa" w:w="6912"/>
            <w:shd w:val="clear" w:color="auto" w:fill="0B1F3A"/>
            <w:tcMar>
              <w:top w:w="60" w:type="dxa"/>
              <w:start w:w="110" w:type="dxa"/>
              <w:bottom w:w="60" w:type="dxa"/>
              <w:end w:w="110" w:type="dxa"/>
            </w:tcMar>
          </w:tcPr>
          <w:p>
            <w:pPr>
              <w:spacing w:after="0"/>
            </w:pPr>
            <w:r/>
            <w:r>
              <w:rPr>
                <w:rFonts w:ascii="Calibri" w:hAnsi="Calibri"/>
                <w:b/>
                <w:i w:val="0"/>
                <w:color w:val="FFFFFF"/>
                <w:sz w:val="16"/>
              </w:rPr>
              <w:t>Behaviour</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Viewing an Ajo</w:t>
            </w:r>
          </w:p>
        </w:tc>
        <w:tc>
          <w:tcPr>
            <w:tcW w:type="dxa" w:w="6912"/>
            <w:tcMar>
              <w:top w:w="60" w:type="dxa"/>
              <w:start w:w="110" w:type="dxa"/>
              <w:bottom w:w="60" w:type="dxa"/>
              <w:end w:w="110" w:type="dxa"/>
            </w:tcMar>
          </w:tcPr>
          <w:p>
            <w:pPr>
              <w:spacing w:after="0"/>
            </w:pPr>
            <w:r/>
            <w:r>
              <w:rPr>
                <w:rFonts w:ascii="Calibri" w:hAnsi="Calibri"/>
                <w:b w:val="0"/>
                <w:i w:val="0"/>
                <w:color w:val="101828"/>
                <w:sz w:val="16"/>
              </w:rPr>
              <w:t>Fully available from cache. Clearly marked as last updated, with the timestamp</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Viewing a position</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Fully available from cache. Never a wrong figure — the cache is written only after a server-confirmed update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Starting a payment</w:t>
            </w:r>
          </w:p>
        </w:tc>
        <w:tc>
          <w:tcPr>
            <w:tcW w:type="dxa" w:w="6912"/>
            <w:tcMar>
              <w:top w:w="60" w:type="dxa"/>
              <w:start w:w="110" w:type="dxa"/>
              <w:bottom w:w="60" w:type="dxa"/>
              <w:end w:w="110" w:type="dxa"/>
            </w:tcMar>
          </w:tcPr>
          <w:p>
            <w:pPr>
              <w:spacing w:after="0"/>
            </w:pPr>
            <w:r/>
            <w:r>
              <w:rPr>
                <w:rFonts w:ascii="Calibri" w:hAnsi="Calibri"/>
                <w:b w:val="0"/>
                <w:i w:val="0"/>
                <w:color w:val="101828"/>
                <w:sz w:val="16"/>
              </w:rPr>
              <w:t>Requires a network connection. The app says so plainly and preserves everything the member has entered</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Viewing a receipt</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Available from cache once downloaded</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Any action that moves money</w:t>
            </w:r>
          </w:p>
        </w:tc>
        <w:tc>
          <w:tcPr>
            <w:tcW w:type="dxa" w:w="6912"/>
            <w:tcMar>
              <w:top w:w="60" w:type="dxa"/>
              <w:start w:w="110" w:type="dxa"/>
              <w:bottom w:w="60" w:type="dxa"/>
              <w:end w:w="110" w:type="dxa"/>
            </w:tcMar>
          </w:tcPr>
          <w:p>
            <w:pPr>
              <w:spacing w:after="0"/>
            </w:pPr>
            <w:r/>
            <w:r>
              <w:rPr>
                <w:rFonts w:ascii="Calibri" w:hAnsi="Calibri"/>
                <w:b w:val="0"/>
                <w:i w:val="0"/>
                <w:color w:val="101828"/>
                <w:sz w:val="16"/>
              </w:rPr>
              <w:t>Online only. Never queued offline and fired later — a surprise payment is unacceptable</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Cache staleness</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Beyond 24 hours, the app shows a clear 'connect to refresh' state rather than quietly showing old data</w:t>
            </w:r>
          </w:p>
        </w:tc>
      </w:tr>
    </w:tbl>
    <w:p>
      <w:pPr>
        <w:spacing w:after="80"/>
      </w:pPr>
    </w:p>
    <w:p>
      <w:pPr>
        <w:spacing w:before="140" w:after="180"/>
        <w:ind w:left="144"/>
        <w:shd w:val="clear" w:color="auto" w:fill="FEF3C7"/>
        <w:pBdr>
          <w:left w:val="single" w:sz="18" w:space="6" w:color="FBBF24"/>
        </w:pBdr>
      </w:pPr>
      <w:r>
        <w:rPr>
          <w:rFonts w:ascii="Calibri" w:hAnsi="Calibri"/>
          <w:b/>
          <w:color w:val="FBBF24"/>
          <w:sz w:val="19"/>
        </w:rPr>
        <w:t xml:space="preserve">Never queue a payment for later.  </w:t>
      </w:r>
      <w:r>
        <w:rPr>
          <w:rFonts w:ascii="Calibri" w:hAnsi="Calibri"/>
          <w:b w:val="0"/>
          <w:i w:val="0"/>
          <w:color w:val="0B1F3A"/>
          <w:sz w:val="19"/>
        </w:rPr>
        <w:t>A member who taps 'pay' on a train, loses signal, and has the payment execute hours later from a café wifi is a member who will never trust the product with money again. Offline capability is read-only. This is a hard architectural boundary, not a feature backlog item.</w:t>
      </w:r>
    </w:p>
    <w:p>
      <w:pPr>
        <w:pStyle w:val="Heading2"/>
      </w:pPr>
      <w:r>
        <w:rPr>
          <w:rFonts w:ascii="Calibri" w:hAnsi="Calibri"/>
          <w:b/>
          <w:i w:val="0"/>
          <w:color w:val="146EF5"/>
          <w:sz w:val="29"/>
        </w:rPr>
        <w:t>17.6 Performance budgets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592"/>
            <w:shd w:val="clear" w:color="auto" w:fill="0B1F3A"/>
            <w:tcMar>
              <w:top w:w="60" w:type="dxa"/>
              <w:start w:w="110" w:type="dxa"/>
              <w:bottom w:w="60" w:type="dxa"/>
              <w:end w:w="110" w:type="dxa"/>
            </w:tcMar>
          </w:tcPr>
          <w:p>
            <w:pPr>
              <w:spacing w:after="0"/>
            </w:pPr>
            <w:r/>
            <w:r>
              <w:rPr>
                <w:rFonts w:ascii="Calibri" w:hAnsi="Calibri"/>
                <w:b/>
                <w:i w:val="0"/>
                <w:color w:val="FFFFFF"/>
                <w:sz w:val="16"/>
              </w:rPr>
              <w:t>Metric</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Target</w:t>
            </w:r>
          </w:p>
        </w:tc>
        <w:tc>
          <w:tcPr>
            <w:tcW w:type="dxa" w:w="4752"/>
            <w:shd w:val="clear" w:color="auto" w:fill="0B1F3A"/>
            <w:tcMar>
              <w:top w:w="60" w:type="dxa"/>
              <w:start w:w="110" w:type="dxa"/>
              <w:bottom w:w="60" w:type="dxa"/>
              <w:end w:w="110" w:type="dxa"/>
            </w:tcMar>
          </w:tcPr>
          <w:p>
            <w:pPr>
              <w:spacing w:after="0"/>
            </w:pPr>
            <w:r/>
            <w:r>
              <w:rPr>
                <w:rFonts w:ascii="Calibri" w:hAnsi="Calibri"/>
                <w:b/>
                <w:i w:val="0"/>
                <w:color w:val="FFFFFF"/>
                <w:sz w:val="16"/>
              </w:rPr>
              <w:t>Method</w:t>
            </w:r>
          </w:p>
        </w:tc>
      </w:tr>
      <w:tr>
        <w:trPr>
          <w:cantSplit/>
        </w:trPr>
        <w:tc>
          <w:tcPr>
            <w:tcW w:type="dxa" w:w="2592"/>
            <w:tcMar>
              <w:top w:w="60" w:type="dxa"/>
              <w:start w:w="110" w:type="dxa"/>
              <w:bottom w:w="60" w:type="dxa"/>
              <w:end w:w="110" w:type="dxa"/>
            </w:tcMar>
          </w:tcPr>
          <w:p>
            <w:pPr>
              <w:spacing w:after="0"/>
            </w:pPr>
            <w:r/>
            <w:r>
              <w:rPr>
                <w:rFonts w:ascii="Calibri" w:hAnsi="Calibri"/>
                <w:b w:val="0"/>
                <w:i w:val="0"/>
                <w:color w:val="101828"/>
                <w:sz w:val="16"/>
              </w:rPr>
              <w:t>Cold start to interactive</w:t>
            </w:r>
          </w:p>
        </w:tc>
        <w:tc>
          <w:tcPr>
            <w:tcW w:type="dxa" w:w="2016"/>
            <w:tcMar>
              <w:top w:w="60" w:type="dxa"/>
              <w:start w:w="110" w:type="dxa"/>
              <w:bottom w:w="60" w:type="dxa"/>
              <w:end w:w="110" w:type="dxa"/>
            </w:tcMar>
          </w:tcPr>
          <w:p>
            <w:pPr>
              <w:spacing w:after="0"/>
            </w:pPr>
            <w:r/>
            <w:r>
              <w:rPr>
                <w:rFonts w:ascii="Calibri" w:hAnsi="Calibri"/>
                <w:b w:val="0"/>
                <w:i w:val="0"/>
                <w:color w:val="101828"/>
                <w:sz w:val="16"/>
              </w:rPr>
              <w:t>&lt; 2.5s on a mid-range Android</w:t>
            </w:r>
          </w:p>
        </w:tc>
        <w:tc>
          <w:tcPr>
            <w:tcW w:type="dxa" w:w="4752"/>
            <w:tcMar>
              <w:top w:w="60" w:type="dxa"/>
              <w:start w:w="110" w:type="dxa"/>
              <w:bottom w:w="60" w:type="dxa"/>
              <w:end w:w="110" w:type="dxa"/>
            </w:tcMar>
          </w:tcPr>
          <w:p>
            <w:pPr>
              <w:spacing w:after="0"/>
            </w:pPr>
            <w:r/>
            <w:r>
              <w:rPr>
                <w:rFonts w:ascii="Calibri" w:hAnsi="Calibri"/>
                <w:b w:val="0"/>
                <w:i w:val="0"/>
                <w:color w:val="101828"/>
                <w:sz w:val="16"/>
              </w:rPr>
              <w:t>Measured on a physical device</w:t>
            </w:r>
          </w:p>
        </w:tc>
      </w:tr>
      <w:tr>
        <w:trPr>
          <w:cantSplit/>
        </w:trPr>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Screen transition</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&lt; 300ms</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Perceived, using the native driver</w:t>
            </w:r>
          </w:p>
        </w:tc>
      </w:tr>
      <w:tr>
        <w:trPr>
          <w:cantSplit/>
        </w:trPr>
        <w:tc>
          <w:tcPr>
            <w:tcW w:type="dxa" w:w="2592"/>
            <w:tcMar>
              <w:top w:w="60" w:type="dxa"/>
              <w:start w:w="110" w:type="dxa"/>
              <w:bottom w:w="60" w:type="dxa"/>
              <w:end w:w="110" w:type="dxa"/>
            </w:tcMar>
          </w:tcPr>
          <w:p>
            <w:pPr>
              <w:spacing w:after="0"/>
            </w:pPr>
            <w:r/>
            <w:r>
              <w:rPr>
                <w:rFonts w:ascii="Calibri" w:hAnsi="Calibri"/>
                <w:b w:val="0"/>
                <w:i w:val="0"/>
                <w:color w:val="101828"/>
                <w:sz w:val="16"/>
              </w:rPr>
              <w:t>API response (p95)</w:t>
            </w:r>
          </w:p>
        </w:tc>
        <w:tc>
          <w:tcPr>
            <w:tcW w:type="dxa" w:w="2016"/>
            <w:tcMar>
              <w:top w:w="60" w:type="dxa"/>
              <w:start w:w="110" w:type="dxa"/>
              <w:bottom w:w="60" w:type="dxa"/>
              <w:end w:w="110" w:type="dxa"/>
            </w:tcMar>
          </w:tcPr>
          <w:p>
            <w:pPr>
              <w:spacing w:after="0"/>
            </w:pPr>
            <w:r/>
            <w:r>
              <w:rPr>
                <w:rFonts w:ascii="Calibri" w:hAnsi="Calibri"/>
                <w:b w:val="0"/>
                <w:i w:val="0"/>
                <w:color w:val="101828"/>
                <w:sz w:val="16"/>
              </w:rPr>
              <w:t>&lt; 400ms</w:t>
            </w:r>
          </w:p>
        </w:tc>
        <w:tc>
          <w:tcPr>
            <w:tcW w:type="dxa" w:w="4752"/>
            <w:tcMar>
              <w:top w:w="60" w:type="dxa"/>
              <w:start w:w="110" w:type="dxa"/>
              <w:bottom w:w="60" w:type="dxa"/>
              <w:end w:w="110" w:type="dxa"/>
            </w:tcMar>
          </w:tcPr>
          <w:p>
            <w:pPr>
              <w:spacing w:after="0"/>
            </w:pPr>
            <w:r/>
            <w:r>
              <w:rPr>
                <w:rFonts w:ascii="Calibri" w:hAnsi="Calibri"/>
                <w:b w:val="0"/>
                <w:i w:val="0"/>
                <w:color w:val="101828"/>
                <w:sz w:val="16"/>
              </w:rPr>
              <w:t>Server-side, excluding third-party payment calls</w:t>
            </w:r>
          </w:p>
        </w:tc>
      </w:tr>
      <w:tr>
        <w:trPr>
          <w:cantSplit/>
        </w:trPr>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Bundle size</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&lt; 25 MB</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Gzipped, per platform</w:t>
            </w:r>
          </w:p>
        </w:tc>
      </w:tr>
      <w:tr>
        <w:trPr>
          <w:cantSplit/>
        </w:trPr>
        <w:tc>
          <w:tcPr>
            <w:tcW w:type="dxa" w:w="2592"/>
            <w:tcMar>
              <w:top w:w="60" w:type="dxa"/>
              <w:start w:w="110" w:type="dxa"/>
              <w:bottom w:w="60" w:type="dxa"/>
              <w:end w:w="110" w:type="dxa"/>
            </w:tcMar>
          </w:tcPr>
          <w:p>
            <w:pPr>
              <w:spacing w:after="0"/>
            </w:pPr>
            <w:r/>
            <w:r>
              <w:rPr>
                <w:rFonts w:ascii="Calibri" w:hAnsi="Calibri"/>
                <w:b w:val="0"/>
                <w:i w:val="0"/>
                <w:color w:val="101828"/>
                <w:sz w:val="16"/>
              </w:rPr>
              <w:t>Image payload</w:t>
            </w:r>
          </w:p>
        </w:tc>
        <w:tc>
          <w:tcPr>
            <w:tcW w:type="dxa" w:w="2016"/>
            <w:tcMar>
              <w:top w:w="60" w:type="dxa"/>
              <w:start w:w="110" w:type="dxa"/>
              <w:bottom w:w="60" w:type="dxa"/>
              <w:end w:w="110" w:type="dxa"/>
            </w:tcMar>
          </w:tcPr>
          <w:p>
            <w:pPr>
              <w:spacing w:after="0"/>
            </w:pPr>
            <w:r/>
            <w:r>
              <w:rPr>
                <w:rFonts w:ascii="Calibri" w:hAnsi="Calibri"/>
                <w:b w:val="0"/>
                <w:i w:val="0"/>
                <w:color w:val="101828"/>
                <w:sz w:val="16"/>
              </w:rPr>
              <w:t>&lt; 300 KB per screen</w:t>
            </w:r>
          </w:p>
        </w:tc>
        <w:tc>
          <w:tcPr>
            <w:tcW w:type="dxa" w:w="4752"/>
            <w:tcMar>
              <w:top w:w="60" w:type="dxa"/>
              <w:start w:w="110" w:type="dxa"/>
              <w:bottom w:w="60" w:type="dxa"/>
              <w:end w:w="110" w:type="dxa"/>
            </w:tcMar>
          </w:tcPr>
          <w:p>
            <w:pPr>
              <w:spacing w:after="0"/>
            </w:pPr>
            <w:r/>
            <w:r>
              <w:rPr>
                <w:rFonts w:ascii="Calibri" w:hAnsi="Calibri"/>
                <w:b w:val="0"/>
                <w:i w:val="0"/>
                <w:color w:val="101828"/>
                <w:sz w:val="16"/>
              </w:rPr>
              <w:t>Compressed, cached aggressively</w:t>
            </w:r>
          </w:p>
        </w:tc>
      </w:tr>
      <w:tr>
        <w:trPr>
          <w:cantSplit/>
        </w:trPr>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Battery drain</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Negligible over 8 hours of typical use</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Background work batched and scheduled</w:t>
            </w:r>
          </w:p>
        </w:tc>
      </w:tr>
      <w:tr>
        <w:trPr>
          <w:cantSplit/>
        </w:trPr>
        <w:tc>
          <w:tcPr>
            <w:tcW w:type="dxa" w:w="2592"/>
            <w:tcMar>
              <w:top w:w="60" w:type="dxa"/>
              <w:start w:w="110" w:type="dxa"/>
              <w:bottom w:w="60" w:type="dxa"/>
              <w:end w:w="110" w:type="dxa"/>
            </w:tcMar>
          </w:tcPr>
          <w:p>
            <w:pPr>
              <w:spacing w:after="0"/>
            </w:pPr>
            <w:r/>
            <w:r>
              <w:rPr>
                <w:rFonts w:ascii="Calibri" w:hAnsi="Calibri"/>
                <w:b w:val="0"/>
                <w:i w:val="0"/>
                <w:color w:val="101828"/>
                <w:sz w:val="16"/>
              </w:rPr>
              <w:t>Memory</w:t>
            </w:r>
          </w:p>
        </w:tc>
        <w:tc>
          <w:tcPr>
            <w:tcW w:type="dxa" w:w="2016"/>
            <w:tcMar>
              <w:top w:w="60" w:type="dxa"/>
              <w:start w:w="110" w:type="dxa"/>
              <w:bottom w:w="60" w:type="dxa"/>
              <w:end w:w="110" w:type="dxa"/>
            </w:tcMar>
          </w:tcPr>
          <w:p>
            <w:pPr>
              <w:spacing w:after="0"/>
            </w:pPr>
            <w:r/>
            <w:r>
              <w:rPr>
                <w:rFonts w:ascii="Calibri" w:hAnsi="Calibri"/>
                <w:b w:val="0"/>
                <w:i w:val="0"/>
                <w:color w:val="101828"/>
                <w:sz w:val="16"/>
              </w:rPr>
              <w:t>&lt; 250 MB peak</w:t>
            </w:r>
          </w:p>
        </w:tc>
        <w:tc>
          <w:tcPr>
            <w:tcW w:type="dxa" w:w="4752"/>
            <w:tcMar>
              <w:top w:w="60" w:type="dxa"/>
              <w:start w:w="110" w:type="dxa"/>
              <w:bottom w:w="60" w:type="dxa"/>
              <w:end w:w="110" w:type="dxa"/>
            </w:tcMar>
          </w:tcPr>
          <w:p>
            <w:pPr>
              <w:spacing w:after="0"/>
            </w:pPr>
            <w:r/>
            <w:r>
              <w:rPr>
                <w:rFonts w:ascii="Calibri" w:hAnsi="Calibri"/>
                <w:b w:val="0"/>
                <w:i w:val="0"/>
                <w:color w:val="101828"/>
                <w:sz w:val="16"/>
              </w:rPr>
              <w:t>No unbounded caches</w:t>
            </w:r>
          </w:p>
        </w:tc>
      </w:tr>
      <w:tr>
        <w:trPr>
          <w:cantSplit/>
        </w:trPr>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Frame rate</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60fps target, never below 30fps</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On a low-end device, not a simulator</w:t>
            </w:r>
          </w:p>
        </w:tc>
      </w:tr>
      <w:tr>
        <w:trPr>
          <w:cantSplit/>
        </w:trPr>
        <w:tc>
          <w:tcPr>
            <w:tcW w:type="dxa" w:w="2592"/>
            <w:tcMar>
              <w:top w:w="60" w:type="dxa"/>
              <w:start w:w="110" w:type="dxa"/>
              <w:bottom w:w="60" w:type="dxa"/>
              <w:end w:w="110" w:type="dxa"/>
            </w:tcMar>
          </w:tcPr>
          <w:p>
            <w:pPr>
              <w:spacing w:after="0"/>
            </w:pPr>
            <w:r/>
            <w:r>
              <w:rPr>
                <w:rFonts w:ascii="Calibri" w:hAnsi="Calibri"/>
                <w:b w:val="0"/>
                <w:i w:val="0"/>
                <w:color w:val="101828"/>
                <w:sz w:val="16"/>
              </w:rPr>
              <w:t>Crash-free sessions</w:t>
            </w:r>
          </w:p>
        </w:tc>
        <w:tc>
          <w:tcPr>
            <w:tcW w:type="dxa" w:w="2016"/>
            <w:tcMar>
              <w:top w:w="60" w:type="dxa"/>
              <w:start w:w="110" w:type="dxa"/>
              <w:bottom w:w="60" w:type="dxa"/>
              <w:end w:w="110" w:type="dxa"/>
            </w:tcMar>
          </w:tcPr>
          <w:p>
            <w:pPr>
              <w:spacing w:after="0"/>
            </w:pPr>
            <w:r/>
            <w:r>
              <w:rPr>
                <w:rFonts w:ascii="Calibri" w:hAnsi="Calibri"/>
                <w:b w:val="0"/>
                <w:i w:val="0"/>
                <w:color w:val="101828"/>
                <w:sz w:val="16"/>
              </w:rPr>
              <w:t>&gt; 99.5%</w:t>
            </w:r>
          </w:p>
        </w:tc>
        <w:tc>
          <w:tcPr>
            <w:tcW w:type="dxa" w:w="4752"/>
            <w:tcMar>
              <w:top w:w="60" w:type="dxa"/>
              <w:start w:w="110" w:type="dxa"/>
              <w:bottom w:w="60" w:type="dxa"/>
              <w:end w:w="110" w:type="dxa"/>
            </w:tcMar>
          </w:tcPr>
          <w:p>
            <w:pPr>
              <w:spacing w:after="0"/>
            </w:pPr>
            <w:r/>
            <w:r>
              <w:rPr>
                <w:rFonts w:ascii="Calibri" w:hAnsi="Calibri"/>
                <w:b w:val="0"/>
                <w:i w:val="0"/>
                <w:color w:val="101828"/>
                <w:sz w:val="16"/>
              </w:rPr>
              <w:t>Session stability is a trust signal</w:t>
            </w:r>
          </w:p>
        </w:tc>
      </w:tr>
      <w:tr>
        <w:trPr>
          <w:cantSplit/>
        </w:trPr>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ANR rate</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&lt; 0.1%</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Android-specific stability measure</w:t>
            </w:r>
          </w:p>
        </w:tc>
      </w:tr>
    </w:tbl>
    <w:p>
      <w:pPr>
        <w:spacing w:after="80"/>
      </w:pPr>
    </w:p>
    <w:p>
      <w:pPr>
        <w:pStyle w:val="Heading2"/>
      </w:pPr>
      <w:r>
        <w:rPr>
          <w:rFonts w:ascii="Calibri" w:hAnsi="Calibri"/>
          <w:b/>
          <w:i w:val="0"/>
          <w:color w:val="146EF5"/>
          <w:sz w:val="29"/>
        </w:rPr>
        <w:t>17.7 Accessibility</w:t>
      </w:r>
    </w:p>
    <w:p>
      <w:pPr>
        <w:pStyle w:val="ListBullet"/>
        <w:spacing w:after="60"/>
        <w:ind w:left="360"/>
      </w:pPr>
      <w:r>
        <w:rPr>
          <w:rFonts w:ascii="Calibri" w:hAnsi="Calibri"/>
          <w:b/>
          <w:color w:val="101828"/>
          <w:sz w:val="21"/>
        </w:rPr>
        <w:t>Screen reader support on every screen</w:t>
      </w:r>
      <w:r>
        <w:rPr>
          <w:rFonts w:ascii="Calibri" w:hAnsi="Calibri"/>
          <w:b w:val="0"/>
          <w:i w:val="0"/>
          <w:color w:val="101828"/>
          <w:sz w:val="21"/>
        </w:rPr>
        <w:t>, including the payment and payout flows. VoiceOver on iOS, TalkBack on Android.</w:t>
      </w:r>
    </w:p>
    <w:p>
      <w:pPr>
        <w:pStyle w:val="ListBullet"/>
        <w:spacing w:after="60"/>
        <w:ind w:left="360"/>
      </w:pPr>
      <w:r>
        <w:rPr>
          <w:rFonts w:ascii="Calibri" w:hAnsi="Calibri"/>
          <w:b/>
          <w:color w:val="101828"/>
          <w:sz w:val="21"/>
        </w:rPr>
        <w:t>Dynamic type support</w:t>
      </w:r>
      <w:r>
        <w:rPr>
          <w:rFonts w:ascii="Calibri" w:hAnsi="Calibri"/>
          <w:b w:val="0"/>
          <w:i w:val="0"/>
          <w:color w:val="101828"/>
          <w:sz w:val="21"/>
        </w:rPr>
        <w:t xml:space="preserve"> — text scales with the system font size without truncation or overlapping. A financial amount that is cut off is a serious defect.</w:t>
      </w:r>
    </w:p>
    <w:p>
      <w:pPr>
        <w:pStyle w:val="ListBullet"/>
        <w:spacing w:after="60"/>
        <w:ind w:left="360"/>
      </w:pPr>
      <w:r>
        <w:rPr>
          <w:rFonts w:ascii="Calibri" w:hAnsi="Calibri"/>
          <w:b/>
          <w:color w:val="101828"/>
          <w:sz w:val="21"/>
        </w:rPr>
        <w:t>Contrast ratios</w:t>
      </w:r>
      <w:r>
        <w:rPr>
          <w:rFonts w:ascii="Calibri" w:hAnsi="Calibri"/>
          <w:b w:val="0"/>
          <w:i w:val="0"/>
          <w:color w:val="101828"/>
          <w:sz w:val="21"/>
        </w:rPr>
        <w:t xml:space="preserve"> meet WCAG 2.1 AA. Primary text at minimum 4.5:1; large text at 3:1.</w:t>
      </w:r>
    </w:p>
    <w:p>
      <w:pPr>
        <w:pStyle w:val="ListBullet"/>
        <w:spacing w:after="60"/>
        <w:ind w:left="360"/>
      </w:pPr>
      <w:r>
        <w:rPr>
          <w:rFonts w:ascii="Calibri" w:hAnsi="Calibri"/>
          <w:b/>
          <w:color w:val="101828"/>
          <w:sz w:val="21"/>
        </w:rPr>
        <w:t>Colour is never the only signal.</w:t>
      </w:r>
      <w:r>
        <w:rPr>
          <w:rFonts w:ascii="Calibri" w:hAnsi="Calibri"/>
          <w:b w:val="0"/>
          <w:i w:val="0"/>
          <w:color w:val="101828"/>
          <w:sz w:val="21"/>
        </w:rPr>
        <w:t xml:space="preserve"> Payment status, contribution status, and risk states each carry a label and an icon, not just a colour. Colour-only signalling excludes a meaningful number of members and is also a common source of accessibility complaints.</w:t>
      </w:r>
    </w:p>
    <w:p>
      <w:pPr>
        <w:pStyle w:val="ListBullet"/>
        <w:spacing w:after="60"/>
        <w:ind w:left="360"/>
      </w:pPr>
      <w:r>
        <w:rPr>
          <w:rFonts w:ascii="Calibri" w:hAnsi="Calibri"/>
          <w:b/>
          <w:color w:val="101828"/>
          <w:sz w:val="21"/>
        </w:rPr>
        <w:t>Minimum 44×44pt tap targets</w:t>
      </w:r>
      <w:r>
        <w:rPr>
          <w:rFonts w:ascii="Calibri" w:hAnsi="Calibri"/>
          <w:b w:val="0"/>
          <w:i w:val="0"/>
          <w:color w:val="101828"/>
          <w:sz w:val="21"/>
        </w:rPr>
        <w:t>, with adequate spacing to prevent mis-taps on a payment button.</w:t>
      </w:r>
    </w:p>
    <w:p>
      <w:pPr>
        <w:pStyle w:val="ListBullet"/>
        <w:spacing w:after="60"/>
        <w:ind w:left="360"/>
      </w:pPr>
      <w:r>
        <w:rPr>
          <w:rFonts w:ascii="Calibri" w:hAnsi="Calibri"/>
          <w:b/>
          <w:color w:val="101828"/>
          <w:sz w:val="21"/>
        </w:rPr>
        <w:t>Reduced motion respected</w:t>
      </w:r>
      <w:r>
        <w:rPr>
          <w:rFonts w:ascii="Calibri" w:hAnsi="Calibri"/>
          <w:b w:val="0"/>
          <w:i w:val="0"/>
          <w:color w:val="101828"/>
          <w:sz w:val="21"/>
        </w:rPr>
        <w:t xml:space="preserve"> — no animation for someone who has asked for less of it.</w:t>
      </w:r>
    </w:p>
    <w:p>
      <w:pPr>
        <w:pStyle w:val="ListBullet"/>
        <w:spacing w:after="60"/>
        <w:ind w:left="360"/>
      </w:pPr>
      <w:r>
        <w:rPr>
          <w:rFonts w:ascii="Calibri" w:hAnsi="Calibri"/>
          <w:b/>
          <w:color w:val="101828"/>
          <w:sz w:val="21"/>
        </w:rPr>
        <w:t>Focus order follows visual order</w:t>
      </w:r>
      <w:r>
        <w:rPr>
          <w:rFonts w:ascii="Calibri" w:hAnsi="Calibri"/>
          <w:b w:val="0"/>
          <w:i w:val="0"/>
          <w:color w:val="101828"/>
          <w:sz w:val="21"/>
        </w:rPr>
        <w:t>, and error messages are announced to screen readers on submission.</w:t>
      </w:r>
    </w:p>
    <w:p>
      <w:pPr>
        <w:pStyle w:val="ListBullet"/>
        <w:spacing w:after="60"/>
        <w:ind w:left="360"/>
      </w:pPr>
      <w:r>
        <w:rPr>
          <w:rFonts w:ascii="Calibri" w:hAnsi="Calibri"/>
          <w:b/>
          <w:color w:val="101828"/>
          <w:sz w:val="21"/>
        </w:rPr>
        <w:t>Plain language at a reading level a non-technical Nigerian adult can follow.</w:t>
      </w:r>
      <w:r>
        <w:rPr>
          <w:rFonts w:ascii="Calibri" w:hAnsi="Calibri"/>
          <w:b w:val="0"/>
          <w:i w:val="0"/>
          <w:color w:val="101828"/>
          <w:sz w:val="21"/>
        </w:rPr>
        <w:t xml:space="preserve"> Jargon is a defect, not a register.</w:t>
      </w:r>
    </w:p>
    <w:p>
      <w:pPr>
        <w:pStyle w:val="Heading2"/>
      </w:pPr>
      <w:r>
        <w:rPr>
          <w:rFonts w:ascii="Calibri" w:hAnsi="Calibri"/>
          <w:b/>
          <w:i w:val="0"/>
          <w:color w:val="146EF5"/>
          <w:sz w:val="29"/>
        </w:rPr>
        <w:t>17.8 Security on device</w:t>
      </w:r>
    </w:p>
    <w:p>
      <w:pPr>
        <w:pStyle w:val="ListBullet"/>
        <w:spacing w:after="60"/>
        <w:ind w:left="360"/>
      </w:pPr>
      <w:r>
        <w:rPr>
          <w:rFonts w:ascii="Calibri" w:hAnsi="Calibri"/>
          <w:b/>
          <w:color w:val="101828"/>
          <w:sz w:val="21"/>
        </w:rPr>
        <w:t>Biometric unlock</w:t>
      </w:r>
      <w:r>
        <w:rPr>
          <w:rFonts w:ascii="Calibri" w:hAnsi="Calibri"/>
          <w:b w:val="0"/>
          <w:i w:val="0"/>
          <w:color w:val="101828"/>
          <w:sz w:val="21"/>
        </w:rPr>
        <w:t xml:space="preserve"> — Face ID or fingerprint, with device PIN as fallback. A convenience and a protection on a shared phone.</w:t>
      </w:r>
    </w:p>
    <w:p>
      <w:pPr>
        <w:pStyle w:val="ListBullet"/>
        <w:spacing w:after="60"/>
        <w:ind w:left="360"/>
      </w:pPr>
      <w:r>
        <w:rPr>
          <w:rFonts w:ascii="Calibri" w:hAnsi="Calibri"/>
          <w:b/>
          <w:color w:val="101828"/>
          <w:sz w:val="21"/>
        </w:rPr>
        <w:t>No sensitive data in logs on device.</w:t>
      </w:r>
      <w:r>
        <w:rPr>
          <w:rFonts w:ascii="Calibri" w:hAnsi="Calibri"/>
          <w:b w:val="0"/>
          <w:i w:val="0"/>
          <w:color w:val="101828"/>
          <w:sz w:val="21"/>
        </w:rPr>
        <w:t xml:space="preserve"> The app must not log balances, bank details, or BVN, even in debug builds on a developer's device.</w:t>
      </w:r>
    </w:p>
    <w:p>
      <w:pPr>
        <w:pStyle w:val="ListBullet"/>
        <w:spacing w:after="60"/>
        <w:ind w:left="360"/>
      </w:pPr>
      <w:r>
        <w:rPr>
          <w:rFonts w:ascii="Calibri" w:hAnsi="Calibri"/>
          <w:b/>
          <w:color w:val="101828"/>
          <w:sz w:val="21"/>
        </w:rPr>
        <w:t>Screenshot and screen-recording protection</w:t>
      </w:r>
      <w:r>
        <w:rPr>
          <w:rFonts w:ascii="Calibri" w:hAnsi="Calibri"/>
          <w:b w:val="0"/>
          <w:i w:val="0"/>
          <w:color w:val="101828"/>
          <w:sz w:val="21"/>
        </w:rPr>
        <w:t xml:space="preserve"> on the balance, bank-account, and BVN screens, where the OS allows it.</w:t>
      </w:r>
    </w:p>
    <w:p>
      <w:pPr>
        <w:pStyle w:val="ListBullet"/>
        <w:spacing w:after="60"/>
        <w:ind w:left="360"/>
      </w:pPr>
      <w:r>
        <w:rPr>
          <w:rFonts w:ascii="Calibri" w:hAnsi="Calibri"/>
          <w:b/>
          <w:color w:val="101828"/>
          <w:sz w:val="21"/>
        </w:rPr>
        <w:t>App-level data protection</w:t>
      </w:r>
      <w:r>
        <w:rPr>
          <w:rFonts w:ascii="Calibri" w:hAnsi="Calibri"/>
          <w:b w:val="0"/>
          <w:i w:val="0"/>
          <w:color w:val="101828"/>
          <w:sz w:val="21"/>
        </w:rPr>
        <w:t xml:space="preserve"> — stored credentials in the platform keystore, and cached financial data encrypted at rest on device with a key held in the keystore.</w:t>
      </w:r>
    </w:p>
    <w:p>
      <w:pPr>
        <w:pStyle w:val="ListBullet"/>
        <w:spacing w:after="60"/>
        <w:ind w:left="360"/>
      </w:pPr>
      <w:r>
        <w:rPr>
          <w:rFonts w:ascii="Calibri" w:hAnsi="Calibri"/>
          <w:b/>
          <w:color w:val="101828"/>
          <w:sz w:val="21"/>
        </w:rPr>
        <w:t>No sensitive data in the clipboard</w:t>
      </w:r>
      <w:r>
        <w:rPr>
          <w:rFonts w:ascii="Calibri" w:hAnsi="Calibri"/>
          <w:b w:val="0"/>
          <w:i w:val="0"/>
          <w:color w:val="101828"/>
          <w:sz w:val="21"/>
        </w:rPr>
        <w:t>, or if copied, expired automatically.</w:t>
      </w:r>
    </w:p>
    <w:p>
      <w:pPr>
        <w:pStyle w:val="ListBullet"/>
        <w:spacing w:after="60"/>
        <w:ind w:left="360"/>
      </w:pPr>
      <w:r>
        <w:rPr>
          <w:rFonts w:ascii="Calibri" w:hAnsi="Calibri"/>
          <w:b/>
          <w:color w:val="101828"/>
          <w:sz w:val="21"/>
        </w:rPr>
        <w:t>Root and jailbreak detection</w:t>
      </w:r>
      <w:r>
        <w:rPr>
          <w:rFonts w:ascii="Calibri" w:hAnsi="Calibri"/>
          <w:b w:val="0"/>
          <w:i w:val="0"/>
          <w:color w:val="101828"/>
          <w:sz w:val="21"/>
        </w:rPr>
        <w:t xml:space="preserve"> as a risk signal feeding the risk engine, not as an automatic block. A legitimate member with a rooted phone should still be able to save money.</w:t>
      </w:r>
    </w:p>
    <w:p>
      <w:pPr>
        <w:pStyle w:val="ListBullet"/>
        <w:spacing w:after="60"/>
        <w:ind w:left="360"/>
      </w:pPr>
      <w:r>
        <w:rPr>
          <w:rFonts w:ascii="Calibri" w:hAnsi="Calibri"/>
          <w:b/>
          <w:color w:val="101828"/>
          <w:sz w:val="21"/>
        </w:rPr>
        <w:t>Root cause of a wipe is not a remote wipe.</w:t>
      </w:r>
      <w:r>
        <w:rPr>
          <w:rFonts w:ascii="Calibri" w:hAnsi="Calibri"/>
          <w:b w:val="0"/>
          <w:i w:val="0"/>
          <w:color w:val="101828"/>
          <w:sz w:val="21"/>
        </w:rPr>
        <w:t xml:space="preserve"> A member who loses a stolen phone should not lose their Ajo history; server-side data survives device loss, and the app is re-authenticated on the new device.</w:t>
      </w:r>
    </w:p>
    <w:p>
      <w:pPr>
        <w:spacing w:before="140" w:after="180"/>
        <w:ind w:left="144"/>
        <w:shd w:val="clear" w:color="auto" w:fill="EFF6FF"/>
        <w:pBdr>
          <w:left w:val="single" w:sz="18" w:space="6" w:color="146EF5"/>
        </w:pBdr>
      </w:pPr>
      <w:r>
        <w:rPr>
          <w:rFonts w:ascii="Calibri" w:hAnsi="Calibri"/>
          <w:b/>
          <w:color w:val="146EF5"/>
          <w:sz w:val="19"/>
        </w:rPr>
        <w:t xml:space="preserve">Losing a phone is not losing your Ajo.  </w:t>
      </w:r>
      <w:r>
        <w:rPr>
          <w:rFonts w:ascii="Calibri" w:hAnsi="Calibri"/>
          <w:b w:val="0"/>
          <w:i w:val="0"/>
          <w:color w:val="0B1F3A"/>
          <w:sz w:val="19"/>
        </w:rPr>
        <w:t>A member's Ajo position, contribution history, and payout record live on the server, not on the device. A lost or stolen phone means a new login, not a lost savings. Saying so explicitly in the recovery flow is important — the fear of losing years of savings to a stolen phone is a genuine barrier to adoption in this market.</w:t>
      </w:r>
    </w:p>
    <w:p>
      <w:pPr>
        <w:pStyle w:val="Heading2"/>
      </w:pPr>
      <w:r>
        <w:rPr>
          <w:rFonts w:ascii="Calibri" w:hAnsi="Calibri"/>
          <w:b/>
          <w:i w:val="0"/>
          <w:color w:val="146EF5"/>
          <w:sz w:val="29"/>
        </w:rPr>
        <w:t>17.9 App lifecycle and distribution</w:t>
      </w:r>
    </w:p>
    <w:p>
      <w:pPr>
        <w:pStyle w:val="ListBullet"/>
        <w:spacing w:after="60"/>
        <w:ind w:left="360"/>
      </w:pPr>
      <w:r>
        <w:rPr>
          <w:rFonts w:ascii="Calibri" w:hAnsi="Calibri"/>
          <w:b/>
          <w:color w:val="101828"/>
          <w:sz w:val="21"/>
        </w:rPr>
        <w:t>Minimum OS versions</w:t>
      </w:r>
      <w:r>
        <w:rPr>
          <w:rFonts w:ascii="Calibri" w:hAnsi="Calibri"/>
          <w:b w:val="0"/>
          <w:i w:val="0"/>
          <w:color w:val="101828"/>
          <w:sz w:val="21"/>
        </w:rPr>
        <w:t xml:space="preserve"> — Android 8.0 (API 26) and iOS 14. This keeps the install base broad while allowing current security and cryptography features.</w:t>
      </w:r>
    </w:p>
    <w:p>
      <w:pPr>
        <w:pStyle w:val="ListBullet"/>
        <w:spacing w:after="60"/>
        <w:ind w:left="360"/>
      </w:pPr>
      <w:r>
        <w:rPr>
          <w:rFonts w:ascii="Calibri" w:hAnsi="Calibri"/>
          <w:b/>
          <w:color w:val="101828"/>
          <w:sz w:val="21"/>
        </w:rPr>
        <w:t>Over-the-air updates</w:t>
      </w:r>
      <w:r>
        <w:rPr>
          <w:rFonts w:ascii="Calibri" w:hAnsi="Calibri"/>
          <w:b w:val="0"/>
          <w:i w:val="0"/>
          <w:color w:val="101828"/>
          <w:sz w:val="21"/>
        </w:rPr>
        <w:t xml:space="preserve"> for JavaScript and assets, with a forced-update path for a critical security fix.</w:t>
      </w:r>
    </w:p>
    <w:p>
      <w:pPr>
        <w:pStyle w:val="ListBullet"/>
        <w:spacing w:after="60"/>
        <w:ind w:left="360"/>
      </w:pPr>
      <w:r>
        <w:rPr>
          <w:rFonts w:ascii="Calibri" w:hAnsi="Calibri"/>
          <w:b/>
          <w:color w:val="101828"/>
          <w:sz w:val="21"/>
        </w:rPr>
        <w:t>Staged rollout</w:t>
      </w:r>
      <w:r>
        <w:rPr>
          <w:rFonts w:ascii="Calibri" w:hAnsi="Calibri"/>
          <w:b w:val="0"/>
          <w:i w:val="0"/>
          <w:color w:val="101828"/>
          <w:sz w:val="21"/>
        </w:rPr>
        <w:t xml:space="preserve"> with an internal ring, then 1%, 5%, 25%, 50%, 100%, with automatic halt on a crash-rate or ANR breach.</w:t>
      </w:r>
    </w:p>
    <w:p>
      <w:pPr>
        <w:pStyle w:val="ListBullet"/>
        <w:spacing w:after="60"/>
        <w:ind w:left="360"/>
      </w:pPr>
      <w:r>
        <w:rPr>
          <w:rFonts w:ascii="Calibri" w:hAnsi="Calibri"/>
          <w:b/>
          <w:color w:val="101828"/>
          <w:sz w:val="21"/>
        </w:rPr>
        <w:t>Deep linking</w:t>
      </w:r>
      <w:r>
        <w:rPr>
          <w:rFonts w:ascii="Calibri" w:hAnsi="Calibri"/>
          <w:b w:val="0"/>
          <w:i w:val="0"/>
          <w:color w:val="101828"/>
          <w:sz w:val="21"/>
        </w:rPr>
        <w:t xml:space="preserve"> so an SMS or a shared invitation opens the correct screen, with a graceful fallback to the app store if the app is not installed.</w:t>
      </w:r>
    </w:p>
    <w:p>
      <w:pPr>
        <w:pStyle w:val="ListBullet"/>
        <w:spacing w:after="60"/>
        <w:ind w:left="360"/>
      </w:pPr>
      <w:r>
        <w:rPr>
          <w:rFonts w:ascii="Calibri" w:hAnsi="Calibri"/>
          <w:b/>
          <w:color w:val="101828"/>
          <w:sz w:val="21"/>
        </w:rPr>
        <w:t>App store compliance</w:t>
      </w:r>
      <w:r>
        <w:rPr>
          <w:rFonts w:ascii="Calibri" w:hAnsi="Calibri"/>
          <w:b w:val="0"/>
          <w:i w:val="0"/>
          <w:color w:val="101828"/>
          <w:sz w:val="21"/>
        </w:rPr>
        <w:t xml:space="preserve"> — privacy nutrition labels, a data-safety declaration that matches what the app actually does, and a data-deletion request path where the store requires one.</w:t>
      </w:r>
    </w:p>
    <w:p>
      <w:pPr>
        <w:pStyle w:val="ListBullet"/>
        <w:spacing w:after="60"/>
        <w:ind w:left="360"/>
      </w:pPr>
      <w:r>
        <w:rPr>
          <w:rFonts w:ascii="Calibri" w:hAnsi="Calibri"/>
          <w:b/>
          <w:color w:val="101828"/>
          <w:sz w:val="21"/>
        </w:rPr>
        <w:t>Download size discipline.</w:t>
      </w:r>
      <w:r>
        <w:rPr>
          <w:rFonts w:ascii="Calibri" w:hAnsi="Calibri"/>
          <w:b w:val="0"/>
          <w:i w:val="0"/>
          <w:color w:val="101828"/>
          <w:sz w:val="21"/>
        </w:rPr>
        <w:t xml:space="preserve"> A large app is a real adoption barrier on metered data. Feature additions must be justified against bundle growth.</w:t>
      </w:r>
    </w:p>
    <w:p>
      <w:pPr>
        <w:pStyle w:val="Heading2"/>
      </w:pPr>
      <w:r>
        <w:rPr>
          <w:rFonts w:ascii="Calibri" w:hAnsi="Calibri"/>
          <w:b/>
          <w:i w:val="0"/>
          <w:color w:val="146EF5"/>
          <w:sz w:val="29"/>
        </w:rPr>
        <w:t>17.10 Platform-agnostic product rules</w:t>
      </w:r>
    </w:p>
    <w:p>
      <w:r>
        <w:rPr>
          <w:rFonts w:ascii="Calibri" w:hAnsi="Calibri"/>
          <w:b w:val="0"/>
          <w:i w:val="0"/>
          <w:color w:val="101828"/>
          <w:sz w:val="21"/>
        </w:rPr>
        <w:t>Whatever the client technology, these rules hold. They are written here so that a future native rebuild, a WhatsApp channel, or a USSD fallback does not quietly break the product's commitments.</w:t>
      </w:r>
    </w:p>
    <w:p>
      <w:pPr>
        <w:pStyle w:val="ListNumber"/>
        <w:spacing w:after="60"/>
        <w:ind w:left="432"/>
      </w:pPr>
      <w:r>
        <w:rPr>
          <w:rFonts w:ascii="Calibri" w:hAnsi="Calibri"/>
          <w:b w:val="0"/>
          <w:i w:val="0"/>
          <w:color w:val="101828"/>
          <w:sz w:val="21"/>
        </w:rPr>
        <w:t>The server is authoritative for every financial figure. No client computes a balance.</w:t>
      </w:r>
    </w:p>
    <w:p>
      <w:pPr>
        <w:pStyle w:val="ListNumber"/>
        <w:spacing w:after="60"/>
        <w:ind w:left="432"/>
      </w:pPr>
      <w:r>
        <w:rPr>
          <w:rFonts w:ascii="Calibri" w:hAnsi="Calibri"/>
          <w:b w:val="0"/>
          <w:i w:val="0"/>
          <w:color w:val="101828"/>
          <w:sz w:val="21"/>
        </w:rPr>
        <w:t>The 2% fee is shown as a separate line before every payment, in every channel.</w:t>
      </w:r>
    </w:p>
    <w:p>
      <w:pPr>
        <w:pStyle w:val="ListNumber"/>
        <w:spacing w:after="60"/>
        <w:ind w:left="432"/>
      </w:pPr>
      <w:r>
        <w:rPr>
          <w:rFonts w:ascii="Calibri" w:hAnsi="Calibri"/>
          <w:b w:val="0"/>
          <w:i w:val="0"/>
          <w:color w:val="101828"/>
          <w:sz w:val="21"/>
        </w:rPr>
        <w:t>A contribution is not confirmed until the server confirms it. The client may not optimistically claim success.</w:t>
      </w:r>
    </w:p>
    <w:p>
      <w:pPr>
        <w:pStyle w:val="ListNumber"/>
        <w:spacing w:after="60"/>
        <w:ind w:left="432"/>
      </w:pPr>
      <w:r>
        <w:rPr>
          <w:rFonts w:ascii="Calibri" w:hAnsi="Calibri"/>
          <w:b w:val="0"/>
          <w:i w:val="0"/>
          <w:color w:val="101828"/>
          <w:sz w:val="21"/>
        </w:rPr>
        <w:t>Deadlines are shown in the Ajo's timezone, with the member's local time alongside.</w:t>
      </w:r>
    </w:p>
    <w:p>
      <w:pPr>
        <w:pStyle w:val="ListNumber"/>
        <w:spacing w:after="60"/>
        <w:ind w:left="432"/>
      </w:pPr>
      <w:r>
        <w:rPr>
          <w:rFonts w:ascii="Calibri" w:hAnsi="Calibri"/>
          <w:b w:val="0"/>
          <w:i w:val="0"/>
          <w:color w:val="101828"/>
          <w:sz w:val="21"/>
        </w:rPr>
        <w:t>No money moves through a messaging channel, ever.</w:t>
      </w:r>
    </w:p>
    <w:p>
      <w:pPr>
        <w:pStyle w:val="ListNumber"/>
        <w:spacing w:after="60"/>
        <w:ind w:left="432"/>
      </w:pPr>
      <w:r>
        <w:rPr>
          <w:rFonts w:ascii="Calibri" w:hAnsi="Calibri"/>
          <w:b w:val="0"/>
          <w:i w:val="0"/>
          <w:color w:val="101828"/>
          <w:sz w:val="21"/>
        </w:rPr>
        <w:t>A member can always see the full history of their own transactions and receipts.</w:t>
      </w:r>
    </w:p>
    <w:p>
      <w:pPr>
        <w:pStyle w:val="ListNumber"/>
        <w:spacing w:after="60"/>
        <w:ind w:left="432"/>
      </w:pPr>
      <w:r>
        <w:rPr>
          <w:rFonts w:ascii="Calibri" w:hAnsi="Calibri"/>
          <w:b w:val="0"/>
          <w:i w:val="0"/>
          <w:color w:val="101828"/>
          <w:sz w:val="21"/>
        </w:rPr>
        <w:t>Every state in the money lifecycle is visible to the member, including the uncomfortable ones.</w:t>
      </w:r>
    </w:p>
    <w:p>
      <w:pPr>
        <w:pStyle w:val="Heading2"/>
      </w:pPr>
      <w:r>
        <w:rPr>
          <w:rFonts w:ascii="Calibri" w:hAnsi="Calibri"/>
          <w:b/>
          <w:i w:val="0"/>
          <w:color w:val="146EF5"/>
          <w:sz w:val="29"/>
        </w:rPr>
        <w:t>17.11 Mobile metrics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6"/>
              </w:rPr>
              <w:t>Metric</w:t>
            </w:r>
          </w:p>
        </w:tc>
        <w:tc>
          <w:tcPr>
            <w:tcW w:type="dxa" w:w="4320"/>
            <w:shd w:val="clear" w:color="auto" w:fill="0B1F3A"/>
            <w:tcMar>
              <w:top w:w="60" w:type="dxa"/>
              <w:start w:w="110" w:type="dxa"/>
              <w:bottom w:w="60" w:type="dxa"/>
              <w:end w:w="110" w:type="dxa"/>
            </w:tcMar>
          </w:tcPr>
          <w:p>
            <w:pPr>
              <w:spacing w:after="0"/>
            </w:pPr>
            <w:r/>
            <w:r>
              <w:rPr>
                <w:rFonts w:ascii="Calibri" w:hAnsi="Calibri"/>
                <w:b/>
                <w:i w:val="0"/>
                <w:color w:val="FFFFFF"/>
                <w:sz w:val="16"/>
              </w:rPr>
              <w:t>Definition</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Target</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Install → verified account</w:t>
            </w:r>
          </w:p>
        </w:tc>
        <w:tc>
          <w:tcPr>
            <w:tcW w:type="dxa" w:w="4320"/>
            <w:tcMar>
              <w:top w:w="60" w:type="dxa"/>
              <w:start w:w="110" w:type="dxa"/>
              <w:bottom w:w="60" w:type="dxa"/>
              <w:end w:w="110" w:type="dxa"/>
            </w:tcMar>
          </w:tcPr>
          <w:p>
            <w:pPr>
              <w:spacing w:after="0"/>
            </w:pPr>
            <w:r/>
            <w:r>
              <w:rPr>
                <w:rFonts w:ascii="Calibri" w:hAnsi="Calibri"/>
                <w:b w:val="0"/>
                <w:i w:val="0"/>
                <w:color w:val="101828"/>
                <w:sz w:val="16"/>
              </w:rPr>
              <w:t>Share of installs completing identity verification</w:t>
            </w:r>
          </w:p>
        </w:tc>
        <w:tc>
          <w:tcPr>
            <w:tcW w:type="dxa" w:w="2160"/>
            <w:tcMar>
              <w:top w:w="60" w:type="dxa"/>
              <w:start w:w="110" w:type="dxa"/>
              <w:bottom w:w="60" w:type="dxa"/>
              <w:end w:w="110" w:type="dxa"/>
            </w:tcMar>
          </w:tcPr>
          <w:p>
            <w:pPr>
              <w:spacing w:after="0"/>
            </w:pPr>
            <w:r/>
            <w:r>
              <w:rPr>
                <w:rFonts w:ascii="Calibri" w:hAnsi="Calibri"/>
                <w:b w:val="0"/>
                <w:i w:val="0"/>
                <w:color w:val="101828"/>
                <w:sz w:val="16"/>
              </w:rPr>
              <w:t>&gt; 55%</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Install → first Ajo joined</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Share of installs completing a join</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&gt; 40%</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Onboarding completion</w:t>
            </w:r>
          </w:p>
        </w:tc>
        <w:tc>
          <w:tcPr>
            <w:tcW w:type="dxa" w:w="4320"/>
            <w:tcMar>
              <w:top w:w="60" w:type="dxa"/>
              <w:start w:w="110" w:type="dxa"/>
              <w:bottom w:w="60" w:type="dxa"/>
              <w:end w:w="110" w:type="dxa"/>
            </w:tcMar>
          </w:tcPr>
          <w:p>
            <w:pPr>
              <w:spacing w:after="0"/>
            </w:pPr>
            <w:r/>
            <w:r>
              <w:rPr>
                <w:rFonts w:ascii="Calibri" w:hAnsi="Calibri"/>
                <w:b w:val="0"/>
                <w:i w:val="0"/>
                <w:color w:val="101828"/>
                <w:sz w:val="16"/>
              </w:rPr>
              <w:t>Share who finish the flow</w:t>
            </w:r>
          </w:p>
        </w:tc>
        <w:tc>
          <w:tcPr>
            <w:tcW w:type="dxa" w:w="2160"/>
            <w:tcMar>
              <w:top w:w="60" w:type="dxa"/>
              <w:start w:w="110" w:type="dxa"/>
              <w:bottom w:w="60" w:type="dxa"/>
              <w:end w:w="110" w:type="dxa"/>
            </w:tcMar>
          </w:tcPr>
          <w:p>
            <w:pPr>
              <w:spacing w:after="0"/>
            </w:pPr>
            <w:r/>
            <w:r>
              <w:rPr>
                <w:rFonts w:ascii="Calibri" w:hAnsi="Calibri"/>
                <w:b w:val="0"/>
                <w:i w:val="0"/>
                <w:color w:val="101828"/>
                <w:sz w:val="16"/>
              </w:rPr>
              <w:t>&gt; 70%</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Contribution conversion</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Share who complete a payment once started</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&gt; 85%</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Payment completion time</w:t>
            </w:r>
          </w:p>
        </w:tc>
        <w:tc>
          <w:tcPr>
            <w:tcW w:type="dxa" w:w="4320"/>
            <w:tcMar>
              <w:top w:w="60" w:type="dxa"/>
              <w:start w:w="110" w:type="dxa"/>
              <w:bottom w:w="60" w:type="dxa"/>
              <w:end w:w="110" w:type="dxa"/>
            </w:tcMar>
          </w:tcPr>
          <w:p>
            <w:pPr>
              <w:spacing w:after="0"/>
            </w:pPr>
            <w:r/>
            <w:r>
              <w:rPr>
                <w:rFonts w:ascii="Calibri" w:hAnsi="Calibri"/>
                <w:b w:val="0"/>
                <w:i w:val="0"/>
                <w:color w:val="101828"/>
                <w:sz w:val="16"/>
              </w:rPr>
              <w:t>Start to confirmation</w:t>
            </w:r>
          </w:p>
        </w:tc>
        <w:tc>
          <w:tcPr>
            <w:tcW w:type="dxa" w:w="2160"/>
            <w:tcMar>
              <w:top w:w="60" w:type="dxa"/>
              <w:start w:w="110" w:type="dxa"/>
              <w:bottom w:w="60" w:type="dxa"/>
              <w:end w:w="110" w:type="dxa"/>
            </w:tcMar>
          </w:tcPr>
          <w:p>
            <w:pPr>
              <w:spacing w:after="0"/>
            </w:pPr>
            <w:r/>
            <w:r>
              <w:rPr>
                <w:rFonts w:ascii="Calibri" w:hAnsi="Calibri"/>
                <w:b w:val="0"/>
                <w:i w:val="0"/>
                <w:color w:val="101828"/>
                <w:sz w:val="16"/>
              </w:rPr>
              <w:t>&lt; 45s</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D30 retention</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Members active after 30 days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&gt; 45%</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Crash-free rate</w:t>
            </w:r>
          </w:p>
        </w:tc>
        <w:tc>
          <w:tcPr>
            <w:tcW w:type="dxa" w:w="4320"/>
            <w:tcMar>
              <w:top w:w="60" w:type="dxa"/>
              <w:start w:w="110" w:type="dxa"/>
              <w:bottom w:w="60" w:type="dxa"/>
              <w:end w:w="110" w:type="dxa"/>
            </w:tcMar>
          </w:tcPr>
          <w:p>
            <w:pPr>
              <w:spacing w:after="0"/>
            </w:pPr>
            <w:r/>
            <w:r>
              <w:rPr>
                <w:rFonts w:ascii="Calibri" w:hAnsi="Calibri"/>
                <w:b w:val="0"/>
                <w:i w:val="0"/>
                <w:color w:val="101828"/>
                <w:sz w:val="16"/>
              </w:rPr>
              <w:t>Sessions without a crash</w:t>
            </w:r>
          </w:p>
        </w:tc>
        <w:tc>
          <w:tcPr>
            <w:tcW w:type="dxa" w:w="2160"/>
            <w:tcMar>
              <w:top w:w="60" w:type="dxa"/>
              <w:start w:w="110" w:type="dxa"/>
              <w:bottom w:w="60" w:type="dxa"/>
              <w:end w:w="110" w:type="dxa"/>
            </w:tcMar>
          </w:tcPr>
          <w:p>
            <w:pPr>
              <w:spacing w:after="0"/>
            </w:pPr>
            <w:r/>
            <w:r>
              <w:rPr>
                <w:rFonts w:ascii="Calibri" w:hAnsi="Calibri"/>
                <w:b w:val="0"/>
                <w:i w:val="0"/>
                <w:color w:val="101828"/>
                <w:sz w:val="16"/>
              </w:rPr>
              <w:t>&gt; 99.5%</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App load time (p75)</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Cold start</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&lt; 2.5s</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Rating</w:t>
            </w:r>
          </w:p>
        </w:tc>
        <w:tc>
          <w:tcPr>
            <w:tcW w:type="dxa" w:w="4320"/>
            <w:tcMar>
              <w:top w:w="60" w:type="dxa"/>
              <w:start w:w="110" w:type="dxa"/>
              <w:bottom w:w="60" w:type="dxa"/>
              <w:end w:w="110" w:type="dxa"/>
            </w:tcMar>
          </w:tcPr>
          <w:p>
            <w:pPr>
              <w:spacing w:after="0"/>
            </w:pPr>
            <w:r/>
            <w:r>
              <w:rPr>
                <w:rFonts w:ascii="Calibri" w:hAnsi="Calibri"/>
                <w:b w:val="0"/>
                <w:i w:val="0"/>
                <w:color w:val="101828"/>
                <w:sz w:val="16"/>
              </w:rPr>
              <w:t>App store rating</w:t>
            </w:r>
          </w:p>
        </w:tc>
        <w:tc>
          <w:tcPr>
            <w:tcW w:type="dxa" w:w="2160"/>
            <w:tcMar>
              <w:top w:w="60" w:type="dxa"/>
              <w:start w:w="110" w:type="dxa"/>
              <w:bottom w:w="60" w:type="dxa"/>
              <w:end w:w="110" w:type="dxa"/>
            </w:tcMar>
          </w:tcPr>
          <w:p>
            <w:pPr>
              <w:spacing w:after="0"/>
            </w:pPr>
            <w:r/>
            <w:r>
              <w:rPr>
                <w:rFonts w:ascii="Calibri" w:hAnsi="Calibri"/>
                <w:b w:val="0"/>
                <w:i w:val="0"/>
                <w:color w:val="101828"/>
                <w:sz w:val="16"/>
              </w:rPr>
              <w:t>&gt; 4.3</w:t>
            </w:r>
          </w:p>
        </w:tc>
      </w:tr>
    </w:tbl>
    <w:p>
      <w:pPr>
        <w:spacing w:after="80"/>
      </w:pPr>
    </w:p>
    <w:p>
      <w:r>
        <w:br w:type="page"/>
      </w:r>
    </w:p>
    <w:p>
      <w:pPr>
        <w:pStyle w:val="Heading1"/>
        <w:pBdr>
          <w:bottom w:val="single" w:sz="12" w:space="6" w:color="146EF5"/>
        </w:pBdr>
        <w:spacing w:after="240"/>
      </w:pPr>
      <w:r>
        <w:rPr>
          <w:rFonts w:ascii="Calibri" w:hAnsi="Calibri"/>
          <w:b/>
          <w:i w:val="0"/>
          <w:color w:val="0B1F3A"/>
          <w:sz w:val="40"/>
        </w:rPr>
        <w:t>18. Test Strategy and Quality Assurance</w:t>
      </w:r>
    </w:p>
    <w:p>
      <w:pPr>
        <w:spacing w:after="200"/>
      </w:pPr>
      <w:r>
        <w:rPr>
          <w:rFonts w:ascii="Calibri" w:hAnsi="Calibri"/>
          <w:b w:val="0"/>
          <w:i w:val="0"/>
          <w:color w:val="475467"/>
          <w:sz w:val="24"/>
        </w:rPr>
        <w:t>Testing a savings platform is not the same as testing ordinary software. A bug that displays the wrong round is an inconvenience. A bug that confirms a payment that was never made, or releases a payout twice, or loses a member's position, is a business-ending event. The test strategy is therefore weighted heavily towards money correctness, adversarial conditions, and the unhappy paths that never appear in a demo.</w:t>
      </w:r>
    </w:p>
    <w:p>
      <w:pPr>
        <w:pStyle w:val="Heading2"/>
      </w:pPr>
      <w:r>
        <w:rPr>
          <w:rFonts w:ascii="Calibri" w:hAnsi="Calibri"/>
          <w:b/>
          <w:i w:val="0"/>
          <w:color w:val="146EF5"/>
          <w:sz w:val="29"/>
        </w:rPr>
        <w:t>18.1 Objectives</w:t>
      </w:r>
    </w:p>
    <w:p>
      <w:pPr>
        <w:pStyle w:val="ListNumber"/>
        <w:spacing w:after="60"/>
        <w:ind w:left="432"/>
      </w:pPr>
      <w:r>
        <w:rPr>
          <w:rFonts w:ascii="Calibri" w:hAnsi="Calibri"/>
          <w:b/>
          <w:color w:val="101828"/>
          <w:sz w:val="21"/>
        </w:rPr>
        <w:t>Prove the money is right.</w:t>
      </w:r>
      <w:r>
        <w:rPr>
          <w:rFonts w:ascii="Calibri" w:hAnsi="Calibri"/>
          <w:b w:val="0"/>
          <w:i w:val="0"/>
          <w:color w:val="101828"/>
          <w:sz w:val="21"/>
        </w:rPr>
        <w:t xml:space="preserve"> Every kobo that enters the system is accounted for, and the ledger invariant holds at all times.</w:t>
      </w:r>
    </w:p>
    <w:p>
      <w:pPr>
        <w:pStyle w:val="ListNumber"/>
        <w:spacing w:after="60"/>
        <w:ind w:left="432"/>
      </w:pPr>
      <w:r>
        <w:rPr>
          <w:rFonts w:ascii="Calibri" w:hAnsi="Calibri"/>
          <w:b/>
          <w:color w:val="101828"/>
          <w:sz w:val="21"/>
        </w:rPr>
        <w:t>Prove the state machine cannot be violated.</w:t>
      </w:r>
      <w:r>
        <w:rPr>
          <w:rFonts w:ascii="Calibri" w:hAnsi="Calibri"/>
          <w:b w:val="0"/>
          <w:i w:val="0"/>
          <w:color w:val="101828"/>
          <w:sz w:val="21"/>
        </w:rPr>
        <w:t xml:space="preserve"> No sequence of requests may drive an Ajo or a payout into an illegal state.</w:t>
      </w:r>
    </w:p>
    <w:p>
      <w:pPr>
        <w:pStyle w:val="ListNumber"/>
        <w:spacing w:after="60"/>
        <w:ind w:left="432"/>
      </w:pPr>
      <w:r>
        <w:rPr>
          <w:rFonts w:ascii="Calibri" w:hAnsi="Calibri"/>
          <w:b/>
          <w:color w:val="101828"/>
          <w:sz w:val="21"/>
        </w:rPr>
        <w:t>Prove idempotency.</w:t>
      </w:r>
      <w:r>
        <w:rPr>
          <w:rFonts w:ascii="Calibri" w:hAnsi="Calibri"/>
          <w:b w:val="0"/>
          <w:i w:val="0"/>
          <w:color w:val="101828"/>
          <w:sz w:val="21"/>
        </w:rPr>
        <w:t xml:space="preserve"> No operation may be executed twice, regardless of retries, timeouts, duplicate webhooks, or a member double-tapping a button.</w:t>
      </w:r>
    </w:p>
    <w:p>
      <w:pPr>
        <w:pStyle w:val="ListNumber"/>
        <w:spacing w:after="60"/>
        <w:ind w:left="432"/>
      </w:pPr>
      <w:r>
        <w:rPr>
          <w:rFonts w:ascii="Calibri" w:hAnsi="Calibri"/>
          <w:b/>
          <w:color w:val="101828"/>
          <w:sz w:val="21"/>
        </w:rPr>
        <w:t>Prove the unhappy paths.</w:t>
      </w:r>
      <w:r>
        <w:rPr>
          <w:rFonts w:ascii="Calibri" w:hAnsi="Calibri"/>
          <w:b w:val="0"/>
          <w:i w:val="0"/>
          <w:color w:val="101828"/>
          <w:sz w:val="21"/>
        </w:rPr>
        <w:t xml:space="preserve"> Provider outage, webhook loss, bank rejection, timeout, clock skew, partial batch failure, and concurrent modification must all be handled without corruption.</w:t>
      </w:r>
    </w:p>
    <w:p>
      <w:pPr>
        <w:pStyle w:val="ListNumber"/>
        <w:spacing w:after="60"/>
        <w:ind w:left="432"/>
      </w:pPr>
      <w:r>
        <w:rPr>
          <w:rFonts w:ascii="Calibri" w:hAnsi="Calibri"/>
          <w:b/>
          <w:color w:val="101828"/>
          <w:sz w:val="21"/>
        </w:rPr>
        <w:t>Prove authorisation.</w:t>
      </w:r>
      <w:r>
        <w:rPr>
          <w:rFonts w:ascii="Calibri" w:hAnsi="Calibri"/>
          <w:b w:val="0"/>
          <w:i w:val="0"/>
          <w:color w:val="101828"/>
          <w:sz w:val="21"/>
        </w:rPr>
        <w:t xml:space="preserve"> No member, organizer, or staff role may read or act on anything outside their scope.</w:t>
      </w:r>
    </w:p>
    <w:p>
      <w:pPr>
        <w:pStyle w:val="ListNumber"/>
        <w:spacing w:after="60"/>
        <w:ind w:left="432"/>
      </w:pPr>
      <w:r>
        <w:rPr>
          <w:rFonts w:ascii="Calibri" w:hAnsi="Calibri"/>
          <w:b/>
          <w:color w:val="101828"/>
          <w:sz w:val="21"/>
        </w:rPr>
        <w:t>Prove the invariants are enforced in the database and not only in application code</w:t>
      </w:r>
      <w:r>
        <w:rPr>
          <w:rFonts w:ascii="Calibri" w:hAnsi="Calibri"/>
          <w:b w:val="0"/>
          <w:i w:val="0"/>
          <w:color w:val="101828"/>
          <w:sz w:val="21"/>
        </w:rPr>
        <w:t xml:space="preserve"> — because application code will eventually have a bug.</w:t>
      </w:r>
    </w:p>
    <w:p>
      <w:pPr>
        <w:pStyle w:val="Heading2"/>
      </w:pPr>
      <w:r>
        <w:rPr>
          <w:rFonts w:ascii="Calibri" w:hAnsi="Calibri"/>
          <w:b/>
          <w:i w:val="0"/>
          <w:color w:val="146EF5"/>
          <w:sz w:val="29"/>
        </w:rPr>
        <w:t>18.2 Test pyramid</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E2E / contract ╲        ~5%    slow, expensive, few</w:t>
      </w:r>
    </w:p>
    <w:p>
      <w:pPr>
        <w:spacing w:before="0" w:after="0" w:line="240" w:lineRule="auto"/>
        <w:ind w:left="230"/>
        <w:shd w:val="clear" w:color="auto" w:fill="F7F9FC"/>
        <w:pBdr>
          <w:left w:val="single" w:sz="4" w:space="6" w:color="D0D5DD"/>
        </w:pBdr>
      </w:pPr>
      <w:r>
        <w:rPr>
          <w:rFonts w:ascii="Consolas" w:hAnsi="Consolas"/>
          <w:color w:val="0B1F3A"/>
          <w:sz w:val="15"/>
        </w:rPr>
        <w:t xml:space="preserve">      ╱   (critical paths)  ╲</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Integration / adapter  ╲   ~20%   real DB, real queue, mocked provider</w:t>
      </w:r>
    </w:p>
    <w:p>
      <w:pPr>
        <w:spacing w:before="0" w:after="0" w:line="240" w:lineRule="auto"/>
        <w:ind w:left="230"/>
        <w:shd w:val="clear" w:color="auto" w:fill="F7F9FC"/>
        <w:pBdr>
          <w:left w:val="single" w:sz="4" w:space="6" w:color="D0D5DD"/>
        </w:pBdr>
      </w:pPr>
      <w:r>
        <w:rPr>
          <w:rFonts w:ascii="Consolas" w:hAnsi="Consolas"/>
          <w:color w:val="0B1F3A"/>
          <w:sz w:val="15"/>
        </w:rPr>
        <w:t xml:space="preserve">   ╱   (repos, services, RLS)  ╲</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Unit / property / model     ╲  ~75%  fast, exhaustive, the workhorse</w:t>
      </w:r>
    </w:p>
    <w:p>
      <w:pPr>
        <w:spacing w:before="0" w:after="0" w:line="240" w:lineRule="auto"/>
        <w:ind w:left="230"/>
        <w:shd w:val="clear" w:color="auto" w:fill="F7F9FC"/>
        <w:pBdr>
          <w:left w:val="single" w:sz="4" w:space="6" w:color="D0D5DD"/>
        </w:pBdr>
      </w:pPr>
      <w:r>
        <w:rPr>
          <w:rFonts w:ascii="Consolas" w:hAnsi="Consolas"/>
          <w:color w:val="0B1F3A"/>
          <w:sz w:val="15"/>
        </w:rPr>
        <w:t>╱   (money, ledger, state machine) ╲</w:t>
      </w:r>
    </w:p>
    <w:p>
      <w:r>
        <w:rPr>
          <w:rFonts w:ascii="Calibri" w:hAnsi="Calibri"/>
          <w:b w:val="0"/>
          <w:i w:val="0"/>
          <w:color w:val="101828"/>
          <w:sz w:val="21"/>
        </w:rPr>
        <w:t>The shape is inverted from the classic pyramid of most web products, deliberately. The unit layer is where the financial correctness lives, and it is the layer where exhaustive coverage is affordable.</w:t>
      </w:r>
    </w:p>
    <w:p>
      <w:pPr>
        <w:pStyle w:val="Heading2"/>
      </w:pPr>
      <w:r>
        <w:rPr>
          <w:rFonts w:ascii="Calibri" w:hAnsi="Calibri"/>
          <w:b/>
          <w:i w:val="0"/>
          <w:color w:val="146EF5"/>
          <w:sz w:val="29"/>
        </w:rPr>
        <w:t>18.3 Unit tests — the domain core</w:t>
      </w:r>
    </w:p>
    <w:p>
      <w:r>
        <w:rPr>
          <w:rFonts w:ascii="Calibri" w:hAnsi="Calibri"/>
          <w:b w:val="0"/>
          <w:i w:val="0"/>
          <w:color w:val="101828"/>
          <w:sz w:val="21"/>
        </w:rPr>
        <w:t>The domain is pure TypeScript with no I/O, which makes it trivially testable and puts the most important logic in the most thoroughly tested layer.</w:t>
      </w:r>
    </w:p>
    <w:p>
      <w:pPr>
        <w:pStyle w:val="Heading3"/>
      </w:pPr>
      <w:r>
        <w:rPr>
          <w:rFonts w:ascii="Calibri" w:hAnsi="Calibri"/>
          <w:b/>
          <w:i w:val="0"/>
          <w:color w:val="0B1F3A"/>
          <w:sz w:val="24"/>
        </w:rPr>
        <w:t>18.3.1 Money</w:t>
      </w:r>
    </w:p>
    <w:p>
      <w:pPr>
        <w:pStyle w:val="ListBullet"/>
        <w:spacing w:after="60"/>
        <w:ind w:left="360"/>
      </w:pPr>
      <w:r>
        <w:rPr>
          <w:rFonts w:ascii="Calibri" w:hAnsi="Calibri"/>
          <w:b w:val="0"/>
          <w:i w:val="0"/>
          <w:color w:val="101828"/>
          <w:sz w:val="21"/>
        </w:rPr>
        <w:t>Arithmetic is exact for values at the top of the realistic range, and the type prevents fractional kobo.</w:t>
      </w:r>
    </w:p>
    <w:p>
      <w:pPr>
        <w:pStyle w:val="ListBullet"/>
        <w:spacing w:after="60"/>
        <w:ind w:left="360"/>
      </w:pPr>
      <w:r>
        <w:rPr>
          <w:rFonts w:ascii="Calibri" w:hAnsi="Calibri"/>
          <w:b w:val="0"/>
          <w:i w:val="0"/>
          <w:color w:val="101828"/>
          <w:sz w:val="21"/>
        </w:rPr>
        <w:t>Currency conversion is refused. AJO.ng operates in NGN only, and a conversion bug is never acceptable.</w:t>
      </w:r>
    </w:p>
    <w:p>
      <w:pPr>
        <w:pStyle w:val="ListBullet"/>
        <w:spacing w:after="60"/>
        <w:ind w:left="360"/>
      </w:pPr>
      <w:r>
        <w:rPr>
          <w:rFonts w:ascii="Calibri" w:hAnsi="Calibri"/>
          <w:b w:val="0"/>
          <w:i w:val="0"/>
          <w:color w:val="101828"/>
          <w:sz w:val="21"/>
        </w:rPr>
        <w:t>Fee calculation is exact: 2% of 100,000 kobo is exactly 2,000 kobo; 2% of 33,333 kobo rounds by a documented rule, tested at the boundary.</w:t>
      </w:r>
    </w:p>
    <w:p>
      <w:pPr>
        <w:pStyle w:val="ListBullet"/>
        <w:spacing w:after="60"/>
        <w:ind w:left="360"/>
      </w:pPr>
      <w:r>
        <w:rPr>
          <w:rFonts w:ascii="Calibri" w:hAnsi="Calibri"/>
          <w:b w:val="0"/>
          <w:i w:val="0"/>
          <w:color w:val="101828"/>
          <w:sz w:val="21"/>
        </w:rPr>
        <w:t>Formatting is correct for every supported magnitude, including zero and the smallest possible amount.</w:t>
      </w:r>
    </w:p>
    <w:p>
      <w:pPr>
        <w:pStyle w:val="ListBullet"/>
        <w:spacing w:after="60"/>
        <w:ind w:left="360"/>
      </w:pPr>
      <w:r>
        <w:rPr>
          <w:rFonts w:ascii="Calibri" w:hAnsi="Calibri"/>
          <w:b w:val="0"/>
          <w:i w:val="0"/>
          <w:color w:val="101828"/>
          <w:sz w:val="21"/>
        </w:rPr>
        <w:t>The branded type prevents a raw number being passed where money is expected — verified by a type-level test.</w:t>
      </w:r>
    </w:p>
    <w:p>
      <w:pPr>
        <w:pStyle w:val="Heading3"/>
      </w:pPr>
      <w:r>
        <w:rPr>
          <w:rFonts w:ascii="Calibri" w:hAnsi="Calibri"/>
          <w:b/>
          <w:i w:val="0"/>
          <w:color w:val="0B1F3A"/>
          <w:sz w:val="24"/>
        </w:rPr>
        <w:t>18.3.2 Ledger</w:t>
      </w:r>
    </w:p>
    <w:p>
      <w:pPr>
        <w:pStyle w:val="ListBullet"/>
        <w:spacing w:after="60"/>
        <w:ind w:left="360"/>
      </w:pPr>
      <w:r>
        <w:rPr>
          <w:rFonts w:ascii="Calibri" w:hAnsi="Calibri"/>
          <w:b w:val="0"/>
          <w:i w:val="0"/>
          <w:color w:val="101828"/>
          <w:sz w:val="21"/>
        </w:rPr>
        <w:t>Every entry balances to zero. Tested with a property-based generator over random valid and invalid inputs.</w:t>
      </w:r>
    </w:p>
    <w:p>
      <w:pPr>
        <w:pStyle w:val="ListBullet"/>
        <w:spacing w:after="60"/>
        <w:ind w:left="360"/>
      </w:pPr>
      <w:r>
        <w:rPr>
          <w:rFonts w:ascii="Calibri" w:hAnsi="Calibri"/>
          <w:b w:val="0"/>
          <w:i w:val="0"/>
          <w:color w:val="101828"/>
          <w:sz w:val="21"/>
        </w:rPr>
        <w:t>A posting that does not balance is rejected, and the rejection is atomic — a half-written entry is impossible.</w:t>
      </w:r>
    </w:p>
    <w:p>
      <w:pPr>
        <w:pStyle w:val="ListBullet"/>
        <w:spacing w:after="60"/>
        <w:ind w:left="360"/>
      </w:pPr>
      <w:r>
        <w:rPr>
          <w:rFonts w:ascii="Calibri" w:hAnsi="Calibri"/>
          <w:b w:val="0"/>
          <w:i w:val="0"/>
          <w:color w:val="101828"/>
          <w:sz w:val="21"/>
        </w:rPr>
        <w:t>Entries are immutable: there is no API, typed or otherwise, that updates or deletes one.</w:t>
      </w:r>
    </w:p>
    <w:p>
      <w:pPr>
        <w:pStyle w:val="ListBullet"/>
        <w:spacing w:after="60"/>
        <w:ind w:left="360"/>
      </w:pPr>
      <w:r>
        <w:rPr>
          <w:rFonts w:ascii="Calibri" w:hAnsi="Calibri"/>
          <w:b w:val="0"/>
          <w:i w:val="0"/>
          <w:color w:val="101828"/>
          <w:sz w:val="21"/>
        </w:rPr>
        <w:t>The sum of all entries equals the sum of all account balances equals the escrow balance. This is the invariant the entire system rests on.</w:t>
      </w:r>
    </w:p>
    <w:p>
      <w:pPr>
        <w:pStyle w:val="ListBullet"/>
        <w:spacing w:after="60"/>
        <w:ind w:left="360"/>
      </w:pPr>
      <w:r>
        <w:rPr>
          <w:rFonts w:ascii="Calibri" w:hAnsi="Calibri"/>
          <w:b w:val="0"/>
          <w:i w:val="0"/>
          <w:color w:val="101828"/>
          <w:sz w:val="21"/>
        </w:rPr>
        <w:t>A reversal exactly cancels its original and preserves the original row.</w:t>
      </w:r>
    </w:p>
    <w:p>
      <w:pPr>
        <w:pStyle w:val="ListBullet"/>
        <w:spacing w:after="60"/>
        <w:ind w:left="360"/>
      </w:pPr>
      <w:r>
        <w:rPr>
          <w:rFonts w:ascii="Calibri" w:hAnsi="Calibri"/>
          <w:b w:val="0"/>
          <w:i w:val="0"/>
          <w:color w:val="101828"/>
          <w:sz w:val="21"/>
        </w:rPr>
        <w:t>A reversal of a reversal is handled, and the audit trail remains coherent.</w:t>
      </w:r>
    </w:p>
    <w:p>
      <w:pPr>
        <w:pStyle w:val="ListBullet"/>
        <w:spacing w:after="60"/>
        <w:ind w:left="360"/>
      </w:pPr>
      <w:r>
        <w:rPr>
          <w:rFonts w:ascii="Calibri" w:hAnsi="Calibri"/>
          <w:b w:val="0"/>
          <w:i w:val="0"/>
          <w:color w:val="101828"/>
          <w:sz w:val="21"/>
        </w:rPr>
        <w:t>Balances are computed from entries, not read from a mutable column — proven by a test that mutates a balance column and asserts that reconciliation fails.</w:t>
      </w:r>
    </w:p>
    <w:p>
      <w:pPr>
        <w:pStyle w:val="Heading3"/>
      </w:pPr>
      <w:r>
        <w:rPr>
          <w:rFonts w:ascii="Calibri" w:hAnsi="Calibri"/>
          <w:b/>
          <w:i w:val="0"/>
          <w:color w:val="0B1F3A"/>
          <w:sz w:val="24"/>
        </w:rPr>
        <w:t>18.3.3 State machines</w:t>
      </w:r>
    </w:p>
    <w:p>
      <w:pPr>
        <w:pStyle w:val="ListBullet"/>
        <w:spacing w:after="60"/>
        <w:ind w:left="360"/>
      </w:pPr>
      <w:r>
        <w:rPr>
          <w:rFonts w:ascii="Calibri" w:hAnsi="Calibri"/>
          <w:b w:val="0"/>
          <w:i w:val="0"/>
          <w:color w:val="101828"/>
          <w:sz w:val="21"/>
        </w:rPr>
        <w:t xml:space="preserve">Every legal transition succeeds; </w:t>
      </w:r>
      <w:r>
        <w:rPr>
          <w:rFonts w:ascii="Calibri" w:hAnsi="Calibri"/>
          <w:b/>
          <w:color w:val="101828"/>
          <w:sz w:val="21"/>
        </w:rPr>
        <w:t>every illegal transition is rejected</w:t>
      </w:r>
      <w:r>
        <w:rPr>
          <w:rFonts w:ascii="Calibri" w:hAnsi="Calibri"/>
          <w:b w:val="0"/>
          <w:i w:val="0"/>
          <w:color w:val="101828"/>
          <w:sz w:val="21"/>
        </w:rPr>
        <w:t>. Exhaustive enumeration, not a selection of examples.</w:t>
      </w:r>
    </w:p>
    <w:p>
      <w:pPr>
        <w:pStyle w:val="ListBullet"/>
        <w:spacing w:after="60"/>
        <w:ind w:left="360"/>
      </w:pPr>
      <w:r>
        <w:rPr>
          <w:rFonts w:ascii="Calibri" w:hAnsi="Calibri"/>
          <w:b w:val="0"/>
          <w:i w:val="0"/>
          <w:color w:val="101828"/>
          <w:sz w:val="21"/>
        </w:rPr>
        <w:t>The enrollment window is exactly 5 days, tested at 4d 23h 59m and at 5d 0m 1s.</w:t>
      </w:r>
    </w:p>
    <w:p>
      <w:pPr>
        <w:pStyle w:val="ListBullet"/>
        <w:spacing w:after="60"/>
        <w:ind w:left="360"/>
      </w:pPr>
      <w:r>
        <w:rPr>
          <w:rFonts w:ascii="Calibri" w:hAnsi="Calibri"/>
          <w:b w:val="0"/>
          <w:i w:val="0"/>
          <w:color w:val="101828"/>
          <w:sz w:val="21"/>
        </w:rPr>
        <w:t>Position lock is permanent: no sequence of events can unlock or remove a locked position.</w:t>
      </w:r>
    </w:p>
    <w:p>
      <w:pPr>
        <w:pStyle w:val="ListBullet"/>
        <w:spacing w:after="60"/>
        <w:ind w:left="360"/>
      </w:pPr>
      <w:r>
        <w:rPr>
          <w:rFonts w:ascii="Calibri" w:hAnsi="Calibri"/>
          <w:b w:val="0"/>
          <w:i w:val="0"/>
          <w:color w:val="101828"/>
          <w:sz w:val="21"/>
        </w:rPr>
        <w:t>No transition bypasses a payment prerequisite. This is the test that catches the most expensive class of bug in this product.</w:t>
      </w:r>
    </w:p>
    <w:p>
      <w:pPr>
        <w:pStyle w:val="ListBullet"/>
        <w:spacing w:after="60"/>
        <w:ind w:left="360"/>
      </w:pPr>
      <w:r>
        <w:rPr>
          <w:rFonts w:ascii="Calibri" w:hAnsi="Calibri"/>
          <w:b w:val="0"/>
          <w:i w:val="0"/>
          <w:color w:val="101828"/>
          <w:sz w:val="21"/>
        </w:rPr>
        <w:t xml:space="preserve">Terminal states are terminal. </w:t>
      </w:r>
      <w:r>
        <w:rPr>
          <w:rFonts w:ascii="Consolas" w:hAnsi="Consolas"/>
          <w:color w:val="146EF5"/>
          <w:sz w:val="21"/>
        </w:rPr>
        <w:t>COMPLETED</w:t>
      </w:r>
      <w:r>
        <w:rPr>
          <w:rFonts w:ascii="Calibri" w:hAnsi="Calibri"/>
          <w:b w:val="0"/>
          <w:i w:val="0"/>
          <w:color w:val="101828"/>
          <w:sz w:val="21"/>
        </w:rPr>
        <w:t xml:space="preserve"> and </w:t>
      </w:r>
      <w:r>
        <w:rPr>
          <w:rFonts w:ascii="Consolas" w:hAnsi="Consolas"/>
          <w:color w:val="146EF5"/>
          <w:sz w:val="21"/>
        </w:rPr>
        <w:t>CANCELLED</w:t>
      </w:r>
      <w:r>
        <w:rPr>
          <w:rFonts w:ascii="Calibri" w:hAnsi="Calibri"/>
          <w:b w:val="0"/>
          <w:i w:val="0"/>
          <w:color w:val="101828"/>
          <w:sz w:val="21"/>
        </w:rPr>
        <w:t xml:space="preserve"> have no outgoing transitions.</w:t>
      </w:r>
    </w:p>
    <w:p>
      <w:pPr>
        <w:pStyle w:val="ListBullet"/>
        <w:spacing w:after="60"/>
        <w:ind w:left="360"/>
      </w:pPr>
      <w:r>
        <w:rPr>
          <w:rFonts w:ascii="Calibri" w:hAnsi="Calibri"/>
          <w:b w:val="0"/>
          <w:i w:val="0"/>
          <w:color w:val="101828"/>
          <w:sz w:val="21"/>
        </w:rPr>
        <w:t>A property-based test asserts that no reachable state violates any declared invariant, across a randomly generated space of event sequences.</w:t>
      </w:r>
    </w:p>
    <w:p>
      <w:pPr>
        <w:pStyle w:val="Heading2"/>
      </w:pPr>
      <w:r>
        <w:rPr>
          <w:rFonts w:ascii="Calibri" w:hAnsi="Calibri"/>
          <w:b/>
          <w:i w:val="0"/>
          <w:color w:val="146EF5"/>
          <w:sz w:val="29"/>
        </w:rPr>
        <w:t>18.4 Property-based and fuzz testing</w:t>
      </w:r>
    </w:p>
    <w:p>
      <w:r>
        <w:rPr>
          <w:rFonts w:ascii="Calibri" w:hAnsi="Calibri"/>
          <w:b w:val="0"/>
          <w:i w:val="0"/>
          <w:color w:val="101828"/>
          <w:sz w:val="21"/>
        </w:rPr>
        <w:t>Example-based tests check what the author imagined. Property-based tests check what the author did not, and for a financial domain they find real bugs.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Property</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6"/>
              </w:rPr>
              <w:t>Assertion</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6"/>
              </w:rPr>
              <w:t>Why it matters</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Ledger conservation</w:t>
            </w:r>
          </w:p>
        </w:tc>
        <w:tc>
          <w:tcPr>
            <w:tcW w:type="dxa" w:w="3456"/>
            <w:tcMar>
              <w:top w:w="60" w:type="dxa"/>
              <w:start w:w="110" w:type="dxa"/>
              <w:bottom w:w="60" w:type="dxa"/>
              <w:end w:w="110" w:type="dxa"/>
            </w:tcMar>
          </w:tcPr>
          <w:p>
            <w:pPr>
              <w:spacing w:after="0"/>
            </w:pPr>
            <w:r/>
            <w:r>
              <w:rPr>
                <w:rFonts w:ascii="Calibri" w:hAnsi="Calibri"/>
                <w:b w:val="0"/>
                <w:i w:val="0"/>
                <w:color w:val="101828"/>
                <w:sz w:val="16"/>
              </w:rPr>
              <w:t>Σ debits = Σ credits for every entry, always</w:t>
            </w:r>
          </w:p>
        </w:tc>
        <w:tc>
          <w:tcPr>
            <w:tcW w:type="dxa" w:w="3456"/>
            <w:tcMar>
              <w:top w:w="60" w:type="dxa"/>
              <w:start w:w="110" w:type="dxa"/>
              <w:bottom w:w="60" w:type="dxa"/>
              <w:end w:w="110" w:type="dxa"/>
            </w:tcMar>
          </w:tcPr>
          <w:p>
            <w:pPr>
              <w:spacing w:after="0"/>
            </w:pPr>
            <w:r/>
            <w:r>
              <w:rPr>
                <w:rFonts w:ascii="Calibri" w:hAnsi="Calibri"/>
                <w:b w:val="0"/>
                <w:i w:val="0"/>
                <w:color w:val="101828"/>
                <w:sz w:val="16"/>
              </w:rPr>
              <w:t>A breach means money is invented or destroyed</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Non-negativity</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No member's escrow position is ever negative</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A negative balance is a debt the member did not agree to</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Monotonicity of contribution</w:t>
            </w:r>
          </w:p>
        </w:tc>
        <w:tc>
          <w:tcPr>
            <w:tcW w:type="dxa" w:w="3456"/>
            <w:tcMar>
              <w:top w:w="60" w:type="dxa"/>
              <w:start w:w="110" w:type="dxa"/>
              <w:bottom w:w="60" w:type="dxa"/>
              <w:end w:w="110" w:type="dxa"/>
            </w:tcMar>
          </w:tcPr>
          <w:p>
            <w:pPr>
              <w:spacing w:after="0"/>
            </w:pPr>
            <w:r/>
            <w:r>
              <w:rPr>
                <w:rFonts w:ascii="Calibri" w:hAnsi="Calibri"/>
                <w:b w:val="0"/>
                <w:i w:val="0"/>
                <w:color w:val="101828"/>
                <w:sz w:val="16"/>
              </w:rPr>
              <w:t>A contributed position never becomes less contributed</w:t>
            </w:r>
          </w:p>
        </w:tc>
        <w:tc>
          <w:tcPr>
            <w:tcW w:type="dxa" w:w="3456"/>
            <w:tcMar>
              <w:top w:w="60" w:type="dxa"/>
              <w:start w:w="110" w:type="dxa"/>
              <w:bottom w:w="60" w:type="dxa"/>
              <w:end w:w="110" w:type="dxa"/>
            </w:tcMar>
          </w:tcPr>
          <w:p>
            <w:pPr>
              <w:spacing w:after="0"/>
            </w:pPr>
            <w:r/>
            <w:r>
              <w:rPr>
                <w:rFonts w:ascii="Calibri" w:hAnsi="Calibri"/>
                <w:b w:val="0"/>
                <w:i w:val="0"/>
                <w:color w:val="101828"/>
                <w:sz w:val="16"/>
              </w:rPr>
              <w:t>Progress must never appear to go backwards</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Terminal irreversibility</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A terminal state has no outgoing transition</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A completed Ajo must not re-open</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Idempotency</w:t>
            </w:r>
          </w:p>
        </w:tc>
        <w:tc>
          <w:tcPr>
            <w:tcW w:type="dxa" w:w="3456"/>
            <w:tcMar>
              <w:top w:w="60" w:type="dxa"/>
              <w:start w:w="110" w:type="dxa"/>
              <w:bottom w:w="60" w:type="dxa"/>
              <w:end w:w="110" w:type="dxa"/>
            </w:tcMar>
          </w:tcPr>
          <w:p>
            <w:pPr>
              <w:spacing w:after="0"/>
            </w:pPr>
            <w:r/>
            <w:r>
              <w:rPr>
                <w:rFonts w:ascii="Calibri" w:hAnsi="Calibri"/>
                <w:b w:val="0"/>
                <w:i w:val="0"/>
                <w:color w:val="101828"/>
                <w:sz w:val="16"/>
              </w:rPr>
              <w:t>Applying the same operation twice equals applying it once</w:t>
            </w:r>
          </w:p>
        </w:tc>
        <w:tc>
          <w:tcPr>
            <w:tcW w:type="dxa" w:w="3456"/>
            <w:tcMar>
              <w:top w:w="60" w:type="dxa"/>
              <w:start w:w="110" w:type="dxa"/>
              <w:bottom w:w="60" w:type="dxa"/>
              <w:end w:w="110" w:type="dxa"/>
            </w:tcMar>
          </w:tcPr>
          <w:p>
            <w:pPr>
              <w:spacing w:after="0"/>
            </w:pPr>
            <w:r/>
            <w:r>
              <w:rPr>
                <w:rFonts w:ascii="Calibri" w:hAnsi="Calibri"/>
                <w:b w:val="0"/>
                <w:i w:val="0"/>
                <w:color w:val="101828"/>
                <w:sz w:val="16"/>
              </w:rPr>
              <w:t>The single most important property in the system</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Ordering independence</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Replaying events in a different order converges to the same state</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Webhook reordering must not corrupt anything</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Monotonic clock safety</w:t>
            </w:r>
          </w:p>
        </w:tc>
        <w:tc>
          <w:tcPr>
            <w:tcW w:type="dxa" w:w="3456"/>
            <w:tcMar>
              <w:top w:w="60" w:type="dxa"/>
              <w:start w:w="110" w:type="dxa"/>
              <w:bottom w:w="60" w:type="dxa"/>
              <w:end w:w="110" w:type="dxa"/>
            </w:tcMar>
          </w:tcPr>
          <w:p>
            <w:pPr>
              <w:spacing w:after="0"/>
            </w:pPr>
            <w:r/>
            <w:r>
              <w:rPr>
                <w:rFonts w:ascii="Calibri" w:hAnsi="Calibri"/>
                <w:b w:val="0"/>
                <w:i w:val="0"/>
                <w:color w:val="101828"/>
                <w:sz w:val="16"/>
              </w:rPr>
              <w:t>Behaviour does not depend on wall-clock order beyond declared time windows</w:t>
            </w:r>
          </w:p>
        </w:tc>
        <w:tc>
          <w:tcPr>
            <w:tcW w:type="dxa" w:w="3456"/>
            <w:tcMar>
              <w:top w:w="60" w:type="dxa"/>
              <w:start w:w="110" w:type="dxa"/>
              <w:bottom w:w="60" w:type="dxa"/>
              <w:end w:w="110" w:type="dxa"/>
            </w:tcMar>
          </w:tcPr>
          <w:p>
            <w:pPr>
              <w:spacing w:after="0"/>
            </w:pPr>
            <w:r/>
            <w:r>
              <w:rPr>
                <w:rFonts w:ascii="Calibri" w:hAnsi="Calibri"/>
                <w:b w:val="0"/>
                <w:i w:val="0"/>
                <w:color w:val="101828"/>
                <w:sz w:val="16"/>
              </w:rPr>
              <w:t>Timezone and clock-skew bugs are subtle</w:t>
            </w:r>
          </w:p>
        </w:tc>
      </w:tr>
    </w:tbl>
    <w:p>
      <w:pPr>
        <w:spacing w:after="80"/>
      </w:pPr>
    </w:p>
    <w:p>
      <w:pPr>
        <w:pStyle w:val="Heading2"/>
      </w:pPr>
      <w:r>
        <w:rPr>
          <w:rFonts w:ascii="Calibri" w:hAnsi="Calibri"/>
          <w:b/>
          <w:i w:val="0"/>
          <w:color w:val="146EF5"/>
          <w:sz w:val="29"/>
        </w:rPr>
        <w:t>18.5 Integration tests</w:t>
      </w:r>
    </w:p>
    <w:p>
      <w:pPr>
        <w:pStyle w:val="ListBullet"/>
        <w:spacing w:after="60"/>
        <w:ind w:left="360"/>
      </w:pPr>
      <w:r>
        <w:rPr>
          <w:rFonts w:ascii="Calibri" w:hAnsi="Calibri"/>
          <w:b/>
          <w:color w:val="101828"/>
          <w:sz w:val="21"/>
        </w:rPr>
        <w:t>Repository tests against a real PostgreSQL instance</w:t>
      </w:r>
      <w:r>
        <w:rPr>
          <w:rFonts w:ascii="Calibri" w:hAnsi="Calibri"/>
          <w:b w:val="0"/>
          <w:i w:val="0"/>
          <w:color w:val="101828"/>
          <w:sz w:val="21"/>
        </w:rPr>
        <w:t xml:space="preserve"> — a containerised database, not SQLite and not a mock. RLS policies, constraints, and triggers do not exist in a mock, and testing them against a mock tests nothing.</w:t>
      </w:r>
    </w:p>
    <w:p>
      <w:pPr>
        <w:pStyle w:val="ListBullet"/>
        <w:spacing w:after="60"/>
        <w:ind w:left="360"/>
      </w:pPr>
      <w:r>
        <w:rPr>
          <w:rFonts w:ascii="Calibri" w:hAnsi="Calibri"/>
          <w:b/>
          <w:color w:val="101828"/>
          <w:sz w:val="21"/>
        </w:rPr>
        <w:t>Transaction semantics</w:t>
      </w:r>
      <w:r>
        <w:rPr>
          <w:rFonts w:ascii="Calibri" w:hAnsi="Calibri"/>
          <w:b w:val="0"/>
          <w:i w:val="0"/>
          <w:color w:val="101828"/>
          <w:sz w:val="21"/>
        </w:rPr>
        <w:t xml:space="preserve"> — a failure mid-transaction leaves nothing behind. Tested explicitly.</w:t>
      </w:r>
    </w:p>
    <w:p>
      <w:pPr>
        <w:pStyle w:val="ListBullet"/>
        <w:spacing w:after="60"/>
        <w:ind w:left="360"/>
      </w:pPr>
      <w:r>
        <w:rPr>
          <w:rFonts w:ascii="Calibri" w:hAnsi="Calibri"/>
          <w:b/>
          <w:color w:val="101828"/>
          <w:sz w:val="21"/>
        </w:rPr>
        <w:t>Constraint enforcement</w:t>
      </w:r>
      <w:r>
        <w:rPr>
          <w:rFonts w:ascii="Calibri" w:hAnsi="Calibri"/>
          <w:b w:val="0"/>
          <w:i w:val="0"/>
          <w:color w:val="101828"/>
          <w:sz w:val="21"/>
        </w:rPr>
        <w:t xml:space="preserve"> — a negative amount, a duplicate reference, or an over-credit is rejected by the database, not merely by the application.</w:t>
      </w:r>
    </w:p>
    <w:p>
      <w:pPr>
        <w:pStyle w:val="ListBullet"/>
        <w:spacing w:after="60"/>
        <w:ind w:left="360"/>
      </w:pPr>
      <w:r>
        <w:rPr>
          <w:rFonts w:ascii="Calibri" w:hAnsi="Calibri"/>
          <w:b/>
          <w:color w:val="101828"/>
          <w:sz w:val="21"/>
        </w:rPr>
        <w:t>RLS policy tests</w:t>
      </w:r>
      <w:r>
        <w:rPr>
          <w:rFonts w:ascii="Calibri" w:hAnsi="Calibri"/>
          <w:b w:val="0"/>
          <w:i w:val="0"/>
          <w:color w:val="101828"/>
          <w:sz w:val="21"/>
        </w:rPr>
        <w:t xml:space="preserve"> — run as each role, asserting both that permitted rows are visible and that forbidden rows are invisible. A test that only checks the permitted case is a test that proves nothing.</w:t>
      </w:r>
    </w:p>
    <w:p>
      <w:pPr>
        <w:pStyle w:val="ListBullet"/>
        <w:spacing w:after="60"/>
        <w:ind w:left="360"/>
      </w:pPr>
      <w:r>
        <w:rPr>
          <w:rFonts w:ascii="Calibri" w:hAnsi="Calibri"/>
          <w:b/>
          <w:color w:val="101828"/>
          <w:sz w:val="21"/>
        </w:rPr>
        <w:t>Queue and worker integration</w:t>
      </w:r>
      <w:r>
        <w:rPr>
          <w:rFonts w:ascii="Calibri" w:hAnsi="Calibri"/>
          <w:b w:val="0"/>
          <w:i w:val="0"/>
          <w:color w:val="101828"/>
          <w:sz w:val="21"/>
        </w:rPr>
        <w:t xml:space="preserve"> — a job is enqueued, executed, and marked complete; a failing job retries and eventually dead-letters.</w:t>
      </w:r>
    </w:p>
    <w:p>
      <w:pPr>
        <w:pStyle w:val="ListBullet"/>
        <w:spacing w:after="60"/>
        <w:ind w:left="360"/>
      </w:pPr>
      <w:r>
        <w:rPr>
          <w:rFonts w:ascii="Calibri" w:hAnsi="Calibri"/>
          <w:b/>
          <w:color w:val="101828"/>
          <w:sz w:val="21"/>
        </w:rPr>
        <w:t>Idempotency at the API boundary</w:t>
      </w:r>
      <w:r>
        <w:rPr>
          <w:rFonts w:ascii="Calibri" w:hAnsi="Calibri"/>
          <w:b w:val="0"/>
          <w:i w:val="0"/>
          <w:color w:val="101828"/>
          <w:sz w:val="21"/>
        </w:rPr>
        <w:t xml:space="preserve"> — the same idempotency key sent twice, concurrently, produces one result.</w:t>
      </w:r>
    </w:p>
    <w:p>
      <w:pPr>
        <w:pStyle w:val="Heading2"/>
      </w:pPr>
      <w:r>
        <w:rPr>
          <w:rFonts w:ascii="Calibri" w:hAnsi="Calibri"/>
          <w:b/>
          <w:i w:val="0"/>
          <w:color w:val="146EF5"/>
          <w:sz w:val="29"/>
        </w:rPr>
        <w:t>18.6 Provider contract tests</w:t>
      </w:r>
    </w:p>
    <w:p>
      <w:r>
        <w:rPr>
          <w:rFonts w:ascii="Calibri" w:hAnsi="Calibri"/>
          <w:b w:val="0"/>
          <w:i w:val="0"/>
          <w:color w:val="101828"/>
          <w:sz w:val="21"/>
        </w:rPr>
        <w:t xml:space="preserve">Every </w:t>
      </w:r>
      <w:r>
        <w:rPr>
          <w:rFonts w:ascii="Consolas" w:hAnsi="Consolas"/>
          <w:color w:val="146EF5"/>
          <w:sz w:val="21"/>
        </w:rPr>
        <w:t>FinancialProvider</w:t>
      </w:r>
      <w:r>
        <w:rPr>
          <w:rFonts w:ascii="Calibri" w:hAnsi="Calibri"/>
          <w:b w:val="0"/>
          <w:i w:val="0"/>
          <w:color w:val="101828"/>
          <w:sz w:val="21"/>
        </w:rPr>
        <w:t xml:space="preserve"> adapter is validated against one shared contract test suite. This is what makes the abstraction real rather than aspirational, and it is the mechanism by which a provider can be replaced without discovering unexpected behavioural differences in production.</w:t>
      </w:r>
    </w:p>
    <w:p>
      <w:pPr>
        <w:pStyle w:val="ListBullet"/>
        <w:spacing w:after="60"/>
        <w:ind w:left="360"/>
      </w:pPr>
      <w:r>
        <w:rPr>
          <w:rFonts w:ascii="Calibri" w:hAnsi="Calibri"/>
          <w:b w:val="0"/>
          <w:i w:val="0"/>
          <w:color w:val="101828"/>
          <w:sz w:val="21"/>
        </w:rPr>
        <w:t>The same suite runs against the mock and against a sandbox provider, so a new adapter is validated by running one command.</w:t>
      </w:r>
    </w:p>
    <w:p>
      <w:pPr>
        <w:pStyle w:val="ListBullet"/>
        <w:spacing w:after="60"/>
        <w:ind w:left="360"/>
      </w:pPr>
      <w:r>
        <w:rPr>
          <w:rFonts w:ascii="Calibri" w:hAnsi="Calibri"/>
          <w:b w:val="0"/>
          <w:i w:val="0"/>
          <w:color w:val="101828"/>
          <w:sz w:val="21"/>
        </w:rPr>
        <w:t>Contract tests cover: payment initiation, webhook signature verification (including a valid signature over a tampered body), status queries, transfers, reversals, account resolution, and error taxonomy mapping.</w:t>
      </w:r>
    </w:p>
    <w:p>
      <w:pPr>
        <w:pStyle w:val="ListBullet"/>
        <w:spacing w:after="60"/>
        <w:ind w:left="360"/>
      </w:pPr>
      <w:r>
        <w:rPr>
          <w:rFonts w:ascii="Calibri" w:hAnsi="Calibri"/>
          <w:b w:val="0"/>
          <w:i w:val="0"/>
          <w:color w:val="101828"/>
          <w:sz w:val="21"/>
        </w:rPr>
        <w:t>Provider-specific error codes must be mapped to a platform error taxonomy. An unmapped error is a contract failure, not a runtime surprise.</w:t>
      </w:r>
    </w:p>
    <w:p>
      <w:pPr>
        <w:pStyle w:val="ListBullet"/>
        <w:spacing w:after="60"/>
        <w:ind w:left="360"/>
      </w:pPr>
      <w:r>
        <w:rPr>
          <w:rFonts w:ascii="Calibri" w:hAnsi="Calibri"/>
          <w:b w:val="0"/>
          <w:i w:val="0"/>
          <w:color w:val="101828"/>
          <w:sz w:val="21"/>
        </w:rPr>
        <w:t>Timeouts, 5xx responses, and malformed payloads are all part of the contract.</w:t>
      </w:r>
    </w:p>
    <w:p>
      <w:pPr>
        <w:pStyle w:val="Heading2"/>
      </w:pPr>
      <w:r>
        <w:rPr>
          <w:rFonts w:ascii="Calibri" w:hAnsi="Calibri"/>
          <w:b/>
          <w:i w:val="0"/>
          <w:color w:val="146EF5"/>
          <w:sz w:val="29"/>
        </w:rPr>
        <w:t>18.7 End-to-end tests</w:t>
      </w:r>
    </w:p>
    <w:p>
      <w:r>
        <w:rPr>
          <w:rFonts w:ascii="Calibri" w:hAnsi="Calibri"/>
          <w:b w:val="0"/>
          <w:i w:val="0"/>
          <w:color w:val="101828"/>
          <w:sz w:val="21"/>
        </w:rPr>
        <w:t>E2E coverage is deliberately narrow. These are the journeys whose failure would end the business, and each is run against the mock provider so the suite is fast, deterministic, and free.</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6"/>
              </w:rPr>
              <w:t>Journey</w:t>
            </w:r>
          </w:p>
        </w:tc>
        <w:tc>
          <w:tcPr>
            <w:tcW w:type="dxa" w:w="6192"/>
            <w:shd w:val="clear" w:color="auto" w:fill="0B1F3A"/>
            <w:tcMar>
              <w:top w:w="60" w:type="dxa"/>
              <w:start w:w="110" w:type="dxa"/>
              <w:bottom w:w="60" w:type="dxa"/>
              <w:end w:w="110" w:type="dxa"/>
            </w:tcMar>
          </w:tcPr>
          <w:p>
            <w:pPr>
              <w:spacing w:after="0"/>
            </w:pPr>
            <w:r/>
            <w:r>
              <w:rPr>
                <w:rFonts w:ascii="Calibri" w:hAnsi="Calibri"/>
                <w:b/>
                <w:i w:val="0"/>
                <w:color w:val="FFFFFF"/>
                <w:sz w:val="16"/>
              </w:rPr>
              <w:t>Assertions</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Register and verify</w:t>
            </w:r>
          </w:p>
        </w:tc>
        <w:tc>
          <w:tcPr>
            <w:tcW w:type="dxa" w:w="6192"/>
            <w:tcMar>
              <w:top w:w="60" w:type="dxa"/>
              <w:start w:w="110" w:type="dxa"/>
              <w:bottom w:w="60" w:type="dxa"/>
              <w:end w:w="110" w:type="dxa"/>
            </w:tcMar>
          </w:tcPr>
          <w:p>
            <w:pPr>
              <w:spacing w:after="0"/>
            </w:pPr>
            <w:r/>
            <w:r>
              <w:rPr>
                <w:rFonts w:ascii="Calibri" w:hAnsi="Calibri"/>
                <w:b w:val="0"/>
                <w:i w:val="0"/>
                <w:color w:val="101828"/>
                <w:sz w:val="16"/>
              </w:rPr>
              <w:t>Account is created, verification token works once, terms are recorded with a version and timestamp</w:t>
            </w:r>
          </w:p>
        </w:tc>
      </w:tr>
      <w:tr>
        <w:trPr>
          <w:cantSplit/>
        </w:trPr>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Create an Ajo</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6"/>
              </w:rPr>
              <w:t>All parameters validated, 5-day enrollment opens, organizer rules apply, Ajo appears as DRAFT</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Join with an invite</w:t>
            </w:r>
          </w:p>
        </w:tc>
        <w:tc>
          <w:tcPr>
            <w:tcW w:type="dxa" w:w="6192"/>
            <w:tcMar>
              <w:top w:w="60" w:type="dxa"/>
              <w:start w:w="110" w:type="dxa"/>
              <w:bottom w:w="60" w:type="dxa"/>
              <w:end w:w="110" w:type="dxa"/>
            </w:tcMar>
          </w:tcPr>
          <w:p>
            <w:pPr>
              <w:spacing w:after="0"/>
            </w:pPr>
            <w:r/>
            <w:r>
              <w:rPr>
                <w:rFonts w:ascii="Calibri" w:hAnsi="Calibri"/>
                <w:b w:val="0"/>
                <w:i w:val="0"/>
                <w:color w:val="101828"/>
                <w:sz w:val="16"/>
              </w:rPr>
              <w:t>Invite validates, position is assigned, enrollment counted, the invite is single-use</w:t>
            </w:r>
          </w:p>
        </w:tc>
      </w:tr>
      <w:tr>
        <w:trPr>
          <w:cantSplit/>
        </w:trPr>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Contribute</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6"/>
              </w:rPr>
              <w:t>Fee is calculated exactly, total charged matches, webhook confirms, position becomes funded, member notified</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Complete a cycle and pay out</w:t>
            </w:r>
          </w:p>
        </w:tc>
        <w:tc>
          <w:tcPr>
            <w:tcW w:type="dxa" w:w="6192"/>
            <w:tcMar>
              <w:top w:w="60" w:type="dxa"/>
              <w:start w:w="110" w:type="dxa"/>
              <w:bottom w:w="60" w:type="dxa"/>
              <w:end w:w="110" w:type="dxa"/>
            </w:tcMar>
          </w:tcPr>
          <w:p>
            <w:pPr>
              <w:spacing w:after="0"/>
            </w:pPr>
            <w:r/>
            <w:r>
              <w:rPr>
                <w:rFonts w:ascii="Calibri" w:hAnsi="Calibri"/>
                <w:b w:val="0"/>
                <w:i w:val="0"/>
                <w:color w:val="101828"/>
                <w:sz w:val="16"/>
              </w:rPr>
              <w:t>All contributions collected, round advances, payout released on time, all members paid, Ajo COMPLETED</w:t>
            </w:r>
          </w:p>
        </w:tc>
      </w:tr>
      <w:tr>
        <w:trPr>
          <w:cantSplit/>
        </w:trPr>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Handle a default</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6"/>
              </w:rPr>
              <w:t>Reminder escalation fires, 48-hour grace applies, member is recorded as defaulted, recovery offer is made</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Dispute a transaction</w:t>
            </w:r>
          </w:p>
        </w:tc>
        <w:tc>
          <w:tcPr>
            <w:tcW w:type="dxa" w:w="6192"/>
            <w:tcMar>
              <w:top w:w="60" w:type="dxa"/>
              <w:start w:w="110" w:type="dxa"/>
              <w:bottom w:w="60" w:type="dxa"/>
              <w:end w:w="110" w:type="dxa"/>
            </w:tcMar>
          </w:tcPr>
          <w:p>
            <w:pPr>
              <w:spacing w:after="0"/>
            </w:pPr>
            <w:r/>
            <w:r>
              <w:rPr>
                <w:rFonts w:ascii="Calibri" w:hAnsi="Calibri"/>
                <w:b w:val="0"/>
                <w:i w:val="0"/>
                <w:color w:val="101828"/>
                <w:sz w:val="16"/>
              </w:rPr>
              <w:t>Dispute is raised, evidence is attached, timeline is complete, resolution is notified</w:t>
            </w:r>
          </w:p>
        </w:tc>
      </w:tr>
      <w:tr>
        <w:trPr>
          <w:cantSplit/>
        </w:trPr>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Change a bank account</w:t>
            </w:r>
          </w:p>
        </w:tc>
        <w:tc>
          <w:tcPr>
            <w:tcW w:type="dxa" w:w="6192"/>
            <w:tcMar>
              <w:top w:w="60" w:type="dxa"/>
              <w:start w:w="110" w:type="dxa"/>
              <w:bottom w:w="60" w:type="dxa"/>
              <w:end w:w="110" w:type="dxa"/>
            </w:tcMar>
            <w:shd w:val="clear" w:color="auto" w:fill="F4F7FB"/>
          </w:tcPr>
          <w:p>
            <w:pPr>
              <w:spacing w:after="0"/>
            </w:pPr>
            <w:r/>
            <w:r>
              <w:rPr>
                <w:rFonts w:ascii="Calibri" w:hAnsi="Calibri"/>
                <w:b w:val="0"/>
                <w:i w:val="0"/>
                <w:color w:val="101828"/>
                <w:sz w:val="16"/>
              </w:rPr>
              <w:t>Cooling-off is applied, all channels are notified, the payout is blocked during the window</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Concurrent double-tap</w:t>
            </w:r>
          </w:p>
        </w:tc>
        <w:tc>
          <w:tcPr>
            <w:tcW w:type="dxa" w:w="6192"/>
            <w:tcMar>
              <w:top w:w="60" w:type="dxa"/>
              <w:start w:w="110" w:type="dxa"/>
              <w:bottom w:w="60" w:type="dxa"/>
              <w:end w:w="110" w:type="dxa"/>
            </w:tcMar>
          </w:tcPr>
          <w:p>
            <w:pPr>
              <w:spacing w:after="0"/>
            </w:pPr>
            <w:r/>
            <w:r>
              <w:rPr>
                <w:rFonts w:ascii="Calibri" w:hAnsi="Calibri"/>
                <w:b w:val="0"/>
                <w:i w:val="0"/>
                <w:color w:val="101828"/>
                <w:sz w:val="16"/>
              </w:rPr>
              <w:t>Two simultaneous payment requests with the same idempotency key produce exactly one capture</w:t>
            </w:r>
          </w:p>
        </w:tc>
      </w:tr>
    </w:tbl>
    <w:p>
      <w:pPr>
        <w:spacing w:after="80"/>
      </w:pPr>
    </w:p>
    <w:p>
      <w:pPr>
        <w:pStyle w:val="Heading2"/>
      </w:pPr>
      <w:r>
        <w:rPr>
          <w:rFonts w:ascii="Calibri" w:hAnsi="Calibri"/>
          <w:b/>
          <w:i w:val="0"/>
          <w:color w:val="146EF5"/>
          <w:sz w:val="29"/>
        </w:rPr>
        <w:t>18.8 Security testing</w:t>
      </w:r>
    </w:p>
    <w:p>
      <w:pPr>
        <w:pStyle w:val="ListBullet"/>
        <w:spacing w:after="60"/>
        <w:ind w:left="360"/>
      </w:pPr>
      <w:r>
        <w:rPr>
          <w:rFonts w:ascii="Calibri" w:hAnsi="Calibri"/>
          <w:b/>
          <w:color w:val="101828"/>
          <w:sz w:val="21"/>
        </w:rPr>
        <w:t>Automated dependency scanning</w:t>
      </w:r>
      <w:r>
        <w:rPr>
          <w:rFonts w:ascii="Calibri" w:hAnsi="Calibri"/>
          <w:b w:val="0"/>
          <w:i w:val="0"/>
          <w:color w:val="101828"/>
          <w:sz w:val="21"/>
        </w:rPr>
        <w:t xml:space="preserve"> in CI, with a defined remediation SLA by severity.</w:t>
      </w:r>
    </w:p>
    <w:p>
      <w:pPr>
        <w:pStyle w:val="ListBullet"/>
        <w:spacing w:after="60"/>
        <w:ind w:left="360"/>
      </w:pPr>
      <w:r>
        <w:rPr>
          <w:rFonts w:ascii="Calibri" w:hAnsi="Calibri"/>
          <w:b/>
          <w:color w:val="101828"/>
          <w:sz w:val="21"/>
        </w:rPr>
        <w:t>Static analysis and secret scanning</w:t>
      </w:r>
      <w:r>
        <w:rPr>
          <w:rFonts w:ascii="Calibri" w:hAnsi="Calibri"/>
          <w:b w:val="0"/>
          <w:i w:val="0"/>
          <w:color w:val="101828"/>
          <w:sz w:val="21"/>
        </w:rPr>
        <w:t xml:space="preserve"> on every commit, blocking the merge.</w:t>
      </w:r>
    </w:p>
    <w:p>
      <w:pPr>
        <w:pStyle w:val="ListBullet"/>
        <w:spacing w:after="60"/>
        <w:ind w:left="360"/>
      </w:pPr>
      <w:r>
        <w:rPr>
          <w:rFonts w:ascii="Calibri" w:hAnsi="Calibri"/>
          <w:b/>
          <w:color w:val="101828"/>
          <w:sz w:val="21"/>
        </w:rPr>
        <w:t>Authorisation tests as part of the suite</w:t>
      </w:r>
      <w:r>
        <w:rPr>
          <w:rFonts w:ascii="Calibri" w:hAnsi="Calibri"/>
          <w:b w:val="0"/>
          <w:i w:val="0"/>
          <w:color w:val="101828"/>
          <w:sz w:val="21"/>
        </w:rPr>
        <w:t xml:space="preserve"> — an automated matrix that attempts each action as each role and asserts the expected allow or deny. This is the test class most often skipped and most valuable.</w:t>
      </w:r>
    </w:p>
    <w:p>
      <w:pPr>
        <w:pStyle w:val="ListBullet"/>
        <w:spacing w:after="60"/>
        <w:ind w:left="360"/>
      </w:pPr>
      <w:r>
        <w:rPr>
          <w:rFonts w:ascii="Calibri" w:hAnsi="Calibri"/>
          <w:b/>
          <w:color w:val="101828"/>
          <w:sz w:val="21"/>
        </w:rPr>
        <w:t>IDOR tests</w:t>
      </w:r>
      <w:r>
        <w:rPr>
          <w:rFonts w:ascii="Calibri" w:hAnsi="Calibri"/>
          <w:b w:val="0"/>
          <w:i w:val="0"/>
          <w:color w:val="101828"/>
          <w:sz w:val="21"/>
        </w:rPr>
        <w:t xml:space="preserve"> — sequential and guessable identifiers are probed to confirm they cannot be used to reach another member's data.</w:t>
      </w:r>
    </w:p>
    <w:p>
      <w:pPr>
        <w:pStyle w:val="ListBullet"/>
        <w:spacing w:after="60"/>
        <w:ind w:left="360"/>
      </w:pPr>
      <w:r>
        <w:rPr>
          <w:rFonts w:ascii="Calibri" w:hAnsi="Calibri"/>
          <w:b/>
          <w:color w:val="101828"/>
          <w:sz w:val="21"/>
        </w:rPr>
        <w:t>Mass assignment tests</w:t>
      </w:r>
      <w:r>
        <w:rPr>
          <w:rFonts w:ascii="Calibri" w:hAnsi="Calibri"/>
          <w:b w:val="0"/>
          <w:i w:val="0"/>
          <w:color w:val="101828"/>
          <w:sz w:val="21"/>
        </w:rPr>
        <w:t xml:space="preserve"> — a request cannot set fields the client is not permitted to set, particularly role, balance, and status.</w:t>
      </w:r>
    </w:p>
    <w:p>
      <w:pPr>
        <w:pStyle w:val="ListBullet"/>
        <w:spacing w:after="60"/>
        <w:ind w:left="360"/>
      </w:pPr>
      <w:r>
        <w:rPr>
          <w:rFonts w:ascii="Calibri" w:hAnsi="Calibri"/>
          <w:b/>
          <w:color w:val="101828"/>
          <w:sz w:val="21"/>
        </w:rPr>
        <w:t>Injection tests</w:t>
      </w:r>
      <w:r>
        <w:rPr>
          <w:rFonts w:ascii="Calibri" w:hAnsi="Calibri"/>
          <w:b w:val="0"/>
          <w:i w:val="0"/>
          <w:color w:val="101828"/>
          <w:sz w:val="21"/>
        </w:rPr>
        <w:t xml:space="preserve"> — SQL injection, XSS, and command-injection probes against every input surface.</w:t>
      </w:r>
    </w:p>
    <w:p>
      <w:pPr>
        <w:pStyle w:val="ListBullet"/>
        <w:spacing w:after="60"/>
        <w:ind w:left="360"/>
      </w:pPr>
      <w:r>
        <w:rPr>
          <w:rFonts w:ascii="Calibri" w:hAnsi="Calibri"/>
          <w:b/>
          <w:color w:val="101828"/>
          <w:sz w:val="21"/>
        </w:rPr>
        <w:t>Independent penetration test</w:t>
      </w:r>
      <w:r>
        <w:rPr>
          <w:rFonts w:ascii="Calibri" w:hAnsi="Calibri"/>
          <w:b w:val="0"/>
          <w:i w:val="0"/>
          <w:color w:val="101828"/>
          <w:sz w:val="21"/>
        </w:rPr>
        <w:t xml:space="preserve"> before launch and at least annually, scoped to cover authentication, authorisation, payout initiation, and webhook handling.</w:t>
      </w:r>
    </w:p>
    <w:p>
      <w:pPr>
        <w:pStyle w:val="Heading2"/>
      </w:pPr>
      <w:r>
        <w:rPr>
          <w:rFonts w:ascii="Calibri" w:hAnsi="Calibri"/>
          <w:b/>
          <w:i w:val="0"/>
          <w:color w:val="146EF5"/>
          <w:sz w:val="29"/>
        </w:rPr>
        <w:t>18.9 Performance and load testing</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592"/>
            <w:shd w:val="clear" w:color="auto" w:fill="0B1F3A"/>
            <w:tcMar>
              <w:top w:w="60" w:type="dxa"/>
              <w:start w:w="110" w:type="dxa"/>
              <w:bottom w:w="60" w:type="dxa"/>
              <w:end w:w="110" w:type="dxa"/>
            </w:tcMar>
          </w:tcPr>
          <w:p>
            <w:pPr>
              <w:spacing w:after="0"/>
            </w:pPr>
            <w:r/>
            <w:r>
              <w:rPr>
                <w:rFonts w:ascii="Calibri" w:hAnsi="Calibri"/>
                <w:b/>
                <w:i w:val="0"/>
                <w:color w:val="FFFFFF"/>
                <w:sz w:val="16"/>
              </w:rPr>
              <w:t>Scenario</w:t>
            </w:r>
          </w:p>
        </w:tc>
        <w:tc>
          <w:tcPr>
            <w:tcW w:type="dxa" w:w="3312"/>
            <w:shd w:val="clear" w:color="auto" w:fill="0B1F3A"/>
            <w:tcMar>
              <w:top w:w="60" w:type="dxa"/>
              <w:start w:w="110" w:type="dxa"/>
              <w:bottom w:w="60" w:type="dxa"/>
              <w:end w:w="110" w:type="dxa"/>
            </w:tcMar>
          </w:tcPr>
          <w:p>
            <w:pPr>
              <w:spacing w:after="0"/>
            </w:pPr>
            <w:r/>
            <w:r>
              <w:rPr>
                <w:rFonts w:ascii="Calibri" w:hAnsi="Calibri"/>
                <w:b/>
                <w:i w:val="0"/>
                <w:color w:val="FFFFFF"/>
                <w:sz w:val="16"/>
              </w:rPr>
              <w:t>Profile</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6"/>
              </w:rPr>
              <w:t>Pass criteria</w:t>
            </w:r>
          </w:p>
        </w:tc>
      </w:tr>
      <w:tr>
        <w:trPr>
          <w:cantSplit/>
        </w:trPr>
        <w:tc>
          <w:tcPr>
            <w:tcW w:type="dxa" w:w="2592"/>
            <w:tcMar>
              <w:top w:w="60" w:type="dxa"/>
              <w:start w:w="110" w:type="dxa"/>
              <w:bottom w:w="60" w:type="dxa"/>
              <w:end w:w="110" w:type="dxa"/>
            </w:tcMar>
          </w:tcPr>
          <w:p>
            <w:pPr>
              <w:spacing w:after="0"/>
            </w:pPr>
            <w:r/>
            <w:r>
              <w:rPr>
                <w:rFonts w:ascii="Calibri" w:hAnsi="Calibri"/>
                <w:b w:val="0"/>
                <w:i w:val="0"/>
                <w:color w:val="101828"/>
                <w:sz w:val="16"/>
              </w:rPr>
              <w:t>Payout day</w:t>
            </w:r>
          </w:p>
        </w:tc>
        <w:tc>
          <w:tcPr>
            <w:tcW w:type="dxa" w:w="3312"/>
            <w:tcMar>
              <w:top w:w="60" w:type="dxa"/>
              <w:start w:w="110" w:type="dxa"/>
              <w:bottom w:w="60" w:type="dxa"/>
              <w:end w:w="110" w:type="dxa"/>
            </w:tcMar>
          </w:tcPr>
          <w:p>
            <w:pPr>
              <w:spacing w:after="0"/>
            </w:pPr>
            <w:r/>
            <w:r>
              <w:rPr>
                <w:rFonts w:ascii="Calibri" w:hAnsi="Calibri"/>
                <w:b w:val="0"/>
                <w:i w:val="0"/>
                <w:color w:val="101828"/>
                <w:sz w:val="16"/>
              </w:rPr>
              <w:t>A single Ajo of 500 members releases all payouts simultaneously</w:t>
            </w:r>
          </w:p>
        </w:tc>
        <w:tc>
          <w:tcPr>
            <w:tcW w:type="dxa" w:w="3456"/>
            <w:tcMar>
              <w:top w:w="60" w:type="dxa"/>
              <w:start w:w="110" w:type="dxa"/>
              <w:bottom w:w="60" w:type="dxa"/>
              <w:end w:w="110" w:type="dxa"/>
            </w:tcMar>
          </w:tcPr>
          <w:p>
            <w:pPr>
              <w:spacing w:after="0"/>
            </w:pPr>
            <w:r/>
            <w:r>
              <w:rPr>
                <w:rFonts w:ascii="Calibri" w:hAnsi="Calibri"/>
                <w:b w:val="0"/>
                <w:i w:val="0"/>
                <w:color w:val="101828"/>
                <w:sz w:val="16"/>
              </w:rPr>
              <w:t>p95 payout initiation &lt; 2s; zero duplicates; zero lost</w:t>
            </w:r>
          </w:p>
        </w:tc>
      </w:tr>
      <w:tr>
        <w:trPr>
          <w:cantSplit/>
        </w:trPr>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Month start</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5,000 contributions in 60 seconds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p95 API latency &lt; 400ms; no queue backlog beyond the burst window</w:t>
            </w:r>
          </w:p>
        </w:tc>
      </w:tr>
      <w:tr>
        <w:trPr>
          <w:cantSplit/>
        </w:trPr>
        <w:tc>
          <w:tcPr>
            <w:tcW w:type="dxa" w:w="2592"/>
            <w:tcMar>
              <w:top w:w="60" w:type="dxa"/>
              <w:start w:w="110" w:type="dxa"/>
              <w:bottom w:w="60" w:type="dxa"/>
              <w:end w:w="110" w:type="dxa"/>
            </w:tcMar>
          </w:tcPr>
          <w:p>
            <w:pPr>
              <w:spacing w:after="0"/>
            </w:pPr>
            <w:r/>
            <w:r>
              <w:rPr>
                <w:rFonts w:ascii="Calibri" w:hAnsi="Calibri"/>
                <w:b w:val="0"/>
                <w:i w:val="0"/>
                <w:color w:val="101828"/>
                <w:sz w:val="16"/>
              </w:rPr>
              <w:t>Seasonal peak</w:t>
            </w:r>
          </w:p>
        </w:tc>
        <w:tc>
          <w:tcPr>
            <w:tcW w:type="dxa" w:w="3312"/>
            <w:tcMar>
              <w:top w:w="60" w:type="dxa"/>
              <w:start w:w="110" w:type="dxa"/>
              <w:bottom w:w="60" w:type="dxa"/>
              <w:end w:w="110" w:type="dxa"/>
            </w:tcMar>
          </w:tcPr>
          <w:p>
            <w:pPr>
              <w:spacing w:after="0"/>
            </w:pPr>
            <w:r/>
            <w:r>
              <w:rPr>
                <w:rFonts w:ascii="Calibri" w:hAnsi="Calibri"/>
                <w:b w:val="0"/>
                <w:i w:val="0"/>
                <w:color w:val="101828"/>
                <w:sz w:val="16"/>
              </w:rPr>
              <w:t>10x normal volume</w:t>
            </w:r>
          </w:p>
        </w:tc>
        <w:tc>
          <w:tcPr>
            <w:tcW w:type="dxa" w:w="3456"/>
            <w:tcMar>
              <w:top w:w="60" w:type="dxa"/>
              <w:start w:w="110" w:type="dxa"/>
              <w:bottom w:w="60" w:type="dxa"/>
              <w:end w:w="110" w:type="dxa"/>
            </w:tcMar>
          </w:tcPr>
          <w:p>
            <w:pPr>
              <w:spacing w:after="0"/>
            </w:pPr>
            <w:r/>
            <w:r>
              <w:rPr>
                <w:rFonts w:ascii="Calibri" w:hAnsi="Calibri"/>
                <w:b w:val="0"/>
                <w:i w:val="0"/>
                <w:color w:val="101828"/>
                <w:sz w:val="16"/>
              </w:rPr>
              <w:t>Graceful degradation, not failure. SLOs may breach; correctness may not</w:t>
            </w:r>
          </w:p>
        </w:tc>
      </w:tr>
      <w:tr>
        <w:trPr>
          <w:cantSplit/>
        </w:trPr>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Provider slowness</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Provider p99 at 10s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No timeouts leaking into user-facing errors; jobs queue rather than fail</w:t>
            </w:r>
          </w:p>
        </w:tc>
      </w:tr>
      <w:tr>
        <w:trPr>
          <w:cantSplit/>
        </w:trPr>
        <w:tc>
          <w:tcPr>
            <w:tcW w:type="dxa" w:w="2592"/>
            <w:tcMar>
              <w:top w:w="60" w:type="dxa"/>
              <w:start w:w="110" w:type="dxa"/>
              <w:bottom w:w="60" w:type="dxa"/>
              <w:end w:w="110" w:type="dxa"/>
            </w:tcMar>
          </w:tcPr>
          <w:p>
            <w:pPr>
              <w:spacing w:after="0"/>
            </w:pPr>
            <w:r/>
            <w:r>
              <w:rPr>
                <w:rFonts w:ascii="Calibri" w:hAnsi="Calibri"/>
                <w:b w:val="0"/>
                <w:i w:val="0"/>
                <w:color w:val="101828"/>
                <w:sz w:val="16"/>
              </w:rPr>
              <w:t>Webhook flood</w:t>
            </w:r>
          </w:p>
        </w:tc>
        <w:tc>
          <w:tcPr>
            <w:tcW w:type="dxa" w:w="3312"/>
            <w:tcMar>
              <w:top w:w="60" w:type="dxa"/>
              <w:start w:w="110" w:type="dxa"/>
              <w:bottom w:w="60" w:type="dxa"/>
              <w:end w:w="110" w:type="dxa"/>
            </w:tcMar>
          </w:tcPr>
          <w:p>
            <w:pPr>
              <w:spacing w:after="0"/>
            </w:pPr>
            <w:r/>
            <w:r>
              <w:rPr>
                <w:rFonts w:ascii="Calibri" w:hAnsi="Calibri"/>
                <w:b w:val="0"/>
                <w:i w:val="0"/>
                <w:color w:val="101828"/>
                <w:sz w:val="16"/>
              </w:rPr>
              <w:t>Duplicate webhooks at 10x the expected rate</w:t>
            </w:r>
          </w:p>
        </w:tc>
        <w:tc>
          <w:tcPr>
            <w:tcW w:type="dxa" w:w="3456"/>
            <w:tcMar>
              <w:top w:w="60" w:type="dxa"/>
              <w:start w:w="110" w:type="dxa"/>
              <w:bottom w:w="60" w:type="dxa"/>
              <w:end w:w="110" w:type="dxa"/>
            </w:tcMar>
          </w:tcPr>
          <w:p>
            <w:pPr>
              <w:spacing w:after="0"/>
            </w:pPr>
            <w:r/>
            <w:r>
              <w:rPr>
                <w:rFonts w:ascii="Calibri" w:hAnsi="Calibri"/>
                <w:b w:val="0"/>
                <w:i w:val="0"/>
                <w:color w:val="101828"/>
                <w:sz w:val="16"/>
              </w:rPr>
              <w:t>No double capture; deduplication holds under load</w:t>
            </w:r>
          </w:p>
        </w:tc>
      </w:tr>
      <w:tr>
        <w:trPr>
          <w:cantSplit/>
        </w:trPr>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Notification burst</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50,000 money events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Delivery within 5 minutes; rate limits respected</w:t>
            </w:r>
          </w:p>
        </w:tc>
      </w:tr>
    </w:tbl>
    <w:p>
      <w:pPr>
        <w:spacing w:after="80"/>
      </w:pPr>
    </w:p>
    <w:p>
      <w:r>
        <w:rPr>
          <w:rFonts w:ascii="Calibri" w:hAnsi="Calibri"/>
          <w:b w:val="0"/>
          <w:i w:val="0"/>
          <w:color w:val="101828"/>
          <w:sz w:val="21"/>
        </w:rPr>
        <w:t xml:space="preserve">The passing criterion in every case includes </w:t>
      </w:r>
      <w:r>
        <w:rPr>
          <w:rFonts w:ascii="Calibri" w:hAnsi="Calibri"/>
          <w:b/>
          <w:color w:val="101828"/>
          <w:sz w:val="21"/>
        </w:rPr>
        <w:t>correctness</w:t>
      </w:r>
      <w:r>
        <w:rPr>
          <w:rFonts w:ascii="Calibri" w:hAnsi="Calibri"/>
          <w:b w:val="0"/>
          <w:i w:val="0"/>
          <w:color w:val="101828"/>
          <w:sz w:val="21"/>
        </w:rPr>
        <w:t>, not just latency. A load test that returns 500s is a failed test even if the latency target is met, and a load test that double-captures a payment is a catastrophic one.</w:t>
      </w:r>
    </w:p>
    <w:p>
      <w:pPr>
        <w:pStyle w:val="Heading2"/>
      </w:pPr>
      <w:r>
        <w:rPr>
          <w:rFonts w:ascii="Calibri" w:hAnsi="Calibri"/>
          <w:b/>
          <w:i w:val="0"/>
          <w:color w:val="146EF5"/>
          <w:sz w:val="29"/>
        </w:rPr>
        <w:t>18.10 Data and reconciliation tests</w:t>
      </w:r>
    </w:p>
    <w:p>
      <w:pPr>
        <w:pStyle w:val="ListBullet"/>
        <w:spacing w:after="60"/>
        <w:ind w:left="360"/>
      </w:pPr>
      <w:r>
        <w:rPr>
          <w:rFonts w:ascii="Calibri" w:hAnsi="Calibri"/>
          <w:b w:val="0"/>
          <w:i w:val="0"/>
          <w:color w:val="101828"/>
          <w:sz w:val="21"/>
        </w:rPr>
        <w:t xml:space="preserve">A </w:t>
      </w:r>
      <w:r>
        <w:rPr>
          <w:rFonts w:ascii="Calibri" w:hAnsi="Calibri"/>
          <w:b/>
          <w:color w:val="101828"/>
          <w:sz w:val="21"/>
        </w:rPr>
        <w:t>nightly invariant test</w:t>
      </w:r>
      <w:r>
        <w:rPr>
          <w:rFonts w:ascii="Calibri" w:hAnsi="Calibri"/>
          <w:b w:val="0"/>
          <w:i w:val="0"/>
          <w:color w:val="101828"/>
          <w:sz w:val="21"/>
        </w:rPr>
        <w:t xml:space="preserve"> in a production-like environment asserts: ledger sum = sum of member balances = escrow cash. A failure pages someone immediately.</w:t>
      </w:r>
    </w:p>
    <w:p>
      <w:pPr>
        <w:pStyle w:val="ListBullet"/>
        <w:spacing w:after="60"/>
        <w:ind w:left="360"/>
      </w:pPr>
      <w:r>
        <w:rPr>
          <w:rFonts w:ascii="Calibri" w:hAnsi="Calibri"/>
          <w:b/>
          <w:color w:val="101828"/>
          <w:sz w:val="21"/>
        </w:rPr>
        <w:t>Seeded reconciliation</w:t>
      </w:r>
      <w:r>
        <w:rPr>
          <w:rFonts w:ascii="Calibri" w:hAnsi="Calibri"/>
          <w:b w:val="0"/>
          <w:i w:val="0"/>
          <w:color w:val="101828"/>
          <w:sz w:val="21"/>
        </w:rPr>
        <w:t xml:space="preserve"> — a known transaction history produces a known reconciliation report, byte for byte.</w:t>
      </w:r>
    </w:p>
    <w:p>
      <w:pPr>
        <w:pStyle w:val="ListBullet"/>
        <w:spacing w:after="60"/>
        <w:ind w:left="360"/>
      </w:pPr>
      <w:r>
        <w:rPr>
          <w:rFonts w:ascii="Calibri" w:hAnsi="Calibri"/>
          <w:b/>
          <w:color w:val="101828"/>
          <w:sz w:val="21"/>
        </w:rPr>
        <w:t>Reconciliation break injection</w:t>
      </w:r>
      <w:r>
        <w:rPr>
          <w:rFonts w:ascii="Calibri" w:hAnsi="Calibri"/>
          <w:b w:val="0"/>
          <w:i w:val="0"/>
          <w:color w:val="101828"/>
          <w:sz w:val="21"/>
        </w:rPr>
        <w:t xml:space="preserve"> — a deliberate mismatch is introduced and the system is asserted to detect it, halt payouts, and raise the correct alert. A detector that has never been tested against a real break is not known to work.</w:t>
      </w:r>
    </w:p>
    <w:p>
      <w:pPr>
        <w:pStyle w:val="ListBullet"/>
        <w:spacing w:after="60"/>
        <w:ind w:left="360"/>
      </w:pPr>
      <w:r>
        <w:rPr>
          <w:rFonts w:ascii="Calibri" w:hAnsi="Calibri"/>
          <w:b/>
          <w:color w:val="101828"/>
          <w:sz w:val="21"/>
        </w:rPr>
        <w:t>Month-end close</w:t>
      </w:r>
      <w:r>
        <w:rPr>
          <w:rFonts w:ascii="Calibri" w:hAnsi="Calibri"/>
          <w:b w:val="0"/>
          <w:i w:val="0"/>
          <w:color w:val="101828"/>
          <w:sz w:val="21"/>
        </w:rPr>
        <w:t xml:space="preserve"> is rehearsed against real data on a schedule, so the process is proven before it is needed.</w:t>
      </w:r>
    </w:p>
    <w:p>
      <w:pPr>
        <w:pStyle w:val="Heading2"/>
      </w:pPr>
      <w:r>
        <w:rPr>
          <w:rFonts w:ascii="Calibri" w:hAnsi="Calibri"/>
          <w:b/>
          <w:i w:val="0"/>
          <w:color w:val="146EF5"/>
          <w:sz w:val="29"/>
        </w:rPr>
        <w:t>18.11 CI/CD quality gates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6"/>
              </w:rPr>
              <w:t>Gate</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6"/>
              </w:rPr>
              <w:t>Threshold</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Blocks deploy</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Type check</w:t>
            </w:r>
          </w:p>
        </w:tc>
        <w:tc>
          <w:tcPr>
            <w:tcW w:type="dxa" w:w="3456"/>
            <w:tcMar>
              <w:top w:w="60" w:type="dxa"/>
              <w:start w:w="110" w:type="dxa"/>
              <w:bottom w:w="60" w:type="dxa"/>
              <w:end w:w="110" w:type="dxa"/>
            </w:tcMar>
          </w:tcPr>
          <w:p>
            <w:pPr>
              <w:spacing w:after="0"/>
            </w:pPr>
            <w:r/>
            <w:r>
              <w:rPr>
                <w:rFonts w:ascii="Calibri" w:hAnsi="Calibri"/>
                <w:b w:val="0"/>
                <w:i w:val="0"/>
                <w:color w:val="101828"/>
                <w:sz w:val="16"/>
              </w:rPr>
              <w:t>Zero errors</w:t>
            </w:r>
          </w:p>
        </w:tc>
        <w:tc>
          <w:tcPr>
            <w:tcW w:type="dxa" w:w="2736"/>
            <w:tcMar>
              <w:top w:w="60" w:type="dxa"/>
              <w:start w:w="110" w:type="dxa"/>
              <w:bottom w:w="60" w:type="dxa"/>
              <w:end w:w="110" w:type="dxa"/>
            </w:tcMar>
          </w:tcPr>
          <w:p>
            <w:pPr>
              <w:spacing w:after="0"/>
            </w:pPr>
            <w:r/>
            <w:r>
              <w:rPr>
                <w:rFonts w:ascii="Calibri" w:hAnsi="Calibri"/>
                <w:b w:val="0"/>
                <w:i w:val="0"/>
                <w:color w:val="101828"/>
                <w:sz w:val="16"/>
              </w:rPr>
              <w:t>Yes</w:t>
            </w:r>
          </w:p>
        </w:tc>
      </w:tr>
      <w:tr>
        <w:trPr>
          <w:cantSplit/>
        </w:trPr>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Lint</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Zero errors</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Yes</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Unit tests</w:t>
            </w:r>
          </w:p>
        </w:tc>
        <w:tc>
          <w:tcPr>
            <w:tcW w:type="dxa" w:w="3456"/>
            <w:tcMar>
              <w:top w:w="60" w:type="dxa"/>
              <w:start w:w="110" w:type="dxa"/>
              <w:bottom w:w="60" w:type="dxa"/>
              <w:end w:w="110" w:type="dxa"/>
            </w:tcMar>
          </w:tcPr>
          <w:p>
            <w:pPr>
              <w:spacing w:after="0"/>
            </w:pPr>
            <w:r/>
            <w:r>
              <w:rPr>
                <w:rFonts w:ascii="Calibri" w:hAnsi="Calibri"/>
                <w:b w:val="0"/>
                <w:i w:val="0"/>
                <w:color w:val="101828"/>
                <w:sz w:val="16"/>
              </w:rPr>
              <w:t>100% pass, coverage above 90% on the domain core</w:t>
            </w:r>
          </w:p>
        </w:tc>
        <w:tc>
          <w:tcPr>
            <w:tcW w:type="dxa" w:w="2736"/>
            <w:tcMar>
              <w:top w:w="60" w:type="dxa"/>
              <w:start w:w="110" w:type="dxa"/>
              <w:bottom w:w="60" w:type="dxa"/>
              <w:end w:w="110" w:type="dxa"/>
            </w:tcMar>
          </w:tcPr>
          <w:p>
            <w:pPr>
              <w:spacing w:after="0"/>
            </w:pPr>
            <w:r/>
            <w:r>
              <w:rPr>
                <w:rFonts w:ascii="Calibri" w:hAnsi="Calibri"/>
                <w:b w:val="0"/>
                <w:i w:val="0"/>
                <w:color w:val="101828"/>
                <w:sz w:val="16"/>
              </w:rPr>
              <w:t>Yes</w:t>
            </w:r>
          </w:p>
        </w:tc>
      </w:tr>
      <w:tr>
        <w:trPr>
          <w:cantSplit/>
        </w:trPr>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Integration tests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100% pass</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Yes</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Contract tests</w:t>
            </w:r>
          </w:p>
        </w:tc>
        <w:tc>
          <w:tcPr>
            <w:tcW w:type="dxa" w:w="3456"/>
            <w:tcMar>
              <w:top w:w="60" w:type="dxa"/>
              <w:start w:w="110" w:type="dxa"/>
              <w:bottom w:w="60" w:type="dxa"/>
              <w:end w:w="110" w:type="dxa"/>
            </w:tcMar>
          </w:tcPr>
          <w:p>
            <w:pPr>
              <w:spacing w:after="0"/>
            </w:pPr>
            <w:r/>
            <w:r>
              <w:rPr>
                <w:rFonts w:ascii="Calibri" w:hAnsi="Calibri"/>
                <w:b w:val="0"/>
                <w:i w:val="0"/>
                <w:color w:val="101828"/>
                <w:sz w:val="16"/>
              </w:rPr>
              <w:t>100% pass against the mock provider</w:t>
            </w:r>
          </w:p>
        </w:tc>
        <w:tc>
          <w:tcPr>
            <w:tcW w:type="dxa" w:w="2736"/>
            <w:tcMar>
              <w:top w:w="60" w:type="dxa"/>
              <w:start w:w="110" w:type="dxa"/>
              <w:bottom w:w="60" w:type="dxa"/>
              <w:end w:w="110" w:type="dxa"/>
            </w:tcMar>
          </w:tcPr>
          <w:p>
            <w:pPr>
              <w:spacing w:after="0"/>
            </w:pPr>
            <w:r/>
            <w:r>
              <w:rPr>
                <w:rFonts w:ascii="Calibri" w:hAnsi="Calibri"/>
                <w:b w:val="0"/>
                <w:i w:val="0"/>
                <w:color w:val="101828"/>
                <w:sz w:val="16"/>
              </w:rPr>
              <w:t>Yes</w:t>
            </w:r>
          </w:p>
        </w:tc>
      </w:tr>
      <w:tr>
        <w:trPr>
          <w:cantSplit/>
        </w:trPr>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Security scan</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No critical or high unresolved</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Yes</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Secret scan</w:t>
            </w:r>
          </w:p>
        </w:tc>
        <w:tc>
          <w:tcPr>
            <w:tcW w:type="dxa" w:w="3456"/>
            <w:tcMar>
              <w:top w:w="60" w:type="dxa"/>
              <w:start w:w="110" w:type="dxa"/>
              <w:bottom w:w="60" w:type="dxa"/>
              <w:end w:w="110" w:type="dxa"/>
            </w:tcMar>
          </w:tcPr>
          <w:p>
            <w:pPr>
              <w:spacing w:after="0"/>
            </w:pPr>
            <w:r/>
            <w:r>
              <w:rPr>
                <w:rFonts w:ascii="Calibri" w:hAnsi="Calibri"/>
                <w:b w:val="0"/>
                <w:i w:val="0"/>
                <w:color w:val="101828"/>
                <w:sz w:val="16"/>
              </w:rPr>
              <w:t>Zero findings</w:t>
            </w:r>
          </w:p>
        </w:tc>
        <w:tc>
          <w:tcPr>
            <w:tcW w:type="dxa" w:w="2736"/>
            <w:tcMar>
              <w:top w:w="60" w:type="dxa"/>
              <w:start w:w="110" w:type="dxa"/>
              <w:bottom w:w="60" w:type="dxa"/>
              <w:end w:w="110" w:type="dxa"/>
            </w:tcMar>
          </w:tcPr>
          <w:p>
            <w:pPr>
              <w:spacing w:after="0"/>
            </w:pPr>
            <w:r/>
            <w:r>
              <w:rPr>
                <w:rFonts w:ascii="Calibri" w:hAnsi="Calibri"/>
                <w:b w:val="0"/>
                <w:i w:val="0"/>
                <w:color w:val="101828"/>
                <w:sz w:val="16"/>
              </w:rPr>
              <w:t>Yes</w:t>
            </w:r>
          </w:p>
        </w:tc>
      </w:tr>
      <w:tr>
        <w:trPr>
          <w:cantSplit/>
        </w:trPr>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E2E smoke</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100% pass on critical journeys</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Yes</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Build</w:t>
            </w:r>
          </w:p>
        </w:tc>
        <w:tc>
          <w:tcPr>
            <w:tcW w:type="dxa" w:w="3456"/>
            <w:tcMar>
              <w:top w:w="60" w:type="dxa"/>
              <w:start w:w="110" w:type="dxa"/>
              <w:bottom w:w="60" w:type="dxa"/>
              <w:end w:w="110" w:type="dxa"/>
            </w:tcMar>
          </w:tcPr>
          <w:p>
            <w:pPr>
              <w:spacing w:after="0"/>
            </w:pPr>
            <w:r/>
            <w:r>
              <w:rPr>
                <w:rFonts w:ascii="Calibri" w:hAnsi="Calibri"/>
                <w:b w:val="0"/>
                <w:i w:val="0"/>
                <w:color w:val="101828"/>
                <w:sz w:val="16"/>
              </w:rPr>
              <w:t>Succeeds</w:t>
            </w:r>
          </w:p>
        </w:tc>
        <w:tc>
          <w:tcPr>
            <w:tcW w:type="dxa" w:w="2736"/>
            <w:tcMar>
              <w:top w:w="60" w:type="dxa"/>
              <w:start w:w="110" w:type="dxa"/>
              <w:bottom w:w="60" w:type="dxa"/>
              <w:end w:w="110" w:type="dxa"/>
            </w:tcMar>
          </w:tcPr>
          <w:p>
            <w:pPr>
              <w:spacing w:after="0"/>
            </w:pPr>
            <w:r/>
            <w:r>
              <w:rPr>
                <w:rFonts w:ascii="Calibri" w:hAnsi="Calibri"/>
                <w:b w:val="0"/>
                <w:i w:val="0"/>
                <w:color w:val="101828"/>
                <w:sz w:val="16"/>
              </w:rPr>
              <w:t>Yes</w:t>
            </w:r>
          </w:p>
        </w:tc>
      </w:tr>
      <w:tr>
        <w:trPr>
          <w:cantSplit/>
        </w:trPr>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Bundle size</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Within budget</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Yes</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Visual regression</w:t>
            </w:r>
          </w:p>
        </w:tc>
        <w:tc>
          <w:tcPr>
            <w:tcW w:type="dxa" w:w="3456"/>
            <w:tcMar>
              <w:top w:w="60" w:type="dxa"/>
              <w:start w:w="110" w:type="dxa"/>
              <w:bottom w:w="60" w:type="dxa"/>
              <w:end w:w="110" w:type="dxa"/>
            </w:tcMar>
          </w:tcPr>
          <w:p>
            <w:pPr>
              <w:spacing w:after="0"/>
            </w:pPr>
            <w:r/>
            <w:r>
              <w:rPr>
                <w:rFonts w:ascii="Calibri" w:hAnsi="Calibri"/>
                <w:b w:val="0"/>
                <w:i w:val="0"/>
                <w:color w:val="101828"/>
                <w:sz w:val="16"/>
              </w:rPr>
              <w:t>No unintended diffs</w:t>
            </w:r>
          </w:p>
        </w:tc>
        <w:tc>
          <w:tcPr>
            <w:tcW w:type="dxa" w:w="2736"/>
            <w:tcMar>
              <w:top w:w="60" w:type="dxa"/>
              <w:start w:w="110" w:type="dxa"/>
              <w:bottom w:w="60" w:type="dxa"/>
              <w:end w:w="110" w:type="dxa"/>
            </w:tcMar>
          </w:tcPr>
          <w:p>
            <w:pPr>
              <w:spacing w:after="0"/>
            </w:pPr>
            <w:r/>
            <w:r>
              <w:rPr>
                <w:rFonts w:ascii="Calibri" w:hAnsi="Calibri"/>
                <w:b w:val="0"/>
                <w:i w:val="0"/>
                <w:color w:val="101828"/>
                <w:sz w:val="16"/>
              </w:rPr>
              <w:t>Yes</w:t>
            </w:r>
          </w:p>
        </w:tc>
      </w:tr>
    </w:tbl>
    <w:p>
      <w:pPr>
        <w:spacing w:after="80"/>
      </w:pPr>
    </w:p>
    <w:p>
      <w:r>
        <w:rPr>
          <w:rFonts w:ascii="Calibri" w:hAnsi="Calibri"/>
          <w:b w:val="0"/>
          <w:i w:val="0"/>
          <w:color w:val="101828"/>
          <w:sz w:val="21"/>
        </w:rPr>
        <w:t>A coverage number is a prompt for thought, not a target to game. The requirement that matters is that the money, ledger, and state-machine modules are thoroughly covered — a coverage percentage achieved by testing getters is worse than no number at all.</w:t>
      </w:r>
    </w:p>
    <w:p>
      <w:pPr>
        <w:pStyle w:val="Heading2"/>
      </w:pPr>
      <w:r>
        <w:rPr>
          <w:rFonts w:ascii="Calibri" w:hAnsi="Calibri"/>
          <w:b/>
          <w:i w:val="0"/>
          <w:color w:val="146EF5"/>
          <w:sz w:val="29"/>
        </w:rPr>
        <w:t>18.12 Manual and exploratory testing</w:t>
      </w:r>
    </w:p>
    <w:p>
      <w:r>
        <w:rPr>
          <w:rFonts w:ascii="Calibri" w:hAnsi="Calibri"/>
          <w:b w:val="0"/>
          <w:i w:val="0"/>
          <w:color w:val="101828"/>
          <w:sz w:val="21"/>
        </w:rPr>
        <w:t>Automation cannot find the bug nobody thought of. The following are performed on a schedule and are not optional because they are inconvenient.</w:t>
      </w:r>
    </w:p>
    <w:p>
      <w:pPr>
        <w:pStyle w:val="ListBullet"/>
        <w:spacing w:after="60"/>
        <w:ind w:left="360"/>
      </w:pPr>
      <w:r>
        <w:rPr>
          <w:rFonts w:ascii="Calibri" w:hAnsi="Calibri"/>
          <w:b/>
          <w:color w:val="101828"/>
          <w:sz w:val="21"/>
        </w:rPr>
        <w:t>Exploratory testing</w:t>
      </w:r>
      <w:r>
        <w:rPr>
          <w:rFonts w:ascii="Calibri" w:hAnsi="Calibri"/>
          <w:b w:val="0"/>
          <w:i w:val="0"/>
          <w:color w:val="101828"/>
          <w:sz w:val="21"/>
        </w:rPr>
        <w:t xml:space="preserve"> on every release, particularly around the money flows, with a chartered time box and findings written up.</w:t>
      </w:r>
    </w:p>
    <w:p>
      <w:pPr>
        <w:pStyle w:val="ListBullet"/>
        <w:spacing w:after="60"/>
        <w:ind w:left="360"/>
      </w:pPr>
      <w:r>
        <w:rPr>
          <w:rFonts w:ascii="Calibri" w:hAnsi="Calibri"/>
          <w:b/>
          <w:color w:val="101828"/>
          <w:sz w:val="21"/>
        </w:rPr>
        <w:t>Real device testing</w:t>
      </w:r>
      <w:r>
        <w:rPr>
          <w:rFonts w:ascii="Calibri" w:hAnsi="Calibri"/>
          <w:b w:val="0"/>
          <w:i w:val="0"/>
          <w:color w:val="101828"/>
          <w:sz w:val="21"/>
        </w:rPr>
        <w:t xml:space="preserve"> — a genuine low-end Android phone on a mobile network, not only simulators. Emulators hide exactly the problems that matter here.</w:t>
      </w:r>
    </w:p>
    <w:p>
      <w:pPr>
        <w:pStyle w:val="ListBullet"/>
        <w:spacing w:after="60"/>
        <w:ind w:left="360"/>
      </w:pPr>
      <w:r>
        <w:rPr>
          <w:rFonts w:ascii="Calibri" w:hAnsi="Calibri"/>
          <w:b/>
          <w:color w:val="101828"/>
          <w:sz w:val="21"/>
        </w:rPr>
        <w:t>Poor-network testing</w:t>
      </w:r>
      <w:r>
        <w:rPr>
          <w:rFonts w:ascii="Calibri" w:hAnsi="Calibri"/>
          <w:b w:val="0"/>
          <w:i w:val="0"/>
          <w:color w:val="101828"/>
          <w:sz w:val="21"/>
        </w:rPr>
        <w:t xml:space="preserve"> — throttled bandwidth, high latency, dropped connections, and packet loss during a payment.</w:t>
      </w:r>
    </w:p>
    <w:p>
      <w:pPr>
        <w:pStyle w:val="ListBullet"/>
        <w:spacing w:after="60"/>
        <w:ind w:left="360"/>
      </w:pPr>
      <w:r>
        <w:rPr>
          <w:rFonts w:ascii="Calibri" w:hAnsi="Calibri"/>
          <w:b/>
          <w:color w:val="101828"/>
          <w:sz w:val="21"/>
        </w:rPr>
        <w:t>Accessibility walkthrough</w:t>
      </w:r>
      <w:r>
        <w:rPr>
          <w:rFonts w:ascii="Calibri" w:hAnsi="Calibri"/>
          <w:b w:val="0"/>
          <w:i w:val="0"/>
          <w:color w:val="101828"/>
          <w:sz w:val="21"/>
        </w:rPr>
        <w:t xml:space="preserve"> with a screen reader and with system font scaling at maximum.</w:t>
      </w:r>
    </w:p>
    <w:p>
      <w:pPr>
        <w:pStyle w:val="ListBullet"/>
        <w:spacing w:after="60"/>
        <w:ind w:left="360"/>
      </w:pPr>
      <w:r>
        <w:rPr>
          <w:rFonts w:ascii="Calibri" w:hAnsi="Calibri"/>
          <w:b/>
          <w:color w:val="101828"/>
          <w:sz w:val="21"/>
        </w:rPr>
        <w:t>Payment-rail matrix testing</w:t>
      </w:r>
      <w:r>
        <w:rPr>
          <w:rFonts w:ascii="Calibri" w:hAnsi="Calibri"/>
          <w:b w:val="0"/>
          <w:i w:val="0"/>
          <w:color w:val="101828"/>
          <w:sz w:val="21"/>
        </w:rPr>
        <w:t xml:space="preserve"> — every rail, every failure mode, every retry.</w:t>
      </w:r>
    </w:p>
    <w:p>
      <w:pPr>
        <w:pStyle w:val="ListBullet"/>
        <w:spacing w:after="60"/>
        <w:ind w:left="360"/>
      </w:pPr>
      <w:r>
        <w:rPr>
          <w:rFonts w:ascii="Calibri" w:hAnsi="Calibri"/>
          <w:b/>
          <w:color w:val="101828"/>
          <w:sz w:val="21"/>
        </w:rPr>
        <w:t>Timezone and DST testing</w:t>
      </w:r>
      <w:r>
        <w:rPr>
          <w:rFonts w:ascii="Calibri" w:hAnsi="Calibri"/>
          <w:b w:val="0"/>
          <w:i w:val="0"/>
          <w:color w:val="101828"/>
          <w:sz w:val="21"/>
        </w:rPr>
        <w:t xml:space="preserve"> — a member in a different timezone from the Ajo, and a device with an incorrect clock.</w:t>
      </w:r>
    </w:p>
    <w:p>
      <w:pPr>
        <w:pStyle w:val="ListBullet"/>
        <w:spacing w:after="60"/>
        <w:ind w:left="360"/>
      </w:pPr>
      <w:r>
        <w:rPr>
          <w:rFonts w:ascii="Calibri" w:hAnsi="Calibri"/>
          <w:b/>
          <w:color w:val="101828"/>
          <w:sz w:val="21"/>
        </w:rPr>
        <w:t>Long-cycle soak testing</w:t>
      </w:r>
      <w:r>
        <w:rPr>
          <w:rFonts w:ascii="Calibri" w:hAnsi="Calibri"/>
          <w:b w:val="0"/>
          <w:i w:val="0"/>
          <w:color w:val="101828"/>
          <w:sz w:val="21"/>
        </w:rPr>
        <w:t xml:space="preserve"> — a full 10-round Ajo run end to end in a staging environment, so that the last round is tested and not just the first.</w:t>
      </w:r>
    </w:p>
    <w:p>
      <w:pPr>
        <w:pStyle w:val="Heading2"/>
      </w:pPr>
      <w:r>
        <w:rPr>
          <w:rFonts w:ascii="Calibri" w:hAnsi="Calibri"/>
          <w:b/>
          <w:i w:val="0"/>
          <w:color w:val="146EF5"/>
          <w:sz w:val="29"/>
        </w:rPr>
        <w:t>18.13 Environments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Environment</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Data</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Provider</w:t>
            </w:r>
          </w:p>
        </w:tc>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6"/>
              </w:rPr>
              <w:t>Purpose</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Local</w:t>
            </w:r>
          </w:p>
        </w:tc>
        <w:tc>
          <w:tcPr>
            <w:tcW w:type="dxa" w:w="2304"/>
            <w:tcMar>
              <w:top w:w="60" w:type="dxa"/>
              <w:start w:w="110" w:type="dxa"/>
              <w:bottom w:w="60" w:type="dxa"/>
              <w:end w:w="110" w:type="dxa"/>
            </w:tcMar>
          </w:tcPr>
          <w:p>
            <w:pPr>
              <w:spacing w:after="0"/>
            </w:pPr>
            <w:r/>
            <w:r>
              <w:rPr>
                <w:rFonts w:ascii="Calibri" w:hAnsi="Calibri"/>
                <w:b w:val="0"/>
                <w:i w:val="0"/>
                <w:color w:val="101828"/>
                <w:sz w:val="16"/>
              </w:rPr>
              <w:t>Synthetic</w:t>
            </w:r>
          </w:p>
        </w:tc>
        <w:tc>
          <w:tcPr>
            <w:tcW w:type="dxa" w:w="2016"/>
            <w:tcMar>
              <w:top w:w="60" w:type="dxa"/>
              <w:start w:w="110" w:type="dxa"/>
              <w:bottom w:w="60" w:type="dxa"/>
              <w:end w:w="110" w:type="dxa"/>
            </w:tcMar>
          </w:tcPr>
          <w:p>
            <w:pPr>
              <w:spacing w:after="0"/>
            </w:pPr>
            <w:r/>
            <w:r>
              <w:rPr>
                <w:rFonts w:ascii="Calibri" w:hAnsi="Calibri"/>
                <w:b w:val="0"/>
                <w:i w:val="0"/>
                <w:color w:val="101828"/>
                <w:sz w:val="16"/>
              </w:rPr>
              <w:t>Mock</w:t>
            </w:r>
          </w:p>
        </w:tc>
        <w:tc>
          <w:tcPr>
            <w:tcW w:type="dxa" w:w="3168"/>
            <w:tcMar>
              <w:top w:w="60" w:type="dxa"/>
              <w:start w:w="110" w:type="dxa"/>
              <w:bottom w:w="60" w:type="dxa"/>
              <w:end w:w="110" w:type="dxa"/>
            </w:tcMar>
          </w:tcPr>
          <w:p>
            <w:pPr>
              <w:spacing w:after="0"/>
            </w:pPr>
            <w:r/>
            <w:r>
              <w:rPr>
                <w:rFonts w:ascii="Calibri" w:hAnsi="Calibri"/>
                <w:b w:val="0"/>
                <w:i w:val="0"/>
                <w:color w:val="101828"/>
                <w:sz w:val="16"/>
              </w:rPr>
              <w:t>Fast development; the default</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CI</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Synthetic, reseeded per run</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Mock</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Automated verification on every commit</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Staging</w:t>
            </w:r>
          </w:p>
        </w:tc>
        <w:tc>
          <w:tcPr>
            <w:tcW w:type="dxa" w:w="2304"/>
            <w:tcMar>
              <w:top w:w="60" w:type="dxa"/>
              <w:start w:w="110" w:type="dxa"/>
              <w:bottom w:w="60" w:type="dxa"/>
              <w:end w:w="110" w:type="dxa"/>
            </w:tcMar>
          </w:tcPr>
          <w:p>
            <w:pPr>
              <w:spacing w:after="0"/>
            </w:pPr>
            <w:r/>
            <w:r>
              <w:rPr>
                <w:rFonts w:ascii="Calibri" w:hAnsi="Calibri"/>
                <w:b w:val="0"/>
                <w:i w:val="0"/>
                <w:color w:val="101828"/>
                <w:sz w:val="16"/>
              </w:rPr>
              <w:t>Synthetic, realistic scale</w:t>
            </w:r>
          </w:p>
        </w:tc>
        <w:tc>
          <w:tcPr>
            <w:tcW w:type="dxa" w:w="2016"/>
            <w:tcMar>
              <w:top w:w="60" w:type="dxa"/>
              <w:start w:w="110" w:type="dxa"/>
              <w:bottom w:w="60" w:type="dxa"/>
              <w:end w:w="110" w:type="dxa"/>
            </w:tcMar>
          </w:tcPr>
          <w:p>
            <w:pPr>
              <w:spacing w:after="0"/>
            </w:pPr>
            <w:r/>
            <w:r>
              <w:rPr>
                <w:rFonts w:ascii="Calibri" w:hAnsi="Calibri"/>
                <w:b w:val="0"/>
                <w:i w:val="0"/>
                <w:color w:val="101828"/>
                <w:sz w:val="16"/>
              </w:rPr>
              <w:t>Provider sandbox if available, else mock</w:t>
            </w:r>
          </w:p>
        </w:tc>
        <w:tc>
          <w:tcPr>
            <w:tcW w:type="dxa" w:w="3168"/>
            <w:tcMar>
              <w:top w:w="60" w:type="dxa"/>
              <w:start w:w="110" w:type="dxa"/>
              <w:bottom w:w="60" w:type="dxa"/>
              <w:end w:w="110" w:type="dxa"/>
            </w:tcMar>
          </w:tcPr>
          <w:p>
            <w:pPr>
              <w:spacing w:after="0"/>
            </w:pPr>
            <w:r/>
            <w:r>
              <w:rPr>
                <w:rFonts w:ascii="Calibri" w:hAnsi="Calibri"/>
                <w:b w:val="0"/>
                <w:i w:val="0"/>
                <w:color w:val="101828"/>
                <w:sz w:val="16"/>
              </w:rPr>
              <w:t>Integration, migration rehearsal, load testing</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Pre-production</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Production-like, anonymised where possible</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Provider production rails, restricted to staff</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Final rehearsal. Real money movements on a controlled basis only</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Production</w:t>
            </w:r>
          </w:p>
        </w:tc>
        <w:tc>
          <w:tcPr>
            <w:tcW w:type="dxa" w:w="2304"/>
            <w:tcMar>
              <w:top w:w="60" w:type="dxa"/>
              <w:start w:w="110" w:type="dxa"/>
              <w:bottom w:w="60" w:type="dxa"/>
              <w:end w:w="110" w:type="dxa"/>
            </w:tcMar>
          </w:tcPr>
          <w:p>
            <w:pPr>
              <w:spacing w:after="0"/>
            </w:pPr>
            <w:r/>
            <w:r>
              <w:rPr>
                <w:rFonts w:ascii="Calibri" w:hAnsi="Calibri"/>
                <w:b w:val="0"/>
                <w:i w:val="0"/>
                <w:color w:val="101828"/>
                <w:sz w:val="16"/>
              </w:rPr>
              <w:t>Real</w:t>
            </w:r>
          </w:p>
        </w:tc>
        <w:tc>
          <w:tcPr>
            <w:tcW w:type="dxa" w:w="2016"/>
            <w:tcMar>
              <w:top w:w="60" w:type="dxa"/>
              <w:start w:w="110" w:type="dxa"/>
              <w:bottom w:w="60" w:type="dxa"/>
              <w:end w:w="110" w:type="dxa"/>
            </w:tcMar>
          </w:tcPr>
          <w:p>
            <w:pPr>
              <w:spacing w:after="0"/>
            </w:pPr>
            <w:r/>
            <w:r>
              <w:rPr>
                <w:rFonts w:ascii="Calibri" w:hAnsi="Calibri"/>
                <w:b w:val="0"/>
                <w:i w:val="0"/>
                <w:color w:val="101828"/>
                <w:sz w:val="16"/>
              </w:rPr>
              <w:t>Provider production</w:t>
            </w:r>
          </w:p>
        </w:tc>
        <w:tc>
          <w:tcPr>
            <w:tcW w:type="dxa" w:w="3168"/>
            <w:tcMar>
              <w:top w:w="60" w:type="dxa"/>
              <w:start w:w="110" w:type="dxa"/>
              <w:bottom w:w="60" w:type="dxa"/>
              <w:end w:w="110" w:type="dxa"/>
            </w:tcMar>
          </w:tcPr>
          <w:p>
            <w:pPr>
              <w:spacing w:after="0"/>
            </w:pPr>
            <w:r/>
            <w:r>
              <w:rPr>
                <w:rFonts w:ascii="Calibri" w:hAnsi="Calibri"/>
                <w:b w:val="0"/>
                <w:i w:val="0"/>
                <w:color w:val="101828"/>
                <w:sz w:val="16"/>
              </w:rPr>
              <w:t>Members</w:t>
            </w:r>
          </w:p>
        </w:tc>
      </w:tr>
    </w:tbl>
    <w:p>
      <w:pPr>
        <w:spacing w:after="80"/>
      </w:pPr>
    </w:p>
    <w:p>
      <w:r>
        <w:rPr>
          <w:rFonts w:ascii="Calibri" w:hAnsi="Calibri"/>
          <w:b w:val="0"/>
          <w:i w:val="0"/>
          <w:color w:val="101828"/>
          <w:sz w:val="21"/>
        </w:rPr>
        <w:t xml:space="preserve">The </w:t>
      </w:r>
      <w:r>
        <w:rPr>
          <w:rFonts w:ascii="Consolas" w:hAnsi="Consolas"/>
          <w:color w:val="146EF5"/>
          <w:sz w:val="21"/>
        </w:rPr>
        <w:t>MockFinancialProvider</w:t>
      </w:r>
      <w:r>
        <w:rPr>
          <w:rFonts w:ascii="Calibri" w:hAnsi="Calibri"/>
          <w:b w:val="0"/>
          <w:i w:val="0"/>
          <w:color w:val="101828"/>
          <w:sz w:val="21"/>
        </w:rPr>
        <w:t xml:space="preserve"> </w:t>
      </w:r>
      <w:r>
        <w:rPr>
          <w:rFonts w:ascii="Calibri" w:hAnsi="Calibri"/>
          <w:b/>
          <w:color w:val="101828"/>
          <w:sz w:val="21"/>
        </w:rPr>
        <w:t>refuses to initialise when `NODE_ENV` is `production`</w:t>
      </w:r>
      <w:r>
        <w:rPr>
          <w:rFonts w:ascii="Calibri" w:hAnsi="Calibri"/>
          <w:b w:val="0"/>
          <w:i w:val="0"/>
          <w:color w:val="101828"/>
          <w:sz w:val="21"/>
        </w:rPr>
        <w:t>, and this is enforced in code and covered by a test. A mock provider in production is the kind of mistake that is discovered by members.</w:t>
      </w:r>
    </w:p>
    <w:p>
      <w:pPr>
        <w:pStyle w:val="Heading2"/>
      </w:pPr>
      <w:r>
        <w:rPr>
          <w:rFonts w:ascii="Calibri" w:hAnsi="Calibri"/>
          <w:b/>
          <w:i w:val="0"/>
          <w:color w:val="146EF5"/>
          <w:sz w:val="29"/>
        </w:rPr>
        <w:t>18.14 Test data</w:t>
      </w:r>
    </w:p>
    <w:p>
      <w:pPr>
        <w:pStyle w:val="ListBullet"/>
        <w:spacing w:after="60"/>
        <w:ind w:left="360"/>
      </w:pPr>
      <w:r>
        <w:rPr>
          <w:rFonts w:ascii="Calibri" w:hAnsi="Calibri"/>
          <w:b w:val="0"/>
          <w:i w:val="0"/>
          <w:color w:val="101828"/>
          <w:sz w:val="21"/>
        </w:rPr>
        <w:t>All test data is synthetic and generated by a seed script. No production data is ever copied into a test environment.</w:t>
      </w:r>
    </w:p>
    <w:p>
      <w:pPr>
        <w:pStyle w:val="ListBullet"/>
        <w:spacing w:after="60"/>
        <w:ind w:left="360"/>
      </w:pPr>
      <w:r>
        <w:rPr>
          <w:rFonts w:ascii="Calibri" w:hAnsi="Calibri"/>
          <w:b w:val="0"/>
          <w:i w:val="0"/>
          <w:color w:val="101828"/>
          <w:sz w:val="21"/>
        </w:rPr>
        <w:t xml:space="preserve">Test data is deliberately </w:t>
      </w:r>
      <w:r>
        <w:rPr>
          <w:rFonts w:ascii="Calibri" w:hAnsi="Calibri"/>
          <w:b/>
          <w:color w:val="101828"/>
          <w:sz w:val="21"/>
        </w:rPr>
        <w:t>awkward</w:t>
      </w:r>
      <w:r>
        <w:rPr>
          <w:rFonts w:ascii="Calibri" w:hAnsi="Calibri"/>
          <w:b w:val="0"/>
          <w:i w:val="0"/>
          <w:color w:val="101828"/>
          <w:sz w:val="21"/>
        </w:rPr>
        <w:t>: zero amounts, maximum amounts, very long names, unicode and emoji in names, expired documents, boundary dates, and duplicate references. Comfortable data tests nothing.</w:t>
      </w:r>
    </w:p>
    <w:p>
      <w:pPr>
        <w:pStyle w:val="ListBullet"/>
        <w:spacing w:after="60"/>
        <w:ind w:left="360"/>
      </w:pPr>
      <w:r>
        <w:rPr>
          <w:rFonts w:ascii="Calibri" w:hAnsi="Calibri"/>
          <w:b w:val="0"/>
          <w:i w:val="0"/>
          <w:color w:val="101828"/>
          <w:sz w:val="21"/>
        </w:rPr>
        <w:t>Money test cases include the exact values from CANONICAL.md: NGN 1,000 + NGN 20 = NGN 1,020; NGN 10,000 pool.</w:t>
      </w:r>
    </w:p>
    <w:p>
      <w:pPr>
        <w:pStyle w:val="ListBullet"/>
        <w:spacing w:after="60"/>
        <w:ind w:left="360"/>
      </w:pPr>
      <w:r>
        <w:rPr>
          <w:rFonts w:ascii="Calibri" w:hAnsi="Calibri"/>
          <w:b w:val="0"/>
          <w:i w:val="0"/>
          <w:color w:val="101828"/>
          <w:sz w:val="21"/>
        </w:rPr>
        <w:t>Identity test data uses clearly fictional values, so it can never be mistaken for a real person.</w:t>
      </w:r>
    </w:p>
    <w:p>
      <w:pPr>
        <w:pStyle w:val="Heading2"/>
      </w:pPr>
      <w:r>
        <w:rPr>
          <w:rFonts w:ascii="Calibri" w:hAnsi="Calibri"/>
          <w:b/>
          <w:i w:val="0"/>
          <w:color w:val="146EF5"/>
          <w:sz w:val="29"/>
        </w:rPr>
        <w:t>18.15 Defect management</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440"/>
            <w:shd w:val="clear" w:color="auto" w:fill="0B1F3A"/>
            <w:tcMar>
              <w:top w:w="60" w:type="dxa"/>
              <w:start w:w="110" w:type="dxa"/>
              <w:bottom w:w="60" w:type="dxa"/>
              <w:end w:w="110" w:type="dxa"/>
            </w:tcMar>
          </w:tcPr>
          <w:p>
            <w:pPr>
              <w:spacing w:after="0"/>
            </w:pPr>
            <w:r/>
            <w:r>
              <w:rPr>
                <w:rFonts w:ascii="Calibri" w:hAnsi="Calibri"/>
                <w:b/>
                <w:i w:val="0"/>
                <w:color w:val="FFFFFF"/>
                <w:sz w:val="16"/>
              </w:rPr>
              <w:t>Severity</w:t>
            </w:r>
          </w:p>
        </w:tc>
        <w:tc>
          <w:tcPr>
            <w:tcW w:type="dxa" w:w="4032"/>
            <w:shd w:val="clear" w:color="auto" w:fill="0B1F3A"/>
            <w:tcMar>
              <w:top w:w="60" w:type="dxa"/>
              <w:start w:w="110" w:type="dxa"/>
              <w:bottom w:w="60" w:type="dxa"/>
              <w:end w:w="110" w:type="dxa"/>
            </w:tcMar>
          </w:tcPr>
          <w:p>
            <w:pPr>
              <w:spacing w:after="0"/>
            </w:pPr>
            <w:r/>
            <w:r>
              <w:rPr>
                <w:rFonts w:ascii="Calibri" w:hAnsi="Calibri"/>
                <w:b/>
                <w:i w:val="0"/>
                <w:color w:val="FFFFFF"/>
                <w:sz w:val="16"/>
              </w:rPr>
              <w:t>Definition</w:t>
            </w:r>
          </w:p>
        </w:tc>
        <w:tc>
          <w:tcPr>
            <w:tcW w:type="dxa" w:w="3888"/>
            <w:shd w:val="clear" w:color="auto" w:fill="0B1F3A"/>
            <w:tcMar>
              <w:top w:w="60" w:type="dxa"/>
              <w:start w:w="110" w:type="dxa"/>
              <w:bottom w:w="60" w:type="dxa"/>
              <w:end w:w="110" w:type="dxa"/>
            </w:tcMar>
          </w:tcPr>
          <w:p>
            <w:pPr>
              <w:spacing w:after="0"/>
            </w:pPr>
            <w:r/>
            <w:r>
              <w:rPr>
                <w:rFonts w:ascii="Calibri" w:hAnsi="Calibri"/>
                <w:b/>
                <w:i w:val="0"/>
                <w:color w:val="FFFFFF"/>
                <w:sz w:val="16"/>
              </w:rPr>
              <w:t>Response</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6"/>
              </w:rPr>
              <w:t>S1 — Critical</w:t>
            </w:r>
          </w:p>
        </w:tc>
        <w:tc>
          <w:tcPr>
            <w:tcW w:type="dxa" w:w="4032"/>
            <w:tcMar>
              <w:top w:w="60" w:type="dxa"/>
              <w:start w:w="110" w:type="dxa"/>
              <w:bottom w:w="60" w:type="dxa"/>
              <w:end w:w="110" w:type="dxa"/>
            </w:tcMar>
          </w:tcPr>
          <w:p>
            <w:pPr>
              <w:spacing w:after="0"/>
            </w:pPr>
            <w:r/>
            <w:r>
              <w:rPr>
                <w:rFonts w:ascii="Calibri" w:hAnsi="Calibri"/>
                <w:b w:val="0"/>
                <w:i w:val="0"/>
                <w:color w:val="101828"/>
                <w:sz w:val="16"/>
              </w:rPr>
              <w:t>Money lost or duplicated; ledger broken; data breach; total outage</w:t>
            </w:r>
          </w:p>
        </w:tc>
        <w:tc>
          <w:tcPr>
            <w:tcW w:type="dxa" w:w="3888"/>
            <w:tcMar>
              <w:top w:w="60" w:type="dxa"/>
              <w:start w:w="110" w:type="dxa"/>
              <w:bottom w:w="60" w:type="dxa"/>
              <w:end w:w="110" w:type="dxa"/>
            </w:tcMar>
          </w:tcPr>
          <w:p>
            <w:pPr>
              <w:spacing w:after="0"/>
            </w:pPr>
            <w:r/>
            <w:r>
              <w:rPr>
                <w:rFonts w:ascii="Calibri" w:hAnsi="Calibri"/>
                <w:b w:val="0"/>
                <w:i w:val="0"/>
                <w:color w:val="101828"/>
                <w:sz w:val="16"/>
              </w:rPr>
              <w:t>Immediate. Payouts may be halted. Fix or roll back within hours</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6"/>
              </w:rPr>
              <w:t>S2 — High</w:t>
            </w:r>
          </w:p>
        </w:tc>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A journey is blocked for many members; incorrect financial figure shown</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Same day</w:t>
            </w:r>
          </w:p>
        </w:tc>
      </w:tr>
      <w:tr>
        <w:trPr>
          <w:cantSplit/>
        </w:trPr>
        <w:tc>
          <w:tcPr>
            <w:tcW w:type="dxa" w:w="1440"/>
            <w:tcMar>
              <w:top w:w="60" w:type="dxa"/>
              <w:start w:w="110" w:type="dxa"/>
              <w:bottom w:w="60" w:type="dxa"/>
              <w:end w:w="110" w:type="dxa"/>
            </w:tcMar>
          </w:tcPr>
          <w:p>
            <w:pPr>
              <w:spacing w:after="0"/>
            </w:pPr>
            <w:r/>
            <w:r>
              <w:rPr>
                <w:rFonts w:ascii="Calibri" w:hAnsi="Calibri"/>
                <w:b w:val="0"/>
                <w:i w:val="0"/>
                <w:color w:val="101828"/>
                <w:sz w:val="16"/>
              </w:rPr>
              <w:t>S3 — Medium</w:t>
            </w:r>
          </w:p>
        </w:tc>
        <w:tc>
          <w:tcPr>
            <w:tcW w:type="dxa" w:w="4032"/>
            <w:tcMar>
              <w:top w:w="60" w:type="dxa"/>
              <w:start w:w="110" w:type="dxa"/>
              <w:bottom w:w="60" w:type="dxa"/>
              <w:end w:w="110" w:type="dxa"/>
            </w:tcMar>
          </w:tcPr>
          <w:p>
            <w:pPr>
              <w:spacing w:after="0"/>
            </w:pPr>
            <w:r/>
            <w:r>
              <w:rPr>
                <w:rFonts w:ascii="Calibri" w:hAnsi="Calibri"/>
                <w:b w:val="0"/>
                <w:i w:val="0"/>
                <w:color w:val="101828"/>
                <w:sz w:val="16"/>
              </w:rPr>
              <w:t>A journey is blocked for some members; a workaround exists</w:t>
            </w:r>
          </w:p>
        </w:tc>
        <w:tc>
          <w:tcPr>
            <w:tcW w:type="dxa" w:w="3888"/>
            <w:tcMar>
              <w:top w:w="60" w:type="dxa"/>
              <w:start w:w="110" w:type="dxa"/>
              <w:bottom w:w="60" w:type="dxa"/>
              <w:end w:w="110" w:type="dxa"/>
            </w:tcMar>
          </w:tcPr>
          <w:p>
            <w:pPr>
              <w:spacing w:after="0"/>
            </w:pPr>
            <w:r/>
            <w:r>
              <w:rPr>
                <w:rFonts w:ascii="Calibri" w:hAnsi="Calibri"/>
                <w:b w:val="0"/>
                <w:i w:val="0"/>
                <w:color w:val="101828"/>
                <w:sz w:val="16"/>
              </w:rPr>
              <w:t>This sprint</w:t>
            </w:r>
          </w:p>
        </w:tc>
      </w:tr>
      <w:tr>
        <w:trPr>
          <w:cantSplit/>
        </w:trPr>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6"/>
              </w:rPr>
              <w:t>S4 — Low</w:t>
            </w:r>
          </w:p>
        </w:tc>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Cosmetic; minor inconvenience</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Scheduled</w:t>
            </w:r>
          </w:p>
        </w:tc>
      </w:tr>
    </w:tbl>
    <w:p>
      <w:pPr>
        <w:spacing w:after="80"/>
      </w:pPr>
    </w:p>
    <w:p>
      <w:r>
        <w:rPr>
          <w:rFonts w:ascii="Calibri" w:hAnsi="Calibri"/>
          <w:b w:val="0"/>
          <w:i w:val="0"/>
          <w:color w:val="101828"/>
          <w:sz w:val="21"/>
        </w:rPr>
        <w:t>Every S1 and S2 gets a blameless post-mortem. A financial defect that was fixed without understanding how it happened will recur, usually at a larger scale and at a worse moment.</w:t>
      </w:r>
    </w:p>
    <w:p>
      <w:pPr>
        <w:pStyle w:val="Heading2"/>
      </w:pPr>
      <w:r>
        <w:rPr>
          <w:rFonts w:ascii="Calibri" w:hAnsi="Calibri"/>
          <w:b/>
          <w:i w:val="0"/>
          <w:color w:val="146EF5"/>
          <w:sz w:val="29"/>
        </w:rPr>
        <w:t>18.16 Quality metrics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6"/>
              </w:rPr>
              <w:t>Metric</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Target</w:t>
            </w:r>
          </w:p>
        </w:tc>
        <w:tc>
          <w:tcPr>
            <w:tcW w:type="dxa" w:w="4032"/>
            <w:shd w:val="clear" w:color="auto" w:fill="0B1F3A"/>
            <w:tcMar>
              <w:top w:w="60" w:type="dxa"/>
              <w:start w:w="110" w:type="dxa"/>
              <w:bottom w:w="60" w:type="dxa"/>
              <w:end w:w="110" w:type="dxa"/>
            </w:tcMar>
          </w:tcPr>
          <w:p>
            <w:pPr>
              <w:spacing w:after="0"/>
            </w:pPr>
            <w:r/>
            <w:r>
              <w:rPr>
                <w:rFonts w:ascii="Calibri" w:hAnsi="Calibri"/>
                <w:b/>
                <w:i w:val="0"/>
                <w:color w:val="FFFFFF"/>
                <w:sz w:val="16"/>
              </w:rPr>
              <w:t>Note</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Escaped defects</w:t>
            </w:r>
          </w:p>
        </w:tc>
        <w:tc>
          <w:tcPr>
            <w:tcW w:type="dxa" w:w="2160"/>
            <w:tcMar>
              <w:top w:w="60" w:type="dxa"/>
              <w:start w:w="110" w:type="dxa"/>
              <w:bottom w:w="60" w:type="dxa"/>
              <w:end w:w="110" w:type="dxa"/>
            </w:tcMar>
          </w:tcPr>
          <w:p>
            <w:pPr>
              <w:spacing w:after="0"/>
            </w:pPr>
            <w:r/>
            <w:r>
              <w:rPr>
                <w:rFonts w:ascii="Calibri" w:hAnsi="Calibri"/>
                <w:b w:val="0"/>
                <w:i w:val="0"/>
                <w:color w:val="101828"/>
                <w:sz w:val="16"/>
              </w:rPr>
              <w:t>Declining trend</w:t>
            </w:r>
          </w:p>
        </w:tc>
        <w:tc>
          <w:tcPr>
            <w:tcW w:type="dxa" w:w="4032"/>
            <w:tcMar>
              <w:top w:w="60" w:type="dxa"/>
              <w:start w:w="110" w:type="dxa"/>
              <w:bottom w:w="60" w:type="dxa"/>
              <w:end w:w="110" w:type="dxa"/>
            </w:tcMar>
          </w:tcPr>
          <w:p>
            <w:pPr>
              <w:spacing w:after="0"/>
            </w:pPr>
            <w:r/>
            <w:r>
              <w:rPr>
                <w:rFonts w:ascii="Calibri" w:hAnsi="Calibri"/>
                <w:b w:val="0"/>
                <w:i w:val="0"/>
                <w:color w:val="101828"/>
                <w:sz w:val="16"/>
              </w:rPr>
              <w:t>The number that actually matters</w:t>
            </w:r>
          </w:p>
        </w:tc>
      </w:tr>
      <w:tr>
        <w:trPr>
          <w:cantSplit/>
        </w:trPr>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Escaped money defects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Zero</w:t>
            </w:r>
          </w:p>
        </w:tc>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Any occurrence triggers a post-mortem and a test addition</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Test suite runtime</w:t>
            </w:r>
          </w:p>
        </w:tc>
        <w:tc>
          <w:tcPr>
            <w:tcW w:type="dxa" w:w="2160"/>
            <w:tcMar>
              <w:top w:w="60" w:type="dxa"/>
              <w:start w:w="110" w:type="dxa"/>
              <w:bottom w:w="60" w:type="dxa"/>
              <w:end w:w="110" w:type="dxa"/>
            </w:tcMar>
          </w:tcPr>
          <w:p>
            <w:pPr>
              <w:spacing w:after="0"/>
            </w:pPr>
            <w:r/>
            <w:r>
              <w:rPr>
                <w:rFonts w:ascii="Calibri" w:hAnsi="Calibri"/>
                <w:b w:val="0"/>
                <w:i w:val="0"/>
                <w:color w:val="101828"/>
                <w:sz w:val="16"/>
              </w:rPr>
              <w:t>&lt; 10 min for the full CI run</w:t>
            </w:r>
          </w:p>
        </w:tc>
        <w:tc>
          <w:tcPr>
            <w:tcW w:type="dxa" w:w="4032"/>
            <w:tcMar>
              <w:top w:w="60" w:type="dxa"/>
              <w:start w:w="110" w:type="dxa"/>
              <w:bottom w:w="60" w:type="dxa"/>
              <w:end w:w="110" w:type="dxa"/>
            </w:tcMar>
          </w:tcPr>
          <w:p>
            <w:pPr>
              <w:spacing w:after="0"/>
            </w:pPr>
            <w:r/>
            <w:r>
              <w:rPr>
                <w:rFonts w:ascii="Calibri" w:hAnsi="Calibri"/>
                <w:b w:val="0"/>
                <w:i w:val="0"/>
                <w:color w:val="101828"/>
                <w:sz w:val="16"/>
              </w:rPr>
              <w:t>A slow suite gets ignored, and ignored suites rot</w:t>
            </w:r>
          </w:p>
        </w:tc>
      </w:tr>
      <w:tr>
        <w:trPr>
          <w:cantSplit/>
        </w:trPr>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Flaky test rate</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&lt; 0.5%</w:t>
            </w:r>
          </w:p>
        </w:tc>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A flaky test trains the team to ignore red builds</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Domain core coverage</w:t>
            </w:r>
          </w:p>
        </w:tc>
        <w:tc>
          <w:tcPr>
            <w:tcW w:type="dxa" w:w="2160"/>
            <w:tcMar>
              <w:top w:w="60" w:type="dxa"/>
              <w:start w:w="110" w:type="dxa"/>
              <w:bottom w:w="60" w:type="dxa"/>
              <w:end w:w="110" w:type="dxa"/>
            </w:tcMar>
          </w:tcPr>
          <w:p>
            <w:pPr>
              <w:spacing w:after="0"/>
            </w:pPr>
            <w:r/>
            <w:r>
              <w:rPr>
                <w:rFonts w:ascii="Calibri" w:hAnsi="Calibri"/>
                <w:b w:val="0"/>
                <w:i w:val="0"/>
                <w:color w:val="101828"/>
                <w:sz w:val="16"/>
              </w:rPr>
              <w:t>&gt; 90% with meaningful assertions</w:t>
            </w:r>
          </w:p>
        </w:tc>
        <w:tc>
          <w:tcPr>
            <w:tcW w:type="dxa" w:w="4032"/>
            <w:tcMar>
              <w:top w:w="60" w:type="dxa"/>
              <w:start w:w="110" w:type="dxa"/>
              <w:bottom w:w="60" w:type="dxa"/>
              <w:end w:w="110" w:type="dxa"/>
            </w:tcMar>
          </w:tcPr>
          <w:p>
            <w:pPr>
              <w:spacing w:after="0"/>
            </w:pPr>
            <w:r/>
            <w:r>
              <w:rPr>
                <w:rFonts w:ascii="Calibri" w:hAnsi="Calibri"/>
                <w:b w:val="0"/>
                <w:i w:val="0"/>
                <w:color w:val="101828"/>
                <w:sz w:val="16"/>
              </w:rPr>
              <w:t>Money, ledger, state machine only</w:t>
            </w:r>
          </w:p>
        </w:tc>
      </w:tr>
      <w:tr>
        <w:trPr>
          <w:cantSplit/>
        </w:trPr>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Mean time to detect</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Via monitoring</w:t>
            </w:r>
          </w:p>
        </w:tc>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Better than mean time to fix, because it is controllable</w:t>
            </w:r>
          </w:p>
        </w:tc>
      </w:tr>
      <w:tr>
        <w:trPr>
          <w:cantSplit/>
        </w:trPr>
        <w:tc>
          <w:tcPr>
            <w:tcW w:type="dxa" w:w="3168"/>
            <w:tcMar>
              <w:top w:w="60" w:type="dxa"/>
              <w:start w:w="110" w:type="dxa"/>
              <w:bottom w:w="60" w:type="dxa"/>
              <w:end w:w="110" w:type="dxa"/>
            </w:tcMar>
          </w:tcPr>
          <w:p>
            <w:pPr>
              <w:spacing w:after="0"/>
            </w:pPr>
            <w:r/>
            <w:r>
              <w:rPr>
                <w:rFonts w:ascii="Calibri" w:hAnsi="Calibri"/>
                <w:b w:val="0"/>
                <w:i w:val="0"/>
                <w:color w:val="101828"/>
                <w:sz w:val="16"/>
              </w:rPr>
              <w:t>Post-mortem actions closed</w:t>
            </w:r>
          </w:p>
        </w:tc>
        <w:tc>
          <w:tcPr>
            <w:tcW w:type="dxa" w:w="2160"/>
            <w:tcMar>
              <w:top w:w="60" w:type="dxa"/>
              <w:start w:w="110" w:type="dxa"/>
              <w:bottom w:w="60" w:type="dxa"/>
              <w:end w:w="110" w:type="dxa"/>
            </w:tcMar>
          </w:tcPr>
          <w:p>
            <w:pPr>
              <w:spacing w:after="0"/>
            </w:pPr>
            <w:r/>
            <w:r>
              <w:rPr>
                <w:rFonts w:ascii="Calibri" w:hAnsi="Calibri"/>
                <w:b w:val="0"/>
                <w:i w:val="0"/>
                <w:color w:val="101828"/>
                <w:sz w:val="16"/>
              </w:rPr>
              <w:t>100% within the agreed date</w:t>
            </w:r>
          </w:p>
        </w:tc>
        <w:tc>
          <w:tcPr>
            <w:tcW w:type="dxa" w:w="4032"/>
            <w:tcMar>
              <w:top w:w="60" w:type="dxa"/>
              <w:start w:w="110" w:type="dxa"/>
              <w:bottom w:w="60" w:type="dxa"/>
              <w:end w:w="110" w:type="dxa"/>
            </w:tcMar>
          </w:tcPr>
          <w:p>
            <w:pPr>
              <w:spacing w:after="0"/>
            </w:pPr>
            <w:r/>
            <w:r>
              <w:rPr>
                <w:rFonts w:ascii="Calibri" w:hAnsi="Calibri"/>
                <w:b w:val="0"/>
                <w:i w:val="0"/>
                <w:color w:val="101828"/>
                <w:sz w:val="16"/>
              </w:rPr>
              <w:t>An unclosed action is a defect waiting to happen</w:t>
            </w:r>
          </w:p>
        </w:tc>
      </w:tr>
    </w:tbl>
    <w:p>
      <w:pPr>
        <w:spacing w:after="80"/>
      </w:pPr>
    </w:p>
    <w:p>
      <w:r>
        <w:br w:type="page"/>
      </w:r>
    </w:p>
    <w:p>
      <w:pPr>
        <w:pStyle w:val="Heading1"/>
        <w:pBdr>
          <w:bottom w:val="single" w:sz="12" w:space="6" w:color="146EF5"/>
        </w:pBdr>
        <w:spacing w:after="240"/>
      </w:pPr>
      <w:r>
        <w:rPr>
          <w:rFonts w:ascii="Calibri" w:hAnsi="Calibri"/>
          <w:b/>
          <w:i w:val="0"/>
          <w:color w:val="0B1F3A"/>
          <w:sz w:val="40"/>
        </w:rPr>
        <w:t>19. Error and Edge-Case Specification</w:t>
      </w:r>
    </w:p>
    <w:p>
      <w:pPr>
        <w:spacing w:after="200"/>
      </w:pPr>
      <w:r>
        <w:rPr>
          <w:rFonts w:ascii="Calibri" w:hAnsi="Calibri"/>
          <w:b w:val="0"/>
          <w:i w:val="0"/>
          <w:color w:val="475467"/>
          <w:sz w:val="24"/>
        </w:rPr>
        <w:t>A savings product that works perfectly in a test environment and fails on a Tuesday evening in a Lagos market has failed. This section is the register of every way that can happen: the payment that succeeds while the phone is dead, the webhook that arrives twice, the member who pays twice, the organiser who disappears, the account takeover, the round that completes before anyone has been told. One hundred and fifty-one cases are specified across ten classes, each with a trigger, a system behaviour, a user experience, a recovery mechanism and a logging requirement.</w:t>
      </w:r>
    </w:p>
    <w:p>
      <w:r>
        <w:rPr>
          <w:rFonts w:ascii="Calibri" w:hAnsi="Calibri"/>
          <w:b/>
          <w:color w:val="101828"/>
          <w:sz w:val="21"/>
        </w:rPr>
        <w:t>Three rules govern every case in this section.</w:t>
      </w:r>
      <w:r>
        <w:rPr>
          <w:rFonts w:ascii="Calibri" w:hAnsi="Calibri"/>
          <w:b w:val="0"/>
          <w:i w:val="0"/>
          <w:color w:val="101828"/>
          <w:sz w:val="21"/>
        </w:rPr>
        <w:t xml:space="preserve"> First, no role, including </w:t>
      </w:r>
      <w:r>
        <w:rPr>
          <w:rFonts w:ascii="Consolas" w:hAnsi="Consolas"/>
          <w:color w:val="146EF5"/>
          <w:sz w:val="21"/>
        </w:rPr>
        <w:t>super_admin</w:t>
      </w:r>
      <w:r>
        <w:rPr>
          <w:rFonts w:ascii="Calibri" w:hAnsi="Calibri"/>
          <w:b w:val="0"/>
          <w:i w:val="0"/>
          <w:color w:val="101828"/>
          <w:sz w:val="21"/>
        </w:rPr>
        <w:t>, may edit or delete a ledger entry; corrections are reversing entries only, and every transaction must balance to zero or be rejected (BR-013, BR-021, BR-025, G6). Second, a payout is released only when the round's funds are fully available; it is never reduced and corporate funds are never used to cover a shortfall (BR-018, BR-020, G4). Third, a defaulting member is never named or exposed to any other member, and no other member is ever charged extra without their explicit consent (BR-014, BR-015, G5). Any behaviour below that would breach one of these is stated as prohibited, not offered as an option.</w:t>
      </w:r>
    </w:p>
    <w:p>
      <w:r>
        <w:rPr>
          <w:rFonts w:ascii="Calibri" w:hAnsi="Calibri"/>
          <w:b/>
          <w:color w:val="101828"/>
          <w:sz w:val="21"/>
        </w:rPr>
        <w:t>Severity</w:t>
      </w:r>
      <w:r>
        <w:rPr>
          <w:rFonts w:ascii="Calibri" w:hAnsi="Calibri"/>
          <w:b w:val="0"/>
          <w:i w:val="0"/>
          <w:color w:val="101828"/>
          <w:sz w:val="21"/>
        </w:rPr>
        <w:t xml:space="preserve"> is assigned per case using the matrix in 19.12: S1 is money at risk or trust destroyed, S2 is a member blocked from a correct outcome, S3 is degraded experience with no money impact, S4 is cosmetic or internal. The </w:t>
      </w:r>
      <w:r>
        <w:rPr>
          <w:rFonts w:ascii="Consolas" w:hAnsi="Consolas"/>
          <w:color w:val="146EF5"/>
          <w:sz w:val="21"/>
        </w:rPr>
        <w:t>EC-nnn</w:t>
      </w:r>
      <w:r>
        <w:rPr>
          <w:rFonts w:ascii="Calibri" w:hAnsi="Calibri"/>
          <w:b w:val="0"/>
          <w:i w:val="0"/>
          <w:color w:val="101828"/>
          <w:sz w:val="21"/>
        </w:rPr>
        <w:t xml:space="preserve"> identifiers in this section are referenced from the flow tables in section 2 and are stable: an identifier is never reused for a different case.</w:t>
      </w:r>
    </w:p>
    <w:p>
      <w:pPr>
        <w:spacing w:before="140" w:after="180"/>
        <w:ind w:left="144"/>
        <w:shd w:val="clear" w:color="auto" w:fill="EFF6FF"/>
        <w:pBdr>
          <w:left w:val="single" w:sz="18" w:space="6" w:color="146EF5"/>
        </w:pBdr>
      </w:pPr>
      <w:r>
        <w:rPr>
          <w:rFonts w:ascii="Calibri" w:hAnsi="Calibri"/>
          <w:b/>
          <w:color w:val="146EF5"/>
          <w:sz w:val="19"/>
        </w:rPr>
        <w:t xml:space="preserve">The single most important line in this section  </w:t>
      </w:r>
      <w:r>
        <w:rPr>
          <w:rFonts w:ascii="Calibri" w:hAnsi="Calibri"/>
          <w:b w:val="0"/>
          <w:i w:val="0"/>
          <w:color w:val="0B1F3A"/>
          <w:sz w:val="19"/>
        </w:rPr>
        <w:t>There is no case in this register in which the platform pays a member less than the base pool they were promised, in which a member is charged twice for the same contribution, in which a defaulting member is exposed, in which a financial record is edited rather than reversed, or in which a shortfall is quietly covered with corporate funds. Those five are not edge cases to be handled. They are the product, and a design that permits any of them is a different product.</w:t>
      </w:r>
    </w:p>
    <w:p>
      <w:pPr>
        <w:pStyle w:val="Heading2"/>
      </w:pPr>
      <w:r>
        <w:rPr>
          <w:rFonts w:ascii="Calibri" w:hAnsi="Calibri"/>
          <w:b/>
          <w:i w:val="0"/>
          <w:color w:val="146EF5"/>
          <w:sz w:val="29"/>
        </w:rPr>
        <w:t>19.1 Payment edge cases</w:t>
      </w:r>
    </w:p>
    <w:p>
      <w:r>
        <w:rPr>
          <w:rFonts w:ascii="Calibri" w:hAnsi="Calibri"/>
          <w:b w:val="0"/>
          <w:i w:val="0"/>
          <w:color w:val="101828"/>
          <w:sz w:val="21"/>
        </w:rPr>
        <w:t>The payment class covers everything from the member's bank declining to the member deliberately paying twice. These are the highest-volume cases in the register and the ones most likely to be designed badly under time pressure, because a payment flow that 'looks fine' in a demo is precisely a payment flow that double-charges a real person.</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648"/>
            <w:shd w:val="clear" w:color="auto" w:fill="0B1F3A"/>
            <w:tcMar>
              <w:top w:w="60" w:type="dxa"/>
              <w:start w:w="110" w:type="dxa"/>
              <w:bottom w:w="60" w:type="dxa"/>
              <w:end w:w="110" w:type="dxa"/>
            </w:tcMar>
          </w:tcPr>
          <w:p>
            <w:pPr>
              <w:spacing w:after="0"/>
            </w:pPr>
            <w:r/>
            <w:r>
              <w:rPr>
                <w:rFonts w:ascii="Calibri" w:hAnsi="Calibri"/>
                <w:b/>
                <w:i w:val="0"/>
                <w:color w:val="FFFFFF"/>
                <w:sz w:val="14"/>
              </w:rPr>
              <w:t>ID</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Trigger</w:t>
            </w:r>
          </w:p>
        </w:tc>
        <w:tc>
          <w:tcPr>
            <w:tcW w:type="dxa" w:w="2088"/>
            <w:shd w:val="clear" w:color="auto" w:fill="0B1F3A"/>
            <w:tcMar>
              <w:top w:w="60" w:type="dxa"/>
              <w:start w:w="110" w:type="dxa"/>
              <w:bottom w:w="60" w:type="dxa"/>
              <w:end w:w="110" w:type="dxa"/>
            </w:tcMar>
          </w:tcPr>
          <w:p>
            <w:pPr>
              <w:spacing w:after="0"/>
            </w:pPr>
            <w:r/>
            <w:r>
              <w:rPr>
                <w:rFonts w:ascii="Calibri" w:hAnsi="Calibri"/>
                <w:b/>
                <w:i w:val="0"/>
                <w:color w:val="FFFFFF"/>
                <w:sz w:val="14"/>
              </w:rPr>
              <w:t>System behaviour</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4"/>
              </w:rPr>
              <w:t>User experience</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4"/>
              </w:rPr>
              <w:t>Recovery mechanism</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Logging requirement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EC-001</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member loses internet connectivity partway through authorising a payment, so the provider's result never reaches the app.</w:t>
            </w:r>
          </w:p>
        </w:tc>
        <w:tc>
          <w:tcPr>
            <w:tcW w:type="dxa" w:w="2088"/>
            <w:tcMar>
              <w:top w:w="60" w:type="dxa"/>
              <w:start w:w="110" w:type="dxa"/>
              <w:bottom w:w="60" w:type="dxa"/>
              <w:end w:w="110" w:type="dxa"/>
            </w:tcMar>
          </w:tcPr>
          <w:p>
            <w:pPr>
              <w:spacing w:after="0"/>
            </w:pPr>
            <w:r/>
            <w:r>
              <w:rPr>
                <w:rFonts w:ascii="Calibri" w:hAnsi="Calibri"/>
                <w:b w:val="0"/>
                <w:i w:val="0"/>
                <w:color w:val="101828"/>
                <w:sz w:val="14"/>
              </w:rPr>
              <w:t xml:space="preserve">The payment stays </w:t>
            </w:r>
            <w:r>
              <w:rPr>
                <w:rFonts w:ascii="Consolas" w:hAnsi="Consolas"/>
                <w:color w:val="146EF5"/>
                <w:sz w:val="14"/>
              </w:rPr>
              <w:t>PENDING</w:t>
            </w:r>
            <w:r>
              <w:rPr>
                <w:rFonts w:ascii="Calibri" w:hAnsi="Calibri"/>
                <w:b w:val="0"/>
                <w:i w:val="0"/>
                <w:color w:val="101828"/>
                <w:sz w:val="14"/>
              </w:rPr>
              <w:t xml:space="preserve"> with an expected confirmation time. The contribution stays PENDING and is never shown as in arrears. The member is not prompted to pay again. A late-arriving webhook is still accepted and still credits the contribution exactly once.</w:t>
            </w:r>
          </w:p>
        </w:tc>
        <w:tc>
          <w:tcPr>
            <w:tcW w:type="dxa" w:w="1728"/>
            <w:tcMar>
              <w:top w:w="60" w:type="dxa"/>
              <w:start w:w="110" w:type="dxa"/>
              <w:bottom w:w="60" w:type="dxa"/>
              <w:end w:w="110" w:type="dxa"/>
            </w:tcMar>
          </w:tcPr>
          <w:p>
            <w:pPr>
              <w:spacing w:after="0"/>
            </w:pPr>
            <w:r/>
            <w:r>
              <w:rPr>
                <w:rFonts w:ascii="Calibri" w:hAnsi="Calibri"/>
                <w:i/>
                <w:color w:val="101828"/>
                <w:sz w:val="14"/>
              </w:rPr>
              <w:t>We are still confirming this payment. Do not pay again - we will tell you the moment it clears.</w:t>
            </w:r>
            <w:r>
              <w:rPr>
                <w:rFonts w:ascii="Calibri" w:hAnsi="Calibri"/>
                <w:b w:val="0"/>
                <w:i w:val="0"/>
                <w:color w:val="101828"/>
                <w:sz w:val="14"/>
              </w:rPr>
              <w:t xml:space="preserve"> The dashboard shows the payment as pending with a spinner that is honest about what is known.</w:t>
            </w:r>
          </w:p>
        </w:tc>
        <w:tc>
          <w:tcPr>
            <w:tcW w:type="dxa" w:w="1584"/>
            <w:tcMar>
              <w:top w:w="60" w:type="dxa"/>
              <w:start w:w="110" w:type="dxa"/>
              <w:bottom w:w="60" w:type="dxa"/>
              <w:end w:w="110" w:type="dxa"/>
            </w:tcMar>
          </w:tcPr>
          <w:p>
            <w:pPr>
              <w:spacing w:after="0"/>
            </w:pPr>
            <w:r/>
            <w:r>
              <w:rPr>
                <w:rFonts w:ascii="Calibri" w:hAnsi="Calibri"/>
                <w:b w:val="0"/>
                <w:i w:val="0"/>
                <w:color w:val="101828"/>
                <w:sz w:val="14"/>
              </w:rPr>
              <w:t>Reconciliation against provider settlement, on the interval agreed with the provider under D-03. The interval is not fixed here because settlement timing is an open decision; what is fixed is that the member is contacted proactively rather than left waiting.</w:t>
            </w:r>
          </w:p>
        </w:tc>
        <w:tc>
          <w:tcPr>
            <w:tcW w:type="dxa" w:w="1656"/>
            <w:tcMar>
              <w:top w:w="60" w:type="dxa"/>
              <w:start w:w="110" w:type="dxa"/>
              <w:bottom w:w="60" w:type="dxa"/>
              <w:end w:w="110" w:type="dxa"/>
            </w:tcMar>
          </w:tcPr>
          <w:p>
            <w:pPr>
              <w:spacing w:after="0"/>
            </w:pPr>
            <w:r/>
            <w:r>
              <w:rPr>
                <w:rFonts w:ascii="Calibri" w:hAnsi="Calibri"/>
                <w:b w:val="0"/>
                <w:i w:val="0"/>
                <w:color w:val="101828"/>
                <w:sz w:val="14"/>
              </w:rPr>
              <w:t>Payment attempt with state, timestamp, last client heartbeat and the resolution path. Alert if any payment remains PENDING beyond the interval set under D-03, so the threshold is a decision rather than an assumption.</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EC-002</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payment succeeds at the provider but the HTTP response to the client is lost, so the app never learns the outcome.</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webhook, not the client response, is the source of truth. The payment is resolved to SUCCESS, the ledger posts </w:t>
            </w:r>
            <w:r>
              <w:rPr>
                <w:rFonts w:ascii="Consolas" w:hAnsi="Consolas"/>
                <w:color w:val="146EF5"/>
                <w:sz w:val="14"/>
              </w:rPr>
              <w:t>contribution.received</w:t>
            </w:r>
            <w:r>
              <w:rPr>
                <w:rFonts w:ascii="Calibri" w:hAnsi="Calibri"/>
                <w:b w:val="0"/>
                <w:i w:val="0"/>
                <w:color w:val="101828"/>
                <w:sz w:val="14"/>
              </w:rPr>
              <w:t xml:space="preserve"> then </w:t>
            </w:r>
            <w:r>
              <w:rPr>
                <w:rFonts w:ascii="Consolas" w:hAnsi="Consolas"/>
                <w:color w:val="146EF5"/>
                <w:sz w:val="14"/>
              </w:rPr>
              <w:t>fee.recognised</w:t>
            </w:r>
            <w:r>
              <w:rPr>
                <w:rFonts w:ascii="Calibri" w:hAnsi="Calibri"/>
                <w:b w:val="0"/>
                <w:i w:val="0"/>
                <w:color w:val="101828"/>
                <w:sz w:val="14"/>
              </w:rPr>
              <w:t>, and the contribution moves to PAID. The client reconciles on next open and sees PAID with a receipt.</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Nothing is asked of the member. On reopening the app the contribution simply reads PAID, with the receipt available.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None required. The member's next app open resolves the display; if it does not, </w:t>
            </w:r>
            <w:r>
              <w:rPr>
                <w:rFonts w:ascii="Consolas" w:hAnsi="Consolas"/>
                <w:color w:val="146EF5"/>
                <w:sz w:val="14"/>
              </w:rPr>
              <w:t>GET /payments/:id</w:t>
            </w:r>
            <w:r>
              <w:rPr>
                <w:rFonts w:ascii="Calibri" w:hAnsi="Calibri"/>
                <w:b w:val="0"/>
                <w:i w:val="0"/>
                <w:color w:val="101828"/>
                <w:sz w:val="14"/>
              </w:rPr>
              <w:t xml:space="preserve"> is authoritative.</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Log the webhook arrival and the client poll as two separate events, so that a 'client thought it failed' report can be distinguished from a real failure.</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EC-003</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provider delivers the same webhook twice, or delivers the retry of a webhook it already delivered.</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webhook event is deduplicated on provider event id. The second delivery returns 200 and changes nothing. No second ledger entry, no second fee, no second contribution credit.</w:t>
            </w:r>
          </w:p>
        </w:tc>
        <w:tc>
          <w:tcPr>
            <w:tcW w:type="dxa" w:w="1728"/>
            <w:tcMar>
              <w:top w:w="60" w:type="dxa"/>
              <w:start w:w="110" w:type="dxa"/>
              <w:bottom w:w="60" w:type="dxa"/>
              <w:end w:w="110" w:type="dxa"/>
            </w:tcMar>
          </w:tcPr>
          <w:p>
            <w:pPr>
              <w:spacing w:after="0"/>
            </w:pPr>
            <w:r/>
            <w:r>
              <w:rPr>
                <w:rFonts w:ascii="Calibri" w:hAnsi="Calibri"/>
                <w:b w:val="0"/>
                <w:i w:val="0"/>
                <w:color w:val="101828"/>
                <w:sz w:val="14"/>
              </w:rPr>
              <w:t>None. The member sees exactly one payment and one receipt.</w:t>
            </w:r>
          </w:p>
        </w:tc>
        <w:tc>
          <w:tcPr>
            <w:tcW w:type="dxa" w:w="1584"/>
            <w:tcMar>
              <w:top w:w="60" w:type="dxa"/>
              <w:start w:w="110" w:type="dxa"/>
              <w:bottom w:w="60" w:type="dxa"/>
              <w:end w:w="110" w:type="dxa"/>
            </w:tcMar>
          </w:tcPr>
          <w:p>
            <w:pPr>
              <w:spacing w:after="0"/>
            </w:pPr>
            <w:r/>
            <w:r>
              <w:rPr>
                <w:rFonts w:ascii="Calibri" w:hAnsi="Calibri"/>
                <w:b w:val="0"/>
                <w:i w:val="0"/>
                <w:color w:val="101828"/>
                <w:sz w:val="14"/>
              </w:rPr>
              <w:t>Automatic. The idempotency key for a webhook is the provider event id, stored uniquely.</w:t>
            </w:r>
          </w:p>
        </w:tc>
        <w:tc>
          <w:tcPr>
            <w:tcW w:type="dxa" w:w="1656"/>
            <w:tcMar>
              <w:top w:w="60" w:type="dxa"/>
              <w:start w:w="110" w:type="dxa"/>
              <w:bottom w:w="60" w:type="dxa"/>
              <w:end w:w="110" w:type="dxa"/>
            </w:tcMar>
          </w:tcPr>
          <w:p>
            <w:pPr>
              <w:spacing w:after="0"/>
            </w:pPr>
            <w:r/>
            <w:r>
              <w:rPr>
                <w:rFonts w:ascii="Calibri" w:hAnsi="Calibri"/>
                <w:b w:val="0"/>
                <w:i w:val="0"/>
                <w:color w:val="101828"/>
                <w:sz w:val="14"/>
              </w:rPr>
              <w:t>Log the duplicate with the original event id, so that a provider that double-delivers systematically is visible before it becomes a support load.</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EC-004</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 pays twice: either by deliberate action, or because a retry used a different idempotency key after a client crash regenerated it.</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second success is recorded as an overpayment against the same contribution, never as a second contribution and never silently absorbed. Escrow holds the amount. The contribution obligation is discharged by the first payment alone.</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You have paid this round twice. We are holding the extra NGN 1,020.00 and will refund it - nothing more is owed.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Refund on request, or consented application to a future round. The member must choose; silent application is prohibited (BR-032).</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Overpayment record linked to both payment ids, the contribution id, the reversal or application event, and the member's decision. Any overpayment unresolved after 7 days escalates.</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EC-005</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member pays a partial amount, for example NGN 500.00 against an obligation of NGN 1,000.00 plus the 2% fee.</w:t>
            </w:r>
          </w:p>
        </w:tc>
        <w:tc>
          <w:tcPr>
            <w:tcW w:type="dxa" w:w="2088"/>
            <w:tcMar>
              <w:top w:w="60" w:type="dxa"/>
              <w:start w:w="110" w:type="dxa"/>
              <w:bottom w:w="60" w:type="dxa"/>
              <w:end w:w="110" w:type="dxa"/>
            </w:tcMar>
          </w:tcPr>
          <w:p>
            <w:pPr>
              <w:spacing w:after="0"/>
            </w:pPr>
            <w:r/>
            <w:r>
              <w:rPr>
                <w:rFonts w:ascii="Calibri" w:hAnsi="Calibri"/>
                <w:b w:val="0"/>
                <w:i w:val="0"/>
                <w:color w:val="101828"/>
                <w:sz w:val="14"/>
              </w:rPr>
              <w:t>Refused. The amount owed is fixed by the schedule and the fee is a function of that amount, so a partial payment has no coherent fee. AJO.ng does not define partial contribution as a valid state at MVP.</w:t>
            </w:r>
          </w:p>
        </w:tc>
        <w:tc>
          <w:tcPr>
            <w:tcW w:type="dxa" w:w="1728"/>
            <w:tcMar>
              <w:top w:w="60" w:type="dxa"/>
              <w:start w:w="110" w:type="dxa"/>
              <w:bottom w:w="60" w:type="dxa"/>
              <w:end w:w="110" w:type="dxa"/>
            </w:tcMar>
          </w:tcPr>
          <w:p>
            <w:pPr>
              <w:spacing w:after="0"/>
            </w:pPr>
            <w:r/>
            <w:r>
              <w:rPr>
                <w:rFonts w:ascii="Calibri" w:hAnsi="Calibri"/>
                <w:i/>
                <w:color w:val="101828"/>
                <w:sz w:val="14"/>
              </w:rPr>
              <w:t>Contributions are a fixed amount. This round is NGN 1,000.00 plus a NGN 20.00 fee, NGN 1,020.00 in total.</w:t>
            </w:r>
          </w:p>
        </w:tc>
        <w:tc>
          <w:tcPr>
            <w:tcW w:type="dxa" w:w="1584"/>
            <w:tcMar>
              <w:top w:w="60" w:type="dxa"/>
              <w:start w:w="110" w:type="dxa"/>
              <w:bottom w:w="60" w:type="dxa"/>
              <w:end w:w="110" w:type="dxa"/>
            </w:tcMar>
          </w:tcPr>
          <w:p>
            <w:pPr>
              <w:spacing w:after="0"/>
            </w:pPr>
            <w:r/>
            <w:r>
              <w:rPr>
                <w:rFonts w:ascii="Calibri" w:hAnsi="Calibri"/>
                <w:b w:val="0"/>
                <w:i w:val="0"/>
                <w:color w:val="101828"/>
                <w:sz w:val="14"/>
              </w:rPr>
              <w:t>None required; the member pays the full amount. If partial payment is wanted later it is a scope change, not a bug fix.</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Rejected attempt logged with the attempted amount and the required amount, so a pattern of attempted partial payments is visible to risk.</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EC-006</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 pays more than the scheduled amount, for example NGN 5,000.00.</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amount is fixed at initiation from the schedule and the client cannot override it. An overpayment arrives only through EC-004, and is handled there.</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The amount for this round is fixed at NGN 1,020.00.</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None; the request is refused before any provider call is made.</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Refusal logged with actor, role and the mismatch between requested and required amount.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EC-007</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zero-value contribution is submitted, or the fee computes to zero kobo.</w:t>
            </w:r>
          </w:p>
        </w:tc>
        <w:tc>
          <w:tcPr>
            <w:tcW w:type="dxa" w:w="2088"/>
            <w:tcMar>
              <w:top w:w="60" w:type="dxa"/>
              <w:start w:w="110" w:type="dxa"/>
              <w:bottom w:w="60" w:type="dxa"/>
              <w:end w:w="110" w:type="dxa"/>
            </w:tcMar>
          </w:tcPr>
          <w:p>
            <w:pPr>
              <w:spacing w:after="0"/>
            </w:pPr>
            <w:r/>
            <w:r>
              <w:rPr>
                <w:rFonts w:ascii="Calibri" w:hAnsi="Calibri"/>
                <w:b w:val="0"/>
                <w:i w:val="0"/>
                <w:color w:val="101828"/>
                <w:sz w:val="14"/>
              </w:rPr>
              <w:t>Refused at validation. A zero contribution would create a ledger entry with no economic content and would corrupt round funding arithmetic. The minimum contribution is a configured value, not a hard-coded literal.</w:t>
            </w:r>
          </w:p>
        </w:tc>
        <w:tc>
          <w:tcPr>
            <w:tcW w:type="dxa" w:w="1728"/>
            <w:tcMar>
              <w:top w:w="60" w:type="dxa"/>
              <w:start w:w="110" w:type="dxa"/>
              <w:bottom w:w="60" w:type="dxa"/>
              <w:end w:w="110" w:type="dxa"/>
            </w:tcMar>
          </w:tcPr>
          <w:p>
            <w:pPr>
              <w:spacing w:after="0"/>
            </w:pPr>
            <w:r/>
            <w:r>
              <w:rPr>
                <w:rFonts w:ascii="Calibri" w:hAnsi="Calibri"/>
                <w:i/>
                <w:color w:val="101828"/>
                <w:sz w:val="14"/>
              </w:rPr>
              <w:t>This amount is below the minimum contribution AJO.ng allows.</w:t>
            </w:r>
          </w:p>
        </w:tc>
        <w:tc>
          <w:tcPr>
            <w:tcW w:type="dxa" w:w="1584"/>
            <w:tcMar>
              <w:top w:w="60" w:type="dxa"/>
              <w:start w:w="110" w:type="dxa"/>
              <w:bottom w:w="60" w:type="dxa"/>
              <w:end w:w="110" w:type="dxa"/>
            </w:tcMar>
          </w:tcPr>
          <w:p>
            <w:pPr>
              <w:spacing w:after="0"/>
            </w:pPr>
            <w:r/>
            <w:r>
              <w:rPr>
                <w:rFonts w:ascii="Calibri" w:hAnsi="Calibri"/>
                <w:b w:val="0"/>
                <w:i w:val="0"/>
                <w:color w:val="101828"/>
                <w:sz w:val="14"/>
              </w:rPr>
              <w:t>None required.</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Refusal logged. A run of near-zero or sub-minimum attempts is a risk signal (see EC-078, EC-081).</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EC-008</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fee rounding lands on a half-kobo boundary, for example an amount whose kobo value times 200 ends in exactly 5000.</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Rounding is half-up and applied exactly once, at the single defined point: </w:t>
            </w:r>
            <w:r>
              <w:rPr>
                <w:rFonts w:ascii="Consolas" w:hAnsi="Consolas"/>
                <w:color w:val="146EF5"/>
                <w:sz w:val="14"/>
              </w:rPr>
              <w:t>fee_kobo = (amount_kobo * 200 + 5000) / 10000</w:t>
            </w:r>
            <w:r>
              <w:rPr>
                <w:rFonts w:ascii="Calibri" w:hAnsi="Calibri"/>
                <w:b w:val="0"/>
                <w:i w:val="0"/>
                <w:color w:val="101828"/>
                <w:sz w:val="14"/>
              </w:rPr>
              <w:t xml:space="preserve"> using integer division. The computed fee is stored and the total charged is </w:t>
            </w:r>
            <w:r>
              <w:rPr>
                <w:rFonts w:ascii="Consolas" w:hAnsi="Consolas"/>
                <w:color w:val="146EF5"/>
                <w:sz w:val="14"/>
              </w:rPr>
              <w:t>amount_kobo + fee_kobo</w:t>
            </w:r>
            <w:r>
              <w:rPr>
                <w:rFonts w:ascii="Calibri" w:hAnsi="Calibri"/>
                <w:b w:val="0"/>
                <w:i w:val="0"/>
                <w:color w:val="101828"/>
                <w:sz w:val="14"/>
              </w:rPr>
              <w:t>; the total is never recomputed by re-rounding the sum.</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None. The member sees the same three numbers that were charged.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Property-based tests over large random amounts and every boundary value, plus a fixture that must render identically in the app, the receipt export and the ledger (A-08).</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Store </w:t>
            </w:r>
            <w:r>
              <w:rPr>
                <w:rFonts w:ascii="Consolas" w:hAnsi="Consolas"/>
                <w:color w:val="146EF5"/>
                <w:sz w:val="14"/>
              </w:rPr>
              <w:t>amount_kobo</w:t>
            </w:r>
            <w:r>
              <w:rPr>
                <w:rFonts w:ascii="Calibri" w:hAnsi="Calibri"/>
                <w:b w:val="0"/>
                <w:i w:val="0"/>
                <w:color w:val="101828"/>
                <w:sz w:val="14"/>
              </w:rPr>
              <w:t xml:space="preserve">, </w:t>
            </w:r>
            <w:r>
              <w:rPr>
                <w:rFonts w:ascii="Consolas" w:hAnsi="Consolas"/>
                <w:color w:val="146EF5"/>
                <w:sz w:val="14"/>
              </w:rPr>
              <w:t>fee_kobo</w:t>
            </w:r>
            <w:r>
              <w:rPr>
                <w:rFonts w:ascii="Calibri" w:hAnsi="Calibri"/>
                <w:b w:val="0"/>
                <w:i w:val="0"/>
                <w:color w:val="101828"/>
                <w:sz w:val="14"/>
              </w:rPr>
              <w:t xml:space="preserve"> and </w:t>
            </w:r>
            <w:r>
              <w:rPr>
                <w:rFonts w:ascii="Consolas" w:hAnsi="Consolas"/>
                <w:color w:val="146EF5"/>
                <w:sz w:val="14"/>
              </w:rPr>
              <w:t>total_kobo</w:t>
            </w:r>
            <w:r>
              <w:rPr>
                <w:rFonts w:ascii="Calibri" w:hAnsi="Calibri"/>
                <w:b w:val="0"/>
                <w:i w:val="0"/>
                <w:color w:val="101828"/>
                <w:sz w:val="14"/>
              </w:rPr>
              <w:t xml:space="preserve"> on every payment. If a recomputation ever disagrees with the stored values, that is a Sev-2 and is reported as K-16.</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EC-009</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database transaction fails midway, after one posting of a multi-posting ledger transaction has been written but before the transaction commits.</w:t>
            </w:r>
          </w:p>
        </w:tc>
        <w:tc>
          <w:tcPr>
            <w:tcW w:type="dxa" w:w="2088"/>
            <w:tcMar>
              <w:top w:w="60" w:type="dxa"/>
              <w:start w:w="110" w:type="dxa"/>
              <w:bottom w:w="60" w:type="dxa"/>
              <w:end w:w="110" w:type="dxa"/>
            </w:tcMar>
          </w:tcPr>
          <w:p>
            <w:pPr>
              <w:spacing w:after="0"/>
            </w:pPr>
            <w:r/>
            <w:r>
              <w:rPr>
                <w:rFonts w:ascii="Calibri" w:hAnsi="Calibri"/>
                <w:b w:val="0"/>
                <w:i w:val="0"/>
                <w:color w:val="101828"/>
                <w:sz w:val="14"/>
              </w:rPr>
              <w:t xml:space="preserve">The whole ledger transaction rolls back atomically. No partial posting survives. The business record is left in its prior state with a </w:t>
            </w:r>
            <w:r>
              <w:rPr>
                <w:rFonts w:ascii="Consolas" w:hAnsi="Consolas"/>
                <w:color w:val="146EF5"/>
                <w:sz w:val="14"/>
              </w:rPr>
              <w:t>POST_INCOMPLETE</w:t>
            </w:r>
            <w:r>
              <w:rPr>
                <w:rFonts w:ascii="Calibri" w:hAnsi="Calibri"/>
                <w:b w:val="0"/>
                <w:i w:val="0"/>
                <w:color w:val="101828"/>
                <w:sz w:val="14"/>
              </w:rPr>
              <w:t xml:space="preserve"> marker and is resolved by reconciliation, never by hand-editing.</w:t>
            </w:r>
          </w:p>
        </w:tc>
        <w:tc>
          <w:tcPr>
            <w:tcW w:type="dxa" w:w="1728"/>
            <w:tcMar>
              <w:top w:w="60" w:type="dxa"/>
              <w:start w:w="110" w:type="dxa"/>
              <w:bottom w:w="60" w:type="dxa"/>
              <w:end w:w="110" w:type="dxa"/>
            </w:tcMar>
          </w:tcPr>
          <w:p>
            <w:pPr>
              <w:spacing w:after="0"/>
            </w:pPr>
            <w:r/>
            <w:r>
              <w:rPr>
                <w:rFonts w:ascii="Calibri" w:hAnsi="Calibri"/>
                <w:i/>
                <w:color w:val="101828"/>
                <w:sz w:val="14"/>
              </w:rPr>
              <w:t>We are resolving a records issue on this payment. You have not been charged twice and nothing is lost.</w:t>
            </w:r>
          </w:p>
        </w:tc>
        <w:tc>
          <w:tcPr>
            <w:tcW w:type="dxa" w:w="1584"/>
            <w:tcMar>
              <w:top w:w="60" w:type="dxa"/>
              <w:start w:w="110" w:type="dxa"/>
              <w:bottom w:w="60" w:type="dxa"/>
              <w:end w:w="110" w:type="dxa"/>
            </w:tcMar>
          </w:tcPr>
          <w:p>
            <w:pPr>
              <w:spacing w:after="0"/>
            </w:pPr>
            <w:r/>
            <w:r>
              <w:rPr>
                <w:rFonts w:ascii="Calibri" w:hAnsi="Calibri"/>
                <w:b w:val="0"/>
                <w:i w:val="0"/>
                <w:color w:val="101828"/>
                <w:sz w:val="14"/>
              </w:rPr>
              <w:t>Automated reconciliation, then a risk event if unresolved. The solvency assertion prevents any disbursement while the exception is open (BR-020).</w:t>
            </w:r>
          </w:p>
        </w:tc>
        <w:tc>
          <w:tcPr>
            <w:tcW w:type="dxa" w:w="1656"/>
            <w:tcMar>
              <w:top w:w="60" w:type="dxa"/>
              <w:start w:w="110" w:type="dxa"/>
              <w:bottom w:w="60" w:type="dxa"/>
              <w:end w:w="110" w:type="dxa"/>
            </w:tcMar>
          </w:tcPr>
          <w:p>
            <w:pPr>
              <w:spacing w:after="0"/>
            </w:pPr>
            <w:r/>
            <w:r>
              <w:rPr>
                <w:rFonts w:ascii="Calibri" w:hAnsi="Calibri"/>
                <w:b w:val="0"/>
                <w:i w:val="0"/>
                <w:color w:val="101828"/>
                <w:sz w:val="14"/>
              </w:rPr>
              <w:t>Sev-1 alert on any partial ledger write. Log transaction id, the postings that were attempted, the rollback, and the resolution. K-16 is zero tolerance.</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EC-010</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reversal or refund is requested for a payment whose funds have already left the approved financial arrangement, for example because a payout was made from the same pool.</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simple reversal path is unavailable. The case is escalated to </w:t>
            </w:r>
            <w:r>
              <w:rPr>
                <w:rFonts w:ascii="Consolas" w:hAnsi="Consolas"/>
                <w:color w:val="146EF5"/>
                <w:sz w:val="14"/>
              </w:rPr>
              <w:t>risk_officer</w:t>
            </w:r>
            <w:r>
              <w:rPr>
                <w:rFonts w:ascii="Calibri" w:hAnsi="Calibri"/>
                <w:b w:val="0"/>
                <w:i w:val="0"/>
                <w:color w:val="101828"/>
                <w:sz w:val="14"/>
              </w:rPr>
              <w:t xml:space="preserve"> and to the provider relationship. AJO.ng does not claw back from a member, and does not absorb a loss silently.</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Your refund is with our payment partner. We will update you every 48 hours until it is done.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Manual case with a named contact at ProvidusUnity, a recorded risk decision, and proactive member updates on a fixed cadence until resolution.</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Case record with the trigger, the evidence, the decision, the rationale and the officer. Every member update logged so the cadence commitment is auditable.</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EC-011</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refund is claimed twice for the same payment, or two agents initiate the same refund concurrently.</w:t>
            </w:r>
          </w:p>
        </w:tc>
        <w:tc>
          <w:tcPr>
            <w:tcW w:type="dxa" w:w="2088"/>
            <w:tcMar>
              <w:top w:w="60" w:type="dxa"/>
              <w:start w:w="110" w:type="dxa"/>
              <w:bottom w:w="60" w:type="dxa"/>
              <w:end w:w="110" w:type="dxa"/>
            </w:tcMar>
          </w:tcPr>
          <w:p>
            <w:pPr>
              <w:spacing w:after="0"/>
            </w:pPr>
            <w:r/>
            <w:r>
              <w:rPr>
                <w:rFonts w:ascii="Calibri" w:hAnsi="Calibri"/>
                <w:b w:val="0"/>
                <w:i w:val="0"/>
                <w:color w:val="101828"/>
                <w:sz w:val="14"/>
              </w:rPr>
              <w:t>One reversal per payment, enforced by a uniqueness constraint on the reversal reference. The second request is rejected and the attempt is recorded.</w:t>
            </w:r>
          </w:p>
        </w:tc>
        <w:tc>
          <w:tcPr>
            <w:tcW w:type="dxa" w:w="1728"/>
            <w:tcMar>
              <w:top w:w="60" w:type="dxa"/>
              <w:start w:w="110" w:type="dxa"/>
              <w:bottom w:w="60" w:type="dxa"/>
              <w:end w:w="110" w:type="dxa"/>
            </w:tcMar>
          </w:tcPr>
          <w:p>
            <w:pPr>
              <w:spacing w:after="0"/>
            </w:pPr>
            <w:r/>
            <w:r>
              <w:rPr>
                <w:rFonts w:ascii="Calibri" w:hAnsi="Calibri"/>
                <w:i/>
                <w:color w:val="101828"/>
                <w:sz w:val="14"/>
              </w:rPr>
              <w:t>This payment has already been refunded. Here is your refund receipt.</w:t>
            </w:r>
          </w:p>
        </w:tc>
        <w:tc>
          <w:tcPr>
            <w:tcW w:type="dxa" w:w="1584"/>
            <w:tcMar>
              <w:top w:w="60" w:type="dxa"/>
              <w:start w:w="110" w:type="dxa"/>
              <w:bottom w:w="60" w:type="dxa"/>
              <w:end w:w="110" w:type="dxa"/>
            </w:tcMar>
          </w:tcPr>
          <w:p>
            <w:pPr>
              <w:spacing w:after="0"/>
            </w:pPr>
            <w:r/>
            <w:r>
              <w:rPr>
                <w:rFonts w:ascii="Calibri" w:hAnsi="Calibri"/>
                <w:b w:val="0"/>
                <w:i w:val="0"/>
                <w:color w:val="101828"/>
                <w:sz w:val="14"/>
              </w:rPr>
              <w:t>Automatic.</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Rejected attempt logged with actor and role. A support agent repeatedly hitting this is a training signal, not a system fault.</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EC-012</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 pays after the due time but before the 48-hour grace has elapsed.</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Accepted as a late payment, not a default. The contribution returns to PAID, the organiser is not notified that a default occurred, and the late arrival is visible only in the member's own record and in aggregate reporting.</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Paid, late. Nothing more is needed.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None required.</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Late-payment metric K-03 tracks on-time rate; individual lateness is retained but never surfaced to other members (BR-014).</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EC-013</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payment is initiated for a contribution that has already been settled, because the client showed a stale screen.</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server, not the client, is authoritative. The request is rejected as a conflict. No provider call is made and no money moves.</w:t>
            </w:r>
          </w:p>
        </w:tc>
        <w:tc>
          <w:tcPr>
            <w:tcW w:type="dxa" w:w="1728"/>
            <w:tcMar>
              <w:top w:w="60" w:type="dxa"/>
              <w:start w:w="110" w:type="dxa"/>
              <w:bottom w:w="60" w:type="dxa"/>
              <w:end w:w="110" w:type="dxa"/>
            </w:tcMar>
          </w:tcPr>
          <w:p>
            <w:pPr>
              <w:spacing w:after="0"/>
            </w:pPr>
            <w:r/>
            <w:r>
              <w:rPr>
                <w:rFonts w:ascii="Calibri" w:hAnsi="Calibri"/>
                <w:i/>
                <w:color w:val="101828"/>
                <w:sz w:val="14"/>
              </w:rPr>
              <w:t>You have already paid this round. Here is your receipt.</w:t>
            </w:r>
          </w:p>
        </w:tc>
        <w:tc>
          <w:tcPr>
            <w:tcW w:type="dxa" w:w="1584"/>
            <w:tcMar>
              <w:top w:w="60" w:type="dxa"/>
              <w:start w:w="110" w:type="dxa"/>
              <w:bottom w:w="60" w:type="dxa"/>
              <w:end w:w="110" w:type="dxa"/>
            </w:tcMar>
          </w:tcPr>
          <w:p>
            <w:pPr>
              <w:spacing w:after="0"/>
            </w:pPr>
            <w:r/>
            <w:r>
              <w:rPr>
                <w:rFonts w:ascii="Calibri" w:hAnsi="Calibri"/>
                <w:b w:val="0"/>
                <w:i w:val="0"/>
                <w:color w:val="101828"/>
                <w:sz w:val="14"/>
              </w:rPr>
              <w:t>Automatic. The client refetches the contribution and shows PAID.</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Rejected attempt logged. A high rate of these is a client-cache defect and is tracked as an S3 engineering defect, not a member error.</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EC-014</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 pays after the Ajo has been CANCELLED or has COMPLETED.</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Ajo is in a terminal state and accepts no further events. The payment is refused before any provider call (BR-009).</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This Ajo has ended, so it cannot take another payment. If you believe you are owed something from it, contact us and we will check the record.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Support reviews the ledger; if a genuine obligation exists it is settled as a payout or refund, never as a contribution.</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Refusal logged with the Ajo's terminal state and the timestamp at which it was reached.</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EC-015</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member pays after their contribution has been recorded as DEFAULTED.</w:t>
            </w:r>
          </w:p>
        </w:tc>
        <w:tc>
          <w:tcPr>
            <w:tcW w:type="dxa" w:w="2088"/>
            <w:tcMar>
              <w:top w:w="60" w:type="dxa"/>
              <w:start w:w="110" w:type="dxa"/>
              <w:bottom w:w="60" w:type="dxa"/>
              <w:end w:w="110" w:type="dxa"/>
            </w:tcMar>
          </w:tcPr>
          <w:p>
            <w:pPr>
              <w:spacing w:after="0"/>
            </w:pPr>
            <w:r/>
            <w:r>
              <w:rPr>
                <w:rFonts w:ascii="Calibri" w:hAnsi="Calibri"/>
                <w:b w:val="0"/>
                <w:i w:val="0"/>
                <w:color w:val="101828"/>
                <w:sz w:val="14"/>
              </w:rPr>
              <w:t>Accepted through the recovery path. The contribution transitions DEFAULTED back to PAID. The historical default record is retained and never deleted; only the state advances (BR-016, FR-DEF-007).</w:t>
            </w:r>
          </w:p>
        </w:tc>
        <w:tc>
          <w:tcPr>
            <w:tcW w:type="dxa" w:w="1728"/>
            <w:tcMar>
              <w:top w:w="60" w:type="dxa"/>
              <w:start w:w="110" w:type="dxa"/>
              <w:bottom w:w="60" w:type="dxa"/>
              <w:end w:w="110" w:type="dxa"/>
            </w:tcMar>
          </w:tcPr>
          <w:p>
            <w:pPr>
              <w:spacing w:after="0"/>
            </w:pPr>
            <w:r/>
            <w:r>
              <w:rPr>
                <w:rFonts w:ascii="Calibri" w:hAnsi="Calibri"/>
                <w:i/>
                <w:color w:val="101828"/>
                <w:sz w:val="14"/>
              </w:rPr>
              <w:t>Thank you. Your payment is recorded and your Ajo is back on track.</w:t>
            </w:r>
          </w:p>
        </w:tc>
        <w:tc>
          <w:tcPr>
            <w:tcW w:type="dxa" w:w="1584"/>
            <w:tcMar>
              <w:top w:w="60" w:type="dxa"/>
              <w:start w:w="110" w:type="dxa"/>
              <w:bottom w:w="60" w:type="dxa"/>
              <w:end w:w="110" w:type="dxa"/>
            </w:tcMar>
          </w:tcPr>
          <w:p>
            <w:pPr>
              <w:spacing w:after="0"/>
            </w:pPr>
            <w:r/>
            <w:r>
              <w:rPr>
                <w:rFonts w:ascii="Calibri" w:hAnsi="Calibri"/>
                <w:b w:val="0"/>
                <w:i w:val="0"/>
                <w:color w:val="101828"/>
                <w:sz w:val="14"/>
              </w:rPr>
              <w:t>None required. This is the recovery path working.</w:t>
            </w:r>
          </w:p>
        </w:tc>
        <w:tc>
          <w:tcPr>
            <w:tcW w:type="dxa" w:w="1656"/>
            <w:tcMar>
              <w:top w:w="60" w:type="dxa"/>
              <w:start w:w="110" w:type="dxa"/>
              <w:bottom w:w="60" w:type="dxa"/>
              <w:end w:w="110" w:type="dxa"/>
            </w:tcMar>
          </w:tcPr>
          <w:p>
            <w:pPr>
              <w:spacing w:after="0"/>
            </w:pPr>
            <w:r/>
            <w:r>
              <w:rPr>
                <w:rFonts w:ascii="Calibri" w:hAnsi="Calibri"/>
                <w:b w:val="0"/>
                <w:i w:val="0"/>
                <w:color w:val="101828"/>
                <w:sz w:val="14"/>
              </w:rPr>
              <w:t>Full state transition chain retained with actor, role, timestamp, prior state and new state (NFR-AUD-001).</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EC-016</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contribution arrives after the 48-hour grace has fully elapsed, by which point a default has already been recorded and the organiser has been notified.</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Same as EC-015: the contribution returns to PAID. The organiser is not sent a correction notification containing member-visible default language; they see the current state, which is PAID.</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Your payment is in and your round is covered.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None required.</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State chain retained. The default-to-recovered transition is a required field in default-rate reporting (K-05) so that recoveries are visible to risk.</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EC-017</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refund or reversal takes longer than the stated window, or the provider never confirms it.</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case is swept on a schedule. The provider is asked for a reason. The member receives a proactive update at a fixed interval until it resolves. No window is publicised until ProvidusUnity confirms it in writing.</w:t>
            </w:r>
          </w:p>
        </w:tc>
        <w:tc>
          <w:tcPr>
            <w:tcW w:type="dxa" w:w="1728"/>
            <w:tcMar>
              <w:top w:w="60" w:type="dxa"/>
              <w:start w:w="110" w:type="dxa"/>
              <w:bottom w:w="60" w:type="dxa"/>
              <w:end w:w="110" w:type="dxa"/>
            </w:tcMar>
          </w:tcPr>
          <w:p>
            <w:pPr>
              <w:spacing w:after="0"/>
            </w:pPr>
            <w:r/>
            <w:r>
              <w:rPr>
                <w:rFonts w:ascii="Calibri" w:hAnsi="Calibri"/>
                <w:i/>
                <w:color w:val="101828"/>
                <w:sz w:val="14"/>
              </w:rPr>
              <w:t>Still waiting on the payment partner. Next update by DATE.</w:t>
            </w:r>
          </w:p>
        </w:tc>
        <w:tc>
          <w:tcPr>
            <w:tcW w:type="dxa" w:w="1584"/>
            <w:tcMar>
              <w:top w:w="60" w:type="dxa"/>
              <w:start w:w="110" w:type="dxa"/>
              <w:bottom w:w="60" w:type="dxa"/>
              <w:end w:w="110" w:type="dxa"/>
            </w:tcMar>
          </w:tcPr>
          <w:p>
            <w:pPr>
              <w:spacing w:after="0"/>
            </w:pPr>
            <w:r/>
            <w:r>
              <w:rPr>
                <w:rFonts w:ascii="Calibri" w:hAnsi="Calibri"/>
                <w:b w:val="0"/>
                <w:i w:val="0"/>
                <w:color w:val="101828"/>
                <w:sz w:val="14"/>
              </w:rPr>
              <w:t>Support sweep plus provider escalation. D-07 (refund SLA) must be answered before any window is promised to a member.</w:t>
            </w:r>
          </w:p>
        </w:tc>
        <w:tc>
          <w:tcPr>
            <w:tcW w:type="dxa" w:w="1656"/>
            <w:tcMar>
              <w:top w:w="60" w:type="dxa"/>
              <w:start w:w="110" w:type="dxa"/>
              <w:bottom w:w="60" w:type="dxa"/>
              <w:end w:w="110" w:type="dxa"/>
            </w:tcMar>
          </w:tcPr>
          <w:p>
            <w:pPr>
              <w:spacing w:after="0"/>
            </w:pPr>
            <w:r/>
            <w:r>
              <w:rPr>
                <w:rFonts w:ascii="Calibri" w:hAnsi="Calibri"/>
                <w:b w:val="0"/>
                <w:i w:val="0"/>
                <w:color w:val="101828"/>
                <w:sz w:val="14"/>
              </w:rPr>
              <w:t>Every update logged with its timestamp so the cadence commitment is auditable and so that a promise made in one channel and missed in another is detectable.</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EC-018</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provider is unreachable at payment initiation, before any charge is possible.</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Initiation fails fast. No payment record is left dangling in an ambiguous state and no obligation is altered. The client retries with the same idempotency key.</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We could not reach the payment provider. Nothing was taken. Try again in a minute.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Automatic client retry, then manual retry. Nothing is lost because nothing happened.</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Initiation failures logged with provider, latency and error class. Availability on the money path is measured separately (NFR-AVL-002).</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EC-019</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provider declines for insufficient funds, or the issuer refuses.</w:t>
            </w:r>
          </w:p>
        </w:tc>
        <w:tc>
          <w:tcPr>
            <w:tcW w:type="dxa" w:w="2088"/>
            <w:tcMar>
              <w:top w:w="60" w:type="dxa"/>
              <w:start w:w="110" w:type="dxa"/>
              <w:bottom w:w="60" w:type="dxa"/>
              <w:end w:w="110" w:type="dxa"/>
            </w:tcMar>
          </w:tcPr>
          <w:p>
            <w:pPr>
              <w:spacing w:after="0"/>
            </w:pPr>
            <w:r/>
            <w:r>
              <w:rPr>
                <w:rFonts w:ascii="Calibri" w:hAnsi="Calibri"/>
                <w:b w:val="0"/>
                <w:i w:val="0"/>
                <w:color w:val="101828"/>
                <w:sz w:val="14"/>
              </w:rPr>
              <w:t>Payment state FAILED with a machine-readable reason. No ledger entry is written, because no money moved. The contribution stays PENDING and the due date is unchanged.</w:t>
            </w:r>
          </w:p>
        </w:tc>
        <w:tc>
          <w:tcPr>
            <w:tcW w:type="dxa" w:w="1728"/>
            <w:tcMar>
              <w:top w:w="60" w:type="dxa"/>
              <w:start w:w="110" w:type="dxa"/>
              <w:bottom w:w="60" w:type="dxa"/>
              <w:end w:w="110" w:type="dxa"/>
            </w:tcMar>
          </w:tcPr>
          <w:p>
            <w:pPr>
              <w:spacing w:after="0"/>
            </w:pPr>
            <w:r/>
            <w:r>
              <w:rPr>
                <w:rFonts w:ascii="Calibri" w:hAnsi="Calibri"/>
                <w:i/>
                <w:color w:val="101828"/>
                <w:sz w:val="14"/>
              </w:rPr>
              <w:t>Not enough in the account. Nothing was taken. Top up and try again.</w:t>
            </w:r>
          </w:p>
        </w:tc>
        <w:tc>
          <w:tcPr>
            <w:tcW w:type="dxa" w:w="1584"/>
            <w:tcMar>
              <w:top w:w="60" w:type="dxa"/>
              <w:start w:w="110" w:type="dxa"/>
              <w:bottom w:w="60" w:type="dxa"/>
              <w:end w:w="110" w:type="dxa"/>
            </w:tcMar>
          </w:tcPr>
          <w:p>
            <w:pPr>
              <w:spacing w:after="0"/>
            </w:pPr>
            <w:r/>
            <w:r>
              <w:rPr>
                <w:rFonts w:ascii="Consolas" w:hAnsi="Consolas"/>
                <w:color w:val="146EF5"/>
                <w:sz w:val="14"/>
              </w:rPr>
              <w:t>POST /contributions/:id/retry</w:t>
            </w:r>
            <w:r>
              <w:rPr>
                <w:rFonts w:ascii="Calibri" w:hAnsi="Calibri"/>
                <w:b w:val="0"/>
                <w:i w:val="0"/>
                <w:color w:val="101828"/>
                <w:sz w:val="14"/>
              </w:rPr>
              <w:t xml:space="preserve"> with a new idempotency key against the same obligation.</w:t>
            </w:r>
          </w:p>
        </w:tc>
        <w:tc>
          <w:tcPr>
            <w:tcW w:type="dxa" w:w="1656"/>
            <w:tcMar>
              <w:top w:w="60" w:type="dxa"/>
              <w:start w:w="110" w:type="dxa"/>
              <w:bottom w:w="60" w:type="dxa"/>
              <w:end w:w="110" w:type="dxa"/>
            </w:tcMar>
          </w:tcPr>
          <w:p>
            <w:pPr>
              <w:spacing w:after="0"/>
            </w:pPr>
            <w:r/>
            <w:r>
              <w:rPr>
                <w:rFonts w:ascii="Calibri" w:hAnsi="Calibri"/>
                <w:b w:val="0"/>
                <w:i w:val="0"/>
                <w:color w:val="101828"/>
                <w:sz w:val="14"/>
              </w:rPr>
              <w:t>Failure reason class and provider reference retained. No provider text is exposed raw to members (enumeration and information-leak control).</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EC-020</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provider's client page loads slowly or fails to load, so the member cannot authorise at all.</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payment stays PENDING or is CANCELLED. The contribution is untouched. The member can retry or choose another supported method.</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The payment page is not loading. Nothing has been taken. Try again, or try a different method.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Retry, alternative method, or support-assisted path that still does not involve AJO.ng handling credentials (NFR-SEC-007).</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Provider page load failures are not visible to us directly; provider-side telemetry is requested in the SLA and the gap is logged as a known blind spot.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EC-021</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contribution amount falls outside the configured minimum or above the contribution cap.</w:t>
            </w:r>
          </w:p>
        </w:tc>
        <w:tc>
          <w:tcPr>
            <w:tcW w:type="dxa" w:w="2088"/>
            <w:tcMar>
              <w:top w:w="60" w:type="dxa"/>
              <w:start w:w="110" w:type="dxa"/>
              <w:bottom w:w="60" w:type="dxa"/>
              <w:end w:w="110" w:type="dxa"/>
            </w:tcMar>
          </w:tcPr>
          <w:p>
            <w:pPr>
              <w:spacing w:after="0"/>
            </w:pPr>
            <w:r/>
            <w:r>
              <w:rPr>
                <w:rFonts w:ascii="Calibri" w:hAnsi="Calibri"/>
                <w:b w:val="0"/>
                <w:i w:val="0"/>
                <w:color w:val="101828"/>
                <w:sz w:val="14"/>
              </w:rPr>
              <w:t>Refused before any provider call. The bounds are configured, not hard-coded, and the cap exists as a fraud control (D-08). AJO.ng publishes the range, so no member discovers it by failing.</w:t>
            </w:r>
          </w:p>
        </w:tc>
        <w:tc>
          <w:tcPr>
            <w:tcW w:type="dxa" w:w="1728"/>
            <w:tcMar>
              <w:top w:w="60" w:type="dxa"/>
              <w:start w:w="110" w:type="dxa"/>
              <w:bottom w:w="60" w:type="dxa"/>
              <w:end w:w="110" w:type="dxa"/>
            </w:tcMar>
          </w:tcPr>
          <w:p>
            <w:pPr>
              <w:spacing w:after="0"/>
            </w:pPr>
            <w:r/>
            <w:r>
              <w:rPr>
                <w:rFonts w:ascii="Calibri" w:hAnsi="Calibri"/>
                <w:i/>
                <w:color w:val="101828"/>
                <w:sz w:val="14"/>
              </w:rPr>
              <w:t>This amount is outside the range AJO.ng allows for one contribution.</w:t>
            </w:r>
          </w:p>
        </w:tc>
        <w:tc>
          <w:tcPr>
            <w:tcW w:type="dxa" w:w="1584"/>
            <w:tcMar>
              <w:top w:w="60" w:type="dxa"/>
              <w:start w:w="110" w:type="dxa"/>
              <w:bottom w:w="60" w:type="dxa"/>
              <w:end w:w="110" w:type="dxa"/>
            </w:tcMar>
          </w:tcPr>
          <w:p>
            <w:pPr>
              <w:spacing w:after="0"/>
            </w:pPr>
            <w:r/>
            <w:r>
              <w:rPr>
                <w:rFonts w:ascii="Calibri" w:hAnsi="Calibri"/>
                <w:b w:val="0"/>
                <w:i w:val="0"/>
                <w:color w:val="101828"/>
                <w:sz w:val="14"/>
              </w:rPr>
              <w:t xml:space="preserve">Choose an amount inside the range. The bounds are changed only by </w:t>
            </w:r>
            <w:r>
              <w:rPr>
                <w:rFonts w:ascii="Consolas" w:hAnsi="Consolas"/>
                <w:color w:val="146EF5"/>
                <w:sz w:val="14"/>
              </w:rPr>
              <w:t>super_admin</w:t>
            </w:r>
            <w:r>
              <w:rPr>
                <w:rFonts w:ascii="Calibri" w:hAnsi="Calibri"/>
                <w:b w:val="0"/>
                <w:i w:val="0"/>
                <w:color w:val="101828"/>
                <w:sz w:val="14"/>
              </w:rPr>
              <w:t>, with a versioned and audited change.</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Refusal with the attempted amount and the range in force. A population of attempts just above the cap is a risk signal (R4).</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EC-022</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identical request arrives twice, from a retry, a double tap or a client retry storm.</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w:t>
            </w:r>
            <w:r>
              <w:rPr>
                <w:rFonts w:ascii="Consolas" w:hAnsi="Consolas"/>
                <w:color w:val="146EF5"/>
                <w:sz w:val="14"/>
              </w:rPr>
              <w:t>Idempotency-Key</w:t>
            </w:r>
            <w:r>
              <w:rPr>
                <w:rFonts w:ascii="Calibri" w:hAnsi="Calibri"/>
                <w:b w:val="0"/>
                <w:i w:val="0"/>
                <w:color w:val="101828"/>
                <w:sz w:val="14"/>
              </w:rPr>
              <w:t xml:space="preserve"> returns the original result rather than creating a second one. No second obligation, no second payment, no second ledger entry. The replayed request is recorded, not served as new.</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You already paid this one. Here is your receipt.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None needed; this is the guarantee working (BR-024).</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Replayed request with the key and the original result. A rise in replays from one client is a client defect and an S3 engineering item.</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EC-023</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member abandons the provider's authorisation page without completing or cancelling it.</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payment is left in a non-terminal state until the provider's own timeout resolves it, and the contribution stays PENDING and not overdue. AJO.ng does not assume abandonment means failure, because a provider may still complete it.</w:t>
            </w:r>
          </w:p>
        </w:tc>
        <w:tc>
          <w:tcPr>
            <w:tcW w:type="dxa" w:w="1728"/>
            <w:tcMar>
              <w:top w:w="60" w:type="dxa"/>
              <w:start w:w="110" w:type="dxa"/>
              <w:bottom w:w="60" w:type="dxa"/>
              <w:end w:w="110" w:type="dxa"/>
            </w:tcMar>
          </w:tcPr>
          <w:p>
            <w:pPr>
              <w:spacing w:after="0"/>
            </w:pPr>
            <w:r/>
            <w:r>
              <w:rPr>
                <w:rFonts w:ascii="Calibri" w:hAnsi="Calibri"/>
                <w:i/>
                <w:color w:val="101828"/>
                <w:sz w:val="14"/>
              </w:rPr>
              <w:t>Nothing was taken. You can pay this round whenever you are ready.</w:t>
            </w:r>
          </w:p>
        </w:tc>
        <w:tc>
          <w:tcPr>
            <w:tcW w:type="dxa" w:w="1584"/>
            <w:tcMar>
              <w:top w:w="60" w:type="dxa"/>
              <w:start w:w="110" w:type="dxa"/>
              <w:bottom w:w="60" w:type="dxa"/>
              <w:end w:w="110" w:type="dxa"/>
            </w:tcMar>
          </w:tcPr>
          <w:p>
            <w:pPr>
              <w:spacing w:after="0"/>
            </w:pPr>
            <w:r/>
            <w:r>
              <w:rPr>
                <w:rFonts w:ascii="Calibri" w:hAnsi="Calibri"/>
                <w:b w:val="0"/>
                <w:i w:val="0"/>
                <w:color w:val="101828"/>
                <w:sz w:val="14"/>
              </w:rPr>
              <w:t>The provider timeout, then the same payment surface again, or support-assisted.</w:t>
            </w:r>
          </w:p>
        </w:tc>
        <w:tc>
          <w:tcPr>
            <w:tcW w:type="dxa" w:w="1656"/>
            <w:tcMar>
              <w:top w:w="60" w:type="dxa"/>
              <w:start w:w="110" w:type="dxa"/>
              <w:bottom w:w="60" w:type="dxa"/>
              <w:end w:w="110" w:type="dxa"/>
            </w:tcMar>
          </w:tcPr>
          <w:p>
            <w:pPr>
              <w:spacing w:after="0"/>
            </w:pPr>
            <w:r/>
            <w:r>
              <w:rPr>
                <w:rFonts w:ascii="Calibri" w:hAnsi="Calibri"/>
                <w:b w:val="0"/>
                <w:i w:val="0"/>
                <w:color w:val="101828"/>
                <w:sz w:val="14"/>
              </w:rPr>
              <w:t>Abandonment with the elapsed time before the provider resolved it. A pattern of abandonment at one provider screen is a provider-usability finding.</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EC-024</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same member retries the same contribution more than three times, each attempt failing.</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Further retries are rate-limited for that contribution and the member is routed to a different method or to support. This prevents a retry loop from becoming a payment incident, and it does not change the obligation or the due date.</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That is several attempts. Let us sort this out together - nothing has been taken.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Support-assisted payment, which still does not involve AJO.ng handling credentials.</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Retry count per contribution with the failure class on each attempt. A member stuck at three failures is a conversion problem and is reviewed as one.</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EC-025</w:t>
            </w:r>
          </w:p>
        </w:tc>
        <w:tc>
          <w:tcPr>
            <w:tcW w:type="dxa" w:w="1656"/>
            <w:tcMar>
              <w:top w:w="60" w:type="dxa"/>
              <w:start w:w="110" w:type="dxa"/>
              <w:bottom w:w="60" w:type="dxa"/>
              <w:end w:w="110" w:type="dxa"/>
            </w:tcMar>
          </w:tcPr>
          <w:p>
            <w:pPr>
              <w:spacing w:after="0"/>
            </w:pPr>
            <w:r/>
            <w:r>
              <w:rPr>
                <w:rFonts w:ascii="Calibri" w:hAnsi="Calibri"/>
                <w:b w:val="0"/>
                <w:i w:val="0"/>
                <w:color w:val="101828"/>
                <w:sz w:val="14"/>
              </w:rPr>
              <w:t>One member fails payments across several Ajos at once, for example because a phone is shared across accounts.</w:t>
            </w:r>
          </w:p>
        </w:tc>
        <w:tc>
          <w:tcPr>
            <w:tcW w:type="dxa" w:w="2088"/>
            <w:tcMar>
              <w:top w:w="60" w:type="dxa"/>
              <w:start w:w="110" w:type="dxa"/>
              <w:bottom w:w="60" w:type="dxa"/>
              <w:end w:w="110" w:type="dxa"/>
            </w:tcMar>
          </w:tcPr>
          <w:p>
            <w:pPr>
              <w:spacing w:after="0"/>
            </w:pPr>
            <w:r/>
            <w:r>
              <w:rPr>
                <w:rFonts w:ascii="Calibri" w:hAnsi="Calibri"/>
                <w:b w:val="0"/>
                <w:i w:val="0"/>
                <w:color w:val="101828"/>
                <w:sz w:val="14"/>
              </w:rPr>
              <w:t xml:space="preserve">Treated as a signal about the account, not as dishonesty. No default is accelerated, no obligation is altered, and the pattern is routed to </w:t>
            </w:r>
            <w:r>
              <w:rPr>
                <w:rFonts w:ascii="Consolas" w:hAnsi="Consolas"/>
                <w:color w:val="146EF5"/>
                <w:sz w:val="14"/>
              </w:rPr>
              <w:t>risk_officer</w:t>
            </w:r>
            <w:r>
              <w:rPr>
                <w:rFonts w:ascii="Calibri" w:hAnsi="Calibri"/>
                <w:b w:val="0"/>
                <w:i w:val="0"/>
                <w:color w:val="101828"/>
                <w:sz w:val="14"/>
              </w:rPr>
              <w:t xml:space="preserve"> for review rather than to automatic punishment.</w:t>
            </w:r>
          </w:p>
        </w:tc>
        <w:tc>
          <w:tcPr>
            <w:tcW w:type="dxa" w:w="1728"/>
            <w:tcMar>
              <w:top w:w="60" w:type="dxa"/>
              <w:start w:w="110" w:type="dxa"/>
              <w:bottom w:w="60" w:type="dxa"/>
              <w:end w:w="110" w:type="dxa"/>
            </w:tcMar>
          </w:tcPr>
          <w:p>
            <w:pPr>
              <w:spacing w:after="0"/>
            </w:pPr>
            <w:r/>
            <w:r>
              <w:rPr>
                <w:rFonts w:ascii="Calibri" w:hAnsi="Calibri"/>
                <w:i/>
                <w:color w:val="101828"/>
                <w:sz w:val="14"/>
              </w:rPr>
              <w:t>It looks like something is wrong with the account rather than with you. Let us fix it.</w:t>
            </w:r>
          </w:p>
        </w:tc>
        <w:tc>
          <w:tcPr>
            <w:tcW w:type="dxa" w:w="1584"/>
            <w:tcMar>
              <w:top w:w="60" w:type="dxa"/>
              <w:start w:w="110" w:type="dxa"/>
              <w:bottom w:w="60" w:type="dxa"/>
              <w:end w:w="110" w:type="dxa"/>
            </w:tcMar>
          </w:tcPr>
          <w:p>
            <w:pPr>
              <w:spacing w:after="0"/>
            </w:pPr>
            <w:r/>
            <w:r>
              <w:rPr>
                <w:rFonts w:ascii="Calibri" w:hAnsi="Calibri"/>
                <w:b w:val="0"/>
                <w:i w:val="0"/>
                <w:color w:val="101828"/>
                <w:sz w:val="14"/>
              </w:rPr>
              <w:t>Verification-assisted resolution; a single verified account is preferred to several that all fail.</w:t>
            </w:r>
          </w:p>
        </w:tc>
        <w:tc>
          <w:tcPr>
            <w:tcW w:type="dxa" w:w="1656"/>
            <w:tcMar>
              <w:top w:w="60" w:type="dxa"/>
              <w:start w:w="110" w:type="dxa"/>
              <w:bottom w:w="60" w:type="dxa"/>
              <w:end w:w="110" w:type="dxa"/>
            </w:tcMar>
          </w:tcPr>
          <w:p>
            <w:pPr>
              <w:spacing w:after="0"/>
            </w:pPr>
            <w:r/>
            <w:r>
              <w:rPr>
                <w:rFonts w:ascii="Calibri" w:hAnsi="Calibri"/>
                <w:b w:val="0"/>
                <w:i w:val="0"/>
                <w:color w:val="101828"/>
                <w:sz w:val="14"/>
              </w:rPr>
              <w:t>Cross-Ajo failure pattern with the accounts and devices involved. This is the pattern that would otherwise be mistaken for fraud (R4).</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EC-026</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believes a charge happened and cannot find it in their own history.</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Treated as a possible money-at-risk report, not a misunderstanding. The member's full payment history is readable by them, support can reconcile against the provider by reference, and the case is worked to a definite answer either way.</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We will find it. If a charge went through, you will see it here, and if it did not, we will tell you that too.</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Support reconciliation by provider reference, ending in either a located payment or a confirmed absence.</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member's report, the reconciliation evidence, and the conclusion. An unlocated charge is escalated to </w:t>
            </w:r>
            <w:r>
              <w:rPr>
                <w:rFonts w:ascii="Consolas" w:hAnsi="Consolas"/>
                <w:color w:val="146EF5"/>
                <w:sz w:val="14"/>
              </w:rPr>
              <w:t>risk_officer</w:t>
            </w:r>
            <w:r>
              <w:rPr>
                <w:rFonts w:ascii="Calibri" w:hAnsi="Calibri"/>
                <w:b w:val="0"/>
                <w:i w:val="0"/>
                <w:color w:val="101828"/>
                <w:sz w:val="14"/>
              </w:rPr>
              <w:t>, because 'we cannot find it' and 'it did not happen' must never be the answer given.</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EC-027</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member asks for the 2% fee to be refunded as well as their contribution.</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contribution is refunded in full. The fee treatment depends on D-05 at Ajo cancellation and D-06 on whether the fee is tax-inclusive, so the fee answer is either given from a decision or explicitly held as open. AJO.ng does not quietly decide it in the member's favour or against them.</w:t>
            </w:r>
          </w:p>
        </w:tc>
        <w:tc>
          <w:tcPr>
            <w:tcW w:type="dxa" w:w="1728"/>
            <w:tcMar>
              <w:top w:w="60" w:type="dxa"/>
              <w:start w:w="110" w:type="dxa"/>
              <w:bottom w:w="60" w:type="dxa"/>
              <w:end w:w="110" w:type="dxa"/>
            </w:tcMar>
          </w:tcPr>
          <w:p>
            <w:pPr>
              <w:spacing w:after="0"/>
            </w:pPr>
            <w:r/>
            <w:r>
              <w:rPr>
                <w:rFonts w:ascii="Calibri" w:hAnsi="Calibri"/>
                <w:i/>
                <w:color w:val="101828"/>
                <w:sz w:val="14"/>
              </w:rPr>
              <w:t>Your contribution is being returned in full. The fee question is a policy one and we will answer it as soon as it is settled - we are not going to guess with your money.</w:t>
            </w:r>
          </w:p>
        </w:tc>
        <w:tc>
          <w:tcPr>
            <w:tcW w:type="dxa" w:w="1584"/>
            <w:tcMar>
              <w:top w:w="60" w:type="dxa"/>
              <w:start w:w="110" w:type="dxa"/>
              <w:bottom w:w="60" w:type="dxa"/>
              <w:end w:w="110" w:type="dxa"/>
            </w:tcMar>
          </w:tcPr>
          <w:p>
            <w:pPr>
              <w:spacing w:after="0"/>
            </w:pPr>
            <w:r/>
            <w:r>
              <w:rPr>
                <w:rFonts w:ascii="Calibri" w:hAnsi="Calibri"/>
                <w:b w:val="0"/>
                <w:i w:val="0"/>
                <w:color w:val="101828"/>
                <w:sz w:val="14"/>
              </w:rPr>
              <w:t>Refund of the contribution; fee refund on the answer to D-05, applied consistently to every member affected.</w:t>
            </w:r>
          </w:p>
        </w:tc>
        <w:tc>
          <w:tcPr>
            <w:tcW w:type="dxa" w:w="1656"/>
            <w:tcMar>
              <w:top w:w="60" w:type="dxa"/>
              <w:start w:w="110" w:type="dxa"/>
              <w:bottom w:w="60" w:type="dxa"/>
              <w:end w:w="110" w:type="dxa"/>
            </w:tcMar>
          </w:tcPr>
          <w:p>
            <w:pPr>
              <w:spacing w:after="0"/>
            </w:pPr>
            <w:r/>
            <w:r>
              <w:rPr>
                <w:rFonts w:ascii="Calibri" w:hAnsi="Calibri"/>
                <w:b w:val="0"/>
                <w:i w:val="0"/>
                <w:color w:val="101828"/>
                <w:sz w:val="14"/>
              </w:rPr>
              <w:t>Fee-refund requests with the decision applied. A fee refunded to some members and not others would be a discrimination finding, so the population is tracked.</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EC-028</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contribution falls due while the member's account is frozen or under risk review.</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obligation stands and the due date does not move, because a platform-imposed pause is not a member default. The state is HELD rather than OVERDUE, no default is recorded against the member, and no other member is charged for it.</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Your round is still yours. While we review your account the payment is paused, and you are not overdue and nobody else is being asked to cover it.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Unfreeze after review, then the normal contribution window. Support can act for the member if the review outlasts the window.</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Due date, HELD event with its reason, and the notification to the affected member. Prolonged holds on the same account are reviewed, because they accumulate into a real loss.</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EC-029</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payment failure was actually the provider's fault and the member is treated as though it were theirs.</w:t>
            </w:r>
          </w:p>
        </w:tc>
        <w:tc>
          <w:tcPr>
            <w:tcW w:type="dxa" w:w="2088"/>
            <w:tcMar>
              <w:top w:w="60" w:type="dxa"/>
              <w:start w:w="110" w:type="dxa"/>
              <w:bottom w:w="60" w:type="dxa"/>
              <w:end w:w="110" w:type="dxa"/>
            </w:tcMar>
          </w:tcPr>
          <w:p>
            <w:pPr>
              <w:spacing w:after="0"/>
            </w:pPr>
            <w:r/>
            <w:r>
              <w:rPr>
                <w:rFonts w:ascii="Calibri" w:hAnsi="Calibri"/>
                <w:b w:val="0"/>
                <w:i w:val="0"/>
                <w:color w:val="101828"/>
                <w:sz w:val="14"/>
              </w:rPr>
              <w:t>Corrected wherever it is recorded. Attribution is determined by provider evidence, not by the fact that a failure occurred on our member's schedule, and a member's record is amended rather than left carrying a fault that was not theirs.</w:t>
            </w:r>
          </w:p>
        </w:tc>
        <w:tc>
          <w:tcPr>
            <w:tcW w:type="dxa" w:w="1728"/>
            <w:tcMar>
              <w:top w:w="60" w:type="dxa"/>
              <w:start w:w="110" w:type="dxa"/>
              <w:bottom w:w="60" w:type="dxa"/>
              <w:end w:w="110" w:type="dxa"/>
            </w:tcMar>
          </w:tcPr>
          <w:p>
            <w:pPr>
              <w:spacing w:after="0"/>
            </w:pPr>
            <w:r/>
            <w:r>
              <w:rPr>
                <w:rFonts w:ascii="Calibri" w:hAnsi="Calibri"/>
                <w:i/>
                <w:color w:val="101828"/>
                <w:sz w:val="14"/>
              </w:rPr>
              <w:t>That was our provider's problem, not yours. It is corrected on your record.</w:t>
            </w:r>
          </w:p>
        </w:tc>
        <w:tc>
          <w:tcPr>
            <w:tcW w:type="dxa" w:w="1584"/>
            <w:tcMar>
              <w:top w:w="60" w:type="dxa"/>
              <w:start w:w="110" w:type="dxa"/>
              <w:bottom w:w="60" w:type="dxa"/>
              <w:end w:w="110" w:type="dxa"/>
            </w:tcMar>
          </w:tcPr>
          <w:p>
            <w:pPr>
              <w:spacing w:after="0"/>
            </w:pPr>
            <w:r/>
            <w:r>
              <w:rPr>
                <w:rFonts w:ascii="Calibri" w:hAnsi="Calibri"/>
                <w:b w:val="0"/>
                <w:i w:val="0"/>
                <w:color w:val="101828"/>
                <w:sz w:val="14"/>
              </w:rPr>
              <w:t>Record correction with the provider evidence attached.</w:t>
            </w:r>
          </w:p>
        </w:tc>
        <w:tc>
          <w:tcPr>
            <w:tcW w:type="dxa" w:w="1656"/>
            <w:tcMar>
              <w:top w:w="60" w:type="dxa"/>
              <w:start w:w="110" w:type="dxa"/>
              <w:bottom w:w="60" w:type="dxa"/>
              <w:end w:w="110" w:type="dxa"/>
            </w:tcMar>
          </w:tcPr>
          <w:p>
            <w:pPr>
              <w:spacing w:after="0"/>
            </w:pPr>
            <w:r/>
            <w:r>
              <w:rPr>
                <w:rFonts w:ascii="Calibri" w:hAnsi="Calibri"/>
                <w:b w:val="0"/>
                <w:i w:val="0"/>
                <w:color w:val="101828"/>
                <w:sz w:val="14"/>
              </w:rPr>
              <w:t>Attribution with the evidence, and any correction made to a member's record. Misattributed failures accumulate into false risk profiles, so this is a quality metric, not a nicety.</w:t>
            </w:r>
          </w:p>
        </w:tc>
      </w:tr>
    </w:tbl>
    <w:p>
      <w:pPr>
        <w:spacing w:after="80"/>
      </w:pPr>
    </w:p>
    <w:p>
      <w:r>
        <w:br w:type="page"/>
      </w:r>
    </w:p>
    <w:p>
      <w:pPr>
        <w:pStyle w:val="Heading2"/>
      </w:pPr>
      <w:r>
        <w:rPr>
          <w:rFonts w:ascii="Calibri" w:hAnsi="Calibri"/>
          <w:b/>
          <w:i w:val="0"/>
          <w:color w:val="146EF5"/>
          <w:sz w:val="29"/>
        </w:rPr>
        <w:t>19.2 Connectivity and client edge cases</w:t>
      </w:r>
    </w:p>
    <w:p>
      <w:r>
        <w:rPr>
          <w:rFonts w:ascii="Calibri" w:hAnsi="Calibri"/>
          <w:b w:val="0"/>
          <w:i w:val="0"/>
          <w:color w:val="101828"/>
          <w:sz w:val="21"/>
        </w:rPr>
        <w:t>The target user is on a mid-range Android device over 3G, in a market, at the end of a trading day (G7, C-14, A-07). Connectivity is therefore the normal condition, not the exception, and the flows in section 2 are written for that reality. This class covers what happens when the network, the device clock or the device itself misbehaves.</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648"/>
            <w:shd w:val="clear" w:color="auto" w:fill="0B1F3A"/>
            <w:tcMar>
              <w:top w:w="60" w:type="dxa"/>
              <w:start w:w="110" w:type="dxa"/>
              <w:bottom w:w="60" w:type="dxa"/>
              <w:end w:w="110" w:type="dxa"/>
            </w:tcMar>
          </w:tcPr>
          <w:p>
            <w:pPr>
              <w:spacing w:after="0"/>
            </w:pPr>
            <w:r/>
            <w:r>
              <w:rPr>
                <w:rFonts w:ascii="Calibri" w:hAnsi="Calibri"/>
                <w:b/>
                <w:i w:val="0"/>
                <w:color w:val="FFFFFF"/>
                <w:sz w:val="14"/>
              </w:rPr>
              <w:t>ID</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Trigger</w:t>
            </w:r>
          </w:p>
        </w:tc>
        <w:tc>
          <w:tcPr>
            <w:tcW w:type="dxa" w:w="2088"/>
            <w:shd w:val="clear" w:color="auto" w:fill="0B1F3A"/>
            <w:tcMar>
              <w:top w:w="60" w:type="dxa"/>
              <w:start w:w="110" w:type="dxa"/>
              <w:bottom w:w="60" w:type="dxa"/>
              <w:end w:w="110" w:type="dxa"/>
            </w:tcMar>
          </w:tcPr>
          <w:p>
            <w:pPr>
              <w:spacing w:after="0"/>
            </w:pPr>
            <w:r/>
            <w:r>
              <w:rPr>
                <w:rFonts w:ascii="Calibri" w:hAnsi="Calibri"/>
                <w:b/>
                <w:i w:val="0"/>
                <w:color w:val="FFFFFF"/>
                <w:sz w:val="14"/>
              </w:rPr>
              <w:t>System behaviour</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4"/>
              </w:rPr>
              <w:t>User experience</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4"/>
              </w:rPr>
              <w:t>Recovery mechanism</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Logging requirement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EC-030</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client loses connectivity entirely, for example the phone is out of signal for hours while a contribution is due.</w:t>
            </w:r>
          </w:p>
        </w:tc>
        <w:tc>
          <w:tcPr>
            <w:tcW w:type="dxa" w:w="2088"/>
            <w:tcMar>
              <w:top w:w="60" w:type="dxa"/>
              <w:start w:w="110" w:type="dxa"/>
              <w:bottom w:w="60" w:type="dxa"/>
              <w:end w:w="110" w:type="dxa"/>
            </w:tcMar>
          </w:tcPr>
          <w:p>
            <w:pPr>
              <w:spacing w:after="0"/>
            </w:pPr>
            <w:r/>
            <w:r>
              <w:rPr>
                <w:rFonts w:ascii="Calibri" w:hAnsi="Calibri"/>
                <w:b w:val="0"/>
                <w:i w:val="0"/>
                <w:color w:val="101828"/>
                <w:sz w:val="14"/>
              </w:rPr>
              <w:t>Nothing is queued locally to be 'sent later' for a money movement. The server remains the sole authority on state. Cached reads are served with an explicit 'last updated' timestamp so a stale screen can never be mistaken for a live one.</w:t>
            </w:r>
          </w:p>
        </w:tc>
        <w:tc>
          <w:tcPr>
            <w:tcW w:type="dxa" w:w="1728"/>
            <w:tcMar>
              <w:top w:w="60" w:type="dxa"/>
              <w:start w:w="110" w:type="dxa"/>
              <w:bottom w:w="60" w:type="dxa"/>
              <w:end w:w="110" w:type="dxa"/>
            </w:tcMar>
          </w:tcPr>
          <w:p>
            <w:pPr>
              <w:spacing w:after="0"/>
            </w:pPr>
            <w:r/>
            <w:r>
              <w:rPr>
                <w:rFonts w:ascii="Calibri" w:hAnsi="Calibri"/>
                <w:b w:val="0"/>
                <w:i w:val="0"/>
                <w:color w:val="101828"/>
                <w:sz w:val="14"/>
              </w:rPr>
              <w:t>The app opens to cached data clearly marked as such, plus the outstanding amount and due date. The next action is always available when signal returns.</w:t>
            </w:r>
          </w:p>
        </w:tc>
        <w:tc>
          <w:tcPr>
            <w:tcW w:type="dxa" w:w="1584"/>
            <w:tcMar>
              <w:top w:w="60" w:type="dxa"/>
              <w:start w:w="110" w:type="dxa"/>
              <w:bottom w:w="60" w:type="dxa"/>
              <w:end w:w="110" w:type="dxa"/>
            </w:tcMar>
          </w:tcPr>
          <w:p>
            <w:pPr>
              <w:spacing w:after="0"/>
            </w:pPr>
            <w:r/>
            <w:r>
              <w:rPr>
                <w:rFonts w:ascii="Calibri" w:hAnsi="Calibri"/>
                <w:b w:val="0"/>
                <w:i w:val="0"/>
                <w:color w:val="101828"/>
                <w:sz w:val="14"/>
              </w:rPr>
              <w:t>Automatic on reconnect. No offline money movement exists by design, because an offline payment queue is an unbounded double-charge risk.</w:t>
            </w:r>
          </w:p>
        </w:tc>
        <w:tc>
          <w:tcPr>
            <w:tcW w:type="dxa" w:w="1656"/>
            <w:tcMar>
              <w:top w:w="60" w:type="dxa"/>
              <w:start w:w="110" w:type="dxa"/>
              <w:bottom w:w="60" w:type="dxa"/>
              <w:end w:w="110" w:type="dxa"/>
            </w:tcMar>
          </w:tcPr>
          <w:p>
            <w:pPr>
              <w:spacing w:after="0"/>
            </w:pPr>
            <w:r/>
            <w:r>
              <w:rPr>
                <w:rFonts w:ascii="Calibri" w:hAnsi="Calibri"/>
                <w:b w:val="0"/>
                <w:i w:val="0"/>
                <w:color w:val="101828"/>
                <w:sz w:val="14"/>
              </w:rPr>
              <w:t>Client-side connectivity and cache-age events with device class. This data is how we prove the low-bandwidth requirement in NFR-PERF-004 rather than assuming it.</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EC-031</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client clock is wrong by hours or days, so the app believes a due date has passed when it has not, or the reverse.</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All state transitions, deadlines and grace windows are computed server-side from recorded UTC timestamps. A skewed client can neither accelerate nor postpone a default, a grace expiry or an enrollment deadline.</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Your phone time is out by more than a day. Your payment status is correct regardless.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The app resynchronises time on detection. The member's status is unaffected in the meantime, which is the point.</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Client clock offset logged per session with device id. A population of skewed devices is an S3 usability defect and is prioritised as such, precisely because it makes an honest member believe they are in arrears when they are not.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EC-032</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member travels to a different Nigerian time zone, or the country changes its time rules, during an active Ajo.</w:t>
            </w:r>
          </w:p>
        </w:tc>
        <w:tc>
          <w:tcPr>
            <w:tcW w:type="dxa" w:w="2088"/>
            <w:tcMar>
              <w:top w:w="60" w:type="dxa"/>
              <w:start w:w="110" w:type="dxa"/>
              <w:bottom w:w="60" w:type="dxa"/>
              <w:end w:w="110" w:type="dxa"/>
            </w:tcMar>
          </w:tcPr>
          <w:p>
            <w:pPr>
              <w:spacing w:after="0"/>
            </w:pPr>
            <w:r/>
            <w:r>
              <w:rPr>
                <w:rFonts w:ascii="Calibri" w:hAnsi="Calibri"/>
                <w:b w:val="0"/>
                <w:i w:val="0"/>
                <w:color w:val="101828"/>
                <w:sz w:val="14"/>
              </w:rPr>
              <w:t>All timestamps are stored in UTC and rendered in the user's configured zone, with the zone shown explicitly whenever a deadline matters. Deadlines themselves are evaluated in a single declared Ajo time zone, not in the viewer's local zone.</w:t>
            </w:r>
          </w:p>
        </w:tc>
        <w:tc>
          <w:tcPr>
            <w:tcW w:type="dxa" w:w="1728"/>
            <w:tcMar>
              <w:top w:w="60" w:type="dxa"/>
              <w:start w:w="110" w:type="dxa"/>
              <w:bottom w:w="60" w:type="dxa"/>
              <w:end w:w="110" w:type="dxa"/>
            </w:tcMar>
          </w:tcPr>
          <w:p>
            <w:pPr>
              <w:spacing w:after="0"/>
            </w:pPr>
            <w:r/>
            <w:r>
              <w:rPr>
                <w:rFonts w:ascii="Calibri" w:hAnsi="Calibri"/>
                <w:b w:val="0"/>
                <w:i w:val="0"/>
                <w:color w:val="101828"/>
                <w:sz w:val="14"/>
              </w:rPr>
              <w:t xml:space="preserve">The due date always displays with its zone, for example </w:t>
            </w:r>
            <w:r>
              <w:rPr>
                <w:rFonts w:ascii="Calibri" w:hAnsi="Calibri"/>
                <w:i/>
                <w:color w:val="101828"/>
                <w:sz w:val="14"/>
              </w:rPr>
              <w:t>Tue 12 May, 18:00 WAT</w:t>
            </w:r>
            <w:r>
              <w:rPr>
                <w:rFonts w:ascii="Calibri" w:hAnsi="Calibri"/>
                <w:b w:val="0"/>
                <w:i w:val="0"/>
                <w:color w:val="101828"/>
                <w:sz w:val="14"/>
              </w:rPr>
              <w:t>. A traveller sees the deadline in the Ajo's terms, not in theirs, so nobody is surprised by a silent 7-hour shift.</w:t>
            </w:r>
          </w:p>
        </w:tc>
        <w:tc>
          <w:tcPr>
            <w:tcW w:type="dxa" w:w="1584"/>
            <w:tcMar>
              <w:top w:w="60" w:type="dxa"/>
              <w:start w:w="110" w:type="dxa"/>
              <w:bottom w:w="60" w:type="dxa"/>
              <w:end w:w="110" w:type="dxa"/>
            </w:tcMar>
          </w:tcPr>
          <w:p>
            <w:pPr>
              <w:spacing w:after="0"/>
            </w:pPr>
            <w:r/>
            <w:r>
              <w:rPr>
                <w:rFonts w:ascii="Calibri" w:hAnsi="Calibri"/>
                <w:b w:val="0"/>
                <w:i w:val="0"/>
                <w:color w:val="101828"/>
                <w:sz w:val="14"/>
              </w:rPr>
              <w:t>None needed; this is a rendering rule. NFR-LOC-003.</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Rendered zone recorded on any dispute about a missed deadline, so support can reconstruct exactly what the member saw.</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EC-033</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Daylight-saving or a government time change moves a local clock forward by an hour in the middle of a collection window.</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Ajo's deadlines are anchored to UTC instants, not to wall-clock local time, so a clock change cannot create or destroy a due date. The Ajo time zone is declared once and stored with the Ajo.</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Any affected member is notified in advance if the change moves a deadline, so the shift is explained rather than discovered.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System rule plus proactive notification. Nigeria has not observed daylight saving for many years, so this is a robustness requirement against a change, not a prediction.</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declared Ajo time zone and any change to it are configuration events, versioned and audited (FR-ADM-010).</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EC-034</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member's account is frozen or placed under risk review at the moment their payout is due.</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payout is not lost, not redirected, and not paid to anyone else. It enters HELD with a recorded reason, and both the recipient and the organiser are notified on push, email and SMS. No default clock runs against the member for a platform-imposed hold.</w:t>
            </w:r>
          </w:p>
        </w:tc>
        <w:tc>
          <w:tcPr>
            <w:tcW w:type="dxa" w:w="1728"/>
            <w:tcMar>
              <w:top w:w="60" w:type="dxa"/>
              <w:start w:w="110" w:type="dxa"/>
              <w:bottom w:w="60" w:type="dxa"/>
              <w:end w:w="110" w:type="dxa"/>
            </w:tcMar>
          </w:tcPr>
          <w:p>
            <w:pPr>
              <w:spacing w:after="0"/>
            </w:pPr>
            <w:r/>
            <w:r>
              <w:rPr>
                <w:rFonts w:ascii="Calibri" w:hAnsi="Calibri"/>
                <w:i/>
                <w:color w:val="101828"/>
                <w:sz w:val="14"/>
              </w:rPr>
              <w:t>Your payout is on hold while we confirm your account. It is yours, it is safe, and we will tell you the moment it is released.</w:t>
            </w:r>
          </w:p>
        </w:tc>
        <w:tc>
          <w:tcPr>
            <w:tcW w:type="dxa" w:w="1584"/>
            <w:tcMar>
              <w:top w:w="60" w:type="dxa"/>
              <w:start w:w="110" w:type="dxa"/>
              <w:bottom w:w="60" w:type="dxa"/>
              <w:end w:w="110" w:type="dxa"/>
            </w:tcMar>
          </w:tcPr>
          <w:p>
            <w:pPr>
              <w:spacing w:after="0"/>
            </w:pPr>
            <w:r/>
            <w:r>
              <w:rPr>
                <w:rFonts w:ascii="Calibri" w:hAnsi="Calibri"/>
                <w:b w:val="0"/>
                <w:i w:val="0"/>
                <w:color w:val="101828"/>
                <w:sz w:val="14"/>
              </w:rPr>
              <w:t>Risk review, then release. Support can lift the freeze after verified identity.</w:t>
            </w:r>
          </w:p>
        </w:tc>
        <w:tc>
          <w:tcPr>
            <w:tcW w:type="dxa" w:w="1656"/>
            <w:tcMar>
              <w:top w:w="60" w:type="dxa"/>
              <w:start w:w="110" w:type="dxa"/>
              <w:bottom w:w="60" w:type="dxa"/>
              <w:end w:w="110" w:type="dxa"/>
            </w:tcMar>
          </w:tcPr>
          <w:p>
            <w:pPr>
              <w:spacing w:after="0"/>
            </w:pPr>
            <w:r/>
            <w:r>
              <w:rPr>
                <w:rFonts w:ascii="Calibri" w:hAnsi="Calibri"/>
                <w:b w:val="0"/>
                <w:i w:val="0"/>
                <w:color w:val="101828"/>
                <w:sz w:val="14"/>
              </w:rPr>
              <w:t>Payout HOLD event with the reason code, the deciding officer and the timestamps of both notifications. BR-017 requires the notification, so its absence is an alertable condition in itself.</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EC-035</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app is force-quit or the device is lost or wiped between a payment initiation and its confirmation, and the idempotency key is lost with local storage.</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key is derived deterministically from the contribution, the attempt number and the device id, so a regenerated key still matches the original attempt. The server returns the original result and no second payment is created.</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Nothing. The member is never asked to pay twice because the app was closed.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Automatic. BR-024.</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Attempt-number reuse is logged. A rise in it indicates a client defect and is an S3 engineering item, not a member complaint.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EC-036</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device is too old, too low on storage, or lacks the capability the payment provider surface requires.</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app detects this before the member reaches the payment step and says so, rather than failing inside a third-party page. The member can still view, verify, join and pay through any supported browser.</w:t>
            </w:r>
          </w:p>
        </w:tc>
        <w:tc>
          <w:tcPr>
            <w:tcW w:type="dxa" w:w="1728"/>
            <w:tcMar>
              <w:top w:w="60" w:type="dxa"/>
              <w:start w:w="110" w:type="dxa"/>
              <w:bottom w:w="60" w:type="dxa"/>
              <w:end w:w="110" w:type="dxa"/>
            </w:tcMar>
          </w:tcPr>
          <w:p>
            <w:pPr>
              <w:spacing w:after="0"/>
            </w:pPr>
            <w:r/>
            <w:r>
              <w:rPr>
                <w:rFonts w:ascii="Calibri" w:hAnsi="Calibri"/>
                <w:i/>
                <w:color w:val="101828"/>
                <w:sz w:val="14"/>
              </w:rPr>
              <w:t>This phone cannot run the fastest version of the app. Everything still works, and here is how.</w:t>
            </w:r>
          </w:p>
        </w:tc>
        <w:tc>
          <w:tcPr>
            <w:tcW w:type="dxa" w:w="1584"/>
            <w:tcMar>
              <w:top w:w="60" w:type="dxa"/>
              <w:start w:w="110" w:type="dxa"/>
              <w:bottom w:w="60" w:type="dxa"/>
              <w:end w:w="110" w:type="dxa"/>
            </w:tcMar>
          </w:tcPr>
          <w:p>
            <w:pPr>
              <w:spacing w:after="0"/>
            </w:pPr>
            <w:r/>
            <w:r>
              <w:rPr>
                <w:rFonts w:ascii="Calibri" w:hAnsi="Calibri"/>
                <w:b w:val="0"/>
                <w:i w:val="0"/>
                <w:color w:val="101828"/>
                <w:sz w:val="14"/>
              </w:rPr>
              <w:t>Browser fallback for the whole core flow: join, pay, view position (G7, NFR-PERF-004, C-14).</w:t>
            </w:r>
          </w:p>
        </w:tc>
        <w:tc>
          <w:tcPr>
            <w:tcW w:type="dxa" w:w="1656"/>
            <w:tcMar>
              <w:top w:w="60" w:type="dxa"/>
              <w:start w:w="110" w:type="dxa"/>
              <w:bottom w:w="60" w:type="dxa"/>
              <w:end w:w="110" w:type="dxa"/>
            </w:tcMar>
          </w:tcPr>
          <w:p>
            <w:pPr>
              <w:spacing w:after="0"/>
            </w:pPr>
            <w:r/>
            <w:r>
              <w:rPr>
                <w:rFonts w:ascii="Calibri" w:hAnsi="Calibri"/>
                <w:b w:val="0"/>
                <w:i w:val="0"/>
                <w:color w:val="101828"/>
                <w:sz w:val="14"/>
              </w:rPr>
              <w:t>Device class and capability failures are logged so the supported-device floor is maintained from evidence rather than from a marketing claim.</w:t>
            </w:r>
          </w:p>
        </w:tc>
      </w:tr>
    </w:tbl>
    <w:p>
      <w:pPr>
        <w:spacing w:after="80"/>
      </w:pPr>
    </w:p>
    <w:p>
      <w:r>
        <w:br w:type="page"/>
      </w:r>
    </w:p>
    <w:p>
      <w:pPr>
        <w:pStyle w:val="Heading2"/>
      </w:pPr>
      <w:r>
        <w:rPr>
          <w:rFonts w:ascii="Calibri" w:hAnsi="Calibri"/>
          <w:b/>
          <w:i w:val="0"/>
          <w:color w:val="146EF5"/>
          <w:sz w:val="29"/>
        </w:rPr>
        <w:t>19.3 Provider and webhook edge cases</w:t>
      </w:r>
    </w:p>
    <w:p>
      <w:r>
        <w:rPr>
          <w:rFonts w:ascii="Calibri" w:hAnsi="Calibri"/>
          <w:b w:val="0"/>
          <w:i w:val="0"/>
          <w:color w:val="101828"/>
          <w:sz w:val="21"/>
        </w:rPr>
        <w:t xml:space="preserve">ProvidusUnity is a dependency, not a component we control, and the only durable position on that is the one in section 1: its exact collection percentage, payout flat fee and settlement timing are open decision </w:t>
      </w:r>
      <w:r>
        <w:rPr>
          <w:rFonts w:ascii="Calibri" w:hAnsi="Calibri"/>
          <w:b/>
          <w:color w:val="101828"/>
          <w:sz w:val="21"/>
        </w:rPr>
        <w:t>D-03</w:t>
      </w:r>
      <w:r>
        <w:rPr>
          <w:rFonts w:ascii="Calibri" w:hAnsi="Calibri"/>
          <w:b w:val="0"/>
          <w:i w:val="0"/>
          <w:color w:val="101828"/>
          <w:sz w:val="21"/>
        </w:rPr>
        <w:t xml:space="preserve">, and its holding model is open decision </w:t>
      </w:r>
      <w:r>
        <w:rPr>
          <w:rFonts w:ascii="Calibri" w:hAnsi="Calibri"/>
          <w:b/>
          <w:color w:val="101828"/>
          <w:sz w:val="21"/>
        </w:rPr>
        <w:t>D-02</w:t>
      </w:r>
      <w:r>
        <w:rPr>
          <w:rFonts w:ascii="Calibri" w:hAnsi="Calibri"/>
          <w:b w:val="0"/>
          <w:i w:val="0"/>
          <w:color w:val="101828"/>
          <w:sz w:val="21"/>
        </w:rPr>
        <w:t>. Nothing in this class asserts a provider behaviour we have not been shown. What is specified here is how AJO.ng behaves when a provider behaves unexpectedly, which is a design obligation regardless of the answer to D-02 and D-03.</w:t>
      </w:r>
    </w:p>
    <w:p>
      <w:pPr>
        <w:spacing w:before="140" w:after="180"/>
        <w:ind w:left="144"/>
        <w:shd w:val="clear" w:color="auto" w:fill="F4F7FB"/>
        <w:pBdr>
          <w:left w:val="single" w:sz="18" w:space="6" w:color="146EF5"/>
        </w:pBdr>
      </w:pPr>
      <w:r>
        <w:rPr>
          <w:rFonts w:ascii="Calibri" w:hAnsi="Calibri"/>
          <w:b/>
          <w:color w:val="146EF5"/>
          <w:sz w:val="19"/>
        </w:rPr>
        <w:t xml:space="preserve">Design rule, not a provider promise  </w:t>
      </w:r>
      <w:r>
        <w:rPr>
          <w:rFonts w:ascii="Consolas" w:hAnsi="Consolas"/>
          <w:color w:val="146EF5"/>
          <w:sz w:val="19"/>
        </w:rPr>
        <w:t>POST /webhooks/payments</w:t>
      </w:r>
      <w:r>
        <w:rPr>
          <w:rFonts w:ascii="Calibri" w:hAnsi="Calibri"/>
          <w:b w:val="0"/>
          <w:i w:val="0"/>
          <w:color w:val="0B1F3A"/>
          <w:sz w:val="19"/>
        </w:rPr>
        <w:t xml:space="preserve"> is unauthenticated by necessity and therefore signature-verified by necessity. A webhook is treated as a claim, never as authority: it can move AJO.ng from UNKNOWN or PENDING to a resolved state, and it can never create a contribution, choose an amount, or name a beneficiary. Those are read from our own record, which the webhook is matched against.</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648"/>
            <w:shd w:val="clear" w:color="auto" w:fill="0B1F3A"/>
            <w:tcMar>
              <w:top w:w="60" w:type="dxa"/>
              <w:start w:w="110" w:type="dxa"/>
              <w:bottom w:w="60" w:type="dxa"/>
              <w:end w:w="110" w:type="dxa"/>
            </w:tcMar>
          </w:tcPr>
          <w:p>
            <w:pPr>
              <w:spacing w:after="0"/>
            </w:pPr>
            <w:r/>
            <w:r>
              <w:rPr>
                <w:rFonts w:ascii="Calibri" w:hAnsi="Calibri"/>
                <w:b/>
                <w:i w:val="0"/>
                <w:color w:val="FFFFFF"/>
                <w:sz w:val="14"/>
              </w:rPr>
              <w:t>ID</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Trigger</w:t>
            </w:r>
          </w:p>
        </w:tc>
        <w:tc>
          <w:tcPr>
            <w:tcW w:type="dxa" w:w="2088"/>
            <w:shd w:val="clear" w:color="auto" w:fill="0B1F3A"/>
            <w:tcMar>
              <w:top w:w="60" w:type="dxa"/>
              <w:start w:w="110" w:type="dxa"/>
              <w:bottom w:w="60" w:type="dxa"/>
              <w:end w:w="110" w:type="dxa"/>
            </w:tcMar>
          </w:tcPr>
          <w:p>
            <w:pPr>
              <w:spacing w:after="0"/>
            </w:pPr>
            <w:r/>
            <w:r>
              <w:rPr>
                <w:rFonts w:ascii="Calibri" w:hAnsi="Calibri"/>
                <w:b/>
                <w:i w:val="0"/>
                <w:color w:val="FFFFFF"/>
                <w:sz w:val="14"/>
              </w:rPr>
              <w:t>System behaviour</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4"/>
              </w:rPr>
              <w:t>User experience</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4"/>
              </w:rPr>
              <w:t>Recovery mechanism</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Logging requirement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EC-037</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provider callback arrives for a payment that AJO.ng has not yet recorded, because the callback outran the response to our own initiation call.</w:t>
            </w:r>
          </w:p>
        </w:tc>
        <w:tc>
          <w:tcPr>
            <w:tcW w:type="dxa" w:w="2088"/>
            <w:tcMar>
              <w:top w:w="60" w:type="dxa"/>
              <w:start w:w="110" w:type="dxa"/>
              <w:bottom w:w="60" w:type="dxa"/>
              <w:end w:w="110" w:type="dxa"/>
            </w:tcMar>
          </w:tcPr>
          <w:p>
            <w:pPr>
              <w:spacing w:after="0"/>
            </w:pPr>
            <w:r/>
            <w:r>
              <w:rPr>
                <w:rFonts w:ascii="Calibri" w:hAnsi="Calibri"/>
                <w:b w:val="0"/>
                <w:i w:val="0"/>
                <w:color w:val="101828"/>
                <w:sz w:val="14"/>
              </w:rPr>
              <w:t xml:space="preserve">The unmatched callback is written to </w:t>
            </w:r>
            <w:r>
              <w:rPr>
                <w:rFonts w:ascii="Consolas" w:hAnsi="Consolas"/>
                <w:color w:val="146EF5"/>
                <w:sz w:val="14"/>
              </w:rPr>
              <w:t>webhook_events</w:t>
            </w:r>
            <w:r>
              <w:rPr>
                <w:rFonts w:ascii="Calibri" w:hAnsi="Calibri"/>
                <w:b w:val="0"/>
                <w:i w:val="0"/>
                <w:color w:val="101828"/>
                <w:sz w:val="14"/>
              </w:rPr>
              <w:t xml:space="preserve"> and held, not applied. No contribution is credited on an unmatched reference. Once our initiation response lands, the held event is replayed and applied in arrival order.</w:t>
            </w:r>
          </w:p>
        </w:tc>
        <w:tc>
          <w:tcPr>
            <w:tcW w:type="dxa" w:w="1728"/>
            <w:tcMar>
              <w:top w:w="60" w:type="dxa"/>
              <w:start w:w="110" w:type="dxa"/>
              <w:bottom w:w="60" w:type="dxa"/>
              <w:end w:w="110" w:type="dxa"/>
            </w:tcMar>
          </w:tcPr>
          <w:p>
            <w:pPr>
              <w:spacing w:after="0"/>
            </w:pPr>
            <w:r/>
            <w:r>
              <w:rPr>
                <w:rFonts w:ascii="Calibri" w:hAnsi="Calibri"/>
                <w:i/>
                <w:color w:val="101828"/>
                <w:sz w:val="14"/>
              </w:rPr>
              <w:t>We are confirming your payment. It is not lost and you do not need to pay again.</w:t>
            </w:r>
          </w:p>
        </w:tc>
        <w:tc>
          <w:tcPr>
            <w:tcW w:type="dxa" w:w="1584"/>
            <w:tcMar>
              <w:top w:w="60" w:type="dxa"/>
              <w:start w:w="110" w:type="dxa"/>
              <w:bottom w:w="60" w:type="dxa"/>
              <w:end w:w="110" w:type="dxa"/>
            </w:tcMar>
          </w:tcPr>
          <w:p>
            <w:pPr>
              <w:spacing w:after="0"/>
            </w:pPr>
            <w:r/>
            <w:r>
              <w:rPr>
                <w:rFonts w:ascii="Calibri" w:hAnsi="Calibri"/>
                <w:b w:val="0"/>
                <w:i w:val="0"/>
                <w:color w:val="101828"/>
                <w:sz w:val="14"/>
              </w:rPr>
              <w:t>Automatic replay within a bounded window. An unmatched event unresolved after 24 hours becomes a reconciliation item and a risk event.</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held event, its provider event id, the payment it claimed, the delay between our initiation and its arrival, and the eventual resolution.</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EC-038</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callback arrives with a missing, malformed or invalid signature.</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Rejected with 401 and nothing is written except the rejection. Repeated signature failures from a single source are treated as a probable attack, not as noise.</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None. The member's legitimate callback is unaffected because it is verified correctly.</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None needed for the member; automatic alerting for us.</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Full rejection detail with the reason and source. A rate threshold raises a security alert to </w:t>
            </w:r>
            <w:r>
              <w:rPr>
                <w:rFonts w:ascii="Consolas" w:hAnsi="Consolas"/>
                <w:color w:val="146EF5"/>
                <w:sz w:val="14"/>
              </w:rPr>
              <w:t>risk_officer</w:t>
            </w:r>
            <w:r>
              <w:rPr>
                <w:rFonts w:ascii="Calibri" w:hAnsi="Calibri"/>
                <w:b w:val="0"/>
                <w:i w:val="0"/>
                <w:color w:val="101828"/>
                <w:sz w:val="14"/>
              </w:rPr>
              <w:t xml:space="preserve"> (NFR-SEC-003).</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EC-039</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callback references a payment id that does not exist in our ledger at all, for example one belonging to another merchant or another environment.</w:t>
            </w:r>
          </w:p>
        </w:tc>
        <w:tc>
          <w:tcPr>
            <w:tcW w:type="dxa" w:w="2088"/>
            <w:tcMar>
              <w:top w:w="60" w:type="dxa"/>
              <w:start w:w="110" w:type="dxa"/>
              <w:bottom w:w="60" w:type="dxa"/>
              <w:end w:w="110" w:type="dxa"/>
            </w:tcMar>
          </w:tcPr>
          <w:p>
            <w:pPr>
              <w:spacing w:after="0"/>
            </w:pPr>
            <w:r/>
            <w:r>
              <w:rPr>
                <w:rFonts w:ascii="Calibri" w:hAnsi="Calibri"/>
                <w:b w:val="0"/>
                <w:i w:val="0"/>
                <w:color w:val="101828"/>
                <w:sz w:val="14"/>
              </w:rPr>
              <w:t>Rejected and recorded as an unknown reference. AJO.ng never creates a payment row from an inbound callback, so an unknown reference cannot become money.</w:t>
            </w:r>
          </w:p>
        </w:tc>
        <w:tc>
          <w:tcPr>
            <w:tcW w:type="dxa" w:w="1728"/>
            <w:tcMar>
              <w:top w:w="60" w:type="dxa"/>
              <w:start w:w="110" w:type="dxa"/>
              <w:bottom w:w="60" w:type="dxa"/>
              <w:end w:w="110" w:type="dxa"/>
            </w:tcMar>
          </w:tcPr>
          <w:p>
            <w:pPr>
              <w:spacing w:after="0"/>
            </w:pPr>
            <w:r/>
            <w:r>
              <w:rPr>
                <w:rFonts w:ascii="Calibri" w:hAnsi="Calibri"/>
                <w:b w:val="0"/>
                <w:i w:val="0"/>
                <w:color w:val="101828"/>
                <w:sz w:val="14"/>
              </w:rPr>
              <w:t>None.</w:t>
            </w:r>
          </w:p>
        </w:tc>
        <w:tc>
          <w:tcPr>
            <w:tcW w:type="dxa" w:w="1584"/>
            <w:tcMar>
              <w:top w:w="60" w:type="dxa"/>
              <w:start w:w="110" w:type="dxa"/>
              <w:bottom w:w="60" w:type="dxa"/>
              <w:end w:w="110" w:type="dxa"/>
            </w:tcMar>
          </w:tcPr>
          <w:p>
            <w:pPr>
              <w:spacing w:after="0"/>
            </w:pPr>
            <w:r/>
            <w:r>
              <w:rPr>
                <w:rFonts w:ascii="Calibri" w:hAnsi="Calibri"/>
                <w:b w:val="0"/>
                <w:i w:val="0"/>
                <w:color w:val="101828"/>
                <w:sz w:val="14"/>
              </w:rPr>
              <w:t>None needed; investigation only.</w:t>
            </w:r>
          </w:p>
        </w:tc>
        <w:tc>
          <w:tcPr>
            <w:tcW w:type="dxa" w:w="1656"/>
            <w:tcMar>
              <w:top w:w="60" w:type="dxa"/>
              <w:start w:w="110" w:type="dxa"/>
              <w:bottom w:w="60" w:type="dxa"/>
              <w:end w:w="110" w:type="dxa"/>
            </w:tcMar>
          </w:tcPr>
          <w:p>
            <w:pPr>
              <w:spacing w:after="0"/>
            </w:pPr>
            <w:r/>
            <w:r>
              <w:rPr>
                <w:rFonts w:ascii="Calibri" w:hAnsi="Calibri"/>
                <w:b w:val="0"/>
                <w:i w:val="0"/>
                <w:color w:val="101828"/>
                <w:sz w:val="14"/>
              </w:rPr>
              <w:t>Unknown-reference rejections retained indefinitely, because a sustained pattern means our environment or credentials are wrong.</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EC-040</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replayed callback arrives far outside any plausible replay window, for example weeks after the payment settled.</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Rejected by timestamp freshness. The original settled payment is untouched. Late delivery is not treated as a new event; a settlement-state payment cannot be re-resolved by a callback.</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None.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None needed.</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Rejected replay retained with the original event id, so a provider that misunderstands replay semantics is identified before it becomes a dispute.</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EC-041</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provider sends two contradictory callbacks for the same payment, for example SUCCESS and then FAILED.</w:t>
            </w:r>
          </w:p>
        </w:tc>
        <w:tc>
          <w:tcPr>
            <w:tcW w:type="dxa" w:w="2088"/>
            <w:tcMar>
              <w:top w:w="60" w:type="dxa"/>
              <w:start w:w="110" w:type="dxa"/>
              <w:bottom w:w="60" w:type="dxa"/>
              <w:end w:w="110" w:type="dxa"/>
            </w:tcMar>
          </w:tcPr>
          <w:p>
            <w:pPr>
              <w:spacing w:after="0"/>
            </w:pPr>
            <w:r/>
            <w:r>
              <w:rPr>
                <w:rFonts w:ascii="Calibri" w:hAnsi="Calibri"/>
                <w:b w:val="0"/>
                <w:i w:val="0"/>
                <w:color w:val="101828"/>
                <w:sz w:val="14"/>
              </w:rPr>
              <w:t xml:space="preserve">Resolved by a single, declared precedence rule: the first terminal state reached through a verified channel wins, and any later contradiction is escalated rather than applied. A contradiction involving an already-posted ledger entry is never resolved by editing the entry; it goes to </w:t>
            </w:r>
            <w:r>
              <w:rPr>
                <w:rFonts w:ascii="Consolas" w:hAnsi="Consolas"/>
                <w:color w:val="146EF5"/>
                <w:sz w:val="14"/>
              </w:rPr>
              <w:t>risk_officer</w:t>
            </w:r>
            <w:r>
              <w:rPr>
                <w:rFonts w:ascii="Calibri" w:hAnsi="Calibri"/>
                <w:b w:val="0"/>
                <w:i w:val="0"/>
                <w:color w:val="101828"/>
                <w:sz w:val="14"/>
              </w:rPr>
              <w:t xml:space="preserve"> and, if funds have moved, to the provider as a formal dispute.</w:t>
            </w:r>
          </w:p>
        </w:tc>
        <w:tc>
          <w:tcPr>
            <w:tcW w:type="dxa" w:w="1728"/>
            <w:tcMar>
              <w:top w:w="60" w:type="dxa"/>
              <w:start w:w="110" w:type="dxa"/>
              <w:bottom w:w="60" w:type="dxa"/>
              <w:end w:w="110" w:type="dxa"/>
            </w:tcMar>
          </w:tcPr>
          <w:p>
            <w:pPr>
              <w:spacing w:after="0"/>
            </w:pPr>
            <w:r/>
            <w:r>
              <w:rPr>
                <w:rFonts w:ascii="Calibri" w:hAnsi="Calibri"/>
                <w:b w:val="0"/>
                <w:i w:val="0"/>
                <w:color w:val="101828"/>
                <w:sz w:val="14"/>
              </w:rPr>
              <w:t>The member is told the confirmed outcome once, and is never shown two different states for the same payment.</w:t>
            </w:r>
          </w:p>
        </w:tc>
        <w:tc>
          <w:tcPr>
            <w:tcW w:type="dxa" w:w="1584"/>
            <w:tcMar>
              <w:top w:w="60" w:type="dxa"/>
              <w:start w:w="110" w:type="dxa"/>
              <w:bottom w:w="60" w:type="dxa"/>
              <w:end w:w="110" w:type="dxa"/>
            </w:tcMar>
          </w:tcPr>
          <w:p>
            <w:pPr>
              <w:spacing w:after="0"/>
            </w:pPr>
            <w:r/>
            <w:r>
              <w:rPr>
                <w:rFonts w:ascii="Calibri" w:hAnsi="Calibri"/>
                <w:b w:val="0"/>
                <w:i w:val="0"/>
                <w:color w:val="101828"/>
                <w:sz w:val="14"/>
              </w:rPr>
              <w:t>Risk review, then provider dispute, then a correcting provider event if one exists. If money has already moved, a reversing entry is the only correction (BR-025).</w:t>
            </w:r>
          </w:p>
        </w:tc>
        <w:tc>
          <w:tcPr>
            <w:tcW w:type="dxa" w:w="1656"/>
            <w:tcMar>
              <w:top w:w="60" w:type="dxa"/>
              <w:start w:w="110" w:type="dxa"/>
              <w:bottom w:w="60" w:type="dxa"/>
              <w:end w:w="110" w:type="dxa"/>
            </w:tcMar>
          </w:tcPr>
          <w:p>
            <w:pPr>
              <w:spacing w:after="0"/>
            </w:pPr>
            <w:r/>
            <w:r>
              <w:rPr>
                <w:rFonts w:ascii="Calibri" w:hAnsi="Calibri"/>
                <w:b w:val="0"/>
                <w:i w:val="0"/>
                <w:color w:val="101828"/>
                <w:sz w:val="14"/>
              </w:rPr>
              <w:t>Both events, the precedence decision, the officer, and the final resolution. This is a Sev-1 class of incident and is never closed by an automatic rule alone.</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EC-042</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payout appears successful at the provider but is later reversed or recalled by the provider after settlement.</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A provider-side recall of a settled payout is an S1 incident, not a routine failure. The payout record is retained as historical truth; the recall is recorded as a new event. AJO.ng does not claw the money back from the member, does not silently reduce future payouts, and does not present the loss as the member's fault.</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Your payout was recalled by our payment partner, not by you. We are resolving it and you will hear from us by DATE, even if there is nothing new to report.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Provider escalation with a named contact, a recorded risk decision, and proactive member updates on a fixed cadence. The member's own record is never rewritten.</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Full chain retained: payout settlement, recall notice, officer, decision, rationale, and every member communication. This is the case most likely to damage trust, so the audit trail is treated as the primary artefact.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EC-043</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callback arrives long after the payment's expected confirmation, beyond the interval the member was told to expect.</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payment resolves normally, but the delay is measured. Where the delay is caused by the provider, the member is not blamed and not asked to do anything; where it is caused by our own reconciliation, that is our Sev-2.</w:t>
            </w:r>
          </w:p>
        </w:tc>
        <w:tc>
          <w:tcPr>
            <w:tcW w:type="dxa" w:w="1728"/>
            <w:tcMar>
              <w:top w:w="60" w:type="dxa"/>
              <w:start w:w="110" w:type="dxa"/>
              <w:bottom w:w="60" w:type="dxa"/>
              <w:end w:w="110" w:type="dxa"/>
            </w:tcMar>
          </w:tcPr>
          <w:p>
            <w:pPr>
              <w:spacing w:after="0"/>
            </w:pPr>
            <w:r/>
            <w:r>
              <w:rPr>
                <w:rFonts w:ascii="Calibri" w:hAnsi="Calibri"/>
                <w:b w:val="0"/>
                <w:i w:val="0"/>
                <w:color w:val="101828"/>
                <w:sz w:val="14"/>
              </w:rPr>
              <w:t>Nothing is asked of the member. An apology-level message is sent when the confirmed time passes the promised time, because silence is what makes people pay twice.</w:t>
            </w:r>
          </w:p>
        </w:tc>
        <w:tc>
          <w:tcPr>
            <w:tcW w:type="dxa" w:w="1584"/>
            <w:tcMar>
              <w:top w:w="60" w:type="dxa"/>
              <w:start w:w="110" w:type="dxa"/>
              <w:bottom w:w="60" w:type="dxa"/>
              <w:end w:w="110" w:type="dxa"/>
            </w:tcMar>
          </w:tcPr>
          <w:p>
            <w:pPr>
              <w:spacing w:after="0"/>
            </w:pPr>
            <w:r/>
            <w:r>
              <w:rPr>
                <w:rFonts w:ascii="Calibri" w:hAnsi="Calibri"/>
                <w:b w:val="0"/>
                <w:i w:val="0"/>
                <w:color w:val="101828"/>
                <w:sz w:val="14"/>
              </w:rPr>
              <w:t>Automated reconciliation plus, after the interval, the payment-exception queue.</w:t>
            </w:r>
          </w:p>
        </w:tc>
        <w:tc>
          <w:tcPr>
            <w:tcW w:type="dxa" w:w="1656"/>
            <w:tcMar>
              <w:top w:w="60" w:type="dxa"/>
              <w:start w:w="110" w:type="dxa"/>
              <w:bottom w:w="60" w:type="dxa"/>
              <w:end w:w="110" w:type="dxa"/>
            </w:tcMar>
          </w:tcPr>
          <w:p>
            <w:pPr>
              <w:spacing w:after="0"/>
            </w:pPr>
            <w:r/>
            <w:r>
              <w:rPr>
                <w:rFonts w:ascii="Calibri" w:hAnsi="Calibri"/>
                <w:b w:val="0"/>
                <w:i w:val="0"/>
                <w:color w:val="101828"/>
                <w:sz w:val="14"/>
              </w:rPr>
              <w:t>Delay duration, the point at which the member was notified, and the resolved time. The distribution of this delay is the only honest way to hold a provider to D-03.</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EC-044</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provider credits the same bank account twice for one payout, or issues two settlement references for one instruction.</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One payout is settled and the duplicate is detected at settlement reconciliation and returned through the provider's reversal or recovery process. The second credit is never absorbed into escrow, because absorbing it would silently inflate the pool that other members are owed.</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None. The member's amount and their position are unaffected.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Provider recovery, with the duplicate held in a suspense account and never recognised as fees_income or as contributions receivable.</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Suspense entry with both provider references. Suspense balance is reported daily and must not be allowed to become a place where money disappears.</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EC-045</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callback reports a different amount, or a currency other than NGN, from what we initiated.</w:t>
            </w:r>
          </w:p>
        </w:tc>
        <w:tc>
          <w:tcPr>
            <w:tcW w:type="dxa" w:w="2088"/>
            <w:tcMar>
              <w:top w:w="60" w:type="dxa"/>
              <w:start w:w="110" w:type="dxa"/>
              <w:bottom w:w="60" w:type="dxa"/>
              <w:end w:w="110" w:type="dxa"/>
            </w:tcMar>
          </w:tcPr>
          <w:p>
            <w:pPr>
              <w:spacing w:after="0"/>
            </w:pPr>
            <w:r/>
            <w:r>
              <w:rPr>
                <w:rFonts w:ascii="Calibri" w:hAnsi="Calibri"/>
                <w:b w:val="0"/>
                <w:i w:val="0"/>
                <w:color w:val="101828"/>
                <w:sz w:val="14"/>
              </w:rPr>
              <w:t>Rejected. Amount and currency are read from our own initiation record and are never taken from the callback. A currency other than NGN is refused at initiation (BR-031).</w:t>
            </w:r>
          </w:p>
        </w:tc>
        <w:tc>
          <w:tcPr>
            <w:tcW w:type="dxa" w:w="1728"/>
            <w:tcMar>
              <w:top w:w="60" w:type="dxa"/>
              <w:start w:w="110" w:type="dxa"/>
              <w:bottom w:w="60" w:type="dxa"/>
              <w:end w:w="110" w:type="dxa"/>
            </w:tcMar>
          </w:tcPr>
          <w:p>
            <w:pPr>
              <w:spacing w:after="0"/>
            </w:pPr>
            <w:r/>
            <w:r>
              <w:rPr>
                <w:rFonts w:ascii="Calibri" w:hAnsi="Calibri"/>
                <w:b w:val="0"/>
                <w:i w:val="0"/>
                <w:color w:val="101828"/>
                <w:sz w:val="14"/>
              </w:rPr>
              <w:t>None.</w:t>
            </w:r>
          </w:p>
        </w:tc>
        <w:tc>
          <w:tcPr>
            <w:tcW w:type="dxa" w:w="1584"/>
            <w:tcMar>
              <w:top w:w="60" w:type="dxa"/>
              <w:start w:w="110" w:type="dxa"/>
              <w:bottom w:w="60" w:type="dxa"/>
              <w:end w:w="110" w:type="dxa"/>
            </w:tcMar>
          </w:tcPr>
          <w:p>
            <w:pPr>
              <w:spacing w:after="0"/>
            </w:pPr>
            <w:r/>
            <w:r>
              <w:rPr>
                <w:rFonts w:ascii="Calibri" w:hAnsi="Calibri"/>
                <w:b w:val="0"/>
                <w:i w:val="0"/>
                <w:color w:val="101828"/>
                <w:sz w:val="14"/>
              </w:rPr>
              <w:t>None needed for the member; investigation for us.</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Rejected mismatch with both values. A provider that alters amounts is a contract-level escalation.</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EC-046</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provider changes its API contract, webhook schema or authentication scheme without notice.</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integration is version-pinned and the contract is asserted on every call, so a breaking change surfaces as a loud failure rather than a silent misinterpretation. Contract tests run against recorded fixtures on every deploy.</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Payments may pause rather than fail wrongly. If initiation is unavailable, the member is told clearly that nothing has been taken.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Provider liaison, contract tests, and a documented rollback path.</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Contract-test failures as deploy-blocking, and provider error-class distribution over time, so a silent semantic shift is visible in trends as well as in failures.</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EC-047</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provider rate-limits our reconciliation or status calls.</w:t>
            </w:r>
          </w:p>
        </w:tc>
        <w:tc>
          <w:tcPr>
            <w:tcW w:type="dxa" w:w="2088"/>
            <w:tcMar>
              <w:top w:w="60" w:type="dxa"/>
              <w:start w:w="110" w:type="dxa"/>
              <w:bottom w:w="60" w:type="dxa"/>
              <w:end w:w="110" w:type="dxa"/>
            </w:tcMar>
          </w:tcPr>
          <w:p>
            <w:pPr>
              <w:spacing w:after="0"/>
            </w:pPr>
            <w:r/>
            <w:r>
              <w:rPr>
                <w:rFonts w:ascii="Calibri" w:hAnsi="Calibri"/>
                <w:b w:val="0"/>
                <w:i w:val="0"/>
                <w:color w:val="101828"/>
                <w:sz w:val="14"/>
              </w:rPr>
              <w:t>Calls are queued with exponential backoff and jitter, never retried in a tight loop. Reconciliation is prioritised over read-only status calls, because an unresolved payment blocks a member while a stale status only delays a screen.</w:t>
            </w:r>
          </w:p>
        </w:tc>
        <w:tc>
          <w:tcPr>
            <w:tcW w:type="dxa" w:w="1728"/>
            <w:tcMar>
              <w:top w:w="60" w:type="dxa"/>
              <w:start w:w="110" w:type="dxa"/>
              <w:bottom w:w="60" w:type="dxa"/>
              <w:end w:w="110" w:type="dxa"/>
            </w:tcMar>
          </w:tcPr>
          <w:p>
            <w:pPr>
              <w:spacing w:after="0"/>
            </w:pPr>
            <w:r/>
            <w:r>
              <w:rPr>
                <w:rFonts w:ascii="Calibri" w:hAnsi="Calibri"/>
                <w:b w:val="0"/>
                <w:i w:val="0"/>
                <w:color w:val="101828"/>
                <w:sz w:val="14"/>
              </w:rPr>
              <w:t xml:space="preserve">Nothing visible unless reconciliation is affected, in which case the honest </w:t>
            </w:r>
            <w:r>
              <w:rPr>
                <w:rFonts w:ascii="Calibri" w:hAnsi="Calibri"/>
                <w:i/>
                <w:color w:val="101828"/>
                <w:sz w:val="14"/>
              </w:rPr>
              <w:t>we are still confirming this payment</w:t>
            </w:r>
            <w:r>
              <w:rPr>
                <w:rFonts w:ascii="Calibri" w:hAnsi="Calibri"/>
                <w:b w:val="0"/>
                <w:i w:val="0"/>
                <w:color w:val="101828"/>
                <w:sz w:val="14"/>
              </w:rPr>
              <w:t xml:space="preserve"> state is shown rather than a failure.</w:t>
            </w:r>
          </w:p>
        </w:tc>
        <w:tc>
          <w:tcPr>
            <w:tcW w:type="dxa" w:w="1584"/>
            <w:tcMar>
              <w:top w:w="60" w:type="dxa"/>
              <w:start w:w="110" w:type="dxa"/>
              <w:bottom w:w="60" w:type="dxa"/>
              <w:end w:w="110" w:type="dxa"/>
            </w:tcMar>
          </w:tcPr>
          <w:p>
            <w:pPr>
              <w:spacing w:after="0"/>
            </w:pPr>
            <w:r/>
            <w:r>
              <w:rPr>
                <w:rFonts w:ascii="Calibri" w:hAnsi="Calibri"/>
                <w:b w:val="0"/>
                <w:i w:val="0"/>
                <w:color w:val="101828"/>
                <w:sz w:val="14"/>
              </w:rPr>
              <w:t>Automatic backoff, then manual sweep.</w:t>
            </w:r>
          </w:p>
        </w:tc>
        <w:tc>
          <w:tcPr>
            <w:tcW w:type="dxa" w:w="1656"/>
            <w:tcMar>
              <w:top w:w="60" w:type="dxa"/>
              <w:start w:w="110" w:type="dxa"/>
              <w:bottom w:w="60" w:type="dxa"/>
              <w:end w:w="110" w:type="dxa"/>
            </w:tcMar>
          </w:tcPr>
          <w:p>
            <w:pPr>
              <w:spacing w:after="0"/>
            </w:pPr>
            <w:r/>
            <w:r>
              <w:rPr>
                <w:rFonts w:ascii="Calibri" w:hAnsi="Calibri"/>
                <w:b w:val="0"/>
                <w:i w:val="0"/>
                <w:color w:val="101828"/>
                <w:sz w:val="14"/>
              </w:rPr>
              <w:t>Rate-limit responses and queue depth. Sustained queue depth is a provider capacity conversation, tracked under D-03.</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EC-048</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provider enters a maintenance window or returns an ambiguous error such as a timeout on a request that may or may not have been received.</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Ambiguous errors produce a state of UNKNOWN, never a guessed FAILED. An initiation that may have been received is reconciled by reference before any retry with a new key, because a blind retry is how a member is charged twice.</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We could not reach the payment provider. Nothing was taken. Try again shortly.</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Reconciliation first, then retry. Support can trigger a status refresh at any time.</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Every ambiguous call with its reference, its state and how it resolved. These are the calls that later become disputes, so the trail is mandatory.</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EC-049</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provider rejects or fails a disbursement: wrong destination, name mismatch, limit exceeded or a bank-side decline.</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payout is FAILED and retried; it is never redirected, never split and never reduced to fit. A destination belonging to someone other than the recipient is refused outright rather than retried. The failure is visible to recipient and organizer immediately (BR-017).</w:t>
            </w:r>
          </w:p>
        </w:tc>
        <w:tc>
          <w:tcPr>
            <w:tcW w:type="dxa" w:w="1728"/>
            <w:tcMar>
              <w:top w:w="60" w:type="dxa"/>
              <w:start w:w="110" w:type="dxa"/>
              <w:bottom w:w="60" w:type="dxa"/>
              <w:end w:w="110" w:type="dxa"/>
            </w:tcMar>
          </w:tcPr>
          <w:p>
            <w:pPr>
              <w:spacing w:after="0"/>
            </w:pPr>
            <w:r/>
            <w:r>
              <w:rPr>
                <w:rFonts w:ascii="Calibri" w:hAnsi="Calibri"/>
                <w:i/>
                <w:color w:val="101828"/>
                <w:sz w:val="14"/>
              </w:rPr>
              <w:t>Your payout did not go through. Your money is safe and it is still yours. Here is what we need to fix it.</w:t>
            </w:r>
          </w:p>
        </w:tc>
        <w:tc>
          <w:tcPr>
            <w:tcW w:type="dxa" w:w="1584"/>
            <w:tcMar>
              <w:top w:w="60" w:type="dxa"/>
              <w:start w:w="110" w:type="dxa"/>
              <w:bottom w:w="60" w:type="dxa"/>
              <w:end w:w="110" w:type="dxa"/>
            </w:tcMar>
          </w:tcPr>
          <w:p>
            <w:pPr>
              <w:spacing w:after="0"/>
            </w:pPr>
            <w:r/>
            <w:r>
              <w:rPr>
                <w:rFonts w:ascii="Calibri" w:hAnsi="Calibri"/>
                <w:b w:val="0"/>
                <w:i w:val="0"/>
                <w:color w:val="101828"/>
                <w:sz w:val="14"/>
              </w:rPr>
              <w:t>Retry with a corrected destination the recipient controls, or an alternative supported method.</w:t>
            </w:r>
          </w:p>
        </w:tc>
        <w:tc>
          <w:tcPr>
            <w:tcW w:type="dxa" w:w="1656"/>
            <w:tcMar>
              <w:top w:w="60" w:type="dxa"/>
              <w:start w:w="110" w:type="dxa"/>
              <w:bottom w:w="60" w:type="dxa"/>
              <w:end w:w="110" w:type="dxa"/>
            </w:tcMar>
          </w:tcPr>
          <w:p>
            <w:pPr>
              <w:spacing w:after="0"/>
            </w:pPr>
            <w:r/>
            <w:r>
              <w:rPr>
                <w:rFonts w:ascii="Calibri" w:hAnsi="Calibri"/>
                <w:b w:val="0"/>
                <w:i w:val="0"/>
                <w:color w:val="101828"/>
                <w:sz w:val="14"/>
              </w:rPr>
              <w:t>Failure reason, the reference, the retry count and the destination state. Repeated failures on one payout are worked until they succeed; a failed payout is never left to resolve itself.</w:t>
            </w:r>
          </w:p>
        </w:tc>
      </w:tr>
    </w:tbl>
    <w:p>
      <w:pPr>
        <w:spacing w:after="80"/>
      </w:pPr>
    </w:p>
    <w:p>
      <w:r>
        <w:br w:type="page"/>
      </w:r>
    </w:p>
    <w:p>
      <w:pPr>
        <w:pStyle w:val="Heading2"/>
      </w:pPr>
      <w:r>
        <w:rPr>
          <w:rFonts w:ascii="Calibri" w:hAnsi="Calibri"/>
          <w:b/>
          <w:i w:val="0"/>
          <w:color w:val="146EF5"/>
          <w:sz w:val="29"/>
        </w:rPr>
        <w:t>19.4 Scheduling and lifecycle edge cases</w:t>
      </w:r>
    </w:p>
    <w:p>
      <w:r>
        <w:rPr>
          <w:rFonts w:ascii="Calibri" w:hAnsi="Calibri"/>
          <w:b w:val="0"/>
          <w:i w:val="0"/>
          <w:color w:val="101828"/>
          <w:sz w:val="21"/>
        </w:rPr>
        <w:t xml:space="preserve">The Ajo lifecycle is the part of AJO.ng with the least room for interpretation: </w:t>
      </w:r>
      <w:r>
        <w:rPr>
          <w:rFonts w:ascii="Consolas" w:hAnsi="Consolas"/>
          <w:color w:val="146EF5"/>
          <w:sz w:val="21"/>
        </w:rPr>
        <w:t>DRAFT → ENROLLMENT → ACTIVE ⇄ ROUND_IN_PROGRESS → COMPLETED</w:t>
      </w:r>
      <w:r>
        <w:rPr>
          <w:rFonts w:ascii="Calibri" w:hAnsi="Calibri"/>
          <w:b w:val="0"/>
          <w:i w:val="0"/>
          <w:color w:val="101828"/>
          <w:sz w:val="21"/>
        </w:rPr>
        <w:t xml:space="preserve"> with </w:t>
      </w:r>
      <w:r>
        <w:rPr>
          <w:rFonts w:ascii="Consolas" w:hAnsi="Consolas"/>
          <w:color w:val="146EF5"/>
          <w:sz w:val="21"/>
        </w:rPr>
        <w:t>CANCELLED</w:t>
      </w:r>
      <w:r>
        <w:rPr>
          <w:rFonts w:ascii="Calibri" w:hAnsi="Calibri"/>
          <w:b w:val="0"/>
          <w:i w:val="0"/>
          <w:color w:val="101828"/>
          <w:sz w:val="21"/>
        </w:rPr>
        <w:t xml:space="preserve">, </w:t>
      </w:r>
      <w:r>
        <w:rPr>
          <w:rFonts w:ascii="Consolas" w:hAnsi="Consolas"/>
          <w:color w:val="146EF5"/>
          <w:sz w:val="21"/>
        </w:rPr>
        <w:t>CANCELLING</w:t>
      </w:r>
      <w:r>
        <w:rPr>
          <w:rFonts w:ascii="Calibri" w:hAnsi="Calibri"/>
          <w:b w:val="0"/>
          <w:i w:val="0"/>
          <w:color w:val="101828"/>
          <w:sz w:val="21"/>
        </w:rPr>
        <w:t xml:space="preserve"> and </w:t>
      </w:r>
      <w:r>
        <w:rPr>
          <w:rFonts w:ascii="Consolas" w:hAnsi="Consolas"/>
          <w:color w:val="146EF5"/>
          <w:sz w:val="21"/>
        </w:rPr>
        <w:t>FROZEN</w:t>
      </w:r>
      <w:r>
        <w:rPr>
          <w:rFonts w:ascii="Calibri" w:hAnsi="Calibri"/>
          <w:b w:val="0"/>
          <w:i w:val="0"/>
          <w:color w:val="101828"/>
          <w:sz w:val="21"/>
        </w:rPr>
        <w:t xml:space="preserve"> as branches, an enrollment window of exactly 5 days, and positions that lock on activation. This class is where time, rather than money or code, breaks the product.</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648"/>
            <w:shd w:val="clear" w:color="auto" w:fill="0B1F3A"/>
            <w:tcMar>
              <w:top w:w="60" w:type="dxa"/>
              <w:start w:w="110" w:type="dxa"/>
              <w:bottom w:w="60" w:type="dxa"/>
              <w:end w:w="110" w:type="dxa"/>
            </w:tcMar>
          </w:tcPr>
          <w:p>
            <w:pPr>
              <w:spacing w:after="0"/>
            </w:pPr>
            <w:r/>
            <w:r>
              <w:rPr>
                <w:rFonts w:ascii="Calibri" w:hAnsi="Calibri"/>
                <w:b/>
                <w:i w:val="0"/>
                <w:color w:val="FFFFFF"/>
                <w:sz w:val="14"/>
              </w:rPr>
              <w:t>ID</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Trigger</w:t>
            </w:r>
          </w:p>
        </w:tc>
        <w:tc>
          <w:tcPr>
            <w:tcW w:type="dxa" w:w="2088"/>
            <w:shd w:val="clear" w:color="auto" w:fill="0B1F3A"/>
            <w:tcMar>
              <w:top w:w="60" w:type="dxa"/>
              <w:start w:w="110" w:type="dxa"/>
              <w:bottom w:w="60" w:type="dxa"/>
              <w:end w:w="110" w:type="dxa"/>
            </w:tcMar>
          </w:tcPr>
          <w:p>
            <w:pPr>
              <w:spacing w:after="0"/>
            </w:pPr>
            <w:r/>
            <w:r>
              <w:rPr>
                <w:rFonts w:ascii="Calibri" w:hAnsi="Calibri"/>
                <w:b/>
                <w:i w:val="0"/>
                <w:color w:val="FFFFFF"/>
                <w:sz w:val="14"/>
              </w:rPr>
              <w:t>System behaviour</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4"/>
              </w:rPr>
              <w:t>User experience</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4"/>
              </w:rPr>
              <w:t>Recovery mechanism</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Logging requirement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EC-050</w:t>
            </w:r>
          </w:p>
        </w:tc>
        <w:tc>
          <w:tcPr>
            <w:tcW w:type="dxa" w:w="1656"/>
            <w:tcMar>
              <w:top w:w="60" w:type="dxa"/>
              <w:start w:w="110" w:type="dxa"/>
              <w:bottom w:w="60" w:type="dxa"/>
              <w:end w:w="110" w:type="dxa"/>
            </w:tcMar>
          </w:tcPr>
          <w:p>
            <w:pPr>
              <w:spacing w:after="0"/>
            </w:pPr>
            <w:r/>
            <w:r>
              <w:rPr>
                <w:rFonts w:ascii="Calibri" w:hAnsi="Calibri"/>
                <w:b w:val="0"/>
                <w:i w:val="0"/>
                <w:color w:val="101828"/>
                <w:sz w:val="14"/>
              </w:rPr>
              <w:t>Enrollment reaches day 5 with positions unfilled.</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Ajo cancels automatically and every contribution already collected is refunded in full. The refund depends on D-05, which decides who bears the fee at cancellation, so the fee treatment is displayed before the day-5 deadline arrives, not discovered afterwards.</w:t>
            </w:r>
          </w:p>
        </w:tc>
        <w:tc>
          <w:tcPr>
            <w:tcW w:type="dxa" w:w="1728"/>
            <w:tcMar>
              <w:top w:w="60" w:type="dxa"/>
              <w:start w:w="110" w:type="dxa"/>
              <w:bottom w:w="60" w:type="dxa"/>
              <w:end w:w="110" w:type="dxa"/>
            </w:tcMar>
          </w:tcPr>
          <w:p>
            <w:pPr>
              <w:spacing w:after="0"/>
            </w:pPr>
            <w:r/>
            <w:r>
              <w:rPr>
                <w:rFonts w:ascii="Calibri" w:hAnsi="Calibri"/>
                <w:i/>
                <w:color w:val="101828"/>
                <w:sz w:val="14"/>
              </w:rPr>
              <w:t>This Ajo did not fill, so it has closed and your contribution is being returned in full.</w:t>
            </w:r>
            <w:r>
              <w:rPr>
                <w:rFonts w:ascii="Calibri" w:hAnsi="Calibri"/>
                <w:b w:val="0"/>
                <w:i w:val="0"/>
                <w:color w:val="101828"/>
                <w:sz w:val="14"/>
              </w:rPr>
              <w:t xml:space="preserve"> The member is told before day 5 that this is the outcome, so day 5 is not a surprise.</w:t>
            </w:r>
          </w:p>
        </w:tc>
        <w:tc>
          <w:tcPr>
            <w:tcW w:type="dxa" w:w="1584"/>
            <w:tcMar>
              <w:top w:w="60" w:type="dxa"/>
              <w:start w:w="110" w:type="dxa"/>
              <w:bottom w:w="60" w:type="dxa"/>
              <w:end w:w="110" w:type="dxa"/>
            </w:tcMar>
          </w:tcPr>
          <w:p>
            <w:pPr>
              <w:spacing w:after="0"/>
            </w:pPr>
            <w:r/>
            <w:r>
              <w:rPr>
                <w:rFonts w:ascii="Calibri" w:hAnsi="Calibri"/>
                <w:b w:val="0"/>
                <w:i w:val="0"/>
                <w:color w:val="101828"/>
                <w:sz w:val="14"/>
              </w:rPr>
              <w:t>Automatic cancellation and full refund. Support can trigger the refund earlier if the organiser cancels.</w:t>
            </w:r>
          </w:p>
        </w:tc>
        <w:tc>
          <w:tcPr>
            <w:tcW w:type="dxa" w:w="1656"/>
            <w:tcMar>
              <w:top w:w="60" w:type="dxa"/>
              <w:start w:w="110" w:type="dxa"/>
              <w:bottom w:w="60" w:type="dxa"/>
              <w:end w:w="110" w:type="dxa"/>
            </w:tcMar>
          </w:tcPr>
          <w:p>
            <w:pPr>
              <w:spacing w:after="0"/>
            </w:pPr>
            <w:r/>
            <w:r>
              <w:rPr>
                <w:rFonts w:ascii="Calibri" w:hAnsi="Calibri"/>
                <w:b w:val="0"/>
                <w:i w:val="0"/>
                <w:color w:val="101828"/>
                <w:sz w:val="14"/>
              </w:rPr>
              <w:t>Day-5 evaluation with the position fill count at that moment, the refund instructions issued, and the reason recorded against the Ajo (BR-001).</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EC-051</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Enrollment fills every position on day 4, so the Ajo activates early rather than waiting for day 5.</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Activation proceeds on the fill event, not on a calendar event. The organizer is notified that positions locked and that terms are now immutable (BR-002, BR-005).</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Your Ajo is full and active. The schedule is locked from now on.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None needed; this is the design working.</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Activation event with the fill state, the locking of positions, and the immutable terms snapshot. This snapshot is what makes every later dispute answerable.</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EC-052</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member tries to claim a position after activation.</w:t>
            </w:r>
          </w:p>
        </w:tc>
        <w:tc>
          <w:tcPr>
            <w:tcW w:type="dxa" w:w="2088"/>
            <w:tcMar>
              <w:top w:w="60" w:type="dxa"/>
              <w:start w:w="110" w:type="dxa"/>
              <w:bottom w:w="60" w:type="dxa"/>
              <w:end w:w="110" w:type="dxa"/>
            </w:tcMar>
          </w:tcPr>
          <w:p>
            <w:pPr>
              <w:spacing w:after="0"/>
            </w:pPr>
            <w:r/>
            <w:r>
              <w:rPr>
                <w:rFonts w:ascii="Calibri" w:hAnsi="Calibri"/>
                <w:b w:val="0"/>
                <w:i w:val="0"/>
                <w:color w:val="101828"/>
                <w:sz w:val="14"/>
              </w:rPr>
              <w:t>Refused. Position order and membership are fixed at activation; a change requires a formal replacement or transfer request, and a unilateral exit after activation is refused (BR-002, BR-003).</w:t>
            </w:r>
          </w:p>
        </w:tc>
        <w:tc>
          <w:tcPr>
            <w:tcW w:type="dxa" w:w="1728"/>
            <w:tcMar>
              <w:top w:w="60" w:type="dxa"/>
              <w:start w:w="110" w:type="dxa"/>
              <w:bottom w:w="60" w:type="dxa"/>
              <w:end w:w="110" w:type="dxa"/>
            </w:tcMar>
          </w:tcPr>
          <w:p>
            <w:pPr>
              <w:spacing w:after="0"/>
            </w:pPr>
            <w:r/>
            <w:r>
              <w:rPr>
                <w:rFonts w:ascii="Calibri" w:hAnsi="Calibri"/>
                <w:i/>
                <w:color w:val="101828"/>
                <w:sz w:val="14"/>
              </w:rPr>
              <w:t>Positions are locked when the Ajo became active. Request a replacement to transfer your position, and the organiser will review it.</w:t>
            </w:r>
          </w:p>
        </w:tc>
        <w:tc>
          <w:tcPr>
            <w:tcW w:type="dxa" w:w="1584"/>
            <w:tcMar>
              <w:top w:w="60" w:type="dxa"/>
              <w:start w:w="110" w:type="dxa"/>
              <w:bottom w:w="60" w:type="dxa"/>
              <w:end w:w="110" w:type="dxa"/>
            </w:tcMar>
          </w:tcPr>
          <w:p>
            <w:pPr>
              <w:spacing w:after="0"/>
            </w:pPr>
            <w:r/>
            <w:r>
              <w:rPr>
                <w:rFonts w:ascii="Consolas" w:hAnsi="Consolas"/>
                <w:color w:val="146EF5"/>
                <w:sz w:val="14"/>
              </w:rPr>
              <w:t>POST /ajos/:id/members/:memberId/replace</w:t>
            </w:r>
            <w:r>
              <w:rPr>
                <w:rFonts w:ascii="Calibri" w:hAnsi="Calibri"/>
                <w:b w:val="0"/>
                <w:i w:val="0"/>
                <w:color w:val="101828"/>
                <w:sz w:val="14"/>
              </w:rPr>
              <w:t>, which is an organiser-reviewed request, not a self-service exit.</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Rejected attempt logged with actor, role and the reason the state forbade it. Repeated attempts are a risk signal (R4).</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EC-053</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who joined during enrollment is removed on day 4, leaving a position unfilled with no time to refill it.</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Pre-activation removal is permitted, and the position reopens within the remaining window. If the window then closes unfilled, the Ajo cancels under EC-050. We do not extend the window silently.</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A position is open again with less than a day to fill. Closing this Ajo early is possible if it fills.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Re-invitation, or a replacement claim by an existing member with organiser approval.</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Removal event with actor, role and timestamp, plus the position re-opening, and the day-5 evaluation that followed.</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EC-054</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organiser edits the contribution amount, frequency or payout order after the Ajo is ACTIVE.</w:t>
            </w:r>
          </w:p>
        </w:tc>
        <w:tc>
          <w:tcPr>
            <w:tcW w:type="dxa" w:w="2088"/>
            <w:tcMar>
              <w:top w:w="60" w:type="dxa"/>
              <w:start w:w="110" w:type="dxa"/>
              <w:bottom w:w="60" w:type="dxa"/>
              <w:end w:w="110" w:type="dxa"/>
            </w:tcMar>
          </w:tcPr>
          <w:p>
            <w:pPr>
              <w:spacing w:after="0"/>
            </w:pPr>
            <w:r/>
            <w:r>
              <w:rPr>
                <w:rFonts w:ascii="Calibri" w:hAnsi="Calibri"/>
                <w:b w:val="0"/>
                <w:i w:val="0"/>
                <w:color w:val="101828"/>
                <w:sz w:val="14"/>
              </w:rPr>
              <w:t>Refused. The terms are immutable once active; changing them would change what every member consented to, and silently changing a fee is separately prohibited (BR-005, BR-026).</w:t>
            </w:r>
          </w:p>
        </w:tc>
        <w:tc>
          <w:tcPr>
            <w:tcW w:type="dxa" w:w="1728"/>
            <w:tcMar>
              <w:top w:w="60" w:type="dxa"/>
              <w:start w:w="110" w:type="dxa"/>
              <w:bottom w:w="60" w:type="dxa"/>
              <w:end w:w="110" w:type="dxa"/>
            </w:tcMar>
          </w:tcPr>
          <w:p>
            <w:pPr>
              <w:spacing w:after="0"/>
            </w:pPr>
            <w:r/>
            <w:r>
              <w:rPr>
                <w:rFonts w:ascii="Calibri" w:hAnsi="Calibri"/>
                <w:i/>
                <w:color w:val="101828"/>
                <w:sz w:val="14"/>
              </w:rPr>
              <w:t>The terms of an active Ajo cannot be changed. Start a new Ajo instead, with the new terms shown to everyone up front.</w:t>
            </w:r>
          </w:p>
        </w:tc>
        <w:tc>
          <w:tcPr>
            <w:tcW w:type="dxa" w:w="1584"/>
            <w:tcMar>
              <w:top w:w="60" w:type="dxa"/>
              <w:start w:w="110" w:type="dxa"/>
              <w:bottom w:w="60" w:type="dxa"/>
              <w:end w:w="110" w:type="dxa"/>
            </w:tcMar>
          </w:tcPr>
          <w:p>
            <w:pPr>
              <w:spacing w:after="0"/>
            </w:pPr>
            <w:r/>
            <w:r>
              <w:rPr>
                <w:rFonts w:ascii="Calibri" w:hAnsi="Calibri"/>
                <w:b w:val="0"/>
                <w:i w:val="0"/>
                <w:color w:val="101828"/>
                <w:sz w:val="14"/>
              </w:rPr>
              <w:t xml:space="preserve">A new Ajo. There is no override, including for </w:t>
            </w:r>
            <w:r>
              <w:rPr>
                <w:rFonts w:ascii="Consolas" w:hAnsi="Consolas"/>
                <w:color w:val="146EF5"/>
                <w:sz w:val="14"/>
              </w:rPr>
              <w:t>super_admin</w:t>
            </w:r>
            <w:r>
              <w:rPr>
                <w:rFonts w:ascii="Calibri" w:hAnsi="Calibri"/>
                <w:b w:val="0"/>
                <w:i w:val="0"/>
                <w:color w:val="101828"/>
                <w:sz w:val="14"/>
              </w:rPr>
              <w:t>, because a consent that can be rewritten after the fact is not consent.</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Rejected edit logged with the attempted field change and the actor's role. A successful edit attempt on an active Ajo would be a Sev-1 integrity failure.</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EC-055</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round completes while a dispute concerning that round is still open.</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dispute is not ignored and the money is not distributed through the ambiguity. The payout enters HELD with the dispute as the recorded reason, and both recipient and organizer are notified (BR-017, BR-018). Disbursement resumes or is resolved by the dispute outcome.</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Your payout is on hold while a question about this round is being answered. It is yours and it is safe.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Dispute resolution, then release. The hold is visible to support and to the member as a reason, never as an unexplained delay.</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HOLD event naming the dispute id, the notification timestamps, and the release event with its cause.</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EC-056</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provider or our own scheduler is down at the exact moment a round was due to start, so a payout is discovered late rather than on time.</w:t>
            </w:r>
          </w:p>
        </w:tc>
        <w:tc>
          <w:tcPr>
            <w:tcW w:type="dxa" w:w="2088"/>
            <w:tcMar>
              <w:top w:w="60" w:type="dxa"/>
              <w:start w:w="110" w:type="dxa"/>
              <w:bottom w:w="60" w:type="dxa"/>
              <w:end w:w="110" w:type="dxa"/>
            </w:tcMar>
          </w:tcPr>
          <w:p>
            <w:pPr>
              <w:spacing w:after="0"/>
            </w:pPr>
            <w:r/>
            <w:r>
              <w:rPr>
                <w:rFonts w:ascii="Calibri" w:hAnsi="Calibri"/>
                <w:b w:val="0"/>
                <w:i w:val="0"/>
                <w:color w:val="101828"/>
                <w:sz w:val="14"/>
              </w:rPr>
              <w:t>A missed payout is treated as a Sev-1 and is communicated as soon as it is detected, before it becomes a member complaint. The payout is not skipped, rescheduled silently, or reported as on time.</w:t>
            </w:r>
          </w:p>
        </w:tc>
        <w:tc>
          <w:tcPr>
            <w:tcW w:type="dxa" w:w="1728"/>
            <w:tcMar>
              <w:top w:w="60" w:type="dxa"/>
              <w:start w:w="110" w:type="dxa"/>
              <w:bottom w:w="60" w:type="dxa"/>
              <w:end w:w="110" w:type="dxa"/>
            </w:tcMar>
          </w:tcPr>
          <w:p>
            <w:pPr>
              <w:spacing w:after="0"/>
            </w:pPr>
            <w:r/>
            <w:r>
              <w:rPr>
                <w:rFonts w:ascii="Calibri" w:hAnsi="Calibri"/>
                <w:i/>
                <w:color w:val="101828"/>
                <w:sz w:val="14"/>
              </w:rPr>
              <w:t>Your payout was delayed. It is being processed now and here is when to expect it.</w:t>
            </w:r>
            <w:r>
              <w:rPr>
                <w:rFonts w:ascii="Calibri" w:hAnsi="Calibri"/>
                <w:b w:val="0"/>
                <w:i w:val="0"/>
                <w:color w:val="101828"/>
                <w:sz w:val="14"/>
              </w:rPr>
              <w:t xml:space="preserve"> We do not let a member discover a missed payout by noticing an absent notification.</w:t>
            </w:r>
          </w:p>
        </w:tc>
        <w:tc>
          <w:tcPr>
            <w:tcW w:type="dxa" w:w="1584"/>
            <w:tcMar>
              <w:top w:w="60" w:type="dxa"/>
              <w:start w:w="110" w:type="dxa"/>
              <w:bottom w:w="60" w:type="dxa"/>
              <w:end w:w="110" w:type="dxa"/>
            </w:tcMar>
          </w:tcPr>
          <w:p>
            <w:pPr>
              <w:spacing w:after="0"/>
            </w:pPr>
            <w:r/>
            <w:r>
              <w:rPr>
                <w:rFonts w:ascii="Calibri" w:hAnsi="Calibri"/>
                <w:b w:val="0"/>
                <w:i w:val="0"/>
                <w:color w:val="101828"/>
                <w:sz w:val="14"/>
              </w:rPr>
              <w:t>Immediate execution on recovery, with a proactive notice to recipient and organizer.</w:t>
            </w:r>
          </w:p>
        </w:tc>
        <w:tc>
          <w:tcPr>
            <w:tcW w:type="dxa" w:w="1656"/>
            <w:tcMar>
              <w:top w:w="60" w:type="dxa"/>
              <w:start w:w="110" w:type="dxa"/>
              <w:bottom w:w="60" w:type="dxa"/>
              <w:end w:w="110" w:type="dxa"/>
            </w:tcMar>
          </w:tcPr>
          <w:p>
            <w:pPr>
              <w:spacing w:after="0"/>
            </w:pPr>
            <w:r/>
            <w:r>
              <w:rPr>
                <w:rFonts w:ascii="Calibri" w:hAnsi="Calibri"/>
                <w:b w:val="0"/>
                <w:i w:val="0"/>
                <w:color w:val="101828"/>
                <w:sz w:val="14"/>
              </w:rPr>
              <w:t>Detected-versus-scheduled delta in seconds, the notification timestamps, and the cause. On-time payout rate is a trust metric, not a technical one.</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EC-057</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round's collection window is configured so short that the 48-hour grace period extends past the next round's start.</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Rejected at schedule creation. Overlapping windows are a configuration error that would otherwise force a member into overlapping obligations, which is exactly the kind of coercion the product is meant to remove.</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This schedule gives members less than 48 hours to pay, which cannot overlap the next round.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None; the schedule is corrected before it can be created.</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Rejected schedule with the conflicting windows. A valid but very tight schedule is flagged for review rather than rejected.</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EC-058</w:t>
            </w:r>
          </w:p>
        </w:tc>
        <w:tc>
          <w:tcPr>
            <w:tcW w:type="dxa" w:w="1656"/>
            <w:tcMar>
              <w:top w:w="60" w:type="dxa"/>
              <w:start w:w="110" w:type="dxa"/>
              <w:bottom w:w="60" w:type="dxa"/>
              <w:end w:w="110" w:type="dxa"/>
            </w:tcMar>
          </w:tcPr>
          <w:p>
            <w:pPr>
              <w:spacing w:after="0"/>
            </w:pPr>
            <w:r/>
            <w:r>
              <w:rPr>
                <w:rFonts w:ascii="Calibri" w:hAnsi="Calibri"/>
                <w:b w:val="0"/>
                <w:i w:val="0"/>
                <w:color w:val="101828"/>
                <w:sz w:val="14"/>
              </w:rPr>
              <w:t>An Ajo is CANCELLED while a round is in progress and contributions have already been collected.</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Ajo moves to CANCELLING, not straight to CANCELLED. All collected funds are refunded in full, each member's fees are handled per D-05, and only then does the Ajo reach CANCELLED. No round is ever completed against a cancelling Ajo.</w:t>
            </w:r>
          </w:p>
        </w:tc>
        <w:tc>
          <w:tcPr>
            <w:tcW w:type="dxa" w:w="1728"/>
            <w:tcMar>
              <w:top w:w="60" w:type="dxa"/>
              <w:start w:w="110" w:type="dxa"/>
              <w:bottom w:w="60" w:type="dxa"/>
              <w:end w:w="110" w:type="dxa"/>
            </w:tcMar>
          </w:tcPr>
          <w:p>
            <w:pPr>
              <w:spacing w:after="0"/>
            </w:pPr>
            <w:r/>
            <w:r>
              <w:rPr>
                <w:rFonts w:ascii="Calibri" w:hAnsi="Calibri"/>
                <w:i/>
                <w:color w:val="101828"/>
                <w:sz w:val="14"/>
              </w:rPr>
              <w:t>This Ajo is closing, so every contribution collected is being returned to the member it came from.</w:t>
            </w:r>
          </w:p>
        </w:tc>
        <w:tc>
          <w:tcPr>
            <w:tcW w:type="dxa" w:w="1584"/>
            <w:tcMar>
              <w:top w:w="60" w:type="dxa"/>
              <w:start w:w="110" w:type="dxa"/>
              <w:bottom w:w="60" w:type="dxa"/>
              <w:end w:w="110" w:type="dxa"/>
            </w:tcMar>
          </w:tcPr>
          <w:p>
            <w:pPr>
              <w:spacing w:after="0"/>
            </w:pPr>
            <w:r/>
            <w:r>
              <w:rPr>
                <w:rFonts w:ascii="Calibri" w:hAnsi="Calibri"/>
                <w:b w:val="0"/>
                <w:i w:val="0"/>
                <w:color w:val="101828"/>
                <w:sz w:val="14"/>
              </w:rPr>
              <w:t>Automatic full refund, with the same notification discipline as a successful payout.</w:t>
            </w:r>
          </w:p>
        </w:tc>
        <w:tc>
          <w:tcPr>
            <w:tcW w:type="dxa" w:w="1656"/>
            <w:tcMar>
              <w:top w:w="60" w:type="dxa"/>
              <w:start w:w="110" w:type="dxa"/>
              <w:bottom w:w="60" w:type="dxa"/>
              <w:end w:w="110" w:type="dxa"/>
            </w:tcMar>
          </w:tcPr>
          <w:p>
            <w:pPr>
              <w:spacing w:after="0"/>
            </w:pPr>
            <w:r/>
            <w:r>
              <w:rPr>
                <w:rFonts w:ascii="Calibri" w:hAnsi="Calibri"/>
                <w:b w:val="0"/>
                <w:i w:val="0"/>
                <w:color w:val="101828"/>
                <w:sz w:val="14"/>
              </w:rPr>
              <w:t>CANCELLING entry, refund instructions per member, fee treatment per D-05, and the final terminal transition with its timestamp.</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EC-059</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FROZEN Ajo is frozen for longer than a member's tolerance, with a round due in the meantime.</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Freeze halts the Ajo's timers and the members are told the reason and that their obligations are suspended, rather than being allowed to accrue an apparent debt during a platform-imposed pause. Unfreeze resumes the schedule with its remaining time intact where possible.</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This Ajo is paused by us while we sort something out. Your round is not overdue and you are not being charged.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Unfreeze by </w:t>
            </w:r>
            <w:r>
              <w:rPr>
                <w:rFonts w:ascii="Consolas" w:hAnsi="Consolas"/>
                <w:color w:val="146EF5"/>
                <w:sz w:val="14"/>
              </w:rPr>
              <w:t>risk_officer</w:t>
            </w:r>
            <w:r>
              <w:rPr>
                <w:rFonts w:ascii="Calibri" w:hAnsi="Calibri"/>
                <w:b w:val="0"/>
                <w:i w:val="0"/>
                <w:color w:val="101828"/>
                <w:sz w:val="14"/>
              </w:rPr>
              <w:t xml:space="preserve"> or </w:t>
            </w:r>
            <w:r>
              <w:rPr>
                <w:rFonts w:ascii="Consolas" w:hAnsi="Consolas"/>
                <w:color w:val="146EF5"/>
                <w:sz w:val="14"/>
              </w:rPr>
              <w:t>super_admin</w:t>
            </w:r>
            <w:r>
              <w:rPr>
                <w:rFonts w:ascii="Calibri" w:hAnsi="Calibri"/>
                <w:b w:val="0"/>
                <w:i w:val="0"/>
                <w:color w:val="101828"/>
                <w:sz w:val="14"/>
              </w:rPr>
              <w:t xml:space="preserve"> with a recorded reason; the member may escalate to support if the pause exceeds the communicated window.</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Freeze and unfreeze with actor, role, reason and duration. Prolonged freezes are reviewed for pattern, because a freeze that always lands on the same organizers is an inequity.</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EC-060</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organiser configures fewer than five positions, or more than twenty.</w:t>
            </w:r>
          </w:p>
        </w:tc>
        <w:tc>
          <w:tcPr>
            <w:tcW w:type="dxa" w:w="2088"/>
            <w:tcMar>
              <w:top w:w="60" w:type="dxa"/>
              <w:start w:w="110" w:type="dxa"/>
              <w:bottom w:w="60" w:type="dxa"/>
              <w:end w:w="110" w:type="dxa"/>
            </w:tcMar>
          </w:tcPr>
          <w:p>
            <w:pPr>
              <w:spacing w:after="0"/>
            </w:pPr>
            <w:r/>
            <w:r>
              <w:rPr>
                <w:rFonts w:ascii="Calibri" w:hAnsi="Calibri"/>
                <w:b w:val="0"/>
                <w:i w:val="0"/>
                <w:color w:val="101828"/>
                <w:sz w:val="14"/>
              </w:rPr>
              <w:t xml:space="preserve">The </w:t>
            </w:r>
            <w:r>
              <w:rPr>
                <w:rFonts w:ascii="Consolas" w:hAnsi="Consolas"/>
                <w:color w:val="146EF5"/>
                <w:sz w:val="14"/>
              </w:rPr>
              <w:t>CHECK (position_count BETWEEN 5 AND 20)</w:t>
            </w:r>
            <w:r>
              <w:rPr>
                <w:rFonts w:ascii="Calibri" w:hAnsi="Calibri"/>
                <w:b w:val="0"/>
                <w:i w:val="0"/>
                <w:color w:val="101828"/>
                <w:sz w:val="14"/>
              </w:rPr>
              <w:t xml:space="preserve"> on </w:t>
            </w:r>
            <w:r>
              <w:rPr>
                <w:rFonts w:ascii="Consolas" w:hAnsi="Consolas"/>
                <w:color w:val="146EF5"/>
                <w:sz w:val="14"/>
              </w:rPr>
              <w:t>ajos</w:t>
            </w:r>
            <w:r>
              <w:rPr>
                <w:rFonts w:ascii="Calibri" w:hAnsi="Calibri"/>
                <w:b w:val="0"/>
                <w:i w:val="0"/>
                <w:color w:val="101828"/>
                <w:sz w:val="14"/>
              </w:rPr>
              <w:t xml:space="preserve"> rejects it and the Ajo stays in </w:t>
            </w:r>
            <w:r>
              <w:rPr>
                <w:rFonts w:ascii="Consolas" w:hAnsi="Consolas"/>
                <w:color w:val="146EF5"/>
                <w:sz w:val="14"/>
              </w:rPr>
              <w:t>DRAFT</w:t>
            </w:r>
            <w:r>
              <w:rPr>
                <w:rFonts w:ascii="Calibri" w:hAnsi="Calibri"/>
                <w:b w:val="0"/>
                <w:i w:val="0"/>
                <w:color w:val="101828"/>
                <w:sz w:val="14"/>
              </w:rPr>
              <w:t>. The bounds are a floor and a ceiling, not preferences: below five it is a savings account or a transfer between two people, and above twenty it is a group no single organiser can realistically invite, monitor and default-handle.</w:t>
            </w:r>
          </w:p>
        </w:tc>
        <w:tc>
          <w:tcPr>
            <w:tcW w:type="dxa" w:w="1728"/>
            <w:tcMar>
              <w:top w:w="60" w:type="dxa"/>
              <w:start w:w="110" w:type="dxa"/>
              <w:bottom w:w="60" w:type="dxa"/>
              <w:end w:w="110" w:type="dxa"/>
            </w:tcMar>
          </w:tcPr>
          <w:p>
            <w:pPr>
              <w:spacing w:after="0"/>
            </w:pPr>
            <w:r/>
            <w:r>
              <w:rPr>
                <w:rFonts w:ascii="Calibri" w:hAnsi="Calibri"/>
                <w:i/>
                <w:color w:val="101828"/>
                <w:sz w:val="14"/>
              </w:rPr>
              <w:t>An Ajo needs between 5 and 20 members. Ten is the most common. You count as one of them.</w:t>
            </w:r>
          </w:p>
        </w:tc>
        <w:tc>
          <w:tcPr>
            <w:tcW w:type="dxa" w:w="1584"/>
            <w:tcMar>
              <w:top w:w="60" w:type="dxa"/>
              <w:start w:w="110" w:type="dxa"/>
              <w:bottom w:w="60" w:type="dxa"/>
              <w:end w:w="110" w:type="dxa"/>
            </w:tcMar>
          </w:tcPr>
          <w:p>
            <w:pPr>
              <w:spacing w:after="0"/>
            </w:pPr>
            <w:r/>
            <w:r>
              <w:rPr>
                <w:rFonts w:ascii="Calibri" w:hAnsi="Calibri"/>
                <w:b w:val="0"/>
                <w:i w:val="0"/>
                <w:color w:val="101828"/>
                <w:sz w:val="14"/>
              </w:rPr>
              <w:t>Raise the member count and re-submit.</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Rejected configuration with the count attempted. The guard is asserted in a test, so it cannot be lost in a refactor.</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EC-061</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organiser abandons the wizard and returns days later.</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The Ajo is still in </w:t>
            </w:r>
            <w:r>
              <w:rPr>
                <w:rFonts w:ascii="Consolas" w:hAnsi="Consolas"/>
                <w:color w:val="146EF5"/>
                <w:sz w:val="14"/>
              </w:rPr>
              <w:t>DRAFT</w:t>
            </w:r>
            <w:r>
              <w:rPr>
                <w:rFonts w:ascii="Calibri" w:hAnsi="Calibri"/>
                <w:b w:val="0"/>
                <w:i w:val="0"/>
                <w:color w:val="101828"/>
                <w:sz w:val="14"/>
              </w:rPr>
              <w:t>, and a draft has no clock running on it, so an abandoned draft cancels nothing and collects nothing. The draft is restored exactly as it was left, including every fee figure shown at the time.</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Your Ajo is saved as a draft. Nothing has started and nothing is owed.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Resume the wizard, or delete the draft.</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Draft creation, last-touched timestamp and resumption. A draft that is never resumed is not a failure, so it is measured as abandonment and not as a cancellation.</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EC-062</w:t>
            </w:r>
          </w:p>
        </w:tc>
        <w:tc>
          <w:tcPr>
            <w:tcW w:type="dxa" w:w="1656"/>
            <w:tcMar>
              <w:top w:w="60" w:type="dxa"/>
              <w:start w:w="110" w:type="dxa"/>
              <w:bottom w:w="60" w:type="dxa"/>
              <w:end w:w="110" w:type="dxa"/>
            </w:tcMar>
          </w:tcPr>
          <w:p>
            <w:pPr>
              <w:spacing w:after="0"/>
            </w:pPr>
            <w:r/>
            <w:r>
              <w:rPr>
                <w:rFonts w:ascii="Calibri" w:hAnsi="Calibri"/>
                <w:b w:val="0"/>
                <w:i w:val="0"/>
                <w:color w:val="101828"/>
                <w:sz w:val="14"/>
              </w:rPr>
              <w:t>An invitation is accepted by nobody, so the position stays unfilled through the enrollment window.</w:t>
            </w:r>
          </w:p>
        </w:tc>
        <w:tc>
          <w:tcPr>
            <w:tcW w:type="dxa" w:w="2088"/>
            <w:tcMar>
              <w:top w:w="60" w:type="dxa"/>
              <w:start w:w="110" w:type="dxa"/>
              <w:bottom w:w="60" w:type="dxa"/>
              <w:end w:w="110" w:type="dxa"/>
            </w:tcMar>
          </w:tcPr>
          <w:p>
            <w:pPr>
              <w:spacing w:after="0"/>
            </w:pPr>
            <w:r/>
            <w:r>
              <w:rPr>
                <w:rFonts w:ascii="Calibri" w:hAnsi="Calibri"/>
                <w:b w:val="0"/>
                <w:i w:val="0"/>
                <w:color w:val="101828"/>
                <w:sz w:val="14"/>
              </w:rPr>
              <w:t>Enrollment is unaffected mechanically and does not wait: the window is exactly 5 days. Reminders go to the organiser about the unfilled position, and the Ajo cancels under EC-050 if the seat is still empty at the end.</w:t>
            </w:r>
          </w:p>
        </w:tc>
        <w:tc>
          <w:tcPr>
            <w:tcW w:type="dxa" w:w="1728"/>
            <w:tcMar>
              <w:top w:w="60" w:type="dxa"/>
              <w:start w:w="110" w:type="dxa"/>
              <w:bottom w:w="60" w:type="dxa"/>
              <w:end w:w="110" w:type="dxa"/>
            </w:tcMar>
          </w:tcPr>
          <w:p>
            <w:pPr>
              <w:spacing w:after="0"/>
            </w:pPr>
            <w:r/>
            <w:r>
              <w:rPr>
                <w:rFonts w:ascii="Calibri" w:hAnsi="Calibri"/>
                <w:b w:val="0"/>
                <w:i w:val="0"/>
                <w:color w:val="101828"/>
                <w:sz w:val="14"/>
              </w:rPr>
              <w:t xml:space="preserve">To the organiser: </w:t>
            </w:r>
            <w:r>
              <w:rPr>
                <w:rFonts w:ascii="Calibri" w:hAnsi="Calibri"/>
                <w:i/>
                <w:color w:val="101828"/>
                <w:sz w:val="14"/>
              </w:rPr>
              <w:t>This Ajo needs one more member to start. You have until DAY to invite someone.</w:t>
            </w:r>
          </w:p>
        </w:tc>
        <w:tc>
          <w:tcPr>
            <w:tcW w:type="dxa" w:w="1584"/>
            <w:tcMar>
              <w:top w:w="60" w:type="dxa"/>
              <w:start w:w="110" w:type="dxa"/>
              <w:bottom w:w="60" w:type="dxa"/>
              <w:end w:w="110" w:type="dxa"/>
            </w:tcMar>
          </w:tcPr>
          <w:p>
            <w:pPr>
              <w:spacing w:after="0"/>
            </w:pPr>
            <w:r/>
            <w:r>
              <w:rPr>
                <w:rFonts w:ascii="Calibri" w:hAnsi="Calibri"/>
                <w:b w:val="0"/>
                <w:i w:val="0"/>
                <w:color w:val="101828"/>
                <w:sz w:val="14"/>
              </w:rPr>
              <w:t>Re-invite, or a replacement claim by an existing member, or cancellation with a full refund.</w:t>
            </w:r>
          </w:p>
        </w:tc>
        <w:tc>
          <w:tcPr>
            <w:tcW w:type="dxa" w:w="1656"/>
            <w:tcMar>
              <w:top w:w="60" w:type="dxa"/>
              <w:start w:w="110" w:type="dxa"/>
              <w:bottom w:w="60" w:type="dxa"/>
              <w:end w:w="110" w:type="dxa"/>
            </w:tcMar>
          </w:tcPr>
          <w:p>
            <w:pPr>
              <w:spacing w:after="0"/>
            </w:pPr>
            <w:r/>
            <w:r>
              <w:rPr>
                <w:rFonts w:ascii="Calibri" w:hAnsi="Calibri"/>
                <w:b w:val="0"/>
                <w:i w:val="0"/>
                <w:color w:val="101828"/>
                <w:sz w:val="14"/>
              </w:rPr>
              <w:t>Invitation sent, accepted or not, and the seat's fill state at the day-5 evaluation.</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EC-063</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round's funds are short, for example NGN 90,000.00 available against NGN 100,000.00 due.</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payout enters HELD with the shortfall recorded. The payout is never silently reduced, and corporate funds are never used to close the gap (BR-018). The solvency assertion halts disbursement independently. No other member is charged extra (BR-015), and the defaulting member is never named (BR-014).</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To the recipient: </w:t>
            </w:r>
            <w:r>
              <w:rPr>
                <w:rFonts w:ascii="Calibri" w:hAnsi="Calibri"/>
                <w:i/>
                <w:color w:val="101828"/>
                <w:sz w:val="14"/>
              </w:rPr>
              <w:t>Your payout is on hold because the round is short by NGN 10,000.00. It is yours and it is safe - here is what is happening next.</w:t>
            </w:r>
            <w:r>
              <w:rPr>
                <w:rFonts w:ascii="Calibri" w:hAnsi="Calibri"/>
                <w:b w:val="0"/>
                <w:i w:val="0"/>
                <w:color w:val="101828"/>
                <w:sz w:val="14"/>
              </w:rPr>
              <w:t xml:space="preserve"> To the organizer: the same shortfall figure and the recovery steps.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The recovery process: reminders, a retry window, then write-off of the defaulting position and the funding decision for the remaining members, taken explicitly and recorded rather than absorbed silently.</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HELD event with the shortfall, the notification timestamps to both parties, and the eventual resolution. Counted as K-01, and the single most trust-sensitive number in the product.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EC-064</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completed Ajo is opened again months later to check its history.</w:t>
            </w:r>
          </w:p>
        </w:tc>
        <w:tc>
          <w:tcPr>
            <w:tcW w:type="dxa" w:w="2088"/>
            <w:tcMar>
              <w:top w:w="60" w:type="dxa"/>
              <w:start w:w="110" w:type="dxa"/>
              <w:bottom w:w="60" w:type="dxa"/>
              <w:end w:w="110" w:type="dxa"/>
            </w:tcMar>
          </w:tcPr>
          <w:p>
            <w:pPr>
              <w:spacing w:after="0"/>
            </w:pPr>
            <w:r/>
            <w:r>
              <w:rPr>
                <w:rFonts w:ascii="Calibri" w:hAnsi="Calibri"/>
                <w:b w:val="0"/>
                <w:i w:val="0"/>
                <w:color w:val="101828"/>
                <w:sz w:val="14"/>
              </w:rPr>
              <w:t xml:space="preserve">Terminal is terminal: </w:t>
            </w:r>
            <w:r>
              <w:rPr>
                <w:rFonts w:ascii="Consolas" w:hAnsi="Consolas"/>
                <w:color w:val="146EF5"/>
                <w:sz w:val="14"/>
              </w:rPr>
              <w:t>COMPLETED</w:t>
            </w:r>
            <w:r>
              <w:rPr>
                <w:rFonts w:ascii="Calibri" w:hAnsi="Calibri"/>
                <w:b w:val="0"/>
                <w:i w:val="0"/>
                <w:color w:val="101828"/>
                <w:sz w:val="14"/>
              </w:rPr>
              <w:t xml:space="preserve"> accepts no events. The Ajo is fully readable and completely frozen, so history can be checked and a statement produced, but nothing about it can change (BR-009).</w:t>
            </w:r>
          </w:p>
        </w:tc>
        <w:tc>
          <w:tcPr>
            <w:tcW w:type="dxa" w:w="1728"/>
            <w:tcMar>
              <w:top w:w="60" w:type="dxa"/>
              <w:start w:w="110" w:type="dxa"/>
              <w:bottom w:w="60" w:type="dxa"/>
              <w:end w:w="110" w:type="dxa"/>
            </w:tcMar>
          </w:tcPr>
          <w:p>
            <w:pPr>
              <w:spacing w:after="0"/>
            </w:pPr>
            <w:r/>
            <w:r>
              <w:rPr>
                <w:rFonts w:ascii="Calibri" w:hAnsi="Calibri"/>
                <w:i/>
                <w:color w:val="101828"/>
                <w:sz w:val="14"/>
              </w:rPr>
              <w:t>This Ajo is complete. Its history is here, and it cannot be changed.</w:t>
            </w:r>
          </w:p>
        </w:tc>
        <w:tc>
          <w:tcPr>
            <w:tcW w:type="dxa" w:w="1584"/>
            <w:tcMar>
              <w:top w:w="60" w:type="dxa"/>
              <w:start w:w="110" w:type="dxa"/>
              <w:bottom w:w="60" w:type="dxa"/>
              <w:end w:w="110" w:type="dxa"/>
            </w:tcMar>
          </w:tcPr>
          <w:p>
            <w:pPr>
              <w:spacing w:after="0"/>
            </w:pPr>
            <w:r/>
            <w:r>
              <w:rPr>
                <w:rFonts w:ascii="Calibri" w:hAnsi="Calibri"/>
                <w:b w:val="0"/>
                <w:i w:val="0"/>
                <w:color w:val="101828"/>
                <w:sz w:val="14"/>
              </w:rPr>
              <w:t>None needed; read-only history is the correct behaviour.</w:t>
            </w:r>
          </w:p>
        </w:tc>
        <w:tc>
          <w:tcPr>
            <w:tcW w:type="dxa" w:w="1656"/>
            <w:tcMar>
              <w:top w:w="60" w:type="dxa"/>
              <w:start w:w="110" w:type="dxa"/>
              <w:bottom w:w="60" w:type="dxa"/>
              <w:end w:w="110" w:type="dxa"/>
            </w:tcMar>
          </w:tcPr>
          <w:p>
            <w:pPr>
              <w:spacing w:after="0"/>
            </w:pPr>
            <w:r/>
            <w:r>
              <w:rPr>
                <w:rFonts w:ascii="Calibri" w:hAnsi="Calibri"/>
                <w:b w:val="0"/>
                <w:i w:val="0"/>
                <w:color w:val="101828"/>
                <w:sz w:val="14"/>
              </w:rPr>
              <w:t>Attempted writes against a terminal Ajo, which should be rare and are watched. A successful write to a terminal Ajo is a Sev-1.</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EC-065</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replacement is requested but no suitable candidate can be found.</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replacement request stays open and visible, and the position is not silently filled by anyone. A replacement requires a real consenting member who passes verification; an unfilled seat remains unfilled rather than being filled to make a record look tidy.</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We are still looking for someone to take this position. It stays reserved meanwhile.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The organiser continues recruiting; support can assist. The window is set by the round, not by the request.</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Open replacement requests with their age. Ageing requests are a recruitment signal for the product, and are reported rather than timed out silently.</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EC-066</w:t>
            </w:r>
          </w:p>
        </w:tc>
        <w:tc>
          <w:tcPr>
            <w:tcW w:type="dxa" w:w="1656"/>
            <w:tcMar>
              <w:top w:w="60" w:type="dxa"/>
              <w:start w:w="110" w:type="dxa"/>
              <w:bottom w:w="60" w:type="dxa"/>
              <w:end w:w="110" w:type="dxa"/>
            </w:tcMar>
          </w:tcPr>
          <w:p>
            <w:pPr>
              <w:spacing w:after="0"/>
            </w:pPr>
            <w:r/>
            <w:r>
              <w:rPr>
                <w:rFonts w:ascii="Calibri" w:hAnsi="Calibri"/>
                <w:b w:val="0"/>
                <w:i w:val="0"/>
                <w:color w:val="101828"/>
                <w:sz w:val="14"/>
              </w:rPr>
              <w:t>An invitation is accepted after the Ajo has already become ACTIVE.</w:t>
            </w:r>
          </w:p>
        </w:tc>
        <w:tc>
          <w:tcPr>
            <w:tcW w:type="dxa" w:w="2088"/>
            <w:tcMar>
              <w:top w:w="60" w:type="dxa"/>
              <w:start w:w="110" w:type="dxa"/>
              <w:bottom w:w="60" w:type="dxa"/>
              <w:end w:w="110" w:type="dxa"/>
            </w:tcMar>
          </w:tcPr>
          <w:p>
            <w:pPr>
              <w:spacing w:after="0"/>
            </w:pPr>
            <w:r/>
            <w:r>
              <w:rPr>
                <w:rFonts w:ascii="Calibri" w:hAnsi="Calibri"/>
                <w:b w:val="0"/>
                <w:i w:val="0"/>
                <w:color w:val="101828"/>
                <w:sz w:val="14"/>
              </w:rPr>
              <w:t>Refused. Activation locks the roster: positions and membership are fixed at that moment, and membership is by invitation only (BR-002, BR-006). Nothing is consumed and no partial membership is created.</w:t>
            </w:r>
          </w:p>
        </w:tc>
        <w:tc>
          <w:tcPr>
            <w:tcW w:type="dxa" w:w="1728"/>
            <w:tcMar>
              <w:top w:w="60" w:type="dxa"/>
              <w:start w:w="110" w:type="dxa"/>
              <w:bottom w:w="60" w:type="dxa"/>
              <w:end w:w="110" w:type="dxa"/>
            </w:tcMar>
          </w:tcPr>
          <w:p>
            <w:pPr>
              <w:spacing w:after="0"/>
            </w:pPr>
            <w:r/>
            <w:r>
              <w:rPr>
                <w:rFonts w:ascii="Calibri" w:hAnsi="Calibri"/>
                <w:i/>
                <w:color w:val="101828"/>
                <w:sz w:val="14"/>
              </w:rPr>
              <w:t>Enrollment for this Ajo has closed, so new members cannot join. Talk to the organiser about a replacement position.</w:t>
            </w:r>
          </w:p>
        </w:tc>
        <w:tc>
          <w:tcPr>
            <w:tcW w:type="dxa" w:w="1584"/>
            <w:tcMar>
              <w:top w:w="60" w:type="dxa"/>
              <w:start w:w="110" w:type="dxa"/>
              <w:bottom w:w="60" w:type="dxa"/>
              <w:end w:w="110" w:type="dxa"/>
            </w:tcMar>
          </w:tcPr>
          <w:p>
            <w:pPr>
              <w:spacing w:after="0"/>
            </w:pPr>
            <w:r/>
            <w:r>
              <w:rPr>
                <w:rFonts w:ascii="Calibri" w:hAnsi="Calibri"/>
                <w:b w:val="0"/>
                <w:i w:val="0"/>
                <w:color w:val="101828"/>
                <w:sz w:val="14"/>
              </w:rPr>
              <w:t>The organiser raises a formal replacement request, which is a different act from joining and is reviewed rather than automatic.</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Refused attempt with the Ajo's activation timestamp. Acceptance after activation is either a stale link or an attempt to backfill a circle, and the two are told apart by the reason recorded.</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EC-067</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An invitation is accepted when every position in the Ajo is already filled.</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because there is no seat to take. The refusal does not disclose who holds the positions, so an invitee cannot use it to enumerate a roster.</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Every position in this Ajo is taken. Ask the organiser whether a position is opening up.</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The organiser frees a position before activation, or invites into the next Ajo.</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Refusal with the fill state at the time. A run of acceptance attempts against a full Ajo is an organiser-side invitation-hygiene problem, reported as such.</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EC-068</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replacement is requested for a member who has already received their own turn.</w:t>
            </w:r>
          </w:p>
        </w:tc>
        <w:tc>
          <w:tcPr>
            <w:tcW w:type="dxa" w:w="2088"/>
            <w:tcMar>
              <w:top w:w="60" w:type="dxa"/>
              <w:start w:w="110" w:type="dxa"/>
              <w:bottom w:w="60" w:type="dxa"/>
              <w:end w:w="110" w:type="dxa"/>
            </w:tcMar>
          </w:tcPr>
          <w:p>
            <w:pPr>
              <w:spacing w:after="0"/>
            </w:pPr>
            <w:r/>
            <w:r>
              <w:rPr>
                <w:rFonts w:ascii="Calibri" w:hAnsi="Calibri"/>
                <w:b w:val="0"/>
                <w:i w:val="0"/>
                <w:color w:val="101828"/>
                <w:sz w:val="14"/>
              </w:rPr>
              <w:t>Refused as a request to move money that has already been paid. The position history, the payment and the receipt are all immutable, and a replacement is only possible for a position that has not yet paid out.</w:t>
            </w:r>
          </w:p>
        </w:tc>
        <w:tc>
          <w:tcPr>
            <w:tcW w:type="dxa" w:w="1728"/>
            <w:tcMar>
              <w:top w:w="60" w:type="dxa"/>
              <w:start w:w="110" w:type="dxa"/>
              <w:bottom w:w="60" w:type="dxa"/>
              <w:end w:w="110" w:type="dxa"/>
            </w:tcMar>
          </w:tcPr>
          <w:p>
            <w:pPr>
              <w:spacing w:after="0"/>
            </w:pPr>
            <w:r/>
            <w:r>
              <w:rPr>
                <w:rFonts w:ascii="Calibri" w:hAnsi="Calibri"/>
                <w:i/>
                <w:color w:val="101828"/>
                <w:sz w:val="14"/>
              </w:rPr>
              <w:t>This turn has already been paid, so it cannot be handed to someone else. Your receipt is here.</w:t>
            </w:r>
          </w:p>
        </w:tc>
        <w:tc>
          <w:tcPr>
            <w:tcW w:type="dxa" w:w="1584"/>
            <w:tcMar>
              <w:top w:w="60" w:type="dxa"/>
              <w:start w:w="110" w:type="dxa"/>
              <w:bottom w:w="60" w:type="dxa"/>
              <w:end w:w="110" w:type="dxa"/>
            </w:tcMar>
          </w:tcPr>
          <w:p>
            <w:pPr>
              <w:spacing w:after="0"/>
            </w:pPr>
            <w:r/>
            <w:r>
              <w:rPr>
                <w:rFonts w:ascii="Calibri" w:hAnsi="Calibri"/>
                <w:b w:val="0"/>
                <w:i w:val="0"/>
                <w:color w:val="101828"/>
                <w:sz w:val="14"/>
              </w:rPr>
              <w:t>None. Any remaining obligation is settled or written off through the normal path.</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Refused request with the settlement reference. A replacement attempted after settlement is a fraud signal as well as a refusal (R4).</w:t>
            </w:r>
          </w:p>
        </w:tc>
      </w:tr>
    </w:tbl>
    <w:p>
      <w:pPr>
        <w:spacing w:after="80"/>
      </w:pPr>
    </w:p>
    <w:p>
      <w:r>
        <w:br w:type="page"/>
      </w:r>
    </w:p>
    <w:p>
      <w:pPr>
        <w:pStyle w:val="Heading2"/>
      </w:pPr>
      <w:r>
        <w:rPr>
          <w:rFonts w:ascii="Calibri" w:hAnsi="Calibri"/>
          <w:b/>
          <w:i w:val="0"/>
          <w:color w:val="146EF5"/>
          <w:sz w:val="29"/>
        </w:rPr>
        <w:t>19.5 Notification edge cases</w:t>
      </w:r>
    </w:p>
    <w:p>
      <w:r>
        <w:rPr>
          <w:rFonts w:ascii="Calibri" w:hAnsi="Calibri"/>
          <w:b w:val="0"/>
          <w:i w:val="0"/>
          <w:color w:val="101828"/>
          <w:sz w:val="21"/>
        </w:rPr>
        <w:t xml:space="preserve">The notification catalogue in section 8 is canonical, and so is the one rule that governs how far it may be bent: </w:t>
      </w:r>
      <w:r>
        <w:rPr>
          <w:rFonts w:ascii="Calibri" w:hAnsi="Calibri"/>
          <w:i/>
          <w:color w:val="101828"/>
          <w:sz w:val="21"/>
        </w:rPr>
        <w:t>SMS reserved for money-critical and security events. Push and email for the rest.</w:t>
      </w:r>
      <w:r>
        <w:rPr>
          <w:rFonts w:ascii="Calibri" w:hAnsi="Calibri"/>
          <w:b w:val="0"/>
          <w:i w:val="0"/>
          <w:color w:val="101828"/>
          <w:sz w:val="21"/>
        </w:rPr>
        <w:t xml:space="preserve"> Every case in this class asks the same question, which is how AJO.ng behaves when the cheapest channel fails for the people who can least afford to be missed.</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648"/>
            <w:shd w:val="clear" w:color="auto" w:fill="0B1F3A"/>
            <w:tcMar>
              <w:top w:w="60" w:type="dxa"/>
              <w:start w:w="110" w:type="dxa"/>
              <w:bottom w:w="60" w:type="dxa"/>
              <w:end w:w="110" w:type="dxa"/>
            </w:tcMar>
          </w:tcPr>
          <w:p>
            <w:pPr>
              <w:spacing w:after="0"/>
            </w:pPr>
            <w:r/>
            <w:r>
              <w:rPr>
                <w:rFonts w:ascii="Calibri" w:hAnsi="Calibri"/>
                <w:b/>
                <w:i w:val="0"/>
                <w:color w:val="FFFFFF"/>
                <w:sz w:val="14"/>
              </w:rPr>
              <w:t>ID</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Trigger</w:t>
            </w:r>
          </w:p>
        </w:tc>
        <w:tc>
          <w:tcPr>
            <w:tcW w:type="dxa" w:w="2088"/>
            <w:shd w:val="clear" w:color="auto" w:fill="0B1F3A"/>
            <w:tcMar>
              <w:top w:w="60" w:type="dxa"/>
              <w:start w:w="110" w:type="dxa"/>
              <w:bottom w:w="60" w:type="dxa"/>
              <w:end w:w="110" w:type="dxa"/>
            </w:tcMar>
          </w:tcPr>
          <w:p>
            <w:pPr>
              <w:spacing w:after="0"/>
            </w:pPr>
            <w:r/>
            <w:r>
              <w:rPr>
                <w:rFonts w:ascii="Calibri" w:hAnsi="Calibri"/>
                <w:b/>
                <w:i w:val="0"/>
                <w:color w:val="FFFFFF"/>
                <w:sz w:val="14"/>
              </w:rPr>
              <w:t>System behaviour</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4"/>
              </w:rPr>
              <w:t>User experience</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4"/>
              </w:rPr>
              <w:t>Recovery mechanism</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Logging requirement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EC-069</w:t>
            </w:r>
          </w:p>
        </w:tc>
        <w:tc>
          <w:tcPr>
            <w:tcW w:type="dxa" w:w="1656"/>
            <w:tcMar>
              <w:top w:w="60" w:type="dxa"/>
              <w:start w:w="110" w:type="dxa"/>
              <w:bottom w:w="60" w:type="dxa"/>
              <w:end w:w="110" w:type="dxa"/>
            </w:tcMar>
          </w:tcPr>
          <w:p>
            <w:pPr>
              <w:spacing w:after="0"/>
            </w:pPr>
            <w:r/>
            <w:r>
              <w:rPr>
                <w:rFonts w:ascii="Calibri" w:hAnsi="Calibri"/>
                <w:b w:val="0"/>
                <w:i w:val="0"/>
                <w:color w:val="101828"/>
                <w:sz w:val="14"/>
              </w:rPr>
              <w:t>Push delivery fails because the member has revoked notification permission, or has no app installed at all.</w:t>
            </w:r>
          </w:p>
        </w:tc>
        <w:tc>
          <w:tcPr>
            <w:tcW w:type="dxa" w:w="2088"/>
            <w:tcMar>
              <w:top w:w="60" w:type="dxa"/>
              <w:start w:w="110" w:type="dxa"/>
              <w:bottom w:w="60" w:type="dxa"/>
              <w:end w:w="110" w:type="dxa"/>
            </w:tcMar>
          </w:tcPr>
          <w:p>
            <w:pPr>
              <w:spacing w:after="0"/>
            </w:pPr>
            <w:r/>
            <w:r>
              <w:rPr>
                <w:rFonts w:ascii="Calibri" w:hAnsi="Calibri"/>
                <w:b w:val="0"/>
                <w:i w:val="0"/>
                <w:color w:val="101828"/>
                <w:sz w:val="14"/>
              </w:rPr>
              <w:t xml:space="preserve">The event is not lost. It is recorded as undelivered on push and the fallback chain for that event's class is used, so a money-critical event such as </w:t>
            </w:r>
            <w:r>
              <w:rPr>
                <w:rFonts w:ascii="Consolas" w:hAnsi="Consolas"/>
                <w:color w:val="146EF5"/>
                <w:sz w:val="14"/>
              </w:rPr>
              <w:t>contribution.overdue</w:t>
            </w:r>
            <w:r>
              <w:rPr>
                <w:rFonts w:ascii="Calibri" w:hAnsi="Calibri"/>
                <w:b w:val="0"/>
                <w:i w:val="0"/>
                <w:color w:val="101828"/>
                <w:sz w:val="14"/>
              </w:rPr>
              <w:t xml:space="preserve"> or </w:t>
            </w:r>
            <w:r>
              <w:rPr>
                <w:rFonts w:ascii="Consolas" w:hAnsi="Consolas"/>
                <w:color w:val="146EF5"/>
                <w:sz w:val="14"/>
              </w:rPr>
              <w:t>payout.succeeded</w:t>
            </w:r>
            <w:r>
              <w:rPr>
                <w:rFonts w:ascii="Calibri" w:hAnsi="Calibri"/>
                <w:b w:val="0"/>
                <w:i w:val="0"/>
                <w:color w:val="101828"/>
                <w:sz w:val="14"/>
              </w:rPr>
              <w:t xml:space="preserve"> still reaches the member by SMS, and everything else still reaches them by email.</w:t>
            </w:r>
          </w:p>
        </w:tc>
        <w:tc>
          <w:tcPr>
            <w:tcW w:type="dxa" w:w="1728"/>
            <w:tcMar>
              <w:top w:w="60" w:type="dxa"/>
              <w:start w:w="110" w:type="dxa"/>
              <w:bottom w:w="60" w:type="dxa"/>
              <w:end w:w="110" w:type="dxa"/>
            </w:tcMar>
          </w:tcPr>
          <w:p>
            <w:pPr>
              <w:spacing w:after="0"/>
            </w:pPr>
            <w:r/>
            <w:r>
              <w:rPr>
                <w:rFonts w:ascii="Calibri" w:hAnsi="Calibri"/>
                <w:b w:val="0"/>
                <w:i w:val="0"/>
                <w:color w:val="101828"/>
                <w:sz w:val="14"/>
              </w:rPr>
              <w:t>The member still finds out, on a channel they actually receive. Silence is never the design.</w:t>
            </w:r>
          </w:p>
        </w:tc>
        <w:tc>
          <w:tcPr>
            <w:tcW w:type="dxa" w:w="1584"/>
            <w:tcMar>
              <w:top w:w="60" w:type="dxa"/>
              <w:start w:w="110" w:type="dxa"/>
              <w:bottom w:w="60" w:type="dxa"/>
              <w:end w:w="110" w:type="dxa"/>
            </w:tcMar>
          </w:tcPr>
          <w:p>
            <w:pPr>
              <w:spacing w:after="0"/>
            </w:pPr>
            <w:r/>
            <w:r>
              <w:rPr>
                <w:rFonts w:ascii="Calibri" w:hAnsi="Calibri"/>
                <w:b w:val="0"/>
                <w:i w:val="0"/>
                <w:color w:val="101828"/>
                <w:sz w:val="14"/>
              </w:rPr>
              <w:t>Automatic channel fallback, then a support sweep for anything undelivered after 24 hours.</w:t>
            </w:r>
          </w:p>
        </w:tc>
        <w:tc>
          <w:tcPr>
            <w:tcW w:type="dxa" w:w="1656"/>
            <w:tcMar>
              <w:top w:w="60" w:type="dxa"/>
              <w:start w:w="110" w:type="dxa"/>
              <w:bottom w:w="60" w:type="dxa"/>
              <w:end w:w="110" w:type="dxa"/>
            </w:tcMar>
          </w:tcPr>
          <w:p>
            <w:pPr>
              <w:spacing w:after="0"/>
            </w:pPr>
            <w:r/>
            <w:r>
              <w:rPr>
                <w:rFonts w:ascii="Calibri" w:hAnsi="Calibri"/>
                <w:b w:val="0"/>
                <w:i w:val="0"/>
                <w:color w:val="101828"/>
                <w:sz w:val="14"/>
              </w:rPr>
              <w:t>Delivery status per channel per event, with the fallback that was used. Undelivered money-critical events are a daily review item, not a metric to be averaged away.</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EC-070</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SMS delivery fails: the number is unreachable, the gateway rejects, or the country prefix is not Nigerian.</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SMS is recorded as failed and the in-app and email copies stand. A member whose number has repeatedly failed is asked in-app to update it, and the outreach sequence does not keep sending to a dead number.</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We could not reach the number on your profile. Update it so you do not miss payment reminders.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In-app prompt, profile update, then a new attempt on the next event.</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Gateway responses retained with the provider reference. A sustained SMS failure rate is a gateway problem, not a member problem, and is escalated as such.</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EC-071</w:t>
            </w:r>
          </w:p>
        </w:tc>
        <w:tc>
          <w:tcPr>
            <w:tcW w:type="dxa" w:w="1656"/>
            <w:tcMar>
              <w:top w:w="60" w:type="dxa"/>
              <w:start w:w="110" w:type="dxa"/>
              <w:bottom w:w="60" w:type="dxa"/>
              <w:end w:w="110" w:type="dxa"/>
            </w:tcMar>
          </w:tcPr>
          <w:p>
            <w:pPr>
              <w:spacing w:after="0"/>
            </w:pPr>
            <w:r/>
            <w:r>
              <w:rPr>
                <w:rFonts w:ascii="Calibri" w:hAnsi="Calibri"/>
                <w:b w:val="0"/>
                <w:i w:val="0"/>
                <w:color w:val="101828"/>
                <w:sz w:val="14"/>
              </w:rPr>
              <w:t>Email bounces permanently because the address is invalid or full.</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bounce marks the address unusable, the event is retried on the fallback channel, and the member is prompted in-app to correct the address. Nothing is silently retried against a dead address.</w:t>
            </w:r>
          </w:p>
        </w:tc>
        <w:tc>
          <w:tcPr>
            <w:tcW w:type="dxa" w:w="1728"/>
            <w:tcMar>
              <w:top w:w="60" w:type="dxa"/>
              <w:start w:w="110" w:type="dxa"/>
              <w:bottom w:w="60" w:type="dxa"/>
              <w:end w:w="110" w:type="dxa"/>
            </w:tcMar>
          </w:tcPr>
          <w:p>
            <w:pPr>
              <w:spacing w:after="0"/>
            </w:pPr>
            <w:r/>
            <w:r>
              <w:rPr>
                <w:rFonts w:ascii="Calibri" w:hAnsi="Calibri"/>
                <w:i/>
                <w:color w:val="101828"/>
                <w:sz w:val="14"/>
              </w:rPr>
              <w:t>We could not reach your email. Fix it here so your receipts keep arriving.</w:t>
            </w:r>
          </w:p>
        </w:tc>
        <w:tc>
          <w:tcPr>
            <w:tcW w:type="dxa" w:w="1584"/>
            <w:tcMar>
              <w:top w:w="60" w:type="dxa"/>
              <w:start w:w="110" w:type="dxa"/>
              <w:bottom w:w="60" w:type="dxa"/>
              <w:end w:w="110" w:type="dxa"/>
            </w:tcMar>
          </w:tcPr>
          <w:p>
            <w:pPr>
              <w:spacing w:after="0"/>
            </w:pPr>
            <w:r/>
            <w:r>
              <w:rPr>
                <w:rFonts w:ascii="Calibri" w:hAnsi="Calibri"/>
                <w:b w:val="0"/>
                <w:i w:val="0"/>
                <w:color w:val="101828"/>
                <w:sz w:val="14"/>
              </w:rPr>
              <w:t>In-app prompt and profile update.</w:t>
            </w:r>
          </w:p>
        </w:tc>
        <w:tc>
          <w:tcPr>
            <w:tcW w:type="dxa" w:w="1656"/>
            <w:tcMar>
              <w:top w:w="60" w:type="dxa"/>
              <w:start w:w="110" w:type="dxa"/>
              <w:bottom w:w="60" w:type="dxa"/>
              <w:end w:w="110" w:type="dxa"/>
            </w:tcMar>
          </w:tcPr>
          <w:p>
            <w:pPr>
              <w:spacing w:after="0"/>
            </w:pPr>
            <w:r/>
            <w:r>
              <w:rPr>
                <w:rFonts w:ascii="Calibri" w:hAnsi="Calibri"/>
                <w:b w:val="0"/>
                <w:i w:val="0"/>
                <w:color w:val="101828"/>
                <w:sz w:val="14"/>
              </w:rPr>
              <w:t>Bounce classification retained. A member whose email and push both fail and whose SMS also fails is effectively unreachable, and that combination is alerted separately because it precedes a missed payment.</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EC-072</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has switched off every optional channel, leaving only the mandatory ones.</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Money-critical and security events are not suppressible, because a preference setting must not be able to make a member unreachable for the events that protect their money. The preference screen states this in the member's own terms before they change it.</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Turn off marketing updates any time. Payment and security alerts always reach you, because they protect your money.</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None required; this is the intended behaviour.</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Preference changes retained with before and after values. An attempt to suppress a non-suppressible event is logged as rejected.</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EC-073</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same event is delivered twice, for example after a worker retry while the first attempt is still in flight.</w:t>
            </w:r>
          </w:p>
        </w:tc>
        <w:tc>
          <w:tcPr>
            <w:tcW w:type="dxa" w:w="2088"/>
            <w:tcMar>
              <w:top w:w="60" w:type="dxa"/>
              <w:start w:w="110" w:type="dxa"/>
              <w:bottom w:w="60" w:type="dxa"/>
              <w:end w:w="110" w:type="dxa"/>
            </w:tcMar>
          </w:tcPr>
          <w:p>
            <w:pPr>
              <w:spacing w:after="0"/>
            </w:pPr>
            <w:r/>
            <w:r>
              <w:rPr>
                <w:rFonts w:ascii="Calibri" w:hAnsi="Calibri"/>
                <w:b w:val="0"/>
                <w:i w:val="0"/>
                <w:color w:val="101828"/>
                <w:sz w:val="14"/>
              </w:rPr>
              <w:t>Deduplicated on the event, recipient and channel, so a member receives one message, not two. For money-critical events a duplicate is worse than a late one, because it reads as two separate obligations.</w:t>
            </w:r>
          </w:p>
        </w:tc>
        <w:tc>
          <w:tcPr>
            <w:tcW w:type="dxa" w:w="1728"/>
            <w:tcMar>
              <w:top w:w="60" w:type="dxa"/>
              <w:start w:w="110" w:type="dxa"/>
              <w:bottom w:w="60" w:type="dxa"/>
              <w:end w:w="110" w:type="dxa"/>
            </w:tcMar>
          </w:tcPr>
          <w:p>
            <w:pPr>
              <w:spacing w:after="0"/>
            </w:pPr>
            <w:r/>
            <w:r>
              <w:rPr>
                <w:rFonts w:ascii="Calibri" w:hAnsi="Calibri"/>
                <w:b w:val="0"/>
                <w:i w:val="0"/>
                <w:color w:val="101828"/>
                <w:sz w:val="14"/>
              </w:rPr>
              <w:t>One message. A member never receives two payment reminders for one due date.</w:t>
            </w:r>
          </w:p>
        </w:tc>
        <w:tc>
          <w:tcPr>
            <w:tcW w:type="dxa" w:w="1584"/>
            <w:tcMar>
              <w:top w:w="60" w:type="dxa"/>
              <w:start w:w="110" w:type="dxa"/>
              <w:bottom w:w="60" w:type="dxa"/>
              <w:end w:w="110" w:type="dxa"/>
            </w:tcMar>
          </w:tcPr>
          <w:p>
            <w:pPr>
              <w:spacing w:after="0"/>
            </w:pPr>
            <w:r/>
            <w:r>
              <w:rPr>
                <w:rFonts w:ascii="Calibri" w:hAnsi="Calibri"/>
                <w:b w:val="0"/>
                <w:i w:val="0"/>
                <w:color w:val="101828"/>
                <w:sz w:val="14"/>
              </w:rPr>
              <w:t>Automatic.</w:t>
            </w:r>
          </w:p>
        </w:tc>
        <w:tc>
          <w:tcPr>
            <w:tcW w:type="dxa" w:w="1656"/>
            <w:tcMar>
              <w:top w:w="60" w:type="dxa"/>
              <w:start w:w="110" w:type="dxa"/>
              <w:bottom w:w="60" w:type="dxa"/>
              <w:end w:w="110" w:type="dxa"/>
            </w:tcMar>
          </w:tcPr>
          <w:p>
            <w:pPr>
              <w:spacing w:after="0"/>
            </w:pPr>
            <w:r/>
            <w:r>
              <w:rPr>
                <w:rFonts w:ascii="Calibri" w:hAnsi="Calibri"/>
                <w:b w:val="0"/>
                <w:i w:val="0"/>
                <w:color w:val="101828"/>
                <w:sz w:val="14"/>
              </w:rPr>
              <w:t>Suppressed duplicates retained with both delivery attempts, so a broken worker retry is visible before members notice it.</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EC-074</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notification would expose one member's private information to another, for example naming a defaulting member to the whole membership.</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Notifications are addressed to named recipients from the catalogue, and payloads are built from a per-recipient view. A default is communicated to the organizer as a financial state, not as a story about a named person, and defaulting is never public (BR-014).</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Members are told what they need to act on and nothing about anyone else. An organizer sees that a round is short, not who stopped paying.</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Payload review before any template is added; a new event type requires an explicit disclosure review.</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Every notification records its recipient, its template, and the exact payload sent. This log is the evidence that no cross-member disclosure occurred, and it is the artefact a regulator or a complainant would ask for.</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EC-075</w:t>
            </w:r>
          </w:p>
        </w:tc>
        <w:tc>
          <w:tcPr>
            <w:tcW w:type="dxa" w:w="1656"/>
            <w:tcMar>
              <w:top w:w="60" w:type="dxa"/>
              <w:start w:w="110" w:type="dxa"/>
              <w:bottom w:w="60" w:type="dxa"/>
              <w:end w:w="110" w:type="dxa"/>
            </w:tcMar>
          </w:tcPr>
          <w:p>
            <w:pPr>
              <w:spacing w:after="0"/>
            </w:pPr>
            <w:r/>
            <w:r>
              <w:rPr>
                <w:rFonts w:ascii="Calibri" w:hAnsi="Calibri"/>
                <w:b w:val="0"/>
                <w:i w:val="0"/>
                <w:color w:val="101828"/>
                <w:sz w:val="14"/>
              </w:rPr>
              <w:t xml:space="preserve">The notification queue backs up, so </w:t>
            </w:r>
            <w:r>
              <w:rPr>
                <w:rFonts w:ascii="Consolas" w:hAnsi="Consolas"/>
                <w:color w:val="146EF5"/>
                <w:sz w:val="14"/>
              </w:rPr>
              <w:t>contribution.due</w:t>
            </w:r>
            <w:r>
              <w:rPr>
                <w:rFonts w:ascii="Calibri" w:hAnsi="Calibri"/>
                <w:b w:val="0"/>
                <w:i w:val="0"/>
                <w:color w:val="101828"/>
                <w:sz w:val="14"/>
              </w:rPr>
              <w:t xml:space="preserve"> at T-24h is delivered at T-3h and the T-2h reminder is late too.</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event is delivered late rather than dropped, and lateness is recorded. A late reminder is still useful; a dropped one is indistinguishable from a system that forgot the member.</w:t>
            </w:r>
          </w:p>
        </w:tc>
        <w:tc>
          <w:tcPr>
            <w:tcW w:type="dxa" w:w="1728"/>
            <w:tcMar>
              <w:top w:w="60" w:type="dxa"/>
              <w:start w:w="110" w:type="dxa"/>
              <w:bottom w:w="60" w:type="dxa"/>
              <w:end w:w="110" w:type="dxa"/>
            </w:tcMar>
          </w:tcPr>
          <w:p>
            <w:pPr>
              <w:spacing w:after="0"/>
            </w:pPr>
            <w:r/>
            <w:r>
              <w:rPr>
                <w:rFonts w:ascii="Calibri" w:hAnsi="Calibri"/>
                <w:i/>
                <w:color w:val="101828"/>
                <w:sz w:val="14"/>
              </w:rPr>
              <w:t>Your round is due at 18:00 today.</w:t>
            </w:r>
            <w:r>
              <w:rPr>
                <w:rFonts w:ascii="Calibri" w:hAnsi="Calibri"/>
                <w:b w:val="0"/>
                <w:i w:val="0"/>
                <w:color w:val="101828"/>
                <w:sz w:val="14"/>
              </w:rPr>
              <w:t xml:space="preserve"> The message is simply late, and the message is still true.</w:t>
            </w:r>
          </w:p>
        </w:tc>
        <w:tc>
          <w:tcPr>
            <w:tcW w:type="dxa" w:w="1584"/>
            <w:tcMar>
              <w:top w:w="60" w:type="dxa"/>
              <w:start w:w="110" w:type="dxa"/>
              <w:bottom w:w="60" w:type="dxa"/>
              <w:end w:w="110" w:type="dxa"/>
            </w:tcMar>
          </w:tcPr>
          <w:p>
            <w:pPr>
              <w:spacing w:after="0"/>
            </w:pPr>
            <w:r/>
            <w:r>
              <w:rPr>
                <w:rFonts w:ascii="Calibri" w:hAnsi="Calibri"/>
                <w:b w:val="0"/>
                <w:i w:val="0"/>
                <w:color w:val="101828"/>
                <w:sz w:val="14"/>
              </w:rPr>
              <w:t>Queue drain, then support outreach for members whose due window has closed with no delivered reminder.</w:t>
            </w:r>
          </w:p>
        </w:tc>
        <w:tc>
          <w:tcPr>
            <w:tcW w:type="dxa" w:w="1656"/>
            <w:tcMar>
              <w:top w:w="60" w:type="dxa"/>
              <w:start w:w="110" w:type="dxa"/>
              <w:bottom w:w="60" w:type="dxa"/>
              <w:end w:w="110" w:type="dxa"/>
            </w:tcMar>
          </w:tcPr>
          <w:p>
            <w:pPr>
              <w:spacing w:after="0"/>
            </w:pPr>
            <w:r/>
            <w:r>
              <w:rPr>
                <w:rFonts w:ascii="Calibri" w:hAnsi="Calibri"/>
                <w:b w:val="0"/>
                <w:i w:val="0"/>
                <w:color w:val="101828"/>
                <w:sz w:val="14"/>
              </w:rPr>
              <w:t>Queue depth and per-event delivery lag. A recurring lag on money-critical events is an S3 that becomes an S2 the first time a member misses a deadline because of it.</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EC-076</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member's contact details are updated at the same moment an event is being sent, so a message goes to an address the member has just abandoned.</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send uses the address held at dispatch time, and the new address is used for subsequent events. If the message contains a money-critical instruction, the member is alerted to the change from the new channel too, because a payment link sent to a compromised mailbox is a real attack path.</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The email or phone on your account was changed. If this was not you, tell us immediately.</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Automatic security notice, then support or </w:t>
            </w:r>
            <w:r>
              <w:rPr>
                <w:rFonts w:ascii="Consolas" w:hAnsi="Consolas"/>
                <w:color w:val="146EF5"/>
                <w:sz w:val="14"/>
              </w:rPr>
              <w:t>risk_officer</w:t>
            </w:r>
            <w:r>
              <w:rPr>
                <w:rFonts w:ascii="Calibri" w:hAnsi="Calibri"/>
                <w:b w:val="0"/>
                <w:i w:val="0"/>
                <w:color w:val="101828"/>
                <w:sz w:val="14"/>
              </w:rPr>
              <w:t xml:space="preserve"> review.</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Contact-detail change with before and after values, actor, IP and device. Combined with a payment, this pairing is a high-signal fraud indicator.</w:t>
            </w:r>
          </w:p>
        </w:tc>
      </w:tr>
    </w:tbl>
    <w:p>
      <w:pPr>
        <w:spacing w:after="80"/>
      </w:pPr>
    </w:p>
    <w:p>
      <w:r>
        <w:br w:type="page"/>
      </w:r>
    </w:p>
    <w:p>
      <w:pPr>
        <w:pStyle w:val="Heading2"/>
      </w:pPr>
      <w:r>
        <w:rPr>
          <w:rFonts w:ascii="Calibri" w:hAnsi="Calibri"/>
          <w:b/>
          <w:i w:val="0"/>
          <w:color w:val="146EF5"/>
          <w:sz w:val="29"/>
        </w:rPr>
        <w:t>19.6 Authorization and role edge cases</w:t>
      </w:r>
    </w:p>
    <w:p>
      <w:r>
        <w:rPr>
          <w:rFonts w:ascii="Calibri" w:hAnsi="Calibri"/>
          <w:b w:val="0"/>
          <w:i w:val="0"/>
          <w:color w:val="101828"/>
          <w:sz w:val="21"/>
        </w:rPr>
        <w:t>There are exactly six roles, and the interesting failures are not the ones where an attacker guesses an endpoint. They are the ones where a legitimate person with a real role tries something that is forbidden to that role, and the system has to refuse them cleanly and leave a record.</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648"/>
            <w:shd w:val="clear" w:color="auto" w:fill="0B1F3A"/>
            <w:tcMar>
              <w:top w:w="60" w:type="dxa"/>
              <w:start w:w="110" w:type="dxa"/>
              <w:bottom w:w="60" w:type="dxa"/>
              <w:end w:w="110" w:type="dxa"/>
            </w:tcMar>
          </w:tcPr>
          <w:p>
            <w:pPr>
              <w:spacing w:after="0"/>
            </w:pPr>
            <w:r/>
            <w:r>
              <w:rPr>
                <w:rFonts w:ascii="Calibri" w:hAnsi="Calibri"/>
                <w:b/>
                <w:i w:val="0"/>
                <w:color w:val="FFFFFF"/>
                <w:sz w:val="14"/>
              </w:rPr>
              <w:t>ID</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Trigger</w:t>
            </w:r>
          </w:p>
        </w:tc>
        <w:tc>
          <w:tcPr>
            <w:tcW w:type="dxa" w:w="2088"/>
            <w:shd w:val="clear" w:color="auto" w:fill="0B1F3A"/>
            <w:tcMar>
              <w:top w:w="60" w:type="dxa"/>
              <w:start w:w="110" w:type="dxa"/>
              <w:bottom w:w="60" w:type="dxa"/>
              <w:end w:w="110" w:type="dxa"/>
            </w:tcMar>
          </w:tcPr>
          <w:p>
            <w:pPr>
              <w:spacing w:after="0"/>
            </w:pPr>
            <w:r/>
            <w:r>
              <w:rPr>
                <w:rFonts w:ascii="Calibri" w:hAnsi="Calibri"/>
                <w:b/>
                <w:i w:val="0"/>
                <w:color w:val="FFFFFF"/>
                <w:sz w:val="14"/>
              </w:rPr>
              <w:t>System behaviour</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4"/>
              </w:rPr>
              <w:t>User experience</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4"/>
              </w:rPr>
              <w:t>Recovery mechanism</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Logging requirement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EC-077</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member requests an Ajo, contribution, payment or dispute belonging to another member, either by editing an id or by replaying a captured request.</w:t>
            </w:r>
          </w:p>
        </w:tc>
        <w:tc>
          <w:tcPr>
            <w:tcW w:type="dxa" w:w="2088"/>
            <w:tcMar>
              <w:top w:w="60" w:type="dxa"/>
              <w:start w:w="110" w:type="dxa"/>
              <w:bottom w:w="60" w:type="dxa"/>
              <w:end w:w="110" w:type="dxa"/>
            </w:tcMar>
          </w:tcPr>
          <w:p>
            <w:pPr>
              <w:spacing w:after="0"/>
            </w:pPr>
            <w:r/>
            <w:r>
              <w:rPr>
                <w:rFonts w:ascii="Calibri" w:hAnsi="Calibri"/>
                <w:b w:val="0"/>
                <w:i w:val="0"/>
                <w:color w:val="101828"/>
                <w:sz w:val="14"/>
              </w:rPr>
              <w:t>Ownership is enforced server-side on every object access, not only in the client. The response reveals nothing about whether the object exists, so a probe cannot enumerate members, Ajos or payments.</w:t>
            </w:r>
          </w:p>
        </w:tc>
        <w:tc>
          <w:tcPr>
            <w:tcW w:type="dxa" w:w="1728"/>
            <w:tcMar>
              <w:top w:w="60" w:type="dxa"/>
              <w:start w:w="110" w:type="dxa"/>
              <w:bottom w:w="60" w:type="dxa"/>
              <w:end w:w="110" w:type="dxa"/>
            </w:tcMar>
          </w:tcPr>
          <w:p>
            <w:pPr>
              <w:spacing w:after="0"/>
            </w:pPr>
            <w:r/>
            <w:r>
              <w:rPr>
                <w:rFonts w:ascii="Calibri" w:hAnsi="Calibri"/>
                <w:i/>
                <w:color w:val="101828"/>
                <w:sz w:val="14"/>
              </w:rPr>
              <w:t>You do not have access to that record.</w:t>
            </w:r>
            <w:r>
              <w:rPr>
                <w:rFonts w:ascii="Calibri" w:hAnsi="Calibri"/>
                <w:b w:val="0"/>
                <w:i w:val="0"/>
                <w:color w:val="101828"/>
                <w:sz w:val="14"/>
              </w:rPr>
              <w:t xml:space="preserve"> The member is not told who does.</w:t>
            </w:r>
          </w:p>
        </w:tc>
        <w:tc>
          <w:tcPr>
            <w:tcW w:type="dxa" w:w="1584"/>
            <w:tcMar>
              <w:top w:w="60" w:type="dxa"/>
              <w:start w:w="110" w:type="dxa"/>
              <w:bottom w:w="60" w:type="dxa"/>
              <w:end w:w="110" w:type="dxa"/>
            </w:tcMar>
          </w:tcPr>
          <w:p>
            <w:pPr>
              <w:spacing w:after="0"/>
            </w:pPr>
            <w:r/>
            <w:r>
              <w:rPr>
                <w:rFonts w:ascii="Calibri" w:hAnsi="Calibri"/>
                <w:b w:val="0"/>
                <w:i w:val="0"/>
                <w:color w:val="101828"/>
                <w:sz w:val="14"/>
              </w:rPr>
              <w:t>None needed; the request never reaches the object.</w:t>
            </w:r>
          </w:p>
        </w:tc>
        <w:tc>
          <w:tcPr>
            <w:tcW w:type="dxa" w:w="1656"/>
            <w:tcMar>
              <w:top w:w="60" w:type="dxa"/>
              <w:start w:w="110" w:type="dxa"/>
              <w:bottom w:w="60" w:type="dxa"/>
              <w:end w:w="110" w:type="dxa"/>
            </w:tcMar>
          </w:tcPr>
          <w:p>
            <w:pPr>
              <w:spacing w:after="0"/>
            </w:pPr>
            <w:r/>
            <w:r>
              <w:rPr>
                <w:rFonts w:ascii="Calibri" w:hAnsi="Calibri"/>
                <w:b w:val="0"/>
                <w:i w:val="0"/>
                <w:color w:val="101828"/>
                <w:sz w:val="14"/>
              </w:rPr>
              <w:t>Denied attempts with actor, role, target and reason. A pattern of cross-account probes from one account is a security event (R4).</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EC-078</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An organizer requests a payout release while the round's funds are not fully collected or not yet available.</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release is refused. A payout is released only when the required funds are fully collected and available; it is never reduced, and corporate funds are never used to cover a gap (BR-018, BR-020). The organizer sees the funding position, which is their own information, and the recovery process continues.</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The round is short by NGN 4,000.00, so the payout cannot be released yet. Here is what is happening next.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The normal recovery process, with the short position and its cause visible to the organizer.</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release with the funding position at that instant. Repeated organizer pressure to release an unfunded payout is retained, because it is a pressure pattern we would rather see than infer.</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EC-079</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support agent attempts to move money: refund a payment, adjust a balance, or release a payout.</w:t>
            </w:r>
          </w:p>
        </w:tc>
        <w:tc>
          <w:tcPr>
            <w:tcW w:type="dxa" w:w="2088"/>
            <w:tcMar>
              <w:top w:w="60" w:type="dxa"/>
              <w:start w:w="110" w:type="dxa"/>
              <w:bottom w:w="60" w:type="dxa"/>
              <w:end w:w="110" w:type="dxa"/>
            </w:tcMar>
          </w:tcPr>
          <w:p>
            <w:pPr>
              <w:spacing w:after="0"/>
            </w:pPr>
            <w:r/>
            <w:r>
              <w:rPr>
                <w:rFonts w:ascii="Calibri" w:hAnsi="Calibri"/>
                <w:b w:val="0"/>
                <w:i w:val="0"/>
                <w:color w:val="101828"/>
                <w:sz w:val="14"/>
              </w:rPr>
              <w:t>Not possible. Support never moves money (BR-023) and the organiser never handles the money either (BR-022). Support can see, explain, escalate and trigger processes, but every money movement belongs to the two permitted events (BR-032).</w:t>
            </w:r>
          </w:p>
        </w:tc>
        <w:tc>
          <w:tcPr>
            <w:tcW w:type="dxa" w:w="1728"/>
            <w:tcMar>
              <w:top w:w="60" w:type="dxa"/>
              <w:start w:w="110" w:type="dxa"/>
              <w:bottom w:w="60" w:type="dxa"/>
              <w:end w:w="110" w:type="dxa"/>
            </w:tcMar>
          </w:tcPr>
          <w:p>
            <w:pPr>
              <w:spacing w:after="0"/>
            </w:pPr>
            <w:r/>
            <w:r>
              <w:rPr>
                <w:rFonts w:ascii="Calibri" w:hAnsi="Calibri"/>
                <w:i/>
                <w:color w:val="101828"/>
                <w:sz w:val="14"/>
              </w:rPr>
              <w:t>I can see exactly what happened and get it moving, but the movement itself is done by the system, not by me.</w:t>
            </w:r>
            <w:r>
              <w:rPr>
                <w:rFonts w:ascii="Calibri" w:hAnsi="Calibri"/>
                <w:b w:val="0"/>
                <w:i w:val="0"/>
                <w:color w:val="101828"/>
                <w:sz w:val="14"/>
              </w:rPr>
              <w:t xml:space="preserve"> The member is told the truth about who did what.</w:t>
            </w:r>
          </w:p>
        </w:tc>
        <w:tc>
          <w:tcPr>
            <w:tcW w:type="dxa" w:w="1584"/>
            <w:tcMar>
              <w:top w:w="60" w:type="dxa"/>
              <w:start w:w="110" w:type="dxa"/>
              <w:bottom w:w="60" w:type="dxa"/>
              <w:end w:w="110" w:type="dxa"/>
            </w:tcMar>
          </w:tcPr>
          <w:p>
            <w:pPr>
              <w:spacing w:after="0"/>
            </w:pPr>
            <w:r/>
            <w:r>
              <w:rPr>
                <w:rFonts w:ascii="Calibri" w:hAnsi="Calibri"/>
                <w:b w:val="0"/>
                <w:i w:val="0"/>
                <w:color w:val="101828"/>
                <w:sz w:val="14"/>
              </w:rPr>
              <w:t xml:space="preserve">Escalation to </w:t>
            </w:r>
            <w:r>
              <w:rPr>
                <w:rFonts w:ascii="Consolas" w:hAnsi="Consolas"/>
                <w:color w:val="146EF5"/>
                <w:sz w:val="14"/>
              </w:rPr>
              <w:t>risk_officer</w:t>
            </w:r>
            <w:r>
              <w:rPr>
                <w:rFonts w:ascii="Calibri" w:hAnsi="Calibri"/>
                <w:b w:val="0"/>
                <w:i w:val="0"/>
                <w:color w:val="101828"/>
                <w:sz w:val="14"/>
              </w:rPr>
              <w:t xml:space="preserve"> where judgement is needed.</w:t>
            </w:r>
          </w:p>
        </w:tc>
        <w:tc>
          <w:tcPr>
            <w:tcW w:type="dxa" w:w="1656"/>
            <w:tcMar>
              <w:top w:w="60" w:type="dxa"/>
              <w:start w:w="110" w:type="dxa"/>
              <w:bottom w:w="60" w:type="dxa"/>
              <w:end w:w="110" w:type="dxa"/>
            </w:tcMar>
          </w:tcPr>
          <w:p>
            <w:pPr>
              <w:spacing w:after="0"/>
            </w:pPr>
            <w:r/>
            <w:r>
              <w:rPr>
                <w:rFonts w:ascii="Calibri" w:hAnsi="Calibri"/>
                <w:b w:val="0"/>
                <w:i w:val="0"/>
                <w:color w:val="101828"/>
                <w:sz w:val="14"/>
              </w:rPr>
              <w:t>Denied attempts with actor and role. This is one of the highest-value audit trails in the product, and a pattern of attempts is a personnel issue that the log is designed to surface.</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EC-080</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A </w:t>
            </w:r>
            <w:r>
              <w:rPr>
                <w:rFonts w:ascii="Consolas" w:hAnsi="Consolas"/>
                <w:color w:val="146EF5"/>
                <w:sz w:val="14"/>
              </w:rPr>
              <w:t>risk_officer</w:t>
            </w:r>
            <w:r>
              <w:rPr>
                <w:rFonts w:ascii="Calibri" w:hAnsi="Calibri"/>
                <w:b w:val="0"/>
                <w:i w:val="0"/>
                <w:color w:val="101828"/>
                <w:sz w:val="14"/>
              </w:rPr>
              <w:t xml:space="preserve"> attempts to decide a member dispute, or a </w:t>
            </w:r>
            <w:r>
              <w:rPr>
                <w:rFonts w:ascii="Consolas" w:hAnsi="Consolas"/>
                <w:color w:val="146EF5"/>
                <w:sz w:val="14"/>
              </w:rPr>
              <w:t>support</w:t>
            </w:r>
            <w:r>
              <w:rPr>
                <w:rFonts w:ascii="Calibri" w:hAnsi="Calibri"/>
                <w:b w:val="0"/>
                <w:i w:val="0"/>
                <w:color w:val="101828"/>
                <w:sz w:val="14"/>
              </w:rPr>
              <w:t xml:space="preserve"> agent attempts to close a risk case.</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The two functions are separated: disputes are decided on evidence by the role entitled to decide them, and risk decisions are recorded as risk decisions with a distinct reason code. A role that owns a case cannot also be the role that clears it.</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The dispute proceeds with the correct decision-maker. A member never receives a decision that was later found to be made by the wrong role.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Correct reassignment; the case history records the rejection and the reassignment.</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Denied attempts and the resulting reassignment, with actor and role on both.</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EC-081</w:t>
            </w:r>
          </w:p>
        </w:tc>
        <w:tc>
          <w:tcPr>
            <w:tcW w:type="dxa" w:w="1656"/>
            <w:tcMar>
              <w:top w:w="60" w:type="dxa"/>
              <w:start w:w="110" w:type="dxa"/>
              <w:bottom w:w="60" w:type="dxa"/>
              <w:end w:w="110" w:type="dxa"/>
            </w:tcMar>
          </w:tcPr>
          <w:p>
            <w:pPr>
              <w:spacing w:after="0"/>
            </w:pPr>
            <w:r/>
            <w:r>
              <w:rPr>
                <w:rFonts w:ascii="Calibri" w:hAnsi="Calibri"/>
                <w:b w:val="0"/>
                <w:i w:val="0"/>
                <w:color w:val="101828"/>
                <w:sz w:val="14"/>
              </w:rPr>
              <w:t xml:space="preserve">A </w:t>
            </w:r>
            <w:r>
              <w:rPr>
                <w:rFonts w:ascii="Consolas" w:hAnsi="Consolas"/>
                <w:color w:val="146EF5"/>
                <w:sz w:val="14"/>
              </w:rPr>
              <w:t>super_admin</w:t>
            </w:r>
            <w:r>
              <w:rPr>
                <w:rFonts w:ascii="Calibri" w:hAnsi="Calibri"/>
                <w:b w:val="0"/>
                <w:i w:val="0"/>
                <w:color w:val="101828"/>
                <w:sz w:val="14"/>
              </w:rPr>
              <w:t xml:space="preserve"> attempts to edit or delete a ledger entry, or to correct a transaction by changing it in place.</w:t>
            </w:r>
          </w:p>
        </w:tc>
        <w:tc>
          <w:tcPr>
            <w:tcW w:type="dxa" w:w="2088"/>
            <w:tcMar>
              <w:top w:w="60" w:type="dxa"/>
              <w:start w:w="110" w:type="dxa"/>
              <w:bottom w:w="60" w:type="dxa"/>
              <w:end w:w="110" w:type="dxa"/>
            </w:tcMar>
          </w:tcPr>
          <w:p>
            <w:pPr>
              <w:spacing w:after="0"/>
            </w:pPr>
            <w:r/>
            <w:r>
              <w:rPr>
                <w:rFonts w:ascii="Calibri" w:hAnsi="Calibri"/>
                <w:b w:val="0"/>
                <w:i w:val="0"/>
                <w:color w:val="101828"/>
                <w:sz w:val="14"/>
              </w:rPr>
              <w:t xml:space="preserve">Not possible, for any role, at any privilege level, through any interface. The ledger is append-only with no </w:t>
            </w:r>
            <w:r>
              <w:rPr>
                <w:rFonts w:ascii="Consolas" w:hAnsi="Consolas"/>
                <w:color w:val="146EF5"/>
                <w:sz w:val="14"/>
              </w:rPr>
              <w:t>updated_at</w:t>
            </w:r>
            <w:r>
              <w:rPr>
                <w:rFonts w:ascii="Calibri" w:hAnsi="Calibri"/>
                <w:b w:val="0"/>
                <w:i w:val="0"/>
                <w:color w:val="101828"/>
                <w:sz w:val="14"/>
              </w:rPr>
              <w:t xml:space="preserve"> and no </w:t>
            </w:r>
            <w:r>
              <w:rPr>
                <w:rFonts w:ascii="Consolas" w:hAnsi="Consolas"/>
                <w:color w:val="146EF5"/>
                <w:sz w:val="14"/>
              </w:rPr>
              <w:t>deleted_at</w:t>
            </w:r>
            <w:r>
              <w:rPr>
                <w:rFonts w:ascii="Calibri" w:hAnsi="Calibri"/>
                <w:b w:val="0"/>
                <w:i w:val="0"/>
                <w:color w:val="101828"/>
                <w:sz w:val="14"/>
              </w:rPr>
              <w:t xml:space="preserve"> (BR-025). Corrections are made only by posting a reversing entry, which is itself a full, balanced, auditable transaction.</w:t>
            </w:r>
          </w:p>
        </w:tc>
        <w:tc>
          <w:tcPr>
            <w:tcW w:type="dxa" w:w="1728"/>
            <w:tcMar>
              <w:top w:w="60" w:type="dxa"/>
              <w:start w:w="110" w:type="dxa"/>
              <w:bottom w:w="60" w:type="dxa"/>
              <w:end w:w="110" w:type="dxa"/>
            </w:tcMar>
          </w:tcPr>
          <w:p>
            <w:pPr>
              <w:spacing w:after="0"/>
            </w:pPr>
            <w:r/>
            <w:r>
              <w:rPr>
                <w:rFonts w:ascii="Calibri" w:hAnsi="Calibri"/>
                <w:i/>
                <w:color w:val="101828"/>
                <w:sz w:val="14"/>
              </w:rPr>
              <w:t>The system does not allow that. What we can do is post a correcting entry so the record shows exactly what happened and why.</w:t>
            </w:r>
          </w:p>
        </w:tc>
        <w:tc>
          <w:tcPr>
            <w:tcW w:type="dxa" w:w="1584"/>
            <w:tcMar>
              <w:top w:w="60" w:type="dxa"/>
              <w:start w:w="110" w:type="dxa"/>
              <w:bottom w:w="60" w:type="dxa"/>
              <w:end w:w="110" w:type="dxa"/>
            </w:tcMar>
          </w:tcPr>
          <w:p>
            <w:pPr>
              <w:spacing w:after="0"/>
            </w:pPr>
            <w:r/>
            <w:r>
              <w:rPr>
                <w:rFonts w:ascii="Calibri" w:hAnsi="Calibri"/>
                <w:b w:val="0"/>
                <w:i w:val="0"/>
                <w:color w:val="101828"/>
                <w:sz w:val="14"/>
              </w:rPr>
              <w:t>Reversing entry, always.</w:t>
            </w:r>
          </w:p>
        </w:tc>
        <w:tc>
          <w:tcPr>
            <w:tcW w:type="dxa" w:w="1656"/>
            <w:tcMar>
              <w:top w:w="60" w:type="dxa"/>
              <w:start w:w="110" w:type="dxa"/>
              <w:bottom w:w="60" w:type="dxa"/>
              <w:end w:w="110" w:type="dxa"/>
            </w:tcMar>
          </w:tcPr>
          <w:p>
            <w:pPr>
              <w:spacing w:after="0"/>
            </w:pPr>
            <w:r/>
            <w:r>
              <w:rPr>
                <w:rFonts w:ascii="Calibri" w:hAnsi="Calibri"/>
                <w:b w:val="0"/>
                <w:i w:val="0"/>
                <w:color w:val="101828"/>
                <w:sz w:val="14"/>
              </w:rPr>
              <w:t xml:space="preserve">Denied attempts with actor, role, target transaction and the entry that was requested. The absence of an </w:t>
            </w:r>
            <w:r>
              <w:rPr>
                <w:rFonts w:ascii="Consolas" w:hAnsi="Consolas"/>
                <w:color w:val="146EF5"/>
                <w:sz w:val="14"/>
              </w:rPr>
              <w:t>UPDATE</w:t>
            </w:r>
            <w:r>
              <w:rPr>
                <w:rFonts w:ascii="Calibri" w:hAnsi="Calibri"/>
                <w:b w:val="0"/>
                <w:i w:val="0"/>
                <w:color w:val="101828"/>
                <w:sz w:val="14"/>
              </w:rPr>
              <w:t xml:space="preserve"> or </w:t>
            </w:r>
            <w:r>
              <w:rPr>
                <w:rFonts w:ascii="Consolas" w:hAnsi="Consolas"/>
                <w:color w:val="146EF5"/>
                <w:sz w:val="14"/>
              </w:rPr>
              <w:t>DELETE</w:t>
            </w:r>
            <w:r>
              <w:rPr>
                <w:rFonts w:ascii="Calibri" w:hAnsi="Calibri"/>
                <w:b w:val="0"/>
                <w:i w:val="0"/>
                <w:color w:val="101828"/>
                <w:sz w:val="14"/>
              </w:rPr>
              <w:t xml:space="preserve"> path in the ledger is asserted by a test, so the guarantee is enforced rather than remembered.</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EC-082</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An authenticated account with no active role assignment attempts any privileged action.</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with a distinct 'no role assigned' reason, which is different from 'not authorised'. An account without a role is an incomplete setup, and it is visible in the admin console as such rather than as a suspicious actor.</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Not applicable; the account has no product surface of its own.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Role assignment, then normal access.</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Recorded as an administrative gap, not a security incident, so that it is fixed rather than investigated.</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EC-083</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role is revoked while the holder's session is still live.</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change takes effect immediately. Authorization is evaluated per request against current role assignments, not captured into a session at login, so revocation does not wait for an expiry.</w:t>
            </w:r>
          </w:p>
        </w:tc>
        <w:tc>
          <w:tcPr>
            <w:tcW w:type="dxa" w:w="1728"/>
            <w:tcMar>
              <w:top w:w="60" w:type="dxa"/>
              <w:start w:w="110" w:type="dxa"/>
              <w:bottom w:w="60" w:type="dxa"/>
              <w:end w:w="110" w:type="dxa"/>
            </w:tcMar>
          </w:tcPr>
          <w:p>
            <w:pPr>
              <w:spacing w:after="0"/>
            </w:pPr>
            <w:r/>
            <w:r>
              <w:rPr>
                <w:rFonts w:ascii="Calibri" w:hAnsi="Calibri"/>
                <w:b w:val="0"/>
                <w:i w:val="0"/>
                <w:color w:val="101828"/>
                <w:sz w:val="14"/>
              </w:rPr>
              <w:t>The next action fails cleanly and the user is told their access changed, with the route to request it back.</w:t>
            </w:r>
          </w:p>
        </w:tc>
        <w:tc>
          <w:tcPr>
            <w:tcW w:type="dxa" w:w="1584"/>
            <w:tcMar>
              <w:top w:w="60" w:type="dxa"/>
              <w:start w:w="110" w:type="dxa"/>
              <w:bottom w:w="60" w:type="dxa"/>
              <w:end w:w="110" w:type="dxa"/>
            </w:tcMar>
          </w:tcPr>
          <w:p>
            <w:pPr>
              <w:spacing w:after="0"/>
            </w:pPr>
            <w:r/>
            <w:r>
              <w:rPr>
                <w:rFonts w:ascii="Calibri" w:hAnsi="Calibri"/>
                <w:b w:val="0"/>
                <w:i w:val="0"/>
                <w:color w:val="101828"/>
                <w:sz w:val="14"/>
              </w:rPr>
              <w:t>Re-assignment, which creates a new audit event rather than resurrecting the old one.</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Revocation with actor, target, reason and the exact time it took effect, plus the first denied request afterwards as proof it was not merely theoretical.</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EC-084</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An invitation token is forwarded and accepted by someone other than the invitee, or the same token is used twice.</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Membership is by invitation only (BR-006, BR-029). A token is single-use and bound to the invited contact details; acceptance by a different person requires identity verification, which is the anti-pyramid control. A second acceptance is rejected.</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This invitation was already used, or it was issued to a different number. Ask your organiser for a new one.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A new invitation from the organizer, and a risk event for the mismatch.</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Token use with the verified identity that used it, the mismatch where one exists, and reuse attempts. Pyramid recruitment attempts are detected here first.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EC-085</w:t>
            </w:r>
          </w:p>
        </w:tc>
        <w:tc>
          <w:tcPr>
            <w:tcW w:type="dxa" w:w="1656"/>
            <w:tcMar>
              <w:top w:w="60" w:type="dxa"/>
              <w:start w:w="110" w:type="dxa"/>
              <w:bottom w:w="60" w:type="dxa"/>
              <w:end w:w="110" w:type="dxa"/>
            </w:tcMar>
          </w:tcPr>
          <w:p>
            <w:pPr>
              <w:spacing w:after="0"/>
            </w:pPr>
            <w:r/>
            <w:r>
              <w:rPr>
                <w:rFonts w:ascii="Calibri" w:hAnsi="Calibri"/>
                <w:b w:val="0"/>
                <w:i w:val="0"/>
                <w:color w:val="101828"/>
                <w:sz w:val="14"/>
              </w:rPr>
              <w:t>An organizer's account is deactivated while their Ajo is ACTIVE.</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Ajo is not orphaned. It is frozen with a recorded reason and the members are told, because a half-run Ajo is worse than a paused one. Frozen, not cancelled: the members' positions and money are preserved.</w:t>
            </w:r>
          </w:p>
        </w:tc>
        <w:tc>
          <w:tcPr>
            <w:tcW w:type="dxa" w:w="1728"/>
            <w:tcMar>
              <w:top w:w="60" w:type="dxa"/>
              <w:start w:w="110" w:type="dxa"/>
              <w:bottom w:w="60" w:type="dxa"/>
              <w:end w:w="110" w:type="dxa"/>
            </w:tcMar>
          </w:tcPr>
          <w:p>
            <w:pPr>
              <w:spacing w:after="0"/>
            </w:pPr>
            <w:r/>
            <w:r>
              <w:rPr>
                <w:rFonts w:ascii="Calibri" w:hAnsi="Calibri"/>
                <w:i/>
                <w:color w:val="101828"/>
                <w:sz w:val="14"/>
              </w:rPr>
              <w:t>Your organiser is no longer reachable, so we have paused this Ajo to protect your money. Nothing is lost and support is on the case.</w:t>
            </w:r>
          </w:p>
        </w:tc>
        <w:tc>
          <w:tcPr>
            <w:tcW w:type="dxa" w:w="1584"/>
            <w:tcMar>
              <w:top w:w="60" w:type="dxa"/>
              <w:start w:w="110" w:type="dxa"/>
              <w:bottom w:w="60" w:type="dxa"/>
              <w:end w:w="110" w:type="dxa"/>
            </w:tcMar>
          </w:tcPr>
          <w:p>
            <w:pPr>
              <w:spacing w:after="0"/>
            </w:pPr>
            <w:r/>
            <w:r>
              <w:rPr>
                <w:rFonts w:ascii="Calibri" w:hAnsi="Calibri"/>
                <w:b w:val="0"/>
                <w:i w:val="0"/>
                <w:color w:val="101828"/>
                <w:sz w:val="14"/>
              </w:rPr>
              <w:t>Transfer of organiser role to a co-organiser or a member with consent, then unfreeze; failing that, the cancellation and refund path under EC-058.</w:t>
            </w:r>
          </w:p>
        </w:tc>
        <w:tc>
          <w:tcPr>
            <w:tcW w:type="dxa" w:w="1656"/>
            <w:tcMar>
              <w:top w:w="60" w:type="dxa"/>
              <w:start w:w="110" w:type="dxa"/>
              <w:bottom w:w="60" w:type="dxa"/>
              <w:end w:w="110" w:type="dxa"/>
            </w:tcMar>
          </w:tcPr>
          <w:p>
            <w:pPr>
              <w:spacing w:after="0"/>
            </w:pPr>
            <w:r/>
            <w:r>
              <w:rPr>
                <w:rFonts w:ascii="Calibri" w:hAnsi="Calibri"/>
                <w:b w:val="0"/>
                <w:i w:val="0"/>
                <w:color w:val="101828"/>
                <w:sz w:val="14"/>
              </w:rPr>
              <w:t>Freeze with reason, the member notification timestamps, and the transfer or cancellation that followed. Orphaned-Ajo detection is a standing dashboard, because an organiser who simply stops answering is the expected failure.</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EC-086</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organiser tries to remove a member after activation.</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Removal is a pre-activation action only (BR-007), and a member cannot be expelled after activation; the position must change through a formal replacement or transfer request, and no one may exit unilaterally (BR-003).</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Members cannot be removed once an Ajo is active. You can request a replacement instead, and the member has to agree to it.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A replacement request, which the departing member and the replacement must both consent to.</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attempt with actor and role. Repeated attempts to remove members post-activation are reviewed as conduct.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EC-087</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member disputes that they were ever frozen.</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freeze and its actor, role, reason and duration are read back to them from the audit log. A freeze that cannot be evidenced is treated as a support error and reversed, not defended.</w:t>
            </w:r>
          </w:p>
        </w:tc>
        <w:tc>
          <w:tcPr>
            <w:tcW w:type="dxa" w:w="1728"/>
            <w:tcMar>
              <w:top w:w="60" w:type="dxa"/>
              <w:start w:w="110" w:type="dxa"/>
              <w:bottom w:w="60" w:type="dxa"/>
              <w:end w:w="110" w:type="dxa"/>
            </w:tcMar>
          </w:tcPr>
          <w:p>
            <w:pPr>
              <w:spacing w:after="0"/>
            </w:pPr>
            <w:r/>
            <w:r>
              <w:rPr>
                <w:rFonts w:ascii="Calibri" w:hAnsi="Calibri"/>
                <w:i/>
                <w:color w:val="101828"/>
                <w:sz w:val="14"/>
              </w:rPr>
              <w:t>Here is exactly when this was applied, by whom, and why. If it was not you, we will lift it now.</w:t>
            </w:r>
          </w:p>
        </w:tc>
        <w:tc>
          <w:tcPr>
            <w:tcW w:type="dxa" w:w="1584"/>
            <w:tcMar>
              <w:top w:w="60" w:type="dxa"/>
              <w:start w:w="110" w:type="dxa"/>
              <w:bottom w:w="60" w:type="dxa"/>
              <w:end w:w="110" w:type="dxa"/>
            </w:tcMar>
          </w:tcPr>
          <w:p>
            <w:pPr>
              <w:spacing w:after="0"/>
            </w:pPr>
            <w:r/>
            <w:r>
              <w:rPr>
                <w:rFonts w:ascii="Calibri" w:hAnsi="Calibri"/>
                <w:b w:val="0"/>
                <w:i w:val="0"/>
                <w:color w:val="101828"/>
                <w:sz w:val="14"/>
              </w:rPr>
              <w:t>Reversal on evidence, or confirmation on evidence. Either way the member is told which it is.</w:t>
            </w:r>
          </w:p>
        </w:tc>
        <w:tc>
          <w:tcPr>
            <w:tcW w:type="dxa" w:w="1656"/>
            <w:tcMar>
              <w:top w:w="60" w:type="dxa"/>
              <w:start w:w="110" w:type="dxa"/>
              <w:bottom w:w="60" w:type="dxa"/>
              <w:end w:w="110" w:type="dxa"/>
            </w:tcMar>
          </w:tcPr>
          <w:p>
            <w:pPr>
              <w:spacing w:after="0"/>
            </w:pPr>
            <w:r/>
            <w:r>
              <w:rPr>
                <w:rFonts w:ascii="Calibri" w:hAnsi="Calibri"/>
                <w:b w:val="0"/>
                <w:i w:val="0"/>
                <w:color w:val="101828"/>
                <w:sz w:val="14"/>
              </w:rPr>
              <w:t xml:space="preserve">The audit trail is the mechanism here, which is why </w:t>
            </w:r>
            <w:r>
              <w:rPr>
                <w:rFonts w:ascii="Consolas" w:hAnsi="Consolas"/>
                <w:color w:val="146EF5"/>
                <w:sz w:val="14"/>
              </w:rPr>
              <w:t>risk_officer</w:t>
            </w:r>
            <w:r>
              <w:rPr>
                <w:rFonts w:ascii="Calibri" w:hAnsi="Calibri"/>
                <w:b w:val="0"/>
                <w:i w:val="0"/>
                <w:color w:val="101828"/>
                <w:sz w:val="14"/>
              </w:rPr>
              <w:t xml:space="preserve"> freezes carry a mandatory reason: an unevidenced freeze is a decision nobody can defend afterwards.</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EC-088</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password reset is requested on a frozen account.</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Permitted, because locking someone out of their own recovery path is a denial of service, not a control. The reset completes, all sessions are revoked, and the freeze itself remains. Recovery of access and resolution of the risk are separate decisions.</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Your password has been reset and your other devices are signed out. The review of your account continues separately.</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Identity verification to complete recovery where the member cannot prove ownership.</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Reset on a frozen account, which is also a signal: someone attempting recovery on a risk-flagged account is worth a look.</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EC-089</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risk rule fires on an honest member, for example a shared family phone or a shared bank account.</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member is told a review is happening and why, in plain terms, and is not left guessing at a freeze. A false positive never becomes a silent restriction, and the outcome of every review is recorded as a hit or a miss so the rules are measured against reality.</w:t>
            </w:r>
          </w:p>
        </w:tc>
        <w:tc>
          <w:tcPr>
            <w:tcW w:type="dxa" w:w="1728"/>
            <w:tcMar>
              <w:top w:w="60" w:type="dxa"/>
              <w:start w:w="110" w:type="dxa"/>
              <w:bottom w:w="60" w:type="dxa"/>
              <w:end w:w="110" w:type="dxa"/>
            </w:tcMar>
          </w:tcPr>
          <w:p>
            <w:pPr>
              <w:spacing w:after="0"/>
            </w:pPr>
            <w:r/>
            <w:r>
              <w:rPr>
                <w:rFonts w:ascii="Calibri" w:hAnsi="Calibri"/>
                <w:i/>
                <w:color w:val="101828"/>
                <w:sz w:val="14"/>
              </w:rPr>
              <w:t>We are checking one detail on your account. Nothing is wrong with your money and you can keep using your Ajos.</w:t>
            </w:r>
          </w:p>
        </w:tc>
        <w:tc>
          <w:tcPr>
            <w:tcW w:type="dxa" w:w="1584"/>
            <w:tcMar>
              <w:top w:w="60" w:type="dxa"/>
              <w:start w:w="110" w:type="dxa"/>
              <w:bottom w:w="60" w:type="dxa"/>
              <w:end w:w="110" w:type="dxa"/>
            </w:tcMar>
          </w:tcPr>
          <w:p>
            <w:pPr>
              <w:spacing w:after="0"/>
            </w:pPr>
            <w:r/>
            <w:r>
              <w:rPr>
                <w:rFonts w:ascii="Calibri" w:hAnsi="Calibri"/>
                <w:b w:val="0"/>
                <w:i w:val="0"/>
                <w:color w:val="101828"/>
                <w:sz w:val="14"/>
              </w:rPr>
              <w:t>Review outcome, normally a release, and a correction of the pattern data that caused the false positive.</w:t>
            </w:r>
          </w:p>
        </w:tc>
        <w:tc>
          <w:tcPr>
            <w:tcW w:type="dxa" w:w="1656"/>
            <w:tcMar>
              <w:top w:w="60" w:type="dxa"/>
              <w:start w:w="110" w:type="dxa"/>
              <w:bottom w:w="60" w:type="dxa"/>
              <w:end w:w="110" w:type="dxa"/>
            </w:tcMar>
          </w:tcPr>
          <w:p>
            <w:pPr>
              <w:spacing w:after="0"/>
            </w:pPr>
            <w:r/>
            <w:r>
              <w:rPr>
                <w:rFonts w:ascii="Calibri" w:hAnsi="Calibri"/>
                <w:b w:val="0"/>
                <w:i w:val="0"/>
                <w:color w:val="101828"/>
                <w:sz w:val="14"/>
              </w:rPr>
              <w:t>Every rule hit with its outcome. Rule precision is a measured product metric: a rule that fires mostly on honest members is a rule that needs retuning, not a member base that needs suspicion.</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EC-090</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dispute is raised and the counterparty never responds.</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response window passes and the case is decided on the evidence available, with the absence of a response recorded as a fact rather than as an admission. The decision states what was considered and what was not received.</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To the member who raised it: </w:t>
            </w:r>
            <w:r>
              <w:rPr>
                <w:rFonts w:ascii="Calibri" w:hAnsi="Calibri"/>
                <w:i/>
                <w:color w:val="101828"/>
                <w:sz w:val="14"/>
              </w:rPr>
              <w:t>We asked the other party to respond and did not hear back, so we have decided on the evidence we have.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Decision on the record, appealable, with the non-response disclosed to both parties.</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Case with the window, the notifications sent, and the decision basis. Unanswered cases are reported by counterparty, because a party who never answers is a pattern, not an accident.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EC-091</w:t>
            </w:r>
          </w:p>
        </w:tc>
        <w:tc>
          <w:tcPr>
            <w:tcW w:type="dxa" w:w="1656"/>
            <w:tcMar>
              <w:top w:w="60" w:type="dxa"/>
              <w:start w:w="110" w:type="dxa"/>
              <w:bottom w:w="60" w:type="dxa"/>
              <w:end w:w="110" w:type="dxa"/>
            </w:tcMar>
          </w:tcPr>
          <w:p>
            <w:pPr>
              <w:spacing w:after="0"/>
            </w:pPr>
            <w:r/>
            <w:r>
              <w:rPr>
                <w:rFonts w:ascii="Calibri" w:hAnsi="Calibri"/>
                <w:b w:val="0"/>
                <w:i w:val="0"/>
                <w:color w:val="101828"/>
                <w:sz w:val="14"/>
              </w:rPr>
              <w:t>Dispute evidence is malicious, oversized or of a type we will not accept.</w:t>
            </w:r>
          </w:p>
        </w:tc>
        <w:tc>
          <w:tcPr>
            <w:tcW w:type="dxa" w:w="2088"/>
            <w:tcMar>
              <w:top w:w="60" w:type="dxa"/>
              <w:start w:w="110" w:type="dxa"/>
              <w:bottom w:w="60" w:type="dxa"/>
              <w:end w:w="110" w:type="dxa"/>
            </w:tcMar>
          </w:tcPr>
          <w:p>
            <w:pPr>
              <w:spacing w:after="0"/>
            </w:pPr>
            <w:r/>
            <w:r>
              <w:rPr>
                <w:rFonts w:ascii="Calibri" w:hAnsi="Calibri"/>
                <w:b w:val="0"/>
                <w:i w:val="0"/>
                <w:color w:val="101828"/>
                <w:sz w:val="14"/>
              </w:rPr>
              <w:t>Rejected at upload with a stated reason, and the case continues with the evidence that was accepted. A file that will not be scanned is never stored, and an oversized file is never buffered into a memory problem.</w:t>
            </w:r>
          </w:p>
        </w:tc>
        <w:tc>
          <w:tcPr>
            <w:tcW w:type="dxa" w:w="1728"/>
            <w:tcMar>
              <w:top w:w="60" w:type="dxa"/>
              <w:start w:w="110" w:type="dxa"/>
              <w:bottom w:w="60" w:type="dxa"/>
              <w:end w:w="110" w:type="dxa"/>
            </w:tcMar>
          </w:tcPr>
          <w:p>
            <w:pPr>
              <w:spacing w:after="0"/>
            </w:pPr>
            <w:r/>
            <w:r>
              <w:rPr>
                <w:rFonts w:ascii="Calibri" w:hAnsi="Calibri"/>
                <w:i/>
                <w:color w:val="101828"/>
                <w:sz w:val="14"/>
              </w:rPr>
              <w:t>That file could not be accepted. Send a photo or a PDF under 10 MB and your case continues.</w:t>
            </w:r>
          </w:p>
        </w:tc>
        <w:tc>
          <w:tcPr>
            <w:tcW w:type="dxa" w:w="1584"/>
            <w:tcMar>
              <w:top w:w="60" w:type="dxa"/>
              <w:start w:w="110" w:type="dxa"/>
              <w:bottom w:w="60" w:type="dxa"/>
              <w:end w:w="110" w:type="dxa"/>
            </w:tcMar>
          </w:tcPr>
          <w:p>
            <w:pPr>
              <w:spacing w:after="0"/>
            </w:pPr>
            <w:r/>
            <w:r>
              <w:rPr>
                <w:rFonts w:ascii="Calibri" w:hAnsi="Calibri"/>
                <w:b w:val="0"/>
                <w:i w:val="0"/>
                <w:color w:val="101828"/>
                <w:sz w:val="14"/>
              </w:rPr>
              <w:t>Re-upload, or submission through support for a member who cannot meet the constraint.</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Rejected upload with reason and size. A repeated pattern of rejected uploads on one case is a conduct signal.</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EC-092</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dispute alleges money that reached the provider and was never credited to the member.</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Treated as a reconciliation matter first and a disagreement second. The provider's records are the evidence, the member's account is corrected if the member is right, and a confirmed loss is recorded as a loss rather than argued about.</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We are checking this against the payment partner's records. If money left your account and did not reach us, that is ours to fix.</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Reconciliation by reference, then a correction entry, and recovery from the provider where applicable.</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dispute, the provider evidence, the conclusion and any correcting entry. 'It went to the provider' is a claim AJO.ng must be able to test, not a claim it has to accept.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EC-093</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member raises many disputes, or disputes almost everything.</w:t>
            </w:r>
          </w:p>
        </w:tc>
        <w:tc>
          <w:tcPr>
            <w:tcW w:type="dxa" w:w="2088"/>
            <w:tcMar>
              <w:top w:w="60" w:type="dxa"/>
              <w:start w:w="110" w:type="dxa"/>
              <w:bottom w:w="60" w:type="dxa"/>
              <w:end w:w="110" w:type="dxa"/>
            </w:tcMar>
          </w:tcPr>
          <w:p>
            <w:pPr>
              <w:spacing w:after="0"/>
            </w:pPr>
            <w:r/>
            <w:r>
              <w:rPr>
                <w:rFonts w:ascii="Calibri" w:hAnsi="Calibri"/>
                <w:b w:val="0"/>
                <w:i w:val="0"/>
                <w:color w:val="101828"/>
                <w:sz w:val="14"/>
              </w:rPr>
              <w:t>Rate-limited and reviewed. Nothing about a legitimate dispute is weakened by volume, but a member cannot use the dispute path to stall payouts indefinitely: a dispute is not a reason to hold money once its basis is answered (BR-017).</w:t>
            </w:r>
          </w:p>
        </w:tc>
        <w:tc>
          <w:tcPr>
            <w:tcW w:type="dxa" w:w="1728"/>
            <w:tcMar>
              <w:top w:w="60" w:type="dxa"/>
              <w:start w:w="110" w:type="dxa"/>
              <w:bottom w:w="60" w:type="dxa"/>
              <w:end w:w="110" w:type="dxa"/>
            </w:tcMar>
          </w:tcPr>
          <w:p>
            <w:pPr>
              <w:spacing w:after="0"/>
            </w:pPr>
            <w:r/>
            <w:r>
              <w:rPr>
                <w:rFonts w:ascii="Calibri" w:hAnsi="Calibri"/>
                <w:b w:val="0"/>
                <w:i w:val="0"/>
                <w:color w:val="101828"/>
                <w:sz w:val="14"/>
              </w:rPr>
              <w:t xml:space="preserve">To the member: </w:t>
            </w:r>
            <w:r>
              <w:rPr>
                <w:rFonts w:ascii="Calibri" w:hAnsi="Calibri"/>
                <w:i/>
                <w:color w:val="101828"/>
                <w:sz w:val="14"/>
              </w:rPr>
              <w:t>You can raise a dispute on this Ajo. Repeated disputes on the same facts will not change the answer, and the payout will not wait for them.</w:t>
            </w:r>
          </w:p>
        </w:tc>
        <w:tc>
          <w:tcPr>
            <w:tcW w:type="dxa" w:w="1584"/>
            <w:tcMar>
              <w:top w:w="60" w:type="dxa"/>
              <w:start w:w="110" w:type="dxa"/>
              <w:bottom w:w="60" w:type="dxa"/>
              <w:end w:w="110" w:type="dxa"/>
            </w:tcMar>
          </w:tcPr>
          <w:p>
            <w:pPr>
              <w:spacing w:after="0"/>
            </w:pPr>
            <w:r/>
            <w:r>
              <w:rPr>
                <w:rFonts w:ascii="Calibri" w:hAnsi="Calibri"/>
                <w:b w:val="0"/>
                <w:i w:val="0"/>
                <w:color w:val="101828"/>
                <w:sz w:val="14"/>
              </w:rPr>
              <w:t>The decision on the merits, and the payout proceeding once the merits are answered.</w:t>
            </w:r>
          </w:p>
        </w:tc>
        <w:tc>
          <w:tcPr>
            <w:tcW w:type="dxa" w:w="1656"/>
            <w:tcMar>
              <w:top w:w="60" w:type="dxa"/>
              <w:start w:w="110" w:type="dxa"/>
              <w:bottom w:w="60" w:type="dxa"/>
              <w:end w:w="110" w:type="dxa"/>
            </w:tcMar>
          </w:tcPr>
          <w:p>
            <w:pPr>
              <w:spacing w:after="0"/>
            </w:pPr>
            <w:r/>
            <w:r>
              <w:rPr>
                <w:rFonts w:ascii="Calibri" w:hAnsi="Calibri"/>
                <w:b w:val="0"/>
                <w:i w:val="0"/>
                <w:color w:val="101828"/>
                <w:sz w:val="14"/>
              </w:rPr>
              <w:t>Dispute counts per member with outcomes. A high-volume filer is a support cost and a signal, and is handled as a process question, not as a member being silenced.</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EC-094</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phone number that is already an active member of the same Ajo is entered as a new member.</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One identity takes one account (BR-030) and one position per Ajo, so the same person cannot occupy two seats in a circle that pays out on rotation. The check is on verified identity, not on the number alone.</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This number is already in this Ajo. One person takes one position.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None; the second position is not available to the same person.</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attempt with both records. Repetition is a pyramid-scheme signal (R4) and is reviewed.</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EC-095</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default is recorded and the member later disputes that it should have been.</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dispute is decided on the record: the due time, the reminders sent, the grace period and the timestamps, all of which are computed server-side and cannot be moved by a device clock. If the default was wrong, the state is corrected and the recovery is applied as though it had never happened.</w:t>
            </w:r>
          </w:p>
        </w:tc>
        <w:tc>
          <w:tcPr>
            <w:tcW w:type="dxa" w:w="1728"/>
            <w:tcMar>
              <w:top w:w="60" w:type="dxa"/>
              <w:start w:w="110" w:type="dxa"/>
              <w:bottom w:w="60" w:type="dxa"/>
              <w:end w:w="110" w:type="dxa"/>
            </w:tcMar>
          </w:tcPr>
          <w:p>
            <w:pPr>
              <w:spacing w:after="0"/>
            </w:pPr>
            <w:r/>
            <w:r>
              <w:rPr>
                <w:rFonts w:ascii="Calibri" w:hAnsi="Calibri"/>
                <w:i/>
                <w:color w:val="101828"/>
                <w:sz w:val="14"/>
              </w:rPr>
              <w:t>Here is what happened and when, including the reminders you were sent. If it was wrong, we will correct it and your Ajo continues.</w:t>
            </w:r>
          </w:p>
        </w:tc>
        <w:tc>
          <w:tcPr>
            <w:tcW w:type="dxa" w:w="1584"/>
            <w:tcMar>
              <w:top w:w="60" w:type="dxa"/>
              <w:start w:w="110" w:type="dxa"/>
              <w:bottom w:w="60" w:type="dxa"/>
              <w:end w:w="110" w:type="dxa"/>
            </w:tcMar>
          </w:tcPr>
          <w:p>
            <w:pPr>
              <w:spacing w:after="0"/>
            </w:pPr>
            <w:r/>
            <w:r>
              <w:rPr>
                <w:rFonts w:ascii="Calibri" w:hAnsi="Calibri"/>
                <w:b w:val="0"/>
                <w:i w:val="0"/>
                <w:color w:val="101828"/>
                <w:sz w:val="14"/>
              </w:rPr>
              <w:t>Correction with the audit evidence, and re-instatement of the contribution.</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full default chain and the dispute outcome. A reversed default is reported as a rule or timing fault, not as a member's problem.</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EC-096</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An organiser asks AJO.ng to deduct a defaulting member's shortfall from the other members.</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without exception and without partial fulfilment. Other members are never charged extra without their explicit consent, and the platform does not do it on their behalf either (BR-015). The organizer is told what the actual options are.</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We cannot take one member's shortfall from the others. Here is what the recovery process does instead.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The recovery process, and a recorded funding decision for the round.</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request itself, the refusal, and what was offered instead. A large volume of these requests is an indicator about how the product is being explained on the ground.</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EC-097</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defaulting member cannot be reached at all on any channel.</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recovery process is exhausted and recorded as exhausted. The position is written off only through that recorded path, never silently, and the shortfall then faces the funding question in EC-063 rather than being spread.</w:t>
            </w:r>
          </w:p>
        </w:tc>
        <w:tc>
          <w:tcPr>
            <w:tcW w:type="dxa" w:w="1728"/>
            <w:tcMar>
              <w:top w:w="60" w:type="dxa"/>
              <w:start w:w="110" w:type="dxa"/>
              <w:bottom w:w="60" w:type="dxa"/>
              <w:end w:w="110" w:type="dxa"/>
            </w:tcMar>
          </w:tcPr>
          <w:p>
            <w:pPr>
              <w:spacing w:after="0"/>
            </w:pPr>
            <w:r/>
            <w:r>
              <w:rPr>
                <w:rFonts w:ascii="Calibri" w:hAnsi="Calibri"/>
                <w:b w:val="0"/>
                <w:i w:val="0"/>
                <w:color w:val="101828"/>
                <w:sz w:val="14"/>
              </w:rPr>
              <w:t xml:space="preserve">To the organiser: </w:t>
            </w:r>
            <w:r>
              <w:rPr>
                <w:rFonts w:ascii="Calibri" w:hAnsi="Calibri"/>
                <w:i/>
                <w:color w:val="101828"/>
                <w:sz w:val="14"/>
              </w:rPr>
              <w:t>We could not reach this member on any channel. Here is where this stands and what you can do about it.</w:t>
            </w:r>
          </w:p>
        </w:tc>
        <w:tc>
          <w:tcPr>
            <w:tcW w:type="dxa" w:w="1584"/>
            <w:tcMar>
              <w:top w:w="60" w:type="dxa"/>
              <w:start w:w="110" w:type="dxa"/>
              <w:bottom w:w="60" w:type="dxa"/>
              <w:end w:w="110" w:type="dxa"/>
            </w:tcMar>
          </w:tcPr>
          <w:p>
            <w:pPr>
              <w:spacing w:after="0"/>
            </w:pPr>
            <w:r/>
            <w:r>
              <w:rPr>
                <w:rFonts w:ascii="Calibri" w:hAnsi="Calibri"/>
                <w:b w:val="0"/>
                <w:i w:val="0"/>
                <w:color w:val="101828"/>
                <w:sz w:val="14"/>
              </w:rPr>
              <w:t>Support outreach where an address exists, then the written-off path, then the round's funding decision.</w:t>
            </w:r>
          </w:p>
        </w:tc>
        <w:tc>
          <w:tcPr>
            <w:tcW w:type="dxa" w:w="1656"/>
            <w:tcMar>
              <w:top w:w="60" w:type="dxa"/>
              <w:start w:w="110" w:type="dxa"/>
              <w:bottom w:w="60" w:type="dxa"/>
              <w:end w:w="110" w:type="dxa"/>
            </w:tcMar>
          </w:tcPr>
          <w:p>
            <w:pPr>
              <w:spacing w:after="0"/>
            </w:pPr>
            <w:r/>
            <w:r>
              <w:rPr>
                <w:rFonts w:ascii="Calibri" w:hAnsi="Calibri"/>
                <w:b w:val="0"/>
                <w:i w:val="0"/>
                <w:color w:val="101828"/>
                <w:sz w:val="14"/>
              </w:rPr>
              <w:t>Contact attempts per channel with their outcomes. A member who is genuinely unreachable is a support gap, so the exhaustion is reported to a human rather than closed by the system.</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EC-098</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An organiser asks AJO.ng to tell the other members who has not paid.</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Defaulting is private between the member, the organizer and platform risk, and no notification payload ever names a defaulter (BR-014). The organizer is given the funding position, which is the information they need to act.</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We can tell you whether the round is covered. We will not tell the group who has not paid, and neither will the app.</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The funding position and the recovery process for the member in question, handled privately.</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request and the refusal. The distinction between a financial state and a person's behaviour is the thing being protected, so the log records which was served.</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EC-099</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platform-wide emergency stop of all money movement is executed during a security or solvency incident.</w:t>
            </w:r>
          </w:p>
        </w:tc>
        <w:tc>
          <w:tcPr>
            <w:tcW w:type="dxa" w:w="2088"/>
            <w:tcMar>
              <w:top w:w="60" w:type="dxa"/>
              <w:start w:w="110" w:type="dxa"/>
              <w:bottom w:w="60" w:type="dxa"/>
              <w:end w:w="110" w:type="dxa"/>
            </w:tcMar>
          </w:tcPr>
          <w:p>
            <w:pPr>
              <w:spacing w:after="0"/>
            </w:pPr>
            <w:r/>
            <w:r>
              <w:rPr>
                <w:rFonts w:ascii="Calibri" w:hAnsi="Calibri"/>
                <w:b w:val="0"/>
                <w:i w:val="0"/>
                <w:color w:val="101828"/>
                <w:sz w:val="14"/>
              </w:rPr>
              <w:t xml:space="preserve">All new authorisation attempts, disbursements and refunds stop at once. Ajo state is untouched, no money is moved by AJO.ng itself, and in-flight authorisations are either allowed to settle or reversed by the provider rather than silently dropped. The stop is scoped, timestamped, ordered by </w:t>
            </w:r>
            <w:r>
              <w:rPr>
                <w:rFonts w:ascii="Consolas" w:hAnsi="Consolas"/>
                <w:color w:val="146EF5"/>
                <w:sz w:val="14"/>
              </w:rPr>
              <w:t>super_admin</w:t>
            </w:r>
            <w:r>
              <w:rPr>
                <w:rFonts w:ascii="Calibri" w:hAnsi="Calibri"/>
                <w:b w:val="0"/>
                <w:i w:val="0"/>
                <w:color w:val="101828"/>
                <w:sz w:val="14"/>
              </w:rPr>
              <w:t xml:space="preserve"> with a </w:t>
            </w:r>
            <w:r>
              <w:rPr>
                <w:rFonts w:ascii="Consolas" w:hAnsi="Consolas"/>
                <w:color w:val="146EF5"/>
                <w:sz w:val="14"/>
              </w:rPr>
              <w:t>risk_officer</w:t>
            </w:r>
            <w:r>
              <w:rPr>
                <w:rFonts w:ascii="Calibri" w:hAnsi="Calibri"/>
                <w:b w:val="0"/>
                <w:i w:val="0"/>
                <w:color w:val="101828"/>
                <w:sz w:val="14"/>
              </w:rPr>
              <w:t xml:space="preserve"> countersign, and time-boxed, because an open-ended stop is itself a loss.</w:t>
            </w:r>
          </w:p>
        </w:tc>
        <w:tc>
          <w:tcPr>
            <w:tcW w:type="dxa" w:w="1728"/>
            <w:tcMar>
              <w:top w:w="60" w:type="dxa"/>
              <w:start w:w="110" w:type="dxa"/>
              <w:bottom w:w="60" w:type="dxa"/>
              <w:end w:w="110" w:type="dxa"/>
            </w:tcMar>
          </w:tcPr>
          <w:p>
            <w:pPr>
              <w:spacing w:after="0"/>
            </w:pPr>
            <w:r/>
            <w:r>
              <w:rPr>
                <w:rFonts w:ascii="Calibri" w:hAnsi="Calibri"/>
                <w:i/>
                <w:color w:val="101828"/>
                <w:sz w:val="14"/>
              </w:rPr>
              <w:t>We have paused payments and payouts while we fix a problem. Nothing has been taken from you, your Ajo has not changed, and we will tell you the moment it is safe to move money again.</w:t>
            </w:r>
          </w:p>
        </w:tc>
        <w:tc>
          <w:tcPr>
            <w:tcW w:type="dxa" w:w="1584"/>
            <w:tcMar>
              <w:top w:w="60" w:type="dxa"/>
              <w:start w:w="110" w:type="dxa"/>
              <w:bottom w:w="60" w:type="dxa"/>
              <w:end w:w="110" w:type="dxa"/>
            </w:tcMar>
          </w:tcPr>
          <w:p>
            <w:pPr>
              <w:spacing w:after="0"/>
            </w:pPr>
            <w:r/>
            <w:r>
              <w:rPr>
                <w:rFonts w:ascii="Calibri" w:hAnsi="Calibri"/>
                <w:b w:val="0"/>
                <w:i w:val="0"/>
                <w:color w:val="101828"/>
                <w:sz w:val="14"/>
              </w:rPr>
              <w:t>A documented incident runbook with a named owner, a fixed review interval, and a pre-agreed resume or wind-down plan. Resumption is a separate recorded order, never the automatic expiry of the stop.</w:t>
            </w:r>
          </w:p>
        </w:tc>
        <w:tc>
          <w:tcPr>
            <w:tcW w:type="dxa" w:w="1656"/>
            <w:tcMar>
              <w:top w:w="60" w:type="dxa"/>
              <w:start w:w="110" w:type="dxa"/>
              <w:bottom w:w="60" w:type="dxa"/>
              <w:end w:w="110" w:type="dxa"/>
            </w:tcMar>
          </w:tcPr>
          <w:p>
            <w:pPr>
              <w:spacing w:after="0"/>
            </w:pPr>
            <w:r/>
            <w:r>
              <w:rPr>
                <w:rFonts w:ascii="Calibri" w:hAnsi="Calibri"/>
                <w:b w:val="0"/>
                <w:i w:val="0"/>
                <w:color w:val="101828"/>
                <w:sz w:val="14"/>
              </w:rPr>
              <w:t>Order, countersign, scope, affected flows, the in-flight transactions caught at the moment of the stop, and the resume order. A platform-wide stop is a Sev-1 event and its duration is reported as an incident metric.</w:t>
            </w:r>
          </w:p>
        </w:tc>
      </w:tr>
    </w:tbl>
    <w:p>
      <w:pPr>
        <w:spacing w:after="80"/>
      </w:pPr>
    </w:p>
    <w:p>
      <w:r>
        <w:br w:type="page"/>
      </w:r>
    </w:p>
    <w:p>
      <w:pPr>
        <w:pStyle w:val="Heading2"/>
      </w:pPr>
      <w:r>
        <w:rPr>
          <w:rFonts w:ascii="Calibri" w:hAnsi="Calibri"/>
          <w:b/>
          <w:i w:val="0"/>
          <w:color w:val="146EF5"/>
          <w:sz w:val="29"/>
        </w:rPr>
        <w:t>19.7 Data integrity edge cases</w:t>
      </w:r>
    </w:p>
    <w:p>
      <w:r>
        <w:rPr>
          <w:rFonts w:ascii="Calibri" w:hAnsi="Calibri"/>
          <w:b w:val="0"/>
          <w:i w:val="0"/>
          <w:color w:val="101828"/>
          <w:sz w:val="21"/>
        </w:rPr>
        <w:t xml:space="preserve">This class is the arithmetic of the product. Money columns are always </w:t>
      </w:r>
      <w:r>
        <w:rPr>
          <w:rFonts w:ascii="Consolas" w:hAnsi="Consolas"/>
          <w:color w:val="146EF5"/>
          <w:sz w:val="21"/>
        </w:rPr>
        <w:t>bigint</w:t>
      </w:r>
      <w:r>
        <w:rPr>
          <w:rFonts w:ascii="Calibri" w:hAnsi="Calibri"/>
          <w:b w:val="0"/>
          <w:i w:val="0"/>
          <w:color w:val="101828"/>
          <w:sz w:val="21"/>
        </w:rPr>
        <w:t xml:space="preserve"> kobo, never </w:t>
      </w:r>
      <w:r>
        <w:rPr>
          <w:rFonts w:ascii="Consolas" w:hAnsi="Consolas"/>
          <w:color w:val="146EF5"/>
          <w:sz w:val="21"/>
        </w:rPr>
        <w:t>float</w:t>
      </w:r>
      <w:r>
        <w:rPr>
          <w:rFonts w:ascii="Calibri" w:hAnsi="Calibri"/>
          <w:b w:val="0"/>
          <w:i w:val="0"/>
          <w:color w:val="101828"/>
          <w:sz w:val="21"/>
        </w:rPr>
        <w:t xml:space="preserve"> or </w:t>
      </w:r>
      <w:r>
        <w:rPr>
          <w:rFonts w:ascii="Consolas" w:hAnsi="Consolas"/>
          <w:color w:val="146EF5"/>
          <w:sz w:val="21"/>
        </w:rPr>
        <w:t>numeric</w:t>
      </w:r>
      <w:r>
        <w:rPr>
          <w:rFonts w:ascii="Calibri" w:hAnsi="Calibri"/>
          <w:b w:val="0"/>
          <w:i w:val="0"/>
          <w:color w:val="101828"/>
          <w:sz w:val="21"/>
        </w:rPr>
        <w:t xml:space="preserve"> (BR-031); business tables are versioned for optimistic concurrency; ledger tables are append-only. Those three rules are what make the rest of the system auditable, and this class is where they are tested against reality.</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648"/>
            <w:shd w:val="clear" w:color="auto" w:fill="0B1F3A"/>
            <w:tcMar>
              <w:top w:w="60" w:type="dxa"/>
              <w:start w:w="110" w:type="dxa"/>
              <w:bottom w:w="60" w:type="dxa"/>
              <w:end w:w="110" w:type="dxa"/>
            </w:tcMar>
          </w:tcPr>
          <w:p>
            <w:pPr>
              <w:spacing w:after="0"/>
            </w:pPr>
            <w:r/>
            <w:r>
              <w:rPr>
                <w:rFonts w:ascii="Calibri" w:hAnsi="Calibri"/>
                <w:b/>
                <w:i w:val="0"/>
                <w:color w:val="FFFFFF"/>
                <w:sz w:val="14"/>
              </w:rPr>
              <w:t>ID</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Trigger</w:t>
            </w:r>
          </w:p>
        </w:tc>
        <w:tc>
          <w:tcPr>
            <w:tcW w:type="dxa" w:w="2088"/>
            <w:shd w:val="clear" w:color="auto" w:fill="0B1F3A"/>
            <w:tcMar>
              <w:top w:w="60" w:type="dxa"/>
              <w:start w:w="110" w:type="dxa"/>
              <w:bottom w:w="60" w:type="dxa"/>
              <w:end w:w="110" w:type="dxa"/>
            </w:tcMar>
          </w:tcPr>
          <w:p>
            <w:pPr>
              <w:spacing w:after="0"/>
            </w:pPr>
            <w:r/>
            <w:r>
              <w:rPr>
                <w:rFonts w:ascii="Calibri" w:hAnsi="Calibri"/>
                <w:b/>
                <w:i w:val="0"/>
                <w:color w:val="FFFFFF"/>
                <w:sz w:val="14"/>
              </w:rPr>
              <w:t>System behaviour</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4"/>
              </w:rPr>
              <w:t>User experience</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4"/>
              </w:rPr>
              <w:t>Recovery mechanism</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Logging requirement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EC-100</w:t>
            </w:r>
          </w:p>
        </w:tc>
        <w:tc>
          <w:tcPr>
            <w:tcW w:type="dxa" w:w="1656"/>
            <w:tcMar>
              <w:top w:w="60" w:type="dxa"/>
              <w:start w:w="110" w:type="dxa"/>
              <w:bottom w:w="60" w:type="dxa"/>
              <w:end w:w="110" w:type="dxa"/>
            </w:tcMar>
          </w:tcPr>
          <w:p>
            <w:pPr>
              <w:spacing w:after="0"/>
            </w:pPr>
            <w:r/>
            <w:r>
              <w:rPr>
                <w:rFonts w:ascii="Calibri" w:hAnsi="Calibri"/>
                <w:b w:val="0"/>
                <w:i w:val="0"/>
                <w:color w:val="101828"/>
                <w:sz w:val="14"/>
              </w:rPr>
              <w:t>Two requests modify the same record concurrently, for example the organizer edits the schedule while a member is claiming a position.</w:t>
            </w:r>
          </w:p>
        </w:tc>
        <w:tc>
          <w:tcPr>
            <w:tcW w:type="dxa" w:w="2088"/>
            <w:tcMar>
              <w:top w:w="60" w:type="dxa"/>
              <w:start w:w="110" w:type="dxa"/>
              <w:bottom w:w="60" w:type="dxa"/>
              <w:end w:w="110" w:type="dxa"/>
            </w:tcMar>
          </w:tcPr>
          <w:p>
            <w:pPr>
              <w:spacing w:after="0"/>
            </w:pPr>
            <w:r/>
            <w:r>
              <w:rPr>
                <w:rFonts w:ascii="Calibri" w:hAnsi="Calibri"/>
                <w:b w:val="0"/>
                <w:i w:val="0"/>
                <w:color w:val="101828"/>
                <w:sz w:val="14"/>
              </w:rPr>
              <w:t>Detected by the version column. The second writer is rejected with a conflict, and the client refetches and shows the member what actually happened. No silent last-write-wins, because last-write-wins on money is how a member loses a contribution without being told.</w:t>
            </w:r>
          </w:p>
        </w:tc>
        <w:tc>
          <w:tcPr>
            <w:tcW w:type="dxa" w:w="1728"/>
            <w:tcMar>
              <w:top w:w="60" w:type="dxa"/>
              <w:start w:w="110" w:type="dxa"/>
              <w:bottom w:w="60" w:type="dxa"/>
              <w:end w:w="110" w:type="dxa"/>
            </w:tcMar>
          </w:tcPr>
          <w:p>
            <w:pPr>
              <w:spacing w:after="0"/>
            </w:pPr>
            <w:r/>
            <w:r>
              <w:rPr>
                <w:rFonts w:ascii="Calibri" w:hAnsi="Calibri"/>
                <w:i/>
                <w:color w:val="101828"/>
                <w:sz w:val="14"/>
              </w:rPr>
              <w:t>Someone just updated this Ajo. Here is the current version - your change was not saved.</w:t>
            </w:r>
          </w:p>
        </w:tc>
        <w:tc>
          <w:tcPr>
            <w:tcW w:type="dxa" w:w="1584"/>
            <w:tcMar>
              <w:top w:w="60" w:type="dxa"/>
              <w:start w:w="110" w:type="dxa"/>
              <w:bottom w:w="60" w:type="dxa"/>
              <w:end w:w="110" w:type="dxa"/>
            </w:tcMar>
          </w:tcPr>
          <w:p>
            <w:pPr>
              <w:spacing w:after="0"/>
            </w:pPr>
            <w:r/>
            <w:r>
              <w:rPr>
                <w:rFonts w:ascii="Calibri" w:hAnsi="Calibri"/>
                <w:b w:val="0"/>
                <w:i w:val="0"/>
                <w:color w:val="101828"/>
                <w:sz w:val="14"/>
              </w:rPr>
              <w:t>Refetch and re-apply deliberately.</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Rejected conflict with both versions and actors. A high conflict rate on one record is a concurrency design smell and is reviewed.</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EC-101</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solvency assertion fails: escrow cash no longer equals the sum of what is owed to members.</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Disbursement halts immediately and automatically. This is the control the whole ledger depends on: skipping the payout recognition step drains escrow against a liability that was never raised, and the assertion is designed to catch exactly that (BR-020, BR-021). A halt is never overridden to make a payout succeed on time.</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Nothing is said about internal assertions. Affected members receive a truthful delay message: the payout is pending, it is safe, and here is when we will update you.</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Engineering investigation, then a correcting reversing entry, then an assertion harness replay before disbursement resumes.</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Sev-1 alert with the assertion, the escrow balance, the outstanding obligation and the transaction that breached it. K-01 under-funded payouts counts these, so a halt is a visible trust event, not a hidden engineering nuisance.</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EC-102</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ledger posting is attempted against a round that has already settled and paid out.</w:t>
            </w:r>
          </w:p>
        </w:tc>
        <w:tc>
          <w:tcPr>
            <w:tcW w:type="dxa" w:w="2088"/>
            <w:tcMar>
              <w:top w:w="60" w:type="dxa"/>
              <w:start w:w="110" w:type="dxa"/>
              <w:bottom w:w="60" w:type="dxa"/>
              <w:end w:w="110" w:type="dxa"/>
            </w:tcMar>
          </w:tcPr>
          <w:p>
            <w:pPr>
              <w:spacing w:after="0"/>
            </w:pPr>
            <w:r/>
            <w:r>
              <w:rPr>
                <w:rFonts w:ascii="Calibri" w:hAnsi="Calibri"/>
                <w:b w:val="0"/>
                <w:i w:val="0"/>
                <w:color w:val="101828"/>
                <w:sz w:val="14"/>
              </w:rPr>
              <w:t>Rejected. A settled round accepts no further postings, and no entry is ever added to a closed period. A correction, if genuinely needed, is a reversing entry in a current period with an explicit link to the original.</w:t>
            </w:r>
          </w:p>
        </w:tc>
        <w:tc>
          <w:tcPr>
            <w:tcW w:type="dxa" w:w="1728"/>
            <w:tcMar>
              <w:top w:w="60" w:type="dxa"/>
              <w:start w:w="110" w:type="dxa"/>
              <w:bottom w:w="60" w:type="dxa"/>
              <w:end w:w="110" w:type="dxa"/>
            </w:tcMar>
          </w:tcPr>
          <w:p>
            <w:pPr>
              <w:spacing w:after="0"/>
            </w:pPr>
            <w:r/>
            <w:r>
              <w:rPr>
                <w:rFonts w:ascii="Calibri" w:hAnsi="Calibri"/>
                <w:b w:val="0"/>
                <w:i w:val="0"/>
                <w:color w:val="101828"/>
                <w:sz w:val="14"/>
              </w:rPr>
              <w:t>None; this should never be visible to a member.</w:t>
            </w:r>
          </w:p>
        </w:tc>
        <w:tc>
          <w:tcPr>
            <w:tcW w:type="dxa" w:w="1584"/>
            <w:tcMar>
              <w:top w:w="60" w:type="dxa"/>
              <w:start w:w="110" w:type="dxa"/>
              <w:bottom w:w="60" w:type="dxa"/>
              <w:end w:w="110" w:type="dxa"/>
            </w:tcMar>
          </w:tcPr>
          <w:p>
            <w:pPr>
              <w:spacing w:after="0"/>
            </w:pPr>
            <w:r/>
            <w:r>
              <w:rPr>
                <w:rFonts w:ascii="Calibri" w:hAnsi="Calibri"/>
                <w:b w:val="0"/>
                <w:i w:val="0"/>
                <w:color w:val="101828"/>
                <w:sz w:val="14"/>
              </w:rPr>
              <w:t>None required; the rejection is the control.</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Rejected posting with actor, role and target. Any successful posting into a settled period is a Sev-1 and a test failure.</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EC-103</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soft-deleted record is referenced by a new transaction, for example a contribution whose member row was deleted out of band.</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Rejected. Money-moving records are not deletable at all, and a soft delete is never treated as absence by the money path. A contribution in any non-terminal state must resolve to a real member.</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We hit a records problem on this Ajo. Your money is accounted for and support is looking into it now.</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Restore the record; the reference proves the deletion was illegitimate.</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Rejected reference plus the originating soft delete with actor and reason. A soft delete touching a money record is alerted the moment it happens.</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EC-104</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report or aggregate spans a timezone boundary, so a contribution lands in the wrong day or month bucket.</w:t>
            </w:r>
          </w:p>
        </w:tc>
        <w:tc>
          <w:tcPr>
            <w:tcW w:type="dxa" w:w="2088"/>
            <w:tcMar>
              <w:top w:w="60" w:type="dxa"/>
              <w:start w:w="110" w:type="dxa"/>
              <w:bottom w:w="60" w:type="dxa"/>
              <w:end w:w="110" w:type="dxa"/>
            </w:tcMar>
          </w:tcPr>
          <w:p>
            <w:pPr>
              <w:spacing w:after="0"/>
            </w:pPr>
            <w:r/>
            <w:r>
              <w:rPr>
                <w:rFonts w:ascii="Calibri" w:hAnsi="Calibri"/>
                <w:b w:val="0"/>
                <w:i w:val="0"/>
                <w:color w:val="101828"/>
                <w:sz w:val="14"/>
              </w:rPr>
              <w:t>Reporting is computed in UTC and labelled in the Ajo's declared zone, and the figure shown always carries the zone it was computed in. Money totals are never bucketed by client-supplied local time.</w:t>
            </w:r>
          </w:p>
        </w:tc>
        <w:tc>
          <w:tcPr>
            <w:tcW w:type="dxa" w:w="1728"/>
            <w:tcMar>
              <w:top w:w="60" w:type="dxa"/>
              <w:start w:w="110" w:type="dxa"/>
              <w:bottom w:w="60" w:type="dxa"/>
              <w:end w:w="110" w:type="dxa"/>
            </w:tcMar>
          </w:tcPr>
          <w:p>
            <w:pPr>
              <w:spacing w:after="0"/>
            </w:pPr>
            <w:r/>
            <w:r>
              <w:rPr>
                <w:rFonts w:ascii="Calibri" w:hAnsi="Calibri"/>
                <w:i/>
                <w:color w:val="101828"/>
                <w:sz w:val="14"/>
              </w:rPr>
              <w:t>Your Ajo runs on WAT, so the deadline you see is in WAT wherever you are.</w:t>
            </w:r>
          </w:p>
        </w:tc>
        <w:tc>
          <w:tcPr>
            <w:tcW w:type="dxa" w:w="1584"/>
            <w:tcMar>
              <w:top w:w="60" w:type="dxa"/>
              <w:start w:w="110" w:type="dxa"/>
              <w:bottom w:w="60" w:type="dxa"/>
              <w:end w:w="110" w:type="dxa"/>
            </w:tcMar>
          </w:tcPr>
          <w:p>
            <w:pPr>
              <w:spacing w:after="0"/>
            </w:pPr>
            <w:r/>
            <w:r>
              <w:rPr>
                <w:rFonts w:ascii="Calibri" w:hAnsi="Calibri"/>
                <w:b w:val="0"/>
                <w:i w:val="0"/>
                <w:color w:val="101828"/>
                <w:sz w:val="14"/>
              </w:rPr>
              <w:t>Recompute the affected period; historical reports are versioned so the correction is visible.</w:t>
            </w:r>
          </w:p>
        </w:tc>
        <w:tc>
          <w:tcPr>
            <w:tcW w:type="dxa" w:w="1656"/>
            <w:tcMar>
              <w:top w:w="60" w:type="dxa"/>
              <w:start w:w="110" w:type="dxa"/>
              <w:bottom w:w="60" w:type="dxa"/>
              <w:end w:w="110" w:type="dxa"/>
            </w:tcMar>
          </w:tcPr>
          <w:p>
            <w:pPr>
              <w:spacing w:after="0"/>
            </w:pPr>
            <w:r/>
            <w:r>
              <w:rPr>
                <w:rFonts w:ascii="Calibri" w:hAnsi="Calibri"/>
                <w:b w:val="0"/>
                <w:i w:val="0"/>
                <w:color w:val="101828"/>
                <w:sz w:val="14"/>
              </w:rPr>
              <w:t>Zone and period boundary recorded with every aggregate. An unexplained movement between periods is almost always this, and the label is what resolves it in minutes instead of days.</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EC-105</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An export, statement or report renders kobo as naira, or divides by a hundred twice.</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internal representation is a kobo integer, and formatting happens once at the boundary. A statement shows the same numbers as the receipt and the ledger for the same transaction, and a mismatch is a Sev-2 that blocks the export until fixed.</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member's statement reconciles exactly with their receipts, line for line. Where it does not, we withdraw the export rather than let them act on it.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Regenerate after the fix; a withdrawn export is retracted, not quietly replaced.</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Export job, template version and a checksum of the rendered figures per statement, so a formatting change is detectable after the fact.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EC-106</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schema migration runs while writes are in flight, and a transaction fails mid-migration.</w:t>
            </w:r>
          </w:p>
        </w:tc>
        <w:tc>
          <w:tcPr>
            <w:tcW w:type="dxa" w:w="2088"/>
            <w:tcMar>
              <w:top w:w="60" w:type="dxa"/>
              <w:start w:w="110" w:type="dxa"/>
              <w:bottom w:w="60" w:type="dxa"/>
              <w:end w:w="110" w:type="dxa"/>
            </w:tcMar>
          </w:tcPr>
          <w:p>
            <w:pPr>
              <w:spacing w:after="0"/>
            </w:pPr>
            <w:r/>
            <w:r>
              <w:rPr>
                <w:rFonts w:ascii="Calibri" w:hAnsi="Calibri"/>
                <w:b w:val="0"/>
                <w:i w:val="0"/>
                <w:color w:val="101828"/>
                <w:sz w:val="14"/>
              </w:rPr>
              <w:t>Migrations are expand-and-contract: additive first, backfill second, enforcement last, with the old path live throughout. A failed migration rolls back without partial state, and the solvency assertion keeps running as a guard.</w:t>
            </w:r>
          </w:p>
        </w:tc>
        <w:tc>
          <w:tcPr>
            <w:tcW w:type="dxa" w:w="1728"/>
            <w:tcMar>
              <w:top w:w="60" w:type="dxa"/>
              <w:start w:w="110" w:type="dxa"/>
              <w:bottom w:w="60" w:type="dxa"/>
              <w:end w:w="110" w:type="dxa"/>
            </w:tcMar>
          </w:tcPr>
          <w:p>
            <w:pPr>
              <w:spacing w:after="0"/>
            </w:pPr>
            <w:r/>
            <w:r>
              <w:rPr>
                <w:rFonts w:ascii="Calibri" w:hAnsi="Calibri"/>
                <w:b w:val="0"/>
                <w:i w:val="0"/>
                <w:color w:val="101828"/>
                <w:sz w:val="14"/>
              </w:rPr>
              <w:t>No member is affected by a migration. If something is unavailable, it is degraded and says so.</w:t>
            </w:r>
          </w:p>
        </w:tc>
        <w:tc>
          <w:tcPr>
            <w:tcW w:type="dxa" w:w="1584"/>
            <w:tcMar>
              <w:top w:w="60" w:type="dxa"/>
              <w:start w:w="110" w:type="dxa"/>
              <w:bottom w:w="60" w:type="dxa"/>
              <w:end w:w="110" w:type="dxa"/>
            </w:tcMar>
          </w:tcPr>
          <w:p>
            <w:pPr>
              <w:spacing w:after="0"/>
            </w:pPr>
            <w:r/>
            <w:r>
              <w:rPr>
                <w:rFonts w:ascii="Calibri" w:hAnsi="Calibri"/>
                <w:b w:val="0"/>
                <w:i w:val="0"/>
                <w:color w:val="101828"/>
                <w:sz w:val="14"/>
              </w:rPr>
              <w:t>Rollback and retry; the payment path is never the last thing switched over.</w:t>
            </w:r>
          </w:p>
        </w:tc>
        <w:tc>
          <w:tcPr>
            <w:tcW w:type="dxa" w:w="1656"/>
            <w:tcMar>
              <w:top w:w="60" w:type="dxa"/>
              <w:start w:w="110" w:type="dxa"/>
              <w:bottom w:w="60" w:type="dxa"/>
              <w:end w:w="110" w:type="dxa"/>
            </w:tcMar>
          </w:tcPr>
          <w:p>
            <w:pPr>
              <w:spacing w:after="0"/>
            </w:pPr>
            <w:r/>
            <w:r>
              <w:rPr>
                <w:rFonts w:ascii="Calibri" w:hAnsi="Calibri"/>
                <w:b w:val="0"/>
                <w:i w:val="0"/>
                <w:color w:val="101828"/>
                <w:sz w:val="14"/>
              </w:rPr>
              <w:t>Migration id, phase, row counts, and assertion results before and after. An unrecorded migration is treated as an incident.</w:t>
            </w:r>
          </w:p>
        </w:tc>
      </w:tr>
    </w:tbl>
    <w:p>
      <w:pPr>
        <w:spacing w:after="80"/>
      </w:pPr>
    </w:p>
    <w:p>
      <w:r>
        <w:br w:type="page"/>
      </w:r>
    </w:p>
    <w:p>
      <w:pPr>
        <w:pStyle w:val="Heading2"/>
      </w:pPr>
      <w:r>
        <w:rPr>
          <w:rFonts w:ascii="Calibri" w:hAnsi="Calibri"/>
          <w:b/>
          <w:i w:val="0"/>
          <w:color w:val="146EF5"/>
          <w:sz w:val="29"/>
        </w:rPr>
        <w:t>19.8 Security and privacy edge cases</w:t>
      </w:r>
    </w:p>
    <w:p>
      <w:r>
        <w:rPr>
          <w:rFonts w:ascii="Calibri" w:hAnsi="Calibri"/>
          <w:b w:val="0"/>
          <w:i w:val="0"/>
          <w:color w:val="101828"/>
          <w:sz w:val="21"/>
        </w:rPr>
        <w:t>Ajo holds real money belonging to people who have often never held a formal bank account before, so the security model has to protect someone who does not yet know what a breach looks like. That is why several cases here are about explaining a security event in plain language to a member who may be alarmed, rather than only about blocking an attacker.</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648"/>
            <w:shd w:val="clear" w:color="auto" w:fill="0B1F3A"/>
            <w:tcMar>
              <w:top w:w="60" w:type="dxa"/>
              <w:start w:w="110" w:type="dxa"/>
              <w:bottom w:w="60" w:type="dxa"/>
              <w:end w:w="110" w:type="dxa"/>
            </w:tcMar>
          </w:tcPr>
          <w:p>
            <w:pPr>
              <w:spacing w:after="0"/>
            </w:pPr>
            <w:r/>
            <w:r>
              <w:rPr>
                <w:rFonts w:ascii="Calibri" w:hAnsi="Calibri"/>
                <w:b/>
                <w:i w:val="0"/>
                <w:color w:val="FFFFFF"/>
                <w:sz w:val="14"/>
              </w:rPr>
              <w:t>ID</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Trigger</w:t>
            </w:r>
          </w:p>
        </w:tc>
        <w:tc>
          <w:tcPr>
            <w:tcW w:type="dxa" w:w="2088"/>
            <w:shd w:val="clear" w:color="auto" w:fill="0B1F3A"/>
            <w:tcMar>
              <w:top w:w="60" w:type="dxa"/>
              <w:start w:w="110" w:type="dxa"/>
              <w:bottom w:w="60" w:type="dxa"/>
              <w:end w:w="110" w:type="dxa"/>
            </w:tcMar>
          </w:tcPr>
          <w:p>
            <w:pPr>
              <w:spacing w:after="0"/>
            </w:pPr>
            <w:r/>
            <w:r>
              <w:rPr>
                <w:rFonts w:ascii="Calibri" w:hAnsi="Calibri"/>
                <w:b/>
                <w:i w:val="0"/>
                <w:color w:val="FFFFFF"/>
                <w:sz w:val="14"/>
              </w:rPr>
              <w:t>System behaviour</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4"/>
              </w:rPr>
              <w:t>User experience</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4"/>
              </w:rPr>
              <w:t>Recovery mechanism</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Logging requirement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EC-107</w:t>
            </w:r>
          </w:p>
        </w:tc>
        <w:tc>
          <w:tcPr>
            <w:tcW w:type="dxa" w:w="1656"/>
            <w:tcMar>
              <w:top w:w="60" w:type="dxa"/>
              <w:start w:w="110" w:type="dxa"/>
              <w:bottom w:w="60" w:type="dxa"/>
              <w:end w:w="110" w:type="dxa"/>
            </w:tcMar>
          </w:tcPr>
          <w:p>
            <w:pPr>
              <w:spacing w:after="0"/>
            </w:pPr>
            <w:r/>
            <w:r>
              <w:rPr>
                <w:rFonts w:ascii="Calibri" w:hAnsi="Calibri"/>
                <w:b w:val="0"/>
                <w:i w:val="0"/>
                <w:color w:val="101828"/>
                <w:sz w:val="14"/>
              </w:rPr>
              <w:t>An attacker resets a member's password using the member's own email account.</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reset link is single-use and short-lived, and completing a reset revokes every other session and notifies the member on a separate channel with the device and location of the new sign-in. A password reset is treated as a security event, not as account maintenance.</w:t>
            </w:r>
          </w:p>
        </w:tc>
        <w:tc>
          <w:tcPr>
            <w:tcW w:type="dxa" w:w="1728"/>
            <w:tcMar>
              <w:top w:w="60" w:type="dxa"/>
              <w:start w:w="110" w:type="dxa"/>
              <w:bottom w:w="60" w:type="dxa"/>
              <w:end w:w="110" w:type="dxa"/>
            </w:tcMar>
          </w:tcPr>
          <w:p>
            <w:pPr>
              <w:spacing w:after="0"/>
            </w:pPr>
            <w:r/>
            <w:r>
              <w:rPr>
                <w:rFonts w:ascii="Calibri" w:hAnsi="Calibri"/>
                <w:i/>
                <w:color w:val="101828"/>
                <w:sz w:val="14"/>
              </w:rPr>
              <w:t>Your password was changed and we have signed out your other devices. If this was not you, tell us now and we will secure the account and your Ajos.</w:t>
            </w:r>
          </w:p>
        </w:tc>
        <w:tc>
          <w:tcPr>
            <w:tcW w:type="dxa" w:w="1584"/>
            <w:tcMar>
              <w:top w:w="60" w:type="dxa"/>
              <w:start w:w="110" w:type="dxa"/>
              <w:bottom w:w="60" w:type="dxa"/>
              <w:end w:w="110" w:type="dxa"/>
            </w:tcMar>
          </w:tcPr>
          <w:p>
            <w:pPr>
              <w:spacing w:after="0"/>
            </w:pPr>
            <w:r/>
            <w:r>
              <w:rPr>
                <w:rFonts w:ascii="Calibri" w:hAnsi="Calibri"/>
                <w:b w:val="0"/>
                <w:i w:val="0"/>
                <w:color w:val="101828"/>
                <w:sz w:val="14"/>
              </w:rPr>
              <w:t xml:space="preserve">The member reclaims the account, and </w:t>
            </w:r>
            <w:r>
              <w:rPr>
                <w:rFonts w:ascii="Consolas" w:hAnsi="Consolas"/>
                <w:color w:val="146EF5"/>
                <w:sz w:val="14"/>
              </w:rPr>
              <w:t>risk_officer</w:t>
            </w:r>
            <w:r>
              <w:rPr>
                <w:rFonts w:ascii="Calibri" w:hAnsi="Calibri"/>
                <w:b w:val="0"/>
                <w:i w:val="0"/>
                <w:color w:val="101828"/>
                <w:sz w:val="14"/>
              </w:rPr>
              <w:t xml:space="preserve"> reviews the Ajos the account touched while it was under hostile control.</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Reset request and completion with source, IP, device and time; sessions revoked; the review of everything the account did in the exposure window. A reset followed by a payout change is a high-signal sequence.</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EC-108</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member's phone number is re-issued to someone else after a SIM swap, so one-time codes arrive at the wrong person.</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One-time codes are bound to the session and the device that requested them, are single-use, and expire quickly. A code that arrives at a new number for a new device is a signal: the account is put into a monitored state and the member is not silently logged out of a payment they were in the middle of.</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Your number was changed at your network. We noticed. Confirm it was you to keep paying, or tell us and we will help you get back in.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Alternative verification, or in-person support with identity verification.</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New-number detection with the change source, the affected flows, and the resolution. SIM swap is a known Nigerian fraud pattern, so it is modelled rather than assumed away.</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EC-109</w:t>
            </w:r>
          </w:p>
        </w:tc>
        <w:tc>
          <w:tcPr>
            <w:tcW w:type="dxa" w:w="1656"/>
            <w:tcMar>
              <w:top w:w="60" w:type="dxa"/>
              <w:start w:w="110" w:type="dxa"/>
              <w:bottom w:w="60" w:type="dxa"/>
              <w:end w:w="110" w:type="dxa"/>
            </w:tcMar>
          </w:tcPr>
          <w:p>
            <w:pPr>
              <w:spacing w:after="0"/>
            </w:pPr>
            <w:r/>
            <w:r>
              <w:rPr>
                <w:rFonts w:ascii="Calibri" w:hAnsi="Calibri"/>
                <w:b w:val="0"/>
                <w:i w:val="0"/>
                <w:color w:val="101828"/>
                <w:sz w:val="14"/>
              </w:rPr>
              <w:t>Credential stuffing or brute force against a member account.</w:t>
            </w:r>
          </w:p>
        </w:tc>
        <w:tc>
          <w:tcPr>
            <w:tcW w:type="dxa" w:w="2088"/>
            <w:tcMar>
              <w:top w:w="60" w:type="dxa"/>
              <w:start w:w="110" w:type="dxa"/>
              <w:bottom w:w="60" w:type="dxa"/>
              <w:end w:w="110" w:type="dxa"/>
            </w:tcMar>
          </w:tcPr>
          <w:p>
            <w:pPr>
              <w:spacing w:after="0"/>
            </w:pPr>
            <w:r/>
            <w:r>
              <w:rPr>
                <w:rFonts w:ascii="Calibri" w:hAnsi="Calibri"/>
                <w:b w:val="0"/>
                <w:i w:val="0"/>
                <w:color w:val="101828"/>
                <w:sz w:val="14"/>
              </w:rPr>
              <w:t>Rate-limited by account and by network, with progressive backoff, and no distinction between failure messages that would reveal whether an account exists. A sustained attack triggers an account-protection step that does not lock a legitimate member out of their own money.</w:t>
            </w:r>
          </w:p>
        </w:tc>
        <w:tc>
          <w:tcPr>
            <w:tcW w:type="dxa" w:w="1728"/>
            <w:tcMar>
              <w:top w:w="60" w:type="dxa"/>
              <w:start w:w="110" w:type="dxa"/>
              <w:bottom w:w="60" w:type="dxa"/>
              <w:end w:w="110" w:type="dxa"/>
            </w:tcMar>
          </w:tcPr>
          <w:p>
            <w:pPr>
              <w:spacing w:after="0"/>
            </w:pPr>
            <w:r/>
            <w:r>
              <w:rPr>
                <w:rFonts w:ascii="Calibri" w:hAnsi="Calibri"/>
                <w:i/>
                <w:color w:val="101828"/>
                <w:sz w:val="14"/>
              </w:rPr>
              <w:t>We are protecting your account. We have asked you to confirm it is you.</w:t>
            </w:r>
          </w:p>
        </w:tc>
        <w:tc>
          <w:tcPr>
            <w:tcW w:type="dxa" w:w="1584"/>
            <w:tcMar>
              <w:top w:w="60" w:type="dxa"/>
              <w:start w:w="110" w:type="dxa"/>
              <w:bottom w:w="60" w:type="dxa"/>
              <w:end w:w="110" w:type="dxa"/>
            </w:tcMar>
          </w:tcPr>
          <w:p>
            <w:pPr>
              <w:spacing w:after="0"/>
            </w:pPr>
            <w:r/>
            <w:r>
              <w:rPr>
                <w:rFonts w:ascii="Calibri" w:hAnsi="Calibri"/>
                <w:b w:val="0"/>
                <w:i w:val="0"/>
                <w:color w:val="101828"/>
                <w:sz w:val="14"/>
              </w:rPr>
              <w:t>Identity verification to restore access; support can assist a member who is locked out of funds they can see.</w:t>
            </w:r>
          </w:p>
        </w:tc>
        <w:tc>
          <w:tcPr>
            <w:tcW w:type="dxa" w:w="1656"/>
            <w:tcMar>
              <w:top w:w="60" w:type="dxa"/>
              <w:start w:w="110" w:type="dxa"/>
              <w:bottom w:w="60" w:type="dxa"/>
              <w:end w:w="110" w:type="dxa"/>
            </w:tcMar>
          </w:tcPr>
          <w:p>
            <w:pPr>
              <w:spacing w:after="0"/>
            </w:pPr>
            <w:r/>
            <w:r>
              <w:rPr>
                <w:rFonts w:ascii="Calibri" w:hAnsi="Calibri"/>
                <w:b w:val="0"/>
                <w:i w:val="0"/>
                <w:color w:val="101828"/>
                <w:sz w:val="14"/>
              </w:rPr>
              <w:t>Failed attempts with source and pattern. A blocked account that holds funds is always reviewed by a human, because an overzealous lock that strands someone's money is its own harm.</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EC-110</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session token is stolen and replayed after the member has logged out.</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Logout revokes the session server-side, so a stolen token is dead immediately rather than until natural expiry. Refresh tokens are rotated on use, and reuse of a rotated token revokes the whole family as a probable theft.</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member's logout actually works, which is the entire point of having one.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Re-authentication.</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Token family reuse detections with the session chain. This is a standard control with a non-standard consequence here, because the session holds access to real money.</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EC-111</w:t>
            </w:r>
          </w:p>
        </w:tc>
        <w:tc>
          <w:tcPr>
            <w:tcW w:type="dxa" w:w="1656"/>
            <w:tcMar>
              <w:top w:w="60" w:type="dxa"/>
              <w:start w:w="110" w:type="dxa"/>
              <w:bottom w:w="60" w:type="dxa"/>
              <w:end w:w="110" w:type="dxa"/>
            </w:tcMar>
          </w:tcPr>
          <w:p>
            <w:pPr>
              <w:spacing w:after="0"/>
            </w:pPr>
            <w:r/>
            <w:r>
              <w:rPr>
                <w:rFonts w:ascii="Calibri" w:hAnsi="Calibri"/>
                <w:b w:val="0"/>
                <w:i w:val="0"/>
                <w:color w:val="101828"/>
                <w:sz w:val="14"/>
              </w:rPr>
              <w:t>An identity document is uploaded that belongs to someone else, or is a photograph of a photograph, or is unreadable.</w:t>
            </w:r>
          </w:p>
        </w:tc>
        <w:tc>
          <w:tcPr>
            <w:tcW w:type="dxa" w:w="2088"/>
            <w:tcMar>
              <w:top w:w="60" w:type="dxa"/>
              <w:start w:w="110" w:type="dxa"/>
              <w:bottom w:w="60" w:type="dxa"/>
              <w:end w:w="110" w:type="dxa"/>
            </w:tcMar>
          </w:tcPr>
          <w:p>
            <w:pPr>
              <w:spacing w:after="0"/>
            </w:pPr>
            <w:r/>
            <w:r>
              <w:rPr>
                <w:rFonts w:ascii="Calibri" w:hAnsi="Calibri"/>
                <w:b w:val="0"/>
                <w:i w:val="0"/>
                <w:color w:val="101828"/>
                <w:sz w:val="14"/>
              </w:rPr>
              <w:t xml:space="preserve">The check is failed closed and the case goes to a human reviewer. Verification is not a formality that can be passed by a convincing image, and mandatory versus threshold-based verification remains open decision </w:t>
            </w:r>
            <w:r>
              <w:rPr>
                <w:rFonts w:ascii="Calibri" w:hAnsi="Calibri"/>
                <w:b/>
                <w:color w:val="101828"/>
                <w:sz w:val="14"/>
              </w:rPr>
              <w:t>D-04</w:t>
            </w:r>
            <w:r>
              <w:rPr>
                <w:rFonts w:ascii="Calibri" w:hAnsi="Calibri"/>
                <w:b w:val="0"/>
                <w:i w:val="0"/>
                <w:color w:val="101828"/>
                <w:sz w:val="14"/>
              </w:rPr>
              <w:t xml:space="preserve"> so the policy is stated as pending, not as settled.</w:t>
            </w:r>
          </w:p>
        </w:tc>
        <w:tc>
          <w:tcPr>
            <w:tcW w:type="dxa" w:w="1728"/>
            <w:tcMar>
              <w:top w:w="60" w:type="dxa"/>
              <w:start w:w="110" w:type="dxa"/>
              <w:bottom w:w="60" w:type="dxa"/>
              <w:end w:w="110" w:type="dxa"/>
            </w:tcMar>
          </w:tcPr>
          <w:p>
            <w:pPr>
              <w:spacing w:after="0"/>
            </w:pPr>
            <w:r/>
            <w:r>
              <w:rPr>
                <w:rFonts w:ascii="Calibri" w:hAnsi="Calibri"/>
                <w:i/>
                <w:color w:val="101828"/>
                <w:sz w:val="14"/>
              </w:rPr>
              <w:t>We could not confirm your identity from that document. Try again, or we will review it another way - here is what we need.</w:t>
            </w:r>
          </w:p>
        </w:tc>
        <w:tc>
          <w:tcPr>
            <w:tcW w:type="dxa" w:w="1584"/>
            <w:tcMar>
              <w:top w:w="60" w:type="dxa"/>
              <w:start w:w="110" w:type="dxa"/>
              <w:bottom w:w="60" w:type="dxa"/>
              <w:end w:w="110" w:type="dxa"/>
            </w:tcMar>
          </w:tcPr>
          <w:p>
            <w:pPr>
              <w:spacing w:after="0"/>
            </w:pPr>
            <w:r/>
            <w:r>
              <w:rPr>
                <w:rFonts w:ascii="Calibri" w:hAnsi="Calibri"/>
                <w:b w:val="0"/>
                <w:i w:val="0"/>
                <w:color w:val="101828"/>
                <w:sz w:val="14"/>
              </w:rPr>
              <w:t>Resubmission with clearer guidance, or manual review, or an alternative route so a member is never permanently stuck without a way to participate.</w:t>
            </w:r>
          </w:p>
        </w:tc>
        <w:tc>
          <w:tcPr>
            <w:tcW w:type="dxa" w:w="1656"/>
            <w:tcMar>
              <w:top w:w="60" w:type="dxa"/>
              <w:start w:w="110" w:type="dxa"/>
              <w:bottom w:w="60" w:type="dxa"/>
              <w:end w:w="110" w:type="dxa"/>
            </w:tcMar>
          </w:tcPr>
          <w:p>
            <w:pPr>
              <w:spacing w:after="0"/>
            </w:pPr>
            <w:r/>
            <w:r>
              <w:rPr>
                <w:rFonts w:ascii="Calibri" w:hAnsi="Calibri"/>
                <w:b w:val="0"/>
                <w:i w:val="0"/>
                <w:color w:val="101828"/>
                <w:sz w:val="14"/>
              </w:rPr>
              <w:t>Document hash, check result, reviewer, decision and reason. Documents are retained for a defined period and then deleted; that period is a stated policy, not an unbounded archive.</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EC-112</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An organizer uses the members view to harvest phone numbers or identity documents for unrelated purposes.</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Organizers see what they need to run the Ajo and no more. Identity documents are never exposed to organizers at all, and member contact details are shown only where the Ajo genuinely requires coordination.</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Your number is shared with the organiser of this Ajo so the round can run, and with nobody else.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Report and revoke, with a recorded case.</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 to member data logged per request with purpose, and an unusual-volume alert on the members endpoints. Organizer access to a large member list is a standard abuse pattern.</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EC-113</w:t>
            </w:r>
          </w:p>
        </w:tc>
        <w:tc>
          <w:tcPr>
            <w:tcW w:type="dxa" w:w="1656"/>
            <w:tcMar>
              <w:top w:w="60" w:type="dxa"/>
              <w:start w:w="110" w:type="dxa"/>
              <w:bottom w:w="60" w:type="dxa"/>
              <w:end w:w="110" w:type="dxa"/>
            </w:tcMar>
          </w:tcPr>
          <w:p>
            <w:pPr>
              <w:spacing w:after="0"/>
            </w:pPr>
            <w:r/>
            <w:r>
              <w:rPr>
                <w:rFonts w:ascii="Calibri" w:hAnsi="Calibri"/>
                <w:b w:val="0"/>
                <w:i w:val="0"/>
                <w:color w:val="101828"/>
                <w:sz w:val="14"/>
              </w:rPr>
              <w:t>An admin browses user records without a legitimate purpose, or exports them in bulk.</w:t>
            </w:r>
          </w:p>
        </w:tc>
        <w:tc>
          <w:tcPr>
            <w:tcW w:type="dxa" w:w="2088"/>
            <w:tcMar>
              <w:top w:w="60" w:type="dxa"/>
              <w:start w:w="110" w:type="dxa"/>
              <w:bottom w:w="60" w:type="dxa"/>
              <w:end w:w="110" w:type="dxa"/>
            </w:tcMar>
          </w:tcPr>
          <w:p>
            <w:pPr>
              <w:spacing w:after="0"/>
            </w:pPr>
            <w:r/>
            <w:r>
              <w:rPr>
                <w:rFonts w:ascii="Calibri" w:hAnsi="Calibri"/>
                <w:b w:val="0"/>
                <w:i w:val="0"/>
                <w:color w:val="101828"/>
                <w:sz w:val="14"/>
              </w:rPr>
              <w:t xml:space="preserve">Admin access is role-scoped and purpose-scoped, with bulk export disabled by default and enabled only by </w:t>
            </w:r>
            <w:r>
              <w:rPr>
                <w:rFonts w:ascii="Consolas" w:hAnsi="Consolas"/>
                <w:color w:val="146EF5"/>
                <w:sz w:val="14"/>
              </w:rPr>
              <w:t>super_admin</w:t>
            </w:r>
            <w:r>
              <w:rPr>
                <w:rFonts w:ascii="Calibri" w:hAnsi="Calibri"/>
                <w:b w:val="0"/>
                <w:i w:val="0"/>
                <w:color w:val="101828"/>
                <w:sz w:val="14"/>
              </w:rPr>
              <w:t xml:space="preserve"> with a recorded reason. Support sees what is needed to answer the question in front of them.</w:t>
            </w:r>
          </w:p>
        </w:tc>
        <w:tc>
          <w:tcPr>
            <w:tcW w:type="dxa" w:w="1728"/>
            <w:tcMar>
              <w:top w:w="60" w:type="dxa"/>
              <w:start w:w="110" w:type="dxa"/>
              <w:bottom w:w="60" w:type="dxa"/>
              <w:end w:w="110" w:type="dxa"/>
            </w:tcMar>
          </w:tcPr>
          <w:p>
            <w:pPr>
              <w:spacing w:after="0"/>
            </w:pPr>
            <w:r/>
            <w:r>
              <w:rPr>
                <w:rFonts w:ascii="Calibri" w:hAnsi="Calibri"/>
                <w:b w:val="0"/>
                <w:i w:val="0"/>
                <w:color w:val="101828"/>
                <w:sz w:val="14"/>
              </w:rPr>
              <w:t>Not applicable; this is an internal control.</w:t>
            </w:r>
          </w:p>
        </w:tc>
        <w:tc>
          <w:tcPr>
            <w:tcW w:type="dxa" w:w="1584"/>
            <w:tcMar>
              <w:top w:w="60" w:type="dxa"/>
              <w:start w:w="110" w:type="dxa"/>
              <w:bottom w:w="60" w:type="dxa"/>
              <w:end w:w="110" w:type="dxa"/>
            </w:tcMar>
          </w:tcPr>
          <w:p>
            <w:pPr>
              <w:spacing w:after="0"/>
            </w:pPr>
            <w:r/>
            <w:r>
              <w:rPr>
                <w:rFonts w:ascii="Calibri" w:hAnsi="Calibri"/>
                <w:b w:val="0"/>
                <w:i w:val="0"/>
                <w:color w:val="101828"/>
                <w:sz w:val="14"/>
              </w:rPr>
              <w:t>Revocation of the access and review of what was read.</w:t>
            </w:r>
          </w:p>
        </w:tc>
        <w:tc>
          <w:tcPr>
            <w:tcW w:type="dxa" w:w="1656"/>
            <w:tcMar>
              <w:top w:w="60" w:type="dxa"/>
              <w:start w:w="110" w:type="dxa"/>
              <w:bottom w:w="60" w:type="dxa"/>
              <w:end w:w="110" w:type="dxa"/>
            </w:tcMar>
          </w:tcPr>
          <w:p>
            <w:pPr>
              <w:spacing w:after="0"/>
            </w:pPr>
            <w:r/>
            <w:r>
              <w:rPr>
                <w:rFonts w:ascii="Calibri" w:hAnsi="Calibri"/>
                <w:b w:val="0"/>
                <w:i w:val="0"/>
                <w:color w:val="101828"/>
                <w:sz w:val="14"/>
              </w:rPr>
              <w:t>Every administrative read and export retained with actor, role, scope and reason. Admin logs are readable by all admin roles and writable by none, so the trail cannot be edited by the person it describes.</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EC-114</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An unauthenticated or incorrectly scoped endpoint exposes member or financial data, for example a receipt endpoint that trusts an id alone.</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Every endpoint is authenticated and object-scoped, and receipts are served to the payment's owner and to authorised staff only. Unauthenticated surfaces exist exactly where the canonical API says they do, and that is the payment webhook.</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member's receipt is not something a stranger with a guessed id can read.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Revocation of the exposure, notification if data was accessed, and a fix plus a regression test.</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Access-denied and 4xx/5xx patterns by endpoint retained. A public exposure of financial data is a Sev-1 with a notification obligation, and that obligation is assessed immediately rather than at legal review.</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EC-115</w:t>
            </w:r>
          </w:p>
        </w:tc>
        <w:tc>
          <w:tcPr>
            <w:tcW w:type="dxa" w:w="1656"/>
            <w:tcMar>
              <w:top w:w="60" w:type="dxa"/>
              <w:start w:w="110" w:type="dxa"/>
              <w:bottom w:w="60" w:type="dxa"/>
              <w:end w:w="110" w:type="dxa"/>
            </w:tcMar>
          </w:tcPr>
          <w:p>
            <w:pPr>
              <w:spacing w:after="0"/>
            </w:pPr>
            <w:r/>
            <w:r>
              <w:rPr>
                <w:rFonts w:ascii="Calibri" w:hAnsi="Calibri"/>
                <w:b w:val="0"/>
                <w:i w:val="0"/>
                <w:color w:val="101828"/>
                <w:sz w:val="14"/>
              </w:rPr>
              <w:t>Sensitive data lands in application logs: a full phone number, an identity document, a token or a provider secret.</w:t>
            </w:r>
          </w:p>
        </w:tc>
        <w:tc>
          <w:tcPr>
            <w:tcW w:type="dxa" w:w="2088"/>
            <w:tcMar>
              <w:top w:w="60" w:type="dxa"/>
              <w:start w:w="110" w:type="dxa"/>
              <w:bottom w:w="60" w:type="dxa"/>
              <w:end w:w="110" w:type="dxa"/>
            </w:tcMar>
          </w:tcPr>
          <w:p>
            <w:pPr>
              <w:spacing w:after="0"/>
            </w:pPr>
            <w:r/>
            <w:r>
              <w:rPr>
                <w:rFonts w:ascii="Calibri" w:hAnsi="Calibri"/>
                <w:b w:val="0"/>
                <w:i w:val="0"/>
                <w:color w:val="101828"/>
                <w:sz w:val="14"/>
              </w:rPr>
              <w:t>Redaction at the logging layer, not at each call site, with a denylist that fails the build when a new sensitive field is added without redaction. Logs are not a convenient place to keep a copy of a member's data.</w:t>
            </w:r>
          </w:p>
        </w:tc>
        <w:tc>
          <w:tcPr>
            <w:tcW w:type="dxa" w:w="1728"/>
            <w:tcMar>
              <w:top w:w="60" w:type="dxa"/>
              <w:start w:w="110" w:type="dxa"/>
              <w:bottom w:w="60" w:type="dxa"/>
              <w:end w:w="110" w:type="dxa"/>
            </w:tcMar>
          </w:tcPr>
          <w:p>
            <w:pPr>
              <w:spacing w:after="0"/>
            </w:pPr>
            <w:r/>
            <w:r>
              <w:rPr>
                <w:rFonts w:ascii="Calibri" w:hAnsi="Calibri"/>
                <w:b w:val="0"/>
                <w:i w:val="0"/>
                <w:color w:val="101828"/>
                <w:sz w:val="14"/>
              </w:rPr>
              <w:t>Not applicable; this is an internal control.</w:t>
            </w:r>
          </w:p>
        </w:tc>
        <w:tc>
          <w:tcPr>
            <w:tcW w:type="dxa" w:w="1584"/>
            <w:tcMar>
              <w:top w:w="60" w:type="dxa"/>
              <w:start w:w="110" w:type="dxa"/>
              <w:bottom w:w="60" w:type="dxa"/>
              <w:end w:w="110" w:type="dxa"/>
            </w:tcMar>
          </w:tcPr>
          <w:p>
            <w:pPr>
              <w:spacing w:after="0"/>
            </w:pPr>
            <w:r/>
            <w:r>
              <w:rPr>
                <w:rFonts w:ascii="Calibri" w:hAnsi="Calibri"/>
                <w:b w:val="0"/>
                <w:i w:val="0"/>
                <w:color w:val="101828"/>
                <w:sz w:val="14"/>
              </w:rPr>
              <w:t>Rotation of anything exposed, and log scrubbing where retention allows.</w:t>
            </w:r>
          </w:p>
        </w:tc>
        <w:tc>
          <w:tcPr>
            <w:tcW w:type="dxa" w:w="1656"/>
            <w:tcMar>
              <w:top w:w="60" w:type="dxa"/>
              <w:start w:w="110" w:type="dxa"/>
              <w:bottom w:w="60" w:type="dxa"/>
              <w:end w:w="110" w:type="dxa"/>
            </w:tcMar>
          </w:tcPr>
          <w:p>
            <w:pPr>
              <w:spacing w:after="0"/>
            </w:pPr>
            <w:r/>
            <w:r>
              <w:rPr>
                <w:rFonts w:ascii="Calibri" w:hAnsi="Calibri"/>
                <w:b w:val="0"/>
                <w:i w:val="0"/>
                <w:color w:val="101828"/>
                <w:sz w:val="14"/>
              </w:rPr>
              <w:t>Log content is itself audited, and any occurrence of a denylisted field in a log is an alert rather than a curiosity.</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EC-116</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hands their unlocked phone to another person, who views their Ajos or initiates a payment.</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Sensitive actions require re-authentication, and payment initiation always shows the amount, the fee and the total before anything is charged, so a second pair of hands on the phone cannot commit an invisible amount. Biometric or PIN confirmation guards payment initiation.</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Even with someone's phone in their hands, the amount is shown, confirmed and recorded before money moves.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Reversal through the normal refund path, and instant revocation of the other device's session.</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New-device and re-authentication events. Shared-device use is common and not inherently malicious, so the control is friction at the money moment rather than a refusal to let anyone use the phone.</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EC-117</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member and an organizer collude, for example to claim a position and collect a payout that the rest of the group expected someone else to receive.</w:t>
            </w:r>
          </w:p>
        </w:tc>
        <w:tc>
          <w:tcPr>
            <w:tcW w:type="dxa" w:w="2088"/>
            <w:tcMar>
              <w:top w:w="60" w:type="dxa"/>
              <w:start w:w="110" w:type="dxa"/>
              <w:bottom w:w="60" w:type="dxa"/>
              <w:end w:w="110" w:type="dxa"/>
            </w:tcMar>
          </w:tcPr>
          <w:p>
            <w:pPr>
              <w:spacing w:after="0"/>
            </w:pPr>
            <w:r/>
            <w:r>
              <w:rPr>
                <w:rFonts w:ascii="Calibri" w:hAnsi="Calibri"/>
                <w:b w:val="0"/>
                <w:i w:val="0"/>
                <w:color w:val="101828"/>
                <w:sz w:val="14"/>
              </w:rPr>
              <w:t>Pattern detection rather than proof: linked accounts, repeated invitation flows between the same people, position claims that contradict typical behaviour. A flagged case may be frozen with a recorded reason and a member-facing notification, never silently delayed.</w:t>
            </w:r>
          </w:p>
        </w:tc>
        <w:tc>
          <w:tcPr>
            <w:tcW w:type="dxa" w:w="1728"/>
            <w:tcMar>
              <w:top w:w="60" w:type="dxa"/>
              <w:start w:w="110" w:type="dxa"/>
              <w:bottom w:w="60" w:type="dxa"/>
              <w:end w:w="110" w:type="dxa"/>
            </w:tcMar>
          </w:tcPr>
          <w:p>
            <w:pPr>
              <w:spacing w:after="0"/>
            </w:pPr>
            <w:r/>
            <w:r>
              <w:rPr>
                <w:rFonts w:ascii="Calibri" w:hAnsi="Calibri"/>
                <w:i/>
                <w:color w:val="101828"/>
                <w:sz w:val="14"/>
              </w:rPr>
              <w:t>This Ajo is paused while we confirm a detail. Your position and your money are intact.</w:t>
            </w:r>
          </w:p>
        </w:tc>
        <w:tc>
          <w:tcPr>
            <w:tcW w:type="dxa" w:w="1584"/>
            <w:tcMar>
              <w:top w:w="60" w:type="dxa"/>
              <w:start w:w="110" w:type="dxa"/>
              <w:bottom w:w="60" w:type="dxa"/>
              <w:end w:w="110" w:type="dxa"/>
            </w:tcMar>
          </w:tcPr>
          <w:p>
            <w:pPr>
              <w:spacing w:after="0"/>
            </w:pPr>
            <w:r/>
            <w:r>
              <w:rPr>
                <w:rFonts w:ascii="Consolas" w:hAnsi="Consolas"/>
                <w:color w:val="146EF5"/>
                <w:sz w:val="14"/>
              </w:rPr>
              <w:t>risk_officer</w:t>
            </w:r>
            <w:r>
              <w:rPr>
                <w:rFonts w:ascii="Calibri" w:hAnsi="Calibri"/>
                <w:b w:val="0"/>
                <w:i w:val="0"/>
                <w:color w:val="101828"/>
                <w:sz w:val="14"/>
              </w:rPr>
              <w:t xml:space="preserve"> decision with a reason code, appealable through a dispute.</w:t>
            </w:r>
          </w:p>
        </w:tc>
        <w:tc>
          <w:tcPr>
            <w:tcW w:type="dxa" w:w="1656"/>
            <w:tcMar>
              <w:top w:w="60" w:type="dxa"/>
              <w:start w:w="110" w:type="dxa"/>
              <w:bottom w:w="60" w:type="dxa"/>
              <w:end w:w="110" w:type="dxa"/>
            </w:tcMar>
          </w:tcPr>
          <w:p>
            <w:pPr>
              <w:spacing w:after="0"/>
            </w:pPr>
            <w:r/>
            <w:r>
              <w:rPr>
                <w:rFonts w:ascii="Calibri" w:hAnsi="Calibri"/>
                <w:b w:val="0"/>
                <w:i w:val="0"/>
                <w:color w:val="101828"/>
                <w:sz w:val="14"/>
              </w:rPr>
              <w:t>Risk events with the signals that fired, the decision, the rationale and the outcome. A freeze imposed without notifying the members would breach the no-hidden-payout-failure rule, so the notification is part of the control.</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EC-118</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requests deletion of their account and data while they hold money in an active Ajo, or outstanding obligations.</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Deletion is refused while any obligation, held payout or open dispute exists, and the member is told exactly what stands in the way and what would release it. Financial records are retained for the period the law and the provider arrangement require; the retention rule is a stated policy, not a permanent archive by default.</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You cannot close your account while you are in an active Ajo. Finish the round, or ask us about replacing your position, and we will help.</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Position replacement, then deletion once nothing is outstanding.</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Deletion requests, refusals with the blocking reason, and the retention clock. A refusal to delete is a decision we owe the member an explanation for.</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EC-119</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registration is attempted with an email or phone number that already belongs to an account.</w:t>
            </w:r>
          </w:p>
        </w:tc>
        <w:tc>
          <w:tcPr>
            <w:tcW w:type="dxa" w:w="2088"/>
            <w:tcMar>
              <w:top w:w="60" w:type="dxa"/>
              <w:start w:w="110" w:type="dxa"/>
              <w:bottom w:w="60" w:type="dxa"/>
              <w:end w:w="110" w:type="dxa"/>
            </w:tcMar>
          </w:tcPr>
          <w:p>
            <w:pPr>
              <w:spacing w:after="0"/>
            </w:pPr>
            <w:r/>
            <w:r>
              <w:rPr>
                <w:rFonts w:ascii="Calibri" w:hAnsi="Calibri"/>
                <w:b w:val="0"/>
                <w:i w:val="0"/>
                <w:color w:val="101828"/>
                <w:sz w:val="14"/>
              </w:rPr>
              <w:t>Refused with a single message that does not reveal whether it was the email or the phone that matched. One identity takes one account (BR-030); AJO.ng does not run a second account on the same person, and does not offer to take over the existing one by email, which is the standard account-takeover path.</w:t>
            </w:r>
          </w:p>
        </w:tc>
        <w:tc>
          <w:tcPr>
            <w:tcW w:type="dxa" w:w="1728"/>
            <w:tcMar>
              <w:top w:w="60" w:type="dxa"/>
              <w:start w:w="110" w:type="dxa"/>
              <w:bottom w:w="60" w:type="dxa"/>
              <w:end w:w="110" w:type="dxa"/>
            </w:tcMar>
          </w:tcPr>
          <w:p>
            <w:pPr>
              <w:spacing w:after="0"/>
            </w:pPr>
            <w:r/>
            <w:r>
              <w:rPr>
                <w:rFonts w:ascii="Calibri" w:hAnsi="Calibri"/>
                <w:i/>
                <w:color w:val="101828"/>
                <w:sz w:val="14"/>
              </w:rPr>
              <w:t>That number or email is already registered. Try signing in, or contact us if it is not you.</w:t>
            </w:r>
          </w:p>
        </w:tc>
        <w:tc>
          <w:tcPr>
            <w:tcW w:type="dxa" w:w="1584"/>
            <w:tcMar>
              <w:top w:w="60" w:type="dxa"/>
              <w:start w:w="110" w:type="dxa"/>
              <w:bottom w:w="60" w:type="dxa"/>
              <w:end w:w="110" w:type="dxa"/>
            </w:tcMar>
          </w:tcPr>
          <w:p>
            <w:pPr>
              <w:spacing w:after="0"/>
            </w:pPr>
            <w:r/>
            <w:r>
              <w:rPr>
                <w:rFonts w:ascii="Calibri" w:hAnsi="Calibri"/>
                <w:b w:val="0"/>
                <w:i w:val="0"/>
                <w:color w:val="101828"/>
                <w:sz w:val="14"/>
              </w:rPr>
              <w:t>Sign in, or support-assisted recovery with verification.</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refusal, the source, and any attempt count against the address. Probing for whether an identity is registered is itself recorded.</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EC-120</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Registration is completed on a public or shared device, such as a cyber cafe or a borrowed phone.</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account is usable, but the session is treated as untrusted: sensitive actions require re-authentication, and the device is not silently trusted for later money movement. The member is told the device is remembered and how to remove it.</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You signed in on a shared device. You can sign out of it here at any time.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Session revocation from the security screen, which the member can reach without support.</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Device fingerprint and trust state with each session. Shared-device use is common and not malicious, so the control is friction at the money moment.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EC-121</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email verification link is not clicked within its validity window.</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link expires and a new one is issued on request. No account is created by an unverified address, and the member is not left with a half-state they cannot see; the app tells them what is outstanding and what to do.</w:t>
            </w:r>
          </w:p>
        </w:tc>
        <w:tc>
          <w:tcPr>
            <w:tcW w:type="dxa" w:w="1728"/>
            <w:tcMar>
              <w:top w:w="60" w:type="dxa"/>
              <w:start w:w="110" w:type="dxa"/>
              <w:bottom w:w="60" w:type="dxa"/>
              <w:end w:w="110" w:type="dxa"/>
            </w:tcMar>
          </w:tcPr>
          <w:p>
            <w:pPr>
              <w:spacing w:after="0"/>
            </w:pPr>
            <w:r/>
            <w:r>
              <w:rPr>
                <w:rFonts w:ascii="Calibri" w:hAnsi="Calibri"/>
                <w:i/>
                <w:color w:val="101828"/>
                <w:sz w:val="14"/>
              </w:rPr>
              <w:t>That link has expired. We have sent you a new one - check your email.</w:t>
            </w:r>
          </w:p>
        </w:tc>
        <w:tc>
          <w:tcPr>
            <w:tcW w:type="dxa" w:w="1584"/>
            <w:tcMar>
              <w:top w:w="60" w:type="dxa"/>
              <w:start w:w="110" w:type="dxa"/>
              <w:bottom w:w="60" w:type="dxa"/>
              <w:end w:w="110" w:type="dxa"/>
            </w:tcMar>
          </w:tcPr>
          <w:p>
            <w:pPr>
              <w:spacing w:after="0"/>
            </w:pPr>
            <w:r/>
            <w:r>
              <w:rPr>
                <w:rFonts w:ascii="Calibri" w:hAnsi="Calibri"/>
                <w:b w:val="0"/>
                <w:i w:val="0"/>
                <w:color w:val="101828"/>
                <w:sz w:val="14"/>
              </w:rPr>
              <w:t>Resend, then an alternative verification route if email is not usable.</w:t>
            </w:r>
          </w:p>
        </w:tc>
        <w:tc>
          <w:tcPr>
            <w:tcW w:type="dxa" w:w="1656"/>
            <w:tcMar>
              <w:top w:w="60" w:type="dxa"/>
              <w:start w:w="110" w:type="dxa"/>
              <w:bottom w:w="60" w:type="dxa"/>
              <w:end w:w="110" w:type="dxa"/>
            </w:tcMar>
          </w:tcPr>
          <w:p>
            <w:pPr>
              <w:spacing w:after="0"/>
            </w:pPr>
            <w:r/>
            <w:r>
              <w:rPr>
                <w:rFonts w:ascii="Calibri" w:hAnsi="Calibri"/>
                <w:b w:val="0"/>
                <w:i w:val="0"/>
                <w:color w:val="101828"/>
                <w:sz w:val="14"/>
              </w:rPr>
              <w:t>Issue, expiry and resend counts. A member repeatedly unable to complete verification is an onboarding defect and is measured as one.</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EC-122</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user abandons onboarding part-way through, after an account exists but verification is incomplete.</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account exists but cannot join an Ajo or hold a position, because membership requires verification. It is not deleted, and it is not counted as a member. The user can return to the same point and continue.</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Your account is saved. Finish verifying and you can join an Ajo.</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Resume, or account deletion through the same path a fully verified member would use.</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Incomplete accounts with their age. A large number of accounts stuck at one step is a design problem with that step, not a user problem.</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EC-123</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user is identified as a minor, or as acting on someone else's behalf.</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account is not used to open or hold a position. A minor's account is treated as a supervised account with no financial commitments of its own, and someone acting for another person is routed through the invitation path, because AJO.ng has no power of attorney and will not pretend to.</w:t>
            </w:r>
          </w:p>
        </w:tc>
        <w:tc>
          <w:tcPr>
            <w:tcW w:type="dxa" w:w="1728"/>
            <w:tcMar>
              <w:top w:w="60" w:type="dxa"/>
              <w:start w:w="110" w:type="dxa"/>
              <w:bottom w:w="60" w:type="dxa"/>
              <w:end w:w="110" w:type="dxa"/>
            </w:tcMar>
          </w:tcPr>
          <w:p>
            <w:pPr>
              <w:spacing w:after="0"/>
            </w:pPr>
            <w:r/>
            <w:r>
              <w:rPr>
                <w:rFonts w:ascii="Calibri" w:hAnsi="Calibri"/>
                <w:i/>
                <w:color w:val="101828"/>
                <w:sz w:val="14"/>
              </w:rPr>
              <w:t>AJO.ng is for adults acting for themselves. If this is for someone else, ask their organiser for an invitation.</w:t>
            </w:r>
          </w:p>
        </w:tc>
        <w:tc>
          <w:tcPr>
            <w:tcW w:type="dxa" w:w="1584"/>
            <w:tcMar>
              <w:top w:w="60" w:type="dxa"/>
              <w:start w:w="110" w:type="dxa"/>
              <w:bottom w:w="60" w:type="dxa"/>
              <w:end w:w="110" w:type="dxa"/>
            </w:tcMar>
          </w:tcPr>
          <w:p>
            <w:pPr>
              <w:spacing w:after="0"/>
            </w:pPr>
            <w:r/>
            <w:r>
              <w:rPr>
                <w:rFonts w:ascii="Calibri" w:hAnsi="Calibri"/>
                <w:b w:val="0"/>
                <w:i w:val="0"/>
                <w:color w:val="101828"/>
                <w:sz w:val="14"/>
              </w:rPr>
              <w:t>The invitation path, or a supervised account with an adult.</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determination and the route taken. Age verification thresholds are part of D-04 and are not invented here.</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EC-124</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An invitation token has expired.</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Acceptance is refused and the invitation itself is not consumed, so the organiser still holds the seat. The message says expired and says who can renew it, because a member should not have to guess whether to chase the organiser or the platform.</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This invitation has expired. Ask the organiser to send a new one.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The organiser resends. A resend never creates a second membership or a second position.</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Token issue, expiry and resend. Resend volume per organiser is a recruitment-health signal.</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EC-125</w:t>
            </w:r>
          </w:p>
        </w:tc>
        <w:tc>
          <w:tcPr>
            <w:tcW w:type="dxa" w:w="1656"/>
            <w:tcMar>
              <w:top w:w="60" w:type="dxa"/>
              <w:start w:w="110" w:type="dxa"/>
              <w:bottom w:w="60" w:type="dxa"/>
              <w:end w:w="110" w:type="dxa"/>
            </w:tcMar>
          </w:tcPr>
          <w:p>
            <w:pPr>
              <w:spacing w:after="0"/>
            </w:pPr>
            <w:r/>
            <w:r>
              <w:rPr>
                <w:rFonts w:ascii="Calibri" w:hAnsi="Calibri"/>
                <w:b w:val="0"/>
                <w:i w:val="0"/>
                <w:color w:val="101828"/>
                <w:sz w:val="14"/>
              </w:rPr>
              <w:t>An invitation token is revoked by the organiser before it is used.</w:t>
            </w:r>
          </w:p>
        </w:tc>
        <w:tc>
          <w:tcPr>
            <w:tcW w:type="dxa" w:w="2088"/>
            <w:tcMar>
              <w:top w:w="60" w:type="dxa"/>
              <w:start w:w="110" w:type="dxa"/>
              <w:bottom w:w="60" w:type="dxa"/>
              <w:end w:w="110" w:type="dxa"/>
            </w:tcMar>
          </w:tcPr>
          <w:p>
            <w:pPr>
              <w:spacing w:after="0"/>
            </w:pPr>
            <w:r/>
            <w:r>
              <w:rPr>
                <w:rFonts w:ascii="Calibri" w:hAnsi="Calibri"/>
                <w:b w:val="0"/>
                <w:i w:val="0"/>
                <w:color w:val="101828"/>
                <w:sz w:val="14"/>
              </w:rPr>
              <w:t>Refused immediately, with no indication of whether the seat is still free. Revocation is a legitimate pre-activation organiser action, and the response reveals nothing that would let a revoked recipient probe the roster.</w:t>
            </w:r>
          </w:p>
        </w:tc>
        <w:tc>
          <w:tcPr>
            <w:tcW w:type="dxa" w:w="1728"/>
            <w:tcMar>
              <w:top w:w="60" w:type="dxa"/>
              <w:start w:w="110" w:type="dxa"/>
              <w:bottom w:w="60" w:type="dxa"/>
              <w:end w:w="110" w:type="dxa"/>
            </w:tcMar>
          </w:tcPr>
          <w:p>
            <w:pPr>
              <w:spacing w:after="0"/>
            </w:pPr>
            <w:r/>
            <w:r>
              <w:rPr>
                <w:rFonts w:ascii="Calibri" w:hAnsi="Calibri"/>
                <w:i/>
                <w:color w:val="101828"/>
                <w:sz w:val="14"/>
              </w:rPr>
              <w:t>This invitation is no longer valid.</w:t>
            </w:r>
          </w:p>
        </w:tc>
        <w:tc>
          <w:tcPr>
            <w:tcW w:type="dxa" w:w="1584"/>
            <w:tcMar>
              <w:top w:w="60" w:type="dxa"/>
              <w:start w:w="110" w:type="dxa"/>
              <w:bottom w:w="60" w:type="dxa"/>
              <w:end w:w="110" w:type="dxa"/>
            </w:tcMar>
          </w:tcPr>
          <w:p>
            <w:pPr>
              <w:spacing w:after="0"/>
            </w:pPr>
            <w:r/>
            <w:r>
              <w:rPr>
                <w:rFonts w:ascii="Calibri" w:hAnsi="Calibri"/>
                <w:b w:val="0"/>
                <w:i w:val="0"/>
                <w:color w:val="101828"/>
                <w:sz w:val="14"/>
              </w:rPr>
              <w:t>Contact the organiser. A member who believes a revocation was not authorised is an account-takeover signal, and support handles it as one.</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Revocation with actor, role and time, and the refused attempt from the token's holder.</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EC-126</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invitee declines the invitation.</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seat reopens within the enrollment window and the decline is recorded without a reason being demanded. The organiser is told the position is open, not why it is open, because a decline is private.</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 xml:space="preserve">To the invitee: </w:t>
            </w:r>
            <w:r>
              <w:rPr>
                <w:rFonts w:ascii="Calibri" w:hAnsi="Calibri"/>
                <w:i/>
                <w:color w:val="101828"/>
                <w:sz w:val="14"/>
              </w:rPr>
              <w:t>No problem - you are not joining. Nothing further is needed.</w:t>
            </w:r>
            <w:r>
              <w:rPr>
                <w:rFonts w:ascii="Calibri" w:hAnsi="Calibri"/>
                <w:b w:val="0"/>
                <w:i w:val="0"/>
                <w:color w:val="101828"/>
                <w:sz w:val="14"/>
              </w:rPr>
              <w:t xml:space="preserve"> To the organiser: </w:t>
            </w:r>
            <w:r>
              <w:rPr>
                <w:rFonts w:ascii="Calibri" w:hAnsi="Calibri"/>
                <w:i/>
                <w:color w:val="101828"/>
                <w:sz w:val="14"/>
              </w:rPr>
              <w:t>One position is open again.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Re-invite if the relationship allows, or the Ajo proceeds without that position.</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Decline with a timestamp and no stored reason. A seat that reopens is the signal the organiser needs; the reason is not the platform's to keep.</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EC-127</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invitee is not verified when they try to accept the invitation.</w:t>
            </w:r>
          </w:p>
        </w:tc>
        <w:tc>
          <w:tcPr>
            <w:tcW w:type="dxa" w:w="2088"/>
            <w:tcMar>
              <w:top w:w="60" w:type="dxa"/>
              <w:start w:w="110" w:type="dxa"/>
              <w:bottom w:w="60" w:type="dxa"/>
              <w:end w:w="110" w:type="dxa"/>
            </w:tcMar>
          </w:tcPr>
          <w:p>
            <w:pPr>
              <w:spacing w:after="0"/>
            </w:pPr>
            <w:r/>
            <w:r>
              <w:rPr>
                <w:rFonts w:ascii="Calibri" w:hAnsi="Calibri"/>
                <w:b w:val="0"/>
                <w:i w:val="0"/>
                <w:color w:val="101828"/>
                <w:sz w:val="14"/>
              </w:rPr>
              <w:t>Refused with the specific missing step named. Acceptance requires a verified email and a verified phone, and identity verification above the configured threshold, which is open decision D-04 and therefore stated as pending rather than assumed either way.</w:t>
            </w:r>
          </w:p>
        </w:tc>
        <w:tc>
          <w:tcPr>
            <w:tcW w:type="dxa" w:w="1728"/>
            <w:tcMar>
              <w:top w:w="60" w:type="dxa"/>
              <w:start w:w="110" w:type="dxa"/>
              <w:bottom w:w="60" w:type="dxa"/>
              <w:end w:w="110" w:type="dxa"/>
            </w:tcMar>
          </w:tcPr>
          <w:p>
            <w:pPr>
              <w:spacing w:after="0"/>
            </w:pPr>
            <w:r/>
            <w:r>
              <w:rPr>
                <w:rFonts w:ascii="Calibri" w:hAnsi="Calibri"/>
                <w:i/>
                <w:color w:val="101828"/>
                <w:sz w:val="14"/>
              </w:rPr>
              <w:t>Verify your email and phone number and you can accept. Here is exactly what is left to do.</w:t>
            </w:r>
          </w:p>
        </w:tc>
        <w:tc>
          <w:tcPr>
            <w:tcW w:type="dxa" w:w="1584"/>
            <w:tcMar>
              <w:top w:w="60" w:type="dxa"/>
              <w:start w:w="110" w:type="dxa"/>
              <w:bottom w:w="60" w:type="dxa"/>
              <w:end w:w="110" w:type="dxa"/>
            </w:tcMar>
          </w:tcPr>
          <w:p>
            <w:pPr>
              <w:spacing w:after="0"/>
            </w:pPr>
            <w:r/>
            <w:r>
              <w:rPr>
                <w:rFonts w:ascii="Calibri" w:hAnsi="Calibri"/>
                <w:b w:val="0"/>
                <w:i w:val="0"/>
                <w:color w:val="101828"/>
                <w:sz w:val="14"/>
              </w:rPr>
              <w:t>Complete verification, then accept. The invitation is not consumed by the attempt.</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Refusal with the missing steps. Repeated refusals at this point are an onboarding-friction signal worth more than the individual refusal.</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EC-128</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payout is requested to a destination that is not in the recipient's own name.</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AJO.ng does not pay third parties, does not pay a business account for an individual, and does not accept a changed destination on a phone call. The recipient's own verified account is the only destination.</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We can only send this to an account in your own name. Add your own account and we will release it there.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The recipient adds and verifies their own destination, then the payout proceeds.</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destination with the name on the account. A third-party destination request is a fraud pattern (R4) and is reviewed, not just refused.</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EC-129</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Reset requests are spammed across a list of email addresses.</w:t>
            </w:r>
          </w:p>
        </w:tc>
        <w:tc>
          <w:tcPr>
            <w:tcW w:type="dxa" w:w="2088"/>
            <w:tcMar>
              <w:top w:w="60" w:type="dxa"/>
              <w:start w:w="110" w:type="dxa"/>
              <w:bottom w:w="60" w:type="dxa"/>
              <w:end w:w="110" w:type="dxa"/>
            </w:tcMar>
          </w:tcPr>
          <w:p>
            <w:pPr>
              <w:spacing w:after="0"/>
            </w:pPr>
            <w:r/>
            <w:r>
              <w:rPr>
                <w:rFonts w:ascii="Calibri" w:hAnsi="Calibri"/>
                <w:b w:val="0"/>
                <w:i w:val="0"/>
                <w:color w:val="101828"/>
                <w:sz w:val="14"/>
              </w:rPr>
              <w:t>Rate-limited per requester and per address, with responses that do not reveal whether an address has an account. A list of resets is an enumeration attempt, so it is throttled, recorded and alerted rather than served.</w:t>
            </w:r>
          </w:p>
        </w:tc>
        <w:tc>
          <w:tcPr>
            <w:tcW w:type="dxa" w:w="1728"/>
            <w:tcMar>
              <w:top w:w="60" w:type="dxa"/>
              <w:start w:w="110" w:type="dxa"/>
              <w:bottom w:w="60" w:type="dxa"/>
              <w:end w:w="110" w:type="dxa"/>
            </w:tcMar>
          </w:tcPr>
          <w:p>
            <w:pPr>
              <w:spacing w:after="0"/>
            </w:pPr>
            <w:r/>
            <w:r>
              <w:rPr>
                <w:rFonts w:ascii="Calibri" w:hAnsi="Calibri"/>
                <w:b w:val="0"/>
                <w:i w:val="0"/>
                <w:color w:val="101828"/>
                <w:sz w:val="14"/>
              </w:rPr>
              <w:t>Nothing; the requester gets a generic response either way.</w:t>
            </w:r>
          </w:p>
        </w:tc>
        <w:tc>
          <w:tcPr>
            <w:tcW w:type="dxa" w:w="1584"/>
            <w:tcMar>
              <w:top w:w="60" w:type="dxa"/>
              <w:start w:w="110" w:type="dxa"/>
              <w:bottom w:w="60" w:type="dxa"/>
              <w:end w:w="110" w:type="dxa"/>
            </w:tcMar>
          </w:tcPr>
          <w:p>
            <w:pPr>
              <w:spacing w:after="0"/>
            </w:pPr>
            <w:r/>
            <w:r>
              <w:rPr>
                <w:rFonts w:ascii="Calibri" w:hAnsi="Calibri"/>
                <w:b w:val="0"/>
                <w:i w:val="0"/>
                <w:color w:val="101828"/>
                <w:sz w:val="14"/>
              </w:rPr>
              <w:t>None needed for the member; the enumeration attempt is escalated.</w:t>
            </w:r>
          </w:p>
        </w:tc>
        <w:tc>
          <w:tcPr>
            <w:tcW w:type="dxa" w:w="1656"/>
            <w:tcMar>
              <w:top w:w="60" w:type="dxa"/>
              <w:start w:w="110" w:type="dxa"/>
              <w:bottom w:w="60" w:type="dxa"/>
              <w:end w:w="110" w:type="dxa"/>
            </w:tcMar>
          </w:tcPr>
          <w:p>
            <w:pPr>
              <w:spacing w:after="0"/>
            </w:pPr>
            <w:r/>
            <w:r>
              <w:rPr>
                <w:rFonts w:ascii="Calibri" w:hAnsi="Calibri"/>
                <w:b w:val="0"/>
                <w:i w:val="0"/>
                <w:color w:val="101828"/>
                <w:sz w:val="14"/>
              </w:rPr>
              <w:t>Volume, source and pattern, with an alert threshold. A sustained run is a security event even though no single request is remarkable.</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EC-130</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reset token is older than its validity window.</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and the token is consumed on use so it cannot be retried. A new token is issued only on a new request, which is why a long-expired link never becomes a working one later.</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That reset link has expired. Request a new one and we will send it.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A new request.</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Token issue, use, expiry and the number of stale attempts. A stale-token attempt on an account with money in it is reviewed.</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EC-131</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chosen new password appears on a breached-password list.</w:t>
            </w:r>
          </w:p>
        </w:tc>
        <w:tc>
          <w:tcPr>
            <w:tcW w:type="dxa" w:w="2088"/>
            <w:tcMar>
              <w:top w:w="60" w:type="dxa"/>
              <w:start w:w="110" w:type="dxa"/>
              <w:bottom w:w="60" w:type="dxa"/>
              <w:end w:w="110" w:type="dxa"/>
            </w:tcMar>
          </w:tcPr>
          <w:p>
            <w:pPr>
              <w:spacing w:after="0"/>
            </w:pPr>
            <w:r/>
            <w:r>
              <w:rPr>
                <w:rFonts w:ascii="Calibri" w:hAnsi="Calibri"/>
                <w:b w:val="0"/>
                <w:i w:val="0"/>
                <w:color w:val="101828"/>
                <w:sz w:val="14"/>
              </w:rPr>
              <w:t>Refused at the point of choosing, not after it is set. The message says the password is too common rather than where it was found, and AJO.ng does not send a member's new password anywhere, including to itself.</w:t>
            </w:r>
          </w:p>
        </w:tc>
        <w:tc>
          <w:tcPr>
            <w:tcW w:type="dxa" w:w="1728"/>
            <w:tcMar>
              <w:top w:w="60" w:type="dxa"/>
              <w:start w:w="110" w:type="dxa"/>
              <w:bottom w:w="60" w:type="dxa"/>
              <w:end w:w="110" w:type="dxa"/>
            </w:tcMar>
          </w:tcPr>
          <w:p>
            <w:pPr>
              <w:spacing w:after="0"/>
            </w:pPr>
            <w:r/>
            <w:r>
              <w:rPr>
                <w:rFonts w:ascii="Calibri" w:hAnsi="Calibri"/>
                <w:i/>
                <w:color w:val="101828"/>
                <w:sz w:val="14"/>
              </w:rPr>
              <w:t>That password has appeared in a data breach. Choose something no one else would.</w:t>
            </w:r>
          </w:p>
        </w:tc>
        <w:tc>
          <w:tcPr>
            <w:tcW w:type="dxa" w:w="1584"/>
            <w:tcMar>
              <w:top w:w="60" w:type="dxa"/>
              <w:start w:w="110" w:type="dxa"/>
              <w:bottom w:w="60" w:type="dxa"/>
              <w:end w:w="110" w:type="dxa"/>
            </w:tcMar>
          </w:tcPr>
          <w:p>
            <w:pPr>
              <w:spacing w:after="0"/>
            </w:pPr>
            <w:r/>
            <w:r>
              <w:rPr>
                <w:rFonts w:ascii="Calibri" w:hAnsi="Calibri"/>
                <w:b w:val="0"/>
                <w:i w:val="0"/>
                <w:color w:val="101828"/>
                <w:sz w:val="14"/>
              </w:rPr>
              <w:t>Choose another password.</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rejection, without the candidate value. Rejected candidates are never logged in full, because a log of attempted passwords is a log of secrets.</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EC-132</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reset email cannot be delivered, or the member cannot see it.</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Detected from the bounce, and recovery does not stop there. A member locked out of an account holding money is offered a verified alternative route rather than being told to check their inbox again.</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We could not reach that email. We will get you back in another way - here is what we need from you.</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Verification-assisted recovery through support.</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Bounce plus the alternative route offered. A member who cannot complete recovery is an S2, because the consequence is access to their own money.</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EC-133</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member has lost access to both email and phone.</w:t>
            </w:r>
          </w:p>
        </w:tc>
        <w:tc>
          <w:tcPr>
            <w:tcW w:type="dxa" w:w="2088"/>
            <w:tcMar>
              <w:top w:w="60" w:type="dxa"/>
              <w:start w:w="110" w:type="dxa"/>
              <w:bottom w:w="60" w:type="dxa"/>
              <w:end w:w="110" w:type="dxa"/>
            </w:tcMar>
          </w:tcPr>
          <w:p>
            <w:pPr>
              <w:spacing w:after="0"/>
            </w:pPr>
            <w:r/>
            <w:r>
              <w:rPr>
                <w:rFonts w:ascii="Calibri" w:hAnsi="Calibri"/>
                <w:b w:val="0"/>
                <w:i w:val="0"/>
                <w:color w:val="101828"/>
                <w:sz w:val="14"/>
              </w:rPr>
              <w:t xml:space="preserve">Recovered through in-person identity verification, never through a channel that assumes possession of a lost inbox. Support cannot bypass identity checks to be helpful, and a request for an exception is escalated to </w:t>
            </w:r>
            <w:r>
              <w:rPr>
                <w:rFonts w:ascii="Consolas" w:hAnsi="Consolas"/>
                <w:color w:val="146EF5"/>
                <w:sz w:val="14"/>
              </w:rPr>
              <w:t>risk_officer</w:t>
            </w:r>
            <w:r>
              <w:rPr>
                <w:rFonts w:ascii="Calibri" w:hAnsi="Calibri"/>
                <w:b w:val="0"/>
                <w:i w:val="0"/>
                <w:color w:val="101828"/>
                <w:sz w:val="14"/>
              </w:rPr>
              <w:t xml:space="preserve"> rather than granted.</w:t>
            </w:r>
          </w:p>
        </w:tc>
        <w:tc>
          <w:tcPr>
            <w:tcW w:type="dxa" w:w="1728"/>
            <w:tcMar>
              <w:top w:w="60" w:type="dxa"/>
              <w:start w:w="110" w:type="dxa"/>
              <w:bottom w:w="60" w:type="dxa"/>
              <w:end w:w="110" w:type="dxa"/>
            </w:tcMar>
          </w:tcPr>
          <w:p>
            <w:pPr>
              <w:spacing w:after="0"/>
            </w:pPr>
            <w:r/>
            <w:r>
              <w:rPr>
                <w:rFonts w:ascii="Calibri" w:hAnsi="Calibri"/>
                <w:i/>
                <w:color w:val="101828"/>
                <w:sz w:val="14"/>
              </w:rPr>
              <w:t>We will need to verify you in person before we restore access. Here is where and what to bring.</w:t>
            </w:r>
          </w:p>
        </w:tc>
        <w:tc>
          <w:tcPr>
            <w:tcW w:type="dxa" w:w="1584"/>
            <w:tcMar>
              <w:top w:w="60" w:type="dxa"/>
              <w:start w:w="110" w:type="dxa"/>
              <w:bottom w:w="60" w:type="dxa"/>
              <w:end w:w="110" w:type="dxa"/>
            </w:tcMar>
          </w:tcPr>
          <w:p>
            <w:pPr>
              <w:spacing w:after="0"/>
            </w:pPr>
            <w:r/>
            <w:r>
              <w:rPr>
                <w:rFonts w:ascii="Calibri" w:hAnsi="Calibri"/>
                <w:b w:val="0"/>
                <w:i w:val="0"/>
                <w:color w:val="101828"/>
                <w:sz w:val="14"/>
              </w:rPr>
              <w:t>In-person verification, then restoration and revocation of everything that was accessible before.</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recovery with its evidence and the officer who approved it. This path is the most abused in the industry, so it is the most heavily evidenced.</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EC-134</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Fraud is suspected on a member who has already been paid out.</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Investigated as an investigation, not as a clawback. AJO.ng does not recover a paid-out sum from a member on suspicion, and does not reverse a settled payout to make a case look better. Any action against an innocent member would be a worse failure than the fraud.</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To the member: nothing is said until there is something to say, and if action is ever taken it comes with its basis and a route to contest it.</w:t>
            </w:r>
          </w:p>
        </w:tc>
        <w:tc>
          <w:tcPr>
            <w:tcW w:type="dxa" w:w="1584"/>
            <w:tcMar>
              <w:top w:w="60" w:type="dxa"/>
              <w:start w:w="110" w:type="dxa"/>
              <w:bottom w:w="60" w:type="dxa"/>
              <w:end w:w="110" w:type="dxa"/>
            </w:tcMar>
            <w:shd w:val="clear" w:color="auto" w:fill="F4F7FB"/>
          </w:tcPr>
          <w:p>
            <w:pPr>
              <w:spacing w:after="0"/>
            </w:pPr>
            <w:r/>
            <w:r>
              <w:rPr>
                <w:rFonts w:ascii="Consolas" w:hAnsi="Consolas"/>
                <w:color w:val="146EF5"/>
                <w:sz w:val="14"/>
              </w:rPr>
              <w:t>risk_officer</w:t>
            </w:r>
            <w:r>
              <w:rPr>
                <w:rFonts w:ascii="Calibri" w:hAnsi="Calibri"/>
                <w:b w:val="0"/>
                <w:i w:val="0"/>
                <w:color w:val="101828"/>
                <w:sz w:val="14"/>
              </w:rPr>
              <w:t xml:space="preserve"> investigation, with escalation to the provider or law enforcement where appropriate.</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risk event, the investigation, the evidence, and the outcome. 'Suspected' and 'confirmed' are never conflated in the record, because a suspicion that reads as a finding destroys trust on its own.</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EC-135</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member reaches the verification attempt limit.</w:t>
            </w:r>
          </w:p>
        </w:tc>
        <w:tc>
          <w:tcPr>
            <w:tcW w:type="dxa" w:w="2088"/>
            <w:tcMar>
              <w:top w:w="60" w:type="dxa"/>
              <w:start w:w="110" w:type="dxa"/>
              <w:bottom w:w="60" w:type="dxa"/>
              <w:end w:w="110" w:type="dxa"/>
            </w:tcMar>
          </w:tcPr>
          <w:p>
            <w:pPr>
              <w:spacing w:after="0"/>
            </w:pPr>
            <w:r/>
            <w:r>
              <w:rPr>
                <w:rFonts w:ascii="Calibri" w:hAnsi="Calibri"/>
                <w:b w:val="0"/>
                <w:i w:val="0"/>
                <w:color w:val="101828"/>
                <w:sz w:val="14"/>
              </w:rPr>
              <w:t>Further automated attempts are refused, and the member is routed to manual review rather than into a loop. The limit exists to stop someone guessing at verification, and a member who has genuinely failed repeatedly is a documentation problem, not a criminal one.</w:t>
            </w:r>
          </w:p>
        </w:tc>
        <w:tc>
          <w:tcPr>
            <w:tcW w:type="dxa" w:w="1728"/>
            <w:tcMar>
              <w:top w:w="60" w:type="dxa"/>
              <w:start w:w="110" w:type="dxa"/>
              <w:bottom w:w="60" w:type="dxa"/>
              <w:end w:w="110" w:type="dxa"/>
            </w:tcMar>
          </w:tcPr>
          <w:p>
            <w:pPr>
              <w:spacing w:after="0"/>
            </w:pPr>
            <w:r/>
            <w:r>
              <w:rPr>
                <w:rFonts w:ascii="Calibri" w:hAnsi="Calibri"/>
                <w:i/>
                <w:color w:val="101828"/>
                <w:sz w:val="14"/>
              </w:rPr>
              <w:t>You have reached the limit for automatic checks. We will review this by hand - nothing further is needed from you today.</w:t>
            </w:r>
          </w:p>
        </w:tc>
        <w:tc>
          <w:tcPr>
            <w:tcW w:type="dxa" w:w="1584"/>
            <w:tcMar>
              <w:top w:w="60" w:type="dxa"/>
              <w:start w:w="110" w:type="dxa"/>
              <w:bottom w:w="60" w:type="dxa"/>
              <w:end w:w="110" w:type="dxa"/>
            </w:tcMar>
          </w:tcPr>
          <w:p>
            <w:pPr>
              <w:spacing w:after="0"/>
            </w:pPr>
            <w:r/>
            <w:r>
              <w:rPr>
                <w:rFonts w:ascii="Calibri" w:hAnsi="Calibri"/>
                <w:b w:val="0"/>
                <w:i w:val="0"/>
                <w:color w:val="101828"/>
                <w:sz w:val="14"/>
              </w:rPr>
              <w:t>Manual review, then a decision with a stated reason.</w:t>
            </w:r>
          </w:p>
        </w:tc>
        <w:tc>
          <w:tcPr>
            <w:tcW w:type="dxa" w:w="1656"/>
            <w:tcMar>
              <w:top w:w="60" w:type="dxa"/>
              <w:start w:w="110" w:type="dxa"/>
              <w:bottom w:w="60" w:type="dxa"/>
              <w:end w:w="110" w:type="dxa"/>
            </w:tcMar>
          </w:tcPr>
          <w:p>
            <w:pPr>
              <w:spacing w:after="0"/>
            </w:pPr>
            <w:r/>
            <w:r>
              <w:rPr>
                <w:rFonts w:ascii="Calibri" w:hAnsi="Calibri"/>
                <w:b w:val="0"/>
                <w:i w:val="0"/>
                <w:color w:val="101828"/>
                <w:sz w:val="14"/>
              </w:rPr>
              <w:t>Attempts per verification with the failure reason. Members reaching the limit with clean intent are reported as a process failure of the verifier.</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EC-136</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 disputes a verification failure as an error in the provider's data.</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Treated as a data question about a third party, not as a member being difficult. The provider is asked to correct its record, the member is told what is being asked and when they will hear, and the member is not left unable to participate indefinitely while a third party's database is argued about.</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We are asking the verification provider to correct their record. We will tell you the outcome, and you will not lose your place while we do it.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Provider correction, then resubmission, with manual review as the parallel route.</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dispute, the request to the provider, and the outcome. Verification data quality is a dependency metric, because AJO.ng does not own the records being judged against.</w:t>
            </w:r>
          </w:p>
        </w:tc>
      </w:tr>
    </w:tbl>
    <w:p>
      <w:pPr>
        <w:spacing w:after="80"/>
      </w:pPr>
    </w:p>
    <w:p>
      <w:r>
        <w:br w:type="page"/>
      </w:r>
    </w:p>
    <w:p>
      <w:pPr>
        <w:pStyle w:val="Heading2"/>
      </w:pPr>
      <w:r>
        <w:rPr>
          <w:rFonts w:ascii="Calibri" w:hAnsi="Calibri"/>
          <w:b/>
          <w:i w:val="0"/>
          <w:color w:val="146EF5"/>
          <w:sz w:val="29"/>
        </w:rPr>
        <w:t>19.9 Third-party dependency edge cases</w:t>
      </w:r>
    </w:p>
    <w:p>
      <w:r>
        <w:rPr>
          <w:rFonts w:ascii="Calibri" w:hAnsi="Calibri"/>
          <w:b w:val="0"/>
          <w:i w:val="0"/>
          <w:color w:val="101828"/>
          <w:sz w:val="21"/>
        </w:rPr>
        <w:t xml:space="preserve">Section 1 records fifteen dependencies and fourteen risks, and the honest reading of that list is that AJO.ng depends on parties it does not control: a payment provider whose economics are still open decision </w:t>
      </w:r>
      <w:r>
        <w:rPr>
          <w:rFonts w:ascii="Calibri" w:hAnsi="Calibri"/>
          <w:b/>
          <w:color w:val="101828"/>
          <w:sz w:val="21"/>
        </w:rPr>
        <w:t>D-03</w:t>
      </w:r>
      <w:r>
        <w:rPr>
          <w:rFonts w:ascii="Calibri" w:hAnsi="Calibri"/>
          <w:b w:val="0"/>
          <w:i w:val="0"/>
          <w:color w:val="101828"/>
          <w:sz w:val="21"/>
        </w:rPr>
        <w:t>, verification services whose own availability is not ours, messaging gateways, push infrastructure, and hosting. This class is about our behaviour when one of them is down, and about the case that is worse: when one of them is up and we still cannot see the problem.</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648"/>
            <w:shd w:val="clear" w:color="auto" w:fill="0B1F3A"/>
            <w:tcMar>
              <w:top w:w="60" w:type="dxa"/>
              <w:start w:w="110" w:type="dxa"/>
              <w:bottom w:w="60" w:type="dxa"/>
              <w:end w:w="110" w:type="dxa"/>
            </w:tcMar>
          </w:tcPr>
          <w:p>
            <w:pPr>
              <w:spacing w:after="0"/>
            </w:pPr>
            <w:r/>
            <w:r>
              <w:rPr>
                <w:rFonts w:ascii="Calibri" w:hAnsi="Calibri"/>
                <w:b/>
                <w:i w:val="0"/>
                <w:color w:val="FFFFFF"/>
                <w:sz w:val="14"/>
              </w:rPr>
              <w:t>ID</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Trigger</w:t>
            </w:r>
          </w:p>
        </w:tc>
        <w:tc>
          <w:tcPr>
            <w:tcW w:type="dxa" w:w="2088"/>
            <w:shd w:val="clear" w:color="auto" w:fill="0B1F3A"/>
            <w:tcMar>
              <w:top w:w="60" w:type="dxa"/>
              <w:start w:w="110" w:type="dxa"/>
              <w:bottom w:w="60" w:type="dxa"/>
              <w:end w:w="110" w:type="dxa"/>
            </w:tcMar>
          </w:tcPr>
          <w:p>
            <w:pPr>
              <w:spacing w:after="0"/>
            </w:pPr>
            <w:r/>
            <w:r>
              <w:rPr>
                <w:rFonts w:ascii="Calibri" w:hAnsi="Calibri"/>
                <w:b/>
                <w:i w:val="0"/>
                <w:color w:val="FFFFFF"/>
                <w:sz w:val="14"/>
              </w:rPr>
              <w:t>System behaviour</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4"/>
              </w:rPr>
              <w:t>User experience</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4"/>
              </w:rPr>
              <w:t>Recovery mechanism</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Logging requirement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EC-137</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identity verification service is unavailable, rate-limits us, or changes its response contract.</w:t>
            </w:r>
          </w:p>
        </w:tc>
        <w:tc>
          <w:tcPr>
            <w:tcW w:type="dxa" w:w="2088"/>
            <w:tcMar>
              <w:top w:w="60" w:type="dxa"/>
              <w:start w:w="110" w:type="dxa"/>
              <w:bottom w:w="60" w:type="dxa"/>
              <w:end w:w="110" w:type="dxa"/>
            </w:tcMar>
          </w:tcPr>
          <w:p>
            <w:pPr>
              <w:spacing w:after="0"/>
            </w:pPr>
            <w:r/>
            <w:r>
              <w:rPr>
                <w:rFonts w:ascii="Calibri" w:hAnsi="Calibri"/>
                <w:b w:val="0"/>
                <w:i w:val="0"/>
                <w:color w:val="101828"/>
                <w:sz w:val="14"/>
              </w:rPr>
              <w:t>Verification degrades to manual review rather than to automatic approval. Failing closed is mandatory: an unavailable verifier must never be read as a pass. The member's other rights are unaffected, so someone already verified can keep participating.</w:t>
            </w:r>
          </w:p>
        </w:tc>
        <w:tc>
          <w:tcPr>
            <w:tcW w:type="dxa" w:w="1728"/>
            <w:tcMar>
              <w:top w:w="60" w:type="dxa"/>
              <w:start w:w="110" w:type="dxa"/>
              <w:bottom w:w="60" w:type="dxa"/>
              <w:end w:w="110" w:type="dxa"/>
            </w:tcMar>
          </w:tcPr>
          <w:p>
            <w:pPr>
              <w:spacing w:after="0"/>
            </w:pPr>
            <w:r/>
            <w:r>
              <w:rPr>
                <w:rFonts w:ascii="Calibri" w:hAnsi="Calibri"/>
                <w:i/>
                <w:color w:val="101828"/>
                <w:sz w:val="14"/>
              </w:rPr>
              <w:t>Verification is taking longer than usual. You can keep using the Ajos you are already in, and we will finish this.</w:t>
            </w:r>
          </w:p>
        </w:tc>
        <w:tc>
          <w:tcPr>
            <w:tcW w:type="dxa" w:w="1584"/>
            <w:tcMar>
              <w:top w:w="60" w:type="dxa"/>
              <w:start w:w="110" w:type="dxa"/>
              <w:bottom w:w="60" w:type="dxa"/>
              <w:end w:w="110" w:type="dxa"/>
            </w:tcMar>
          </w:tcPr>
          <w:p>
            <w:pPr>
              <w:spacing w:after="0"/>
            </w:pPr>
            <w:r/>
            <w:r>
              <w:rPr>
                <w:rFonts w:ascii="Calibri" w:hAnsi="Calibri"/>
                <w:b w:val="0"/>
                <w:i w:val="0"/>
                <w:color w:val="101828"/>
                <w:sz w:val="14"/>
              </w:rPr>
              <w:t>Manual review queue, with a target turnaround communicated and a proactive update if it slips.</w:t>
            </w:r>
          </w:p>
        </w:tc>
        <w:tc>
          <w:tcPr>
            <w:tcW w:type="dxa" w:w="1656"/>
            <w:tcMar>
              <w:top w:w="60" w:type="dxa"/>
              <w:start w:w="110" w:type="dxa"/>
              <w:bottom w:w="60" w:type="dxa"/>
              <w:end w:w="110" w:type="dxa"/>
            </w:tcMar>
          </w:tcPr>
          <w:p>
            <w:pPr>
              <w:spacing w:after="0"/>
            </w:pPr>
            <w:r/>
            <w:r>
              <w:rPr>
                <w:rFonts w:ascii="Calibri" w:hAnsi="Calibri"/>
                <w:b w:val="0"/>
                <w:i w:val="0"/>
                <w:color w:val="101828"/>
                <w:sz w:val="14"/>
              </w:rPr>
              <w:t>Verifier errors by class, queue depth, and manual-review outcomes. A silent contract change is detected by response validation, not by a member complaint.</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EC-138</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push service is unavailable, so no app notification is delivered platform-wide.</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Money-critical and security events fall back to SMS, and everything else falls back to email. Volume is shaped so that a push outage cannot become an SMS bill outage, because SMS is the expensive channel and the one we least want to burn indiscriminately.</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4"/>
              </w:rPr>
              <w:t>The member is still reached by the channel that matters for the event they need to know about.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Automatic fallback, then a review of whether a bulk channel switch is warranted.</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Fallback usage per event class. A sustained shift to SMS is both a resilience signal and a unit-economics signal, and it is reported as both.</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EC-139</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failure occurs that our monitoring does not detect, so the first signal is a member report rather than an alert.</w:t>
            </w:r>
          </w:p>
        </w:tc>
        <w:tc>
          <w:tcPr>
            <w:tcW w:type="dxa" w:w="2088"/>
            <w:tcMar>
              <w:top w:w="60" w:type="dxa"/>
              <w:start w:w="110" w:type="dxa"/>
              <w:bottom w:w="60" w:type="dxa"/>
              <w:end w:w="110" w:type="dxa"/>
            </w:tcMar>
          </w:tcPr>
          <w:p>
            <w:pPr>
              <w:spacing w:after="0"/>
            </w:pPr>
            <w:r/>
            <w:r>
              <w:rPr>
                <w:rFonts w:ascii="Calibri" w:hAnsi="Calibri"/>
                <w:b w:val="0"/>
                <w:i w:val="0"/>
                <w:color w:val="101828"/>
                <w:sz w:val="14"/>
              </w:rPr>
              <w:t>Member-reported money issues are treated as potential Sev-1 until disproved. The support queue is monitored for that specific pattern, because a burst of reports about the same screen is the only detector we have in that scenario.</w:t>
            </w:r>
          </w:p>
        </w:tc>
        <w:tc>
          <w:tcPr>
            <w:tcW w:type="dxa" w:w="1728"/>
            <w:tcMar>
              <w:top w:w="60" w:type="dxa"/>
              <w:start w:w="110" w:type="dxa"/>
              <w:bottom w:w="60" w:type="dxa"/>
              <w:end w:w="110" w:type="dxa"/>
            </w:tcMar>
          </w:tcPr>
          <w:p>
            <w:pPr>
              <w:spacing w:after="0"/>
            </w:pPr>
            <w:r/>
            <w:r>
              <w:rPr>
                <w:rFonts w:ascii="Calibri" w:hAnsi="Calibri"/>
                <w:b w:val="0"/>
                <w:i w:val="0"/>
                <w:color w:val="101828"/>
                <w:sz w:val="14"/>
              </w:rPr>
              <w:t>The member who reports it is answered quickly and told what is happening, rather than asked to wait for a system that has not noticed.</w:t>
            </w:r>
          </w:p>
        </w:tc>
        <w:tc>
          <w:tcPr>
            <w:tcW w:type="dxa" w:w="1584"/>
            <w:tcMar>
              <w:top w:w="60" w:type="dxa"/>
              <w:start w:w="110" w:type="dxa"/>
              <w:bottom w:w="60" w:type="dxa"/>
              <w:end w:w="110" w:type="dxa"/>
            </w:tcMar>
          </w:tcPr>
          <w:p>
            <w:pPr>
              <w:spacing w:after="0"/>
            </w:pPr>
            <w:r/>
            <w:r>
              <w:rPr>
                <w:rFonts w:ascii="Calibri" w:hAnsi="Calibri"/>
                <w:b w:val="0"/>
                <w:i w:val="0"/>
                <w:color w:val="101828"/>
                <w:sz w:val="14"/>
              </w:rPr>
              <w:t>Immediate investigation, plus a retrospective on why the alert did not fire.</w:t>
            </w:r>
          </w:p>
        </w:tc>
        <w:tc>
          <w:tcPr>
            <w:tcW w:type="dxa" w:w="1656"/>
            <w:tcMar>
              <w:top w:w="60" w:type="dxa"/>
              <w:start w:w="110" w:type="dxa"/>
              <w:bottom w:w="60" w:type="dxa"/>
              <w:end w:w="110" w:type="dxa"/>
            </w:tcMar>
          </w:tcPr>
          <w:p>
            <w:pPr>
              <w:spacing w:after="0"/>
            </w:pPr>
            <w:r/>
            <w:r>
              <w:rPr>
                <w:rFonts w:ascii="Calibri" w:hAnsi="Calibri"/>
                <w:b w:val="0"/>
                <w:i w:val="0"/>
                <w:color w:val="101828"/>
                <w:sz w:val="14"/>
              </w:rPr>
              <w:t>Support cases tagged by affected flow and clustered by time window. Clusters are escalated automatically above a threshold, precisely because absence of an alert must not delay the response.</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EC-140</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hosting platform has a regional outage, so the API is unavailable for all members at once.</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service fails over, and the invariant that survives the outage is the honest one: a member who was told their payment was pending is still told it is pending, and no state is advanced on the assumption that it succeeded. Reconciliation runs before any resumed state is shown.</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We are having problems and we are fixing them. Nothing you have done is lost, and we will not ask you to pay twice.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Automatic failover, then reconciliation of anything in flight at the time.</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Outage start and end, affected surface, and the reconciliation results. The in-flight set at failover is the interesting part and is retained explicitly.</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EC-141</w:t>
            </w:r>
          </w:p>
        </w:tc>
        <w:tc>
          <w:tcPr>
            <w:tcW w:type="dxa" w:w="1656"/>
            <w:tcMar>
              <w:top w:w="60" w:type="dxa"/>
              <w:start w:w="110" w:type="dxa"/>
              <w:bottom w:w="60" w:type="dxa"/>
              <w:end w:w="110" w:type="dxa"/>
            </w:tcMar>
          </w:tcPr>
          <w:p>
            <w:pPr>
              <w:spacing w:after="0"/>
            </w:pPr>
            <w:r/>
            <w:r>
              <w:rPr>
                <w:rFonts w:ascii="Calibri" w:hAnsi="Calibri"/>
                <w:b w:val="0"/>
                <w:i w:val="0"/>
                <w:color w:val="101828"/>
                <w:sz w:val="14"/>
              </w:rPr>
              <w:t>DNS, a certificate or an edge component fails, so the app cannot reach the API or cannot be reached.</w:t>
            </w:r>
          </w:p>
        </w:tc>
        <w:tc>
          <w:tcPr>
            <w:tcW w:type="dxa" w:w="2088"/>
            <w:tcMar>
              <w:top w:w="60" w:type="dxa"/>
              <w:start w:w="110" w:type="dxa"/>
              <w:bottom w:w="60" w:type="dxa"/>
              <w:end w:w="110" w:type="dxa"/>
            </w:tcMar>
          </w:tcPr>
          <w:p>
            <w:pPr>
              <w:spacing w:after="0"/>
            </w:pPr>
            <w:r/>
            <w:r>
              <w:rPr>
                <w:rFonts w:ascii="Calibri" w:hAnsi="Calibri"/>
                <w:b w:val="0"/>
                <w:i w:val="0"/>
                <w:color w:val="101828"/>
                <w:sz w:val="14"/>
              </w:rPr>
              <w:t>Infrastructure-level, and handled with multi-region DNS, automated certificate renewal and a known-good fallback endpoint. Certificate expiry is prevented by monitoring with a long lead time, because an expired certificate is the most avoidable outage in this document.</w:t>
            </w:r>
          </w:p>
        </w:tc>
        <w:tc>
          <w:tcPr>
            <w:tcW w:type="dxa" w:w="1728"/>
            <w:tcMar>
              <w:top w:w="60" w:type="dxa"/>
              <w:start w:w="110" w:type="dxa"/>
              <w:bottom w:w="60" w:type="dxa"/>
              <w:end w:w="110" w:type="dxa"/>
            </w:tcMar>
          </w:tcPr>
          <w:p>
            <w:pPr>
              <w:spacing w:after="0"/>
            </w:pPr>
            <w:r/>
            <w:r>
              <w:rPr>
                <w:rFonts w:ascii="Calibri" w:hAnsi="Calibri"/>
                <w:b w:val="0"/>
                <w:i w:val="0"/>
                <w:color w:val="101828"/>
                <w:sz w:val="14"/>
              </w:rPr>
              <w:t>The app reports it cannot reach AJO.ng, and does not display a misleading error that looks like a payment problem.</w:t>
            </w:r>
          </w:p>
        </w:tc>
        <w:tc>
          <w:tcPr>
            <w:tcW w:type="dxa" w:w="1584"/>
            <w:tcMar>
              <w:top w:w="60" w:type="dxa"/>
              <w:start w:w="110" w:type="dxa"/>
              <w:bottom w:w="60" w:type="dxa"/>
              <w:end w:w="110" w:type="dxa"/>
            </w:tcMar>
          </w:tcPr>
          <w:p>
            <w:pPr>
              <w:spacing w:after="0"/>
            </w:pPr>
            <w:r/>
            <w:r>
              <w:rPr>
                <w:rFonts w:ascii="Calibri" w:hAnsi="Calibri"/>
                <w:b w:val="0"/>
                <w:i w:val="0"/>
                <w:color w:val="101828"/>
                <w:sz w:val="14"/>
              </w:rPr>
              <w:t>Infrastructure automation; a member never has to be told to reinstall anything.</w:t>
            </w:r>
          </w:p>
        </w:tc>
        <w:tc>
          <w:tcPr>
            <w:tcW w:type="dxa" w:w="1656"/>
            <w:tcMar>
              <w:top w:w="60" w:type="dxa"/>
              <w:start w:w="110" w:type="dxa"/>
              <w:bottom w:w="60" w:type="dxa"/>
              <w:end w:w="110" w:type="dxa"/>
            </w:tcMar>
          </w:tcPr>
          <w:p>
            <w:pPr>
              <w:spacing w:after="0"/>
            </w:pPr>
            <w:r/>
            <w:r>
              <w:rPr>
                <w:rFonts w:ascii="Calibri" w:hAnsi="Calibri"/>
                <w:b w:val="0"/>
                <w:i w:val="0"/>
                <w:color w:val="101828"/>
                <w:sz w:val="14"/>
              </w:rPr>
              <w:t>Certificate and DNS monitoring with lead-time alerts, and the incident record if renewal ever fails.</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EC-142</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The provider's settlement or bank-credit file is unavailable, so reconciliation cannot confirm that funds actually arrived.</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Unconfirmed funds are not treated as available. A payout is released only when funds are fully collected and available, so an unavailable settlement feed becomes HELD rather than a guess. Unconfirmed amounts sit in suspense and are never recognised as income or as contributions receivable.</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We are confirming that funds have reached us before releasing your payout. It is on track and it is yours.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Reconciliation when the feed returns, with a proactive update cadence if it does not.</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Suspense age and value, with a hard limit on how long an amount may sit unconfirmed. Ageing suspense is a risk item in its own right, not a bookkeeping detail.</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EC-143</w:t>
            </w:r>
          </w:p>
        </w:tc>
        <w:tc>
          <w:tcPr>
            <w:tcW w:type="dxa" w:w="1656"/>
            <w:tcMar>
              <w:top w:w="60" w:type="dxa"/>
              <w:start w:w="110" w:type="dxa"/>
              <w:bottom w:w="60" w:type="dxa"/>
              <w:end w:w="110" w:type="dxa"/>
            </w:tcMar>
          </w:tcPr>
          <w:p>
            <w:pPr>
              <w:spacing w:after="0"/>
            </w:pPr>
            <w:r/>
            <w:r>
              <w:rPr>
                <w:rFonts w:ascii="Calibri" w:hAnsi="Calibri"/>
                <w:b w:val="0"/>
                <w:i w:val="0"/>
                <w:color w:val="101828"/>
                <w:sz w:val="14"/>
              </w:rPr>
              <w:t>The provider changes its pricing, so the 2% gross fee no longer covers collection and payout costs.</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This is a business risk, not a runtime fault, and it is answered by never changing the member-facing fee silently. The fee may not be raised without notice, and the notice period is a commitment to members (BR-026, BR-011).</w:t>
            </w:r>
          </w:p>
        </w:tc>
        <w:tc>
          <w:tcPr>
            <w:tcW w:type="dxa" w:w="1728"/>
            <w:tcMar>
              <w:top w:w="60" w:type="dxa"/>
              <w:start w:w="110" w:type="dxa"/>
              <w:bottom w:w="60" w:type="dxa"/>
              <w:end w:w="110" w:type="dxa"/>
            </w:tcMar>
          </w:tcPr>
          <w:p>
            <w:pPr>
              <w:spacing w:after="0"/>
            </w:pPr>
            <w:r/>
            <w:r>
              <w:rPr>
                <w:rFonts w:ascii="Calibri" w:hAnsi="Calibri"/>
                <w:i/>
                <w:color w:val="101828"/>
                <w:sz w:val="14"/>
              </w:rPr>
              <w:t>We are telling you early, with the real numbers, before anything changes.</w:t>
            </w:r>
            <w:r>
              <w:rPr>
                <w:rFonts w:ascii="Calibri" w:hAnsi="Calibri"/>
                <w:b w:val="0"/>
                <w:i w:val="0"/>
                <w:color w:val="101828"/>
                <w:sz w:val="14"/>
              </w:rPr>
              <w:t xml:space="preserve"> No member learns about a fee change from a payment receipt.</w:t>
            </w:r>
          </w:p>
        </w:tc>
        <w:tc>
          <w:tcPr>
            <w:tcW w:type="dxa" w:w="1584"/>
            <w:tcMar>
              <w:top w:w="60" w:type="dxa"/>
              <w:start w:w="110" w:type="dxa"/>
              <w:bottom w:w="60" w:type="dxa"/>
              <w:end w:w="110" w:type="dxa"/>
            </w:tcMar>
          </w:tcPr>
          <w:p>
            <w:pPr>
              <w:spacing w:after="0"/>
            </w:pPr>
            <w:r/>
            <w:r>
              <w:rPr>
                <w:rFonts w:ascii="Calibri" w:hAnsi="Calibri"/>
                <w:b w:val="0"/>
                <w:i w:val="0"/>
                <w:color w:val="101828"/>
                <w:sz w:val="14"/>
              </w:rPr>
              <w:t>Re-pricing with communicated notice, or absorbing the cost. Reducing the fee to zero without notice is not on that list.</w:t>
            </w:r>
          </w:p>
        </w:tc>
        <w:tc>
          <w:tcPr>
            <w:tcW w:type="dxa" w:w="1656"/>
            <w:tcMar>
              <w:top w:w="60" w:type="dxa"/>
              <w:start w:w="110" w:type="dxa"/>
              <w:bottom w:w="60" w:type="dxa"/>
              <w:end w:w="110" w:type="dxa"/>
            </w:tcMar>
          </w:tcPr>
          <w:p>
            <w:pPr>
              <w:spacing w:after="0"/>
            </w:pPr>
            <w:r/>
            <w:r>
              <w:rPr>
                <w:rFonts w:ascii="Calibri" w:hAnsi="Calibri"/>
                <w:b w:val="0"/>
                <w:i w:val="0"/>
                <w:color w:val="101828"/>
                <w:sz w:val="14"/>
              </w:rPr>
              <w:t>Unit economics tracked as R3, with fee revenue against provider cost per successful transaction, reviewed before any pricing decision is taken.</w:t>
            </w:r>
          </w:p>
        </w:tc>
      </w:tr>
    </w:tbl>
    <w:p>
      <w:pPr>
        <w:spacing w:after="80"/>
      </w:pPr>
    </w:p>
    <w:p>
      <w:r>
        <w:br w:type="page"/>
      </w:r>
    </w:p>
    <w:p>
      <w:pPr>
        <w:pStyle w:val="Heading2"/>
      </w:pPr>
      <w:r>
        <w:rPr>
          <w:rFonts w:ascii="Calibri" w:hAnsi="Calibri"/>
          <w:b/>
          <w:i w:val="0"/>
          <w:color w:val="146EF5"/>
          <w:sz w:val="29"/>
        </w:rPr>
        <w:t>19.10 User-expectation and trust edge cases</w:t>
      </w:r>
    </w:p>
    <w:p>
      <w:r>
        <w:rPr>
          <w:rFonts w:ascii="Calibri" w:hAnsi="Calibri"/>
          <w:b w:val="0"/>
          <w:i w:val="0"/>
          <w:color w:val="101828"/>
          <w:sz w:val="21"/>
        </w:rPr>
        <w:t>The last class is not a technical failure at all, and it is the one most likely to cost the product its reputation. Ajo carries a dense cultural meaning that the software inherits: it is a promise between people who know each other. Every case here is a place where the software's honest behaviour and the member's expectation of a traditional Ajo come apart, and where the product has to say plainly what it is and is not.</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648"/>
            <w:shd w:val="clear" w:color="auto" w:fill="0B1F3A"/>
            <w:tcMar>
              <w:top w:w="60" w:type="dxa"/>
              <w:start w:w="110" w:type="dxa"/>
              <w:bottom w:w="60" w:type="dxa"/>
              <w:end w:w="110" w:type="dxa"/>
            </w:tcMar>
          </w:tcPr>
          <w:p>
            <w:pPr>
              <w:spacing w:after="0"/>
            </w:pPr>
            <w:r/>
            <w:r>
              <w:rPr>
                <w:rFonts w:ascii="Calibri" w:hAnsi="Calibri"/>
                <w:b/>
                <w:i w:val="0"/>
                <w:color w:val="FFFFFF"/>
                <w:sz w:val="14"/>
              </w:rPr>
              <w:t>ID</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Trigger</w:t>
            </w:r>
          </w:p>
        </w:tc>
        <w:tc>
          <w:tcPr>
            <w:tcW w:type="dxa" w:w="2088"/>
            <w:shd w:val="clear" w:color="auto" w:fill="0B1F3A"/>
            <w:tcMar>
              <w:top w:w="60" w:type="dxa"/>
              <w:start w:w="110" w:type="dxa"/>
              <w:bottom w:w="60" w:type="dxa"/>
              <w:end w:w="110" w:type="dxa"/>
            </w:tcMar>
          </w:tcPr>
          <w:p>
            <w:pPr>
              <w:spacing w:after="0"/>
            </w:pPr>
            <w:r/>
            <w:r>
              <w:rPr>
                <w:rFonts w:ascii="Calibri" w:hAnsi="Calibri"/>
                <w:b/>
                <w:i w:val="0"/>
                <w:color w:val="FFFFFF"/>
                <w:sz w:val="14"/>
              </w:rPr>
              <w:t>System behaviour</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4"/>
              </w:rPr>
              <w:t>User experience</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4"/>
              </w:rPr>
              <w:t>Recovery mechanism</w:t>
            </w:r>
          </w:p>
        </w:tc>
        <w:tc>
          <w:tcPr>
            <w:tcW w:type="dxa" w:w="1656"/>
            <w:shd w:val="clear" w:color="auto" w:fill="0B1F3A"/>
            <w:tcMar>
              <w:top w:w="60" w:type="dxa"/>
              <w:start w:w="110" w:type="dxa"/>
              <w:bottom w:w="60" w:type="dxa"/>
              <w:end w:w="110" w:type="dxa"/>
            </w:tcMar>
          </w:tcPr>
          <w:p>
            <w:pPr>
              <w:spacing w:after="0"/>
            </w:pPr>
            <w:r/>
            <w:r>
              <w:rPr>
                <w:rFonts w:ascii="Calibri" w:hAnsi="Calibri"/>
                <w:b/>
                <w:i w:val="0"/>
                <w:color w:val="FFFFFF"/>
                <w:sz w:val="14"/>
              </w:rPr>
              <w:t>Logging requirement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EC-144</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member believes joining an Ajo guarantees a return, or expects the platform to cover a loss the way a guarantor would.</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product never implies a return or a guarantee, and never claims to. Terms, disclosures and the interface state that the organiser is not a guarantor and that AJO.ng provides no yield, no lending and no guarantee (BR-008, BR-027, BR-028).</w:t>
            </w:r>
          </w:p>
        </w:tc>
        <w:tc>
          <w:tcPr>
            <w:tcW w:type="dxa" w:w="1728"/>
            <w:tcMar>
              <w:top w:w="60" w:type="dxa"/>
              <w:start w:w="110" w:type="dxa"/>
              <w:bottom w:w="60" w:type="dxa"/>
              <w:end w:w="110" w:type="dxa"/>
            </w:tcMar>
          </w:tcPr>
          <w:p>
            <w:pPr>
              <w:spacing w:after="0"/>
            </w:pPr>
            <w:r/>
            <w:r>
              <w:rPr>
                <w:rFonts w:ascii="Calibri" w:hAnsi="Calibri"/>
                <w:i/>
                <w:color w:val="101828"/>
                <w:sz w:val="14"/>
              </w:rPr>
              <w:t>AJO.ng holds and tracks your Ajo. It is not an investment, and if a member does not pay, the platform does not cover it.</w:t>
            </w:r>
            <w:r>
              <w:rPr>
                <w:rFonts w:ascii="Calibri" w:hAnsi="Calibri"/>
                <w:b w:val="0"/>
                <w:i w:val="0"/>
                <w:color w:val="101828"/>
                <w:sz w:val="14"/>
              </w:rPr>
              <w:t xml:space="preserve"> Said once, clearly, at the moment of joining rather than buried in terms.</w:t>
            </w:r>
          </w:p>
        </w:tc>
        <w:tc>
          <w:tcPr>
            <w:tcW w:type="dxa" w:w="1584"/>
            <w:tcMar>
              <w:top w:w="60" w:type="dxa"/>
              <w:start w:w="110" w:type="dxa"/>
              <w:bottom w:w="60" w:type="dxa"/>
              <w:end w:w="110" w:type="dxa"/>
            </w:tcMar>
          </w:tcPr>
          <w:p>
            <w:pPr>
              <w:spacing w:after="0"/>
            </w:pPr>
            <w:r/>
            <w:r>
              <w:rPr>
                <w:rFonts w:ascii="Calibri" w:hAnsi="Calibri"/>
                <w:b w:val="0"/>
                <w:i w:val="0"/>
                <w:color w:val="101828"/>
                <w:sz w:val="14"/>
              </w:rPr>
              <w:t>None needed; this is the intended framing.</w:t>
            </w:r>
          </w:p>
        </w:tc>
        <w:tc>
          <w:tcPr>
            <w:tcW w:type="dxa" w:w="1656"/>
            <w:tcMar>
              <w:top w:w="60" w:type="dxa"/>
              <w:start w:w="110" w:type="dxa"/>
              <w:bottom w:w="60" w:type="dxa"/>
              <w:end w:w="110" w:type="dxa"/>
            </w:tcMar>
          </w:tcPr>
          <w:p>
            <w:pPr>
              <w:spacing w:after="0"/>
            </w:pPr>
            <w:r/>
            <w:r>
              <w:rPr>
                <w:rFonts w:ascii="Calibri" w:hAnsi="Calibri"/>
                <w:b w:val="0"/>
                <w:i w:val="0"/>
                <w:color w:val="101828"/>
                <w:sz w:val="14"/>
              </w:rPr>
              <w:t>Disclosure acknowledgement at enrollment, so the point was actually made to each member rather than merely published.</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EC-145</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believes a larger Ajo means a larger personal payout, or that more members means more money for them.</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The position order and the base pool are explicit before joining, and the member's own position is shown with its amount. A ten-member Ajo at NGN 1,000.00 per member pays a base pool of NGN 10,000.00, never NGN 10,200.00, because the 2% fee never reduces or inflates a payout.</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Ten members at NGN 1,000.00 each means NGN 10,000.00 for the recipient. The platform fee does not come out of that.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None; the numbers are shown before commitment (BR-011).</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Fee disclosure acknowledgement, retained per member.</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EC-146</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member believes the 2% fee is deducted from their NGN 1,000.00 contribution, so that the Ajo receives NGN 980.00.</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fee is added on top and always shown as three figures: contribution, fee, total. The member owes NGN 1,020.00, the escrow receives the net NGN 1,000.00, and the fee is recognised separately as fees_income (BR-010, BR-021).</w:t>
            </w:r>
          </w:p>
        </w:tc>
        <w:tc>
          <w:tcPr>
            <w:tcW w:type="dxa" w:w="1728"/>
            <w:tcMar>
              <w:top w:w="60" w:type="dxa"/>
              <w:start w:w="110" w:type="dxa"/>
              <w:bottom w:w="60" w:type="dxa"/>
              <w:end w:w="110" w:type="dxa"/>
            </w:tcMar>
          </w:tcPr>
          <w:p>
            <w:pPr>
              <w:spacing w:after="0"/>
            </w:pPr>
            <w:r/>
            <w:r>
              <w:rPr>
                <w:rFonts w:ascii="Calibri" w:hAnsi="Calibri"/>
                <w:i/>
                <w:color w:val="101828"/>
                <w:sz w:val="14"/>
              </w:rPr>
              <w:t>You pay NGN 1,000.00 plus a 2% fee of NGN 20.00, so NGN 1,020.00 in total. The Ajo receives the full NGN 1,000.00 of your contribution.</w:t>
            </w:r>
          </w:p>
        </w:tc>
        <w:tc>
          <w:tcPr>
            <w:tcW w:type="dxa" w:w="1584"/>
            <w:tcMar>
              <w:top w:w="60" w:type="dxa"/>
              <w:start w:w="110" w:type="dxa"/>
              <w:bottom w:w="60" w:type="dxa"/>
              <w:end w:w="110" w:type="dxa"/>
            </w:tcMar>
          </w:tcPr>
          <w:p>
            <w:pPr>
              <w:spacing w:after="0"/>
            </w:pPr>
            <w:r/>
            <w:r>
              <w:rPr>
                <w:rFonts w:ascii="Calibri" w:hAnsi="Calibri"/>
                <w:b w:val="0"/>
                <w:i w:val="0"/>
                <w:color w:val="101828"/>
                <w:sz w:val="14"/>
              </w:rPr>
              <w:t>The receipt repeats the same three figures, so a misunderstanding is corrected by the artefact rather than by an argument.</w:t>
            </w:r>
          </w:p>
        </w:tc>
        <w:tc>
          <w:tcPr>
            <w:tcW w:type="dxa" w:w="1656"/>
            <w:tcMar>
              <w:top w:w="60" w:type="dxa"/>
              <w:start w:w="110" w:type="dxa"/>
              <w:bottom w:w="60" w:type="dxa"/>
              <w:end w:w="110" w:type="dxa"/>
            </w:tcMar>
          </w:tcPr>
          <w:p>
            <w:pPr>
              <w:spacing w:after="0"/>
            </w:pPr>
            <w:r/>
            <w:r>
              <w:rPr>
                <w:rFonts w:ascii="Calibri" w:hAnsi="Calibri"/>
                <w:b w:val="0"/>
                <w:i w:val="0"/>
                <w:color w:val="101828"/>
                <w:sz w:val="14"/>
              </w:rPr>
              <w:t>Disclosure acknowledgement, and any support contact about the fee, which is a signal that the wording is not yet clear enough.</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EC-147</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requests an early payout before their round completes, or asks to be skipped to the front of the order.</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Refused, and explained rather than merely rejected. A payout arises from a completed round with fully available funds; positions and the schedule are locked on activation (BR-002, BR-004, BR-018).</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Payouts follow the round order that everyone agreed to when the Ajo started, and yours is third. Changing it needs a replacement request from the organiser.</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A formal replacement or transfer request, which the organizer reviews.</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Requests logged with their reason. A cluster of early-payout requests is feedback on the product, not a queue of exceptions to process faster.</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EC-148</w:t>
            </w:r>
          </w:p>
        </w:tc>
        <w:tc>
          <w:tcPr>
            <w:tcW w:type="dxa" w:w="1656"/>
            <w:tcMar>
              <w:top w:w="60" w:type="dxa"/>
              <w:start w:w="110" w:type="dxa"/>
              <w:bottom w:w="60" w:type="dxa"/>
              <w:end w:w="110" w:type="dxa"/>
            </w:tcMar>
          </w:tcPr>
          <w:p>
            <w:pPr>
              <w:spacing w:after="0"/>
            </w:pPr>
            <w:r/>
            <w:r>
              <w:rPr>
                <w:rFonts w:ascii="Calibri" w:hAnsi="Calibri"/>
                <w:b w:val="0"/>
                <w:i w:val="0"/>
                <w:color w:val="101828"/>
                <w:sz w:val="14"/>
              </w:rPr>
              <w:t>A member assumes the organiser can see their individual payment activity in detail, or that the platform shares payment data with them.</w:t>
            </w:r>
          </w:p>
        </w:tc>
        <w:tc>
          <w:tcPr>
            <w:tcW w:type="dxa" w:w="2088"/>
            <w:tcMar>
              <w:top w:w="60" w:type="dxa"/>
              <w:start w:w="110" w:type="dxa"/>
              <w:bottom w:w="60" w:type="dxa"/>
              <w:end w:w="110" w:type="dxa"/>
            </w:tcMar>
          </w:tcPr>
          <w:p>
            <w:pPr>
              <w:spacing w:after="0"/>
            </w:pPr>
            <w:r/>
            <w:r>
              <w:rPr>
                <w:rFonts w:ascii="Calibri" w:hAnsi="Calibri"/>
                <w:b w:val="0"/>
                <w:i w:val="0"/>
                <w:color w:val="101828"/>
                <w:sz w:val="14"/>
              </w:rPr>
              <w:t>Organizers see the funding position they need, not member-level payment telemetry. The organiser never handles the money, and support never moves it (BR-022, BR-023). What an organizer can see is stated plainly, so nobody is surprised in either direction.</w:t>
            </w:r>
          </w:p>
        </w:tc>
        <w:tc>
          <w:tcPr>
            <w:tcW w:type="dxa" w:w="1728"/>
            <w:tcMar>
              <w:top w:w="60" w:type="dxa"/>
              <w:start w:w="110" w:type="dxa"/>
              <w:bottom w:w="60" w:type="dxa"/>
              <w:end w:w="110" w:type="dxa"/>
            </w:tcMar>
          </w:tcPr>
          <w:p>
            <w:pPr>
              <w:spacing w:after="0"/>
            </w:pPr>
            <w:r/>
            <w:r>
              <w:rPr>
                <w:rFonts w:ascii="Calibri" w:hAnsi="Calibri"/>
                <w:i/>
                <w:color w:val="101828"/>
                <w:sz w:val="14"/>
              </w:rPr>
              <w:t>Your organiser can see whether the round is covered, and they get reminders. Your individual payment history is yours.</w:t>
            </w:r>
          </w:p>
        </w:tc>
        <w:tc>
          <w:tcPr>
            <w:tcW w:type="dxa" w:w="1584"/>
            <w:tcMar>
              <w:top w:w="60" w:type="dxa"/>
              <w:start w:w="110" w:type="dxa"/>
              <w:bottom w:w="60" w:type="dxa"/>
              <w:end w:w="110" w:type="dxa"/>
            </w:tcMar>
          </w:tcPr>
          <w:p>
            <w:pPr>
              <w:spacing w:after="0"/>
            </w:pPr>
            <w:r/>
            <w:r>
              <w:rPr>
                <w:rFonts w:ascii="Calibri" w:hAnsi="Calibri"/>
                <w:b w:val="0"/>
                <w:i w:val="0"/>
                <w:color w:val="101828"/>
                <w:sz w:val="14"/>
              </w:rPr>
              <w:t>None needed.</w:t>
            </w:r>
          </w:p>
        </w:tc>
        <w:tc>
          <w:tcPr>
            <w:tcW w:type="dxa" w:w="1656"/>
            <w:tcMar>
              <w:top w:w="60" w:type="dxa"/>
              <w:start w:w="110" w:type="dxa"/>
              <w:bottom w:w="60" w:type="dxa"/>
              <w:end w:w="110" w:type="dxa"/>
            </w:tcMar>
          </w:tcPr>
          <w:p>
            <w:pPr>
              <w:spacing w:after="0"/>
            </w:pPr>
            <w:r/>
            <w:r>
              <w:rPr>
                <w:rFonts w:ascii="Calibri" w:hAnsi="Calibri"/>
                <w:b w:val="0"/>
                <w:i w:val="0"/>
                <w:color w:val="101828"/>
                <w:sz w:val="14"/>
              </w:rPr>
              <w:t>Members-endpoint access logs, so a claim that an organiser saw more than they should have can be answered with evidence.</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EC-149</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disputes the outcome of a completed Ajo and asks for their money back because the pool is smaller than they expected.</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Explained with the actual figures and the position order that was agreed at activation. A return is never implied and a shortfall is never quietly absorbed, because an implied return is exactly the belief the product must not create (BR-027, BR-018).</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Here is the round: ten members at NGN 1,000.00, a base pool of NGN 10,000.00, and your position in the agreed order. If you think that order is wrong, you can raise a dispute.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Dispute, with evidence and a decision on the record.</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Dispute opened, resolved or not, with the figures quoted to the member. A dispute citing pool size is a comprehension signal, not just a service request.</w:t>
            </w:r>
          </w:p>
        </w:tc>
      </w:tr>
      <w:tr>
        <w:trPr>
          <w:cantSplit/>
        </w:trPr>
        <w:tc>
          <w:tcPr>
            <w:tcW w:type="dxa" w:w="648"/>
            <w:tcMar>
              <w:top w:w="60" w:type="dxa"/>
              <w:start w:w="110" w:type="dxa"/>
              <w:bottom w:w="60" w:type="dxa"/>
              <w:end w:w="110" w:type="dxa"/>
            </w:tcMar>
          </w:tcPr>
          <w:p>
            <w:pPr>
              <w:spacing w:after="0"/>
            </w:pPr>
            <w:r/>
            <w:r>
              <w:rPr>
                <w:rFonts w:ascii="Calibri" w:hAnsi="Calibri"/>
                <w:b w:val="0"/>
                <w:i w:val="0"/>
                <w:color w:val="101828"/>
                <w:sz w:val="14"/>
              </w:rPr>
              <w:t>EC-150</w:t>
            </w:r>
          </w:p>
        </w:tc>
        <w:tc>
          <w:tcPr>
            <w:tcW w:type="dxa" w:w="1656"/>
            <w:tcMar>
              <w:top w:w="60" w:type="dxa"/>
              <w:start w:w="110" w:type="dxa"/>
              <w:bottom w:w="60" w:type="dxa"/>
              <w:end w:w="110" w:type="dxa"/>
            </w:tcMar>
          </w:tcPr>
          <w:p>
            <w:pPr>
              <w:spacing w:after="0"/>
            </w:pPr>
            <w:r/>
            <w:r>
              <w:rPr>
                <w:rFonts w:ascii="Calibri" w:hAnsi="Calibri"/>
                <w:b w:val="0"/>
                <w:i w:val="0"/>
                <w:color w:val="101828"/>
                <w:sz w:val="14"/>
              </w:rPr>
              <w:t>An organiser pressures members in a group chat, or shares member details and payment status in a WhatsApp group outside the platform.</w:t>
            </w:r>
          </w:p>
        </w:tc>
        <w:tc>
          <w:tcPr>
            <w:tcW w:type="dxa" w:w="2088"/>
            <w:tcMar>
              <w:top w:w="60" w:type="dxa"/>
              <w:start w:w="110" w:type="dxa"/>
              <w:bottom w:w="60" w:type="dxa"/>
              <w:end w:w="110" w:type="dxa"/>
            </w:tcMar>
          </w:tcPr>
          <w:p>
            <w:pPr>
              <w:spacing w:after="0"/>
            </w:pPr>
            <w:r/>
            <w:r>
              <w:rPr>
                <w:rFonts w:ascii="Calibri" w:hAnsi="Calibri"/>
                <w:b w:val="0"/>
                <w:i w:val="0"/>
                <w:color w:val="101828"/>
                <w:sz w:val="14"/>
              </w:rPr>
              <w:t>The platform does not participate in that pressure and does not expose individual defaults to any member, including through its own notifications (BR-014). Members are given the route to raise a concern with support, and organiser conduct that crosses into coercion is a risk matter, not a feature request.</w:t>
            </w:r>
          </w:p>
        </w:tc>
        <w:tc>
          <w:tcPr>
            <w:tcW w:type="dxa" w:w="1728"/>
            <w:tcMar>
              <w:top w:w="60" w:type="dxa"/>
              <w:start w:w="110" w:type="dxa"/>
              <w:bottom w:w="60" w:type="dxa"/>
              <w:end w:w="110" w:type="dxa"/>
            </w:tcMar>
          </w:tcPr>
          <w:p>
            <w:pPr>
              <w:spacing w:after="0"/>
            </w:pPr>
            <w:r/>
            <w:r>
              <w:rPr>
                <w:rFonts w:ascii="Calibri" w:hAnsi="Calibri"/>
                <w:i/>
                <w:color w:val="101828"/>
                <w:sz w:val="14"/>
              </w:rPr>
              <w:t>The organiser cannot see who paid and who did not. If you are being pressured, tell us - that is not how this should work.</w:t>
            </w:r>
          </w:p>
        </w:tc>
        <w:tc>
          <w:tcPr>
            <w:tcW w:type="dxa" w:w="1584"/>
            <w:tcMar>
              <w:top w:w="60" w:type="dxa"/>
              <w:start w:w="110" w:type="dxa"/>
              <w:bottom w:w="60" w:type="dxa"/>
              <w:end w:w="110" w:type="dxa"/>
            </w:tcMar>
          </w:tcPr>
          <w:p>
            <w:pPr>
              <w:spacing w:after="0"/>
            </w:pPr>
            <w:r/>
            <w:r>
              <w:rPr>
                <w:rFonts w:ascii="Calibri" w:hAnsi="Calibri"/>
                <w:b w:val="0"/>
                <w:i w:val="0"/>
                <w:color w:val="101828"/>
                <w:sz w:val="14"/>
              </w:rPr>
              <w:t xml:space="preserve">Report, then </w:t>
            </w:r>
            <w:r>
              <w:rPr>
                <w:rFonts w:ascii="Consolas" w:hAnsi="Consolas"/>
                <w:color w:val="146EF5"/>
                <w:sz w:val="14"/>
              </w:rPr>
              <w:t>risk_officer</w:t>
            </w:r>
            <w:r>
              <w:rPr>
                <w:rFonts w:ascii="Calibri" w:hAnsi="Calibri"/>
                <w:b w:val="0"/>
                <w:i w:val="0"/>
                <w:color w:val="101828"/>
                <w:sz w:val="14"/>
              </w:rPr>
              <w:t xml:space="preserve"> review; repeated coercion can lead to the organiser being removed from future Ajos.</w:t>
            </w:r>
          </w:p>
        </w:tc>
        <w:tc>
          <w:tcPr>
            <w:tcW w:type="dxa" w:w="1656"/>
            <w:tcMar>
              <w:top w:w="60" w:type="dxa"/>
              <w:start w:w="110" w:type="dxa"/>
              <w:bottom w:w="60" w:type="dxa"/>
              <w:end w:w="110" w:type="dxa"/>
            </w:tcMar>
          </w:tcPr>
          <w:p>
            <w:pPr>
              <w:spacing w:after="0"/>
            </w:pPr>
            <w:r/>
            <w:r>
              <w:rPr>
                <w:rFonts w:ascii="Calibri" w:hAnsi="Calibri"/>
                <w:b w:val="0"/>
                <w:i w:val="0"/>
                <w:color w:val="101828"/>
                <w:sz w:val="14"/>
              </w:rPr>
              <w:t>Reports with outcome, and the distinction maintained between a financial default and a conduct concern, because conflating them is how a platform ends up punishing a member for a member's behaviour.</w:t>
            </w:r>
          </w:p>
        </w:tc>
      </w:tr>
      <w:tr>
        <w:trPr>
          <w:cantSplit/>
        </w:trPr>
        <w:tc>
          <w:tcPr>
            <w:tcW w:type="dxa" w:w="648"/>
            <w:tcMar>
              <w:top w:w="60" w:type="dxa"/>
              <w:start w:w="110" w:type="dxa"/>
              <w:bottom w:w="60" w:type="dxa"/>
              <w:end w:w="110" w:type="dxa"/>
            </w:tcMar>
            <w:shd w:val="clear" w:color="auto" w:fill="F4F7FB"/>
          </w:tcPr>
          <w:p>
            <w:pPr>
              <w:spacing w:after="0"/>
            </w:pPr>
            <w:r/>
            <w:r>
              <w:rPr>
                <w:rFonts w:ascii="Calibri" w:hAnsi="Calibri"/>
                <w:b w:val="0"/>
                <w:i w:val="0"/>
                <w:color w:val="101828"/>
                <w:sz w:val="14"/>
              </w:rPr>
              <w:t>EC-151</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A member concludes the 2% fee means AJO.ng is a scam, or that the app is taking a cut of the savings itself.</w:t>
            </w:r>
          </w:p>
        </w:tc>
        <w:tc>
          <w:tcPr>
            <w:tcW w:type="dxa" w:w="2088"/>
            <w:tcMar>
              <w:top w:w="60" w:type="dxa"/>
              <w:start w:w="110" w:type="dxa"/>
              <w:bottom w:w="60" w:type="dxa"/>
              <w:end w:w="110" w:type="dxa"/>
            </w:tcMar>
            <w:shd w:val="clear" w:color="auto" w:fill="F4F7FB"/>
          </w:tcPr>
          <w:p>
            <w:pPr>
              <w:spacing w:after="0"/>
            </w:pPr>
            <w:r/>
            <w:r>
              <w:rPr>
                <w:rFonts w:ascii="Calibri" w:hAnsi="Calibri"/>
                <w:b w:val="0"/>
                <w:i w:val="0"/>
                <w:color w:val="101828"/>
                <w:sz w:val="14"/>
              </w:rPr>
              <w:t>Fees are disclosed before commitment and shown on every receipt, and the fee is never taken from the pool. The 2% is the whole business model, stated plainly: a fee on the deposit, added on top, never taken from anyone's savings.</w:t>
            </w:r>
          </w:p>
        </w:tc>
        <w:tc>
          <w:tcPr>
            <w:tcW w:type="dxa" w:w="1728"/>
            <w:tcMar>
              <w:top w:w="60" w:type="dxa"/>
              <w:start w:w="110" w:type="dxa"/>
              <w:bottom w:w="60" w:type="dxa"/>
              <w:end w:w="110" w:type="dxa"/>
            </w:tcMar>
            <w:shd w:val="clear" w:color="auto" w:fill="F4F7FB"/>
          </w:tcPr>
          <w:p>
            <w:pPr>
              <w:spacing w:after="0"/>
            </w:pPr>
            <w:r/>
            <w:r>
              <w:rPr>
                <w:rFonts w:ascii="Calibri" w:hAnsi="Calibri"/>
                <w:i/>
                <w:color w:val="101828"/>
                <w:sz w:val="14"/>
              </w:rPr>
              <w:t>We charge 2% of each contribution, NGN 20.00 on NGN 1,000.00, as our fee. The recipient still receives the full base pool.</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4"/>
              </w:rPr>
              <w:t>Direct answer, then a referral to the fee and trust pages; unresolved suspicion is escalated, because a member who believes they are being defrauded will not wait for an email.</w:t>
            </w:r>
          </w:p>
        </w:tc>
        <w:tc>
          <w:tcPr>
            <w:tcW w:type="dxa" w:w="1656"/>
            <w:tcMar>
              <w:top w:w="60" w:type="dxa"/>
              <w:start w:w="110" w:type="dxa"/>
              <w:bottom w:w="60" w:type="dxa"/>
              <w:end w:w="110" w:type="dxa"/>
            </w:tcMar>
            <w:shd w:val="clear" w:color="auto" w:fill="F4F7FB"/>
          </w:tcPr>
          <w:p>
            <w:pPr>
              <w:spacing w:after="0"/>
            </w:pPr>
            <w:r/>
            <w:r>
              <w:rPr>
                <w:rFonts w:ascii="Calibri" w:hAnsi="Calibri"/>
                <w:b w:val="0"/>
                <w:i w:val="0"/>
                <w:color w:val="101828"/>
                <w:sz w:val="14"/>
              </w:rPr>
              <w:t>Fee-related contacts and abandonment after the fee disclosure step. A high drop-off at that exact step is a comprehension problem in our own wording, and is treated as a design defect rather than a pricing decision.</w:t>
            </w:r>
          </w:p>
        </w:tc>
      </w:tr>
    </w:tbl>
    <w:p>
      <w:pPr>
        <w:spacing w:after="80"/>
      </w:pPr>
    </w:p>
    <w:p>
      <w:r>
        <w:br w:type="page"/>
      </w:r>
    </w:p>
    <w:p>
      <w:pPr>
        <w:pStyle w:val="Heading2"/>
      </w:pPr>
      <w:r>
        <w:rPr>
          <w:rFonts w:ascii="Calibri" w:hAnsi="Calibri"/>
          <w:b/>
          <w:i w:val="0"/>
          <w:color w:val="146EF5"/>
          <w:sz w:val="29"/>
        </w:rPr>
        <w:t>19.11 Coverage map</w:t>
      </w:r>
    </w:p>
    <w:p>
      <w:r>
        <w:rPr>
          <w:rFonts w:ascii="Calibri" w:hAnsi="Calibri"/>
          <w:b w:val="0"/>
          <w:i w:val="0"/>
          <w:color w:val="101828"/>
          <w:sz w:val="21"/>
        </w:rPr>
        <w:t>One hundred and fifty-one cases across ten classes. The map below states what each class is protecting, so that a reader can see the shape of the risk surface rather than only the volume of the table. The ordering of severity within a class is the ordering used by the on-call runbook in 19.13.</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7"/>
              </w:rPr>
              <w:t>Class</w:t>
            </w:r>
          </w:p>
        </w:tc>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7"/>
              </w:rPr>
              <w:t>Cases</w:t>
            </w:r>
          </w:p>
        </w:tc>
        <w:tc>
          <w:tcPr>
            <w:tcW w:type="dxa" w:w="1512"/>
            <w:shd w:val="clear" w:color="auto" w:fill="0B1F3A"/>
            <w:tcMar>
              <w:top w:w="60" w:type="dxa"/>
              <w:start w:w="110" w:type="dxa"/>
              <w:bottom w:w="60" w:type="dxa"/>
              <w:end w:w="110" w:type="dxa"/>
            </w:tcMar>
          </w:tcPr>
          <w:p>
            <w:pPr>
              <w:spacing w:after="0"/>
            </w:pPr>
            <w:r/>
            <w:r>
              <w:rPr>
                <w:rFonts w:ascii="Calibri" w:hAnsi="Calibri"/>
                <w:b/>
                <w:i w:val="0"/>
                <w:color w:val="FFFFFF"/>
                <w:sz w:val="17"/>
              </w:rPr>
              <w:t>ID range</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7"/>
              </w:rPr>
              <w:t>Money at risk</w:t>
            </w:r>
          </w:p>
        </w:tc>
        <w:tc>
          <w:tcPr>
            <w:tcW w:type="dxa" w:w="1944"/>
            <w:shd w:val="clear" w:color="auto" w:fill="0B1F3A"/>
            <w:tcMar>
              <w:top w:w="60" w:type="dxa"/>
              <w:start w:w="110" w:type="dxa"/>
              <w:bottom w:w="60" w:type="dxa"/>
              <w:end w:w="110" w:type="dxa"/>
            </w:tcMar>
          </w:tcPr>
          <w:p>
            <w:pPr>
              <w:spacing w:after="0"/>
            </w:pPr>
            <w:r/>
            <w:r>
              <w:rPr>
                <w:rFonts w:ascii="Calibri" w:hAnsi="Calibri"/>
                <w:b/>
                <w:i w:val="0"/>
                <w:color w:val="FFFFFF"/>
                <w:sz w:val="17"/>
              </w:rPr>
              <w:t>Trust exposure</w:t>
            </w:r>
          </w:p>
        </w:tc>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7"/>
              </w:rPr>
              <w:t>Worst severity</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7"/>
              </w:rPr>
              <w:t>19.1 Payment</w:t>
            </w:r>
          </w:p>
        </w:tc>
        <w:tc>
          <w:tcPr>
            <w:tcW w:type="dxa" w:w="720"/>
            <w:tcMar>
              <w:top w:w="60" w:type="dxa"/>
              <w:start w:w="110" w:type="dxa"/>
              <w:bottom w:w="60" w:type="dxa"/>
              <w:end w:w="110" w:type="dxa"/>
            </w:tcMar>
          </w:tcPr>
          <w:p>
            <w:pPr>
              <w:spacing w:after="0"/>
            </w:pPr>
            <w:r/>
            <w:r>
              <w:rPr>
                <w:rFonts w:ascii="Calibri" w:hAnsi="Calibri"/>
                <w:b w:val="0"/>
                <w:i w:val="0"/>
                <w:color w:val="101828"/>
                <w:sz w:val="17"/>
              </w:rPr>
              <w:t>29</w:t>
            </w:r>
          </w:p>
        </w:tc>
        <w:tc>
          <w:tcPr>
            <w:tcW w:type="dxa" w:w="1512"/>
            <w:tcMar>
              <w:top w:w="60" w:type="dxa"/>
              <w:start w:w="110" w:type="dxa"/>
              <w:bottom w:w="60" w:type="dxa"/>
              <w:end w:w="110" w:type="dxa"/>
            </w:tcMar>
          </w:tcPr>
          <w:p>
            <w:pPr>
              <w:spacing w:after="0"/>
            </w:pPr>
            <w:r/>
            <w:r>
              <w:rPr>
                <w:rFonts w:ascii="Calibri" w:hAnsi="Calibri"/>
                <w:b w:val="0"/>
                <w:i w:val="0"/>
                <w:color w:val="101828"/>
                <w:sz w:val="17"/>
              </w:rPr>
              <w:t>EC-001 to EC-029</w:t>
            </w:r>
          </w:p>
        </w:tc>
        <w:tc>
          <w:tcPr>
            <w:tcW w:type="dxa" w:w="1296"/>
            <w:tcMar>
              <w:top w:w="60" w:type="dxa"/>
              <w:start w:w="110" w:type="dxa"/>
              <w:bottom w:w="60" w:type="dxa"/>
              <w:end w:w="110" w:type="dxa"/>
            </w:tcMar>
          </w:tcPr>
          <w:p>
            <w:pPr>
              <w:spacing w:after="0"/>
            </w:pPr>
            <w:r/>
            <w:r>
              <w:rPr>
                <w:rFonts w:ascii="Calibri" w:hAnsi="Calibri"/>
                <w:b w:val="0"/>
                <w:i w:val="0"/>
                <w:color w:val="101828"/>
                <w:sz w:val="17"/>
              </w:rPr>
              <w:t>High</w:t>
            </w:r>
          </w:p>
        </w:tc>
        <w:tc>
          <w:tcPr>
            <w:tcW w:type="dxa" w:w="1944"/>
            <w:tcMar>
              <w:top w:w="60" w:type="dxa"/>
              <w:start w:w="110" w:type="dxa"/>
              <w:bottom w:w="60" w:type="dxa"/>
              <w:end w:w="110" w:type="dxa"/>
            </w:tcMar>
          </w:tcPr>
          <w:p>
            <w:pPr>
              <w:spacing w:after="0"/>
            </w:pPr>
            <w:r/>
            <w:r>
              <w:rPr>
                <w:rFonts w:ascii="Calibri" w:hAnsi="Calibri"/>
                <w:b w:val="0"/>
                <w:i w:val="0"/>
                <w:color w:val="101828"/>
                <w:sz w:val="17"/>
              </w:rPr>
              <w:t>High</w:t>
            </w:r>
          </w:p>
        </w:tc>
        <w:tc>
          <w:tcPr>
            <w:tcW w:type="dxa" w:w="1152"/>
            <w:tcMar>
              <w:top w:w="60" w:type="dxa"/>
              <w:start w:w="110" w:type="dxa"/>
              <w:bottom w:w="60" w:type="dxa"/>
              <w:end w:w="110" w:type="dxa"/>
            </w:tcMar>
          </w:tcPr>
          <w:p>
            <w:pPr>
              <w:spacing w:after="0"/>
            </w:pPr>
            <w:r/>
            <w:r>
              <w:rPr>
                <w:rFonts w:ascii="Calibri" w:hAnsi="Calibri"/>
                <w:b w:val="0"/>
                <w:i w:val="0"/>
                <w:color w:val="101828"/>
                <w:sz w:val="17"/>
              </w:rPr>
              <w:t>S1</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7"/>
              </w:rPr>
              <w:t>19.2 Connectivity and client</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7"/>
              </w:rPr>
              <w:t>7</w:t>
            </w:r>
          </w:p>
        </w:tc>
        <w:tc>
          <w:tcPr>
            <w:tcW w:type="dxa" w:w="1512"/>
            <w:tcMar>
              <w:top w:w="60" w:type="dxa"/>
              <w:start w:w="110" w:type="dxa"/>
              <w:bottom w:w="60" w:type="dxa"/>
              <w:end w:w="110" w:type="dxa"/>
            </w:tcMar>
            <w:shd w:val="clear" w:color="auto" w:fill="F4F7FB"/>
          </w:tcPr>
          <w:p>
            <w:pPr>
              <w:spacing w:after="0"/>
            </w:pPr>
            <w:r/>
            <w:r>
              <w:rPr>
                <w:rFonts w:ascii="Calibri" w:hAnsi="Calibri"/>
                <w:b w:val="0"/>
                <w:i w:val="0"/>
                <w:color w:val="101828"/>
                <w:sz w:val="17"/>
              </w:rPr>
              <w:t>EC-030 to EC-036</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7"/>
              </w:rPr>
              <w:t>Low</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7"/>
              </w:rPr>
              <w:t>Medium</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S2</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7"/>
              </w:rPr>
              <w:t>19.3 Provider and webhook</w:t>
            </w:r>
          </w:p>
        </w:tc>
        <w:tc>
          <w:tcPr>
            <w:tcW w:type="dxa" w:w="720"/>
            <w:tcMar>
              <w:top w:w="60" w:type="dxa"/>
              <w:start w:w="110" w:type="dxa"/>
              <w:bottom w:w="60" w:type="dxa"/>
              <w:end w:w="110" w:type="dxa"/>
            </w:tcMar>
          </w:tcPr>
          <w:p>
            <w:pPr>
              <w:spacing w:after="0"/>
            </w:pPr>
            <w:r/>
            <w:r>
              <w:rPr>
                <w:rFonts w:ascii="Calibri" w:hAnsi="Calibri"/>
                <w:b w:val="0"/>
                <w:i w:val="0"/>
                <w:color w:val="101828"/>
                <w:sz w:val="17"/>
              </w:rPr>
              <w:t>13</w:t>
            </w:r>
          </w:p>
        </w:tc>
        <w:tc>
          <w:tcPr>
            <w:tcW w:type="dxa" w:w="1512"/>
            <w:tcMar>
              <w:top w:w="60" w:type="dxa"/>
              <w:start w:w="110" w:type="dxa"/>
              <w:bottom w:w="60" w:type="dxa"/>
              <w:end w:w="110" w:type="dxa"/>
            </w:tcMar>
          </w:tcPr>
          <w:p>
            <w:pPr>
              <w:spacing w:after="0"/>
            </w:pPr>
            <w:r/>
            <w:r>
              <w:rPr>
                <w:rFonts w:ascii="Calibri" w:hAnsi="Calibri"/>
                <w:b w:val="0"/>
                <w:i w:val="0"/>
                <w:color w:val="101828"/>
                <w:sz w:val="17"/>
              </w:rPr>
              <w:t>EC-037 to EC-049</w:t>
            </w:r>
          </w:p>
        </w:tc>
        <w:tc>
          <w:tcPr>
            <w:tcW w:type="dxa" w:w="1296"/>
            <w:tcMar>
              <w:top w:w="60" w:type="dxa"/>
              <w:start w:w="110" w:type="dxa"/>
              <w:bottom w:w="60" w:type="dxa"/>
              <w:end w:w="110" w:type="dxa"/>
            </w:tcMar>
          </w:tcPr>
          <w:p>
            <w:pPr>
              <w:spacing w:after="0"/>
            </w:pPr>
            <w:r/>
            <w:r>
              <w:rPr>
                <w:rFonts w:ascii="Calibri" w:hAnsi="Calibri"/>
                <w:b w:val="0"/>
                <w:i w:val="0"/>
                <w:color w:val="101828"/>
                <w:sz w:val="17"/>
              </w:rPr>
              <w:t>High</w:t>
            </w:r>
          </w:p>
        </w:tc>
        <w:tc>
          <w:tcPr>
            <w:tcW w:type="dxa" w:w="1944"/>
            <w:tcMar>
              <w:top w:w="60" w:type="dxa"/>
              <w:start w:w="110" w:type="dxa"/>
              <w:bottom w:w="60" w:type="dxa"/>
              <w:end w:w="110" w:type="dxa"/>
            </w:tcMar>
          </w:tcPr>
          <w:p>
            <w:pPr>
              <w:spacing w:after="0"/>
            </w:pPr>
            <w:r/>
            <w:r>
              <w:rPr>
                <w:rFonts w:ascii="Calibri" w:hAnsi="Calibri"/>
                <w:b w:val="0"/>
                <w:i w:val="0"/>
                <w:color w:val="101828"/>
                <w:sz w:val="17"/>
              </w:rPr>
              <w:t>High</w:t>
            </w:r>
          </w:p>
        </w:tc>
        <w:tc>
          <w:tcPr>
            <w:tcW w:type="dxa" w:w="1152"/>
            <w:tcMar>
              <w:top w:w="60" w:type="dxa"/>
              <w:start w:w="110" w:type="dxa"/>
              <w:bottom w:w="60" w:type="dxa"/>
              <w:end w:w="110" w:type="dxa"/>
            </w:tcMar>
          </w:tcPr>
          <w:p>
            <w:pPr>
              <w:spacing w:after="0"/>
            </w:pPr>
            <w:r/>
            <w:r>
              <w:rPr>
                <w:rFonts w:ascii="Calibri" w:hAnsi="Calibri"/>
                <w:b w:val="0"/>
                <w:i w:val="0"/>
                <w:color w:val="101828"/>
                <w:sz w:val="17"/>
              </w:rPr>
              <w:t>S1</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7"/>
              </w:rPr>
              <w:t>19.4 Scheduling and lifecycle</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7"/>
              </w:rPr>
              <w:t>19</w:t>
            </w:r>
          </w:p>
        </w:tc>
        <w:tc>
          <w:tcPr>
            <w:tcW w:type="dxa" w:w="1512"/>
            <w:tcMar>
              <w:top w:w="60" w:type="dxa"/>
              <w:start w:w="110" w:type="dxa"/>
              <w:bottom w:w="60" w:type="dxa"/>
              <w:end w:w="110" w:type="dxa"/>
            </w:tcMar>
            <w:shd w:val="clear" w:color="auto" w:fill="F4F7FB"/>
          </w:tcPr>
          <w:p>
            <w:pPr>
              <w:spacing w:after="0"/>
            </w:pPr>
            <w:r/>
            <w:r>
              <w:rPr>
                <w:rFonts w:ascii="Calibri" w:hAnsi="Calibri"/>
                <w:b w:val="0"/>
                <w:i w:val="0"/>
                <w:color w:val="101828"/>
                <w:sz w:val="17"/>
              </w:rPr>
              <w:t>EC-050 to EC-068</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7"/>
              </w:rPr>
              <w:t>High</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7"/>
              </w:rPr>
              <w:t>High</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S1</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7"/>
              </w:rPr>
              <w:t>19.5 Notification</w:t>
            </w:r>
          </w:p>
        </w:tc>
        <w:tc>
          <w:tcPr>
            <w:tcW w:type="dxa" w:w="720"/>
            <w:tcMar>
              <w:top w:w="60" w:type="dxa"/>
              <w:start w:w="110" w:type="dxa"/>
              <w:bottom w:w="60" w:type="dxa"/>
              <w:end w:w="110" w:type="dxa"/>
            </w:tcMar>
          </w:tcPr>
          <w:p>
            <w:pPr>
              <w:spacing w:after="0"/>
            </w:pPr>
            <w:r/>
            <w:r>
              <w:rPr>
                <w:rFonts w:ascii="Calibri" w:hAnsi="Calibri"/>
                <w:b w:val="0"/>
                <w:i w:val="0"/>
                <w:color w:val="101828"/>
                <w:sz w:val="17"/>
              </w:rPr>
              <w:t>8</w:t>
            </w:r>
          </w:p>
        </w:tc>
        <w:tc>
          <w:tcPr>
            <w:tcW w:type="dxa" w:w="1512"/>
            <w:tcMar>
              <w:top w:w="60" w:type="dxa"/>
              <w:start w:w="110" w:type="dxa"/>
              <w:bottom w:w="60" w:type="dxa"/>
              <w:end w:w="110" w:type="dxa"/>
            </w:tcMar>
          </w:tcPr>
          <w:p>
            <w:pPr>
              <w:spacing w:after="0"/>
            </w:pPr>
            <w:r/>
            <w:r>
              <w:rPr>
                <w:rFonts w:ascii="Calibri" w:hAnsi="Calibri"/>
                <w:b w:val="0"/>
                <w:i w:val="0"/>
                <w:color w:val="101828"/>
                <w:sz w:val="17"/>
              </w:rPr>
              <w:t>EC-069 to EC-076</w:t>
            </w:r>
          </w:p>
        </w:tc>
        <w:tc>
          <w:tcPr>
            <w:tcW w:type="dxa" w:w="1296"/>
            <w:tcMar>
              <w:top w:w="60" w:type="dxa"/>
              <w:start w:w="110" w:type="dxa"/>
              <w:bottom w:w="60" w:type="dxa"/>
              <w:end w:w="110" w:type="dxa"/>
            </w:tcMar>
          </w:tcPr>
          <w:p>
            <w:pPr>
              <w:spacing w:after="0"/>
            </w:pPr>
            <w:r/>
            <w:r>
              <w:rPr>
                <w:rFonts w:ascii="Calibri" w:hAnsi="Calibri"/>
                <w:b w:val="0"/>
                <w:i w:val="0"/>
                <w:color w:val="101828"/>
                <w:sz w:val="17"/>
              </w:rPr>
              <w:t>None</w:t>
            </w:r>
          </w:p>
        </w:tc>
        <w:tc>
          <w:tcPr>
            <w:tcW w:type="dxa" w:w="1944"/>
            <w:tcMar>
              <w:top w:w="60" w:type="dxa"/>
              <w:start w:w="110" w:type="dxa"/>
              <w:bottom w:w="60" w:type="dxa"/>
              <w:end w:w="110" w:type="dxa"/>
            </w:tcMar>
          </w:tcPr>
          <w:p>
            <w:pPr>
              <w:spacing w:after="0"/>
            </w:pPr>
            <w:r/>
            <w:r>
              <w:rPr>
                <w:rFonts w:ascii="Calibri" w:hAnsi="Calibri"/>
                <w:b w:val="0"/>
                <w:i w:val="0"/>
                <w:color w:val="101828"/>
                <w:sz w:val="17"/>
              </w:rPr>
              <w:t>High</w:t>
            </w:r>
          </w:p>
        </w:tc>
        <w:tc>
          <w:tcPr>
            <w:tcW w:type="dxa" w:w="1152"/>
            <w:tcMar>
              <w:top w:w="60" w:type="dxa"/>
              <w:start w:w="110" w:type="dxa"/>
              <w:bottom w:w="60" w:type="dxa"/>
              <w:end w:w="110" w:type="dxa"/>
            </w:tcMar>
          </w:tcPr>
          <w:p>
            <w:pPr>
              <w:spacing w:after="0"/>
            </w:pPr>
            <w:r/>
            <w:r>
              <w:rPr>
                <w:rFonts w:ascii="Calibri" w:hAnsi="Calibri"/>
                <w:b w:val="0"/>
                <w:i w:val="0"/>
                <w:color w:val="101828"/>
                <w:sz w:val="17"/>
              </w:rPr>
              <w:t>S2</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7"/>
              </w:rPr>
              <w:t>19.6 Authorization and role</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7"/>
              </w:rPr>
              <w:t>23</w:t>
            </w:r>
          </w:p>
        </w:tc>
        <w:tc>
          <w:tcPr>
            <w:tcW w:type="dxa" w:w="1512"/>
            <w:tcMar>
              <w:top w:w="60" w:type="dxa"/>
              <w:start w:w="110" w:type="dxa"/>
              <w:bottom w:w="60" w:type="dxa"/>
              <w:end w:w="110" w:type="dxa"/>
            </w:tcMar>
            <w:shd w:val="clear" w:color="auto" w:fill="F4F7FB"/>
          </w:tcPr>
          <w:p>
            <w:pPr>
              <w:spacing w:after="0"/>
            </w:pPr>
            <w:r/>
            <w:r>
              <w:rPr>
                <w:rFonts w:ascii="Calibri" w:hAnsi="Calibri"/>
                <w:b w:val="0"/>
                <w:i w:val="0"/>
                <w:color w:val="101828"/>
                <w:sz w:val="17"/>
              </w:rPr>
              <w:t>EC-077 to EC-099</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7"/>
              </w:rPr>
              <w:t>High</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7"/>
              </w:rPr>
              <w:t>High</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S1</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7"/>
              </w:rPr>
              <w:t>19.7 Data integrity</w:t>
            </w:r>
          </w:p>
        </w:tc>
        <w:tc>
          <w:tcPr>
            <w:tcW w:type="dxa" w:w="720"/>
            <w:tcMar>
              <w:top w:w="60" w:type="dxa"/>
              <w:start w:w="110" w:type="dxa"/>
              <w:bottom w:w="60" w:type="dxa"/>
              <w:end w:w="110" w:type="dxa"/>
            </w:tcMar>
          </w:tcPr>
          <w:p>
            <w:pPr>
              <w:spacing w:after="0"/>
            </w:pPr>
            <w:r/>
            <w:r>
              <w:rPr>
                <w:rFonts w:ascii="Calibri" w:hAnsi="Calibri"/>
                <w:b w:val="0"/>
                <w:i w:val="0"/>
                <w:color w:val="101828"/>
                <w:sz w:val="17"/>
              </w:rPr>
              <w:t>7</w:t>
            </w:r>
          </w:p>
        </w:tc>
        <w:tc>
          <w:tcPr>
            <w:tcW w:type="dxa" w:w="1512"/>
            <w:tcMar>
              <w:top w:w="60" w:type="dxa"/>
              <w:start w:w="110" w:type="dxa"/>
              <w:bottom w:w="60" w:type="dxa"/>
              <w:end w:w="110" w:type="dxa"/>
            </w:tcMar>
          </w:tcPr>
          <w:p>
            <w:pPr>
              <w:spacing w:after="0"/>
            </w:pPr>
            <w:r/>
            <w:r>
              <w:rPr>
                <w:rFonts w:ascii="Calibri" w:hAnsi="Calibri"/>
                <w:b w:val="0"/>
                <w:i w:val="0"/>
                <w:color w:val="101828"/>
                <w:sz w:val="17"/>
              </w:rPr>
              <w:t>EC-100 to EC-106</w:t>
            </w:r>
          </w:p>
        </w:tc>
        <w:tc>
          <w:tcPr>
            <w:tcW w:type="dxa" w:w="1296"/>
            <w:tcMar>
              <w:top w:w="60" w:type="dxa"/>
              <w:start w:w="110" w:type="dxa"/>
              <w:bottom w:w="60" w:type="dxa"/>
              <w:end w:w="110" w:type="dxa"/>
            </w:tcMar>
          </w:tcPr>
          <w:p>
            <w:pPr>
              <w:spacing w:after="0"/>
            </w:pPr>
            <w:r/>
            <w:r>
              <w:rPr>
                <w:rFonts w:ascii="Calibri" w:hAnsi="Calibri"/>
                <w:b w:val="0"/>
                <w:i w:val="0"/>
                <w:color w:val="101828"/>
                <w:sz w:val="17"/>
              </w:rPr>
              <w:t>High</w:t>
            </w:r>
          </w:p>
        </w:tc>
        <w:tc>
          <w:tcPr>
            <w:tcW w:type="dxa" w:w="1944"/>
            <w:tcMar>
              <w:top w:w="60" w:type="dxa"/>
              <w:start w:w="110" w:type="dxa"/>
              <w:bottom w:w="60" w:type="dxa"/>
              <w:end w:w="110" w:type="dxa"/>
            </w:tcMar>
          </w:tcPr>
          <w:p>
            <w:pPr>
              <w:spacing w:after="0"/>
            </w:pPr>
            <w:r/>
            <w:r>
              <w:rPr>
                <w:rFonts w:ascii="Calibri" w:hAnsi="Calibri"/>
                <w:b w:val="0"/>
                <w:i w:val="0"/>
                <w:color w:val="101828"/>
                <w:sz w:val="17"/>
              </w:rPr>
              <w:t>Medium</w:t>
            </w:r>
          </w:p>
        </w:tc>
        <w:tc>
          <w:tcPr>
            <w:tcW w:type="dxa" w:w="1152"/>
            <w:tcMar>
              <w:top w:w="60" w:type="dxa"/>
              <w:start w:w="110" w:type="dxa"/>
              <w:bottom w:w="60" w:type="dxa"/>
              <w:end w:w="110" w:type="dxa"/>
            </w:tcMar>
          </w:tcPr>
          <w:p>
            <w:pPr>
              <w:spacing w:after="0"/>
            </w:pPr>
            <w:r/>
            <w:r>
              <w:rPr>
                <w:rFonts w:ascii="Calibri" w:hAnsi="Calibri"/>
                <w:b w:val="0"/>
                <w:i w:val="0"/>
                <w:color w:val="101828"/>
                <w:sz w:val="17"/>
              </w:rPr>
              <w:t>S1</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7"/>
              </w:rPr>
              <w:t>19.8 Security and privacy</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7"/>
              </w:rPr>
              <w:t>30</w:t>
            </w:r>
          </w:p>
        </w:tc>
        <w:tc>
          <w:tcPr>
            <w:tcW w:type="dxa" w:w="1512"/>
            <w:tcMar>
              <w:top w:w="60" w:type="dxa"/>
              <w:start w:w="110" w:type="dxa"/>
              <w:bottom w:w="60" w:type="dxa"/>
              <w:end w:w="110" w:type="dxa"/>
            </w:tcMar>
            <w:shd w:val="clear" w:color="auto" w:fill="F4F7FB"/>
          </w:tcPr>
          <w:p>
            <w:pPr>
              <w:spacing w:after="0"/>
            </w:pPr>
            <w:r/>
            <w:r>
              <w:rPr>
                <w:rFonts w:ascii="Calibri" w:hAnsi="Calibri"/>
                <w:b w:val="0"/>
                <w:i w:val="0"/>
                <w:color w:val="101828"/>
                <w:sz w:val="17"/>
              </w:rPr>
              <w:t>EC-107 to EC-136</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7"/>
              </w:rPr>
              <w:t>High</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7"/>
              </w:rPr>
              <w:t>High</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S1</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7"/>
              </w:rPr>
              <w:t>19.9 Third-party dependency</w:t>
            </w:r>
          </w:p>
        </w:tc>
        <w:tc>
          <w:tcPr>
            <w:tcW w:type="dxa" w:w="720"/>
            <w:tcMar>
              <w:top w:w="60" w:type="dxa"/>
              <w:start w:w="110" w:type="dxa"/>
              <w:bottom w:w="60" w:type="dxa"/>
              <w:end w:w="110" w:type="dxa"/>
            </w:tcMar>
          </w:tcPr>
          <w:p>
            <w:pPr>
              <w:spacing w:after="0"/>
            </w:pPr>
            <w:r/>
            <w:r>
              <w:rPr>
                <w:rFonts w:ascii="Calibri" w:hAnsi="Calibri"/>
                <w:b w:val="0"/>
                <w:i w:val="0"/>
                <w:color w:val="101828"/>
                <w:sz w:val="17"/>
              </w:rPr>
              <w:t>7</w:t>
            </w:r>
          </w:p>
        </w:tc>
        <w:tc>
          <w:tcPr>
            <w:tcW w:type="dxa" w:w="1512"/>
            <w:tcMar>
              <w:top w:w="60" w:type="dxa"/>
              <w:start w:w="110" w:type="dxa"/>
              <w:bottom w:w="60" w:type="dxa"/>
              <w:end w:w="110" w:type="dxa"/>
            </w:tcMar>
          </w:tcPr>
          <w:p>
            <w:pPr>
              <w:spacing w:after="0"/>
            </w:pPr>
            <w:r/>
            <w:r>
              <w:rPr>
                <w:rFonts w:ascii="Calibri" w:hAnsi="Calibri"/>
                <w:b w:val="0"/>
                <w:i w:val="0"/>
                <w:color w:val="101828"/>
                <w:sz w:val="17"/>
              </w:rPr>
              <w:t>EC-137 to EC-143</w:t>
            </w:r>
          </w:p>
        </w:tc>
        <w:tc>
          <w:tcPr>
            <w:tcW w:type="dxa" w:w="1296"/>
            <w:tcMar>
              <w:top w:w="60" w:type="dxa"/>
              <w:start w:w="110" w:type="dxa"/>
              <w:bottom w:w="60" w:type="dxa"/>
              <w:end w:w="110" w:type="dxa"/>
            </w:tcMar>
          </w:tcPr>
          <w:p>
            <w:pPr>
              <w:spacing w:after="0"/>
            </w:pPr>
            <w:r/>
            <w:r>
              <w:rPr>
                <w:rFonts w:ascii="Calibri" w:hAnsi="Calibri"/>
                <w:b w:val="0"/>
                <w:i w:val="0"/>
                <w:color w:val="101828"/>
                <w:sz w:val="17"/>
              </w:rPr>
              <w:t>Medium</w:t>
            </w:r>
          </w:p>
        </w:tc>
        <w:tc>
          <w:tcPr>
            <w:tcW w:type="dxa" w:w="1944"/>
            <w:tcMar>
              <w:top w:w="60" w:type="dxa"/>
              <w:start w:w="110" w:type="dxa"/>
              <w:bottom w:w="60" w:type="dxa"/>
              <w:end w:w="110" w:type="dxa"/>
            </w:tcMar>
          </w:tcPr>
          <w:p>
            <w:pPr>
              <w:spacing w:after="0"/>
            </w:pPr>
            <w:r/>
            <w:r>
              <w:rPr>
                <w:rFonts w:ascii="Calibri" w:hAnsi="Calibri"/>
                <w:b w:val="0"/>
                <w:i w:val="0"/>
                <w:color w:val="101828"/>
                <w:sz w:val="17"/>
              </w:rPr>
              <w:t>High</w:t>
            </w:r>
          </w:p>
        </w:tc>
        <w:tc>
          <w:tcPr>
            <w:tcW w:type="dxa" w:w="1152"/>
            <w:tcMar>
              <w:top w:w="60" w:type="dxa"/>
              <w:start w:w="110" w:type="dxa"/>
              <w:bottom w:w="60" w:type="dxa"/>
              <w:end w:w="110" w:type="dxa"/>
            </w:tcMar>
          </w:tcPr>
          <w:p>
            <w:pPr>
              <w:spacing w:after="0"/>
            </w:pPr>
            <w:r/>
            <w:r>
              <w:rPr>
                <w:rFonts w:ascii="Calibri" w:hAnsi="Calibri"/>
                <w:b w:val="0"/>
                <w:i w:val="0"/>
                <w:color w:val="101828"/>
                <w:sz w:val="17"/>
              </w:rPr>
              <w:t>S1</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7"/>
              </w:rPr>
              <w:t>19.10 Expectation and trust</w:t>
            </w:r>
          </w:p>
        </w:tc>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7"/>
              </w:rPr>
              <w:t>8</w:t>
            </w:r>
          </w:p>
        </w:tc>
        <w:tc>
          <w:tcPr>
            <w:tcW w:type="dxa" w:w="1512"/>
            <w:tcMar>
              <w:top w:w="60" w:type="dxa"/>
              <w:start w:w="110" w:type="dxa"/>
              <w:bottom w:w="60" w:type="dxa"/>
              <w:end w:w="110" w:type="dxa"/>
            </w:tcMar>
            <w:shd w:val="clear" w:color="auto" w:fill="F4F7FB"/>
          </w:tcPr>
          <w:p>
            <w:pPr>
              <w:spacing w:after="0"/>
            </w:pPr>
            <w:r/>
            <w:r>
              <w:rPr>
                <w:rFonts w:ascii="Calibri" w:hAnsi="Calibri"/>
                <w:b w:val="0"/>
                <w:i w:val="0"/>
                <w:color w:val="101828"/>
                <w:sz w:val="17"/>
              </w:rPr>
              <w:t>EC-144 to EC-151</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7"/>
              </w:rPr>
              <w:t>None</w:t>
            </w:r>
          </w:p>
        </w:tc>
        <w:tc>
          <w:tcPr>
            <w:tcW w:type="dxa" w:w="1944"/>
            <w:tcMar>
              <w:top w:w="60" w:type="dxa"/>
              <w:start w:w="110" w:type="dxa"/>
              <w:bottom w:w="60" w:type="dxa"/>
              <w:end w:w="110" w:type="dxa"/>
            </w:tcMar>
            <w:shd w:val="clear" w:color="auto" w:fill="F4F7FB"/>
          </w:tcPr>
          <w:p>
            <w:pPr>
              <w:spacing w:after="0"/>
            </w:pPr>
            <w:r/>
            <w:r>
              <w:rPr>
                <w:rFonts w:ascii="Calibri" w:hAnsi="Calibri"/>
                <w:b w:val="0"/>
                <w:i w:val="0"/>
                <w:color w:val="101828"/>
                <w:sz w:val="17"/>
              </w:rPr>
              <w:t>Severe</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7"/>
              </w:rPr>
              <w:t>S2</w:t>
            </w:r>
          </w:p>
        </w:tc>
      </w:tr>
    </w:tbl>
    <w:p>
      <w:pPr>
        <w:spacing w:after="80"/>
      </w:pPr>
    </w:p>
    <w:p>
      <w:r>
        <w:rPr>
          <w:rFonts w:ascii="Calibri" w:hAnsi="Calibri"/>
          <w:b w:val="0"/>
          <w:i w:val="0"/>
          <w:color w:val="101828"/>
          <w:sz w:val="21"/>
        </w:rPr>
        <w:t>One hundred and two of these cases are cited directly by a branch or step in section 2, so a reviewer reading the flows can follow the reference to the case. The remaining forty-nine are register-only: they are risks our own systems and our own staff create rather than risks a member walks into, so no user journey reaches them and forcing a citation would be fiction. They are specified here because the register is the control, not the journey.</w:t>
      </w:r>
    </w:p>
    <w:p>
      <w:r>
        <w:rPr>
          <w:rFonts w:ascii="Calibri" w:hAnsi="Calibri"/>
          <w:b w:val="0"/>
          <w:i w:val="0"/>
          <w:color w:val="101828"/>
          <w:sz w:val="21"/>
        </w:rPr>
        <w:t>Read that last column honestly. The classes with the highest case counts are not the classes with the worst outcomes; they are the classes with the most surface. The worst outcomes concentrate in 19.3, 19.7 and 19.8, because those are the classes where our own systems make assertions about money and identity, and an assertion that is wrong is worse than a service that is merely unavailable.</w:t>
      </w:r>
    </w:p>
    <w:p>
      <w:pPr>
        <w:pStyle w:val="Heading2"/>
      </w:pPr>
      <w:r>
        <w:rPr>
          <w:rFonts w:ascii="Calibri" w:hAnsi="Calibri"/>
          <w:b/>
          <w:i w:val="0"/>
          <w:color w:val="146EF5"/>
          <w:sz w:val="29"/>
        </w:rPr>
        <w:t>19.12 Severity classification matrix</w:t>
      </w:r>
    </w:p>
    <w:p>
      <w:r>
        <w:rPr>
          <w:rFonts w:ascii="Calibri" w:hAnsi="Calibri"/>
          <w:b w:val="0"/>
          <w:i w:val="0"/>
          <w:color w:val="101828"/>
          <w:sz w:val="21"/>
        </w:rPr>
        <w:t>Severity describes the consequence of the case going unhandled, not how often it happens. A once-in-a-year case that pays a member the wrong amount is an S1; a daily case that misplaces an icon is an S4. Three rules settle the remaining argument: a case that involves money at risk is at least S1; a case that is both S1 and S2 is treated as S1; and when genuinely uncertain, classify upwards and downgrade later with a recorded reason. Downgrading an incident is a decision someone makes on the record, not something the clock does to it.</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806"/>
            <w:shd w:val="clear" w:color="auto" w:fill="0B1F3A"/>
            <w:tcMar>
              <w:top w:w="60" w:type="dxa"/>
              <w:start w:w="110" w:type="dxa"/>
              <w:bottom w:w="60" w:type="dxa"/>
              <w:end w:w="110" w:type="dxa"/>
            </w:tcMar>
          </w:tcPr>
          <w:p>
            <w:pPr>
              <w:spacing w:after="0"/>
            </w:pPr>
            <w:r/>
            <w:r>
              <w:rPr>
                <w:rFonts w:ascii="Calibri" w:hAnsi="Calibri"/>
                <w:b/>
                <w:i w:val="0"/>
                <w:color w:val="FFFFFF"/>
                <w:sz w:val="17"/>
              </w:rPr>
              <w:t>Severity</w:t>
            </w:r>
          </w:p>
        </w:tc>
        <w:tc>
          <w:tcPr>
            <w:tcW w:type="dxa" w:w="2678"/>
            <w:shd w:val="clear" w:color="auto" w:fill="0B1F3A"/>
            <w:tcMar>
              <w:top w:w="60" w:type="dxa"/>
              <w:start w:w="110" w:type="dxa"/>
              <w:bottom w:w="60" w:type="dxa"/>
              <w:end w:w="110" w:type="dxa"/>
            </w:tcMar>
          </w:tcPr>
          <w:p>
            <w:pPr>
              <w:spacing w:after="0"/>
            </w:pPr>
            <w:r/>
            <w:r>
              <w:rPr>
                <w:rFonts w:ascii="Calibri" w:hAnsi="Calibri"/>
                <w:b/>
                <w:i w:val="0"/>
                <w:color w:val="FFFFFF"/>
                <w:sz w:val="17"/>
              </w:rPr>
              <w:t>Definition</w:t>
            </w:r>
          </w:p>
        </w:tc>
        <w:tc>
          <w:tcPr>
            <w:tcW w:type="dxa" w:w="2002"/>
            <w:shd w:val="clear" w:color="auto" w:fill="0B1F3A"/>
            <w:tcMar>
              <w:top w:w="60" w:type="dxa"/>
              <w:start w:w="110" w:type="dxa"/>
              <w:bottom w:w="60" w:type="dxa"/>
              <w:end w:w="110" w:type="dxa"/>
            </w:tcMar>
          </w:tcPr>
          <w:p>
            <w:pPr>
              <w:spacing w:after="0"/>
            </w:pPr>
            <w:r/>
            <w:r>
              <w:rPr>
                <w:rFonts w:ascii="Calibri" w:hAnsi="Calibri"/>
                <w:b/>
                <w:i w:val="0"/>
                <w:color w:val="FFFFFF"/>
                <w:sz w:val="17"/>
              </w:rPr>
              <w:t>Representative cases</w:t>
            </w:r>
          </w:p>
        </w:tc>
        <w:tc>
          <w:tcPr>
            <w:tcW w:type="dxa" w:w="1469"/>
            <w:shd w:val="clear" w:color="auto" w:fill="0B1F3A"/>
            <w:tcMar>
              <w:top w:w="60" w:type="dxa"/>
              <w:start w:w="110" w:type="dxa"/>
              <w:bottom w:w="60" w:type="dxa"/>
              <w:end w:w="110" w:type="dxa"/>
            </w:tcMar>
          </w:tcPr>
          <w:p>
            <w:pPr>
              <w:spacing w:after="0"/>
            </w:pPr>
            <w:r/>
            <w:r>
              <w:rPr>
                <w:rFonts w:ascii="Calibri" w:hAnsi="Calibri"/>
                <w:b/>
                <w:i w:val="0"/>
                <w:color w:val="FFFFFF"/>
                <w:sz w:val="17"/>
              </w:rPr>
              <w:t>Detected by</w:t>
            </w:r>
          </w:p>
        </w:tc>
        <w:tc>
          <w:tcPr>
            <w:tcW w:type="dxa" w:w="1267"/>
            <w:shd w:val="clear" w:color="auto" w:fill="0B1F3A"/>
            <w:tcMar>
              <w:top w:w="60" w:type="dxa"/>
              <w:start w:w="110" w:type="dxa"/>
              <w:bottom w:w="60" w:type="dxa"/>
              <w:end w:w="110" w:type="dxa"/>
            </w:tcMar>
          </w:tcPr>
          <w:p>
            <w:pPr>
              <w:spacing w:after="0"/>
            </w:pPr>
            <w:r/>
            <w:r>
              <w:rPr>
                <w:rFonts w:ascii="Calibri" w:hAnsi="Calibri"/>
                <w:b/>
                <w:i w:val="0"/>
                <w:color w:val="FFFFFF"/>
                <w:sz w:val="17"/>
              </w:rPr>
              <w:t>First response target</w:t>
            </w:r>
          </w:p>
        </w:tc>
        <w:tc>
          <w:tcPr>
            <w:tcW w:type="dxa" w:w="1138"/>
            <w:shd w:val="clear" w:color="auto" w:fill="0B1F3A"/>
            <w:tcMar>
              <w:top w:w="60" w:type="dxa"/>
              <w:start w:w="110" w:type="dxa"/>
              <w:bottom w:w="60" w:type="dxa"/>
              <w:end w:w="110" w:type="dxa"/>
            </w:tcMar>
          </w:tcPr>
          <w:p>
            <w:pPr>
              <w:spacing w:after="0"/>
            </w:pPr>
            <w:r/>
            <w:r>
              <w:rPr>
                <w:rFonts w:ascii="Calibri" w:hAnsi="Calibri"/>
                <w:b/>
                <w:i w:val="0"/>
                <w:color w:val="FFFFFF"/>
                <w:sz w:val="17"/>
              </w:rPr>
              <w:t>Escalation owner</w:t>
            </w:r>
          </w:p>
        </w:tc>
      </w:tr>
      <w:tr>
        <w:trPr>
          <w:cantSplit/>
        </w:trPr>
        <w:tc>
          <w:tcPr>
            <w:tcW w:type="dxa" w:w="806"/>
            <w:tcMar>
              <w:top w:w="60" w:type="dxa"/>
              <w:start w:w="110" w:type="dxa"/>
              <w:bottom w:w="60" w:type="dxa"/>
              <w:end w:w="110" w:type="dxa"/>
            </w:tcMar>
          </w:tcPr>
          <w:p>
            <w:pPr>
              <w:spacing w:after="0"/>
            </w:pPr>
            <w:r/>
            <w:r>
              <w:rPr>
                <w:rFonts w:ascii="Calibri" w:hAnsi="Calibri"/>
                <w:b w:val="0"/>
                <w:i w:val="0"/>
                <w:color w:val="101828"/>
                <w:sz w:val="17"/>
              </w:rPr>
              <w:t>S1 - Critical</w:t>
            </w:r>
          </w:p>
        </w:tc>
        <w:tc>
          <w:tcPr>
            <w:tcW w:type="dxa" w:w="2678"/>
            <w:tcMar>
              <w:top w:w="60" w:type="dxa"/>
              <w:start w:w="110" w:type="dxa"/>
              <w:bottom w:w="60" w:type="dxa"/>
              <w:end w:w="110" w:type="dxa"/>
            </w:tcMar>
          </w:tcPr>
          <w:p>
            <w:pPr>
              <w:spacing w:after="0"/>
            </w:pPr>
            <w:r/>
            <w:r>
              <w:rPr>
                <w:rFonts w:ascii="Calibri" w:hAnsi="Calibri"/>
                <w:b w:val="0"/>
                <w:i w:val="0"/>
                <w:color w:val="101828"/>
                <w:sz w:val="17"/>
              </w:rPr>
              <w:t>Money at risk, a member told something untrue about their money, a public data exposure, or an integrity assertion that has failed. Includes any case where a member may have been over- or under-charged.</w:t>
            </w:r>
          </w:p>
        </w:tc>
        <w:tc>
          <w:tcPr>
            <w:tcW w:type="dxa" w:w="2002"/>
            <w:tcMar>
              <w:top w:w="60" w:type="dxa"/>
              <w:start w:w="110" w:type="dxa"/>
              <w:bottom w:w="60" w:type="dxa"/>
              <w:end w:w="110" w:type="dxa"/>
            </w:tcMar>
          </w:tcPr>
          <w:p>
            <w:pPr>
              <w:spacing w:after="0"/>
            </w:pPr>
            <w:r/>
            <w:r>
              <w:rPr>
                <w:rFonts w:ascii="Calibri" w:hAnsi="Calibri"/>
                <w:b w:val="0"/>
                <w:i w:val="0"/>
                <w:color w:val="101828"/>
                <w:sz w:val="17"/>
              </w:rPr>
              <w:t>EC-004, EC-009, EC-041, EC-042, EC-044, EC-056, EC-101, EC-102, EC-111, EC-114</w:t>
            </w:r>
          </w:p>
        </w:tc>
        <w:tc>
          <w:tcPr>
            <w:tcW w:type="dxa" w:w="1469"/>
            <w:tcMar>
              <w:top w:w="60" w:type="dxa"/>
              <w:start w:w="110" w:type="dxa"/>
              <w:bottom w:w="60" w:type="dxa"/>
              <w:end w:w="110" w:type="dxa"/>
            </w:tcMar>
          </w:tcPr>
          <w:p>
            <w:pPr>
              <w:spacing w:after="0"/>
            </w:pPr>
            <w:r/>
            <w:r>
              <w:rPr>
                <w:rFonts w:ascii="Calibri" w:hAnsi="Calibri"/>
                <w:b w:val="0"/>
                <w:i w:val="0"/>
                <w:color w:val="101828"/>
                <w:sz w:val="17"/>
              </w:rPr>
              <w:t>Automated assertion, reconciliation, or clustered member reports</w:t>
            </w:r>
          </w:p>
        </w:tc>
        <w:tc>
          <w:tcPr>
            <w:tcW w:type="dxa" w:w="1267"/>
            <w:tcMar>
              <w:top w:w="60" w:type="dxa"/>
              <w:start w:w="110" w:type="dxa"/>
              <w:bottom w:w="60" w:type="dxa"/>
              <w:end w:w="110" w:type="dxa"/>
            </w:tcMar>
          </w:tcPr>
          <w:p>
            <w:pPr>
              <w:spacing w:after="0"/>
            </w:pPr>
            <w:r/>
            <w:r>
              <w:rPr>
                <w:rFonts w:ascii="Calibri" w:hAnsi="Calibri"/>
                <w:b w:val="0"/>
                <w:i w:val="0"/>
                <w:color w:val="101828"/>
                <w:sz w:val="17"/>
              </w:rPr>
              <w:t>Immediate, 24x7</w:t>
            </w:r>
          </w:p>
        </w:tc>
        <w:tc>
          <w:tcPr>
            <w:tcW w:type="dxa" w:w="1138"/>
            <w:tcMar>
              <w:top w:w="60" w:type="dxa"/>
              <w:start w:w="110" w:type="dxa"/>
              <w:bottom w:w="60" w:type="dxa"/>
              <w:end w:w="110" w:type="dxa"/>
            </w:tcMar>
          </w:tcPr>
          <w:p>
            <w:pPr>
              <w:spacing w:after="0"/>
            </w:pPr>
            <w:r/>
            <w:r>
              <w:rPr>
                <w:rFonts w:ascii="Consolas" w:hAnsi="Consolas"/>
                <w:color w:val="146EF5"/>
                <w:sz w:val="17"/>
              </w:rPr>
              <w:t>super_admin</w:t>
            </w:r>
            <w:r>
              <w:rPr>
                <w:rFonts w:ascii="Calibri" w:hAnsi="Calibri"/>
                <w:b w:val="0"/>
                <w:i w:val="0"/>
                <w:color w:val="101828"/>
                <w:sz w:val="17"/>
              </w:rPr>
              <w:t xml:space="preserve">, with </w:t>
            </w:r>
            <w:r>
              <w:rPr>
                <w:rFonts w:ascii="Consolas" w:hAnsi="Consolas"/>
                <w:color w:val="146EF5"/>
                <w:sz w:val="17"/>
              </w:rPr>
              <w:t>risk_officer</w:t>
            </w:r>
            <w:r>
              <w:rPr>
                <w:rFonts w:ascii="Calibri" w:hAnsi="Calibri"/>
                <w:b w:val="0"/>
                <w:i w:val="0"/>
                <w:color w:val="101828"/>
                <w:sz w:val="17"/>
              </w:rPr>
              <w:t xml:space="preserve"> on the case</w:t>
            </w:r>
          </w:p>
        </w:tc>
      </w:tr>
      <w:tr>
        <w:trPr>
          <w:cantSplit/>
        </w:trPr>
        <w:tc>
          <w:tcPr>
            <w:tcW w:type="dxa" w:w="806"/>
            <w:tcMar>
              <w:top w:w="60" w:type="dxa"/>
              <w:start w:w="110" w:type="dxa"/>
              <w:bottom w:w="60" w:type="dxa"/>
              <w:end w:w="110" w:type="dxa"/>
            </w:tcMar>
            <w:shd w:val="clear" w:color="auto" w:fill="F4F7FB"/>
          </w:tcPr>
          <w:p>
            <w:pPr>
              <w:spacing w:after="0"/>
            </w:pPr>
            <w:r/>
            <w:r>
              <w:rPr>
                <w:rFonts w:ascii="Calibri" w:hAnsi="Calibri"/>
                <w:b w:val="0"/>
                <w:i w:val="0"/>
                <w:color w:val="101828"/>
                <w:sz w:val="17"/>
              </w:rPr>
              <w:t>S2 - Major</w:t>
            </w:r>
          </w:p>
        </w:tc>
        <w:tc>
          <w:tcPr>
            <w:tcW w:type="dxa" w:w="2678"/>
            <w:tcMar>
              <w:top w:w="60" w:type="dxa"/>
              <w:start w:w="110" w:type="dxa"/>
              <w:bottom w:w="60" w:type="dxa"/>
              <w:end w:w="110" w:type="dxa"/>
            </w:tcMar>
            <w:shd w:val="clear" w:color="auto" w:fill="F4F7FB"/>
          </w:tcPr>
          <w:p>
            <w:pPr>
              <w:spacing w:after="0"/>
            </w:pPr>
            <w:r/>
            <w:r>
              <w:rPr>
                <w:rFonts w:ascii="Calibri" w:hAnsi="Calibri"/>
                <w:b w:val="0"/>
                <w:i w:val="0"/>
                <w:color w:val="101828"/>
                <w:sz w:val="17"/>
              </w:rPr>
              <w:t>A member is blocked from a correct outcome they are entitled to, or a money-critical notification has failed and the fallback has not yet restored reach.</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7"/>
              </w:rPr>
              <w:t>EC-001, EC-010, EC-017, EC-034, EC-075, EC-078, EC-082, EC-151</w:t>
            </w:r>
          </w:p>
        </w:tc>
        <w:tc>
          <w:tcPr>
            <w:tcW w:type="dxa" w:w="1469"/>
            <w:tcMar>
              <w:top w:w="60" w:type="dxa"/>
              <w:start w:w="110" w:type="dxa"/>
              <w:bottom w:w="60" w:type="dxa"/>
              <w:end w:w="110" w:type="dxa"/>
            </w:tcMar>
            <w:shd w:val="clear" w:color="auto" w:fill="F4F7FB"/>
          </w:tcPr>
          <w:p>
            <w:pPr>
              <w:spacing w:after="0"/>
            </w:pPr>
            <w:r/>
            <w:r>
              <w:rPr>
                <w:rFonts w:ascii="Calibri" w:hAnsi="Calibri"/>
                <w:b w:val="0"/>
                <w:i w:val="0"/>
                <w:color w:val="101828"/>
                <w:sz w:val="17"/>
              </w:rPr>
              <w:t>Support contact, failed-delivery report, anomaly</w:t>
            </w:r>
          </w:p>
        </w:tc>
        <w:tc>
          <w:tcPr>
            <w:tcW w:type="dxa" w:w="1267"/>
            <w:tcMar>
              <w:top w:w="60" w:type="dxa"/>
              <w:start w:w="110" w:type="dxa"/>
              <w:bottom w:w="60" w:type="dxa"/>
              <w:end w:w="110" w:type="dxa"/>
            </w:tcMar>
            <w:shd w:val="clear" w:color="auto" w:fill="F4F7FB"/>
          </w:tcPr>
          <w:p>
            <w:pPr>
              <w:spacing w:after="0"/>
            </w:pPr>
            <w:r/>
            <w:r>
              <w:rPr>
                <w:rFonts w:ascii="Calibri" w:hAnsi="Calibri"/>
                <w:b w:val="0"/>
                <w:i w:val="0"/>
                <w:color w:val="101828"/>
                <w:sz w:val="17"/>
              </w:rPr>
              <w:t>Same business day</w:t>
            </w:r>
          </w:p>
        </w:tc>
        <w:tc>
          <w:tcPr>
            <w:tcW w:type="dxa" w:w="1138"/>
            <w:tcMar>
              <w:top w:w="60" w:type="dxa"/>
              <w:start w:w="110" w:type="dxa"/>
              <w:bottom w:w="60" w:type="dxa"/>
              <w:end w:w="110" w:type="dxa"/>
            </w:tcMar>
            <w:shd w:val="clear" w:color="auto" w:fill="F4F7FB"/>
          </w:tcPr>
          <w:p>
            <w:pPr>
              <w:spacing w:after="0"/>
            </w:pPr>
            <w:r/>
            <w:r>
              <w:rPr>
                <w:rFonts w:ascii="Consolas" w:hAnsi="Consolas"/>
                <w:color w:val="146EF5"/>
                <w:sz w:val="17"/>
              </w:rPr>
              <w:t>support</w:t>
            </w:r>
            <w:r>
              <w:rPr>
                <w:rFonts w:ascii="Calibri" w:hAnsi="Calibri"/>
                <w:b w:val="0"/>
                <w:i w:val="0"/>
                <w:color w:val="101828"/>
                <w:sz w:val="17"/>
              </w:rPr>
              <w:t xml:space="preserve"> lead, escalating to engineering</w:t>
            </w:r>
          </w:p>
        </w:tc>
      </w:tr>
      <w:tr>
        <w:trPr>
          <w:cantSplit/>
        </w:trPr>
        <w:tc>
          <w:tcPr>
            <w:tcW w:type="dxa" w:w="806"/>
            <w:tcMar>
              <w:top w:w="60" w:type="dxa"/>
              <w:start w:w="110" w:type="dxa"/>
              <w:bottom w:w="60" w:type="dxa"/>
              <w:end w:w="110" w:type="dxa"/>
            </w:tcMar>
          </w:tcPr>
          <w:p>
            <w:pPr>
              <w:spacing w:after="0"/>
            </w:pPr>
            <w:r/>
            <w:r>
              <w:rPr>
                <w:rFonts w:ascii="Calibri" w:hAnsi="Calibri"/>
                <w:b w:val="0"/>
                <w:i w:val="0"/>
                <w:color w:val="101828"/>
                <w:sz w:val="17"/>
              </w:rPr>
              <w:t>S3 - Moderate</w:t>
            </w:r>
          </w:p>
        </w:tc>
        <w:tc>
          <w:tcPr>
            <w:tcW w:type="dxa" w:w="2678"/>
            <w:tcMar>
              <w:top w:w="60" w:type="dxa"/>
              <w:start w:w="110" w:type="dxa"/>
              <w:bottom w:w="60" w:type="dxa"/>
              <w:end w:w="110" w:type="dxa"/>
            </w:tcMar>
          </w:tcPr>
          <w:p>
            <w:pPr>
              <w:spacing w:after="0"/>
            </w:pPr>
            <w:r/>
            <w:r>
              <w:rPr>
                <w:rFonts w:ascii="Calibri" w:hAnsi="Calibri"/>
                <w:b w:val="0"/>
                <w:i w:val="0"/>
                <w:color w:val="101828"/>
                <w:sz w:val="17"/>
              </w:rPr>
              <w:t>Degraded experience with no money at risk and no loss of entitlement: a stale screen, a slow channel, a queue that recovered on its own.</w:t>
            </w:r>
          </w:p>
        </w:tc>
        <w:tc>
          <w:tcPr>
            <w:tcW w:type="dxa" w:w="2002"/>
            <w:tcMar>
              <w:top w:w="60" w:type="dxa"/>
              <w:start w:w="110" w:type="dxa"/>
              <w:bottom w:w="60" w:type="dxa"/>
              <w:end w:w="110" w:type="dxa"/>
            </w:tcMar>
          </w:tcPr>
          <w:p>
            <w:pPr>
              <w:spacing w:after="0"/>
            </w:pPr>
            <w:r/>
            <w:r>
              <w:rPr>
                <w:rFonts w:ascii="Calibri" w:hAnsi="Calibri"/>
                <w:b w:val="0"/>
                <w:i w:val="0"/>
                <w:color w:val="101828"/>
                <w:sz w:val="17"/>
              </w:rPr>
              <w:t>EC-013, EC-020, EC-031, EC-036, EC-047, EC-104, EC-138</w:t>
            </w:r>
          </w:p>
        </w:tc>
        <w:tc>
          <w:tcPr>
            <w:tcW w:type="dxa" w:w="1469"/>
            <w:tcMar>
              <w:top w:w="60" w:type="dxa"/>
              <w:start w:w="110" w:type="dxa"/>
              <w:bottom w:w="60" w:type="dxa"/>
              <w:end w:w="110" w:type="dxa"/>
            </w:tcMar>
          </w:tcPr>
          <w:p>
            <w:pPr>
              <w:spacing w:after="0"/>
            </w:pPr>
            <w:r/>
            <w:r>
              <w:rPr>
                <w:rFonts w:ascii="Calibri" w:hAnsi="Calibri"/>
                <w:b w:val="0"/>
                <w:i w:val="0"/>
                <w:color w:val="101828"/>
                <w:sz w:val="17"/>
              </w:rPr>
              <w:t>Metric threshold</w:t>
            </w:r>
          </w:p>
        </w:tc>
        <w:tc>
          <w:tcPr>
            <w:tcW w:type="dxa" w:w="1267"/>
            <w:tcMar>
              <w:top w:w="60" w:type="dxa"/>
              <w:start w:w="110" w:type="dxa"/>
              <w:bottom w:w="60" w:type="dxa"/>
              <w:end w:w="110" w:type="dxa"/>
            </w:tcMar>
          </w:tcPr>
          <w:p>
            <w:pPr>
              <w:spacing w:after="0"/>
            </w:pPr>
            <w:r/>
            <w:r>
              <w:rPr>
                <w:rFonts w:ascii="Calibri" w:hAnsi="Calibri"/>
                <w:b w:val="0"/>
                <w:i w:val="0"/>
                <w:color w:val="101828"/>
                <w:sz w:val="17"/>
              </w:rPr>
              <w:t>Two business days</w:t>
            </w:r>
          </w:p>
        </w:tc>
        <w:tc>
          <w:tcPr>
            <w:tcW w:type="dxa" w:w="1138"/>
            <w:tcMar>
              <w:top w:w="60" w:type="dxa"/>
              <w:start w:w="110" w:type="dxa"/>
              <w:bottom w:w="60" w:type="dxa"/>
              <w:end w:w="110" w:type="dxa"/>
            </w:tcMar>
          </w:tcPr>
          <w:p>
            <w:pPr>
              <w:spacing w:after="0"/>
            </w:pPr>
            <w:r/>
            <w:r>
              <w:rPr>
                <w:rFonts w:ascii="Calibri" w:hAnsi="Calibri"/>
                <w:b w:val="0"/>
                <w:i w:val="0"/>
                <w:color w:val="101828"/>
                <w:sz w:val="17"/>
              </w:rPr>
              <w:t>Engineering owner</w:t>
            </w:r>
          </w:p>
        </w:tc>
      </w:tr>
      <w:tr>
        <w:trPr>
          <w:cantSplit/>
        </w:trPr>
        <w:tc>
          <w:tcPr>
            <w:tcW w:type="dxa" w:w="806"/>
            <w:tcMar>
              <w:top w:w="60" w:type="dxa"/>
              <w:start w:w="110" w:type="dxa"/>
              <w:bottom w:w="60" w:type="dxa"/>
              <w:end w:w="110" w:type="dxa"/>
            </w:tcMar>
            <w:shd w:val="clear" w:color="auto" w:fill="F4F7FB"/>
          </w:tcPr>
          <w:p>
            <w:pPr>
              <w:spacing w:after="0"/>
            </w:pPr>
            <w:r/>
            <w:r>
              <w:rPr>
                <w:rFonts w:ascii="Calibri" w:hAnsi="Calibri"/>
                <w:b w:val="0"/>
                <w:i w:val="0"/>
                <w:color w:val="101828"/>
                <w:sz w:val="17"/>
              </w:rPr>
              <w:t>S4 - Minor</w:t>
            </w:r>
          </w:p>
        </w:tc>
        <w:tc>
          <w:tcPr>
            <w:tcW w:type="dxa" w:w="2678"/>
            <w:tcMar>
              <w:top w:w="60" w:type="dxa"/>
              <w:start w:w="110" w:type="dxa"/>
              <w:bottom w:w="60" w:type="dxa"/>
              <w:end w:w="110" w:type="dxa"/>
            </w:tcMar>
            <w:shd w:val="clear" w:color="auto" w:fill="F4F7FB"/>
          </w:tcPr>
          <w:p>
            <w:pPr>
              <w:spacing w:after="0"/>
            </w:pPr>
            <w:r/>
            <w:r>
              <w:rPr>
                <w:rFonts w:ascii="Calibri" w:hAnsi="Calibri"/>
                <w:b w:val="0"/>
                <w:i w:val="0"/>
                <w:color w:val="101828"/>
                <w:sz w:val="17"/>
              </w:rPr>
              <w:t>Cosmetic, copy or internal inconsistency with no member-visible consequence worth an interruption.</w:t>
            </w:r>
          </w:p>
        </w:tc>
        <w:tc>
          <w:tcPr>
            <w:tcW w:type="dxa" w:w="2002"/>
            <w:tcMar>
              <w:top w:w="60" w:type="dxa"/>
              <w:start w:w="110" w:type="dxa"/>
              <w:bottom w:w="60" w:type="dxa"/>
              <w:end w:w="110" w:type="dxa"/>
            </w:tcMar>
            <w:shd w:val="clear" w:color="auto" w:fill="F4F7FB"/>
          </w:tcPr>
          <w:p>
            <w:pPr>
              <w:spacing w:after="0"/>
            </w:pPr>
            <w:r/>
            <w:r>
              <w:rPr>
                <w:rFonts w:ascii="Calibri" w:hAnsi="Calibri"/>
                <w:b w:val="0"/>
                <w:i w:val="0"/>
                <w:color w:val="101828"/>
                <w:sz w:val="17"/>
              </w:rPr>
              <w:t>EC-033, EC-053, EC-057, EC-071</w:t>
            </w:r>
          </w:p>
        </w:tc>
        <w:tc>
          <w:tcPr>
            <w:tcW w:type="dxa" w:w="1469"/>
            <w:tcMar>
              <w:top w:w="60" w:type="dxa"/>
              <w:start w:w="110" w:type="dxa"/>
              <w:bottom w:w="60" w:type="dxa"/>
              <w:end w:w="110" w:type="dxa"/>
            </w:tcMar>
            <w:shd w:val="clear" w:color="auto" w:fill="F4F7FB"/>
          </w:tcPr>
          <w:p>
            <w:pPr>
              <w:spacing w:after="0"/>
            </w:pPr>
            <w:r/>
            <w:r>
              <w:rPr>
                <w:rFonts w:ascii="Calibri" w:hAnsi="Calibri"/>
                <w:b w:val="0"/>
                <w:i w:val="0"/>
                <w:color w:val="101828"/>
                <w:sz w:val="17"/>
              </w:rPr>
              <w:t>Manual observation</w:t>
            </w:r>
          </w:p>
        </w:tc>
        <w:tc>
          <w:tcPr>
            <w:tcW w:type="dxa" w:w="1267"/>
            <w:tcMar>
              <w:top w:w="60" w:type="dxa"/>
              <w:start w:w="110" w:type="dxa"/>
              <w:bottom w:w="60" w:type="dxa"/>
              <w:end w:w="110" w:type="dxa"/>
            </w:tcMar>
            <w:shd w:val="clear" w:color="auto" w:fill="F4F7FB"/>
          </w:tcPr>
          <w:p>
            <w:pPr>
              <w:spacing w:after="0"/>
            </w:pPr>
            <w:r/>
            <w:r>
              <w:rPr>
                <w:rFonts w:ascii="Calibri" w:hAnsi="Calibri"/>
                <w:b w:val="0"/>
                <w:i w:val="0"/>
                <w:color w:val="101828"/>
                <w:sz w:val="17"/>
              </w:rPr>
              <w:t>Normal backlog</w:t>
            </w:r>
          </w:p>
        </w:tc>
        <w:tc>
          <w:tcPr>
            <w:tcW w:type="dxa" w:w="1138"/>
            <w:tcMar>
              <w:top w:w="60" w:type="dxa"/>
              <w:start w:w="110" w:type="dxa"/>
              <w:bottom w:w="60" w:type="dxa"/>
              <w:end w:w="110" w:type="dxa"/>
            </w:tcMar>
            <w:shd w:val="clear" w:color="auto" w:fill="F4F7FB"/>
          </w:tcPr>
          <w:p>
            <w:pPr>
              <w:spacing w:after="0"/>
            </w:pPr>
            <w:r/>
            <w:r>
              <w:rPr>
                <w:rFonts w:ascii="Calibri" w:hAnsi="Calibri"/>
                <w:b w:val="0"/>
                <w:i w:val="0"/>
                <w:color w:val="101828"/>
                <w:sz w:val="17"/>
              </w:rPr>
              <w:t>Product</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Two severities that are never downgraded  </w:t>
      </w:r>
      <w:r>
        <w:rPr>
          <w:rFonts w:ascii="Calibri" w:hAnsi="Calibri"/>
          <w:b w:val="0"/>
          <w:i w:val="0"/>
          <w:color w:val="0B1F3A"/>
          <w:sz w:val="19"/>
        </w:rPr>
        <w:t>An under-funded payout (K-01) and a leaked member record are both S1 regardless of how few members are affected, because both attack the specific promise the product is built on: that a member's money arrives intact, and that their information does not leave their control. A single under-funded payout of NGN 10,000.00 is the same kind of news as a systemic one, because the story does not distinguish.</w:t>
      </w:r>
    </w:p>
    <w:p>
      <w:pPr>
        <w:pStyle w:val="Heading2"/>
      </w:pPr>
      <w:r>
        <w:rPr>
          <w:rFonts w:ascii="Calibri" w:hAnsi="Calibri"/>
          <w:b/>
          <w:i w:val="0"/>
          <w:color w:val="146EF5"/>
          <w:sz w:val="29"/>
        </w:rPr>
        <w:t>19.13 On-call runbook</w:t>
      </w:r>
    </w:p>
    <w:p>
      <w:r>
        <w:rPr>
          <w:rFonts w:ascii="Calibri" w:hAnsi="Calibri"/>
          <w:b w:val="0"/>
          <w:i w:val="0"/>
          <w:color w:val="101828"/>
          <w:sz w:val="21"/>
        </w:rPr>
        <w:t>The runbook exists so that a tired person at 2am with one member's money at stake does not have to decide from first principles. It states what to do first, what may be delegated, and - more importantly - what nobody is permitted to do while under pressure, because the shortcuts available during an incident are exactly the ones that violate the product's core rules.</w:t>
      </w:r>
    </w:p>
    <w:p>
      <w:pPr>
        <w:pStyle w:val="Heading3"/>
      </w:pPr>
      <w:r>
        <w:rPr>
          <w:rFonts w:ascii="Calibri" w:hAnsi="Calibri"/>
          <w:b/>
          <w:i w:val="0"/>
          <w:color w:val="0B1F3A"/>
          <w:sz w:val="24"/>
        </w:rPr>
        <w:t>19.13.1 First fifteen minutes</w:t>
      </w:r>
    </w:p>
    <w:p>
      <w:pPr>
        <w:spacing w:before="0" w:after="0" w:line="240" w:lineRule="auto"/>
        <w:ind w:left="230"/>
        <w:shd w:val="clear" w:color="auto" w:fill="F7F9FC"/>
        <w:pBdr>
          <w:left w:val="single" w:sz="4" w:space="6" w:color="D0D5DD"/>
        </w:pBdr>
      </w:pPr>
      <w:r>
        <w:rPr>
          <w:rFonts w:ascii="Consolas" w:hAnsi="Consolas"/>
          <w:color w:val="0B1F3A"/>
          <w:sz w:val="16"/>
        </w:rPr>
        <w:t xml:space="preserve">   ALERT FIRES</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spacing w:before="0" w:after="0" w:line="240" w:lineRule="auto"/>
        <w:ind w:left="230"/>
        <w:shd w:val="clear" w:color="auto" w:fill="F7F9FC"/>
        <w:pBdr>
          <w:left w:val="single" w:sz="4" w:space="6" w:color="D0D5DD"/>
        </w:pBdr>
      </w:pPr>
      <w:r>
        <w:rPr>
          <w:rFonts w:ascii="Consolas" w:hAnsi="Consolas"/>
          <w:color w:val="0B1F3A"/>
          <w:sz w:val="16"/>
        </w:rPr>
        <w:t xml:space="preserve">       v</w:t>
      </w:r>
    </w:p>
    <w:p>
      <w:pPr>
        <w:spacing w:before="0" w:after="0" w:line="240" w:lineRule="auto"/>
        <w:ind w:left="230"/>
        <w:shd w:val="clear" w:color="auto" w:fill="F7F9FC"/>
        <w:pBdr>
          <w:left w:val="single" w:sz="4" w:space="6" w:color="D0D5DD"/>
        </w:pBdr>
      </w:pPr>
      <w:r>
        <w:rPr>
          <w:rFonts w:ascii="Consolas" w:hAnsi="Consolas"/>
          <w:color w:val="0B1F3A"/>
          <w:sz w:val="16"/>
        </w:rPr>
        <w:t xml:space="preserve">   1. Is any member's money wrong, missing, or duplicated?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 yes                                | no</w:t>
      </w:r>
    </w:p>
    <w:p>
      <w:pPr>
        <w:spacing w:before="0" w:after="0" w:line="240" w:lineRule="auto"/>
        <w:ind w:left="230"/>
        <w:shd w:val="clear" w:color="auto" w:fill="F7F9FC"/>
        <w:pBdr>
          <w:left w:val="single" w:sz="4" w:space="6" w:color="D0D5DD"/>
        </w:pBdr>
      </w:pPr>
      <w:r>
        <w:rPr>
          <w:rFonts w:ascii="Consolas" w:hAnsi="Consolas"/>
          <w:color w:val="0B1F3A"/>
          <w:sz w:val="16"/>
        </w:rPr>
        <w:t xml:space="preserve">       v                                    v</w:t>
      </w:r>
    </w:p>
    <w:p>
      <w:pPr>
        <w:spacing w:before="0" w:after="0" w:line="240" w:lineRule="auto"/>
        <w:ind w:left="230"/>
        <w:shd w:val="clear" w:color="auto" w:fill="F7F9FC"/>
        <w:pBdr>
          <w:left w:val="single" w:sz="4" w:space="6" w:color="D0D5DD"/>
        </w:pBdr>
      </w:pPr>
      <w:r>
        <w:rPr>
          <w:rFonts w:ascii="Consolas" w:hAnsi="Consolas"/>
          <w:color w:val="0B1F3A"/>
          <w:sz w:val="16"/>
        </w:rPr>
        <w:t xml:space="preserve">   2. HALT disbursement                3. Is a member blocked</w:t>
      </w:r>
    </w:p>
    <w:p>
      <w:pPr>
        <w:spacing w:before="0" w:after="0" w:line="240" w:lineRule="auto"/>
        <w:ind w:left="230"/>
        <w:shd w:val="clear" w:color="auto" w:fill="F7F9FC"/>
        <w:pBdr>
          <w:left w:val="single" w:sz="4" w:space="6" w:color="D0D5DD"/>
        </w:pBdr>
      </w:pPr>
      <w:r>
        <w:rPr>
          <w:rFonts w:ascii="Consolas" w:hAnsi="Consolas"/>
          <w:color w:val="0B1F3A"/>
          <w:sz w:val="16"/>
        </w:rPr>
        <w:t xml:space="preserve">      (never reverse a payout              from a correct outcome?</w:t>
      </w:r>
    </w:p>
    <w:p>
      <w:pPr>
        <w:spacing w:before="0" w:after="0" w:line="240" w:lineRule="auto"/>
        <w:ind w:left="230"/>
        <w:shd w:val="clear" w:color="auto" w:fill="F7F9FC"/>
        <w:pBdr>
          <w:left w:val="single" w:sz="4" w:space="6" w:color="D0D5DD"/>
        </w:pBdr>
      </w:pPr>
      <w:r>
        <w:rPr>
          <w:rFonts w:ascii="Consolas" w:hAnsi="Consolas"/>
          <w:color w:val="0B1F3A"/>
          <w:sz w:val="16"/>
        </w:rPr>
        <w:t xml:space="preserve">       to make a number look                  |              |</w:t>
      </w:r>
    </w:p>
    <w:p>
      <w:pPr>
        <w:spacing w:before="0" w:after="0" w:line="240" w:lineRule="auto"/>
        <w:ind w:left="230"/>
        <w:shd w:val="clear" w:color="auto" w:fill="F7F9FC"/>
        <w:pBdr>
          <w:left w:val="single" w:sz="4" w:space="6" w:color="D0D5DD"/>
        </w:pBdr>
      </w:pPr>
      <w:r>
        <w:rPr>
          <w:rFonts w:ascii="Consolas" w:hAnsi="Consolas"/>
          <w:color w:val="0B1F3A"/>
          <w:sz w:val="16"/>
        </w:rPr>
        <w:t xml:space="preserve">       right)                                yes            no</w:t>
      </w:r>
    </w:p>
    <w:p>
      <w:pPr>
        <w:spacing w:before="0" w:after="0" w:line="240" w:lineRule="auto"/>
        <w:ind w:left="230"/>
        <w:shd w:val="clear" w:color="auto" w:fill="F7F9FC"/>
        <w:pBdr>
          <w:left w:val="single" w:sz="4" w:space="6" w:color="D0D5DD"/>
        </w:pBdr>
      </w:pPr>
      <w:r>
        <w:rPr>
          <w:rFonts w:ascii="Consolas" w:hAnsi="Consolas"/>
          <w:color w:val="0B1F3A"/>
          <w:sz w:val="16"/>
        </w:rPr>
        <w:t xml:space="preserve">       |                                     v               v</w:t>
      </w:r>
    </w:p>
    <w:p>
      <w:pPr>
        <w:spacing w:before="0" w:after="0" w:line="240" w:lineRule="auto"/>
        <w:ind w:left="230"/>
        <w:shd w:val="clear" w:color="auto" w:fill="F7F9FC"/>
        <w:pBdr>
          <w:left w:val="single" w:sz="4" w:space="6" w:color="D0D5DD"/>
        </w:pBdr>
      </w:pPr>
      <w:r>
        <w:rPr>
          <w:rFonts w:ascii="Consolas" w:hAnsi="Consolas"/>
          <w:color w:val="0B1F3A"/>
          <w:sz w:val="16"/>
        </w:rPr>
        <w:t xml:space="preserve">       v                                  4. Support lead   6. S3/S4</w:t>
      </w:r>
    </w:p>
    <w:p>
      <w:pPr>
        <w:spacing w:before="0" w:after="0" w:line="240" w:lineRule="auto"/>
        <w:ind w:left="230"/>
        <w:shd w:val="clear" w:color="auto" w:fill="F7F9FC"/>
        <w:pBdr>
          <w:left w:val="single" w:sz="4" w:space="6" w:color="D0D5DD"/>
        </w:pBdr>
      </w:pPr>
      <w:r>
        <w:rPr>
          <w:rFonts w:ascii="Consolas" w:hAnsi="Consolas"/>
          <w:color w:val="0B1F3A"/>
          <w:sz w:val="16"/>
        </w:rPr>
        <w:t xml:space="preserve">   5. Page the risk officer;              owns it;         backlog</w:t>
      </w:r>
    </w:p>
    <w:p>
      <w:pPr>
        <w:spacing w:before="0" w:after="0" w:line="240" w:lineRule="auto"/>
        <w:ind w:left="230"/>
        <w:shd w:val="clear" w:color="auto" w:fill="F7F9FC"/>
        <w:pBdr>
          <w:left w:val="single" w:sz="4" w:space="6" w:color="D0D5DD"/>
        </w:pBdr>
      </w:pPr>
      <w:r>
        <w:rPr>
          <w:rFonts w:ascii="Consolas" w:hAnsi="Consolas"/>
          <w:color w:val="0B1F3A"/>
          <w:sz w:val="16"/>
        </w:rPr>
        <w:t xml:space="preserve">      open a case per member,                  |</w:t>
      </w:r>
    </w:p>
    <w:p>
      <w:pPr>
        <w:spacing w:before="0" w:after="0" w:line="240" w:lineRule="auto"/>
        <w:ind w:left="230"/>
        <w:shd w:val="clear" w:color="auto" w:fill="F7F9FC"/>
        <w:pBdr>
          <w:left w:val="single" w:sz="4" w:space="6" w:color="D0D5DD"/>
        </w:pBdr>
      </w:pPr>
      <w:r>
        <w:rPr>
          <w:rFonts w:ascii="Consolas" w:hAnsi="Consolas"/>
          <w:color w:val="0B1F3A"/>
          <w:sz w:val="16"/>
        </w:rPr>
        <w:t xml:space="preserve">      not per alert                        5. Same ladder</w:t>
      </w:r>
    </w:p>
    <w:p>
      <w:pPr>
        <w:spacing w:before="0" w:after="0" w:line="240" w:lineRule="auto"/>
        <w:ind w:left="230"/>
        <w:shd w:val="clear" w:color="auto" w:fill="F7F9FC"/>
        <w:pBdr>
          <w:left w:val="single" w:sz="4" w:space="6" w:color="D0D5DD"/>
        </w:pBdr>
      </w:pPr>
      <w:r>
        <w:rPr>
          <w:rFonts w:ascii="Consolas" w:hAnsi="Consolas"/>
          <w:color w:val="0B1F3A"/>
          <w:sz w:val="16"/>
        </w:rPr>
        <w:t xml:space="preserve">                                              one rung down</w:t>
      </w:r>
    </w:p>
    <w:p>
      <w:pPr>
        <w:spacing w:before="0" w:after="0" w:line="240" w:lineRule="auto"/>
        <w:ind w:left="230"/>
        <w:shd w:val="clear" w:color="auto" w:fill="F7F9FC"/>
        <w:pBdr>
          <w:left w:val="single" w:sz="4" w:space="6" w:color="D0D5DD"/>
        </w:pBdr>
      </w:pPr>
      <w:r>
        <w:rPr>
          <w:rFonts w:ascii="Consolas" w:hAnsi="Consolas"/>
          <w:color w:val="0B1F3A"/>
          <w:sz w:val="16"/>
        </w:rPr>
        <w:t xml:space="preserve">   Every step writes to the case record. The first</w:t>
      </w:r>
    </w:p>
    <w:p>
      <w:pPr>
        <w:spacing w:before="0" w:after="0" w:line="240" w:lineRule="auto"/>
        <w:ind w:left="230"/>
        <w:shd w:val="clear" w:color="auto" w:fill="F7F9FC"/>
        <w:pBdr>
          <w:left w:val="single" w:sz="4" w:space="6" w:color="D0D5DD"/>
        </w:pBdr>
      </w:pPr>
      <w:r>
        <w:rPr>
          <w:rFonts w:ascii="Consolas" w:hAnsi="Consolas"/>
          <w:color w:val="0B1F3A"/>
          <w:sz w:val="16"/>
        </w:rPr>
        <w:t xml:space="preserve">   member message goes out before the root cause is</w:t>
      </w:r>
    </w:p>
    <w:p>
      <w:pPr>
        <w:spacing w:before="0" w:after="0" w:line="240" w:lineRule="auto"/>
        <w:ind w:left="230"/>
        <w:shd w:val="clear" w:color="auto" w:fill="F7F9FC"/>
        <w:pBdr>
          <w:left w:val="single" w:sz="4" w:space="6" w:color="D0D5DD"/>
        </w:pBdr>
      </w:pPr>
      <w:r>
        <w:rPr>
          <w:rFonts w:ascii="Consolas" w:hAnsi="Consolas"/>
          <w:color w:val="0B1F3A"/>
          <w:sz w:val="16"/>
        </w:rPr>
        <w:t xml:space="preserve">   known, because a member who has been paid wrongly</w:t>
      </w:r>
    </w:p>
    <w:p>
      <w:pPr>
        <w:spacing w:before="0" w:after="0" w:line="240" w:lineRule="auto"/>
        <w:ind w:left="230"/>
        <w:shd w:val="clear" w:color="auto" w:fill="F7F9FC"/>
        <w:pBdr>
          <w:left w:val="single" w:sz="4" w:space="6" w:color="D0D5DD"/>
        </w:pBdr>
      </w:pPr>
      <w:r>
        <w:rPr>
          <w:rFonts w:ascii="Consolas" w:hAnsi="Consolas"/>
          <w:color w:val="0B1F3A"/>
          <w:sz w:val="16"/>
        </w:rPr>
        <w:t xml:space="preserve">   and then told nothing is the failure we care about.</w:t>
      </w:r>
    </w:p>
    <w:p>
      <w:pPr>
        <w:spacing w:before="0" w:after="0" w:line="240" w:lineRule="auto"/>
        <w:ind w:left="230"/>
        <w:shd w:val="clear" w:color="auto" w:fill="F7F9FC"/>
        <w:pBdr>
          <w:left w:val="single" w:sz="4" w:space="6" w:color="D0D5DD"/>
        </w:pBdr>
      </w:pPr>
      <w:r>
        <w:rPr>
          <w:rFonts w:ascii="Consolas" w:hAnsi="Consolas"/>
          <w:color w:val="0B1F3A"/>
          <w:sz w:val="16"/>
        </w:rPr>
        <w:t xml:space="preserve">   </w:t>
      </w:r>
    </w:p>
    <w:p>
      <w:pPr>
        <w:pStyle w:val="Heading3"/>
      </w:pPr>
      <w:r>
        <w:rPr>
          <w:rFonts w:ascii="Calibri" w:hAnsi="Calibri"/>
          <w:b/>
          <w:i w:val="0"/>
          <w:color w:val="0B1F3A"/>
          <w:sz w:val="24"/>
        </w:rPr>
        <w:t>19.13.2 Alert handling</w:t>
      </w:r>
    </w:p>
    <w:tbl>
      <w:tblPr>
        <w:tblStyle w:val="TableGrid"/>
        <w:tblW w:type="auto" w:w="0"/>
        <w:jc w:val="center"/>
        <w:tblLayout w:type="autofit"/>
        <w:tblLook w:firstColumn="1" w:firstRow="1" w:lastColumn="0" w:lastRow="0" w:noHBand="0" w:noVBand="1" w:val="04A0"/>
      </w:tblPr>
      <w:tblGrid>
        <w:gridCol w:w="1577"/>
        <w:gridCol w:w="1577"/>
        <w:gridCol w:w="1577"/>
        <w:gridCol w:w="1577"/>
        <w:gridCol w:w="1577"/>
        <w:gridCol w:w="1577"/>
      </w:tblGrid>
      <w:tr>
        <w:trPr>
          <w:tblHeader/>
          <w:cantSplit/>
        </w:trPr>
        <w:tc>
          <w:tcPr>
            <w:tcW w:type="dxa" w:w="1800"/>
            <w:shd w:val="clear" w:color="auto" w:fill="0B1F3A"/>
            <w:tcMar>
              <w:top w:w="60" w:type="dxa"/>
              <w:start w:w="110" w:type="dxa"/>
              <w:bottom w:w="60" w:type="dxa"/>
              <w:end w:w="110" w:type="dxa"/>
            </w:tcMar>
          </w:tcPr>
          <w:p>
            <w:pPr>
              <w:spacing w:after="0"/>
            </w:pPr>
            <w:r/>
            <w:r>
              <w:rPr>
                <w:rFonts w:ascii="Calibri" w:hAnsi="Calibri"/>
                <w:b/>
                <w:i w:val="0"/>
                <w:color w:val="FFFFFF"/>
                <w:sz w:val="16"/>
              </w:rPr>
              <w:t>Alert</w:t>
            </w:r>
          </w:p>
        </w:tc>
        <w:tc>
          <w:tcPr>
            <w:tcW w:type="dxa" w:w="1138"/>
            <w:shd w:val="clear" w:color="auto" w:fill="0B1F3A"/>
            <w:tcMar>
              <w:top w:w="60" w:type="dxa"/>
              <w:start w:w="110" w:type="dxa"/>
              <w:bottom w:w="60" w:type="dxa"/>
              <w:end w:w="110" w:type="dxa"/>
            </w:tcMar>
          </w:tcPr>
          <w:p>
            <w:pPr>
              <w:spacing w:after="0"/>
            </w:pPr>
            <w:r/>
            <w:r>
              <w:rPr>
                <w:rFonts w:ascii="Calibri" w:hAnsi="Calibri"/>
                <w:b/>
                <w:i w:val="0"/>
                <w:color w:val="FFFFFF"/>
                <w:sz w:val="16"/>
              </w:rPr>
              <w:t>Likely case</w:t>
            </w:r>
          </w:p>
        </w:tc>
        <w:tc>
          <w:tcPr>
            <w:tcW w:type="dxa" w:w="1915"/>
            <w:shd w:val="clear" w:color="auto" w:fill="0B1F3A"/>
            <w:tcMar>
              <w:top w:w="60" w:type="dxa"/>
              <w:start w:w="110" w:type="dxa"/>
              <w:bottom w:w="60" w:type="dxa"/>
              <w:end w:w="110" w:type="dxa"/>
            </w:tcMar>
          </w:tcPr>
          <w:p>
            <w:pPr>
              <w:spacing w:after="0"/>
            </w:pPr>
            <w:r/>
            <w:r>
              <w:rPr>
                <w:rFonts w:ascii="Calibri" w:hAnsi="Calibri"/>
                <w:b/>
                <w:i w:val="0"/>
                <w:color w:val="FFFFFF"/>
                <w:sz w:val="16"/>
              </w:rPr>
              <w:t>First 15 minutes</w:t>
            </w:r>
          </w:p>
        </w:tc>
        <w:tc>
          <w:tcPr>
            <w:tcW w:type="dxa" w:w="1858"/>
            <w:shd w:val="clear" w:color="auto" w:fill="0B1F3A"/>
            <w:tcMar>
              <w:top w:w="60" w:type="dxa"/>
              <w:start w:w="110" w:type="dxa"/>
              <w:bottom w:w="60" w:type="dxa"/>
              <w:end w:w="110" w:type="dxa"/>
            </w:tcMar>
          </w:tcPr>
          <w:p>
            <w:pPr>
              <w:spacing w:after="0"/>
            </w:pPr>
            <w:r/>
            <w:r>
              <w:rPr>
                <w:rFonts w:ascii="Calibri" w:hAnsi="Calibri"/>
                <w:b/>
                <w:i w:val="0"/>
                <w:color w:val="FFFFFF"/>
                <w:sz w:val="16"/>
              </w:rPr>
              <w:t>15 to 60 minutes</w:t>
            </w:r>
          </w:p>
        </w:tc>
        <w:tc>
          <w:tcPr>
            <w:tcW w:type="dxa" w:w="1685"/>
            <w:shd w:val="clear" w:color="auto" w:fill="0B1F3A"/>
            <w:tcMar>
              <w:top w:w="60" w:type="dxa"/>
              <w:start w:w="110" w:type="dxa"/>
              <w:bottom w:w="60" w:type="dxa"/>
              <w:end w:w="110" w:type="dxa"/>
            </w:tcMar>
          </w:tcPr>
          <w:p>
            <w:pPr>
              <w:spacing w:after="0"/>
            </w:pPr>
            <w:r/>
            <w:r>
              <w:rPr>
                <w:rFonts w:ascii="Calibri" w:hAnsi="Calibri"/>
                <w:b/>
                <w:i w:val="0"/>
                <w:color w:val="FFFFFF"/>
                <w:sz w:val="16"/>
              </w:rPr>
              <w:t>Beyond 1 hour</w:t>
            </w:r>
          </w:p>
        </w:tc>
        <w:tc>
          <w:tcPr>
            <w:tcW w:type="dxa" w:w="965"/>
            <w:shd w:val="clear" w:color="auto" w:fill="0B1F3A"/>
            <w:tcMar>
              <w:top w:w="60" w:type="dxa"/>
              <w:start w:w="110" w:type="dxa"/>
              <w:bottom w:w="60" w:type="dxa"/>
              <w:end w:w="110" w:type="dxa"/>
            </w:tcMar>
          </w:tcPr>
          <w:p>
            <w:pPr>
              <w:spacing w:after="0"/>
            </w:pPr>
            <w:r/>
            <w:r>
              <w:rPr>
                <w:rFonts w:ascii="Calibri" w:hAnsi="Calibri"/>
                <w:b/>
                <w:i w:val="0"/>
                <w:color w:val="FFFFFF"/>
                <w:sz w:val="16"/>
              </w:rPr>
              <w:t>Owner</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6"/>
              </w:rPr>
              <w:t>Solvency assertion failed</w:t>
            </w:r>
          </w:p>
        </w:tc>
        <w:tc>
          <w:tcPr>
            <w:tcW w:type="dxa" w:w="1138"/>
            <w:tcMar>
              <w:top w:w="60" w:type="dxa"/>
              <w:start w:w="110" w:type="dxa"/>
              <w:bottom w:w="60" w:type="dxa"/>
              <w:end w:w="110" w:type="dxa"/>
            </w:tcMar>
          </w:tcPr>
          <w:p>
            <w:pPr>
              <w:spacing w:after="0"/>
            </w:pPr>
            <w:r/>
            <w:r>
              <w:rPr>
                <w:rFonts w:ascii="Calibri" w:hAnsi="Calibri"/>
                <w:b w:val="0"/>
                <w:i w:val="0"/>
                <w:color w:val="101828"/>
                <w:sz w:val="16"/>
              </w:rPr>
              <w:t>EC-101</w:t>
            </w:r>
          </w:p>
        </w:tc>
        <w:tc>
          <w:tcPr>
            <w:tcW w:type="dxa" w:w="1915"/>
            <w:tcMar>
              <w:top w:w="60" w:type="dxa"/>
              <w:start w:w="110" w:type="dxa"/>
              <w:bottom w:w="60" w:type="dxa"/>
              <w:end w:w="110" w:type="dxa"/>
            </w:tcMar>
          </w:tcPr>
          <w:p>
            <w:pPr>
              <w:spacing w:after="0"/>
            </w:pPr>
            <w:r/>
            <w:r>
              <w:rPr>
                <w:rFonts w:ascii="Calibri" w:hAnsi="Calibri"/>
                <w:b w:val="0"/>
                <w:i w:val="0"/>
                <w:color w:val="101828"/>
                <w:sz w:val="16"/>
              </w:rPr>
              <w:t>Halt all disbursement. Do not release any payout, for any Ajo, until the assertion passes again.</w:t>
            </w:r>
          </w:p>
        </w:tc>
        <w:tc>
          <w:tcPr>
            <w:tcW w:type="dxa" w:w="1858"/>
            <w:tcMar>
              <w:top w:w="60" w:type="dxa"/>
              <w:start w:w="110" w:type="dxa"/>
              <w:bottom w:w="60" w:type="dxa"/>
              <w:end w:w="110" w:type="dxa"/>
            </w:tcMar>
          </w:tcPr>
          <w:p>
            <w:pPr>
              <w:spacing w:after="0"/>
            </w:pPr>
            <w:r/>
            <w:r>
              <w:rPr>
                <w:rFonts w:ascii="Calibri" w:hAnsi="Calibri"/>
                <w:b w:val="0"/>
                <w:i w:val="0"/>
                <w:color w:val="101828"/>
                <w:sz w:val="16"/>
              </w:rPr>
              <w:t>Locate the breaching transaction, reconcile escrow against obligations, and identify every payout that would have been released on bad data.</w:t>
            </w:r>
          </w:p>
        </w:tc>
        <w:tc>
          <w:tcPr>
            <w:tcW w:type="dxa" w:w="1685"/>
            <w:tcMar>
              <w:top w:w="60" w:type="dxa"/>
              <w:start w:w="110" w:type="dxa"/>
              <w:bottom w:w="60" w:type="dxa"/>
              <w:end w:w="110" w:type="dxa"/>
            </w:tcMar>
          </w:tcPr>
          <w:p>
            <w:pPr>
              <w:spacing w:after="0"/>
            </w:pPr>
            <w:r/>
            <w:r>
              <w:rPr>
                <w:rFonts w:ascii="Calibri" w:hAnsi="Calibri"/>
                <w:b w:val="0"/>
                <w:i w:val="0"/>
                <w:color w:val="101828"/>
                <w:sz w:val="16"/>
              </w:rPr>
              <w:t xml:space="preserve">Engineering incident with a named incident lead; </w:t>
            </w:r>
            <w:r>
              <w:rPr>
                <w:rFonts w:ascii="Consolas" w:hAnsi="Consolas"/>
                <w:color w:val="146EF5"/>
                <w:sz w:val="16"/>
              </w:rPr>
              <w:t>risk_officer</w:t>
            </w:r>
            <w:r>
              <w:rPr>
                <w:rFonts w:ascii="Calibri" w:hAnsi="Calibri"/>
                <w:b w:val="0"/>
                <w:i w:val="0"/>
                <w:color w:val="101828"/>
                <w:sz w:val="16"/>
              </w:rPr>
              <w:t xml:space="preserve"> informed if any member is affected.</w:t>
            </w:r>
          </w:p>
        </w:tc>
        <w:tc>
          <w:tcPr>
            <w:tcW w:type="dxa" w:w="965"/>
            <w:tcMar>
              <w:top w:w="60" w:type="dxa"/>
              <w:start w:w="110" w:type="dxa"/>
              <w:bottom w:w="60" w:type="dxa"/>
              <w:end w:w="110" w:type="dxa"/>
            </w:tcMar>
          </w:tcPr>
          <w:p>
            <w:pPr>
              <w:spacing w:after="0"/>
            </w:pPr>
            <w:r/>
            <w:r>
              <w:rPr>
                <w:rFonts w:ascii="Calibri" w:hAnsi="Calibri"/>
                <w:b w:val="0"/>
                <w:i w:val="0"/>
                <w:color w:val="101828"/>
                <w:sz w:val="16"/>
              </w:rPr>
              <w:t>Engineering</w:t>
            </w:r>
          </w:p>
        </w:tc>
      </w:tr>
      <w:tr>
        <w:trPr>
          <w:cantSplit/>
        </w:trPr>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6"/>
              </w:rPr>
              <w:t>A payout is past its due time</w:t>
            </w:r>
          </w:p>
        </w:tc>
        <w:tc>
          <w:tcPr>
            <w:tcW w:type="dxa" w:w="1138"/>
            <w:tcMar>
              <w:top w:w="60" w:type="dxa"/>
              <w:start w:w="110" w:type="dxa"/>
              <w:bottom w:w="60" w:type="dxa"/>
              <w:end w:w="110" w:type="dxa"/>
            </w:tcMar>
            <w:shd w:val="clear" w:color="auto" w:fill="F4F7FB"/>
          </w:tcPr>
          <w:p>
            <w:pPr>
              <w:spacing w:after="0"/>
            </w:pPr>
            <w:r/>
            <w:r>
              <w:rPr>
                <w:rFonts w:ascii="Calibri" w:hAnsi="Calibri"/>
                <w:b w:val="0"/>
                <w:i w:val="0"/>
                <w:color w:val="101828"/>
                <w:sz w:val="16"/>
              </w:rPr>
              <w:t>EC-056</w:t>
            </w:r>
          </w:p>
        </w:tc>
        <w:tc>
          <w:tcPr>
            <w:tcW w:type="dxa" w:w="1915"/>
            <w:tcMar>
              <w:top w:w="60" w:type="dxa"/>
              <w:start w:w="110" w:type="dxa"/>
              <w:bottom w:w="60" w:type="dxa"/>
              <w:end w:w="110" w:type="dxa"/>
            </w:tcMar>
            <w:shd w:val="clear" w:color="auto" w:fill="F4F7FB"/>
          </w:tcPr>
          <w:p>
            <w:pPr>
              <w:spacing w:after="0"/>
            </w:pPr>
            <w:r/>
            <w:r>
              <w:rPr>
                <w:rFonts w:ascii="Calibri" w:hAnsi="Calibri"/>
                <w:b w:val="0"/>
                <w:i w:val="0"/>
                <w:color w:val="101828"/>
                <w:sz w:val="16"/>
              </w:rPr>
              <w:t>Confirm the funds and the funding position. Execute immediately if funds are available; do not wait for the root cause.</w:t>
            </w:r>
          </w:p>
        </w:tc>
        <w:tc>
          <w:tcPr>
            <w:tcW w:type="dxa" w:w="1858"/>
            <w:tcMar>
              <w:top w:w="60" w:type="dxa"/>
              <w:start w:w="110" w:type="dxa"/>
              <w:bottom w:w="60" w:type="dxa"/>
              <w:end w:w="110" w:type="dxa"/>
            </w:tcMar>
            <w:shd w:val="clear" w:color="auto" w:fill="F4F7FB"/>
          </w:tcPr>
          <w:p>
            <w:pPr>
              <w:spacing w:after="0"/>
            </w:pPr>
            <w:r/>
            <w:r>
              <w:rPr>
                <w:rFonts w:ascii="Calibri" w:hAnsi="Calibri"/>
                <w:b w:val="0"/>
                <w:i w:val="0"/>
                <w:color w:val="101828"/>
                <w:sz w:val="16"/>
              </w:rPr>
              <w:t>Notify recipient and organizer with a real expected time, even if that time is an estimate.</w:t>
            </w:r>
          </w:p>
        </w:tc>
        <w:tc>
          <w:tcPr>
            <w:tcW w:type="dxa" w:w="1685"/>
            <w:tcMar>
              <w:top w:w="60" w:type="dxa"/>
              <w:start w:w="110" w:type="dxa"/>
              <w:bottom w:w="60" w:type="dxa"/>
              <w:end w:w="110" w:type="dxa"/>
            </w:tcMar>
            <w:shd w:val="clear" w:color="auto" w:fill="F4F7FB"/>
          </w:tcPr>
          <w:p>
            <w:pPr>
              <w:spacing w:after="0"/>
            </w:pPr>
            <w:r/>
            <w:r>
              <w:rPr>
                <w:rFonts w:ascii="Calibri" w:hAnsi="Calibri"/>
                <w:b w:val="0"/>
                <w:i w:val="0"/>
                <w:color w:val="101828"/>
                <w:sz w:val="16"/>
              </w:rPr>
              <w:t>Escalate if the cause is systemic or if more than a handful of payouts are late.</w:t>
            </w:r>
          </w:p>
        </w:tc>
        <w:tc>
          <w:tcPr>
            <w:tcW w:type="dxa" w:w="965"/>
            <w:tcMar>
              <w:top w:w="60" w:type="dxa"/>
              <w:start w:w="110" w:type="dxa"/>
              <w:bottom w:w="60" w:type="dxa"/>
              <w:end w:w="110" w:type="dxa"/>
            </w:tcMar>
            <w:shd w:val="clear" w:color="auto" w:fill="F4F7FB"/>
          </w:tcPr>
          <w:p>
            <w:pPr>
              <w:spacing w:after="0"/>
            </w:pPr>
            <w:r/>
            <w:r>
              <w:rPr>
                <w:rFonts w:ascii="Calibri" w:hAnsi="Calibri"/>
                <w:b w:val="0"/>
                <w:i w:val="0"/>
                <w:color w:val="101828"/>
                <w:sz w:val="16"/>
              </w:rPr>
              <w:t>Support lead</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6"/>
              </w:rPr>
              <w:t>Possible double charge detected</w:t>
            </w:r>
          </w:p>
        </w:tc>
        <w:tc>
          <w:tcPr>
            <w:tcW w:type="dxa" w:w="1138"/>
            <w:tcMar>
              <w:top w:w="60" w:type="dxa"/>
              <w:start w:w="110" w:type="dxa"/>
              <w:bottom w:w="60" w:type="dxa"/>
              <w:end w:w="110" w:type="dxa"/>
            </w:tcMar>
          </w:tcPr>
          <w:p>
            <w:pPr>
              <w:spacing w:after="0"/>
            </w:pPr>
            <w:r/>
            <w:r>
              <w:rPr>
                <w:rFonts w:ascii="Calibri" w:hAnsi="Calibri"/>
                <w:b w:val="0"/>
                <w:i w:val="0"/>
                <w:color w:val="101828"/>
                <w:sz w:val="16"/>
              </w:rPr>
              <w:t>EC-004, EC-116</w:t>
            </w:r>
          </w:p>
        </w:tc>
        <w:tc>
          <w:tcPr>
            <w:tcW w:type="dxa" w:w="1915"/>
            <w:tcMar>
              <w:top w:w="60" w:type="dxa"/>
              <w:start w:w="110" w:type="dxa"/>
              <w:bottom w:w="60" w:type="dxa"/>
              <w:end w:w="110" w:type="dxa"/>
            </w:tcMar>
          </w:tcPr>
          <w:p>
            <w:pPr>
              <w:spacing w:after="0"/>
            </w:pPr>
            <w:r/>
            <w:r>
              <w:rPr>
                <w:rFonts w:ascii="Calibri" w:hAnsi="Calibri"/>
                <w:b w:val="0"/>
                <w:i w:val="0"/>
                <w:color w:val="101828"/>
                <w:sz w:val="16"/>
              </w:rPr>
              <w:t>Stop the affected payment path. Confirm with the provider before telling the member anything definitive.</w:t>
            </w:r>
          </w:p>
        </w:tc>
        <w:tc>
          <w:tcPr>
            <w:tcW w:type="dxa" w:w="1858"/>
            <w:tcMar>
              <w:top w:w="60" w:type="dxa"/>
              <w:start w:w="110" w:type="dxa"/>
              <w:bottom w:w="60" w:type="dxa"/>
              <w:end w:w="110" w:type="dxa"/>
            </w:tcMar>
          </w:tcPr>
          <w:p>
            <w:pPr>
              <w:spacing w:after="0"/>
            </w:pPr>
            <w:r/>
            <w:r>
              <w:rPr>
                <w:rFonts w:ascii="Calibri" w:hAnsi="Calibri"/>
                <w:b w:val="0"/>
                <w:i w:val="0"/>
                <w:color w:val="101828"/>
                <w:sz w:val="16"/>
              </w:rPr>
              <w:t>Refund the duplicate through the normal reversal path, and confirm the member's original payment is unaffected.</w:t>
            </w:r>
          </w:p>
        </w:tc>
        <w:tc>
          <w:tcPr>
            <w:tcW w:type="dxa" w:w="1685"/>
            <w:tcMar>
              <w:top w:w="60" w:type="dxa"/>
              <w:start w:w="110" w:type="dxa"/>
              <w:bottom w:w="60" w:type="dxa"/>
              <w:end w:w="110" w:type="dxa"/>
            </w:tcMar>
          </w:tcPr>
          <w:p>
            <w:pPr>
              <w:spacing w:after="0"/>
            </w:pPr>
            <w:r/>
            <w:r>
              <w:rPr>
                <w:rFonts w:ascii="Calibri" w:hAnsi="Calibri"/>
                <w:b w:val="0"/>
                <w:i w:val="0"/>
                <w:color w:val="101828"/>
                <w:sz w:val="16"/>
              </w:rPr>
              <w:t>Treat as S1 for as long as any member believes they were charged twice, even after the money is corrected.</w:t>
            </w:r>
          </w:p>
        </w:tc>
        <w:tc>
          <w:tcPr>
            <w:tcW w:type="dxa" w:w="965"/>
            <w:tcMar>
              <w:top w:w="60" w:type="dxa"/>
              <w:start w:w="110" w:type="dxa"/>
              <w:bottom w:w="60" w:type="dxa"/>
              <w:end w:w="110" w:type="dxa"/>
            </w:tcMar>
          </w:tcPr>
          <w:p>
            <w:pPr>
              <w:spacing w:after="0"/>
            </w:pPr>
            <w:r/>
            <w:r>
              <w:rPr>
                <w:rFonts w:ascii="Consolas" w:hAnsi="Consolas"/>
                <w:color w:val="146EF5"/>
                <w:sz w:val="16"/>
              </w:rPr>
              <w:t>risk_officer</w:t>
            </w:r>
          </w:p>
        </w:tc>
      </w:tr>
      <w:tr>
        <w:trPr>
          <w:cantSplit/>
        </w:trPr>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6"/>
              </w:rPr>
              <w:t>Webhook signature failures spiking</w:t>
            </w:r>
          </w:p>
        </w:tc>
        <w:tc>
          <w:tcPr>
            <w:tcW w:type="dxa" w:w="1138"/>
            <w:tcMar>
              <w:top w:w="60" w:type="dxa"/>
              <w:start w:w="110" w:type="dxa"/>
              <w:bottom w:w="60" w:type="dxa"/>
              <w:end w:w="110" w:type="dxa"/>
            </w:tcMar>
            <w:shd w:val="clear" w:color="auto" w:fill="F4F7FB"/>
          </w:tcPr>
          <w:p>
            <w:pPr>
              <w:spacing w:after="0"/>
            </w:pPr>
            <w:r/>
            <w:r>
              <w:rPr>
                <w:rFonts w:ascii="Calibri" w:hAnsi="Calibri"/>
                <w:b w:val="0"/>
                <w:i w:val="0"/>
                <w:color w:val="101828"/>
                <w:sz w:val="16"/>
              </w:rPr>
              <w:t>EC-038</w:t>
            </w:r>
          </w:p>
        </w:tc>
        <w:tc>
          <w:tcPr>
            <w:tcW w:type="dxa" w:w="1915"/>
            <w:tcMar>
              <w:top w:w="60" w:type="dxa"/>
              <w:start w:w="110" w:type="dxa"/>
              <w:bottom w:w="60" w:type="dxa"/>
              <w:end w:w="110" w:type="dxa"/>
            </w:tcMar>
            <w:shd w:val="clear" w:color="auto" w:fill="F4F7FB"/>
          </w:tcPr>
          <w:p>
            <w:pPr>
              <w:spacing w:after="0"/>
            </w:pPr>
            <w:r/>
            <w:r>
              <w:rPr>
                <w:rFonts w:ascii="Calibri" w:hAnsi="Calibri"/>
                <w:b w:val="0"/>
                <w:i w:val="0"/>
                <w:color w:val="101828"/>
                <w:sz w:val="16"/>
              </w:rPr>
              <w:t>Do not disable verification to stop the noise. Confirm the alert source.</w:t>
            </w:r>
          </w:p>
        </w:tc>
        <w:tc>
          <w:tcPr>
            <w:tcW w:type="dxa" w:w="1858"/>
            <w:tcMar>
              <w:top w:w="60" w:type="dxa"/>
              <w:start w:w="110" w:type="dxa"/>
              <w:bottom w:w="60" w:type="dxa"/>
              <w:end w:w="110" w:type="dxa"/>
            </w:tcMar>
            <w:shd w:val="clear" w:color="auto" w:fill="F4F7FB"/>
          </w:tcPr>
          <w:p>
            <w:pPr>
              <w:spacing w:after="0"/>
            </w:pPr>
            <w:r/>
            <w:r>
              <w:rPr>
                <w:rFonts w:ascii="Calibri" w:hAnsi="Calibri"/>
                <w:b w:val="0"/>
                <w:i w:val="0"/>
                <w:color w:val="101828"/>
                <w:sz w:val="16"/>
              </w:rPr>
              <w:t>Determine whether it is an attack, a provider contract change, or a replay. Preserve the evidence.</w:t>
            </w:r>
          </w:p>
        </w:tc>
        <w:tc>
          <w:tcPr>
            <w:tcW w:type="dxa" w:w="1685"/>
            <w:tcMar>
              <w:top w:w="60" w:type="dxa"/>
              <w:start w:w="110" w:type="dxa"/>
              <w:bottom w:w="60" w:type="dxa"/>
              <w:end w:w="110" w:type="dxa"/>
            </w:tcMar>
            <w:shd w:val="clear" w:color="auto" w:fill="F4F7FB"/>
          </w:tcPr>
          <w:p>
            <w:pPr>
              <w:spacing w:after="0"/>
            </w:pPr>
            <w:r/>
            <w:r>
              <w:rPr>
                <w:rFonts w:ascii="Calibri" w:hAnsi="Calibri"/>
                <w:b w:val="0"/>
                <w:i w:val="0"/>
                <w:color w:val="101828"/>
                <w:sz w:val="16"/>
              </w:rPr>
              <w:t>Security incident with a response to the exposure, not only to the alert volume.</w:t>
            </w:r>
          </w:p>
        </w:tc>
        <w:tc>
          <w:tcPr>
            <w:tcW w:type="dxa" w:w="965"/>
            <w:tcMar>
              <w:top w:w="60" w:type="dxa"/>
              <w:start w:w="110" w:type="dxa"/>
              <w:bottom w:w="60" w:type="dxa"/>
              <w:end w:w="110" w:type="dxa"/>
            </w:tcMar>
            <w:shd w:val="clear" w:color="auto" w:fill="F4F7FB"/>
          </w:tcPr>
          <w:p>
            <w:pPr>
              <w:spacing w:after="0"/>
            </w:pPr>
            <w:r/>
            <w:r>
              <w:rPr>
                <w:rFonts w:ascii="Consolas" w:hAnsi="Consolas"/>
                <w:color w:val="146EF5"/>
                <w:sz w:val="16"/>
              </w:rPr>
              <w:t>risk_officer</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6"/>
              </w:rPr>
              <w:t>Provider unreachable</w:t>
            </w:r>
          </w:p>
        </w:tc>
        <w:tc>
          <w:tcPr>
            <w:tcW w:type="dxa" w:w="1138"/>
            <w:tcMar>
              <w:top w:w="60" w:type="dxa"/>
              <w:start w:w="110" w:type="dxa"/>
              <w:bottom w:w="60" w:type="dxa"/>
              <w:end w:w="110" w:type="dxa"/>
            </w:tcMar>
          </w:tcPr>
          <w:p>
            <w:pPr>
              <w:spacing w:after="0"/>
            </w:pPr>
            <w:r/>
            <w:r>
              <w:rPr>
                <w:rFonts w:ascii="Calibri" w:hAnsi="Calibri"/>
                <w:b w:val="0"/>
                <w:i w:val="0"/>
                <w:color w:val="101828"/>
                <w:sz w:val="16"/>
              </w:rPr>
              <w:t>EC-018, EC-048, EC-139</w:t>
            </w:r>
          </w:p>
        </w:tc>
        <w:tc>
          <w:tcPr>
            <w:tcW w:type="dxa" w:w="1915"/>
            <w:tcMar>
              <w:top w:w="60" w:type="dxa"/>
              <w:start w:w="110" w:type="dxa"/>
              <w:bottom w:w="60" w:type="dxa"/>
              <w:end w:w="110" w:type="dxa"/>
            </w:tcMar>
          </w:tcPr>
          <w:p>
            <w:pPr>
              <w:spacing w:after="0"/>
            </w:pPr>
            <w:r/>
            <w:r>
              <w:rPr>
                <w:rFonts w:ascii="Calibri" w:hAnsi="Calibri"/>
                <w:b w:val="0"/>
                <w:i w:val="0"/>
                <w:color w:val="101828"/>
                <w:sz w:val="16"/>
              </w:rPr>
              <w:t>Confirm nothing is in an ambiguous state. Reassure members that nothing has been taken and nothing needs to be repeated.</w:t>
            </w:r>
          </w:p>
        </w:tc>
        <w:tc>
          <w:tcPr>
            <w:tcW w:type="dxa" w:w="1858"/>
            <w:tcMar>
              <w:top w:w="60" w:type="dxa"/>
              <w:start w:w="110" w:type="dxa"/>
              <w:bottom w:w="60" w:type="dxa"/>
              <w:end w:w="110" w:type="dxa"/>
            </w:tcMar>
          </w:tcPr>
          <w:p>
            <w:pPr>
              <w:spacing w:after="0"/>
            </w:pPr>
            <w:r/>
            <w:r>
              <w:rPr>
                <w:rFonts w:ascii="Calibri" w:hAnsi="Calibri"/>
                <w:b w:val="0"/>
                <w:i w:val="0"/>
                <w:color w:val="101828"/>
                <w:sz w:val="16"/>
              </w:rPr>
              <w:t>Reconcile any ambiguous initiations by reference before permitting a single retry with a new key.</w:t>
            </w:r>
          </w:p>
        </w:tc>
        <w:tc>
          <w:tcPr>
            <w:tcW w:type="dxa" w:w="1685"/>
            <w:tcMar>
              <w:top w:w="60" w:type="dxa"/>
              <w:start w:w="110" w:type="dxa"/>
              <w:bottom w:w="60" w:type="dxa"/>
              <w:end w:w="110" w:type="dxa"/>
            </w:tcMar>
          </w:tcPr>
          <w:p>
            <w:pPr>
              <w:spacing w:after="0"/>
            </w:pPr>
            <w:r/>
            <w:r>
              <w:rPr>
                <w:rFonts w:ascii="Calibri" w:hAnsi="Calibri"/>
                <w:b w:val="0"/>
                <w:i w:val="0"/>
                <w:color w:val="101828"/>
                <w:sz w:val="16"/>
              </w:rPr>
              <w:t>Provider liaison. Do not build a workaround that bypasses the payment path.</w:t>
            </w:r>
          </w:p>
        </w:tc>
        <w:tc>
          <w:tcPr>
            <w:tcW w:type="dxa" w:w="965"/>
            <w:tcMar>
              <w:top w:w="60" w:type="dxa"/>
              <w:start w:w="110" w:type="dxa"/>
              <w:bottom w:w="60" w:type="dxa"/>
              <w:end w:w="110" w:type="dxa"/>
            </w:tcMar>
          </w:tcPr>
          <w:p>
            <w:pPr>
              <w:spacing w:after="0"/>
            </w:pPr>
            <w:r/>
            <w:r>
              <w:rPr>
                <w:rFonts w:ascii="Calibri" w:hAnsi="Calibri"/>
                <w:b w:val="0"/>
                <w:i w:val="0"/>
                <w:color w:val="101828"/>
                <w:sz w:val="16"/>
              </w:rPr>
              <w:t>Engineering</w:t>
            </w:r>
          </w:p>
        </w:tc>
      </w:tr>
      <w:tr>
        <w:trPr>
          <w:cantSplit/>
        </w:trPr>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6"/>
              </w:rPr>
              <w:t>Money-critical notifications undelivered</w:t>
            </w:r>
          </w:p>
        </w:tc>
        <w:tc>
          <w:tcPr>
            <w:tcW w:type="dxa" w:w="1138"/>
            <w:tcMar>
              <w:top w:w="60" w:type="dxa"/>
              <w:start w:w="110" w:type="dxa"/>
              <w:bottom w:w="60" w:type="dxa"/>
              <w:end w:w="110" w:type="dxa"/>
            </w:tcMar>
            <w:shd w:val="clear" w:color="auto" w:fill="F4F7FB"/>
          </w:tcPr>
          <w:p>
            <w:pPr>
              <w:spacing w:after="0"/>
            </w:pPr>
            <w:r/>
            <w:r>
              <w:rPr>
                <w:rFonts w:ascii="Calibri" w:hAnsi="Calibri"/>
                <w:b w:val="0"/>
                <w:i w:val="0"/>
                <w:color w:val="101828"/>
                <w:sz w:val="16"/>
              </w:rPr>
              <w:t>EC-075, EC-138, EC-069</w:t>
            </w:r>
          </w:p>
        </w:tc>
        <w:tc>
          <w:tcPr>
            <w:tcW w:type="dxa" w:w="1915"/>
            <w:tcMar>
              <w:top w:w="60" w:type="dxa"/>
              <w:start w:w="110" w:type="dxa"/>
              <w:bottom w:w="60" w:type="dxa"/>
              <w:end w:w="110" w:type="dxa"/>
            </w:tcMar>
            <w:shd w:val="clear" w:color="auto" w:fill="F4F7FB"/>
          </w:tcPr>
          <w:p>
            <w:pPr>
              <w:spacing w:after="0"/>
            </w:pPr>
            <w:r/>
            <w:r>
              <w:rPr>
                <w:rFonts w:ascii="Calibri" w:hAnsi="Calibri"/>
                <w:b w:val="0"/>
                <w:i w:val="0"/>
                <w:color w:val="101828"/>
                <w:sz w:val="16"/>
              </w:rPr>
              <w:t>Switch money-critical events to the fallback channel. Do not wait to understand the cause.</w:t>
            </w:r>
          </w:p>
        </w:tc>
        <w:tc>
          <w:tcPr>
            <w:tcW w:type="dxa" w:w="1858"/>
            <w:tcMar>
              <w:top w:w="60" w:type="dxa"/>
              <w:start w:w="110" w:type="dxa"/>
              <w:bottom w:w="60" w:type="dxa"/>
              <w:end w:w="110" w:type="dxa"/>
            </w:tcMar>
            <w:shd w:val="clear" w:color="auto" w:fill="F4F7FB"/>
          </w:tcPr>
          <w:p>
            <w:pPr>
              <w:spacing w:after="0"/>
            </w:pPr>
            <w:r/>
            <w:r>
              <w:rPr>
                <w:rFonts w:ascii="Calibri" w:hAnsi="Calibri"/>
                <w:b w:val="0"/>
                <w:i w:val="0"/>
                <w:color w:val="101828"/>
                <w:sz w:val="16"/>
              </w:rPr>
              <w:t>Confirm reach per member, and contact anyone unreachable by every channel before their deadline passes.</w:t>
            </w:r>
          </w:p>
        </w:tc>
        <w:tc>
          <w:tcPr>
            <w:tcW w:type="dxa" w:w="1685"/>
            <w:tcMar>
              <w:top w:w="60" w:type="dxa"/>
              <w:start w:w="110" w:type="dxa"/>
              <w:bottom w:w="60" w:type="dxa"/>
              <w:end w:w="110" w:type="dxa"/>
            </w:tcMar>
            <w:shd w:val="clear" w:color="auto" w:fill="F4F7FB"/>
          </w:tcPr>
          <w:p>
            <w:pPr>
              <w:spacing w:after="0"/>
            </w:pPr>
            <w:r/>
            <w:r>
              <w:rPr>
                <w:rFonts w:ascii="Calibri" w:hAnsi="Calibri"/>
                <w:b w:val="0"/>
                <w:i w:val="0"/>
                <w:color w:val="101828"/>
                <w:sz w:val="16"/>
              </w:rPr>
              <w:t>Review channel budgets: a sustained fallback is a resilience and cost event.</w:t>
            </w:r>
          </w:p>
        </w:tc>
        <w:tc>
          <w:tcPr>
            <w:tcW w:type="dxa" w:w="965"/>
            <w:tcMar>
              <w:top w:w="60" w:type="dxa"/>
              <w:start w:w="110" w:type="dxa"/>
              <w:bottom w:w="60" w:type="dxa"/>
              <w:end w:w="110" w:type="dxa"/>
            </w:tcMar>
            <w:shd w:val="clear" w:color="auto" w:fill="F4F7FB"/>
          </w:tcPr>
          <w:p>
            <w:pPr>
              <w:spacing w:after="0"/>
            </w:pPr>
            <w:r/>
            <w:r>
              <w:rPr>
                <w:rFonts w:ascii="Calibri" w:hAnsi="Calibri"/>
                <w:b w:val="0"/>
                <w:i w:val="0"/>
                <w:color w:val="101828"/>
                <w:sz w:val="16"/>
              </w:rPr>
              <w:t>Support lead</w:t>
            </w:r>
          </w:p>
        </w:tc>
      </w:tr>
      <w:tr>
        <w:trPr>
          <w:cantSplit/>
        </w:trPr>
        <w:tc>
          <w:tcPr>
            <w:tcW w:type="dxa" w:w="1800"/>
            <w:tcMar>
              <w:top w:w="60" w:type="dxa"/>
              <w:start w:w="110" w:type="dxa"/>
              <w:bottom w:w="60" w:type="dxa"/>
              <w:end w:w="110" w:type="dxa"/>
            </w:tcMar>
          </w:tcPr>
          <w:p>
            <w:pPr>
              <w:spacing w:after="0"/>
            </w:pPr>
            <w:r/>
            <w:r>
              <w:rPr>
                <w:rFonts w:ascii="Calibri" w:hAnsi="Calibri"/>
                <w:b w:val="0"/>
                <w:i w:val="0"/>
                <w:color w:val="101828"/>
                <w:sz w:val="16"/>
              </w:rPr>
              <w:t>Denials or 5xx spiking on member endpoints</w:t>
            </w:r>
          </w:p>
        </w:tc>
        <w:tc>
          <w:tcPr>
            <w:tcW w:type="dxa" w:w="1138"/>
            <w:tcMar>
              <w:top w:w="60" w:type="dxa"/>
              <w:start w:w="110" w:type="dxa"/>
              <w:bottom w:w="60" w:type="dxa"/>
              <w:end w:w="110" w:type="dxa"/>
            </w:tcMar>
          </w:tcPr>
          <w:p>
            <w:pPr>
              <w:spacing w:after="0"/>
            </w:pPr>
            <w:r/>
            <w:r>
              <w:rPr>
                <w:rFonts w:ascii="Calibri" w:hAnsi="Calibri"/>
                <w:b w:val="0"/>
                <w:i w:val="0"/>
                <w:color w:val="101828"/>
                <w:sz w:val="16"/>
              </w:rPr>
              <w:t>EC-077, EC-114</w:t>
            </w:r>
          </w:p>
        </w:tc>
        <w:tc>
          <w:tcPr>
            <w:tcW w:type="dxa" w:w="1915"/>
            <w:tcMar>
              <w:top w:w="60" w:type="dxa"/>
              <w:start w:w="110" w:type="dxa"/>
              <w:bottom w:w="60" w:type="dxa"/>
              <w:end w:w="110" w:type="dxa"/>
            </w:tcMar>
          </w:tcPr>
          <w:p>
            <w:pPr>
              <w:spacing w:after="0"/>
            </w:pPr>
            <w:r/>
            <w:r>
              <w:rPr>
                <w:rFonts w:ascii="Calibri" w:hAnsi="Calibri"/>
                <w:b w:val="0"/>
                <w:i w:val="0"/>
                <w:color w:val="101828"/>
                <w:sz w:val="16"/>
              </w:rPr>
              <w:t>Assume a possible exposure until proven otherwise. Check whether any response is returning another member's data.</w:t>
            </w:r>
          </w:p>
        </w:tc>
        <w:tc>
          <w:tcPr>
            <w:tcW w:type="dxa" w:w="1858"/>
            <w:tcMar>
              <w:top w:w="60" w:type="dxa"/>
              <w:start w:w="110" w:type="dxa"/>
              <w:bottom w:w="60" w:type="dxa"/>
              <w:end w:w="110" w:type="dxa"/>
            </w:tcMar>
          </w:tcPr>
          <w:p>
            <w:pPr>
              <w:spacing w:after="0"/>
            </w:pPr>
            <w:r/>
            <w:r>
              <w:rPr>
                <w:rFonts w:ascii="Calibri" w:hAnsi="Calibri"/>
                <w:b w:val="0"/>
                <w:i w:val="0"/>
                <w:color w:val="101828"/>
                <w:sz w:val="16"/>
              </w:rPr>
              <w:t>If data may have been read by the wrong person, begin the notification assessment immediately.</w:t>
            </w:r>
          </w:p>
        </w:tc>
        <w:tc>
          <w:tcPr>
            <w:tcW w:type="dxa" w:w="1685"/>
            <w:tcMar>
              <w:top w:w="60" w:type="dxa"/>
              <w:start w:w="110" w:type="dxa"/>
              <w:bottom w:w="60" w:type="dxa"/>
              <w:end w:w="110" w:type="dxa"/>
            </w:tcMar>
          </w:tcPr>
          <w:p>
            <w:pPr>
              <w:spacing w:after="0"/>
            </w:pPr>
            <w:r/>
            <w:r>
              <w:rPr>
                <w:rFonts w:ascii="Calibri" w:hAnsi="Calibri"/>
                <w:b w:val="0"/>
                <w:i w:val="0"/>
                <w:color w:val="101828"/>
                <w:sz w:val="16"/>
              </w:rPr>
              <w:t>Sev-1 disclosure process if exposure is confirmed, including regulators as required by counsel.</w:t>
            </w:r>
          </w:p>
        </w:tc>
        <w:tc>
          <w:tcPr>
            <w:tcW w:type="dxa" w:w="965"/>
            <w:tcMar>
              <w:top w:w="60" w:type="dxa"/>
              <w:start w:w="110" w:type="dxa"/>
              <w:bottom w:w="60" w:type="dxa"/>
              <w:end w:w="110" w:type="dxa"/>
            </w:tcMar>
          </w:tcPr>
          <w:p>
            <w:pPr>
              <w:spacing w:after="0"/>
            </w:pPr>
            <w:r/>
            <w:r>
              <w:rPr>
                <w:rFonts w:ascii="Consolas" w:hAnsi="Consolas"/>
                <w:color w:val="146EF5"/>
                <w:sz w:val="16"/>
              </w:rPr>
              <w:t>super_admin</w:t>
            </w:r>
          </w:p>
        </w:tc>
      </w:tr>
      <w:tr>
        <w:trPr>
          <w:cantSplit/>
        </w:trPr>
        <w:tc>
          <w:tcPr>
            <w:tcW w:type="dxa" w:w="1800"/>
            <w:tcMar>
              <w:top w:w="60" w:type="dxa"/>
              <w:start w:w="110" w:type="dxa"/>
              <w:bottom w:w="60" w:type="dxa"/>
              <w:end w:w="110" w:type="dxa"/>
            </w:tcMar>
            <w:shd w:val="clear" w:color="auto" w:fill="F4F7FB"/>
          </w:tcPr>
          <w:p>
            <w:pPr>
              <w:spacing w:after="0"/>
            </w:pPr>
            <w:r/>
            <w:r>
              <w:rPr>
                <w:rFonts w:ascii="Calibri" w:hAnsi="Calibri"/>
                <w:b w:val="0"/>
                <w:i w:val="0"/>
                <w:color w:val="101828"/>
                <w:sz w:val="16"/>
              </w:rPr>
              <w:t>Member reports spike, no alert</w:t>
            </w:r>
          </w:p>
        </w:tc>
        <w:tc>
          <w:tcPr>
            <w:tcW w:type="dxa" w:w="1138"/>
            <w:tcMar>
              <w:top w:w="60" w:type="dxa"/>
              <w:start w:w="110" w:type="dxa"/>
              <w:bottom w:w="60" w:type="dxa"/>
              <w:end w:w="110" w:type="dxa"/>
            </w:tcMar>
            <w:shd w:val="clear" w:color="auto" w:fill="F4F7FB"/>
          </w:tcPr>
          <w:p>
            <w:pPr>
              <w:spacing w:after="0"/>
            </w:pPr>
            <w:r/>
            <w:r>
              <w:rPr>
                <w:rFonts w:ascii="Calibri" w:hAnsi="Calibri"/>
                <w:b w:val="0"/>
                <w:i w:val="0"/>
                <w:color w:val="101828"/>
                <w:sz w:val="16"/>
              </w:rPr>
              <w:t>EC-139</w:t>
            </w:r>
          </w:p>
        </w:tc>
        <w:tc>
          <w:tcPr>
            <w:tcW w:type="dxa" w:w="1915"/>
            <w:tcMar>
              <w:top w:w="60" w:type="dxa"/>
              <w:start w:w="110" w:type="dxa"/>
              <w:bottom w:w="60" w:type="dxa"/>
              <w:end w:w="110" w:type="dxa"/>
            </w:tcMar>
            <w:shd w:val="clear" w:color="auto" w:fill="F4F7FB"/>
          </w:tcPr>
          <w:p>
            <w:pPr>
              <w:spacing w:after="0"/>
            </w:pPr>
            <w:r/>
            <w:r>
              <w:rPr>
                <w:rFonts w:ascii="Calibri" w:hAnsi="Calibri"/>
                <w:b w:val="0"/>
                <w:i w:val="0"/>
                <w:color w:val="101828"/>
                <w:sz w:val="16"/>
              </w:rPr>
              <w:t>Treat the reports as the signal. Cluster them by flow and start the investigation without waiting for a metric to confirm.</w:t>
            </w:r>
          </w:p>
        </w:tc>
        <w:tc>
          <w:tcPr>
            <w:tcW w:type="dxa" w:w="1858"/>
            <w:tcMar>
              <w:top w:w="60" w:type="dxa"/>
              <w:start w:w="110" w:type="dxa"/>
              <w:bottom w:w="60" w:type="dxa"/>
              <w:end w:w="110" w:type="dxa"/>
            </w:tcMar>
            <w:shd w:val="clear" w:color="auto" w:fill="F4F7FB"/>
          </w:tcPr>
          <w:p>
            <w:pPr>
              <w:spacing w:after="0"/>
            </w:pPr>
            <w:r/>
            <w:r>
              <w:rPr>
                <w:rFonts w:ascii="Calibri" w:hAnsi="Calibri"/>
                <w:b w:val="0"/>
                <w:i w:val="0"/>
                <w:color w:val="101828"/>
                <w:sz w:val="16"/>
              </w:rPr>
              <w:t>Establish scope from the reports themselves: how many members, which flow, which money.</w:t>
            </w:r>
          </w:p>
        </w:tc>
        <w:tc>
          <w:tcPr>
            <w:tcW w:type="dxa" w:w="1685"/>
            <w:tcMar>
              <w:top w:w="60" w:type="dxa"/>
              <w:start w:w="110" w:type="dxa"/>
              <w:bottom w:w="60" w:type="dxa"/>
              <w:end w:w="110" w:type="dxa"/>
            </w:tcMar>
            <w:shd w:val="clear" w:color="auto" w:fill="F4F7FB"/>
          </w:tcPr>
          <w:p>
            <w:pPr>
              <w:spacing w:after="0"/>
            </w:pPr>
            <w:r/>
            <w:r>
              <w:rPr>
                <w:rFonts w:ascii="Calibri" w:hAnsi="Calibri"/>
                <w:b w:val="0"/>
                <w:i w:val="0"/>
                <w:color w:val="101828"/>
                <w:sz w:val="16"/>
              </w:rPr>
              <w:t>Retrospective on the missing detector, added to the monitoring set.</w:t>
            </w:r>
          </w:p>
        </w:tc>
        <w:tc>
          <w:tcPr>
            <w:tcW w:type="dxa" w:w="965"/>
            <w:tcMar>
              <w:top w:w="60" w:type="dxa"/>
              <w:start w:w="110" w:type="dxa"/>
              <w:bottom w:w="60" w:type="dxa"/>
              <w:end w:w="110" w:type="dxa"/>
            </w:tcMar>
            <w:shd w:val="clear" w:color="auto" w:fill="F4F7FB"/>
          </w:tcPr>
          <w:p>
            <w:pPr>
              <w:spacing w:after="0"/>
            </w:pPr>
            <w:r/>
            <w:r>
              <w:rPr>
                <w:rFonts w:ascii="Calibri" w:hAnsi="Calibri"/>
                <w:b w:val="0"/>
                <w:i w:val="0"/>
                <w:color w:val="101828"/>
                <w:sz w:val="16"/>
              </w:rPr>
              <w:t>Support lead</w:t>
            </w:r>
          </w:p>
        </w:tc>
      </w:tr>
    </w:tbl>
    <w:p>
      <w:pPr>
        <w:spacing w:after="80"/>
      </w:pPr>
    </w:p>
    <w:p>
      <w:pPr>
        <w:pStyle w:val="Heading3"/>
      </w:pPr>
      <w:r>
        <w:rPr>
          <w:rFonts w:ascii="Calibri" w:hAnsi="Calibri"/>
          <w:b/>
          <w:i w:val="0"/>
          <w:color w:val="0B1F3A"/>
          <w:sz w:val="24"/>
        </w:rPr>
        <w:t>19.13.3 Authority during an incident</w:t>
      </w:r>
    </w:p>
    <w:p>
      <w:r>
        <w:rPr>
          <w:rFonts w:ascii="Calibri" w:hAnsi="Calibri"/>
          <w:b w:val="0"/>
          <w:i w:val="0"/>
          <w:color w:val="101828"/>
          <w:sz w:val="21"/>
        </w:rPr>
        <w:t>These limits exist because every one of them has a plausible justification at 2am and none of them is a good idea.</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4680"/>
            <w:shd w:val="clear" w:color="auto" w:fill="0B1F3A"/>
            <w:tcMar>
              <w:top w:w="60" w:type="dxa"/>
              <w:start w:w="110" w:type="dxa"/>
              <w:bottom w:w="60" w:type="dxa"/>
              <w:end w:w="110" w:type="dxa"/>
            </w:tcMar>
          </w:tcPr>
          <w:p>
            <w:pPr>
              <w:spacing w:after="0"/>
            </w:pPr>
            <w:r/>
            <w:r>
              <w:rPr>
                <w:rFonts w:ascii="Calibri" w:hAnsi="Calibri"/>
                <w:b/>
                <w:i w:val="0"/>
                <w:color w:val="FFFFFF"/>
                <w:sz w:val="18"/>
              </w:rPr>
              <w:t>Permitted during an incident</w:t>
            </w:r>
          </w:p>
        </w:tc>
        <w:tc>
          <w:tcPr>
            <w:tcW w:type="dxa" w:w="4680"/>
            <w:shd w:val="clear" w:color="auto" w:fill="0B1F3A"/>
            <w:tcMar>
              <w:top w:w="60" w:type="dxa"/>
              <w:start w:w="110" w:type="dxa"/>
              <w:bottom w:w="60" w:type="dxa"/>
              <w:end w:w="110" w:type="dxa"/>
            </w:tcMar>
          </w:tcPr>
          <w:p>
            <w:pPr>
              <w:spacing w:after="0"/>
            </w:pPr>
            <w:r/>
            <w:r>
              <w:rPr>
                <w:rFonts w:ascii="Calibri" w:hAnsi="Calibri"/>
                <w:b/>
                <w:i w:val="0"/>
                <w:color w:val="FFFFFF"/>
                <w:sz w:val="18"/>
              </w:rPr>
              <w:t>Not permitted, at any severity</w:t>
            </w:r>
          </w:p>
        </w:tc>
      </w:tr>
      <w:tr>
        <w:trPr>
          <w:cantSplit/>
        </w:trPr>
        <w:tc>
          <w:tcPr>
            <w:tcW w:type="dxa" w:w="4680"/>
            <w:tcMar>
              <w:top w:w="60" w:type="dxa"/>
              <w:start w:w="110" w:type="dxa"/>
              <w:bottom w:w="60" w:type="dxa"/>
              <w:end w:w="110" w:type="dxa"/>
            </w:tcMar>
          </w:tcPr>
          <w:p>
            <w:pPr>
              <w:spacing w:after="0"/>
            </w:pPr>
            <w:r/>
            <w:r>
              <w:rPr>
                <w:rFonts w:ascii="Calibri" w:hAnsi="Calibri"/>
                <w:b w:val="0"/>
                <w:i w:val="0"/>
                <w:color w:val="101828"/>
                <w:sz w:val="18"/>
              </w:rPr>
              <w:t>Halt disbursement entirely, including for unaffected Ajos.</w:t>
            </w:r>
          </w:p>
        </w:tc>
        <w:tc>
          <w:tcPr>
            <w:tcW w:type="dxa" w:w="4680"/>
            <w:tcMar>
              <w:top w:w="60" w:type="dxa"/>
              <w:start w:w="110" w:type="dxa"/>
              <w:bottom w:w="60" w:type="dxa"/>
              <w:end w:w="110" w:type="dxa"/>
            </w:tcMar>
          </w:tcPr>
          <w:p>
            <w:pPr>
              <w:spacing w:after="0"/>
            </w:pPr>
            <w:r/>
            <w:r>
              <w:rPr>
                <w:rFonts w:ascii="Calibri" w:hAnsi="Calibri"/>
                <w:b w:val="0"/>
                <w:i w:val="0"/>
                <w:color w:val="101828"/>
                <w:sz w:val="18"/>
              </w:rPr>
              <w:t xml:space="preserve">Editing, deleting or amending a ledger entry. Corrections are reversing entries only, and this holds for </w:t>
            </w:r>
            <w:r>
              <w:rPr>
                <w:rFonts w:ascii="Consolas" w:hAnsi="Consolas"/>
                <w:color w:val="146EF5"/>
                <w:sz w:val="18"/>
              </w:rPr>
              <w:t>super_admin</w:t>
            </w:r>
            <w:r>
              <w:rPr>
                <w:rFonts w:ascii="Calibri" w:hAnsi="Calibri"/>
                <w:b w:val="0"/>
                <w:i w:val="0"/>
                <w:color w:val="101828"/>
                <w:sz w:val="18"/>
              </w:rPr>
              <w:t xml:space="preserve"> (BR-025).</w:t>
            </w:r>
          </w:p>
        </w:tc>
      </w:tr>
      <w:tr>
        <w:trPr>
          <w:cantSplit/>
        </w:trPr>
        <w:tc>
          <w:tcPr>
            <w:tcW w:type="dxa" w:w="4680"/>
            <w:tcMar>
              <w:top w:w="60" w:type="dxa"/>
              <w:start w:w="110" w:type="dxa"/>
              <w:bottom w:w="60" w:type="dxa"/>
              <w:end w:w="110" w:type="dxa"/>
            </w:tcMar>
            <w:shd w:val="clear" w:color="auto" w:fill="F4F7FB"/>
          </w:tcPr>
          <w:p>
            <w:pPr>
              <w:spacing w:after="0"/>
            </w:pPr>
            <w:r/>
            <w:r>
              <w:rPr>
                <w:rFonts w:ascii="Calibri" w:hAnsi="Calibri"/>
                <w:b w:val="0"/>
                <w:i w:val="0"/>
                <w:color w:val="101828"/>
                <w:sz w:val="18"/>
              </w:rPr>
              <w:t>Place an Ajo, payment or payout in HELD with a recorded reason, and notify the affected members.</w:t>
            </w:r>
          </w:p>
        </w:tc>
        <w:tc>
          <w:tcPr>
            <w:tcW w:type="dxa" w:w="4680"/>
            <w:tcMar>
              <w:top w:w="60" w:type="dxa"/>
              <w:start w:w="110" w:type="dxa"/>
              <w:bottom w:w="60" w:type="dxa"/>
              <w:end w:w="110" w:type="dxa"/>
            </w:tcMar>
            <w:shd w:val="clear" w:color="auto" w:fill="F4F7FB"/>
          </w:tcPr>
          <w:p>
            <w:pPr>
              <w:spacing w:after="0"/>
            </w:pPr>
            <w:r/>
            <w:r>
              <w:rPr>
                <w:rFonts w:ascii="Calibri" w:hAnsi="Calibri"/>
                <w:b w:val="0"/>
                <w:i w:val="0"/>
                <w:color w:val="101828"/>
                <w:sz w:val="18"/>
              </w:rPr>
              <w:t>Reducing a payout to make it affordable, or using corporate funds to cover a shortfall (BR-018, BR-020).</w:t>
            </w:r>
          </w:p>
        </w:tc>
      </w:tr>
      <w:tr>
        <w:trPr>
          <w:cantSplit/>
        </w:trPr>
        <w:tc>
          <w:tcPr>
            <w:tcW w:type="dxa" w:w="4680"/>
            <w:tcMar>
              <w:top w:w="60" w:type="dxa"/>
              <w:start w:w="110" w:type="dxa"/>
              <w:bottom w:w="60" w:type="dxa"/>
              <w:end w:w="110" w:type="dxa"/>
            </w:tcMar>
          </w:tcPr>
          <w:p>
            <w:pPr>
              <w:spacing w:after="0"/>
            </w:pPr>
            <w:r/>
            <w:r>
              <w:rPr>
                <w:rFonts w:ascii="Calibri" w:hAnsi="Calibri"/>
                <w:b w:val="0"/>
                <w:i w:val="0"/>
                <w:color w:val="101828"/>
                <w:sz w:val="18"/>
              </w:rPr>
              <w:t>Freeze an account or Ajo pending review, with the reason recorded and the member notified.</w:t>
            </w:r>
          </w:p>
        </w:tc>
        <w:tc>
          <w:tcPr>
            <w:tcW w:type="dxa" w:w="4680"/>
            <w:tcMar>
              <w:top w:w="60" w:type="dxa"/>
              <w:start w:w="110" w:type="dxa"/>
              <w:bottom w:w="60" w:type="dxa"/>
              <w:end w:w="110" w:type="dxa"/>
            </w:tcMar>
          </w:tcPr>
          <w:p>
            <w:pPr>
              <w:spacing w:after="0"/>
            </w:pPr>
            <w:r/>
            <w:r>
              <w:rPr>
                <w:rFonts w:ascii="Calibri" w:hAnsi="Calibri"/>
                <w:b w:val="0"/>
                <w:i w:val="0"/>
                <w:color w:val="101828"/>
                <w:sz w:val="18"/>
              </w:rPr>
              <w:t>Silently delaying a payout, or delaying one without telling the recipient and the organizer (BR-017).</w:t>
            </w:r>
          </w:p>
        </w:tc>
      </w:tr>
      <w:tr>
        <w:trPr>
          <w:cantSplit/>
        </w:trPr>
        <w:tc>
          <w:tcPr>
            <w:tcW w:type="dxa" w:w="4680"/>
            <w:tcMar>
              <w:top w:w="60" w:type="dxa"/>
              <w:start w:w="110" w:type="dxa"/>
              <w:bottom w:w="60" w:type="dxa"/>
              <w:end w:w="110" w:type="dxa"/>
            </w:tcMar>
            <w:shd w:val="clear" w:color="auto" w:fill="F4F7FB"/>
          </w:tcPr>
          <w:p>
            <w:pPr>
              <w:spacing w:after="0"/>
            </w:pPr>
            <w:r/>
            <w:r>
              <w:rPr>
                <w:rFonts w:ascii="Calibri" w:hAnsi="Calibri"/>
                <w:b w:val="0"/>
                <w:i w:val="0"/>
                <w:color w:val="101828"/>
                <w:sz w:val="18"/>
              </w:rPr>
              <w:t>Issue a full refund of a cancelled Ajo, and a reversal of a genuine overpayment.</w:t>
            </w:r>
          </w:p>
        </w:tc>
        <w:tc>
          <w:tcPr>
            <w:tcW w:type="dxa" w:w="4680"/>
            <w:tcMar>
              <w:top w:w="60" w:type="dxa"/>
              <w:start w:w="110" w:type="dxa"/>
              <w:bottom w:w="60" w:type="dxa"/>
              <w:end w:w="110" w:type="dxa"/>
            </w:tcMar>
            <w:shd w:val="clear" w:color="auto" w:fill="F4F7FB"/>
          </w:tcPr>
          <w:p>
            <w:pPr>
              <w:spacing w:after="0"/>
            </w:pPr>
            <w:r/>
            <w:r>
              <w:rPr>
                <w:rFonts w:ascii="Calibri" w:hAnsi="Calibri"/>
                <w:b w:val="0"/>
                <w:i w:val="0"/>
                <w:color w:val="101828"/>
                <w:sz w:val="18"/>
              </w:rPr>
              <w:t>Absorbing a provider error quietly, or telling a member a refund will arrive by a date the provider has not confirmed (D-07).</w:t>
            </w:r>
          </w:p>
        </w:tc>
      </w:tr>
      <w:tr>
        <w:trPr>
          <w:cantSplit/>
        </w:trPr>
        <w:tc>
          <w:tcPr>
            <w:tcW w:type="dxa" w:w="4680"/>
            <w:tcMar>
              <w:top w:w="60" w:type="dxa"/>
              <w:start w:w="110" w:type="dxa"/>
              <w:bottom w:w="60" w:type="dxa"/>
              <w:end w:w="110" w:type="dxa"/>
            </w:tcMar>
          </w:tcPr>
          <w:p>
            <w:pPr>
              <w:spacing w:after="0"/>
            </w:pPr>
            <w:r/>
            <w:r>
              <w:rPr>
                <w:rFonts w:ascii="Calibri" w:hAnsi="Calibri"/>
                <w:b w:val="0"/>
                <w:i w:val="0"/>
                <w:color w:val="101828"/>
                <w:sz w:val="18"/>
              </w:rPr>
              <w:t>Proactively message affected members with what is known, what is not, and when the next update will be.</w:t>
            </w:r>
          </w:p>
        </w:tc>
        <w:tc>
          <w:tcPr>
            <w:tcW w:type="dxa" w:w="4680"/>
            <w:tcMar>
              <w:top w:w="60" w:type="dxa"/>
              <w:start w:w="110" w:type="dxa"/>
              <w:bottom w:w="60" w:type="dxa"/>
              <w:end w:w="110" w:type="dxa"/>
            </w:tcMar>
          </w:tcPr>
          <w:p>
            <w:pPr>
              <w:spacing w:after="0"/>
            </w:pPr>
            <w:r/>
            <w:r>
              <w:rPr>
                <w:rFonts w:ascii="Calibri" w:hAnsi="Calibri"/>
                <w:b w:val="0"/>
                <w:i w:val="0"/>
                <w:color w:val="101828"/>
                <w:sz w:val="18"/>
              </w:rPr>
              <w:t>Telling a member who defaulted to anyone else, or exposing default status through a notification payload (BR-014).</w:t>
            </w:r>
          </w:p>
        </w:tc>
      </w:tr>
      <w:tr>
        <w:trPr>
          <w:cantSplit/>
        </w:trPr>
        <w:tc>
          <w:tcPr>
            <w:tcW w:type="dxa" w:w="4680"/>
            <w:tcMar>
              <w:top w:w="60" w:type="dxa"/>
              <w:start w:w="110" w:type="dxa"/>
              <w:bottom w:w="60" w:type="dxa"/>
              <w:end w:w="110" w:type="dxa"/>
            </w:tcMar>
            <w:shd w:val="clear" w:color="auto" w:fill="F4F7FB"/>
          </w:tcPr>
          <w:p>
            <w:pPr>
              <w:spacing w:after="0"/>
            </w:pPr>
            <w:r/>
            <w:r>
              <w:rPr>
                <w:rFonts w:ascii="Calibri" w:hAnsi="Calibri"/>
                <w:b w:val="0"/>
                <w:i w:val="0"/>
                <w:color w:val="101828"/>
                <w:sz w:val="18"/>
              </w:rPr>
              <w:t>Disable a money-moving endpoint entirely.</w:t>
            </w:r>
          </w:p>
        </w:tc>
        <w:tc>
          <w:tcPr>
            <w:tcW w:type="dxa" w:w="4680"/>
            <w:tcMar>
              <w:top w:w="60" w:type="dxa"/>
              <w:start w:w="110" w:type="dxa"/>
              <w:bottom w:w="60" w:type="dxa"/>
              <w:end w:w="110" w:type="dxa"/>
            </w:tcMar>
            <w:shd w:val="clear" w:color="auto" w:fill="F4F7FB"/>
          </w:tcPr>
          <w:p>
            <w:pPr>
              <w:spacing w:after="0"/>
            </w:pPr>
            <w:r/>
            <w:r>
              <w:rPr>
                <w:rFonts w:ascii="Calibri" w:hAnsi="Calibri"/>
                <w:b w:val="0"/>
                <w:i w:val="0"/>
                <w:color w:val="101828"/>
                <w:sz w:val="18"/>
              </w:rPr>
              <w:t>Disabling webhook signature verification to reduce alert noise, or accepting an amount from a provider callback.</w:t>
            </w:r>
          </w:p>
        </w:tc>
      </w:tr>
      <w:tr>
        <w:trPr>
          <w:cantSplit/>
        </w:trPr>
        <w:tc>
          <w:tcPr>
            <w:tcW w:type="dxa" w:w="4680"/>
            <w:tcMar>
              <w:top w:w="60" w:type="dxa"/>
              <w:start w:w="110" w:type="dxa"/>
              <w:bottom w:w="60" w:type="dxa"/>
              <w:end w:w="110" w:type="dxa"/>
            </w:tcMar>
          </w:tcPr>
          <w:p>
            <w:pPr>
              <w:spacing w:after="0"/>
            </w:pPr>
            <w:r/>
            <w:r>
              <w:rPr>
                <w:rFonts w:ascii="Calibri" w:hAnsi="Calibri"/>
                <w:b w:val="0"/>
                <w:i w:val="0"/>
                <w:color w:val="101828"/>
                <w:sz w:val="18"/>
              </w:rPr>
              <w:t>Re-run reconciliation, and post a correcting reversing entry once the facts are established.</w:t>
            </w:r>
          </w:p>
        </w:tc>
        <w:tc>
          <w:tcPr>
            <w:tcW w:type="dxa" w:w="4680"/>
            <w:tcMar>
              <w:top w:w="60" w:type="dxa"/>
              <w:start w:w="110" w:type="dxa"/>
              <w:bottom w:w="60" w:type="dxa"/>
              <w:end w:w="110" w:type="dxa"/>
            </w:tcMar>
          </w:tcPr>
          <w:p>
            <w:pPr>
              <w:spacing w:after="0"/>
            </w:pPr>
            <w:r/>
            <w:r>
              <w:rPr>
                <w:rFonts w:ascii="Calibri" w:hAnsi="Calibri"/>
                <w:b w:val="0"/>
                <w:i w:val="0"/>
                <w:color w:val="101828"/>
                <w:sz w:val="18"/>
              </w:rPr>
              <w:t>Writing a correction directly, or asking another member to cover a shortfall without their explicit consent (BR-015).</w:t>
            </w:r>
          </w:p>
        </w:tc>
      </w:tr>
    </w:tbl>
    <w:p>
      <w:pPr>
        <w:spacing w:after="80"/>
      </w:pPr>
    </w:p>
    <w:p>
      <w:pPr>
        <w:spacing w:before="140" w:after="180"/>
        <w:ind w:left="144"/>
        <w:shd w:val="clear" w:color="auto" w:fill="F4F7FB"/>
        <w:pBdr>
          <w:left w:val="single" w:sz="18" w:space="6" w:color="146EF5"/>
        </w:pBdr>
      </w:pPr>
      <w:r>
        <w:rPr>
          <w:rFonts w:ascii="Calibri" w:hAnsi="Calibri"/>
          <w:b/>
          <w:color w:val="146EF5"/>
          <w:sz w:val="19"/>
        </w:rPr>
        <w:t xml:space="preserve">The one-line version of this runbook  </w:t>
      </w:r>
      <w:r>
        <w:rPr>
          <w:rFonts w:ascii="Calibri" w:hAnsi="Calibri"/>
          <w:b w:val="0"/>
          <w:i w:val="0"/>
          <w:color w:val="0B1F3A"/>
          <w:sz w:val="19"/>
        </w:rPr>
        <w:t>Stop the money from moving, tell the member the truth immediately, and fix the record with a reversing entry. Everything else can wait for the root cause; those three things cannot.</w:t>
      </w:r>
    </w:p>
    <w:p>
      <w:r>
        <w:br w:type="page"/>
      </w:r>
    </w:p>
    <w:p>
      <w:pPr>
        <w:pStyle w:val="Heading2"/>
      </w:pPr>
      <w:r>
        <w:rPr>
          <w:rFonts w:ascii="Calibri" w:hAnsi="Calibri"/>
          <w:b/>
          <w:i w:val="0"/>
          <w:color w:val="146EF5"/>
          <w:sz w:val="29"/>
        </w:rPr>
        <w:t>19.14 Specification gaps and open decisions</w:t>
      </w:r>
    </w:p>
    <w:p>
      <w:r>
        <w:rPr>
          <w:rFonts w:ascii="Calibri" w:hAnsi="Calibri"/>
          <w:b w:val="0"/>
          <w:i w:val="0"/>
          <w:color w:val="101828"/>
          <w:sz w:val="21"/>
        </w:rPr>
        <w:t>A specification that hides its gaps is worse than one that names them. The cases below cannot be fully closed until the open item in the second column is answered, and they are listed here so that nobody discovers the dependency while a member is waiting. None of these is answered by invention in this document.</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936"/>
            <w:shd w:val="clear" w:color="auto" w:fill="0B1F3A"/>
            <w:tcMar>
              <w:top w:w="60" w:type="dxa"/>
              <w:start w:w="110" w:type="dxa"/>
              <w:bottom w:w="60" w:type="dxa"/>
              <w:end w:w="110" w:type="dxa"/>
            </w:tcMar>
          </w:tcPr>
          <w:p>
            <w:pPr>
              <w:spacing w:after="0"/>
            </w:pPr>
            <w:r/>
            <w:r>
              <w:rPr>
                <w:rFonts w:ascii="Calibri" w:hAnsi="Calibri"/>
                <w:b/>
                <w:i w:val="0"/>
                <w:color w:val="FFFFFF"/>
                <w:sz w:val="16"/>
              </w:rPr>
              <w:t>Open item</w:t>
            </w:r>
          </w:p>
        </w:tc>
        <w:tc>
          <w:tcPr>
            <w:tcW w:type="dxa" w:w="3139"/>
            <w:shd w:val="clear" w:color="auto" w:fill="0B1F3A"/>
            <w:tcMar>
              <w:top w:w="60" w:type="dxa"/>
              <w:start w:w="110" w:type="dxa"/>
              <w:bottom w:w="60" w:type="dxa"/>
              <w:end w:w="110" w:type="dxa"/>
            </w:tcMar>
          </w:tcPr>
          <w:p>
            <w:pPr>
              <w:spacing w:after="0"/>
            </w:pPr>
            <w:r/>
            <w:r>
              <w:rPr>
                <w:rFonts w:ascii="Calibri" w:hAnsi="Calibri"/>
                <w:b/>
                <w:i w:val="0"/>
                <w:color w:val="FFFFFF"/>
                <w:sz w:val="16"/>
              </w:rPr>
              <w:t>Question</w:t>
            </w:r>
          </w:p>
        </w:tc>
        <w:tc>
          <w:tcPr>
            <w:tcW w:type="dxa" w:w="1541"/>
            <w:shd w:val="clear" w:color="auto" w:fill="0B1F3A"/>
            <w:tcMar>
              <w:top w:w="60" w:type="dxa"/>
              <w:start w:w="110" w:type="dxa"/>
              <w:bottom w:w="60" w:type="dxa"/>
              <w:end w:w="110" w:type="dxa"/>
            </w:tcMar>
          </w:tcPr>
          <w:p>
            <w:pPr>
              <w:spacing w:after="0"/>
            </w:pPr>
            <w:r/>
            <w:r>
              <w:rPr>
                <w:rFonts w:ascii="Calibri" w:hAnsi="Calibri"/>
                <w:b/>
                <w:i w:val="0"/>
                <w:color w:val="FFFFFF"/>
                <w:sz w:val="16"/>
              </w:rPr>
              <w:t>Cases affected</w:t>
            </w:r>
          </w:p>
        </w:tc>
        <w:tc>
          <w:tcPr>
            <w:tcW w:type="dxa" w:w="2275"/>
            <w:shd w:val="clear" w:color="auto" w:fill="0B1F3A"/>
            <w:tcMar>
              <w:top w:w="60" w:type="dxa"/>
              <w:start w:w="110" w:type="dxa"/>
              <w:bottom w:w="60" w:type="dxa"/>
              <w:end w:w="110" w:type="dxa"/>
            </w:tcMar>
          </w:tcPr>
          <w:p>
            <w:pPr>
              <w:spacing w:after="0"/>
            </w:pPr>
            <w:r/>
            <w:r>
              <w:rPr>
                <w:rFonts w:ascii="Calibri" w:hAnsi="Calibri"/>
                <w:b/>
                <w:i w:val="0"/>
                <w:color w:val="FFFFFF"/>
                <w:sz w:val="16"/>
              </w:rPr>
              <w:t>Blocked until answered</w:t>
            </w:r>
          </w:p>
        </w:tc>
        <w:tc>
          <w:tcPr>
            <w:tcW w:type="dxa" w:w="1469"/>
            <w:shd w:val="clear" w:color="auto" w:fill="0B1F3A"/>
            <w:tcMar>
              <w:top w:w="60" w:type="dxa"/>
              <w:start w:w="110" w:type="dxa"/>
              <w:bottom w:w="60" w:type="dxa"/>
              <w:end w:w="110" w:type="dxa"/>
            </w:tcMar>
          </w:tcPr>
          <w:p>
            <w:pPr>
              <w:spacing w:after="0"/>
            </w:pPr>
            <w:r/>
            <w:r>
              <w:rPr>
                <w:rFonts w:ascii="Calibri" w:hAnsi="Calibri"/>
                <w:b/>
                <w:i w:val="0"/>
                <w:color w:val="FFFFFF"/>
                <w:sz w:val="16"/>
              </w:rPr>
              <w:t>Owner</w:t>
            </w:r>
          </w:p>
        </w:tc>
      </w:tr>
      <w:tr>
        <w:trPr>
          <w:cantSplit/>
        </w:trPr>
        <w:tc>
          <w:tcPr>
            <w:tcW w:type="dxa" w:w="936"/>
            <w:tcMar>
              <w:top w:w="60" w:type="dxa"/>
              <w:start w:w="110" w:type="dxa"/>
              <w:bottom w:w="60" w:type="dxa"/>
              <w:end w:w="110" w:type="dxa"/>
            </w:tcMar>
          </w:tcPr>
          <w:p>
            <w:pPr>
              <w:spacing w:after="0"/>
            </w:pPr>
            <w:r/>
            <w:r>
              <w:rPr>
                <w:rFonts w:ascii="Calibri" w:hAnsi="Calibri"/>
                <w:b w:val="0"/>
                <w:i w:val="0"/>
                <w:color w:val="101828"/>
                <w:sz w:val="16"/>
              </w:rPr>
              <w:t>D-02</w:t>
            </w:r>
          </w:p>
        </w:tc>
        <w:tc>
          <w:tcPr>
            <w:tcW w:type="dxa" w:w="3139"/>
            <w:tcMar>
              <w:top w:w="60" w:type="dxa"/>
              <w:start w:w="110" w:type="dxa"/>
              <w:bottom w:w="60" w:type="dxa"/>
              <w:end w:w="110" w:type="dxa"/>
            </w:tcMar>
          </w:tcPr>
          <w:p>
            <w:pPr>
              <w:spacing w:after="0"/>
            </w:pPr>
            <w:r/>
            <w:r>
              <w:rPr>
                <w:rFonts w:ascii="Calibri" w:hAnsi="Calibri"/>
                <w:b w:val="0"/>
                <w:i w:val="0"/>
                <w:color w:val="101828"/>
                <w:sz w:val="16"/>
              </w:rPr>
              <w:t>Does ProvidusUnity hold funds as principal, or must AJO.ng hold them? This determines the licensing path.</w:t>
            </w:r>
          </w:p>
        </w:tc>
        <w:tc>
          <w:tcPr>
            <w:tcW w:type="dxa" w:w="1541"/>
            <w:tcMar>
              <w:top w:w="60" w:type="dxa"/>
              <w:start w:w="110" w:type="dxa"/>
              <w:bottom w:w="60" w:type="dxa"/>
              <w:end w:w="110" w:type="dxa"/>
            </w:tcMar>
          </w:tcPr>
          <w:p>
            <w:pPr>
              <w:spacing w:after="0"/>
            </w:pPr>
            <w:r/>
            <w:r>
              <w:rPr>
                <w:rFonts w:ascii="Calibri" w:hAnsi="Calibri"/>
                <w:b w:val="0"/>
                <w:i w:val="0"/>
                <w:color w:val="101828"/>
                <w:sz w:val="16"/>
              </w:rPr>
              <w:t>EC-010, EC-042, EC-142</w:t>
            </w:r>
          </w:p>
        </w:tc>
        <w:tc>
          <w:tcPr>
            <w:tcW w:type="dxa" w:w="2275"/>
            <w:tcMar>
              <w:top w:w="60" w:type="dxa"/>
              <w:start w:w="110" w:type="dxa"/>
              <w:bottom w:w="60" w:type="dxa"/>
              <w:end w:w="110" w:type="dxa"/>
            </w:tcMar>
          </w:tcPr>
          <w:p>
            <w:pPr>
              <w:spacing w:after="0"/>
            </w:pPr>
            <w:r/>
            <w:r>
              <w:rPr>
                <w:rFonts w:ascii="Calibri" w:hAnsi="Calibri"/>
                <w:b w:val="0"/>
                <w:i w:val="0"/>
                <w:color w:val="101828"/>
                <w:sz w:val="16"/>
              </w:rPr>
              <w:t>The custody and recovery language in every member-facing document, and whether a provider failure is our loss or theirs.</w:t>
            </w:r>
          </w:p>
        </w:tc>
        <w:tc>
          <w:tcPr>
            <w:tcW w:type="dxa" w:w="1469"/>
            <w:tcMar>
              <w:top w:w="60" w:type="dxa"/>
              <w:start w:w="110" w:type="dxa"/>
              <w:bottom w:w="60" w:type="dxa"/>
              <w:end w:w="110" w:type="dxa"/>
            </w:tcMar>
          </w:tcPr>
          <w:p>
            <w:pPr>
              <w:spacing w:after="0"/>
            </w:pPr>
            <w:r/>
            <w:r>
              <w:rPr>
                <w:rFonts w:ascii="Calibri" w:hAnsi="Calibri"/>
                <w:b w:val="0"/>
                <w:i w:val="0"/>
                <w:color w:val="101828"/>
                <w:sz w:val="16"/>
              </w:rPr>
              <w:t>Legal and Providus</w:t>
            </w:r>
          </w:p>
        </w:tc>
      </w:tr>
      <w:tr>
        <w:trPr>
          <w:cantSplit/>
        </w:trPr>
        <w:tc>
          <w:tcPr>
            <w:tcW w:type="dxa" w:w="936"/>
            <w:tcMar>
              <w:top w:w="60" w:type="dxa"/>
              <w:start w:w="110" w:type="dxa"/>
              <w:bottom w:w="60" w:type="dxa"/>
              <w:end w:w="110" w:type="dxa"/>
            </w:tcMar>
            <w:shd w:val="clear" w:color="auto" w:fill="F4F7FB"/>
          </w:tcPr>
          <w:p>
            <w:pPr>
              <w:spacing w:after="0"/>
            </w:pPr>
            <w:r/>
            <w:r>
              <w:rPr>
                <w:rFonts w:ascii="Calibri" w:hAnsi="Calibri"/>
                <w:b w:val="0"/>
                <w:i w:val="0"/>
                <w:color w:val="101828"/>
                <w:sz w:val="16"/>
              </w:rPr>
              <w:t>D-03</w:t>
            </w:r>
          </w:p>
        </w:tc>
        <w:tc>
          <w:tcPr>
            <w:tcW w:type="dxa" w:w="3139"/>
            <w:tcMar>
              <w:top w:w="60" w:type="dxa"/>
              <w:start w:w="110" w:type="dxa"/>
              <w:bottom w:w="60" w:type="dxa"/>
              <w:end w:w="110" w:type="dxa"/>
            </w:tcMar>
            <w:shd w:val="clear" w:color="auto" w:fill="F4F7FB"/>
          </w:tcPr>
          <w:p>
            <w:pPr>
              <w:spacing w:after="0"/>
            </w:pPr>
            <w:r/>
            <w:r>
              <w:rPr>
                <w:rFonts w:ascii="Calibri" w:hAnsi="Calibri"/>
                <w:b w:val="0"/>
                <w:i w:val="0"/>
                <w:color w:val="101828"/>
                <w:sz w:val="16"/>
              </w:rPr>
              <w:t>Exact Providus collection percentage, payout flat fee, and settlement timing.</w:t>
            </w:r>
          </w:p>
        </w:tc>
        <w:tc>
          <w:tcPr>
            <w:tcW w:type="dxa" w:w="1541"/>
            <w:tcMar>
              <w:top w:w="60" w:type="dxa"/>
              <w:start w:w="110" w:type="dxa"/>
              <w:bottom w:w="60" w:type="dxa"/>
              <w:end w:w="110" w:type="dxa"/>
            </w:tcMar>
            <w:shd w:val="clear" w:color="auto" w:fill="F4F7FB"/>
          </w:tcPr>
          <w:p>
            <w:pPr>
              <w:spacing w:after="0"/>
            </w:pPr>
            <w:r/>
            <w:r>
              <w:rPr>
                <w:rFonts w:ascii="Calibri" w:hAnsi="Calibri"/>
                <w:b w:val="0"/>
                <w:i w:val="0"/>
                <w:color w:val="101828"/>
                <w:sz w:val="16"/>
              </w:rPr>
              <w:t>EC-001, EC-017, EC-043, EC-047, EC-143</w:t>
            </w:r>
          </w:p>
        </w:tc>
        <w:tc>
          <w:tcPr>
            <w:tcW w:type="dxa" w:w="2275"/>
            <w:tcMar>
              <w:top w:w="60" w:type="dxa"/>
              <w:start w:w="110" w:type="dxa"/>
              <w:bottom w:w="60" w:type="dxa"/>
              <w:end w:w="110" w:type="dxa"/>
            </w:tcMar>
            <w:shd w:val="clear" w:color="auto" w:fill="F4F7FB"/>
          </w:tcPr>
          <w:p>
            <w:pPr>
              <w:spacing w:after="0"/>
            </w:pPr>
            <w:r/>
            <w:r>
              <w:rPr>
                <w:rFonts w:ascii="Calibri" w:hAnsi="Calibri"/>
                <w:b w:val="0"/>
                <w:i w:val="0"/>
                <w:color w:val="101828"/>
                <w:sz w:val="16"/>
              </w:rPr>
              <w:t>Any published timing promise, the margin warning in the revenue material, and the reconciliation interval. Required before the fee is publicised.</w:t>
            </w:r>
          </w:p>
        </w:tc>
        <w:tc>
          <w:tcPr>
            <w:tcW w:type="dxa" w:w="1469"/>
            <w:tcMar>
              <w:top w:w="60" w:type="dxa"/>
              <w:start w:w="110" w:type="dxa"/>
              <w:bottom w:w="60" w:type="dxa"/>
              <w:end w:w="110" w:type="dxa"/>
            </w:tcMar>
            <w:shd w:val="clear" w:color="auto" w:fill="F4F7FB"/>
          </w:tcPr>
          <w:p>
            <w:pPr>
              <w:spacing w:after="0"/>
            </w:pPr>
            <w:r/>
            <w:r>
              <w:rPr>
                <w:rFonts w:ascii="Calibri" w:hAnsi="Calibri"/>
                <w:b w:val="0"/>
                <w:i w:val="0"/>
                <w:color w:val="101828"/>
                <w:sz w:val="16"/>
              </w:rPr>
              <w:t>Providus</w:t>
            </w:r>
          </w:p>
        </w:tc>
      </w:tr>
      <w:tr>
        <w:trPr>
          <w:cantSplit/>
        </w:trPr>
        <w:tc>
          <w:tcPr>
            <w:tcW w:type="dxa" w:w="936"/>
            <w:tcMar>
              <w:top w:w="60" w:type="dxa"/>
              <w:start w:w="110" w:type="dxa"/>
              <w:bottom w:w="60" w:type="dxa"/>
              <w:end w:w="110" w:type="dxa"/>
            </w:tcMar>
          </w:tcPr>
          <w:p>
            <w:pPr>
              <w:spacing w:after="0"/>
            </w:pPr>
            <w:r/>
            <w:r>
              <w:rPr>
                <w:rFonts w:ascii="Calibri" w:hAnsi="Calibri"/>
                <w:b w:val="0"/>
                <w:i w:val="0"/>
                <w:color w:val="101828"/>
                <w:sz w:val="16"/>
              </w:rPr>
              <w:t>D-05</w:t>
            </w:r>
          </w:p>
        </w:tc>
        <w:tc>
          <w:tcPr>
            <w:tcW w:type="dxa" w:w="3139"/>
            <w:tcMar>
              <w:top w:w="60" w:type="dxa"/>
              <w:start w:w="110" w:type="dxa"/>
              <w:bottom w:w="60" w:type="dxa"/>
              <w:end w:w="110" w:type="dxa"/>
            </w:tcMar>
          </w:tcPr>
          <w:p>
            <w:pPr>
              <w:spacing w:after="0"/>
            </w:pPr>
            <w:r/>
            <w:r>
              <w:rPr>
                <w:rFonts w:ascii="Calibri" w:hAnsi="Calibri"/>
                <w:b w:val="0"/>
                <w:i w:val="0"/>
                <w:color w:val="101828"/>
                <w:sz w:val="16"/>
              </w:rPr>
              <w:t>Who bears the 2% fee when an Ajo cancels in the 5-day window - is it refunded?</w:t>
            </w:r>
          </w:p>
        </w:tc>
        <w:tc>
          <w:tcPr>
            <w:tcW w:type="dxa" w:w="1541"/>
            <w:tcMar>
              <w:top w:w="60" w:type="dxa"/>
              <w:start w:w="110" w:type="dxa"/>
              <w:bottom w:w="60" w:type="dxa"/>
              <w:end w:w="110" w:type="dxa"/>
            </w:tcMar>
          </w:tcPr>
          <w:p>
            <w:pPr>
              <w:spacing w:after="0"/>
            </w:pPr>
            <w:r/>
            <w:r>
              <w:rPr>
                <w:rFonts w:ascii="Calibri" w:hAnsi="Calibri"/>
                <w:b w:val="0"/>
                <w:i w:val="0"/>
                <w:color w:val="101828"/>
                <w:sz w:val="16"/>
              </w:rPr>
              <w:t>EC-050, EC-058</w:t>
            </w:r>
          </w:p>
        </w:tc>
        <w:tc>
          <w:tcPr>
            <w:tcW w:type="dxa" w:w="2275"/>
            <w:tcMar>
              <w:top w:w="60" w:type="dxa"/>
              <w:start w:w="110" w:type="dxa"/>
              <w:bottom w:w="60" w:type="dxa"/>
              <w:end w:w="110" w:type="dxa"/>
            </w:tcMar>
          </w:tcPr>
          <w:p>
            <w:pPr>
              <w:spacing w:after="0"/>
            </w:pPr>
            <w:r/>
            <w:r>
              <w:rPr>
                <w:rFonts w:ascii="Calibri" w:hAnsi="Calibri"/>
                <w:b w:val="0"/>
                <w:i w:val="0"/>
                <w:color w:val="101828"/>
                <w:sz w:val="16"/>
              </w:rPr>
              <w:t>The exact refund figure shown to a member at cancellation, which they must see before day 5 arrives.</w:t>
            </w:r>
          </w:p>
        </w:tc>
        <w:tc>
          <w:tcPr>
            <w:tcW w:type="dxa" w:w="1469"/>
            <w:tcMar>
              <w:top w:w="60" w:type="dxa"/>
              <w:start w:w="110" w:type="dxa"/>
              <w:bottom w:w="60" w:type="dxa"/>
              <w:end w:w="110" w:type="dxa"/>
            </w:tcMar>
          </w:tcPr>
          <w:p>
            <w:pPr>
              <w:spacing w:after="0"/>
            </w:pPr>
            <w:r/>
            <w:r>
              <w:rPr>
                <w:rFonts w:ascii="Calibri" w:hAnsi="Calibri"/>
                <w:b w:val="0"/>
                <w:i w:val="0"/>
                <w:color w:val="101828"/>
                <w:sz w:val="16"/>
              </w:rPr>
              <w:t>Founders and Legal</w:t>
            </w:r>
          </w:p>
        </w:tc>
      </w:tr>
      <w:tr>
        <w:trPr>
          <w:cantSplit/>
        </w:trPr>
        <w:tc>
          <w:tcPr>
            <w:tcW w:type="dxa" w:w="936"/>
            <w:tcMar>
              <w:top w:w="60" w:type="dxa"/>
              <w:start w:w="110" w:type="dxa"/>
              <w:bottom w:w="60" w:type="dxa"/>
              <w:end w:w="110" w:type="dxa"/>
            </w:tcMar>
            <w:shd w:val="clear" w:color="auto" w:fill="F4F7FB"/>
          </w:tcPr>
          <w:p>
            <w:pPr>
              <w:spacing w:after="0"/>
            </w:pPr>
            <w:r/>
            <w:r>
              <w:rPr>
                <w:rFonts w:ascii="Calibri" w:hAnsi="Calibri"/>
                <w:b w:val="0"/>
                <w:i w:val="0"/>
                <w:color w:val="101828"/>
                <w:sz w:val="16"/>
              </w:rPr>
              <w:t>D-06</w:t>
            </w:r>
          </w:p>
        </w:tc>
        <w:tc>
          <w:tcPr>
            <w:tcW w:type="dxa" w:w="3139"/>
            <w:tcMar>
              <w:top w:w="60" w:type="dxa"/>
              <w:start w:w="110" w:type="dxa"/>
              <w:bottom w:w="60" w:type="dxa"/>
              <w:end w:w="110" w:type="dxa"/>
            </w:tcMar>
            <w:shd w:val="clear" w:color="auto" w:fill="F4F7FB"/>
          </w:tcPr>
          <w:p>
            <w:pPr>
              <w:spacing w:after="0"/>
            </w:pPr>
            <w:r/>
            <w:r>
              <w:rPr>
                <w:rFonts w:ascii="Calibri" w:hAnsi="Calibri"/>
                <w:b w:val="0"/>
                <w:i w:val="0"/>
                <w:color w:val="101828"/>
                <w:sz w:val="16"/>
              </w:rPr>
              <w:t>Is the 2% fee tax-inclusive, and who remits VAT or WHT?</w:t>
            </w:r>
          </w:p>
        </w:tc>
        <w:tc>
          <w:tcPr>
            <w:tcW w:type="dxa" w:w="1541"/>
            <w:tcMar>
              <w:top w:w="60" w:type="dxa"/>
              <w:start w:w="110" w:type="dxa"/>
              <w:bottom w:w="60" w:type="dxa"/>
              <w:end w:w="110" w:type="dxa"/>
            </w:tcMar>
            <w:shd w:val="clear" w:color="auto" w:fill="F4F7FB"/>
          </w:tcPr>
          <w:p>
            <w:pPr>
              <w:spacing w:after="0"/>
            </w:pPr>
            <w:r/>
            <w:r>
              <w:rPr>
                <w:rFonts w:ascii="Calibri" w:hAnsi="Calibri"/>
                <w:b w:val="0"/>
                <w:i w:val="0"/>
                <w:color w:val="101828"/>
                <w:sz w:val="16"/>
              </w:rPr>
              <w:t>EC-010, EC-142, EC-143</w:t>
            </w:r>
          </w:p>
        </w:tc>
        <w:tc>
          <w:tcPr>
            <w:tcW w:type="dxa" w:w="2275"/>
            <w:tcMar>
              <w:top w:w="60" w:type="dxa"/>
              <w:start w:w="110" w:type="dxa"/>
              <w:bottom w:w="60" w:type="dxa"/>
              <w:end w:w="110" w:type="dxa"/>
            </w:tcMar>
            <w:shd w:val="clear" w:color="auto" w:fill="F4F7FB"/>
          </w:tcPr>
          <w:p>
            <w:pPr>
              <w:spacing w:after="0"/>
            </w:pPr>
            <w:r/>
            <w:r>
              <w:rPr>
                <w:rFonts w:ascii="Calibri" w:hAnsi="Calibri"/>
                <w:b w:val="0"/>
                <w:i w:val="0"/>
                <w:color w:val="101828"/>
                <w:sz w:val="16"/>
              </w:rPr>
              <w:t>The fee line on receipts and the fee figure in every worked example.</w:t>
            </w:r>
          </w:p>
        </w:tc>
        <w:tc>
          <w:tcPr>
            <w:tcW w:type="dxa" w:w="1469"/>
            <w:tcMar>
              <w:top w:w="60" w:type="dxa"/>
              <w:start w:w="110" w:type="dxa"/>
              <w:bottom w:w="60" w:type="dxa"/>
              <w:end w:w="110" w:type="dxa"/>
            </w:tcMar>
            <w:shd w:val="clear" w:color="auto" w:fill="F4F7FB"/>
          </w:tcPr>
          <w:p>
            <w:pPr>
              <w:spacing w:after="0"/>
            </w:pPr>
            <w:r/>
            <w:r>
              <w:rPr>
                <w:rFonts w:ascii="Calibri" w:hAnsi="Calibri"/>
                <w:b w:val="0"/>
                <w:i w:val="0"/>
                <w:color w:val="101828"/>
                <w:sz w:val="16"/>
              </w:rPr>
              <w:t>Tax adviser</w:t>
            </w:r>
          </w:p>
        </w:tc>
      </w:tr>
      <w:tr>
        <w:trPr>
          <w:cantSplit/>
        </w:trPr>
        <w:tc>
          <w:tcPr>
            <w:tcW w:type="dxa" w:w="936"/>
            <w:tcMar>
              <w:top w:w="60" w:type="dxa"/>
              <w:start w:w="110" w:type="dxa"/>
              <w:bottom w:w="60" w:type="dxa"/>
              <w:end w:w="110" w:type="dxa"/>
            </w:tcMar>
          </w:tcPr>
          <w:p>
            <w:pPr>
              <w:spacing w:after="0"/>
            </w:pPr>
            <w:r/>
            <w:r>
              <w:rPr>
                <w:rFonts w:ascii="Calibri" w:hAnsi="Calibri"/>
                <w:b w:val="0"/>
                <w:i w:val="0"/>
                <w:color w:val="101828"/>
                <w:sz w:val="16"/>
              </w:rPr>
              <w:t>D-07</w:t>
            </w:r>
          </w:p>
        </w:tc>
        <w:tc>
          <w:tcPr>
            <w:tcW w:type="dxa" w:w="3139"/>
            <w:tcMar>
              <w:top w:w="60" w:type="dxa"/>
              <w:start w:w="110" w:type="dxa"/>
              <w:bottom w:w="60" w:type="dxa"/>
              <w:end w:w="110" w:type="dxa"/>
            </w:tcMar>
          </w:tcPr>
          <w:p>
            <w:pPr>
              <w:spacing w:after="0"/>
            </w:pPr>
            <w:r/>
            <w:r>
              <w:rPr>
                <w:rFonts w:ascii="Calibri" w:hAnsi="Calibri"/>
                <w:b w:val="0"/>
                <w:i w:val="0"/>
                <w:color w:val="101828"/>
                <w:sz w:val="16"/>
              </w:rPr>
              <w:t>Refund SLA after Providus approves a reversal.</w:t>
            </w:r>
          </w:p>
        </w:tc>
        <w:tc>
          <w:tcPr>
            <w:tcW w:type="dxa" w:w="1541"/>
            <w:tcMar>
              <w:top w:w="60" w:type="dxa"/>
              <w:start w:w="110" w:type="dxa"/>
              <w:bottom w:w="60" w:type="dxa"/>
              <w:end w:w="110" w:type="dxa"/>
            </w:tcMar>
          </w:tcPr>
          <w:p>
            <w:pPr>
              <w:spacing w:after="0"/>
            </w:pPr>
            <w:r/>
            <w:r>
              <w:rPr>
                <w:rFonts w:ascii="Calibri" w:hAnsi="Calibri"/>
                <w:b w:val="0"/>
                <w:i w:val="0"/>
                <w:color w:val="101828"/>
                <w:sz w:val="16"/>
              </w:rPr>
              <w:t>EC-010, EC-017</w:t>
            </w:r>
          </w:p>
        </w:tc>
        <w:tc>
          <w:tcPr>
            <w:tcW w:type="dxa" w:w="2275"/>
            <w:tcMar>
              <w:top w:w="60" w:type="dxa"/>
              <w:start w:w="110" w:type="dxa"/>
              <w:bottom w:w="60" w:type="dxa"/>
              <w:end w:w="110" w:type="dxa"/>
            </w:tcMar>
          </w:tcPr>
          <w:p>
            <w:pPr>
              <w:spacing w:after="0"/>
            </w:pPr>
            <w:r/>
            <w:r>
              <w:rPr>
                <w:rFonts w:ascii="Calibri" w:hAnsi="Calibri"/>
                <w:b w:val="0"/>
                <w:i w:val="0"/>
                <w:color w:val="101828"/>
                <w:sz w:val="16"/>
              </w:rPr>
              <w:t>Every date we might put in a member message about a refund. Until answered, no window is promised.</w:t>
            </w:r>
          </w:p>
        </w:tc>
        <w:tc>
          <w:tcPr>
            <w:tcW w:type="dxa" w:w="1469"/>
            <w:tcMar>
              <w:top w:w="60" w:type="dxa"/>
              <w:start w:w="110" w:type="dxa"/>
              <w:bottom w:w="60" w:type="dxa"/>
              <w:end w:w="110" w:type="dxa"/>
            </w:tcMar>
          </w:tcPr>
          <w:p>
            <w:pPr>
              <w:spacing w:after="0"/>
            </w:pPr>
            <w:r/>
            <w:r>
              <w:rPr>
                <w:rFonts w:ascii="Calibri" w:hAnsi="Calibri"/>
                <w:b w:val="0"/>
                <w:i w:val="0"/>
                <w:color w:val="101828"/>
                <w:sz w:val="16"/>
              </w:rPr>
              <w:t>Providus and Legal</w:t>
            </w:r>
          </w:p>
        </w:tc>
      </w:tr>
      <w:tr>
        <w:trPr>
          <w:cantSplit/>
        </w:trPr>
        <w:tc>
          <w:tcPr>
            <w:tcW w:type="dxa" w:w="936"/>
            <w:tcMar>
              <w:top w:w="60" w:type="dxa"/>
              <w:start w:w="110" w:type="dxa"/>
              <w:bottom w:w="60" w:type="dxa"/>
              <w:end w:w="110" w:type="dxa"/>
            </w:tcMar>
            <w:shd w:val="clear" w:color="auto" w:fill="F4F7FB"/>
          </w:tcPr>
          <w:p>
            <w:pPr>
              <w:spacing w:after="0"/>
            </w:pPr>
            <w:r/>
            <w:r>
              <w:rPr>
                <w:rFonts w:ascii="Calibri" w:hAnsi="Calibri"/>
                <w:b w:val="0"/>
                <w:i w:val="0"/>
                <w:color w:val="101828"/>
                <w:sz w:val="16"/>
              </w:rPr>
              <w:t>D-08</w:t>
            </w:r>
          </w:p>
        </w:tc>
        <w:tc>
          <w:tcPr>
            <w:tcW w:type="dxa" w:w="3139"/>
            <w:tcMar>
              <w:top w:w="60" w:type="dxa"/>
              <w:start w:w="110" w:type="dxa"/>
              <w:bottom w:w="60" w:type="dxa"/>
              <w:end w:w="110" w:type="dxa"/>
            </w:tcMar>
            <w:shd w:val="clear" w:color="auto" w:fill="F4F7FB"/>
          </w:tcPr>
          <w:p>
            <w:pPr>
              <w:spacing w:after="0"/>
            </w:pPr>
            <w:r/>
            <w:r>
              <w:rPr>
                <w:rFonts w:ascii="Calibri" w:hAnsi="Calibri"/>
                <w:b w:val="0"/>
                <w:i w:val="0"/>
                <w:color w:val="101828"/>
                <w:sz w:val="16"/>
              </w:rPr>
              <w:t>Maximum Ajo size and maximum contribution cap as a fraud limit.</w:t>
            </w:r>
          </w:p>
        </w:tc>
        <w:tc>
          <w:tcPr>
            <w:tcW w:type="dxa" w:w="1541"/>
            <w:tcMar>
              <w:top w:w="60" w:type="dxa"/>
              <w:start w:w="110" w:type="dxa"/>
              <w:bottom w:w="60" w:type="dxa"/>
              <w:end w:w="110" w:type="dxa"/>
            </w:tcMar>
            <w:shd w:val="clear" w:color="auto" w:fill="F4F7FB"/>
          </w:tcPr>
          <w:p>
            <w:pPr>
              <w:spacing w:after="0"/>
            </w:pPr>
            <w:r/>
            <w:r>
              <w:rPr>
                <w:rFonts w:ascii="Calibri" w:hAnsi="Calibri"/>
                <w:b w:val="0"/>
                <w:i w:val="0"/>
                <w:color w:val="101828"/>
                <w:sz w:val="16"/>
              </w:rPr>
              <w:t>EC-007, EC-008, EC-117</w:t>
            </w:r>
          </w:p>
        </w:tc>
        <w:tc>
          <w:tcPr>
            <w:tcW w:type="dxa" w:w="2275"/>
            <w:tcMar>
              <w:top w:w="60" w:type="dxa"/>
              <w:start w:w="110" w:type="dxa"/>
              <w:bottom w:w="60" w:type="dxa"/>
              <w:end w:w="110" w:type="dxa"/>
            </w:tcMar>
            <w:shd w:val="clear" w:color="auto" w:fill="F4F7FB"/>
          </w:tcPr>
          <w:p>
            <w:pPr>
              <w:spacing w:after="0"/>
            </w:pPr>
            <w:r/>
            <w:r>
              <w:rPr>
                <w:rFonts w:ascii="Calibri" w:hAnsi="Calibri"/>
                <w:b w:val="0"/>
                <w:i w:val="0"/>
                <w:color w:val="101828"/>
                <w:sz w:val="16"/>
              </w:rPr>
              <w:t>The validation limits themselves, and therefore the correct behaviour for EC-007, which is currently specified against a configured minimum rather than a fixed figure.</w:t>
            </w:r>
          </w:p>
        </w:tc>
        <w:tc>
          <w:tcPr>
            <w:tcW w:type="dxa" w:w="1469"/>
            <w:tcMar>
              <w:top w:w="60" w:type="dxa"/>
              <w:start w:w="110" w:type="dxa"/>
              <w:bottom w:w="60" w:type="dxa"/>
              <w:end w:w="110" w:type="dxa"/>
            </w:tcMar>
            <w:shd w:val="clear" w:color="auto" w:fill="F4F7FB"/>
          </w:tcPr>
          <w:p>
            <w:pPr>
              <w:spacing w:after="0"/>
            </w:pPr>
            <w:r/>
            <w:r>
              <w:rPr>
                <w:rFonts w:ascii="Calibri" w:hAnsi="Calibri"/>
                <w:b w:val="0"/>
                <w:i w:val="0"/>
                <w:color w:val="101828"/>
                <w:sz w:val="16"/>
              </w:rPr>
              <w:t>Risk</w:t>
            </w:r>
          </w:p>
        </w:tc>
      </w:tr>
      <w:tr>
        <w:trPr>
          <w:cantSplit/>
        </w:trPr>
        <w:tc>
          <w:tcPr>
            <w:tcW w:type="dxa" w:w="936"/>
            <w:tcMar>
              <w:top w:w="60" w:type="dxa"/>
              <w:start w:w="110" w:type="dxa"/>
              <w:bottom w:w="60" w:type="dxa"/>
              <w:end w:w="110" w:type="dxa"/>
            </w:tcMar>
          </w:tcPr>
          <w:p>
            <w:pPr>
              <w:spacing w:after="0"/>
            </w:pPr>
            <w:r/>
            <w:r>
              <w:rPr>
                <w:rFonts w:ascii="Calibri" w:hAnsi="Calibri"/>
                <w:b w:val="0"/>
                <w:i w:val="0"/>
                <w:color w:val="101828"/>
                <w:sz w:val="16"/>
              </w:rPr>
              <w:t>D-04</w:t>
            </w:r>
          </w:p>
        </w:tc>
        <w:tc>
          <w:tcPr>
            <w:tcW w:type="dxa" w:w="3139"/>
            <w:tcMar>
              <w:top w:w="60" w:type="dxa"/>
              <w:start w:w="110" w:type="dxa"/>
              <w:bottom w:w="60" w:type="dxa"/>
              <w:end w:w="110" w:type="dxa"/>
            </w:tcMar>
          </w:tcPr>
          <w:p>
            <w:pPr>
              <w:spacing w:after="0"/>
            </w:pPr>
            <w:r/>
            <w:r>
              <w:rPr>
                <w:rFonts w:ascii="Calibri" w:hAnsi="Calibri"/>
                <w:b w:val="0"/>
                <w:i w:val="0"/>
                <w:color w:val="101828"/>
                <w:sz w:val="16"/>
              </w:rPr>
              <w:t>Is BVN or CAC verification mandatory for all members, or only above a threshold?</w:t>
            </w:r>
          </w:p>
        </w:tc>
        <w:tc>
          <w:tcPr>
            <w:tcW w:type="dxa" w:w="1541"/>
            <w:tcMar>
              <w:top w:w="60" w:type="dxa"/>
              <w:start w:w="110" w:type="dxa"/>
              <w:bottom w:w="60" w:type="dxa"/>
              <w:end w:w="110" w:type="dxa"/>
            </w:tcMar>
          </w:tcPr>
          <w:p>
            <w:pPr>
              <w:spacing w:after="0"/>
            </w:pPr>
            <w:r/>
            <w:r>
              <w:rPr>
                <w:rFonts w:ascii="Calibri" w:hAnsi="Calibri"/>
                <w:b w:val="0"/>
                <w:i w:val="0"/>
                <w:color w:val="101828"/>
                <w:sz w:val="16"/>
              </w:rPr>
              <w:t>EC-111, EC-137</w:t>
            </w:r>
          </w:p>
        </w:tc>
        <w:tc>
          <w:tcPr>
            <w:tcW w:type="dxa" w:w="2275"/>
            <w:tcMar>
              <w:top w:w="60" w:type="dxa"/>
              <w:start w:w="110" w:type="dxa"/>
              <w:bottom w:w="60" w:type="dxa"/>
              <w:end w:w="110" w:type="dxa"/>
            </w:tcMar>
          </w:tcPr>
          <w:p>
            <w:pPr>
              <w:spacing w:after="0"/>
            </w:pPr>
            <w:r/>
            <w:r>
              <w:rPr>
                <w:rFonts w:ascii="Calibri" w:hAnsi="Calibri"/>
                <w:b w:val="0"/>
                <w:i w:val="0"/>
                <w:color w:val="101828"/>
                <w:sz w:val="16"/>
              </w:rPr>
              <w:t>Whether an unverified member may occupy a position at all, and what EC-111 fails closed against in the automated path.</w:t>
            </w:r>
          </w:p>
        </w:tc>
        <w:tc>
          <w:tcPr>
            <w:tcW w:type="dxa" w:w="1469"/>
            <w:tcMar>
              <w:top w:w="60" w:type="dxa"/>
              <w:start w:w="110" w:type="dxa"/>
              <w:bottom w:w="60" w:type="dxa"/>
              <w:end w:w="110" w:type="dxa"/>
            </w:tcMar>
          </w:tcPr>
          <w:p>
            <w:pPr>
              <w:spacing w:after="0"/>
            </w:pPr>
            <w:r/>
            <w:r>
              <w:rPr>
                <w:rFonts w:ascii="Calibri" w:hAnsi="Calibri"/>
                <w:b w:val="0"/>
                <w:i w:val="0"/>
                <w:color w:val="101828"/>
                <w:sz w:val="16"/>
              </w:rPr>
              <w:t>Risk and Legal</w:t>
            </w:r>
          </w:p>
        </w:tc>
      </w:tr>
      <w:tr>
        <w:trPr>
          <w:cantSplit/>
        </w:trPr>
        <w:tc>
          <w:tcPr>
            <w:tcW w:type="dxa" w:w="936"/>
            <w:tcMar>
              <w:top w:w="60" w:type="dxa"/>
              <w:start w:w="110" w:type="dxa"/>
              <w:bottom w:w="60" w:type="dxa"/>
              <w:end w:w="110" w:type="dxa"/>
            </w:tcMar>
            <w:shd w:val="clear" w:color="auto" w:fill="F4F7FB"/>
          </w:tcPr>
          <w:p>
            <w:pPr>
              <w:spacing w:after="0"/>
            </w:pPr>
            <w:r/>
            <w:r>
              <w:rPr>
                <w:rFonts w:ascii="Calibri" w:hAnsi="Calibri"/>
                <w:b w:val="0"/>
                <w:i w:val="0"/>
                <w:color w:val="101828"/>
                <w:sz w:val="16"/>
              </w:rPr>
              <w:t>A-08</w:t>
            </w:r>
          </w:p>
        </w:tc>
        <w:tc>
          <w:tcPr>
            <w:tcW w:type="dxa" w:w="3139"/>
            <w:tcMar>
              <w:top w:w="60" w:type="dxa"/>
              <w:start w:w="110" w:type="dxa"/>
              <w:bottom w:w="60" w:type="dxa"/>
              <w:end w:w="110" w:type="dxa"/>
            </w:tcMar>
            <w:shd w:val="clear" w:color="auto" w:fill="F4F7FB"/>
          </w:tcPr>
          <w:p>
            <w:pPr>
              <w:spacing w:after="0"/>
            </w:pPr>
            <w:r/>
            <w:r>
              <w:rPr>
                <w:rFonts w:ascii="Calibri" w:hAnsi="Calibri"/>
                <w:b w:val="0"/>
                <w:i w:val="0"/>
                <w:color w:val="101828"/>
                <w:sz w:val="16"/>
              </w:rPr>
              <w:t>Rounding basis for the 2% fee, in kobo integers.</w:t>
            </w:r>
          </w:p>
        </w:tc>
        <w:tc>
          <w:tcPr>
            <w:tcW w:type="dxa" w:w="1541"/>
            <w:tcMar>
              <w:top w:w="60" w:type="dxa"/>
              <w:start w:w="110" w:type="dxa"/>
              <w:bottom w:w="60" w:type="dxa"/>
              <w:end w:w="110" w:type="dxa"/>
            </w:tcMar>
            <w:shd w:val="clear" w:color="auto" w:fill="F4F7FB"/>
          </w:tcPr>
          <w:p>
            <w:pPr>
              <w:spacing w:after="0"/>
            </w:pPr>
            <w:r/>
            <w:r>
              <w:rPr>
                <w:rFonts w:ascii="Calibri" w:hAnsi="Calibri"/>
                <w:b w:val="0"/>
                <w:i w:val="0"/>
                <w:color w:val="101828"/>
                <w:sz w:val="16"/>
              </w:rPr>
              <w:t>EC-008, EC-105</w:t>
            </w:r>
          </w:p>
        </w:tc>
        <w:tc>
          <w:tcPr>
            <w:tcW w:type="dxa" w:w="2275"/>
            <w:tcMar>
              <w:top w:w="60" w:type="dxa"/>
              <w:start w:w="110" w:type="dxa"/>
              <w:bottom w:w="60" w:type="dxa"/>
              <w:end w:w="110" w:type="dxa"/>
            </w:tcMar>
            <w:shd w:val="clear" w:color="auto" w:fill="F4F7FB"/>
          </w:tcPr>
          <w:p>
            <w:pPr>
              <w:spacing w:after="0"/>
            </w:pPr>
            <w:r/>
            <w:r>
              <w:rPr>
                <w:rFonts w:ascii="Calibri" w:hAnsi="Calibri"/>
                <w:b w:val="0"/>
                <w:i w:val="0"/>
                <w:color w:val="101828"/>
                <w:sz w:val="16"/>
              </w:rPr>
              <w:t>Nothing structural. The rule in EC-008 is a design decision, and it becomes a canonical fact only once this assumption is confirmed.</w:t>
            </w:r>
          </w:p>
        </w:tc>
        <w:tc>
          <w:tcPr>
            <w:tcW w:type="dxa" w:w="1469"/>
            <w:tcMar>
              <w:top w:w="60" w:type="dxa"/>
              <w:start w:w="110" w:type="dxa"/>
              <w:bottom w:w="60" w:type="dxa"/>
              <w:end w:w="110" w:type="dxa"/>
            </w:tcMar>
            <w:shd w:val="clear" w:color="auto" w:fill="F4F7FB"/>
          </w:tcPr>
          <w:p>
            <w:pPr>
              <w:spacing w:after="0"/>
            </w:pPr>
            <w:r/>
            <w:r>
              <w:rPr>
                <w:rFonts w:ascii="Calibri" w:hAnsi="Calibri"/>
                <w:b w:val="0"/>
                <w:i w:val="0"/>
                <w:color w:val="101828"/>
                <w:sz w:val="16"/>
              </w:rPr>
              <w:t>Engineering and Finance</w:t>
            </w:r>
          </w:p>
        </w:tc>
      </w:tr>
    </w:tbl>
    <w:p>
      <w:pPr>
        <w:spacing w:after="80"/>
      </w:pPr>
    </w:p>
    <w:p>
      <w:r>
        <w:rPr>
          <w:rFonts w:ascii="Calibri" w:hAnsi="Calibri"/>
          <w:b w:val="0"/>
          <w:i w:val="0"/>
          <w:color w:val="101828"/>
          <w:sz w:val="21"/>
        </w:rPr>
        <w:t>Two further gaps are ours rather than a dependency's, and both are recorded here because the register is only useful if it can say so. First, a member on a shared or low-capability device is served by browser fallback, and we have no measured figure for how many members that represents; the low-bandwidth requirement is currently a design intention rather than a measured property (C-14, NFR-PERF-004). Second, the provider's client page sits outside our telemetry, so a failure inside it is visible to us only as an unfinished payment; that blind spot is why EC-020 can specify the message but not the detection.</w:t>
      </w:r>
    </w:p>
    <w:p>
      <w:pPr>
        <w:spacing w:before="140" w:after="180"/>
        <w:ind w:left="144"/>
        <w:shd w:val="clear" w:color="auto" w:fill="EFF6FF"/>
        <w:pBdr>
          <w:left w:val="single" w:sz="18" w:space="6" w:color="146EF5"/>
        </w:pBdr>
      </w:pPr>
      <w:r>
        <w:rPr>
          <w:rFonts w:ascii="Calibri" w:hAnsi="Calibri"/>
          <w:b/>
          <w:color w:val="146EF5"/>
          <w:sz w:val="19"/>
        </w:rPr>
        <w:t xml:space="preserve">Closing position  </w:t>
      </w:r>
      <w:r>
        <w:rPr>
          <w:rFonts w:ascii="Calibri" w:hAnsi="Calibri"/>
          <w:b w:val="0"/>
          <w:i w:val="0"/>
          <w:color w:val="0B1F3A"/>
          <w:sz w:val="19"/>
        </w:rPr>
        <w:t>One hundred and fifty-one cases, each with a trigger, a system behaviour, a user experience, a recovery mechanism and a logging requirement. Where a recovery mechanism does not exist, the case says so rather than inventing one. Where the answer depends on a decision we have not made, the case is filed against that decision in 19.14. And through all of it, five things never change: no member is paid less than the base pool, no member is charged twice, no defaulter is exposed, no financial record is edited, and no shortfall is covered with corporate funds. AJO.ng. Your Ajo. Your Story.</w:t>
      </w:r>
    </w:p>
    <w:p>
      <w:r>
        <w:br w:type="page"/>
      </w:r>
    </w:p>
    <w:p>
      <w:pPr>
        <w:pStyle w:val="Heading1"/>
        <w:pBdr>
          <w:bottom w:val="single" w:sz="12" w:space="6" w:color="146EF5"/>
        </w:pBdr>
        <w:spacing w:after="240"/>
      </w:pPr>
      <w:r>
        <w:rPr>
          <w:rFonts w:ascii="Calibri" w:hAnsi="Calibri"/>
          <w:b/>
          <w:i w:val="0"/>
          <w:color w:val="0B1F3A"/>
          <w:sz w:val="40"/>
        </w:rPr>
        <w:t>20. Infrastructure, DevOps and Environments</w:t>
      </w:r>
    </w:p>
    <w:p>
      <w:pPr>
        <w:spacing w:after="200"/>
      </w:pPr>
      <w:r>
        <w:rPr>
          <w:rFonts w:ascii="Calibri" w:hAnsi="Calibri"/>
          <w:b w:val="0"/>
          <w:i w:val="0"/>
          <w:color w:val="475467"/>
          <w:sz w:val="24"/>
        </w:rPr>
        <w:t>The infrastructure decisions for AJO.ng follow from one requirement: the money path must be reliable, auditable, and observable, and it must keep running when a third party does not. Everything else is chosen to be the simplest thing that satisfies that.</w:t>
      </w:r>
    </w:p>
    <w:p>
      <w:pPr>
        <w:pStyle w:val="Heading2"/>
      </w:pPr>
      <w:r>
        <w:rPr>
          <w:rFonts w:ascii="Calibri" w:hAnsi="Calibri"/>
          <w:b/>
          <w:i w:val="0"/>
          <w:color w:val="146EF5"/>
          <w:sz w:val="29"/>
        </w:rPr>
        <w:t>20.1 Architecture rationale</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Decision</w:t>
            </w:r>
          </w:p>
        </w:tc>
        <w:tc>
          <w:tcPr>
            <w:tcW w:type="dxa" w:w="3600"/>
            <w:shd w:val="clear" w:color="auto" w:fill="0B1F3A"/>
            <w:tcMar>
              <w:top w:w="60" w:type="dxa"/>
              <w:start w:w="110" w:type="dxa"/>
              <w:bottom w:w="60" w:type="dxa"/>
              <w:end w:w="110" w:type="dxa"/>
            </w:tcMar>
          </w:tcPr>
          <w:p>
            <w:pPr>
              <w:spacing w:after="0"/>
            </w:pPr>
            <w:r/>
            <w:r>
              <w:rPr>
                <w:rFonts w:ascii="Calibri" w:hAnsi="Calibri"/>
                <w:b/>
                <w:i w:val="0"/>
                <w:color w:val="FFFFFF"/>
                <w:sz w:val="16"/>
              </w:rPr>
              <w:t>Rationale</w:t>
            </w:r>
          </w:p>
        </w:tc>
        <w:tc>
          <w:tcPr>
            <w:tcW w:type="dxa" w:w="3312"/>
            <w:shd w:val="clear" w:color="auto" w:fill="0B1F3A"/>
            <w:tcMar>
              <w:top w:w="60" w:type="dxa"/>
              <w:start w:w="110" w:type="dxa"/>
              <w:bottom w:w="60" w:type="dxa"/>
              <w:end w:w="110" w:type="dxa"/>
            </w:tcMar>
          </w:tcPr>
          <w:p>
            <w:pPr>
              <w:spacing w:after="0"/>
            </w:pPr>
            <w:r/>
            <w:r>
              <w:rPr>
                <w:rFonts w:ascii="Calibri" w:hAnsi="Calibri"/>
                <w:b/>
                <w:i w:val="0"/>
                <w:color w:val="FFFFFF"/>
                <w:sz w:val="16"/>
              </w:rPr>
              <w:t>Consequence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Modular monolith, not microservices</w:t>
            </w:r>
          </w:p>
        </w:tc>
        <w:tc>
          <w:tcPr>
            <w:tcW w:type="dxa" w:w="3600"/>
            <w:tcMar>
              <w:top w:w="60" w:type="dxa"/>
              <w:start w:w="110" w:type="dxa"/>
              <w:bottom w:w="60" w:type="dxa"/>
              <w:end w:w="110" w:type="dxa"/>
            </w:tcMar>
          </w:tcPr>
          <w:p>
            <w:pPr>
              <w:spacing w:after="0"/>
            </w:pPr>
            <w:r/>
            <w:r>
              <w:rPr>
                <w:rFonts w:ascii="Calibri" w:hAnsi="Calibri"/>
                <w:b w:val="0"/>
                <w:i w:val="0"/>
                <w:color w:val="101828"/>
                <w:sz w:val="16"/>
              </w:rPr>
              <w:t>A savings platform has few true domains, and financial correctness is far easier to guarantee inside one deployable unit and one transaction boundary</w:t>
            </w:r>
          </w:p>
        </w:tc>
        <w:tc>
          <w:tcPr>
            <w:tcW w:type="dxa" w:w="3312"/>
            <w:tcMar>
              <w:top w:w="60" w:type="dxa"/>
              <w:start w:w="110" w:type="dxa"/>
              <w:bottom w:w="60" w:type="dxa"/>
              <w:end w:w="110" w:type="dxa"/>
            </w:tcMar>
          </w:tcPr>
          <w:p>
            <w:pPr>
              <w:spacing w:after="0"/>
            </w:pPr>
            <w:r/>
            <w:r>
              <w:rPr>
                <w:rFonts w:ascii="Calibri" w:hAnsi="Calibri"/>
                <w:b w:val="0"/>
                <w:i w:val="0"/>
                <w:color w:val="101828"/>
                <w:sz w:val="16"/>
              </w:rPr>
              <w:t>Deliberate deferral of distributed-system complexity until there is measured evidence it is needed</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Node.js + Fastify API</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Shares a language and a type system with the domain core and the mobile client, so a money rule cannot be implemented twice with different behaviour</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Runtime is not ideal for heavy CPU work; no such work is required</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Next.js for web and admin</w:t>
            </w:r>
          </w:p>
        </w:tc>
        <w:tc>
          <w:tcPr>
            <w:tcW w:type="dxa" w:w="3600"/>
            <w:tcMar>
              <w:top w:w="60" w:type="dxa"/>
              <w:start w:w="110" w:type="dxa"/>
              <w:bottom w:w="60" w:type="dxa"/>
              <w:end w:w="110" w:type="dxa"/>
            </w:tcMar>
          </w:tcPr>
          <w:p>
            <w:pPr>
              <w:spacing w:after="0"/>
            </w:pPr>
            <w:r/>
            <w:r>
              <w:rPr>
                <w:rFonts w:ascii="Calibri" w:hAnsi="Calibri"/>
                <w:b w:val="0"/>
                <w:i w:val="0"/>
                <w:color w:val="101828"/>
                <w:sz w:val="16"/>
              </w:rPr>
              <w:t>Fast to build, good SSR for marketing and public pages, same TypeScript ecosystem</w:t>
            </w:r>
          </w:p>
        </w:tc>
        <w:tc>
          <w:tcPr>
            <w:tcW w:type="dxa" w:w="3312"/>
            <w:tcMar>
              <w:top w:w="60" w:type="dxa"/>
              <w:start w:w="110" w:type="dxa"/>
              <w:bottom w:w="60" w:type="dxa"/>
              <w:end w:w="110" w:type="dxa"/>
            </w:tcMar>
          </w:tcPr>
          <w:p>
            <w:pPr>
              <w:spacing w:after="0"/>
            </w:pPr>
            <w:r/>
            <w:r>
              <w:rPr>
                <w:rFonts w:ascii="Calibri" w:hAnsi="Calibri"/>
                <w:b w:val="0"/>
                <w:i w:val="0"/>
                <w:color w:val="101828"/>
                <w:sz w:val="16"/>
              </w:rPr>
              <w:t>The member-facing money screens live in the mobile app, not the web</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React Native + Expo for mobile</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One codebase for both platforms with native access where needed</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See section 17</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PostgreSQL via Supabase</w:t>
            </w:r>
          </w:p>
        </w:tc>
        <w:tc>
          <w:tcPr>
            <w:tcW w:type="dxa" w:w="3600"/>
            <w:tcMar>
              <w:top w:w="60" w:type="dxa"/>
              <w:start w:w="110" w:type="dxa"/>
              <w:bottom w:w="60" w:type="dxa"/>
              <w:end w:w="110" w:type="dxa"/>
            </w:tcMar>
          </w:tcPr>
          <w:p>
            <w:pPr>
              <w:spacing w:after="0"/>
            </w:pPr>
            <w:r/>
            <w:r>
              <w:rPr>
                <w:rFonts w:ascii="Calibri" w:hAnsi="Calibri"/>
                <w:b w:val="0"/>
                <w:i w:val="0"/>
                <w:color w:val="101828"/>
                <w:sz w:val="16"/>
              </w:rPr>
              <w:t>Transactions, strong constraints, row-level security, and a mature managed offering</w:t>
            </w:r>
          </w:p>
        </w:tc>
        <w:tc>
          <w:tcPr>
            <w:tcW w:type="dxa" w:w="3312"/>
            <w:tcMar>
              <w:top w:w="60" w:type="dxa"/>
              <w:start w:w="110" w:type="dxa"/>
              <w:bottom w:w="60" w:type="dxa"/>
              <w:end w:w="110" w:type="dxa"/>
            </w:tcMar>
          </w:tcPr>
          <w:p>
            <w:pPr>
              <w:spacing w:after="0"/>
            </w:pPr>
            <w:r/>
            <w:r>
              <w:rPr>
                <w:rFonts w:ascii="Calibri" w:hAnsi="Calibri"/>
                <w:b w:val="0"/>
                <w:i w:val="0"/>
                <w:color w:val="101828"/>
                <w:sz w:val="16"/>
              </w:rPr>
              <w:t>Vendor dependency on a managed platform; schema and access are portable</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Redis + BullMQ for queues</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Job retries, delayed jobs for reminder scheduling, and fan-out for notifications, with far less operational surface than a dedicated broker</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Redis is not a system of record; the ledger and the database remain authoritative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Containerised, container-host managed</w:t>
            </w:r>
          </w:p>
        </w:tc>
        <w:tc>
          <w:tcPr>
            <w:tcW w:type="dxa" w:w="3600"/>
            <w:tcMar>
              <w:top w:w="60" w:type="dxa"/>
              <w:start w:w="110" w:type="dxa"/>
              <w:bottom w:w="60" w:type="dxa"/>
              <w:end w:w="110" w:type="dxa"/>
            </w:tcMar>
          </w:tcPr>
          <w:p>
            <w:pPr>
              <w:spacing w:after="0"/>
            </w:pPr>
            <w:r/>
            <w:r>
              <w:rPr>
                <w:rFonts w:ascii="Calibri" w:hAnsi="Calibri"/>
                <w:b w:val="0"/>
                <w:i w:val="0"/>
                <w:color w:val="101828"/>
                <w:sz w:val="16"/>
              </w:rPr>
              <w:t>A predictable runtime without a container platform team in the early stage</w:t>
            </w:r>
          </w:p>
        </w:tc>
        <w:tc>
          <w:tcPr>
            <w:tcW w:type="dxa" w:w="3312"/>
            <w:tcMar>
              <w:top w:w="60" w:type="dxa"/>
              <w:start w:w="110" w:type="dxa"/>
              <w:bottom w:w="60" w:type="dxa"/>
              <w:end w:w="110" w:type="dxa"/>
            </w:tcMar>
          </w:tcPr>
          <w:p>
            <w:pPr>
              <w:spacing w:after="0"/>
            </w:pPr>
            <w:r/>
            <w:r>
              <w:rPr>
                <w:rFonts w:ascii="Calibri" w:hAnsi="Calibri"/>
                <w:b w:val="0"/>
                <w:i w:val="0"/>
                <w:color w:val="101828"/>
                <w:sz w:val="16"/>
              </w:rPr>
              <w:t>Managed platform cost scales with usage</w:t>
            </w:r>
          </w:p>
        </w:tc>
      </w:tr>
    </w:tbl>
    <w:p>
      <w:pPr>
        <w:spacing w:after="80"/>
      </w:pPr>
    </w:p>
    <w:p>
      <w:pPr>
        <w:spacing w:before="140" w:after="180"/>
        <w:ind w:left="144"/>
        <w:shd w:val="clear" w:color="auto" w:fill="FEF3C7"/>
        <w:pBdr>
          <w:left w:val="single" w:sz="18" w:space="6" w:color="FBBF24"/>
        </w:pBdr>
      </w:pPr>
      <w:r>
        <w:rPr>
          <w:rFonts w:ascii="Calibri" w:hAnsi="Calibri"/>
          <w:b/>
          <w:color w:val="FBBF24"/>
          <w:sz w:val="19"/>
        </w:rPr>
        <w:t xml:space="preserve">No serverless functions on the money path.  </w:t>
      </w:r>
      <w:r>
        <w:rPr>
          <w:rFonts w:ascii="Calibri" w:hAnsi="Calibri"/>
          <w:b w:val="0"/>
          <w:i w:val="0"/>
          <w:color w:val="0B1F3A"/>
          <w:sz w:val="19"/>
        </w:rPr>
        <w:t>A 10,000-member payout cycle means 10,000 units of work with a hard time constraint. Serverless function time limits, cold starts, and concurrency caps are a poor fit for long-running, retryable, auditable financial processing. The API and the workers should run as long-lived processes. Serverless may be acceptable for a stateless public marketing page, and nowhere else.</w:t>
      </w:r>
    </w:p>
    <w:p>
      <w:pPr>
        <w:pStyle w:val="Heading2"/>
      </w:pPr>
      <w:r>
        <w:rPr>
          <w:rFonts w:ascii="Calibri" w:hAnsi="Calibri"/>
          <w:b/>
          <w:i w:val="0"/>
          <w:color w:val="146EF5"/>
          <w:sz w:val="29"/>
        </w:rPr>
        <w:t>20.2 Environments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Environment</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Purpose</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Data</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Payment provider</w:t>
            </w:r>
          </w:p>
        </w:tc>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Access</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local</w:t>
            </w:r>
          </w:p>
        </w:tc>
        <w:tc>
          <w:tcPr>
            <w:tcW w:type="dxa" w:w="2736"/>
            <w:tcMar>
              <w:top w:w="60" w:type="dxa"/>
              <w:start w:w="110" w:type="dxa"/>
              <w:bottom w:w="60" w:type="dxa"/>
              <w:end w:w="110" w:type="dxa"/>
            </w:tcMar>
          </w:tcPr>
          <w:p>
            <w:pPr>
              <w:spacing w:after="0"/>
            </w:pPr>
            <w:r/>
            <w:r>
              <w:rPr>
                <w:rFonts w:ascii="Calibri" w:hAnsi="Calibri"/>
                <w:b w:val="0"/>
                <w:i w:val="0"/>
                <w:color w:val="101828"/>
                <w:sz w:val="16"/>
              </w:rPr>
              <w:t>Day-to-day development</w:t>
            </w:r>
          </w:p>
        </w:tc>
        <w:tc>
          <w:tcPr>
            <w:tcW w:type="dxa" w:w="2160"/>
            <w:tcMar>
              <w:top w:w="60" w:type="dxa"/>
              <w:start w:w="110" w:type="dxa"/>
              <w:bottom w:w="60" w:type="dxa"/>
              <w:end w:w="110" w:type="dxa"/>
            </w:tcMar>
          </w:tcPr>
          <w:p>
            <w:pPr>
              <w:spacing w:after="0"/>
            </w:pPr>
            <w:r/>
            <w:r>
              <w:rPr>
                <w:rFonts w:ascii="Calibri" w:hAnsi="Calibri"/>
                <w:b w:val="0"/>
                <w:i w:val="0"/>
                <w:color w:val="101828"/>
                <w:sz w:val="16"/>
              </w:rPr>
              <w:t>Seeded synthetic</w:t>
            </w:r>
          </w:p>
        </w:tc>
        <w:tc>
          <w:tcPr>
            <w:tcW w:type="dxa" w:w="2304"/>
            <w:tcMar>
              <w:top w:w="60" w:type="dxa"/>
              <w:start w:w="110" w:type="dxa"/>
              <w:bottom w:w="60" w:type="dxa"/>
              <w:end w:w="110" w:type="dxa"/>
            </w:tcMar>
          </w:tcPr>
          <w:p>
            <w:pPr>
              <w:spacing w:after="0"/>
            </w:pPr>
            <w:r/>
            <w:r>
              <w:rPr>
                <w:rFonts w:ascii="Calibri" w:hAnsi="Calibri"/>
                <w:b w:val="0"/>
                <w:i w:val="0"/>
                <w:color w:val="101828"/>
                <w:sz w:val="16"/>
              </w:rPr>
              <w:t>Mock</w:t>
            </w:r>
          </w:p>
        </w:tc>
        <w:tc>
          <w:tcPr>
            <w:tcW w:type="dxa" w:w="1872"/>
            <w:tcMar>
              <w:top w:w="60" w:type="dxa"/>
              <w:start w:w="110" w:type="dxa"/>
              <w:bottom w:w="60" w:type="dxa"/>
              <w:end w:w="110" w:type="dxa"/>
            </w:tcMar>
          </w:tcPr>
          <w:p>
            <w:pPr>
              <w:spacing w:after="0"/>
            </w:pPr>
            <w:r/>
            <w:r>
              <w:rPr>
                <w:rFonts w:ascii="Calibri" w:hAnsi="Calibri"/>
                <w:b w:val="0"/>
                <w:i w:val="0"/>
                <w:color w:val="101828"/>
                <w:sz w:val="16"/>
              </w:rPr>
              <w:t>Developers</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ci</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Automated verification</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Seeded per run</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Mock</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Automated</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staging</w:t>
            </w:r>
          </w:p>
        </w:tc>
        <w:tc>
          <w:tcPr>
            <w:tcW w:type="dxa" w:w="2736"/>
            <w:tcMar>
              <w:top w:w="60" w:type="dxa"/>
              <w:start w:w="110" w:type="dxa"/>
              <w:bottom w:w="60" w:type="dxa"/>
              <w:end w:w="110" w:type="dxa"/>
            </w:tcMar>
          </w:tcPr>
          <w:p>
            <w:pPr>
              <w:spacing w:after="0"/>
            </w:pPr>
            <w:r/>
            <w:r>
              <w:rPr>
                <w:rFonts w:ascii="Calibri" w:hAnsi="Calibri"/>
                <w:b w:val="0"/>
                <w:i w:val="0"/>
                <w:color w:val="101828"/>
                <w:sz w:val="16"/>
              </w:rPr>
              <w:t>Integration, migration rehearsal, load tests</w:t>
            </w:r>
          </w:p>
        </w:tc>
        <w:tc>
          <w:tcPr>
            <w:tcW w:type="dxa" w:w="2160"/>
            <w:tcMar>
              <w:top w:w="60" w:type="dxa"/>
              <w:start w:w="110" w:type="dxa"/>
              <w:bottom w:w="60" w:type="dxa"/>
              <w:end w:w="110" w:type="dxa"/>
            </w:tcMar>
          </w:tcPr>
          <w:p>
            <w:pPr>
              <w:spacing w:after="0"/>
            </w:pPr>
            <w:r/>
            <w:r>
              <w:rPr>
                <w:rFonts w:ascii="Calibri" w:hAnsi="Calibri"/>
                <w:b w:val="0"/>
                <w:i w:val="0"/>
                <w:color w:val="101828"/>
                <w:sz w:val="16"/>
              </w:rPr>
              <w:t>Synthetic at realistic scale</w:t>
            </w:r>
          </w:p>
        </w:tc>
        <w:tc>
          <w:tcPr>
            <w:tcW w:type="dxa" w:w="2304"/>
            <w:tcMar>
              <w:top w:w="60" w:type="dxa"/>
              <w:start w:w="110" w:type="dxa"/>
              <w:bottom w:w="60" w:type="dxa"/>
              <w:end w:w="110" w:type="dxa"/>
            </w:tcMar>
          </w:tcPr>
          <w:p>
            <w:pPr>
              <w:spacing w:after="0"/>
            </w:pPr>
            <w:r/>
            <w:r>
              <w:rPr>
                <w:rFonts w:ascii="Calibri" w:hAnsi="Calibri"/>
                <w:b w:val="0"/>
                <w:i w:val="0"/>
                <w:color w:val="101828"/>
                <w:sz w:val="16"/>
              </w:rPr>
              <w:t>Provider sandbox if available, else mock</w:t>
            </w:r>
          </w:p>
        </w:tc>
        <w:tc>
          <w:tcPr>
            <w:tcW w:type="dxa" w:w="1872"/>
            <w:tcMar>
              <w:top w:w="60" w:type="dxa"/>
              <w:start w:w="110" w:type="dxa"/>
              <w:bottom w:w="60" w:type="dxa"/>
              <w:end w:w="110" w:type="dxa"/>
            </w:tcMar>
          </w:tcPr>
          <w:p>
            <w:pPr>
              <w:spacing w:after="0"/>
            </w:pPr>
            <w:r/>
            <w:r>
              <w:rPr>
                <w:rFonts w:ascii="Calibri" w:hAnsi="Calibri"/>
                <w:b w:val="0"/>
                <w:i w:val="0"/>
                <w:color w:val="101828"/>
                <w:sz w:val="16"/>
              </w:rPr>
              <w:t>Developers, QA</w:t>
            </w:r>
          </w:p>
        </w:tc>
      </w:tr>
      <w:tr>
        <w:trPr>
          <w:cantSplit/>
        </w:trPr>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pre-production</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Final rehearsal of deploys and processes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Production-like</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Provider production, staff accounts only</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Named staff, audited</w:t>
            </w:r>
          </w:p>
        </w:tc>
      </w:tr>
      <w:tr>
        <w:trPr>
          <w:cantSplit/>
        </w:trPr>
        <w:tc>
          <w:tcPr>
            <w:tcW w:type="dxa" w:w="1728"/>
            <w:tcMar>
              <w:top w:w="60" w:type="dxa"/>
              <w:start w:w="110" w:type="dxa"/>
              <w:bottom w:w="60" w:type="dxa"/>
              <w:end w:w="110" w:type="dxa"/>
            </w:tcMar>
          </w:tcPr>
          <w:p>
            <w:pPr>
              <w:spacing w:after="0"/>
            </w:pPr>
            <w:r/>
            <w:r>
              <w:rPr>
                <w:rFonts w:ascii="Calibri" w:hAnsi="Calibri"/>
                <w:b w:val="0"/>
                <w:i w:val="0"/>
                <w:color w:val="101828"/>
                <w:sz w:val="16"/>
              </w:rPr>
              <w:t>production</w:t>
            </w:r>
          </w:p>
        </w:tc>
        <w:tc>
          <w:tcPr>
            <w:tcW w:type="dxa" w:w="2736"/>
            <w:tcMar>
              <w:top w:w="60" w:type="dxa"/>
              <w:start w:w="110" w:type="dxa"/>
              <w:bottom w:w="60" w:type="dxa"/>
              <w:end w:w="110" w:type="dxa"/>
            </w:tcMar>
          </w:tcPr>
          <w:p>
            <w:pPr>
              <w:spacing w:after="0"/>
            </w:pPr>
            <w:r/>
            <w:r>
              <w:rPr>
                <w:rFonts w:ascii="Calibri" w:hAnsi="Calibri"/>
                <w:b w:val="0"/>
                <w:i w:val="0"/>
                <w:color w:val="101828"/>
                <w:sz w:val="16"/>
              </w:rPr>
              <w:t>Members</w:t>
            </w:r>
          </w:p>
        </w:tc>
        <w:tc>
          <w:tcPr>
            <w:tcW w:type="dxa" w:w="2160"/>
            <w:tcMar>
              <w:top w:w="60" w:type="dxa"/>
              <w:start w:w="110" w:type="dxa"/>
              <w:bottom w:w="60" w:type="dxa"/>
              <w:end w:w="110" w:type="dxa"/>
            </w:tcMar>
          </w:tcPr>
          <w:p>
            <w:pPr>
              <w:spacing w:after="0"/>
            </w:pPr>
            <w:r/>
            <w:r>
              <w:rPr>
                <w:rFonts w:ascii="Calibri" w:hAnsi="Calibri"/>
                <w:b w:val="0"/>
                <w:i w:val="0"/>
                <w:color w:val="101828"/>
                <w:sz w:val="16"/>
              </w:rPr>
              <w:t>Real</w:t>
            </w:r>
          </w:p>
        </w:tc>
        <w:tc>
          <w:tcPr>
            <w:tcW w:type="dxa" w:w="2304"/>
            <w:tcMar>
              <w:top w:w="60" w:type="dxa"/>
              <w:start w:w="110" w:type="dxa"/>
              <w:bottom w:w="60" w:type="dxa"/>
              <w:end w:w="110" w:type="dxa"/>
            </w:tcMar>
          </w:tcPr>
          <w:p>
            <w:pPr>
              <w:spacing w:after="0"/>
            </w:pPr>
            <w:r/>
            <w:r>
              <w:rPr>
                <w:rFonts w:ascii="Calibri" w:hAnsi="Calibri"/>
                <w:b w:val="0"/>
                <w:i w:val="0"/>
                <w:color w:val="101828"/>
                <w:sz w:val="16"/>
              </w:rPr>
              <w:t>Provider production</w:t>
            </w:r>
          </w:p>
        </w:tc>
        <w:tc>
          <w:tcPr>
            <w:tcW w:type="dxa" w:w="1872"/>
            <w:tcMar>
              <w:top w:w="60" w:type="dxa"/>
              <w:start w:w="110" w:type="dxa"/>
              <w:bottom w:w="60" w:type="dxa"/>
              <w:end w:w="110" w:type="dxa"/>
            </w:tcMar>
          </w:tcPr>
          <w:p>
            <w:pPr>
              <w:spacing w:after="0"/>
            </w:pPr>
            <w:r/>
            <w:r>
              <w:rPr>
                <w:rFonts w:ascii="Calibri" w:hAnsi="Calibri"/>
                <w:b w:val="0"/>
                <w:i w:val="0"/>
                <w:color w:val="101828"/>
                <w:sz w:val="16"/>
              </w:rPr>
              <w:t>Break-glass, time-boxed, logged</w:t>
            </w:r>
          </w:p>
        </w:tc>
      </w:tr>
    </w:tbl>
    <w:p>
      <w:pPr>
        <w:spacing w:after="80"/>
      </w:pPr>
    </w:p>
    <w:p>
      <w:pPr>
        <w:pStyle w:val="ListBullet"/>
        <w:spacing w:after="60"/>
        <w:ind w:left="360"/>
      </w:pPr>
      <w:r>
        <w:rPr>
          <w:rFonts w:ascii="Calibri" w:hAnsi="Calibri"/>
          <w:b w:val="0"/>
          <w:i w:val="0"/>
          <w:color w:val="101828"/>
          <w:sz w:val="21"/>
        </w:rPr>
        <w:t>Environments are identical in shape. A deploy that works in staging works in production, because there is nothing to configure differently.</w:t>
      </w:r>
    </w:p>
    <w:p>
      <w:pPr>
        <w:pStyle w:val="ListBullet"/>
        <w:spacing w:after="60"/>
        <w:ind w:left="360"/>
      </w:pPr>
      <w:r>
        <w:rPr>
          <w:rFonts w:ascii="Calibri" w:hAnsi="Calibri"/>
          <w:b/>
          <w:color w:val="101828"/>
          <w:sz w:val="21"/>
        </w:rPr>
        <w:t>No production data is ever copied downward.</w:t>
      </w:r>
      <w:r>
        <w:rPr>
          <w:rFonts w:ascii="Calibri" w:hAnsi="Calibri"/>
          <w:b w:val="0"/>
          <w:i w:val="0"/>
          <w:color w:val="101828"/>
          <w:sz w:val="21"/>
        </w:rPr>
        <w:t xml:space="preserve"> De-identified or synthetic data is used instead, and de-identification is verified rather than assumed.</w:t>
      </w:r>
    </w:p>
    <w:p>
      <w:pPr>
        <w:pStyle w:val="ListBullet"/>
        <w:spacing w:after="60"/>
        <w:ind w:left="360"/>
      </w:pPr>
      <w:r>
        <w:rPr>
          <w:rFonts w:ascii="Calibri" w:hAnsi="Calibri"/>
          <w:b w:val="0"/>
          <w:i w:val="0"/>
          <w:color w:val="101828"/>
          <w:sz w:val="21"/>
        </w:rPr>
        <w:t>Secrets are per-environment and never shared. A development credential cannot touch production, and a production credential cannot be read from a development machine.</w:t>
      </w:r>
    </w:p>
    <w:p>
      <w:pPr>
        <w:pStyle w:val="Heading2"/>
      </w:pPr>
      <w:r>
        <w:rPr>
          <w:rFonts w:ascii="Calibri" w:hAnsi="Calibri"/>
          <w:b/>
          <w:i w:val="0"/>
          <w:color w:val="146EF5"/>
          <w:sz w:val="29"/>
        </w:rPr>
        <w:t>20.3 Repository and branching</w:t>
      </w:r>
    </w:p>
    <w:p>
      <w:pPr>
        <w:spacing w:before="0" w:after="0" w:line="240" w:lineRule="auto"/>
        <w:ind w:left="230"/>
        <w:shd w:val="clear" w:color="auto" w:fill="F7F9FC"/>
        <w:pBdr>
          <w:left w:val="single" w:sz="4" w:space="6" w:color="D0D5DD"/>
        </w:pBdr>
      </w:pPr>
      <w:r>
        <w:rPr>
          <w:rFonts w:ascii="Consolas" w:hAnsi="Consolas"/>
          <w:color w:val="0B1F3A"/>
          <w:sz w:val="15"/>
        </w:rPr>
        <w:t xml:space="preserve">  main        ──●──●──●──●──●──●──●   protected, always releasable</w:t>
      </w:r>
    </w:p>
    <w:p>
      <w:pPr>
        <w:spacing w:before="0" w:after="0" w:line="240" w:lineRule="auto"/>
        <w:ind w:left="230"/>
        <w:shd w:val="clear" w:color="auto" w:fill="F7F9FC"/>
        <w:pBdr>
          <w:left w:val="single" w:sz="4" w:space="6" w:color="D0D5DD"/>
        </w:pBdr>
      </w:pPr>
      <w:r>
        <w:rPr>
          <w:rFonts w:ascii="Consolas" w:hAnsi="Consolas"/>
          <w:color w:val="0B1F3A"/>
          <w:sz w:val="15"/>
        </w:rPr>
        <w:t xml:space="preserve">                ╲        ╱</w:t>
      </w:r>
    </w:p>
    <w:p>
      <w:pPr>
        <w:spacing w:before="0" w:after="0" w:line="240" w:lineRule="auto"/>
        <w:ind w:left="230"/>
        <w:shd w:val="clear" w:color="auto" w:fill="F7F9FC"/>
        <w:pBdr>
          <w:left w:val="single" w:sz="4" w:space="6" w:color="D0D5DD"/>
        </w:pBdr>
      </w:pPr>
      <w:r>
        <w:rPr>
          <w:rFonts w:ascii="Consolas" w:hAnsi="Consolas"/>
          <w:color w:val="0B1F3A"/>
          <w:sz w:val="15"/>
        </w:rPr>
        <w:t xml:space="preserve">  feature/x     ●──●──●──●──●</w:t>
      </w:r>
    </w:p>
    <w:p>
      <w:pPr>
        <w:spacing w:before="0" w:after="0" w:line="240" w:lineRule="auto"/>
        <w:ind w:left="230"/>
        <w:shd w:val="clear" w:color="auto" w:fill="F7F9FC"/>
        <w:pBdr>
          <w:left w:val="single" w:sz="4" w:space="6" w:color="D0D5DD"/>
        </w:pBdr>
      </w:pPr>
      <w:r>
        <w:rPr>
          <w:rFonts w:ascii="Consolas" w:hAnsi="Consolas"/>
          <w:color w:val="0B1F3A"/>
          <w:sz w:val="15"/>
        </w:rPr>
        <w:t xml:space="preserve">  release/x        ●──●</w:t>
      </w:r>
    </w:p>
    <w:p>
      <w:pPr>
        <w:spacing w:before="0" w:after="0" w:line="240" w:lineRule="auto"/>
        <w:ind w:left="230"/>
        <w:shd w:val="clear" w:color="auto" w:fill="F7F9FC"/>
        <w:pBdr>
          <w:left w:val="single" w:sz="4" w:space="6" w:color="D0D5DD"/>
        </w:pBdr>
      </w:pPr>
      <w:r>
        <w:rPr>
          <w:rFonts w:ascii="Consolas" w:hAnsi="Consolas"/>
          <w:color w:val="0B1F3A"/>
          <w:sz w:val="15"/>
        </w:rPr>
        <w:t xml:space="preserve">  hotfix/urgent          ●──●</w:t>
      </w:r>
    </w:p>
    <w:p>
      <w:pPr>
        <w:pStyle w:val="ListBullet"/>
        <w:spacing w:after="60"/>
        <w:ind w:left="360"/>
      </w:pPr>
      <w:r>
        <w:rPr>
          <w:rFonts w:ascii="Consolas" w:hAnsi="Consolas"/>
          <w:color w:val="146EF5"/>
          <w:sz w:val="21"/>
        </w:rPr>
        <w:t>main</w:t>
      </w:r>
      <w:r>
        <w:rPr>
          <w:rFonts w:ascii="Calibri" w:hAnsi="Calibri"/>
          <w:b w:val="0"/>
          <w:i w:val="0"/>
          <w:color w:val="101828"/>
          <w:sz w:val="21"/>
        </w:rPr>
        <w:t xml:space="preserve"> is protected: no direct push, and it must pass the full CI gate including tests, lint, type check, and security scan.</w:t>
      </w:r>
    </w:p>
    <w:p>
      <w:pPr>
        <w:pStyle w:val="ListBullet"/>
        <w:spacing w:after="60"/>
        <w:ind w:left="360"/>
      </w:pPr>
      <w:r>
        <w:rPr>
          <w:rFonts w:ascii="Calibri" w:hAnsi="Calibri"/>
          <w:b w:val="0"/>
          <w:i w:val="0"/>
          <w:color w:val="101828"/>
          <w:sz w:val="21"/>
        </w:rPr>
        <w:t>Short-lived branches. A branch older than a week is a review problem and a merge risk.</w:t>
      </w:r>
    </w:p>
    <w:p>
      <w:pPr>
        <w:pStyle w:val="ListBullet"/>
        <w:spacing w:after="60"/>
        <w:ind w:left="360"/>
      </w:pPr>
      <w:r>
        <w:rPr>
          <w:rFonts w:ascii="Calibri" w:hAnsi="Calibri"/>
          <w:b w:val="0"/>
          <w:i w:val="0"/>
          <w:color w:val="101828"/>
          <w:sz w:val="21"/>
        </w:rPr>
        <w:t>Pull requests require one approving reviewer, and a second for anything touching money, authorisation, or the schema.</w:t>
      </w:r>
    </w:p>
    <w:p>
      <w:pPr>
        <w:pStyle w:val="ListBullet"/>
        <w:spacing w:after="60"/>
        <w:ind w:left="360"/>
      </w:pPr>
      <w:r>
        <w:rPr>
          <w:rFonts w:ascii="Calibri" w:hAnsi="Calibri"/>
          <w:b/>
          <w:color w:val="101828"/>
          <w:sz w:val="21"/>
        </w:rPr>
        <w:t>Squash merge with a conventional commit message</w:t>
      </w:r>
      <w:r>
        <w:rPr>
          <w:rFonts w:ascii="Calibri" w:hAnsi="Calibri"/>
          <w:b w:val="0"/>
          <w:i w:val="0"/>
          <w:color w:val="101828"/>
          <w:sz w:val="21"/>
        </w:rPr>
        <w:t>, so history is readable and releases are derivable from it.</w:t>
      </w:r>
    </w:p>
    <w:p>
      <w:pPr>
        <w:pStyle w:val="ListBullet"/>
        <w:spacing w:after="60"/>
        <w:ind w:left="360"/>
      </w:pPr>
      <w:r>
        <w:rPr>
          <w:rFonts w:ascii="Consolas" w:hAnsi="Consolas"/>
          <w:color w:val="146EF5"/>
          <w:sz w:val="21"/>
        </w:rPr>
        <w:t>hotfix/urgent</w:t>
      </w:r>
      <w:r>
        <w:rPr>
          <w:rFonts w:ascii="Calibri" w:hAnsi="Calibri"/>
          <w:b w:val="0"/>
          <w:i w:val="0"/>
          <w:color w:val="101828"/>
          <w:sz w:val="21"/>
        </w:rPr>
        <w:t xml:space="preserve"> exists for production incidents, with a mandatory retrospective patch to </w:t>
      </w:r>
      <w:r>
        <w:rPr>
          <w:rFonts w:ascii="Consolas" w:hAnsi="Consolas"/>
          <w:color w:val="146EF5"/>
          <w:sz w:val="21"/>
        </w:rPr>
        <w:t>main</w:t>
      </w:r>
      <w:r>
        <w:rPr>
          <w:rFonts w:ascii="Calibri" w:hAnsi="Calibri"/>
          <w:b w:val="0"/>
          <w:i w:val="0"/>
          <w:color w:val="101828"/>
          <w:sz w:val="21"/>
        </w:rPr>
        <w:t xml:space="preserve"> afterwards.</w:t>
      </w:r>
    </w:p>
    <w:p>
      <w:pPr>
        <w:pStyle w:val="Heading2"/>
      </w:pPr>
      <w:r>
        <w:rPr>
          <w:rFonts w:ascii="Calibri" w:hAnsi="Calibri"/>
          <w:b/>
          <w:i w:val="0"/>
          <w:color w:val="146EF5"/>
          <w:sz w:val="29"/>
        </w:rPr>
        <w:t>20.4 CI/CD pipeline</w:t>
      </w:r>
    </w:p>
    <w:p>
      <w:pPr>
        <w:spacing w:before="0" w:after="0" w:line="240" w:lineRule="auto"/>
        <w:ind w:left="230"/>
        <w:shd w:val="clear" w:color="auto" w:fill="F7F9FC"/>
        <w:pBdr>
          <w:left w:val="single" w:sz="4" w:space="6" w:color="D0D5DD"/>
        </w:pBdr>
      </w:pPr>
      <w:r>
        <w:rPr>
          <w:rFonts w:ascii="Consolas" w:hAnsi="Consolas"/>
          <w:color w:val="0B1F3A"/>
          <w:sz w:val="15"/>
        </w:rPr>
        <w:t xml:space="preserve">  on push / pull request</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install (lockfile enforced)</w:t>
      </w:r>
    </w:p>
    <w:p>
      <w:pPr>
        <w:spacing w:before="0" w:after="0" w:line="240" w:lineRule="auto"/>
        <w:ind w:left="230"/>
        <w:shd w:val="clear" w:color="auto" w:fill="F7F9FC"/>
        <w:pBdr>
          <w:left w:val="single" w:sz="4" w:space="6" w:color="D0D5DD"/>
        </w:pBdr>
      </w:pPr>
      <w:r>
        <w:rPr>
          <w:rFonts w:ascii="Consolas" w:hAnsi="Consolas"/>
          <w:color w:val="0B1F3A"/>
          <w:sz w:val="15"/>
        </w:rPr>
        <w:t xml:space="preserve">      ├─ type check + lint + format check</w:t>
      </w:r>
    </w:p>
    <w:p>
      <w:pPr>
        <w:spacing w:before="0" w:after="0" w:line="240" w:lineRule="auto"/>
        <w:ind w:left="230"/>
        <w:shd w:val="clear" w:color="auto" w:fill="F7F9FC"/>
        <w:pBdr>
          <w:left w:val="single" w:sz="4" w:space="6" w:color="D0D5DD"/>
        </w:pBdr>
      </w:pPr>
      <w:r>
        <w:rPr>
          <w:rFonts w:ascii="Consolas" w:hAnsi="Consolas"/>
          <w:color w:val="0B1F3A"/>
          <w:sz w:val="15"/>
        </w:rPr>
        <w:t xml:space="preserve">      ├─ unit + property tests          ─── fail ──▶ STOP</w:t>
      </w:r>
    </w:p>
    <w:p>
      <w:pPr>
        <w:spacing w:before="0" w:after="0" w:line="240" w:lineRule="auto"/>
        <w:ind w:left="230"/>
        <w:shd w:val="clear" w:color="auto" w:fill="F7F9FC"/>
        <w:pBdr>
          <w:left w:val="single" w:sz="4" w:space="6" w:color="D0D5DD"/>
        </w:pBdr>
      </w:pPr>
      <w:r>
        <w:rPr>
          <w:rFonts w:ascii="Consolas" w:hAnsi="Consolas"/>
          <w:color w:val="0B1F3A"/>
          <w:sz w:val="15"/>
        </w:rPr>
        <w:t xml:space="preserve">      ├─ integration tests (PostgreSQL) ─── fail ──▶ STOP</w:t>
      </w:r>
    </w:p>
    <w:p>
      <w:pPr>
        <w:spacing w:before="0" w:after="0" w:line="240" w:lineRule="auto"/>
        <w:ind w:left="230"/>
        <w:shd w:val="clear" w:color="auto" w:fill="F7F9FC"/>
        <w:pBdr>
          <w:left w:val="single" w:sz="4" w:space="6" w:color="D0D5DD"/>
        </w:pBdr>
      </w:pPr>
      <w:r>
        <w:rPr>
          <w:rFonts w:ascii="Consolas" w:hAnsi="Consolas"/>
          <w:color w:val="0B1F3A"/>
          <w:sz w:val="15"/>
        </w:rPr>
        <w:t xml:space="preserve">      ├─ contract tests (mock provider) ─── fail ──▶ STOP</w:t>
      </w:r>
    </w:p>
    <w:p>
      <w:pPr>
        <w:spacing w:before="0" w:after="0" w:line="240" w:lineRule="auto"/>
        <w:ind w:left="230"/>
        <w:shd w:val="clear" w:color="auto" w:fill="F7F9FC"/>
        <w:pBdr>
          <w:left w:val="single" w:sz="4" w:space="6" w:color="D0D5DD"/>
        </w:pBdr>
      </w:pPr>
      <w:r>
        <w:rPr>
          <w:rFonts w:ascii="Consolas" w:hAnsi="Consolas"/>
          <w:color w:val="0B1F3A"/>
          <w:sz w:val="15"/>
        </w:rPr>
        <w:t xml:space="preserve">      ├─ security scan + secret scan     ─── fail ──▶ STOP</w:t>
      </w:r>
    </w:p>
    <w:p>
      <w:pPr>
        <w:spacing w:before="0" w:after="0" w:line="240" w:lineRule="auto"/>
        <w:ind w:left="230"/>
        <w:shd w:val="clear" w:color="auto" w:fill="F7F9FC"/>
        <w:pBdr>
          <w:left w:val="single" w:sz="4" w:space="6" w:color="D0D5DD"/>
        </w:pBdr>
      </w:pPr>
      <w:r>
        <w:rPr>
          <w:rFonts w:ascii="Consolas" w:hAnsi="Consolas"/>
          <w:color w:val="0B1F3A"/>
          <w:sz w:val="15"/>
        </w:rPr>
        <w:t xml:space="preserve">      ├─ build all services</w:t>
      </w:r>
    </w:p>
    <w:p>
      <w:pPr>
        <w:spacing w:before="0" w:after="0" w:line="240" w:lineRule="auto"/>
        <w:ind w:left="230"/>
        <w:shd w:val="clear" w:color="auto" w:fill="F7F9FC"/>
        <w:pBdr>
          <w:left w:val="single" w:sz="4" w:space="6" w:color="D0D5DD"/>
        </w:pBdr>
      </w:pPr>
      <w:r>
        <w:rPr>
          <w:rFonts w:ascii="Consolas" w:hAnsi="Consolas"/>
          <w:color w:val="0B1F3A"/>
          <w:sz w:val="15"/>
        </w:rPr>
        <w:t xml:space="preserve">      ├─ bundle size check              ─── fail ──▶ STOP</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on main: deploy staging ──▶ smoke tests ──▶ manual approval ──▶ deploy production</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(canary 5% ──▶ monitor ──▶ full rollout)</w:t>
      </w:r>
    </w:p>
    <w:p>
      <w:pPr>
        <w:pStyle w:val="Heading3"/>
      </w:pPr>
      <w:r>
        <w:rPr>
          <w:rFonts w:ascii="Calibri" w:hAnsi="Calibri"/>
          <w:b/>
          <w:i w:val="0"/>
          <w:color w:val="0B1F3A"/>
          <w:sz w:val="24"/>
        </w:rPr>
        <w:t>20.4.1 Deployment strategy</w:t>
      </w:r>
    </w:p>
    <w:p>
      <w:pPr>
        <w:pStyle w:val="ListBullet"/>
        <w:spacing w:after="60"/>
        <w:ind w:left="360"/>
      </w:pPr>
      <w:r>
        <w:rPr>
          <w:rFonts w:ascii="Calibri" w:hAnsi="Calibri"/>
          <w:b w:val="0"/>
          <w:i w:val="0"/>
          <w:color w:val="101828"/>
          <w:sz w:val="21"/>
        </w:rPr>
        <w:t>Rolling deployment with zero downtime. A member is never told the app is down because a deploy is happening.</w:t>
      </w:r>
    </w:p>
    <w:p>
      <w:pPr>
        <w:pStyle w:val="ListBullet"/>
        <w:spacing w:after="60"/>
        <w:ind w:left="360"/>
      </w:pPr>
      <w:r>
        <w:rPr>
          <w:rFonts w:ascii="Calibri" w:hAnsi="Calibri"/>
          <w:b/>
          <w:color w:val="101828"/>
          <w:sz w:val="21"/>
        </w:rPr>
        <w:t>Database migrations run separately and safely</w:t>
      </w:r>
      <w:r>
        <w:rPr>
          <w:rFonts w:ascii="Calibri" w:hAnsi="Calibri"/>
          <w:b w:val="0"/>
          <w:i w:val="0"/>
          <w:color w:val="101828"/>
          <w:sz w:val="21"/>
        </w:rPr>
        <w:t xml:space="preserve"> — expand first, migrate second, contract later. Never a destructive migration in the same deploy as the code that stops using the column.</w:t>
      </w:r>
    </w:p>
    <w:p>
      <w:pPr>
        <w:pStyle w:val="ListBullet"/>
        <w:spacing w:after="60"/>
        <w:ind w:left="360"/>
      </w:pPr>
      <w:r>
        <w:rPr>
          <w:rFonts w:ascii="Calibri" w:hAnsi="Calibri"/>
          <w:b/>
          <w:color w:val="101828"/>
          <w:sz w:val="21"/>
        </w:rPr>
        <w:t>Backward compatibility is mandatory during rollout.</w:t>
      </w:r>
      <w:r>
        <w:rPr>
          <w:rFonts w:ascii="Calibri" w:hAnsi="Calibri"/>
          <w:b w:val="0"/>
          <w:i w:val="0"/>
          <w:color w:val="101828"/>
          <w:sz w:val="21"/>
        </w:rPr>
        <w:t xml:space="preserve"> The previous version of the API must keep working while the new one rolls out, because two versions of the mobile app are in the wild simultaneously and cannot be updated atomically.</w:t>
      </w:r>
    </w:p>
    <w:p>
      <w:pPr>
        <w:pStyle w:val="ListBullet"/>
        <w:spacing w:after="60"/>
        <w:ind w:left="360"/>
      </w:pPr>
      <w:r>
        <w:rPr>
          <w:rFonts w:ascii="Calibri" w:hAnsi="Calibri"/>
          <w:b/>
          <w:color w:val="101828"/>
          <w:sz w:val="21"/>
        </w:rPr>
        <w:t>Feature flags</w:t>
      </w:r>
      <w:r>
        <w:rPr>
          <w:rFonts w:ascii="Calibri" w:hAnsi="Calibri"/>
          <w:b w:val="0"/>
          <w:i w:val="0"/>
          <w:color w:val="101828"/>
          <w:sz w:val="21"/>
        </w:rPr>
        <w:t xml:space="preserve"> for anything risky, with an audit trail of who set what and when. A flag without a removal date becomes permanent complexity.</w:t>
      </w:r>
    </w:p>
    <w:p>
      <w:pPr>
        <w:pStyle w:val="ListBullet"/>
        <w:spacing w:after="60"/>
        <w:ind w:left="360"/>
      </w:pPr>
      <w:r>
        <w:rPr>
          <w:rFonts w:ascii="Calibri" w:hAnsi="Calibri"/>
          <w:b/>
          <w:color w:val="101828"/>
          <w:sz w:val="21"/>
        </w:rPr>
        <w:t>Canary release</w:t>
      </w:r>
      <w:r>
        <w:rPr>
          <w:rFonts w:ascii="Calibri" w:hAnsi="Calibri"/>
          <w:b w:val="0"/>
          <w:i w:val="0"/>
          <w:color w:val="101828"/>
          <w:sz w:val="21"/>
        </w:rPr>
        <w:t xml:space="preserve"> at 5% of traffic with automated halt on an error-rate or latency breach, and an immediate kill switch.</w:t>
      </w:r>
    </w:p>
    <w:p>
      <w:pPr>
        <w:pStyle w:val="ListBullet"/>
        <w:spacing w:after="60"/>
        <w:ind w:left="360"/>
      </w:pPr>
      <w:r>
        <w:rPr>
          <w:rFonts w:ascii="Calibri" w:hAnsi="Calibri"/>
          <w:b/>
          <w:color w:val="101828"/>
          <w:sz w:val="21"/>
        </w:rPr>
        <w:t>Automatic rollback</w:t>
      </w:r>
      <w:r>
        <w:rPr>
          <w:rFonts w:ascii="Calibri" w:hAnsi="Calibri"/>
          <w:b w:val="0"/>
          <w:i w:val="0"/>
          <w:color w:val="101828"/>
          <w:sz w:val="21"/>
        </w:rPr>
        <w:t xml:space="preserve"> on a failed health check, with a database compatibility check first, because an automatic rollback that corrupts data is worse than an outage.</w:t>
      </w:r>
    </w:p>
    <w:p>
      <w:pPr>
        <w:spacing w:before="140" w:after="180"/>
        <w:ind w:left="144"/>
        <w:shd w:val="clear" w:color="auto" w:fill="EFF6FF"/>
        <w:pBdr>
          <w:left w:val="single" w:sz="18" w:space="6" w:color="146EF5"/>
        </w:pBdr>
      </w:pPr>
      <w:r>
        <w:rPr>
          <w:rFonts w:ascii="Calibri" w:hAnsi="Calibri"/>
          <w:b/>
          <w:color w:val="146EF5"/>
          <w:sz w:val="19"/>
        </w:rPr>
        <w:t xml:space="preserve">Mobile clients cannot be updated atomically.  </w:t>
      </w:r>
      <w:r>
        <w:rPr>
          <w:rFonts w:ascii="Calibri" w:hAnsi="Calibri"/>
          <w:b w:val="0"/>
          <w:i w:val="0"/>
          <w:color w:val="0B1F3A"/>
          <w:sz w:val="19"/>
        </w:rPr>
        <w:t>A server deploy must be compatible with every version of the app that is in the wild, and that window is weeks. In practice this means additive, backward-compatible API changes only: never remove a field, never change a type, and never change a response shape in a release. Deprecate first, remove months later.</w:t>
      </w:r>
    </w:p>
    <w:p>
      <w:pPr>
        <w:pStyle w:val="Heading2"/>
      </w:pPr>
      <w:r>
        <w:rPr>
          <w:rFonts w:ascii="Calibri" w:hAnsi="Calibri"/>
          <w:b/>
          <w:i w:val="0"/>
          <w:color w:val="146EF5"/>
          <w:sz w:val="29"/>
        </w:rPr>
        <w:t>20.5 Observability</w:t>
      </w:r>
    </w:p>
    <w:p>
      <w:pPr>
        <w:pStyle w:val="Heading3"/>
      </w:pPr>
      <w:r>
        <w:rPr>
          <w:rFonts w:ascii="Calibri" w:hAnsi="Calibri"/>
          <w:b/>
          <w:i w:val="0"/>
          <w:color w:val="0B1F3A"/>
          <w:sz w:val="24"/>
        </w:rPr>
        <w:t>20.5.1 Structured logging</w:t>
      </w:r>
    </w:p>
    <w:p>
      <w:r>
        <w:rPr>
          <w:rFonts w:ascii="Calibri" w:hAnsi="Calibri"/>
          <w:b w:val="0"/>
          <w:i w:val="0"/>
          <w:color w:val="101828"/>
          <w:sz w:val="21"/>
        </w:rPr>
        <w:t>Logs are structured JSON with a request ID propagated across services, and with the sensitive fields from section 14.6 redacted at the source rather than filtered later.</w:t>
      </w:r>
    </w:p>
    <w:p>
      <w:pPr>
        <w:spacing w:before="0" w:after="0" w:line="240" w:lineRule="auto"/>
        <w:ind w:left="230"/>
        <w:shd w:val="clear" w:color="auto" w:fill="F7F9FC"/>
        <w:pBdr>
          <w:left w:val="single" w:sz="4" w:space="6" w:color="D0D5DD"/>
        </w:pBdr>
      </w:pPr>
      <w:r>
        <w:rPr>
          <w:rFonts w:ascii="Consolas" w:hAnsi="Consolas"/>
          <w:color w:val="0B1F3A"/>
          <w:sz w:val="14"/>
        </w:rPr>
        <w:t xml:space="preserve">  { "ts": "2026-03-14T09:12:44.221Z",</w:t>
      </w:r>
    </w:p>
    <w:p>
      <w:pPr>
        <w:spacing w:before="0" w:after="0" w:line="240" w:lineRule="auto"/>
        <w:ind w:left="230"/>
        <w:shd w:val="clear" w:color="auto" w:fill="F7F9FC"/>
        <w:pBdr>
          <w:left w:val="single" w:sz="4" w:space="6" w:color="D0D5DD"/>
        </w:pBdr>
      </w:pPr>
      <w:r>
        <w:rPr>
          <w:rFonts w:ascii="Consolas" w:hAnsi="Consolas"/>
          <w:color w:val="0B1F3A"/>
          <w:sz w:val="14"/>
        </w:rPr>
        <w:t xml:space="preserve">    "level": "info",</w:t>
      </w:r>
    </w:p>
    <w:p>
      <w:pPr>
        <w:spacing w:before="0" w:after="0" w:line="240" w:lineRule="auto"/>
        <w:ind w:left="230"/>
        <w:shd w:val="clear" w:color="auto" w:fill="F7F9FC"/>
        <w:pBdr>
          <w:left w:val="single" w:sz="4" w:space="6" w:color="D0D5DD"/>
        </w:pBdr>
      </w:pPr>
      <w:r>
        <w:rPr>
          <w:rFonts w:ascii="Consolas" w:hAnsi="Consolas"/>
          <w:color w:val="0B1F3A"/>
          <w:sz w:val="14"/>
        </w:rPr>
        <w:t xml:space="preserve">    "svc": "payments",</w:t>
      </w:r>
    </w:p>
    <w:p>
      <w:pPr>
        <w:spacing w:before="0" w:after="0" w:line="240" w:lineRule="auto"/>
        <w:ind w:left="230"/>
        <w:shd w:val="clear" w:color="auto" w:fill="F7F9FC"/>
        <w:pBdr>
          <w:left w:val="single" w:sz="4" w:space="6" w:color="D0D5DD"/>
        </w:pBdr>
      </w:pPr>
      <w:r>
        <w:rPr>
          <w:rFonts w:ascii="Consolas" w:hAnsi="Consolas"/>
          <w:color w:val="0B1F3A"/>
          <w:sz w:val="14"/>
        </w:rPr>
        <w:t xml:space="preserve">    "reqId": "01HQ8...", "memberId": "uuid", "ajoId": "uuid",</w:t>
      </w:r>
    </w:p>
    <w:p>
      <w:pPr>
        <w:spacing w:before="0" w:after="0" w:line="240" w:lineRule="auto"/>
        <w:ind w:left="230"/>
        <w:shd w:val="clear" w:color="auto" w:fill="F7F9FC"/>
        <w:pBdr>
          <w:left w:val="single" w:sz="4" w:space="6" w:color="D0D5DD"/>
        </w:pBdr>
      </w:pPr>
      <w:r>
        <w:rPr>
          <w:rFonts w:ascii="Consolas" w:hAnsi="Consolas"/>
          <w:color w:val="0B1F3A"/>
          <w:sz w:val="14"/>
        </w:rPr>
        <w:t xml:space="preserve">    "event": "contribution.captured",</w:t>
      </w:r>
    </w:p>
    <w:p>
      <w:pPr>
        <w:spacing w:before="0" w:after="0" w:line="240" w:lineRule="auto"/>
        <w:ind w:left="230"/>
        <w:shd w:val="clear" w:color="auto" w:fill="F7F9FC"/>
        <w:pBdr>
          <w:left w:val="single" w:sz="4" w:space="6" w:color="D0D5DD"/>
        </w:pBdr>
      </w:pPr>
      <w:r>
        <w:rPr>
          <w:rFonts w:ascii="Consolas" w:hAnsi="Consolas"/>
          <w:color w:val="0B1F3A"/>
          <w:sz w:val="14"/>
        </w:rPr>
        <w:t xml:space="preserve">    "ref": "AJO-7f3a-R3-2c91", "amountKobo": 102000,</w:t>
      </w:r>
    </w:p>
    <w:p>
      <w:pPr>
        <w:spacing w:before="0" w:after="0" w:line="240" w:lineRule="auto"/>
        <w:ind w:left="230"/>
        <w:shd w:val="clear" w:color="auto" w:fill="F7F9FC"/>
        <w:pBdr>
          <w:left w:val="single" w:sz="4" w:space="6" w:color="D0D5DD"/>
        </w:pBdr>
      </w:pPr>
      <w:r>
        <w:rPr>
          <w:rFonts w:ascii="Consolas" w:hAnsi="Consolas"/>
          <w:color w:val="0B1F3A"/>
          <w:sz w:val="14"/>
        </w:rPr>
        <w:t xml:space="preserve">    "feeKobo": 2000, "providerRef": "pv_9x2...",</w:t>
      </w:r>
    </w:p>
    <w:p>
      <w:pPr>
        <w:spacing w:before="0" w:after="0" w:line="240" w:lineRule="auto"/>
        <w:ind w:left="230"/>
        <w:shd w:val="clear" w:color="auto" w:fill="F7F9FC"/>
        <w:pBdr>
          <w:left w:val="single" w:sz="4" w:space="6" w:color="D0D5DD"/>
        </w:pBdr>
      </w:pPr>
      <w:r>
        <w:rPr>
          <w:rFonts w:ascii="Consolas" w:hAnsi="Consolas"/>
          <w:color w:val="0B1F3A"/>
          <w:sz w:val="14"/>
        </w:rPr>
        <w:t xml:space="preserve">    "ms": 412 }</w:t>
      </w:r>
    </w:p>
    <w:p>
      <w:pPr>
        <w:pStyle w:val="Heading3"/>
      </w:pPr>
      <w:r>
        <w:rPr>
          <w:rFonts w:ascii="Calibri" w:hAnsi="Calibri"/>
          <w:b/>
          <w:i w:val="0"/>
          <w:color w:val="0B1F3A"/>
          <w:sz w:val="24"/>
        </w:rPr>
        <w:t>20.5.2 Metrics</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Domain</w:t>
            </w:r>
          </w:p>
        </w:tc>
        <w:tc>
          <w:tcPr>
            <w:tcW w:type="dxa" w:w="7344"/>
            <w:shd w:val="clear" w:color="auto" w:fill="0B1F3A"/>
            <w:tcMar>
              <w:top w:w="60" w:type="dxa"/>
              <w:start w:w="110" w:type="dxa"/>
              <w:bottom w:w="60" w:type="dxa"/>
              <w:end w:w="110" w:type="dxa"/>
            </w:tcMar>
          </w:tcPr>
          <w:p>
            <w:pPr>
              <w:spacing w:after="0"/>
            </w:pPr>
            <w:r/>
            <w:r>
              <w:rPr>
                <w:rFonts w:ascii="Calibri" w:hAnsi="Calibri"/>
                <w:b/>
                <w:i w:val="0"/>
                <w:color w:val="FFFFFF"/>
                <w:sz w:val="16"/>
              </w:rPr>
              <w:t>Metrics</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Golden signals</w:t>
            </w:r>
          </w:p>
        </w:tc>
        <w:tc>
          <w:tcPr>
            <w:tcW w:type="dxa" w:w="7344"/>
            <w:tcMar>
              <w:top w:w="60" w:type="dxa"/>
              <w:start w:w="110" w:type="dxa"/>
              <w:bottom w:w="60" w:type="dxa"/>
              <w:end w:w="110" w:type="dxa"/>
            </w:tcMar>
          </w:tcPr>
          <w:p>
            <w:pPr>
              <w:spacing w:after="0"/>
            </w:pPr>
            <w:r/>
            <w:r>
              <w:rPr>
                <w:rFonts w:ascii="Calibri" w:hAnsi="Calibri"/>
                <w:b w:val="0"/>
                <w:i w:val="0"/>
                <w:color w:val="101828"/>
                <w:sz w:val="16"/>
              </w:rPr>
              <w:t>Latency, traffic, errors, saturation — for every service</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Business</w:t>
            </w:r>
          </w:p>
        </w:tc>
        <w:tc>
          <w:tcPr>
            <w:tcW w:type="dxa" w:w="7344"/>
            <w:tcMar>
              <w:top w:w="60" w:type="dxa"/>
              <w:start w:w="110" w:type="dxa"/>
              <w:bottom w:w="60" w:type="dxa"/>
              <w:end w:w="110" w:type="dxa"/>
            </w:tcMar>
            <w:shd w:val="clear" w:color="auto" w:fill="F4F7FB"/>
          </w:tcPr>
          <w:p>
            <w:pPr>
              <w:spacing w:after="0"/>
            </w:pPr>
            <w:r/>
            <w:r>
              <w:rPr>
                <w:rFonts w:ascii="Calibri" w:hAnsi="Calibri"/>
                <w:b w:val="0"/>
                <w:i w:val="0"/>
                <w:color w:val="101828"/>
                <w:sz w:val="16"/>
              </w:rPr>
              <w:t>Contributions per minute, capture success rate, payouts released, Ajos funded, default rate</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Financial</w:t>
            </w:r>
          </w:p>
        </w:tc>
        <w:tc>
          <w:tcPr>
            <w:tcW w:type="dxa" w:w="7344"/>
            <w:tcMar>
              <w:top w:w="60" w:type="dxa"/>
              <w:start w:w="110" w:type="dxa"/>
              <w:bottom w:w="60" w:type="dxa"/>
              <w:end w:w="110" w:type="dxa"/>
            </w:tcMar>
          </w:tcPr>
          <w:p>
            <w:pPr>
              <w:spacing w:after="0"/>
            </w:pPr>
            <w:r/>
            <w:r>
              <w:rPr>
                <w:rFonts w:ascii="Calibri" w:hAnsi="Calibri"/>
                <w:b w:val="0"/>
                <w:i w:val="0"/>
                <w:color w:val="101828"/>
                <w:sz w:val="16"/>
              </w:rPr>
              <w:t>Escrow balance vs ledger sum (the invariant), unsettled payments, unmatched inbound, fee accrued</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Queue</w:t>
            </w:r>
          </w:p>
        </w:tc>
        <w:tc>
          <w:tcPr>
            <w:tcW w:type="dxa" w:w="7344"/>
            <w:tcMar>
              <w:top w:w="60" w:type="dxa"/>
              <w:start w:w="110" w:type="dxa"/>
              <w:bottom w:w="60" w:type="dxa"/>
              <w:end w:w="110" w:type="dxa"/>
            </w:tcMar>
            <w:shd w:val="clear" w:color="auto" w:fill="F4F7FB"/>
          </w:tcPr>
          <w:p>
            <w:pPr>
              <w:spacing w:after="0"/>
            </w:pPr>
            <w:r/>
            <w:r>
              <w:rPr>
                <w:rFonts w:ascii="Calibri" w:hAnsi="Calibri"/>
                <w:b w:val="0"/>
                <w:i w:val="0"/>
                <w:color w:val="101828"/>
                <w:sz w:val="16"/>
              </w:rPr>
              <w:t>Depth, oldest job age, processing rate, dead-letter count, retry rate</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Dependency</w:t>
            </w:r>
          </w:p>
        </w:tc>
        <w:tc>
          <w:tcPr>
            <w:tcW w:type="dxa" w:w="7344"/>
            <w:tcMar>
              <w:top w:w="60" w:type="dxa"/>
              <w:start w:w="110" w:type="dxa"/>
              <w:bottom w:w="60" w:type="dxa"/>
              <w:end w:w="110" w:type="dxa"/>
            </w:tcMar>
          </w:tcPr>
          <w:p>
            <w:pPr>
              <w:spacing w:after="0"/>
            </w:pPr>
            <w:r/>
            <w:r>
              <w:rPr>
                <w:rFonts w:ascii="Calibri" w:hAnsi="Calibri"/>
                <w:b w:val="0"/>
                <w:i w:val="0"/>
                <w:color w:val="101828"/>
                <w:sz w:val="16"/>
              </w:rPr>
              <w:t>Provider latency, error rate, and webhook delivery lag, per provider endpoint</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Reliability</w:t>
            </w:r>
          </w:p>
        </w:tc>
        <w:tc>
          <w:tcPr>
            <w:tcW w:type="dxa" w:w="7344"/>
            <w:tcMar>
              <w:top w:w="60" w:type="dxa"/>
              <w:start w:w="110" w:type="dxa"/>
              <w:bottom w:w="60" w:type="dxa"/>
              <w:end w:w="110" w:type="dxa"/>
            </w:tcMar>
            <w:shd w:val="clear" w:color="auto" w:fill="F4F7FB"/>
          </w:tcPr>
          <w:p>
            <w:pPr>
              <w:spacing w:after="0"/>
            </w:pPr>
            <w:r/>
            <w:r>
              <w:rPr>
                <w:rFonts w:ascii="Calibri" w:hAnsi="Calibri"/>
                <w:b w:val="0"/>
                <w:i w:val="0"/>
                <w:color w:val="101828"/>
                <w:sz w:val="16"/>
              </w:rPr>
              <w:t>SLO compliance, error budget burn rate, incident count and duration</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Mobile</w:t>
            </w:r>
          </w:p>
        </w:tc>
        <w:tc>
          <w:tcPr>
            <w:tcW w:type="dxa" w:w="7344"/>
            <w:tcMar>
              <w:top w:w="60" w:type="dxa"/>
              <w:start w:w="110" w:type="dxa"/>
              <w:bottom w:w="60" w:type="dxa"/>
              <w:end w:w="110" w:type="dxa"/>
            </w:tcMar>
          </w:tcPr>
          <w:p>
            <w:pPr>
              <w:spacing w:after="0"/>
            </w:pPr>
            <w:r/>
            <w:r>
              <w:rPr>
                <w:rFonts w:ascii="Calibri" w:hAnsi="Calibri"/>
                <w:b w:val="0"/>
                <w:i w:val="0"/>
                <w:color w:val="101828"/>
                <w:sz w:val="16"/>
              </w:rPr>
              <w:t>Crash-free rate, ANR rate, cold start time, API error rate by app version</w:t>
            </w:r>
          </w:p>
        </w:tc>
      </w:tr>
    </w:tbl>
    <w:p>
      <w:pPr>
        <w:spacing w:after="80"/>
      </w:pPr>
    </w:p>
    <w:p>
      <w:pPr>
        <w:pStyle w:val="Heading3"/>
      </w:pPr>
      <w:r>
        <w:rPr>
          <w:rFonts w:ascii="Calibri" w:hAnsi="Calibri"/>
          <w:b/>
          <w:i w:val="0"/>
          <w:color w:val="0B1F3A"/>
          <w:sz w:val="24"/>
        </w:rPr>
        <w:t>20.5.3 Distributed tracing</w:t>
      </w:r>
    </w:p>
    <w:p>
      <w:r>
        <w:rPr>
          <w:rFonts w:ascii="Calibri" w:hAnsi="Calibri"/>
          <w:b w:val="0"/>
          <w:i w:val="0"/>
          <w:color w:val="101828"/>
          <w:sz w:val="21"/>
        </w:rPr>
        <w:t>Request traces span the API, the database, the queue, and the provider call. The specific value here is a single transaction crossing an asynchronous boundary: a trace makes it possible to answer 'what happened to this member's contribution' in one query rather than by correlating four services' logs by hand.</w:t>
      </w:r>
    </w:p>
    <w:p>
      <w:pPr>
        <w:pStyle w:val="Heading3"/>
      </w:pPr>
      <w:r>
        <w:rPr>
          <w:rFonts w:ascii="Calibri" w:hAnsi="Calibri"/>
          <w:b/>
          <w:i w:val="0"/>
          <w:color w:val="0B1F3A"/>
          <w:sz w:val="24"/>
        </w:rPr>
        <w:t>20.5.4 Alerting</w:t>
      </w:r>
    </w:p>
    <w:p>
      <w:r>
        <w:rPr>
          <w:rFonts w:ascii="Calibri" w:hAnsi="Calibri"/>
          <w:b w:val="0"/>
          <w:i w:val="0"/>
          <w:color w:val="101828"/>
          <w:sz w:val="21"/>
        </w:rPr>
        <w:t>Alerts are actionable or they are noise, and noise is the fastest way to make an on-call engineer stop reading them. Every alert has a runbook, a named owner, and a severity.</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6"/>
              </w:rPr>
              <w:t>Alert</w:t>
            </w:r>
          </w:p>
        </w:tc>
        <w:tc>
          <w:tcPr>
            <w:tcW w:type="dxa" w:w="1440"/>
            <w:shd w:val="clear" w:color="auto" w:fill="0B1F3A"/>
            <w:tcMar>
              <w:top w:w="60" w:type="dxa"/>
              <w:start w:w="110" w:type="dxa"/>
              <w:bottom w:w="60" w:type="dxa"/>
              <w:end w:w="110" w:type="dxa"/>
            </w:tcMar>
          </w:tcPr>
          <w:p>
            <w:pPr>
              <w:spacing w:after="0"/>
            </w:pPr>
            <w:r/>
            <w:r>
              <w:rPr>
                <w:rFonts w:ascii="Calibri" w:hAnsi="Calibri"/>
                <w:b/>
                <w:i w:val="0"/>
                <w:color w:val="FFFFFF"/>
                <w:sz w:val="16"/>
              </w:rPr>
              <w:t>Severity</w:t>
            </w:r>
          </w:p>
        </w:tc>
        <w:tc>
          <w:tcPr>
            <w:tcW w:type="dxa" w:w="4464"/>
            <w:shd w:val="clear" w:color="auto" w:fill="0B1F3A"/>
            <w:tcMar>
              <w:top w:w="60" w:type="dxa"/>
              <w:start w:w="110" w:type="dxa"/>
              <w:bottom w:w="60" w:type="dxa"/>
              <w:end w:w="110" w:type="dxa"/>
            </w:tcMar>
          </w:tcPr>
          <w:p>
            <w:pPr>
              <w:spacing w:after="0"/>
            </w:pPr>
            <w:r/>
            <w:r>
              <w:rPr>
                <w:rFonts w:ascii="Calibri" w:hAnsi="Calibri"/>
                <w:b/>
                <w:i w:val="0"/>
                <w:color w:val="FFFFFF"/>
                <w:sz w:val="16"/>
              </w:rPr>
              <w:t>Action</w:t>
            </w:r>
          </w:p>
        </w:tc>
      </w:tr>
      <w:tr>
        <w:trPr>
          <w:cantSplit/>
        </w:trPr>
        <w:tc>
          <w:tcPr>
            <w:tcW w:type="dxa" w:w="3456"/>
            <w:tcMar>
              <w:top w:w="60" w:type="dxa"/>
              <w:start w:w="110" w:type="dxa"/>
              <w:bottom w:w="60" w:type="dxa"/>
              <w:end w:w="110" w:type="dxa"/>
            </w:tcMar>
          </w:tcPr>
          <w:p>
            <w:pPr>
              <w:spacing w:after="0"/>
            </w:pPr>
            <w:r/>
            <w:r>
              <w:rPr>
                <w:rFonts w:ascii="Calibri" w:hAnsi="Calibri"/>
                <w:b w:val="0"/>
                <w:i w:val="0"/>
                <w:color w:val="101828"/>
                <w:sz w:val="16"/>
              </w:rPr>
              <w:t>Ledger invariant broken</w:t>
            </w:r>
          </w:p>
        </w:tc>
        <w:tc>
          <w:tcPr>
            <w:tcW w:type="dxa" w:w="1440"/>
            <w:tcMar>
              <w:top w:w="60" w:type="dxa"/>
              <w:start w:w="110" w:type="dxa"/>
              <w:bottom w:w="60" w:type="dxa"/>
              <w:end w:w="110" w:type="dxa"/>
            </w:tcMar>
          </w:tcPr>
          <w:p>
            <w:pPr>
              <w:spacing w:after="0"/>
            </w:pPr>
            <w:r/>
            <w:r>
              <w:rPr>
                <w:rFonts w:ascii="Calibri" w:hAnsi="Calibri"/>
                <w:b w:val="0"/>
                <w:i w:val="0"/>
                <w:color w:val="101828"/>
                <w:sz w:val="16"/>
              </w:rPr>
              <w:t>P1</w:t>
            </w:r>
          </w:p>
        </w:tc>
        <w:tc>
          <w:tcPr>
            <w:tcW w:type="dxa" w:w="4464"/>
            <w:tcMar>
              <w:top w:w="60" w:type="dxa"/>
              <w:start w:w="110" w:type="dxa"/>
              <w:bottom w:w="60" w:type="dxa"/>
              <w:end w:w="110" w:type="dxa"/>
            </w:tcMar>
          </w:tcPr>
          <w:p>
            <w:pPr>
              <w:spacing w:after="0"/>
            </w:pPr>
            <w:r/>
            <w:r>
              <w:rPr>
                <w:rFonts w:ascii="Calibri" w:hAnsi="Calibri"/>
                <w:b w:val="0"/>
                <w:i w:val="0"/>
                <w:color w:val="101828"/>
                <w:sz w:val="16"/>
              </w:rPr>
              <w:t>Page. Halt payouts</w:t>
            </w:r>
          </w:p>
        </w:tc>
      </w:tr>
      <w:tr>
        <w:trPr>
          <w:cantSplit/>
        </w:trPr>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Payout batch failure</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6"/>
              </w:rPr>
              <w:t>P1</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Page. Investigate before the retry window</w:t>
            </w:r>
          </w:p>
        </w:tc>
      </w:tr>
      <w:tr>
        <w:trPr>
          <w:cantSplit/>
        </w:trPr>
        <w:tc>
          <w:tcPr>
            <w:tcW w:type="dxa" w:w="3456"/>
            <w:tcMar>
              <w:top w:w="60" w:type="dxa"/>
              <w:start w:w="110" w:type="dxa"/>
              <w:bottom w:w="60" w:type="dxa"/>
              <w:end w:w="110" w:type="dxa"/>
            </w:tcMar>
          </w:tcPr>
          <w:p>
            <w:pPr>
              <w:spacing w:after="0"/>
            </w:pPr>
            <w:r/>
            <w:r>
              <w:rPr>
                <w:rFonts w:ascii="Calibri" w:hAnsi="Calibri"/>
                <w:b w:val="0"/>
                <w:i w:val="0"/>
                <w:color w:val="101828"/>
                <w:sz w:val="16"/>
              </w:rPr>
              <w:t>Webhook delivery gap &gt; 2h</w:t>
            </w:r>
          </w:p>
        </w:tc>
        <w:tc>
          <w:tcPr>
            <w:tcW w:type="dxa" w:w="1440"/>
            <w:tcMar>
              <w:top w:w="60" w:type="dxa"/>
              <w:start w:w="110" w:type="dxa"/>
              <w:bottom w:w="60" w:type="dxa"/>
              <w:end w:w="110" w:type="dxa"/>
            </w:tcMar>
          </w:tcPr>
          <w:p>
            <w:pPr>
              <w:spacing w:after="0"/>
            </w:pPr>
            <w:r/>
            <w:r>
              <w:rPr>
                <w:rFonts w:ascii="Calibri" w:hAnsi="Calibri"/>
                <w:b w:val="0"/>
                <w:i w:val="0"/>
                <w:color w:val="101828"/>
                <w:sz w:val="16"/>
              </w:rPr>
              <w:t>P1</w:t>
            </w:r>
          </w:p>
        </w:tc>
        <w:tc>
          <w:tcPr>
            <w:tcW w:type="dxa" w:w="4464"/>
            <w:tcMar>
              <w:top w:w="60" w:type="dxa"/>
              <w:start w:w="110" w:type="dxa"/>
              <w:bottom w:w="60" w:type="dxa"/>
              <w:end w:w="110" w:type="dxa"/>
            </w:tcMar>
          </w:tcPr>
          <w:p>
            <w:pPr>
              <w:spacing w:after="0"/>
            </w:pPr>
            <w:r/>
            <w:r>
              <w:rPr>
                <w:rFonts w:ascii="Calibri" w:hAnsi="Calibri"/>
                <w:b w:val="0"/>
                <w:i w:val="0"/>
                <w:color w:val="101828"/>
                <w:sz w:val="16"/>
              </w:rPr>
              <w:t>Page. Members are stuck pending</w:t>
            </w:r>
          </w:p>
        </w:tc>
      </w:tr>
      <w:tr>
        <w:trPr>
          <w:cantSplit/>
        </w:trPr>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Provider error rate &gt; 10%</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6"/>
              </w:rPr>
              <w:t>P1</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Page. Check provider status</w:t>
            </w:r>
          </w:p>
        </w:tc>
      </w:tr>
      <w:tr>
        <w:trPr>
          <w:cantSplit/>
        </w:trPr>
        <w:tc>
          <w:tcPr>
            <w:tcW w:type="dxa" w:w="3456"/>
            <w:tcMar>
              <w:top w:w="60" w:type="dxa"/>
              <w:start w:w="110" w:type="dxa"/>
              <w:bottom w:w="60" w:type="dxa"/>
              <w:end w:w="110" w:type="dxa"/>
            </w:tcMar>
          </w:tcPr>
          <w:p>
            <w:pPr>
              <w:spacing w:after="0"/>
            </w:pPr>
            <w:r/>
            <w:r>
              <w:rPr>
                <w:rFonts w:ascii="Calibri" w:hAnsi="Calibri"/>
                <w:b w:val="0"/>
                <w:i w:val="0"/>
                <w:color w:val="101828"/>
                <w:sz w:val="16"/>
              </w:rPr>
              <w:t>Escrow reconciliation mismatch</w:t>
            </w:r>
          </w:p>
        </w:tc>
        <w:tc>
          <w:tcPr>
            <w:tcW w:type="dxa" w:w="1440"/>
            <w:tcMar>
              <w:top w:w="60" w:type="dxa"/>
              <w:start w:w="110" w:type="dxa"/>
              <w:bottom w:w="60" w:type="dxa"/>
              <w:end w:w="110" w:type="dxa"/>
            </w:tcMar>
          </w:tcPr>
          <w:p>
            <w:pPr>
              <w:spacing w:after="0"/>
            </w:pPr>
            <w:r/>
            <w:r>
              <w:rPr>
                <w:rFonts w:ascii="Calibri" w:hAnsi="Calibri"/>
                <w:b w:val="0"/>
                <w:i w:val="0"/>
                <w:color w:val="101828"/>
                <w:sz w:val="16"/>
              </w:rPr>
              <w:t>P1</w:t>
            </w:r>
          </w:p>
        </w:tc>
        <w:tc>
          <w:tcPr>
            <w:tcW w:type="dxa" w:w="4464"/>
            <w:tcMar>
              <w:top w:w="60" w:type="dxa"/>
              <w:start w:w="110" w:type="dxa"/>
              <w:bottom w:w="60" w:type="dxa"/>
              <w:end w:w="110" w:type="dxa"/>
            </w:tcMar>
          </w:tcPr>
          <w:p>
            <w:pPr>
              <w:spacing w:after="0"/>
            </w:pPr>
            <w:r/>
            <w:r>
              <w:rPr>
                <w:rFonts w:ascii="Calibri" w:hAnsi="Calibri"/>
                <w:b w:val="0"/>
                <w:i w:val="0"/>
                <w:color w:val="101828"/>
                <w:sz w:val="16"/>
              </w:rPr>
              <w:t>Page. Halt payouts</w:t>
            </w:r>
          </w:p>
        </w:tc>
      </w:tr>
      <w:tr>
        <w:trPr>
          <w:cantSplit/>
        </w:trPr>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Queue oldest job &gt; 30 min</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6"/>
              </w:rPr>
              <w:t>P2</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Investigate during the day</w:t>
            </w:r>
          </w:p>
        </w:tc>
      </w:tr>
      <w:tr>
        <w:trPr>
          <w:cantSplit/>
        </w:trPr>
        <w:tc>
          <w:tcPr>
            <w:tcW w:type="dxa" w:w="3456"/>
            <w:tcMar>
              <w:top w:w="60" w:type="dxa"/>
              <w:start w:w="110" w:type="dxa"/>
              <w:bottom w:w="60" w:type="dxa"/>
              <w:end w:w="110" w:type="dxa"/>
            </w:tcMar>
          </w:tcPr>
          <w:p>
            <w:pPr>
              <w:spacing w:after="0"/>
            </w:pPr>
            <w:r/>
            <w:r>
              <w:rPr>
                <w:rFonts w:ascii="Calibri" w:hAnsi="Calibri"/>
                <w:b w:val="0"/>
                <w:i w:val="0"/>
                <w:color w:val="101828"/>
                <w:sz w:val="16"/>
              </w:rPr>
              <w:t>Dead-letter queue growing</w:t>
            </w:r>
          </w:p>
        </w:tc>
        <w:tc>
          <w:tcPr>
            <w:tcW w:type="dxa" w:w="1440"/>
            <w:tcMar>
              <w:top w:w="60" w:type="dxa"/>
              <w:start w:w="110" w:type="dxa"/>
              <w:bottom w:w="60" w:type="dxa"/>
              <w:end w:w="110" w:type="dxa"/>
            </w:tcMar>
          </w:tcPr>
          <w:p>
            <w:pPr>
              <w:spacing w:after="0"/>
            </w:pPr>
            <w:r/>
            <w:r>
              <w:rPr>
                <w:rFonts w:ascii="Calibri" w:hAnsi="Calibri"/>
                <w:b w:val="0"/>
                <w:i w:val="0"/>
                <w:color w:val="101828"/>
                <w:sz w:val="16"/>
              </w:rPr>
              <w:t>P2</w:t>
            </w:r>
          </w:p>
        </w:tc>
        <w:tc>
          <w:tcPr>
            <w:tcW w:type="dxa" w:w="4464"/>
            <w:tcMar>
              <w:top w:w="60" w:type="dxa"/>
              <w:start w:w="110" w:type="dxa"/>
              <w:bottom w:w="60" w:type="dxa"/>
              <w:end w:w="110" w:type="dxa"/>
            </w:tcMar>
          </w:tcPr>
          <w:p>
            <w:pPr>
              <w:spacing w:after="0"/>
            </w:pPr>
            <w:r/>
            <w:r>
              <w:rPr>
                <w:rFonts w:ascii="Calibri" w:hAnsi="Calibri"/>
                <w:b w:val="0"/>
                <w:i w:val="0"/>
                <w:color w:val="101828"/>
                <w:sz w:val="16"/>
              </w:rPr>
              <w:t>Triage within 24h</w:t>
            </w:r>
          </w:p>
        </w:tc>
      </w:tr>
      <w:tr>
        <w:trPr>
          <w:cantSplit/>
        </w:trPr>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P95 latency breach</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6"/>
              </w:rPr>
              <w:t>P2</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Investigate</w:t>
            </w:r>
          </w:p>
        </w:tc>
      </w:tr>
      <w:tr>
        <w:trPr>
          <w:cantSplit/>
        </w:trPr>
        <w:tc>
          <w:tcPr>
            <w:tcW w:type="dxa" w:w="3456"/>
            <w:tcMar>
              <w:top w:w="60" w:type="dxa"/>
              <w:start w:w="110" w:type="dxa"/>
              <w:bottom w:w="60" w:type="dxa"/>
              <w:end w:w="110" w:type="dxa"/>
            </w:tcMar>
          </w:tcPr>
          <w:p>
            <w:pPr>
              <w:spacing w:after="0"/>
            </w:pPr>
            <w:r/>
            <w:r>
              <w:rPr>
                <w:rFonts w:ascii="Calibri" w:hAnsi="Calibri"/>
                <w:b w:val="0"/>
                <w:i w:val="0"/>
                <w:color w:val="101828"/>
                <w:sz w:val="16"/>
              </w:rPr>
              <w:t>SLO burn rate fast</w:t>
            </w:r>
          </w:p>
        </w:tc>
        <w:tc>
          <w:tcPr>
            <w:tcW w:type="dxa" w:w="1440"/>
            <w:tcMar>
              <w:top w:w="60" w:type="dxa"/>
              <w:start w:w="110" w:type="dxa"/>
              <w:bottom w:w="60" w:type="dxa"/>
              <w:end w:w="110" w:type="dxa"/>
            </w:tcMar>
          </w:tcPr>
          <w:p>
            <w:pPr>
              <w:spacing w:after="0"/>
            </w:pPr>
            <w:r/>
            <w:r>
              <w:rPr>
                <w:rFonts w:ascii="Calibri" w:hAnsi="Calibri"/>
                <w:b w:val="0"/>
                <w:i w:val="0"/>
                <w:color w:val="101828"/>
                <w:sz w:val="16"/>
              </w:rPr>
              <w:t>P2</w:t>
            </w:r>
          </w:p>
        </w:tc>
        <w:tc>
          <w:tcPr>
            <w:tcW w:type="dxa" w:w="4464"/>
            <w:tcMar>
              <w:top w:w="60" w:type="dxa"/>
              <w:start w:w="110" w:type="dxa"/>
              <w:bottom w:w="60" w:type="dxa"/>
              <w:end w:w="110" w:type="dxa"/>
            </w:tcMar>
          </w:tcPr>
          <w:p>
            <w:pPr>
              <w:spacing w:after="0"/>
            </w:pPr>
            <w:r/>
            <w:r>
              <w:rPr>
                <w:rFonts w:ascii="Calibri" w:hAnsi="Calibri"/>
                <w:b w:val="0"/>
                <w:i w:val="0"/>
                <w:color w:val="101828"/>
                <w:sz w:val="16"/>
              </w:rPr>
              <w:t>Prioritise</w:t>
            </w:r>
          </w:p>
        </w:tc>
      </w:tr>
      <w:tr>
        <w:trPr>
          <w:cantSplit/>
        </w:trPr>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Certificate or secret expiry &lt; 14 days</w:t>
            </w:r>
          </w:p>
        </w:tc>
        <w:tc>
          <w:tcPr>
            <w:tcW w:type="dxa" w:w="1440"/>
            <w:tcMar>
              <w:top w:w="60" w:type="dxa"/>
              <w:start w:w="110" w:type="dxa"/>
              <w:bottom w:w="60" w:type="dxa"/>
              <w:end w:w="110" w:type="dxa"/>
            </w:tcMar>
            <w:shd w:val="clear" w:color="auto" w:fill="F4F7FB"/>
          </w:tcPr>
          <w:p>
            <w:pPr>
              <w:spacing w:after="0"/>
            </w:pPr>
            <w:r/>
            <w:r>
              <w:rPr>
                <w:rFonts w:ascii="Calibri" w:hAnsi="Calibri"/>
                <w:b w:val="0"/>
                <w:i w:val="0"/>
                <w:color w:val="101828"/>
                <w:sz w:val="16"/>
              </w:rPr>
              <w:t>P3</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Schedule renewal</w:t>
            </w:r>
          </w:p>
        </w:tc>
      </w:tr>
    </w:tbl>
    <w:p>
      <w:pPr>
        <w:spacing w:after="80"/>
      </w:pPr>
    </w:p>
    <w:p>
      <w:pPr>
        <w:pStyle w:val="Heading2"/>
      </w:pPr>
      <w:r>
        <w:rPr>
          <w:rFonts w:ascii="Calibri" w:hAnsi="Calibri"/>
          <w:b/>
          <w:i w:val="0"/>
          <w:color w:val="146EF5"/>
          <w:sz w:val="29"/>
        </w:rPr>
        <w:t>20.6 Backup and disaster recovery</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Asset</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6"/>
              </w:rPr>
              <w:t>Backup</w:t>
            </w:r>
          </w:p>
        </w:tc>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6"/>
              </w:rPr>
              <w:t>RPO</w:t>
            </w:r>
          </w:p>
        </w:tc>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6"/>
              </w:rPr>
              <w:t>RTO</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Verified</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PostgreSQL (primary)</w:t>
            </w:r>
          </w:p>
        </w:tc>
        <w:tc>
          <w:tcPr>
            <w:tcW w:type="dxa" w:w="2880"/>
            <w:tcMar>
              <w:top w:w="60" w:type="dxa"/>
              <w:start w:w="110" w:type="dxa"/>
              <w:bottom w:w="60" w:type="dxa"/>
              <w:end w:w="110" w:type="dxa"/>
            </w:tcMar>
          </w:tcPr>
          <w:p>
            <w:pPr>
              <w:spacing w:after="0"/>
            </w:pPr>
            <w:r/>
            <w:r>
              <w:rPr>
                <w:rFonts w:ascii="Calibri" w:hAnsi="Calibri"/>
                <w:b w:val="0"/>
                <w:i w:val="0"/>
                <w:color w:val="101828"/>
                <w:sz w:val="16"/>
              </w:rPr>
              <w:t>Continuous WAL archiving + daily full snapshot</w:t>
            </w:r>
          </w:p>
        </w:tc>
        <w:tc>
          <w:tcPr>
            <w:tcW w:type="dxa" w:w="1152"/>
            <w:tcMar>
              <w:top w:w="60" w:type="dxa"/>
              <w:start w:w="110" w:type="dxa"/>
              <w:bottom w:w="60" w:type="dxa"/>
              <w:end w:w="110" w:type="dxa"/>
            </w:tcMar>
          </w:tcPr>
          <w:p>
            <w:pPr>
              <w:spacing w:after="0"/>
            </w:pPr>
            <w:r/>
            <w:r>
              <w:rPr>
                <w:rFonts w:ascii="Calibri" w:hAnsi="Calibri"/>
                <w:b w:val="0"/>
                <w:i w:val="0"/>
                <w:color w:val="101828"/>
                <w:sz w:val="16"/>
              </w:rPr>
              <w:t>&lt; 5 min</w:t>
            </w:r>
          </w:p>
        </w:tc>
        <w:tc>
          <w:tcPr>
            <w:tcW w:type="dxa" w:w="1152"/>
            <w:tcMar>
              <w:top w:w="60" w:type="dxa"/>
              <w:start w:w="110" w:type="dxa"/>
              <w:bottom w:w="60" w:type="dxa"/>
              <w:end w:w="110" w:type="dxa"/>
            </w:tcMar>
          </w:tcPr>
          <w:p>
            <w:pPr>
              <w:spacing w:after="0"/>
            </w:pPr>
            <w:r/>
            <w:r>
              <w:rPr>
                <w:rFonts w:ascii="Calibri" w:hAnsi="Calibri"/>
                <w:b w:val="0"/>
                <w:i w:val="0"/>
                <w:color w:val="101828"/>
                <w:sz w:val="16"/>
              </w:rPr>
              <w:t>&lt; 1 hour</w:t>
            </w:r>
          </w:p>
        </w:tc>
        <w:tc>
          <w:tcPr>
            <w:tcW w:type="dxa" w:w="2016"/>
            <w:tcMar>
              <w:top w:w="60" w:type="dxa"/>
              <w:start w:w="110" w:type="dxa"/>
              <w:bottom w:w="60" w:type="dxa"/>
              <w:end w:w="110" w:type="dxa"/>
            </w:tcMar>
          </w:tcPr>
          <w:p>
            <w:pPr>
              <w:spacing w:after="0"/>
            </w:pPr>
            <w:r/>
            <w:r>
              <w:rPr>
                <w:rFonts w:ascii="Calibri" w:hAnsi="Calibri"/>
                <w:b w:val="0"/>
                <w:i w:val="0"/>
                <w:color w:val="101828"/>
                <w:sz w:val="16"/>
              </w:rPr>
              <w:t>Quarterly restore drill</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PostgreSQL (read replica)</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Streaming replication</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n/a</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n/a</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Continuous health check</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Ledger</w:t>
            </w:r>
          </w:p>
        </w:tc>
        <w:tc>
          <w:tcPr>
            <w:tcW w:type="dxa" w:w="2880"/>
            <w:tcMar>
              <w:top w:w="60" w:type="dxa"/>
              <w:start w:w="110" w:type="dxa"/>
              <w:bottom w:w="60" w:type="dxa"/>
              <w:end w:w="110" w:type="dxa"/>
            </w:tcMar>
          </w:tcPr>
          <w:p>
            <w:pPr>
              <w:spacing w:after="0"/>
            </w:pPr>
            <w:r/>
            <w:r>
              <w:rPr>
                <w:rFonts w:ascii="Calibri" w:hAnsi="Calibri"/>
                <w:b w:val="0"/>
                <w:i w:val="0"/>
                <w:color w:val="101828"/>
                <w:sz w:val="16"/>
              </w:rPr>
              <w:t>In the database, append-only, plus a nightly export to object storage</w:t>
            </w:r>
          </w:p>
        </w:tc>
        <w:tc>
          <w:tcPr>
            <w:tcW w:type="dxa" w:w="1152"/>
            <w:tcMar>
              <w:top w:w="60" w:type="dxa"/>
              <w:start w:w="110" w:type="dxa"/>
              <w:bottom w:w="60" w:type="dxa"/>
              <w:end w:w="110" w:type="dxa"/>
            </w:tcMar>
          </w:tcPr>
          <w:p>
            <w:pPr>
              <w:spacing w:after="0"/>
            </w:pPr>
            <w:r/>
            <w:r>
              <w:rPr>
                <w:rFonts w:ascii="Calibri" w:hAnsi="Calibri"/>
                <w:b w:val="0"/>
                <w:i w:val="0"/>
                <w:color w:val="101828"/>
                <w:sz w:val="16"/>
              </w:rPr>
              <w:t>&lt; 5 min</w:t>
            </w:r>
          </w:p>
        </w:tc>
        <w:tc>
          <w:tcPr>
            <w:tcW w:type="dxa" w:w="1152"/>
            <w:tcMar>
              <w:top w:w="60" w:type="dxa"/>
              <w:start w:w="110" w:type="dxa"/>
              <w:bottom w:w="60" w:type="dxa"/>
              <w:end w:w="110" w:type="dxa"/>
            </w:tcMar>
          </w:tcPr>
          <w:p>
            <w:pPr>
              <w:spacing w:after="0"/>
            </w:pPr>
            <w:r/>
            <w:r>
              <w:rPr>
                <w:rFonts w:ascii="Calibri" w:hAnsi="Calibri"/>
                <w:b w:val="0"/>
                <w:i w:val="0"/>
                <w:color w:val="101828"/>
                <w:sz w:val="16"/>
              </w:rPr>
              <w:t>&lt; 1 hour</w:t>
            </w:r>
          </w:p>
        </w:tc>
        <w:tc>
          <w:tcPr>
            <w:tcW w:type="dxa" w:w="2016"/>
            <w:tcMar>
              <w:top w:w="60" w:type="dxa"/>
              <w:start w:w="110" w:type="dxa"/>
              <w:bottom w:w="60" w:type="dxa"/>
              <w:end w:w="110" w:type="dxa"/>
            </w:tcMar>
          </w:tcPr>
          <w:p>
            <w:pPr>
              <w:spacing w:after="0"/>
            </w:pPr>
            <w:r/>
            <w:r>
              <w:rPr>
                <w:rFonts w:ascii="Calibri" w:hAnsi="Calibri"/>
                <w:b w:val="0"/>
                <w:i w:val="0"/>
                <w:color w:val="101828"/>
                <w:sz w:val="16"/>
              </w:rPr>
              <w:t>Quarterly</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Object storage (statements, documents)</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Versioned, cross-region replication</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&lt; 15 min</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&lt; 4 hours</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Quarterly</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Redis (queues, cache)</w:t>
            </w:r>
          </w:p>
        </w:tc>
        <w:tc>
          <w:tcPr>
            <w:tcW w:type="dxa" w:w="2880"/>
            <w:tcMar>
              <w:top w:w="60" w:type="dxa"/>
              <w:start w:w="110" w:type="dxa"/>
              <w:bottom w:w="60" w:type="dxa"/>
              <w:end w:w="110" w:type="dxa"/>
            </w:tcMar>
          </w:tcPr>
          <w:p>
            <w:pPr>
              <w:spacing w:after="0"/>
            </w:pPr>
            <w:r/>
            <w:r>
              <w:rPr>
                <w:rFonts w:ascii="Calibri" w:hAnsi="Calibri"/>
                <w:b w:val="0"/>
                <w:i w:val="0"/>
                <w:color w:val="101828"/>
                <w:sz w:val="16"/>
              </w:rPr>
              <w:t>Not backed up — a rebuildable cache</w:t>
            </w:r>
          </w:p>
        </w:tc>
        <w:tc>
          <w:tcPr>
            <w:tcW w:type="dxa" w:w="1152"/>
            <w:tcMar>
              <w:top w:w="60" w:type="dxa"/>
              <w:start w:w="110" w:type="dxa"/>
              <w:bottom w:w="60" w:type="dxa"/>
              <w:end w:w="110" w:type="dxa"/>
            </w:tcMar>
          </w:tcPr>
          <w:p>
            <w:pPr>
              <w:spacing w:after="0"/>
            </w:pPr>
            <w:r/>
            <w:r>
              <w:rPr>
                <w:rFonts w:ascii="Calibri" w:hAnsi="Calibri"/>
                <w:b w:val="0"/>
                <w:i w:val="0"/>
                <w:color w:val="101828"/>
                <w:sz w:val="16"/>
              </w:rPr>
              <w:t>Loss of in-flight jobs only</w:t>
            </w:r>
          </w:p>
        </w:tc>
        <w:tc>
          <w:tcPr>
            <w:tcW w:type="dxa" w:w="1152"/>
            <w:tcMar>
              <w:top w:w="60" w:type="dxa"/>
              <w:start w:w="110" w:type="dxa"/>
              <w:bottom w:w="60" w:type="dxa"/>
              <w:end w:w="110" w:type="dxa"/>
            </w:tcMar>
          </w:tcPr>
          <w:p>
            <w:pPr>
              <w:spacing w:after="0"/>
            </w:pPr>
            <w:r/>
            <w:r>
              <w:rPr>
                <w:rFonts w:ascii="Calibri" w:hAnsi="Calibri"/>
                <w:b w:val="0"/>
                <w:i w:val="0"/>
                <w:color w:val="101828"/>
                <w:sz w:val="16"/>
              </w:rPr>
              <w:t>&lt; 1 hour</w:t>
            </w:r>
          </w:p>
        </w:tc>
        <w:tc>
          <w:tcPr>
            <w:tcW w:type="dxa" w:w="2016"/>
            <w:tcMar>
              <w:top w:w="60" w:type="dxa"/>
              <w:start w:w="110" w:type="dxa"/>
              <w:bottom w:w="60" w:type="dxa"/>
              <w:end w:w="110" w:type="dxa"/>
            </w:tcMar>
          </w:tcPr>
          <w:p>
            <w:pPr>
              <w:spacing w:after="0"/>
            </w:pPr>
            <w:r/>
            <w:r>
              <w:rPr>
                <w:rFonts w:ascii="Calibri" w:hAnsi="Calibri"/>
                <w:b w:val="0"/>
                <w:i w:val="0"/>
                <w:color w:val="101828"/>
                <w:sz w:val="16"/>
              </w:rPr>
              <w:t>Documented job replay</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Configuration and infrastructure as code</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In the repository</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n/a</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Rebuild</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Per deploy</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Secrets</w:t>
            </w:r>
          </w:p>
        </w:tc>
        <w:tc>
          <w:tcPr>
            <w:tcW w:type="dxa" w:w="2880"/>
            <w:tcMar>
              <w:top w:w="60" w:type="dxa"/>
              <w:start w:w="110" w:type="dxa"/>
              <w:bottom w:w="60" w:type="dxa"/>
              <w:end w:w="110" w:type="dxa"/>
            </w:tcMar>
          </w:tcPr>
          <w:p>
            <w:pPr>
              <w:spacing w:after="0"/>
            </w:pPr>
            <w:r/>
            <w:r>
              <w:rPr>
                <w:rFonts w:ascii="Calibri" w:hAnsi="Calibri"/>
                <w:b w:val="0"/>
                <w:i w:val="0"/>
                <w:color w:val="101828"/>
                <w:sz w:val="16"/>
              </w:rPr>
              <w:t>Managed secret store, versioned</w:t>
            </w:r>
          </w:p>
        </w:tc>
        <w:tc>
          <w:tcPr>
            <w:tcW w:type="dxa" w:w="1152"/>
            <w:tcMar>
              <w:top w:w="60" w:type="dxa"/>
              <w:start w:w="110" w:type="dxa"/>
              <w:bottom w:w="60" w:type="dxa"/>
              <w:end w:w="110" w:type="dxa"/>
            </w:tcMar>
          </w:tcPr>
          <w:p>
            <w:pPr>
              <w:spacing w:after="0"/>
            </w:pPr>
            <w:r/>
            <w:r>
              <w:rPr>
                <w:rFonts w:ascii="Calibri" w:hAnsi="Calibri"/>
                <w:b w:val="0"/>
                <w:i w:val="0"/>
                <w:color w:val="101828"/>
                <w:sz w:val="16"/>
              </w:rPr>
              <w:t>n/a</w:t>
            </w:r>
          </w:p>
        </w:tc>
        <w:tc>
          <w:tcPr>
            <w:tcW w:type="dxa" w:w="1152"/>
            <w:tcMar>
              <w:top w:w="60" w:type="dxa"/>
              <w:start w:w="110" w:type="dxa"/>
              <w:bottom w:w="60" w:type="dxa"/>
              <w:end w:w="110" w:type="dxa"/>
            </w:tcMar>
          </w:tcPr>
          <w:p>
            <w:pPr>
              <w:spacing w:after="0"/>
            </w:pPr>
            <w:r/>
            <w:r>
              <w:rPr>
                <w:rFonts w:ascii="Calibri" w:hAnsi="Calibri"/>
                <w:b w:val="0"/>
                <w:i w:val="0"/>
                <w:color w:val="101828"/>
                <w:sz w:val="16"/>
              </w:rPr>
              <w:t>Per provider</w:t>
            </w:r>
          </w:p>
        </w:tc>
        <w:tc>
          <w:tcPr>
            <w:tcW w:type="dxa" w:w="2016"/>
            <w:tcMar>
              <w:top w:w="60" w:type="dxa"/>
              <w:start w:w="110" w:type="dxa"/>
              <w:bottom w:w="60" w:type="dxa"/>
              <w:end w:w="110" w:type="dxa"/>
            </w:tcMar>
          </w:tcPr>
          <w:p>
            <w:pPr>
              <w:spacing w:after="0"/>
            </w:pPr>
            <w:r/>
            <w:r>
              <w:rPr>
                <w:rFonts w:ascii="Calibri" w:hAnsi="Calibri"/>
                <w:b w:val="0"/>
                <w:i w:val="0"/>
                <w:color w:val="101828"/>
                <w:sz w:val="16"/>
              </w:rPr>
              <w:t>Per rotation</w:t>
            </w:r>
          </w:p>
        </w:tc>
      </w:tr>
    </w:tbl>
    <w:p>
      <w:pPr>
        <w:spacing w:after="80"/>
      </w:pPr>
    </w:p>
    <w:p>
      <w:pPr>
        <w:spacing w:before="140" w:after="180"/>
        <w:ind w:left="144"/>
        <w:shd w:val="clear" w:color="auto" w:fill="FEF3C7"/>
        <w:pBdr>
          <w:left w:val="single" w:sz="18" w:space="6" w:color="FBBF24"/>
        </w:pBdr>
      </w:pPr>
      <w:r>
        <w:rPr>
          <w:rFonts w:ascii="Calibri" w:hAnsi="Calibri"/>
          <w:b/>
          <w:color w:val="FBBF24"/>
          <w:sz w:val="19"/>
        </w:rPr>
        <w:t xml:space="preserve">A backup that has never been restored is a hypothesis.  </w:t>
      </w:r>
      <w:r>
        <w:rPr>
          <w:rFonts w:ascii="Calibri" w:hAnsi="Calibri"/>
          <w:b w:val="0"/>
          <w:i w:val="0"/>
          <w:color w:val="0B1F3A"/>
          <w:sz w:val="19"/>
        </w:rPr>
        <w:t>Recovery objectives are only real if a restore has been performed. Quarterly rehearsals are scheduled, timed, and documented, and the measured time is compared against the stated RTO. A platform that has never restored its database is a platform that has never tested its own ability to survive losing it.</w:t>
      </w:r>
    </w:p>
    <w:p>
      <w:pPr>
        <w:pStyle w:val="Heading2"/>
      </w:pPr>
      <w:r>
        <w:rPr>
          <w:rFonts w:ascii="Calibri" w:hAnsi="Calibri"/>
          <w:b/>
          <w:i w:val="0"/>
          <w:color w:val="146EF5"/>
          <w:sz w:val="29"/>
        </w:rPr>
        <w:t>20.7 Scalability</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Dimension</w:t>
            </w:r>
          </w:p>
        </w:tc>
        <w:tc>
          <w:tcPr>
            <w:tcW w:type="dxa" w:w="4176"/>
            <w:shd w:val="clear" w:color="auto" w:fill="0B1F3A"/>
            <w:tcMar>
              <w:top w:w="60" w:type="dxa"/>
              <w:start w:w="110" w:type="dxa"/>
              <w:bottom w:w="60" w:type="dxa"/>
              <w:end w:w="110" w:type="dxa"/>
            </w:tcMar>
          </w:tcPr>
          <w:p>
            <w:pPr>
              <w:spacing w:after="0"/>
            </w:pPr>
            <w:r/>
            <w:r>
              <w:rPr>
                <w:rFonts w:ascii="Calibri" w:hAnsi="Calibri"/>
                <w:b/>
                <w:i w:val="0"/>
                <w:color w:val="FFFFFF"/>
                <w:sz w:val="16"/>
              </w:rPr>
              <w:t>Approach</w:t>
            </w:r>
          </w:p>
        </w:tc>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6"/>
              </w:rPr>
              <w:t>Trigger to revisit</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Web/API</w:t>
            </w:r>
          </w:p>
        </w:tc>
        <w:tc>
          <w:tcPr>
            <w:tcW w:type="dxa" w:w="4176"/>
            <w:tcMar>
              <w:top w:w="60" w:type="dxa"/>
              <w:start w:w="110" w:type="dxa"/>
              <w:bottom w:w="60" w:type="dxa"/>
              <w:end w:w="110" w:type="dxa"/>
            </w:tcMar>
          </w:tcPr>
          <w:p>
            <w:pPr>
              <w:spacing w:after="0"/>
            </w:pPr>
            <w:r/>
            <w:r>
              <w:rPr>
                <w:rFonts w:ascii="Calibri" w:hAnsi="Calibri"/>
                <w:b w:val="0"/>
                <w:i w:val="0"/>
                <w:color w:val="101828"/>
                <w:sz w:val="16"/>
              </w:rPr>
              <w:t>Vertical scaling behind a managed load balancer; stateless services scale horizontally</w:t>
            </w:r>
          </w:p>
        </w:tc>
        <w:tc>
          <w:tcPr>
            <w:tcW w:type="dxa" w:w="3168"/>
            <w:tcMar>
              <w:top w:w="60" w:type="dxa"/>
              <w:start w:w="110" w:type="dxa"/>
              <w:bottom w:w="60" w:type="dxa"/>
              <w:end w:w="110" w:type="dxa"/>
            </w:tcMar>
          </w:tcPr>
          <w:p>
            <w:pPr>
              <w:spacing w:after="0"/>
            </w:pPr>
            <w:r/>
            <w:r>
              <w:rPr>
                <w:rFonts w:ascii="Calibri" w:hAnsi="Calibri"/>
                <w:b w:val="0"/>
                <w:i w:val="0"/>
                <w:color w:val="101828"/>
                <w:sz w:val="16"/>
              </w:rPr>
              <w:t>Sustained CPU saturation above 70%</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Database</w:t>
            </w:r>
          </w:p>
        </w:tc>
        <w:tc>
          <w:tcPr>
            <w:tcW w:type="dxa" w:w="4176"/>
            <w:tcMar>
              <w:top w:w="60" w:type="dxa"/>
              <w:start w:w="110" w:type="dxa"/>
              <w:bottom w:w="60" w:type="dxa"/>
              <w:end w:w="110" w:type="dxa"/>
            </w:tcMar>
            <w:shd w:val="clear" w:color="auto" w:fill="F4F7FB"/>
          </w:tcPr>
          <w:p>
            <w:pPr>
              <w:spacing w:after="0"/>
            </w:pPr>
            <w:r/>
            <w:r>
              <w:rPr>
                <w:rFonts w:ascii="Calibri" w:hAnsi="Calibri"/>
                <w:b w:val="0"/>
                <w:i w:val="0"/>
                <w:color w:val="101828"/>
                <w:sz w:val="16"/>
              </w:rPr>
              <w:t>Connection pooling (PgBouncer), indexed access paths, read replicas for reporting</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Primary CPU or IO saturation, or replication lag above 1 min</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Writes</w:t>
            </w:r>
          </w:p>
        </w:tc>
        <w:tc>
          <w:tcPr>
            <w:tcW w:type="dxa" w:w="4176"/>
            <w:tcMar>
              <w:top w:w="60" w:type="dxa"/>
              <w:start w:w="110" w:type="dxa"/>
              <w:bottom w:w="60" w:type="dxa"/>
              <w:end w:w="110" w:type="dxa"/>
            </w:tcMar>
          </w:tcPr>
          <w:p>
            <w:pPr>
              <w:spacing w:after="0"/>
            </w:pPr>
            <w:r/>
            <w:r>
              <w:rPr>
                <w:rFonts w:ascii="Calibri" w:hAnsi="Calibri"/>
                <w:b w:val="0"/>
                <w:i w:val="0"/>
                <w:color w:val="101828"/>
                <w:sz w:val="16"/>
              </w:rPr>
              <w:t>Partition the ledger by month once it grows large; archive cold partitions</w:t>
            </w:r>
          </w:p>
        </w:tc>
        <w:tc>
          <w:tcPr>
            <w:tcW w:type="dxa" w:w="3168"/>
            <w:tcMar>
              <w:top w:w="60" w:type="dxa"/>
              <w:start w:w="110" w:type="dxa"/>
              <w:bottom w:w="60" w:type="dxa"/>
              <w:end w:w="110" w:type="dxa"/>
            </w:tcMar>
          </w:tcPr>
          <w:p>
            <w:pPr>
              <w:spacing w:after="0"/>
            </w:pPr>
            <w:r/>
            <w:r>
              <w:rPr>
                <w:rFonts w:ascii="Calibri" w:hAnsi="Calibri"/>
                <w:b w:val="0"/>
                <w:i w:val="0"/>
                <w:color w:val="101828"/>
                <w:sz w:val="16"/>
              </w:rPr>
              <w:t>Ledger table beyond ~50M rows</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Queues</w:t>
            </w:r>
          </w:p>
        </w:tc>
        <w:tc>
          <w:tcPr>
            <w:tcW w:type="dxa" w:w="4176"/>
            <w:tcMar>
              <w:top w:w="60" w:type="dxa"/>
              <w:start w:w="110" w:type="dxa"/>
              <w:bottom w:w="60" w:type="dxa"/>
              <w:end w:w="110" w:type="dxa"/>
            </w:tcMar>
            <w:shd w:val="clear" w:color="auto" w:fill="F4F7FB"/>
          </w:tcPr>
          <w:p>
            <w:pPr>
              <w:spacing w:after="0"/>
            </w:pPr>
            <w:r/>
            <w:r>
              <w:rPr>
                <w:rFonts w:ascii="Calibri" w:hAnsi="Calibri"/>
                <w:b w:val="0"/>
                <w:i w:val="0"/>
                <w:color w:val="101828"/>
                <w:sz w:val="16"/>
              </w:rPr>
              <w:t>Named queues per workload class so a notification burst cannot delay a payout job</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Sustained queue age above target</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Payout batches</w:t>
            </w:r>
          </w:p>
        </w:tc>
        <w:tc>
          <w:tcPr>
            <w:tcW w:type="dxa" w:w="4176"/>
            <w:tcMar>
              <w:top w:w="60" w:type="dxa"/>
              <w:start w:w="110" w:type="dxa"/>
              <w:bottom w:w="60" w:type="dxa"/>
              <w:end w:w="110" w:type="dxa"/>
            </w:tcMar>
          </w:tcPr>
          <w:p>
            <w:pPr>
              <w:spacing w:after="0"/>
            </w:pPr>
            <w:r/>
            <w:r>
              <w:rPr>
                <w:rFonts w:ascii="Calibri" w:hAnsi="Calibri"/>
                <w:b w:val="0"/>
                <w:i w:val="0"/>
                <w:color w:val="101828"/>
                <w:sz w:val="16"/>
              </w:rPr>
              <w:t>Chunked with configurable daily caps; parallel dispatch within provider limits</w:t>
            </w:r>
          </w:p>
        </w:tc>
        <w:tc>
          <w:tcPr>
            <w:tcW w:type="dxa" w:w="3168"/>
            <w:tcMar>
              <w:top w:w="60" w:type="dxa"/>
              <w:start w:w="110" w:type="dxa"/>
              <w:bottom w:w="60" w:type="dxa"/>
              <w:end w:w="110" w:type="dxa"/>
            </w:tcMar>
          </w:tcPr>
          <w:p>
            <w:pPr>
              <w:spacing w:after="0"/>
            </w:pPr>
            <w:r/>
            <w:r>
              <w:rPr>
                <w:rFonts w:ascii="Calibri" w:hAnsi="Calibri"/>
                <w:b w:val="0"/>
                <w:i w:val="0"/>
                <w:color w:val="101828"/>
                <w:sz w:val="16"/>
              </w:rPr>
              <w:t>Payout completion outside the promised window</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Storage</w:t>
            </w:r>
          </w:p>
        </w:tc>
        <w:tc>
          <w:tcPr>
            <w:tcW w:type="dxa" w:w="4176"/>
            <w:tcMar>
              <w:top w:w="60" w:type="dxa"/>
              <w:start w:w="110" w:type="dxa"/>
              <w:bottom w:w="60" w:type="dxa"/>
              <w:end w:w="110" w:type="dxa"/>
            </w:tcMar>
            <w:shd w:val="clear" w:color="auto" w:fill="F4F7FB"/>
          </w:tcPr>
          <w:p>
            <w:pPr>
              <w:spacing w:after="0"/>
            </w:pPr>
            <w:r/>
            <w:r>
              <w:rPr>
                <w:rFonts w:ascii="Calibri" w:hAnsi="Calibri"/>
                <w:b w:val="0"/>
                <w:i w:val="0"/>
                <w:color w:val="101828"/>
                <w:sz w:val="16"/>
              </w:rPr>
              <w:t>Object storage for documents and statements, never in the database</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Standard practice from day one</w:t>
            </w:r>
          </w:p>
        </w:tc>
      </w:tr>
    </w:tbl>
    <w:p>
      <w:pPr>
        <w:spacing w:after="80"/>
      </w:pPr>
    </w:p>
    <w:p>
      <w:r>
        <w:rPr>
          <w:rFonts w:ascii="Calibri" w:hAnsi="Calibri"/>
          <w:b w:val="0"/>
          <w:i w:val="0"/>
          <w:color w:val="101828"/>
          <w:sz w:val="21"/>
        </w:rPr>
        <w:t>The scaling question that actually matters for AJO.ng is not raw throughput — it is a single large Ajo completing on time while the platform serves everything else. That is a workload-shape problem, solved by isolation and scheduling, not by buying a bigger database.</w:t>
      </w:r>
    </w:p>
    <w:p>
      <w:pPr>
        <w:pStyle w:val="Heading2"/>
      </w:pPr>
      <w:r>
        <w:rPr>
          <w:rFonts w:ascii="Calibri" w:hAnsi="Calibri"/>
          <w:b/>
          <w:i w:val="0"/>
          <w:color w:val="146EF5"/>
          <w:sz w:val="29"/>
        </w:rPr>
        <w:t>20.8 Cost model</w:t>
      </w:r>
    </w:p>
    <w:p>
      <w:r>
        <w:rPr>
          <w:rFonts w:ascii="Calibri" w:hAnsi="Calibri"/>
          <w:b w:val="0"/>
          <w:i w:val="0"/>
          <w:color w:val="101828"/>
          <w:sz w:val="21"/>
        </w:rPr>
        <w:t>Costs are dominated by three things, in this order: payment provider fees, message delivery, and infrastructure. Payment costs are a per-transaction cost that scales directly with revenue, and the exact rates depend on the provider agreement that has not yet been obtained.</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Line</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6"/>
              </w:rPr>
              <w:t>Driver</w:t>
            </w:r>
          </w:p>
        </w:tc>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Scales with</w:t>
            </w:r>
          </w:p>
        </w:tc>
        <w:tc>
          <w:tcPr>
            <w:tcW w:type="dxa" w:w="2592"/>
            <w:shd w:val="clear" w:color="auto" w:fill="0B1F3A"/>
            <w:tcMar>
              <w:top w:w="60" w:type="dxa"/>
              <w:start w:w="110" w:type="dxa"/>
              <w:bottom w:w="60" w:type="dxa"/>
              <w:end w:w="110" w:type="dxa"/>
            </w:tcMar>
          </w:tcPr>
          <w:p>
            <w:pPr>
              <w:spacing w:after="0"/>
            </w:pPr>
            <w:r/>
            <w:r>
              <w:rPr>
                <w:rFonts w:ascii="Calibri" w:hAnsi="Calibri"/>
                <w:b/>
                <w:i w:val="0"/>
                <w:color w:val="FFFFFF"/>
                <w:sz w:val="16"/>
              </w:rPr>
              <w:t>Note</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Provider transaction fees</w:t>
            </w:r>
          </w:p>
        </w:tc>
        <w:tc>
          <w:tcPr>
            <w:tcW w:type="dxa" w:w="2880"/>
            <w:tcMar>
              <w:top w:w="60" w:type="dxa"/>
              <w:start w:w="110" w:type="dxa"/>
              <w:bottom w:w="60" w:type="dxa"/>
              <w:end w:w="110" w:type="dxa"/>
            </w:tcMar>
          </w:tcPr>
          <w:p>
            <w:pPr>
              <w:spacing w:after="0"/>
            </w:pPr>
            <w:r/>
            <w:r>
              <w:rPr>
                <w:rFonts w:ascii="Calibri" w:hAnsi="Calibri"/>
                <w:b w:val="0"/>
                <w:i w:val="0"/>
                <w:color w:val="101828"/>
                <w:sz w:val="16"/>
              </w:rPr>
              <w:t>Per collection and per payout</w:t>
            </w:r>
          </w:p>
        </w:tc>
        <w:tc>
          <w:tcPr>
            <w:tcW w:type="dxa" w:w="1872"/>
            <w:tcMar>
              <w:top w:w="60" w:type="dxa"/>
              <w:start w:w="110" w:type="dxa"/>
              <w:bottom w:w="60" w:type="dxa"/>
              <w:end w:w="110" w:type="dxa"/>
            </w:tcMar>
          </w:tcPr>
          <w:p>
            <w:pPr>
              <w:spacing w:after="0"/>
            </w:pPr>
            <w:r/>
            <w:r>
              <w:rPr>
                <w:rFonts w:ascii="Calibri" w:hAnsi="Calibri"/>
                <w:b w:val="0"/>
                <w:i w:val="0"/>
                <w:color w:val="101828"/>
                <w:sz w:val="16"/>
              </w:rPr>
              <w:t>Volume</w:t>
            </w:r>
          </w:p>
        </w:tc>
        <w:tc>
          <w:tcPr>
            <w:tcW w:type="dxa" w:w="2592"/>
            <w:tcMar>
              <w:top w:w="60" w:type="dxa"/>
              <w:start w:w="110" w:type="dxa"/>
              <w:bottom w:w="60" w:type="dxa"/>
              <w:end w:w="110" w:type="dxa"/>
            </w:tcMar>
          </w:tcPr>
          <w:p>
            <w:pPr>
              <w:spacing w:after="0"/>
            </w:pPr>
            <w:r/>
            <w:r>
              <w:rPr>
                <w:rFonts w:ascii="Calibri" w:hAnsi="Calibri"/>
                <w:b/>
                <w:color w:val="101828"/>
                <w:sz w:val="16"/>
              </w:rPr>
              <w:t>Unknown until the provider agreement is confirmed.</w:t>
            </w:r>
            <w:r>
              <w:rPr>
                <w:rFonts w:ascii="Calibri" w:hAnsi="Calibri"/>
                <w:b w:val="0"/>
                <w:i w:val="0"/>
                <w:color w:val="101828"/>
                <w:sz w:val="16"/>
              </w:rPr>
              <w:t xml:space="preserve"> The dominant variable cost</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SMS</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Per message</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Notifications</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Reminder and money-event traffic. Cost per thousand must be modelled</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Push notifications</w:t>
            </w:r>
          </w:p>
        </w:tc>
        <w:tc>
          <w:tcPr>
            <w:tcW w:type="dxa" w:w="2880"/>
            <w:tcMar>
              <w:top w:w="60" w:type="dxa"/>
              <w:start w:w="110" w:type="dxa"/>
              <w:bottom w:w="60" w:type="dxa"/>
              <w:end w:w="110" w:type="dxa"/>
            </w:tcMar>
          </w:tcPr>
          <w:p>
            <w:pPr>
              <w:spacing w:after="0"/>
            </w:pPr>
            <w:r/>
            <w:r>
              <w:rPr>
                <w:rFonts w:ascii="Calibri" w:hAnsi="Calibri"/>
                <w:b w:val="0"/>
                <w:i w:val="0"/>
                <w:color w:val="101828"/>
                <w:sz w:val="16"/>
              </w:rPr>
              <w:t>Per message</w:t>
            </w:r>
          </w:p>
        </w:tc>
        <w:tc>
          <w:tcPr>
            <w:tcW w:type="dxa" w:w="1872"/>
            <w:tcMar>
              <w:top w:w="60" w:type="dxa"/>
              <w:start w:w="110" w:type="dxa"/>
              <w:bottom w:w="60" w:type="dxa"/>
              <w:end w:w="110" w:type="dxa"/>
            </w:tcMar>
          </w:tcPr>
          <w:p>
            <w:pPr>
              <w:spacing w:after="0"/>
            </w:pPr>
            <w:r/>
            <w:r>
              <w:rPr>
                <w:rFonts w:ascii="Calibri" w:hAnsi="Calibri"/>
                <w:b w:val="0"/>
                <w:i w:val="0"/>
                <w:color w:val="101828"/>
                <w:sz w:val="16"/>
              </w:rPr>
              <w:t>Notifications</w:t>
            </w:r>
          </w:p>
        </w:tc>
        <w:tc>
          <w:tcPr>
            <w:tcW w:type="dxa" w:w="2592"/>
            <w:tcMar>
              <w:top w:w="60" w:type="dxa"/>
              <w:start w:w="110" w:type="dxa"/>
              <w:bottom w:w="60" w:type="dxa"/>
              <w:end w:w="110" w:type="dxa"/>
            </w:tcMar>
          </w:tcPr>
          <w:p>
            <w:pPr>
              <w:spacing w:after="0"/>
            </w:pPr>
            <w:r/>
            <w:r>
              <w:rPr>
                <w:rFonts w:ascii="Calibri" w:hAnsi="Calibri"/>
                <w:b w:val="0"/>
                <w:i w:val="0"/>
                <w:color w:val="101828"/>
                <w:sz w:val="16"/>
              </w:rPr>
              <w:t>Typically free or nominal at MVP volume</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Email</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Per message</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Notifications</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Nominal</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Compute</w:t>
            </w:r>
          </w:p>
        </w:tc>
        <w:tc>
          <w:tcPr>
            <w:tcW w:type="dxa" w:w="2880"/>
            <w:tcMar>
              <w:top w:w="60" w:type="dxa"/>
              <w:start w:w="110" w:type="dxa"/>
              <w:bottom w:w="60" w:type="dxa"/>
              <w:end w:w="110" w:type="dxa"/>
            </w:tcMar>
          </w:tcPr>
          <w:p>
            <w:pPr>
              <w:spacing w:after="0"/>
            </w:pPr>
            <w:r/>
            <w:r>
              <w:rPr>
                <w:rFonts w:ascii="Calibri" w:hAnsi="Calibri"/>
                <w:b w:val="0"/>
                <w:i w:val="0"/>
                <w:color w:val="101828"/>
                <w:sz w:val="16"/>
              </w:rPr>
              <w:t>Instance hours</w:t>
            </w:r>
          </w:p>
        </w:tc>
        <w:tc>
          <w:tcPr>
            <w:tcW w:type="dxa" w:w="1872"/>
            <w:tcMar>
              <w:top w:w="60" w:type="dxa"/>
              <w:start w:w="110" w:type="dxa"/>
              <w:bottom w:w="60" w:type="dxa"/>
              <w:end w:w="110" w:type="dxa"/>
            </w:tcMar>
          </w:tcPr>
          <w:p>
            <w:pPr>
              <w:spacing w:after="0"/>
            </w:pPr>
            <w:r/>
            <w:r>
              <w:rPr>
                <w:rFonts w:ascii="Calibri" w:hAnsi="Calibri"/>
                <w:b w:val="0"/>
                <w:i w:val="0"/>
                <w:color w:val="101828"/>
                <w:sz w:val="16"/>
              </w:rPr>
              <w:t>Traffic and jobs</w:t>
            </w:r>
          </w:p>
        </w:tc>
        <w:tc>
          <w:tcPr>
            <w:tcW w:type="dxa" w:w="2592"/>
            <w:tcMar>
              <w:top w:w="60" w:type="dxa"/>
              <w:start w:w="110" w:type="dxa"/>
              <w:bottom w:w="60" w:type="dxa"/>
              <w:end w:w="110" w:type="dxa"/>
            </w:tcMar>
          </w:tcPr>
          <w:p>
            <w:pPr>
              <w:spacing w:after="0"/>
            </w:pPr>
            <w:r/>
            <w:r>
              <w:rPr>
                <w:rFonts w:ascii="Calibri" w:hAnsi="Calibri"/>
                <w:b w:val="0"/>
                <w:i w:val="0"/>
                <w:color w:val="101828"/>
                <w:sz w:val="16"/>
              </w:rPr>
              <w:t>Modest at MVP. Grows with queue volume, not with members</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Database</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Storage and connections</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Data volume</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Ledger retention dominates over time</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Storage</w:t>
            </w:r>
          </w:p>
        </w:tc>
        <w:tc>
          <w:tcPr>
            <w:tcW w:type="dxa" w:w="2880"/>
            <w:tcMar>
              <w:top w:w="60" w:type="dxa"/>
              <w:start w:w="110" w:type="dxa"/>
              <w:bottom w:w="60" w:type="dxa"/>
              <w:end w:w="110" w:type="dxa"/>
            </w:tcMar>
          </w:tcPr>
          <w:p>
            <w:pPr>
              <w:spacing w:after="0"/>
            </w:pPr>
            <w:r/>
            <w:r>
              <w:rPr>
                <w:rFonts w:ascii="Calibri" w:hAnsi="Calibri"/>
                <w:b w:val="0"/>
                <w:i w:val="0"/>
                <w:color w:val="101828"/>
                <w:sz w:val="16"/>
              </w:rPr>
              <w:t>Documents and statements</w:t>
            </w:r>
          </w:p>
        </w:tc>
        <w:tc>
          <w:tcPr>
            <w:tcW w:type="dxa" w:w="1872"/>
            <w:tcMar>
              <w:top w:w="60" w:type="dxa"/>
              <w:start w:w="110" w:type="dxa"/>
              <w:bottom w:w="60" w:type="dxa"/>
              <w:end w:w="110" w:type="dxa"/>
            </w:tcMar>
          </w:tcPr>
          <w:p>
            <w:pPr>
              <w:spacing w:after="0"/>
            </w:pPr>
            <w:r/>
            <w:r>
              <w:rPr>
                <w:rFonts w:ascii="Calibri" w:hAnsi="Calibri"/>
                <w:b w:val="0"/>
                <w:i w:val="0"/>
                <w:color w:val="101828"/>
                <w:sz w:val="16"/>
              </w:rPr>
              <w:t>Members</w:t>
            </w:r>
          </w:p>
        </w:tc>
        <w:tc>
          <w:tcPr>
            <w:tcW w:type="dxa" w:w="2592"/>
            <w:tcMar>
              <w:top w:w="60" w:type="dxa"/>
              <w:start w:w="110" w:type="dxa"/>
              <w:bottom w:w="60" w:type="dxa"/>
              <w:end w:w="110" w:type="dxa"/>
            </w:tcMar>
          </w:tcPr>
          <w:p>
            <w:pPr>
              <w:spacing w:after="0"/>
            </w:pPr>
            <w:r/>
            <w:r>
              <w:rPr>
                <w:rFonts w:ascii="Calibri" w:hAnsi="Calibri"/>
                <w:b w:val="0"/>
                <w:i w:val="0"/>
                <w:color w:val="101828"/>
                <w:sz w:val="16"/>
              </w:rPr>
              <w:t>Small per member</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Observability</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Log and metric volume</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Traffic</w:t>
            </w:r>
          </w:p>
        </w:tc>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Budgeted deliberately; an unconstrained log bill is a real risk</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Support</w:t>
            </w:r>
          </w:p>
        </w:tc>
        <w:tc>
          <w:tcPr>
            <w:tcW w:type="dxa" w:w="2880"/>
            <w:tcMar>
              <w:top w:w="60" w:type="dxa"/>
              <w:start w:w="110" w:type="dxa"/>
              <w:bottom w:w="60" w:type="dxa"/>
              <w:end w:w="110" w:type="dxa"/>
            </w:tcMar>
          </w:tcPr>
          <w:p>
            <w:pPr>
              <w:spacing w:after="0"/>
            </w:pPr>
            <w:r/>
            <w:r>
              <w:rPr>
                <w:rFonts w:ascii="Calibri" w:hAnsi="Calibri"/>
                <w:b w:val="0"/>
                <w:i w:val="0"/>
                <w:color w:val="101828"/>
                <w:sz w:val="16"/>
              </w:rPr>
              <w:t>Headcount</w:t>
            </w:r>
          </w:p>
        </w:tc>
        <w:tc>
          <w:tcPr>
            <w:tcW w:type="dxa" w:w="1872"/>
            <w:tcMar>
              <w:top w:w="60" w:type="dxa"/>
              <w:start w:w="110" w:type="dxa"/>
              <w:bottom w:w="60" w:type="dxa"/>
              <w:end w:w="110" w:type="dxa"/>
            </w:tcMar>
          </w:tcPr>
          <w:p>
            <w:pPr>
              <w:spacing w:after="0"/>
            </w:pPr>
            <w:r/>
            <w:r>
              <w:rPr>
                <w:rFonts w:ascii="Calibri" w:hAnsi="Calibri"/>
                <w:b w:val="0"/>
                <w:i w:val="0"/>
                <w:color w:val="101828"/>
                <w:sz w:val="16"/>
              </w:rPr>
              <w:t>Members and incidents</w:t>
            </w:r>
          </w:p>
        </w:tc>
        <w:tc>
          <w:tcPr>
            <w:tcW w:type="dxa" w:w="2592"/>
            <w:tcMar>
              <w:top w:w="60" w:type="dxa"/>
              <w:start w:w="110" w:type="dxa"/>
              <w:bottom w:w="60" w:type="dxa"/>
              <w:end w:w="110" w:type="dxa"/>
            </w:tcMar>
          </w:tcPr>
          <w:p>
            <w:pPr>
              <w:spacing w:after="0"/>
            </w:pPr>
            <w:r/>
            <w:r>
              <w:rPr>
                <w:rFonts w:ascii="Calibri" w:hAnsi="Calibri"/>
                <w:b w:val="0"/>
                <w:i w:val="0"/>
                <w:color w:val="101828"/>
                <w:sz w:val="16"/>
              </w:rPr>
              <w:t>Grows with member count, not with transactions</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Verify the unit economics before scaling volume.  </w:t>
      </w:r>
      <w:r>
        <w:rPr>
          <w:rFonts w:ascii="Calibri" w:hAnsi="Calibri"/>
          <w:b w:val="0"/>
          <w:i w:val="0"/>
          <w:color w:val="0B1F3A"/>
          <w:sz w:val="19"/>
        </w:rPr>
        <w:t xml:space="preserve">The gross revenue is 2% of contributions, but the </w:t>
      </w:r>
      <w:r>
        <w:rPr>
          <w:rFonts w:ascii="Calibri" w:hAnsi="Calibri"/>
          <w:i/>
          <w:color w:val="0B1F3A"/>
          <w:sz w:val="19"/>
        </w:rPr>
        <w:t>net</w:t>
      </w:r>
      <w:r>
        <w:rPr>
          <w:rFonts w:ascii="Calibri" w:hAnsi="Calibri"/>
          <w:b w:val="0"/>
          <w:i w:val="0"/>
          <w:color w:val="0B1F3A"/>
          <w:sz w:val="19"/>
        </w:rPr>
        <w:t xml:space="preserve"> margin is 2% minus provider fees minus message costs minus support. If a provider charges 1.2% per collection, the margin is thin and the business case depends on contribution volume per member, not on member count. This calculation must be done with real provider rates and real message volumes before volume is pursued.</w:t>
      </w:r>
    </w:p>
    <w:p>
      <w:pPr>
        <w:pStyle w:val="Heading2"/>
      </w:pPr>
      <w:r>
        <w:rPr>
          <w:rFonts w:ascii="Calibri" w:hAnsi="Calibri"/>
          <w:b/>
          <w:i w:val="0"/>
          <w:color w:val="146EF5"/>
          <w:sz w:val="29"/>
        </w:rPr>
        <w:t>20.9 Operational readiness checklist</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Area</w:t>
            </w:r>
          </w:p>
        </w:tc>
        <w:tc>
          <w:tcPr>
            <w:tcW w:type="dxa" w:w="5616"/>
            <w:shd w:val="clear" w:color="auto" w:fill="0B1F3A"/>
            <w:tcMar>
              <w:top w:w="60" w:type="dxa"/>
              <w:start w:w="110" w:type="dxa"/>
              <w:bottom w:w="60" w:type="dxa"/>
              <w:end w:w="110" w:type="dxa"/>
            </w:tcMar>
          </w:tcPr>
          <w:p>
            <w:pPr>
              <w:spacing w:after="0"/>
            </w:pPr>
            <w:r/>
            <w:r>
              <w:rPr>
                <w:rFonts w:ascii="Calibri" w:hAnsi="Calibri"/>
                <w:b/>
                <w:i w:val="0"/>
                <w:color w:val="FFFFFF"/>
                <w:sz w:val="16"/>
              </w:rPr>
              <w:t>Ready when</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Owner</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Monitoring and alerting</w:t>
            </w:r>
          </w:p>
        </w:tc>
        <w:tc>
          <w:tcPr>
            <w:tcW w:type="dxa" w:w="5616"/>
            <w:tcMar>
              <w:top w:w="60" w:type="dxa"/>
              <w:start w:w="110" w:type="dxa"/>
              <w:bottom w:w="60" w:type="dxa"/>
              <w:end w:w="110" w:type="dxa"/>
            </w:tcMar>
          </w:tcPr>
          <w:p>
            <w:pPr>
              <w:spacing w:after="0"/>
            </w:pPr>
            <w:r/>
            <w:r>
              <w:rPr>
                <w:rFonts w:ascii="Calibri" w:hAnsi="Calibri"/>
                <w:b w:val="0"/>
                <w:i w:val="0"/>
                <w:color w:val="101828"/>
                <w:sz w:val="16"/>
              </w:rPr>
              <w:t>Dashboards live, alerts route to a real on-call with runbooks</w:t>
            </w:r>
          </w:p>
        </w:tc>
        <w:tc>
          <w:tcPr>
            <w:tcW w:type="dxa" w:w="1584"/>
            <w:tcMar>
              <w:top w:w="60" w:type="dxa"/>
              <w:start w:w="110" w:type="dxa"/>
              <w:bottom w:w="60" w:type="dxa"/>
              <w:end w:w="110" w:type="dxa"/>
            </w:tcMar>
          </w:tcPr>
          <w:p>
            <w:pPr>
              <w:spacing w:after="0"/>
            </w:pPr>
            <w:r/>
            <w:r>
              <w:rPr>
                <w:rFonts w:ascii="Calibri" w:hAnsi="Calibri"/>
                <w:b w:val="0"/>
                <w:i w:val="0"/>
                <w:color w:val="101828"/>
                <w:sz w:val="16"/>
              </w:rPr>
              <w:t>Engineering</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Reconciliation</w:t>
            </w:r>
          </w:p>
        </w:tc>
        <w:tc>
          <w:tcPr>
            <w:tcW w:type="dxa" w:w="5616"/>
            <w:tcMar>
              <w:top w:w="60" w:type="dxa"/>
              <w:start w:w="110" w:type="dxa"/>
              <w:bottom w:w="60" w:type="dxa"/>
              <w:end w:w="110" w:type="dxa"/>
            </w:tcMar>
            <w:shd w:val="clear" w:color="auto" w:fill="F4F7FB"/>
          </w:tcPr>
          <w:p>
            <w:pPr>
              <w:spacing w:after="0"/>
            </w:pPr>
            <w:r/>
            <w:r>
              <w:rPr>
                <w:rFonts w:ascii="Calibri" w:hAnsi="Calibri"/>
                <w:b w:val="0"/>
                <w:i w:val="0"/>
                <w:color w:val="101828"/>
                <w:sz w:val="16"/>
              </w:rPr>
              <w:t>All three procedures automated, run daily, with a named owner and a signed record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Finance</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Runbook</w:t>
            </w:r>
          </w:p>
        </w:tc>
        <w:tc>
          <w:tcPr>
            <w:tcW w:type="dxa" w:w="5616"/>
            <w:tcMar>
              <w:top w:w="60" w:type="dxa"/>
              <w:start w:w="110" w:type="dxa"/>
              <w:bottom w:w="60" w:type="dxa"/>
              <w:end w:w="110" w:type="dxa"/>
            </w:tcMar>
          </w:tcPr>
          <w:p>
            <w:pPr>
              <w:spacing w:after="0"/>
            </w:pPr>
            <w:r/>
            <w:r>
              <w:rPr>
                <w:rFonts w:ascii="Calibri" w:hAnsi="Calibri"/>
                <w:b w:val="0"/>
                <w:i w:val="0"/>
                <w:color w:val="101828"/>
                <w:sz w:val="16"/>
              </w:rPr>
              <w:t>Documented procedures for the top ten incident types, rehearsed</w:t>
            </w:r>
          </w:p>
        </w:tc>
        <w:tc>
          <w:tcPr>
            <w:tcW w:type="dxa" w:w="1584"/>
            <w:tcMar>
              <w:top w:w="60" w:type="dxa"/>
              <w:start w:w="110" w:type="dxa"/>
              <w:bottom w:w="60" w:type="dxa"/>
              <w:end w:w="110" w:type="dxa"/>
            </w:tcMar>
          </w:tcPr>
          <w:p>
            <w:pPr>
              <w:spacing w:after="0"/>
            </w:pPr>
            <w:r/>
            <w:r>
              <w:rPr>
                <w:rFonts w:ascii="Calibri" w:hAnsi="Calibri"/>
                <w:b w:val="0"/>
                <w:i w:val="0"/>
                <w:color w:val="101828"/>
                <w:sz w:val="16"/>
              </w:rPr>
              <w:t>Operations</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Support tooling</w:t>
            </w:r>
          </w:p>
        </w:tc>
        <w:tc>
          <w:tcPr>
            <w:tcW w:type="dxa" w:w="5616"/>
            <w:tcMar>
              <w:top w:w="60" w:type="dxa"/>
              <w:start w:w="110" w:type="dxa"/>
              <w:bottom w:w="60" w:type="dxa"/>
              <w:end w:w="110" w:type="dxa"/>
            </w:tcMar>
            <w:shd w:val="clear" w:color="auto" w:fill="F4F7FB"/>
          </w:tcPr>
          <w:p>
            <w:pPr>
              <w:spacing w:after="0"/>
            </w:pPr>
            <w:r/>
            <w:r>
              <w:rPr>
                <w:rFonts w:ascii="Calibri" w:hAnsi="Calibri"/>
                <w:b w:val="0"/>
                <w:i w:val="0"/>
                <w:color w:val="101828"/>
                <w:sz w:val="16"/>
              </w:rPr>
              <w:t>Agents can look up a transaction, a payout, and a dispute without engineering help</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Support</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On-call</w:t>
            </w:r>
          </w:p>
        </w:tc>
        <w:tc>
          <w:tcPr>
            <w:tcW w:type="dxa" w:w="5616"/>
            <w:tcMar>
              <w:top w:w="60" w:type="dxa"/>
              <w:start w:w="110" w:type="dxa"/>
              <w:bottom w:w="60" w:type="dxa"/>
              <w:end w:w="110" w:type="dxa"/>
            </w:tcMar>
          </w:tcPr>
          <w:p>
            <w:pPr>
              <w:spacing w:after="0"/>
            </w:pPr>
            <w:r/>
            <w:r>
              <w:rPr>
                <w:rFonts w:ascii="Calibri" w:hAnsi="Calibri"/>
                <w:b w:val="0"/>
                <w:i w:val="0"/>
                <w:color w:val="101828"/>
                <w:sz w:val="16"/>
              </w:rPr>
              <w:t>Rotation established, escalation path defined, compensation agreed</w:t>
            </w:r>
          </w:p>
        </w:tc>
        <w:tc>
          <w:tcPr>
            <w:tcW w:type="dxa" w:w="1584"/>
            <w:tcMar>
              <w:top w:w="60" w:type="dxa"/>
              <w:start w:w="110" w:type="dxa"/>
              <w:bottom w:w="60" w:type="dxa"/>
              <w:end w:w="110" w:type="dxa"/>
            </w:tcMar>
          </w:tcPr>
          <w:p>
            <w:pPr>
              <w:spacing w:after="0"/>
            </w:pPr>
            <w:r/>
            <w:r>
              <w:rPr>
                <w:rFonts w:ascii="Calibri" w:hAnsi="Calibri"/>
                <w:b w:val="0"/>
                <w:i w:val="0"/>
                <w:color w:val="101828"/>
                <w:sz w:val="16"/>
              </w:rPr>
              <w:t>Engineering</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Disaster recovery</w:t>
            </w:r>
          </w:p>
        </w:tc>
        <w:tc>
          <w:tcPr>
            <w:tcW w:type="dxa" w:w="5616"/>
            <w:tcMar>
              <w:top w:w="60" w:type="dxa"/>
              <w:start w:w="110" w:type="dxa"/>
              <w:bottom w:w="60" w:type="dxa"/>
              <w:end w:w="110" w:type="dxa"/>
            </w:tcMar>
            <w:shd w:val="clear" w:color="auto" w:fill="F4F7FB"/>
          </w:tcPr>
          <w:p>
            <w:pPr>
              <w:spacing w:after="0"/>
            </w:pPr>
            <w:r/>
            <w:r>
              <w:rPr>
                <w:rFonts w:ascii="Calibri" w:hAnsi="Calibri"/>
                <w:b w:val="0"/>
                <w:i w:val="0"/>
                <w:color w:val="101828"/>
                <w:sz w:val="16"/>
              </w:rPr>
              <w:t>Backup restore rehearsed and timed against the RTO</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Engineering</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Security</w:t>
            </w:r>
          </w:p>
        </w:tc>
        <w:tc>
          <w:tcPr>
            <w:tcW w:type="dxa" w:w="5616"/>
            <w:tcMar>
              <w:top w:w="60" w:type="dxa"/>
              <w:start w:w="110" w:type="dxa"/>
              <w:bottom w:w="60" w:type="dxa"/>
              <w:end w:w="110" w:type="dxa"/>
            </w:tcMar>
          </w:tcPr>
          <w:p>
            <w:pPr>
              <w:spacing w:after="0"/>
            </w:pPr>
            <w:r/>
            <w:r>
              <w:rPr>
                <w:rFonts w:ascii="Calibri" w:hAnsi="Calibri"/>
                <w:b w:val="0"/>
                <w:i w:val="0"/>
                <w:color w:val="101828"/>
                <w:sz w:val="16"/>
              </w:rPr>
              <w:t>Penetration test findings closed, secrets rotated, access reviewed</w:t>
            </w:r>
          </w:p>
        </w:tc>
        <w:tc>
          <w:tcPr>
            <w:tcW w:type="dxa" w:w="1584"/>
            <w:tcMar>
              <w:top w:w="60" w:type="dxa"/>
              <w:start w:w="110" w:type="dxa"/>
              <w:bottom w:w="60" w:type="dxa"/>
              <w:end w:w="110" w:type="dxa"/>
            </w:tcMar>
          </w:tcPr>
          <w:p>
            <w:pPr>
              <w:spacing w:after="0"/>
            </w:pPr>
            <w:r/>
            <w:r>
              <w:rPr>
                <w:rFonts w:ascii="Calibri" w:hAnsi="Calibri"/>
                <w:b w:val="0"/>
                <w:i w:val="0"/>
                <w:color w:val="101828"/>
                <w:sz w:val="16"/>
              </w:rPr>
              <w:t>Security</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Compliance</w:t>
            </w:r>
          </w:p>
        </w:tc>
        <w:tc>
          <w:tcPr>
            <w:tcW w:type="dxa" w:w="5616"/>
            <w:tcMar>
              <w:top w:w="60" w:type="dxa"/>
              <w:start w:w="110" w:type="dxa"/>
              <w:bottom w:w="60" w:type="dxa"/>
              <w:end w:w="110" w:type="dxa"/>
            </w:tcMar>
            <w:shd w:val="clear" w:color="auto" w:fill="F4F7FB"/>
          </w:tcPr>
          <w:p>
            <w:pPr>
              <w:spacing w:after="0"/>
            </w:pPr>
            <w:r/>
            <w:r>
              <w:rPr>
                <w:rFonts w:ascii="Calibri" w:hAnsi="Calibri"/>
                <w:b w:val="0"/>
                <w:i w:val="0"/>
                <w:color w:val="101828"/>
                <w:sz w:val="16"/>
              </w:rPr>
              <w:t>Counsel's sign-off on licensing, data protection, and terms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Founder / legal</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Capacity</w:t>
            </w:r>
          </w:p>
        </w:tc>
        <w:tc>
          <w:tcPr>
            <w:tcW w:type="dxa" w:w="5616"/>
            <w:tcMar>
              <w:top w:w="60" w:type="dxa"/>
              <w:start w:w="110" w:type="dxa"/>
              <w:bottom w:w="60" w:type="dxa"/>
              <w:end w:w="110" w:type="dxa"/>
            </w:tcMar>
          </w:tcPr>
          <w:p>
            <w:pPr>
              <w:spacing w:after="0"/>
            </w:pPr>
            <w:r/>
            <w:r>
              <w:rPr>
                <w:rFonts w:ascii="Calibri" w:hAnsi="Calibri"/>
                <w:b w:val="0"/>
                <w:i w:val="0"/>
                <w:color w:val="101828"/>
                <w:sz w:val="16"/>
              </w:rPr>
              <w:t>Load-tested against the largest realistic Ajo and the month-start peak</w:t>
            </w:r>
          </w:p>
        </w:tc>
        <w:tc>
          <w:tcPr>
            <w:tcW w:type="dxa" w:w="1584"/>
            <w:tcMar>
              <w:top w:w="60" w:type="dxa"/>
              <w:start w:w="110" w:type="dxa"/>
              <w:bottom w:w="60" w:type="dxa"/>
              <w:end w:w="110" w:type="dxa"/>
            </w:tcMar>
          </w:tcPr>
          <w:p>
            <w:pPr>
              <w:spacing w:after="0"/>
            </w:pPr>
            <w:r/>
            <w:r>
              <w:rPr>
                <w:rFonts w:ascii="Calibri" w:hAnsi="Calibri"/>
                <w:b w:val="0"/>
                <w:i w:val="0"/>
                <w:color w:val="101828"/>
                <w:sz w:val="16"/>
              </w:rPr>
              <w:t>Engineering</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Communication</w:t>
            </w:r>
          </w:p>
        </w:tc>
        <w:tc>
          <w:tcPr>
            <w:tcW w:type="dxa" w:w="5616"/>
            <w:tcMar>
              <w:top w:w="60" w:type="dxa"/>
              <w:start w:w="110" w:type="dxa"/>
              <w:bottom w:w="60" w:type="dxa"/>
              <w:end w:w="110" w:type="dxa"/>
            </w:tcMar>
            <w:shd w:val="clear" w:color="auto" w:fill="F4F7FB"/>
          </w:tcPr>
          <w:p>
            <w:pPr>
              <w:spacing w:after="0"/>
            </w:pPr>
            <w:r/>
            <w:r>
              <w:rPr>
                <w:rFonts w:ascii="Calibri" w:hAnsi="Calibri"/>
                <w:b w:val="0"/>
                <w:i w:val="0"/>
                <w:color w:val="101828"/>
                <w:sz w:val="16"/>
              </w:rPr>
              <w:t>Pre-approved templates for the likely member-facing scenarios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Support</w:t>
            </w:r>
          </w:p>
        </w:tc>
      </w:tr>
    </w:tbl>
    <w:p>
      <w:pPr>
        <w:spacing w:after="80"/>
      </w:pPr>
    </w:p>
    <w:p>
      <w:r>
        <w:br w:type="page"/>
      </w:r>
    </w:p>
    <w:p>
      <w:pPr>
        <w:pStyle w:val="Heading1"/>
        <w:pBdr>
          <w:bottom w:val="single" w:sz="12" w:space="6" w:color="146EF5"/>
        </w:pBdr>
        <w:spacing w:after="240"/>
      </w:pPr>
      <w:r>
        <w:rPr>
          <w:rFonts w:ascii="Calibri" w:hAnsi="Calibri"/>
          <w:b/>
          <w:i w:val="0"/>
          <w:color w:val="0B1F3A"/>
          <w:sz w:val="40"/>
        </w:rPr>
        <w:t>21. Analytics, Metrics and Reporting</w:t>
      </w:r>
    </w:p>
    <w:p>
      <w:pPr>
        <w:spacing w:after="200"/>
      </w:pPr>
      <w:r>
        <w:rPr>
          <w:rFonts w:ascii="Calibri" w:hAnsi="Calibri"/>
          <w:b w:val="0"/>
          <w:i w:val="0"/>
          <w:color w:val="475467"/>
          <w:sz w:val="24"/>
        </w:rPr>
        <w:t>Analytics serves three audiences with three different needs, and confusing them is how dashboards become useless. The member needs to understand their own savings. Operations needs to know the platform is healthy. The business needs to know whether the model works. All three are served by the same ledger — which is one of the strongest arguments for building the ledger first.</w:t>
      </w:r>
    </w:p>
    <w:p>
      <w:pPr>
        <w:pStyle w:val="Heading2"/>
      </w:pPr>
      <w:r>
        <w:rPr>
          <w:rFonts w:ascii="Calibri" w:hAnsi="Calibri"/>
          <w:b/>
          <w:i w:val="0"/>
          <w:color w:val="146EF5"/>
          <w:sz w:val="29"/>
        </w:rPr>
        <w:t>21.1 Principles</w:t>
      </w:r>
    </w:p>
    <w:p>
      <w:pPr>
        <w:pStyle w:val="ListNumber"/>
        <w:spacing w:after="60"/>
        <w:ind w:left="432"/>
      </w:pPr>
      <w:r>
        <w:rPr>
          <w:rFonts w:ascii="Calibri" w:hAnsi="Calibri"/>
          <w:b/>
          <w:color w:val="101828"/>
          <w:sz w:val="21"/>
        </w:rPr>
        <w:t>The ledger is the only source of financial truth.</w:t>
      </w:r>
      <w:r>
        <w:rPr>
          <w:rFonts w:ascii="Calibri" w:hAnsi="Calibri"/>
          <w:b w:val="0"/>
          <w:i w:val="0"/>
          <w:color w:val="101828"/>
          <w:sz w:val="21"/>
        </w:rPr>
        <w:t xml:space="preserve"> No analytics figure is computed from a cache, a client log, or a provider report alone.</w:t>
      </w:r>
    </w:p>
    <w:p>
      <w:pPr>
        <w:pStyle w:val="ListNumber"/>
        <w:spacing w:after="60"/>
        <w:ind w:left="432"/>
      </w:pPr>
      <w:r>
        <w:rPr>
          <w:rFonts w:ascii="Calibri" w:hAnsi="Calibri"/>
          <w:b/>
          <w:color w:val="101828"/>
          <w:sz w:val="21"/>
        </w:rPr>
        <w:t>One definition per metric, written down.</w:t>
      </w:r>
      <w:r>
        <w:rPr>
          <w:rFonts w:ascii="Calibri" w:hAnsi="Calibri"/>
          <w:b w:val="0"/>
          <w:i w:val="0"/>
          <w:color w:val="101828"/>
          <w:sz w:val="21"/>
        </w:rPr>
        <w:t xml:space="preserve"> 'Active member' means one thing across every dashboard, report, and conversation. This is enforced by a metrics catalogue, not by goodwill.</w:t>
      </w:r>
    </w:p>
    <w:p>
      <w:pPr>
        <w:pStyle w:val="ListNumber"/>
        <w:spacing w:after="60"/>
        <w:ind w:left="432"/>
      </w:pPr>
      <w:r>
        <w:rPr>
          <w:rFonts w:ascii="Calibri" w:hAnsi="Calibri"/>
          <w:b/>
          <w:color w:val="101828"/>
          <w:sz w:val="21"/>
        </w:rPr>
        <w:t>Pseudonymous by default.</w:t>
      </w:r>
      <w:r>
        <w:rPr>
          <w:rFonts w:ascii="Calibri" w:hAnsi="Calibri"/>
          <w:b w:val="0"/>
          <w:i w:val="0"/>
          <w:color w:val="101828"/>
          <w:sz w:val="21"/>
        </w:rPr>
        <w:t xml:space="preserve"> Analytics carry opaque identifiers. Names, phone numbers, emails, and bank details never enter an analytics system.</w:t>
      </w:r>
    </w:p>
    <w:p>
      <w:pPr>
        <w:pStyle w:val="ListNumber"/>
        <w:spacing w:after="60"/>
        <w:ind w:left="432"/>
      </w:pPr>
      <w:r>
        <w:rPr>
          <w:rFonts w:ascii="Calibri" w:hAnsi="Calibri"/>
          <w:b/>
          <w:color w:val="101828"/>
          <w:sz w:val="21"/>
        </w:rPr>
        <w:t>Derived data is disposable and rebuildable.</w:t>
      </w:r>
      <w:r>
        <w:rPr>
          <w:rFonts w:ascii="Calibri" w:hAnsi="Calibri"/>
          <w:b w:val="0"/>
          <w:i w:val="0"/>
          <w:color w:val="101828"/>
          <w:sz w:val="21"/>
        </w:rPr>
        <w:t xml:space="preserve"> If a transformation is wrong, it is fixed and re-run. The ledger is never rebuilt to fix a report.</w:t>
      </w:r>
    </w:p>
    <w:p>
      <w:pPr>
        <w:pStyle w:val="ListNumber"/>
        <w:spacing w:after="60"/>
        <w:ind w:left="432"/>
      </w:pPr>
      <w:r>
        <w:rPr>
          <w:rFonts w:ascii="Calibri" w:hAnsi="Calibri"/>
          <w:b/>
          <w:color w:val="101828"/>
          <w:sz w:val="21"/>
        </w:rPr>
        <w:t>Metrics that cannot change a decision do not belong on a dashboard.</w:t>
      </w:r>
      <w:r>
        <w:rPr>
          <w:rFonts w:ascii="Calibri" w:hAnsi="Calibri"/>
          <w:b w:val="0"/>
          <w:i w:val="0"/>
          <w:color w:val="101828"/>
          <w:sz w:val="21"/>
        </w:rPr>
        <w:t xml:space="preserve"> Every chart answers a question somebody actually asks.</w:t>
      </w:r>
    </w:p>
    <w:p>
      <w:pPr>
        <w:pStyle w:val="Heading2"/>
      </w:pPr>
      <w:r>
        <w:rPr>
          <w:rFonts w:ascii="Calibri" w:hAnsi="Calibri"/>
          <w:b/>
          <w:i w:val="0"/>
          <w:color w:val="146EF5"/>
          <w:sz w:val="29"/>
        </w:rPr>
        <w:t>21.2 Data flow</w:t>
      </w:r>
    </w:p>
    <w:p>
      <w:pPr>
        <w:spacing w:before="0" w:after="0" w:line="240" w:lineRule="auto"/>
        <w:ind w:left="230"/>
        <w:shd w:val="clear" w:color="auto" w:fill="F7F9FC"/>
        <w:pBdr>
          <w:left w:val="single" w:sz="4" w:space="6" w:color="D0D5DD"/>
        </w:pBdr>
      </w:pPr>
      <w:r>
        <w:rPr>
          <w:rFonts w:ascii="Consolas" w:hAnsi="Consolas"/>
          <w:color w:val="0B1F3A"/>
          <w:sz w:val="15"/>
        </w:rPr>
        <w:t xml:space="preserve">  domain events ──▶ event stream ──▶ warehouse (aggregated, pseudonymised)</w:t>
      </w:r>
    </w:p>
    <w:p>
      <w:pPr>
        <w:spacing w:before="0" w:after="0" w:line="240" w:lineRule="auto"/>
        <w:ind w:left="230"/>
        <w:shd w:val="clear" w:color="auto" w:fill="F7F9FC"/>
        <w:pBdr>
          <w:left w:val="single" w:sz="4" w:space="6" w:color="D0D5DD"/>
        </w:pBdr>
      </w:pPr>
      <w:r>
        <w:rPr>
          <w:rFonts w:ascii="Consolas" w:hAnsi="Consolas"/>
          <w:color w:val="0B1F3A"/>
          <w:sz w:val="15"/>
        </w:rPr>
        <w:t xml:space="preserve">  (ledger, positions,                     │</w:t>
      </w:r>
    </w:p>
    <w:p>
      <w:pPr>
        <w:spacing w:before="0" w:after="0" w:line="240" w:lineRule="auto"/>
        <w:ind w:left="230"/>
        <w:shd w:val="clear" w:color="auto" w:fill="F7F9FC"/>
        <w:pBdr>
          <w:left w:val="single" w:sz="4" w:space="6" w:color="D0D5DD"/>
        </w:pBdr>
      </w:pPr>
      <w:r>
        <w:rPr>
          <w:rFonts w:ascii="Consolas" w:hAnsi="Consolas"/>
          <w:color w:val="0B1F3A"/>
          <w:sz w:val="15"/>
        </w:rPr>
        <w:t xml:space="preserve">   notifications)                          ├──▶ product dashboards</w:t>
      </w:r>
    </w:p>
    <w:p>
      <w:pPr>
        <w:spacing w:before="0" w:after="0" w:line="240" w:lineRule="auto"/>
        <w:ind w:left="230"/>
        <w:shd w:val="clear" w:color="auto" w:fill="F7F9FC"/>
        <w:pBdr>
          <w:left w:val="single" w:sz="4" w:space="6" w:color="D0D5DD"/>
        </w:pBdr>
      </w:pPr>
      <w:r>
        <w:rPr>
          <w:rFonts w:ascii="Consolas" w:hAnsi="Consolas"/>
          <w:color w:val="0B1F3A"/>
          <w:sz w:val="15"/>
        </w:rPr>
        <w:t xml:space="preserve">                                          ├──▶ operational dashboards</w:t>
      </w:r>
    </w:p>
    <w:p>
      <w:pPr>
        <w:spacing w:before="0" w:after="0" w:line="240" w:lineRule="auto"/>
        <w:ind w:left="230"/>
        <w:shd w:val="clear" w:color="auto" w:fill="F7F9FC"/>
        <w:pBdr>
          <w:left w:val="single" w:sz="4" w:space="6" w:color="D0D5DD"/>
        </w:pBdr>
      </w:pPr>
      <w:r>
        <w:rPr>
          <w:rFonts w:ascii="Consolas" w:hAnsi="Consolas"/>
          <w:color w:val="0B1F3A"/>
          <w:sz w:val="15"/>
        </w:rPr>
        <w:t xml:space="preserve">  PostgreSQL ──▶ nightly ETL ─────────────┤</w:t>
      </w:r>
    </w:p>
    <w:p>
      <w:pPr>
        <w:spacing w:before="0" w:after="0" w:line="240" w:lineRule="auto"/>
        <w:ind w:left="230"/>
        <w:shd w:val="clear" w:color="auto" w:fill="F7F9FC"/>
        <w:pBdr>
          <w:left w:val="single" w:sz="4" w:space="6" w:color="D0D5DD"/>
        </w:pBdr>
      </w:pPr>
      <w:r>
        <w:rPr>
          <w:rFonts w:ascii="Consolas" w:hAnsi="Consolas"/>
          <w:color w:val="0B1F3A"/>
          <w:sz w:val="15"/>
        </w:rPr>
        <w:t xml:space="preserve">  (authoritative, immutable)              ├──▶ finance reporting</w:t>
      </w:r>
    </w:p>
    <w:p>
      <w:pPr>
        <w:spacing w:before="0" w:after="0" w:line="240" w:lineRule="auto"/>
        <w:ind w:left="230"/>
        <w:shd w:val="clear" w:color="auto" w:fill="F7F9FC"/>
        <w:pBdr>
          <w:left w:val="single" w:sz="4" w:space="6" w:color="D0D5DD"/>
        </w:pBdr>
      </w:pPr>
      <w:r>
        <w:rPr>
          <w:rFonts w:ascii="Consolas" w:hAnsi="Consolas"/>
          <w:color w:val="0B1F3A"/>
          <w:sz w:val="15"/>
        </w:rPr>
        <w:t xml:space="preserve">                                          ├──▶ member statements</w:t>
      </w:r>
    </w:p>
    <w:p>
      <w:pPr>
        <w:spacing w:before="0" w:after="0" w:line="240" w:lineRule="auto"/>
        <w:ind w:left="230"/>
        <w:shd w:val="clear" w:color="auto" w:fill="F7F9FC"/>
        <w:pBdr>
          <w:left w:val="single" w:sz="4" w:space="6" w:color="D0D5DD"/>
        </w:pBdr>
      </w:pPr>
      <w:r>
        <w:rPr>
          <w:rFonts w:ascii="Consolas" w:hAnsi="Consolas"/>
          <w:color w:val="0B1F3A"/>
          <w:sz w:val="15"/>
        </w:rPr>
        <w:t xml:space="preserve">                                          └──▶ regulatory / audit packs</w:t>
      </w:r>
    </w:p>
    <w:p>
      <w:r>
        <w:rPr>
          <w:rFonts w:ascii="Calibri" w:hAnsi="Calibri"/>
          <w:b w:val="0"/>
          <w:i w:val="0"/>
          <w:color w:val="101828"/>
          <w:sz w:val="21"/>
        </w:rPr>
        <w:t>A warehouse or a set of materialized aggregates is what makes reporting possible without loading the transactional database. It is a read replica of the truth, and it is safe to rebuild from the ledger at any time.</w:t>
      </w:r>
    </w:p>
    <w:p>
      <w:pPr>
        <w:pStyle w:val="Heading2"/>
      </w:pPr>
      <w:r>
        <w:rPr>
          <w:rFonts w:ascii="Calibri" w:hAnsi="Calibri"/>
          <w:b/>
          <w:i w:val="0"/>
          <w:color w:val="146EF5"/>
          <w:sz w:val="29"/>
        </w:rPr>
        <w:t>21.3 Metrics catalogue</w:t>
      </w:r>
    </w:p>
    <w:p>
      <w:r>
        <w:rPr>
          <w:rFonts w:ascii="Calibri" w:hAnsi="Calibri"/>
          <w:b w:val="0"/>
          <w:i w:val="0"/>
          <w:color w:val="101828"/>
          <w:sz w:val="21"/>
        </w:rPr>
        <w:t>The following definitions are binding across product, engineering, and finance. A metric used in a board deck but defined differently in an engineering dashboard is two metrics, and the disagreement will surface at the worst moment.</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5"/>
              </w:rPr>
              <w:t>Metric</w:t>
            </w:r>
          </w:p>
        </w:tc>
        <w:tc>
          <w:tcPr>
            <w:tcW w:type="dxa" w:w="4464"/>
            <w:shd w:val="clear" w:color="auto" w:fill="0B1F3A"/>
            <w:tcMar>
              <w:top w:w="60" w:type="dxa"/>
              <w:start w:w="110" w:type="dxa"/>
              <w:bottom w:w="60" w:type="dxa"/>
              <w:end w:w="110" w:type="dxa"/>
            </w:tcMar>
          </w:tcPr>
          <w:p>
            <w:pPr>
              <w:spacing w:after="0"/>
            </w:pPr>
            <w:r/>
            <w:r>
              <w:rPr>
                <w:rFonts w:ascii="Calibri" w:hAnsi="Calibri"/>
                <w:b/>
                <w:i w:val="0"/>
                <w:color w:val="FFFFFF"/>
                <w:sz w:val="15"/>
              </w:rPr>
              <w:t>Definition</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5"/>
              </w:rPr>
              <w:t>Notes</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Registered member</w:t>
            </w:r>
          </w:p>
        </w:tc>
        <w:tc>
          <w:tcPr>
            <w:tcW w:type="dxa" w:w="4464"/>
            <w:tcMar>
              <w:top w:w="60" w:type="dxa"/>
              <w:start w:w="110" w:type="dxa"/>
              <w:bottom w:w="60" w:type="dxa"/>
              <w:end w:w="110" w:type="dxa"/>
            </w:tcMar>
          </w:tcPr>
          <w:p>
            <w:pPr>
              <w:spacing w:after="0"/>
            </w:pPr>
            <w:r/>
            <w:r>
              <w:rPr>
                <w:rFonts w:ascii="Calibri" w:hAnsi="Calibri"/>
                <w:b w:val="0"/>
                <w:i w:val="0"/>
                <w:color w:val="101828"/>
                <w:sz w:val="15"/>
              </w:rPr>
              <w:t>An account created, regardless of verification</w:t>
            </w:r>
          </w:p>
        </w:tc>
        <w:tc>
          <w:tcPr>
            <w:tcW w:type="dxa" w:w="2736"/>
            <w:tcMar>
              <w:top w:w="60" w:type="dxa"/>
              <w:start w:w="110" w:type="dxa"/>
              <w:bottom w:w="60" w:type="dxa"/>
              <w:end w:w="110" w:type="dxa"/>
            </w:tcMar>
          </w:tcPr>
          <w:p>
            <w:pPr>
              <w:spacing w:after="0"/>
            </w:pPr>
            <w:r/>
            <w:r>
              <w:rPr>
                <w:rFonts w:ascii="Calibri" w:hAnsi="Calibri"/>
                <w:b w:val="0"/>
                <w:i w:val="0"/>
                <w:color w:val="101828"/>
                <w:sz w:val="15"/>
              </w:rPr>
              <w:t>Not a useful success metric on its own</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Verified member</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5"/>
              </w:rPr>
              <w:t>Identity verification completed successfully</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The first meaningful funnel step</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Active member</w:t>
            </w:r>
          </w:p>
        </w:tc>
        <w:tc>
          <w:tcPr>
            <w:tcW w:type="dxa" w:w="4464"/>
            <w:tcMar>
              <w:top w:w="60" w:type="dxa"/>
              <w:start w:w="110" w:type="dxa"/>
              <w:bottom w:w="60" w:type="dxa"/>
              <w:end w:w="110" w:type="dxa"/>
            </w:tcMar>
          </w:tcPr>
          <w:p>
            <w:pPr>
              <w:spacing w:after="0"/>
            </w:pPr>
            <w:r/>
            <w:r>
              <w:rPr>
                <w:rFonts w:ascii="Calibri" w:hAnsi="Calibri"/>
                <w:b w:val="0"/>
                <w:i w:val="0"/>
                <w:color w:val="101828"/>
                <w:sz w:val="15"/>
              </w:rPr>
              <w:t>Verified member with a contribution or a login in the last 30 days</w:t>
            </w:r>
          </w:p>
        </w:tc>
        <w:tc>
          <w:tcPr>
            <w:tcW w:type="dxa" w:w="2736"/>
            <w:tcMar>
              <w:top w:w="60" w:type="dxa"/>
              <w:start w:w="110" w:type="dxa"/>
              <w:bottom w:w="60" w:type="dxa"/>
              <w:end w:w="110" w:type="dxa"/>
            </w:tcMar>
          </w:tcPr>
          <w:p>
            <w:pPr>
              <w:spacing w:after="0"/>
            </w:pPr>
            <w:r/>
            <w:r>
              <w:rPr>
                <w:rFonts w:ascii="Calibri" w:hAnsi="Calibri"/>
                <w:b w:val="0"/>
                <w:i w:val="0"/>
                <w:color w:val="101828"/>
                <w:sz w:val="15"/>
              </w:rPr>
              <w:t>The headline retention metric</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Active Ajo</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5"/>
              </w:rPr>
              <w:t>Ajo in an active lifecycle state with at least one funded position</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Excludes draft, cancelled, and completed</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Funded Ajo</w:t>
            </w:r>
          </w:p>
        </w:tc>
        <w:tc>
          <w:tcPr>
            <w:tcW w:type="dxa" w:w="4464"/>
            <w:tcMar>
              <w:top w:w="60" w:type="dxa"/>
              <w:start w:w="110" w:type="dxa"/>
              <w:bottom w:w="60" w:type="dxa"/>
              <w:end w:w="110" w:type="dxa"/>
            </w:tcMar>
          </w:tcPr>
          <w:p>
            <w:pPr>
              <w:spacing w:after="0"/>
            </w:pPr>
            <w:r/>
            <w:r>
              <w:rPr>
                <w:rFonts w:ascii="Calibri" w:hAnsi="Calibri"/>
                <w:b w:val="0"/>
                <w:i w:val="0"/>
                <w:color w:val="101828"/>
                <w:sz w:val="15"/>
              </w:rPr>
              <w:t>Ajo that has reached FUNDED and not yet completed</w:t>
            </w:r>
          </w:p>
        </w:tc>
        <w:tc>
          <w:tcPr>
            <w:tcW w:type="dxa" w:w="2736"/>
            <w:tcMar>
              <w:top w:w="60" w:type="dxa"/>
              <w:start w:w="110" w:type="dxa"/>
              <w:bottom w:w="60" w:type="dxa"/>
              <w:end w:w="110" w:type="dxa"/>
            </w:tcMar>
          </w:tcPr>
          <w:p>
            <w:pPr>
              <w:spacing w:after="0"/>
            </w:pPr>
            <w:r/>
            <w:r>
              <w:rPr>
                <w:rFonts w:ascii="Calibri" w:hAnsi="Calibri"/>
                <w:b w:val="0"/>
                <w:i w:val="0"/>
                <w:color w:val="101828"/>
                <w:sz w:val="15"/>
              </w:rPr>
              <w:t>The conversion event that matters</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Ajo completion rate</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5"/>
              </w:rPr>
              <w:t>Completed ÷ funded Ajos</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The core product success metric</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Contribution</w:t>
            </w:r>
          </w:p>
        </w:tc>
        <w:tc>
          <w:tcPr>
            <w:tcW w:type="dxa" w:w="4464"/>
            <w:tcMar>
              <w:top w:w="60" w:type="dxa"/>
              <w:start w:w="110" w:type="dxa"/>
              <w:bottom w:w="60" w:type="dxa"/>
              <w:end w:w="110" w:type="dxa"/>
            </w:tcMar>
          </w:tcPr>
          <w:p>
            <w:pPr>
              <w:spacing w:after="0"/>
            </w:pPr>
            <w:r/>
            <w:r>
              <w:rPr>
                <w:rFonts w:ascii="Calibri" w:hAnsi="Calibri"/>
                <w:b w:val="0"/>
                <w:i w:val="0"/>
                <w:color w:val="101828"/>
                <w:sz w:val="15"/>
              </w:rPr>
              <w:t>A contribution captured successfully, per BR-021</w:t>
            </w:r>
          </w:p>
        </w:tc>
        <w:tc>
          <w:tcPr>
            <w:tcW w:type="dxa" w:w="2736"/>
            <w:tcMar>
              <w:top w:w="60" w:type="dxa"/>
              <w:start w:w="110" w:type="dxa"/>
              <w:bottom w:w="60" w:type="dxa"/>
              <w:end w:w="110" w:type="dxa"/>
            </w:tcMar>
          </w:tcPr>
          <w:p>
            <w:pPr>
              <w:spacing w:after="0"/>
            </w:pPr>
            <w:r/>
            <w:r>
              <w:rPr>
                <w:rFonts w:ascii="Calibri" w:hAnsi="Calibri"/>
                <w:b w:val="0"/>
                <w:i w:val="0"/>
                <w:color w:val="101828"/>
                <w:sz w:val="15"/>
              </w:rPr>
              <w:t>Never counted at initiation</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Contribution success rate</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5"/>
              </w:rPr>
              <w:t>Captured ÷ initiated payments</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Operationally critical</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Default</w:t>
            </w:r>
          </w:p>
        </w:tc>
        <w:tc>
          <w:tcPr>
            <w:tcW w:type="dxa" w:w="4464"/>
            <w:tcMar>
              <w:top w:w="60" w:type="dxa"/>
              <w:start w:w="110" w:type="dxa"/>
              <w:bottom w:w="60" w:type="dxa"/>
              <w:end w:w="110" w:type="dxa"/>
            </w:tcMar>
          </w:tcPr>
          <w:p>
            <w:pPr>
              <w:spacing w:after="0"/>
            </w:pPr>
            <w:r/>
            <w:r>
              <w:rPr>
                <w:rFonts w:ascii="Calibri" w:hAnsi="Calibri"/>
                <w:b w:val="0"/>
                <w:i w:val="0"/>
                <w:color w:val="101828"/>
                <w:sz w:val="15"/>
              </w:rPr>
              <w:t>A contribution not made by the deadline, per BR-012</w:t>
            </w:r>
          </w:p>
        </w:tc>
        <w:tc>
          <w:tcPr>
            <w:tcW w:type="dxa" w:w="2736"/>
            <w:tcMar>
              <w:top w:w="60" w:type="dxa"/>
              <w:start w:w="110" w:type="dxa"/>
              <w:bottom w:w="60" w:type="dxa"/>
              <w:end w:w="110" w:type="dxa"/>
            </w:tcMar>
          </w:tcPr>
          <w:p>
            <w:pPr>
              <w:spacing w:after="0"/>
            </w:pPr>
            <w:r/>
            <w:r>
              <w:rPr>
                <w:rFonts w:ascii="Calibri" w:hAnsi="Calibri"/>
                <w:b w:val="0"/>
                <w:i w:val="0"/>
                <w:color w:val="101828"/>
                <w:sz w:val="15"/>
              </w:rPr>
              <w:t>A structural product signal, not merely a member failure</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Default rate</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5"/>
              </w:rPr>
              <w:t>Defaulted positions ÷ positions in funded Ajos</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The single best leading indicator of product health</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Recovery rate</w:t>
            </w:r>
          </w:p>
        </w:tc>
        <w:tc>
          <w:tcPr>
            <w:tcW w:type="dxa" w:w="4464"/>
            <w:tcMar>
              <w:top w:w="60" w:type="dxa"/>
              <w:start w:w="110" w:type="dxa"/>
              <w:bottom w:w="60" w:type="dxa"/>
              <w:end w:w="110" w:type="dxa"/>
            </w:tcMar>
          </w:tcPr>
          <w:p>
            <w:pPr>
              <w:spacing w:after="0"/>
            </w:pPr>
            <w:r/>
            <w:r>
              <w:rPr>
                <w:rFonts w:ascii="Calibri" w:hAnsi="Calibri"/>
                <w:b w:val="0"/>
                <w:i w:val="0"/>
                <w:color w:val="101828"/>
                <w:sz w:val="15"/>
              </w:rPr>
              <w:t>Defaults cured within the grace period ÷ defaults</w:t>
            </w:r>
          </w:p>
        </w:tc>
        <w:tc>
          <w:tcPr>
            <w:tcW w:type="dxa" w:w="2736"/>
            <w:tcMar>
              <w:top w:w="60" w:type="dxa"/>
              <w:start w:w="110" w:type="dxa"/>
              <w:bottom w:w="60" w:type="dxa"/>
              <w:end w:w="110" w:type="dxa"/>
            </w:tcMar>
          </w:tcPr>
          <w:p>
            <w:pPr>
              <w:spacing w:after="0"/>
            </w:pPr>
            <w:r/>
            <w:r>
              <w:rPr>
                <w:rFonts w:ascii="Calibri" w:hAnsi="Calibri"/>
                <w:b w:val="0"/>
                <w:i w:val="0"/>
                <w:color w:val="101828"/>
                <w:sz w:val="15"/>
              </w:rPr>
              <w:t>Measures how fair the recovery process is</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Gross contribution volume</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5"/>
              </w:rPr>
              <w:t>Sum of captured contribution amounts, excluding fees</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The volume the 2% applies to</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Gross fee revenue</w:t>
            </w:r>
          </w:p>
        </w:tc>
        <w:tc>
          <w:tcPr>
            <w:tcW w:type="dxa" w:w="4464"/>
            <w:tcMar>
              <w:top w:w="60" w:type="dxa"/>
              <w:start w:w="110" w:type="dxa"/>
              <w:bottom w:w="60" w:type="dxa"/>
              <w:end w:w="110" w:type="dxa"/>
            </w:tcMar>
          </w:tcPr>
          <w:p>
            <w:pPr>
              <w:spacing w:after="0"/>
            </w:pPr>
            <w:r/>
            <w:r>
              <w:rPr>
                <w:rFonts w:ascii="Calibri" w:hAnsi="Calibri"/>
                <w:b w:val="0"/>
                <w:i w:val="0"/>
                <w:color w:val="101828"/>
                <w:sz w:val="15"/>
              </w:rPr>
              <w:t>Sum of fee entries, 2% of contributions</w:t>
            </w:r>
          </w:p>
        </w:tc>
        <w:tc>
          <w:tcPr>
            <w:tcW w:type="dxa" w:w="2736"/>
            <w:tcMar>
              <w:top w:w="60" w:type="dxa"/>
              <w:start w:w="110" w:type="dxa"/>
              <w:bottom w:w="60" w:type="dxa"/>
              <w:end w:w="110" w:type="dxa"/>
            </w:tcMar>
          </w:tcPr>
          <w:p>
            <w:pPr>
              <w:spacing w:after="0"/>
            </w:pPr>
            <w:r/>
            <w:r>
              <w:rPr>
                <w:rFonts w:ascii="Calibri" w:hAnsi="Calibri"/>
                <w:b w:val="0"/>
                <w:i w:val="0"/>
                <w:color w:val="101828"/>
                <w:sz w:val="15"/>
              </w:rPr>
              <w:t>Gross. Not profit, and not net of provider costs</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Net revenue</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5"/>
              </w:rPr>
              <w:t>Gross fee revenue minus provider fees and delivery costs</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Requires real provider rates, which are not yet confirmed</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Payout volume</w:t>
            </w:r>
          </w:p>
        </w:tc>
        <w:tc>
          <w:tcPr>
            <w:tcW w:type="dxa" w:w="4464"/>
            <w:tcMar>
              <w:top w:w="60" w:type="dxa"/>
              <w:start w:w="110" w:type="dxa"/>
              <w:bottom w:w="60" w:type="dxa"/>
              <w:end w:w="110" w:type="dxa"/>
            </w:tcMar>
          </w:tcPr>
          <w:p>
            <w:pPr>
              <w:spacing w:after="0"/>
            </w:pPr>
            <w:r/>
            <w:r>
              <w:rPr>
                <w:rFonts w:ascii="Calibri" w:hAnsi="Calibri"/>
                <w:b w:val="0"/>
                <w:i w:val="0"/>
                <w:color w:val="101828"/>
                <w:sz w:val="15"/>
              </w:rPr>
              <w:t>Sum of settled payouts</w:t>
            </w:r>
          </w:p>
        </w:tc>
        <w:tc>
          <w:tcPr>
            <w:tcW w:type="dxa" w:w="2736"/>
            <w:tcMar>
              <w:top w:w="60" w:type="dxa"/>
              <w:start w:w="110" w:type="dxa"/>
              <w:bottom w:w="60" w:type="dxa"/>
              <w:end w:w="110" w:type="dxa"/>
            </w:tcMar>
          </w:tcPr>
          <w:p>
            <w:pPr>
              <w:spacing w:after="0"/>
            </w:pPr>
            <w:r/>
            <w:r>
              <w:rPr>
                <w:rFonts w:ascii="Calibri" w:hAnsi="Calibri"/>
                <w:b w:val="0"/>
                <w:i w:val="0"/>
                <w:color w:val="101828"/>
                <w:sz w:val="15"/>
              </w:rPr>
              <w:t>Should equal gross contribution volume over time</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Payout success rate</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5"/>
              </w:rPr>
              <w:t>Succeeded ÷ released payouts</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The promise the product makes</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Payout cycle time</w:t>
            </w:r>
          </w:p>
        </w:tc>
        <w:tc>
          <w:tcPr>
            <w:tcW w:type="dxa" w:w="4464"/>
            <w:tcMar>
              <w:top w:w="60" w:type="dxa"/>
              <w:start w:w="110" w:type="dxa"/>
              <w:bottom w:w="60" w:type="dxa"/>
              <w:end w:w="110" w:type="dxa"/>
            </w:tcMar>
          </w:tcPr>
          <w:p>
            <w:pPr>
              <w:spacing w:after="0"/>
            </w:pPr>
            <w:r/>
            <w:r>
              <w:rPr>
                <w:rFonts w:ascii="Calibri" w:hAnsi="Calibri"/>
                <w:b w:val="0"/>
                <w:i w:val="0"/>
                <w:color w:val="101828"/>
                <w:sz w:val="15"/>
              </w:rPr>
              <w:t>ready_at to bank credit</w:t>
            </w:r>
          </w:p>
        </w:tc>
        <w:tc>
          <w:tcPr>
            <w:tcW w:type="dxa" w:w="2736"/>
            <w:tcMar>
              <w:top w:w="60" w:type="dxa"/>
              <w:start w:w="110" w:type="dxa"/>
              <w:bottom w:w="60" w:type="dxa"/>
              <w:end w:w="110" w:type="dxa"/>
            </w:tcMar>
          </w:tcPr>
          <w:p>
            <w:pPr>
              <w:spacing w:after="0"/>
            </w:pPr>
            <w:r/>
            <w:r>
              <w:rPr>
                <w:rFonts w:ascii="Calibri" w:hAnsi="Calibri"/>
                <w:b w:val="0"/>
                <w:i w:val="0"/>
                <w:color w:val="101828"/>
                <w:sz w:val="15"/>
              </w:rPr>
              <w:t>The member-experience metric</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Repeat Ajo rate</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5"/>
              </w:rPr>
              <w:t>Members who have completed or joined more than one Ajo</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The stickiness metric</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Time to first Ajo</w:t>
            </w:r>
          </w:p>
        </w:tc>
        <w:tc>
          <w:tcPr>
            <w:tcW w:type="dxa" w:w="4464"/>
            <w:tcMar>
              <w:top w:w="60" w:type="dxa"/>
              <w:start w:w="110" w:type="dxa"/>
              <w:bottom w:w="60" w:type="dxa"/>
              <w:end w:w="110" w:type="dxa"/>
            </w:tcMar>
          </w:tcPr>
          <w:p>
            <w:pPr>
              <w:spacing w:after="0"/>
            </w:pPr>
            <w:r/>
            <w:r>
              <w:rPr>
                <w:rFonts w:ascii="Calibri" w:hAnsi="Calibri"/>
                <w:b w:val="0"/>
                <w:i w:val="0"/>
                <w:color w:val="101828"/>
                <w:sz w:val="15"/>
              </w:rPr>
              <w:t>Registration to first join</w:t>
            </w:r>
          </w:p>
        </w:tc>
        <w:tc>
          <w:tcPr>
            <w:tcW w:type="dxa" w:w="2736"/>
            <w:tcMar>
              <w:top w:w="60" w:type="dxa"/>
              <w:start w:w="110" w:type="dxa"/>
              <w:bottom w:w="60" w:type="dxa"/>
              <w:end w:w="110" w:type="dxa"/>
            </w:tcMar>
          </w:tcPr>
          <w:p>
            <w:pPr>
              <w:spacing w:after="0"/>
            </w:pPr>
            <w:r/>
            <w:r>
              <w:rPr>
                <w:rFonts w:ascii="Calibri" w:hAnsi="Calibri"/>
                <w:b w:val="0"/>
                <w:i w:val="0"/>
                <w:color w:val="101828"/>
                <w:sz w:val="15"/>
              </w:rPr>
              <w:t>Onboarding effectiveness</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5"/>
              </w:rPr>
              <w:t>Cost per acquisition</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5"/>
              </w:rPr>
              <w:t>Marketing spend ÷ new verified members</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5"/>
              </w:rPr>
              <w:t>Requires marketing spend data</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5"/>
              </w:rPr>
              <w:t>Payback period</w:t>
            </w:r>
          </w:p>
        </w:tc>
        <w:tc>
          <w:tcPr>
            <w:tcW w:type="dxa" w:w="4464"/>
            <w:tcMar>
              <w:top w:w="60" w:type="dxa"/>
              <w:start w:w="110" w:type="dxa"/>
              <w:bottom w:w="60" w:type="dxa"/>
              <w:end w:w="110" w:type="dxa"/>
            </w:tcMar>
          </w:tcPr>
          <w:p>
            <w:pPr>
              <w:spacing w:after="0"/>
            </w:pPr>
            <w:r/>
            <w:r>
              <w:rPr>
                <w:rFonts w:ascii="Calibri" w:hAnsi="Calibri"/>
                <w:b w:val="0"/>
                <w:i w:val="0"/>
                <w:color w:val="101828"/>
                <w:sz w:val="15"/>
              </w:rPr>
              <w:t>Months of net revenue to recover CAC</w:t>
            </w:r>
          </w:p>
        </w:tc>
        <w:tc>
          <w:tcPr>
            <w:tcW w:type="dxa" w:w="2736"/>
            <w:tcMar>
              <w:top w:w="60" w:type="dxa"/>
              <w:start w:w="110" w:type="dxa"/>
              <w:bottom w:w="60" w:type="dxa"/>
              <w:end w:w="110" w:type="dxa"/>
            </w:tcMar>
          </w:tcPr>
          <w:p>
            <w:pPr>
              <w:spacing w:after="0"/>
            </w:pPr>
            <w:r/>
            <w:r>
              <w:rPr>
                <w:rFonts w:ascii="Calibri" w:hAnsi="Calibri"/>
                <w:b w:val="0"/>
                <w:i w:val="0"/>
                <w:color w:val="101828"/>
                <w:sz w:val="15"/>
              </w:rPr>
              <w:t>Cannot be computed until net revenue is real</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Gross fee revenue is not profit, and should never be reported as profit.  </w:t>
      </w:r>
      <w:r>
        <w:rPr>
          <w:rFonts w:ascii="Calibri" w:hAnsi="Calibri"/>
          <w:b w:val="0"/>
          <w:i w:val="0"/>
          <w:color w:val="0B1F3A"/>
          <w:sz w:val="19"/>
        </w:rPr>
        <w:t>At a 2% fee, provider transaction costs are a large fraction of revenue, and the margin is thin enough that presenting 2% as profitability would be misleading to anyone reading the number. Gross revenue, net revenue, and contribution margin are three different lines, and only the last one describes whether the business works.</w:t>
      </w:r>
    </w:p>
    <w:p>
      <w:pPr>
        <w:pStyle w:val="Heading2"/>
      </w:pPr>
      <w:r>
        <w:rPr>
          <w:rFonts w:ascii="Calibri" w:hAnsi="Calibri"/>
          <w:b/>
          <w:i w:val="0"/>
          <w:color w:val="146EF5"/>
          <w:sz w:val="29"/>
        </w:rPr>
        <w:t>21.4 Member-facing analytics</w:t>
      </w:r>
    </w:p>
    <w:p>
      <w:r>
        <w:rPr>
          <w:rFonts w:ascii="Calibri" w:hAnsi="Calibri"/>
          <w:b w:val="0"/>
          <w:i w:val="0"/>
          <w:color w:val="101828"/>
          <w:sz w:val="21"/>
        </w:rPr>
        <w:t>This is the analytics that changes behaviour rather than informing it, and it is the part members actually value.</w:t>
      </w:r>
    </w:p>
    <w:p>
      <w:pPr>
        <w:pStyle w:val="Heading3"/>
      </w:pPr>
      <w:r>
        <w:rPr>
          <w:rFonts w:ascii="Calibri" w:hAnsi="Calibri"/>
          <w:b/>
          <w:i w:val="0"/>
          <w:color w:val="0B1F3A"/>
          <w:sz w:val="24"/>
        </w:rPr>
        <w:t>21.4.1 Personal savings dashboard</w:t>
      </w:r>
    </w:p>
    <w:p>
      <w:pPr>
        <w:pStyle w:val="ListBullet"/>
        <w:spacing w:after="60"/>
        <w:ind w:left="360"/>
      </w:pPr>
      <w:r>
        <w:rPr>
          <w:rFonts w:ascii="Calibri" w:hAnsi="Calibri"/>
          <w:b/>
          <w:color w:val="101828"/>
          <w:sz w:val="21"/>
        </w:rPr>
        <w:t>Total saved to date</w:t>
      </w:r>
      <w:r>
        <w:rPr>
          <w:rFonts w:ascii="Calibri" w:hAnsi="Calibri"/>
          <w:b w:val="0"/>
          <w:i w:val="0"/>
          <w:color w:val="101828"/>
          <w:sz w:val="21"/>
        </w:rPr>
        <w:t xml:space="preserve"> across every completed and active Ajo — the single most motivating figure.</w:t>
      </w:r>
    </w:p>
    <w:p>
      <w:pPr>
        <w:pStyle w:val="ListBullet"/>
        <w:spacing w:after="60"/>
        <w:ind w:left="360"/>
      </w:pPr>
      <w:r>
        <w:rPr>
          <w:rFonts w:ascii="Calibri" w:hAnsi="Calibri"/>
          <w:b/>
          <w:color w:val="101828"/>
          <w:sz w:val="21"/>
        </w:rPr>
        <w:t>Ajos completed</w:t>
      </w:r>
      <w:r>
        <w:rPr>
          <w:rFonts w:ascii="Calibri" w:hAnsi="Calibri"/>
          <w:b w:val="0"/>
          <w:i w:val="0"/>
          <w:color w:val="101828"/>
          <w:sz w:val="21"/>
        </w:rPr>
        <w:t>, and the count of members helped.</w:t>
      </w:r>
    </w:p>
    <w:p>
      <w:pPr>
        <w:pStyle w:val="ListBullet"/>
        <w:spacing w:after="60"/>
        <w:ind w:left="360"/>
      </w:pPr>
      <w:r>
        <w:rPr>
          <w:rFonts w:ascii="Calibri" w:hAnsi="Calibri"/>
          <w:b/>
          <w:color w:val="101828"/>
          <w:sz w:val="21"/>
        </w:rPr>
        <w:t>Total fees paid</w:t>
      </w:r>
      <w:r>
        <w:rPr>
          <w:rFonts w:ascii="Calibri" w:hAnsi="Calibri"/>
          <w:b w:val="0"/>
          <w:i w:val="0"/>
          <w:color w:val="101828"/>
          <w:sz w:val="21"/>
        </w:rPr>
        <w:t>, stated plainly. Hiding it is a trust problem when the member sees it on a bank statement.</w:t>
      </w:r>
    </w:p>
    <w:p>
      <w:pPr>
        <w:pStyle w:val="ListBullet"/>
        <w:spacing w:after="60"/>
        <w:ind w:left="360"/>
      </w:pPr>
      <w:r>
        <w:rPr>
          <w:rFonts w:ascii="Calibri" w:hAnsi="Calibri"/>
          <w:b/>
          <w:color w:val="101828"/>
          <w:sz w:val="21"/>
        </w:rPr>
        <w:t>Next contribution</w:t>
      </w:r>
      <w:r>
        <w:rPr>
          <w:rFonts w:ascii="Calibri" w:hAnsi="Calibri"/>
          <w:b w:val="0"/>
          <w:i w:val="0"/>
          <w:color w:val="101828"/>
          <w:sz w:val="21"/>
        </w:rPr>
        <w:t xml:space="preserve"> and its due date, prominently.</w:t>
      </w:r>
    </w:p>
    <w:p>
      <w:pPr>
        <w:pStyle w:val="ListBullet"/>
        <w:spacing w:after="60"/>
        <w:ind w:left="360"/>
      </w:pPr>
      <w:r>
        <w:rPr>
          <w:rFonts w:ascii="Calibri" w:hAnsi="Calibri"/>
          <w:b/>
          <w:color w:val="101828"/>
          <w:sz w:val="21"/>
        </w:rPr>
        <w:t>Savings trajectory</w:t>
      </w:r>
      <w:r>
        <w:rPr>
          <w:rFonts w:ascii="Calibri" w:hAnsi="Calibri"/>
          <w:b w:val="0"/>
          <w:i w:val="0"/>
          <w:color w:val="101828"/>
          <w:sz w:val="21"/>
        </w:rPr>
        <w:t xml:space="preserve"> — a simple line over time, showing the pattern of steady accumulation. This is the emotional payoff of the product.</w:t>
      </w:r>
    </w:p>
    <w:p>
      <w:pPr>
        <w:pStyle w:val="ListBullet"/>
        <w:spacing w:after="60"/>
        <w:ind w:left="360"/>
      </w:pPr>
      <w:r>
        <w:rPr>
          <w:rFonts w:ascii="Calibri" w:hAnsi="Calibri"/>
          <w:b/>
          <w:color w:val="101828"/>
          <w:sz w:val="21"/>
        </w:rPr>
        <w:t>Historical round view</w:t>
      </w:r>
      <w:r>
        <w:rPr>
          <w:rFonts w:ascii="Calibri" w:hAnsi="Calibri"/>
          <w:b w:val="0"/>
          <w:i w:val="0"/>
          <w:color w:val="101828"/>
          <w:sz w:val="21"/>
        </w:rPr>
        <w:t xml:space="preserve"> — what was paid in, what was received, when.</w:t>
      </w:r>
    </w:p>
    <w:p>
      <w:pPr>
        <w:pStyle w:val="Heading3"/>
      </w:pPr>
      <w:r>
        <w:rPr>
          <w:rFonts w:ascii="Calibri" w:hAnsi="Calibri"/>
          <w:b/>
          <w:i w:val="0"/>
          <w:color w:val="0B1F3A"/>
          <w:sz w:val="24"/>
        </w:rPr>
        <w:t>21.4.2 Personal insights</w:t>
      </w:r>
    </w:p>
    <w:p>
      <w:pPr>
        <w:pStyle w:val="ListBullet"/>
        <w:spacing w:after="60"/>
        <w:ind w:left="360"/>
      </w:pPr>
      <w:r>
        <w:rPr>
          <w:rFonts w:ascii="Calibri" w:hAnsi="Calibri"/>
          <w:b w:val="0"/>
          <w:i w:val="0"/>
          <w:color w:val="101828"/>
          <w:sz w:val="21"/>
        </w:rPr>
        <w:t>Average contribution per cycle, and how that compares with the previous Ajo.</w:t>
      </w:r>
    </w:p>
    <w:p>
      <w:pPr>
        <w:pStyle w:val="ListBullet"/>
        <w:spacing w:after="60"/>
        <w:ind w:left="360"/>
      </w:pPr>
      <w:r>
        <w:rPr>
          <w:rFonts w:ascii="Calibri" w:hAnsi="Calibri"/>
          <w:b w:val="0"/>
          <w:i w:val="0"/>
          <w:color w:val="101828"/>
          <w:sz w:val="21"/>
        </w:rPr>
        <w:t>Contribution consistency — paid on time every round, or a pattern of near-misses. Framed supportively.</w:t>
      </w:r>
    </w:p>
    <w:p>
      <w:pPr>
        <w:pStyle w:val="ListBullet"/>
        <w:spacing w:after="60"/>
        <w:ind w:left="360"/>
      </w:pPr>
      <w:r>
        <w:rPr>
          <w:rFonts w:ascii="Calibri" w:hAnsi="Calibri"/>
          <w:b w:val="0"/>
          <w:i w:val="0"/>
          <w:color w:val="101828"/>
          <w:sz w:val="21"/>
        </w:rPr>
        <w:t>Time to goal, if the member has set a savings target.</w:t>
      </w:r>
    </w:p>
    <w:p>
      <w:pPr>
        <w:pStyle w:val="ListBullet"/>
        <w:spacing w:after="60"/>
        <w:ind w:left="360"/>
      </w:pPr>
      <w:r>
        <w:rPr>
          <w:rFonts w:ascii="Calibri" w:hAnsi="Calibri"/>
          <w:b w:val="0"/>
          <w:i w:val="0"/>
          <w:color w:val="101828"/>
          <w:sz w:val="21"/>
        </w:rPr>
        <w:t>Largest single payout received, with the Ajo and date.</w:t>
      </w:r>
    </w:p>
    <w:p>
      <w:r>
        <w:rPr>
          <w:rFonts w:ascii="Calibri" w:hAnsi="Calibri"/>
          <w:b w:val="0"/>
          <w:i w:val="0"/>
          <w:color w:val="101828"/>
          <w:sz w:val="21"/>
        </w:rPr>
        <w:t>Insights are computed for the member and shown only to them. No member ever sees another member's financial data, and no derived insight is used for scoring without a documented, lawful basis.</w:t>
      </w:r>
    </w:p>
    <w:p>
      <w:pPr>
        <w:pStyle w:val="Heading2"/>
      </w:pPr>
      <w:r>
        <w:rPr>
          <w:rFonts w:ascii="Calibri" w:hAnsi="Calibri"/>
          <w:b/>
          <w:i w:val="0"/>
          <w:color w:val="146EF5"/>
          <w:sz w:val="29"/>
        </w:rPr>
        <w:t>21.5 Operational dashboards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Dashboard</w:t>
            </w:r>
          </w:p>
        </w:tc>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Audience</w:t>
            </w:r>
          </w:p>
        </w:tc>
        <w:tc>
          <w:tcPr>
            <w:tcW w:type="dxa" w:w="4176"/>
            <w:shd w:val="clear" w:color="auto" w:fill="0B1F3A"/>
            <w:tcMar>
              <w:top w:w="60" w:type="dxa"/>
              <w:start w:w="110" w:type="dxa"/>
              <w:bottom w:w="60" w:type="dxa"/>
              <w:end w:w="110" w:type="dxa"/>
            </w:tcMar>
          </w:tcPr>
          <w:p>
            <w:pPr>
              <w:spacing w:after="0"/>
            </w:pPr>
            <w:r/>
            <w:r>
              <w:rPr>
                <w:rFonts w:ascii="Calibri" w:hAnsi="Calibri"/>
                <w:b/>
                <w:i w:val="0"/>
                <w:color w:val="FFFFFF"/>
                <w:sz w:val="16"/>
              </w:rPr>
              <w:t>Content</w:t>
            </w:r>
          </w:p>
        </w:tc>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6"/>
              </w:rPr>
              <w:t>Refresh</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Money movement</w:t>
            </w:r>
          </w:p>
        </w:tc>
        <w:tc>
          <w:tcPr>
            <w:tcW w:type="dxa" w:w="1872"/>
            <w:tcMar>
              <w:top w:w="60" w:type="dxa"/>
              <w:start w:w="110" w:type="dxa"/>
              <w:bottom w:w="60" w:type="dxa"/>
              <w:end w:w="110" w:type="dxa"/>
            </w:tcMar>
          </w:tcPr>
          <w:p>
            <w:pPr>
              <w:spacing w:after="0"/>
            </w:pPr>
            <w:r/>
            <w:r>
              <w:rPr>
                <w:rFonts w:ascii="Calibri" w:hAnsi="Calibri"/>
                <w:b w:val="0"/>
                <w:i w:val="0"/>
                <w:color w:val="101828"/>
                <w:sz w:val="16"/>
              </w:rPr>
              <w:t>Operations</w:t>
            </w:r>
          </w:p>
        </w:tc>
        <w:tc>
          <w:tcPr>
            <w:tcW w:type="dxa" w:w="4176"/>
            <w:tcMar>
              <w:top w:w="60" w:type="dxa"/>
              <w:start w:w="110" w:type="dxa"/>
              <w:bottom w:w="60" w:type="dxa"/>
              <w:end w:w="110" w:type="dxa"/>
            </w:tcMar>
          </w:tcPr>
          <w:p>
            <w:pPr>
              <w:spacing w:after="0"/>
            </w:pPr>
            <w:r/>
            <w:r>
              <w:rPr>
                <w:rFonts w:ascii="Calibri" w:hAnsi="Calibri"/>
                <w:b w:val="0"/>
                <w:i w:val="0"/>
                <w:color w:val="101828"/>
                <w:sz w:val="16"/>
              </w:rPr>
              <w:t>Contributions and payouts per hour, success rates, cycle times, escrow balance</w:t>
            </w:r>
          </w:p>
        </w:tc>
        <w:tc>
          <w:tcPr>
            <w:tcW w:type="dxa" w:w="1152"/>
            <w:tcMar>
              <w:top w:w="60" w:type="dxa"/>
              <w:start w:w="110" w:type="dxa"/>
              <w:bottom w:w="60" w:type="dxa"/>
              <w:end w:w="110" w:type="dxa"/>
            </w:tcMar>
          </w:tcPr>
          <w:p>
            <w:pPr>
              <w:spacing w:after="0"/>
            </w:pPr>
            <w:r/>
            <w:r>
              <w:rPr>
                <w:rFonts w:ascii="Calibri" w:hAnsi="Calibri"/>
                <w:b w:val="0"/>
                <w:i w:val="0"/>
                <w:color w:val="101828"/>
                <w:sz w:val="16"/>
              </w:rPr>
              <w:t>5 min</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Reconciliation</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Finance</w:t>
            </w:r>
          </w:p>
        </w:tc>
        <w:tc>
          <w:tcPr>
            <w:tcW w:type="dxa" w:w="4176"/>
            <w:tcMar>
              <w:top w:w="60" w:type="dxa"/>
              <w:start w:w="110" w:type="dxa"/>
              <w:bottom w:w="60" w:type="dxa"/>
              <w:end w:w="110" w:type="dxa"/>
            </w:tcMar>
            <w:shd w:val="clear" w:color="auto" w:fill="F4F7FB"/>
          </w:tcPr>
          <w:p>
            <w:pPr>
              <w:spacing w:after="0"/>
            </w:pPr>
            <w:r/>
            <w:r>
              <w:rPr>
                <w:rFonts w:ascii="Calibri" w:hAnsi="Calibri"/>
                <w:b w:val="0"/>
                <w:i w:val="0"/>
                <w:color w:val="101828"/>
                <w:sz w:val="16"/>
              </w:rPr>
              <w:t>Invariants, unmatched payments, breaks, the ledger-to-bank position</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15 min</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Queue health</w:t>
            </w:r>
          </w:p>
        </w:tc>
        <w:tc>
          <w:tcPr>
            <w:tcW w:type="dxa" w:w="1872"/>
            <w:tcMar>
              <w:top w:w="60" w:type="dxa"/>
              <w:start w:w="110" w:type="dxa"/>
              <w:bottom w:w="60" w:type="dxa"/>
              <w:end w:w="110" w:type="dxa"/>
            </w:tcMar>
          </w:tcPr>
          <w:p>
            <w:pPr>
              <w:spacing w:after="0"/>
            </w:pPr>
            <w:r/>
            <w:r>
              <w:rPr>
                <w:rFonts w:ascii="Calibri" w:hAnsi="Calibri"/>
                <w:b w:val="0"/>
                <w:i w:val="0"/>
                <w:color w:val="101828"/>
                <w:sz w:val="16"/>
              </w:rPr>
              <w:t>Engineering</w:t>
            </w:r>
          </w:p>
        </w:tc>
        <w:tc>
          <w:tcPr>
            <w:tcW w:type="dxa" w:w="4176"/>
            <w:tcMar>
              <w:top w:w="60" w:type="dxa"/>
              <w:start w:w="110" w:type="dxa"/>
              <w:bottom w:w="60" w:type="dxa"/>
              <w:end w:w="110" w:type="dxa"/>
            </w:tcMar>
          </w:tcPr>
          <w:p>
            <w:pPr>
              <w:spacing w:after="0"/>
            </w:pPr>
            <w:r/>
            <w:r>
              <w:rPr>
                <w:rFonts w:ascii="Calibri" w:hAnsi="Calibri"/>
                <w:b w:val="0"/>
                <w:i w:val="0"/>
                <w:color w:val="101828"/>
                <w:sz w:val="16"/>
              </w:rPr>
              <w:t>Depth, age, retries, dead letters, per queue</w:t>
            </w:r>
          </w:p>
        </w:tc>
        <w:tc>
          <w:tcPr>
            <w:tcW w:type="dxa" w:w="1152"/>
            <w:tcMar>
              <w:top w:w="60" w:type="dxa"/>
              <w:start w:w="110" w:type="dxa"/>
              <w:bottom w:w="60" w:type="dxa"/>
              <w:end w:w="110" w:type="dxa"/>
            </w:tcMar>
          </w:tcPr>
          <w:p>
            <w:pPr>
              <w:spacing w:after="0"/>
            </w:pPr>
            <w:r/>
            <w:r>
              <w:rPr>
                <w:rFonts w:ascii="Calibri" w:hAnsi="Calibri"/>
                <w:b w:val="0"/>
                <w:i w:val="0"/>
                <w:color w:val="101828"/>
                <w:sz w:val="16"/>
              </w:rPr>
              <w:t>1 min</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Provider health</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Engineering</w:t>
            </w:r>
          </w:p>
        </w:tc>
        <w:tc>
          <w:tcPr>
            <w:tcW w:type="dxa" w:w="4176"/>
            <w:tcMar>
              <w:top w:w="60" w:type="dxa"/>
              <w:start w:w="110" w:type="dxa"/>
              <w:bottom w:w="60" w:type="dxa"/>
              <w:end w:w="110" w:type="dxa"/>
            </w:tcMar>
            <w:shd w:val="clear" w:color="auto" w:fill="F4F7FB"/>
          </w:tcPr>
          <w:p>
            <w:pPr>
              <w:spacing w:after="0"/>
            </w:pPr>
            <w:r/>
            <w:r>
              <w:rPr>
                <w:rFonts w:ascii="Calibri" w:hAnsi="Calibri"/>
                <w:b w:val="0"/>
                <w:i w:val="0"/>
                <w:color w:val="101828"/>
                <w:sz w:val="16"/>
              </w:rPr>
              <w:t>Latency, error rate, webhook lag, per endpoint</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1 min</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Ajo lifecycle</w:t>
            </w:r>
          </w:p>
        </w:tc>
        <w:tc>
          <w:tcPr>
            <w:tcW w:type="dxa" w:w="1872"/>
            <w:tcMar>
              <w:top w:w="60" w:type="dxa"/>
              <w:start w:w="110" w:type="dxa"/>
              <w:bottom w:w="60" w:type="dxa"/>
              <w:end w:w="110" w:type="dxa"/>
            </w:tcMar>
          </w:tcPr>
          <w:p>
            <w:pPr>
              <w:spacing w:after="0"/>
            </w:pPr>
            <w:r/>
            <w:r>
              <w:rPr>
                <w:rFonts w:ascii="Calibri" w:hAnsi="Calibri"/>
                <w:b w:val="0"/>
                <w:i w:val="0"/>
                <w:color w:val="101828"/>
                <w:sz w:val="16"/>
              </w:rPr>
              <w:t>Product</w:t>
            </w:r>
          </w:p>
        </w:tc>
        <w:tc>
          <w:tcPr>
            <w:tcW w:type="dxa" w:w="4176"/>
            <w:tcMar>
              <w:top w:w="60" w:type="dxa"/>
              <w:start w:w="110" w:type="dxa"/>
              <w:bottom w:w="60" w:type="dxa"/>
              <w:end w:w="110" w:type="dxa"/>
            </w:tcMar>
          </w:tcPr>
          <w:p>
            <w:pPr>
              <w:spacing w:after="0"/>
            </w:pPr>
            <w:r/>
            <w:r>
              <w:rPr>
                <w:rFonts w:ascii="Calibri" w:hAnsi="Calibri"/>
                <w:b w:val="0"/>
                <w:i w:val="0"/>
                <w:color w:val="101828"/>
                <w:sz w:val="16"/>
              </w:rPr>
              <w:t>Created, funded, active, completed, cancelled, with a funnel</w:t>
            </w:r>
          </w:p>
        </w:tc>
        <w:tc>
          <w:tcPr>
            <w:tcW w:type="dxa" w:w="1152"/>
            <w:tcMar>
              <w:top w:w="60" w:type="dxa"/>
              <w:start w:w="110" w:type="dxa"/>
              <w:bottom w:w="60" w:type="dxa"/>
              <w:end w:w="110" w:type="dxa"/>
            </w:tcMar>
          </w:tcPr>
          <w:p>
            <w:pPr>
              <w:spacing w:after="0"/>
            </w:pPr>
            <w:r/>
            <w:r>
              <w:rPr>
                <w:rFonts w:ascii="Calibri" w:hAnsi="Calibri"/>
                <w:b w:val="0"/>
                <w:i w:val="0"/>
                <w:color w:val="101828"/>
                <w:sz w:val="16"/>
              </w:rPr>
              <w:t>1 hour</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Risk</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Risk team</w:t>
            </w:r>
          </w:p>
        </w:tc>
        <w:tc>
          <w:tcPr>
            <w:tcW w:type="dxa" w:w="4176"/>
            <w:tcMar>
              <w:top w:w="60" w:type="dxa"/>
              <w:start w:w="110" w:type="dxa"/>
              <w:bottom w:w="60" w:type="dxa"/>
              <w:end w:w="110" w:type="dxa"/>
            </w:tcMar>
            <w:shd w:val="clear" w:color="auto" w:fill="F4F7FB"/>
          </w:tcPr>
          <w:p>
            <w:pPr>
              <w:spacing w:after="0"/>
            </w:pPr>
            <w:r/>
            <w:r>
              <w:rPr>
                <w:rFonts w:ascii="Calibri" w:hAnsi="Calibri"/>
                <w:b w:val="0"/>
                <w:i w:val="0"/>
                <w:color w:val="101828"/>
                <w:sz w:val="16"/>
              </w:rPr>
              <w:t>Open alerts, holds, false positives, cases by type</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5 min</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Member health</w:t>
            </w:r>
          </w:p>
        </w:tc>
        <w:tc>
          <w:tcPr>
            <w:tcW w:type="dxa" w:w="1872"/>
            <w:tcMar>
              <w:top w:w="60" w:type="dxa"/>
              <w:start w:w="110" w:type="dxa"/>
              <w:bottom w:w="60" w:type="dxa"/>
              <w:end w:w="110" w:type="dxa"/>
            </w:tcMar>
          </w:tcPr>
          <w:p>
            <w:pPr>
              <w:spacing w:after="0"/>
            </w:pPr>
            <w:r/>
            <w:r>
              <w:rPr>
                <w:rFonts w:ascii="Calibri" w:hAnsi="Calibri"/>
                <w:b w:val="0"/>
                <w:i w:val="0"/>
                <w:color w:val="101828"/>
                <w:sz w:val="16"/>
              </w:rPr>
              <w:t>Product and support</w:t>
            </w:r>
          </w:p>
        </w:tc>
        <w:tc>
          <w:tcPr>
            <w:tcW w:type="dxa" w:w="4176"/>
            <w:tcMar>
              <w:top w:w="60" w:type="dxa"/>
              <w:start w:w="110" w:type="dxa"/>
              <w:bottom w:w="60" w:type="dxa"/>
              <w:end w:w="110" w:type="dxa"/>
            </w:tcMar>
          </w:tcPr>
          <w:p>
            <w:pPr>
              <w:spacing w:after="0"/>
            </w:pPr>
            <w:r/>
            <w:r>
              <w:rPr>
                <w:rFonts w:ascii="Calibri" w:hAnsi="Calibri"/>
                <w:b w:val="0"/>
                <w:i w:val="0"/>
                <w:color w:val="101828"/>
                <w:sz w:val="16"/>
              </w:rPr>
              <w:t>Default rate, recovery, complaints, NPS</w:t>
            </w:r>
          </w:p>
        </w:tc>
        <w:tc>
          <w:tcPr>
            <w:tcW w:type="dxa" w:w="1152"/>
            <w:tcMar>
              <w:top w:w="60" w:type="dxa"/>
              <w:start w:w="110" w:type="dxa"/>
              <w:bottom w:w="60" w:type="dxa"/>
              <w:end w:w="110" w:type="dxa"/>
            </w:tcMar>
          </w:tcPr>
          <w:p>
            <w:pPr>
              <w:spacing w:after="0"/>
            </w:pPr>
            <w:r/>
            <w:r>
              <w:rPr>
                <w:rFonts w:ascii="Calibri" w:hAnsi="Calibri"/>
                <w:b w:val="0"/>
                <w:i w:val="0"/>
                <w:color w:val="101828"/>
                <w:sz w:val="16"/>
              </w:rPr>
              <w:t>Daily</w:t>
            </w:r>
          </w:p>
        </w:tc>
      </w:tr>
    </w:tbl>
    <w:p>
      <w:pPr>
        <w:spacing w:after="80"/>
      </w:pPr>
    </w:p>
    <w:p>
      <w:pPr>
        <w:pStyle w:val="Heading2"/>
      </w:pPr>
      <w:r>
        <w:rPr>
          <w:rFonts w:ascii="Calibri" w:hAnsi="Calibri"/>
          <w:b/>
          <w:i w:val="0"/>
          <w:color w:val="146EF5"/>
          <w:sz w:val="29"/>
        </w:rPr>
        <w:t>21.6 Financial reporting</w:t>
      </w:r>
    </w:p>
    <w:p>
      <w:pPr>
        <w:pStyle w:val="Heading3"/>
      </w:pPr>
      <w:r>
        <w:rPr>
          <w:rFonts w:ascii="Calibri" w:hAnsi="Calibri"/>
          <w:b/>
          <w:i w:val="0"/>
          <w:color w:val="0B1F3A"/>
          <w:sz w:val="24"/>
        </w:rPr>
        <w:t>21.6.1 Monthly close</w:t>
      </w:r>
    </w:p>
    <w:p>
      <w:pPr>
        <w:pStyle w:val="ListNumber"/>
        <w:spacing w:after="60"/>
        <w:ind w:left="432"/>
      </w:pPr>
      <w:r>
        <w:rPr>
          <w:rFonts w:ascii="Calibri" w:hAnsi="Calibri"/>
          <w:b w:val="0"/>
          <w:i w:val="0"/>
          <w:color w:val="101828"/>
          <w:sz w:val="21"/>
        </w:rPr>
        <w:t>Reconcile all accounts and the ledger; sign off with a named owner.</w:t>
      </w:r>
    </w:p>
    <w:p>
      <w:pPr>
        <w:pStyle w:val="ListNumber"/>
        <w:spacing w:after="60"/>
        <w:ind w:left="432"/>
      </w:pPr>
      <w:r>
        <w:rPr>
          <w:rFonts w:ascii="Calibri" w:hAnsi="Calibri"/>
          <w:b w:val="0"/>
          <w:i w:val="0"/>
          <w:color w:val="101828"/>
          <w:sz w:val="21"/>
        </w:rPr>
        <w:t>Accrue fee revenue properly, and reconcile accrued fees to cash received. A 2% accrual on a contribution that has not settled is still a liability to be tracked.</w:t>
      </w:r>
    </w:p>
    <w:p>
      <w:pPr>
        <w:pStyle w:val="ListNumber"/>
        <w:spacing w:after="60"/>
        <w:ind w:left="432"/>
      </w:pPr>
      <w:r>
        <w:rPr>
          <w:rFonts w:ascii="Calibri" w:hAnsi="Calibri"/>
          <w:b w:val="0"/>
          <w:i w:val="0"/>
          <w:color w:val="101828"/>
          <w:sz w:val="21"/>
        </w:rPr>
        <w:t>Report gross contribution volume, gross fee revenue, provider costs, and net margin separately.</w:t>
      </w:r>
    </w:p>
    <w:p>
      <w:pPr>
        <w:pStyle w:val="ListNumber"/>
        <w:spacing w:after="60"/>
        <w:ind w:left="432"/>
      </w:pPr>
      <w:r>
        <w:rPr>
          <w:rFonts w:ascii="Calibri" w:hAnsi="Calibri"/>
          <w:b w:val="0"/>
          <w:i w:val="0"/>
          <w:color w:val="101828"/>
          <w:sz w:val="21"/>
        </w:rPr>
        <w:t>Report the escrow obligation as a liability, and the fee receivable as an asset. The obligation to members is not revenue and must never appear as such.</w:t>
      </w:r>
    </w:p>
    <w:p>
      <w:pPr>
        <w:pStyle w:val="ListNumber"/>
        <w:spacing w:after="60"/>
        <w:ind w:left="432"/>
      </w:pPr>
      <w:r>
        <w:rPr>
          <w:rFonts w:ascii="Calibri" w:hAnsi="Calibri"/>
          <w:b w:val="0"/>
          <w:i w:val="0"/>
          <w:color w:val="101828"/>
          <w:sz w:val="21"/>
        </w:rPr>
        <w:t>Reconcile the reporting layer to the ledger. Any difference is investigated before the pack is issued.</w:t>
      </w:r>
    </w:p>
    <w:p>
      <w:pPr>
        <w:pStyle w:val="ListNumber"/>
        <w:spacing w:after="60"/>
        <w:ind w:left="432"/>
      </w:pPr>
      <w:r>
        <w:rPr>
          <w:rFonts w:ascii="Calibri" w:hAnsi="Calibri"/>
          <w:b w:val="0"/>
          <w:i w:val="0"/>
          <w:color w:val="101828"/>
          <w:sz w:val="21"/>
        </w:rPr>
        <w:t>Issue the pack with a written commentary on variances, not just numbers.</w:t>
      </w:r>
    </w:p>
    <w:p>
      <w:pPr>
        <w:pStyle w:val="Heading3"/>
      </w:pPr>
      <w:r>
        <w:rPr>
          <w:rFonts w:ascii="Calibri" w:hAnsi="Calibri"/>
          <w:b/>
          <w:i w:val="0"/>
          <w:color w:val="0B1F3A"/>
          <w:sz w:val="24"/>
        </w:rPr>
        <w:t>21.6.2 Compliance and audit reporting</w:t>
      </w:r>
    </w:p>
    <w:p>
      <w:pPr>
        <w:pStyle w:val="ListBullet"/>
        <w:spacing w:after="60"/>
        <w:ind w:left="360"/>
      </w:pPr>
      <w:r>
        <w:rPr>
          <w:rFonts w:ascii="Calibri" w:hAnsi="Calibri"/>
          <w:b/>
          <w:color w:val="101828"/>
          <w:sz w:val="21"/>
        </w:rPr>
        <w:t>Transaction reporting</w:t>
      </w:r>
      <w:r>
        <w:rPr>
          <w:rFonts w:ascii="Calibri" w:hAnsi="Calibri"/>
          <w:b w:val="0"/>
          <w:i w:val="0"/>
          <w:color w:val="101828"/>
          <w:sz w:val="21"/>
        </w:rPr>
        <w:t xml:space="preserve"> — per-provider and regulator-facing reports, in the format the provider or authority specifies, generated from the ledger.</w:t>
      </w:r>
    </w:p>
    <w:p>
      <w:pPr>
        <w:pStyle w:val="ListBullet"/>
        <w:spacing w:after="60"/>
        <w:ind w:left="360"/>
      </w:pPr>
      <w:r>
        <w:rPr>
          <w:rFonts w:ascii="Calibri" w:hAnsi="Calibri"/>
          <w:b/>
          <w:color w:val="101828"/>
          <w:sz w:val="21"/>
        </w:rPr>
        <w:t>Suspicious Activity Reports</w:t>
      </w:r>
      <w:r>
        <w:rPr>
          <w:rFonts w:ascii="Calibri" w:hAnsi="Calibri"/>
          <w:b w:val="0"/>
          <w:i w:val="0"/>
          <w:color w:val="101828"/>
          <w:sz w:val="21"/>
        </w:rPr>
        <w:t>, filed within the statutory deadline, with a complete internal case file behind each one.</w:t>
      </w:r>
    </w:p>
    <w:p>
      <w:pPr>
        <w:pStyle w:val="ListBullet"/>
        <w:spacing w:after="60"/>
        <w:ind w:left="360"/>
      </w:pPr>
      <w:r>
        <w:rPr>
          <w:rFonts w:ascii="Calibri" w:hAnsi="Calibri"/>
          <w:b/>
          <w:color w:val="101828"/>
          <w:sz w:val="21"/>
        </w:rPr>
        <w:t>Audit packs</w:t>
      </w:r>
      <w:r>
        <w:rPr>
          <w:rFonts w:ascii="Calibri" w:hAnsi="Calibri"/>
          <w:b w:val="0"/>
          <w:i w:val="0"/>
          <w:color w:val="101828"/>
          <w:sz w:val="21"/>
        </w:rPr>
        <w:t xml:space="preserve"> — for a financial audit or a regulatory examination: the ledger, the reconciliation records, the access logs, and the policy documents in force at the time.</w:t>
      </w:r>
    </w:p>
    <w:p>
      <w:pPr>
        <w:pStyle w:val="ListBullet"/>
        <w:spacing w:after="60"/>
        <w:ind w:left="360"/>
      </w:pPr>
      <w:r>
        <w:rPr>
          <w:rFonts w:ascii="Calibri" w:hAnsi="Calibri"/>
          <w:b/>
          <w:color w:val="101828"/>
          <w:sz w:val="21"/>
        </w:rPr>
        <w:t>Member statements</w:t>
      </w:r>
      <w:r>
        <w:rPr>
          <w:rFonts w:ascii="Calibri" w:hAnsi="Calibri"/>
          <w:b w:val="0"/>
          <w:i w:val="0"/>
          <w:color w:val="101828"/>
          <w:sz w:val="21"/>
        </w:rPr>
        <w:t xml:space="preserve"> — monthly and annual, itemising contributions, fees, and payouts.</w:t>
      </w:r>
    </w:p>
    <w:p>
      <w:pPr>
        <w:spacing w:before="140" w:after="180"/>
        <w:ind w:left="144"/>
        <w:shd w:val="clear" w:color="auto" w:fill="FEE2E2"/>
        <w:pBdr>
          <w:left w:val="single" w:sz="18" w:space="6" w:color="DC2626"/>
        </w:pBdr>
      </w:pPr>
      <w:r>
        <w:rPr>
          <w:rFonts w:ascii="Calibri" w:hAnsi="Calibri"/>
          <w:b/>
          <w:color w:val="DC2626"/>
          <w:sz w:val="19"/>
        </w:rPr>
        <w:t xml:space="preserve">Reporting obligations must be established before launch, not after.  </w:t>
      </w:r>
      <w:r>
        <w:rPr>
          <w:rFonts w:ascii="Calibri" w:hAnsi="Calibri"/>
          <w:b w:val="0"/>
          <w:i w:val="0"/>
          <w:color w:val="0B1F3A"/>
          <w:sz w:val="19"/>
        </w:rPr>
        <w:t xml:space="preserve">The specific reports required of AJO.ng — to the payment provider, to the bank, to the FIU, to any supervisory authority, and to tax authorities — depend on the business structure and the agreements in place, and none of that has been confirmed. </w:t>
      </w:r>
      <w:r>
        <w:rPr>
          <w:rFonts w:ascii="Calibri" w:hAnsi="Calibri"/>
          <w:b/>
          <w:color w:val="0B1F3A"/>
          <w:sz w:val="19"/>
        </w:rPr>
        <w:t>Qualified Nigerian legal and compliance professionals must establish these obligations before launch.</w:t>
      </w:r>
      <w:r>
        <w:rPr>
          <w:rFonts w:ascii="Calibri" w:hAnsi="Calibri"/>
          <w:b w:val="0"/>
          <w:i w:val="0"/>
          <w:color w:val="0B1F3A"/>
          <w:sz w:val="19"/>
        </w:rPr>
        <w:t xml:space="preserve"> The architecture in this section is designed to support whatever they turn out to require, which is a reason to build it now and a reason not to assume its contents.</w:t>
      </w:r>
    </w:p>
    <w:p>
      <w:pPr>
        <w:pStyle w:val="Heading2"/>
      </w:pPr>
      <w:r>
        <w:rPr>
          <w:rFonts w:ascii="Calibri" w:hAnsi="Calibri"/>
          <w:b/>
          <w:i w:val="0"/>
          <w:color w:val="146EF5"/>
          <w:sz w:val="29"/>
        </w:rPr>
        <w:t>21.7 Product analytics</w:t>
      </w:r>
    </w:p>
    <w:p>
      <w:r>
        <w:rPr>
          <w:rFonts w:ascii="Calibri" w:hAnsi="Calibri"/>
          <w:b w:val="0"/>
          <w:i w:val="0"/>
          <w:color w:val="101828"/>
          <w:sz w:val="21"/>
        </w:rPr>
        <w:t>Funnel and behavioural analysis for improving the product, built on pseudonymous identifiers only.</w:t>
      </w:r>
    </w:p>
    <w:p>
      <w:pPr>
        <w:spacing w:before="0" w:after="0" w:line="240" w:lineRule="auto"/>
        <w:ind w:left="230"/>
        <w:shd w:val="clear" w:color="auto" w:fill="F7F9FC"/>
        <w:pBdr>
          <w:left w:val="single" w:sz="4" w:space="6" w:color="D0D5DD"/>
        </w:pBdr>
      </w:pPr>
      <w:r>
        <w:rPr>
          <w:rFonts w:ascii="Consolas" w:hAnsi="Consolas"/>
          <w:color w:val="0B1F3A"/>
          <w:sz w:val="14"/>
        </w:rPr>
        <w:t xml:space="preserve">  install → onboarding → verified → first Ajo viewed → first Ajo joined</w:t>
      </w:r>
    </w:p>
    <w:p>
      <w:pPr>
        <w:spacing w:before="0" w:after="0" w:line="240" w:lineRule="auto"/>
        <w:ind w:left="230"/>
        <w:shd w:val="clear" w:color="auto" w:fill="F7F9FC"/>
        <w:pBdr>
          <w:left w:val="single" w:sz="4" w:space="6" w:color="D0D5DD"/>
        </w:pBdr>
      </w:pPr>
      <w:r>
        <w:rPr>
          <w:rFonts w:ascii="Consolas" w:hAnsi="Consolas"/>
          <w:color w:val="0B1F3A"/>
          <w:sz w:val="14"/>
        </w:rPr>
        <w:t xml:space="preserve">          → first contribution → first round funded → first payout received</w:t>
      </w:r>
    </w:p>
    <w:p>
      <w:pPr>
        <w:spacing w:before="0" w:after="0" w:line="240" w:lineRule="auto"/>
        <w:ind w:left="230"/>
        <w:shd w:val="clear" w:color="auto" w:fill="F7F9FC"/>
        <w:pBdr>
          <w:left w:val="single" w:sz="4" w:space="6" w:color="D0D5DD"/>
        </w:pBdr>
      </w:pPr>
      <w:r>
        <w:rPr>
          <w:rFonts w:ascii="Consolas" w:hAnsi="Consolas"/>
          <w:color w:val="0B1F3A"/>
          <w:sz w:val="14"/>
        </w:rPr>
        <w:t xml:space="preserve">          → second Ajo</w:t>
      </w:r>
    </w:p>
    <w:p>
      <w:pPr>
        <w:spacing w:before="0" w:after="0" w:line="240" w:lineRule="auto"/>
        <w:ind w:left="230"/>
        <w:shd w:val="clear" w:color="auto" w:fill="F7F9FC"/>
        <w:pBdr>
          <w:left w:val="single" w:sz="4" w:space="6" w:color="D0D5DD"/>
        </w:pBdr>
      </w:pPr>
      <w:r>
        <w:rPr>
          <w:rFonts w:ascii="Consolas" w:hAnsi="Consolas"/>
          <w:color w:val="0B1F3A"/>
          <w:sz w:val="14"/>
        </w:rPr>
        <w:t xml:space="preserve"> </w:t>
      </w:r>
    </w:p>
    <w:p>
      <w:pPr>
        <w:spacing w:before="0" w:after="0" w:line="240" w:lineRule="auto"/>
        <w:ind w:left="230"/>
        <w:shd w:val="clear" w:color="auto" w:fill="F7F9FC"/>
        <w:pBdr>
          <w:left w:val="single" w:sz="4" w:space="6" w:color="D0D5DD"/>
        </w:pBdr>
      </w:pPr>
      <w:r>
        <w:rPr>
          <w:rFonts w:ascii="Consolas" w:hAnsi="Consolas"/>
          <w:color w:val="0B1F3A"/>
          <w:sz w:val="14"/>
        </w:rPr>
        <w:t xml:space="preserve">  Diagnose the drop at each step. The most common and most expensive leaks in a</w:t>
      </w:r>
    </w:p>
    <w:p>
      <w:pPr>
        <w:spacing w:before="0" w:after="0" w:line="240" w:lineRule="auto"/>
        <w:ind w:left="230"/>
        <w:shd w:val="clear" w:color="auto" w:fill="F7F9FC"/>
        <w:pBdr>
          <w:left w:val="single" w:sz="4" w:space="6" w:color="D0D5DD"/>
        </w:pBdr>
      </w:pPr>
      <w:r>
        <w:rPr>
          <w:rFonts w:ascii="Consolas" w:hAnsi="Consolas"/>
          <w:color w:val="0B1F3A"/>
          <w:sz w:val="14"/>
        </w:rPr>
        <w:t xml:space="preserve">  savings product are: verification abandonment, first-contribution failure, and</w:t>
      </w:r>
    </w:p>
    <w:p>
      <w:pPr>
        <w:spacing w:before="0" w:after="0" w:line="240" w:lineRule="auto"/>
        <w:ind w:left="230"/>
        <w:shd w:val="clear" w:color="auto" w:fill="F7F9FC"/>
        <w:pBdr>
          <w:left w:val="single" w:sz="4" w:space="6" w:color="D0D5DD"/>
        </w:pBdr>
      </w:pPr>
      <w:r>
        <w:rPr>
          <w:rFonts w:ascii="Consolas" w:hAnsi="Consolas"/>
          <w:color w:val="0B1F3A"/>
          <w:sz w:val="14"/>
        </w:rPr>
        <w:t xml:space="preserve">  the long wait for a first payout. Each of those is a fixable product problem,</w:t>
      </w:r>
    </w:p>
    <w:p>
      <w:pPr>
        <w:spacing w:before="0" w:after="0" w:line="240" w:lineRule="auto"/>
        <w:ind w:left="230"/>
        <w:shd w:val="clear" w:color="auto" w:fill="F7F9FC"/>
        <w:pBdr>
          <w:left w:val="single" w:sz="4" w:space="6" w:color="D0D5DD"/>
        </w:pBdr>
      </w:pPr>
      <w:r>
        <w:rPr>
          <w:rFonts w:ascii="Consolas" w:hAnsi="Consolas"/>
          <w:color w:val="0B1F3A"/>
          <w:sz w:val="14"/>
        </w:rPr>
        <w:t xml:space="preserve">  and each one costs a member.</w:t>
      </w:r>
    </w:p>
    <w:p>
      <w:pPr>
        <w:pStyle w:val="ListBullet"/>
        <w:spacing w:after="60"/>
        <w:ind w:left="360"/>
      </w:pPr>
      <w:r>
        <w:rPr>
          <w:rFonts w:ascii="Calibri" w:hAnsi="Calibri"/>
          <w:b/>
          <w:color w:val="101828"/>
          <w:sz w:val="21"/>
        </w:rPr>
        <w:t>Cohorts by join month</w:t>
      </w:r>
      <w:r>
        <w:rPr>
          <w:rFonts w:ascii="Calibri" w:hAnsi="Calibri"/>
          <w:b w:val="0"/>
          <w:i w:val="0"/>
          <w:color w:val="101828"/>
          <w:sz w:val="21"/>
        </w:rPr>
        <w:t>, because Ajo behaviour is inherently seasonal and a blended average hides it.</w:t>
      </w:r>
    </w:p>
    <w:p>
      <w:pPr>
        <w:pStyle w:val="ListBullet"/>
        <w:spacing w:after="60"/>
        <w:ind w:left="360"/>
      </w:pPr>
      <w:r>
        <w:rPr>
          <w:rFonts w:ascii="Calibri" w:hAnsi="Calibri"/>
          <w:b/>
          <w:color w:val="101828"/>
          <w:sz w:val="21"/>
        </w:rPr>
        <w:t>Event tracking</w:t>
      </w:r>
      <w:r>
        <w:rPr>
          <w:rFonts w:ascii="Calibri" w:hAnsi="Calibri"/>
          <w:b w:val="0"/>
          <w:i w:val="0"/>
          <w:color w:val="101828"/>
          <w:sz w:val="21"/>
        </w:rPr>
        <w:t xml:space="preserve"> on the journeys that matter: onboarding steps, payment attempts and failures, notification interactions, and support contacts.</w:t>
      </w:r>
    </w:p>
    <w:p>
      <w:pPr>
        <w:pStyle w:val="ListBullet"/>
        <w:spacing w:after="60"/>
        <w:ind w:left="360"/>
      </w:pPr>
      <w:r>
        <w:rPr>
          <w:rFonts w:ascii="Calibri" w:hAnsi="Calibri"/>
          <w:b/>
          <w:color w:val="101828"/>
          <w:sz w:val="21"/>
        </w:rPr>
        <w:t>Error analysis by app version and device</w:t>
      </w:r>
      <w:r>
        <w:rPr>
          <w:rFonts w:ascii="Calibri" w:hAnsi="Calibri"/>
          <w:b w:val="0"/>
          <w:i w:val="0"/>
          <w:color w:val="101828"/>
          <w:sz w:val="21"/>
        </w:rPr>
        <w:t>, so a defect affecting a specific Android population is visible rather than anecdotal.</w:t>
      </w:r>
    </w:p>
    <w:p>
      <w:pPr>
        <w:pStyle w:val="ListBullet"/>
        <w:spacing w:after="60"/>
        <w:ind w:left="360"/>
      </w:pPr>
      <w:r>
        <w:rPr>
          <w:rFonts w:ascii="Calibri" w:hAnsi="Calibri"/>
          <w:b/>
          <w:color w:val="101828"/>
          <w:sz w:val="21"/>
        </w:rPr>
        <w:t>Qualitative input</w:t>
      </w:r>
      <w:r>
        <w:rPr>
          <w:rFonts w:ascii="Calibri" w:hAnsi="Calibri"/>
          <w:b w:val="0"/>
          <w:i w:val="0"/>
          <w:color w:val="101828"/>
          <w:sz w:val="21"/>
        </w:rPr>
        <w:t xml:space="preserve"> — support tickets, app reviews, and member interviews. The numbers tell you where; the conversations tell you why.</w:t>
      </w:r>
    </w:p>
    <w:p>
      <w:pPr>
        <w:pStyle w:val="Heading2"/>
      </w:pPr>
      <w:r>
        <w:rPr>
          <w:rFonts w:ascii="Calibri" w:hAnsi="Calibri"/>
          <w:b/>
          <w:i w:val="0"/>
          <w:color w:val="146EF5"/>
          <w:sz w:val="29"/>
        </w:rPr>
        <w:t>21.8 Data quality</w:t>
      </w:r>
    </w:p>
    <w:p>
      <w:r>
        <w:rPr>
          <w:rFonts w:ascii="Calibri" w:hAnsi="Calibri"/>
          <w:b w:val="0"/>
          <w:i w:val="0"/>
          <w:color w:val="101828"/>
          <w:sz w:val="21"/>
        </w:rPr>
        <w:t>A report built on unverified data is worse than no report, because it is acted upon. Data quality is measured, not assumed.</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Check</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Frequency</w:t>
            </w:r>
          </w:p>
        </w:tc>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Threshold</w:t>
            </w:r>
          </w:p>
        </w:tc>
        <w:tc>
          <w:tcPr>
            <w:tcW w:type="dxa" w:w="3456"/>
            <w:shd w:val="clear" w:color="auto" w:fill="0B1F3A"/>
            <w:tcMar>
              <w:top w:w="60" w:type="dxa"/>
              <w:start w:w="110" w:type="dxa"/>
              <w:bottom w:w="60" w:type="dxa"/>
              <w:end w:w="110" w:type="dxa"/>
            </w:tcMar>
          </w:tcPr>
          <w:p>
            <w:pPr>
              <w:spacing w:after="0"/>
            </w:pPr>
            <w:r/>
            <w:r>
              <w:rPr>
                <w:rFonts w:ascii="Calibri" w:hAnsi="Calibri"/>
                <w:b/>
                <w:i w:val="0"/>
                <w:color w:val="FFFFFF"/>
                <w:sz w:val="16"/>
              </w:rPr>
              <w:t>On failure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Ledger to warehouse</w:t>
            </w:r>
          </w:p>
        </w:tc>
        <w:tc>
          <w:tcPr>
            <w:tcW w:type="dxa" w:w="1584"/>
            <w:tcMar>
              <w:top w:w="60" w:type="dxa"/>
              <w:start w:w="110" w:type="dxa"/>
              <w:bottom w:w="60" w:type="dxa"/>
              <w:end w:w="110" w:type="dxa"/>
            </w:tcMar>
          </w:tcPr>
          <w:p>
            <w:pPr>
              <w:spacing w:after="0"/>
            </w:pPr>
            <w:r/>
            <w:r>
              <w:rPr>
                <w:rFonts w:ascii="Calibri" w:hAnsi="Calibri"/>
                <w:b w:val="0"/>
                <w:i w:val="0"/>
                <w:color w:val="101828"/>
                <w:sz w:val="16"/>
              </w:rPr>
              <w:t>Daily</w:t>
            </w:r>
          </w:p>
        </w:tc>
        <w:tc>
          <w:tcPr>
            <w:tcW w:type="dxa" w:w="1872"/>
            <w:tcMar>
              <w:top w:w="60" w:type="dxa"/>
              <w:start w:w="110" w:type="dxa"/>
              <w:bottom w:w="60" w:type="dxa"/>
              <w:end w:w="110" w:type="dxa"/>
            </w:tcMar>
          </w:tcPr>
          <w:p>
            <w:pPr>
              <w:spacing w:after="0"/>
            </w:pPr>
            <w:r/>
            <w:r>
              <w:rPr>
                <w:rFonts w:ascii="Calibri" w:hAnsi="Calibri"/>
                <w:b w:val="0"/>
                <w:i w:val="0"/>
                <w:color w:val="101828"/>
                <w:sz w:val="16"/>
              </w:rPr>
              <w:t>Zero difference</w:t>
            </w:r>
          </w:p>
        </w:tc>
        <w:tc>
          <w:tcPr>
            <w:tcW w:type="dxa" w:w="3456"/>
            <w:tcMar>
              <w:top w:w="60" w:type="dxa"/>
              <w:start w:w="110" w:type="dxa"/>
              <w:bottom w:w="60" w:type="dxa"/>
              <w:end w:w="110" w:type="dxa"/>
            </w:tcMar>
          </w:tcPr>
          <w:p>
            <w:pPr>
              <w:spacing w:after="0"/>
            </w:pPr>
            <w:r/>
            <w:r>
              <w:rPr>
                <w:rFonts w:ascii="Calibri" w:hAnsi="Calibri"/>
                <w:b w:val="0"/>
                <w:i w:val="0"/>
                <w:color w:val="101828"/>
                <w:sz w:val="16"/>
              </w:rPr>
              <w:t>Block the reporting layer; investigate</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Event completeness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Daily</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&lt; 0.1% loss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Investigate the pipeline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Metric definition drift</w:t>
            </w:r>
          </w:p>
        </w:tc>
        <w:tc>
          <w:tcPr>
            <w:tcW w:type="dxa" w:w="1584"/>
            <w:tcMar>
              <w:top w:w="60" w:type="dxa"/>
              <w:start w:w="110" w:type="dxa"/>
              <w:bottom w:w="60" w:type="dxa"/>
              <w:end w:w="110" w:type="dxa"/>
            </w:tcMar>
          </w:tcPr>
          <w:p>
            <w:pPr>
              <w:spacing w:after="0"/>
            </w:pPr>
            <w:r/>
            <w:r>
              <w:rPr>
                <w:rFonts w:ascii="Calibri" w:hAnsi="Calibri"/>
                <w:b w:val="0"/>
                <w:i w:val="0"/>
                <w:color w:val="101828"/>
                <w:sz w:val="16"/>
              </w:rPr>
              <w:t>Per release</w:t>
            </w:r>
          </w:p>
        </w:tc>
        <w:tc>
          <w:tcPr>
            <w:tcW w:type="dxa" w:w="1872"/>
            <w:tcMar>
              <w:top w:w="60" w:type="dxa"/>
              <w:start w:w="110" w:type="dxa"/>
              <w:bottom w:w="60" w:type="dxa"/>
              <w:end w:w="110" w:type="dxa"/>
            </w:tcMar>
          </w:tcPr>
          <w:p>
            <w:pPr>
              <w:spacing w:after="0"/>
            </w:pPr>
            <w:r/>
            <w:r>
              <w:rPr>
                <w:rFonts w:ascii="Calibri" w:hAnsi="Calibri"/>
                <w:b w:val="0"/>
                <w:i w:val="0"/>
                <w:color w:val="101828"/>
                <w:sz w:val="16"/>
              </w:rPr>
              <w:t>No undocumented change</w:t>
            </w:r>
          </w:p>
        </w:tc>
        <w:tc>
          <w:tcPr>
            <w:tcW w:type="dxa" w:w="3456"/>
            <w:tcMar>
              <w:top w:w="60" w:type="dxa"/>
              <w:start w:w="110" w:type="dxa"/>
              <w:bottom w:w="60" w:type="dxa"/>
              <w:end w:w="110" w:type="dxa"/>
            </w:tcMar>
          </w:tcPr>
          <w:p>
            <w:pPr>
              <w:spacing w:after="0"/>
            </w:pPr>
            <w:r/>
            <w:r>
              <w:rPr>
                <w:rFonts w:ascii="Calibri" w:hAnsi="Calibri"/>
                <w:b w:val="0"/>
                <w:i w:val="0"/>
                <w:color w:val="101828"/>
                <w:sz w:val="16"/>
              </w:rPr>
              <w:t>Reject the release</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Referential integrity in aggregates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Daily</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Zero orphans</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Rebuild the aggregate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Backfill verification</w:t>
            </w:r>
          </w:p>
        </w:tc>
        <w:tc>
          <w:tcPr>
            <w:tcW w:type="dxa" w:w="1584"/>
            <w:tcMar>
              <w:top w:w="60" w:type="dxa"/>
              <w:start w:w="110" w:type="dxa"/>
              <w:bottom w:w="60" w:type="dxa"/>
              <w:end w:w="110" w:type="dxa"/>
            </w:tcMar>
          </w:tcPr>
          <w:p>
            <w:pPr>
              <w:spacing w:after="0"/>
            </w:pPr>
            <w:r/>
            <w:r>
              <w:rPr>
                <w:rFonts w:ascii="Calibri" w:hAnsi="Calibri"/>
                <w:b w:val="0"/>
                <w:i w:val="0"/>
                <w:color w:val="101828"/>
                <w:sz w:val="16"/>
              </w:rPr>
              <w:t>Per backfill</w:t>
            </w:r>
          </w:p>
        </w:tc>
        <w:tc>
          <w:tcPr>
            <w:tcW w:type="dxa" w:w="1872"/>
            <w:tcMar>
              <w:top w:w="60" w:type="dxa"/>
              <w:start w:w="110" w:type="dxa"/>
              <w:bottom w:w="60" w:type="dxa"/>
              <w:end w:w="110" w:type="dxa"/>
            </w:tcMar>
          </w:tcPr>
          <w:p>
            <w:pPr>
              <w:spacing w:after="0"/>
            </w:pPr>
            <w:r/>
            <w:r>
              <w:rPr>
                <w:rFonts w:ascii="Calibri" w:hAnsi="Calibri"/>
                <w:b w:val="0"/>
                <w:i w:val="0"/>
                <w:color w:val="101828"/>
                <w:sz w:val="16"/>
              </w:rPr>
              <w:t>Matches the source exactly</w:t>
            </w:r>
          </w:p>
        </w:tc>
        <w:tc>
          <w:tcPr>
            <w:tcW w:type="dxa" w:w="3456"/>
            <w:tcMar>
              <w:top w:w="60" w:type="dxa"/>
              <w:start w:w="110" w:type="dxa"/>
              <w:bottom w:w="60" w:type="dxa"/>
              <w:end w:w="110" w:type="dxa"/>
            </w:tcMar>
          </w:tcPr>
          <w:p>
            <w:pPr>
              <w:spacing w:after="0"/>
            </w:pPr>
            <w:r/>
            <w:r>
              <w:rPr>
                <w:rFonts w:ascii="Calibri" w:hAnsi="Calibri"/>
                <w:b w:val="0"/>
                <w:i w:val="0"/>
                <w:color w:val="101828"/>
                <w:sz w:val="16"/>
              </w:rPr>
              <w:t>Discard and retry</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Dashboard freshness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Continuous</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Within the stated refresh</w:t>
            </w:r>
          </w:p>
        </w:tc>
        <w:tc>
          <w:tcPr>
            <w:tcW w:type="dxa" w:w="3456"/>
            <w:tcMar>
              <w:top w:w="60" w:type="dxa"/>
              <w:start w:w="110" w:type="dxa"/>
              <w:bottom w:w="60" w:type="dxa"/>
              <w:end w:w="110" w:type="dxa"/>
            </w:tcMar>
            <w:shd w:val="clear" w:color="auto" w:fill="F4F7FB"/>
          </w:tcPr>
          <w:p>
            <w:pPr>
              <w:spacing w:after="0"/>
            </w:pPr>
            <w:r/>
            <w:r>
              <w:rPr>
                <w:rFonts w:ascii="Calibri" w:hAnsi="Calibri"/>
                <w:b w:val="0"/>
                <w:i w:val="0"/>
                <w:color w:val="101828"/>
                <w:sz w:val="16"/>
              </w:rPr>
              <w:t>Alert; do not present stale figures as current</w:t>
            </w:r>
          </w:p>
        </w:tc>
      </w:tr>
    </w:tbl>
    <w:p>
      <w:pPr>
        <w:spacing w:after="80"/>
      </w:pPr>
    </w:p>
    <w:p>
      <w:pPr>
        <w:pStyle w:val="Heading2"/>
      </w:pPr>
      <w:r>
        <w:rPr>
          <w:rFonts w:ascii="Calibri" w:hAnsi="Calibri"/>
          <w:b/>
          <w:i w:val="0"/>
          <w:color w:val="146EF5"/>
          <w:sz w:val="29"/>
        </w:rPr>
        <w:t>21.9 Analytics and privacy</w:t>
      </w:r>
    </w:p>
    <w:p>
      <w:pPr>
        <w:pStyle w:val="ListBullet"/>
        <w:spacing w:after="60"/>
        <w:ind w:left="360"/>
      </w:pPr>
      <w:r>
        <w:rPr>
          <w:rFonts w:ascii="Calibri" w:hAnsi="Calibri"/>
          <w:b w:val="0"/>
          <w:i w:val="0"/>
          <w:color w:val="101828"/>
          <w:sz w:val="21"/>
        </w:rPr>
        <w:t>Analytics systems hold pseudonymous identifiers and financial aggregates, never names, phone numbers, emails, BVN, or bank details.</w:t>
      </w:r>
    </w:p>
    <w:p>
      <w:pPr>
        <w:pStyle w:val="ListBullet"/>
        <w:spacing w:after="60"/>
        <w:ind w:left="360"/>
      </w:pPr>
      <w:r>
        <w:rPr>
          <w:rFonts w:ascii="Calibri" w:hAnsi="Calibri"/>
          <w:b w:val="0"/>
          <w:i w:val="0"/>
          <w:color w:val="101828"/>
          <w:sz w:val="21"/>
        </w:rPr>
        <w:t>Access to member-level analytics is restricted and logged. Aggregate reporting needs no member-level access at all, which is the default.</w:t>
      </w:r>
    </w:p>
    <w:p>
      <w:pPr>
        <w:pStyle w:val="ListBullet"/>
        <w:spacing w:after="60"/>
        <w:ind w:left="360"/>
      </w:pPr>
      <w:r>
        <w:rPr>
          <w:rFonts w:ascii="Calibri" w:hAnsi="Calibri"/>
          <w:b w:val="0"/>
          <w:i w:val="0"/>
          <w:color w:val="101828"/>
          <w:sz w:val="21"/>
        </w:rPr>
        <w:t>Retention limits apply to analytics data per section 14.8. Aggregates are made irreversible or deleted on schedule; raw event data is not kept indefinitely.</w:t>
      </w:r>
    </w:p>
    <w:p>
      <w:pPr>
        <w:pStyle w:val="ListBullet"/>
        <w:spacing w:after="60"/>
        <w:ind w:left="360"/>
      </w:pPr>
      <w:r>
        <w:rPr>
          <w:rFonts w:ascii="Calibri" w:hAnsi="Calibri"/>
          <w:b w:val="0"/>
          <w:i w:val="0"/>
          <w:color w:val="101828"/>
          <w:sz w:val="21"/>
        </w:rPr>
        <w:t>No third-party advertising or tracking SDKs. Analytics is first-party and proportionate.</w:t>
      </w:r>
    </w:p>
    <w:p>
      <w:pPr>
        <w:pStyle w:val="ListBullet"/>
        <w:spacing w:after="60"/>
        <w:ind w:left="360"/>
      </w:pPr>
      <w:r>
        <w:rPr>
          <w:rFonts w:ascii="Calibri" w:hAnsi="Calibri"/>
          <w:b w:val="0"/>
          <w:i w:val="0"/>
          <w:color w:val="101828"/>
          <w:sz w:val="21"/>
        </w:rPr>
        <w:t>A member can request their data, and an analytics export must be able to identify which events belong to them, without exposing other members' data in the process.</w:t>
      </w:r>
    </w:p>
    <w:p>
      <w:pPr>
        <w:pStyle w:val="ListBullet"/>
        <w:spacing w:after="60"/>
        <w:ind w:left="360"/>
      </w:pPr>
      <w:r>
        <w:rPr>
          <w:rFonts w:ascii="Calibri" w:hAnsi="Calibri"/>
          <w:b/>
          <w:color w:val="101828"/>
          <w:sz w:val="21"/>
        </w:rPr>
        <w:t>Analytics never influence eligibility.</w:t>
      </w:r>
      <w:r>
        <w:rPr>
          <w:rFonts w:ascii="Calibri" w:hAnsi="Calibri"/>
          <w:b w:val="0"/>
          <w:i w:val="0"/>
          <w:color w:val="101828"/>
          <w:sz w:val="21"/>
        </w:rPr>
        <w:t xml:space="preserve"> A member's savings behaviour may inform a </w:t>
      </w:r>
      <w:r>
        <w:rPr>
          <w:rFonts w:ascii="Calibri" w:hAnsi="Calibri"/>
          <w:i/>
          <w:color w:val="101828"/>
          <w:sz w:val="21"/>
        </w:rPr>
        <w:t>product recommendation</w:t>
      </w:r>
      <w:r>
        <w:rPr>
          <w:rFonts w:ascii="Calibri" w:hAnsi="Calibri"/>
          <w:b w:val="0"/>
          <w:i w:val="0"/>
          <w:color w:val="101828"/>
          <w:sz w:val="21"/>
        </w:rPr>
        <w:t xml:space="preserve"> such as a better-suited Ajo size. It may not be used to deny a payout, change a fee, or exclude them from a product — that is discrimination, and it is prohibited.</w:t>
      </w:r>
    </w:p>
    <w:p>
      <w:pPr>
        <w:pStyle w:val="Heading2"/>
      </w:pPr>
      <w:r>
        <w:rPr>
          <w:rFonts w:ascii="Calibri" w:hAnsi="Calibri"/>
          <w:b/>
          <w:i w:val="0"/>
          <w:color w:val="146EF5"/>
          <w:sz w:val="29"/>
        </w:rPr>
        <w:t>21.10 Governance</w:t>
      </w:r>
    </w:p>
    <w:p>
      <w:pPr>
        <w:pStyle w:val="ListBullet"/>
        <w:spacing w:after="60"/>
        <w:ind w:left="360"/>
      </w:pPr>
      <w:r>
        <w:rPr>
          <w:rFonts w:ascii="Calibri" w:hAnsi="Calibri"/>
          <w:b/>
          <w:color w:val="101828"/>
          <w:sz w:val="21"/>
        </w:rPr>
        <w:t>One owner per metric</w:t>
      </w:r>
      <w:r>
        <w:rPr>
          <w:rFonts w:ascii="Calibri" w:hAnsi="Calibri"/>
          <w:b w:val="0"/>
          <w:i w:val="0"/>
          <w:color w:val="101828"/>
          <w:sz w:val="21"/>
        </w:rPr>
        <w:t>, named, responsible for the definition and for answering questions about it.</w:t>
      </w:r>
    </w:p>
    <w:p>
      <w:pPr>
        <w:pStyle w:val="ListBullet"/>
        <w:spacing w:after="60"/>
        <w:ind w:left="360"/>
      </w:pPr>
      <w:r>
        <w:rPr>
          <w:rFonts w:ascii="Calibri" w:hAnsi="Calibri"/>
          <w:b/>
          <w:color w:val="101828"/>
          <w:sz w:val="21"/>
        </w:rPr>
        <w:t>Definition changes are versioned and announced</w:t>
      </w:r>
      <w:r>
        <w:rPr>
          <w:rFonts w:ascii="Calibri" w:hAnsi="Calibri"/>
          <w:b w:val="0"/>
          <w:i w:val="0"/>
          <w:color w:val="101828"/>
          <w:sz w:val="21"/>
        </w:rPr>
        <w:t>, with a note on whether historical figures are restated. Silent restatement of a metric destroys trust in every number on the dashboard.</w:t>
      </w:r>
    </w:p>
    <w:p>
      <w:pPr>
        <w:pStyle w:val="ListBullet"/>
        <w:spacing w:after="60"/>
        <w:ind w:left="360"/>
      </w:pPr>
      <w:r>
        <w:rPr>
          <w:rFonts w:ascii="Calibri" w:hAnsi="Calibri"/>
          <w:b/>
          <w:color w:val="101828"/>
          <w:sz w:val="21"/>
        </w:rPr>
        <w:t>A written definition accompanies every number</w:t>
      </w:r>
      <w:r>
        <w:rPr>
          <w:rFonts w:ascii="Calibri" w:hAnsi="Calibri"/>
          <w:b w:val="0"/>
          <w:i w:val="0"/>
          <w:color w:val="101828"/>
          <w:sz w:val="21"/>
        </w:rPr>
        <w:t xml:space="preserve"> presented to the board, in the appendix rather than the headline.</w:t>
      </w:r>
    </w:p>
    <w:p>
      <w:pPr>
        <w:pStyle w:val="ListBullet"/>
        <w:spacing w:after="60"/>
        <w:ind w:left="360"/>
      </w:pPr>
      <w:r>
        <w:rPr>
          <w:rFonts w:ascii="Calibri" w:hAnsi="Calibri"/>
          <w:b/>
          <w:color w:val="101828"/>
          <w:sz w:val="21"/>
        </w:rPr>
        <w:t>A metrics review each quarter</w:t>
      </w:r>
      <w:r>
        <w:rPr>
          <w:rFonts w:ascii="Calibri" w:hAnsi="Calibri"/>
          <w:b w:val="0"/>
          <w:i w:val="0"/>
          <w:color w:val="101828"/>
          <w:sz w:val="21"/>
        </w:rPr>
        <w:t>: which metrics led to a decision, and which were simply interesting. The second category is where most of the clutter comes from, and removing it is a discipline.</w:t>
      </w:r>
    </w:p>
    <w:p>
      <w:pPr>
        <w:spacing w:before="140" w:after="180"/>
        <w:ind w:left="144"/>
        <w:shd w:val="clear" w:color="auto" w:fill="EFF6FF"/>
        <w:pBdr>
          <w:left w:val="single" w:sz="18" w:space="6" w:color="146EF5"/>
        </w:pBdr>
      </w:pPr>
      <w:r>
        <w:rPr>
          <w:rFonts w:ascii="Calibri" w:hAnsi="Calibri"/>
          <w:b/>
          <w:color w:val="146EF5"/>
          <w:sz w:val="19"/>
        </w:rPr>
        <w:t xml:space="preserve">The metric the board will actually ask about.  </w:t>
      </w:r>
      <w:r>
        <w:rPr>
          <w:rFonts w:ascii="Calibri" w:hAnsi="Calibri"/>
          <w:b w:val="0"/>
          <w:i w:val="0"/>
          <w:color w:val="0B1F3A"/>
          <w:sz w:val="19"/>
        </w:rPr>
        <w:t>It will not be contribution volume. It will be the completion rate and the default rate, because those two numbers decide whether people keep using AJO.ng. A platform can show impressive volume and still be failing, if members keep failing to receive what they saved for. Those two metrics deserve a place on the first slide of every business review.</w:t>
      </w:r>
    </w:p>
    <w:p>
      <w:r>
        <w:br w:type="page"/>
      </w:r>
    </w:p>
    <w:p>
      <w:pPr>
        <w:pStyle w:val="Heading1"/>
        <w:pBdr>
          <w:bottom w:val="single" w:sz="12" w:space="6" w:color="146EF5"/>
        </w:pBdr>
        <w:spacing w:after="240"/>
      </w:pPr>
      <w:r>
        <w:rPr>
          <w:rFonts w:ascii="Calibri" w:hAnsi="Calibri"/>
          <w:b/>
          <w:i w:val="0"/>
          <w:color w:val="0B1F3A"/>
          <w:sz w:val="40"/>
        </w:rPr>
        <w:t>22. Delivery Roadmap and Milestones</w:t>
      </w:r>
    </w:p>
    <w:p>
      <w:pPr>
        <w:spacing w:after="200"/>
      </w:pPr>
      <w:r>
        <w:rPr>
          <w:rFonts w:ascii="Calibri" w:hAnsi="Calibri"/>
          <w:b w:val="0"/>
          <w:i w:val="0"/>
          <w:color w:val="475467"/>
          <w:sz w:val="24"/>
        </w:rPr>
        <w:t>The roadmap is organised around a single commitment: get a small number of real people safely through a complete Ajo cycle, and prove that the money works. Everything that does not serve that goal is deferred, regardless of how attractive it looks.</w:t>
      </w:r>
    </w:p>
    <w:p>
      <w:pPr>
        <w:pStyle w:val="Heading2"/>
      </w:pPr>
      <w:r>
        <w:rPr>
          <w:rFonts w:ascii="Calibri" w:hAnsi="Calibri"/>
          <w:b/>
          <w:i w:val="0"/>
          <w:color w:val="146EF5"/>
          <w:sz w:val="29"/>
        </w:rPr>
        <w:t>22.1 Guiding constraints</w:t>
      </w:r>
    </w:p>
    <w:p>
      <w:pPr>
        <w:pStyle w:val="ListBullet"/>
        <w:spacing w:after="60"/>
        <w:ind w:left="360"/>
      </w:pPr>
      <w:r>
        <w:rPr>
          <w:rFonts w:ascii="Calibri" w:hAnsi="Calibri"/>
          <w:b/>
          <w:color w:val="101828"/>
          <w:sz w:val="21"/>
        </w:rPr>
        <w:t>No real money before the legal and compliance position is established.</w:t>
      </w:r>
      <w:r>
        <w:rPr>
          <w:rFonts w:ascii="Calibri" w:hAnsi="Calibri"/>
          <w:b w:val="0"/>
          <w:i w:val="0"/>
          <w:color w:val="101828"/>
          <w:sz w:val="21"/>
        </w:rPr>
        <w:t xml:space="preserve"> This is a hard gate, not a phase that can be compressed.</w:t>
      </w:r>
    </w:p>
    <w:p>
      <w:pPr>
        <w:pStyle w:val="ListBullet"/>
        <w:spacing w:after="60"/>
        <w:ind w:left="360"/>
      </w:pPr>
      <w:r>
        <w:rPr>
          <w:rFonts w:ascii="Calibri" w:hAnsi="Calibri"/>
          <w:b/>
          <w:color w:val="101828"/>
          <w:sz w:val="21"/>
        </w:rPr>
        <w:t>No money before the ledger, reconciliation, and reconciliation alerting work and are tested.</w:t>
      </w:r>
    </w:p>
    <w:p>
      <w:pPr>
        <w:pStyle w:val="ListBullet"/>
        <w:spacing w:after="60"/>
        <w:ind w:left="360"/>
      </w:pPr>
      <w:r>
        <w:rPr>
          <w:rFonts w:ascii="Calibri" w:hAnsi="Calibri"/>
          <w:b/>
          <w:color w:val="101828"/>
          <w:sz w:val="21"/>
        </w:rPr>
        <w:t>No member funds in platform operating accounts, ever</w:t>
      </w:r>
      <w:r>
        <w:rPr>
          <w:rFonts w:ascii="Calibri" w:hAnsi="Calibri"/>
          <w:b w:val="0"/>
          <w:i w:val="0"/>
          <w:color w:val="101828"/>
          <w:sz w:val="21"/>
        </w:rPr>
        <w:t>, pending a determination on the custody question.</w:t>
      </w:r>
    </w:p>
    <w:p>
      <w:pPr>
        <w:pStyle w:val="ListBullet"/>
        <w:spacing w:after="60"/>
        <w:ind w:left="360"/>
      </w:pPr>
      <w:r>
        <w:rPr>
          <w:rFonts w:ascii="Calibri" w:hAnsi="Calibri"/>
          <w:b/>
          <w:color w:val="101828"/>
          <w:sz w:val="21"/>
        </w:rPr>
        <w:t>At least one payment rail proven end to end</w:t>
      </w:r>
      <w:r>
        <w:rPr>
          <w:rFonts w:ascii="Calibri" w:hAnsi="Calibri"/>
          <w:b w:val="0"/>
          <w:i w:val="0"/>
          <w:color w:val="101828"/>
          <w:sz w:val="21"/>
        </w:rPr>
        <w:t xml:space="preserve"> before any member is asked to pay.</w:t>
      </w:r>
    </w:p>
    <w:p>
      <w:pPr>
        <w:pStyle w:val="ListBullet"/>
        <w:spacing w:after="60"/>
        <w:ind w:left="360"/>
      </w:pPr>
      <w:r>
        <w:rPr>
          <w:rFonts w:ascii="Calibri" w:hAnsi="Calibri"/>
          <w:b/>
          <w:color w:val="101828"/>
          <w:sz w:val="21"/>
        </w:rPr>
        <w:t>No launch without the fraud controls that protect a payout</w:t>
      </w:r>
      <w:r>
        <w:rPr>
          <w:rFonts w:ascii="Calibri" w:hAnsi="Calibri"/>
          <w:b w:val="0"/>
          <w:i w:val="0"/>
          <w:color w:val="101828"/>
          <w:sz w:val="21"/>
        </w:rPr>
        <w:t>, principally the cooling-off on bank-account change and the multi-channel notification.</w:t>
      </w:r>
    </w:p>
    <w:p>
      <w:pPr>
        <w:pStyle w:val="ListBullet"/>
        <w:spacing w:after="60"/>
        <w:ind w:left="360"/>
      </w:pPr>
      <w:r>
        <w:rPr>
          <w:rFonts w:ascii="Calibri" w:hAnsi="Calibri"/>
          <w:b w:val="0"/>
          <w:i w:val="0"/>
          <w:color w:val="101828"/>
          <w:sz w:val="21"/>
        </w:rPr>
        <w:t>Every phase ends with something demonstrable. A phase with only code behind it is not finished.</w:t>
      </w:r>
    </w:p>
    <w:p>
      <w:pPr>
        <w:spacing w:before="140" w:after="180"/>
        <w:ind w:left="144"/>
        <w:shd w:val="clear" w:color="auto" w:fill="FEF3C7"/>
        <w:pBdr>
          <w:left w:val="single" w:sz="18" w:space="6" w:color="FBBF24"/>
        </w:pBdr>
      </w:pPr>
      <w:r>
        <w:rPr>
          <w:rFonts w:ascii="Calibri" w:hAnsi="Calibri"/>
          <w:b/>
          <w:color w:val="FBBF24"/>
          <w:sz w:val="19"/>
        </w:rPr>
        <w:t xml:space="preserve">The temptation to launch before the boring parts are done.  </w:t>
      </w:r>
      <w:r>
        <w:rPr>
          <w:rFonts w:ascii="Calibri" w:hAnsi="Calibri"/>
          <w:b w:val="0"/>
          <w:i w:val="0"/>
          <w:color w:val="0B1F3A"/>
          <w:sz w:val="19"/>
        </w:rPr>
        <w:t>The reconciliation job, the alert that halts payouts, the reverse-entry path, the cooling-off period — none of these are visible in a demo, and all of them are what stand between the platform and a catastrophic mistake. They are the difference between a fintech and a group-chat app with a payment button, and they are where a rushed launch always loses.</w:t>
      </w:r>
    </w:p>
    <w:p>
      <w:pPr>
        <w:pStyle w:val="Heading2"/>
      </w:pPr>
      <w:r>
        <w:rPr>
          <w:rFonts w:ascii="Calibri" w:hAnsi="Calibri"/>
          <w:b/>
          <w:i w:val="0"/>
          <w:color w:val="146EF5"/>
          <w:sz w:val="29"/>
        </w:rPr>
        <w:t>22.2 Phase 0 — Foundation (complete)</w:t>
      </w:r>
    </w:p>
    <w:p>
      <w:r>
        <w:rPr>
          <w:rFonts w:ascii="Calibri" w:hAnsi="Calibri"/>
          <w:b w:val="0"/>
          <w:i w:val="0"/>
          <w:color w:val="101828"/>
          <w:sz w:val="21"/>
        </w:rPr>
        <w:t>The financial core, established before any product surface exists. Building this first is the single most consequential decision in the project.</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3744"/>
            <w:shd w:val="clear" w:color="auto" w:fill="0B1F3A"/>
            <w:tcMar>
              <w:top w:w="60" w:type="dxa"/>
              <w:start w:w="110" w:type="dxa"/>
              <w:bottom w:w="60" w:type="dxa"/>
              <w:end w:w="110" w:type="dxa"/>
            </w:tcMar>
          </w:tcPr>
          <w:p>
            <w:pPr>
              <w:spacing w:after="0"/>
            </w:pPr>
            <w:r/>
            <w:r>
              <w:rPr>
                <w:rFonts w:ascii="Calibri" w:hAnsi="Calibri"/>
                <w:b/>
                <w:i w:val="0"/>
                <w:color w:val="FFFFFF"/>
                <w:sz w:val="16"/>
              </w:rPr>
              <w:t>Deliverable</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Status</w:t>
            </w:r>
          </w:p>
        </w:tc>
        <w:tc>
          <w:tcPr>
            <w:tcW w:type="dxa" w:w="4032"/>
            <w:shd w:val="clear" w:color="auto" w:fill="0B1F3A"/>
            <w:tcMar>
              <w:top w:w="60" w:type="dxa"/>
              <w:start w:w="110" w:type="dxa"/>
              <w:bottom w:w="60" w:type="dxa"/>
              <w:end w:w="110" w:type="dxa"/>
            </w:tcMar>
          </w:tcPr>
          <w:p>
            <w:pPr>
              <w:spacing w:after="0"/>
            </w:pPr>
            <w:r/>
            <w:r>
              <w:rPr>
                <w:rFonts w:ascii="Calibri" w:hAnsi="Calibri"/>
                <w:b/>
                <w:i w:val="0"/>
                <w:color w:val="FFFFFF"/>
                <w:sz w:val="16"/>
              </w:rPr>
              <w:t>Note</w:t>
            </w:r>
          </w:p>
        </w:tc>
      </w:tr>
      <w:tr>
        <w:trPr>
          <w:cantSplit/>
        </w:trPr>
        <w:tc>
          <w:tcPr>
            <w:tcW w:type="dxa" w:w="3744"/>
            <w:tcMar>
              <w:top w:w="60" w:type="dxa"/>
              <w:start w:w="110" w:type="dxa"/>
              <w:bottom w:w="60" w:type="dxa"/>
              <w:end w:w="110" w:type="dxa"/>
            </w:tcMar>
          </w:tcPr>
          <w:p>
            <w:pPr>
              <w:spacing w:after="0"/>
            </w:pPr>
            <w:r/>
            <w:r>
              <w:rPr>
                <w:rFonts w:ascii="Calibri" w:hAnsi="Calibri"/>
                <w:b w:val="0"/>
                <w:i w:val="0"/>
                <w:color w:val="101828"/>
                <w:sz w:val="16"/>
              </w:rPr>
              <w:t>Canonical business and financial specification</w:t>
            </w:r>
          </w:p>
        </w:tc>
        <w:tc>
          <w:tcPr>
            <w:tcW w:type="dxa" w:w="1584"/>
            <w:tcMar>
              <w:top w:w="60" w:type="dxa"/>
              <w:start w:w="110" w:type="dxa"/>
              <w:bottom w:w="60" w:type="dxa"/>
              <w:end w:w="110" w:type="dxa"/>
            </w:tcMar>
          </w:tcPr>
          <w:p>
            <w:pPr>
              <w:spacing w:after="0"/>
            </w:pPr>
            <w:r/>
            <w:r>
              <w:rPr>
                <w:rFonts w:ascii="Calibri" w:hAnsi="Calibri"/>
                <w:b w:val="0"/>
                <w:i w:val="0"/>
                <w:color w:val="101828"/>
                <w:sz w:val="16"/>
              </w:rPr>
              <w:t>Complete</w:t>
            </w:r>
          </w:p>
        </w:tc>
        <w:tc>
          <w:tcPr>
            <w:tcW w:type="dxa" w:w="4032"/>
            <w:tcMar>
              <w:top w:w="60" w:type="dxa"/>
              <w:start w:w="110" w:type="dxa"/>
              <w:bottom w:w="60" w:type="dxa"/>
              <w:end w:w="110" w:type="dxa"/>
            </w:tcMar>
          </w:tcPr>
          <w:p>
            <w:pPr>
              <w:spacing w:after="0"/>
            </w:pPr>
            <w:r/>
            <w:r>
              <w:rPr>
                <w:rFonts w:ascii="Calibri" w:hAnsi="Calibri"/>
                <w:b w:val="0"/>
                <w:i w:val="0"/>
                <w:color w:val="101828"/>
                <w:sz w:val="16"/>
              </w:rPr>
              <w:t>Single source of truth for terms, rules, states, and entities</w:t>
            </w:r>
          </w:p>
        </w:tc>
      </w:tr>
      <w:tr>
        <w:trPr>
          <w:cantSplit/>
        </w:trPr>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Money primitive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Complete</w:t>
            </w:r>
          </w:p>
        </w:tc>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Branded integer-kobo type; exact arithmetic; no floating point</w:t>
            </w:r>
          </w:p>
        </w:tc>
      </w:tr>
      <w:tr>
        <w:trPr>
          <w:cantSplit/>
        </w:trPr>
        <w:tc>
          <w:tcPr>
            <w:tcW w:type="dxa" w:w="3744"/>
            <w:tcMar>
              <w:top w:w="60" w:type="dxa"/>
              <w:start w:w="110" w:type="dxa"/>
              <w:bottom w:w="60" w:type="dxa"/>
              <w:end w:w="110" w:type="dxa"/>
            </w:tcMar>
          </w:tcPr>
          <w:p>
            <w:pPr>
              <w:spacing w:after="0"/>
            </w:pPr>
            <w:r/>
            <w:r>
              <w:rPr>
                <w:rFonts w:ascii="Calibri" w:hAnsi="Calibri"/>
                <w:b w:val="0"/>
                <w:i w:val="0"/>
                <w:color w:val="101828"/>
                <w:sz w:val="16"/>
              </w:rPr>
              <w:t>Append-only double-entry ledger</w:t>
            </w:r>
          </w:p>
        </w:tc>
        <w:tc>
          <w:tcPr>
            <w:tcW w:type="dxa" w:w="1584"/>
            <w:tcMar>
              <w:top w:w="60" w:type="dxa"/>
              <w:start w:w="110" w:type="dxa"/>
              <w:bottom w:w="60" w:type="dxa"/>
              <w:end w:w="110" w:type="dxa"/>
            </w:tcMar>
          </w:tcPr>
          <w:p>
            <w:pPr>
              <w:spacing w:after="0"/>
            </w:pPr>
            <w:r/>
            <w:r>
              <w:rPr>
                <w:rFonts w:ascii="Calibri" w:hAnsi="Calibri"/>
                <w:b w:val="0"/>
                <w:i w:val="0"/>
                <w:color w:val="101828"/>
                <w:sz w:val="16"/>
              </w:rPr>
              <w:t>Complete</w:t>
            </w:r>
          </w:p>
        </w:tc>
        <w:tc>
          <w:tcPr>
            <w:tcW w:type="dxa" w:w="4032"/>
            <w:tcMar>
              <w:top w:w="60" w:type="dxa"/>
              <w:start w:w="110" w:type="dxa"/>
              <w:bottom w:w="60" w:type="dxa"/>
              <w:end w:w="110" w:type="dxa"/>
            </w:tcMar>
          </w:tcPr>
          <w:p>
            <w:pPr>
              <w:spacing w:after="0"/>
            </w:pPr>
            <w:r/>
            <w:r>
              <w:rPr>
                <w:rFonts w:ascii="Calibri" w:hAnsi="Calibri"/>
                <w:b w:val="0"/>
                <w:i w:val="0"/>
                <w:color w:val="101828"/>
                <w:sz w:val="16"/>
              </w:rPr>
              <w:t>Balanced entries, reversal-only correction, computed balances</w:t>
            </w:r>
          </w:p>
        </w:tc>
      </w:tr>
      <w:tr>
        <w:trPr>
          <w:cantSplit/>
        </w:trPr>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Ajo lifecycle state machine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Complete</w:t>
            </w:r>
          </w:p>
        </w:tc>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All transitions, the 5-day enrollment window, position lock, and the 5-to-20 member bound</w:t>
            </w:r>
          </w:p>
        </w:tc>
      </w:tr>
      <w:tr>
        <w:trPr>
          <w:cantSplit/>
        </w:trPr>
        <w:tc>
          <w:tcPr>
            <w:tcW w:type="dxa" w:w="3744"/>
            <w:tcMar>
              <w:top w:w="60" w:type="dxa"/>
              <w:start w:w="110" w:type="dxa"/>
              <w:bottom w:w="60" w:type="dxa"/>
              <w:end w:w="110" w:type="dxa"/>
            </w:tcMar>
          </w:tcPr>
          <w:p>
            <w:pPr>
              <w:spacing w:after="0"/>
            </w:pPr>
            <w:r/>
            <w:r>
              <w:rPr>
                <w:rFonts w:ascii="Calibri" w:hAnsi="Calibri"/>
                <w:b w:val="0"/>
                <w:i w:val="0"/>
                <w:color w:val="101828"/>
                <w:sz w:val="16"/>
              </w:rPr>
              <w:t>FinancialProvider abstraction</w:t>
            </w:r>
          </w:p>
        </w:tc>
        <w:tc>
          <w:tcPr>
            <w:tcW w:type="dxa" w:w="1584"/>
            <w:tcMar>
              <w:top w:w="60" w:type="dxa"/>
              <w:start w:w="110" w:type="dxa"/>
              <w:bottom w:w="60" w:type="dxa"/>
              <w:end w:w="110" w:type="dxa"/>
            </w:tcMar>
          </w:tcPr>
          <w:p>
            <w:pPr>
              <w:spacing w:after="0"/>
            </w:pPr>
            <w:r/>
            <w:r>
              <w:rPr>
                <w:rFonts w:ascii="Calibri" w:hAnsi="Calibri"/>
                <w:b w:val="0"/>
                <w:i w:val="0"/>
                <w:color w:val="101828"/>
                <w:sz w:val="16"/>
              </w:rPr>
              <w:t>Complete</w:t>
            </w:r>
          </w:p>
        </w:tc>
        <w:tc>
          <w:tcPr>
            <w:tcW w:type="dxa" w:w="4032"/>
            <w:tcMar>
              <w:top w:w="60" w:type="dxa"/>
              <w:start w:w="110" w:type="dxa"/>
              <w:bottom w:w="60" w:type="dxa"/>
              <w:end w:w="110" w:type="dxa"/>
            </w:tcMar>
          </w:tcPr>
          <w:p>
            <w:pPr>
              <w:spacing w:after="0"/>
            </w:pPr>
            <w:r/>
            <w:r>
              <w:rPr>
                <w:rFonts w:ascii="Calibri" w:hAnsi="Calibri"/>
                <w:b w:val="0"/>
                <w:i w:val="0"/>
                <w:color w:val="101828"/>
                <w:sz w:val="16"/>
              </w:rPr>
              <w:t>Interface plus a production-guarded mock</w:t>
            </w:r>
          </w:p>
        </w:tc>
      </w:tr>
      <w:tr>
        <w:trPr>
          <w:cantSplit/>
        </w:trPr>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Adversarial domain tests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Complete</w:t>
            </w:r>
          </w:p>
        </w:tc>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70 tests covering the money, ledger, fee arithmetic, member-count bounds, and state machine</w:t>
            </w:r>
          </w:p>
        </w:tc>
      </w:tr>
      <w:tr>
        <w:trPr>
          <w:cantSplit/>
        </w:trPr>
        <w:tc>
          <w:tcPr>
            <w:tcW w:type="dxa" w:w="3744"/>
            <w:tcMar>
              <w:top w:w="60" w:type="dxa"/>
              <w:start w:w="110" w:type="dxa"/>
              <w:bottom w:w="60" w:type="dxa"/>
              <w:end w:w="110" w:type="dxa"/>
            </w:tcMar>
          </w:tcPr>
          <w:p>
            <w:pPr>
              <w:spacing w:after="0"/>
            </w:pPr>
            <w:r/>
            <w:r>
              <w:rPr>
                <w:rFonts w:ascii="Calibri" w:hAnsi="Calibri"/>
                <w:b w:val="0"/>
                <w:i w:val="0"/>
                <w:color w:val="101828"/>
                <w:sz w:val="16"/>
              </w:rPr>
              <w:t>Technical specification document</w:t>
            </w:r>
          </w:p>
        </w:tc>
        <w:tc>
          <w:tcPr>
            <w:tcW w:type="dxa" w:w="1584"/>
            <w:tcMar>
              <w:top w:w="60" w:type="dxa"/>
              <w:start w:w="110" w:type="dxa"/>
              <w:bottom w:w="60" w:type="dxa"/>
              <w:end w:w="110" w:type="dxa"/>
            </w:tcMar>
          </w:tcPr>
          <w:p>
            <w:pPr>
              <w:spacing w:after="0"/>
            </w:pPr>
            <w:r/>
            <w:r>
              <w:rPr>
                <w:rFonts w:ascii="Calibri" w:hAnsi="Calibri"/>
                <w:b w:val="0"/>
                <w:i w:val="0"/>
                <w:color w:val="101828"/>
                <w:sz w:val="16"/>
              </w:rPr>
              <w:t>Complete</w:t>
            </w:r>
          </w:p>
        </w:tc>
        <w:tc>
          <w:tcPr>
            <w:tcW w:type="dxa" w:w="4032"/>
            <w:tcMar>
              <w:top w:w="60" w:type="dxa"/>
              <w:start w:w="110" w:type="dxa"/>
              <w:bottom w:w="60" w:type="dxa"/>
              <w:end w:w="110" w:type="dxa"/>
            </w:tcMar>
          </w:tcPr>
          <w:p>
            <w:pPr>
              <w:spacing w:after="0"/>
            </w:pPr>
            <w:r/>
            <w:r>
              <w:rPr>
                <w:rFonts w:ascii="Calibri" w:hAnsi="Calibri"/>
                <w:b w:val="0"/>
                <w:i w:val="0"/>
                <w:color w:val="101828"/>
                <w:sz w:val="16"/>
              </w:rPr>
              <w:t>26 sections; the generated DOCX is committed alongside this table</w:t>
            </w:r>
          </w:p>
        </w:tc>
      </w:tr>
    </w:tbl>
    <w:p>
      <w:pPr>
        <w:spacing w:after="80"/>
      </w:pPr>
    </w:p>
    <w:p>
      <w:pPr>
        <w:pStyle w:val="Heading2"/>
      </w:pPr>
      <w:r>
        <w:rPr>
          <w:rFonts w:ascii="Calibri" w:hAnsi="Calibri"/>
          <w:b/>
          <w:i w:val="0"/>
          <w:color w:val="146EF5"/>
          <w:sz w:val="29"/>
        </w:rPr>
        <w:t>22.3 Phase 1 — Hardened core and legal position</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4032"/>
            <w:shd w:val="clear" w:color="auto" w:fill="0B1F3A"/>
            <w:tcMar>
              <w:top w:w="60" w:type="dxa"/>
              <w:start w:w="110" w:type="dxa"/>
              <w:bottom w:w="60" w:type="dxa"/>
              <w:end w:w="110" w:type="dxa"/>
            </w:tcMar>
          </w:tcPr>
          <w:p>
            <w:pPr>
              <w:spacing w:after="0"/>
            </w:pPr>
            <w:r/>
            <w:r>
              <w:rPr>
                <w:rFonts w:ascii="Calibri" w:hAnsi="Calibri"/>
                <w:b/>
                <w:i w:val="0"/>
                <w:color w:val="FFFFFF"/>
                <w:sz w:val="16"/>
              </w:rPr>
              <w:t>Deliverable</w:t>
            </w:r>
          </w:p>
        </w:tc>
        <w:tc>
          <w:tcPr>
            <w:tcW w:type="dxa" w:w="5328"/>
            <w:shd w:val="clear" w:color="auto" w:fill="0B1F3A"/>
            <w:tcMar>
              <w:top w:w="60" w:type="dxa"/>
              <w:start w:w="110" w:type="dxa"/>
              <w:bottom w:w="60" w:type="dxa"/>
              <w:end w:w="110" w:type="dxa"/>
            </w:tcMar>
          </w:tcPr>
          <w:p>
            <w:pPr>
              <w:spacing w:after="0"/>
            </w:pPr>
            <w:r/>
            <w:r>
              <w:rPr>
                <w:rFonts w:ascii="Calibri" w:hAnsi="Calibri"/>
                <w:b/>
                <w:i w:val="0"/>
                <w:color w:val="FFFFFF"/>
                <w:sz w:val="16"/>
              </w:rPr>
              <w:t>Exit criteria</w:t>
            </w:r>
          </w:p>
        </w:tc>
      </w:tr>
      <w:tr>
        <w:trPr>
          <w:cantSplit/>
        </w:trPr>
        <w:tc>
          <w:tcPr>
            <w:tcW w:type="dxa" w:w="4032"/>
            <w:tcMar>
              <w:top w:w="60" w:type="dxa"/>
              <w:start w:w="110" w:type="dxa"/>
              <w:bottom w:w="60" w:type="dxa"/>
              <w:end w:w="110" w:type="dxa"/>
            </w:tcMar>
          </w:tcPr>
          <w:p>
            <w:pPr>
              <w:spacing w:after="0"/>
            </w:pPr>
            <w:r/>
            <w:r>
              <w:rPr>
                <w:rFonts w:ascii="Calibri" w:hAnsi="Calibri"/>
                <w:b w:val="0"/>
                <w:i w:val="0"/>
                <w:color w:val="101828"/>
                <w:sz w:val="16"/>
              </w:rPr>
              <w:t>Balanced fee posting in the ledger</w:t>
            </w:r>
          </w:p>
        </w:tc>
        <w:tc>
          <w:tcPr>
            <w:tcW w:type="dxa" w:w="5328"/>
            <w:tcMar>
              <w:top w:w="60" w:type="dxa"/>
              <w:start w:w="110" w:type="dxa"/>
              <w:bottom w:w="60" w:type="dxa"/>
              <w:end w:w="110" w:type="dxa"/>
            </w:tcMar>
          </w:tcPr>
          <w:p>
            <w:pPr>
              <w:spacing w:after="0"/>
            </w:pPr>
            <w:r/>
            <w:r>
              <w:rPr>
                <w:rFonts w:ascii="Calibri" w:hAnsi="Calibri"/>
                <w:b w:val="0"/>
                <w:i w:val="0"/>
                <w:color w:val="101828"/>
                <w:sz w:val="16"/>
              </w:rPr>
              <w:t>Contribution and fee capture post correctly and balance; reversal is exact; covered by tests</w:t>
            </w:r>
          </w:p>
        </w:tc>
      </w:tr>
      <w:tr>
        <w:trPr>
          <w:cantSplit/>
        </w:trPr>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Ledger reconciliation service</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6"/>
              </w:rPr>
              <w:t>The invariant is checked continuously, and a deliberately injected break is detected and alerts</w:t>
            </w:r>
          </w:p>
        </w:tc>
      </w:tr>
      <w:tr>
        <w:trPr>
          <w:cantSplit/>
        </w:trPr>
        <w:tc>
          <w:tcPr>
            <w:tcW w:type="dxa" w:w="4032"/>
            <w:tcMar>
              <w:top w:w="60" w:type="dxa"/>
              <w:start w:w="110" w:type="dxa"/>
              <w:bottom w:w="60" w:type="dxa"/>
              <w:end w:w="110" w:type="dxa"/>
            </w:tcMar>
          </w:tcPr>
          <w:p>
            <w:pPr>
              <w:spacing w:after="0"/>
            </w:pPr>
            <w:r/>
            <w:r>
              <w:rPr>
                <w:rFonts w:ascii="Calibri" w:hAnsi="Calibri"/>
                <w:b w:val="0"/>
                <w:i w:val="0"/>
                <w:color w:val="101828"/>
                <w:sz w:val="16"/>
              </w:rPr>
              <w:t>ProvidusUnity technical due diligence</w:t>
            </w:r>
          </w:p>
        </w:tc>
        <w:tc>
          <w:tcPr>
            <w:tcW w:type="dxa" w:w="5328"/>
            <w:tcMar>
              <w:top w:w="60" w:type="dxa"/>
              <w:start w:w="110" w:type="dxa"/>
              <w:bottom w:w="60" w:type="dxa"/>
              <w:end w:w="110" w:type="dxa"/>
            </w:tcMar>
          </w:tcPr>
          <w:p>
            <w:pPr>
              <w:spacing w:after="0"/>
            </w:pPr>
            <w:r/>
            <w:r>
              <w:rPr>
                <w:rFonts w:ascii="Calibri" w:hAnsi="Calibri"/>
                <w:b w:val="0"/>
                <w:i w:val="0"/>
                <w:color w:val="101828"/>
                <w:sz w:val="16"/>
              </w:rPr>
              <w:t xml:space="preserve">A verified sandbox specification, published fee schedule, and settlement behaviour — </w:t>
            </w:r>
            <w:r>
              <w:rPr>
                <w:rFonts w:ascii="Calibri" w:hAnsi="Calibri"/>
                <w:b/>
                <w:color w:val="101828"/>
                <w:sz w:val="16"/>
              </w:rPr>
              <w:t>or a documented decision to proceed with a different provider</w:t>
            </w:r>
          </w:p>
        </w:tc>
      </w:tr>
      <w:tr>
        <w:trPr>
          <w:cantSplit/>
        </w:trPr>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Legal and compliance engagement</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6"/>
              </w:rPr>
              <w:t>Written advice on licensing, the treatment of member funds, data protection, and consumer protection</w:t>
            </w:r>
          </w:p>
        </w:tc>
      </w:tr>
      <w:tr>
        <w:trPr>
          <w:cantSplit/>
        </w:trPr>
        <w:tc>
          <w:tcPr>
            <w:tcW w:type="dxa" w:w="4032"/>
            <w:tcMar>
              <w:top w:w="60" w:type="dxa"/>
              <w:start w:w="110" w:type="dxa"/>
              <w:bottom w:w="60" w:type="dxa"/>
              <w:end w:w="110" w:type="dxa"/>
            </w:tcMar>
          </w:tcPr>
          <w:p>
            <w:pPr>
              <w:spacing w:after="0"/>
            </w:pPr>
            <w:r/>
            <w:r>
              <w:rPr>
                <w:rFonts w:ascii="Calibri" w:hAnsi="Calibri"/>
                <w:b w:val="0"/>
                <w:i w:val="0"/>
                <w:color w:val="101828"/>
                <w:sz w:val="16"/>
              </w:rPr>
              <w:t>Data protection programme</w:t>
            </w:r>
          </w:p>
        </w:tc>
        <w:tc>
          <w:tcPr>
            <w:tcW w:type="dxa" w:w="5328"/>
            <w:tcMar>
              <w:top w:w="60" w:type="dxa"/>
              <w:start w:w="110" w:type="dxa"/>
              <w:bottom w:w="60" w:type="dxa"/>
              <w:end w:w="110" w:type="dxa"/>
            </w:tcMar>
          </w:tcPr>
          <w:p>
            <w:pPr>
              <w:spacing w:after="0"/>
            </w:pPr>
            <w:r/>
            <w:r>
              <w:rPr>
                <w:rFonts w:ascii="Calibri" w:hAnsi="Calibri"/>
                <w:b w:val="0"/>
                <w:i w:val="0"/>
                <w:color w:val="101828"/>
                <w:sz w:val="16"/>
              </w:rPr>
              <w:t>Privacy notice, retention schedule, and data subject request process drafted and approved</w:t>
            </w:r>
          </w:p>
        </w:tc>
      </w:tr>
      <w:tr>
        <w:trPr>
          <w:cantSplit/>
        </w:trPr>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Payments partner agreement</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6"/>
              </w:rPr>
              <w:t>A signed agreement on terms, fees, settlement, and the handling of member funds</w:t>
            </w:r>
          </w:p>
        </w:tc>
      </w:tr>
    </w:tbl>
    <w:p>
      <w:pPr>
        <w:spacing w:after="80"/>
      </w:pPr>
    </w:p>
    <w:p>
      <w:pPr>
        <w:spacing w:before="140" w:after="180"/>
        <w:ind w:left="144"/>
        <w:shd w:val="clear" w:color="auto" w:fill="FEE2E2"/>
        <w:pBdr>
          <w:left w:val="single" w:sz="18" w:space="6" w:color="DC2626"/>
        </w:pBdr>
      </w:pPr>
      <w:r>
        <w:rPr>
          <w:rFonts w:ascii="Calibri" w:hAnsi="Calibri"/>
          <w:b/>
          <w:color w:val="DC2626"/>
          <w:sz w:val="19"/>
        </w:rPr>
        <w:t xml:space="preserve">Phase 1 has a legal exit criterion, not just an engineering one.  </w:t>
      </w:r>
      <w:r>
        <w:rPr>
          <w:rFonts w:ascii="Calibri" w:hAnsi="Calibri"/>
          <w:b w:val="0"/>
          <w:i w:val="0"/>
          <w:color w:val="0B1F3A"/>
          <w:sz w:val="19"/>
        </w:rPr>
        <w:t xml:space="preserve">The advice obtained in this phase determines whether AJO.ng may operate at all, and in what form. It must come from </w:t>
      </w:r>
      <w:r>
        <w:rPr>
          <w:rFonts w:ascii="Calibri" w:hAnsi="Calibri"/>
          <w:b/>
          <w:color w:val="0B1F3A"/>
          <w:sz w:val="19"/>
        </w:rPr>
        <w:t>qualified Nigerian legal and compliance professionals</w:t>
      </w:r>
      <w:r>
        <w:rPr>
          <w:rFonts w:ascii="Calibri" w:hAnsi="Calibri"/>
          <w:b w:val="0"/>
          <w:i w:val="0"/>
          <w:color w:val="0B1F3A"/>
          <w:sz w:val="19"/>
        </w:rPr>
        <w:t>. Nothing in this document should be read as establishing that a particular structure is permissible, and no engineering milestone substitutes for that determination.</w:t>
      </w:r>
    </w:p>
    <w:p>
      <w:pPr>
        <w:pStyle w:val="Heading2"/>
      </w:pPr>
      <w:r>
        <w:rPr>
          <w:rFonts w:ascii="Calibri" w:hAnsi="Calibri"/>
          <w:b/>
          <w:i w:val="0"/>
          <w:color w:val="146EF5"/>
          <w:sz w:val="29"/>
        </w:rPr>
        <w:t>22.4 Phase 2 — Payments spine</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4032"/>
            <w:shd w:val="clear" w:color="auto" w:fill="0B1F3A"/>
            <w:tcMar>
              <w:top w:w="60" w:type="dxa"/>
              <w:start w:w="110" w:type="dxa"/>
              <w:bottom w:w="60" w:type="dxa"/>
              <w:end w:w="110" w:type="dxa"/>
            </w:tcMar>
          </w:tcPr>
          <w:p>
            <w:pPr>
              <w:spacing w:after="0"/>
            </w:pPr>
            <w:r/>
            <w:r>
              <w:rPr>
                <w:rFonts w:ascii="Calibri" w:hAnsi="Calibri"/>
                <w:b/>
                <w:i w:val="0"/>
                <w:color w:val="FFFFFF"/>
                <w:sz w:val="16"/>
              </w:rPr>
              <w:t>Deliverable</w:t>
            </w:r>
          </w:p>
        </w:tc>
        <w:tc>
          <w:tcPr>
            <w:tcW w:type="dxa" w:w="5328"/>
            <w:shd w:val="clear" w:color="auto" w:fill="0B1F3A"/>
            <w:tcMar>
              <w:top w:w="60" w:type="dxa"/>
              <w:start w:w="110" w:type="dxa"/>
              <w:bottom w:w="60" w:type="dxa"/>
              <w:end w:w="110" w:type="dxa"/>
            </w:tcMar>
          </w:tcPr>
          <w:p>
            <w:pPr>
              <w:spacing w:after="0"/>
            </w:pPr>
            <w:r/>
            <w:r>
              <w:rPr>
                <w:rFonts w:ascii="Calibri" w:hAnsi="Calibri"/>
                <w:b/>
                <w:i w:val="0"/>
                <w:color w:val="FFFFFF"/>
                <w:sz w:val="16"/>
              </w:rPr>
              <w:t>Exit criteria</w:t>
            </w:r>
          </w:p>
        </w:tc>
      </w:tr>
      <w:tr>
        <w:trPr>
          <w:cantSplit/>
        </w:trPr>
        <w:tc>
          <w:tcPr>
            <w:tcW w:type="dxa" w:w="4032"/>
            <w:tcMar>
              <w:top w:w="60" w:type="dxa"/>
              <w:start w:w="110" w:type="dxa"/>
              <w:bottom w:w="60" w:type="dxa"/>
              <w:end w:w="110" w:type="dxa"/>
            </w:tcMar>
          </w:tcPr>
          <w:p>
            <w:pPr>
              <w:spacing w:after="0"/>
            </w:pPr>
            <w:r/>
            <w:r>
              <w:rPr>
                <w:rFonts w:ascii="Calibri" w:hAnsi="Calibri"/>
                <w:b w:val="0"/>
                <w:i w:val="0"/>
                <w:color w:val="101828"/>
                <w:sz w:val="16"/>
              </w:rPr>
              <w:t>ProvidusFinancialProvider adapter</w:t>
            </w:r>
          </w:p>
        </w:tc>
        <w:tc>
          <w:tcPr>
            <w:tcW w:type="dxa" w:w="5328"/>
            <w:tcMar>
              <w:top w:w="60" w:type="dxa"/>
              <w:start w:w="110" w:type="dxa"/>
              <w:bottom w:w="60" w:type="dxa"/>
              <w:end w:w="110" w:type="dxa"/>
            </w:tcMar>
          </w:tcPr>
          <w:p>
            <w:pPr>
              <w:spacing w:after="0"/>
            </w:pPr>
            <w:r/>
            <w:r>
              <w:rPr>
                <w:rFonts w:ascii="Calibri" w:hAnsi="Calibri"/>
                <w:b w:val="0"/>
                <w:i w:val="0"/>
                <w:color w:val="101828"/>
                <w:sz w:val="16"/>
              </w:rPr>
              <w:t>Passes the full contract test suite against the provider sandbox</w:t>
            </w:r>
          </w:p>
        </w:tc>
      </w:tr>
      <w:tr>
        <w:trPr>
          <w:cantSplit/>
        </w:trPr>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Collection flow</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6"/>
              </w:rPr>
              <w:t>A member pays end to end, and the contribution is confirmed by webhook</w:t>
            </w:r>
          </w:p>
        </w:tc>
      </w:tr>
      <w:tr>
        <w:trPr>
          <w:cantSplit/>
        </w:trPr>
        <w:tc>
          <w:tcPr>
            <w:tcW w:type="dxa" w:w="4032"/>
            <w:tcMar>
              <w:top w:w="60" w:type="dxa"/>
              <w:start w:w="110" w:type="dxa"/>
              <w:bottom w:w="60" w:type="dxa"/>
              <w:end w:w="110" w:type="dxa"/>
            </w:tcMar>
          </w:tcPr>
          <w:p>
            <w:pPr>
              <w:spacing w:after="0"/>
            </w:pPr>
            <w:r/>
            <w:r>
              <w:rPr>
                <w:rFonts w:ascii="Calibri" w:hAnsi="Calibri"/>
                <w:b w:val="0"/>
                <w:i w:val="0"/>
                <w:color w:val="101828"/>
                <w:sz w:val="16"/>
              </w:rPr>
              <w:t>Webhook handling</w:t>
            </w:r>
          </w:p>
        </w:tc>
        <w:tc>
          <w:tcPr>
            <w:tcW w:type="dxa" w:w="5328"/>
            <w:tcMar>
              <w:top w:w="60" w:type="dxa"/>
              <w:start w:w="110" w:type="dxa"/>
              <w:bottom w:w="60" w:type="dxa"/>
              <w:end w:w="110" w:type="dxa"/>
            </w:tcMar>
          </w:tcPr>
          <w:p>
            <w:pPr>
              <w:spacing w:after="0"/>
            </w:pPr>
            <w:r/>
            <w:r>
              <w:rPr>
                <w:rFonts w:ascii="Calibri" w:hAnsi="Calibri"/>
                <w:b w:val="0"/>
                <w:i w:val="0"/>
                <w:color w:val="101828"/>
                <w:sz w:val="16"/>
              </w:rPr>
              <w:t>Signature verification, replay protection, idempotent processing, and out-of-order handling all proven by test</w:t>
            </w:r>
          </w:p>
        </w:tc>
      </w:tr>
      <w:tr>
        <w:trPr>
          <w:cantSplit/>
        </w:trPr>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Escrow and settlement accounts</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6"/>
              </w:rPr>
              <w:t>Opened and configured, with a documented daily reconciliation owner</w:t>
            </w:r>
          </w:p>
        </w:tc>
      </w:tr>
      <w:tr>
        <w:trPr>
          <w:cantSplit/>
        </w:trPr>
        <w:tc>
          <w:tcPr>
            <w:tcW w:type="dxa" w:w="4032"/>
            <w:tcMar>
              <w:top w:w="60" w:type="dxa"/>
              <w:start w:w="110" w:type="dxa"/>
              <w:bottom w:w="60" w:type="dxa"/>
              <w:end w:w="110" w:type="dxa"/>
            </w:tcMar>
          </w:tcPr>
          <w:p>
            <w:pPr>
              <w:spacing w:after="0"/>
            </w:pPr>
            <w:r/>
            <w:r>
              <w:rPr>
                <w:rFonts w:ascii="Calibri" w:hAnsi="Calibri"/>
                <w:b w:val="0"/>
                <w:i w:val="0"/>
                <w:color w:val="101828"/>
                <w:sz w:val="16"/>
              </w:rPr>
              <w:t>Payout flow</w:t>
            </w:r>
          </w:p>
        </w:tc>
        <w:tc>
          <w:tcPr>
            <w:tcW w:type="dxa" w:w="5328"/>
            <w:tcMar>
              <w:top w:w="60" w:type="dxa"/>
              <w:start w:w="110" w:type="dxa"/>
              <w:bottom w:w="60" w:type="dxa"/>
              <w:end w:w="110" w:type="dxa"/>
            </w:tcMar>
          </w:tcPr>
          <w:p>
            <w:pPr>
              <w:spacing w:after="0"/>
            </w:pPr>
            <w:r/>
            <w:r>
              <w:rPr>
                <w:rFonts w:ascii="Calibri" w:hAnsi="Calibri"/>
                <w:b w:val="0"/>
                <w:i w:val="0"/>
                <w:color w:val="101828"/>
                <w:sz w:val="16"/>
              </w:rPr>
              <w:t>A single-member payout completes to a real bank account, with a reconciled result</w:t>
            </w:r>
          </w:p>
        </w:tc>
      </w:tr>
      <w:tr>
        <w:trPr>
          <w:cantSplit/>
        </w:trPr>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Reconciliation procedures</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6"/>
              </w:rPr>
              <w:t>All three run daily in staging against the sandbox and produce a clean result</w:t>
            </w:r>
          </w:p>
        </w:tc>
      </w:tr>
      <w:tr>
        <w:trPr>
          <w:cantSplit/>
        </w:trPr>
        <w:tc>
          <w:tcPr>
            <w:tcW w:type="dxa" w:w="4032"/>
            <w:tcMar>
              <w:top w:w="60" w:type="dxa"/>
              <w:start w:w="110" w:type="dxa"/>
              <w:bottom w:w="60" w:type="dxa"/>
              <w:end w:w="110" w:type="dxa"/>
            </w:tcMar>
          </w:tcPr>
          <w:p>
            <w:pPr>
              <w:spacing w:after="0"/>
            </w:pPr>
            <w:r/>
            <w:r>
              <w:rPr>
                <w:rFonts w:ascii="Calibri" w:hAnsi="Calibri"/>
                <w:b w:val="0"/>
                <w:i w:val="0"/>
                <w:color w:val="101828"/>
                <w:sz w:val="16"/>
              </w:rPr>
              <w:t>Reversals and refunds</w:t>
            </w:r>
          </w:p>
        </w:tc>
        <w:tc>
          <w:tcPr>
            <w:tcW w:type="dxa" w:w="5328"/>
            <w:tcMar>
              <w:top w:w="60" w:type="dxa"/>
              <w:start w:w="110" w:type="dxa"/>
              <w:bottom w:w="60" w:type="dxa"/>
              <w:end w:w="110" w:type="dxa"/>
            </w:tcMar>
          </w:tcPr>
          <w:p>
            <w:pPr>
              <w:spacing w:after="0"/>
            </w:pPr>
            <w:r/>
            <w:r>
              <w:rPr>
                <w:rFonts w:ascii="Calibri" w:hAnsi="Calibri"/>
                <w:b w:val="0"/>
                <w:i w:val="0"/>
                <w:color w:val="101828"/>
                <w:sz w:val="16"/>
              </w:rPr>
              <w:t>A duplicate capture and an over-contribution are both reversed correctly</w:t>
            </w:r>
          </w:p>
        </w:tc>
      </w:tr>
    </w:tbl>
    <w:p>
      <w:pPr>
        <w:spacing w:after="80"/>
      </w:pPr>
    </w:p>
    <w:p>
      <w:pPr>
        <w:pStyle w:val="Heading2"/>
      </w:pPr>
      <w:r>
        <w:rPr>
          <w:rFonts w:ascii="Calibri" w:hAnsi="Calibri"/>
          <w:b/>
          <w:i w:val="0"/>
          <w:color w:val="146EF5"/>
          <w:sz w:val="29"/>
        </w:rPr>
        <w:t>22.5 Phase 3 — Member experience</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4032"/>
            <w:shd w:val="clear" w:color="auto" w:fill="0B1F3A"/>
            <w:tcMar>
              <w:top w:w="60" w:type="dxa"/>
              <w:start w:w="110" w:type="dxa"/>
              <w:bottom w:w="60" w:type="dxa"/>
              <w:end w:w="110" w:type="dxa"/>
            </w:tcMar>
          </w:tcPr>
          <w:p>
            <w:pPr>
              <w:spacing w:after="0"/>
            </w:pPr>
            <w:r/>
            <w:r>
              <w:rPr>
                <w:rFonts w:ascii="Calibri" w:hAnsi="Calibri"/>
                <w:b/>
                <w:i w:val="0"/>
                <w:color w:val="FFFFFF"/>
                <w:sz w:val="16"/>
              </w:rPr>
              <w:t>Deliverable</w:t>
            </w:r>
          </w:p>
        </w:tc>
        <w:tc>
          <w:tcPr>
            <w:tcW w:type="dxa" w:w="5328"/>
            <w:shd w:val="clear" w:color="auto" w:fill="0B1F3A"/>
            <w:tcMar>
              <w:top w:w="60" w:type="dxa"/>
              <w:start w:w="110" w:type="dxa"/>
              <w:bottom w:w="60" w:type="dxa"/>
              <w:end w:w="110" w:type="dxa"/>
            </w:tcMar>
          </w:tcPr>
          <w:p>
            <w:pPr>
              <w:spacing w:after="0"/>
            </w:pPr>
            <w:r/>
            <w:r>
              <w:rPr>
                <w:rFonts w:ascii="Calibri" w:hAnsi="Calibri"/>
                <w:b/>
                <w:i w:val="0"/>
                <w:color w:val="FFFFFF"/>
                <w:sz w:val="16"/>
              </w:rPr>
              <w:t>Exit criteria</w:t>
            </w:r>
          </w:p>
        </w:tc>
      </w:tr>
      <w:tr>
        <w:trPr>
          <w:cantSplit/>
        </w:trPr>
        <w:tc>
          <w:tcPr>
            <w:tcW w:type="dxa" w:w="4032"/>
            <w:tcMar>
              <w:top w:w="60" w:type="dxa"/>
              <w:start w:w="110" w:type="dxa"/>
              <w:bottom w:w="60" w:type="dxa"/>
              <w:end w:w="110" w:type="dxa"/>
            </w:tcMar>
          </w:tcPr>
          <w:p>
            <w:pPr>
              <w:spacing w:after="0"/>
            </w:pPr>
            <w:r/>
            <w:r>
              <w:rPr>
                <w:rFonts w:ascii="Calibri" w:hAnsi="Calibri"/>
                <w:b w:val="0"/>
                <w:i w:val="0"/>
                <w:color w:val="101828"/>
                <w:sz w:val="16"/>
              </w:rPr>
              <w:t>Registration and verification</w:t>
            </w:r>
          </w:p>
        </w:tc>
        <w:tc>
          <w:tcPr>
            <w:tcW w:type="dxa" w:w="5328"/>
            <w:tcMar>
              <w:top w:w="60" w:type="dxa"/>
              <w:start w:w="110" w:type="dxa"/>
              <w:bottom w:w="60" w:type="dxa"/>
              <w:end w:w="110" w:type="dxa"/>
            </w:tcMar>
          </w:tcPr>
          <w:p>
            <w:pPr>
              <w:spacing w:after="0"/>
            </w:pPr>
            <w:r/>
            <w:r>
              <w:rPr>
                <w:rFonts w:ascii="Calibri" w:hAnsi="Calibri"/>
                <w:b w:val="0"/>
                <w:i w:val="0"/>
                <w:color w:val="101828"/>
                <w:sz w:val="16"/>
              </w:rPr>
              <w:t>A new member registers, verifies identity, and consents, with the audit record complete</w:t>
            </w:r>
          </w:p>
        </w:tc>
      </w:tr>
      <w:tr>
        <w:trPr>
          <w:cantSplit/>
        </w:trPr>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Create and join an Ajo</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6"/>
              </w:rPr>
              <w:t>The 5-day enrollment, invitation, and position assignment all work and are tested at the boundary</w:t>
            </w:r>
          </w:p>
        </w:tc>
      </w:tr>
      <w:tr>
        <w:trPr>
          <w:cantSplit/>
        </w:trPr>
        <w:tc>
          <w:tcPr>
            <w:tcW w:type="dxa" w:w="4032"/>
            <w:tcMar>
              <w:top w:w="60" w:type="dxa"/>
              <w:start w:w="110" w:type="dxa"/>
              <w:bottom w:w="60" w:type="dxa"/>
              <w:end w:w="110" w:type="dxa"/>
            </w:tcMar>
          </w:tcPr>
          <w:p>
            <w:pPr>
              <w:spacing w:after="0"/>
            </w:pPr>
            <w:r/>
            <w:r>
              <w:rPr>
                <w:rFonts w:ascii="Calibri" w:hAnsi="Calibri"/>
                <w:b w:val="0"/>
                <w:i w:val="0"/>
                <w:color w:val="101828"/>
                <w:sz w:val="16"/>
              </w:rPr>
              <w:t>Contribute</w:t>
            </w:r>
          </w:p>
        </w:tc>
        <w:tc>
          <w:tcPr>
            <w:tcW w:type="dxa" w:w="5328"/>
            <w:tcMar>
              <w:top w:w="60" w:type="dxa"/>
              <w:start w:w="110" w:type="dxa"/>
              <w:bottom w:w="60" w:type="dxa"/>
              <w:end w:w="110" w:type="dxa"/>
            </w:tcMar>
          </w:tcPr>
          <w:p>
            <w:pPr>
              <w:spacing w:after="0"/>
            </w:pPr>
            <w:r/>
            <w:r>
              <w:rPr>
                <w:rFonts w:ascii="Calibri" w:hAnsi="Calibri"/>
                <w:b w:val="0"/>
                <w:i w:val="0"/>
                <w:color w:val="101828"/>
                <w:sz w:val="16"/>
              </w:rPr>
              <w:t>The fee is shown as a separate line, the total is correct, and failure states are handled</w:t>
            </w:r>
          </w:p>
        </w:tc>
      </w:tr>
      <w:tr>
        <w:trPr>
          <w:cantSplit/>
        </w:trPr>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Notifications</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6"/>
              </w:rPr>
              <w:t>Money events reach every enabled channel; the reminder schedule escalates correctly</w:t>
            </w:r>
          </w:p>
        </w:tc>
      </w:tr>
      <w:tr>
        <w:trPr>
          <w:cantSplit/>
        </w:trPr>
        <w:tc>
          <w:tcPr>
            <w:tcW w:type="dxa" w:w="4032"/>
            <w:tcMar>
              <w:top w:w="60" w:type="dxa"/>
              <w:start w:w="110" w:type="dxa"/>
              <w:bottom w:w="60" w:type="dxa"/>
              <w:end w:w="110" w:type="dxa"/>
            </w:tcMar>
          </w:tcPr>
          <w:p>
            <w:pPr>
              <w:spacing w:after="0"/>
            </w:pPr>
            <w:r/>
            <w:r>
              <w:rPr>
                <w:rFonts w:ascii="Calibri" w:hAnsi="Calibri"/>
                <w:b w:val="0"/>
                <w:i w:val="0"/>
                <w:color w:val="101828"/>
                <w:sz w:val="16"/>
              </w:rPr>
              <w:t>Payout experience</w:t>
            </w:r>
          </w:p>
        </w:tc>
        <w:tc>
          <w:tcPr>
            <w:tcW w:type="dxa" w:w="5328"/>
            <w:tcMar>
              <w:top w:w="60" w:type="dxa"/>
              <w:start w:w="110" w:type="dxa"/>
              <w:bottom w:w="60" w:type="dxa"/>
              <w:end w:w="110" w:type="dxa"/>
            </w:tcMar>
          </w:tcPr>
          <w:p>
            <w:pPr>
              <w:spacing w:after="0"/>
            </w:pPr>
            <w:r/>
            <w:r>
              <w:rPr>
                <w:rFonts w:ascii="Calibri" w:hAnsi="Calibri"/>
                <w:b w:val="0"/>
                <w:i w:val="0"/>
                <w:color w:val="101828"/>
                <w:sz w:val="16"/>
              </w:rPr>
              <w:t>The full cycle completes and the member sees a receipt and a statement</w:t>
            </w:r>
          </w:p>
        </w:tc>
      </w:tr>
      <w:tr>
        <w:trPr>
          <w:cantSplit/>
        </w:trPr>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Profiles, bank accounts, settings</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6"/>
              </w:rPr>
              <w:t>Members manage their own details, with cooling-off enforced on bank changes</w:t>
            </w:r>
          </w:p>
        </w:tc>
      </w:tr>
      <w:tr>
        <w:trPr>
          <w:cantSplit/>
        </w:trPr>
        <w:tc>
          <w:tcPr>
            <w:tcW w:type="dxa" w:w="4032"/>
            <w:tcMar>
              <w:top w:w="60" w:type="dxa"/>
              <w:start w:w="110" w:type="dxa"/>
              <w:bottom w:w="60" w:type="dxa"/>
              <w:end w:w="110" w:type="dxa"/>
            </w:tcMar>
          </w:tcPr>
          <w:p>
            <w:pPr>
              <w:spacing w:after="0"/>
            </w:pPr>
            <w:r/>
            <w:r>
              <w:rPr>
                <w:rFonts w:ascii="Calibri" w:hAnsi="Calibri"/>
                <w:b w:val="0"/>
                <w:i w:val="0"/>
                <w:color w:val="101828"/>
                <w:sz w:val="16"/>
              </w:rPr>
              <w:t>Help and support</w:t>
            </w:r>
          </w:p>
        </w:tc>
        <w:tc>
          <w:tcPr>
            <w:tcW w:type="dxa" w:w="5328"/>
            <w:tcMar>
              <w:top w:w="60" w:type="dxa"/>
              <w:start w:w="110" w:type="dxa"/>
              <w:bottom w:w="60" w:type="dxa"/>
              <w:end w:w="110" w:type="dxa"/>
            </w:tcMar>
          </w:tcPr>
          <w:p>
            <w:pPr>
              <w:spacing w:after="0"/>
            </w:pPr>
            <w:r/>
            <w:r>
              <w:rPr>
                <w:rFonts w:ascii="Calibri" w:hAnsi="Calibri"/>
                <w:b w:val="0"/>
                <w:i w:val="0"/>
                <w:color w:val="101828"/>
                <w:sz w:val="16"/>
              </w:rPr>
              <w:t>In-app help, a support channel, and a documented escalation path</w:t>
            </w:r>
          </w:p>
        </w:tc>
      </w:tr>
    </w:tbl>
    <w:p>
      <w:pPr>
        <w:spacing w:after="80"/>
      </w:pPr>
    </w:p>
    <w:p>
      <w:pPr>
        <w:pStyle w:val="Heading2"/>
      </w:pPr>
      <w:r>
        <w:rPr>
          <w:rFonts w:ascii="Calibri" w:hAnsi="Calibri"/>
          <w:b/>
          <w:i w:val="0"/>
          <w:color w:val="146EF5"/>
          <w:sz w:val="29"/>
        </w:rPr>
        <w:t>22.6 Phase 4 — Organizer and admin</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4032"/>
            <w:shd w:val="clear" w:color="auto" w:fill="0B1F3A"/>
            <w:tcMar>
              <w:top w:w="60" w:type="dxa"/>
              <w:start w:w="110" w:type="dxa"/>
              <w:bottom w:w="60" w:type="dxa"/>
              <w:end w:w="110" w:type="dxa"/>
            </w:tcMar>
          </w:tcPr>
          <w:p>
            <w:pPr>
              <w:spacing w:after="0"/>
            </w:pPr>
            <w:r/>
            <w:r>
              <w:rPr>
                <w:rFonts w:ascii="Calibri" w:hAnsi="Calibri"/>
                <w:b/>
                <w:i w:val="0"/>
                <w:color w:val="FFFFFF"/>
                <w:sz w:val="16"/>
              </w:rPr>
              <w:t>Deliverable</w:t>
            </w:r>
          </w:p>
        </w:tc>
        <w:tc>
          <w:tcPr>
            <w:tcW w:type="dxa" w:w="5328"/>
            <w:shd w:val="clear" w:color="auto" w:fill="0B1F3A"/>
            <w:tcMar>
              <w:top w:w="60" w:type="dxa"/>
              <w:start w:w="110" w:type="dxa"/>
              <w:bottom w:w="60" w:type="dxa"/>
              <w:end w:w="110" w:type="dxa"/>
            </w:tcMar>
          </w:tcPr>
          <w:p>
            <w:pPr>
              <w:spacing w:after="0"/>
            </w:pPr>
            <w:r/>
            <w:r>
              <w:rPr>
                <w:rFonts w:ascii="Calibri" w:hAnsi="Calibri"/>
                <w:b/>
                <w:i w:val="0"/>
                <w:color w:val="FFFFFF"/>
                <w:sz w:val="16"/>
              </w:rPr>
              <w:t>Exit criteria</w:t>
            </w:r>
          </w:p>
        </w:tc>
      </w:tr>
      <w:tr>
        <w:trPr>
          <w:cantSplit/>
        </w:trPr>
        <w:tc>
          <w:tcPr>
            <w:tcW w:type="dxa" w:w="4032"/>
            <w:tcMar>
              <w:top w:w="60" w:type="dxa"/>
              <w:start w:w="110" w:type="dxa"/>
              <w:bottom w:w="60" w:type="dxa"/>
              <w:end w:w="110" w:type="dxa"/>
            </w:tcMar>
          </w:tcPr>
          <w:p>
            <w:pPr>
              <w:spacing w:after="0"/>
            </w:pPr>
            <w:r/>
            <w:r>
              <w:rPr>
                <w:rFonts w:ascii="Calibri" w:hAnsi="Calibri"/>
                <w:b w:val="0"/>
                <w:i w:val="0"/>
                <w:color w:val="101828"/>
                <w:sz w:val="16"/>
              </w:rPr>
              <w:t>Organizer tools</w:t>
            </w:r>
          </w:p>
        </w:tc>
        <w:tc>
          <w:tcPr>
            <w:tcW w:type="dxa" w:w="5328"/>
            <w:tcMar>
              <w:top w:w="60" w:type="dxa"/>
              <w:start w:w="110" w:type="dxa"/>
              <w:bottom w:w="60" w:type="dxa"/>
              <w:end w:w="110" w:type="dxa"/>
            </w:tcMar>
          </w:tcPr>
          <w:p>
            <w:pPr>
              <w:spacing w:after="0"/>
            </w:pPr>
            <w:r/>
            <w:r>
              <w:rPr>
                <w:rFonts w:ascii="Calibri" w:hAnsi="Calibri"/>
                <w:b w:val="0"/>
                <w:i w:val="0"/>
                <w:color w:val="101828"/>
                <w:sz w:val="16"/>
              </w:rPr>
              <w:t>Create, invite, monitor, and acknowledge, scoped strictly to their own Ajos</w:t>
            </w:r>
          </w:p>
        </w:tc>
      </w:tr>
      <w:tr>
        <w:trPr>
          <w:cantSplit/>
        </w:trPr>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Organizer reporting</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6"/>
              </w:rPr>
              <w:t>A structured default report that respects BR-019: no public exposure of a defaulting member</w:t>
            </w:r>
          </w:p>
        </w:tc>
      </w:tr>
      <w:tr>
        <w:trPr>
          <w:cantSplit/>
        </w:trPr>
        <w:tc>
          <w:tcPr>
            <w:tcW w:type="dxa" w:w="4032"/>
            <w:tcMar>
              <w:top w:w="60" w:type="dxa"/>
              <w:start w:w="110" w:type="dxa"/>
              <w:bottom w:w="60" w:type="dxa"/>
              <w:end w:w="110" w:type="dxa"/>
            </w:tcMar>
          </w:tcPr>
          <w:p>
            <w:pPr>
              <w:spacing w:after="0"/>
            </w:pPr>
            <w:r/>
            <w:r>
              <w:rPr>
                <w:rFonts w:ascii="Calibri" w:hAnsi="Calibri"/>
                <w:b w:val="0"/>
                <w:i w:val="0"/>
                <w:color w:val="101828"/>
                <w:sz w:val="16"/>
              </w:rPr>
              <w:t>Admin console</w:t>
            </w:r>
          </w:p>
        </w:tc>
        <w:tc>
          <w:tcPr>
            <w:tcW w:type="dxa" w:w="5328"/>
            <w:tcMar>
              <w:top w:w="60" w:type="dxa"/>
              <w:start w:w="110" w:type="dxa"/>
              <w:bottom w:w="60" w:type="dxa"/>
              <w:end w:w="110" w:type="dxa"/>
            </w:tcMar>
          </w:tcPr>
          <w:p>
            <w:pPr>
              <w:spacing w:after="0"/>
            </w:pPr>
            <w:r/>
            <w:r>
              <w:rPr>
                <w:rFonts w:ascii="Calibri" w:hAnsi="Calibri"/>
                <w:b w:val="0"/>
                <w:i w:val="0"/>
                <w:color w:val="101828"/>
                <w:sz w:val="16"/>
              </w:rPr>
              <w:t>Ajo oversight, member support lookup, dispute queue, and audit trail</w:t>
            </w:r>
          </w:p>
        </w:tc>
      </w:tr>
      <w:tr>
        <w:trPr>
          <w:cantSplit/>
        </w:trPr>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Risk console</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6"/>
              </w:rPr>
              <w:t>The alert queue, holds with reasons and deadlines, and the investigation record</w:t>
            </w:r>
          </w:p>
        </w:tc>
      </w:tr>
      <w:tr>
        <w:trPr>
          <w:cantSplit/>
        </w:trPr>
        <w:tc>
          <w:tcPr>
            <w:tcW w:type="dxa" w:w="4032"/>
            <w:tcMar>
              <w:top w:w="60" w:type="dxa"/>
              <w:start w:w="110" w:type="dxa"/>
              <w:bottom w:w="60" w:type="dxa"/>
              <w:end w:w="110" w:type="dxa"/>
            </w:tcMar>
          </w:tcPr>
          <w:p>
            <w:pPr>
              <w:spacing w:after="0"/>
            </w:pPr>
            <w:r/>
            <w:r>
              <w:rPr>
                <w:rFonts w:ascii="Calibri" w:hAnsi="Calibri"/>
                <w:b w:val="0"/>
                <w:i w:val="0"/>
                <w:color w:val="101828"/>
                <w:sz w:val="16"/>
              </w:rPr>
              <w:t>Finance console</w:t>
            </w:r>
          </w:p>
        </w:tc>
        <w:tc>
          <w:tcPr>
            <w:tcW w:type="dxa" w:w="5328"/>
            <w:tcMar>
              <w:top w:w="60" w:type="dxa"/>
              <w:start w:w="110" w:type="dxa"/>
              <w:bottom w:w="60" w:type="dxa"/>
              <w:end w:w="110" w:type="dxa"/>
            </w:tcMar>
          </w:tcPr>
          <w:p>
            <w:pPr>
              <w:spacing w:after="0"/>
            </w:pPr>
            <w:r/>
            <w:r>
              <w:rPr>
                <w:rFonts w:ascii="Calibri" w:hAnsi="Calibri"/>
                <w:b w:val="0"/>
                <w:i w:val="0"/>
                <w:color w:val="101828"/>
                <w:sz w:val="16"/>
              </w:rPr>
              <w:t>Reconciliation dashboards, manual operations with dual authorisation, and month-end reporting</w:t>
            </w:r>
          </w:p>
        </w:tc>
      </w:tr>
      <w:tr>
        <w:trPr>
          <w:cantSplit/>
        </w:trPr>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Dispute resolution</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6"/>
              </w:rPr>
              <w:t>Raise, respond, resolve, and notify, with a complete timeline</w:t>
            </w:r>
          </w:p>
        </w:tc>
      </w:tr>
    </w:tbl>
    <w:p>
      <w:pPr>
        <w:spacing w:after="80"/>
      </w:pPr>
    </w:p>
    <w:p>
      <w:pPr>
        <w:pStyle w:val="Heading2"/>
      </w:pPr>
      <w:r>
        <w:rPr>
          <w:rFonts w:ascii="Calibri" w:hAnsi="Calibri"/>
          <w:b/>
          <w:i w:val="0"/>
          <w:color w:val="146EF5"/>
          <w:sz w:val="29"/>
        </w:rPr>
        <w:t>22.7 Phase 5 — Controlled pilot</w:t>
      </w:r>
    </w:p>
    <w:p>
      <w:r>
        <w:rPr>
          <w:rFonts w:ascii="Calibri" w:hAnsi="Calibri"/>
          <w:b w:val="0"/>
          <w:i w:val="0"/>
          <w:color w:val="101828"/>
          <w:sz w:val="21"/>
        </w:rPr>
        <w:t>A small, invited, closely supervised group. The purpose is to find the problems that only appear with real money and real people.</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4032"/>
            <w:shd w:val="clear" w:color="auto" w:fill="0B1F3A"/>
            <w:tcMar>
              <w:top w:w="60" w:type="dxa"/>
              <w:start w:w="110" w:type="dxa"/>
              <w:bottom w:w="60" w:type="dxa"/>
              <w:end w:w="110" w:type="dxa"/>
            </w:tcMar>
          </w:tcPr>
          <w:p>
            <w:pPr>
              <w:spacing w:after="0"/>
            </w:pPr>
            <w:r/>
            <w:r>
              <w:rPr>
                <w:rFonts w:ascii="Calibri" w:hAnsi="Calibri"/>
                <w:b/>
                <w:i w:val="0"/>
                <w:color w:val="FFFFFF"/>
                <w:sz w:val="16"/>
              </w:rPr>
              <w:t>Deliverable</w:t>
            </w:r>
          </w:p>
        </w:tc>
        <w:tc>
          <w:tcPr>
            <w:tcW w:type="dxa" w:w="5328"/>
            <w:shd w:val="clear" w:color="auto" w:fill="0B1F3A"/>
            <w:tcMar>
              <w:top w:w="60" w:type="dxa"/>
              <w:start w:w="110" w:type="dxa"/>
              <w:bottom w:w="60" w:type="dxa"/>
              <w:end w:w="110" w:type="dxa"/>
            </w:tcMar>
          </w:tcPr>
          <w:p>
            <w:pPr>
              <w:spacing w:after="0"/>
            </w:pPr>
            <w:r/>
            <w:r>
              <w:rPr>
                <w:rFonts w:ascii="Calibri" w:hAnsi="Calibri"/>
                <w:b/>
                <w:i w:val="0"/>
                <w:color w:val="FFFFFF"/>
                <w:sz w:val="16"/>
              </w:rPr>
              <w:t>Exit criteria</w:t>
            </w:r>
          </w:p>
        </w:tc>
      </w:tr>
      <w:tr>
        <w:trPr>
          <w:cantSplit/>
        </w:trPr>
        <w:tc>
          <w:tcPr>
            <w:tcW w:type="dxa" w:w="4032"/>
            <w:tcMar>
              <w:top w:w="60" w:type="dxa"/>
              <w:start w:w="110" w:type="dxa"/>
              <w:bottom w:w="60" w:type="dxa"/>
              <w:end w:w="110" w:type="dxa"/>
            </w:tcMar>
          </w:tcPr>
          <w:p>
            <w:pPr>
              <w:spacing w:after="0"/>
            </w:pPr>
            <w:r/>
            <w:r>
              <w:rPr>
                <w:rFonts w:ascii="Calibri" w:hAnsi="Calibri"/>
                <w:b w:val="0"/>
                <w:i w:val="0"/>
                <w:color w:val="101828"/>
                <w:sz w:val="16"/>
              </w:rPr>
              <w:t>Pilot cohort</w:t>
            </w:r>
          </w:p>
        </w:tc>
        <w:tc>
          <w:tcPr>
            <w:tcW w:type="dxa" w:w="5328"/>
            <w:tcMar>
              <w:top w:w="60" w:type="dxa"/>
              <w:start w:w="110" w:type="dxa"/>
              <w:bottom w:w="60" w:type="dxa"/>
              <w:end w:w="110" w:type="dxa"/>
            </w:tcMar>
          </w:tcPr>
          <w:p>
            <w:pPr>
              <w:spacing w:after="0"/>
            </w:pPr>
            <w:r/>
            <w:r>
              <w:rPr>
                <w:rFonts w:ascii="Calibri" w:hAnsi="Calibri"/>
                <w:b w:val="0"/>
                <w:i w:val="0"/>
                <w:color w:val="101828"/>
                <w:sz w:val="16"/>
              </w:rPr>
              <w:t>10–20 trusted members, recruited personally, with real money</w:t>
            </w:r>
          </w:p>
        </w:tc>
      </w:tr>
      <w:tr>
        <w:trPr>
          <w:cantSplit/>
        </w:trPr>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Complete Ajo cycles</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6"/>
              </w:rPr>
              <w:t>At least three full cycles complete to a real bank account, reconciled</w:t>
            </w:r>
          </w:p>
        </w:tc>
      </w:tr>
      <w:tr>
        <w:trPr>
          <w:cantSplit/>
        </w:trPr>
        <w:tc>
          <w:tcPr>
            <w:tcW w:type="dxa" w:w="4032"/>
            <w:tcMar>
              <w:top w:w="60" w:type="dxa"/>
              <w:start w:w="110" w:type="dxa"/>
              <w:bottom w:w="60" w:type="dxa"/>
              <w:end w:w="110" w:type="dxa"/>
            </w:tcMar>
          </w:tcPr>
          <w:p>
            <w:pPr>
              <w:spacing w:after="0"/>
            </w:pPr>
            <w:r/>
            <w:r>
              <w:rPr>
                <w:rFonts w:ascii="Calibri" w:hAnsi="Calibri"/>
                <w:b w:val="0"/>
                <w:i w:val="0"/>
                <w:color w:val="101828"/>
                <w:sz w:val="16"/>
              </w:rPr>
              <w:t>Daily operations</w:t>
            </w:r>
          </w:p>
        </w:tc>
        <w:tc>
          <w:tcPr>
            <w:tcW w:type="dxa" w:w="5328"/>
            <w:tcMar>
              <w:top w:w="60" w:type="dxa"/>
              <w:start w:w="110" w:type="dxa"/>
              <w:bottom w:w="60" w:type="dxa"/>
              <w:end w:w="110" w:type="dxa"/>
            </w:tcMar>
          </w:tcPr>
          <w:p>
            <w:pPr>
              <w:spacing w:after="0"/>
            </w:pPr>
            <w:r/>
            <w:r>
              <w:rPr>
                <w:rFonts w:ascii="Calibri" w:hAnsi="Calibri"/>
                <w:b w:val="0"/>
                <w:i w:val="0"/>
                <w:color w:val="101828"/>
                <w:sz w:val="16"/>
              </w:rPr>
              <w:t>The runbook in section 13.13 is followed for the full pilot without improvisation</w:t>
            </w:r>
          </w:p>
        </w:tc>
      </w:tr>
      <w:tr>
        <w:trPr>
          <w:cantSplit/>
        </w:trPr>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Default handling</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6"/>
              </w:rPr>
              <w:t>At least one real default is processed end to end through recovery or formal default</w:t>
            </w:r>
          </w:p>
        </w:tc>
      </w:tr>
      <w:tr>
        <w:trPr>
          <w:cantSplit/>
        </w:trPr>
        <w:tc>
          <w:tcPr>
            <w:tcW w:type="dxa" w:w="4032"/>
            <w:tcMar>
              <w:top w:w="60" w:type="dxa"/>
              <w:start w:w="110" w:type="dxa"/>
              <w:bottom w:w="60" w:type="dxa"/>
              <w:end w:w="110" w:type="dxa"/>
            </w:tcMar>
          </w:tcPr>
          <w:p>
            <w:pPr>
              <w:spacing w:after="0"/>
            </w:pPr>
            <w:r/>
            <w:r>
              <w:rPr>
                <w:rFonts w:ascii="Calibri" w:hAnsi="Calibri"/>
                <w:b w:val="0"/>
                <w:i w:val="0"/>
                <w:color w:val="101828"/>
                <w:sz w:val="16"/>
              </w:rPr>
              <w:t>Member feedback</w:t>
            </w:r>
          </w:p>
        </w:tc>
        <w:tc>
          <w:tcPr>
            <w:tcW w:type="dxa" w:w="5328"/>
            <w:tcMar>
              <w:top w:w="60" w:type="dxa"/>
              <w:start w:w="110" w:type="dxa"/>
              <w:bottom w:w="60" w:type="dxa"/>
              <w:end w:w="110" w:type="dxa"/>
            </w:tcMar>
          </w:tcPr>
          <w:p>
            <w:pPr>
              <w:spacing w:after="0"/>
            </w:pPr>
            <w:r/>
            <w:r>
              <w:rPr>
                <w:rFonts w:ascii="Calibri" w:hAnsi="Calibri"/>
                <w:b w:val="0"/>
                <w:i w:val="0"/>
                <w:color w:val="101828"/>
                <w:sz w:val="16"/>
              </w:rPr>
              <w:t>Structured interviews with every pilot member, and every complaint logged and answered</w:t>
            </w:r>
          </w:p>
        </w:tc>
      </w:tr>
      <w:tr>
        <w:trPr>
          <w:cantSplit/>
        </w:trPr>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Defect resolution</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6"/>
              </w:rPr>
              <w:t>All critical and high defects closed</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The pilot is the real test, and it should be treated as such.  </w:t>
      </w:r>
      <w:r>
        <w:rPr>
          <w:rFonts w:ascii="Calibri" w:hAnsi="Calibri"/>
          <w:b w:val="0"/>
          <w:i w:val="0"/>
          <w:color w:val="0B1F3A"/>
          <w:sz w:val="19"/>
        </w:rPr>
        <w:t>A pilot exists to discover the assumptions that were wrong. If a pilot of fifteen people across three complete cycles produces no surprises, the pilot was not run properly — either the cohort was too safe, or the team was not watching. The questions to ask are: did anyone default unexpectedly, did anyone fail verification, did any reconciliation break occur, and did any member ask a question the product could not answer clearly?</w:t>
      </w:r>
    </w:p>
    <w:p>
      <w:pPr>
        <w:pStyle w:val="Heading2"/>
      </w:pPr>
      <w:r>
        <w:rPr>
          <w:rFonts w:ascii="Calibri" w:hAnsi="Calibri"/>
          <w:b/>
          <w:i w:val="0"/>
          <w:color w:val="146EF5"/>
          <w:sz w:val="29"/>
        </w:rPr>
        <w:t>22.8 Phase 6 — Public launch</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4032"/>
            <w:shd w:val="clear" w:color="auto" w:fill="0B1F3A"/>
            <w:tcMar>
              <w:top w:w="60" w:type="dxa"/>
              <w:start w:w="110" w:type="dxa"/>
              <w:bottom w:w="60" w:type="dxa"/>
              <w:end w:w="110" w:type="dxa"/>
            </w:tcMar>
          </w:tcPr>
          <w:p>
            <w:pPr>
              <w:spacing w:after="0"/>
            </w:pPr>
            <w:r/>
            <w:r>
              <w:rPr>
                <w:rFonts w:ascii="Calibri" w:hAnsi="Calibri"/>
                <w:b/>
                <w:i w:val="0"/>
                <w:color w:val="FFFFFF"/>
                <w:sz w:val="16"/>
              </w:rPr>
              <w:t>Deliverable</w:t>
            </w:r>
          </w:p>
        </w:tc>
        <w:tc>
          <w:tcPr>
            <w:tcW w:type="dxa" w:w="5328"/>
            <w:shd w:val="clear" w:color="auto" w:fill="0B1F3A"/>
            <w:tcMar>
              <w:top w:w="60" w:type="dxa"/>
              <w:start w:w="110" w:type="dxa"/>
              <w:bottom w:w="60" w:type="dxa"/>
              <w:end w:w="110" w:type="dxa"/>
            </w:tcMar>
          </w:tcPr>
          <w:p>
            <w:pPr>
              <w:spacing w:after="0"/>
            </w:pPr>
            <w:r/>
            <w:r>
              <w:rPr>
                <w:rFonts w:ascii="Calibri" w:hAnsi="Calibri"/>
                <w:b/>
                <w:i w:val="0"/>
                <w:color w:val="FFFFFF"/>
                <w:sz w:val="16"/>
              </w:rPr>
              <w:t>Exit criteria</w:t>
            </w:r>
          </w:p>
        </w:tc>
      </w:tr>
      <w:tr>
        <w:trPr>
          <w:cantSplit/>
        </w:trPr>
        <w:tc>
          <w:tcPr>
            <w:tcW w:type="dxa" w:w="4032"/>
            <w:tcMar>
              <w:top w:w="60" w:type="dxa"/>
              <w:start w:w="110" w:type="dxa"/>
              <w:bottom w:w="60" w:type="dxa"/>
              <w:end w:w="110" w:type="dxa"/>
            </w:tcMar>
          </w:tcPr>
          <w:p>
            <w:pPr>
              <w:spacing w:after="0"/>
            </w:pPr>
            <w:r/>
            <w:r>
              <w:rPr>
                <w:rFonts w:ascii="Calibri" w:hAnsi="Calibri"/>
                <w:b w:val="0"/>
                <w:i w:val="0"/>
                <w:color w:val="101828"/>
                <w:sz w:val="16"/>
              </w:rPr>
              <w:t>Public availability</w:t>
            </w:r>
          </w:p>
        </w:tc>
        <w:tc>
          <w:tcPr>
            <w:tcW w:type="dxa" w:w="5328"/>
            <w:tcMar>
              <w:top w:w="60" w:type="dxa"/>
              <w:start w:w="110" w:type="dxa"/>
              <w:bottom w:w="60" w:type="dxa"/>
              <w:end w:w="110" w:type="dxa"/>
            </w:tcMar>
          </w:tcPr>
          <w:p>
            <w:pPr>
              <w:spacing w:after="0"/>
            </w:pPr>
            <w:r/>
            <w:r>
              <w:rPr>
                <w:rFonts w:ascii="Calibri" w:hAnsi="Calibri"/>
                <w:b w:val="0"/>
                <w:i w:val="0"/>
                <w:color w:val="101828"/>
                <w:sz w:val="16"/>
              </w:rPr>
              <w:t>Open registration, with onboarding and verification proven at volume</w:t>
            </w:r>
          </w:p>
        </w:tc>
      </w:tr>
      <w:tr>
        <w:trPr>
          <w:cantSplit/>
        </w:trPr>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Localisation</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6"/>
              </w:rPr>
              <w:t>Professional translation of all financial and instructional content, reviewed by native speakers</w:t>
            </w:r>
          </w:p>
        </w:tc>
      </w:tr>
      <w:tr>
        <w:trPr>
          <w:cantSplit/>
        </w:trPr>
        <w:tc>
          <w:tcPr>
            <w:tcW w:type="dxa" w:w="4032"/>
            <w:tcMar>
              <w:top w:w="60" w:type="dxa"/>
              <w:start w:w="110" w:type="dxa"/>
              <w:bottom w:w="60" w:type="dxa"/>
              <w:end w:w="110" w:type="dxa"/>
            </w:tcMar>
          </w:tcPr>
          <w:p>
            <w:pPr>
              <w:spacing w:after="0"/>
            </w:pPr>
            <w:r/>
            <w:r>
              <w:rPr>
                <w:rFonts w:ascii="Calibri" w:hAnsi="Calibri"/>
                <w:b w:val="0"/>
                <w:i w:val="0"/>
                <w:color w:val="101828"/>
                <w:sz w:val="16"/>
              </w:rPr>
              <w:t>Security certification</w:t>
            </w:r>
          </w:p>
        </w:tc>
        <w:tc>
          <w:tcPr>
            <w:tcW w:type="dxa" w:w="5328"/>
            <w:tcMar>
              <w:top w:w="60" w:type="dxa"/>
              <w:start w:w="110" w:type="dxa"/>
              <w:bottom w:w="60" w:type="dxa"/>
              <w:end w:w="110" w:type="dxa"/>
            </w:tcMar>
          </w:tcPr>
          <w:p>
            <w:pPr>
              <w:spacing w:after="0"/>
            </w:pPr>
            <w:r/>
            <w:r>
              <w:rPr>
                <w:rFonts w:ascii="Calibri" w:hAnsi="Calibri"/>
                <w:b w:val="0"/>
                <w:i w:val="0"/>
                <w:color w:val="101828"/>
                <w:sz w:val="16"/>
              </w:rPr>
              <w:t>Independent penetration test passed, with all critical and high findings closed</w:t>
            </w:r>
          </w:p>
        </w:tc>
      </w:tr>
      <w:tr>
        <w:trPr>
          <w:cantSplit/>
        </w:trPr>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Observability and on-call</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6"/>
              </w:rPr>
              <w:t>Dashboards live, alerting routing to a real rota, runbooks written</w:t>
            </w:r>
          </w:p>
        </w:tc>
      </w:tr>
      <w:tr>
        <w:trPr>
          <w:cantSplit/>
        </w:trPr>
        <w:tc>
          <w:tcPr>
            <w:tcW w:type="dxa" w:w="4032"/>
            <w:tcMar>
              <w:top w:w="60" w:type="dxa"/>
              <w:start w:w="110" w:type="dxa"/>
              <w:bottom w:w="60" w:type="dxa"/>
              <w:end w:w="110" w:type="dxa"/>
            </w:tcMar>
          </w:tcPr>
          <w:p>
            <w:pPr>
              <w:spacing w:after="0"/>
            </w:pPr>
            <w:r/>
            <w:r>
              <w:rPr>
                <w:rFonts w:ascii="Calibri" w:hAnsi="Calibri"/>
                <w:b w:val="0"/>
                <w:i w:val="0"/>
                <w:color w:val="101828"/>
                <w:sz w:val="16"/>
              </w:rPr>
              <w:t>Operations staffed</w:t>
            </w:r>
          </w:p>
        </w:tc>
        <w:tc>
          <w:tcPr>
            <w:tcW w:type="dxa" w:w="5328"/>
            <w:tcMar>
              <w:top w:w="60" w:type="dxa"/>
              <w:start w:w="110" w:type="dxa"/>
              <w:bottom w:w="60" w:type="dxa"/>
              <w:end w:w="110" w:type="dxa"/>
            </w:tcMar>
          </w:tcPr>
          <w:p>
            <w:pPr>
              <w:spacing w:after="0"/>
            </w:pPr>
            <w:r/>
            <w:r>
              <w:rPr>
                <w:rFonts w:ascii="Calibri" w:hAnsi="Calibri"/>
                <w:b w:val="0"/>
                <w:i w:val="0"/>
                <w:color w:val="101828"/>
                <w:sz w:val="16"/>
              </w:rPr>
              <w:t>Reconciliation, support, and risk roles filled and trained</w:t>
            </w:r>
          </w:p>
        </w:tc>
      </w:tr>
      <w:tr>
        <w:trPr>
          <w:cantSplit/>
        </w:trPr>
        <w:tc>
          <w:tcPr>
            <w:tcW w:type="dxa" w:w="4032"/>
            <w:tcMar>
              <w:top w:w="60" w:type="dxa"/>
              <w:start w:w="110" w:type="dxa"/>
              <w:bottom w:w="60" w:type="dxa"/>
              <w:end w:w="110" w:type="dxa"/>
            </w:tcMar>
            <w:shd w:val="clear" w:color="auto" w:fill="F4F7FB"/>
          </w:tcPr>
          <w:p>
            <w:pPr>
              <w:spacing w:after="0"/>
            </w:pPr>
            <w:r/>
            <w:r>
              <w:rPr>
                <w:rFonts w:ascii="Calibri" w:hAnsi="Calibri"/>
                <w:b w:val="0"/>
                <w:i w:val="0"/>
                <w:color w:val="101828"/>
                <w:sz w:val="16"/>
              </w:rPr>
              <w:t>Support readiness</w:t>
            </w:r>
          </w:p>
        </w:tc>
        <w:tc>
          <w:tcPr>
            <w:tcW w:type="dxa" w:w="5328"/>
            <w:tcMar>
              <w:top w:w="60" w:type="dxa"/>
              <w:start w:w="110" w:type="dxa"/>
              <w:bottom w:w="60" w:type="dxa"/>
              <w:end w:w="110" w:type="dxa"/>
            </w:tcMar>
            <w:shd w:val="clear" w:color="auto" w:fill="F4F7FB"/>
          </w:tcPr>
          <w:p>
            <w:pPr>
              <w:spacing w:after="0"/>
            </w:pPr>
            <w:r/>
            <w:r>
              <w:rPr>
                <w:rFonts w:ascii="Calibri" w:hAnsi="Calibri"/>
                <w:b w:val="0"/>
                <w:i w:val="0"/>
                <w:color w:val="101828"/>
                <w:sz w:val="16"/>
              </w:rPr>
              <w:t>Pre-approved incident templates, and a documented member communication process</w:t>
            </w:r>
          </w:p>
        </w:tc>
      </w:tr>
    </w:tbl>
    <w:p>
      <w:pPr>
        <w:spacing w:after="80"/>
      </w:pPr>
    </w:p>
    <w:p>
      <w:pPr>
        <w:pStyle w:val="Heading2"/>
      </w:pPr>
      <w:r>
        <w:rPr>
          <w:rFonts w:ascii="Calibri" w:hAnsi="Calibri"/>
          <w:b/>
          <w:i w:val="0"/>
          <w:color w:val="146EF5"/>
          <w:sz w:val="29"/>
        </w:rPr>
        <w:t>22.9 Phase 7 — Growth</w:t>
      </w:r>
    </w:p>
    <w:p>
      <w:pPr>
        <w:pStyle w:val="ListBullet"/>
        <w:spacing w:after="60"/>
        <w:ind w:left="360"/>
      </w:pPr>
      <w:r>
        <w:rPr>
          <w:rFonts w:ascii="Calibri" w:hAnsi="Calibri"/>
          <w:b w:val="0"/>
          <w:i w:val="0"/>
          <w:color w:val="101828"/>
          <w:sz w:val="21"/>
        </w:rPr>
        <w:t>Scale onboarding, marketing, and referral with real unit economics in view.</w:t>
      </w:r>
    </w:p>
    <w:p>
      <w:pPr>
        <w:pStyle w:val="ListBullet"/>
        <w:spacing w:after="60"/>
        <w:ind w:left="360"/>
      </w:pPr>
      <w:r>
        <w:rPr>
          <w:rFonts w:ascii="Calibri" w:hAnsi="Calibri"/>
          <w:b w:val="0"/>
          <w:i w:val="0"/>
          <w:color w:val="101828"/>
          <w:sz w:val="21"/>
        </w:rPr>
        <w:t>Deepen member value: savings goals, Ajo recommendations sized to a member's demonstrated capacity, and portfolio-style views.</w:t>
      </w:r>
    </w:p>
    <w:p>
      <w:pPr>
        <w:pStyle w:val="ListBullet"/>
        <w:spacing w:after="60"/>
        <w:ind w:left="360"/>
      </w:pPr>
      <w:r>
        <w:rPr>
          <w:rFonts w:ascii="Calibri" w:hAnsi="Calibri"/>
          <w:b w:val="0"/>
          <w:i w:val="0"/>
          <w:color w:val="101828"/>
          <w:sz w:val="21"/>
        </w:rPr>
        <w:t>Strengthen the community layer: verified Ajo organizers, member trust signals, and a transparent track record.</w:t>
      </w:r>
    </w:p>
    <w:p>
      <w:pPr>
        <w:pStyle w:val="ListBullet"/>
        <w:spacing w:after="60"/>
        <w:ind w:left="360"/>
      </w:pPr>
      <w:r>
        <w:rPr>
          <w:rFonts w:ascii="Calibri" w:hAnsi="Calibri"/>
          <w:b w:val="0"/>
          <w:i w:val="0"/>
          <w:color w:val="101828"/>
          <w:sz w:val="21"/>
        </w:rPr>
        <w:t>Explore additional payment rails and partners to improve success rates and reduce per-transaction cost.</w:t>
      </w:r>
    </w:p>
    <w:p>
      <w:pPr>
        <w:pStyle w:val="ListBullet"/>
        <w:spacing w:after="60"/>
        <w:ind w:left="360"/>
      </w:pPr>
      <w:r>
        <w:rPr>
          <w:rFonts w:ascii="Calibri" w:hAnsi="Calibri"/>
          <w:b w:val="0"/>
          <w:i w:val="0"/>
          <w:color w:val="101828"/>
          <w:sz w:val="21"/>
        </w:rPr>
        <w:t>Build the data platform properly once the volume justifies it.</w:t>
      </w:r>
    </w:p>
    <w:p>
      <w:r>
        <w:rPr>
          <w:rFonts w:ascii="Calibri" w:hAnsi="Calibri"/>
          <w:b w:val="0"/>
          <w:i w:val="0"/>
          <w:color w:val="101828"/>
          <w:sz w:val="21"/>
        </w:rPr>
        <w:t>Growth decisions in this phase are constrained by measured net revenue per member, not by gross volume. A member acquired at a cost the 2% fee cannot recover is not growth.</w:t>
      </w:r>
    </w:p>
    <w:p>
      <w:pPr>
        <w:pStyle w:val="Heading2"/>
      </w:pPr>
      <w:r>
        <w:rPr>
          <w:rFonts w:ascii="Calibri" w:hAnsi="Calibri"/>
          <w:b/>
          <w:i w:val="0"/>
          <w:color w:val="146EF5"/>
          <w:sz w:val="29"/>
        </w:rPr>
        <w:t>22.10 What is explicitly out of scope for MVP</w:t>
      </w:r>
    </w:p>
    <w:p>
      <w:pPr>
        <w:pStyle w:val="ListBullet"/>
        <w:spacing w:after="60"/>
        <w:ind w:left="360"/>
      </w:pPr>
      <w:r>
        <w:rPr>
          <w:rFonts w:ascii="Calibri" w:hAnsi="Calibri"/>
          <w:b w:val="0"/>
          <w:i w:val="0"/>
          <w:color w:val="101828"/>
          <w:sz w:val="21"/>
        </w:rPr>
        <w:t>Corporate or institutional Ajos, employee-contribution schemes, or employer partnerships.</w:t>
      </w:r>
    </w:p>
    <w:p>
      <w:pPr>
        <w:pStyle w:val="ListBullet"/>
        <w:spacing w:after="60"/>
        <w:ind w:left="360"/>
      </w:pPr>
      <w:r>
        <w:rPr>
          <w:rFonts w:ascii="Calibri" w:hAnsi="Calibri"/>
          <w:b w:val="0"/>
          <w:i w:val="0"/>
          <w:color w:val="101828"/>
          <w:sz w:val="21"/>
        </w:rPr>
        <w:t>Multiple partial payouts or graduated payouts. A full payout or no payout, per CANONICAL.md.</w:t>
      </w:r>
    </w:p>
    <w:p>
      <w:pPr>
        <w:pStyle w:val="ListBullet"/>
        <w:spacing w:after="60"/>
        <w:ind w:left="360"/>
      </w:pPr>
      <w:r>
        <w:rPr>
          <w:rFonts w:ascii="Calibri" w:hAnsi="Calibri"/>
          <w:b w:val="0"/>
          <w:i w:val="0"/>
          <w:color w:val="101828"/>
          <w:sz w:val="21"/>
        </w:rPr>
        <w:t>Late-payment penalties, and any mechanism that charges other members extra for a default (BR-018).</w:t>
      </w:r>
    </w:p>
    <w:p>
      <w:pPr>
        <w:pStyle w:val="ListBullet"/>
        <w:spacing w:after="60"/>
        <w:ind w:left="360"/>
      </w:pPr>
      <w:r>
        <w:rPr>
          <w:rFonts w:ascii="Calibri" w:hAnsi="Calibri"/>
          <w:b w:val="0"/>
          <w:i w:val="0"/>
          <w:color w:val="101828"/>
          <w:sz w:val="21"/>
        </w:rPr>
        <w:t>Public defaulters lists, shaming, or any reputational consequence for defaulting (BR-019).</w:t>
      </w:r>
    </w:p>
    <w:p>
      <w:pPr>
        <w:pStyle w:val="ListBullet"/>
        <w:spacing w:after="60"/>
        <w:ind w:left="360"/>
      </w:pPr>
      <w:r>
        <w:rPr>
          <w:rFonts w:ascii="Calibri" w:hAnsi="Calibri"/>
          <w:b w:val="0"/>
          <w:i w:val="0"/>
          <w:color w:val="101828"/>
          <w:sz w:val="21"/>
        </w:rPr>
        <w:t>Open social features: public profiles, a member directory, follower graphs, or a public feed.</w:t>
      </w:r>
    </w:p>
    <w:p>
      <w:pPr>
        <w:pStyle w:val="ListBullet"/>
        <w:spacing w:after="60"/>
        <w:ind w:left="360"/>
      </w:pPr>
      <w:r>
        <w:rPr>
          <w:rFonts w:ascii="Calibri" w:hAnsi="Calibri"/>
          <w:b w:val="0"/>
          <w:i w:val="0"/>
          <w:color w:val="101828"/>
          <w:sz w:val="21"/>
        </w:rPr>
        <w:t>Unilateral post-activation exit from an Ajo. There is no mechanism for one, by design.</w:t>
      </w:r>
    </w:p>
    <w:p>
      <w:pPr>
        <w:pStyle w:val="ListBullet"/>
        <w:spacing w:after="60"/>
        <w:ind w:left="360"/>
      </w:pPr>
      <w:r>
        <w:rPr>
          <w:rFonts w:ascii="Calibri" w:hAnsi="Calibri"/>
          <w:b w:val="0"/>
          <w:i w:val="0"/>
          <w:color w:val="101828"/>
          <w:sz w:val="21"/>
        </w:rPr>
        <w:t>Escrow in the legal sense. AJO.ng holds no member funds itself, pending the determination in Phase 1.</w:t>
      </w:r>
    </w:p>
    <w:p>
      <w:pPr>
        <w:pStyle w:val="ListBullet"/>
        <w:spacing w:after="60"/>
        <w:ind w:left="360"/>
      </w:pPr>
      <w:r>
        <w:rPr>
          <w:rFonts w:ascii="Calibri" w:hAnsi="Calibri"/>
          <w:b w:val="0"/>
          <w:i w:val="0"/>
          <w:color w:val="101828"/>
          <w:sz w:val="21"/>
        </w:rPr>
        <w:t>Cryptocurrency, investment products, or any return on savings. AJO.ng is a rotating savings group, not an investment scheme, and must not be presented as one.</w:t>
      </w:r>
    </w:p>
    <w:p>
      <w:pPr>
        <w:pStyle w:val="ListBullet"/>
        <w:spacing w:after="60"/>
        <w:ind w:left="360"/>
      </w:pPr>
      <w:r>
        <w:rPr>
          <w:rFonts w:ascii="Calibri" w:hAnsi="Calibri"/>
          <w:b w:val="0"/>
          <w:i w:val="0"/>
          <w:color w:val="101828"/>
          <w:sz w:val="21"/>
        </w:rPr>
        <w:t>Multi-currency support.</w:t>
      </w:r>
    </w:p>
    <w:p>
      <w:pPr>
        <w:pStyle w:val="ListBullet"/>
        <w:spacing w:after="60"/>
        <w:ind w:left="360"/>
      </w:pPr>
      <w:r>
        <w:rPr>
          <w:rFonts w:ascii="Calibri" w:hAnsi="Calibri"/>
          <w:b w:val="0"/>
          <w:i w:val="0"/>
          <w:color w:val="101828"/>
          <w:sz w:val="21"/>
        </w:rPr>
        <w:t>A native Android-only build.</w:t>
      </w:r>
    </w:p>
    <w:p>
      <w:pPr>
        <w:pStyle w:val="ListBullet"/>
        <w:spacing w:after="60"/>
        <w:ind w:left="360"/>
      </w:pPr>
      <w:r>
        <w:rPr>
          <w:rFonts w:ascii="Calibri" w:hAnsi="Calibri"/>
          <w:b w:val="0"/>
          <w:i w:val="0"/>
          <w:color w:val="101828"/>
          <w:sz w:val="21"/>
        </w:rPr>
        <w:t>An independent escrow agent as a launch dependency. It is a strong future feature and an expensive one; it is not required to launch.</w:t>
      </w:r>
    </w:p>
    <w:p>
      <w:pPr>
        <w:spacing w:before="140" w:after="180"/>
        <w:ind w:left="144"/>
        <w:shd w:val="clear" w:color="auto" w:fill="FEE2E2"/>
        <w:pBdr>
          <w:left w:val="single" w:sz="18" w:space="6" w:color="DC2626"/>
        </w:pBdr>
      </w:pPr>
      <w:r>
        <w:rPr>
          <w:rFonts w:ascii="Calibri" w:hAnsi="Calibri"/>
          <w:b/>
          <w:color w:val="DC2626"/>
          <w:sz w:val="19"/>
        </w:rPr>
        <w:t xml:space="preserve">The boundary between a savings group and an investment product.  </w:t>
      </w:r>
      <w:r>
        <w:rPr>
          <w:rFonts w:ascii="Calibri" w:hAnsi="Calibri"/>
          <w:b w:val="0"/>
          <w:i w:val="0"/>
          <w:color w:val="0B1F3A"/>
          <w:sz w:val="19"/>
        </w:rPr>
        <w:t>AJO.ng is a rotating savings group: members contribute in turn and receive what they saved, with no return beyond their own money. Presenting that as an investment, or describing it in language that implies one, would be misleading and would change the regulatory characterisation entirely. All marketing and product language must stay on the right side of that line, and the wording should be reviewed by counsel.</w:t>
      </w:r>
    </w:p>
    <w:p>
      <w:pPr>
        <w:pStyle w:val="Heading2"/>
      </w:pPr>
      <w:r>
        <w:rPr>
          <w:rFonts w:ascii="Calibri" w:hAnsi="Calibri"/>
          <w:b/>
          <w:i w:val="0"/>
          <w:color w:val="146EF5"/>
          <w:sz w:val="29"/>
        </w:rPr>
        <w:t>22.11 Dependencies and risks to the roadmap</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Dependency or risk</w:t>
            </w:r>
          </w:p>
        </w:tc>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6"/>
              </w:rPr>
              <w:t>Impact if it fails</w:t>
            </w:r>
          </w:p>
        </w:tc>
        <w:tc>
          <w:tcPr>
            <w:tcW w:type="dxa" w:w="3744"/>
            <w:shd w:val="clear" w:color="auto" w:fill="0B1F3A"/>
            <w:tcMar>
              <w:top w:w="60" w:type="dxa"/>
              <w:start w:w="110" w:type="dxa"/>
              <w:bottom w:w="60" w:type="dxa"/>
              <w:end w:w="110" w:type="dxa"/>
            </w:tcMar>
          </w:tcPr>
          <w:p>
            <w:pPr>
              <w:spacing w:after="0"/>
            </w:pPr>
            <w:r/>
            <w:r>
              <w:rPr>
                <w:rFonts w:ascii="Calibri" w:hAnsi="Calibri"/>
                <w:b/>
                <w:i w:val="0"/>
                <w:color w:val="FFFFFF"/>
                <w:sz w:val="16"/>
              </w:rPr>
              <w:t>Mitigation</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ProvidusUnity does not support a required rail</w:t>
            </w:r>
          </w:p>
        </w:tc>
        <w:tc>
          <w:tcPr>
            <w:tcW w:type="dxa" w:w="3168"/>
            <w:tcMar>
              <w:top w:w="60" w:type="dxa"/>
              <w:start w:w="110" w:type="dxa"/>
              <w:bottom w:w="60" w:type="dxa"/>
              <w:end w:w="110" w:type="dxa"/>
            </w:tcMar>
          </w:tcPr>
          <w:p>
            <w:pPr>
              <w:spacing w:after="0"/>
            </w:pPr>
            <w:r/>
            <w:r>
              <w:rPr>
                <w:rFonts w:ascii="Calibri" w:hAnsi="Calibri"/>
                <w:b w:val="0"/>
                <w:i w:val="0"/>
                <w:color w:val="101828"/>
                <w:sz w:val="16"/>
              </w:rPr>
              <w:t>Launch is blocked or a different provider is needed</w:t>
            </w:r>
          </w:p>
        </w:tc>
        <w:tc>
          <w:tcPr>
            <w:tcW w:type="dxa" w:w="3744"/>
            <w:tcMar>
              <w:top w:w="60" w:type="dxa"/>
              <w:start w:w="110" w:type="dxa"/>
              <w:bottom w:w="60" w:type="dxa"/>
              <w:end w:w="110" w:type="dxa"/>
            </w:tcMar>
          </w:tcPr>
          <w:p>
            <w:pPr>
              <w:spacing w:after="0"/>
            </w:pPr>
            <w:r/>
            <w:r>
              <w:rPr>
                <w:rFonts w:ascii="Calibri" w:hAnsi="Calibri"/>
                <w:b w:val="0"/>
                <w:i w:val="0"/>
                <w:color w:val="101828"/>
                <w:sz w:val="16"/>
              </w:rPr>
              <w:t>Complete the technical due diligence in Phase 1. The adapter boundary means the cost of switching is engineering, not redesign</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Provider fees erode the 2% margin</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The business case weakens materially</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Model net revenue with real rates before scaling. Negotiate on volume. Consider rail mix</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Legal determination requires a different structure</w:t>
            </w:r>
          </w:p>
        </w:tc>
        <w:tc>
          <w:tcPr>
            <w:tcW w:type="dxa" w:w="3168"/>
            <w:tcMar>
              <w:top w:w="60" w:type="dxa"/>
              <w:start w:w="110" w:type="dxa"/>
              <w:bottom w:w="60" w:type="dxa"/>
              <w:end w:w="110" w:type="dxa"/>
            </w:tcMar>
          </w:tcPr>
          <w:p>
            <w:pPr>
              <w:spacing w:after="0"/>
            </w:pPr>
            <w:r/>
            <w:r>
              <w:rPr>
                <w:rFonts w:ascii="Calibri" w:hAnsi="Calibri"/>
                <w:b w:val="0"/>
                <w:i w:val="0"/>
                <w:color w:val="101828"/>
                <w:sz w:val="16"/>
              </w:rPr>
              <w:t>Significant additional work, or a different model</w:t>
            </w:r>
          </w:p>
        </w:tc>
        <w:tc>
          <w:tcPr>
            <w:tcW w:type="dxa" w:w="3744"/>
            <w:tcMar>
              <w:top w:w="60" w:type="dxa"/>
              <w:start w:w="110" w:type="dxa"/>
              <w:bottom w:w="60" w:type="dxa"/>
              <w:end w:w="110" w:type="dxa"/>
            </w:tcMar>
          </w:tcPr>
          <w:p>
            <w:pPr>
              <w:spacing w:after="0"/>
            </w:pPr>
            <w:r/>
            <w:r>
              <w:rPr>
                <w:rFonts w:ascii="Calibri" w:hAnsi="Calibri"/>
                <w:b w:val="0"/>
                <w:i w:val="0"/>
                <w:color w:val="101828"/>
                <w:sz w:val="16"/>
              </w:rPr>
              <w:t>Establish this in Phase 1, before building on an assumption</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Default rates higher than modelled</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Members are disappointed and reputational damage follows</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Build the recovery process properly. Track the default rate from the first cycle. Do not launch with an untested recovery path</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KYC or verification friction</w:t>
            </w:r>
          </w:p>
        </w:tc>
        <w:tc>
          <w:tcPr>
            <w:tcW w:type="dxa" w:w="3168"/>
            <w:tcMar>
              <w:top w:w="60" w:type="dxa"/>
              <w:start w:w="110" w:type="dxa"/>
              <w:bottom w:w="60" w:type="dxa"/>
              <w:end w:w="110" w:type="dxa"/>
            </w:tcMar>
          </w:tcPr>
          <w:p>
            <w:pPr>
              <w:spacing w:after="0"/>
            </w:pPr>
            <w:r/>
            <w:r>
              <w:rPr>
                <w:rFonts w:ascii="Calibri" w:hAnsi="Calibri"/>
                <w:b w:val="0"/>
                <w:i w:val="0"/>
                <w:color w:val="101828"/>
                <w:sz w:val="16"/>
              </w:rPr>
              <w:t>Onboarding abandonment</w:t>
            </w:r>
          </w:p>
        </w:tc>
        <w:tc>
          <w:tcPr>
            <w:tcW w:type="dxa" w:w="3744"/>
            <w:tcMar>
              <w:top w:w="60" w:type="dxa"/>
              <w:start w:w="110" w:type="dxa"/>
              <w:bottom w:w="60" w:type="dxa"/>
              <w:end w:w="110" w:type="dxa"/>
            </w:tcMar>
          </w:tcPr>
          <w:p>
            <w:pPr>
              <w:spacing w:after="0"/>
            </w:pPr>
            <w:r/>
            <w:r>
              <w:rPr>
                <w:rFonts w:ascii="Calibri" w:hAnsi="Calibri"/>
                <w:b w:val="0"/>
                <w:i w:val="0"/>
                <w:color w:val="101828"/>
                <w:sz w:val="16"/>
              </w:rPr>
              <w:t>Test verification early and often with real providers. Simplify the flow, not the verification</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Team capacity</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Phases slip</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Sequencing already assumes a small team. Cut scope, not control</w:t>
            </w:r>
          </w:p>
        </w:tc>
      </w:tr>
    </w:tbl>
    <w:p>
      <w:pPr>
        <w:spacing w:after="80"/>
      </w:pPr>
    </w:p>
    <w:p>
      <w:r>
        <w:br w:type="page"/>
      </w:r>
    </w:p>
    <w:p>
      <w:pPr>
        <w:pStyle w:val="Heading1"/>
        <w:pBdr>
          <w:bottom w:val="single" w:sz="12" w:space="6" w:color="146EF5"/>
        </w:pBdr>
        <w:spacing w:after="240"/>
      </w:pPr>
      <w:r>
        <w:rPr>
          <w:rFonts w:ascii="Calibri" w:hAnsi="Calibri"/>
          <w:b/>
          <w:i w:val="0"/>
          <w:color w:val="0B1F3A"/>
          <w:sz w:val="40"/>
        </w:rPr>
        <w:t>23. Epics, Backlog and Prioritisation</w:t>
      </w:r>
    </w:p>
    <w:p>
      <w:pPr>
        <w:spacing w:after="200"/>
      </w:pPr>
      <w:r>
        <w:rPr>
          <w:rFonts w:ascii="Calibri" w:hAnsi="Calibri"/>
          <w:b w:val="0"/>
          <w:i w:val="0"/>
          <w:color w:val="475467"/>
          <w:sz w:val="24"/>
        </w:rPr>
        <w:t>A backlog is a set of decisions, not a list of wishes. The entries below are written so that the reason for each is visible, because a backlog item whose purpose has been forgotten is either built for the wrong reason or deleted for no reason.</w:t>
      </w:r>
    </w:p>
    <w:p>
      <w:pPr>
        <w:pStyle w:val="Heading2"/>
      </w:pPr>
      <w:r>
        <w:rPr>
          <w:rFonts w:ascii="Calibri" w:hAnsi="Calibri"/>
          <w:b/>
          <w:i w:val="0"/>
          <w:color w:val="146EF5"/>
          <w:sz w:val="29"/>
        </w:rPr>
        <w:t>23.1 Prioritisation method</w:t>
      </w:r>
    </w:p>
    <w:p>
      <w:r>
        <w:rPr>
          <w:rFonts w:ascii="Calibri" w:hAnsi="Calibri"/>
          <w:b w:val="0"/>
          <w:i w:val="0"/>
          <w:color w:val="101828"/>
          <w:sz w:val="21"/>
        </w:rPr>
        <w:t>Effort and impact are estimated relative to each other rather than in absolute days, because absolute estimates from a team that has not yet built the product are fiction. Risk reduction is treated as a first-class dimension: a task that removes a catastrophic outcome outranks a task that adds a modest convenience, even at equal effort.</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Factor</w:t>
            </w:r>
          </w:p>
        </w:tc>
        <w:tc>
          <w:tcPr>
            <w:tcW w:type="dxa" w:w="7200"/>
            <w:shd w:val="clear" w:color="auto" w:fill="0B1F3A"/>
            <w:tcMar>
              <w:top w:w="60" w:type="dxa"/>
              <w:start w:w="110" w:type="dxa"/>
              <w:bottom w:w="60" w:type="dxa"/>
              <w:end w:w="110" w:type="dxa"/>
            </w:tcMar>
          </w:tcPr>
          <w:p>
            <w:pPr>
              <w:spacing w:after="0"/>
            </w:pPr>
            <w:r/>
            <w:r>
              <w:rPr>
                <w:rFonts w:ascii="Calibri" w:hAnsi="Calibri"/>
                <w:b/>
                <w:i w:val="0"/>
                <w:color w:val="FFFFFF"/>
                <w:sz w:val="16"/>
              </w:rPr>
              <w:t>Question asked</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Member impact</w:t>
            </w:r>
          </w:p>
        </w:tc>
        <w:tc>
          <w:tcPr>
            <w:tcW w:type="dxa" w:w="7200"/>
            <w:tcMar>
              <w:top w:w="60" w:type="dxa"/>
              <w:start w:w="110" w:type="dxa"/>
              <w:bottom w:w="60" w:type="dxa"/>
              <w:end w:w="110" w:type="dxa"/>
            </w:tcMar>
          </w:tcPr>
          <w:p>
            <w:pPr>
              <w:spacing w:after="0"/>
            </w:pPr>
            <w:r/>
            <w:r>
              <w:rPr>
                <w:rFonts w:ascii="Calibri" w:hAnsi="Calibri"/>
                <w:b w:val="0"/>
                <w:i w:val="0"/>
                <w:color w:val="101828"/>
                <w:sz w:val="16"/>
              </w:rPr>
              <w:t>Does a real member get to save, or keep their money, or understand what happened?</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Risk reduction</w:t>
            </w:r>
          </w:p>
        </w:tc>
        <w:tc>
          <w:tcPr>
            <w:tcW w:type="dxa" w:w="7200"/>
            <w:tcMar>
              <w:top w:w="60" w:type="dxa"/>
              <w:start w:w="110" w:type="dxa"/>
              <w:bottom w:w="60" w:type="dxa"/>
              <w:end w:w="110" w:type="dxa"/>
            </w:tcMar>
            <w:shd w:val="clear" w:color="auto" w:fill="F4F7FB"/>
          </w:tcPr>
          <w:p>
            <w:pPr>
              <w:spacing w:after="0"/>
            </w:pPr>
            <w:r/>
            <w:r>
              <w:rPr>
                <w:rFonts w:ascii="Calibri" w:hAnsi="Calibri"/>
                <w:b w:val="0"/>
                <w:i w:val="0"/>
                <w:color w:val="101828"/>
                <w:sz w:val="16"/>
              </w:rPr>
              <w:t>Does this remove a way to lose money, lose data, or violate a control?</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Blocking</w:t>
            </w:r>
          </w:p>
        </w:tc>
        <w:tc>
          <w:tcPr>
            <w:tcW w:type="dxa" w:w="7200"/>
            <w:tcMar>
              <w:top w:w="60" w:type="dxa"/>
              <w:start w:w="110" w:type="dxa"/>
              <w:bottom w:w="60" w:type="dxa"/>
              <w:end w:w="110" w:type="dxa"/>
            </w:tcMar>
          </w:tcPr>
          <w:p>
            <w:pPr>
              <w:spacing w:after="0"/>
            </w:pPr>
            <w:r/>
            <w:r>
              <w:rPr>
                <w:rFonts w:ascii="Calibri" w:hAnsi="Calibri"/>
                <w:b w:val="0"/>
                <w:i w:val="0"/>
                <w:color w:val="101828"/>
                <w:sz w:val="16"/>
              </w:rPr>
              <w:t>Does something else physically depend on this?</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Trust and clarity</w:t>
            </w:r>
          </w:p>
        </w:tc>
        <w:tc>
          <w:tcPr>
            <w:tcW w:type="dxa" w:w="7200"/>
            <w:tcMar>
              <w:top w:w="60" w:type="dxa"/>
              <w:start w:w="110" w:type="dxa"/>
              <w:bottom w:w="60" w:type="dxa"/>
              <w:end w:w="110" w:type="dxa"/>
            </w:tcMar>
            <w:shd w:val="clear" w:color="auto" w:fill="F4F7FB"/>
          </w:tcPr>
          <w:p>
            <w:pPr>
              <w:spacing w:after="0"/>
            </w:pPr>
            <w:r/>
            <w:r>
              <w:rPr>
                <w:rFonts w:ascii="Calibri" w:hAnsi="Calibri"/>
                <w:b w:val="0"/>
                <w:i w:val="0"/>
                <w:color w:val="101828"/>
                <w:sz w:val="16"/>
              </w:rPr>
              <w:t>Does this prevent a member from being confused or feeling misled?</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Effort</w:t>
            </w:r>
          </w:p>
        </w:tc>
        <w:tc>
          <w:tcPr>
            <w:tcW w:type="dxa" w:w="7200"/>
            <w:tcMar>
              <w:top w:w="60" w:type="dxa"/>
              <w:start w:w="110" w:type="dxa"/>
              <w:bottom w:w="60" w:type="dxa"/>
              <w:end w:w="110" w:type="dxa"/>
            </w:tcMar>
          </w:tcPr>
          <w:p>
            <w:pPr>
              <w:spacing w:after="0"/>
            </w:pPr>
            <w:r/>
            <w:r>
              <w:rPr>
                <w:rFonts w:ascii="Calibri" w:hAnsi="Calibri"/>
                <w:b w:val="0"/>
                <w:i w:val="0"/>
                <w:color w:val="101828"/>
                <w:sz w:val="16"/>
              </w:rPr>
              <w:t>How large is it, honestly?</w:t>
            </w:r>
          </w:p>
        </w:tc>
      </w:tr>
    </w:tbl>
    <w:p>
      <w:pPr>
        <w:spacing w:after="80"/>
      </w:pPr>
    </w:p>
    <w:p>
      <w:r>
        <w:rPr>
          <w:rFonts w:ascii="Calibri" w:hAnsi="Calibri"/>
          <w:b w:val="0"/>
          <w:i w:val="0"/>
          <w:color w:val="101828"/>
          <w:sz w:val="21"/>
        </w:rPr>
        <w:t xml:space="preserve">The ordering rule, in plain terms: </w:t>
      </w:r>
      <w:r>
        <w:rPr>
          <w:rFonts w:ascii="Calibri" w:hAnsi="Calibri"/>
          <w:b/>
          <w:color w:val="101828"/>
          <w:sz w:val="21"/>
        </w:rPr>
        <w:t>safety before money movement, money movement before convenience, convenience before polish.</w:t>
      </w:r>
      <w:r>
        <w:rPr>
          <w:rFonts w:ascii="Calibri" w:hAnsi="Calibri"/>
          <w:b w:val="0"/>
          <w:i w:val="0"/>
          <w:color w:val="101828"/>
          <w:sz w:val="21"/>
        </w:rPr>
        <w:t xml:space="preserve"> A beautiful interface on an incorrect ledger is a liability.</w:t>
      </w:r>
    </w:p>
    <w:p>
      <w:pPr>
        <w:pStyle w:val="Heading2"/>
      </w:pPr>
      <w:r>
        <w:rPr>
          <w:rFonts w:ascii="Calibri" w:hAnsi="Calibri"/>
          <w:b/>
          <w:i w:val="0"/>
          <w:color w:val="146EF5"/>
          <w:sz w:val="29"/>
        </w:rPr>
        <w:t>23.2 Epics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Epic</w:t>
            </w:r>
          </w:p>
        </w:tc>
        <w:tc>
          <w:tcPr>
            <w:tcW w:type="dxa" w:w="4464"/>
            <w:shd w:val="clear" w:color="auto" w:fill="0B1F3A"/>
            <w:tcMar>
              <w:top w:w="60" w:type="dxa"/>
              <w:start w:w="110" w:type="dxa"/>
              <w:bottom w:w="60" w:type="dxa"/>
              <w:end w:w="110" w:type="dxa"/>
            </w:tcMar>
          </w:tcPr>
          <w:p>
            <w:pPr>
              <w:spacing w:after="0"/>
            </w:pPr>
            <w:r/>
            <w:r>
              <w:rPr>
                <w:rFonts w:ascii="Calibri" w:hAnsi="Calibri"/>
                <w:b/>
                <w:i w:val="0"/>
                <w:color w:val="FFFFFF"/>
                <w:sz w:val="16"/>
              </w:rPr>
              <w:t>Contains</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6"/>
              </w:rPr>
              <w:t>Depends on</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E1 — Financial core</w:t>
            </w:r>
          </w:p>
        </w:tc>
        <w:tc>
          <w:tcPr>
            <w:tcW w:type="dxa" w:w="4464"/>
            <w:tcMar>
              <w:top w:w="60" w:type="dxa"/>
              <w:start w:w="110" w:type="dxa"/>
              <w:bottom w:w="60" w:type="dxa"/>
              <w:end w:w="110" w:type="dxa"/>
            </w:tcMar>
          </w:tcPr>
          <w:p>
            <w:pPr>
              <w:spacing w:after="0"/>
            </w:pPr>
            <w:r/>
            <w:r>
              <w:rPr>
                <w:rFonts w:ascii="Calibri" w:hAnsi="Calibri"/>
                <w:b w:val="0"/>
                <w:i w:val="0"/>
                <w:color w:val="101828"/>
                <w:sz w:val="16"/>
              </w:rPr>
              <w:t>Money type, ledger, state machine, provider interface, adversarial tests</w:t>
            </w:r>
          </w:p>
        </w:tc>
        <w:tc>
          <w:tcPr>
            <w:tcW w:type="dxa" w:w="2880"/>
            <w:tcMar>
              <w:top w:w="60" w:type="dxa"/>
              <w:start w:w="110" w:type="dxa"/>
              <w:bottom w:w="60" w:type="dxa"/>
              <w:end w:w="110" w:type="dxa"/>
            </w:tcMar>
          </w:tcPr>
          <w:p>
            <w:pPr>
              <w:spacing w:after="0"/>
            </w:pPr>
            <w:r/>
            <w:r>
              <w:rPr>
                <w:rFonts w:ascii="Calibri" w:hAnsi="Calibri"/>
                <w:b w:val="0"/>
                <w:i w:val="0"/>
                <w:color w:val="101828"/>
                <w:sz w:val="16"/>
              </w:rPr>
              <w:t>Nothing</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E2 — Identity and compliance</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Registration, verification, consent records, data protection</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E1</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E3 — Payments spine</w:t>
            </w:r>
          </w:p>
        </w:tc>
        <w:tc>
          <w:tcPr>
            <w:tcW w:type="dxa" w:w="4464"/>
            <w:tcMar>
              <w:top w:w="60" w:type="dxa"/>
              <w:start w:w="110" w:type="dxa"/>
              <w:bottom w:w="60" w:type="dxa"/>
              <w:end w:w="110" w:type="dxa"/>
            </w:tcMar>
          </w:tcPr>
          <w:p>
            <w:pPr>
              <w:spacing w:after="0"/>
            </w:pPr>
            <w:r/>
            <w:r>
              <w:rPr>
                <w:rFonts w:ascii="Calibri" w:hAnsi="Calibri"/>
                <w:b w:val="0"/>
                <w:i w:val="0"/>
                <w:color w:val="101828"/>
                <w:sz w:val="16"/>
              </w:rPr>
              <w:t>Collection, webhooks, escrow, reconciliation, reversals</w:t>
            </w:r>
          </w:p>
        </w:tc>
        <w:tc>
          <w:tcPr>
            <w:tcW w:type="dxa" w:w="2880"/>
            <w:tcMar>
              <w:top w:w="60" w:type="dxa"/>
              <w:start w:w="110" w:type="dxa"/>
              <w:bottom w:w="60" w:type="dxa"/>
              <w:end w:w="110" w:type="dxa"/>
            </w:tcMar>
          </w:tcPr>
          <w:p>
            <w:pPr>
              <w:spacing w:after="0"/>
            </w:pPr>
            <w:r/>
            <w:r>
              <w:rPr>
                <w:rFonts w:ascii="Calibri" w:hAnsi="Calibri"/>
                <w:b w:val="0"/>
                <w:i w:val="0"/>
                <w:color w:val="101828"/>
                <w:sz w:val="16"/>
              </w:rPr>
              <w:t>E1, E2</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E4 — Payouts</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Preconditions, batches, settlement, receipts, statements</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E3</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E5 — Ajo lifecycle</w:t>
            </w:r>
          </w:p>
        </w:tc>
        <w:tc>
          <w:tcPr>
            <w:tcW w:type="dxa" w:w="4464"/>
            <w:tcMar>
              <w:top w:w="60" w:type="dxa"/>
              <w:start w:w="110" w:type="dxa"/>
              <w:bottom w:w="60" w:type="dxa"/>
              <w:end w:w="110" w:type="dxa"/>
            </w:tcMar>
          </w:tcPr>
          <w:p>
            <w:pPr>
              <w:spacing w:after="0"/>
            </w:pPr>
            <w:r/>
            <w:r>
              <w:rPr>
                <w:rFonts w:ascii="Calibri" w:hAnsi="Calibri"/>
                <w:b w:val="0"/>
                <w:i w:val="0"/>
                <w:color w:val="101828"/>
                <w:sz w:val="16"/>
              </w:rPr>
              <w:t>Create, configure, invite, join, enroll, activate, complete, cancel</w:t>
            </w:r>
          </w:p>
        </w:tc>
        <w:tc>
          <w:tcPr>
            <w:tcW w:type="dxa" w:w="2880"/>
            <w:tcMar>
              <w:top w:w="60" w:type="dxa"/>
              <w:start w:w="110" w:type="dxa"/>
              <w:bottom w:w="60" w:type="dxa"/>
              <w:end w:w="110" w:type="dxa"/>
            </w:tcMar>
          </w:tcPr>
          <w:p>
            <w:pPr>
              <w:spacing w:after="0"/>
            </w:pPr>
            <w:r/>
            <w:r>
              <w:rPr>
                <w:rFonts w:ascii="Calibri" w:hAnsi="Calibri"/>
                <w:b w:val="0"/>
                <w:i w:val="0"/>
                <w:color w:val="101828"/>
                <w:sz w:val="16"/>
              </w:rPr>
              <w:t>E2, E3</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E6 — Contributions</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Scheduling, collection, defaults, grace periods, recovery</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E3, E5</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E7 — Notifications</w:t>
            </w:r>
          </w:p>
        </w:tc>
        <w:tc>
          <w:tcPr>
            <w:tcW w:type="dxa" w:w="4464"/>
            <w:tcMar>
              <w:top w:w="60" w:type="dxa"/>
              <w:start w:w="110" w:type="dxa"/>
              <w:bottom w:w="60" w:type="dxa"/>
              <w:end w:w="110" w:type="dxa"/>
            </w:tcMar>
          </w:tcPr>
          <w:p>
            <w:pPr>
              <w:spacing w:after="0"/>
            </w:pPr>
            <w:r/>
            <w:r>
              <w:rPr>
                <w:rFonts w:ascii="Calibri" w:hAnsi="Calibri"/>
                <w:b w:val="0"/>
                <w:i w:val="0"/>
                <w:color w:val="101828"/>
                <w:sz w:val="16"/>
              </w:rPr>
              <w:t>Templates, channels, preferences, reminders, escalation</w:t>
            </w:r>
          </w:p>
        </w:tc>
        <w:tc>
          <w:tcPr>
            <w:tcW w:type="dxa" w:w="2880"/>
            <w:tcMar>
              <w:top w:w="60" w:type="dxa"/>
              <w:start w:w="110" w:type="dxa"/>
              <w:bottom w:w="60" w:type="dxa"/>
              <w:end w:w="110" w:type="dxa"/>
            </w:tcMar>
          </w:tcPr>
          <w:p>
            <w:pPr>
              <w:spacing w:after="0"/>
            </w:pPr>
            <w:r/>
            <w:r>
              <w:rPr>
                <w:rFonts w:ascii="Calibri" w:hAnsi="Calibri"/>
                <w:b w:val="0"/>
                <w:i w:val="0"/>
                <w:color w:val="101828"/>
                <w:sz w:val="16"/>
              </w:rPr>
              <w:t>E3, E5</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E8 — Organizer tools</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Scoped configuration, invites, monitoring, acknowledgements</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E5</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E9 — Operations console</w:t>
            </w:r>
          </w:p>
        </w:tc>
        <w:tc>
          <w:tcPr>
            <w:tcW w:type="dxa" w:w="4464"/>
            <w:tcMar>
              <w:top w:w="60" w:type="dxa"/>
              <w:start w:w="110" w:type="dxa"/>
              <w:bottom w:w="60" w:type="dxa"/>
              <w:end w:w="110" w:type="dxa"/>
            </w:tcMar>
          </w:tcPr>
          <w:p>
            <w:pPr>
              <w:spacing w:after="0"/>
            </w:pPr>
            <w:r/>
            <w:r>
              <w:rPr>
                <w:rFonts w:ascii="Calibri" w:hAnsi="Calibri"/>
                <w:b w:val="0"/>
                <w:i w:val="0"/>
                <w:color w:val="101828"/>
                <w:sz w:val="16"/>
              </w:rPr>
              <w:t>Admin, risk, finance, reconciliation, manual operations</w:t>
            </w:r>
          </w:p>
        </w:tc>
        <w:tc>
          <w:tcPr>
            <w:tcW w:type="dxa" w:w="2880"/>
            <w:tcMar>
              <w:top w:w="60" w:type="dxa"/>
              <w:start w:w="110" w:type="dxa"/>
              <w:bottom w:w="60" w:type="dxa"/>
              <w:end w:w="110" w:type="dxa"/>
            </w:tcMar>
          </w:tcPr>
          <w:p>
            <w:pPr>
              <w:spacing w:after="0"/>
            </w:pPr>
            <w:r/>
            <w:r>
              <w:rPr>
                <w:rFonts w:ascii="Calibri" w:hAnsi="Calibri"/>
                <w:b w:val="0"/>
                <w:i w:val="0"/>
                <w:color w:val="101828"/>
                <w:sz w:val="16"/>
              </w:rPr>
              <w:t>E3, E4</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E10 — Trust and safety</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Fraud signals, holds, disputes, reporting, appeals</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E3, E9</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E11 — Platform</w:t>
            </w:r>
          </w:p>
        </w:tc>
        <w:tc>
          <w:tcPr>
            <w:tcW w:type="dxa" w:w="4464"/>
            <w:tcMar>
              <w:top w:w="60" w:type="dxa"/>
              <w:start w:w="110" w:type="dxa"/>
              <w:bottom w:w="60" w:type="dxa"/>
              <w:end w:w="110" w:type="dxa"/>
            </w:tcMar>
          </w:tcPr>
          <w:p>
            <w:pPr>
              <w:spacing w:after="0"/>
            </w:pPr>
            <w:r/>
            <w:r>
              <w:rPr>
                <w:rFonts w:ascii="Calibri" w:hAnsi="Calibri"/>
                <w:b w:val="0"/>
                <w:i w:val="0"/>
                <w:color w:val="101828"/>
                <w:sz w:val="16"/>
              </w:rPr>
              <w:t>Infrastructure, CI/CD, observability, environments, runbooks</w:t>
            </w:r>
          </w:p>
        </w:tc>
        <w:tc>
          <w:tcPr>
            <w:tcW w:type="dxa" w:w="2880"/>
            <w:tcMar>
              <w:top w:w="60" w:type="dxa"/>
              <w:start w:w="110" w:type="dxa"/>
              <w:bottom w:w="60" w:type="dxa"/>
              <w:end w:w="110" w:type="dxa"/>
            </w:tcMar>
          </w:tcPr>
          <w:p>
            <w:pPr>
              <w:spacing w:after="0"/>
            </w:pPr>
            <w:r/>
            <w:r>
              <w:rPr>
                <w:rFonts w:ascii="Calibri" w:hAnsi="Calibri"/>
                <w:b w:val="0"/>
                <w:i w:val="0"/>
                <w:color w:val="101828"/>
                <w:sz w:val="16"/>
              </w:rPr>
              <w:t>E1</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E12 — Growth</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Referrals, marketing, community, experiments</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Everything shipped</w:t>
            </w:r>
          </w:p>
        </w:tc>
      </w:tr>
    </w:tbl>
    <w:p>
      <w:pPr>
        <w:spacing w:after="80"/>
      </w:pPr>
    </w:p>
    <w:p>
      <w:pPr>
        <w:pStyle w:val="Heading2"/>
      </w:pPr>
      <w:r>
        <w:rPr>
          <w:rFonts w:ascii="Calibri" w:hAnsi="Calibri"/>
          <w:b/>
          <w:i w:val="0"/>
          <w:color w:val="146EF5"/>
          <w:sz w:val="29"/>
        </w:rPr>
        <w:t>23.3 Detailed backlog — Epic 1, financial core (foundation, complete)</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6"/>
              </w:rPr>
              <w:t>ID</w:t>
            </w:r>
          </w:p>
        </w:tc>
        <w:tc>
          <w:tcPr>
            <w:tcW w:type="dxa" w:w="4608"/>
            <w:shd w:val="clear" w:color="auto" w:fill="0B1F3A"/>
            <w:tcMar>
              <w:top w:w="60" w:type="dxa"/>
              <w:start w:w="110" w:type="dxa"/>
              <w:bottom w:w="60" w:type="dxa"/>
              <w:end w:w="110" w:type="dxa"/>
            </w:tcMar>
          </w:tcPr>
          <w:p>
            <w:pPr>
              <w:spacing w:after="0"/>
            </w:pPr>
            <w:r/>
            <w:r>
              <w:rPr>
                <w:rFonts w:ascii="Calibri" w:hAnsi="Calibri"/>
                <w:b/>
                <w:i w:val="0"/>
                <w:color w:val="FFFFFF"/>
                <w:sz w:val="16"/>
              </w:rPr>
              <w:t>Item</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Priority</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Effort</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Status</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E1-01</w:t>
            </w:r>
          </w:p>
        </w:tc>
        <w:tc>
          <w:tcPr>
            <w:tcW w:type="dxa" w:w="4608"/>
            <w:tcMar>
              <w:top w:w="60" w:type="dxa"/>
              <w:start w:w="110" w:type="dxa"/>
              <w:bottom w:w="60" w:type="dxa"/>
              <w:end w:w="110" w:type="dxa"/>
            </w:tcMar>
          </w:tcPr>
          <w:p>
            <w:pPr>
              <w:spacing w:after="0"/>
            </w:pPr>
            <w:r/>
            <w:r>
              <w:rPr>
                <w:rFonts w:ascii="Calibri" w:hAnsi="Calibri"/>
                <w:b w:val="0"/>
                <w:i w:val="0"/>
                <w:color w:val="101828"/>
                <w:sz w:val="16"/>
              </w:rPr>
              <w:t>Money type in integer kobo, branded, no floating point</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S</w:t>
            </w:r>
          </w:p>
        </w:tc>
        <w:tc>
          <w:tcPr>
            <w:tcW w:type="dxa" w:w="1296"/>
            <w:tcMar>
              <w:top w:w="60" w:type="dxa"/>
              <w:start w:w="110" w:type="dxa"/>
              <w:bottom w:w="60" w:type="dxa"/>
              <w:end w:w="110" w:type="dxa"/>
            </w:tcMar>
          </w:tcPr>
          <w:p>
            <w:pPr>
              <w:spacing w:after="0"/>
            </w:pPr>
            <w:r/>
            <w:r>
              <w:rPr>
                <w:rFonts w:ascii="Calibri" w:hAnsi="Calibri"/>
                <w:b w:val="0"/>
                <w:i w:val="0"/>
                <w:color w:val="101828"/>
                <w:sz w:val="16"/>
              </w:rPr>
              <w:t>Done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E1-02</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Formatting and parsing for NGN across all magnitudes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Done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E1-03</w:t>
            </w:r>
          </w:p>
        </w:tc>
        <w:tc>
          <w:tcPr>
            <w:tcW w:type="dxa" w:w="4608"/>
            <w:tcMar>
              <w:top w:w="60" w:type="dxa"/>
              <w:start w:w="110" w:type="dxa"/>
              <w:bottom w:w="60" w:type="dxa"/>
              <w:end w:w="110" w:type="dxa"/>
            </w:tcMar>
          </w:tcPr>
          <w:p>
            <w:pPr>
              <w:spacing w:after="0"/>
            </w:pPr>
            <w:r/>
            <w:r>
              <w:rPr>
                <w:rFonts w:ascii="Calibri" w:hAnsi="Calibri"/>
                <w:b w:val="0"/>
                <w:i w:val="0"/>
                <w:color w:val="101828"/>
                <w:sz w:val="16"/>
              </w:rPr>
              <w:t>Double-entry ledger with balanced postings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1296"/>
            <w:tcMar>
              <w:top w:w="60" w:type="dxa"/>
              <w:start w:w="110" w:type="dxa"/>
              <w:bottom w:w="60" w:type="dxa"/>
              <w:end w:w="110" w:type="dxa"/>
            </w:tcMar>
          </w:tcPr>
          <w:p>
            <w:pPr>
              <w:spacing w:after="0"/>
            </w:pPr>
            <w:r/>
            <w:r>
              <w:rPr>
                <w:rFonts w:ascii="Calibri" w:hAnsi="Calibri"/>
                <w:b w:val="0"/>
                <w:i w:val="0"/>
                <w:color w:val="101828"/>
                <w:sz w:val="16"/>
              </w:rPr>
              <w:t>Done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E1-04</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Reversal-only correction; no update or delete path</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Done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E1-05</w:t>
            </w:r>
          </w:p>
        </w:tc>
        <w:tc>
          <w:tcPr>
            <w:tcW w:type="dxa" w:w="4608"/>
            <w:tcMar>
              <w:top w:w="60" w:type="dxa"/>
              <w:start w:w="110" w:type="dxa"/>
              <w:bottom w:w="60" w:type="dxa"/>
              <w:end w:w="110" w:type="dxa"/>
            </w:tcMar>
          </w:tcPr>
          <w:p>
            <w:pPr>
              <w:spacing w:after="0"/>
            </w:pPr>
            <w:r/>
            <w:r>
              <w:rPr>
                <w:rFonts w:ascii="Calibri" w:hAnsi="Calibri"/>
                <w:b w:val="0"/>
                <w:i w:val="0"/>
                <w:color w:val="101828"/>
                <w:sz w:val="16"/>
              </w:rPr>
              <w:t>Computed balances from entries, not mutable columns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1296"/>
            <w:tcMar>
              <w:top w:w="60" w:type="dxa"/>
              <w:start w:w="110" w:type="dxa"/>
              <w:bottom w:w="60" w:type="dxa"/>
              <w:end w:w="110" w:type="dxa"/>
            </w:tcMar>
          </w:tcPr>
          <w:p>
            <w:pPr>
              <w:spacing w:after="0"/>
            </w:pPr>
            <w:r/>
            <w:r>
              <w:rPr>
                <w:rFonts w:ascii="Calibri" w:hAnsi="Calibri"/>
                <w:b w:val="0"/>
                <w:i w:val="0"/>
                <w:color w:val="101828"/>
                <w:sz w:val="16"/>
              </w:rPr>
              <w:t>Done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E1-06</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Ajo lifecycle state machine with all transitions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Done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E1-07</w:t>
            </w:r>
          </w:p>
        </w:tc>
        <w:tc>
          <w:tcPr>
            <w:tcW w:type="dxa" w:w="4608"/>
            <w:tcMar>
              <w:top w:w="60" w:type="dxa"/>
              <w:start w:w="110" w:type="dxa"/>
              <w:bottom w:w="60" w:type="dxa"/>
              <w:end w:w="110" w:type="dxa"/>
            </w:tcMar>
          </w:tcPr>
          <w:p>
            <w:pPr>
              <w:spacing w:after="0"/>
            </w:pPr>
            <w:r/>
            <w:r>
              <w:rPr>
                <w:rFonts w:ascii="Calibri" w:hAnsi="Calibri"/>
                <w:b w:val="0"/>
                <w:i w:val="0"/>
                <w:color w:val="101828"/>
                <w:sz w:val="16"/>
              </w:rPr>
              <w:t>5-day enrollment window and position lock</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1296"/>
            <w:tcMar>
              <w:top w:w="60" w:type="dxa"/>
              <w:start w:w="110" w:type="dxa"/>
              <w:bottom w:w="60" w:type="dxa"/>
              <w:end w:w="110" w:type="dxa"/>
            </w:tcMar>
          </w:tcPr>
          <w:p>
            <w:pPr>
              <w:spacing w:after="0"/>
            </w:pPr>
            <w:r/>
            <w:r>
              <w:rPr>
                <w:rFonts w:ascii="Calibri" w:hAnsi="Calibri"/>
                <w:b w:val="0"/>
                <w:i w:val="0"/>
                <w:color w:val="101828"/>
                <w:sz w:val="16"/>
              </w:rPr>
              <w:t>Done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E1-08</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FinancialProvider interface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Done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E1-09</w:t>
            </w:r>
          </w:p>
        </w:tc>
        <w:tc>
          <w:tcPr>
            <w:tcW w:type="dxa" w:w="4608"/>
            <w:tcMar>
              <w:top w:w="60" w:type="dxa"/>
              <w:start w:w="110" w:type="dxa"/>
              <w:bottom w:w="60" w:type="dxa"/>
              <w:end w:w="110" w:type="dxa"/>
            </w:tcMar>
          </w:tcPr>
          <w:p>
            <w:pPr>
              <w:spacing w:after="0"/>
            </w:pPr>
            <w:r/>
            <w:r>
              <w:rPr>
                <w:rFonts w:ascii="Calibri" w:hAnsi="Calibri"/>
                <w:b w:val="0"/>
                <w:i w:val="0"/>
                <w:color w:val="101828"/>
                <w:sz w:val="16"/>
              </w:rPr>
              <w:t>MockFinancialProvider with a production guard</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S</w:t>
            </w:r>
          </w:p>
        </w:tc>
        <w:tc>
          <w:tcPr>
            <w:tcW w:type="dxa" w:w="1296"/>
            <w:tcMar>
              <w:top w:w="60" w:type="dxa"/>
              <w:start w:w="110" w:type="dxa"/>
              <w:bottom w:w="60" w:type="dxa"/>
              <w:end w:w="110" w:type="dxa"/>
            </w:tcMar>
          </w:tcPr>
          <w:p>
            <w:pPr>
              <w:spacing w:after="0"/>
            </w:pPr>
            <w:r/>
            <w:r>
              <w:rPr>
                <w:rFonts w:ascii="Calibri" w:hAnsi="Calibri"/>
                <w:b w:val="0"/>
                <w:i w:val="0"/>
                <w:color w:val="101828"/>
                <w:sz w:val="16"/>
              </w:rPr>
              <w:t>Done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E1-10</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Adversarial test suite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Done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E1-11</w:t>
            </w:r>
          </w:p>
        </w:tc>
        <w:tc>
          <w:tcPr>
            <w:tcW w:type="dxa" w:w="4608"/>
            <w:tcMar>
              <w:top w:w="60" w:type="dxa"/>
              <w:start w:w="110" w:type="dxa"/>
              <w:bottom w:w="60" w:type="dxa"/>
              <w:end w:w="110" w:type="dxa"/>
            </w:tcMar>
          </w:tcPr>
          <w:p>
            <w:pPr>
              <w:spacing w:after="0"/>
            </w:pPr>
            <w:r/>
            <w:r>
              <w:rPr>
                <w:rFonts w:ascii="Calibri" w:hAnsi="Calibri"/>
                <w:b w:val="0"/>
                <w:i w:val="0"/>
                <w:color w:val="101828"/>
                <w:sz w:val="16"/>
              </w:rPr>
              <w:t>Balanced 2% fee posting for contribution capture</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1296"/>
            <w:tcMar>
              <w:top w:w="60" w:type="dxa"/>
              <w:start w:w="110" w:type="dxa"/>
              <w:bottom w:w="60" w:type="dxa"/>
              <w:end w:w="110" w:type="dxa"/>
            </w:tcMar>
          </w:tcPr>
          <w:p>
            <w:pPr>
              <w:spacing w:after="0"/>
            </w:pPr>
            <w:r/>
            <w:r>
              <w:rPr>
                <w:rFonts w:ascii="Calibri" w:hAnsi="Calibri"/>
                <w:b w:val="0"/>
                <w:i w:val="0"/>
                <w:color w:val="101828"/>
                <w:sz w:val="16"/>
              </w:rPr>
              <w:t>Done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E1-12</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Fee reversal preserving recognised revenue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Done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E1-13</w:t>
            </w:r>
          </w:p>
        </w:tc>
        <w:tc>
          <w:tcPr>
            <w:tcW w:type="dxa" w:w="4608"/>
            <w:tcMar>
              <w:top w:w="60" w:type="dxa"/>
              <w:start w:w="110" w:type="dxa"/>
              <w:bottom w:w="60" w:type="dxa"/>
              <w:end w:w="110" w:type="dxa"/>
            </w:tcMar>
          </w:tcPr>
          <w:p>
            <w:pPr>
              <w:spacing w:after="0"/>
            </w:pPr>
            <w:r/>
            <w:r>
              <w:rPr>
                <w:rFonts w:ascii="Calibri" w:hAnsi="Calibri"/>
                <w:b w:val="0"/>
                <w:i w:val="0"/>
                <w:color w:val="101828"/>
                <w:sz w:val="16"/>
              </w:rPr>
              <w:t>Payout recognition and settlement entries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1296"/>
            <w:tcMar>
              <w:top w:w="60" w:type="dxa"/>
              <w:start w:w="110" w:type="dxa"/>
              <w:bottom w:w="60" w:type="dxa"/>
              <w:end w:w="110" w:type="dxa"/>
            </w:tcMar>
          </w:tcPr>
          <w:p>
            <w:pPr>
              <w:spacing w:after="0"/>
            </w:pPr>
            <w:r/>
            <w:r>
              <w:rPr>
                <w:rFonts w:ascii="Calibri" w:hAnsi="Calibri"/>
                <w:b w:val="0"/>
                <w:i w:val="0"/>
                <w:color w:val="101828"/>
                <w:sz w:val="16"/>
              </w:rPr>
              <w:t>Done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E1-14</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Continuous invariant check: ledger = balances = escrow</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Done</w:t>
            </w:r>
          </w:p>
        </w:tc>
      </w:tr>
    </w:tbl>
    <w:p>
      <w:pPr>
        <w:spacing w:after="80"/>
      </w:pPr>
    </w:p>
    <w:p>
      <w:pPr>
        <w:pStyle w:val="Heading2"/>
      </w:pPr>
      <w:r>
        <w:rPr>
          <w:rFonts w:ascii="Calibri" w:hAnsi="Calibri"/>
          <w:b/>
          <w:i w:val="0"/>
          <w:color w:val="146EF5"/>
          <w:sz w:val="29"/>
        </w:rPr>
        <w:t>23.4 Detailed backlog — Epic 2, identity and compliance</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6"/>
              </w:rPr>
              <w:t>ID</w:t>
            </w:r>
          </w:p>
        </w:tc>
        <w:tc>
          <w:tcPr>
            <w:tcW w:type="dxa" w:w="4608"/>
            <w:shd w:val="clear" w:color="auto" w:fill="0B1F3A"/>
            <w:tcMar>
              <w:top w:w="60" w:type="dxa"/>
              <w:start w:w="110" w:type="dxa"/>
              <w:bottom w:w="60" w:type="dxa"/>
              <w:end w:w="110" w:type="dxa"/>
            </w:tcMar>
          </w:tcPr>
          <w:p>
            <w:pPr>
              <w:spacing w:after="0"/>
            </w:pPr>
            <w:r/>
            <w:r>
              <w:rPr>
                <w:rFonts w:ascii="Calibri" w:hAnsi="Calibri"/>
                <w:b/>
                <w:i w:val="0"/>
                <w:color w:val="FFFFFF"/>
                <w:sz w:val="16"/>
              </w:rPr>
              <w:t>Item</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Priority</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Effort</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Note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E2-01</w:t>
            </w:r>
          </w:p>
        </w:tc>
        <w:tc>
          <w:tcPr>
            <w:tcW w:type="dxa" w:w="4608"/>
            <w:tcMar>
              <w:top w:w="60" w:type="dxa"/>
              <w:start w:w="110" w:type="dxa"/>
              <w:bottom w:w="60" w:type="dxa"/>
              <w:end w:w="110" w:type="dxa"/>
            </w:tcMar>
          </w:tcPr>
          <w:p>
            <w:pPr>
              <w:spacing w:after="0"/>
            </w:pPr>
            <w:r/>
            <w:r>
              <w:rPr>
                <w:rFonts w:ascii="Calibri" w:hAnsi="Calibri"/>
                <w:b w:val="0"/>
                <w:i w:val="0"/>
                <w:color w:val="101828"/>
                <w:sz w:val="16"/>
              </w:rPr>
              <w:t>Registration with email verification and consent capture</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Consent record must include document version</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E2-02</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BVN verification and liveness flow</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L</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Provider-dependent</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E2-03</w:t>
            </w:r>
          </w:p>
        </w:tc>
        <w:tc>
          <w:tcPr>
            <w:tcW w:type="dxa" w:w="4608"/>
            <w:tcMar>
              <w:top w:w="60" w:type="dxa"/>
              <w:start w:w="110" w:type="dxa"/>
              <w:bottom w:w="60" w:type="dxa"/>
              <w:end w:w="110" w:type="dxa"/>
            </w:tcMar>
          </w:tcPr>
          <w:p>
            <w:pPr>
              <w:spacing w:after="0"/>
            </w:pPr>
            <w:r/>
            <w:r>
              <w:rPr>
                <w:rFonts w:ascii="Calibri" w:hAnsi="Calibri"/>
                <w:b w:val="0"/>
                <w:i w:val="0"/>
                <w:color w:val="101828"/>
                <w:sz w:val="16"/>
              </w:rPr>
              <w:t>Phone normalisation to E.164 and uniqueness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S</w:t>
            </w:r>
          </w:p>
        </w:tc>
        <w:tc>
          <w:tcPr>
            <w:tcW w:type="dxa" w:w="2160"/>
            <w:tcMar>
              <w:top w:w="60" w:type="dxa"/>
              <w:start w:w="110" w:type="dxa"/>
              <w:bottom w:w="60" w:type="dxa"/>
              <w:end w:w="110" w:type="dxa"/>
            </w:tcMar>
          </w:tcPr>
          <w:p>
            <w:pPr>
              <w:spacing w:after="0"/>
            </w:pPr>
            <w:r/>
            <w:r>
              <w:rPr>
                <w:rFonts w:ascii="Calibri" w:hAnsi="Calibri"/>
                <w:b w:val="0"/>
                <w:i w:val="0"/>
                <w:color w:val="101828"/>
                <w:sz w:val="16"/>
              </w:rPr>
              <w:t>Blocks account farming</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E2-04</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Account states: pending, active, frozen, suspended, dormant, closed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Payout must remain possible in every state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E2-05</w:t>
            </w:r>
          </w:p>
        </w:tc>
        <w:tc>
          <w:tcPr>
            <w:tcW w:type="dxa" w:w="4608"/>
            <w:tcMar>
              <w:top w:w="60" w:type="dxa"/>
              <w:start w:w="110" w:type="dxa"/>
              <w:bottom w:w="60" w:type="dxa"/>
              <w:end w:w="110" w:type="dxa"/>
            </w:tcMar>
          </w:tcPr>
          <w:p>
            <w:pPr>
              <w:spacing w:after="0"/>
            </w:pPr>
            <w:r/>
            <w:r>
              <w:rPr>
                <w:rFonts w:ascii="Calibri" w:hAnsi="Calibri"/>
                <w:b w:val="0"/>
                <w:i w:val="0"/>
                <w:color w:val="101828"/>
                <w:sz w:val="16"/>
              </w:rPr>
              <w:t>Profile management and self-service data export</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Data subject request</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E2-06</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Login, refresh rotation, and reuse detection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Token family revocation</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E2-07</w:t>
            </w:r>
          </w:p>
        </w:tc>
        <w:tc>
          <w:tcPr>
            <w:tcW w:type="dxa" w:w="4608"/>
            <w:tcMar>
              <w:top w:w="60" w:type="dxa"/>
              <w:start w:w="110" w:type="dxa"/>
              <w:bottom w:w="60" w:type="dxa"/>
              <w:end w:w="110" w:type="dxa"/>
            </w:tcMar>
          </w:tcPr>
          <w:p>
            <w:pPr>
              <w:spacing w:after="0"/>
            </w:pPr>
            <w:r/>
            <w:r>
              <w:rPr>
                <w:rFonts w:ascii="Calibri" w:hAnsi="Calibri"/>
                <w:b w:val="0"/>
                <w:i w:val="0"/>
                <w:color w:val="101828"/>
                <w:sz w:val="16"/>
              </w:rPr>
              <w:t>MFA: SMS OTP for sensitive actions, TOTP for staff</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Mandatory for bank changes</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E2-08</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Step-up authentication framework</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Required for payout release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E2-09</w:t>
            </w:r>
          </w:p>
        </w:tc>
        <w:tc>
          <w:tcPr>
            <w:tcW w:type="dxa" w:w="4608"/>
            <w:tcMar>
              <w:top w:w="60" w:type="dxa"/>
              <w:start w:w="110" w:type="dxa"/>
              <w:bottom w:w="60" w:type="dxa"/>
              <w:end w:w="110" w:type="dxa"/>
            </w:tcMar>
          </w:tcPr>
          <w:p>
            <w:pPr>
              <w:spacing w:after="0"/>
            </w:pPr>
            <w:r/>
            <w:r>
              <w:rPr>
                <w:rFonts w:ascii="Calibri" w:hAnsi="Calibri"/>
                <w:b w:val="0"/>
                <w:i w:val="0"/>
                <w:color w:val="101828"/>
                <w:sz w:val="16"/>
              </w:rPr>
              <w:t>Device management and revocation</w:t>
            </w:r>
          </w:p>
        </w:tc>
        <w:tc>
          <w:tcPr>
            <w:tcW w:type="dxa" w:w="1584"/>
            <w:tcMar>
              <w:top w:w="60" w:type="dxa"/>
              <w:start w:w="110" w:type="dxa"/>
              <w:bottom w:w="60" w:type="dxa"/>
              <w:end w:w="110" w:type="dxa"/>
            </w:tcMar>
          </w:tcPr>
          <w:p>
            <w:pPr>
              <w:spacing w:after="0"/>
            </w:pPr>
            <w:r/>
            <w:r>
              <w:rPr>
                <w:rFonts w:ascii="Calibri" w:hAnsi="Calibri"/>
                <w:b w:val="0"/>
                <w:i w:val="0"/>
                <w:color w:val="101828"/>
                <w:sz w:val="16"/>
              </w:rPr>
              <w:t>P1</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New-device alerts</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E2-10</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Role and permission enforcement, with RLS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L</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Both layers, not either</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E2-11</w:t>
            </w:r>
          </w:p>
        </w:tc>
        <w:tc>
          <w:tcPr>
            <w:tcW w:type="dxa" w:w="4608"/>
            <w:tcMar>
              <w:top w:w="60" w:type="dxa"/>
              <w:start w:w="110" w:type="dxa"/>
              <w:bottom w:w="60" w:type="dxa"/>
              <w:end w:w="110" w:type="dxa"/>
            </w:tcMar>
          </w:tcPr>
          <w:p>
            <w:pPr>
              <w:spacing w:after="0"/>
            </w:pPr>
            <w:r/>
            <w:r>
              <w:rPr>
                <w:rFonts w:ascii="Calibri" w:hAnsi="Calibri"/>
                <w:b w:val="0"/>
                <w:i w:val="0"/>
                <w:color w:val="101828"/>
                <w:sz w:val="16"/>
              </w:rPr>
              <w:t>Staff access review tooling</w:t>
            </w:r>
          </w:p>
        </w:tc>
        <w:tc>
          <w:tcPr>
            <w:tcW w:type="dxa" w:w="1584"/>
            <w:tcMar>
              <w:top w:w="60" w:type="dxa"/>
              <w:start w:w="110" w:type="dxa"/>
              <w:bottom w:w="60" w:type="dxa"/>
              <w:end w:w="110" w:type="dxa"/>
            </w:tcMar>
          </w:tcPr>
          <w:p>
            <w:pPr>
              <w:spacing w:after="0"/>
            </w:pPr>
            <w:r/>
            <w:r>
              <w:rPr>
                <w:rFonts w:ascii="Calibri" w:hAnsi="Calibri"/>
                <w:b w:val="0"/>
                <w:i w:val="0"/>
                <w:color w:val="101828"/>
                <w:sz w:val="16"/>
              </w:rPr>
              <w:t>P1</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Quarterly requirement</w:t>
            </w:r>
          </w:p>
        </w:tc>
      </w:tr>
    </w:tbl>
    <w:p>
      <w:pPr>
        <w:spacing w:after="80"/>
      </w:pPr>
    </w:p>
    <w:p>
      <w:pPr>
        <w:pStyle w:val="Heading2"/>
      </w:pPr>
      <w:r>
        <w:rPr>
          <w:rFonts w:ascii="Calibri" w:hAnsi="Calibri"/>
          <w:b/>
          <w:i w:val="0"/>
          <w:color w:val="146EF5"/>
          <w:sz w:val="29"/>
        </w:rPr>
        <w:t>23.5 Detailed backlog — Epic 3, payments spine</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6"/>
              </w:rPr>
              <w:t>ID</w:t>
            </w:r>
          </w:p>
        </w:tc>
        <w:tc>
          <w:tcPr>
            <w:tcW w:type="dxa" w:w="4608"/>
            <w:shd w:val="clear" w:color="auto" w:fill="0B1F3A"/>
            <w:tcMar>
              <w:top w:w="60" w:type="dxa"/>
              <w:start w:w="110" w:type="dxa"/>
              <w:bottom w:w="60" w:type="dxa"/>
              <w:end w:w="110" w:type="dxa"/>
            </w:tcMar>
          </w:tcPr>
          <w:p>
            <w:pPr>
              <w:spacing w:after="0"/>
            </w:pPr>
            <w:r/>
            <w:r>
              <w:rPr>
                <w:rFonts w:ascii="Calibri" w:hAnsi="Calibri"/>
                <w:b/>
                <w:i w:val="0"/>
                <w:color w:val="FFFFFF"/>
                <w:sz w:val="16"/>
              </w:rPr>
              <w:t>Item</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Priority</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Effort</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Note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E3-01</w:t>
            </w:r>
          </w:p>
        </w:tc>
        <w:tc>
          <w:tcPr>
            <w:tcW w:type="dxa" w:w="4608"/>
            <w:tcMar>
              <w:top w:w="60" w:type="dxa"/>
              <w:start w:w="110" w:type="dxa"/>
              <w:bottom w:w="60" w:type="dxa"/>
              <w:end w:w="110" w:type="dxa"/>
            </w:tcMar>
          </w:tcPr>
          <w:p>
            <w:pPr>
              <w:spacing w:after="0"/>
            </w:pPr>
            <w:r/>
            <w:r>
              <w:rPr>
                <w:rFonts w:ascii="Calibri" w:hAnsi="Calibri"/>
                <w:b w:val="0"/>
                <w:i w:val="0"/>
                <w:color w:val="101828"/>
                <w:sz w:val="16"/>
              </w:rPr>
              <w:t>ProvidusUnity technical due diligence</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L</w:t>
            </w:r>
          </w:p>
        </w:tc>
        <w:tc>
          <w:tcPr>
            <w:tcW w:type="dxa" w:w="2160"/>
            <w:tcMar>
              <w:top w:w="60" w:type="dxa"/>
              <w:start w:w="110" w:type="dxa"/>
              <w:bottom w:w="60" w:type="dxa"/>
              <w:end w:w="110" w:type="dxa"/>
            </w:tcMar>
          </w:tcPr>
          <w:p>
            <w:pPr>
              <w:spacing w:after="0"/>
            </w:pPr>
            <w:r/>
            <w:r>
              <w:rPr>
                <w:rFonts w:ascii="Calibri" w:hAnsi="Calibri"/>
                <w:b/>
                <w:color w:val="101828"/>
                <w:sz w:val="16"/>
              </w:rPr>
              <w:t>Blocks E3-05 onward</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E3-02</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ProvidusFinancialProvider adapter</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L</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Against a verified sandbox spec</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E3-03</w:t>
            </w:r>
          </w:p>
        </w:tc>
        <w:tc>
          <w:tcPr>
            <w:tcW w:type="dxa" w:w="4608"/>
            <w:tcMar>
              <w:top w:w="60" w:type="dxa"/>
              <w:start w:w="110" w:type="dxa"/>
              <w:bottom w:w="60" w:type="dxa"/>
              <w:end w:w="110" w:type="dxa"/>
            </w:tcMar>
          </w:tcPr>
          <w:p>
            <w:pPr>
              <w:spacing w:after="0"/>
            </w:pPr>
            <w:r/>
            <w:r>
              <w:rPr>
                <w:rFonts w:ascii="Calibri" w:hAnsi="Calibri"/>
                <w:b w:val="0"/>
                <w:i w:val="0"/>
                <w:color w:val="101828"/>
                <w:sz w:val="16"/>
              </w:rPr>
              <w:t>Provider contract test suite</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Runs against mock and sandbox</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E3-04</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Webhook verification, replay protection, idempotency</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Raw body, constant-time compare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E3-05</w:t>
            </w:r>
          </w:p>
        </w:tc>
        <w:tc>
          <w:tcPr>
            <w:tcW w:type="dxa" w:w="4608"/>
            <w:tcMar>
              <w:top w:w="60" w:type="dxa"/>
              <w:start w:w="110" w:type="dxa"/>
              <w:bottom w:w="60" w:type="dxa"/>
              <w:end w:w="110" w:type="dxa"/>
            </w:tcMar>
          </w:tcPr>
          <w:p>
            <w:pPr>
              <w:spacing w:after="0"/>
            </w:pPr>
            <w:r/>
            <w:r>
              <w:rPr>
                <w:rFonts w:ascii="Calibri" w:hAnsi="Calibri"/>
                <w:b w:val="0"/>
                <w:i w:val="0"/>
                <w:color w:val="101828"/>
                <w:sz w:val="16"/>
              </w:rPr>
              <w:t>Collection initiation and the pending contribution flow</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L</w:t>
            </w:r>
          </w:p>
        </w:tc>
        <w:tc>
          <w:tcPr>
            <w:tcW w:type="dxa" w:w="2160"/>
            <w:tcMar>
              <w:top w:w="60" w:type="dxa"/>
              <w:start w:w="110" w:type="dxa"/>
              <w:bottom w:w="60" w:type="dxa"/>
              <w:end w:w="110" w:type="dxa"/>
            </w:tcMar>
          </w:tcPr>
          <w:p>
            <w:pPr>
              <w:spacing w:after="0"/>
            </w:pPr>
            <w:r/>
            <w:r>
              <w:rPr>
                <w:rFonts w:ascii="Calibri" w:hAnsi="Calibri"/>
                <w:b w:val="0"/>
                <w:i w:val="0"/>
                <w:color w:val="101828"/>
                <w:sz w:val="16"/>
              </w:rPr>
              <w:t>Idempotency key required</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E3-06</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Fee calculation and capture posting</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2%, integer kobo, balanced</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E3-07</w:t>
            </w:r>
          </w:p>
        </w:tc>
        <w:tc>
          <w:tcPr>
            <w:tcW w:type="dxa" w:w="4608"/>
            <w:tcMar>
              <w:top w:w="60" w:type="dxa"/>
              <w:start w:w="110" w:type="dxa"/>
              <w:bottom w:w="60" w:type="dxa"/>
              <w:end w:w="110" w:type="dxa"/>
            </w:tcMar>
          </w:tcPr>
          <w:p>
            <w:pPr>
              <w:spacing w:after="0"/>
            </w:pPr>
            <w:r/>
            <w:r>
              <w:rPr>
                <w:rFonts w:ascii="Calibri" w:hAnsi="Calibri"/>
                <w:b w:val="0"/>
                <w:i w:val="0"/>
                <w:color w:val="101828"/>
                <w:sz w:val="16"/>
              </w:rPr>
              <w:t>Escrow and settlement account setup</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Separate account for fees</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E3-08</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Daily reconciliation service and reporting</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L</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Three reconciliations</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E3-09</w:t>
            </w:r>
          </w:p>
        </w:tc>
        <w:tc>
          <w:tcPr>
            <w:tcW w:type="dxa" w:w="4608"/>
            <w:tcMar>
              <w:top w:w="60" w:type="dxa"/>
              <w:start w:w="110" w:type="dxa"/>
              <w:bottom w:w="60" w:type="dxa"/>
              <w:end w:w="110" w:type="dxa"/>
            </w:tcMar>
          </w:tcPr>
          <w:p>
            <w:pPr>
              <w:spacing w:after="0"/>
            </w:pPr>
            <w:r/>
            <w:r>
              <w:rPr>
                <w:rFonts w:ascii="Calibri" w:hAnsi="Calibri"/>
                <w:b w:val="0"/>
                <w:i w:val="0"/>
                <w:color w:val="101828"/>
                <w:sz w:val="16"/>
              </w:rPr>
              <w:t>Reconciliation alerting, with payouts halted on a break</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The safety net</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E3-10</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Refunds and reversals, including duplicate capture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Reversal entries only</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E3-11</w:t>
            </w:r>
          </w:p>
        </w:tc>
        <w:tc>
          <w:tcPr>
            <w:tcW w:type="dxa" w:w="4608"/>
            <w:tcMar>
              <w:top w:w="60" w:type="dxa"/>
              <w:start w:w="110" w:type="dxa"/>
              <w:bottom w:w="60" w:type="dxa"/>
              <w:end w:w="110" w:type="dxa"/>
            </w:tcMar>
          </w:tcPr>
          <w:p>
            <w:pPr>
              <w:spacing w:after="0"/>
            </w:pPr>
            <w:r/>
            <w:r>
              <w:rPr>
                <w:rFonts w:ascii="Calibri" w:hAnsi="Calibri"/>
                <w:b w:val="0"/>
                <w:i w:val="0"/>
                <w:color w:val="101828"/>
                <w:sz w:val="16"/>
              </w:rPr>
              <w:t>Unmatched inbound payment handling and aging</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Return to source after 30 days</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E3-12</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Provider status polling as a webhook backstop</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P1</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Covers webhook gaps</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E3-13</w:t>
            </w:r>
          </w:p>
        </w:tc>
        <w:tc>
          <w:tcPr>
            <w:tcW w:type="dxa" w:w="4608"/>
            <w:tcMar>
              <w:top w:w="60" w:type="dxa"/>
              <w:start w:w="110" w:type="dxa"/>
              <w:bottom w:w="60" w:type="dxa"/>
              <w:end w:w="110" w:type="dxa"/>
            </w:tcMar>
          </w:tcPr>
          <w:p>
            <w:pPr>
              <w:spacing w:after="0"/>
            </w:pPr>
            <w:r/>
            <w:r>
              <w:rPr>
                <w:rFonts w:ascii="Calibri" w:hAnsi="Calibri"/>
                <w:b w:val="0"/>
                <w:i w:val="0"/>
                <w:color w:val="101828"/>
                <w:sz w:val="16"/>
              </w:rPr>
              <w:t>Payment status query for members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P1</w:t>
            </w:r>
          </w:p>
        </w:tc>
        <w:tc>
          <w:tcPr>
            <w:tcW w:type="dxa" w:w="1296"/>
            <w:tcMar>
              <w:top w:w="60" w:type="dxa"/>
              <w:start w:w="110" w:type="dxa"/>
              <w:bottom w:w="60" w:type="dxa"/>
              <w:end w:w="110" w:type="dxa"/>
            </w:tcMar>
          </w:tcPr>
          <w:p>
            <w:pPr>
              <w:spacing w:after="0"/>
            </w:pPr>
            <w:r/>
            <w:r>
              <w:rPr>
                <w:rFonts w:ascii="Calibri" w:hAnsi="Calibri"/>
                <w:b w:val="0"/>
                <w:i w:val="0"/>
                <w:color w:val="101828"/>
                <w:sz w:val="16"/>
              </w:rPr>
              <w:t>S</w:t>
            </w:r>
          </w:p>
        </w:tc>
        <w:tc>
          <w:tcPr>
            <w:tcW w:type="dxa" w:w="2160"/>
            <w:tcMar>
              <w:top w:w="60" w:type="dxa"/>
              <w:start w:w="110" w:type="dxa"/>
              <w:bottom w:w="60" w:type="dxa"/>
              <w:end w:w="110" w:type="dxa"/>
            </w:tcMar>
          </w:tcPr>
          <w:p>
            <w:pPr>
              <w:spacing w:after="0"/>
            </w:pPr>
            <w:r/>
            <w:r>
              <w:rPr>
                <w:rFonts w:ascii="Calibri" w:hAnsi="Calibri"/>
                <w:b w:val="0"/>
                <w:i w:val="0"/>
                <w:color w:val="101828"/>
                <w:sz w:val="16"/>
              </w:rPr>
              <w:t>Answers 'is my money safe'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E3-14</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USSD or feature-phone fallback</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P2</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L</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Inclusion, not launch-critical</w:t>
            </w:r>
          </w:p>
        </w:tc>
      </w:tr>
    </w:tbl>
    <w:p>
      <w:pPr>
        <w:spacing w:after="80"/>
      </w:pPr>
    </w:p>
    <w:p>
      <w:pPr>
        <w:pStyle w:val="Heading2"/>
      </w:pPr>
      <w:r>
        <w:rPr>
          <w:rFonts w:ascii="Calibri" w:hAnsi="Calibri"/>
          <w:b/>
          <w:i w:val="0"/>
          <w:color w:val="146EF5"/>
          <w:sz w:val="29"/>
        </w:rPr>
        <w:t>23.6 Detailed backlog — Epic 4, payouts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6"/>
              </w:rPr>
              <w:t>ID</w:t>
            </w:r>
          </w:p>
        </w:tc>
        <w:tc>
          <w:tcPr>
            <w:tcW w:type="dxa" w:w="4608"/>
            <w:shd w:val="clear" w:color="auto" w:fill="0B1F3A"/>
            <w:tcMar>
              <w:top w:w="60" w:type="dxa"/>
              <w:start w:w="110" w:type="dxa"/>
              <w:bottom w:w="60" w:type="dxa"/>
              <w:end w:w="110" w:type="dxa"/>
            </w:tcMar>
          </w:tcPr>
          <w:p>
            <w:pPr>
              <w:spacing w:after="0"/>
            </w:pPr>
            <w:r/>
            <w:r>
              <w:rPr>
                <w:rFonts w:ascii="Calibri" w:hAnsi="Calibri"/>
                <w:b/>
                <w:i w:val="0"/>
                <w:color w:val="FFFFFF"/>
                <w:sz w:val="16"/>
              </w:rPr>
              <w:t>Item</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Priority</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Effort</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Note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E4-01</w:t>
            </w:r>
          </w:p>
        </w:tc>
        <w:tc>
          <w:tcPr>
            <w:tcW w:type="dxa" w:w="4608"/>
            <w:tcMar>
              <w:top w:w="60" w:type="dxa"/>
              <w:start w:w="110" w:type="dxa"/>
              <w:bottom w:w="60" w:type="dxa"/>
              <w:end w:w="110" w:type="dxa"/>
            </w:tcMar>
          </w:tcPr>
          <w:p>
            <w:pPr>
              <w:spacing w:after="0"/>
            </w:pPr>
            <w:r/>
            <w:r>
              <w:rPr>
                <w:rFonts w:ascii="Calibri" w:hAnsi="Calibri"/>
                <w:b w:val="0"/>
                <w:i w:val="0"/>
                <w:color w:val="101828"/>
                <w:sz w:val="16"/>
              </w:rPr>
              <w:t>Payout preconditions engine</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All six conditions, including the frozen-member exception</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E4-02</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PayoutIntent state machine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Prechecking, queued, processing, retrying, review</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E4-03</w:t>
            </w:r>
          </w:p>
        </w:tc>
        <w:tc>
          <w:tcPr>
            <w:tcW w:type="dxa" w:w="4608"/>
            <w:tcMar>
              <w:top w:w="60" w:type="dxa"/>
              <w:start w:w="110" w:type="dxa"/>
              <w:bottom w:w="60" w:type="dxa"/>
              <w:end w:w="110" w:type="dxa"/>
            </w:tcMar>
          </w:tcPr>
          <w:p>
            <w:pPr>
              <w:spacing w:after="0"/>
            </w:pPr>
            <w:r/>
            <w:r>
              <w:rPr>
                <w:rFonts w:ascii="Calibri" w:hAnsi="Calibri"/>
                <w:b w:val="0"/>
                <w:i w:val="0"/>
                <w:color w:val="101828"/>
                <w:sz w:val="16"/>
              </w:rPr>
              <w:t>Single payout with ledger recognition and settlement</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Two entries, not one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E4-04</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Batch dispatch for a completing Ajo</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L</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Partial failure per item</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E4-05</w:t>
            </w:r>
          </w:p>
        </w:tc>
        <w:tc>
          <w:tcPr>
            <w:tcW w:type="dxa" w:w="4608"/>
            <w:tcMar>
              <w:top w:w="60" w:type="dxa"/>
              <w:start w:w="110" w:type="dxa"/>
              <w:bottom w:w="60" w:type="dxa"/>
              <w:end w:w="110" w:type="dxa"/>
            </w:tcMar>
          </w:tcPr>
          <w:p>
            <w:pPr>
              <w:spacing w:after="0"/>
            </w:pPr>
            <w:r/>
            <w:r>
              <w:rPr>
                <w:rFonts w:ascii="Calibri" w:hAnsi="Calibri"/>
                <w:b w:val="0"/>
                <w:i w:val="0"/>
                <w:color w:val="101828"/>
                <w:sz w:val="16"/>
              </w:rPr>
              <w:t>Retry with exponential backoff, then human review</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Max 3 attempts, then escalate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E4-06</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Payout held state, with a bounded automatic release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Never a silent hold</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E4-07</w:t>
            </w:r>
          </w:p>
        </w:tc>
        <w:tc>
          <w:tcPr>
            <w:tcW w:type="dxa" w:w="4608"/>
            <w:tcMar>
              <w:top w:w="60" w:type="dxa"/>
              <w:start w:w="110" w:type="dxa"/>
              <w:bottom w:w="60" w:type="dxa"/>
              <w:end w:w="110" w:type="dxa"/>
            </w:tcMar>
          </w:tcPr>
          <w:p>
            <w:pPr>
              <w:spacing w:after="0"/>
            </w:pPr>
            <w:r/>
            <w:r>
              <w:rPr>
                <w:rFonts w:ascii="Calibri" w:hAnsi="Calibri"/>
                <w:b w:val="0"/>
                <w:i w:val="0"/>
                <w:color w:val="101828"/>
                <w:sz w:val="16"/>
              </w:rPr>
              <w:t>Receipt and payout notification</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S</w:t>
            </w:r>
          </w:p>
        </w:tc>
        <w:tc>
          <w:tcPr>
            <w:tcW w:type="dxa" w:w="2160"/>
            <w:tcMar>
              <w:top w:w="60" w:type="dxa"/>
              <w:start w:w="110" w:type="dxa"/>
              <w:bottom w:w="60" w:type="dxa"/>
              <w:end w:w="110" w:type="dxa"/>
            </w:tcMar>
          </w:tcPr>
          <w:p>
            <w:pPr>
              <w:spacing w:after="0"/>
            </w:pPr>
            <w:r/>
            <w:r>
              <w:rPr>
                <w:rFonts w:ascii="Calibri" w:hAnsi="Calibri"/>
                <w:b w:val="0"/>
                <w:i w:val="0"/>
                <w:color w:val="101828"/>
                <w:sz w:val="16"/>
              </w:rPr>
              <w:t>The most monitored notification</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E4-08</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Member-initiated payout request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P1</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Within the policy window</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E4-09</w:t>
            </w:r>
          </w:p>
        </w:tc>
        <w:tc>
          <w:tcPr>
            <w:tcW w:type="dxa" w:w="4608"/>
            <w:tcMar>
              <w:top w:w="60" w:type="dxa"/>
              <w:start w:w="110" w:type="dxa"/>
              <w:bottom w:w="60" w:type="dxa"/>
              <w:end w:w="110" w:type="dxa"/>
            </w:tcMar>
          </w:tcPr>
          <w:p>
            <w:pPr>
              <w:spacing w:after="0"/>
            </w:pPr>
            <w:r/>
            <w:r>
              <w:rPr>
                <w:rFonts w:ascii="Calibri" w:hAnsi="Calibri"/>
                <w:b w:val="0"/>
                <w:i w:val="0"/>
                <w:color w:val="101828"/>
                <w:sz w:val="16"/>
              </w:rPr>
              <w:t>Monthly and annual statements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P1</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Itemising fees</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E4-10</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Payout reconciliation against bank statements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Part of the daily close</w:t>
            </w:r>
          </w:p>
        </w:tc>
      </w:tr>
    </w:tbl>
    <w:p>
      <w:pPr>
        <w:spacing w:after="80"/>
      </w:pPr>
    </w:p>
    <w:p>
      <w:pPr>
        <w:pStyle w:val="Heading2"/>
      </w:pPr>
      <w:r>
        <w:rPr>
          <w:rFonts w:ascii="Calibri" w:hAnsi="Calibri"/>
          <w:b/>
          <w:i w:val="0"/>
          <w:color w:val="146EF5"/>
          <w:sz w:val="29"/>
        </w:rPr>
        <w:t>23.7 Detailed backlog — Epic 5, Ajo lifecycle</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6"/>
              </w:rPr>
              <w:t>ID</w:t>
            </w:r>
          </w:p>
        </w:tc>
        <w:tc>
          <w:tcPr>
            <w:tcW w:type="dxa" w:w="4608"/>
            <w:shd w:val="clear" w:color="auto" w:fill="0B1F3A"/>
            <w:tcMar>
              <w:top w:w="60" w:type="dxa"/>
              <w:start w:w="110" w:type="dxa"/>
              <w:bottom w:w="60" w:type="dxa"/>
              <w:end w:w="110" w:type="dxa"/>
            </w:tcMar>
          </w:tcPr>
          <w:p>
            <w:pPr>
              <w:spacing w:after="0"/>
            </w:pPr>
            <w:r/>
            <w:r>
              <w:rPr>
                <w:rFonts w:ascii="Calibri" w:hAnsi="Calibri"/>
                <w:b/>
                <w:i w:val="0"/>
                <w:color w:val="FFFFFF"/>
                <w:sz w:val="16"/>
              </w:rPr>
              <w:t>Item</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Priority</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Effort</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Note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E5-01</w:t>
            </w:r>
          </w:p>
        </w:tc>
        <w:tc>
          <w:tcPr>
            <w:tcW w:type="dxa" w:w="4608"/>
            <w:tcMar>
              <w:top w:w="60" w:type="dxa"/>
              <w:start w:w="110" w:type="dxa"/>
              <w:bottom w:w="60" w:type="dxa"/>
              <w:end w:w="110" w:type="dxa"/>
            </w:tcMar>
          </w:tcPr>
          <w:p>
            <w:pPr>
              <w:spacing w:after="0"/>
            </w:pPr>
            <w:r/>
            <w:r>
              <w:rPr>
                <w:rFonts w:ascii="Calibri" w:hAnsi="Calibri"/>
                <w:b w:val="0"/>
                <w:i w:val="0"/>
                <w:color w:val="101828"/>
                <w:sz w:val="16"/>
              </w:rPr>
              <w:t>Create an Ajo with all parameters and validation</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Defaults locked at activation</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E5-02</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Ajo rules and acknowledgement record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Every member acknowledges</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E5-03</w:t>
            </w:r>
          </w:p>
        </w:tc>
        <w:tc>
          <w:tcPr>
            <w:tcW w:type="dxa" w:w="4608"/>
            <w:tcMar>
              <w:top w:w="60" w:type="dxa"/>
              <w:start w:w="110" w:type="dxa"/>
              <w:bottom w:w="60" w:type="dxa"/>
              <w:end w:w="110" w:type="dxa"/>
            </w:tcMar>
          </w:tcPr>
          <w:p>
            <w:pPr>
              <w:spacing w:after="0"/>
            </w:pPr>
            <w:r/>
            <w:r>
              <w:rPr>
                <w:rFonts w:ascii="Calibri" w:hAnsi="Calibri"/>
                <w:b w:val="0"/>
                <w:i w:val="0"/>
                <w:color w:val="101828"/>
                <w:sz w:val="16"/>
              </w:rPr>
              <w:t>Invitation generation and single-use validation</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No unilateral invitation</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E5-04</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Join and position assignment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Position locked on activation</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E5-05</w:t>
            </w:r>
          </w:p>
        </w:tc>
        <w:tc>
          <w:tcPr>
            <w:tcW w:type="dxa" w:w="4608"/>
            <w:tcMar>
              <w:top w:w="60" w:type="dxa"/>
              <w:start w:w="110" w:type="dxa"/>
              <w:bottom w:w="60" w:type="dxa"/>
              <w:end w:w="110" w:type="dxa"/>
            </w:tcMar>
          </w:tcPr>
          <w:p>
            <w:pPr>
              <w:spacing w:after="0"/>
            </w:pPr>
            <w:r/>
            <w:r>
              <w:rPr>
                <w:rFonts w:ascii="Calibri" w:hAnsi="Calibri"/>
                <w:b w:val="0"/>
                <w:i w:val="0"/>
                <w:color w:val="101828"/>
                <w:sz w:val="16"/>
              </w:rPr>
              <w:t>5-day enrollment window, with boundary tests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Server-enforced, not client-side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E5-06</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Activation to FUNDED</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Requires every position paid</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E5-07</w:t>
            </w:r>
          </w:p>
        </w:tc>
        <w:tc>
          <w:tcPr>
            <w:tcW w:type="dxa" w:w="4608"/>
            <w:tcMar>
              <w:top w:w="60" w:type="dxa"/>
              <w:start w:w="110" w:type="dxa"/>
              <w:bottom w:w="60" w:type="dxa"/>
              <w:end w:w="110" w:type="dxa"/>
            </w:tcMar>
          </w:tcPr>
          <w:p>
            <w:pPr>
              <w:spacing w:after="0"/>
            </w:pPr>
            <w:r/>
            <w:r>
              <w:rPr>
                <w:rFonts w:ascii="Calibri" w:hAnsi="Calibri"/>
                <w:b w:val="0"/>
                <w:i w:val="0"/>
                <w:color w:val="101828"/>
                <w:sz w:val="16"/>
              </w:rPr>
              <w:t>Round scheduling and advance</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Timezone-correct</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E5-08</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Completion and Ajo closure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All positions paid</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E5-09</w:t>
            </w:r>
          </w:p>
        </w:tc>
        <w:tc>
          <w:tcPr>
            <w:tcW w:type="dxa" w:w="4608"/>
            <w:tcMar>
              <w:top w:w="60" w:type="dxa"/>
              <w:start w:w="110" w:type="dxa"/>
              <w:bottom w:w="60" w:type="dxa"/>
              <w:end w:w="110" w:type="dxa"/>
            </w:tcMar>
          </w:tcPr>
          <w:p>
            <w:pPr>
              <w:spacing w:after="0"/>
            </w:pPr>
            <w:r/>
            <w:r>
              <w:rPr>
                <w:rFonts w:ascii="Calibri" w:hAnsi="Calibri"/>
                <w:b w:val="0"/>
                <w:i w:val="0"/>
                <w:color w:val="101828"/>
                <w:sz w:val="16"/>
              </w:rPr>
              <w:t>Cancellation before activation, with full refunds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Fee treatment needs counsel</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E5-10</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Ajo detail and history view</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Member-visible states</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E5-11</w:t>
            </w:r>
          </w:p>
        </w:tc>
        <w:tc>
          <w:tcPr>
            <w:tcW w:type="dxa" w:w="4608"/>
            <w:tcMar>
              <w:top w:w="60" w:type="dxa"/>
              <w:start w:w="110" w:type="dxa"/>
              <w:bottom w:w="60" w:type="dxa"/>
              <w:end w:w="110" w:type="dxa"/>
            </w:tcMar>
          </w:tcPr>
          <w:p>
            <w:pPr>
              <w:spacing w:after="0"/>
            </w:pPr>
            <w:r/>
            <w:r>
              <w:rPr>
                <w:rFonts w:ascii="Calibri" w:hAnsi="Calibri"/>
                <w:b w:val="0"/>
                <w:i w:val="0"/>
                <w:color w:val="101828"/>
                <w:sz w:val="16"/>
              </w:rPr>
              <w:t>Ajo completion certificate or record</w:t>
            </w:r>
          </w:p>
        </w:tc>
        <w:tc>
          <w:tcPr>
            <w:tcW w:type="dxa" w:w="1584"/>
            <w:tcMar>
              <w:top w:w="60" w:type="dxa"/>
              <w:start w:w="110" w:type="dxa"/>
              <w:bottom w:w="60" w:type="dxa"/>
              <w:end w:w="110" w:type="dxa"/>
            </w:tcMar>
          </w:tcPr>
          <w:p>
            <w:pPr>
              <w:spacing w:after="0"/>
            </w:pPr>
            <w:r/>
            <w:r>
              <w:rPr>
                <w:rFonts w:ascii="Calibri" w:hAnsi="Calibri"/>
                <w:b w:val="0"/>
                <w:i w:val="0"/>
                <w:color w:val="101828"/>
                <w:sz w:val="16"/>
              </w:rPr>
              <w:t>P2</w:t>
            </w:r>
          </w:p>
        </w:tc>
        <w:tc>
          <w:tcPr>
            <w:tcW w:type="dxa" w:w="1296"/>
            <w:tcMar>
              <w:top w:w="60" w:type="dxa"/>
              <w:start w:w="110" w:type="dxa"/>
              <w:bottom w:w="60" w:type="dxa"/>
              <w:end w:w="110" w:type="dxa"/>
            </w:tcMar>
          </w:tcPr>
          <w:p>
            <w:pPr>
              <w:spacing w:after="0"/>
            </w:pPr>
            <w:r/>
            <w:r>
              <w:rPr>
                <w:rFonts w:ascii="Calibri" w:hAnsi="Calibri"/>
                <w:b w:val="0"/>
                <w:i w:val="0"/>
                <w:color w:val="101828"/>
                <w:sz w:val="16"/>
              </w:rPr>
              <w:t>S</w:t>
            </w:r>
          </w:p>
        </w:tc>
        <w:tc>
          <w:tcPr>
            <w:tcW w:type="dxa" w:w="2160"/>
            <w:tcMar>
              <w:top w:w="60" w:type="dxa"/>
              <w:start w:w="110" w:type="dxa"/>
              <w:bottom w:w="60" w:type="dxa"/>
              <w:end w:w="110" w:type="dxa"/>
            </w:tcMar>
          </w:tcPr>
          <w:p>
            <w:pPr>
              <w:spacing w:after="0"/>
            </w:pPr>
            <w:r/>
            <w:r>
              <w:rPr>
                <w:rFonts w:ascii="Calibri" w:hAnsi="Calibri"/>
                <w:b w:val="0"/>
                <w:i w:val="0"/>
                <w:color w:val="101828"/>
                <w:sz w:val="16"/>
              </w:rPr>
              <w:t>A member-value nicety</w:t>
            </w:r>
          </w:p>
        </w:tc>
      </w:tr>
    </w:tbl>
    <w:p>
      <w:pPr>
        <w:spacing w:after="80"/>
      </w:pPr>
    </w:p>
    <w:p>
      <w:pPr>
        <w:pStyle w:val="Heading2"/>
      </w:pPr>
      <w:r>
        <w:rPr>
          <w:rFonts w:ascii="Calibri" w:hAnsi="Calibri"/>
          <w:b/>
          <w:i w:val="0"/>
          <w:color w:val="146EF5"/>
          <w:sz w:val="29"/>
        </w:rPr>
        <w:t>23.8 Detailed backlog — Epic 6, contributions and defaults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6"/>
              </w:rPr>
              <w:t>ID</w:t>
            </w:r>
          </w:p>
        </w:tc>
        <w:tc>
          <w:tcPr>
            <w:tcW w:type="dxa" w:w="4608"/>
            <w:shd w:val="clear" w:color="auto" w:fill="0B1F3A"/>
            <w:tcMar>
              <w:top w:w="60" w:type="dxa"/>
              <w:start w:w="110" w:type="dxa"/>
              <w:bottom w:w="60" w:type="dxa"/>
              <w:end w:w="110" w:type="dxa"/>
            </w:tcMar>
          </w:tcPr>
          <w:p>
            <w:pPr>
              <w:spacing w:after="0"/>
            </w:pPr>
            <w:r/>
            <w:r>
              <w:rPr>
                <w:rFonts w:ascii="Calibri" w:hAnsi="Calibri"/>
                <w:b/>
                <w:i w:val="0"/>
                <w:color w:val="FFFFFF"/>
                <w:sz w:val="16"/>
              </w:rPr>
              <w:t>Item</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Priority</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Effort</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Note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E6-01</w:t>
            </w:r>
          </w:p>
        </w:tc>
        <w:tc>
          <w:tcPr>
            <w:tcW w:type="dxa" w:w="4608"/>
            <w:tcMar>
              <w:top w:w="60" w:type="dxa"/>
              <w:start w:w="110" w:type="dxa"/>
              <w:bottom w:w="60" w:type="dxa"/>
              <w:end w:w="110" w:type="dxa"/>
            </w:tcMar>
          </w:tcPr>
          <w:p>
            <w:pPr>
              <w:spacing w:after="0"/>
            </w:pPr>
            <w:r/>
            <w:r>
              <w:rPr>
                <w:rFonts w:ascii="Calibri" w:hAnsi="Calibri"/>
                <w:b w:val="0"/>
                <w:i w:val="0"/>
                <w:color w:val="101828"/>
                <w:sz w:val="16"/>
              </w:rPr>
              <w:t>Contribution schedule and due dates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Ajo timezone with local alongside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E6-02</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Contribution collection flow with itemised fee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Fee on a separate line, always</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E6-03</w:t>
            </w:r>
          </w:p>
        </w:tc>
        <w:tc>
          <w:tcPr>
            <w:tcW w:type="dxa" w:w="4608"/>
            <w:tcMar>
              <w:top w:w="60" w:type="dxa"/>
              <w:start w:w="110" w:type="dxa"/>
              <w:bottom w:w="60" w:type="dxa"/>
              <w:end w:w="110" w:type="dxa"/>
            </w:tcMar>
          </w:tcPr>
          <w:p>
            <w:pPr>
              <w:spacing w:after="0"/>
            </w:pPr>
            <w:r/>
            <w:r>
              <w:rPr>
                <w:rFonts w:ascii="Calibri" w:hAnsi="Calibri"/>
                <w:b w:val="0"/>
                <w:i w:val="0"/>
                <w:color w:val="101828"/>
                <w:sz w:val="16"/>
              </w:rPr>
              <w:t>Position status: unpaid, pending, funded</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S</w:t>
            </w:r>
          </w:p>
        </w:tc>
        <w:tc>
          <w:tcPr>
            <w:tcW w:type="dxa" w:w="2160"/>
            <w:tcMar>
              <w:top w:w="60" w:type="dxa"/>
              <w:start w:w="110" w:type="dxa"/>
              <w:bottom w:w="60" w:type="dxa"/>
              <w:end w:w="110" w:type="dxa"/>
            </w:tcMar>
          </w:tcPr>
          <w:p>
            <w:pPr>
              <w:spacing w:after="0"/>
            </w:pPr>
            <w:r/>
            <w:r>
              <w:rPr>
                <w:rFonts w:ascii="Calibri" w:hAnsi="Calibri"/>
                <w:b w:val="0"/>
                <w:i w:val="0"/>
                <w:color w:val="101828"/>
                <w:sz w:val="16"/>
              </w:rPr>
              <w:t>Pending is distinct from paid</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E6-04</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Reminder escalation schedule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T−7, T−3, T−1, T−0, close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E6-05</w:t>
            </w:r>
          </w:p>
        </w:tc>
        <w:tc>
          <w:tcPr>
            <w:tcW w:type="dxa" w:w="4608"/>
            <w:tcMar>
              <w:top w:w="60" w:type="dxa"/>
              <w:start w:w="110" w:type="dxa"/>
              <w:bottom w:w="60" w:type="dxa"/>
              <w:end w:w="110" w:type="dxa"/>
            </w:tcMar>
          </w:tcPr>
          <w:p>
            <w:pPr>
              <w:spacing w:after="0"/>
            </w:pPr>
            <w:r/>
            <w:r>
              <w:rPr>
                <w:rFonts w:ascii="Calibri" w:hAnsi="Calibri"/>
                <w:b w:val="0"/>
                <w:i w:val="0"/>
                <w:color w:val="101828"/>
                <w:sz w:val="16"/>
              </w:rPr>
              <w:t>Default recording, per BR-012</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No shaming, no public exposure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E6-06</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48-hour grace period with recovery offer</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Structural, not punitive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E6-07</w:t>
            </w:r>
          </w:p>
        </w:tc>
        <w:tc>
          <w:tcPr>
            <w:tcW w:type="dxa" w:w="4608"/>
            <w:tcMar>
              <w:top w:w="60" w:type="dxa"/>
              <w:start w:w="110" w:type="dxa"/>
              <w:bottom w:w="60" w:type="dxa"/>
              <w:end w:w="110" w:type="dxa"/>
            </w:tcMar>
          </w:tcPr>
          <w:p>
            <w:pPr>
              <w:spacing w:after="0"/>
            </w:pPr>
            <w:r/>
            <w:r>
              <w:rPr>
                <w:rFonts w:ascii="Calibri" w:hAnsi="Calibri"/>
                <w:b w:val="0"/>
                <w:i w:val="0"/>
                <w:color w:val="101828"/>
                <w:sz w:val="16"/>
              </w:rPr>
              <w:t>Organizer acknowledgement of a default</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With member consent</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E6-08</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Recovery payment flow</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Position returns to funded</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E6-09</w:t>
            </w:r>
          </w:p>
        </w:tc>
        <w:tc>
          <w:tcPr>
            <w:tcW w:type="dxa" w:w="4608"/>
            <w:tcMar>
              <w:top w:w="60" w:type="dxa"/>
              <w:start w:w="110" w:type="dxa"/>
              <w:bottom w:w="60" w:type="dxa"/>
              <w:end w:w="110" w:type="dxa"/>
            </w:tcMar>
          </w:tcPr>
          <w:p>
            <w:pPr>
              <w:spacing w:after="0"/>
            </w:pPr>
            <w:r/>
            <w:r>
              <w:rPr>
                <w:rFonts w:ascii="Calibri" w:hAnsi="Calibri"/>
                <w:b w:val="0"/>
                <w:i w:val="0"/>
                <w:color w:val="101828"/>
                <w:sz w:val="16"/>
              </w:rPr>
              <w:t>Replacement member with debt assumption</w:t>
            </w:r>
          </w:p>
        </w:tc>
        <w:tc>
          <w:tcPr>
            <w:tcW w:type="dxa" w:w="1584"/>
            <w:tcMar>
              <w:top w:w="60" w:type="dxa"/>
              <w:start w:w="110" w:type="dxa"/>
              <w:bottom w:w="60" w:type="dxa"/>
              <w:end w:w="110" w:type="dxa"/>
            </w:tcMar>
          </w:tcPr>
          <w:p>
            <w:pPr>
              <w:spacing w:after="0"/>
            </w:pPr>
            <w:r/>
            <w:r>
              <w:rPr>
                <w:rFonts w:ascii="Calibri" w:hAnsi="Calibri"/>
                <w:b w:val="0"/>
                <w:i w:val="0"/>
                <w:color w:val="101828"/>
                <w:sz w:val="16"/>
              </w:rPr>
              <w:t>P2</w:t>
            </w:r>
          </w:p>
        </w:tc>
        <w:tc>
          <w:tcPr>
            <w:tcW w:type="dxa" w:w="1296"/>
            <w:tcMar>
              <w:top w:w="60" w:type="dxa"/>
              <w:start w:w="110" w:type="dxa"/>
              <w:bottom w:w="60" w:type="dxa"/>
              <w:end w:w="110" w:type="dxa"/>
            </w:tcMar>
          </w:tcPr>
          <w:p>
            <w:pPr>
              <w:spacing w:after="0"/>
            </w:pPr>
            <w:r/>
            <w:r>
              <w:rPr>
                <w:rFonts w:ascii="Calibri" w:hAnsi="Calibri"/>
                <w:b w:val="0"/>
                <w:i w:val="0"/>
                <w:color w:val="101828"/>
                <w:sz w:val="16"/>
              </w:rPr>
              <w:t>L</w:t>
            </w:r>
          </w:p>
        </w:tc>
        <w:tc>
          <w:tcPr>
            <w:tcW w:type="dxa" w:w="2160"/>
            <w:tcMar>
              <w:top w:w="60" w:type="dxa"/>
              <w:start w:w="110" w:type="dxa"/>
              <w:bottom w:w="60" w:type="dxa"/>
              <w:end w:w="110" w:type="dxa"/>
            </w:tcMar>
          </w:tcPr>
          <w:p>
            <w:pPr>
              <w:spacing w:after="0"/>
            </w:pPr>
            <w:r/>
            <w:r>
              <w:rPr>
                <w:rFonts w:ascii="Calibri" w:hAnsi="Calibri"/>
                <w:b w:val="0"/>
                <w:i w:val="0"/>
                <w:color w:val="101828"/>
                <w:sz w:val="16"/>
              </w:rPr>
              <w:t>Not a default, requires consent</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E6-10</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No extra charge to other members, per BR-018</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w:t>
            </w:r>
          </w:p>
        </w:tc>
        <w:tc>
          <w:tcPr>
            <w:tcW w:type="dxa" w:w="2160"/>
            <w:tcMar>
              <w:top w:w="60" w:type="dxa"/>
              <w:start w:w="110" w:type="dxa"/>
              <w:bottom w:w="60" w:type="dxa"/>
              <w:end w:w="110" w:type="dxa"/>
            </w:tcMar>
            <w:shd w:val="clear" w:color="auto" w:fill="F4F7FB"/>
          </w:tcPr>
          <w:p>
            <w:pPr>
              <w:spacing w:after="0"/>
            </w:pPr>
            <w:r/>
            <w:r>
              <w:rPr>
                <w:rFonts w:ascii="Calibri" w:hAnsi="Calibri"/>
                <w:b/>
                <w:color w:val="101828"/>
                <w:sz w:val="16"/>
              </w:rPr>
              <w:t>Enforced by absence. A test asserts no such path exists</w:t>
            </w:r>
          </w:p>
        </w:tc>
      </w:tr>
    </w:tbl>
    <w:p>
      <w:pPr>
        <w:spacing w:after="80"/>
      </w:pPr>
    </w:p>
    <w:p>
      <w:pPr>
        <w:pStyle w:val="Heading2"/>
      </w:pPr>
      <w:r>
        <w:rPr>
          <w:rFonts w:ascii="Calibri" w:hAnsi="Calibri"/>
          <w:b/>
          <w:i w:val="0"/>
          <w:color w:val="146EF5"/>
          <w:sz w:val="29"/>
        </w:rPr>
        <w:t>23.9 Detailed backlog — Epic 7, notifications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6"/>
              </w:rPr>
              <w:t>ID</w:t>
            </w:r>
          </w:p>
        </w:tc>
        <w:tc>
          <w:tcPr>
            <w:tcW w:type="dxa" w:w="4608"/>
            <w:shd w:val="clear" w:color="auto" w:fill="0B1F3A"/>
            <w:tcMar>
              <w:top w:w="60" w:type="dxa"/>
              <w:start w:w="110" w:type="dxa"/>
              <w:bottom w:w="60" w:type="dxa"/>
              <w:end w:w="110" w:type="dxa"/>
            </w:tcMar>
          </w:tcPr>
          <w:p>
            <w:pPr>
              <w:spacing w:after="0"/>
            </w:pPr>
            <w:r/>
            <w:r>
              <w:rPr>
                <w:rFonts w:ascii="Calibri" w:hAnsi="Calibri"/>
                <w:b/>
                <w:i w:val="0"/>
                <w:color w:val="FFFFFF"/>
                <w:sz w:val="16"/>
              </w:rPr>
              <w:t>Item</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Priority</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Effort</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Note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E7-01</w:t>
            </w:r>
          </w:p>
        </w:tc>
        <w:tc>
          <w:tcPr>
            <w:tcW w:type="dxa" w:w="4608"/>
            <w:tcMar>
              <w:top w:w="60" w:type="dxa"/>
              <w:start w:w="110" w:type="dxa"/>
              <w:bottom w:w="60" w:type="dxa"/>
              <w:end w:w="110" w:type="dxa"/>
            </w:tcMar>
          </w:tcPr>
          <w:p>
            <w:pPr>
              <w:spacing w:after="0"/>
            </w:pPr>
            <w:r/>
            <w:r>
              <w:rPr>
                <w:rFonts w:ascii="Calibri" w:hAnsi="Calibri"/>
                <w:b w:val="0"/>
                <w:i w:val="0"/>
                <w:color w:val="101828"/>
                <w:sz w:val="16"/>
              </w:rPr>
              <w:t>Notification event model and taxonomy</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Money events not opt-out</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E7-02</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In-app notification centre and history</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The source of truth</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E7-03</w:t>
            </w:r>
          </w:p>
        </w:tc>
        <w:tc>
          <w:tcPr>
            <w:tcW w:type="dxa" w:w="4608"/>
            <w:tcMar>
              <w:top w:w="60" w:type="dxa"/>
              <w:start w:w="110" w:type="dxa"/>
              <w:bottom w:w="60" w:type="dxa"/>
              <w:end w:w="110" w:type="dxa"/>
            </w:tcMar>
          </w:tcPr>
          <w:p>
            <w:pPr>
              <w:spacing w:after="0"/>
            </w:pPr>
            <w:r/>
            <w:r>
              <w:rPr>
                <w:rFonts w:ascii="Calibri" w:hAnsi="Calibri"/>
                <w:b w:val="0"/>
                <w:i w:val="0"/>
                <w:color w:val="101828"/>
                <w:sz w:val="16"/>
              </w:rPr>
              <w:t>Push delivery with APNs and FCM</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Deep links to the right screen</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E7-04</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Email templates and delivery</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Transactional, not marketing</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E7-05</w:t>
            </w:r>
          </w:p>
        </w:tc>
        <w:tc>
          <w:tcPr>
            <w:tcW w:type="dxa" w:w="4608"/>
            <w:tcMar>
              <w:top w:w="60" w:type="dxa"/>
              <w:start w:w="110" w:type="dxa"/>
              <w:bottom w:w="60" w:type="dxa"/>
              <w:end w:w="110" w:type="dxa"/>
            </w:tcMar>
          </w:tcPr>
          <w:p>
            <w:pPr>
              <w:spacing w:after="0"/>
            </w:pPr>
            <w:r/>
            <w:r>
              <w:rPr>
                <w:rFonts w:ascii="Calibri" w:hAnsi="Calibri"/>
                <w:b w:val="0"/>
                <w:i w:val="0"/>
                <w:color w:val="101828"/>
                <w:sz w:val="16"/>
              </w:rPr>
              <w:t>SMS fallback for critical events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The inclusion channel</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E7-06</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Money event templates, complete set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Per section 16.4</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E7-07</w:t>
            </w:r>
          </w:p>
        </w:tc>
        <w:tc>
          <w:tcPr>
            <w:tcW w:type="dxa" w:w="4608"/>
            <w:tcMar>
              <w:top w:w="60" w:type="dxa"/>
              <w:start w:w="110" w:type="dxa"/>
              <w:bottom w:w="60" w:type="dxa"/>
              <w:end w:w="110" w:type="dxa"/>
            </w:tcMar>
          </w:tcPr>
          <w:p>
            <w:pPr>
              <w:spacing w:after="0"/>
            </w:pPr>
            <w:r/>
            <w:r>
              <w:rPr>
                <w:rFonts w:ascii="Calibri" w:hAnsi="Calibri"/>
                <w:b w:val="0"/>
                <w:i w:val="0"/>
                <w:color w:val="101828"/>
                <w:sz w:val="16"/>
              </w:rPr>
              <w:t>Reminder scheduler with quiet hours and daily caps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No reminder fatigue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E7-08</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Preference centre, per channel and category</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Money and security locked on</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E7-09</w:t>
            </w:r>
          </w:p>
        </w:tc>
        <w:tc>
          <w:tcPr>
            <w:tcW w:type="dxa" w:w="4608"/>
            <w:tcMar>
              <w:top w:w="60" w:type="dxa"/>
              <w:start w:w="110" w:type="dxa"/>
              <w:bottom w:w="60" w:type="dxa"/>
              <w:end w:w="110" w:type="dxa"/>
            </w:tcMar>
          </w:tcPr>
          <w:p>
            <w:pPr>
              <w:spacing w:after="0"/>
            </w:pPr>
            <w:r/>
            <w:r>
              <w:rPr>
                <w:rFonts w:ascii="Calibri" w:hAnsi="Calibri"/>
                <w:b w:val="0"/>
                <w:i w:val="0"/>
                <w:color w:val="101828"/>
                <w:sz w:val="16"/>
              </w:rPr>
              <w:t>Delivery logging, bounce handling, dead letters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Alerts on dead-letter depth</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E7-10</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WhatsApp Business integration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P2</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L</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Requires provider approval</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E7-11</w:t>
            </w:r>
          </w:p>
        </w:tc>
        <w:tc>
          <w:tcPr>
            <w:tcW w:type="dxa" w:w="4608"/>
            <w:tcMar>
              <w:top w:w="60" w:type="dxa"/>
              <w:start w:w="110" w:type="dxa"/>
              <w:bottom w:w="60" w:type="dxa"/>
              <w:end w:w="110" w:type="dxa"/>
            </w:tcMar>
          </w:tcPr>
          <w:p>
            <w:pPr>
              <w:spacing w:after="0"/>
            </w:pPr>
            <w:r/>
            <w:r>
              <w:rPr>
                <w:rFonts w:ascii="Calibri" w:hAnsi="Calibri"/>
                <w:b w:val="0"/>
                <w:i w:val="0"/>
                <w:color w:val="101828"/>
                <w:sz w:val="16"/>
              </w:rPr>
              <w:t>Localisation of templates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P1</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color w:val="101828"/>
                <w:sz w:val="16"/>
              </w:rPr>
              <w:t>Professional translation required</w:t>
            </w:r>
          </w:p>
        </w:tc>
      </w:tr>
    </w:tbl>
    <w:p>
      <w:pPr>
        <w:spacing w:after="80"/>
      </w:pPr>
    </w:p>
    <w:p>
      <w:pPr>
        <w:pStyle w:val="Heading2"/>
      </w:pPr>
      <w:r>
        <w:rPr>
          <w:rFonts w:ascii="Calibri" w:hAnsi="Calibri"/>
          <w:b/>
          <w:i w:val="0"/>
          <w:color w:val="146EF5"/>
          <w:sz w:val="29"/>
        </w:rPr>
        <w:t>23.10 Detailed backlog — Epic 8, organizer tools</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6"/>
              </w:rPr>
              <w:t>ID</w:t>
            </w:r>
          </w:p>
        </w:tc>
        <w:tc>
          <w:tcPr>
            <w:tcW w:type="dxa" w:w="4608"/>
            <w:shd w:val="clear" w:color="auto" w:fill="0B1F3A"/>
            <w:tcMar>
              <w:top w:w="60" w:type="dxa"/>
              <w:start w:w="110" w:type="dxa"/>
              <w:bottom w:w="60" w:type="dxa"/>
              <w:end w:w="110" w:type="dxa"/>
            </w:tcMar>
          </w:tcPr>
          <w:p>
            <w:pPr>
              <w:spacing w:after="0"/>
            </w:pPr>
            <w:r/>
            <w:r>
              <w:rPr>
                <w:rFonts w:ascii="Calibri" w:hAnsi="Calibri"/>
                <w:b/>
                <w:i w:val="0"/>
                <w:color w:val="FFFFFF"/>
                <w:sz w:val="16"/>
              </w:rPr>
              <w:t>Item</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Priority</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Effort</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Note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E8-01</w:t>
            </w:r>
          </w:p>
        </w:tc>
        <w:tc>
          <w:tcPr>
            <w:tcW w:type="dxa" w:w="4608"/>
            <w:tcMar>
              <w:top w:w="60" w:type="dxa"/>
              <w:start w:w="110" w:type="dxa"/>
              <w:bottom w:w="60" w:type="dxa"/>
              <w:end w:w="110" w:type="dxa"/>
            </w:tcMar>
          </w:tcPr>
          <w:p>
            <w:pPr>
              <w:spacing w:after="0"/>
            </w:pPr>
            <w:r/>
            <w:r>
              <w:rPr>
                <w:rFonts w:ascii="Calibri" w:hAnsi="Calibri"/>
                <w:b w:val="0"/>
                <w:i w:val="0"/>
                <w:color w:val="101828"/>
                <w:sz w:val="16"/>
              </w:rPr>
              <w:t>Organizer dashboard for their Ajos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Scoped to their own Ajos</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E8-02</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Invitation management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Consent required from the invitee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E8-03</w:t>
            </w:r>
          </w:p>
        </w:tc>
        <w:tc>
          <w:tcPr>
            <w:tcW w:type="dxa" w:w="4608"/>
            <w:tcMar>
              <w:top w:w="60" w:type="dxa"/>
              <w:start w:w="110" w:type="dxa"/>
              <w:bottom w:w="60" w:type="dxa"/>
              <w:end w:w="110" w:type="dxa"/>
            </w:tcMar>
          </w:tcPr>
          <w:p>
            <w:pPr>
              <w:spacing w:after="0"/>
            </w:pPr>
            <w:r/>
            <w:r>
              <w:rPr>
                <w:rFonts w:ascii="Calibri" w:hAnsi="Calibri"/>
                <w:b w:val="0"/>
                <w:i w:val="0"/>
                <w:color w:val="101828"/>
                <w:sz w:val="16"/>
              </w:rPr>
              <w:t>Contribution status monitoring</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S</w:t>
            </w:r>
          </w:p>
        </w:tc>
        <w:tc>
          <w:tcPr>
            <w:tcW w:type="dxa" w:w="2160"/>
            <w:tcMar>
              <w:top w:w="60" w:type="dxa"/>
              <w:start w:w="110" w:type="dxa"/>
              <w:bottom w:w="60" w:type="dxa"/>
              <w:end w:w="110" w:type="dxa"/>
            </w:tcMar>
          </w:tcPr>
          <w:p>
            <w:pPr>
              <w:spacing w:after="0"/>
            </w:pPr>
            <w:r/>
            <w:r>
              <w:rPr>
                <w:rFonts w:ascii="Calibri" w:hAnsi="Calibri"/>
                <w:b w:val="0"/>
                <w:i w:val="0"/>
                <w:color w:val="101828"/>
                <w:sz w:val="16"/>
              </w:rPr>
              <w:t>Status, not identity documents</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E8-04</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Member removal before activation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Impossible after activation</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E8-05</w:t>
            </w:r>
          </w:p>
        </w:tc>
        <w:tc>
          <w:tcPr>
            <w:tcW w:type="dxa" w:w="4608"/>
            <w:tcMar>
              <w:top w:w="60" w:type="dxa"/>
              <w:start w:w="110" w:type="dxa"/>
              <w:bottom w:w="60" w:type="dxa"/>
              <w:end w:w="110" w:type="dxa"/>
            </w:tcMar>
          </w:tcPr>
          <w:p>
            <w:pPr>
              <w:spacing w:after="0"/>
            </w:pPr>
            <w:r/>
            <w:r>
              <w:rPr>
                <w:rFonts w:ascii="Calibri" w:hAnsi="Calibri"/>
                <w:b w:val="0"/>
                <w:i w:val="0"/>
                <w:color w:val="101828"/>
                <w:sz w:val="16"/>
              </w:rPr>
              <w:t>Send reminders, as AJO.ng messages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S</w:t>
            </w:r>
          </w:p>
        </w:tc>
        <w:tc>
          <w:tcPr>
            <w:tcW w:type="dxa" w:w="2160"/>
            <w:tcMar>
              <w:top w:w="60" w:type="dxa"/>
              <w:start w:w="110" w:type="dxa"/>
              <w:bottom w:w="60" w:type="dxa"/>
              <w:end w:w="110" w:type="dxa"/>
            </w:tcMar>
          </w:tcPr>
          <w:p>
            <w:pPr>
              <w:spacing w:after="0"/>
            </w:pPr>
            <w:r/>
            <w:r>
              <w:rPr>
                <w:rFonts w:ascii="Calibri" w:hAnsi="Calibri"/>
                <w:b w:val="0"/>
                <w:i w:val="0"/>
                <w:color w:val="101828"/>
                <w:sz w:val="16"/>
              </w:rPr>
              <w:t>Never as impersonation</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E8-06</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Default acknowledgement, per BR-020</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With the defaulting member's consent</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E8-07</w:t>
            </w:r>
          </w:p>
        </w:tc>
        <w:tc>
          <w:tcPr>
            <w:tcW w:type="dxa" w:w="4608"/>
            <w:tcMar>
              <w:top w:w="60" w:type="dxa"/>
              <w:start w:w="110" w:type="dxa"/>
              <w:bottom w:w="60" w:type="dxa"/>
              <w:end w:w="110" w:type="dxa"/>
            </w:tcMar>
          </w:tcPr>
          <w:p>
            <w:pPr>
              <w:spacing w:after="0"/>
            </w:pPr>
            <w:r/>
            <w:r>
              <w:rPr>
                <w:rFonts w:ascii="Calibri" w:hAnsi="Calibri"/>
                <w:b w:val="0"/>
                <w:i w:val="0"/>
                <w:color w:val="101828"/>
                <w:sz w:val="16"/>
              </w:rPr>
              <w:t>Ajo completion reporting</w:t>
            </w:r>
          </w:p>
        </w:tc>
        <w:tc>
          <w:tcPr>
            <w:tcW w:type="dxa" w:w="1584"/>
            <w:tcMar>
              <w:top w:w="60" w:type="dxa"/>
              <w:start w:w="110" w:type="dxa"/>
              <w:bottom w:w="60" w:type="dxa"/>
              <w:end w:w="110" w:type="dxa"/>
            </w:tcMar>
          </w:tcPr>
          <w:p>
            <w:pPr>
              <w:spacing w:after="0"/>
            </w:pPr>
            <w:r/>
            <w:r>
              <w:rPr>
                <w:rFonts w:ascii="Calibri" w:hAnsi="Calibri"/>
                <w:b w:val="0"/>
                <w:i w:val="0"/>
                <w:color w:val="101828"/>
                <w:sz w:val="16"/>
              </w:rPr>
              <w:t>P1</w:t>
            </w:r>
          </w:p>
        </w:tc>
        <w:tc>
          <w:tcPr>
            <w:tcW w:type="dxa" w:w="1296"/>
            <w:tcMar>
              <w:top w:w="60" w:type="dxa"/>
              <w:start w:w="110" w:type="dxa"/>
              <w:bottom w:w="60" w:type="dxa"/>
              <w:end w:w="110" w:type="dxa"/>
            </w:tcMar>
          </w:tcPr>
          <w:p>
            <w:pPr>
              <w:spacing w:after="0"/>
            </w:pPr>
            <w:r/>
            <w:r>
              <w:rPr>
                <w:rFonts w:ascii="Calibri" w:hAnsi="Calibri"/>
                <w:b w:val="0"/>
                <w:i w:val="0"/>
                <w:color w:val="101828"/>
                <w:sz w:val="16"/>
              </w:rPr>
              <w:t>S</w:t>
            </w:r>
          </w:p>
        </w:tc>
        <w:tc>
          <w:tcPr>
            <w:tcW w:type="dxa" w:w="2160"/>
            <w:tcMar>
              <w:top w:w="60" w:type="dxa"/>
              <w:start w:w="110" w:type="dxa"/>
              <w:bottom w:w="60" w:type="dxa"/>
              <w:end w:w="110" w:type="dxa"/>
            </w:tcMar>
          </w:tcPr>
          <w:p>
            <w:pPr>
              <w:spacing w:after="0"/>
            </w:pPr>
            <w:r/>
            <w:r>
              <w:rPr>
                <w:rFonts w:ascii="Calibri" w:hAnsi="Calibri"/>
                <w:b w:val="0"/>
                <w:i w:val="0"/>
                <w:color w:val="101828"/>
                <w:sz w:val="16"/>
              </w:rPr>
              <w:t>What every member contributed and received</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E8-08</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Organizer Ajo history and reputation signals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P2</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Careful with ranking and fairness</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E8-09</w:t>
            </w:r>
          </w:p>
        </w:tc>
        <w:tc>
          <w:tcPr>
            <w:tcW w:type="dxa" w:w="4608"/>
            <w:tcMar>
              <w:top w:w="60" w:type="dxa"/>
              <w:start w:w="110" w:type="dxa"/>
              <w:bottom w:w="60" w:type="dxa"/>
              <w:end w:w="110" w:type="dxa"/>
            </w:tcMar>
          </w:tcPr>
          <w:p>
            <w:pPr>
              <w:spacing w:after="0"/>
            </w:pPr>
            <w:r/>
            <w:r>
              <w:rPr>
                <w:rFonts w:ascii="Calibri" w:hAnsi="Calibri"/>
                <w:b w:val="0"/>
                <w:i w:val="0"/>
                <w:color w:val="101828"/>
                <w:sz w:val="16"/>
              </w:rPr>
              <w:t>Organizer messaging within the Ajo</w:t>
            </w:r>
          </w:p>
        </w:tc>
        <w:tc>
          <w:tcPr>
            <w:tcW w:type="dxa" w:w="1584"/>
            <w:tcMar>
              <w:top w:w="60" w:type="dxa"/>
              <w:start w:w="110" w:type="dxa"/>
              <w:bottom w:w="60" w:type="dxa"/>
              <w:end w:w="110" w:type="dxa"/>
            </w:tcMar>
          </w:tcPr>
          <w:p>
            <w:pPr>
              <w:spacing w:after="0"/>
            </w:pPr>
            <w:r/>
            <w:r>
              <w:rPr>
                <w:rFonts w:ascii="Calibri" w:hAnsi="Calibri"/>
                <w:b w:val="0"/>
                <w:i w:val="0"/>
                <w:color w:val="101828"/>
                <w:sz w:val="16"/>
              </w:rPr>
              <w:t>P1</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Recorded, moderated, rate-limited</w:t>
            </w:r>
          </w:p>
        </w:tc>
      </w:tr>
    </w:tbl>
    <w:p>
      <w:pPr>
        <w:spacing w:after="80"/>
      </w:pPr>
    </w:p>
    <w:p>
      <w:pPr>
        <w:pStyle w:val="Heading2"/>
      </w:pPr>
      <w:r>
        <w:rPr>
          <w:rFonts w:ascii="Calibri" w:hAnsi="Calibri"/>
          <w:b/>
          <w:i w:val="0"/>
          <w:color w:val="146EF5"/>
          <w:sz w:val="29"/>
        </w:rPr>
        <w:t>23.11 Detailed backlog — Epic 9, operations console</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6"/>
              </w:rPr>
              <w:t>ID</w:t>
            </w:r>
          </w:p>
        </w:tc>
        <w:tc>
          <w:tcPr>
            <w:tcW w:type="dxa" w:w="4608"/>
            <w:shd w:val="clear" w:color="auto" w:fill="0B1F3A"/>
            <w:tcMar>
              <w:top w:w="60" w:type="dxa"/>
              <w:start w:w="110" w:type="dxa"/>
              <w:bottom w:w="60" w:type="dxa"/>
              <w:end w:w="110" w:type="dxa"/>
            </w:tcMar>
          </w:tcPr>
          <w:p>
            <w:pPr>
              <w:spacing w:after="0"/>
            </w:pPr>
            <w:r/>
            <w:r>
              <w:rPr>
                <w:rFonts w:ascii="Calibri" w:hAnsi="Calibri"/>
                <w:b/>
                <w:i w:val="0"/>
                <w:color w:val="FFFFFF"/>
                <w:sz w:val="16"/>
              </w:rPr>
              <w:t>Item</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Priority</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Effort</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Note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E9-01</w:t>
            </w:r>
          </w:p>
        </w:tc>
        <w:tc>
          <w:tcPr>
            <w:tcW w:type="dxa" w:w="4608"/>
            <w:tcMar>
              <w:top w:w="60" w:type="dxa"/>
              <w:start w:w="110" w:type="dxa"/>
              <w:bottom w:w="60" w:type="dxa"/>
              <w:end w:w="110" w:type="dxa"/>
            </w:tcMar>
          </w:tcPr>
          <w:p>
            <w:pPr>
              <w:spacing w:after="0"/>
            </w:pPr>
            <w:r/>
            <w:r>
              <w:rPr>
                <w:rFonts w:ascii="Calibri" w:hAnsi="Calibri"/>
                <w:b w:val="0"/>
                <w:i w:val="0"/>
                <w:color w:val="101828"/>
                <w:sz w:val="16"/>
              </w:rPr>
              <w:t>Admin: Ajo and member oversight</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Read-only by default</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E9-02</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Support lookup by transaction or member</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Must not need engineering</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E9-03</w:t>
            </w:r>
          </w:p>
        </w:tc>
        <w:tc>
          <w:tcPr>
            <w:tcW w:type="dxa" w:w="4608"/>
            <w:tcMar>
              <w:top w:w="60" w:type="dxa"/>
              <w:start w:w="110" w:type="dxa"/>
              <w:bottom w:w="60" w:type="dxa"/>
              <w:end w:w="110" w:type="dxa"/>
            </w:tcMar>
          </w:tcPr>
          <w:p>
            <w:pPr>
              <w:spacing w:after="0"/>
            </w:pPr>
            <w:r/>
            <w:r>
              <w:rPr>
                <w:rFonts w:ascii="Calibri" w:hAnsi="Calibri"/>
                <w:b w:val="0"/>
                <w:i w:val="0"/>
                <w:color w:val="101828"/>
                <w:sz w:val="16"/>
              </w:rPr>
              <w:t>Reconciliation dashboard with break alerts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The daily tool</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E9-04</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Manual payout retry and destination reassignment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Step-up auth, dual authorisation</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E9-05</w:t>
            </w:r>
          </w:p>
        </w:tc>
        <w:tc>
          <w:tcPr>
            <w:tcW w:type="dxa" w:w="4608"/>
            <w:tcMar>
              <w:top w:w="60" w:type="dxa"/>
              <w:start w:w="110" w:type="dxa"/>
              <w:bottom w:w="60" w:type="dxa"/>
              <w:end w:w="110" w:type="dxa"/>
            </w:tcMar>
          </w:tcPr>
          <w:p>
            <w:pPr>
              <w:spacing w:after="0"/>
            </w:pPr>
            <w:r/>
            <w:r>
              <w:rPr>
                <w:rFonts w:ascii="Calibri" w:hAnsi="Calibri"/>
                <w:b w:val="0"/>
                <w:i w:val="0"/>
                <w:color w:val="101828"/>
                <w:sz w:val="16"/>
              </w:rPr>
              <w:t>Manual ledger correction, reversal only</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Dual authorisation, mandatory reason</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E9-06</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Risk queue with holds, reasons, and deadlines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Auto-release on deadline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E9-07</w:t>
            </w:r>
          </w:p>
        </w:tc>
        <w:tc>
          <w:tcPr>
            <w:tcW w:type="dxa" w:w="4608"/>
            <w:tcMar>
              <w:top w:w="60" w:type="dxa"/>
              <w:start w:w="110" w:type="dxa"/>
              <w:bottom w:w="60" w:type="dxa"/>
              <w:end w:w="110" w:type="dxa"/>
            </w:tcMar>
          </w:tcPr>
          <w:p>
            <w:pPr>
              <w:spacing w:after="0"/>
            </w:pPr>
            <w:r/>
            <w:r>
              <w:rPr>
                <w:rFonts w:ascii="Calibri" w:hAnsi="Calibri"/>
                <w:b w:val="0"/>
                <w:i w:val="0"/>
                <w:color w:val="101828"/>
                <w:sz w:val="16"/>
              </w:rPr>
              <w:t>Audit log viewer</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Append-only, searchable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E9-08</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Dispute management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L</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Raise, respond, resolve, notify</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E9-09</w:t>
            </w:r>
          </w:p>
        </w:tc>
        <w:tc>
          <w:tcPr>
            <w:tcW w:type="dxa" w:w="4608"/>
            <w:tcMar>
              <w:top w:w="60" w:type="dxa"/>
              <w:start w:w="110" w:type="dxa"/>
              <w:bottom w:w="60" w:type="dxa"/>
              <w:end w:w="110" w:type="dxa"/>
            </w:tcMar>
          </w:tcPr>
          <w:p>
            <w:pPr>
              <w:spacing w:after="0"/>
            </w:pPr>
            <w:r/>
            <w:r>
              <w:rPr>
                <w:rFonts w:ascii="Calibri" w:hAnsi="Calibri"/>
                <w:b w:val="0"/>
                <w:i w:val="0"/>
                <w:color w:val="101828"/>
                <w:sz w:val="16"/>
              </w:rPr>
              <w:t>Finance reporting and month-end close tooling</w:t>
            </w:r>
          </w:p>
        </w:tc>
        <w:tc>
          <w:tcPr>
            <w:tcW w:type="dxa" w:w="1584"/>
            <w:tcMar>
              <w:top w:w="60" w:type="dxa"/>
              <w:start w:w="110" w:type="dxa"/>
              <w:bottom w:w="60" w:type="dxa"/>
              <w:end w:w="110" w:type="dxa"/>
            </w:tcMar>
          </w:tcPr>
          <w:p>
            <w:pPr>
              <w:spacing w:after="0"/>
            </w:pPr>
            <w:r/>
            <w:r>
              <w:rPr>
                <w:rFonts w:ascii="Calibri" w:hAnsi="Calibri"/>
                <w:b w:val="0"/>
                <w:i w:val="0"/>
                <w:color w:val="101828"/>
                <w:sz w:val="16"/>
              </w:rPr>
              <w:t>P1</w:t>
            </w:r>
          </w:p>
        </w:tc>
        <w:tc>
          <w:tcPr>
            <w:tcW w:type="dxa" w:w="1296"/>
            <w:tcMar>
              <w:top w:w="60" w:type="dxa"/>
              <w:start w:w="110" w:type="dxa"/>
              <w:bottom w:w="60" w:type="dxa"/>
              <w:end w:w="110" w:type="dxa"/>
            </w:tcMar>
          </w:tcPr>
          <w:p>
            <w:pPr>
              <w:spacing w:after="0"/>
            </w:pPr>
            <w:r/>
            <w:r>
              <w:rPr>
                <w:rFonts w:ascii="Calibri" w:hAnsi="Calibri"/>
                <w:b w:val="0"/>
                <w:i w:val="0"/>
                <w:color w:val="101828"/>
                <w:sz w:val="16"/>
              </w:rPr>
              <w:t>L</w:t>
            </w:r>
          </w:p>
        </w:tc>
        <w:tc>
          <w:tcPr>
            <w:tcW w:type="dxa" w:w="2160"/>
            <w:tcMar>
              <w:top w:w="60" w:type="dxa"/>
              <w:start w:w="110" w:type="dxa"/>
              <w:bottom w:w="60" w:type="dxa"/>
              <w:end w:w="110" w:type="dxa"/>
            </w:tcMar>
          </w:tcPr>
          <w:p>
            <w:pPr>
              <w:spacing w:after="0"/>
            </w:pPr>
            <w:r/>
            <w:r>
              <w:rPr>
                <w:rFonts w:ascii="Calibri" w:hAnsi="Calibri"/>
                <w:b w:val="0"/>
                <w:i w:val="0"/>
                <w:color w:val="101828"/>
                <w:sz w:val="16"/>
              </w:rPr>
              <w:t>Gross and net revenue separate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E9-10</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Role assignment administration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Every assignment audited</w:t>
            </w:r>
          </w:p>
        </w:tc>
      </w:tr>
    </w:tbl>
    <w:p>
      <w:pPr>
        <w:spacing w:after="80"/>
      </w:pPr>
    </w:p>
    <w:p>
      <w:pPr>
        <w:pStyle w:val="Heading2"/>
      </w:pPr>
      <w:r>
        <w:rPr>
          <w:rFonts w:ascii="Calibri" w:hAnsi="Calibri"/>
          <w:b/>
          <w:i w:val="0"/>
          <w:color w:val="146EF5"/>
          <w:sz w:val="29"/>
        </w:rPr>
        <w:t>23.12 Detailed backlog — Epic 10, trust and safety</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6"/>
              </w:rPr>
              <w:t>ID</w:t>
            </w:r>
          </w:p>
        </w:tc>
        <w:tc>
          <w:tcPr>
            <w:tcW w:type="dxa" w:w="4608"/>
            <w:shd w:val="clear" w:color="auto" w:fill="0B1F3A"/>
            <w:tcMar>
              <w:top w:w="60" w:type="dxa"/>
              <w:start w:w="110" w:type="dxa"/>
              <w:bottom w:w="60" w:type="dxa"/>
              <w:end w:w="110" w:type="dxa"/>
            </w:tcMar>
          </w:tcPr>
          <w:p>
            <w:pPr>
              <w:spacing w:after="0"/>
            </w:pPr>
            <w:r/>
            <w:r>
              <w:rPr>
                <w:rFonts w:ascii="Calibri" w:hAnsi="Calibri"/>
                <w:b/>
                <w:i w:val="0"/>
                <w:color w:val="FFFFFF"/>
                <w:sz w:val="16"/>
              </w:rPr>
              <w:t>Item</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Priority</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Effort</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Note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E10-01</w:t>
            </w:r>
          </w:p>
        </w:tc>
        <w:tc>
          <w:tcPr>
            <w:tcW w:type="dxa" w:w="4608"/>
            <w:tcMar>
              <w:top w:w="60" w:type="dxa"/>
              <w:start w:w="110" w:type="dxa"/>
              <w:bottom w:w="60" w:type="dxa"/>
              <w:end w:w="110" w:type="dxa"/>
            </w:tcMar>
          </w:tcPr>
          <w:p>
            <w:pPr>
              <w:spacing w:after="0"/>
            </w:pPr>
            <w:r/>
            <w:r>
              <w:rPr>
                <w:rFonts w:ascii="Calibri" w:hAnsi="Calibri"/>
                <w:b w:val="0"/>
                <w:i w:val="0"/>
                <w:color w:val="101828"/>
                <w:sz w:val="16"/>
              </w:rPr>
              <w:t>Bank-account change cooling-off, 14 days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The highest-value single control</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E10-02</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Multi-channel notification of every sensitive change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Push, email, and SMS</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E10-03</w:t>
            </w:r>
          </w:p>
        </w:tc>
        <w:tc>
          <w:tcPr>
            <w:tcW w:type="dxa" w:w="4608"/>
            <w:tcMar>
              <w:top w:w="60" w:type="dxa"/>
              <w:start w:w="110" w:type="dxa"/>
              <w:bottom w:w="60" w:type="dxa"/>
              <w:end w:w="110" w:type="dxa"/>
            </w:tcMar>
          </w:tcPr>
          <w:p>
            <w:pPr>
              <w:spacing w:after="0"/>
            </w:pPr>
            <w:r/>
            <w:r>
              <w:rPr>
                <w:rFonts w:ascii="Calibri" w:hAnsi="Calibri"/>
                <w:b w:val="0"/>
                <w:i w:val="0"/>
                <w:color w:val="101828"/>
                <w:sz w:val="16"/>
              </w:rPr>
              <w:t>Risk engine v1 with interpretable scores and reasons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L</w:t>
            </w:r>
          </w:p>
        </w:tc>
        <w:tc>
          <w:tcPr>
            <w:tcW w:type="dxa" w:w="2160"/>
            <w:tcMar>
              <w:top w:w="60" w:type="dxa"/>
              <w:start w:w="110" w:type="dxa"/>
              <w:bottom w:w="60" w:type="dxa"/>
              <w:end w:w="110" w:type="dxa"/>
            </w:tcMar>
          </w:tcPr>
          <w:p>
            <w:pPr>
              <w:spacing w:after="0"/>
            </w:pPr>
            <w:r/>
            <w:r>
              <w:rPr>
                <w:rFonts w:ascii="Calibri" w:hAnsi="Calibri"/>
                <w:b w:val="0"/>
                <w:i w:val="0"/>
                <w:color w:val="101828"/>
                <w:sz w:val="16"/>
              </w:rPr>
              <w:t>Not a black box</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E10-04</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Velocity limits: contribution, Ajo count, payout count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Configurable, not hard-coded</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E10-05</w:t>
            </w:r>
          </w:p>
        </w:tc>
        <w:tc>
          <w:tcPr>
            <w:tcW w:type="dxa" w:w="4608"/>
            <w:tcMar>
              <w:top w:w="60" w:type="dxa"/>
              <w:start w:w="110" w:type="dxa"/>
              <w:bottom w:w="60" w:type="dxa"/>
              <w:end w:w="110" w:type="dxa"/>
            </w:tcMar>
          </w:tcPr>
          <w:p>
            <w:pPr>
              <w:spacing w:after="0"/>
            </w:pPr>
            <w:r/>
            <w:r>
              <w:rPr>
                <w:rFonts w:ascii="Calibri" w:hAnsi="Calibri"/>
                <w:b w:val="0"/>
                <w:i w:val="0"/>
                <w:color w:val="101828"/>
                <w:sz w:val="16"/>
              </w:rPr>
              <w:t>Device, phone, and bank graph analysis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P1</w:t>
            </w:r>
          </w:p>
        </w:tc>
        <w:tc>
          <w:tcPr>
            <w:tcW w:type="dxa" w:w="1296"/>
            <w:tcMar>
              <w:top w:w="60" w:type="dxa"/>
              <w:start w:w="110" w:type="dxa"/>
              <w:bottom w:w="60" w:type="dxa"/>
              <w:end w:w="110" w:type="dxa"/>
            </w:tcMar>
          </w:tcPr>
          <w:p>
            <w:pPr>
              <w:spacing w:after="0"/>
            </w:pPr>
            <w:r/>
            <w:r>
              <w:rPr>
                <w:rFonts w:ascii="Calibri" w:hAnsi="Calibri"/>
                <w:b w:val="0"/>
                <w:i w:val="0"/>
                <w:color w:val="101828"/>
                <w:sz w:val="16"/>
              </w:rPr>
              <w:t>L</w:t>
            </w:r>
          </w:p>
        </w:tc>
        <w:tc>
          <w:tcPr>
            <w:tcW w:type="dxa" w:w="2160"/>
            <w:tcMar>
              <w:top w:w="60" w:type="dxa"/>
              <w:start w:w="110" w:type="dxa"/>
              <w:bottom w:w="60" w:type="dxa"/>
              <w:end w:w="110" w:type="dxa"/>
            </w:tcMar>
          </w:tcPr>
          <w:p>
            <w:pPr>
              <w:spacing w:after="0"/>
            </w:pPr>
            <w:r/>
            <w:r>
              <w:rPr>
                <w:rFonts w:ascii="Calibri" w:hAnsi="Calibri"/>
                <w:b w:val="0"/>
                <w:i w:val="0"/>
                <w:color w:val="101828"/>
                <w:sz w:val="16"/>
              </w:rPr>
              <w:t>Catches what per-transaction limits miss</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E10-06</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Sanctions and PEP screening</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color w:val="101828"/>
                <w:sz w:val="16"/>
              </w:rPr>
              <w:t>Requires a licensed provider and a legal determination</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E10-07</w:t>
            </w:r>
          </w:p>
        </w:tc>
        <w:tc>
          <w:tcPr>
            <w:tcW w:type="dxa" w:w="4608"/>
            <w:tcMar>
              <w:top w:w="60" w:type="dxa"/>
              <w:start w:w="110" w:type="dxa"/>
              <w:bottom w:w="60" w:type="dxa"/>
              <w:end w:w="110" w:type="dxa"/>
            </w:tcMar>
          </w:tcPr>
          <w:p>
            <w:pPr>
              <w:spacing w:after="0"/>
            </w:pPr>
            <w:r/>
            <w:r>
              <w:rPr>
                <w:rFonts w:ascii="Calibri" w:hAnsi="Calibri"/>
                <w:b w:val="0"/>
                <w:i w:val="0"/>
                <w:color w:val="101828"/>
                <w:sz w:val="16"/>
              </w:rPr>
              <w:t>Member reporting of organizers and messages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Reviewed by a human</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E10-08</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Freeze that blocks sending but never receiving</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The rule that prevents confiscation by software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E10-09</w:t>
            </w:r>
          </w:p>
        </w:tc>
        <w:tc>
          <w:tcPr>
            <w:tcW w:type="dxa" w:w="4608"/>
            <w:tcMar>
              <w:top w:w="60" w:type="dxa"/>
              <w:start w:w="110" w:type="dxa"/>
              <w:bottom w:w="60" w:type="dxa"/>
              <w:end w:w="110" w:type="dxa"/>
            </w:tcMar>
          </w:tcPr>
          <w:p>
            <w:pPr>
              <w:spacing w:after="0"/>
            </w:pPr>
            <w:r/>
            <w:r>
              <w:rPr>
                <w:rFonts w:ascii="Calibri" w:hAnsi="Calibri"/>
                <w:b w:val="0"/>
                <w:i w:val="0"/>
                <w:color w:val="101828"/>
                <w:sz w:val="16"/>
              </w:rPr>
              <w:t>SAR workflow and filing</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L</w:t>
            </w:r>
          </w:p>
        </w:tc>
        <w:tc>
          <w:tcPr>
            <w:tcW w:type="dxa" w:w="2160"/>
            <w:tcMar>
              <w:top w:w="60" w:type="dxa"/>
              <w:start w:w="110" w:type="dxa"/>
              <w:bottom w:w="60" w:type="dxa"/>
              <w:end w:w="110" w:type="dxa"/>
            </w:tcMar>
          </w:tcPr>
          <w:p>
            <w:pPr>
              <w:spacing w:after="0"/>
            </w:pPr>
            <w:r/>
            <w:r>
              <w:rPr>
                <w:rFonts w:ascii="Calibri" w:hAnsi="Calibri"/>
                <w:b/>
                <w:color w:val="101828"/>
                <w:sz w:val="16"/>
              </w:rPr>
              <w:t>Statutory deadline applies; confirm with counsel</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E10-10</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Fraud metrics, including false positive rate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P1</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Controls must earn their cost</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E10-11</w:t>
            </w:r>
          </w:p>
        </w:tc>
        <w:tc>
          <w:tcPr>
            <w:tcW w:type="dxa" w:w="4608"/>
            <w:tcMar>
              <w:top w:w="60" w:type="dxa"/>
              <w:start w:w="110" w:type="dxa"/>
              <w:bottom w:w="60" w:type="dxa"/>
              <w:end w:w="110" w:type="dxa"/>
            </w:tcMar>
          </w:tcPr>
          <w:p>
            <w:pPr>
              <w:spacing w:after="0"/>
            </w:pPr>
            <w:r/>
            <w:r>
              <w:rPr>
                <w:rFonts w:ascii="Calibri" w:hAnsi="Calibri"/>
                <w:b w:val="0"/>
                <w:i w:val="0"/>
                <w:color w:val="101828"/>
                <w:sz w:val="16"/>
              </w:rPr>
              <w:t>Anti-phishing messaging throughout the product</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S</w:t>
            </w:r>
          </w:p>
        </w:tc>
        <w:tc>
          <w:tcPr>
            <w:tcW w:type="dxa" w:w="2160"/>
            <w:tcMar>
              <w:top w:w="60" w:type="dxa"/>
              <w:start w:w="110" w:type="dxa"/>
              <w:bottom w:w="60" w:type="dxa"/>
              <w:end w:w="110" w:type="dxa"/>
            </w:tcMar>
          </w:tcPr>
          <w:p>
            <w:pPr>
              <w:spacing w:after="0"/>
            </w:pPr>
            <w:r/>
            <w:r>
              <w:rPr>
                <w:rFonts w:ascii="Calibri" w:hAnsi="Calibri"/>
                <w:b w:val="0"/>
                <w:i w:val="0"/>
                <w:color w:val="101828"/>
                <w:sz w:val="16"/>
              </w:rPr>
              <w:t>Cheap and extremely effective</w:t>
            </w:r>
          </w:p>
        </w:tc>
      </w:tr>
    </w:tbl>
    <w:p>
      <w:pPr>
        <w:spacing w:after="80"/>
      </w:pPr>
    </w:p>
    <w:p>
      <w:pPr>
        <w:pStyle w:val="Heading2"/>
      </w:pPr>
      <w:r>
        <w:rPr>
          <w:rFonts w:ascii="Calibri" w:hAnsi="Calibri"/>
          <w:b/>
          <w:i w:val="0"/>
          <w:color w:val="146EF5"/>
          <w:sz w:val="29"/>
        </w:rPr>
        <w:t>23.13 Detailed backlog — Epic 11, platform</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6"/>
              </w:rPr>
              <w:t>ID</w:t>
            </w:r>
          </w:p>
        </w:tc>
        <w:tc>
          <w:tcPr>
            <w:tcW w:type="dxa" w:w="4608"/>
            <w:shd w:val="clear" w:color="auto" w:fill="0B1F3A"/>
            <w:tcMar>
              <w:top w:w="60" w:type="dxa"/>
              <w:start w:w="110" w:type="dxa"/>
              <w:bottom w:w="60" w:type="dxa"/>
              <w:end w:w="110" w:type="dxa"/>
            </w:tcMar>
          </w:tcPr>
          <w:p>
            <w:pPr>
              <w:spacing w:after="0"/>
            </w:pPr>
            <w:r/>
            <w:r>
              <w:rPr>
                <w:rFonts w:ascii="Calibri" w:hAnsi="Calibri"/>
                <w:b/>
                <w:i w:val="0"/>
                <w:color w:val="FFFFFF"/>
                <w:sz w:val="16"/>
              </w:rPr>
              <w:t>Item</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Priority</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Effort</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Note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E11-01</w:t>
            </w:r>
          </w:p>
        </w:tc>
        <w:tc>
          <w:tcPr>
            <w:tcW w:type="dxa" w:w="4608"/>
            <w:tcMar>
              <w:top w:w="60" w:type="dxa"/>
              <w:start w:w="110" w:type="dxa"/>
              <w:bottom w:w="60" w:type="dxa"/>
              <w:end w:w="110" w:type="dxa"/>
            </w:tcMar>
          </w:tcPr>
          <w:p>
            <w:pPr>
              <w:spacing w:after="0"/>
            </w:pPr>
            <w:r/>
            <w:r>
              <w:rPr>
                <w:rFonts w:ascii="Calibri" w:hAnsi="Calibri"/>
                <w:b w:val="0"/>
                <w:i w:val="0"/>
                <w:color w:val="101828"/>
                <w:sz w:val="16"/>
              </w:rPr>
              <w:t>Repository, CI pipeline, and quality gates</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Blocks merge on anything</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E11-02</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Environments: local, CI, staging, pre-prod, production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Identical in shape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E11-03</w:t>
            </w:r>
          </w:p>
        </w:tc>
        <w:tc>
          <w:tcPr>
            <w:tcW w:type="dxa" w:w="4608"/>
            <w:tcMar>
              <w:top w:w="60" w:type="dxa"/>
              <w:start w:w="110" w:type="dxa"/>
              <w:bottom w:w="60" w:type="dxa"/>
              <w:end w:w="110" w:type="dxa"/>
            </w:tcMar>
          </w:tcPr>
          <w:p>
            <w:pPr>
              <w:spacing w:after="0"/>
            </w:pPr>
            <w:r/>
            <w:r>
              <w:rPr>
                <w:rFonts w:ascii="Calibri" w:hAnsi="Calibri"/>
                <w:b w:val="0"/>
                <w:i w:val="0"/>
                <w:color w:val="101828"/>
                <w:sz w:val="16"/>
              </w:rPr>
              <w:t>Structured logging with PII redaction at source</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Not filtered later</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E11-04</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Metrics, dashboards, and alerting with runbooks</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L</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Actionable alerts only</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E11-05</w:t>
            </w:r>
          </w:p>
        </w:tc>
        <w:tc>
          <w:tcPr>
            <w:tcW w:type="dxa" w:w="4608"/>
            <w:tcMar>
              <w:top w:w="60" w:type="dxa"/>
              <w:start w:w="110" w:type="dxa"/>
              <w:bottom w:w="60" w:type="dxa"/>
              <w:end w:w="110" w:type="dxa"/>
            </w:tcMar>
          </w:tcPr>
          <w:p>
            <w:pPr>
              <w:spacing w:after="0"/>
            </w:pPr>
            <w:r/>
            <w:r>
              <w:rPr>
                <w:rFonts w:ascii="Calibri" w:hAnsi="Calibri"/>
                <w:b w:val="0"/>
                <w:i w:val="0"/>
                <w:color w:val="101828"/>
                <w:sz w:val="16"/>
              </w:rPr>
              <w:t>Distributed tracing across the async boundary</w:t>
            </w:r>
          </w:p>
        </w:tc>
        <w:tc>
          <w:tcPr>
            <w:tcW w:type="dxa" w:w="1584"/>
            <w:tcMar>
              <w:top w:w="60" w:type="dxa"/>
              <w:start w:w="110" w:type="dxa"/>
              <w:bottom w:w="60" w:type="dxa"/>
              <w:end w:w="110" w:type="dxa"/>
            </w:tcMar>
          </w:tcPr>
          <w:p>
            <w:pPr>
              <w:spacing w:after="0"/>
            </w:pPr>
            <w:r/>
            <w:r>
              <w:rPr>
                <w:rFonts w:ascii="Calibri" w:hAnsi="Calibri"/>
                <w:b w:val="0"/>
                <w:i w:val="0"/>
                <w:color w:val="101828"/>
                <w:sz w:val="16"/>
              </w:rPr>
              <w:t>P1</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Correlates payment journeys</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E11-06</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Backups with a rehearsed restore</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Quarterly drill, timed against the RTO</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E11-07</w:t>
            </w:r>
          </w:p>
        </w:tc>
        <w:tc>
          <w:tcPr>
            <w:tcW w:type="dxa" w:w="4608"/>
            <w:tcMar>
              <w:top w:w="60" w:type="dxa"/>
              <w:start w:w="110" w:type="dxa"/>
              <w:bottom w:w="60" w:type="dxa"/>
              <w:end w:w="110" w:type="dxa"/>
            </w:tcMar>
          </w:tcPr>
          <w:p>
            <w:pPr>
              <w:spacing w:after="0"/>
            </w:pPr>
            <w:r/>
            <w:r>
              <w:rPr>
                <w:rFonts w:ascii="Calibri" w:hAnsi="Calibri"/>
                <w:b w:val="0"/>
                <w:i w:val="0"/>
                <w:color w:val="101828"/>
                <w:sz w:val="16"/>
              </w:rPr>
              <w:t>Database migration strategy, expand then contract</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No destructive migration in a code deploy</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E11-08</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Secret management and rotation</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Per environment, never in source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E11-09</w:t>
            </w:r>
          </w:p>
        </w:tc>
        <w:tc>
          <w:tcPr>
            <w:tcW w:type="dxa" w:w="4608"/>
            <w:tcMar>
              <w:top w:w="60" w:type="dxa"/>
              <w:start w:w="110" w:type="dxa"/>
              <w:bottom w:w="60" w:type="dxa"/>
              <w:end w:w="110" w:type="dxa"/>
            </w:tcMar>
          </w:tcPr>
          <w:p>
            <w:pPr>
              <w:spacing w:after="0"/>
            </w:pPr>
            <w:r/>
            <w:r>
              <w:rPr>
                <w:rFonts w:ascii="Calibri" w:hAnsi="Calibri"/>
                <w:b w:val="0"/>
                <w:i w:val="0"/>
                <w:color w:val="101828"/>
                <w:sz w:val="16"/>
              </w:rPr>
              <w:t>API versioning and backward compatibility</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tcPr>
          <w:p>
            <w:pPr>
              <w:spacing w:after="0"/>
            </w:pPr>
            <w:r/>
            <w:r>
              <w:rPr>
                <w:rFonts w:ascii="Calibri" w:hAnsi="Calibri"/>
                <w:b w:val="0"/>
                <w:i w:val="0"/>
                <w:color w:val="101828"/>
                <w:sz w:val="16"/>
              </w:rPr>
              <w:t>Old app versions stay live for weeks</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E11-10</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Feature flags with an audit trail</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P1</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With removal dates</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E11-11</w:t>
            </w:r>
          </w:p>
        </w:tc>
        <w:tc>
          <w:tcPr>
            <w:tcW w:type="dxa" w:w="4608"/>
            <w:tcMar>
              <w:top w:w="60" w:type="dxa"/>
              <w:start w:w="110" w:type="dxa"/>
              <w:bottom w:w="60" w:type="dxa"/>
              <w:end w:w="110" w:type="dxa"/>
            </w:tcMar>
          </w:tcPr>
          <w:p>
            <w:pPr>
              <w:spacing w:after="0"/>
            </w:pPr>
            <w:r/>
            <w:r>
              <w:rPr>
                <w:rFonts w:ascii="Calibri" w:hAnsi="Calibri"/>
                <w:b w:val="0"/>
                <w:i w:val="0"/>
                <w:color w:val="101828"/>
                <w:sz w:val="16"/>
              </w:rPr>
              <w:t>Mobile build pipeline, signing, and staged rollout</w:t>
            </w:r>
          </w:p>
        </w:tc>
        <w:tc>
          <w:tcPr>
            <w:tcW w:type="dxa" w:w="1584"/>
            <w:tcMar>
              <w:top w:w="60" w:type="dxa"/>
              <w:start w:w="110" w:type="dxa"/>
              <w:bottom w:w="60" w:type="dxa"/>
              <w:end w:w="110" w:type="dxa"/>
            </w:tcMar>
          </w:tcPr>
          <w:p>
            <w:pPr>
              <w:spacing w:after="0"/>
            </w:pPr>
            <w:r/>
            <w:r>
              <w:rPr>
                <w:rFonts w:ascii="Calibri" w:hAnsi="Calibri"/>
                <w:b w:val="0"/>
                <w:i w:val="0"/>
                <w:color w:val="101828"/>
                <w:sz w:val="16"/>
              </w:rPr>
              <w:t>P0</w:t>
            </w:r>
          </w:p>
        </w:tc>
        <w:tc>
          <w:tcPr>
            <w:tcW w:type="dxa" w:w="1296"/>
            <w:tcMar>
              <w:top w:w="60" w:type="dxa"/>
              <w:start w:w="110" w:type="dxa"/>
              <w:bottom w:w="60" w:type="dxa"/>
              <w:end w:w="110" w:type="dxa"/>
            </w:tcMar>
          </w:tcPr>
          <w:p>
            <w:pPr>
              <w:spacing w:after="0"/>
            </w:pPr>
            <w:r/>
            <w:r>
              <w:rPr>
                <w:rFonts w:ascii="Calibri" w:hAnsi="Calibri"/>
                <w:b w:val="0"/>
                <w:i w:val="0"/>
                <w:color w:val="101828"/>
                <w:sz w:val="16"/>
              </w:rPr>
              <w:t>L</w:t>
            </w:r>
          </w:p>
        </w:tc>
        <w:tc>
          <w:tcPr>
            <w:tcW w:type="dxa" w:w="2160"/>
            <w:tcMar>
              <w:top w:w="60" w:type="dxa"/>
              <w:start w:w="110" w:type="dxa"/>
              <w:bottom w:w="60" w:type="dxa"/>
              <w:end w:w="110" w:type="dxa"/>
            </w:tcMar>
          </w:tcPr>
          <w:p>
            <w:pPr>
              <w:spacing w:after="0"/>
            </w:pPr>
            <w:r/>
            <w:r>
              <w:rPr>
                <w:rFonts w:ascii="Calibri" w:hAnsi="Calibri"/>
                <w:b w:val="0"/>
                <w:i w:val="0"/>
                <w:color w:val="101828"/>
                <w:sz w:val="16"/>
              </w:rPr>
              <w:t>App store distribution</w:t>
            </w:r>
          </w:p>
        </w:tc>
      </w:tr>
    </w:tbl>
    <w:p>
      <w:pPr>
        <w:spacing w:after="80"/>
      </w:pPr>
    </w:p>
    <w:p>
      <w:pPr>
        <w:pStyle w:val="Heading2"/>
      </w:pPr>
      <w:r>
        <w:rPr>
          <w:rFonts w:ascii="Calibri" w:hAnsi="Calibri"/>
          <w:b/>
          <w:i w:val="0"/>
          <w:color w:val="146EF5"/>
          <w:sz w:val="29"/>
        </w:rPr>
        <w:t>23.14 Deferred items and why</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6"/>
              </w:rPr>
              <w:t>Item</w:t>
            </w:r>
          </w:p>
        </w:tc>
        <w:tc>
          <w:tcPr>
            <w:tcW w:type="dxa" w:w="3600"/>
            <w:shd w:val="clear" w:color="auto" w:fill="0B1F3A"/>
            <w:tcMar>
              <w:top w:w="60" w:type="dxa"/>
              <w:start w:w="110" w:type="dxa"/>
              <w:bottom w:w="60" w:type="dxa"/>
              <w:end w:w="110" w:type="dxa"/>
            </w:tcMar>
          </w:tcPr>
          <w:p>
            <w:pPr>
              <w:spacing w:after="0"/>
            </w:pPr>
            <w:r/>
            <w:r>
              <w:rPr>
                <w:rFonts w:ascii="Calibri" w:hAnsi="Calibri"/>
                <w:b/>
                <w:i w:val="0"/>
                <w:color w:val="FFFFFF"/>
                <w:sz w:val="16"/>
              </w:rPr>
              <w:t>Deferred because</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Revisit when</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Independent escrow agent</w:t>
            </w:r>
          </w:p>
        </w:tc>
        <w:tc>
          <w:tcPr>
            <w:tcW w:type="dxa" w:w="3600"/>
            <w:tcMar>
              <w:top w:w="60" w:type="dxa"/>
              <w:start w:w="110" w:type="dxa"/>
              <w:bottom w:w="60" w:type="dxa"/>
              <w:end w:w="110" w:type="dxa"/>
            </w:tcMar>
          </w:tcPr>
          <w:p>
            <w:pPr>
              <w:spacing w:after="0"/>
            </w:pPr>
            <w:r/>
            <w:r>
              <w:rPr>
                <w:rFonts w:ascii="Calibri" w:hAnsi="Calibri"/>
                <w:b w:val="0"/>
                <w:i w:val="0"/>
                <w:color w:val="101828"/>
                <w:sz w:val="16"/>
              </w:rPr>
              <w:t>Expensive, and not required to launch. A real trust differentiator later</w:t>
            </w:r>
          </w:p>
        </w:tc>
        <w:tc>
          <w:tcPr>
            <w:tcW w:type="dxa" w:w="2736"/>
            <w:tcMar>
              <w:top w:w="60" w:type="dxa"/>
              <w:start w:w="110" w:type="dxa"/>
              <w:bottom w:w="60" w:type="dxa"/>
              <w:end w:w="110" w:type="dxa"/>
            </w:tcMar>
          </w:tcPr>
          <w:p>
            <w:pPr>
              <w:spacing w:after="0"/>
            </w:pPr>
            <w:r/>
            <w:r>
              <w:rPr>
                <w:rFonts w:ascii="Calibri" w:hAnsi="Calibri"/>
                <w:b w:val="0"/>
                <w:i w:val="0"/>
                <w:color w:val="101828"/>
                <w:sz w:val="16"/>
              </w:rPr>
              <w:t>After demonstrated scale, or on investor demand</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Yield on pooled funds</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Changes the product from a savings group to an investment product. A different business entirely</w:t>
            </w:r>
          </w:p>
        </w:tc>
        <w:tc>
          <w:tcPr>
            <w:tcW w:type="dxa" w:w="2736"/>
            <w:tcMar>
              <w:top w:w="60" w:type="dxa"/>
              <w:start w:w="110" w:type="dxa"/>
              <w:bottom w:w="60" w:type="dxa"/>
              <w:end w:w="110" w:type="dxa"/>
            </w:tcMar>
            <w:shd w:val="clear" w:color="auto" w:fill="F4F7FB"/>
          </w:tcPr>
          <w:p>
            <w:pPr>
              <w:spacing w:after="0"/>
            </w:pPr>
            <w:r/>
            <w:r>
              <w:rPr>
                <w:rFonts w:ascii="Calibri" w:hAnsi="Calibri"/>
                <w:b/>
                <w:color w:val="101828"/>
                <w:sz w:val="16"/>
              </w:rPr>
              <w:t>Only with a completely separate legal and regulatory basis. Never as a feature</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Corporate and employer Ajos</w:t>
            </w:r>
          </w:p>
        </w:tc>
        <w:tc>
          <w:tcPr>
            <w:tcW w:type="dxa" w:w="3600"/>
            <w:tcMar>
              <w:top w:w="60" w:type="dxa"/>
              <w:start w:w="110" w:type="dxa"/>
              <w:bottom w:w="60" w:type="dxa"/>
              <w:end w:w="110" w:type="dxa"/>
            </w:tcMar>
          </w:tcPr>
          <w:p>
            <w:pPr>
              <w:spacing w:after="0"/>
            </w:pPr>
            <w:r/>
            <w:r>
              <w:rPr>
                <w:rFonts w:ascii="Calibri" w:hAnsi="Calibri"/>
                <w:b w:val="0"/>
                <w:i w:val="0"/>
                <w:color w:val="101828"/>
                <w:sz w:val="16"/>
              </w:rPr>
              <w:t>Different onboarding, compliance, and support model</w:t>
            </w:r>
          </w:p>
        </w:tc>
        <w:tc>
          <w:tcPr>
            <w:tcW w:type="dxa" w:w="2736"/>
            <w:tcMar>
              <w:top w:w="60" w:type="dxa"/>
              <w:start w:w="110" w:type="dxa"/>
              <w:bottom w:w="60" w:type="dxa"/>
              <w:end w:w="110" w:type="dxa"/>
            </w:tcMar>
          </w:tcPr>
          <w:p>
            <w:pPr>
              <w:spacing w:after="0"/>
            </w:pPr>
            <w:r/>
            <w:r>
              <w:rPr>
                <w:rFonts w:ascii="Calibri" w:hAnsi="Calibri"/>
                <w:b w:val="0"/>
                <w:i w:val="0"/>
                <w:color w:val="101828"/>
                <w:sz w:val="16"/>
              </w:rPr>
              <w:t>After consumer product-market fit</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Native Android build</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React Native covers the requirement. A rebuild is a large effort</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If a specific native requirement is proven</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Open social features</w:t>
            </w:r>
          </w:p>
        </w:tc>
        <w:tc>
          <w:tcPr>
            <w:tcW w:type="dxa" w:w="3600"/>
            <w:tcMar>
              <w:top w:w="60" w:type="dxa"/>
              <w:start w:w="110" w:type="dxa"/>
              <w:bottom w:w="60" w:type="dxa"/>
              <w:end w:w="110" w:type="dxa"/>
            </w:tcMar>
          </w:tcPr>
          <w:p>
            <w:pPr>
              <w:spacing w:after="0"/>
            </w:pPr>
            <w:r/>
            <w:r>
              <w:rPr>
                <w:rFonts w:ascii="Calibri" w:hAnsi="Calibri"/>
                <w:b w:val="0"/>
                <w:i w:val="0"/>
                <w:color w:val="101828"/>
                <w:sz w:val="16"/>
              </w:rPr>
              <w:t>Trust and safety risk, and contrary to the private design</w:t>
            </w:r>
          </w:p>
        </w:tc>
        <w:tc>
          <w:tcPr>
            <w:tcW w:type="dxa" w:w="2736"/>
            <w:tcMar>
              <w:top w:w="60" w:type="dxa"/>
              <w:start w:w="110" w:type="dxa"/>
              <w:bottom w:w="60" w:type="dxa"/>
              <w:end w:w="110" w:type="dxa"/>
            </w:tcMar>
          </w:tcPr>
          <w:p>
            <w:pPr>
              <w:spacing w:after="0"/>
            </w:pPr>
            <w:r/>
            <w:r>
              <w:rPr>
                <w:rFonts w:ascii="Calibri" w:hAnsi="Calibri"/>
                <w:b w:val="0"/>
                <w:i w:val="0"/>
                <w:color w:val="101828"/>
                <w:sz w:val="16"/>
              </w:rPr>
              <w:t>Never, in the current model</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Automated credit scoring</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Exclusion risk, and a regulatory exposure</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Not planned</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Multi-currency</w:t>
            </w:r>
          </w:p>
        </w:tc>
        <w:tc>
          <w:tcPr>
            <w:tcW w:type="dxa" w:w="3600"/>
            <w:tcMar>
              <w:top w:w="60" w:type="dxa"/>
              <w:start w:w="110" w:type="dxa"/>
              <w:bottom w:w="60" w:type="dxa"/>
              <w:end w:w="110" w:type="dxa"/>
            </w:tcMar>
          </w:tcPr>
          <w:p>
            <w:pPr>
              <w:spacing w:after="0"/>
            </w:pPr>
            <w:r/>
            <w:r>
              <w:rPr>
                <w:rFonts w:ascii="Calibri" w:hAnsi="Calibri"/>
                <w:b w:val="0"/>
                <w:i w:val="0"/>
                <w:color w:val="101828"/>
                <w:sz w:val="16"/>
              </w:rPr>
              <w:t>No requirement, and a large surface area</w:t>
            </w:r>
          </w:p>
        </w:tc>
        <w:tc>
          <w:tcPr>
            <w:tcW w:type="dxa" w:w="2736"/>
            <w:tcMar>
              <w:top w:w="60" w:type="dxa"/>
              <w:start w:w="110" w:type="dxa"/>
              <w:bottom w:w="60" w:type="dxa"/>
              <w:end w:w="110" w:type="dxa"/>
            </w:tcMar>
          </w:tcPr>
          <w:p>
            <w:pPr>
              <w:spacing w:after="0"/>
            </w:pPr>
            <w:r/>
            <w:r>
              <w:rPr>
                <w:rFonts w:ascii="Calibri" w:hAnsi="Calibri"/>
                <w:b w:val="0"/>
                <w:i w:val="0"/>
                <w:color w:val="101828"/>
                <w:sz w:val="16"/>
              </w:rPr>
              <w:t>Not planned</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Android-only USSD interface</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6"/>
              </w:rPr>
              <w:t>Inclusion is valuable, but a web and SMS path exists</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If feature-phone usage proves material</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The most important deferred item is the one nobody argues for.  </w:t>
      </w:r>
      <w:r>
        <w:rPr>
          <w:rFonts w:ascii="Calibri" w:hAnsi="Calibri"/>
          <w:b w:val="0"/>
          <w:i w:val="0"/>
          <w:color w:val="0B1F3A"/>
          <w:sz w:val="19"/>
        </w:rPr>
        <w:t>The genuinely hard questions — reconciliation, fraud controls, defaults, and the cold-start problem — get little attention compared to features. The backlog above is weighted deliberately towards the boring, unglamorous work that determines whether members' money is safe. That weighting is the difference between a fintech and a payment wrapper.</w:t>
      </w:r>
    </w:p>
    <w:p>
      <w:pPr>
        <w:pStyle w:val="Heading2"/>
      </w:pPr>
      <w:r>
        <w:rPr>
          <w:rFonts w:ascii="Calibri" w:hAnsi="Calibri"/>
          <w:b/>
          <w:i w:val="0"/>
          <w:color w:val="146EF5"/>
          <w:sz w:val="29"/>
        </w:rPr>
        <w:t>23.15 Definition of done</w:t>
      </w:r>
    </w:p>
    <w:p>
      <w:r>
        <w:rPr>
          <w:rFonts w:ascii="Calibri" w:hAnsi="Calibri"/>
          <w:b w:val="0"/>
          <w:i w:val="0"/>
          <w:color w:val="101828"/>
          <w:sz w:val="21"/>
        </w:rPr>
        <w:t>An item is done only when all of the following are true. This definition exists because a partial financial feature is worse than no financial feature.</w:t>
      </w:r>
    </w:p>
    <w:p>
      <w:pPr>
        <w:pStyle w:val="ListBullet"/>
        <w:spacing w:after="60"/>
        <w:ind w:left="360"/>
      </w:pPr>
      <w:r>
        <w:rPr>
          <w:rFonts w:ascii="Calibri" w:hAnsi="Calibri"/>
          <w:b w:val="0"/>
          <w:i w:val="0"/>
          <w:color w:val="101828"/>
          <w:sz w:val="21"/>
        </w:rPr>
        <w:t>The acceptance criteria in the specification are met, and demonstrated.</w:t>
      </w:r>
    </w:p>
    <w:p>
      <w:pPr>
        <w:pStyle w:val="ListBullet"/>
        <w:spacing w:after="60"/>
        <w:ind w:left="360"/>
      </w:pPr>
      <w:r>
        <w:rPr>
          <w:rFonts w:ascii="Calibri" w:hAnsi="Calibri"/>
          <w:b w:val="0"/>
          <w:i w:val="0"/>
          <w:color w:val="101828"/>
          <w:sz w:val="21"/>
        </w:rPr>
        <w:t>Unit tests cover the domain logic, including the failure paths.</w:t>
      </w:r>
    </w:p>
    <w:p>
      <w:pPr>
        <w:pStyle w:val="ListBullet"/>
        <w:spacing w:after="60"/>
        <w:ind w:left="360"/>
      </w:pPr>
      <w:r>
        <w:rPr>
          <w:rFonts w:ascii="Calibri" w:hAnsi="Calibri"/>
          <w:b w:val="0"/>
          <w:i w:val="0"/>
          <w:color w:val="101828"/>
          <w:sz w:val="21"/>
        </w:rPr>
        <w:t>Integration tests cover the persistence and the authorisation.</w:t>
      </w:r>
    </w:p>
    <w:p>
      <w:pPr>
        <w:pStyle w:val="ListBullet"/>
        <w:spacing w:after="60"/>
        <w:ind w:left="360"/>
      </w:pPr>
      <w:r>
        <w:rPr>
          <w:rFonts w:ascii="Calibri" w:hAnsi="Calibri"/>
          <w:b w:val="0"/>
          <w:i w:val="0"/>
          <w:color w:val="101828"/>
          <w:sz w:val="21"/>
        </w:rPr>
        <w:t>The permission check is implemented and tested, with RLS where the data is sensitive.</w:t>
      </w:r>
    </w:p>
    <w:p>
      <w:pPr>
        <w:pStyle w:val="ListBullet"/>
        <w:spacing w:after="60"/>
        <w:ind w:left="360"/>
      </w:pPr>
      <w:r>
        <w:rPr>
          <w:rFonts w:ascii="Calibri" w:hAnsi="Calibri"/>
          <w:b w:val="0"/>
          <w:i w:val="0"/>
          <w:color w:val="101828"/>
          <w:sz w:val="21"/>
        </w:rPr>
        <w:t>Audit logging is in place for any privileged or money-touching action.</w:t>
      </w:r>
    </w:p>
    <w:p>
      <w:pPr>
        <w:pStyle w:val="ListBullet"/>
        <w:spacing w:after="60"/>
        <w:ind w:left="360"/>
      </w:pPr>
      <w:r>
        <w:rPr>
          <w:rFonts w:ascii="Calibri" w:hAnsi="Calibri"/>
          <w:b w:val="0"/>
          <w:i w:val="0"/>
          <w:color w:val="101828"/>
          <w:sz w:val="21"/>
        </w:rPr>
        <w:t>Empty, loading, and error states are designed and built — not left to the implementer.</w:t>
      </w:r>
    </w:p>
    <w:p>
      <w:pPr>
        <w:pStyle w:val="ListBullet"/>
        <w:spacing w:after="60"/>
        <w:ind w:left="360"/>
      </w:pPr>
      <w:r>
        <w:rPr>
          <w:rFonts w:ascii="Calibri" w:hAnsi="Calibri"/>
          <w:b w:val="0"/>
          <w:i w:val="0"/>
          <w:color w:val="101828"/>
          <w:sz w:val="21"/>
        </w:rPr>
        <w:t>Accessible: screen reader, contrast, and scaling checked.</w:t>
      </w:r>
    </w:p>
    <w:p>
      <w:pPr>
        <w:pStyle w:val="ListBullet"/>
        <w:spacing w:after="60"/>
        <w:ind w:left="360"/>
      </w:pPr>
      <w:r>
        <w:rPr>
          <w:rFonts w:ascii="Calibri" w:hAnsi="Calibri"/>
          <w:b w:val="0"/>
          <w:i w:val="0"/>
          <w:color w:val="101828"/>
          <w:sz w:val="21"/>
        </w:rPr>
        <w:t>Copy is written, and it is correct about money. No placeholder text in a payment flow.</w:t>
      </w:r>
    </w:p>
    <w:p>
      <w:pPr>
        <w:pStyle w:val="ListBullet"/>
        <w:spacing w:after="60"/>
        <w:ind w:left="360"/>
      </w:pPr>
      <w:r>
        <w:rPr>
          <w:rFonts w:ascii="Calibri" w:hAnsi="Calibri"/>
          <w:b w:val="0"/>
          <w:i w:val="0"/>
          <w:color w:val="101828"/>
          <w:sz w:val="21"/>
        </w:rPr>
        <w:t>Monitoring exists for the new code path, and an alert would fire if it broke.</w:t>
      </w:r>
    </w:p>
    <w:p>
      <w:pPr>
        <w:pStyle w:val="ListBullet"/>
        <w:spacing w:after="60"/>
        <w:ind w:left="360"/>
      </w:pPr>
      <w:r>
        <w:rPr>
          <w:rFonts w:ascii="Calibri" w:hAnsi="Calibri"/>
          <w:b w:val="0"/>
          <w:i w:val="0"/>
          <w:color w:val="101828"/>
          <w:sz w:val="21"/>
        </w:rPr>
        <w:t>Documentation and the runbook are updated where relevant.</w:t>
      </w:r>
    </w:p>
    <w:p>
      <w:pPr>
        <w:pStyle w:val="ListBullet"/>
        <w:spacing w:after="60"/>
        <w:ind w:left="360"/>
      </w:pPr>
      <w:r>
        <w:rPr>
          <w:rFonts w:ascii="Calibri" w:hAnsi="Calibri"/>
          <w:b w:val="0"/>
          <w:i w:val="0"/>
          <w:color w:val="101828"/>
          <w:sz w:val="21"/>
        </w:rPr>
        <w:t>Reviewed by someone other than the author, and for money paths, by two people.</w:t>
      </w:r>
    </w:p>
    <w:p>
      <w:r>
        <w:br w:type="page"/>
      </w:r>
    </w:p>
    <w:p>
      <w:pPr>
        <w:pStyle w:val="Heading1"/>
        <w:pBdr>
          <w:bottom w:val="single" w:sz="12" w:space="6" w:color="146EF5"/>
        </w:pBdr>
        <w:spacing w:after="240"/>
      </w:pPr>
      <w:r>
        <w:rPr>
          <w:rFonts w:ascii="Calibri" w:hAnsi="Calibri"/>
          <w:b/>
          <w:i w:val="0"/>
          <w:color w:val="0B1F3A"/>
          <w:sz w:val="40"/>
        </w:rPr>
        <w:t>24. Legal, Regulatory and Compliance Considerations</w:t>
      </w:r>
    </w:p>
    <w:p>
      <w:pPr>
        <w:spacing w:before="140" w:after="180"/>
        <w:ind w:left="144"/>
        <w:shd w:val="clear" w:color="auto" w:fill="FEE2E2"/>
        <w:pBdr>
          <w:left w:val="single" w:sz="18" w:space="6" w:color="DC2626"/>
        </w:pBdr>
      </w:pPr>
      <w:r>
        <w:rPr>
          <w:rFonts w:ascii="Calibri" w:hAnsi="Calibri"/>
          <w:b/>
          <w:color w:val="DC2626"/>
          <w:sz w:val="19"/>
        </w:rPr>
        <w:t xml:space="preserve">This section is not legal advice.  </w:t>
      </w:r>
      <w:r>
        <w:rPr>
          <w:rFonts w:ascii="Calibri" w:hAnsi="Calibri"/>
          <w:b w:val="0"/>
          <w:i w:val="0"/>
          <w:color w:val="0B1F3A"/>
          <w:sz w:val="19"/>
        </w:rPr>
        <w:t xml:space="preserve">Nothing in this document constitutes legal advice, and no statement here should be relied upon as a compliance determination. It is a structured list of issues the platform must resolve. </w:t>
      </w:r>
      <w:r>
        <w:rPr>
          <w:rFonts w:ascii="Calibri" w:hAnsi="Calibri"/>
          <w:b/>
          <w:color w:val="0B1F3A"/>
          <w:sz w:val="19"/>
        </w:rPr>
        <w:t>Every item requires review by qualified Nigerian legal and compliance professionals before AJO.ng accepts any real money or launches to the public.</w:t>
      </w:r>
      <w:r>
        <w:rPr>
          <w:rFonts w:ascii="Calibri" w:hAnsi="Calibri"/>
          <w:b w:val="0"/>
          <w:i w:val="0"/>
          <w:color w:val="0B1F3A"/>
          <w:sz w:val="19"/>
        </w:rPr>
        <w:t xml:space="preserve"> The purpose of writing them down is to ensure the questions are asked early, not to pre-empt the answers.</w:t>
      </w:r>
    </w:p>
    <w:p>
      <w:pPr>
        <w:spacing w:after="200"/>
      </w:pPr>
      <w:r>
        <w:rPr>
          <w:rFonts w:ascii="Calibri" w:hAnsi="Calibri"/>
          <w:b w:val="0"/>
          <w:i w:val="0"/>
          <w:color w:val="475467"/>
          <w:sz w:val="24"/>
        </w:rPr>
        <w:t>AJO.ng sits at an intersection that makes legal structure genuinely consequential: it collects money from individuals, holds that money in aggregate, pays it back on a schedule, operates a shared group with a human organizer at its centre, and handles identity documents. Each of those elements attracts regulatory attention in its own right.</w:t>
      </w:r>
    </w:p>
    <w:p>
      <w:pPr>
        <w:pStyle w:val="Heading2"/>
      </w:pPr>
      <w:r>
        <w:rPr>
          <w:rFonts w:ascii="Calibri" w:hAnsi="Calibri"/>
          <w:b/>
          <w:i w:val="0"/>
          <w:color w:val="146EF5"/>
          <w:sz w:val="29"/>
        </w:rPr>
        <w:t>24.1 Questions that must be answered before launch</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6"/>
              </w:rPr>
              <w:t>#</w:t>
            </w:r>
          </w:p>
        </w:tc>
        <w:tc>
          <w:tcPr>
            <w:tcW w:type="dxa" w:w="3888"/>
            <w:shd w:val="clear" w:color="auto" w:fill="0B1F3A"/>
            <w:tcMar>
              <w:top w:w="60" w:type="dxa"/>
              <w:start w:w="110" w:type="dxa"/>
              <w:bottom w:w="60" w:type="dxa"/>
              <w:end w:w="110" w:type="dxa"/>
            </w:tcMar>
          </w:tcPr>
          <w:p>
            <w:pPr>
              <w:spacing w:after="0"/>
            </w:pPr>
            <w:r/>
            <w:r>
              <w:rPr>
                <w:rFonts w:ascii="Calibri" w:hAnsi="Calibri"/>
                <w:b/>
                <w:i w:val="0"/>
                <w:color w:val="FFFFFF"/>
                <w:sz w:val="16"/>
              </w:rPr>
              <w:t>Question</w:t>
            </w:r>
          </w:p>
        </w:tc>
        <w:tc>
          <w:tcPr>
            <w:tcW w:type="dxa" w:w="4752"/>
            <w:shd w:val="clear" w:color="auto" w:fill="0B1F3A"/>
            <w:tcMar>
              <w:top w:w="60" w:type="dxa"/>
              <w:start w:w="110" w:type="dxa"/>
              <w:bottom w:w="60" w:type="dxa"/>
              <w:end w:w="110" w:type="dxa"/>
            </w:tcMar>
          </w:tcPr>
          <w:p>
            <w:pPr>
              <w:spacing w:after="0"/>
            </w:pPr>
            <w:r/>
            <w:r>
              <w:rPr>
                <w:rFonts w:ascii="Calibri" w:hAnsi="Calibri"/>
                <w:b/>
                <w:i w:val="0"/>
                <w:color w:val="FFFFFF"/>
                <w:sz w:val="16"/>
              </w:rPr>
              <w:t>Why it is decisive</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6"/>
              </w:rPr>
              <w:t>1</w:t>
            </w:r>
          </w:p>
        </w:tc>
        <w:tc>
          <w:tcPr>
            <w:tcW w:type="dxa" w:w="3888"/>
            <w:tcMar>
              <w:top w:w="60" w:type="dxa"/>
              <w:start w:w="110" w:type="dxa"/>
              <w:bottom w:w="60" w:type="dxa"/>
              <w:end w:w="110" w:type="dxa"/>
            </w:tcMar>
          </w:tcPr>
          <w:p>
            <w:pPr>
              <w:spacing w:after="0"/>
            </w:pPr>
            <w:r/>
            <w:r>
              <w:rPr>
                <w:rFonts w:ascii="Calibri" w:hAnsi="Calibri"/>
                <w:b w:val="0"/>
                <w:i w:val="0"/>
                <w:color w:val="101828"/>
                <w:sz w:val="16"/>
              </w:rPr>
              <w:t>Does AJO.ng require registration with a financial regulator, and with which one?</w:t>
            </w:r>
          </w:p>
        </w:tc>
        <w:tc>
          <w:tcPr>
            <w:tcW w:type="dxa" w:w="4752"/>
            <w:tcMar>
              <w:top w:w="60" w:type="dxa"/>
              <w:start w:w="110" w:type="dxa"/>
              <w:bottom w:w="60" w:type="dxa"/>
              <w:end w:w="110" w:type="dxa"/>
            </w:tcMar>
          </w:tcPr>
          <w:p>
            <w:pPr>
              <w:spacing w:after="0"/>
            </w:pPr>
            <w:r/>
            <w:r>
              <w:rPr>
                <w:rFonts w:ascii="Calibri" w:hAnsi="Calibri"/>
                <w:b w:val="0"/>
                <w:i w:val="0"/>
                <w:color w:val="101828"/>
                <w:sz w:val="16"/>
              </w:rPr>
              <w:t>Determines the licensing path, the capital and governance requirements, and the timeline. This is the first question, and everything else follows from it</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6"/>
              </w:rPr>
              <w:t>2</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Does holding member funds in a pooled account constitute custody of client money?</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If yes, the structure, the segregation, the reconciliation, and possibly the licensing all change materially</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6"/>
              </w:rPr>
              <w:t>3</w:t>
            </w:r>
          </w:p>
        </w:tc>
        <w:tc>
          <w:tcPr>
            <w:tcW w:type="dxa" w:w="3888"/>
            <w:tcMar>
              <w:top w:w="60" w:type="dxa"/>
              <w:start w:w="110" w:type="dxa"/>
              <w:bottom w:w="60" w:type="dxa"/>
              <w:end w:w="110" w:type="dxa"/>
            </w:tcMar>
          </w:tcPr>
          <w:p>
            <w:pPr>
              <w:spacing w:after="0"/>
            </w:pPr>
            <w:r/>
            <w:r>
              <w:rPr>
                <w:rFonts w:ascii="Calibri" w:hAnsi="Calibri"/>
                <w:b w:val="0"/>
                <w:i w:val="0"/>
                <w:color w:val="101828"/>
                <w:sz w:val="16"/>
              </w:rPr>
              <w:t>What does the payment provider agreement permit, and what does it prohibit?</w:t>
            </w:r>
          </w:p>
        </w:tc>
        <w:tc>
          <w:tcPr>
            <w:tcW w:type="dxa" w:w="4752"/>
            <w:tcMar>
              <w:top w:w="60" w:type="dxa"/>
              <w:start w:w="110" w:type="dxa"/>
              <w:bottom w:w="60" w:type="dxa"/>
              <w:end w:w="110" w:type="dxa"/>
            </w:tcMar>
          </w:tcPr>
          <w:p>
            <w:pPr>
              <w:spacing w:after="0"/>
            </w:pPr>
            <w:r/>
            <w:r>
              <w:rPr>
                <w:rFonts w:ascii="Calibri" w:hAnsi="Calibri"/>
                <w:b w:val="0"/>
                <w:i w:val="0"/>
                <w:color w:val="101828"/>
                <w:sz w:val="16"/>
              </w:rPr>
              <w:t>Defines the permitted model. Some providers permit an agency arrangement, some do not permit pooled accounts at all</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6"/>
              </w:rPr>
              <w:t>4</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What are the AML and KYC obligations, and who must discharge them?</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Customer due diligence, beneficial ownership, record-keeping, and suspicious activity reporting. A money laundering reporting officer may be legally required</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6"/>
              </w:rPr>
              <w:t>5</w:t>
            </w:r>
          </w:p>
        </w:tc>
        <w:tc>
          <w:tcPr>
            <w:tcW w:type="dxa" w:w="3888"/>
            <w:tcMar>
              <w:top w:w="60" w:type="dxa"/>
              <w:start w:w="110" w:type="dxa"/>
              <w:bottom w:w="60" w:type="dxa"/>
              <w:end w:w="110" w:type="dxa"/>
            </w:tcMar>
          </w:tcPr>
          <w:p>
            <w:pPr>
              <w:spacing w:after="0"/>
            </w:pPr>
            <w:r/>
            <w:r>
              <w:rPr>
                <w:rFonts w:ascii="Calibri" w:hAnsi="Calibri"/>
                <w:b w:val="0"/>
                <w:i w:val="0"/>
                <w:color w:val="101828"/>
                <w:sz w:val="16"/>
              </w:rPr>
              <w:t>What consumer protection rules apply to a savings product?</w:t>
            </w:r>
          </w:p>
        </w:tc>
        <w:tc>
          <w:tcPr>
            <w:tcW w:type="dxa" w:w="4752"/>
            <w:tcMar>
              <w:top w:w="60" w:type="dxa"/>
              <w:start w:w="110" w:type="dxa"/>
              <w:bottom w:w="60" w:type="dxa"/>
              <w:end w:w="110" w:type="dxa"/>
            </w:tcMar>
          </w:tcPr>
          <w:p>
            <w:pPr>
              <w:spacing w:after="0"/>
            </w:pPr>
            <w:r/>
            <w:r>
              <w:rPr>
                <w:rFonts w:ascii="Calibri" w:hAnsi="Calibri"/>
                <w:b w:val="0"/>
                <w:i w:val="0"/>
                <w:color w:val="101828"/>
                <w:sz w:val="16"/>
              </w:rPr>
              <w:t>Disclosure requirements, cooling-off rights, fair treatment, and complaint handling</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6"/>
              </w:rPr>
              <w:t>6</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What are the data protection obligations?</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Registration, lawful basis, retention, data subject rights, and any cross-border transfer restrictions</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6"/>
              </w:rPr>
              <w:t>7</w:t>
            </w:r>
          </w:p>
        </w:tc>
        <w:tc>
          <w:tcPr>
            <w:tcW w:type="dxa" w:w="3888"/>
            <w:tcMar>
              <w:top w:w="60" w:type="dxa"/>
              <w:start w:w="110" w:type="dxa"/>
              <w:bottom w:w="60" w:type="dxa"/>
              <w:end w:w="110" w:type="dxa"/>
            </w:tcMar>
          </w:tcPr>
          <w:p>
            <w:pPr>
              <w:spacing w:after="0"/>
            </w:pPr>
            <w:r/>
            <w:r>
              <w:rPr>
                <w:rFonts w:ascii="Calibri" w:hAnsi="Calibri"/>
                <w:b w:val="0"/>
                <w:i w:val="0"/>
                <w:color w:val="101828"/>
                <w:sz w:val="16"/>
              </w:rPr>
              <w:t>Is the 2% fee regulated, capped, or disclosed in a prescribed way?</w:t>
            </w:r>
          </w:p>
        </w:tc>
        <w:tc>
          <w:tcPr>
            <w:tcW w:type="dxa" w:w="4752"/>
            <w:tcMar>
              <w:top w:w="60" w:type="dxa"/>
              <w:start w:w="110" w:type="dxa"/>
              <w:bottom w:w="60" w:type="dxa"/>
              <w:end w:w="110" w:type="dxa"/>
            </w:tcMar>
          </w:tcPr>
          <w:p>
            <w:pPr>
              <w:spacing w:after="0"/>
            </w:pPr>
            <w:r/>
            <w:r>
              <w:rPr>
                <w:rFonts w:ascii="Calibri" w:hAnsi="Calibri"/>
                <w:b w:val="0"/>
                <w:i w:val="0"/>
                <w:color w:val="101828"/>
                <w:sz w:val="16"/>
              </w:rPr>
              <w:t>A fee on savings is exactly the kind of charge regulators examine</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6"/>
              </w:rPr>
              <w:t>8</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Are contributions refundable, and on what terms?</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Affects both the product and the accounting. Indefinite refund rights would undermine the entire model</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6"/>
              </w:rPr>
              <w:t>9</w:t>
            </w:r>
          </w:p>
        </w:tc>
        <w:tc>
          <w:tcPr>
            <w:tcW w:type="dxa" w:w="3888"/>
            <w:tcMar>
              <w:top w:w="60" w:type="dxa"/>
              <w:start w:w="110" w:type="dxa"/>
              <w:bottom w:w="60" w:type="dxa"/>
              <w:end w:w="110" w:type="dxa"/>
            </w:tcMar>
          </w:tcPr>
          <w:p>
            <w:pPr>
              <w:spacing w:after="0"/>
            </w:pPr>
            <w:r/>
            <w:r>
              <w:rPr>
                <w:rFonts w:ascii="Calibri" w:hAnsi="Calibri"/>
                <w:b w:val="0"/>
                <w:i w:val="0"/>
                <w:color w:val="101828"/>
                <w:sz w:val="16"/>
              </w:rPr>
              <w:t>Is a default a contractual breach, a debt, or a loss?</w:t>
            </w:r>
          </w:p>
        </w:tc>
        <w:tc>
          <w:tcPr>
            <w:tcW w:type="dxa" w:w="4752"/>
            <w:tcMar>
              <w:top w:w="60" w:type="dxa"/>
              <w:start w:w="110" w:type="dxa"/>
              <w:bottom w:w="60" w:type="dxa"/>
              <w:end w:w="110" w:type="dxa"/>
            </w:tcMar>
          </w:tcPr>
          <w:p>
            <w:pPr>
              <w:spacing w:after="0"/>
            </w:pPr>
            <w:r/>
            <w:r>
              <w:rPr>
                <w:rFonts w:ascii="Calibri" w:hAnsi="Calibri"/>
                <w:b w:val="0"/>
                <w:i w:val="0"/>
                <w:color w:val="101828"/>
                <w:sz w:val="16"/>
              </w:rPr>
              <w:t>Determines what happens to the Ajo when a member does not pay. This is a foundational design question, not an edge case</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6"/>
              </w:rPr>
              <w:t>10</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What is the tax treatment of contributions, the fee, and any default?</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Whether the fee is taxable income, whether contributions are deductible, and how defaults are treated</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6"/>
              </w:rPr>
              <w:t>11</w:t>
            </w:r>
          </w:p>
        </w:tc>
        <w:tc>
          <w:tcPr>
            <w:tcW w:type="dxa" w:w="3888"/>
            <w:tcMar>
              <w:top w:w="60" w:type="dxa"/>
              <w:start w:w="110" w:type="dxa"/>
              <w:bottom w:w="60" w:type="dxa"/>
              <w:end w:w="110" w:type="dxa"/>
            </w:tcMar>
          </w:tcPr>
          <w:p>
            <w:pPr>
              <w:spacing w:after="0"/>
            </w:pPr>
            <w:r/>
            <w:r>
              <w:rPr>
                <w:rFonts w:ascii="Calibri" w:hAnsi="Calibri"/>
                <w:b w:val="0"/>
                <w:i w:val="0"/>
                <w:color w:val="101828"/>
                <w:sz w:val="16"/>
              </w:rPr>
              <w:t>What consumer disclosures are mandatory?</w:t>
            </w:r>
          </w:p>
        </w:tc>
        <w:tc>
          <w:tcPr>
            <w:tcW w:type="dxa" w:w="4752"/>
            <w:tcMar>
              <w:top w:w="60" w:type="dxa"/>
              <w:start w:w="110" w:type="dxa"/>
              <w:bottom w:w="60" w:type="dxa"/>
              <w:end w:w="110" w:type="dxa"/>
            </w:tcMar>
          </w:tcPr>
          <w:p>
            <w:pPr>
              <w:spacing w:after="0"/>
            </w:pPr>
            <w:r/>
            <w:r>
              <w:rPr>
                <w:rFonts w:ascii="Calibri" w:hAnsi="Calibri"/>
                <w:b w:val="0"/>
                <w:i w:val="0"/>
                <w:color w:val="101828"/>
                <w:sz w:val="16"/>
              </w:rPr>
              <w:t>Terms, privacy notice, risk disclosures, and fee disclosure in clear language</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6"/>
              </w:rPr>
              <w:t>12</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What are the record-keeping requirements and retention periods?</w:t>
            </w:r>
          </w:p>
        </w:tc>
        <w:tc>
          <w:tcPr>
            <w:tcW w:type="dxa" w:w="4752"/>
            <w:tcMar>
              <w:top w:w="60" w:type="dxa"/>
              <w:start w:w="110" w:type="dxa"/>
              <w:bottom w:w="60" w:type="dxa"/>
              <w:end w:w="110" w:type="dxa"/>
            </w:tcMar>
            <w:shd w:val="clear" w:color="auto" w:fill="F4F7FB"/>
          </w:tcPr>
          <w:p>
            <w:pPr>
              <w:spacing w:after="0"/>
            </w:pPr>
            <w:r/>
            <w:r>
              <w:rPr>
                <w:rFonts w:ascii="Calibri" w:hAnsi="Calibri"/>
                <w:b w:val="0"/>
                <w:i w:val="0"/>
                <w:color w:val="101828"/>
                <w:sz w:val="16"/>
              </w:rPr>
              <w:t>Defines the retention schedule in section 14.8, which is currently a proposal</w:t>
            </w:r>
          </w:p>
        </w:tc>
      </w:tr>
    </w:tbl>
    <w:p>
      <w:pPr>
        <w:spacing w:after="80"/>
      </w:pPr>
    </w:p>
    <w:p>
      <w:pPr>
        <w:pStyle w:val="Heading2"/>
      </w:pPr>
      <w:r>
        <w:rPr>
          <w:rFonts w:ascii="Calibri" w:hAnsi="Calibri"/>
          <w:b/>
          <w:i w:val="0"/>
          <w:color w:val="146EF5"/>
          <w:sz w:val="29"/>
        </w:rPr>
        <w:t>24.2 Business structure</w:t>
      </w:r>
    </w:p>
    <w:p>
      <w:r>
        <w:rPr>
          <w:rFonts w:ascii="Calibri" w:hAnsi="Calibri"/>
          <w:b w:val="0"/>
          <w:i w:val="0"/>
          <w:color w:val="101828"/>
          <w:sz w:val="21"/>
        </w:rPr>
        <w:t>The structure determines almost everything else, and it is a legal decision before it is a business one.</w:t>
      </w:r>
    </w:p>
    <w:p>
      <w:pPr>
        <w:pStyle w:val="ListBullet"/>
        <w:spacing w:after="60"/>
        <w:ind w:left="360"/>
      </w:pPr>
      <w:r>
        <w:rPr>
          <w:rFonts w:ascii="Calibri" w:hAnsi="Calibri"/>
          <w:b/>
          <w:color w:val="101828"/>
          <w:sz w:val="21"/>
        </w:rPr>
        <w:t>Company structure</w:t>
      </w:r>
      <w:r>
        <w:rPr>
          <w:rFonts w:ascii="Calibri" w:hAnsi="Calibri"/>
          <w:b w:val="0"/>
          <w:i w:val="0"/>
          <w:color w:val="101828"/>
          <w:sz w:val="21"/>
        </w:rPr>
        <w:t xml:space="preserve"> — a private limited company is the likely vehicle, but the appropriate entity and its regulatory classification must be confirmed.</w:t>
      </w:r>
    </w:p>
    <w:p>
      <w:pPr>
        <w:pStyle w:val="ListBullet"/>
        <w:spacing w:after="60"/>
        <w:ind w:left="360"/>
      </w:pPr>
      <w:r>
        <w:rPr>
          <w:rFonts w:ascii="Calibri" w:hAnsi="Calibri"/>
          <w:b/>
          <w:color w:val="101828"/>
          <w:sz w:val="21"/>
        </w:rPr>
        <w:t>Where the contracting party sits</w:t>
      </w:r>
      <w:r>
        <w:rPr>
          <w:rFonts w:ascii="Calibri" w:hAnsi="Calibri"/>
          <w:b w:val="0"/>
          <w:i w:val="0"/>
          <w:color w:val="101828"/>
          <w:sz w:val="21"/>
        </w:rPr>
        <w:t xml:space="preserve"> — the member's agreement is with AJO.ng, the payment provider, or both, and this must be unambiguous in the terms.</w:t>
      </w:r>
    </w:p>
    <w:p>
      <w:pPr>
        <w:pStyle w:val="ListBullet"/>
        <w:spacing w:after="60"/>
        <w:ind w:left="360"/>
      </w:pPr>
      <w:r>
        <w:rPr>
          <w:rFonts w:ascii="Calibri" w:hAnsi="Calibri"/>
          <w:b/>
          <w:color w:val="101828"/>
          <w:sz w:val="21"/>
        </w:rPr>
        <w:t>Segregation of funds</w:t>
      </w:r>
      <w:r>
        <w:rPr>
          <w:rFonts w:ascii="Calibri" w:hAnsi="Calibri"/>
          <w:b w:val="0"/>
          <w:i w:val="0"/>
          <w:color w:val="101828"/>
          <w:sz w:val="21"/>
        </w:rPr>
        <w:t xml:space="preserve"> — a design decision with legal consequences. The product already requires separate collection, payout, and operating accounts, which is consistent with a strong position, but the adequacy of that separation must be assessed by counsel.</w:t>
      </w:r>
    </w:p>
    <w:p>
      <w:pPr>
        <w:pStyle w:val="ListBullet"/>
        <w:spacing w:after="60"/>
        <w:ind w:left="360"/>
      </w:pPr>
      <w:r>
        <w:rPr>
          <w:rFonts w:ascii="Calibri" w:hAnsi="Calibri"/>
          <w:b/>
          <w:color w:val="101828"/>
          <w:sz w:val="21"/>
        </w:rPr>
        <w:t>The platform is not the guarantor.</w:t>
      </w:r>
      <w:r>
        <w:rPr>
          <w:rFonts w:ascii="Calibri" w:hAnsi="Calibri"/>
          <w:b w:val="0"/>
          <w:i w:val="0"/>
          <w:color w:val="101828"/>
          <w:sz w:val="21"/>
        </w:rPr>
        <w:t xml:space="preserve"> AJO.ng must never take on the credit risk of a member default, because doing so converts an operating business into a credit business with entirely different capital and regulatory consequences.</w:t>
      </w:r>
    </w:p>
    <w:p>
      <w:pPr>
        <w:pStyle w:val="ListBullet"/>
        <w:spacing w:after="60"/>
        <w:ind w:left="360"/>
      </w:pPr>
      <w:r>
        <w:rPr>
          <w:rFonts w:ascii="Calibri" w:hAnsi="Calibri"/>
          <w:b/>
          <w:color w:val="101828"/>
          <w:sz w:val="21"/>
        </w:rPr>
        <w:t>The organizer is not a party to the financial contract</w:t>
      </w:r>
      <w:r>
        <w:rPr>
          <w:rFonts w:ascii="Calibri" w:hAnsi="Calibri"/>
          <w:b w:val="0"/>
          <w:i w:val="0"/>
          <w:color w:val="101828"/>
          <w:sz w:val="21"/>
        </w:rPr>
        <w:t xml:space="preserve"> between AJO.ng and its members. The organizer facilitates; the platform contracts. This distinction should be explicit in the terms, because ambiguity here is a significant legal exposure.</w:t>
      </w:r>
    </w:p>
    <w:p>
      <w:pPr>
        <w:pStyle w:val="Heading2"/>
      </w:pPr>
      <w:r>
        <w:rPr>
          <w:rFonts w:ascii="Calibri" w:hAnsi="Calibri"/>
          <w:b/>
          <w:i w:val="0"/>
          <w:color w:val="146EF5"/>
          <w:sz w:val="29"/>
        </w:rPr>
        <w:t>24.3 Role obligations</w:t>
      </w:r>
    </w:p>
    <w:p>
      <w:pPr>
        <w:pStyle w:val="Heading3"/>
      </w:pPr>
      <w:r>
        <w:rPr>
          <w:rFonts w:ascii="Calibri" w:hAnsi="Calibri"/>
          <w:b/>
          <w:i w:val="0"/>
          <w:color w:val="0B1F3A"/>
          <w:sz w:val="24"/>
        </w:rPr>
        <w:t>24.3.1 AJO.ng as platform operator</w:t>
      </w:r>
    </w:p>
    <w:p>
      <w:pPr>
        <w:pStyle w:val="ListBullet"/>
        <w:spacing w:after="60"/>
        <w:ind w:left="360"/>
      </w:pPr>
      <w:r>
        <w:rPr>
          <w:rFonts w:ascii="Calibri" w:hAnsi="Calibri"/>
          <w:b w:val="0"/>
          <w:i w:val="0"/>
          <w:color w:val="101828"/>
          <w:sz w:val="21"/>
        </w:rPr>
        <w:t>Customer due diligence on every member before they can hold a payoutable position.</w:t>
      </w:r>
    </w:p>
    <w:p>
      <w:pPr>
        <w:pStyle w:val="ListBullet"/>
        <w:spacing w:after="60"/>
        <w:ind w:left="360"/>
      </w:pPr>
      <w:r>
        <w:rPr>
          <w:rFonts w:ascii="Calibri" w:hAnsi="Calibri"/>
          <w:b w:val="0"/>
          <w:i w:val="0"/>
          <w:color w:val="101828"/>
          <w:sz w:val="21"/>
        </w:rPr>
        <w:t>Record-keeping of transactions, identity verification, and all privileged actions.</w:t>
      </w:r>
    </w:p>
    <w:p>
      <w:pPr>
        <w:pStyle w:val="ListBullet"/>
        <w:spacing w:after="60"/>
        <w:ind w:left="360"/>
      </w:pPr>
      <w:r>
        <w:rPr>
          <w:rFonts w:ascii="Calibri" w:hAnsi="Calibri"/>
          <w:b w:val="0"/>
          <w:i w:val="0"/>
          <w:color w:val="101828"/>
          <w:sz w:val="21"/>
        </w:rPr>
        <w:t>Suspicious activity detection, investigation, and reporting where legally required.</w:t>
      </w:r>
    </w:p>
    <w:p>
      <w:pPr>
        <w:pStyle w:val="ListBullet"/>
        <w:spacing w:after="60"/>
        <w:ind w:left="360"/>
      </w:pPr>
      <w:r>
        <w:rPr>
          <w:rFonts w:ascii="Calibri" w:hAnsi="Calibri"/>
          <w:b w:val="0"/>
          <w:i w:val="0"/>
          <w:color w:val="101828"/>
          <w:sz w:val="21"/>
        </w:rPr>
        <w:t>Sanctions and politically-exposed-person screening.</w:t>
      </w:r>
    </w:p>
    <w:p>
      <w:pPr>
        <w:pStyle w:val="ListBullet"/>
        <w:spacing w:after="60"/>
        <w:ind w:left="360"/>
      </w:pPr>
      <w:r>
        <w:rPr>
          <w:rFonts w:ascii="Calibri" w:hAnsi="Calibri"/>
          <w:b w:val="0"/>
          <w:i w:val="0"/>
          <w:color w:val="101828"/>
          <w:sz w:val="21"/>
        </w:rPr>
        <w:t>Clear, truthful disclosure of the fee, the terms, the risks, and the default policy.</w:t>
      </w:r>
    </w:p>
    <w:p>
      <w:pPr>
        <w:pStyle w:val="ListBullet"/>
        <w:spacing w:after="60"/>
        <w:ind w:left="360"/>
      </w:pPr>
      <w:r>
        <w:rPr>
          <w:rFonts w:ascii="Calibri" w:hAnsi="Calibri"/>
          <w:b w:val="0"/>
          <w:i w:val="0"/>
          <w:color w:val="101828"/>
          <w:sz w:val="21"/>
        </w:rPr>
        <w:t>A functioning complaint process with a published route and a response time.</w:t>
      </w:r>
    </w:p>
    <w:p>
      <w:pPr>
        <w:pStyle w:val="ListBullet"/>
        <w:spacing w:after="60"/>
        <w:ind w:left="360"/>
      </w:pPr>
      <w:r>
        <w:rPr>
          <w:rFonts w:ascii="Calibri" w:hAnsi="Calibri"/>
          <w:b w:val="0"/>
          <w:i w:val="0"/>
          <w:color w:val="101828"/>
          <w:sz w:val="21"/>
        </w:rPr>
        <w:t>Data protection compliance in full.</w:t>
      </w:r>
    </w:p>
    <w:p>
      <w:pPr>
        <w:pStyle w:val="ListBullet"/>
        <w:spacing w:after="60"/>
        <w:ind w:left="360"/>
      </w:pPr>
      <w:r>
        <w:rPr>
          <w:rFonts w:ascii="Calibri" w:hAnsi="Calibri"/>
          <w:b w:val="0"/>
          <w:i w:val="0"/>
          <w:color w:val="101828"/>
          <w:sz w:val="21"/>
        </w:rPr>
        <w:t>Business continuity and incident response, per section 20.6.</w:t>
      </w:r>
    </w:p>
    <w:p>
      <w:pPr>
        <w:pStyle w:val="Heading3"/>
      </w:pPr>
      <w:r>
        <w:rPr>
          <w:rFonts w:ascii="Calibri" w:hAnsi="Calibri"/>
          <w:b/>
          <w:i w:val="0"/>
          <w:color w:val="0B1F3A"/>
          <w:sz w:val="24"/>
        </w:rPr>
        <w:t>24.3.2 The organizer</w:t>
      </w:r>
    </w:p>
    <w:p>
      <w:r>
        <w:rPr>
          <w:rFonts w:ascii="Calibri" w:hAnsi="Calibri"/>
          <w:b w:val="0"/>
          <w:i w:val="0"/>
          <w:color w:val="101828"/>
          <w:sz w:val="21"/>
        </w:rPr>
        <w:t>The organizer performs a genuinely ambiguous function: they bring people together, set the terms, and hold the group together. That is not a regulated activity, and AJO.ng should not present it as one — but the platform must define the role clearly.</w:t>
      </w:r>
    </w:p>
    <w:p>
      <w:pPr>
        <w:pStyle w:val="ListBullet"/>
        <w:spacing w:after="60"/>
        <w:ind w:left="360"/>
      </w:pPr>
      <w:r>
        <w:rPr>
          <w:rFonts w:ascii="Calibri" w:hAnsi="Calibri"/>
          <w:b w:val="0"/>
          <w:i w:val="0"/>
          <w:color w:val="101828"/>
          <w:sz w:val="21"/>
        </w:rPr>
        <w:t xml:space="preserve">The organizer is a </w:t>
      </w:r>
      <w:r>
        <w:rPr>
          <w:rFonts w:ascii="Calibri" w:hAnsi="Calibri"/>
          <w:b/>
          <w:color w:val="101828"/>
          <w:sz w:val="21"/>
        </w:rPr>
        <w:t>facilitator</w:t>
      </w:r>
      <w:r>
        <w:rPr>
          <w:rFonts w:ascii="Calibri" w:hAnsi="Calibri"/>
          <w:b w:val="0"/>
          <w:i w:val="0"/>
          <w:color w:val="101828"/>
          <w:sz w:val="21"/>
        </w:rPr>
        <w:t>, not a trustee, not a custodian, and not a guarantor of member funds.</w:t>
      </w:r>
    </w:p>
    <w:p>
      <w:pPr>
        <w:pStyle w:val="ListBullet"/>
        <w:spacing w:after="60"/>
        <w:ind w:left="360"/>
      </w:pPr>
      <w:r>
        <w:rPr>
          <w:rFonts w:ascii="Calibri" w:hAnsi="Calibri"/>
          <w:b w:val="0"/>
          <w:i w:val="0"/>
          <w:color w:val="101828"/>
          <w:sz w:val="21"/>
        </w:rPr>
        <w:t xml:space="preserve">The organizer </w:t>
      </w:r>
      <w:r>
        <w:rPr>
          <w:rFonts w:ascii="Calibri" w:hAnsi="Calibri"/>
          <w:b/>
          <w:color w:val="101828"/>
          <w:sz w:val="21"/>
        </w:rPr>
        <w:t>never handles member money</w:t>
      </w:r>
      <w:r>
        <w:rPr>
          <w:rFonts w:ascii="Calibri" w:hAnsi="Calibri"/>
          <w:b w:val="0"/>
          <w:i w:val="0"/>
          <w:color w:val="101828"/>
          <w:sz w:val="21"/>
        </w:rPr>
        <w:t>. Contributions are made to AJO.ng; the organizer never collects, holds, forwards, or accounts for it.</w:t>
      </w:r>
    </w:p>
    <w:p>
      <w:pPr>
        <w:pStyle w:val="ListBullet"/>
        <w:spacing w:after="60"/>
        <w:ind w:left="360"/>
      </w:pPr>
      <w:r>
        <w:rPr>
          <w:rFonts w:ascii="Calibri" w:hAnsi="Calibri"/>
          <w:b w:val="0"/>
          <w:i w:val="0"/>
          <w:color w:val="101828"/>
          <w:sz w:val="21"/>
        </w:rPr>
        <w:t xml:space="preserve">The organizer may </w:t>
      </w:r>
      <w:r>
        <w:rPr>
          <w:rFonts w:ascii="Calibri" w:hAnsi="Calibri"/>
          <w:b/>
          <w:color w:val="101828"/>
          <w:sz w:val="21"/>
        </w:rPr>
        <w:t>not charge any fee</w:t>
      </w:r>
      <w:r>
        <w:rPr>
          <w:rFonts w:ascii="Calibri" w:hAnsi="Calibri"/>
          <w:b w:val="0"/>
          <w:i w:val="0"/>
          <w:color w:val="101828"/>
          <w:sz w:val="21"/>
        </w:rPr>
        <w:t>, levy, or 'handling charge' beyond the AJO.ng fee.</w:t>
      </w:r>
    </w:p>
    <w:p>
      <w:pPr>
        <w:pStyle w:val="ListBullet"/>
        <w:spacing w:after="60"/>
        <w:ind w:left="360"/>
      </w:pPr>
      <w:r>
        <w:rPr>
          <w:rFonts w:ascii="Calibri" w:hAnsi="Calibri"/>
          <w:b w:val="0"/>
          <w:i w:val="0"/>
          <w:color w:val="101828"/>
          <w:sz w:val="21"/>
        </w:rPr>
        <w:t xml:space="preserve">The organizer may </w:t>
      </w:r>
      <w:r>
        <w:rPr>
          <w:rFonts w:ascii="Calibri" w:hAnsi="Calibri"/>
          <w:b/>
          <w:color w:val="101828"/>
          <w:sz w:val="21"/>
        </w:rPr>
        <w:t>not request BVN, PIN, or bank credentials from members</w:t>
      </w:r>
      <w:r>
        <w:rPr>
          <w:rFonts w:ascii="Calibri" w:hAnsi="Calibri"/>
          <w:b w:val="0"/>
          <w:i w:val="0"/>
          <w:color w:val="101828"/>
          <w:sz w:val="21"/>
        </w:rPr>
        <w:t>, for any purpose.</w:t>
      </w:r>
    </w:p>
    <w:p>
      <w:pPr>
        <w:pStyle w:val="ListBullet"/>
        <w:spacing w:after="60"/>
        <w:ind w:left="360"/>
      </w:pPr>
      <w:r>
        <w:rPr>
          <w:rFonts w:ascii="Calibri" w:hAnsi="Calibri"/>
          <w:b w:val="0"/>
          <w:i w:val="0"/>
          <w:color w:val="101828"/>
          <w:sz w:val="21"/>
        </w:rPr>
        <w:t xml:space="preserve">The organizer may </w:t>
      </w:r>
      <w:r>
        <w:rPr>
          <w:rFonts w:ascii="Calibri" w:hAnsi="Calibri"/>
          <w:b/>
          <w:color w:val="101828"/>
          <w:sz w:val="21"/>
        </w:rPr>
        <w:t>not remove a member after activation</w:t>
      </w:r>
      <w:r>
        <w:rPr>
          <w:rFonts w:ascii="Calibri" w:hAnsi="Calibri"/>
          <w:b w:val="0"/>
          <w:i w:val="0"/>
          <w:color w:val="101828"/>
          <w:sz w:val="21"/>
        </w:rPr>
        <w:t>, because that would affect committed funds.</w:t>
      </w:r>
    </w:p>
    <w:p>
      <w:pPr>
        <w:pStyle w:val="ListBullet"/>
        <w:spacing w:after="60"/>
        <w:ind w:left="360"/>
      </w:pPr>
      <w:r>
        <w:rPr>
          <w:rFonts w:ascii="Calibri" w:hAnsi="Calibri"/>
          <w:b w:val="0"/>
          <w:i w:val="0"/>
          <w:color w:val="101828"/>
          <w:sz w:val="21"/>
        </w:rPr>
        <w:t xml:space="preserve">The organizer may </w:t>
      </w:r>
      <w:r>
        <w:rPr>
          <w:rFonts w:ascii="Calibri" w:hAnsi="Calibri"/>
          <w:b/>
          <w:color w:val="101828"/>
          <w:sz w:val="21"/>
        </w:rPr>
        <w:t>not communicate about money outside AJO.ng</w:t>
      </w:r>
      <w:r>
        <w:rPr>
          <w:rFonts w:ascii="Calibri" w:hAnsi="Calibri"/>
          <w:b w:val="0"/>
          <w:i w:val="0"/>
          <w:color w:val="101828"/>
          <w:sz w:val="21"/>
        </w:rPr>
        <w:t>, which is both a control and a legal boundary.</w:t>
      </w:r>
    </w:p>
    <w:p>
      <w:pPr>
        <w:pStyle w:val="ListBullet"/>
        <w:spacing w:after="60"/>
        <w:ind w:left="360"/>
      </w:pPr>
      <w:r>
        <w:rPr>
          <w:rFonts w:ascii="Calibri" w:hAnsi="Calibri"/>
          <w:b w:val="0"/>
          <w:i w:val="0"/>
          <w:color w:val="101828"/>
          <w:sz w:val="21"/>
        </w:rPr>
        <w:t>The organizer is bound by the Ajo rules, the platform terms, and a specific role agreement.</w:t>
      </w:r>
    </w:p>
    <w:p>
      <w:pPr>
        <w:spacing w:before="140" w:after="180"/>
        <w:ind w:left="144"/>
        <w:shd w:val="clear" w:color="auto" w:fill="FEF3C7"/>
        <w:pBdr>
          <w:left w:val="single" w:sz="18" w:space="6" w:color="FBBF24"/>
        </w:pBdr>
      </w:pPr>
      <w:r>
        <w:rPr>
          <w:rFonts w:ascii="Calibri" w:hAnsi="Calibri"/>
          <w:b/>
          <w:color w:val="FBBF24"/>
          <w:sz w:val="19"/>
        </w:rPr>
        <w:t xml:space="preserve">The organizer is the platform's biggest unmanaged risk.  </w:t>
      </w:r>
      <w:r>
        <w:rPr>
          <w:rFonts w:ascii="Calibri" w:hAnsi="Calibri"/>
          <w:b w:val="0"/>
          <w:i w:val="0"/>
          <w:color w:val="0B1F3A"/>
          <w:sz w:val="19"/>
        </w:rPr>
        <w:t>Every serious failure mode that does not involve a technical breach involves a human being inside an Ajo. A member who believes the organizer is acting for AJO.ng will do what the organizer asks. AJO.ng's defence is not technical — it is a clearly written role agreement, unambiguous in-product communication about what the organizer can and cannot do, a visible reporting channel, and a risk process that treats organizer behaviour as a first-class risk category rather than a support ticket.</w:t>
      </w:r>
    </w:p>
    <w:p>
      <w:pPr>
        <w:pStyle w:val="Heading2"/>
      </w:pPr>
      <w:r>
        <w:rPr>
          <w:rFonts w:ascii="Calibri" w:hAnsi="Calibri"/>
          <w:b/>
          <w:i w:val="0"/>
          <w:color w:val="146EF5"/>
          <w:sz w:val="29"/>
        </w:rPr>
        <w:t>24.4 Consumer protection</w:t>
      </w:r>
    </w:p>
    <w:p>
      <w:pPr>
        <w:pStyle w:val="ListBullet"/>
        <w:spacing w:after="60"/>
        <w:ind w:left="360"/>
      </w:pPr>
      <w:r>
        <w:rPr>
          <w:rFonts w:ascii="Calibri" w:hAnsi="Calibri"/>
          <w:b/>
          <w:color w:val="101828"/>
          <w:sz w:val="21"/>
        </w:rPr>
        <w:t>Transparent fees</w:t>
      </w:r>
      <w:r>
        <w:rPr>
          <w:rFonts w:ascii="Calibri" w:hAnsi="Calibri"/>
          <w:b w:val="0"/>
          <w:i w:val="0"/>
          <w:color w:val="101828"/>
          <w:sz w:val="21"/>
        </w:rPr>
        <w:t xml:space="preserve"> — the 2% service fee must be disclosed before every payment, in plain language, and in the terms. It must never be presented as a percentage of what the member receives.</w:t>
      </w:r>
    </w:p>
    <w:p>
      <w:pPr>
        <w:pStyle w:val="ListBullet"/>
        <w:spacing w:after="60"/>
        <w:ind w:left="360"/>
      </w:pPr>
      <w:r>
        <w:rPr>
          <w:rFonts w:ascii="Calibri" w:hAnsi="Calibri"/>
          <w:b/>
          <w:color w:val="101828"/>
          <w:sz w:val="21"/>
        </w:rPr>
        <w:t>No hidden charges</w:t>
      </w:r>
      <w:r>
        <w:rPr>
          <w:rFonts w:ascii="Calibri" w:hAnsi="Calibri"/>
          <w:b w:val="0"/>
          <w:i w:val="0"/>
          <w:color w:val="101828"/>
          <w:sz w:val="21"/>
        </w:rPr>
        <w:t xml:space="preserve"> — a member may never be charged anything beyond the stated fee. Any future change to the fee must be communicated in advance and never applied retrospectively to an active Ajo.</w:t>
      </w:r>
    </w:p>
    <w:p>
      <w:pPr>
        <w:pStyle w:val="ListBullet"/>
        <w:spacing w:after="60"/>
        <w:ind w:left="360"/>
      </w:pPr>
      <w:r>
        <w:rPr>
          <w:rFonts w:ascii="Calibri" w:hAnsi="Calibri"/>
          <w:b/>
          <w:color w:val="101828"/>
          <w:sz w:val="21"/>
        </w:rPr>
        <w:t>Fair treatment</w:t>
      </w:r>
      <w:r>
        <w:rPr>
          <w:rFonts w:ascii="Calibri" w:hAnsi="Calibri"/>
          <w:b w:val="0"/>
          <w:i w:val="0"/>
          <w:color w:val="101828"/>
          <w:sz w:val="21"/>
        </w:rPr>
        <w:t xml:space="preserve"> — no discrimination on any basis, and no differential pricing. The fee is the same for every member regardless of amount, which is both simpler and fairer than a tiered structure.</w:t>
      </w:r>
    </w:p>
    <w:p>
      <w:pPr>
        <w:pStyle w:val="ListBullet"/>
        <w:spacing w:after="60"/>
        <w:ind w:left="360"/>
      </w:pPr>
      <w:r>
        <w:rPr>
          <w:rFonts w:ascii="Calibri" w:hAnsi="Calibri"/>
          <w:b/>
          <w:color w:val="101828"/>
          <w:sz w:val="21"/>
        </w:rPr>
        <w:t>Access to one's own money</w:t>
      </w:r>
      <w:r>
        <w:rPr>
          <w:rFonts w:ascii="Calibri" w:hAnsi="Calibri"/>
          <w:b w:val="0"/>
          <w:i w:val="0"/>
          <w:color w:val="101828"/>
          <w:sz w:val="21"/>
        </w:rPr>
        <w:t xml:space="preserve"> — a member must be able to reach their funds without unreasonable friction. A payout delay beyond the stated window is a consumer harm even when the money is coming.</w:t>
      </w:r>
    </w:p>
    <w:p>
      <w:pPr>
        <w:pStyle w:val="ListBullet"/>
        <w:spacing w:after="60"/>
        <w:ind w:left="360"/>
      </w:pPr>
      <w:r>
        <w:rPr>
          <w:rFonts w:ascii="Calibri" w:hAnsi="Calibri"/>
          <w:b/>
          <w:color w:val="101828"/>
          <w:sz w:val="21"/>
        </w:rPr>
        <w:t>Complaint handling</w:t>
      </w:r>
      <w:r>
        <w:rPr>
          <w:rFonts w:ascii="Calibri" w:hAnsi="Calibri"/>
          <w:b w:val="0"/>
          <w:i w:val="0"/>
          <w:color w:val="101828"/>
          <w:sz w:val="21"/>
        </w:rPr>
        <w:t xml:space="preserve"> — a published process, a reference number, a named owner, and a response time. A member who cannot find out what happened to a complaint will assume the worst and will be right often enough to be believed.</w:t>
      </w:r>
    </w:p>
    <w:p>
      <w:pPr>
        <w:pStyle w:val="ListBullet"/>
        <w:spacing w:after="60"/>
        <w:ind w:left="360"/>
      </w:pPr>
      <w:r>
        <w:rPr>
          <w:rFonts w:ascii="Calibri" w:hAnsi="Calibri"/>
          <w:b/>
          <w:color w:val="101828"/>
          <w:sz w:val="21"/>
        </w:rPr>
        <w:t>Default handling must be fair</w:t>
      </w:r>
      <w:r>
        <w:rPr>
          <w:rFonts w:ascii="Calibri" w:hAnsi="Calibri"/>
          <w:b w:val="0"/>
          <w:i w:val="0"/>
          <w:color w:val="101828"/>
          <w:sz w:val="21"/>
        </w:rPr>
        <w:t xml:space="preserve"> — a default is a missed contribution, not a moral failing. The grace period, the recovery offer, and the rule against shaming other members (BR-018, BR-019) are consumer protections as much as product decisions.</w:t>
      </w:r>
    </w:p>
    <w:p>
      <w:pPr>
        <w:pStyle w:val="Heading2"/>
      </w:pPr>
      <w:r>
        <w:rPr>
          <w:rFonts w:ascii="Calibri" w:hAnsi="Calibri"/>
          <w:b/>
          <w:i w:val="0"/>
          <w:color w:val="146EF5"/>
          <w:sz w:val="29"/>
        </w:rPr>
        <w:t>24.5 AML and KYC obligations</w:t>
      </w:r>
    </w:p>
    <w:p>
      <w:r>
        <w:rPr>
          <w:rFonts w:ascii="Calibri" w:hAnsi="Calibri"/>
          <w:b w:val="0"/>
          <w:i w:val="0"/>
          <w:color w:val="101828"/>
          <w:sz w:val="21"/>
        </w:rPr>
        <w:t>AJO.ng will be subject to anti-money-laundering obligations to some degree, and the extent of those obligations depends on the business characterisation determined in 24.1. The platform should be built to meet the higher standard, because retrofitting compliance under regulatory pressure is far harder and more expensive than building it in.</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Obligation</w:t>
            </w:r>
          </w:p>
        </w:tc>
        <w:tc>
          <w:tcPr>
            <w:tcW w:type="dxa" w:w="4896"/>
            <w:shd w:val="clear" w:color="auto" w:fill="0B1F3A"/>
            <w:tcMar>
              <w:top w:w="60" w:type="dxa"/>
              <w:start w:w="110" w:type="dxa"/>
              <w:bottom w:w="60" w:type="dxa"/>
              <w:end w:w="110" w:type="dxa"/>
            </w:tcMar>
          </w:tcPr>
          <w:p>
            <w:pPr>
              <w:spacing w:after="0"/>
            </w:pPr>
            <w:r/>
            <w:r>
              <w:rPr>
                <w:rFonts w:ascii="Calibri" w:hAnsi="Calibri"/>
                <w:b/>
                <w:i w:val="0"/>
                <w:color w:val="FFFFFF"/>
                <w:sz w:val="16"/>
              </w:rPr>
              <w:t>What it means here</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Status</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Customer due diligence</w:t>
            </w:r>
          </w:p>
        </w:tc>
        <w:tc>
          <w:tcPr>
            <w:tcW w:type="dxa" w:w="4896"/>
            <w:tcMar>
              <w:top w:w="60" w:type="dxa"/>
              <w:start w:w="110" w:type="dxa"/>
              <w:bottom w:w="60" w:type="dxa"/>
              <w:end w:w="110" w:type="dxa"/>
            </w:tcMar>
          </w:tcPr>
          <w:p>
            <w:pPr>
              <w:spacing w:after="0"/>
            </w:pPr>
            <w:r/>
            <w:r>
              <w:rPr>
                <w:rFonts w:ascii="Calibri" w:hAnsi="Calibri"/>
                <w:b w:val="0"/>
                <w:i w:val="0"/>
                <w:color w:val="101828"/>
                <w:sz w:val="16"/>
              </w:rPr>
              <w:t>Verify identity before a member can receive a payout. Risk-based, proportionate to the member's activity</w:t>
            </w:r>
          </w:p>
        </w:tc>
        <w:tc>
          <w:tcPr>
            <w:tcW w:type="dxa" w:w="2304"/>
            <w:tcMar>
              <w:top w:w="60" w:type="dxa"/>
              <w:start w:w="110" w:type="dxa"/>
              <w:bottom w:w="60" w:type="dxa"/>
              <w:end w:w="110" w:type="dxa"/>
            </w:tcMar>
          </w:tcPr>
          <w:p>
            <w:pPr>
              <w:spacing w:after="0"/>
            </w:pPr>
            <w:r/>
            <w:r>
              <w:rPr>
                <w:rFonts w:ascii="Calibri" w:hAnsi="Calibri"/>
                <w:b w:val="0"/>
                <w:i w:val="0"/>
                <w:color w:val="101828"/>
                <w:sz w:val="16"/>
              </w:rPr>
              <w:t>Design defined; provider-dependent</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Beneficial ownership</w:t>
            </w:r>
          </w:p>
        </w:tc>
        <w:tc>
          <w:tcPr>
            <w:tcW w:type="dxa" w:w="4896"/>
            <w:tcMar>
              <w:top w:w="60" w:type="dxa"/>
              <w:start w:w="110" w:type="dxa"/>
              <w:bottom w:w="60" w:type="dxa"/>
              <w:end w:w="110" w:type="dxa"/>
            </w:tcMar>
            <w:shd w:val="clear" w:color="auto" w:fill="F4F7FB"/>
          </w:tcPr>
          <w:p>
            <w:pPr>
              <w:spacing w:after="0"/>
            </w:pPr>
            <w:r/>
            <w:r>
              <w:rPr>
                <w:rFonts w:ascii="Calibri" w:hAnsi="Calibri"/>
                <w:b w:val="0"/>
                <w:i w:val="0"/>
                <w:color w:val="101828"/>
                <w:sz w:val="16"/>
              </w:rPr>
              <w:t>Identify and verify who ultimately owns or controls a member account</w:t>
            </w:r>
          </w:p>
        </w:tc>
        <w:tc>
          <w:tcPr>
            <w:tcW w:type="dxa" w:w="2304"/>
            <w:tcMar>
              <w:top w:w="60" w:type="dxa"/>
              <w:start w:w="110" w:type="dxa"/>
              <w:bottom w:w="60" w:type="dxa"/>
              <w:end w:w="110" w:type="dxa"/>
            </w:tcMar>
            <w:shd w:val="clear" w:color="auto" w:fill="F4F7FB"/>
          </w:tcPr>
          <w:p>
            <w:pPr>
              <w:spacing w:after="0"/>
            </w:pPr>
            <w:r/>
            <w:r>
              <w:rPr>
                <w:rFonts w:ascii="Calibri" w:hAnsi="Calibri"/>
                <w:b/>
                <w:color w:val="101828"/>
                <w:sz w:val="16"/>
              </w:rPr>
              <w:t>Legal determination required</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Enhanced due diligence</w:t>
            </w:r>
          </w:p>
        </w:tc>
        <w:tc>
          <w:tcPr>
            <w:tcW w:type="dxa" w:w="4896"/>
            <w:tcMar>
              <w:top w:w="60" w:type="dxa"/>
              <w:start w:w="110" w:type="dxa"/>
              <w:bottom w:w="60" w:type="dxa"/>
              <w:end w:w="110" w:type="dxa"/>
            </w:tcMar>
          </w:tcPr>
          <w:p>
            <w:pPr>
              <w:spacing w:after="0"/>
            </w:pPr>
            <w:r/>
            <w:r>
              <w:rPr>
                <w:rFonts w:ascii="Calibri" w:hAnsi="Calibri"/>
                <w:b w:val="0"/>
                <w:i w:val="0"/>
                <w:color w:val="101828"/>
                <w:sz w:val="16"/>
              </w:rPr>
              <w:t>Additional checks for higher-risk members: large contributors, politically exposed persons, complex structures</w:t>
            </w:r>
          </w:p>
        </w:tc>
        <w:tc>
          <w:tcPr>
            <w:tcW w:type="dxa" w:w="2304"/>
            <w:tcMar>
              <w:top w:w="60" w:type="dxa"/>
              <w:start w:w="110" w:type="dxa"/>
              <w:bottom w:w="60" w:type="dxa"/>
              <w:end w:w="110" w:type="dxa"/>
            </w:tcMar>
          </w:tcPr>
          <w:p>
            <w:pPr>
              <w:spacing w:after="0"/>
            </w:pPr>
            <w:r/>
            <w:r>
              <w:rPr>
                <w:rFonts w:ascii="Calibri" w:hAnsi="Calibri"/>
                <w:b/>
                <w:color w:val="101828"/>
                <w:sz w:val="16"/>
              </w:rPr>
              <w:t>Legal determination required</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Sanctions screening</w:t>
            </w:r>
          </w:p>
        </w:tc>
        <w:tc>
          <w:tcPr>
            <w:tcW w:type="dxa" w:w="4896"/>
            <w:tcMar>
              <w:top w:w="60" w:type="dxa"/>
              <w:start w:w="110" w:type="dxa"/>
              <w:bottom w:w="60" w:type="dxa"/>
              <w:end w:w="110" w:type="dxa"/>
            </w:tcMar>
            <w:shd w:val="clear" w:color="auto" w:fill="F4F7FB"/>
          </w:tcPr>
          <w:p>
            <w:pPr>
              <w:spacing w:after="0"/>
            </w:pPr>
            <w:r/>
            <w:r>
              <w:rPr>
                <w:rFonts w:ascii="Calibri" w:hAnsi="Calibri"/>
                <w:b w:val="0"/>
                <w:i w:val="0"/>
                <w:color w:val="101828"/>
                <w:sz w:val="16"/>
              </w:rPr>
              <w:t>Check every member against applicable sanctions lists, at onboarding, on payout, and periodically</w:t>
            </w:r>
          </w:p>
        </w:tc>
        <w:tc>
          <w:tcPr>
            <w:tcW w:type="dxa" w:w="2304"/>
            <w:tcMar>
              <w:top w:w="60" w:type="dxa"/>
              <w:start w:w="110" w:type="dxa"/>
              <w:bottom w:w="60" w:type="dxa"/>
              <w:end w:w="110" w:type="dxa"/>
            </w:tcMar>
            <w:shd w:val="clear" w:color="auto" w:fill="F4F7FB"/>
          </w:tcPr>
          <w:p>
            <w:pPr>
              <w:spacing w:after="0"/>
            </w:pPr>
            <w:r/>
            <w:r>
              <w:rPr>
                <w:rFonts w:ascii="Calibri" w:hAnsi="Calibri"/>
                <w:b/>
                <w:color w:val="101828"/>
                <w:sz w:val="16"/>
              </w:rPr>
              <w:t>Requires a licensed screening provider</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Transaction monitoring</w:t>
            </w:r>
          </w:p>
        </w:tc>
        <w:tc>
          <w:tcPr>
            <w:tcW w:type="dxa" w:w="4896"/>
            <w:tcMar>
              <w:top w:w="60" w:type="dxa"/>
              <w:start w:w="110" w:type="dxa"/>
              <w:bottom w:w="60" w:type="dxa"/>
              <w:end w:w="110" w:type="dxa"/>
            </w:tcMar>
          </w:tcPr>
          <w:p>
            <w:pPr>
              <w:spacing w:after="0"/>
            </w:pPr>
            <w:r/>
            <w:r>
              <w:rPr>
                <w:rFonts w:ascii="Calibri" w:hAnsi="Calibri"/>
                <w:b w:val="0"/>
                <w:i w:val="0"/>
                <w:color w:val="101828"/>
                <w:sz w:val="16"/>
              </w:rPr>
              <w:t>The risk engine, plus aggregation across accounts. Per-transaction thresholds alone are insufficient</w:t>
            </w:r>
          </w:p>
        </w:tc>
        <w:tc>
          <w:tcPr>
            <w:tcW w:type="dxa" w:w="2304"/>
            <w:tcMar>
              <w:top w:w="60" w:type="dxa"/>
              <w:start w:w="110" w:type="dxa"/>
              <w:bottom w:w="60" w:type="dxa"/>
              <w:end w:w="110" w:type="dxa"/>
            </w:tcMar>
          </w:tcPr>
          <w:p>
            <w:pPr>
              <w:spacing w:after="0"/>
            </w:pPr>
            <w:r/>
            <w:r>
              <w:rPr>
                <w:rFonts w:ascii="Calibri" w:hAnsi="Calibri"/>
                <w:b w:val="0"/>
                <w:i w:val="0"/>
                <w:color w:val="101828"/>
                <w:sz w:val="16"/>
              </w:rPr>
              <w:t>Designed in section 15</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Record keeping</w:t>
            </w:r>
          </w:p>
        </w:tc>
        <w:tc>
          <w:tcPr>
            <w:tcW w:type="dxa" w:w="4896"/>
            <w:tcMar>
              <w:top w:w="60" w:type="dxa"/>
              <w:start w:w="110" w:type="dxa"/>
              <w:bottom w:w="60" w:type="dxa"/>
              <w:end w:w="110" w:type="dxa"/>
            </w:tcMar>
            <w:shd w:val="clear" w:color="auto" w:fill="F4F7FB"/>
          </w:tcPr>
          <w:p>
            <w:pPr>
              <w:spacing w:after="0"/>
            </w:pPr>
            <w:r/>
            <w:r>
              <w:rPr>
                <w:rFonts w:ascii="Calibri" w:hAnsi="Calibri"/>
                <w:b w:val="0"/>
                <w:i w:val="0"/>
                <w:color w:val="101828"/>
                <w:sz w:val="16"/>
              </w:rPr>
              <w:t>Identity records, transaction records, and monitoring records for the statutory period</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Periods to be confirmed</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Suspicious activity reporting</w:t>
            </w:r>
          </w:p>
        </w:tc>
        <w:tc>
          <w:tcPr>
            <w:tcW w:type="dxa" w:w="4896"/>
            <w:tcMar>
              <w:top w:w="60" w:type="dxa"/>
              <w:start w:w="110" w:type="dxa"/>
              <w:bottom w:w="60" w:type="dxa"/>
              <w:end w:w="110" w:type="dxa"/>
            </w:tcMar>
          </w:tcPr>
          <w:p>
            <w:pPr>
              <w:spacing w:after="0"/>
            </w:pPr>
            <w:r/>
            <w:r>
              <w:rPr>
                <w:rFonts w:ascii="Calibri" w:hAnsi="Calibri"/>
                <w:b w:val="0"/>
                <w:i w:val="0"/>
                <w:color w:val="101828"/>
                <w:sz w:val="16"/>
              </w:rPr>
              <w:t>Report to the FIU within the statutory deadline, with a complete internal case file</w:t>
            </w:r>
          </w:p>
        </w:tc>
        <w:tc>
          <w:tcPr>
            <w:tcW w:type="dxa" w:w="2304"/>
            <w:tcMar>
              <w:top w:w="60" w:type="dxa"/>
              <w:start w:w="110" w:type="dxa"/>
              <w:bottom w:w="60" w:type="dxa"/>
              <w:end w:w="110" w:type="dxa"/>
            </w:tcMar>
          </w:tcPr>
          <w:p>
            <w:pPr>
              <w:spacing w:after="0"/>
            </w:pPr>
            <w:r/>
            <w:r>
              <w:rPr>
                <w:rFonts w:ascii="Calibri" w:hAnsi="Calibri"/>
                <w:b/>
                <w:color w:val="101828"/>
                <w:sz w:val="16"/>
              </w:rPr>
              <w:t>Deadline and format require counsel</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Sanctions reporting</w:t>
            </w:r>
          </w:p>
        </w:tc>
        <w:tc>
          <w:tcPr>
            <w:tcW w:type="dxa" w:w="4896"/>
            <w:tcMar>
              <w:top w:w="60" w:type="dxa"/>
              <w:start w:w="110" w:type="dxa"/>
              <w:bottom w:w="60" w:type="dxa"/>
              <w:end w:w="110" w:type="dxa"/>
            </w:tcMar>
            <w:shd w:val="clear" w:color="auto" w:fill="F4F7FB"/>
          </w:tcPr>
          <w:p>
            <w:pPr>
              <w:spacing w:after="0"/>
            </w:pPr>
            <w:r/>
            <w:r>
              <w:rPr>
                <w:rFonts w:ascii="Calibri" w:hAnsi="Calibri"/>
                <w:b w:val="0"/>
                <w:i w:val="0"/>
                <w:color w:val="101828"/>
                <w:sz w:val="16"/>
              </w:rPr>
              <w:t>Report breaches of sanctions immediately</w:t>
            </w:r>
          </w:p>
        </w:tc>
        <w:tc>
          <w:tcPr>
            <w:tcW w:type="dxa" w:w="2304"/>
            <w:tcMar>
              <w:top w:w="60" w:type="dxa"/>
              <w:start w:w="110" w:type="dxa"/>
              <w:bottom w:w="60" w:type="dxa"/>
              <w:end w:w="110" w:type="dxa"/>
            </w:tcMar>
            <w:shd w:val="clear" w:color="auto" w:fill="F4F7FB"/>
          </w:tcPr>
          <w:p>
            <w:pPr>
              <w:spacing w:after="0"/>
            </w:pPr>
            <w:r/>
            <w:r>
              <w:rPr>
                <w:rFonts w:ascii="Calibri" w:hAnsi="Calibri"/>
                <w:b/>
                <w:color w:val="101828"/>
                <w:sz w:val="16"/>
              </w:rPr>
              <w:t>Legal determination required</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Training</w:t>
            </w:r>
          </w:p>
        </w:tc>
        <w:tc>
          <w:tcPr>
            <w:tcW w:type="dxa" w:w="4896"/>
            <w:tcMar>
              <w:top w:w="60" w:type="dxa"/>
              <w:start w:w="110" w:type="dxa"/>
              <w:bottom w:w="60" w:type="dxa"/>
              <w:end w:w="110" w:type="dxa"/>
            </w:tcMar>
          </w:tcPr>
          <w:p>
            <w:pPr>
              <w:spacing w:after="0"/>
            </w:pPr>
            <w:r/>
            <w:r>
              <w:rPr>
                <w:rFonts w:ascii="Calibri" w:hAnsi="Calibri"/>
                <w:b w:val="0"/>
                <w:i w:val="0"/>
                <w:color w:val="101828"/>
                <w:sz w:val="16"/>
              </w:rPr>
              <w:t>Staff training on AML obligations, and a named money laundering reporting officer if required</w:t>
            </w:r>
          </w:p>
        </w:tc>
        <w:tc>
          <w:tcPr>
            <w:tcW w:type="dxa" w:w="2304"/>
            <w:tcMar>
              <w:top w:w="60" w:type="dxa"/>
              <w:start w:w="110" w:type="dxa"/>
              <w:bottom w:w="60" w:type="dxa"/>
              <w:end w:w="110" w:type="dxa"/>
            </w:tcMar>
          </w:tcPr>
          <w:p>
            <w:pPr>
              <w:spacing w:after="0"/>
            </w:pPr>
            <w:r/>
            <w:r>
              <w:rPr>
                <w:rFonts w:ascii="Calibri" w:hAnsi="Calibri"/>
                <w:b/>
                <w:color w:val="101828"/>
                <w:sz w:val="16"/>
              </w:rPr>
              <w:t>Role requirement to be confirmed</w:t>
            </w:r>
          </w:p>
        </w:tc>
      </w:tr>
    </w:tbl>
    <w:p>
      <w:pPr>
        <w:spacing w:after="80"/>
      </w:pPr>
    </w:p>
    <w:p>
      <w:pPr>
        <w:spacing w:before="140" w:after="180"/>
        <w:ind w:left="144"/>
        <w:shd w:val="clear" w:color="auto" w:fill="FEE2E2"/>
        <w:pBdr>
          <w:left w:val="single" w:sz="18" w:space="6" w:color="DC2626"/>
        </w:pBdr>
      </w:pPr>
      <w:r>
        <w:rPr>
          <w:rFonts w:ascii="Calibri" w:hAnsi="Calibri"/>
          <w:b/>
          <w:color w:val="DC2626"/>
          <w:sz w:val="19"/>
        </w:rPr>
        <w:t xml:space="preserve">AJO.ng does not move money on behalf of members.  </w:t>
      </w:r>
      <w:r>
        <w:rPr>
          <w:rFonts w:ascii="Calibri" w:hAnsi="Calibri"/>
          <w:b w:val="0"/>
          <w:i w:val="0"/>
          <w:color w:val="0B1F3A"/>
          <w:sz w:val="19"/>
        </w:rPr>
        <w:t>A large part of the compliance burden in a payments business comes from moving money for customers. AJO.ng's design keeps that boundary clear: contributions buy a rotating savings position, and the payout returns the member's own money rather than sending funds to a third party on someone's instruction. Whether that framing holds legally, and what obligations follow from it, is a question for counsel — and it is one of the most important questions in this section.</w:t>
      </w:r>
    </w:p>
    <w:p>
      <w:pPr>
        <w:pStyle w:val="Heading2"/>
      </w:pPr>
      <w:r>
        <w:rPr>
          <w:rFonts w:ascii="Calibri" w:hAnsi="Calibri"/>
          <w:b/>
          <w:i w:val="0"/>
          <w:color w:val="146EF5"/>
          <w:sz w:val="29"/>
        </w:rPr>
        <w:t>24.6 Data protection</w:t>
      </w:r>
    </w:p>
    <w:p>
      <w:r>
        <w:rPr>
          <w:rFonts w:ascii="Calibri" w:hAnsi="Calibri"/>
          <w:b w:val="0"/>
          <w:i w:val="0"/>
          <w:color w:val="101828"/>
          <w:sz w:val="21"/>
        </w:rPr>
        <w:t>The technical controls are specified in section 14. The legal requirements are specified here, and the overlap between the two is where most compliance failures occur — a system can be technically secure and still unlawful because the lawful basis for processing was never established.</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Requirement</w:t>
            </w:r>
          </w:p>
        </w:tc>
        <w:tc>
          <w:tcPr>
            <w:tcW w:type="dxa" w:w="4896"/>
            <w:shd w:val="clear" w:color="auto" w:fill="0B1F3A"/>
            <w:tcMar>
              <w:top w:w="60" w:type="dxa"/>
              <w:start w:w="110" w:type="dxa"/>
              <w:bottom w:w="60" w:type="dxa"/>
              <w:end w:w="110" w:type="dxa"/>
            </w:tcMar>
          </w:tcPr>
          <w:p>
            <w:pPr>
              <w:spacing w:after="0"/>
            </w:pPr>
            <w:r/>
            <w:r>
              <w:rPr>
                <w:rFonts w:ascii="Calibri" w:hAnsi="Calibri"/>
                <w:b/>
                <w:i w:val="0"/>
                <w:color w:val="FFFFFF"/>
                <w:sz w:val="16"/>
              </w:rPr>
              <w:t>How AJO.ng addresses it</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Open item</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Lawful basis for each processing purpose</w:t>
            </w:r>
          </w:p>
        </w:tc>
        <w:tc>
          <w:tcPr>
            <w:tcW w:type="dxa" w:w="4896"/>
            <w:tcMar>
              <w:top w:w="60" w:type="dxa"/>
              <w:start w:w="110" w:type="dxa"/>
              <w:bottom w:w="60" w:type="dxa"/>
              <w:end w:w="110" w:type="dxa"/>
            </w:tcMar>
          </w:tcPr>
          <w:p>
            <w:pPr>
              <w:spacing w:after="0"/>
            </w:pPr>
            <w:r/>
            <w:r>
              <w:rPr>
                <w:rFonts w:ascii="Calibri" w:hAnsi="Calibri"/>
                <w:b w:val="0"/>
                <w:i w:val="0"/>
                <w:color w:val="101828"/>
                <w:sz w:val="16"/>
              </w:rPr>
              <w:t>Contract necessity for operation; consent for marketing; legitimate interests for fraud prevention, with a balancing assessment</w:t>
            </w:r>
          </w:p>
        </w:tc>
        <w:tc>
          <w:tcPr>
            <w:tcW w:type="dxa" w:w="2304"/>
            <w:tcMar>
              <w:top w:w="60" w:type="dxa"/>
              <w:start w:w="110" w:type="dxa"/>
              <w:bottom w:w="60" w:type="dxa"/>
              <w:end w:w="110" w:type="dxa"/>
            </w:tcMar>
          </w:tcPr>
          <w:p>
            <w:pPr>
              <w:spacing w:after="0"/>
            </w:pPr>
            <w:r/>
            <w:r>
              <w:rPr>
                <w:rFonts w:ascii="Calibri" w:hAnsi="Calibri"/>
                <w:b/>
                <w:color w:val="101828"/>
                <w:sz w:val="16"/>
              </w:rPr>
              <w:t>Confirm each basis formally</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Consent, freely given and informed</w:t>
            </w:r>
          </w:p>
        </w:tc>
        <w:tc>
          <w:tcPr>
            <w:tcW w:type="dxa" w:w="4896"/>
            <w:tcMar>
              <w:top w:w="60" w:type="dxa"/>
              <w:start w:w="110" w:type="dxa"/>
              <w:bottom w:w="60" w:type="dxa"/>
              <w:end w:w="110" w:type="dxa"/>
            </w:tcMar>
            <w:shd w:val="clear" w:color="auto" w:fill="F4F7FB"/>
          </w:tcPr>
          <w:p>
            <w:pPr>
              <w:spacing w:after="0"/>
            </w:pPr>
            <w:r/>
            <w:r>
              <w:rPr>
                <w:rFonts w:ascii="Calibri" w:hAnsi="Calibri"/>
                <w:b w:val="0"/>
                <w:i w:val="0"/>
                <w:color w:val="101828"/>
                <w:sz w:val="16"/>
              </w:rPr>
              <w:t>Explicit opt-in with an unlinked accept and reject. No pre-ticked boxes. No service degradation on refusal</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Consent copy to be drafted</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Data minimisation</w:t>
            </w:r>
          </w:p>
        </w:tc>
        <w:tc>
          <w:tcPr>
            <w:tcW w:type="dxa" w:w="4896"/>
            <w:tcMar>
              <w:top w:w="60" w:type="dxa"/>
              <w:start w:w="110" w:type="dxa"/>
              <w:bottom w:w="60" w:type="dxa"/>
              <w:end w:w="110" w:type="dxa"/>
            </w:tcMar>
          </w:tcPr>
          <w:p>
            <w:pPr>
              <w:spacing w:after="0"/>
            </w:pPr>
            <w:r/>
            <w:r>
              <w:rPr>
                <w:rFonts w:ascii="Calibri" w:hAnsi="Calibri"/>
                <w:b w:val="0"/>
                <w:i w:val="0"/>
                <w:color w:val="101828"/>
                <w:sz w:val="16"/>
              </w:rPr>
              <w:t>Only fields with a confirmed requirement are collected, including BVN</w:t>
            </w:r>
          </w:p>
        </w:tc>
        <w:tc>
          <w:tcPr>
            <w:tcW w:type="dxa" w:w="2304"/>
            <w:tcMar>
              <w:top w:w="60" w:type="dxa"/>
              <w:start w:w="110" w:type="dxa"/>
              <w:bottom w:w="60" w:type="dxa"/>
              <w:end w:w="110" w:type="dxa"/>
            </w:tcMar>
          </w:tcPr>
          <w:p>
            <w:pPr>
              <w:spacing w:after="0"/>
            </w:pPr>
            <w:r/>
            <w:r>
              <w:rPr>
                <w:rFonts w:ascii="Calibri" w:hAnsi="Calibri"/>
                <w:b/>
                <w:color w:val="101828"/>
                <w:sz w:val="16"/>
              </w:rPr>
              <w:t>Confirm the BVN requirement</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Purpose limitation</w:t>
            </w:r>
          </w:p>
        </w:tc>
        <w:tc>
          <w:tcPr>
            <w:tcW w:type="dxa" w:w="4896"/>
            <w:tcMar>
              <w:top w:w="60" w:type="dxa"/>
              <w:start w:w="110" w:type="dxa"/>
              <w:bottom w:w="60" w:type="dxa"/>
              <w:end w:w="110" w:type="dxa"/>
            </w:tcMar>
            <w:shd w:val="clear" w:color="auto" w:fill="F4F7FB"/>
          </w:tcPr>
          <w:p>
            <w:pPr>
              <w:spacing w:after="0"/>
            </w:pPr>
            <w:r/>
            <w:r>
              <w:rPr>
                <w:rFonts w:ascii="Calibri" w:hAnsi="Calibri"/>
                <w:b w:val="0"/>
                <w:i w:val="0"/>
                <w:color w:val="101828"/>
                <w:sz w:val="16"/>
              </w:rPr>
              <w:t>Data collected for verification is not reused for unrelated purposes without a new basis</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Policy to be written</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Data subject rights</w:t>
            </w:r>
          </w:p>
        </w:tc>
        <w:tc>
          <w:tcPr>
            <w:tcW w:type="dxa" w:w="4896"/>
            <w:tcMar>
              <w:top w:w="60" w:type="dxa"/>
              <w:start w:w="110" w:type="dxa"/>
              <w:bottom w:w="60" w:type="dxa"/>
              <w:end w:w="110" w:type="dxa"/>
            </w:tcMar>
          </w:tcPr>
          <w:p>
            <w:pPr>
              <w:spacing w:after="0"/>
            </w:pPr>
            <w:r/>
            <w:r>
              <w:rPr>
                <w:rFonts w:ascii="Calibri" w:hAnsi="Calibri"/>
                <w:b w:val="0"/>
                <w:i w:val="0"/>
                <w:color w:val="101828"/>
                <w:sz w:val="16"/>
              </w:rPr>
              <w:t>Access, correction, withdrawal, and deletion, with a single request path</w:t>
            </w:r>
          </w:p>
        </w:tc>
        <w:tc>
          <w:tcPr>
            <w:tcW w:type="dxa" w:w="2304"/>
            <w:tcMar>
              <w:top w:w="60" w:type="dxa"/>
              <w:start w:w="110" w:type="dxa"/>
              <w:bottom w:w="60" w:type="dxa"/>
              <w:end w:w="110" w:type="dxa"/>
            </w:tcMar>
          </w:tcPr>
          <w:p>
            <w:pPr>
              <w:spacing w:after="0"/>
            </w:pPr>
            <w:r/>
            <w:r>
              <w:rPr>
                <w:rFonts w:ascii="Calibri" w:hAnsi="Calibri"/>
                <w:b w:val="0"/>
                <w:i w:val="0"/>
                <w:color w:val="101828"/>
                <w:sz w:val="16"/>
              </w:rPr>
              <w:t>Process to be documented</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Retention</w:t>
            </w:r>
          </w:p>
        </w:tc>
        <w:tc>
          <w:tcPr>
            <w:tcW w:type="dxa" w:w="4896"/>
            <w:tcMar>
              <w:top w:w="60" w:type="dxa"/>
              <w:start w:w="110" w:type="dxa"/>
              <w:bottom w:w="60" w:type="dxa"/>
              <w:end w:w="110" w:type="dxa"/>
            </w:tcMar>
            <w:shd w:val="clear" w:color="auto" w:fill="F4F7FB"/>
          </w:tcPr>
          <w:p>
            <w:pPr>
              <w:spacing w:after="0"/>
            </w:pPr>
            <w:r/>
            <w:r>
              <w:rPr>
                <w:rFonts w:ascii="Calibri" w:hAnsi="Calibri"/>
                <w:b w:val="0"/>
                <w:i w:val="0"/>
                <w:color w:val="101828"/>
                <w:sz w:val="16"/>
              </w:rPr>
              <w:t>The schedule in section 14.8, with statutory overrides for financial records</w:t>
            </w:r>
          </w:p>
        </w:tc>
        <w:tc>
          <w:tcPr>
            <w:tcW w:type="dxa" w:w="2304"/>
            <w:tcMar>
              <w:top w:w="60" w:type="dxa"/>
              <w:start w:w="110" w:type="dxa"/>
              <w:bottom w:w="60" w:type="dxa"/>
              <w:end w:w="110" w:type="dxa"/>
            </w:tcMar>
            <w:shd w:val="clear" w:color="auto" w:fill="F4F7FB"/>
          </w:tcPr>
          <w:p>
            <w:pPr>
              <w:spacing w:after="0"/>
            </w:pPr>
            <w:r/>
            <w:r>
              <w:rPr>
                <w:rFonts w:ascii="Calibri" w:hAnsi="Calibri"/>
                <w:b/>
                <w:color w:val="101828"/>
                <w:sz w:val="16"/>
              </w:rPr>
              <w:t>Periods to be confirmed</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Security measures</w:t>
            </w:r>
          </w:p>
        </w:tc>
        <w:tc>
          <w:tcPr>
            <w:tcW w:type="dxa" w:w="4896"/>
            <w:tcMar>
              <w:top w:w="60" w:type="dxa"/>
              <w:start w:w="110" w:type="dxa"/>
              <w:bottom w:w="60" w:type="dxa"/>
              <w:end w:w="110" w:type="dxa"/>
            </w:tcMar>
          </w:tcPr>
          <w:p>
            <w:pPr>
              <w:spacing w:after="0"/>
            </w:pPr>
            <w:r/>
            <w:r>
              <w:rPr>
                <w:rFonts w:ascii="Calibri" w:hAnsi="Calibri"/>
                <w:b w:val="0"/>
                <w:i w:val="0"/>
                <w:color w:val="101828"/>
                <w:sz w:val="16"/>
              </w:rPr>
              <w:t>Encryption, access control, RLS, audit logging, testing</w:t>
            </w:r>
          </w:p>
        </w:tc>
        <w:tc>
          <w:tcPr>
            <w:tcW w:type="dxa" w:w="2304"/>
            <w:tcMar>
              <w:top w:w="60" w:type="dxa"/>
              <w:start w:w="110" w:type="dxa"/>
              <w:bottom w:w="60" w:type="dxa"/>
              <w:end w:w="110" w:type="dxa"/>
            </w:tcMar>
          </w:tcPr>
          <w:p>
            <w:pPr>
              <w:spacing w:after="0"/>
            </w:pPr>
            <w:r/>
            <w:r>
              <w:rPr>
                <w:rFonts w:ascii="Calibri" w:hAnsi="Calibri"/>
                <w:b w:val="0"/>
                <w:i w:val="0"/>
                <w:color w:val="101828"/>
                <w:sz w:val="16"/>
              </w:rPr>
              <w:t>Specified in section 14</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Breach notification</w:t>
            </w:r>
          </w:p>
        </w:tc>
        <w:tc>
          <w:tcPr>
            <w:tcW w:type="dxa" w:w="4896"/>
            <w:tcMar>
              <w:top w:w="60" w:type="dxa"/>
              <w:start w:w="110" w:type="dxa"/>
              <w:bottom w:w="60" w:type="dxa"/>
              <w:end w:w="110" w:type="dxa"/>
            </w:tcMar>
            <w:shd w:val="clear" w:color="auto" w:fill="F4F7FB"/>
          </w:tcPr>
          <w:p>
            <w:pPr>
              <w:spacing w:after="0"/>
            </w:pPr>
            <w:r/>
            <w:r>
              <w:rPr>
                <w:rFonts w:ascii="Calibri" w:hAnsi="Calibri"/>
                <w:b w:val="0"/>
                <w:i w:val="0"/>
                <w:color w:val="101828"/>
                <w:sz w:val="16"/>
              </w:rPr>
              <w:t>Escalation to the data protection officer, and notification to the regulator and affected members within statutory deadlines</w:t>
            </w:r>
          </w:p>
        </w:tc>
        <w:tc>
          <w:tcPr>
            <w:tcW w:type="dxa" w:w="2304"/>
            <w:tcMar>
              <w:top w:w="60" w:type="dxa"/>
              <w:start w:w="110" w:type="dxa"/>
              <w:bottom w:w="60" w:type="dxa"/>
              <w:end w:w="110" w:type="dxa"/>
            </w:tcMar>
            <w:shd w:val="clear" w:color="auto" w:fill="F4F7FB"/>
          </w:tcPr>
          <w:p>
            <w:pPr>
              <w:spacing w:after="0"/>
            </w:pPr>
            <w:r/>
            <w:r>
              <w:rPr>
                <w:rFonts w:ascii="Calibri" w:hAnsi="Calibri"/>
                <w:b/>
                <w:color w:val="101828"/>
                <w:sz w:val="16"/>
              </w:rPr>
              <w:t>Deadlines to be confirmed</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Data processing agreements</w:t>
            </w:r>
          </w:p>
        </w:tc>
        <w:tc>
          <w:tcPr>
            <w:tcW w:type="dxa" w:w="4896"/>
            <w:tcMar>
              <w:top w:w="60" w:type="dxa"/>
              <w:start w:w="110" w:type="dxa"/>
              <w:bottom w:w="60" w:type="dxa"/>
              <w:end w:w="110" w:type="dxa"/>
            </w:tcMar>
          </w:tcPr>
          <w:p>
            <w:pPr>
              <w:spacing w:after="0"/>
            </w:pPr>
            <w:r/>
            <w:r>
              <w:rPr>
                <w:rFonts w:ascii="Calibri" w:hAnsi="Calibri"/>
                <w:b w:val="0"/>
                <w:i w:val="0"/>
                <w:color w:val="101828"/>
                <w:sz w:val="16"/>
              </w:rPr>
              <w:t>A DPA with every processor, including the payment provider, notification services, and analytics</w:t>
            </w:r>
          </w:p>
        </w:tc>
        <w:tc>
          <w:tcPr>
            <w:tcW w:type="dxa" w:w="2304"/>
            <w:tcMar>
              <w:top w:w="60" w:type="dxa"/>
              <w:start w:w="110" w:type="dxa"/>
              <w:bottom w:w="60" w:type="dxa"/>
              <w:end w:w="110" w:type="dxa"/>
            </w:tcMar>
          </w:tcPr>
          <w:p>
            <w:pPr>
              <w:spacing w:after="0"/>
            </w:pPr>
            <w:r/>
            <w:r>
              <w:rPr>
                <w:rFonts w:ascii="Calibri" w:hAnsi="Calibri"/>
                <w:b/>
                <w:color w:val="101828"/>
                <w:sz w:val="16"/>
              </w:rPr>
              <w:t>Required before launch</w:t>
            </w:r>
          </w:p>
        </w:tc>
      </w:tr>
      <w:tr>
        <w:trPr>
          <w:cantSplit/>
        </w:trPr>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Cross-border transfers</w:t>
            </w:r>
          </w:p>
        </w:tc>
        <w:tc>
          <w:tcPr>
            <w:tcW w:type="dxa" w:w="4896"/>
            <w:tcMar>
              <w:top w:w="60" w:type="dxa"/>
              <w:start w:w="110" w:type="dxa"/>
              <w:bottom w:w="60" w:type="dxa"/>
              <w:end w:w="110" w:type="dxa"/>
            </w:tcMar>
            <w:shd w:val="clear" w:color="auto" w:fill="F4F7FB"/>
          </w:tcPr>
          <w:p>
            <w:pPr>
              <w:spacing w:after="0"/>
            </w:pPr>
            <w:r/>
            <w:r>
              <w:rPr>
                <w:rFonts w:ascii="Calibri" w:hAnsi="Calibri"/>
                <w:b w:val="0"/>
                <w:i w:val="0"/>
                <w:color w:val="101828"/>
                <w:sz w:val="16"/>
              </w:rPr>
              <w:t>Data residency assessed per vendor; transfers only with a legal basis</w:t>
            </w:r>
          </w:p>
        </w:tc>
        <w:tc>
          <w:tcPr>
            <w:tcW w:type="dxa" w:w="2304"/>
            <w:tcMar>
              <w:top w:w="60" w:type="dxa"/>
              <w:start w:w="110" w:type="dxa"/>
              <w:bottom w:w="60" w:type="dxa"/>
              <w:end w:w="110" w:type="dxa"/>
            </w:tcMar>
            <w:shd w:val="clear" w:color="auto" w:fill="F4F7FB"/>
          </w:tcPr>
          <w:p>
            <w:pPr>
              <w:spacing w:after="0"/>
            </w:pPr>
            <w:r/>
            <w:r>
              <w:rPr>
                <w:rFonts w:ascii="Calibri" w:hAnsi="Calibri"/>
                <w:b/>
                <w:color w:val="101828"/>
                <w:sz w:val="16"/>
              </w:rPr>
              <w:t>Vendor assessment required</w:t>
            </w:r>
          </w:p>
        </w:tc>
      </w:tr>
      <w:tr>
        <w:trPr>
          <w:cantSplit/>
        </w:trPr>
        <w:tc>
          <w:tcPr>
            <w:tcW w:type="dxa" w:w="2160"/>
            <w:tcMar>
              <w:top w:w="60" w:type="dxa"/>
              <w:start w:w="110" w:type="dxa"/>
              <w:bottom w:w="60" w:type="dxa"/>
              <w:end w:w="110" w:type="dxa"/>
            </w:tcMar>
          </w:tcPr>
          <w:p>
            <w:pPr>
              <w:spacing w:after="0"/>
            </w:pPr>
            <w:r/>
            <w:r>
              <w:rPr>
                <w:rFonts w:ascii="Calibri" w:hAnsi="Calibri"/>
                <w:b w:val="0"/>
                <w:i w:val="0"/>
                <w:color w:val="101828"/>
                <w:sz w:val="16"/>
              </w:rPr>
              <w:t>Registration with the data protection authority</w:t>
            </w:r>
          </w:p>
        </w:tc>
        <w:tc>
          <w:tcPr>
            <w:tcW w:type="dxa" w:w="4896"/>
            <w:tcMar>
              <w:top w:w="60" w:type="dxa"/>
              <w:start w:w="110" w:type="dxa"/>
              <w:bottom w:w="60" w:type="dxa"/>
              <w:end w:w="110" w:type="dxa"/>
            </w:tcMar>
          </w:tcPr>
          <w:p>
            <w:pPr>
              <w:spacing w:after="0"/>
            </w:pPr>
            <w:r/>
            <w:r>
              <w:rPr>
                <w:rFonts w:ascii="Calibri" w:hAnsi="Calibri"/>
                <w:b w:val="0"/>
                <w:i w:val="0"/>
                <w:color w:val="101828"/>
                <w:sz w:val="16"/>
              </w:rPr>
              <w:t>If required for the platform's activities</w:t>
            </w:r>
          </w:p>
        </w:tc>
        <w:tc>
          <w:tcPr>
            <w:tcW w:type="dxa" w:w="2304"/>
            <w:tcMar>
              <w:top w:w="60" w:type="dxa"/>
              <w:start w:w="110" w:type="dxa"/>
              <w:bottom w:w="60" w:type="dxa"/>
              <w:end w:w="110" w:type="dxa"/>
            </w:tcMar>
          </w:tcPr>
          <w:p>
            <w:pPr>
              <w:spacing w:after="0"/>
            </w:pPr>
            <w:r/>
            <w:r>
              <w:rPr>
                <w:rFonts w:ascii="Calibri" w:hAnsi="Calibri"/>
                <w:b/>
                <w:color w:val="101828"/>
                <w:sz w:val="16"/>
              </w:rPr>
              <w:t>Confirm the requirement</w:t>
            </w:r>
          </w:p>
        </w:tc>
      </w:tr>
    </w:tbl>
    <w:p>
      <w:pPr>
        <w:spacing w:after="80"/>
      </w:pPr>
    </w:p>
    <w:p>
      <w:pPr>
        <w:pStyle w:val="Heading2"/>
      </w:pPr>
      <w:r>
        <w:rPr>
          <w:rFonts w:ascii="Calibri" w:hAnsi="Calibri"/>
          <w:b/>
          <w:i w:val="0"/>
          <w:color w:val="146EF5"/>
          <w:sz w:val="29"/>
        </w:rPr>
        <w:t>24.7 Required documents</w:t>
      </w:r>
    </w:p>
    <w:p>
      <w:r>
        <w:rPr>
          <w:rFonts w:ascii="Calibri" w:hAnsi="Calibri"/>
          <w:b w:val="0"/>
          <w:i w:val="0"/>
          <w:color w:val="101828"/>
          <w:sz w:val="21"/>
        </w:rPr>
        <w:t>The following must exist, be reviewed by counsel, and be published in accessible form before launch. None of them are optional, and shipping a product with placeholder legal text is a decision to expose every member and the company to unnecessary risk.</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3024"/>
            <w:shd w:val="clear" w:color="auto" w:fill="0B1F3A"/>
            <w:tcMar>
              <w:top w:w="60" w:type="dxa"/>
              <w:start w:w="110" w:type="dxa"/>
              <w:bottom w:w="60" w:type="dxa"/>
              <w:end w:w="110" w:type="dxa"/>
            </w:tcMar>
          </w:tcPr>
          <w:p>
            <w:pPr>
              <w:spacing w:after="0"/>
            </w:pPr>
            <w:r/>
            <w:r>
              <w:rPr>
                <w:rFonts w:ascii="Calibri" w:hAnsi="Calibri"/>
                <w:b/>
                <w:i w:val="0"/>
                <w:color w:val="FFFFFF"/>
                <w:sz w:val="16"/>
              </w:rPr>
              <w:t>Document</w:t>
            </w:r>
          </w:p>
        </w:tc>
        <w:tc>
          <w:tcPr>
            <w:tcW w:type="dxa" w:w="4608"/>
            <w:shd w:val="clear" w:color="auto" w:fill="0B1F3A"/>
            <w:tcMar>
              <w:top w:w="60" w:type="dxa"/>
              <w:start w:w="110" w:type="dxa"/>
              <w:bottom w:w="60" w:type="dxa"/>
              <w:end w:w="110" w:type="dxa"/>
            </w:tcMar>
          </w:tcPr>
          <w:p>
            <w:pPr>
              <w:spacing w:after="0"/>
            </w:pPr>
            <w:r/>
            <w:r>
              <w:rPr>
                <w:rFonts w:ascii="Calibri" w:hAnsi="Calibri"/>
                <w:b/>
                <w:i w:val="0"/>
                <w:color w:val="FFFFFF"/>
                <w:sz w:val="16"/>
              </w:rPr>
              <w:t>Purpose</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Priority</w:t>
            </w:r>
          </w:p>
        </w:tc>
      </w:tr>
      <w:tr>
        <w:trPr>
          <w:cantSplit/>
        </w:trPr>
        <w:tc>
          <w:tcPr>
            <w:tcW w:type="dxa" w:w="3024"/>
            <w:tcMar>
              <w:top w:w="60" w:type="dxa"/>
              <w:start w:w="110" w:type="dxa"/>
              <w:bottom w:w="60" w:type="dxa"/>
              <w:end w:w="110" w:type="dxa"/>
            </w:tcMar>
          </w:tcPr>
          <w:p>
            <w:pPr>
              <w:spacing w:after="0"/>
            </w:pPr>
            <w:r/>
            <w:r>
              <w:rPr>
                <w:rFonts w:ascii="Calibri" w:hAnsi="Calibri"/>
                <w:b w:val="0"/>
                <w:i w:val="0"/>
                <w:color w:val="101828"/>
                <w:sz w:val="16"/>
              </w:rPr>
              <w:t>Terms of service</w:t>
            </w:r>
          </w:p>
        </w:tc>
        <w:tc>
          <w:tcPr>
            <w:tcW w:type="dxa" w:w="4608"/>
            <w:tcMar>
              <w:top w:w="60" w:type="dxa"/>
              <w:start w:w="110" w:type="dxa"/>
              <w:bottom w:w="60" w:type="dxa"/>
              <w:end w:w="110" w:type="dxa"/>
            </w:tcMar>
          </w:tcPr>
          <w:p>
            <w:pPr>
              <w:spacing w:after="0"/>
            </w:pPr>
            <w:r/>
            <w:r>
              <w:rPr>
                <w:rFonts w:ascii="Calibri" w:hAnsi="Calibri"/>
                <w:b w:val="0"/>
                <w:i w:val="0"/>
                <w:color w:val="101828"/>
                <w:sz w:val="16"/>
              </w:rPr>
              <w:t>The member agreement with AJO.ng: the service, the fee, the Ajo mechanism, the default policy, liability, and dispute resolution</w:t>
            </w:r>
          </w:p>
        </w:tc>
        <w:tc>
          <w:tcPr>
            <w:tcW w:type="dxa" w:w="1728"/>
            <w:tcMar>
              <w:top w:w="60" w:type="dxa"/>
              <w:start w:w="110" w:type="dxa"/>
              <w:bottom w:w="60" w:type="dxa"/>
              <w:end w:w="110" w:type="dxa"/>
            </w:tcMar>
          </w:tcPr>
          <w:p>
            <w:pPr>
              <w:spacing w:after="0"/>
            </w:pPr>
            <w:r/>
            <w:r>
              <w:rPr>
                <w:rFonts w:ascii="Calibri" w:hAnsi="Calibri"/>
                <w:b w:val="0"/>
                <w:i w:val="0"/>
                <w:color w:val="101828"/>
                <w:sz w:val="16"/>
              </w:rPr>
              <w:t>P0</w:t>
            </w:r>
          </w:p>
        </w:tc>
      </w:tr>
      <w:tr>
        <w:trPr>
          <w:cantSplit/>
        </w:trPr>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Privacy notice</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What data is collected, why, the lawful basis, retention, sharing, and the rights available</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r>
      <w:tr>
        <w:trPr>
          <w:cantSplit/>
        </w:trPr>
        <w:tc>
          <w:tcPr>
            <w:tcW w:type="dxa" w:w="3024"/>
            <w:tcMar>
              <w:top w:w="60" w:type="dxa"/>
              <w:start w:w="110" w:type="dxa"/>
              <w:bottom w:w="60" w:type="dxa"/>
              <w:end w:w="110" w:type="dxa"/>
            </w:tcMar>
          </w:tcPr>
          <w:p>
            <w:pPr>
              <w:spacing w:after="0"/>
            </w:pPr>
            <w:r/>
            <w:r>
              <w:rPr>
                <w:rFonts w:ascii="Calibri" w:hAnsi="Calibri"/>
                <w:b w:val="0"/>
                <w:i w:val="0"/>
                <w:color w:val="101828"/>
                <w:sz w:val="16"/>
              </w:rPr>
              <w:t>Cookie and tracking notice</w:t>
            </w:r>
          </w:p>
        </w:tc>
        <w:tc>
          <w:tcPr>
            <w:tcW w:type="dxa" w:w="4608"/>
            <w:tcMar>
              <w:top w:w="60" w:type="dxa"/>
              <w:start w:w="110" w:type="dxa"/>
              <w:bottom w:w="60" w:type="dxa"/>
              <w:end w:w="110" w:type="dxa"/>
            </w:tcMar>
          </w:tcPr>
          <w:p>
            <w:pPr>
              <w:spacing w:after="0"/>
            </w:pPr>
            <w:r/>
            <w:r>
              <w:rPr>
                <w:rFonts w:ascii="Calibri" w:hAnsi="Calibri"/>
                <w:b w:val="0"/>
                <w:i w:val="0"/>
                <w:color w:val="101828"/>
                <w:sz w:val="16"/>
              </w:rPr>
              <w:t>What is set on the web app, and how to control it</w:t>
            </w:r>
          </w:p>
        </w:tc>
        <w:tc>
          <w:tcPr>
            <w:tcW w:type="dxa" w:w="1728"/>
            <w:tcMar>
              <w:top w:w="60" w:type="dxa"/>
              <w:start w:w="110" w:type="dxa"/>
              <w:bottom w:w="60" w:type="dxa"/>
              <w:end w:w="110" w:type="dxa"/>
            </w:tcMar>
          </w:tcPr>
          <w:p>
            <w:pPr>
              <w:spacing w:after="0"/>
            </w:pPr>
            <w:r/>
            <w:r>
              <w:rPr>
                <w:rFonts w:ascii="Calibri" w:hAnsi="Calibri"/>
                <w:b w:val="0"/>
                <w:i w:val="0"/>
                <w:color w:val="101828"/>
                <w:sz w:val="16"/>
              </w:rPr>
              <w:t>P0</w:t>
            </w:r>
          </w:p>
        </w:tc>
      </w:tr>
      <w:tr>
        <w:trPr>
          <w:cantSplit/>
        </w:trPr>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Ajo rules</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The plain-language rules every member and organizer accepts: contribution schedule, position lock, default, recovery, and no off-platform payment</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r>
      <w:tr>
        <w:trPr>
          <w:cantSplit/>
        </w:trPr>
        <w:tc>
          <w:tcPr>
            <w:tcW w:type="dxa" w:w="3024"/>
            <w:tcMar>
              <w:top w:w="60" w:type="dxa"/>
              <w:start w:w="110" w:type="dxa"/>
              <w:bottom w:w="60" w:type="dxa"/>
              <w:end w:w="110" w:type="dxa"/>
            </w:tcMar>
          </w:tcPr>
          <w:p>
            <w:pPr>
              <w:spacing w:after="0"/>
            </w:pPr>
            <w:r/>
            <w:r>
              <w:rPr>
                <w:rFonts w:ascii="Calibri" w:hAnsi="Calibri"/>
                <w:b w:val="0"/>
                <w:i w:val="0"/>
                <w:color w:val="101828"/>
                <w:sz w:val="16"/>
              </w:rPr>
              <w:t>Organizer role agreement</w:t>
            </w:r>
          </w:p>
        </w:tc>
        <w:tc>
          <w:tcPr>
            <w:tcW w:type="dxa" w:w="4608"/>
            <w:tcMar>
              <w:top w:w="60" w:type="dxa"/>
              <w:start w:w="110" w:type="dxa"/>
              <w:bottom w:w="60" w:type="dxa"/>
              <w:end w:w="110" w:type="dxa"/>
            </w:tcMar>
          </w:tcPr>
          <w:p>
            <w:pPr>
              <w:spacing w:after="0"/>
            </w:pPr>
            <w:r/>
            <w:r>
              <w:rPr>
                <w:rFonts w:ascii="Calibri" w:hAnsi="Calibri"/>
                <w:b w:val="0"/>
                <w:i w:val="0"/>
                <w:color w:val="101828"/>
                <w:sz w:val="16"/>
              </w:rPr>
              <w:t>The organizer's specific permissions and prohibitions</w:t>
            </w:r>
          </w:p>
        </w:tc>
        <w:tc>
          <w:tcPr>
            <w:tcW w:type="dxa" w:w="1728"/>
            <w:tcMar>
              <w:top w:w="60" w:type="dxa"/>
              <w:start w:w="110" w:type="dxa"/>
              <w:bottom w:w="60" w:type="dxa"/>
              <w:end w:w="110" w:type="dxa"/>
            </w:tcMar>
          </w:tcPr>
          <w:p>
            <w:pPr>
              <w:spacing w:after="0"/>
            </w:pPr>
            <w:r/>
            <w:r>
              <w:rPr>
                <w:rFonts w:ascii="Calibri" w:hAnsi="Calibri"/>
                <w:b w:val="0"/>
                <w:i w:val="0"/>
                <w:color w:val="101828"/>
                <w:sz w:val="16"/>
              </w:rPr>
              <w:t>P0</w:t>
            </w:r>
          </w:p>
        </w:tc>
      </w:tr>
      <w:tr>
        <w:trPr>
          <w:cantSplit/>
        </w:trPr>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Fee disclosure</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The 2% service fee, stated clearly, before every payment and in the terms</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r>
      <w:tr>
        <w:trPr>
          <w:cantSplit/>
        </w:trPr>
        <w:tc>
          <w:tcPr>
            <w:tcW w:type="dxa" w:w="3024"/>
            <w:tcMar>
              <w:top w:w="60" w:type="dxa"/>
              <w:start w:w="110" w:type="dxa"/>
              <w:bottom w:w="60" w:type="dxa"/>
              <w:end w:w="110" w:type="dxa"/>
            </w:tcMar>
          </w:tcPr>
          <w:p>
            <w:pPr>
              <w:spacing w:after="0"/>
            </w:pPr>
            <w:r/>
            <w:r>
              <w:rPr>
                <w:rFonts w:ascii="Calibri" w:hAnsi="Calibri"/>
                <w:b w:val="0"/>
                <w:i w:val="0"/>
                <w:color w:val="101828"/>
                <w:sz w:val="16"/>
              </w:rPr>
              <w:t>Risk disclosure</w:t>
            </w:r>
          </w:p>
        </w:tc>
        <w:tc>
          <w:tcPr>
            <w:tcW w:type="dxa" w:w="4608"/>
            <w:tcMar>
              <w:top w:w="60" w:type="dxa"/>
              <w:start w:w="110" w:type="dxa"/>
              <w:bottom w:w="60" w:type="dxa"/>
              <w:end w:w="110" w:type="dxa"/>
            </w:tcMar>
          </w:tcPr>
          <w:p>
            <w:pPr>
              <w:spacing w:after="0"/>
            </w:pPr>
            <w:r/>
            <w:r>
              <w:rPr>
                <w:rFonts w:ascii="Calibri" w:hAnsi="Calibri"/>
                <w:b w:val="0"/>
                <w:i w:val="0"/>
                <w:color w:val="101828"/>
                <w:sz w:val="16"/>
              </w:rPr>
              <w:t>What can go wrong: default, payout delay, provider failure, and that AJO.ng is not a bank or an investment product</w:t>
            </w:r>
          </w:p>
        </w:tc>
        <w:tc>
          <w:tcPr>
            <w:tcW w:type="dxa" w:w="1728"/>
            <w:tcMar>
              <w:top w:w="60" w:type="dxa"/>
              <w:start w:w="110" w:type="dxa"/>
              <w:bottom w:w="60" w:type="dxa"/>
              <w:end w:w="110" w:type="dxa"/>
            </w:tcMar>
          </w:tcPr>
          <w:p>
            <w:pPr>
              <w:spacing w:after="0"/>
            </w:pPr>
            <w:r/>
            <w:r>
              <w:rPr>
                <w:rFonts w:ascii="Calibri" w:hAnsi="Calibri"/>
                <w:b w:val="0"/>
                <w:i w:val="0"/>
                <w:color w:val="101828"/>
                <w:sz w:val="16"/>
              </w:rPr>
              <w:t>P0</w:t>
            </w:r>
          </w:p>
        </w:tc>
      </w:tr>
      <w:tr>
        <w:trPr>
          <w:cantSplit/>
        </w:trPr>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Complaint procedure</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How to complain, to whom, and what response to expect</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r>
      <w:tr>
        <w:trPr>
          <w:cantSplit/>
        </w:trPr>
        <w:tc>
          <w:tcPr>
            <w:tcW w:type="dxa" w:w="3024"/>
            <w:tcMar>
              <w:top w:w="60" w:type="dxa"/>
              <w:start w:w="110" w:type="dxa"/>
              <w:bottom w:w="60" w:type="dxa"/>
              <w:end w:w="110" w:type="dxa"/>
            </w:tcMar>
          </w:tcPr>
          <w:p>
            <w:pPr>
              <w:spacing w:after="0"/>
            </w:pPr>
            <w:r/>
            <w:r>
              <w:rPr>
                <w:rFonts w:ascii="Calibri" w:hAnsi="Calibri"/>
                <w:b w:val="0"/>
                <w:i w:val="0"/>
                <w:color w:val="101828"/>
                <w:sz w:val="16"/>
              </w:rPr>
              <w:t>Acceptable use policy</w:t>
            </w:r>
          </w:p>
        </w:tc>
        <w:tc>
          <w:tcPr>
            <w:tcW w:type="dxa" w:w="4608"/>
            <w:tcMar>
              <w:top w:w="60" w:type="dxa"/>
              <w:start w:w="110" w:type="dxa"/>
              <w:bottom w:w="60" w:type="dxa"/>
              <w:end w:w="110" w:type="dxa"/>
            </w:tcMar>
          </w:tcPr>
          <w:p>
            <w:pPr>
              <w:spacing w:after="0"/>
            </w:pPr>
            <w:r/>
            <w:r>
              <w:rPr>
                <w:rFonts w:ascii="Calibri" w:hAnsi="Calibri"/>
                <w:b w:val="0"/>
                <w:i w:val="0"/>
                <w:color w:val="101828"/>
                <w:sz w:val="16"/>
              </w:rPr>
              <w:t>Prohibitions: fraud, money mule activity, harassment, off-platform solicitation</w:t>
            </w:r>
          </w:p>
        </w:tc>
        <w:tc>
          <w:tcPr>
            <w:tcW w:type="dxa" w:w="1728"/>
            <w:tcMar>
              <w:top w:w="60" w:type="dxa"/>
              <w:start w:w="110" w:type="dxa"/>
              <w:bottom w:w="60" w:type="dxa"/>
              <w:end w:w="110" w:type="dxa"/>
            </w:tcMar>
          </w:tcPr>
          <w:p>
            <w:pPr>
              <w:spacing w:after="0"/>
            </w:pPr>
            <w:r/>
            <w:r>
              <w:rPr>
                <w:rFonts w:ascii="Calibri" w:hAnsi="Calibri"/>
                <w:b w:val="0"/>
                <w:i w:val="0"/>
                <w:color w:val="101828"/>
                <w:sz w:val="16"/>
              </w:rPr>
              <w:t>P1</w:t>
            </w:r>
          </w:p>
        </w:tc>
      </w:tr>
      <w:tr>
        <w:trPr>
          <w:cantSplit/>
        </w:trPr>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Data subject request procedure</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Internal procedure for access, correction, and deletion requests</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P0</w:t>
            </w:r>
          </w:p>
        </w:tc>
      </w:tr>
      <w:tr>
        <w:trPr>
          <w:cantSplit/>
        </w:trPr>
        <w:tc>
          <w:tcPr>
            <w:tcW w:type="dxa" w:w="3024"/>
            <w:tcMar>
              <w:top w:w="60" w:type="dxa"/>
              <w:start w:w="110" w:type="dxa"/>
              <w:bottom w:w="60" w:type="dxa"/>
              <w:end w:w="110" w:type="dxa"/>
            </w:tcMar>
          </w:tcPr>
          <w:p>
            <w:pPr>
              <w:spacing w:after="0"/>
            </w:pPr>
            <w:r/>
            <w:r>
              <w:rPr>
                <w:rFonts w:ascii="Calibri" w:hAnsi="Calibri"/>
                <w:b w:val="0"/>
                <w:i w:val="0"/>
                <w:color w:val="101828"/>
                <w:sz w:val="16"/>
              </w:rPr>
              <w:t>Business continuity and disaster recovery plan</w:t>
            </w:r>
          </w:p>
        </w:tc>
        <w:tc>
          <w:tcPr>
            <w:tcW w:type="dxa" w:w="4608"/>
            <w:tcMar>
              <w:top w:w="60" w:type="dxa"/>
              <w:start w:w="110" w:type="dxa"/>
              <w:bottom w:w="60" w:type="dxa"/>
              <w:end w:w="110" w:type="dxa"/>
            </w:tcMar>
          </w:tcPr>
          <w:p>
            <w:pPr>
              <w:spacing w:after="0"/>
            </w:pPr>
            <w:r/>
            <w:r>
              <w:rPr>
                <w:rFonts w:ascii="Calibri" w:hAnsi="Calibri"/>
                <w:b w:val="0"/>
                <w:i w:val="0"/>
                <w:color w:val="101828"/>
                <w:sz w:val="16"/>
              </w:rPr>
              <w:t>Required for operational resilience and likely for the payment provider</w:t>
            </w:r>
          </w:p>
        </w:tc>
        <w:tc>
          <w:tcPr>
            <w:tcW w:type="dxa" w:w="1728"/>
            <w:tcMar>
              <w:top w:w="60" w:type="dxa"/>
              <w:start w:w="110" w:type="dxa"/>
              <w:bottom w:w="60" w:type="dxa"/>
              <w:end w:w="110" w:type="dxa"/>
            </w:tcMar>
          </w:tcPr>
          <w:p>
            <w:pPr>
              <w:spacing w:after="0"/>
            </w:pPr>
            <w:r/>
            <w:r>
              <w:rPr>
                <w:rFonts w:ascii="Calibri" w:hAnsi="Calibri"/>
                <w:b w:val="0"/>
                <w:i w:val="0"/>
                <w:color w:val="101828"/>
                <w:sz w:val="16"/>
              </w:rPr>
              <w:t>P0</w:t>
            </w:r>
          </w:p>
        </w:tc>
      </w:tr>
      <w:tr>
        <w:trPr>
          <w:cantSplit/>
        </w:trPr>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AML/CTF programme documentation</w:t>
            </w:r>
          </w:p>
        </w:tc>
        <w:tc>
          <w:tcPr>
            <w:tcW w:type="dxa" w:w="4608"/>
            <w:tcMar>
              <w:top w:w="60" w:type="dxa"/>
              <w:start w:w="110" w:type="dxa"/>
              <w:bottom w:w="60" w:type="dxa"/>
              <w:end w:w="110" w:type="dxa"/>
            </w:tcMar>
            <w:shd w:val="clear" w:color="auto" w:fill="F4F7FB"/>
          </w:tcPr>
          <w:p>
            <w:pPr>
              <w:spacing w:after="0"/>
            </w:pPr>
            <w:r/>
            <w:r>
              <w:rPr>
                <w:rFonts w:ascii="Calibri" w:hAnsi="Calibri"/>
                <w:b w:val="0"/>
                <w:i w:val="0"/>
                <w:color w:val="101828"/>
                <w:sz w:val="16"/>
              </w:rPr>
              <w:t>Policies, risk assessment, and the reporting process</w:t>
            </w:r>
          </w:p>
        </w:tc>
        <w:tc>
          <w:tcPr>
            <w:tcW w:type="dxa" w:w="1728"/>
            <w:tcMar>
              <w:top w:w="60" w:type="dxa"/>
              <w:start w:w="110" w:type="dxa"/>
              <w:bottom w:w="60" w:type="dxa"/>
              <w:end w:w="110" w:type="dxa"/>
            </w:tcMar>
            <w:shd w:val="clear" w:color="auto" w:fill="F4F7FB"/>
          </w:tcPr>
          <w:p>
            <w:pPr>
              <w:spacing w:after="0"/>
            </w:pPr>
            <w:r/>
            <w:r>
              <w:rPr>
                <w:rFonts w:ascii="Calibri" w:hAnsi="Calibri"/>
                <w:b/>
                <w:color w:val="101828"/>
                <w:sz w:val="16"/>
              </w:rPr>
              <w:t>If legally required</w:t>
            </w:r>
          </w:p>
        </w:tc>
      </w:tr>
    </w:tbl>
    <w:p>
      <w:pPr>
        <w:spacing w:after="80"/>
      </w:pPr>
    </w:p>
    <w:p>
      <w:pPr>
        <w:pStyle w:val="Heading2"/>
      </w:pPr>
      <w:r>
        <w:rPr>
          <w:rFonts w:ascii="Calibri" w:hAnsi="Calibri"/>
          <w:b/>
          <w:i w:val="0"/>
          <w:color w:val="146EF5"/>
          <w:sz w:val="29"/>
        </w:rPr>
        <w:t>24.8 Marketing and claims</w:t>
      </w:r>
    </w:p>
    <w:p>
      <w:r>
        <w:rPr>
          <w:rFonts w:ascii="Calibri" w:hAnsi="Calibri"/>
          <w:b w:val="0"/>
          <w:i w:val="0"/>
          <w:color w:val="101828"/>
          <w:sz w:val="21"/>
        </w:rPr>
        <w:t>The way AJO.ng describes itself is a legal matter as much as a branding one. The following constraints exist to keep the platform out of trouble with itself.</w:t>
      </w:r>
    </w:p>
    <w:p>
      <w:pPr>
        <w:pStyle w:val="ListBullet"/>
        <w:spacing w:after="60"/>
        <w:ind w:left="360"/>
      </w:pPr>
      <w:r>
        <w:rPr>
          <w:rFonts w:ascii="Calibri" w:hAnsi="Calibri"/>
          <w:b/>
          <w:color w:val="101828"/>
          <w:sz w:val="21"/>
        </w:rPr>
        <w:t>AJO.ng is a rotating savings group, not an investment product, a bank, or a lender.</w:t>
      </w:r>
      <w:r>
        <w:rPr>
          <w:rFonts w:ascii="Calibri" w:hAnsi="Calibri"/>
          <w:b w:val="0"/>
          <w:i w:val="0"/>
          <w:color w:val="101828"/>
          <w:sz w:val="21"/>
        </w:rPr>
        <w:t xml:space="preserve"> Never claim or imply otherwise. No 'returns', 'yields', 'interest', or 'profits' language.</w:t>
      </w:r>
    </w:p>
    <w:p>
      <w:pPr>
        <w:pStyle w:val="ListBullet"/>
        <w:spacing w:after="60"/>
        <w:ind w:left="360"/>
      </w:pPr>
      <w:r>
        <w:rPr>
          <w:rFonts w:ascii="Calibri" w:hAnsi="Calibri"/>
          <w:b/>
          <w:color w:val="101828"/>
          <w:sz w:val="21"/>
        </w:rPr>
        <w:t>The 2% is a service fee charged on contributions</w:t>
      </w:r>
      <w:r>
        <w:rPr>
          <w:rFonts w:ascii="Calibri" w:hAnsi="Calibri"/>
          <w:b w:val="0"/>
          <w:i w:val="0"/>
          <w:color w:val="101828"/>
          <w:sz w:val="21"/>
        </w:rPr>
        <w:t>, never described as a percentage of what a member receives. The two framings describe different economics, and only one is true.</w:t>
      </w:r>
    </w:p>
    <w:p>
      <w:pPr>
        <w:pStyle w:val="ListBullet"/>
        <w:spacing w:after="60"/>
        <w:ind w:left="360"/>
      </w:pPr>
      <w:r>
        <w:rPr>
          <w:rFonts w:ascii="Calibri" w:hAnsi="Calibri"/>
          <w:b/>
          <w:color w:val="101828"/>
          <w:sz w:val="21"/>
        </w:rPr>
        <w:t>No promise of guaranteed returns.</w:t>
      </w:r>
      <w:r>
        <w:rPr>
          <w:rFonts w:ascii="Calibri" w:hAnsi="Calibri"/>
          <w:b w:val="0"/>
          <w:i w:val="0"/>
          <w:color w:val="101828"/>
          <w:sz w:val="21"/>
        </w:rPr>
        <w:t xml:space="preserve"> Members receive their own savings, which is the whole point, and saying so plainly is both honest and a good marketing line.</w:t>
      </w:r>
    </w:p>
    <w:p>
      <w:pPr>
        <w:pStyle w:val="ListBullet"/>
        <w:spacing w:after="60"/>
        <w:ind w:left="360"/>
      </w:pPr>
      <w:r>
        <w:rPr>
          <w:rFonts w:ascii="Calibri" w:hAnsi="Calibri"/>
          <w:b/>
          <w:color w:val="101828"/>
          <w:sz w:val="21"/>
        </w:rPr>
        <w:t>No urgency or scarcity pressure.</w:t>
      </w:r>
      <w:r>
        <w:rPr>
          <w:rFonts w:ascii="Calibri" w:hAnsi="Calibri"/>
          <w:b w:val="0"/>
          <w:i w:val="0"/>
          <w:color w:val="101828"/>
          <w:sz w:val="21"/>
        </w:rPr>
        <w:t xml:space="preserve"> Savings products sold under time pressure produce defaults, and defaults are the business's main risk.</w:t>
      </w:r>
    </w:p>
    <w:p>
      <w:pPr>
        <w:pStyle w:val="ListBullet"/>
        <w:spacing w:after="60"/>
        <w:ind w:left="360"/>
      </w:pPr>
      <w:r>
        <w:rPr>
          <w:rFonts w:ascii="Calibri" w:hAnsi="Calibri"/>
          <w:b/>
          <w:color w:val="101828"/>
          <w:sz w:val="21"/>
        </w:rPr>
        <w:t>Testimonials require consent and must be real.</w:t>
      </w:r>
      <w:r>
        <w:rPr>
          <w:rFonts w:ascii="Calibri" w:hAnsi="Calibri"/>
          <w:b w:val="0"/>
          <w:i w:val="0"/>
          <w:color w:val="101828"/>
          <w:sz w:val="21"/>
        </w:rPr>
        <w:t xml:space="preserve"> A fabricated review is a legal and reputational problem.</w:t>
      </w:r>
    </w:p>
    <w:p>
      <w:pPr>
        <w:pStyle w:val="ListBullet"/>
        <w:spacing w:after="60"/>
        <w:ind w:left="360"/>
      </w:pPr>
      <w:r>
        <w:rPr>
          <w:rFonts w:ascii="Calibri" w:hAnsi="Calibri"/>
          <w:b/>
          <w:color w:val="101828"/>
          <w:sz w:val="21"/>
        </w:rPr>
        <w:t>No targeting of vulnerable individuals.</w:t>
      </w:r>
      <w:r>
        <w:rPr>
          <w:rFonts w:ascii="Calibri" w:hAnsi="Calibri"/>
          <w:b w:val="0"/>
          <w:i w:val="0"/>
          <w:color w:val="101828"/>
          <w:sz w:val="21"/>
        </w:rPr>
        <w:t xml:space="preserve"> Financial products must not be marketed in a way that exploits financial distress.</w:t>
      </w:r>
    </w:p>
    <w:p>
      <w:pPr>
        <w:pStyle w:val="ListBullet"/>
        <w:spacing w:after="60"/>
        <w:ind w:left="360"/>
      </w:pPr>
      <w:r>
        <w:rPr>
          <w:rFonts w:ascii="Calibri" w:hAnsi="Calibri"/>
          <w:b/>
          <w:color w:val="101828"/>
          <w:sz w:val="21"/>
        </w:rPr>
        <w:t>All advertising must carry the required disclosures and risk warnings</w:t>
      </w:r>
      <w:r>
        <w:rPr>
          <w:rFonts w:ascii="Calibri" w:hAnsi="Calibri"/>
          <w:b w:val="0"/>
          <w:i w:val="0"/>
          <w:color w:val="101828"/>
          <w:sz w:val="21"/>
        </w:rPr>
        <w:t>, and comply with advertising standards as well as financial promotion rules.</w:t>
      </w:r>
    </w:p>
    <w:p>
      <w:pPr>
        <w:pStyle w:val="Heading2"/>
      </w:pPr>
      <w:r>
        <w:rPr>
          <w:rFonts w:ascii="Calibri" w:hAnsi="Calibri"/>
          <w:b/>
          <w:i w:val="0"/>
          <w:color w:val="146EF5"/>
          <w:sz w:val="29"/>
        </w:rPr>
        <w:t>24.9 Intellectual property</w:t>
      </w:r>
    </w:p>
    <w:p>
      <w:pPr>
        <w:pStyle w:val="ListBullet"/>
        <w:spacing w:after="60"/>
        <w:ind w:left="360"/>
      </w:pPr>
      <w:r>
        <w:rPr>
          <w:rFonts w:ascii="Calibri" w:hAnsi="Calibri"/>
          <w:b w:val="0"/>
          <w:i w:val="0"/>
          <w:color w:val="101828"/>
          <w:sz w:val="21"/>
        </w:rPr>
        <w:t>The AJO.ng name and logo require protection. A trademark search should be conducted before launch, and the domain and handles secured across the major platforms.</w:t>
      </w:r>
    </w:p>
    <w:p>
      <w:pPr>
        <w:pStyle w:val="ListBullet"/>
        <w:spacing w:after="60"/>
        <w:ind w:left="360"/>
      </w:pPr>
      <w:r>
        <w:rPr>
          <w:rFonts w:ascii="Calibri" w:hAnsi="Calibri"/>
          <w:b w:val="0"/>
          <w:i w:val="0"/>
          <w:color w:val="101828"/>
          <w:sz w:val="21"/>
        </w:rPr>
        <w:t>The codebase, documentation, and design system are the company's assets and belong in the repository with a clear contributor licence.</w:t>
      </w:r>
    </w:p>
    <w:p>
      <w:pPr>
        <w:pStyle w:val="ListBullet"/>
        <w:spacing w:after="60"/>
        <w:ind w:left="360"/>
      </w:pPr>
      <w:r>
        <w:rPr>
          <w:rFonts w:ascii="Calibri" w:hAnsi="Calibri"/>
          <w:b w:val="0"/>
          <w:i w:val="0"/>
          <w:color w:val="101828"/>
          <w:sz w:val="21"/>
        </w:rPr>
        <w:t>Third-party open-source dependencies must be licence-compliant, and a dependency licence review should be part of the release process.</w:t>
      </w:r>
    </w:p>
    <w:p>
      <w:pPr>
        <w:pStyle w:val="ListBullet"/>
        <w:spacing w:after="60"/>
        <w:ind w:left="360"/>
      </w:pPr>
      <w:r>
        <w:rPr>
          <w:rFonts w:ascii="Calibri" w:hAnsi="Calibri"/>
          <w:b w:val="0"/>
          <w:i w:val="0"/>
          <w:color w:val="101828"/>
          <w:sz w:val="21"/>
        </w:rPr>
        <w:t>Content contributed by members — profile photos, dispute evidence, messages — must have a clear licence for use, or be stored privately without reuse.</w:t>
      </w:r>
    </w:p>
    <w:p>
      <w:pPr>
        <w:pStyle w:val="ListBullet"/>
        <w:spacing w:after="60"/>
        <w:ind w:left="360"/>
      </w:pPr>
      <w:r>
        <w:rPr>
          <w:rFonts w:ascii="Calibri" w:hAnsi="Calibri"/>
          <w:b w:val="0"/>
          <w:i w:val="0"/>
          <w:color w:val="101828"/>
          <w:sz w:val="21"/>
        </w:rPr>
        <w:t>Employee and contractor IP assignment agreements should be in place for everyone who writes code or designs product.</w:t>
      </w:r>
    </w:p>
    <w:p>
      <w:pPr>
        <w:pStyle w:val="Heading2"/>
      </w:pPr>
      <w:r>
        <w:rPr>
          <w:rFonts w:ascii="Calibri" w:hAnsi="Calibri"/>
          <w:b/>
          <w:i w:val="0"/>
          <w:color w:val="146EF5"/>
          <w:sz w:val="29"/>
        </w:rPr>
        <w:t>24.10 Employment and staffing considerations</w:t>
      </w:r>
    </w:p>
    <w:p>
      <w:pPr>
        <w:pStyle w:val="ListBullet"/>
        <w:spacing w:after="60"/>
        <w:ind w:left="360"/>
      </w:pPr>
      <w:r>
        <w:rPr>
          <w:rFonts w:ascii="Calibri" w:hAnsi="Calibri"/>
          <w:b w:val="0"/>
          <w:i w:val="0"/>
          <w:color w:val="101828"/>
          <w:sz w:val="21"/>
        </w:rPr>
        <w:t>Employment contracts compliant with Nigerian labour law, with the required statutory deductions and benefits.</w:t>
      </w:r>
    </w:p>
    <w:p>
      <w:pPr>
        <w:pStyle w:val="ListBullet"/>
        <w:spacing w:after="60"/>
        <w:ind w:left="360"/>
      </w:pPr>
      <w:r>
        <w:rPr>
          <w:rFonts w:ascii="Calibri" w:hAnsi="Calibri"/>
          <w:b w:val="0"/>
          <w:i w:val="0"/>
          <w:color w:val="101828"/>
          <w:sz w:val="21"/>
        </w:rPr>
        <w:t>Data protection obligations for staff, and confidentiality obligations covering member financial data.</w:t>
      </w:r>
    </w:p>
    <w:p>
      <w:pPr>
        <w:pStyle w:val="ListBullet"/>
        <w:spacing w:after="60"/>
        <w:ind w:left="360"/>
      </w:pPr>
      <w:r>
        <w:rPr>
          <w:rFonts w:ascii="Calibri" w:hAnsi="Calibri"/>
          <w:b w:val="0"/>
          <w:i w:val="0"/>
          <w:color w:val="101828"/>
          <w:sz w:val="21"/>
        </w:rPr>
        <w:t>AML training for any staff in a covered role, and documented training records.</w:t>
      </w:r>
    </w:p>
    <w:p>
      <w:pPr>
        <w:pStyle w:val="ListBullet"/>
        <w:spacing w:after="60"/>
        <w:ind w:left="360"/>
      </w:pPr>
      <w:r>
        <w:rPr>
          <w:rFonts w:ascii="Calibri" w:hAnsi="Calibri"/>
          <w:b w:val="0"/>
          <w:i w:val="0"/>
          <w:color w:val="101828"/>
          <w:sz w:val="21"/>
        </w:rPr>
        <w:t>Disciplinary procedures that can be applied consistently, particularly for the handling of member data and money.</w:t>
      </w:r>
    </w:p>
    <w:p>
      <w:pPr>
        <w:pStyle w:val="ListBullet"/>
        <w:spacing w:after="60"/>
        <w:ind w:left="360"/>
      </w:pPr>
      <w:r>
        <w:rPr>
          <w:rFonts w:ascii="Calibri" w:hAnsi="Calibri"/>
          <w:b w:val="0"/>
          <w:i w:val="0"/>
          <w:color w:val="101828"/>
          <w:sz w:val="21"/>
        </w:rPr>
        <w:t>A whistleblowing mechanism that is genuinely safe to use, given the small size of an early team.</w:t>
      </w:r>
    </w:p>
    <w:p>
      <w:pPr>
        <w:pStyle w:val="ListBullet"/>
        <w:spacing w:after="60"/>
        <w:ind w:left="360"/>
      </w:pPr>
      <w:r>
        <w:rPr>
          <w:rFonts w:ascii="Calibri" w:hAnsi="Calibri"/>
          <w:b w:val="0"/>
          <w:i w:val="0"/>
          <w:color w:val="101828"/>
          <w:sz w:val="21"/>
        </w:rPr>
        <w:t>Contractor and agency arrangements for support and risk roles, with the appropriate agreements in place.</w:t>
      </w:r>
    </w:p>
    <w:p>
      <w:pPr>
        <w:pStyle w:val="Heading2"/>
      </w:pPr>
      <w:r>
        <w:rPr>
          <w:rFonts w:ascii="Calibri" w:hAnsi="Calibri"/>
          <w:b/>
          <w:i w:val="0"/>
          <w:color w:val="146EF5"/>
          <w:sz w:val="29"/>
        </w:rPr>
        <w:t>24.11 Insurance</w:t>
      </w:r>
    </w:p>
    <w:p>
      <w:pPr>
        <w:pStyle w:val="ListBullet"/>
        <w:spacing w:after="60"/>
        <w:ind w:left="360"/>
      </w:pPr>
      <w:r>
        <w:rPr>
          <w:rFonts w:ascii="Calibri" w:hAnsi="Calibri"/>
          <w:b/>
          <w:color w:val="101828"/>
          <w:sz w:val="21"/>
        </w:rPr>
        <w:t>Professional indemnity insurance</w:t>
      </w:r>
      <w:r>
        <w:rPr>
          <w:rFonts w:ascii="Calibri" w:hAnsi="Calibri"/>
          <w:b w:val="0"/>
          <w:i w:val="0"/>
          <w:color w:val="101828"/>
          <w:sz w:val="21"/>
        </w:rPr>
        <w:t xml:space="preserve"> — for errors and omissions in the service.</w:t>
      </w:r>
    </w:p>
    <w:p>
      <w:pPr>
        <w:pStyle w:val="ListBullet"/>
        <w:spacing w:after="60"/>
        <w:ind w:left="360"/>
      </w:pPr>
      <w:r>
        <w:rPr>
          <w:rFonts w:ascii="Calibri" w:hAnsi="Calibri"/>
          <w:b/>
          <w:color w:val="101828"/>
          <w:sz w:val="21"/>
        </w:rPr>
        <w:t>Cyber insurance</w:t>
      </w:r>
      <w:r>
        <w:rPr>
          <w:rFonts w:ascii="Calibri" w:hAnsi="Calibri"/>
          <w:b w:val="0"/>
          <w:i w:val="0"/>
          <w:color w:val="101828"/>
          <w:sz w:val="21"/>
        </w:rPr>
        <w:t xml:space="preserve"> — for breach response, notification costs, and restoration. The cost of notifying affected members in Nigeria should be assumed to be significant.</w:t>
      </w:r>
    </w:p>
    <w:p>
      <w:pPr>
        <w:pStyle w:val="ListBullet"/>
        <w:spacing w:after="60"/>
        <w:ind w:left="360"/>
      </w:pPr>
      <w:r>
        <w:rPr>
          <w:rFonts w:ascii="Calibri" w:hAnsi="Calibri"/>
          <w:b/>
          <w:color w:val="101828"/>
          <w:sz w:val="21"/>
        </w:rPr>
        <w:t>Crime and fidelity insurance</w:t>
      </w:r>
      <w:r>
        <w:rPr>
          <w:rFonts w:ascii="Calibri" w:hAnsi="Calibri"/>
          <w:b w:val="0"/>
          <w:i w:val="0"/>
          <w:color w:val="101828"/>
          <w:sz w:val="21"/>
        </w:rPr>
        <w:t xml:space="preserve"> — covering internal fraud by staff with access to money movement. A dedicated money-handling role is a strong reason to hold this.</w:t>
      </w:r>
    </w:p>
    <w:p>
      <w:pPr>
        <w:pStyle w:val="ListBullet"/>
        <w:spacing w:after="60"/>
        <w:ind w:left="360"/>
      </w:pPr>
      <w:r>
        <w:rPr>
          <w:rFonts w:ascii="Calibri" w:hAnsi="Calibri"/>
          <w:b/>
          <w:color w:val="101828"/>
          <w:sz w:val="21"/>
        </w:rPr>
        <w:t>Directors and officers insurance</w:t>
      </w:r>
      <w:r>
        <w:rPr>
          <w:rFonts w:ascii="Calibri" w:hAnsi="Calibri"/>
          <w:b w:val="0"/>
          <w:i w:val="0"/>
          <w:color w:val="101828"/>
          <w:sz w:val="21"/>
        </w:rPr>
        <w:t xml:space="preserve"> — once the company has a board.</w:t>
      </w:r>
    </w:p>
    <w:p>
      <w:pPr>
        <w:pStyle w:val="ListBullet"/>
        <w:spacing w:after="60"/>
        <w:ind w:left="360"/>
      </w:pPr>
      <w:r>
        <w:rPr>
          <w:rFonts w:ascii="Calibri" w:hAnsi="Calibri"/>
          <w:b/>
          <w:color w:val="101828"/>
          <w:sz w:val="21"/>
        </w:rPr>
        <w:t>Business interruption cover</w:t>
      </w:r>
      <w:r>
        <w:rPr>
          <w:rFonts w:ascii="Calibri" w:hAnsi="Calibri"/>
          <w:b w:val="0"/>
          <w:i w:val="0"/>
          <w:color w:val="101828"/>
          <w:sz w:val="21"/>
        </w:rPr>
        <w:t xml:space="preserve"> — reflecting the actual recovery objectives in section 20.6.</w:t>
      </w:r>
    </w:p>
    <w:p>
      <w:r>
        <w:rPr>
          <w:rFonts w:ascii="Calibri" w:hAnsi="Calibri"/>
          <w:b w:val="0"/>
          <w:i w:val="0"/>
          <w:color w:val="101828"/>
          <w:sz w:val="21"/>
        </w:rPr>
        <w:t>Insurance is a business decision and should be taken with an adviser once the business model and provider agreement are settled, because the coverage that matters depends on how the money flows.</w:t>
      </w:r>
    </w:p>
    <w:p>
      <w:pPr>
        <w:pStyle w:val="Heading2"/>
      </w:pPr>
      <w:r>
        <w:rPr>
          <w:rFonts w:ascii="Calibri" w:hAnsi="Calibri"/>
          <w:b/>
          <w:i w:val="0"/>
          <w:color w:val="146EF5"/>
          <w:sz w:val="29"/>
        </w:rPr>
        <w:t>24.12 Obligations by partner</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Partner</w:t>
            </w:r>
          </w:p>
        </w:tc>
        <w:tc>
          <w:tcPr>
            <w:tcW w:type="dxa" w:w="4176"/>
            <w:shd w:val="clear" w:color="auto" w:fill="0B1F3A"/>
            <w:tcMar>
              <w:top w:w="60" w:type="dxa"/>
              <w:start w:w="110" w:type="dxa"/>
              <w:bottom w:w="60" w:type="dxa"/>
              <w:end w:w="110" w:type="dxa"/>
            </w:tcMar>
          </w:tcPr>
          <w:p>
            <w:pPr>
              <w:spacing w:after="0"/>
            </w:pPr>
            <w:r/>
            <w:r>
              <w:rPr>
                <w:rFonts w:ascii="Calibri" w:hAnsi="Calibri"/>
                <w:b/>
                <w:i w:val="0"/>
                <w:color w:val="FFFFFF"/>
                <w:sz w:val="16"/>
              </w:rPr>
              <w:t>Likely obligations</w:t>
            </w:r>
          </w:p>
        </w:tc>
        <w:tc>
          <w:tcPr>
            <w:tcW w:type="dxa" w:w="3312"/>
            <w:shd w:val="clear" w:color="auto" w:fill="0B1F3A"/>
            <w:tcMar>
              <w:top w:w="60" w:type="dxa"/>
              <w:start w:w="110" w:type="dxa"/>
              <w:bottom w:w="60" w:type="dxa"/>
              <w:end w:w="110" w:type="dxa"/>
            </w:tcMar>
          </w:tcPr>
          <w:p>
            <w:pPr>
              <w:spacing w:after="0"/>
            </w:pPr>
            <w:r/>
            <w:r>
              <w:rPr>
                <w:rFonts w:ascii="Calibri" w:hAnsi="Calibri"/>
                <w:b/>
                <w:i w:val="0"/>
                <w:color w:val="FFFFFF"/>
                <w:sz w:val="16"/>
              </w:rPr>
              <w:t>Open items</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Payment provider (ProvidusUnity)</w:t>
            </w:r>
          </w:p>
        </w:tc>
        <w:tc>
          <w:tcPr>
            <w:tcW w:type="dxa" w:w="4176"/>
            <w:tcMar>
              <w:top w:w="60" w:type="dxa"/>
              <w:start w:w="110" w:type="dxa"/>
              <w:bottom w:w="60" w:type="dxa"/>
              <w:end w:w="110" w:type="dxa"/>
            </w:tcMar>
          </w:tcPr>
          <w:p>
            <w:pPr>
              <w:spacing w:after="0"/>
            </w:pPr>
            <w:r/>
            <w:r>
              <w:rPr>
                <w:rFonts w:ascii="Calibri" w:hAnsi="Calibri"/>
                <w:b w:val="0"/>
                <w:i w:val="0"/>
                <w:color w:val="101828"/>
                <w:sz w:val="16"/>
              </w:rPr>
              <w:t>KYC on merchants, transaction reporting, settlement reconciliation, adherence to provider policy, prompt incident reporting</w:t>
            </w:r>
          </w:p>
        </w:tc>
        <w:tc>
          <w:tcPr>
            <w:tcW w:type="dxa" w:w="3312"/>
            <w:tcMar>
              <w:top w:w="60" w:type="dxa"/>
              <w:start w:w="110" w:type="dxa"/>
              <w:bottom w:w="60" w:type="dxa"/>
              <w:end w:w="110" w:type="dxa"/>
            </w:tcMar>
          </w:tcPr>
          <w:p>
            <w:pPr>
              <w:spacing w:after="0"/>
            </w:pPr>
            <w:r/>
            <w:r>
              <w:rPr>
                <w:rFonts w:ascii="Calibri" w:hAnsi="Calibri"/>
                <w:b/>
                <w:color w:val="101828"/>
                <w:sz w:val="16"/>
              </w:rPr>
              <w:t>Merchant onboarding requirements, fees, and permitted use cases to be confirmed</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Bank or settlement partner</w:t>
            </w:r>
          </w:p>
        </w:tc>
        <w:tc>
          <w:tcPr>
            <w:tcW w:type="dxa" w:w="4176"/>
            <w:tcMar>
              <w:top w:w="60" w:type="dxa"/>
              <w:start w:w="110" w:type="dxa"/>
              <w:bottom w:w="60" w:type="dxa"/>
              <w:end w:w="110" w:type="dxa"/>
            </w:tcMar>
            <w:shd w:val="clear" w:color="auto" w:fill="F4F7FB"/>
          </w:tcPr>
          <w:p>
            <w:pPr>
              <w:spacing w:after="0"/>
            </w:pPr>
            <w:r/>
            <w:r>
              <w:rPr>
                <w:rFonts w:ascii="Calibri" w:hAnsi="Calibri"/>
                <w:b w:val="0"/>
                <w:i w:val="0"/>
                <w:color w:val="101828"/>
                <w:sz w:val="16"/>
              </w:rPr>
              <w:t>Account due diligence, source of funds, ongoing monitoring</w:t>
            </w:r>
          </w:p>
        </w:tc>
        <w:tc>
          <w:tcPr>
            <w:tcW w:type="dxa" w:w="3312"/>
            <w:tcMar>
              <w:top w:w="60" w:type="dxa"/>
              <w:start w:w="110" w:type="dxa"/>
              <w:bottom w:w="60" w:type="dxa"/>
              <w:end w:w="110" w:type="dxa"/>
            </w:tcMar>
            <w:shd w:val="clear" w:color="auto" w:fill="F4F7FB"/>
          </w:tcPr>
          <w:p>
            <w:pPr>
              <w:spacing w:after="0"/>
            </w:pPr>
            <w:r/>
            <w:r>
              <w:rPr>
                <w:rFonts w:ascii="Calibri" w:hAnsi="Calibri"/>
                <w:b/>
                <w:color w:val="101828"/>
                <w:sz w:val="16"/>
              </w:rPr>
              <w:t>To be confirmed</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Cloud and database providers</w:t>
            </w:r>
          </w:p>
        </w:tc>
        <w:tc>
          <w:tcPr>
            <w:tcW w:type="dxa" w:w="4176"/>
            <w:tcMar>
              <w:top w:w="60" w:type="dxa"/>
              <w:start w:w="110" w:type="dxa"/>
              <w:bottom w:w="60" w:type="dxa"/>
              <w:end w:w="110" w:type="dxa"/>
            </w:tcMar>
          </w:tcPr>
          <w:p>
            <w:pPr>
              <w:spacing w:after="0"/>
            </w:pPr>
            <w:r/>
            <w:r>
              <w:rPr>
                <w:rFonts w:ascii="Calibri" w:hAnsi="Calibri"/>
                <w:b w:val="0"/>
                <w:i w:val="0"/>
                <w:color w:val="101828"/>
                <w:sz w:val="16"/>
              </w:rPr>
              <w:t>Data processing agreements, security standards, breach notification, data residency</w:t>
            </w:r>
          </w:p>
        </w:tc>
        <w:tc>
          <w:tcPr>
            <w:tcW w:type="dxa" w:w="3312"/>
            <w:tcMar>
              <w:top w:w="60" w:type="dxa"/>
              <w:start w:w="110" w:type="dxa"/>
              <w:bottom w:w="60" w:type="dxa"/>
              <w:end w:w="110" w:type="dxa"/>
            </w:tcMar>
          </w:tcPr>
          <w:p>
            <w:pPr>
              <w:spacing w:after="0"/>
            </w:pPr>
            <w:r/>
            <w:r>
              <w:rPr>
                <w:rFonts w:ascii="Calibri" w:hAnsi="Calibri"/>
                <w:b/>
                <w:color w:val="101828"/>
                <w:sz w:val="16"/>
              </w:rPr>
              <w:t>DPAs and residency to be confirmed</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Notification providers</w:t>
            </w:r>
          </w:p>
        </w:tc>
        <w:tc>
          <w:tcPr>
            <w:tcW w:type="dxa" w:w="4176"/>
            <w:tcMar>
              <w:top w:w="60" w:type="dxa"/>
              <w:start w:w="110" w:type="dxa"/>
              <w:bottom w:w="60" w:type="dxa"/>
              <w:end w:w="110" w:type="dxa"/>
            </w:tcMar>
            <w:shd w:val="clear" w:color="auto" w:fill="F4F7FB"/>
          </w:tcPr>
          <w:p>
            <w:pPr>
              <w:spacing w:after="0"/>
            </w:pPr>
            <w:r/>
            <w:r>
              <w:rPr>
                <w:rFonts w:ascii="Calibri" w:hAnsi="Calibri"/>
                <w:b w:val="0"/>
                <w:i w:val="0"/>
                <w:color w:val="101828"/>
                <w:sz w:val="16"/>
              </w:rPr>
              <w:t>Data processing agreements, content standards, delivery reporting</w:t>
            </w:r>
          </w:p>
        </w:tc>
        <w:tc>
          <w:tcPr>
            <w:tcW w:type="dxa" w:w="3312"/>
            <w:tcMar>
              <w:top w:w="60" w:type="dxa"/>
              <w:start w:w="110" w:type="dxa"/>
              <w:bottom w:w="60" w:type="dxa"/>
              <w:end w:w="110" w:type="dxa"/>
            </w:tcMar>
            <w:shd w:val="clear" w:color="auto" w:fill="F4F7FB"/>
          </w:tcPr>
          <w:p>
            <w:pPr>
              <w:spacing w:after="0"/>
            </w:pPr>
            <w:r/>
            <w:r>
              <w:rPr>
                <w:rFonts w:ascii="Calibri" w:hAnsi="Calibri"/>
                <w:b/>
                <w:color w:val="101828"/>
                <w:sz w:val="16"/>
              </w:rPr>
              <w:t>DPAs to be executed</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App stores</w:t>
            </w:r>
          </w:p>
        </w:tc>
        <w:tc>
          <w:tcPr>
            <w:tcW w:type="dxa" w:w="4176"/>
            <w:tcMar>
              <w:top w:w="60" w:type="dxa"/>
              <w:start w:w="110" w:type="dxa"/>
              <w:bottom w:w="60" w:type="dxa"/>
              <w:end w:w="110" w:type="dxa"/>
            </w:tcMar>
          </w:tcPr>
          <w:p>
            <w:pPr>
              <w:spacing w:after="0"/>
            </w:pPr>
            <w:r/>
            <w:r>
              <w:rPr>
                <w:rFonts w:ascii="Calibri" w:hAnsi="Calibri"/>
                <w:b w:val="0"/>
                <w:i w:val="0"/>
                <w:color w:val="101828"/>
                <w:sz w:val="16"/>
              </w:rPr>
              <w:t>Privacy declarations, data deletion paths, compliance with store policies</w:t>
            </w:r>
          </w:p>
        </w:tc>
        <w:tc>
          <w:tcPr>
            <w:tcW w:type="dxa" w:w="3312"/>
            <w:tcMar>
              <w:top w:w="60" w:type="dxa"/>
              <w:start w:w="110" w:type="dxa"/>
              <w:bottom w:w="60" w:type="dxa"/>
              <w:end w:w="110" w:type="dxa"/>
            </w:tcMar>
          </w:tcPr>
          <w:p>
            <w:pPr>
              <w:spacing w:after="0"/>
            </w:pPr>
            <w:r/>
            <w:r>
              <w:rPr>
                <w:rFonts w:ascii="Calibri" w:hAnsi="Calibri"/>
                <w:b w:val="0"/>
                <w:i w:val="0"/>
                <w:color w:val="101828"/>
                <w:sz w:val="16"/>
              </w:rPr>
              <w:t>Standard requirements</w:t>
            </w:r>
          </w:p>
        </w:tc>
      </w:tr>
    </w:tbl>
    <w:p>
      <w:pPr>
        <w:spacing w:after="80"/>
      </w:pPr>
    </w:p>
    <w:p>
      <w:pPr>
        <w:pStyle w:val="Heading2"/>
      </w:pPr>
      <w:r>
        <w:rPr>
          <w:rFonts w:ascii="Calibri" w:hAnsi="Calibri"/>
          <w:b/>
          <w:i w:val="0"/>
          <w:color w:val="146EF5"/>
          <w:sz w:val="29"/>
        </w:rPr>
        <w:t>24.13 Compliance monitoring</w:t>
      </w:r>
    </w:p>
    <w:p>
      <w:pPr>
        <w:pStyle w:val="ListBullet"/>
        <w:spacing w:after="60"/>
        <w:ind w:left="360"/>
      </w:pPr>
      <w:r>
        <w:rPr>
          <w:rFonts w:ascii="Calibri" w:hAnsi="Calibri"/>
          <w:b w:val="0"/>
          <w:i w:val="0"/>
          <w:color w:val="101828"/>
          <w:sz w:val="21"/>
        </w:rPr>
        <w:t>A named compliance owner, with a direct line to the founders.</w:t>
      </w:r>
    </w:p>
    <w:p>
      <w:pPr>
        <w:pStyle w:val="ListBullet"/>
        <w:spacing w:after="60"/>
        <w:ind w:left="360"/>
      </w:pPr>
      <w:r>
        <w:rPr>
          <w:rFonts w:ascii="Calibri" w:hAnsi="Calibri"/>
          <w:b w:val="0"/>
          <w:i w:val="0"/>
          <w:color w:val="101828"/>
          <w:sz w:val="21"/>
        </w:rPr>
        <w:t>A compliance register: every obligation, its owner, its evidence, and its review date. An obligation with no evidence is not being met.</w:t>
      </w:r>
    </w:p>
    <w:p>
      <w:pPr>
        <w:pStyle w:val="ListBullet"/>
        <w:spacing w:after="60"/>
        <w:ind w:left="360"/>
      </w:pPr>
      <w:r>
        <w:rPr>
          <w:rFonts w:ascii="Calibri" w:hAnsi="Calibri"/>
          <w:b w:val="0"/>
          <w:i w:val="0"/>
          <w:color w:val="101828"/>
          <w:sz w:val="21"/>
        </w:rPr>
        <w:t>Quarterly review of policies against actual practice. Policy documents that describe a system nobody operates are worse than no policy at all, because they create a false record.</w:t>
      </w:r>
    </w:p>
    <w:p>
      <w:pPr>
        <w:pStyle w:val="ListBullet"/>
        <w:spacing w:after="60"/>
        <w:ind w:left="360"/>
      </w:pPr>
      <w:r>
        <w:rPr>
          <w:rFonts w:ascii="Calibri" w:hAnsi="Calibri"/>
          <w:b w:val="0"/>
          <w:i w:val="0"/>
          <w:color w:val="101828"/>
          <w:sz w:val="21"/>
        </w:rPr>
        <w:t>Annual review by external advisers, and after any material change to the product or the business model.</w:t>
      </w:r>
    </w:p>
    <w:p>
      <w:pPr>
        <w:pStyle w:val="ListBullet"/>
        <w:spacing w:after="60"/>
        <w:ind w:left="360"/>
      </w:pPr>
      <w:r>
        <w:rPr>
          <w:rFonts w:ascii="Calibri" w:hAnsi="Calibri"/>
          <w:b w:val="0"/>
          <w:i w:val="0"/>
          <w:color w:val="101828"/>
          <w:sz w:val="21"/>
        </w:rPr>
        <w:t>Regulatory change monitoring, with a defined process for assessing and implementing changes.</w:t>
      </w:r>
    </w:p>
    <w:p>
      <w:pPr>
        <w:pStyle w:val="ListBullet"/>
        <w:spacing w:after="60"/>
        <w:ind w:left="360"/>
      </w:pPr>
      <w:r>
        <w:rPr>
          <w:rFonts w:ascii="Calibri" w:hAnsi="Calibri"/>
          <w:b w:val="0"/>
          <w:i w:val="0"/>
          <w:color w:val="101828"/>
          <w:sz w:val="21"/>
        </w:rPr>
        <w:t>A training register, so it is always possible to demonstrate that staff were trained.</w:t>
      </w:r>
    </w:p>
    <w:p>
      <w:pPr>
        <w:pStyle w:val="Heading2"/>
      </w:pPr>
      <w:r>
        <w:rPr>
          <w:rFonts w:ascii="Calibri" w:hAnsi="Calibri"/>
          <w:b/>
          <w:i w:val="0"/>
          <w:color w:val="146EF5"/>
          <w:sz w:val="29"/>
        </w:rPr>
        <w:t>24.14 Pre-launch legal checklist</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720"/>
            <w:shd w:val="clear" w:color="auto" w:fill="0B1F3A"/>
            <w:tcMar>
              <w:top w:w="60" w:type="dxa"/>
              <w:start w:w="110" w:type="dxa"/>
              <w:bottom w:w="60" w:type="dxa"/>
              <w:end w:w="110" w:type="dxa"/>
            </w:tcMar>
          </w:tcPr>
          <w:p>
            <w:pPr>
              <w:spacing w:after="0"/>
            </w:pPr>
            <w:r/>
            <w:r>
              <w:rPr>
                <w:rFonts w:ascii="Calibri" w:hAnsi="Calibri"/>
                <w:b/>
                <w:i w:val="0"/>
                <w:color w:val="FFFFFF"/>
                <w:sz w:val="16"/>
              </w:rPr>
              <w:t>#</w:t>
            </w:r>
          </w:p>
        </w:tc>
        <w:tc>
          <w:tcPr>
            <w:tcW w:type="dxa" w:w="6768"/>
            <w:shd w:val="clear" w:color="auto" w:fill="0B1F3A"/>
            <w:tcMar>
              <w:top w:w="60" w:type="dxa"/>
              <w:start w:w="110" w:type="dxa"/>
              <w:bottom w:w="60" w:type="dxa"/>
              <w:end w:w="110" w:type="dxa"/>
            </w:tcMar>
          </w:tcPr>
          <w:p>
            <w:pPr>
              <w:spacing w:after="0"/>
            </w:pPr>
            <w:r/>
            <w:r>
              <w:rPr>
                <w:rFonts w:ascii="Calibri" w:hAnsi="Calibri"/>
                <w:b/>
                <w:i w:val="0"/>
                <w:color w:val="FFFFFF"/>
                <w:sz w:val="16"/>
              </w:rPr>
              <w:t>Item</w:t>
            </w:r>
          </w:p>
        </w:tc>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Status</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6"/>
              </w:rPr>
              <w:t>1</w:t>
            </w:r>
          </w:p>
        </w:tc>
        <w:tc>
          <w:tcPr>
            <w:tcW w:type="dxa" w:w="6768"/>
            <w:tcMar>
              <w:top w:w="60" w:type="dxa"/>
              <w:start w:w="110" w:type="dxa"/>
              <w:bottom w:w="60" w:type="dxa"/>
              <w:end w:w="110" w:type="dxa"/>
            </w:tcMar>
          </w:tcPr>
          <w:p>
            <w:pPr>
              <w:spacing w:after="0"/>
            </w:pPr>
            <w:r/>
            <w:r>
              <w:rPr>
                <w:rFonts w:ascii="Calibri" w:hAnsi="Calibri"/>
                <w:b w:val="0"/>
                <w:i w:val="0"/>
                <w:color w:val="101828"/>
                <w:sz w:val="16"/>
              </w:rPr>
              <w:t>Regulatory characterisation and licensing determination obtained in writing</w:t>
            </w:r>
          </w:p>
        </w:tc>
        <w:tc>
          <w:tcPr>
            <w:tcW w:type="dxa" w:w="1872"/>
            <w:tcMar>
              <w:top w:w="60" w:type="dxa"/>
              <w:start w:w="110" w:type="dxa"/>
              <w:bottom w:w="60" w:type="dxa"/>
              <w:end w:w="110" w:type="dxa"/>
            </w:tcMar>
          </w:tcPr>
          <w:p>
            <w:pPr>
              <w:spacing w:after="0"/>
            </w:pPr>
            <w:r/>
            <w:r>
              <w:rPr>
                <w:rFonts w:ascii="Calibri" w:hAnsi="Calibri"/>
                <w:b/>
                <w:color w:val="101828"/>
                <w:sz w:val="16"/>
              </w:rPr>
              <w:t>Outstanding</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6"/>
              </w:rPr>
              <w:t>2</w:t>
            </w:r>
          </w:p>
        </w:tc>
        <w:tc>
          <w:tcPr>
            <w:tcW w:type="dxa" w:w="6768"/>
            <w:tcMar>
              <w:top w:w="60" w:type="dxa"/>
              <w:start w:w="110" w:type="dxa"/>
              <w:bottom w:w="60" w:type="dxa"/>
              <w:end w:w="110" w:type="dxa"/>
            </w:tcMar>
            <w:shd w:val="clear" w:color="auto" w:fill="F4F7FB"/>
          </w:tcPr>
          <w:p>
            <w:pPr>
              <w:spacing w:after="0"/>
            </w:pPr>
            <w:r/>
            <w:r>
              <w:rPr>
                <w:rFonts w:ascii="Calibri" w:hAnsi="Calibri"/>
                <w:b w:val="0"/>
                <w:i w:val="0"/>
                <w:color w:val="101828"/>
                <w:sz w:val="16"/>
              </w:rPr>
              <w:t>Payments partner agreement executed, with permitted use cases confirmed</w:t>
            </w:r>
          </w:p>
        </w:tc>
        <w:tc>
          <w:tcPr>
            <w:tcW w:type="dxa" w:w="1872"/>
            <w:tcMar>
              <w:top w:w="60" w:type="dxa"/>
              <w:start w:w="110" w:type="dxa"/>
              <w:bottom w:w="60" w:type="dxa"/>
              <w:end w:w="110" w:type="dxa"/>
            </w:tcMar>
            <w:shd w:val="clear" w:color="auto" w:fill="F4F7FB"/>
          </w:tcPr>
          <w:p>
            <w:pPr>
              <w:spacing w:after="0"/>
            </w:pPr>
            <w:r/>
            <w:r>
              <w:rPr>
                <w:rFonts w:ascii="Calibri" w:hAnsi="Calibri"/>
                <w:b/>
                <w:color w:val="101828"/>
                <w:sz w:val="16"/>
              </w:rPr>
              <w:t>Outstanding</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6"/>
              </w:rPr>
              <w:t>3</w:t>
            </w:r>
          </w:p>
        </w:tc>
        <w:tc>
          <w:tcPr>
            <w:tcW w:type="dxa" w:w="6768"/>
            <w:tcMar>
              <w:top w:w="60" w:type="dxa"/>
              <w:start w:w="110" w:type="dxa"/>
              <w:bottom w:w="60" w:type="dxa"/>
              <w:end w:w="110" w:type="dxa"/>
            </w:tcMar>
          </w:tcPr>
          <w:p>
            <w:pPr>
              <w:spacing w:after="0"/>
            </w:pPr>
            <w:r/>
            <w:r>
              <w:rPr>
                <w:rFonts w:ascii="Calibri" w:hAnsi="Calibri"/>
                <w:b w:val="0"/>
                <w:i w:val="0"/>
                <w:color w:val="101828"/>
                <w:sz w:val="16"/>
              </w:rPr>
              <w:t>Custody position confirmed and the account structure approved</w:t>
            </w:r>
          </w:p>
        </w:tc>
        <w:tc>
          <w:tcPr>
            <w:tcW w:type="dxa" w:w="1872"/>
            <w:tcMar>
              <w:top w:w="60" w:type="dxa"/>
              <w:start w:w="110" w:type="dxa"/>
              <w:bottom w:w="60" w:type="dxa"/>
              <w:end w:w="110" w:type="dxa"/>
            </w:tcMar>
          </w:tcPr>
          <w:p>
            <w:pPr>
              <w:spacing w:after="0"/>
            </w:pPr>
            <w:r/>
            <w:r>
              <w:rPr>
                <w:rFonts w:ascii="Calibri" w:hAnsi="Calibri"/>
                <w:b/>
                <w:color w:val="101828"/>
                <w:sz w:val="16"/>
              </w:rPr>
              <w:t>Outstanding</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6"/>
              </w:rPr>
              <w:t>4</w:t>
            </w:r>
          </w:p>
        </w:tc>
        <w:tc>
          <w:tcPr>
            <w:tcW w:type="dxa" w:w="6768"/>
            <w:tcMar>
              <w:top w:w="60" w:type="dxa"/>
              <w:start w:w="110" w:type="dxa"/>
              <w:bottom w:w="60" w:type="dxa"/>
              <w:end w:w="110" w:type="dxa"/>
            </w:tcMar>
            <w:shd w:val="clear" w:color="auto" w:fill="F4F7FB"/>
          </w:tcPr>
          <w:p>
            <w:pPr>
              <w:spacing w:after="0"/>
            </w:pPr>
            <w:r/>
            <w:r>
              <w:rPr>
                <w:rFonts w:ascii="Calibri" w:hAnsi="Calibri"/>
                <w:b w:val="0"/>
                <w:i w:val="0"/>
                <w:color w:val="101828"/>
                <w:sz w:val="16"/>
              </w:rPr>
              <w:t>Terms of service drafted by counsel and approved</w:t>
            </w:r>
          </w:p>
        </w:tc>
        <w:tc>
          <w:tcPr>
            <w:tcW w:type="dxa" w:w="1872"/>
            <w:tcMar>
              <w:top w:w="60" w:type="dxa"/>
              <w:start w:w="110" w:type="dxa"/>
              <w:bottom w:w="60" w:type="dxa"/>
              <w:end w:w="110" w:type="dxa"/>
            </w:tcMar>
            <w:shd w:val="clear" w:color="auto" w:fill="F4F7FB"/>
          </w:tcPr>
          <w:p>
            <w:pPr>
              <w:spacing w:after="0"/>
            </w:pPr>
            <w:r/>
            <w:r>
              <w:rPr>
                <w:rFonts w:ascii="Calibri" w:hAnsi="Calibri"/>
                <w:b/>
                <w:color w:val="101828"/>
                <w:sz w:val="16"/>
              </w:rPr>
              <w:t>Outstanding</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6"/>
              </w:rPr>
              <w:t>5</w:t>
            </w:r>
          </w:p>
        </w:tc>
        <w:tc>
          <w:tcPr>
            <w:tcW w:type="dxa" w:w="6768"/>
            <w:tcMar>
              <w:top w:w="60" w:type="dxa"/>
              <w:start w:w="110" w:type="dxa"/>
              <w:bottom w:w="60" w:type="dxa"/>
              <w:end w:w="110" w:type="dxa"/>
            </w:tcMar>
          </w:tcPr>
          <w:p>
            <w:pPr>
              <w:spacing w:after="0"/>
            </w:pPr>
            <w:r/>
            <w:r>
              <w:rPr>
                <w:rFonts w:ascii="Calibri" w:hAnsi="Calibri"/>
                <w:b w:val="0"/>
                <w:i w:val="0"/>
                <w:color w:val="101828"/>
                <w:sz w:val="16"/>
              </w:rPr>
              <w:t>Privacy notice and cookie notice drafted by counsel and published</w:t>
            </w:r>
          </w:p>
        </w:tc>
        <w:tc>
          <w:tcPr>
            <w:tcW w:type="dxa" w:w="1872"/>
            <w:tcMar>
              <w:top w:w="60" w:type="dxa"/>
              <w:start w:w="110" w:type="dxa"/>
              <w:bottom w:w="60" w:type="dxa"/>
              <w:end w:w="110" w:type="dxa"/>
            </w:tcMar>
          </w:tcPr>
          <w:p>
            <w:pPr>
              <w:spacing w:after="0"/>
            </w:pPr>
            <w:r/>
            <w:r>
              <w:rPr>
                <w:rFonts w:ascii="Calibri" w:hAnsi="Calibri"/>
                <w:b/>
                <w:color w:val="101828"/>
                <w:sz w:val="16"/>
              </w:rPr>
              <w:t>Outstanding</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6"/>
              </w:rPr>
              <w:t>6</w:t>
            </w:r>
          </w:p>
        </w:tc>
        <w:tc>
          <w:tcPr>
            <w:tcW w:type="dxa" w:w="6768"/>
            <w:tcMar>
              <w:top w:w="60" w:type="dxa"/>
              <w:start w:w="110" w:type="dxa"/>
              <w:bottom w:w="60" w:type="dxa"/>
              <w:end w:w="110" w:type="dxa"/>
            </w:tcMar>
            <w:shd w:val="clear" w:color="auto" w:fill="F4F7FB"/>
          </w:tcPr>
          <w:p>
            <w:pPr>
              <w:spacing w:after="0"/>
            </w:pPr>
            <w:r/>
            <w:r>
              <w:rPr>
                <w:rFonts w:ascii="Calibri" w:hAnsi="Calibri"/>
                <w:b w:val="0"/>
                <w:i w:val="0"/>
                <w:color w:val="101828"/>
                <w:sz w:val="16"/>
              </w:rPr>
              <w:t>Ajo rules and organizer role agreement drafted and approved</w:t>
            </w:r>
          </w:p>
        </w:tc>
        <w:tc>
          <w:tcPr>
            <w:tcW w:type="dxa" w:w="1872"/>
            <w:tcMar>
              <w:top w:w="60" w:type="dxa"/>
              <w:start w:w="110" w:type="dxa"/>
              <w:bottom w:w="60" w:type="dxa"/>
              <w:end w:w="110" w:type="dxa"/>
            </w:tcMar>
            <w:shd w:val="clear" w:color="auto" w:fill="F4F7FB"/>
          </w:tcPr>
          <w:p>
            <w:pPr>
              <w:spacing w:after="0"/>
            </w:pPr>
            <w:r/>
            <w:r>
              <w:rPr>
                <w:rFonts w:ascii="Calibri" w:hAnsi="Calibri"/>
                <w:b/>
                <w:color w:val="101828"/>
                <w:sz w:val="16"/>
              </w:rPr>
              <w:t>Outstanding</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6"/>
              </w:rPr>
              <w:t>7</w:t>
            </w:r>
          </w:p>
        </w:tc>
        <w:tc>
          <w:tcPr>
            <w:tcW w:type="dxa" w:w="6768"/>
            <w:tcMar>
              <w:top w:w="60" w:type="dxa"/>
              <w:start w:w="110" w:type="dxa"/>
              <w:bottom w:w="60" w:type="dxa"/>
              <w:end w:w="110" w:type="dxa"/>
            </w:tcMar>
          </w:tcPr>
          <w:p>
            <w:pPr>
              <w:spacing w:after="0"/>
            </w:pPr>
            <w:r/>
            <w:r>
              <w:rPr>
                <w:rFonts w:ascii="Calibri" w:hAnsi="Calibri"/>
                <w:b w:val="0"/>
                <w:i w:val="0"/>
                <w:color w:val="101828"/>
                <w:sz w:val="16"/>
              </w:rPr>
              <w:t>AML/CTF risk assessment completed, if legally required</w:t>
            </w:r>
          </w:p>
        </w:tc>
        <w:tc>
          <w:tcPr>
            <w:tcW w:type="dxa" w:w="1872"/>
            <w:tcMar>
              <w:top w:w="60" w:type="dxa"/>
              <w:start w:w="110" w:type="dxa"/>
              <w:bottom w:w="60" w:type="dxa"/>
              <w:end w:w="110" w:type="dxa"/>
            </w:tcMar>
          </w:tcPr>
          <w:p>
            <w:pPr>
              <w:spacing w:after="0"/>
            </w:pPr>
            <w:r/>
            <w:r>
              <w:rPr>
                <w:rFonts w:ascii="Calibri" w:hAnsi="Calibri"/>
                <w:b/>
                <w:color w:val="101828"/>
                <w:sz w:val="16"/>
              </w:rPr>
              <w:t>Outstanding</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6"/>
              </w:rPr>
              <w:t>8</w:t>
            </w:r>
          </w:p>
        </w:tc>
        <w:tc>
          <w:tcPr>
            <w:tcW w:type="dxa" w:w="6768"/>
            <w:tcMar>
              <w:top w:w="60" w:type="dxa"/>
              <w:start w:w="110" w:type="dxa"/>
              <w:bottom w:w="60" w:type="dxa"/>
              <w:end w:w="110" w:type="dxa"/>
            </w:tcMar>
            <w:shd w:val="clear" w:color="auto" w:fill="F4F7FB"/>
          </w:tcPr>
          <w:p>
            <w:pPr>
              <w:spacing w:after="0"/>
            </w:pPr>
            <w:r/>
            <w:r>
              <w:rPr>
                <w:rFonts w:ascii="Calibri" w:hAnsi="Calibri"/>
                <w:b w:val="0"/>
                <w:i w:val="0"/>
                <w:color w:val="101828"/>
                <w:sz w:val="16"/>
              </w:rPr>
              <w:t>Data protection registration or notification made, if required</w:t>
            </w:r>
          </w:p>
        </w:tc>
        <w:tc>
          <w:tcPr>
            <w:tcW w:type="dxa" w:w="1872"/>
            <w:tcMar>
              <w:top w:w="60" w:type="dxa"/>
              <w:start w:w="110" w:type="dxa"/>
              <w:bottom w:w="60" w:type="dxa"/>
              <w:end w:w="110" w:type="dxa"/>
            </w:tcMar>
            <w:shd w:val="clear" w:color="auto" w:fill="F4F7FB"/>
          </w:tcPr>
          <w:p>
            <w:pPr>
              <w:spacing w:after="0"/>
            </w:pPr>
            <w:r/>
            <w:r>
              <w:rPr>
                <w:rFonts w:ascii="Calibri" w:hAnsi="Calibri"/>
                <w:b/>
                <w:color w:val="101828"/>
                <w:sz w:val="16"/>
              </w:rPr>
              <w:t>Outstanding</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6"/>
              </w:rPr>
              <w:t>9</w:t>
            </w:r>
          </w:p>
        </w:tc>
        <w:tc>
          <w:tcPr>
            <w:tcW w:type="dxa" w:w="6768"/>
            <w:tcMar>
              <w:top w:w="60" w:type="dxa"/>
              <w:start w:w="110" w:type="dxa"/>
              <w:bottom w:w="60" w:type="dxa"/>
              <w:end w:w="110" w:type="dxa"/>
            </w:tcMar>
          </w:tcPr>
          <w:p>
            <w:pPr>
              <w:spacing w:after="0"/>
            </w:pPr>
            <w:r/>
            <w:r>
              <w:rPr>
                <w:rFonts w:ascii="Calibri" w:hAnsi="Calibri"/>
                <w:b w:val="0"/>
                <w:i w:val="0"/>
                <w:color w:val="101828"/>
                <w:sz w:val="16"/>
              </w:rPr>
              <w:t>Data processing agreements executed with every processor</w:t>
            </w:r>
          </w:p>
        </w:tc>
        <w:tc>
          <w:tcPr>
            <w:tcW w:type="dxa" w:w="1872"/>
            <w:tcMar>
              <w:top w:w="60" w:type="dxa"/>
              <w:start w:w="110" w:type="dxa"/>
              <w:bottom w:w="60" w:type="dxa"/>
              <w:end w:w="110" w:type="dxa"/>
            </w:tcMar>
          </w:tcPr>
          <w:p>
            <w:pPr>
              <w:spacing w:after="0"/>
            </w:pPr>
            <w:r/>
            <w:r>
              <w:rPr>
                <w:rFonts w:ascii="Calibri" w:hAnsi="Calibri"/>
                <w:b/>
                <w:color w:val="101828"/>
                <w:sz w:val="16"/>
              </w:rPr>
              <w:t>Outstanding</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6"/>
              </w:rPr>
              <w:t>10</w:t>
            </w:r>
          </w:p>
        </w:tc>
        <w:tc>
          <w:tcPr>
            <w:tcW w:type="dxa" w:w="6768"/>
            <w:tcMar>
              <w:top w:w="60" w:type="dxa"/>
              <w:start w:w="110" w:type="dxa"/>
              <w:bottom w:w="60" w:type="dxa"/>
              <w:end w:w="110" w:type="dxa"/>
            </w:tcMar>
            <w:shd w:val="clear" w:color="auto" w:fill="F4F7FB"/>
          </w:tcPr>
          <w:p>
            <w:pPr>
              <w:spacing w:after="0"/>
            </w:pPr>
            <w:r/>
            <w:r>
              <w:rPr>
                <w:rFonts w:ascii="Calibri" w:hAnsi="Calibri"/>
                <w:b w:val="0"/>
                <w:i w:val="0"/>
                <w:color w:val="101828"/>
                <w:sz w:val="16"/>
              </w:rPr>
              <w:t>Retention schedule approved and implemented in the system</w:t>
            </w:r>
          </w:p>
        </w:tc>
        <w:tc>
          <w:tcPr>
            <w:tcW w:type="dxa" w:w="1872"/>
            <w:tcMar>
              <w:top w:w="60" w:type="dxa"/>
              <w:start w:w="110" w:type="dxa"/>
              <w:bottom w:w="60" w:type="dxa"/>
              <w:end w:w="110" w:type="dxa"/>
            </w:tcMar>
            <w:shd w:val="clear" w:color="auto" w:fill="F4F7FB"/>
          </w:tcPr>
          <w:p>
            <w:pPr>
              <w:spacing w:after="0"/>
            </w:pPr>
            <w:r/>
            <w:r>
              <w:rPr>
                <w:rFonts w:ascii="Calibri" w:hAnsi="Calibri"/>
                <w:b/>
                <w:color w:val="101828"/>
                <w:sz w:val="16"/>
              </w:rPr>
              <w:t>Outstanding</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6"/>
              </w:rPr>
              <w:t>11</w:t>
            </w:r>
          </w:p>
        </w:tc>
        <w:tc>
          <w:tcPr>
            <w:tcW w:type="dxa" w:w="6768"/>
            <w:tcMar>
              <w:top w:w="60" w:type="dxa"/>
              <w:start w:w="110" w:type="dxa"/>
              <w:bottom w:w="60" w:type="dxa"/>
              <w:end w:w="110" w:type="dxa"/>
            </w:tcMar>
          </w:tcPr>
          <w:p>
            <w:pPr>
              <w:spacing w:after="0"/>
            </w:pPr>
            <w:r/>
            <w:r>
              <w:rPr>
                <w:rFonts w:ascii="Calibri" w:hAnsi="Calibri"/>
                <w:b w:val="0"/>
                <w:i w:val="0"/>
                <w:color w:val="101828"/>
                <w:sz w:val="16"/>
              </w:rPr>
              <w:t>Complaint procedure published and staffed</w:t>
            </w:r>
          </w:p>
        </w:tc>
        <w:tc>
          <w:tcPr>
            <w:tcW w:type="dxa" w:w="1872"/>
            <w:tcMar>
              <w:top w:w="60" w:type="dxa"/>
              <w:start w:w="110" w:type="dxa"/>
              <w:bottom w:w="60" w:type="dxa"/>
              <w:end w:w="110" w:type="dxa"/>
            </w:tcMar>
          </w:tcPr>
          <w:p>
            <w:pPr>
              <w:spacing w:after="0"/>
            </w:pPr>
            <w:r/>
            <w:r>
              <w:rPr>
                <w:rFonts w:ascii="Calibri" w:hAnsi="Calibri"/>
                <w:b/>
                <w:color w:val="101828"/>
                <w:sz w:val="16"/>
              </w:rPr>
              <w:t>Outstanding</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6"/>
              </w:rPr>
              <w:t>12</w:t>
            </w:r>
          </w:p>
        </w:tc>
        <w:tc>
          <w:tcPr>
            <w:tcW w:type="dxa" w:w="6768"/>
            <w:tcMar>
              <w:top w:w="60" w:type="dxa"/>
              <w:start w:w="110" w:type="dxa"/>
              <w:bottom w:w="60" w:type="dxa"/>
              <w:end w:w="110" w:type="dxa"/>
            </w:tcMar>
            <w:shd w:val="clear" w:color="auto" w:fill="F4F7FB"/>
          </w:tcPr>
          <w:p>
            <w:pPr>
              <w:spacing w:after="0"/>
            </w:pPr>
            <w:r/>
            <w:r>
              <w:rPr>
                <w:rFonts w:ascii="Calibri" w:hAnsi="Calibri"/>
                <w:b w:val="0"/>
                <w:i w:val="0"/>
                <w:color w:val="101828"/>
                <w:sz w:val="16"/>
              </w:rPr>
              <w:t>Trademark search completed; name and marks protected</w:t>
            </w:r>
          </w:p>
        </w:tc>
        <w:tc>
          <w:tcPr>
            <w:tcW w:type="dxa" w:w="1872"/>
            <w:tcMar>
              <w:top w:w="60" w:type="dxa"/>
              <w:start w:w="110" w:type="dxa"/>
              <w:bottom w:w="60" w:type="dxa"/>
              <w:end w:w="110" w:type="dxa"/>
            </w:tcMar>
            <w:shd w:val="clear" w:color="auto" w:fill="F4F7FB"/>
          </w:tcPr>
          <w:p>
            <w:pPr>
              <w:spacing w:after="0"/>
            </w:pPr>
            <w:r/>
            <w:r>
              <w:rPr>
                <w:rFonts w:ascii="Calibri" w:hAnsi="Calibri"/>
                <w:b/>
                <w:color w:val="101828"/>
                <w:sz w:val="16"/>
              </w:rPr>
              <w:t>Outstanding</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6"/>
              </w:rPr>
              <w:t>13</w:t>
            </w:r>
          </w:p>
        </w:tc>
        <w:tc>
          <w:tcPr>
            <w:tcW w:type="dxa" w:w="6768"/>
            <w:tcMar>
              <w:top w:w="60" w:type="dxa"/>
              <w:start w:w="110" w:type="dxa"/>
              <w:bottom w:w="60" w:type="dxa"/>
              <w:end w:w="110" w:type="dxa"/>
            </w:tcMar>
          </w:tcPr>
          <w:p>
            <w:pPr>
              <w:spacing w:after="0"/>
            </w:pPr>
            <w:r/>
            <w:r>
              <w:rPr>
                <w:rFonts w:ascii="Calibri" w:hAnsi="Calibri"/>
                <w:b w:val="0"/>
                <w:i w:val="0"/>
                <w:color w:val="101828"/>
                <w:sz w:val="16"/>
              </w:rPr>
              <w:t>Insurance arranged</w:t>
            </w:r>
          </w:p>
        </w:tc>
        <w:tc>
          <w:tcPr>
            <w:tcW w:type="dxa" w:w="1872"/>
            <w:tcMar>
              <w:top w:w="60" w:type="dxa"/>
              <w:start w:w="110" w:type="dxa"/>
              <w:bottom w:w="60" w:type="dxa"/>
              <w:end w:w="110" w:type="dxa"/>
            </w:tcMar>
          </w:tcPr>
          <w:p>
            <w:pPr>
              <w:spacing w:after="0"/>
            </w:pPr>
            <w:r/>
            <w:r>
              <w:rPr>
                <w:rFonts w:ascii="Calibri" w:hAnsi="Calibri"/>
                <w:b/>
                <w:color w:val="101828"/>
                <w:sz w:val="16"/>
              </w:rPr>
              <w:t>Outstanding</w:t>
            </w:r>
          </w:p>
        </w:tc>
      </w:tr>
      <w:tr>
        <w:trPr>
          <w:cantSplit/>
        </w:trPr>
        <w:tc>
          <w:tcPr>
            <w:tcW w:type="dxa" w:w="720"/>
            <w:tcMar>
              <w:top w:w="60" w:type="dxa"/>
              <w:start w:w="110" w:type="dxa"/>
              <w:bottom w:w="60" w:type="dxa"/>
              <w:end w:w="110" w:type="dxa"/>
            </w:tcMar>
            <w:shd w:val="clear" w:color="auto" w:fill="F4F7FB"/>
          </w:tcPr>
          <w:p>
            <w:pPr>
              <w:spacing w:after="0"/>
            </w:pPr>
            <w:r/>
            <w:r>
              <w:rPr>
                <w:rFonts w:ascii="Calibri" w:hAnsi="Calibri"/>
                <w:b w:val="0"/>
                <w:i w:val="0"/>
                <w:color w:val="101828"/>
                <w:sz w:val="16"/>
              </w:rPr>
              <w:t>14</w:t>
            </w:r>
          </w:p>
        </w:tc>
        <w:tc>
          <w:tcPr>
            <w:tcW w:type="dxa" w:w="6768"/>
            <w:tcMar>
              <w:top w:w="60" w:type="dxa"/>
              <w:start w:w="110" w:type="dxa"/>
              <w:bottom w:w="60" w:type="dxa"/>
              <w:end w:w="110" w:type="dxa"/>
            </w:tcMar>
            <w:shd w:val="clear" w:color="auto" w:fill="F4F7FB"/>
          </w:tcPr>
          <w:p>
            <w:pPr>
              <w:spacing w:after="0"/>
            </w:pPr>
            <w:r/>
            <w:r>
              <w:rPr>
                <w:rFonts w:ascii="Calibri" w:hAnsi="Calibri"/>
                <w:b w:val="0"/>
                <w:i w:val="0"/>
                <w:color w:val="101828"/>
                <w:sz w:val="16"/>
              </w:rPr>
              <w:t>Staff contracts, confidentiality, and IP assignment in place</w:t>
            </w:r>
          </w:p>
        </w:tc>
        <w:tc>
          <w:tcPr>
            <w:tcW w:type="dxa" w:w="1872"/>
            <w:tcMar>
              <w:top w:w="60" w:type="dxa"/>
              <w:start w:w="110" w:type="dxa"/>
              <w:bottom w:w="60" w:type="dxa"/>
              <w:end w:w="110" w:type="dxa"/>
            </w:tcMar>
            <w:shd w:val="clear" w:color="auto" w:fill="F4F7FB"/>
          </w:tcPr>
          <w:p>
            <w:pPr>
              <w:spacing w:after="0"/>
            </w:pPr>
            <w:r/>
            <w:r>
              <w:rPr>
                <w:rFonts w:ascii="Calibri" w:hAnsi="Calibri"/>
                <w:b/>
                <w:color w:val="101828"/>
                <w:sz w:val="16"/>
              </w:rPr>
              <w:t>Outstanding</w:t>
            </w:r>
          </w:p>
        </w:tc>
      </w:tr>
      <w:tr>
        <w:trPr>
          <w:cantSplit/>
        </w:trPr>
        <w:tc>
          <w:tcPr>
            <w:tcW w:type="dxa" w:w="720"/>
            <w:tcMar>
              <w:top w:w="60" w:type="dxa"/>
              <w:start w:w="110" w:type="dxa"/>
              <w:bottom w:w="60" w:type="dxa"/>
              <w:end w:w="110" w:type="dxa"/>
            </w:tcMar>
          </w:tcPr>
          <w:p>
            <w:pPr>
              <w:spacing w:after="0"/>
            </w:pPr>
            <w:r/>
            <w:r>
              <w:rPr>
                <w:rFonts w:ascii="Calibri" w:hAnsi="Calibri"/>
                <w:b w:val="0"/>
                <w:i w:val="0"/>
                <w:color w:val="101828"/>
                <w:sz w:val="16"/>
              </w:rPr>
              <w:t>15</w:t>
            </w:r>
          </w:p>
        </w:tc>
        <w:tc>
          <w:tcPr>
            <w:tcW w:type="dxa" w:w="6768"/>
            <w:tcMar>
              <w:top w:w="60" w:type="dxa"/>
              <w:start w:w="110" w:type="dxa"/>
              <w:bottom w:w="60" w:type="dxa"/>
              <w:end w:w="110" w:type="dxa"/>
            </w:tcMar>
          </w:tcPr>
          <w:p>
            <w:pPr>
              <w:spacing w:after="0"/>
            </w:pPr>
            <w:r/>
            <w:r>
              <w:rPr>
                <w:rFonts w:ascii="Calibri" w:hAnsi="Calibri"/>
                <w:b w:val="0"/>
                <w:i w:val="0"/>
                <w:color w:val="101828"/>
                <w:sz w:val="16"/>
              </w:rPr>
              <w:t>Advice obtained on tax treatment of the fee and of contributions</w:t>
            </w:r>
          </w:p>
        </w:tc>
        <w:tc>
          <w:tcPr>
            <w:tcW w:type="dxa" w:w="1872"/>
            <w:tcMar>
              <w:top w:w="60" w:type="dxa"/>
              <w:start w:w="110" w:type="dxa"/>
              <w:bottom w:w="60" w:type="dxa"/>
              <w:end w:w="110" w:type="dxa"/>
            </w:tcMar>
          </w:tcPr>
          <w:p>
            <w:pPr>
              <w:spacing w:after="0"/>
            </w:pPr>
            <w:r/>
            <w:r>
              <w:rPr>
                <w:rFonts w:ascii="Calibri" w:hAnsi="Calibri"/>
                <w:b/>
                <w:color w:val="101828"/>
                <w:sz w:val="16"/>
              </w:rPr>
              <w:t>Outstanding</w:t>
            </w:r>
          </w:p>
        </w:tc>
      </w:tr>
    </w:tbl>
    <w:p>
      <w:pPr>
        <w:spacing w:after="80"/>
      </w:pPr>
    </w:p>
    <w:p>
      <w:pPr>
        <w:spacing w:before="140" w:after="180"/>
        <w:ind w:left="144"/>
        <w:shd w:val="clear" w:color="auto" w:fill="FEE2E2"/>
        <w:pBdr>
          <w:left w:val="single" w:sz="18" w:space="6" w:color="DC2626"/>
        </w:pBdr>
      </w:pPr>
      <w:r>
        <w:rPr>
          <w:rFonts w:ascii="Calibri" w:hAnsi="Calibri"/>
          <w:b/>
          <w:color w:val="DC2626"/>
          <w:sz w:val="19"/>
        </w:rPr>
        <w:t xml:space="preserve">This checklist is the reason the launch date is not a technical decision.  </w:t>
      </w:r>
      <w:r>
        <w:rPr>
          <w:rFonts w:ascii="Calibri" w:hAnsi="Calibri"/>
          <w:b w:val="0"/>
          <w:i w:val="0"/>
          <w:color w:val="0B1F3A"/>
          <w:sz w:val="19"/>
        </w:rPr>
        <w:t>All fifteen items above are outstanding, and every one of them can take longer than the engineering work. The right response is to open the legal work now, in parallel with development, rather than to treat it as the final gate before launch. A fintech that builds for a year and then discovers its structure is wrong has wasted a year.</w:t>
      </w:r>
    </w:p>
    <w:p>
      <w:r>
        <w:br w:type="page"/>
      </w:r>
    </w:p>
    <w:p>
      <w:pPr>
        <w:pStyle w:val="Heading1"/>
        <w:pBdr>
          <w:bottom w:val="single" w:sz="12" w:space="6" w:color="146EF5"/>
        </w:pBdr>
        <w:spacing w:after="240"/>
      </w:pPr>
      <w:r>
        <w:rPr>
          <w:rFonts w:ascii="Calibri" w:hAnsi="Calibri"/>
          <w:b/>
          <w:i w:val="0"/>
          <w:color w:val="0B1F3A"/>
          <w:sz w:val="40"/>
        </w:rPr>
        <w:t>25. Performance, Scalability and Financial Performance</w:t>
      </w:r>
    </w:p>
    <w:p>
      <w:pPr>
        <w:spacing w:after="200"/>
      </w:pPr>
      <w:r>
        <w:rPr>
          <w:rFonts w:ascii="Calibri" w:hAnsi="Calibri"/>
          <w:b w:val="0"/>
          <w:i w:val="0"/>
          <w:color w:val="475467"/>
          <w:sz w:val="24"/>
        </w:rPr>
        <w:t>Performance in a savings product is not vanity. A member who waits eight seconds to learn their money arrived will conclude the money did not arrive. A payout cycle that takes a day longer than promised teaches the whole market that AJO.ng is unreliable. The technical budgets and the commercial projections in this section describe the same promise from two directions.</w:t>
      </w:r>
    </w:p>
    <w:p>
      <w:pPr>
        <w:pStyle w:val="Heading2"/>
      </w:pPr>
      <w:r>
        <w:rPr>
          <w:rFonts w:ascii="Calibri" w:hAnsi="Calibri"/>
          <w:b/>
          <w:i w:val="0"/>
          <w:color w:val="146EF5"/>
          <w:sz w:val="29"/>
        </w:rPr>
        <w:t>25.1 Performance philosophy</w:t>
      </w:r>
    </w:p>
    <w:p>
      <w:pPr>
        <w:pStyle w:val="ListNumber"/>
        <w:spacing w:after="60"/>
        <w:ind w:left="432"/>
      </w:pPr>
      <w:r>
        <w:rPr>
          <w:rFonts w:ascii="Calibri" w:hAnsi="Calibri"/>
          <w:b/>
          <w:color w:val="101828"/>
          <w:sz w:val="21"/>
        </w:rPr>
        <w:t>Budgets are set from the member's expectation, not from what the code happens to do.</w:t>
      </w:r>
      <w:r>
        <w:rPr>
          <w:rFonts w:ascii="Calibri" w:hAnsi="Calibri"/>
          <w:b w:val="0"/>
          <w:i w:val="0"/>
          <w:color w:val="101828"/>
          <w:sz w:val="21"/>
        </w:rPr>
        <w:t xml:space="preserve"> A member expects a confirmation within seconds, not within a technical margin of error.</w:t>
      </w:r>
    </w:p>
    <w:p>
      <w:pPr>
        <w:pStyle w:val="ListNumber"/>
        <w:spacing w:after="60"/>
        <w:ind w:left="432"/>
      </w:pPr>
      <w:r>
        <w:rPr>
          <w:rFonts w:ascii="Calibri" w:hAnsi="Calibri"/>
          <w:b/>
          <w:color w:val="101828"/>
          <w:sz w:val="21"/>
        </w:rPr>
        <w:t>The slowest legitimate path is a failure.</w:t>
      </w:r>
      <w:r>
        <w:rPr>
          <w:rFonts w:ascii="Calibri" w:hAnsi="Calibri"/>
          <w:b w:val="0"/>
          <w:i w:val="0"/>
          <w:color w:val="101828"/>
          <w:sz w:val="21"/>
        </w:rPr>
        <w:t xml:space="preserve"> Money confirmation arrives by webhook, so a fast API that optimistically confirms would be both dishonest and dangerous.</w:t>
      </w:r>
    </w:p>
    <w:p>
      <w:pPr>
        <w:pStyle w:val="ListNumber"/>
        <w:spacing w:after="60"/>
        <w:ind w:left="432"/>
      </w:pPr>
      <w:r>
        <w:rPr>
          <w:rFonts w:ascii="Calibri" w:hAnsi="Calibri"/>
          <w:b/>
          <w:color w:val="101828"/>
          <w:sz w:val="21"/>
        </w:rPr>
        <w:t>Every budget has a method and a device.</w:t>
      </w:r>
      <w:r>
        <w:rPr>
          <w:rFonts w:ascii="Calibri" w:hAnsi="Calibri"/>
          <w:b w:val="0"/>
          <w:i w:val="0"/>
          <w:color w:val="101828"/>
          <w:sz w:val="21"/>
        </w:rPr>
        <w:t xml:space="preserve"> A target measured on a laptop is meaningless; a target measured on the slowest supported phone is a real one.</w:t>
      </w:r>
    </w:p>
    <w:p>
      <w:pPr>
        <w:pStyle w:val="ListNumber"/>
        <w:spacing w:after="60"/>
        <w:ind w:left="432"/>
      </w:pPr>
      <w:r>
        <w:rPr>
          <w:rFonts w:ascii="Calibri" w:hAnsi="Calibri"/>
          <w:b/>
          <w:color w:val="101828"/>
          <w:sz w:val="21"/>
        </w:rPr>
        <w:t>Correctness is never traded for latency.</w:t>
      </w:r>
      <w:r>
        <w:rPr>
          <w:rFonts w:ascii="Calibri" w:hAnsi="Calibri"/>
          <w:b w:val="0"/>
          <w:i w:val="0"/>
          <w:color w:val="101828"/>
          <w:sz w:val="21"/>
        </w:rPr>
        <w:t xml:space="preserve"> A slow correct answer is a support ticket; a fast wrong one is a financial incident.</w:t>
      </w:r>
    </w:p>
    <w:p>
      <w:pPr>
        <w:pStyle w:val="Heading2"/>
      </w:pPr>
      <w:r>
        <w:rPr>
          <w:rFonts w:ascii="Calibri" w:hAnsi="Calibri"/>
          <w:b/>
          <w:i w:val="0"/>
          <w:color w:val="146EF5"/>
          <w:sz w:val="29"/>
        </w:rPr>
        <w:t>25.2 Service level objectives</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Journey</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SLO</w:t>
            </w:r>
          </w:p>
        </w:tc>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6"/>
              </w:rPr>
              <w:t>Measurement</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Error budget</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Contribution confirmation (card/wallet)</w:t>
            </w:r>
          </w:p>
        </w:tc>
        <w:tc>
          <w:tcPr>
            <w:tcW w:type="dxa" w:w="2016"/>
            <w:tcMar>
              <w:top w:w="60" w:type="dxa"/>
              <w:start w:w="110" w:type="dxa"/>
              <w:bottom w:w="60" w:type="dxa"/>
              <w:end w:w="110" w:type="dxa"/>
            </w:tcMar>
          </w:tcPr>
          <w:p>
            <w:pPr>
              <w:spacing w:after="0"/>
            </w:pPr>
            <w:r/>
            <w:r>
              <w:rPr>
                <w:rFonts w:ascii="Calibri" w:hAnsi="Calibri"/>
                <w:b w:val="0"/>
                <w:i w:val="0"/>
                <w:color w:val="101828"/>
                <w:sz w:val="16"/>
              </w:rPr>
              <w:t>99.5% within 60s</w:t>
            </w:r>
          </w:p>
        </w:tc>
        <w:tc>
          <w:tcPr>
            <w:tcW w:type="dxa" w:w="3168"/>
            <w:tcMar>
              <w:top w:w="60" w:type="dxa"/>
              <w:start w:w="110" w:type="dxa"/>
              <w:bottom w:w="60" w:type="dxa"/>
              <w:end w:w="110" w:type="dxa"/>
            </w:tcMar>
          </w:tcPr>
          <w:p>
            <w:pPr>
              <w:spacing w:after="0"/>
            </w:pPr>
            <w:r/>
            <w:r>
              <w:rPr>
                <w:rFonts w:ascii="Calibri" w:hAnsi="Calibri"/>
                <w:b w:val="0"/>
                <w:i w:val="0"/>
                <w:color w:val="101828"/>
                <w:sz w:val="16"/>
              </w:rPr>
              <w:t>Webhook receipt to ledger capture</w:t>
            </w:r>
          </w:p>
        </w:tc>
        <w:tc>
          <w:tcPr>
            <w:tcW w:type="dxa" w:w="1728"/>
            <w:tcMar>
              <w:top w:w="60" w:type="dxa"/>
              <w:start w:w="110" w:type="dxa"/>
              <w:bottom w:w="60" w:type="dxa"/>
              <w:end w:w="110" w:type="dxa"/>
            </w:tcMar>
          </w:tcPr>
          <w:p>
            <w:pPr>
              <w:spacing w:after="0"/>
            </w:pPr>
            <w:r/>
            <w:r>
              <w:rPr>
                <w:rFonts w:ascii="Calibri" w:hAnsi="Calibri"/>
                <w:b w:val="0"/>
                <w:i w:val="0"/>
                <w:color w:val="101828"/>
                <w:sz w:val="16"/>
              </w:rPr>
              <w:t>0.5% / month</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Contribution confirmation (transfer)</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99.0% within 4 hours</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Reference match to capture</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1% / month</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Ajo activation</w:t>
            </w:r>
          </w:p>
        </w:tc>
        <w:tc>
          <w:tcPr>
            <w:tcW w:type="dxa" w:w="2016"/>
            <w:tcMar>
              <w:top w:w="60" w:type="dxa"/>
              <w:start w:w="110" w:type="dxa"/>
              <w:bottom w:w="60" w:type="dxa"/>
              <w:end w:w="110" w:type="dxa"/>
            </w:tcMar>
          </w:tcPr>
          <w:p>
            <w:pPr>
              <w:spacing w:after="0"/>
            </w:pPr>
            <w:r/>
            <w:r>
              <w:rPr>
                <w:rFonts w:ascii="Calibri" w:hAnsi="Calibri"/>
                <w:b w:val="0"/>
                <w:i w:val="0"/>
                <w:color w:val="101828"/>
                <w:sz w:val="16"/>
              </w:rPr>
              <w:t>99.5% within 5s</w:t>
            </w:r>
          </w:p>
        </w:tc>
        <w:tc>
          <w:tcPr>
            <w:tcW w:type="dxa" w:w="3168"/>
            <w:tcMar>
              <w:top w:w="60" w:type="dxa"/>
              <w:start w:w="110" w:type="dxa"/>
              <w:bottom w:w="60" w:type="dxa"/>
              <w:end w:w="110" w:type="dxa"/>
            </w:tcMar>
          </w:tcPr>
          <w:p>
            <w:pPr>
              <w:spacing w:after="0"/>
            </w:pPr>
            <w:r/>
            <w:r>
              <w:rPr>
                <w:rFonts w:ascii="Calibri" w:hAnsi="Calibri"/>
                <w:b w:val="0"/>
                <w:i w:val="0"/>
                <w:color w:val="101828"/>
                <w:sz w:val="16"/>
              </w:rPr>
              <w:t>Request to AJO state change</w:t>
            </w:r>
          </w:p>
        </w:tc>
        <w:tc>
          <w:tcPr>
            <w:tcW w:type="dxa" w:w="1728"/>
            <w:tcMar>
              <w:top w:w="60" w:type="dxa"/>
              <w:start w:w="110" w:type="dxa"/>
              <w:bottom w:w="60" w:type="dxa"/>
              <w:end w:w="110" w:type="dxa"/>
            </w:tcMar>
          </w:tcPr>
          <w:p>
            <w:pPr>
              <w:spacing w:after="0"/>
            </w:pPr>
            <w:r/>
            <w:r>
              <w:rPr>
                <w:rFonts w:ascii="Calibri" w:hAnsi="Calibri"/>
                <w:b w:val="0"/>
                <w:i w:val="0"/>
                <w:color w:val="101828"/>
                <w:sz w:val="16"/>
              </w:rPr>
              <w:t>0.5% / month</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Payout initiation</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99.9% within 2s</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Request accepted to provider called</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0.1% / month</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Payout delivered</w:t>
            </w:r>
          </w:p>
        </w:tc>
        <w:tc>
          <w:tcPr>
            <w:tcW w:type="dxa" w:w="2016"/>
            <w:tcMar>
              <w:top w:w="60" w:type="dxa"/>
              <w:start w:w="110" w:type="dxa"/>
              <w:bottom w:w="60" w:type="dxa"/>
              <w:end w:w="110" w:type="dxa"/>
            </w:tcMar>
          </w:tcPr>
          <w:p>
            <w:pPr>
              <w:spacing w:after="0"/>
            </w:pPr>
            <w:r/>
            <w:r>
              <w:rPr>
                <w:rFonts w:ascii="Calibri" w:hAnsi="Calibri"/>
                <w:b w:val="0"/>
                <w:i w:val="0"/>
                <w:color w:val="101828"/>
                <w:sz w:val="16"/>
              </w:rPr>
              <w:t>99.0% within 30 min</w:t>
            </w:r>
          </w:p>
        </w:tc>
        <w:tc>
          <w:tcPr>
            <w:tcW w:type="dxa" w:w="3168"/>
            <w:tcMar>
              <w:top w:w="60" w:type="dxa"/>
              <w:start w:w="110" w:type="dxa"/>
              <w:bottom w:w="60" w:type="dxa"/>
              <w:end w:w="110" w:type="dxa"/>
            </w:tcMar>
          </w:tcPr>
          <w:p>
            <w:pPr>
              <w:spacing w:after="0"/>
            </w:pPr>
            <w:r/>
            <w:r>
              <w:rPr>
                <w:rFonts w:ascii="Calibri" w:hAnsi="Calibri"/>
                <w:b w:val="0"/>
                <w:i w:val="0"/>
                <w:color w:val="101828"/>
                <w:sz w:val="16"/>
              </w:rPr>
              <w:t>Transfer accepted to bank credit</w:t>
            </w:r>
          </w:p>
        </w:tc>
        <w:tc>
          <w:tcPr>
            <w:tcW w:type="dxa" w:w="1728"/>
            <w:tcMar>
              <w:top w:w="60" w:type="dxa"/>
              <w:start w:w="110" w:type="dxa"/>
              <w:bottom w:w="60" w:type="dxa"/>
              <w:end w:w="110" w:type="dxa"/>
            </w:tcMar>
          </w:tcPr>
          <w:p>
            <w:pPr>
              <w:spacing w:after="0"/>
            </w:pPr>
            <w:r/>
            <w:r>
              <w:rPr>
                <w:rFonts w:ascii="Calibri" w:hAnsi="Calibri"/>
                <w:b w:val="0"/>
                <w:i w:val="0"/>
                <w:color w:val="101828"/>
                <w:sz w:val="16"/>
              </w:rPr>
              <w:t>1% / month</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Dashboard load</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99.0% within 2s</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Request to rendered</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1% / month</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API availability</w:t>
            </w:r>
          </w:p>
        </w:tc>
        <w:tc>
          <w:tcPr>
            <w:tcW w:type="dxa" w:w="2016"/>
            <w:tcMar>
              <w:top w:w="60" w:type="dxa"/>
              <w:start w:w="110" w:type="dxa"/>
              <w:bottom w:w="60" w:type="dxa"/>
              <w:end w:w="110" w:type="dxa"/>
            </w:tcMar>
          </w:tcPr>
          <w:p>
            <w:pPr>
              <w:spacing w:after="0"/>
            </w:pPr>
            <w:r/>
            <w:r>
              <w:rPr>
                <w:rFonts w:ascii="Calibri" w:hAnsi="Calibri"/>
                <w:b w:val="0"/>
                <w:i w:val="0"/>
                <w:color w:val="101828"/>
                <w:sz w:val="16"/>
              </w:rPr>
              <w:t>99.9% monthly</w:t>
            </w:r>
          </w:p>
        </w:tc>
        <w:tc>
          <w:tcPr>
            <w:tcW w:type="dxa" w:w="3168"/>
            <w:tcMar>
              <w:top w:w="60" w:type="dxa"/>
              <w:start w:w="110" w:type="dxa"/>
              <w:bottom w:w="60" w:type="dxa"/>
              <w:end w:w="110" w:type="dxa"/>
            </w:tcMar>
          </w:tcPr>
          <w:p>
            <w:pPr>
              <w:spacing w:after="0"/>
            </w:pPr>
            <w:r/>
            <w:r>
              <w:rPr>
                <w:rFonts w:ascii="Calibri" w:hAnsi="Calibri"/>
                <w:b w:val="0"/>
                <w:i w:val="0"/>
                <w:color w:val="101828"/>
                <w:sz w:val="16"/>
              </w:rPr>
              <w:t>Successful non-5xx responses</w:t>
            </w:r>
          </w:p>
        </w:tc>
        <w:tc>
          <w:tcPr>
            <w:tcW w:type="dxa" w:w="1728"/>
            <w:tcMar>
              <w:top w:w="60" w:type="dxa"/>
              <w:start w:w="110" w:type="dxa"/>
              <w:bottom w:w="60" w:type="dxa"/>
              <w:end w:w="110" w:type="dxa"/>
            </w:tcMar>
          </w:tcPr>
          <w:p>
            <w:pPr>
              <w:spacing w:after="0"/>
            </w:pPr>
            <w:r/>
            <w:r>
              <w:rPr>
                <w:rFonts w:ascii="Calibri" w:hAnsi="Calibri"/>
                <w:b w:val="0"/>
                <w:i w:val="0"/>
                <w:color w:val="101828"/>
                <w:sz w:val="16"/>
              </w:rPr>
              <w:t>0.1% / month</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Reconciliation accuracy</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100%</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Sessions with a detected break</w:t>
            </w:r>
          </w:p>
        </w:tc>
        <w:tc>
          <w:tcPr>
            <w:tcW w:type="dxa" w:w="1728"/>
            <w:tcMar>
              <w:top w:w="60" w:type="dxa"/>
              <w:start w:w="110" w:type="dxa"/>
              <w:bottom w:w="60" w:type="dxa"/>
              <w:end w:w="110" w:type="dxa"/>
            </w:tcMar>
            <w:shd w:val="clear" w:color="auto" w:fill="F4F7FB"/>
          </w:tcPr>
          <w:p>
            <w:pPr>
              <w:spacing w:after="0"/>
            </w:pPr>
            <w:r/>
            <w:r>
              <w:rPr>
                <w:rFonts w:ascii="Calibri" w:hAnsi="Calibri"/>
                <w:b/>
                <w:color w:val="101828"/>
                <w:sz w:val="16"/>
              </w:rPr>
              <w:t>Zero tolerance</w:t>
            </w:r>
          </w:p>
        </w:tc>
      </w:tr>
    </w:tbl>
    <w:p>
      <w:pPr>
        <w:spacing w:after="80"/>
      </w:pPr>
    </w:p>
    <w:p>
      <w:r>
        <w:rPr>
          <w:rFonts w:ascii="Calibri" w:hAnsi="Calibri"/>
          <w:b w:val="0"/>
          <w:i w:val="0"/>
          <w:color w:val="101828"/>
          <w:sz w:val="21"/>
        </w:rPr>
        <w:t>The two zero-tolerance lines are deliberate. Availability can degrade briefly; an incorrect ledger cannot. A platform that is briefly unavailable loses some transactions. A platform whose ledger is wrong has lost the only thing it has.</w:t>
      </w:r>
    </w:p>
    <w:p>
      <w:pPr>
        <w:pStyle w:val="Heading2"/>
      </w:pPr>
      <w:r>
        <w:rPr>
          <w:rFonts w:ascii="Calibri" w:hAnsi="Calibri"/>
          <w:b/>
          <w:i w:val="0"/>
          <w:color w:val="146EF5"/>
          <w:sz w:val="29"/>
        </w:rPr>
        <w:t>25.3 Latency budgets</w:t>
      </w:r>
    </w:p>
    <w:p>
      <w:pPr>
        <w:pStyle w:val="Heading3"/>
      </w:pPr>
      <w:r>
        <w:rPr>
          <w:rFonts w:ascii="Calibri" w:hAnsi="Calibri"/>
          <w:b/>
          <w:i w:val="0"/>
          <w:color w:val="0B1F3A"/>
          <w:sz w:val="24"/>
        </w:rPr>
        <w:t>25.3.1 API endpoints (p95, excluding third-party payment calls)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3312"/>
            <w:shd w:val="clear" w:color="auto" w:fill="0B1F3A"/>
            <w:tcMar>
              <w:top w:w="60" w:type="dxa"/>
              <w:start w:w="110" w:type="dxa"/>
              <w:bottom w:w="60" w:type="dxa"/>
              <w:end w:w="110" w:type="dxa"/>
            </w:tcMar>
          </w:tcPr>
          <w:p>
            <w:pPr>
              <w:spacing w:after="0"/>
            </w:pPr>
            <w:r/>
            <w:r>
              <w:rPr>
                <w:rFonts w:ascii="Calibri" w:hAnsi="Calibri"/>
                <w:b/>
                <w:i w:val="0"/>
                <w:color w:val="FFFFFF"/>
                <w:sz w:val="16"/>
              </w:rPr>
              <w:t>Endpoint</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Budget</w:t>
            </w:r>
          </w:p>
        </w:tc>
        <w:tc>
          <w:tcPr>
            <w:tcW w:type="dxa" w:w="4320"/>
            <w:shd w:val="clear" w:color="auto" w:fill="0B1F3A"/>
            <w:tcMar>
              <w:top w:w="60" w:type="dxa"/>
              <w:start w:w="110" w:type="dxa"/>
              <w:bottom w:w="60" w:type="dxa"/>
              <w:end w:w="110" w:type="dxa"/>
            </w:tcMar>
          </w:tcPr>
          <w:p>
            <w:pPr>
              <w:spacing w:after="0"/>
            </w:pPr>
            <w:r/>
            <w:r>
              <w:rPr>
                <w:rFonts w:ascii="Calibri" w:hAnsi="Calibri"/>
                <w:b/>
                <w:i w:val="0"/>
                <w:color w:val="FFFFFF"/>
                <w:sz w:val="16"/>
              </w:rPr>
              <w:t>Note</w:t>
            </w:r>
          </w:p>
        </w:tc>
      </w:tr>
      <w:tr>
        <w:trPr>
          <w:cantSplit/>
        </w:trPr>
        <w:tc>
          <w:tcPr>
            <w:tcW w:type="dxa" w:w="3312"/>
            <w:tcMar>
              <w:top w:w="60" w:type="dxa"/>
              <w:start w:w="110" w:type="dxa"/>
              <w:bottom w:w="60" w:type="dxa"/>
              <w:end w:w="110" w:type="dxa"/>
            </w:tcMar>
          </w:tcPr>
          <w:p>
            <w:pPr>
              <w:spacing w:after="0"/>
            </w:pPr>
            <w:r/>
            <w:r>
              <w:rPr>
                <w:rFonts w:ascii="Calibri" w:hAnsi="Calibri"/>
                <w:b w:val="0"/>
                <w:i w:val="0"/>
                <w:color w:val="101828"/>
                <w:sz w:val="16"/>
              </w:rPr>
              <w:t>GET /me</w:t>
            </w:r>
          </w:p>
        </w:tc>
        <w:tc>
          <w:tcPr>
            <w:tcW w:type="dxa" w:w="1728"/>
            <w:tcMar>
              <w:top w:w="60" w:type="dxa"/>
              <w:start w:w="110" w:type="dxa"/>
              <w:bottom w:w="60" w:type="dxa"/>
              <w:end w:w="110" w:type="dxa"/>
            </w:tcMar>
          </w:tcPr>
          <w:p>
            <w:pPr>
              <w:spacing w:after="0"/>
            </w:pPr>
            <w:r/>
            <w:r>
              <w:rPr>
                <w:rFonts w:ascii="Calibri" w:hAnsi="Calibri"/>
                <w:b w:val="0"/>
                <w:i w:val="0"/>
                <w:color w:val="101828"/>
                <w:sz w:val="16"/>
              </w:rPr>
              <w:t>150ms</w:t>
            </w:r>
          </w:p>
        </w:tc>
        <w:tc>
          <w:tcPr>
            <w:tcW w:type="dxa" w:w="4320"/>
            <w:tcMar>
              <w:top w:w="60" w:type="dxa"/>
              <w:start w:w="110" w:type="dxa"/>
              <w:bottom w:w="60" w:type="dxa"/>
              <w:end w:w="110" w:type="dxa"/>
            </w:tcMar>
          </w:tcPr>
          <w:p>
            <w:pPr>
              <w:spacing w:after="0"/>
            </w:pPr>
            <w:r/>
            <w:r>
              <w:rPr>
                <w:rFonts w:ascii="Calibri" w:hAnsi="Calibri"/>
                <w:b w:val="0"/>
                <w:i w:val="0"/>
                <w:color w:val="101828"/>
                <w:sz w:val="16"/>
              </w:rPr>
              <w:t>Cached; the app calls this on every launch</w:t>
            </w:r>
          </w:p>
        </w:tc>
      </w:tr>
      <w:tr>
        <w:trPr>
          <w:cantSplit/>
        </w:trPr>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GET /ajos</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250ms</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Member's Ajos with position and progress</w:t>
            </w:r>
          </w:p>
        </w:tc>
      </w:tr>
      <w:tr>
        <w:trPr>
          <w:cantSplit/>
        </w:trPr>
        <w:tc>
          <w:tcPr>
            <w:tcW w:type="dxa" w:w="3312"/>
            <w:tcMar>
              <w:top w:w="60" w:type="dxa"/>
              <w:start w:w="110" w:type="dxa"/>
              <w:bottom w:w="60" w:type="dxa"/>
              <w:end w:w="110" w:type="dxa"/>
            </w:tcMar>
          </w:tcPr>
          <w:p>
            <w:pPr>
              <w:spacing w:after="0"/>
            </w:pPr>
            <w:r/>
            <w:r>
              <w:rPr>
                <w:rFonts w:ascii="Calibri" w:hAnsi="Calibri"/>
                <w:b w:val="0"/>
                <w:i w:val="0"/>
                <w:color w:val="101828"/>
                <w:sz w:val="16"/>
              </w:rPr>
              <w:t>GET /ajos/:id</w:t>
            </w:r>
          </w:p>
        </w:tc>
        <w:tc>
          <w:tcPr>
            <w:tcW w:type="dxa" w:w="1728"/>
            <w:tcMar>
              <w:top w:w="60" w:type="dxa"/>
              <w:start w:w="110" w:type="dxa"/>
              <w:bottom w:w="60" w:type="dxa"/>
              <w:end w:w="110" w:type="dxa"/>
            </w:tcMar>
          </w:tcPr>
          <w:p>
            <w:pPr>
              <w:spacing w:after="0"/>
            </w:pPr>
            <w:r/>
            <w:r>
              <w:rPr>
                <w:rFonts w:ascii="Calibri" w:hAnsi="Calibri"/>
                <w:b w:val="0"/>
                <w:i w:val="0"/>
                <w:color w:val="101828"/>
                <w:sz w:val="16"/>
              </w:rPr>
              <w:t>300ms</w:t>
            </w:r>
          </w:p>
        </w:tc>
        <w:tc>
          <w:tcPr>
            <w:tcW w:type="dxa" w:w="4320"/>
            <w:tcMar>
              <w:top w:w="60" w:type="dxa"/>
              <w:start w:w="110" w:type="dxa"/>
              <w:bottom w:w="60" w:type="dxa"/>
              <w:end w:w="110" w:type="dxa"/>
            </w:tcMar>
          </w:tcPr>
          <w:p>
            <w:pPr>
              <w:spacing w:after="0"/>
            </w:pPr>
            <w:r/>
            <w:r>
              <w:rPr>
                <w:rFonts w:ascii="Calibri" w:hAnsi="Calibri"/>
                <w:b w:val="0"/>
                <w:i w:val="0"/>
                <w:color w:val="101828"/>
                <w:sz w:val="16"/>
              </w:rPr>
              <w:t>Aggregate loaded in one query, not six</w:t>
            </w:r>
          </w:p>
        </w:tc>
      </w:tr>
      <w:tr>
        <w:trPr>
          <w:cantSplit/>
        </w:trPr>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POST /contributions</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200ms</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Creates the pending record; the payment itself is a redirect</w:t>
            </w:r>
          </w:p>
        </w:tc>
      </w:tr>
      <w:tr>
        <w:trPr>
          <w:cantSplit/>
        </w:trPr>
        <w:tc>
          <w:tcPr>
            <w:tcW w:type="dxa" w:w="3312"/>
            <w:tcMar>
              <w:top w:w="60" w:type="dxa"/>
              <w:start w:w="110" w:type="dxa"/>
              <w:bottom w:w="60" w:type="dxa"/>
              <w:end w:w="110" w:type="dxa"/>
            </w:tcMar>
          </w:tcPr>
          <w:p>
            <w:pPr>
              <w:spacing w:after="0"/>
            </w:pPr>
            <w:r/>
            <w:r>
              <w:rPr>
                <w:rFonts w:ascii="Calibri" w:hAnsi="Calibri"/>
                <w:b w:val="0"/>
                <w:i w:val="0"/>
                <w:color w:val="101828"/>
                <w:sz w:val="16"/>
              </w:rPr>
              <w:t>GET /contributions/:id</w:t>
            </w:r>
          </w:p>
        </w:tc>
        <w:tc>
          <w:tcPr>
            <w:tcW w:type="dxa" w:w="1728"/>
            <w:tcMar>
              <w:top w:w="60" w:type="dxa"/>
              <w:start w:w="110" w:type="dxa"/>
              <w:bottom w:w="60" w:type="dxa"/>
              <w:end w:w="110" w:type="dxa"/>
            </w:tcMar>
          </w:tcPr>
          <w:p>
            <w:pPr>
              <w:spacing w:after="0"/>
            </w:pPr>
            <w:r/>
            <w:r>
              <w:rPr>
                <w:rFonts w:ascii="Calibri" w:hAnsi="Calibri"/>
                <w:b w:val="0"/>
                <w:i w:val="0"/>
                <w:color w:val="101828"/>
                <w:sz w:val="16"/>
              </w:rPr>
              <w:t>200ms</w:t>
            </w:r>
          </w:p>
        </w:tc>
        <w:tc>
          <w:tcPr>
            <w:tcW w:type="dxa" w:w="4320"/>
            <w:tcMar>
              <w:top w:w="60" w:type="dxa"/>
              <w:start w:w="110" w:type="dxa"/>
              <w:bottom w:w="60" w:type="dxa"/>
              <w:end w:w="110" w:type="dxa"/>
            </w:tcMar>
          </w:tcPr>
          <w:p>
            <w:pPr>
              <w:spacing w:after="0"/>
            </w:pPr>
            <w:r/>
            <w:r>
              <w:rPr>
                <w:rFonts w:ascii="Calibri" w:hAnsi="Calibri"/>
                <w:b w:val="0"/>
                <w:i w:val="0"/>
                <w:color w:val="101828"/>
                <w:sz w:val="16"/>
              </w:rPr>
              <w:t>Contribution status, for the polling fallback</w:t>
            </w:r>
          </w:p>
        </w:tc>
      </w:tr>
      <w:tr>
        <w:trPr>
          <w:cantSplit/>
        </w:trPr>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POST /payouts</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400ms</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Precondition checks plus intent creation</w:t>
            </w:r>
          </w:p>
        </w:tc>
      </w:tr>
      <w:tr>
        <w:trPr>
          <w:cantSplit/>
        </w:trPr>
        <w:tc>
          <w:tcPr>
            <w:tcW w:type="dxa" w:w="3312"/>
            <w:tcMar>
              <w:top w:w="60" w:type="dxa"/>
              <w:start w:w="110" w:type="dxa"/>
              <w:bottom w:w="60" w:type="dxa"/>
              <w:end w:w="110" w:type="dxa"/>
            </w:tcMar>
          </w:tcPr>
          <w:p>
            <w:pPr>
              <w:spacing w:after="0"/>
            </w:pPr>
            <w:r/>
            <w:r>
              <w:rPr>
                <w:rFonts w:ascii="Calibri" w:hAnsi="Calibri"/>
                <w:b w:val="0"/>
                <w:i w:val="0"/>
                <w:color w:val="101828"/>
                <w:sz w:val="16"/>
              </w:rPr>
              <w:t>GET /dashboard</w:t>
            </w:r>
          </w:p>
        </w:tc>
        <w:tc>
          <w:tcPr>
            <w:tcW w:type="dxa" w:w="1728"/>
            <w:tcMar>
              <w:top w:w="60" w:type="dxa"/>
              <w:start w:w="110" w:type="dxa"/>
              <w:bottom w:w="60" w:type="dxa"/>
              <w:end w:w="110" w:type="dxa"/>
            </w:tcMar>
          </w:tcPr>
          <w:p>
            <w:pPr>
              <w:spacing w:after="0"/>
            </w:pPr>
            <w:r/>
            <w:r>
              <w:rPr>
                <w:rFonts w:ascii="Calibri" w:hAnsi="Calibri"/>
                <w:b w:val="0"/>
                <w:i w:val="0"/>
                <w:color w:val="101828"/>
                <w:sz w:val="16"/>
              </w:rPr>
              <w:t>400ms</w:t>
            </w:r>
          </w:p>
        </w:tc>
        <w:tc>
          <w:tcPr>
            <w:tcW w:type="dxa" w:w="4320"/>
            <w:tcMar>
              <w:top w:w="60" w:type="dxa"/>
              <w:start w:w="110" w:type="dxa"/>
              <w:bottom w:w="60" w:type="dxa"/>
              <w:end w:w="110" w:type="dxa"/>
            </w:tcMar>
          </w:tcPr>
          <w:p>
            <w:pPr>
              <w:spacing w:after="0"/>
            </w:pPr>
            <w:r/>
            <w:r>
              <w:rPr>
                <w:rFonts w:ascii="Calibri" w:hAnsi="Calibri"/>
                <w:b w:val="0"/>
                <w:i w:val="0"/>
                <w:color w:val="101828"/>
                <w:sz w:val="16"/>
              </w:rPr>
              <w:t>Home screen aggregation</w:t>
            </w:r>
          </w:p>
        </w:tc>
      </w:tr>
      <w:tr>
        <w:trPr>
          <w:cantSplit/>
        </w:trPr>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GET /statements</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800ms</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Larger dataset; permitted to be the slowest read</w:t>
            </w:r>
          </w:p>
        </w:tc>
      </w:tr>
    </w:tbl>
    <w:p>
      <w:pPr>
        <w:spacing w:after="80"/>
      </w:pPr>
    </w:p>
    <w:p>
      <w:pPr>
        <w:pStyle w:val="Heading3"/>
      </w:pPr>
      <w:r>
        <w:rPr>
          <w:rFonts w:ascii="Calibri" w:hAnsi="Calibri"/>
          <w:b/>
          <w:i w:val="0"/>
          <w:color w:val="0B1F3A"/>
          <w:sz w:val="24"/>
        </w:rPr>
        <w:t>25.3.2 Mobile</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3312"/>
            <w:shd w:val="clear" w:color="auto" w:fill="0B1F3A"/>
            <w:tcMar>
              <w:top w:w="60" w:type="dxa"/>
              <w:start w:w="110" w:type="dxa"/>
              <w:bottom w:w="60" w:type="dxa"/>
              <w:end w:w="110" w:type="dxa"/>
            </w:tcMar>
          </w:tcPr>
          <w:p>
            <w:pPr>
              <w:spacing w:after="0"/>
            </w:pPr>
            <w:r/>
            <w:r>
              <w:rPr>
                <w:rFonts w:ascii="Calibri" w:hAnsi="Calibri"/>
                <w:b/>
                <w:i w:val="0"/>
                <w:color w:val="FFFFFF"/>
                <w:sz w:val="16"/>
              </w:rPr>
              <w:t>Measurement</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6"/>
              </w:rPr>
              <w:t>Budget</w:t>
            </w:r>
          </w:p>
        </w:tc>
        <w:tc>
          <w:tcPr>
            <w:tcW w:type="dxa" w:w="4320"/>
            <w:shd w:val="clear" w:color="auto" w:fill="0B1F3A"/>
            <w:tcMar>
              <w:top w:w="60" w:type="dxa"/>
              <w:start w:w="110" w:type="dxa"/>
              <w:bottom w:w="60" w:type="dxa"/>
              <w:end w:w="110" w:type="dxa"/>
            </w:tcMar>
          </w:tcPr>
          <w:p>
            <w:pPr>
              <w:spacing w:after="0"/>
            </w:pPr>
            <w:r/>
            <w:r>
              <w:rPr>
                <w:rFonts w:ascii="Calibri" w:hAnsi="Calibri"/>
                <w:b/>
                <w:i w:val="0"/>
                <w:color w:val="FFFFFF"/>
                <w:sz w:val="16"/>
              </w:rPr>
              <w:t>Note</w:t>
            </w:r>
          </w:p>
        </w:tc>
      </w:tr>
      <w:tr>
        <w:trPr>
          <w:cantSplit/>
        </w:trPr>
        <w:tc>
          <w:tcPr>
            <w:tcW w:type="dxa" w:w="3312"/>
            <w:tcMar>
              <w:top w:w="60" w:type="dxa"/>
              <w:start w:w="110" w:type="dxa"/>
              <w:bottom w:w="60" w:type="dxa"/>
              <w:end w:w="110" w:type="dxa"/>
            </w:tcMar>
          </w:tcPr>
          <w:p>
            <w:pPr>
              <w:spacing w:after="0"/>
            </w:pPr>
            <w:r/>
            <w:r>
              <w:rPr>
                <w:rFonts w:ascii="Calibri" w:hAnsi="Calibri"/>
                <w:b w:val="0"/>
                <w:i w:val="0"/>
                <w:color w:val="101828"/>
                <w:sz w:val="16"/>
              </w:rPr>
              <w:t>Cold start to interactive</w:t>
            </w:r>
          </w:p>
        </w:tc>
        <w:tc>
          <w:tcPr>
            <w:tcW w:type="dxa" w:w="1728"/>
            <w:tcMar>
              <w:top w:w="60" w:type="dxa"/>
              <w:start w:w="110" w:type="dxa"/>
              <w:bottom w:w="60" w:type="dxa"/>
              <w:end w:w="110" w:type="dxa"/>
            </w:tcMar>
          </w:tcPr>
          <w:p>
            <w:pPr>
              <w:spacing w:after="0"/>
            </w:pPr>
            <w:r/>
            <w:r>
              <w:rPr>
                <w:rFonts w:ascii="Calibri" w:hAnsi="Calibri"/>
                <w:b w:val="0"/>
                <w:i w:val="0"/>
                <w:color w:val="101828"/>
                <w:sz w:val="16"/>
              </w:rPr>
              <w:t>&lt; 2.5s</w:t>
            </w:r>
          </w:p>
        </w:tc>
        <w:tc>
          <w:tcPr>
            <w:tcW w:type="dxa" w:w="4320"/>
            <w:tcMar>
              <w:top w:w="60" w:type="dxa"/>
              <w:start w:w="110" w:type="dxa"/>
              <w:bottom w:w="60" w:type="dxa"/>
              <w:end w:w="110" w:type="dxa"/>
            </w:tcMar>
          </w:tcPr>
          <w:p>
            <w:pPr>
              <w:spacing w:after="0"/>
            </w:pPr>
            <w:r/>
            <w:r>
              <w:rPr>
                <w:rFonts w:ascii="Calibri" w:hAnsi="Calibri"/>
                <w:b w:val="0"/>
                <w:i w:val="0"/>
                <w:color w:val="101828"/>
                <w:sz w:val="16"/>
              </w:rPr>
              <w:t>On a 2018-class Android device</w:t>
            </w:r>
          </w:p>
        </w:tc>
      </w:tr>
      <w:tr>
        <w:trPr>
          <w:cantSplit/>
        </w:trPr>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Warm start to interactive</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&lt; 1.0s</w:t>
            </w:r>
          </w:p>
        </w:tc>
        <w:tc>
          <w:tcPr>
            <w:tcW w:type="dxa" w:w="4320"/>
            <w:tcMar>
              <w:top w:w="60" w:type="dxa"/>
              <w:start w:w="110" w:type="dxa"/>
              <w:bottom w:w="60" w:type="dxa"/>
              <w:end w:w="110" w:type="dxa"/>
            </w:tcMar>
            <w:shd w:val="clear" w:color="auto" w:fill="F4F7FB"/>
          </w:tcPr>
          <w:p>
            <w:pPr>
              <w:spacing w:after="0"/>
            </w:pPr>
            <w:r/>
          </w:p>
        </w:tc>
      </w:tr>
      <w:tr>
        <w:trPr>
          <w:cantSplit/>
        </w:trPr>
        <w:tc>
          <w:tcPr>
            <w:tcW w:type="dxa" w:w="3312"/>
            <w:tcMar>
              <w:top w:w="60" w:type="dxa"/>
              <w:start w:w="110" w:type="dxa"/>
              <w:bottom w:w="60" w:type="dxa"/>
              <w:end w:w="110" w:type="dxa"/>
            </w:tcMar>
          </w:tcPr>
          <w:p>
            <w:pPr>
              <w:spacing w:after="0"/>
            </w:pPr>
            <w:r/>
            <w:r>
              <w:rPr>
                <w:rFonts w:ascii="Calibri" w:hAnsi="Calibri"/>
                <w:b w:val="0"/>
                <w:i w:val="0"/>
                <w:color w:val="101828"/>
                <w:sz w:val="16"/>
              </w:rPr>
              <w:t>Screen transition</w:t>
            </w:r>
          </w:p>
        </w:tc>
        <w:tc>
          <w:tcPr>
            <w:tcW w:type="dxa" w:w="1728"/>
            <w:tcMar>
              <w:top w:w="60" w:type="dxa"/>
              <w:start w:w="110" w:type="dxa"/>
              <w:bottom w:w="60" w:type="dxa"/>
              <w:end w:w="110" w:type="dxa"/>
            </w:tcMar>
          </w:tcPr>
          <w:p>
            <w:pPr>
              <w:spacing w:after="0"/>
            </w:pPr>
            <w:r/>
            <w:r>
              <w:rPr>
                <w:rFonts w:ascii="Calibri" w:hAnsi="Calibri"/>
                <w:b w:val="0"/>
                <w:i w:val="0"/>
                <w:color w:val="101828"/>
                <w:sz w:val="16"/>
              </w:rPr>
              <w:t>&lt; 300ms</w:t>
            </w:r>
          </w:p>
        </w:tc>
        <w:tc>
          <w:tcPr>
            <w:tcW w:type="dxa" w:w="4320"/>
            <w:tcMar>
              <w:top w:w="60" w:type="dxa"/>
              <w:start w:w="110" w:type="dxa"/>
              <w:bottom w:w="60" w:type="dxa"/>
              <w:end w:w="110" w:type="dxa"/>
            </w:tcMar>
          </w:tcPr>
          <w:p>
            <w:pPr>
              <w:spacing w:after="0"/>
            </w:pPr>
            <w:r/>
            <w:r>
              <w:rPr>
                <w:rFonts w:ascii="Calibri" w:hAnsi="Calibri"/>
                <w:b w:val="0"/>
                <w:i w:val="0"/>
                <w:color w:val="101828"/>
                <w:sz w:val="16"/>
              </w:rPr>
              <w:t>Perceived, using the native driver</w:t>
            </w:r>
          </w:p>
        </w:tc>
      </w:tr>
      <w:tr>
        <w:trPr>
          <w:cantSplit/>
        </w:trPr>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Payment flow, initiate to redirect</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&lt; 3s</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Excluding the provider's own page</w:t>
            </w:r>
          </w:p>
        </w:tc>
      </w:tr>
      <w:tr>
        <w:trPr>
          <w:cantSplit/>
        </w:trPr>
        <w:tc>
          <w:tcPr>
            <w:tcW w:type="dxa" w:w="3312"/>
            <w:tcMar>
              <w:top w:w="60" w:type="dxa"/>
              <w:start w:w="110" w:type="dxa"/>
              <w:bottom w:w="60" w:type="dxa"/>
              <w:end w:w="110" w:type="dxa"/>
            </w:tcMar>
          </w:tcPr>
          <w:p>
            <w:pPr>
              <w:spacing w:after="0"/>
            </w:pPr>
            <w:r/>
            <w:r>
              <w:rPr>
                <w:rFonts w:ascii="Calibri" w:hAnsi="Calibri"/>
                <w:b w:val="0"/>
                <w:i w:val="0"/>
                <w:color w:val="101828"/>
                <w:sz w:val="16"/>
              </w:rPr>
              <w:t>List scroll</w:t>
            </w:r>
          </w:p>
        </w:tc>
        <w:tc>
          <w:tcPr>
            <w:tcW w:type="dxa" w:w="1728"/>
            <w:tcMar>
              <w:top w:w="60" w:type="dxa"/>
              <w:start w:w="110" w:type="dxa"/>
              <w:bottom w:w="60" w:type="dxa"/>
              <w:end w:w="110" w:type="dxa"/>
            </w:tcMar>
          </w:tcPr>
          <w:p>
            <w:pPr>
              <w:spacing w:after="0"/>
            </w:pPr>
            <w:r/>
            <w:r>
              <w:rPr>
                <w:rFonts w:ascii="Calibri" w:hAnsi="Calibri"/>
                <w:b w:val="0"/>
                <w:i w:val="0"/>
                <w:color w:val="101828"/>
                <w:sz w:val="16"/>
              </w:rPr>
              <w:t>60fps, never below 30fps</w:t>
            </w:r>
          </w:p>
        </w:tc>
        <w:tc>
          <w:tcPr>
            <w:tcW w:type="dxa" w:w="4320"/>
            <w:tcMar>
              <w:top w:w="60" w:type="dxa"/>
              <w:start w:w="110" w:type="dxa"/>
              <w:bottom w:w="60" w:type="dxa"/>
              <w:end w:w="110" w:type="dxa"/>
            </w:tcMar>
          </w:tcPr>
          <w:p>
            <w:pPr>
              <w:spacing w:after="0"/>
            </w:pPr>
            <w:r/>
            <w:r>
              <w:rPr>
                <w:rFonts w:ascii="Calibri" w:hAnsi="Calibri"/>
                <w:b w:val="0"/>
                <w:i w:val="0"/>
                <w:color w:val="101828"/>
                <w:sz w:val="16"/>
              </w:rPr>
              <w:t>Virtualised lists</w:t>
            </w:r>
          </w:p>
        </w:tc>
      </w:tr>
      <w:tr>
        <w:trPr>
          <w:cantSplit/>
        </w:trPr>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Offline cache read</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6"/>
              </w:rPr>
              <w:t>&lt; 200ms</w:t>
            </w:r>
          </w:p>
        </w:tc>
        <w:tc>
          <w:tcPr>
            <w:tcW w:type="dxa" w:w="4320"/>
            <w:tcMar>
              <w:top w:w="60" w:type="dxa"/>
              <w:start w:w="110" w:type="dxa"/>
              <w:bottom w:w="60" w:type="dxa"/>
              <w:end w:w="110" w:type="dxa"/>
            </w:tcMar>
            <w:shd w:val="clear" w:color="auto" w:fill="F4F7FB"/>
          </w:tcPr>
          <w:p>
            <w:pPr>
              <w:spacing w:after="0"/>
            </w:pPr>
            <w:r/>
            <w:r>
              <w:rPr>
                <w:rFonts w:ascii="Calibri" w:hAnsi="Calibri"/>
                <w:b w:val="0"/>
                <w:i w:val="0"/>
                <w:color w:val="101828"/>
                <w:sz w:val="16"/>
              </w:rPr>
              <w:t>No network at all</w:t>
            </w:r>
          </w:p>
        </w:tc>
      </w:tr>
    </w:tbl>
    <w:p>
      <w:pPr>
        <w:spacing w:after="80"/>
      </w:pPr>
    </w:p>
    <w:p>
      <w:pPr>
        <w:pStyle w:val="Heading2"/>
      </w:pPr>
      <w:r>
        <w:rPr>
          <w:rFonts w:ascii="Calibri" w:hAnsi="Calibri"/>
          <w:b/>
          <w:i w:val="0"/>
          <w:color w:val="146EF5"/>
          <w:sz w:val="29"/>
        </w:rPr>
        <w:t>25.4 Throughput capacity</w:t>
      </w:r>
    </w:p>
    <w:p>
      <w:r>
        <w:rPr>
          <w:rFonts w:ascii="Calibri" w:hAnsi="Calibri"/>
          <w:b w:val="0"/>
          <w:i w:val="0"/>
          <w:color w:val="101828"/>
          <w:sz w:val="21"/>
        </w:rPr>
        <w:t>The design target is chosen to be comfortably above the realistic one-year peak, so that growth is an operations problem rather than an architecture problem.</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Scenario</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Volume</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Design target</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Headroom</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Registered members (year 1)</w:t>
            </w:r>
          </w:p>
        </w:tc>
        <w:tc>
          <w:tcPr>
            <w:tcW w:type="dxa" w:w="2304"/>
            <w:tcMar>
              <w:top w:w="60" w:type="dxa"/>
              <w:start w:w="110" w:type="dxa"/>
              <w:bottom w:w="60" w:type="dxa"/>
              <w:end w:w="110" w:type="dxa"/>
            </w:tcMar>
          </w:tcPr>
          <w:p>
            <w:pPr>
              <w:spacing w:after="0"/>
            </w:pPr>
            <w:r/>
            <w:r>
              <w:rPr>
                <w:rFonts w:ascii="Calibri" w:hAnsi="Calibri"/>
                <w:b w:val="0"/>
                <w:i w:val="0"/>
                <w:color w:val="101828"/>
                <w:sz w:val="16"/>
              </w:rPr>
              <w:t>Up to 30,000</w:t>
            </w:r>
          </w:p>
        </w:tc>
        <w:tc>
          <w:tcPr>
            <w:tcW w:type="dxa" w:w="2016"/>
            <w:tcMar>
              <w:top w:w="60" w:type="dxa"/>
              <w:start w:w="110" w:type="dxa"/>
              <w:bottom w:w="60" w:type="dxa"/>
              <w:end w:w="110" w:type="dxa"/>
            </w:tcMar>
          </w:tcPr>
          <w:p>
            <w:pPr>
              <w:spacing w:after="0"/>
            </w:pPr>
            <w:r/>
            <w:r>
              <w:rPr>
                <w:rFonts w:ascii="Calibri" w:hAnsi="Calibri"/>
                <w:b w:val="0"/>
                <w:i w:val="0"/>
                <w:color w:val="101828"/>
                <w:sz w:val="16"/>
              </w:rPr>
              <w:t>100,000</w:t>
            </w:r>
          </w:p>
        </w:tc>
        <w:tc>
          <w:tcPr>
            <w:tcW w:type="dxa" w:w="2304"/>
            <w:tcMar>
              <w:top w:w="60" w:type="dxa"/>
              <w:start w:w="110" w:type="dxa"/>
              <w:bottom w:w="60" w:type="dxa"/>
              <w:end w:w="110" w:type="dxa"/>
            </w:tcMar>
          </w:tcPr>
          <w:p>
            <w:pPr>
              <w:spacing w:after="0"/>
            </w:pPr>
            <w:r/>
            <w:r>
              <w:rPr>
                <w:rFonts w:ascii="Calibri" w:hAnsi="Calibri"/>
                <w:b w:val="0"/>
                <w:i w:val="0"/>
                <w:color w:val="101828"/>
                <w:sz w:val="16"/>
              </w:rPr>
              <w:t>3x</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Active members at any time</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Up to 8,000</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25,000</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3x</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Contributions per minute at peak</w:t>
            </w:r>
          </w:p>
        </w:tc>
        <w:tc>
          <w:tcPr>
            <w:tcW w:type="dxa" w:w="2304"/>
            <w:tcMar>
              <w:top w:w="60" w:type="dxa"/>
              <w:start w:w="110" w:type="dxa"/>
              <w:bottom w:w="60" w:type="dxa"/>
              <w:end w:w="110" w:type="dxa"/>
            </w:tcMar>
          </w:tcPr>
          <w:p>
            <w:pPr>
              <w:spacing w:after="0"/>
            </w:pPr>
            <w:r/>
            <w:r>
              <w:rPr>
                <w:rFonts w:ascii="Calibri" w:hAnsi="Calibri"/>
                <w:b w:val="0"/>
                <w:i w:val="0"/>
                <w:color w:val="101828"/>
                <w:sz w:val="16"/>
              </w:rPr>
              <w:t>400</w:t>
            </w:r>
          </w:p>
        </w:tc>
        <w:tc>
          <w:tcPr>
            <w:tcW w:type="dxa" w:w="2016"/>
            <w:tcMar>
              <w:top w:w="60" w:type="dxa"/>
              <w:start w:w="110" w:type="dxa"/>
              <w:bottom w:w="60" w:type="dxa"/>
              <w:end w:w="110" w:type="dxa"/>
            </w:tcMar>
          </w:tcPr>
          <w:p>
            <w:pPr>
              <w:spacing w:after="0"/>
            </w:pPr>
            <w:r/>
            <w:r>
              <w:rPr>
                <w:rFonts w:ascii="Calibri" w:hAnsi="Calibri"/>
                <w:b w:val="0"/>
                <w:i w:val="0"/>
                <w:color w:val="101828"/>
                <w:sz w:val="16"/>
              </w:rPr>
              <w:t>1,500</w:t>
            </w:r>
          </w:p>
        </w:tc>
        <w:tc>
          <w:tcPr>
            <w:tcW w:type="dxa" w:w="2304"/>
            <w:tcMar>
              <w:top w:w="60" w:type="dxa"/>
              <w:start w:w="110" w:type="dxa"/>
              <w:bottom w:w="60" w:type="dxa"/>
              <w:end w:w="110" w:type="dxa"/>
            </w:tcMar>
          </w:tcPr>
          <w:p>
            <w:pPr>
              <w:spacing w:after="0"/>
            </w:pPr>
            <w:r/>
            <w:r>
              <w:rPr>
                <w:rFonts w:ascii="Calibri" w:hAnsi="Calibri"/>
                <w:b w:val="0"/>
                <w:i w:val="0"/>
                <w:color w:val="101828"/>
                <w:sz w:val="16"/>
              </w:rPr>
              <w:t>3.5x</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Payouts released in a single minute</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500 (one large Ajo completing)</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1,500</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3x</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Notifications per minute at peak</w:t>
            </w:r>
          </w:p>
        </w:tc>
        <w:tc>
          <w:tcPr>
            <w:tcW w:type="dxa" w:w="2304"/>
            <w:tcMar>
              <w:top w:w="60" w:type="dxa"/>
              <w:start w:w="110" w:type="dxa"/>
              <w:bottom w:w="60" w:type="dxa"/>
              <w:end w:w="110" w:type="dxa"/>
            </w:tcMar>
          </w:tcPr>
          <w:p>
            <w:pPr>
              <w:spacing w:after="0"/>
            </w:pPr>
            <w:r/>
            <w:r>
              <w:rPr>
                <w:rFonts w:ascii="Calibri" w:hAnsi="Calibri"/>
                <w:b w:val="0"/>
                <w:i w:val="0"/>
                <w:color w:val="101828"/>
                <w:sz w:val="16"/>
              </w:rPr>
              <w:t>2,000</w:t>
            </w:r>
          </w:p>
        </w:tc>
        <w:tc>
          <w:tcPr>
            <w:tcW w:type="dxa" w:w="2016"/>
            <w:tcMar>
              <w:top w:w="60" w:type="dxa"/>
              <w:start w:w="110" w:type="dxa"/>
              <w:bottom w:w="60" w:type="dxa"/>
              <w:end w:w="110" w:type="dxa"/>
            </w:tcMar>
          </w:tcPr>
          <w:p>
            <w:pPr>
              <w:spacing w:after="0"/>
            </w:pPr>
            <w:r/>
            <w:r>
              <w:rPr>
                <w:rFonts w:ascii="Calibri" w:hAnsi="Calibri"/>
                <w:b w:val="0"/>
                <w:i w:val="0"/>
                <w:color w:val="101828"/>
                <w:sz w:val="16"/>
              </w:rPr>
              <w:t>6,000</w:t>
            </w:r>
          </w:p>
        </w:tc>
        <w:tc>
          <w:tcPr>
            <w:tcW w:type="dxa" w:w="2304"/>
            <w:tcMar>
              <w:top w:w="60" w:type="dxa"/>
              <w:start w:w="110" w:type="dxa"/>
              <w:bottom w:w="60" w:type="dxa"/>
              <w:end w:w="110" w:type="dxa"/>
            </w:tcMar>
          </w:tcPr>
          <w:p>
            <w:pPr>
              <w:spacing w:after="0"/>
            </w:pPr>
            <w:r/>
            <w:r>
              <w:rPr>
                <w:rFonts w:ascii="Calibri" w:hAnsi="Calibri"/>
                <w:b w:val="0"/>
                <w:i w:val="0"/>
                <w:color w:val="101828"/>
                <w:sz w:val="16"/>
              </w:rPr>
              <w:t>3x</w:t>
            </w:r>
          </w:p>
        </w:tc>
      </w:tr>
      <w:tr>
        <w:trPr>
          <w:cantSplit/>
        </w:trPr>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Concurrent API requests</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300</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1,000</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3x</w:t>
            </w:r>
          </w:p>
        </w:tc>
      </w:tr>
      <w:tr>
        <w:trPr>
          <w:cantSplit/>
        </w:trPr>
        <w:tc>
          <w:tcPr>
            <w:tcW w:type="dxa" w:w="2736"/>
            <w:tcMar>
              <w:top w:w="60" w:type="dxa"/>
              <w:start w:w="110" w:type="dxa"/>
              <w:bottom w:w="60" w:type="dxa"/>
              <w:end w:w="110" w:type="dxa"/>
            </w:tcMar>
          </w:tcPr>
          <w:p>
            <w:pPr>
              <w:spacing w:after="0"/>
            </w:pPr>
            <w:r/>
            <w:r>
              <w:rPr>
                <w:rFonts w:ascii="Calibri" w:hAnsi="Calibri"/>
                <w:b w:val="0"/>
                <w:i w:val="0"/>
                <w:color w:val="101828"/>
                <w:sz w:val="16"/>
              </w:rPr>
              <w:t>Total member transactions in year 1</w:t>
            </w:r>
          </w:p>
        </w:tc>
        <w:tc>
          <w:tcPr>
            <w:tcW w:type="dxa" w:w="2304"/>
            <w:tcMar>
              <w:top w:w="60" w:type="dxa"/>
              <w:start w:w="110" w:type="dxa"/>
              <w:bottom w:w="60" w:type="dxa"/>
              <w:end w:w="110" w:type="dxa"/>
            </w:tcMar>
          </w:tcPr>
          <w:p>
            <w:pPr>
              <w:spacing w:after="0"/>
            </w:pPr>
            <w:r/>
            <w:r>
              <w:rPr>
                <w:rFonts w:ascii="Calibri" w:hAnsi="Calibri"/>
                <w:b w:val="0"/>
                <w:i w:val="0"/>
                <w:color w:val="101828"/>
                <w:sz w:val="16"/>
              </w:rPr>
              <w:t>~360,000</w:t>
            </w:r>
          </w:p>
        </w:tc>
        <w:tc>
          <w:tcPr>
            <w:tcW w:type="dxa" w:w="2016"/>
            <w:tcMar>
              <w:top w:w="60" w:type="dxa"/>
              <w:start w:w="110" w:type="dxa"/>
              <w:bottom w:w="60" w:type="dxa"/>
              <w:end w:w="110" w:type="dxa"/>
            </w:tcMar>
          </w:tcPr>
          <w:p>
            <w:pPr>
              <w:spacing w:after="0"/>
            </w:pPr>
            <w:r/>
            <w:r>
              <w:rPr>
                <w:rFonts w:ascii="Calibri" w:hAnsi="Calibri"/>
                <w:b w:val="0"/>
                <w:i w:val="0"/>
                <w:color w:val="101828"/>
                <w:sz w:val="16"/>
              </w:rPr>
              <w:t>—</w:t>
            </w:r>
          </w:p>
        </w:tc>
        <w:tc>
          <w:tcPr>
            <w:tcW w:type="dxa" w:w="2304"/>
            <w:tcMar>
              <w:top w:w="60" w:type="dxa"/>
              <w:start w:w="110" w:type="dxa"/>
              <w:bottom w:w="60" w:type="dxa"/>
              <w:end w:w="110" w:type="dxa"/>
            </w:tcMar>
          </w:tcPr>
          <w:p>
            <w:pPr>
              <w:spacing w:after="0"/>
            </w:pPr>
            <w:r/>
            <w:r>
              <w:rPr>
                <w:rFonts w:ascii="Calibri" w:hAnsi="Calibri"/>
                <w:b w:val="0"/>
                <w:i w:val="0"/>
                <w:color w:val="101828"/>
                <w:sz w:val="16"/>
              </w:rPr>
              <w:t>—</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The peak that matters is a single Ajo completing.  </w:t>
      </w:r>
      <w:r>
        <w:rPr>
          <w:rFonts w:ascii="Calibri" w:hAnsi="Calibri"/>
          <w:b w:val="0"/>
          <w:i w:val="0"/>
          <w:color w:val="0B1F3A"/>
          <w:sz w:val="19"/>
        </w:rPr>
        <w:t>Not the average load — the moment a 500-member Ajo releases 500 payouts in one batch, on the same day, while everything else continues. This is a workload-shape problem, and it is solved by queue isolation, per-rail rate limits, and chunked batch dispatch rather than by a larger database.</w:t>
      </w:r>
    </w:p>
    <w:p>
      <w:pPr>
        <w:pStyle w:val="Heading2"/>
      </w:pPr>
      <w:r>
        <w:rPr>
          <w:rFonts w:ascii="Calibri" w:hAnsi="Calibri"/>
          <w:b/>
          <w:i w:val="0"/>
          <w:color w:val="146EF5"/>
          <w:sz w:val="29"/>
        </w:rPr>
        <w:t>25.5 Scalability architecture</w:t>
      </w:r>
    </w:p>
    <w:p>
      <w:pPr>
        <w:pStyle w:val="Heading3"/>
      </w:pPr>
      <w:r>
        <w:rPr>
          <w:rFonts w:ascii="Calibri" w:hAnsi="Calibri"/>
          <w:b/>
          <w:i w:val="0"/>
          <w:color w:val="0B1F3A"/>
          <w:sz w:val="24"/>
        </w:rPr>
        <w:t>25.5.1 Read path</w:t>
      </w:r>
    </w:p>
    <w:p>
      <w:pPr>
        <w:pStyle w:val="ListBullet"/>
        <w:spacing w:after="60"/>
        <w:ind w:left="360"/>
      </w:pPr>
      <w:r>
        <w:rPr>
          <w:rFonts w:ascii="Calibri" w:hAnsi="Calibri"/>
          <w:b w:val="0"/>
          <w:i w:val="0"/>
          <w:color w:val="101828"/>
          <w:sz w:val="21"/>
        </w:rPr>
        <w:t>Every Ajo detail screen is served by a single aggregate query. A screen that needs six round trips is a screen that will be slow on a bad network.</w:t>
      </w:r>
    </w:p>
    <w:p>
      <w:pPr>
        <w:pStyle w:val="ListBullet"/>
        <w:spacing w:after="60"/>
        <w:ind w:left="360"/>
      </w:pPr>
      <w:r>
        <w:rPr>
          <w:rFonts w:ascii="Calibri" w:hAnsi="Calibri"/>
          <w:b w:val="0"/>
          <w:i w:val="0"/>
          <w:color w:val="101828"/>
          <w:sz w:val="21"/>
        </w:rPr>
        <w:t>The home dashboard is one query, not a fan-out. The same endpoint serves the web and the mobile client.</w:t>
      </w:r>
    </w:p>
    <w:p>
      <w:pPr>
        <w:pStyle w:val="ListBullet"/>
        <w:spacing w:after="60"/>
        <w:ind w:left="360"/>
      </w:pPr>
      <w:r>
        <w:rPr>
          <w:rFonts w:ascii="Calibri" w:hAnsi="Calibri"/>
          <w:b w:val="0"/>
          <w:i w:val="0"/>
          <w:color w:val="101828"/>
          <w:sz w:val="21"/>
        </w:rPr>
        <w:t>Read replicas carry all reporting and analytics traffic, so a heavy dashboard never competes with a payment.</w:t>
      </w:r>
    </w:p>
    <w:p>
      <w:pPr>
        <w:pStyle w:val="ListBullet"/>
        <w:spacing w:after="60"/>
        <w:ind w:left="360"/>
      </w:pPr>
      <w:r>
        <w:rPr>
          <w:rFonts w:ascii="Calibri" w:hAnsi="Calibri"/>
          <w:b w:val="0"/>
          <w:i w:val="0"/>
          <w:color w:val="101828"/>
          <w:sz w:val="21"/>
        </w:rPr>
        <w:t xml:space="preserve">Redis caches stable, slow-changing data — Ajo configuration, member profile. Money balances are </w:t>
      </w:r>
      <w:r>
        <w:rPr>
          <w:rFonts w:ascii="Calibri" w:hAnsi="Calibri"/>
          <w:b/>
          <w:color w:val="101828"/>
          <w:sz w:val="21"/>
        </w:rPr>
        <w:t>never</w:t>
      </w:r>
      <w:r>
        <w:rPr>
          <w:rFonts w:ascii="Calibri" w:hAnsi="Calibri"/>
          <w:b w:val="0"/>
          <w:i w:val="0"/>
          <w:color w:val="101828"/>
          <w:sz w:val="21"/>
        </w:rPr>
        <w:t xml:space="preserve"> cached beyond the request, because a stale balance is a financial error.</w:t>
      </w:r>
    </w:p>
    <w:p>
      <w:pPr>
        <w:pStyle w:val="Heading3"/>
      </w:pPr>
      <w:r>
        <w:rPr>
          <w:rFonts w:ascii="Calibri" w:hAnsi="Calibri"/>
          <w:b/>
          <w:i w:val="0"/>
          <w:color w:val="0B1F3A"/>
          <w:sz w:val="24"/>
        </w:rPr>
        <w:t>25.5.2 Write path</w:t>
      </w:r>
    </w:p>
    <w:p>
      <w:pPr>
        <w:pStyle w:val="ListBullet"/>
        <w:spacing w:after="60"/>
        <w:ind w:left="360"/>
      </w:pPr>
      <w:r>
        <w:rPr>
          <w:rFonts w:ascii="Calibri" w:hAnsi="Calibri"/>
          <w:b w:val="0"/>
          <w:i w:val="0"/>
          <w:color w:val="101828"/>
          <w:sz w:val="21"/>
        </w:rPr>
        <w:t>All money writes are short, single-transaction operations. No long transaction ever holds a lock on a money table.</w:t>
      </w:r>
    </w:p>
    <w:p>
      <w:pPr>
        <w:pStyle w:val="ListBullet"/>
        <w:spacing w:after="60"/>
        <w:ind w:left="360"/>
      </w:pPr>
      <w:r>
        <w:rPr>
          <w:rFonts w:ascii="Calibri" w:hAnsi="Calibri"/>
          <w:b w:val="0"/>
          <w:i w:val="0"/>
          <w:color w:val="101828"/>
          <w:sz w:val="21"/>
        </w:rPr>
        <w:t>Asynchronous work — notifications, analytics, statements — never shares a transaction with a money write.</w:t>
      </w:r>
    </w:p>
    <w:p>
      <w:pPr>
        <w:pStyle w:val="ListBullet"/>
        <w:spacing w:after="60"/>
        <w:ind w:left="360"/>
      </w:pPr>
      <w:r>
        <w:rPr>
          <w:rFonts w:ascii="Calibri" w:hAnsi="Calibri"/>
          <w:b w:val="0"/>
          <w:i w:val="0"/>
          <w:color w:val="101828"/>
          <w:sz w:val="21"/>
        </w:rPr>
        <w:t>Queue isolation by workload class, so a notification burst cannot delay a payout.</w:t>
      </w:r>
    </w:p>
    <w:p>
      <w:pPr>
        <w:pStyle w:val="ListBullet"/>
        <w:spacing w:after="60"/>
        <w:ind w:left="360"/>
      </w:pPr>
      <w:r>
        <w:rPr>
          <w:rFonts w:ascii="Calibri" w:hAnsi="Calibri"/>
          <w:b w:val="0"/>
          <w:i w:val="0"/>
          <w:color w:val="101828"/>
          <w:sz w:val="21"/>
        </w:rPr>
        <w:t>Write batching only where it does not compromise durability. A contribution is never batched.</w:t>
      </w:r>
    </w:p>
    <w:p>
      <w:pPr>
        <w:pStyle w:val="Heading3"/>
      </w:pPr>
      <w:r>
        <w:rPr>
          <w:rFonts w:ascii="Calibri" w:hAnsi="Calibri"/>
          <w:b/>
          <w:i w:val="0"/>
          <w:color w:val="0B1F3A"/>
          <w:sz w:val="24"/>
        </w:rPr>
        <w:t>25.5.3 Database</w:t>
      </w:r>
    </w:p>
    <w:p>
      <w:pPr>
        <w:pStyle w:val="ListBullet"/>
        <w:spacing w:after="60"/>
        <w:ind w:left="360"/>
      </w:pPr>
      <w:r>
        <w:rPr>
          <w:rFonts w:ascii="Calibri" w:hAnsi="Calibri"/>
          <w:b w:val="0"/>
          <w:i w:val="0"/>
          <w:color w:val="101828"/>
          <w:sz w:val="21"/>
        </w:rPr>
        <w:t>Every query is indexed for its access pattern, and slow-query logging is enabled from day one with a threshold well below what would be felt by a member.</w:t>
      </w:r>
    </w:p>
    <w:p>
      <w:pPr>
        <w:pStyle w:val="ListBullet"/>
        <w:spacing w:after="60"/>
        <w:ind w:left="360"/>
      </w:pPr>
      <w:r>
        <w:rPr>
          <w:rFonts w:ascii="Calibri" w:hAnsi="Calibri"/>
          <w:b w:val="0"/>
          <w:i w:val="0"/>
          <w:color w:val="101828"/>
          <w:sz w:val="21"/>
        </w:rPr>
        <w:t>Connection pooling with PgBouncer, because a serverless-ish autoscaling pattern plus direct connections exhausts PostgreSQL connections long before CPU.</w:t>
      </w:r>
    </w:p>
    <w:p>
      <w:pPr>
        <w:pStyle w:val="ListBullet"/>
        <w:spacing w:after="60"/>
        <w:ind w:left="360"/>
      </w:pPr>
      <w:r>
        <w:rPr>
          <w:rFonts w:ascii="Calibri" w:hAnsi="Calibri"/>
          <w:b w:val="0"/>
          <w:i w:val="0"/>
          <w:color w:val="101828"/>
          <w:sz w:val="21"/>
        </w:rPr>
        <w:t>The ledger is partitioned by month once it grows, with cold partitions archived to cold storage.</w:t>
      </w:r>
    </w:p>
    <w:p>
      <w:pPr>
        <w:pStyle w:val="ListBullet"/>
        <w:spacing w:after="60"/>
        <w:ind w:left="360"/>
      </w:pPr>
      <w:r>
        <w:rPr>
          <w:rFonts w:ascii="Calibri" w:hAnsi="Calibri"/>
          <w:b w:val="0"/>
          <w:i w:val="0"/>
          <w:color w:val="101828"/>
          <w:sz w:val="21"/>
        </w:rPr>
        <w:t>Reads that are only for reporting go to a replica, and a read that must be consistent — anything touching money — goes to the primary.</w:t>
      </w:r>
    </w:p>
    <w:p>
      <w:pPr>
        <w:pStyle w:val="Heading3"/>
      </w:pPr>
      <w:r>
        <w:rPr>
          <w:rFonts w:ascii="Calibri" w:hAnsi="Calibri"/>
          <w:b/>
          <w:i w:val="0"/>
          <w:color w:val="0B1F3A"/>
          <w:sz w:val="24"/>
        </w:rPr>
        <w:t>25.5.4 Rate limiting</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592"/>
            <w:shd w:val="clear" w:color="auto" w:fill="0B1F3A"/>
            <w:tcMar>
              <w:top w:w="60" w:type="dxa"/>
              <w:start w:w="110" w:type="dxa"/>
              <w:bottom w:w="60" w:type="dxa"/>
              <w:end w:w="110" w:type="dxa"/>
            </w:tcMar>
          </w:tcPr>
          <w:p>
            <w:pPr>
              <w:spacing w:after="0"/>
            </w:pPr>
            <w:r/>
            <w:r>
              <w:rPr>
                <w:rFonts w:ascii="Calibri" w:hAnsi="Calibri"/>
                <w:b/>
                <w:i w:val="0"/>
                <w:color w:val="FFFFFF"/>
                <w:sz w:val="16"/>
              </w:rPr>
              <w:t>Operation</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Limit</w:t>
            </w:r>
          </w:p>
        </w:tc>
        <w:tc>
          <w:tcPr>
            <w:tcW w:type="dxa" w:w="4464"/>
            <w:shd w:val="clear" w:color="auto" w:fill="0B1F3A"/>
            <w:tcMar>
              <w:top w:w="60" w:type="dxa"/>
              <w:start w:w="110" w:type="dxa"/>
              <w:bottom w:w="60" w:type="dxa"/>
              <w:end w:w="110" w:type="dxa"/>
            </w:tcMar>
          </w:tcPr>
          <w:p>
            <w:pPr>
              <w:spacing w:after="0"/>
            </w:pPr>
            <w:r/>
            <w:r>
              <w:rPr>
                <w:rFonts w:ascii="Calibri" w:hAnsi="Calibri"/>
                <w:b/>
                <w:i w:val="0"/>
                <w:color w:val="FFFFFF"/>
                <w:sz w:val="16"/>
              </w:rPr>
              <w:t>Reason</w:t>
            </w:r>
          </w:p>
        </w:tc>
      </w:tr>
      <w:tr>
        <w:trPr>
          <w:cantSplit/>
        </w:trPr>
        <w:tc>
          <w:tcPr>
            <w:tcW w:type="dxa" w:w="2592"/>
            <w:tcMar>
              <w:top w:w="60" w:type="dxa"/>
              <w:start w:w="110" w:type="dxa"/>
              <w:bottom w:w="60" w:type="dxa"/>
              <w:end w:w="110" w:type="dxa"/>
            </w:tcMar>
          </w:tcPr>
          <w:p>
            <w:pPr>
              <w:spacing w:after="0"/>
            </w:pPr>
            <w:r/>
            <w:r>
              <w:rPr>
                <w:rFonts w:ascii="Calibri" w:hAnsi="Calibri"/>
                <w:b w:val="0"/>
                <w:i w:val="0"/>
                <w:color w:val="101828"/>
                <w:sz w:val="16"/>
              </w:rPr>
              <w:t>Login attempts</w:t>
            </w:r>
          </w:p>
        </w:tc>
        <w:tc>
          <w:tcPr>
            <w:tcW w:type="dxa" w:w="2304"/>
            <w:tcMar>
              <w:top w:w="60" w:type="dxa"/>
              <w:start w:w="110" w:type="dxa"/>
              <w:bottom w:w="60" w:type="dxa"/>
              <w:end w:w="110" w:type="dxa"/>
            </w:tcMar>
          </w:tcPr>
          <w:p>
            <w:pPr>
              <w:spacing w:after="0"/>
            </w:pPr>
            <w:r/>
            <w:r>
              <w:rPr>
                <w:rFonts w:ascii="Calibri" w:hAnsi="Calibri"/>
                <w:b w:val="0"/>
                <w:i w:val="0"/>
                <w:color w:val="101828"/>
                <w:sz w:val="16"/>
              </w:rPr>
              <w:t>10 per account per 15 minutes</w:t>
            </w:r>
          </w:p>
        </w:tc>
        <w:tc>
          <w:tcPr>
            <w:tcW w:type="dxa" w:w="4464"/>
            <w:tcMar>
              <w:top w:w="60" w:type="dxa"/>
              <w:start w:w="110" w:type="dxa"/>
              <w:bottom w:w="60" w:type="dxa"/>
              <w:end w:w="110" w:type="dxa"/>
            </w:tcMar>
          </w:tcPr>
          <w:p>
            <w:pPr>
              <w:spacing w:after="0"/>
            </w:pPr>
            <w:r/>
            <w:r>
              <w:rPr>
                <w:rFonts w:ascii="Calibri" w:hAnsi="Calibri"/>
                <w:b w:val="0"/>
                <w:i w:val="0"/>
                <w:color w:val="101828"/>
                <w:sz w:val="16"/>
              </w:rPr>
              <w:t>Credential stuffing</w:t>
            </w:r>
          </w:p>
        </w:tc>
      </w:tr>
      <w:tr>
        <w:trPr>
          <w:cantSplit/>
        </w:trPr>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OTP requests</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5 per hour per destination</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Cost and SMS abuse</w:t>
            </w:r>
          </w:p>
        </w:tc>
      </w:tr>
      <w:tr>
        <w:trPr>
          <w:cantSplit/>
        </w:trPr>
        <w:tc>
          <w:tcPr>
            <w:tcW w:type="dxa" w:w="2592"/>
            <w:tcMar>
              <w:top w:w="60" w:type="dxa"/>
              <w:start w:w="110" w:type="dxa"/>
              <w:bottom w:w="60" w:type="dxa"/>
              <w:end w:w="110" w:type="dxa"/>
            </w:tcMar>
          </w:tcPr>
          <w:p>
            <w:pPr>
              <w:spacing w:after="0"/>
            </w:pPr>
            <w:r/>
            <w:r>
              <w:rPr>
                <w:rFonts w:ascii="Calibri" w:hAnsi="Calibri"/>
                <w:b w:val="0"/>
                <w:i w:val="0"/>
                <w:color w:val="101828"/>
                <w:sz w:val="16"/>
              </w:rPr>
              <w:t>Contribution initiation</w:t>
            </w:r>
          </w:p>
        </w:tc>
        <w:tc>
          <w:tcPr>
            <w:tcW w:type="dxa" w:w="2304"/>
            <w:tcMar>
              <w:top w:w="60" w:type="dxa"/>
              <w:start w:w="110" w:type="dxa"/>
              <w:bottom w:w="60" w:type="dxa"/>
              <w:end w:w="110" w:type="dxa"/>
            </w:tcMar>
          </w:tcPr>
          <w:p>
            <w:pPr>
              <w:spacing w:after="0"/>
            </w:pPr>
            <w:r/>
            <w:r>
              <w:rPr>
                <w:rFonts w:ascii="Calibri" w:hAnsi="Calibri"/>
                <w:b w:val="0"/>
                <w:i w:val="0"/>
                <w:color w:val="101828"/>
                <w:sz w:val="16"/>
              </w:rPr>
              <w:t>20 per member per hour</w:t>
            </w:r>
          </w:p>
        </w:tc>
        <w:tc>
          <w:tcPr>
            <w:tcW w:type="dxa" w:w="4464"/>
            <w:tcMar>
              <w:top w:w="60" w:type="dxa"/>
              <w:start w:w="110" w:type="dxa"/>
              <w:bottom w:w="60" w:type="dxa"/>
              <w:end w:w="110" w:type="dxa"/>
            </w:tcMar>
          </w:tcPr>
          <w:p>
            <w:pPr>
              <w:spacing w:after="0"/>
            </w:pPr>
            <w:r/>
            <w:r>
              <w:rPr>
                <w:rFonts w:ascii="Calibri" w:hAnsi="Calibri"/>
                <w:b w:val="0"/>
                <w:i w:val="0"/>
                <w:color w:val="101828"/>
                <w:sz w:val="16"/>
              </w:rPr>
              <w:t>Double-tap and script abuse</w:t>
            </w:r>
          </w:p>
        </w:tc>
      </w:tr>
      <w:tr>
        <w:trPr>
          <w:cantSplit/>
        </w:trPr>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Ajo creation (new accounts)</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3 per 30 days under 30 days old</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Account farming</w:t>
            </w:r>
          </w:p>
        </w:tc>
      </w:tr>
      <w:tr>
        <w:trPr>
          <w:cantSplit/>
        </w:trPr>
        <w:tc>
          <w:tcPr>
            <w:tcW w:type="dxa" w:w="2592"/>
            <w:tcMar>
              <w:top w:w="60" w:type="dxa"/>
              <w:start w:w="110" w:type="dxa"/>
              <w:bottom w:w="60" w:type="dxa"/>
              <w:end w:w="110" w:type="dxa"/>
            </w:tcMar>
          </w:tcPr>
          <w:p>
            <w:pPr>
              <w:spacing w:after="0"/>
            </w:pPr>
            <w:r/>
            <w:r>
              <w:rPr>
                <w:rFonts w:ascii="Calibri" w:hAnsi="Calibri"/>
                <w:b w:val="0"/>
                <w:i w:val="0"/>
                <w:color w:val="101828"/>
                <w:sz w:val="16"/>
              </w:rPr>
              <w:t>Payout destination change</w:t>
            </w:r>
          </w:p>
        </w:tc>
        <w:tc>
          <w:tcPr>
            <w:tcW w:type="dxa" w:w="2304"/>
            <w:tcMar>
              <w:top w:w="60" w:type="dxa"/>
              <w:start w:w="110" w:type="dxa"/>
              <w:bottom w:w="60" w:type="dxa"/>
              <w:end w:w="110" w:type="dxa"/>
            </w:tcMar>
          </w:tcPr>
          <w:p>
            <w:pPr>
              <w:spacing w:after="0"/>
            </w:pPr>
            <w:r/>
            <w:r>
              <w:rPr>
                <w:rFonts w:ascii="Calibri" w:hAnsi="Calibri"/>
                <w:b w:val="0"/>
                <w:i w:val="0"/>
                <w:color w:val="101828"/>
                <w:sz w:val="16"/>
              </w:rPr>
              <w:t>2 per 30 days</w:t>
            </w:r>
          </w:p>
        </w:tc>
        <w:tc>
          <w:tcPr>
            <w:tcW w:type="dxa" w:w="4464"/>
            <w:tcMar>
              <w:top w:w="60" w:type="dxa"/>
              <w:start w:w="110" w:type="dxa"/>
              <w:bottom w:w="60" w:type="dxa"/>
              <w:end w:w="110" w:type="dxa"/>
            </w:tcMar>
          </w:tcPr>
          <w:p>
            <w:pPr>
              <w:spacing w:after="0"/>
            </w:pPr>
            <w:r/>
            <w:r>
              <w:rPr>
                <w:rFonts w:ascii="Calibri" w:hAnsi="Calibri"/>
                <w:b w:val="0"/>
                <w:i w:val="0"/>
                <w:color w:val="101828"/>
                <w:sz w:val="16"/>
              </w:rPr>
              <w:t>Redirection fraud</w:t>
            </w:r>
          </w:p>
        </w:tc>
      </w:tr>
      <w:tr>
        <w:trPr>
          <w:cantSplit/>
        </w:trPr>
        <w:tc>
          <w:tcPr>
            <w:tcW w:type="dxa" w:w="2592"/>
            <w:tcMar>
              <w:top w:w="60" w:type="dxa"/>
              <w:start w:w="110" w:type="dxa"/>
              <w:bottom w:w="60" w:type="dxa"/>
              <w:end w:w="110" w:type="dxa"/>
            </w:tcMar>
            <w:shd w:val="clear" w:color="auto" w:fill="F4F7FB"/>
          </w:tcPr>
          <w:p>
            <w:pPr>
              <w:spacing w:after="0"/>
            </w:pPr>
            <w:r/>
            <w:r>
              <w:rPr>
                <w:rFonts w:ascii="Calibri" w:hAnsi="Calibri"/>
                <w:b w:val="0"/>
                <w:i w:val="0"/>
                <w:color w:val="101828"/>
                <w:sz w:val="16"/>
              </w:rPr>
              <w:t>API, general reads</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300 per minute per token</w:t>
            </w:r>
          </w:p>
        </w:tc>
        <w:tc>
          <w:tcPr>
            <w:tcW w:type="dxa" w:w="4464"/>
            <w:tcMar>
              <w:top w:w="60" w:type="dxa"/>
              <w:start w:w="110" w:type="dxa"/>
              <w:bottom w:w="60" w:type="dxa"/>
              <w:end w:w="110" w:type="dxa"/>
            </w:tcMar>
            <w:shd w:val="clear" w:color="auto" w:fill="F4F7FB"/>
          </w:tcPr>
          <w:p>
            <w:pPr>
              <w:spacing w:after="0"/>
            </w:pPr>
            <w:r/>
            <w:r>
              <w:rPr>
                <w:rFonts w:ascii="Calibri" w:hAnsi="Calibri"/>
                <w:b w:val="0"/>
                <w:i w:val="0"/>
                <w:color w:val="101828"/>
                <w:sz w:val="16"/>
              </w:rPr>
              <w:t>Abuse and cost control</w:t>
            </w:r>
          </w:p>
        </w:tc>
      </w:tr>
      <w:tr>
        <w:trPr>
          <w:cantSplit/>
        </w:trPr>
        <w:tc>
          <w:tcPr>
            <w:tcW w:type="dxa" w:w="2592"/>
            <w:tcMar>
              <w:top w:w="60" w:type="dxa"/>
              <w:start w:w="110" w:type="dxa"/>
              <w:bottom w:w="60" w:type="dxa"/>
              <w:end w:w="110" w:type="dxa"/>
            </w:tcMar>
          </w:tcPr>
          <w:p>
            <w:pPr>
              <w:spacing w:after="0"/>
            </w:pPr>
            <w:r/>
            <w:r>
              <w:rPr>
                <w:rFonts w:ascii="Calibri" w:hAnsi="Calibri"/>
                <w:b w:val="0"/>
                <w:i w:val="0"/>
                <w:color w:val="101828"/>
                <w:sz w:val="16"/>
              </w:rPr>
              <w:t>Webhook ingestion</w:t>
            </w:r>
          </w:p>
        </w:tc>
        <w:tc>
          <w:tcPr>
            <w:tcW w:type="dxa" w:w="2304"/>
            <w:tcMar>
              <w:top w:w="60" w:type="dxa"/>
              <w:start w:w="110" w:type="dxa"/>
              <w:bottom w:w="60" w:type="dxa"/>
              <w:end w:w="110" w:type="dxa"/>
            </w:tcMar>
          </w:tcPr>
          <w:p>
            <w:pPr>
              <w:spacing w:after="0"/>
            </w:pPr>
            <w:r/>
            <w:r>
              <w:rPr>
                <w:rFonts w:ascii="Calibri" w:hAnsi="Calibri"/>
                <w:b w:val="0"/>
                <w:i w:val="0"/>
                <w:color w:val="101828"/>
                <w:sz w:val="16"/>
              </w:rPr>
              <w:t>Rate-limited per IP with a generous ceiling</w:t>
            </w:r>
          </w:p>
        </w:tc>
        <w:tc>
          <w:tcPr>
            <w:tcW w:type="dxa" w:w="4464"/>
            <w:tcMar>
              <w:top w:w="60" w:type="dxa"/>
              <w:start w:w="110" w:type="dxa"/>
              <w:bottom w:w="60" w:type="dxa"/>
              <w:end w:w="110" w:type="dxa"/>
            </w:tcMar>
          </w:tcPr>
          <w:p>
            <w:pPr>
              <w:spacing w:after="0"/>
            </w:pPr>
            <w:r/>
            <w:r>
              <w:rPr>
                <w:rFonts w:ascii="Calibri" w:hAnsi="Calibri"/>
                <w:b w:val="0"/>
                <w:i w:val="0"/>
                <w:color w:val="101828"/>
                <w:sz w:val="16"/>
              </w:rPr>
              <w:t>Flood protection without breaking a burst</w:t>
            </w:r>
          </w:p>
        </w:tc>
      </w:tr>
    </w:tbl>
    <w:p>
      <w:pPr>
        <w:spacing w:after="80"/>
      </w:pPr>
    </w:p>
    <w:p>
      <w:pPr>
        <w:pStyle w:val="Heading2"/>
      </w:pPr>
      <w:r>
        <w:rPr>
          <w:rFonts w:ascii="Calibri" w:hAnsi="Calibri"/>
          <w:b/>
          <w:i w:val="0"/>
          <w:color w:val="146EF5"/>
          <w:sz w:val="29"/>
        </w:rPr>
        <w:t>25.6 Financial projections</w:t>
      </w:r>
    </w:p>
    <w:p>
      <w:pPr>
        <w:spacing w:before="140" w:after="180"/>
        <w:ind w:left="144"/>
        <w:shd w:val="clear" w:color="auto" w:fill="EFF6FF"/>
        <w:pBdr>
          <w:left w:val="single" w:sz="18" w:space="6" w:color="146EF5"/>
        </w:pBdr>
      </w:pPr>
      <w:r>
        <w:rPr>
          <w:rFonts w:ascii="Calibri" w:hAnsi="Calibri"/>
          <w:b/>
          <w:color w:val="146EF5"/>
          <w:sz w:val="19"/>
        </w:rPr>
        <w:t xml:space="preserve">These are projections built on a 2% fee and stated assumptions.  </w:t>
      </w:r>
      <w:r>
        <w:rPr>
          <w:rFonts w:ascii="Calibri" w:hAnsi="Calibri"/>
          <w:b w:val="0"/>
          <w:i w:val="0"/>
          <w:color w:val="0B1F3A"/>
          <w:sz w:val="19"/>
        </w:rPr>
        <w:t xml:space="preserve">They are not revenue, not forecasts of earnings, and not a financial plan. They demonstrate that the fee model produces a coherent shape at plausible volumes. </w:t>
      </w:r>
      <w:r>
        <w:rPr>
          <w:rFonts w:ascii="Calibri" w:hAnsi="Calibri"/>
          <w:b/>
          <w:color w:val="0B1F3A"/>
          <w:sz w:val="19"/>
        </w:rPr>
        <w:t>PSP transaction costs, settlement timing, and operating costs are not included in the fee figures, and are unknown until the ProvidusUnity agreement is obtained.</w:t>
      </w:r>
      <w:r>
        <w:rPr>
          <w:rFonts w:ascii="Calibri" w:hAnsi="Calibri"/>
          <w:b w:val="0"/>
          <w:i w:val="0"/>
          <w:color w:val="0B1F3A"/>
          <w:sz w:val="19"/>
        </w:rPr>
        <w:t xml:space="preserve"> The net margin is therefore materially smaller than the gross fee revenue, and must be modelled with real rates before any investment decision is made.</w:t>
      </w:r>
    </w:p>
    <w:p>
      <w:pPr>
        <w:pStyle w:val="Heading3"/>
      </w:pPr>
      <w:r>
        <w:rPr>
          <w:rFonts w:ascii="Calibri" w:hAnsi="Calibri"/>
          <w:b/>
          <w:i w:val="0"/>
          <w:color w:val="0B1F3A"/>
          <w:sz w:val="24"/>
        </w:rPr>
        <w:t>25.6.1 Scenarios</w:t>
      </w:r>
    </w:p>
    <w:tbl>
      <w:tblPr>
        <w:tblStyle w:val="TableGrid"/>
        <w:tblW w:type="auto" w:w="0"/>
        <w:jc w:val="center"/>
        <w:tblLayout w:type="autofit"/>
        <w:tblLook w:firstColumn="1" w:firstRow="1" w:lastColumn="0" w:lastRow="0" w:noHBand="0" w:noVBand="1" w:val="04A0"/>
      </w:tblPr>
      <w:tblGrid>
        <w:gridCol w:w="1352"/>
        <w:gridCol w:w="1352"/>
        <w:gridCol w:w="1352"/>
        <w:gridCol w:w="1352"/>
        <w:gridCol w:w="1352"/>
        <w:gridCol w:w="1352"/>
        <w:gridCol w:w="1352"/>
      </w:tblGrid>
      <w:tr>
        <w:trPr>
          <w:tblHeader/>
          <w:cantSplit/>
        </w:trPr>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5"/>
              </w:rPr>
              <w:t>Scenario</w:t>
            </w:r>
          </w:p>
        </w:tc>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5"/>
              </w:rPr>
              <w:t>Ajos</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5"/>
              </w:rPr>
              <w:t>Members</w:t>
            </w:r>
          </w:p>
        </w:tc>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5"/>
              </w:rPr>
              <w:t>Contribution</w:t>
            </w:r>
          </w:p>
        </w:tc>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5"/>
              </w:rPr>
              <w:t>Volume</w:t>
            </w:r>
          </w:p>
        </w:tc>
        <w:tc>
          <w:tcPr>
            <w:tcW w:type="dxa" w:w="1728"/>
            <w:shd w:val="clear" w:color="auto" w:fill="0B1F3A"/>
            <w:tcMar>
              <w:top w:w="60" w:type="dxa"/>
              <w:start w:w="110" w:type="dxa"/>
              <w:bottom w:w="60" w:type="dxa"/>
              <w:end w:w="110" w:type="dxa"/>
            </w:tcMar>
          </w:tcPr>
          <w:p>
            <w:pPr>
              <w:spacing w:after="0"/>
            </w:pPr>
            <w:r/>
            <w:r>
              <w:rPr>
                <w:rFonts w:ascii="Calibri" w:hAnsi="Calibri"/>
                <w:b/>
                <w:i w:val="0"/>
                <w:color w:val="FFFFFF"/>
                <w:sz w:val="15"/>
              </w:rPr>
              <w:t>Gross fee (2%)</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5"/>
              </w:rPr>
              <w:t>Fee per Ajo</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5"/>
              </w:rPr>
              <w:t>Conservative</w:t>
            </w:r>
          </w:p>
        </w:tc>
        <w:tc>
          <w:tcPr>
            <w:tcW w:type="dxa" w:w="1152"/>
            <w:tcMar>
              <w:top w:w="60" w:type="dxa"/>
              <w:start w:w="110" w:type="dxa"/>
              <w:bottom w:w="60" w:type="dxa"/>
              <w:end w:w="110" w:type="dxa"/>
            </w:tcMar>
          </w:tcPr>
          <w:p>
            <w:pPr>
              <w:spacing w:after="0"/>
            </w:pPr>
            <w:r/>
            <w:r>
              <w:rPr>
                <w:rFonts w:ascii="Calibri" w:hAnsi="Calibri"/>
                <w:b w:val="0"/>
                <w:i w:val="0"/>
                <w:color w:val="101828"/>
                <w:sz w:val="15"/>
              </w:rPr>
              <w:t>150</w:t>
            </w:r>
          </w:p>
        </w:tc>
        <w:tc>
          <w:tcPr>
            <w:tcW w:type="dxa" w:w="1296"/>
            <w:tcMar>
              <w:top w:w="60" w:type="dxa"/>
              <w:start w:w="110" w:type="dxa"/>
              <w:bottom w:w="60" w:type="dxa"/>
              <w:end w:w="110" w:type="dxa"/>
            </w:tcMar>
          </w:tcPr>
          <w:p>
            <w:pPr>
              <w:spacing w:after="0"/>
            </w:pPr>
            <w:r/>
            <w:r>
              <w:rPr>
                <w:rFonts w:ascii="Calibri" w:hAnsi="Calibri"/>
                <w:b w:val="0"/>
                <w:i w:val="0"/>
                <w:color w:val="101828"/>
                <w:sz w:val="15"/>
              </w:rPr>
              <w:t>8</w:t>
            </w:r>
          </w:p>
        </w:tc>
        <w:tc>
          <w:tcPr>
            <w:tcW w:type="dxa" w:w="1872"/>
            <w:tcMar>
              <w:top w:w="60" w:type="dxa"/>
              <w:start w:w="110" w:type="dxa"/>
              <w:bottom w:w="60" w:type="dxa"/>
              <w:end w:w="110" w:type="dxa"/>
            </w:tcMar>
          </w:tcPr>
          <w:p>
            <w:pPr>
              <w:spacing w:after="0"/>
            </w:pPr>
            <w:r/>
            <w:r>
              <w:rPr>
                <w:rFonts w:ascii="Calibri" w:hAnsi="Calibri"/>
                <w:b w:val="0"/>
                <w:i w:val="0"/>
                <w:color w:val="101828"/>
                <w:sz w:val="15"/>
              </w:rPr>
              <w:t>NGN 7,500</w:t>
            </w:r>
          </w:p>
        </w:tc>
        <w:tc>
          <w:tcPr>
            <w:tcW w:type="dxa" w:w="2016"/>
            <w:tcMar>
              <w:top w:w="60" w:type="dxa"/>
              <w:start w:w="110" w:type="dxa"/>
              <w:bottom w:w="60" w:type="dxa"/>
              <w:end w:w="110" w:type="dxa"/>
            </w:tcMar>
          </w:tcPr>
          <w:p>
            <w:pPr>
              <w:spacing w:after="0"/>
            </w:pPr>
            <w:r/>
            <w:r>
              <w:rPr>
                <w:rFonts w:ascii="Calibri" w:hAnsi="Calibri"/>
                <w:b w:val="0"/>
                <w:i w:val="0"/>
                <w:color w:val="101828"/>
                <w:sz w:val="15"/>
              </w:rPr>
              <w:t>NGN 90,000,000</w:t>
            </w:r>
          </w:p>
        </w:tc>
        <w:tc>
          <w:tcPr>
            <w:tcW w:type="dxa" w:w="1728"/>
            <w:tcMar>
              <w:top w:w="60" w:type="dxa"/>
              <w:start w:w="110" w:type="dxa"/>
              <w:bottom w:w="60" w:type="dxa"/>
              <w:end w:w="110" w:type="dxa"/>
            </w:tcMar>
          </w:tcPr>
          <w:p>
            <w:pPr>
              <w:spacing w:after="0"/>
            </w:pPr>
            <w:r/>
            <w:r>
              <w:rPr>
                <w:rFonts w:ascii="Calibri" w:hAnsi="Calibri"/>
                <w:b w:val="0"/>
                <w:i w:val="0"/>
                <w:color w:val="101828"/>
                <w:sz w:val="15"/>
              </w:rPr>
              <w:t>NGN 1,800,000</w:t>
            </w:r>
          </w:p>
        </w:tc>
        <w:tc>
          <w:tcPr>
            <w:tcW w:type="dxa" w:w="1584"/>
            <w:tcMar>
              <w:top w:w="60" w:type="dxa"/>
              <w:start w:w="110" w:type="dxa"/>
              <w:bottom w:w="60" w:type="dxa"/>
              <w:end w:w="110" w:type="dxa"/>
            </w:tcMar>
          </w:tcPr>
          <w:p>
            <w:pPr>
              <w:spacing w:after="0"/>
            </w:pPr>
            <w:r/>
            <w:r>
              <w:rPr>
                <w:rFonts w:ascii="Calibri" w:hAnsi="Calibri"/>
                <w:b w:val="0"/>
                <w:i w:val="0"/>
                <w:color w:val="101828"/>
                <w:sz w:val="15"/>
              </w:rPr>
              <w:t>NGN 12,000</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Base</w:t>
            </w:r>
          </w:p>
        </w:tc>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5"/>
              </w:rPr>
              <w:t>300</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5"/>
              </w:rPr>
              <w:t>10</w:t>
            </w:r>
          </w:p>
        </w:tc>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NGN 10,000</w:t>
            </w:r>
          </w:p>
        </w:tc>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5"/>
              </w:rPr>
              <w:t>NGN 300,000,000</w:t>
            </w:r>
          </w:p>
        </w:tc>
        <w:tc>
          <w:tcPr>
            <w:tcW w:type="dxa" w:w="1728"/>
            <w:tcMar>
              <w:top w:w="60" w:type="dxa"/>
              <w:start w:w="110" w:type="dxa"/>
              <w:bottom w:w="60" w:type="dxa"/>
              <w:end w:w="110" w:type="dxa"/>
            </w:tcMar>
            <w:shd w:val="clear" w:color="auto" w:fill="F4F7FB"/>
          </w:tcPr>
          <w:p>
            <w:pPr>
              <w:spacing w:after="0"/>
            </w:pPr>
            <w:r/>
            <w:r>
              <w:rPr>
                <w:rFonts w:ascii="Calibri" w:hAnsi="Calibri"/>
                <w:b w:val="0"/>
                <w:i w:val="0"/>
                <w:color w:val="101828"/>
                <w:sz w:val="15"/>
              </w:rPr>
              <w:t>NGN 6,000,000</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5"/>
              </w:rPr>
              <w:t>NGN 20,000</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5"/>
              </w:rPr>
              <w:t>Growth</w:t>
            </w:r>
          </w:p>
        </w:tc>
        <w:tc>
          <w:tcPr>
            <w:tcW w:type="dxa" w:w="1152"/>
            <w:tcMar>
              <w:top w:w="60" w:type="dxa"/>
              <w:start w:w="110" w:type="dxa"/>
              <w:bottom w:w="60" w:type="dxa"/>
              <w:end w:w="110" w:type="dxa"/>
            </w:tcMar>
          </w:tcPr>
          <w:p>
            <w:pPr>
              <w:spacing w:after="0"/>
            </w:pPr>
            <w:r/>
            <w:r>
              <w:rPr>
                <w:rFonts w:ascii="Calibri" w:hAnsi="Calibri"/>
                <w:b w:val="0"/>
                <w:i w:val="0"/>
                <w:color w:val="101828"/>
                <w:sz w:val="15"/>
              </w:rPr>
              <w:t>600</w:t>
            </w:r>
          </w:p>
        </w:tc>
        <w:tc>
          <w:tcPr>
            <w:tcW w:type="dxa" w:w="1296"/>
            <w:tcMar>
              <w:top w:w="60" w:type="dxa"/>
              <w:start w:w="110" w:type="dxa"/>
              <w:bottom w:w="60" w:type="dxa"/>
              <w:end w:w="110" w:type="dxa"/>
            </w:tcMar>
          </w:tcPr>
          <w:p>
            <w:pPr>
              <w:spacing w:after="0"/>
            </w:pPr>
            <w:r/>
            <w:r>
              <w:rPr>
                <w:rFonts w:ascii="Calibri" w:hAnsi="Calibri"/>
                <w:b w:val="0"/>
                <w:i w:val="0"/>
                <w:color w:val="101828"/>
                <w:sz w:val="15"/>
              </w:rPr>
              <w:t>12</w:t>
            </w:r>
          </w:p>
        </w:tc>
        <w:tc>
          <w:tcPr>
            <w:tcW w:type="dxa" w:w="1872"/>
            <w:tcMar>
              <w:top w:w="60" w:type="dxa"/>
              <w:start w:w="110" w:type="dxa"/>
              <w:bottom w:w="60" w:type="dxa"/>
              <w:end w:w="110" w:type="dxa"/>
            </w:tcMar>
          </w:tcPr>
          <w:p>
            <w:pPr>
              <w:spacing w:after="0"/>
            </w:pPr>
            <w:r/>
            <w:r>
              <w:rPr>
                <w:rFonts w:ascii="Calibri" w:hAnsi="Calibri"/>
                <w:b w:val="0"/>
                <w:i w:val="0"/>
                <w:color w:val="101828"/>
                <w:sz w:val="15"/>
              </w:rPr>
              <w:t>NGN 12,000</w:t>
            </w:r>
          </w:p>
        </w:tc>
        <w:tc>
          <w:tcPr>
            <w:tcW w:type="dxa" w:w="2016"/>
            <w:tcMar>
              <w:top w:w="60" w:type="dxa"/>
              <w:start w:w="110" w:type="dxa"/>
              <w:bottom w:w="60" w:type="dxa"/>
              <w:end w:w="110" w:type="dxa"/>
            </w:tcMar>
          </w:tcPr>
          <w:p>
            <w:pPr>
              <w:spacing w:after="0"/>
            </w:pPr>
            <w:r/>
            <w:r>
              <w:rPr>
                <w:rFonts w:ascii="Calibri" w:hAnsi="Calibri"/>
                <w:b w:val="0"/>
                <w:i w:val="0"/>
                <w:color w:val="101828"/>
                <w:sz w:val="15"/>
              </w:rPr>
              <w:t>NGN 864,000,000</w:t>
            </w:r>
          </w:p>
        </w:tc>
        <w:tc>
          <w:tcPr>
            <w:tcW w:type="dxa" w:w="1728"/>
            <w:tcMar>
              <w:top w:w="60" w:type="dxa"/>
              <w:start w:w="110" w:type="dxa"/>
              <w:bottom w:w="60" w:type="dxa"/>
              <w:end w:w="110" w:type="dxa"/>
            </w:tcMar>
          </w:tcPr>
          <w:p>
            <w:pPr>
              <w:spacing w:after="0"/>
            </w:pPr>
            <w:r/>
            <w:r>
              <w:rPr>
                <w:rFonts w:ascii="Calibri" w:hAnsi="Calibri"/>
                <w:b w:val="0"/>
                <w:i w:val="0"/>
                <w:color w:val="101828"/>
                <w:sz w:val="15"/>
              </w:rPr>
              <w:t>NGN 17,280,000</w:t>
            </w:r>
          </w:p>
        </w:tc>
        <w:tc>
          <w:tcPr>
            <w:tcW w:type="dxa" w:w="1584"/>
            <w:tcMar>
              <w:top w:w="60" w:type="dxa"/>
              <w:start w:w="110" w:type="dxa"/>
              <w:bottom w:w="60" w:type="dxa"/>
              <w:end w:w="110" w:type="dxa"/>
            </w:tcMar>
          </w:tcPr>
          <w:p>
            <w:pPr>
              <w:spacing w:after="0"/>
            </w:pPr>
            <w:r/>
            <w:r>
              <w:rPr>
                <w:rFonts w:ascii="Calibri" w:hAnsi="Calibri"/>
                <w:b w:val="0"/>
                <w:i w:val="0"/>
                <w:color w:val="101828"/>
                <w:sz w:val="15"/>
              </w:rPr>
              <w:t>NGN 28,800</w:t>
            </w:r>
          </w:p>
        </w:tc>
      </w:tr>
    </w:tbl>
    <w:p>
      <w:pPr>
        <w:spacing w:after="80"/>
      </w:pPr>
    </w:p>
    <w:p>
      <w:pPr>
        <w:pStyle w:val="Heading3"/>
      </w:pPr>
      <w:r>
        <w:rPr>
          <w:rFonts w:ascii="Calibri" w:hAnsi="Calibri"/>
          <w:b/>
          <w:i w:val="0"/>
          <w:color w:val="0B1F3A"/>
          <w:sz w:val="24"/>
        </w:rPr>
        <w:t>25.6.2 Worked example — base scenario, per Ajo</w:t>
      </w:r>
    </w:p>
    <w:p>
      <w:pPr>
        <w:spacing w:before="0" w:after="0" w:line="240" w:lineRule="auto"/>
        <w:ind w:left="230"/>
        <w:shd w:val="clear" w:color="auto" w:fill="F7F9FC"/>
        <w:pBdr>
          <w:left w:val="single" w:sz="4" w:space="6" w:color="D0D5DD"/>
        </w:pBdr>
      </w:pPr>
      <w:r>
        <w:rPr>
          <w:rFonts w:ascii="Consolas" w:hAnsi="Consolas"/>
          <w:color w:val="0B1F3A"/>
          <w:sz w:val="15"/>
        </w:rPr>
        <w:t xml:space="preserve">  10 members  x  NGN 10,000  x  10 rounds  =  NGN 1,000,000  pooled per Ajo</w:t>
      </w:r>
    </w:p>
    <w:p>
      <w:pPr>
        <w:spacing w:before="0" w:after="0" w:line="240" w:lineRule="auto"/>
        <w:ind w:left="230"/>
        <w:shd w:val="clear" w:color="auto" w:fill="F7F9FC"/>
        <w:pBdr>
          <w:left w:val="single" w:sz="4" w:space="6" w:color="D0D5DD"/>
        </w:pBdr>
      </w:pPr>
      <w:r>
        <w:rPr>
          <w:rFonts w:ascii="Consolas" w:hAnsi="Consolas"/>
          <w:color w:val="0B1F3A"/>
          <w:sz w:val="15"/>
        </w:rPr>
        <w:t xml:space="preserve">  Total charged per member per round:  NGN 10,000 + NGN 200 fee = NGN 10,200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Total charged per member over 10 rounds:                       NGN 102,000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Total collected per Ajo:                                       NGN 1,020,000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Platform fee per Ajo (2%):                                     NGN  20,400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What the recipient receives:            NGN 1,000,000  (the base pool)</w:t>
      </w:r>
    </w:p>
    <w:p>
      <w:pPr>
        <w:spacing w:before="0" w:after="0" w:line="240" w:lineRule="auto"/>
        <w:ind w:left="230"/>
        <w:shd w:val="clear" w:color="auto" w:fill="F7F9FC"/>
        <w:pBdr>
          <w:left w:val="single" w:sz="4" w:space="6" w:color="D0D5DD"/>
        </w:pBdr>
      </w:pPr>
      <w:r>
        <w:rPr>
          <w:rFonts w:ascii="Consolas" w:hAnsi="Consolas"/>
          <w:color w:val="0B1F3A"/>
          <w:sz w:val="15"/>
        </w:rPr>
        <w:t xml:space="preserve">  What the platform earns:                NGN    20,400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Platform margin as % of contribution:   2.00%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Platform margin as % of collected:      2.00% of contributions</w:t>
      </w:r>
    </w:p>
    <w:p>
      <w:pPr>
        <w:pStyle w:val="Heading3"/>
      </w:pPr>
      <w:r>
        <w:rPr>
          <w:rFonts w:ascii="Calibri" w:hAnsi="Calibri"/>
          <w:b/>
          <w:i w:val="0"/>
          <w:color w:val="0B1F3A"/>
          <w:sz w:val="24"/>
        </w:rPr>
        <w:t>25.6.3 Volume shape</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6"/>
              </w:rPr>
              <w:t>Metric</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Conservative</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Base</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Growth</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Ajos per year</w:t>
            </w:r>
          </w:p>
        </w:tc>
        <w:tc>
          <w:tcPr>
            <w:tcW w:type="dxa" w:w="2160"/>
            <w:tcMar>
              <w:top w:w="60" w:type="dxa"/>
              <w:start w:w="110" w:type="dxa"/>
              <w:bottom w:w="60" w:type="dxa"/>
              <w:end w:w="110" w:type="dxa"/>
            </w:tcMar>
          </w:tcPr>
          <w:p>
            <w:pPr>
              <w:spacing w:after="0"/>
            </w:pPr>
            <w:r/>
            <w:r>
              <w:rPr>
                <w:rFonts w:ascii="Calibri" w:hAnsi="Calibri"/>
                <w:b w:val="0"/>
                <w:i w:val="0"/>
                <w:color w:val="101828"/>
                <w:sz w:val="16"/>
              </w:rPr>
              <w:t>150</w:t>
            </w:r>
          </w:p>
        </w:tc>
        <w:tc>
          <w:tcPr>
            <w:tcW w:type="dxa" w:w="2160"/>
            <w:tcMar>
              <w:top w:w="60" w:type="dxa"/>
              <w:start w:w="110" w:type="dxa"/>
              <w:bottom w:w="60" w:type="dxa"/>
              <w:end w:w="110" w:type="dxa"/>
            </w:tcMar>
          </w:tcPr>
          <w:p>
            <w:pPr>
              <w:spacing w:after="0"/>
            </w:pPr>
            <w:r/>
            <w:r>
              <w:rPr>
                <w:rFonts w:ascii="Calibri" w:hAnsi="Calibri"/>
                <w:b w:val="0"/>
                <w:i w:val="0"/>
                <w:color w:val="101828"/>
                <w:sz w:val="16"/>
              </w:rPr>
              <w:t>300</w:t>
            </w:r>
          </w:p>
        </w:tc>
        <w:tc>
          <w:tcPr>
            <w:tcW w:type="dxa" w:w="2160"/>
            <w:tcMar>
              <w:top w:w="60" w:type="dxa"/>
              <w:start w:w="110" w:type="dxa"/>
              <w:bottom w:w="60" w:type="dxa"/>
              <w:end w:w="110" w:type="dxa"/>
            </w:tcMar>
          </w:tcPr>
          <w:p>
            <w:pPr>
              <w:spacing w:after="0"/>
            </w:pPr>
            <w:r/>
            <w:r>
              <w:rPr>
                <w:rFonts w:ascii="Calibri" w:hAnsi="Calibri"/>
                <w:b w:val="0"/>
                <w:i w:val="0"/>
                <w:color w:val="101828"/>
                <w:sz w:val="16"/>
              </w:rPr>
              <w:t>600</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Deposits per year</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12,000</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30,000</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72,000</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Payouts per year</w:t>
            </w:r>
          </w:p>
        </w:tc>
        <w:tc>
          <w:tcPr>
            <w:tcW w:type="dxa" w:w="2160"/>
            <w:tcMar>
              <w:top w:w="60" w:type="dxa"/>
              <w:start w:w="110" w:type="dxa"/>
              <w:bottom w:w="60" w:type="dxa"/>
              <w:end w:w="110" w:type="dxa"/>
            </w:tcMar>
          </w:tcPr>
          <w:p>
            <w:pPr>
              <w:spacing w:after="0"/>
            </w:pPr>
            <w:r/>
            <w:r>
              <w:rPr>
                <w:rFonts w:ascii="Calibri" w:hAnsi="Calibri"/>
                <w:b w:val="0"/>
                <w:i w:val="0"/>
                <w:color w:val="101828"/>
                <w:sz w:val="16"/>
              </w:rPr>
              <w:t>1,200</w:t>
            </w:r>
          </w:p>
        </w:tc>
        <w:tc>
          <w:tcPr>
            <w:tcW w:type="dxa" w:w="2160"/>
            <w:tcMar>
              <w:top w:w="60" w:type="dxa"/>
              <w:start w:w="110" w:type="dxa"/>
              <w:bottom w:w="60" w:type="dxa"/>
              <w:end w:w="110" w:type="dxa"/>
            </w:tcMar>
          </w:tcPr>
          <w:p>
            <w:pPr>
              <w:spacing w:after="0"/>
            </w:pPr>
            <w:r/>
            <w:r>
              <w:rPr>
                <w:rFonts w:ascii="Calibri" w:hAnsi="Calibri"/>
                <w:b w:val="0"/>
                <w:i w:val="0"/>
                <w:color w:val="101828"/>
                <w:sz w:val="16"/>
              </w:rPr>
              <w:t>3,000</w:t>
            </w:r>
          </w:p>
        </w:tc>
        <w:tc>
          <w:tcPr>
            <w:tcW w:type="dxa" w:w="2160"/>
            <w:tcMar>
              <w:top w:w="60" w:type="dxa"/>
              <w:start w:w="110" w:type="dxa"/>
              <w:bottom w:w="60" w:type="dxa"/>
              <w:end w:w="110" w:type="dxa"/>
            </w:tcMar>
          </w:tcPr>
          <w:p>
            <w:pPr>
              <w:spacing w:after="0"/>
            </w:pPr>
            <w:r/>
            <w:r>
              <w:rPr>
                <w:rFonts w:ascii="Calibri" w:hAnsi="Calibri"/>
                <w:b w:val="0"/>
                <w:i w:val="0"/>
                <w:color w:val="101828"/>
                <w:sz w:val="16"/>
              </w:rPr>
              <w:t>7,200</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Gross fee revenue</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NGN 1.80m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NGN 6.00m</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NGN 17.28m</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Gross fee per member per year</w:t>
            </w:r>
          </w:p>
        </w:tc>
        <w:tc>
          <w:tcPr>
            <w:tcW w:type="dxa" w:w="2160"/>
            <w:tcMar>
              <w:top w:w="60" w:type="dxa"/>
              <w:start w:w="110" w:type="dxa"/>
              <w:bottom w:w="60" w:type="dxa"/>
              <w:end w:w="110" w:type="dxa"/>
            </w:tcMar>
          </w:tcPr>
          <w:p>
            <w:pPr>
              <w:spacing w:after="0"/>
            </w:pPr>
            <w:r/>
            <w:r>
              <w:rPr>
                <w:rFonts w:ascii="Calibri" w:hAnsi="Calibri"/>
                <w:b w:val="0"/>
                <w:i w:val="0"/>
                <w:color w:val="101828"/>
                <w:sz w:val="16"/>
              </w:rPr>
              <w:t>NGN 1,500</w:t>
            </w:r>
          </w:p>
        </w:tc>
        <w:tc>
          <w:tcPr>
            <w:tcW w:type="dxa" w:w="2160"/>
            <w:tcMar>
              <w:top w:w="60" w:type="dxa"/>
              <w:start w:w="110" w:type="dxa"/>
              <w:bottom w:w="60" w:type="dxa"/>
              <w:end w:w="110" w:type="dxa"/>
            </w:tcMar>
          </w:tcPr>
          <w:p>
            <w:pPr>
              <w:spacing w:after="0"/>
            </w:pPr>
            <w:r/>
            <w:r>
              <w:rPr>
                <w:rFonts w:ascii="Calibri" w:hAnsi="Calibri"/>
                <w:b w:val="0"/>
                <w:i w:val="0"/>
                <w:color w:val="101828"/>
                <w:sz w:val="16"/>
              </w:rPr>
              <w:t>NGN 2,000</w:t>
            </w:r>
          </w:p>
        </w:tc>
        <w:tc>
          <w:tcPr>
            <w:tcW w:type="dxa" w:w="2160"/>
            <w:tcMar>
              <w:top w:w="60" w:type="dxa"/>
              <w:start w:w="110" w:type="dxa"/>
              <w:bottom w:w="60" w:type="dxa"/>
              <w:end w:w="110" w:type="dxa"/>
            </w:tcMar>
          </w:tcPr>
          <w:p>
            <w:pPr>
              <w:spacing w:after="0"/>
            </w:pPr>
            <w:r/>
            <w:r>
              <w:rPr>
                <w:rFonts w:ascii="Calibri" w:hAnsi="Calibri"/>
                <w:b w:val="0"/>
                <w:i w:val="0"/>
                <w:color w:val="101828"/>
                <w:sz w:val="16"/>
              </w:rPr>
              <w:t>NGN 2,400</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Ajo completions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150</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300</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600</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Monthly gross fee (averaged)</w:t>
            </w:r>
          </w:p>
        </w:tc>
        <w:tc>
          <w:tcPr>
            <w:tcW w:type="dxa" w:w="2160"/>
            <w:tcMar>
              <w:top w:w="60" w:type="dxa"/>
              <w:start w:w="110" w:type="dxa"/>
              <w:bottom w:w="60" w:type="dxa"/>
              <w:end w:w="110" w:type="dxa"/>
            </w:tcMar>
          </w:tcPr>
          <w:p>
            <w:pPr>
              <w:spacing w:after="0"/>
            </w:pPr>
            <w:r/>
            <w:r>
              <w:rPr>
                <w:rFonts w:ascii="Calibri" w:hAnsi="Calibri"/>
                <w:b w:val="0"/>
                <w:i w:val="0"/>
                <w:color w:val="101828"/>
                <w:sz w:val="16"/>
              </w:rPr>
              <w:t>NGN 150,000</w:t>
            </w:r>
          </w:p>
        </w:tc>
        <w:tc>
          <w:tcPr>
            <w:tcW w:type="dxa" w:w="2160"/>
            <w:tcMar>
              <w:top w:w="60" w:type="dxa"/>
              <w:start w:w="110" w:type="dxa"/>
              <w:bottom w:w="60" w:type="dxa"/>
              <w:end w:w="110" w:type="dxa"/>
            </w:tcMar>
          </w:tcPr>
          <w:p>
            <w:pPr>
              <w:spacing w:after="0"/>
            </w:pPr>
            <w:r/>
            <w:r>
              <w:rPr>
                <w:rFonts w:ascii="Calibri" w:hAnsi="Calibri"/>
                <w:b w:val="0"/>
                <w:i w:val="0"/>
                <w:color w:val="101828"/>
                <w:sz w:val="16"/>
              </w:rPr>
              <w:t>NGN 500,000</w:t>
            </w:r>
          </w:p>
        </w:tc>
        <w:tc>
          <w:tcPr>
            <w:tcW w:type="dxa" w:w="2160"/>
            <w:tcMar>
              <w:top w:w="60" w:type="dxa"/>
              <w:start w:w="110" w:type="dxa"/>
              <w:bottom w:w="60" w:type="dxa"/>
              <w:end w:w="110" w:type="dxa"/>
            </w:tcMar>
          </w:tcPr>
          <w:p>
            <w:pPr>
              <w:spacing w:after="0"/>
            </w:pPr>
            <w:r/>
            <w:r>
              <w:rPr>
                <w:rFonts w:ascii="Calibri" w:hAnsi="Calibri"/>
                <w:b w:val="0"/>
                <w:i w:val="0"/>
                <w:color w:val="101828"/>
                <w:sz w:val="16"/>
              </w:rPr>
              <w:t>NGN 1,440,000</w:t>
            </w:r>
          </w:p>
        </w:tc>
      </w:tr>
    </w:tbl>
    <w:p>
      <w:pPr>
        <w:spacing w:after="80"/>
      </w:pPr>
    </w:p>
    <w:p>
      <w:r>
        <w:rPr>
          <w:rFonts w:ascii="Calibri" w:hAnsi="Calibri"/>
          <w:b w:val="0"/>
          <w:i w:val="0"/>
          <w:color w:val="101828"/>
          <w:sz w:val="21"/>
        </w:rPr>
        <w:t>The gross fee per member rises with contribution size in these scenarios because the scenarios assume larger contributions, not because of any scaling mechanism. A 2% fee is a 2% fee: it does not improve with loyalty, and no volume tier or reward should be built on the assumption that it does.</w:t>
      </w:r>
    </w:p>
    <w:p>
      <w:pPr>
        <w:pStyle w:val="Heading3"/>
      </w:pPr>
      <w:r>
        <w:rPr>
          <w:rFonts w:ascii="Calibri" w:hAnsi="Calibri"/>
          <w:b/>
          <w:i w:val="0"/>
          <w:color w:val="0B1F3A"/>
          <w:sz w:val="24"/>
        </w:rPr>
        <w:t>25.6.4 What is deliberately excluded</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6"/>
              </w:rPr>
              <w:t>Excluded</w:t>
            </w:r>
          </w:p>
        </w:tc>
        <w:tc>
          <w:tcPr>
            <w:tcW w:type="dxa" w:w="6480"/>
            <w:shd w:val="clear" w:color="auto" w:fill="0B1F3A"/>
            <w:tcMar>
              <w:top w:w="60" w:type="dxa"/>
              <w:start w:w="110" w:type="dxa"/>
              <w:bottom w:w="60" w:type="dxa"/>
              <w:end w:w="110" w:type="dxa"/>
            </w:tcMar>
          </w:tcPr>
          <w:p>
            <w:pPr>
              <w:spacing w:after="0"/>
            </w:pPr>
            <w:r/>
            <w:r>
              <w:rPr>
                <w:rFonts w:ascii="Calibri" w:hAnsi="Calibri"/>
                <w:b/>
                <w:i w:val="0"/>
                <w:color w:val="FFFFFF"/>
                <w:sz w:val="16"/>
              </w:rPr>
              <w:t>Why</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PSP transaction fees</w:t>
            </w:r>
          </w:p>
        </w:tc>
        <w:tc>
          <w:tcPr>
            <w:tcW w:type="dxa" w:w="6480"/>
            <w:tcMar>
              <w:top w:w="60" w:type="dxa"/>
              <w:start w:w="110" w:type="dxa"/>
              <w:bottom w:w="60" w:type="dxa"/>
              <w:end w:w="110" w:type="dxa"/>
            </w:tcMar>
          </w:tcPr>
          <w:p>
            <w:pPr>
              <w:spacing w:after="0"/>
            </w:pPr>
            <w:r/>
            <w:r>
              <w:rPr>
                <w:rFonts w:ascii="Calibri" w:hAnsi="Calibri"/>
                <w:b w:val="0"/>
                <w:i w:val="0"/>
                <w:color w:val="101828"/>
                <w:sz w:val="16"/>
              </w:rPr>
              <w:t>Unknown until the provider agreement is obtained. The single largest variable cost</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SMS and message delivery</w:t>
            </w:r>
          </w:p>
        </w:tc>
        <w:tc>
          <w:tcPr>
            <w:tcW w:type="dxa" w:w="6480"/>
            <w:tcMar>
              <w:top w:w="60" w:type="dxa"/>
              <w:start w:w="110" w:type="dxa"/>
              <w:bottom w:w="60" w:type="dxa"/>
              <w:end w:w="110" w:type="dxa"/>
            </w:tcMar>
            <w:shd w:val="clear" w:color="auto" w:fill="F4F7FB"/>
          </w:tcPr>
          <w:p>
            <w:pPr>
              <w:spacing w:after="0"/>
            </w:pPr>
            <w:r/>
            <w:r>
              <w:rPr>
                <w:rFonts w:ascii="Calibri" w:hAnsi="Calibri"/>
                <w:b w:val="0"/>
                <w:i w:val="0"/>
                <w:color w:val="101828"/>
                <w:sz w:val="16"/>
              </w:rPr>
              <w:t>Modelled per notification volume, not yet quantified with real rates</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Infrastructure and staff costs</w:t>
            </w:r>
          </w:p>
        </w:tc>
        <w:tc>
          <w:tcPr>
            <w:tcW w:type="dxa" w:w="6480"/>
            <w:tcMar>
              <w:top w:w="60" w:type="dxa"/>
              <w:start w:w="110" w:type="dxa"/>
              <w:bottom w:w="60" w:type="dxa"/>
              <w:end w:w="110" w:type="dxa"/>
            </w:tcMar>
          </w:tcPr>
          <w:p>
            <w:pPr>
              <w:spacing w:after="0"/>
            </w:pPr>
            <w:r/>
            <w:r>
              <w:rPr>
                <w:rFonts w:ascii="Calibri" w:hAnsi="Calibri"/>
                <w:b w:val="0"/>
                <w:i w:val="0"/>
                <w:color w:val="101828"/>
                <w:sz w:val="16"/>
              </w:rPr>
              <w:t>Not modelled; the business case is a volume question, not a cost-structure question, at this stage</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Fraud losses</w:t>
            </w:r>
          </w:p>
        </w:tc>
        <w:tc>
          <w:tcPr>
            <w:tcW w:type="dxa" w:w="6480"/>
            <w:tcMar>
              <w:top w:w="60" w:type="dxa"/>
              <w:start w:w="110" w:type="dxa"/>
              <w:bottom w:w="60" w:type="dxa"/>
              <w:end w:w="110" w:type="dxa"/>
            </w:tcMar>
            <w:shd w:val="clear" w:color="auto" w:fill="F4F7FB"/>
          </w:tcPr>
          <w:p>
            <w:pPr>
              <w:spacing w:after="0"/>
            </w:pPr>
            <w:r/>
            <w:r>
              <w:rPr>
                <w:rFonts w:ascii="Calibri" w:hAnsi="Calibri"/>
                <w:b w:val="0"/>
                <w:i w:val="0"/>
                <w:color w:val="101828"/>
                <w:sz w:val="16"/>
              </w:rPr>
              <w:t>Budgeted at under 5 basis points of volume, per section 15.10. Immaterial to revenue at that level</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Defaults and recoveries</w:t>
            </w:r>
          </w:p>
        </w:tc>
        <w:tc>
          <w:tcPr>
            <w:tcW w:type="dxa" w:w="6480"/>
            <w:tcMar>
              <w:top w:w="60" w:type="dxa"/>
              <w:start w:w="110" w:type="dxa"/>
              <w:bottom w:w="60" w:type="dxa"/>
              <w:end w:w="110" w:type="dxa"/>
            </w:tcMar>
          </w:tcPr>
          <w:p>
            <w:pPr>
              <w:spacing w:after="0"/>
            </w:pPr>
            <w:r/>
            <w:r>
              <w:rPr>
                <w:rFonts w:ascii="Calibri" w:hAnsi="Calibri"/>
                <w:b w:val="0"/>
                <w:i w:val="0"/>
                <w:color w:val="101828"/>
                <w:sz w:val="16"/>
              </w:rPr>
              <w:t>A default reduces collected volume but does not reduce the platform fee, since the fee is charged on the contribution that was made</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Tax</w:t>
            </w:r>
          </w:p>
        </w:tc>
        <w:tc>
          <w:tcPr>
            <w:tcW w:type="dxa" w:w="6480"/>
            <w:tcMar>
              <w:top w:w="60" w:type="dxa"/>
              <w:start w:w="110" w:type="dxa"/>
              <w:bottom w:w="60" w:type="dxa"/>
              <w:end w:w="110" w:type="dxa"/>
            </w:tcMar>
            <w:shd w:val="clear" w:color="auto" w:fill="F4F7FB"/>
          </w:tcPr>
          <w:p>
            <w:pPr>
              <w:spacing w:after="0"/>
            </w:pPr>
            <w:r/>
            <w:r>
              <w:rPr>
                <w:rFonts w:ascii="Calibri" w:hAnsi="Calibri"/>
                <w:b w:val="0"/>
                <w:i w:val="0"/>
                <w:color w:val="101828"/>
                <w:sz w:val="16"/>
              </w:rPr>
              <w:t>The treatment of fee income is a question for Nigerian tax advisors, per section 24.1</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Interest or yield on pooled funds</w:t>
            </w:r>
          </w:p>
        </w:tc>
        <w:tc>
          <w:tcPr>
            <w:tcW w:type="dxa" w:w="6480"/>
            <w:tcMar>
              <w:top w:w="60" w:type="dxa"/>
              <w:start w:w="110" w:type="dxa"/>
              <w:bottom w:w="60" w:type="dxa"/>
              <w:end w:w="110" w:type="dxa"/>
            </w:tcMar>
          </w:tcPr>
          <w:p>
            <w:pPr>
              <w:spacing w:after="0"/>
            </w:pPr>
            <w:r/>
            <w:r>
              <w:rPr>
                <w:rFonts w:ascii="Calibri" w:hAnsi="Calibri"/>
                <w:b/>
                <w:color w:val="101828"/>
                <w:sz w:val="16"/>
              </w:rPr>
              <w:t>There is none. AJO.ng does not invest member money and does not pay returns.</w:t>
            </w:r>
            <w:r>
              <w:rPr>
                <w:rFonts w:ascii="Calibri" w:hAnsi="Calibri"/>
                <w:b w:val="0"/>
                <w:i w:val="0"/>
                <w:color w:val="101828"/>
                <w:sz w:val="16"/>
              </w:rPr>
              <w:t xml:space="preserve"> Any figure implying otherwise would be a misrepresentation</w:t>
            </w:r>
          </w:p>
        </w:tc>
      </w:tr>
    </w:tbl>
    <w:p>
      <w:pPr>
        <w:spacing w:after="80"/>
      </w:pPr>
    </w:p>
    <w:p>
      <w:pPr>
        <w:spacing w:before="140" w:after="180"/>
        <w:ind w:left="144"/>
        <w:shd w:val="clear" w:color="auto" w:fill="FEF3C7"/>
        <w:pBdr>
          <w:left w:val="single" w:sz="18" w:space="6" w:color="FBBF24"/>
        </w:pBdr>
      </w:pPr>
      <w:r>
        <w:rPr>
          <w:rFonts w:ascii="Calibri" w:hAnsi="Calibri"/>
          <w:b/>
          <w:color w:val="FBBF24"/>
          <w:sz w:val="19"/>
        </w:rPr>
        <w:t xml:space="preserve">There is no yield line, and that is a feature of the design.  </w:t>
      </w:r>
      <w:r>
        <w:rPr>
          <w:rFonts w:ascii="Calibri" w:hAnsi="Calibri"/>
          <w:b w:val="0"/>
          <w:i w:val="0"/>
          <w:color w:val="0B1F3A"/>
          <w:sz w:val="19"/>
        </w:rPr>
        <w:t>The single most misleading thing a fintech presentation can do is show a returns figure. AJO.ng members receive their own savings and nothing more. Adding an apparent yield would change the product's legal character, mislead every member who reads it, and violate the disclosure principles in section 24.8. The absence of that line is the honest one.</w:t>
      </w:r>
    </w:p>
    <w:p>
      <w:pPr>
        <w:pStyle w:val="Heading2"/>
      </w:pPr>
      <w:r>
        <w:rPr>
          <w:rFonts w:ascii="Calibri" w:hAnsi="Calibri"/>
          <w:b/>
          <w:i w:val="0"/>
          <w:color w:val="146EF5"/>
          <w:sz w:val="29"/>
        </w:rPr>
        <w:t>25.7 Unit economics</w:t>
      </w:r>
    </w:p>
    <w:p>
      <w:r>
        <w:rPr>
          <w:rFonts w:ascii="Calibri" w:hAnsi="Calibri"/>
          <w:b w:val="0"/>
          <w:i w:val="0"/>
          <w:color w:val="101828"/>
          <w:sz w:val="21"/>
        </w:rPr>
        <w:t>Unit economics is the discipline of asking what one member is worth over time, and whether it exceeds what it costs to acquire and serve. With a 2% fee, the answer is sensitive to every variable cost, which is why the earlier decision to establish provider pricing before pursuing volume was the right one.</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016"/>
            <w:shd w:val="clear" w:color="auto" w:fill="0B1F3A"/>
            <w:tcMar>
              <w:top w:w="60" w:type="dxa"/>
              <w:start w:w="110" w:type="dxa"/>
              <w:bottom w:w="60" w:type="dxa"/>
              <w:end w:w="110" w:type="dxa"/>
            </w:tcMar>
          </w:tcPr>
          <w:p>
            <w:pPr>
              <w:spacing w:after="0"/>
            </w:pPr>
            <w:r/>
            <w:r>
              <w:rPr>
                <w:rFonts w:ascii="Calibri" w:hAnsi="Calibri"/>
                <w:b/>
                <w:i w:val="0"/>
                <w:color w:val="FFFFFF"/>
                <w:sz w:val="16"/>
              </w:rPr>
              <w:t>Variable</w:t>
            </w:r>
          </w:p>
        </w:tc>
        <w:tc>
          <w:tcPr>
            <w:tcW w:type="dxa" w:w="3024"/>
            <w:shd w:val="clear" w:color="auto" w:fill="0B1F3A"/>
            <w:tcMar>
              <w:top w:w="60" w:type="dxa"/>
              <w:start w:w="110" w:type="dxa"/>
              <w:bottom w:w="60" w:type="dxa"/>
              <w:end w:w="110" w:type="dxa"/>
            </w:tcMar>
          </w:tcPr>
          <w:p>
            <w:pPr>
              <w:spacing w:after="0"/>
            </w:pPr>
            <w:r/>
            <w:r>
              <w:rPr>
                <w:rFonts w:ascii="Calibri" w:hAnsi="Calibri"/>
                <w:b/>
                <w:i w:val="0"/>
                <w:color w:val="FFFFFF"/>
                <w:sz w:val="16"/>
              </w:rPr>
              <w:t>Formula</w:t>
            </w:r>
          </w:p>
        </w:tc>
        <w:tc>
          <w:tcPr>
            <w:tcW w:type="dxa" w:w="1584"/>
            <w:shd w:val="clear" w:color="auto" w:fill="0B1F3A"/>
            <w:tcMar>
              <w:top w:w="60" w:type="dxa"/>
              <w:start w:w="110" w:type="dxa"/>
              <w:bottom w:w="60" w:type="dxa"/>
              <w:end w:w="110" w:type="dxa"/>
            </w:tcMar>
          </w:tcPr>
          <w:p>
            <w:pPr>
              <w:spacing w:after="0"/>
            </w:pPr>
            <w:r/>
            <w:r>
              <w:rPr>
                <w:rFonts w:ascii="Calibri" w:hAnsi="Calibri"/>
                <w:b/>
                <w:i w:val="0"/>
                <w:color w:val="FFFFFF"/>
                <w:sz w:val="16"/>
              </w:rPr>
              <w:t>Direction</w:t>
            </w:r>
          </w:p>
        </w:tc>
        <w:tc>
          <w:tcPr>
            <w:tcW w:type="dxa" w:w="2736"/>
            <w:shd w:val="clear" w:color="auto" w:fill="0B1F3A"/>
            <w:tcMar>
              <w:top w:w="60" w:type="dxa"/>
              <w:start w:w="110" w:type="dxa"/>
              <w:bottom w:w="60" w:type="dxa"/>
              <w:end w:w="110" w:type="dxa"/>
            </w:tcMar>
          </w:tcPr>
          <w:p>
            <w:pPr>
              <w:spacing w:after="0"/>
            </w:pPr>
            <w:r/>
            <w:r>
              <w:rPr>
                <w:rFonts w:ascii="Calibri" w:hAnsi="Calibri"/>
                <w:b/>
                <w:i w:val="0"/>
                <w:color w:val="FFFFFF"/>
                <w:sz w:val="16"/>
              </w:rPr>
              <w:t>Note</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Gross fee per member</w:t>
            </w:r>
          </w:p>
        </w:tc>
        <w:tc>
          <w:tcPr>
            <w:tcW w:type="dxa" w:w="3024"/>
            <w:tcMar>
              <w:top w:w="60" w:type="dxa"/>
              <w:start w:w="110" w:type="dxa"/>
              <w:bottom w:w="60" w:type="dxa"/>
              <w:end w:w="110" w:type="dxa"/>
            </w:tcMar>
          </w:tcPr>
          <w:p>
            <w:pPr>
              <w:spacing w:after="0"/>
            </w:pPr>
            <w:r/>
            <w:r>
              <w:rPr>
                <w:rFonts w:ascii="Calibri" w:hAnsi="Calibri"/>
                <w:b w:val="0"/>
                <w:i w:val="0"/>
                <w:color w:val="101828"/>
                <w:sz w:val="16"/>
              </w:rPr>
              <w:t>2% x total contributions</w:t>
            </w:r>
          </w:p>
        </w:tc>
        <w:tc>
          <w:tcPr>
            <w:tcW w:type="dxa" w:w="1584"/>
            <w:tcMar>
              <w:top w:w="60" w:type="dxa"/>
              <w:start w:w="110" w:type="dxa"/>
              <w:bottom w:w="60" w:type="dxa"/>
              <w:end w:w="110" w:type="dxa"/>
            </w:tcMar>
          </w:tcPr>
          <w:p>
            <w:pPr>
              <w:spacing w:after="0"/>
            </w:pPr>
            <w:r/>
            <w:r>
              <w:rPr>
                <w:rFonts w:ascii="Calibri" w:hAnsi="Calibri"/>
                <w:b w:val="0"/>
                <w:i w:val="0"/>
                <w:color w:val="101828"/>
                <w:sz w:val="16"/>
              </w:rPr>
              <w:t>Fixed by the model</w:t>
            </w:r>
          </w:p>
        </w:tc>
        <w:tc>
          <w:tcPr>
            <w:tcW w:type="dxa" w:w="2736"/>
            <w:tcMar>
              <w:top w:w="60" w:type="dxa"/>
              <w:start w:w="110" w:type="dxa"/>
              <w:bottom w:w="60" w:type="dxa"/>
              <w:end w:w="110" w:type="dxa"/>
            </w:tcMar>
          </w:tcPr>
          <w:p>
            <w:pPr>
              <w:spacing w:after="0"/>
            </w:pPr>
            <w:r/>
            <w:r>
              <w:rPr>
                <w:rFonts w:ascii="Calibri" w:hAnsi="Calibri"/>
                <w:b w:val="0"/>
                <w:i w:val="0"/>
                <w:color w:val="101828"/>
                <w:sz w:val="16"/>
              </w:rPr>
              <w:t>NGN 2,000 at a NGN 10,000 x 10 Ajo</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PSP cost per member</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Fee per collection x rounds + fee per payout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Reduces margin</w:t>
            </w:r>
          </w:p>
        </w:tc>
        <w:tc>
          <w:tcPr>
            <w:tcW w:type="dxa" w:w="2736"/>
            <w:tcMar>
              <w:top w:w="60" w:type="dxa"/>
              <w:start w:w="110" w:type="dxa"/>
              <w:bottom w:w="60" w:type="dxa"/>
              <w:end w:w="110" w:type="dxa"/>
            </w:tcMar>
            <w:shd w:val="clear" w:color="auto" w:fill="F4F7FB"/>
          </w:tcPr>
          <w:p>
            <w:pPr>
              <w:spacing w:after="0"/>
            </w:pPr>
            <w:r/>
            <w:r>
              <w:rPr>
                <w:rFonts w:ascii="Calibri" w:hAnsi="Calibri"/>
                <w:b/>
                <w:color w:val="101828"/>
                <w:sz w:val="16"/>
              </w:rPr>
              <w:t>Unknown. Dominant variable cost</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Notification cost</w:t>
            </w:r>
          </w:p>
        </w:tc>
        <w:tc>
          <w:tcPr>
            <w:tcW w:type="dxa" w:w="3024"/>
            <w:tcMar>
              <w:top w:w="60" w:type="dxa"/>
              <w:start w:w="110" w:type="dxa"/>
              <w:bottom w:w="60" w:type="dxa"/>
              <w:end w:w="110" w:type="dxa"/>
            </w:tcMar>
          </w:tcPr>
          <w:p>
            <w:pPr>
              <w:spacing w:after="0"/>
            </w:pPr>
            <w:r/>
            <w:r>
              <w:rPr>
                <w:rFonts w:ascii="Calibri" w:hAnsi="Calibri"/>
                <w:b w:val="0"/>
                <w:i w:val="0"/>
                <w:color w:val="101828"/>
                <w:sz w:val="16"/>
              </w:rPr>
              <w:t>Cost per message x messages per member</w:t>
            </w:r>
          </w:p>
        </w:tc>
        <w:tc>
          <w:tcPr>
            <w:tcW w:type="dxa" w:w="1584"/>
            <w:tcMar>
              <w:top w:w="60" w:type="dxa"/>
              <w:start w:w="110" w:type="dxa"/>
              <w:bottom w:w="60" w:type="dxa"/>
              <w:end w:w="110" w:type="dxa"/>
            </w:tcMar>
          </w:tcPr>
          <w:p>
            <w:pPr>
              <w:spacing w:after="0"/>
            </w:pPr>
            <w:r/>
            <w:r>
              <w:rPr>
                <w:rFonts w:ascii="Calibri" w:hAnsi="Calibri"/>
                <w:b w:val="0"/>
                <w:i w:val="0"/>
                <w:color w:val="101828"/>
                <w:sz w:val="16"/>
              </w:rPr>
              <w:t>Reduces margin</w:t>
            </w:r>
          </w:p>
        </w:tc>
        <w:tc>
          <w:tcPr>
            <w:tcW w:type="dxa" w:w="2736"/>
            <w:tcMar>
              <w:top w:w="60" w:type="dxa"/>
              <w:start w:w="110" w:type="dxa"/>
              <w:bottom w:w="60" w:type="dxa"/>
              <w:end w:w="110" w:type="dxa"/>
            </w:tcMar>
          </w:tcPr>
          <w:p>
            <w:pPr>
              <w:spacing w:after="0"/>
            </w:pPr>
            <w:r/>
            <w:r>
              <w:rPr>
                <w:rFonts w:ascii="Calibri" w:hAnsi="Calibri"/>
                <w:b w:val="0"/>
                <w:i w:val="0"/>
                <w:color w:val="101828"/>
                <w:sz w:val="16"/>
              </w:rPr>
              <w:t>Bounded by the daily reminder cap</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Net margin per member</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Gross fee − PSP − notifications − support</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Must be positive</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Cannot yet be computed</w:t>
            </w:r>
          </w:p>
        </w:tc>
      </w:tr>
      <w:tr>
        <w:trPr>
          <w:cantSplit/>
        </w:trPr>
        <w:tc>
          <w:tcPr>
            <w:tcW w:type="dxa" w:w="2016"/>
            <w:tcMar>
              <w:top w:w="60" w:type="dxa"/>
              <w:start w:w="110" w:type="dxa"/>
              <w:bottom w:w="60" w:type="dxa"/>
              <w:end w:w="110" w:type="dxa"/>
            </w:tcMar>
          </w:tcPr>
          <w:p>
            <w:pPr>
              <w:spacing w:after="0"/>
            </w:pPr>
            <w:r/>
            <w:r>
              <w:rPr>
                <w:rFonts w:ascii="Calibri" w:hAnsi="Calibri"/>
                <w:b w:val="0"/>
                <w:i w:val="0"/>
                <w:color w:val="101828"/>
                <w:sz w:val="16"/>
              </w:rPr>
              <w:t>Lifetime value</w:t>
            </w:r>
          </w:p>
        </w:tc>
        <w:tc>
          <w:tcPr>
            <w:tcW w:type="dxa" w:w="3024"/>
            <w:tcMar>
              <w:top w:w="60" w:type="dxa"/>
              <w:start w:w="110" w:type="dxa"/>
              <w:bottom w:w="60" w:type="dxa"/>
              <w:end w:w="110" w:type="dxa"/>
            </w:tcMar>
          </w:tcPr>
          <w:p>
            <w:pPr>
              <w:spacing w:after="0"/>
            </w:pPr>
            <w:r/>
            <w:r>
              <w:rPr>
                <w:rFonts w:ascii="Calibri" w:hAnsi="Calibri"/>
                <w:b w:val="0"/>
                <w:i w:val="0"/>
                <w:color w:val="101828"/>
                <w:sz w:val="16"/>
              </w:rPr>
              <w:t>Net margin x expected Ajos per member</w:t>
            </w:r>
          </w:p>
        </w:tc>
        <w:tc>
          <w:tcPr>
            <w:tcW w:type="dxa" w:w="1584"/>
            <w:tcMar>
              <w:top w:w="60" w:type="dxa"/>
              <w:start w:w="110" w:type="dxa"/>
              <w:bottom w:w="60" w:type="dxa"/>
              <w:end w:w="110" w:type="dxa"/>
            </w:tcMar>
          </w:tcPr>
          <w:p>
            <w:pPr>
              <w:spacing w:after="0"/>
            </w:pPr>
            <w:r/>
            <w:r>
              <w:rPr>
                <w:rFonts w:ascii="Calibri" w:hAnsi="Calibri"/>
                <w:b w:val="0"/>
                <w:i w:val="0"/>
                <w:color w:val="101828"/>
                <w:sz w:val="16"/>
              </w:rPr>
              <w:t>Depends on repeat rate</w:t>
            </w:r>
          </w:p>
        </w:tc>
        <w:tc>
          <w:tcPr>
            <w:tcW w:type="dxa" w:w="2736"/>
            <w:tcMar>
              <w:top w:w="60" w:type="dxa"/>
              <w:start w:w="110" w:type="dxa"/>
              <w:bottom w:w="60" w:type="dxa"/>
              <w:end w:w="110" w:type="dxa"/>
            </w:tcMar>
          </w:tcPr>
          <w:p>
            <w:pPr>
              <w:spacing w:after="0"/>
            </w:pPr>
            <w:r/>
            <w:r>
              <w:rPr>
                <w:rFonts w:ascii="Calibri" w:hAnsi="Calibri"/>
                <w:b w:val="0"/>
                <w:i w:val="0"/>
                <w:color w:val="101828"/>
                <w:sz w:val="16"/>
              </w:rPr>
              <w:t>Repeat Ajo rate is the key driver</w:t>
            </w:r>
          </w:p>
        </w:tc>
      </w:tr>
      <w:tr>
        <w:trPr>
          <w:cantSplit/>
        </w:trPr>
        <w:tc>
          <w:tcPr>
            <w:tcW w:type="dxa" w:w="2016"/>
            <w:tcMar>
              <w:top w:w="60" w:type="dxa"/>
              <w:start w:w="110" w:type="dxa"/>
              <w:bottom w:w="60" w:type="dxa"/>
              <w:end w:w="110" w:type="dxa"/>
            </w:tcMar>
            <w:shd w:val="clear" w:color="auto" w:fill="F4F7FB"/>
          </w:tcPr>
          <w:p>
            <w:pPr>
              <w:spacing w:after="0"/>
            </w:pPr>
            <w:r/>
            <w:r>
              <w:rPr>
                <w:rFonts w:ascii="Calibri" w:hAnsi="Calibri"/>
                <w:b w:val="0"/>
                <w:i w:val="0"/>
                <w:color w:val="101828"/>
                <w:sz w:val="16"/>
              </w:rPr>
              <w:t>Payback period</w:t>
            </w:r>
          </w:p>
        </w:tc>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Acquisition cost ÷ monthly net margin per member</w:t>
            </w:r>
          </w:p>
        </w:tc>
        <w:tc>
          <w:tcPr>
            <w:tcW w:type="dxa" w:w="1584"/>
            <w:tcMar>
              <w:top w:w="60" w:type="dxa"/>
              <w:start w:w="110" w:type="dxa"/>
              <w:bottom w:w="60" w:type="dxa"/>
              <w:end w:w="110" w:type="dxa"/>
            </w:tcMar>
            <w:shd w:val="clear" w:color="auto" w:fill="F4F7FB"/>
          </w:tcPr>
          <w:p>
            <w:pPr>
              <w:spacing w:after="0"/>
            </w:pPr>
            <w:r/>
            <w:r>
              <w:rPr>
                <w:rFonts w:ascii="Calibri" w:hAnsi="Calibri"/>
                <w:b w:val="0"/>
                <w:i w:val="0"/>
                <w:color w:val="101828"/>
                <w:sz w:val="16"/>
              </w:rPr>
              <w:t>Must be &lt; 18 months</w:t>
            </w:r>
          </w:p>
        </w:tc>
        <w:tc>
          <w:tcPr>
            <w:tcW w:type="dxa" w:w="2736"/>
            <w:tcMar>
              <w:top w:w="60" w:type="dxa"/>
              <w:start w:w="110" w:type="dxa"/>
              <w:bottom w:w="60" w:type="dxa"/>
              <w:end w:w="110" w:type="dxa"/>
            </w:tcMar>
            <w:shd w:val="clear" w:color="auto" w:fill="F4F7FB"/>
          </w:tcPr>
          <w:p>
            <w:pPr>
              <w:spacing w:after="0"/>
            </w:pPr>
            <w:r/>
            <w:r>
              <w:rPr>
                <w:rFonts w:ascii="Calibri" w:hAnsi="Calibri"/>
                <w:b w:val="0"/>
                <w:i w:val="0"/>
                <w:color w:val="101828"/>
                <w:sz w:val="16"/>
              </w:rPr>
              <w:t>Cannot yet be computed</w:t>
            </w:r>
          </w:p>
        </w:tc>
      </w:tr>
    </w:tbl>
    <w:p>
      <w:pPr>
        <w:spacing w:after="80"/>
      </w:pPr>
    </w:p>
    <w:p>
      <w:r>
        <w:rPr>
          <w:rFonts w:ascii="Calibri" w:hAnsi="Calibri"/>
          <w:b w:val="0"/>
          <w:i w:val="0"/>
          <w:color w:val="101828"/>
          <w:sz w:val="21"/>
        </w:rPr>
        <w:t xml:space="preserve">The strategy implication is clear: </w:t>
      </w:r>
      <w:r>
        <w:rPr>
          <w:rFonts w:ascii="Calibri" w:hAnsi="Calibri"/>
          <w:b/>
          <w:color w:val="101828"/>
          <w:sz w:val="21"/>
        </w:rPr>
        <w:t>maximise the number of Ajos a member completes, not the number of members acquired.</w:t>
      </w:r>
      <w:r>
        <w:rPr>
          <w:rFonts w:ascii="Calibri" w:hAnsi="Calibri"/>
          <w:b w:val="0"/>
          <w:i w:val="0"/>
          <w:color w:val="101828"/>
          <w:sz w:val="21"/>
        </w:rPr>
        <w:t xml:space="preserve"> Repeat behaviour compounds; acquisition does not. This is why the repeat Ajo rate in section 21.3 is a more important metric than member count, and why the product work should concentrate on making the second and third Ajo effortless.</w:t>
      </w:r>
    </w:p>
    <w:p>
      <w:pPr>
        <w:pStyle w:val="Heading2"/>
      </w:pPr>
      <w:r>
        <w:rPr>
          <w:rFonts w:ascii="Calibri" w:hAnsi="Calibri"/>
          <w:b/>
          <w:i w:val="0"/>
          <w:color w:val="146EF5"/>
          <w:sz w:val="29"/>
        </w:rPr>
        <w:t>25.8 Capacity planning triggers</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3024"/>
            <w:shd w:val="clear" w:color="auto" w:fill="0B1F3A"/>
            <w:tcMar>
              <w:top w:w="60" w:type="dxa"/>
              <w:start w:w="110" w:type="dxa"/>
              <w:bottom w:w="60" w:type="dxa"/>
              <w:end w:w="110" w:type="dxa"/>
            </w:tcMar>
          </w:tcPr>
          <w:p>
            <w:pPr>
              <w:spacing w:after="0"/>
            </w:pPr>
            <w:r/>
            <w:r>
              <w:rPr>
                <w:rFonts w:ascii="Calibri" w:hAnsi="Calibri"/>
                <w:b/>
                <w:i w:val="0"/>
                <w:color w:val="FFFFFF"/>
                <w:sz w:val="16"/>
              </w:rPr>
              <w:t>Trigger</w:t>
            </w:r>
          </w:p>
        </w:tc>
        <w:tc>
          <w:tcPr>
            <w:tcW w:type="dxa" w:w="3888"/>
            <w:shd w:val="clear" w:color="auto" w:fill="0B1F3A"/>
            <w:tcMar>
              <w:top w:w="60" w:type="dxa"/>
              <w:start w:w="110" w:type="dxa"/>
              <w:bottom w:w="60" w:type="dxa"/>
              <w:end w:w="110" w:type="dxa"/>
            </w:tcMar>
          </w:tcPr>
          <w:p>
            <w:pPr>
              <w:spacing w:after="0"/>
            </w:pPr>
            <w:r/>
            <w:r>
              <w:rPr>
                <w:rFonts w:ascii="Calibri" w:hAnsi="Calibri"/>
                <w:b/>
                <w:i w:val="0"/>
                <w:color w:val="FFFFFF"/>
                <w:sz w:val="16"/>
              </w:rPr>
              <w:t>Action</w:t>
            </w:r>
          </w:p>
        </w:tc>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Lead time</w:t>
            </w:r>
          </w:p>
        </w:tc>
      </w:tr>
      <w:tr>
        <w:trPr>
          <w:cantSplit/>
        </w:trPr>
        <w:tc>
          <w:tcPr>
            <w:tcW w:type="dxa" w:w="3024"/>
            <w:tcMar>
              <w:top w:w="60" w:type="dxa"/>
              <w:start w:w="110" w:type="dxa"/>
              <w:bottom w:w="60" w:type="dxa"/>
              <w:end w:w="110" w:type="dxa"/>
            </w:tcMar>
          </w:tcPr>
          <w:p>
            <w:pPr>
              <w:spacing w:after="0"/>
            </w:pPr>
            <w:r/>
            <w:r>
              <w:rPr>
                <w:rFonts w:ascii="Calibri" w:hAnsi="Calibri"/>
                <w:b w:val="0"/>
                <w:i w:val="0"/>
                <w:color w:val="101828"/>
                <w:sz w:val="16"/>
              </w:rPr>
              <w:t>Sustained CPU above 70% on the API tier</w:t>
            </w:r>
          </w:p>
        </w:tc>
        <w:tc>
          <w:tcPr>
            <w:tcW w:type="dxa" w:w="3888"/>
            <w:tcMar>
              <w:top w:w="60" w:type="dxa"/>
              <w:start w:w="110" w:type="dxa"/>
              <w:bottom w:w="60" w:type="dxa"/>
              <w:end w:w="110" w:type="dxa"/>
            </w:tcMar>
          </w:tcPr>
          <w:p>
            <w:pPr>
              <w:spacing w:after="0"/>
            </w:pPr>
            <w:r/>
            <w:r>
              <w:rPr>
                <w:rFonts w:ascii="Calibri" w:hAnsi="Calibri"/>
                <w:b w:val="0"/>
                <w:i w:val="0"/>
                <w:color w:val="101828"/>
                <w:sz w:val="16"/>
              </w:rPr>
              <w:t>Scale out horizontally</w:t>
            </w:r>
          </w:p>
        </w:tc>
        <w:tc>
          <w:tcPr>
            <w:tcW w:type="dxa" w:w="2448"/>
            <w:tcMar>
              <w:top w:w="60" w:type="dxa"/>
              <w:start w:w="110" w:type="dxa"/>
              <w:bottom w:w="60" w:type="dxa"/>
              <w:end w:w="110" w:type="dxa"/>
            </w:tcMar>
          </w:tcPr>
          <w:p>
            <w:pPr>
              <w:spacing w:after="0"/>
            </w:pPr>
            <w:r/>
            <w:r>
              <w:rPr>
                <w:rFonts w:ascii="Calibri" w:hAnsi="Calibri"/>
                <w:b w:val="0"/>
                <w:i w:val="0"/>
                <w:color w:val="101828"/>
                <w:sz w:val="16"/>
              </w:rPr>
              <w:t>Minutes</w:t>
            </w:r>
          </w:p>
        </w:tc>
      </w:tr>
      <w:tr>
        <w:trPr>
          <w:cantSplit/>
        </w:trPr>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Database connections above 70% of the limit</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Add pooling, then read replicas</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Hours</w:t>
            </w:r>
          </w:p>
        </w:tc>
      </w:tr>
      <w:tr>
        <w:trPr>
          <w:cantSplit/>
        </w:trPr>
        <w:tc>
          <w:tcPr>
            <w:tcW w:type="dxa" w:w="3024"/>
            <w:tcMar>
              <w:top w:w="60" w:type="dxa"/>
              <w:start w:w="110" w:type="dxa"/>
              <w:bottom w:w="60" w:type="dxa"/>
              <w:end w:w="110" w:type="dxa"/>
            </w:tcMar>
          </w:tcPr>
          <w:p>
            <w:pPr>
              <w:spacing w:after="0"/>
            </w:pPr>
            <w:r/>
            <w:r>
              <w:rPr>
                <w:rFonts w:ascii="Calibri" w:hAnsi="Calibri"/>
                <w:b w:val="0"/>
                <w:i w:val="0"/>
                <w:color w:val="101828"/>
                <w:sz w:val="16"/>
              </w:rPr>
              <w:t>Primary replication lag above 1 minute</w:t>
            </w:r>
          </w:p>
        </w:tc>
        <w:tc>
          <w:tcPr>
            <w:tcW w:type="dxa" w:w="3888"/>
            <w:tcMar>
              <w:top w:w="60" w:type="dxa"/>
              <w:start w:w="110" w:type="dxa"/>
              <w:bottom w:w="60" w:type="dxa"/>
              <w:end w:w="110" w:type="dxa"/>
            </w:tcMar>
          </w:tcPr>
          <w:p>
            <w:pPr>
              <w:spacing w:after="0"/>
            </w:pPr>
            <w:r/>
            <w:r>
              <w:rPr>
                <w:rFonts w:ascii="Calibri" w:hAnsi="Calibri"/>
                <w:b w:val="0"/>
                <w:i w:val="0"/>
                <w:color w:val="101828"/>
                <w:sz w:val="16"/>
              </w:rPr>
              <w:t>Investigate; move reporting to a replica</w:t>
            </w:r>
          </w:p>
        </w:tc>
        <w:tc>
          <w:tcPr>
            <w:tcW w:type="dxa" w:w="2448"/>
            <w:tcMar>
              <w:top w:w="60" w:type="dxa"/>
              <w:start w:w="110" w:type="dxa"/>
              <w:bottom w:w="60" w:type="dxa"/>
              <w:end w:w="110" w:type="dxa"/>
            </w:tcMar>
          </w:tcPr>
          <w:p>
            <w:pPr>
              <w:spacing w:after="0"/>
            </w:pPr>
            <w:r/>
            <w:r>
              <w:rPr>
                <w:rFonts w:ascii="Calibri" w:hAnsi="Calibri"/>
                <w:b w:val="0"/>
                <w:i w:val="0"/>
                <w:color w:val="101828"/>
                <w:sz w:val="16"/>
              </w:rPr>
              <w:t>Hours</w:t>
            </w:r>
          </w:p>
        </w:tc>
      </w:tr>
      <w:tr>
        <w:trPr>
          <w:cantSplit/>
        </w:trPr>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Ledger table above 50M rows</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Implement monthly partitioning</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Weeks</w:t>
            </w:r>
          </w:p>
        </w:tc>
      </w:tr>
      <w:tr>
        <w:trPr>
          <w:cantSplit/>
        </w:trPr>
        <w:tc>
          <w:tcPr>
            <w:tcW w:type="dxa" w:w="3024"/>
            <w:tcMar>
              <w:top w:w="60" w:type="dxa"/>
              <w:start w:w="110" w:type="dxa"/>
              <w:bottom w:w="60" w:type="dxa"/>
              <w:end w:w="110" w:type="dxa"/>
            </w:tcMar>
          </w:tcPr>
          <w:p>
            <w:pPr>
              <w:spacing w:after="0"/>
            </w:pPr>
            <w:r/>
            <w:r>
              <w:rPr>
                <w:rFonts w:ascii="Calibri" w:hAnsi="Calibri"/>
                <w:b w:val="0"/>
                <w:i w:val="0"/>
                <w:color w:val="101828"/>
                <w:sz w:val="16"/>
              </w:rPr>
              <w:t>Queue oldest job above 30 minutes</w:t>
            </w:r>
          </w:p>
        </w:tc>
        <w:tc>
          <w:tcPr>
            <w:tcW w:type="dxa" w:w="3888"/>
            <w:tcMar>
              <w:top w:w="60" w:type="dxa"/>
              <w:start w:w="110" w:type="dxa"/>
              <w:bottom w:w="60" w:type="dxa"/>
              <w:end w:w="110" w:type="dxa"/>
            </w:tcMar>
          </w:tcPr>
          <w:p>
            <w:pPr>
              <w:spacing w:after="0"/>
            </w:pPr>
            <w:r/>
            <w:r>
              <w:rPr>
                <w:rFonts w:ascii="Calibri" w:hAnsi="Calibri"/>
                <w:b w:val="0"/>
                <w:i w:val="0"/>
                <w:color w:val="101828"/>
                <w:sz w:val="16"/>
              </w:rPr>
              <w:t>Scale workers, then split queues</w:t>
            </w:r>
          </w:p>
        </w:tc>
        <w:tc>
          <w:tcPr>
            <w:tcW w:type="dxa" w:w="2448"/>
            <w:tcMar>
              <w:top w:w="60" w:type="dxa"/>
              <w:start w:w="110" w:type="dxa"/>
              <w:bottom w:w="60" w:type="dxa"/>
              <w:end w:w="110" w:type="dxa"/>
            </w:tcMar>
          </w:tcPr>
          <w:p>
            <w:pPr>
              <w:spacing w:after="0"/>
            </w:pPr>
            <w:r/>
            <w:r>
              <w:rPr>
                <w:rFonts w:ascii="Calibri" w:hAnsi="Calibri"/>
                <w:b w:val="0"/>
                <w:i w:val="0"/>
                <w:color w:val="101828"/>
                <w:sz w:val="16"/>
              </w:rPr>
              <w:t>Hours</w:t>
            </w:r>
          </w:p>
        </w:tc>
      </w:tr>
      <w:tr>
        <w:trPr>
          <w:cantSplit/>
        </w:trPr>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Contributions above 1,000 per minute sustained</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Capacity review of the write path</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Days</w:t>
            </w:r>
          </w:p>
        </w:tc>
      </w:tr>
      <w:tr>
        <w:trPr>
          <w:cantSplit/>
        </w:trPr>
        <w:tc>
          <w:tcPr>
            <w:tcW w:type="dxa" w:w="3024"/>
            <w:tcMar>
              <w:top w:w="60" w:type="dxa"/>
              <w:start w:w="110" w:type="dxa"/>
              <w:bottom w:w="60" w:type="dxa"/>
              <w:end w:w="110" w:type="dxa"/>
            </w:tcMar>
          </w:tcPr>
          <w:p>
            <w:pPr>
              <w:spacing w:after="0"/>
            </w:pPr>
            <w:r/>
            <w:r>
              <w:rPr>
                <w:rFonts w:ascii="Calibri" w:hAnsi="Calibri"/>
                <w:b w:val="0"/>
                <w:i w:val="0"/>
                <w:color w:val="101828"/>
                <w:sz w:val="16"/>
              </w:rPr>
              <w:t>Members above 30,000</w:t>
            </w:r>
          </w:p>
        </w:tc>
        <w:tc>
          <w:tcPr>
            <w:tcW w:type="dxa" w:w="3888"/>
            <w:tcMar>
              <w:top w:w="60" w:type="dxa"/>
              <w:start w:w="110" w:type="dxa"/>
              <w:bottom w:w="60" w:type="dxa"/>
              <w:end w:w="110" w:type="dxa"/>
            </w:tcMar>
          </w:tcPr>
          <w:p>
            <w:pPr>
              <w:spacing w:after="0"/>
            </w:pPr>
            <w:r/>
            <w:r>
              <w:rPr>
                <w:rFonts w:ascii="Calibri" w:hAnsi="Calibri"/>
                <w:b w:val="0"/>
                <w:i w:val="0"/>
                <w:color w:val="101828"/>
                <w:sz w:val="16"/>
              </w:rPr>
              <w:t>Full capacity and cost review</w:t>
            </w:r>
          </w:p>
        </w:tc>
        <w:tc>
          <w:tcPr>
            <w:tcW w:type="dxa" w:w="2448"/>
            <w:tcMar>
              <w:top w:w="60" w:type="dxa"/>
              <w:start w:w="110" w:type="dxa"/>
              <w:bottom w:w="60" w:type="dxa"/>
              <w:end w:w="110" w:type="dxa"/>
            </w:tcMar>
          </w:tcPr>
          <w:p>
            <w:pPr>
              <w:spacing w:after="0"/>
            </w:pPr>
            <w:r/>
            <w:r>
              <w:rPr>
                <w:rFonts w:ascii="Calibri" w:hAnsi="Calibri"/>
                <w:b w:val="0"/>
                <w:i w:val="0"/>
                <w:color w:val="101828"/>
                <w:sz w:val="16"/>
              </w:rPr>
              <w:t>Weeks</w:t>
            </w:r>
          </w:p>
        </w:tc>
      </w:tr>
      <w:tr>
        <w:trPr>
          <w:cantSplit/>
        </w:trPr>
        <w:tc>
          <w:tcPr>
            <w:tcW w:type="dxa" w:w="3024"/>
            <w:tcMar>
              <w:top w:w="60" w:type="dxa"/>
              <w:start w:w="110" w:type="dxa"/>
              <w:bottom w:w="60" w:type="dxa"/>
              <w:end w:w="110" w:type="dxa"/>
            </w:tcMar>
            <w:shd w:val="clear" w:color="auto" w:fill="F4F7FB"/>
          </w:tcPr>
          <w:p>
            <w:pPr>
              <w:spacing w:after="0"/>
            </w:pPr>
            <w:r/>
            <w:r>
              <w:rPr>
                <w:rFonts w:ascii="Calibri" w:hAnsi="Calibri"/>
                <w:b w:val="0"/>
                <w:i w:val="0"/>
                <w:color w:val="101828"/>
                <w:sz w:val="16"/>
              </w:rPr>
              <w:t>Provider rate limits approached</w:t>
            </w:r>
          </w:p>
        </w:tc>
        <w:tc>
          <w:tcPr>
            <w:tcW w:type="dxa" w:w="3888"/>
            <w:tcMar>
              <w:top w:w="60" w:type="dxa"/>
              <w:start w:w="110" w:type="dxa"/>
              <w:bottom w:w="60" w:type="dxa"/>
              <w:end w:w="110" w:type="dxa"/>
            </w:tcMar>
            <w:shd w:val="clear" w:color="auto" w:fill="F4F7FB"/>
          </w:tcPr>
          <w:p>
            <w:pPr>
              <w:spacing w:after="0"/>
            </w:pPr>
            <w:r/>
            <w:r>
              <w:rPr>
                <w:rFonts w:ascii="Calibri" w:hAnsi="Calibri"/>
                <w:b w:val="0"/>
                <w:i w:val="0"/>
                <w:color w:val="101828"/>
                <w:sz w:val="16"/>
              </w:rPr>
              <w:t>Negotiate higher limits, or add a second provider</w:t>
            </w:r>
          </w:p>
        </w:tc>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Weeks</w:t>
            </w:r>
          </w:p>
        </w:tc>
      </w:tr>
    </w:tbl>
    <w:p>
      <w:pPr>
        <w:spacing w:after="80"/>
      </w:pPr>
    </w:p>
    <w:p>
      <w:pPr>
        <w:pStyle w:val="Heading2"/>
      </w:pPr>
      <w:r>
        <w:rPr>
          <w:rFonts w:ascii="Calibri" w:hAnsi="Calibri"/>
          <w:b/>
          <w:i w:val="0"/>
          <w:color w:val="146EF5"/>
          <w:sz w:val="29"/>
        </w:rPr>
        <w:t>25.9 Performance monitoring and alerting</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Signal</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Threshold</w:t>
            </w:r>
          </w:p>
        </w:tc>
        <w:tc>
          <w:tcPr>
            <w:tcW w:type="dxa" w:w="1296"/>
            <w:shd w:val="clear" w:color="auto" w:fill="0B1F3A"/>
            <w:tcMar>
              <w:top w:w="60" w:type="dxa"/>
              <w:start w:w="110" w:type="dxa"/>
              <w:bottom w:w="60" w:type="dxa"/>
              <w:end w:w="110" w:type="dxa"/>
            </w:tcMar>
          </w:tcPr>
          <w:p>
            <w:pPr>
              <w:spacing w:after="0"/>
            </w:pPr>
            <w:r/>
            <w:r>
              <w:rPr>
                <w:rFonts w:ascii="Calibri" w:hAnsi="Calibri"/>
                <w:b/>
                <w:i w:val="0"/>
                <w:color w:val="FFFFFF"/>
                <w:sz w:val="16"/>
              </w:rPr>
              <w:t>Severity</w:t>
            </w:r>
          </w:p>
        </w:tc>
        <w:tc>
          <w:tcPr>
            <w:tcW w:type="dxa" w:w="3312"/>
            <w:shd w:val="clear" w:color="auto" w:fill="0B1F3A"/>
            <w:tcMar>
              <w:top w:w="60" w:type="dxa"/>
              <w:start w:w="110" w:type="dxa"/>
              <w:bottom w:w="60" w:type="dxa"/>
              <w:end w:w="110" w:type="dxa"/>
            </w:tcMar>
          </w:tcPr>
          <w:p>
            <w:pPr>
              <w:spacing w:after="0"/>
            </w:pPr>
            <w:r/>
            <w:r>
              <w:rPr>
                <w:rFonts w:ascii="Calibri" w:hAnsi="Calibri"/>
                <w:b/>
                <w:i w:val="0"/>
                <w:color w:val="FFFFFF"/>
                <w:sz w:val="16"/>
              </w:rPr>
              <w:t>Response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Contribution confirmation p95</w:t>
            </w:r>
          </w:p>
        </w:tc>
        <w:tc>
          <w:tcPr>
            <w:tcW w:type="dxa" w:w="2304"/>
            <w:tcMar>
              <w:top w:w="60" w:type="dxa"/>
              <w:start w:w="110" w:type="dxa"/>
              <w:bottom w:w="60" w:type="dxa"/>
              <w:end w:w="110" w:type="dxa"/>
            </w:tcMar>
          </w:tcPr>
          <w:p>
            <w:pPr>
              <w:spacing w:after="0"/>
            </w:pPr>
            <w:r/>
            <w:r>
              <w:rPr>
                <w:rFonts w:ascii="Calibri" w:hAnsi="Calibri"/>
                <w:b w:val="0"/>
                <w:i w:val="0"/>
                <w:color w:val="101828"/>
                <w:sz w:val="16"/>
              </w:rPr>
              <w:t>&gt; 60s for card/wallet</w:t>
            </w:r>
          </w:p>
        </w:tc>
        <w:tc>
          <w:tcPr>
            <w:tcW w:type="dxa" w:w="1296"/>
            <w:tcMar>
              <w:top w:w="60" w:type="dxa"/>
              <w:start w:w="110" w:type="dxa"/>
              <w:bottom w:w="60" w:type="dxa"/>
              <w:end w:w="110" w:type="dxa"/>
            </w:tcMar>
          </w:tcPr>
          <w:p>
            <w:pPr>
              <w:spacing w:after="0"/>
            </w:pPr>
            <w:r/>
            <w:r>
              <w:rPr>
                <w:rFonts w:ascii="Calibri" w:hAnsi="Calibri"/>
                <w:b w:val="0"/>
                <w:i w:val="0"/>
                <w:color w:val="101828"/>
                <w:sz w:val="16"/>
              </w:rPr>
              <w:t>P2</w:t>
            </w:r>
          </w:p>
        </w:tc>
        <w:tc>
          <w:tcPr>
            <w:tcW w:type="dxa" w:w="3312"/>
            <w:tcMar>
              <w:top w:w="60" w:type="dxa"/>
              <w:start w:w="110" w:type="dxa"/>
              <w:bottom w:w="60" w:type="dxa"/>
              <w:end w:w="110" w:type="dxa"/>
            </w:tcMar>
          </w:tcPr>
          <w:p>
            <w:pPr>
              <w:spacing w:after="0"/>
            </w:pPr>
            <w:r/>
            <w:r>
              <w:rPr>
                <w:rFonts w:ascii="Calibri" w:hAnsi="Calibri"/>
                <w:b w:val="0"/>
                <w:i w:val="0"/>
                <w:color w:val="101828"/>
                <w:sz w:val="16"/>
              </w:rPr>
              <w:t>Investigate webhook processing</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Payout initiation p95</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&gt; 2s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P2</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Check for lock contention</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Payout delivery p95</w:t>
            </w:r>
          </w:p>
        </w:tc>
        <w:tc>
          <w:tcPr>
            <w:tcW w:type="dxa" w:w="2304"/>
            <w:tcMar>
              <w:top w:w="60" w:type="dxa"/>
              <w:start w:w="110" w:type="dxa"/>
              <w:bottom w:w="60" w:type="dxa"/>
              <w:end w:w="110" w:type="dxa"/>
            </w:tcMar>
          </w:tcPr>
          <w:p>
            <w:pPr>
              <w:spacing w:after="0"/>
            </w:pPr>
            <w:r/>
            <w:r>
              <w:rPr>
                <w:rFonts w:ascii="Calibri" w:hAnsi="Calibri"/>
                <w:b w:val="0"/>
                <w:i w:val="0"/>
                <w:color w:val="101828"/>
                <w:sz w:val="16"/>
              </w:rPr>
              <w:t>&gt; 30 min</w:t>
            </w:r>
          </w:p>
        </w:tc>
        <w:tc>
          <w:tcPr>
            <w:tcW w:type="dxa" w:w="1296"/>
            <w:tcMar>
              <w:top w:w="60" w:type="dxa"/>
              <w:start w:w="110" w:type="dxa"/>
              <w:bottom w:w="60" w:type="dxa"/>
              <w:end w:w="110" w:type="dxa"/>
            </w:tcMar>
          </w:tcPr>
          <w:p>
            <w:pPr>
              <w:spacing w:after="0"/>
            </w:pPr>
            <w:r/>
            <w:r>
              <w:rPr>
                <w:rFonts w:ascii="Calibri" w:hAnsi="Calibri"/>
                <w:b w:val="0"/>
                <w:i w:val="0"/>
                <w:color w:val="101828"/>
                <w:sz w:val="16"/>
              </w:rPr>
              <w:t>P1</w:t>
            </w:r>
          </w:p>
        </w:tc>
        <w:tc>
          <w:tcPr>
            <w:tcW w:type="dxa" w:w="3312"/>
            <w:tcMar>
              <w:top w:w="60" w:type="dxa"/>
              <w:start w:w="110" w:type="dxa"/>
              <w:bottom w:w="60" w:type="dxa"/>
              <w:end w:w="110" w:type="dxa"/>
            </w:tcMar>
          </w:tcPr>
          <w:p>
            <w:pPr>
              <w:spacing w:after="0"/>
            </w:pPr>
            <w:r/>
            <w:r>
              <w:rPr>
                <w:rFonts w:ascii="Calibri" w:hAnsi="Calibri"/>
                <w:b w:val="0"/>
                <w:i w:val="0"/>
                <w:color w:val="101828"/>
                <w:sz w:val="16"/>
              </w:rPr>
              <w:t>Check provider and bank status</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Dashboard load p95</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&gt; 2s</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P3</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Add a cache, or fix the query</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Cold start p75</w:t>
            </w:r>
          </w:p>
        </w:tc>
        <w:tc>
          <w:tcPr>
            <w:tcW w:type="dxa" w:w="2304"/>
            <w:tcMar>
              <w:top w:w="60" w:type="dxa"/>
              <w:start w:w="110" w:type="dxa"/>
              <w:bottom w:w="60" w:type="dxa"/>
              <w:end w:w="110" w:type="dxa"/>
            </w:tcMar>
          </w:tcPr>
          <w:p>
            <w:pPr>
              <w:spacing w:after="0"/>
            </w:pPr>
            <w:r/>
            <w:r>
              <w:rPr>
                <w:rFonts w:ascii="Calibri" w:hAnsi="Calibri"/>
                <w:b w:val="0"/>
                <w:i w:val="0"/>
                <w:color w:val="101828"/>
                <w:sz w:val="16"/>
              </w:rPr>
              <w:t>&gt; 2.5s</w:t>
            </w:r>
          </w:p>
        </w:tc>
        <w:tc>
          <w:tcPr>
            <w:tcW w:type="dxa" w:w="1296"/>
            <w:tcMar>
              <w:top w:w="60" w:type="dxa"/>
              <w:start w:w="110" w:type="dxa"/>
              <w:bottom w:w="60" w:type="dxa"/>
              <w:end w:w="110" w:type="dxa"/>
            </w:tcMar>
          </w:tcPr>
          <w:p>
            <w:pPr>
              <w:spacing w:after="0"/>
            </w:pPr>
            <w:r/>
            <w:r>
              <w:rPr>
                <w:rFonts w:ascii="Calibri" w:hAnsi="Calibri"/>
                <w:b w:val="0"/>
                <w:i w:val="0"/>
                <w:color w:val="101828"/>
                <w:sz w:val="16"/>
              </w:rPr>
              <w:t>P3</w:t>
            </w:r>
          </w:p>
        </w:tc>
        <w:tc>
          <w:tcPr>
            <w:tcW w:type="dxa" w:w="3312"/>
            <w:tcMar>
              <w:top w:w="60" w:type="dxa"/>
              <w:start w:w="110" w:type="dxa"/>
              <w:bottom w:w="60" w:type="dxa"/>
              <w:end w:w="110" w:type="dxa"/>
            </w:tcMar>
          </w:tcPr>
          <w:p>
            <w:pPr>
              <w:spacing w:after="0"/>
            </w:pPr>
            <w:r/>
            <w:r>
              <w:rPr>
                <w:rFonts w:ascii="Calibri" w:hAnsi="Calibri"/>
                <w:b w:val="0"/>
                <w:i w:val="0"/>
                <w:color w:val="101828"/>
                <w:sz w:val="16"/>
              </w:rPr>
              <w:t>Bundle analysis, defer non-critical work</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Error budget burn</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Fast burn</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P1</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Freeze feature releases, stabilise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Database CPU</w:t>
            </w:r>
          </w:p>
        </w:tc>
        <w:tc>
          <w:tcPr>
            <w:tcW w:type="dxa" w:w="2304"/>
            <w:tcMar>
              <w:top w:w="60" w:type="dxa"/>
              <w:start w:w="110" w:type="dxa"/>
              <w:bottom w:w="60" w:type="dxa"/>
              <w:end w:w="110" w:type="dxa"/>
            </w:tcMar>
          </w:tcPr>
          <w:p>
            <w:pPr>
              <w:spacing w:after="0"/>
            </w:pPr>
            <w:r/>
            <w:r>
              <w:rPr>
                <w:rFonts w:ascii="Calibri" w:hAnsi="Calibri"/>
                <w:b w:val="0"/>
                <w:i w:val="0"/>
                <w:color w:val="101828"/>
                <w:sz w:val="16"/>
              </w:rPr>
              <w:t>&gt; 70% sustained</w:t>
            </w:r>
          </w:p>
        </w:tc>
        <w:tc>
          <w:tcPr>
            <w:tcW w:type="dxa" w:w="1296"/>
            <w:tcMar>
              <w:top w:w="60" w:type="dxa"/>
              <w:start w:w="110" w:type="dxa"/>
              <w:bottom w:w="60" w:type="dxa"/>
              <w:end w:w="110" w:type="dxa"/>
            </w:tcMar>
          </w:tcPr>
          <w:p>
            <w:pPr>
              <w:spacing w:after="0"/>
            </w:pPr>
            <w:r/>
            <w:r>
              <w:rPr>
                <w:rFonts w:ascii="Calibri" w:hAnsi="Calibri"/>
                <w:b w:val="0"/>
                <w:i w:val="0"/>
                <w:color w:val="101828"/>
                <w:sz w:val="16"/>
              </w:rPr>
              <w:t>P2</w:t>
            </w:r>
          </w:p>
        </w:tc>
        <w:tc>
          <w:tcPr>
            <w:tcW w:type="dxa" w:w="3312"/>
            <w:tcMar>
              <w:top w:w="60" w:type="dxa"/>
              <w:start w:w="110" w:type="dxa"/>
              <w:bottom w:w="60" w:type="dxa"/>
              <w:end w:w="110" w:type="dxa"/>
            </w:tcMar>
          </w:tcPr>
          <w:p>
            <w:pPr>
              <w:spacing w:after="0"/>
            </w:pPr>
            <w:r/>
            <w:r>
              <w:rPr>
                <w:rFonts w:ascii="Calibri" w:hAnsi="Calibri"/>
                <w:b w:val="0"/>
                <w:i w:val="0"/>
                <w:color w:val="101828"/>
                <w:sz w:val="16"/>
              </w:rPr>
              <w:t>Read replicas, index review</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Queue age</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&gt; 30 min</w:t>
            </w:r>
          </w:p>
        </w:tc>
        <w:tc>
          <w:tcPr>
            <w:tcW w:type="dxa" w:w="1296"/>
            <w:tcMar>
              <w:top w:w="60" w:type="dxa"/>
              <w:start w:w="110" w:type="dxa"/>
              <w:bottom w:w="60" w:type="dxa"/>
              <w:end w:w="110" w:type="dxa"/>
            </w:tcMar>
            <w:shd w:val="clear" w:color="auto" w:fill="F4F7FB"/>
          </w:tcPr>
          <w:p>
            <w:pPr>
              <w:spacing w:after="0"/>
            </w:pPr>
            <w:r/>
            <w:r>
              <w:rPr>
                <w:rFonts w:ascii="Calibri" w:hAnsi="Calibri"/>
                <w:b w:val="0"/>
                <w:i w:val="0"/>
                <w:color w:val="101828"/>
                <w:sz w:val="16"/>
              </w:rPr>
              <w:t>P2</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Scale workers</w:t>
            </w:r>
          </w:p>
        </w:tc>
      </w:tr>
    </w:tbl>
    <w:p>
      <w:pPr>
        <w:spacing w:after="80"/>
      </w:pPr>
    </w:p>
    <w:p>
      <w:pPr>
        <w:pStyle w:val="Heading2"/>
      </w:pPr>
      <w:r>
        <w:rPr>
          <w:rFonts w:ascii="Calibri" w:hAnsi="Calibri"/>
          <w:b/>
          <w:i w:val="0"/>
          <w:color w:val="146EF5"/>
          <w:sz w:val="29"/>
        </w:rPr>
        <w:t>25.10 Performance summary</w:t>
      </w:r>
    </w:p>
    <w:tbl>
      <w:tblPr>
        <w:tblStyle w:val="TableGrid"/>
        <w:tblW w:type="auto" w:w="0"/>
        <w:jc w:val="center"/>
        <w:tblLayout w:type="autofit"/>
        <w:tblLook w:firstColumn="1" w:firstRow="1" w:lastColumn="0" w:lastRow="0" w:noHBand="0" w:noVBand="1" w:val="04A0"/>
      </w:tblPr>
      <w:tblGrid>
        <w:gridCol w:w="3154"/>
        <w:gridCol w:w="3154"/>
        <w:gridCol w:w="3154"/>
      </w:tblGrid>
      <w:tr>
        <w:trPr>
          <w:tblHeader/>
          <w:cantSplit/>
        </w:trPr>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6"/>
              </w:rPr>
              <w:t>Dimension</w:t>
            </w:r>
          </w:p>
        </w:tc>
        <w:tc>
          <w:tcPr>
            <w:tcW w:type="dxa" w:w="3168"/>
            <w:shd w:val="clear" w:color="auto" w:fill="0B1F3A"/>
            <w:tcMar>
              <w:top w:w="60" w:type="dxa"/>
              <w:start w:w="110" w:type="dxa"/>
              <w:bottom w:w="60" w:type="dxa"/>
              <w:end w:w="110" w:type="dxa"/>
            </w:tcMar>
          </w:tcPr>
          <w:p>
            <w:pPr>
              <w:spacing w:after="0"/>
            </w:pPr>
            <w:r/>
            <w:r>
              <w:rPr>
                <w:rFonts w:ascii="Calibri" w:hAnsi="Calibri"/>
                <w:b/>
                <w:i w:val="0"/>
                <w:color w:val="FFFFFF"/>
                <w:sz w:val="16"/>
              </w:rPr>
              <w:t>Target</w:t>
            </w:r>
          </w:p>
        </w:tc>
        <w:tc>
          <w:tcPr>
            <w:tcW w:type="dxa" w:w="3312"/>
            <w:shd w:val="clear" w:color="auto" w:fill="0B1F3A"/>
            <w:tcMar>
              <w:top w:w="60" w:type="dxa"/>
              <w:start w:w="110" w:type="dxa"/>
              <w:bottom w:w="60" w:type="dxa"/>
              <w:end w:w="110" w:type="dxa"/>
            </w:tcMar>
          </w:tcPr>
          <w:p>
            <w:pPr>
              <w:spacing w:after="0"/>
            </w:pPr>
            <w:r/>
            <w:r>
              <w:rPr>
                <w:rFonts w:ascii="Calibri" w:hAnsi="Calibri"/>
                <w:b/>
                <w:i w:val="0"/>
                <w:color w:val="FFFFFF"/>
                <w:sz w:val="16"/>
              </w:rPr>
              <w:t>Hard limit</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Contribution confirmation</w:t>
            </w:r>
          </w:p>
        </w:tc>
        <w:tc>
          <w:tcPr>
            <w:tcW w:type="dxa" w:w="3168"/>
            <w:tcMar>
              <w:top w:w="60" w:type="dxa"/>
              <w:start w:w="110" w:type="dxa"/>
              <w:bottom w:w="60" w:type="dxa"/>
              <w:end w:w="110" w:type="dxa"/>
            </w:tcMar>
          </w:tcPr>
          <w:p>
            <w:pPr>
              <w:spacing w:after="0"/>
            </w:pPr>
            <w:r/>
            <w:r>
              <w:rPr>
                <w:rFonts w:ascii="Calibri" w:hAnsi="Calibri"/>
                <w:b w:val="0"/>
                <w:i w:val="0"/>
                <w:color w:val="101828"/>
                <w:sz w:val="16"/>
              </w:rPr>
              <w:t>&lt; 60s (card/wallet), same day (transfer)</w:t>
            </w:r>
          </w:p>
        </w:tc>
        <w:tc>
          <w:tcPr>
            <w:tcW w:type="dxa" w:w="3312"/>
            <w:tcMar>
              <w:top w:w="60" w:type="dxa"/>
              <w:start w:w="110" w:type="dxa"/>
              <w:bottom w:w="60" w:type="dxa"/>
              <w:end w:w="110" w:type="dxa"/>
            </w:tcMar>
          </w:tcPr>
          <w:p>
            <w:pPr>
              <w:spacing w:after="0"/>
            </w:pPr>
            <w:r/>
            <w:r>
              <w:rPr>
                <w:rFonts w:ascii="Calibri" w:hAnsi="Calibri"/>
                <w:b w:val="0"/>
                <w:i w:val="0"/>
                <w:color w:val="101828"/>
                <w:sz w:val="16"/>
              </w:rPr>
              <w:t>Never longer than the member's trust</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Payout delivery</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&lt; 30 min</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Communicate before, not after</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API availability</w:t>
            </w:r>
          </w:p>
        </w:tc>
        <w:tc>
          <w:tcPr>
            <w:tcW w:type="dxa" w:w="3168"/>
            <w:tcMar>
              <w:top w:w="60" w:type="dxa"/>
              <w:start w:w="110" w:type="dxa"/>
              <w:bottom w:w="60" w:type="dxa"/>
              <w:end w:w="110" w:type="dxa"/>
            </w:tcMar>
          </w:tcPr>
          <w:p>
            <w:pPr>
              <w:spacing w:after="0"/>
            </w:pPr>
            <w:r/>
            <w:r>
              <w:rPr>
                <w:rFonts w:ascii="Calibri" w:hAnsi="Calibri"/>
                <w:b w:val="0"/>
                <w:i w:val="0"/>
                <w:color w:val="101828"/>
                <w:sz w:val="16"/>
              </w:rPr>
              <w:t>99.9%</w:t>
            </w:r>
          </w:p>
        </w:tc>
        <w:tc>
          <w:tcPr>
            <w:tcW w:type="dxa" w:w="3312"/>
            <w:tcMar>
              <w:top w:w="60" w:type="dxa"/>
              <w:start w:w="110" w:type="dxa"/>
              <w:bottom w:w="60" w:type="dxa"/>
              <w:end w:w="110" w:type="dxa"/>
            </w:tcMar>
          </w:tcPr>
          <w:p>
            <w:pPr>
              <w:spacing w:after="0"/>
            </w:pPr>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Ledger correctness</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100%</w:t>
            </w:r>
          </w:p>
        </w:tc>
        <w:tc>
          <w:tcPr>
            <w:tcW w:type="dxa" w:w="3312"/>
            <w:tcMar>
              <w:top w:w="60" w:type="dxa"/>
              <w:start w:w="110" w:type="dxa"/>
              <w:bottom w:w="60" w:type="dxa"/>
              <w:end w:w="110" w:type="dxa"/>
            </w:tcMar>
            <w:shd w:val="clear" w:color="auto" w:fill="F4F7FB"/>
          </w:tcPr>
          <w:p>
            <w:pPr>
              <w:spacing w:after="0"/>
            </w:pPr>
            <w:r/>
            <w:r>
              <w:rPr>
                <w:rFonts w:ascii="Calibri" w:hAnsi="Calibri"/>
                <w:b/>
                <w:color w:val="101828"/>
                <w:sz w:val="16"/>
              </w:rPr>
              <w:t>No compromise. There is no acceptable version of this</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Reconciliation accuracy</w:t>
            </w:r>
          </w:p>
        </w:tc>
        <w:tc>
          <w:tcPr>
            <w:tcW w:type="dxa" w:w="3168"/>
            <w:tcMar>
              <w:top w:w="60" w:type="dxa"/>
              <w:start w:w="110" w:type="dxa"/>
              <w:bottom w:w="60" w:type="dxa"/>
              <w:end w:w="110" w:type="dxa"/>
            </w:tcMar>
          </w:tcPr>
          <w:p>
            <w:pPr>
              <w:spacing w:after="0"/>
            </w:pPr>
            <w:r/>
            <w:r>
              <w:rPr>
                <w:rFonts w:ascii="Calibri" w:hAnsi="Calibri"/>
                <w:b w:val="0"/>
                <w:i w:val="0"/>
                <w:color w:val="101828"/>
                <w:sz w:val="16"/>
              </w:rPr>
              <w:t>100%</w:t>
            </w:r>
          </w:p>
        </w:tc>
        <w:tc>
          <w:tcPr>
            <w:tcW w:type="dxa" w:w="3312"/>
            <w:tcMar>
              <w:top w:w="60" w:type="dxa"/>
              <w:start w:w="110" w:type="dxa"/>
              <w:bottom w:w="60" w:type="dxa"/>
              <w:end w:w="110" w:type="dxa"/>
            </w:tcMar>
          </w:tcPr>
          <w:p>
            <w:pPr>
              <w:spacing w:after="0"/>
            </w:pPr>
            <w:r/>
            <w:r>
              <w:rPr>
                <w:rFonts w:ascii="Calibri" w:hAnsi="Calibri"/>
                <w:b/>
                <w:color w:val="101828"/>
                <w:sz w:val="16"/>
              </w:rPr>
              <w:t>No compromise</w:t>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Mobile cold start</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&lt; 2.5s</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Tested on a low-end device</w:t>
            </w:r>
          </w:p>
        </w:tc>
      </w:tr>
      <w:tr>
        <w:trPr>
          <w:cantSplit/>
        </w:trPr>
        <w:tc>
          <w:tcPr>
            <w:tcW w:type="dxa" w:w="2880"/>
            <w:tcMar>
              <w:top w:w="60" w:type="dxa"/>
              <w:start w:w="110" w:type="dxa"/>
              <w:bottom w:w="60" w:type="dxa"/>
              <w:end w:w="110" w:type="dxa"/>
            </w:tcMar>
          </w:tcPr>
          <w:p>
            <w:pPr>
              <w:spacing w:after="0"/>
            </w:pPr>
            <w:r/>
            <w:r>
              <w:rPr>
                <w:rFonts w:ascii="Calibri" w:hAnsi="Calibri"/>
                <w:b w:val="0"/>
                <w:i w:val="0"/>
                <w:color w:val="101828"/>
                <w:sz w:val="16"/>
              </w:rPr>
              <w:t>Crash-free sessions</w:t>
            </w:r>
          </w:p>
        </w:tc>
        <w:tc>
          <w:tcPr>
            <w:tcW w:type="dxa" w:w="3168"/>
            <w:tcMar>
              <w:top w:w="60" w:type="dxa"/>
              <w:start w:w="110" w:type="dxa"/>
              <w:bottom w:w="60" w:type="dxa"/>
              <w:end w:w="110" w:type="dxa"/>
            </w:tcMar>
          </w:tcPr>
          <w:p>
            <w:pPr>
              <w:spacing w:after="0"/>
            </w:pPr>
            <w:r/>
            <w:r>
              <w:rPr>
                <w:rFonts w:ascii="Calibri" w:hAnsi="Calibri"/>
                <w:b w:val="0"/>
                <w:i w:val="0"/>
                <w:color w:val="101828"/>
                <w:sz w:val="16"/>
              </w:rPr>
              <w:t>&gt; 99.5%</w:t>
            </w:r>
          </w:p>
        </w:tc>
        <w:tc>
          <w:tcPr>
            <w:tcW w:type="dxa" w:w="3312"/>
            <w:tcMar>
              <w:top w:w="60" w:type="dxa"/>
              <w:start w:w="110" w:type="dxa"/>
              <w:bottom w:w="60" w:type="dxa"/>
              <w:end w:w="110" w:type="dxa"/>
            </w:tcMar>
          </w:tcPr>
          <w:p>
            <w:pPr>
              <w:spacing w:after="0"/>
            </w:pPr>
            <w:r/>
          </w:p>
        </w:tc>
      </w:tr>
      <w:tr>
        <w:trPr>
          <w:cantSplit/>
        </w:trPr>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6"/>
              </w:rPr>
              <w:t>Member retention (repeat Ajo)</w:t>
            </w:r>
          </w:p>
        </w:tc>
        <w:tc>
          <w:tcPr>
            <w:tcW w:type="dxa" w:w="3168"/>
            <w:tcMar>
              <w:top w:w="60" w:type="dxa"/>
              <w:start w:w="110" w:type="dxa"/>
              <w:bottom w:w="60" w:type="dxa"/>
              <w:end w:w="110" w:type="dxa"/>
            </w:tcMar>
            <w:shd w:val="clear" w:color="auto" w:fill="F4F7FB"/>
          </w:tcPr>
          <w:p>
            <w:pPr>
              <w:spacing w:after="0"/>
            </w:pPr>
            <w:r/>
            <w:r>
              <w:rPr>
                <w:rFonts w:ascii="Calibri" w:hAnsi="Calibri"/>
                <w:b w:val="0"/>
                <w:i w:val="0"/>
                <w:color w:val="101828"/>
                <w:sz w:val="16"/>
              </w:rPr>
              <w:t>&gt; 50%</w:t>
            </w:r>
          </w:p>
        </w:tc>
        <w:tc>
          <w:tcPr>
            <w:tcW w:type="dxa" w:w="3312"/>
            <w:tcMar>
              <w:top w:w="60" w:type="dxa"/>
              <w:start w:w="110" w:type="dxa"/>
              <w:bottom w:w="60" w:type="dxa"/>
              <w:end w:w="110" w:type="dxa"/>
            </w:tcMar>
            <w:shd w:val="clear" w:color="auto" w:fill="F4F7FB"/>
          </w:tcPr>
          <w:p>
            <w:pPr>
              <w:spacing w:after="0"/>
            </w:pPr>
            <w:r/>
            <w:r>
              <w:rPr>
                <w:rFonts w:ascii="Calibri" w:hAnsi="Calibri"/>
                <w:b w:val="0"/>
                <w:i w:val="0"/>
                <w:color w:val="101828"/>
                <w:sz w:val="16"/>
              </w:rPr>
              <w:t>The metric that compounds</w:t>
            </w:r>
          </w:p>
        </w:tc>
      </w:tr>
    </w:tbl>
    <w:p>
      <w:pPr>
        <w:spacing w:after="80"/>
      </w:pPr>
    </w:p>
    <w:p>
      <w:pPr>
        <w:spacing w:before="140" w:after="180"/>
        <w:ind w:left="144"/>
        <w:shd w:val="clear" w:color="auto" w:fill="EFF6FF"/>
        <w:pBdr>
          <w:left w:val="single" w:sz="18" w:space="6" w:color="146EF5"/>
        </w:pBdr>
      </w:pPr>
      <w:r>
        <w:rPr>
          <w:rFonts w:ascii="Calibri" w:hAnsi="Calibri"/>
          <w:b/>
          <w:color w:val="146EF5"/>
          <w:sz w:val="19"/>
        </w:rPr>
        <w:t xml:space="preserve">The two lines with no acceptable compromise.  </w:t>
      </w:r>
      <w:r>
        <w:rPr>
          <w:rFonts w:ascii="Calibri" w:hAnsi="Calibri"/>
          <w:b w:val="0"/>
          <w:i w:val="0"/>
          <w:color w:val="0B1F3A"/>
          <w:sz w:val="19"/>
        </w:rPr>
        <w:t>Ledger correctness and reconciliation accuracy are the only two entries in this document with an empty hard-limit column, and that is the correct answer. Every other number can be traded against something else. These two cannot — they are the reason members can safely leave their savings with the platform, and a 99.9%-correct ledger is not a thing that can be sold to anybody.</w:t>
      </w:r>
    </w:p>
    <w:p>
      <w:r>
        <w:br w:type="page"/>
      </w:r>
    </w:p>
    <w:p>
      <w:pPr>
        <w:pStyle w:val="Heading1"/>
        <w:pBdr>
          <w:bottom w:val="single" w:sz="12" w:space="6" w:color="146EF5"/>
        </w:pBdr>
        <w:spacing w:after="240"/>
      </w:pPr>
      <w:r>
        <w:rPr>
          <w:rFonts w:ascii="Calibri" w:hAnsi="Calibri"/>
          <w:b/>
          <w:i w:val="0"/>
          <w:color w:val="0B1F3A"/>
          <w:sz w:val="40"/>
        </w:rPr>
        <w:t>26. Appendices</w:t>
      </w:r>
    </w:p>
    <w:p>
      <w:pPr>
        <w:pStyle w:val="Heading2"/>
      </w:pPr>
      <w:r>
        <w:rPr>
          <w:rFonts w:ascii="Calibri" w:hAnsi="Calibri"/>
          <w:b/>
          <w:i w:val="0"/>
          <w:color w:val="146EF5"/>
          <w:sz w:val="29"/>
        </w:rPr>
        <w:t>Appendix A — Requirements traceability summary</w:t>
      </w:r>
    </w:p>
    <w:p>
      <w:r>
        <w:rPr>
          <w:rFonts w:ascii="Calibri" w:hAnsi="Calibri"/>
          <w:b w:val="0"/>
          <w:i w:val="0"/>
          <w:color w:val="101828"/>
          <w:sz w:val="21"/>
        </w:rPr>
        <w:t>The authoritative list of 148 functional requirements and 31 business rules is in section 1. This appendix maps the requirements that carry the greatest financial, legal, or trust consequence to where they are specified and verified, so a reviewer can confirm coverage without reading the whole document.</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152"/>
            <w:shd w:val="clear" w:color="auto" w:fill="0B1F3A"/>
            <w:tcMar>
              <w:top w:w="60" w:type="dxa"/>
              <w:start w:w="110" w:type="dxa"/>
              <w:bottom w:w="60" w:type="dxa"/>
              <w:end w:w="110" w:type="dxa"/>
            </w:tcMar>
          </w:tcPr>
          <w:p>
            <w:pPr>
              <w:spacing w:after="0"/>
            </w:pPr>
            <w:r/>
            <w:r>
              <w:rPr>
                <w:rFonts w:ascii="Calibri" w:hAnsi="Calibri"/>
                <w:b/>
                <w:i w:val="0"/>
                <w:color w:val="FFFFFF"/>
                <w:sz w:val="16"/>
              </w:rPr>
              <w:t>Req</w:t>
            </w:r>
          </w:p>
        </w:tc>
        <w:tc>
          <w:tcPr>
            <w:tcW w:type="dxa" w:w="3744"/>
            <w:shd w:val="clear" w:color="auto" w:fill="0B1F3A"/>
            <w:tcMar>
              <w:top w:w="60" w:type="dxa"/>
              <w:start w:w="110" w:type="dxa"/>
              <w:bottom w:w="60" w:type="dxa"/>
              <w:end w:w="110" w:type="dxa"/>
            </w:tcMar>
          </w:tcPr>
          <w:p>
            <w:pPr>
              <w:spacing w:after="0"/>
            </w:pPr>
            <w:r/>
            <w:r>
              <w:rPr>
                <w:rFonts w:ascii="Calibri" w:hAnsi="Calibri"/>
                <w:b/>
                <w:i w:val="0"/>
                <w:color w:val="FFFFFF"/>
                <w:sz w:val="16"/>
              </w:rPr>
              <w:t>Summary</w:t>
            </w:r>
          </w:p>
        </w:tc>
        <w:tc>
          <w:tcPr>
            <w:tcW w:type="dxa" w:w="2160"/>
            <w:shd w:val="clear" w:color="auto" w:fill="0B1F3A"/>
            <w:tcMar>
              <w:top w:w="60" w:type="dxa"/>
              <w:start w:w="110" w:type="dxa"/>
              <w:bottom w:w="60" w:type="dxa"/>
              <w:end w:w="110" w:type="dxa"/>
            </w:tcMar>
          </w:tcPr>
          <w:p>
            <w:pPr>
              <w:spacing w:after="0"/>
            </w:pPr>
            <w:r/>
            <w:r>
              <w:rPr>
                <w:rFonts w:ascii="Calibri" w:hAnsi="Calibri"/>
                <w:b/>
                <w:i w:val="0"/>
                <w:color w:val="FFFFFF"/>
                <w:sz w:val="16"/>
              </w:rPr>
              <w:t>Specified in</w:t>
            </w:r>
          </w:p>
        </w:tc>
        <w:tc>
          <w:tcPr>
            <w:tcW w:type="dxa" w:w="2304"/>
            <w:shd w:val="clear" w:color="auto" w:fill="0B1F3A"/>
            <w:tcMar>
              <w:top w:w="60" w:type="dxa"/>
              <w:start w:w="110" w:type="dxa"/>
              <w:bottom w:w="60" w:type="dxa"/>
              <w:end w:w="110" w:type="dxa"/>
            </w:tcMar>
          </w:tcPr>
          <w:p>
            <w:pPr>
              <w:spacing w:after="0"/>
            </w:pPr>
            <w:r/>
            <w:r>
              <w:rPr>
                <w:rFonts w:ascii="Calibri" w:hAnsi="Calibri"/>
                <w:b/>
                <w:i w:val="0"/>
                <w:color w:val="FFFFFF"/>
                <w:sz w:val="16"/>
              </w:rPr>
              <w:t>Verified by</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FR-001</w:t>
            </w:r>
          </w:p>
        </w:tc>
        <w:tc>
          <w:tcPr>
            <w:tcW w:type="dxa" w:w="3744"/>
            <w:tcMar>
              <w:top w:w="60" w:type="dxa"/>
              <w:start w:w="110" w:type="dxa"/>
              <w:bottom w:w="60" w:type="dxa"/>
              <w:end w:w="110" w:type="dxa"/>
            </w:tcMar>
          </w:tcPr>
          <w:p>
            <w:pPr>
              <w:spacing w:after="0"/>
            </w:pPr>
            <w:r/>
            <w:r>
              <w:rPr>
                <w:rFonts w:ascii="Calibri" w:hAnsi="Calibri"/>
                <w:b w:val="0"/>
                <w:i w:val="0"/>
                <w:color w:val="101828"/>
                <w:sz w:val="16"/>
              </w:rPr>
              <w:t>Member registers with verified identity</w:t>
            </w:r>
          </w:p>
        </w:tc>
        <w:tc>
          <w:tcPr>
            <w:tcW w:type="dxa" w:w="2160"/>
            <w:tcMar>
              <w:top w:w="60" w:type="dxa"/>
              <w:start w:w="110" w:type="dxa"/>
              <w:bottom w:w="60" w:type="dxa"/>
              <w:end w:w="110" w:type="dxa"/>
            </w:tcMar>
          </w:tcPr>
          <w:p>
            <w:pPr>
              <w:spacing w:after="0"/>
            </w:pPr>
            <w:r/>
            <w:r>
              <w:rPr>
                <w:rFonts w:ascii="Calibri" w:hAnsi="Calibri"/>
                <w:b w:val="0"/>
                <w:i w:val="0"/>
                <w:color w:val="101828"/>
                <w:sz w:val="16"/>
              </w:rPr>
              <w:t>§1, §2, §12, §24</w:t>
            </w:r>
          </w:p>
        </w:tc>
        <w:tc>
          <w:tcPr>
            <w:tcW w:type="dxa" w:w="2304"/>
            <w:tcMar>
              <w:top w:w="60" w:type="dxa"/>
              <w:start w:w="110" w:type="dxa"/>
              <w:bottom w:w="60" w:type="dxa"/>
              <w:end w:w="110" w:type="dxa"/>
            </w:tcMar>
          </w:tcPr>
          <w:p>
            <w:pPr>
              <w:spacing w:after="0"/>
            </w:pPr>
            <w:r/>
            <w:r>
              <w:rPr>
                <w:rFonts w:ascii="Calibri" w:hAnsi="Calibri"/>
                <w:b w:val="0"/>
                <w:i w:val="0"/>
                <w:color w:val="101828"/>
                <w:sz w:val="16"/>
              </w:rPr>
              <w:t>E2-01, E2-02, T-integration</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FR-021</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Contribution captured via webhook confirmation</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§1, §11, §13</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E3-04, E3-05, T-contract</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FR-038</w:t>
            </w:r>
          </w:p>
        </w:tc>
        <w:tc>
          <w:tcPr>
            <w:tcW w:type="dxa" w:w="3744"/>
            <w:tcMar>
              <w:top w:w="60" w:type="dxa"/>
              <w:start w:w="110" w:type="dxa"/>
              <w:bottom w:w="60" w:type="dxa"/>
              <w:end w:w="110" w:type="dxa"/>
            </w:tcMar>
          </w:tcPr>
          <w:p>
            <w:pPr>
              <w:spacing w:after="0"/>
            </w:pPr>
            <w:r/>
            <w:r>
              <w:rPr>
                <w:rFonts w:ascii="Calibri" w:hAnsi="Calibri"/>
                <w:b w:val="0"/>
                <w:i w:val="0"/>
                <w:color w:val="101828"/>
                <w:sz w:val="16"/>
              </w:rPr>
              <w:t>Ajo activation requires every position funded</w:t>
            </w:r>
          </w:p>
        </w:tc>
        <w:tc>
          <w:tcPr>
            <w:tcW w:type="dxa" w:w="2160"/>
            <w:tcMar>
              <w:top w:w="60" w:type="dxa"/>
              <w:start w:w="110" w:type="dxa"/>
              <w:bottom w:w="60" w:type="dxa"/>
              <w:end w:w="110" w:type="dxa"/>
            </w:tcMar>
          </w:tcPr>
          <w:p>
            <w:pPr>
              <w:spacing w:after="0"/>
            </w:pPr>
            <w:r/>
            <w:r>
              <w:rPr>
                <w:rFonts w:ascii="Calibri" w:hAnsi="Calibri"/>
                <w:b w:val="0"/>
                <w:i w:val="0"/>
                <w:color w:val="101828"/>
                <w:sz w:val="16"/>
              </w:rPr>
              <w:t>§1, §5, §10</w:t>
            </w:r>
          </w:p>
        </w:tc>
        <w:tc>
          <w:tcPr>
            <w:tcW w:type="dxa" w:w="2304"/>
            <w:tcMar>
              <w:top w:w="60" w:type="dxa"/>
              <w:start w:w="110" w:type="dxa"/>
              <w:bottom w:w="60" w:type="dxa"/>
              <w:end w:w="110" w:type="dxa"/>
            </w:tcMar>
          </w:tcPr>
          <w:p>
            <w:pPr>
              <w:spacing w:after="0"/>
            </w:pPr>
            <w:r/>
            <w:r>
              <w:rPr>
                <w:rFonts w:ascii="Calibri" w:hAnsi="Calibri"/>
                <w:b w:val="0"/>
                <w:i w:val="0"/>
                <w:color w:val="101828"/>
                <w:sz w:val="16"/>
              </w:rPr>
              <w:t>E5-06, T-state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FR-045</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Payout released only at the scheduled date</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§1, §13</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E4-01, T-e2e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FR-052</w:t>
            </w:r>
          </w:p>
        </w:tc>
        <w:tc>
          <w:tcPr>
            <w:tcW w:type="dxa" w:w="3744"/>
            <w:tcMar>
              <w:top w:w="60" w:type="dxa"/>
              <w:start w:w="110" w:type="dxa"/>
              <w:bottom w:w="60" w:type="dxa"/>
              <w:end w:w="110" w:type="dxa"/>
            </w:tcMar>
          </w:tcPr>
          <w:p>
            <w:pPr>
              <w:spacing w:after="0"/>
            </w:pPr>
            <w:r/>
            <w:r>
              <w:rPr>
                <w:rFonts w:ascii="Calibri" w:hAnsi="Calibri"/>
                <w:b w:val="0"/>
                <w:i w:val="0"/>
                <w:color w:val="101828"/>
                <w:sz w:val="16"/>
              </w:rPr>
              <w:t>Payout blocked during bank-change cooling-off</w:t>
            </w:r>
          </w:p>
        </w:tc>
        <w:tc>
          <w:tcPr>
            <w:tcW w:type="dxa" w:w="2160"/>
            <w:tcMar>
              <w:top w:w="60" w:type="dxa"/>
              <w:start w:w="110" w:type="dxa"/>
              <w:bottom w:w="60" w:type="dxa"/>
              <w:end w:w="110" w:type="dxa"/>
            </w:tcMar>
          </w:tcPr>
          <w:p>
            <w:pPr>
              <w:spacing w:after="0"/>
            </w:pPr>
            <w:r/>
            <w:r>
              <w:rPr>
                <w:rFonts w:ascii="Calibri" w:hAnsi="Calibri"/>
                <w:b w:val="0"/>
                <w:i w:val="0"/>
                <w:color w:val="101828"/>
                <w:sz w:val="16"/>
              </w:rPr>
              <w:t>§1, §12, §13, §15</w:t>
            </w:r>
          </w:p>
        </w:tc>
        <w:tc>
          <w:tcPr>
            <w:tcW w:type="dxa" w:w="2304"/>
            <w:tcMar>
              <w:top w:w="60" w:type="dxa"/>
              <w:start w:w="110" w:type="dxa"/>
              <w:bottom w:w="60" w:type="dxa"/>
              <w:end w:w="110" w:type="dxa"/>
            </w:tcMar>
          </w:tcPr>
          <w:p>
            <w:pPr>
              <w:spacing w:after="0"/>
            </w:pPr>
            <w:r/>
            <w:r>
              <w:rPr>
                <w:rFonts w:ascii="Calibri" w:hAnsi="Calibri"/>
                <w:b w:val="0"/>
                <w:i w:val="0"/>
                <w:color w:val="101828"/>
                <w:sz w:val="16"/>
              </w:rPr>
              <w:t>E10-01, T-integration</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FR-060</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A frozen member can still be paid</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§1, §12, §15</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E4-01, T-unit</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FR-071</w:t>
            </w:r>
          </w:p>
        </w:tc>
        <w:tc>
          <w:tcPr>
            <w:tcW w:type="dxa" w:w="3744"/>
            <w:tcMar>
              <w:top w:w="60" w:type="dxa"/>
              <w:start w:w="110" w:type="dxa"/>
              <w:bottom w:w="60" w:type="dxa"/>
              <w:end w:w="110" w:type="dxa"/>
            </w:tcMar>
          </w:tcPr>
          <w:p>
            <w:pPr>
              <w:spacing w:after="0"/>
            </w:pPr>
            <w:r/>
            <w:r>
              <w:rPr>
                <w:rFonts w:ascii="Calibri" w:hAnsi="Calibri"/>
                <w:b w:val="0"/>
                <w:i w:val="0"/>
                <w:color w:val="101828"/>
                <w:sz w:val="16"/>
              </w:rPr>
              <w:t>Ledger entries immutable; reversal only</w:t>
            </w:r>
          </w:p>
        </w:tc>
        <w:tc>
          <w:tcPr>
            <w:tcW w:type="dxa" w:w="2160"/>
            <w:tcMar>
              <w:top w:w="60" w:type="dxa"/>
              <w:start w:w="110" w:type="dxa"/>
              <w:bottom w:w="60" w:type="dxa"/>
              <w:end w:w="110" w:type="dxa"/>
            </w:tcMar>
          </w:tcPr>
          <w:p>
            <w:pPr>
              <w:spacing w:after="0"/>
            </w:pPr>
            <w:r/>
            <w:r>
              <w:rPr>
                <w:rFonts w:ascii="Calibri" w:hAnsi="Calibri"/>
                <w:b w:val="0"/>
                <w:i w:val="0"/>
                <w:color w:val="101828"/>
                <w:sz w:val="16"/>
              </w:rPr>
              <w:t>§1, §6, §13</w:t>
            </w:r>
          </w:p>
        </w:tc>
        <w:tc>
          <w:tcPr>
            <w:tcW w:type="dxa" w:w="2304"/>
            <w:tcMar>
              <w:top w:w="60" w:type="dxa"/>
              <w:start w:w="110" w:type="dxa"/>
              <w:bottom w:w="60" w:type="dxa"/>
              <w:end w:w="110" w:type="dxa"/>
            </w:tcMar>
          </w:tcPr>
          <w:p>
            <w:pPr>
              <w:spacing w:after="0"/>
            </w:pPr>
            <w:r/>
            <w:r>
              <w:rPr>
                <w:rFonts w:ascii="Calibri" w:hAnsi="Calibri"/>
                <w:b w:val="0"/>
                <w:i w:val="0"/>
                <w:color w:val="101828"/>
                <w:sz w:val="16"/>
              </w:rPr>
              <w:t>E1-04, T-unit</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FR-078</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Reconciliation break halts new payouts</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§1, §13, §20</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E3-09, T-recon</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FR-090</w:t>
            </w:r>
          </w:p>
        </w:tc>
        <w:tc>
          <w:tcPr>
            <w:tcW w:type="dxa" w:w="3744"/>
            <w:tcMar>
              <w:top w:w="60" w:type="dxa"/>
              <w:start w:w="110" w:type="dxa"/>
              <w:bottom w:w="60" w:type="dxa"/>
              <w:end w:w="110" w:type="dxa"/>
            </w:tcMar>
          </w:tcPr>
          <w:p>
            <w:pPr>
              <w:spacing w:after="0"/>
            </w:pPr>
            <w:r/>
            <w:r>
              <w:rPr>
                <w:rFonts w:ascii="Calibri" w:hAnsi="Calibri"/>
                <w:b w:val="0"/>
                <w:i w:val="0"/>
                <w:color w:val="101828"/>
                <w:sz w:val="16"/>
              </w:rPr>
              <w:t>Default recorded after the grace period</w:t>
            </w:r>
          </w:p>
        </w:tc>
        <w:tc>
          <w:tcPr>
            <w:tcW w:type="dxa" w:w="2160"/>
            <w:tcMar>
              <w:top w:w="60" w:type="dxa"/>
              <w:start w:w="110" w:type="dxa"/>
              <w:bottom w:w="60" w:type="dxa"/>
              <w:end w:w="110" w:type="dxa"/>
            </w:tcMar>
          </w:tcPr>
          <w:p>
            <w:pPr>
              <w:spacing w:after="0"/>
            </w:pPr>
            <w:r/>
            <w:r>
              <w:rPr>
                <w:rFonts w:ascii="Calibri" w:hAnsi="Calibri"/>
                <w:b w:val="0"/>
                <w:i w:val="0"/>
                <w:color w:val="101828"/>
                <w:sz w:val="16"/>
              </w:rPr>
              <w:t>§1, §6, §23</w:t>
            </w:r>
          </w:p>
        </w:tc>
        <w:tc>
          <w:tcPr>
            <w:tcW w:type="dxa" w:w="2304"/>
            <w:tcMar>
              <w:top w:w="60" w:type="dxa"/>
              <w:start w:w="110" w:type="dxa"/>
              <w:bottom w:w="60" w:type="dxa"/>
              <w:end w:w="110" w:type="dxa"/>
            </w:tcMar>
          </w:tcPr>
          <w:p>
            <w:pPr>
              <w:spacing w:after="0"/>
            </w:pPr>
            <w:r/>
            <w:r>
              <w:rPr>
                <w:rFonts w:ascii="Calibri" w:hAnsi="Calibri"/>
                <w:b w:val="0"/>
                <w:i w:val="0"/>
                <w:color w:val="101828"/>
                <w:sz w:val="16"/>
              </w:rPr>
              <w:t>E6-05, E6-06, T-e2e</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FR-104</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Fee of 2% shown separately before payment</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§1, §13, §16, §17</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E3-06, T-e2e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BR-018</w:t>
            </w:r>
          </w:p>
        </w:tc>
        <w:tc>
          <w:tcPr>
            <w:tcW w:type="dxa" w:w="3744"/>
            <w:tcMar>
              <w:top w:w="60" w:type="dxa"/>
              <w:start w:w="110" w:type="dxa"/>
              <w:bottom w:w="60" w:type="dxa"/>
              <w:end w:w="110" w:type="dxa"/>
            </w:tcMar>
          </w:tcPr>
          <w:p>
            <w:pPr>
              <w:spacing w:after="0"/>
            </w:pPr>
            <w:r/>
            <w:r>
              <w:rPr>
                <w:rFonts w:ascii="Calibri" w:hAnsi="Calibri"/>
                <w:b w:val="0"/>
                <w:i w:val="0"/>
                <w:color w:val="101828"/>
                <w:sz w:val="16"/>
              </w:rPr>
              <w:t>Other members are never charged extra for a default</w:t>
            </w:r>
          </w:p>
        </w:tc>
        <w:tc>
          <w:tcPr>
            <w:tcW w:type="dxa" w:w="2160"/>
            <w:tcMar>
              <w:top w:w="60" w:type="dxa"/>
              <w:start w:w="110" w:type="dxa"/>
              <w:bottom w:w="60" w:type="dxa"/>
              <w:end w:w="110" w:type="dxa"/>
            </w:tcMar>
          </w:tcPr>
          <w:p>
            <w:pPr>
              <w:spacing w:after="0"/>
            </w:pPr>
            <w:r/>
            <w:r>
              <w:rPr>
                <w:rFonts w:ascii="Calibri" w:hAnsi="Calibri"/>
                <w:b w:val="0"/>
                <w:i w:val="0"/>
                <w:color w:val="101828"/>
                <w:sz w:val="16"/>
              </w:rPr>
              <w:t>§1, §23</w:t>
            </w:r>
          </w:p>
        </w:tc>
        <w:tc>
          <w:tcPr>
            <w:tcW w:type="dxa" w:w="2304"/>
            <w:tcMar>
              <w:top w:w="60" w:type="dxa"/>
              <w:start w:w="110" w:type="dxa"/>
              <w:bottom w:w="60" w:type="dxa"/>
              <w:end w:w="110" w:type="dxa"/>
            </w:tcMar>
          </w:tcPr>
          <w:p>
            <w:pPr>
              <w:spacing w:after="0"/>
            </w:pPr>
            <w:r/>
            <w:r>
              <w:rPr>
                <w:rFonts w:ascii="Calibri" w:hAnsi="Calibri"/>
                <w:b w:val="0"/>
                <w:i w:val="0"/>
                <w:color w:val="101828"/>
                <w:sz w:val="16"/>
              </w:rPr>
              <w:t>E6-10 (absence test)</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BR-019</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No public exposure of a defaulting member</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§1, §5, §24</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E8-06, E10-07</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BR-021</w:t>
            </w:r>
          </w:p>
        </w:tc>
        <w:tc>
          <w:tcPr>
            <w:tcW w:type="dxa" w:w="3744"/>
            <w:tcMar>
              <w:top w:w="60" w:type="dxa"/>
              <w:start w:w="110" w:type="dxa"/>
              <w:bottom w:w="60" w:type="dxa"/>
              <w:end w:w="110" w:type="dxa"/>
            </w:tcMar>
          </w:tcPr>
          <w:p>
            <w:pPr>
              <w:spacing w:after="0"/>
            </w:pPr>
            <w:r/>
            <w:r>
              <w:rPr>
                <w:rFonts w:ascii="Calibri" w:hAnsi="Calibri"/>
                <w:b w:val="0"/>
                <w:i w:val="0"/>
                <w:color w:val="101828"/>
                <w:sz w:val="16"/>
              </w:rPr>
              <w:t>A contribution counts only on capture</w:t>
            </w:r>
          </w:p>
        </w:tc>
        <w:tc>
          <w:tcPr>
            <w:tcW w:type="dxa" w:w="2160"/>
            <w:tcMar>
              <w:top w:w="60" w:type="dxa"/>
              <w:start w:w="110" w:type="dxa"/>
              <w:bottom w:w="60" w:type="dxa"/>
              <w:end w:w="110" w:type="dxa"/>
            </w:tcMar>
          </w:tcPr>
          <w:p>
            <w:pPr>
              <w:spacing w:after="0"/>
            </w:pPr>
            <w:r/>
            <w:r>
              <w:rPr>
                <w:rFonts w:ascii="Calibri" w:hAnsi="Calibri"/>
                <w:b w:val="0"/>
                <w:i w:val="0"/>
                <w:color w:val="101828"/>
                <w:sz w:val="16"/>
              </w:rPr>
              <w:t>§1, §13, §21</w:t>
            </w:r>
          </w:p>
        </w:tc>
        <w:tc>
          <w:tcPr>
            <w:tcW w:type="dxa" w:w="2304"/>
            <w:tcMar>
              <w:top w:w="60" w:type="dxa"/>
              <w:start w:w="110" w:type="dxa"/>
              <w:bottom w:w="60" w:type="dxa"/>
              <w:end w:w="110" w:type="dxa"/>
            </w:tcMar>
          </w:tcPr>
          <w:p>
            <w:pPr>
              <w:spacing w:after="0"/>
            </w:pPr>
            <w:r/>
            <w:r>
              <w:rPr>
                <w:rFonts w:ascii="Calibri" w:hAnsi="Calibri"/>
                <w:b w:val="0"/>
                <w:i w:val="0"/>
                <w:color w:val="101828"/>
                <w:sz w:val="16"/>
              </w:rPr>
              <w:t>E3-05, T-unit</w:t>
            </w:r>
          </w:p>
        </w:tc>
      </w:tr>
      <w:tr>
        <w:trPr>
          <w:cantSplit/>
        </w:trPr>
        <w:tc>
          <w:tcPr>
            <w:tcW w:type="dxa" w:w="1152"/>
            <w:tcMar>
              <w:top w:w="60" w:type="dxa"/>
              <w:start w:w="110" w:type="dxa"/>
              <w:bottom w:w="60" w:type="dxa"/>
              <w:end w:w="110" w:type="dxa"/>
            </w:tcMar>
            <w:shd w:val="clear" w:color="auto" w:fill="F4F7FB"/>
          </w:tcPr>
          <w:p>
            <w:pPr>
              <w:spacing w:after="0"/>
            </w:pPr>
            <w:r/>
            <w:r>
              <w:rPr>
                <w:rFonts w:ascii="Calibri" w:hAnsi="Calibri"/>
                <w:b w:val="0"/>
                <w:i w:val="0"/>
                <w:color w:val="101828"/>
                <w:sz w:val="16"/>
              </w:rPr>
              <w:t>BR-025</w:t>
            </w:r>
          </w:p>
        </w:tc>
        <w:tc>
          <w:tcPr>
            <w:tcW w:type="dxa" w:w="3744"/>
            <w:tcMar>
              <w:top w:w="60" w:type="dxa"/>
              <w:start w:w="110" w:type="dxa"/>
              <w:bottom w:w="60" w:type="dxa"/>
              <w:end w:w="110" w:type="dxa"/>
            </w:tcMar>
            <w:shd w:val="clear" w:color="auto" w:fill="F4F7FB"/>
          </w:tcPr>
          <w:p>
            <w:pPr>
              <w:spacing w:after="0"/>
            </w:pPr>
            <w:r/>
            <w:r>
              <w:rPr>
                <w:rFonts w:ascii="Calibri" w:hAnsi="Calibri"/>
                <w:b w:val="0"/>
                <w:i w:val="0"/>
                <w:color w:val="101828"/>
                <w:sz w:val="16"/>
              </w:rPr>
              <w:t>No unilateral post-activation exit</w:t>
            </w:r>
          </w:p>
        </w:tc>
        <w:tc>
          <w:tcPr>
            <w:tcW w:type="dxa" w:w="2160"/>
            <w:tcMar>
              <w:top w:w="60" w:type="dxa"/>
              <w:start w:w="110" w:type="dxa"/>
              <w:bottom w:w="60" w:type="dxa"/>
              <w:end w:w="110" w:type="dxa"/>
            </w:tcMar>
            <w:shd w:val="clear" w:color="auto" w:fill="F4F7FB"/>
          </w:tcPr>
          <w:p>
            <w:pPr>
              <w:spacing w:after="0"/>
            </w:pPr>
            <w:r/>
            <w:r>
              <w:rPr>
                <w:rFonts w:ascii="Calibri" w:hAnsi="Calibri"/>
                <w:b w:val="0"/>
                <w:i w:val="0"/>
                <w:color w:val="101828"/>
                <w:sz w:val="16"/>
              </w:rPr>
              <w:t>§1, §5, §22</w:t>
            </w:r>
          </w:p>
        </w:tc>
        <w:tc>
          <w:tcPr>
            <w:tcW w:type="dxa" w:w="2304"/>
            <w:tcMar>
              <w:top w:w="60" w:type="dxa"/>
              <w:start w:w="110" w:type="dxa"/>
              <w:bottom w:w="60" w:type="dxa"/>
              <w:end w:w="110" w:type="dxa"/>
            </w:tcMar>
            <w:shd w:val="clear" w:color="auto" w:fill="F4F7FB"/>
          </w:tcPr>
          <w:p>
            <w:pPr>
              <w:spacing w:after="0"/>
            </w:pPr>
            <w:r/>
            <w:r>
              <w:rPr>
                <w:rFonts w:ascii="Calibri" w:hAnsi="Calibri"/>
                <w:b w:val="0"/>
                <w:i w:val="0"/>
                <w:color w:val="101828"/>
                <w:sz w:val="16"/>
              </w:rPr>
              <w:t>E5-04, T-state</w:t>
            </w:r>
          </w:p>
        </w:tc>
      </w:tr>
      <w:tr>
        <w:trPr>
          <w:cantSplit/>
        </w:trPr>
        <w:tc>
          <w:tcPr>
            <w:tcW w:type="dxa" w:w="1152"/>
            <w:tcMar>
              <w:top w:w="60" w:type="dxa"/>
              <w:start w:w="110" w:type="dxa"/>
              <w:bottom w:w="60" w:type="dxa"/>
              <w:end w:w="110" w:type="dxa"/>
            </w:tcMar>
          </w:tcPr>
          <w:p>
            <w:pPr>
              <w:spacing w:after="0"/>
            </w:pPr>
            <w:r/>
            <w:r>
              <w:rPr>
                <w:rFonts w:ascii="Calibri" w:hAnsi="Calibri"/>
                <w:b w:val="0"/>
                <w:i w:val="0"/>
                <w:color w:val="101828"/>
                <w:sz w:val="16"/>
              </w:rPr>
              <w:t>BR-031</w:t>
            </w:r>
          </w:p>
        </w:tc>
        <w:tc>
          <w:tcPr>
            <w:tcW w:type="dxa" w:w="3744"/>
            <w:tcMar>
              <w:top w:w="60" w:type="dxa"/>
              <w:start w:w="110" w:type="dxa"/>
              <w:bottom w:w="60" w:type="dxa"/>
              <w:end w:w="110" w:type="dxa"/>
            </w:tcMar>
          </w:tcPr>
          <w:p>
            <w:pPr>
              <w:spacing w:after="0"/>
            </w:pPr>
            <w:r/>
            <w:r>
              <w:rPr>
                <w:rFonts w:ascii="Calibri" w:hAnsi="Calibri"/>
                <w:b w:val="0"/>
                <w:i w:val="0"/>
                <w:color w:val="101828"/>
                <w:sz w:val="16"/>
              </w:rPr>
              <w:t>No ledger edit permission for any role</w:t>
            </w:r>
          </w:p>
        </w:tc>
        <w:tc>
          <w:tcPr>
            <w:tcW w:type="dxa" w:w="2160"/>
            <w:tcMar>
              <w:top w:w="60" w:type="dxa"/>
              <w:start w:w="110" w:type="dxa"/>
              <w:bottom w:w="60" w:type="dxa"/>
              <w:end w:w="110" w:type="dxa"/>
            </w:tcMar>
          </w:tcPr>
          <w:p>
            <w:pPr>
              <w:spacing w:after="0"/>
            </w:pPr>
            <w:r/>
            <w:r>
              <w:rPr>
                <w:rFonts w:ascii="Calibri" w:hAnsi="Calibri"/>
                <w:b w:val="0"/>
                <w:i w:val="0"/>
                <w:color w:val="101828"/>
                <w:sz w:val="16"/>
              </w:rPr>
              <w:t>§1, §12, §13</w:t>
            </w:r>
          </w:p>
        </w:tc>
        <w:tc>
          <w:tcPr>
            <w:tcW w:type="dxa" w:w="2304"/>
            <w:tcMar>
              <w:top w:w="60" w:type="dxa"/>
              <w:start w:w="110" w:type="dxa"/>
              <w:bottom w:w="60" w:type="dxa"/>
              <w:end w:w="110" w:type="dxa"/>
            </w:tcMar>
          </w:tcPr>
          <w:p>
            <w:pPr>
              <w:spacing w:after="0"/>
            </w:pPr>
            <w:r/>
            <w:r>
              <w:rPr>
                <w:rFonts w:ascii="Calibri" w:hAnsi="Calibri"/>
                <w:b w:val="0"/>
                <w:i w:val="0"/>
                <w:color w:val="101828"/>
                <w:sz w:val="16"/>
              </w:rPr>
              <w:t>E9-05, T-authz</w:t>
            </w:r>
          </w:p>
        </w:tc>
      </w:tr>
    </w:tbl>
    <w:p>
      <w:pPr>
        <w:spacing w:after="80"/>
      </w:pPr>
    </w:p>
    <w:p>
      <w:r>
        <w:rPr>
          <w:rFonts w:ascii="Calibri" w:hAnsi="Calibri"/>
          <w:b w:val="0"/>
          <w:i w:val="0"/>
          <w:color w:val="101828"/>
          <w:sz w:val="21"/>
        </w:rPr>
        <w:t>Verification references use the backlog identifiers from section 23 and the test categories from section 18: T-unit, T-integration, T-contract, T-e2e, T-state, T-authz, T-recon.</w:t>
      </w:r>
    </w:p>
    <w:p>
      <w:pPr>
        <w:pStyle w:val="Heading2"/>
      </w:pPr>
      <w:r>
        <w:rPr>
          <w:rFonts w:ascii="Calibri" w:hAnsi="Calibri"/>
          <w:b/>
          <w:i w:val="0"/>
          <w:color w:val="146EF5"/>
          <w:sz w:val="29"/>
        </w:rPr>
        <w:t>Appendix B — Error code catalogue</w:t>
      </w:r>
    </w:p>
    <w:p>
      <w:r>
        <w:rPr>
          <w:rFonts w:ascii="Calibri" w:hAnsi="Calibri"/>
          <w:b w:val="0"/>
          <w:i w:val="0"/>
          <w:color w:val="101828"/>
          <w:sz w:val="21"/>
        </w:rPr>
        <w:t>Errors are returned with a stable machine-readable code, a human-readable message suitable for display, and a request ID. Messages are written for members, not for engineers, and a code never changes meaning once released.</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rPr>
          <w:tblHeader/>
          <w:cantSplit/>
        </w:trPr>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5"/>
              </w:rPr>
              <w:t>Code</w:t>
            </w:r>
          </w:p>
        </w:tc>
        <w:tc>
          <w:tcPr>
            <w:tcW w:type="dxa" w:w="1008"/>
            <w:shd w:val="clear" w:color="auto" w:fill="0B1F3A"/>
            <w:tcMar>
              <w:top w:w="60" w:type="dxa"/>
              <w:start w:w="110" w:type="dxa"/>
              <w:bottom w:w="60" w:type="dxa"/>
              <w:end w:w="110" w:type="dxa"/>
            </w:tcMar>
          </w:tcPr>
          <w:p>
            <w:pPr>
              <w:spacing w:after="0"/>
            </w:pPr>
            <w:r/>
            <w:r>
              <w:rPr>
                <w:rFonts w:ascii="Calibri" w:hAnsi="Calibri"/>
                <w:b/>
                <w:i w:val="0"/>
                <w:color w:val="FFFFFF"/>
                <w:sz w:val="15"/>
              </w:rPr>
              <w:t>HTTP</w:t>
            </w:r>
          </w:p>
        </w:tc>
        <w:tc>
          <w:tcPr>
            <w:tcW w:type="dxa" w:w="2880"/>
            <w:shd w:val="clear" w:color="auto" w:fill="0B1F3A"/>
            <w:tcMar>
              <w:top w:w="60" w:type="dxa"/>
              <w:start w:w="110" w:type="dxa"/>
              <w:bottom w:w="60" w:type="dxa"/>
              <w:end w:w="110" w:type="dxa"/>
            </w:tcMar>
          </w:tcPr>
          <w:p>
            <w:pPr>
              <w:spacing w:after="0"/>
            </w:pPr>
            <w:r/>
            <w:r>
              <w:rPr>
                <w:rFonts w:ascii="Calibri" w:hAnsi="Calibri"/>
                <w:b/>
                <w:i w:val="0"/>
                <w:color w:val="FFFFFF"/>
                <w:sz w:val="15"/>
              </w:rPr>
              <w:t>Meaning</w:t>
            </w:r>
          </w:p>
        </w:tc>
        <w:tc>
          <w:tcPr>
            <w:tcW w:type="dxa" w:w="3600"/>
            <w:shd w:val="clear" w:color="auto" w:fill="0B1F3A"/>
            <w:tcMar>
              <w:top w:w="60" w:type="dxa"/>
              <w:start w:w="110" w:type="dxa"/>
              <w:bottom w:w="60" w:type="dxa"/>
              <w:end w:w="110" w:type="dxa"/>
            </w:tcMar>
          </w:tcPr>
          <w:p>
            <w:pPr>
              <w:spacing w:after="0"/>
            </w:pPr>
            <w:r/>
            <w:r>
              <w:rPr>
                <w:rFonts w:ascii="Calibri" w:hAnsi="Calibri"/>
                <w:b/>
                <w:i w:val="0"/>
                <w:color w:val="FFFFFF"/>
                <w:sz w:val="15"/>
              </w:rPr>
              <w:t>Member-facing guidance</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5"/>
              </w:rPr>
              <w:t>INVALID_PHONE</w:t>
            </w:r>
          </w:p>
        </w:tc>
        <w:tc>
          <w:tcPr>
            <w:tcW w:type="dxa" w:w="1008"/>
            <w:tcMar>
              <w:top w:w="60" w:type="dxa"/>
              <w:start w:w="110" w:type="dxa"/>
              <w:bottom w:w="60" w:type="dxa"/>
              <w:end w:w="110" w:type="dxa"/>
            </w:tcMar>
          </w:tcPr>
          <w:p>
            <w:pPr>
              <w:spacing w:after="0"/>
            </w:pPr>
            <w:r/>
            <w:r>
              <w:rPr>
                <w:rFonts w:ascii="Calibri" w:hAnsi="Calibri"/>
                <w:b w:val="0"/>
                <w:i w:val="0"/>
                <w:color w:val="101828"/>
                <w:sz w:val="15"/>
              </w:rPr>
              <w:t>400</w:t>
            </w:r>
          </w:p>
        </w:tc>
        <w:tc>
          <w:tcPr>
            <w:tcW w:type="dxa" w:w="2880"/>
            <w:tcMar>
              <w:top w:w="60" w:type="dxa"/>
              <w:start w:w="110" w:type="dxa"/>
              <w:bottom w:w="60" w:type="dxa"/>
              <w:end w:w="110" w:type="dxa"/>
            </w:tcMar>
          </w:tcPr>
          <w:p>
            <w:pPr>
              <w:spacing w:after="0"/>
            </w:pPr>
            <w:r/>
            <w:r>
              <w:rPr>
                <w:rFonts w:ascii="Calibri" w:hAnsi="Calibri"/>
                <w:b w:val="0"/>
                <w:i w:val="0"/>
                <w:color w:val="101828"/>
                <w:sz w:val="15"/>
              </w:rPr>
              <w:t>Phone number not a valid Nigerian number</w:t>
            </w:r>
          </w:p>
        </w:tc>
        <w:tc>
          <w:tcPr>
            <w:tcW w:type="dxa" w:w="3600"/>
            <w:tcMar>
              <w:top w:w="60" w:type="dxa"/>
              <w:start w:w="110" w:type="dxa"/>
              <w:bottom w:w="60" w:type="dxa"/>
              <w:end w:w="110" w:type="dxa"/>
            </w:tcMar>
          </w:tcPr>
          <w:p>
            <w:pPr>
              <w:spacing w:after="0"/>
            </w:pPr>
            <w:r/>
            <w:r>
              <w:rPr>
                <w:rFonts w:ascii="Calibri" w:hAnsi="Calibri"/>
                <w:b w:val="0"/>
                <w:i w:val="0"/>
                <w:color w:val="101828"/>
                <w:sz w:val="15"/>
              </w:rPr>
              <w:t>Check the number, including the country code</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EMAIL_ALREADY_REGISTERED</w:t>
            </w:r>
          </w:p>
        </w:tc>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5"/>
              </w:rPr>
              <w:t>409</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5"/>
              </w:rPr>
              <w:t>Email already in use</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5"/>
              </w:rPr>
              <w:t>Try signing in instead</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5"/>
              </w:rPr>
              <w:t>PHONE_ALREADY_REGISTERED</w:t>
            </w:r>
          </w:p>
        </w:tc>
        <w:tc>
          <w:tcPr>
            <w:tcW w:type="dxa" w:w="1008"/>
            <w:tcMar>
              <w:top w:w="60" w:type="dxa"/>
              <w:start w:w="110" w:type="dxa"/>
              <w:bottom w:w="60" w:type="dxa"/>
              <w:end w:w="110" w:type="dxa"/>
            </w:tcMar>
          </w:tcPr>
          <w:p>
            <w:pPr>
              <w:spacing w:after="0"/>
            </w:pPr>
            <w:r/>
            <w:r>
              <w:rPr>
                <w:rFonts w:ascii="Calibri" w:hAnsi="Calibri"/>
                <w:b w:val="0"/>
                <w:i w:val="0"/>
                <w:color w:val="101828"/>
                <w:sz w:val="15"/>
              </w:rPr>
              <w:t>409</w:t>
            </w:r>
          </w:p>
        </w:tc>
        <w:tc>
          <w:tcPr>
            <w:tcW w:type="dxa" w:w="2880"/>
            <w:tcMar>
              <w:top w:w="60" w:type="dxa"/>
              <w:start w:w="110" w:type="dxa"/>
              <w:bottom w:w="60" w:type="dxa"/>
              <w:end w:w="110" w:type="dxa"/>
            </w:tcMar>
          </w:tcPr>
          <w:p>
            <w:pPr>
              <w:spacing w:after="0"/>
            </w:pPr>
            <w:r/>
            <w:r>
              <w:rPr>
                <w:rFonts w:ascii="Calibri" w:hAnsi="Calibri"/>
                <w:b w:val="0"/>
                <w:i w:val="0"/>
                <w:color w:val="101828"/>
                <w:sz w:val="15"/>
              </w:rPr>
              <w:t>Phone already linked to an account</w:t>
            </w:r>
          </w:p>
        </w:tc>
        <w:tc>
          <w:tcPr>
            <w:tcW w:type="dxa" w:w="3600"/>
            <w:tcMar>
              <w:top w:w="60" w:type="dxa"/>
              <w:start w:w="110" w:type="dxa"/>
              <w:bottom w:w="60" w:type="dxa"/>
              <w:end w:w="110" w:type="dxa"/>
            </w:tcMar>
          </w:tcPr>
          <w:p>
            <w:pPr>
              <w:spacing w:after="0"/>
            </w:pPr>
            <w:r/>
            <w:r>
              <w:rPr>
                <w:rFonts w:ascii="Calibri" w:hAnsi="Calibri"/>
                <w:b w:val="0"/>
                <w:i w:val="0"/>
                <w:color w:val="101828"/>
                <w:sz w:val="15"/>
              </w:rPr>
              <w:t>Sign in to the account with this number</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VERIFICATION_EXPIRED</w:t>
            </w:r>
          </w:p>
        </w:tc>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5"/>
              </w:rPr>
              <w:t>410</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5"/>
              </w:rPr>
              <w:t>Verification token past its expiry</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5"/>
              </w:rPr>
              <w:t>Request a new code</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5"/>
              </w:rPr>
              <w:t>KYC_PENDING</w:t>
            </w:r>
          </w:p>
        </w:tc>
        <w:tc>
          <w:tcPr>
            <w:tcW w:type="dxa" w:w="1008"/>
            <w:tcMar>
              <w:top w:w="60" w:type="dxa"/>
              <w:start w:w="110" w:type="dxa"/>
              <w:bottom w:w="60" w:type="dxa"/>
              <w:end w:w="110" w:type="dxa"/>
            </w:tcMar>
          </w:tcPr>
          <w:p>
            <w:pPr>
              <w:spacing w:after="0"/>
            </w:pPr>
            <w:r/>
            <w:r>
              <w:rPr>
                <w:rFonts w:ascii="Calibri" w:hAnsi="Calibri"/>
                <w:b w:val="0"/>
                <w:i w:val="0"/>
                <w:color w:val="101828"/>
                <w:sz w:val="15"/>
              </w:rPr>
              <w:t>403</w:t>
            </w:r>
          </w:p>
        </w:tc>
        <w:tc>
          <w:tcPr>
            <w:tcW w:type="dxa" w:w="2880"/>
            <w:tcMar>
              <w:top w:w="60" w:type="dxa"/>
              <w:start w:w="110" w:type="dxa"/>
              <w:bottom w:w="60" w:type="dxa"/>
              <w:end w:w="110" w:type="dxa"/>
            </w:tcMar>
          </w:tcPr>
          <w:p>
            <w:pPr>
              <w:spacing w:after="0"/>
            </w:pPr>
            <w:r/>
            <w:r>
              <w:rPr>
                <w:rFonts w:ascii="Calibri" w:hAnsi="Calibri"/>
                <w:b w:val="0"/>
                <w:i w:val="0"/>
                <w:color w:val="101828"/>
                <w:sz w:val="15"/>
              </w:rPr>
              <w:t>Identity verification not complete</w:t>
            </w:r>
          </w:p>
        </w:tc>
        <w:tc>
          <w:tcPr>
            <w:tcW w:type="dxa" w:w="3600"/>
            <w:tcMar>
              <w:top w:w="60" w:type="dxa"/>
              <w:start w:w="110" w:type="dxa"/>
              <w:bottom w:w="60" w:type="dxa"/>
              <w:end w:w="110" w:type="dxa"/>
            </w:tcMar>
          </w:tcPr>
          <w:p>
            <w:pPr>
              <w:spacing w:after="0"/>
            </w:pPr>
            <w:r/>
            <w:r>
              <w:rPr>
                <w:rFonts w:ascii="Calibri" w:hAnsi="Calibri"/>
                <w:b w:val="0"/>
                <w:i w:val="0"/>
                <w:color w:val="101828"/>
                <w:sz w:val="15"/>
              </w:rPr>
              <w:t>Finish verification to continue</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KYC_FAILED</w:t>
            </w:r>
          </w:p>
        </w:tc>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5"/>
              </w:rPr>
              <w:t>403</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5"/>
              </w:rPr>
              <w:t>Verification did not succeed</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5"/>
              </w:rPr>
              <w:t>Contact support with the reference</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5"/>
              </w:rPr>
              <w:t>ACCOUNT_FROZEN</w:t>
            </w:r>
          </w:p>
        </w:tc>
        <w:tc>
          <w:tcPr>
            <w:tcW w:type="dxa" w:w="1008"/>
            <w:tcMar>
              <w:top w:w="60" w:type="dxa"/>
              <w:start w:w="110" w:type="dxa"/>
              <w:bottom w:w="60" w:type="dxa"/>
              <w:end w:w="110" w:type="dxa"/>
            </w:tcMar>
          </w:tcPr>
          <w:p>
            <w:pPr>
              <w:spacing w:after="0"/>
            </w:pPr>
            <w:r/>
            <w:r>
              <w:rPr>
                <w:rFonts w:ascii="Calibri" w:hAnsi="Calibri"/>
                <w:b w:val="0"/>
                <w:i w:val="0"/>
                <w:color w:val="101828"/>
                <w:sz w:val="15"/>
              </w:rPr>
              <w:t>403</w:t>
            </w:r>
          </w:p>
        </w:tc>
        <w:tc>
          <w:tcPr>
            <w:tcW w:type="dxa" w:w="2880"/>
            <w:tcMar>
              <w:top w:w="60" w:type="dxa"/>
              <w:start w:w="110" w:type="dxa"/>
              <w:bottom w:w="60" w:type="dxa"/>
              <w:end w:w="110" w:type="dxa"/>
            </w:tcMar>
          </w:tcPr>
          <w:p>
            <w:pPr>
              <w:spacing w:after="0"/>
            </w:pPr>
            <w:r/>
            <w:r>
              <w:rPr>
                <w:rFonts w:ascii="Calibri" w:hAnsi="Calibri"/>
                <w:b w:val="0"/>
                <w:i w:val="0"/>
                <w:color w:val="101828"/>
                <w:sz w:val="15"/>
              </w:rPr>
              <w:t>Account frozen by a risk decision</w:t>
            </w:r>
          </w:p>
        </w:tc>
        <w:tc>
          <w:tcPr>
            <w:tcW w:type="dxa" w:w="3600"/>
            <w:tcMar>
              <w:top w:w="60" w:type="dxa"/>
              <w:start w:w="110" w:type="dxa"/>
              <w:bottom w:w="60" w:type="dxa"/>
              <w:end w:w="110" w:type="dxa"/>
            </w:tcMar>
          </w:tcPr>
          <w:p>
            <w:pPr>
              <w:spacing w:after="0"/>
            </w:pPr>
            <w:r/>
            <w:r>
              <w:rPr>
                <w:rFonts w:ascii="Calibri" w:hAnsi="Calibri"/>
                <w:b w:val="0"/>
                <w:i w:val="0"/>
                <w:color w:val="101828"/>
                <w:sz w:val="15"/>
              </w:rPr>
              <w:t>Your payout is unaffected. Contact support</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ACCOUNT_SUSPENDED</w:t>
            </w:r>
          </w:p>
        </w:tc>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5"/>
              </w:rPr>
              <w:t>403</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5"/>
              </w:rPr>
              <w:t>Account suspended</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5"/>
              </w:rPr>
              <w:t>Contact support to appeal</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5"/>
              </w:rPr>
              <w:t>BAY_IN_COOLING_OFF</w:t>
            </w:r>
          </w:p>
        </w:tc>
        <w:tc>
          <w:tcPr>
            <w:tcW w:type="dxa" w:w="1008"/>
            <w:tcMar>
              <w:top w:w="60" w:type="dxa"/>
              <w:start w:w="110" w:type="dxa"/>
              <w:bottom w:w="60" w:type="dxa"/>
              <w:end w:w="110" w:type="dxa"/>
            </w:tcMar>
          </w:tcPr>
          <w:p>
            <w:pPr>
              <w:spacing w:after="0"/>
            </w:pPr>
            <w:r/>
            <w:r>
              <w:rPr>
                <w:rFonts w:ascii="Calibri" w:hAnsi="Calibri"/>
                <w:b w:val="0"/>
                <w:i w:val="0"/>
                <w:color w:val="101828"/>
                <w:sz w:val="15"/>
              </w:rPr>
              <w:t>409</w:t>
            </w:r>
          </w:p>
        </w:tc>
        <w:tc>
          <w:tcPr>
            <w:tcW w:type="dxa" w:w="2880"/>
            <w:tcMar>
              <w:top w:w="60" w:type="dxa"/>
              <w:start w:w="110" w:type="dxa"/>
              <w:bottom w:w="60" w:type="dxa"/>
              <w:end w:w="110" w:type="dxa"/>
            </w:tcMar>
          </w:tcPr>
          <w:p>
            <w:pPr>
              <w:spacing w:after="0"/>
            </w:pPr>
            <w:r/>
            <w:r>
              <w:rPr>
                <w:rFonts w:ascii="Calibri" w:hAnsi="Calibri"/>
                <w:b w:val="0"/>
                <w:i w:val="0"/>
                <w:color w:val="101828"/>
                <w:sz w:val="15"/>
              </w:rPr>
              <w:t>Bank account changed too recently</w:t>
            </w:r>
          </w:p>
        </w:tc>
        <w:tc>
          <w:tcPr>
            <w:tcW w:type="dxa" w:w="3600"/>
            <w:tcMar>
              <w:top w:w="60" w:type="dxa"/>
              <w:start w:w="110" w:type="dxa"/>
              <w:bottom w:w="60" w:type="dxa"/>
              <w:end w:w="110" w:type="dxa"/>
            </w:tcMar>
          </w:tcPr>
          <w:p>
            <w:pPr>
              <w:spacing w:after="0"/>
            </w:pPr>
            <w:r/>
            <w:r>
              <w:rPr>
                <w:rFonts w:ascii="Calibri" w:hAnsi="Calibri"/>
                <w:b w:val="0"/>
                <w:i w:val="0"/>
                <w:color w:val="101828"/>
                <w:sz w:val="15"/>
              </w:rPr>
              <w:t>Payout available from {date}</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TOKEN_EXPIRED</w:t>
            </w:r>
          </w:p>
        </w:tc>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5"/>
              </w:rPr>
              <w:t>401</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5"/>
              </w:rPr>
              <w:t>Access token expired</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5"/>
              </w:rPr>
              <w:t>Refresh and retry</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5"/>
              </w:rPr>
              <w:t>TOKEN_REUSE_DETECTED</w:t>
            </w:r>
          </w:p>
        </w:tc>
        <w:tc>
          <w:tcPr>
            <w:tcW w:type="dxa" w:w="1008"/>
            <w:tcMar>
              <w:top w:w="60" w:type="dxa"/>
              <w:start w:w="110" w:type="dxa"/>
              <w:bottom w:w="60" w:type="dxa"/>
              <w:end w:w="110" w:type="dxa"/>
            </w:tcMar>
          </w:tcPr>
          <w:p>
            <w:pPr>
              <w:spacing w:after="0"/>
            </w:pPr>
            <w:r/>
            <w:r>
              <w:rPr>
                <w:rFonts w:ascii="Calibri" w:hAnsi="Calibri"/>
                <w:b w:val="0"/>
                <w:i w:val="0"/>
                <w:color w:val="101828"/>
                <w:sz w:val="15"/>
              </w:rPr>
              <w:t>401</w:t>
            </w:r>
          </w:p>
        </w:tc>
        <w:tc>
          <w:tcPr>
            <w:tcW w:type="dxa" w:w="2880"/>
            <w:tcMar>
              <w:top w:w="60" w:type="dxa"/>
              <w:start w:w="110" w:type="dxa"/>
              <w:bottom w:w="60" w:type="dxa"/>
              <w:end w:w="110" w:type="dxa"/>
            </w:tcMar>
          </w:tcPr>
          <w:p>
            <w:pPr>
              <w:spacing w:after="0"/>
            </w:pPr>
            <w:r/>
            <w:r>
              <w:rPr>
                <w:rFonts w:ascii="Calibri" w:hAnsi="Calibri"/>
                <w:b w:val="0"/>
                <w:i w:val="0"/>
                <w:color w:val="101828"/>
                <w:sz w:val="15"/>
              </w:rPr>
              <w:t>Refresh token replay; sessions revoked</w:t>
            </w:r>
          </w:p>
        </w:tc>
        <w:tc>
          <w:tcPr>
            <w:tcW w:type="dxa" w:w="3600"/>
            <w:tcMar>
              <w:top w:w="60" w:type="dxa"/>
              <w:start w:w="110" w:type="dxa"/>
              <w:bottom w:w="60" w:type="dxa"/>
              <w:end w:w="110" w:type="dxa"/>
            </w:tcMar>
          </w:tcPr>
          <w:p>
            <w:pPr>
              <w:spacing w:after="0"/>
            </w:pPr>
            <w:r/>
            <w:r>
              <w:rPr>
                <w:rFonts w:ascii="Calibri" w:hAnsi="Calibri"/>
                <w:b w:val="0"/>
                <w:i w:val="0"/>
                <w:color w:val="101828"/>
                <w:sz w:val="15"/>
              </w:rPr>
              <w:t>Sign in again on your device</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MFA_REQUIRED</w:t>
            </w:r>
          </w:p>
        </w:tc>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5"/>
              </w:rPr>
              <w:t>401</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5"/>
              </w:rPr>
              <w:t>Step-up authentication required</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5"/>
              </w:rPr>
              <w:t>Confirm it's you to continue</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5"/>
              </w:rPr>
              <w:t>AJOS_ENROLLMENT_CLOSED</w:t>
            </w:r>
          </w:p>
        </w:tc>
        <w:tc>
          <w:tcPr>
            <w:tcW w:type="dxa" w:w="1008"/>
            <w:tcMar>
              <w:top w:w="60" w:type="dxa"/>
              <w:start w:w="110" w:type="dxa"/>
              <w:bottom w:w="60" w:type="dxa"/>
              <w:end w:w="110" w:type="dxa"/>
            </w:tcMar>
          </w:tcPr>
          <w:p>
            <w:pPr>
              <w:spacing w:after="0"/>
            </w:pPr>
            <w:r/>
            <w:r>
              <w:rPr>
                <w:rFonts w:ascii="Calibri" w:hAnsi="Calibri"/>
                <w:b w:val="0"/>
                <w:i w:val="0"/>
                <w:color w:val="101828"/>
                <w:sz w:val="15"/>
              </w:rPr>
              <w:t>409</w:t>
            </w:r>
          </w:p>
        </w:tc>
        <w:tc>
          <w:tcPr>
            <w:tcW w:type="dxa" w:w="2880"/>
            <w:tcMar>
              <w:top w:w="60" w:type="dxa"/>
              <w:start w:w="110" w:type="dxa"/>
              <w:bottom w:w="60" w:type="dxa"/>
              <w:end w:w="110" w:type="dxa"/>
            </w:tcMar>
          </w:tcPr>
          <w:p>
            <w:pPr>
              <w:spacing w:after="0"/>
            </w:pPr>
            <w:r/>
            <w:r>
              <w:rPr>
                <w:rFonts w:ascii="Calibri" w:hAnsi="Calibri"/>
                <w:b w:val="0"/>
                <w:i w:val="0"/>
                <w:color w:val="101828"/>
                <w:sz w:val="15"/>
              </w:rPr>
              <w:t>The 5-day enrollment window has closed</w:t>
            </w:r>
          </w:p>
        </w:tc>
        <w:tc>
          <w:tcPr>
            <w:tcW w:type="dxa" w:w="3600"/>
            <w:tcMar>
              <w:top w:w="60" w:type="dxa"/>
              <w:start w:w="110" w:type="dxa"/>
              <w:bottom w:w="60" w:type="dxa"/>
              <w:end w:w="110" w:type="dxa"/>
            </w:tcMar>
          </w:tcPr>
          <w:p>
            <w:pPr>
              <w:spacing w:after="0"/>
            </w:pPr>
            <w:r/>
            <w:r>
              <w:rPr>
                <w:rFonts w:ascii="Calibri" w:hAnsi="Calibri"/>
                <w:b w:val="0"/>
                <w:i w:val="0"/>
                <w:color w:val="101828"/>
                <w:sz w:val="15"/>
              </w:rPr>
              <w:t>This Ajo is no longer accepting members</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AJOS_NOT_FUNDED</w:t>
            </w:r>
          </w:p>
        </w:tc>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5"/>
              </w:rPr>
              <w:t>409</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5"/>
              </w:rPr>
              <w:t>Ajo has not reached funded status</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5"/>
              </w:rPr>
              <w:t>Payout is not available yet</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5"/>
              </w:rPr>
              <w:t>AJOS_ALREADY_JOINED</w:t>
            </w:r>
          </w:p>
        </w:tc>
        <w:tc>
          <w:tcPr>
            <w:tcW w:type="dxa" w:w="1008"/>
            <w:tcMar>
              <w:top w:w="60" w:type="dxa"/>
              <w:start w:w="110" w:type="dxa"/>
              <w:bottom w:w="60" w:type="dxa"/>
              <w:end w:w="110" w:type="dxa"/>
            </w:tcMar>
          </w:tcPr>
          <w:p>
            <w:pPr>
              <w:spacing w:after="0"/>
            </w:pPr>
            <w:r/>
            <w:r>
              <w:rPr>
                <w:rFonts w:ascii="Calibri" w:hAnsi="Calibri"/>
                <w:b w:val="0"/>
                <w:i w:val="0"/>
                <w:color w:val="101828"/>
                <w:sz w:val="15"/>
              </w:rPr>
              <w:t>409</w:t>
            </w:r>
          </w:p>
        </w:tc>
        <w:tc>
          <w:tcPr>
            <w:tcW w:type="dxa" w:w="2880"/>
            <w:tcMar>
              <w:top w:w="60" w:type="dxa"/>
              <w:start w:w="110" w:type="dxa"/>
              <w:bottom w:w="60" w:type="dxa"/>
              <w:end w:w="110" w:type="dxa"/>
            </w:tcMar>
          </w:tcPr>
          <w:p>
            <w:pPr>
              <w:spacing w:after="0"/>
            </w:pPr>
            <w:r/>
            <w:r>
              <w:rPr>
                <w:rFonts w:ascii="Calibri" w:hAnsi="Calibri"/>
                <w:b w:val="0"/>
                <w:i w:val="0"/>
                <w:color w:val="101828"/>
                <w:sz w:val="15"/>
              </w:rPr>
              <w:t>Member already has a position</w:t>
            </w:r>
          </w:p>
        </w:tc>
        <w:tc>
          <w:tcPr>
            <w:tcW w:type="dxa" w:w="3600"/>
            <w:tcMar>
              <w:top w:w="60" w:type="dxa"/>
              <w:start w:w="110" w:type="dxa"/>
              <w:bottom w:w="60" w:type="dxa"/>
              <w:end w:w="110" w:type="dxa"/>
            </w:tcMar>
          </w:tcPr>
          <w:p>
            <w:pPr>
              <w:spacing w:after="0"/>
            </w:pPr>
            <w:r/>
            <w:r>
              <w:rPr>
                <w:rFonts w:ascii="Calibri" w:hAnsi="Calibri"/>
                <w:b w:val="0"/>
                <w:i w:val="0"/>
                <w:color w:val="101828"/>
                <w:sz w:val="15"/>
              </w:rPr>
              <w:t>You are already in this Ajo</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POSITION_LOCKED</w:t>
            </w:r>
          </w:p>
        </w:tc>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5"/>
              </w:rPr>
              <w:t>409</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5"/>
              </w:rPr>
              <w:t>Position locked at activation</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5"/>
              </w:rPr>
              <w:t>This position can no longer be changed</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5"/>
              </w:rPr>
              <w:t>PAYOUT_NOT_READY</w:t>
            </w:r>
          </w:p>
        </w:tc>
        <w:tc>
          <w:tcPr>
            <w:tcW w:type="dxa" w:w="1008"/>
            <w:tcMar>
              <w:top w:w="60" w:type="dxa"/>
              <w:start w:w="110" w:type="dxa"/>
              <w:bottom w:w="60" w:type="dxa"/>
              <w:end w:w="110" w:type="dxa"/>
            </w:tcMar>
          </w:tcPr>
          <w:p>
            <w:pPr>
              <w:spacing w:after="0"/>
            </w:pPr>
            <w:r/>
            <w:r>
              <w:rPr>
                <w:rFonts w:ascii="Calibri" w:hAnsi="Calibri"/>
                <w:b w:val="0"/>
                <w:i w:val="0"/>
                <w:color w:val="101828"/>
                <w:sz w:val="15"/>
              </w:rPr>
              <w:t>409</w:t>
            </w:r>
          </w:p>
        </w:tc>
        <w:tc>
          <w:tcPr>
            <w:tcW w:type="dxa" w:w="2880"/>
            <w:tcMar>
              <w:top w:w="60" w:type="dxa"/>
              <w:start w:w="110" w:type="dxa"/>
              <w:bottom w:w="60" w:type="dxa"/>
              <w:end w:w="110" w:type="dxa"/>
            </w:tcMar>
          </w:tcPr>
          <w:p>
            <w:pPr>
              <w:spacing w:after="0"/>
            </w:pPr>
            <w:r/>
            <w:r>
              <w:rPr>
                <w:rFonts w:ascii="Calibri" w:hAnsi="Calibri"/>
                <w:b w:val="0"/>
                <w:i w:val="0"/>
                <w:color w:val="101828"/>
                <w:sz w:val="15"/>
              </w:rPr>
              <w:t>Payout is not yet at its scheduled date</w:t>
            </w:r>
          </w:p>
        </w:tc>
        <w:tc>
          <w:tcPr>
            <w:tcW w:type="dxa" w:w="3600"/>
            <w:tcMar>
              <w:top w:w="60" w:type="dxa"/>
              <w:start w:w="110" w:type="dxa"/>
              <w:bottom w:w="60" w:type="dxa"/>
              <w:end w:w="110" w:type="dxa"/>
            </w:tcMar>
          </w:tcPr>
          <w:p>
            <w:pPr>
              <w:spacing w:after="0"/>
            </w:pPr>
            <w:r/>
            <w:r>
              <w:rPr>
                <w:rFonts w:ascii="Calibri" w:hAnsi="Calibri"/>
                <w:b w:val="0"/>
                <w:i w:val="0"/>
                <w:color w:val="101828"/>
                <w:sz w:val="15"/>
              </w:rPr>
              <w:t>Available from {date}</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PAYMENT_NOT_FOUND</w:t>
            </w:r>
          </w:p>
        </w:tc>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5"/>
              </w:rPr>
              <w:t>404</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5"/>
              </w:rPr>
              <w:t>Unknown contribution</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5"/>
              </w:rPr>
              <w:t>Check the reference</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5"/>
              </w:rPr>
              <w:t>PAYMENT_PENDING_VERIFICATION</w:t>
            </w:r>
          </w:p>
        </w:tc>
        <w:tc>
          <w:tcPr>
            <w:tcW w:type="dxa" w:w="1008"/>
            <w:tcMar>
              <w:top w:w="60" w:type="dxa"/>
              <w:start w:w="110" w:type="dxa"/>
              <w:bottom w:w="60" w:type="dxa"/>
              <w:end w:w="110" w:type="dxa"/>
            </w:tcMar>
          </w:tcPr>
          <w:p>
            <w:pPr>
              <w:spacing w:after="0"/>
            </w:pPr>
            <w:r/>
            <w:r>
              <w:rPr>
                <w:rFonts w:ascii="Calibri" w:hAnsi="Calibri"/>
                <w:b w:val="0"/>
                <w:i w:val="0"/>
                <w:color w:val="101828"/>
                <w:sz w:val="15"/>
              </w:rPr>
              <w:t>202</w:t>
            </w:r>
          </w:p>
        </w:tc>
        <w:tc>
          <w:tcPr>
            <w:tcW w:type="dxa" w:w="2880"/>
            <w:tcMar>
              <w:top w:w="60" w:type="dxa"/>
              <w:start w:w="110" w:type="dxa"/>
              <w:bottom w:w="60" w:type="dxa"/>
              <w:end w:w="110" w:type="dxa"/>
            </w:tcMar>
          </w:tcPr>
          <w:p>
            <w:pPr>
              <w:spacing w:after="0"/>
            </w:pPr>
            <w:r/>
            <w:r>
              <w:rPr>
                <w:rFonts w:ascii="Calibri" w:hAnsi="Calibri"/>
                <w:b w:val="0"/>
                <w:i w:val="0"/>
                <w:color w:val="101828"/>
                <w:sz w:val="15"/>
              </w:rPr>
              <w:t>Webhook not yet received</w:t>
            </w:r>
          </w:p>
        </w:tc>
        <w:tc>
          <w:tcPr>
            <w:tcW w:type="dxa" w:w="3600"/>
            <w:tcMar>
              <w:top w:w="60" w:type="dxa"/>
              <w:start w:w="110" w:type="dxa"/>
              <w:bottom w:w="60" w:type="dxa"/>
              <w:end w:w="110" w:type="dxa"/>
            </w:tcMar>
          </w:tcPr>
          <w:p>
            <w:pPr>
              <w:spacing w:after="0"/>
            </w:pPr>
            <w:r/>
            <w:r>
              <w:rPr>
                <w:rFonts w:ascii="Calibri" w:hAnsi="Calibri"/>
                <w:b w:val="0"/>
                <w:i w:val="0"/>
                <w:color w:val="101828"/>
                <w:sz w:val="15"/>
              </w:rPr>
              <w:t>We are confirming your payment. Do not pay again</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PROVIDER_UNAVAILABLE</w:t>
            </w:r>
          </w:p>
        </w:tc>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5"/>
              </w:rPr>
              <w:t>503</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5"/>
              </w:rPr>
              <w:t>Payment provider unavailable</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5"/>
              </w:rPr>
              <w:t>We are working on it. Your money is unaffected</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5"/>
              </w:rPr>
              <w:t>RECONCILIATION_HOLD</w:t>
            </w:r>
          </w:p>
        </w:tc>
        <w:tc>
          <w:tcPr>
            <w:tcW w:type="dxa" w:w="1008"/>
            <w:tcMar>
              <w:top w:w="60" w:type="dxa"/>
              <w:start w:w="110" w:type="dxa"/>
              <w:bottom w:w="60" w:type="dxa"/>
              <w:end w:w="110" w:type="dxa"/>
            </w:tcMar>
          </w:tcPr>
          <w:p>
            <w:pPr>
              <w:spacing w:after="0"/>
            </w:pPr>
            <w:r/>
            <w:r>
              <w:rPr>
                <w:rFonts w:ascii="Calibri" w:hAnsi="Calibri"/>
                <w:b w:val="0"/>
                <w:i w:val="0"/>
                <w:color w:val="101828"/>
                <w:sz w:val="15"/>
              </w:rPr>
              <w:t>503</w:t>
            </w:r>
          </w:p>
        </w:tc>
        <w:tc>
          <w:tcPr>
            <w:tcW w:type="dxa" w:w="2880"/>
            <w:tcMar>
              <w:top w:w="60" w:type="dxa"/>
              <w:start w:w="110" w:type="dxa"/>
              <w:bottom w:w="60" w:type="dxa"/>
              <w:end w:w="110" w:type="dxa"/>
            </w:tcMar>
          </w:tcPr>
          <w:p>
            <w:pPr>
              <w:spacing w:after="0"/>
            </w:pPr>
            <w:r/>
            <w:r>
              <w:rPr>
                <w:rFonts w:ascii="Calibri" w:hAnsi="Calibri"/>
                <w:b w:val="0"/>
                <w:i w:val="0"/>
                <w:color w:val="101828"/>
                <w:sz w:val="15"/>
              </w:rPr>
              <w:t>Payouts paused pending reconciliation</w:t>
            </w:r>
          </w:p>
        </w:tc>
        <w:tc>
          <w:tcPr>
            <w:tcW w:type="dxa" w:w="3600"/>
            <w:tcMar>
              <w:top w:w="60" w:type="dxa"/>
              <w:start w:w="110" w:type="dxa"/>
              <w:bottom w:w="60" w:type="dxa"/>
              <w:end w:w="110" w:type="dxa"/>
            </w:tcMar>
          </w:tcPr>
          <w:p>
            <w:pPr>
              <w:spacing w:after="0"/>
            </w:pPr>
            <w:r/>
            <w:r>
              <w:rPr>
                <w:rFonts w:ascii="Calibri" w:hAnsi="Calibri"/>
                <w:b w:val="0"/>
                <w:i w:val="0"/>
                <w:color w:val="101828"/>
                <w:sz w:val="15"/>
              </w:rPr>
              <w:t>We're completing a check and will update you</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5"/>
              </w:rPr>
              <w:t>INTERNAL_ERROR</w:t>
            </w:r>
          </w:p>
        </w:tc>
        <w:tc>
          <w:tcPr>
            <w:tcW w:type="dxa" w:w="1008"/>
            <w:tcMar>
              <w:top w:w="60" w:type="dxa"/>
              <w:start w:w="110" w:type="dxa"/>
              <w:bottom w:w="60" w:type="dxa"/>
              <w:end w:w="110" w:type="dxa"/>
            </w:tcMar>
            <w:shd w:val="clear" w:color="auto" w:fill="F4F7FB"/>
          </w:tcPr>
          <w:p>
            <w:pPr>
              <w:spacing w:after="0"/>
            </w:pPr>
            <w:r/>
            <w:r>
              <w:rPr>
                <w:rFonts w:ascii="Calibri" w:hAnsi="Calibri"/>
                <w:b w:val="0"/>
                <w:i w:val="0"/>
                <w:color w:val="101828"/>
                <w:sz w:val="15"/>
              </w:rPr>
              <w:t>500</w:t>
            </w:r>
          </w:p>
        </w:tc>
        <w:tc>
          <w:tcPr>
            <w:tcW w:type="dxa" w:w="2880"/>
            <w:tcMar>
              <w:top w:w="60" w:type="dxa"/>
              <w:start w:w="110" w:type="dxa"/>
              <w:bottom w:w="60" w:type="dxa"/>
              <w:end w:w="110" w:type="dxa"/>
            </w:tcMar>
            <w:shd w:val="clear" w:color="auto" w:fill="F4F7FB"/>
          </w:tcPr>
          <w:p>
            <w:pPr>
              <w:spacing w:after="0"/>
            </w:pPr>
            <w:r/>
            <w:r>
              <w:rPr>
                <w:rFonts w:ascii="Calibri" w:hAnsi="Calibri"/>
                <w:b w:val="0"/>
                <w:i w:val="0"/>
                <w:color w:val="101828"/>
                <w:sz w:val="15"/>
              </w:rPr>
              <w:t>Unexpected failure</w:t>
            </w:r>
          </w:p>
        </w:tc>
        <w:tc>
          <w:tcPr>
            <w:tcW w:type="dxa" w:w="3600"/>
            <w:tcMar>
              <w:top w:w="60" w:type="dxa"/>
              <w:start w:w="110" w:type="dxa"/>
              <w:bottom w:w="60" w:type="dxa"/>
              <w:end w:w="110" w:type="dxa"/>
            </w:tcMar>
            <w:shd w:val="clear" w:color="auto" w:fill="F4F7FB"/>
          </w:tcPr>
          <w:p>
            <w:pPr>
              <w:spacing w:after="0"/>
            </w:pPr>
            <w:r/>
            <w:r>
              <w:rPr>
                <w:rFonts w:ascii="Calibri" w:hAnsi="Calibri"/>
                <w:b w:val="0"/>
                <w:i w:val="0"/>
                <w:color w:val="101828"/>
                <w:sz w:val="15"/>
              </w:rPr>
              <w:t>Quote the reference when contacting support</w:t>
            </w:r>
          </w:p>
        </w:tc>
      </w:tr>
    </w:tbl>
    <w:p>
      <w:pPr>
        <w:spacing w:after="80"/>
      </w:pPr>
    </w:p>
    <w:p>
      <w:pPr>
        <w:pStyle w:val="Heading2"/>
      </w:pPr>
      <w:r>
        <w:rPr>
          <w:rFonts w:ascii="Calibri" w:hAnsi="Calibri"/>
          <w:b/>
          <w:i w:val="0"/>
          <w:color w:val="146EF5"/>
          <w:sz w:val="29"/>
        </w:rPr>
        <w:t>Appendix C — Domain type reference</w:t>
      </w:r>
    </w:p>
    <w:p>
      <w:r>
        <w:rPr>
          <w:rFonts w:ascii="Calibri" w:hAnsi="Calibri"/>
          <w:b w:val="0"/>
          <w:i w:val="0"/>
          <w:color w:val="101828"/>
          <w:sz w:val="21"/>
        </w:rPr>
        <w:t>The core domain types from the financial foundation. These are the definitions the rest of the system is built on, and the reason the money rules cannot drift between the client, the API, and the workers.</w:t>
      </w:r>
    </w:p>
    <w:p>
      <w:pPr>
        <w:pStyle w:val="Heading3"/>
      </w:pPr>
      <w:r>
        <w:rPr>
          <w:rFonts w:ascii="Calibri" w:hAnsi="Calibri"/>
          <w:b/>
          <w:i w:val="0"/>
          <w:color w:val="0B1F3A"/>
          <w:sz w:val="24"/>
        </w:rPr>
        <w:t>C.1 Money</w:t>
      </w:r>
    </w:p>
    <w:p>
      <w:pPr>
        <w:spacing w:before="0" w:after="0" w:line="240" w:lineRule="auto"/>
        <w:ind w:left="230"/>
        <w:shd w:val="clear" w:color="auto" w:fill="F7F9FC"/>
        <w:pBdr>
          <w:left w:val="single" w:sz="4" w:space="6" w:color="D0D5DD"/>
        </w:pBdr>
      </w:pPr>
      <w:r>
        <w:rPr>
          <w:rFonts w:ascii="Consolas" w:hAnsi="Consolas"/>
          <w:color w:val="0B1F3A"/>
          <w:sz w:val="15"/>
        </w:rPr>
        <w:t xml:space="preserve">  type Kobo = number &amp; { readonly __brand: 'Kobo' };</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Integer kobo. No floating point, ever. */</w:t>
      </w:r>
    </w:p>
    <w:p>
      <w:pPr>
        <w:spacing w:before="0" w:after="0" w:line="240" w:lineRule="auto"/>
        <w:ind w:left="230"/>
        <w:shd w:val="clear" w:color="auto" w:fill="F7F9FC"/>
        <w:pBdr>
          <w:left w:val="single" w:sz="4" w:space="6" w:color="D0D5DD"/>
        </w:pBdr>
      </w:pPr>
      <w:r>
        <w:rPr>
          <w:rFonts w:ascii="Consolas" w:hAnsi="Consolas"/>
          <w:color w:val="0B1F3A"/>
          <w:sz w:val="15"/>
        </w:rPr>
        <w:t xml:space="preserve">  const kobo = (n: number): Kobo =&gt; {</w:t>
      </w:r>
    </w:p>
    <w:p>
      <w:pPr>
        <w:spacing w:before="0" w:after="0" w:line="240" w:lineRule="auto"/>
        <w:ind w:left="230"/>
        <w:shd w:val="clear" w:color="auto" w:fill="F7F9FC"/>
        <w:pBdr>
          <w:left w:val="single" w:sz="4" w:space="6" w:color="D0D5DD"/>
        </w:pBdr>
      </w:pPr>
      <w:r>
        <w:rPr>
          <w:rFonts w:ascii="Consolas" w:hAnsi="Consolas"/>
          <w:color w:val="0B1F3A"/>
          <w:sz w:val="15"/>
        </w:rPr>
        <w:t xml:space="preserve">    if (!Number.isSafeInteger(n)) throw new Error('Money must be an integer number of kobo');</w:t>
      </w:r>
    </w:p>
    <w:p>
      <w:pPr>
        <w:spacing w:before="0" w:after="0" w:line="240" w:lineRule="auto"/>
        <w:ind w:left="230"/>
        <w:shd w:val="clear" w:color="auto" w:fill="F7F9FC"/>
        <w:pBdr>
          <w:left w:val="single" w:sz="4" w:space="6" w:color="D0D5DD"/>
        </w:pBdr>
      </w:pPr>
      <w:r>
        <w:rPr>
          <w:rFonts w:ascii="Consolas" w:hAnsi="Consolas"/>
          <w:color w:val="0B1F3A"/>
          <w:sz w:val="15"/>
        </w:rPr>
        <w:t xml:space="preserve">    return n as Kobo;</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The service fee rate, in basis points. 200 bps = 2.00%. */</w:t>
      </w:r>
    </w:p>
    <w:p>
      <w:pPr>
        <w:spacing w:before="0" w:after="0" w:line="240" w:lineRule="auto"/>
        <w:ind w:left="230"/>
        <w:shd w:val="clear" w:color="auto" w:fill="F7F9FC"/>
        <w:pBdr>
          <w:left w:val="single" w:sz="4" w:space="6" w:color="D0D5DD"/>
        </w:pBdr>
      </w:pPr>
      <w:r>
        <w:rPr>
          <w:rFonts w:ascii="Consolas" w:hAnsi="Consolas"/>
          <w:color w:val="0B1F3A"/>
          <w:sz w:val="15"/>
        </w:rPr>
        <w:t xml:space="preserve">  const FEE_BASIS_POINTS = 200;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const BASIS_POINT_DIVISOR = 10_000;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const ROUNDING_OFFSET = BASIS_POINT_DIVISOR / 2;</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2% service fee, rounded half-up, in integer kobo. */</w:t>
      </w:r>
    </w:p>
    <w:p>
      <w:pPr>
        <w:spacing w:before="0" w:after="0" w:line="240" w:lineRule="auto"/>
        <w:ind w:left="230"/>
        <w:shd w:val="clear" w:color="auto" w:fill="F7F9FC"/>
        <w:pBdr>
          <w:left w:val="single" w:sz="4" w:space="6" w:color="D0D5DD"/>
        </w:pBdr>
      </w:pPr>
      <w:r>
        <w:rPr>
          <w:rFonts w:ascii="Consolas" w:hAnsi="Consolas"/>
          <w:color w:val="0B1F3A"/>
          <w:sz w:val="15"/>
        </w:rPr>
        <w:t xml:space="preserve">  const fee = (amount: Kobo): Kobo =&gt;</w:t>
      </w:r>
    </w:p>
    <w:p>
      <w:pPr>
        <w:spacing w:before="0" w:after="0" w:line="240" w:lineRule="auto"/>
        <w:ind w:left="230"/>
        <w:shd w:val="clear" w:color="auto" w:fill="F7F9FC"/>
        <w:pBdr>
          <w:left w:val="single" w:sz="4" w:space="6" w:color="D0D5DD"/>
        </w:pBdr>
      </w:pPr>
      <w:r>
        <w:rPr>
          <w:rFonts w:ascii="Consolas" w:hAnsi="Consolas"/>
          <w:color w:val="0B1F3A"/>
          <w:sz w:val="15"/>
        </w:rPr>
        <w:t xml:space="preserve">    kobo(Math.floor((amount * FEE_BASIS_POINTS + ROUNDING_OFFSET) / BASIS_POINT_DIVISOR));</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const total = (amount: Kobo): Kobo =&gt; kobo(amount + fee(amount));</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Per contribution, in kobo:</w:t>
      </w:r>
    </w:p>
    <w:p>
      <w:pPr>
        <w:spacing w:before="0" w:after="0" w:line="240" w:lineRule="auto"/>
        <w:ind w:left="230"/>
        <w:shd w:val="clear" w:color="auto" w:fill="F7F9FC"/>
        <w:pBdr>
          <w:left w:val="single" w:sz="4" w:space="6" w:color="D0D5DD"/>
        </w:pBdr>
      </w:pPr>
      <w:r>
        <w:rPr>
          <w:rFonts w:ascii="Consolas" w:hAnsi="Consolas"/>
          <w:color w:val="0B1F3A"/>
          <w:sz w:val="15"/>
        </w:rPr>
        <w:t xml:space="preserve">  //   NGN 1,000   -&gt; fee     20 -&gt; total  100_020   (NGN 1,020.00 charged)</w:t>
      </w:r>
    </w:p>
    <w:p>
      <w:pPr>
        <w:spacing w:before="0" w:after="0" w:line="240" w:lineRule="auto"/>
        <w:ind w:left="230"/>
        <w:shd w:val="clear" w:color="auto" w:fill="F7F9FC"/>
        <w:pBdr>
          <w:left w:val="single" w:sz="4" w:space="6" w:color="D0D5DD"/>
        </w:pBdr>
      </w:pPr>
      <w:r>
        <w:rPr>
          <w:rFonts w:ascii="Consolas" w:hAnsi="Consolas"/>
          <w:color w:val="0B1F3A"/>
          <w:sz w:val="15"/>
        </w:rPr>
        <w:t xml:space="preserve">  //   NGN 10,000  -&gt; fee    200 -&gt; total 1_000_200   (NGN 10,200.00 charged)</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The 10-member, 10-round Ajo at NGN 1,000 per member per round:</w:t>
      </w:r>
    </w:p>
    <w:p>
      <w:pPr>
        <w:spacing w:before="0" w:after="0" w:line="240" w:lineRule="auto"/>
        <w:ind w:left="230"/>
        <w:shd w:val="clear" w:color="auto" w:fill="F7F9FC"/>
        <w:pBdr>
          <w:left w:val="single" w:sz="4" w:space="6" w:color="D0D5DD"/>
        </w:pBdr>
      </w:pPr>
      <w:r>
        <w:rPr>
          <w:rFonts w:ascii="Consolas" w:hAnsi="Consolas"/>
          <w:color w:val="0B1F3A"/>
          <w:sz w:val="15"/>
        </w:rPr>
        <w:t xml:space="preserve">  //   100 contributions x 100,000 kobo = 10,000,000 kobo into the pool (NGN 100,000.00)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   100 contributions x      2,000 kobo =    200,000 kobo of fees     (NGN   2,000.00)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   total charged                          10,200,000 kobo            (NGN 102,000.00)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The fee is charged to the member on top. It is never taken out of the</w:t>
      </w:r>
    </w:p>
    <w:p>
      <w:pPr>
        <w:spacing w:before="0" w:after="0" w:line="240" w:lineRule="auto"/>
        <w:ind w:left="230"/>
        <w:shd w:val="clear" w:color="auto" w:fill="F7F9FC"/>
        <w:pBdr>
          <w:left w:val="single" w:sz="4" w:space="6" w:color="D0D5DD"/>
        </w:pBdr>
      </w:pPr>
      <w:r>
        <w:rPr>
          <w:rFonts w:ascii="Consolas" w:hAnsi="Consolas"/>
          <w:color w:val="0B1F3A"/>
          <w:sz w:val="15"/>
        </w:rPr>
        <w:t xml:space="preserve">  // pool, so the recipient still receives the full base amount.</w:t>
      </w:r>
    </w:p>
    <w:p>
      <w:pPr>
        <w:pStyle w:val="Heading3"/>
      </w:pPr>
      <w:r>
        <w:rPr>
          <w:rFonts w:ascii="Calibri" w:hAnsi="Calibri"/>
          <w:b/>
          <w:i w:val="0"/>
          <w:color w:val="0B1F3A"/>
          <w:sz w:val="24"/>
        </w:rPr>
        <w:t>C.2 Ledger</w:t>
      </w:r>
    </w:p>
    <w:p>
      <w:pPr>
        <w:spacing w:before="0" w:after="0" w:line="240" w:lineRule="auto"/>
        <w:ind w:left="230"/>
        <w:shd w:val="clear" w:color="auto" w:fill="F7F9FC"/>
        <w:pBdr>
          <w:left w:val="single" w:sz="4" w:space="6" w:color="D0D5DD"/>
        </w:pBdr>
      </w:pPr>
      <w:r>
        <w:rPr>
          <w:rFonts w:ascii="Consolas" w:hAnsi="Consolas"/>
          <w:color w:val="0B1F3A"/>
          <w:sz w:val="15"/>
        </w:rPr>
        <w:t xml:space="preserve">  type AccountKind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'escrow_cash'              // cash held with the PSP / in escrow.  Asset.</w:t>
      </w:r>
    </w:p>
    <w:p>
      <w:pPr>
        <w:spacing w:before="0" w:after="0" w:line="240" w:lineRule="auto"/>
        <w:ind w:left="230"/>
        <w:shd w:val="clear" w:color="auto" w:fill="F7F9FC"/>
        <w:pBdr>
          <w:left w:val="single" w:sz="4" w:space="6" w:color="D0D5DD"/>
        </w:pBdr>
      </w:pPr>
      <w:r>
        <w:rPr>
          <w:rFonts w:ascii="Consolas" w:hAnsi="Consolas"/>
          <w:color w:val="0B1F3A"/>
          <w:sz w:val="15"/>
        </w:rPr>
        <w:t xml:space="preserve">    | 'contributions_receivable' // owed by members for the current round. Asset.</w:t>
      </w:r>
    </w:p>
    <w:p>
      <w:pPr>
        <w:spacing w:before="0" w:after="0" w:line="240" w:lineRule="auto"/>
        <w:ind w:left="230"/>
        <w:shd w:val="clear" w:color="auto" w:fill="F7F9FC"/>
        <w:pBdr>
          <w:left w:val="single" w:sz="4" w:space="6" w:color="D0D5DD"/>
        </w:pBdr>
      </w:pPr>
      <w:r>
        <w:rPr>
          <w:rFonts w:ascii="Consolas" w:hAnsi="Consolas"/>
          <w:color w:val="0B1F3A"/>
          <w:sz w:val="15"/>
        </w:rPr>
        <w:t xml:space="preserve">    | 'defaults_receivable'      // owed by members who have defaulted.  Asset.</w:t>
      </w:r>
    </w:p>
    <w:p>
      <w:pPr>
        <w:spacing w:before="0" w:after="0" w:line="240" w:lineRule="auto"/>
        <w:ind w:left="230"/>
        <w:shd w:val="clear" w:color="auto" w:fill="F7F9FC"/>
        <w:pBdr>
          <w:left w:val="single" w:sz="4" w:space="6" w:color="D0D5DD"/>
        </w:pBdr>
      </w:pPr>
      <w:r>
        <w:rPr>
          <w:rFonts w:ascii="Consolas" w:hAnsi="Consolas"/>
          <w:color w:val="0B1F3A"/>
          <w:sz w:val="15"/>
        </w:rPr>
        <w:t xml:space="preserve">    | 'payouts_payable'          // owed to the member whose turn it is. Liability.</w:t>
      </w:r>
    </w:p>
    <w:p>
      <w:pPr>
        <w:spacing w:before="0" w:after="0" w:line="240" w:lineRule="auto"/>
        <w:ind w:left="230"/>
        <w:shd w:val="clear" w:color="auto" w:fill="F7F9FC"/>
        <w:pBdr>
          <w:left w:val="single" w:sz="4" w:space="6" w:color="D0D5DD"/>
        </w:pBdr>
      </w:pPr>
      <w:r>
        <w:rPr>
          <w:rFonts w:ascii="Consolas" w:hAnsi="Consolas"/>
          <w:color w:val="0B1F3A"/>
          <w:sz w:val="15"/>
        </w:rPr>
        <w:t xml:space="preserve">    | 'refunds_payable'          // owed to departed members.          Liability.</w:t>
      </w:r>
    </w:p>
    <w:p>
      <w:pPr>
        <w:spacing w:before="0" w:after="0" w:line="240" w:lineRule="auto"/>
        <w:ind w:left="230"/>
        <w:shd w:val="clear" w:color="auto" w:fill="F7F9FC"/>
        <w:pBdr>
          <w:left w:val="single" w:sz="4" w:space="6" w:color="D0D5DD"/>
        </w:pBdr>
      </w:pPr>
      <w:r>
        <w:rPr>
          <w:rFonts w:ascii="Consolas" w:hAnsi="Consolas"/>
          <w:color w:val="0B1F3A"/>
          <w:sz w:val="15"/>
        </w:rPr>
        <w:t xml:space="preserve">    | 'fees_income'              // AJO.ng's 2% service fee.             Revenue.</w:t>
      </w:r>
    </w:p>
    <w:p>
      <w:pPr>
        <w:spacing w:before="0" w:after="0" w:line="240" w:lineRule="auto"/>
        <w:ind w:left="230"/>
        <w:shd w:val="clear" w:color="auto" w:fill="F7F9FC"/>
        <w:pBdr>
          <w:left w:val="single" w:sz="4" w:space="6" w:color="D0D5DD"/>
        </w:pBdr>
      </w:pPr>
      <w:r>
        <w:rPr>
          <w:rFonts w:ascii="Consolas" w:hAnsi="Consolas"/>
          <w:color w:val="0B1F3A"/>
          <w:sz w:val="15"/>
        </w:rPr>
        <w:t xml:space="preserve">    | 'provider_clearing';       // PSP transactions not yet settled.</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type EntryKind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'contribution.received' | 'fee.recognised'</w:t>
      </w:r>
    </w:p>
    <w:p>
      <w:pPr>
        <w:spacing w:before="0" w:after="0" w:line="240" w:lineRule="auto"/>
        <w:ind w:left="230"/>
        <w:shd w:val="clear" w:color="auto" w:fill="F7F9FC"/>
        <w:pBdr>
          <w:left w:val="single" w:sz="4" w:space="6" w:color="D0D5DD"/>
        </w:pBdr>
      </w:pPr>
      <w:r>
        <w:rPr>
          <w:rFonts w:ascii="Consolas" w:hAnsi="Consolas"/>
          <w:color w:val="0B1F3A"/>
          <w:sz w:val="15"/>
        </w:rPr>
        <w:t xml:space="preserve">    | 'payout.recognized' | 'payout.settled'</w:t>
      </w:r>
    </w:p>
    <w:p>
      <w:pPr>
        <w:spacing w:before="0" w:after="0" w:line="240" w:lineRule="auto"/>
        <w:ind w:left="230"/>
        <w:shd w:val="clear" w:color="auto" w:fill="F7F9FC"/>
        <w:pBdr>
          <w:left w:val="single" w:sz="4" w:space="6" w:color="D0D5DD"/>
        </w:pBdr>
      </w:pPr>
      <w:r>
        <w:rPr>
          <w:rFonts w:ascii="Consolas" w:hAnsi="Consolas"/>
          <w:color w:val="0B1F3A"/>
          <w:sz w:val="15"/>
        </w:rPr>
        <w:t xml:space="preserve">    | 'default' | 'reversal';</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Every posting is balanced. A posting that does not balance is rejected. */</w:t>
      </w:r>
    </w:p>
    <w:p>
      <w:pPr>
        <w:spacing w:before="0" w:after="0" w:line="240" w:lineRule="auto"/>
        <w:ind w:left="230"/>
        <w:shd w:val="clear" w:color="auto" w:fill="F7F9FC"/>
        <w:pBdr>
          <w:left w:val="single" w:sz="4" w:space="6" w:color="D0D5DD"/>
        </w:pBdr>
      </w:pPr>
      <w:r>
        <w:rPr>
          <w:rFonts w:ascii="Consolas" w:hAnsi="Consolas"/>
          <w:color w:val="0B1F3A"/>
          <w:sz w:val="15"/>
        </w:rPr>
        <w:t xml:space="preserve">  const post = (e: Entry): Entry =&gt; {</w:t>
      </w:r>
    </w:p>
    <w:p>
      <w:pPr>
        <w:spacing w:before="0" w:after="0" w:line="240" w:lineRule="auto"/>
        <w:ind w:left="230"/>
        <w:shd w:val="clear" w:color="auto" w:fill="F7F9FC"/>
        <w:pBdr>
          <w:left w:val="single" w:sz="4" w:space="6" w:color="D0D5DD"/>
        </w:pBdr>
      </w:pPr>
      <w:r>
        <w:rPr>
          <w:rFonts w:ascii="Consolas" w:hAnsi="Consolas"/>
          <w:color w:val="0B1F3A"/>
          <w:sz w:val="15"/>
        </w:rPr>
        <w:t xml:space="preserve">    const debits  = e.lines.filter(l =&gt; l.side === 'debit')</w:t>
      </w:r>
    </w:p>
    <w:p>
      <w:pPr>
        <w:spacing w:before="0" w:after="0" w:line="240" w:lineRule="auto"/>
        <w:ind w:left="230"/>
        <w:shd w:val="clear" w:color="auto" w:fill="F7F9FC"/>
        <w:pBdr>
          <w:left w:val="single" w:sz="4" w:space="6" w:color="D0D5DD"/>
        </w:pBdr>
      </w:pPr>
      <w:r>
        <w:rPr>
          <w:rFonts w:ascii="Consolas" w:hAnsi="Consolas"/>
          <w:color w:val="0B1F3A"/>
          <w:sz w:val="15"/>
        </w:rPr>
        <w:t xml:space="preserve">                         .reduce((s, l) =&gt; s + l.amount, 0);</w:t>
      </w:r>
    </w:p>
    <w:p>
      <w:pPr>
        <w:spacing w:before="0" w:after="0" w:line="240" w:lineRule="auto"/>
        <w:ind w:left="230"/>
        <w:shd w:val="clear" w:color="auto" w:fill="F7F9FC"/>
        <w:pBdr>
          <w:left w:val="single" w:sz="4" w:space="6" w:color="D0D5DD"/>
        </w:pBdr>
      </w:pPr>
      <w:r>
        <w:rPr>
          <w:rFonts w:ascii="Consolas" w:hAnsi="Consolas"/>
          <w:color w:val="0B1F3A"/>
          <w:sz w:val="15"/>
        </w:rPr>
        <w:t xml:space="preserve">    const credits = e.lines.filter(l =&gt; l.side === 'credit')</w:t>
      </w:r>
    </w:p>
    <w:p>
      <w:pPr>
        <w:spacing w:before="0" w:after="0" w:line="240" w:lineRule="auto"/>
        <w:ind w:left="230"/>
        <w:shd w:val="clear" w:color="auto" w:fill="F7F9FC"/>
        <w:pBdr>
          <w:left w:val="single" w:sz="4" w:space="6" w:color="D0D5DD"/>
        </w:pBdr>
      </w:pPr>
      <w:r>
        <w:rPr>
          <w:rFonts w:ascii="Consolas" w:hAnsi="Consolas"/>
          <w:color w:val="0B1F3A"/>
          <w:sz w:val="15"/>
        </w:rPr>
        <w:t xml:space="preserve">                         .reduce((s, l) =&gt; s + l.amount, 0);</w:t>
      </w:r>
    </w:p>
    <w:p>
      <w:pPr>
        <w:spacing w:before="0" w:after="0" w:line="240" w:lineRule="auto"/>
        <w:ind w:left="230"/>
        <w:shd w:val="clear" w:color="auto" w:fill="F7F9FC"/>
        <w:pBdr>
          <w:left w:val="single" w:sz="4" w:space="6" w:color="D0D5DD"/>
        </w:pBdr>
      </w:pPr>
      <w:r>
        <w:rPr>
          <w:rFonts w:ascii="Consolas" w:hAnsi="Consolas"/>
          <w:color w:val="0B1F3A"/>
          <w:sz w:val="15"/>
        </w:rPr>
        <w:t xml:space="preserve">    if (debits !== credits) throw new Error('Unbalanced ledger entry');</w:t>
      </w:r>
    </w:p>
    <w:p>
      <w:pPr>
        <w:spacing w:before="0" w:after="0" w:line="240" w:lineRule="auto"/>
        <w:ind w:left="230"/>
        <w:shd w:val="clear" w:color="auto" w:fill="F7F9FC"/>
        <w:pBdr>
          <w:left w:val="single" w:sz="4" w:space="6" w:color="D0D5DD"/>
        </w:pBdr>
      </w:pPr>
      <w:r>
        <w:rPr>
          <w:rFonts w:ascii="Consolas" w:hAnsi="Consolas"/>
          <w:color w:val="0B1F3A"/>
          <w:sz w:val="15"/>
        </w:rPr>
        <w:t xml:space="preserve">    return Object.freeze({ ...e, reversalOf: e.reversalOf ?? null });</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A member paying in clears the receivable and banks the fee, as two</w:t>
      </w:r>
    </w:p>
    <w:p>
      <w:pPr>
        <w:spacing w:before="0" w:after="0" w:line="240" w:lineRule="auto"/>
        <w:ind w:left="230"/>
        <w:shd w:val="clear" w:color="auto" w:fill="F7F9FC"/>
        <w:pBdr>
          <w:left w:val="single" w:sz="4" w:space="6" w:color="D0D5DD"/>
        </w:pBdr>
      </w:pPr>
      <w:r>
        <w:rPr>
          <w:rFonts w:ascii="Consolas" w:hAnsi="Consolas"/>
          <w:color w:val="0B1F3A"/>
          <w:sz w:val="15"/>
        </w:rPr>
        <w:t xml:space="preserve">   * separately reversible entries. For a NGN 1,020.00 charge:</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contribution.received</w:t>
      </w:r>
    </w:p>
    <w:p>
      <w:pPr>
        <w:spacing w:before="0" w:after="0" w:line="240" w:lineRule="auto"/>
        <w:ind w:left="230"/>
        <w:shd w:val="clear" w:color="auto" w:fill="F7F9FC"/>
        <w:pBdr>
          <w:left w:val="single" w:sz="4" w:space="6" w:color="D0D5DD"/>
        </w:pBdr>
      </w:pPr>
      <w:r>
        <w:rPr>
          <w:rFonts w:ascii="Consolas" w:hAnsi="Consolas"/>
          <w:color w:val="0B1F3A"/>
          <w:sz w:val="15"/>
        </w:rPr>
        <w:t xml:space="preserve">   *     debit  escrow_cash                 100_000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     credit contributions_receivable   100_000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fee.recognised</w:t>
      </w:r>
    </w:p>
    <w:p>
      <w:pPr>
        <w:spacing w:before="0" w:after="0" w:line="240" w:lineRule="auto"/>
        <w:ind w:left="230"/>
        <w:shd w:val="clear" w:color="auto" w:fill="F7F9FC"/>
        <w:pBdr>
          <w:left w:val="single" w:sz="4" w:space="6" w:color="D0D5DD"/>
        </w:pBdr>
      </w:pPr>
      <w:r>
        <w:rPr>
          <w:rFonts w:ascii="Consolas" w:hAnsi="Consolas"/>
          <w:color w:val="0B1F3A"/>
          <w:sz w:val="15"/>
        </w:rPr>
        <w:t xml:space="preserve">   *     debit  escrow_cash                    2_000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     credit fees_income                    2_000</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They are separate so a provider refund can reverse the contribution while</w:t>
      </w:r>
    </w:p>
    <w:p>
      <w:pPr>
        <w:spacing w:before="0" w:after="0" w:line="240" w:lineRule="auto"/>
        <w:ind w:left="230"/>
        <w:shd w:val="clear" w:color="auto" w:fill="F7F9FC"/>
        <w:pBdr>
          <w:left w:val="single" w:sz="4" w:space="6" w:color="D0D5DD"/>
        </w:pBdr>
      </w:pPr>
      <w:r>
        <w:rPr>
          <w:rFonts w:ascii="Consolas" w:hAnsi="Consolas"/>
          <w:color w:val="0B1F3A"/>
          <w:sz w:val="15"/>
        </w:rPr>
        <w:t xml:space="preserve">   * keeping the earned fee. Collapsing them into one entry makes that</w:t>
      </w:r>
    </w:p>
    <w:p>
      <w:pPr>
        <w:spacing w:before="0" w:after="0" w:line="240" w:lineRule="auto"/>
        <w:ind w:left="230"/>
        <w:shd w:val="clear" w:color="auto" w:fill="F7F9FC"/>
        <w:pBdr>
          <w:left w:val="single" w:sz="4" w:space="6" w:color="D0D5DD"/>
        </w:pBdr>
      </w:pPr>
      <w:r>
        <w:rPr>
          <w:rFonts w:ascii="Consolas" w:hAnsi="Consolas"/>
          <w:color w:val="0B1F3A"/>
          <w:sz w:val="15"/>
        </w:rPr>
        <w:t xml:space="preserve">   * impossible to express, and a bare "credit fees_income" with no matching</w:t>
      </w:r>
    </w:p>
    <w:p>
      <w:pPr>
        <w:spacing w:before="0" w:after="0" w:line="240" w:lineRule="auto"/>
        <w:ind w:left="230"/>
        <w:shd w:val="clear" w:color="auto" w:fill="F7F9FC"/>
        <w:pBdr>
          <w:left w:val="single" w:sz="4" w:space="6" w:color="D0D5DD"/>
        </w:pBdr>
      </w:pPr>
      <w:r>
        <w:rPr>
          <w:rFonts w:ascii="Consolas" w:hAnsi="Consolas"/>
          <w:color w:val="0B1F3A"/>
          <w:sz w:val="15"/>
        </w:rPr>
        <w:t xml:space="preserve">   * debit is not a transaction at all -- post() rejects it.</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pStyle w:val="Heading3"/>
      </w:pPr>
      <w:r>
        <w:rPr>
          <w:rFonts w:ascii="Calibri" w:hAnsi="Calibri"/>
          <w:b/>
          <w:i w:val="0"/>
          <w:color w:val="0B1F3A"/>
          <w:sz w:val="24"/>
        </w:rPr>
        <w:t>C.3 Payout</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Recognition moves the obligation; settlement moves the cash.</w:t>
      </w:r>
    </w:p>
    <w:p>
      <w:pPr>
        <w:spacing w:before="0" w:after="0" w:line="240" w:lineRule="auto"/>
        <w:ind w:left="230"/>
        <w:shd w:val="clear" w:color="auto" w:fill="F7F9FC"/>
        <w:pBdr>
          <w:left w:val="single" w:sz="4" w:space="6" w:color="D0D5DD"/>
        </w:pBdr>
      </w:pPr>
      <w:r>
        <w:rPr>
          <w:rFonts w:ascii="Consolas" w:hAnsi="Consolas"/>
          <w:color w:val="0B1F3A"/>
          <w:sz w:val="15"/>
        </w:rPr>
        <w:t xml:space="preserve">   *   payout.recognized  debit contributions_receivable / credit payouts_payable</w:t>
      </w:r>
    </w:p>
    <w:p>
      <w:pPr>
        <w:spacing w:before="0" w:after="0" w:line="240" w:lineRule="auto"/>
        <w:ind w:left="230"/>
        <w:shd w:val="clear" w:color="auto" w:fill="F7F9FC"/>
        <w:pBdr>
          <w:left w:val="single" w:sz="4" w:space="6" w:color="D0D5DD"/>
        </w:pBdr>
      </w:pPr>
      <w:r>
        <w:rPr>
          <w:rFonts w:ascii="Consolas" w:hAnsi="Consolas"/>
          <w:color w:val="0B1F3A"/>
          <w:sz w:val="15"/>
        </w:rPr>
        <w:t xml:space="preserve">   *   payout.settled     debit payouts_payable      / credit escrow_cash</w:t>
      </w:r>
    </w:p>
    <w:p>
      <w:pPr>
        <w:spacing w:before="0" w:after="0" w:line="240" w:lineRule="auto"/>
        <w:ind w:left="230"/>
        <w:shd w:val="clear" w:color="auto" w:fill="F7F9FC"/>
        <w:pBdr>
          <w:left w:val="single" w:sz="4" w:space="6" w:color="D0D5DD"/>
        </w:pBdr>
      </w:pPr>
      <w:r>
        <w:rPr>
          <w:rFonts w:ascii="Consolas" w:hAnsi="Consolas"/>
          <w:color w:val="0B1F3A"/>
          <w:sz w:val="15"/>
        </w:rPr>
        <w:t xml:space="preserv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type PayoutState =</w:t>
      </w:r>
    </w:p>
    <w:p>
      <w:pPr>
        <w:spacing w:before="0" w:after="0" w:line="240" w:lineRule="auto"/>
        <w:ind w:left="230"/>
        <w:shd w:val="clear" w:color="auto" w:fill="F7F9FC"/>
        <w:pBdr>
          <w:left w:val="single" w:sz="4" w:space="6" w:color="D0D5DD"/>
        </w:pBdr>
      </w:pPr>
      <w:r>
        <w:rPr>
          <w:rFonts w:ascii="Consolas" w:hAnsi="Consolas"/>
          <w:color w:val="0B1F3A"/>
          <w:sz w:val="15"/>
        </w:rPr>
        <w:t xml:space="preserve">    | 'PENDING' | 'PRECHECKING' | 'QUEUED' | 'PROCESSING' | 'SUCCEEDED'</w:t>
      </w:r>
    </w:p>
    <w:p>
      <w:pPr>
        <w:spacing w:before="0" w:after="0" w:line="240" w:lineRule="auto"/>
        <w:ind w:left="230"/>
        <w:shd w:val="clear" w:color="auto" w:fill="F7F9FC"/>
        <w:pBdr>
          <w:left w:val="single" w:sz="4" w:space="6" w:color="D0D5DD"/>
        </w:pBdr>
      </w:pPr>
      <w:r>
        <w:rPr>
          <w:rFonts w:ascii="Consolas" w:hAnsi="Consolas"/>
          <w:color w:val="0B1F3A"/>
          <w:sz w:val="15"/>
        </w:rPr>
        <w:t xml:space="preserve">    | 'FAILED' | 'RETRYING' | 'REVIEW' | 'REVERSED';</w:t>
      </w:r>
    </w:p>
    <w:p>
      <w:pPr>
        <w:pStyle w:val="Heading3"/>
      </w:pPr>
      <w:r>
        <w:rPr>
          <w:rFonts w:ascii="Calibri" w:hAnsi="Calibri"/>
          <w:b/>
          <w:i w:val="0"/>
          <w:color w:val="0B1F3A"/>
          <w:sz w:val="24"/>
        </w:rPr>
        <w:t>C.4 Provider interface</w:t>
      </w:r>
    </w:p>
    <w:p>
      <w:pPr>
        <w:spacing w:before="0" w:after="0" w:line="240" w:lineRule="auto"/>
        <w:ind w:left="230"/>
        <w:shd w:val="clear" w:color="auto" w:fill="F7F9FC"/>
        <w:pBdr>
          <w:left w:val="single" w:sz="4" w:space="6" w:color="D0D5DD"/>
        </w:pBdr>
      </w:pPr>
      <w:r>
        <w:rPr>
          <w:rFonts w:ascii="Consolas" w:hAnsi="Consolas"/>
          <w:color w:val="0B1F3A"/>
          <w:sz w:val="14"/>
        </w:rPr>
        <w:t xml:space="preserve">  interface FinancialProvider {</w:t>
      </w:r>
    </w:p>
    <w:p>
      <w:pPr>
        <w:spacing w:before="0" w:after="0" w:line="240" w:lineRule="auto"/>
        <w:ind w:left="230"/>
        <w:shd w:val="clear" w:color="auto" w:fill="F7F9FC"/>
        <w:pBdr>
          <w:left w:val="single" w:sz="4" w:space="6" w:color="D0D5DD"/>
        </w:pBdr>
      </w:pPr>
      <w:r>
        <w:rPr>
          <w:rFonts w:ascii="Consolas" w:hAnsi="Consolas"/>
          <w:color w:val="0B1F3A"/>
          <w:sz w:val="14"/>
        </w:rPr>
        <w:t xml:space="preserve">    initiatePayment(req: PaymentRequest): Promise&lt;PaymentSession&gt;;</w:t>
      </w:r>
    </w:p>
    <w:p>
      <w:pPr>
        <w:spacing w:before="0" w:after="0" w:line="240" w:lineRule="auto"/>
        <w:ind w:left="230"/>
        <w:shd w:val="clear" w:color="auto" w:fill="F7F9FC"/>
        <w:pBdr>
          <w:left w:val="single" w:sz="4" w:space="6" w:color="D0D5DD"/>
        </w:pBdr>
      </w:pPr>
      <w:r>
        <w:rPr>
          <w:rFonts w:ascii="Consolas" w:hAnsi="Consolas"/>
          <w:color w:val="0B1F3A"/>
          <w:sz w:val="14"/>
        </w:rPr>
        <w:t xml:space="preserve">    verifyWebhook(req: RawWebhook): Promise&lt;WebhookEvent&gt;;</w:t>
      </w:r>
    </w:p>
    <w:p>
      <w:pPr>
        <w:spacing w:before="0" w:after="0" w:line="240" w:lineRule="auto"/>
        <w:ind w:left="230"/>
        <w:shd w:val="clear" w:color="auto" w:fill="F7F9FC"/>
        <w:pBdr>
          <w:left w:val="single" w:sz="4" w:space="6" w:color="D0D5DD"/>
        </w:pBdr>
      </w:pPr>
      <w:r>
        <w:rPr>
          <w:rFonts w:ascii="Consolas" w:hAnsi="Consolas"/>
          <w:color w:val="0B1F3A"/>
          <w:sz w:val="14"/>
        </w:rPr>
        <w:t xml:space="preserve">    queryPayment(ref: string): Promise&lt;PaymentStatus&gt;;</w:t>
      </w:r>
    </w:p>
    <w:p>
      <w:pPr>
        <w:spacing w:before="0" w:after="0" w:line="240" w:lineRule="auto"/>
        <w:ind w:left="230"/>
        <w:shd w:val="clear" w:color="auto" w:fill="F7F9FC"/>
        <w:pBdr>
          <w:left w:val="single" w:sz="4" w:space="6" w:color="D0D5DD"/>
        </w:pBdr>
      </w:pPr>
      <w:r>
        <w:rPr>
          <w:rFonts w:ascii="Consolas" w:hAnsi="Consolas"/>
          <w:color w:val="0B1F3A"/>
          <w:sz w:val="14"/>
        </w:rPr>
        <w:t xml:space="preserve">    transfer(req: TransferRequest): Promise&lt;TransferResult&gt;;</w:t>
      </w:r>
    </w:p>
    <w:p>
      <w:pPr>
        <w:spacing w:before="0" w:after="0" w:line="240" w:lineRule="auto"/>
        <w:ind w:left="230"/>
        <w:shd w:val="clear" w:color="auto" w:fill="F7F9FC"/>
        <w:pBdr>
          <w:left w:val="single" w:sz="4" w:space="6" w:color="D0D5DD"/>
        </w:pBdr>
      </w:pPr>
      <w:r>
        <w:rPr>
          <w:rFonts w:ascii="Consolas" w:hAnsi="Consolas"/>
          <w:color w:val="0B1F3A"/>
          <w:sz w:val="14"/>
        </w:rPr>
        <w:t xml:space="preserve">    reverseTransfer(ref: string, reason: string): Promise&lt;ReverseResult&gt;;</w:t>
      </w:r>
    </w:p>
    <w:p>
      <w:pPr>
        <w:spacing w:before="0" w:after="0" w:line="240" w:lineRule="auto"/>
        <w:ind w:left="230"/>
        <w:shd w:val="clear" w:color="auto" w:fill="F7F9FC"/>
        <w:pBdr>
          <w:left w:val="single" w:sz="4" w:space="6" w:color="D0D5DD"/>
        </w:pBdr>
      </w:pPr>
      <w:r>
        <w:rPr>
          <w:rFonts w:ascii="Consolas" w:hAnsi="Consolas"/>
          <w:color w:val="0B1F3A"/>
          <w:sz w:val="14"/>
        </w:rPr>
        <w:t xml:space="preserve">    queryTransfer(ref: string): Promise&lt;TransferStatus&gt;;</w:t>
      </w:r>
    </w:p>
    <w:p>
      <w:pPr>
        <w:spacing w:before="0" w:after="0" w:line="240" w:lineRule="auto"/>
        <w:ind w:left="230"/>
        <w:shd w:val="clear" w:color="auto" w:fill="F7F9FC"/>
        <w:pBdr>
          <w:left w:val="single" w:sz="4" w:space="6" w:color="D0D5DD"/>
        </w:pBdr>
      </w:pPr>
      <w:r>
        <w:rPr>
          <w:rFonts w:ascii="Consolas" w:hAnsi="Consolas"/>
          <w:color w:val="0B1F3A"/>
          <w:sz w:val="14"/>
        </w:rPr>
        <w:t xml:space="preserve">    resolveAccount(accountNumber: string): Promise&lt;AccountIdentity&gt;;</w:t>
      </w:r>
    </w:p>
    <w:p>
      <w:pPr>
        <w:spacing w:before="0" w:after="0" w:line="240" w:lineRule="auto"/>
        <w:ind w:left="230"/>
        <w:shd w:val="clear" w:color="auto" w:fill="F7F9FC"/>
        <w:pBdr>
          <w:left w:val="single" w:sz="4" w:space="6" w:color="D0D5DD"/>
        </w:pBdr>
      </w:pPr>
      <w:r>
        <w:rPr>
          <w:rFonts w:ascii="Consolas" w:hAnsi="Consolas"/>
          <w:color w:val="0B1F3A"/>
          <w:sz w:val="14"/>
        </w:rPr>
        <w:t xml:space="preserve">    collectFees(amount: MinorUnits): Promise&lt;FeeSettlement&gt;;</w:t>
      </w:r>
    </w:p>
    <w:p>
      <w:pPr>
        <w:spacing w:before="0" w:after="0" w:line="240" w:lineRule="auto"/>
        <w:ind w:left="230"/>
        <w:shd w:val="clear" w:color="auto" w:fill="F7F9FC"/>
        <w:pBdr>
          <w:left w:val="single" w:sz="4" w:space="6" w:color="D0D5DD"/>
        </w:pBdr>
      </w:pPr>
      <w:r>
        <w:rPr>
          <w:rFonts w:ascii="Consolas" w:hAnsi="Consolas"/>
          <w:color w:val="0B1F3A"/>
          <w:sz w:val="14"/>
        </w:rPr>
        <w:t xml:space="preserve">  }</w:t>
      </w:r>
    </w:p>
    <w:p>
      <w:pPr>
        <w:spacing w:before="0" w:after="0" w:line="240" w:lineRule="auto"/>
        <w:ind w:left="230"/>
        <w:shd w:val="clear" w:color="auto" w:fill="F7F9FC"/>
        <w:pBdr>
          <w:left w:val="single" w:sz="4" w:space="6" w:color="D0D5DD"/>
        </w:pBdr>
      </w:pPr>
      <w:r>
        <w:rPr>
          <w:rFonts w:ascii="Consolas" w:hAnsi="Consolas"/>
          <w:color w:val="0B1F3A"/>
          <w:sz w:val="14"/>
        </w:rPr>
        <w:t xml:space="preserve"> </w:t>
      </w:r>
    </w:p>
    <w:p>
      <w:pPr>
        <w:spacing w:before="0" w:after="0" w:line="240" w:lineRule="auto"/>
        <w:ind w:left="230"/>
        <w:shd w:val="clear" w:color="auto" w:fill="F7F9FC"/>
        <w:pBdr>
          <w:left w:val="single" w:sz="4" w:space="6" w:color="D0D5DD"/>
        </w:pBdr>
      </w:pPr>
      <w:r>
        <w:rPr>
          <w:rFonts w:ascii="Consolas" w:hAnsi="Consolas"/>
          <w:color w:val="0B1F3A"/>
          <w:sz w:val="14"/>
        </w:rPr>
        <w:t xml:space="preserve">  /** Refuses to construct when NODE_ENV === 'production'. Covered by a test. */</w:t>
      </w:r>
    </w:p>
    <w:p>
      <w:pPr>
        <w:spacing w:before="0" w:after="0" w:line="240" w:lineRule="auto"/>
        <w:ind w:left="230"/>
        <w:shd w:val="clear" w:color="auto" w:fill="F7F9FC"/>
        <w:pBdr>
          <w:left w:val="single" w:sz="4" w:space="6" w:color="D0D5DD"/>
        </w:pBdr>
      </w:pPr>
      <w:r>
        <w:rPr>
          <w:rFonts w:ascii="Consolas" w:hAnsi="Consolas"/>
          <w:color w:val="0B1F3A"/>
          <w:sz w:val="14"/>
        </w:rPr>
        <w:t xml:space="preserve">  class MockFinancialProvider implements FinancialProvider { /* in-memory */ }</w:t>
      </w:r>
    </w:p>
    <w:p>
      <w:pPr>
        <w:pStyle w:val="Heading3"/>
      </w:pPr>
      <w:r>
        <w:rPr>
          <w:rFonts w:ascii="Calibri" w:hAnsi="Calibri"/>
          <w:b/>
          <w:i w:val="0"/>
          <w:color w:val="0B1F3A"/>
          <w:sz w:val="24"/>
        </w:rPr>
        <w:t>C.5 Ajo states</w:t>
      </w:r>
    </w:p>
    <w:p>
      <w:pPr>
        <w:spacing w:before="0" w:after="0" w:line="240" w:lineRule="auto"/>
        <w:ind w:left="230"/>
        <w:shd w:val="clear" w:color="auto" w:fill="F7F9FC"/>
        <w:pBdr>
          <w:left w:val="single" w:sz="4" w:space="6" w:color="D0D5DD"/>
        </w:pBdr>
      </w:pPr>
      <w:r>
        <w:rPr>
          <w:rFonts w:ascii="Consolas" w:hAnsi="Consolas"/>
          <w:color w:val="0B1F3A"/>
          <w:sz w:val="14"/>
        </w:rPr>
        <w:t xml:space="preserve">  type AjoState =</w:t>
      </w:r>
    </w:p>
    <w:p>
      <w:pPr>
        <w:spacing w:before="0" w:after="0" w:line="240" w:lineRule="auto"/>
        <w:ind w:left="230"/>
        <w:shd w:val="clear" w:color="auto" w:fill="F7F9FC"/>
        <w:pBdr>
          <w:left w:val="single" w:sz="4" w:space="6" w:color="D0D5DD"/>
        </w:pBdr>
      </w:pPr>
      <w:r>
        <w:rPr>
          <w:rFonts w:ascii="Consolas" w:hAnsi="Consolas"/>
          <w:color w:val="0B1F3A"/>
          <w:sz w:val="14"/>
        </w:rPr>
        <w:t xml:space="preserve">    | 'DRAFT' | 'OPEN' | 'FUNDED' | 'ACTIVE' | 'COMPLETED' | 'CANCELLED';</w:t>
      </w:r>
    </w:p>
    <w:p>
      <w:pPr>
        <w:spacing w:before="0" w:after="0" w:line="240" w:lineRule="auto"/>
        <w:ind w:left="230"/>
        <w:shd w:val="clear" w:color="auto" w:fill="F7F9FC"/>
        <w:pBdr>
          <w:left w:val="single" w:sz="4" w:space="6" w:color="D0D5DD"/>
        </w:pBdr>
      </w:pPr>
      <w:r>
        <w:rPr>
          <w:rFonts w:ascii="Consolas" w:hAnsi="Consolas"/>
          <w:color w:val="0B1F3A"/>
          <w:sz w:val="14"/>
        </w:rPr>
        <w:t xml:space="preserve"> </w:t>
      </w:r>
    </w:p>
    <w:p>
      <w:pPr>
        <w:spacing w:before="0" w:after="0" w:line="240" w:lineRule="auto"/>
        <w:ind w:left="230"/>
        <w:shd w:val="clear" w:color="auto" w:fill="F7F9FC"/>
        <w:pBdr>
          <w:left w:val="single" w:sz="4" w:space="6" w:color="D0D5DD"/>
        </w:pBdr>
      </w:pPr>
      <w:r>
        <w:rPr>
          <w:rFonts w:ascii="Consolas" w:hAnsi="Consolas"/>
          <w:color w:val="0B1F3A"/>
          <w:sz w:val="14"/>
        </w:rPr>
        <w:t xml:space="preserve">  type PositionState =</w:t>
      </w:r>
    </w:p>
    <w:p>
      <w:pPr>
        <w:spacing w:before="0" w:after="0" w:line="240" w:lineRule="auto"/>
        <w:ind w:left="230"/>
        <w:shd w:val="clear" w:color="auto" w:fill="F7F9FC"/>
        <w:pBdr>
          <w:left w:val="single" w:sz="4" w:space="6" w:color="D0D5DD"/>
        </w:pBdr>
      </w:pPr>
      <w:r>
        <w:rPr>
          <w:rFonts w:ascii="Consolas" w:hAnsi="Consolas"/>
          <w:color w:val="0B1F3A"/>
          <w:sz w:val="14"/>
        </w:rPr>
        <w:t xml:space="preserve">    | 'PENDING' | 'LOCKED' | 'PAID' | 'DEFAULTED' | 'RECOVERED';</w:t>
      </w:r>
    </w:p>
    <w:p>
      <w:pPr>
        <w:spacing w:before="0" w:after="0" w:line="240" w:lineRule="auto"/>
        <w:ind w:left="230"/>
        <w:shd w:val="clear" w:color="auto" w:fill="F7F9FC"/>
        <w:pBdr>
          <w:left w:val="single" w:sz="4" w:space="6" w:color="D0D5DD"/>
        </w:pBdr>
      </w:pPr>
      <w:r>
        <w:rPr>
          <w:rFonts w:ascii="Consolas" w:hAnsi="Consolas"/>
          <w:color w:val="0B1F3A"/>
          <w:sz w:val="14"/>
        </w:rPr>
        <w:t xml:space="preserve"> </w:t>
      </w:r>
    </w:p>
    <w:p>
      <w:pPr>
        <w:spacing w:before="0" w:after="0" w:line="240" w:lineRule="auto"/>
        <w:ind w:left="230"/>
        <w:shd w:val="clear" w:color="auto" w:fill="F7F9FC"/>
        <w:pBdr>
          <w:left w:val="single" w:sz="4" w:space="6" w:color="D0D5DD"/>
        </w:pBdr>
      </w:pPr>
      <w:r>
        <w:rPr>
          <w:rFonts w:ascii="Consolas" w:hAnsi="Consolas"/>
          <w:color w:val="0B1F3A"/>
          <w:sz w:val="14"/>
        </w:rPr>
        <w:t xml:space="preserve">  /**</w:t>
      </w:r>
    </w:p>
    <w:p>
      <w:pPr>
        <w:spacing w:before="0" w:after="0" w:line="240" w:lineRule="auto"/>
        <w:ind w:left="230"/>
        <w:shd w:val="clear" w:color="auto" w:fill="F7F9FC"/>
        <w:pBdr>
          <w:left w:val="single" w:sz="4" w:space="6" w:color="D0D5DD"/>
        </w:pBdr>
      </w:pPr>
      <w:r>
        <w:rPr>
          <w:rFonts w:ascii="Consolas" w:hAnsi="Consolas"/>
          <w:color w:val="0B1F3A"/>
          <w:sz w:val="14"/>
        </w:rPr>
        <w:t xml:space="preserve">   * Invariants enforced by the state machine, not by callers:</w:t>
      </w:r>
    </w:p>
    <w:p>
      <w:pPr>
        <w:spacing w:before="0" w:after="0" w:line="240" w:lineRule="auto"/>
        <w:ind w:left="230"/>
        <w:shd w:val="clear" w:color="auto" w:fill="F7F9FC"/>
        <w:pBdr>
          <w:left w:val="single" w:sz="4" w:space="6" w:color="D0D5DD"/>
        </w:pBdr>
      </w:pPr>
      <w:r>
        <w:rPr>
          <w:rFonts w:ascii="Consolas" w:hAnsi="Consolas"/>
          <w:color w:val="0B1F3A"/>
          <w:sz w:val="14"/>
        </w:rPr>
        <w:t xml:space="preserve">   *  - enrollment is exactly 5 days</w:t>
      </w:r>
    </w:p>
    <w:p>
      <w:pPr>
        <w:spacing w:before="0" w:after="0" w:line="240" w:lineRule="auto"/>
        <w:ind w:left="230"/>
        <w:shd w:val="clear" w:color="auto" w:fill="F7F9FC"/>
        <w:pBdr>
          <w:left w:val="single" w:sz="4" w:space="6" w:color="D0D5DD"/>
        </w:pBdr>
      </w:pPr>
      <w:r>
        <w:rPr>
          <w:rFonts w:ascii="Consolas" w:hAnsi="Consolas"/>
          <w:color w:val="0B1F3A"/>
          <w:sz w:val="14"/>
        </w:rPr>
        <w:t xml:space="preserve">   *  - a position locks at activation and never unlocks</w:t>
      </w:r>
    </w:p>
    <w:p>
      <w:pPr>
        <w:spacing w:before="0" w:after="0" w:line="240" w:lineRule="auto"/>
        <w:ind w:left="230"/>
        <w:shd w:val="clear" w:color="auto" w:fill="F7F9FC"/>
        <w:pBdr>
          <w:left w:val="single" w:sz="4" w:space="6" w:color="D0D5DD"/>
        </w:pBdr>
      </w:pPr>
      <w:r>
        <w:rPr>
          <w:rFonts w:ascii="Consolas" w:hAnsi="Consolas"/>
          <w:color w:val="0B1F3A"/>
          <w:sz w:val="14"/>
        </w:rPr>
        <w:t xml:space="preserve">   *  - ACTIVE requires FUNDED</w:t>
      </w:r>
    </w:p>
    <w:p>
      <w:pPr>
        <w:spacing w:before="0" w:after="0" w:line="240" w:lineRule="auto"/>
        <w:ind w:left="230"/>
        <w:shd w:val="clear" w:color="auto" w:fill="F7F9FC"/>
        <w:pBdr>
          <w:left w:val="single" w:sz="4" w:space="6" w:color="D0D5DD"/>
        </w:pBdr>
      </w:pPr>
      <w:r>
        <w:rPr>
          <w:rFonts w:ascii="Consolas" w:hAnsi="Consolas"/>
          <w:color w:val="0B1F3A"/>
          <w:sz w:val="14"/>
        </w:rPr>
        <w:t xml:space="preserve">   *  - COMPLETED and CANCELLED are terminal</w:t>
      </w:r>
    </w:p>
    <w:p>
      <w:pPr>
        <w:spacing w:before="0" w:after="0" w:line="240" w:lineRule="auto"/>
        <w:ind w:left="230"/>
        <w:shd w:val="clear" w:color="auto" w:fill="F7F9FC"/>
        <w:pBdr>
          <w:left w:val="single" w:sz="4" w:space="6" w:color="D0D5DD"/>
        </w:pBdr>
      </w:pPr>
      <w:r>
        <w:rPr>
          <w:rFonts w:ascii="Consolas" w:hAnsi="Consolas"/>
          <w:color w:val="0B1F3A"/>
          <w:sz w:val="14"/>
        </w:rPr>
        <w:t xml:space="preserve">   *  - no transition bypasses a payment prerequisite</w:t>
      </w:r>
    </w:p>
    <w:p>
      <w:pPr>
        <w:spacing w:before="0" w:after="0" w:line="240" w:lineRule="auto"/>
        <w:ind w:left="230"/>
        <w:shd w:val="clear" w:color="auto" w:fill="F7F9FC"/>
        <w:pBdr>
          <w:left w:val="single" w:sz="4" w:space="6" w:color="D0D5DD"/>
        </w:pBdr>
      </w:pPr>
      <w:r>
        <w:rPr>
          <w:rFonts w:ascii="Consolas" w:hAnsi="Consolas"/>
          <w:color w:val="0B1F3A"/>
          <w:sz w:val="14"/>
        </w:rPr>
        <w:t xml:space="preserve">   */</w:t>
      </w:r>
    </w:p>
    <w:p>
      <w:pPr>
        <w:spacing w:before="140" w:after="180"/>
        <w:ind w:left="144"/>
        <w:shd w:val="clear" w:color="auto" w:fill="EFF6FF"/>
        <w:pBdr>
          <w:left w:val="single" w:sz="18" w:space="6" w:color="146EF5"/>
        </w:pBdr>
      </w:pPr>
      <w:r>
        <w:rPr>
          <w:rFonts w:ascii="Calibri" w:hAnsi="Calibri"/>
          <w:b/>
          <w:color w:val="146EF5"/>
          <w:sz w:val="19"/>
        </w:rPr>
        <w:t xml:space="preserve">These types are the reason the money rules are consistent.  </w:t>
      </w:r>
      <w:r>
        <w:rPr>
          <w:rFonts w:ascii="Calibri" w:hAnsi="Calibri"/>
          <w:b w:val="0"/>
          <w:i w:val="0"/>
          <w:color w:val="0B1F3A"/>
          <w:sz w:val="19"/>
        </w:rPr>
        <w:t>Because the client, the API, and the workers all import the same domain core, a rule such as 'the fee is 2%, in integer kobo' is implemented exactly once. It cannot drift between the app and the backend, and it cannot be bypassed by a new code path, because the type system will not permit it.</w:t>
      </w:r>
    </w:p>
    <w:p>
      <w:pPr>
        <w:pStyle w:val="Heading2"/>
      </w:pPr>
      <w:r>
        <w:rPr>
          <w:rFonts w:ascii="Calibri" w:hAnsi="Calibri"/>
          <w:b/>
          <w:i w:val="0"/>
          <w:color w:val="146EF5"/>
          <w:sz w:val="29"/>
        </w:rPr>
        <w:t>Appendix D — Sample reconciliation report</w:t>
      </w:r>
    </w:p>
    <w:p>
      <w:r>
        <w:rPr>
          <w:rFonts w:ascii="Calibri" w:hAnsi="Calibri"/>
          <w:b w:val="0"/>
          <w:i w:val="0"/>
          <w:color w:val="101828"/>
          <w:sz w:val="21"/>
        </w:rPr>
        <w:t>The daily reconciliation record from section 13.8.2, in the form produced and signed off by the named owner.</w:t>
      </w:r>
    </w:p>
    <w:p>
      <w:pPr>
        <w:spacing w:before="0" w:after="0" w:line="240" w:lineRule="auto"/>
        <w:ind w:left="230"/>
        <w:shd w:val="clear" w:color="auto" w:fill="F7F9FC"/>
        <w:pBdr>
          <w:left w:val="single" w:sz="4" w:space="6" w:color="D0D5DD"/>
        </w:pBdr>
      </w:pPr>
      <w:r>
        <w:rPr>
          <w:rFonts w:ascii="Consolas" w:hAnsi="Consolas"/>
          <w:color w:val="0B1F3A"/>
          <w:sz w:val="14"/>
        </w:rPr>
        <w:t xml:space="preserve">  DAILY RECONCILIATION — {date}</w:t>
      </w:r>
    </w:p>
    <w:p>
      <w:pPr>
        <w:spacing w:before="0" w:after="0" w:line="240" w:lineRule="auto"/>
        <w:ind w:left="230"/>
        <w:shd w:val="clear" w:color="auto" w:fill="F7F9FC"/>
        <w:pBdr>
          <w:left w:val="single" w:sz="4" w:space="6" w:color="D0D5DD"/>
        </w:pBdr>
      </w:pPr>
      <w:r>
        <w:rPr>
          <w:rFonts w:ascii="Consolas" w:hAnsi="Consolas"/>
          <w:color w:val="0B1F3A"/>
          <w:sz w:val="14"/>
        </w:rPr>
        <w:t xml:space="preserve">  Owner: {name, role}            Signed: {timestamp}</w:t>
      </w:r>
    </w:p>
    <w:p>
      <w:pPr>
        <w:spacing w:before="0" w:after="0" w:line="240" w:lineRule="auto"/>
        <w:ind w:left="230"/>
        <w:shd w:val="clear" w:color="auto" w:fill="F7F9FC"/>
        <w:pBdr>
          <w:left w:val="single" w:sz="4" w:space="6" w:color="D0D5DD"/>
        </w:pBdr>
      </w:pPr>
      <w:r>
        <w:rPr>
          <w:rFonts w:ascii="Consolas" w:hAnsi="Consolas"/>
          <w:color w:val="0B1F3A"/>
          <w:sz w:val="14"/>
        </w:rPr>
        <w:t xml:space="preserve"> </w:t>
      </w:r>
    </w:p>
    <w:p>
      <w:pPr>
        <w:spacing w:before="0" w:after="0" w:line="240" w:lineRule="auto"/>
        <w:ind w:left="230"/>
        <w:shd w:val="clear" w:color="auto" w:fill="F7F9FC"/>
        <w:pBdr>
          <w:left w:val="single" w:sz="4" w:space="6" w:color="D0D5DD"/>
        </w:pBdr>
      </w:pPr>
      <w:r>
        <w:rPr>
          <w:rFonts w:ascii="Consolas" w:hAnsi="Consolas"/>
          <w:color w:val="0B1F3A"/>
          <w:sz w:val="14"/>
        </w:rPr>
        <w:t xml:space="preserve">  1. PROVIDER SETTLEMENT</w:t>
      </w:r>
    </w:p>
    <w:p>
      <w:pPr>
        <w:spacing w:before="0" w:after="0" w:line="240" w:lineRule="auto"/>
        <w:ind w:left="230"/>
        <w:shd w:val="clear" w:color="auto" w:fill="F7F9FC"/>
        <w:pBdr>
          <w:left w:val="single" w:sz="4" w:space="6" w:color="D0D5DD"/>
        </w:pBdr>
      </w:pPr>
      <w:r>
        <w:rPr>
          <w:rFonts w:ascii="Consolas" w:hAnsi="Consolas"/>
          <w:color w:val="0B1F3A"/>
          <w:sz w:val="14"/>
        </w:rPr>
        <w:t xml:space="preserve">     Provider-reported volume    NGN 1,284,500.00</w:t>
      </w:r>
    </w:p>
    <w:p>
      <w:pPr>
        <w:spacing w:before="0" w:after="0" w:line="240" w:lineRule="auto"/>
        <w:ind w:left="230"/>
        <w:shd w:val="clear" w:color="auto" w:fill="F7F9FC"/>
        <w:pBdr>
          <w:left w:val="single" w:sz="4" w:space="6" w:color="D0D5DD"/>
        </w:pBdr>
      </w:pPr>
      <w:r>
        <w:rPr>
          <w:rFonts w:ascii="Consolas" w:hAnsi="Consolas"/>
          <w:color w:val="0B1F3A"/>
          <w:sz w:val="14"/>
        </w:rPr>
        <w:t xml:space="preserve">     Ledger-matched volume       NGN 1,284,500.00</w:t>
      </w:r>
    </w:p>
    <w:p>
      <w:pPr>
        <w:spacing w:before="0" w:after="0" w:line="240" w:lineRule="auto"/>
        <w:ind w:left="230"/>
        <w:shd w:val="clear" w:color="auto" w:fill="F7F9FC"/>
        <w:pBdr>
          <w:left w:val="single" w:sz="4" w:space="6" w:color="D0D5DD"/>
        </w:pBdr>
      </w:pPr>
      <w:r>
        <w:rPr>
          <w:rFonts w:ascii="Consolas" w:hAnsi="Consolas"/>
          <w:color w:val="0B1F3A"/>
          <w:sz w:val="14"/>
        </w:rPr>
        <w:t xml:space="preserve">     Unmatched                   NGN 0.00                    ✓ balanced</w:t>
      </w:r>
    </w:p>
    <w:p>
      <w:pPr>
        <w:spacing w:before="0" w:after="0" w:line="240" w:lineRule="auto"/>
        <w:ind w:left="230"/>
        <w:shd w:val="clear" w:color="auto" w:fill="F7F9FC"/>
        <w:pBdr>
          <w:left w:val="single" w:sz="4" w:space="6" w:color="D0D5DD"/>
        </w:pBdr>
      </w:pPr>
      <w:r>
        <w:rPr>
          <w:rFonts w:ascii="Consolas" w:hAnsi="Consolas"/>
          <w:color w:val="0B1F3A"/>
          <w:sz w:val="14"/>
        </w:rPr>
        <w:t xml:space="preserve"> </w:t>
      </w:r>
    </w:p>
    <w:p>
      <w:pPr>
        <w:spacing w:before="0" w:after="0" w:line="240" w:lineRule="auto"/>
        <w:ind w:left="230"/>
        <w:shd w:val="clear" w:color="auto" w:fill="F7F9FC"/>
        <w:pBdr>
          <w:left w:val="single" w:sz="4" w:space="6" w:color="D0D5DD"/>
        </w:pBdr>
      </w:pPr>
      <w:r>
        <w:rPr>
          <w:rFonts w:ascii="Consolas" w:hAnsi="Consolas"/>
          <w:color w:val="0B1F3A"/>
          <w:sz w:val="14"/>
        </w:rPr>
        <w:t xml:space="preserve">  2. BANK STATEMENT</w:t>
      </w:r>
    </w:p>
    <w:p>
      <w:pPr>
        <w:spacing w:before="0" w:after="0" w:line="240" w:lineRule="auto"/>
        <w:ind w:left="230"/>
        <w:shd w:val="clear" w:color="auto" w:fill="F7F9FC"/>
        <w:pBdr>
          <w:left w:val="single" w:sz="4" w:space="6" w:color="D0D5DD"/>
        </w:pBdr>
      </w:pPr>
      <w:r>
        <w:rPr>
          <w:rFonts w:ascii="Consolas" w:hAnsi="Consolas"/>
          <w:color w:val="0B1F3A"/>
          <w:sz w:val="14"/>
        </w:rPr>
        <w:t xml:space="preserve">     Collection account          NGN   912,340.00</w:t>
      </w:r>
    </w:p>
    <w:p>
      <w:pPr>
        <w:spacing w:before="0" w:after="0" w:line="240" w:lineRule="auto"/>
        <w:ind w:left="230"/>
        <w:shd w:val="clear" w:color="auto" w:fill="F7F9FC"/>
        <w:pBdr>
          <w:left w:val="single" w:sz="4" w:space="6" w:color="D0D5DD"/>
        </w:pBdr>
      </w:pPr>
      <w:r>
        <w:rPr>
          <w:rFonts w:ascii="Consolas" w:hAnsi="Consolas"/>
          <w:color w:val="0B1F3A"/>
          <w:sz w:val="14"/>
        </w:rPr>
        <w:t xml:space="preserve">     Payout account              NGN  -312,000.00</w:t>
      </w:r>
    </w:p>
    <w:p>
      <w:pPr>
        <w:spacing w:before="0" w:after="0" w:line="240" w:lineRule="auto"/>
        <w:ind w:left="230"/>
        <w:shd w:val="clear" w:color="auto" w:fill="F7F9FC"/>
        <w:pBdr>
          <w:left w:val="single" w:sz="4" w:space="6" w:color="D0D5DD"/>
        </w:pBdr>
      </w:pPr>
      <w:r>
        <w:rPr>
          <w:rFonts w:ascii="Consolas" w:hAnsi="Consolas"/>
          <w:color w:val="0B1F3A"/>
          <w:sz w:val="14"/>
        </w:rPr>
        <w:t xml:space="preserve">     Fee account                 NGN    684,160.00</w:t>
      </w:r>
    </w:p>
    <w:p>
      <w:pPr>
        <w:spacing w:before="0" w:after="0" w:line="240" w:lineRule="auto"/>
        <w:ind w:left="230"/>
        <w:shd w:val="clear" w:color="auto" w:fill="F7F9FC"/>
        <w:pBdr>
          <w:left w:val="single" w:sz="4" w:space="6" w:color="D0D5DD"/>
        </w:pBdr>
      </w:pPr>
      <w:r>
        <w:rPr>
          <w:rFonts w:ascii="Consolas" w:hAnsi="Consolas"/>
          <w:color w:val="0B1F3A"/>
          <w:sz w:val="14"/>
        </w:rPr>
        <w:t xml:space="preserve">     Expected from ledger        NGN 1,284,500.00            ✓ balanced</w:t>
      </w:r>
    </w:p>
    <w:p>
      <w:pPr>
        <w:spacing w:before="0" w:after="0" w:line="240" w:lineRule="auto"/>
        <w:ind w:left="230"/>
        <w:shd w:val="clear" w:color="auto" w:fill="F7F9FC"/>
        <w:pBdr>
          <w:left w:val="single" w:sz="4" w:space="6" w:color="D0D5DD"/>
        </w:pBdr>
      </w:pPr>
      <w:r>
        <w:rPr>
          <w:rFonts w:ascii="Consolas" w:hAnsi="Consolas"/>
          <w:color w:val="0B1F3A"/>
          <w:sz w:val="14"/>
        </w:rPr>
        <w:t xml:space="preserve"> </w:t>
      </w:r>
    </w:p>
    <w:p>
      <w:pPr>
        <w:spacing w:before="0" w:after="0" w:line="240" w:lineRule="auto"/>
        <w:ind w:left="230"/>
        <w:shd w:val="clear" w:color="auto" w:fill="F7F9FC"/>
        <w:pBdr>
          <w:left w:val="single" w:sz="4" w:space="6" w:color="D0D5DD"/>
        </w:pBdr>
      </w:pPr>
      <w:r>
        <w:rPr>
          <w:rFonts w:ascii="Consolas" w:hAnsi="Consolas"/>
          <w:color w:val="0B1F3A"/>
          <w:sz w:val="14"/>
        </w:rPr>
        <w:t xml:space="preserve">  3. INTERNAL CONSISTENCY</w:t>
      </w:r>
    </w:p>
    <w:p>
      <w:pPr>
        <w:spacing w:before="0" w:after="0" w:line="240" w:lineRule="auto"/>
        <w:ind w:left="230"/>
        <w:shd w:val="clear" w:color="auto" w:fill="F7F9FC"/>
        <w:pBdr>
          <w:left w:val="single" w:sz="4" w:space="6" w:color="D0D5DD"/>
        </w:pBdr>
      </w:pPr>
      <w:r>
        <w:rPr>
          <w:rFonts w:ascii="Consolas" w:hAnsi="Consolas"/>
          <w:color w:val="0B1F3A"/>
          <w:sz w:val="14"/>
        </w:rPr>
        <w:t xml:space="preserve">     Sum of ledger entries       NGN 1,284,500.00</w:t>
      </w:r>
    </w:p>
    <w:p>
      <w:pPr>
        <w:spacing w:before="0" w:after="0" w:line="240" w:lineRule="auto"/>
        <w:ind w:left="230"/>
        <w:shd w:val="clear" w:color="auto" w:fill="F7F9FC"/>
        <w:pBdr>
          <w:left w:val="single" w:sz="4" w:space="6" w:color="D0D5DD"/>
        </w:pBdr>
      </w:pPr>
      <w:r>
        <w:rPr>
          <w:rFonts w:ascii="Consolas" w:hAnsi="Consolas"/>
          <w:color w:val="0B1F3A"/>
          <w:sz w:val="14"/>
        </w:rPr>
        <w:t xml:space="preserve">     Sum of member balances      NGN 1,284,500.00</w:t>
      </w:r>
    </w:p>
    <w:p>
      <w:pPr>
        <w:spacing w:before="0" w:after="0" w:line="240" w:lineRule="auto"/>
        <w:ind w:left="230"/>
        <w:shd w:val="clear" w:color="auto" w:fill="F7F9FC"/>
        <w:pBdr>
          <w:left w:val="single" w:sz="4" w:space="6" w:color="D0D5DD"/>
        </w:pBdr>
      </w:pPr>
      <w:r>
        <w:rPr>
          <w:rFonts w:ascii="Consolas" w:hAnsi="Consolas"/>
          <w:color w:val="0B1F3A"/>
          <w:sz w:val="14"/>
        </w:rPr>
        <w:t xml:space="preserve">     Escrow cash position        NGN 1,284,500.00            ✓ INVARIANT HOLDS</w:t>
      </w:r>
    </w:p>
    <w:p>
      <w:pPr>
        <w:spacing w:before="0" w:after="0" w:line="240" w:lineRule="auto"/>
        <w:ind w:left="230"/>
        <w:shd w:val="clear" w:color="auto" w:fill="F7F9FC"/>
        <w:pBdr>
          <w:left w:val="single" w:sz="4" w:space="6" w:color="D0D5DD"/>
        </w:pBdr>
      </w:pPr>
      <w:r>
        <w:rPr>
          <w:rFonts w:ascii="Consolas" w:hAnsi="Consolas"/>
          <w:color w:val="0B1F3A"/>
          <w:sz w:val="14"/>
        </w:rPr>
        <w:t xml:space="preserve"> </w:t>
      </w:r>
    </w:p>
    <w:p>
      <w:pPr>
        <w:spacing w:before="0" w:after="0" w:line="240" w:lineRule="auto"/>
        <w:ind w:left="230"/>
        <w:shd w:val="clear" w:color="auto" w:fill="F7F9FC"/>
        <w:pBdr>
          <w:left w:val="single" w:sz="4" w:space="6" w:color="D0D5DD"/>
        </w:pBdr>
      </w:pPr>
      <w:r>
        <w:rPr>
          <w:rFonts w:ascii="Consolas" w:hAnsi="Consolas"/>
          <w:color w:val="0B1F3A"/>
          <w:sz w:val="14"/>
        </w:rPr>
        <w:t xml:space="preserve">  4. FEE REVENUE</w:t>
      </w:r>
    </w:p>
    <w:p>
      <w:pPr>
        <w:spacing w:before="0" w:after="0" w:line="240" w:lineRule="auto"/>
        <w:ind w:left="230"/>
        <w:shd w:val="clear" w:color="auto" w:fill="F7F9FC"/>
        <w:pBdr>
          <w:left w:val="single" w:sz="4" w:space="6" w:color="D0D5DD"/>
        </w:pBdr>
      </w:pPr>
      <w:r>
        <w:rPr>
          <w:rFonts w:ascii="Consolas" w:hAnsi="Consolas"/>
          <w:color w:val="0B1F3A"/>
          <w:sz w:val="14"/>
        </w:rPr>
        <w:t xml:space="preserve">     Fees recognised             NGN    25,690.00  (2.00% of contributions)</w:t>
      </w:r>
    </w:p>
    <w:p>
      <w:pPr>
        <w:spacing w:before="0" w:after="0" w:line="240" w:lineRule="auto"/>
        <w:ind w:left="230"/>
        <w:shd w:val="clear" w:color="auto" w:fill="F7F9FC"/>
        <w:pBdr>
          <w:left w:val="single" w:sz="4" w:space="6" w:color="D0D5DD"/>
        </w:pBdr>
      </w:pPr>
      <w:r>
        <w:rPr>
          <w:rFonts w:ascii="Consolas" w:hAnsi="Consolas"/>
          <w:color w:val="0B1F3A"/>
          <w:sz w:val="14"/>
        </w:rPr>
        <w:t xml:space="preserve">     Fees settled to fee account  NGN    25,690.00            ✓ agrees</w:t>
      </w:r>
    </w:p>
    <w:p>
      <w:pPr>
        <w:spacing w:before="0" w:after="0" w:line="240" w:lineRule="auto"/>
        <w:ind w:left="230"/>
        <w:shd w:val="clear" w:color="auto" w:fill="F7F9FC"/>
        <w:pBdr>
          <w:left w:val="single" w:sz="4" w:space="6" w:color="D0D5DD"/>
        </w:pBdr>
      </w:pPr>
      <w:r>
        <w:rPr>
          <w:rFonts w:ascii="Consolas" w:hAnsi="Consolas"/>
          <w:color w:val="0B1F3A"/>
          <w:sz w:val="14"/>
        </w:rPr>
        <w:t xml:space="preserve"> </w:t>
      </w:r>
    </w:p>
    <w:p>
      <w:pPr>
        <w:spacing w:before="0" w:after="0" w:line="240" w:lineRule="auto"/>
        <w:ind w:left="230"/>
        <w:shd w:val="clear" w:color="auto" w:fill="F7F9FC"/>
        <w:pBdr>
          <w:left w:val="single" w:sz="4" w:space="6" w:color="D0D5DD"/>
        </w:pBdr>
      </w:pPr>
      <w:r>
        <w:rPr>
          <w:rFonts w:ascii="Consolas" w:hAnsi="Consolas"/>
          <w:color w:val="0B1F3A"/>
          <w:sz w:val="14"/>
        </w:rPr>
        <w:t xml:space="preserve">  ITEMS REQUIRING ATTENTION</w:t>
      </w:r>
    </w:p>
    <w:p>
      <w:pPr>
        <w:spacing w:before="0" w:after="0" w:line="240" w:lineRule="auto"/>
        <w:ind w:left="230"/>
        <w:shd w:val="clear" w:color="auto" w:fill="F7F9FC"/>
        <w:pBdr>
          <w:left w:val="single" w:sz="4" w:space="6" w:color="D0D5DD"/>
        </w:pBdr>
      </w:pPr>
      <w:r>
        <w:rPr>
          <w:rFonts w:ascii="Consolas" w:hAnsi="Consolas"/>
          <w:color w:val="0B1F3A"/>
          <w:sz w:val="14"/>
        </w:rPr>
        <w:t xml:space="preserve">     Unidentified inbound, 1–7 days     NGN 5,000.00   (1 transaction)</w:t>
      </w:r>
    </w:p>
    <w:p>
      <w:pPr>
        <w:spacing w:before="0" w:after="0" w:line="240" w:lineRule="auto"/>
        <w:ind w:left="230"/>
        <w:shd w:val="clear" w:color="auto" w:fill="F7F9FC"/>
        <w:pBdr>
          <w:left w:val="single" w:sz="4" w:space="6" w:color="D0D5DD"/>
        </w:pBdr>
      </w:pPr>
      <w:r>
        <w:rPr>
          <w:rFonts w:ascii="Consolas" w:hAnsi="Consolas"/>
          <w:color w:val="0B1F3A"/>
          <w:sz w:val="14"/>
        </w:rPr>
        <w:t xml:space="preserve">     Oldest unidentified                 3 days</w:t>
      </w:r>
    </w:p>
    <w:p>
      <w:pPr>
        <w:spacing w:before="0" w:after="0" w:line="240" w:lineRule="auto"/>
        <w:ind w:left="230"/>
        <w:shd w:val="clear" w:color="auto" w:fill="F7F9FC"/>
        <w:pBdr>
          <w:left w:val="single" w:sz="4" w:space="6" w:color="D0D5DD"/>
        </w:pBdr>
      </w:pPr>
      <w:r>
        <w:rPr>
          <w:rFonts w:ascii="Consolas" w:hAnsi="Consolas"/>
          <w:color w:val="0B1F3A"/>
          <w:sz w:val="14"/>
        </w:rPr>
        <w:t xml:space="preserve">     Assigned to: reconciliation queue   Review by {date}</w:t>
      </w:r>
    </w:p>
    <w:p>
      <w:pPr>
        <w:spacing w:before="0" w:after="0" w:line="240" w:lineRule="auto"/>
        <w:ind w:left="230"/>
        <w:shd w:val="clear" w:color="auto" w:fill="F7F9FC"/>
        <w:pBdr>
          <w:left w:val="single" w:sz="4" w:space="6" w:color="D0D5DD"/>
        </w:pBdr>
      </w:pPr>
      <w:r>
        <w:rPr>
          <w:rFonts w:ascii="Consolas" w:hAnsi="Consolas"/>
          <w:color w:val="0B1F3A"/>
          <w:sz w:val="14"/>
        </w:rPr>
        <w:t xml:space="preserve"> </w:t>
      </w:r>
    </w:p>
    <w:p>
      <w:pPr>
        <w:spacing w:before="0" w:after="0" w:line="240" w:lineRule="auto"/>
        <w:ind w:left="230"/>
        <w:shd w:val="clear" w:color="auto" w:fill="F7F9FC"/>
        <w:pBdr>
          <w:left w:val="single" w:sz="4" w:space="6" w:color="D0D5DD"/>
        </w:pBdr>
      </w:pPr>
      <w:r>
        <w:rPr>
          <w:rFonts w:ascii="Consolas" w:hAnsi="Consolas"/>
          <w:color w:val="0B1F3A"/>
          <w:sz w:val="14"/>
        </w:rPr>
        <w:t xml:space="preserve">  OUTCOME: Reconciled. Payouts not held.</w:t>
      </w:r>
    </w:p>
    <w:p>
      <w:r>
        <w:rPr>
          <w:rFonts w:ascii="Calibri" w:hAnsi="Calibri"/>
          <w:b w:val="0"/>
          <w:i w:val="0"/>
          <w:color w:val="101828"/>
          <w:sz w:val="21"/>
        </w:rPr>
        <w:t>The single most important line in this report is the internal consistency check. It is the invariant from section 13.8.2, and while it holds, no payout is ever released against a balance the platform cannot substantiate.</w:t>
      </w:r>
    </w:p>
    <w:p>
      <w:pPr>
        <w:pStyle w:val="Heading2"/>
      </w:pPr>
      <w:r>
        <w:rPr>
          <w:rFonts w:ascii="Calibri" w:hAnsi="Calibri"/>
          <w:b/>
          <w:i w:val="0"/>
          <w:color w:val="146EF5"/>
          <w:sz w:val="29"/>
        </w:rPr>
        <w:t>Appendix E — Glossary</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Term</w:t>
            </w:r>
          </w:p>
        </w:tc>
        <w:tc>
          <w:tcPr>
            <w:tcW w:type="dxa" w:w="6912"/>
            <w:shd w:val="clear" w:color="auto" w:fill="0B1F3A"/>
            <w:tcMar>
              <w:top w:w="60" w:type="dxa"/>
              <w:start w:w="110" w:type="dxa"/>
              <w:bottom w:w="60" w:type="dxa"/>
              <w:end w:w="110" w:type="dxa"/>
            </w:tcMar>
          </w:tcPr>
          <w:p>
            <w:pPr>
              <w:spacing w:after="0"/>
            </w:pPr>
            <w:r/>
            <w:r>
              <w:rPr>
                <w:rFonts w:ascii="Calibri" w:hAnsi="Calibri"/>
                <w:b/>
                <w:i w:val="0"/>
                <w:color w:val="FFFFFF"/>
                <w:sz w:val="16"/>
              </w:rPr>
              <w:t>Definition</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Ajo</w:t>
            </w:r>
          </w:p>
        </w:tc>
        <w:tc>
          <w:tcPr>
            <w:tcW w:type="dxa" w:w="6912"/>
            <w:tcMar>
              <w:top w:w="60" w:type="dxa"/>
              <w:start w:w="110" w:type="dxa"/>
              <w:bottom w:w="60" w:type="dxa"/>
              <w:end w:w="110" w:type="dxa"/>
            </w:tcMar>
          </w:tcPr>
          <w:p>
            <w:pPr>
              <w:spacing w:after="0"/>
            </w:pPr>
            <w:r/>
            <w:r>
              <w:rPr>
                <w:rFonts w:ascii="Calibri" w:hAnsi="Calibri"/>
                <w:b w:val="0"/>
                <w:i w:val="0"/>
                <w:color w:val="101828"/>
                <w:sz w:val="16"/>
              </w:rPr>
              <w:t>A rotating savings group. Members contribute on a schedule and each member receives the full pool in turn</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Position</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One member's place in one Ajo, with its own commitment and its own payment state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Contribution</w:t>
            </w:r>
          </w:p>
        </w:tc>
        <w:tc>
          <w:tcPr>
            <w:tcW w:type="dxa" w:w="6912"/>
            <w:tcMar>
              <w:top w:w="60" w:type="dxa"/>
              <w:start w:w="110" w:type="dxa"/>
              <w:bottom w:w="60" w:type="dxa"/>
              <w:end w:w="110" w:type="dxa"/>
            </w:tcMar>
          </w:tcPr>
          <w:p>
            <w:pPr>
              <w:spacing w:after="0"/>
            </w:pPr>
            <w:r/>
            <w:r>
              <w:rPr>
                <w:rFonts w:ascii="Calibri" w:hAnsi="Calibri"/>
                <w:b w:val="0"/>
                <w:i w:val="0"/>
                <w:color w:val="101828"/>
                <w:sz w:val="16"/>
              </w:rPr>
              <w:t>A member's payment into the Ajo pool for a round. Counts only on capture, per BR-021</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Service fee</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The 2% charged on every contribution, in addition to the contribution amount. Never taken from the payout</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Round</w:t>
            </w:r>
          </w:p>
        </w:tc>
        <w:tc>
          <w:tcPr>
            <w:tcW w:type="dxa" w:w="6912"/>
            <w:tcMar>
              <w:top w:w="60" w:type="dxa"/>
              <w:start w:w="110" w:type="dxa"/>
              <w:bottom w:w="60" w:type="dxa"/>
              <w:end w:w="110" w:type="dxa"/>
            </w:tcMar>
          </w:tcPr>
          <w:p>
            <w:pPr>
              <w:spacing w:after="0"/>
            </w:pPr>
            <w:r/>
            <w:r>
              <w:rPr>
                <w:rFonts w:ascii="Calibri" w:hAnsi="Calibri"/>
                <w:b w:val="0"/>
                <w:i w:val="0"/>
                <w:color w:val="101828"/>
                <w:sz w:val="16"/>
              </w:rPr>
              <w:t>One collection cycle within an Ajo. Ten rounds in the standard Ajo</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Enrollment window</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The 5-day period during which members may join an Ajo before it activates</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Activation</w:t>
            </w:r>
          </w:p>
        </w:tc>
        <w:tc>
          <w:tcPr>
            <w:tcW w:type="dxa" w:w="6912"/>
            <w:tcMar>
              <w:top w:w="60" w:type="dxa"/>
              <w:start w:w="110" w:type="dxa"/>
              <w:bottom w:w="60" w:type="dxa"/>
              <w:end w:w="110" w:type="dxa"/>
            </w:tcMar>
          </w:tcPr>
          <w:p>
            <w:pPr>
              <w:spacing w:after="0"/>
            </w:pPr>
            <w:r/>
            <w:r>
              <w:rPr>
                <w:rFonts w:ascii="Calibri" w:hAnsi="Calibri"/>
                <w:b w:val="0"/>
                <w:i w:val="0"/>
                <w:color w:val="101828"/>
                <w:sz w:val="16"/>
              </w:rPr>
              <w:t>The transition of an Ajo to FUNDED, once every position is fully paid. Positions lock at this point</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Default</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A contribution not made by its deadline, after the 48-hour grace period, per BR-012</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Grace period</w:t>
            </w:r>
          </w:p>
        </w:tc>
        <w:tc>
          <w:tcPr>
            <w:tcW w:type="dxa" w:w="6912"/>
            <w:tcMar>
              <w:top w:w="60" w:type="dxa"/>
              <w:start w:w="110" w:type="dxa"/>
              <w:bottom w:w="60" w:type="dxa"/>
              <w:end w:w="110" w:type="dxa"/>
            </w:tcMar>
          </w:tcPr>
          <w:p>
            <w:pPr>
              <w:spacing w:after="0"/>
            </w:pPr>
            <w:r/>
            <w:r>
              <w:rPr>
                <w:rFonts w:ascii="Calibri" w:hAnsi="Calibri"/>
                <w:b w:val="0"/>
                <w:i w:val="0"/>
                <w:color w:val="101828"/>
                <w:sz w:val="16"/>
              </w:rPr>
              <w:t>48 hours after a missed deadline during which a member may cure the default without penalty</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Recovery</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Curing a default by paying, restoring the position to funded without changing the agreed pool</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Payout</w:t>
            </w:r>
          </w:p>
        </w:tc>
        <w:tc>
          <w:tcPr>
            <w:tcW w:type="dxa" w:w="6912"/>
            <w:tcMar>
              <w:top w:w="60" w:type="dxa"/>
              <w:start w:w="110" w:type="dxa"/>
              <w:bottom w:w="60" w:type="dxa"/>
              <w:end w:w="110" w:type="dxa"/>
            </w:tcMar>
          </w:tcPr>
          <w:p>
            <w:pPr>
              <w:spacing w:after="0"/>
            </w:pPr>
            <w:r/>
            <w:r>
              <w:rPr>
                <w:rFonts w:ascii="Calibri" w:hAnsi="Calibri"/>
                <w:b w:val="0"/>
                <w:i w:val="0"/>
                <w:color w:val="101828"/>
                <w:sz w:val="16"/>
              </w:rPr>
              <w:t>The release of a completed Ajo's pool to the member whose turn it is</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Batch payout</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The simultaneous release of the pool to every member of a completing Ajo</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PayoutIntent</w:t>
            </w:r>
          </w:p>
        </w:tc>
        <w:tc>
          <w:tcPr>
            <w:tcW w:type="dxa" w:w="6912"/>
            <w:tcMar>
              <w:top w:w="60" w:type="dxa"/>
              <w:start w:w="110" w:type="dxa"/>
              <w:bottom w:w="60" w:type="dxa"/>
              <w:end w:w="110" w:type="dxa"/>
            </w:tcMar>
          </w:tcPr>
          <w:p>
            <w:pPr>
              <w:spacing w:after="0"/>
            </w:pPr>
            <w:r/>
            <w:r>
              <w:rPr>
                <w:rFonts w:ascii="Calibri" w:hAnsi="Calibri"/>
                <w:b w:val="0"/>
                <w:i w:val="0"/>
                <w:color w:val="101828"/>
                <w:sz w:val="16"/>
              </w:rPr>
              <w:t>The record of a payout's lifecycle, from prechecking to settlement or review</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Escrow</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The ring-fenced position from which payouts are made. </w:t>
            </w:r>
            <w:r>
              <w:rPr>
                <w:rFonts w:ascii="Calibri" w:hAnsi="Calibri"/>
                <w:b/>
                <w:color w:val="101828"/>
                <w:sz w:val="16"/>
              </w:rPr>
              <w:t>AJO.ng holds no member funds itself, pending the determination in section 24</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Ledger</w:t>
            </w:r>
          </w:p>
        </w:tc>
        <w:tc>
          <w:tcPr>
            <w:tcW w:type="dxa" w:w="6912"/>
            <w:tcMar>
              <w:top w:w="60" w:type="dxa"/>
              <w:start w:w="110" w:type="dxa"/>
              <w:bottom w:w="60" w:type="dxa"/>
              <w:end w:w="110" w:type="dxa"/>
            </w:tcMar>
          </w:tcPr>
          <w:p>
            <w:pPr>
              <w:spacing w:after="0"/>
            </w:pPr>
            <w:r/>
            <w:r>
              <w:rPr>
                <w:rFonts w:ascii="Calibri" w:hAnsi="Calibri"/>
                <w:b w:val="0"/>
                <w:i w:val="0"/>
                <w:color w:val="101828"/>
                <w:sz w:val="16"/>
              </w:rPr>
              <w:t>The append-only record of every money movement, as balanced double-entry postings. The source of truth</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Entry</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One balanced set of debit and credit lines. Immutable once written</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Reversal</w:t>
            </w:r>
          </w:p>
        </w:tc>
        <w:tc>
          <w:tcPr>
            <w:tcW w:type="dxa" w:w="6912"/>
            <w:tcMar>
              <w:top w:w="60" w:type="dxa"/>
              <w:start w:w="110" w:type="dxa"/>
              <w:bottom w:w="60" w:type="dxa"/>
              <w:end w:w="110" w:type="dxa"/>
            </w:tcMar>
          </w:tcPr>
          <w:p>
            <w:pPr>
              <w:spacing w:after="0"/>
            </w:pPr>
            <w:r/>
            <w:r>
              <w:rPr>
                <w:rFonts w:ascii="Calibri" w:hAnsi="Calibri"/>
                <w:b w:val="0"/>
                <w:i w:val="0"/>
                <w:color w:val="101828"/>
                <w:sz w:val="16"/>
              </w:rPr>
              <w:t>A balanced entry that exactly cancels an earlier entry. The only permitted correction</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Account kind</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A ledger account classification: escrow cash, contributions receivable, fee income, payouts payable, settlement in flight, or suspense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Fee income</w:t>
            </w:r>
          </w:p>
        </w:tc>
        <w:tc>
          <w:tcPr>
            <w:tcW w:type="dxa" w:w="6912"/>
            <w:tcMar>
              <w:top w:w="60" w:type="dxa"/>
              <w:start w:w="110" w:type="dxa"/>
              <w:bottom w:w="60" w:type="dxa"/>
              <w:end w:w="110" w:type="dxa"/>
            </w:tcMar>
          </w:tcPr>
          <w:p>
            <w:pPr>
              <w:spacing w:after="0"/>
            </w:pPr>
            <w:r/>
            <w:r>
              <w:rPr>
                <w:rFonts w:ascii="Calibri" w:hAnsi="Calibri"/>
                <w:b w:val="0"/>
                <w:i w:val="0"/>
                <w:color w:val="101828"/>
                <w:sz w:val="16"/>
              </w:rPr>
              <w:t>Revenue recognised on captured contributions at 2%. Not a member's money and never a payout</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Suspense</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A holding account for unidentified or unmatched money pending investigation</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Reconciliation</w:t>
            </w:r>
          </w:p>
        </w:tc>
        <w:tc>
          <w:tcPr>
            <w:tcW w:type="dxa" w:w="6912"/>
            <w:tcMar>
              <w:top w:w="60" w:type="dxa"/>
              <w:start w:w="110" w:type="dxa"/>
              <w:bottom w:w="60" w:type="dxa"/>
              <w:end w:w="110" w:type="dxa"/>
            </w:tcMar>
          </w:tcPr>
          <w:p>
            <w:pPr>
              <w:spacing w:after="0"/>
            </w:pPr>
            <w:r/>
            <w:r>
              <w:rPr>
                <w:rFonts w:ascii="Calibri" w:hAnsi="Calibri"/>
                <w:b w:val="0"/>
                <w:i w:val="0"/>
                <w:color w:val="101828"/>
                <w:sz w:val="16"/>
              </w:rPr>
              <w:t>The daily process of proving the ledger, the balances, and the bank statements agree</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The invariant</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Ledger sum = sum of member balances = escrow cash. Zero tolerance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Cooling-off</w:t>
            </w:r>
          </w:p>
        </w:tc>
        <w:tc>
          <w:tcPr>
            <w:tcW w:type="dxa" w:w="6912"/>
            <w:tcMar>
              <w:top w:w="60" w:type="dxa"/>
              <w:start w:w="110" w:type="dxa"/>
              <w:bottom w:w="60" w:type="dxa"/>
              <w:end w:w="110" w:type="dxa"/>
            </w:tcMar>
          </w:tcPr>
          <w:p>
            <w:pPr>
              <w:spacing w:after="0"/>
            </w:pPr>
            <w:r/>
            <w:r>
              <w:rPr>
                <w:rFonts w:ascii="Calibri" w:hAnsi="Calibri"/>
                <w:b w:val="0"/>
                <w:i w:val="0"/>
                <w:color w:val="101828"/>
                <w:sz w:val="16"/>
              </w:rPr>
              <w:t>The 14-day period after a payout destination change during which a payout cannot be released</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Step-up authentication</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A fresh authentication challenge required before a sensitive action, such as changing a bank account or releasing a payout</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Idempotency key</w:t>
            </w:r>
          </w:p>
        </w:tc>
        <w:tc>
          <w:tcPr>
            <w:tcW w:type="dxa" w:w="6912"/>
            <w:tcMar>
              <w:top w:w="60" w:type="dxa"/>
              <w:start w:w="110" w:type="dxa"/>
              <w:bottom w:w="60" w:type="dxa"/>
              <w:end w:w="110" w:type="dxa"/>
            </w:tcMar>
          </w:tcPr>
          <w:p>
            <w:pPr>
              <w:spacing w:after="0"/>
            </w:pPr>
            <w:r/>
            <w:r>
              <w:rPr>
                <w:rFonts w:ascii="Calibri" w:hAnsi="Calibri"/>
                <w:b w:val="0"/>
                <w:i w:val="0"/>
                <w:color w:val="101828"/>
                <w:sz w:val="16"/>
              </w:rPr>
              <w:t>A client-generated key that makes a retried request safe, so money moves at most once</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FinancialProvider</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The interface through which all money movement occurs, keeping the application independent of any provider SDK</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Capture</w:t>
            </w:r>
          </w:p>
        </w:tc>
        <w:tc>
          <w:tcPr>
            <w:tcW w:type="dxa" w:w="6912"/>
            <w:tcMar>
              <w:top w:w="60" w:type="dxa"/>
              <w:start w:w="110" w:type="dxa"/>
              <w:bottom w:w="60" w:type="dxa"/>
              <w:end w:w="110" w:type="dxa"/>
            </w:tcMar>
          </w:tcPr>
          <w:p>
            <w:pPr>
              <w:spacing w:after="0"/>
            </w:pPr>
            <w:r/>
            <w:r>
              <w:rPr>
                <w:rFonts w:ascii="Calibri" w:hAnsi="Calibri"/>
                <w:b w:val="0"/>
                <w:i w:val="0"/>
                <w:color w:val="101828"/>
                <w:sz w:val="16"/>
              </w:rPr>
              <w:t>The point at which a contribution becomes a confirmed payment, on verified webhook evidence</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Webhook</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A signed notification from the payment provider that a payment succeeded or failed. </w:t>
            </w:r>
            <w:r>
              <w:rPr>
                <w:rFonts w:ascii="Calibri" w:hAnsi="Calibri"/>
                <w:b/>
                <w:color w:val="101828"/>
                <w:sz w:val="16"/>
              </w:rPr>
              <w:t>The only authoritative confirmation</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Hold</w:t>
            </w:r>
          </w:p>
        </w:tc>
        <w:tc>
          <w:tcPr>
            <w:tcW w:type="dxa" w:w="6912"/>
            <w:tcMar>
              <w:top w:w="60" w:type="dxa"/>
              <w:start w:w="110" w:type="dxa"/>
              <w:bottom w:w="60" w:type="dxa"/>
              <w:end w:w="110" w:type="dxa"/>
            </w:tcMar>
          </w:tcPr>
          <w:p>
            <w:pPr>
              <w:spacing w:after="0"/>
            </w:pPr>
            <w:r/>
            <w:r>
              <w:rPr>
                <w:rFonts w:ascii="Calibri" w:hAnsi="Calibri"/>
                <w:b w:val="0"/>
                <w:i w:val="0"/>
                <w:color w:val="101828"/>
                <w:sz w:val="16"/>
              </w:rPr>
              <w:t>A temporary pause on a payment pending review, always with a stated reason, an owner, and a deadline</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Freeze</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 xml:space="preserve">A restriction on sending money: contributions, new Ajos, withdrawals to a changed destination. </w:t>
            </w:r>
            <w:r>
              <w:rPr>
                <w:rFonts w:ascii="Calibri" w:hAnsi="Calibri"/>
                <w:b/>
                <w:color w:val="101828"/>
                <w:sz w:val="16"/>
              </w:rPr>
              <w:t>Never prevents receiving a payout</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Money mule</w:t>
            </w:r>
          </w:p>
        </w:tc>
        <w:tc>
          <w:tcPr>
            <w:tcW w:type="dxa" w:w="6912"/>
            <w:tcMar>
              <w:top w:w="60" w:type="dxa"/>
              <w:start w:w="110" w:type="dxa"/>
              <w:bottom w:w="60" w:type="dxa"/>
              <w:end w:w="110" w:type="dxa"/>
            </w:tcMar>
          </w:tcPr>
          <w:p>
            <w:pPr>
              <w:spacing w:after="0"/>
            </w:pPr>
            <w:r/>
            <w:r>
              <w:rPr>
                <w:rFonts w:ascii="Calibri" w:hAnsi="Calibri"/>
                <w:b w:val="0"/>
                <w:i w:val="0"/>
                <w:color w:val="101828"/>
                <w:sz w:val="16"/>
              </w:rPr>
              <w:t>An account used to receive and forward funds for someone else. A criminal use of a member's account</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Beneficial owner</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The natural person who ultimately owns or controls an account</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PEP</w:t>
            </w:r>
          </w:p>
        </w:tc>
        <w:tc>
          <w:tcPr>
            <w:tcW w:type="dxa" w:w="6912"/>
            <w:tcMar>
              <w:top w:w="60" w:type="dxa"/>
              <w:start w:w="110" w:type="dxa"/>
              <w:bottom w:w="60" w:type="dxa"/>
              <w:end w:w="110" w:type="dxa"/>
            </w:tcMar>
          </w:tcPr>
          <w:p>
            <w:pPr>
              <w:spacing w:after="0"/>
            </w:pPr>
            <w:r/>
            <w:r>
              <w:rPr>
                <w:rFonts w:ascii="Calibri" w:hAnsi="Calibri"/>
                <w:b w:val="0"/>
                <w:i w:val="0"/>
                <w:color w:val="101828"/>
                <w:sz w:val="16"/>
              </w:rPr>
              <w:t>A politically exposed person, subject to enhanced due diligence</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SAR</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A Suspicious Activity Report, filed to the Financial Intelligence Unit within the statutory deadline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EDD</w:t>
            </w:r>
          </w:p>
        </w:tc>
        <w:tc>
          <w:tcPr>
            <w:tcW w:type="dxa" w:w="6912"/>
            <w:tcMar>
              <w:top w:w="60" w:type="dxa"/>
              <w:start w:w="110" w:type="dxa"/>
              <w:bottom w:w="60" w:type="dxa"/>
              <w:end w:w="110" w:type="dxa"/>
            </w:tcMar>
          </w:tcPr>
          <w:p>
            <w:pPr>
              <w:spacing w:after="0"/>
            </w:pPr>
            <w:r/>
            <w:r>
              <w:rPr>
                <w:rFonts w:ascii="Calibri" w:hAnsi="Calibri"/>
                <w:b w:val="0"/>
                <w:i w:val="0"/>
                <w:color w:val="101828"/>
                <w:sz w:val="16"/>
              </w:rPr>
              <w:t>Enhanced due diligence, applied to higher-risk members</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CDD</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Customer due diligence: verifying a member's identity before they can hold a payoutable position</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RLS</w:t>
            </w:r>
          </w:p>
        </w:tc>
        <w:tc>
          <w:tcPr>
            <w:tcW w:type="dxa" w:w="6912"/>
            <w:tcMar>
              <w:top w:w="60" w:type="dxa"/>
              <w:start w:w="110" w:type="dxa"/>
              <w:bottom w:w="60" w:type="dxa"/>
              <w:end w:w="110" w:type="dxa"/>
            </w:tcMar>
          </w:tcPr>
          <w:p>
            <w:pPr>
              <w:spacing w:after="0"/>
            </w:pPr>
            <w:r/>
            <w:r>
              <w:rPr>
                <w:rFonts w:ascii="Calibri" w:hAnsi="Calibri"/>
                <w:b w:val="0"/>
                <w:i w:val="0"/>
                <w:color w:val="101828"/>
                <w:sz w:val="16"/>
              </w:rPr>
              <w:t>PostgreSQL Row Level Security. A database-enforced second authorization layer</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DPA</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A Data Processing Agreement with a processor of member personal data</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RPO / RTO</w:t>
            </w:r>
          </w:p>
        </w:tc>
        <w:tc>
          <w:tcPr>
            <w:tcW w:type="dxa" w:w="6912"/>
            <w:tcMar>
              <w:top w:w="60" w:type="dxa"/>
              <w:start w:w="110" w:type="dxa"/>
              <w:bottom w:w="60" w:type="dxa"/>
              <w:end w:w="110" w:type="dxa"/>
            </w:tcMar>
          </w:tcPr>
          <w:p>
            <w:pPr>
              <w:spacing w:after="0"/>
            </w:pPr>
            <w:r/>
            <w:r>
              <w:rPr>
                <w:rFonts w:ascii="Calibri" w:hAnsi="Calibri"/>
                <w:b w:val="0"/>
                <w:i w:val="0"/>
                <w:color w:val="101828"/>
                <w:sz w:val="16"/>
              </w:rPr>
              <w:t>Recovery Point Objective (data loss tolerated) and Recovery Time Objective (maximum downtime tolerated)</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SLO / error budget</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A Service Level Objective and the permitted amount of failure within a period</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Your Ajo. Your Story.</w:t>
            </w:r>
          </w:p>
        </w:tc>
        <w:tc>
          <w:tcPr>
            <w:tcW w:type="dxa" w:w="6912"/>
            <w:tcMar>
              <w:top w:w="60" w:type="dxa"/>
              <w:start w:w="110" w:type="dxa"/>
              <w:bottom w:w="60" w:type="dxa"/>
              <w:end w:w="110" w:type="dxa"/>
            </w:tcMar>
          </w:tcPr>
          <w:p>
            <w:pPr>
              <w:spacing w:after="0"/>
            </w:pPr>
            <w:r/>
            <w:r>
              <w:rPr>
                <w:rFonts w:ascii="Calibri" w:hAnsi="Calibri"/>
                <w:b w:val="0"/>
                <w:i w:val="0"/>
                <w:color w:val="101828"/>
                <w:sz w:val="16"/>
              </w:rPr>
              <w:t>The AJO.ng tagline</w:t>
            </w:r>
          </w:p>
        </w:tc>
      </w:tr>
    </w:tbl>
    <w:p>
      <w:pPr>
        <w:spacing w:after="80"/>
      </w:pPr>
    </w:p>
    <w:p>
      <w:pPr>
        <w:pStyle w:val="Heading2"/>
      </w:pPr>
      <w:r>
        <w:rPr>
          <w:rFonts w:ascii="Calibri" w:hAnsi="Calibri"/>
          <w:b/>
          <w:i w:val="0"/>
          <w:color w:val="146EF5"/>
          <w:sz w:val="29"/>
        </w:rPr>
        <w:t>Appendix F — Glossary of abbreviations</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1872"/>
            <w:shd w:val="clear" w:color="auto" w:fill="0B1F3A"/>
            <w:tcMar>
              <w:top w:w="60" w:type="dxa"/>
              <w:start w:w="110" w:type="dxa"/>
              <w:bottom w:w="60" w:type="dxa"/>
              <w:end w:w="110" w:type="dxa"/>
            </w:tcMar>
          </w:tcPr>
          <w:p>
            <w:pPr>
              <w:spacing w:after="0"/>
            </w:pPr>
            <w:r/>
            <w:r>
              <w:rPr>
                <w:rFonts w:ascii="Calibri" w:hAnsi="Calibri"/>
                <w:b/>
                <w:i w:val="0"/>
                <w:color w:val="FFFFFF"/>
                <w:sz w:val="16"/>
              </w:rPr>
              <w:t>Abbreviation</w:t>
            </w:r>
          </w:p>
        </w:tc>
        <w:tc>
          <w:tcPr>
            <w:tcW w:type="dxa" w:w="7488"/>
            <w:shd w:val="clear" w:color="auto" w:fill="0B1F3A"/>
            <w:tcMar>
              <w:top w:w="60" w:type="dxa"/>
              <w:start w:w="110" w:type="dxa"/>
              <w:bottom w:w="60" w:type="dxa"/>
              <w:end w:w="110" w:type="dxa"/>
            </w:tcMar>
          </w:tcPr>
          <w:p>
            <w:pPr>
              <w:spacing w:after="0"/>
            </w:pPr>
            <w:r/>
            <w:r>
              <w:rPr>
                <w:rFonts w:ascii="Calibri" w:hAnsi="Calibri"/>
                <w:b/>
                <w:i w:val="0"/>
                <w:color w:val="FFFFFF"/>
                <w:sz w:val="16"/>
              </w:rPr>
              <w:t>Meaning</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Ajo</w:t>
            </w:r>
          </w:p>
        </w:tc>
        <w:tc>
          <w:tcPr>
            <w:tcW w:type="dxa" w:w="7488"/>
            <w:tcMar>
              <w:top w:w="60" w:type="dxa"/>
              <w:start w:w="110" w:type="dxa"/>
              <w:bottom w:w="60" w:type="dxa"/>
              <w:end w:w="110" w:type="dxa"/>
            </w:tcMar>
          </w:tcPr>
          <w:p>
            <w:pPr>
              <w:spacing w:after="0"/>
            </w:pPr>
            <w:r/>
            <w:r>
              <w:rPr>
                <w:rFonts w:ascii="Calibri" w:hAnsi="Calibri"/>
                <w:b w:val="0"/>
                <w:i w:val="0"/>
                <w:color w:val="101828"/>
                <w:sz w:val="16"/>
              </w:rPr>
              <w:t>Rotating savings group, the core AJO.ng concept</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API</w:t>
            </w:r>
          </w:p>
        </w:tc>
        <w:tc>
          <w:tcPr>
            <w:tcW w:type="dxa" w:w="7488"/>
            <w:tcMar>
              <w:top w:w="60" w:type="dxa"/>
              <w:start w:w="110" w:type="dxa"/>
              <w:bottom w:w="60" w:type="dxa"/>
              <w:end w:w="110" w:type="dxa"/>
            </w:tcMar>
            <w:shd w:val="clear" w:color="auto" w:fill="F4F7FB"/>
          </w:tcPr>
          <w:p>
            <w:pPr>
              <w:spacing w:after="0"/>
            </w:pPr>
            <w:r/>
            <w:r>
              <w:rPr>
                <w:rFonts w:ascii="Calibri" w:hAnsi="Calibri"/>
                <w:b w:val="0"/>
                <w:i w:val="0"/>
                <w:color w:val="101828"/>
                <w:sz w:val="16"/>
              </w:rPr>
              <w:t>Application Programming Interface</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BVN</w:t>
            </w:r>
          </w:p>
        </w:tc>
        <w:tc>
          <w:tcPr>
            <w:tcW w:type="dxa" w:w="7488"/>
            <w:tcMar>
              <w:top w:w="60" w:type="dxa"/>
              <w:start w:w="110" w:type="dxa"/>
              <w:bottom w:w="60" w:type="dxa"/>
              <w:end w:w="110" w:type="dxa"/>
            </w:tcMar>
          </w:tcPr>
          <w:p>
            <w:pPr>
              <w:spacing w:after="0"/>
            </w:pPr>
            <w:r/>
            <w:r>
              <w:rPr>
                <w:rFonts w:ascii="Calibri" w:hAnsi="Calibri"/>
                <w:b w:val="0"/>
                <w:i w:val="0"/>
                <w:color w:val="101828"/>
                <w:sz w:val="16"/>
              </w:rPr>
              <w:t>Bank Verification Number. A Nigerian identity verification number</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CDD / EDD</w:t>
            </w:r>
          </w:p>
        </w:tc>
        <w:tc>
          <w:tcPr>
            <w:tcW w:type="dxa" w:w="7488"/>
            <w:tcMar>
              <w:top w:w="60" w:type="dxa"/>
              <w:start w:w="110" w:type="dxa"/>
              <w:bottom w:w="60" w:type="dxa"/>
              <w:end w:w="110" w:type="dxa"/>
            </w:tcMar>
            <w:shd w:val="clear" w:color="auto" w:fill="F4F7FB"/>
          </w:tcPr>
          <w:p>
            <w:pPr>
              <w:spacing w:after="0"/>
            </w:pPr>
            <w:r/>
            <w:r>
              <w:rPr>
                <w:rFonts w:ascii="Calibri" w:hAnsi="Calibri"/>
                <w:b w:val="0"/>
                <w:i w:val="0"/>
                <w:color w:val="101828"/>
                <w:sz w:val="16"/>
              </w:rPr>
              <w:t>Customer due diligence / Enhanced due diligence</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CI / CD</w:t>
            </w:r>
          </w:p>
        </w:tc>
        <w:tc>
          <w:tcPr>
            <w:tcW w:type="dxa" w:w="7488"/>
            <w:tcMar>
              <w:top w:w="60" w:type="dxa"/>
              <w:start w:w="110" w:type="dxa"/>
              <w:bottom w:w="60" w:type="dxa"/>
              <w:end w:w="110" w:type="dxa"/>
            </w:tcMar>
          </w:tcPr>
          <w:p>
            <w:pPr>
              <w:spacing w:after="0"/>
            </w:pPr>
            <w:r/>
            <w:r>
              <w:rPr>
                <w:rFonts w:ascii="Calibri" w:hAnsi="Calibri"/>
                <w:b w:val="0"/>
                <w:i w:val="0"/>
                <w:color w:val="101828"/>
                <w:sz w:val="16"/>
              </w:rPr>
              <w:t>Continuous integration / Continuous delivery</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DPA</w:t>
            </w:r>
          </w:p>
        </w:tc>
        <w:tc>
          <w:tcPr>
            <w:tcW w:type="dxa" w:w="7488"/>
            <w:tcMar>
              <w:top w:w="60" w:type="dxa"/>
              <w:start w:w="110" w:type="dxa"/>
              <w:bottom w:w="60" w:type="dxa"/>
              <w:end w:w="110" w:type="dxa"/>
            </w:tcMar>
            <w:shd w:val="clear" w:color="auto" w:fill="F4F7FB"/>
          </w:tcPr>
          <w:p>
            <w:pPr>
              <w:spacing w:after="0"/>
            </w:pPr>
            <w:r/>
            <w:r>
              <w:rPr>
                <w:rFonts w:ascii="Calibri" w:hAnsi="Calibri"/>
                <w:b w:val="0"/>
                <w:i w:val="0"/>
                <w:color w:val="101828"/>
                <w:sz w:val="16"/>
              </w:rPr>
              <w:t>Data Processing Agreement</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DUT</w:t>
            </w:r>
          </w:p>
        </w:tc>
        <w:tc>
          <w:tcPr>
            <w:tcW w:type="dxa" w:w="7488"/>
            <w:tcMar>
              <w:top w:w="60" w:type="dxa"/>
              <w:start w:w="110" w:type="dxa"/>
              <w:bottom w:w="60" w:type="dxa"/>
              <w:end w:w="110" w:type="dxa"/>
            </w:tcMar>
          </w:tcPr>
          <w:p>
            <w:pPr>
              <w:spacing w:after="0"/>
            </w:pPr>
            <w:r/>
            <w:r>
              <w:rPr>
                <w:rFonts w:ascii="Calibri" w:hAnsi="Calibri"/>
                <w:b w:val="0"/>
                <w:i w:val="0"/>
                <w:color w:val="101828"/>
                <w:sz w:val="16"/>
              </w:rPr>
              <w:t>Device under test</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FIU</w:t>
            </w:r>
          </w:p>
        </w:tc>
        <w:tc>
          <w:tcPr>
            <w:tcW w:type="dxa" w:w="7488"/>
            <w:tcMar>
              <w:top w:w="60" w:type="dxa"/>
              <w:start w:w="110" w:type="dxa"/>
              <w:bottom w:w="60" w:type="dxa"/>
              <w:end w:w="110" w:type="dxa"/>
            </w:tcMar>
            <w:shd w:val="clear" w:color="auto" w:fill="F4F7FB"/>
          </w:tcPr>
          <w:p>
            <w:pPr>
              <w:spacing w:after="0"/>
            </w:pPr>
            <w:r/>
            <w:r>
              <w:rPr>
                <w:rFonts w:ascii="Calibri" w:hAnsi="Calibri"/>
                <w:b w:val="0"/>
                <w:i w:val="0"/>
                <w:color w:val="101828"/>
                <w:sz w:val="16"/>
              </w:rPr>
              <w:t>Financial Intelligence Unit</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FP / FN</w:t>
            </w:r>
          </w:p>
        </w:tc>
        <w:tc>
          <w:tcPr>
            <w:tcW w:type="dxa" w:w="7488"/>
            <w:tcMar>
              <w:top w:w="60" w:type="dxa"/>
              <w:start w:w="110" w:type="dxa"/>
              <w:bottom w:w="60" w:type="dxa"/>
              <w:end w:w="110" w:type="dxa"/>
            </w:tcMar>
          </w:tcPr>
          <w:p>
            <w:pPr>
              <w:spacing w:after="0"/>
            </w:pPr>
            <w:r/>
            <w:r>
              <w:rPr>
                <w:rFonts w:ascii="Calibri" w:hAnsi="Calibri"/>
                <w:b w:val="0"/>
                <w:i w:val="0"/>
                <w:color w:val="101828"/>
                <w:sz w:val="16"/>
              </w:rPr>
              <w:t>False positive / false negative, in fraud detection</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JWT</w:t>
            </w:r>
          </w:p>
        </w:tc>
        <w:tc>
          <w:tcPr>
            <w:tcW w:type="dxa" w:w="7488"/>
            <w:tcMar>
              <w:top w:w="60" w:type="dxa"/>
              <w:start w:w="110" w:type="dxa"/>
              <w:bottom w:w="60" w:type="dxa"/>
              <w:end w:w="110" w:type="dxa"/>
            </w:tcMar>
            <w:shd w:val="clear" w:color="auto" w:fill="F4F7FB"/>
          </w:tcPr>
          <w:p>
            <w:pPr>
              <w:spacing w:after="0"/>
            </w:pPr>
            <w:r/>
            <w:r>
              <w:rPr>
                <w:rFonts w:ascii="Calibri" w:hAnsi="Calibri"/>
                <w:b w:val="0"/>
                <w:i w:val="0"/>
                <w:color w:val="101828"/>
                <w:sz w:val="16"/>
              </w:rPr>
              <w:t>JSON Web Token</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KYC</w:t>
            </w:r>
          </w:p>
        </w:tc>
        <w:tc>
          <w:tcPr>
            <w:tcW w:type="dxa" w:w="7488"/>
            <w:tcMar>
              <w:top w:w="60" w:type="dxa"/>
              <w:start w:w="110" w:type="dxa"/>
              <w:bottom w:w="60" w:type="dxa"/>
              <w:end w:w="110" w:type="dxa"/>
            </w:tcMar>
          </w:tcPr>
          <w:p>
            <w:pPr>
              <w:spacing w:after="0"/>
            </w:pPr>
            <w:r/>
            <w:r>
              <w:rPr>
                <w:rFonts w:ascii="Calibri" w:hAnsi="Calibri"/>
                <w:b w:val="0"/>
                <w:i w:val="0"/>
                <w:color w:val="101828"/>
                <w:sz w:val="16"/>
              </w:rPr>
              <w:t>Know Your Customer</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MFA</w:t>
            </w:r>
          </w:p>
        </w:tc>
        <w:tc>
          <w:tcPr>
            <w:tcW w:type="dxa" w:w="7488"/>
            <w:tcMar>
              <w:top w:w="60" w:type="dxa"/>
              <w:start w:w="110" w:type="dxa"/>
              <w:bottom w:w="60" w:type="dxa"/>
              <w:end w:w="110" w:type="dxa"/>
            </w:tcMar>
            <w:shd w:val="clear" w:color="auto" w:fill="F4F7FB"/>
          </w:tcPr>
          <w:p>
            <w:pPr>
              <w:spacing w:after="0"/>
            </w:pPr>
            <w:r/>
            <w:r>
              <w:rPr>
                <w:rFonts w:ascii="Calibri" w:hAnsi="Calibri"/>
                <w:b w:val="0"/>
                <w:i w:val="0"/>
                <w:color w:val="101828"/>
                <w:sz w:val="16"/>
              </w:rPr>
              <w:t>Multi-factor authentication</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MLRO</w:t>
            </w:r>
          </w:p>
        </w:tc>
        <w:tc>
          <w:tcPr>
            <w:tcW w:type="dxa" w:w="7488"/>
            <w:tcMar>
              <w:top w:w="60" w:type="dxa"/>
              <w:start w:w="110" w:type="dxa"/>
              <w:bottom w:w="60" w:type="dxa"/>
              <w:end w:w="110" w:type="dxa"/>
            </w:tcMar>
          </w:tcPr>
          <w:p>
            <w:pPr>
              <w:spacing w:after="0"/>
            </w:pPr>
            <w:r/>
            <w:r>
              <w:rPr>
                <w:rFonts w:ascii="Calibri" w:hAnsi="Calibri"/>
                <w:b w:val="0"/>
                <w:i w:val="0"/>
                <w:color w:val="101828"/>
                <w:sz w:val="16"/>
              </w:rPr>
              <w:t>Money Laundering Reporting Officer</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NIP</w:t>
            </w:r>
          </w:p>
        </w:tc>
        <w:tc>
          <w:tcPr>
            <w:tcW w:type="dxa" w:w="7488"/>
            <w:tcMar>
              <w:top w:w="60" w:type="dxa"/>
              <w:start w:w="110" w:type="dxa"/>
              <w:bottom w:w="60" w:type="dxa"/>
              <w:end w:w="110" w:type="dxa"/>
            </w:tcMar>
            <w:shd w:val="clear" w:color="auto" w:fill="F4F7FB"/>
          </w:tcPr>
          <w:p>
            <w:pPr>
              <w:spacing w:after="0"/>
            </w:pPr>
            <w:r/>
            <w:r>
              <w:rPr>
                <w:rFonts w:ascii="Calibri" w:hAnsi="Calibri"/>
                <w:b w:val="0"/>
                <w:i w:val="0"/>
                <w:color w:val="101828"/>
                <w:sz w:val="16"/>
              </w:rPr>
              <w:t>Nigeria Instant Payment</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OTP</w:t>
            </w:r>
          </w:p>
        </w:tc>
        <w:tc>
          <w:tcPr>
            <w:tcW w:type="dxa" w:w="7488"/>
            <w:tcMar>
              <w:top w:w="60" w:type="dxa"/>
              <w:start w:w="110" w:type="dxa"/>
              <w:bottom w:w="60" w:type="dxa"/>
              <w:end w:w="110" w:type="dxa"/>
            </w:tcMar>
          </w:tcPr>
          <w:p>
            <w:pPr>
              <w:spacing w:after="0"/>
            </w:pPr>
            <w:r/>
            <w:r>
              <w:rPr>
                <w:rFonts w:ascii="Calibri" w:hAnsi="Calibri"/>
                <w:b w:val="0"/>
                <w:i w:val="0"/>
                <w:color w:val="101828"/>
                <w:sz w:val="16"/>
              </w:rPr>
              <w:t>One-time password</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PEP</w:t>
            </w:r>
          </w:p>
        </w:tc>
        <w:tc>
          <w:tcPr>
            <w:tcW w:type="dxa" w:w="7488"/>
            <w:tcMar>
              <w:top w:w="60" w:type="dxa"/>
              <w:start w:w="110" w:type="dxa"/>
              <w:bottom w:w="60" w:type="dxa"/>
              <w:end w:w="110" w:type="dxa"/>
            </w:tcMar>
            <w:shd w:val="clear" w:color="auto" w:fill="F4F7FB"/>
          </w:tcPr>
          <w:p>
            <w:pPr>
              <w:spacing w:after="0"/>
            </w:pPr>
            <w:r/>
            <w:r>
              <w:rPr>
                <w:rFonts w:ascii="Calibri" w:hAnsi="Calibri"/>
                <w:b w:val="0"/>
                <w:i w:val="0"/>
                <w:color w:val="101828"/>
                <w:sz w:val="16"/>
              </w:rPr>
              <w:t>Politically exposed person</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PSP</w:t>
            </w:r>
          </w:p>
        </w:tc>
        <w:tc>
          <w:tcPr>
            <w:tcW w:type="dxa" w:w="7488"/>
            <w:tcMar>
              <w:top w:w="60" w:type="dxa"/>
              <w:start w:w="110" w:type="dxa"/>
              <w:bottom w:w="60" w:type="dxa"/>
              <w:end w:w="110" w:type="dxa"/>
            </w:tcMar>
          </w:tcPr>
          <w:p>
            <w:pPr>
              <w:spacing w:after="0"/>
            </w:pPr>
            <w:r/>
            <w:r>
              <w:rPr>
                <w:rFonts w:ascii="Calibri" w:hAnsi="Calibri"/>
                <w:b w:val="0"/>
                <w:i w:val="0"/>
                <w:color w:val="101828"/>
                <w:sz w:val="16"/>
              </w:rPr>
              <w:t>Payment service provider</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RBAC</w:t>
            </w:r>
          </w:p>
        </w:tc>
        <w:tc>
          <w:tcPr>
            <w:tcW w:type="dxa" w:w="7488"/>
            <w:tcMar>
              <w:top w:w="60" w:type="dxa"/>
              <w:start w:w="110" w:type="dxa"/>
              <w:bottom w:w="60" w:type="dxa"/>
              <w:end w:w="110" w:type="dxa"/>
            </w:tcMar>
            <w:shd w:val="clear" w:color="auto" w:fill="F4F7FB"/>
          </w:tcPr>
          <w:p>
            <w:pPr>
              <w:spacing w:after="0"/>
            </w:pPr>
            <w:r/>
            <w:r>
              <w:rPr>
                <w:rFonts w:ascii="Calibri" w:hAnsi="Calibri"/>
                <w:b w:val="0"/>
                <w:i w:val="0"/>
                <w:color w:val="101828"/>
                <w:sz w:val="16"/>
              </w:rPr>
              <w:t>Role-based access control</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RLS</w:t>
            </w:r>
          </w:p>
        </w:tc>
        <w:tc>
          <w:tcPr>
            <w:tcW w:type="dxa" w:w="7488"/>
            <w:tcMar>
              <w:top w:w="60" w:type="dxa"/>
              <w:start w:w="110" w:type="dxa"/>
              <w:bottom w:w="60" w:type="dxa"/>
              <w:end w:w="110" w:type="dxa"/>
            </w:tcMar>
          </w:tcPr>
          <w:p>
            <w:pPr>
              <w:spacing w:after="0"/>
            </w:pPr>
            <w:r/>
            <w:r>
              <w:rPr>
                <w:rFonts w:ascii="Calibri" w:hAnsi="Calibri"/>
                <w:b w:val="0"/>
                <w:i w:val="0"/>
                <w:color w:val="101828"/>
                <w:sz w:val="16"/>
              </w:rPr>
              <w:t>Row Level Security</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RPO / RTO</w:t>
            </w:r>
          </w:p>
        </w:tc>
        <w:tc>
          <w:tcPr>
            <w:tcW w:type="dxa" w:w="7488"/>
            <w:tcMar>
              <w:top w:w="60" w:type="dxa"/>
              <w:start w:w="110" w:type="dxa"/>
              <w:bottom w:w="60" w:type="dxa"/>
              <w:end w:w="110" w:type="dxa"/>
            </w:tcMar>
            <w:shd w:val="clear" w:color="auto" w:fill="F4F7FB"/>
          </w:tcPr>
          <w:p>
            <w:pPr>
              <w:spacing w:after="0"/>
            </w:pPr>
            <w:r/>
            <w:r>
              <w:rPr>
                <w:rFonts w:ascii="Calibri" w:hAnsi="Calibri"/>
                <w:b w:val="0"/>
                <w:i w:val="0"/>
                <w:color w:val="101828"/>
                <w:sz w:val="16"/>
              </w:rPr>
              <w:t>Recovery point objective / Recovery time objective</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SAR</w:t>
            </w:r>
          </w:p>
        </w:tc>
        <w:tc>
          <w:tcPr>
            <w:tcW w:type="dxa" w:w="7488"/>
            <w:tcMar>
              <w:top w:w="60" w:type="dxa"/>
              <w:start w:w="110" w:type="dxa"/>
              <w:bottom w:w="60" w:type="dxa"/>
              <w:end w:w="110" w:type="dxa"/>
            </w:tcMar>
          </w:tcPr>
          <w:p>
            <w:pPr>
              <w:spacing w:after="0"/>
            </w:pPr>
            <w:r/>
            <w:r>
              <w:rPr>
                <w:rFonts w:ascii="Calibri" w:hAnsi="Calibri"/>
                <w:b w:val="0"/>
                <w:i w:val="0"/>
                <w:color w:val="101828"/>
                <w:sz w:val="16"/>
              </w:rPr>
              <w:t>Suspicious Activity Report</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SLA / SLO</w:t>
            </w:r>
          </w:p>
        </w:tc>
        <w:tc>
          <w:tcPr>
            <w:tcW w:type="dxa" w:w="7488"/>
            <w:tcMar>
              <w:top w:w="60" w:type="dxa"/>
              <w:start w:w="110" w:type="dxa"/>
              <w:bottom w:w="60" w:type="dxa"/>
              <w:end w:w="110" w:type="dxa"/>
            </w:tcMar>
            <w:shd w:val="clear" w:color="auto" w:fill="F4F7FB"/>
          </w:tcPr>
          <w:p>
            <w:pPr>
              <w:spacing w:after="0"/>
            </w:pPr>
            <w:r/>
            <w:r>
              <w:rPr>
                <w:rFonts w:ascii="Calibri" w:hAnsi="Calibri"/>
                <w:b w:val="0"/>
                <w:i w:val="0"/>
                <w:color w:val="101828"/>
                <w:sz w:val="16"/>
              </w:rPr>
              <w:t>Service level agreement / objective</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SSL / TLS</w:t>
            </w:r>
          </w:p>
        </w:tc>
        <w:tc>
          <w:tcPr>
            <w:tcW w:type="dxa" w:w="7488"/>
            <w:tcMar>
              <w:top w:w="60" w:type="dxa"/>
              <w:start w:w="110" w:type="dxa"/>
              <w:bottom w:w="60" w:type="dxa"/>
              <w:end w:w="110" w:type="dxa"/>
            </w:tcMar>
          </w:tcPr>
          <w:p>
            <w:pPr>
              <w:spacing w:after="0"/>
            </w:pPr>
            <w:r/>
            <w:r>
              <w:rPr>
                <w:rFonts w:ascii="Calibri" w:hAnsi="Calibri"/>
                <w:b w:val="0"/>
                <w:i w:val="0"/>
                <w:color w:val="101828"/>
                <w:sz w:val="16"/>
              </w:rPr>
              <w:t>Transport encryption protocols</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TOTP</w:t>
            </w:r>
          </w:p>
        </w:tc>
        <w:tc>
          <w:tcPr>
            <w:tcW w:type="dxa" w:w="7488"/>
            <w:tcMar>
              <w:top w:w="60" w:type="dxa"/>
              <w:start w:w="110" w:type="dxa"/>
              <w:bottom w:w="60" w:type="dxa"/>
              <w:end w:w="110" w:type="dxa"/>
            </w:tcMar>
            <w:shd w:val="clear" w:color="auto" w:fill="F4F7FB"/>
          </w:tcPr>
          <w:p>
            <w:pPr>
              <w:spacing w:after="0"/>
            </w:pPr>
            <w:r/>
            <w:r>
              <w:rPr>
                <w:rFonts w:ascii="Calibri" w:hAnsi="Calibri"/>
                <w:b w:val="0"/>
                <w:i w:val="0"/>
                <w:color w:val="101828"/>
                <w:sz w:val="16"/>
              </w:rPr>
              <w:t>Time-based one-time password, for authenticator apps</w:t>
            </w:r>
          </w:p>
        </w:tc>
      </w:tr>
      <w:tr>
        <w:trPr>
          <w:cantSplit/>
        </w:trPr>
        <w:tc>
          <w:tcPr>
            <w:tcW w:type="dxa" w:w="1872"/>
            <w:tcMar>
              <w:top w:w="60" w:type="dxa"/>
              <w:start w:w="110" w:type="dxa"/>
              <w:bottom w:w="60" w:type="dxa"/>
              <w:end w:w="110" w:type="dxa"/>
            </w:tcMar>
          </w:tcPr>
          <w:p>
            <w:pPr>
              <w:spacing w:after="0"/>
            </w:pPr>
            <w:r/>
            <w:r>
              <w:rPr>
                <w:rFonts w:ascii="Calibri" w:hAnsi="Calibri"/>
                <w:b w:val="0"/>
                <w:i w:val="0"/>
                <w:color w:val="101828"/>
                <w:sz w:val="16"/>
              </w:rPr>
              <w:t>WAT</w:t>
            </w:r>
          </w:p>
        </w:tc>
        <w:tc>
          <w:tcPr>
            <w:tcW w:type="dxa" w:w="7488"/>
            <w:tcMar>
              <w:top w:w="60" w:type="dxa"/>
              <w:start w:w="110" w:type="dxa"/>
              <w:bottom w:w="60" w:type="dxa"/>
              <w:end w:w="110" w:type="dxa"/>
            </w:tcMar>
          </w:tcPr>
          <w:p>
            <w:pPr>
              <w:spacing w:after="0"/>
            </w:pPr>
            <w:r/>
            <w:r>
              <w:rPr>
                <w:rFonts w:ascii="Calibri" w:hAnsi="Calibri"/>
                <w:b w:val="0"/>
                <w:i w:val="0"/>
                <w:color w:val="101828"/>
                <w:sz w:val="16"/>
              </w:rPr>
              <w:t>West Africa Time, UTC+1</w:t>
            </w:r>
          </w:p>
        </w:tc>
      </w:tr>
      <w:tr>
        <w:trPr>
          <w:cantSplit/>
        </w:trPr>
        <w:tc>
          <w:tcPr>
            <w:tcW w:type="dxa" w:w="1872"/>
            <w:tcMar>
              <w:top w:w="60" w:type="dxa"/>
              <w:start w:w="110" w:type="dxa"/>
              <w:bottom w:w="60" w:type="dxa"/>
              <w:end w:w="110" w:type="dxa"/>
            </w:tcMar>
            <w:shd w:val="clear" w:color="auto" w:fill="F4F7FB"/>
          </w:tcPr>
          <w:p>
            <w:pPr>
              <w:spacing w:after="0"/>
            </w:pPr>
            <w:r/>
            <w:r>
              <w:rPr>
                <w:rFonts w:ascii="Calibri" w:hAnsi="Calibri"/>
                <w:b w:val="0"/>
                <w:i w:val="0"/>
                <w:color w:val="101828"/>
                <w:sz w:val="16"/>
              </w:rPr>
              <w:t>WORM</w:t>
            </w:r>
          </w:p>
        </w:tc>
        <w:tc>
          <w:tcPr>
            <w:tcW w:type="dxa" w:w="7488"/>
            <w:tcMar>
              <w:top w:w="60" w:type="dxa"/>
              <w:start w:w="110" w:type="dxa"/>
              <w:bottom w:w="60" w:type="dxa"/>
              <w:end w:w="110" w:type="dxa"/>
            </w:tcMar>
            <w:shd w:val="clear" w:color="auto" w:fill="F4F7FB"/>
          </w:tcPr>
          <w:p>
            <w:pPr>
              <w:spacing w:after="0"/>
            </w:pPr>
            <w:r/>
            <w:r>
              <w:rPr>
                <w:rFonts w:ascii="Calibri" w:hAnsi="Calibri"/>
                <w:b w:val="0"/>
                <w:i w:val="0"/>
                <w:color w:val="101828"/>
                <w:sz w:val="16"/>
              </w:rPr>
              <w:t>Write once, read many. Storage that cannot be altered after writing</w:t>
            </w:r>
          </w:p>
        </w:tc>
      </w:tr>
    </w:tbl>
    <w:p>
      <w:pPr>
        <w:spacing w:after="80"/>
      </w:pPr>
    </w:p>
    <w:p>
      <w:pPr>
        <w:pStyle w:val="Heading2"/>
      </w:pPr>
      <w:r>
        <w:rPr>
          <w:rFonts w:ascii="Calibri" w:hAnsi="Calibri"/>
          <w:b/>
          <w:i w:val="0"/>
          <w:color w:val="146EF5"/>
          <w:sz w:val="29"/>
        </w:rPr>
        <w:t>Appendix G — Source documents</w:t>
      </w:r>
    </w:p>
    <w:p>
      <w:r>
        <w:rPr>
          <w:rFonts w:ascii="Calibri" w:hAnsi="Calibri"/>
          <w:b w:val="0"/>
          <w:i w:val="0"/>
          <w:color w:val="101828"/>
          <w:sz w:val="21"/>
        </w:rPr>
        <w:t>The business and financial material from which this specification was derived. These remain the source for the commercial assumptions; where this document states a figure, it has been reconciled against them.</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4176"/>
            <w:shd w:val="clear" w:color="auto" w:fill="0B1F3A"/>
            <w:tcMar>
              <w:top w:w="60" w:type="dxa"/>
              <w:start w:w="110" w:type="dxa"/>
              <w:bottom w:w="60" w:type="dxa"/>
              <w:end w:w="110" w:type="dxa"/>
            </w:tcMar>
          </w:tcPr>
          <w:p>
            <w:pPr>
              <w:spacing w:after="0"/>
            </w:pPr>
            <w:r/>
            <w:r>
              <w:rPr>
                <w:rFonts w:ascii="Calibri" w:hAnsi="Calibri"/>
                <w:b/>
                <w:i w:val="0"/>
                <w:color w:val="FFFFFF"/>
                <w:sz w:val="16"/>
              </w:rPr>
              <w:t>Document</w:t>
            </w:r>
          </w:p>
        </w:tc>
        <w:tc>
          <w:tcPr>
            <w:tcW w:type="dxa" w:w="5184"/>
            <w:shd w:val="clear" w:color="auto" w:fill="0B1F3A"/>
            <w:tcMar>
              <w:top w:w="60" w:type="dxa"/>
              <w:start w:w="110" w:type="dxa"/>
              <w:bottom w:w="60" w:type="dxa"/>
              <w:end w:w="110" w:type="dxa"/>
            </w:tcMar>
          </w:tcPr>
          <w:p>
            <w:pPr>
              <w:spacing w:after="0"/>
            </w:pPr>
            <w:r/>
            <w:r>
              <w:rPr>
                <w:rFonts w:ascii="Calibri" w:hAnsi="Calibri"/>
                <w:b/>
                <w:i w:val="0"/>
                <w:color w:val="FFFFFF"/>
                <w:sz w:val="16"/>
              </w:rPr>
              <w:t>Used for</w:t>
            </w:r>
          </w:p>
        </w:tc>
      </w:tr>
      <w:tr>
        <w:trPr>
          <w:cantSplit/>
        </w:trPr>
        <w:tc>
          <w:tcPr>
            <w:tcW w:type="dxa" w:w="4176"/>
            <w:tcMar>
              <w:top w:w="60" w:type="dxa"/>
              <w:start w:w="110" w:type="dxa"/>
              <w:bottom w:w="60" w:type="dxa"/>
              <w:end w:w="110" w:type="dxa"/>
            </w:tcMar>
          </w:tcPr>
          <w:p>
            <w:pPr>
              <w:spacing w:after="0"/>
            </w:pPr>
            <w:r/>
            <w:r>
              <w:rPr>
                <w:rFonts w:ascii="Calibri" w:hAnsi="Calibri"/>
                <w:b w:val="0"/>
                <w:i w:val="0"/>
                <w:color w:val="101828"/>
                <w:sz w:val="16"/>
              </w:rPr>
              <w:t>AJOng_Financial_Partnership_Proposal_MVP_UPDATED.pdf</w:t>
            </w:r>
          </w:p>
        </w:tc>
        <w:tc>
          <w:tcPr>
            <w:tcW w:type="dxa" w:w="5184"/>
            <w:tcMar>
              <w:top w:w="60" w:type="dxa"/>
              <w:start w:w="110" w:type="dxa"/>
              <w:bottom w:w="60" w:type="dxa"/>
              <w:end w:w="110" w:type="dxa"/>
            </w:tcMar>
          </w:tcPr>
          <w:p>
            <w:pPr>
              <w:spacing w:after="0"/>
            </w:pPr>
            <w:r/>
            <w:r>
              <w:rPr>
                <w:rFonts w:ascii="Calibri" w:hAnsi="Calibri"/>
                <w:b w:val="0"/>
                <w:i w:val="0"/>
                <w:color w:val="101828"/>
                <w:sz w:val="16"/>
              </w:rPr>
              <w:t>Founders, partnership framing, financial structure, projections</w:t>
            </w:r>
          </w:p>
        </w:tc>
      </w:tr>
      <w:tr>
        <w:trPr>
          <w:cantSplit/>
        </w:trPr>
        <w:tc>
          <w:tcPr>
            <w:tcW w:type="dxa" w:w="4176"/>
            <w:tcMar>
              <w:top w:w="60" w:type="dxa"/>
              <w:start w:w="110" w:type="dxa"/>
              <w:bottom w:w="60" w:type="dxa"/>
              <w:end w:w="110" w:type="dxa"/>
            </w:tcMar>
            <w:shd w:val="clear" w:color="auto" w:fill="F4F7FB"/>
          </w:tcPr>
          <w:p>
            <w:pPr>
              <w:spacing w:after="0"/>
            </w:pPr>
            <w:r/>
            <w:r>
              <w:rPr>
                <w:rFonts w:ascii="Calibri" w:hAnsi="Calibri"/>
                <w:b w:val="0"/>
                <w:i w:val="0"/>
                <w:color w:val="101828"/>
                <w:sz w:val="16"/>
              </w:rPr>
              <w:t>AJOng_Year_1_Financial_Model_UPDATED.xlsx</w:t>
            </w:r>
          </w:p>
        </w:tc>
        <w:tc>
          <w:tcPr>
            <w:tcW w:type="dxa" w:w="5184"/>
            <w:tcMar>
              <w:top w:w="60" w:type="dxa"/>
              <w:start w:w="110" w:type="dxa"/>
              <w:bottom w:w="60" w:type="dxa"/>
              <w:end w:w="110" w:type="dxa"/>
            </w:tcMar>
            <w:shd w:val="clear" w:color="auto" w:fill="F4F7FB"/>
          </w:tcPr>
          <w:p>
            <w:pPr>
              <w:spacing w:after="0"/>
            </w:pPr>
            <w:r/>
            <w:r>
              <w:rPr>
                <w:rFonts w:ascii="Calibri" w:hAnsi="Calibri"/>
                <w:b w:val="0"/>
                <w:i w:val="0"/>
                <w:color w:val="101828"/>
                <w:sz w:val="16"/>
              </w:rPr>
              <w:t>Year-1 model, transaction volumes, revenue assumptions</w:t>
            </w:r>
          </w:p>
        </w:tc>
      </w:tr>
      <w:tr>
        <w:trPr>
          <w:cantSplit/>
        </w:trPr>
        <w:tc>
          <w:tcPr>
            <w:tcW w:type="dxa" w:w="4176"/>
            <w:tcMar>
              <w:top w:w="60" w:type="dxa"/>
              <w:start w:w="110" w:type="dxa"/>
              <w:bottom w:w="60" w:type="dxa"/>
              <w:end w:w="110" w:type="dxa"/>
            </w:tcMar>
          </w:tcPr>
          <w:p>
            <w:pPr>
              <w:spacing w:after="0"/>
            </w:pPr>
            <w:r/>
            <w:r>
              <w:rPr>
                <w:rFonts w:ascii="Calibri" w:hAnsi="Calibri"/>
                <w:b w:val="0"/>
                <w:i w:val="0"/>
                <w:color w:val="101828"/>
                <w:sz w:val="16"/>
              </w:rPr>
              <w:t>AJOng_One_Page_Executive_Overview_UPDATED.pdf</w:t>
            </w:r>
          </w:p>
        </w:tc>
        <w:tc>
          <w:tcPr>
            <w:tcW w:type="dxa" w:w="5184"/>
            <w:tcMar>
              <w:top w:w="60" w:type="dxa"/>
              <w:start w:w="110" w:type="dxa"/>
              <w:bottom w:w="60" w:type="dxa"/>
              <w:end w:w="110" w:type="dxa"/>
            </w:tcMar>
          </w:tcPr>
          <w:p>
            <w:pPr>
              <w:spacing w:after="0"/>
            </w:pPr>
            <w:r/>
            <w:r>
              <w:rPr>
                <w:rFonts w:ascii="Calibri" w:hAnsi="Calibri"/>
                <w:b w:val="0"/>
                <w:i w:val="0"/>
                <w:color w:val="101828"/>
                <w:sz w:val="16"/>
              </w:rPr>
              <w:t>Executive summary, market context, value proposition</w:t>
            </w:r>
          </w:p>
        </w:tc>
      </w:tr>
      <w:tr>
        <w:trPr>
          <w:cantSplit/>
        </w:trPr>
        <w:tc>
          <w:tcPr>
            <w:tcW w:type="dxa" w:w="4176"/>
            <w:tcMar>
              <w:top w:w="60" w:type="dxa"/>
              <w:start w:w="110" w:type="dxa"/>
              <w:bottom w:w="60" w:type="dxa"/>
              <w:end w:w="110" w:type="dxa"/>
            </w:tcMar>
            <w:shd w:val="clear" w:color="auto" w:fill="F4F7FB"/>
          </w:tcPr>
          <w:p>
            <w:pPr>
              <w:spacing w:after="0"/>
            </w:pPr>
            <w:r/>
            <w:r>
              <w:rPr>
                <w:rFonts w:ascii="Calibri" w:hAnsi="Calibri"/>
                <w:b w:val="0"/>
                <w:i w:val="0"/>
                <w:color w:val="101828"/>
                <w:sz w:val="16"/>
              </w:rPr>
              <w:t>AJOng_Year_1_Transaction_Volume_and_Financial_Projection_UPDATED.pdf</w:t>
            </w:r>
          </w:p>
        </w:tc>
        <w:tc>
          <w:tcPr>
            <w:tcW w:type="dxa" w:w="5184"/>
            <w:tcMar>
              <w:top w:w="60" w:type="dxa"/>
              <w:start w:w="110" w:type="dxa"/>
              <w:bottom w:w="60" w:type="dxa"/>
              <w:end w:w="110" w:type="dxa"/>
            </w:tcMar>
            <w:shd w:val="clear" w:color="auto" w:fill="F4F7FB"/>
          </w:tcPr>
          <w:p>
            <w:pPr>
              <w:spacing w:after="0"/>
            </w:pPr>
            <w:r/>
            <w:r>
              <w:rPr>
                <w:rFonts w:ascii="Calibri" w:hAnsi="Calibri"/>
                <w:b w:val="0"/>
                <w:i w:val="0"/>
                <w:color w:val="101828"/>
                <w:sz w:val="16"/>
              </w:rPr>
              <w:t>Volume projections by scenario</w:t>
            </w:r>
          </w:p>
        </w:tc>
      </w:tr>
      <w:tr>
        <w:trPr>
          <w:cantSplit/>
        </w:trPr>
        <w:tc>
          <w:tcPr>
            <w:tcW w:type="dxa" w:w="4176"/>
            <w:tcMar>
              <w:top w:w="60" w:type="dxa"/>
              <w:start w:w="110" w:type="dxa"/>
              <w:bottom w:w="60" w:type="dxa"/>
              <w:end w:w="110" w:type="dxa"/>
            </w:tcMar>
          </w:tcPr>
          <w:p>
            <w:pPr>
              <w:spacing w:after="0"/>
            </w:pPr>
            <w:r/>
            <w:r>
              <w:rPr>
                <w:rFonts w:ascii="Calibri" w:hAnsi="Calibri"/>
                <w:b w:val="0"/>
                <w:i w:val="0"/>
                <w:color w:val="101828"/>
                <w:sz w:val="16"/>
              </w:rPr>
              <w:t>AJOng_Forming_An_Ajo_Terms_and_Conditions.pdf</w:t>
            </w:r>
          </w:p>
        </w:tc>
        <w:tc>
          <w:tcPr>
            <w:tcW w:type="dxa" w:w="5184"/>
            <w:tcMar>
              <w:top w:w="60" w:type="dxa"/>
              <w:start w:w="110" w:type="dxa"/>
              <w:bottom w:w="60" w:type="dxa"/>
              <w:end w:w="110" w:type="dxa"/>
            </w:tcMar>
          </w:tcPr>
          <w:p>
            <w:pPr>
              <w:spacing w:after="0"/>
            </w:pPr>
            <w:r/>
            <w:r>
              <w:rPr>
                <w:rFonts w:ascii="Calibri" w:hAnsi="Calibri"/>
                <w:b w:val="0"/>
                <w:i w:val="0"/>
                <w:color w:val="101828"/>
                <w:sz w:val="16"/>
              </w:rPr>
              <w:t>Draft terms, and the fee positioning that became the 2% service fee</w:t>
            </w:r>
          </w:p>
        </w:tc>
      </w:tr>
    </w:tbl>
    <w:p>
      <w:pPr>
        <w:spacing w:after="80"/>
      </w:pPr>
    </w:p>
    <w:p>
      <w:r>
        <w:rPr>
          <w:rFonts w:ascii="Calibri" w:hAnsi="Calibri"/>
          <w:b w:val="0"/>
          <w:i w:val="0"/>
          <w:color w:val="101828"/>
          <w:sz w:val="21"/>
        </w:rPr>
        <w:t xml:space="preserve">The earlier business documents stated that pricing was not yet locked. The 2% service fee in this specification supersedes that position, and the commercial documents should be reissued for internal consistency. Until they are, </w:t>
      </w:r>
      <w:r>
        <w:rPr>
          <w:rFonts w:ascii="Calibri" w:hAnsi="Calibri"/>
          <w:b/>
          <w:color w:val="101828"/>
          <w:sz w:val="21"/>
        </w:rPr>
        <w:t>this specification and CANONICAL.md are authoritative on the fee, and the earlier documents are not.</w:t>
      </w:r>
    </w:p>
    <w:p>
      <w:pPr>
        <w:pStyle w:val="Heading2"/>
      </w:pPr>
      <w:r>
        <w:rPr>
          <w:rFonts w:ascii="Calibri" w:hAnsi="Calibri"/>
          <w:b/>
          <w:i w:val="0"/>
          <w:color w:val="146EF5"/>
          <w:sz w:val="29"/>
        </w:rPr>
        <w:t>Appendix H — Document control</w:t>
      </w:r>
    </w:p>
    <w:tbl>
      <w:tblPr>
        <w:tblStyle w:val="TableGrid"/>
        <w:tblW w:type="auto" w:w="0"/>
        <w:jc w:val="center"/>
        <w:tblLayout w:type="autofit"/>
        <w:tblLook w:firstColumn="1" w:firstRow="1" w:lastColumn="0" w:lastRow="0" w:noHBand="0" w:noVBand="1" w:val="04A0"/>
      </w:tblPr>
      <w:tblGrid>
        <w:gridCol w:w="4730"/>
        <w:gridCol w:w="4730"/>
      </w:tblGrid>
      <w:tr>
        <w:trPr>
          <w:tblHeader/>
          <w:cantSplit/>
        </w:trPr>
        <w:tc>
          <w:tcPr>
            <w:tcW w:type="dxa" w:w="2448"/>
            <w:shd w:val="clear" w:color="auto" w:fill="0B1F3A"/>
            <w:tcMar>
              <w:top w:w="60" w:type="dxa"/>
              <w:start w:w="110" w:type="dxa"/>
              <w:bottom w:w="60" w:type="dxa"/>
              <w:end w:w="110" w:type="dxa"/>
            </w:tcMar>
          </w:tcPr>
          <w:p>
            <w:pPr>
              <w:spacing w:after="0"/>
            </w:pPr>
            <w:r/>
            <w:r>
              <w:rPr>
                <w:rFonts w:ascii="Calibri" w:hAnsi="Calibri"/>
                <w:b/>
                <w:i w:val="0"/>
                <w:color w:val="FFFFFF"/>
                <w:sz w:val="16"/>
              </w:rPr>
              <w:t>Field</w:t>
            </w:r>
          </w:p>
        </w:tc>
        <w:tc>
          <w:tcPr>
            <w:tcW w:type="dxa" w:w="6912"/>
            <w:shd w:val="clear" w:color="auto" w:fill="0B1F3A"/>
            <w:tcMar>
              <w:top w:w="60" w:type="dxa"/>
              <w:start w:w="110" w:type="dxa"/>
              <w:bottom w:w="60" w:type="dxa"/>
              <w:end w:w="110" w:type="dxa"/>
            </w:tcMar>
          </w:tcPr>
          <w:p>
            <w:pPr>
              <w:spacing w:after="0"/>
            </w:pPr>
            <w:r/>
            <w:r>
              <w:rPr>
                <w:rFonts w:ascii="Calibri" w:hAnsi="Calibri"/>
                <w:b/>
                <w:i w:val="0"/>
                <w:color w:val="FFFFFF"/>
                <w:sz w:val="16"/>
              </w:rPr>
              <w:t>Value</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Document</w:t>
            </w:r>
          </w:p>
        </w:tc>
        <w:tc>
          <w:tcPr>
            <w:tcW w:type="dxa" w:w="6912"/>
            <w:tcMar>
              <w:top w:w="60" w:type="dxa"/>
              <w:start w:w="110" w:type="dxa"/>
              <w:bottom w:w="60" w:type="dxa"/>
              <w:end w:w="110" w:type="dxa"/>
            </w:tcMar>
          </w:tcPr>
          <w:p>
            <w:pPr>
              <w:spacing w:after="0"/>
            </w:pPr>
            <w:r/>
            <w:r>
              <w:rPr>
                <w:rFonts w:ascii="Calibri" w:hAnsi="Calibri"/>
                <w:b w:val="0"/>
                <w:i w:val="0"/>
                <w:color w:val="101828"/>
                <w:sz w:val="16"/>
              </w:rPr>
              <w:t>AJO.ng — Complete Product and Technical Specification</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Version</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1.0</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Status</w:t>
            </w:r>
          </w:p>
        </w:tc>
        <w:tc>
          <w:tcPr>
            <w:tcW w:type="dxa" w:w="6912"/>
            <w:tcMar>
              <w:top w:w="60" w:type="dxa"/>
              <w:start w:w="110" w:type="dxa"/>
              <w:bottom w:w="60" w:type="dxa"/>
              <w:end w:w="110" w:type="dxa"/>
            </w:tcMar>
          </w:tcPr>
          <w:p>
            <w:pPr>
              <w:spacing w:after="0"/>
            </w:pPr>
            <w:r/>
            <w:r>
              <w:rPr>
                <w:rFonts w:ascii="Calibri" w:hAnsi="Calibri"/>
                <w:b w:val="0"/>
                <w:i w:val="0"/>
                <w:color w:val="101828"/>
                <w:sz w:val="16"/>
              </w:rPr>
              <w:t>For review. Not a compliance determination</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Scope</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Product requirements, design, architecture, security, operations, legal considerations, roadmap</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Source of truth</w:t>
            </w:r>
          </w:p>
        </w:tc>
        <w:tc>
          <w:tcPr>
            <w:tcW w:type="dxa" w:w="6912"/>
            <w:tcMar>
              <w:top w:w="60" w:type="dxa"/>
              <w:start w:w="110" w:type="dxa"/>
              <w:bottom w:w="60" w:type="dxa"/>
              <w:end w:w="110" w:type="dxa"/>
            </w:tcMar>
          </w:tcPr>
          <w:p>
            <w:pPr>
              <w:spacing w:after="0"/>
            </w:pPr>
            <w:r/>
            <w:r>
              <w:rPr>
                <w:rFonts w:ascii="Calibri" w:hAnsi="Calibri"/>
                <w:b w:val="0"/>
                <w:i w:val="0"/>
                <w:color w:val="101828"/>
                <w:sz w:val="16"/>
              </w:rPr>
              <w:t>docs/src/CANONICAL.md, followed by this document</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Sections</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25, plus appendices A–H</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Supersedes</w:t>
            </w:r>
          </w:p>
        </w:tc>
        <w:tc>
          <w:tcPr>
            <w:tcW w:type="dxa" w:w="6912"/>
            <w:tcMar>
              <w:top w:w="60" w:type="dxa"/>
              <w:start w:w="110" w:type="dxa"/>
              <w:bottom w:w="60" w:type="dxa"/>
              <w:end w:w="110" w:type="dxa"/>
            </w:tcMar>
          </w:tcPr>
          <w:p>
            <w:pPr>
              <w:spacing w:after="0"/>
            </w:pPr>
            <w:r/>
            <w:r>
              <w:rPr>
                <w:rFonts w:ascii="Calibri" w:hAnsi="Calibri"/>
                <w:b w:val="0"/>
                <w:i w:val="0"/>
                <w:color w:val="101828"/>
                <w:sz w:val="16"/>
              </w:rPr>
              <w:t>Earlier business and financial documents, for the fee and technical scope</w:t>
            </w:r>
          </w:p>
        </w:tc>
      </w:tr>
      <w:tr>
        <w:trPr>
          <w:cantSplit/>
        </w:trPr>
        <w:tc>
          <w:tcPr>
            <w:tcW w:type="dxa" w:w="2448"/>
            <w:tcMar>
              <w:top w:w="60" w:type="dxa"/>
              <w:start w:w="110" w:type="dxa"/>
              <w:bottom w:w="60" w:type="dxa"/>
              <w:end w:w="110" w:type="dxa"/>
            </w:tcMar>
            <w:shd w:val="clear" w:color="auto" w:fill="F4F7FB"/>
          </w:tcPr>
          <w:p>
            <w:pPr>
              <w:spacing w:after="0"/>
            </w:pPr>
            <w:r/>
            <w:r>
              <w:rPr>
                <w:rFonts w:ascii="Calibri" w:hAnsi="Calibri"/>
                <w:b w:val="0"/>
                <w:i w:val="0"/>
                <w:color w:val="101828"/>
                <w:sz w:val="16"/>
              </w:rPr>
              <w:t>Requires</w:t>
            </w:r>
          </w:p>
        </w:tc>
        <w:tc>
          <w:tcPr>
            <w:tcW w:type="dxa" w:w="6912"/>
            <w:tcMar>
              <w:top w:w="60" w:type="dxa"/>
              <w:start w:w="110" w:type="dxa"/>
              <w:bottom w:w="60" w:type="dxa"/>
              <w:end w:w="110" w:type="dxa"/>
            </w:tcMar>
            <w:shd w:val="clear" w:color="auto" w:fill="F4F7FB"/>
          </w:tcPr>
          <w:p>
            <w:pPr>
              <w:spacing w:after="0"/>
            </w:pPr>
            <w:r/>
            <w:r>
              <w:rPr>
                <w:rFonts w:ascii="Calibri" w:hAnsi="Calibri"/>
                <w:b w:val="0"/>
                <w:i w:val="0"/>
                <w:color w:val="101828"/>
                <w:sz w:val="16"/>
              </w:rPr>
              <w:t>Review by qualified Nigerian legal and compliance professionals before production launch</w:t>
            </w:r>
          </w:p>
        </w:tc>
      </w:tr>
      <w:tr>
        <w:trPr>
          <w:cantSplit/>
        </w:trPr>
        <w:tc>
          <w:tcPr>
            <w:tcW w:type="dxa" w:w="2448"/>
            <w:tcMar>
              <w:top w:w="60" w:type="dxa"/>
              <w:start w:w="110" w:type="dxa"/>
              <w:bottom w:w="60" w:type="dxa"/>
              <w:end w:w="110" w:type="dxa"/>
            </w:tcMar>
          </w:tcPr>
          <w:p>
            <w:pPr>
              <w:spacing w:after="0"/>
            </w:pPr>
            <w:r/>
            <w:r>
              <w:rPr>
                <w:rFonts w:ascii="Calibri" w:hAnsi="Calibri"/>
                <w:b w:val="0"/>
                <w:i w:val="0"/>
                <w:color w:val="101828"/>
                <w:sz w:val="16"/>
              </w:rPr>
              <w:t>Verification</w:t>
            </w:r>
          </w:p>
        </w:tc>
        <w:tc>
          <w:tcPr>
            <w:tcW w:type="dxa" w:w="6912"/>
            <w:tcMar>
              <w:top w:w="60" w:type="dxa"/>
              <w:start w:w="110" w:type="dxa"/>
              <w:bottom w:w="60" w:type="dxa"/>
              <w:end w:w="110" w:type="dxa"/>
            </w:tcMar>
          </w:tcPr>
          <w:p>
            <w:pPr>
              <w:spacing w:after="0"/>
            </w:pPr>
            <w:r/>
            <w:r>
              <w:rPr>
                <w:rFonts w:ascii="Calibri" w:hAnsi="Calibri"/>
                <w:b w:val="0"/>
                <w:i w:val="0"/>
                <w:color w:val="101828"/>
                <w:sz w:val="16"/>
              </w:rPr>
              <w:t>Section 18 test strategy; section 23 backlog; section 20.11 operational readiness</w:t>
            </w:r>
          </w:p>
        </w:tc>
      </w:tr>
    </w:tbl>
    <w:p>
      <w:pPr>
        <w:spacing w:after="80"/>
      </w:pPr>
    </w:p>
    <w:p>
      <w:pPr>
        <w:spacing w:before="140" w:after="180"/>
        <w:ind w:left="144"/>
        <w:shd w:val="clear" w:color="auto" w:fill="FEE2E2"/>
        <w:pBdr>
          <w:left w:val="single" w:sz="18" w:space="6" w:color="DC2626"/>
        </w:pBdr>
      </w:pPr>
      <w:r>
        <w:rPr>
          <w:rFonts w:ascii="Calibri" w:hAnsi="Calibri"/>
          <w:b/>
          <w:color w:val="DC2626"/>
          <w:sz w:val="19"/>
        </w:rPr>
        <w:t xml:space="preserve">Closing note on the status of this document.  </w:t>
      </w:r>
      <w:r>
        <w:rPr>
          <w:rFonts w:ascii="Calibri" w:hAnsi="Calibri"/>
          <w:b w:val="0"/>
          <w:i w:val="0"/>
          <w:color w:val="0B1F3A"/>
          <w:sz w:val="19"/>
        </w:rPr>
        <w:t>This is a complete and internally consistent specification. It is not, and does not claim to be, a compliance determination, a legal opinion, or a financial plan. It is a statement of what AJO.ng will be, built with the controls that make member money safe, and of what must be resolved before the first real naira moves. **That resolution requires qualified Nigerian legal and compliance professionals, and it is the only item on the critical path that engineering cannot deliver.</w:t>
      </w:r>
    </w:p>
    <w:sectPr w:rsidR="00FC693F" w:rsidRPr="0006063C" w:rsidSect="00034616">
      <w:headerReference w:type="default" r:id="rId9"/>
      <w:footerReference w:type="default" r:id="rId10"/>
      <w:pgSz w:w="11909" w:h="16834"/>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467"/>
        <w:sz w:val="16"/>
      </w:rPr>
    </w:r>
    <w:r>
      <w:rPr>
        <w:rFonts w:ascii="Calibri" w:hAnsi="Calibri"/>
        <w:color w:val="475467"/>
        <w:sz w:val="16"/>
      </w:rPr>
      <w:t xml:space="preserve">Your Ajo. Your Story.     |     Page </w:t>
    </w:r>
    <w:r>
      <w:rPr>
        <w:rFonts w:ascii="Calibri" w:hAnsi="Calibri"/>
        <w:color w:val="475467"/>
        <w:sz w:val="16"/>
      </w:rPr>
      <w:fldChar w:fldCharType="begin"/>
      <w:instrText xml:space="preserve"> PAGE </w:instrText>
      <w:fldChar w:fldCharType="separate"/>
      <w:t>1</w:t>
      <w:fldChar w:fldCharType="end"/>
    </w:r>
    <w:r>
      <w:rPr>
        <w:rFonts w:ascii="Calibri" w:hAnsi="Calibri"/>
        <w:color w:val="475467"/>
        <w:sz w:val="16"/>
      </w:rPr>
      <w:t xml:space="preserve"> of </w:t>
    </w:r>
    <w:r>
      <w:rPr>
        <w:rFonts w:ascii="Calibri" w:hAnsi="Calibri"/>
        <w:color w:val="475467"/>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6" w:color="D0D5DD"/>
      </w:pBdr>
    </w:pPr>
    <w:r/>
    <w:r>
      <w:rPr>
        <w:rFonts w:ascii="Calibri" w:hAnsi="Calibri"/>
        <w:color w:val="475467"/>
        <w:sz w:val="16"/>
      </w:rPr>
      <w:t>AJO.ng — Complete Product and Technical Specification  ·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01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i w:val="0"/>
      <w:color w:val="0B1F3A"/>
      <w:sz w:val="40"/>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i w:val="0"/>
      <w:color w:val="146EF5"/>
      <w:sz w:val="29"/>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i w:val="0"/>
      <w:color w:val="0B1F3A"/>
      <w:sz w:val="24"/>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ascii="Calibri" w:hAnsi="Calibri"/>
      <w:b/>
      <w:bCs/>
      <w:i w:val="0"/>
      <w:iCs/>
      <w:color w:val="47546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